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305C" w14:textId="1039A757" w:rsidR="00A337AA" w:rsidRDefault="00AC5630" w:rsidP="008705EB">
      <w:pPr>
        <w:tabs>
          <w:tab w:val="left" w:pos="2025"/>
        </w:tabs>
        <w:spacing w:line="480" w:lineRule="auto"/>
        <w:jc w:val="center"/>
        <w:rPr>
          <w:rFonts w:ascii="Times New Roman" w:hAnsi="Times New Roman" w:cs="Times New Roman"/>
          <w:b/>
          <w:lang w:val="en-US"/>
        </w:rPr>
      </w:pPr>
      <w:r>
        <w:rPr>
          <w:rFonts w:ascii="Times New Roman" w:hAnsi="Times New Roman" w:cs="Times New Roman"/>
          <w:b/>
          <w:lang w:val="en-US"/>
        </w:rPr>
        <w:t>NON- PECUNIARY PRIVATE BENEFITS IN PUBLICLY TRADED CORPORATIONS</w:t>
      </w:r>
      <w:r w:rsidR="003C34B2">
        <w:rPr>
          <w:rFonts w:ascii="Times New Roman" w:hAnsi="Times New Roman" w:cs="Times New Roman"/>
          <w:b/>
          <w:lang w:val="en-US"/>
        </w:rPr>
        <w:t>:</w:t>
      </w:r>
      <w:r w:rsidR="00CD3F44">
        <w:rPr>
          <w:rFonts w:ascii="Times New Roman" w:hAnsi="Times New Roman" w:cs="Times New Roman"/>
          <w:b/>
          <w:lang w:val="en-US"/>
        </w:rPr>
        <w:t xml:space="preserve"> </w:t>
      </w:r>
      <w:r w:rsidR="003C34B2">
        <w:rPr>
          <w:rFonts w:ascii="Times New Roman" w:hAnsi="Times New Roman" w:cs="Times New Roman"/>
          <w:b/>
          <w:lang w:val="en-US"/>
        </w:rPr>
        <w:t xml:space="preserve">HOW </w:t>
      </w:r>
      <w:r w:rsidR="00391B16">
        <w:rPr>
          <w:rFonts w:ascii="Times New Roman" w:hAnsi="Times New Roman" w:cs="Times New Roman"/>
          <w:b/>
          <w:lang w:val="en-US"/>
        </w:rPr>
        <w:t>INVOLUNTARY</w:t>
      </w:r>
      <w:r>
        <w:rPr>
          <w:rFonts w:ascii="Times New Roman" w:hAnsi="Times New Roman" w:cs="Times New Roman"/>
          <w:b/>
          <w:lang w:val="en-US"/>
        </w:rPr>
        <w:t xml:space="preserve"> DISSOLUTON</w:t>
      </w:r>
      <w:r w:rsidR="003C34B2">
        <w:rPr>
          <w:rFonts w:ascii="Times New Roman" w:hAnsi="Times New Roman" w:cs="Times New Roman"/>
          <w:b/>
          <w:lang w:val="en-US"/>
        </w:rPr>
        <w:t xml:space="preserve"> STATUTE MAY BE THE SOLUTION</w:t>
      </w:r>
    </w:p>
    <w:p w14:paraId="3CA43C5E" w14:textId="77777777" w:rsidR="00441C92" w:rsidRDefault="00441C92" w:rsidP="00907A4D">
      <w:pPr>
        <w:tabs>
          <w:tab w:val="left" w:pos="2025"/>
        </w:tabs>
        <w:spacing w:line="480" w:lineRule="auto"/>
        <w:jc w:val="right"/>
        <w:rPr>
          <w:rFonts w:ascii="Times New Roman" w:hAnsi="Times New Roman" w:cs="Times New Roman"/>
          <w:b/>
          <w:lang w:val="en-US"/>
        </w:rPr>
      </w:pPr>
    </w:p>
    <w:p w14:paraId="49A31CC8" w14:textId="554E6C79" w:rsidR="00AC5630" w:rsidRDefault="00AC5630" w:rsidP="00907A4D">
      <w:pPr>
        <w:tabs>
          <w:tab w:val="left" w:pos="2025"/>
        </w:tabs>
        <w:spacing w:line="480" w:lineRule="auto"/>
        <w:jc w:val="right"/>
        <w:rPr>
          <w:rFonts w:ascii="Times New Roman" w:hAnsi="Times New Roman" w:cs="Times New Roman"/>
          <w:b/>
          <w:lang w:val="en-US"/>
        </w:rPr>
      </w:pPr>
      <w:r w:rsidRPr="00907A4D">
        <w:rPr>
          <w:rFonts w:ascii="Times New Roman" w:hAnsi="Times New Roman" w:cs="Times New Roman"/>
          <w:b/>
          <w:lang w:val="en-US"/>
        </w:rPr>
        <w:t>Dr. Murat Can PEHLİVANOĞLU</w:t>
      </w:r>
      <w:r w:rsidR="00A337AA" w:rsidRPr="00907A4D">
        <w:rPr>
          <w:rFonts w:ascii="Times New Roman" w:hAnsi="Times New Roman" w:cs="Times New Roman"/>
          <w:b/>
          <w:lang w:val="en-US"/>
        </w:rPr>
        <w:t>*</w:t>
      </w:r>
    </w:p>
    <w:p w14:paraId="79222527" w14:textId="77777777" w:rsidR="00907A4D" w:rsidRDefault="00907A4D" w:rsidP="00907A4D">
      <w:pPr>
        <w:tabs>
          <w:tab w:val="left" w:pos="2025"/>
        </w:tabs>
        <w:spacing w:line="480" w:lineRule="auto"/>
        <w:jc w:val="right"/>
        <w:rPr>
          <w:rFonts w:ascii="Times New Roman" w:hAnsi="Times New Roman" w:cs="Times New Roman"/>
          <w:b/>
          <w:lang w:val="en-US"/>
        </w:rPr>
      </w:pPr>
    </w:p>
    <w:p w14:paraId="7A3605A9" w14:textId="14DEFD2B" w:rsidR="00DB254D" w:rsidRPr="00705170" w:rsidRDefault="00DB254D" w:rsidP="00DB254D">
      <w:pPr>
        <w:tabs>
          <w:tab w:val="left" w:pos="2025"/>
        </w:tabs>
        <w:spacing w:line="480" w:lineRule="auto"/>
        <w:jc w:val="center"/>
        <w:rPr>
          <w:rFonts w:ascii="Times New Roman" w:hAnsi="Times New Roman" w:cs="Times New Roman"/>
          <w:b/>
          <w:lang w:val="en-US"/>
        </w:rPr>
      </w:pPr>
      <w:r w:rsidRPr="00705170">
        <w:rPr>
          <w:rFonts w:ascii="Times New Roman" w:hAnsi="Times New Roman" w:cs="Times New Roman"/>
          <w:b/>
          <w:lang w:val="en-US"/>
        </w:rPr>
        <w:t>CHAPTER I</w:t>
      </w:r>
    </w:p>
    <w:p w14:paraId="28BBE86E" w14:textId="451770D8" w:rsidR="00DB254D" w:rsidRPr="00705170" w:rsidRDefault="00DB254D" w:rsidP="00DB254D">
      <w:pPr>
        <w:tabs>
          <w:tab w:val="left" w:pos="2025"/>
        </w:tabs>
        <w:spacing w:line="480" w:lineRule="auto"/>
        <w:jc w:val="center"/>
        <w:rPr>
          <w:rFonts w:ascii="Times New Roman" w:hAnsi="Times New Roman" w:cs="Times New Roman"/>
          <w:b/>
          <w:lang w:val="en-US"/>
        </w:rPr>
      </w:pPr>
      <w:r w:rsidRPr="00705170">
        <w:rPr>
          <w:rFonts w:ascii="Times New Roman" w:hAnsi="Times New Roman" w:cs="Times New Roman"/>
          <w:b/>
          <w:lang w:val="en-US"/>
        </w:rPr>
        <w:t>INTRODUCTION</w:t>
      </w:r>
    </w:p>
    <w:p w14:paraId="3A858D8E" w14:textId="6E2D378B" w:rsidR="00DB254D" w:rsidRPr="00705170" w:rsidRDefault="00DB254D" w:rsidP="00DB254D">
      <w:pPr>
        <w:pStyle w:val="ListeParagraf"/>
        <w:numPr>
          <w:ilvl w:val="1"/>
          <w:numId w:val="4"/>
        </w:numPr>
        <w:tabs>
          <w:tab w:val="left" w:pos="2025"/>
        </w:tabs>
        <w:spacing w:line="480" w:lineRule="auto"/>
        <w:rPr>
          <w:rFonts w:ascii="Times New Roman" w:hAnsi="Times New Roman" w:cs="Times New Roman"/>
          <w:b/>
          <w:lang w:val="en-US"/>
        </w:rPr>
      </w:pPr>
      <w:r w:rsidRPr="00705170">
        <w:rPr>
          <w:rFonts w:ascii="Times New Roman" w:hAnsi="Times New Roman" w:cs="Times New Roman"/>
          <w:b/>
          <w:lang w:val="en-US"/>
        </w:rPr>
        <w:t xml:space="preserve"> Introduction of the Issue</w:t>
      </w:r>
    </w:p>
    <w:p w14:paraId="6A8A32BC" w14:textId="6A233A36" w:rsidR="00DB254D" w:rsidRPr="00705170" w:rsidRDefault="00DB254D" w:rsidP="00DB254D">
      <w:pPr>
        <w:spacing w:after="240" w:line="480" w:lineRule="auto"/>
        <w:ind w:firstLine="720"/>
        <w:jc w:val="both"/>
        <w:rPr>
          <w:rFonts w:ascii="Times New Roman" w:hAnsi="Times New Roman" w:cs="Times New Roman"/>
          <w:lang w:val="en-US"/>
        </w:rPr>
      </w:pPr>
      <w:r w:rsidRPr="00705170">
        <w:rPr>
          <w:rFonts w:ascii="Times New Roman" w:hAnsi="Times New Roman" w:cs="Times New Roman"/>
          <w:lang w:val="en-US"/>
        </w:rPr>
        <w:t>One of the major conflicts that corporate law of various jurisdictions aims to resolve is the conflict between influencing shareholders</w:t>
      </w:r>
      <w:r w:rsidRPr="00705170">
        <w:rPr>
          <w:rStyle w:val="DipnotBavurusu"/>
          <w:rFonts w:ascii="Times New Roman" w:hAnsi="Times New Roman" w:cs="Times New Roman"/>
          <w:lang w:val="en-US"/>
        </w:rPr>
        <w:footnoteReference w:id="1"/>
      </w:r>
      <w:r w:rsidRPr="00705170">
        <w:rPr>
          <w:rFonts w:ascii="Times New Roman" w:hAnsi="Times New Roman" w:cs="Times New Roman"/>
          <w:lang w:val="en-US"/>
        </w:rPr>
        <w:t xml:space="preserve"> and the minority shareholders</w:t>
      </w:r>
      <w:r w:rsidRPr="00705170">
        <w:rPr>
          <w:rStyle w:val="DipnotBavurusu"/>
          <w:rFonts w:ascii="Times New Roman" w:hAnsi="Times New Roman" w:cs="Times New Roman"/>
          <w:lang w:val="en-US"/>
        </w:rPr>
        <w:footnoteReference w:id="2"/>
      </w:r>
      <w:r w:rsidRPr="00705170">
        <w:rPr>
          <w:rFonts w:ascii="Times New Roman" w:hAnsi="Times New Roman" w:cs="Times New Roman"/>
          <w:lang w:val="en-US"/>
        </w:rPr>
        <w:t xml:space="preserve">. Law strives to protect the minority from influencing shareholders’ exploitation of their power to appropriate disproportionate gains from the corporation at the expense of </w:t>
      </w:r>
      <w:r w:rsidR="002472CC" w:rsidRPr="00705170">
        <w:rPr>
          <w:rFonts w:ascii="Times New Roman" w:hAnsi="Times New Roman" w:cs="Times New Roman"/>
          <w:lang w:val="en-US"/>
        </w:rPr>
        <w:t xml:space="preserve">the </w:t>
      </w:r>
      <w:r w:rsidRPr="00705170">
        <w:rPr>
          <w:rFonts w:ascii="Times New Roman" w:hAnsi="Times New Roman" w:cs="Times New Roman"/>
          <w:lang w:val="en-US"/>
        </w:rPr>
        <w:t>minority shareholder</w:t>
      </w:r>
      <w:r w:rsidR="00540CFC" w:rsidRPr="00705170">
        <w:rPr>
          <w:rFonts w:ascii="Times New Roman" w:hAnsi="Times New Roman" w:cs="Times New Roman"/>
          <w:lang w:val="en-US"/>
        </w:rPr>
        <w:t>s</w:t>
      </w:r>
      <w:r w:rsidRPr="00705170">
        <w:rPr>
          <w:rStyle w:val="DipnotBavurusu"/>
          <w:rFonts w:ascii="Times New Roman" w:hAnsi="Times New Roman" w:cs="Times New Roman"/>
          <w:lang w:val="en-US"/>
        </w:rPr>
        <w:footnoteReference w:id="3"/>
      </w:r>
      <w:r w:rsidRPr="00705170">
        <w:rPr>
          <w:rFonts w:ascii="Times New Roman" w:hAnsi="Times New Roman" w:cs="Times New Roman"/>
          <w:lang w:val="en-US"/>
        </w:rPr>
        <w:t>. Conventional shareholder rights are likely to become mere formali</w:t>
      </w:r>
      <w:r w:rsidR="002472CC" w:rsidRPr="00705170">
        <w:rPr>
          <w:rFonts w:ascii="Times New Roman" w:hAnsi="Times New Roman" w:cs="Times New Roman"/>
          <w:lang w:val="en-US"/>
        </w:rPr>
        <w:t>ties in the absence of special measures</w:t>
      </w:r>
      <w:r w:rsidRPr="00705170">
        <w:rPr>
          <w:rFonts w:ascii="Times New Roman" w:hAnsi="Times New Roman" w:cs="Times New Roman"/>
          <w:lang w:val="en-US"/>
        </w:rPr>
        <w:t xml:space="preserve"> protecting the minority shareholders when there is an influencing shareholder</w:t>
      </w:r>
      <w:r w:rsidR="002472CC" w:rsidRPr="00705170">
        <w:rPr>
          <w:rFonts w:ascii="Times New Roman" w:hAnsi="Times New Roman" w:cs="Times New Roman"/>
          <w:lang w:val="en-US"/>
        </w:rPr>
        <w:t xml:space="preserve"> in the corporation</w:t>
      </w:r>
      <w:r w:rsidR="002472CC" w:rsidRPr="00705170">
        <w:rPr>
          <w:rStyle w:val="DipnotBavurusu"/>
          <w:rFonts w:ascii="Times New Roman" w:hAnsi="Times New Roman" w:cs="Times New Roman"/>
          <w:lang w:val="en-US"/>
        </w:rPr>
        <w:footnoteReference w:id="4"/>
      </w:r>
      <w:r w:rsidRPr="00705170">
        <w:rPr>
          <w:rFonts w:ascii="Times New Roman" w:hAnsi="Times New Roman" w:cs="Times New Roman"/>
          <w:lang w:val="en-US"/>
        </w:rPr>
        <w:t>,</w:t>
      </w:r>
      <w:r w:rsidR="002472CC" w:rsidRPr="00705170">
        <w:rPr>
          <w:rFonts w:ascii="Times New Roman" w:hAnsi="Times New Roman" w:cs="Times New Roman"/>
          <w:lang w:val="en-US"/>
        </w:rPr>
        <w:t xml:space="preserve"> who influences the entity</w:t>
      </w:r>
      <w:r w:rsidRPr="00705170">
        <w:rPr>
          <w:rFonts w:ascii="Times New Roman" w:hAnsi="Times New Roman" w:cs="Times New Roman"/>
          <w:lang w:val="en-US"/>
        </w:rPr>
        <w:t xml:space="preserve"> directly or “behind the scenes”</w:t>
      </w:r>
      <w:r w:rsidRPr="00705170">
        <w:rPr>
          <w:rStyle w:val="DipnotBavurusu"/>
          <w:rFonts w:ascii="Times New Roman" w:hAnsi="Times New Roman" w:cs="Times New Roman"/>
          <w:lang w:val="en-US"/>
        </w:rPr>
        <w:footnoteReference w:id="5"/>
      </w:r>
      <w:r w:rsidR="002472CC" w:rsidRPr="00705170">
        <w:rPr>
          <w:rFonts w:ascii="Times New Roman" w:hAnsi="Times New Roman" w:cs="Times New Roman"/>
          <w:lang w:val="en-US"/>
        </w:rPr>
        <w:t xml:space="preserve"> to maximize his </w:t>
      </w:r>
      <w:r w:rsidR="000E7C6D">
        <w:rPr>
          <w:rFonts w:ascii="Times New Roman" w:hAnsi="Times New Roman" w:cs="Times New Roman"/>
          <w:lang w:val="en-US"/>
        </w:rPr>
        <w:t xml:space="preserve">own </w:t>
      </w:r>
      <w:r w:rsidR="002472CC" w:rsidRPr="00705170">
        <w:rPr>
          <w:rFonts w:ascii="Times New Roman" w:hAnsi="Times New Roman" w:cs="Times New Roman"/>
          <w:lang w:val="en-US"/>
        </w:rPr>
        <w:lastRenderedPageBreak/>
        <w:t xml:space="preserve">benefits. </w:t>
      </w:r>
      <w:r w:rsidR="000E7C6D">
        <w:rPr>
          <w:rFonts w:ascii="Times New Roman" w:hAnsi="Times New Roman" w:cs="Times New Roman"/>
          <w:lang w:val="en-US"/>
        </w:rPr>
        <w:t>While shareholder</w:t>
      </w:r>
      <w:r w:rsidR="00C51E67">
        <w:rPr>
          <w:rFonts w:ascii="Times New Roman" w:hAnsi="Times New Roman" w:cs="Times New Roman"/>
          <w:lang w:val="en-US"/>
        </w:rPr>
        <w:t xml:space="preserve">s should be given an area of freedom to guard their own benefits when exercising their shareholder rights, the outer limits of this freedom should be carefully drawn. </w:t>
      </w:r>
      <w:r w:rsidR="000E7C6D">
        <w:rPr>
          <w:rFonts w:ascii="Times New Roman" w:hAnsi="Times New Roman" w:cs="Times New Roman"/>
          <w:lang w:val="en-US"/>
        </w:rPr>
        <w:t xml:space="preserve"> </w:t>
      </w:r>
    </w:p>
    <w:p w14:paraId="52C93FA5" w14:textId="214B89CA" w:rsidR="00DB254D" w:rsidRPr="00705170" w:rsidRDefault="00DB254D" w:rsidP="00DB254D">
      <w:pPr>
        <w:spacing w:after="240" w:line="480" w:lineRule="auto"/>
        <w:ind w:firstLine="720"/>
        <w:jc w:val="both"/>
        <w:rPr>
          <w:rFonts w:ascii="Times New Roman" w:hAnsi="Times New Roman" w:cs="Times New Roman"/>
          <w:lang w:val="en-US"/>
        </w:rPr>
      </w:pPr>
      <w:r w:rsidRPr="00705170">
        <w:rPr>
          <w:rFonts w:ascii="Times New Roman" w:hAnsi="Times New Roman" w:cs="Times New Roman"/>
          <w:lang w:val="en-US"/>
        </w:rPr>
        <w:t>Although it is accepted that the “corporate machinery may not be manipulated so as to injure minority shareholders”</w:t>
      </w:r>
      <w:r w:rsidRPr="00705170">
        <w:rPr>
          <w:rStyle w:val="DipnotBavurusu"/>
          <w:rFonts w:ascii="Times New Roman" w:hAnsi="Times New Roman" w:cs="Times New Roman"/>
          <w:lang w:val="en-US"/>
        </w:rPr>
        <w:footnoteReference w:id="6"/>
      </w:r>
      <w:r w:rsidRPr="00705170">
        <w:rPr>
          <w:rFonts w:ascii="Times New Roman" w:hAnsi="Times New Roman" w:cs="Times New Roman"/>
          <w:lang w:val="en-US"/>
        </w:rPr>
        <w:t xml:space="preserve">, ensuring that the machinery is not being misused might be problematic in some instances.  It is particularly </w:t>
      </w:r>
      <w:r w:rsidR="00FD1CFB" w:rsidRPr="00705170">
        <w:rPr>
          <w:rFonts w:ascii="Times New Roman" w:hAnsi="Times New Roman" w:cs="Times New Roman"/>
          <w:lang w:val="en-US"/>
        </w:rPr>
        <w:t xml:space="preserve">important and </w:t>
      </w:r>
      <w:r w:rsidRPr="00705170">
        <w:rPr>
          <w:rFonts w:ascii="Times New Roman" w:hAnsi="Times New Roman" w:cs="Times New Roman"/>
          <w:lang w:val="en-US"/>
        </w:rPr>
        <w:t>challenging for the law to control influencing shareholders’ extraction of “non- pecuniary private benefits”</w:t>
      </w:r>
      <w:r w:rsidR="00D2412E" w:rsidRPr="00705170">
        <w:rPr>
          <w:rStyle w:val="DipnotBavurusu"/>
          <w:rFonts w:ascii="Times New Roman" w:hAnsi="Times New Roman" w:cs="Times New Roman"/>
          <w:lang w:val="en-US"/>
        </w:rPr>
        <w:footnoteReference w:id="7"/>
      </w:r>
      <w:r w:rsidRPr="00705170">
        <w:rPr>
          <w:rFonts w:ascii="Times New Roman" w:hAnsi="Times New Roman" w:cs="Times New Roman"/>
          <w:lang w:val="en-US"/>
        </w:rPr>
        <w:t xml:space="preserve"> from their shareholder </w:t>
      </w:r>
      <w:r w:rsidR="008E506F">
        <w:rPr>
          <w:rFonts w:ascii="Times New Roman" w:hAnsi="Times New Roman" w:cs="Times New Roman"/>
          <w:lang w:val="en-US"/>
        </w:rPr>
        <w:t>position</w:t>
      </w:r>
      <w:r w:rsidR="008E506F" w:rsidRPr="00705170">
        <w:rPr>
          <w:rFonts w:ascii="Times New Roman" w:hAnsi="Times New Roman" w:cs="Times New Roman"/>
          <w:lang w:val="en-US"/>
        </w:rPr>
        <w:t xml:space="preserve"> </w:t>
      </w:r>
      <w:r w:rsidRPr="00705170">
        <w:rPr>
          <w:rFonts w:ascii="Times New Roman" w:hAnsi="Times New Roman" w:cs="Times New Roman"/>
          <w:lang w:val="en-US"/>
        </w:rPr>
        <w:t>in publicly traded corporations</w:t>
      </w:r>
      <w:r w:rsidR="00FD1CFB" w:rsidRPr="00705170">
        <w:rPr>
          <w:rStyle w:val="DipnotBavurusu"/>
          <w:rFonts w:ascii="Times New Roman" w:hAnsi="Times New Roman" w:cs="Times New Roman"/>
          <w:lang w:val="en-US"/>
        </w:rPr>
        <w:footnoteReference w:id="8"/>
      </w:r>
      <w:r w:rsidRPr="00705170">
        <w:rPr>
          <w:rFonts w:ascii="Times New Roman" w:hAnsi="Times New Roman" w:cs="Times New Roman"/>
          <w:lang w:val="en-US"/>
        </w:rPr>
        <w:t>. In this respect, even if the functionally good law keeps the size of pecuniary private benefits of control small, it may do little about non- pecuniary private benefits</w:t>
      </w:r>
      <w:r w:rsidRPr="00705170">
        <w:rPr>
          <w:rStyle w:val="DipnotBavurusu"/>
          <w:rFonts w:ascii="Times New Roman" w:hAnsi="Times New Roman" w:cs="Times New Roman"/>
          <w:lang w:val="en-US"/>
        </w:rPr>
        <w:footnoteReference w:id="9"/>
      </w:r>
      <w:r w:rsidRPr="00705170">
        <w:rPr>
          <w:rFonts w:ascii="Times New Roman" w:hAnsi="Times New Roman" w:cs="Times New Roman"/>
          <w:lang w:val="en-US"/>
        </w:rPr>
        <w:t>. Hence, there is a need</w:t>
      </w:r>
      <w:r w:rsidR="00043CBE" w:rsidRPr="00705170">
        <w:rPr>
          <w:rFonts w:ascii="Times New Roman" w:hAnsi="Times New Roman" w:cs="Times New Roman"/>
          <w:lang w:val="en-US"/>
        </w:rPr>
        <w:t xml:space="preserve"> to reconsider </w:t>
      </w:r>
      <w:r w:rsidRPr="00705170">
        <w:rPr>
          <w:rFonts w:ascii="Times New Roman" w:hAnsi="Times New Roman" w:cs="Times New Roman"/>
          <w:lang w:val="en-US"/>
        </w:rPr>
        <w:t>corporate law</w:t>
      </w:r>
      <w:r w:rsidR="00F0243E" w:rsidRPr="00705170">
        <w:rPr>
          <w:rStyle w:val="DipnotBavurusu"/>
          <w:rFonts w:ascii="Times New Roman" w:hAnsi="Times New Roman" w:cs="Times New Roman"/>
          <w:lang w:val="en-US"/>
        </w:rPr>
        <w:footnoteReference w:id="10"/>
      </w:r>
      <w:r w:rsidR="00F0243E" w:rsidRPr="00705170">
        <w:rPr>
          <w:rFonts w:ascii="Times New Roman" w:hAnsi="Times New Roman" w:cs="Times New Roman"/>
          <w:lang w:val="en-US"/>
        </w:rPr>
        <w:t>,</w:t>
      </w:r>
      <w:r w:rsidRPr="00705170">
        <w:rPr>
          <w:rFonts w:ascii="Times New Roman" w:hAnsi="Times New Roman" w:cs="Times New Roman"/>
          <w:lang w:val="en-US"/>
        </w:rPr>
        <w:t xml:space="preserve"> and adapt it to the growing sophistication of the business community</w:t>
      </w:r>
      <w:r w:rsidRPr="00705170">
        <w:rPr>
          <w:rStyle w:val="DipnotBavurusu"/>
          <w:rFonts w:ascii="Times New Roman" w:hAnsi="Times New Roman" w:cs="Times New Roman"/>
          <w:lang w:val="en-US"/>
        </w:rPr>
        <w:footnoteReference w:id="11"/>
      </w:r>
      <w:r w:rsidR="000E7C6D">
        <w:rPr>
          <w:rFonts w:ascii="Times New Roman" w:hAnsi="Times New Roman" w:cs="Times New Roman"/>
          <w:lang w:val="en-US"/>
        </w:rPr>
        <w:t xml:space="preserve">, with regards to extraction of non- pecuniary private </w:t>
      </w:r>
      <w:r w:rsidR="000E7C6D">
        <w:rPr>
          <w:rFonts w:ascii="Times New Roman" w:hAnsi="Times New Roman" w:cs="Times New Roman"/>
          <w:lang w:val="en-US"/>
        </w:rPr>
        <w:lastRenderedPageBreak/>
        <w:t xml:space="preserve">benefits. </w:t>
      </w:r>
      <w:r w:rsidR="00C51E67">
        <w:rPr>
          <w:rFonts w:ascii="Times New Roman" w:hAnsi="Times New Roman" w:cs="Times New Roman"/>
          <w:lang w:val="en-US"/>
        </w:rPr>
        <w:t>In this sense, non- pecuniary private benefits appear as a new type of agency problem in corporate law</w:t>
      </w:r>
      <w:r w:rsidR="00C51E67">
        <w:rPr>
          <w:rStyle w:val="DipnotBavurusu"/>
          <w:rFonts w:ascii="Times New Roman" w:hAnsi="Times New Roman" w:cs="Times New Roman"/>
          <w:lang w:val="en-US"/>
        </w:rPr>
        <w:footnoteReference w:id="12"/>
      </w:r>
      <w:r w:rsidR="00C51E67">
        <w:rPr>
          <w:rFonts w:ascii="Times New Roman" w:hAnsi="Times New Roman" w:cs="Times New Roman"/>
          <w:lang w:val="en-US"/>
        </w:rPr>
        <w:t>.</w:t>
      </w:r>
    </w:p>
    <w:p w14:paraId="0D9B859F" w14:textId="0972B4E1" w:rsidR="00DB254D" w:rsidRPr="00705170" w:rsidRDefault="00DB254D" w:rsidP="00DB254D">
      <w:pPr>
        <w:spacing w:after="240" w:line="480" w:lineRule="auto"/>
        <w:ind w:firstLine="720"/>
        <w:jc w:val="both"/>
        <w:rPr>
          <w:rFonts w:ascii="Times New Roman" w:hAnsi="Times New Roman" w:cs="Times New Roman"/>
          <w:lang w:val="en-US"/>
        </w:rPr>
      </w:pPr>
      <w:r w:rsidRPr="00705170">
        <w:rPr>
          <w:rFonts w:ascii="Times New Roman" w:hAnsi="Times New Roman" w:cs="Times New Roman"/>
          <w:lang w:val="en-US"/>
        </w:rPr>
        <w:t xml:space="preserve"> </w:t>
      </w:r>
      <w:r w:rsidR="00A71C23" w:rsidRPr="00705170">
        <w:rPr>
          <w:rFonts w:ascii="Times New Roman" w:hAnsi="Times New Roman" w:cs="Times New Roman"/>
          <w:lang w:val="en-US"/>
        </w:rPr>
        <w:t xml:space="preserve">This study </w:t>
      </w:r>
      <w:r w:rsidR="00290ACC" w:rsidRPr="00705170">
        <w:rPr>
          <w:rFonts w:ascii="Times New Roman" w:hAnsi="Times New Roman" w:cs="Times New Roman"/>
          <w:lang w:val="en-US"/>
        </w:rPr>
        <w:t>opines</w:t>
      </w:r>
      <w:r w:rsidR="00A71C23" w:rsidRPr="00705170">
        <w:rPr>
          <w:rFonts w:ascii="Times New Roman" w:hAnsi="Times New Roman" w:cs="Times New Roman"/>
          <w:lang w:val="en-US"/>
        </w:rPr>
        <w:t xml:space="preserve"> that</w:t>
      </w:r>
      <w:r w:rsidRPr="00705170">
        <w:rPr>
          <w:rFonts w:ascii="Times New Roman" w:hAnsi="Times New Roman" w:cs="Times New Roman"/>
          <w:lang w:val="en-US"/>
        </w:rPr>
        <w:t xml:space="preserve"> the minority shareholders can realize significantly less return on their investment in shares than what </w:t>
      </w:r>
      <w:r w:rsidR="008E506F">
        <w:rPr>
          <w:rFonts w:ascii="Times New Roman" w:hAnsi="Times New Roman" w:cs="Times New Roman"/>
          <w:lang w:val="en-US"/>
        </w:rPr>
        <w:t>would</w:t>
      </w:r>
      <w:r w:rsidR="008E506F" w:rsidRPr="00705170">
        <w:rPr>
          <w:rFonts w:ascii="Times New Roman" w:hAnsi="Times New Roman" w:cs="Times New Roman"/>
          <w:lang w:val="en-US"/>
        </w:rPr>
        <w:t xml:space="preserve"> </w:t>
      </w:r>
      <w:r w:rsidRPr="00705170">
        <w:rPr>
          <w:rFonts w:ascii="Times New Roman" w:hAnsi="Times New Roman" w:cs="Times New Roman"/>
          <w:lang w:val="en-US"/>
        </w:rPr>
        <w:t xml:space="preserve">be realized when influencing shareholders’ extraction </w:t>
      </w:r>
      <w:r w:rsidR="000E7C6D">
        <w:rPr>
          <w:rFonts w:ascii="Times New Roman" w:hAnsi="Times New Roman" w:cs="Times New Roman"/>
          <w:lang w:val="en-US"/>
        </w:rPr>
        <w:t xml:space="preserve">of </w:t>
      </w:r>
      <w:r w:rsidRPr="00705170">
        <w:rPr>
          <w:rFonts w:ascii="Times New Roman" w:hAnsi="Times New Roman" w:cs="Times New Roman"/>
          <w:lang w:val="en-US"/>
        </w:rPr>
        <w:t>non- pecuniary private benefits is left uncontrolled</w:t>
      </w:r>
      <w:r w:rsidR="00043CBE" w:rsidRPr="00705170">
        <w:rPr>
          <w:rStyle w:val="DipnotBavurusu"/>
          <w:rFonts w:ascii="Times New Roman" w:hAnsi="Times New Roman" w:cs="Times New Roman"/>
          <w:lang w:val="en-US"/>
        </w:rPr>
        <w:footnoteReference w:id="13"/>
      </w:r>
      <w:r w:rsidR="008C718B" w:rsidRPr="00705170">
        <w:rPr>
          <w:rFonts w:ascii="Times New Roman" w:hAnsi="Times New Roman" w:cs="Times New Roman"/>
          <w:lang w:val="en-US"/>
        </w:rPr>
        <w:t xml:space="preserve">. </w:t>
      </w:r>
      <w:r w:rsidR="008E506F">
        <w:rPr>
          <w:rFonts w:ascii="Times New Roman" w:hAnsi="Times New Roman" w:cs="Times New Roman"/>
          <w:lang w:val="en-US"/>
        </w:rPr>
        <w:t>In a nutshell, due to th</w:t>
      </w:r>
      <w:r w:rsidR="000E7C6D">
        <w:rPr>
          <w:rFonts w:ascii="Times New Roman" w:hAnsi="Times New Roman" w:cs="Times New Roman"/>
          <w:lang w:val="en-US"/>
        </w:rPr>
        <w:t>is</w:t>
      </w:r>
      <w:r w:rsidR="008E506F">
        <w:rPr>
          <w:rFonts w:ascii="Times New Roman" w:hAnsi="Times New Roman" w:cs="Times New Roman"/>
          <w:lang w:val="en-US"/>
        </w:rPr>
        <w:t xml:space="preserve"> extraction, the overall value of the minority shareholders’ investment is harmed, especially because of </w:t>
      </w:r>
      <w:proofErr w:type="spellStart"/>
      <w:r w:rsidR="008E506F">
        <w:rPr>
          <w:rFonts w:ascii="Times New Roman" w:hAnsi="Times New Roman" w:cs="Times New Roman"/>
          <w:lang w:val="en-US"/>
        </w:rPr>
        <w:t>detoriation</w:t>
      </w:r>
      <w:proofErr w:type="spellEnd"/>
      <w:r w:rsidR="008E506F">
        <w:rPr>
          <w:rFonts w:ascii="Times New Roman" w:hAnsi="Times New Roman" w:cs="Times New Roman"/>
          <w:lang w:val="en-US"/>
        </w:rPr>
        <w:t xml:space="preserve"> in the corporation’s profit margin</w:t>
      </w:r>
      <w:r w:rsidR="008E506F" w:rsidRPr="00705170">
        <w:rPr>
          <w:rStyle w:val="DipnotBavurusu"/>
          <w:rFonts w:ascii="Times New Roman" w:hAnsi="Times New Roman" w:cs="Times New Roman"/>
          <w:lang w:val="en-US"/>
        </w:rPr>
        <w:footnoteReference w:id="14"/>
      </w:r>
      <w:r w:rsidR="008E506F">
        <w:rPr>
          <w:rFonts w:ascii="Times New Roman" w:hAnsi="Times New Roman" w:cs="Times New Roman"/>
          <w:lang w:val="en-US"/>
        </w:rPr>
        <w:t xml:space="preserve">. </w:t>
      </w:r>
      <w:r w:rsidR="00C51E67">
        <w:rPr>
          <w:rFonts w:ascii="Times New Roman" w:hAnsi="Times New Roman" w:cs="Times New Roman"/>
          <w:lang w:val="en-US"/>
        </w:rPr>
        <w:t xml:space="preserve">Non- pecuniary private benefit extraction will more likely happen in publicly traded corporations rather than close corporations because close corporations generally do not </w:t>
      </w:r>
      <w:r w:rsidR="00F77F14">
        <w:rPr>
          <w:rFonts w:ascii="Times New Roman" w:hAnsi="Times New Roman" w:cs="Times New Roman"/>
          <w:lang w:val="en-US"/>
        </w:rPr>
        <w:t>reach to a socioeconomic level</w:t>
      </w:r>
      <w:r w:rsidR="00C51E67">
        <w:rPr>
          <w:rFonts w:ascii="Times New Roman" w:hAnsi="Times New Roman" w:cs="Times New Roman"/>
          <w:lang w:val="en-US"/>
        </w:rPr>
        <w:t xml:space="preserve"> suitable for non- pecuniary private benefit </w:t>
      </w:r>
      <w:r w:rsidR="00F77F14">
        <w:rPr>
          <w:rFonts w:ascii="Times New Roman" w:hAnsi="Times New Roman" w:cs="Times New Roman"/>
          <w:lang w:val="en-US"/>
        </w:rPr>
        <w:t>generation</w:t>
      </w:r>
      <w:r w:rsidR="00C51E67">
        <w:rPr>
          <w:rFonts w:ascii="Times New Roman" w:hAnsi="Times New Roman" w:cs="Times New Roman"/>
          <w:lang w:val="en-US"/>
        </w:rPr>
        <w:t>. Accordingly, t</w:t>
      </w:r>
      <w:r w:rsidR="008E506F">
        <w:rPr>
          <w:rFonts w:ascii="Times New Roman" w:hAnsi="Times New Roman" w:cs="Times New Roman"/>
          <w:lang w:val="en-US"/>
        </w:rPr>
        <w:t>his study</w:t>
      </w:r>
      <w:r w:rsidR="008C718B" w:rsidRPr="00705170">
        <w:rPr>
          <w:rFonts w:ascii="Times New Roman" w:hAnsi="Times New Roman" w:cs="Times New Roman"/>
          <w:lang w:val="en-US"/>
        </w:rPr>
        <w:t xml:space="preserve"> advocates </w:t>
      </w:r>
      <w:r w:rsidR="00BB021E" w:rsidRPr="00705170">
        <w:rPr>
          <w:rFonts w:ascii="Times New Roman" w:hAnsi="Times New Roman" w:cs="Times New Roman"/>
          <w:lang w:val="en-US"/>
        </w:rPr>
        <w:t>(as a “second- best solution”)</w:t>
      </w:r>
      <w:r w:rsidR="00BB021E" w:rsidRPr="00705170">
        <w:rPr>
          <w:rStyle w:val="DipnotBavurusu"/>
          <w:rFonts w:ascii="Times New Roman" w:hAnsi="Times New Roman" w:cs="Times New Roman"/>
          <w:lang w:val="en-US"/>
        </w:rPr>
        <w:footnoteReference w:id="15"/>
      </w:r>
      <w:r w:rsidR="00BB021E" w:rsidRPr="00705170">
        <w:rPr>
          <w:rFonts w:ascii="Times New Roman" w:hAnsi="Times New Roman" w:cs="Times New Roman"/>
          <w:lang w:val="en-US"/>
        </w:rPr>
        <w:t xml:space="preserve"> </w:t>
      </w:r>
      <w:r w:rsidR="008C718B" w:rsidRPr="00705170">
        <w:rPr>
          <w:rFonts w:ascii="Times New Roman" w:hAnsi="Times New Roman" w:cs="Times New Roman"/>
          <w:lang w:val="en-US"/>
        </w:rPr>
        <w:t xml:space="preserve">that </w:t>
      </w:r>
      <w:r w:rsidRPr="00705170">
        <w:rPr>
          <w:rFonts w:ascii="Times New Roman" w:hAnsi="Times New Roman" w:cs="Times New Roman"/>
          <w:lang w:val="en-US"/>
        </w:rPr>
        <w:t xml:space="preserve">this conduct </w:t>
      </w:r>
      <w:r w:rsidRPr="00705170">
        <w:rPr>
          <w:rFonts w:ascii="Times New Roman" w:hAnsi="Times New Roman" w:cs="Times New Roman"/>
          <w:lang w:val="en-US"/>
        </w:rPr>
        <w:lastRenderedPageBreak/>
        <w:t>should be considered “oppressive”</w:t>
      </w:r>
      <w:r w:rsidRPr="00705170">
        <w:rPr>
          <w:rStyle w:val="DipnotBavurusu"/>
          <w:rFonts w:ascii="Times New Roman" w:hAnsi="Times New Roman" w:cs="Times New Roman"/>
          <w:lang w:val="en-US"/>
        </w:rPr>
        <w:t xml:space="preserve"> </w:t>
      </w:r>
      <w:r w:rsidRPr="00705170">
        <w:rPr>
          <w:rStyle w:val="DipnotBavurusu"/>
          <w:rFonts w:ascii="Times New Roman" w:hAnsi="Times New Roman" w:cs="Times New Roman"/>
          <w:lang w:val="en-US"/>
        </w:rPr>
        <w:footnoteReference w:id="16"/>
      </w:r>
      <w:r w:rsidRPr="00705170">
        <w:rPr>
          <w:rFonts w:ascii="Times New Roman" w:hAnsi="Times New Roman" w:cs="Times New Roman"/>
          <w:lang w:val="en-US"/>
        </w:rPr>
        <w:t xml:space="preserve"> to the minority shareholders</w:t>
      </w:r>
      <w:r w:rsidRPr="00705170">
        <w:rPr>
          <w:rStyle w:val="DipnotBavurusu"/>
          <w:rFonts w:ascii="Times New Roman" w:hAnsi="Times New Roman" w:cs="Times New Roman"/>
          <w:lang w:val="en-US"/>
        </w:rPr>
        <w:footnoteReference w:id="17"/>
      </w:r>
      <w:r w:rsidRPr="00705170">
        <w:rPr>
          <w:rFonts w:ascii="Times New Roman" w:hAnsi="Times New Roman" w:cs="Times New Roman"/>
          <w:lang w:val="en-US"/>
        </w:rPr>
        <w:t>, as the</w:t>
      </w:r>
      <w:r w:rsidR="008E506F">
        <w:rPr>
          <w:rFonts w:ascii="Times New Roman" w:hAnsi="Times New Roman" w:cs="Times New Roman"/>
          <w:lang w:val="en-US"/>
        </w:rPr>
        <w:t xml:space="preserve"> non- pecuniary private benefit</w:t>
      </w:r>
      <w:r w:rsidRPr="00705170">
        <w:rPr>
          <w:rFonts w:ascii="Times New Roman" w:hAnsi="Times New Roman" w:cs="Times New Roman"/>
          <w:lang w:val="en-US"/>
        </w:rPr>
        <w:t xml:space="preserve"> extraction can substantially defeat the </w:t>
      </w:r>
      <w:r w:rsidR="00290ACC" w:rsidRPr="00705170">
        <w:rPr>
          <w:rFonts w:ascii="Times New Roman" w:hAnsi="Times New Roman" w:cs="Times New Roman"/>
          <w:lang w:val="en-US"/>
        </w:rPr>
        <w:t>“</w:t>
      </w:r>
      <w:r w:rsidRPr="00705170">
        <w:rPr>
          <w:rFonts w:ascii="Times New Roman" w:hAnsi="Times New Roman" w:cs="Times New Roman"/>
          <w:lang w:val="en-US"/>
        </w:rPr>
        <w:t>reasonable expectations</w:t>
      </w:r>
      <w:r w:rsidR="00290ACC" w:rsidRPr="00705170">
        <w:rPr>
          <w:rFonts w:ascii="Times New Roman" w:hAnsi="Times New Roman" w:cs="Times New Roman"/>
          <w:lang w:val="en-US"/>
        </w:rPr>
        <w:t>”</w:t>
      </w:r>
      <w:r w:rsidRPr="00705170">
        <w:rPr>
          <w:rFonts w:ascii="Times New Roman" w:hAnsi="Times New Roman" w:cs="Times New Roman"/>
          <w:lang w:val="en-US"/>
        </w:rPr>
        <w:t xml:space="preserve"> held by the shareholders in committing their capital to a particular publicly traded corporation</w:t>
      </w:r>
      <w:r w:rsidR="00BB6D16" w:rsidRPr="00705170">
        <w:rPr>
          <w:rStyle w:val="DipnotBavurusu"/>
          <w:rFonts w:ascii="Times New Roman" w:hAnsi="Times New Roman" w:cs="Times New Roman"/>
          <w:lang w:val="en-US"/>
        </w:rPr>
        <w:footnoteReference w:id="18"/>
      </w:r>
      <w:r w:rsidR="000F3BF1" w:rsidRPr="00705170">
        <w:rPr>
          <w:rFonts w:ascii="Times New Roman" w:hAnsi="Times New Roman" w:cs="Times New Roman"/>
          <w:lang w:val="en-US"/>
        </w:rPr>
        <w:t>,</w:t>
      </w:r>
      <w:r w:rsidR="00FD7D93" w:rsidRPr="00705170">
        <w:rPr>
          <w:rFonts w:ascii="Times New Roman" w:hAnsi="Times New Roman" w:cs="Times New Roman"/>
          <w:lang w:val="en-US"/>
        </w:rPr>
        <w:t xml:space="preserve"> by “milking it to death”</w:t>
      </w:r>
      <w:r w:rsidR="00BB6D16" w:rsidRPr="00705170">
        <w:rPr>
          <w:rStyle w:val="DipnotBavurusu"/>
          <w:rFonts w:ascii="Times New Roman" w:hAnsi="Times New Roman" w:cs="Times New Roman"/>
          <w:lang w:val="en-US"/>
        </w:rPr>
        <w:footnoteReference w:id="19"/>
      </w:r>
      <w:r w:rsidRPr="00705170">
        <w:rPr>
          <w:rFonts w:ascii="Times New Roman" w:hAnsi="Times New Roman" w:cs="Times New Roman"/>
          <w:lang w:val="en-US"/>
        </w:rPr>
        <w:t>.</w:t>
      </w:r>
      <w:r w:rsidR="0099423E" w:rsidRPr="00705170">
        <w:rPr>
          <w:rFonts w:ascii="Times New Roman" w:hAnsi="Times New Roman" w:cs="Times New Roman"/>
          <w:lang w:val="en-US"/>
        </w:rPr>
        <w:t xml:space="preserve">  </w:t>
      </w:r>
      <w:r w:rsidR="00C8522F" w:rsidRPr="00705170">
        <w:rPr>
          <w:rFonts w:ascii="Times New Roman" w:hAnsi="Times New Roman" w:cs="Times New Roman"/>
          <w:lang w:val="en-US"/>
        </w:rPr>
        <w:t>I</w:t>
      </w:r>
      <w:r w:rsidR="003E6CA7">
        <w:rPr>
          <w:rFonts w:ascii="Times New Roman" w:hAnsi="Times New Roman" w:cs="Times New Roman"/>
          <w:lang w:val="en-US"/>
        </w:rPr>
        <w:t>t is opined that</w:t>
      </w:r>
      <w:r w:rsidR="00C8522F" w:rsidRPr="00705170">
        <w:rPr>
          <w:rFonts w:ascii="Times New Roman" w:hAnsi="Times New Roman" w:cs="Times New Roman"/>
          <w:lang w:val="en-US"/>
        </w:rPr>
        <w:t xml:space="preserve"> the minority can use </w:t>
      </w:r>
      <w:r w:rsidR="003E6CA7">
        <w:rPr>
          <w:rFonts w:ascii="Times New Roman" w:hAnsi="Times New Roman" w:cs="Times New Roman"/>
          <w:lang w:val="en-US"/>
        </w:rPr>
        <w:t xml:space="preserve">the presence of </w:t>
      </w:r>
      <w:r w:rsidR="00F77F14">
        <w:rPr>
          <w:rFonts w:ascii="Times New Roman" w:hAnsi="Times New Roman" w:cs="Times New Roman"/>
          <w:lang w:val="en-US"/>
        </w:rPr>
        <w:t>involuntary (judicial) dissolution</w:t>
      </w:r>
      <w:r w:rsidR="003E6CA7">
        <w:rPr>
          <w:rFonts w:ascii="Times New Roman" w:hAnsi="Times New Roman" w:cs="Times New Roman"/>
          <w:lang w:val="en-US"/>
        </w:rPr>
        <w:t xml:space="preserve"> statutes </w:t>
      </w:r>
      <w:r w:rsidR="00C8522F" w:rsidRPr="00705170">
        <w:rPr>
          <w:rFonts w:ascii="Times New Roman" w:hAnsi="Times New Roman" w:cs="Times New Roman"/>
          <w:lang w:val="en-US"/>
        </w:rPr>
        <w:t>as a negotiati</w:t>
      </w:r>
      <w:r w:rsidR="000E7C6D">
        <w:rPr>
          <w:rFonts w:ascii="Times New Roman" w:hAnsi="Times New Roman" w:cs="Times New Roman"/>
          <w:lang w:val="en-US"/>
        </w:rPr>
        <w:t>on</w:t>
      </w:r>
      <w:r w:rsidR="00C8522F" w:rsidRPr="00705170">
        <w:rPr>
          <w:rFonts w:ascii="Times New Roman" w:hAnsi="Times New Roman" w:cs="Times New Roman"/>
          <w:lang w:val="en-US"/>
        </w:rPr>
        <w:t xml:space="preserve"> tool against the influencing shareholders in these situations</w:t>
      </w:r>
      <w:r w:rsidR="008E506F" w:rsidRPr="00705170">
        <w:rPr>
          <w:rStyle w:val="DipnotBavurusu"/>
          <w:rFonts w:ascii="Times New Roman" w:hAnsi="Times New Roman" w:cs="Times New Roman"/>
          <w:lang w:val="en-US"/>
        </w:rPr>
        <w:footnoteReference w:id="20"/>
      </w:r>
      <w:r w:rsidR="00C8522F" w:rsidRPr="00705170">
        <w:rPr>
          <w:rFonts w:ascii="Times New Roman" w:hAnsi="Times New Roman" w:cs="Times New Roman"/>
          <w:lang w:val="en-US"/>
        </w:rPr>
        <w:t>, thus discourage extreme forms of abuse ex ante</w:t>
      </w:r>
      <w:r w:rsidR="00C8522F" w:rsidRPr="00705170">
        <w:rPr>
          <w:rStyle w:val="DipnotBavurusu"/>
          <w:rFonts w:ascii="Times New Roman" w:hAnsi="Times New Roman" w:cs="Times New Roman"/>
          <w:lang w:val="en-US"/>
        </w:rPr>
        <w:footnoteReference w:id="21"/>
      </w:r>
      <w:r w:rsidR="00C8522F" w:rsidRPr="00705170">
        <w:rPr>
          <w:rFonts w:ascii="Times New Roman" w:hAnsi="Times New Roman" w:cs="Times New Roman"/>
          <w:lang w:val="en-US"/>
        </w:rPr>
        <w:t>.</w:t>
      </w:r>
    </w:p>
    <w:p w14:paraId="2261CEB9" w14:textId="7CD1787C" w:rsidR="00DB254D" w:rsidRPr="00705170" w:rsidRDefault="00DB254D" w:rsidP="00B36681">
      <w:pPr>
        <w:spacing w:after="240" w:line="480" w:lineRule="auto"/>
        <w:ind w:firstLine="720"/>
        <w:jc w:val="both"/>
        <w:rPr>
          <w:rFonts w:ascii="Times New Roman" w:hAnsi="Times New Roman" w:cs="Times New Roman"/>
          <w:lang w:val="en-US"/>
        </w:rPr>
      </w:pPr>
      <w:r w:rsidRPr="00705170">
        <w:rPr>
          <w:rFonts w:ascii="Times New Roman" w:hAnsi="Times New Roman" w:cs="Times New Roman"/>
          <w:lang w:val="en-US"/>
        </w:rPr>
        <w:lastRenderedPageBreak/>
        <w:t xml:space="preserve">Accordingly, this study’s aim is twofold. First, it seeks to show that </w:t>
      </w:r>
      <w:r w:rsidR="003E6CA7">
        <w:rPr>
          <w:rFonts w:ascii="Times New Roman" w:hAnsi="Times New Roman" w:cs="Times New Roman"/>
          <w:lang w:val="en-US"/>
        </w:rPr>
        <w:t>a</w:t>
      </w:r>
      <w:r w:rsidRPr="00705170">
        <w:rPr>
          <w:rFonts w:ascii="Times New Roman" w:hAnsi="Times New Roman" w:cs="Times New Roman"/>
          <w:lang w:val="en-US"/>
        </w:rPr>
        <w:t xml:space="preserve"> “transaction- based” legal structure, which is useful for targeting extraction of “pecuniary private benefits”, is not adequate for controlling the influencing shareholders’ appropriation of non- pecuniary private benefits, hence falls short of providing any justification and compensation for the minority shareholders. </w:t>
      </w:r>
      <w:r w:rsidR="00C44D78" w:rsidRPr="00705170">
        <w:rPr>
          <w:rFonts w:ascii="Times New Roman" w:hAnsi="Times New Roman" w:cs="Times New Roman"/>
          <w:lang w:val="en-US"/>
        </w:rPr>
        <w:t>Secondly, this study</w:t>
      </w:r>
      <w:r w:rsidR="00CD0A6B" w:rsidRPr="00705170">
        <w:rPr>
          <w:rFonts w:ascii="Times New Roman" w:hAnsi="Times New Roman" w:cs="Times New Roman"/>
          <w:lang w:val="en-US"/>
        </w:rPr>
        <w:t xml:space="preserve"> expresses that </w:t>
      </w:r>
      <w:r w:rsidR="0039118A" w:rsidRPr="00705170">
        <w:rPr>
          <w:rFonts w:ascii="Times New Roman" w:hAnsi="Times New Roman" w:cs="Times New Roman"/>
          <w:lang w:val="en-US"/>
        </w:rPr>
        <w:t>integrating the</w:t>
      </w:r>
      <w:r w:rsidR="00842914" w:rsidRPr="00705170">
        <w:rPr>
          <w:rFonts w:ascii="Times New Roman" w:hAnsi="Times New Roman" w:cs="Times New Roman"/>
          <w:lang w:val="en-US"/>
        </w:rPr>
        <w:t xml:space="preserve"> issue of</w:t>
      </w:r>
      <w:r w:rsidR="0039118A" w:rsidRPr="00705170">
        <w:rPr>
          <w:rFonts w:ascii="Times New Roman" w:hAnsi="Times New Roman" w:cs="Times New Roman"/>
          <w:lang w:val="en-US"/>
        </w:rPr>
        <w:t xml:space="preserve"> detrimental non- pecuniary private benefit extractions with the </w:t>
      </w:r>
      <w:r w:rsidR="00C44D78" w:rsidRPr="00705170">
        <w:rPr>
          <w:rFonts w:ascii="Times New Roman" w:hAnsi="Times New Roman" w:cs="Times New Roman"/>
          <w:lang w:val="en-US"/>
        </w:rPr>
        <w:t>“involuntary dissolution”</w:t>
      </w:r>
      <w:r w:rsidR="0039118A" w:rsidRPr="00705170">
        <w:rPr>
          <w:rFonts w:ascii="Times New Roman" w:hAnsi="Times New Roman" w:cs="Times New Roman"/>
          <w:lang w:val="en-US"/>
        </w:rPr>
        <w:t xml:space="preserve"> </w:t>
      </w:r>
      <w:r w:rsidR="008B5F5D" w:rsidRPr="00705170">
        <w:rPr>
          <w:rFonts w:ascii="Times New Roman" w:hAnsi="Times New Roman" w:cs="Times New Roman"/>
          <w:lang w:val="en-US"/>
        </w:rPr>
        <w:t xml:space="preserve">(i.e., judicial dissolution) </w:t>
      </w:r>
      <w:r w:rsidR="0039118A" w:rsidRPr="00705170">
        <w:rPr>
          <w:rFonts w:ascii="Times New Roman" w:hAnsi="Times New Roman" w:cs="Times New Roman"/>
          <w:lang w:val="en-US"/>
        </w:rPr>
        <w:t>action</w:t>
      </w:r>
      <w:r w:rsidR="0039118A" w:rsidRPr="00705170">
        <w:rPr>
          <w:rStyle w:val="DipnotBavurusu"/>
          <w:rFonts w:ascii="Times New Roman" w:hAnsi="Times New Roman" w:cs="Times New Roman"/>
          <w:lang w:val="en-US"/>
        </w:rPr>
        <w:footnoteReference w:id="22"/>
      </w:r>
      <w:r w:rsidR="0039118A" w:rsidRPr="00705170">
        <w:rPr>
          <w:rFonts w:ascii="Times New Roman" w:hAnsi="Times New Roman" w:cs="Times New Roman"/>
          <w:lang w:val="en-US"/>
        </w:rPr>
        <w:t xml:space="preserve"> will provide a </w:t>
      </w:r>
      <w:r w:rsidR="00C44D78" w:rsidRPr="00705170">
        <w:rPr>
          <w:rFonts w:ascii="Times New Roman" w:hAnsi="Times New Roman" w:cs="Times New Roman"/>
          <w:lang w:val="en-US"/>
        </w:rPr>
        <w:t xml:space="preserve">convenient </w:t>
      </w:r>
      <w:r w:rsidR="0039118A" w:rsidRPr="00705170">
        <w:rPr>
          <w:rFonts w:ascii="Times New Roman" w:hAnsi="Times New Roman" w:cs="Times New Roman"/>
          <w:lang w:val="en-US"/>
        </w:rPr>
        <w:t>protection for the minority shareholders</w:t>
      </w:r>
      <w:r w:rsidR="00C8522F" w:rsidRPr="00705170">
        <w:rPr>
          <w:rStyle w:val="DipnotBavurusu"/>
          <w:rFonts w:ascii="Times New Roman" w:hAnsi="Times New Roman" w:cs="Times New Roman"/>
          <w:lang w:val="en-US"/>
        </w:rPr>
        <w:footnoteReference w:id="23"/>
      </w:r>
      <w:r w:rsidR="0039118A" w:rsidRPr="00705170">
        <w:rPr>
          <w:rFonts w:ascii="Times New Roman" w:hAnsi="Times New Roman" w:cs="Times New Roman"/>
          <w:lang w:val="en-US"/>
        </w:rPr>
        <w:t>.</w:t>
      </w:r>
      <w:r w:rsidR="00B36681" w:rsidRPr="00705170">
        <w:rPr>
          <w:rFonts w:ascii="Times New Roman" w:hAnsi="Times New Roman" w:cs="Times New Roman"/>
          <w:lang w:val="en-US"/>
        </w:rPr>
        <w:t xml:space="preserve"> Thus, </w:t>
      </w:r>
      <w:r w:rsidRPr="00705170">
        <w:rPr>
          <w:rFonts w:ascii="Times New Roman" w:hAnsi="Times New Roman" w:cs="Times New Roman"/>
          <w:lang w:val="en-US"/>
        </w:rPr>
        <w:t xml:space="preserve">to control </w:t>
      </w:r>
      <w:r w:rsidR="00B36681" w:rsidRPr="00705170">
        <w:rPr>
          <w:rFonts w:ascii="Times New Roman" w:hAnsi="Times New Roman" w:cs="Times New Roman"/>
          <w:lang w:val="en-US"/>
        </w:rPr>
        <w:t>this oppressive conduct</w:t>
      </w:r>
      <w:r w:rsidRPr="00705170">
        <w:rPr>
          <w:rFonts w:ascii="Times New Roman" w:hAnsi="Times New Roman" w:cs="Times New Roman"/>
          <w:lang w:val="en-US"/>
        </w:rPr>
        <w:t xml:space="preserve">, this study proposes the use of the </w:t>
      </w:r>
      <w:r w:rsidR="003B1F25" w:rsidRPr="00705170">
        <w:rPr>
          <w:rFonts w:ascii="Times New Roman" w:hAnsi="Times New Roman" w:cs="Times New Roman"/>
          <w:lang w:val="en-US"/>
        </w:rPr>
        <w:t>statutory “involuntary</w:t>
      </w:r>
      <w:r w:rsidRPr="00705170">
        <w:rPr>
          <w:rFonts w:ascii="Times New Roman" w:hAnsi="Times New Roman" w:cs="Times New Roman"/>
          <w:lang w:val="en-US"/>
        </w:rPr>
        <w:t xml:space="preserve"> dissolution action</w:t>
      </w:r>
      <w:r w:rsidR="003E6CA7">
        <w:rPr>
          <w:rFonts w:ascii="Times New Roman" w:hAnsi="Times New Roman" w:cs="Times New Roman"/>
          <w:lang w:val="en-US"/>
        </w:rPr>
        <w:t>”</w:t>
      </w:r>
      <w:r w:rsidRPr="00705170">
        <w:rPr>
          <w:rFonts w:ascii="Times New Roman" w:hAnsi="Times New Roman" w:cs="Times New Roman"/>
          <w:lang w:val="en-US"/>
        </w:rPr>
        <w:t xml:space="preserve"> </w:t>
      </w:r>
      <w:r w:rsidR="003E6CA7">
        <w:rPr>
          <w:rFonts w:ascii="Times New Roman" w:hAnsi="Times New Roman" w:cs="Times New Roman"/>
          <w:lang w:val="en-US"/>
        </w:rPr>
        <w:t>and</w:t>
      </w:r>
      <w:r w:rsidRPr="00705170">
        <w:rPr>
          <w:rFonts w:ascii="Times New Roman" w:hAnsi="Times New Roman" w:cs="Times New Roman"/>
          <w:lang w:val="en-US"/>
        </w:rPr>
        <w:t xml:space="preserve"> the “reasonable expectations” standard for the assessment of the “</w:t>
      </w:r>
      <w:r w:rsidR="003E6CA7">
        <w:rPr>
          <w:rFonts w:ascii="Times New Roman" w:hAnsi="Times New Roman" w:cs="Times New Roman"/>
          <w:lang w:val="en-US"/>
        </w:rPr>
        <w:t>oppression</w:t>
      </w:r>
      <w:r w:rsidRPr="00705170">
        <w:rPr>
          <w:rFonts w:ascii="Times New Roman" w:hAnsi="Times New Roman" w:cs="Times New Roman"/>
          <w:lang w:val="en-US"/>
        </w:rPr>
        <w:t>”</w:t>
      </w:r>
      <w:r w:rsidR="00C72E2D" w:rsidRPr="00705170">
        <w:rPr>
          <w:rFonts w:ascii="Times New Roman" w:hAnsi="Times New Roman" w:cs="Times New Roman"/>
          <w:lang w:val="en-US"/>
        </w:rPr>
        <w:t xml:space="preserve"> ground</w:t>
      </w:r>
      <w:r w:rsidRPr="00705170">
        <w:rPr>
          <w:rFonts w:ascii="Times New Roman" w:hAnsi="Times New Roman" w:cs="Times New Roman"/>
          <w:lang w:val="en-US"/>
        </w:rPr>
        <w:t xml:space="preserve">, and </w:t>
      </w:r>
      <w:r w:rsidR="005A727E">
        <w:rPr>
          <w:rFonts w:ascii="Times New Roman" w:hAnsi="Times New Roman" w:cs="Times New Roman"/>
          <w:lang w:val="en-US"/>
        </w:rPr>
        <w:t>c</w:t>
      </w:r>
      <w:r w:rsidRPr="00705170">
        <w:rPr>
          <w:rFonts w:ascii="Times New Roman" w:hAnsi="Times New Roman" w:cs="Times New Roman"/>
          <w:lang w:val="en-US"/>
        </w:rPr>
        <w:t>ourts’ discretion to order influencing shareholders pay compensatory damages pro rata to the minority shareholders as remedy</w:t>
      </w:r>
      <w:r w:rsidR="003B1F25" w:rsidRPr="00705170">
        <w:rPr>
          <w:rStyle w:val="DipnotBavurusu"/>
          <w:rFonts w:ascii="Times New Roman" w:hAnsi="Times New Roman" w:cs="Times New Roman"/>
          <w:lang w:val="en-US"/>
        </w:rPr>
        <w:footnoteReference w:id="24"/>
      </w:r>
      <w:r w:rsidRPr="00705170">
        <w:rPr>
          <w:rFonts w:ascii="Times New Roman" w:hAnsi="Times New Roman" w:cs="Times New Roman"/>
          <w:lang w:val="en-US"/>
        </w:rPr>
        <w:t xml:space="preserve">. Herein, to </w:t>
      </w:r>
      <w:r w:rsidR="005A5165" w:rsidRPr="00705170">
        <w:rPr>
          <w:rFonts w:ascii="Times New Roman" w:hAnsi="Times New Roman" w:cs="Times New Roman"/>
          <w:lang w:val="en-US"/>
        </w:rPr>
        <w:t>carve out the solution from the dissolution</w:t>
      </w:r>
      <w:r w:rsidRPr="00705170">
        <w:rPr>
          <w:rFonts w:ascii="Times New Roman" w:hAnsi="Times New Roman" w:cs="Times New Roman"/>
          <w:lang w:val="en-US"/>
        </w:rPr>
        <w:t xml:space="preserve"> “judicial wild card”</w:t>
      </w:r>
      <w:r w:rsidRPr="00705170">
        <w:rPr>
          <w:rStyle w:val="DipnotBavurusu"/>
          <w:rFonts w:ascii="Times New Roman" w:hAnsi="Times New Roman" w:cs="Times New Roman"/>
          <w:lang w:val="en-US"/>
        </w:rPr>
        <w:footnoteReference w:id="25"/>
      </w:r>
      <w:r w:rsidRPr="00705170">
        <w:rPr>
          <w:rFonts w:ascii="Times New Roman" w:hAnsi="Times New Roman" w:cs="Times New Roman"/>
          <w:lang w:val="en-US"/>
        </w:rPr>
        <w:t xml:space="preserve">, this study proposes </w:t>
      </w:r>
      <w:r w:rsidR="00540CFC" w:rsidRPr="00705170">
        <w:rPr>
          <w:rFonts w:ascii="Times New Roman" w:hAnsi="Times New Roman" w:cs="Times New Roman"/>
          <w:lang w:val="en-US"/>
        </w:rPr>
        <w:t>to use the U.S. corporate law’s</w:t>
      </w:r>
      <w:r w:rsidRPr="00705170">
        <w:rPr>
          <w:rStyle w:val="DipnotBavurusu"/>
          <w:rFonts w:ascii="Times New Roman" w:hAnsi="Times New Roman" w:cs="Times New Roman"/>
          <w:lang w:val="en-US"/>
        </w:rPr>
        <w:footnoteReference w:id="26"/>
      </w:r>
      <w:r w:rsidRPr="00705170">
        <w:rPr>
          <w:rFonts w:ascii="Times New Roman" w:hAnsi="Times New Roman" w:cs="Times New Roman"/>
          <w:lang w:val="en-US"/>
        </w:rPr>
        <w:t xml:space="preserve"> conception of the “reasonable </w:t>
      </w:r>
      <w:r w:rsidRPr="00705170">
        <w:rPr>
          <w:rFonts w:ascii="Times New Roman" w:hAnsi="Times New Roman" w:cs="Times New Roman"/>
          <w:lang w:val="en-US"/>
        </w:rPr>
        <w:lastRenderedPageBreak/>
        <w:t xml:space="preserve">expectations” standard, which is the most widely accepted standard to measure </w:t>
      </w:r>
      <w:r w:rsidR="003B1F25" w:rsidRPr="00705170">
        <w:rPr>
          <w:rFonts w:ascii="Times New Roman" w:hAnsi="Times New Roman" w:cs="Times New Roman"/>
          <w:lang w:val="en-US"/>
        </w:rPr>
        <w:t xml:space="preserve">the </w:t>
      </w:r>
      <w:r w:rsidRPr="00705170">
        <w:rPr>
          <w:rFonts w:ascii="Times New Roman" w:hAnsi="Times New Roman" w:cs="Times New Roman"/>
          <w:lang w:val="en-US"/>
        </w:rPr>
        <w:t>“oppression” by shareholders that provide a statutory grou</w:t>
      </w:r>
      <w:r w:rsidR="008B5F5D" w:rsidRPr="00705170">
        <w:rPr>
          <w:rFonts w:ascii="Times New Roman" w:hAnsi="Times New Roman" w:cs="Times New Roman"/>
          <w:lang w:val="en-US"/>
        </w:rPr>
        <w:t>nd for involuntary dissolution (or alternative</w:t>
      </w:r>
      <w:r w:rsidR="00D20A19" w:rsidRPr="00705170">
        <w:rPr>
          <w:rFonts w:ascii="Times New Roman" w:hAnsi="Times New Roman" w:cs="Times New Roman"/>
          <w:lang w:val="en-US"/>
        </w:rPr>
        <w:t xml:space="preserve"> reliefs</w:t>
      </w:r>
      <w:r w:rsidR="008B5F5D" w:rsidRPr="00705170">
        <w:rPr>
          <w:rFonts w:ascii="Times New Roman" w:hAnsi="Times New Roman" w:cs="Times New Roman"/>
          <w:lang w:val="en-US"/>
        </w:rPr>
        <w:t>)</w:t>
      </w:r>
      <w:r w:rsidR="00D20A19" w:rsidRPr="00705170">
        <w:rPr>
          <w:rFonts w:ascii="Times New Roman" w:hAnsi="Times New Roman" w:cs="Times New Roman"/>
          <w:lang w:val="en-US"/>
        </w:rPr>
        <w:t xml:space="preserve"> </w:t>
      </w:r>
      <w:r w:rsidRPr="00705170">
        <w:rPr>
          <w:rFonts w:ascii="Times New Roman" w:hAnsi="Times New Roman" w:cs="Times New Roman"/>
          <w:lang w:val="en-US"/>
        </w:rPr>
        <w:t>of the corporation in</w:t>
      </w:r>
      <w:r w:rsidR="00B36681" w:rsidRPr="00705170">
        <w:rPr>
          <w:rFonts w:ascii="Times New Roman" w:hAnsi="Times New Roman" w:cs="Times New Roman"/>
          <w:lang w:val="en-US"/>
        </w:rPr>
        <w:t xml:space="preserve"> the</w:t>
      </w:r>
      <w:r w:rsidRPr="00705170">
        <w:rPr>
          <w:rFonts w:ascii="Times New Roman" w:hAnsi="Times New Roman" w:cs="Times New Roman"/>
          <w:lang w:val="en-US"/>
        </w:rPr>
        <w:t xml:space="preserve"> U.S.</w:t>
      </w:r>
      <w:r w:rsidRPr="00705170">
        <w:rPr>
          <w:rStyle w:val="DipnotBavurusu"/>
          <w:rFonts w:ascii="Times New Roman" w:hAnsi="Times New Roman" w:cs="Times New Roman"/>
          <w:lang w:val="en-US"/>
        </w:rPr>
        <w:footnoteReference w:id="27"/>
      </w:r>
      <w:r w:rsidR="005F2CCF" w:rsidRPr="00705170">
        <w:rPr>
          <w:rFonts w:ascii="Times New Roman" w:hAnsi="Times New Roman" w:cs="Times New Roman"/>
          <w:lang w:val="en-US"/>
        </w:rPr>
        <w:t>.</w:t>
      </w:r>
      <w:r w:rsidR="005A727E">
        <w:rPr>
          <w:rFonts w:ascii="Times New Roman" w:hAnsi="Times New Roman" w:cs="Times New Roman"/>
          <w:lang w:val="en-US"/>
        </w:rPr>
        <w:t xml:space="preserve"> On the other hand, it exemplifies the problems about transaction- based systems through Turkish law, where judicial dissolution statute is</w:t>
      </w:r>
      <w:r w:rsidR="00F77F14">
        <w:rPr>
          <w:rFonts w:ascii="Times New Roman" w:hAnsi="Times New Roman" w:cs="Times New Roman"/>
          <w:lang w:val="en-US"/>
        </w:rPr>
        <w:t xml:space="preserve"> </w:t>
      </w:r>
      <w:r w:rsidR="005A727E">
        <w:rPr>
          <w:rFonts w:ascii="Times New Roman" w:hAnsi="Times New Roman" w:cs="Times New Roman"/>
          <w:lang w:val="en-US"/>
        </w:rPr>
        <w:t>available to be</w:t>
      </w:r>
      <w:r w:rsidR="00F77F14">
        <w:rPr>
          <w:rFonts w:ascii="Times New Roman" w:hAnsi="Times New Roman" w:cs="Times New Roman"/>
          <w:lang w:val="en-US"/>
        </w:rPr>
        <w:t xml:space="preserve"> widely interpreted and</w:t>
      </w:r>
      <w:r w:rsidR="005A727E">
        <w:rPr>
          <w:rFonts w:ascii="Times New Roman" w:hAnsi="Times New Roman" w:cs="Times New Roman"/>
          <w:lang w:val="en-US"/>
        </w:rPr>
        <w:t xml:space="preserve"> applied in the context of publicly traded corporations. </w:t>
      </w:r>
    </w:p>
    <w:p w14:paraId="071ED2B8" w14:textId="2AAAA127" w:rsidR="00DB254D" w:rsidRPr="00705170" w:rsidRDefault="003B3CE3" w:rsidP="003B3CE3">
      <w:pPr>
        <w:pStyle w:val="ListeParagraf"/>
        <w:numPr>
          <w:ilvl w:val="1"/>
          <w:numId w:val="4"/>
        </w:numPr>
        <w:tabs>
          <w:tab w:val="left" w:pos="2025"/>
        </w:tabs>
        <w:spacing w:line="480" w:lineRule="auto"/>
        <w:rPr>
          <w:rFonts w:ascii="Times New Roman" w:hAnsi="Times New Roman" w:cs="Times New Roman"/>
          <w:b/>
          <w:lang w:val="en-US"/>
        </w:rPr>
      </w:pPr>
      <w:r w:rsidRPr="00705170">
        <w:rPr>
          <w:rFonts w:ascii="Times New Roman" w:hAnsi="Times New Roman" w:cs="Times New Roman"/>
          <w:b/>
          <w:lang w:val="en-US"/>
        </w:rPr>
        <w:t xml:space="preserve"> Importance and Beyond</w:t>
      </w:r>
    </w:p>
    <w:p w14:paraId="213F97AC" w14:textId="66DC983B" w:rsidR="002B5F67" w:rsidRPr="00705170" w:rsidRDefault="00387A45" w:rsidP="00120806">
      <w:pPr>
        <w:spacing w:after="240" w:line="480" w:lineRule="auto"/>
        <w:ind w:firstLine="720"/>
        <w:jc w:val="both"/>
        <w:rPr>
          <w:rFonts w:ascii="Times New Roman" w:hAnsi="Times New Roman" w:cs="Times New Roman"/>
          <w:lang w:val="en-US"/>
        </w:rPr>
      </w:pPr>
      <w:r w:rsidRPr="00705170">
        <w:rPr>
          <w:rFonts w:ascii="Times New Roman" w:hAnsi="Times New Roman" w:cs="Times New Roman"/>
          <w:lang w:val="en-US"/>
        </w:rPr>
        <w:t xml:space="preserve">Restraining shareholder rent- seeking is one of the key challenges </w:t>
      </w:r>
      <w:r w:rsidR="007901B2">
        <w:rPr>
          <w:rFonts w:ascii="Times New Roman" w:hAnsi="Times New Roman" w:cs="Times New Roman"/>
          <w:lang w:val="en-US"/>
        </w:rPr>
        <w:t xml:space="preserve">about the </w:t>
      </w:r>
      <w:r w:rsidRPr="00705170">
        <w:rPr>
          <w:rFonts w:ascii="Times New Roman" w:hAnsi="Times New Roman" w:cs="Times New Roman"/>
          <w:lang w:val="en-US"/>
        </w:rPr>
        <w:t>regulation of corporations</w:t>
      </w:r>
      <w:r w:rsidR="00C07C0B" w:rsidRPr="00705170">
        <w:rPr>
          <w:rFonts w:ascii="Times New Roman" w:hAnsi="Times New Roman" w:cs="Times New Roman"/>
          <w:lang w:val="en-US"/>
        </w:rPr>
        <w:t>, thus is not something new</w:t>
      </w:r>
      <w:r w:rsidR="00C07C0B" w:rsidRPr="00705170">
        <w:rPr>
          <w:rStyle w:val="DipnotBavurusu"/>
          <w:rFonts w:ascii="Times New Roman" w:hAnsi="Times New Roman" w:cs="Times New Roman"/>
          <w:lang w:val="en-US"/>
        </w:rPr>
        <w:footnoteReference w:id="28"/>
      </w:r>
      <w:r w:rsidR="00C07C0B" w:rsidRPr="00705170">
        <w:rPr>
          <w:rFonts w:ascii="Times New Roman" w:hAnsi="Times New Roman" w:cs="Times New Roman"/>
          <w:lang w:val="en-US"/>
        </w:rPr>
        <w:t>. However, the background leading to this concern finds its roots in economics</w:t>
      </w:r>
      <w:r w:rsidR="0039414A" w:rsidRPr="00705170">
        <w:rPr>
          <w:rFonts w:ascii="Times New Roman" w:hAnsi="Times New Roman" w:cs="Times New Roman"/>
          <w:lang w:val="en-US"/>
        </w:rPr>
        <w:t xml:space="preserve"> rather than law</w:t>
      </w:r>
      <w:r w:rsidR="00C07C0B" w:rsidRPr="00705170">
        <w:rPr>
          <w:rFonts w:ascii="Times New Roman" w:hAnsi="Times New Roman" w:cs="Times New Roman"/>
          <w:lang w:val="en-US"/>
        </w:rPr>
        <w:t xml:space="preserve">. </w:t>
      </w:r>
      <w:r w:rsidR="00C56F5E" w:rsidRPr="00705170">
        <w:rPr>
          <w:rFonts w:ascii="Times New Roman" w:hAnsi="Times New Roman" w:cs="Times New Roman"/>
          <w:lang w:val="en-US"/>
        </w:rPr>
        <w:t>Today, one of the most important priorities of societies is to grow economically, and f</w:t>
      </w:r>
      <w:r w:rsidR="00A72676" w:rsidRPr="00705170">
        <w:rPr>
          <w:rFonts w:ascii="Times New Roman" w:hAnsi="Times New Roman" w:cs="Times New Roman"/>
          <w:lang w:val="en-US"/>
        </w:rPr>
        <w:t>ostering corporations is seen</w:t>
      </w:r>
      <w:r w:rsidR="00C56F5E" w:rsidRPr="00705170">
        <w:rPr>
          <w:rFonts w:ascii="Times New Roman" w:hAnsi="Times New Roman" w:cs="Times New Roman"/>
          <w:lang w:val="en-US"/>
        </w:rPr>
        <w:t xml:space="preserve"> the key to this goal</w:t>
      </w:r>
      <w:r w:rsidR="00C56F5E" w:rsidRPr="00705170">
        <w:rPr>
          <w:rStyle w:val="DipnotBavurusu"/>
          <w:rFonts w:ascii="Times New Roman" w:hAnsi="Times New Roman" w:cs="Times New Roman"/>
          <w:lang w:val="en-US"/>
        </w:rPr>
        <w:footnoteReference w:id="29"/>
      </w:r>
      <w:r w:rsidR="00C56F5E" w:rsidRPr="00705170">
        <w:rPr>
          <w:rFonts w:ascii="Times New Roman" w:hAnsi="Times New Roman" w:cs="Times New Roman"/>
          <w:lang w:val="en-US"/>
        </w:rPr>
        <w:t xml:space="preserve">. In fact, being equipped better in mobilizing and accumulating capital is an important historical determinant that determined </w:t>
      </w:r>
      <w:r w:rsidR="00C56F5E" w:rsidRPr="00705170">
        <w:rPr>
          <w:rFonts w:ascii="Times New Roman" w:hAnsi="Times New Roman" w:cs="Times New Roman"/>
          <w:lang w:val="en-US"/>
        </w:rPr>
        <w:lastRenderedPageBreak/>
        <w:t>the development difference present between civilizations</w:t>
      </w:r>
      <w:r w:rsidR="00C56F5E" w:rsidRPr="00705170">
        <w:rPr>
          <w:rStyle w:val="DipnotBavurusu"/>
          <w:rFonts w:ascii="Times New Roman" w:hAnsi="Times New Roman" w:cs="Times New Roman"/>
          <w:lang w:val="en-US"/>
        </w:rPr>
        <w:footnoteReference w:id="30"/>
      </w:r>
      <w:r w:rsidR="00C56F5E" w:rsidRPr="00705170">
        <w:rPr>
          <w:rFonts w:ascii="Times New Roman" w:hAnsi="Times New Roman" w:cs="Times New Roman"/>
          <w:lang w:val="en-US"/>
        </w:rPr>
        <w:t xml:space="preserve">. Therefore, states are taking various measures to promote the corporate form and </w:t>
      </w:r>
      <w:r w:rsidR="007901B2">
        <w:rPr>
          <w:rFonts w:ascii="Times New Roman" w:hAnsi="Times New Roman" w:cs="Times New Roman"/>
          <w:lang w:val="en-US"/>
        </w:rPr>
        <w:t>support</w:t>
      </w:r>
      <w:r w:rsidR="007901B2" w:rsidRPr="00705170">
        <w:rPr>
          <w:rFonts w:ascii="Times New Roman" w:hAnsi="Times New Roman" w:cs="Times New Roman"/>
          <w:lang w:val="en-US"/>
        </w:rPr>
        <w:t xml:space="preserve"> </w:t>
      </w:r>
      <w:r w:rsidR="00C56F5E" w:rsidRPr="00705170">
        <w:rPr>
          <w:rFonts w:ascii="Times New Roman" w:hAnsi="Times New Roman" w:cs="Times New Roman"/>
          <w:lang w:val="en-US"/>
        </w:rPr>
        <w:t>its development</w:t>
      </w:r>
      <w:r w:rsidR="00C56F5E" w:rsidRPr="00705170">
        <w:rPr>
          <w:rStyle w:val="DipnotBavurusu"/>
          <w:rFonts w:ascii="Times New Roman" w:hAnsi="Times New Roman" w:cs="Times New Roman"/>
          <w:lang w:val="en-US"/>
        </w:rPr>
        <w:footnoteReference w:id="31"/>
      </w:r>
      <w:r w:rsidR="00C56F5E" w:rsidRPr="00705170">
        <w:rPr>
          <w:rFonts w:ascii="Times New Roman" w:hAnsi="Times New Roman" w:cs="Times New Roman"/>
          <w:lang w:val="en-US"/>
        </w:rPr>
        <w:t xml:space="preserve">. </w:t>
      </w:r>
    </w:p>
    <w:p w14:paraId="2B2B85E8" w14:textId="2FA334D7" w:rsidR="00120806" w:rsidRPr="00705170" w:rsidRDefault="00120806" w:rsidP="00120806">
      <w:pPr>
        <w:spacing w:after="240" w:line="480" w:lineRule="auto"/>
        <w:ind w:firstLine="720"/>
        <w:jc w:val="both"/>
        <w:rPr>
          <w:rFonts w:ascii="Times New Roman" w:hAnsi="Times New Roman" w:cs="Times New Roman"/>
          <w:lang w:val="en-US"/>
        </w:rPr>
      </w:pPr>
      <w:r w:rsidRPr="00705170">
        <w:rPr>
          <w:rFonts w:ascii="Times New Roman" w:hAnsi="Times New Roman" w:cs="Times New Roman"/>
          <w:lang w:val="en-US"/>
        </w:rPr>
        <w:t>Contemporary</w:t>
      </w:r>
      <w:r w:rsidR="002B5F67" w:rsidRPr="00705170">
        <w:rPr>
          <w:rFonts w:ascii="Times New Roman" w:hAnsi="Times New Roman" w:cs="Times New Roman"/>
          <w:lang w:val="en-US"/>
        </w:rPr>
        <w:t xml:space="preserve"> state policies largely reflect</w:t>
      </w:r>
      <w:r w:rsidRPr="00705170">
        <w:rPr>
          <w:rFonts w:ascii="Times New Roman" w:hAnsi="Times New Roman" w:cs="Times New Roman"/>
          <w:lang w:val="en-US"/>
        </w:rPr>
        <w:t xml:space="preserve"> efforts to generate economic growth</w:t>
      </w:r>
      <w:r w:rsidR="009F7E9F" w:rsidRPr="00705170">
        <w:rPr>
          <w:rFonts w:ascii="Times New Roman" w:hAnsi="Times New Roman" w:cs="Times New Roman"/>
          <w:lang w:val="en-US"/>
        </w:rPr>
        <w:t xml:space="preserve">; they </w:t>
      </w:r>
      <w:r w:rsidRPr="00705170">
        <w:rPr>
          <w:rFonts w:ascii="Times New Roman" w:hAnsi="Times New Roman" w:cs="Times New Roman"/>
          <w:lang w:val="en-US"/>
        </w:rPr>
        <w:t>search for new market instruments to link corporations with investors, and use means of the modern technology for the realization of economic targets. These efforts are, by their nature, causing publicly traded corporations’ existence and prosperity. Correspondingly, publicly traded corporations’ wealth is a matter of public concern, as they are socioeconomic organizations comprising of a wide group of constituents (not only investors, but also managers, employees, suppliers, creditors, communities</w:t>
      </w:r>
      <w:r w:rsidR="007901B2">
        <w:rPr>
          <w:rFonts w:ascii="Times New Roman" w:hAnsi="Times New Roman" w:cs="Times New Roman"/>
          <w:lang w:val="en-US"/>
        </w:rPr>
        <w:t>,</w:t>
      </w:r>
      <w:r w:rsidRPr="00705170">
        <w:rPr>
          <w:rFonts w:ascii="Times New Roman" w:hAnsi="Times New Roman" w:cs="Times New Roman"/>
          <w:lang w:val="en-US"/>
        </w:rPr>
        <w:t xml:space="preserve"> and States) and thus, their wealth is directly related with the wealth of the </w:t>
      </w:r>
      <w:r w:rsidR="007901B2">
        <w:rPr>
          <w:rFonts w:ascii="Times New Roman" w:hAnsi="Times New Roman" w:cs="Times New Roman"/>
          <w:lang w:val="en-US"/>
        </w:rPr>
        <w:t xml:space="preserve">related </w:t>
      </w:r>
      <w:r w:rsidRPr="00705170">
        <w:rPr>
          <w:rFonts w:ascii="Times New Roman" w:hAnsi="Times New Roman" w:cs="Times New Roman"/>
          <w:lang w:val="en-US"/>
        </w:rPr>
        <w:t>society</w:t>
      </w:r>
      <w:r w:rsidRPr="00705170">
        <w:rPr>
          <w:rStyle w:val="DipnotBavurusu"/>
          <w:rFonts w:ascii="Times New Roman" w:hAnsi="Times New Roman" w:cs="Times New Roman"/>
          <w:lang w:val="en-US"/>
        </w:rPr>
        <w:footnoteReference w:id="32"/>
      </w:r>
      <w:r w:rsidRPr="00705170">
        <w:rPr>
          <w:rFonts w:ascii="Times New Roman" w:hAnsi="Times New Roman" w:cs="Times New Roman"/>
          <w:lang w:val="en-US"/>
        </w:rPr>
        <w:t>. Therefore, by a little exaggeration, they can even be called as “quasi-public” enterprises, “private entities with public impact”</w:t>
      </w:r>
      <w:r w:rsidRPr="00705170">
        <w:rPr>
          <w:rStyle w:val="DipnotBavurusu"/>
          <w:rFonts w:ascii="Times New Roman" w:hAnsi="Times New Roman" w:cs="Times New Roman"/>
          <w:lang w:val="en-US"/>
        </w:rPr>
        <w:footnoteReference w:id="33"/>
      </w:r>
      <w:r w:rsidRPr="00705170">
        <w:rPr>
          <w:rFonts w:ascii="Times New Roman" w:hAnsi="Times New Roman" w:cs="Times New Roman"/>
          <w:lang w:val="en-US"/>
        </w:rPr>
        <w:t xml:space="preserve"> or “too-big-to-fail-enterprises”</w:t>
      </w:r>
      <w:r w:rsidRPr="00705170">
        <w:rPr>
          <w:rStyle w:val="DipnotBavurusu"/>
          <w:rFonts w:ascii="Times New Roman" w:hAnsi="Times New Roman" w:cs="Times New Roman"/>
          <w:lang w:val="en-US"/>
        </w:rPr>
        <w:footnoteReference w:id="34"/>
      </w:r>
      <w:r w:rsidRPr="00705170">
        <w:rPr>
          <w:rFonts w:ascii="Times New Roman" w:hAnsi="Times New Roman" w:cs="Times New Roman"/>
          <w:lang w:val="en-US"/>
        </w:rPr>
        <w:t xml:space="preserve">. </w:t>
      </w:r>
    </w:p>
    <w:p w14:paraId="56909FD2" w14:textId="00106DBD" w:rsidR="00120806" w:rsidRPr="00705170" w:rsidRDefault="00C56F5E" w:rsidP="00647EF0">
      <w:pPr>
        <w:spacing w:after="240" w:line="480" w:lineRule="auto"/>
        <w:ind w:firstLine="720"/>
        <w:jc w:val="both"/>
        <w:rPr>
          <w:rFonts w:ascii="Times New Roman" w:hAnsi="Times New Roman" w:cs="Times New Roman"/>
          <w:lang w:val="en-US"/>
        </w:rPr>
      </w:pPr>
      <w:r w:rsidRPr="00705170">
        <w:rPr>
          <w:rFonts w:ascii="Times New Roman" w:hAnsi="Times New Roman" w:cs="Times New Roman"/>
          <w:lang w:val="en-US"/>
        </w:rPr>
        <w:lastRenderedPageBreak/>
        <w:t xml:space="preserve">One of the challenges in getting </w:t>
      </w:r>
      <w:r w:rsidR="00A72676" w:rsidRPr="00705170">
        <w:rPr>
          <w:rFonts w:ascii="Times New Roman" w:hAnsi="Times New Roman" w:cs="Times New Roman"/>
          <w:lang w:val="en-US"/>
        </w:rPr>
        <w:t xml:space="preserve">publicly traded </w:t>
      </w:r>
      <w:r w:rsidRPr="00705170">
        <w:rPr>
          <w:rFonts w:ascii="Times New Roman" w:hAnsi="Times New Roman" w:cs="Times New Roman"/>
          <w:lang w:val="en-US"/>
        </w:rPr>
        <w:t xml:space="preserve">corporations grow is to accomplish both (1) to tunnel investment into corporations and (2) to preserve the corporate wealth created, at the same time. </w:t>
      </w:r>
      <w:r w:rsidR="007901B2">
        <w:rPr>
          <w:rFonts w:ascii="Times New Roman" w:hAnsi="Times New Roman" w:cs="Times New Roman"/>
          <w:lang w:val="en-US"/>
        </w:rPr>
        <w:t>Accordingly</w:t>
      </w:r>
      <w:r w:rsidRPr="00705170">
        <w:rPr>
          <w:rFonts w:ascii="Times New Roman" w:hAnsi="Times New Roman" w:cs="Times New Roman"/>
          <w:lang w:val="en-US"/>
        </w:rPr>
        <w:t xml:space="preserve">, once investments are linked with corporations, making sure that corporate wealth is being used purposefully and not wasted for outside interests, becomes the next target. </w:t>
      </w:r>
      <w:r w:rsidR="005E2741" w:rsidRPr="00705170">
        <w:rPr>
          <w:rFonts w:ascii="Times New Roman" w:hAnsi="Times New Roman" w:cs="Times New Roman"/>
          <w:lang w:val="en-US"/>
        </w:rPr>
        <w:t>The facts that corporate profit growth may slow</w:t>
      </w:r>
      <w:r w:rsidR="005E2741" w:rsidRPr="00705170">
        <w:rPr>
          <w:rStyle w:val="DipnotBavurusu"/>
          <w:rFonts w:ascii="Times New Roman" w:hAnsi="Times New Roman" w:cs="Times New Roman"/>
          <w:lang w:val="en-US"/>
        </w:rPr>
        <w:footnoteReference w:id="35"/>
      </w:r>
      <w:r w:rsidR="005E2741" w:rsidRPr="00705170">
        <w:rPr>
          <w:rFonts w:ascii="Times New Roman" w:hAnsi="Times New Roman" w:cs="Times New Roman"/>
          <w:lang w:val="en-US"/>
        </w:rPr>
        <w:t xml:space="preserve"> and a presence of a gap “between the amount of equities that investors will desire and what companies will need to fund growth” is expected over the next decade, makes it even more important to focus on fund outflow</w:t>
      </w:r>
      <w:r w:rsidR="005E2741" w:rsidRPr="00705170">
        <w:rPr>
          <w:rStyle w:val="DipnotBavurusu"/>
          <w:rFonts w:ascii="Times New Roman" w:hAnsi="Times New Roman" w:cs="Times New Roman"/>
          <w:lang w:val="en-US"/>
        </w:rPr>
        <w:footnoteReference w:id="36"/>
      </w:r>
      <w:r w:rsidR="005E2741" w:rsidRPr="00705170">
        <w:rPr>
          <w:rFonts w:ascii="Times New Roman" w:hAnsi="Times New Roman" w:cs="Times New Roman"/>
          <w:lang w:val="en-US"/>
        </w:rPr>
        <w:t xml:space="preserve">.    </w:t>
      </w:r>
    </w:p>
    <w:p w14:paraId="0A4791AE" w14:textId="6F6C8B85" w:rsidR="00BC037A" w:rsidRPr="00705170" w:rsidRDefault="00647EF0" w:rsidP="00A337AA">
      <w:pPr>
        <w:pStyle w:val="DipnotMetni"/>
        <w:spacing w:line="480" w:lineRule="auto"/>
        <w:jc w:val="both"/>
        <w:rPr>
          <w:rFonts w:ascii="Times New Roman" w:hAnsi="Times New Roman" w:cs="Times New Roman"/>
        </w:rPr>
      </w:pPr>
      <w:r w:rsidRPr="00705170">
        <w:rPr>
          <w:rFonts w:ascii="Times New Roman" w:hAnsi="Times New Roman" w:cs="Times New Roman"/>
        </w:rPr>
        <w:t>It is in this study’s view that the issue of non- pecuniary private benefit extra</w:t>
      </w:r>
      <w:r w:rsidR="002B5F67" w:rsidRPr="00705170">
        <w:rPr>
          <w:rFonts w:ascii="Times New Roman" w:hAnsi="Times New Roman" w:cs="Times New Roman"/>
        </w:rPr>
        <w:t xml:space="preserve">ction should </w:t>
      </w:r>
      <w:proofErr w:type="spellStart"/>
      <w:r w:rsidR="002B5F67" w:rsidRPr="00705170">
        <w:rPr>
          <w:rFonts w:ascii="Times New Roman" w:hAnsi="Times New Roman" w:cs="Times New Roman"/>
        </w:rPr>
        <w:t>seen</w:t>
      </w:r>
      <w:proofErr w:type="spellEnd"/>
      <w:r w:rsidR="002B5F67" w:rsidRPr="00705170">
        <w:rPr>
          <w:rFonts w:ascii="Times New Roman" w:hAnsi="Times New Roman" w:cs="Times New Roman"/>
        </w:rPr>
        <w:t xml:space="preserve"> as a topic</w:t>
      </w:r>
      <w:r w:rsidRPr="00705170">
        <w:rPr>
          <w:rFonts w:ascii="Times New Roman" w:hAnsi="Times New Roman" w:cs="Times New Roman"/>
        </w:rPr>
        <w:t xml:space="preserve"> concerning the fund outflow</w:t>
      </w:r>
      <w:r w:rsidR="004C3CA8" w:rsidRPr="00705170">
        <w:rPr>
          <w:rFonts w:ascii="Times New Roman" w:hAnsi="Times New Roman" w:cs="Times New Roman"/>
        </w:rPr>
        <w:t xml:space="preserve"> aspect</w:t>
      </w:r>
      <w:r w:rsidR="00A72676" w:rsidRPr="00705170">
        <w:rPr>
          <w:rFonts w:ascii="Times New Roman" w:hAnsi="Times New Roman" w:cs="Times New Roman"/>
        </w:rPr>
        <w:t xml:space="preserve"> regarding publicly traded corporations</w:t>
      </w:r>
      <w:r w:rsidR="00DF5338">
        <w:rPr>
          <w:rFonts w:ascii="Times New Roman" w:hAnsi="Times New Roman" w:cs="Times New Roman"/>
        </w:rPr>
        <w:t>, from a capital market law perspective</w:t>
      </w:r>
      <w:r w:rsidRPr="00705170">
        <w:rPr>
          <w:rFonts w:ascii="Times New Roman" w:hAnsi="Times New Roman" w:cs="Times New Roman"/>
        </w:rPr>
        <w:t>. Hence, it is an issue relating to the well- being of the corporations</w:t>
      </w:r>
      <w:r w:rsidR="00DF5338">
        <w:rPr>
          <w:rFonts w:ascii="Times New Roman" w:hAnsi="Times New Roman" w:cs="Times New Roman"/>
        </w:rPr>
        <w:t>, investors, capital market,</w:t>
      </w:r>
      <w:r w:rsidRPr="00705170">
        <w:rPr>
          <w:rFonts w:ascii="Times New Roman" w:hAnsi="Times New Roman" w:cs="Times New Roman"/>
        </w:rPr>
        <w:t xml:space="preserve"> and the economy at large</w:t>
      </w:r>
      <w:r w:rsidR="008620ED">
        <w:rPr>
          <w:rStyle w:val="DipnotBavurusu"/>
          <w:rFonts w:ascii="Times New Roman" w:hAnsi="Times New Roman" w:cs="Times New Roman"/>
        </w:rPr>
        <w:footnoteReference w:id="37"/>
      </w:r>
      <w:r w:rsidRPr="00705170">
        <w:rPr>
          <w:rFonts w:ascii="Times New Roman" w:hAnsi="Times New Roman" w:cs="Times New Roman"/>
        </w:rPr>
        <w:t xml:space="preserve">. </w:t>
      </w:r>
      <w:r w:rsidR="008620ED">
        <w:rPr>
          <w:rFonts w:ascii="Times New Roman" w:hAnsi="Times New Roman" w:cs="Times New Roman"/>
        </w:rPr>
        <w:t xml:space="preserve">Today, it is statistically known that the </w:t>
      </w:r>
      <w:r w:rsidR="008620ED">
        <w:rPr>
          <w:rFonts w:ascii="Times New Roman" w:hAnsi="Times New Roman" w:cs="Times New Roman"/>
        </w:rPr>
        <w:lastRenderedPageBreak/>
        <w:t xml:space="preserve">number of controlling shareholders </w:t>
      </w:r>
      <w:r w:rsidR="00BC037A">
        <w:rPr>
          <w:rFonts w:ascii="Times New Roman" w:hAnsi="Times New Roman" w:cs="Times New Roman"/>
        </w:rPr>
        <w:t>is</w:t>
      </w:r>
      <w:r w:rsidR="008620ED">
        <w:rPr>
          <w:rFonts w:ascii="Times New Roman" w:hAnsi="Times New Roman" w:cs="Times New Roman"/>
        </w:rPr>
        <w:t xml:space="preserve"> globally increasing</w:t>
      </w:r>
      <w:r w:rsidR="008620ED" w:rsidRPr="00705170">
        <w:rPr>
          <w:rStyle w:val="DipnotBavurusu"/>
          <w:rFonts w:ascii="Times New Roman" w:hAnsi="Times New Roman" w:cs="Times New Roman"/>
        </w:rPr>
        <w:footnoteReference w:id="38"/>
      </w:r>
      <w:r w:rsidR="008620ED" w:rsidRPr="00705170">
        <w:rPr>
          <w:rFonts w:ascii="Times New Roman" w:hAnsi="Times New Roman" w:cs="Times New Roman"/>
        </w:rPr>
        <w:t>,</w:t>
      </w:r>
      <w:r w:rsidR="008620ED">
        <w:rPr>
          <w:rFonts w:ascii="Times New Roman" w:hAnsi="Times New Roman" w:cs="Times New Roman"/>
        </w:rPr>
        <w:t xml:space="preserve"> and</w:t>
      </w:r>
      <w:r w:rsidR="008620ED" w:rsidRPr="00705170">
        <w:rPr>
          <w:rFonts w:ascii="Times New Roman" w:hAnsi="Times New Roman" w:cs="Times New Roman"/>
        </w:rPr>
        <w:t xml:space="preserve"> presence of </w:t>
      </w:r>
      <w:r w:rsidR="002B55FA">
        <w:rPr>
          <w:rFonts w:ascii="Times New Roman" w:hAnsi="Times New Roman" w:cs="Times New Roman"/>
        </w:rPr>
        <w:t>influencing</w:t>
      </w:r>
      <w:r w:rsidR="00BC037A">
        <w:rPr>
          <w:rFonts w:ascii="Times New Roman" w:hAnsi="Times New Roman" w:cs="Times New Roman"/>
        </w:rPr>
        <w:t xml:space="preserve"> shareholders </w:t>
      </w:r>
      <w:r w:rsidR="008620ED" w:rsidRPr="00705170">
        <w:rPr>
          <w:rFonts w:ascii="Times New Roman" w:hAnsi="Times New Roman" w:cs="Times New Roman"/>
        </w:rPr>
        <w:t>increase the probability of non- pecuniary private benefit extraction</w:t>
      </w:r>
      <w:r w:rsidR="008620ED" w:rsidRPr="00705170">
        <w:rPr>
          <w:rStyle w:val="DipnotBavurusu"/>
          <w:rFonts w:ascii="Times New Roman" w:hAnsi="Times New Roman" w:cs="Times New Roman"/>
        </w:rPr>
        <w:footnoteReference w:id="39"/>
      </w:r>
      <w:r w:rsidR="008620ED" w:rsidRPr="00705170">
        <w:rPr>
          <w:rFonts w:ascii="Times New Roman" w:hAnsi="Times New Roman" w:cs="Times New Roman"/>
        </w:rPr>
        <w:t xml:space="preserve">. </w:t>
      </w:r>
      <w:r w:rsidRPr="00705170">
        <w:rPr>
          <w:rFonts w:ascii="Times New Roman" w:hAnsi="Times New Roman" w:cs="Times New Roman"/>
        </w:rPr>
        <w:t xml:space="preserve">Therefore, the non- pecuniary benefits </w:t>
      </w:r>
      <w:r w:rsidR="004C3CA8" w:rsidRPr="00705170">
        <w:rPr>
          <w:rFonts w:ascii="Times New Roman" w:hAnsi="Times New Roman" w:cs="Times New Roman"/>
        </w:rPr>
        <w:t>issue is a topic that is likely</w:t>
      </w:r>
      <w:r w:rsidRPr="00705170">
        <w:rPr>
          <w:rFonts w:ascii="Times New Roman" w:hAnsi="Times New Roman" w:cs="Times New Roman"/>
        </w:rPr>
        <w:t xml:space="preserve"> to attract the attention of policymakers</w:t>
      </w:r>
      <w:r w:rsidR="004C3CA8" w:rsidRPr="00705170">
        <w:rPr>
          <w:rFonts w:ascii="Times New Roman" w:hAnsi="Times New Roman" w:cs="Times New Roman"/>
        </w:rPr>
        <w:t xml:space="preserve"> in a near future</w:t>
      </w:r>
      <w:r w:rsidRPr="00705170">
        <w:rPr>
          <w:rFonts w:ascii="Times New Roman" w:hAnsi="Times New Roman" w:cs="Times New Roman"/>
        </w:rPr>
        <w:t xml:space="preserve">. </w:t>
      </w:r>
      <w:r w:rsidR="00FD394F">
        <w:rPr>
          <w:rFonts w:ascii="Times New Roman" w:hAnsi="Times New Roman" w:cs="Times New Roman"/>
        </w:rPr>
        <w:t>On the other hand,</w:t>
      </w:r>
      <w:r w:rsidR="00120806" w:rsidRPr="00705170">
        <w:rPr>
          <w:rFonts w:ascii="Times New Roman" w:hAnsi="Times New Roman" w:cs="Times New Roman"/>
        </w:rPr>
        <w:t xml:space="preserve"> </w:t>
      </w:r>
      <w:r w:rsidR="00521945" w:rsidRPr="00705170">
        <w:rPr>
          <w:rFonts w:ascii="Times New Roman" w:hAnsi="Times New Roman" w:cs="Times New Roman"/>
        </w:rPr>
        <w:t>shareholder protection, which is also stated as one of the three main objectives of securities regulation by International Organization of Securities Commissions (IOSCO)</w:t>
      </w:r>
      <w:r w:rsidR="00521945" w:rsidRPr="00705170">
        <w:rPr>
          <w:rStyle w:val="DipnotBavurusu"/>
          <w:rFonts w:ascii="Times New Roman" w:hAnsi="Times New Roman" w:cs="Times New Roman"/>
        </w:rPr>
        <w:footnoteReference w:id="40"/>
      </w:r>
      <w:r w:rsidR="00521945" w:rsidRPr="00705170">
        <w:rPr>
          <w:rFonts w:ascii="Times New Roman" w:hAnsi="Times New Roman" w:cs="Times New Roman"/>
        </w:rPr>
        <w:t>, is a necessity for countries that aim to grow economically</w:t>
      </w:r>
      <w:r w:rsidR="00521945" w:rsidRPr="00705170">
        <w:rPr>
          <w:rStyle w:val="DipnotBavurusu"/>
          <w:rFonts w:ascii="Times New Roman" w:hAnsi="Times New Roman" w:cs="Times New Roman"/>
        </w:rPr>
        <w:footnoteReference w:id="41"/>
      </w:r>
      <w:r w:rsidR="00521945" w:rsidRPr="00705170">
        <w:rPr>
          <w:rFonts w:ascii="Times New Roman" w:hAnsi="Times New Roman" w:cs="Times New Roman"/>
        </w:rPr>
        <w:t xml:space="preserve">. </w:t>
      </w:r>
      <w:r w:rsidR="00521945">
        <w:rPr>
          <w:rFonts w:ascii="Times New Roman" w:hAnsi="Times New Roman" w:cs="Times New Roman"/>
        </w:rPr>
        <w:t>T</w:t>
      </w:r>
      <w:r w:rsidR="00120806" w:rsidRPr="00705170">
        <w:rPr>
          <w:rFonts w:ascii="Times New Roman" w:hAnsi="Times New Roman" w:cs="Times New Roman"/>
        </w:rPr>
        <w:t xml:space="preserve">he fact that while there </w:t>
      </w:r>
      <w:r w:rsidR="00120806" w:rsidRPr="00705170">
        <w:rPr>
          <w:rFonts w:ascii="Times New Roman" w:hAnsi="Times New Roman" w:cs="Times New Roman"/>
        </w:rPr>
        <w:lastRenderedPageBreak/>
        <w:t>is convergence in major jurisdictions in treatment of conflicts between shareholders and managers, there is a little convergence with regards to the conflict of interests between minority and influencing</w:t>
      </w:r>
      <w:r w:rsidR="00545EA1" w:rsidRPr="00705170">
        <w:rPr>
          <w:rFonts w:ascii="Times New Roman" w:hAnsi="Times New Roman" w:cs="Times New Roman"/>
        </w:rPr>
        <w:t xml:space="preserve"> </w:t>
      </w:r>
      <w:r w:rsidR="00120806" w:rsidRPr="00705170">
        <w:rPr>
          <w:rFonts w:ascii="Times New Roman" w:hAnsi="Times New Roman" w:cs="Times New Roman"/>
        </w:rPr>
        <w:t>shareholders</w:t>
      </w:r>
      <w:r w:rsidR="00120806" w:rsidRPr="00705170">
        <w:rPr>
          <w:rStyle w:val="DipnotBavurusu"/>
          <w:rFonts w:ascii="Times New Roman" w:hAnsi="Times New Roman" w:cs="Times New Roman"/>
        </w:rPr>
        <w:footnoteReference w:id="42"/>
      </w:r>
      <w:r w:rsidR="00120806" w:rsidRPr="00705170">
        <w:rPr>
          <w:rFonts w:ascii="Times New Roman" w:hAnsi="Times New Roman" w:cs="Times New Roman"/>
        </w:rPr>
        <w:t>, shows that this area of corporate law might need new approaches</w:t>
      </w:r>
      <w:r w:rsidR="008620ED">
        <w:rPr>
          <w:rStyle w:val="DipnotBavurusu"/>
          <w:rFonts w:ascii="Times New Roman" w:hAnsi="Times New Roman" w:cs="Times New Roman"/>
        </w:rPr>
        <w:footnoteReference w:id="43"/>
      </w:r>
      <w:r w:rsidR="00120806" w:rsidRPr="00705170">
        <w:rPr>
          <w:rFonts w:ascii="Times New Roman" w:hAnsi="Times New Roman" w:cs="Times New Roman"/>
        </w:rPr>
        <w:t xml:space="preserve">. </w:t>
      </w:r>
      <w:r w:rsidR="00521945">
        <w:rPr>
          <w:rFonts w:ascii="Times New Roman" w:hAnsi="Times New Roman" w:cs="Times New Roman"/>
        </w:rPr>
        <w:t>After all, g</w:t>
      </w:r>
      <w:r w:rsidR="00521945" w:rsidRPr="00705170">
        <w:rPr>
          <w:rFonts w:ascii="Times New Roman" w:hAnsi="Times New Roman" w:cs="Times New Roman"/>
        </w:rPr>
        <w:t>lobalization increases the pressure to implement good legal rules</w:t>
      </w:r>
      <w:r w:rsidR="00521945" w:rsidRPr="00705170">
        <w:rPr>
          <w:rStyle w:val="DipnotBavurusu"/>
          <w:rFonts w:ascii="Times New Roman" w:hAnsi="Times New Roman" w:cs="Times New Roman"/>
        </w:rPr>
        <w:footnoteReference w:id="44"/>
      </w:r>
    </w:p>
    <w:p w14:paraId="1787DBA6" w14:textId="3438A59F" w:rsidR="003B3CE3" w:rsidRPr="00705170" w:rsidRDefault="003B3CE3" w:rsidP="00A337AA">
      <w:pPr>
        <w:pStyle w:val="DipnotMetni"/>
        <w:spacing w:line="480" w:lineRule="auto"/>
        <w:jc w:val="both"/>
      </w:pPr>
    </w:p>
    <w:p w14:paraId="039C9CC7" w14:textId="1F8A4F1D" w:rsidR="00120806" w:rsidRPr="00705170" w:rsidRDefault="00120806" w:rsidP="00120806">
      <w:pPr>
        <w:pStyle w:val="ListeParagraf"/>
        <w:numPr>
          <w:ilvl w:val="1"/>
          <w:numId w:val="4"/>
        </w:numPr>
        <w:spacing w:after="240" w:line="480" w:lineRule="auto"/>
        <w:jc w:val="both"/>
        <w:rPr>
          <w:rFonts w:ascii="Times New Roman" w:hAnsi="Times New Roman" w:cs="Times New Roman"/>
          <w:b/>
        </w:rPr>
      </w:pPr>
      <w:r w:rsidRPr="00705170">
        <w:rPr>
          <w:rFonts w:ascii="Times New Roman" w:hAnsi="Times New Roman" w:cs="Times New Roman"/>
        </w:rPr>
        <w:t xml:space="preserve"> </w:t>
      </w:r>
      <w:r w:rsidRPr="00705170">
        <w:rPr>
          <w:rFonts w:ascii="Times New Roman" w:hAnsi="Times New Roman" w:cs="Times New Roman"/>
          <w:b/>
        </w:rPr>
        <w:t xml:space="preserve">Framework </w:t>
      </w:r>
      <w:proofErr w:type="spellStart"/>
      <w:r w:rsidRPr="00705170">
        <w:rPr>
          <w:rFonts w:ascii="Times New Roman" w:hAnsi="Times New Roman" w:cs="Times New Roman"/>
          <w:b/>
        </w:rPr>
        <w:t>for</w:t>
      </w:r>
      <w:proofErr w:type="spellEnd"/>
      <w:r w:rsidRPr="00705170">
        <w:rPr>
          <w:rFonts w:ascii="Times New Roman" w:hAnsi="Times New Roman" w:cs="Times New Roman"/>
          <w:b/>
        </w:rPr>
        <w:t xml:space="preserve"> Analysis</w:t>
      </w:r>
    </w:p>
    <w:p w14:paraId="1BA60747" w14:textId="5C5EF064" w:rsidR="00C85DCD" w:rsidRPr="00705170" w:rsidRDefault="00C85DCD" w:rsidP="00BC037A">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00BC037A">
        <w:rPr>
          <w:rFonts w:ascii="Times New Roman" w:hAnsi="Times New Roman" w:cs="Times New Roman"/>
        </w:rPr>
        <w:t>study</w:t>
      </w:r>
      <w:proofErr w:type="spellEnd"/>
      <w:r w:rsidR="00BC037A" w:rsidRPr="00705170">
        <w:rPr>
          <w:rFonts w:ascii="Times New Roman" w:hAnsi="Times New Roman" w:cs="Times New Roman"/>
        </w:rPr>
        <w:t xml:space="preserve"> </w:t>
      </w:r>
      <w:proofErr w:type="spellStart"/>
      <w:r w:rsidRPr="00705170">
        <w:rPr>
          <w:rFonts w:ascii="Times New Roman" w:hAnsi="Times New Roman" w:cs="Times New Roman"/>
        </w:rPr>
        <w:t>comprises</w:t>
      </w:r>
      <w:proofErr w:type="spellEnd"/>
      <w:r w:rsidRPr="00705170">
        <w:rPr>
          <w:rFonts w:ascii="Times New Roman" w:hAnsi="Times New Roman" w:cs="Times New Roman"/>
        </w:rPr>
        <w:t xml:space="preserve"> </w:t>
      </w:r>
      <w:proofErr w:type="spellStart"/>
      <w:r w:rsidR="00BC037A">
        <w:rPr>
          <w:rFonts w:ascii="Times New Roman" w:hAnsi="Times New Roman" w:cs="Times New Roman"/>
        </w:rPr>
        <w:t>six</w:t>
      </w:r>
      <w:proofErr w:type="spellEnd"/>
      <w:r w:rsidR="00BC037A" w:rsidRPr="00705170">
        <w:rPr>
          <w:rFonts w:ascii="Times New Roman" w:hAnsi="Times New Roman" w:cs="Times New Roman"/>
        </w:rPr>
        <w:t xml:space="preserve"> </w:t>
      </w:r>
      <w:proofErr w:type="spellStart"/>
      <w:r w:rsidRPr="00705170">
        <w:rPr>
          <w:rFonts w:ascii="Times New Roman" w:hAnsi="Times New Roman" w:cs="Times New Roman"/>
        </w:rPr>
        <w:t>chapters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Chapter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introduces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study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defines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importance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objective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provides</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guide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showing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selected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methodology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scope</w:t>
      </w:r>
      <w:proofErr w:type="spellEnd"/>
      <w:r w:rsidRPr="00705170">
        <w:rPr>
          <w:rFonts w:ascii="Times New Roman" w:hAnsi="Times New Roman" w:cs="Times New Roman"/>
        </w:rPr>
        <w:t>.</w:t>
      </w:r>
      <w:r w:rsidR="00BC037A">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Chapter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concepts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introduced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Chapter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defined</w:t>
      </w:r>
      <w:proofErr w:type="spellEnd"/>
      <w:r w:rsidRPr="00705170">
        <w:rPr>
          <w:rFonts w:ascii="Times New Roman" w:hAnsi="Times New Roman" w:cs="Times New Roman"/>
        </w:rPr>
        <w:t xml:space="preserve">. Background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present</w:t>
      </w:r>
      <w:proofErr w:type="spellEnd"/>
      <w:r w:rsidRPr="00705170">
        <w:rPr>
          <w:rFonts w:ascii="Times New Roman" w:hAnsi="Times New Roman" w:cs="Times New Roman"/>
        </w:rPr>
        <w:t xml:space="preserve"> legal </w:t>
      </w:r>
      <w:proofErr w:type="spellStart"/>
      <w:r w:rsidRPr="00705170">
        <w:rPr>
          <w:rFonts w:ascii="Times New Roman" w:hAnsi="Times New Roman" w:cs="Times New Roman"/>
        </w:rPr>
        <w:t>st</w:t>
      </w:r>
      <w:r w:rsidR="00454FC0" w:rsidRPr="00705170">
        <w:rPr>
          <w:rFonts w:ascii="Times New Roman" w:hAnsi="Times New Roman" w:cs="Times New Roman"/>
        </w:rPr>
        <w:t>ructure</w:t>
      </w:r>
      <w:proofErr w:type="spellEnd"/>
      <w:r w:rsidR="00454FC0" w:rsidRPr="00705170">
        <w:rPr>
          <w:rFonts w:ascii="Times New Roman" w:hAnsi="Times New Roman" w:cs="Times New Roman"/>
        </w:rPr>
        <w:t xml:space="preserve"> </w:t>
      </w:r>
      <w:proofErr w:type="spellStart"/>
      <w:r w:rsidR="00454FC0" w:rsidRPr="00705170">
        <w:rPr>
          <w:rFonts w:ascii="Times New Roman" w:hAnsi="Times New Roman" w:cs="Times New Roman"/>
        </w:rPr>
        <w:t>and</w:t>
      </w:r>
      <w:proofErr w:type="spellEnd"/>
      <w:r w:rsidR="00454FC0" w:rsidRPr="00705170">
        <w:rPr>
          <w:rFonts w:ascii="Times New Roman" w:hAnsi="Times New Roman" w:cs="Times New Roman"/>
        </w:rPr>
        <w:t xml:space="preserve"> </w:t>
      </w:r>
      <w:proofErr w:type="spellStart"/>
      <w:r w:rsidR="00454FC0" w:rsidRPr="00705170">
        <w:rPr>
          <w:rFonts w:ascii="Times New Roman" w:hAnsi="Times New Roman" w:cs="Times New Roman"/>
        </w:rPr>
        <w:t>the</w:t>
      </w:r>
      <w:proofErr w:type="spellEnd"/>
      <w:r w:rsidR="00454FC0" w:rsidRPr="00705170">
        <w:rPr>
          <w:rFonts w:ascii="Times New Roman" w:hAnsi="Times New Roman" w:cs="Times New Roman"/>
        </w:rPr>
        <w:t xml:space="preserve"> </w:t>
      </w:r>
      <w:proofErr w:type="spellStart"/>
      <w:r w:rsidR="00454FC0" w:rsidRPr="00705170">
        <w:rPr>
          <w:rFonts w:ascii="Times New Roman" w:hAnsi="Times New Roman" w:cs="Times New Roman"/>
        </w:rPr>
        <w:t>flaws</w:t>
      </w:r>
      <w:proofErr w:type="spellEnd"/>
      <w:r w:rsidR="00454FC0" w:rsidRPr="00705170">
        <w:rPr>
          <w:rFonts w:ascii="Times New Roman" w:hAnsi="Times New Roman" w:cs="Times New Roman"/>
        </w:rPr>
        <w:t xml:space="preserve"> </w:t>
      </w:r>
      <w:proofErr w:type="spellStart"/>
      <w:r w:rsidR="00454FC0" w:rsidRPr="00705170">
        <w:rPr>
          <w:rFonts w:ascii="Times New Roman" w:hAnsi="Times New Roman" w:cs="Times New Roman"/>
        </w:rPr>
        <w:t>therein</w:t>
      </w:r>
      <w:proofErr w:type="spellEnd"/>
      <w:r w:rsidR="00454FC0" w:rsidRPr="00705170">
        <w:rPr>
          <w:rFonts w:ascii="Times New Roman" w:hAnsi="Times New Roman" w:cs="Times New Roman"/>
        </w:rPr>
        <w:t xml:space="preserve"> </w:t>
      </w:r>
      <w:proofErr w:type="spellStart"/>
      <w:r w:rsidR="00454FC0"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shown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than</w:t>
      </w:r>
      <w:proofErr w:type="spellEnd"/>
      <w:r w:rsidRPr="00705170">
        <w:rPr>
          <w:rFonts w:ascii="Times New Roman" w:hAnsi="Times New Roman" w:cs="Times New Roman"/>
        </w:rPr>
        <w:t xml:space="preserve"> </w:t>
      </w:r>
      <w:proofErr w:type="spellStart"/>
      <w:r w:rsidR="00CD38FB" w:rsidRPr="00705170">
        <w:rPr>
          <w:rFonts w:ascii="Times New Roman" w:hAnsi="Times New Roman" w:cs="Times New Roman"/>
        </w:rPr>
        <w:t>extensively</w:t>
      </w:r>
      <w:proofErr w:type="spellEnd"/>
      <w:r w:rsidR="00CD38FB" w:rsidRPr="00705170">
        <w:rPr>
          <w:rFonts w:ascii="Times New Roman" w:hAnsi="Times New Roman" w:cs="Times New Roman"/>
        </w:rPr>
        <w:t xml:space="preserve"> </w:t>
      </w:r>
      <w:proofErr w:type="spellStart"/>
      <w:r w:rsidRPr="00705170">
        <w:rPr>
          <w:rFonts w:ascii="Times New Roman" w:hAnsi="Times New Roman" w:cs="Times New Roman"/>
        </w:rPr>
        <w:t>focusing</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U.S.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detail</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lies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down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general </w:t>
      </w:r>
      <w:proofErr w:type="spellStart"/>
      <w:r w:rsidRPr="00705170">
        <w:rPr>
          <w:rFonts w:ascii="Times New Roman" w:hAnsi="Times New Roman" w:cs="Times New Roman"/>
        </w:rPr>
        <w:t>principles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concerning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field</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and</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explains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why</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law</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should</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focus</w:t>
      </w:r>
      <w:proofErr w:type="spellEnd"/>
      <w:r w:rsidR="00DF29A0" w:rsidRPr="00705170">
        <w:rPr>
          <w:rFonts w:ascii="Times New Roman" w:hAnsi="Times New Roman" w:cs="Times New Roman"/>
        </w:rPr>
        <w:t xml:space="preserve"> on </w:t>
      </w:r>
      <w:proofErr w:type="spellStart"/>
      <w:r w:rsidR="00DF29A0" w:rsidRPr="00705170">
        <w:rPr>
          <w:rFonts w:ascii="Times New Roman" w:hAnsi="Times New Roman" w:cs="Times New Roman"/>
        </w:rPr>
        <w:t>this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area</w:t>
      </w:r>
      <w:proofErr w:type="spellEnd"/>
      <w:r w:rsidRPr="00705170">
        <w:rPr>
          <w:rFonts w:ascii="Times New Roman" w:hAnsi="Times New Roman" w:cs="Times New Roman"/>
        </w:rPr>
        <w:t>.</w:t>
      </w:r>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Hence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problem </w:t>
      </w:r>
      <w:proofErr w:type="spellStart"/>
      <w:r w:rsidR="00DF29A0" w:rsidRPr="00705170">
        <w:rPr>
          <w:rFonts w:ascii="Times New Roman" w:hAnsi="Times New Roman" w:cs="Times New Roman"/>
        </w:rPr>
        <w:t>with</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present</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approach</w:t>
      </w:r>
      <w:proofErr w:type="spellEnd"/>
      <w:r w:rsidR="00DF29A0" w:rsidRPr="00705170">
        <w:rPr>
          <w:rFonts w:ascii="Times New Roman" w:hAnsi="Times New Roman" w:cs="Times New Roman"/>
        </w:rPr>
        <w:t xml:space="preserve"> is </w:t>
      </w:r>
      <w:proofErr w:type="spellStart"/>
      <w:r w:rsidR="00DF29A0" w:rsidRPr="00705170">
        <w:rPr>
          <w:rFonts w:ascii="Times New Roman" w:hAnsi="Times New Roman" w:cs="Times New Roman"/>
        </w:rPr>
        <w:t>explained</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and</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loopholes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that</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non</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pecuniary</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benefit</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extractions</w:t>
      </w:r>
      <w:proofErr w:type="spellEnd"/>
      <w:r w:rsidR="00DF29A0" w:rsidRPr="00705170">
        <w:rPr>
          <w:rFonts w:ascii="Times New Roman" w:hAnsi="Times New Roman" w:cs="Times New Roman"/>
        </w:rPr>
        <w:t xml:space="preserve"> </w:t>
      </w:r>
      <w:proofErr w:type="spellStart"/>
      <w:r w:rsidR="009E76A2" w:rsidRPr="00705170">
        <w:rPr>
          <w:rFonts w:ascii="Times New Roman" w:hAnsi="Times New Roman" w:cs="Times New Roman"/>
        </w:rPr>
        <w:t>goes</w:t>
      </w:r>
      <w:proofErr w:type="spellEnd"/>
      <w:r w:rsidR="009E76A2" w:rsidRPr="00705170">
        <w:rPr>
          <w:rFonts w:ascii="Times New Roman" w:hAnsi="Times New Roman" w:cs="Times New Roman"/>
        </w:rPr>
        <w:t xml:space="preserve"> </w:t>
      </w:r>
      <w:proofErr w:type="spellStart"/>
      <w:r w:rsidR="009E76A2" w:rsidRPr="00705170">
        <w:rPr>
          <w:rFonts w:ascii="Times New Roman" w:hAnsi="Times New Roman" w:cs="Times New Roman"/>
        </w:rPr>
        <w:t>through</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are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signaled</w:t>
      </w:r>
      <w:proofErr w:type="spellEnd"/>
      <w:r w:rsidR="00DF29A0" w:rsidRPr="00705170">
        <w:rPr>
          <w:rFonts w:ascii="Times New Roman" w:hAnsi="Times New Roman" w:cs="Times New Roman"/>
        </w:rPr>
        <w:t xml:space="preserve">. </w:t>
      </w:r>
    </w:p>
    <w:p w14:paraId="559E9DF4" w14:textId="4606AB26" w:rsidR="00AC5248" w:rsidRDefault="00C85DCD" w:rsidP="00AC5248">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Chapter</w:t>
      </w:r>
      <w:proofErr w:type="spellEnd"/>
      <w:r w:rsidRPr="00705170">
        <w:rPr>
          <w:rFonts w:ascii="Times New Roman" w:hAnsi="Times New Roman" w:cs="Times New Roman"/>
        </w:rPr>
        <w:t xml:space="preserve"> </w:t>
      </w:r>
      <w:r w:rsidR="00BC037A">
        <w:rPr>
          <w:rFonts w:ascii="Times New Roman" w:hAnsi="Times New Roman" w:cs="Times New Roman"/>
        </w:rPr>
        <w:t>Three</w:t>
      </w:r>
      <w:r w:rsidRPr="00705170">
        <w:rPr>
          <w:rFonts w:ascii="Times New Roman" w:hAnsi="Times New Roman" w:cs="Times New Roman"/>
        </w:rPr>
        <w:t xml:space="preserve">, </w:t>
      </w:r>
      <w:proofErr w:type="spellStart"/>
      <w:r w:rsidRPr="00705170">
        <w:rPr>
          <w:rFonts w:ascii="Times New Roman" w:hAnsi="Times New Roman" w:cs="Times New Roman"/>
        </w:rPr>
        <w:t>components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w:t>
      </w:r>
      <w:r w:rsidR="0009201B">
        <w:rPr>
          <w:rFonts w:ascii="Times New Roman" w:hAnsi="Times New Roman" w:cs="Times New Roman"/>
        </w:rPr>
        <w:t>action</w:t>
      </w:r>
      <w:proofErr w:type="spellEnd"/>
      <w:r w:rsidR="0009201B">
        <w:rPr>
          <w:rFonts w:ascii="Times New Roman" w:hAnsi="Times New Roman" w:cs="Times New Roman"/>
        </w:rPr>
        <w:t xml:space="preserve"> </w:t>
      </w:r>
      <w:proofErr w:type="spellStart"/>
      <w:r w:rsidR="0009201B">
        <w:rPr>
          <w:rFonts w:ascii="Times New Roman" w:hAnsi="Times New Roman" w:cs="Times New Roman"/>
        </w:rPr>
        <w:t>based</w:t>
      </w:r>
      <w:proofErr w:type="spellEnd"/>
      <w:r w:rsidR="0009201B">
        <w:rPr>
          <w:rFonts w:ascii="Times New Roman" w:hAnsi="Times New Roman" w:cs="Times New Roman"/>
        </w:rPr>
        <w:t xml:space="preserve"> </w:t>
      </w:r>
      <w:proofErr w:type="spellStart"/>
      <w:r w:rsidR="0009201B">
        <w:rPr>
          <w:rFonts w:ascii="Times New Roman" w:hAnsi="Times New Roman" w:cs="Times New Roman"/>
        </w:rPr>
        <w:t>system</w:t>
      </w:r>
      <w:proofErr w:type="spellEnd"/>
      <w:r w:rsidR="0009201B">
        <w:rPr>
          <w:rFonts w:ascii="Times New Roman" w:hAnsi="Times New Roman" w:cs="Times New Roman"/>
        </w:rPr>
        <w:t xml:space="preserve"> in </w:t>
      </w:r>
      <w:proofErr w:type="spellStart"/>
      <w:r w:rsidR="0009201B">
        <w:rPr>
          <w:rFonts w:ascii="Times New Roman" w:hAnsi="Times New Roman" w:cs="Times New Roman"/>
        </w:rPr>
        <w:t>Turkey</w:t>
      </w:r>
      <w:proofErr w:type="spellEnd"/>
      <w:r w:rsidR="0009201B">
        <w:rPr>
          <w:rFonts w:ascii="Times New Roman" w:hAnsi="Times New Roman" w:cs="Times New Roman"/>
        </w:rPr>
        <w:t xml:space="preserve"> </w:t>
      </w:r>
      <w:proofErr w:type="spellStart"/>
      <w:r w:rsidR="0009201B">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evaluated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present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current</w:t>
      </w:r>
      <w:proofErr w:type="spellEnd"/>
      <w:r w:rsidRPr="00705170">
        <w:rPr>
          <w:rFonts w:ascii="Times New Roman" w:hAnsi="Times New Roman" w:cs="Times New Roman"/>
        </w:rPr>
        <w:t xml:space="preserve"> leg</w:t>
      </w:r>
      <w:r w:rsidR="0009201B">
        <w:rPr>
          <w:rFonts w:ascii="Times New Roman" w:hAnsi="Times New Roman" w:cs="Times New Roman"/>
        </w:rPr>
        <w:t xml:space="preserve">al </w:t>
      </w:r>
      <w:proofErr w:type="spellStart"/>
      <w:r w:rsidR="0009201B">
        <w:rPr>
          <w:rFonts w:ascii="Times New Roman" w:hAnsi="Times New Roman" w:cs="Times New Roman"/>
        </w:rPr>
        <w:t>structure</w:t>
      </w:r>
      <w:proofErr w:type="spellEnd"/>
      <w:r w:rsidR="0009201B">
        <w:rPr>
          <w:rFonts w:ascii="Times New Roman" w:hAnsi="Times New Roman" w:cs="Times New Roman"/>
        </w:rPr>
        <w:t xml:space="preserve"> </w:t>
      </w:r>
      <w:proofErr w:type="spellStart"/>
      <w:r w:rsidR="0009201B">
        <w:rPr>
          <w:rFonts w:ascii="Times New Roman" w:hAnsi="Times New Roman" w:cs="Times New Roman"/>
        </w:rPr>
        <w:t>are</w:t>
      </w:r>
      <w:proofErr w:type="spellEnd"/>
      <w:r w:rsidR="00EF5766" w:rsidRPr="00705170">
        <w:rPr>
          <w:rFonts w:ascii="Times New Roman" w:hAnsi="Times New Roman" w:cs="Times New Roman"/>
        </w:rPr>
        <w:t xml:space="preserve"> </w:t>
      </w:r>
      <w:proofErr w:type="spellStart"/>
      <w:r w:rsidR="00EF5766" w:rsidRPr="00705170">
        <w:rPr>
          <w:rFonts w:ascii="Times New Roman" w:hAnsi="Times New Roman" w:cs="Times New Roman"/>
        </w:rPr>
        <w:t>given</w:t>
      </w:r>
      <w:proofErr w:type="spellEnd"/>
      <w:r w:rsidR="00EF5766" w:rsidRPr="00705170">
        <w:rPr>
          <w:rFonts w:ascii="Times New Roman" w:hAnsi="Times New Roman" w:cs="Times New Roman"/>
        </w:rPr>
        <w:t xml:space="preserve"> in </w:t>
      </w:r>
      <w:proofErr w:type="spellStart"/>
      <w:r w:rsidR="00EF5766" w:rsidRPr="00705170">
        <w:rPr>
          <w:rFonts w:ascii="Times New Roman" w:hAnsi="Times New Roman" w:cs="Times New Roman"/>
        </w:rPr>
        <w:t>detail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loopholes</w:t>
      </w:r>
      <w:proofErr w:type="spellEnd"/>
      <w:r w:rsidRPr="00705170">
        <w:rPr>
          <w:rFonts w:ascii="Times New Roman" w:hAnsi="Times New Roman" w:cs="Times New Roman"/>
        </w:rPr>
        <w:t xml:space="preserve"> </w:t>
      </w:r>
      <w:r w:rsidRPr="00705170">
        <w:rPr>
          <w:rFonts w:ascii="Times New Roman" w:hAnsi="Times New Roman" w:cs="Times New Roman"/>
        </w:rPr>
        <w:lastRenderedPageBreak/>
        <w:t xml:space="preserve">in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w:t>
      </w:r>
      <w:proofErr w:type="spellEnd"/>
      <w:r w:rsidR="0009201B">
        <w:rPr>
          <w:rFonts w:ascii="Times New Roman" w:hAnsi="Times New Roman" w:cs="Times New Roman"/>
        </w:rPr>
        <w:t xml:space="preserve"> </w:t>
      </w:r>
      <w:proofErr w:type="spellStart"/>
      <w:r w:rsidR="0009201B">
        <w:rPr>
          <w:rFonts w:ascii="Times New Roman" w:hAnsi="Times New Roman" w:cs="Times New Roman"/>
        </w:rPr>
        <w:t>are</w:t>
      </w:r>
      <w:proofErr w:type="spellEnd"/>
      <w:r w:rsidRPr="00705170">
        <w:rPr>
          <w:rFonts w:ascii="Times New Roman" w:hAnsi="Times New Roman" w:cs="Times New Roman"/>
        </w:rPr>
        <w:t xml:space="preserve"> </w:t>
      </w:r>
      <w:proofErr w:type="spellStart"/>
      <w:r w:rsidR="00EF5766" w:rsidRPr="00705170">
        <w:rPr>
          <w:rFonts w:ascii="Times New Roman" w:hAnsi="Times New Roman" w:cs="Times New Roman"/>
        </w:rPr>
        <w:t>expressed</w:t>
      </w:r>
      <w:proofErr w:type="spellEnd"/>
      <w:r w:rsidR="00B0288D">
        <w:rPr>
          <w:rFonts w:ascii="Times New Roman" w:hAnsi="Times New Roman" w:cs="Times New Roman"/>
        </w:rPr>
        <w:t xml:space="preserve">, </w:t>
      </w:r>
      <w:proofErr w:type="spellStart"/>
      <w:r w:rsidR="00B0288D">
        <w:rPr>
          <w:rFonts w:ascii="Times New Roman" w:hAnsi="Times New Roman" w:cs="Times New Roman"/>
        </w:rPr>
        <w:t>and</w:t>
      </w:r>
      <w:proofErr w:type="spellEnd"/>
      <w:r w:rsidR="00B0288D">
        <w:rPr>
          <w:rFonts w:ascii="Times New Roman" w:hAnsi="Times New Roman" w:cs="Times New Roman"/>
        </w:rPr>
        <w:t xml:space="preserve"> </w:t>
      </w:r>
      <w:r w:rsidR="0009201B">
        <w:rPr>
          <w:rFonts w:ascii="Times New Roman" w:hAnsi="Times New Roman" w:cs="Times New Roman"/>
        </w:rPr>
        <w:t xml:space="preserve">it is </w:t>
      </w:r>
      <w:proofErr w:type="spellStart"/>
      <w:r w:rsidR="00B0288D">
        <w:rPr>
          <w:rFonts w:ascii="Times New Roman" w:hAnsi="Times New Roman" w:cs="Times New Roman"/>
        </w:rPr>
        <w:t>shown</w:t>
      </w:r>
      <w:proofErr w:type="spellEnd"/>
      <w:r w:rsidR="00B0288D">
        <w:rPr>
          <w:rFonts w:ascii="Times New Roman" w:hAnsi="Times New Roman" w:cs="Times New Roman"/>
        </w:rPr>
        <w:t xml:space="preserve"> </w:t>
      </w:r>
      <w:proofErr w:type="spellStart"/>
      <w:r w:rsidR="00B0288D">
        <w:rPr>
          <w:rFonts w:ascii="Times New Roman" w:hAnsi="Times New Roman" w:cs="Times New Roman"/>
        </w:rPr>
        <w:t>that</w:t>
      </w:r>
      <w:proofErr w:type="spellEnd"/>
      <w:r w:rsidR="00B0288D">
        <w:rPr>
          <w:rFonts w:ascii="Times New Roman" w:hAnsi="Times New Roman" w:cs="Times New Roman"/>
        </w:rPr>
        <w:t xml:space="preserve"> </w:t>
      </w:r>
      <w:proofErr w:type="spellStart"/>
      <w:r w:rsidR="00B0288D">
        <w:rPr>
          <w:rFonts w:ascii="Times New Roman" w:hAnsi="Times New Roman" w:cs="Times New Roman"/>
        </w:rPr>
        <w:t>this</w:t>
      </w:r>
      <w:proofErr w:type="spellEnd"/>
      <w:r w:rsidR="00B0288D">
        <w:rPr>
          <w:rFonts w:ascii="Times New Roman" w:hAnsi="Times New Roman" w:cs="Times New Roman"/>
        </w:rPr>
        <w:t xml:space="preserve"> </w:t>
      </w:r>
      <w:proofErr w:type="spellStart"/>
      <w:r w:rsidR="00B0288D">
        <w:rPr>
          <w:rFonts w:ascii="Times New Roman" w:hAnsi="Times New Roman" w:cs="Times New Roman"/>
        </w:rPr>
        <w:t>system</w:t>
      </w:r>
      <w:proofErr w:type="spellEnd"/>
      <w:r w:rsidR="00DF29A0" w:rsidRPr="00705170">
        <w:rPr>
          <w:rFonts w:ascii="Times New Roman" w:hAnsi="Times New Roman" w:cs="Times New Roman"/>
        </w:rPr>
        <w:t xml:space="preserve"> is not </w:t>
      </w:r>
      <w:proofErr w:type="spellStart"/>
      <w:r w:rsidR="00DF29A0" w:rsidRPr="00705170">
        <w:rPr>
          <w:rFonts w:ascii="Times New Roman" w:hAnsi="Times New Roman" w:cs="Times New Roman"/>
        </w:rPr>
        <w:t>adequate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for</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controlling</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extraction</w:t>
      </w:r>
      <w:proofErr w:type="spellEnd"/>
      <w:r w:rsidR="00DF29A0" w:rsidRPr="00705170">
        <w:rPr>
          <w:rFonts w:ascii="Times New Roman" w:hAnsi="Times New Roman" w:cs="Times New Roman"/>
        </w:rPr>
        <w:t xml:space="preserve"> of </w:t>
      </w:r>
      <w:proofErr w:type="spellStart"/>
      <w:r w:rsidR="00DF29A0" w:rsidRPr="00705170">
        <w:rPr>
          <w:rFonts w:ascii="Times New Roman" w:hAnsi="Times New Roman" w:cs="Times New Roman"/>
        </w:rPr>
        <w:t>non</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pecuniary</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private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benefits</w:t>
      </w:r>
      <w:proofErr w:type="spellEnd"/>
      <w:r w:rsidR="00DF29A0" w:rsidRPr="00705170">
        <w:rPr>
          <w:rFonts w:ascii="Times New Roman" w:hAnsi="Times New Roman" w:cs="Times New Roman"/>
        </w:rPr>
        <w:t>.</w:t>
      </w:r>
      <w:r w:rsidR="00AC5248">
        <w:rPr>
          <w:rFonts w:ascii="Times New Roman" w:hAnsi="Times New Roman" w:cs="Times New Roman"/>
        </w:rPr>
        <w:t xml:space="preserve"> </w:t>
      </w:r>
    </w:p>
    <w:p w14:paraId="6E130522" w14:textId="1BB96342" w:rsidR="00C85DCD" w:rsidRPr="00705170" w:rsidRDefault="00C85DCD" w:rsidP="00AC5248">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Chapter</w:t>
      </w:r>
      <w:proofErr w:type="spellEnd"/>
      <w:r w:rsidRPr="00705170">
        <w:rPr>
          <w:rFonts w:ascii="Times New Roman" w:hAnsi="Times New Roman" w:cs="Times New Roman"/>
        </w:rPr>
        <w:t xml:space="preserve"> </w:t>
      </w:r>
      <w:proofErr w:type="spellStart"/>
      <w:r w:rsidR="00BC037A">
        <w:rPr>
          <w:rFonts w:ascii="Times New Roman" w:hAnsi="Times New Roman" w:cs="Times New Roman"/>
        </w:rPr>
        <w:t>Four</w:t>
      </w:r>
      <w:proofErr w:type="spellEnd"/>
      <w:r w:rsidR="00BC037A" w:rsidRPr="00705170">
        <w:rPr>
          <w:rFonts w:ascii="Times New Roman" w:hAnsi="Times New Roman" w:cs="Times New Roman"/>
        </w:rPr>
        <w:t xml:space="preserve"> </w:t>
      </w:r>
      <w:proofErr w:type="spellStart"/>
      <w:r w:rsidRPr="00705170">
        <w:rPr>
          <w:rFonts w:ascii="Times New Roman" w:hAnsi="Times New Roman" w:cs="Times New Roman"/>
        </w:rPr>
        <w:t>introduces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reasonable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expectations</w:t>
      </w:r>
      <w:proofErr w:type="spellEnd"/>
      <w:r w:rsidR="00DF29A0" w:rsidRPr="00705170">
        <w:rPr>
          <w:rFonts w:ascii="Times New Roman" w:hAnsi="Times New Roman" w:cs="Times New Roman"/>
        </w:rPr>
        <w:t>”</w:t>
      </w:r>
      <w:r w:rsidRPr="00705170">
        <w:rPr>
          <w:rFonts w:ascii="Times New Roman" w:hAnsi="Times New Roman" w:cs="Times New Roman"/>
        </w:rPr>
        <w:t xml:space="preserve"> </w:t>
      </w:r>
      <w:proofErr w:type="spellStart"/>
      <w:r w:rsidR="005F1625">
        <w:rPr>
          <w:rFonts w:ascii="Times New Roman" w:hAnsi="Times New Roman" w:cs="Times New Roman"/>
        </w:rPr>
        <w:t>standard</w:t>
      </w:r>
      <w:proofErr w:type="spellEnd"/>
      <w:r w:rsidR="005F1625">
        <w:rPr>
          <w:rFonts w:ascii="Times New Roman" w:hAnsi="Times New Roman" w:cs="Times New Roman"/>
        </w:rPr>
        <w:t xml:space="preserve"> </w:t>
      </w:r>
      <w:proofErr w:type="spellStart"/>
      <w:r w:rsidR="005F1625">
        <w:rPr>
          <w:rFonts w:ascii="Times New Roman" w:hAnsi="Times New Roman" w:cs="Times New Roman"/>
        </w:rPr>
        <w:t>and</w:t>
      </w:r>
      <w:proofErr w:type="spellEnd"/>
      <w:r w:rsidR="005F1625">
        <w:rPr>
          <w:rFonts w:ascii="Times New Roman" w:hAnsi="Times New Roman" w:cs="Times New Roman"/>
        </w:rPr>
        <w:t xml:space="preserve"> </w:t>
      </w:r>
      <w:proofErr w:type="spellStart"/>
      <w:r w:rsidR="005F1625">
        <w:rPr>
          <w:rFonts w:ascii="Times New Roman" w:hAnsi="Times New Roman" w:cs="Times New Roman"/>
        </w:rPr>
        <w:t>provides</w:t>
      </w:r>
      <w:proofErr w:type="spellEnd"/>
      <w:r w:rsidR="005F1625">
        <w:rPr>
          <w:rFonts w:ascii="Times New Roman" w:hAnsi="Times New Roman" w:cs="Times New Roman"/>
        </w:rPr>
        <w:t xml:space="preserve"> </w:t>
      </w:r>
      <w:proofErr w:type="spellStart"/>
      <w:r w:rsidR="005F1625">
        <w:rPr>
          <w:rFonts w:ascii="Times New Roman" w:hAnsi="Times New Roman" w:cs="Times New Roman"/>
        </w:rPr>
        <w:t>the</w:t>
      </w:r>
      <w:proofErr w:type="spellEnd"/>
      <w:r w:rsidR="005F1625">
        <w:rPr>
          <w:rFonts w:ascii="Times New Roman" w:hAnsi="Times New Roman" w:cs="Times New Roman"/>
        </w:rPr>
        <w:t xml:space="preserve"> </w:t>
      </w:r>
      <w:proofErr w:type="spellStart"/>
      <w:r w:rsidR="005F1625">
        <w:rPr>
          <w:rFonts w:ascii="Times New Roman" w:hAnsi="Times New Roman" w:cs="Times New Roman"/>
        </w:rPr>
        <w:t>theoreti</w:t>
      </w:r>
      <w:r w:rsidR="00DF29A0" w:rsidRPr="00705170">
        <w:rPr>
          <w:rFonts w:ascii="Times New Roman" w:hAnsi="Times New Roman" w:cs="Times New Roman"/>
        </w:rPr>
        <w:t>cal</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framework</w:t>
      </w:r>
      <w:proofErr w:type="spellEnd"/>
      <w:r w:rsidR="00DF29A0" w:rsidRPr="00705170">
        <w:rPr>
          <w:rFonts w:ascii="Times New Roman" w:hAnsi="Times New Roman" w:cs="Times New Roman"/>
        </w:rPr>
        <w:t xml:space="preserve"> of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con</w:t>
      </w:r>
      <w:r w:rsidR="00AA5EB2" w:rsidRPr="00705170">
        <w:rPr>
          <w:rFonts w:ascii="Times New Roman" w:hAnsi="Times New Roman" w:cs="Times New Roman"/>
        </w:rPr>
        <w:t>ception</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It</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tries</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to</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show</w:t>
      </w:r>
      <w:proofErr w:type="spellEnd"/>
      <w:r w:rsidR="00AA5EB2" w:rsidRPr="00705170">
        <w:rPr>
          <w:rFonts w:ascii="Times New Roman" w:hAnsi="Times New Roman" w:cs="Times New Roman"/>
        </w:rPr>
        <w:t xml:space="preserve"> how </w:t>
      </w:r>
      <w:proofErr w:type="spellStart"/>
      <w:r w:rsidR="00AA5EB2" w:rsidRPr="00705170">
        <w:rPr>
          <w:rFonts w:ascii="Times New Roman" w:hAnsi="Times New Roman" w:cs="Times New Roman"/>
        </w:rPr>
        <w:t>the</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standard</w:t>
      </w:r>
      <w:proofErr w:type="spellEnd"/>
      <w:r w:rsidR="00AA5EB2" w:rsidRPr="00705170">
        <w:rPr>
          <w:rFonts w:ascii="Times New Roman" w:hAnsi="Times New Roman" w:cs="Times New Roman"/>
        </w:rPr>
        <w:t xml:space="preserve"> is </w:t>
      </w:r>
      <w:proofErr w:type="spellStart"/>
      <w:r w:rsidR="00AA5EB2" w:rsidRPr="00705170">
        <w:rPr>
          <w:rFonts w:ascii="Times New Roman" w:hAnsi="Times New Roman" w:cs="Times New Roman"/>
        </w:rPr>
        <w:t>used</w:t>
      </w:r>
      <w:proofErr w:type="spellEnd"/>
      <w:r w:rsidR="00AA5EB2" w:rsidRPr="00705170">
        <w:rPr>
          <w:rFonts w:ascii="Times New Roman" w:hAnsi="Times New Roman" w:cs="Times New Roman"/>
        </w:rPr>
        <w:t xml:space="preserve"> in </w:t>
      </w:r>
      <w:proofErr w:type="spellStart"/>
      <w:r w:rsidR="00AA5EB2" w:rsidRPr="00705170">
        <w:rPr>
          <w:rFonts w:ascii="Times New Roman" w:hAnsi="Times New Roman" w:cs="Times New Roman"/>
        </w:rPr>
        <w:t>the</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context</w:t>
      </w:r>
      <w:proofErr w:type="spellEnd"/>
      <w:r w:rsidR="00AA5EB2" w:rsidRPr="00705170">
        <w:rPr>
          <w:rFonts w:ascii="Times New Roman" w:hAnsi="Times New Roman" w:cs="Times New Roman"/>
        </w:rPr>
        <w:t xml:space="preserve"> of </w:t>
      </w:r>
      <w:proofErr w:type="spellStart"/>
      <w:r w:rsidR="00AA5EB2" w:rsidRPr="00705170">
        <w:rPr>
          <w:rFonts w:ascii="Times New Roman" w:hAnsi="Times New Roman" w:cs="Times New Roman"/>
        </w:rPr>
        <w:t>involuntary</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dissolution</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Corollary</w:t>
      </w:r>
      <w:proofErr w:type="spellEnd"/>
      <w:r w:rsidR="00AA5EB2" w:rsidRPr="00705170">
        <w:rPr>
          <w:rFonts w:ascii="Times New Roman" w:hAnsi="Times New Roman" w:cs="Times New Roman"/>
        </w:rPr>
        <w:t xml:space="preserve">, it </w:t>
      </w:r>
      <w:proofErr w:type="spellStart"/>
      <w:r w:rsidR="00AA5EB2" w:rsidRPr="00705170">
        <w:rPr>
          <w:rFonts w:ascii="Times New Roman" w:hAnsi="Times New Roman" w:cs="Times New Roman"/>
        </w:rPr>
        <w:t>shows</w:t>
      </w:r>
      <w:proofErr w:type="spellEnd"/>
      <w:r w:rsidR="00DF29A0" w:rsidRPr="00705170">
        <w:rPr>
          <w:rFonts w:ascii="Times New Roman" w:hAnsi="Times New Roman" w:cs="Times New Roman"/>
        </w:rPr>
        <w:t xml:space="preserve"> </w:t>
      </w:r>
      <w:r w:rsidR="00451C09" w:rsidRPr="00705170">
        <w:rPr>
          <w:rFonts w:ascii="Times New Roman" w:hAnsi="Times New Roman" w:cs="Times New Roman"/>
        </w:rPr>
        <w:t xml:space="preserve">how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U.S. </w:t>
      </w:r>
      <w:proofErr w:type="spellStart"/>
      <w:r w:rsidR="00DF29A0" w:rsidRPr="00705170">
        <w:rPr>
          <w:rFonts w:ascii="Times New Roman" w:hAnsi="Times New Roman" w:cs="Times New Roman"/>
        </w:rPr>
        <w:t>shareholder</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oppression</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law</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works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and</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details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elements</w:t>
      </w:r>
      <w:proofErr w:type="spellEnd"/>
      <w:r w:rsidR="00DF29A0" w:rsidRPr="00705170">
        <w:rPr>
          <w:rFonts w:ascii="Times New Roman" w:hAnsi="Times New Roman" w:cs="Times New Roman"/>
        </w:rPr>
        <w:t xml:space="preserve"> of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reasonable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expectations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standard</w:t>
      </w:r>
      <w:proofErr w:type="spellEnd"/>
      <w:r w:rsidR="00DF29A0" w:rsidRPr="00705170">
        <w:rPr>
          <w:rFonts w:ascii="Times New Roman" w:hAnsi="Times New Roman" w:cs="Times New Roman"/>
        </w:rPr>
        <w:t xml:space="preserve">. </w:t>
      </w:r>
      <w:proofErr w:type="spellStart"/>
      <w:r w:rsidR="00253B01" w:rsidRPr="00705170">
        <w:rPr>
          <w:rFonts w:ascii="Times New Roman" w:hAnsi="Times New Roman" w:cs="Times New Roman"/>
        </w:rPr>
        <w:t>It</w:t>
      </w:r>
      <w:proofErr w:type="spellEnd"/>
      <w:r w:rsidR="00253B01" w:rsidRPr="00705170">
        <w:rPr>
          <w:rFonts w:ascii="Times New Roman" w:hAnsi="Times New Roman" w:cs="Times New Roman"/>
        </w:rPr>
        <w:t xml:space="preserve"> </w:t>
      </w:r>
      <w:proofErr w:type="spellStart"/>
      <w:r w:rsidR="00253B01" w:rsidRPr="00705170">
        <w:rPr>
          <w:rFonts w:ascii="Times New Roman" w:hAnsi="Times New Roman" w:cs="Times New Roman"/>
        </w:rPr>
        <w:t>explains</w:t>
      </w:r>
      <w:proofErr w:type="spellEnd"/>
      <w:r w:rsidR="00253B01" w:rsidRPr="00705170">
        <w:rPr>
          <w:rFonts w:ascii="Times New Roman" w:hAnsi="Times New Roman" w:cs="Times New Roman"/>
        </w:rPr>
        <w:t xml:space="preserve"> how </w:t>
      </w:r>
      <w:proofErr w:type="spellStart"/>
      <w:r w:rsidR="00253B01" w:rsidRPr="00705170">
        <w:rPr>
          <w:rFonts w:ascii="Times New Roman" w:hAnsi="Times New Roman" w:cs="Times New Roman"/>
        </w:rPr>
        <w:t>the</w:t>
      </w:r>
      <w:proofErr w:type="spellEnd"/>
      <w:r w:rsidR="00253B01" w:rsidRPr="00705170">
        <w:rPr>
          <w:rFonts w:ascii="Times New Roman" w:hAnsi="Times New Roman" w:cs="Times New Roman"/>
        </w:rPr>
        <w:t xml:space="preserve"> </w:t>
      </w:r>
      <w:proofErr w:type="spellStart"/>
      <w:r w:rsidR="00253B01" w:rsidRPr="00705170">
        <w:rPr>
          <w:rFonts w:ascii="Times New Roman" w:hAnsi="Times New Roman" w:cs="Times New Roman"/>
        </w:rPr>
        <w:t>non</w:t>
      </w:r>
      <w:proofErr w:type="spellEnd"/>
      <w:r w:rsidR="00253B01" w:rsidRPr="00705170">
        <w:rPr>
          <w:rFonts w:ascii="Times New Roman" w:hAnsi="Times New Roman" w:cs="Times New Roman"/>
        </w:rPr>
        <w:t xml:space="preserve">- </w:t>
      </w:r>
      <w:proofErr w:type="spellStart"/>
      <w:r w:rsidR="00253B01" w:rsidRPr="00705170">
        <w:rPr>
          <w:rFonts w:ascii="Times New Roman" w:hAnsi="Times New Roman" w:cs="Times New Roman"/>
        </w:rPr>
        <w:t>pecuniary</w:t>
      </w:r>
      <w:proofErr w:type="spellEnd"/>
      <w:r w:rsidR="00253B01" w:rsidRPr="00705170">
        <w:rPr>
          <w:rFonts w:ascii="Times New Roman" w:hAnsi="Times New Roman" w:cs="Times New Roman"/>
        </w:rPr>
        <w:t xml:space="preserve"> </w:t>
      </w:r>
      <w:proofErr w:type="spellStart"/>
      <w:r w:rsidR="00253B01" w:rsidRPr="00705170">
        <w:rPr>
          <w:rFonts w:ascii="Times New Roman" w:hAnsi="Times New Roman" w:cs="Times New Roman"/>
        </w:rPr>
        <w:t>benefits</w:t>
      </w:r>
      <w:proofErr w:type="spellEnd"/>
      <w:r w:rsidR="00253B01" w:rsidRPr="00705170">
        <w:rPr>
          <w:rFonts w:ascii="Times New Roman" w:hAnsi="Times New Roman" w:cs="Times New Roman"/>
        </w:rPr>
        <w:t xml:space="preserve"> </w:t>
      </w:r>
      <w:proofErr w:type="spellStart"/>
      <w:r w:rsidR="00253B01" w:rsidRPr="00705170">
        <w:rPr>
          <w:rFonts w:ascii="Times New Roman" w:hAnsi="Times New Roman" w:cs="Times New Roman"/>
        </w:rPr>
        <w:t>issue</w:t>
      </w:r>
      <w:proofErr w:type="spellEnd"/>
      <w:r w:rsidR="00253B01" w:rsidRPr="00705170">
        <w:rPr>
          <w:rFonts w:ascii="Times New Roman" w:hAnsi="Times New Roman" w:cs="Times New Roman"/>
        </w:rPr>
        <w:t xml:space="preserve"> </w:t>
      </w:r>
      <w:proofErr w:type="spellStart"/>
      <w:r w:rsidR="00253B01" w:rsidRPr="00705170">
        <w:rPr>
          <w:rFonts w:ascii="Times New Roman" w:hAnsi="Times New Roman" w:cs="Times New Roman"/>
        </w:rPr>
        <w:t>and</w:t>
      </w:r>
      <w:proofErr w:type="spellEnd"/>
      <w:r w:rsidR="00253B01" w:rsidRPr="00705170">
        <w:rPr>
          <w:rFonts w:ascii="Times New Roman" w:hAnsi="Times New Roman" w:cs="Times New Roman"/>
        </w:rPr>
        <w:t xml:space="preserve"> </w:t>
      </w:r>
      <w:proofErr w:type="spellStart"/>
      <w:r w:rsidR="00253B01" w:rsidRPr="00705170">
        <w:rPr>
          <w:rFonts w:ascii="Times New Roman" w:hAnsi="Times New Roman" w:cs="Times New Roman"/>
        </w:rPr>
        <w:t>reasonable</w:t>
      </w:r>
      <w:proofErr w:type="spellEnd"/>
      <w:r w:rsidR="00253B01" w:rsidRPr="00705170">
        <w:rPr>
          <w:rFonts w:ascii="Times New Roman" w:hAnsi="Times New Roman" w:cs="Times New Roman"/>
        </w:rPr>
        <w:t xml:space="preserve"> </w:t>
      </w:r>
      <w:proofErr w:type="spellStart"/>
      <w:r w:rsidR="00253B01" w:rsidRPr="00705170">
        <w:rPr>
          <w:rFonts w:ascii="Times New Roman" w:hAnsi="Times New Roman" w:cs="Times New Roman"/>
        </w:rPr>
        <w:t>expectations</w:t>
      </w:r>
      <w:proofErr w:type="spellEnd"/>
      <w:r w:rsidR="00253B01" w:rsidRPr="00705170">
        <w:rPr>
          <w:rFonts w:ascii="Times New Roman" w:hAnsi="Times New Roman" w:cs="Times New Roman"/>
        </w:rPr>
        <w:t xml:space="preserve"> can be </w:t>
      </w:r>
      <w:proofErr w:type="spellStart"/>
      <w:r w:rsidR="00253B01" w:rsidRPr="00705170">
        <w:rPr>
          <w:rFonts w:ascii="Times New Roman" w:hAnsi="Times New Roman" w:cs="Times New Roman"/>
        </w:rPr>
        <w:t>linked</w:t>
      </w:r>
      <w:proofErr w:type="spellEnd"/>
      <w:r w:rsidR="00253B01" w:rsidRPr="00705170">
        <w:rPr>
          <w:rFonts w:ascii="Times New Roman" w:hAnsi="Times New Roman" w:cs="Times New Roman"/>
        </w:rPr>
        <w:t xml:space="preserve">. </w:t>
      </w:r>
      <w:r w:rsidR="00DF29A0" w:rsidRPr="00705170">
        <w:rPr>
          <w:rFonts w:ascii="Times New Roman" w:hAnsi="Times New Roman" w:cs="Times New Roman"/>
        </w:rPr>
        <w:t xml:space="preserve">At </w:t>
      </w:r>
      <w:proofErr w:type="spellStart"/>
      <w:r w:rsidR="00DF29A0" w:rsidRPr="00705170">
        <w:rPr>
          <w:rFonts w:ascii="Times New Roman" w:hAnsi="Times New Roman" w:cs="Times New Roman"/>
        </w:rPr>
        <w:t>last</w:t>
      </w:r>
      <w:proofErr w:type="spellEnd"/>
      <w:r w:rsidR="00DF29A0" w:rsidRPr="00705170">
        <w:rPr>
          <w:rFonts w:ascii="Times New Roman" w:hAnsi="Times New Roman" w:cs="Times New Roman"/>
        </w:rPr>
        <w:t xml:space="preserve">, it </w:t>
      </w:r>
      <w:proofErr w:type="spellStart"/>
      <w:r w:rsidR="00DF29A0" w:rsidRPr="00705170">
        <w:rPr>
          <w:rFonts w:ascii="Times New Roman" w:hAnsi="Times New Roman" w:cs="Times New Roman"/>
        </w:rPr>
        <w:t>provides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justifications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for</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applying</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this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concept</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to</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publicly</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traded</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corporations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and</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draws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limits</w:t>
      </w:r>
      <w:proofErr w:type="spellEnd"/>
      <w:r w:rsidR="00DF29A0" w:rsidRPr="00705170">
        <w:rPr>
          <w:rFonts w:ascii="Times New Roman" w:hAnsi="Times New Roman" w:cs="Times New Roman"/>
        </w:rPr>
        <w:t xml:space="preserve"> of it.</w:t>
      </w:r>
    </w:p>
    <w:p w14:paraId="6AB8EE92" w14:textId="6B168CD9" w:rsidR="00C85DCD" w:rsidRPr="00705170" w:rsidRDefault="00C85DCD" w:rsidP="00DF29A0">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Chapter</w:t>
      </w:r>
      <w:proofErr w:type="spellEnd"/>
      <w:r w:rsidRPr="00705170">
        <w:rPr>
          <w:rFonts w:ascii="Times New Roman" w:hAnsi="Times New Roman" w:cs="Times New Roman"/>
        </w:rPr>
        <w:t xml:space="preserve"> </w:t>
      </w:r>
      <w:proofErr w:type="spellStart"/>
      <w:r w:rsidR="00BC037A">
        <w:rPr>
          <w:rFonts w:ascii="Times New Roman" w:hAnsi="Times New Roman" w:cs="Times New Roman"/>
        </w:rPr>
        <w:t>Five</w:t>
      </w:r>
      <w:proofErr w:type="spellEnd"/>
      <w:r w:rsidR="00BC037A" w:rsidRPr="00705170">
        <w:rPr>
          <w:rFonts w:ascii="Times New Roman" w:hAnsi="Times New Roman" w:cs="Times New Roman"/>
        </w:rPr>
        <w:t xml:space="preserve"> </w:t>
      </w:r>
      <w:proofErr w:type="spellStart"/>
      <w:r w:rsidR="00DF29A0" w:rsidRPr="00705170">
        <w:rPr>
          <w:rFonts w:ascii="Times New Roman" w:hAnsi="Times New Roman" w:cs="Times New Roman"/>
        </w:rPr>
        <w:t>details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w:t>
      </w:r>
      <w:r w:rsidR="00BF08BD" w:rsidRPr="00705170">
        <w:rPr>
          <w:rFonts w:ascii="Times New Roman" w:hAnsi="Times New Roman" w:cs="Times New Roman"/>
        </w:rPr>
        <w:t>he</w:t>
      </w:r>
      <w:proofErr w:type="spellEnd"/>
      <w:r w:rsidR="00BF08BD" w:rsidRPr="00705170">
        <w:rPr>
          <w:rFonts w:ascii="Times New Roman" w:hAnsi="Times New Roman" w:cs="Times New Roman"/>
        </w:rPr>
        <w:t xml:space="preserve"> </w:t>
      </w:r>
      <w:proofErr w:type="spellStart"/>
      <w:r w:rsidR="00BF08BD" w:rsidRPr="00705170">
        <w:rPr>
          <w:rFonts w:ascii="Times New Roman" w:hAnsi="Times New Roman" w:cs="Times New Roman"/>
        </w:rPr>
        <w:t>involuntary</w:t>
      </w:r>
      <w:proofErr w:type="spellEnd"/>
      <w:r w:rsidR="00BF08BD" w:rsidRPr="00705170">
        <w:rPr>
          <w:rFonts w:ascii="Times New Roman" w:hAnsi="Times New Roman" w:cs="Times New Roman"/>
        </w:rPr>
        <w:t xml:space="preserve"> </w:t>
      </w:r>
      <w:proofErr w:type="spellStart"/>
      <w:r w:rsidR="00BF08BD" w:rsidRPr="00705170">
        <w:rPr>
          <w:rFonts w:ascii="Times New Roman" w:hAnsi="Times New Roman" w:cs="Times New Roman"/>
        </w:rPr>
        <w:t>dissolution</w:t>
      </w:r>
      <w:proofErr w:type="spellEnd"/>
      <w:r w:rsidR="00BF08BD" w:rsidRPr="00705170">
        <w:rPr>
          <w:rFonts w:ascii="Times New Roman" w:hAnsi="Times New Roman" w:cs="Times New Roman"/>
        </w:rPr>
        <w:t xml:space="preserve"> </w:t>
      </w:r>
      <w:proofErr w:type="spellStart"/>
      <w:r w:rsidR="00BF08BD" w:rsidRPr="00705170">
        <w:rPr>
          <w:rFonts w:ascii="Times New Roman" w:hAnsi="Times New Roman" w:cs="Times New Roman"/>
        </w:rPr>
        <w:t>action</w:t>
      </w:r>
      <w:proofErr w:type="spellEnd"/>
      <w:r w:rsidR="00DF29A0" w:rsidRPr="00705170">
        <w:rPr>
          <w:rFonts w:ascii="Times New Roman" w:hAnsi="Times New Roman" w:cs="Times New Roman"/>
        </w:rPr>
        <w:t xml:space="preserve"> in </w:t>
      </w:r>
      <w:proofErr w:type="spellStart"/>
      <w:r w:rsidR="00DF29A0" w:rsidRPr="00705170">
        <w:rPr>
          <w:rFonts w:ascii="Times New Roman" w:hAnsi="Times New Roman" w:cs="Times New Roman"/>
        </w:rPr>
        <w:t>Turkish</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law</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and</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explains</w:t>
      </w:r>
      <w:proofErr w:type="spellEnd"/>
      <w:r w:rsidR="00DF29A0" w:rsidRPr="00705170">
        <w:rPr>
          <w:rFonts w:ascii="Times New Roman" w:hAnsi="Times New Roman" w:cs="Times New Roman"/>
        </w:rPr>
        <w:t xml:space="preserve"> how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structure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works</w:t>
      </w:r>
      <w:proofErr w:type="spellEnd"/>
      <w:r w:rsidR="00DF29A0" w:rsidRPr="00705170">
        <w:rPr>
          <w:rFonts w:ascii="Times New Roman" w:hAnsi="Times New Roman" w:cs="Times New Roman"/>
        </w:rPr>
        <w:t xml:space="preserve"> in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current</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statutory</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scheme</w:t>
      </w:r>
      <w:proofErr w:type="spellEnd"/>
      <w:r w:rsidR="00DF29A0" w:rsidRPr="00705170">
        <w:rPr>
          <w:rFonts w:ascii="Times New Roman" w:hAnsi="Times New Roman" w:cs="Times New Roman"/>
        </w:rPr>
        <w:t xml:space="preserve">. </w:t>
      </w:r>
      <w:proofErr w:type="spellStart"/>
      <w:r w:rsidR="003A6DAC" w:rsidRPr="00705170">
        <w:rPr>
          <w:rFonts w:ascii="Times New Roman" w:hAnsi="Times New Roman" w:cs="Times New Roman"/>
        </w:rPr>
        <w:t>It</w:t>
      </w:r>
      <w:proofErr w:type="spellEnd"/>
      <w:r w:rsidR="003A6DAC" w:rsidRPr="00705170">
        <w:rPr>
          <w:rFonts w:ascii="Times New Roman" w:hAnsi="Times New Roman" w:cs="Times New Roman"/>
        </w:rPr>
        <w:t xml:space="preserve"> </w:t>
      </w:r>
      <w:proofErr w:type="spellStart"/>
      <w:r w:rsidR="003A6DAC" w:rsidRPr="00705170">
        <w:rPr>
          <w:rFonts w:ascii="Times New Roman" w:hAnsi="Times New Roman" w:cs="Times New Roman"/>
        </w:rPr>
        <w:t>highlights</w:t>
      </w:r>
      <w:proofErr w:type="spellEnd"/>
      <w:r w:rsidR="003A6DAC" w:rsidRPr="00705170">
        <w:rPr>
          <w:rFonts w:ascii="Times New Roman" w:hAnsi="Times New Roman" w:cs="Times New Roman"/>
        </w:rPr>
        <w:t xml:space="preserve"> </w:t>
      </w:r>
      <w:proofErr w:type="spellStart"/>
      <w:r w:rsidR="003A6DAC" w:rsidRPr="00705170">
        <w:rPr>
          <w:rFonts w:ascii="Times New Roman" w:hAnsi="Times New Roman" w:cs="Times New Roman"/>
        </w:rPr>
        <w:t>the</w:t>
      </w:r>
      <w:proofErr w:type="spellEnd"/>
      <w:r w:rsidR="003A6DAC" w:rsidRPr="00705170">
        <w:rPr>
          <w:rFonts w:ascii="Times New Roman" w:hAnsi="Times New Roman" w:cs="Times New Roman"/>
        </w:rPr>
        <w:t xml:space="preserve"> </w:t>
      </w:r>
      <w:proofErr w:type="spellStart"/>
      <w:r w:rsidR="003A6DAC" w:rsidRPr="00705170">
        <w:rPr>
          <w:rFonts w:ascii="Times New Roman" w:hAnsi="Times New Roman" w:cs="Times New Roman"/>
        </w:rPr>
        <w:t>elements</w:t>
      </w:r>
      <w:proofErr w:type="spellEnd"/>
      <w:r w:rsidR="003A6DAC" w:rsidRPr="00705170">
        <w:rPr>
          <w:rFonts w:ascii="Times New Roman" w:hAnsi="Times New Roman" w:cs="Times New Roman"/>
        </w:rPr>
        <w:t xml:space="preserve"> of </w:t>
      </w:r>
      <w:proofErr w:type="spellStart"/>
      <w:r w:rsidR="003A6DAC" w:rsidRPr="00705170">
        <w:rPr>
          <w:rFonts w:ascii="Times New Roman" w:hAnsi="Times New Roman" w:cs="Times New Roman"/>
        </w:rPr>
        <w:t>this</w:t>
      </w:r>
      <w:proofErr w:type="spellEnd"/>
      <w:r w:rsidR="003A6DAC" w:rsidRPr="00705170">
        <w:rPr>
          <w:rFonts w:ascii="Times New Roman" w:hAnsi="Times New Roman" w:cs="Times New Roman"/>
        </w:rPr>
        <w:t xml:space="preserve"> </w:t>
      </w:r>
      <w:proofErr w:type="spellStart"/>
      <w:r w:rsidR="003A6DAC" w:rsidRPr="00705170">
        <w:rPr>
          <w:rFonts w:ascii="Times New Roman" w:hAnsi="Times New Roman" w:cs="Times New Roman"/>
        </w:rPr>
        <w:t>cause</w:t>
      </w:r>
      <w:proofErr w:type="spellEnd"/>
      <w:r w:rsidR="003A6DAC" w:rsidRPr="00705170">
        <w:rPr>
          <w:rFonts w:ascii="Times New Roman" w:hAnsi="Times New Roman" w:cs="Times New Roman"/>
        </w:rPr>
        <w:t xml:space="preserve"> of </w:t>
      </w:r>
      <w:proofErr w:type="spellStart"/>
      <w:r w:rsidR="003A6DAC" w:rsidRPr="00705170">
        <w:rPr>
          <w:rFonts w:ascii="Times New Roman" w:hAnsi="Times New Roman" w:cs="Times New Roman"/>
        </w:rPr>
        <w:t>action</w:t>
      </w:r>
      <w:proofErr w:type="spellEnd"/>
      <w:r w:rsidR="003A6DAC" w:rsidRPr="00705170">
        <w:rPr>
          <w:rFonts w:ascii="Times New Roman" w:hAnsi="Times New Roman" w:cs="Times New Roman"/>
        </w:rPr>
        <w:t xml:space="preserve">. </w:t>
      </w:r>
      <w:proofErr w:type="spellStart"/>
      <w:r w:rsidR="00DF29A0" w:rsidRPr="00705170">
        <w:rPr>
          <w:rFonts w:ascii="Times New Roman" w:hAnsi="Times New Roman" w:cs="Times New Roman"/>
        </w:rPr>
        <w:t>Then</w:t>
      </w:r>
      <w:proofErr w:type="spellEnd"/>
      <w:r w:rsidR="00DF29A0" w:rsidRPr="00705170">
        <w:rPr>
          <w:rFonts w:ascii="Times New Roman" w:hAnsi="Times New Roman" w:cs="Times New Roman"/>
        </w:rPr>
        <w:t xml:space="preserve">, it </w:t>
      </w:r>
      <w:proofErr w:type="spellStart"/>
      <w:r w:rsidR="00DF29A0" w:rsidRPr="00705170">
        <w:rPr>
          <w:rFonts w:ascii="Times New Roman" w:hAnsi="Times New Roman" w:cs="Times New Roman"/>
        </w:rPr>
        <w:t>combines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reasonable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expectations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standard</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with</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elements</w:t>
      </w:r>
      <w:proofErr w:type="spellEnd"/>
      <w:r w:rsidR="00DF29A0" w:rsidRPr="00705170">
        <w:rPr>
          <w:rFonts w:ascii="Times New Roman" w:hAnsi="Times New Roman" w:cs="Times New Roman"/>
        </w:rPr>
        <w:t xml:space="preserve"> of </w:t>
      </w:r>
      <w:proofErr w:type="spellStart"/>
      <w:r w:rsidR="00DF29A0" w:rsidRPr="00705170">
        <w:rPr>
          <w:rFonts w:ascii="Times New Roman" w:hAnsi="Times New Roman" w:cs="Times New Roman"/>
        </w:rPr>
        <w:t>this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provision</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and</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brings</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forward</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proposed</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interpretation</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for</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the</w:t>
      </w:r>
      <w:proofErr w:type="spellEnd"/>
      <w:r w:rsidR="00DF29A0" w:rsidRPr="00705170">
        <w:rPr>
          <w:rFonts w:ascii="Times New Roman" w:hAnsi="Times New Roman" w:cs="Times New Roman"/>
        </w:rPr>
        <w:t xml:space="preserve"> </w:t>
      </w:r>
      <w:proofErr w:type="spellStart"/>
      <w:r w:rsidR="00DF29A0" w:rsidRPr="00705170">
        <w:rPr>
          <w:rFonts w:ascii="Times New Roman" w:hAnsi="Times New Roman" w:cs="Times New Roman"/>
        </w:rPr>
        <w:t>provision</w:t>
      </w:r>
      <w:proofErr w:type="spellEnd"/>
      <w:r w:rsidR="00BF08BD" w:rsidRPr="00705170">
        <w:rPr>
          <w:rFonts w:ascii="Times New Roman" w:hAnsi="Times New Roman" w:cs="Times New Roman"/>
        </w:rPr>
        <w:t xml:space="preserve"> </w:t>
      </w:r>
      <w:proofErr w:type="spellStart"/>
      <w:r w:rsidR="00BF08BD" w:rsidRPr="00705170">
        <w:rPr>
          <w:rFonts w:ascii="Times New Roman" w:hAnsi="Times New Roman" w:cs="Times New Roman"/>
        </w:rPr>
        <w:t>to</w:t>
      </w:r>
      <w:proofErr w:type="spellEnd"/>
      <w:r w:rsidR="00BF08BD" w:rsidRPr="00705170">
        <w:rPr>
          <w:rFonts w:ascii="Times New Roman" w:hAnsi="Times New Roman" w:cs="Times New Roman"/>
        </w:rPr>
        <w:t xml:space="preserve"> </w:t>
      </w:r>
      <w:proofErr w:type="spellStart"/>
      <w:r w:rsidR="00BF08BD" w:rsidRPr="00705170">
        <w:rPr>
          <w:rFonts w:ascii="Times New Roman" w:hAnsi="Times New Roman" w:cs="Times New Roman"/>
        </w:rPr>
        <w:t>tackle</w:t>
      </w:r>
      <w:proofErr w:type="spellEnd"/>
      <w:r w:rsidR="00BF08BD" w:rsidRPr="00705170">
        <w:rPr>
          <w:rFonts w:ascii="Times New Roman" w:hAnsi="Times New Roman" w:cs="Times New Roman"/>
        </w:rPr>
        <w:t xml:space="preserve"> </w:t>
      </w:r>
      <w:proofErr w:type="spellStart"/>
      <w:r w:rsidR="00BF08BD" w:rsidRPr="00705170">
        <w:rPr>
          <w:rFonts w:ascii="Times New Roman" w:hAnsi="Times New Roman" w:cs="Times New Roman"/>
        </w:rPr>
        <w:t>the</w:t>
      </w:r>
      <w:proofErr w:type="spellEnd"/>
      <w:r w:rsidR="00BF08BD" w:rsidRPr="00705170">
        <w:rPr>
          <w:rFonts w:ascii="Times New Roman" w:hAnsi="Times New Roman" w:cs="Times New Roman"/>
        </w:rPr>
        <w:t xml:space="preserve"> </w:t>
      </w:r>
      <w:proofErr w:type="spellStart"/>
      <w:r w:rsidR="00BF08BD" w:rsidRPr="00705170">
        <w:rPr>
          <w:rFonts w:ascii="Times New Roman" w:hAnsi="Times New Roman" w:cs="Times New Roman"/>
        </w:rPr>
        <w:t>non</w:t>
      </w:r>
      <w:proofErr w:type="spellEnd"/>
      <w:r w:rsidR="00BF08BD" w:rsidRPr="00705170">
        <w:rPr>
          <w:rFonts w:ascii="Times New Roman" w:hAnsi="Times New Roman" w:cs="Times New Roman"/>
        </w:rPr>
        <w:t xml:space="preserve">- </w:t>
      </w:r>
      <w:proofErr w:type="spellStart"/>
      <w:r w:rsidR="00BF08BD" w:rsidRPr="00705170">
        <w:rPr>
          <w:rFonts w:ascii="Times New Roman" w:hAnsi="Times New Roman" w:cs="Times New Roman"/>
        </w:rPr>
        <w:t>pecuniary</w:t>
      </w:r>
      <w:proofErr w:type="spellEnd"/>
      <w:r w:rsidR="00BF08BD" w:rsidRPr="00705170">
        <w:rPr>
          <w:rFonts w:ascii="Times New Roman" w:hAnsi="Times New Roman" w:cs="Times New Roman"/>
        </w:rPr>
        <w:t xml:space="preserve"> </w:t>
      </w:r>
      <w:proofErr w:type="spellStart"/>
      <w:r w:rsidR="00BF08BD" w:rsidRPr="00705170">
        <w:rPr>
          <w:rFonts w:ascii="Times New Roman" w:hAnsi="Times New Roman" w:cs="Times New Roman"/>
        </w:rPr>
        <w:t>benefits</w:t>
      </w:r>
      <w:proofErr w:type="spellEnd"/>
      <w:r w:rsidR="00BF08BD" w:rsidRPr="00705170">
        <w:rPr>
          <w:rFonts w:ascii="Times New Roman" w:hAnsi="Times New Roman" w:cs="Times New Roman"/>
        </w:rPr>
        <w:t xml:space="preserve"> </w:t>
      </w:r>
      <w:proofErr w:type="spellStart"/>
      <w:r w:rsidR="00BF08BD" w:rsidRPr="00705170">
        <w:rPr>
          <w:rFonts w:ascii="Times New Roman" w:hAnsi="Times New Roman" w:cs="Times New Roman"/>
        </w:rPr>
        <w:t>extractions</w:t>
      </w:r>
      <w:proofErr w:type="spellEnd"/>
      <w:r w:rsidR="00DF29A0" w:rsidRPr="00705170">
        <w:rPr>
          <w:rFonts w:ascii="Times New Roman" w:hAnsi="Times New Roman" w:cs="Times New Roman"/>
        </w:rPr>
        <w:t xml:space="preserve">. </w:t>
      </w:r>
      <w:proofErr w:type="spellStart"/>
      <w:r w:rsidR="00AA5EB2" w:rsidRPr="00705170">
        <w:rPr>
          <w:rFonts w:ascii="Times New Roman" w:hAnsi="Times New Roman" w:cs="Times New Roman"/>
        </w:rPr>
        <w:t>It</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also</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express</w:t>
      </w:r>
      <w:r w:rsidR="002829A2">
        <w:rPr>
          <w:rFonts w:ascii="Times New Roman" w:hAnsi="Times New Roman" w:cs="Times New Roman"/>
        </w:rPr>
        <w:t>es</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the</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appropriate</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relief</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for</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these</w:t>
      </w:r>
      <w:proofErr w:type="spellEnd"/>
      <w:r w:rsidR="00AA5EB2" w:rsidRPr="00705170">
        <w:rPr>
          <w:rFonts w:ascii="Times New Roman" w:hAnsi="Times New Roman" w:cs="Times New Roman"/>
        </w:rPr>
        <w:t xml:space="preserve"> </w:t>
      </w:r>
      <w:proofErr w:type="spellStart"/>
      <w:r w:rsidR="00AA5EB2" w:rsidRPr="00705170">
        <w:rPr>
          <w:rFonts w:ascii="Times New Roman" w:hAnsi="Times New Roman" w:cs="Times New Roman"/>
        </w:rPr>
        <w:t>incidents</w:t>
      </w:r>
      <w:proofErr w:type="spellEnd"/>
      <w:r w:rsidR="00AA5EB2" w:rsidRPr="00705170">
        <w:rPr>
          <w:rFonts w:ascii="Times New Roman" w:hAnsi="Times New Roman" w:cs="Times New Roman"/>
        </w:rPr>
        <w:t xml:space="preserve">. </w:t>
      </w:r>
    </w:p>
    <w:p w14:paraId="70A3EBF6" w14:textId="546268A8" w:rsidR="00AC5248" w:rsidRPr="00F91D2C" w:rsidRDefault="00C85DCD" w:rsidP="00F91D2C">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Conclusion</w:t>
      </w:r>
      <w:proofErr w:type="spellEnd"/>
      <w:r w:rsidRPr="00705170">
        <w:rPr>
          <w:rFonts w:ascii="Times New Roman" w:hAnsi="Times New Roman" w:cs="Times New Roman"/>
        </w:rPr>
        <w:t>,</w:t>
      </w:r>
      <w:r w:rsidR="0009201B">
        <w:rPr>
          <w:rFonts w:ascii="Times New Roman" w:hAnsi="Times New Roman" w:cs="Times New Roman"/>
        </w:rPr>
        <w:t xml:space="preserve"> </w:t>
      </w:r>
      <w:proofErr w:type="spellStart"/>
      <w:r w:rsidR="0009201B">
        <w:rPr>
          <w:rFonts w:ascii="Times New Roman" w:hAnsi="Times New Roman" w:cs="Times New Roman"/>
        </w:rPr>
        <w:t>approach</w:t>
      </w:r>
      <w:proofErr w:type="spellEnd"/>
      <w:r w:rsidR="0009201B">
        <w:rPr>
          <w:rFonts w:ascii="Times New Roman" w:hAnsi="Times New Roman" w:cs="Times New Roman"/>
        </w:rPr>
        <w:t xml:space="preserve"> of </w:t>
      </w:r>
      <w:proofErr w:type="spellStart"/>
      <w:r w:rsidR="0009201B">
        <w:rPr>
          <w:rFonts w:ascii="Times New Roman" w:hAnsi="Times New Roman" w:cs="Times New Roman"/>
        </w:rPr>
        <w:t>this</w:t>
      </w:r>
      <w:proofErr w:type="spellEnd"/>
      <w:r w:rsidR="0009201B">
        <w:rPr>
          <w:rFonts w:ascii="Times New Roman" w:hAnsi="Times New Roman" w:cs="Times New Roman"/>
        </w:rPr>
        <w:t xml:space="preserve"> </w:t>
      </w:r>
      <w:proofErr w:type="spellStart"/>
      <w:r w:rsidR="0009201B">
        <w:rPr>
          <w:rFonts w:ascii="Times New Roman" w:hAnsi="Times New Roman" w:cs="Times New Roman"/>
        </w:rPr>
        <w:t>study</w:t>
      </w:r>
      <w:proofErr w:type="spellEnd"/>
      <w:r w:rsidR="0009201B">
        <w:rPr>
          <w:rFonts w:ascii="Times New Roman" w:hAnsi="Times New Roman" w:cs="Times New Roman"/>
        </w:rPr>
        <w:t xml:space="preserve"> is</w:t>
      </w:r>
      <w:r w:rsidRPr="00705170">
        <w:rPr>
          <w:rFonts w:ascii="Times New Roman" w:hAnsi="Times New Roman" w:cs="Times New Roman"/>
        </w:rPr>
        <w:t xml:space="preserve"> </w:t>
      </w:r>
      <w:proofErr w:type="spellStart"/>
      <w:r w:rsidRPr="00705170">
        <w:rPr>
          <w:rFonts w:ascii="Times New Roman" w:hAnsi="Times New Roman" w:cs="Times New Roman"/>
        </w:rPr>
        <w:t>summarized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00E80BCF" w:rsidRPr="00705170">
        <w:rPr>
          <w:rFonts w:ascii="Times New Roman" w:hAnsi="Times New Roman" w:cs="Times New Roman"/>
        </w:rPr>
        <w:t xml:space="preserve"> </w:t>
      </w:r>
      <w:proofErr w:type="spellStart"/>
      <w:r w:rsidR="00E80BCF" w:rsidRPr="00705170">
        <w:rPr>
          <w:rFonts w:ascii="Times New Roman" w:hAnsi="Times New Roman" w:cs="Times New Roman"/>
        </w:rPr>
        <w:t>proposed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claims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proposal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used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jurisdictions</w:t>
      </w:r>
      <w:proofErr w:type="spellEnd"/>
      <w:r w:rsidRPr="00705170">
        <w:rPr>
          <w:rFonts w:ascii="Times New Roman" w:hAnsi="Times New Roman" w:cs="Times New Roman"/>
        </w:rPr>
        <w:t xml:space="preserve">, as in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00E3001A" w:rsidRPr="00705170">
        <w:rPr>
          <w:rFonts w:ascii="Times New Roman" w:hAnsi="Times New Roman" w:cs="Times New Roman"/>
        </w:rPr>
        <w:t>field</w:t>
      </w:r>
      <w:proofErr w:type="spellEnd"/>
      <w:r w:rsidR="00E3001A" w:rsidRPr="00705170">
        <w:rPr>
          <w:rFonts w:ascii="Times New Roman" w:hAnsi="Times New Roman" w:cs="Times New Roman"/>
        </w:rPr>
        <w:t xml:space="preserve"> of </w:t>
      </w:r>
      <w:proofErr w:type="spellStart"/>
      <w:r w:rsidR="00E3001A" w:rsidRPr="00705170">
        <w:rPr>
          <w:rFonts w:ascii="Times New Roman" w:hAnsi="Times New Roman" w:cs="Times New Roman"/>
        </w:rPr>
        <w:t>law</w:t>
      </w:r>
      <w:proofErr w:type="spellEnd"/>
      <w:r w:rsidR="00E3001A" w:rsidRPr="00705170">
        <w:rPr>
          <w:rFonts w:ascii="Times New Roman" w:hAnsi="Times New Roman" w:cs="Times New Roman"/>
        </w:rPr>
        <w:t xml:space="preserve">, </w:t>
      </w:r>
      <w:proofErr w:type="spellStart"/>
      <w:r w:rsidR="00E3001A" w:rsidRPr="00705170">
        <w:rPr>
          <w:rFonts w:ascii="Times New Roman" w:hAnsi="Times New Roman" w:cs="Times New Roman"/>
        </w:rPr>
        <w:t>globalization</w:t>
      </w:r>
      <w:proofErr w:type="spellEnd"/>
      <w:r w:rsidR="00E3001A" w:rsidRPr="00705170">
        <w:rPr>
          <w:rFonts w:ascii="Times New Roman" w:hAnsi="Times New Roman" w:cs="Times New Roman"/>
        </w:rPr>
        <w:t xml:space="preserve"> can in </w:t>
      </w:r>
      <w:proofErr w:type="spellStart"/>
      <w:r w:rsidR="00E3001A" w:rsidRPr="00705170">
        <w:rPr>
          <w:rFonts w:ascii="Times New Roman" w:hAnsi="Times New Roman" w:cs="Times New Roman"/>
        </w:rPr>
        <w:t>fact</w:t>
      </w:r>
      <w:proofErr w:type="spellEnd"/>
      <w:r w:rsidR="00E3001A" w:rsidRPr="00705170">
        <w:rPr>
          <w:rFonts w:ascii="Times New Roman" w:hAnsi="Times New Roman" w:cs="Times New Roman"/>
        </w:rPr>
        <w:t xml:space="preserve"> </w:t>
      </w:r>
      <w:proofErr w:type="spellStart"/>
      <w:r w:rsidR="00E3001A" w:rsidRPr="00705170">
        <w:rPr>
          <w:rFonts w:ascii="Times New Roman" w:hAnsi="Times New Roman" w:cs="Times New Roman"/>
        </w:rPr>
        <w:t>create</w:t>
      </w:r>
      <w:proofErr w:type="spellEnd"/>
      <w:r w:rsidRPr="00705170">
        <w:rPr>
          <w:rFonts w:ascii="Times New Roman" w:hAnsi="Times New Roman" w:cs="Times New Roman"/>
        </w:rPr>
        <w:t xml:space="preserve"> a global </w:t>
      </w:r>
      <w:proofErr w:type="spellStart"/>
      <w:r w:rsidRPr="00705170">
        <w:rPr>
          <w:rFonts w:ascii="Times New Roman" w:hAnsi="Times New Roman" w:cs="Times New Roman"/>
        </w:rPr>
        <w:t>approach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towards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w:t>
      </w:r>
      <w:r w:rsidR="00E3001A" w:rsidRPr="00705170">
        <w:rPr>
          <w:rFonts w:ascii="Times New Roman" w:hAnsi="Times New Roman" w:cs="Times New Roman"/>
        </w:rPr>
        <w:t>ublicly</w:t>
      </w:r>
      <w:proofErr w:type="spellEnd"/>
      <w:r w:rsidR="00E3001A" w:rsidRPr="00705170">
        <w:rPr>
          <w:rFonts w:ascii="Times New Roman" w:hAnsi="Times New Roman" w:cs="Times New Roman"/>
        </w:rPr>
        <w:t xml:space="preserve"> </w:t>
      </w:r>
      <w:proofErr w:type="spellStart"/>
      <w:r w:rsidR="00E3001A" w:rsidRPr="00705170">
        <w:rPr>
          <w:rFonts w:ascii="Times New Roman" w:hAnsi="Times New Roman" w:cs="Times New Roman"/>
        </w:rPr>
        <w:t>traded</w:t>
      </w:r>
      <w:proofErr w:type="spellEnd"/>
      <w:r w:rsidR="00E3001A" w:rsidRPr="00705170">
        <w:rPr>
          <w:rFonts w:ascii="Times New Roman" w:hAnsi="Times New Roman" w:cs="Times New Roman"/>
        </w:rPr>
        <w:t xml:space="preserve"> </w:t>
      </w:r>
      <w:proofErr w:type="spellStart"/>
      <w:r w:rsidR="00E3001A" w:rsidRPr="00705170">
        <w:rPr>
          <w:rFonts w:ascii="Times New Roman" w:hAnsi="Times New Roman" w:cs="Times New Roman"/>
        </w:rPr>
        <w:t>corporations</w:t>
      </w:r>
      <w:proofErr w:type="spellEnd"/>
      <w:r w:rsidR="00E3001A"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00E3001A" w:rsidRPr="00705170">
        <w:rPr>
          <w:rFonts w:ascii="Times New Roman" w:hAnsi="Times New Roman" w:cs="Times New Roman"/>
        </w:rPr>
        <w:t xml:space="preserve"> main </w:t>
      </w:r>
      <w:proofErr w:type="spellStart"/>
      <w:r w:rsidR="00E3001A" w:rsidRPr="00705170">
        <w:rPr>
          <w:rFonts w:ascii="Times New Roman" w:hAnsi="Times New Roman" w:cs="Times New Roman"/>
        </w:rPr>
        <w:t>constituent</w:t>
      </w:r>
      <w:proofErr w:type="spellEnd"/>
      <w:r w:rsidR="00E3001A" w:rsidRPr="00705170">
        <w:rPr>
          <w:rFonts w:ascii="Times New Roman" w:hAnsi="Times New Roman" w:cs="Times New Roman"/>
        </w:rPr>
        <w:t xml:space="preserve">, </w:t>
      </w:r>
      <w:proofErr w:type="spellStart"/>
      <w:r w:rsidR="00E3001A" w:rsidRPr="00705170">
        <w:rPr>
          <w:rFonts w:ascii="Times New Roman" w:hAnsi="Times New Roman" w:cs="Times New Roman"/>
        </w:rPr>
        <w:t>shareholders</w:t>
      </w:r>
      <w:proofErr w:type="spellEnd"/>
      <w:r w:rsidR="00E3001A" w:rsidRPr="00705170">
        <w:rPr>
          <w:rFonts w:ascii="Times New Roman" w:hAnsi="Times New Roman" w:cs="Times New Roman"/>
        </w:rPr>
        <w:t xml:space="preserve"> </w:t>
      </w:r>
      <w:proofErr w:type="spellStart"/>
      <w:r w:rsidR="00E3001A" w:rsidRPr="00705170">
        <w:rPr>
          <w:rFonts w:ascii="Times New Roman" w:hAnsi="Times New Roman" w:cs="Times New Roman"/>
        </w:rPr>
        <w:t>and</w:t>
      </w:r>
      <w:proofErr w:type="spellEnd"/>
      <w:r w:rsidR="00E3001A" w:rsidRPr="00705170">
        <w:rPr>
          <w:rFonts w:ascii="Times New Roman" w:hAnsi="Times New Roman" w:cs="Times New Roman"/>
        </w:rPr>
        <w:t xml:space="preserve"> </w:t>
      </w:r>
      <w:proofErr w:type="spellStart"/>
      <w:r w:rsidR="00E3001A" w:rsidRPr="00705170">
        <w:rPr>
          <w:rFonts w:ascii="Times New Roman" w:hAnsi="Times New Roman" w:cs="Times New Roman"/>
        </w:rPr>
        <w:t>their</w:t>
      </w:r>
      <w:proofErr w:type="spellEnd"/>
      <w:r w:rsidR="00E3001A" w:rsidRPr="00705170">
        <w:rPr>
          <w:rFonts w:ascii="Times New Roman" w:hAnsi="Times New Roman" w:cs="Times New Roman"/>
        </w:rPr>
        <w:t xml:space="preserve"> </w:t>
      </w:r>
      <w:proofErr w:type="spellStart"/>
      <w:r w:rsidR="00E3001A" w:rsidRPr="00705170">
        <w:rPr>
          <w:rFonts w:ascii="Times New Roman" w:hAnsi="Times New Roman" w:cs="Times New Roman"/>
        </w:rPr>
        <w:t>non</w:t>
      </w:r>
      <w:proofErr w:type="spellEnd"/>
      <w:r w:rsidR="00E3001A" w:rsidRPr="00705170">
        <w:rPr>
          <w:rFonts w:ascii="Times New Roman" w:hAnsi="Times New Roman" w:cs="Times New Roman"/>
        </w:rPr>
        <w:t xml:space="preserve">- </w:t>
      </w:r>
      <w:proofErr w:type="spellStart"/>
      <w:r w:rsidR="00E3001A" w:rsidRPr="00705170">
        <w:rPr>
          <w:rFonts w:ascii="Times New Roman" w:hAnsi="Times New Roman" w:cs="Times New Roman"/>
        </w:rPr>
        <w:t>pecuniary</w:t>
      </w:r>
      <w:proofErr w:type="spellEnd"/>
      <w:r w:rsidR="00E3001A" w:rsidRPr="00705170">
        <w:rPr>
          <w:rFonts w:ascii="Times New Roman" w:hAnsi="Times New Roman" w:cs="Times New Roman"/>
        </w:rPr>
        <w:t xml:space="preserve"> </w:t>
      </w:r>
      <w:proofErr w:type="spellStart"/>
      <w:r w:rsidR="00E3001A" w:rsidRPr="00705170">
        <w:rPr>
          <w:rFonts w:ascii="Times New Roman" w:hAnsi="Times New Roman" w:cs="Times New Roman"/>
        </w:rPr>
        <w:t>private</w:t>
      </w:r>
      <w:proofErr w:type="spellEnd"/>
      <w:r w:rsidR="00E3001A" w:rsidRPr="00705170">
        <w:rPr>
          <w:rFonts w:ascii="Times New Roman" w:hAnsi="Times New Roman" w:cs="Times New Roman"/>
        </w:rPr>
        <w:t xml:space="preserve"> </w:t>
      </w:r>
      <w:proofErr w:type="spellStart"/>
      <w:r w:rsidR="00E3001A" w:rsidRPr="00705170">
        <w:rPr>
          <w:rFonts w:ascii="Times New Roman" w:hAnsi="Times New Roman" w:cs="Times New Roman"/>
        </w:rPr>
        <w:t>benefit</w:t>
      </w:r>
      <w:proofErr w:type="spellEnd"/>
      <w:r w:rsidR="00E3001A" w:rsidRPr="00705170">
        <w:rPr>
          <w:rFonts w:ascii="Times New Roman" w:hAnsi="Times New Roman" w:cs="Times New Roman"/>
        </w:rPr>
        <w:t xml:space="preserve"> </w:t>
      </w:r>
      <w:proofErr w:type="spellStart"/>
      <w:r w:rsidR="00E3001A" w:rsidRPr="00705170">
        <w:rPr>
          <w:rFonts w:ascii="Times New Roman" w:hAnsi="Times New Roman" w:cs="Times New Roman"/>
        </w:rPr>
        <w:t>extractions</w:t>
      </w:r>
      <w:proofErr w:type="spellEnd"/>
      <w:r w:rsidR="00E3001A" w:rsidRPr="00705170">
        <w:rPr>
          <w:rFonts w:ascii="Times New Roman" w:hAnsi="Times New Roman" w:cs="Times New Roman"/>
        </w:rPr>
        <w:t>.</w:t>
      </w:r>
    </w:p>
    <w:p w14:paraId="09407C01" w14:textId="77777777" w:rsidR="00345B92" w:rsidRPr="00705170" w:rsidRDefault="00345B92" w:rsidP="00345B92">
      <w:pPr>
        <w:tabs>
          <w:tab w:val="left" w:pos="2025"/>
        </w:tabs>
        <w:spacing w:line="480" w:lineRule="auto"/>
        <w:jc w:val="center"/>
        <w:rPr>
          <w:rFonts w:ascii="Times New Roman" w:hAnsi="Times New Roman" w:cs="Times New Roman"/>
          <w:b/>
          <w:lang w:val="en-US"/>
        </w:rPr>
      </w:pPr>
      <w:r w:rsidRPr="00705170">
        <w:rPr>
          <w:rFonts w:ascii="Times New Roman" w:hAnsi="Times New Roman" w:cs="Times New Roman"/>
          <w:b/>
          <w:lang w:val="en-US"/>
        </w:rPr>
        <w:t>CHAPTER II</w:t>
      </w:r>
    </w:p>
    <w:p w14:paraId="09E1E8FD" w14:textId="77777777" w:rsidR="00345B92" w:rsidRPr="00705170" w:rsidRDefault="00345B92" w:rsidP="00345B92">
      <w:pPr>
        <w:spacing w:line="480" w:lineRule="auto"/>
        <w:jc w:val="center"/>
        <w:rPr>
          <w:rFonts w:ascii="Times New Roman" w:hAnsi="Times New Roman" w:cs="Times New Roman"/>
          <w:b/>
          <w:lang w:val="en-US"/>
        </w:rPr>
      </w:pPr>
      <w:r w:rsidRPr="00705170">
        <w:rPr>
          <w:rFonts w:ascii="Times New Roman" w:hAnsi="Times New Roman" w:cs="Times New Roman"/>
          <w:b/>
          <w:lang w:val="en-US"/>
        </w:rPr>
        <w:t>DEFINING THE CONCEPTS AND THE FLAW</w:t>
      </w:r>
    </w:p>
    <w:p w14:paraId="3AB3F559" w14:textId="77777777" w:rsidR="00345B92" w:rsidRPr="00705170" w:rsidRDefault="00345B92" w:rsidP="00345B92">
      <w:pPr>
        <w:spacing w:line="480" w:lineRule="auto"/>
        <w:jc w:val="both"/>
        <w:rPr>
          <w:rFonts w:ascii="Times New Roman" w:hAnsi="Times New Roman" w:cs="Times New Roman"/>
          <w:b/>
          <w:lang w:val="en-US"/>
        </w:rPr>
      </w:pPr>
      <w:r w:rsidRPr="00705170">
        <w:rPr>
          <w:rFonts w:ascii="Times New Roman" w:hAnsi="Times New Roman" w:cs="Times New Roman"/>
          <w:b/>
          <w:lang w:val="en-US"/>
        </w:rPr>
        <w:tab/>
        <w:t>2.1.</w:t>
      </w:r>
      <w:r w:rsidRPr="00705170">
        <w:rPr>
          <w:rFonts w:ascii="Times New Roman" w:hAnsi="Times New Roman" w:cs="Times New Roman"/>
          <w:b/>
          <w:lang w:val="en-US"/>
        </w:rPr>
        <w:tab/>
        <w:t>Non- Pecuniary Private Benefits</w:t>
      </w:r>
    </w:p>
    <w:p w14:paraId="3A02EDDE" w14:textId="1D6C2E93" w:rsidR="0021104E" w:rsidRPr="00705170" w:rsidRDefault="0021104E" w:rsidP="00345B92">
      <w:pPr>
        <w:spacing w:line="480" w:lineRule="auto"/>
        <w:jc w:val="both"/>
        <w:rPr>
          <w:rFonts w:ascii="Times New Roman" w:hAnsi="Times New Roman" w:cs="Times New Roman"/>
          <w:b/>
          <w:lang w:val="en-US"/>
        </w:rPr>
      </w:pPr>
      <w:r w:rsidRPr="00705170">
        <w:rPr>
          <w:rFonts w:ascii="Times New Roman" w:hAnsi="Times New Roman" w:cs="Times New Roman"/>
          <w:b/>
          <w:lang w:val="en-US"/>
        </w:rPr>
        <w:tab/>
        <w:t>2.1.1.</w:t>
      </w:r>
      <w:r w:rsidRPr="00705170">
        <w:rPr>
          <w:rFonts w:ascii="Times New Roman" w:hAnsi="Times New Roman" w:cs="Times New Roman"/>
          <w:b/>
          <w:lang w:val="en-US"/>
        </w:rPr>
        <w:tab/>
        <w:t>Generally</w:t>
      </w:r>
    </w:p>
    <w:p w14:paraId="24D81D18" w14:textId="788A8BE9" w:rsidR="00345B92" w:rsidRPr="00705170" w:rsidRDefault="00345B92" w:rsidP="00345B92">
      <w:pPr>
        <w:spacing w:line="480" w:lineRule="auto"/>
        <w:ind w:firstLine="708"/>
        <w:jc w:val="both"/>
        <w:rPr>
          <w:rFonts w:ascii="Times New Roman" w:hAnsi="Times New Roman" w:cs="Times New Roman"/>
          <w:b/>
          <w:lang w:val="en-US"/>
        </w:rPr>
      </w:pPr>
      <w:r w:rsidRPr="00705170">
        <w:rPr>
          <w:rFonts w:ascii="Times New Roman" w:hAnsi="Times New Roman" w:cs="Times New Roman"/>
          <w:lang w:val="en-US"/>
        </w:rPr>
        <w:lastRenderedPageBreak/>
        <w:t xml:space="preserve">An investment in shares of a publicly traded corporation is primarily done with the purpose of receiving benefits </w:t>
      </w:r>
      <w:r w:rsidR="00173656" w:rsidRPr="00705170">
        <w:rPr>
          <w:rFonts w:ascii="Times New Roman" w:hAnsi="Times New Roman" w:cs="Times New Roman"/>
          <w:lang w:val="en-US"/>
        </w:rPr>
        <w:t xml:space="preserve">in return </w:t>
      </w:r>
      <w:r w:rsidR="006F395B" w:rsidRPr="00705170">
        <w:rPr>
          <w:rFonts w:ascii="Times New Roman" w:hAnsi="Times New Roman" w:cs="Times New Roman"/>
          <w:lang w:val="en-US"/>
        </w:rPr>
        <w:t>that</w:t>
      </w:r>
      <w:r w:rsidRPr="00705170">
        <w:rPr>
          <w:rFonts w:ascii="Times New Roman" w:hAnsi="Times New Roman" w:cs="Times New Roman"/>
          <w:lang w:val="en-US"/>
        </w:rPr>
        <w:t xml:space="preserve"> law </w:t>
      </w:r>
      <w:r w:rsidR="00173656" w:rsidRPr="00705170">
        <w:rPr>
          <w:rFonts w:ascii="Times New Roman" w:hAnsi="Times New Roman" w:cs="Times New Roman"/>
          <w:lang w:val="en-US"/>
        </w:rPr>
        <w:t>does not prohibit</w:t>
      </w:r>
      <w:r w:rsidR="001E33CA" w:rsidRPr="00705170">
        <w:rPr>
          <w:rStyle w:val="DipnotBavurusu"/>
          <w:rFonts w:ascii="Times New Roman" w:hAnsi="Times New Roman" w:cs="Times New Roman"/>
          <w:lang w:val="en-US"/>
        </w:rPr>
        <w:footnoteReference w:id="45"/>
      </w:r>
      <w:r w:rsidRPr="00705170">
        <w:rPr>
          <w:rFonts w:ascii="Times New Roman" w:hAnsi="Times New Roman" w:cs="Times New Roman"/>
          <w:lang w:val="en-US"/>
        </w:rPr>
        <w:t xml:space="preserve">. Put differently, what the corporation can </w:t>
      </w:r>
      <w:r w:rsidR="001731A8" w:rsidRPr="00705170">
        <w:rPr>
          <w:rFonts w:ascii="Times New Roman" w:hAnsi="Times New Roman" w:cs="Times New Roman"/>
          <w:lang w:val="en-US"/>
        </w:rPr>
        <w:t xml:space="preserve">legally </w:t>
      </w:r>
      <w:r w:rsidRPr="00705170">
        <w:rPr>
          <w:rFonts w:ascii="Times New Roman" w:hAnsi="Times New Roman" w:cs="Times New Roman"/>
          <w:lang w:val="en-US"/>
        </w:rPr>
        <w:t>give in return</w:t>
      </w:r>
      <w:r w:rsidR="00173656" w:rsidRPr="00705170">
        <w:rPr>
          <w:rFonts w:ascii="Times New Roman" w:hAnsi="Times New Roman" w:cs="Times New Roman"/>
          <w:lang w:val="en-US"/>
        </w:rPr>
        <w:t>,</w:t>
      </w:r>
      <w:r w:rsidRPr="00705170">
        <w:rPr>
          <w:rFonts w:ascii="Times New Roman" w:hAnsi="Times New Roman" w:cs="Times New Roman"/>
          <w:lang w:val="en-US"/>
        </w:rPr>
        <w:t xml:space="preserve"> primarily determines</w:t>
      </w:r>
      <w:r w:rsidR="00173656" w:rsidRPr="00705170">
        <w:rPr>
          <w:rFonts w:ascii="Times New Roman" w:hAnsi="Times New Roman" w:cs="Times New Roman"/>
          <w:lang w:val="en-US"/>
        </w:rPr>
        <w:t xml:space="preserve"> what purpose </w:t>
      </w:r>
      <w:r w:rsidRPr="00705170">
        <w:rPr>
          <w:rFonts w:ascii="Times New Roman" w:hAnsi="Times New Roman" w:cs="Times New Roman"/>
          <w:lang w:val="en-US"/>
        </w:rPr>
        <w:t>th</w:t>
      </w:r>
      <w:r w:rsidR="00173656" w:rsidRPr="00705170">
        <w:rPr>
          <w:rFonts w:ascii="Times New Roman" w:hAnsi="Times New Roman" w:cs="Times New Roman"/>
          <w:lang w:val="en-US"/>
        </w:rPr>
        <w:t>e investor has while</w:t>
      </w:r>
      <w:r w:rsidRPr="00705170">
        <w:rPr>
          <w:rFonts w:ascii="Times New Roman" w:hAnsi="Times New Roman" w:cs="Times New Roman"/>
          <w:lang w:val="en-US"/>
        </w:rPr>
        <w:t xml:space="preserve"> investing. Corollary, if a jurisdiction, such as Turkey</w:t>
      </w:r>
      <w:r w:rsidRPr="00705170">
        <w:rPr>
          <w:rStyle w:val="DipnotBavurusu"/>
          <w:rFonts w:ascii="Times New Roman" w:hAnsi="Times New Roman" w:cs="Times New Roman"/>
          <w:lang w:val="en-US"/>
        </w:rPr>
        <w:footnoteReference w:id="46"/>
      </w:r>
      <w:r w:rsidRPr="00705170">
        <w:rPr>
          <w:rFonts w:ascii="Times New Roman" w:hAnsi="Times New Roman" w:cs="Times New Roman"/>
          <w:lang w:val="en-US"/>
        </w:rPr>
        <w:t>, provides that a corporation can only be established for economic purposes (i.e., a corporation is statutorily obliged and restricted to return economic benefits), investors will invest in them</w:t>
      </w:r>
      <w:r w:rsidR="0014443F" w:rsidRPr="00705170">
        <w:rPr>
          <w:rFonts w:ascii="Times New Roman" w:hAnsi="Times New Roman" w:cs="Times New Roman"/>
          <w:lang w:val="en-US"/>
        </w:rPr>
        <w:t xml:space="preserve"> with the purpose of receiving</w:t>
      </w:r>
      <w:r w:rsidRPr="00705170">
        <w:rPr>
          <w:rFonts w:ascii="Times New Roman" w:hAnsi="Times New Roman" w:cs="Times New Roman"/>
          <w:lang w:val="en-US"/>
        </w:rPr>
        <w:t xml:space="preserve"> </w:t>
      </w:r>
      <w:r w:rsidR="003C5E88" w:rsidRPr="00705170">
        <w:rPr>
          <w:rFonts w:ascii="Times New Roman" w:hAnsi="Times New Roman" w:cs="Times New Roman"/>
          <w:lang w:val="en-US"/>
        </w:rPr>
        <w:t>(i.e., extract</w:t>
      </w:r>
      <w:r w:rsidR="0014443F" w:rsidRPr="00705170">
        <w:rPr>
          <w:rFonts w:ascii="Times New Roman" w:hAnsi="Times New Roman" w:cs="Times New Roman"/>
          <w:lang w:val="en-US"/>
        </w:rPr>
        <w:t>ing</w:t>
      </w:r>
      <w:r w:rsidR="003C5E88" w:rsidRPr="00705170">
        <w:rPr>
          <w:rFonts w:ascii="Times New Roman" w:hAnsi="Times New Roman" w:cs="Times New Roman"/>
          <w:lang w:val="en-US"/>
        </w:rPr>
        <w:t xml:space="preserve">) </w:t>
      </w:r>
      <w:r w:rsidRPr="00705170">
        <w:rPr>
          <w:rFonts w:ascii="Times New Roman" w:hAnsi="Times New Roman" w:cs="Times New Roman"/>
          <w:lang w:val="en-US"/>
        </w:rPr>
        <w:t>economic benefits (i.e., pecuniary benefits) in return</w:t>
      </w:r>
      <w:r w:rsidR="00D34493">
        <w:rPr>
          <w:rStyle w:val="DipnotBavurusu"/>
          <w:rFonts w:ascii="Times New Roman" w:hAnsi="Times New Roman" w:cs="Times New Roman"/>
          <w:lang w:val="en-US"/>
        </w:rPr>
        <w:footnoteReference w:id="47"/>
      </w:r>
      <w:r w:rsidRPr="00705170">
        <w:rPr>
          <w:rFonts w:ascii="Times New Roman" w:hAnsi="Times New Roman" w:cs="Times New Roman"/>
          <w:lang w:val="en-US"/>
        </w:rPr>
        <w:t xml:space="preserve">. However, even when there is no </w:t>
      </w:r>
      <w:r w:rsidR="005D173D" w:rsidRPr="00705170">
        <w:rPr>
          <w:rFonts w:ascii="Times New Roman" w:hAnsi="Times New Roman" w:cs="Times New Roman"/>
          <w:lang w:val="en-US"/>
        </w:rPr>
        <w:t xml:space="preserve">explicit </w:t>
      </w:r>
      <w:r w:rsidRPr="00705170">
        <w:rPr>
          <w:rFonts w:ascii="Times New Roman" w:hAnsi="Times New Roman" w:cs="Times New Roman"/>
          <w:lang w:val="en-US"/>
        </w:rPr>
        <w:t xml:space="preserve">restriction in terms of corporate law, </w:t>
      </w:r>
      <w:r w:rsidR="00386D86" w:rsidRPr="00705170">
        <w:rPr>
          <w:rFonts w:ascii="Times New Roman" w:hAnsi="Times New Roman" w:cs="Times New Roman"/>
          <w:lang w:val="en-US"/>
        </w:rPr>
        <w:t>like</w:t>
      </w:r>
      <w:r w:rsidRPr="00705170">
        <w:rPr>
          <w:rFonts w:ascii="Times New Roman" w:hAnsi="Times New Roman" w:cs="Times New Roman"/>
          <w:lang w:val="en-US"/>
        </w:rPr>
        <w:t xml:space="preserve"> in Delaware</w:t>
      </w:r>
      <w:r w:rsidRPr="00705170">
        <w:rPr>
          <w:rStyle w:val="DipnotBavurusu"/>
          <w:rFonts w:ascii="Times New Roman" w:hAnsi="Times New Roman" w:cs="Times New Roman"/>
          <w:lang w:val="en-US"/>
        </w:rPr>
        <w:footnoteReference w:id="48"/>
      </w:r>
      <w:r w:rsidRPr="00705170">
        <w:rPr>
          <w:rFonts w:ascii="Times New Roman" w:hAnsi="Times New Roman" w:cs="Times New Roman"/>
          <w:lang w:val="en-US"/>
        </w:rPr>
        <w:t>, there can be other statutory provisions present, constraining the investor’s purpose</w:t>
      </w:r>
      <w:r w:rsidR="00386D86" w:rsidRPr="00705170">
        <w:rPr>
          <w:rFonts w:ascii="Times New Roman" w:hAnsi="Times New Roman" w:cs="Times New Roman"/>
          <w:lang w:val="en-US"/>
        </w:rPr>
        <w:t xml:space="preserve"> to extract</w:t>
      </w:r>
      <w:r w:rsidRPr="00705170">
        <w:rPr>
          <w:rFonts w:ascii="Times New Roman" w:hAnsi="Times New Roman" w:cs="Times New Roman"/>
          <w:lang w:val="en-US"/>
        </w:rPr>
        <w:t xml:space="preserve"> non- economic (i.e., non- pecuniary) benefits in return</w:t>
      </w:r>
      <w:r w:rsidRPr="00705170">
        <w:rPr>
          <w:rStyle w:val="DipnotBavurusu"/>
          <w:rFonts w:ascii="Times New Roman" w:hAnsi="Times New Roman" w:cs="Times New Roman"/>
          <w:lang w:val="en-US"/>
        </w:rPr>
        <w:footnoteReference w:id="49"/>
      </w:r>
      <w:r w:rsidRPr="00705170">
        <w:rPr>
          <w:rFonts w:ascii="Times New Roman" w:hAnsi="Times New Roman" w:cs="Times New Roman"/>
          <w:lang w:val="en-US"/>
        </w:rPr>
        <w:t>.</w:t>
      </w:r>
      <w:r w:rsidR="003C5E88" w:rsidRPr="00705170">
        <w:rPr>
          <w:rFonts w:ascii="Times New Roman" w:hAnsi="Times New Roman" w:cs="Times New Roman"/>
          <w:lang w:val="en-US"/>
        </w:rPr>
        <w:t xml:space="preserve"> </w:t>
      </w:r>
      <w:r w:rsidR="001231F5" w:rsidRPr="00705170">
        <w:rPr>
          <w:rFonts w:ascii="Times New Roman" w:hAnsi="Times New Roman" w:cs="Times New Roman"/>
          <w:lang w:val="en-US"/>
        </w:rPr>
        <w:t xml:space="preserve">Nevertheless, it is acknowledged that it is likely that the goal of a “shareholder is not only </w:t>
      </w:r>
      <w:r w:rsidR="001231F5" w:rsidRPr="00705170">
        <w:rPr>
          <w:rFonts w:ascii="Times New Roman" w:hAnsi="Times New Roman" w:cs="Times New Roman"/>
          <w:lang w:val="en-US"/>
        </w:rPr>
        <w:lastRenderedPageBreak/>
        <w:t>to maximize his wealth, but to improve his total utility from attaining a combination of</w:t>
      </w:r>
      <w:r w:rsidR="000B647A" w:rsidRPr="00705170">
        <w:rPr>
          <w:rFonts w:ascii="Times New Roman" w:hAnsi="Times New Roman" w:cs="Times New Roman"/>
          <w:lang w:val="en-US"/>
        </w:rPr>
        <w:t xml:space="preserve"> pecuniary and non- pecuniary </w:t>
      </w:r>
      <w:r w:rsidR="001231F5" w:rsidRPr="00705170">
        <w:rPr>
          <w:rFonts w:ascii="Times New Roman" w:hAnsi="Times New Roman" w:cs="Times New Roman"/>
          <w:lang w:val="en-US"/>
        </w:rPr>
        <w:t>benefits”</w:t>
      </w:r>
      <w:r w:rsidR="001231F5" w:rsidRPr="00705170">
        <w:rPr>
          <w:rStyle w:val="DipnotBavurusu"/>
          <w:rFonts w:ascii="Times New Roman" w:hAnsi="Times New Roman" w:cs="Times New Roman"/>
          <w:lang w:val="en-US"/>
        </w:rPr>
        <w:footnoteReference w:id="50"/>
      </w:r>
      <w:r w:rsidR="001231F5" w:rsidRPr="00705170">
        <w:rPr>
          <w:rFonts w:ascii="Times New Roman" w:hAnsi="Times New Roman" w:cs="Times New Roman"/>
          <w:lang w:val="en-US"/>
        </w:rPr>
        <w:t>.</w:t>
      </w:r>
    </w:p>
    <w:p w14:paraId="11E0D952" w14:textId="20EA702F" w:rsidR="00345B92" w:rsidRPr="00705170" w:rsidRDefault="001731A8" w:rsidP="00345B92">
      <w:pPr>
        <w:spacing w:after="240" w:line="480" w:lineRule="auto"/>
        <w:ind w:firstLine="720"/>
        <w:jc w:val="both"/>
        <w:rPr>
          <w:rFonts w:ascii="Times New Roman" w:hAnsi="Times New Roman" w:cs="Times New Roman"/>
          <w:lang w:val="en-US"/>
        </w:rPr>
      </w:pPr>
      <w:r w:rsidRPr="00705170">
        <w:rPr>
          <w:rFonts w:ascii="Times New Roman" w:hAnsi="Times New Roman" w:cs="Times New Roman"/>
          <w:lang w:val="en-US"/>
        </w:rPr>
        <w:t>Then, i</w:t>
      </w:r>
      <w:r w:rsidR="00345B92" w:rsidRPr="00705170">
        <w:rPr>
          <w:rFonts w:ascii="Times New Roman" w:hAnsi="Times New Roman" w:cs="Times New Roman"/>
          <w:lang w:val="en-US"/>
        </w:rPr>
        <w:t>nvestment in shares of a publicly traded corporation can provide the investor both shared and private benefits</w:t>
      </w:r>
      <w:r w:rsidR="00BB5A44">
        <w:rPr>
          <w:rStyle w:val="DipnotBavurusu"/>
          <w:rFonts w:ascii="Times New Roman" w:hAnsi="Times New Roman" w:cs="Times New Roman"/>
          <w:lang w:val="en-US"/>
        </w:rPr>
        <w:footnoteReference w:id="51"/>
      </w:r>
      <w:r w:rsidR="00345B92" w:rsidRPr="00705170">
        <w:rPr>
          <w:rFonts w:ascii="Times New Roman" w:hAnsi="Times New Roman" w:cs="Times New Roman"/>
          <w:lang w:val="en-US"/>
        </w:rPr>
        <w:t>. While the former benefit represents benefits that accrue to all shareholders proportionate to their rights arising from their investment</w:t>
      </w:r>
      <w:r w:rsidR="00C93C15" w:rsidRPr="00705170">
        <w:rPr>
          <w:rFonts w:ascii="Times New Roman" w:hAnsi="Times New Roman" w:cs="Times New Roman"/>
          <w:lang w:val="en-US"/>
        </w:rPr>
        <w:t xml:space="preserve"> (e.g., dividends)</w:t>
      </w:r>
      <w:r w:rsidR="00345B92" w:rsidRPr="00705170">
        <w:rPr>
          <w:rFonts w:ascii="Times New Roman" w:hAnsi="Times New Roman" w:cs="Times New Roman"/>
          <w:lang w:val="en-US"/>
        </w:rPr>
        <w:t>, the latter benefit only accrues to certain shareholders but not to other shareholders</w:t>
      </w:r>
      <w:r w:rsidR="00373AB7" w:rsidRPr="00705170">
        <w:rPr>
          <w:rStyle w:val="DipnotBavurusu"/>
          <w:rFonts w:ascii="Times New Roman" w:hAnsi="Times New Roman" w:cs="Times New Roman"/>
          <w:lang w:val="en-US"/>
        </w:rPr>
        <w:footnoteReference w:id="52"/>
      </w:r>
      <w:r w:rsidR="00345B92" w:rsidRPr="00705170">
        <w:rPr>
          <w:rFonts w:ascii="Times New Roman" w:hAnsi="Times New Roman" w:cs="Times New Roman"/>
          <w:lang w:val="en-US"/>
        </w:rPr>
        <w:t xml:space="preserve">. Put differently, private benefits represent the disproportionately appropriated values (i.e., benefits) from a share </w:t>
      </w:r>
      <w:r w:rsidR="00345B92" w:rsidRPr="00705170">
        <w:rPr>
          <w:rFonts w:ascii="Times New Roman" w:hAnsi="Times New Roman" w:cs="Times New Roman"/>
          <w:lang w:val="en-US"/>
        </w:rPr>
        <w:lastRenderedPageBreak/>
        <w:t>investment, and requires a benefit received to the exclusion of the other shareholders</w:t>
      </w:r>
      <w:r w:rsidR="00345B92" w:rsidRPr="00705170">
        <w:rPr>
          <w:rStyle w:val="DipnotBavurusu"/>
          <w:rFonts w:ascii="Times New Roman" w:hAnsi="Times New Roman" w:cs="Times New Roman"/>
          <w:lang w:val="en-US"/>
        </w:rPr>
        <w:footnoteReference w:id="53"/>
      </w:r>
      <w:r w:rsidR="00345B92" w:rsidRPr="00705170">
        <w:rPr>
          <w:rFonts w:ascii="Times New Roman" w:hAnsi="Times New Roman" w:cs="Times New Roman"/>
          <w:lang w:val="en-US"/>
        </w:rPr>
        <w:t>.  Herein, when the appropriation of disproportionate benefits involves a resource flow from the corporation to the shareholder</w:t>
      </w:r>
      <w:r w:rsidR="00E053B1" w:rsidRPr="00705170">
        <w:rPr>
          <w:rFonts w:ascii="Times New Roman" w:hAnsi="Times New Roman" w:cs="Times New Roman"/>
          <w:lang w:val="en-US"/>
        </w:rPr>
        <w:t xml:space="preserve"> or brings a directly related future benefit</w:t>
      </w:r>
      <w:r w:rsidR="00345B92" w:rsidRPr="00705170">
        <w:rPr>
          <w:rFonts w:ascii="Times New Roman" w:hAnsi="Times New Roman" w:cs="Times New Roman"/>
          <w:lang w:val="en-US"/>
        </w:rPr>
        <w:t xml:space="preserve"> that can be monetarily expressed</w:t>
      </w:r>
      <w:r w:rsidR="00E053B1" w:rsidRPr="00705170">
        <w:rPr>
          <w:rStyle w:val="DipnotBavurusu"/>
          <w:rFonts w:ascii="Times New Roman" w:hAnsi="Times New Roman" w:cs="Times New Roman"/>
          <w:lang w:val="en-US"/>
        </w:rPr>
        <w:footnoteReference w:id="54"/>
      </w:r>
      <w:r w:rsidR="00345B92" w:rsidRPr="00705170">
        <w:rPr>
          <w:rFonts w:ascii="Times New Roman" w:hAnsi="Times New Roman" w:cs="Times New Roman"/>
          <w:lang w:val="en-US"/>
        </w:rPr>
        <w:t>, this benefit is called a “pecuniary private benefit”</w:t>
      </w:r>
      <w:r w:rsidR="00345B92" w:rsidRPr="00705170">
        <w:rPr>
          <w:rStyle w:val="DipnotBavurusu"/>
          <w:rFonts w:ascii="Times New Roman" w:hAnsi="Times New Roman" w:cs="Times New Roman"/>
          <w:lang w:val="en-US"/>
        </w:rPr>
        <w:footnoteReference w:id="55"/>
      </w:r>
      <w:r w:rsidR="00345B92" w:rsidRPr="00705170">
        <w:rPr>
          <w:rFonts w:ascii="Times New Roman" w:hAnsi="Times New Roman" w:cs="Times New Roman"/>
          <w:lang w:val="en-US"/>
        </w:rPr>
        <w:t>. However, when this appropriation does not involve a resource flow from the corporation</w:t>
      </w:r>
      <w:r w:rsidR="001965BC" w:rsidRPr="00705170">
        <w:rPr>
          <w:rFonts w:ascii="Times New Roman" w:hAnsi="Times New Roman" w:cs="Times New Roman"/>
          <w:lang w:val="en-US"/>
        </w:rPr>
        <w:t xml:space="preserve"> itself</w:t>
      </w:r>
      <w:r w:rsidR="00345B92" w:rsidRPr="00705170">
        <w:rPr>
          <w:rFonts w:ascii="Times New Roman" w:hAnsi="Times New Roman" w:cs="Times New Roman"/>
          <w:lang w:val="en-US"/>
        </w:rPr>
        <w:t xml:space="preserve"> to the shareholder </w:t>
      </w:r>
      <w:r w:rsidR="00E053B1" w:rsidRPr="00705170">
        <w:rPr>
          <w:rFonts w:ascii="Times New Roman" w:hAnsi="Times New Roman" w:cs="Times New Roman"/>
          <w:lang w:val="en-US"/>
        </w:rPr>
        <w:t xml:space="preserve">or </w:t>
      </w:r>
      <w:r w:rsidR="00192275" w:rsidRPr="00705170">
        <w:rPr>
          <w:rFonts w:ascii="Times New Roman" w:hAnsi="Times New Roman" w:cs="Times New Roman"/>
          <w:lang w:val="en-US"/>
        </w:rPr>
        <w:t>bring</w:t>
      </w:r>
      <w:r w:rsidR="00635839" w:rsidRPr="00705170">
        <w:rPr>
          <w:rFonts w:ascii="Times New Roman" w:hAnsi="Times New Roman" w:cs="Times New Roman"/>
          <w:lang w:val="en-US"/>
        </w:rPr>
        <w:t>s</w:t>
      </w:r>
      <w:r w:rsidR="00192275" w:rsidRPr="00705170">
        <w:rPr>
          <w:rFonts w:ascii="Times New Roman" w:hAnsi="Times New Roman" w:cs="Times New Roman"/>
          <w:lang w:val="en-US"/>
        </w:rPr>
        <w:t xml:space="preserve"> </w:t>
      </w:r>
      <w:r w:rsidR="00E053B1" w:rsidRPr="00705170">
        <w:rPr>
          <w:rFonts w:ascii="Times New Roman" w:hAnsi="Times New Roman" w:cs="Times New Roman"/>
          <w:lang w:val="en-US"/>
        </w:rPr>
        <w:t xml:space="preserve">a benefit </w:t>
      </w:r>
      <w:r w:rsidR="00345B92" w:rsidRPr="00705170">
        <w:rPr>
          <w:rFonts w:ascii="Times New Roman" w:hAnsi="Times New Roman" w:cs="Times New Roman"/>
          <w:lang w:val="en-US"/>
        </w:rPr>
        <w:t>that can be monetarily expressed, this benefit is called a “non- pecuniary private benefit”</w:t>
      </w:r>
      <w:r w:rsidR="00345B92" w:rsidRPr="00705170">
        <w:rPr>
          <w:rStyle w:val="DipnotBavurusu"/>
          <w:rFonts w:ascii="Times New Roman" w:hAnsi="Times New Roman" w:cs="Times New Roman"/>
          <w:lang w:val="en-US"/>
        </w:rPr>
        <w:footnoteReference w:id="56"/>
      </w:r>
      <w:r w:rsidR="00345B92" w:rsidRPr="00705170">
        <w:rPr>
          <w:rFonts w:ascii="Times New Roman" w:hAnsi="Times New Roman" w:cs="Times New Roman"/>
          <w:lang w:val="en-US"/>
        </w:rPr>
        <w:t xml:space="preserve">. </w:t>
      </w:r>
      <w:r w:rsidR="00370014" w:rsidRPr="00705170">
        <w:rPr>
          <w:rFonts w:ascii="Times New Roman" w:hAnsi="Times New Roman" w:cs="Times New Roman"/>
          <w:lang w:val="en-US"/>
        </w:rPr>
        <w:t>While pecuniary private benefits can be extrac</w:t>
      </w:r>
      <w:r w:rsidR="00635839" w:rsidRPr="00705170">
        <w:rPr>
          <w:rFonts w:ascii="Times New Roman" w:hAnsi="Times New Roman" w:cs="Times New Roman"/>
          <w:lang w:val="en-US"/>
        </w:rPr>
        <w:t>ted by any shareholder who is surrounded by</w:t>
      </w:r>
      <w:r w:rsidR="00370014" w:rsidRPr="00705170">
        <w:rPr>
          <w:rFonts w:ascii="Times New Roman" w:hAnsi="Times New Roman" w:cs="Times New Roman"/>
          <w:lang w:val="en-US"/>
        </w:rPr>
        <w:t xml:space="preserve"> the necessary </w:t>
      </w:r>
      <w:r w:rsidR="00541D83" w:rsidRPr="00705170">
        <w:rPr>
          <w:rFonts w:ascii="Times New Roman" w:hAnsi="Times New Roman" w:cs="Times New Roman"/>
          <w:lang w:val="en-US"/>
        </w:rPr>
        <w:t>conjuncture</w:t>
      </w:r>
      <w:r w:rsidR="00345B92" w:rsidRPr="00705170">
        <w:rPr>
          <w:rFonts w:ascii="Times New Roman" w:hAnsi="Times New Roman" w:cs="Times New Roman"/>
          <w:lang w:val="en-US"/>
        </w:rPr>
        <w:t>, non- pecuniary benefits are idiosyncratic to the shareholder who extracts it</w:t>
      </w:r>
      <w:r w:rsidR="00345B92" w:rsidRPr="00705170">
        <w:rPr>
          <w:rStyle w:val="DipnotBavurusu"/>
          <w:rFonts w:ascii="Times New Roman" w:hAnsi="Times New Roman" w:cs="Times New Roman"/>
          <w:lang w:val="en-US"/>
        </w:rPr>
        <w:footnoteReference w:id="57"/>
      </w:r>
      <w:r w:rsidR="005171BE" w:rsidRPr="00705170">
        <w:rPr>
          <w:rFonts w:ascii="Times New Roman" w:hAnsi="Times New Roman" w:cs="Times New Roman"/>
          <w:lang w:val="en-US"/>
        </w:rPr>
        <w:t xml:space="preserve"> and</w:t>
      </w:r>
      <w:r w:rsidR="00345B92" w:rsidRPr="00705170">
        <w:rPr>
          <w:rFonts w:ascii="Times New Roman" w:hAnsi="Times New Roman" w:cs="Times New Roman"/>
          <w:lang w:val="en-US"/>
        </w:rPr>
        <w:t xml:space="preserve"> provides benefits </w:t>
      </w:r>
      <w:r w:rsidR="00D56DF2">
        <w:rPr>
          <w:rFonts w:ascii="Times New Roman" w:hAnsi="Times New Roman" w:cs="Times New Roman"/>
          <w:lang w:val="en-US"/>
        </w:rPr>
        <w:t xml:space="preserve">most probably </w:t>
      </w:r>
      <w:r w:rsidR="00345B92" w:rsidRPr="00705170">
        <w:rPr>
          <w:rFonts w:ascii="Times New Roman" w:hAnsi="Times New Roman" w:cs="Times New Roman"/>
          <w:lang w:val="en-US"/>
        </w:rPr>
        <w:t>unattainable by the other shareholders</w:t>
      </w:r>
      <w:r w:rsidR="005171BE" w:rsidRPr="00705170">
        <w:rPr>
          <w:rFonts w:ascii="Times New Roman" w:hAnsi="Times New Roman" w:cs="Times New Roman"/>
          <w:lang w:val="en-US"/>
        </w:rPr>
        <w:t>,</w:t>
      </w:r>
      <w:r w:rsidR="00370014" w:rsidRPr="00705170">
        <w:rPr>
          <w:rFonts w:ascii="Times New Roman" w:hAnsi="Times New Roman" w:cs="Times New Roman"/>
          <w:lang w:val="en-US"/>
        </w:rPr>
        <w:t xml:space="preserve"> even when </w:t>
      </w:r>
      <w:r w:rsidR="005171BE" w:rsidRPr="00705170">
        <w:rPr>
          <w:rFonts w:ascii="Times New Roman" w:hAnsi="Times New Roman" w:cs="Times New Roman"/>
          <w:lang w:val="en-US"/>
        </w:rPr>
        <w:t>the latter shareholders</w:t>
      </w:r>
      <w:r w:rsidR="00370014" w:rsidRPr="00705170">
        <w:rPr>
          <w:rFonts w:ascii="Times New Roman" w:hAnsi="Times New Roman" w:cs="Times New Roman"/>
          <w:lang w:val="en-US"/>
        </w:rPr>
        <w:t xml:space="preserve"> are in the same </w:t>
      </w:r>
      <w:r w:rsidR="001E1269" w:rsidRPr="00705170">
        <w:rPr>
          <w:rFonts w:ascii="Times New Roman" w:hAnsi="Times New Roman" w:cs="Times New Roman"/>
          <w:lang w:val="en-US"/>
        </w:rPr>
        <w:t>conjuncture</w:t>
      </w:r>
      <w:r w:rsidR="00345B92" w:rsidRPr="00705170">
        <w:rPr>
          <w:rStyle w:val="DipnotBavurusu"/>
          <w:rFonts w:ascii="Times New Roman" w:hAnsi="Times New Roman" w:cs="Times New Roman"/>
          <w:lang w:val="en-US"/>
        </w:rPr>
        <w:footnoteReference w:id="58"/>
      </w:r>
      <w:r w:rsidR="00345B92" w:rsidRPr="00705170">
        <w:rPr>
          <w:rFonts w:ascii="Times New Roman" w:hAnsi="Times New Roman" w:cs="Times New Roman"/>
          <w:lang w:val="en-US"/>
        </w:rPr>
        <w:t>.</w:t>
      </w:r>
      <w:r w:rsidR="001C6A1E" w:rsidRPr="00705170">
        <w:rPr>
          <w:rFonts w:ascii="Times New Roman" w:hAnsi="Times New Roman" w:cs="Times New Roman"/>
          <w:lang w:val="en-US"/>
        </w:rPr>
        <w:t xml:space="preserve"> </w:t>
      </w:r>
    </w:p>
    <w:p w14:paraId="28A10092" w14:textId="23B925DA" w:rsidR="00A524A3" w:rsidRPr="00705170" w:rsidRDefault="00345B92" w:rsidP="00345B92">
      <w:pPr>
        <w:spacing w:after="240" w:line="480" w:lineRule="auto"/>
        <w:ind w:firstLine="720"/>
        <w:jc w:val="both"/>
        <w:rPr>
          <w:rFonts w:ascii="Times New Roman" w:hAnsi="Times New Roman" w:cs="Times New Roman"/>
          <w:lang w:val="en-US"/>
        </w:rPr>
      </w:pPr>
      <w:r w:rsidRPr="00705170">
        <w:rPr>
          <w:rFonts w:ascii="Times New Roman" w:hAnsi="Times New Roman" w:cs="Times New Roman"/>
          <w:lang w:val="en-US"/>
        </w:rPr>
        <w:lastRenderedPageBreak/>
        <w:t xml:space="preserve">While (1) tunneling transactions (e.g., self- dealing </w:t>
      </w:r>
      <w:r w:rsidR="00D42DE8" w:rsidRPr="00705170">
        <w:rPr>
          <w:rFonts w:ascii="Times New Roman" w:hAnsi="Times New Roman" w:cs="Times New Roman"/>
          <w:lang w:val="en-US"/>
        </w:rPr>
        <w:t xml:space="preserve">or related party transaction </w:t>
      </w:r>
      <w:r w:rsidRPr="00705170">
        <w:rPr>
          <w:rFonts w:ascii="Times New Roman" w:hAnsi="Times New Roman" w:cs="Times New Roman"/>
          <w:lang w:val="en-US"/>
        </w:rPr>
        <w:t>violating the arm’s length principle</w:t>
      </w:r>
      <w:r w:rsidR="00D42DE8" w:rsidRPr="00705170">
        <w:rPr>
          <w:rStyle w:val="DipnotBavurusu"/>
          <w:rFonts w:ascii="Times New Roman" w:hAnsi="Times New Roman" w:cs="Times New Roman"/>
          <w:lang w:val="en-US"/>
        </w:rPr>
        <w:footnoteReference w:id="59"/>
      </w:r>
      <w:r w:rsidRPr="00705170">
        <w:rPr>
          <w:rFonts w:ascii="Times New Roman" w:hAnsi="Times New Roman" w:cs="Times New Roman"/>
          <w:lang w:val="en-US"/>
        </w:rPr>
        <w:t>, expropriation of corporate opportunities, dilutive share issues</w:t>
      </w:r>
      <w:r w:rsidRPr="00705170">
        <w:rPr>
          <w:rStyle w:val="DipnotBavurusu"/>
          <w:rFonts w:ascii="Times New Roman" w:hAnsi="Times New Roman" w:cs="Times New Roman"/>
          <w:lang w:val="en-US"/>
        </w:rPr>
        <w:footnoteReference w:id="60"/>
      </w:r>
      <w:r w:rsidRPr="00705170">
        <w:rPr>
          <w:rFonts w:ascii="Times New Roman" w:hAnsi="Times New Roman" w:cs="Times New Roman"/>
          <w:lang w:val="en-US"/>
        </w:rPr>
        <w:t>), (2) insider trading</w:t>
      </w:r>
      <w:r w:rsidRPr="00705170">
        <w:rPr>
          <w:rStyle w:val="DipnotBavurusu"/>
          <w:rFonts w:ascii="Times New Roman" w:hAnsi="Times New Roman" w:cs="Times New Roman"/>
          <w:lang w:val="en-US"/>
        </w:rPr>
        <w:footnoteReference w:id="61"/>
      </w:r>
      <w:r w:rsidRPr="00705170">
        <w:rPr>
          <w:rFonts w:ascii="Times New Roman" w:hAnsi="Times New Roman" w:cs="Times New Roman"/>
          <w:lang w:val="en-US"/>
        </w:rPr>
        <w:t xml:space="preserve"> and (3) sale of corporate control can be </w:t>
      </w:r>
      <w:r w:rsidR="00D56DF2">
        <w:rPr>
          <w:rFonts w:ascii="Times New Roman" w:hAnsi="Times New Roman" w:cs="Times New Roman"/>
          <w:lang w:val="en-US"/>
        </w:rPr>
        <w:t>listed</w:t>
      </w:r>
      <w:r w:rsidR="00D56DF2" w:rsidRPr="00705170">
        <w:rPr>
          <w:rFonts w:ascii="Times New Roman" w:hAnsi="Times New Roman" w:cs="Times New Roman"/>
          <w:lang w:val="en-US"/>
        </w:rPr>
        <w:t xml:space="preserve"> </w:t>
      </w:r>
      <w:r w:rsidRPr="00705170">
        <w:rPr>
          <w:rFonts w:ascii="Times New Roman" w:hAnsi="Times New Roman" w:cs="Times New Roman"/>
          <w:lang w:val="en-US"/>
        </w:rPr>
        <w:t>as the primary methods of extracting pecuniary private benefits</w:t>
      </w:r>
      <w:r w:rsidR="00F847C7" w:rsidRPr="00705170">
        <w:rPr>
          <w:rFonts w:ascii="Times New Roman" w:hAnsi="Times New Roman" w:cs="Times New Roman"/>
          <w:lang w:val="en-US"/>
        </w:rPr>
        <w:t>, there is no such</w:t>
      </w:r>
      <w:r w:rsidRPr="00705170">
        <w:rPr>
          <w:rFonts w:ascii="Times New Roman" w:hAnsi="Times New Roman" w:cs="Times New Roman"/>
          <w:lang w:val="en-US"/>
        </w:rPr>
        <w:t xml:space="preserve"> list for the non- pecuniary</w:t>
      </w:r>
      <w:r w:rsidR="00F847C7" w:rsidRPr="00705170">
        <w:rPr>
          <w:rFonts w:ascii="Times New Roman" w:hAnsi="Times New Roman" w:cs="Times New Roman"/>
          <w:lang w:val="en-US"/>
        </w:rPr>
        <w:t xml:space="preserve"> private</w:t>
      </w:r>
      <w:r w:rsidRPr="00705170">
        <w:rPr>
          <w:rFonts w:ascii="Times New Roman" w:hAnsi="Times New Roman" w:cs="Times New Roman"/>
          <w:lang w:val="en-US"/>
        </w:rPr>
        <w:t xml:space="preserve"> benefits</w:t>
      </w:r>
      <w:r w:rsidRPr="00705170">
        <w:rPr>
          <w:rStyle w:val="DipnotBavurusu"/>
          <w:rFonts w:ascii="Times New Roman" w:hAnsi="Times New Roman" w:cs="Times New Roman"/>
          <w:lang w:val="en-US"/>
        </w:rPr>
        <w:footnoteReference w:id="62"/>
      </w:r>
      <w:r w:rsidRPr="00705170">
        <w:rPr>
          <w:rFonts w:ascii="Times New Roman" w:hAnsi="Times New Roman" w:cs="Times New Roman"/>
          <w:lang w:val="en-US"/>
        </w:rPr>
        <w:t xml:space="preserve">. Various methods can be used to extract non- pecuniary </w:t>
      </w:r>
      <w:r w:rsidR="00F847C7" w:rsidRPr="00705170">
        <w:rPr>
          <w:rFonts w:ascii="Times New Roman" w:hAnsi="Times New Roman" w:cs="Times New Roman"/>
          <w:lang w:val="en-US"/>
        </w:rPr>
        <w:t xml:space="preserve">private </w:t>
      </w:r>
      <w:r w:rsidRPr="00705170">
        <w:rPr>
          <w:rFonts w:ascii="Times New Roman" w:hAnsi="Times New Roman" w:cs="Times New Roman"/>
          <w:lang w:val="en-US"/>
        </w:rPr>
        <w:t xml:space="preserve">benefits, but still, it is accurate to state that the extraction itself will generally be derived </w:t>
      </w:r>
      <w:r w:rsidR="00211B9D" w:rsidRPr="00705170">
        <w:rPr>
          <w:rFonts w:ascii="Times New Roman" w:hAnsi="Times New Roman" w:cs="Times New Roman"/>
          <w:lang w:val="en-US"/>
        </w:rPr>
        <w:t xml:space="preserve">through </w:t>
      </w:r>
      <w:r w:rsidRPr="00705170">
        <w:rPr>
          <w:rFonts w:ascii="Times New Roman" w:hAnsi="Times New Roman" w:cs="Times New Roman"/>
          <w:lang w:val="en-US"/>
        </w:rPr>
        <w:t xml:space="preserve">(1) </w:t>
      </w:r>
      <w:r w:rsidR="005E4C83" w:rsidRPr="00705170">
        <w:rPr>
          <w:rFonts w:ascii="Times New Roman" w:hAnsi="Times New Roman" w:cs="Times New Roman"/>
          <w:lang w:val="en-US"/>
        </w:rPr>
        <w:t>“</w:t>
      </w:r>
      <w:r w:rsidR="00A66DBF" w:rsidRPr="00705170">
        <w:rPr>
          <w:rFonts w:ascii="Times New Roman" w:hAnsi="Times New Roman" w:cs="Times New Roman"/>
          <w:lang w:val="en-US"/>
        </w:rPr>
        <w:t>distorted management</w:t>
      </w:r>
      <w:r w:rsidRPr="00705170">
        <w:rPr>
          <w:rFonts w:ascii="Times New Roman" w:hAnsi="Times New Roman" w:cs="Times New Roman"/>
          <w:lang w:val="en-US"/>
        </w:rPr>
        <w:t xml:space="preserve"> of the company business” (transaction based</w:t>
      </w:r>
      <w:r w:rsidR="00211B9D" w:rsidRPr="00705170">
        <w:rPr>
          <w:rFonts w:ascii="Times New Roman" w:hAnsi="Times New Roman" w:cs="Times New Roman"/>
          <w:lang w:val="en-US"/>
        </w:rPr>
        <w:t xml:space="preserve">, </w:t>
      </w:r>
      <w:r w:rsidR="00D56DF2">
        <w:rPr>
          <w:rFonts w:ascii="Times New Roman" w:hAnsi="Times New Roman" w:cs="Times New Roman"/>
          <w:lang w:val="en-US"/>
        </w:rPr>
        <w:t xml:space="preserve">an </w:t>
      </w:r>
      <w:r w:rsidR="00211B9D" w:rsidRPr="00705170">
        <w:rPr>
          <w:rFonts w:ascii="Times New Roman" w:hAnsi="Times New Roman" w:cs="Times New Roman"/>
          <w:lang w:val="en-US"/>
        </w:rPr>
        <w:t>internal act</w:t>
      </w:r>
      <w:r w:rsidRPr="00705170">
        <w:rPr>
          <w:rFonts w:ascii="Times New Roman" w:hAnsi="Times New Roman" w:cs="Times New Roman"/>
          <w:lang w:val="en-US"/>
        </w:rPr>
        <w:t xml:space="preserve">) or (2) </w:t>
      </w:r>
      <w:r w:rsidR="00211B9D" w:rsidRPr="00705170">
        <w:rPr>
          <w:rFonts w:ascii="Times New Roman" w:hAnsi="Times New Roman" w:cs="Times New Roman"/>
          <w:lang w:val="en-US"/>
        </w:rPr>
        <w:t>an</w:t>
      </w:r>
      <w:r w:rsidR="005D0D82" w:rsidRPr="00705170">
        <w:rPr>
          <w:rFonts w:ascii="Times New Roman" w:hAnsi="Times New Roman" w:cs="Times New Roman"/>
          <w:lang w:val="en-US"/>
        </w:rPr>
        <w:t xml:space="preserve"> “external</w:t>
      </w:r>
      <w:r w:rsidRPr="00705170">
        <w:rPr>
          <w:rFonts w:ascii="Times New Roman" w:hAnsi="Times New Roman" w:cs="Times New Roman"/>
          <w:lang w:val="en-US"/>
        </w:rPr>
        <w:t xml:space="preserve"> undertaking” (non- transaction- based</w:t>
      </w:r>
      <w:r w:rsidR="00211B9D" w:rsidRPr="00705170">
        <w:rPr>
          <w:rFonts w:ascii="Times New Roman" w:hAnsi="Times New Roman" w:cs="Times New Roman"/>
          <w:lang w:val="en-US"/>
        </w:rPr>
        <w:t xml:space="preserve">, </w:t>
      </w:r>
      <w:r w:rsidR="00D56DF2">
        <w:rPr>
          <w:rFonts w:ascii="Times New Roman" w:hAnsi="Times New Roman" w:cs="Times New Roman"/>
          <w:lang w:val="en-US"/>
        </w:rPr>
        <w:t xml:space="preserve">an </w:t>
      </w:r>
      <w:r w:rsidR="00211B9D" w:rsidRPr="00705170">
        <w:rPr>
          <w:rFonts w:ascii="Times New Roman" w:hAnsi="Times New Roman" w:cs="Times New Roman"/>
          <w:lang w:val="en-US"/>
        </w:rPr>
        <w:t>external</w:t>
      </w:r>
      <w:r w:rsidR="005D0D82" w:rsidRPr="00705170">
        <w:rPr>
          <w:rFonts w:ascii="Times New Roman" w:hAnsi="Times New Roman" w:cs="Times New Roman"/>
          <w:lang w:val="en-US"/>
        </w:rPr>
        <w:t xml:space="preserve"> </w:t>
      </w:r>
      <w:r w:rsidR="00211B9D" w:rsidRPr="00705170">
        <w:rPr>
          <w:rFonts w:ascii="Times New Roman" w:hAnsi="Times New Roman" w:cs="Times New Roman"/>
          <w:lang w:val="en-US"/>
        </w:rPr>
        <w:t>act</w:t>
      </w:r>
      <w:r w:rsidRPr="00705170">
        <w:rPr>
          <w:rFonts w:ascii="Times New Roman" w:hAnsi="Times New Roman" w:cs="Times New Roman"/>
          <w:lang w:val="en-US"/>
        </w:rPr>
        <w:t>)</w:t>
      </w:r>
      <w:r w:rsidR="005E4C83" w:rsidRPr="00705170">
        <w:rPr>
          <w:rStyle w:val="DipnotBavurusu"/>
          <w:rFonts w:ascii="Times New Roman" w:hAnsi="Times New Roman" w:cs="Times New Roman"/>
          <w:lang w:val="en-US"/>
        </w:rPr>
        <w:footnoteReference w:id="63"/>
      </w:r>
      <w:r w:rsidRPr="00705170">
        <w:rPr>
          <w:rFonts w:ascii="Times New Roman" w:hAnsi="Times New Roman" w:cs="Times New Roman"/>
          <w:lang w:val="en-US"/>
        </w:rPr>
        <w:t>. Hence, to extract</w:t>
      </w:r>
      <w:r w:rsidR="00F847C7" w:rsidRPr="00705170">
        <w:rPr>
          <w:rFonts w:ascii="Times New Roman" w:hAnsi="Times New Roman" w:cs="Times New Roman"/>
          <w:lang w:val="en-US"/>
        </w:rPr>
        <w:t xml:space="preserve"> these benefits, a</w:t>
      </w:r>
      <w:r w:rsidRPr="00705170">
        <w:rPr>
          <w:rFonts w:ascii="Times New Roman" w:hAnsi="Times New Roman" w:cs="Times New Roman"/>
          <w:lang w:val="en-US"/>
        </w:rPr>
        <w:t xml:space="preserve"> shareholder can either lead the corporation to make business decisions that does not contribute to the corporation’s </w:t>
      </w:r>
      <w:r w:rsidR="00F06C1D" w:rsidRPr="00705170">
        <w:rPr>
          <w:rFonts w:ascii="Times New Roman" w:hAnsi="Times New Roman" w:cs="Times New Roman"/>
          <w:lang w:val="en-US"/>
        </w:rPr>
        <w:t>economic benefit</w:t>
      </w:r>
      <w:r w:rsidRPr="00705170">
        <w:rPr>
          <w:rFonts w:ascii="Times New Roman" w:hAnsi="Times New Roman" w:cs="Times New Roman"/>
          <w:lang w:val="en-US"/>
        </w:rPr>
        <w:t xml:space="preserve"> maximization target</w:t>
      </w:r>
      <w:r w:rsidR="00211B9D" w:rsidRPr="00705170">
        <w:rPr>
          <w:rFonts w:ascii="Times New Roman" w:hAnsi="Times New Roman" w:cs="Times New Roman"/>
          <w:lang w:val="en-US"/>
        </w:rPr>
        <w:t xml:space="preserve"> (internal act)</w:t>
      </w:r>
      <w:r w:rsidRPr="00705170">
        <w:rPr>
          <w:rFonts w:ascii="Times New Roman" w:hAnsi="Times New Roman" w:cs="Times New Roman"/>
          <w:lang w:val="en-US"/>
        </w:rPr>
        <w:t xml:space="preserve"> or can individually take actions which damages the corporation’s business</w:t>
      </w:r>
      <w:r w:rsidR="00F06C1D" w:rsidRPr="00705170">
        <w:rPr>
          <w:rFonts w:ascii="Times New Roman" w:hAnsi="Times New Roman" w:cs="Times New Roman"/>
          <w:lang w:val="en-US"/>
        </w:rPr>
        <w:t xml:space="preserve"> or well- being</w:t>
      </w:r>
      <w:r w:rsidR="00211B9D" w:rsidRPr="00705170">
        <w:rPr>
          <w:rFonts w:ascii="Times New Roman" w:hAnsi="Times New Roman" w:cs="Times New Roman"/>
          <w:lang w:val="en-US"/>
        </w:rPr>
        <w:t xml:space="preserve"> </w:t>
      </w:r>
      <w:r w:rsidR="00763E65" w:rsidRPr="00705170">
        <w:rPr>
          <w:rFonts w:ascii="Times New Roman" w:hAnsi="Times New Roman" w:cs="Times New Roman"/>
          <w:lang w:val="en-US"/>
        </w:rPr>
        <w:t xml:space="preserve">but enhances his own benefits </w:t>
      </w:r>
      <w:r w:rsidR="00211B9D" w:rsidRPr="00705170">
        <w:rPr>
          <w:rFonts w:ascii="Times New Roman" w:hAnsi="Times New Roman" w:cs="Times New Roman"/>
          <w:lang w:val="en-US"/>
        </w:rPr>
        <w:t>(external act)</w:t>
      </w:r>
      <w:r w:rsidRPr="00705170">
        <w:rPr>
          <w:rFonts w:ascii="Times New Roman" w:hAnsi="Times New Roman" w:cs="Times New Roman"/>
          <w:lang w:val="en-US"/>
        </w:rPr>
        <w:t xml:space="preserve">. </w:t>
      </w:r>
    </w:p>
    <w:p w14:paraId="5C93B8E7" w14:textId="592F111E" w:rsidR="00521945" w:rsidRDefault="00C93C15" w:rsidP="00521945">
      <w:pPr>
        <w:spacing w:after="240" w:line="480" w:lineRule="auto"/>
        <w:ind w:firstLine="720"/>
        <w:jc w:val="both"/>
        <w:rPr>
          <w:rFonts w:ascii="Times New Roman" w:hAnsi="Times New Roman" w:cs="Times New Roman"/>
          <w:lang w:val="en-US"/>
        </w:rPr>
      </w:pPr>
      <w:r w:rsidRPr="00705170">
        <w:rPr>
          <w:rFonts w:ascii="Times New Roman" w:hAnsi="Times New Roman" w:cs="Times New Roman"/>
          <w:lang w:val="en-US"/>
        </w:rPr>
        <w:t>While it is true that extraction of non- pecuniary private benefits might reduce the profit of the corporation f</w:t>
      </w:r>
      <w:r w:rsidR="005300A9" w:rsidRPr="00705170">
        <w:rPr>
          <w:rFonts w:ascii="Times New Roman" w:hAnsi="Times New Roman" w:cs="Times New Roman"/>
          <w:lang w:val="en-US"/>
        </w:rPr>
        <w:t>rom levels otherwise achievable</w:t>
      </w:r>
      <w:r w:rsidRPr="00705170">
        <w:rPr>
          <w:rFonts w:ascii="Times New Roman" w:hAnsi="Times New Roman" w:cs="Times New Roman"/>
          <w:lang w:val="en-US"/>
        </w:rPr>
        <w:t xml:space="preserve"> and harm the extractor shareholder’</w:t>
      </w:r>
      <w:r w:rsidR="00D56DF2">
        <w:rPr>
          <w:rFonts w:ascii="Times New Roman" w:hAnsi="Times New Roman" w:cs="Times New Roman"/>
          <w:lang w:val="en-US"/>
        </w:rPr>
        <w:t>s</w:t>
      </w:r>
      <w:r w:rsidRPr="00705170">
        <w:rPr>
          <w:rFonts w:ascii="Times New Roman" w:hAnsi="Times New Roman" w:cs="Times New Roman"/>
          <w:lang w:val="en-US"/>
        </w:rPr>
        <w:t xml:space="preserve"> shared and private pecuniary benefits</w:t>
      </w:r>
      <w:r w:rsidR="005300A9" w:rsidRPr="00705170">
        <w:rPr>
          <w:rFonts w:ascii="Times New Roman" w:hAnsi="Times New Roman" w:cs="Times New Roman"/>
          <w:lang w:val="en-US"/>
        </w:rPr>
        <w:t xml:space="preserve"> at the same time</w:t>
      </w:r>
      <w:r w:rsidRPr="00705170">
        <w:rPr>
          <w:rFonts w:ascii="Times New Roman" w:hAnsi="Times New Roman" w:cs="Times New Roman"/>
          <w:lang w:val="en-US"/>
        </w:rPr>
        <w:t>, the extractor nevertheless takes this path because he believes that the pecuniary loss is well compensated with the non- pecuniary gain</w:t>
      </w:r>
      <w:r w:rsidRPr="00705170">
        <w:rPr>
          <w:rStyle w:val="DipnotBavurusu"/>
          <w:rFonts w:ascii="Times New Roman" w:hAnsi="Times New Roman" w:cs="Times New Roman"/>
          <w:lang w:val="en-US"/>
        </w:rPr>
        <w:footnoteReference w:id="64"/>
      </w:r>
      <w:r w:rsidRPr="00705170">
        <w:rPr>
          <w:rFonts w:ascii="Times New Roman" w:hAnsi="Times New Roman" w:cs="Times New Roman"/>
          <w:lang w:val="en-US"/>
        </w:rPr>
        <w:t xml:space="preserve">. </w:t>
      </w:r>
      <w:proofErr w:type="spellStart"/>
      <w:r w:rsidR="005243AC">
        <w:rPr>
          <w:rFonts w:ascii="Times New Roman" w:hAnsi="Times New Roman" w:cs="Times New Roman"/>
        </w:rPr>
        <w:t>While</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t</w:t>
      </w:r>
      <w:r w:rsidR="005243AC" w:rsidRPr="00705170">
        <w:rPr>
          <w:rFonts w:ascii="Times New Roman" w:hAnsi="Times New Roman" w:cs="Times New Roman"/>
        </w:rPr>
        <w:t>heir</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lastRenderedPageBreak/>
        <w:t>conducts</w:t>
      </w:r>
      <w:proofErr w:type="spellEnd"/>
      <w:r w:rsidR="005243AC" w:rsidRPr="00705170">
        <w:rPr>
          <w:rFonts w:ascii="Times New Roman" w:hAnsi="Times New Roman" w:cs="Times New Roman"/>
        </w:rPr>
        <w:t xml:space="preserve"> </w:t>
      </w:r>
      <w:proofErr w:type="spellStart"/>
      <w:r w:rsidR="005243AC">
        <w:rPr>
          <w:rFonts w:ascii="Times New Roman" w:hAnsi="Times New Roman" w:cs="Times New Roman"/>
        </w:rPr>
        <w:t>may</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even</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evolve</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to</w:t>
      </w:r>
      <w:proofErr w:type="spellEnd"/>
      <w:r w:rsidR="005243AC" w:rsidRPr="00705170">
        <w:rPr>
          <w:rFonts w:ascii="Times New Roman" w:hAnsi="Times New Roman" w:cs="Times New Roman"/>
        </w:rPr>
        <w:t xml:space="preserve"> a </w:t>
      </w:r>
      <w:proofErr w:type="spellStart"/>
      <w:r w:rsidR="005243AC" w:rsidRPr="00705170">
        <w:rPr>
          <w:rFonts w:ascii="Times New Roman" w:hAnsi="Times New Roman" w:cs="Times New Roman"/>
        </w:rPr>
        <w:t>point</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that</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harms</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the</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values</w:t>
      </w:r>
      <w:proofErr w:type="spellEnd"/>
      <w:r w:rsidR="005243AC" w:rsidRPr="00705170">
        <w:rPr>
          <w:rFonts w:ascii="Times New Roman" w:hAnsi="Times New Roman" w:cs="Times New Roman"/>
        </w:rPr>
        <w:t xml:space="preserve"> of a </w:t>
      </w:r>
      <w:proofErr w:type="spellStart"/>
      <w:r w:rsidR="005243AC" w:rsidRPr="00705170">
        <w:rPr>
          <w:rFonts w:ascii="Times New Roman" w:hAnsi="Times New Roman" w:cs="Times New Roman"/>
        </w:rPr>
        <w:t>society</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like</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avoidance</w:t>
      </w:r>
      <w:proofErr w:type="spellEnd"/>
      <w:r w:rsidR="005243AC" w:rsidRPr="00705170">
        <w:rPr>
          <w:rFonts w:ascii="Times New Roman" w:hAnsi="Times New Roman" w:cs="Times New Roman"/>
        </w:rPr>
        <w:t xml:space="preserve"> of </w:t>
      </w:r>
      <w:proofErr w:type="spellStart"/>
      <w:r w:rsidR="005243AC" w:rsidRPr="00705170">
        <w:rPr>
          <w:rFonts w:ascii="Times New Roman" w:hAnsi="Times New Roman" w:cs="Times New Roman"/>
        </w:rPr>
        <w:t>political</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corruption</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freedom</w:t>
      </w:r>
      <w:proofErr w:type="spellEnd"/>
      <w:r w:rsidR="005243AC" w:rsidRPr="00705170">
        <w:rPr>
          <w:rFonts w:ascii="Times New Roman" w:hAnsi="Times New Roman" w:cs="Times New Roman"/>
        </w:rPr>
        <w:t xml:space="preserve"> of </w:t>
      </w:r>
      <w:proofErr w:type="spellStart"/>
      <w:r w:rsidR="005243AC" w:rsidRPr="00705170">
        <w:rPr>
          <w:rFonts w:ascii="Times New Roman" w:hAnsi="Times New Roman" w:cs="Times New Roman"/>
        </w:rPr>
        <w:t>speech</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freedom</w:t>
      </w:r>
      <w:proofErr w:type="spellEnd"/>
      <w:r w:rsidR="005243AC" w:rsidRPr="00705170">
        <w:rPr>
          <w:rFonts w:ascii="Times New Roman" w:hAnsi="Times New Roman" w:cs="Times New Roman"/>
        </w:rPr>
        <w:t xml:space="preserve"> of </w:t>
      </w:r>
      <w:proofErr w:type="spellStart"/>
      <w:r w:rsidR="005243AC" w:rsidRPr="00705170">
        <w:rPr>
          <w:rFonts w:ascii="Times New Roman" w:hAnsi="Times New Roman" w:cs="Times New Roman"/>
        </w:rPr>
        <w:t>reli</w:t>
      </w:r>
      <w:r w:rsidR="005243AC">
        <w:rPr>
          <w:rFonts w:ascii="Times New Roman" w:hAnsi="Times New Roman" w:cs="Times New Roman"/>
        </w:rPr>
        <w:t>g</w:t>
      </w:r>
      <w:r w:rsidR="005243AC" w:rsidRPr="00705170">
        <w:rPr>
          <w:rFonts w:ascii="Times New Roman" w:hAnsi="Times New Roman" w:cs="Times New Roman"/>
        </w:rPr>
        <w:t>ion</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and</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social</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state</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welfare</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state</w:t>
      </w:r>
      <w:proofErr w:type="spellEnd"/>
      <w:r w:rsidR="005243AC" w:rsidRPr="00705170">
        <w:rPr>
          <w:rFonts w:ascii="Times New Roman" w:hAnsi="Times New Roman" w:cs="Times New Roman"/>
        </w:rPr>
        <w:t xml:space="preserve">) </w:t>
      </w:r>
      <w:proofErr w:type="spellStart"/>
      <w:r w:rsidR="005243AC" w:rsidRPr="00705170">
        <w:rPr>
          <w:rFonts w:ascii="Times New Roman" w:hAnsi="Times New Roman" w:cs="Times New Roman"/>
        </w:rPr>
        <w:t>principle</w:t>
      </w:r>
      <w:proofErr w:type="spellEnd"/>
      <w:r w:rsidR="005243AC" w:rsidRPr="00705170">
        <w:rPr>
          <w:rStyle w:val="DipnotBavurusu"/>
          <w:rFonts w:ascii="Times New Roman" w:hAnsi="Times New Roman" w:cs="Times New Roman"/>
        </w:rPr>
        <w:footnoteReference w:id="65"/>
      </w:r>
      <w:r w:rsidR="005243AC">
        <w:rPr>
          <w:rFonts w:ascii="Times New Roman" w:hAnsi="Times New Roman" w:cs="Times New Roman"/>
        </w:rPr>
        <w:t xml:space="preserve">, </w:t>
      </w:r>
      <w:proofErr w:type="spellStart"/>
      <w:r w:rsidR="005243AC">
        <w:rPr>
          <w:rFonts w:ascii="Times New Roman" w:hAnsi="Times New Roman" w:cs="Times New Roman"/>
        </w:rPr>
        <w:t>such</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conducts</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may</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still</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increase</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the</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extractor’s</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non</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pecuniary</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benefits</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if</w:t>
      </w:r>
      <w:proofErr w:type="spellEnd"/>
      <w:r w:rsidR="005243AC">
        <w:rPr>
          <w:rFonts w:ascii="Times New Roman" w:hAnsi="Times New Roman" w:cs="Times New Roman"/>
        </w:rPr>
        <w:t xml:space="preserve"> he is </w:t>
      </w:r>
      <w:proofErr w:type="spellStart"/>
      <w:r w:rsidR="00552917">
        <w:rPr>
          <w:rFonts w:ascii="Times New Roman" w:hAnsi="Times New Roman" w:cs="Times New Roman"/>
        </w:rPr>
        <w:t>personally</w:t>
      </w:r>
      <w:proofErr w:type="spellEnd"/>
      <w:r w:rsidR="00552917">
        <w:rPr>
          <w:rFonts w:ascii="Times New Roman" w:hAnsi="Times New Roman" w:cs="Times New Roman"/>
        </w:rPr>
        <w:t xml:space="preserve"> </w:t>
      </w:r>
      <w:proofErr w:type="spellStart"/>
      <w:r w:rsidR="005243AC">
        <w:rPr>
          <w:rFonts w:ascii="Times New Roman" w:hAnsi="Times New Roman" w:cs="Times New Roman"/>
        </w:rPr>
        <w:t>standing</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against</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such</w:t>
      </w:r>
      <w:proofErr w:type="spellEnd"/>
      <w:r w:rsidR="005243AC">
        <w:rPr>
          <w:rFonts w:ascii="Times New Roman" w:hAnsi="Times New Roman" w:cs="Times New Roman"/>
        </w:rPr>
        <w:t xml:space="preserve"> </w:t>
      </w:r>
      <w:proofErr w:type="spellStart"/>
      <w:r w:rsidR="005243AC">
        <w:rPr>
          <w:rFonts w:ascii="Times New Roman" w:hAnsi="Times New Roman" w:cs="Times New Roman"/>
        </w:rPr>
        <w:t>values</w:t>
      </w:r>
      <w:proofErr w:type="spellEnd"/>
      <w:r w:rsidR="005243AC">
        <w:rPr>
          <w:rFonts w:ascii="Times New Roman" w:hAnsi="Times New Roman" w:cs="Times New Roman"/>
        </w:rPr>
        <w:t>.</w:t>
      </w:r>
      <w:r w:rsidR="00521945">
        <w:rPr>
          <w:rFonts w:ascii="Times New Roman" w:hAnsi="Times New Roman" w:cs="Times New Roman"/>
        </w:rPr>
        <w:t xml:space="preserve"> </w:t>
      </w:r>
      <w:r w:rsidR="001B29B0" w:rsidRPr="00705170">
        <w:rPr>
          <w:rFonts w:ascii="Times New Roman" w:hAnsi="Times New Roman" w:cs="Times New Roman"/>
          <w:lang w:val="en-US"/>
        </w:rPr>
        <w:t>“</w:t>
      </w:r>
      <w:r w:rsidR="005243AC">
        <w:rPr>
          <w:rFonts w:ascii="Times New Roman" w:hAnsi="Times New Roman" w:cs="Times New Roman"/>
          <w:lang w:val="en-US"/>
        </w:rPr>
        <w:t>T</w:t>
      </w:r>
      <w:r w:rsidR="001B29B0" w:rsidRPr="00705170">
        <w:rPr>
          <w:rFonts w:ascii="Times New Roman" w:hAnsi="Times New Roman" w:cs="Times New Roman"/>
          <w:lang w:val="en-US"/>
        </w:rPr>
        <w:t>he value of non- pecuniary benefits is very dependent on the people’s mindset and preferences shaped by their particular culture”</w:t>
      </w:r>
      <w:r w:rsidR="001B29B0" w:rsidRPr="00705170">
        <w:rPr>
          <w:rStyle w:val="DipnotBavurusu"/>
          <w:rFonts w:ascii="Times New Roman" w:hAnsi="Times New Roman" w:cs="Times New Roman"/>
          <w:lang w:val="en-US"/>
        </w:rPr>
        <w:footnoteReference w:id="66"/>
      </w:r>
      <w:r w:rsidR="001B29B0" w:rsidRPr="00705170">
        <w:rPr>
          <w:rFonts w:ascii="Times New Roman" w:hAnsi="Times New Roman" w:cs="Times New Roman"/>
          <w:lang w:val="en-US"/>
        </w:rPr>
        <w:t>.</w:t>
      </w:r>
      <w:r w:rsidR="005E2E5C" w:rsidRPr="00705170">
        <w:rPr>
          <w:rFonts w:ascii="Times New Roman" w:hAnsi="Times New Roman" w:cs="Times New Roman"/>
          <w:lang w:val="en-US"/>
        </w:rPr>
        <w:t xml:space="preserve"> The notion that the human decision- making process is not always governed by reason, and people do not always act in accordance with </w:t>
      </w:r>
      <w:r w:rsidR="00F24359" w:rsidRPr="00705170">
        <w:rPr>
          <w:rFonts w:ascii="Times New Roman" w:hAnsi="Times New Roman" w:cs="Times New Roman"/>
          <w:lang w:val="en-US"/>
        </w:rPr>
        <w:t xml:space="preserve">the </w:t>
      </w:r>
      <w:r w:rsidR="005E2E5C" w:rsidRPr="00705170">
        <w:rPr>
          <w:rFonts w:ascii="Times New Roman" w:hAnsi="Times New Roman" w:cs="Times New Roman"/>
          <w:lang w:val="en-US"/>
        </w:rPr>
        <w:t>rational choice theory</w:t>
      </w:r>
      <w:r w:rsidR="005E2E5C" w:rsidRPr="00705170">
        <w:rPr>
          <w:rStyle w:val="DipnotBavurusu"/>
          <w:rFonts w:ascii="Times New Roman" w:hAnsi="Times New Roman" w:cs="Times New Roman"/>
          <w:lang w:val="en-US"/>
        </w:rPr>
        <w:footnoteReference w:id="67"/>
      </w:r>
      <w:r w:rsidR="005E2E5C" w:rsidRPr="00705170">
        <w:rPr>
          <w:rFonts w:ascii="Times New Roman" w:hAnsi="Times New Roman" w:cs="Times New Roman"/>
          <w:lang w:val="en-US"/>
        </w:rPr>
        <w:t>, also justifies these</w:t>
      </w:r>
      <w:r w:rsidR="00C058FA" w:rsidRPr="00705170">
        <w:rPr>
          <w:rFonts w:ascii="Times New Roman" w:hAnsi="Times New Roman" w:cs="Times New Roman"/>
          <w:lang w:val="en-US"/>
        </w:rPr>
        <w:t xml:space="preserve"> allegedly </w:t>
      </w:r>
      <w:r w:rsidR="004740CC" w:rsidRPr="00705170">
        <w:rPr>
          <w:rFonts w:ascii="Times New Roman" w:hAnsi="Times New Roman" w:cs="Times New Roman"/>
          <w:lang w:val="en-US"/>
        </w:rPr>
        <w:t>“</w:t>
      </w:r>
      <w:r w:rsidR="00C058FA" w:rsidRPr="00705170">
        <w:rPr>
          <w:rFonts w:ascii="Times New Roman" w:hAnsi="Times New Roman" w:cs="Times New Roman"/>
          <w:lang w:val="en-US"/>
        </w:rPr>
        <w:t>unwise</w:t>
      </w:r>
      <w:r w:rsidR="004740CC" w:rsidRPr="00705170">
        <w:rPr>
          <w:rFonts w:ascii="Times New Roman" w:hAnsi="Times New Roman" w:cs="Times New Roman"/>
          <w:lang w:val="en-US"/>
        </w:rPr>
        <w:t>”</w:t>
      </w:r>
      <w:r w:rsidR="005E2E5C" w:rsidRPr="00705170">
        <w:rPr>
          <w:rFonts w:ascii="Times New Roman" w:hAnsi="Times New Roman" w:cs="Times New Roman"/>
          <w:lang w:val="en-US"/>
        </w:rPr>
        <w:t xml:space="preserve"> extractions.</w:t>
      </w:r>
    </w:p>
    <w:p w14:paraId="240449AF" w14:textId="72755CF8" w:rsidR="008A75A8" w:rsidRPr="00705170" w:rsidRDefault="008A75A8" w:rsidP="00345B92">
      <w:pPr>
        <w:spacing w:after="240" w:line="480" w:lineRule="auto"/>
        <w:ind w:firstLine="720"/>
        <w:jc w:val="both"/>
        <w:rPr>
          <w:rFonts w:ascii="Times New Roman" w:hAnsi="Times New Roman" w:cs="Times New Roman"/>
          <w:b/>
          <w:lang w:val="en-US"/>
        </w:rPr>
      </w:pPr>
      <w:r w:rsidRPr="00705170">
        <w:rPr>
          <w:rFonts w:ascii="Times New Roman" w:hAnsi="Times New Roman" w:cs="Times New Roman"/>
          <w:b/>
          <w:lang w:val="en-US"/>
        </w:rPr>
        <w:t>2.1.2. Types of Non- Pecuniary Private Benefits</w:t>
      </w:r>
    </w:p>
    <w:p w14:paraId="1BF65F4B" w14:textId="77777777" w:rsidR="00521945" w:rsidRDefault="00345B92" w:rsidP="001C6A1E">
      <w:pPr>
        <w:spacing w:after="240" w:line="480" w:lineRule="auto"/>
        <w:ind w:firstLine="720"/>
        <w:jc w:val="both"/>
        <w:rPr>
          <w:rFonts w:ascii="Times New Roman" w:hAnsi="Times New Roman" w:cs="Times New Roman"/>
          <w:lang w:val="en-US"/>
        </w:rPr>
      </w:pPr>
      <w:r w:rsidRPr="00705170">
        <w:rPr>
          <w:rFonts w:ascii="Times New Roman" w:hAnsi="Times New Roman" w:cs="Times New Roman"/>
          <w:lang w:val="en-US"/>
        </w:rPr>
        <w:t>The non- pecuniary private benefits that a shareholder can extract can be classified as (1) psychic satisfaction</w:t>
      </w:r>
      <w:r w:rsidR="00A5227A" w:rsidRPr="00705170">
        <w:rPr>
          <w:rStyle w:val="DipnotBavurusu"/>
          <w:rFonts w:ascii="Times New Roman" w:hAnsi="Times New Roman" w:cs="Times New Roman"/>
          <w:lang w:val="en-US"/>
        </w:rPr>
        <w:footnoteReference w:id="68"/>
      </w:r>
      <w:r w:rsidRPr="00705170">
        <w:rPr>
          <w:rFonts w:ascii="Times New Roman" w:hAnsi="Times New Roman" w:cs="Times New Roman"/>
          <w:lang w:val="en-US"/>
        </w:rPr>
        <w:t>, (2) reputation in society or certain social circles (i.e., prestige)</w:t>
      </w:r>
      <w:r w:rsidRPr="00705170">
        <w:rPr>
          <w:rStyle w:val="DipnotBavurusu"/>
          <w:rFonts w:ascii="Times New Roman" w:hAnsi="Times New Roman" w:cs="Times New Roman"/>
          <w:lang w:val="en-US"/>
        </w:rPr>
        <w:footnoteReference w:id="69"/>
      </w:r>
      <w:r w:rsidRPr="00705170">
        <w:rPr>
          <w:rFonts w:ascii="Times New Roman" w:hAnsi="Times New Roman" w:cs="Times New Roman"/>
          <w:lang w:val="en-US"/>
        </w:rPr>
        <w:t xml:space="preserve">, and (3) </w:t>
      </w:r>
      <w:r w:rsidRPr="00705170">
        <w:rPr>
          <w:rFonts w:ascii="Times New Roman" w:hAnsi="Times New Roman" w:cs="Times New Roman"/>
          <w:lang w:val="en-US"/>
        </w:rPr>
        <w:lastRenderedPageBreak/>
        <w:t>political power</w:t>
      </w:r>
      <w:r w:rsidR="00722806" w:rsidRPr="00705170">
        <w:rPr>
          <w:rStyle w:val="DipnotBavurusu"/>
          <w:rFonts w:ascii="Times New Roman" w:hAnsi="Times New Roman" w:cs="Times New Roman"/>
          <w:lang w:val="en-US"/>
        </w:rPr>
        <w:footnoteReference w:id="70"/>
      </w:r>
      <w:r w:rsidRPr="00705170">
        <w:rPr>
          <w:rFonts w:ascii="Times New Roman" w:hAnsi="Times New Roman" w:cs="Times New Roman"/>
          <w:lang w:val="en-US"/>
        </w:rPr>
        <w:t xml:space="preserve">. To start with the first, an example of a shareholder increasing his psychic satisfaction via his shareholder position might be a shareholder influencing the corporation to hire </w:t>
      </w:r>
      <w:r w:rsidR="00722806" w:rsidRPr="00705170">
        <w:rPr>
          <w:rFonts w:ascii="Times New Roman" w:hAnsi="Times New Roman" w:cs="Times New Roman"/>
          <w:lang w:val="en-US"/>
        </w:rPr>
        <w:t xml:space="preserve">or invest in </w:t>
      </w:r>
      <w:r w:rsidRPr="00705170">
        <w:rPr>
          <w:rFonts w:ascii="Times New Roman" w:hAnsi="Times New Roman" w:cs="Times New Roman"/>
          <w:lang w:val="en-US"/>
        </w:rPr>
        <w:t>people that he likes (e.g., a relative, girlfriend, friend…)</w:t>
      </w:r>
      <w:r w:rsidRPr="00705170">
        <w:rPr>
          <w:rStyle w:val="DipnotBavurusu"/>
          <w:rFonts w:ascii="Times New Roman" w:hAnsi="Times New Roman" w:cs="Times New Roman"/>
          <w:lang w:val="en-US"/>
        </w:rPr>
        <w:footnoteReference w:id="71"/>
      </w:r>
      <w:r w:rsidRPr="00705170">
        <w:rPr>
          <w:rFonts w:ascii="Times New Roman" w:hAnsi="Times New Roman" w:cs="Times New Roman"/>
          <w:lang w:val="en-US"/>
        </w:rPr>
        <w:t xml:space="preserve"> as employees or to invest in projects he appreciates (e.g., refraining from taking corporate actions that can change the environment of the hometown of the shareholder negatively to uphold personal satisfaction or the existing reputation, or transferring a sports player/manager that the shareholder will enjoy watching in the sports team owned by the corporation or force the team to use a self- penned club song)</w:t>
      </w:r>
      <w:r w:rsidRPr="00705170">
        <w:rPr>
          <w:rStyle w:val="DipnotBavurusu"/>
          <w:rFonts w:ascii="Times New Roman" w:hAnsi="Times New Roman" w:cs="Times New Roman"/>
          <w:lang w:val="en-US"/>
        </w:rPr>
        <w:footnoteReference w:id="72"/>
      </w:r>
      <w:r w:rsidRPr="00705170">
        <w:rPr>
          <w:rFonts w:ascii="Times New Roman" w:hAnsi="Times New Roman" w:cs="Times New Roman"/>
          <w:lang w:val="en-US"/>
        </w:rPr>
        <w:t xml:space="preserve">. </w:t>
      </w:r>
      <w:r w:rsidRPr="00705170">
        <w:rPr>
          <w:rFonts w:ascii="Times New Roman" w:hAnsi="Times New Roman" w:cs="Times New Roman"/>
          <w:lang w:val="en-US"/>
        </w:rPr>
        <w:lastRenderedPageBreak/>
        <w:t>Secondly, one can increa</w:t>
      </w:r>
      <w:r w:rsidR="00A66DBF" w:rsidRPr="00705170">
        <w:rPr>
          <w:rFonts w:ascii="Times New Roman" w:hAnsi="Times New Roman" w:cs="Times New Roman"/>
          <w:lang w:val="en-US"/>
        </w:rPr>
        <w:t>s</w:t>
      </w:r>
      <w:r w:rsidRPr="00705170">
        <w:rPr>
          <w:rFonts w:ascii="Times New Roman" w:hAnsi="Times New Roman" w:cs="Times New Roman"/>
          <w:lang w:val="en-US"/>
        </w:rPr>
        <w:t xml:space="preserve">e his reputation in society by using his shareholder position, by </w:t>
      </w:r>
      <w:r w:rsidR="008A170D" w:rsidRPr="00705170">
        <w:rPr>
          <w:rFonts w:ascii="Times New Roman" w:hAnsi="Times New Roman" w:cs="Times New Roman"/>
          <w:lang w:val="en-US"/>
        </w:rPr>
        <w:t>forcing the corporation to act in a manner that will attract the attention of elites</w:t>
      </w:r>
      <w:r w:rsidR="001B29B0" w:rsidRPr="00705170">
        <w:rPr>
          <w:rFonts w:ascii="Times New Roman" w:hAnsi="Times New Roman" w:cs="Times New Roman"/>
          <w:lang w:val="en-US"/>
        </w:rPr>
        <w:t xml:space="preserve"> or media</w:t>
      </w:r>
      <w:r w:rsidR="001B29B0" w:rsidRPr="00705170">
        <w:rPr>
          <w:rStyle w:val="DipnotBavurusu"/>
          <w:rFonts w:ascii="Times New Roman" w:hAnsi="Times New Roman" w:cs="Times New Roman"/>
          <w:lang w:val="en-US"/>
        </w:rPr>
        <w:footnoteReference w:id="73"/>
      </w:r>
      <w:r w:rsidR="008A170D" w:rsidRPr="00705170">
        <w:rPr>
          <w:rFonts w:ascii="Times New Roman" w:hAnsi="Times New Roman" w:cs="Times New Roman"/>
          <w:lang w:val="en-US"/>
        </w:rPr>
        <w:t xml:space="preserve"> </w:t>
      </w:r>
      <w:r w:rsidRPr="00705170">
        <w:rPr>
          <w:rFonts w:ascii="Times New Roman" w:hAnsi="Times New Roman" w:cs="Times New Roman"/>
          <w:lang w:val="en-US"/>
        </w:rPr>
        <w:t>(e.g., investing in projects that will get the attention of the high elites or create a place among them, or continuing a business’s failing venture just for personal pride</w:t>
      </w:r>
      <w:r w:rsidR="00701FA9" w:rsidRPr="00705170">
        <w:rPr>
          <w:rFonts w:ascii="Times New Roman" w:hAnsi="Times New Roman" w:cs="Times New Roman"/>
          <w:lang w:val="en-US"/>
        </w:rPr>
        <w:t>, settle lawsuits to avoid controversy</w:t>
      </w:r>
      <w:r w:rsidRPr="00705170">
        <w:rPr>
          <w:rFonts w:ascii="Times New Roman" w:hAnsi="Times New Roman" w:cs="Times New Roman"/>
          <w:lang w:val="en-US"/>
        </w:rPr>
        <w:t>)</w:t>
      </w:r>
      <w:r w:rsidRPr="00705170">
        <w:rPr>
          <w:rStyle w:val="DipnotBavurusu"/>
          <w:rFonts w:ascii="Times New Roman" w:hAnsi="Times New Roman" w:cs="Times New Roman"/>
          <w:lang w:val="en-US"/>
        </w:rPr>
        <w:footnoteReference w:id="74"/>
      </w:r>
      <w:r w:rsidRPr="00705170">
        <w:rPr>
          <w:rFonts w:ascii="Times New Roman" w:hAnsi="Times New Roman" w:cs="Times New Roman"/>
          <w:lang w:val="en-US"/>
        </w:rPr>
        <w:t xml:space="preserve">. </w:t>
      </w:r>
    </w:p>
    <w:p w14:paraId="18309B1F" w14:textId="36B41819" w:rsidR="001C6A1E" w:rsidRPr="00705170" w:rsidRDefault="00345B92" w:rsidP="001C6A1E">
      <w:pPr>
        <w:spacing w:after="240" w:line="480" w:lineRule="auto"/>
        <w:ind w:firstLine="720"/>
        <w:jc w:val="both"/>
        <w:rPr>
          <w:rFonts w:ascii="Times New Roman" w:hAnsi="Times New Roman" w:cs="Times New Roman"/>
          <w:lang w:val="en-US"/>
        </w:rPr>
      </w:pPr>
      <w:r w:rsidRPr="00705170">
        <w:rPr>
          <w:rFonts w:ascii="Times New Roman" w:hAnsi="Times New Roman" w:cs="Times New Roman"/>
          <w:lang w:val="en-US"/>
        </w:rPr>
        <w:t>Lastly, as for increasing his political power, a shareholder might use his influence on the corporation (1) to force it conduct a busi</w:t>
      </w:r>
      <w:r w:rsidR="00A435D4" w:rsidRPr="00705170">
        <w:rPr>
          <w:rFonts w:ascii="Times New Roman" w:hAnsi="Times New Roman" w:cs="Times New Roman"/>
          <w:lang w:val="en-US"/>
        </w:rPr>
        <w:t xml:space="preserve">ness that fosters certain ideas to shape the public opinion </w:t>
      </w:r>
      <w:r w:rsidRPr="00705170">
        <w:rPr>
          <w:rFonts w:ascii="Times New Roman" w:hAnsi="Times New Roman" w:cs="Times New Roman"/>
          <w:lang w:val="en-US"/>
        </w:rPr>
        <w:t>(e.g., a newspaper or broadcasting corporation publishing pro- government/</w:t>
      </w:r>
      <w:proofErr w:type="spellStart"/>
      <w:r w:rsidRPr="00705170">
        <w:rPr>
          <w:rFonts w:ascii="Times New Roman" w:hAnsi="Times New Roman" w:cs="Times New Roman"/>
          <w:lang w:val="en-US"/>
        </w:rPr>
        <w:t>hyperpartisan</w:t>
      </w:r>
      <w:proofErr w:type="spellEnd"/>
      <w:r w:rsidRPr="00705170">
        <w:rPr>
          <w:rFonts w:ascii="Times New Roman" w:hAnsi="Times New Roman" w:cs="Times New Roman"/>
          <w:lang w:val="en-US"/>
        </w:rPr>
        <w:t>/non-partisan/ news, a corporation refusing to lease its premises to a liquor store due to religious reasons) or (2) to tunnel corporate money to other institutions or actions for “astroturfing” purposes in a concealed manner (e.g., transferring money via advertisements to newspapers or social media platforms, litigation financing, or excessive dividend declaration)</w:t>
      </w:r>
      <w:r w:rsidRPr="00705170">
        <w:rPr>
          <w:rStyle w:val="DipnotBavurusu"/>
          <w:rFonts w:ascii="Times New Roman" w:hAnsi="Times New Roman" w:cs="Times New Roman"/>
          <w:lang w:val="en-US"/>
        </w:rPr>
        <w:t xml:space="preserve"> </w:t>
      </w:r>
      <w:r w:rsidRPr="00705170">
        <w:rPr>
          <w:rStyle w:val="DipnotBavurusu"/>
          <w:rFonts w:ascii="Times New Roman" w:hAnsi="Times New Roman" w:cs="Times New Roman"/>
          <w:lang w:val="en-US"/>
        </w:rPr>
        <w:footnoteReference w:id="75"/>
      </w:r>
      <w:r w:rsidR="0033273A" w:rsidRPr="00705170">
        <w:rPr>
          <w:rFonts w:ascii="Times New Roman" w:hAnsi="Times New Roman" w:cs="Times New Roman"/>
          <w:lang w:val="en-US"/>
        </w:rPr>
        <w:t>. Moreover, a shareholder</w:t>
      </w:r>
      <w:r w:rsidRPr="00705170">
        <w:rPr>
          <w:rFonts w:ascii="Times New Roman" w:hAnsi="Times New Roman" w:cs="Times New Roman"/>
          <w:lang w:val="en-US"/>
        </w:rPr>
        <w:t xml:space="preserve"> can </w:t>
      </w:r>
      <w:r w:rsidRPr="00705170">
        <w:rPr>
          <w:rFonts w:ascii="Times New Roman" w:hAnsi="Times New Roman" w:cs="Times New Roman"/>
          <w:lang w:val="en-US"/>
        </w:rPr>
        <w:lastRenderedPageBreak/>
        <w:t>use his shareholder position to create a public persona suitable for his political ambitions by building a campaign on his successful shareholder position in the corporation, without interfering in the company m</w:t>
      </w:r>
      <w:r w:rsidR="005D0D82" w:rsidRPr="00705170">
        <w:rPr>
          <w:rFonts w:ascii="Times New Roman" w:hAnsi="Times New Roman" w:cs="Times New Roman"/>
          <w:lang w:val="en-US"/>
        </w:rPr>
        <w:t>anagement (i.e., via an “external</w:t>
      </w:r>
      <w:r w:rsidRPr="00705170">
        <w:rPr>
          <w:rFonts w:ascii="Times New Roman" w:hAnsi="Times New Roman" w:cs="Times New Roman"/>
          <w:lang w:val="en-US"/>
        </w:rPr>
        <w:t xml:space="preserve"> undertaking”)</w:t>
      </w:r>
      <w:r w:rsidR="0033273A" w:rsidRPr="00705170">
        <w:rPr>
          <w:rFonts w:ascii="Times New Roman" w:hAnsi="Times New Roman" w:cs="Times New Roman"/>
          <w:lang w:val="en-US"/>
        </w:rPr>
        <w:t>, and try to politically benefit from his</w:t>
      </w:r>
      <w:r w:rsidRPr="00705170">
        <w:rPr>
          <w:rFonts w:ascii="Times New Roman" w:hAnsi="Times New Roman" w:cs="Times New Roman"/>
          <w:lang w:val="en-US"/>
        </w:rPr>
        <w:t xml:space="preserve"> alignment </w:t>
      </w:r>
      <w:r w:rsidR="0033273A" w:rsidRPr="00705170">
        <w:rPr>
          <w:rFonts w:ascii="Times New Roman" w:hAnsi="Times New Roman" w:cs="Times New Roman"/>
          <w:lang w:val="en-US"/>
        </w:rPr>
        <w:t>with the corporation in the electors</w:t>
      </w:r>
      <w:r w:rsidR="00134C2F" w:rsidRPr="00705170">
        <w:rPr>
          <w:rFonts w:ascii="Times New Roman" w:hAnsi="Times New Roman" w:cs="Times New Roman"/>
          <w:lang w:val="en-US"/>
        </w:rPr>
        <w:t>’</w:t>
      </w:r>
      <w:r w:rsidRPr="00705170">
        <w:rPr>
          <w:rFonts w:ascii="Times New Roman" w:hAnsi="Times New Roman" w:cs="Times New Roman"/>
          <w:lang w:val="en-US"/>
        </w:rPr>
        <w:t xml:space="preserve"> eyes</w:t>
      </w:r>
      <w:r w:rsidRPr="00705170">
        <w:rPr>
          <w:rStyle w:val="DipnotBavurusu"/>
          <w:rFonts w:ascii="Times New Roman" w:hAnsi="Times New Roman" w:cs="Times New Roman"/>
          <w:lang w:val="en-US"/>
        </w:rPr>
        <w:footnoteReference w:id="76"/>
      </w:r>
      <w:r w:rsidRPr="00705170">
        <w:rPr>
          <w:rFonts w:ascii="Times New Roman" w:hAnsi="Times New Roman" w:cs="Times New Roman"/>
          <w:lang w:val="en-US"/>
        </w:rPr>
        <w:t>.</w:t>
      </w:r>
      <w:r w:rsidR="005243AC">
        <w:rPr>
          <w:rFonts w:ascii="Times New Roman" w:hAnsi="Times New Roman" w:cs="Times New Roman"/>
          <w:lang w:val="en-US"/>
        </w:rPr>
        <w:t xml:space="preserve"> </w:t>
      </w:r>
      <w:r w:rsidR="00444A86">
        <w:rPr>
          <w:rFonts w:ascii="Times New Roman" w:hAnsi="Times New Roman" w:cs="Times New Roman"/>
          <w:lang w:val="en-US"/>
        </w:rPr>
        <w:t xml:space="preserve">In such case, the shareholder would not only be risking the reputation of the corporation but also the reputation of other shareholders. While </w:t>
      </w:r>
      <w:r w:rsidR="00444A86">
        <w:rPr>
          <w:rFonts w:ascii="Times New Roman" w:hAnsi="Times New Roman" w:cs="Times New Roman"/>
          <w:lang w:val="en-US"/>
        </w:rPr>
        <w:lastRenderedPageBreak/>
        <w:t>this conduct may be violating capital market law if such statements may be associated with share value, it may also be alleged that both the corporation and its shareholders would have the right to request the compensati</w:t>
      </w:r>
      <w:r w:rsidR="00552917">
        <w:rPr>
          <w:rFonts w:ascii="Times New Roman" w:hAnsi="Times New Roman" w:cs="Times New Roman"/>
          <w:lang w:val="en-US"/>
        </w:rPr>
        <w:t>o</w:t>
      </w:r>
      <w:r w:rsidR="00444A86">
        <w:rPr>
          <w:rFonts w:ascii="Times New Roman" w:hAnsi="Times New Roman" w:cs="Times New Roman"/>
          <w:lang w:val="en-US"/>
        </w:rPr>
        <w:t>n of their non- pecuniary damages caused as a result of the extractors external undertaking type of conduct</w:t>
      </w:r>
      <w:r w:rsidR="00444A86">
        <w:rPr>
          <w:rStyle w:val="DipnotBavurusu"/>
          <w:rFonts w:ascii="Times New Roman" w:hAnsi="Times New Roman" w:cs="Times New Roman"/>
          <w:lang w:val="en-US"/>
        </w:rPr>
        <w:footnoteReference w:id="77"/>
      </w:r>
      <w:r w:rsidR="00444A86">
        <w:rPr>
          <w:rFonts w:ascii="Times New Roman" w:hAnsi="Times New Roman" w:cs="Times New Roman"/>
          <w:lang w:val="en-US"/>
        </w:rPr>
        <w:t xml:space="preserve">. </w:t>
      </w:r>
    </w:p>
    <w:p w14:paraId="1BBBB0BB" w14:textId="684093C5" w:rsidR="001C6A1E" w:rsidRPr="00705170" w:rsidRDefault="001C6A1E" w:rsidP="0021104E">
      <w:pPr>
        <w:spacing w:after="240" w:line="480" w:lineRule="auto"/>
        <w:ind w:firstLine="720"/>
        <w:jc w:val="both"/>
        <w:rPr>
          <w:rFonts w:ascii="Times New Roman" w:hAnsi="Times New Roman" w:cs="Times New Roman"/>
          <w:lang w:val="en-US"/>
        </w:rPr>
      </w:pPr>
      <w:r w:rsidRPr="00705170">
        <w:rPr>
          <w:rFonts w:ascii="Times New Roman" w:hAnsi="Times New Roman" w:cs="Times New Roman"/>
          <w:lang w:val="en-US"/>
        </w:rPr>
        <w:t>It is important to note that this study conceptualizes non- pecuniary private benefits and the harm caused by its extraction as an issue limited to the “shareholder status”</w:t>
      </w:r>
      <w:r w:rsidR="00B02F0F" w:rsidRPr="00705170">
        <w:rPr>
          <w:rFonts w:ascii="Times New Roman" w:hAnsi="Times New Roman" w:cs="Times New Roman"/>
          <w:lang w:val="en-US"/>
        </w:rPr>
        <w:t xml:space="preserve"> in the </w:t>
      </w:r>
      <w:r w:rsidR="00983FD4" w:rsidRPr="00705170">
        <w:rPr>
          <w:rFonts w:ascii="Times New Roman" w:hAnsi="Times New Roman" w:cs="Times New Roman"/>
          <w:lang w:val="en-US"/>
        </w:rPr>
        <w:t>corporation</w:t>
      </w:r>
      <w:r w:rsidR="0063498F" w:rsidRPr="00705170">
        <w:rPr>
          <w:rFonts w:ascii="Times New Roman" w:hAnsi="Times New Roman" w:cs="Times New Roman"/>
          <w:lang w:val="en-US"/>
        </w:rPr>
        <w:t xml:space="preserve">. </w:t>
      </w:r>
      <w:r w:rsidR="00983FD4">
        <w:rPr>
          <w:rFonts w:ascii="Times New Roman" w:hAnsi="Times New Roman" w:cs="Times New Roman"/>
          <w:lang w:val="en-US"/>
        </w:rPr>
        <w:t>Meaning that</w:t>
      </w:r>
      <w:r w:rsidR="00A5227A" w:rsidRPr="00705170">
        <w:rPr>
          <w:rFonts w:ascii="Times New Roman" w:hAnsi="Times New Roman" w:cs="Times New Roman"/>
          <w:lang w:val="en-US"/>
        </w:rPr>
        <w:t>, if a shareholder also has a seat in the management of the corporation and uses his office or corporate assets to extract non- pecuniary private benefits, this should be considered as a benefit derived from his managerial position, not from his shareholder position</w:t>
      </w:r>
      <w:r w:rsidR="00435514" w:rsidRPr="00705170">
        <w:rPr>
          <w:rStyle w:val="DipnotBavurusu"/>
          <w:rFonts w:ascii="Times New Roman" w:hAnsi="Times New Roman" w:cs="Times New Roman"/>
          <w:lang w:val="en-US"/>
        </w:rPr>
        <w:footnoteReference w:id="78"/>
      </w:r>
      <w:r w:rsidR="00A5227A" w:rsidRPr="00705170">
        <w:rPr>
          <w:rFonts w:ascii="Times New Roman" w:hAnsi="Times New Roman" w:cs="Times New Roman"/>
          <w:lang w:val="en-US"/>
        </w:rPr>
        <w:t xml:space="preserve">. For example, the president of a publicly traded corporation might be using the corporation’s yacht for his personal pleasure off- duty and organize parties for his own friends, even though this use is not a part of his official compensation package. </w:t>
      </w:r>
      <w:r w:rsidR="00B13A47" w:rsidRPr="00705170">
        <w:rPr>
          <w:rFonts w:ascii="Times New Roman" w:hAnsi="Times New Roman" w:cs="Times New Roman"/>
          <w:lang w:val="en-US"/>
        </w:rPr>
        <w:t>However, t</w:t>
      </w:r>
      <w:r w:rsidR="00A5227A" w:rsidRPr="00705170">
        <w:rPr>
          <w:rFonts w:ascii="Times New Roman" w:hAnsi="Times New Roman" w:cs="Times New Roman"/>
          <w:lang w:val="en-US"/>
        </w:rPr>
        <w:t>he corporation might have</w:t>
      </w:r>
      <w:r w:rsidR="00B13A47" w:rsidRPr="00705170">
        <w:rPr>
          <w:rFonts w:ascii="Times New Roman" w:hAnsi="Times New Roman" w:cs="Times New Roman"/>
          <w:lang w:val="en-US"/>
        </w:rPr>
        <w:t xml:space="preserve"> just</w:t>
      </w:r>
      <w:r w:rsidR="00A5227A" w:rsidRPr="00705170">
        <w:rPr>
          <w:rFonts w:ascii="Times New Roman" w:hAnsi="Times New Roman" w:cs="Times New Roman"/>
          <w:lang w:val="en-US"/>
        </w:rPr>
        <w:t xml:space="preserve"> rented the yacht and earned money, or at least the yacht’s off- duty time might have used to make repairs or j</w:t>
      </w:r>
      <w:r w:rsidR="00B13A47" w:rsidRPr="00705170">
        <w:rPr>
          <w:rFonts w:ascii="Times New Roman" w:hAnsi="Times New Roman" w:cs="Times New Roman"/>
          <w:lang w:val="en-US"/>
        </w:rPr>
        <w:t>ust to “rest” the vehicle,</w:t>
      </w:r>
      <w:r w:rsidR="00A5227A" w:rsidRPr="00705170">
        <w:rPr>
          <w:rFonts w:ascii="Times New Roman" w:hAnsi="Times New Roman" w:cs="Times New Roman"/>
          <w:lang w:val="en-US"/>
        </w:rPr>
        <w:t xml:space="preserve"> beca</w:t>
      </w:r>
      <w:r w:rsidR="00B13A47" w:rsidRPr="00705170">
        <w:rPr>
          <w:rFonts w:ascii="Times New Roman" w:hAnsi="Times New Roman" w:cs="Times New Roman"/>
          <w:lang w:val="en-US"/>
        </w:rPr>
        <w:t>use the total hours the yacht has been</w:t>
      </w:r>
      <w:r w:rsidR="00A5227A" w:rsidRPr="00705170">
        <w:rPr>
          <w:rFonts w:ascii="Times New Roman" w:hAnsi="Times New Roman" w:cs="Times New Roman"/>
          <w:lang w:val="en-US"/>
        </w:rPr>
        <w:t xml:space="preserve"> used effects the price of the yacht when sold in the secondary market. In this case, the president is not only using a vehicle that he would have normally paid a rent for free, but he is also deriving the non- pecuniary benefit of pleasure and reputation. Still, the president is using the yacht directly via his managerial position in the </w:t>
      </w:r>
      <w:r w:rsidR="00A5227A" w:rsidRPr="00705170">
        <w:rPr>
          <w:rFonts w:ascii="Times New Roman" w:hAnsi="Times New Roman" w:cs="Times New Roman"/>
          <w:lang w:val="en-US"/>
        </w:rPr>
        <w:lastRenderedPageBreak/>
        <w:t>corporation, not directly via his shareholder position. Hence, this extraction should not be considered within the scope of this study’s conception of non- pecuniary private benefits.</w:t>
      </w:r>
    </w:p>
    <w:p w14:paraId="0431B0EB" w14:textId="5CCC4873" w:rsidR="0021104E" w:rsidRPr="00705170" w:rsidRDefault="0021104E" w:rsidP="0021104E">
      <w:pPr>
        <w:spacing w:after="240" w:line="480" w:lineRule="auto"/>
        <w:jc w:val="both"/>
        <w:rPr>
          <w:rFonts w:ascii="Times New Roman" w:hAnsi="Times New Roman" w:cs="Times New Roman"/>
          <w:b/>
          <w:lang w:val="en-US"/>
        </w:rPr>
      </w:pPr>
      <w:r w:rsidRPr="00705170">
        <w:rPr>
          <w:rFonts w:ascii="Times New Roman" w:hAnsi="Times New Roman" w:cs="Times New Roman"/>
          <w:lang w:val="en-US"/>
        </w:rPr>
        <w:tab/>
      </w:r>
      <w:r w:rsidR="008A75A8" w:rsidRPr="00705170">
        <w:rPr>
          <w:rFonts w:ascii="Times New Roman" w:hAnsi="Times New Roman" w:cs="Times New Roman"/>
          <w:b/>
          <w:lang w:val="en-US"/>
        </w:rPr>
        <w:t>2.1.3</w:t>
      </w:r>
      <w:r w:rsidRPr="00705170">
        <w:rPr>
          <w:rFonts w:ascii="Times New Roman" w:hAnsi="Times New Roman" w:cs="Times New Roman"/>
          <w:b/>
          <w:lang w:val="en-US"/>
        </w:rPr>
        <w:t>.</w:t>
      </w:r>
      <w:r w:rsidRPr="00705170">
        <w:rPr>
          <w:rFonts w:ascii="Times New Roman" w:hAnsi="Times New Roman" w:cs="Times New Roman"/>
          <w:b/>
          <w:lang w:val="en-US"/>
        </w:rPr>
        <w:tab/>
        <w:t>Justification for Mandatory Protection</w:t>
      </w:r>
    </w:p>
    <w:p w14:paraId="5E26CFE2" w14:textId="4655A66B" w:rsidR="00861203" w:rsidRPr="00705170" w:rsidRDefault="007464C3" w:rsidP="0047452F">
      <w:pPr>
        <w:spacing w:after="240" w:line="480" w:lineRule="auto"/>
        <w:jc w:val="both"/>
        <w:rPr>
          <w:rFonts w:ascii="Times New Roman" w:hAnsi="Times New Roman" w:cs="Times New Roman"/>
          <w:lang w:val="en-US"/>
        </w:rPr>
      </w:pPr>
      <w:r w:rsidRPr="00705170">
        <w:rPr>
          <w:rFonts w:ascii="Times New Roman" w:hAnsi="Times New Roman" w:cs="Times New Roman"/>
          <w:b/>
          <w:lang w:val="en-US"/>
        </w:rPr>
        <w:tab/>
      </w:r>
      <w:r w:rsidRPr="00705170">
        <w:rPr>
          <w:rFonts w:ascii="Times New Roman" w:hAnsi="Times New Roman" w:cs="Times New Roman"/>
          <w:lang w:val="en-US"/>
        </w:rPr>
        <w:t>It is fair to ask why corporate law should worry about non- pecuniary private benefits, and provide specific mechanisms to control its extraction</w:t>
      </w:r>
      <w:r w:rsidR="004F185C" w:rsidRPr="00705170">
        <w:rPr>
          <w:rFonts w:ascii="Times New Roman" w:hAnsi="Times New Roman" w:cs="Times New Roman"/>
          <w:lang w:val="en-US"/>
        </w:rPr>
        <w:t>, especially in the context of publicly traded corporations</w:t>
      </w:r>
      <w:r w:rsidRPr="00705170">
        <w:rPr>
          <w:rFonts w:ascii="Times New Roman" w:hAnsi="Times New Roman" w:cs="Times New Roman"/>
          <w:lang w:val="en-US"/>
        </w:rPr>
        <w:t>. It is easy to answer this question by simply stating that</w:t>
      </w:r>
      <w:r w:rsidR="00F1245C" w:rsidRPr="00705170">
        <w:rPr>
          <w:rFonts w:ascii="Times New Roman" w:hAnsi="Times New Roman" w:cs="Times New Roman"/>
          <w:lang w:val="en-US"/>
        </w:rPr>
        <w:t xml:space="preserve"> </w:t>
      </w:r>
      <w:r w:rsidRPr="00705170">
        <w:rPr>
          <w:rFonts w:ascii="Times New Roman" w:hAnsi="Times New Roman" w:cs="Times New Roman"/>
          <w:lang w:val="en-US"/>
        </w:rPr>
        <w:t>its extraction is causing an increase in the amount of capital flowing out of the corporation wi</w:t>
      </w:r>
      <w:r w:rsidR="002135CC" w:rsidRPr="00705170">
        <w:rPr>
          <w:rFonts w:ascii="Times New Roman" w:hAnsi="Times New Roman" w:cs="Times New Roman"/>
          <w:lang w:val="en-US"/>
        </w:rPr>
        <w:t>thout a proper business purpose;</w:t>
      </w:r>
      <w:r w:rsidRPr="00705170">
        <w:rPr>
          <w:rFonts w:ascii="Times New Roman" w:hAnsi="Times New Roman" w:cs="Times New Roman"/>
          <w:lang w:val="en-US"/>
        </w:rPr>
        <w:t xml:space="preserve"> and without implementing the measures that preserve the wealth of publicly traded corporations, it is impossible to generate the necessary economic growth in </w:t>
      </w:r>
      <w:r w:rsidR="002F242A">
        <w:rPr>
          <w:rFonts w:ascii="Times New Roman" w:hAnsi="Times New Roman" w:cs="Times New Roman"/>
          <w:lang w:val="en-US"/>
        </w:rPr>
        <w:t>a</w:t>
      </w:r>
      <w:r w:rsidR="002F242A" w:rsidRPr="00705170">
        <w:rPr>
          <w:rFonts w:ascii="Times New Roman" w:hAnsi="Times New Roman" w:cs="Times New Roman"/>
          <w:lang w:val="en-US"/>
        </w:rPr>
        <w:t xml:space="preserve"> </w:t>
      </w:r>
      <w:r w:rsidRPr="00705170">
        <w:rPr>
          <w:rFonts w:ascii="Times New Roman" w:hAnsi="Times New Roman" w:cs="Times New Roman"/>
          <w:lang w:val="en-US"/>
        </w:rPr>
        <w:t xml:space="preserve">country. </w:t>
      </w:r>
      <w:r w:rsidR="00F0243E" w:rsidRPr="00705170">
        <w:rPr>
          <w:rFonts w:ascii="Times New Roman" w:hAnsi="Times New Roman" w:cs="Times New Roman"/>
          <w:lang w:val="en-US"/>
        </w:rPr>
        <w:t xml:space="preserve">This, by itself, </w:t>
      </w:r>
      <w:proofErr w:type="spellStart"/>
      <w:r w:rsidR="00F0243E" w:rsidRPr="00705170">
        <w:rPr>
          <w:rFonts w:ascii="Times New Roman" w:hAnsi="Times New Roman" w:cs="Times New Roman"/>
          <w:lang w:val="en-US"/>
        </w:rPr>
        <w:t>jusitifies</w:t>
      </w:r>
      <w:proofErr w:type="spellEnd"/>
      <w:r w:rsidR="00F0243E" w:rsidRPr="00705170">
        <w:rPr>
          <w:rFonts w:ascii="Times New Roman" w:hAnsi="Times New Roman" w:cs="Times New Roman"/>
          <w:lang w:val="en-US"/>
        </w:rPr>
        <w:t xml:space="preserve"> why publicly traded corporations requires a special consideration</w:t>
      </w:r>
      <w:r w:rsidR="00F0243E" w:rsidRPr="00705170">
        <w:rPr>
          <w:rStyle w:val="DipnotBavurusu"/>
          <w:rFonts w:ascii="Times New Roman" w:hAnsi="Times New Roman" w:cs="Times New Roman"/>
          <w:lang w:val="en-US"/>
        </w:rPr>
        <w:footnoteReference w:id="79"/>
      </w:r>
      <w:r w:rsidR="00F0243E" w:rsidRPr="00705170">
        <w:rPr>
          <w:rFonts w:ascii="Times New Roman" w:hAnsi="Times New Roman" w:cs="Times New Roman"/>
          <w:lang w:val="en-US"/>
        </w:rPr>
        <w:t>.</w:t>
      </w:r>
      <w:r w:rsidR="002F242A">
        <w:rPr>
          <w:rFonts w:ascii="Times New Roman" w:hAnsi="Times New Roman" w:cs="Times New Roman"/>
        </w:rPr>
        <w:t xml:space="preserve"> </w:t>
      </w:r>
      <w:r w:rsidR="002F242A">
        <w:rPr>
          <w:rFonts w:ascii="Times New Roman" w:hAnsi="Times New Roman" w:cs="Times New Roman"/>
          <w:lang w:val="en-US"/>
        </w:rPr>
        <w:t>Still</w:t>
      </w:r>
      <w:r w:rsidR="00F0243E" w:rsidRPr="00705170">
        <w:rPr>
          <w:rFonts w:ascii="Times New Roman" w:hAnsi="Times New Roman" w:cs="Times New Roman"/>
          <w:lang w:val="en-US"/>
        </w:rPr>
        <w:t xml:space="preserve">, </w:t>
      </w:r>
      <w:r w:rsidR="0001080D" w:rsidRPr="00705170">
        <w:rPr>
          <w:rFonts w:ascii="Times New Roman" w:hAnsi="Times New Roman" w:cs="Times New Roman"/>
          <w:lang w:val="en-US"/>
        </w:rPr>
        <w:t>the reasons that justify a mandatory protection against these extraction</w:t>
      </w:r>
      <w:r w:rsidR="008C6208" w:rsidRPr="00705170">
        <w:rPr>
          <w:rFonts w:ascii="Times New Roman" w:hAnsi="Times New Roman" w:cs="Times New Roman"/>
          <w:lang w:val="en-US"/>
        </w:rPr>
        <w:t>s</w:t>
      </w:r>
      <w:r w:rsidR="0001080D" w:rsidRPr="00705170">
        <w:rPr>
          <w:rFonts w:ascii="Times New Roman" w:hAnsi="Times New Roman" w:cs="Times New Roman"/>
          <w:lang w:val="en-US"/>
        </w:rPr>
        <w:t xml:space="preserve"> should be expressed</w:t>
      </w:r>
      <w:r w:rsidR="0068306E" w:rsidRPr="00705170">
        <w:rPr>
          <w:rFonts w:ascii="Times New Roman" w:hAnsi="Times New Roman" w:cs="Times New Roman"/>
          <w:lang w:val="en-US"/>
        </w:rPr>
        <w:t xml:space="preserve"> in detail through both general considerations and</w:t>
      </w:r>
      <w:r w:rsidR="002F242A">
        <w:rPr>
          <w:rFonts w:ascii="Times New Roman" w:hAnsi="Times New Roman" w:cs="Times New Roman"/>
          <w:lang w:val="en-US"/>
        </w:rPr>
        <w:t xml:space="preserve"> a</w:t>
      </w:r>
      <w:r w:rsidR="0068306E" w:rsidRPr="00705170">
        <w:rPr>
          <w:rFonts w:ascii="Times New Roman" w:hAnsi="Times New Roman" w:cs="Times New Roman"/>
          <w:lang w:val="en-US"/>
        </w:rPr>
        <w:t xml:space="preserve"> theoretical perspective.</w:t>
      </w:r>
      <w:r w:rsidR="002F242A">
        <w:rPr>
          <w:rFonts w:ascii="Times New Roman" w:hAnsi="Times New Roman" w:cs="Times New Roman"/>
          <w:lang w:val="en-US"/>
        </w:rPr>
        <w:t xml:space="preserve"> </w:t>
      </w:r>
      <w:proofErr w:type="spellStart"/>
      <w:r w:rsidR="002F242A" w:rsidRPr="00705170">
        <w:rPr>
          <w:rFonts w:ascii="Times New Roman" w:hAnsi="Times New Roman" w:cs="Times New Roman"/>
        </w:rPr>
        <w:t>After</w:t>
      </w:r>
      <w:proofErr w:type="spellEnd"/>
      <w:r w:rsidR="002F242A" w:rsidRPr="00705170">
        <w:rPr>
          <w:rFonts w:ascii="Times New Roman" w:hAnsi="Times New Roman" w:cs="Times New Roman"/>
        </w:rPr>
        <w:t xml:space="preserve"> </w:t>
      </w:r>
      <w:proofErr w:type="spellStart"/>
      <w:r w:rsidR="002F242A" w:rsidRPr="00705170">
        <w:rPr>
          <w:rFonts w:ascii="Times New Roman" w:hAnsi="Times New Roman" w:cs="Times New Roman"/>
        </w:rPr>
        <w:t>all</w:t>
      </w:r>
      <w:proofErr w:type="spellEnd"/>
      <w:r w:rsidR="002F242A" w:rsidRPr="00705170">
        <w:rPr>
          <w:rFonts w:ascii="Times New Roman" w:hAnsi="Times New Roman" w:cs="Times New Roman"/>
        </w:rPr>
        <w:t xml:space="preserve">, </w:t>
      </w:r>
      <w:r w:rsidR="002F242A" w:rsidRPr="00705170">
        <w:rPr>
          <w:rFonts w:ascii="Times New Roman" w:hAnsi="Times New Roman" w:cs="Times New Roman"/>
          <w:lang w:val="en-US"/>
        </w:rPr>
        <w:t>“</w:t>
      </w:r>
      <w:proofErr w:type="spellStart"/>
      <w:r w:rsidR="002F242A" w:rsidRPr="00705170">
        <w:rPr>
          <w:rFonts w:ascii="Times New Roman" w:hAnsi="Times New Roman" w:cs="Times New Roman"/>
          <w:color w:val="000000"/>
        </w:rPr>
        <w:t>corporate</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law</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everywhere</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continues</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to</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bear</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the</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imprint</w:t>
      </w:r>
      <w:proofErr w:type="spellEnd"/>
      <w:r w:rsidR="002F242A" w:rsidRPr="00705170">
        <w:rPr>
          <w:rFonts w:ascii="Times New Roman" w:hAnsi="Times New Roman" w:cs="Times New Roman"/>
          <w:color w:val="000000"/>
        </w:rPr>
        <w:t xml:space="preserve"> of </w:t>
      </w:r>
      <w:proofErr w:type="spellStart"/>
      <w:r w:rsidR="002F242A" w:rsidRPr="00705170">
        <w:rPr>
          <w:rFonts w:ascii="Times New Roman" w:hAnsi="Times New Roman" w:cs="Times New Roman"/>
          <w:color w:val="000000"/>
        </w:rPr>
        <w:t>the</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historical</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path</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through</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which</w:t>
      </w:r>
      <w:proofErr w:type="spellEnd"/>
      <w:r w:rsidR="002F242A" w:rsidRPr="00705170">
        <w:rPr>
          <w:rFonts w:ascii="Times New Roman" w:hAnsi="Times New Roman" w:cs="Times New Roman"/>
          <w:color w:val="000000"/>
        </w:rPr>
        <w:t xml:space="preserve"> it has </w:t>
      </w:r>
      <w:proofErr w:type="spellStart"/>
      <w:r w:rsidR="002F242A" w:rsidRPr="00705170">
        <w:rPr>
          <w:rFonts w:ascii="Times New Roman" w:hAnsi="Times New Roman" w:cs="Times New Roman"/>
          <w:color w:val="000000"/>
        </w:rPr>
        <w:t>evolved</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and</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reflects</w:t>
      </w:r>
      <w:proofErr w:type="spellEnd"/>
      <w:r w:rsidR="002F242A" w:rsidRPr="00705170">
        <w:rPr>
          <w:rFonts w:ascii="Times New Roman" w:hAnsi="Times New Roman" w:cs="Times New Roman"/>
          <w:color w:val="000000"/>
        </w:rPr>
        <w:t xml:space="preserve"> as </w:t>
      </w:r>
      <w:proofErr w:type="spellStart"/>
      <w:r w:rsidR="002F242A" w:rsidRPr="00705170">
        <w:rPr>
          <w:rFonts w:ascii="Times New Roman" w:hAnsi="Times New Roman" w:cs="Times New Roman"/>
          <w:color w:val="000000"/>
        </w:rPr>
        <w:t>well</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the</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influence</w:t>
      </w:r>
      <w:proofErr w:type="spellEnd"/>
      <w:r w:rsidR="002F242A" w:rsidRPr="00705170">
        <w:rPr>
          <w:rFonts w:ascii="Times New Roman" w:hAnsi="Times New Roman" w:cs="Times New Roman"/>
          <w:color w:val="000000"/>
        </w:rPr>
        <w:t xml:space="preserve"> of a </w:t>
      </w:r>
      <w:proofErr w:type="spellStart"/>
      <w:r w:rsidR="002F242A" w:rsidRPr="00705170">
        <w:rPr>
          <w:rFonts w:ascii="Times New Roman" w:hAnsi="Times New Roman" w:cs="Times New Roman"/>
          <w:color w:val="000000"/>
        </w:rPr>
        <w:t>variety</w:t>
      </w:r>
      <w:proofErr w:type="spellEnd"/>
      <w:r w:rsidR="002F242A" w:rsidRPr="00705170">
        <w:rPr>
          <w:rFonts w:ascii="Times New Roman" w:hAnsi="Times New Roman" w:cs="Times New Roman"/>
          <w:color w:val="000000"/>
        </w:rPr>
        <w:t xml:space="preserve"> of </w:t>
      </w:r>
      <w:proofErr w:type="spellStart"/>
      <w:r w:rsidR="002F242A" w:rsidRPr="00705170">
        <w:rPr>
          <w:rFonts w:ascii="Times New Roman" w:hAnsi="Times New Roman" w:cs="Times New Roman"/>
          <w:color w:val="000000"/>
        </w:rPr>
        <w:t>non-efficiency-oriented</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intellectual</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and</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ideological</w:t>
      </w:r>
      <w:proofErr w:type="spellEnd"/>
      <w:r w:rsidR="002F242A" w:rsidRPr="00705170">
        <w:rPr>
          <w:rFonts w:ascii="Times New Roman" w:hAnsi="Times New Roman" w:cs="Times New Roman"/>
          <w:color w:val="000000"/>
        </w:rPr>
        <w:t xml:space="preserve"> </w:t>
      </w:r>
      <w:proofErr w:type="spellStart"/>
      <w:r w:rsidR="002F242A" w:rsidRPr="00705170">
        <w:rPr>
          <w:rFonts w:ascii="Times New Roman" w:hAnsi="Times New Roman" w:cs="Times New Roman"/>
          <w:color w:val="000000"/>
        </w:rPr>
        <w:t>currents</w:t>
      </w:r>
      <w:proofErr w:type="spellEnd"/>
      <w:r w:rsidR="002F242A" w:rsidRPr="00705170">
        <w:rPr>
          <w:rFonts w:ascii="Times New Roman" w:hAnsi="Times New Roman" w:cs="Times New Roman"/>
          <w:color w:val="000000"/>
        </w:rPr>
        <w:t>”</w:t>
      </w:r>
      <w:r w:rsidR="002F242A" w:rsidRPr="00705170">
        <w:rPr>
          <w:rStyle w:val="DipnotBavurusu"/>
          <w:rFonts w:ascii="Times New Roman" w:hAnsi="Times New Roman" w:cs="Times New Roman"/>
          <w:color w:val="000000"/>
        </w:rPr>
        <w:footnoteReference w:id="80"/>
      </w:r>
      <w:r w:rsidR="002F242A" w:rsidRPr="00705170">
        <w:rPr>
          <w:rFonts w:ascii="Times New Roman" w:hAnsi="Times New Roman" w:cs="Times New Roman"/>
          <w:color w:val="000000"/>
        </w:rPr>
        <w:t>.</w:t>
      </w:r>
    </w:p>
    <w:p w14:paraId="5AD3B565" w14:textId="35F44A37" w:rsidR="0012251E" w:rsidRPr="00705170" w:rsidRDefault="0012251E" w:rsidP="0012251E">
      <w:pPr>
        <w:pStyle w:val="ListeParagraf"/>
        <w:numPr>
          <w:ilvl w:val="0"/>
          <w:numId w:val="5"/>
        </w:numPr>
        <w:spacing w:after="240" w:line="480" w:lineRule="auto"/>
        <w:jc w:val="both"/>
        <w:rPr>
          <w:rFonts w:ascii="Times New Roman" w:hAnsi="Times New Roman" w:cs="Times New Roman"/>
          <w:b/>
          <w:lang w:val="en-US"/>
        </w:rPr>
      </w:pPr>
      <w:r w:rsidRPr="00705170">
        <w:rPr>
          <w:rFonts w:ascii="Times New Roman" w:hAnsi="Times New Roman" w:cs="Times New Roman"/>
          <w:b/>
          <w:lang w:val="en-US"/>
        </w:rPr>
        <w:t>General Considerations</w:t>
      </w:r>
    </w:p>
    <w:p w14:paraId="6B4882F1" w14:textId="46415740" w:rsidR="00120806" w:rsidRPr="00705170" w:rsidRDefault="00861203" w:rsidP="00861203">
      <w:pPr>
        <w:spacing w:after="240" w:line="480" w:lineRule="auto"/>
        <w:ind w:firstLine="708"/>
        <w:jc w:val="both"/>
        <w:rPr>
          <w:rFonts w:ascii="Times New Roman" w:hAnsi="Times New Roman" w:cs="Times New Roman"/>
          <w:lang w:val="en-US"/>
        </w:rPr>
      </w:pPr>
      <w:r w:rsidRPr="00705170">
        <w:rPr>
          <w:rFonts w:ascii="Times New Roman" w:hAnsi="Times New Roman" w:cs="Times New Roman"/>
          <w:lang w:val="en-US"/>
        </w:rPr>
        <w:t xml:space="preserve">First of all, a </w:t>
      </w:r>
      <w:r w:rsidR="00120806" w:rsidRPr="00705170">
        <w:rPr>
          <w:rFonts w:ascii="Times New Roman" w:hAnsi="Times New Roman" w:cs="Times New Roman"/>
        </w:rPr>
        <w:t>“</w:t>
      </w:r>
      <w:proofErr w:type="spellStart"/>
      <w:r w:rsidR="00120806" w:rsidRPr="00705170">
        <w:rPr>
          <w:rFonts w:ascii="Times New Roman" w:hAnsi="Times New Roman" w:cs="Times New Roman"/>
        </w:rPr>
        <w:t>major</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preoccupation</w:t>
      </w:r>
      <w:proofErr w:type="spellEnd"/>
      <w:r w:rsidR="00120806" w:rsidRPr="00705170">
        <w:rPr>
          <w:rFonts w:ascii="Times New Roman" w:hAnsi="Times New Roman" w:cs="Times New Roman"/>
        </w:rPr>
        <w:t xml:space="preserve"> of </w:t>
      </w:r>
      <w:proofErr w:type="spellStart"/>
      <w:r w:rsidR="00120806" w:rsidRPr="00705170">
        <w:rPr>
          <w:rFonts w:ascii="Times New Roman" w:hAnsi="Times New Roman" w:cs="Times New Roman"/>
        </w:rPr>
        <w:t>company</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law</w:t>
      </w:r>
      <w:proofErr w:type="spellEnd"/>
      <w:r w:rsidR="00120806" w:rsidRPr="00705170">
        <w:rPr>
          <w:rFonts w:ascii="Times New Roman" w:hAnsi="Times New Roman" w:cs="Times New Roman"/>
        </w:rPr>
        <w:t xml:space="preserve"> is </w:t>
      </w:r>
      <w:proofErr w:type="spellStart"/>
      <w:r w:rsidR="00120806" w:rsidRPr="00705170">
        <w:rPr>
          <w:rFonts w:ascii="Times New Roman" w:hAnsi="Times New Roman" w:cs="Times New Roman"/>
        </w:rPr>
        <w:t>to</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uphold</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the</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integrity</w:t>
      </w:r>
      <w:proofErr w:type="spellEnd"/>
      <w:r w:rsidR="00120806" w:rsidRPr="00705170">
        <w:rPr>
          <w:rFonts w:ascii="Times New Roman" w:hAnsi="Times New Roman" w:cs="Times New Roman"/>
        </w:rPr>
        <w:t xml:space="preserve"> of </w:t>
      </w:r>
      <w:proofErr w:type="spellStart"/>
      <w:r w:rsidR="00120806" w:rsidRPr="00705170">
        <w:rPr>
          <w:rFonts w:ascii="Times New Roman" w:hAnsi="Times New Roman" w:cs="Times New Roman"/>
        </w:rPr>
        <w:t>the</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company</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system</w:t>
      </w:r>
      <w:proofErr w:type="spellEnd"/>
      <w:r w:rsidR="00120806" w:rsidRPr="00705170">
        <w:rPr>
          <w:rFonts w:ascii="Times New Roman" w:hAnsi="Times New Roman" w:cs="Times New Roman"/>
        </w:rPr>
        <w:t xml:space="preserve"> as a </w:t>
      </w:r>
      <w:proofErr w:type="spellStart"/>
      <w:r w:rsidR="00120806" w:rsidRPr="00705170">
        <w:rPr>
          <w:rFonts w:ascii="Times New Roman" w:hAnsi="Times New Roman" w:cs="Times New Roman"/>
        </w:rPr>
        <w:t>vehicle</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to</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conduct</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and</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undertake</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business</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based</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upon</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the</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collective</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investment</w:t>
      </w:r>
      <w:proofErr w:type="spellEnd"/>
      <w:r w:rsidR="00120806" w:rsidRPr="00705170">
        <w:rPr>
          <w:rFonts w:ascii="Times New Roman" w:hAnsi="Times New Roman" w:cs="Times New Roman"/>
        </w:rPr>
        <w:t xml:space="preserve"> of </w:t>
      </w:r>
      <w:proofErr w:type="spellStart"/>
      <w:r w:rsidR="00120806" w:rsidRPr="00705170">
        <w:rPr>
          <w:rFonts w:ascii="Times New Roman" w:hAnsi="Times New Roman" w:cs="Times New Roman"/>
        </w:rPr>
        <w:t>its</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members</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and</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assumption</w:t>
      </w:r>
      <w:proofErr w:type="spellEnd"/>
      <w:r w:rsidR="00120806" w:rsidRPr="00705170">
        <w:rPr>
          <w:rFonts w:ascii="Times New Roman" w:hAnsi="Times New Roman" w:cs="Times New Roman"/>
        </w:rPr>
        <w:t xml:space="preserve"> of </w:t>
      </w:r>
      <w:proofErr w:type="spellStart"/>
      <w:r w:rsidR="00120806" w:rsidRPr="00705170">
        <w:rPr>
          <w:rFonts w:ascii="Times New Roman" w:hAnsi="Times New Roman" w:cs="Times New Roman"/>
        </w:rPr>
        <w:t>risks</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by</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those</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who</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lend</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money</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or</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give</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credit</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to</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the</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lastRenderedPageBreak/>
        <w:t>company</w:t>
      </w:r>
      <w:proofErr w:type="spellEnd"/>
      <w:r w:rsidR="00120806" w:rsidRPr="00705170">
        <w:rPr>
          <w:rFonts w:ascii="Times New Roman" w:hAnsi="Times New Roman" w:cs="Times New Roman"/>
        </w:rPr>
        <w:t>”</w:t>
      </w:r>
      <w:r w:rsidR="00120806" w:rsidRPr="00705170">
        <w:rPr>
          <w:rStyle w:val="DipnotBavurusu"/>
          <w:rFonts w:ascii="Times New Roman" w:hAnsi="Times New Roman" w:cs="Times New Roman"/>
        </w:rPr>
        <w:footnoteReference w:id="81"/>
      </w:r>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While</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business</w:t>
      </w:r>
      <w:proofErr w:type="spellEnd"/>
      <w:r w:rsidR="00120806" w:rsidRPr="00705170">
        <w:rPr>
          <w:rFonts w:ascii="Times New Roman" w:hAnsi="Times New Roman" w:cs="Times New Roman"/>
        </w:rPr>
        <w:t xml:space="preserve"> life has </w:t>
      </w:r>
      <w:proofErr w:type="spellStart"/>
      <w:r w:rsidR="00120806" w:rsidRPr="00705170">
        <w:rPr>
          <w:rFonts w:ascii="Times New Roman" w:hAnsi="Times New Roman" w:cs="Times New Roman"/>
        </w:rPr>
        <w:t>some</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inherent</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risks</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e.g</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economic</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crises</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natural</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dis</w:t>
      </w:r>
      <w:r w:rsidR="00C60805" w:rsidRPr="00705170">
        <w:rPr>
          <w:rFonts w:ascii="Times New Roman" w:hAnsi="Times New Roman" w:cs="Times New Roman"/>
        </w:rPr>
        <w:t>asters</w:t>
      </w:r>
      <w:proofErr w:type="spellEnd"/>
      <w:r w:rsidR="00C60805" w:rsidRPr="00705170">
        <w:rPr>
          <w:rFonts w:ascii="Times New Roman" w:hAnsi="Times New Roman" w:cs="Times New Roman"/>
        </w:rPr>
        <w:t xml:space="preserve">, </w:t>
      </w:r>
      <w:proofErr w:type="spellStart"/>
      <w:r w:rsidR="00C60805" w:rsidRPr="00705170">
        <w:rPr>
          <w:rFonts w:ascii="Times New Roman" w:hAnsi="Times New Roman" w:cs="Times New Roman"/>
        </w:rPr>
        <w:t>poor</w:t>
      </w:r>
      <w:proofErr w:type="spellEnd"/>
      <w:r w:rsidR="00C60805" w:rsidRPr="00705170">
        <w:rPr>
          <w:rFonts w:ascii="Times New Roman" w:hAnsi="Times New Roman" w:cs="Times New Roman"/>
        </w:rPr>
        <w:t xml:space="preserve"> </w:t>
      </w:r>
      <w:proofErr w:type="spellStart"/>
      <w:r w:rsidR="00C60805" w:rsidRPr="00705170">
        <w:rPr>
          <w:rFonts w:ascii="Times New Roman" w:hAnsi="Times New Roman" w:cs="Times New Roman"/>
        </w:rPr>
        <w:t>business</w:t>
      </w:r>
      <w:proofErr w:type="spellEnd"/>
      <w:r w:rsidR="00C60805" w:rsidRPr="00705170">
        <w:rPr>
          <w:rFonts w:ascii="Times New Roman" w:hAnsi="Times New Roman" w:cs="Times New Roman"/>
        </w:rPr>
        <w:t xml:space="preserve"> </w:t>
      </w:r>
      <w:proofErr w:type="spellStart"/>
      <w:r w:rsidR="00C60805" w:rsidRPr="00705170">
        <w:rPr>
          <w:rFonts w:ascii="Times New Roman" w:hAnsi="Times New Roman" w:cs="Times New Roman"/>
        </w:rPr>
        <w:t>judgment</w:t>
      </w:r>
      <w:proofErr w:type="spellEnd"/>
      <w:r w:rsidR="00C60805" w:rsidRPr="00705170">
        <w:rPr>
          <w:rFonts w:ascii="Times New Roman" w:hAnsi="Times New Roman" w:cs="Times New Roman"/>
        </w:rPr>
        <w:t>)</w:t>
      </w:r>
      <w:r w:rsidR="003A724E" w:rsidRPr="00705170">
        <w:rPr>
          <w:rStyle w:val="DipnotBavurusu"/>
          <w:rFonts w:ascii="Times New Roman" w:hAnsi="Times New Roman" w:cs="Times New Roman"/>
        </w:rPr>
        <w:footnoteReference w:id="82"/>
      </w:r>
      <w:r w:rsidR="00120806"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various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measures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maintainance</w:t>
      </w:r>
      <w:proofErr w:type="spellEnd"/>
      <w:r w:rsidRPr="00705170">
        <w:rPr>
          <w:rFonts w:ascii="Times New Roman" w:hAnsi="Times New Roman" w:cs="Times New Roman"/>
        </w:rPr>
        <w:t xml:space="preserve">, minimum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w:t>
      </w:r>
      <w:r w:rsidR="00C60805" w:rsidRPr="00705170">
        <w:rPr>
          <w:rFonts w:ascii="Times New Roman" w:hAnsi="Times New Roman" w:cs="Times New Roman"/>
        </w:rPr>
        <w:t>ments</w:t>
      </w:r>
      <w:proofErr w:type="spellEnd"/>
      <w:r w:rsidR="00C60805" w:rsidRPr="00705170">
        <w:rPr>
          <w:rFonts w:ascii="Times New Roman" w:hAnsi="Times New Roman" w:cs="Times New Roman"/>
        </w:rPr>
        <w:t xml:space="preserve">, </w:t>
      </w:r>
      <w:proofErr w:type="spellStart"/>
      <w:r w:rsidR="00C60805" w:rsidRPr="00705170">
        <w:rPr>
          <w:rFonts w:ascii="Times New Roman" w:hAnsi="Times New Roman" w:cs="Times New Roman"/>
        </w:rPr>
        <w:t>fraudulent</w:t>
      </w:r>
      <w:proofErr w:type="spellEnd"/>
      <w:r w:rsidR="00C60805" w:rsidRPr="00705170">
        <w:rPr>
          <w:rFonts w:ascii="Times New Roman" w:hAnsi="Times New Roman" w:cs="Times New Roman"/>
        </w:rPr>
        <w:t xml:space="preserve"> transfer </w:t>
      </w:r>
      <w:proofErr w:type="spellStart"/>
      <w:r w:rsidR="00C60805" w:rsidRPr="00705170">
        <w:rPr>
          <w:rFonts w:ascii="Times New Roman" w:hAnsi="Times New Roman" w:cs="Times New Roman"/>
        </w:rPr>
        <w:t>law</w:t>
      </w:r>
      <w:proofErr w:type="spellEnd"/>
      <w:r w:rsidR="00C60805" w:rsidRPr="00705170">
        <w:rPr>
          <w:rFonts w:ascii="Times New Roman" w:hAnsi="Times New Roman" w:cs="Times New Roman"/>
        </w:rPr>
        <w:t>)</w:t>
      </w:r>
      <w:r w:rsidR="008D3BD5"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tri</w:t>
      </w:r>
      <w:r w:rsidR="008D3BD5" w:rsidRPr="00705170">
        <w:rPr>
          <w:rFonts w:ascii="Times New Roman" w:hAnsi="Times New Roman" w:cs="Times New Roman"/>
        </w:rPr>
        <w:t>es</w:t>
      </w:r>
      <w:proofErr w:type="spellEnd"/>
      <w:r w:rsidR="008D3BD5" w:rsidRPr="00705170">
        <w:rPr>
          <w:rFonts w:ascii="Times New Roman" w:hAnsi="Times New Roman" w:cs="Times New Roman"/>
        </w:rPr>
        <w:t xml:space="preserve"> </w:t>
      </w:r>
      <w:proofErr w:type="spellStart"/>
      <w:r w:rsidR="008D3BD5" w:rsidRPr="00705170">
        <w:rPr>
          <w:rFonts w:ascii="Times New Roman" w:hAnsi="Times New Roman" w:cs="Times New Roman"/>
        </w:rPr>
        <w:t>to</w:t>
      </w:r>
      <w:proofErr w:type="spellEnd"/>
      <w:r w:rsidR="008D3BD5" w:rsidRPr="00705170">
        <w:rPr>
          <w:rFonts w:ascii="Times New Roman" w:hAnsi="Times New Roman" w:cs="Times New Roman"/>
        </w:rPr>
        <w:t xml:space="preserve"> </w:t>
      </w:r>
      <w:proofErr w:type="spellStart"/>
      <w:r w:rsidR="008D3BD5" w:rsidRPr="00705170">
        <w:rPr>
          <w:rFonts w:ascii="Times New Roman" w:hAnsi="Times New Roman" w:cs="Times New Roman"/>
        </w:rPr>
        <w:t>balance</w:t>
      </w:r>
      <w:proofErr w:type="spellEnd"/>
      <w:r w:rsidR="008D3BD5" w:rsidRPr="00705170">
        <w:rPr>
          <w:rFonts w:ascii="Times New Roman" w:hAnsi="Times New Roman" w:cs="Times New Roman"/>
        </w:rPr>
        <w:t xml:space="preserve"> </w:t>
      </w:r>
      <w:proofErr w:type="spellStart"/>
      <w:r w:rsidR="008D3BD5" w:rsidRPr="00705170">
        <w:rPr>
          <w:rFonts w:ascii="Times New Roman" w:hAnsi="Times New Roman" w:cs="Times New Roman"/>
        </w:rPr>
        <w:t>the</w:t>
      </w:r>
      <w:proofErr w:type="spellEnd"/>
      <w:r w:rsidR="008D3BD5" w:rsidRPr="00705170">
        <w:rPr>
          <w:rFonts w:ascii="Times New Roman" w:hAnsi="Times New Roman" w:cs="Times New Roman"/>
        </w:rPr>
        <w:t xml:space="preserve"> </w:t>
      </w:r>
      <w:proofErr w:type="spellStart"/>
      <w:r w:rsidR="008D3BD5" w:rsidRPr="00705170">
        <w:rPr>
          <w:rFonts w:ascii="Times New Roman" w:hAnsi="Times New Roman" w:cs="Times New Roman"/>
        </w:rPr>
        <w:t>risks</w:t>
      </w:r>
      <w:proofErr w:type="spellEnd"/>
      <w:r w:rsidR="008D3BD5" w:rsidRPr="00705170">
        <w:rPr>
          <w:rFonts w:ascii="Times New Roman" w:hAnsi="Times New Roman" w:cs="Times New Roman"/>
        </w:rPr>
        <w:t xml:space="preserve"> </w:t>
      </w:r>
      <w:proofErr w:type="spellStart"/>
      <w:r w:rsidR="008D3BD5" w:rsidRPr="00705170">
        <w:rPr>
          <w:rFonts w:ascii="Times New Roman" w:hAnsi="Times New Roman" w:cs="Times New Roman"/>
        </w:rPr>
        <w:t>therein</w:t>
      </w:r>
      <w:proofErr w:type="spellEnd"/>
      <w:r w:rsidR="008D3BD5" w:rsidRPr="00705170">
        <w:rPr>
          <w:rFonts w:ascii="Times New Roman" w:hAnsi="Times New Roman" w:cs="Times New Roman"/>
        </w:rPr>
        <w:t>;</w:t>
      </w:r>
      <w:r w:rsidRPr="00705170">
        <w:rPr>
          <w:rFonts w:ascii="Times New Roman" w:hAnsi="Times New Roman" w:cs="Times New Roman"/>
        </w:rPr>
        <w:t xml:space="preserve"> </w:t>
      </w:r>
      <w:proofErr w:type="spellStart"/>
      <w:r w:rsidR="00120806" w:rsidRPr="00705170">
        <w:rPr>
          <w:rFonts w:ascii="Times New Roman" w:hAnsi="Times New Roman" w:cs="Times New Roman"/>
        </w:rPr>
        <w:t>extraction</w:t>
      </w:r>
      <w:proofErr w:type="spellEnd"/>
      <w:r w:rsidR="00120806" w:rsidRPr="00705170">
        <w:rPr>
          <w:rFonts w:ascii="Times New Roman" w:hAnsi="Times New Roman" w:cs="Times New Roman"/>
        </w:rPr>
        <w:t xml:space="preserve"> of </w:t>
      </w:r>
      <w:proofErr w:type="spellStart"/>
      <w:r w:rsidR="00120806" w:rsidRPr="00705170">
        <w:rPr>
          <w:rFonts w:ascii="Times New Roman" w:hAnsi="Times New Roman" w:cs="Times New Roman"/>
        </w:rPr>
        <w:t>non</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pecuniary</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benefits</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provides</w:t>
      </w:r>
      <w:proofErr w:type="spellEnd"/>
      <w:r w:rsidR="00120806" w:rsidRPr="00705170">
        <w:rPr>
          <w:rFonts w:ascii="Times New Roman" w:hAnsi="Times New Roman" w:cs="Times New Roman"/>
        </w:rPr>
        <w:t xml:space="preserve"> an </w:t>
      </w:r>
      <w:proofErr w:type="spellStart"/>
      <w:r w:rsidR="00120806" w:rsidRPr="00705170">
        <w:rPr>
          <w:rFonts w:ascii="Times New Roman" w:hAnsi="Times New Roman" w:cs="Times New Roman"/>
        </w:rPr>
        <w:t>additional</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layer</w:t>
      </w:r>
      <w:proofErr w:type="spellEnd"/>
      <w:r w:rsidR="00120806" w:rsidRPr="00705170">
        <w:rPr>
          <w:rFonts w:ascii="Times New Roman" w:hAnsi="Times New Roman" w:cs="Times New Roman"/>
        </w:rPr>
        <w:t xml:space="preserve"> of risk</w:t>
      </w:r>
      <w:r w:rsidRPr="00705170">
        <w:rPr>
          <w:rFonts w:ascii="Times New Roman" w:hAnsi="Times New Roman" w:cs="Times New Roman"/>
        </w:rPr>
        <w:t xml:space="preserve"> </w:t>
      </w:r>
      <w:proofErr w:type="spellStart"/>
      <w:r w:rsidR="00120806" w:rsidRPr="00705170">
        <w:rPr>
          <w:rFonts w:ascii="Times New Roman" w:hAnsi="Times New Roman" w:cs="Times New Roman"/>
        </w:rPr>
        <w:t>to</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the</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integrity</w:t>
      </w:r>
      <w:proofErr w:type="spellEnd"/>
      <w:r w:rsidR="00120806"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stakeholders</w:t>
      </w:r>
      <w:proofErr w:type="spellEnd"/>
      <w:r w:rsidRPr="00705170">
        <w:rPr>
          <w:rFonts w:ascii="Times New Roman" w:hAnsi="Times New Roman" w:cs="Times New Roman"/>
        </w:rPr>
        <w:t xml:space="preserve">. </w:t>
      </w:r>
      <w:proofErr w:type="spellStart"/>
      <w:r w:rsidR="002F242A">
        <w:rPr>
          <w:rFonts w:ascii="Times New Roman" w:hAnsi="Times New Roman" w:cs="Times New Roman"/>
        </w:rPr>
        <w:t>A</w:t>
      </w:r>
      <w:r w:rsidRPr="00705170">
        <w:rPr>
          <w:rFonts w:ascii="Times New Roman" w:hAnsi="Times New Roman" w:cs="Times New Roman"/>
        </w:rPr>
        <w:t>lthough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primary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constituent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affected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feel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oppressed</w:t>
      </w:r>
      <w:proofErr w:type="spellEnd"/>
      <w:r w:rsidRPr="00705170">
        <w:rPr>
          <w:rFonts w:ascii="Times New Roman" w:hAnsi="Times New Roman" w:cs="Times New Roman"/>
        </w:rPr>
        <w:t xml:space="preserve"> </w:t>
      </w:r>
      <w:proofErr w:type="spellStart"/>
      <w:r w:rsidR="002F242A">
        <w:rPr>
          <w:rFonts w:ascii="Times New Roman" w:hAnsi="Times New Roman" w:cs="Times New Roman"/>
        </w:rPr>
        <w:t>would</w:t>
      </w:r>
      <w:proofErr w:type="spellEnd"/>
      <w:r w:rsidR="002F242A">
        <w:rPr>
          <w:rFonts w:ascii="Times New Roman" w:hAnsi="Times New Roman" w:cs="Times New Roman"/>
        </w:rPr>
        <w:t xml:space="preserve"> be</w:t>
      </w:r>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not</w:t>
      </w:r>
      <w:r w:rsidR="00F177B5" w:rsidRPr="00705170">
        <w:rPr>
          <w:rFonts w:ascii="Times New Roman" w:hAnsi="Times New Roman" w:cs="Times New Roman"/>
        </w:rPr>
        <w:t xml:space="preserve"> be</w:t>
      </w:r>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protected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vir</w:t>
      </w:r>
      <w:r w:rsidR="00F177B5" w:rsidRPr="00705170">
        <w:rPr>
          <w:rFonts w:ascii="Times New Roman" w:hAnsi="Times New Roman" w:cs="Times New Roman"/>
        </w:rPr>
        <w:t>tue</w:t>
      </w:r>
      <w:proofErr w:type="spellEnd"/>
      <w:r w:rsidR="00F177B5" w:rsidRPr="00705170">
        <w:rPr>
          <w:rFonts w:ascii="Times New Roman" w:hAnsi="Times New Roman" w:cs="Times New Roman"/>
        </w:rPr>
        <w:t xml:space="preserve"> of a </w:t>
      </w:r>
      <w:proofErr w:type="spellStart"/>
      <w:r w:rsidR="00F177B5" w:rsidRPr="00705170">
        <w:rPr>
          <w:rFonts w:ascii="Times New Roman" w:hAnsi="Times New Roman" w:cs="Times New Roman"/>
        </w:rPr>
        <w:t>measure</w:t>
      </w:r>
      <w:proofErr w:type="spellEnd"/>
      <w:r w:rsidR="00F177B5" w:rsidRPr="00705170">
        <w:rPr>
          <w:rFonts w:ascii="Times New Roman" w:hAnsi="Times New Roman" w:cs="Times New Roman"/>
        </w:rPr>
        <w:t xml:space="preserve"> </w:t>
      </w:r>
      <w:proofErr w:type="spellStart"/>
      <w:r w:rsidR="00F177B5" w:rsidRPr="00705170">
        <w:rPr>
          <w:rFonts w:ascii="Times New Roman" w:hAnsi="Times New Roman" w:cs="Times New Roman"/>
        </w:rPr>
        <w:t>controlling</w:t>
      </w:r>
      <w:proofErr w:type="spellEnd"/>
      <w:r w:rsidR="00F177B5" w:rsidRPr="00705170">
        <w:rPr>
          <w:rFonts w:ascii="Times New Roman" w:hAnsi="Times New Roman" w:cs="Times New Roman"/>
        </w:rPr>
        <w:t xml:space="preserve"> </w:t>
      </w:r>
      <w:proofErr w:type="spellStart"/>
      <w:r w:rsidR="002F242A">
        <w:rPr>
          <w:rFonts w:ascii="Times New Roman" w:hAnsi="Times New Roman" w:cs="Times New Roman"/>
        </w:rPr>
        <w:t>such</w:t>
      </w:r>
      <w:proofErr w:type="spellEnd"/>
      <w:r w:rsidR="002F242A" w:rsidRPr="00705170">
        <w:rPr>
          <w:rFonts w:ascii="Times New Roman" w:hAnsi="Times New Roman" w:cs="Times New Roman"/>
        </w:rPr>
        <w:t xml:space="preserve"> </w:t>
      </w:r>
      <w:proofErr w:type="spellStart"/>
      <w:r w:rsidRPr="00705170">
        <w:rPr>
          <w:rFonts w:ascii="Times New Roman" w:hAnsi="Times New Roman" w:cs="Times New Roman"/>
        </w:rPr>
        <w:t>extract</w:t>
      </w:r>
      <w:r w:rsidR="007B6852" w:rsidRPr="00705170">
        <w:rPr>
          <w:rFonts w:ascii="Times New Roman" w:hAnsi="Times New Roman" w:cs="Times New Roman"/>
        </w:rPr>
        <w:t>ion</w:t>
      </w:r>
      <w:proofErr w:type="spellEnd"/>
      <w:r w:rsidR="007B6852" w:rsidRPr="00705170">
        <w:rPr>
          <w:rFonts w:ascii="Times New Roman" w:hAnsi="Times New Roman" w:cs="Times New Roman"/>
        </w:rPr>
        <w:t xml:space="preserve"> but</w:t>
      </w:r>
      <w:r w:rsidR="00F177B5" w:rsidRPr="00705170">
        <w:rPr>
          <w:rFonts w:ascii="Times New Roman" w:hAnsi="Times New Roman" w:cs="Times New Roman"/>
        </w:rPr>
        <w:t xml:space="preserve"> </w:t>
      </w:r>
      <w:proofErr w:type="spellStart"/>
      <w:r w:rsidR="00F177B5" w:rsidRPr="00705170">
        <w:rPr>
          <w:rFonts w:ascii="Times New Roman" w:hAnsi="Times New Roman" w:cs="Times New Roman"/>
        </w:rPr>
        <w:t>other</w:t>
      </w:r>
      <w:proofErr w:type="spellEnd"/>
      <w:r w:rsidR="00F177B5" w:rsidRPr="00705170">
        <w:rPr>
          <w:rFonts w:ascii="Times New Roman" w:hAnsi="Times New Roman" w:cs="Times New Roman"/>
        </w:rPr>
        <w:t xml:space="preserve"> </w:t>
      </w:r>
      <w:proofErr w:type="spellStart"/>
      <w:r w:rsidR="00F177B5" w:rsidRPr="00705170">
        <w:rPr>
          <w:rFonts w:ascii="Times New Roman" w:hAnsi="Times New Roman" w:cs="Times New Roman"/>
        </w:rPr>
        <w:t>constituents</w:t>
      </w:r>
      <w:proofErr w:type="spellEnd"/>
      <w:r w:rsidR="00F177B5" w:rsidRPr="00705170">
        <w:rPr>
          <w:rFonts w:ascii="Times New Roman" w:hAnsi="Times New Roman" w:cs="Times New Roman"/>
        </w:rPr>
        <w:t xml:space="preserve">, </w:t>
      </w:r>
      <w:proofErr w:type="spellStart"/>
      <w:r w:rsidR="00F177B5" w:rsidRPr="00705170">
        <w:rPr>
          <w:rFonts w:ascii="Times New Roman" w:hAnsi="Times New Roman" w:cs="Times New Roman"/>
        </w:rPr>
        <w:t>so</w:t>
      </w:r>
      <w:proofErr w:type="spellEnd"/>
      <w:r w:rsidR="00F177B5"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integrity</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w:t>
      </w:r>
      <w:proofErr w:type="spellEnd"/>
      <w:r w:rsidR="00F177B5"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Style w:val="DipnotBavurusu"/>
          <w:rFonts w:ascii="Times New Roman" w:hAnsi="Times New Roman" w:cs="Times New Roman"/>
        </w:rPr>
        <w:footnoteReference w:id="83"/>
      </w:r>
      <w:r w:rsidRPr="00705170">
        <w:rPr>
          <w:rFonts w:ascii="Times New Roman" w:hAnsi="Times New Roman" w:cs="Times New Roman"/>
        </w:rPr>
        <w:t>.</w:t>
      </w:r>
      <w:r w:rsidR="00B44404" w:rsidRPr="00705170">
        <w:rPr>
          <w:rFonts w:ascii="Times New Roman" w:hAnsi="Times New Roman" w:cs="Times New Roman"/>
        </w:rPr>
        <w:t xml:space="preserve"> A </w:t>
      </w:r>
      <w:proofErr w:type="spellStart"/>
      <w:r w:rsidR="00B44404" w:rsidRPr="00705170">
        <w:rPr>
          <w:rFonts w:ascii="Times New Roman" w:hAnsi="Times New Roman" w:cs="Times New Roman"/>
        </w:rPr>
        <w:t>structure</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that</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empowers</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shareholders</w:t>
      </w:r>
      <w:proofErr w:type="spellEnd"/>
      <w:r w:rsidR="002F242A">
        <w:rPr>
          <w:rFonts w:ascii="Times New Roman" w:hAnsi="Times New Roman" w:cs="Times New Roman"/>
        </w:rPr>
        <w:t>,</w:t>
      </w:r>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gives</w:t>
      </w:r>
      <w:proofErr w:type="spellEnd"/>
      <w:r w:rsidR="00B44404" w:rsidRPr="00705170">
        <w:rPr>
          <w:rFonts w:ascii="Times New Roman" w:hAnsi="Times New Roman" w:cs="Times New Roman"/>
        </w:rPr>
        <w:t xml:space="preserve"> a </w:t>
      </w:r>
      <w:proofErr w:type="spellStart"/>
      <w:r w:rsidR="00B44404" w:rsidRPr="00705170">
        <w:rPr>
          <w:rFonts w:ascii="Times New Roman" w:hAnsi="Times New Roman" w:cs="Times New Roman"/>
        </w:rPr>
        <w:t>signal</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to</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the</w:t>
      </w:r>
      <w:proofErr w:type="spellEnd"/>
      <w:r w:rsidR="00B44404" w:rsidRPr="00705170">
        <w:rPr>
          <w:rFonts w:ascii="Times New Roman" w:hAnsi="Times New Roman" w:cs="Times New Roman"/>
        </w:rPr>
        <w:t xml:space="preserve"> market </w:t>
      </w:r>
      <w:proofErr w:type="spellStart"/>
      <w:r w:rsidR="00B44404" w:rsidRPr="00705170">
        <w:rPr>
          <w:rFonts w:ascii="Times New Roman" w:hAnsi="Times New Roman" w:cs="Times New Roman"/>
        </w:rPr>
        <w:t>that</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these</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extractions</w:t>
      </w:r>
      <w:proofErr w:type="spellEnd"/>
      <w:r w:rsidR="00B44404" w:rsidRPr="00705170">
        <w:rPr>
          <w:rFonts w:ascii="Times New Roman" w:hAnsi="Times New Roman" w:cs="Times New Roman"/>
        </w:rPr>
        <w:t xml:space="preserve"> </w:t>
      </w:r>
      <w:proofErr w:type="spellStart"/>
      <w:r w:rsidR="002F242A">
        <w:rPr>
          <w:rFonts w:ascii="Times New Roman" w:hAnsi="Times New Roman" w:cs="Times New Roman"/>
        </w:rPr>
        <w:t>will</w:t>
      </w:r>
      <w:proofErr w:type="spellEnd"/>
      <w:r w:rsidR="002F242A" w:rsidRPr="00705170">
        <w:rPr>
          <w:rFonts w:ascii="Times New Roman" w:hAnsi="Times New Roman" w:cs="Times New Roman"/>
        </w:rPr>
        <w:t xml:space="preserve"> </w:t>
      </w:r>
      <w:r w:rsidR="00B44404" w:rsidRPr="00705170">
        <w:rPr>
          <w:rFonts w:ascii="Times New Roman" w:hAnsi="Times New Roman" w:cs="Times New Roman"/>
        </w:rPr>
        <w:t xml:space="preserve">be </w:t>
      </w:r>
      <w:proofErr w:type="spellStart"/>
      <w:r w:rsidR="00B44404" w:rsidRPr="00705170">
        <w:rPr>
          <w:rFonts w:ascii="Times New Roman" w:hAnsi="Times New Roman" w:cs="Times New Roman"/>
        </w:rPr>
        <w:t>sanctioned</w:t>
      </w:r>
      <w:proofErr w:type="spellEnd"/>
      <w:r w:rsidR="00B44404" w:rsidRPr="00705170">
        <w:rPr>
          <w:rFonts w:ascii="Times New Roman" w:hAnsi="Times New Roman" w:cs="Times New Roman"/>
        </w:rPr>
        <w:t xml:space="preserve">, </w:t>
      </w:r>
      <w:proofErr w:type="spellStart"/>
      <w:r w:rsidR="002F242A">
        <w:rPr>
          <w:rFonts w:ascii="Times New Roman" w:hAnsi="Times New Roman" w:cs="Times New Roman"/>
        </w:rPr>
        <w:t>would</w:t>
      </w:r>
      <w:proofErr w:type="spellEnd"/>
      <w:r w:rsidR="002F242A" w:rsidRPr="00705170">
        <w:rPr>
          <w:rFonts w:ascii="Times New Roman" w:hAnsi="Times New Roman" w:cs="Times New Roman"/>
        </w:rPr>
        <w:t xml:space="preserve"> </w:t>
      </w:r>
      <w:proofErr w:type="spellStart"/>
      <w:r w:rsidR="00B44404" w:rsidRPr="00705170">
        <w:rPr>
          <w:rFonts w:ascii="Times New Roman" w:hAnsi="Times New Roman" w:cs="Times New Roman"/>
        </w:rPr>
        <w:t>also</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cut</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the</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costs</w:t>
      </w:r>
      <w:proofErr w:type="spellEnd"/>
      <w:r w:rsidR="00B44404" w:rsidRPr="00705170">
        <w:rPr>
          <w:rFonts w:ascii="Times New Roman" w:hAnsi="Times New Roman" w:cs="Times New Roman"/>
        </w:rPr>
        <w:t xml:space="preserve"> of </w:t>
      </w:r>
      <w:proofErr w:type="spellStart"/>
      <w:r w:rsidR="00B44404" w:rsidRPr="00705170">
        <w:rPr>
          <w:rFonts w:ascii="Times New Roman" w:hAnsi="Times New Roman" w:cs="Times New Roman"/>
        </w:rPr>
        <w:t>administrative</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agencies</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trying</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to</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track</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the</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related</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violations</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and</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use</w:t>
      </w:r>
      <w:proofErr w:type="spellEnd"/>
      <w:r w:rsidR="00B44404" w:rsidRPr="00705170">
        <w:rPr>
          <w:rFonts w:ascii="Times New Roman" w:hAnsi="Times New Roman" w:cs="Times New Roman"/>
        </w:rPr>
        <w:t xml:space="preserve"> </w:t>
      </w:r>
      <w:proofErr w:type="spellStart"/>
      <w:r w:rsidR="00A759D8">
        <w:rPr>
          <w:rFonts w:ascii="Times New Roman" w:hAnsi="Times New Roman" w:cs="Times New Roman"/>
        </w:rPr>
        <w:t>its</w:t>
      </w:r>
      <w:proofErr w:type="spellEnd"/>
      <w:r w:rsidR="00A759D8" w:rsidRPr="00705170">
        <w:rPr>
          <w:rFonts w:ascii="Times New Roman" w:hAnsi="Times New Roman" w:cs="Times New Roman"/>
        </w:rPr>
        <w:t xml:space="preserve"> </w:t>
      </w:r>
      <w:proofErr w:type="spellStart"/>
      <w:r w:rsidR="00B44404" w:rsidRPr="00705170">
        <w:rPr>
          <w:rFonts w:ascii="Times New Roman" w:hAnsi="Times New Roman" w:cs="Times New Roman"/>
        </w:rPr>
        <w:t>funds</w:t>
      </w:r>
      <w:proofErr w:type="spellEnd"/>
      <w:r w:rsidR="00B44404" w:rsidRPr="00705170">
        <w:rPr>
          <w:rFonts w:ascii="Times New Roman" w:hAnsi="Times New Roman" w:cs="Times New Roman"/>
        </w:rPr>
        <w:t xml:space="preserve"> in </w:t>
      </w:r>
      <w:proofErr w:type="spellStart"/>
      <w:r w:rsidR="00B44404" w:rsidRPr="00705170">
        <w:rPr>
          <w:rFonts w:ascii="Times New Roman" w:hAnsi="Times New Roman" w:cs="Times New Roman"/>
        </w:rPr>
        <w:t>other</w:t>
      </w:r>
      <w:proofErr w:type="spellEnd"/>
      <w:r w:rsidR="00B44404" w:rsidRPr="00705170">
        <w:rPr>
          <w:rFonts w:ascii="Times New Roman" w:hAnsi="Times New Roman" w:cs="Times New Roman"/>
        </w:rPr>
        <w:t xml:space="preserve"> </w:t>
      </w:r>
      <w:proofErr w:type="spellStart"/>
      <w:r w:rsidR="00B44404" w:rsidRPr="00705170">
        <w:rPr>
          <w:rFonts w:ascii="Times New Roman" w:hAnsi="Times New Roman" w:cs="Times New Roman"/>
        </w:rPr>
        <w:t>fields</w:t>
      </w:r>
      <w:proofErr w:type="spellEnd"/>
      <w:r w:rsidR="00B44404" w:rsidRPr="00705170">
        <w:rPr>
          <w:rStyle w:val="DipnotBavurusu"/>
          <w:rFonts w:ascii="Times New Roman" w:hAnsi="Times New Roman" w:cs="Times New Roman"/>
        </w:rPr>
        <w:footnoteReference w:id="84"/>
      </w:r>
      <w:r w:rsidR="00B44404" w:rsidRPr="00705170">
        <w:rPr>
          <w:rFonts w:ascii="Times New Roman" w:hAnsi="Times New Roman" w:cs="Times New Roman"/>
        </w:rPr>
        <w:t>.</w:t>
      </w:r>
    </w:p>
    <w:p w14:paraId="5465A1FC" w14:textId="10E01A43" w:rsidR="00361D2D" w:rsidRPr="00705170" w:rsidRDefault="00361D2D" w:rsidP="00967446">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Secondly</w:t>
      </w:r>
      <w:proofErr w:type="spellEnd"/>
      <w:r w:rsidRPr="00705170">
        <w:rPr>
          <w:rFonts w:ascii="Times New Roman" w:hAnsi="Times New Roman" w:cs="Times New Roman"/>
        </w:rPr>
        <w:t xml:space="preserve">, </w:t>
      </w:r>
      <w:r w:rsidR="00967446" w:rsidRPr="00705170">
        <w:rPr>
          <w:rFonts w:ascii="Times New Roman" w:hAnsi="Times New Roman" w:cs="Times New Roman"/>
          <w:color w:val="000000"/>
        </w:rPr>
        <w:t xml:space="preserve">it is </w:t>
      </w:r>
      <w:proofErr w:type="spellStart"/>
      <w:r w:rsidR="00967446" w:rsidRPr="00705170">
        <w:rPr>
          <w:rFonts w:ascii="Times New Roman" w:hAnsi="Times New Roman" w:cs="Times New Roman"/>
          <w:color w:val="000000"/>
        </w:rPr>
        <w:t>important</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to</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recognize</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that</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investors</w:t>
      </w:r>
      <w:proofErr w:type="spellEnd"/>
      <w:r w:rsidR="00967446" w:rsidRPr="00705170">
        <w:rPr>
          <w:rFonts w:ascii="Times New Roman" w:hAnsi="Times New Roman" w:cs="Times New Roman"/>
          <w:color w:val="000000"/>
        </w:rPr>
        <w:t xml:space="preserve"> can “</w:t>
      </w:r>
      <w:proofErr w:type="spellStart"/>
      <w:r w:rsidR="00967446" w:rsidRPr="00705170">
        <w:rPr>
          <w:rFonts w:ascii="Times New Roman" w:hAnsi="Times New Roman" w:cs="Times New Roman"/>
          <w:color w:val="000000"/>
        </w:rPr>
        <w:t>make</w:t>
      </w:r>
      <w:proofErr w:type="spellEnd"/>
      <w:r w:rsidR="00967446" w:rsidRPr="00705170">
        <w:rPr>
          <w:rFonts w:ascii="Times New Roman" w:hAnsi="Times New Roman" w:cs="Times New Roman"/>
          <w:color w:val="000000"/>
        </w:rPr>
        <w:t xml:space="preserve"> a </w:t>
      </w:r>
      <w:proofErr w:type="spellStart"/>
      <w:r w:rsidR="00967446" w:rsidRPr="00705170">
        <w:rPr>
          <w:rFonts w:ascii="Times New Roman" w:hAnsi="Times New Roman" w:cs="Times New Roman"/>
          <w:color w:val="000000"/>
        </w:rPr>
        <w:t>business</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judgment</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whether</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to</w:t>
      </w:r>
      <w:proofErr w:type="spellEnd"/>
      <w:r w:rsidR="00967446" w:rsidRPr="00705170">
        <w:rPr>
          <w:rFonts w:ascii="Times New Roman" w:hAnsi="Times New Roman" w:cs="Times New Roman"/>
          <w:color w:val="000000"/>
        </w:rPr>
        <w:t xml:space="preserve"> buy </w:t>
      </w:r>
      <w:proofErr w:type="spellStart"/>
      <w:r w:rsidR="00967446" w:rsidRPr="00705170">
        <w:rPr>
          <w:rFonts w:ascii="Times New Roman" w:hAnsi="Times New Roman" w:cs="Times New Roman"/>
          <w:color w:val="000000"/>
        </w:rPr>
        <w:t>into</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such</w:t>
      </w:r>
      <w:proofErr w:type="spellEnd"/>
      <w:r w:rsidR="00967446" w:rsidRPr="00705170">
        <w:rPr>
          <w:rFonts w:ascii="Times New Roman" w:hAnsi="Times New Roman" w:cs="Times New Roman"/>
          <w:color w:val="000000"/>
        </w:rPr>
        <w:t xml:space="preserve"> a </w:t>
      </w:r>
      <w:proofErr w:type="spellStart"/>
      <w:r w:rsidR="00967446" w:rsidRPr="00705170">
        <w:rPr>
          <w:rFonts w:ascii="Times New Roman" w:hAnsi="Times New Roman" w:cs="Times New Roman"/>
          <w:color w:val="000000"/>
        </w:rPr>
        <w:t>minority</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position</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and</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if</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so</w:t>
      </w:r>
      <w:proofErr w:type="spellEnd"/>
      <w:r w:rsidR="00967446" w:rsidRPr="00705170">
        <w:rPr>
          <w:rFonts w:ascii="Times New Roman" w:hAnsi="Times New Roman" w:cs="Times New Roman"/>
          <w:color w:val="000000"/>
        </w:rPr>
        <w:t xml:space="preserve"> on </w:t>
      </w:r>
      <w:proofErr w:type="spellStart"/>
      <w:r w:rsidR="00967446" w:rsidRPr="00705170">
        <w:rPr>
          <w:rFonts w:ascii="Times New Roman" w:hAnsi="Times New Roman" w:cs="Times New Roman"/>
          <w:color w:val="000000"/>
        </w:rPr>
        <w:t>what</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terms</w:t>
      </w:r>
      <w:proofErr w:type="spellEnd"/>
      <w:r w:rsidR="00967446" w:rsidRPr="00705170">
        <w:rPr>
          <w:rFonts w:ascii="Times New Roman" w:hAnsi="Times New Roman" w:cs="Times New Roman"/>
          <w:color w:val="000000"/>
        </w:rPr>
        <w:t>”</w:t>
      </w:r>
      <w:r w:rsidR="00967446" w:rsidRPr="00705170">
        <w:rPr>
          <w:rStyle w:val="DipnotBavurusu"/>
          <w:rFonts w:ascii="Times New Roman" w:hAnsi="Times New Roman" w:cs="Times New Roman"/>
          <w:color w:val="000000"/>
        </w:rPr>
        <w:footnoteReference w:id="85"/>
      </w:r>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In</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principle</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parties</w:t>
      </w:r>
      <w:proofErr w:type="spellEnd"/>
      <w:r w:rsidR="00967446" w:rsidRPr="00705170">
        <w:rPr>
          <w:rFonts w:ascii="Times New Roman" w:hAnsi="Times New Roman" w:cs="Times New Roman"/>
          <w:color w:val="000000"/>
        </w:rPr>
        <w:t xml:space="preserve"> can </w:t>
      </w:r>
      <w:proofErr w:type="spellStart"/>
      <w:r w:rsidR="00967446" w:rsidRPr="00705170">
        <w:rPr>
          <w:rFonts w:ascii="Times New Roman" w:hAnsi="Times New Roman" w:cs="Times New Roman"/>
          <w:color w:val="000000"/>
        </w:rPr>
        <w:t>even</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choose</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the</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law</w:t>
      </w:r>
      <w:proofErr w:type="spellEnd"/>
      <w:r w:rsidR="00967446" w:rsidRPr="00705170">
        <w:rPr>
          <w:rFonts w:ascii="Times New Roman" w:hAnsi="Times New Roman" w:cs="Times New Roman"/>
          <w:color w:val="000000"/>
        </w:rPr>
        <w:t xml:space="preserve"> of a </w:t>
      </w:r>
      <w:proofErr w:type="spellStart"/>
      <w:r w:rsidR="00967446" w:rsidRPr="00705170">
        <w:rPr>
          <w:rFonts w:ascii="Times New Roman" w:hAnsi="Times New Roman" w:cs="Times New Roman"/>
          <w:color w:val="000000"/>
        </w:rPr>
        <w:t>jurisdiction</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which</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does</w:t>
      </w:r>
      <w:proofErr w:type="spellEnd"/>
      <w:r w:rsidR="00967446" w:rsidRPr="00705170">
        <w:rPr>
          <w:rFonts w:ascii="Times New Roman" w:hAnsi="Times New Roman" w:cs="Times New Roman"/>
          <w:color w:val="000000"/>
        </w:rPr>
        <w:t xml:space="preserve"> not </w:t>
      </w:r>
      <w:proofErr w:type="spellStart"/>
      <w:r w:rsidR="00967446" w:rsidRPr="00705170">
        <w:rPr>
          <w:rFonts w:ascii="Times New Roman" w:hAnsi="Times New Roman" w:cs="Times New Roman"/>
          <w:color w:val="000000"/>
        </w:rPr>
        <w:t>include</w:t>
      </w:r>
      <w:proofErr w:type="spellEnd"/>
      <w:r w:rsidR="00967446" w:rsidRPr="00705170">
        <w:rPr>
          <w:rFonts w:ascii="Times New Roman" w:hAnsi="Times New Roman" w:cs="Times New Roman"/>
          <w:color w:val="000000"/>
        </w:rPr>
        <w:t xml:space="preserve"> a </w:t>
      </w:r>
      <w:proofErr w:type="spellStart"/>
      <w:r w:rsidR="00967446" w:rsidRPr="00705170">
        <w:rPr>
          <w:rFonts w:ascii="Times New Roman" w:hAnsi="Times New Roman" w:cs="Times New Roman"/>
          <w:color w:val="000000"/>
        </w:rPr>
        <w:t>remedy</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for</w:t>
      </w:r>
      <w:proofErr w:type="spellEnd"/>
      <w:r w:rsidR="00967446" w:rsidRPr="00705170">
        <w:rPr>
          <w:rFonts w:ascii="Times New Roman" w:hAnsi="Times New Roman" w:cs="Times New Roman"/>
          <w:color w:val="000000"/>
        </w:rPr>
        <w:t xml:space="preserve"> </w:t>
      </w:r>
      <w:proofErr w:type="spellStart"/>
      <w:r w:rsidR="00E37810" w:rsidRPr="00705170">
        <w:rPr>
          <w:rFonts w:ascii="Times New Roman" w:hAnsi="Times New Roman" w:cs="Times New Roman"/>
          <w:color w:val="000000"/>
        </w:rPr>
        <w:t>any</w:t>
      </w:r>
      <w:proofErr w:type="spellEnd"/>
      <w:r w:rsidR="00E37810" w:rsidRPr="00705170">
        <w:rPr>
          <w:rFonts w:ascii="Times New Roman" w:hAnsi="Times New Roman" w:cs="Times New Roman"/>
          <w:color w:val="000000"/>
        </w:rPr>
        <w:t xml:space="preserve"> </w:t>
      </w:r>
      <w:proofErr w:type="spellStart"/>
      <w:r w:rsidR="00E37810" w:rsidRPr="00705170">
        <w:rPr>
          <w:rFonts w:ascii="Times New Roman" w:hAnsi="Times New Roman" w:cs="Times New Roman"/>
          <w:color w:val="000000"/>
        </w:rPr>
        <w:t>benefit</w:t>
      </w:r>
      <w:proofErr w:type="spellEnd"/>
      <w:r w:rsidR="00E37810" w:rsidRPr="00705170">
        <w:rPr>
          <w:rFonts w:ascii="Times New Roman" w:hAnsi="Times New Roman" w:cs="Times New Roman"/>
          <w:color w:val="000000"/>
        </w:rPr>
        <w:t xml:space="preserve"> </w:t>
      </w:r>
      <w:proofErr w:type="spellStart"/>
      <w:r w:rsidR="00E37810" w:rsidRPr="00705170">
        <w:rPr>
          <w:rFonts w:ascii="Times New Roman" w:hAnsi="Times New Roman" w:cs="Times New Roman"/>
          <w:color w:val="000000"/>
        </w:rPr>
        <w:t>extraction</w:t>
      </w:r>
      <w:proofErr w:type="spellEnd"/>
      <w:r w:rsidR="00E37810" w:rsidRPr="00705170">
        <w:rPr>
          <w:rFonts w:ascii="Times New Roman" w:hAnsi="Times New Roman" w:cs="Times New Roman"/>
          <w:color w:val="000000"/>
        </w:rPr>
        <w:t xml:space="preserve"> </w:t>
      </w:r>
      <w:proofErr w:type="spellStart"/>
      <w:r w:rsidR="00E37810" w:rsidRPr="00705170">
        <w:rPr>
          <w:rFonts w:ascii="Times New Roman" w:hAnsi="Times New Roman" w:cs="Times New Roman"/>
          <w:color w:val="000000"/>
        </w:rPr>
        <w:t>or</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lastRenderedPageBreak/>
        <w:t>oppression</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and</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this</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choice</w:t>
      </w:r>
      <w:proofErr w:type="spellEnd"/>
      <w:r w:rsidR="00967446" w:rsidRPr="00705170">
        <w:rPr>
          <w:rFonts w:ascii="Times New Roman" w:hAnsi="Times New Roman" w:cs="Times New Roman"/>
          <w:color w:val="000000"/>
        </w:rPr>
        <w:t xml:space="preserve"> of </w:t>
      </w:r>
      <w:proofErr w:type="spellStart"/>
      <w:r w:rsidR="00967446" w:rsidRPr="00705170">
        <w:rPr>
          <w:rFonts w:ascii="Times New Roman" w:hAnsi="Times New Roman" w:cs="Times New Roman"/>
          <w:color w:val="000000"/>
        </w:rPr>
        <w:t>law</w:t>
      </w:r>
      <w:proofErr w:type="spellEnd"/>
      <w:r w:rsidR="00967446" w:rsidRPr="00705170">
        <w:rPr>
          <w:rFonts w:ascii="Times New Roman" w:hAnsi="Times New Roman" w:cs="Times New Roman"/>
          <w:color w:val="000000"/>
        </w:rPr>
        <w:t xml:space="preserve"> </w:t>
      </w:r>
      <w:proofErr w:type="spellStart"/>
      <w:r w:rsidR="00967446" w:rsidRPr="00705170">
        <w:rPr>
          <w:rFonts w:ascii="Times New Roman" w:hAnsi="Times New Roman" w:cs="Times New Roman"/>
          <w:color w:val="000000"/>
        </w:rPr>
        <w:t>should</w:t>
      </w:r>
      <w:proofErr w:type="spellEnd"/>
      <w:r w:rsidR="00967446" w:rsidRPr="00705170">
        <w:rPr>
          <w:rFonts w:ascii="Times New Roman" w:hAnsi="Times New Roman" w:cs="Times New Roman"/>
          <w:color w:val="000000"/>
        </w:rPr>
        <w:t xml:space="preserve"> be </w:t>
      </w:r>
      <w:proofErr w:type="spellStart"/>
      <w:r w:rsidR="00967446" w:rsidRPr="00705170">
        <w:rPr>
          <w:rFonts w:ascii="Times New Roman" w:hAnsi="Times New Roman" w:cs="Times New Roman"/>
          <w:color w:val="000000"/>
        </w:rPr>
        <w:t>respected</w:t>
      </w:r>
      <w:proofErr w:type="spellEnd"/>
      <w:r w:rsidR="00967446" w:rsidRPr="00705170">
        <w:rPr>
          <w:rStyle w:val="DipnotBavurusu"/>
          <w:rFonts w:ascii="Times New Roman" w:hAnsi="Times New Roman" w:cs="Times New Roman"/>
          <w:color w:val="000000"/>
        </w:rPr>
        <w:footnoteReference w:id="86"/>
      </w:r>
      <w:r w:rsidR="00967446" w:rsidRPr="00705170">
        <w:rPr>
          <w:rFonts w:ascii="Times New Roman" w:hAnsi="Times New Roman" w:cs="Times New Roman"/>
          <w:color w:val="000000"/>
        </w:rPr>
        <w:t>.</w:t>
      </w:r>
      <w:r w:rsidR="00967446" w:rsidRPr="00705170">
        <w:rPr>
          <w:rFonts w:ascii="Times New Roman" w:hAnsi="Times New Roman" w:cs="Times New Roman"/>
        </w:rPr>
        <w:t xml:space="preserve"> </w:t>
      </w:r>
      <w:proofErr w:type="spellStart"/>
      <w:r w:rsidR="00A759D8">
        <w:rPr>
          <w:rFonts w:ascii="Times New Roman" w:hAnsi="Times New Roman" w:cs="Times New Roman"/>
        </w:rPr>
        <w:t>This</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approach</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naturally</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takes</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one</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to</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the</w:t>
      </w:r>
      <w:proofErr w:type="spellEnd"/>
      <w:r w:rsidR="00A759D8">
        <w:rPr>
          <w:rFonts w:ascii="Times New Roman" w:hAnsi="Times New Roman" w:cs="Times New Roman"/>
        </w:rPr>
        <w:t xml:space="preserve"> </w:t>
      </w:r>
      <w:proofErr w:type="spellStart"/>
      <w:r w:rsidR="00A9057B">
        <w:rPr>
          <w:rFonts w:ascii="Times New Roman" w:hAnsi="Times New Roman" w:cs="Times New Roman"/>
        </w:rPr>
        <w:t>initial</w:t>
      </w:r>
      <w:proofErr w:type="spellEnd"/>
      <w:r w:rsidR="00A9057B">
        <w:rPr>
          <w:rFonts w:ascii="Times New Roman" w:hAnsi="Times New Roman" w:cs="Times New Roman"/>
        </w:rPr>
        <w:t xml:space="preserve"> </w:t>
      </w:r>
      <w:proofErr w:type="spellStart"/>
      <w:r w:rsidR="00A759D8">
        <w:rPr>
          <w:rFonts w:ascii="Times New Roman" w:hAnsi="Times New Roman" w:cs="Times New Roman"/>
        </w:rPr>
        <w:t>conclusion</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that</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extraction</w:t>
      </w:r>
      <w:proofErr w:type="spellEnd"/>
      <w:r w:rsidR="00A759D8">
        <w:rPr>
          <w:rFonts w:ascii="Times New Roman" w:hAnsi="Times New Roman" w:cs="Times New Roman"/>
        </w:rPr>
        <w:t xml:space="preserve"> of </w:t>
      </w:r>
      <w:proofErr w:type="spellStart"/>
      <w:r w:rsidR="00A759D8">
        <w:rPr>
          <w:rFonts w:ascii="Times New Roman" w:hAnsi="Times New Roman" w:cs="Times New Roman"/>
        </w:rPr>
        <w:t>non</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pecuiary</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privat</w:t>
      </w:r>
      <w:r w:rsidR="006A5FC5">
        <w:rPr>
          <w:rFonts w:ascii="Times New Roman" w:hAnsi="Times New Roman" w:cs="Times New Roman"/>
        </w:rPr>
        <w:t>e</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benefits</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should</w:t>
      </w:r>
      <w:proofErr w:type="spellEnd"/>
      <w:r w:rsidR="00A759D8">
        <w:rPr>
          <w:rFonts w:ascii="Times New Roman" w:hAnsi="Times New Roman" w:cs="Times New Roman"/>
        </w:rPr>
        <w:t xml:space="preserve"> be </w:t>
      </w:r>
      <w:proofErr w:type="spellStart"/>
      <w:r w:rsidR="00A759D8">
        <w:rPr>
          <w:rFonts w:ascii="Times New Roman" w:hAnsi="Times New Roman" w:cs="Times New Roman"/>
        </w:rPr>
        <w:t>ignored</w:t>
      </w:r>
      <w:proofErr w:type="spellEnd"/>
      <w:r w:rsidR="00A759D8">
        <w:rPr>
          <w:rFonts w:ascii="Times New Roman" w:hAnsi="Times New Roman" w:cs="Times New Roman"/>
        </w:rPr>
        <w:t xml:space="preserve"> as </w:t>
      </w:r>
      <w:proofErr w:type="spellStart"/>
      <w:r w:rsidR="00A759D8">
        <w:rPr>
          <w:rFonts w:ascii="Times New Roman" w:hAnsi="Times New Roman" w:cs="Times New Roman"/>
        </w:rPr>
        <w:t>long</w:t>
      </w:r>
      <w:proofErr w:type="spellEnd"/>
      <w:r w:rsidR="00A759D8">
        <w:rPr>
          <w:rFonts w:ascii="Times New Roman" w:hAnsi="Times New Roman" w:cs="Times New Roman"/>
        </w:rPr>
        <w:t xml:space="preserve"> as it is </w:t>
      </w:r>
      <w:proofErr w:type="spellStart"/>
      <w:r w:rsidR="00A759D8">
        <w:rPr>
          <w:rFonts w:ascii="Times New Roman" w:hAnsi="Times New Roman" w:cs="Times New Roman"/>
        </w:rPr>
        <w:t>disclosed</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to</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the</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public</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Likewise</w:t>
      </w:r>
      <w:proofErr w:type="spellEnd"/>
      <w:r w:rsidR="00A759D8">
        <w:rPr>
          <w:rFonts w:ascii="Times New Roman" w:hAnsi="Times New Roman" w:cs="Times New Roman"/>
        </w:rPr>
        <w:t xml:space="preserve">, </w:t>
      </w:r>
      <w:proofErr w:type="spellStart"/>
      <w:r w:rsidR="00A759D8">
        <w:rPr>
          <w:rFonts w:ascii="Times New Roman" w:hAnsi="Times New Roman" w:cs="Times New Roman"/>
        </w:rPr>
        <w:t>while</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true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undisclosed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violate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securities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requirements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w:t>
      </w:r>
      <w:proofErr w:type="spellEnd"/>
      <w:r w:rsidRPr="00705170">
        <w:rPr>
          <w:rFonts w:ascii="Times New Roman" w:hAnsi="Times New Roman" w:cs="Times New Roman"/>
        </w:rPr>
        <w:t xml:space="preserve"> is not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correct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because</w:t>
      </w:r>
      <w:proofErr w:type="spellEnd"/>
      <w:r w:rsidRPr="00705170">
        <w:rPr>
          <w:rFonts w:ascii="Times New Roman" w:hAnsi="Times New Roman" w:cs="Times New Roman"/>
        </w:rPr>
        <w:t xml:space="preserve">; (1) </w:t>
      </w:r>
      <w:proofErr w:type="spellStart"/>
      <w:r w:rsidRPr="00705170">
        <w:rPr>
          <w:rFonts w:ascii="Times New Roman" w:hAnsi="Times New Roman" w:cs="Times New Roman"/>
        </w:rPr>
        <w:t>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regarding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usually</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ones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covered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obligations</w:t>
      </w:r>
      <w:proofErr w:type="spellEnd"/>
      <w:r w:rsidR="008E2DFE" w:rsidRPr="00705170">
        <w:rPr>
          <w:rStyle w:val="DipnotBavurusu"/>
          <w:rFonts w:ascii="Times New Roman" w:hAnsi="Times New Roman" w:cs="Times New Roman"/>
        </w:rPr>
        <w:footnoteReference w:id="87"/>
      </w:r>
      <w:r w:rsidRPr="00705170">
        <w:rPr>
          <w:rFonts w:ascii="Times New Roman" w:hAnsi="Times New Roman" w:cs="Times New Roman"/>
        </w:rPr>
        <w:t xml:space="preserve">, (2) </w:t>
      </w:r>
      <w:proofErr w:type="spellStart"/>
      <w:r w:rsidRPr="00705170">
        <w:rPr>
          <w:rFonts w:ascii="Times New Roman" w:hAnsi="Times New Roman" w:cs="Times New Roman"/>
        </w:rPr>
        <w:t>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w:t>
      </w:r>
      <w:proofErr w:type="spellEnd"/>
      <w:r w:rsidRPr="00705170">
        <w:rPr>
          <w:rFonts w:ascii="Times New Roman" w:hAnsi="Times New Roman" w:cs="Times New Roman"/>
        </w:rPr>
        <w:t xml:space="preserve"> here is </w:t>
      </w:r>
      <w:proofErr w:type="spellStart"/>
      <w:r w:rsidRPr="00705170">
        <w:rPr>
          <w:rFonts w:ascii="Times New Roman" w:hAnsi="Times New Roman" w:cs="Times New Roman"/>
        </w:rPr>
        <w:t>usually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taking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appearance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bad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judgment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judgment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reveal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frustrating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nature</w:t>
      </w:r>
      <w:proofErr w:type="spellEnd"/>
      <w:r w:rsidRPr="00705170">
        <w:rPr>
          <w:rFonts w:ascii="Times New Roman" w:hAnsi="Times New Roman" w:cs="Times New Roman"/>
        </w:rPr>
        <w:t xml:space="preserve">, (3)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is not </w:t>
      </w:r>
      <w:proofErr w:type="spellStart"/>
      <w:r w:rsidRPr="00705170">
        <w:rPr>
          <w:rFonts w:ascii="Times New Roman" w:hAnsi="Times New Roman" w:cs="Times New Roman"/>
        </w:rPr>
        <w:t>adequate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discipline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directly</w:t>
      </w:r>
      <w:proofErr w:type="spellEnd"/>
      <w:r w:rsidR="008E2DFE" w:rsidRPr="00705170">
        <w:rPr>
          <w:rStyle w:val="DipnotBavurusu"/>
          <w:rFonts w:ascii="Times New Roman" w:hAnsi="Times New Roman" w:cs="Times New Roman"/>
        </w:rPr>
        <w:footnoteReference w:id="88"/>
      </w:r>
      <w:r w:rsidRPr="00705170">
        <w:rPr>
          <w:rFonts w:ascii="Times New Roman" w:hAnsi="Times New Roman" w:cs="Times New Roman"/>
        </w:rPr>
        <w:t xml:space="preserve">, </w:t>
      </w:r>
      <w:proofErr w:type="spellStart"/>
      <w:r w:rsidRPr="00705170">
        <w:rPr>
          <w:rFonts w:ascii="Times New Roman" w:hAnsi="Times New Roman" w:cs="Times New Roman"/>
        </w:rPr>
        <w:t>especially</w:t>
      </w:r>
      <w:proofErr w:type="spellEnd"/>
      <w:r w:rsidRPr="00705170">
        <w:rPr>
          <w:rFonts w:ascii="Times New Roman" w:hAnsi="Times New Roman" w:cs="Times New Roman"/>
        </w:rPr>
        <w:t xml:space="preserve"> in an </w:t>
      </w:r>
      <w:proofErr w:type="spellStart"/>
      <w:r w:rsidRPr="00705170">
        <w:rPr>
          <w:rFonts w:ascii="Times New Roman" w:hAnsi="Times New Roman" w:cs="Times New Roman"/>
        </w:rPr>
        <w:t>inefficient</w:t>
      </w:r>
      <w:proofErr w:type="spellEnd"/>
      <w:r w:rsidRPr="00705170">
        <w:rPr>
          <w:rFonts w:ascii="Times New Roman" w:hAnsi="Times New Roman" w:cs="Times New Roman"/>
        </w:rPr>
        <w:t xml:space="preserve"> market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sufficiently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accurately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different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securities</w:t>
      </w:r>
      <w:proofErr w:type="spellEnd"/>
      <w:r w:rsidRPr="00705170">
        <w:rPr>
          <w:rStyle w:val="DipnotBavurusu"/>
          <w:rFonts w:ascii="Times New Roman" w:hAnsi="Times New Roman" w:cs="Times New Roman"/>
        </w:rPr>
        <w:footnoteReference w:id="89"/>
      </w:r>
      <w:r w:rsidR="002C29DC" w:rsidRPr="00705170">
        <w:rPr>
          <w:rFonts w:ascii="Times New Roman" w:hAnsi="Times New Roman" w:cs="Times New Roman"/>
        </w:rPr>
        <w:t xml:space="preserve">, (4) </w:t>
      </w:r>
      <w:proofErr w:type="spellStart"/>
      <w:r w:rsidR="002C29DC" w:rsidRPr="00705170">
        <w:rPr>
          <w:rFonts w:ascii="Times New Roman" w:hAnsi="Times New Roman" w:cs="Times New Roman"/>
        </w:rPr>
        <w:t>disclosure</w:t>
      </w:r>
      <w:proofErr w:type="spellEnd"/>
      <w:r w:rsidR="002C29DC" w:rsidRPr="00705170">
        <w:rPr>
          <w:rFonts w:ascii="Times New Roman" w:hAnsi="Times New Roman" w:cs="Times New Roman"/>
        </w:rPr>
        <w:t xml:space="preserve"> </w:t>
      </w:r>
      <w:proofErr w:type="spellStart"/>
      <w:r w:rsidR="002C29DC" w:rsidRPr="00705170">
        <w:rPr>
          <w:rFonts w:ascii="Times New Roman" w:hAnsi="Times New Roman" w:cs="Times New Roman"/>
        </w:rPr>
        <w:t>will</w:t>
      </w:r>
      <w:proofErr w:type="spellEnd"/>
      <w:r w:rsidR="002C29DC" w:rsidRPr="00705170">
        <w:rPr>
          <w:rFonts w:ascii="Times New Roman" w:hAnsi="Times New Roman" w:cs="Times New Roman"/>
        </w:rPr>
        <w:t xml:space="preserve"> </w:t>
      </w:r>
      <w:proofErr w:type="spellStart"/>
      <w:r w:rsidR="002C29DC" w:rsidRPr="00705170">
        <w:rPr>
          <w:rFonts w:ascii="Times New Roman" w:hAnsi="Times New Roman" w:cs="Times New Roman"/>
        </w:rPr>
        <w:t>on</w:t>
      </w:r>
      <w:r w:rsidR="00D053ED" w:rsidRPr="00705170">
        <w:rPr>
          <w:rFonts w:ascii="Times New Roman" w:hAnsi="Times New Roman" w:cs="Times New Roman"/>
        </w:rPr>
        <w:t>ly</w:t>
      </w:r>
      <w:proofErr w:type="spellEnd"/>
      <w:r w:rsidR="002C29DC" w:rsidRPr="00705170">
        <w:rPr>
          <w:rFonts w:ascii="Times New Roman" w:hAnsi="Times New Roman" w:cs="Times New Roman"/>
        </w:rPr>
        <w:t xml:space="preserve"> </w:t>
      </w:r>
      <w:proofErr w:type="spellStart"/>
      <w:r w:rsidR="002C29DC" w:rsidRPr="00705170">
        <w:rPr>
          <w:rFonts w:ascii="Times New Roman" w:hAnsi="Times New Roman" w:cs="Times New Roman"/>
        </w:rPr>
        <w:t>work</w:t>
      </w:r>
      <w:proofErr w:type="spellEnd"/>
      <w:r w:rsidR="002C29DC" w:rsidRPr="00705170">
        <w:rPr>
          <w:rFonts w:ascii="Times New Roman" w:hAnsi="Times New Roman" w:cs="Times New Roman"/>
        </w:rPr>
        <w:t xml:space="preserve"> </w:t>
      </w:r>
      <w:proofErr w:type="spellStart"/>
      <w:r w:rsidR="002C29DC" w:rsidRPr="00705170">
        <w:rPr>
          <w:rFonts w:ascii="Times New Roman" w:hAnsi="Times New Roman" w:cs="Times New Roman"/>
        </w:rPr>
        <w:t>if</w:t>
      </w:r>
      <w:proofErr w:type="spellEnd"/>
      <w:r w:rsidR="002C29DC" w:rsidRPr="00705170">
        <w:rPr>
          <w:rFonts w:ascii="Times New Roman" w:hAnsi="Times New Roman" w:cs="Times New Roman"/>
        </w:rPr>
        <w:t xml:space="preserve"> </w:t>
      </w:r>
      <w:proofErr w:type="spellStart"/>
      <w:r w:rsidR="002C29DC" w:rsidRPr="00705170">
        <w:rPr>
          <w:rFonts w:ascii="Times New Roman" w:hAnsi="Times New Roman" w:cs="Times New Roman"/>
        </w:rPr>
        <w:t>the</w:t>
      </w:r>
      <w:proofErr w:type="spellEnd"/>
      <w:r w:rsidR="002C29DC" w:rsidRPr="00705170">
        <w:rPr>
          <w:rFonts w:ascii="Times New Roman" w:hAnsi="Times New Roman" w:cs="Times New Roman"/>
        </w:rPr>
        <w:t xml:space="preserve"> market is </w:t>
      </w:r>
      <w:proofErr w:type="spellStart"/>
      <w:r w:rsidR="002C29DC" w:rsidRPr="00705170">
        <w:rPr>
          <w:rFonts w:ascii="Times New Roman" w:hAnsi="Times New Roman" w:cs="Times New Roman"/>
        </w:rPr>
        <w:t>sophisticated</w:t>
      </w:r>
      <w:proofErr w:type="spellEnd"/>
      <w:r w:rsidR="002C29DC" w:rsidRPr="00705170">
        <w:rPr>
          <w:rFonts w:ascii="Times New Roman" w:hAnsi="Times New Roman" w:cs="Times New Roman"/>
        </w:rPr>
        <w:t xml:space="preserve"> </w:t>
      </w:r>
      <w:proofErr w:type="spellStart"/>
      <w:r w:rsidR="002C29DC" w:rsidRPr="00705170">
        <w:rPr>
          <w:rFonts w:ascii="Times New Roman" w:hAnsi="Times New Roman" w:cs="Times New Roman"/>
        </w:rPr>
        <w:t>enough</w:t>
      </w:r>
      <w:proofErr w:type="spellEnd"/>
      <w:r w:rsidR="002C29DC" w:rsidRPr="00705170">
        <w:rPr>
          <w:rFonts w:ascii="Times New Roman" w:hAnsi="Times New Roman" w:cs="Times New Roman"/>
        </w:rPr>
        <w:t xml:space="preserve"> </w:t>
      </w:r>
      <w:proofErr w:type="spellStart"/>
      <w:r w:rsidR="002C29DC" w:rsidRPr="00705170">
        <w:rPr>
          <w:rFonts w:ascii="Times New Roman" w:hAnsi="Times New Roman" w:cs="Times New Roman"/>
        </w:rPr>
        <w:lastRenderedPageBreak/>
        <w:t>to</w:t>
      </w:r>
      <w:proofErr w:type="spellEnd"/>
      <w:r w:rsidR="002C29DC" w:rsidRPr="00705170">
        <w:rPr>
          <w:rFonts w:ascii="Times New Roman" w:hAnsi="Times New Roman" w:cs="Times New Roman"/>
        </w:rPr>
        <w:t xml:space="preserve"> </w:t>
      </w:r>
      <w:proofErr w:type="spellStart"/>
      <w:r w:rsidR="00D053ED" w:rsidRPr="00705170">
        <w:rPr>
          <w:rFonts w:ascii="Times New Roman" w:hAnsi="Times New Roman" w:cs="Times New Roman"/>
        </w:rPr>
        <w:t>figure</w:t>
      </w:r>
      <w:proofErr w:type="spellEnd"/>
      <w:r w:rsidR="00D053ED" w:rsidRPr="00705170">
        <w:rPr>
          <w:rFonts w:ascii="Times New Roman" w:hAnsi="Times New Roman" w:cs="Times New Roman"/>
        </w:rPr>
        <w:t xml:space="preserve"> </w:t>
      </w:r>
      <w:proofErr w:type="spellStart"/>
      <w:r w:rsidR="00D053ED" w:rsidRPr="00705170">
        <w:rPr>
          <w:rFonts w:ascii="Times New Roman" w:hAnsi="Times New Roman" w:cs="Times New Roman"/>
        </w:rPr>
        <w:t>out</w:t>
      </w:r>
      <w:proofErr w:type="spellEnd"/>
      <w:r w:rsidR="00D053ED" w:rsidRPr="00705170">
        <w:rPr>
          <w:rFonts w:ascii="Times New Roman" w:hAnsi="Times New Roman" w:cs="Times New Roman"/>
        </w:rPr>
        <w:t xml:space="preserve"> </w:t>
      </w:r>
      <w:proofErr w:type="spellStart"/>
      <w:r w:rsidR="00D053ED" w:rsidRPr="00705170">
        <w:rPr>
          <w:rFonts w:ascii="Times New Roman" w:hAnsi="Times New Roman" w:cs="Times New Roman"/>
        </w:rPr>
        <w:t>the</w:t>
      </w:r>
      <w:proofErr w:type="spellEnd"/>
      <w:r w:rsidR="00D053ED" w:rsidRPr="00705170">
        <w:rPr>
          <w:rFonts w:ascii="Times New Roman" w:hAnsi="Times New Roman" w:cs="Times New Roman"/>
        </w:rPr>
        <w:t xml:space="preserve"> </w:t>
      </w:r>
      <w:proofErr w:type="spellStart"/>
      <w:r w:rsidR="00D053ED" w:rsidRPr="00705170">
        <w:rPr>
          <w:rFonts w:ascii="Times New Roman" w:hAnsi="Times New Roman" w:cs="Times New Roman"/>
        </w:rPr>
        <w:t>harms</w:t>
      </w:r>
      <w:proofErr w:type="spellEnd"/>
      <w:r w:rsidR="00D053ED" w:rsidRPr="00705170">
        <w:rPr>
          <w:rFonts w:ascii="Times New Roman" w:hAnsi="Times New Roman" w:cs="Times New Roman"/>
        </w:rPr>
        <w:t xml:space="preserve"> </w:t>
      </w:r>
      <w:proofErr w:type="spellStart"/>
      <w:r w:rsidR="00D053ED" w:rsidRPr="00705170">
        <w:rPr>
          <w:rFonts w:ascii="Times New Roman" w:hAnsi="Times New Roman" w:cs="Times New Roman"/>
        </w:rPr>
        <w:t>associated</w:t>
      </w:r>
      <w:proofErr w:type="spellEnd"/>
      <w:r w:rsidR="00D053ED" w:rsidRPr="00705170">
        <w:rPr>
          <w:rFonts w:ascii="Times New Roman" w:hAnsi="Times New Roman" w:cs="Times New Roman"/>
        </w:rPr>
        <w:t xml:space="preserve"> </w:t>
      </w:r>
      <w:proofErr w:type="spellStart"/>
      <w:r w:rsidR="00D053ED" w:rsidRPr="00705170">
        <w:rPr>
          <w:rFonts w:ascii="Times New Roman" w:hAnsi="Times New Roman" w:cs="Times New Roman"/>
        </w:rPr>
        <w:t>with</w:t>
      </w:r>
      <w:proofErr w:type="spellEnd"/>
      <w:r w:rsidR="00D053ED" w:rsidRPr="00705170">
        <w:rPr>
          <w:rFonts w:ascii="Times New Roman" w:hAnsi="Times New Roman" w:cs="Times New Roman"/>
        </w:rPr>
        <w:t xml:space="preserve"> a </w:t>
      </w:r>
      <w:proofErr w:type="spellStart"/>
      <w:r w:rsidR="00D053ED" w:rsidRPr="00705170">
        <w:rPr>
          <w:rFonts w:ascii="Times New Roman" w:hAnsi="Times New Roman" w:cs="Times New Roman"/>
        </w:rPr>
        <w:t>particular</w:t>
      </w:r>
      <w:proofErr w:type="spellEnd"/>
      <w:r w:rsidR="00D053ED" w:rsidRPr="00705170">
        <w:rPr>
          <w:rFonts w:ascii="Times New Roman" w:hAnsi="Times New Roman" w:cs="Times New Roman"/>
        </w:rPr>
        <w:t xml:space="preserve"> </w:t>
      </w:r>
      <w:proofErr w:type="spellStart"/>
      <w:r w:rsidR="00D053ED" w:rsidRPr="00705170">
        <w:rPr>
          <w:rFonts w:ascii="Times New Roman" w:hAnsi="Times New Roman" w:cs="Times New Roman"/>
        </w:rPr>
        <w:t>conduct</w:t>
      </w:r>
      <w:proofErr w:type="spellEnd"/>
      <w:r w:rsidR="00D053ED" w:rsidRPr="00705170">
        <w:rPr>
          <w:rStyle w:val="DipnotBavurusu"/>
          <w:rFonts w:ascii="Times New Roman" w:hAnsi="Times New Roman" w:cs="Times New Roman"/>
        </w:rPr>
        <w:footnoteReference w:id="90"/>
      </w:r>
      <w:r w:rsidR="00D053ED" w:rsidRPr="00705170">
        <w:rPr>
          <w:rFonts w:ascii="Times New Roman" w:hAnsi="Times New Roman" w:cs="Times New Roman"/>
        </w:rPr>
        <w:t>.</w:t>
      </w:r>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After</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all</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the</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rationale</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that</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the</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disclosure</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and</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the</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comply</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or</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disclose</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regime</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relys</w:t>
      </w:r>
      <w:proofErr w:type="spellEnd"/>
      <w:r w:rsidR="00A5521C" w:rsidRPr="00705170">
        <w:rPr>
          <w:rFonts w:ascii="Times New Roman" w:hAnsi="Times New Roman" w:cs="Times New Roman"/>
        </w:rPr>
        <w:t xml:space="preserve"> on, is </w:t>
      </w:r>
      <w:proofErr w:type="spellStart"/>
      <w:r w:rsidR="00A5521C" w:rsidRPr="00705170">
        <w:rPr>
          <w:rFonts w:ascii="Times New Roman" w:hAnsi="Times New Roman" w:cs="Times New Roman"/>
        </w:rPr>
        <w:t>the</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assumption</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that</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the</w:t>
      </w:r>
      <w:proofErr w:type="spellEnd"/>
      <w:r w:rsidR="00A5521C" w:rsidRPr="00705170">
        <w:rPr>
          <w:rFonts w:ascii="Times New Roman" w:hAnsi="Times New Roman" w:cs="Times New Roman"/>
        </w:rPr>
        <w:t xml:space="preserve"> market </w:t>
      </w:r>
      <w:proofErr w:type="spellStart"/>
      <w:r w:rsidR="00A5521C" w:rsidRPr="00705170">
        <w:rPr>
          <w:rFonts w:ascii="Times New Roman" w:hAnsi="Times New Roman" w:cs="Times New Roman"/>
        </w:rPr>
        <w:t>will</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enforce</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the</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voluntary</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standards</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if</w:t>
      </w:r>
      <w:proofErr w:type="spellEnd"/>
      <w:r w:rsidR="00A5521C" w:rsidRPr="00705170">
        <w:rPr>
          <w:rFonts w:ascii="Times New Roman" w:hAnsi="Times New Roman" w:cs="Times New Roman"/>
        </w:rPr>
        <w:t xml:space="preserve"> a </w:t>
      </w:r>
      <w:proofErr w:type="spellStart"/>
      <w:r w:rsidR="00A5521C" w:rsidRPr="00705170">
        <w:rPr>
          <w:rFonts w:ascii="Times New Roman" w:hAnsi="Times New Roman" w:cs="Times New Roman"/>
        </w:rPr>
        <w:t>corporation</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does</w:t>
      </w:r>
      <w:proofErr w:type="spellEnd"/>
      <w:r w:rsidR="00A5521C" w:rsidRPr="00705170">
        <w:rPr>
          <w:rFonts w:ascii="Times New Roman" w:hAnsi="Times New Roman" w:cs="Times New Roman"/>
        </w:rPr>
        <w:t xml:space="preserve"> not </w:t>
      </w:r>
      <w:proofErr w:type="spellStart"/>
      <w:r w:rsidR="00A5521C" w:rsidRPr="00705170">
        <w:rPr>
          <w:rFonts w:ascii="Times New Roman" w:hAnsi="Times New Roman" w:cs="Times New Roman"/>
        </w:rPr>
        <w:t>comply</w:t>
      </w:r>
      <w:proofErr w:type="spellEnd"/>
      <w:r w:rsidR="002C2110" w:rsidRPr="00705170">
        <w:rPr>
          <w:rFonts w:ascii="Times New Roman" w:hAnsi="Times New Roman" w:cs="Times New Roman"/>
        </w:rPr>
        <w:t xml:space="preserve"> </w:t>
      </w:r>
      <w:r w:rsidR="00F23254" w:rsidRPr="00705170">
        <w:rPr>
          <w:rFonts w:ascii="Times New Roman" w:hAnsi="Times New Roman" w:cs="Times New Roman"/>
        </w:rPr>
        <w:t>(</w:t>
      </w:r>
      <w:proofErr w:type="spellStart"/>
      <w:r w:rsidR="00F23254" w:rsidRPr="00705170">
        <w:rPr>
          <w:rFonts w:ascii="Times New Roman" w:hAnsi="Times New Roman" w:cs="Times New Roman"/>
        </w:rPr>
        <w:t>or</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the</w:t>
      </w:r>
      <w:proofErr w:type="spellEnd"/>
      <w:r w:rsidR="002C2110" w:rsidRPr="00705170">
        <w:rPr>
          <w:rFonts w:ascii="Times New Roman" w:hAnsi="Times New Roman" w:cs="Times New Roman"/>
        </w:rPr>
        <w:t xml:space="preserve"> </w:t>
      </w:r>
      <w:proofErr w:type="spellStart"/>
      <w:r w:rsidR="00F23254" w:rsidRPr="00705170">
        <w:rPr>
          <w:rFonts w:ascii="Times New Roman" w:hAnsi="Times New Roman" w:cs="Times New Roman"/>
        </w:rPr>
        <w:t>non-complying</w:t>
      </w:r>
      <w:proofErr w:type="spellEnd"/>
      <w:r w:rsidR="002C2110" w:rsidRPr="00705170">
        <w:rPr>
          <w:rFonts w:ascii="Times New Roman" w:hAnsi="Times New Roman" w:cs="Times New Roman"/>
        </w:rPr>
        <w:t xml:space="preserve"> </w:t>
      </w:r>
      <w:proofErr w:type="spellStart"/>
      <w:r w:rsidR="00F23254" w:rsidRPr="00705170">
        <w:rPr>
          <w:rFonts w:ascii="Times New Roman" w:hAnsi="Times New Roman" w:cs="Times New Roman"/>
        </w:rPr>
        <w:t>corporations</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have</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to</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live</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with</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the</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increase</w:t>
      </w:r>
      <w:proofErr w:type="spellEnd"/>
      <w:r w:rsidR="00F23254" w:rsidRPr="00705170">
        <w:rPr>
          <w:rFonts w:ascii="Times New Roman" w:hAnsi="Times New Roman" w:cs="Times New Roman"/>
        </w:rPr>
        <w:t xml:space="preserve"> in </w:t>
      </w:r>
      <w:proofErr w:type="spellStart"/>
      <w:r w:rsidR="00F23254" w:rsidRPr="00705170">
        <w:rPr>
          <w:rFonts w:ascii="Times New Roman" w:hAnsi="Times New Roman" w:cs="Times New Roman"/>
        </w:rPr>
        <w:t>cost</w:t>
      </w:r>
      <w:proofErr w:type="spellEnd"/>
      <w:r w:rsidR="00F23254" w:rsidRPr="00705170">
        <w:rPr>
          <w:rFonts w:ascii="Times New Roman" w:hAnsi="Times New Roman" w:cs="Times New Roman"/>
        </w:rPr>
        <w:t xml:space="preserve"> of </w:t>
      </w:r>
      <w:proofErr w:type="spellStart"/>
      <w:r w:rsidR="00F23254" w:rsidRPr="00705170">
        <w:rPr>
          <w:rFonts w:ascii="Times New Roman" w:hAnsi="Times New Roman" w:cs="Times New Roman"/>
        </w:rPr>
        <w:t>capital</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due</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to</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pressure</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for</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more</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effective</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corporate</w:t>
      </w:r>
      <w:proofErr w:type="spellEnd"/>
      <w:r w:rsidR="00F23254" w:rsidRPr="00705170">
        <w:rPr>
          <w:rFonts w:ascii="Times New Roman" w:hAnsi="Times New Roman" w:cs="Times New Roman"/>
        </w:rPr>
        <w:t xml:space="preserve"> </w:t>
      </w:r>
      <w:proofErr w:type="spellStart"/>
      <w:r w:rsidR="00F23254" w:rsidRPr="00705170">
        <w:rPr>
          <w:rFonts w:ascii="Times New Roman" w:hAnsi="Times New Roman" w:cs="Times New Roman"/>
        </w:rPr>
        <w:t>governance</w:t>
      </w:r>
      <w:proofErr w:type="spellEnd"/>
      <w:r w:rsidR="00F23254" w:rsidRPr="00705170">
        <w:rPr>
          <w:rFonts w:ascii="Times New Roman" w:hAnsi="Times New Roman" w:cs="Times New Roman"/>
        </w:rPr>
        <w:t>)</w:t>
      </w:r>
      <w:r w:rsidR="00F23254" w:rsidRPr="00705170">
        <w:rPr>
          <w:rStyle w:val="DipnotBavurusu"/>
          <w:rFonts w:ascii="Times New Roman" w:hAnsi="Times New Roman" w:cs="Times New Roman"/>
        </w:rPr>
        <w:t xml:space="preserve"> </w:t>
      </w:r>
      <w:r w:rsidR="00F23254" w:rsidRPr="00705170">
        <w:rPr>
          <w:rStyle w:val="DipnotBavurusu"/>
          <w:rFonts w:ascii="Times New Roman" w:hAnsi="Times New Roman" w:cs="Times New Roman"/>
        </w:rPr>
        <w:footnoteReference w:id="91"/>
      </w:r>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which</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will</w:t>
      </w:r>
      <w:proofErr w:type="spellEnd"/>
      <w:r w:rsidR="00A5521C" w:rsidRPr="00705170">
        <w:rPr>
          <w:rFonts w:ascii="Times New Roman" w:hAnsi="Times New Roman" w:cs="Times New Roman"/>
        </w:rPr>
        <w:t xml:space="preserve"> not </w:t>
      </w:r>
      <w:proofErr w:type="spellStart"/>
      <w:r w:rsidR="00A5521C" w:rsidRPr="00705170">
        <w:rPr>
          <w:rFonts w:ascii="Times New Roman" w:hAnsi="Times New Roman" w:cs="Times New Roman"/>
        </w:rPr>
        <w:t>work</w:t>
      </w:r>
      <w:proofErr w:type="spellEnd"/>
      <w:r w:rsidR="00A5521C" w:rsidRPr="00705170">
        <w:rPr>
          <w:rFonts w:ascii="Times New Roman" w:hAnsi="Times New Roman" w:cs="Times New Roman"/>
        </w:rPr>
        <w:t xml:space="preserve"> in an </w:t>
      </w:r>
      <w:proofErr w:type="spellStart"/>
      <w:r w:rsidR="00A5521C" w:rsidRPr="00705170">
        <w:rPr>
          <w:rFonts w:ascii="Times New Roman" w:hAnsi="Times New Roman" w:cs="Times New Roman"/>
        </w:rPr>
        <w:t>environment</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explained</w:t>
      </w:r>
      <w:proofErr w:type="spellEnd"/>
      <w:r w:rsidR="00A5521C" w:rsidRPr="00705170">
        <w:rPr>
          <w:rFonts w:ascii="Times New Roman" w:hAnsi="Times New Roman" w:cs="Times New Roman"/>
        </w:rPr>
        <w:t xml:space="preserve"> </w:t>
      </w:r>
      <w:proofErr w:type="spellStart"/>
      <w:r w:rsidR="00A5521C" w:rsidRPr="00705170">
        <w:rPr>
          <w:rFonts w:ascii="Times New Roman" w:hAnsi="Times New Roman" w:cs="Times New Roman"/>
        </w:rPr>
        <w:t>above</w:t>
      </w:r>
      <w:proofErr w:type="spellEnd"/>
      <w:r w:rsidR="00A5521C" w:rsidRPr="00705170">
        <w:rPr>
          <w:rFonts w:ascii="Times New Roman" w:hAnsi="Times New Roman" w:cs="Times New Roman"/>
        </w:rPr>
        <w:t>.</w:t>
      </w:r>
    </w:p>
    <w:p w14:paraId="498C00B1" w14:textId="5BF2D619" w:rsidR="00FD1528" w:rsidRPr="00705170" w:rsidRDefault="00F1245C" w:rsidP="00290BD9">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Thirdly</w:t>
      </w:r>
      <w:proofErr w:type="spellEnd"/>
      <w:r w:rsidR="00967446" w:rsidRPr="00705170">
        <w:rPr>
          <w:rFonts w:ascii="Times New Roman" w:hAnsi="Times New Roman" w:cs="Times New Roman"/>
        </w:rPr>
        <w:t xml:space="preserve">, as a </w:t>
      </w:r>
      <w:proofErr w:type="spellStart"/>
      <w:r w:rsidR="00967446" w:rsidRPr="00705170">
        <w:rPr>
          <w:rFonts w:ascii="Times New Roman" w:hAnsi="Times New Roman" w:cs="Times New Roman"/>
        </w:rPr>
        <w:t>matter</w:t>
      </w:r>
      <w:proofErr w:type="spellEnd"/>
      <w:r w:rsidR="00967446" w:rsidRPr="00705170">
        <w:rPr>
          <w:rFonts w:ascii="Times New Roman" w:hAnsi="Times New Roman" w:cs="Times New Roman"/>
        </w:rPr>
        <w:t xml:space="preserve"> of </w:t>
      </w:r>
      <w:proofErr w:type="spellStart"/>
      <w:r w:rsidR="00967446" w:rsidRPr="00705170">
        <w:rPr>
          <w:rFonts w:ascii="Times New Roman" w:hAnsi="Times New Roman" w:cs="Times New Roman"/>
        </w:rPr>
        <w:t>fact</w:t>
      </w:r>
      <w:proofErr w:type="spellEnd"/>
      <w:r w:rsidR="00967446" w:rsidRPr="00705170">
        <w:rPr>
          <w:rFonts w:ascii="Times New Roman" w:hAnsi="Times New Roman" w:cs="Times New Roman"/>
        </w:rPr>
        <w:t xml:space="preserve">, it </w:t>
      </w:r>
      <w:proofErr w:type="spellStart"/>
      <w:r w:rsidR="00967446" w:rsidRPr="00705170">
        <w:rPr>
          <w:rFonts w:ascii="Times New Roman" w:hAnsi="Times New Roman" w:cs="Times New Roman"/>
        </w:rPr>
        <w:t>will</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often</w:t>
      </w:r>
      <w:proofErr w:type="spellEnd"/>
      <w:r w:rsidR="00967446" w:rsidRPr="00705170">
        <w:rPr>
          <w:rFonts w:ascii="Times New Roman" w:hAnsi="Times New Roman" w:cs="Times New Roman"/>
        </w:rPr>
        <w:t xml:space="preserve"> be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“Wall Street </w:t>
      </w:r>
      <w:proofErr w:type="spellStart"/>
      <w:r w:rsidR="00967446" w:rsidRPr="00705170">
        <w:rPr>
          <w:rFonts w:ascii="Times New Roman" w:hAnsi="Times New Roman" w:cs="Times New Roman"/>
        </w:rPr>
        <w:t>Rule</w:t>
      </w:r>
      <w:proofErr w:type="spellEnd"/>
      <w:r w:rsidR="00967446" w:rsidRPr="00705170">
        <w:rPr>
          <w:rFonts w:ascii="Times New Roman" w:hAnsi="Times New Roman" w:cs="Times New Roman"/>
        </w:rPr>
        <w:t>”</w:t>
      </w:r>
      <w:r w:rsidR="00967446" w:rsidRPr="00705170">
        <w:rPr>
          <w:rStyle w:val="DipnotBavurusu"/>
          <w:rFonts w:ascii="Times New Roman" w:hAnsi="Times New Roman" w:cs="Times New Roman"/>
        </w:rPr>
        <w:footnoteReference w:id="92"/>
      </w:r>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that</w:t>
      </w:r>
      <w:proofErr w:type="spellEnd"/>
      <w:r w:rsidR="00967446" w:rsidRPr="00705170">
        <w:rPr>
          <w:rFonts w:ascii="Times New Roman" w:hAnsi="Times New Roman" w:cs="Times New Roman"/>
        </w:rPr>
        <w:t xml:space="preserve"> is </w:t>
      </w:r>
      <w:proofErr w:type="spellStart"/>
      <w:r w:rsidR="00967446" w:rsidRPr="00705170">
        <w:rPr>
          <w:rFonts w:ascii="Times New Roman" w:hAnsi="Times New Roman" w:cs="Times New Roman"/>
        </w:rPr>
        <w:t>seen</w:t>
      </w:r>
      <w:proofErr w:type="spellEnd"/>
      <w:r w:rsidR="00967446" w:rsidRPr="00705170">
        <w:rPr>
          <w:rFonts w:ascii="Times New Roman" w:hAnsi="Times New Roman" w:cs="Times New Roman"/>
        </w:rPr>
        <w:t xml:space="preserve"> as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best</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remedy</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for</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diseases</w:t>
      </w:r>
      <w:proofErr w:type="spellEnd"/>
      <w:r w:rsidR="00967446" w:rsidRPr="00705170">
        <w:rPr>
          <w:rFonts w:ascii="Times New Roman" w:hAnsi="Times New Roman" w:cs="Times New Roman"/>
        </w:rPr>
        <w:t xml:space="preserve">” in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context</w:t>
      </w:r>
      <w:proofErr w:type="spellEnd"/>
      <w:r w:rsidR="00967446" w:rsidRPr="00705170">
        <w:rPr>
          <w:rFonts w:ascii="Times New Roman" w:hAnsi="Times New Roman" w:cs="Times New Roman"/>
        </w:rPr>
        <w:t xml:space="preserve"> of </w:t>
      </w:r>
      <w:proofErr w:type="spellStart"/>
      <w:r w:rsidR="00967446" w:rsidRPr="00705170">
        <w:rPr>
          <w:rFonts w:ascii="Times New Roman" w:hAnsi="Times New Roman" w:cs="Times New Roman"/>
        </w:rPr>
        <w:t>publicly</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traded</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corporations</w:t>
      </w:r>
      <w:proofErr w:type="spellEnd"/>
      <w:r w:rsidR="00967446" w:rsidRPr="00705170">
        <w:rPr>
          <w:rStyle w:val="DipnotBavurusu"/>
          <w:rFonts w:ascii="Times New Roman" w:hAnsi="Times New Roman" w:cs="Times New Roman"/>
        </w:rPr>
        <w:footnoteReference w:id="93"/>
      </w:r>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Having</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said</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that</w:t>
      </w:r>
      <w:proofErr w:type="spellEnd"/>
      <w:r w:rsidR="00967446" w:rsidRPr="00705170">
        <w:rPr>
          <w:rFonts w:ascii="Times New Roman" w:hAnsi="Times New Roman" w:cs="Times New Roman"/>
        </w:rPr>
        <w:t xml:space="preserve">, it is </w:t>
      </w:r>
      <w:proofErr w:type="spellStart"/>
      <w:r w:rsidR="00967446" w:rsidRPr="00705170">
        <w:rPr>
          <w:rFonts w:ascii="Times New Roman" w:hAnsi="Times New Roman" w:cs="Times New Roman"/>
        </w:rPr>
        <w:t>oppressive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to</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minority</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to</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force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them</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exit</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corporation</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by</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selling</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their</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shares</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with</w:t>
      </w:r>
      <w:proofErr w:type="spellEnd"/>
      <w:r w:rsidR="00967446" w:rsidRPr="00705170">
        <w:rPr>
          <w:rFonts w:ascii="Times New Roman" w:hAnsi="Times New Roman" w:cs="Times New Roman"/>
        </w:rPr>
        <w:t xml:space="preserve"> a </w:t>
      </w:r>
      <w:proofErr w:type="spellStart"/>
      <w:r w:rsidR="00967446" w:rsidRPr="00705170">
        <w:rPr>
          <w:rFonts w:ascii="Times New Roman" w:hAnsi="Times New Roman" w:cs="Times New Roman"/>
        </w:rPr>
        <w:t>loss</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suffered</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due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to</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breach</w:t>
      </w:r>
      <w:proofErr w:type="spellEnd"/>
      <w:r w:rsidR="00967446" w:rsidRPr="00705170">
        <w:rPr>
          <w:rFonts w:ascii="Times New Roman" w:hAnsi="Times New Roman" w:cs="Times New Roman"/>
        </w:rPr>
        <w:t xml:space="preserve"> of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terms</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upon</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which</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their</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investment</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was</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made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by</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influencing</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shareholders</w:t>
      </w:r>
      <w:proofErr w:type="spellEnd"/>
      <w:r w:rsidR="00967446" w:rsidRPr="00705170">
        <w:rPr>
          <w:rStyle w:val="DipnotBavurusu"/>
          <w:rFonts w:ascii="Times New Roman" w:hAnsi="Times New Roman" w:cs="Times New Roman"/>
        </w:rPr>
        <w:footnoteReference w:id="94"/>
      </w:r>
      <w:r w:rsidR="00967446" w:rsidRPr="00705170">
        <w:rPr>
          <w:rFonts w:ascii="Times New Roman" w:hAnsi="Times New Roman" w:cs="Times New Roman"/>
        </w:rPr>
        <w:t>.</w:t>
      </w:r>
      <w:r w:rsidR="00FD1528" w:rsidRPr="00705170">
        <w:rPr>
          <w:rFonts w:ascii="Times New Roman" w:hAnsi="Times New Roman" w:cs="Times New Roman"/>
        </w:rPr>
        <w:t xml:space="preserve"> </w:t>
      </w:r>
      <w:proofErr w:type="spellStart"/>
      <w:r w:rsidR="00B75963" w:rsidRPr="00705170">
        <w:rPr>
          <w:rFonts w:ascii="Times New Roman" w:hAnsi="Times New Roman" w:cs="Times New Roman"/>
        </w:rPr>
        <w:t>After</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all</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once</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the</w:t>
      </w:r>
      <w:proofErr w:type="spellEnd"/>
      <w:r w:rsidR="00B75963" w:rsidRPr="00705170">
        <w:rPr>
          <w:rFonts w:ascii="Times New Roman" w:hAnsi="Times New Roman" w:cs="Times New Roman"/>
        </w:rPr>
        <w:t xml:space="preserve"> market </w:t>
      </w:r>
      <w:proofErr w:type="spellStart"/>
      <w:r w:rsidR="00B75963" w:rsidRPr="00705170">
        <w:rPr>
          <w:rFonts w:ascii="Times New Roman" w:hAnsi="Times New Roman" w:cs="Times New Roman"/>
        </w:rPr>
        <w:t>finds</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out</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the</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dissension</w:t>
      </w:r>
      <w:proofErr w:type="spellEnd"/>
      <w:r w:rsidR="00B75963" w:rsidRPr="00705170">
        <w:rPr>
          <w:rFonts w:ascii="Times New Roman" w:hAnsi="Times New Roman" w:cs="Times New Roman"/>
        </w:rPr>
        <w:t xml:space="preserve">, a </w:t>
      </w:r>
      <w:proofErr w:type="spellStart"/>
      <w:r w:rsidR="00B75963" w:rsidRPr="00705170">
        <w:rPr>
          <w:rFonts w:ascii="Times New Roman" w:hAnsi="Times New Roman" w:cs="Times New Roman"/>
        </w:rPr>
        <w:t>minority</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interest</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will</w:t>
      </w:r>
      <w:proofErr w:type="spellEnd"/>
      <w:r w:rsidR="00B75963" w:rsidRPr="00705170">
        <w:rPr>
          <w:rFonts w:ascii="Times New Roman" w:hAnsi="Times New Roman" w:cs="Times New Roman"/>
        </w:rPr>
        <w:t xml:space="preserve"> be </w:t>
      </w:r>
      <w:proofErr w:type="spellStart"/>
      <w:r w:rsidR="00B75963" w:rsidRPr="00705170">
        <w:rPr>
          <w:rFonts w:ascii="Times New Roman" w:hAnsi="Times New Roman" w:cs="Times New Roman"/>
        </w:rPr>
        <w:t>even</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less</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inviting</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to</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prospective</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purchasers</w:t>
      </w:r>
      <w:proofErr w:type="spellEnd"/>
      <w:r w:rsidR="00B75963" w:rsidRPr="00705170">
        <w:rPr>
          <w:rStyle w:val="DipnotBavurusu"/>
          <w:rFonts w:ascii="Times New Roman" w:hAnsi="Times New Roman" w:cs="Times New Roman"/>
        </w:rPr>
        <w:footnoteReference w:id="95"/>
      </w:r>
      <w:r w:rsidR="006E44C3">
        <w:rPr>
          <w:rFonts w:ascii="Times New Roman" w:hAnsi="Times New Roman" w:cs="Times New Roman"/>
        </w:rPr>
        <w:t>,</w:t>
      </w:r>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and</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the</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prejudiced</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shareholder</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will</w:t>
      </w:r>
      <w:proofErr w:type="spellEnd"/>
      <w:r w:rsidR="00B75963" w:rsidRPr="00705170">
        <w:rPr>
          <w:rFonts w:ascii="Times New Roman" w:hAnsi="Times New Roman" w:cs="Times New Roman"/>
        </w:rPr>
        <w:t xml:space="preserve"> not be </w:t>
      </w:r>
      <w:proofErr w:type="spellStart"/>
      <w:r w:rsidR="00B75963" w:rsidRPr="00705170">
        <w:rPr>
          <w:rFonts w:ascii="Times New Roman" w:hAnsi="Times New Roman" w:cs="Times New Roman"/>
        </w:rPr>
        <w:t>able</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to</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get</w:t>
      </w:r>
      <w:proofErr w:type="spellEnd"/>
      <w:r w:rsidR="00B75963" w:rsidRPr="00705170">
        <w:rPr>
          <w:rFonts w:ascii="Times New Roman" w:hAnsi="Times New Roman" w:cs="Times New Roman"/>
        </w:rPr>
        <w:t xml:space="preserve"> his </w:t>
      </w:r>
      <w:proofErr w:type="spellStart"/>
      <w:r w:rsidR="00B75963" w:rsidRPr="00705170">
        <w:rPr>
          <w:rFonts w:ascii="Times New Roman" w:hAnsi="Times New Roman" w:cs="Times New Roman"/>
        </w:rPr>
        <w:t>pro</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rata</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share</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from</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the</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accumulating</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capital</w:t>
      </w:r>
      <w:proofErr w:type="spellEnd"/>
      <w:r w:rsidR="00B75963" w:rsidRPr="00705170">
        <w:rPr>
          <w:rFonts w:ascii="Times New Roman" w:hAnsi="Times New Roman" w:cs="Times New Roman"/>
        </w:rPr>
        <w:t xml:space="preserve"> in </w:t>
      </w:r>
      <w:proofErr w:type="spellStart"/>
      <w:r w:rsidR="00B75963" w:rsidRPr="00705170">
        <w:rPr>
          <w:rFonts w:ascii="Times New Roman" w:hAnsi="Times New Roman" w:cs="Times New Roman"/>
        </w:rPr>
        <w:t>the</w:t>
      </w:r>
      <w:proofErr w:type="spellEnd"/>
      <w:r w:rsidR="00B75963" w:rsidRPr="00705170">
        <w:rPr>
          <w:rFonts w:ascii="Times New Roman" w:hAnsi="Times New Roman" w:cs="Times New Roman"/>
        </w:rPr>
        <w:t xml:space="preserve"> </w:t>
      </w:r>
      <w:proofErr w:type="spellStart"/>
      <w:r w:rsidR="00B75963" w:rsidRPr="00705170">
        <w:rPr>
          <w:rFonts w:ascii="Times New Roman" w:hAnsi="Times New Roman" w:cs="Times New Roman"/>
        </w:rPr>
        <w:t>corporation</w:t>
      </w:r>
      <w:proofErr w:type="spellEnd"/>
      <w:r w:rsidR="00ED473C" w:rsidRPr="00705170">
        <w:rPr>
          <w:rStyle w:val="DipnotBavurusu"/>
          <w:rFonts w:ascii="Times New Roman" w:hAnsi="Times New Roman" w:cs="Times New Roman"/>
        </w:rPr>
        <w:footnoteReference w:id="96"/>
      </w:r>
      <w:r w:rsidR="00ED473C" w:rsidRPr="00705170">
        <w:rPr>
          <w:rFonts w:ascii="Times New Roman" w:hAnsi="Times New Roman" w:cs="Times New Roman"/>
        </w:rPr>
        <w:t xml:space="preserve">. </w:t>
      </w:r>
      <w:proofErr w:type="spellStart"/>
      <w:r w:rsidR="00FD1528" w:rsidRPr="00705170">
        <w:rPr>
          <w:rFonts w:ascii="Times New Roman" w:hAnsi="Times New Roman" w:cs="Times New Roman"/>
        </w:rPr>
        <w:t>Besides</w:t>
      </w:r>
      <w:proofErr w:type="spellEnd"/>
      <w:r w:rsidR="00FD1528" w:rsidRPr="00705170">
        <w:rPr>
          <w:rFonts w:ascii="Times New Roman" w:hAnsi="Times New Roman" w:cs="Times New Roman"/>
        </w:rPr>
        <w:t>,</w:t>
      </w:r>
      <w:r w:rsidR="00A8652F" w:rsidRPr="00705170">
        <w:rPr>
          <w:rFonts w:ascii="Times New Roman" w:hAnsi="Times New Roman" w:cs="Times New Roman"/>
        </w:rPr>
        <w:t xml:space="preserve"> </w:t>
      </w:r>
      <w:r w:rsidR="00290BD9" w:rsidRPr="00705170">
        <w:rPr>
          <w:rFonts w:ascii="Times New Roman" w:hAnsi="Times New Roman" w:cs="Times New Roman"/>
        </w:rPr>
        <w:t>as</w:t>
      </w:r>
      <w:r w:rsidR="002B12B3" w:rsidRPr="00705170">
        <w:rPr>
          <w:rFonts w:ascii="Times New Roman" w:hAnsi="Times New Roman" w:cs="Times New Roman"/>
        </w:rPr>
        <w:t xml:space="preserve"> </w:t>
      </w:r>
      <w:proofErr w:type="spellStart"/>
      <w:r w:rsidR="002B12B3" w:rsidRPr="00705170">
        <w:rPr>
          <w:rFonts w:ascii="Times New Roman" w:hAnsi="Times New Roman" w:cs="Times New Roman"/>
        </w:rPr>
        <w:t>the</w:t>
      </w:r>
      <w:proofErr w:type="spellEnd"/>
      <w:r w:rsidR="002B12B3" w:rsidRPr="00705170">
        <w:rPr>
          <w:rFonts w:ascii="Times New Roman" w:hAnsi="Times New Roman" w:cs="Times New Roman"/>
        </w:rPr>
        <w:t xml:space="preserve"> </w:t>
      </w:r>
      <w:proofErr w:type="spellStart"/>
      <w:r w:rsidR="002B12B3" w:rsidRPr="00705170">
        <w:rPr>
          <w:rFonts w:ascii="Times New Roman" w:hAnsi="Times New Roman" w:cs="Times New Roman"/>
        </w:rPr>
        <w:t>shareholders</w:t>
      </w:r>
      <w:proofErr w:type="spellEnd"/>
      <w:r w:rsidR="002B12B3" w:rsidRPr="00705170">
        <w:rPr>
          <w:rFonts w:ascii="Times New Roman" w:hAnsi="Times New Roman" w:cs="Times New Roman"/>
        </w:rPr>
        <w:t xml:space="preserve">’ </w:t>
      </w:r>
      <w:proofErr w:type="spellStart"/>
      <w:r w:rsidR="002B12B3" w:rsidRPr="00705170">
        <w:rPr>
          <w:rFonts w:ascii="Times New Roman" w:hAnsi="Times New Roman" w:cs="Times New Roman"/>
        </w:rPr>
        <w:lastRenderedPageBreak/>
        <w:t>interests</w:t>
      </w:r>
      <w:proofErr w:type="spellEnd"/>
      <w:r w:rsidR="002B12B3" w:rsidRPr="00705170">
        <w:rPr>
          <w:rFonts w:ascii="Times New Roman" w:hAnsi="Times New Roman" w:cs="Times New Roman"/>
        </w:rPr>
        <w:t xml:space="preserve"> in </w:t>
      </w:r>
      <w:proofErr w:type="spellStart"/>
      <w:r w:rsidR="002B12B3" w:rsidRPr="00705170">
        <w:rPr>
          <w:rFonts w:ascii="Times New Roman" w:hAnsi="Times New Roman" w:cs="Times New Roman"/>
        </w:rPr>
        <w:t>the</w:t>
      </w:r>
      <w:proofErr w:type="spellEnd"/>
      <w:r w:rsidR="002B12B3" w:rsidRPr="00705170">
        <w:rPr>
          <w:rFonts w:ascii="Times New Roman" w:hAnsi="Times New Roman" w:cs="Times New Roman"/>
        </w:rPr>
        <w:t xml:space="preserve"> </w:t>
      </w:r>
      <w:proofErr w:type="spellStart"/>
      <w:r w:rsidR="002B12B3" w:rsidRPr="00705170">
        <w:rPr>
          <w:rFonts w:ascii="Times New Roman" w:hAnsi="Times New Roman" w:cs="Times New Roman"/>
        </w:rPr>
        <w:t>corporation</w:t>
      </w:r>
      <w:proofErr w:type="spellEnd"/>
      <w:r w:rsidR="002B12B3" w:rsidRPr="00705170">
        <w:rPr>
          <w:rFonts w:ascii="Times New Roman" w:hAnsi="Times New Roman" w:cs="Times New Roman"/>
        </w:rPr>
        <w:t xml:space="preserve"> </w:t>
      </w:r>
      <w:r w:rsidR="00290BD9" w:rsidRPr="00705170">
        <w:rPr>
          <w:rFonts w:ascii="Times New Roman" w:hAnsi="Times New Roman" w:cs="Times New Roman"/>
        </w:rPr>
        <w:t>has a</w:t>
      </w:r>
      <w:r w:rsidR="002B12B3" w:rsidRPr="00705170">
        <w:rPr>
          <w:rFonts w:ascii="Times New Roman" w:hAnsi="Times New Roman" w:cs="Times New Roman"/>
        </w:rPr>
        <w:t xml:space="preserve"> </w:t>
      </w:r>
      <w:proofErr w:type="spellStart"/>
      <w:r w:rsidR="002B12B3" w:rsidRPr="00705170">
        <w:rPr>
          <w:rFonts w:ascii="Times New Roman" w:hAnsi="Times New Roman" w:cs="Times New Roman"/>
        </w:rPr>
        <w:t>proprietary</w:t>
      </w:r>
      <w:proofErr w:type="spellEnd"/>
      <w:r w:rsidR="00290BD9" w:rsidRPr="00705170">
        <w:rPr>
          <w:rFonts w:ascii="Times New Roman" w:hAnsi="Times New Roman" w:cs="Times New Roman"/>
        </w:rPr>
        <w:t xml:space="preserve"> </w:t>
      </w:r>
      <w:proofErr w:type="spellStart"/>
      <w:r w:rsidR="00290BD9" w:rsidRPr="00705170">
        <w:rPr>
          <w:rFonts w:ascii="Times New Roman" w:hAnsi="Times New Roman" w:cs="Times New Roman"/>
        </w:rPr>
        <w:t>aspect</w:t>
      </w:r>
      <w:proofErr w:type="spellEnd"/>
      <w:r w:rsidR="00290BD9" w:rsidRPr="00705170">
        <w:rPr>
          <w:rFonts w:ascii="Times New Roman" w:hAnsi="Times New Roman" w:cs="Times New Roman"/>
        </w:rPr>
        <w:t xml:space="preserve">, </w:t>
      </w:r>
      <w:proofErr w:type="spellStart"/>
      <w:r w:rsidR="00290BD9" w:rsidRPr="00705170">
        <w:rPr>
          <w:rFonts w:ascii="Times New Roman" w:hAnsi="Times New Roman" w:cs="Times New Roman"/>
        </w:rPr>
        <w:t>any</w:t>
      </w:r>
      <w:proofErr w:type="spellEnd"/>
      <w:r w:rsidR="00290BD9" w:rsidRPr="00705170">
        <w:rPr>
          <w:rFonts w:ascii="Times New Roman" w:hAnsi="Times New Roman" w:cs="Times New Roman"/>
        </w:rPr>
        <w:t xml:space="preserve"> </w:t>
      </w:r>
      <w:proofErr w:type="spellStart"/>
      <w:r w:rsidR="00290BD9" w:rsidRPr="00705170">
        <w:rPr>
          <w:rFonts w:ascii="Times New Roman" w:hAnsi="Times New Roman" w:cs="Times New Roman"/>
        </w:rPr>
        <w:t>action</w:t>
      </w:r>
      <w:proofErr w:type="spellEnd"/>
      <w:r w:rsidR="00290BD9" w:rsidRPr="00705170">
        <w:rPr>
          <w:rFonts w:ascii="Times New Roman" w:hAnsi="Times New Roman" w:cs="Times New Roman"/>
        </w:rPr>
        <w:t xml:space="preserve"> </w:t>
      </w:r>
      <w:proofErr w:type="spellStart"/>
      <w:r w:rsidR="00290BD9" w:rsidRPr="00705170">
        <w:rPr>
          <w:rFonts w:ascii="Times New Roman" w:hAnsi="Times New Roman" w:cs="Times New Roman"/>
        </w:rPr>
        <w:t>eliminating</w:t>
      </w:r>
      <w:proofErr w:type="spellEnd"/>
      <w:r w:rsidR="00290BD9" w:rsidRPr="00705170">
        <w:rPr>
          <w:rFonts w:ascii="Times New Roman" w:hAnsi="Times New Roman" w:cs="Times New Roman"/>
        </w:rPr>
        <w:t xml:space="preserve"> </w:t>
      </w:r>
      <w:proofErr w:type="spellStart"/>
      <w:r w:rsidR="00290BD9" w:rsidRPr="00705170">
        <w:rPr>
          <w:rFonts w:ascii="Times New Roman" w:hAnsi="Times New Roman" w:cs="Times New Roman"/>
        </w:rPr>
        <w:t>this</w:t>
      </w:r>
      <w:proofErr w:type="spellEnd"/>
      <w:r w:rsidR="00290BD9" w:rsidRPr="00705170">
        <w:rPr>
          <w:rFonts w:ascii="Times New Roman" w:hAnsi="Times New Roman" w:cs="Times New Roman"/>
        </w:rPr>
        <w:t xml:space="preserve"> </w:t>
      </w:r>
      <w:proofErr w:type="spellStart"/>
      <w:r w:rsidR="00290BD9" w:rsidRPr="00705170">
        <w:rPr>
          <w:rFonts w:ascii="Times New Roman" w:hAnsi="Times New Roman" w:cs="Times New Roman"/>
        </w:rPr>
        <w:t>interest</w:t>
      </w:r>
      <w:proofErr w:type="spellEnd"/>
      <w:r w:rsidR="00290BD9" w:rsidRPr="00705170">
        <w:rPr>
          <w:rFonts w:ascii="Times New Roman" w:hAnsi="Times New Roman" w:cs="Times New Roman"/>
        </w:rPr>
        <w:t xml:space="preserve"> </w:t>
      </w:r>
      <w:proofErr w:type="spellStart"/>
      <w:r w:rsidR="00290BD9" w:rsidRPr="00705170">
        <w:rPr>
          <w:rFonts w:ascii="Times New Roman" w:hAnsi="Times New Roman" w:cs="Times New Roman"/>
        </w:rPr>
        <w:t>should</w:t>
      </w:r>
      <w:proofErr w:type="spellEnd"/>
      <w:r w:rsidR="00290BD9" w:rsidRPr="00705170">
        <w:rPr>
          <w:rFonts w:ascii="Times New Roman" w:hAnsi="Times New Roman" w:cs="Times New Roman"/>
        </w:rPr>
        <w:t xml:space="preserve"> be </w:t>
      </w:r>
      <w:proofErr w:type="spellStart"/>
      <w:r w:rsidR="00290BD9" w:rsidRPr="00705170">
        <w:rPr>
          <w:rFonts w:ascii="Times New Roman" w:hAnsi="Times New Roman" w:cs="Times New Roman"/>
        </w:rPr>
        <w:t>scrutinized</w:t>
      </w:r>
      <w:proofErr w:type="spellEnd"/>
      <w:r w:rsidR="00290BD9" w:rsidRPr="00705170">
        <w:rPr>
          <w:rFonts w:ascii="Times New Roman" w:hAnsi="Times New Roman" w:cs="Times New Roman"/>
        </w:rPr>
        <w:t xml:space="preserve">, </w:t>
      </w:r>
      <w:proofErr w:type="spellStart"/>
      <w:r w:rsidR="00290BD9" w:rsidRPr="00705170">
        <w:rPr>
          <w:rFonts w:ascii="Times New Roman" w:hAnsi="Times New Roman" w:cs="Times New Roman"/>
        </w:rPr>
        <w:t>and</w:t>
      </w:r>
      <w:proofErr w:type="spellEnd"/>
      <w:r w:rsidR="00290BD9" w:rsidRPr="00705170">
        <w:rPr>
          <w:rFonts w:ascii="Times New Roman" w:hAnsi="Times New Roman" w:cs="Times New Roman"/>
        </w:rPr>
        <w:t xml:space="preserve"> an </w:t>
      </w:r>
      <w:proofErr w:type="spellStart"/>
      <w:r w:rsidR="00290BD9" w:rsidRPr="00705170">
        <w:rPr>
          <w:rFonts w:ascii="Times New Roman" w:hAnsi="Times New Roman" w:cs="Times New Roman"/>
        </w:rPr>
        <w:t>act</w:t>
      </w:r>
      <w:proofErr w:type="spellEnd"/>
      <w:r w:rsidR="00290BD9" w:rsidRPr="00705170">
        <w:rPr>
          <w:rFonts w:ascii="Times New Roman" w:hAnsi="Times New Roman" w:cs="Times New Roman"/>
        </w:rPr>
        <w:t xml:space="preserve"> </w:t>
      </w:r>
      <w:proofErr w:type="spellStart"/>
      <w:r w:rsidR="00290BD9" w:rsidRPr="00705170">
        <w:rPr>
          <w:rFonts w:ascii="Times New Roman" w:hAnsi="Times New Roman" w:cs="Times New Roman"/>
        </w:rPr>
        <w:t>forcing</w:t>
      </w:r>
      <w:proofErr w:type="spellEnd"/>
      <w:r w:rsidR="00290BD9" w:rsidRPr="00705170">
        <w:rPr>
          <w:rFonts w:ascii="Times New Roman" w:hAnsi="Times New Roman" w:cs="Times New Roman"/>
        </w:rPr>
        <w:t xml:space="preserve"> </w:t>
      </w:r>
      <w:proofErr w:type="spellStart"/>
      <w:r w:rsidR="006E44C3">
        <w:rPr>
          <w:rFonts w:ascii="Times New Roman" w:hAnsi="Times New Roman" w:cs="Times New Roman"/>
        </w:rPr>
        <w:t>another</w:t>
      </w:r>
      <w:proofErr w:type="spellEnd"/>
      <w:r w:rsidR="006E44C3">
        <w:rPr>
          <w:rFonts w:ascii="Times New Roman" w:hAnsi="Times New Roman" w:cs="Times New Roman"/>
        </w:rPr>
        <w:t xml:space="preserve"> </w:t>
      </w:r>
      <w:proofErr w:type="spellStart"/>
      <w:r w:rsidR="00290BD9" w:rsidRPr="00705170">
        <w:rPr>
          <w:rFonts w:ascii="Times New Roman" w:hAnsi="Times New Roman" w:cs="Times New Roman"/>
        </w:rPr>
        <w:t>shareholder</w:t>
      </w:r>
      <w:proofErr w:type="spellEnd"/>
      <w:r w:rsidR="00290BD9" w:rsidRPr="00705170">
        <w:rPr>
          <w:rFonts w:ascii="Times New Roman" w:hAnsi="Times New Roman" w:cs="Times New Roman"/>
        </w:rPr>
        <w:t xml:space="preserve"> </w:t>
      </w:r>
      <w:proofErr w:type="spellStart"/>
      <w:r w:rsidR="006E44C3">
        <w:rPr>
          <w:rFonts w:ascii="Times New Roman" w:hAnsi="Times New Roman" w:cs="Times New Roman"/>
        </w:rPr>
        <w:t>to</w:t>
      </w:r>
      <w:proofErr w:type="spellEnd"/>
      <w:r w:rsidR="006E44C3">
        <w:rPr>
          <w:rFonts w:ascii="Times New Roman" w:hAnsi="Times New Roman" w:cs="Times New Roman"/>
        </w:rPr>
        <w:t xml:space="preserve"> </w:t>
      </w:r>
      <w:proofErr w:type="spellStart"/>
      <w:r w:rsidR="00290BD9" w:rsidRPr="00705170">
        <w:rPr>
          <w:rFonts w:ascii="Times New Roman" w:hAnsi="Times New Roman" w:cs="Times New Roman"/>
        </w:rPr>
        <w:t>sell</w:t>
      </w:r>
      <w:proofErr w:type="spellEnd"/>
      <w:r w:rsidR="00290BD9" w:rsidRPr="00705170">
        <w:rPr>
          <w:rFonts w:ascii="Times New Roman" w:hAnsi="Times New Roman" w:cs="Times New Roman"/>
        </w:rPr>
        <w:t xml:space="preserve"> his </w:t>
      </w:r>
      <w:proofErr w:type="spellStart"/>
      <w:r w:rsidR="00290BD9" w:rsidRPr="00705170">
        <w:rPr>
          <w:rFonts w:ascii="Times New Roman" w:hAnsi="Times New Roman" w:cs="Times New Roman"/>
        </w:rPr>
        <w:t>stock</w:t>
      </w:r>
      <w:proofErr w:type="spellEnd"/>
      <w:r w:rsidR="00290BD9" w:rsidRPr="00705170">
        <w:rPr>
          <w:rFonts w:ascii="Times New Roman" w:hAnsi="Times New Roman" w:cs="Times New Roman"/>
        </w:rPr>
        <w:t xml:space="preserve"> </w:t>
      </w:r>
      <w:proofErr w:type="spellStart"/>
      <w:r w:rsidR="00290BD9" w:rsidRPr="00705170">
        <w:rPr>
          <w:rFonts w:ascii="Times New Roman" w:hAnsi="Times New Roman" w:cs="Times New Roman"/>
        </w:rPr>
        <w:t>should</w:t>
      </w:r>
      <w:proofErr w:type="spellEnd"/>
      <w:r w:rsidR="00290BD9" w:rsidRPr="00705170">
        <w:rPr>
          <w:rFonts w:ascii="Times New Roman" w:hAnsi="Times New Roman" w:cs="Times New Roman"/>
        </w:rPr>
        <w:t xml:space="preserve"> be </w:t>
      </w:r>
      <w:proofErr w:type="spellStart"/>
      <w:r w:rsidR="00290BD9" w:rsidRPr="00705170">
        <w:rPr>
          <w:rFonts w:ascii="Times New Roman" w:hAnsi="Times New Roman" w:cs="Times New Roman"/>
        </w:rPr>
        <w:t>seen</w:t>
      </w:r>
      <w:proofErr w:type="spellEnd"/>
      <w:r w:rsidR="00290BD9" w:rsidRPr="00705170">
        <w:rPr>
          <w:rFonts w:ascii="Times New Roman" w:hAnsi="Times New Roman" w:cs="Times New Roman"/>
        </w:rPr>
        <w:t xml:space="preserve"> </w:t>
      </w:r>
      <w:proofErr w:type="spellStart"/>
      <w:r w:rsidR="00290BD9" w:rsidRPr="00705170">
        <w:rPr>
          <w:rFonts w:ascii="Times New Roman" w:hAnsi="Times New Roman" w:cs="Times New Roman"/>
        </w:rPr>
        <w:t>no</w:t>
      </w:r>
      <w:proofErr w:type="spellEnd"/>
      <w:r w:rsidR="00290BD9" w:rsidRPr="00705170">
        <w:rPr>
          <w:rFonts w:ascii="Times New Roman" w:hAnsi="Times New Roman" w:cs="Times New Roman"/>
        </w:rPr>
        <w:t xml:space="preserve"> </w:t>
      </w:r>
      <w:proofErr w:type="spellStart"/>
      <w:r w:rsidR="00290BD9" w:rsidRPr="00705170">
        <w:rPr>
          <w:rFonts w:ascii="Times New Roman" w:hAnsi="Times New Roman" w:cs="Times New Roman"/>
        </w:rPr>
        <w:t>different</w:t>
      </w:r>
      <w:proofErr w:type="spellEnd"/>
      <w:r w:rsidR="006E44C3">
        <w:rPr>
          <w:rFonts w:ascii="Times New Roman" w:hAnsi="Times New Roman" w:cs="Times New Roman"/>
        </w:rPr>
        <w:t xml:space="preserve"> </w:t>
      </w:r>
      <w:proofErr w:type="spellStart"/>
      <w:r w:rsidR="006E44C3">
        <w:rPr>
          <w:rFonts w:ascii="Times New Roman" w:hAnsi="Times New Roman" w:cs="Times New Roman"/>
        </w:rPr>
        <w:t>from</w:t>
      </w:r>
      <w:proofErr w:type="spellEnd"/>
      <w:r w:rsidR="006E44C3">
        <w:rPr>
          <w:rFonts w:ascii="Times New Roman" w:hAnsi="Times New Roman" w:cs="Times New Roman"/>
        </w:rPr>
        <w:t xml:space="preserve"> an </w:t>
      </w:r>
      <w:proofErr w:type="spellStart"/>
      <w:r w:rsidR="006E44C3">
        <w:rPr>
          <w:rFonts w:ascii="Times New Roman" w:hAnsi="Times New Roman" w:cs="Times New Roman"/>
        </w:rPr>
        <w:t>economic</w:t>
      </w:r>
      <w:proofErr w:type="spellEnd"/>
      <w:r w:rsidR="006E44C3">
        <w:rPr>
          <w:rFonts w:ascii="Times New Roman" w:hAnsi="Times New Roman" w:cs="Times New Roman"/>
        </w:rPr>
        <w:t xml:space="preserve"> </w:t>
      </w:r>
      <w:proofErr w:type="spellStart"/>
      <w:r w:rsidR="000D3C3C">
        <w:rPr>
          <w:rFonts w:ascii="Times New Roman" w:hAnsi="Times New Roman" w:cs="Times New Roman"/>
        </w:rPr>
        <w:t>and</w:t>
      </w:r>
      <w:proofErr w:type="spellEnd"/>
      <w:r w:rsidR="000D3C3C">
        <w:rPr>
          <w:rFonts w:ascii="Times New Roman" w:hAnsi="Times New Roman" w:cs="Times New Roman"/>
        </w:rPr>
        <w:t xml:space="preserve"> </w:t>
      </w:r>
      <w:proofErr w:type="spellStart"/>
      <w:r w:rsidR="000D3C3C">
        <w:rPr>
          <w:rFonts w:ascii="Times New Roman" w:hAnsi="Times New Roman" w:cs="Times New Roman"/>
        </w:rPr>
        <w:t>constitutional</w:t>
      </w:r>
      <w:proofErr w:type="spellEnd"/>
      <w:r w:rsidR="000D3C3C">
        <w:rPr>
          <w:rFonts w:ascii="Times New Roman" w:hAnsi="Times New Roman" w:cs="Times New Roman"/>
        </w:rPr>
        <w:t xml:space="preserve"> </w:t>
      </w:r>
      <w:proofErr w:type="spellStart"/>
      <w:r w:rsidR="006E44C3">
        <w:rPr>
          <w:rFonts w:ascii="Times New Roman" w:hAnsi="Times New Roman" w:cs="Times New Roman"/>
        </w:rPr>
        <w:t>perspective</w:t>
      </w:r>
      <w:proofErr w:type="spellEnd"/>
      <w:r w:rsidR="00290BD9" w:rsidRPr="00705170">
        <w:rPr>
          <w:rStyle w:val="DipnotBavurusu"/>
          <w:rFonts w:ascii="Times New Roman" w:hAnsi="Times New Roman" w:cs="Times New Roman"/>
        </w:rPr>
        <w:footnoteReference w:id="97"/>
      </w:r>
      <w:r w:rsidR="00290BD9" w:rsidRPr="00705170">
        <w:rPr>
          <w:rFonts w:ascii="Times New Roman" w:hAnsi="Times New Roman" w:cs="Times New Roman"/>
        </w:rPr>
        <w:t xml:space="preserve">. </w:t>
      </w:r>
      <w:proofErr w:type="spellStart"/>
      <w:r w:rsidR="00FD1528" w:rsidRPr="00705170">
        <w:rPr>
          <w:rFonts w:ascii="Times New Roman" w:hAnsi="Times New Roman" w:cs="Times New Roman"/>
        </w:rPr>
        <w:t>While</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this</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point</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might</w:t>
      </w:r>
      <w:proofErr w:type="spellEnd"/>
      <w:r w:rsidR="00FD1528" w:rsidRPr="00705170">
        <w:rPr>
          <w:rFonts w:ascii="Times New Roman" w:hAnsi="Times New Roman" w:cs="Times New Roman"/>
        </w:rPr>
        <w:t xml:space="preserve"> </w:t>
      </w:r>
      <w:proofErr w:type="spellStart"/>
      <w:r w:rsidR="002232D1" w:rsidRPr="00705170">
        <w:rPr>
          <w:rFonts w:ascii="Times New Roman" w:hAnsi="Times New Roman" w:cs="Times New Roman"/>
        </w:rPr>
        <w:t>also</w:t>
      </w:r>
      <w:proofErr w:type="spellEnd"/>
      <w:r w:rsidR="002232D1" w:rsidRPr="00705170">
        <w:rPr>
          <w:rFonts w:ascii="Times New Roman" w:hAnsi="Times New Roman" w:cs="Times New Roman"/>
        </w:rPr>
        <w:t xml:space="preserve"> </w:t>
      </w:r>
      <w:proofErr w:type="spellStart"/>
      <w:r w:rsidR="00FD1528" w:rsidRPr="00705170">
        <w:rPr>
          <w:rFonts w:ascii="Times New Roman" w:hAnsi="Times New Roman" w:cs="Times New Roman"/>
        </w:rPr>
        <w:t>lead</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to</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the</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suggestion</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that</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the</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public</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enforcements</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via</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criminal</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sanctions</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or</w:t>
      </w:r>
      <w:proofErr w:type="spellEnd"/>
      <w:r w:rsidR="00FD1528" w:rsidRPr="00705170">
        <w:rPr>
          <w:rFonts w:ascii="Times New Roman" w:hAnsi="Times New Roman" w:cs="Times New Roman"/>
        </w:rPr>
        <w:t xml:space="preserve"> </w:t>
      </w:r>
      <w:proofErr w:type="spellStart"/>
      <w:r w:rsidR="006E44C3">
        <w:rPr>
          <w:rFonts w:ascii="Times New Roman" w:hAnsi="Times New Roman" w:cs="Times New Roman"/>
        </w:rPr>
        <w:t>administrative</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actions</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should</w:t>
      </w:r>
      <w:proofErr w:type="spellEnd"/>
      <w:r w:rsidR="00FD1528" w:rsidRPr="00705170">
        <w:rPr>
          <w:rFonts w:ascii="Times New Roman" w:hAnsi="Times New Roman" w:cs="Times New Roman"/>
        </w:rPr>
        <w:t xml:space="preserve"> be </w:t>
      </w:r>
      <w:proofErr w:type="spellStart"/>
      <w:r w:rsidR="00FD1528" w:rsidRPr="00705170">
        <w:rPr>
          <w:rFonts w:ascii="Times New Roman" w:hAnsi="Times New Roman" w:cs="Times New Roman"/>
        </w:rPr>
        <w:t>the</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one</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policing</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this</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appropriation</w:t>
      </w:r>
      <w:proofErr w:type="spellEnd"/>
      <w:r w:rsidR="00FD1528" w:rsidRPr="00705170">
        <w:rPr>
          <w:rFonts w:ascii="Times New Roman" w:hAnsi="Times New Roman" w:cs="Times New Roman"/>
        </w:rPr>
        <w:t xml:space="preserve">, </w:t>
      </w:r>
      <w:r w:rsidR="00E37C9F" w:rsidRPr="00705170">
        <w:rPr>
          <w:rFonts w:ascii="Times New Roman" w:hAnsi="Times New Roman" w:cs="Times New Roman"/>
        </w:rPr>
        <w:t xml:space="preserve">in </w:t>
      </w:r>
      <w:r w:rsidR="00FD1528" w:rsidRPr="00705170">
        <w:rPr>
          <w:rFonts w:ascii="Times New Roman" w:hAnsi="Times New Roman" w:cs="Times New Roman"/>
        </w:rPr>
        <w:t xml:space="preserve">a </w:t>
      </w:r>
      <w:proofErr w:type="spellStart"/>
      <w:r w:rsidR="00FD1528" w:rsidRPr="00705170">
        <w:rPr>
          <w:rFonts w:ascii="Times New Roman" w:hAnsi="Times New Roman" w:cs="Times New Roman"/>
        </w:rPr>
        <w:t>marketplace</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with</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concentrated</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ownership</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and</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influencing</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shareholders</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having</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political</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power</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the</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political</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angle</w:t>
      </w:r>
      <w:proofErr w:type="spellEnd"/>
      <w:r w:rsidR="00FD1528" w:rsidRPr="00705170">
        <w:rPr>
          <w:rFonts w:ascii="Times New Roman" w:hAnsi="Times New Roman" w:cs="Times New Roman"/>
        </w:rPr>
        <w:t xml:space="preserve"> is </w:t>
      </w:r>
      <w:proofErr w:type="spellStart"/>
      <w:r w:rsidR="00FD1528" w:rsidRPr="00705170">
        <w:rPr>
          <w:rFonts w:ascii="Times New Roman" w:hAnsi="Times New Roman" w:cs="Times New Roman"/>
        </w:rPr>
        <w:t>likely</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to</w:t>
      </w:r>
      <w:proofErr w:type="spellEnd"/>
      <w:r w:rsidR="00FD1528" w:rsidRPr="00705170">
        <w:rPr>
          <w:rFonts w:ascii="Times New Roman" w:hAnsi="Times New Roman" w:cs="Times New Roman"/>
        </w:rPr>
        <w:t xml:space="preserve"> be an </w:t>
      </w:r>
      <w:proofErr w:type="spellStart"/>
      <w:r w:rsidR="00FD1528" w:rsidRPr="00705170">
        <w:rPr>
          <w:rFonts w:ascii="Times New Roman" w:hAnsi="Times New Roman" w:cs="Times New Roman"/>
        </w:rPr>
        <w:t>effective</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contraint</w:t>
      </w:r>
      <w:proofErr w:type="spellEnd"/>
      <w:r w:rsidR="00FD1528" w:rsidRPr="00705170">
        <w:rPr>
          <w:rFonts w:ascii="Times New Roman" w:hAnsi="Times New Roman" w:cs="Times New Roman"/>
        </w:rPr>
        <w:t xml:space="preserve"> on </w:t>
      </w:r>
      <w:proofErr w:type="spellStart"/>
      <w:r w:rsidR="00FD1528" w:rsidRPr="00705170">
        <w:rPr>
          <w:rFonts w:ascii="Times New Roman" w:hAnsi="Times New Roman" w:cs="Times New Roman"/>
        </w:rPr>
        <w:t>public</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enforcement</w:t>
      </w:r>
      <w:proofErr w:type="spellEnd"/>
      <w:r w:rsidR="00FD1528" w:rsidRPr="00705170">
        <w:rPr>
          <w:rStyle w:val="DipnotBavurusu"/>
          <w:rFonts w:ascii="Times New Roman" w:hAnsi="Times New Roman" w:cs="Times New Roman"/>
        </w:rPr>
        <w:footnoteReference w:id="98"/>
      </w:r>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Thus</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the</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minority</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shareholder</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should</w:t>
      </w:r>
      <w:proofErr w:type="spellEnd"/>
      <w:r w:rsidR="00FD1528" w:rsidRPr="00705170">
        <w:rPr>
          <w:rFonts w:ascii="Times New Roman" w:hAnsi="Times New Roman" w:cs="Times New Roman"/>
        </w:rPr>
        <w:t xml:space="preserve"> be </w:t>
      </w:r>
      <w:proofErr w:type="spellStart"/>
      <w:r w:rsidR="00FD1528" w:rsidRPr="00705170">
        <w:rPr>
          <w:rFonts w:ascii="Times New Roman" w:hAnsi="Times New Roman" w:cs="Times New Roman"/>
        </w:rPr>
        <w:t>the</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police</w:t>
      </w:r>
      <w:proofErr w:type="spellEnd"/>
      <w:r w:rsidR="00FD1528" w:rsidRPr="00705170">
        <w:rPr>
          <w:rFonts w:ascii="Times New Roman" w:hAnsi="Times New Roman" w:cs="Times New Roman"/>
        </w:rPr>
        <w:t xml:space="preserve"> of his </w:t>
      </w:r>
      <w:proofErr w:type="spellStart"/>
      <w:r w:rsidR="00FD1528" w:rsidRPr="00705170">
        <w:rPr>
          <w:rFonts w:ascii="Times New Roman" w:hAnsi="Times New Roman" w:cs="Times New Roman"/>
        </w:rPr>
        <w:t>own</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rights</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and</w:t>
      </w:r>
      <w:proofErr w:type="spellEnd"/>
      <w:r w:rsidR="00FD1528" w:rsidRPr="00705170">
        <w:rPr>
          <w:rFonts w:ascii="Times New Roman" w:hAnsi="Times New Roman" w:cs="Times New Roman"/>
        </w:rPr>
        <w:t xml:space="preserve"> </w:t>
      </w:r>
      <w:proofErr w:type="spellStart"/>
      <w:r w:rsidR="006E44C3">
        <w:rPr>
          <w:rFonts w:ascii="Times New Roman" w:hAnsi="Times New Roman" w:cs="Times New Roman"/>
        </w:rPr>
        <w:t>the</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law</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sho</w:t>
      </w:r>
      <w:r w:rsidR="00E37C9F" w:rsidRPr="00705170">
        <w:rPr>
          <w:rFonts w:ascii="Times New Roman" w:hAnsi="Times New Roman" w:cs="Times New Roman"/>
        </w:rPr>
        <w:t>uld</w:t>
      </w:r>
      <w:proofErr w:type="spellEnd"/>
      <w:r w:rsidR="00E37C9F" w:rsidRPr="00705170">
        <w:rPr>
          <w:rFonts w:ascii="Times New Roman" w:hAnsi="Times New Roman" w:cs="Times New Roman"/>
        </w:rPr>
        <w:t xml:space="preserve"> </w:t>
      </w:r>
      <w:proofErr w:type="spellStart"/>
      <w:r w:rsidR="00E37C9F" w:rsidRPr="00705170">
        <w:rPr>
          <w:rFonts w:ascii="Times New Roman" w:hAnsi="Times New Roman" w:cs="Times New Roman"/>
        </w:rPr>
        <w:t>provide</w:t>
      </w:r>
      <w:proofErr w:type="spellEnd"/>
      <w:r w:rsidR="00E37C9F" w:rsidRPr="00705170">
        <w:rPr>
          <w:rFonts w:ascii="Times New Roman" w:hAnsi="Times New Roman" w:cs="Times New Roman"/>
        </w:rPr>
        <w:t xml:space="preserve"> a </w:t>
      </w:r>
      <w:proofErr w:type="spellStart"/>
      <w:r w:rsidR="006E44C3">
        <w:rPr>
          <w:rFonts w:ascii="Times New Roman" w:hAnsi="Times New Roman" w:cs="Times New Roman"/>
        </w:rPr>
        <w:t>statutory</w:t>
      </w:r>
      <w:proofErr w:type="spellEnd"/>
      <w:r w:rsidR="006E44C3">
        <w:rPr>
          <w:rFonts w:ascii="Times New Roman" w:hAnsi="Times New Roman" w:cs="Times New Roman"/>
        </w:rPr>
        <w:t xml:space="preserve"> </w:t>
      </w:r>
      <w:proofErr w:type="spellStart"/>
      <w:r w:rsidR="00E37C9F" w:rsidRPr="00705170">
        <w:rPr>
          <w:rFonts w:ascii="Times New Roman" w:hAnsi="Times New Roman" w:cs="Times New Roman"/>
        </w:rPr>
        <w:t>cause</w:t>
      </w:r>
      <w:proofErr w:type="spellEnd"/>
      <w:r w:rsidR="00E37C9F" w:rsidRPr="00705170">
        <w:rPr>
          <w:rFonts w:ascii="Times New Roman" w:hAnsi="Times New Roman" w:cs="Times New Roman"/>
        </w:rPr>
        <w:t xml:space="preserve"> of </w:t>
      </w:r>
      <w:proofErr w:type="spellStart"/>
      <w:r w:rsidR="00E37C9F" w:rsidRPr="00705170">
        <w:rPr>
          <w:rFonts w:ascii="Times New Roman" w:hAnsi="Times New Roman" w:cs="Times New Roman"/>
        </w:rPr>
        <w:t>action</w:t>
      </w:r>
      <w:proofErr w:type="spellEnd"/>
      <w:r w:rsidR="00E37C9F" w:rsidRPr="00705170">
        <w:rPr>
          <w:rFonts w:ascii="Times New Roman" w:hAnsi="Times New Roman" w:cs="Times New Roman"/>
        </w:rPr>
        <w:t xml:space="preserve"> </w:t>
      </w:r>
      <w:proofErr w:type="spellStart"/>
      <w:r w:rsidR="00E37C9F" w:rsidRPr="00705170">
        <w:rPr>
          <w:rFonts w:ascii="Times New Roman" w:hAnsi="Times New Roman" w:cs="Times New Roman"/>
        </w:rPr>
        <w:t>for</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them</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to</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effectively</w:t>
      </w:r>
      <w:proofErr w:type="spellEnd"/>
      <w:r w:rsidR="00FD1528" w:rsidRPr="00705170">
        <w:rPr>
          <w:rFonts w:ascii="Times New Roman" w:hAnsi="Times New Roman" w:cs="Times New Roman"/>
        </w:rPr>
        <w:t xml:space="preserve"> </w:t>
      </w:r>
      <w:proofErr w:type="spellStart"/>
      <w:r w:rsidR="00FD1528" w:rsidRPr="00705170">
        <w:rPr>
          <w:rFonts w:ascii="Times New Roman" w:hAnsi="Times New Roman" w:cs="Times New Roman"/>
        </w:rPr>
        <w:t>police</w:t>
      </w:r>
      <w:proofErr w:type="spellEnd"/>
      <w:r w:rsidR="006E44C3">
        <w:rPr>
          <w:rFonts w:ascii="Times New Roman" w:hAnsi="Times New Roman" w:cs="Times New Roman"/>
        </w:rPr>
        <w:t xml:space="preserve"> </w:t>
      </w:r>
      <w:proofErr w:type="spellStart"/>
      <w:r w:rsidR="006E44C3">
        <w:rPr>
          <w:rFonts w:ascii="Times New Roman" w:hAnsi="Times New Roman" w:cs="Times New Roman"/>
        </w:rPr>
        <w:t>their</w:t>
      </w:r>
      <w:proofErr w:type="spellEnd"/>
      <w:r w:rsidR="006E44C3">
        <w:rPr>
          <w:rFonts w:ascii="Times New Roman" w:hAnsi="Times New Roman" w:cs="Times New Roman"/>
        </w:rPr>
        <w:t xml:space="preserve"> </w:t>
      </w:r>
      <w:proofErr w:type="spellStart"/>
      <w:r w:rsidR="006E44C3">
        <w:rPr>
          <w:rFonts w:ascii="Times New Roman" w:hAnsi="Times New Roman" w:cs="Times New Roman"/>
        </w:rPr>
        <w:t>rights</w:t>
      </w:r>
      <w:proofErr w:type="spellEnd"/>
      <w:r w:rsidR="00FD1528" w:rsidRPr="00705170">
        <w:rPr>
          <w:rFonts w:ascii="Times New Roman" w:hAnsi="Times New Roman" w:cs="Times New Roman"/>
        </w:rPr>
        <w:t>.</w:t>
      </w:r>
    </w:p>
    <w:p w14:paraId="66BFE887" w14:textId="399FA827" w:rsidR="00120806" w:rsidRPr="00705170" w:rsidRDefault="00FD1528" w:rsidP="00B44404">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Lastly</w:t>
      </w:r>
      <w:proofErr w:type="spellEnd"/>
      <w:r w:rsidRPr="00705170">
        <w:rPr>
          <w:rFonts w:ascii="Times New Roman" w:hAnsi="Times New Roman" w:cs="Times New Roman"/>
        </w:rPr>
        <w:t>,</w:t>
      </w:r>
      <w:r w:rsidR="001F66DA" w:rsidRPr="00705170">
        <w:rPr>
          <w:rFonts w:ascii="Times New Roman" w:hAnsi="Times New Roman" w:cs="Times New Roman"/>
        </w:rPr>
        <w:t xml:space="preserve"> </w:t>
      </w:r>
      <w:r w:rsidRPr="00705170">
        <w:rPr>
          <w:rFonts w:ascii="Times New Roman" w:hAnsi="Times New Roman" w:cs="Times New Roman"/>
        </w:rPr>
        <w:t>i</w:t>
      </w:r>
      <w:r w:rsidR="00967446" w:rsidRPr="00705170">
        <w:rPr>
          <w:rFonts w:ascii="Times New Roman" w:hAnsi="Times New Roman" w:cs="Times New Roman"/>
        </w:rPr>
        <w:t xml:space="preserve">t is in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best</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interest</w:t>
      </w:r>
      <w:proofErr w:type="spellEnd"/>
      <w:r w:rsidR="00967446" w:rsidRPr="00705170">
        <w:rPr>
          <w:rFonts w:ascii="Times New Roman" w:hAnsi="Times New Roman" w:cs="Times New Roman"/>
        </w:rPr>
        <w:t xml:space="preserve"> of </w:t>
      </w:r>
      <w:proofErr w:type="spellStart"/>
      <w:r w:rsidR="00967446" w:rsidRPr="00705170">
        <w:rPr>
          <w:rFonts w:ascii="Times New Roman" w:hAnsi="Times New Roman" w:cs="Times New Roman"/>
        </w:rPr>
        <w:t>both</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minority</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shareholders</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and</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market</w:t>
      </w:r>
      <w:r w:rsidR="006E44C3" w:rsidRPr="00705170">
        <w:rPr>
          <w:rStyle w:val="DipnotBavurusu"/>
          <w:rFonts w:ascii="Times New Roman" w:hAnsi="Times New Roman" w:cs="Times New Roman"/>
        </w:rPr>
        <w:footnoteReference w:id="99"/>
      </w:r>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to</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provide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shareholders</w:t>
      </w:r>
      <w:proofErr w:type="spellEnd"/>
      <w:r w:rsidR="00967446" w:rsidRPr="00705170">
        <w:rPr>
          <w:rFonts w:ascii="Times New Roman" w:hAnsi="Times New Roman" w:cs="Times New Roman"/>
        </w:rPr>
        <w:t xml:space="preserve"> a </w:t>
      </w:r>
      <w:proofErr w:type="spellStart"/>
      <w:r w:rsidR="00967446" w:rsidRPr="00705170">
        <w:rPr>
          <w:rFonts w:ascii="Times New Roman" w:hAnsi="Times New Roman" w:cs="Times New Roman"/>
        </w:rPr>
        <w:t>last</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resort</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safety</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valve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whose</w:t>
      </w:r>
      <w:proofErr w:type="spellEnd"/>
      <w:r w:rsidR="00967446" w:rsidRPr="00705170">
        <w:rPr>
          <w:rFonts w:ascii="Times New Roman" w:hAnsi="Times New Roman" w:cs="Times New Roman"/>
        </w:rPr>
        <w:t xml:space="preserve"> presence </w:t>
      </w:r>
      <w:proofErr w:type="spellStart"/>
      <w:r w:rsidR="00967446" w:rsidRPr="00705170">
        <w:rPr>
          <w:rFonts w:ascii="Times New Roman" w:hAnsi="Times New Roman" w:cs="Times New Roman"/>
        </w:rPr>
        <w:t>would</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signal</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market (</w:t>
      </w:r>
      <w:proofErr w:type="spellStart"/>
      <w:r w:rsidR="00967446" w:rsidRPr="00705170">
        <w:rPr>
          <w:rFonts w:ascii="Times New Roman" w:hAnsi="Times New Roman" w:cs="Times New Roman"/>
        </w:rPr>
        <w:t>i.e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influencing</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shareholders</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that</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extraction</w:t>
      </w:r>
      <w:proofErr w:type="spellEnd"/>
      <w:r w:rsidR="00967446" w:rsidRPr="00705170">
        <w:rPr>
          <w:rFonts w:ascii="Times New Roman" w:hAnsi="Times New Roman" w:cs="Times New Roman"/>
        </w:rPr>
        <w:t xml:space="preserve"> of </w:t>
      </w:r>
      <w:proofErr w:type="spellStart"/>
      <w:r w:rsidR="00967446" w:rsidRPr="00705170">
        <w:rPr>
          <w:rFonts w:ascii="Times New Roman" w:hAnsi="Times New Roman" w:cs="Times New Roman"/>
        </w:rPr>
        <w:t>detrimental</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non</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pecuniary</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benefits</w:t>
      </w:r>
      <w:proofErr w:type="spellEnd"/>
      <w:r w:rsidR="00967446" w:rsidRPr="00705170">
        <w:rPr>
          <w:rFonts w:ascii="Times New Roman" w:hAnsi="Times New Roman" w:cs="Times New Roman"/>
        </w:rPr>
        <w:t xml:space="preserve"> is not a normal </w:t>
      </w:r>
      <w:proofErr w:type="spellStart"/>
      <w:r w:rsidR="00967446" w:rsidRPr="00705170">
        <w:rPr>
          <w:rFonts w:ascii="Times New Roman" w:hAnsi="Times New Roman" w:cs="Times New Roman"/>
        </w:rPr>
        <w:t>emolument</w:t>
      </w:r>
      <w:proofErr w:type="spellEnd"/>
      <w:r w:rsidR="00967446" w:rsidRPr="00705170">
        <w:rPr>
          <w:rFonts w:ascii="Times New Roman" w:hAnsi="Times New Roman" w:cs="Times New Roman"/>
        </w:rPr>
        <w:t xml:space="preserve"> of </w:t>
      </w:r>
      <w:proofErr w:type="spellStart"/>
      <w:r w:rsidR="00967446" w:rsidRPr="00705170">
        <w:rPr>
          <w:rFonts w:ascii="Times New Roman" w:hAnsi="Times New Roman" w:cs="Times New Roman"/>
        </w:rPr>
        <w:t>shareholding</w:t>
      </w:r>
      <w:proofErr w:type="spellEnd"/>
      <w:r w:rsidR="00967446" w:rsidRPr="00705170">
        <w:rPr>
          <w:rStyle w:val="DipnotBavurusu"/>
          <w:rFonts w:ascii="Times New Roman" w:hAnsi="Times New Roman" w:cs="Times New Roman"/>
        </w:rPr>
        <w:footnoteReference w:id="100"/>
      </w:r>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make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minority</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shareholders</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feel</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confident</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that</w:t>
      </w:r>
      <w:proofErr w:type="spellEnd"/>
      <w:r w:rsidR="00967446" w:rsidRPr="00705170">
        <w:rPr>
          <w:rFonts w:ascii="Times New Roman" w:hAnsi="Times New Roman" w:cs="Times New Roman"/>
        </w:rPr>
        <w:t xml:space="preserve"> a </w:t>
      </w:r>
      <w:proofErr w:type="spellStart"/>
      <w:r w:rsidR="00967446" w:rsidRPr="00705170">
        <w:rPr>
          <w:rFonts w:ascii="Times New Roman" w:hAnsi="Times New Roman" w:cs="Times New Roman"/>
        </w:rPr>
        <w:t>just</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appeal</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to</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courts</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will</w:t>
      </w:r>
      <w:proofErr w:type="spellEnd"/>
      <w:r w:rsidR="00967446" w:rsidRPr="00705170">
        <w:rPr>
          <w:rFonts w:ascii="Times New Roman" w:hAnsi="Times New Roman" w:cs="Times New Roman"/>
        </w:rPr>
        <w:t xml:space="preserve"> not </w:t>
      </w:r>
      <w:proofErr w:type="spellStart"/>
      <w:r w:rsidR="00967446" w:rsidRPr="00705170">
        <w:rPr>
          <w:rFonts w:ascii="Times New Roman" w:hAnsi="Times New Roman" w:cs="Times New Roman"/>
        </w:rPr>
        <w:t>go</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unheeded</w:t>
      </w:r>
      <w:proofErr w:type="spellEnd"/>
      <w:r w:rsidR="00967446" w:rsidRPr="00705170">
        <w:rPr>
          <w:rFonts w:ascii="Times New Roman" w:hAnsi="Times New Roman" w:cs="Times New Roman"/>
        </w:rPr>
        <w:t>”</w:t>
      </w:r>
      <w:r w:rsidR="00967446" w:rsidRPr="00705170">
        <w:rPr>
          <w:rStyle w:val="DipnotBavurusu"/>
          <w:rFonts w:ascii="Times New Roman" w:hAnsi="Times New Roman" w:cs="Times New Roman"/>
        </w:rPr>
        <w:footnoteReference w:id="101"/>
      </w:r>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and</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consequently</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constrain</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these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extractions</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After</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all</w:t>
      </w:r>
      <w:proofErr w:type="spellEnd"/>
      <w:r w:rsidR="00967446" w:rsidRPr="00705170">
        <w:rPr>
          <w:rFonts w:ascii="Times New Roman" w:hAnsi="Times New Roman" w:cs="Times New Roman"/>
        </w:rPr>
        <w:t xml:space="preserve">, it is in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ultimate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inter</w:t>
      </w:r>
      <w:r w:rsidR="00966726" w:rsidRPr="00705170">
        <w:rPr>
          <w:rFonts w:ascii="Times New Roman" w:hAnsi="Times New Roman" w:cs="Times New Roman"/>
        </w:rPr>
        <w:t>e</w:t>
      </w:r>
      <w:r w:rsidR="00967446" w:rsidRPr="00705170">
        <w:rPr>
          <w:rFonts w:ascii="Times New Roman" w:hAnsi="Times New Roman" w:cs="Times New Roman"/>
        </w:rPr>
        <w:t>st</w:t>
      </w:r>
      <w:proofErr w:type="spellEnd"/>
      <w:r w:rsidR="00967446" w:rsidRPr="00705170">
        <w:rPr>
          <w:rFonts w:ascii="Times New Roman" w:hAnsi="Times New Roman" w:cs="Times New Roman"/>
        </w:rPr>
        <w:t xml:space="preserve"> </w:t>
      </w:r>
      <w:r w:rsidR="00967446" w:rsidRPr="00705170">
        <w:rPr>
          <w:rFonts w:ascii="Times New Roman" w:hAnsi="Times New Roman" w:cs="Times New Roman"/>
        </w:rPr>
        <w:lastRenderedPageBreak/>
        <w:t xml:space="preserve">of </w:t>
      </w:r>
      <w:proofErr w:type="spellStart"/>
      <w:r w:rsidR="00967446" w:rsidRPr="00705170">
        <w:rPr>
          <w:rFonts w:ascii="Times New Roman" w:hAnsi="Times New Roman" w:cs="Times New Roman"/>
        </w:rPr>
        <w:t>business</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that</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the</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investing</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public</w:t>
      </w:r>
      <w:proofErr w:type="spellEnd"/>
      <w:r w:rsidR="00967446" w:rsidRPr="00705170">
        <w:rPr>
          <w:rFonts w:ascii="Times New Roman" w:hAnsi="Times New Roman" w:cs="Times New Roman"/>
        </w:rPr>
        <w:t xml:space="preserve"> is </w:t>
      </w:r>
      <w:proofErr w:type="spellStart"/>
      <w:r w:rsidR="00120806" w:rsidRPr="00705170">
        <w:rPr>
          <w:rFonts w:ascii="Times New Roman" w:hAnsi="Times New Roman" w:cs="Times New Roman"/>
        </w:rPr>
        <w:t>induce</w:t>
      </w:r>
      <w:r w:rsidR="00967446" w:rsidRPr="00705170">
        <w:rPr>
          <w:rFonts w:ascii="Times New Roman" w:hAnsi="Times New Roman" w:cs="Times New Roman"/>
        </w:rPr>
        <w:t>d</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to</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invest</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by</w:t>
      </w:r>
      <w:proofErr w:type="spellEnd"/>
      <w:r w:rsidR="00967446" w:rsidRPr="00705170">
        <w:rPr>
          <w:rFonts w:ascii="Times New Roman" w:hAnsi="Times New Roman" w:cs="Times New Roman"/>
        </w:rPr>
        <w:t xml:space="preserve"> </w:t>
      </w:r>
      <w:proofErr w:type="spellStart"/>
      <w:r w:rsidR="00967446" w:rsidRPr="00705170">
        <w:rPr>
          <w:rFonts w:ascii="Times New Roman" w:hAnsi="Times New Roman" w:cs="Times New Roman"/>
        </w:rPr>
        <w:t>the</w:t>
      </w:r>
      <w:proofErr w:type="spellEnd"/>
      <w:r w:rsidR="00120806" w:rsidRPr="00705170">
        <w:rPr>
          <w:rFonts w:ascii="Times New Roman" w:hAnsi="Times New Roman" w:cs="Times New Roman"/>
        </w:rPr>
        <w:t xml:space="preserve"> </w:t>
      </w:r>
      <w:proofErr w:type="spellStart"/>
      <w:r w:rsidR="00967446" w:rsidRPr="00705170">
        <w:rPr>
          <w:rFonts w:ascii="Times New Roman" w:hAnsi="Times New Roman" w:cs="Times New Roman"/>
        </w:rPr>
        <w:t>imposition</w:t>
      </w:r>
      <w:proofErr w:type="spellEnd"/>
      <w:r w:rsidR="00967446" w:rsidRPr="00705170">
        <w:rPr>
          <w:rFonts w:ascii="Times New Roman" w:hAnsi="Times New Roman" w:cs="Times New Roman"/>
        </w:rPr>
        <w:t xml:space="preserve"> of </w:t>
      </w:r>
      <w:proofErr w:type="spellStart"/>
      <w:r w:rsidR="00967446" w:rsidRPr="00705170">
        <w:rPr>
          <w:rFonts w:ascii="Times New Roman" w:hAnsi="Times New Roman" w:cs="Times New Roman"/>
        </w:rPr>
        <w:t>the</w:t>
      </w:r>
      <w:proofErr w:type="spellEnd"/>
      <w:r w:rsidR="00120806" w:rsidRPr="00705170">
        <w:rPr>
          <w:rFonts w:ascii="Times New Roman" w:hAnsi="Times New Roman" w:cs="Times New Roman"/>
        </w:rPr>
        <w:t xml:space="preserve"> risk- </w:t>
      </w:r>
      <w:proofErr w:type="spellStart"/>
      <w:r w:rsidR="00120806" w:rsidRPr="00705170">
        <w:rPr>
          <w:rFonts w:ascii="Times New Roman" w:hAnsi="Times New Roman" w:cs="Times New Roman"/>
        </w:rPr>
        <w:t>eliminating</w:t>
      </w:r>
      <w:proofErr w:type="spellEnd"/>
      <w:r w:rsidR="00120806" w:rsidRPr="00705170">
        <w:rPr>
          <w:rFonts w:ascii="Times New Roman" w:hAnsi="Times New Roman" w:cs="Times New Roman"/>
        </w:rPr>
        <w:t xml:space="preserve"> </w:t>
      </w:r>
      <w:proofErr w:type="spellStart"/>
      <w:r w:rsidR="00120806" w:rsidRPr="00705170">
        <w:rPr>
          <w:rFonts w:ascii="Times New Roman" w:hAnsi="Times New Roman" w:cs="Times New Roman"/>
        </w:rPr>
        <w:t>rules</w:t>
      </w:r>
      <w:proofErr w:type="spellEnd"/>
      <w:r w:rsidR="00120806" w:rsidRPr="00705170">
        <w:rPr>
          <w:rStyle w:val="DipnotBavurusu"/>
          <w:rFonts w:ascii="Times New Roman" w:hAnsi="Times New Roman" w:cs="Times New Roman"/>
        </w:rPr>
        <w:footnoteReference w:id="102"/>
      </w:r>
      <w:r w:rsidR="00E55A92" w:rsidRPr="00705170">
        <w:rPr>
          <w:rFonts w:ascii="Times New Roman" w:hAnsi="Times New Roman" w:cs="Times New Roman"/>
        </w:rPr>
        <w:t xml:space="preserve"> </w:t>
      </w:r>
      <w:proofErr w:type="spellStart"/>
      <w:r w:rsidR="00E55A92" w:rsidRPr="00705170">
        <w:rPr>
          <w:rFonts w:ascii="Times New Roman" w:hAnsi="Times New Roman" w:cs="Times New Roman"/>
        </w:rPr>
        <w:t>and</w:t>
      </w:r>
      <w:proofErr w:type="spellEnd"/>
      <w:r w:rsidR="00225CE0" w:rsidRPr="00705170">
        <w:rPr>
          <w:rFonts w:ascii="Times New Roman" w:hAnsi="Times New Roman" w:cs="Times New Roman"/>
        </w:rPr>
        <w:t xml:space="preserve"> </w:t>
      </w:r>
      <w:proofErr w:type="spellStart"/>
      <w:r w:rsidR="00225CE0" w:rsidRPr="00705170">
        <w:rPr>
          <w:rFonts w:ascii="Times New Roman" w:hAnsi="Times New Roman" w:cs="Times New Roman"/>
        </w:rPr>
        <w:t>investors</w:t>
      </w:r>
      <w:proofErr w:type="spellEnd"/>
      <w:r w:rsidR="00225CE0" w:rsidRPr="00705170">
        <w:rPr>
          <w:rFonts w:ascii="Times New Roman" w:hAnsi="Times New Roman" w:cs="Times New Roman"/>
        </w:rPr>
        <w:t xml:space="preserve">’ </w:t>
      </w:r>
      <w:proofErr w:type="spellStart"/>
      <w:r w:rsidR="00225CE0" w:rsidRPr="00705170">
        <w:rPr>
          <w:rFonts w:ascii="Times New Roman" w:hAnsi="Times New Roman" w:cs="Times New Roman"/>
        </w:rPr>
        <w:t>confidence</w:t>
      </w:r>
      <w:proofErr w:type="spellEnd"/>
      <w:r w:rsidR="00120806" w:rsidRPr="00705170">
        <w:rPr>
          <w:rFonts w:ascii="Times New Roman" w:hAnsi="Times New Roman" w:cs="Times New Roman"/>
        </w:rPr>
        <w:t xml:space="preserve"> </w:t>
      </w:r>
      <w:r w:rsidR="00225CE0" w:rsidRPr="00705170">
        <w:rPr>
          <w:rFonts w:ascii="Times New Roman" w:hAnsi="Times New Roman" w:cs="Times New Roman"/>
        </w:rPr>
        <w:t xml:space="preserve">in </w:t>
      </w:r>
      <w:proofErr w:type="spellStart"/>
      <w:r w:rsidR="00225CE0" w:rsidRPr="00705170">
        <w:rPr>
          <w:rFonts w:ascii="Times New Roman" w:hAnsi="Times New Roman" w:cs="Times New Roman"/>
        </w:rPr>
        <w:t>the</w:t>
      </w:r>
      <w:proofErr w:type="spellEnd"/>
      <w:r w:rsidR="00225CE0" w:rsidRPr="00705170">
        <w:rPr>
          <w:rFonts w:ascii="Times New Roman" w:hAnsi="Times New Roman" w:cs="Times New Roman"/>
        </w:rPr>
        <w:t xml:space="preserve"> </w:t>
      </w:r>
      <w:proofErr w:type="spellStart"/>
      <w:r w:rsidR="00225CE0" w:rsidRPr="00705170">
        <w:rPr>
          <w:rFonts w:ascii="Times New Roman" w:hAnsi="Times New Roman" w:cs="Times New Roman"/>
        </w:rPr>
        <w:t>markets</w:t>
      </w:r>
      <w:proofErr w:type="spellEnd"/>
      <w:r w:rsidR="00E55A92" w:rsidRPr="00705170">
        <w:rPr>
          <w:rFonts w:ascii="Times New Roman" w:hAnsi="Times New Roman" w:cs="Times New Roman"/>
        </w:rPr>
        <w:t xml:space="preserve"> is </w:t>
      </w:r>
      <w:proofErr w:type="spellStart"/>
      <w:r w:rsidR="00E55A92" w:rsidRPr="00705170">
        <w:rPr>
          <w:rFonts w:ascii="Times New Roman" w:hAnsi="Times New Roman" w:cs="Times New Roman"/>
        </w:rPr>
        <w:t>restored</w:t>
      </w:r>
      <w:proofErr w:type="spellEnd"/>
      <w:r w:rsidR="00225CE0" w:rsidRPr="00705170">
        <w:rPr>
          <w:rStyle w:val="DipnotBavurusu"/>
          <w:rFonts w:ascii="Times New Roman" w:hAnsi="Times New Roman" w:cs="Times New Roman"/>
        </w:rPr>
        <w:footnoteReference w:id="103"/>
      </w:r>
      <w:r w:rsidR="00225CE0" w:rsidRPr="00705170">
        <w:rPr>
          <w:rFonts w:ascii="Times New Roman" w:hAnsi="Times New Roman" w:cs="Times New Roman"/>
        </w:rPr>
        <w:t>.</w:t>
      </w:r>
    </w:p>
    <w:p w14:paraId="64D727B6" w14:textId="73F392CF" w:rsidR="0012251E" w:rsidRPr="00705170" w:rsidRDefault="0012251E" w:rsidP="0012251E">
      <w:pPr>
        <w:pStyle w:val="ListeParagraf"/>
        <w:numPr>
          <w:ilvl w:val="0"/>
          <w:numId w:val="5"/>
        </w:numPr>
        <w:spacing w:after="240" w:line="480" w:lineRule="auto"/>
        <w:jc w:val="both"/>
        <w:rPr>
          <w:rFonts w:ascii="Times New Roman" w:hAnsi="Times New Roman" w:cs="Times New Roman"/>
          <w:b/>
        </w:rPr>
      </w:pPr>
      <w:r w:rsidRPr="00705170">
        <w:rPr>
          <w:rFonts w:ascii="Times New Roman" w:hAnsi="Times New Roman" w:cs="Times New Roman"/>
          <w:b/>
        </w:rPr>
        <w:t xml:space="preserve">Using </w:t>
      </w:r>
      <w:proofErr w:type="spellStart"/>
      <w:r w:rsidRPr="00705170">
        <w:rPr>
          <w:rFonts w:ascii="Times New Roman" w:hAnsi="Times New Roman" w:cs="Times New Roman"/>
          <w:b/>
        </w:rPr>
        <w:t>the</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Nexus</w:t>
      </w:r>
      <w:proofErr w:type="spellEnd"/>
      <w:r w:rsidRPr="00705170">
        <w:rPr>
          <w:rFonts w:ascii="Times New Roman" w:hAnsi="Times New Roman" w:cs="Times New Roman"/>
          <w:b/>
        </w:rPr>
        <w:t xml:space="preserve"> of </w:t>
      </w:r>
      <w:proofErr w:type="spellStart"/>
      <w:r w:rsidRPr="00705170">
        <w:rPr>
          <w:rFonts w:ascii="Times New Roman" w:hAnsi="Times New Roman" w:cs="Times New Roman"/>
          <w:b/>
        </w:rPr>
        <w:t>Contracts</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Theory</w:t>
      </w:r>
      <w:proofErr w:type="spellEnd"/>
    </w:p>
    <w:p w14:paraId="1C479C0E" w14:textId="2D3F098C" w:rsidR="0012251E" w:rsidRPr="00705170" w:rsidRDefault="0012251E" w:rsidP="0012251E">
      <w:pPr>
        <w:spacing w:after="240" w:line="480" w:lineRule="auto"/>
        <w:ind w:firstLine="700"/>
        <w:jc w:val="both"/>
        <w:rPr>
          <w:rFonts w:ascii="Times New Roman" w:hAnsi="Times New Roman" w:cs="Times New Roman"/>
          <w:b/>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goal</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governing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profit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enterprises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seen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twofold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first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w:t>
      </w:r>
      <w:proofErr w:type="spellEnd"/>
      <w:r w:rsidRPr="00705170">
        <w:rPr>
          <w:rFonts w:ascii="Times New Roman" w:hAnsi="Times New Roman" w:cs="Times New Roman"/>
        </w:rPr>
        <w:t xml:space="preserve"> a legal </w:t>
      </w:r>
      <w:proofErr w:type="spellStart"/>
      <w:r w:rsidRPr="00705170">
        <w:rPr>
          <w:rFonts w:ascii="Times New Roman" w:hAnsi="Times New Roman" w:cs="Times New Roman"/>
        </w:rPr>
        <w:t>framework</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undertake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activities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efficiently</w:t>
      </w:r>
      <w:proofErr w:type="spellEnd"/>
      <w:r w:rsidRPr="00705170">
        <w:rPr>
          <w:rStyle w:val="DipnotBavurusu"/>
          <w:rFonts w:ascii="Times New Roman" w:hAnsi="Times New Roman" w:cs="Times New Roman"/>
        </w:rPr>
        <w:footnoteReference w:id="104"/>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second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advance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aggregate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welfare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affected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enterprises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activities</w:t>
      </w:r>
      <w:proofErr w:type="spellEnd"/>
      <w:r w:rsidRPr="00705170">
        <w:rPr>
          <w:rStyle w:val="DipnotBavurusu"/>
          <w:rFonts w:ascii="Times New Roman" w:hAnsi="Times New Roman" w:cs="Times New Roman"/>
        </w:rPr>
        <w:footnoteReference w:id="105"/>
      </w:r>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goal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despite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underlining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policy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considerations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leaves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question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what</w:t>
      </w:r>
      <w:proofErr w:type="spellEnd"/>
      <w:r w:rsidRPr="00705170">
        <w:rPr>
          <w:rFonts w:ascii="Times New Roman" w:hAnsi="Times New Roman" w:cs="Times New Roman"/>
        </w:rPr>
        <w:t xml:space="preserve"> role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bear</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regulating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unanswered</w:t>
      </w:r>
      <w:proofErr w:type="spellEnd"/>
      <w:r w:rsidRPr="00705170">
        <w:rPr>
          <w:rFonts w:ascii="Times New Roman" w:hAnsi="Times New Roman" w:cs="Times New Roman"/>
        </w:rPr>
        <w:t>.</w:t>
      </w:r>
      <w:r w:rsidR="00A46C5C" w:rsidRPr="00705170">
        <w:rPr>
          <w:rFonts w:ascii="Times New Roman" w:hAnsi="Times New Roman" w:cs="Times New Roman"/>
        </w:rPr>
        <w:t xml:space="preserve"> </w:t>
      </w:r>
      <w:proofErr w:type="spellStart"/>
      <w:r w:rsidRPr="00705170">
        <w:rPr>
          <w:rFonts w:ascii="Times New Roman" w:hAnsi="Times New Roman" w:cs="Times New Roman"/>
        </w:rPr>
        <w:t>Herein</w:t>
      </w:r>
      <w:proofErr w:type="spellEnd"/>
      <w:r w:rsidRPr="00705170">
        <w:rPr>
          <w:rFonts w:ascii="Times New Roman" w:hAnsi="Times New Roman" w:cs="Times New Roman"/>
        </w:rPr>
        <w:t xml:space="preserve">, </w:t>
      </w:r>
      <w:proofErr w:type="spellStart"/>
      <w:r w:rsidR="00A46C5C" w:rsidRPr="00705170">
        <w:rPr>
          <w:rFonts w:ascii="Times New Roman" w:hAnsi="Times New Roman" w:cs="Times New Roman"/>
        </w:rPr>
        <w:t>one</w:t>
      </w:r>
      <w:proofErr w:type="spellEnd"/>
      <w:r w:rsidR="00A46C5C" w:rsidRPr="00705170">
        <w:rPr>
          <w:rFonts w:ascii="Times New Roman" w:hAnsi="Times New Roman" w:cs="Times New Roman"/>
        </w:rPr>
        <w:t xml:space="preserve"> of </w:t>
      </w:r>
      <w:proofErr w:type="spellStart"/>
      <w:r w:rsidR="00A46C5C" w:rsidRPr="00705170">
        <w:rPr>
          <w:rFonts w:ascii="Times New Roman" w:hAnsi="Times New Roman" w:cs="Times New Roman"/>
        </w:rPr>
        <w:t>the</w:t>
      </w:r>
      <w:proofErr w:type="spellEnd"/>
      <w:r w:rsidR="00A46C5C" w:rsidRPr="00705170">
        <w:rPr>
          <w:rFonts w:ascii="Times New Roman" w:hAnsi="Times New Roman" w:cs="Times New Roman"/>
        </w:rPr>
        <w:t xml:space="preserve"> </w:t>
      </w:r>
      <w:proofErr w:type="spellStart"/>
      <w:r w:rsidR="00A46C5C" w:rsidRPr="00705170">
        <w:rPr>
          <w:rFonts w:ascii="Times New Roman" w:hAnsi="Times New Roman" w:cs="Times New Roman"/>
        </w:rPr>
        <w:t>regulatory</w:t>
      </w:r>
      <w:proofErr w:type="spellEnd"/>
      <w:r w:rsidR="00A46C5C" w:rsidRPr="00705170">
        <w:rPr>
          <w:rFonts w:ascii="Times New Roman" w:hAnsi="Times New Roman" w:cs="Times New Roman"/>
        </w:rPr>
        <w:t xml:space="preserve"> </w:t>
      </w:r>
      <w:proofErr w:type="spellStart"/>
      <w:r w:rsidR="00A46C5C" w:rsidRPr="00705170">
        <w:rPr>
          <w:rFonts w:ascii="Times New Roman" w:hAnsi="Times New Roman" w:cs="Times New Roman"/>
        </w:rPr>
        <w:t>theories</w:t>
      </w:r>
      <w:proofErr w:type="spellEnd"/>
      <w:r w:rsidR="00A46C5C" w:rsidRPr="00705170">
        <w:rPr>
          <w:rStyle w:val="DipnotBavurusu"/>
          <w:rFonts w:ascii="Times New Roman" w:hAnsi="Times New Roman" w:cs="Times New Roman"/>
        </w:rPr>
        <w:footnoteReference w:id="106"/>
      </w:r>
      <w:r w:rsidR="00A46C5C"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nexus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contracts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academically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influential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attempt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articulate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doctrinal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recent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years</w:t>
      </w:r>
      <w:proofErr w:type="spellEnd"/>
      <w:r w:rsidRPr="00705170">
        <w:rPr>
          <w:rFonts w:ascii="Times New Roman" w:hAnsi="Times New Roman" w:cs="Times New Roman"/>
        </w:rPr>
        <w:t xml:space="preserve"> in U.S.</w:t>
      </w:r>
      <w:r w:rsidRPr="00705170">
        <w:rPr>
          <w:rStyle w:val="DipnotBavurusu"/>
          <w:rFonts w:ascii="Times New Roman" w:hAnsi="Times New Roman" w:cs="Times New Roman"/>
        </w:rPr>
        <w:footnoteReference w:id="107"/>
      </w:r>
      <w:r w:rsidRPr="00705170">
        <w:rPr>
          <w:rFonts w:ascii="Times New Roman" w:hAnsi="Times New Roman" w:cs="Times New Roman"/>
        </w:rPr>
        <w:t xml:space="preserve">, </w:t>
      </w:r>
      <w:proofErr w:type="spellStart"/>
      <w:r w:rsidRPr="00705170">
        <w:rPr>
          <w:rFonts w:ascii="Times New Roman" w:hAnsi="Times New Roman" w:cs="Times New Roman"/>
        </w:rPr>
        <w:t>provides</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viable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answer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Although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t>
      </w:r>
      <w:r w:rsidR="009B2CDC" w:rsidRPr="00705170">
        <w:rPr>
          <w:rFonts w:ascii="Times New Roman" w:hAnsi="Times New Roman" w:cs="Times New Roman"/>
        </w:rPr>
        <w:t>his</w:t>
      </w:r>
      <w:proofErr w:type="spellEnd"/>
      <w:r w:rsidR="009B2CDC" w:rsidRPr="00705170">
        <w:rPr>
          <w:rFonts w:ascii="Times New Roman" w:hAnsi="Times New Roman" w:cs="Times New Roman"/>
        </w:rPr>
        <w:t xml:space="preserve"> </w:t>
      </w:r>
      <w:proofErr w:type="spellStart"/>
      <w:r w:rsidR="009B2CDC" w:rsidRPr="00705170">
        <w:rPr>
          <w:rFonts w:ascii="Times New Roman" w:hAnsi="Times New Roman" w:cs="Times New Roman"/>
        </w:rPr>
        <w:t>theory</w:t>
      </w:r>
      <w:proofErr w:type="spellEnd"/>
      <w:r w:rsidR="009B2CDC" w:rsidRPr="00705170">
        <w:rPr>
          <w:rFonts w:ascii="Times New Roman" w:hAnsi="Times New Roman" w:cs="Times New Roman"/>
        </w:rPr>
        <w:t xml:space="preserve"> is </w:t>
      </w:r>
      <w:proofErr w:type="spellStart"/>
      <w:r w:rsidR="009B2CDC" w:rsidRPr="00705170">
        <w:rPr>
          <w:rFonts w:ascii="Times New Roman" w:hAnsi="Times New Roman" w:cs="Times New Roman"/>
        </w:rPr>
        <w:t>criticized</w:t>
      </w:r>
      <w:proofErr w:type="spellEnd"/>
      <w:r w:rsidR="009B2CDC" w:rsidRPr="00705170">
        <w:rPr>
          <w:rFonts w:ascii="Times New Roman" w:hAnsi="Times New Roman" w:cs="Times New Roman"/>
        </w:rPr>
        <w:t xml:space="preserve"> </w:t>
      </w:r>
      <w:proofErr w:type="spellStart"/>
      <w:r w:rsidR="009B2CDC"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commentators</w:t>
      </w:r>
      <w:proofErr w:type="spellEnd"/>
      <w:r w:rsidRPr="00705170">
        <w:rPr>
          <w:rStyle w:val="DipnotBavurusu"/>
          <w:rFonts w:ascii="Times New Roman" w:hAnsi="Times New Roman" w:cs="Times New Roman"/>
        </w:rPr>
        <w:footnoteReference w:id="108"/>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jurisdiction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originated</w:t>
      </w:r>
      <w:proofErr w:type="spellEnd"/>
      <w:r w:rsidRPr="00705170">
        <w:rPr>
          <w:rFonts w:ascii="Times New Roman" w:hAnsi="Times New Roman" w:cs="Times New Roman"/>
        </w:rPr>
        <w:t xml:space="preserve"> (U.S.) </w:t>
      </w:r>
      <w:proofErr w:type="spellStart"/>
      <w:r w:rsidRPr="00705170">
        <w:rPr>
          <w:rFonts w:ascii="Times New Roman" w:hAnsi="Times New Roman" w:cs="Times New Roman"/>
        </w:rPr>
        <w:t>differs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most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jurisdictions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nature</w:t>
      </w:r>
      <w:proofErr w:type="spellEnd"/>
      <w:r w:rsidRPr="00705170">
        <w:rPr>
          <w:rStyle w:val="DipnotBavurusu"/>
          <w:rFonts w:ascii="Times New Roman" w:hAnsi="Times New Roman" w:cs="Times New Roman"/>
        </w:rPr>
        <w:footnoteReference w:id="109"/>
      </w:r>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study</w:t>
      </w:r>
      <w:proofErr w:type="spellEnd"/>
      <w:r w:rsidRPr="00705170">
        <w:rPr>
          <w:rFonts w:ascii="Times New Roman" w:hAnsi="Times New Roman" w:cs="Times New Roman"/>
        </w:rPr>
        <w:t xml:space="preserve"> </w:t>
      </w:r>
      <w:proofErr w:type="spellStart"/>
      <w:r w:rsidR="00F23EE3">
        <w:rPr>
          <w:rFonts w:ascii="Times New Roman" w:hAnsi="Times New Roman" w:cs="Times New Roman"/>
        </w:rPr>
        <w:t>opines</w:t>
      </w:r>
      <w:proofErr w:type="spellEnd"/>
      <w:r w:rsidR="00F23EE3"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nexus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contracts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bears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significance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determining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how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w:t>
      </w:r>
    </w:p>
    <w:p w14:paraId="023A7BDD" w14:textId="665DFEA6" w:rsidR="0012251E" w:rsidRPr="00705170" w:rsidRDefault="0012251E" w:rsidP="0012251E">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According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nexus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contracts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mere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entities</w:t>
      </w:r>
      <w:proofErr w:type="spellEnd"/>
      <w:r w:rsidRPr="00705170">
        <w:rPr>
          <w:rFonts w:ascii="Times New Roman" w:hAnsi="Times New Roman" w:cs="Times New Roman"/>
        </w:rPr>
        <w:t xml:space="preserve"> but a </w:t>
      </w:r>
      <w:proofErr w:type="spellStart"/>
      <w:r w:rsidRPr="00705170">
        <w:rPr>
          <w:rFonts w:ascii="Times New Roman" w:hAnsi="Times New Roman" w:cs="Times New Roman"/>
        </w:rPr>
        <w:t>nexus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contracts</w:t>
      </w:r>
      <w:proofErr w:type="spellEnd"/>
      <w:r w:rsidRPr="00705170">
        <w:rPr>
          <w:rStyle w:val="DipnotBavurusu"/>
          <w:rFonts w:ascii="Times New Roman" w:hAnsi="Times New Roman" w:cs="Times New Roman"/>
        </w:rPr>
        <w:footnoteReference w:id="110"/>
      </w:r>
      <w:r w:rsidR="000679F3" w:rsidRPr="00705170">
        <w:rPr>
          <w:rFonts w:ascii="Times New Roman" w:hAnsi="Times New Roman" w:cs="Times New Roman"/>
        </w:rPr>
        <w:t xml:space="preserve">, in </w:t>
      </w:r>
      <w:proofErr w:type="spellStart"/>
      <w:r w:rsidR="000679F3" w:rsidRPr="00705170">
        <w:rPr>
          <w:rFonts w:ascii="Times New Roman" w:hAnsi="Times New Roman" w:cs="Times New Roman"/>
        </w:rPr>
        <w:t>which</w:t>
      </w:r>
      <w:proofErr w:type="spellEnd"/>
      <w:r w:rsidR="000679F3" w:rsidRPr="00705170">
        <w:rPr>
          <w:rFonts w:ascii="Times New Roman" w:hAnsi="Times New Roman" w:cs="Times New Roman"/>
        </w:rPr>
        <w:t xml:space="preserve"> </w:t>
      </w:r>
      <w:proofErr w:type="spellStart"/>
      <w:r w:rsidR="00173A58" w:rsidRPr="00705170">
        <w:rPr>
          <w:rFonts w:ascii="Times New Roman" w:hAnsi="Times New Roman" w:cs="Times New Roman"/>
        </w:rPr>
        <w:t>corporate</w:t>
      </w:r>
      <w:proofErr w:type="spellEnd"/>
      <w:r w:rsidR="00173A58" w:rsidRPr="00705170">
        <w:rPr>
          <w:rFonts w:ascii="Times New Roman" w:hAnsi="Times New Roman" w:cs="Times New Roman"/>
        </w:rPr>
        <w:t xml:space="preserve"> </w:t>
      </w:r>
      <w:proofErr w:type="spellStart"/>
      <w:r w:rsidR="00173A58" w:rsidRPr="00705170">
        <w:rPr>
          <w:rFonts w:ascii="Times New Roman" w:hAnsi="Times New Roman" w:cs="Times New Roman"/>
        </w:rPr>
        <w:t>constituents</w:t>
      </w:r>
      <w:proofErr w:type="spellEnd"/>
      <w:r w:rsidR="00173A58" w:rsidRPr="00705170">
        <w:rPr>
          <w:rFonts w:ascii="Times New Roman" w:hAnsi="Times New Roman" w:cs="Times New Roman"/>
        </w:rPr>
        <w:t xml:space="preserve"> </w:t>
      </w:r>
      <w:proofErr w:type="spellStart"/>
      <w:r w:rsidR="00173A58" w:rsidRPr="00705170">
        <w:rPr>
          <w:rFonts w:ascii="Times New Roman" w:hAnsi="Times New Roman" w:cs="Times New Roman"/>
        </w:rPr>
        <w:t>contract</w:t>
      </w:r>
      <w:proofErr w:type="spellEnd"/>
      <w:r w:rsidR="00173A58" w:rsidRPr="00705170">
        <w:rPr>
          <w:rFonts w:ascii="Times New Roman" w:hAnsi="Times New Roman" w:cs="Times New Roman"/>
        </w:rPr>
        <w:t xml:space="preserve"> </w:t>
      </w:r>
      <w:proofErr w:type="spellStart"/>
      <w:r w:rsidR="00173A58" w:rsidRPr="00705170">
        <w:rPr>
          <w:rFonts w:ascii="Times New Roman" w:hAnsi="Times New Roman" w:cs="Times New Roman"/>
        </w:rPr>
        <w:t>with</w:t>
      </w:r>
      <w:proofErr w:type="spellEnd"/>
      <w:r w:rsidR="00173A58" w:rsidRPr="00705170">
        <w:rPr>
          <w:rFonts w:ascii="Times New Roman" w:hAnsi="Times New Roman" w:cs="Times New Roman"/>
        </w:rPr>
        <w:t xml:space="preserve"> </w:t>
      </w:r>
      <w:proofErr w:type="spellStart"/>
      <w:r w:rsidR="00173A58" w:rsidRPr="00705170">
        <w:rPr>
          <w:rFonts w:ascii="Times New Roman" w:hAnsi="Times New Roman" w:cs="Times New Roman"/>
        </w:rPr>
        <w:t>the</w:t>
      </w:r>
      <w:proofErr w:type="spellEnd"/>
      <w:r w:rsidR="00173A58" w:rsidRPr="00705170">
        <w:rPr>
          <w:rFonts w:ascii="Times New Roman" w:hAnsi="Times New Roman" w:cs="Times New Roman"/>
        </w:rPr>
        <w:t xml:space="preserve"> </w:t>
      </w:r>
      <w:proofErr w:type="spellStart"/>
      <w:r w:rsidR="00173A58" w:rsidRPr="00705170">
        <w:rPr>
          <w:rFonts w:ascii="Times New Roman" w:hAnsi="Times New Roman" w:cs="Times New Roman"/>
        </w:rPr>
        <w:t>corporation</w:t>
      </w:r>
      <w:proofErr w:type="spellEnd"/>
      <w:r w:rsidR="00173A58" w:rsidRPr="00705170">
        <w:rPr>
          <w:rStyle w:val="DipnotBavurusu"/>
          <w:rFonts w:ascii="Times New Roman" w:hAnsi="Times New Roman" w:cs="Times New Roman"/>
        </w:rPr>
        <w:footnoteReference w:id="111"/>
      </w:r>
      <w:r w:rsidR="00173A58" w:rsidRPr="00705170">
        <w:rPr>
          <w:rFonts w:ascii="Times New Roman" w:hAnsi="Times New Roman" w:cs="Times New Roman"/>
        </w:rPr>
        <w:t>.</w:t>
      </w:r>
      <w:r w:rsidRPr="00705170">
        <w:rPr>
          <w:rFonts w:ascii="Times New Roman" w:hAnsi="Times New Roman" w:cs="Times New Roman"/>
        </w:rPr>
        <w:t xml:space="preserve"> </w:t>
      </w:r>
      <w:proofErr w:type="spellStart"/>
      <w:r w:rsidR="00BF1390" w:rsidRPr="00705170">
        <w:rPr>
          <w:rFonts w:ascii="Times New Roman" w:hAnsi="Times New Roman" w:cs="Times New Roman"/>
        </w:rPr>
        <w:t>This</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contractual</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view</w:t>
      </w:r>
      <w:proofErr w:type="spellEnd"/>
      <w:r w:rsidR="00BF1390" w:rsidRPr="00705170">
        <w:rPr>
          <w:rFonts w:ascii="Times New Roman" w:hAnsi="Times New Roman" w:cs="Times New Roman"/>
        </w:rPr>
        <w:t xml:space="preserve"> of </w:t>
      </w:r>
      <w:proofErr w:type="spellStart"/>
      <w:r w:rsidR="00BF1390" w:rsidRPr="00705170">
        <w:rPr>
          <w:rFonts w:ascii="Times New Roman" w:hAnsi="Times New Roman" w:cs="Times New Roman"/>
        </w:rPr>
        <w:t>corporations</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brings</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the</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notion</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that</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the</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corporate</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contract</w:t>
      </w:r>
      <w:proofErr w:type="spellEnd"/>
      <w:r w:rsidR="00BF1390" w:rsidRPr="00705170">
        <w:rPr>
          <w:rFonts w:ascii="Times New Roman" w:hAnsi="Times New Roman" w:cs="Times New Roman"/>
        </w:rPr>
        <w:t xml:space="preserve">”, as an </w:t>
      </w:r>
      <w:proofErr w:type="spellStart"/>
      <w:r w:rsidR="00BF1390" w:rsidRPr="00705170">
        <w:rPr>
          <w:rFonts w:ascii="Times New Roman" w:hAnsi="Times New Roman" w:cs="Times New Roman"/>
        </w:rPr>
        <w:t>umbrella</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contract</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which</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includes</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all</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parties</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all</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bargains</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should</w:t>
      </w:r>
      <w:proofErr w:type="spellEnd"/>
      <w:r w:rsidR="00BF1390" w:rsidRPr="00705170">
        <w:rPr>
          <w:rFonts w:ascii="Times New Roman" w:hAnsi="Times New Roman" w:cs="Times New Roman"/>
        </w:rPr>
        <w:t xml:space="preserve"> be </w:t>
      </w:r>
      <w:proofErr w:type="spellStart"/>
      <w:r w:rsidR="00BF1390" w:rsidRPr="00705170">
        <w:rPr>
          <w:rFonts w:ascii="Times New Roman" w:hAnsi="Times New Roman" w:cs="Times New Roman"/>
        </w:rPr>
        <w:t>characterized</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by</w:t>
      </w:r>
      <w:proofErr w:type="spellEnd"/>
      <w:r w:rsidR="00BF1390" w:rsidRPr="00705170">
        <w:rPr>
          <w:rFonts w:ascii="Times New Roman" w:hAnsi="Times New Roman" w:cs="Times New Roman"/>
        </w:rPr>
        <w:t xml:space="preserve"> a </w:t>
      </w:r>
      <w:proofErr w:type="spellStart"/>
      <w:r w:rsidR="00BF1390" w:rsidRPr="00705170">
        <w:rPr>
          <w:rFonts w:ascii="Times New Roman" w:hAnsi="Times New Roman" w:cs="Times New Roman"/>
        </w:rPr>
        <w:t>process</w:t>
      </w:r>
      <w:proofErr w:type="spellEnd"/>
      <w:r w:rsidR="00BF1390" w:rsidRPr="00705170">
        <w:rPr>
          <w:rFonts w:ascii="Times New Roman" w:hAnsi="Times New Roman" w:cs="Times New Roman"/>
        </w:rPr>
        <w:t xml:space="preserve"> of </w:t>
      </w:r>
      <w:proofErr w:type="spellStart"/>
      <w:r w:rsidR="00BF1390" w:rsidRPr="00705170">
        <w:rPr>
          <w:rFonts w:ascii="Times New Roman" w:hAnsi="Times New Roman" w:cs="Times New Roman"/>
        </w:rPr>
        <w:t>construction</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rather</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than</w:t>
      </w:r>
      <w:proofErr w:type="spellEnd"/>
      <w:r w:rsidR="00BF1390" w:rsidRPr="00705170">
        <w:rPr>
          <w:rFonts w:ascii="Times New Roman" w:hAnsi="Times New Roman" w:cs="Times New Roman"/>
        </w:rPr>
        <w:t xml:space="preserve"> a </w:t>
      </w:r>
      <w:proofErr w:type="spellStart"/>
      <w:r w:rsidR="00BF1390" w:rsidRPr="00705170">
        <w:rPr>
          <w:rFonts w:ascii="Times New Roman" w:hAnsi="Times New Roman" w:cs="Times New Roman"/>
        </w:rPr>
        <w:t>passive</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discovery</w:t>
      </w:r>
      <w:proofErr w:type="spellEnd"/>
      <w:r w:rsidR="00BF1390" w:rsidRPr="00705170">
        <w:rPr>
          <w:rStyle w:val="DipnotBavurusu"/>
          <w:rFonts w:ascii="Times New Roman" w:hAnsi="Times New Roman" w:cs="Times New Roman"/>
        </w:rPr>
        <w:footnoteReference w:id="112"/>
      </w:r>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Therein</w:t>
      </w:r>
      <w:proofErr w:type="spellEnd"/>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c</w:t>
      </w:r>
      <w:r w:rsidRPr="00705170">
        <w:rPr>
          <w:rFonts w:ascii="Times New Roman" w:hAnsi="Times New Roman" w:cs="Times New Roman"/>
        </w:rPr>
        <w:t>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r w:rsidR="006863A2" w:rsidRPr="00705170">
        <w:rPr>
          <w:rFonts w:ascii="Times New Roman" w:hAnsi="Times New Roman" w:cs="Times New Roman"/>
        </w:rPr>
        <w:t>’</w:t>
      </w:r>
      <w:r w:rsidRPr="00705170">
        <w:rPr>
          <w:rFonts w:ascii="Times New Roman" w:hAnsi="Times New Roman" w:cs="Times New Roman"/>
        </w:rPr>
        <w: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primary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function</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conceived</w:t>
      </w:r>
      <w:proofErr w:type="spellEnd"/>
      <w:r w:rsidRPr="00705170">
        <w:rPr>
          <w:rFonts w:ascii="Times New Roman" w:hAnsi="Times New Roman" w:cs="Times New Roman"/>
        </w:rPr>
        <w:t xml:space="preserve"> of as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facilitation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bargains</w:t>
      </w:r>
      <w:proofErr w:type="spellEnd"/>
      <w:r w:rsidRPr="00705170">
        <w:rPr>
          <w:rStyle w:val="DipnotBavurusu"/>
          <w:rFonts w:ascii="Times New Roman" w:hAnsi="Times New Roman" w:cs="Times New Roman"/>
        </w:rPr>
        <w:footnoteReference w:id="113"/>
      </w:r>
      <w:r w:rsidRPr="00705170">
        <w:rPr>
          <w:rFonts w:ascii="Times New Roman" w:hAnsi="Times New Roman" w:cs="Times New Roman"/>
        </w:rPr>
        <w:t>.</w:t>
      </w:r>
      <w:r w:rsidR="00BF1390" w:rsidRPr="00705170">
        <w:rPr>
          <w:rFonts w:ascii="Times New Roman" w:hAnsi="Times New Roman" w:cs="Times New Roman"/>
        </w:rPr>
        <w:t xml:space="preserve"> </w:t>
      </w:r>
      <w:proofErr w:type="spellStart"/>
      <w:r w:rsidR="00BF1390" w:rsidRPr="00705170">
        <w:rPr>
          <w:rFonts w:ascii="Times New Roman" w:hAnsi="Times New Roman" w:cs="Times New Roman"/>
        </w:rPr>
        <w:t>I</w:t>
      </w:r>
      <w:r w:rsidRPr="00705170">
        <w:rPr>
          <w:rFonts w:ascii="Times New Roman" w:hAnsi="Times New Roman" w:cs="Times New Roman"/>
        </w:rPr>
        <w:t>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argued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(1)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acts</w:t>
      </w:r>
      <w:proofErr w:type="spellEnd"/>
      <w:r w:rsidRPr="00705170">
        <w:rPr>
          <w:rFonts w:ascii="Times New Roman" w:hAnsi="Times New Roman" w:cs="Times New Roman"/>
        </w:rPr>
        <w:t xml:space="preserve"> as a set of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lowers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cost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contracting</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114"/>
      </w:r>
      <w:r w:rsidRPr="00705170">
        <w:rPr>
          <w:rFonts w:ascii="Times New Roman" w:hAnsi="Times New Roman" w:cs="Times New Roman"/>
        </w:rPr>
        <w:t xml:space="preserve">, (2) “it is </w:t>
      </w:r>
      <w:proofErr w:type="spellStart"/>
      <w:r w:rsidRPr="00705170">
        <w:rPr>
          <w:rFonts w:ascii="Times New Roman" w:hAnsi="Times New Roman" w:cs="Times New Roman"/>
        </w:rPr>
        <w:t>enabling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directive</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115"/>
      </w:r>
      <w:r w:rsidRPr="00705170">
        <w:rPr>
          <w:rFonts w:ascii="Times New Roman" w:hAnsi="Times New Roman" w:cs="Times New Roman"/>
        </w:rPr>
        <w:t xml:space="preserve">, (3)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treated</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form </w:t>
      </w:r>
      <w:proofErr w:type="spellStart"/>
      <w:r w:rsidRPr="00705170">
        <w:rPr>
          <w:rFonts w:ascii="Times New Roman" w:hAnsi="Times New Roman" w:cs="Times New Roman"/>
        </w:rPr>
        <w:t>contract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supplying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venturers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chosen</w:t>
      </w:r>
      <w:proofErr w:type="spellEnd"/>
      <w:r w:rsidRPr="00705170">
        <w:rPr>
          <w:rFonts w:ascii="Times New Roman" w:hAnsi="Times New Roman" w:cs="Times New Roman"/>
        </w:rPr>
        <w:t xml:space="preserve"> but </w:t>
      </w:r>
      <w:proofErr w:type="spellStart"/>
      <w:r w:rsidRPr="00705170">
        <w:rPr>
          <w:rFonts w:ascii="Times New Roman" w:hAnsi="Times New Roman" w:cs="Times New Roman"/>
        </w:rPr>
        <w:t>yielding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explicit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but a </w:t>
      </w:r>
      <w:proofErr w:type="spellStart"/>
      <w:r w:rsidRPr="00705170">
        <w:rPr>
          <w:rFonts w:ascii="Times New Roman" w:hAnsi="Times New Roman" w:cs="Times New Roman"/>
        </w:rPr>
        <w:t>few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instances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116"/>
      </w:r>
      <w:r w:rsidRPr="00705170">
        <w:rPr>
          <w:rFonts w:ascii="Times New Roman" w:hAnsi="Times New Roman" w:cs="Times New Roman"/>
        </w:rPr>
        <w:t xml:space="preserve">, (4)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w:t>
      </w:r>
      <w:r w:rsidR="00A63979" w:rsidRPr="00705170">
        <w:rPr>
          <w:rFonts w:ascii="Times New Roman" w:hAnsi="Times New Roman" w:cs="Times New Roman"/>
        </w:rPr>
        <w: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supplied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00F23EE3">
        <w:rPr>
          <w:rFonts w:ascii="Times New Roman" w:hAnsi="Times New Roman" w:cs="Times New Roman"/>
        </w:rPr>
        <w:t>are</w:t>
      </w:r>
      <w:proofErr w:type="spellEnd"/>
      <w:r w:rsidRPr="00705170">
        <w:rPr>
          <w:rFonts w:ascii="Times New Roman" w:hAnsi="Times New Roman" w:cs="Times New Roman"/>
        </w:rPr>
        <w:t xml:space="preserve"> </w:t>
      </w:r>
      <w:proofErr w:type="spellStart"/>
      <w:r w:rsidR="00A63979" w:rsidRPr="00705170">
        <w:rPr>
          <w:rFonts w:ascii="Times New Roman" w:hAnsi="Times New Roman" w:cs="Times New Roman"/>
        </w:rPr>
        <w:t>ones</w:t>
      </w:r>
      <w:proofErr w:type="spellEnd"/>
      <w:r w:rsidR="00A63979"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uniformly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maximize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value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endeavor</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whole</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117"/>
      </w:r>
      <w:r w:rsidRPr="00705170">
        <w:rPr>
          <w:rFonts w:ascii="Times New Roman" w:hAnsi="Times New Roman" w:cs="Times New Roman"/>
        </w:rPr>
        <w:t xml:space="preserve">. </w:t>
      </w:r>
      <w:proofErr w:type="spellStart"/>
      <w:r w:rsidR="00753F9E" w:rsidRPr="00705170">
        <w:rPr>
          <w:rFonts w:ascii="Times New Roman" w:hAnsi="Times New Roman" w:cs="Times New Roman"/>
        </w:rPr>
        <w:t>It</w:t>
      </w:r>
      <w:proofErr w:type="spellEnd"/>
      <w:r w:rsidR="00753F9E" w:rsidRPr="00705170">
        <w:rPr>
          <w:rFonts w:ascii="Times New Roman" w:hAnsi="Times New Roman" w:cs="Times New Roman"/>
        </w:rPr>
        <w:t xml:space="preserve"> is </w:t>
      </w:r>
      <w:proofErr w:type="spellStart"/>
      <w:r w:rsidR="00753F9E" w:rsidRPr="00705170">
        <w:rPr>
          <w:rFonts w:ascii="Times New Roman" w:hAnsi="Times New Roman" w:cs="Times New Roman"/>
        </w:rPr>
        <w:t>said</w:t>
      </w:r>
      <w:proofErr w:type="spellEnd"/>
      <w:r w:rsidR="00753F9E" w:rsidRPr="00705170">
        <w:rPr>
          <w:rFonts w:ascii="Times New Roman" w:hAnsi="Times New Roman" w:cs="Times New Roman"/>
        </w:rPr>
        <w:t xml:space="preserve"> </w:t>
      </w:r>
      <w:proofErr w:type="spellStart"/>
      <w:r w:rsidR="00753F9E" w:rsidRPr="00705170">
        <w:rPr>
          <w:rFonts w:ascii="Times New Roman" w:hAnsi="Times New Roman" w:cs="Times New Roman"/>
        </w:rPr>
        <w:t>that</w:t>
      </w:r>
      <w:proofErr w:type="spellEnd"/>
      <w:r w:rsidR="00753F9E" w:rsidRPr="00705170">
        <w:rPr>
          <w:rFonts w:ascii="Times New Roman" w:hAnsi="Times New Roman" w:cs="Times New Roman"/>
        </w:rPr>
        <w:t xml:space="preserve"> </w:t>
      </w:r>
      <w:proofErr w:type="spellStart"/>
      <w:r w:rsidR="000534C2" w:rsidRPr="00705170">
        <w:rPr>
          <w:rFonts w:ascii="Times New Roman" w:hAnsi="Times New Roman" w:cs="Times New Roman"/>
        </w:rPr>
        <w:t>corporate</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law</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will</w:t>
      </w:r>
      <w:proofErr w:type="spellEnd"/>
      <w:r w:rsidR="000534C2" w:rsidRPr="00705170">
        <w:rPr>
          <w:rFonts w:ascii="Times New Roman" w:hAnsi="Times New Roman" w:cs="Times New Roman"/>
        </w:rPr>
        <w:t xml:space="preserve"> </w:t>
      </w:r>
      <w:proofErr w:type="spellStart"/>
      <w:r w:rsidR="00753F9E" w:rsidRPr="00705170">
        <w:rPr>
          <w:rFonts w:ascii="Times New Roman" w:hAnsi="Times New Roman" w:cs="Times New Roman"/>
        </w:rPr>
        <w:t>fulfill</w:t>
      </w:r>
      <w:proofErr w:type="spellEnd"/>
      <w:r w:rsidR="00753F9E" w:rsidRPr="00705170">
        <w:rPr>
          <w:rFonts w:ascii="Times New Roman" w:hAnsi="Times New Roman" w:cs="Times New Roman"/>
        </w:rPr>
        <w:t xml:space="preserve"> </w:t>
      </w:r>
      <w:proofErr w:type="spellStart"/>
      <w:r w:rsidR="00753F9E" w:rsidRPr="00705170">
        <w:rPr>
          <w:rFonts w:ascii="Times New Roman" w:hAnsi="Times New Roman" w:cs="Times New Roman"/>
        </w:rPr>
        <w:t>its</w:t>
      </w:r>
      <w:proofErr w:type="spellEnd"/>
      <w:r w:rsidR="00753F9E" w:rsidRPr="00705170">
        <w:rPr>
          <w:rFonts w:ascii="Times New Roman" w:hAnsi="Times New Roman" w:cs="Times New Roman"/>
        </w:rPr>
        <w:t xml:space="preserve"> </w:t>
      </w:r>
      <w:proofErr w:type="spellStart"/>
      <w:r w:rsidR="00753F9E" w:rsidRPr="00705170">
        <w:rPr>
          <w:rFonts w:ascii="Times New Roman" w:hAnsi="Times New Roman" w:cs="Times New Roman"/>
        </w:rPr>
        <w:t>function</w:t>
      </w:r>
      <w:proofErr w:type="spellEnd"/>
      <w:r w:rsidR="00753F9E" w:rsidRPr="00705170">
        <w:rPr>
          <w:rFonts w:ascii="Times New Roman" w:hAnsi="Times New Roman" w:cs="Times New Roman"/>
        </w:rPr>
        <w:t xml:space="preserve"> </w:t>
      </w:r>
      <w:proofErr w:type="spellStart"/>
      <w:r w:rsidR="00753F9E" w:rsidRPr="00705170">
        <w:rPr>
          <w:rFonts w:ascii="Times New Roman" w:hAnsi="Times New Roman" w:cs="Times New Roman"/>
        </w:rPr>
        <w:t>if</w:t>
      </w:r>
      <w:proofErr w:type="spellEnd"/>
      <w:r w:rsidR="00753F9E" w:rsidRPr="00705170">
        <w:rPr>
          <w:rFonts w:ascii="Times New Roman" w:hAnsi="Times New Roman" w:cs="Times New Roman"/>
        </w:rPr>
        <w:t xml:space="preserve"> </w:t>
      </w:r>
      <w:proofErr w:type="spellStart"/>
      <w:r w:rsidR="00753F9E" w:rsidRPr="00705170">
        <w:rPr>
          <w:rFonts w:ascii="Times New Roman" w:hAnsi="Times New Roman" w:cs="Times New Roman"/>
        </w:rPr>
        <w:t>the</w:t>
      </w:r>
      <w:proofErr w:type="spellEnd"/>
      <w:r w:rsidR="00753F9E" w:rsidRPr="00705170">
        <w:rPr>
          <w:rFonts w:ascii="Times New Roman" w:hAnsi="Times New Roman" w:cs="Times New Roman"/>
        </w:rPr>
        <w:t xml:space="preserve"> </w:t>
      </w:r>
      <w:proofErr w:type="spellStart"/>
      <w:r w:rsidR="00753F9E" w:rsidRPr="00705170">
        <w:rPr>
          <w:rFonts w:ascii="Times New Roman" w:hAnsi="Times New Roman" w:cs="Times New Roman"/>
        </w:rPr>
        <w:t>contract</w:t>
      </w:r>
      <w:proofErr w:type="spellEnd"/>
      <w:r w:rsidR="00753F9E" w:rsidRPr="00705170">
        <w:rPr>
          <w:rFonts w:ascii="Times New Roman" w:hAnsi="Times New Roman" w:cs="Times New Roman"/>
        </w:rPr>
        <w:t xml:space="preserve"> </w:t>
      </w:r>
      <w:proofErr w:type="spellStart"/>
      <w:r w:rsidR="00753F9E" w:rsidRPr="00705170">
        <w:rPr>
          <w:rFonts w:ascii="Times New Roman" w:hAnsi="Times New Roman" w:cs="Times New Roman"/>
        </w:rPr>
        <w:t>created</w:t>
      </w:r>
      <w:proofErr w:type="spellEnd"/>
      <w:r w:rsidR="00753F9E" w:rsidRPr="00705170">
        <w:rPr>
          <w:rFonts w:ascii="Times New Roman" w:hAnsi="Times New Roman" w:cs="Times New Roman"/>
        </w:rPr>
        <w:t xml:space="preserve"> </w:t>
      </w:r>
      <w:proofErr w:type="spellStart"/>
      <w:r w:rsidR="00753F9E" w:rsidRPr="00705170">
        <w:rPr>
          <w:rFonts w:ascii="Times New Roman" w:hAnsi="Times New Roman" w:cs="Times New Roman"/>
        </w:rPr>
        <w:t>by</w:t>
      </w:r>
      <w:proofErr w:type="spellEnd"/>
      <w:r w:rsidR="00753F9E" w:rsidRPr="00705170">
        <w:rPr>
          <w:rFonts w:ascii="Times New Roman" w:hAnsi="Times New Roman" w:cs="Times New Roman"/>
        </w:rPr>
        <w:t xml:space="preserve"> </w:t>
      </w:r>
      <w:proofErr w:type="spellStart"/>
      <w:r w:rsidR="00753F9E" w:rsidRPr="00705170">
        <w:rPr>
          <w:rFonts w:ascii="Times New Roman" w:hAnsi="Times New Roman" w:cs="Times New Roman"/>
        </w:rPr>
        <w:t>the</w:t>
      </w:r>
      <w:proofErr w:type="spellEnd"/>
      <w:r w:rsidR="00753F9E" w:rsidRPr="00705170">
        <w:rPr>
          <w:rFonts w:ascii="Times New Roman" w:hAnsi="Times New Roman" w:cs="Times New Roman"/>
        </w:rPr>
        <w:t xml:space="preserve"> </w:t>
      </w:r>
      <w:proofErr w:type="spellStart"/>
      <w:r w:rsidR="00753F9E" w:rsidRPr="00705170">
        <w:rPr>
          <w:rFonts w:ascii="Times New Roman" w:hAnsi="Times New Roman" w:cs="Times New Roman"/>
        </w:rPr>
        <w:t>statutory</w:t>
      </w:r>
      <w:proofErr w:type="spellEnd"/>
      <w:r w:rsidR="00753F9E" w:rsidRPr="00705170">
        <w:rPr>
          <w:rFonts w:ascii="Times New Roman" w:hAnsi="Times New Roman" w:cs="Times New Roman"/>
        </w:rPr>
        <w:t xml:space="preserve"> </w:t>
      </w:r>
      <w:proofErr w:type="spellStart"/>
      <w:r w:rsidR="00753F9E" w:rsidRPr="00705170">
        <w:rPr>
          <w:rFonts w:ascii="Times New Roman" w:hAnsi="Times New Roman" w:cs="Times New Roman"/>
        </w:rPr>
        <w:t>terms</w:t>
      </w:r>
      <w:proofErr w:type="spellEnd"/>
      <w:r w:rsidR="00753F9E" w:rsidRPr="00705170">
        <w:rPr>
          <w:rFonts w:ascii="Times New Roman" w:hAnsi="Times New Roman" w:cs="Times New Roman"/>
        </w:rPr>
        <w:t xml:space="preserve"> </w:t>
      </w:r>
      <w:r w:rsidR="000534C2" w:rsidRPr="00705170">
        <w:rPr>
          <w:rFonts w:ascii="Times New Roman" w:hAnsi="Times New Roman" w:cs="Times New Roman"/>
        </w:rPr>
        <w:t xml:space="preserve">it </w:t>
      </w:r>
      <w:proofErr w:type="spellStart"/>
      <w:r w:rsidR="000534C2" w:rsidRPr="00705170">
        <w:rPr>
          <w:rFonts w:ascii="Times New Roman" w:hAnsi="Times New Roman" w:cs="Times New Roman"/>
        </w:rPr>
        <w:t>provides</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match</w:t>
      </w:r>
      <w:r w:rsidR="00F23EE3">
        <w:rPr>
          <w:rFonts w:ascii="Times New Roman" w:hAnsi="Times New Roman" w:cs="Times New Roman"/>
        </w:rPr>
        <w:t>es</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the</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results</w:t>
      </w:r>
      <w:proofErr w:type="spellEnd"/>
      <w:r w:rsidR="000534C2" w:rsidRPr="00705170">
        <w:rPr>
          <w:rFonts w:ascii="Times New Roman" w:hAnsi="Times New Roman" w:cs="Times New Roman"/>
        </w:rPr>
        <w:t xml:space="preserve"> of </w:t>
      </w:r>
      <w:proofErr w:type="spellStart"/>
      <w:r w:rsidR="000534C2" w:rsidRPr="00705170">
        <w:rPr>
          <w:rFonts w:ascii="Times New Roman" w:hAnsi="Times New Roman" w:cs="Times New Roman"/>
        </w:rPr>
        <w:t>costless</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bargaining</w:t>
      </w:r>
      <w:proofErr w:type="spellEnd"/>
      <w:r w:rsidR="000534C2" w:rsidRPr="00705170">
        <w:rPr>
          <w:rStyle w:val="DipnotBavurusu"/>
          <w:rFonts w:ascii="Times New Roman" w:hAnsi="Times New Roman" w:cs="Times New Roman"/>
        </w:rPr>
        <w:footnoteReference w:id="118"/>
      </w:r>
      <w:r w:rsidR="000534C2"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accordance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U.S., </w:t>
      </w:r>
      <w:proofErr w:type="spellStart"/>
      <w:r w:rsidRPr="00705170">
        <w:rPr>
          <w:rFonts w:ascii="Times New Roman" w:hAnsi="Times New Roman" w:cs="Times New Roman"/>
        </w:rPr>
        <w:t>where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originated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consists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principally</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enabling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operate</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defaults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00F23EE3">
        <w:rPr>
          <w:rFonts w:ascii="Times New Roman" w:hAnsi="Times New Roman" w:cs="Times New Roman"/>
        </w:rPr>
        <w:t>may</w:t>
      </w:r>
      <w:proofErr w:type="spellEnd"/>
      <w:r w:rsidR="00F23EE3">
        <w:rPr>
          <w:rFonts w:ascii="Times New Roman" w:hAnsi="Times New Roman" w:cs="Times New Roman"/>
        </w:rPr>
        <w:t xml:space="preserve"> </w:t>
      </w:r>
      <w:proofErr w:type="spellStart"/>
      <w:r w:rsidRPr="00705170">
        <w:rPr>
          <w:rFonts w:ascii="Times New Roman" w:hAnsi="Times New Roman" w:cs="Times New Roman"/>
        </w:rPr>
        <w:t>opt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w:t>
      </w:r>
      <w:proofErr w:type="spellEnd"/>
      <w:r w:rsidRPr="00705170">
        <w:rPr>
          <w:rStyle w:val="DipnotBavurusu"/>
          <w:rFonts w:ascii="Times New Roman" w:hAnsi="Times New Roman" w:cs="Times New Roman"/>
        </w:rPr>
        <w:footnoteReference w:id="119"/>
      </w:r>
      <w:r w:rsidRPr="00705170">
        <w:rPr>
          <w:rFonts w:ascii="Times New Roman" w:hAnsi="Times New Roman" w:cs="Times New Roman"/>
        </w:rPr>
        <w:t>.</w:t>
      </w:r>
      <w:r w:rsidR="000534C2" w:rsidRPr="00705170">
        <w:rPr>
          <w:rFonts w:ascii="Times New Roman" w:hAnsi="Times New Roman" w:cs="Times New Roman"/>
        </w:rPr>
        <w:t xml:space="preserve"> </w:t>
      </w:r>
    </w:p>
    <w:p w14:paraId="7D12F6F0" w14:textId="0DA102F8" w:rsidR="00D670A8" w:rsidRPr="00705170" w:rsidRDefault="0012251E" w:rsidP="003526E5">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market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principal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component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Style w:val="DipnotBavurusu"/>
          <w:rFonts w:ascii="Times New Roman" w:hAnsi="Times New Roman" w:cs="Times New Roman"/>
        </w:rPr>
        <w:footnoteReference w:id="120"/>
      </w:r>
      <w:r w:rsidR="008A7DF1" w:rsidRPr="00705170">
        <w:rPr>
          <w:rFonts w:ascii="Times New Roman" w:hAnsi="Times New Roman" w:cs="Times New Roman"/>
        </w:rPr>
        <w:t xml:space="preserve"> </w:t>
      </w:r>
      <w:proofErr w:type="spellStart"/>
      <w:r w:rsidR="008A7DF1" w:rsidRPr="00705170">
        <w:rPr>
          <w:rFonts w:ascii="Times New Roman" w:hAnsi="Times New Roman" w:cs="Times New Roman"/>
        </w:rPr>
        <w:t>and</w:t>
      </w:r>
      <w:proofErr w:type="spellEnd"/>
      <w:r w:rsidR="008A7DF1" w:rsidRPr="00705170">
        <w:rPr>
          <w:rFonts w:ascii="Times New Roman" w:hAnsi="Times New Roman" w:cs="Times New Roman"/>
        </w:rPr>
        <w:t xml:space="preserve"> it </w:t>
      </w:r>
      <w:proofErr w:type="spellStart"/>
      <w:r w:rsidR="008A7DF1" w:rsidRPr="00705170">
        <w:rPr>
          <w:rFonts w:ascii="Times New Roman" w:hAnsi="Times New Roman" w:cs="Times New Roman"/>
        </w:rPr>
        <w:t>regulates</w:t>
      </w:r>
      <w:proofErr w:type="spellEnd"/>
      <w:r w:rsidR="008A7DF1" w:rsidRPr="00705170">
        <w:rPr>
          <w:rFonts w:ascii="Times New Roman" w:hAnsi="Times New Roman" w:cs="Times New Roman"/>
        </w:rPr>
        <w:t xml:space="preserve"> </w:t>
      </w:r>
      <w:proofErr w:type="spellStart"/>
      <w:r w:rsidR="008A7DF1" w:rsidRPr="00705170">
        <w:rPr>
          <w:rFonts w:ascii="Times New Roman" w:hAnsi="Times New Roman" w:cs="Times New Roman"/>
        </w:rPr>
        <w:t>publicly</w:t>
      </w:r>
      <w:proofErr w:type="spellEnd"/>
      <w:r w:rsidR="008A7DF1" w:rsidRPr="00705170">
        <w:rPr>
          <w:rFonts w:ascii="Times New Roman" w:hAnsi="Times New Roman" w:cs="Times New Roman"/>
        </w:rPr>
        <w:t xml:space="preserve"> </w:t>
      </w:r>
      <w:proofErr w:type="spellStart"/>
      <w:r w:rsidR="008A7DF1" w:rsidRPr="00705170">
        <w:rPr>
          <w:rFonts w:ascii="Times New Roman" w:hAnsi="Times New Roman" w:cs="Times New Roman"/>
        </w:rPr>
        <w:t>traded</w:t>
      </w:r>
      <w:proofErr w:type="spellEnd"/>
      <w:r w:rsidR="008A7DF1" w:rsidRPr="00705170">
        <w:rPr>
          <w:rFonts w:ascii="Times New Roman" w:hAnsi="Times New Roman" w:cs="Times New Roman"/>
        </w:rPr>
        <w:t xml:space="preserve"> </w:t>
      </w:r>
      <w:proofErr w:type="spellStart"/>
      <w:r w:rsidR="008A7DF1" w:rsidRPr="00705170">
        <w:rPr>
          <w:rFonts w:ascii="Times New Roman" w:hAnsi="Times New Roman" w:cs="Times New Roman"/>
        </w:rPr>
        <w:t>corporations</w:t>
      </w:r>
      <w:proofErr w:type="spellEnd"/>
      <w:r w:rsidR="008A7DF1" w:rsidRPr="00705170">
        <w:rPr>
          <w:rFonts w:ascii="Times New Roman" w:hAnsi="Times New Roman" w:cs="Times New Roman"/>
        </w:rPr>
        <w:t xml:space="preserve"> </w:t>
      </w:r>
      <w:proofErr w:type="spellStart"/>
      <w:r w:rsidR="008A7DF1" w:rsidRPr="00705170">
        <w:rPr>
          <w:rFonts w:ascii="Times New Roman" w:hAnsi="Times New Roman" w:cs="Times New Roman"/>
        </w:rPr>
        <w:t>to</w:t>
      </w:r>
      <w:proofErr w:type="spellEnd"/>
      <w:r w:rsidR="008A7DF1" w:rsidRPr="00705170">
        <w:rPr>
          <w:rFonts w:ascii="Times New Roman" w:hAnsi="Times New Roman" w:cs="Times New Roman"/>
        </w:rPr>
        <w:t xml:space="preserve"> a </w:t>
      </w:r>
      <w:proofErr w:type="spellStart"/>
      <w:r w:rsidR="008A7DF1" w:rsidRPr="00705170">
        <w:rPr>
          <w:rFonts w:ascii="Times New Roman" w:hAnsi="Times New Roman" w:cs="Times New Roman"/>
        </w:rPr>
        <w:t>wide</w:t>
      </w:r>
      <w:proofErr w:type="spellEnd"/>
      <w:r w:rsidR="008A7DF1" w:rsidRPr="00705170">
        <w:rPr>
          <w:rFonts w:ascii="Times New Roman" w:hAnsi="Times New Roman" w:cs="Times New Roman"/>
        </w:rPr>
        <w:t xml:space="preserve"> </w:t>
      </w:r>
      <w:proofErr w:type="spellStart"/>
      <w:r w:rsidR="008A7DF1" w:rsidRPr="00705170">
        <w:rPr>
          <w:rFonts w:ascii="Times New Roman" w:hAnsi="Times New Roman" w:cs="Times New Roman"/>
        </w:rPr>
        <w:t>extent</w:t>
      </w:r>
      <w:proofErr w:type="spellEnd"/>
      <w:r w:rsidR="008A7DF1" w:rsidRPr="00705170">
        <w:rPr>
          <w:rFonts w:ascii="Times New Roman" w:hAnsi="Times New Roman" w:cs="Times New Roman"/>
        </w:rPr>
        <w:t>.</w:t>
      </w:r>
      <w:r w:rsidRPr="00705170">
        <w:rPr>
          <w:rFonts w:ascii="Times New Roman" w:hAnsi="Times New Roman" w:cs="Times New Roman"/>
        </w:rPr>
        <w:t xml:space="preserve"> </w:t>
      </w:r>
      <w:proofErr w:type="spellStart"/>
      <w:r w:rsidR="008B20A2">
        <w:rPr>
          <w:rFonts w:ascii="Times New Roman" w:hAnsi="Times New Roman" w:cs="Times New Roman"/>
        </w:rPr>
        <w:t>Capital</w:t>
      </w:r>
      <w:proofErr w:type="spellEnd"/>
      <w:r w:rsidR="008B20A2">
        <w:rPr>
          <w:rFonts w:ascii="Times New Roman" w:hAnsi="Times New Roman" w:cs="Times New Roman"/>
        </w:rPr>
        <w:t xml:space="preserve"> market</w:t>
      </w:r>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law</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does</w:t>
      </w:r>
      <w:proofErr w:type="spellEnd"/>
      <w:r w:rsidR="002610CF" w:rsidRPr="00705170">
        <w:rPr>
          <w:rFonts w:ascii="Times New Roman" w:hAnsi="Times New Roman" w:cs="Times New Roman"/>
        </w:rPr>
        <w:t xml:space="preserve"> not </w:t>
      </w:r>
      <w:proofErr w:type="spellStart"/>
      <w:r w:rsidR="002610CF" w:rsidRPr="00705170">
        <w:rPr>
          <w:rFonts w:ascii="Times New Roman" w:hAnsi="Times New Roman" w:cs="Times New Roman"/>
        </w:rPr>
        <w:t>seek</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to</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protect</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investors</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against</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the</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possibility</w:t>
      </w:r>
      <w:proofErr w:type="spellEnd"/>
      <w:r w:rsidR="002610CF" w:rsidRPr="00705170">
        <w:rPr>
          <w:rFonts w:ascii="Times New Roman" w:hAnsi="Times New Roman" w:cs="Times New Roman"/>
        </w:rPr>
        <w:t xml:space="preserve"> of </w:t>
      </w:r>
      <w:proofErr w:type="spellStart"/>
      <w:r w:rsidR="002610CF" w:rsidRPr="00705170">
        <w:rPr>
          <w:rFonts w:ascii="Times New Roman" w:hAnsi="Times New Roman" w:cs="Times New Roman"/>
        </w:rPr>
        <w:t>loss</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or</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against</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their</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own</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folly</w:t>
      </w:r>
      <w:proofErr w:type="spellEnd"/>
      <w:r w:rsidR="002610CF" w:rsidRPr="00705170">
        <w:rPr>
          <w:rFonts w:ascii="Times New Roman" w:hAnsi="Times New Roman" w:cs="Times New Roman"/>
        </w:rPr>
        <w:t xml:space="preserve"> but </w:t>
      </w:r>
      <w:proofErr w:type="spellStart"/>
      <w:r w:rsidR="002610CF" w:rsidRPr="00705170">
        <w:rPr>
          <w:rFonts w:ascii="Times New Roman" w:hAnsi="Times New Roman" w:cs="Times New Roman"/>
        </w:rPr>
        <w:t>places</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the</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respons</w:t>
      </w:r>
      <w:r w:rsidR="00E54865" w:rsidRPr="00705170">
        <w:rPr>
          <w:rFonts w:ascii="Times New Roman" w:hAnsi="Times New Roman" w:cs="Times New Roman"/>
        </w:rPr>
        <w:t>ibility</w:t>
      </w:r>
      <w:proofErr w:type="spellEnd"/>
      <w:r w:rsidR="00E54865" w:rsidRPr="00705170">
        <w:rPr>
          <w:rFonts w:ascii="Times New Roman" w:hAnsi="Times New Roman" w:cs="Times New Roman"/>
        </w:rPr>
        <w:t xml:space="preserve"> of </w:t>
      </w:r>
      <w:proofErr w:type="spellStart"/>
      <w:r w:rsidR="00E54865" w:rsidRPr="00705170">
        <w:rPr>
          <w:rFonts w:ascii="Times New Roman" w:hAnsi="Times New Roman" w:cs="Times New Roman"/>
        </w:rPr>
        <w:t>the</w:t>
      </w:r>
      <w:proofErr w:type="spellEnd"/>
      <w:r w:rsidR="00E54865" w:rsidRPr="00705170">
        <w:rPr>
          <w:rFonts w:ascii="Times New Roman" w:hAnsi="Times New Roman" w:cs="Times New Roman"/>
        </w:rPr>
        <w:t xml:space="preserve"> </w:t>
      </w:r>
      <w:proofErr w:type="spellStart"/>
      <w:r w:rsidR="00E54865" w:rsidRPr="00705170">
        <w:rPr>
          <w:rFonts w:ascii="Times New Roman" w:hAnsi="Times New Roman" w:cs="Times New Roman"/>
        </w:rPr>
        <w:t>investment</w:t>
      </w:r>
      <w:proofErr w:type="spellEnd"/>
      <w:r w:rsidR="00E54865" w:rsidRPr="00705170">
        <w:rPr>
          <w:rFonts w:ascii="Times New Roman" w:hAnsi="Times New Roman" w:cs="Times New Roman"/>
        </w:rPr>
        <w:t xml:space="preserve"> on</w:t>
      </w:r>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in</w:t>
      </w:r>
      <w:r w:rsidR="00E54865" w:rsidRPr="00705170">
        <w:rPr>
          <w:rFonts w:ascii="Times New Roman" w:hAnsi="Times New Roman" w:cs="Times New Roman"/>
        </w:rPr>
        <w:t>v</w:t>
      </w:r>
      <w:r w:rsidR="002610CF" w:rsidRPr="00705170">
        <w:rPr>
          <w:rFonts w:ascii="Times New Roman" w:hAnsi="Times New Roman" w:cs="Times New Roman"/>
        </w:rPr>
        <w:t>estors</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shoulders</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after</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setting</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up</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the</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right</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environment</w:t>
      </w:r>
      <w:proofErr w:type="spellEnd"/>
      <w:r w:rsidR="002610CF" w:rsidRPr="00705170">
        <w:rPr>
          <w:rStyle w:val="DipnotBavurusu"/>
          <w:rFonts w:ascii="Times New Roman" w:hAnsi="Times New Roman" w:cs="Times New Roman"/>
        </w:rPr>
        <w:footnoteReference w:id="121"/>
      </w:r>
      <w:r w:rsidR="002610CF" w:rsidRPr="00705170">
        <w:rPr>
          <w:rFonts w:ascii="Times New Roman" w:hAnsi="Times New Roman" w:cs="Times New Roman"/>
        </w:rPr>
        <w:t xml:space="preserve">. </w:t>
      </w:r>
      <w:proofErr w:type="spellStart"/>
      <w:r w:rsidRPr="00705170">
        <w:rPr>
          <w:rFonts w:ascii="Times New Roman" w:hAnsi="Times New Roman" w:cs="Times New Roman"/>
        </w:rPr>
        <w:t>Contractual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compatible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area</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regulating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00E54865" w:rsidRPr="00705170">
        <w:rPr>
          <w:rFonts w:ascii="Times New Roman" w:hAnsi="Times New Roman" w:cs="Times New Roman"/>
        </w:rPr>
        <w:t>constituting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2610CF" w:rsidRPr="00705170">
        <w:rPr>
          <w:rFonts w:ascii="Times New Roman" w:hAnsi="Times New Roman" w:cs="Times New Roman"/>
        </w:rPr>
        <w:t>remaining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contractual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relationship</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regarding</w:t>
      </w:r>
      <w:proofErr w:type="spellEnd"/>
      <w:r w:rsidR="002610CF" w:rsidRPr="00705170">
        <w:rPr>
          <w:rFonts w:ascii="Times New Roman" w:hAnsi="Times New Roman" w:cs="Times New Roman"/>
        </w:rPr>
        <w:t xml:space="preserve"> </w:t>
      </w:r>
      <w:proofErr w:type="spellStart"/>
      <w:r w:rsidR="002610CF" w:rsidRPr="00705170">
        <w:rPr>
          <w:rFonts w:ascii="Times New Roman" w:hAnsi="Times New Roman" w:cs="Times New Roman"/>
        </w:rPr>
        <w:t>corporations</w:t>
      </w:r>
      <w:proofErr w:type="spellEnd"/>
      <w:r w:rsidRPr="00705170">
        <w:rPr>
          <w:rStyle w:val="DipnotBavurusu"/>
          <w:rFonts w:ascii="Times New Roman" w:hAnsi="Times New Roman" w:cs="Times New Roman"/>
        </w:rPr>
        <w:footnoteReference w:id="122"/>
      </w:r>
      <w:r w:rsidRPr="00705170">
        <w:rPr>
          <w:rFonts w:ascii="Times New Roman" w:hAnsi="Times New Roman" w:cs="Times New Roman"/>
        </w:rPr>
        <w:t xml:space="preserve">. </w:t>
      </w:r>
      <w:proofErr w:type="spellStart"/>
      <w:r w:rsidR="00B06224" w:rsidRPr="00705170">
        <w:rPr>
          <w:rFonts w:ascii="Times New Roman" w:hAnsi="Times New Roman" w:cs="Times New Roman"/>
        </w:rPr>
        <w:t>After</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all</w:t>
      </w:r>
      <w:proofErr w:type="spellEnd"/>
      <w:r w:rsidR="00B06224" w:rsidRPr="00705170">
        <w:rPr>
          <w:rFonts w:ascii="Times New Roman" w:hAnsi="Times New Roman" w:cs="Times New Roman"/>
        </w:rPr>
        <w:t xml:space="preserve">, “an </w:t>
      </w:r>
      <w:proofErr w:type="spellStart"/>
      <w:r w:rsidR="00B06224" w:rsidRPr="00705170">
        <w:rPr>
          <w:rFonts w:ascii="Times New Roman" w:hAnsi="Times New Roman" w:cs="Times New Roman"/>
        </w:rPr>
        <w:t>offer</w:t>
      </w:r>
      <w:proofErr w:type="spellEnd"/>
      <w:r w:rsidR="00B06224" w:rsidRPr="00705170">
        <w:rPr>
          <w:rFonts w:ascii="Times New Roman" w:hAnsi="Times New Roman" w:cs="Times New Roman"/>
        </w:rPr>
        <w:t xml:space="preserve"> of </w:t>
      </w:r>
      <w:proofErr w:type="spellStart"/>
      <w:r w:rsidR="00B06224" w:rsidRPr="00705170">
        <w:rPr>
          <w:rFonts w:ascii="Times New Roman" w:hAnsi="Times New Roman" w:cs="Times New Roman"/>
        </w:rPr>
        <w:t>securities</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to</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the</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public</w:t>
      </w:r>
      <w:proofErr w:type="spellEnd"/>
      <w:r w:rsidR="00B06224" w:rsidRPr="00705170">
        <w:rPr>
          <w:rFonts w:ascii="Times New Roman" w:hAnsi="Times New Roman" w:cs="Times New Roman"/>
        </w:rPr>
        <w:t xml:space="preserve"> is an </w:t>
      </w:r>
      <w:proofErr w:type="spellStart"/>
      <w:r w:rsidR="00B06224" w:rsidRPr="00705170">
        <w:rPr>
          <w:rFonts w:ascii="Times New Roman" w:hAnsi="Times New Roman" w:cs="Times New Roman"/>
        </w:rPr>
        <w:t>offer</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to</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enter</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into</w:t>
      </w:r>
      <w:proofErr w:type="spellEnd"/>
      <w:r w:rsidR="00B06224" w:rsidRPr="00705170">
        <w:rPr>
          <w:rFonts w:ascii="Times New Roman" w:hAnsi="Times New Roman" w:cs="Times New Roman"/>
        </w:rPr>
        <w:t xml:space="preserve"> a </w:t>
      </w:r>
      <w:proofErr w:type="spellStart"/>
      <w:r w:rsidR="00B06224" w:rsidRPr="00705170">
        <w:rPr>
          <w:rFonts w:ascii="Times New Roman" w:hAnsi="Times New Roman" w:cs="Times New Roman"/>
        </w:rPr>
        <w:t>contract</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whereby</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members</w:t>
      </w:r>
      <w:proofErr w:type="spellEnd"/>
      <w:r w:rsidR="00B06224" w:rsidRPr="00705170">
        <w:rPr>
          <w:rFonts w:ascii="Times New Roman" w:hAnsi="Times New Roman" w:cs="Times New Roman"/>
        </w:rPr>
        <w:t xml:space="preserve"> of </w:t>
      </w:r>
      <w:proofErr w:type="spellStart"/>
      <w:r w:rsidR="00B06224" w:rsidRPr="00705170">
        <w:rPr>
          <w:rFonts w:ascii="Times New Roman" w:hAnsi="Times New Roman" w:cs="Times New Roman"/>
        </w:rPr>
        <w:t>the</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public</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will</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acquire</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securities</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from</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their</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issuer</w:t>
      </w:r>
      <w:proofErr w:type="spellEnd"/>
      <w:r w:rsidR="00B06224" w:rsidRPr="00705170">
        <w:rPr>
          <w:rFonts w:ascii="Times New Roman" w:hAnsi="Times New Roman" w:cs="Times New Roman"/>
        </w:rPr>
        <w:t>…</w:t>
      </w:r>
      <w:proofErr w:type="spellStart"/>
      <w:r w:rsidR="00B06224" w:rsidRPr="00705170">
        <w:rPr>
          <w:rFonts w:ascii="Times New Roman" w:hAnsi="Times New Roman" w:cs="Times New Roman"/>
        </w:rPr>
        <w:t>The</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terms</w:t>
      </w:r>
      <w:proofErr w:type="spellEnd"/>
      <w:r w:rsidR="00B06224" w:rsidRPr="00705170">
        <w:rPr>
          <w:rFonts w:ascii="Times New Roman" w:hAnsi="Times New Roman" w:cs="Times New Roman"/>
        </w:rPr>
        <w:t xml:space="preserve"> of </w:t>
      </w:r>
      <w:proofErr w:type="spellStart"/>
      <w:r w:rsidR="00B06224" w:rsidRPr="00705170">
        <w:rPr>
          <w:rFonts w:ascii="Times New Roman" w:hAnsi="Times New Roman" w:cs="Times New Roman"/>
        </w:rPr>
        <w:t>that</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contract</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are</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based</w:t>
      </w:r>
      <w:proofErr w:type="spellEnd"/>
      <w:r w:rsidR="00B06224" w:rsidRPr="00705170">
        <w:rPr>
          <w:rFonts w:ascii="Times New Roman" w:hAnsi="Times New Roman" w:cs="Times New Roman"/>
        </w:rPr>
        <w:t xml:space="preserve"> on </w:t>
      </w:r>
      <w:proofErr w:type="spellStart"/>
      <w:r w:rsidR="00B06224" w:rsidRPr="00705170">
        <w:rPr>
          <w:rFonts w:ascii="Times New Roman" w:hAnsi="Times New Roman" w:cs="Times New Roman"/>
        </w:rPr>
        <w:t>the</w:t>
      </w:r>
      <w:proofErr w:type="spellEnd"/>
      <w:r w:rsidR="00B06224" w:rsidRPr="00705170">
        <w:rPr>
          <w:rFonts w:ascii="Times New Roman" w:hAnsi="Times New Roman" w:cs="Times New Roman"/>
        </w:rPr>
        <w:t xml:space="preserve"> marketing </w:t>
      </w:r>
      <w:proofErr w:type="spellStart"/>
      <w:r w:rsidR="00B06224" w:rsidRPr="00705170">
        <w:rPr>
          <w:rFonts w:ascii="Times New Roman" w:hAnsi="Times New Roman" w:cs="Times New Roman"/>
        </w:rPr>
        <w:t>material</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prospectus</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which</w:t>
      </w:r>
      <w:proofErr w:type="spellEnd"/>
      <w:r w:rsidR="00B06224" w:rsidRPr="00705170">
        <w:rPr>
          <w:rFonts w:ascii="Times New Roman" w:hAnsi="Times New Roman" w:cs="Times New Roman"/>
        </w:rPr>
        <w:t xml:space="preserve"> is </w:t>
      </w:r>
      <w:proofErr w:type="spellStart"/>
      <w:r w:rsidR="00B06224" w:rsidRPr="00705170">
        <w:rPr>
          <w:rFonts w:ascii="Times New Roman" w:hAnsi="Times New Roman" w:cs="Times New Roman"/>
        </w:rPr>
        <w:t>produced</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by</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the</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issuer</w:t>
      </w:r>
      <w:proofErr w:type="spellEnd"/>
      <w:r w:rsidR="00B06224" w:rsidRPr="00705170">
        <w:rPr>
          <w:rFonts w:ascii="Times New Roman" w:hAnsi="Times New Roman" w:cs="Times New Roman"/>
        </w:rPr>
        <w:t xml:space="preserve"> of </w:t>
      </w:r>
      <w:proofErr w:type="spellStart"/>
      <w:r w:rsidR="00B06224" w:rsidRPr="00705170">
        <w:rPr>
          <w:rFonts w:ascii="Times New Roman" w:hAnsi="Times New Roman" w:cs="Times New Roman"/>
        </w:rPr>
        <w:t>those</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securities</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before</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their</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issue</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and</w:t>
      </w:r>
      <w:proofErr w:type="spellEnd"/>
      <w:r w:rsidR="00B06224" w:rsidRPr="00705170">
        <w:rPr>
          <w:rFonts w:ascii="Times New Roman" w:hAnsi="Times New Roman" w:cs="Times New Roman"/>
        </w:rPr>
        <w:t xml:space="preserve"> on a </w:t>
      </w:r>
      <w:proofErr w:type="spellStart"/>
      <w:r w:rsidR="00B06224" w:rsidRPr="00705170">
        <w:rPr>
          <w:rFonts w:ascii="Times New Roman" w:hAnsi="Times New Roman" w:cs="Times New Roman"/>
        </w:rPr>
        <w:t>continuing</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basis</w:t>
      </w:r>
      <w:proofErr w:type="spellEnd"/>
      <w:r w:rsidR="00B06224" w:rsidRPr="00705170">
        <w:rPr>
          <w:rFonts w:ascii="Times New Roman" w:hAnsi="Times New Roman" w:cs="Times New Roman"/>
        </w:rPr>
        <w:t xml:space="preserve"> </w:t>
      </w:r>
      <w:proofErr w:type="spellStart"/>
      <w:r w:rsidR="00B06224" w:rsidRPr="00705170">
        <w:rPr>
          <w:rFonts w:ascii="Times New Roman" w:hAnsi="Times New Roman" w:cs="Times New Roman"/>
        </w:rPr>
        <w:t>thereafter</w:t>
      </w:r>
      <w:proofErr w:type="spellEnd"/>
      <w:r w:rsidR="00B06224" w:rsidRPr="00705170">
        <w:rPr>
          <w:rFonts w:ascii="Times New Roman" w:hAnsi="Times New Roman" w:cs="Times New Roman"/>
        </w:rPr>
        <w:t>”</w:t>
      </w:r>
      <w:r w:rsidR="00B06224" w:rsidRPr="00705170">
        <w:rPr>
          <w:rStyle w:val="DipnotBavurusu"/>
          <w:rFonts w:ascii="Times New Roman" w:hAnsi="Times New Roman" w:cs="Times New Roman"/>
        </w:rPr>
        <w:footnoteReference w:id="123"/>
      </w:r>
      <w:r w:rsidR="00B06224" w:rsidRPr="00705170">
        <w:rPr>
          <w:rFonts w:ascii="Times New Roman" w:hAnsi="Times New Roman" w:cs="Times New Roman"/>
        </w:rPr>
        <w:t xml:space="preserve">. </w:t>
      </w:r>
      <w:proofErr w:type="spellStart"/>
      <w:r w:rsidR="00D21877" w:rsidRPr="00705170">
        <w:rPr>
          <w:rFonts w:ascii="Times New Roman" w:hAnsi="Times New Roman" w:cs="Times New Roman"/>
        </w:rPr>
        <w:t>Due</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to</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the</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mandatory</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nature</w:t>
      </w:r>
      <w:proofErr w:type="spellEnd"/>
      <w:r w:rsidR="00D21877" w:rsidRPr="00705170">
        <w:rPr>
          <w:rFonts w:ascii="Times New Roman" w:hAnsi="Times New Roman" w:cs="Times New Roman"/>
        </w:rPr>
        <w:t xml:space="preserve"> of </w:t>
      </w:r>
      <w:proofErr w:type="spellStart"/>
      <w:r w:rsidR="00D21877" w:rsidRPr="00705170">
        <w:rPr>
          <w:rFonts w:ascii="Times New Roman" w:hAnsi="Times New Roman" w:cs="Times New Roman"/>
        </w:rPr>
        <w:t>securities</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law</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the</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terms</w:t>
      </w:r>
      <w:proofErr w:type="spellEnd"/>
      <w:r w:rsidR="00D21877" w:rsidRPr="00705170">
        <w:rPr>
          <w:rFonts w:ascii="Times New Roman" w:hAnsi="Times New Roman" w:cs="Times New Roman"/>
        </w:rPr>
        <w:t xml:space="preserve"> of </w:t>
      </w:r>
      <w:proofErr w:type="spellStart"/>
      <w:r w:rsidR="00D21877" w:rsidRPr="00705170">
        <w:rPr>
          <w:rFonts w:ascii="Times New Roman" w:hAnsi="Times New Roman" w:cs="Times New Roman"/>
        </w:rPr>
        <w:t>this</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contract</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are</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automatically</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added</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to</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the</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contract</w:t>
      </w:r>
      <w:proofErr w:type="spellEnd"/>
      <w:r w:rsidR="00E54865" w:rsidRPr="00705170">
        <w:rPr>
          <w:rFonts w:ascii="Times New Roman" w:hAnsi="Times New Roman" w:cs="Times New Roman"/>
        </w:rPr>
        <w:t xml:space="preserve"> </w:t>
      </w:r>
      <w:proofErr w:type="spellStart"/>
      <w:r w:rsidR="00E54865" w:rsidRPr="00705170">
        <w:rPr>
          <w:rFonts w:ascii="Times New Roman" w:hAnsi="Times New Roman" w:cs="Times New Roman"/>
        </w:rPr>
        <w:t>between</w:t>
      </w:r>
      <w:proofErr w:type="spellEnd"/>
      <w:r w:rsidR="00E54865" w:rsidRPr="00705170">
        <w:rPr>
          <w:rFonts w:ascii="Times New Roman" w:hAnsi="Times New Roman" w:cs="Times New Roman"/>
        </w:rPr>
        <w:t xml:space="preserve"> </w:t>
      </w:r>
      <w:proofErr w:type="spellStart"/>
      <w:r w:rsidR="00E54865" w:rsidRPr="00705170">
        <w:rPr>
          <w:rFonts w:ascii="Times New Roman" w:hAnsi="Times New Roman" w:cs="Times New Roman"/>
        </w:rPr>
        <w:t>parties</w:t>
      </w:r>
      <w:proofErr w:type="spellEnd"/>
      <w:r w:rsidR="00D21877" w:rsidRPr="00705170">
        <w:rPr>
          <w:rFonts w:ascii="Times New Roman" w:hAnsi="Times New Roman" w:cs="Times New Roman"/>
        </w:rPr>
        <w:t xml:space="preserve"> </w:t>
      </w:r>
      <w:proofErr w:type="spellStart"/>
      <w:r w:rsidR="008B20A2">
        <w:rPr>
          <w:rFonts w:ascii="Times New Roman" w:hAnsi="Times New Roman" w:cs="Times New Roman"/>
        </w:rPr>
        <w:t>through</w:t>
      </w:r>
      <w:proofErr w:type="spellEnd"/>
      <w:r w:rsidR="008B20A2" w:rsidRPr="00705170">
        <w:rPr>
          <w:rFonts w:ascii="Times New Roman" w:hAnsi="Times New Roman" w:cs="Times New Roman"/>
        </w:rPr>
        <w:t xml:space="preserve"> </w:t>
      </w:r>
      <w:proofErr w:type="spellStart"/>
      <w:r w:rsidR="00D21877" w:rsidRPr="00705170">
        <w:rPr>
          <w:rFonts w:ascii="Times New Roman" w:hAnsi="Times New Roman" w:cs="Times New Roman"/>
        </w:rPr>
        <w:t>the</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obligations</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placed</w:t>
      </w:r>
      <w:proofErr w:type="spellEnd"/>
      <w:r w:rsidR="00D21877" w:rsidRPr="00705170">
        <w:rPr>
          <w:rFonts w:ascii="Times New Roman" w:hAnsi="Times New Roman" w:cs="Times New Roman"/>
        </w:rPr>
        <w:t xml:space="preserve"> on </w:t>
      </w:r>
      <w:proofErr w:type="spellStart"/>
      <w:r w:rsidR="00D21877" w:rsidRPr="00705170">
        <w:rPr>
          <w:rFonts w:ascii="Times New Roman" w:hAnsi="Times New Roman" w:cs="Times New Roman"/>
        </w:rPr>
        <w:t>the</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issuers</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by</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the</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listing</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rules</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and</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the</w:t>
      </w:r>
      <w:proofErr w:type="spellEnd"/>
      <w:r w:rsidR="00E54865" w:rsidRPr="00705170">
        <w:rPr>
          <w:rFonts w:ascii="Times New Roman" w:hAnsi="Times New Roman" w:cs="Times New Roman"/>
        </w:rPr>
        <w:t xml:space="preserve"> </w:t>
      </w:r>
      <w:proofErr w:type="spellStart"/>
      <w:r w:rsidR="00E54865" w:rsidRPr="00705170">
        <w:rPr>
          <w:rFonts w:ascii="Times New Roman" w:hAnsi="Times New Roman" w:cs="Times New Roman"/>
        </w:rPr>
        <w:t>statutory</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prospectus</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and</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disclosure</w:t>
      </w:r>
      <w:proofErr w:type="spellEnd"/>
      <w:r w:rsidR="00D21877" w:rsidRPr="00705170">
        <w:rPr>
          <w:rFonts w:ascii="Times New Roman" w:hAnsi="Times New Roman" w:cs="Times New Roman"/>
        </w:rPr>
        <w:t xml:space="preserve"> </w:t>
      </w:r>
      <w:proofErr w:type="spellStart"/>
      <w:r w:rsidR="00D21877" w:rsidRPr="00705170">
        <w:rPr>
          <w:rFonts w:ascii="Times New Roman" w:hAnsi="Times New Roman" w:cs="Times New Roman"/>
        </w:rPr>
        <w:t>rules</w:t>
      </w:r>
      <w:proofErr w:type="spellEnd"/>
      <w:r w:rsidR="00D21877" w:rsidRPr="00705170">
        <w:rPr>
          <w:rStyle w:val="DipnotBavurusu"/>
          <w:rFonts w:ascii="Times New Roman" w:hAnsi="Times New Roman" w:cs="Times New Roman"/>
        </w:rPr>
        <w:footnoteReference w:id="124"/>
      </w:r>
      <w:r w:rsidR="00D21877" w:rsidRPr="00705170">
        <w:rPr>
          <w:rFonts w:ascii="Times New Roman" w:hAnsi="Times New Roman" w:cs="Times New Roman"/>
        </w:rPr>
        <w:t>.</w:t>
      </w:r>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In</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this</w:t>
      </w:r>
      <w:proofErr w:type="spellEnd"/>
      <w:r w:rsidR="00D670A8" w:rsidRPr="00705170">
        <w:rPr>
          <w:rFonts w:ascii="Times New Roman" w:hAnsi="Times New Roman" w:cs="Times New Roman"/>
        </w:rPr>
        <w:t xml:space="preserve"> sense, </w:t>
      </w:r>
      <w:proofErr w:type="spellStart"/>
      <w:r w:rsidR="008B20A2">
        <w:rPr>
          <w:rFonts w:ascii="Times New Roman" w:hAnsi="Times New Roman" w:cs="Times New Roman"/>
        </w:rPr>
        <w:t>capital</w:t>
      </w:r>
      <w:proofErr w:type="spellEnd"/>
      <w:r w:rsidR="008B20A2">
        <w:rPr>
          <w:rFonts w:ascii="Times New Roman" w:hAnsi="Times New Roman" w:cs="Times New Roman"/>
        </w:rPr>
        <w:t xml:space="preserve"> market</w:t>
      </w:r>
      <w:r w:rsidR="008B20A2" w:rsidRPr="00705170">
        <w:rPr>
          <w:rFonts w:ascii="Times New Roman" w:hAnsi="Times New Roman" w:cs="Times New Roman"/>
        </w:rPr>
        <w:t xml:space="preserve"> </w:t>
      </w:r>
      <w:proofErr w:type="spellStart"/>
      <w:r w:rsidR="00D670A8" w:rsidRPr="00705170">
        <w:rPr>
          <w:rFonts w:ascii="Times New Roman" w:hAnsi="Times New Roman" w:cs="Times New Roman"/>
        </w:rPr>
        <w:t>law</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provides</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standard</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contract</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terms</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to</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the</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parties</w:t>
      </w:r>
      <w:proofErr w:type="spellEnd"/>
      <w:r w:rsidR="00E54865" w:rsidRPr="00705170">
        <w:rPr>
          <w:rFonts w:ascii="Times New Roman" w:hAnsi="Times New Roman" w:cs="Times New Roman"/>
        </w:rPr>
        <w:t xml:space="preserve">, </w:t>
      </w:r>
      <w:proofErr w:type="spellStart"/>
      <w:r w:rsidR="00E54865" w:rsidRPr="00705170">
        <w:rPr>
          <w:rFonts w:ascii="Times New Roman" w:hAnsi="Times New Roman" w:cs="Times New Roman"/>
        </w:rPr>
        <w:t>so</w:t>
      </w:r>
      <w:proofErr w:type="spellEnd"/>
      <w:r w:rsidR="00E54865" w:rsidRPr="00705170">
        <w:rPr>
          <w:rFonts w:ascii="Times New Roman" w:hAnsi="Times New Roman" w:cs="Times New Roman"/>
        </w:rPr>
        <w:t xml:space="preserve"> </w:t>
      </w:r>
      <w:proofErr w:type="spellStart"/>
      <w:r w:rsidR="00E54865" w:rsidRPr="00705170">
        <w:rPr>
          <w:rFonts w:ascii="Times New Roman" w:hAnsi="Times New Roman" w:cs="Times New Roman"/>
        </w:rPr>
        <w:t>decrease</w:t>
      </w:r>
      <w:r w:rsidR="008B20A2">
        <w:rPr>
          <w:rFonts w:ascii="Times New Roman" w:hAnsi="Times New Roman" w:cs="Times New Roman"/>
        </w:rPr>
        <w:t>s</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the</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transaction</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costs</w:t>
      </w:r>
      <w:proofErr w:type="spellEnd"/>
      <w:r w:rsidR="00341BAE" w:rsidRPr="00705170">
        <w:rPr>
          <w:rStyle w:val="DipnotBavurusu"/>
          <w:rFonts w:ascii="Times New Roman" w:hAnsi="Times New Roman" w:cs="Times New Roman"/>
        </w:rPr>
        <w:footnoteReference w:id="125"/>
      </w:r>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and</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the</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terms</w:t>
      </w:r>
      <w:proofErr w:type="spellEnd"/>
      <w:r w:rsidR="00D670A8" w:rsidRPr="00705170">
        <w:rPr>
          <w:rFonts w:ascii="Times New Roman" w:hAnsi="Times New Roman" w:cs="Times New Roman"/>
        </w:rPr>
        <w:t xml:space="preserve"> it </w:t>
      </w:r>
      <w:proofErr w:type="spellStart"/>
      <w:r w:rsidR="00D670A8" w:rsidRPr="00705170">
        <w:rPr>
          <w:rFonts w:ascii="Times New Roman" w:hAnsi="Times New Roman" w:cs="Times New Roman"/>
        </w:rPr>
        <w:t>mandatorily</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lastRenderedPageBreak/>
        <w:t>imposes</w:t>
      </w:r>
      <w:proofErr w:type="spellEnd"/>
      <w:r w:rsidR="00E54865" w:rsidRPr="00705170">
        <w:rPr>
          <w:rFonts w:ascii="Times New Roman" w:hAnsi="Times New Roman" w:cs="Times New Roman"/>
        </w:rPr>
        <w:t xml:space="preserve"> on </w:t>
      </w:r>
      <w:proofErr w:type="spellStart"/>
      <w:r w:rsidR="00E54865" w:rsidRPr="00705170">
        <w:rPr>
          <w:rFonts w:ascii="Times New Roman" w:hAnsi="Times New Roman" w:cs="Times New Roman"/>
        </w:rPr>
        <w:t>parties</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are</w:t>
      </w:r>
      <w:proofErr w:type="spellEnd"/>
      <w:r w:rsidR="00D670A8" w:rsidRPr="00705170">
        <w:rPr>
          <w:rFonts w:ascii="Times New Roman" w:hAnsi="Times New Roman" w:cs="Times New Roman"/>
        </w:rPr>
        <w:t xml:space="preserve"> in </w:t>
      </w:r>
      <w:proofErr w:type="spellStart"/>
      <w:r w:rsidR="00D670A8" w:rsidRPr="00705170">
        <w:rPr>
          <w:rFonts w:ascii="Times New Roman" w:hAnsi="Times New Roman" w:cs="Times New Roman"/>
        </w:rPr>
        <w:t>fact</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ones</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that</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the</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parties</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would</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have</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added</w:t>
      </w:r>
      <w:proofErr w:type="spellEnd"/>
      <w:r w:rsidR="00D670A8" w:rsidRPr="00705170">
        <w:rPr>
          <w:rStyle w:val="DipnotBavurusu"/>
          <w:rFonts w:ascii="Times New Roman" w:hAnsi="Times New Roman" w:cs="Times New Roman"/>
        </w:rPr>
        <w:footnoteReference w:id="126"/>
      </w:r>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These</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terms</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exist</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because</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the</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informational</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needs</w:t>
      </w:r>
      <w:proofErr w:type="spellEnd"/>
      <w:r w:rsidR="00D670A8" w:rsidRPr="00705170">
        <w:rPr>
          <w:rFonts w:ascii="Times New Roman" w:hAnsi="Times New Roman" w:cs="Times New Roman"/>
        </w:rPr>
        <w:t xml:space="preserve"> of </w:t>
      </w:r>
      <w:proofErr w:type="spellStart"/>
      <w:r w:rsidR="00D670A8" w:rsidRPr="00705170">
        <w:rPr>
          <w:rFonts w:ascii="Times New Roman" w:hAnsi="Times New Roman" w:cs="Times New Roman"/>
        </w:rPr>
        <w:t>investors</w:t>
      </w:r>
      <w:proofErr w:type="spellEnd"/>
      <w:r w:rsidR="003526E5" w:rsidRPr="00705170">
        <w:rPr>
          <w:rFonts w:ascii="Times New Roman" w:hAnsi="Times New Roman" w:cs="Times New Roman"/>
        </w:rPr>
        <w:t>,</w:t>
      </w:r>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and</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the</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parties</w:t>
      </w:r>
      <w:proofErr w:type="spellEnd"/>
      <w:r w:rsidR="003526E5" w:rsidRPr="00705170">
        <w:rPr>
          <w:rFonts w:ascii="Times New Roman" w:hAnsi="Times New Roman" w:cs="Times New Roman"/>
        </w:rPr>
        <w:t>’</w:t>
      </w:r>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need</w:t>
      </w:r>
      <w:proofErr w:type="spellEnd"/>
      <w:r w:rsidR="00D670A8" w:rsidRPr="00705170">
        <w:rPr>
          <w:rFonts w:ascii="Times New Roman" w:hAnsi="Times New Roman" w:cs="Times New Roman"/>
        </w:rPr>
        <w:t xml:space="preserve"> of </w:t>
      </w:r>
      <w:proofErr w:type="spellStart"/>
      <w:r w:rsidR="00D670A8" w:rsidRPr="00705170">
        <w:rPr>
          <w:rFonts w:ascii="Times New Roman" w:hAnsi="Times New Roman" w:cs="Times New Roman"/>
        </w:rPr>
        <w:t>preserving</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the</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integrity</w:t>
      </w:r>
      <w:proofErr w:type="spellEnd"/>
      <w:r w:rsidR="00D670A8" w:rsidRPr="00705170">
        <w:rPr>
          <w:rFonts w:ascii="Times New Roman" w:hAnsi="Times New Roman" w:cs="Times New Roman"/>
        </w:rPr>
        <w:t xml:space="preserve"> of </w:t>
      </w:r>
      <w:proofErr w:type="spellStart"/>
      <w:r w:rsidR="00D670A8" w:rsidRPr="00705170">
        <w:rPr>
          <w:rFonts w:ascii="Times New Roman" w:hAnsi="Times New Roman" w:cs="Times New Roman"/>
        </w:rPr>
        <w:t>the</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marketplace</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would</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ha</w:t>
      </w:r>
      <w:r w:rsidR="003526E5" w:rsidRPr="00705170">
        <w:rPr>
          <w:rFonts w:ascii="Times New Roman" w:hAnsi="Times New Roman" w:cs="Times New Roman"/>
        </w:rPr>
        <w:t>ve</w:t>
      </w:r>
      <w:proofErr w:type="spellEnd"/>
      <w:r w:rsidR="003526E5" w:rsidRPr="00705170">
        <w:rPr>
          <w:rFonts w:ascii="Times New Roman" w:hAnsi="Times New Roman" w:cs="Times New Roman"/>
        </w:rPr>
        <w:t xml:space="preserve"> </w:t>
      </w:r>
      <w:proofErr w:type="spellStart"/>
      <w:r w:rsidR="003526E5" w:rsidRPr="00705170">
        <w:rPr>
          <w:rFonts w:ascii="Times New Roman" w:hAnsi="Times New Roman" w:cs="Times New Roman"/>
        </w:rPr>
        <w:t>required</w:t>
      </w:r>
      <w:proofErr w:type="spellEnd"/>
      <w:r w:rsidR="003526E5" w:rsidRPr="00705170">
        <w:rPr>
          <w:rFonts w:ascii="Times New Roman" w:hAnsi="Times New Roman" w:cs="Times New Roman"/>
        </w:rPr>
        <w:t xml:space="preserve"> </w:t>
      </w:r>
      <w:proofErr w:type="spellStart"/>
      <w:r w:rsidR="003526E5" w:rsidRPr="00705170">
        <w:rPr>
          <w:rFonts w:ascii="Times New Roman" w:hAnsi="Times New Roman" w:cs="Times New Roman"/>
        </w:rPr>
        <w:t>them</w:t>
      </w:r>
      <w:proofErr w:type="spellEnd"/>
      <w:r w:rsidR="003526E5" w:rsidRPr="00705170">
        <w:rPr>
          <w:rFonts w:ascii="Times New Roman" w:hAnsi="Times New Roman" w:cs="Times New Roman"/>
        </w:rPr>
        <w:t xml:space="preserve"> </w:t>
      </w:r>
      <w:proofErr w:type="spellStart"/>
      <w:r w:rsidR="003526E5" w:rsidRPr="00705170">
        <w:rPr>
          <w:rFonts w:ascii="Times New Roman" w:hAnsi="Times New Roman" w:cs="Times New Roman"/>
        </w:rPr>
        <w:t>to</w:t>
      </w:r>
      <w:proofErr w:type="spellEnd"/>
      <w:r w:rsidR="003526E5" w:rsidRPr="00705170">
        <w:rPr>
          <w:rFonts w:ascii="Times New Roman" w:hAnsi="Times New Roman" w:cs="Times New Roman"/>
        </w:rPr>
        <w:t xml:space="preserve"> </w:t>
      </w:r>
      <w:proofErr w:type="spellStart"/>
      <w:r w:rsidR="003526E5" w:rsidRPr="00705170">
        <w:rPr>
          <w:rFonts w:ascii="Times New Roman" w:hAnsi="Times New Roman" w:cs="Times New Roman"/>
        </w:rPr>
        <w:t>include</w:t>
      </w:r>
      <w:proofErr w:type="spellEnd"/>
      <w:r w:rsidR="003526E5" w:rsidRPr="00705170">
        <w:rPr>
          <w:rFonts w:ascii="Times New Roman" w:hAnsi="Times New Roman" w:cs="Times New Roman"/>
        </w:rPr>
        <w:t xml:space="preserve"> </w:t>
      </w:r>
      <w:proofErr w:type="spellStart"/>
      <w:r w:rsidR="003526E5" w:rsidRPr="00705170">
        <w:rPr>
          <w:rFonts w:ascii="Times New Roman" w:hAnsi="Times New Roman" w:cs="Times New Roman"/>
        </w:rPr>
        <w:t>these</w:t>
      </w:r>
      <w:proofErr w:type="spellEnd"/>
      <w:r w:rsidR="003526E5" w:rsidRPr="00705170">
        <w:rPr>
          <w:rFonts w:ascii="Times New Roman" w:hAnsi="Times New Roman" w:cs="Times New Roman"/>
        </w:rPr>
        <w:t xml:space="preserve"> </w:t>
      </w:r>
      <w:proofErr w:type="spellStart"/>
      <w:r w:rsidR="003526E5" w:rsidRPr="00705170">
        <w:rPr>
          <w:rFonts w:ascii="Times New Roman" w:hAnsi="Times New Roman" w:cs="Times New Roman"/>
        </w:rPr>
        <w:t>terms</w:t>
      </w:r>
      <w:proofErr w:type="spellEnd"/>
      <w:r w:rsidR="00D670A8" w:rsidRPr="00705170">
        <w:rPr>
          <w:rFonts w:ascii="Times New Roman" w:hAnsi="Times New Roman" w:cs="Times New Roman"/>
        </w:rPr>
        <w:t xml:space="preserve"> in </w:t>
      </w:r>
      <w:proofErr w:type="spellStart"/>
      <w:r w:rsidR="00D670A8" w:rsidRPr="00705170">
        <w:rPr>
          <w:rFonts w:ascii="Times New Roman" w:hAnsi="Times New Roman" w:cs="Times New Roman"/>
        </w:rPr>
        <w:t>their</w:t>
      </w:r>
      <w:proofErr w:type="spellEnd"/>
      <w:r w:rsidR="00D670A8" w:rsidRPr="00705170">
        <w:rPr>
          <w:rFonts w:ascii="Times New Roman" w:hAnsi="Times New Roman" w:cs="Times New Roman"/>
        </w:rPr>
        <w:t xml:space="preserve"> </w:t>
      </w:r>
      <w:proofErr w:type="spellStart"/>
      <w:r w:rsidR="00D670A8" w:rsidRPr="00705170">
        <w:rPr>
          <w:rFonts w:ascii="Times New Roman" w:hAnsi="Times New Roman" w:cs="Times New Roman"/>
        </w:rPr>
        <w:t>contract</w:t>
      </w:r>
      <w:proofErr w:type="spellEnd"/>
      <w:r w:rsidR="00D670A8" w:rsidRPr="00705170">
        <w:rPr>
          <w:rStyle w:val="DipnotBavurusu"/>
          <w:rFonts w:ascii="Times New Roman" w:hAnsi="Times New Roman" w:cs="Times New Roman"/>
        </w:rPr>
        <w:footnoteReference w:id="127"/>
      </w:r>
      <w:r w:rsidR="00D670A8" w:rsidRPr="00705170">
        <w:rPr>
          <w:rFonts w:ascii="Times New Roman" w:hAnsi="Times New Roman" w:cs="Times New Roman"/>
        </w:rPr>
        <w:t>.</w:t>
      </w:r>
      <w:r w:rsidR="00A16DC2" w:rsidRPr="00705170">
        <w:rPr>
          <w:rFonts w:ascii="Times New Roman" w:hAnsi="Times New Roman" w:cs="Times New Roman"/>
        </w:rPr>
        <w:t xml:space="preserve"> </w:t>
      </w:r>
    </w:p>
    <w:p w14:paraId="6B7C9CF6" w14:textId="1B85FADB" w:rsidR="00A16DC2" w:rsidRPr="00705170" w:rsidRDefault="000B393A" w:rsidP="00A16DC2">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t>
      </w:r>
      <w:r w:rsidR="0012251E" w:rsidRPr="00705170">
        <w:rPr>
          <w:rFonts w:ascii="Times New Roman" w:hAnsi="Times New Roman" w:cs="Times New Roman"/>
        </w:rPr>
        <w:t>he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publicly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traded</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corporation</w:t>
      </w:r>
      <w:proofErr w:type="spellEnd"/>
      <w:r w:rsidR="0012251E" w:rsidRPr="00705170">
        <w:rPr>
          <w:rFonts w:ascii="Times New Roman" w:hAnsi="Times New Roman" w:cs="Times New Roman"/>
        </w:rPr>
        <w:t xml:space="preserve"> “can be </w:t>
      </w:r>
      <w:proofErr w:type="spellStart"/>
      <w:r w:rsidR="0012251E" w:rsidRPr="00705170">
        <w:rPr>
          <w:rFonts w:ascii="Times New Roman" w:hAnsi="Times New Roman" w:cs="Times New Roman"/>
        </w:rPr>
        <w:t>viewed</w:t>
      </w:r>
      <w:proofErr w:type="spellEnd"/>
      <w:r w:rsidR="0012251E" w:rsidRPr="00705170">
        <w:rPr>
          <w:rFonts w:ascii="Times New Roman" w:hAnsi="Times New Roman" w:cs="Times New Roman"/>
        </w:rPr>
        <w:t xml:space="preserve"> as a </w:t>
      </w:r>
      <w:proofErr w:type="spellStart"/>
      <w:r w:rsidR="0012251E" w:rsidRPr="00705170">
        <w:rPr>
          <w:rFonts w:ascii="Times New Roman" w:hAnsi="Times New Roman" w:cs="Times New Roman"/>
        </w:rPr>
        <w:t>standard</w:t>
      </w:r>
      <w:proofErr w:type="spellEnd"/>
      <w:r w:rsidR="0012251E" w:rsidRPr="00705170">
        <w:rPr>
          <w:rFonts w:ascii="Times New Roman" w:hAnsi="Times New Roman" w:cs="Times New Roman"/>
        </w:rPr>
        <w:t xml:space="preserve"> form </w:t>
      </w:r>
      <w:proofErr w:type="spellStart"/>
      <w:r w:rsidR="0012251E" w:rsidRPr="00705170">
        <w:rPr>
          <w:rFonts w:ascii="Times New Roman" w:hAnsi="Times New Roman" w:cs="Times New Roman"/>
        </w:rPr>
        <w:t>multiparty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contract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some</w:t>
      </w:r>
      <w:proofErr w:type="spellEnd"/>
      <w:r w:rsidR="0012251E" w:rsidRPr="00705170">
        <w:rPr>
          <w:rFonts w:ascii="Times New Roman" w:hAnsi="Times New Roman" w:cs="Times New Roman"/>
        </w:rPr>
        <w:t xml:space="preserve"> of </w:t>
      </w:r>
      <w:proofErr w:type="spellStart"/>
      <w:r w:rsidR="0012251E" w:rsidRPr="00705170">
        <w:rPr>
          <w:rFonts w:ascii="Times New Roman" w:hAnsi="Times New Roman" w:cs="Times New Roman"/>
        </w:rPr>
        <w:t>the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terms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which</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are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specified</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by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statute</w:t>
      </w:r>
      <w:proofErr w:type="spellEnd"/>
      <w:r w:rsidR="0012251E" w:rsidRPr="00705170">
        <w:rPr>
          <w:rFonts w:ascii="Times New Roman" w:hAnsi="Times New Roman" w:cs="Times New Roman"/>
        </w:rPr>
        <w:t>”</w:t>
      </w:r>
      <w:r w:rsidR="0012251E" w:rsidRPr="00705170">
        <w:rPr>
          <w:rStyle w:val="DipnotBavurusu"/>
          <w:rFonts w:ascii="Times New Roman" w:hAnsi="Times New Roman" w:cs="Times New Roman"/>
        </w:rPr>
        <w:footnoteReference w:id="128"/>
      </w:r>
      <w:r w:rsidRPr="00705170">
        <w:rPr>
          <w:rFonts w:ascii="Times New Roman" w:hAnsi="Times New Roman" w:cs="Times New Roman"/>
        </w:rPr>
        <w:t xml:space="preserve">. </w:t>
      </w:r>
      <w:proofErr w:type="spellStart"/>
      <w:r w:rsidR="00506FF5" w:rsidRPr="00705170">
        <w:rPr>
          <w:rFonts w:ascii="Times New Roman" w:hAnsi="Times New Roman" w:cs="Times New Roman"/>
        </w:rPr>
        <w:t>Corollary</w:t>
      </w:r>
      <w:proofErr w:type="spellEnd"/>
      <w:r w:rsidR="00506FF5" w:rsidRPr="00705170">
        <w:rPr>
          <w:rFonts w:ascii="Times New Roman" w:hAnsi="Times New Roman" w:cs="Times New Roman"/>
        </w:rPr>
        <w:t xml:space="preserve">, it can be </w:t>
      </w:r>
      <w:proofErr w:type="spellStart"/>
      <w:r w:rsidR="00506FF5" w:rsidRPr="00705170">
        <w:rPr>
          <w:rFonts w:ascii="Times New Roman" w:hAnsi="Times New Roman" w:cs="Times New Roman"/>
        </w:rPr>
        <w:t>expressed</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that</w:t>
      </w:r>
      <w:proofErr w:type="spellEnd"/>
      <w:r w:rsidR="00506FF5" w:rsidRPr="00705170">
        <w:rPr>
          <w:rFonts w:ascii="Times New Roman" w:hAnsi="Times New Roman" w:cs="Times New Roman"/>
        </w:rPr>
        <w:t xml:space="preserve"> “a </w:t>
      </w:r>
      <w:proofErr w:type="spellStart"/>
      <w:r w:rsidR="00506FF5" w:rsidRPr="00705170">
        <w:rPr>
          <w:rFonts w:ascii="Times New Roman" w:hAnsi="Times New Roman" w:cs="Times New Roman"/>
        </w:rPr>
        <w:t>stockholder’s</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right</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between</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himself</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and</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the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corporation</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and</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the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other</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stockholders</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are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contractual</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and</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that</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the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terms</w:t>
      </w:r>
      <w:proofErr w:type="spellEnd"/>
      <w:r w:rsidR="00506FF5" w:rsidRPr="00705170">
        <w:rPr>
          <w:rFonts w:ascii="Times New Roman" w:hAnsi="Times New Roman" w:cs="Times New Roman"/>
        </w:rPr>
        <w:t xml:space="preserve"> of </w:t>
      </w:r>
      <w:proofErr w:type="spellStart"/>
      <w:r w:rsidR="00506FF5" w:rsidRPr="00705170">
        <w:rPr>
          <w:rFonts w:ascii="Times New Roman" w:hAnsi="Times New Roman" w:cs="Times New Roman"/>
        </w:rPr>
        <w:t>the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contract</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are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to</w:t>
      </w:r>
      <w:proofErr w:type="spellEnd"/>
      <w:r w:rsidR="00506FF5" w:rsidRPr="00705170">
        <w:rPr>
          <w:rFonts w:ascii="Times New Roman" w:hAnsi="Times New Roman" w:cs="Times New Roman"/>
        </w:rPr>
        <w:t xml:space="preserve"> be </w:t>
      </w:r>
      <w:proofErr w:type="spellStart"/>
      <w:r w:rsidR="00506FF5" w:rsidRPr="00705170">
        <w:rPr>
          <w:rFonts w:ascii="Times New Roman" w:hAnsi="Times New Roman" w:cs="Times New Roman"/>
        </w:rPr>
        <w:t>found</w:t>
      </w:r>
      <w:proofErr w:type="spellEnd"/>
      <w:r w:rsidR="00506FF5" w:rsidRPr="00705170">
        <w:rPr>
          <w:rFonts w:ascii="Times New Roman" w:hAnsi="Times New Roman" w:cs="Times New Roman"/>
        </w:rPr>
        <w:t xml:space="preserve"> in </w:t>
      </w:r>
      <w:proofErr w:type="spellStart"/>
      <w:r w:rsidR="00506FF5" w:rsidRPr="00705170">
        <w:rPr>
          <w:rFonts w:ascii="Times New Roman" w:hAnsi="Times New Roman" w:cs="Times New Roman"/>
        </w:rPr>
        <w:t>the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agreement</w:t>
      </w:r>
      <w:proofErr w:type="spellEnd"/>
      <w:r w:rsidR="00506FF5" w:rsidRPr="00705170">
        <w:rPr>
          <w:rFonts w:ascii="Times New Roman" w:hAnsi="Times New Roman" w:cs="Times New Roman"/>
        </w:rPr>
        <w:t xml:space="preserve"> of </w:t>
      </w:r>
      <w:proofErr w:type="spellStart"/>
      <w:r w:rsidR="00506FF5" w:rsidRPr="00705170">
        <w:rPr>
          <w:rFonts w:ascii="Times New Roman" w:hAnsi="Times New Roman" w:cs="Times New Roman"/>
        </w:rPr>
        <w:t>association</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and</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the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provisions</w:t>
      </w:r>
      <w:proofErr w:type="spellEnd"/>
      <w:r w:rsidR="00506FF5" w:rsidRPr="00705170">
        <w:rPr>
          <w:rFonts w:ascii="Times New Roman" w:hAnsi="Times New Roman" w:cs="Times New Roman"/>
        </w:rPr>
        <w:t xml:space="preserve"> of </w:t>
      </w:r>
      <w:proofErr w:type="spellStart"/>
      <w:r w:rsidR="00506FF5" w:rsidRPr="00705170">
        <w:rPr>
          <w:rFonts w:ascii="Times New Roman" w:hAnsi="Times New Roman" w:cs="Times New Roman"/>
        </w:rPr>
        <w:t>aplicable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statutes</w:t>
      </w:r>
      <w:proofErr w:type="spellEnd"/>
      <w:r w:rsidR="00506FF5" w:rsidRPr="00705170">
        <w:rPr>
          <w:rFonts w:ascii="Times New Roman" w:hAnsi="Times New Roman" w:cs="Times New Roman"/>
        </w:rPr>
        <w:t>”</w:t>
      </w:r>
      <w:r w:rsidR="00506FF5" w:rsidRPr="00705170">
        <w:rPr>
          <w:rStyle w:val="DipnotBavurusu"/>
          <w:rFonts w:ascii="Times New Roman" w:hAnsi="Times New Roman" w:cs="Times New Roman"/>
        </w:rPr>
        <w:footnoteReference w:id="129"/>
      </w:r>
      <w:r w:rsidR="00506FF5" w:rsidRPr="00705170">
        <w:rPr>
          <w:rFonts w:ascii="Times New Roman" w:hAnsi="Times New Roman" w:cs="Times New Roman"/>
        </w:rPr>
        <w:t>.</w:t>
      </w:r>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In</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this</w:t>
      </w:r>
      <w:proofErr w:type="spellEnd"/>
      <w:r w:rsidR="00A16DC2" w:rsidRPr="00705170">
        <w:rPr>
          <w:rFonts w:ascii="Times New Roman" w:hAnsi="Times New Roman" w:cs="Times New Roman"/>
        </w:rPr>
        <w:t xml:space="preserve"> sense, </w:t>
      </w:r>
      <w:proofErr w:type="spellStart"/>
      <w:r w:rsidR="00A16DC2" w:rsidRPr="00705170">
        <w:rPr>
          <w:rFonts w:ascii="Times New Roman" w:hAnsi="Times New Roman" w:cs="Times New Roman"/>
        </w:rPr>
        <w:t>the</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relationship</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between</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the</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corporation</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and</w:t>
      </w:r>
      <w:proofErr w:type="spellEnd"/>
      <w:r w:rsidR="00A16DC2" w:rsidRPr="00705170">
        <w:rPr>
          <w:rFonts w:ascii="Times New Roman" w:hAnsi="Times New Roman" w:cs="Times New Roman"/>
        </w:rPr>
        <w:t xml:space="preserve"> a </w:t>
      </w:r>
      <w:proofErr w:type="spellStart"/>
      <w:r w:rsidR="00A16DC2" w:rsidRPr="00705170">
        <w:rPr>
          <w:rFonts w:ascii="Times New Roman" w:hAnsi="Times New Roman" w:cs="Times New Roman"/>
        </w:rPr>
        <w:t>shareholder</w:t>
      </w:r>
      <w:proofErr w:type="spellEnd"/>
      <w:r w:rsidR="00A16DC2" w:rsidRPr="00705170">
        <w:rPr>
          <w:rFonts w:ascii="Times New Roman" w:hAnsi="Times New Roman" w:cs="Times New Roman"/>
        </w:rPr>
        <w:t xml:space="preserve"> is </w:t>
      </w:r>
      <w:proofErr w:type="spellStart"/>
      <w:r w:rsidR="00A16DC2" w:rsidRPr="00705170">
        <w:rPr>
          <w:rFonts w:ascii="Times New Roman" w:hAnsi="Times New Roman" w:cs="Times New Roman"/>
        </w:rPr>
        <w:t>partly</w:t>
      </w:r>
      <w:proofErr w:type="spellEnd"/>
      <w:r w:rsidR="00A16DC2" w:rsidRPr="00705170">
        <w:rPr>
          <w:rFonts w:ascii="Times New Roman" w:hAnsi="Times New Roman" w:cs="Times New Roman"/>
        </w:rPr>
        <w:t xml:space="preserve">, but not </w:t>
      </w:r>
      <w:proofErr w:type="spellStart"/>
      <w:r w:rsidR="00A16DC2" w:rsidRPr="00705170">
        <w:rPr>
          <w:rFonts w:ascii="Times New Roman" w:hAnsi="Times New Roman" w:cs="Times New Roman"/>
        </w:rPr>
        <w:t>solely</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and</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purely</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contractual</w:t>
      </w:r>
      <w:proofErr w:type="spellEnd"/>
      <w:r w:rsidR="00A16DC2" w:rsidRPr="00705170">
        <w:rPr>
          <w:rFonts w:ascii="Times New Roman" w:hAnsi="Times New Roman" w:cs="Times New Roman"/>
        </w:rPr>
        <w:t xml:space="preserve"> in </w:t>
      </w:r>
      <w:proofErr w:type="spellStart"/>
      <w:r w:rsidR="00A16DC2" w:rsidRPr="00705170">
        <w:rPr>
          <w:rFonts w:ascii="Times New Roman" w:hAnsi="Times New Roman" w:cs="Times New Roman"/>
        </w:rPr>
        <w:t>nature</w:t>
      </w:r>
      <w:proofErr w:type="spellEnd"/>
      <w:r w:rsidR="00A16DC2" w:rsidRPr="00705170">
        <w:rPr>
          <w:rStyle w:val="DipnotBavurusu"/>
          <w:rFonts w:ascii="Times New Roman" w:hAnsi="Times New Roman" w:cs="Times New Roman"/>
        </w:rPr>
        <w:footnoteReference w:id="130"/>
      </w:r>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M</w:t>
      </w:r>
      <w:r w:rsidR="0012251E" w:rsidRPr="00705170">
        <w:rPr>
          <w:rFonts w:ascii="Times New Roman" w:hAnsi="Times New Roman" w:cs="Times New Roman"/>
        </w:rPr>
        <w:t>andatory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rules</w:t>
      </w:r>
      <w:proofErr w:type="spellEnd"/>
      <w:r w:rsidR="0012251E" w:rsidRPr="00705170">
        <w:rPr>
          <w:rFonts w:ascii="Times New Roman" w:hAnsi="Times New Roman" w:cs="Times New Roman"/>
        </w:rPr>
        <w:t xml:space="preserve"> of </w:t>
      </w:r>
      <w:proofErr w:type="spellStart"/>
      <w:r w:rsidR="0012251E" w:rsidRPr="00705170">
        <w:rPr>
          <w:rFonts w:ascii="Times New Roman" w:hAnsi="Times New Roman" w:cs="Times New Roman"/>
        </w:rPr>
        <w:t>corporate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law</w:t>
      </w:r>
      <w:proofErr w:type="spellEnd"/>
      <w:r w:rsidR="00981E8E" w:rsidRPr="00705170">
        <w:rPr>
          <w:rFonts w:ascii="Times New Roman" w:hAnsi="Times New Roman" w:cs="Times New Roman"/>
        </w:rPr>
        <w:t xml:space="preserve">, </w:t>
      </w:r>
      <w:proofErr w:type="spellStart"/>
      <w:r w:rsidR="00981E8E" w:rsidRPr="00705170">
        <w:rPr>
          <w:rFonts w:ascii="Times New Roman" w:hAnsi="Times New Roman" w:cs="Times New Roman"/>
        </w:rPr>
        <w:lastRenderedPageBreak/>
        <w:t>including</w:t>
      </w:r>
      <w:proofErr w:type="spellEnd"/>
      <w:r w:rsidR="00981E8E" w:rsidRPr="00705170">
        <w:rPr>
          <w:rFonts w:ascii="Times New Roman" w:hAnsi="Times New Roman" w:cs="Times New Roman"/>
        </w:rPr>
        <w:t xml:space="preserve"> </w:t>
      </w:r>
      <w:proofErr w:type="spellStart"/>
      <w:r w:rsidR="008B20A2">
        <w:rPr>
          <w:rFonts w:ascii="Times New Roman" w:hAnsi="Times New Roman" w:cs="Times New Roman"/>
        </w:rPr>
        <w:t>capital</w:t>
      </w:r>
      <w:proofErr w:type="spellEnd"/>
      <w:r w:rsidR="008B20A2">
        <w:rPr>
          <w:rFonts w:ascii="Times New Roman" w:hAnsi="Times New Roman" w:cs="Times New Roman"/>
        </w:rPr>
        <w:t xml:space="preserve"> market</w:t>
      </w:r>
      <w:r w:rsidR="008B20A2" w:rsidRPr="00705170">
        <w:rPr>
          <w:rFonts w:ascii="Times New Roman" w:hAnsi="Times New Roman" w:cs="Times New Roman"/>
        </w:rPr>
        <w:t xml:space="preserve"> </w:t>
      </w:r>
      <w:proofErr w:type="spellStart"/>
      <w:r w:rsidR="00981E8E" w:rsidRPr="00705170">
        <w:rPr>
          <w:rFonts w:ascii="Times New Roman" w:hAnsi="Times New Roman" w:cs="Times New Roman"/>
        </w:rPr>
        <w:t>law</w:t>
      </w:r>
      <w:proofErr w:type="spellEnd"/>
      <w:r w:rsidR="00981E8E" w:rsidRPr="00705170">
        <w:rPr>
          <w:rFonts w:ascii="Times New Roman" w:hAnsi="Times New Roman" w:cs="Times New Roman"/>
        </w:rPr>
        <w:t>,</w:t>
      </w:r>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consist</w:t>
      </w:r>
      <w:r w:rsidR="00981E8E" w:rsidRPr="00705170">
        <w:rPr>
          <w:rFonts w:ascii="Times New Roman" w:hAnsi="Times New Roman" w:cs="Times New Roman"/>
        </w:rPr>
        <w:t>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unnegotiatable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standard</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terms</w:t>
      </w:r>
      <w:proofErr w:type="spellEnd"/>
      <w:r w:rsidR="0012251E" w:rsidRPr="00705170">
        <w:rPr>
          <w:rFonts w:ascii="Times New Roman" w:hAnsi="Times New Roman" w:cs="Times New Roman"/>
        </w:rPr>
        <w:t xml:space="preserve"> of </w:t>
      </w:r>
      <w:proofErr w:type="spellStart"/>
      <w:r w:rsidR="0012251E" w:rsidRPr="00705170">
        <w:rPr>
          <w:rFonts w:ascii="Times New Roman" w:hAnsi="Times New Roman" w:cs="Times New Roman"/>
        </w:rPr>
        <w:t>the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con</w:t>
      </w:r>
      <w:r w:rsidR="00A16DC2" w:rsidRPr="00705170">
        <w:rPr>
          <w:rFonts w:ascii="Times New Roman" w:hAnsi="Times New Roman" w:cs="Times New Roman"/>
        </w:rPr>
        <w:t>tract</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between</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the</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participants</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and</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law</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will</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give</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contractual</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effect</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to</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the</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bargain</w:t>
      </w:r>
      <w:proofErr w:type="spellEnd"/>
      <w:r w:rsidR="00A16DC2" w:rsidRPr="00705170">
        <w:rPr>
          <w:rFonts w:ascii="Times New Roman" w:hAnsi="Times New Roman" w:cs="Times New Roman"/>
        </w:rPr>
        <w:t xml:space="preserve"> of </w:t>
      </w:r>
      <w:proofErr w:type="spellStart"/>
      <w:r w:rsidR="00A16DC2" w:rsidRPr="00705170">
        <w:rPr>
          <w:rFonts w:ascii="Times New Roman" w:hAnsi="Times New Roman" w:cs="Times New Roman"/>
        </w:rPr>
        <w:t>the</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shar</w:t>
      </w:r>
      <w:r w:rsidR="00DF3D6D" w:rsidRPr="00705170">
        <w:rPr>
          <w:rFonts w:ascii="Times New Roman" w:hAnsi="Times New Roman" w:cs="Times New Roman"/>
        </w:rPr>
        <w:t>eholder</w:t>
      </w:r>
      <w:proofErr w:type="spellEnd"/>
      <w:r w:rsidR="00DF3D6D" w:rsidRPr="00705170">
        <w:rPr>
          <w:rFonts w:ascii="Times New Roman" w:hAnsi="Times New Roman" w:cs="Times New Roman"/>
        </w:rPr>
        <w:t xml:space="preserve"> </w:t>
      </w:r>
      <w:proofErr w:type="spellStart"/>
      <w:r w:rsidR="00DF3D6D" w:rsidRPr="00705170">
        <w:rPr>
          <w:rFonts w:ascii="Times New Roman" w:hAnsi="Times New Roman" w:cs="Times New Roman"/>
        </w:rPr>
        <w:t>and</w:t>
      </w:r>
      <w:proofErr w:type="spellEnd"/>
      <w:r w:rsidR="00DF3D6D" w:rsidRPr="00705170">
        <w:rPr>
          <w:rFonts w:ascii="Times New Roman" w:hAnsi="Times New Roman" w:cs="Times New Roman"/>
        </w:rPr>
        <w:t xml:space="preserve"> </w:t>
      </w:r>
      <w:proofErr w:type="spellStart"/>
      <w:r w:rsidR="00DF3D6D" w:rsidRPr="00705170">
        <w:rPr>
          <w:rFonts w:ascii="Times New Roman" w:hAnsi="Times New Roman" w:cs="Times New Roman"/>
        </w:rPr>
        <w:t>the</w:t>
      </w:r>
      <w:proofErr w:type="spellEnd"/>
      <w:r w:rsidR="00DF3D6D" w:rsidRPr="00705170">
        <w:rPr>
          <w:rFonts w:ascii="Times New Roman" w:hAnsi="Times New Roman" w:cs="Times New Roman"/>
        </w:rPr>
        <w:t xml:space="preserve"> </w:t>
      </w:r>
      <w:proofErr w:type="spellStart"/>
      <w:r w:rsidR="00DF3D6D" w:rsidRPr="00705170">
        <w:rPr>
          <w:rFonts w:ascii="Times New Roman" w:hAnsi="Times New Roman" w:cs="Times New Roman"/>
        </w:rPr>
        <w:t>corporation</w:t>
      </w:r>
      <w:proofErr w:type="spellEnd"/>
      <w:r w:rsidR="00DF3D6D" w:rsidRPr="00705170">
        <w:rPr>
          <w:rFonts w:ascii="Times New Roman" w:hAnsi="Times New Roman" w:cs="Times New Roman"/>
        </w:rPr>
        <w:t xml:space="preserve"> </w:t>
      </w:r>
      <w:proofErr w:type="spellStart"/>
      <w:r w:rsidR="00A16DC2" w:rsidRPr="00705170">
        <w:rPr>
          <w:rFonts w:ascii="Times New Roman" w:hAnsi="Times New Roman" w:cs="Times New Roman"/>
        </w:rPr>
        <w:t>only</w:t>
      </w:r>
      <w:proofErr w:type="spellEnd"/>
      <w:r w:rsidR="00A16DC2" w:rsidRPr="00705170">
        <w:rPr>
          <w:rFonts w:ascii="Times New Roman" w:hAnsi="Times New Roman" w:cs="Times New Roman"/>
        </w:rPr>
        <w:t xml:space="preserve"> </w:t>
      </w:r>
      <w:proofErr w:type="spellStart"/>
      <w:r w:rsidR="00DF3D6D" w:rsidRPr="00705170">
        <w:rPr>
          <w:rFonts w:ascii="Times New Roman" w:hAnsi="Times New Roman" w:cs="Times New Roman"/>
        </w:rPr>
        <w:t>if</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they</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are</w:t>
      </w:r>
      <w:proofErr w:type="spellEnd"/>
      <w:r w:rsidR="00A16DC2" w:rsidRPr="00705170">
        <w:rPr>
          <w:rFonts w:ascii="Times New Roman" w:hAnsi="Times New Roman" w:cs="Times New Roman"/>
        </w:rPr>
        <w:t xml:space="preserve"> not </w:t>
      </w:r>
      <w:proofErr w:type="spellStart"/>
      <w:r w:rsidR="00A16DC2" w:rsidRPr="00705170">
        <w:rPr>
          <w:rFonts w:ascii="Times New Roman" w:hAnsi="Times New Roman" w:cs="Times New Roman"/>
        </w:rPr>
        <w:t>against</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generic</w:t>
      </w:r>
      <w:proofErr w:type="spellEnd"/>
      <w:r w:rsidR="00A16DC2" w:rsidRPr="00705170">
        <w:rPr>
          <w:rFonts w:ascii="Times New Roman" w:hAnsi="Times New Roman" w:cs="Times New Roman"/>
        </w:rPr>
        <w:t xml:space="preserve"> legal </w:t>
      </w:r>
      <w:proofErr w:type="spellStart"/>
      <w:r w:rsidR="00A16DC2" w:rsidRPr="00705170">
        <w:rPr>
          <w:rFonts w:ascii="Times New Roman" w:hAnsi="Times New Roman" w:cs="Times New Roman"/>
        </w:rPr>
        <w:t>limits</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to</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contracts</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such</w:t>
      </w:r>
      <w:proofErr w:type="spellEnd"/>
      <w:r w:rsidR="00A16DC2" w:rsidRPr="00705170">
        <w:rPr>
          <w:rFonts w:ascii="Times New Roman" w:hAnsi="Times New Roman" w:cs="Times New Roman"/>
        </w:rPr>
        <w:t xml:space="preserve"> as </w:t>
      </w:r>
      <w:proofErr w:type="spellStart"/>
      <w:r w:rsidR="00A16DC2" w:rsidRPr="00705170">
        <w:rPr>
          <w:rFonts w:ascii="Times New Roman" w:hAnsi="Times New Roman" w:cs="Times New Roman"/>
        </w:rPr>
        <w:t>illegality</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or</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public</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policy</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considerations</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and</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mandatory</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rules</w:t>
      </w:r>
      <w:proofErr w:type="spellEnd"/>
      <w:r w:rsidR="00A16DC2" w:rsidRPr="00705170">
        <w:rPr>
          <w:rFonts w:ascii="Times New Roman" w:hAnsi="Times New Roman" w:cs="Times New Roman"/>
        </w:rPr>
        <w:t xml:space="preserve"> of </w:t>
      </w:r>
      <w:proofErr w:type="spellStart"/>
      <w:r w:rsidR="00A16DC2" w:rsidRPr="00705170">
        <w:rPr>
          <w:rFonts w:ascii="Times New Roman" w:hAnsi="Times New Roman" w:cs="Times New Roman"/>
        </w:rPr>
        <w:t>corporate</w:t>
      </w:r>
      <w:proofErr w:type="spellEnd"/>
      <w:r w:rsidR="00A16DC2" w:rsidRPr="00705170">
        <w:rPr>
          <w:rFonts w:ascii="Times New Roman" w:hAnsi="Times New Roman" w:cs="Times New Roman"/>
        </w:rPr>
        <w:t xml:space="preserve"> </w:t>
      </w:r>
      <w:proofErr w:type="spellStart"/>
      <w:r w:rsidR="00A16DC2" w:rsidRPr="00705170">
        <w:rPr>
          <w:rFonts w:ascii="Times New Roman" w:hAnsi="Times New Roman" w:cs="Times New Roman"/>
        </w:rPr>
        <w:t>law</w:t>
      </w:r>
      <w:proofErr w:type="spellEnd"/>
      <w:r w:rsidR="00A16DC2" w:rsidRPr="00705170">
        <w:rPr>
          <w:rStyle w:val="DipnotBavurusu"/>
          <w:rFonts w:ascii="Times New Roman" w:hAnsi="Times New Roman" w:cs="Times New Roman"/>
        </w:rPr>
        <w:footnoteReference w:id="131"/>
      </w:r>
      <w:r w:rsidR="00A16DC2" w:rsidRPr="00705170">
        <w:rPr>
          <w:rFonts w:ascii="Times New Roman" w:hAnsi="Times New Roman" w:cs="Times New Roman"/>
        </w:rPr>
        <w:t xml:space="preserve">. </w:t>
      </w:r>
      <w:r w:rsidR="00506FF5" w:rsidRPr="00705170">
        <w:rPr>
          <w:rFonts w:ascii="Times New Roman" w:hAnsi="Times New Roman" w:cs="Times New Roman"/>
        </w:rPr>
        <w:t xml:space="preserve">Of </w:t>
      </w:r>
      <w:proofErr w:type="spellStart"/>
      <w:r w:rsidR="00506FF5" w:rsidRPr="00705170">
        <w:rPr>
          <w:rFonts w:ascii="Times New Roman" w:hAnsi="Times New Roman" w:cs="Times New Roman"/>
        </w:rPr>
        <w:t>course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for</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law</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to</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fulfill</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its</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function</w:t>
      </w:r>
      <w:proofErr w:type="spellEnd"/>
      <w:r w:rsidR="00506FF5" w:rsidRPr="00705170">
        <w:rPr>
          <w:rFonts w:ascii="Times New Roman" w:hAnsi="Times New Roman" w:cs="Times New Roman"/>
        </w:rPr>
        <w:t xml:space="preserve"> of </w:t>
      </w:r>
      <w:proofErr w:type="spellStart"/>
      <w:r w:rsidR="00506FF5" w:rsidRPr="00705170">
        <w:rPr>
          <w:rFonts w:ascii="Times New Roman" w:hAnsi="Times New Roman" w:cs="Times New Roman"/>
        </w:rPr>
        <w:t>lowering</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the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transaction</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costs</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for</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the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participants</w:t>
      </w:r>
      <w:proofErr w:type="spellEnd"/>
      <w:r w:rsidR="00EE6672" w:rsidRPr="00705170">
        <w:rPr>
          <w:rStyle w:val="DipnotBavurusu"/>
          <w:rFonts w:ascii="Times New Roman" w:hAnsi="Times New Roman" w:cs="Times New Roman"/>
        </w:rPr>
        <w:footnoteReference w:id="132"/>
      </w:r>
      <w:r w:rsidR="00506FF5" w:rsidRPr="00705170">
        <w:rPr>
          <w:rFonts w:ascii="Times New Roman" w:hAnsi="Times New Roman" w:cs="Times New Roman"/>
        </w:rPr>
        <w:t>,</w:t>
      </w:r>
      <w:r w:rsidR="0012251E" w:rsidRPr="00705170">
        <w:rPr>
          <w:rFonts w:ascii="Times New Roman" w:hAnsi="Times New Roman" w:cs="Times New Roman"/>
        </w:rPr>
        <w:t xml:space="preserve"> </w:t>
      </w:r>
      <w:proofErr w:type="spellStart"/>
      <w:r w:rsidR="00506FF5" w:rsidRPr="00705170">
        <w:rPr>
          <w:rFonts w:ascii="Times New Roman" w:hAnsi="Times New Roman" w:cs="Times New Roman"/>
        </w:rPr>
        <w:t>these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mandatory</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rules</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should</w:t>
      </w:r>
      <w:proofErr w:type="spellEnd"/>
      <w:r w:rsidR="00506FF5" w:rsidRPr="00705170">
        <w:rPr>
          <w:rFonts w:ascii="Times New Roman" w:hAnsi="Times New Roman" w:cs="Times New Roman"/>
        </w:rPr>
        <w:t xml:space="preserve"> </w:t>
      </w:r>
      <w:proofErr w:type="spellStart"/>
      <w:r w:rsidR="008B20A2">
        <w:rPr>
          <w:rFonts w:ascii="Times New Roman" w:hAnsi="Times New Roman" w:cs="Times New Roman"/>
        </w:rPr>
        <w:t>reflect</w:t>
      </w:r>
      <w:proofErr w:type="spellEnd"/>
      <w:r w:rsidR="008B20A2" w:rsidRPr="00705170">
        <w:rPr>
          <w:rFonts w:ascii="Times New Roman" w:hAnsi="Times New Roman" w:cs="Times New Roman"/>
        </w:rPr>
        <w:t xml:space="preserve"> </w:t>
      </w:r>
      <w:proofErr w:type="spellStart"/>
      <w:r w:rsidR="00506FF5" w:rsidRPr="00705170">
        <w:rPr>
          <w:rFonts w:ascii="Times New Roman" w:hAnsi="Times New Roman" w:cs="Times New Roman"/>
        </w:rPr>
        <w:t>the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terms</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that</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corporate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participants</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would</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simply</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have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wanted</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them</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to</w:t>
      </w:r>
      <w:proofErr w:type="spellEnd"/>
      <w:r w:rsidR="00506FF5" w:rsidRPr="00705170">
        <w:rPr>
          <w:rFonts w:ascii="Times New Roman" w:hAnsi="Times New Roman" w:cs="Times New Roman"/>
        </w:rPr>
        <w:t xml:space="preserve"> be </w:t>
      </w:r>
      <w:proofErr w:type="spellStart"/>
      <w:r w:rsidR="00506FF5" w:rsidRPr="00705170">
        <w:rPr>
          <w:rFonts w:ascii="Times New Roman" w:hAnsi="Times New Roman" w:cs="Times New Roman"/>
        </w:rPr>
        <w:t>written</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into</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the</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contract</w:t>
      </w:r>
      <w:proofErr w:type="spellEnd"/>
      <w:r w:rsidR="00506FF5" w:rsidRPr="00705170">
        <w:rPr>
          <w:rFonts w:ascii="Times New Roman" w:hAnsi="Times New Roman" w:cs="Times New Roman"/>
        </w:rPr>
        <w:t xml:space="preserve"> </w:t>
      </w:r>
      <w:proofErr w:type="spellStart"/>
      <w:r w:rsidR="0012251E" w:rsidRPr="00705170">
        <w:rPr>
          <w:rFonts w:ascii="Times New Roman" w:hAnsi="Times New Roman" w:cs="Times New Roman"/>
        </w:rPr>
        <w:t>if</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laws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were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w:t>
      </w:r>
      <w:r w:rsidR="00506FF5" w:rsidRPr="00705170">
        <w:rPr>
          <w:rFonts w:ascii="Times New Roman" w:hAnsi="Times New Roman" w:cs="Times New Roman"/>
        </w:rPr>
        <w:t>mended</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to</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drop</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all</w:t>
      </w:r>
      <w:proofErr w:type="spellEnd"/>
      <w:r w:rsidR="00506FF5" w:rsidRPr="00705170">
        <w:rPr>
          <w:rFonts w:ascii="Times New Roman" w:hAnsi="Times New Roman" w:cs="Times New Roman"/>
        </w:rPr>
        <w:t xml:space="preserve"> </w:t>
      </w:r>
      <w:proofErr w:type="spellStart"/>
      <w:r w:rsidR="00506FF5" w:rsidRPr="00705170">
        <w:rPr>
          <w:rFonts w:ascii="Times New Roman" w:hAnsi="Times New Roman" w:cs="Times New Roman"/>
        </w:rPr>
        <w:t>limitations</w:t>
      </w:r>
      <w:proofErr w:type="spellEnd"/>
      <w:r w:rsidR="0012251E" w:rsidRPr="00705170">
        <w:rPr>
          <w:rStyle w:val="DipnotBavurusu"/>
          <w:rFonts w:ascii="Times New Roman" w:hAnsi="Times New Roman" w:cs="Times New Roman"/>
        </w:rPr>
        <w:footnoteReference w:id="133"/>
      </w:r>
      <w:r w:rsidR="00506FF5" w:rsidRPr="00705170">
        <w:rPr>
          <w:rFonts w:ascii="Times New Roman" w:hAnsi="Times New Roman" w:cs="Times New Roman"/>
        </w:rPr>
        <w:t>.</w:t>
      </w:r>
      <w:r w:rsidR="00A16DC2" w:rsidRPr="00705170">
        <w:rPr>
          <w:rFonts w:ascii="Times New Roman" w:hAnsi="Times New Roman" w:cs="Times New Roman"/>
        </w:rPr>
        <w:t xml:space="preserve"> </w:t>
      </w:r>
      <w:proofErr w:type="spellStart"/>
      <w:r w:rsidR="00D162BA" w:rsidRPr="00705170">
        <w:rPr>
          <w:rFonts w:ascii="Times New Roman" w:hAnsi="Times New Roman" w:cs="Times New Roman"/>
        </w:rPr>
        <w:t>In</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fact</w:t>
      </w:r>
      <w:proofErr w:type="spellEnd"/>
      <w:r w:rsidR="00D162BA" w:rsidRPr="00705170">
        <w:rPr>
          <w:rFonts w:ascii="Times New Roman" w:hAnsi="Times New Roman" w:cs="Times New Roman"/>
        </w:rPr>
        <w:t xml:space="preserve">, it is </w:t>
      </w:r>
      <w:proofErr w:type="spellStart"/>
      <w:r w:rsidR="00D162BA" w:rsidRPr="00705170">
        <w:rPr>
          <w:rFonts w:ascii="Times New Roman" w:hAnsi="Times New Roman" w:cs="Times New Roman"/>
        </w:rPr>
        <w:t>claimed</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that</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statutory</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norms</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generally</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mirror</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the</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structures</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favored</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by</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partcipants</w:t>
      </w:r>
      <w:proofErr w:type="spellEnd"/>
      <w:r w:rsidR="00D162BA" w:rsidRPr="00705170">
        <w:rPr>
          <w:rFonts w:ascii="Times New Roman" w:hAnsi="Times New Roman" w:cs="Times New Roman"/>
        </w:rPr>
        <w:t xml:space="preserve"> of </w:t>
      </w:r>
      <w:proofErr w:type="spellStart"/>
      <w:r w:rsidR="00D162BA" w:rsidRPr="00705170">
        <w:rPr>
          <w:rFonts w:ascii="Times New Roman" w:hAnsi="Times New Roman" w:cs="Times New Roman"/>
        </w:rPr>
        <w:t>publicly</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traded</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corporations</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so</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law</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seems</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successful</w:t>
      </w:r>
      <w:proofErr w:type="spellEnd"/>
      <w:r w:rsidR="00D162BA" w:rsidRPr="00705170">
        <w:rPr>
          <w:rFonts w:ascii="Times New Roman" w:hAnsi="Times New Roman" w:cs="Times New Roman"/>
        </w:rPr>
        <w:t xml:space="preserve"> in </w:t>
      </w:r>
      <w:proofErr w:type="spellStart"/>
      <w:r w:rsidR="00D162BA" w:rsidRPr="00705170">
        <w:rPr>
          <w:rFonts w:ascii="Times New Roman" w:hAnsi="Times New Roman" w:cs="Times New Roman"/>
        </w:rPr>
        <w:t>fulfilling</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its</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function</w:t>
      </w:r>
      <w:proofErr w:type="spellEnd"/>
      <w:r w:rsidR="00D162BA" w:rsidRPr="00705170">
        <w:rPr>
          <w:rFonts w:ascii="Times New Roman" w:hAnsi="Times New Roman" w:cs="Times New Roman"/>
        </w:rPr>
        <w:t xml:space="preserve"> in </w:t>
      </w:r>
      <w:proofErr w:type="spellStart"/>
      <w:r w:rsidR="00D162BA" w:rsidRPr="00705170">
        <w:rPr>
          <w:rFonts w:ascii="Times New Roman" w:hAnsi="Times New Roman" w:cs="Times New Roman"/>
        </w:rPr>
        <w:t>the</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publicly</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traded</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corporation</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context</w:t>
      </w:r>
      <w:proofErr w:type="spellEnd"/>
      <w:r w:rsidR="00D162BA" w:rsidRPr="00705170">
        <w:rPr>
          <w:rFonts w:ascii="Times New Roman" w:hAnsi="Times New Roman" w:cs="Times New Roman"/>
        </w:rPr>
        <w:t xml:space="preserve">, but </w:t>
      </w:r>
      <w:proofErr w:type="spellStart"/>
      <w:r w:rsidR="00D162BA" w:rsidRPr="00705170">
        <w:rPr>
          <w:rFonts w:ascii="Times New Roman" w:hAnsi="Times New Roman" w:cs="Times New Roman"/>
        </w:rPr>
        <w:t>this</w:t>
      </w:r>
      <w:proofErr w:type="spellEnd"/>
      <w:r w:rsidR="00683D4A" w:rsidRPr="00705170">
        <w:rPr>
          <w:rFonts w:ascii="Times New Roman" w:hAnsi="Times New Roman" w:cs="Times New Roman"/>
        </w:rPr>
        <w:t xml:space="preserve"> is </w:t>
      </w:r>
      <w:proofErr w:type="spellStart"/>
      <w:r w:rsidR="00683D4A" w:rsidRPr="00705170">
        <w:rPr>
          <w:rFonts w:ascii="Times New Roman" w:hAnsi="Times New Roman" w:cs="Times New Roman"/>
        </w:rPr>
        <w:t>more</w:t>
      </w:r>
      <w:proofErr w:type="spellEnd"/>
      <w:r w:rsidR="00D162BA" w:rsidRPr="00705170">
        <w:rPr>
          <w:rFonts w:ascii="Times New Roman" w:hAnsi="Times New Roman" w:cs="Times New Roman"/>
        </w:rPr>
        <w:t xml:space="preserve"> </w:t>
      </w:r>
      <w:proofErr w:type="spellStart"/>
      <w:r w:rsidR="00683D4A" w:rsidRPr="00705170">
        <w:rPr>
          <w:rFonts w:ascii="Times New Roman" w:hAnsi="Times New Roman" w:cs="Times New Roman"/>
        </w:rPr>
        <w:t>debatable</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regarding</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the</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law</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governing</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the</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close</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corporations</w:t>
      </w:r>
      <w:proofErr w:type="spellEnd"/>
      <w:r w:rsidR="00D162BA" w:rsidRPr="00705170">
        <w:rPr>
          <w:rFonts w:ascii="Times New Roman" w:hAnsi="Times New Roman" w:cs="Times New Roman"/>
        </w:rPr>
        <w:t xml:space="preserve"> </w:t>
      </w:r>
      <w:proofErr w:type="spellStart"/>
      <w:r w:rsidR="00D162BA" w:rsidRPr="00705170">
        <w:rPr>
          <w:rFonts w:ascii="Times New Roman" w:hAnsi="Times New Roman" w:cs="Times New Roman"/>
        </w:rPr>
        <w:t>participants</w:t>
      </w:r>
      <w:proofErr w:type="spellEnd"/>
      <w:r w:rsidR="00D162BA" w:rsidRPr="00705170">
        <w:rPr>
          <w:rStyle w:val="DipnotBavurusu"/>
          <w:rFonts w:ascii="Times New Roman" w:hAnsi="Times New Roman" w:cs="Times New Roman"/>
        </w:rPr>
        <w:footnoteReference w:id="134"/>
      </w:r>
      <w:r w:rsidR="00D162BA" w:rsidRPr="00705170">
        <w:rPr>
          <w:rFonts w:ascii="Times New Roman" w:hAnsi="Times New Roman" w:cs="Times New Roman"/>
        </w:rPr>
        <w:t>.</w:t>
      </w:r>
    </w:p>
    <w:p w14:paraId="7849B920" w14:textId="2546F0E8" w:rsidR="0012251E" w:rsidRPr="00705170" w:rsidRDefault="00981E8E" w:rsidP="0012251E">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lastRenderedPageBreak/>
        <w:t>It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well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understood</w:t>
      </w:r>
      <w:proofErr w:type="spellEnd"/>
      <w:r w:rsidRPr="00705170">
        <w:rPr>
          <w:rFonts w:ascii="Times New Roman" w:hAnsi="Times New Roman" w:cs="Times New Roman"/>
        </w:rPr>
        <w:t xml:space="preserve"> </w:t>
      </w:r>
      <w:proofErr w:type="spellStart"/>
      <w:r w:rsidR="0012251E" w:rsidRPr="00705170">
        <w:rPr>
          <w:rFonts w:ascii="Times New Roman" w:hAnsi="Times New Roman" w:cs="Times New Roman"/>
        </w:rPr>
        <w:t>that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parties</w:t>
      </w:r>
      <w:proofErr w:type="spellEnd"/>
      <w:r w:rsidR="0012251E" w:rsidRPr="00705170">
        <w:rPr>
          <w:rFonts w:ascii="Times New Roman" w:hAnsi="Times New Roman" w:cs="Times New Roman"/>
        </w:rPr>
        <w:t xml:space="preserve"> in </w:t>
      </w:r>
      <w:proofErr w:type="spellStart"/>
      <w:r w:rsidR="0012251E" w:rsidRPr="00705170">
        <w:rPr>
          <w:rFonts w:ascii="Times New Roman" w:hAnsi="Times New Roman" w:cs="Times New Roman"/>
        </w:rPr>
        <w:t>long</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term</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transactions</w:t>
      </w:r>
      <w:proofErr w:type="spellEnd"/>
      <w:r w:rsidR="0072394A" w:rsidRPr="00705170">
        <w:rPr>
          <w:rFonts w:ascii="Times New Roman" w:hAnsi="Times New Roman" w:cs="Times New Roman"/>
        </w:rPr>
        <w:t xml:space="preserve"> </w:t>
      </w:r>
      <w:proofErr w:type="spellStart"/>
      <w:r w:rsidR="0072394A" w:rsidRPr="00705170">
        <w:rPr>
          <w:rFonts w:ascii="Times New Roman" w:hAnsi="Times New Roman" w:cs="Times New Roman"/>
        </w:rPr>
        <w:t>or</w:t>
      </w:r>
      <w:proofErr w:type="spellEnd"/>
      <w:r w:rsidR="0072394A" w:rsidRPr="00705170">
        <w:rPr>
          <w:rFonts w:ascii="Times New Roman" w:hAnsi="Times New Roman" w:cs="Times New Roman"/>
        </w:rPr>
        <w:t xml:space="preserve"> </w:t>
      </w:r>
      <w:proofErr w:type="spellStart"/>
      <w:r w:rsidR="0072394A" w:rsidRPr="00705170">
        <w:rPr>
          <w:rFonts w:ascii="Times New Roman" w:hAnsi="Times New Roman" w:cs="Times New Roman"/>
        </w:rPr>
        <w:t>contracts</w:t>
      </w:r>
      <w:proofErr w:type="spellEnd"/>
      <w:r w:rsidR="00073F71" w:rsidRPr="00705170">
        <w:rPr>
          <w:rFonts w:ascii="Times New Roman" w:hAnsi="Times New Roman" w:cs="Times New Roman"/>
        </w:rPr>
        <w:t xml:space="preserve"> (</w:t>
      </w:r>
      <w:proofErr w:type="spellStart"/>
      <w:r w:rsidR="00073F71" w:rsidRPr="00705170">
        <w:rPr>
          <w:rFonts w:ascii="Times New Roman" w:hAnsi="Times New Roman" w:cs="Times New Roman"/>
        </w:rPr>
        <w:t>i.e</w:t>
      </w:r>
      <w:proofErr w:type="spellEnd"/>
      <w:r w:rsidR="00073F71" w:rsidRPr="00705170">
        <w:rPr>
          <w:rFonts w:ascii="Times New Roman" w:hAnsi="Times New Roman" w:cs="Times New Roman"/>
        </w:rPr>
        <w:t xml:space="preserve">., </w:t>
      </w:r>
      <w:proofErr w:type="spellStart"/>
      <w:r w:rsidR="00073F71" w:rsidRPr="00705170">
        <w:rPr>
          <w:rFonts w:ascii="Times New Roman" w:hAnsi="Times New Roman" w:cs="Times New Roman"/>
        </w:rPr>
        <w:t>relational</w:t>
      </w:r>
      <w:proofErr w:type="spellEnd"/>
      <w:r w:rsidR="00073F71" w:rsidRPr="00705170">
        <w:rPr>
          <w:rFonts w:ascii="Times New Roman" w:hAnsi="Times New Roman" w:cs="Times New Roman"/>
        </w:rPr>
        <w:t xml:space="preserve"> </w:t>
      </w:r>
      <w:proofErr w:type="spellStart"/>
      <w:r w:rsidR="00073F71" w:rsidRPr="00705170">
        <w:rPr>
          <w:rFonts w:ascii="Times New Roman" w:hAnsi="Times New Roman" w:cs="Times New Roman"/>
        </w:rPr>
        <w:t>contracts</w:t>
      </w:r>
      <w:proofErr w:type="spellEnd"/>
      <w:r w:rsidR="00073F71" w:rsidRPr="00705170">
        <w:rPr>
          <w:rFonts w:ascii="Times New Roman" w:hAnsi="Times New Roman" w:cs="Times New Roman"/>
        </w:rPr>
        <w:t>)</w:t>
      </w:r>
      <w:r w:rsidR="00073F71" w:rsidRPr="00705170">
        <w:rPr>
          <w:rStyle w:val="DipnotBavurusu"/>
          <w:rFonts w:ascii="Times New Roman" w:hAnsi="Times New Roman" w:cs="Times New Roman"/>
        </w:rPr>
        <w:footnoteReference w:id="135"/>
      </w:r>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such</w:t>
      </w:r>
      <w:proofErr w:type="spellEnd"/>
      <w:r w:rsidR="0012251E" w:rsidRPr="00705170">
        <w:rPr>
          <w:rFonts w:ascii="Times New Roman" w:hAnsi="Times New Roman" w:cs="Times New Roman"/>
        </w:rPr>
        <w:t xml:space="preserve"> as </w:t>
      </w:r>
      <w:proofErr w:type="spellStart"/>
      <w:r w:rsidR="0012251E" w:rsidRPr="00705170">
        <w:rPr>
          <w:rFonts w:ascii="Times New Roman" w:hAnsi="Times New Roman" w:cs="Times New Roman"/>
        </w:rPr>
        <w:t>shareholders</w:t>
      </w:r>
      <w:proofErr w:type="spellEnd"/>
      <w:r w:rsidR="0012251E" w:rsidRPr="00705170">
        <w:rPr>
          <w:rFonts w:ascii="Times New Roman" w:hAnsi="Times New Roman" w:cs="Times New Roman"/>
        </w:rPr>
        <w:t xml:space="preserve"> in </w:t>
      </w:r>
      <w:proofErr w:type="spellStart"/>
      <w:r w:rsidR="0012251E" w:rsidRPr="00705170">
        <w:rPr>
          <w:rFonts w:ascii="Times New Roman" w:hAnsi="Times New Roman" w:cs="Times New Roman"/>
        </w:rPr>
        <w:t>corporations</w:t>
      </w:r>
      <w:proofErr w:type="spellEnd"/>
      <w:r w:rsidR="0012251E" w:rsidRPr="00705170">
        <w:rPr>
          <w:rFonts w:ascii="Times New Roman" w:hAnsi="Times New Roman" w:cs="Times New Roman"/>
        </w:rPr>
        <w:t xml:space="preserve">, do not </w:t>
      </w:r>
      <w:proofErr w:type="spellStart"/>
      <w:r w:rsidR="0012251E" w:rsidRPr="00705170">
        <w:rPr>
          <w:rFonts w:ascii="Times New Roman" w:hAnsi="Times New Roman" w:cs="Times New Roman"/>
        </w:rPr>
        <w:t>adopt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complete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contracts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which</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addresses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all</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potential</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contingencies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and</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conflicts</w:t>
      </w:r>
      <w:proofErr w:type="spellEnd"/>
      <w:r w:rsidRPr="00705170">
        <w:rPr>
          <w:rStyle w:val="DipnotBavurusu"/>
          <w:rFonts w:ascii="Times New Roman" w:hAnsi="Times New Roman" w:cs="Times New Roman"/>
        </w:rPr>
        <w:footnoteReference w:id="136"/>
      </w:r>
      <w:r w:rsidRPr="00705170">
        <w:rPr>
          <w:rFonts w:ascii="Times New Roman" w:hAnsi="Times New Roman" w:cs="Times New Roman"/>
        </w:rPr>
        <w:t xml:space="preserve">. </w:t>
      </w:r>
      <w:r w:rsidR="006237E6" w:rsidRPr="00705170">
        <w:rPr>
          <w:rFonts w:ascii="Times New Roman" w:hAnsi="Times New Roman" w:cs="Times New Roman"/>
        </w:rPr>
        <w:t>“</w:t>
      </w:r>
      <w:proofErr w:type="spellStart"/>
      <w:r w:rsidR="006237E6" w:rsidRPr="00705170">
        <w:rPr>
          <w:rFonts w:ascii="Times New Roman" w:hAnsi="Times New Roman" w:cs="Times New Roman"/>
        </w:rPr>
        <w:t>Transaction</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costs</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affect</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the</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ability</w:t>
      </w:r>
      <w:proofErr w:type="spellEnd"/>
      <w:r w:rsidR="006237E6" w:rsidRPr="00705170">
        <w:rPr>
          <w:rFonts w:ascii="Times New Roman" w:hAnsi="Times New Roman" w:cs="Times New Roman"/>
        </w:rPr>
        <w:t xml:space="preserve"> of </w:t>
      </w:r>
      <w:proofErr w:type="spellStart"/>
      <w:r w:rsidR="006237E6" w:rsidRPr="00705170">
        <w:rPr>
          <w:rFonts w:ascii="Times New Roman" w:hAnsi="Times New Roman" w:cs="Times New Roman"/>
        </w:rPr>
        <w:t>the</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parties</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to</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make</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exhaustive</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agreements</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capable</w:t>
      </w:r>
      <w:proofErr w:type="spellEnd"/>
      <w:r w:rsidR="006237E6" w:rsidRPr="00705170">
        <w:rPr>
          <w:rFonts w:ascii="Times New Roman" w:hAnsi="Times New Roman" w:cs="Times New Roman"/>
        </w:rPr>
        <w:t xml:space="preserve"> of </w:t>
      </w:r>
      <w:proofErr w:type="spellStart"/>
      <w:r w:rsidR="006237E6" w:rsidRPr="00705170">
        <w:rPr>
          <w:rFonts w:ascii="Times New Roman" w:hAnsi="Times New Roman" w:cs="Times New Roman"/>
        </w:rPr>
        <w:t>addressing</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all</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possible</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contingencies</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that</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may</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arise</w:t>
      </w:r>
      <w:proofErr w:type="spellEnd"/>
      <w:r w:rsidR="006237E6" w:rsidRPr="00705170">
        <w:rPr>
          <w:rFonts w:ascii="Times New Roman" w:hAnsi="Times New Roman" w:cs="Times New Roman"/>
        </w:rPr>
        <w:t xml:space="preserve"> in </w:t>
      </w:r>
      <w:proofErr w:type="spellStart"/>
      <w:r w:rsidR="006237E6" w:rsidRPr="00705170">
        <w:rPr>
          <w:rFonts w:ascii="Times New Roman" w:hAnsi="Times New Roman" w:cs="Times New Roman"/>
        </w:rPr>
        <w:t>the</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course</w:t>
      </w:r>
      <w:proofErr w:type="spellEnd"/>
      <w:r w:rsidR="006237E6" w:rsidRPr="00705170">
        <w:rPr>
          <w:rFonts w:ascii="Times New Roman" w:hAnsi="Times New Roman" w:cs="Times New Roman"/>
        </w:rPr>
        <w:t xml:space="preserve"> of </w:t>
      </w:r>
      <w:proofErr w:type="spellStart"/>
      <w:r w:rsidR="006237E6" w:rsidRPr="00705170">
        <w:rPr>
          <w:rFonts w:ascii="Times New Roman" w:hAnsi="Times New Roman" w:cs="Times New Roman"/>
        </w:rPr>
        <w:t>their</w:t>
      </w:r>
      <w:proofErr w:type="spellEnd"/>
      <w:r w:rsidR="006237E6" w:rsidRPr="00705170">
        <w:rPr>
          <w:rFonts w:ascii="Times New Roman" w:hAnsi="Times New Roman" w:cs="Times New Roman"/>
        </w:rPr>
        <w:t xml:space="preserve"> </w:t>
      </w:r>
      <w:proofErr w:type="spellStart"/>
      <w:r w:rsidR="006237E6" w:rsidRPr="00705170">
        <w:rPr>
          <w:rFonts w:ascii="Times New Roman" w:hAnsi="Times New Roman" w:cs="Times New Roman"/>
        </w:rPr>
        <w:t>relationship</w:t>
      </w:r>
      <w:proofErr w:type="spellEnd"/>
      <w:r w:rsidR="006237E6" w:rsidRPr="00705170">
        <w:rPr>
          <w:rFonts w:ascii="Times New Roman" w:hAnsi="Times New Roman" w:cs="Times New Roman"/>
        </w:rPr>
        <w:t>”</w:t>
      </w:r>
      <w:r w:rsidR="006237E6" w:rsidRPr="00705170">
        <w:rPr>
          <w:rStyle w:val="DipnotBavurusu"/>
          <w:rFonts w:ascii="Times New Roman" w:hAnsi="Times New Roman" w:cs="Times New Roman"/>
        </w:rPr>
        <w:footnoteReference w:id="137"/>
      </w:r>
      <w:r w:rsidR="006237E6" w:rsidRPr="00705170">
        <w:rPr>
          <w:rFonts w:ascii="Times New Roman" w:hAnsi="Times New Roman" w:cs="Times New Roman"/>
        </w:rPr>
        <w:t xml:space="preserve">. </w:t>
      </w:r>
      <w:proofErr w:type="spellStart"/>
      <w:r w:rsidR="00630B75" w:rsidRPr="00705170">
        <w:rPr>
          <w:rFonts w:ascii="Times New Roman" w:hAnsi="Times New Roman" w:cs="Times New Roman"/>
        </w:rPr>
        <w:t>Hence</w:t>
      </w:r>
      <w:proofErr w:type="spellEnd"/>
      <w:r w:rsidR="00630B75" w:rsidRPr="00705170">
        <w:rPr>
          <w:rFonts w:ascii="Times New Roman" w:hAnsi="Times New Roman" w:cs="Times New Roman"/>
        </w:rPr>
        <w:t xml:space="preserve">, </w:t>
      </w:r>
      <w:proofErr w:type="spellStart"/>
      <w:r w:rsidR="00630B75" w:rsidRPr="00705170">
        <w:rPr>
          <w:rFonts w:ascii="Times New Roman" w:hAnsi="Times New Roman" w:cs="Times New Roman"/>
        </w:rPr>
        <w:t>o</w:t>
      </w:r>
      <w:r w:rsidR="002E6F25" w:rsidRPr="00705170">
        <w:rPr>
          <w:rFonts w:ascii="Times New Roman" w:hAnsi="Times New Roman" w:cs="Times New Roman"/>
        </w:rPr>
        <w:t>ne</w:t>
      </w:r>
      <w:proofErr w:type="spellEnd"/>
      <w:r w:rsidR="002E6F25" w:rsidRPr="00705170">
        <w:rPr>
          <w:rFonts w:ascii="Times New Roman" w:hAnsi="Times New Roman" w:cs="Times New Roman"/>
        </w:rPr>
        <w:t xml:space="preserve"> </w:t>
      </w:r>
      <w:proofErr w:type="spellStart"/>
      <w:r w:rsidR="002E6F25" w:rsidRPr="00705170">
        <w:rPr>
          <w:rFonts w:ascii="Times New Roman" w:hAnsi="Times New Roman" w:cs="Times New Roman"/>
        </w:rPr>
        <w:t>important</w:t>
      </w:r>
      <w:proofErr w:type="spellEnd"/>
      <w:r w:rsidR="002E6F25" w:rsidRPr="00705170">
        <w:rPr>
          <w:rFonts w:ascii="Times New Roman" w:hAnsi="Times New Roman" w:cs="Times New Roman"/>
        </w:rPr>
        <w:t xml:space="preserve"> </w:t>
      </w:r>
      <w:proofErr w:type="spellStart"/>
      <w:r w:rsidR="002E6F25" w:rsidRPr="00705170">
        <w:rPr>
          <w:rFonts w:ascii="Times New Roman" w:hAnsi="Times New Roman" w:cs="Times New Roman"/>
        </w:rPr>
        <w:t>function</w:t>
      </w:r>
      <w:proofErr w:type="spellEnd"/>
      <w:r w:rsidR="002E6F25" w:rsidRPr="00705170">
        <w:rPr>
          <w:rFonts w:ascii="Times New Roman" w:hAnsi="Times New Roman" w:cs="Times New Roman"/>
        </w:rPr>
        <w:t xml:space="preserve"> of </w:t>
      </w:r>
      <w:proofErr w:type="spellStart"/>
      <w:r w:rsidR="002E6F25" w:rsidRPr="00705170">
        <w:rPr>
          <w:rFonts w:ascii="Times New Roman" w:hAnsi="Times New Roman" w:cs="Times New Roman"/>
        </w:rPr>
        <w:t>the</w:t>
      </w:r>
      <w:proofErr w:type="spellEnd"/>
      <w:r w:rsidR="002E6F25" w:rsidRPr="00705170">
        <w:rPr>
          <w:rFonts w:ascii="Times New Roman" w:hAnsi="Times New Roman" w:cs="Times New Roman"/>
        </w:rPr>
        <w:t xml:space="preserve"> “</w:t>
      </w:r>
      <w:proofErr w:type="spellStart"/>
      <w:r w:rsidR="002E6F25" w:rsidRPr="00705170">
        <w:rPr>
          <w:rFonts w:ascii="Times New Roman" w:hAnsi="Times New Roman" w:cs="Times New Roman"/>
        </w:rPr>
        <w:t>default</w:t>
      </w:r>
      <w:proofErr w:type="spellEnd"/>
      <w:r w:rsidR="002E6F25" w:rsidRPr="00705170">
        <w:rPr>
          <w:rFonts w:ascii="Times New Roman" w:hAnsi="Times New Roman" w:cs="Times New Roman"/>
        </w:rPr>
        <w:t xml:space="preserve"> </w:t>
      </w:r>
      <w:proofErr w:type="spellStart"/>
      <w:r w:rsidR="002E6F25" w:rsidRPr="00705170">
        <w:rPr>
          <w:rFonts w:ascii="Times New Roman" w:hAnsi="Times New Roman" w:cs="Times New Roman"/>
        </w:rPr>
        <w:t>rules</w:t>
      </w:r>
      <w:proofErr w:type="spellEnd"/>
      <w:r w:rsidR="002E6F25" w:rsidRPr="00705170">
        <w:rPr>
          <w:rFonts w:ascii="Times New Roman" w:hAnsi="Times New Roman" w:cs="Times New Roman"/>
        </w:rPr>
        <w:t xml:space="preserve"> of </w:t>
      </w:r>
      <w:proofErr w:type="spellStart"/>
      <w:r w:rsidR="002E6F25" w:rsidRPr="00705170">
        <w:rPr>
          <w:rFonts w:ascii="Times New Roman" w:hAnsi="Times New Roman" w:cs="Times New Roman"/>
        </w:rPr>
        <w:t>corporate</w:t>
      </w:r>
      <w:proofErr w:type="spellEnd"/>
      <w:r w:rsidR="002E6F25" w:rsidRPr="00705170">
        <w:rPr>
          <w:rFonts w:ascii="Times New Roman" w:hAnsi="Times New Roman" w:cs="Times New Roman"/>
        </w:rPr>
        <w:t xml:space="preserve"> </w:t>
      </w:r>
      <w:proofErr w:type="spellStart"/>
      <w:r w:rsidR="002E6F25" w:rsidRPr="00705170">
        <w:rPr>
          <w:rFonts w:ascii="Times New Roman" w:hAnsi="Times New Roman" w:cs="Times New Roman"/>
        </w:rPr>
        <w:t>law</w:t>
      </w:r>
      <w:proofErr w:type="spellEnd"/>
      <w:r w:rsidR="002E6F25" w:rsidRPr="00705170">
        <w:rPr>
          <w:rFonts w:ascii="Times New Roman" w:hAnsi="Times New Roman" w:cs="Times New Roman"/>
        </w:rPr>
        <w:t xml:space="preserve"> is </w:t>
      </w:r>
      <w:proofErr w:type="spellStart"/>
      <w:r w:rsidR="002E6F25" w:rsidRPr="00705170">
        <w:rPr>
          <w:rFonts w:ascii="Times New Roman" w:hAnsi="Times New Roman" w:cs="Times New Roman"/>
        </w:rPr>
        <w:t>to</w:t>
      </w:r>
      <w:proofErr w:type="spellEnd"/>
      <w:r w:rsidR="002E6F25" w:rsidRPr="00705170">
        <w:rPr>
          <w:rFonts w:ascii="Times New Roman" w:hAnsi="Times New Roman" w:cs="Times New Roman"/>
        </w:rPr>
        <w:t xml:space="preserve"> </w:t>
      </w:r>
      <w:proofErr w:type="spellStart"/>
      <w:r w:rsidR="002E6F25" w:rsidRPr="00705170">
        <w:rPr>
          <w:rFonts w:ascii="Times New Roman" w:hAnsi="Times New Roman" w:cs="Times New Roman"/>
        </w:rPr>
        <w:t>provide</w:t>
      </w:r>
      <w:proofErr w:type="spellEnd"/>
      <w:r w:rsidR="002E6F25" w:rsidRPr="00705170">
        <w:rPr>
          <w:rFonts w:ascii="Times New Roman" w:hAnsi="Times New Roman" w:cs="Times New Roman"/>
        </w:rPr>
        <w:t xml:space="preserve"> a </w:t>
      </w:r>
      <w:proofErr w:type="spellStart"/>
      <w:r w:rsidR="002E6F25" w:rsidRPr="00705170">
        <w:rPr>
          <w:rFonts w:ascii="Times New Roman" w:hAnsi="Times New Roman" w:cs="Times New Roman"/>
        </w:rPr>
        <w:t>means</w:t>
      </w:r>
      <w:proofErr w:type="spellEnd"/>
      <w:r w:rsidR="002E6F25" w:rsidRPr="00705170">
        <w:rPr>
          <w:rFonts w:ascii="Times New Roman" w:hAnsi="Times New Roman" w:cs="Times New Roman"/>
        </w:rPr>
        <w:t xml:space="preserve"> of </w:t>
      </w:r>
      <w:proofErr w:type="spellStart"/>
      <w:r w:rsidR="002E6F25" w:rsidRPr="00705170">
        <w:rPr>
          <w:rFonts w:ascii="Times New Roman" w:hAnsi="Times New Roman" w:cs="Times New Roman"/>
        </w:rPr>
        <w:t>accommodating</w:t>
      </w:r>
      <w:proofErr w:type="spellEnd"/>
      <w:r w:rsidR="002E6F25" w:rsidRPr="00705170">
        <w:rPr>
          <w:rFonts w:ascii="Times New Roman" w:hAnsi="Times New Roman" w:cs="Times New Roman"/>
        </w:rPr>
        <w:t xml:space="preserve">, </w:t>
      </w:r>
      <w:proofErr w:type="spellStart"/>
      <w:r w:rsidR="002E6F25" w:rsidRPr="00705170">
        <w:rPr>
          <w:rFonts w:ascii="Times New Roman" w:hAnsi="Times New Roman" w:cs="Times New Roman"/>
        </w:rPr>
        <w:t>over</w:t>
      </w:r>
      <w:proofErr w:type="spellEnd"/>
      <w:r w:rsidR="002E6F25" w:rsidRPr="00705170">
        <w:rPr>
          <w:rFonts w:ascii="Times New Roman" w:hAnsi="Times New Roman" w:cs="Times New Roman"/>
        </w:rPr>
        <w:t xml:space="preserve"> time, </w:t>
      </w:r>
      <w:proofErr w:type="spellStart"/>
      <w:r w:rsidR="002E6F25" w:rsidRPr="00705170">
        <w:rPr>
          <w:rFonts w:ascii="Times New Roman" w:hAnsi="Times New Roman" w:cs="Times New Roman"/>
        </w:rPr>
        <w:t>developments</w:t>
      </w:r>
      <w:proofErr w:type="spellEnd"/>
      <w:r w:rsidR="002E6F25" w:rsidRPr="00705170">
        <w:rPr>
          <w:rFonts w:ascii="Times New Roman" w:hAnsi="Times New Roman" w:cs="Times New Roman"/>
        </w:rPr>
        <w:t xml:space="preserve"> </w:t>
      </w:r>
      <w:proofErr w:type="spellStart"/>
      <w:r w:rsidR="002E6F25" w:rsidRPr="00705170">
        <w:rPr>
          <w:rFonts w:ascii="Times New Roman" w:hAnsi="Times New Roman" w:cs="Times New Roman"/>
        </w:rPr>
        <w:t>that</w:t>
      </w:r>
      <w:proofErr w:type="spellEnd"/>
      <w:r w:rsidR="002E6F25" w:rsidRPr="00705170">
        <w:rPr>
          <w:rFonts w:ascii="Times New Roman" w:hAnsi="Times New Roman" w:cs="Times New Roman"/>
        </w:rPr>
        <w:t xml:space="preserve"> </w:t>
      </w:r>
      <w:proofErr w:type="spellStart"/>
      <w:r w:rsidR="002E6F25" w:rsidRPr="00705170">
        <w:rPr>
          <w:rFonts w:ascii="Times New Roman" w:hAnsi="Times New Roman" w:cs="Times New Roman"/>
        </w:rPr>
        <w:t>cannot</w:t>
      </w:r>
      <w:proofErr w:type="spellEnd"/>
      <w:r w:rsidR="002E6F25" w:rsidRPr="00705170">
        <w:rPr>
          <w:rFonts w:ascii="Times New Roman" w:hAnsi="Times New Roman" w:cs="Times New Roman"/>
        </w:rPr>
        <w:t xml:space="preserve"> </w:t>
      </w:r>
      <w:proofErr w:type="spellStart"/>
      <w:r w:rsidR="002E6F25" w:rsidRPr="00705170">
        <w:rPr>
          <w:rFonts w:ascii="Times New Roman" w:hAnsi="Times New Roman" w:cs="Times New Roman"/>
        </w:rPr>
        <w:t>easily</w:t>
      </w:r>
      <w:proofErr w:type="spellEnd"/>
      <w:r w:rsidR="002E6F25" w:rsidRPr="00705170">
        <w:rPr>
          <w:rFonts w:ascii="Times New Roman" w:hAnsi="Times New Roman" w:cs="Times New Roman"/>
        </w:rPr>
        <w:t xml:space="preserve"> be </w:t>
      </w:r>
      <w:proofErr w:type="spellStart"/>
      <w:r w:rsidR="002E6F25" w:rsidRPr="00705170">
        <w:rPr>
          <w:rFonts w:ascii="Times New Roman" w:hAnsi="Times New Roman" w:cs="Times New Roman"/>
        </w:rPr>
        <w:t>foreseen</w:t>
      </w:r>
      <w:proofErr w:type="spellEnd"/>
      <w:r w:rsidR="002E6F25" w:rsidRPr="00705170">
        <w:rPr>
          <w:rFonts w:ascii="Times New Roman" w:hAnsi="Times New Roman" w:cs="Times New Roman"/>
        </w:rPr>
        <w:t xml:space="preserve"> at </w:t>
      </w:r>
      <w:proofErr w:type="spellStart"/>
      <w:r w:rsidR="002E6F25" w:rsidRPr="00705170">
        <w:rPr>
          <w:rFonts w:ascii="Times New Roman" w:hAnsi="Times New Roman" w:cs="Times New Roman"/>
        </w:rPr>
        <w:t>the</w:t>
      </w:r>
      <w:proofErr w:type="spellEnd"/>
      <w:r w:rsidR="002E6F25" w:rsidRPr="00705170">
        <w:rPr>
          <w:rFonts w:ascii="Times New Roman" w:hAnsi="Times New Roman" w:cs="Times New Roman"/>
        </w:rPr>
        <w:t xml:space="preserve"> </w:t>
      </w:r>
      <w:proofErr w:type="spellStart"/>
      <w:r w:rsidR="002E6F25" w:rsidRPr="00705170">
        <w:rPr>
          <w:rFonts w:ascii="Times New Roman" w:hAnsi="Times New Roman" w:cs="Times New Roman"/>
        </w:rPr>
        <w:t>outset</w:t>
      </w:r>
      <w:proofErr w:type="spellEnd"/>
      <w:r w:rsidR="002E6F25" w:rsidRPr="00705170">
        <w:rPr>
          <w:rFonts w:ascii="Times New Roman" w:hAnsi="Times New Roman" w:cs="Times New Roman"/>
        </w:rPr>
        <w:t>”</w:t>
      </w:r>
      <w:r w:rsidR="002E6F25" w:rsidRPr="00705170">
        <w:rPr>
          <w:rStyle w:val="DipnotBavurusu"/>
          <w:rFonts w:ascii="Times New Roman" w:hAnsi="Times New Roman" w:cs="Times New Roman"/>
        </w:rPr>
        <w:footnoteReference w:id="138"/>
      </w:r>
      <w:r w:rsidR="002E6F25" w:rsidRPr="00705170">
        <w:rPr>
          <w:rFonts w:ascii="Times New Roman" w:hAnsi="Times New Roman" w:cs="Times New Roman"/>
        </w:rPr>
        <w:t xml:space="preserve">. </w:t>
      </w:r>
      <w:proofErr w:type="spellStart"/>
      <w:r w:rsidR="00630B75" w:rsidRPr="00705170">
        <w:rPr>
          <w:rFonts w:ascii="Times New Roman" w:hAnsi="Times New Roman" w:cs="Times New Roman"/>
        </w:rPr>
        <w:t>Accordingly</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cannot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claimed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mandatory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character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been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w:t>
      </w:r>
      <w:proofErr w:type="spellStart"/>
      <w:r w:rsidR="00630B75" w:rsidRPr="00705170">
        <w:rPr>
          <w:rFonts w:ascii="Times New Roman" w:hAnsi="Times New Roman" w:cs="Times New Roman"/>
        </w:rPr>
        <w:t>to</w:t>
      </w:r>
      <w:proofErr w:type="spellEnd"/>
      <w:r w:rsidR="00630B75" w:rsidRPr="00705170">
        <w:rPr>
          <w:rFonts w:ascii="Times New Roman" w:hAnsi="Times New Roman" w:cs="Times New Roman"/>
        </w:rPr>
        <w:t xml:space="preserve"> </w:t>
      </w:r>
      <w:proofErr w:type="spellStart"/>
      <w:r w:rsidR="00630B75" w:rsidRPr="00705170">
        <w:rPr>
          <w:rFonts w:ascii="Times New Roman" w:hAnsi="Times New Roman" w:cs="Times New Roman"/>
        </w:rPr>
        <w:t>the</w:t>
      </w:r>
      <w:proofErr w:type="spellEnd"/>
      <w:r w:rsidR="00630B75" w:rsidRPr="00705170">
        <w:rPr>
          <w:rFonts w:ascii="Times New Roman" w:hAnsi="Times New Roman" w:cs="Times New Roman"/>
        </w:rPr>
        <w:t xml:space="preserve"> </w:t>
      </w:r>
      <w:proofErr w:type="spellStart"/>
      <w:r w:rsidR="00630B75" w:rsidRPr="00705170">
        <w:rPr>
          <w:rFonts w:ascii="Times New Roman" w:hAnsi="Times New Roman" w:cs="Times New Roman"/>
        </w:rPr>
        <w:t>contract</w:t>
      </w:r>
      <w:proofErr w:type="spellEnd"/>
      <w:r w:rsidR="00630B75"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limitations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dropped</w:t>
      </w:r>
      <w:proofErr w:type="spellEnd"/>
      <w:r w:rsidRPr="00705170">
        <w:rPr>
          <w:rFonts w:ascii="Times New Roman" w:hAnsi="Times New Roman" w:cs="Times New Roman"/>
        </w:rPr>
        <w:t xml:space="preserve">, </w:t>
      </w:r>
      <w:proofErr w:type="spellStart"/>
      <w:r w:rsidR="002D5785" w:rsidRPr="00705170">
        <w:rPr>
          <w:rFonts w:ascii="Times New Roman" w:hAnsi="Times New Roman" w:cs="Times New Roman"/>
        </w:rPr>
        <w:t>because</w:t>
      </w:r>
      <w:proofErr w:type="spellEnd"/>
      <w:r w:rsidR="002D5785" w:rsidRPr="00705170">
        <w:rPr>
          <w:rFonts w:ascii="Times New Roman" w:hAnsi="Times New Roman" w:cs="Times New Roman"/>
        </w:rPr>
        <w:t xml:space="preserve"> it is not </w:t>
      </w:r>
      <w:proofErr w:type="spellStart"/>
      <w:r w:rsidR="002D5785" w:rsidRPr="00705170">
        <w:rPr>
          <w:rFonts w:ascii="Times New Roman" w:hAnsi="Times New Roman" w:cs="Times New Roman"/>
        </w:rPr>
        <w:t>rational</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to</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expect</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parties</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to</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write</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terms</w:t>
      </w:r>
      <w:proofErr w:type="spellEnd"/>
      <w:r w:rsidR="000534C2" w:rsidRPr="00705170">
        <w:rPr>
          <w:rFonts w:ascii="Times New Roman" w:hAnsi="Times New Roman" w:cs="Times New Roman"/>
        </w:rPr>
        <w:t xml:space="preserve"> on </w:t>
      </w:r>
      <w:proofErr w:type="spellStart"/>
      <w:r w:rsidR="000534C2" w:rsidRPr="00705170">
        <w:rPr>
          <w:rFonts w:ascii="Times New Roman" w:hAnsi="Times New Roman" w:cs="Times New Roman"/>
        </w:rPr>
        <w:t>issues</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which</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they</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cannot</w:t>
      </w:r>
      <w:proofErr w:type="spellEnd"/>
      <w:r w:rsidR="00630B75" w:rsidRPr="00705170">
        <w:rPr>
          <w:rFonts w:ascii="Times New Roman" w:hAnsi="Times New Roman" w:cs="Times New Roman"/>
        </w:rPr>
        <w:t xml:space="preserve"> </w:t>
      </w:r>
      <w:proofErr w:type="spellStart"/>
      <w:r w:rsidR="00630B75" w:rsidRPr="00705170">
        <w:rPr>
          <w:rFonts w:ascii="Times New Roman" w:hAnsi="Times New Roman" w:cs="Times New Roman"/>
        </w:rPr>
        <w:lastRenderedPageBreak/>
        <w:t>foresee</w:t>
      </w:r>
      <w:proofErr w:type="spellEnd"/>
      <w:r w:rsidR="005B496A" w:rsidRPr="00705170">
        <w:rPr>
          <w:rStyle w:val="DipnotBavurusu"/>
          <w:rFonts w:ascii="Times New Roman" w:hAnsi="Times New Roman" w:cs="Times New Roman"/>
        </w:rPr>
        <w:footnoteReference w:id="139"/>
      </w:r>
      <w:r w:rsidR="00D06D66" w:rsidRPr="00705170">
        <w:rPr>
          <w:rFonts w:ascii="Times New Roman" w:hAnsi="Times New Roman" w:cs="Times New Roman"/>
        </w:rPr>
        <w:t xml:space="preserve"> </w:t>
      </w:r>
      <w:proofErr w:type="spellStart"/>
      <w:r w:rsidR="00D06D66" w:rsidRPr="00705170">
        <w:rPr>
          <w:rFonts w:ascii="Times New Roman" w:hAnsi="Times New Roman" w:cs="Times New Roman"/>
        </w:rPr>
        <w:t>or</w:t>
      </w:r>
      <w:proofErr w:type="spellEnd"/>
      <w:r w:rsidR="00D06D66" w:rsidRPr="00705170">
        <w:rPr>
          <w:rFonts w:ascii="Times New Roman" w:hAnsi="Times New Roman" w:cs="Times New Roman"/>
        </w:rPr>
        <w:t xml:space="preserve"> </w:t>
      </w:r>
      <w:proofErr w:type="spellStart"/>
      <w:r w:rsidR="00550F7D" w:rsidRPr="00705170">
        <w:rPr>
          <w:rFonts w:ascii="Times New Roman" w:hAnsi="Times New Roman" w:cs="Times New Roman"/>
        </w:rPr>
        <w:t>cannot</w:t>
      </w:r>
      <w:proofErr w:type="spellEnd"/>
      <w:r w:rsidR="00550F7D" w:rsidRPr="00705170">
        <w:rPr>
          <w:rFonts w:ascii="Times New Roman" w:hAnsi="Times New Roman" w:cs="Times New Roman"/>
        </w:rPr>
        <w:t xml:space="preserve"> </w:t>
      </w:r>
      <w:proofErr w:type="spellStart"/>
      <w:r w:rsidR="00550F7D" w:rsidRPr="00705170">
        <w:rPr>
          <w:rFonts w:ascii="Times New Roman" w:hAnsi="Times New Roman" w:cs="Times New Roman"/>
        </w:rPr>
        <w:t>write</w:t>
      </w:r>
      <w:proofErr w:type="spellEnd"/>
      <w:r w:rsidR="00550F7D" w:rsidRPr="00705170">
        <w:rPr>
          <w:rFonts w:ascii="Times New Roman" w:hAnsi="Times New Roman" w:cs="Times New Roman"/>
        </w:rPr>
        <w:t xml:space="preserve"> </w:t>
      </w:r>
      <w:proofErr w:type="spellStart"/>
      <w:r w:rsidR="00550F7D" w:rsidRPr="00705170">
        <w:rPr>
          <w:rFonts w:ascii="Times New Roman" w:hAnsi="Times New Roman" w:cs="Times New Roman"/>
        </w:rPr>
        <w:t>into</w:t>
      </w:r>
      <w:proofErr w:type="spellEnd"/>
      <w:r w:rsidR="00550F7D" w:rsidRPr="00705170">
        <w:rPr>
          <w:rFonts w:ascii="Times New Roman" w:hAnsi="Times New Roman" w:cs="Times New Roman"/>
        </w:rPr>
        <w:t xml:space="preserve"> a </w:t>
      </w:r>
      <w:proofErr w:type="spellStart"/>
      <w:r w:rsidR="00550F7D" w:rsidRPr="00705170">
        <w:rPr>
          <w:rFonts w:ascii="Times New Roman" w:hAnsi="Times New Roman" w:cs="Times New Roman"/>
        </w:rPr>
        <w:t>formal</w:t>
      </w:r>
      <w:proofErr w:type="spellEnd"/>
      <w:r w:rsidR="00550F7D" w:rsidRPr="00705170">
        <w:rPr>
          <w:rFonts w:ascii="Times New Roman" w:hAnsi="Times New Roman" w:cs="Times New Roman"/>
        </w:rPr>
        <w:t xml:space="preserve"> </w:t>
      </w:r>
      <w:proofErr w:type="spellStart"/>
      <w:r w:rsidR="00550F7D" w:rsidRPr="00705170">
        <w:rPr>
          <w:rFonts w:ascii="Times New Roman" w:hAnsi="Times New Roman" w:cs="Times New Roman"/>
        </w:rPr>
        <w:t>document</w:t>
      </w:r>
      <w:proofErr w:type="spellEnd"/>
      <w:r w:rsidR="00550F7D" w:rsidRPr="00705170">
        <w:rPr>
          <w:rFonts w:ascii="Times New Roman" w:hAnsi="Times New Roman" w:cs="Times New Roman"/>
        </w:rPr>
        <w:t xml:space="preserve"> at </w:t>
      </w:r>
      <w:proofErr w:type="spellStart"/>
      <w:r w:rsidR="00550F7D" w:rsidRPr="00705170">
        <w:rPr>
          <w:rFonts w:ascii="Times New Roman" w:hAnsi="Times New Roman" w:cs="Times New Roman"/>
        </w:rPr>
        <w:t>one</w:t>
      </w:r>
      <w:proofErr w:type="spellEnd"/>
      <w:r w:rsidR="00550F7D" w:rsidRPr="00705170">
        <w:rPr>
          <w:rFonts w:ascii="Times New Roman" w:hAnsi="Times New Roman" w:cs="Times New Roman"/>
        </w:rPr>
        <w:t xml:space="preserve"> </w:t>
      </w:r>
      <w:proofErr w:type="spellStart"/>
      <w:r w:rsidR="00550F7D" w:rsidRPr="00705170">
        <w:rPr>
          <w:rFonts w:ascii="Times New Roman" w:hAnsi="Times New Roman" w:cs="Times New Roman"/>
        </w:rPr>
        <w:t>particular</w:t>
      </w:r>
      <w:proofErr w:type="spellEnd"/>
      <w:r w:rsidR="00550F7D" w:rsidRPr="00705170">
        <w:rPr>
          <w:rFonts w:ascii="Times New Roman" w:hAnsi="Times New Roman" w:cs="Times New Roman"/>
        </w:rPr>
        <w:t xml:space="preserve"> time </w:t>
      </w:r>
      <w:proofErr w:type="spellStart"/>
      <w:r w:rsidR="00550F7D" w:rsidRPr="00705170">
        <w:rPr>
          <w:rFonts w:ascii="Times New Roman" w:hAnsi="Times New Roman" w:cs="Times New Roman"/>
        </w:rPr>
        <w:t>due</w:t>
      </w:r>
      <w:proofErr w:type="spellEnd"/>
      <w:r w:rsidR="00550F7D" w:rsidRPr="00705170">
        <w:rPr>
          <w:rFonts w:ascii="Times New Roman" w:hAnsi="Times New Roman" w:cs="Times New Roman"/>
        </w:rPr>
        <w:t xml:space="preserve"> </w:t>
      </w:r>
      <w:proofErr w:type="spellStart"/>
      <w:r w:rsidR="00550F7D" w:rsidRPr="00705170">
        <w:rPr>
          <w:rFonts w:ascii="Times New Roman" w:hAnsi="Times New Roman" w:cs="Times New Roman"/>
        </w:rPr>
        <w:t>to</w:t>
      </w:r>
      <w:proofErr w:type="spellEnd"/>
      <w:r w:rsidR="00550F7D" w:rsidRPr="00705170">
        <w:rPr>
          <w:rFonts w:ascii="Times New Roman" w:hAnsi="Times New Roman" w:cs="Times New Roman"/>
        </w:rPr>
        <w:t xml:space="preserve"> </w:t>
      </w:r>
      <w:proofErr w:type="spellStart"/>
      <w:r w:rsidR="00550F7D" w:rsidRPr="00705170">
        <w:rPr>
          <w:rFonts w:ascii="Times New Roman" w:hAnsi="Times New Roman" w:cs="Times New Roman"/>
        </w:rPr>
        <w:t>reasonable</w:t>
      </w:r>
      <w:proofErr w:type="spellEnd"/>
      <w:r w:rsidR="00550F7D" w:rsidRPr="00705170">
        <w:rPr>
          <w:rFonts w:ascii="Times New Roman" w:hAnsi="Times New Roman" w:cs="Times New Roman"/>
        </w:rPr>
        <w:t xml:space="preserve"> </w:t>
      </w:r>
      <w:proofErr w:type="spellStart"/>
      <w:r w:rsidR="00550F7D" w:rsidRPr="00705170">
        <w:rPr>
          <w:rFonts w:ascii="Times New Roman" w:hAnsi="Times New Roman" w:cs="Times New Roman"/>
        </w:rPr>
        <w:t>transaction</w:t>
      </w:r>
      <w:proofErr w:type="spellEnd"/>
      <w:r w:rsidR="00550F7D" w:rsidRPr="00705170">
        <w:rPr>
          <w:rFonts w:ascii="Times New Roman" w:hAnsi="Times New Roman" w:cs="Times New Roman"/>
        </w:rPr>
        <w:t xml:space="preserve"> </w:t>
      </w:r>
      <w:proofErr w:type="spellStart"/>
      <w:r w:rsidR="00550F7D" w:rsidRPr="00705170">
        <w:rPr>
          <w:rFonts w:ascii="Times New Roman" w:hAnsi="Times New Roman" w:cs="Times New Roman"/>
        </w:rPr>
        <w:t>costs</w:t>
      </w:r>
      <w:proofErr w:type="spellEnd"/>
      <w:r w:rsidR="00550F7D" w:rsidRPr="00705170">
        <w:rPr>
          <w:rStyle w:val="DipnotBavurusu"/>
          <w:rFonts w:ascii="Times New Roman" w:hAnsi="Times New Roman" w:cs="Times New Roman"/>
        </w:rPr>
        <w:footnoteReference w:id="140"/>
      </w:r>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In</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these</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cases</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if</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the</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contract</w:t>
      </w:r>
      <w:proofErr w:type="spellEnd"/>
      <w:r w:rsidR="000534C2" w:rsidRPr="00705170">
        <w:rPr>
          <w:rFonts w:ascii="Times New Roman" w:hAnsi="Times New Roman" w:cs="Times New Roman"/>
        </w:rPr>
        <w:t xml:space="preserve"> is </w:t>
      </w:r>
      <w:proofErr w:type="spellStart"/>
      <w:r w:rsidR="000534C2" w:rsidRPr="00705170">
        <w:rPr>
          <w:rFonts w:ascii="Times New Roman" w:hAnsi="Times New Roman" w:cs="Times New Roman"/>
        </w:rPr>
        <w:t>remaining</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silent</w:t>
      </w:r>
      <w:proofErr w:type="spellEnd"/>
      <w:r w:rsidR="000534C2" w:rsidRPr="00705170">
        <w:rPr>
          <w:rFonts w:ascii="Times New Roman" w:hAnsi="Times New Roman" w:cs="Times New Roman"/>
        </w:rPr>
        <w:t xml:space="preserve">, </w:t>
      </w:r>
      <w:proofErr w:type="spellStart"/>
      <w:r w:rsidRPr="00705170">
        <w:rPr>
          <w:rFonts w:ascii="Times New Roman" w:hAnsi="Times New Roman" w:cs="Times New Roman"/>
        </w:rPr>
        <w:t>t</w:t>
      </w:r>
      <w:r w:rsidR="000534C2" w:rsidRPr="00705170">
        <w:rPr>
          <w:rFonts w:ascii="Times New Roman" w:hAnsi="Times New Roman" w:cs="Times New Roman"/>
        </w:rPr>
        <w:t>he</w:t>
      </w:r>
      <w:proofErr w:type="spellEnd"/>
      <w:r w:rsidRPr="00705170">
        <w:rPr>
          <w:rFonts w:ascii="Times New Roman" w:hAnsi="Times New Roman" w:cs="Times New Roman"/>
        </w:rPr>
        <w:t xml:space="preserve"> </w:t>
      </w:r>
      <w:proofErr w:type="spellStart"/>
      <w:r w:rsidR="0012251E" w:rsidRPr="00705170">
        <w:rPr>
          <w:rFonts w:ascii="Times New Roman" w:hAnsi="Times New Roman" w:cs="Times New Roman"/>
        </w:rPr>
        <w:t>law</w:t>
      </w:r>
      <w:proofErr w:type="spellEnd"/>
      <w:r w:rsidR="00F5705A" w:rsidRPr="00705170">
        <w:rPr>
          <w:rFonts w:ascii="Times New Roman" w:hAnsi="Times New Roman" w:cs="Times New Roman"/>
        </w:rPr>
        <w:t xml:space="preserve"> </w:t>
      </w:r>
      <w:proofErr w:type="spellStart"/>
      <w:r w:rsidR="00F5705A" w:rsidRPr="00705170">
        <w:rPr>
          <w:rFonts w:ascii="Times New Roman" w:hAnsi="Times New Roman" w:cs="Times New Roman"/>
        </w:rPr>
        <w:t>concerning</w:t>
      </w:r>
      <w:proofErr w:type="spellEnd"/>
      <w:r w:rsidR="00F5705A" w:rsidRPr="00705170">
        <w:rPr>
          <w:rFonts w:ascii="Times New Roman" w:hAnsi="Times New Roman" w:cs="Times New Roman"/>
        </w:rPr>
        <w:t xml:space="preserve"> </w:t>
      </w:r>
      <w:proofErr w:type="spellStart"/>
      <w:r w:rsidR="00F5705A" w:rsidRPr="00705170">
        <w:rPr>
          <w:rFonts w:ascii="Times New Roman" w:hAnsi="Times New Roman" w:cs="Times New Roman"/>
        </w:rPr>
        <w:t>these</w:t>
      </w:r>
      <w:proofErr w:type="spellEnd"/>
      <w:r w:rsidR="00F5705A" w:rsidRPr="00705170">
        <w:rPr>
          <w:rFonts w:ascii="Times New Roman" w:hAnsi="Times New Roman" w:cs="Times New Roman"/>
        </w:rPr>
        <w:t xml:space="preserve"> </w:t>
      </w:r>
      <w:proofErr w:type="spellStart"/>
      <w:r w:rsidR="00F5705A" w:rsidRPr="00705170">
        <w:rPr>
          <w:rFonts w:ascii="Times New Roman" w:hAnsi="Times New Roman" w:cs="Times New Roman"/>
        </w:rPr>
        <w:t>entities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should</w:t>
      </w:r>
      <w:proofErr w:type="spellEnd"/>
      <w:r w:rsidR="0012251E" w:rsidRPr="00705170">
        <w:rPr>
          <w:rFonts w:ascii="Times New Roman" w:hAnsi="Times New Roman" w:cs="Times New Roman"/>
        </w:rPr>
        <w:t xml:space="preserve"> be </w:t>
      </w:r>
      <w:proofErr w:type="spellStart"/>
      <w:r w:rsidR="0012251E" w:rsidRPr="00705170">
        <w:rPr>
          <w:rFonts w:ascii="Times New Roman" w:hAnsi="Times New Roman" w:cs="Times New Roman"/>
        </w:rPr>
        <w:t>there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to</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act</w:t>
      </w:r>
      <w:proofErr w:type="spellEnd"/>
      <w:r w:rsidR="0012251E" w:rsidRPr="00705170">
        <w:rPr>
          <w:rFonts w:ascii="Times New Roman" w:hAnsi="Times New Roman" w:cs="Times New Roman"/>
        </w:rPr>
        <w:t xml:space="preserve"> as a </w:t>
      </w:r>
      <w:proofErr w:type="spellStart"/>
      <w:r w:rsidR="0012251E" w:rsidRPr="00705170">
        <w:rPr>
          <w:rFonts w:ascii="Times New Roman" w:hAnsi="Times New Roman" w:cs="Times New Roman"/>
        </w:rPr>
        <w:t>gap</w:t>
      </w:r>
      <w:proofErr w:type="spellEnd"/>
      <w:r w:rsidR="0012251E" w:rsidRPr="00705170">
        <w:rPr>
          <w:rFonts w:ascii="Times New Roman" w:hAnsi="Times New Roman" w:cs="Times New Roman"/>
        </w:rPr>
        <w:t xml:space="preserve"> filler </w:t>
      </w:r>
      <w:proofErr w:type="spellStart"/>
      <w:r w:rsidR="0012251E" w:rsidRPr="00705170">
        <w:rPr>
          <w:rFonts w:ascii="Times New Roman" w:hAnsi="Times New Roman" w:cs="Times New Roman"/>
        </w:rPr>
        <w:t>for</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some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unwritten</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probable</w:t>
      </w:r>
      <w:proofErr w:type="spellEnd"/>
      <w:r w:rsidR="002D5785" w:rsidRPr="00705170">
        <w:rPr>
          <w:rFonts w:ascii="Times New Roman" w:hAnsi="Times New Roman" w:cs="Times New Roman"/>
        </w:rPr>
        <w:t xml:space="preserve"> but</w:t>
      </w:r>
      <w:r w:rsidRPr="00705170">
        <w:rPr>
          <w:rFonts w:ascii="Times New Roman" w:hAnsi="Times New Roman" w:cs="Times New Roman"/>
        </w:rPr>
        <w:t xml:space="preserve"> </w:t>
      </w:r>
      <w:proofErr w:type="spellStart"/>
      <w:r w:rsidRPr="00705170">
        <w:rPr>
          <w:rFonts w:ascii="Times New Roman" w:hAnsi="Times New Roman" w:cs="Times New Roman"/>
        </w:rPr>
        <w:t>unforeseen</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issues</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well</w:t>
      </w:r>
      <w:proofErr w:type="spellEnd"/>
      <w:r w:rsidR="003E29FA" w:rsidRPr="00705170">
        <w:rPr>
          <w:rStyle w:val="DipnotBavurusu"/>
          <w:rFonts w:ascii="Times New Roman" w:hAnsi="Times New Roman" w:cs="Times New Roman"/>
        </w:rPr>
        <w:footnoteReference w:id="141"/>
      </w:r>
      <w:r w:rsidR="0012251E" w:rsidRPr="00705170">
        <w:rPr>
          <w:rFonts w:ascii="Times New Roman" w:hAnsi="Times New Roman" w:cs="Times New Roman"/>
        </w:rPr>
        <w:t>.</w:t>
      </w:r>
      <w:r w:rsidRPr="00705170">
        <w:rPr>
          <w:rFonts w:ascii="Times New Roman" w:hAnsi="Times New Roman" w:cs="Times New Roman"/>
        </w:rPr>
        <w:t xml:space="preserve"> </w:t>
      </w:r>
      <w:proofErr w:type="spellStart"/>
      <w:r w:rsidR="002D5785" w:rsidRPr="00705170">
        <w:rPr>
          <w:rFonts w:ascii="Times New Roman" w:hAnsi="Times New Roman" w:cs="Times New Roman"/>
        </w:rPr>
        <w:t>Otherwise</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the</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parties</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may</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face</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costly</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adjustments</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to</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address</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these</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unforeseen</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contingencies</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or</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one</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party</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may</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seek</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to</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extract</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private</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benefits</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from</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the</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other</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party</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through</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opportunistic</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behaviour</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during</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the</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course</w:t>
      </w:r>
      <w:proofErr w:type="spellEnd"/>
      <w:r w:rsidR="002D5785" w:rsidRPr="00705170">
        <w:rPr>
          <w:rFonts w:ascii="Times New Roman" w:hAnsi="Times New Roman" w:cs="Times New Roman"/>
        </w:rPr>
        <w:t xml:space="preserve"> of </w:t>
      </w:r>
      <w:proofErr w:type="spellStart"/>
      <w:r w:rsidR="002D5785" w:rsidRPr="00705170">
        <w:rPr>
          <w:rFonts w:ascii="Times New Roman" w:hAnsi="Times New Roman" w:cs="Times New Roman"/>
        </w:rPr>
        <w:t>the</w:t>
      </w:r>
      <w:proofErr w:type="spellEnd"/>
      <w:r w:rsidR="002D5785" w:rsidRPr="00705170">
        <w:rPr>
          <w:rFonts w:ascii="Times New Roman" w:hAnsi="Times New Roman" w:cs="Times New Roman"/>
        </w:rPr>
        <w:t xml:space="preserve"> </w:t>
      </w:r>
      <w:proofErr w:type="spellStart"/>
      <w:r w:rsidR="002D5785" w:rsidRPr="00705170">
        <w:rPr>
          <w:rFonts w:ascii="Times New Roman" w:hAnsi="Times New Roman" w:cs="Times New Roman"/>
        </w:rPr>
        <w:t>relationship</w:t>
      </w:r>
      <w:proofErr w:type="spellEnd"/>
      <w:r w:rsidR="002D5785" w:rsidRPr="00705170">
        <w:rPr>
          <w:rStyle w:val="DipnotBavurusu"/>
          <w:rFonts w:ascii="Times New Roman" w:hAnsi="Times New Roman" w:cs="Times New Roman"/>
        </w:rPr>
        <w:footnoteReference w:id="142"/>
      </w:r>
      <w:r w:rsidR="002D5785" w:rsidRPr="00705170">
        <w:rPr>
          <w:rFonts w:ascii="Times New Roman" w:hAnsi="Times New Roman" w:cs="Times New Roman"/>
        </w:rPr>
        <w:t xml:space="preserve">. </w:t>
      </w:r>
      <w:proofErr w:type="spellStart"/>
      <w:r w:rsidR="000534C2" w:rsidRPr="00705170">
        <w:rPr>
          <w:rFonts w:ascii="Times New Roman" w:hAnsi="Times New Roman" w:cs="Times New Roman"/>
        </w:rPr>
        <w:t>Hence</w:t>
      </w:r>
      <w:proofErr w:type="spellEnd"/>
      <w:r w:rsidR="000534C2" w:rsidRPr="00705170">
        <w:rPr>
          <w:rFonts w:ascii="Times New Roman" w:hAnsi="Times New Roman" w:cs="Times New Roman"/>
        </w:rPr>
        <w:t xml:space="preserve">, in </w:t>
      </w:r>
      <w:proofErr w:type="spellStart"/>
      <w:r w:rsidR="000534C2"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instances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bargain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luck</w:t>
      </w:r>
      <w:proofErr w:type="spellEnd"/>
      <w:r w:rsidRPr="00705170">
        <w:rPr>
          <w:rStyle w:val="DipnotBavurusu"/>
          <w:rFonts w:ascii="Times New Roman" w:hAnsi="Times New Roman" w:cs="Times New Roman"/>
        </w:rPr>
        <w:footnoteReference w:id="143"/>
      </w:r>
      <w:r w:rsidRPr="00705170">
        <w:rPr>
          <w:rFonts w:ascii="Times New Roman" w:hAnsi="Times New Roman" w:cs="Times New Roman"/>
        </w:rPr>
        <w:t>.</w:t>
      </w:r>
    </w:p>
    <w:p w14:paraId="5D28D614" w14:textId="45531C73" w:rsidR="005663C3" w:rsidRDefault="0012251E" w:rsidP="0012251E">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Before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claiming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gap</w:t>
      </w:r>
      <w:proofErr w:type="spellEnd"/>
      <w:r w:rsidRPr="00705170">
        <w:rPr>
          <w:rFonts w:ascii="Times New Roman" w:hAnsi="Times New Roman" w:cs="Times New Roman"/>
        </w:rPr>
        <w:t xml:space="preserve"> filler </w:t>
      </w:r>
      <w:proofErr w:type="spellStart"/>
      <w:r w:rsidRPr="00705170">
        <w:rPr>
          <w:rFonts w:ascii="Times New Roman" w:hAnsi="Times New Roman" w:cs="Times New Roman"/>
        </w:rPr>
        <w:t>regarding</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certain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must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recognized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alleged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failure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structure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protective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scheme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against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certain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necessarily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mean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bargained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it but </w:t>
      </w:r>
      <w:proofErr w:type="spellStart"/>
      <w:r w:rsidRPr="00705170">
        <w:rPr>
          <w:rFonts w:ascii="Times New Roman" w:hAnsi="Times New Roman" w:cs="Times New Roman"/>
        </w:rPr>
        <w:t>somehow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failed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do it.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times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simply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choose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silent</w:t>
      </w:r>
      <w:proofErr w:type="spellEnd"/>
      <w:r w:rsidR="00EE52EC" w:rsidRPr="00705170">
        <w:rPr>
          <w:rFonts w:ascii="Times New Roman" w:hAnsi="Times New Roman" w:cs="Times New Roman"/>
        </w:rPr>
        <w:t xml:space="preserve"> on </w:t>
      </w:r>
      <w:proofErr w:type="spellStart"/>
      <w:r w:rsidR="00EE52EC" w:rsidRPr="00705170">
        <w:rPr>
          <w:rFonts w:ascii="Times New Roman" w:hAnsi="Times New Roman" w:cs="Times New Roman"/>
        </w:rPr>
        <w:t>purpose</w:t>
      </w:r>
      <w:proofErr w:type="spellEnd"/>
      <w:r w:rsidRPr="00705170">
        <w:rPr>
          <w:rFonts w:ascii="Times New Roman" w:hAnsi="Times New Roman" w:cs="Times New Roman"/>
        </w:rPr>
        <w:t>,</w:t>
      </w:r>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and</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implement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more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favorable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default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Style w:val="DipnotBavurusu"/>
          <w:rFonts w:ascii="Times New Roman" w:hAnsi="Times New Roman" w:cs="Times New Roman"/>
        </w:rPr>
        <w:footnoteReference w:id="144"/>
      </w:r>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However</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this</w:t>
      </w:r>
      <w:proofErr w:type="spellEnd"/>
      <w:r w:rsidR="00EE52EC" w:rsidRPr="00705170">
        <w:rPr>
          <w:rFonts w:ascii="Times New Roman" w:hAnsi="Times New Roman" w:cs="Times New Roman"/>
        </w:rPr>
        <w:t xml:space="preserve"> silence can </w:t>
      </w:r>
      <w:proofErr w:type="spellStart"/>
      <w:r w:rsidR="00EE52EC" w:rsidRPr="00705170">
        <w:rPr>
          <w:rFonts w:ascii="Times New Roman" w:hAnsi="Times New Roman" w:cs="Times New Roman"/>
        </w:rPr>
        <w:t>also</w:t>
      </w:r>
      <w:proofErr w:type="spellEnd"/>
      <w:r w:rsidR="00EE52EC" w:rsidRPr="00705170">
        <w:rPr>
          <w:rFonts w:ascii="Times New Roman" w:hAnsi="Times New Roman" w:cs="Times New Roman"/>
        </w:rPr>
        <w:t xml:space="preserve"> </w:t>
      </w:r>
      <w:proofErr w:type="spellStart"/>
      <w:r w:rsidR="008D1D5E">
        <w:rPr>
          <w:rFonts w:ascii="Times New Roman" w:hAnsi="Times New Roman" w:cs="Times New Roman"/>
        </w:rPr>
        <w:t>occur</w:t>
      </w:r>
      <w:proofErr w:type="spellEnd"/>
      <w:r w:rsidR="008D1D5E">
        <w:rPr>
          <w:rFonts w:ascii="Times New Roman" w:hAnsi="Times New Roman" w:cs="Times New Roman"/>
        </w:rPr>
        <w:t xml:space="preserve"> </w:t>
      </w:r>
      <w:r w:rsidR="00EE52EC" w:rsidRPr="00705170">
        <w:rPr>
          <w:rFonts w:ascii="Times New Roman" w:hAnsi="Times New Roman" w:cs="Times New Roman"/>
        </w:rPr>
        <w:t>as “</w:t>
      </w:r>
      <w:proofErr w:type="spellStart"/>
      <w:r w:rsidR="00EE52EC" w:rsidRPr="00705170">
        <w:rPr>
          <w:rFonts w:ascii="Times New Roman" w:hAnsi="Times New Roman" w:cs="Times New Roman"/>
        </w:rPr>
        <w:t>often</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parties</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avoid</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issues</w:t>
      </w:r>
      <w:proofErr w:type="spellEnd"/>
      <w:r w:rsidR="00EE52EC" w:rsidRPr="00705170">
        <w:rPr>
          <w:rFonts w:ascii="Times New Roman" w:hAnsi="Times New Roman" w:cs="Times New Roman"/>
        </w:rPr>
        <w:t xml:space="preserve"> in </w:t>
      </w:r>
      <w:proofErr w:type="spellStart"/>
      <w:r w:rsidR="00EE52EC" w:rsidRPr="00705170">
        <w:rPr>
          <w:rFonts w:ascii="Times New Roman" w:hAnsi="Times New Roman" w:cs="Times New Roman"/>
        </w:rPr>
        <w:t>contract</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negotiations</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precisely</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because</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they</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cannot</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agree</w:t>
      </w:r>
      <w:proofErr w:type="spellEnd"/>
      <w:r w:rsidR="00EE52EC" w:rsidRPr="00705170">
        <w:rPr>
          <w:rFonts w:ascii="Times New Roman" w:hAnsi="Times New Roman" w:cs="Times New Roman"/>
        </w:rPr>
        <w:t xml:space="preserve"> on </w:t>
      </w:r>
      <w:proofErr w:type="spellStart"/>
      <w:r w:rsidR="00EE52EC" w:rsidRPr="00705170">
        <w:rPr>
          <w:rFonts w:ascii="Times New Roman" w:hAnsi="Times New Roman" w:cs="Times New Roman"/>
        </w:rPr>
        <w:t>specific</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terms</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and</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hope</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the</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issue</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will</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either</w:t>
      </w:r>
      <w:proofErr w:type="spellEnd"/>
      <w:r w:rsidR="00EE52EC" w:rsidRPr="00705170">
        <w:rPr>
          <w:rFonts w:ascii="Times New Roman" w:hAnsi="Times New Roman" w:cs="Times New Roman"/>
        </w:rPr>
        <w:t xml:space="preserve"> not </w:t>
      </w:r>
      <w:proofErr w:type="spellStart"/>
      <w:r w:rsidR="00EE52EC" w:rsidRPr="00705170">
        <w:rPr>
          <w:rFonts w:ascii="Times New Roman" w:hAnsi="Times New Roman" w:cs="Times New Roman"/>
        </w:rPr>
        <w:t>come</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up</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or</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will</w:t>
      </w:r>
      <w:proofErr w:type="spellEnd"/>
      <w:r w:rsidR="00EE52EC" w:rsidRPr="00705170">
        <w:rPr>
          <w:rFonts w:ascii="Times New Roman" w:hAnsi="Times New Roman" w:cs="Times New Roman"/>
        </w:rPr>
        <w:t xml:space="preserve"> be </w:t>
      </w:r>
      <w:proofErr w:type="spellStart"/>
      <w:r w:rsidR="00EE52EC" w:rsidRPr="00705170">
        <w:rPr>
          <w:rFonts w:ascii="Times New Roman" w:hAnsi="Times New Roman" w:cs="Times New Roman"/>
        </w:rPr>
        <w:t>resolved</w:t>
      </w:r>
      <w:proofErr w:type="spellEnd"/>
      <w:r w:rsidR="00EE52EC" w:rsidRPr="00705170">
        <w:rPr>
          <w:rFonts w:ascii="Times New Roman" w:hAnsi="Times New Roman" w:cs="Times New Roman"/>
        </w:rPr>
        <w:t xml:space="preserve"> in </w:t>
      </w:r>
      <w:proofErr w:type="spellStart"/>
      <w:r w:rsidR="00EE52EC" w:rsidRPr="00705170">
        <w:rPr>
          <w:rFonts w:ascii="Times New Roman" w:hAnsi="Times New Roman" w:cs="Times New Roman"/>
        </w:rPr>
        <w:t>their</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favor</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by</w:t>
      </w:r>
      <w:proofErr w:type="spellEnd"/>
      <w:r w:rsidR="00EE52EC" w:rsidRPr="00705170">
        <w:rPr>
          <w:rFonts w:ascii="Times New Roman" w:hAnsi="Times New Roman" w:cs="Times New Roman"/>
        </w:rPr>
        <w:t xml:space="preserve"> a </w:t>
      </w:r>
      <w:proofErr w:type="spellStart"/>
      <w:r w:rsidR="00EE52EC" w:rsidRPr="00705170">
        <w:rPr>
          <w:rFonts w:ascii="Times New Roman" w:hAnsi="Times New Roman" w:cs="Times New Roman"/>
        </w:rPr>
        <w:t>court</w:t>
      </w:r>
      <w:proofErr w:type="spellEnd"/>
      <w:r w:rsidR="00EE52EC" w:rsidRPr="00705170">
        <w:rPr>
          <w:rFonts w:ascii="Times New Roman" w:hAnsi="Times New Roman" w:cs="Times New Roman"/>
        </w:rPr>
        <w:t>”</w:t>
      </w:r>
      <w:r w:rsidR="00EE52EC" w:rsidRPr="00705170">
        <w:rPr>
          <w:rStyle w:val="DipnotBavurusu"/>
          <w:rFonts w:ascii="Times New Roman" w:hAnsi="Times New Roman" w:cs="Times New Roman"/>
        </w:rPr>
        <w:footnoteReference w:id="145"/>
      </w:r>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If</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the</w:t>
      </w:r>
      <w:proofErr w:type="spellEnd"/>
      <w:r w:rsidR="00EE52EC" w:rsidRPr="00705170">
        <w:rPr>
          <w:rFonts w:ascii="Times New Roman" w:hAnsi="Times New Roman" w:cs="Times New Roman"/>
        </w:rPr>
        <w:t xml:space="preserve"> silence is </w:t>
      </w:r>
      <w:proofErr w:type="spellStart"/>
      <w:r w:rsidR="00EE52EC" w:rsidRPr="00705170">
        <w:rPr>
          <w:rFonts w:ascii="Times New Roman" w:hAnsi="Times New Roman" w:cs="Times New Roman"/>
        </w:rPr>
        <w:t>chosen</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due</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to</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this</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rational</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apathy</w:t>
      </w:r>
      <w:proofErr w:type="spellEnd"/>
      <w:r w:rsidR="00EE52EC" w:rsidRPr="00705170">
        <w:rPr>
          <w:rStyle w:val="DipnotBavurusu"/>
          <w:rFonts w:ascii="Times New Roman" w:hAnsi="Times New Roman" w:cs="Times New Roman"/>
        </w:rPr>
        <w:footnoteReference w:id="146"/>
      </w:r>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then</w:t>
      </w:r>
      <w:proofErr w:type="spellEnd"/>
      <w:r w:rsidR="00EE52EC" w:rsidRPr="00705170">
        <w:rPr>
          <w:rFonts w:ascii="Times New Roman" w:hAnsi="Times New Roman" w:cs="Times New Roman"/>
        </w:rPr>
        <w:t xml:space="preserve"> it </w:t>
      </w:r>
      <w:proofErr w:type="spellStart"/>
      <w:r w:rsidR="00EE52EC" w:rsidRPr="00705170">
        <w:rPr>
          <w:rFonts w:ascii="Times New Roman" w:hAnsi="Times New Roman" w:cs="Times New Roman"/>
        </w:rPr>
        <w:t>means</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that</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lastRenderedPageBreak/>
        <w:t>the</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transaction</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costs</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avoided</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the</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formation</w:t>
      </w:r>
      <w:proofErr w:type="spellEnd"/>
      <w:r w:rsidR="00EE52EC" w:rsidRPr="00705170">
        <w:rPr>
          <w:rFonts w:ascii="Times New Roman" w:hAnsi="Times New Roman" w:cs="Times New Roman"/>
        </w:rPr>
        <w:t xml:space="preserve"> of a </w:t>
      </w:r>
      <w:proofErr w:type="spellStart"/>
      <w:r w:rsidR="00EE52EC" w:rsidRPr="00705170">
        <w:rPr>
          <w:rFonts w:ascii="Times New Roman" w:hAnsi="Times New Roman" w:cs="Times New Roman"/>
        </w:rPr>
        <w:t>term</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that</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would</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otherwise</w:t>
      </w:r>
      <w:proofErr w:type="spellEnd"/>
      <w:r w:rsidR="00EE52EC" w:rsidRPr="00705170">
        <w:rPr>
          <w:rFonts w:ascii="Times New Roman" w:hAnsi="Times New Roman" w:cs="Times New Roman"/>
        </w:rPr>
        <w:t xml:space="preserve"> be </w:t>
      </w:r>
      <w:proofErr w:type="spellStart"/>
      <w:r w:rsidR="00EE52EC" w:rsidRPr="00705170">
        <w:rPr>
          <w:rFonts w:ascii="Times New Roman" w:hAnsi="Times New Roman" w:cs="Times New Roman"/>
        </w:rPr>
        <w:t>included</w:t>
      </w:r>
      <w:proofErr w:type="spellEnd"/>
      <w:r w:rsidR="00EE52EC" w:rsidRPr="00705170">
        <w:rPr>
          <w:rFonts w:ascii="Times New Roman" w:hAnsi="Times New Roman" w:cs="Times New Roman"/>
        </w:rPr>
        <w:t xml:space="preserve"> in </w:t>
      </w:r>
      <w:proofErr w:type="spellStart"/>
      <w:r w:rsidR="00EE52EC" w:rsidRPr="00705170">
        <w:rPr>
          <w:rFonts w:ascii="Times New Roman" w:hAnsi="Times New Roman" w:cs="Times New Roman"/>
        </w:rPr>
        <w:t>the</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contract</w:t>
      </w:r>
      <w:proofErr w:type="spellEnd"/>
      <w:r w:rsidR="00EE52EC" w:rsidRPr="00705170">
        <w:rPr>
          <w:rFonts w:ascii="Times New Roman" w:hAnsi="Times New Roman" w:cs="Times New Roman"/>
        </w:rPr>
        <w:t xml:space="preserve">. </w:t>
      </w:r>
      <w:proofErr w:type="spellStart"/>
      <w:r w:rsidR="00EE52EC" w:rsidRPr="00705170">
        <w:rPr>
          <w:rFonts w:ascii="Times New Roman" w:hAnsi="Times New Roman" w:cs="Times New Roman"/>
        </w:rPr>
        <w:t>Corollary</w:t>
      </w:r>
      <w:proofErr w:type="spellEnd"/>
      <w:r w:rsidR="00EE52EC" w:rsidRPr="00705170">
        <w:rPr>
          <w:rFonts w:ascii="Times New Roman" w:hAnsi="Times New Roman" w:cs="Times New Roman"/>
        </w:rPr>
        <w:t>, i</w:t>
      </w:r>
      <w:r w:rsidRPr="00705170">
        <w:rPr>
          <w:rFonts w:ascii="Times New Roman" w:hAnsi="Times New Roman" w:cs="Times New Roman"/>
        </w:rPr>
        <w:t xml:space="preserve">t is </w:t>
      </w:r>
      <w:proofErr w:type="spellStart"/>
      <w:r w:rsidRPr="00705170">
        <w:rPr>
          <w:rFonts w:ascii="Times New Roman" w:hAnsi="Times New Roman" w:cs="Times New Roman"/>
        </w:rPr>
        <w:t>generally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assumed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bargained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bargaining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costless</w:t>
      </w:r>
      <w:proofErr w:type="spellEnd"/>
      <w:r w:rsidRPr="00705170">
        <w:rPr>
          <w:rStyle w:val="DipnotBavurusu"/>
          <w:rFonts w:ascii="Times New Roman" w:hAnsi="Times New Roman" w:cs="Times New Roman"/>
        </w:rPr>
        <w:footnoteReference w:id="147"/>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008D1D5E">
        <w:rPr>
          <w:rFonts w:ascii="Times New Roman" w:hAnsi="Times New Roman" w:cs="Times New Roman"/>
        </w:rPr>
        <w:t xml:space="preserve"> an</w:t>
      </w:r>
      <w:r w:rsidRPr="00705170">
        <w:rPr>
          <w:rFonts w:ascii="Times New Roman" w:hAnsi="Times New Roman" w:cs="Times New Roman"/>
        </w:rPr>
        <w:t xml:space="preserve"> </w:t>
      </w:r>
      <w:proofErr w:type="spellStart"/>
      <w:r w:rsidRPr="00705170">
        <w:rPr>
          <w:rFonts w:ascii="Times New Roman" w:hAnsi="Times New Roman" w:cs="Times New Roman"/>
        </w:rPr>
        <w:t>oppressive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conduct</w:t>
      </w:r>
      <w:proofErr w:type="spellEnd"/>
      <w:r w:rsidRPr="00705170">
        <w:rPr>
          <w:rFonts w:ascii="Times New Roman" w:hAnsi="Times New Roman" w:cs="Times New Roman"/>
        </w:rPr>
        <w:t xml:space="preserve"> </w:t>
      </w:r>
      <w:proofErr w:type="spellStart"/>
      <w:r w:rsidR="008D1D5E">
        <w:rPr>
          <w:rFonts w:ascii="Times New Roman" w:hAnsi="Times New Roman" w:cs="Times New Roman"/>
        </w:rPr>
        <w:t>would</w:t>
      </w:r>
      <w:proofErr w:type="spellEnd"/>
      <w:r w:rsidR="008D1D5E">
        <w:rPr>
          <w:rFonts w:ascii="Times New Roman" w:hAnsi="Times New Roman" w:cs="Times New Roman"/>
        </w:rPr>
        <w:t xml:space="preserve"> </w:t>
      </w:r>
      <w:proofErr w:type="spellStart"/>
      <w:r w:rsidRPr="00705170">
        <w:rPr>
          <w:rFonts w:ascii="Times New Roman" w:hAnsi="Times New Roman" w:cs="Times New Roman"/>
        </w:rPr>
        <w:t>violate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agreement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reached</w:t>
      </w:r>
      <w:proofErr w:type="spellEnd"/>
      <w:r w:rsidR="008D1D5E">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had </w:t>
      </w:r>
      <w:proofErr w:type="spellStart"/>
      <w:r w:rsidRPr="00705170">
        <w:rPr>
          <w:rFonts w:ascii="Times New Roman" w:hAnsi="Times New Roman" w:cs="Times New Roman"/>
        </w:rPr>
        <w:t>negotiated</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disputed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point</w:t>
      </w:r>
      <w:proofErr w:type="spellEnd"/>
      <w:r w:rsidRPr="00705170">
        <w:rPr>
          <w:rStyle w:val="DipnotBavurusu"/>
          <w:rFonts w:ascii="Times New Roman" w:hAnsi="Times New Roman" w:cs="Times New Roman"/>
        </w:rPr>
        <w:footnoteReference w:id="148"/>
      </w:r>
      <w:r w:rsidRPr="00705170">
        <w:rPr>
          <w:rFonts w:ascii="Times New Roman" w:hAnsi="Times New Roman" w:cs="Times New Roman"/>
        </w:rPr>
        <w:t xml:space="preserve">. As a </w:t>
      </w:r>
      <w:proofErr w:type="spellStart"/>
      <w:r w:rsidRPr="00705170">
        <w:rPr>
          <w:rFonts w:ascii="Times New Roman" w:hAnsi="Times New Roman" w:cs="Times New Roman"/>
        </w:rPr>
        <w:t>matter</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fact</w:t>
      </w:r>
      <w:proofErr w:type="spellEnd"/>
      <w:r w:rsidRPr="00705170">
        <w:rPr>
          <w:rFonts w:ascii="Times New Roman" w:hAnsi="Times New Roman" w:cs="Times New Roman"/>
        </w:rPr>
        <w:t xml:space="preserve">, presence of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remedy</w:t>
      </w:r>
      <w:proofErr w:type="spellEnd"/>
      <w:r w:rsidRPr="00705170">
        <w:rPr>
          <w:rFonts w:ascii="Times New Roman" w:hAnsi="Times New Roman" w:cs="Times New Roman"/>
        </w:rPr>
        <w:t xml:space="preserve"> </w:t>
      </w:r>
      <w:r w:rsidR="008D1D5E">
        <w:rPr>
          <w:rFonts w:ascii="Times New Roman" w:hAnsi="Times New Roman" w:cs="Times New Roman"/>
        </w:rPr>
        <w:t xml:space="preserve">in </w:t>
      </w:r>
      <w:proofErr w:type="spellStart"/>
      <w:r w:rsidRPr="00705170">
        <w:rPr>
          <w:rFonts w:ascii="Times New Roman" w:hAnsi="Times New Roman" w:cs="Times New Roman"/>
        </w:rPr>
        <w:t>many</w:t>
      </w:r>
      <w:proofErr w:type="spellEnd"/>
      <w:r w:rsidRPr="00705170">
        <w:rPr>
          <w:rFonts w:ascii="Times New Roman" w:hAnsi="Times New Roman" w:cs="Times New Roman"/>
        </w:rPr>
        <w:t xml:space="preserve"> U.S. </w:t>
      </w:r>
      <w:proofErr w:type="spellStart"/>
      <w:r w:rsidRPr="00705170">
        <w:rPr>
          <w:rFonts w:ascii="Times New Roman" w:hAnsi="Times New Roman" w:cs="Times New Roman"/>
        </w:rPr>
        <w:t>states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149"/>
      </w:r>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w:t>
      </w:r>
      <w:r w:rsidR="003326E7" w:rsidRPr="00705170">
        <w:rPr>
          <w:rFonts w:ascii="Times New Roman" w:hAnsi="Times New Roman" w:cs="Times New Roman"/>
        </w:rPr>
        <w:t>es</w:t>
      </w:r>
      <w:proofErr w:type="spellEnd"/>
      <w:r w:rsidR="003326E7" w:rsidRPr="00705170">
        <w:rPr>
          <w:rFonts w:ascii="Times New Roman" w:hAnsi="Times New Roman" w:cs="Times New Roman"/>
        </w:rPr>
        <w:t xml:space="preserve"> </w:t>
      </w:r>
      <w:proofErr w:type="spellStart"/>
      <w:r w:rsidR="003326E7" w:rsidRPr="00705170">
        <w:rPr>
          <w:rFonts w:ascii="Times New Roman" w:hAnsi="Times New Roman" w:cs="Times New Roman"/>
        </w:rPr>
        <w:t>prove</w:t>
      </w:r>
      <w:proofErr w:type="spellEnd"/>
      <w:r w:rsidR="003326E7" w:rsidRPr="00705170">
        <w:rPr>
          <w:rFonts w:ascii="Times New Roman" w:hAnsi="Times New Roman" w:cs="Times New Roman"/>
        </w:rPr>
        <w:t xml:space="preserve"> </w:t>
      </w:r>
      <w:proofErr w:type="spellStart"/>
      <w:r w:rsidR="003326E7" w:rsidRPr="00705170">
        <w:rPr>
          <w:rFonts w:ascii="Times New Roman" w:hAnsi="Times New Roman" w:cs="Times New Roman"/>
        </w:rPr>
        <w:t>that</w:t>
      </w:r>
      <w:proofErr w:type="spellEnd"/>
      <w:r w:rsidR="003326E7" w:rsidRPr="00705170">
        <w:rPr>
          <w:rFonts w:ascii="Times New Roman" w:hAnsi="Times New Roman" w:cs="Times New Roman"/>
        </w:rPr>
        <w:t xml:space="preserve"> </w:t>
      </w:r>
      <w:proofErr w:type="spellStart"/>
      <w:r w:rsidR="003326E7" w:rsidRPr="00705170">
        <w:rPr>
          <w:rFonts w:ascii="Times New Roman" w:hAnsi="Times New Roman" w:cs="Times New Roman"/>
        </w:rPr>
        <w:t>shareholders</w:t>
      </w:r>
      <w:proofErr w:type="spellEnd"/>
      <w:r w:rsidR="003326E7" w:rsidRPr="00705170">
        <w:rPr>
          <w:rFonts w:ascii="Times New Roman" w:hAnsi="Times New Roman" w:cs="Times New Roman"/>
        </w:rPr>
        <w:t xml:space="preserve"> fail </w:t>
      </w:r>
      <w:proofErr w:type="spellStart"/>
      <w:r w:rsidR="003326E7"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themselves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w:t>
      </w:r>
      <w:proofErr w:type="spellEnd"/>
      <w:r w:rsidR="003326E7"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hypothetical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bargain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memorialized</w:t>
      </w:r>
      <w:proofErr w:type="spellEnd"/>
      <w:r w:rsidRPr="00705170">
        <w:rPr>
          <w:rFonts w:ascii="Times New Roman" w:hAnsi="Times New Roman" w:cs="Times New Roman"/>
        </w:rPr>
        <w:t xml:space="preserve"> in an </w:t>
      </w:r>
      <w:proofErr w:type="spellStart"/>
      <w:r w:rsidRPr="00705170">
        <w:rPr>
          <w:rFonts w:ascii="Times New Roman" w:hAnsi="Times New Roman" w:cs="Times New Roman"/>
        </w:rPr>
        <w:t>enforceable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agreement</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150"/>
      </w:r>
      <w:r w:rsidRPr="00705170">
        <w:rPr>
          <w:rFonts w:ascii="Times New Roman" w:hAnsi="Times New Roman" w:cs="Times New Roman"/>
        </w:rPr>
        <w:t xml:space="preserve">. </w:t>
      </w:r>
    </w:p>
    <w:p w14:paraId="3F4FF656" w14:textId="7822767F" w:rsidR="0012251E" w:rsidRPr="00705170" w:rsidRDefault="0012251E" w:rsidP="0012251E">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insider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proxy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voting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unfair</w:t>
      </w:r>
      <w:proofErr w:type="spellEnd"/>
      <w:r w:rsidRPr="00705170">
        <w:rPr>
          <w:rFonts w:ascii="Times New Roman" w:hAnsi="Times New Roman" w:cs="Times New Roman"/>
        </w:rPr>
        <w:t xml:space="preserve"> self- </w:t>
      </w:r>
      <w:proofErr w:type="spellStart"/>
      <w:r w:rsidRPr="00705170">
        <w:rPr>
          <w:rFonts w:ascii="Times New Roman" w:hAnsi="Times New Roman" w:cs="Times New Roman"/>
        </w:rPr>
        <w:t>dealing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fraudulent</w:t>
      </w:r>
      <w:proofErr w:type="spellEnd"/>
      <w:r w:rsidRPr="00705170">
        <w:rPr>
          <w:rFonts w:ascii="Times New Roman" w:hAnsi="Times New Roman" w:cs="Times New Roman"/>
        </w:rPr>
        <w:t xml:space="preserve"> transfer)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mixed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character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measures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against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circumvention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mandatory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implemented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wid</w:t>
      </w:r>
      <w:r w:rsidR="00DF061E" w:rsidRPr="00705170">
        <w:rPr>
          <w:rFonts w:ascii="Times New Roman" w:hAnsi="Times New Roman" w:cs="Times New Roman"/>
        </w:rPr>
        <w:t>er</w:t>
      </w:r>
      <w:proofErr w:type="spellEnd"/>
      <w:r w:rsidR="00DF061E" w:rsidRPr="00705170">
        <w:rPr>
          <w:rFonts w:ascii="Times New Roman" w:hAnsi="Times New Roman" w:cs="Times New Roman"/>
        </w:rPr>
        <w:t xml:space="preserve"> </w:t>
      </w:r>
      <w:proofErr w:type="spellStart"/>
      <w:r w:rsidR="00DF061E" w:rsidRPr="00705170">
        <w:rPr>
          <w:rFonts w:ascii="Times New Roman" w:hAnsi="Times New Roman" w:cs="Times New Roman"/>
        </w:rPr>
        <w:t>policy</w:t>
      </w:r>
      <w:proofErr w:type="spellEnd"/>
      <w:r w:rsidR="00DF061E" w:rsidRPr="00705170">
        <w:rPr>
          <w:rFonts w:ascii="Times New Roman" w:hAnsi="Times New Roman" w:cs="Times New Roman"/>
        </w:rPr>
        <w:t xml:space="preserve"> </w:t>
      </w:r>
      <w:proofErr w:type="spellStart"/>
      <w:r w:rsidR="00DF061E" w:rsidRPr="00705170">
        <w:rPr>
          <w:rFonts w:ascii="Times New Roman" w:hAnsi="Times New Roman" w:cs="Times New Roman"/>
        </w:rPr>
        <w:t>goals</w:t>
      </w:r>
      <w:proofErr w:type="spellEnd"/>
      <w:r w:rsidR="00DF061E" w:rsidRPr="00705170">
        <w:rPr>
          <w:rFonts w:ascii="Times New Roman" w:hAnsi="Times New Roman" w:cs="Times New Roman"/>
        </w:rPr>
        <w:t xml:space="preserve"> of </w:t>
      </w:r>
      <w:proofErr w:type="spellStart"/>
      <w:r w:rsidR="00DF061E"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Style w:val="DipnotBavurusu"/>
          <w:rFonts w:ascii="Times New Roman" w:hAnsi="Times New Roman" w:cs="Times New Roman"/>
        </w:rPr>
        <w:footnoteReference w:id="151"/>
      </w:r>
      <w:r w:rsidRPr="00705170">
        <w:rPr>
          <w:rFonts w:ascii="Times New Roman" w:hAnsi="Times New Roman" w:cs="Times New Roman"/>
        </w:rPr>
        <w:t xml:space="preserve">, but can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regarded</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legislative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assertion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bargained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strong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protections</w:t>
      </w:r>
      <w:proofErr w:type="spellEnd"/>
      <w:r w:rsidRPr="00705170">
        <w:rPr>
          <w:rStyle w:val="DipnotBavurusu"/>
          <w:rFonts w:ascii="Times New Roman" w:hAnsi="Times New Roman" w:cs="Times New Roman"/>
        </w:rPr>
        <w:footnoteReference w:id="152"/>
      </w:r>
      <w:r w:rsidRPr="00705170">
        <w:rPr>
          <w:rFonts w:ascii="Times New Roman" w:hAnsi="Times New Roman" w:cs="Times New Roman"/>
        </w:rPr>
        <w:t>.</w:t>
      </w:r>
      <w:r w:rsidR="007947D0" w:rsidRPr="00705170">
        <w:rPr>
          <w:rFonts w:ascii="Times New Roman" w:hAnsi="Times New Roman" w:cs="Times New Roman"/>
        </w:rPr>
        <w:t xml:space="preserve"> </w:t>
      </w:r>
      <w:r w:rsidR="002A2267" w:rsidRPr="00705170">
        <w:rPr>
          <w:rFonts w:ascii="Times New Roman" w:hAnsi="Times New Roman" w:cs="Times New Roman"/>
        </w:rPr>
        <w:t>“</w:t>
      </w:r>
      <w:proofErr w:type="spellStart"/>
      <w:r w:rsidR="002A2267" w:rsidRPr="00705170">
        <w:rPr>
          <w:rFonts w:ascii="Times New Roman" w:hAnsi="Times New Roman" w:cs="Times New Roman"/>
        </w:rPr>
        <w:t>The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principled</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rationale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for</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mandatory</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terms</w:t>
      </w:r>
      <w:proofErr w:type="spellEnd"/>
      <w:r w:rsidR="002A2267" w:rsidRPr="00705170">
        <w:rPr>
          <w:rFonts w:ascii="Times New Roman" w:hAnsi="Times New Roman" w:cs="Times New Roman"/>
        </w:rPr>
        <w:t xml:space="preserve"> of </w:t>
      </w:r>
      <w:proofErr w:type="spellStart"/>
      <w:r w:rsidR="002A2267" w:rsidRPr="00705170">
        <w:rPr>
          <w:rFonts w:ascii="Times New Roman" w:hAnsi="Times New Roman" w:cs="Times New Roman"/>
        </w:rPr>
        <w:t>these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types</w:t>
      </w:r>
      <w:proofErr w:type="spellEnd"/>
      <w:r w:rsidR="002A2267" w:rsidRPr="00705170">
        <w:rPr>
          <w:rFonts w:ascii="Times New Roman" w:hAnsi="Times New Roman" w:cs="Times New Roman"/>
        </w:rPr>
        <w:t xml:space="preserve"> is </w:t>
      </w:r>
      <w:proofErr w:type="spellStart"/>
      <w:r w:rsidR="002A2267" w:rsidRPr="00705170">
        <w:rPr>
          <w:rFonts w:ascii="Times New Roman" w:hAnsi="Times New Roman" w:cs="Times New Roman"/>
        </w:rPr>
        <w:t>usually</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based</w:t>
      </w:r>
      <w:proofErr w:type="spellEnd"/>
      <w:r w:rsidR="002A2267" w:rsidRPr="00705170">
        <w:rPr>
          <w:rFonts w:ascii="Times New Roman" w:hAnsi="Times New Roman" w:cs="Times New Roman"/>
        </w:rPr>
        <w:t xml:space="preserve"> on </w:t>
      </w:r>
      <w:proofErr w:type="spellStart"/>
      <w:r w:rsidR="002A2267" w:rsidRPr="00705170">
        <w:rPr>
          <w:rFonts w:ascii="Times New Roman" w:hAnsi="Times New Roman" w:cs="Times New Roman"/>
        </w:rPr>
        <w:t>some</w:t>
      </w:r>
      <w:proofErr w:type="spellEnd"/>
      <w:r w:rsidR="002A2267" w:rsidRPr="00705170">
        <w:rPr>
          <w:rFonts w:ascii="Times New Roman" w:hAnsi="Times New Roman" w:cs="Times New Roman"/>
        </w:rPr>
        <w:t xml:space="preserve"> form of ‘</w:t>
      </w:r>
      <w:proofErr w:type="spellStart"/>
      <w:r w:rsidR="002A2267" w:rsidRPr="00705170">
        <w:rPr>
          <w:rFonts w:ascii="Times New Roman" w:hAnsi="Times New Roman" w:cs="Times New Roman"/>
        </w:rPr>
        <w:t>contracting</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failure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that</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some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parties</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might</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otherwise</w:t>
      </w:r>
      <w:proofErr w:type="spellEnd"/>
      <w:r w:rsidR="002A2267" w:rsidRPr="00705170">
        <w:rPr>
          <w:rFonts w:ascii="Times New Roman" w:hAnsi="Times New Roman" w:cs="Times New Roman"/>
        </w:rPr>
        <w:t xml:space="preserve"> be </w:t>
      </w:r>
      <w:proofErr w:type="spellStart"/>
      <w:r w:rsidR="002A2267" w:rsidRPr="00705170">
        <w:rPr>
          <w:rFonts w:ascii="Times New Roman" w:hAnsi="Times New Roman" w:cs="Times New Roman"/>
        </w:rPr>
        <w:t>exploited</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because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they</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are</w:t>
      </w:r>
      <w:proofErr w:type="spellEnd"/>
      <w:r w:rsidR="002A2267" w:rsidRPr="00705170">
        <w:rPr>
          <w:rFonts w:ascii="Times New Roman" w:hAnsi="Times New Roman" w:cs="Times New Roman"/>
        </w:rPr>
        <w:t xml:space="preserve"> not </w:t>
      </w:r>
      <w:proofErr w:type="spellStart"/>
      <w:r w:rsidR="002A2267" w:rsidRPr="00705170">
        <w:rPr>
          <w:rFonts w:ascii="Times New Roman" w:hAnsi="Times New Roman" w:cs="Times New Roman"/>
        </w:rPr>
        <w:t>well</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informed</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that</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the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interests</w:t>
      </w:r>
      <w:proofErr w:type="spellEnd"/>
      <w:r w:rsidR="002A2267" w:rsidRPr="00705170">
        <w:rPr>
          <w:rFonts w:ascii="Times New Roman" w:hAnsi="Times New Roman" w:cs="Times New Roman"/>
        </w:rPr>
        <w:t xml:space="preserve"> of </w:t>
      </w:r>
      <w:proofErr w:type="spellStart"/>
      <w:r w:rsidR="002A2267" w:rsidRPr="00705170">
        <w:rPr>
          <w:rFonts w:ascii="Times New Roman" w:hAnsi="Times New Roman" w:cs="Times New Roman"/>
        </w:rPr>
        <w:t>third</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lastRenderedPageBreak/>
        <w:t>parties</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might</w:t>
      </w:r>
      <w:proofErr w:type="spellEnd"/>
      <w:r w:rsidR="002A2267" w:rsidRPr="00705170">
        <w:rPr>
          <w:rFonts w:ascii="Times New Roman" w:hAnsi="Times New Roman" w:cs="Times New Roman"/>
        </w:rPr>
        <w:t xml:space="preserve"> be </w:t>
      </w:r>
      <w:proofErr w:type="spellStart"/>
      <w:r w:rsidR="002A2267" w:rsidRPr="00705170">
        <w:rPr>
          <w:rFonts w:ascii="Times New Roman" w:hAnsi="Times New Roman" w:cs="Times New Roman"/>
        </w:rPr>
        <w:t>affected</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or</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that</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collective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action</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problems</w:t>
      </w:r>
      <w:proofErr w:type="spellEnd"/>
      <w:r w:rsidR="002A2267" w:rsidRPr="00705170">
        <w:rPr>
          <w:rFonts w:ascii="Times New Roman" w:hAnsi="Times New Roman" w:cs="Times New Roman"/>
        </w:rPr>
        <w:t>…</w:t>
      </w:r>
      <w:proofErr w:type="spellStart"/>
      <w:r w:rsidR="002A2267" w:rsidRPr="00705170">
        <w:rPr>
          <w:rFonts w:ascii="Times New Roman" w:hAnsi="Times New Roman" w:cs="Times New Roman"/>
        </w:rPr>
        <w:t>might</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otherwise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lead</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to</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contractual</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provisions</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that</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are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inefficient</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or</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unfair</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Mandatory</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rules</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may</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also</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serve</w:t>
      </w:r>
      <w:proofErr w:type="spellEnd"/>
      <w:r w:rsidR="002A2267" w:rsidRPr="00705170">
        <w:rPr>
          <w:rFonts w:ascii="Times New Roman" w:hAnsi="Times New Roman" w:cs="Times New Roman"/>
        </w:rPr>
        <w:t xml:space="preserve"> a </w:t>
      </w:r>
      <w:proofErr w:type="spellStart"/>
      <w:r w:rsidR="002A2267" w:rsidRPr="00705170">
        <w:rPr>
          <w:rFonts w:ascii="Times New Roman" w:hAnsi="Times New Roman" w:cs="Times New Roman"/>
        </w:rPr>
        <w:t>useful</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standardizing</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function</w:t>
      </w:r>
      <w:proofErr w:type="spellEnd"/>
      <w:r w:rsidR="002A2267" w:rsidRPr="00705170">
        <w:rPr>
          <w:rFonts w:ascii="Times New Roman" w:hAnsi="Times New Roman" w:cs="Times New Roman"/>
        </w:rPr>
        <w:t xml:space="preserve">, in </w:t>
      </w:r>
      <w:proofErr w:type="spellStart"/>
      <w:r w:rsidR="002A2267" w:rsidRPr="00705170">
        <w:rPr>
          <w:rFonts w:ascii="Times New Roman" w:hAnsi="Times New Roman" w:cs="Times New Roman"/>
        </w:rPr>
        <w:t>circumstances</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such</w:t>
      </w:r>
      <w:proofErr w:type="spellEnd"/>
      <w:r w:rsidR="002A2267" w:rsidRPr="00705170">
        <w:rPr>
          <w:rFonts w:ascii="Times New Roman" w:hAnsi="Times New Roman" w:cs="Times New Roman"/>
        </w:rPr>
        <w:t xml:space="preserve"> as </w:t>
      </w:r>
      <w:proofErr w:type="spellStart"/>
      <w:r w:rsidR="002A2267" w:rsidRPr="00705170">
        <w:rPr>
          <w:rFonts w:ascii="Times New Roman" w:hAnsi="Times New Roman" w:cs="Times New Roman"/>
        </w:rPr>
        <w:t>accounting</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rules</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where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the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benefits</w:t>
      </w:r>
      <w:proofErr w:type="spellEnd"/>
      <w:r w:rsidR="002A2267" w:rsidRPr="00705170">
        <w:rPr>
          <w:rFonts w:ascii="Times New Roman" w:hAnsi="Times New Roman" w:cs="Times New Roman"/>
        </w:rPr>
        <w:t xml:space="preserve"> of </w:t>
      </w:r>
      <w:proofErr w:type="spellStart"/>
      <w:r w:rsidR="002A2267" w:rsidRPr="00705170">
        <w:rPr>
          <w:rFonts w:ascii="Times New Roman" w:hAnsi="Times New Roman" w:cs="Times New Roman"/>
        </w:rPr>
        <w:t>compliance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increase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if</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everyone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adheres</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to</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the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same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provision</w:t>
      </w:r>
      <w:proofErr w:type="spellEnd"/>
      <w:r w:rsidR="002A2267" w:rsidRPr="00705170">
        <w:rPr>
          <w:rFonts w:ascii="Times New Roman" w:hAnsi="Times New Roman" w:cs="Times New Roman"/>
        </w:rPr>
        <w:t>”</w:t>
      </w:r>
      <w:r w:rsidR="00B956AF" w:rsidRPr="00705170">
        <w:rPr>
          <w:rStyle w:val="DipnotBavurusu"/>
          <w:rFonts w:ascii="Times New Roman" w:hAnsi="Times New Roman" w:cs="Times New Roman"/>
        </w:rPr>
        <w:footnoteReference w:id="153"/>
      </w:r>
      <w:r w:rsidR="00B956AF" w:rsidRPr="00705170">
        <w:rPr>
          <w:rFonts w:ascii="Times New Roman" w:hAnsi="Times New Roman" w:cs="Times New Roman"/>
        </w:rPr>
        <w:t>.</w:t>
      </w:r>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These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rules</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also</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facilitate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freedom</w:t>
      </w:r>
      <w:proofErr w:type="spellEnd"/>
      <w:r w:rsidR="002A2267" w:rsidRPr="00705170">
        <w:rPr>
          <w:rFonts w:ascii="Times New Roman" w:hAnsi="Times New Roman" w:cs="Times New Roman"/>
        </w:rPr>
        <w:t xml:space="preserve"> of </w:t>
      </w:r>
      <w:proofErr w:type="spellStart"/>
      <w:r w:rsidR="002A2267" w:rsidRPr="00705170">
        <w:rPr>
          <w:rFonts w:ascii="Times New Roman" w:hAnsi="Times New Roman" w:cs="Times New Roman"/>
        </w:rPr>
        <w:t>contract</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by</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helping</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corporate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participants</w:t>
      </w:r>
      <w:proofErr w:type="spellEnd"/>
      <w:r w:rsidR="007947D0" w:rsidRPr="00705170">
        <w:rPr>
          <w:rFonts w:ascii="Times New Roman" w:hAnsi="Times New Roman" w:cs="Times New Roman"/>
        </w:rPr>
        <w:t xml:space="preserve">, </w:t>
      </w:r>
      <w:proofErr w:type="spellStart"/>
      <w:r w:rsidR="003326E7" w:rsidRPr="00705170">
        <w:rPr>
          <w:rFonts w:ascii="Times New Roman" w:hAnsi="Times New Roman" w:cs="Times New Roman"/>
        </w:rPr>
        <w:t>through</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creating</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corporate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forms</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that</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are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to</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some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degree</w:t>
      </w:r>
      <w:proofErr w:type="spellEnd"/>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flexible</w:t>
      </w:r>
      <w:proofErr w:type="spellEnd"/>
      <w:r w:rsidR="002A2267" w:rsidRPr="00705170">
        <w:rPr>
          <w:rStyle w:val="DipnotBavurusu"/>
          <w:rFonts w:ascii="Times New Roman" w:hAnsi="Times New Roman" w:cs="Times New Roman"/>
        </w:rPr>
        <w:footnoteReference w:id="154"/>
      </w:r>
      <w:r w:rsidR="002A2267" w:rsidRPr="00705170">
        <w:rPr>
          <w:rFonts w:ascii="Times New Roman" w:hAnsi="Times New Roman" w:cs="Times New Roman"/>
        </w:rPr>
        <w:t xml:space="preserve">, </w:t>
      </w:r>
      <w:proofErr w:type="spellStart"/>
      <w:r w:rsidR="002A2267" w:rsidRPr="00705170">
        <w:rPr>
          <w:rFonts w:ascii="Times New Roman" w:hAnsi="Times New Roman" w:cs="Times New Roman"/>
        </w:rPr>
        <w:t>and</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operate</w:t>
      </w:r>
      <w:proofErr w:type="spellEnd"/>
      <w:r w:rsidR="007947D0" w:rsidRPr="00705170">
        <w:rPr>
          <w:rFonts w:ascii="Times New Roman" w:hAnsi="Times New Roman" w:cs="Times New Roman"/>
        </w:rPr>
        <w:t xml:space="preserve"> on a </w:t>
      </w:r>
      <w:proofErr w:type="spellStart"/>
      <w:r w:rsidR="007947D0" w:rsidRPr="00705170">
        <w:rPr>
          <w:rFonts w:ascii="Times New Roman" w:hAnsi="Times New Roman" w:cs="Times New Roman"/>
        </w:rPr>
        <w:t>basis</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which</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classifies</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rules</w:t>
      </w:r>
      <w:proofErr w:type="spellEnd"/>
      <w:r w:rsidR="007947D0" w:rsidRPr="00705170">
        <w:rPr>
          <w:rFonts w:ascii="Times New Roman" w:hAnsi="Times New Roman" w:cs="Times New Roman"/>
        </w:rPr>
        <w:t xml:space="preserve"> as </w:t>
      </w:r>
      <w:proofErr w:type="spellStart"/>
      <w:r w:rsidR="007947D0" w:rsidRPr="00705170">
        <w:rPr>
          <w:rFonts w:ascii="Times New Roman" w:hAnsi="Times New Roman" w:cs="Times New Roman"/>
        </w:rPr>
        <w:t>permissive</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may</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rules</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presumptive</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may</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waive</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rules</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and</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mandatory</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must</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or</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must</w:t>
      </w:r>
      <w:proofErr w:type="spellEnd"/>
      <w:r w:rsidR="007947D0" w:rsidRPr="00705170">
        <w:rPr>
          <w:rFonts w:ascii="Times New Roman" w:hAnsi="Times New Roman" w:cs="Times New Roman"/>
        </w:rPr>
        <w:t xml:space="preserve"> not” </w:t>
      </w:r>
      <w:proofErr w:type="spellStart"/>
      <w:r w:rsidR="007947D0" w:rsidRPr="00705170">
        <w:rPr>
          <w:rFonts w:ascii="Times New Roman" w:hAnsi="Times New Roman" w:cs="Times New Roman"/>
        </w:rPr>
        <w:t>rules</w:t>
      </w:r>
      <w:proofErr w:type="spellEnd"/>
      <w:r w:rsidR="007947D0" w:rsidRPr="00705170">
        <w:rPr>
          <w:rFonts w:ascii="Times New Roman" w:hAnsi="Times New Roman" w:cs="Times New Roman"/>
        </w:rPr>
        <w:t xml:space="preserve">) </w:t>
      </w:r>
      <w:proofErr w:type="spellStart"/>
      <w:r w:rsidR="007947D0" w:rsidRPr="00705170">
        <w:rPr>
          <w:rFonts w:ascii="Times New Roman" w:hAnsi="Times New Roman" w:cs="Times New Roman"/>
        </w:rPr>
        <w:t>rules</w:t>
      </w:r>
      <w:proofErr w:type="spellEnd"/>
      <w:r w:rsidR="00D06327" w:rsidRPr="00705170">
        <w:rPr>
          <w:rStyle w:val="DipnotBavurusu"/>
          <w:rFonts w:ascii="Times New Roman" w:hAnsi="Times New Roman" w:cs="Times New Roman"/>
        </w:rPr>
        <w:footnoteReference w:id="155"/>
      </w:r>
      <w:r w:rsidR="007947D0" w:rsidRPr="00705170">
        <w:rPr>
          <w:rFonts w:ascii="Times New Roman" w:hAnsi="Times New Roman" w:cs="Times New Roman"/>
        </w:rPr>
        <w:t>.</w:t>
      </w:r>
      <w:r w:rsidR="0084363D" w:rsidRPr="00705170">
        <w:rPr>
          <w:rFonts w:ascii="Times New Roman" w:hAnsi="Times New Roman" w:cs="Times New Roman"/>
        </w:rPr>
        <w:t xml:space="preserve"> </w:t>
      </w:r>
    </w:p>
    <w:p w14:paraId="79AA28DD" w14:textId="284093D7" w:rsidR="0012251E" w:rsidRPr="00705170" w:rsidRDefault="005663C3" w:rsidP="0012251E">
      <w:pPr>
        <w:spacing w:after="240" w:line="480" w:lineRule="auto"/>
        <w:ind w:firstLine="720"/>
        <w:jc w:val="both"/>
        <w:rPr>
          <w:rFonts w:ascii="Times New Roman" w:hAnsi="Times New Roman" w:cs="Times New Roman"/>
        </w:rPr>
      </w:pPr>
      <w:proofErr w:type="spellStart"/>
      <w:r>
        <w:rPr>
          <w:rFonts w:ascii="Times New Roman" w:hAnsi="Times New Roman" w:cs="Times New Roman"/>
        </w:rPr>
        <w:t>All</w:t>
      </w:r>
      <w:proofErr w:type="spellEnd"/>
      <w:r>
        <w:rPr>
          <w:rFonts w:ascii="Times New Roman" w:hAnsi="Times New Roman" w:cs="Times New Roman"/>
        </w:rPr>
        <w:t xml:space="preserve"> in </w:t>
      </w:r>
      <w:proofErr w:type="spellStart"/>
      <w:r>
        <w:rPr>
          <w:rFonts w:ascii="Times New Roman" w:hAnsi="Times New Roman" w:cs="Times New Roman"/>
        </w:rPr>
        <w:t>all</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this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study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asserts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that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participants</w:t>
      </w:r>
      <w:proofErr w:type="spellEnd"/>
      <w:r w:rsidR="0012251E" w:rsidRPr="00705170">
        <w:rPr>
          <w:rFonts w:ascii="Times New Roman" w:hAnsi="Times New Roman" w:cs="Times New Roman"/>
        </w:rPr>
        <w:t xml:space="preserve"> of </w:t>
      </w:r>
      <w:r>
        <w:rPr>
          <w:rFonts w:ascii="Times New Roman" w:hAnsi="Times New Roman" w:cs="Times New Roman"/>
        </w:rPr>
        <w:t>a</w:t>
      </w:r>
      <w:r w:rsidRPr="00705170">
        <w:rPr>
          <w:rFonts w:ascii="Times New Roman" w:hAnsi="Times New Roman" w:cs="Times New Roman"/>
        </w:rPr>
        <w:t xml:space="preserve"> </w:t>
      </w:r>
      <w:proofErr w:type="spellStart"/>
      <w:r w:rsidR="0012251E" w:rsidRPr="00705170">
        <w:rPr>
          <w:rFonts w:ascii="Times New Roman" w:hAnsi="Times New Roman" w:cs="Times New Roman"/>
        </w:rPr>
        <w:t>corporation</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would</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bargain</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for</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protection</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against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extraction</w:t>
      </w:r>
      <w:proofErr w:type="spellEnd"/>
      <w:r w:rsidR="0012251E" w:rsidRPr="00705170">
        <w:rPr>
          <w:rFonts w:ascii="Times New Roman" w:hAnsi="Times New Roman" w:cs="Times New Roman"/>
        </w:rPr>
        <w:t xml:space="preserve"> of </w:t>
      </w:r>
      <w:proofErr w:type="spellStart"/>
      <w:r w:rsidR="0012251E" w:rsidRPr="00705170">
        <w:rPr>
          <w:rFonts w:ascii="Times New Roman" w:hAnsi="Times New Roman" w:cs="Times New Roman"/>
        </w:rPr>
        <w:t>unjustified</w:t>
      </w:r>
      <w:proofErr w:type="spellEnd"/>
      <w:r w:rsidR="0012251E" w:rsidRPr="00705170">
        <w:rPr>
          <w:rFonts w:ascii="Times New Roman" w:hAnsi="Times New Roman" w:cs="Times New Roman"/>
        </w:rPr>
        <w:t xml:space="preserve"> </w:t>
      </w:r>
      <w:proofErr w:type="spellStart"/>
      <w:r w:rsidR="00383425" w:rsidRPr="00705170">
        <w:rPr>
          <w:rFonts w:ascii="Times New Roman" w:hAnsi="Times New Roman" w:cs="Times New Roman"/>
        </w:rPr>
        <w:t>detrimental</w:t>
      </w:r>
      <w:proofErr w:type="spellEnd"/>
      <w:r w:rsidR="00383425" w:rsidRPr="00705170">
        <w:rPr>
          <w:rFonts w:ascii="Times New Roman" w:hAnsi="Times New Roman" w:cs="Times New Roman"/>
        </w:rPr>
        <w:t xml:space="preserve"> </w:t>
      </w:r>
      <w:proofErr w:type="spellStart"/>
      <w:r w:rsidR="0012251E" w:rsidRPr="00705170">
        <w:rPr>
          <w:rFonts w:ascii="Times New Roman" w:hAnsi="Times New Roman" w:cs="Times New Roman"/>
        </w:rPr>
        <w:t>private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non</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pecuniary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benefits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if</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bargainin</w:t>
      </w:r>
      <w:r w:rsidR="000534C2" w:rsidRPr="00705170">
        <w:rPr>
          <w:rFonts w:ascii="Times New Roman" w:hAnsi="Times New Roman" w:cs="Times New Roman"/>
        </w:rPr>
        <w:t>g</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were</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costless</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due</w:t>
      </w:r>
      <w:proofErr w:type="spellEnd"/>
      <w:r w:rsidR="000534C2" w:rsidRPr="00705170">
        <w:rPr>
          <w:rFonts w:ascii="Times New Roman" w:hAnsi="Times New Roman" w:cs="Times New Roman"/>
        </w:rPr>
        <w:t xml:space="preserve"> </w:t>
      </w:r>
      <w:proofErr w:type="spellStart"/>
      <w:r w:rsidR="006F55DE" w:rsidRPr="00705170">
        <w:rPr>
          <w:rFonts w:ascii="Times New Roman" w:hAnsi="Times New Roman" w:cs="Times New Roman"/>
        </w:rPr>
        <w:t>to</w:t>
      </w:r>
      <w:proofErr w:type="spellEnd"/>
      <w:r w:rsidR="006F55DE" w:rsidRPr="00705170">
        <w:rPr>
          <w:rFonts w:ascii="Times New Roman" w:hAnsi="Times New Roman" w:cs="Times New Roman"/>
        </w:rPr>
        <w:t xml:space="preserve"> </w:t>
      </w:r>
      <w:proofErr w:type="spellStart"/>
      <w:r w:rsidR="000534C2" w:rsidRPr="00705170">
        <w:rPr>
          <w:rFonts w:ascii="Times New Roman" w:hAnsi="Times New Roman" w:cs="Times New Roman"/>
        </w:rPr>
        <w:t>its</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oppressive</w:t>
      </w:r>
      <w:proofErr w:type="spellEnd"/>
      <w:r w:rsidR="000534C2" w:rsidRPr="00705170">
        <w:rPr>
          <w:rFonts w:ascii="Times New Roman" w:hAnsi="Times New Roman" w:cs="Times New Roman"/>
        </w:rPr>
        <w:t xml:space="preserve"> </w:t>
      </w:r>
      <w:proofErr w:type="spellStart"/>
      <w:r w:rsidR="000534C2" w:rsidRPr="00705170">
        <w:rPr>
          <w:rFonts w:ascii="Times New Roman" w:hAnsi="Times New Roman" w:cs="Times New Roman"/>
        </w:rPr>
        <w:t>nature</w:t>
      </w:r>
      <w:proofErr w:type="spellEnd"/>
      <w:r w:rsidR="0012251E" w:rsidRPr="00705170">
        <w:rPr>
          <w:rStyle w:val="DipnotBavurusu"/>
          <w:rFonts w:ascii="Times New Roman" w:hAnsi="Times New Roman" w:cs="Times New Roman"/>
        </w:rPr>
        <w:footnoteReference w:id="156"/>
      </w:r>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Thus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if</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corporate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law</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remains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silent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to</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the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issue</w:t>
      </w:r>
      <w:proofErr w:type="spellEnd"/>
      <w:r w:rsidR="0012251E" w:rsidRPr="00705170">
        <w:rPr>
          <w:rFonts w:ascii="Times New Roman" w:hAnsi="Times New Roman" w:cs="Times New Roman"/>
        </w:rPr>
        <w:t xml:space="preserve"> of </w:t>
      </w:r>
      <w:proofErr w:type="spellStart"/>
      <w:r w:rsidR="0012251E" w:rsidRPr="00705170">
        <w:rPr>
          <w:rFonts w:ascii="Times New Roman" w:hAnsi="Times New Roman" w:cs="Times New Roman"/>
        </w:rPr>
        <w:t>extraction</w:t>
      </w:r>
      <w:proofErr w:type="spellEnd"/>
      <w:r w:rsidR="0012251E" w:rsidRPr="00705170">
        <w:rPr>
          <w:rFonts w:ascii="Times New Roman" w:hAnsi="Times New Roman" w:cs="Times New Roman"/>
        </w:rPr>
        <w:t xml:space="preserve"> of </w:t>
      </w:r>
      <w:proofErr w:type="spellStart"/>
      <w:r w:rsidR="0012251E" w:rsidRPr="00705170">
        <w:rPr>
          <w:rFonts w:ascii="Times New Roman" w:hAnsi="Times New Roman" w:cs="Times New Roman"/>
        </w:rPr>
        <w:t>non</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pecuniary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benefits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and</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courts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reject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to</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supply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implicit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contract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terms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corporate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law</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will</w:t>
      </w:r>
      <w:proofErr w:type="spellEnd"/>
      <w:r w:rsidR="0012251E" w:rsidRPr="00705170">
        <w:rPr>
          <w:rFonts w:ascii="Times New Roman" w:hAnsi="Times New Roman" w:cs="Times New Roman"/>
        </w:rPr>
        <w:t xml:space="preserve"> not be </w:t>
      </w:r>
      <w:proofErr w:type="spellStart"/>
      <w:r w:rsidR="0012251E" w:rsidRPr="00705170">
        <w:rPr>
          <w:rFonts w:ascii="Times New Roman" w:hAnsi="Times New Roman" w:cs="Times New Roman"/>
        </w:rPr>
        <w:t>fulfilling</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its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function</w:t>
      </w:r>
      <w:proofErr w:type="spellEnd"/>
      <w:r w:rsidR="0012251E" w:rsidRPr="00705170">
        <w:rPr>
          <w:rFonts w:ascii="Times New Roman" w:hAnsi="Times New Roman" w:cs="Times New Roman"/>
        </w:rPr>
        <w:t>, “</w:t>
      </w:r>
      <w:proofErr w:type="spellStart"/>
      <w:r w:rsidR="0012251E" w:rsidRPr="00705170">
        <w:rPr>
          <w:rFonts w:ascii="Times New Roman" w:hAnsi="Times New Roman" w:cs="Times New Roman"/>
        </w:rPr>
        <w:t>because</w:t>
      </w:r>
      <w:proofErr w:type="spellEnd"/>
      <w:r w:rsidR="0012251E" w:rsidRPr="00705170">
        <w:rPr>
          <w:rFonts w:ascii="Times New Roman" w:hAnsi="Times New Roman" w:cs="Times New Roman"/>
        </w:rPr>
        <w:t xml:space="preserve"> it </w:t>
      </w:r>
      <w:proofErr w:type="spellStart"/>
      <w:r w:rsidR="0012251E" w:rsidRPr="00705170">
        <w:rPr>
          <w:rFonts w:ascii="Times New Roman" w:hAnsi="Times New Roman" w:cs="Times New Roman"/>
        </w:rPr>
        <w:t>will</w:t>
      </w:r>
      <w:proofErr w:type="spellEnd"/>
      <w:r w:rsidR="0012251E" w:rsidRPr="00705170">
        <w:rPr>
          <w:rFonts w:ascii="Times New Roman" w:hAnsi="Times New Roman" w:cs="Times New Roman"/>
        </w:rPr>
        <w:t xml:space="preserve"> not </w:t>
      </w:r>
      <w:proofErr w:type="spellStart"/>
      <w:r w:rsidR="0012251E" w:rsidRPr="00705170">
        <w:rPr>
          <w:rFonts w:ascii="Times New Roman" w:hAnsi="Times New Roman" w:cs="Times New Roman"/>
        </w:rPr>
        <w:t>match</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the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results</w:t>
      </w:r>
      <w:proofErr w:type="spellEnd"/>
      <w:r w:rsidR="0012251E" w:rsidRPr="00705170">
        <w:rPr>
          <w:rFonts w:ascii="Times New Roman" w:hAnsi="Times New Roman" w:cs="Times New Roman"/>
        </w:rPr>
        <w:t xml:space="preserve"> of </w:t>
      </w:r>
      <w:proofErr w:type="spellStart"/>
      <w:r w:rsidR="0012251E" w:rsidRPr="00705170">
        <w:rPr>
          <w:rFonts w:ascii="Times New Roman" w:hAnsi="Times New Roman" w:cs="Times New Roman"/>
        </w:rPr>
        <w:t>costless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bargaining</w:t>
      </w:r>
      <w:proofErr w:type="spellEnd"/>
      <w:r w:rsidR="0012251E" w:rsidRPr="00705170">
        <w:rPr>
          <w:rFonts w:ascii="Times New Roman" w:hAnsi="Times New Roman" w:cs="Times New Roman"/>
        </w:rPr>
        <w:t>”</w:t>
      </w:r>
      <w:r w:rsidR="0012251E" w:rsidRPr="00705170">
        <w:rPr>
          <w:rStyle w:val="DipnotBavurusu"/>
          <w:rFonts w:ascii="Times New Roman" w:hAnsi="Times New Roman" w:cs="Times New Roman"/>
        </w:rPr>
        <w:footnoteReference w:id="157"/>
      </w:r>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Similarly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accepting</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that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judicial</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supervision</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generates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significant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costs</w:t>
      </w:r>
      <w:proofErr w:type="spellEnd"/>
      <w:r w:rsidR="0012251E" w:rsidRPr="00705170">
        <w:rPr>
          <w:rStyle w:val="DipnotBavurusu"/>
          <w:rFonts w:ascii="Times New Roman" w:hAnsi="Times New Roman" w:cs="Times New Roman"/>
        </w:rPr>
        <w:footnoteReference w:id="158"/>
      </w:r>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when</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no</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judicial</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supervision</w:t>
      </w:r>
      <w:proofErr w:type="spellEnd"/>
      <w:r w:rsidR="0012251E" w:rsidRPr="00705170">
        <w:rPr>
          <w:rFonts w:ascii="Times New Roman" w:hAnsi="Times New Roman" w:cs="Times New Roman"/>
        </w:rPr>
        <w:t xml:space="preserve"> is </w:t>
      </w:r>
      <w:proofErr w:type="spellStart"/>
      <w:r w:rsidR="0012251E" w:rsidRPr="00705170">
        <w:rPr>
          <w:rFonts w:ascii="Times New Roman" w:hAnsi="Times New Roman" w:cs="Times New Roman"/>
        </w:rPr>
        <w:t>imposed</w:t>
      </w:r>
      <w:proofErr w:type="spellEnd"/>
      <w:r w:rsidR="0012251E" w:rsidRPr="00705170">
        <w:rPr>
          <w:rFonts w:ascii="Times New Roman" w:hAnsi="Times New Roman" w:cs="Times New Roman"/>
        </w:rPr>
        <w:t xml:space="preserve"> on </w:t>
      </w:r>
      <w:proofErr w:type="spellStart"/>
      <w:r w:rsidR="0012251E" w:rsidRPr="00705170">
        <w:rPr>
          <w:rFonts w:ascii="Times New Roman" w:hAnsi="Times New Roman" w:cs="Times New Roman"/>
        </w:rPr>
        <w:t>extraction</w:t>
      </w:r>
      <w:proofErr w:type="spellEnd"/>
      <w:r w:rsidR="0012251E" w:rsidRPr="00705170">
        <w:rPr>
          <w:rFonts w:ascii="Times New Roman" w:hAnsi="Times New Roman" w:cs="Times New Roman"/>
        </w:rPr>
        <w:t xml:space="preserve"> of </w:t>
      </w:r>
      <w:proofErr w:type="spellStart"/>
      <w:r w:rsidR="0012251E" w:rsidRPr="00705170">
        <w:rPr>
          <w:rFonts w:ascii="Times New Roman" w:hAnsi="Times New Roman" w:cs="Times New Roman"/>
        </w:rPr>
        <w:t>unjustified</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private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non</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pecuniary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benefits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this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opportunistic</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conduct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will</w:t>
      </w:r>
      <w:proofErr w:type="spellEnd"/>
      <w:r w:rsidR="0012251E" w:rsidRPr="00705170">
        <w:rPr>
          <w:rFonts w:ascii="Times New Roman" w:hAnsi="Times New Roman" w:cs="Times New Roman"/>
        </w:rPr>
        <w:t xml:space="preserve"> be </w:t>
      </w:r>
      <w:proofErr w:type="spellStart"/>
      <w:r w:rsidR="0012251E" w:rsidRPr="00705170">
        <w:rPr>
          <w:rFonts w:ascii="Times New Roman" w:hAnsi="Times New Roman" w:cs="Times New Roman"/>
        </w:rPr>
        <w:t>less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costly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for</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its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participants</w:t>
      </w:r>
      <w:proofErr w:type="spellEnd"/>
      <w:r w:rsidR="0012251E" w:rsidRPr="00705170">
        <w:rPr>
          <w:rFonts w:ascii="Times New Roman" w:hAnsi="Times New Roman" w:cs="Times New Roman"/>
        </w:rPr>
        <w:t xml:space="preserve"> (in </w:t>
      </w:r>
      <w:proofErr w:type="spellStart"/>
      <w:r w:rsidR="0012251E" w:rsidRPr="00705170">
        <w:rPr>
          <w:rFonts w:ascii="Times New Roman" w:hAnsi="Times New Roman" w:cs="Times New Roman"/>
        </w:rPr>
        <w:t>this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study’s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context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influencing</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shareholders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and</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managers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However</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if</w:t>
      </w:r>
      <w:proofErr w:type="spellEnd"/>
      <w:r w:rsidR="0012251E" w:rsidRPr="00705170">
        <w:rPr>
          <w:rFonts w:ascii="Times New Roman" w:hAnsi="Times New Roman" w:cs="Times New Roman"/>
        </w:rPr>
        <w:t xml:space="preserve"> a </w:t>
      </w:r>
      <w:proofErr w:type="spellStart"/>
      <w:r w:rsidR="000534C2" w:rsidRPr="00705170">
        <w:rPr>
          <w:rFonts w:ascii="Times New Roman" w:hAnsi="Times New Roman" w:cs="Times New Roman"/>
        </w:rPr>
        <w:t>protection</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against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this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conduct</w:t>
      </w:r>
      <w:proofErr w:type="spellEnd"/>
      <w:r w:rsidR="0012251E" w:rsidRPr="00705170">
        <w:rPr>
          <w:rFonts w:ascii="Times New Roman" w:hAnsi="Times New Roman" w:cs="Times New Roman"/>
        </w:rPr>
        <w:t xml:space="preserve"> is </w:t>
      </w:r>
      <w:proofErr w:type="spellStart"/>
      <w:r w:rsidR="0012251E" w:rsidRPr="00705170">
        <w:rPr>
          <w:rFonts w:ascii="Times New Roman" w:hAnsi="Times New Roman" w:cs="Times New Roman"/>
        </w:rPr>
        <w:t>established</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this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lastRenderedPageBreak/>
        <w:t>conduct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will</w:t>
      </w:r>
      <w:proofErr w:type="spellEnd"/>
      <w:r w:rsidR="0012251E" w:rsidRPr="00705170">
        <w:rPr>
          <w:rFonts w:ascii="Times New Roman" w:hAnsi="Times New Roman" w:cs="Times New Roman"/>
        </w:rPr>
        <w:t xml:space="preserve"> be </w:t>
      </w:r>
      <w:proofErr w:type="spellStart"/>
      <w:r w:rsidR="0012251E" w:rsidRPr="00705170">
        <w:rPr>
          <w:rFonts w:ascii="Times New Roman" w:hAnsi="Times New Roman" w:cs="Times New Roman"/>
        </w:rPr>
        <w:t>treated</w:t>
      </w:r>
      <w:proofErr w:type="spellEnd"/>
      <w:r w:rsidR="0012251E" w:rsidRPr="00705170">
        <w:rPr>
          <w:rFonts w:ascii="Times New Roman" w:hAnsi="Times New Roman" w:cs="Times New Roman"/>
        </w:rPr>
        <w:t xml:space="preserve"> as </w:t>
      </w:r>
      <w:proofErr w:type="spellStart"/>
      <w:r w:rsidR="0012251E" w:rsidRPr="00705170">
        <w:rPr>
          <w:rFonts w:ascii="Times New Roman" w:hAnsi="Times New Roman" w:cs="Times New Roman"/>
        </w:rPr>
        <w:t>one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that</w:t>
      </w:r>
      <w:proofErr w:type="spellEnd"/>
      <w:r w:rsidR="0012251E" w:rsidRPr="00705170">
        <w:rPr>
          <w:rFonts w:ascii="Times New Roman" w:hAnsi="Times New Roman" w:cs="Times New Roman"/>
        </w:rPr>
        <w:t xml:space="preserve"> has a </w:t>
      </w:r>
      <w:proofErr w:type="spellStart"/>
      <w:r w:rsidR="0012251E" w:rsidRPr="00705170">
        <w:rPr>
          <w:rFonts w:ascii="Times New Roman" w:hAnsi="Times New Roman" w:cs="Times New Roman"/>
        </w:rPr>
        <w:t>cost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i.e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price</w:t>
      </w:r>
      <w:proofErr w:type="spellEnd"/>
      <w:r w:rsidR="0012251E" w:rsidRPr="00705170">
        <w:rPr>
          <w:rFonts w:ascii="Times New Roman" w:hAnsi="Times New Roman" w:cs="Times New Roman"/>
        </w:rPr>
        <w:t xml:space="preserve">) </w:t>
      </w:r>
      <w:proofErr w:type="spellStart"/>
      <w:r>
        <w:rPr>
          <w:rFonts w:ascii="Times New Roman" w:hAnsi="Times New Roman" w:cs="Times New Roman"/>
        </w:rPr>
        <w:t>for</w:t>
      </w:r>
      <w:proofErr w:type="spellEnd"/>
      <w:r w:rsidRPr="00705170">
        <w:rPr>
          <w:rFonts w:ascii="Times New Roman" w:hAnsi="Times New Roman" w:cs="Times New Roman"/>
        </w:rPr>
        <w:t xml:space="preserve"> </w:t>
      </w:r>
      <w:proofErr w:type="spellStart"/>
      <w:r w:rsidR="0012251E" w:rsidRPr="00705170">
        <w:rPr>
          <w:rFonts w:ascii="Times New Roman" w:hAnsi="Times New Roman" w:cs="Times New Roman"/>
        </w:rPr>
        <w:t>its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participants</w:t>
      </w:r>
      <w:proofErr w:type="spellEnd"/>
      <w:r w:rsidR="0012251E" w:rsidRPr="00705170">
        <w:rPr>
          <w:rStyle w:val="DipnotBavurusu"/>
          <w:rFonts w:ascii="Times New Roman" w:hAnsi="Times New Roman" w:cs="Times New Roman"/>
        </w:rPr>
        <w:footnoteReference w:id="159"/>
      </w:r>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Accordingly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the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participants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opportunistic</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incentives</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will</w:t>
      </w:r>
      <w:proofErr w:type="spellEnd"/>
      <w:r w:rsidR="0012251E" w:rsidRPr="00705170">
        <w:rPr>
          <w:rFonts w:ascii="Times New Roman" w:hAnsi="Times New Roman" w:cs="Times New Roman"/>
        </w:rPr>
        <w:t xml:space="preserve"> be </w:t>
      </w:r>
      <w:proofErr w:type="spellStart"/>
      <w:r w:rsidR="0012251E" w:rsidRPr="00705170">
        <w:rPr>
          <w:rFonts w:ascii="Times New Roman" w:hAnsi="Times New Roman" w:cs="Times New Roman"/>
        </w:rPr>
        <w:t>curbed</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and</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other</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parties</w:t>
      </w:r>
      <w:proofErr w:type="spellEnd"/>
      <w:r w:rsidR="0012251E" w:rsidRPr="00705170">
        <w:rPr>
          <w:rFonts w:ascii="Times New Roman" w:hAnsi="Times New Roman" w:cs="Times New Roman"/>
        </w:rPr>
        <w:t xml:space="preserve"> of </w:t>
      </w:r>
      <w:proofErr w:type="spellStart"/>
      <w:r w:rsidR="0012251E" w:rsidRPr="00705170">
        <w:rPr>
          <w:rFonts w:ascii="Times New Roman" w:hAnsi="Times New Roman" w:cs="Times New Roman"/>
        </w:rPr>
        <w:t>the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bargain</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will</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have</w:t>
      </w:r>
      <w:proofErr w:type="spellEnd"/>
      <w:r w:rsidR="0012251E" w:rsidRPr="00705170">
        <w:rPr>
          <w:rFonts w:ascii="Times New Roman" w:hAnsi="Times New Roman" w:cs="Times New Roman"/>
        </w:rPr>
        <w:t xml:space="preserve"> a </w:t>
      </w:r>
      <w:proofErr w:type="spellStart"/>
      <w:r w:rsidR="0012251E" w:rsidRPr="00705170">
        <w:rPr>
          <w:rFonts w:ascii="Times New Roman" w:hAnsi="Times New Roman" w:cs="Times New Roman"/>
        </w:rPr>
        <w:t>mechanism</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to</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ensure</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they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accurately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get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what</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they</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bargained</w:t>
      </w:r>
      <w:proofErr w:type="spellEnd"/>
      <w:r w:rsidR="0012251E" w:rsidRPr="00705170">
        <w:rPr>
          <w:rFonts w:ascii="Times New Roman" w:hAnsi="Times New Roman" w:cs="Times New Roman"/>
        </w:rPr>
        <w:t xml:space="preserve"> </w:t>
      </w:r>
      <w:proofErr w:type="spellStart"/>
      <w:r w:rsidR="0012251E" w:rsidRPr="00705170">
        <w:rPr>
          <w:rFonts w:ascii="Times New Roman" w:hAnsi="Times New Roman" w:cs="Times New Roman"/>
        </w:rPr>
        <w:t>for</w:t>
      </w:r>
      <w:proofErr w:type="spellEnd"/>
      <w:r w:rsidR="0012251E" w:rsidRPr="00705170">
        <w:rPr>
          <w:rFonts w:ascii="Times New Roman" w:hAnsi="Times New Roman" w:cs="Times New Roman"/>
        </w:rPr>
        <w:t xml:space="preserve">. </w:t>
      </w:r>
    </w:p>
    <w:p w14:paraId="217F39A6" w14:textId="05D67F75" w:rsidR="0012251E" w:rsidRPr="00705170" w:rsidRDefault="008818E5" w:rsidP="0012251E">
      <w:pPr>
        <w:spacing w:after="240" w:line="480" w:lineRule="auto"/>
        <w:jc w:val="both"/>
        <w:rPr>
          <w:rFonts w:ascii="Times New Roman" w:hAnsi="Times New Roman" w:cs="Times New Roman"/>
          <w:b/>
        </w:rPr>
      </w:pPr>
      <w:r w:rsidRPr="00705170">
        <w:rPr>
          <w:rFonts w:ascii="Times New Roman" w:hAnsi="Times New Roman" w:cs="Times New Roman"/>
          <w:b/>
        </w:rPr>
        <w:tab/>
        <w:t xml:space="preserve">2.2. </w:t>
      </w:r>
      <w:proofErr w:type="spellStart"/>
      <w:r w:rsidRPr="00705170">
        <w:rPr>
          <w:rFonts w:ascii="Times New Roman" w:hAnsi="Times New Roman" w:cs="Times New Roman"/>
          <w:b/>
        </w:rPr>
        <w:t>Influencing</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Shareholder</w:t>
      </w:r>
      <w:proofErr w:type="spellEnd"/>
    </w:p>
    <w:p w14:paraId="7C1F6DF5" w14:textId="30ED1C87" w:rsidR="006A717B" w:rsidRPr="00705170" w:rsidRDefault="00EE64CD" w:rsidP="002C5036">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conventional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perspective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strong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vacuum</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filled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Style w:val="DipnotBavurusu"/>
          <w:rFonts w:ascii="Times New Roman" w:hAnsi="Times New Roman" w:cs="Times New Roman"/>
        </w:rPr>
        <w:footnoteReference w:id="160"/>
      </w:r>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study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underlines</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special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distorted</w:t>
      </w:r>
      <w:proofErr w:type="spellEnd"/>
      <w:r w:rsidRPr="00705170">
        <w:rPr>
          <w:rFonts w:ascii="Times New Roman" w:hAnsi="Times New Roman" w:cs="Times New Roman"/>
        </w:rPr>
        <w:t xml:space="preserve"> market of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00AF365C" w:rsidRPr="00705170">
        <w:rPr>
          <w:rFonts w:ascii="Times New Roman" w:hAnsi="Times New Roman" w:cs="Times New Roman"/>
        </w:rPr>
        <w:t>It</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does</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so</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by</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using</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the</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term</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influencing</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shareholder</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rather</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than</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the</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controlling</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majority</w:t>
      </w:r>
      <w:proofErr w:type="spellEnd"/>
      <w:r w:rsidR="00AF365C" w:rsidRPr="00705170">
        <w:rPr>
          <w:rFonts w:ascii="Times New Roman" w:hAnsi="Times New Roman" w:cs="Times New Roman"/>
        </w:rPr>
        <w:t>,</w:t>
      </w:r>
      <w:r w:rsidR="002C5036" w:rsidRPr="00705170">
        <w:rPr>
          <w:rFonts w:ascii="Times New Roman" w:hAnsi="Times New Roman" w:cs="Times New Roman"/>
        </w:rPr>
        <w:t xml:space="preserve"> </w:t>
      </w:r>
      <w:proofErr w:type="gramStart"/>
      <w:r w:rsidR="002C5036" w:rsidRPr="00705170">
        <w:rPr>
          <w:rFonts w:ascii="Times New Roman" w:hAnsi="Times New Roman" w:cs="Times New Roman"/>
        </w:rPr>
        <w:t>dominant</w:t>
      </w:r>
      <w:proofErr w:type="gramEnd"/>
      <w:r w:rsidR="002C5036" w:rsidRPr="00705170">
        <w:rPr>
          <w:rFonts w:ascii="Times New Roman" w:hAnsi="Times New Roman" w:cs="Times New Roman"/>
        </w:rPr>
        <w:t>,</w:t>
      </w:r>
      <w:r w:rsidR="00BC0C4B">
        <w:rPr>
          <w:rFonts w:ascii="Times New Roman" w:hAnsi="Times New Roman" w:cs="Times New Roman"/>
        </w:rPr>
        <w:t xml:space="preserve"> </w:t>
      </w:r>
      <w:proofErr w:type="spellStart"/>
      <w:r w:rsidR="00BC0C4B">
        <w:rPr>
          <w:rFonts w:ascii="Times New Roman" w:hAnsi="Times New Roman" w:cs="Times New Roman"/>
        </w:rPr>
        <w:t>or</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blockholder</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shareholder</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terms</w:t>
      </w:r>
      <w:proofErr w:type="spellEnd"/>
      <w:r w:rsidR="00AF365C" w:rsidRPr="00705170">
        <w:rPr>
          <w:rFonts w:ascii="Times New Roman" w:hAnsi="Times New Roman" w:cs="Times New Roman"/>
        </w:rPr>
        <w:t xml:space="preserve">, in </w:t>
      </w:r>
      <w:proofErr w:type="spellStart"/>
      <w:r w:rsidR="00AF365C" w:rsidRPr="00705170">
        <w:rPr>
          <w:rFonts w:ascii="Times New Roman" w:hAnsi="Times New Roman" w:cs="Times New Roman"/>
        </w:rPr>
        <w:t>order</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to</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embrace</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both</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both</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intralegal</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and</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extralegal</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perspective</w:t>
      </w:r>
      <w:proofErr w:type="spellEnd"/>
      <w:r w:rsidR="00AF365C" w:rsidRPr="00705170">
        <w:rPr>
          <w:rFonts w:ascii="Times New Roman" w:hAnsi="Times New Roman" w:cs="Times New Roman"/>
        </w:rPr>
        <w:t xml:space="preserve"> of </w:t>
      </w:r>
      <w:proofErr w:type="spellStart"/>
      <w:r w:rsidR="00AF365C" w:rsidRPr="00705170">
        <w:rPr>
          <w:rFonts w:ascii="Times New Roman" w:hAnsi="Times New Roman" w:cs="Times New Roman"/>
        </w:rPr>
        <w:t>control</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associated</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with</w:t>
      </w:r>
      <w:proofErr w:type="spellEnd"/>
      <w:r w:rsidR="00AF365C" w:rsidRPr="00705170">
        <w:rPr>
          <w:rFonts w:ascii="Times New Roman" w:hAnsi="Times New Roman" w:cs="Times New Roman"/>
        </w:rPr>
        <w:t xml:space="preserve"> </w:t>
      </w:r>
      <w:proofErr w:type="spellStart"/>
      <w:r w:rsidR="00AF365C" w:rsidRPr="00705170">
        <w:rPr>
          <w:rFonts w:ascii="Times New Roman" w:hAnsi="Times New Roman" w:cs="Times New Roman"/>
        </w:rPr>
        <w:t>shareholding</w:t>
      </w:r>
      <w:proofErr w:type="spellEnd"/>
      <w:r w:rsidR="002C5036" w:rsidRPr="00705170">
        <w:rPr>
          <w:rStyle w:val="DipnotBavurusu"/>
          <w:rFonts w:ascii="Times New Roman" w:hAnsi="Times New Roman" w:cs="Times New Roman"/>
        </w:rPr>
        <w:footnoteReference w:id="161"/>
      </w:r>
      <w:r w:rsidR="00AF365C" w:rsidRPr="00705170">
        <w:rPr>
          <w:rFonts w:ascii="Times New Roman" w:hAnsi="Times New Roman" w:cs="Times New Roman"/>
        </w:rPr>
        <w:t xml:space="preserve">. </w:t>
      </w:r>
      <w:proofErr w:type="spellStart"/>
      <w:r w:rsidR="002C5036" w:rsidRPr="00705170">
        <w:rPr>
          <w:rFonts w:ascii="Times New Roman" w:hAnsi="Times New Roman" w:cs="Times New Roman"/>
        </w:rPr>
        <w:t>In</w:t>
      </w:r>
      <w:proofErr w:type="spellEnd"/>
      <w:r w:rsidR="002C5036" w:rsidRPr="00705170">
        <w:rPr>
          <w:rFonts w:ascii="Times New Roman" w:hAnsi="Times New Roman" w:cs="Times New Roman"/>
        </w:rPr>
        <w:t xml:space="preserve"> </w:t>
      </w:r>
      <w:proofErr w:type="spellStart"/>
      <w:r w:rsidR="002C5036" w:rsidRPr="00705170">
        <w:rPr>
          <w:rFonts w:ascii="Times New Roman" w:hAnsi="Times New Roman" w:cs="Times New Roman"/>
        </w:rPr>
        <w:t>this</w:t>
      </w:r>
      <w:proofErr w:type="spellEnd"/>
      <w:r w:rsidR="002C5036" w:rsidRPr="00705170">
        <w:rPr>
          <w:rFonts w:ascii="Times New Roman" w:hAnsi="Times New Roman" w:cs="Times New Roman"/>
        </w:rPr>
        <w:t xml:space="preserve"> </w:t>
      </w:r>
      <w:proofErr w:type="spellStart"/>
      <w:r w:rsidR="002C5036" w:rsidRPr="00705170">
        <w:rPr>
          <w:rFonts w:ascii="Times New Roman" w:hAnsi="Times New Roman" w:cs="Times New Roman"/>
        </w:rPr>
        <w:t>study</w:t>
      </w:r>
      <w:proofErr w:type="spellEnd"/>
      <w:r w:rsidR="002C5036" w:rsidRPr="00705170">
        <w:rPr>
          <w:rFonts w:ascii="Times New Roman" w:hAnsi="Times New Roman" w:cs="Times New Roman"/>
        </w:rPr>
        <w:t>,</w:t>
      </w:r>
      <w:r w:rsidR="006A717B" w:rsidRPr="00705170">
        <w:rPr>
          <w:rFonts w:ascii="Times New Roman" w:hAnsi="Times New Roman" w:cs="Times New Roman"/>
        </w:rPr>
        <w:t xml:space="preserve"> </w:t>
      </w:r>
      <w:proofErr w:type="spellStart"/>
      <w:r w:rsidR="002C5036" w:rsidRPr="00705170">
        <w:rPr>
          <w:rFonts w:ascii="Times New Roman" w:hAnsi="Times New Roman" w:cs="Times New Roman"/>
        </w:rPr>
        <w:t>t</w:t>
      </w:r>
      <w:r w:rsidR="00C3132B" w:rsidRPr="00705170">
        <w:rPr>
          <w:rFonts w:ascii="Times New Roman" w:hAnsi="Times New Roman" w:cs="Times New Roman"/>
        </w:rPr>
        <w:t>he</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term</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influencing</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shareholder</w:t>
      </w:r>
      <w:proofErr w:type="spellEnd"/>
      <w:r w:rsidR="00C3132B" w:rsidRPr="00705170">
        <w:rPr>
          <w:rFonts w:ascii="Times New Roman" w:hAnsi="Times New Roman" w:cs="Times New Roman"/>
        </w:rPr>
        <w:t xml:space="preserve">” is </w:t>
      </w:r>
      <w:proofErr w:type="spellStart"/>
      <w:r w:rsidR="00C3132B" w:rsidRPr="00705170">
        <w:rPr>
          <w:rFonts w:ascii="Times New Roman" w:hAnsi="Times New Roman" w:cs="Times New Roman"/>
        </w:rPr>
        <w:t>used</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to</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refer</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to</w:t>
      </w:r>
      <w:proofErr w:type="spellEnd"/>
      <w:r w:rsidR="00C3132B" w:rsidRPr="00705170">
        <w:rPr>
          <w:rFonts w:ascii="Times New Roman" w:hAnsi="Times New Roman" w:cs="Times New Roman"/>
        </w:rPr>
        <w:t xml:space="preserve"> a </w:t>
      </w:r>
      <w:proofErr w:type="spellStart"/>
      <w:r w:rsidR="00C3132B" w:rsidRPr="00705170">
        <w:rPr>
          <w:rFonts w:ascii="Times New Roman" w:hAnsi="Times New Roman" w:cs="Times New Roman"/>
        </w:rPr>
        <w:t>shareholder</w:t>
      </w:r>
      <w:proofErr w:type="spellEnd"/>
      <w:r w:rsidR="004E4447" w:rsidRPr="00705170">
        <w:rPr>
          <w:rFonts w:ascii="Times New Roman" w:hAnsi="Times New Roman" w:cs="Times New Roman"/>
        </w:rPr>
        <w:t>; (1)</w:t>
      </w:r>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who</w:t>
      </w:r>
      <w:proofErr w:type="spellEnd"/>
      <w:r w:rsidR="00C3132B" w:rsidRPr="00705170">
        <w:rPr>
          <w:rFonts w:ascii="Times New Roman" w:hAnsi="Times New Roman" w:cs="Times New Roman"/>
        </w:rPr>
        <w:t xml:space="preserve"> can </w:t>
      </w:r>
      <w:proofErr w:type="spellStart"/>
      <w:r w:rsidR="00C3132B" w:rsidRPr="00705170">
        <w:rPr>
          <w:rFonts w:ascii="Times New Roman" w:hAnsi="Times New Roman" w:cs="Times New Roman"/>
        </w:rPr>
        <w:t>somehow</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ensure</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that</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the</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direction</w:t>
      </w:r>
      <w:proofErr w:type="spellEnd"/>
      <w:r w:rsidR="00C3132B" w:rsidRPr="00705170">
        <w:rPr>
          <w:rFonts w:ascii="Times New Roman" w:hAnsi="Times New Roman" w:cs="Times New Roman"/>
        </w:rPr>
        <w:t xml:space="preserve"> of </w:t>
      </w:r>
      <w:proofErr w:type="spellStart"/>
      <w:r w:rsidR="00C3132B" w:rsidRPr="00705170">
        <w:rPr>
          <w:rFonts w:ascii="Times New Roman" w:hAnsi="Times New Roman" w:cs="Times New Roman"/>
        </w:rPr>
        <w:t>corporate</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conduct</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comports</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with</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the</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wishes</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or</w:t>
      </w:r>
      <w:proofErr w:type="spellEnd"/>
      <w:r w:rsidR="00C3132B" w:rsidRPr="00705170">
        <w:rPr>
          <w:rFonts w:ascii="Times New Roman" w:hAnsi="Times New Roman" w:cs="Times New Roman"/>
        </w:rPr>
        <w:t xml:space="preserve"> </w:t>
      </w:r>
      <w:proofErr w:type="spellStart"/>
      <w:r w:rsidR="00C3132B" w:rsidRPr="00705170">
        <w:rPr>
          <w:rFonts w:ascii="Times New Roman" w:hAnsi="Times New Roman" w:cs="Times New Roman"/>
        </w:rPr>
        <w:t>interests</w:t>
      </w:r>
      <w:proofErr w:type="spellEnd"/>
      <w:r w:rsidR="00C3132B" w:rsidRPr="00705170">
        <w:rPr>
          <w:rFonts w:ascii="Times New Roman" w:hAnsi="Times New Roman" w:cs="Times New Roman"/>
        </w:rPr>
        <w:t xml:space="preserve"> of </w:t>
      </w:r>
      <w:proofErr w:type="spellStart"/>
      <w:r w:rsidR="00C3132B" w:rsidRPr="00705170">
        <w:rPr>
          <w:rFonts w:ascii="Times New Roman" w:hAnsi="Times New Roman" w:cs="Times New Roman"/>
        </w:rPr>
        <w:t>him</w:t>
      </w:r>
      <w:proofErr w:type="spellEnd"/>
      <w:r w:rsidR="00C3132B" w:rsidRPr="00705170">
        <w:rPr>
          <w:rStyle w:val="DipnotBavurusu"/>
          <w:rFonts w:ascii="Times New Roman" w:hAnsi="Times New Roman" w:cs="Times New Roman"/>
        </w:rPr>
        <w:footnoteReference w:id="162"/>
      </w:r>
      <w:r w:rsidR="00EF5A5B" w:rsidRPr="00705170">
        <w:rPr>
          <w:rFonts w:ascii="Times New Roman" w:hAnsi="Times New Roman" w:cs="Times New Roman"/>
        </w:rPr>
        <w:t xml:space="preserve">, </w:t>
      </w:r>
      <w:proofErr w:type="spellStart"/>
      <w:r w:rsidR="00EF5A5B" w:rsidRPr="00705170">
        <w:rPr>
          <w:rFonts w:ascii="Times New Roman" w:hAnsi="Times New Roman" w:cs="Times New Roman"/>
        </w:rPr>
        <w:t>or</w:t>
      </w:r>
      <w:proofErr w:type="spellEnd"/>
      <w:r w:rsidR="00EF5A5B" w:rsidRPr="00705170">
        <w:rPr>
          <w:rFonts w:ascii="Times New Roman" w:hAnsi="Times New Roman" w:cs="Times New Roman"/>
        </w:rPr>
        <w:t xml:space="preserve"> </w:t>
      </w:r>
      <w:r w:rsidR="004E4447" w:rsidRPr="00705170">
        <w:rPr>
          <w:rFonts w:ascii="Times New Roman" w:hAnsi="Times New Roman" w:cs="Times New Roman"/>
        </w:rPr>
        <w:t xml:space="preserve">(2) </w:t>
      </w:r>
      <w:proofErr w:type="spellStart"/>
      <w:r w:rsidR="004E4447" w:rsidRPr="00705170">
        <w:rPr>
          <w:rFonts w:ascii="Times New Roman" w:hAnsi="Times New Roman" w:cs="Times New Roman"/>
        </w:rPr>
        <w:t>whose</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actions</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outside</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the</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corporate</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machinery</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i.e</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outside</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the</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internal</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affairs</w:t>
      </w:r>
      <w:proofErr w:type="spellEnd"/>
      <w:r w:rsidR="004E4447" w:rsidRPr="00705170">
        <w:rPr>
          <w:rFonts w:ascii="Times New Roman" w:hAnsi="Times New Roman" w:cs="Times New Roman"/>
        </w:rPr>
        <w:t xml:space="preserve"> of </w:t>
      </w:r>
      <w:proofErr w:type="spellStart"/>
      <w:r w:rsidR="004E4447" w:rsidRPr="00705170">
        <w:rPr>
          <w:rFonts w:ascii="Times New Roman" w:hAnsi="Times New Roman" w:cs="Times New Roman"/>
        </w:rPr>
        <w:t>the</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corporation</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externally</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effects</w:t>
      </w:r>
      <w:proofErr w:type="spellEnd"/>
      <w:r w:rsidR="004E4447" w:rsidRPr="00705170">
        <w:rPr>
          <w:rFonts w:ascii="Times New Roman" w:hAnsi="Times New Roman" w:cs="Times New Roman"/>
        </w:rPr>
        <w:t xml:space="preserve"> how </w:t>
      </w:r>
      <w:proofErr w:type="spellStart"/>
      <w:r w:rsidR="004E4447" w:rsidRPr="00705170">
        <w:rPr>
          <w:rFonts w:ascii="Times New Roman" w:hAnsi="Times New Roman" w:cs="Times New Roman"/>
        </w:rPr>
        <w:t>the</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corporation</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acts</w:t>
      </w:r>
      <w:proofErr w:type="spellEnd"/>
      <w:r w:rsidR="004E4447" w:rsidRPr="00705170">
        <w:rPr>
          <w:rFonts w:ascii="Times New Roman" w:hAnsi="Times New Roman" w:cs="Times New Roman"/>
        </w:rPr>
        <w:t xml:space="preserve"> </w:t>
      </w:r>
      <w:proofErr w:type="spellStart"/>
      <w:r w:rsidR="00543632" w:rsidRPr="00705170">
        <w:rPr>
          <w:rFonts w:ascii="Times New Roman" w:hAnsi="Times New Roman" w:cs="Times New Roman"/>
        </w:rPr>
        <w:t>and</w:t>
      </w:r>
      <w:proofErr w:type="spellEnd"/>
      <w:r w:rsidR="00543632" w:rsidRPr="00705170">
        <w:rPr>
          <w:rFonts w:ascii="Times New Roman" w:hAnsi="Times New Roman" w:cs="Times New Roman"/>
        </w:rPr>
        <w:t xml:space="preserve"> </w:t>
      </w:r>
      <w:proofErr w:type="spellStart"/>
      <w:r w:rsidR="00543632" w:rsidRPr="00705170">
        <w:rPr>
          <w:rFonts w:ascii="Times New Roman" w:hAnsi="Times New Roman" w:cs="Times New Roman"/>
        </w:rPr>
        <w:t>get</w:t>
      </w:r>
      <w:proofErr w:type="spellEnd"/>
      <w:r w:rsidR="00543632" w:rsidRPr="00705170">
        <w:rPr>
          <w:rFonts w:ascii="Times New Roman" w:hAnsi="Times New Roman" w:cs="Times New Roman"/>
        </w:rPr>
        <w:t xml:space="preserve"> </w:t>
      </w:r>
      <w:proofErr w:type="spellStart"/>
      <w:r w:rsidR="00543632" w:rsidRPr="00705170">
        <w:rPr>
          <w:rFonts w:ascii="Times New Roman" w:hAnsi="Times New Roman" w:cs="Times New Roman"/>
        </w:rPr>
        <w:t>valued</w:t>
      </w:r>
      <w:proofErr w:type="spellEnd"/>
      <w:r w:rsidR="00543632" w:rsidRPr="00705170">
        <w:rPr>
          <w:rFonts w:ascii="Times New Roman" w:hAnsi="Times New Roman" w:cs="Times New Roman"/>
        </w:rPr>
        <w:t xml:space="preserve"> </w:t>
      </w:r>
      <w:r w:rsidR="004E4447" w:rsidRPr="00705170">
        <w:rPr>
          <w:rFonts w:ascii="Times New Roman" w:hAnsi="Times New Roman" w:cs="Times New Roman"/>
        </w:rPr>
        <w:t xml:space="preserve">in </w:t>
      </w:r>
      <w:proofErr w:type="spellStart"/>
      <w:r w:rsidR="004E4447" w:rsidRPr="00705170">
        <w:rPr>
          <w:rFonts w:ascii="Times New Roman" w:hAnsi="Times New Roman" w:cs="Times New Roman"/>
        </w:rPr>
        <w:t>the</w:t>
      </w:r>
      <w:proofErr w:type="spellEnd"/>
      <w:r w:rsidR="004E4447" w:rsidRPr="00705170">
        <w:rPr>
          <w:rFonts w:ascii="Times New Roman" w:hAnsi="Times New Roman" w:cs="Times New Roman"/>
        </w:rPr>
        <w:t xml:space="preserve"> </w:t>
      </w:r>
      <w:proofErr w:type="spellStart"/>
      <w:r w:rsidR="004E4447" w:rsidRPr="00705170">
        <w:rPr>
          <w:rFonts w:ascii="Times New Roman" w:hAnsi="Times New Roman" w:cs="Times New Roman"/>
        </w:rPr>
        <w:t>marketplace</w:t>
      </w:r>
      <w:proofErr w:type="spellEnd"/>
      <w:r w:rsidR="00D20742">
        <w:rPr>
          <w:rStyle w:val="DipnotBavurusu"/>
          <w:rFonts w:ascii="Times New Roman" w:hAnsi="Times New Roman" w:cs="Times New Roman"/>
        </w:rPr>
        <w:footnoteReference w:id="163"/>
      </w:r>
      <w:r w:rsidR="004E4447" w:rsidRPr="00705170">
        <w:rPr>
          <w:rFonts w:ascii="Times New Roman" w:hAnsi="Times New Roman" w:cs="Times New Roman"/>
        </w:rPr>
        <w:t xml:space="preserve">. </w:t>
      </w:r>
      <w:proofErr w:type="spellStart"/>
      <w:r w:rsidR="002B55FA">
        <w:rPr>
          <w:rFonts w:ascii="Times New Roman" w:hAnsi="Times New Roman" w:cs="Times New Roman"/>
        </w:rPr>
        <w:t>However</w:t>
      </w:r>
      <w:proofErr w:type="spellEnd"/>
      <w:r w:rsidR="002B55FA">
        <w:rPr>
          <w:rFonts w:ascii="Times New Roman" w:hAnsi="Times New Roman" w:cs="Times New Roman"/>
        </w:rPr>
        <w:t>, "</w:t>
      </w:r>
      <w:proofErr w:type="spellStart"/>
      <w:r w:rsidR="002B55FA">
        <w:rPr>
          <w:rFonts w:ascii="Times New Roman" w:hAnsi="Times New Roman" w:cs="Times New Roman"/>
        </w:rPr>
        <w:t>influencing</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shareholder</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term</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should</w:t>
      </w:r>
      <w:proofErr w:type="spellEnd"/>
      <w:r w:rsidR="002B55FA">
        <w:rPr>
          <w:rFonts w:ascii="Times New Roman" w:hAnsi="Times New Roman" w:cs="Times New Roman"/>
        </w:rPr>
        <w:t xml:space="preserve"> be </w:t>
      </w:r>
      <w:proofErr w:type="spellStart"/>
      <w:r w:rsidR="002B55FA">
        <w:rPr>
          <w:rFonts w:ascii="Times New Roman" w:hAnsi="Times New Roman" w:cs="Times New Roman"/>
        </w:rPr>
        <w:t>regarded</w:t>
      </w:r>
      <w:proofErr w:type="spellEnd"/>
      <w:r w:rsidR="002B55FA">
        <w:rPr>
          <w:rFonts w:ascii="Times New Roman" w:hAnsi="Times New Roman" w:cs="Times New Roman"/>
        </w:rPr>
        <w:t xml:space="preserve"> as an </w:t>
      </w:r>
      <w:proofErr w:type="spellStart"/>
      <w:r w:rsidR="002B55FA">
        <w:rPr>
          <w:rFonts w:ascii="Times New Roman" w:hAnsi="Times New Roman" w:cs="Times New Roman"/>
        </w:rPr>
        <w:t>interdisciplinary</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concept</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which</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does</w:t>
      </w:r>
      <w:proofErr w:type="spellEnd"/>
      <w:r w:rsidR="002B55FA">
        <w:rPr>
          <w:rFonts w:ascii="Times New Roman" w:hAnsi="Times New Roman" w:cs="Times New Roman"/>
        </w:rPr>
        <w:t xml:space="preserve"> not </w:t>
      </w:r>
      <w:proofErr w:type="spellStart"/>
      <w:r w:rsidR="002B55FA">
        <w:rPr>
          <w:rFonts w:ascii="Times New Roman" w:hAnsi="Times New Roman" w:cs="Times New Roman"/>
        </w:rPr>
        <w:t>aim</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to</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provide</w:t>
      </w:r>
      <w:proofErr w:type="spellEnd"/>
      <w:r w:rsidR="002B55FA">
        <w:rPr>
          <w:rFonts w:ascii="Times New Roman" w:hAnsi="Times New Roman" w:cs="Times New Roman"/>
        </w:rPr>
        <w:t xml:space="preserve"> a </w:t>
      </w:r>
      <w:proofErr w:type="spellStart"/>
      <w:r w:rsidR="002B55FA">
        <w:rPr>
          <w:rFonts w:ascii="Times New Roman" w:hAnsi="Times New Roman" w:cs="Times New Roman"/>
        </w:rPr>
        <w:t>conclusive</w:t>
      </w:r>
      <w:proofErr w:type="spellEnd"/>
      <w:r w:rsidR="002B55FA">
        <w:rPr>
          <w:rFonts w:ascii="Times New Roman" w:hAnsi="Times New Roman" w:cs="Times New Roman"/>
        </w:rPr>
        <w:t xml:space="preserve"> legal </w:t>
      </w:r>
      <w:proofErr w:type="spellStart"/>
      <w:r w:rsidR="002B55FA">
        <w:rPr>
          <w:rFonts w:ascii="Times New Roman" w:hAnsi="Times New Roman" w:cs="Times New Roman"/>
        </w:rPr>
        <w:t>definition</w:t>
      </w:r>
      <w:proofErr w:type="spellEnd"/>
      <w:r w:rsidR="002B55FA">
        <w:rPr>
          <w:rFonts w:ascii="Times New Roman" w:hAnsi="Times New Roman" w:cs="Times New Roman"/>
        </w:rPr>
        <w:t xml:space="preserve"> as </w:t>
      </w:r>
      <w:proofErr w:type="spellStart"/>
      <w:r w:rsidR="002B55FA">
        <w:rPr>
          <w:rFonts w:ascii="Times New Roman" w:hAnsi="Times New Roman" w:cs="Times New Roman"/>
        </w:rPr>
        <w:t>to</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nature</w:t>
      </w:r>
      <w:proofErr w:type="spellEnd"/>
      <w:r w:rsidR="002B55FA">
        <w:rPr>
          <w:rFonts w:ascii="Times New Roman" w:hAnsi="Times New Roman" w:cs="Times New Roman"/>
        </w:rPr>
        <w:t xml:space="preserve"> </w:t>
      </w:r>
      <w:r w:rsidR="002B55FA">
        <w:rPr>
          <w:rFonts w:ascii="Times New Roman" w:hAnsi="Times New Roman" w:cs="Times New Roman"/>
        </w:rPr>
        <w:lastRenderedPageBreak/>
        <w:t xml:space="preserve">of </w:t>
      </w:r>
      <w:proofErr w:type="spellStart"/>
      <w:r w:rsidR="002B55FA">
        <w:rPr>
          <w:rFonts w:ascii="Times New Roman" w:hAnsi="Times New Roman" w:cs="Times New Roman"/>
        </w:rPr>
        <w:t>the</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persons</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or</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relationships</w:t>
      </w:r>
      <w:proofErr w:type="spellEnd"/>
      <w:r w:rsidR="002B55FA">
        <w:rPr>
          <w:rFonts w:ascii="Times New Roman" w:hAnsi="Times New Roman" w:cs="Times New Roman"/>
        </w:rPr>
        <w:t xml:space="preserve"> but </w:t>
      </w:r>
      <w:proofErr w:type="spellStart"/>
      <w:r w:rsidR="002B55FA">
        <w:rPr>
          <w:rFonts w:ascii="Times New Roman" w:hAnsi="Times New Roman" w:cs="Times New Roman"/>
        </w:rPr>
        <w:t>rather</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aims</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to</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signal</w:t>
      </w:r>
      <w:proofErr w:type="spellEnd"/>
      <w:r w:rsidR="002B55FA">
        <w:rPr>
          <w:rFonts w:ascii="Times New Roman" w:hAnsi="Times New Roman" w:cs="Times New Roman"/>
        </w:rPr>
        <w:t xml:space="preserve"> a </w:t>
      </w:r>
      <w:proofErr w:type="spellStart"/>
      <w:r w:rsidR="002B55FA">
        <w:rPr>
          <w:rFonts w:ascii="Times New Roman" w:hAnsi="Times New Roman" w:cs="Times New Roman"/>
        </w:rPr>
        <w:t>specific</w:t>
      </w:r>
      <w:proofErr w:type="spellEnd"/>
      <w:r w:rsidR="002B55FA">
        <w:rPr>
          <w:rFonts w:ascii="Times New Roman" w:hAnsi="Times New Roman" w:cs="Times New Roman"/>
        </w:rPr>
        <w:t xml:space="preserve"> set of </w:t>
      </w:r>
      <w:proofErr w:type="spellStart"/>
      <w:r w:rsidR="002B55FA">
        <w:rPr>
          <w:rFonts w:ascii="Times New Roman" w:hAnsi="Times New Roman" w:cs="Times New Roman"/>
        </w:rPr>
        <w:t>shareholders</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with</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non</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pecuniary</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private</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benefit</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extraction</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tendency</w:t>
      </w:r>
      <w:proofErr w:type="spellEnd"/>
      <w:r w:rsidR="00891F39">
        <w:rPr>
          <w:rFonts w:ascii="Times New Roman" w:hAnsi="Times New Roman" w:cs="Times New Roman"/>
        </w:rPr>
        <w:t xml:space="preserve"> </w:t>
      </w:r>
      <w:proofErr w:type="spellStart"/>
      <w:r w:rsidR="00891F39">
        <w:rPr>
          <w:rFonts w:ascii="Times New Roman" w:hAnsi="Times New Roman" w:cs="Times New Roman"/>
        </w:rPr>
        <w:t>and</w:t>
      </w:r>
      <w:proofErr w:type="spellEnd"/>
      <w:r w:rsidR="00891F39">
        <w:rPr>
          <w:rFonts w:ascii="Times New Roman" w:hAnsi="Times New Roman" w:cs="Times New Roman"/>
        </w:rPr>
        <w:t xml:space="preserve"> </w:t>
      </w:r>
      <w:proofErr w:type="spellStart"/>
      <w:r w:rsidR="00891F39">
        <w:rPr>
          <w:rFonts w:ascii="Times New Roman" w:hAnsi="Times New Roman" w:cs="Times New Roman"/>
        </w:rPr>
        <w:t>opportunity</w:t>
      </w:r>
      <w:proofErr w:type="spellEnd"/>
      <w:r w:rsidR="002B55FA">
        <w:rPr>
          <w:rFonts w:ascii="Times New Roman" w:hAnsi="Times New Roman" w:cs="Times New Roman"/>
        </w:rPr>
        <w:t xml:space="preserve">. </w:t>
      </w:r>
      <w:proofErr w:type="spellStart"/>
      <w:r w:rsidR="00811F8F">
        <w:rPr>
          <w:rFonts w:ascii="Times New Roman" w:hAnsi="Times New Roman" w:cs="Times New Roman"/>
        </w:rPr>
        <w:t>For</w:t>
      </w:r>
      <w:proofErr w:type="spellEnd"/>
      <w:r w:rsidR="00811F8F">
        <w:rPr>
          <w:rFonts w:ascii="Times New Roman" w:hAnsi="Times New Roman" w:cs="Times New Roman"/>
        </w:rPr>
        <w:t xml:space="preserve"> </w:t>
      </w:r>
      <w:proofErr w:type="spellStart"/>
      <w:r w:rsidR="00811F8F">
        <w:rPr>
          <w:rFonts w:ascii="Times New Roman" w:hAnsi="Times New Roman" w:cs="Times New Roman"/>
        </w:rPr>
        <w:t>instance</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influencing</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shareholders</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may</w:t>
      </w:r>
      <w:proofErr w:type="spellEnd"/>
      <w:r w:rsidR="002B55FA">
        <w:rPr>
          <w:rFonts w:ascii="Times New Roman" w:hAnsi="Times New Roman" w:cs="Times New Roman"/>
        </w:rPr>
        <w:t xml:space="preserve"> be a </w:t>
      </w:r>
      <w:proofErr w:type="spellStart"/>
      <w:r w:rsidR="002B55FA">
        <w:rPr>
          <w:rFonts w:ascii="Times New Roman" w:hAnsi="Times New Roman" w:cs="Times New Roman"/>
        </w:rPr>
        <w:t>subset</w:t>
      </w:r>
      <w:proofErr w:type="spellEnd"/>
      <w:r w:rsidR="002B55FA">
        <w:rPr>
          <w:rFonts w:ascii="Times New Roman" w:hAnsi="Times New Roman" w:cs="Times New Roman"/>
        </w:rPr>
        <w:t xml:space="preserve"> of </w:t>
      </w:r>
      <w:proofErr w:type="spellStart"/>
      <w:r w:rsidR="002B55FA">
        <w:rPr>
          <w:rFonts w:ascii="Times New Roman" w:hAnsi="Times New Roman" w:cs="Times New Roman"/>
        </w:rPr>
        <w:t>controlling</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shareholders</w:t>
      </w:r>
      <w:proofErr w:type="spellEnd"/>
      <w:r w:rsidR="002B55FA">
        <w:rPr>
          <w:rFonts w:ascii="Times New Roman" w:hAnsi="Times New Roman" w:cs="Times New Roman"/>
        </w:rPr>
        <w:t xml:space="preserve">, but </w:t>
      </w:r>
      <w:proofErr w:type="spellStart"/>
      <w:r w:rsidR="002B55FA">
        <w:rPr>
          <w:rFonts w:ascii="Times New Roman" w:hAnsi="Times New Roman" w:cs="Times New Roman"/>
        </w:rPr>
        <w:t>may</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also</w:t>
      </w:r>
      <w:proofErr w:type="spellEnd"/>
      <w:r w:rsidR="002B55FA">
        <w:rPr>
          <w:rFonts w:ascii="Times New Roman" w:hAnsi="Times New Roman" w:cs="Times New Roman"/>
        </w:rPr>
        <w:t xml:space="preserve"> be </w:t>
      </w:r>
      <w:proofErr w:type="spellStart"/>
      <w:r w:rsidR="002B55FA">
        <w:rPr>
          <w:rFonts w:ascii="Times New Roman" w:hAnsi="Times New Roman" w:cs="Times New Roman"/>
        </w:rPr>
        <w:t>deemed</w:t>
      </w:r>
      <w:proofErr w:type="spellEnd"/>
      <w:r w:rsidR="002B55FA">
        <w:rPr>
          <w:rFonts w:ascii="Times New Roman" w:hAnsi="Times New Roman" w:cs="Times New Roman"/>
        </w:rPr>
        <w:t xml:space="preserve"> a </w:t>
      </w:r>
      <w:proofErr w:type="spellStart"/>
      <w:r w:rsidR="002B55FA">
        <w:rPr>
          <w:rFonts w:ascii="Times New Roman" w:hAnsi="Times New Roman" w:cs="Times New Roman"/>
        </w:rPr>
        <w:t>shadow</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director</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under</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certain</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circumstances</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from</w:t>
      </w:r>
      <w:proofErr w:type="spellEnd"/>
      <w:r w:rsidR="002B55FA">
        <w:rPr>
          <w:rFonts w:ascii="Times New Roman" w:hAnsi="Times New Roman" w:cs="Times New Roman"/>
        </w:rPr>
        <w:t xml:space="preserve"> </w:t>
      </w:r>
      <w:proofErr w:type="spellStart"/>
      <w:r w:rsidR="002B55FA">
        <w:rPr>
          <w:rFonts w:ascii="Times New Roman" w:hAnsi="Times New Roman" w:cs="Times New Roman"/>
        </w:rPr>
        <w:t>the</w:t>
      </w:r>
      <w:proofErr w:type="spellEnd"/>
      <w:r w:rsidR="002B55FA">
        <w:rPr>
          <w:rFonts w:ascii="Times New Roman" w:hAnsi="Times New Roman" w:cs="Times New Roman"/>
        </w:rPr>
        <w:t xml:space="preserve"> legal </w:t>
      </w:r>
      <w:proofErr w:type="spellStart"/>
      <w:r w:rsidR="002B55FA">
        <w:rPr>
          <w:rFonts w:ascii="Times New Roman" w:hAnsi="Times New Roman" w:cs="Times New Roman"/>
        </w:rPr>
        <w:t>viewpoint</w:t>
      </w:r>
      <w:proofErr w:type="spellEnd"/>
      <w:r w:rsidR="00272807">
        <w:rPr>
          <w:rFonts w:ascii="Times New Roman" w:hAnsi="Times New Roman" w:cs="Times New Roman"/>
        </w:rPr>
        <w:t xml:space="preserve"> of </w:t>
      </w:r>
      <w:proofErr w:type="spellStart"/>
      <w:r w:rsidR="00272807">
        <w:rPr>
          <w:rFonts w:ascii="Times New Roman" w:hAnsi="Times New Roman" w:cs="Times New Roman"/>
        </w:rPr>
        <w:t>the</w:t>
      </w:r>
      <w:proofErr w:type="spellEnd"/>
      <w:r w:rsidR="00272807">
        <w:rPr>
          <w:rFonts w:ascii="Times New Roman" w:hAnsi="Times New Roman" w:cs="Times New Roman"/>
        </w:rPr>
        <w:t xml:space="preserve"> </w:t>
      </w:r>
      <w:proofErr w:type="spellStart"/>
      <w:r w:rsidR="00272807">
        <w:rPr>
          <w:rFonts w:ascii="Times New Roman" w:hAnsi="Times New Roman" w:cs="Times New Roman"/>
        </w:rPr>
        <w:t>applicable</w:t>
      </w:r>
      <w:proofErr w:type="spellEnd"/>
      <w:r w:rsidR="00272807">
        <w:rPr>
          <w:rFonts w:ascii="Times New Roman" w:hAnsi="Times New Roman" w:cs="Times New Roman"/>
        </w:rPr>
        <w:t xml:space="preserve"> </w:t>
      </w:r>
      <w:proofErr w:type="spellStart"/>
      <w:r w:rsidR="00272807">
        <w:rPr>
          <w:rFonts w:ascii="Times New Roman" w:hAnsi="Times New Roman" w:cs="Times New Roman"/>
        </w:rPr>
        <w:t>jurisdiction</w:t>
      </w:r>
      <w:proofErr w:type="spellEnd"/>
      <w:r w:rsidR="002B55FA">
        <w:rPr>
          <w:rFonts w:ascii="Times New Roman" w:hAnsi="Times New Roman" w:cs="Times New Roman"/>
        </w:rPr>
        <w:t xml:space="preserve">.   </w:t>
      </w:r>
    </w:p>
    <w:p w14:paraId="1A576A5E" w14:textId="136C45D5" w:rsidR="00BD6C0A" w:rsidRPr="00705170" w:rsidRDefault="000141FB" w:rsidP="004C370B">
      <w:pPr>
        <w:spacing w:after="240" w:line="480" w:lineRule="auto"/>
        <w:ind w:firstLine="708"/>
        <w:jc w:val="both"/>
        <w:rPr>
          <w:rFonts w:ascii="Times New Roman" w:hAnsi="Times New Roman" w:cs="Times New Roman"/>
        </w:rPr>
      </w:pPr>
      <w:r w:rsidRPr="00705170">
        <w:rPr>
          <w:rFonts w:ascii="Times New Roman" w:hAnsi="Times New Roman" w:cs="Times New Roman"/>
        </w:rPr>
        <w:t>A</w:t>
      </w:r>
      <w:r w:rsidR="006A717B" w:rsidRPr="00705170">
        <w:rPr>
          <w:rFonts w:ascii="Times New Roman" w:hAnsi="Times New Roman" w:cs="Times New Roman"/>
        </w:rPr>
        <w:t xml:space="preserve"> </w:t>
      </w:r>
      <w:proofErr w:type="spellStart"/>
      <w:r w:rsidR="006A717B" w:rsidRPr="00705170">
        <w:rPr>
          <w:rFonts w:ascii="Times New Roman" w:hAnsi="Times New Roman" w:cs="Times New Roman"/>
        </w:rPr>
        <w:t>shareholder</w:t>
      </w:r>
      <w:proofErr w:type="spellEnd"/>
      <w:r w:rsidR="006A717B" w:rsidRPr="00705170">
        <w:rPr>
          <w:rFonts w:ascii="Times New Roman" w:hAnsi="Times New Roman" w:cs="Times New Roman"/>
        </w:rPr>
        <w:t xml:space="preserve"> can </w:t>
      </w:r>
      <w:proofErr w:type="spellStart"/>
      <w:r w:rsidR="006A717B" w:rsidRPr="00705170">
        <w:rPr>
          <w:rFonts w:ascii="Times New Roman" w:hAnsi="Times New Roman" w:cs="Times New Roman"/>
        </w:rPr>
        <w:t>exert</w:t>
      </w:r>
      <w:proofErr w:type="spellEnd"/>
      <w:r w:rsidR="006A717B" w:rsidRPr="00705170">
        <w:rPr>
          <w:rFonts w:ascii="Times New Roman" w:hAnsi="Times New Roman" w:cs="Times New Roman"/>
        </w:rPr>
        <w:t xml:space="preserve"> </w:t>
      </w:r>
      <w:proofErr w:type="spellStart"/>
      <w:r w:rsidR="006A717B" w:rsidRPr="00705170">
        <w:rPr>
          <w:rFonts w:ascii="Times New Roman" w:hAnsi="Times New Roman" w:cs="Times New Roman"/>
        </w:rPr>
        <w:t>influence</w:t>
      </w:r>
      <w:proofErr w:type="spellEnd"/>
      <w:r w:rsidR="006A717B" w:rsidRPr="00705170">
        <w:rPr>
          <w:rFonts w:ascii="Times New Roman" w:hAnsi="Times New Roman" w:cs="Times New Roman"/>
        </w:rPr>
        <w:t xml:space="preserve"> on </w:t>
      </w:r>
      <w:proofErr w:type="spellStart"/>
      <w:r w:rsidR="006A717B" w:rsidRPr="00705170">
        <w:rPr>
          <w:rFonts w:ascii="Times New Roman" w:hAnsi="Times New Roman" w:cs="Times New Roman"/>
        </w:rPr>
        <w:t>the</w:t>
      </w:r>
      <w:proofErr w:type="spellEnd"/>
      <w:r w:rsidR="006A717B" w:rsidRPr="00705170">
        <w:rPr>
          <w:rFonts w:ascii="Times New Roman" w:hAnsi="Times New Roman" w:cs="Times New Roman"/>
        </w:rPr>
        <w:t xml:space="preserve"> </w:t>
      </w:r>
      <w:proofErr w:type="spellStart"/>
      <w:r w:rsidR="006A717B" w:rsidRPr="00705170">
        <w:rPr>
          <w:rFonts w:ascii="Times New Roman" w:hAnsi="Times New Roman" w:cs="Times New Roman"/>
        </w:rPr>
        <w:t>corporate</w:t>
      </w:r>
      <w:proofErr w:type="spellEnd"/>
      <w:r w:rsidR="006A717B" w:rsidRPr="00705170">
        <w:rPr>
          <w:rFonts w:ascii="Times New Roman" w:hAnsi="Times New Roman" w:cs="Times New Roman"/>
        </w:rPr>
        <w:t xml:space="preserve"> </w:t>
      </w:r>
      <w:proofErr w:type="spellStart"/>
      <w:r w:rsidR="006A717B" w:rsidRPr="00705170">
        <w:rPr>
          <w:rFonts w:ascii="Times New Roman" w:hAnsi="Times New Roman" w:cs="Times New Roman"/>
        </w:rPr>
        <w:t>machinery</w:t>
      </w:r>
      <w:proofErr w:type="spellEnd"/>
      <w:r w:rsidR="006A717B" w:rsidRPr="00705170">
        <w:rPr>
          <w:rFonts w:ascii="Times New Roman" w:hAnsi="Times New Roman" w:cs="Times New Roman"/>
        </w:rPr>
        <w:t xml:space="preserve"> </w:t>
      </w:r>
      <w:r w:rsidR="00A56686" w:rsidRPr="00705170">
        <w:rPr>
          <w:rFonts w:ascii="Times New Roman" w:hAnsi="Times New Roman" w:cs="Times New Roman"/>
        </w:rPr>
        <w:t xml:space="preserve">(1) </w:t>
      </w:r>
      <w:proofErr w:type="spellStart"/>
      <w:r w:rsidR="006A717B" w:rsidRPr="00705170">
        <w:rPr>
          <w:rFonts w:ascii="Times New Roman" w:hAnsi="Times New Roman" w:cs="Times New Roman"/>
        </w:rPr>
        <w:t>by</w:t>
      </w:r>
      <w:proofErr w:type="spellEnd"/>
      <w:r w:rsidR="006A717B" w:rsidRPr="00705170">
        <w:rPr>
          <w:rFonts w:ascii="Times New Roman" w:hAnsi="Times New Roman" w:cs="Times New Roman"/>
        </w:rPr>
        <w:t xml:space="preserve"> </w:t>
      </w:r>
      <w:proofErr w:type="spellStart"/>
      <w:r w:rsidR="006A717B" w:rsidRPr="00705170">
        <w:rPr>
          <w:rFonts w:ascii="Times New Roman" w:hAnsi="Times New Roman" w:cs="Times New Roman"/>
        </w:rPr>
        <w:t>either</w:t>
      </w:r>
      <w:proofErr w:type="spellEnd"/>
      <w:r w:rsidR="006A717B" w:rsidRPr="00705170">
        <w:rPr>
          <w:rFonts w:ascii="Times New Roman" w:hAnsi="Times New Roman" w:cs="Times New Roman"/>
        </w:rPr>
        <w:t xml:space="preserve"> </w:t>
      </w:r>
      <w:proofErr w:type="spellStart"/>
      <w:r w:rsidR="006A717B" w:rsidRPr="00705170">
        <w:rPr>
          <w:rFonts w:ascii="Times New Roman" w:hAnsi="Times New Roman" w:cs="Times New Roman"/>
        </w:rPr>
        <w:t>exercising</w:t>
      </w:r>
      <w:proofErr w:type="spellEnd"/>
      <w:r w:rsidR="006A717B" w:rsidRPr="00705170">
        <w:rPr>
          <w:rFonts w:ascii="Times New Roman" w:hAnsi="Times New Roman" w:cs="Times New Roman"/>
        </w:rPr>
        <w:t xml:space="preserve"> his </w:t>
      </w:r>
      <w:proofErr w:type="spellStart"/>
      <w:r w:rsidR="006A717B" w:rsidRPr="00705170">
        <w:rPr>
          <w:rFonts w:ascii="Times New Roman" w:hAnsi="Times New Roman" w:cs="Times New Roman"/>
        </w:rPr>
        <w:t>own</w:t>
      </w:r>
      <w:proofErr w:type="spellEnd"/>
      <w:r w:rsidR="004E56C4" w:rsidRPr="00705170">
        <w:rPr>
          <w:rFonts w:ascii="Times New Roman" w:hAnsi="Times New Roman" w:cs="Times New Roman"/>
        </w:rPr>
        <w:t xml:space="preserve"> </w:t>
      </w:r>
      <w:proofErr w:type="spellStart"/>
      <w:r w:rsidR="004E56C4" w:rsidRPr="00705170">
        <w:rPr>
          <w:rFonts w:ascii="Times New Roman" w:hAnsi="Times New Roman" w:cs="Times New Roman"/>
        </w:rPr>
        <w:t>shareholder</w:t>
      </w:r>
      <w:proofErr w:type="spellEnd"/>
      <w:r w:rsidR="004E56C4" w:rsidRPr="00705170">
        <w:rPr>
          <w:rFonts w:ascii="Times New Roman" w:hAnsi="Times New Roman" w:cs="Times New Roman"/>
        </w:rPr>
        <w:t xml:space="preserve"> </w:t>
      </w:r>
      <w:proofErr w:type="spellStart"/>
      <w:r w:rsidR="004E56C4" w:rsidRPr="00705170">
        <w:rPr>
          <w:rFonts w:ascii="Times New Roman" w:hAnsi="Times New Roman" w:cs="Times New Roman"/>
        </w:rPr>
        <w:t>rights</w:t>
      </w:r>
      <w:proofErr w:type="spellEnd"/>
      <w:r w:rsidR="004E56C4" w:rsidRPr="00705170">
        <w:rPr>
          <w:rFonts w:ascii="Times New Roman" w:hAnsi="Times New Roman" w:cs="Times New Roman"/>
        </w:rPr>
        <w:t xml:space="preserve"> (</w:t>
      </w:r>
      <w:proofErr w:type="spellStart"/>
      <w:r w:rsidR="00663425" w:rsidRPr="00705170">
        <w:rPr>
          <w:rFonts w:ascii="Times New Roman" w:hAnsi="Times New Roman" w:cs="Times New Roman"/>
        </w:rPr>
        <w:t>primarily</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the</w:t>
      </w:r>
      <w:proofErr w:type="spellEnd"/>
      <w:r w:rsidR="006A717B" w:rsidRPr="00705170">
        <w:rPr>
          <w:rFonts w:ascii="Times New Roman" w:hAnsi="Times New Roman" w:cs="Times New Roman"/>
        </w:rPr>
        <w:t xml:space="preserve"> </w:t>
      </w:r>
      <w:proofErr w:type="spellStart"/>
      <w:r w:rsidR="006A717B" w:rsidRPr="00705170">
        <w:rPr>
          <w:rFonts w:ascii="Times New Roman" w:hAnsi="Times New Roman" w:cs="Times New Roman"/>
        </w:rPr>
        <w:t>voting</w:t>
      </w:r>
      <w:proofErr w:type="spellEnd"/>
      <w:r w:rsidR="006A717B" w:rsidRPr="00705170">
        <w:rPr>
          <w:rFonts w:ascii="Times New Roman" w:hAnsi="Times New Roman" w:cs="Times New Roman"/>
        </w:rPr>
        <w:t xml:space="preserve"> </w:t>
      </w:r>
      <w:proofErr w:type="spellStart"/>
      <w:r w:rsidR="006A717B" w:rsidRPr="00705170">
        <w:rPr>
          <w:rFonts w:ascii="Times New Roman" w:hAnsi="Times New Roman" w:cs="Times New Roman"/>
        </w:rPr>
        <w:t>right</w:t>
      </w:r>
      <w:proofErr w:type="spellEnd"/>
      <w:r w:rsidR="006A717B" w:rsidRPr="00705170">
        <w:rPr>
          <w:rFonts w:ascii="Times New Roman" w:hAnsi="Times New Roman" w:cs="Times New Roman"/>
        </w:rPr>
        <w:t xml:space="preserve"> </w:t>
      </w:r>
      <w:proofErr w:type="spellStart"/>
      <w:r w:rsidR="008F13BF" w:rsidRPr="00705170">
        <w:rPr>
          <w:rFonts w:ascii="Times New Roman" w:hAnsi="Times New Roman" w:cs="Times New Roman"/>
        </w:rPr>
        <w:t>to</w:t>
      </w:r>
      <w:proofErr w:type="spellEnd"/>
      <w:r w:rsidR="008F13BF" w:rsidRPr="00705170">
        <w:rPr>
          <w:rFonts w:ascii="Times New Roman" w:hAnsi="Times New Roman" w:cs="Times New Roman"/>
        </w:rPr>
        <w:t xml:space="preserve"> </w:t>
      </w:r>
      <w:proofErr w:type="spellStart"/>
      <w:r w:rsidR="008F13BF" w:rsidRPr="00705170">
        <w:rPr>
          <w:rFonts w:ascii="Times New Roman" w:hAnsi="Times New Roman" w:cs="Times New Roman"/>
        </w:rPr>
        <w:t>approve</w:t>
      </w:r>
      <w:proofErr w:type="spellEnd"/>
      <w:r w:rsidR="008F13BF" w:rsidRPr="00705170">
        <w:rPr>
          <w:rFonts w:ascii="Times New Roman" w:hAnsi="Times New Roman" w:cs="Times New Roman"/>
        </w:rPr>
        <w:t xml:space="preserve"> </w:t>
      </w:r>
      <w:proofErr w:type="spellStart"/>
      <w:r w:rsidR="008F13BF" w:rsidRPr="00705170">
        <w:rPr>
          <w:rFonts w:ascii="Times New Roman" w:hAnsi="Times New Roman" w:cs="Times New Roman"/>
        </w:rPr>
        <w:t>issues</w:t>
      </w:r>
      <w:proofErr w:type="spellEnd"/>
      <w:r w:rsidR="008F13BF" w:rsidRPr="00705170">
        <w:rPr>
          <w:rFonts w:ascii="Times New Roman" w:hAnsi="Times New Roman" w:cs="Times New Roman"/>
        </w:rPr>
        <w:t xml:space="preserve"> </w:t>
      </w:r>
      <w:proofErr w:type="spellStart"/>
      <w:r w:rsidR="008F13BF" w:rsidRPr="00705170">
        <w:rPr>
          <w:rFonts w:ascii="Times New Roman" w:hAnsi="Times New Roman" w:cs="Times New Roman"/>
        </w:rPr>
        <w:t>that</w:t>
      </w:r>
      <w:proofErr w:type="spellEnd"/>
      <w:r w:rsidR="008F13BF" w:rsidRPr="00705170">
        <w:rPr>
          <w:rFonts w:ascii="Times New Roman" w:hAnsi="Times New Roman" w:cs="Times New Roman"/>
        </w:rPr>
        <w:t xml:space="preserve"> </w:t>
      </w:r>
      <w:proofErr w:type="spellStart"/>
      <w:r w:rsidR="008F13BF" w:rsidRPr="00705170">
        <w:rPr>
          <w:rFonts w:ascii="Times New Roman" w:hAnsi="Times New Roman" w:cs="Times New Roman"/>
        </w:rPr>
        <w:t>statute</w:t>
      </w:r>
      <w:proofErr w:type="spellEnd"/>
      <w:r w:rsidR="006A717B" w:rsidRPr="00705170">
        <w:rPr>
          <w:rFonts w:ascii="Times New Roman" w:hAnsi="Times New Roman" w:cs="Times New Roman"/>
        </w:rPr>
        <w:t xml:space="preserve"> </w:t>
      </w:r>
      <w:proofErr w:type="spellStart"/>
      <w:r w:rsidR="006A717B" w:rsidRPr="00705170">
        <w:rPr>
          <w:rFonts w:ascii="Times New Roman" w:hAnsi="Times New Roman" w:cs="Times New Roman"/>
        </w:rPr>
        <w:t>requires</w:t>
      </w:r>
      <w:proofErr w:type="spellEnd"/>
      <w:r w:rsidR="006A717B" w:rsidRPr="00705170">
        <w:rPr>
          <w:rFonts w:ascii="Times New Roman" w:hAnsi="Times New Roman" w:cs="Times New Roman"/>
        </w:rPr>
        <w:t xml:space="preserve"> </w:t>
      </w:r>
      <w:proofErr w:type="spellStart"/>
      <w:r w:rsidR="00663425" w:rsidRPr="00705170">
        <w:rPr>
          <w:rFonts w:ascii="Times New Roman" w:hAnsi="Times New Roman" w:cs="Times New Roman"/>
        </w:rPr>
        <w:t>shareholder</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consent</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and</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to</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elect</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the</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management</w:t>
      </w:r>
      <w:proofErr w:type="spellEnd"/>
      <w:r w:rsidR="004E56C4" w:rsidRPr="00705170">
        <w:rPr>
          <w:rFonts w:ascii="Times New Roman" w:hAnsi="Times New Roman" w:cs="Times New Roman"/>
        </w:rPr>
        <w:t>)</w:t>
      </w:r>
      <w:r w:rsidR="00C3132B" w:rsidRPr="00705170">
        <w:rPr>
          <w:rStyle w:val="DipnotBavurusu"/>
          <w:rFonts w:ascii="Times New Roman" w:hAnsi="Times New Roman" w:cs="Times New Roman"/>
        </w:rPr>
        <w:footnoteReference w:id="164"/>
      </w:r>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or</w:t>
      </w:r>
      <w:proofErr w:type="spellEnd"/>
      <w:r w:rsidR="00663425" w:rsidRPr="00705170">
        <w:rPr>
          <w:rFonts w:ascii="Times New Roman" w:hAnsi="Times New Roman" w:cs="Times New Roman"/>
        </w:rPr>
        <w:t xml:space="preserve"> </w:t>
      </w:r>
      <w:r w:rsidR="00A56686" w:rsidRPr="00705170">
        <w:rPr>
          <w:rFonts w:ascii="Times New Roman" w:hAnsi="Times New Roman" w:cs="Times New Roman"/>
        </w:rPr>
        <w:t xml:space="preserve">(2) </w:t>
      </w:r>
      <w:proofErr w:type="spellStart"/>
      <w:r w:rsidR="00663425" w:rsidRPr="00705170">
        <w:rPr>
          <w:rFonts w:ascii="Times New Roman" w:hAnsi="Times New Roman" w:cs="Times New Roman"/>
        </w:rPr>
        <w:t>by</w:t>
      </w:r>
      <w:proofErr w:type="spellEnd"/>
      <w:r w:rsidR="00663425" w:rsidRPr="00705170">
        <w:rPr>
          <w:rFonts w:ascii="Times New Roman" w:hAnsi="Times New Roman" w:cs="Times New Roman"/>
        </w:rPr>
        <w:t xml:space="preserve"> not </w:t>
      </w:r>
      <w:proofErr w:type="spellStart"/>
      <w:r w:rsidR="00663425" w:rsidRPr="00705170">
        <w:rPr>
          <w:rFonts w:ascii="Times New Roman" w:hAnsi="Times New Roman" w:cs="Times New Roman"/>
        </w:rPr>
        <w:t>exercising</w:t>
      </w:r>
      <w:proofErr w:type="spellEnd"/>
      <w:r w:rsidR="00663425" w:rsidRPr="00705170">
        <w:rPr>
          <w:rFonts w:ascii="Times New Roman" w:hAnsi="Times New Roman" w:cs="Times New Roman"/>
        </w:rPr>
        <w:t xml:space="preserve"> but </w:t>
      </w:r>
      <w:proofErr w:type="spellStart"/>
      <w:r w:rsidR="00663425" w:rsidRPr="00705170">
        <w:rPr>
          <w:rFonts w:ascii="Times New Roman" w:hAnsi="Times New Roman" w:cs="Times New Roman"/>
        </w:rPr>
        <w:t>using</w:t>
      </w:r>
      <w:proofErr w:type="spellEnd"/>
      <w:r w:rsidR="00663425" w:rsidRPr="00705170">
        <w:rPr>
          <w:rFonts w:ascii="Times New Roman" w:hAnsi="Times New Roman" w:cs="Times New Roman"/>
        </w:rPr>
        <w:t xml:space="preserve"> </w:t>
      </w:r>
      <w:proofErr w:type="spellStart"/>
      <w:r w:rsidR="00A94A54" w:rsidRPr="00705170">
        <w:rPr>
          <w:rFonts w:ascii="Times New Roman" w:hAnsi="Times New Roman" w:cs="Times New Roman"/>
        </w:rPr>
        <w:t>the</w:t>
      </w:r>
      <w:proofErr w:type="spellEnd"/>
      <w:r w:rsidR="00A94A54" w:rsidRPr="00705170">
        <w:rPr>
          <w:rFonts w:ascii="Times New Roman" w:hAnsi="Times New Roman" w:cs="Times New Roman"/>
        </w:rPr>
        <w:t xml:space="preserve"> </w:t>
      </w:r>
      <w:proofErr w:type="spellStart"/>
      <w:r w:rsidR="00663425" w:rsidRPr="00705170">
        <w:rPr>
          <w:rFonts w:ascii="Times New Roman" w:hAnsi="Times New Roman" w:cs="Times New Roman"/>
        </w:rPr>
        <w:t>effect</w:t>
      </w:r>
      <w:proofErr w:type="spellEnd"/>
      <w:r w:rsidR="00663425" w:rsidRPr="00705170">
        <w:rPr>
          <w:rFonts w:ascii="Times New Roman" w:hAnsi="Times New Roman" w:cs="Times New Roman"/>
        </w:rPr>
        <w:t xml:space="preserve"> of </w:t>
      </w:r>
      <w:proofErr w:type="spellStart"/>
      <w:r w:rsidR="00663425" w:rsidRPr="00705170">
        <w:rPr>
          <w:rFonts w:ascii="Times New Roman" w:hAnsi="Times New Roman" w:cs="Times New Roman"/>
        </w:rPr>
        <w:t>the</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prospect</w:t>
      </w:r>
      <w:proofErr w:type="spellEnd"/>
      <w:r w:rsidR="00663425" w:rsidRPr="00705170">
        <w:rPr>
          <w:rFonts w:ascii="Times New Roman" w:hAnsi="Times New Roman" w:cs="Times New Roman"/>
        </w:rPr>
        <w:t xml:space="preserve"> of </w:t>
      </w:r>
      <w:proofErr w:type="spellStart"/>
      <w:r w:rsidR="00663425" w:rsidRPr="00705170">
        <w:rPr>
          <w:rFonts w:ascii="Times New Roman" w:hAnsi="Times New Roman" w:cs="Times New Roman"/>
        </w:rPr>
        <w:t>exercising</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shareholder</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rights</w:t>
      </w:r>
      <w:proofErr w:type="spellEnd"/>
      <w:r w:rsidR="00BD4069">
        <w:rPr>
          <w:rFonts w:ascii="Times New Roman" w:hAnsi="Times New Roman" w:cs="Times New Roman"/>
        </w:rPr>
        <w:t xml:space="preserve">, </w:t>
      </w:r>
      <w:proofErr w:type="spellStart"/>
      <w:r w:rsidR="00BD4069">
        <w:rPr>
          <w:rFonts w:ascii="Times New Roman" w:hAnsi="Times New Roman" w:cs="Times New Roman"/>
        </w:rPr>
        <w:t>including</w:t>
      </w:r>
      <w:proofErr w:type="spellEnd"/>
      <w:r w:rsidR="00BD4069">
        <w:rPr>
          <w:rFonts w:ascii="Times New Roman" w:hAnsi="Times New Roman" w:cs="Times New Roman"/>
        </w:rPr>
        <w:t xml:space="preserve"> </w:t>
      </w:r>
      <w:proofErr w:type="spellStart"/>
      <w:r w:rsidR="00BD4069">
        <w:rPr>
          <w:rFonts w:ascii="Times New Roman" w:hAnsi="Times New Roman" w:cs="Times New Roman"/>
        </w:rPr>
        <w:t>exitting</w:t>
      </w:r>
      <w:proofErr w:type="spellEnd"/>
      <w:r w:rsidR="00BD4069">
        <w:rPr>
          <w:rFonts w:ascii="Times New Roman" w:hAnsi="Times New Roman" w:cs="Times New Roman"/>
        </w:rPr>
        <w:t xml:space="preserve"> </w:t>
      </w:r>
      <w:proofErr w:type="spellStart"/>
      <w:r w:rsidR="00BD4069">
        <w:rPr>
          <w:rFonts w:ascii="Times New Roman" w:hAnsi="Times New Roman" w:cs="Times New Roman"/>
        </w:rPr>
        <w:t>the</w:t>
      </w:r>
      <w:proofErr w:type="spellEnd"/>
      <w:r w:rsidR="00BD4069">
        <w:rPr>
          <w:rFonts w:ascii="Times New Roman" w:hAnsi="Times New Roman" w:cs="Times New Roman"/>
        </w:rPr>
        <w:t xml:space="preserve"> </w:t>
      </w:r>
      <w:proofErr w:type="spellStart"/>
      <w:r w:rsidR="00BD4069">
        <w:rPr>
          <w:rFonts w:ascii="Times New Roman" w:hAnsi="Times New Roman" w:cs="Times New Roman"/>
        </w:rPr>
        <w:t>corporation</w:t>
      </w:r>
      <w:proofErr w:type="spellEnd"/>
      <w:r w:rsidR="00BD4069">
        <w:rPr>
          <w:rFonts w:ascii="Times New Roman" w:hAnsi="Times New Roman" w:cs="Times New Roman"/>
        </w:rPr>
        <w:t xml:space="preserve"> </w:t>
      </w:r>
      <w:proofErr w:type="spellStart"/>
      <w:r w:rsidR="00BD4069">
        <w:rPr>
          <w:rFonts w:ascii="Times New Roman" w:hAnsi="Times New Roman" w:cs="Times New Roman"/>
        </w:rPr>
        <w:t>by</w:t>
      </w:r>
      <w:proofErr w:type="spellEnd"/>
      <w:r w:rsidR="00BD4069">
        <w:rPr>
          <w:rFonts w:ascii="Times New Roman" w:hAnsi="Times New Roman" w:cs="Times New Roman"/>
        </w:rPr>
        <w:t xml:space="preserve"> </w:t>
      </w:r>
      <w:proofErr w:type="spellStart"/>
      <w:r w:rsidR="00BD4069">
        <w:rPr>
          <w:rFonts w:ascii="Times New Roman" w:hAnsi="Times New Roman" w:cs="Times New Roman"/>
        </w:rPr>
        <w:t>selling</w:t>
      </w:r>
      <w:proofErr w:type="spellEnd"/>
      <w:r w:rsidR="00BD4069">
        <w:rPr>
          <w:rFonts w:ascii="Times New Roman" w:hAnsi="Times New Roman" w:cs="Times New Roman"/>
        </w:rPr>
        <w:t xml:space="preserve"> </w:t>
      </w:r>
      <w:proofErr w:type="spellStart"/>
      <w:r w:rsidR="00BD4069">
        <w:rPr>
          <w:rFonts w:ascii="Times New Roman" w:hAnsi="Times New Roman" w:cs="Times New Roman"/>
        </w:rPr>
        <w:t>shares</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or</w:t>
      </w:r>
      <w:proofErr w:type="spellEnd"/>
      <w:r w:rsidR="002B38B6">
        <w:rPr>
          <w:rFonts w:ascii="Times New Roman" w:hAnsi="Times New Roman" w:cs="Times New Roman"/>
        </w:rPr>
        <w:t xml:space="preserve"> not </w:t>
      </w:r>
      <w:proofErr w:type="spellStart"/>
      <w:r w:rsidR="002B38B6">
        <w:rPr>
          <w:rFonts w:ascii="Times New Roman" w:hAnsi="Times New Roman" w:cs="Times New Roman"/>
        </w:rPr>
        <w:t>discharing</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the</w:t>
      </w:r>
      <w:proofErr w:type="spellEnd"/>
      <w:r w:rsidR="002B38B6">
        <w:rPr>
          <w:rFonts w:ascii="Times New Roman" w:hAnsi="Times New Roman" w:cs="Times New Roman"/>
        </w:rPr>
        <w:t xml:space="preserve"> board </w:t>
      </w:r>
      <w:proofErr w:type="spellStart"/>
      <w:r w:rsidR="002B38B6">
        <w:rPr>
          <w:rFonts w:ascii="Times New Roman" w:hAnsi="Times New Roman" w:cs="Times New Roman"/>
        </w:rPr>
        <w:t>members</w:t>
      </w:r>
      <w:proofErr w:type="spellEnd"/>
      <w:r w:rsidR="002B38B6">
        <w:rPr>
          <w:rFonts w:ascii="Times New Roman" w:hAnsi="Times New Roman" w:cs="Times New Roman"/>
        </w:rPr>
        <w:t xml:space="preserve"> of </w:t>
      </w:r>
      <w:proofErr w:type="spellStart"/>
      <w:r w:rsidR="002B38B6">
        <w:rPr>
          <w:rFonts w:ascii="Times New Roman" w:hAnsi="Times New Roman" w:cs="Times New Roman"/>
        </w:rPr>
        <w:t>their</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actions</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corresponding</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their</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duty</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period</w:t>
      </w:r>
      <w:proofErr w:type="spellEnd"/>
      <w:r w:rsidR="00A94A54" w:rsidRPr="00705170">
        <w:rPr>
          <w:rStyle w:val="DipnotBavurusu"/>
          <w:rFonts w:ascii="Times New Roman" w:hAnsi="Times New Roman" w:cs="Times New Roman"/>
        </w:rPr>
        <w:footnoteReference w:id="165"/>
      </w:r>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In</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other</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words</w:t>
      </w:r>
      <w:proofErr w:type="spellEnd"/>
      <w:r w:rsidR="00663425" w:rsidRPr="00705170">
        <w:rPr>
          <w:rFonts w:ascii="Times New Roman" w:hAnsi="Times New Roman" w:cs="Times New Roman"/>
        </w:rPr>
        <w:t xml:space="preserve">, a </w:t>
      </w:r>
      <w:proofErr w:type="spellStart"/>
      <w:r w:rsidR="00663425" w:rsidRPr="00705170">
        <w:rPr>
          <w:rFonts w:ascii="Times New Roman" w:hAnsi="Times New Roman" w:cs="Times New Roman"/>
        </w:rPr>
        <w:t>shareholder</w:t>
      </w:r>
      <w:proofErr w:type="spellEnd"/>
      <w:r w:rsidR="00663425" w:rsidRPr="00705170">
        <w:rPr>
          <w:rFonts w:ascii="Times New Roman" w:hAnsi="Times New Roman" w:cs="Times New Roman"/>
        </w:rPr>
        <w:t xml:space="preserve"> can </w:t>
      </w:r>
      <w:proofErr w:type="spellStart"/>
      <w:r w:rsidR="00663425" w:rsidRPr="00705170">
        <w:rPr>
          <w:rFonts w:ascii="Times New Roman" w:hAnsi="Times New Roman" w:cs="Times New Roman"/>
        </w:rPr>
        <w:t>still</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exert</w:t>
      </w:r>
      <w:proofErr w:type="spellEnd"/>
      <w:r w:rsidR="00663425" w:rsidRPr="00705170">
        <w:rPr>
          <w:rFonts w:ascii="Times New Roman" w:hAnsi="Times New Roman" w:cs="Times New Roman"/>
        </w:rPr>
        <w:t xml:space="preserve"> his </w:t>
      </w:r>
      <w:proofErr w:type="spellStart"/>
      <w:r w:rsidR="00663425" w:rsidRPr="00705170">
        <w:rPr>
          <w:rFonts w:ascii="Times New Roman" w:hAnsi="Times New Roman" w:cs="Times New Roman"/>
        </w:rPr>
        <w:t>influence</w:t>
      </w:r>
      <w:proofErr w:type="spellEnd"/>
      <w:r w:rsidR="00663425" w:rsidRPr="00705170">
        <w:rPr>
          <w:rFonts w:ascii="Times New Roman" w:hAnsi="Times New Roman" w:cs="Times New Roman"/>
        </w:rPr>
        <w:t xml:space="preserve"> on a </w:t>
      </w:r>
      <w:proofErr w:type="spellStart"/>
      <w:r w:rsidR="00663425" w:rsidRPr="00705170">
        <w:rPr>
          <w:rFonts w:ascii="Times New Roman" w:hAnsi="Times New Roman" w:cs="Times New Roman"/>
        </w:rPr>
        <w:t>corporation</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without</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exercising</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any</w:t>
      </w:r>
      <w:proofErr w:type="spellEnd"/>
      <w:r w:rsidR="00663425" w:rsidRPr="00705170">
        <w:rPr>
          <w:rFonts w:ascii="Times New Roman" w:hAnsi="Times New Roman" w:cs="Times New Roman"/>
        </w:rPr>
        <w:t xml:space="preserve"> </w:t>
      </w:r>
      <w:r w:rsidR="004E56C4" w:rsidRPr="00705170">
        <w:rPr>
          <w:rFonts w:ascii="Times New Roman" w:hAnsi="Times New Roman" w:cs="Times New Roman"/>
        </w:rPr>
        <w:t xml:space="preserve">of his </w:t>
      </w:r>
      <w:proofErr w:type="spellStart"/>
      <w:r w:rsidR="00663425" w:rsidRPr="00705170">
        <w:rPr>
          <w:rFonts w:ascii="Times New Roman" w:hAnsi="Times New Roman" w:cs="Times New Roman"/>
        </w:rPr>
        <w:t>shareholder</w:t>
      </w:r>
      <w:proofErr w:type="spellEnd"/>
      <w:r w:rsidR="00663425" w:rsidRPr="00705170">
        <w:rPr>
          <w:rFonts w:ascii="Times New Roman" w:hAnsi="Times New Roman" w:cs="Times New Roman"/>
        </w:rPr>
        <w:t xml:space="preserve"> </w:t>
      </w:r>
      <w:proofErr w:type="spellStart"/>
      <w:r w:rsidR="00663425" w:rsidRPr="00705170">
        <w:rPr>
          <w:rFonts w:ascii="Times New Roman" w:hAnsi="Times New Roman" w:cs="Times New Roman"/>
        </w:rPr>
        <w:t>rights</w:t>
      </w:r>
      <w:proofErr w:type="spellEnd"/>
      <w:r w:rsidR="00823A10" w:rsidRPr="00705170">
        <w:rPr>
          <w:rStyle w:val="DipnotBavurusu"/>
          <w:rFonts w:ascii="Times New Roman" w:hAnsi="Times New Roman" w:cs="Times New Roman"/>
        </w:rPr>
        <w:footnoteReference w:id="166"/>
      </w:r>
      <w:r w:rsidR="00526305" w:rsidRPr="00705170">
        <w:rPr>
          <w:rFonts w:ascii="Times New Roman" w:hAnsi="Times New Roman" w:cs="Times New Roman"/>
        </w:rPr>
        <w:t xml:space="preserve">; but </w:t>
      </w:r>
      <w:proofErr w:type="spellStart"/>
      <w:r w:rsidR="00526305" w:rsidRPr="00705170">
        <w:rPr>
          <w:rFonts w:ascii="Times New Roman" w:hAnsi="Times New Roman" w:cs="Times New Roman"/>
        </w:rPr>
        <w:t>the</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power</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that</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this</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influence</w:t>
      </w:r>
      <w:proofErr w:type="spellEnd"/>
      <w:r w:rsidR="00526305" w:rsidRPr="00705170">
        <w:rPr>
          <w:rFonts w:ascii="Times New Roman" w:hAnsi="Times New Roman" w:cs="Times New Roman"/>
        </w:rPr>
        <w:t xml:space="preserve"> has </w:t>
      </w:r>
      <w:proofErr w:type="spellStart"/>
      <w:r w:rsidR="00526305" w:rsidRPr="00705170">
        <w:rPr>
          <w:rFonts w:ascii="Times New Roman" w:hAnsi="Times New Roman" w:cs="Times New Roman"/>
        </w:rPr>
        <w:t>will</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depend</w:t>
      </w:r>
      <w:proofErr w:type="spellEnd"/>
      <w:r w:rsidR="00526305" w:rsidRPr="00705170">
        <w:rPr>
          <w:rFonts w:ascii="Times New Roman" w:hAnsi="Times New Roman" w:cs="Times New Roman"/>
        </w:rPr>
        <w:t xml:space="preserve"> on </w:t>
      </w:r>
      <w:proofErr w:type="spellStart"/>
      <w:r w:rsidR="00526305" w:rsidRPr="00705170">
        <w:rPr>
          <w:rFonts w:ascii="Times New Roman" w:hAnsi="Times New Roman" w:cs="Times New Roman"/>
        </w:rPr>
        <w:t>the</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power</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that</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the</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formal</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influence</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e.g</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ability</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to</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vote</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gives</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to</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the</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shareholder</w:t>
      </w:r>
      <w:proofErr w:type="spellEnd"/>
      <w:r w:rsidR="00526305" w:rsidRPr="00705170">
        <w:rPr>
          <w:rStyle w:val="DipnotBavurusu"/>
          <w:rFonts w:ascii="Times New Roman" w:hAnsi="Times New Roman" w:cs="Times New Roman"/>
        </w:rPr>
        <w:footnoteReference w:id="167"/>
      </w:r>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or</w:t>
      </w:r>
      <w:proofErr w:type="spellEnd"/>
      <w:r w:rsidR="00526305" w:rsidRPr="00705170">
        <w:rPr>
          <w:rFonts w:ascii="Times New Roman" w:hAnsi="Times New Roman" w:cs="Times New Roman"/>
        </w:rPr>
        <w:t xml:space="preserve"> how </w:t>
      </w:r>
      <w:proofErr w:type="spellStart"/>
      <w:r w:rsidR="00526305" w:rsidRPr="00705170">
        <w:rPr>
          <w:rFonts w:ascii="Times New Roman" w:hAnsi="Times New Roman" w:cs="Times New Roman"/>
        </w:rPr>
        <w:t>effective</w:t>
      </w:r>
      <w:proofErr w:type="spellEnd"/>
      <w:r w:rsidR="00526305" w:rsidRPr="00705170">
        <w:rPr>
          <w:rFonts w:ascii="Times New Roman" w:hAnsi="Times New Roman" w:cs="Times New Roman"/>
        </w:rPr>
        <w:t xml:space="preserve"> he can </w:t>
      </w:r>
      <w:proofErr w:type="spellStart"/>
      <w:r w:rsidR="00526305" w:rsidRPr="00705170">
        <w:rPr>
          <w:rFonts w:ascii="Times New Roman" w:hAnsi="Times New Roman" w:cs="Times New Roman"/>
        </w:rPr>
        <w:t>use</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the</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human</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nature</w:t>
      </w:r>
      <w:proofErr w:type="spellEnd"/>
      <w:r w:rsidR="00526305" w:rsidRPr="00705170">
        <w:rPr>
          <w:rFonts w:ascii="Times New Roman" w:hAnsi="Times New Roman" w:cs="Times New Roman"/>
        </w:rPr>
        <w:t xml:space="preserve"> of </w:t>
      </w:r>
      <w:proofErr w:type="spellStart"/>
      <w:r w:rsidR="00526305" w:rsidRPr="00705170">
        <w:rPr>
          <w:rFonts w:ascii="Times New Roman" w:hAnsi="Times New Roman" w:cs="Times New Roman"/>
        </w:rPr>
        <w:t>the</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managers</w:t>
      </w:r>
      <w:proofErr w:type="spellEnd"/>
      <w:r w:rsidR="00526305" w:rsidRPr="00705170">
        <w:rPr>
          <w:rFonts w:ascii="Times New Roman" w:hAnsi="Times New Roman" w:cs="Times New Roman"/>
        </w:rPr>
        <w:t xml:space="preserve"> </w:t>
      </w:r>
      <w:proofErr w:type="spellStart"/>
      <w:r w:rsidR="00526305" w:rsidRPr="00705170">
        <w:rPr>
          <w:rFonts w:ascii="Times New Roman" w:hAnsi="Times New Roman" w:cs="Times New Roman"/>
        </w:rPr>
        <w:t>for</w:t>
      </w:r>
      <w:proofErr w:type="spellEnd"/>
      <w:r w:rsidR="00526305" w:rsidRPr="00705170">
        <w:rPr>
          <w:rFonts w:ascii="Times New Roman" w:hAnsi="Times New Roman" w:cs="Times New Roman"/>
        </w:rPr>
        <w:t xml:space="preserve"> his </w:t>
      </w:r>
      <w:proofErr w:type="spellStart"/>
      <w:r w:rsidR="00526305" w:rsidRPr="00705170">
        <w:rPr>
          <w:rFonts w:ascii="Times New Roman" w:hAnsi="Times New Roman" w:cs="Times New Roman"/>
        </w:rPr>
        <w:t>advantage</w:t>
      </w:r>
      <w:proofErr w:type="spellEnd"/>
      <w:r w:rsidR="00526305" w:rsidRPr="00705170">
        <w:rPr>
          <w:rFonts w:ascii="Times New Roman" w:hAnsi="Times New Roman" w:cs="Times New Roman"/>
        </w:rPr>
        <w:t>.</w:t>
      </w:r>
      <w:r w:rsidR="00C3132B" w:rsidRPr="00705170">
        <w:rPr>
          <w:rFonts w:ascii="Times New Roman" w:hAnsi="Times New Roman" w:cs="Times New Roman"/>
        </w:rPr>
        <w:t xml:space="preserve"> </w:t>
      </w:r>
      <w:proofErr w:type="spellStart"/>
      <w:r w:rsidR="00792515" w:rsidRPr="00705170">
        <w:rPr>
          <w:rFonts w:ascii="Times New Roman" w:hAnsi="Times New Roman" w:cs="Times New Roman"/>
        </w:rPr>
        <w:t>When</w:t>
      </w:r>
      <w:proofErr w:type="spellEnd"/>
      <w:r w:rsidR="00792515" w:rsidRPr="00705170">
        <w:rPr>
          <w:rFonts w:ascii="Times New Roman" w:hAnsi="Times New Roman" w:cs="Times New Roman"/>
        </w:rPr>
        <w:t xml:space="preserve"> </w:t>
      </w:r>
      <w:proofErr w:type="spellStart"/>
      <w:r w:rsidR="00792515" w:rsidRPr="00705170">
        <w:rPr>
          <w:rFonts w:ascii="Times New Roman" w:hAnsi="Times New Roman" w:cs="Times New Roman"/>
        </w:rPr>
        <w:t>this</w:t>
      </w:r>
      <w:proofErr w:type="spellEnd"/>
      <w:r w:rsidR="00792515" w:rsidRPr="00705170">
        <w:rPr>
          <w:rFonts w:ascii="Times New Roman" w:hAnsi="Times New Roman" w:cs="Times New Roman"/>
        </w:rPr>
        <w:t xml:space="preserve"> </w:t>
      </w:r>
      <w:proofErr w:type="spellStart"/>
      <w:r w:rsidR="00792515" w:rsidRPr="00705170">
        <w:rPr>
          <w:rFonts w:ascii="Times New Roman" w:hAnsi="Times New Roman" w:cs="Times New Roman"/>
        </w:rPr>
        <w:t>second</w:t>
      </w:r>
      <w:proofErr w:type="spellEnd"/>
      <w:r w:rsidR="00792515" w:rsidRPr="00705170">
        <w:rPr>
          <w:rFonts w:ascii="Times New Roman" w:hAnsi="Times New Roman" w:cs="Times New Roman"/>
        </w:rPr>
        <w:t xml:space="preserve"> </w:t>
      </w:r>
      <w:proofErr w:type="spellStart"/>
      <w:r w:rsidR="00792515" w:rsidRPr="00705170">
        <w:rPr>
          <w:rFonts w:ascii="Times New Roman" w:hAnsi="Times New Roman" w:cs="Times New Roman"/>
        </w:rPr>
        <w:t>path</w:t>
      </w:r>
      <w:proofErr w:type="spellEnd"/>
      <w:r w:rsidR="00792515" w:rsidRPr="00705170">
        <w:rPr>
          <w:rFonts w:ascii="Times New Roman" w:hAnsi="Times New Roman" w:cs="Times New Roman"/>
        </w:rPr>
        <w:t xml:space="preserve"> is </w:t>
      </w:r>
      <w:proofErr w:type="spellStart"/>
      <w:r w:rsidR="00792515" w:rsidRPr="00705170">
        <w:rPr>
          <w:rFonts w:ascii="Times New Roman" w:hAnsi="Times New Roman" w:cs="Times New Roman"/>
        </w:rPr>
        <w:t>taken</w:t>
      </w:r>
      <w:proofErr w:type="spellEnd"/>
      <w:r w:rsidR="00792515" w:rsidRPr="00705170">
        <w:rPr>
          <w:rFonts w:ascii="Times New Roman" w:hAnsi="Times New Roman" w:cs="Times New Roman"/>
        </w:rPr>
        <w:t xml:space="preserve">, </w:t>
      </w:r>
      <w:proofErr w:type="spellStart"/>
      <w:r w:rsidR="00792515" w:rsidRPr="00705170">
        <w:rPr>
          <w:rFonts w:ascii="Times New Roman" w:hAnsi="Times New Roman" w:cs="Times New Roman"/>
        </w:rPr>
        <w:t>the</w:t>
      </w:r>
      <w:proofErr w:type="spellEnd"/>
      <w:r w:rsidR="00792515" w:rsidRPr="00705170">
        <w:rPr>
          <w:rFonts w:ascii="Times New Roman" w:hAnsi="Times New Roman" w:cs="Times New Roman"/>
        </w:rPr>
        <w:t xml:space="preserve"> </w:t>
      </w:r>
      <w:proofErr w:type="spellStart"/>
      <w:r w:rsidR="00792515" w:rsidRPr="00705170">
        <w:rPr>
          <w:rFonts w:ascii="Times New Roman" w:hAnsi="Times New Roman" w:cs="Times New Roman"/>
        </w:rPr>
        <w:t>influence</w:t>
      </w:r>
      <w:proofErr w:type="spellEnd"/>
      <w:r w:rsidR="00792515" w:rsidRPr="00705170">
        <w:rPr>
          <w:rFonts w:ascii="Times New Roman" w:hAnsi="Times New Roman" w:cs="Times New Roman"/>
        </w:rPr>
        <w:t xml:space="preserve"> is </w:t>
      </w:r>
      <w:proofErr w:type="spellStart"/>
      <w:r w:rsidR="00792515" w:rsidRPr="00705170">
        <w:rPr>
          <w:rFonts w:ascii="Times New Roman" w:hAnsi="Times New Roman" w:cs="Times New Roman"/>
        </w:rPr>
        <w:t>exercised</w:t>
      </w:r>
      <w:proofErr w:type="spellEnd"/>
      <w:r w:rsidR="00792515" w:rsidRPr="00705170">
        <w:rPr>
          <w:rFonts w:ascii="Times New Roman" w:hAnsi="Times New Roman" w:cs="Times New Roman"/>
        </w:rPr>
        <w:t xml:space="preserve"> “</w:t>
      </w:r>
      <w:proofErr w:type="spellStart"/>
      <w:r w:rsidR="00792515" w:rsidRPr="00705170">
        <w:rPr>
          <w:rFonts w:ascii="Times New Roman" w:hAnsi="Times New Roman" w:cs="Times New Roman"/>
        </w:rPr>
        <w:t>behind</w:t>
      </w:r>
      <w:proofErr w:type="spellEnd"/>
      <w:r w:rsidR="00792515" w:rsidRPr="00705170">
        <w:rPr>
          <w:rFonts w:ascii="Times New Roman" w:hAnsi="Times New Roman" w:cs="Times New Roman"/>
        </w:rPr>
        <w:t xml:space="preserve"> </w:t>
      </w:r>
      <w:proofErr w:type="spellStart"/>
      <w:r w:rsidR="00792515" w:rsidRPr="00705170">
        <w:rPr>
          <w:rFonts w:ascii="Times New Roman" w:hAnsi="Times New Roman" w:cs="Times New Roman"/>
        </w:rPr>
        <w:t>the</w:t>
      </w:r>
      <w:proofErr w:type="spellEnd"/>
      <w:r w:rsidR="00792515" w:rsidRPr="00705170">
        <w:rPr>
          <w:rFonts w:ascii="Times New Roman" w:hAnsi="Times New Roman" w:cs="Times New Roman"/>
        </w:rPr>
        <w:t xml:space="preserve"> </w:t>
      </w:r>
      <w:proofErr w:type="spellStart"/>
      <w:r w:rsidR="00792515" w:rsidRPr="00705170">
        <w:rPr>
          <w:rFonts w:ascii="Times New Roman" w:hAnsi="Times New Roman" w:cs="Times New Roman"/>
        </w:rPr>
        <w:t>scenes</w:t>
      </w:r>
      <w:proofErr w:type="spellEnd"/>
      <w:r w:rsidR="00792515" w:rsidRPr="00705170">
        <w:rPr>
          <w:rFonts w:ascii="Times New Roman" w:hAnsi="Times New Roman" w:cs="Times New Roman"/>
        </w:rPr>
        <w:t xml:space="preserve">”. </w:t>
      </w:r>
      <w:proofErr w:type="spellStart"/>
      <w:r w:rsidR="004E4447" w:rsidRPr="00705170">
        <w:rPr>
          <w:rFonts w:ascii="Times New Roman" w:hAnsi="Times New Roman" w:cs="Times New Roman"/>
        </w:rPr>
        <w:t>Similarly</w:t>
      </w:r>
      <w:proofErr w:type="spellEnd"/>
      <w:r w:rsidR="00551789" w:rsidRPr="00705170">
        <w:rPr>
          <w:rFonts w:ascii="Times New Roman" w:hAnsi="Times New Roman" w:cs="Times New Roman"/>
        </w:rPr>
        <w:t xml:space="preserve">, a </w:t>
      </w:r>
      <w:proofErr w:type="spellStart"/>
      <w:r w:rsidR="00551789" w:rsidRPr="00705170">
        <w:rPr>
          <w:rFonts w:ascii="Times New Roman" w:hAnsi="Times New Roman" w:cs="Times New Roman"/>
        </w:rPr>
        <w:t>shareholder</w:t>
      </w:r>
      <w:proofErr w:type="spellEnd"/>
      <w:r w:rsidR="00551789" w:rsidRPr="00705170">
        <w:rPr>
          <w:rFonts w:ascii="Times New Roman" w:hAnsi="Times New Roman" w:cs="Times New Roman"/>
        </w:rPr>
        <w:t xml:space="preserve"> </w:t>
      </w:r>
      <w:proofErr w:type="spellStart"/>
      <w:r w:rsidR="00551789" w:rsidRPr="00705170">
        <w:rPr>
          <w:rFonts w:ascii="Times New Roman" w:hAnsi="Times New Roman" w:cs="Times New Roman"/>
        </w:rPr>
        <w:t>whose</w:t>
      </w:r>
      <w:proofErr w:type="spellEnd"/>
      <w:r w:rsidR="00551789" w:rsidRPr="00705170">
        <w:rPr>
          <w:rFonts w:ascii="Times New Roman" w:hAnsi="Times New Roman" w:cs="Times New Roman"/>
        </w:rPr>
        <w:t xml:space="preserve"> </w:t>
      </w:r>
      <w:proofErr w:type="spellStart"/>
      <w:r w:rsidR="00551789" w:rsidRPr="00705170">
        <w:rPr>
          <w:rFonts w:ascii="Times New Roman" w:hAnsi="Times New Roman" w:cs="Times New Roman"/>
        </w:rPr>
        <w:t>actions</w:t>
      </w:r>
      <w:proofErr w:type="spellEnd"/>
      <w:r w:rsidR="00551789" w:rsidRPr="00705170">
        <w:rPr>
          <w:rFonts w:ascii="Times New Roman" w:hAnsi="Times New Roman" w:cs="Times New Roman"/>
        </w:rPr>
        <w:t xml:space="preserve"> </w:t>
      </w:r>
      <w:proofErr w:type="spellStart"/>
      <w:r w:rsidR="00B53950" w:rsidRPr="00705170">
        <w:rPr>
          <w:rFonts w:ascii="Times New Roman" w:hAnsi="Times New Roman" w:cs="Times New Roman"/>
        </w:rPr>
        <w:t>out</w:t>
      </w:r>
      <w:proofErr w:type="spellEnd"/>
      <w:r w:rsidR="00B53950" w:rsidRPr="00705170">
        <w:rPr>
          <w:rFonts w:ascii="Times New Roman" w:hAnsi="Times New Roman" w:cs="Times New Roman"/>
        </w:rPr>
        <w:t xml:space="preserve"> in </w:t>
      </w:r>
      <w:proofErr w:type="spellStart"/>
      <w:r w:rsidR="00B53950" w:rsidRPr="00705170">
        <w:rPr>
          <w:rFonts w:ascii="Times New Roman" w:hAnsi="Times New Roman" w:cs="Times New Roman"/>
        </w:rPr>
        <w:t>the</w:t>
      </w:r>
      <w:proofErr w:type="spellEnd"/>
      <w:r w:rsidR="00B53950" w:rsidRPr="00705170">
        <w:rPr>
          <w:rFonts w:ascii="Times New Roman" w:hAnsi="Times New Roman" w:cs="Times New Roman"/>
        </w:rPr>
        <w:t xml:space="preserve"> </w:t>
      </w:r>
      <w:proofErr w:type="spellStart"/>
      <w:r w:rsidR="00B53950" w:rsidRPr="00705170">
        <w:rPr>
          <w:rFonts w:ascii="Times New Roman" w:hAnsi="Times New Roman" w:cs="Times New Roman"/>
        </w:rPr>
        <w:t>marketplace</w:t>
      </w:r>
      <w:proofErr w:type="spellEnd"/>
      <w:r w:rsidR="00B53950" w:rsidRPr="00705170">
        <w:rPr>
          <w:rFonts w:ascii="Times New Roman" w:hAnsi="Times New Roman" w:cs="Times New Roman"/>
        </w:rPr>
        <w:t xml:space="preserve"> </w:t>
      </w:r>
      <w:proofErr w:type="spellStart"/>
      <w:r w:rsidR="003303D5" w:rsidRPr="00705170">
        <w:rPr>
          <w:rFonts w:ascii="Times New Roman" w:hAnsi="Times New Roman" w:cs="Times New Roman"/>
        </w:rPr>
        <w:t>might</w:t>
      </w:r>
      <w:proofErr w:type="spellEnd"/>
      <w:r w:rsidR="003303D5" w:rsidRPr="00705170">
        <w:rPr>
          <w:rFonts w:ascii="Times New Roman" w:hAnsi="Times New Roman" w:cs="Times New Roman"/>
        </w:rPr>
        <w:t xml:space="preserve"> </w:t>
      </w:r>
      <w:proofErr w:type="spellStart"/>
      <w:r w:rsidR="003303D5" w:rsidRPr="00705170">
        <w:rPr>
          <w:rFonts w:ascii="Times New Roman" w:hAnsi="Times New Roman" w:cs="Times New Roman"/>
        </w:rPr>
        <w:t>influence</w:t>
      </w:r>
      <w:proofErr w:type="spellEnd"/>
      <w:r w:rsidR="003303D5" w:rsidRPr="00705170">
        <w:rPr>
          <w:rFonts w:ascii="Times New Roman" w:hAnsi="Times New Roman" w:cs="Times New Roman"/>
        </w:rPr>
        <w:t xml:space="preserve"> how </w:t>
      </w:r>
      <w:proofErr w:type="spellStart"/>
      <w:r w:rsidR="003303D5" w:rsidRPr="00705170">
        <w:rPr>
          <w:rFonts w:ascii="Times New Roman" w:hAnsi="Times New Roman" w:cs="Times New Roman"/>
        </w:rPr>
        <w:t>the</w:t>
      </w:r>
      <w:proofErr w:type="spellEnd"/>
      <w:r w:rsidR="003303D5" w:rsidRPr="00705170">
        <w:rPr>
          <w:rFonts w:ascii="Times New Roman" w:hAnsi="Times New Roman" w:cs="Times New Roman"/>
        </w:rPr>
        <w:t xml:space="preserve"> </w:t>
      </w:r>
      <w:proofErr w:type="spellStart"/>
      <w:r w:rsidR="003303D5" w:rsidRPr="00705170">
        <w:rPr>
          <w:rFonts w:ascii="Times New Roman" w:hAnsi="Times New Roman" w:cs="Times New Roman"/>
        </w:rPr>
        <w:t>corporation</w:t>
      </w:r>
      <w:proofErr w:type="spellEnd"/>
      <w:r w:rsidR="003303D5" w:rsidRPr="00705170">
        <w:rPr>
          <w:rFonts w:ascii="Times New Roman" w:hAnsi="Times New Roman" w:cs="Times New Roman"/>
        </w:rPr>
        <w:t xml:space="preserve"> </w:t>
      </w:r>
      <w:proofErr w:type="spellStart"/>
      <w:r w:rsidR="009C7D95" w:rsidRPr="00705170">
        <w:rPr>
          <w:rFonts w:ascii="Times New Roman" w:hAnsi="Times New Roman" w:cs="Times New Roman"/>
        </w:rPr>
        <w:t>might</w:t>
      </w:r>
      <w:proofErr w:type="spellEnd"/>
      <w:r w:rsidR="009C7D95" w:rsidRPr="00705170">
        <w:rPr>
          <w:rFonts w:ascii="Times New Roman" w:hAnsi="Times New Roman" w:cs="Times New Roman"/>
        </w:rPr>
        <w:t xml:space="preserve"> </w:t>
      </w:r>
      <w:proofErr w:type="spellStart"/>
      <w:r w:rsidR="009C7D95" w:rsidRPr="00705170">
        <w:rPr>
          <w:rFonts w:ascii="Times New Roman" w:hAnsi="Times New Roman" w:cs="Times New Roman"/>
        </w:rPr>
        <w:t>act</w:t>
      </w:r>
      <w:proofErr w:type="spellEnd"/>
      <w:r w:rsidR="009C7D95" w:rsidRPr="00705170">
        <w:rPr>
          <w:rFonts w:ascii="Times New Roman" w:hAnsi="Times New Roman" w:cs="Times New Roman"/>
        </w:rPr>
        <w:t xml:space="preserve"> </w:t>
      </w:r>
      <w:proofErr w:type="spellStart"/>
      <w:r w:rsidR="009C7D95" w:rsidRPr="00705170">
        <w:rPr>
          <w:rFonts w:ascii="Times New Roman" w:hAnsi="Times New Roman" w:cs="Times New Roman"/>
        </w:rPr>
        <w:t>or</w:t>
      </w:r>
      <w:proofErr w:type="spellEnd"/>
      <w:r w:rsidR="009C7D95" w:rsidRPr="00705170">
        <w:rPr>
          <w:rFonts w:ascii="Times New Roman" w:hAnsi="Times New Roman" w:cs="Times New Roman"/>
        </w:rPr>
        <w:t xml:space="preserve"> </w:t>
      </w:r>
      <w:proofErr w:type="spellStart"/>
      <w:r w:rsidR="009C7D95" w:rsidRPr="00705170">
        <w:rPr>
          <w:rFonts w:ascii="Times New Roman" w:hAnsi="Times New Roman" w:cs="Times New Roman"/>
        </w:rPr>
        <w:t>the</w:t>
      </w:r>
      <w:proofErr w:type="spellEnd"/>
      <w:r w:rsidR="009C7D95" w:rsidRPr="00705170">
        <w:rPr>
          <w:rFonts w:ascii="Times New Roman" w:hAnsi="Times New Roman" w:cs="Times New Roman"/>
        </w:rPr>
        <w:t xml:space="preserve"> </w:t>
      </w:r>
      <w:proofErr w:type="spellStart"/>
      <w:r w:rsidR="009C7D95" w:rsidRPr="00705170">
        <w:rPr>
          <w:rFonts w:ascii="Times New Roman" w:hAnsi="Times New Roman" w:cs="Times New Roman"/>
        </w:rPr>
        <w:t>shareholder</w:t>
      </w:r>
      <w:r w:rsidR="00E7303B" w:rsidRPr="00705170">
        <w:rPr>
          <w:rFonts w:ascii="Times New Roman" w:hAnsi="Times New Roman" w:cs="Times New Roman"/>
        </w:rPr>
        <w:t>’</w:t>
      </w:r>
      <w:r w:rsidR="009C7D95" w:rsidRPr="00705170">
        <w:rPr>
          <w:rFonts w:ascii="Times New Roman" w:hAnsi="Times New Roman" w:cs="Times New Roman"/>
        </w:rPr>
        <w:t>s</w:t>
      </w:r>
      <w:proofErr w:type="spellEnd"/>
      <w:r w:rsidR="00E7303B" w:rsidRPr="00705170">
        <w:rPr>
          <w:rFonts w:ascii="Times New Roman" w:hAnsi="Times New Roman" w:cs="Times New Roman"/>
        </w:rPr>
        <w:t xml:space="preserve"> </w:t>
      </w:r>
      <w:proofErr w:type="spellStart"/>
      <w:r w:rsidR="00E7303B" w:rsidRPr="00705170">
        <w:rPr>
          <w:rFonts w:ascii="Times New Roman" w:hAnsi="Times New Roman" w:cs="Times New Roman"/>
        </w:rPr>
        <w:t>mere</w:t>
      </w:r>
      <w:proofErr w:type="spellEnd"/>
      <w:r w:rsidR="00E7303B" w:rsidRPr="00705170">
        <w:rPr>
          <w:rFonts w:ascii="Times New Roman" w:hAnsi="Times New Roman" w:cs="Times New Roman"/>
        </w:rPr>
        <w:t xml:space="preserve"> presence in </w:t>
      </w:r>
      <w:proofErr w:type="spellStart"/>
      <w:r w:rsidR="00E7303B" w:rsidRPr="00705170">
        <w:rPr>
          <w:rFonts w:ascii="Times New Roman" w:hAnsi="Times New Roman" w:cs="Times New Roman"/>
        </w:rPr>
        <w:t>the</w:t>
      </w:r>
      <w:proofErr w:type="spellEnd"/>
      <w:r w:rsidR="00E7303B" w:rsidRPr="00705170">
        <w:rPr>
          <w:rFonts w:ascii="Times New Roman" w:hAnsi="Times New Roman" w:cs="Times New Roman"/>
        </w:rPr>
        <w:t xml:space="preserve"> </w:t>
      </w:r>
      <w:proofErr w:type="spellStart"/>
      <w:r w:rsidR="00E7303B" w:rsidRPr="00705170">
        <w:rPr>
          <w:rFonts w:ascii="Times New Roman" w:hAnsi="Times New Roman" w:cs="Times New Roman"/>
        </w:rPr>
        <w:t>corporation</w:t>
      </w:r>
      <w:proofErr w:type="spellEnd"/>
      <w:r w:rsidR="00E7303B" w:rsidRPr="00705170">
        <w:rPr>
          <w:rFonts w:ascii="Times New Roman" w:hAnsi="Times New Roman" w:cs="Times New Roman"/>
        </w:rPr>
        <w:t xml:space="preserve"> as a </w:t>
      </w:r>
      <w:proofErr w:type="spellStart"/>
      <w:r w:rsidR="00E7303B" w:rsidRPr="00705170">
        <w:rPr>
          <w:rFonts w:ascii="Times New Roman" w:hAnsi="Times New Roman" w:cs="Times New Roman"/>
        </w:rPr>
        <w:t>shareholder</w:t>
      </w:r>
      <w:proofErr w:type="spellEnd"/>
      <w:r w:rsidR="00E7303B" w:rsidRPr="00705170">
        <w:rPr>
          <w:rFonts w:ascii="Times New Roman" w:hAnsi="Times New Roman" w:cs="Times New Roman"/>
        </w:rPr>
        <w:t xml:space="preserve"> can be </w:t>
      </w:r>
      <w:r w:rsidR="00FE2FF4" w:rsidRPr="00705170">
        <w:rPr>
          <w:rFonts w:ascii="Times New Roman" w:hAnsi="Times New Roman" w:cs="Times New Roman"/>
        </w:rPr>
        <w:t xml:space="preserve">an </w:t>
      </w:r>
      <w:proofErr w:type="spellStart"/>
      <w:r w:rsidR="00FE2FF4" w:rsidRPr="00705170">
        <w:rPr>
          <w:rFonts w:ascii="Times New Roman" w:hAnsi="Times New Roman" w:cs="Times New Roman"/>
        </w:rPr>
        <w:t>issue</w:t>
      </w:r>
      <w:proofErr w:type="spellEnd"/>
      <w:r w:rsidR="00FE2FF4" w:rsidRPr="00705170">
        <w:rPr>
          <w:rFonts w:ascii="Times New Roman" w:hAnsi="Times New Roman" w:cs="Times New Roman"/>
        </w:rPr>
        <w:t xml:space="preserve"> </w:t>
      </w:r>
      <w:proofErr w:type="spellStart"/>
      <w:r w:rsidR="00FE2FF4" w:rsidRPr="00705170">
        <w:rPr>
          <w:rFonts w:ascii="Times New Roman" w:hAnsi="Times New Roman" w:cs="Times New Roman"/>
        </w:rPr>
        <w:t>tha</w:t>
      </w:r>
      <w:r w:rsidR="009C7D95" w:rsidRPr="00705170">
        <w:rPr>
          <w:rFonts w:ascii="Times New Roman" w:hAnsi="Times New Roman" w:cs="Times New Roman"/>
        </w:rPr>
        <w:t>t</w:t>
      </w:r>
      <w:proofErr w:type="spellEnd"/>
      <w:r w:rsidR="009C7D95" w:rsidRPr="00705170">
        <w:rPr>
          <w:rFonts w:ascii="Times New Roman" w:hAnsi="Times New Roman" w:cs="Times New Roman"/>
        </w:rPr>
        <w:t xml:space="preserve"> </w:t>
      </w:r>
      <w:proofErr w:type="spellStart"/>
      <w:r w:rsidR="009C7D95" w:rsidRPr="00705170">
        <w:rPr>
          <w:rFonts w:ascii="Times New Roman" w:hAnsi="Times New Roman" w:cs="Times New Roman"/>
        </w:rPr>
        <w:t>effects</w:t>
      </w:r>
      <w:proofErr w:type="spellEnd"/>
      <w:r w:rsidR="009C7D95" w:rsidRPr="00705170">
        <w:rPr>
          <w:rFonts w:ascii="Times New Roman" w:hAnsi="Times New Roman" w:cs="Times New Roman"/>
        </w:rPr>
        <w:t xml:space="preserve"> </w:t>
      </w:r>
      <w:proofErr w:type="spellStart"/>
      <w:r w:rsidR="009C7D95" w:rsidRPr="00705170">
        <w:rPr>
          <w:rFonts w:ascii="Times New Roman" w:hAnsi="Times New Roman" w:cs="Times New Roman"/>
        </w:rPr>
        <w:t>the</w:t>
      </w:r>
      <w:proofErr w:type="spellEnd"/>
      <w:r w:rsidR="009C7D95" w:rsidRPr="00705170">
        <w:rPr>
          <w:rFonts w:ascii="Times New Roman" w:hAnsi="Times New Roman" w:cs="Times New Roman"/>
        </w:rPr>
        <w:t xml:space="preserve"> </w:t>
      </w:r>
      <w:proofErr w:type="spellStart"/>
      <w:r w:rsidR="009C7D95" w:rsidRPr="00705170">
        <w:rPr>
          <w:rFonts w:ascii="Times New Roman" w:hAnsi="Times New Roman" w:cs="Times New Roman"/>
        </w:rPr>
        <w:t>corporation’s</w:t>
      </w:r>
      <w:proofErr w:type="spellEnd"/>
      <w:r w:rsidR="009C7D95" w:rsidRPr="00705170">
        <w:rPr>
          <w:rFonts w:ascii="Times New Roman" w:hAnsi="Times New Roman" w:cs="Times New Roman"/>
        </w:rPr>
        <w:t xml:space="preserve"> </w:t>
      </w:r>
      <w:proofErr w:type="spellStart"/>
      <w:r w:rsidR="009C7D95" w:rsidRPr="00705170">
        <w:rPr>
          <w:rFonts w:ascii="Times New Roman" w:hAnsi="Times New Roman" w:cs="Times New Roman"/>
        </w:rPr>
        <w:t>well</w:t>
      </w:r>
      <w:proofErr w:type="spellEnd"/>
      <w:r w:rsidR="009C7D95" w:rsidRPr="00705170">
        <w:rPr>
          <w:rFonts w:ascii="Times New Roman" w:hAnsi="Times New Roman" w:cs="Times New Roman"/>
        </w:rPr>
        <w:t xml:space="preserve">- </w:t>
      </w:r>
      <w:proofErr w:type="spellStart"/>
      <w:r w:rsidR="009C7D95" w:rsidRPr="00705170">
        <w:rPr>
          <w:rFonts w:ascii="Times New Roman" w:hAnsi="Times New Roman" w:cs="Times New Roman"/>
        </w:rPr>
        <w:t>being</w:t>
      </w:r>
      <w:proofErr w:type="spellEnd"/>
      <w:r w:rsidR="004E56C4" w:rsidRPr="00705170">
        <w:rPr>
          <w:rFonts w:ascii="Times New Roman" w:hAnsi="Times New Roman" w:cs="Times New Roman"/>
        </w:rPr>
        <w:t xml:space="preserve"> </w:t>
      </w:r>
      <w:proofErr w:type="spellStart"/>
      <w:r w:rsidR="004E56C4" w:rsidRPr="00705170">
        <w:rPr>
          <w:rFonts w:ascii="Times New Roman" w:hAnsi="Times New Roman" w:cs="Times New Roman"/>
        </w:rPr>
        <w:t>or</w:t>
      </w:r>
      <w:proofErr w:type="spellEnd"/>
      <w:r w:rsidR="004E56C4" w:rsidRPr="00705170">
        <w:rPr>
          <w:rFonts w:ascii="Times New Roman" w:hAnsi="Times New Roman" w:cs="Times New Roman"/>
        </w:rPr>
        <w:t xml:space="preserve"> </w:t>
      </w:r>
      <w:proofErr w:type="spellStart"/>
      <w:r w:rsidR="004E56C4" w:rsidRPr="00705170">
        <w:rPr>
          <w:rFonts w:ascii="Times New Roman" w:hAnsi="Times New Roman" w:cs="Times New Roman"/>
        </w:rPr>
        <w:t>valuation</w:t>
      </w:r>
      <w:proofErr w:type="spellEnd"/>
      <w:r w:rsidR="009C7D95" w:rsidRPr="00705170">
        <w:rPr>
          <w:rFonts w:ascii="Times New Roman" w:hAnsi="Times New Roman" w:cs="Times New Roman"/>
        </w:rPr>
        <w:t>.</w:t>
      </w:r>
      <w:r w:rsidR="003D4F5F" w:rsidRPr="00705170">
        <w:rPr>
          <w:rFonts w:ascii="Times New Roman" w:hAnsi="Times New Roman" w:cs="Times New Roman"/>
        </w:rPr>
        <w:t xml:space="preserve"> </w:t>
      </w:r>
      <w:proofErr w:type="spellStart"/>
      <w:r w:rsidR="00773316" w:rsidRPr="00705170">
        <w:rPr>
          <w:rFonts w:ascii="Times New Roman" w:hAnsi="Times New Roman" w:cs="Times New Roman"/>
        </w:rPr>
        <w:t>However</w:t>
      </w:r>
      <w:proofErr w:type="spellEnd"/>
      <w:r w:rsidR="00773316" w:rsidRPr="00705170">
        <w:rPr>
          <w:rFonts w:ascii="Times New Roman" w:hAnsi="Times New Roman" w:cs="Times New Roman"/>
        </w:rPr>
        <w:t xml:space="preserve">, as </w:t>
      </w:r>
      <w:proofErr w:type="spellStart"/>
      <w:r w:rsidR="00773316" w:rsidRPr="00705170">
        <w:rPr>
          <w:rFonts w:ascii="Times New Roman" w:hAnsi="Times New Roman" w:cs="Times New Roman"/>
        </w:rPr>
        <w:t>no</w:t>
      </w:r>
      <w:proofErr w:type="spellEnd"/>
      <w:r w:rsidR="00773316" w:rsidRPr="00705170">
        <w:rPr>
          <w:rFonts w:ascii="Times New Roman" w:hAnsi="Times New Roman" w:cs="Times New Roman"/>
        </w:rPr>
        <w:t xml:space="preserve"> </w:t>
      </w:r>
      <w:proofErr w:type="spellStart"/>
      <w:r w:rsidR="004E56C4" w:rsidRPr="00705170">
        <w:rPr>
          <w:rFonts w:ascii="Times New Roman" w:hAnsi="Times New Roman" w:cs="Times New Roman"/>
        </w:rPr>
        <w:t>shareholder</w:t>
      </w:r>
      <w:proofErr w:type="spellEnd"/>
      <w:r w:rsidR="004E56C4" w:rsidRPr="00705170">
        <w:rPr>
          <w:rFonts w:ascii="Times New Roman" w:hAnsi="Times New Roman" w:cs="Times New Roman"/>
        </w:rPr>
        <w:t xml:space="preserve"> </w:t>
      </w:r>
      <w:proofErr w:type="spellStart"/>
      <w:r w:rsidR="00773316" w:rsidRPr="00705170">
        <w:rPr>
          <w:rFonts w:ascii="Times New Roman" w:hAnsi="Times New Roman" w:cs="Times New Roman"/>
        </w:rPr>
        <w:t>right</w:t>
      </w:r>
      <w:proofErr w:type="spellEnd"/>
      <w:r w:rsidR="00773316" w:rsidRPr="00705170">
        <w:rPr>
          <w:rFonts w:ascii="Times New Roman" w:hAnsi="Times New Roman" w:cs="Times New Roman"/>
        </w:rPr>
        <w:t xml:space="preserve"> is </w:t>
      </w:r>
      <w:proofErr w:type="spellStart"/>
      <w:r w:rsidR="00773316" w:rsidRPr="00705170">
        <w:rPr>
          <w:rFonts w:ascii="Times New Roman" w:hAnsi="Times New Roman" w:cs="Times New Roman"/>
        </w:rPr>
        <w:t>formally</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exercised</w:t>
      </w:r>
      <w:proofErr w:type="spellEnd"/>
      <w:r w:rsidR="004E56C4" w:rsidRPr="00705170">
        <w:rPr>
          <w:rFonts w:ascii="Times New Roman" w:hAnsi="Times New Roman" w:cs="Times New Roman"/>
        </w:rPr>
        <w:t xml:space="preserve"> in </w:t>
      </w:r>
      <w:proofErr w:type="spellStart"/>
      <w:r w:rsidR="004E56C4" w:rsidRPr="00705170">
        <w:rPr>
          <w:rFonts w:ascii="Times New Roman" w:hAnsi="Times New Roman" w:cs="Times New Roman"/>
        </w:rPr>
        <w:t>these</w:t>
      </w:r>
      <w:proofErr w:type="spellEnd"/>
      <w:r w:rsidR="004E56C4" w:rsidRPr="00705170">
        <w:rPr>
          <w:rFonts w:ascii="Times New Roman" w:hAnsi="Times New Roman" w:cs="Times New Roman"/>
        </w:rPr>
        <w:t xml:space="preserve"> </w:t>
      </w:r>
      <w:proofErr w:type="spellStart"/>
      <w:r w:rsidR="004E56C4" w:rsidRPr="00705170">
        <w:rPr>
          <w:rFonts w:ascii="Times New Roman" w:hAnsi="Times New Roman" w:cs="Times New Roman"/>
        </w:rPr>
        <w:t>instances</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the</w:t>
      </w:r>
      <w:proofErr w:type="spellEnd"/>
      <w:r w:rsidR="00773316" w:rsidRPr="00705170">
        <w:rPr>
          <w:rFonts w:ascii="Times New Roman" w:hAnsi="Times New Roman" w:cs="Times New Roman"/>
        </w:rPr>
        <w:t xml:space="preserve"> presence of </w:t>
      </w:r>
      <w:proofErr w:type="spellStart"/>
      <w:r w:rsidR="00773316" w:rsidRPr="00705170">
        <w:rPr>
          <w:rFonts w:ascii="Times New Roman" w:hAnsi="Times New Roman" w:cs="Times New Roman"/>
        </w:rPr>
        <w:t>these</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types</w:t>
      </w:r>
      <w:proofErr w:type="spellEnd"/>
      <w:r w:rsidR="00773316" w:rsidRPr="00705170">
        <w:rPr>
          <w:rFonts w:ascii="Times New Roman" w:hAnsi="Times New Roman" w:cs="Times New Roman"/>
        </w:rPr>
        <w:t xml:space="preserve"> of </w:t>
      </w:r>
      <w:proofErr w:type="spellStart"/>
      <w:r w:rsidR="00773316" w:rsidRPr="00705170">
        <w:rPr>
          <w:rFonts w:ascii="Times New Roman" w:hAnsi="Times New Roman" w:cs="Times New Roman"/>
        </w:rPr>
        <w:t>influence</w:t>
      </w:r>
      <w:r w:rsidR="004E56C4" w:rsidRPr="00705170">
        <w:rPr>
          <w:rFonts w:ascii="Times New Roman" w:hAnsi="Times New Roman" w:cs="Times New Roman"/>
        </w:rPr>
        <w:t>s</w:t>
      </w:r>
      <w:proofErr w:type="spellEnd"/>
      <w:r w:rsidR="00773316" w:rsidRPr="00705170">
        <w:rPr>
          <w:rFonts w:ascii="Times New Roman" w:hAnsi="Times New Roman" w:cs="Times New Roman"/>
        </w:rPr>
        <w:t xml:space="preserve"> can </w:t>
      </w:r>
      <w:proofErr w:type="spellStart"/>
      <w:r w:rsidR="00773316" w:rsidRPr="00705170">
        <w:rPr>
          <w:rFonts w:ascii="Times New Roman" w:hAnsi="Times New Roman" w:cs="Times New Roman"/>
        </w:rPr>
        <w:t>only</w:t>
      </w:r>
      <w:proofErr w:type="spellEnd"/>
      <w:r w:rsidR="00773316" w:rsidRPr="00705170">
        <w:rPr>
          <w:rFonts w:ascii="Times New Roman" w:hAnsi="Times New Roman" w:cs="Times New Roman"/>
        </w:rPr>
        <w:t xml:space="preserve"> be </w:t>
      </w:r>
      <w:proofErr w:type="spellStart"/>
      <w:r w:rsidR="00773316" w:rsidRPr="00705170">
        <w:rPr>
          <w:rFonts w:ascii="Times New Roman" w:hAnsi="Times New Roman" w:cs="Times New Roman"/>
        </w:rPr>
        <w:t>perceived</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if</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the</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issue</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evaluated</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from</w:t>
      </w:r>
      <w:proofErr w:type="spellEnd"/>
      <w:r w:rsidR="00773316" w:rsidRPr="00705170">
        <w:rPr>
          <w:rFonts w:ascii="Times New Roman" w:hAnsi="Times New Roman" w:cs="Times New Roman"/>
        </w:rPr>
        <w:t xml:space="preserve"> an </w:t>
      </w:r>
      <w:proofErr w:type="spellStart"/>
      <w:r w:rsidR="00773316" w:rsidRPr="00705170">
        <w:rPr>
          <w:rFonts w:ascii="Times New Roman" w:hAnsi="Times New Roman" w:cs="Times New Roman"/>
        </w:rPr>
        <w:t>extralegal</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perspective</w:t>
      </w:r>
      <w:proofErr w:type="spellEnd"/>
      <w:r w:rsidR="00773316" w:rsidRPr="00705170">
        <w:rPr>
          <w:rFonts w:ascii="Times New Roman" w:hAnsi="Times New Roman" w:cs="Times New Roman"/>
        </w:rPr>
        <w:t>.</w:t>
      </w:r>
    </w:p>
    <w:p w14:paraId="4EA51FAA" w14:textId="427FA51A" w:rsidR="00070B8D" w:rsidRPr="00705170" w:rsidRDefault="00070B8D" w:rsidP="00070B8D">
      <w:pPr>
        <w:spacing w:after="240" w:line="480" w:lineRule="auto"/>
        <w:ind w:firstLine="720"/>
        <w:jc w:val="both"/>
        <w:rPr>
          <w:rFonts w:ascii="Times New Roman" w:hAnsi="Times New Roman" w:cs="Times New Roman"/>
        </w:rPr>
      </w:pPr>
      <w:r w:rsidRPr="00705170">
        <w:rPr>
          <w:rFonts w:ascii="Times New Roman" w:hAnsi="Times New Roman" w:cs="Times New Roman"/>
        </w:rPr>
        <w:lastRenderedPageBreak/>
        <w:t xml:space="preserve">An </w:t>
      </w:r>
      <w:proofErr w:type="spellStart"/>
      <w:r w:rsidRPr="00705170">
        <w:rPr>
          <w:rFonts w:ascii="Times New Roman" w:hAnsi="Times New Roman" w:cs="Times New Roman"/>
        </w:rPr>
        <w:t>institution</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deemed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behind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scenes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officially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appointed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carries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institutional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operations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policies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00AC287F">
        <w:rPr>
          <w:rFonts w:ascii="Times New Roman" w:hAnsi="Times New Roman" w:cs="Times New Roman"/>
        </w:rPr>
        <w:t>follo</w:t>
      </w:r>
      <w:r w:rsidR="00E51B9F">
        <w:rPr>
          <w:rFonts w:ascii="Times New Roman" w:hAnsi="Times New Roman" w:cs="Times New Roman"/>
        </w:rPr>
        <w:t>wing</w:t>
      </w:r>
      <w:proofErr w:type="spellEnd"/>
      <w:r w:rsidR="00AC287F"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demands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people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who</w:t>
      </w:r>
      <w:proofErr w:type="spellEnd"/>
      <w:r w:rsidRPr="00705170">
        <w:rPr>
          <w:rFonts w:ascii="Times New Roman" w:hAnsi="Times New Roman" w:cs="Times New Roman"/>
        </w:rPr>
        <w:t xml:space="preserve"> do not </w:t>
      </w:r>
      <w:proofErr w:type="spellStart"/>
      <w:r w:rsidRPr="00705170">
        <w:rPr>
          <w:rFonts w:ascii="Times New Roman" w:hAnsi="Times New Roman" w:cs="Times New Roman"/>
        </w:rPr>
        <w:t>hold</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official</w:t>
      </w:r>
      <w:proofErr w:type="spellEnd"/>
      <w:r w:rsidRPr="00705170">
        <w:rPr>
          <w:rFonts w:ascii="Times New Roman" w:hAnsi="Times New Roman" w:cs="Times New Roman"/>
        </w:rPr>
        <w:t xml:space="preserve"> post </w:t>
      </w:r>
      <w:proofErr w:type="spellStart"/>
      <w:r w:rsidRPr="00705170">
        <w:rPr>
          <w:rFonts w:ascii="Times New Roman" w:hAnsi="Times New Roman" w:cs="Times New Roman"/>
        </w:rPr>
        <w:t>into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consideration</w:t>
      </w:r>
      <w:proofErr w:type="spellEnd"/>
      <w:r w:rsidRPr="00705170">
        <w:rPr>
          <w:rStyle w:val="DipnotBavurusu"/>
          <w:rFonts w:ascii="Times New Roman" w:hAnsi="Times New Roman" w:cs="Times New Roman"/>
        </w:rPr>
        <w:footnoteReference w:id="168"/>
      </w:r>
      <w:r w:rsidRPr="00705170">
        <w:rPr>
          <w:rFonts w:ascii="Times New Roman" w:hAnsi="Times New Roman" w:cs="Times New Roman"/>
        </w:rPr>
        <w:t xml:space="preserve">. </w:t>
      </w:r>
      <w:proofErr w:type="spellStart"/>
      <w:r w:rsidRPr="00705170">
        <w:rPr>
          <w:rFonts w:ascii="Times New Roman" w:hAnsi="Times New Roman" w:cs="Times New Roman"/>
        </w:rPr>
        <w:t>Herein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refuse</w:t>
      </w:r>
      <w:r w:rsidR="00096C62" w:rsidRPr="00705170">
        <w:rPr>
          <w:rFonts w:ascii="Times New Roman" w:hAnsi="Times New Roman" w:cs="Times New Roman"/>
        </w:rPr>
        <w: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independent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decisions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official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instead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chooses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substitute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judgment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his </w:t>
      </w:r>
      <w:proofErr w:type="spellStart"/>
      <w:r w:rsidRPr="00705170">
        <w:rPr>
          <w:rFonts w:ascii="Times New Roman" w:hAnsi="Times New Roman" w:cs="Times New Roman"/>
        </w:rPr>
        <w:t>own</w:t>
      </w:r>
      <w:proofErr w:type="spellEnd"/>
      <w:r w:rsidR="000B2DED" w:rsidRPr="00705170">
        <w:rPr>
          <w:rFonts w:ascii="Times New Roman" w:hAnsi="Times New Roman" w:cs="Times New Roman"/>
        </w:rPr>
        <w:t xml:space="preserve"> </w:t>
      </w:r>
      <w:proofErr w:type="spellStart"/>
      <w:r w:rsidR="000B2DED" w:rsidRPr="00705170">
        <w:rPr>
          <w:rFonts w:ascii="Times New Roman" w:hAnsi="Times New Roman" w:cs="Times New Roman"/>
        </w:rPr>
        <w:t>judgment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regarding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certain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issues</w:t>
      </w:r>
      <w:proofErr w:type="spellEnd"/>
      <w:r w:rsidRPr="00705170">
        <w:rPr>
          <w:rFonts w:ascii="Times New Roman" w:hAnsi="Times New Roman" w:cs="Times New Roman"/>
        </w:rPr>
        <w:t xml:space="preserve">, but </w:t>
      </w:r>
      <w:proofErr w:type="spellStart"/>
      <w:r w:rsidRPr="00705170">
        <w:rPr>
          <w:rFonts w:ascii="Times New Roman" w:hAnsi="Times New Roman" w:cs="Times New Roman"/>
        </w:rPr>
        <w:t>still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insulates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himself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liability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taking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advantage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liability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judgment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w:t>
      </w:r>
      <w:proofErr w:type="spellEnd"/>
      <w:r w:rsidRPr="00705170">
        <w:rPr>
          <w:rFonts w:ascii="Times New Roman" w:hAnsi="Times New Roman" w:cs="Times New Roman"/>
        </w:rPr>
        <w:t>)</w:t>
      </w:r>
      <w:r w:rsidR="00E51B9F">
        <w:rPr>
          <w:rFonts w:ascii="Times New Roman" w:hAnsi="Times New Roman" w:cs="Times New Roman"/>
        </w:rPr>
        <w:t xml:space="preserve"> in </w:t>
      </w:r>
      <w:proofErr w:type="spellStart"/>
      <w:r w:rsidR="00E51B9F">
        <w:rPr>
          <w:rFonts w:ascii="Times New Roman" w:hAnsi="Times New Roman" w:cs="Times New Roman"/>
        </w:rPr>
        <w:t>most</w:t>
      </w:r>
      <w:proofErr w:type="spellEnd"/>
      <w:r w:rsidR="00E51B9F">
        <w:rPr>
          <w:rFonts w:ascii="Times New Roman" w:hAnsi="Times New Roman" w:cs="Times New Roman"/>
        </w:rPr>
        <w:t xml:space="preserve"> </w:t>
      </w:r>
      <w:proofErr w:type="spellStart"/>
      <w:r w:rsidR="00E51B9F">
        <w:rPr>
          <w:rFonts w:ascii="Times New Roman" w:hAnsi="Times New Roman" w:cs="Times New Roman"/>
        </w:rPr>
        <w:t>instances</w:t>
      </w:r>
      <w:proofErr w:type="spellEnd"/>
      <w:r w:rsidR="003170E1" w:rsidRPr="00705170">
        <w:rPr>
          <w:rStyle w:val="DipnotBavurusu"/>
          <w:rFonts w:ascii="Times New Roman" w:hAnsi="Times New Roman" w:cs="Times New Roman"/>
        </w:rPr>
        <w:footnoteReference w:id="169"/>
      </w:r>
      <w:r w:rsidRPr="00705170">
        <w:rPr>
          <w:rFonts w:ascii="Times New Roman" w:hAnsi="Times New Roman" w:cs="Times New Roman"/>
        </w:rPr>
        <w:t xml:space="preserve">. </w:t>
      </w:r>
      <w:proofErr w:type="spellStart"/>
      <w:r w:rsidRPr="00705170">
        <w:rPr>
          <w:rFonts w:ascii="Times New Roman" w:hAnsi="Times New Roman" w:cs="Times New Roman"/>
        </w:rPr>
        <w:t>After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initiative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realized</w:t>
      </w:r>
      <w:proofErr w:type="spellEnd"/>
      <w:r w:rsidRPr="00705170">
        <w:rPr>
          <w:rFonts w:ascii="Times New Roman" w:hAnsi="Times New Roman" w:cs="Times New Roman"/>
        </w:rPr>
        <w:t>,</w:t>
      </w:r>
      <w:r w:rsidR="000B2DED" w:rsidRPr="00705170">
        <w:rPr>
          <w:rFonts w:ascii="Times New Roman" w:hAnsi="Times New Roman" w:cs="Times New Roman"/>
        </w:rPr>
        <w:t xml:space="preserve"> </w:t>
      </w:r>
      <w:proofErr w:type="spellStart"/>
      <w:r w:rsidR="000B2DED" w:rsidRPr="00705170">
        <w:rPr>
          <w:rFonts w:ascii="Times New Roman" w:hAnsi="Times New Roman" w:cs="Times New Roman"/>
        </w:rPr>
        <w:t>the</w:t>
      </w:r>
      <w:proofErr w:type="spellEnd"/>
      <w:r w:rsidR="000B2DED" w:rsidRPr="00705170">
        <w:rPr>
          <w:rFonts w:ascii="Times New Roman" w:hAnsi="Times New Roman" w:cs="Times New Roman"/>
        </w:rPr>
        <w:t xml:space="preserve"> </w:t>
      </w:r>
      <w:proofErr w:type="spellStart"/>
      <w:r w:rsidR="000B2DED" w:rsidRPr="00705170">
        <w:rPr>
          <w:rFonts w:ascii="Times New Roman" w:hAnsi="Times New Roman" w:cs="Times New Roman"/>
        </w:rPr>
        <w:t>management</w:t>
      </w:r>
      <w:proofErr w:type="spellEnd"/>
      <w:r w:rsidR="000B2DED" w:rsidRPr="00705170">
        <w:rPr>
          <w:rFonts w:ascii="Times New Roman" w:hAnsi="Times New Roman" w:cs="Times New Roman"/>
        </w:rPr>
        <w:t xml:space="preserve"> </w:t>
      </w:r>
      <w:proofErr w:type="spellStart"/>
      <w:r w:rsidR="000B2DED" w:rsidRPr="00705170">
        <w:rPr>
          <w:rFonts w:ascii="Times New Roman" w:hAnsi="Times New Roman" w:cs="Times New Roman"/>
        </w:rPr>
        <w:t>remains</w:t>
      </w:r>
      <w:proofErr w:type="spellEnd"/>
      <w:r w:rsidR="000B2DED" w:rsidRPr="00705170">
        <w:rPr>
          <w:rFonts w:ascii="Times New Roman" w:hAnsi="Times New Roman" w:cs="Times New Roman"/>
        </w:rPr>
        <w:t xml:space="preserve"> in </w:t>
      </w:r>
      <w:proofErr w:type="spellStart"/>
      <w:r w:rsidR="000B2DED" w:rsidRPr="00705170">
        <w:rPr>
          <w:rFonts w:ascii="Times New Roman" w:hAnsi="Times New Roman" w:cs="Times New Roman"/>
        </w:rPr>
        <w:t>the</w:t>
      </w:r>
      <w:proofErr w:type="spellEnd"/>
      <w:r w:rsidR="000B2DED" w:rsidRPr="00705170">
        <w:rPr>
          <w:rFonts w:ascii="Times New Roman" w:hAnsi="Times New Roman" w:cs="Times New Roman"/>
        </w:rPr>
        <w:t xml:space="preserve"> post</w:t>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continues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normal </w:t>
      </w:r>
      <w:proofErr w:type="spellStart"/>
      <w:r w:rsidRPr="00705170">
        <w:rPr>
          <w:rFonts w:ascii="Times New Roman" w:hAnsi="Times New Roman" w:cs="Times New Roman"/>
        </w:rPr>
        <w:t>operations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until</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future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intervention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happens</w:t>
      </w:r>
      <w:proofErr w:type="spellEnd"/>
      <w:r w:rsidRPr="00705170">
        <w:rPr>
          <w:rStyle w:val="DipnotBavurusu"/>
          <w:rFonts w:ascii="Times New Roman" w:hAnsi="Times New Roman" w:cs="Times New Roman"/>
        </w:rPr>
        <w:footnoteReference w:id="170"/>
      </w:r>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takes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place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prone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drift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tide</w:t>
      </w:r>
      <w:r w:rsidR="000B2DED" w:rsidRPr="00705170">
        <w:rPr>
          <w:rFonts w:ascii="Times New Roman" w:hAnsi="Times New Roman" w:cs="Times New Roman"/>
        </w:rPr>
        <w:t>,</w:t>
      </w:r>
      <w:r w:rsidRPr="00705170">
        <w:rPr>
          <w:rFonts w:ascii="Times New Roman" w:hAnsi="Times New Roman" w:cs="Times New Roman"/>
        </w:rPr>
        <w:t xml:space="preserve"> </w:t>
      </w:r>
      <w:r w:rsidR="00E51B9F">
        <w:rPr>
          <w:rFonts w:ascii="Times New Roman" w:hAnsi="Times New Roman" w:cs="Times New Roman"/>
        </w:rPr>
        <w:t>as</w:t>
      </w:r>
      <w:r w:rsidR="00E51B9F" w:rsidRPr="00705170">
        <w:rPr>
          <w:rFonts w:ascii="Times New Roman" w:hAnsi="Times New Roman" w:cs="Times New Roman"/>
        </w:rPr>
        <w:t xml:space="preserve"> </w:t>
      </w:r>
      <w:r w:rsidRPr="00705170">
        <w:rPr>
          <w:rFonts w:ascii="Times New Roman" w:hAnsi="Times New Roman" w:cs="Times New Roman"/>
        </w:rPr>
        <w:t xml:space="preserve">it is </w:t>
      </w:r>
      <w:proofErr w:type="spellStart"/>
      <w:r w:rsidRPr="00705170">
        <w:rPr>
          <w:rFonts w:ascii="Times New Roman" w:hAnsi="Times New Roman" w:cs="Times New Roman"/>
        </w:rPr>
        <w:t>aware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w:t>
      </w:r>
      <w:r w:rsidR="000B2DED" w:rsidRPr="00705170">
        <w:rPr>
          <w:rFonts w:ascii="Times New Roman" w:hAnsi="Times New Roman" w:cs="Times New Roman"/>
        </w:rPr>
        <w:t>nformal</w:t>
      </w:r>
      <w:proofErr w:type="spellEnd"/>
      <w:r w:rsidR="000B2DED" w:rsidRPr="00705170">
        <w:rPr>
          <w:rFonts w:ascii="Times New Roman" w:hAnsi="Times New Roman" w:cs="Times New Roman"/>
        </w:rPr>
        <w:t xml:space="preserve"> </w:t>
      </w:r>
      <w:proofErr w:type="spellStart"/>
      <w:r w:rsidR="000B2DED" w:rsidRPr="00705170">
        <w:rPr>
          <w:rFonts w:ascii="Times New Roman" w:hAnsi="Times New Roman" w:cs="Times New Roman"/>
        </w:rPr>
        <w:t>initiatives</w:t>
      </w:r>
      <w:proofErr w:type="spellEnd"/>
      <w:r w:rsidR="000B2DED" w:rsidRPr="00705170">
        <w:rPr>
          <w:rFonts w:ascii="Times New Roman" w:hAnsi="Times New Roman" w:cs="Times New Roman"/>
        </w:rPr>
        <w:t xml:space="preserve"> </w:t>
      </w:r>
      <w:proofErr w:type="spellStart"/>
      <w:r w:rsidR="000B2DED" w:rsidRPr="00705170">
        <w:rPr>
          <w:rFonts w:ascii="Times New Roman" w:hAnsi="Times New Roman" w:cs="Times New Roman"/>
        </w:rPr>
        <w:t>carry</w:t>
      </w:r>
      <w:proofErr w:type="spellEnd"/>
      <w:r w:rsidR="000B2DED" w:rsidRPr="00705170">
        <w:rPr>
          <w:rFonts w:ascii="Times New Roman" w:hAnsi="Times New Roman" w:cs="Times New Roman"/>
        </w:rPr>
        <w:t xml:space="preserve"> </w:t>
      </w:r>
      <w:proofErr w:type="spellStart"/>
      <w:r w:rsidR="000B2DED" w:rsidRPr="00705170">
        <w:rPr>
          <w:rFonts w:ascii="Times New Roman" w:hAnsi="Times New Roman" w:cs="Times New Roman"/>
        </w:rPr>
        <w:t>the</w:t>
      </w:r>
      <w:proofErr w:type="spellEnd"/>
      <w:r w:rsidR="000B2DED" w:rsidRPr="00705170">
        <w:rPr>
          <w:rFonts w:ascii="Times New Roman" w:hAnsi="Times New Roman" w:cs="Times New Roman"/>
        </w:rPr>
        <w:t xml:space="preserve"> </w:t>
      </w:r>
      <w:proofErr w:type="spellStart"/>
      <w:r w:rsidR="000B2DED" w:rsidRPr="00705170">
        <w:rPr>
          <w:rFonts w:ascii="Times New Roman" w:hAnsi="Times New Roman" w:cs="Times New Roman"/>
        </w:rPr>
        <w:t>vie</w:t>
      </w:r>
      <w:r w:rsidRPr="00705170">
        <w:rPr>
          <w:rFonts w:ascii="Times New Roman" w:hAnsi="Times New Roman" w:cs="Times New Roman"/>
        </w:rPr>
        <w:t>led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threat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formal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challenge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aimed</w:t>
      </w:r>
      <w:proofErr w:type="spellEnd"/>
      <w:r w:rsidRPr="00705170">
        <w:rPr>
          <w:rFonts w:ascii="Times New Roman" w:hAnsi="Times New Roman" w:cs="Times New Roman"/>
        </w:rPr>
        <w:t xml:space="preserve"> at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Style w:val="DipnotBavurusu"/>
          <w:rFonts w:ascii="Times New Roman" w:hAnsi="Times New Roman" w:cs="Times New Roman"/>
        </w:rPr>
        <w:footnoteReference w:id="171"/>
      </w:r>
      <w:r w:rsidRPr="00705170">
        <w:rPr>
          <w:rFonts w:ascii="Times New Roman" w:hAnsi="Times New Roman" w:cs="Times New Roman"/>
        </w:rPr>
        <w:t>.</w:t>
      </w:r>
      <w:r w:rsidR="00C6715D" w:rsidRPr="00705170">
        <w:rPr>
          <w:rFonts w:ascii="Times New Roman" w:hAnsi="Times New Roman" w:cs="Times New Roman"/>
        </w:rPr>
        <w:t xml:space="preserve"> </w:t>
      </w:r>
      <w:proofErr w:type="spellStart"/>
      <w:r w:rsidR="00475464" w:rsidRPr="00705170">
        <w:rPr>
          <w:rFonts w:ascii="Times New Roman" w:hAnsi="Times New Roman" w:cs="Times New Roman"/>
        </w:rPr>
        <w:t>In</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addition</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to</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this</w:t>
      </w:r>
      <w:proofErr w:type="spellEnd"/>
      <w:r w:rsidR="00475464" w:rsidRPr="00705170">
        <w:rPr>
          <w:rFonts w:ascii="Times New Roman" w:hAnsi="Times New Roman" w:cs="Times New Roman"/>
        </w:rPr>
        <w:t xml:space="preserve">, “a </w:t>
      </w:r>
      <w:proofErr w:type="spellStart"/>
      <w:r w:rsidR="00475464" w:rsidRPr="00705170">
        <w:rPr>
          <w:rFonts w:ascii="Times New Roman" w:hAnsi="Times New Roman" w:cs="Times New Roman"/>
        </w:rPr>
        <w:t>range</w:t>
      </w:r>
      <w:proofErr w:type="spellEnd"/>
      <w:r w:rsidR="00475464" w:rsidRPr="00705170">
        <w:rPr>
          <w:rFonts w:ascii="Times New Roman" w:hAnsi="Times New Roman" w:cs="Times New Roman"/>
        </w:rPr>
        <w:t xml:space="preserve"> of </w:t>
      </w:r>
      <w:proofErr w:type="spellStart"/>
      <w:r w:rsidR="00475464" w:rsidRPr="00705170">
        <w:rPr>
          <w:rFonts w:ascii="Times New Roman" w:hAnsi="Times New Roman" w:cs="Times New Roman"/>
        </w:rPr>
        <w:t>human</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motivations</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including</w:t>
      </w:r>
      <w:proofErr w:type="spellEnd"/>
      <w:r w:rsidR="00475464" w:rsidRPr="00705170">
        <w:rPr>
          <w:rFonts w:ascii="Times New Roman" w:hAnsi="Times New Roman" w:cs="Times New Roman"/>
        </w:rPr>
        <w:t xml:space="preserve"> but </w:t>
      </w:r>
      <w:proofErr w:type="spellStart"/>
      <w:r w:rsidR="00475464" w:rsidRPr="00705170">
        <w:rPr>
          <w:rFonts w:ascii="Times New Roman" w:hAnsi="Times New Roman" w:cs="Times New Roman"/>
        </w:rPr>
        <w:t>by</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no</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means</w:t>
      </w:r>
      <w:proofErr w:type="spellEnd"/>
      <w:r w:rsidR="00475464" w:rsidRPr="00705170">
        <w:rPr>
          <w:rFonts w:ascii="Times New Roman" w:hAnsi="Times New Roman" w:cs="Times New Roman"/>
        </w:rPr>
        <w:t xml:space="preserve"> limited </w:t>
      </w:r>
      <w:proofErr w:type="spellStart"/>
      <w:r w:rsidR="00475464" w:rsidRPr="00705170">
        <w:rPr>
          <w:rFonts w:ascii="Times New Roman" w:hAnsi="Times New Roman" w:cs="Times New Roman"/>
        </w:rPr>
        <w:t>to</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greed</w:t>
      </w:r>
      <w:proofErr w:type="spellEnd"/>
      <w:r w:rsidR="00475464" w:rsidRPr="00705170">
        <w:rPr>
          <w:rFonts w:ascii="Times New Roman" w:hAnsi="Times New Roman" w:cs="Times New Roman"/>
        </w:rPr>
        <w:t xml:space="preserve">, can </w:t>
      </w:r>
      <w:proofErr w:type="spellStart"/>
      <w:r w:rsidR="00475464" w:rsidRPr="00705170">
        <w:rPr>
          <w:rFonts w:ascii="Times New Roman" w:hAnsi="Times New Roman" w:cs="Times New Roman"/>
        </w:rPr>
        <w:t>inspire</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fiduciaries</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and</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their</w:t>
      </w:r>
      <w:proofErr w:type="spellEnd"/>
      <w:r w:rsidR="00374844" w:rsidRPr="00705170">
        <w:rPr>
          <w:rFonts w:ascii="Times New Roman" w:hAnsi="Times New Roman" w:cs="Times New Roman"/>
        </w:rPr>
        <w:t xml:space="preserve"> </w:t>
      </w:r>
      <w:proofErr w:type="spellStart"/>
      <w:r w:rsidR="00475464" w:rsidRPr="00705170">
        <w:rPr>
          <w:rFonts w:ascii="Times New Roman" w:hAnsi="Times New Roman" w:cs="Times New Roman"/>
        </w:rPr>
        <w:t>advisors</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to</w:t>
      </w:r>
      <w:proofErr w:type="spellEnd"/>
      <w:r w:rsidR="00475464" w:rsidRPr="00705170">
        <w:rPr>
          <w:rFonts w:ascii="Times New Roman" w:hAnsi="Times New Roman" w:cs="Times New Roman"/>
        </w:rPr>
        <w:t xml:space="preserve"> be </w:t>
      </w:r>
      <w:proofErr w:type="spellStart"/>
      <w:r w:rsidR="00475464" w:rsidRPr="00705170">
        <w:rPr>
          <w:rFonts w:ascii="Times New Roman" w:hAnsi="Times New Roman" w:cs="Times New Roman"/>
        </w:rPr>
        <w:t>less</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than</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faithful</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to</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their</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contextual</w:t>
      </w:r>
      <w:proofErr w:type="spellEnd"/>
      <w:r w:rsidR="00475464" w:rsidRPr="00705170">
        <w:rPr>
          <w:rFonts w:ascii="Times New Roman" w:hAnsi="Times New Roman" w:cs="Times New Roman"/>
        </w:rPr>
        <w:t xml:space="preserve"> </w:t>
      </w:r>
      <w:proofErr w:type="spellStart"/>
      <w:r w:rsidR="00475464" w:rsidRPr="00705170">
        <w:rPr>
          <w:rFonts w:ascii="Times New Roman" w:hAnsi="Times New Roman" w:cs="Times New Roman"/>
        </w:rPr>
        <w:t>duty</w:t>
      </w:r>
      <w:proofErr w:type="spellEnd"/>
      <w:r w:rsidR="00475464" w:rsidRPr="00705170">
        <w:rPr>
          <w:rFonts w:ascii="Times New Roman" w:hAnsi="Times New Roman" w:cs="Times New Roman"/>
        </w:rPr>
        <w:t>”</w:t>
      </w:r>
      <w:r w:rsidR="00F31A17" w:rsidRPr="00705170">
        <w:rPr>
          <w:rStyle w:val="DipnotBavurusu"/>
          <w:rFonts w:ascii="Times New Roman" w:hAnsi="Times New Roman" w:cs="Times New Roman"/>
        </w:rPr>
        <w:footnoteReference w:id="172"/>
      </w:r>
      <w:r w:rsidR="00475464" w:rsidRPr="00705170">
        <w:rPr>
          <w:rFonts w:ascii="Times New Roman" w:hAnsi="Times New Roman" w:cs="Times New Roman"/>
        </w:rPr>
        <w:t>.</w:t>
      </w:r>
      <w:r w:rsidR="002B38B6">
        <w:rPr>
          <w:rFonts w:ascii="Times New Roman" w:hAnsi="Times New Roman" w:cs="Times New Roman"/>
        </w:rPr>
        <w:t xml:space="preserve"> </w:t>
      </w:r>
      <w:proofErr w:type="spellStart"/>
      <w:r w:rsidR="00C47242">
        <w:rPr>
          <w:rFonts w:ascii="Times New Roman" w:hAnsi="Times New Roman" w:cs="Times New Roman"/>
        </w:rPr>
        <w:t>Accordingly</w:t>
      </w:r>
      <w:proofErr w:type="spellEnd"/>
      <w:r w:rsidR="002B38B6">
        <w:rPr>
          <w:rFonts w:ascii="Times New Roman" w:hAnsi="Times New Roman" w:cs="Times New Roman"/>
        </w:rPr>
        <w:t xml:space="preserve">, </w:t>
      </w:r>
      <w:proofErr w:type="spellStart"/>
      <w:r w:rsidR="00F37175">
        <w:rPr>
          <w:rFonts w:ascii="Times New Roman" w:hAnsi="Times New Roman" w:cs="Times New Roman"/>
        </w:rPr>
        <w:t>by</w:t>
      </w:r>
      <w:proofErr w:type="spellEnd"/>
      <w:r w:rsidR="00F37175">
        <w:rPr>
          <w:rFonts w:ascii="Times New Roman" w:hAnsi="Times New Roman" w:cs="Times New Roman"/>
        </w:rPr>
        <w:t xml:space="preserve"> </w:t>
      </w:r>
      <w:proofErr w:type="spellStart"/>
      <w:r w:rsidR="00F37175">
        <w:rPr>
          <w:rFonts w:ascii="Times New Roman" w:hAnsi="Times New Roman" w:cs="Times New Roman"/>
        </w:rPr>
        <w:t>definition</w:t>
      </w:r>
      <w:proofErr w:type="spellEnd"/>
      <w:r w:rsidR="00F37175">
        <w:rPr>
          <w:rFonts w:ascii="Times New Roman" w:hAnsi="Times New Roman" w:cs="Times New Roman"/>
        </w:rPr>
        <w:t xml:space="preserve">, </w:t>
      </w:r>
      <w:r w:rsidR="002B38B6">
        <w:rPr>
          <w:rFonts w:ascii="Times New Roman" w:hAnsi="Times New Roman" w:cs="Times New Roman"/>
        </w:rPr>
        <w:t xml:space="preserve">an </w:t>
      </w:r>
      <w:proofErr w:type="spellStart"/>
      <w:r w:rsidR="002B38B6">
        <w:rPr>
          <w:rFonts w:ascii="Times New Roman" w:hAnsi="Times New Roman" w:cs="Times New Roman"/>
        </w:rPr>
        <w:t>influencing</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shareholder</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does</w:t>
      </w:r>
      <w:proofErr w:type="spellEnd"/>
      <w:r w:rsidR="002B38B6">
        <w:rPr>
          <w:rFonts w:ascii="Times New Roman" w:hAnsi="Times New Roman" w:cs="Times New Roman"/>
        </w:rPr>
        <w:t xml:space="preserve"> not </w:t>
      </w:r>
      <w:proofErr w:type="spellStart"/>
      <w:r w:rsidR="002B38B6">
        <w:rPr>
          <w:rFonts w:ascii="Times New Roman" w:hAnsi="Times New Roman" w:cs="Times New Roman"/>
        </w:rPr>
        <w:t>need</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to</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have</w:t>
      </w:r>
      <w:proofErr w:type="spellEnd"/>
      <w:r w:rsidR="002B38B6">
        <w:rPr>
          <w:rFonts w:ascii="Times New Roman" w:hAnsi="Times New Roman" w:cs="Times New Roman"/>
        </w:rPr>
        <w:t xml:space="preserve"> a </w:t>
      </w:r>
      <w:proofErr w:type="spellStart"/>
      <w:r w:rsidR="002B38B6">
        <w:rPr>
          <w:rFonts w:ascii="Times New Roman" w:hAnsi="Times New Roman" w:cs="Times New Roman"/>
        </w:rPr>
        <w:t>corporate</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lastRenderedPageBreak/>
        <w:t>controlling</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power</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or</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any</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other</w:t>
      </w:r>
      <w:proofErr w:type="spellEnd"/>
      <w:r w:rsidR="002B38B6">
        <w:rPr>
          <w:rFonts w:ascii="Times New Roman" w:hAnsi="Times New Roman" w:cs="Times New Roman"/>
        </w:rPr>
        <w:t xml:space="preserve"> legal </w:t>
      </w:r>
      <w:proofErr w:type="spellStart"/>
      <w:r w:rsidR="002B38B6">
        <w:rPr>
          <w:rFonts w:ascii="Times New Roman" w:hAnsi="Times New Roman" w:cs="Times New Roman"/>
        </w:rPr>
        <w:t>arrangement</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that</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forces</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the</w:t>
      </w:r>
      <w:proofErr w:type="spellEnd"/>
      <w:r w:rsidR="002B38B6">
        <w:rPr>
          <w:rFonts w:ascii="Times New Roman" w:hAnsi="Times New Roman" w:cs="Times New Roman"/>
        </w:rPr>
        <w:t xml:space="preserve"> board </w:t>
      </w:r>
      <w:proofErr w:type="spellStart"/>
      <w:r w:rsidR="00C47242">
        <w:rPr>
          <w:rFonts w:ascii="Times New Roman" w:hAnsi="Times New Roman" w:cs="Times New Roman"/>
        </w:rPr>
        <w:t>or</w:t>
      </w:r>
      <w:proofErr w:type="spellEnd"/>
      <w:r w:rsidR="00C47242">
        <w:rPr>
          <w:rFonts w:ascii="Times New Roman" w:hAnsi="Times New Roman" w:cs="Times New Roman"/>
        </w:rPr>
        <w:t xml:space="preserve"> </w:t>
      </w:r>
      <w:proofErr w:type="spellStart"/>
      <w:r w:rsidR="00C47242">
        <w:rPr>
          <w:rFonts w:ascii="Times New Roman" w:hAnsi="Times New Roman" w:cs="Times New Roman"/>
        </w:rPr>
        <w:t>other</w:t>
      </w:r>
      <w:proofErr w:type="spellEnd"/>
      <w:r w:rsidR="00C47242">
        <w:rPr>
          <w:rFonts w:ascii="Times New Roman" w:hAnsi="Times New Roman" w:cs="Times New Roman"/>
        </w:rPr>
        <w:t xml:space="preserve"> </w:t>
      </w:r>
      <w:proofErr w:type="spellStart"/>
      <w:r w:rsidR="00C47242">
        <w:rPr>
          <w:rFonts w:ascii="Times New Roman" w:hAnsi="Times New Roman" w:cs="Times New Roman"/>
        </w:rPr>
        <w:t>shareholders</w:t>
      </w:r>
      <w:proofErr w:type="spellEnd"/>
      <w:r w:rsidR="00C47242">
        <w:rPr>
          <w:rFonts w:ascii="Times New Roman" w:hAnsi="Times New Roman" w:cs="Times New Roman"/>
        </w:rPr>
        <w:t xml:space="preserve"> </w:t>
      </w:r>
      <w:proofErr w:type="spellStart"/>
      <w:r w:rsidR="002B38B6">
        <w:rPr>
          <w:rFonts w:ascii="Times New Roman" w:hAnsi="Times New Roman" w:cs="Times New Roman"/>
        </w:rPr>
        <w:t>to</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surrender</w:t>
      </w:r>
      <w:proofErr w:type="spellEnd"/>
      <w:r w:rsidR="002B38B6">
        <w:rPr>
          <w:rFonts w:ascii="Times New Roman" w:hAnsi="Times New Roman" w:cs="Times New Roman"/>
        </w:rPr>
        <w:t xml:space="preserve"> his </w:t>
      </w:r>
      <w:proofErr w:type="spellStart"/>
      <w:r w:rsidR="002B38B6">
        <w:rPr>
          <w:rFonts w:ascii="Times New Roman" w:hAnsi="Times New Roman" w:cs="Times New Roman"/>
        </w:rPr>
        <w:t>influence</w:t>
      </w:r>
      <w:proofErr w:type="spellEnd"/>
      <w:r w:rsidR="002B38B6">
        <w:rPr>
          <w:rFonts w:ascii="Times New Roman" w:hAnsi="Times New Roman" w:cs="Times New Roman"/>
        </w:rPr>
        <w:t xml:space="preserve"> </w:t>
      </w:r>
      <w:proofErr w:type="spellStart"/>
      <w:r w:rsidR="002B38B6">
        <w:rPr>
          <w:rFonts w:ascii="Times New Roman" w:hAnsi="Times New Roman" w:cs="Times New Roman"/>
        </w:rPr>
        <w:t>attempts</w:t>
      </w:r>
      <w:proofErr w:type="spellEnd"/>
      <w:r w:rsidR="002B38B6">
        <w:rPr>
          <w:rFonts w:ascii="Times New Roman" w:hAnsi="Times New Roman" w:cs="Times New Roman"/>
        </w:rPr>
        <w:t xml:space="preserve">.    </w:t>
      </w:r>
    </w:p>
    <w:p w14:paraId="2FBC904E" w14:textId="7A62CA6C" w:rsidR="00070B8D" w:rsidRPr="00705170" w:rsidRDefault="00070B8D" w:rsidP="00070B8D">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respect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approaches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structure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perspective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democratic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political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strict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assessment</w:t>
      </w:r>
      <w:proofErr w:type="spellEnd"/>
      <w:r w:rsidRPr="00705170">
        <w:rPr>
          <w:rFonts w:ascii="Times New Roman" w:hAnsi="Times New Roman" w:cs="Times New Roman"/>
        </w:rPr>
        <w:t xml:space="preserve"> of legal </w:t>
      </w:r>
      <w:proofErr w:type="spellStart"/>
      <w:r w:rsidRPr="00705170">
        <w:rPr>
          <w:rFonts w:ascii="Times New Roman" w:hAnsi="Times New Roman" w:cs="Times New Roman"/>
        </w:rPr>
        <w:t>rights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173"/>
      </w:r>
      <w:r w:rsidRPr="00705170">
        <w:rPr>
          <w:rFonts w:ascii="Times New Roman" w:hAnsi="Times New Roman" w:cs="Times New Roman"/>
        </w:rPr>
        <w:t xml:space="preserve">,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appear</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institutions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suitable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subject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behind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scenes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influence</w:t>
      </w:r>
      <w:proofErr w:type="spellEnd"/>
      <w:r w:rsidR="00B207D6" w:rsidRPr="00705170">
        <w:rPr>
          <w:rStyle w:val="DipnotBavurusu"/>
          <w:rFonts w:ascii="Times New Roman" w:hAnsi="Times New Roman" w:cs="Times New Roman"/>
        </w:rPr>
        <w:footnoteReference w:id="174"/>
      </w:r>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central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premise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500B2E" w:rsidRPr="00705170">
        <w:rPr>
          <w:rFonts w:ascii="Times New Roman" w:hAnsi="Times New Roman" w:cs="Times New Roman"/>
        </w:rPr>
        <w:t>corporate</w:t>
      </w:r>
      <w:proofErr w:type="spellEnd"/>
      <w:r w:rsidR="00500B2E"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decisions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unless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vote</w:t>
      </w:r>
      <w:proofErr w:type="spellEnd"/>
      <w:r w:rsidRPr="00705170">
        <w:rPr>
          <w:rStyle w:val="DipnotBavurusu"/>
          <w:rFonts w:ascii="Times New Roman" w:hAnsi="Times New Roman" w:cs="Times New Roman"/>
        </w:rPr>
        <w:footnoteReference w:id="175"/>
      </w:r>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like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voter</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democratic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exerts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influence</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politicians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communicating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collective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concerns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about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specific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policy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choices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at </w:t>
      </w:r>
      <w:proofErr w:type="spellStart"/>
      <w:r w:rsidRPr="00705170">
        <w:rPr>
          <w:rFonts w:ascii="Times New Roman" w:hAnsi="Times New Roman" w:cs="Times New Roman"/>
        </w:rPr>
        <w:t>election</w:t>
      </w:r>
      <w:proofErr w:type="spellEnd"/>
      <w:r w:rsidRPr="00705170">
        <w:rPr>
          <w:rFonts w:ascii="Times New Roman" w:hAnsi="Times New Roman" w:cs="Times New Roman"/>
        </w:rPr>
        <w:t xml:space="preserve"> time but </w:t>
      </w:r>
      <w:proofErr w:type="spellStart"/>
      <w:r w:rsidRPr="00705170">
        <w:rPr>
          <w:rFonts w:ascii="Times New Roman" w:hAnsi="Times New Roman" w:cs="Times New Roman"/>
        </w:rPr>
        <w:t>during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every</w:t>
      </w:r>
      <w:proofErr w:type="spellEnd"/>
      <w:r w:rsidRPr="00705170">
        <w:rPr>
          <w:rFonts w:ascii="Times New Roman" w:hAnsi="Times New Roman" w:cs="Times New Roman"/>
        </w:rPr>
        <w:t xml:space="preserve"> moment </w:t>
      </w:r>
      <w:proofErr w:type="spellStart"/>
      <w:r w:rsidRPr="00705170">
        <w:rPr>
          <w:rFonts w:ascii="Times New Roman" w:hAnsi="Times New Roman" w:cs="Times New Roman"/>
        </w:rPr>
        <w:t>between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elections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despite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having</w:t>
      </w:r>
      <w:proofErr w:type="spellEnd"/>
      <w:r w:rsidRPr="00705170">
        <w:rPr>
          <w:rFonts w:ascii="Times New Roman" w:hAnsi="Times New Roman" w:cs="Times New Roman"/>
        </w:rPr>
        <w:t xml:space="preserve"> limited legal </w:t>
      </w:r>
      <w:proofErr w:type="spellStart"/>
      <w:r w:rsidRPr="00705170">
        <w:rPr>
          <w:rFonts w:ascii="Times New Roman" w:hAnsi="Times New Roman" w:cs="Times New Roman"/>
        </w:rPr>
        <w:t>rights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voting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election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election</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exert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influence</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separate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w:t>
      </w:r>
      <w:r w:rsidR="003104E9" w:rsidRPr="00705170">
        <w:rPr>
          <w:rFonts w:ascii="Times New Roman" w:hAnsi="Times New Roman" w:cs="Times New Roman"/>
        </w:rPr>
        <w:t>e</w:t>
      </w:r>
      <w:proofErr w:type="spellEnd"/>
      <w:r w:rsidR="003104E9" w:rsidRPr="00705170">
        <w:rPr>
          <w:rFonts w:ascii="Times New Roman" w:hAnsi="Times New Roman" w:cs="Times New Roman"/>
        </w:rPr>
        <w:t xml:space="preserve"> </w:t>
      </w:r>
      <w:proofErr w:type="spellStart"/>
      <w:r w:rsidR="003104E9" w:rsidRPr="00705170">
        <w:rPr>
          <w:rFonts w:ascii="Times New Roman" w:hAnsi="Times New Roman" w:cs="Times New Roman"/>
        </w:rPr>
        <w:t>one</w:t>
      </w:r>
      <w:proofErr w:type="spellEnd"/>
      <w:r w:rsidR="003104E9" w:rsidRPr="00705170">
        <w:rPr>
          <w:rFonts w:ascii="Times New Roman" w:hAnsi="Times New Roman" w:cs="Times New Roman"/>
        </w:rPr>
        <w:t xml:space="preserve"> </w:t>
      </w:r>
      <w:proofErr w:type="spellStart"/>
      <w:r w:rsidR="003104E9" w:rsidRPr="00705170">
        <w:rPr>
          <w:rFonts w:ascii="Times New Roman" w:hAnsi="Times New Roman" w:cs="Times New Roman"/>
        </w:rPr>
        <w:t>that</w:t>
      </w:r>
      <w:proofErr w:type="spellEnd"/>
      <w:r w:rsidR="003104E9" w:rsidRPr="00705170">
        <w:rPr>
          <w:rFonts w:ascii="Times New Roman" w:hAnsi="Times New Roman" w:cs="Times New Roman"/>
        </w:rPr>
        <w:t xml:space="preserve"> he </w:t>
      </w:r>
      <w:proofErr w:type="spellStart"/>
      <w:r w:rsidR="003104E9" w:rsidRPr="00705170">
        <w:rPr>
          <w:rFonts w:ascii="Times New Roman" w:hAnsi="Times New Roman" w:cs="Times New Roman"/>
        </w:rPr>
        <w:t>will</w:t>
      </w:r>
      <w:proofErr w:type="spellEnd"/>
      <w:r w:rsidR="003104E9" w:rsidRPr="00705170">
        <w:rPr>
          <w:rFonts w:ascii="Times New Roman" w:hAnsi="Times New Roman" w:cs="Times New Roman"/>
        </w:rPr>
        <w:t xml:space="preserve"> </w:t>
      </w:r>
      <w:proofErr w:type="spellStart"/>
      <w:r w:rsidR="003104E9" w:rsidRPr="00705170">
        <w:rPr>
          <w:rFonts w:ascii="Times New Roman" w:hAnsi="Times New Roman" w:cs="Times New Roman"/>
        </w:rPr>
        <w:t>via</w:t>
      </w:r>
      <w:proofErr w:type="spellEnd"/>
      <w:r w:rsidR="003104E9" w:rsidRPr="00705170">
        <w:rPr>
          <w:rFonts w:ascii="Times New Roman" w:hAnsi="Times New Roman" w:cs="Times New Roman"/>
        </w:rPr>
        <w:t xml:space="preserve"> his </w:t>
      </w:r>
      <w:proofErr w:type="spellStart"/>
      <w:r w:rsidR="003104E9"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voting</w:t>
      </w:r>
      <w:proofErr w:type="spellEnd"/>
      <w:r w:rsidR="003129BD" w:rsidRPr="00705170">
        <w:rPr>
          <w:rFonts w:ascii="Times New Roman" w:hAnsi="Times New Roman" w:cs="Times New Roman"/>
        </w:rPr>
        <w:t xml:space="preserve"> </w:t>
      </w:r>
      <w:proofErr w:type="spellStart"/>
      <w:r w:rsidR="003129BD" w:rsidRPr="00705170">
        <w:rPr>
          <w:rFonts w:ascii="Times New Roman" w:hAnsi="Times New Roman" w:cs="Times New Roman"/>
        </w:rPr>
        <w:t>and</w:t>
      </w:r>
      <w:proofErr w:type="spellEnd"/>
      <w:r w:rsidR="003129BD" w:rsidRPr="00705170">
        <w:rPr>
          <w:rFonts w:ascii="Times New Roman" w:hAnsi="Times New Roman" w:cs="Times New Roman"/>
        </w:rPr>
        <w:t xml:space="preserve"> </w:t>
      </w:r>
      <w:proofErr w:type="spellStart"/>
      <w:r w:rsidR="003129BD" w:rsidRPr="00705170">
        <w:rPr>
          <w:rFonts w:ascii="Times New Roman" w:hAnsi="Times New Roman" w:cs="Times New Roman"/>
        </w:rPr>
        <w:t>suing</w:t>
      </w:r>
      <w:proofErr w:type="spellEnd"/>
      <w:r w:rsidR="009E2323" w:rsidRPr="00705170">
        <w:rPr>
          <w:rFonts w:ascii="Times New Roman" w:hAnsi="Times New Roman" w:cs="Times New Roman"/>
        </w:rPr>
        <w:t>)</w:t>
      </w:r>
      <w:r w:rsidR="002B38B6">
        <w:rPr>
          <w:rStyle w:val="DipnotBavurusu"/>
          <w:rFonts w:ascii="Times New Roman" w:hAnsi="Times New Roman" w:cs="Times New Roman"/>
        </w:rPr>
        <w:footnoteReference w:id="176"/>
      </w:r>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A</w:t>
      </w:r>
      <w:r w:rsidR="007338FA" w:rsidRPr="00705170">
        <w:rPr>
          <w:rFonts w:ascii="Times New Roman" w:hAnsi="Times New Roman" w:cs="Times New Roman"/>
        </w:rPr>
        <w:t>lso</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both</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the</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threat</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to</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sell</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share</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holdings</w:t>
      </w:r>
      <w:proofErr w:type="spellEnd"/>
      <w:r w:rsidR="007338FA" w:rsidRPr="00705170">
        <w:rPr>
          <w:rFonts w:ascii="Times New Roman" w:hAnsi="Times New Roman" w:cs="Times New Roman"/>
        </w:rPr>
        <w:t xml:space="preserve"> </w:t>
      </w:r>
      <w:proofErr w:type="spellStart"/>
      <w:r w:rsidR="00C833FF" w:rsidRPr="00705170">
        <w:rPr>
          <w:rFonts w:ascii="Times New Roman" w:hAnsi="Times New Roman" w:cs="Times New Roman"/>
        </w:rPr>
        <w:t>or</w:t>
      </w:r>
      <w:proofErr w:type="spellEnd"/>
      <w:r w:rsidR="00C833FF" w:rsidRPr="00705170">
        <w:rPr>
          <w:rFonts w:ascii="Times New Roman" w:hAnsi="Times New Roman" w:cs="Times New Roman"/>
        </w:rPr>
        <w:t xml:space="preserve"> not </w:t>
      </w:r>
      <w:proofErr w:type="spellStart"/>
      <w:r w:rsidR="00C833FF" w:rsidRPr="00705170">
        <w:rPr>
          <w:rFonts w:ascii="Times New Roman" w:hAnsi="Times New Roman" w:cs="Times New Roman"/>
        </w:rPr>
        <w:t>to</w:t>
      </w:r>
      <w:proofErr w:type="spellEnd"/>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participate</w:t>
      </w:r>
      <w:proofErr w:type="spellEnd"/>
      <w:r w:rsidR="00C833FF" w:rsidRPr="00705170">
        <w:rPr>
          <w:rFonts w:ascii="Times New Roman" w:hAnsi="Times New Roman" w:cs="Times New Roman"/>
        </w:rPr>
        <w:t xml:space="preserve"> in </w:t>
      </w:r>
      <w:proofErr w:type="spellStart"/>
      <w:r w:rsidR="00C833FF" w:rsidRPr="00705170">
        <w:rPr>
          <w:rFonts w:ascii="Times New Roman" w:hAnsi="Times New Roman" w:cs="Times New Roman"/>
        </w:rPr>
        <w:t>future</w:t>
      </w:r>
      <w:proofErr w:type="spellEnd"/>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issuance</w:t>
      </w:r>
      <w:proofErr w:type="spellEnd"/>
      <w:r w:rsidR="00C833FF" w:rsidRPr="00705170">
        <w:rPr>
          <w:rFonts w:ascii="Times New Roman" w:hAnsi="Times New Roman" w:cs="Times New Roman"/>
        </w:rPr>
        <w:t xml:space="preserve"> of </w:t>
      </w:r>
      <w:proofErr w:type="spellStart"/>
      <w:r w:rsidR="00C833FF" w:rsidRPr="00705170">
        <w:rPr>
          <w:rFonts w:ascii="Times New Roman" w:hAnsi="Times New Roman" w:cs="Times New Roman"/>
        </w:rPr>
        <w:t>shares</w:t>
      </w:r>
      <w:proofErr w:type="spellEnd"/>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these</w:t>
      </w:r>
      <w:proofErr w:type="spellEnd"/>
      <w:r w:rsidR="00C833FF" w:rsidRPr="00705170">
        <w:rPr>
          <w:rFonts w:ascii="Times New Roman" w:hAnsi="Times New Roman" w:cs="Times New Roman"/>
        </w:rPr>
        <w:t xml:space="preserve"> can </w:t>
      </w:r>
      <w:proofErr w:type="spellStart"/>
      <w:r w:rsidR="00C833FF" w:rsidRPr="00705170">
        <w:rPr>
          <w:rFonts w:ascii="Times New Roman" w:hAnsi="Times New Roman" w:cs="Times New Roman"/>
        </w:rPr>
        <w:t>lower</w:t>
      </w:r>
      <w:proofErr w:type="spellEnd"/>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the</w:t>
      </w:r>
      <w:proofErr w:type="spellEnd"/>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share</w:t>
      </w:r>
      <w:proofErr w:type="spellEnd"/>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price</w:t>
      </w:r>
      <w:proofErr w:type="spellEnd"/>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and</w:t>
      </w:r>
      <w:proofErr w:type="spellEnd"/>
      <w:r w:rsidR="00C833FF" w:rsidRPr="00705170">
        <w:rPr>
          <w:rFonts w:ascii="Times New Roman" w:hAnsi="Times New Roman" w:cs="Times New Roman"/>
        </w:rPr>
        <w:t xml:space="preserve"> a </w:t>
      </w:r>
      <w:proofErr w:type="spellStart"/>
      <w:r w:rsidR="00C833FF" w:rsidRPr="00705170">
        <w:rPr>
          <w:rFonts w:ascii="Times New Roman" w:hAnsi="Times New Roman" w:cs="Times New Roman"/>
        </w:rPr>
        <w:t>hostile</w:t>
      </w:r>
      <w:proofErr w:type="spellEnd"/>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take-over</w:t>
      </w:r>
      <w:proofErr w:type="spellEnd"/>
      <w:r w:rsidR="00C833FF" w:rsidRPr="00705170">
        <w:rPr>
          <w:rFonts w:ascii="Times New Roman" w:hAnsi="Times New Roman" w:cs="Times New Roman"/>
        </w:rPr>
        <w:t xml:space="preserve"> can be </w:t>
      </w:r>
      <w:proofErr w:type="spellStart"/>
      <w:r w:rsidR="00C833FF" w:rsidRPr="00705170">
        <w:rPr>
          <w:rFonts w:ascii="Times New Roman" w:hAnsi="Times New Roman" w:cs="Times New Roman"/>
        </w:rPr>
        <w:t>possible</w:t>
      </w:r>
      <w:proofErr w:type="spellEnd"/>
      <w:r w:rsidR="007338FA" w:rsidRPr="00705170">
        <w:rPr>
          <w:rFonts w:ascii="Times New Roman" w:hAnsi="Times New Roman" w:cs="Times New Roman"/>
        </w:rPr>
        <w:t>)</w:t>
      </w:r>
      <w:r w:rsidR="00C833FF" w:rsidRPr="00705170">
        <w:rPr>
          <w:rStyle w:val="DipnotBavurusu"/>
          <w:rFonts w:ascii="Times New Roman" w:hAnsi="Times New Roman" w:cs="Times New Roman"/>
        </w:rPr>
        <w:footnoteReference w:id="177"/>
      </w:r>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and</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lastRenderedPageBreak/>
        <w:t>the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wide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ra</w:t>
      </w:r>
      <w:r w:rsidR="007338FA" w:rsidRPr="00705170">
        <w:rPr>
          <w:rFonts w:ascii="Times New Roman" w:hAnsi="Times New Roman" w:cs="Times New Roman"/>
        </w:rPr>
        <w:t>nge</w:t>
      </w:r>
      <w:proofErr w:type="spellEnd"/>
      <w:r w:rsidR="007338FA" w:rsidRPr="00705170">
        <w:rPr>
          <w:rFonts w:ascii="Times New Roman" w:hAnsi="Times New Roman" w:cs="Times New Roman"/>
        </w:rPr>
        <w:t xml:space="preserve"> of </w:t>
      </w:r>
      <w:proofErr w:type="spellStart"/>
      <w:r w:rsidR="007338FA" w:rsidRPr="00705170">
        <w:rPr>
          <w:rFonts w:ascii="Times New Roman" w:hAnsi="Times New Roman" w:cs="Times New Roman"/>
        </w:rPr>
        <w:t>human</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emotions</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that</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the</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directors</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have</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they</w:t>
      </w:r>
      <w:proofErr w:type="spellEnd"/>
      <w:r w:rsidR="007338FA" w:rsidRPr="00705170">
        <w:rPr>
          <w:rFonts w:ascii="Times New Roman" w:hAnsi="Times New Roman" w:cs="Times New Roman"/>
        </w:rPr>
        <w:t xml:space="preserve"> can</w:t>
      </w:r>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receive</w:t>
      </w:r>
      <w:proofErr w:type="spellEnd"/>
      <w:r w:rsidR="00C833FF" w:rsidRPr="00705170">
        <w:rPr>
          <w:rFonts w:ascii="Times New Roman" w:hAnsi="Times New Roman" w:cs="Times New Roman"/>
        </w:rPr>
        <w:t xml:space="preserve"> </w:t>
      </w:r>
      <w:proofErr w:type="spellStart"/>
      <w:r w:rsidR="007338FA" w:rsidRPr="00705170">
        <w:rPr>
          <w:rFonts w:ascii="Times New Roman" w:hAnsi="Times New Roman" w:cs="Times New Roman"/>
        </w:rPr>
        <w:t>future</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posi</w:t>
      </w:r>
      <w:r w:rsidR="00C833FF" w:rsidRPr="00705170">
        <w:rPr>
          <w:rFonts w:ascii="Times New Roman" w:hAnsi="Times New Roman" w:cs="Times New Roman"/>
        </w:rPr>
        <w:t>tion</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or</w:t>
      </w:r>
      <w:proofErr w:type="spellEnd"/>
      <w:r w:rsidR="007338FA" w:rsidRPr="00705170">
        <w:rPr>
          <w:rFonts w:ascii="Times New Roman" w:hAnsi="Times New Roman" w:cs="Times New Roman"/>
        </w:rPr>
        <w:t xml:space="preserve"> </w:t>
      </w:r>
      <w:proofErr w:type="spellStart"/>
      <w:r w:rsidR="00C833FF" w:rsidRPr="00705170">
        <w:rPr>
          <w:rFonts w:ascii="Times New Roman" w:hAnsi="Times New Roman" w:cs="Times New Roman"/>
        </w:rPr>
        <w:t>lucrative</w:t>
      </w:r>
      <w:proofErr w:type="spellEnd"/>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deal</w:t>
      </w:r>
      <w:proofErr w:type="spellEnd"/>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offers</w:t>
      </w:r>
      <w:proofErr w:type="spellEnd"/>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that</w:t>
      </w:r>
      <w:proofErr w:type="spellEnd"/>
      <w:r w:rsidR="00C833FF" w:rsidRPr="00705170">
        <w:rPr>
          <w:rFonts w:ascii="Times New Roman" w:hAnsi="Times New Roman" w:cs="Times New Roman"/>
        </w:rPr>
        <w:t xml:space="preserve"> can </w:t>
      </w:r>
      <w:proofErr w:type="spellStart"/>
      <w:r w:rsidR="00C833FF" w:rsidRPr="00705170">
        <w:rPr>
          <w:rFonts w:ascii="Times New Roman" w:hAnsi="Times New Roman" w:cs="Times New Roman"/>
        </w:rPr>
        <w:t>change</w:t>
      </w:r>
      <w:proofErr w:type="spellEnd"/>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their</w:t>
      </w:r>
      <w:proofErr w:type="spellEnd"/>
      <w:r w:rsidR="00C833FF" w:rsidRPr="00705170">
        <w:rPr>
          <w:rFonts w:ascii="Times New Roman" w:hAnsi="Times New Roman" w:cs="Times New Roman"/>
        </w:rPr>
        <w:t xml:space="preserve"> </w:t>
      </w:r>
      <w:proofErr w:type="spellStart"/>
      <w:r w:rsidR="00C833FF" w:rsidRPr="00705170">
        <w:rPr>
          <w:rFonts w:ascii="Times New Roman" w:hAnsi="Times New Roman" w:cs="Times New Roman"/>
        </w:rPr>
        <w:t>mind</w:t>
      </w:r>
      <w:proofErr w:type="spellEnd"/>
      <w:r w:rsidR="007338FA" w:rsidRPr="00705170">
        <w:rPr>
          <w:rFonts w:ascii="Times New Roman" w:hAnsi="Times New Roman" w:cs="Times New Roman"/>
        </w:rPr>
        <w:t xml:space="preserve">), </w:t>
      </w:r>
      <w:proofErr w:type="spellStart"/>
      <w:r w:rsidR="007338FA" w:rsidRPr="00705170">
        <w:rPr>
          <w:rFonts w:ascii="Times New Roman" w:hAnsi="Times New Roman" w:cs="Times New Roman"/>
        </w:rPr>
        <w:t>may</w:t>
      </w:r>
      <w:proofErr w:type="spellEnd"/>
      <w:r w:rsidR="007338FA" w:rsidRPr="00705170">
        <w:rPr>
          <w:rFonts w:ascii="Times New Roman" w:hAnsi="Times New Roman" w:cs="Times New Roman"/>
        </w:rPr>
        <w:t xml:space="preserve"> </w:t>
      </w:r>
      <w:proofErr w:type="spellStart"/>
      <w:r w:rsidR="009E2323" w:rsidRPr="00705170">
        <w:rPr>
          <w:rFonts w:ascii="Times New Roman" w:hAnsi="Times New Roman" w:cs="Times New Roman"/>
        </w:rPr>
        <w:t>cause</w:t>
      </w:r>
      <w:proofErr w:type="spellEnd"/>
      <w:r w:rsidR="009E2323" w:rsidRPr="00705170">
        <w:rPr>
          <w:rFonts w:ascii="Times New Roman" w:hAnsi="Times New Roman" w:cs="Times New Roman"/>
        </w:rPr>
        <w:t xml:space="preserve"> a </w:t>
      </w:r>
      <w:proofErr w:type="spellStart"/>
      <w:r w:rsidR="009E2323" w:rsidRPr="00705170">
        <w:rPr>
          <w:rFonts w:ascii="Times New Roman" w:hAnsi="Times New Roman" w:cs="Times New Roman"/>
        </w:rPr>
        <w:t>director</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to</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place</w:t>
      </w:r>
      <w:proofErr w:type="spellEnd"/>
      <w:r w:rsidR="009E2323" w:rsidRPr="00705170">
        <w:rPr>
          <w:rFonts w:ascii="Times New Roman" w:hAnsi="Times New Roman" w:cs="Times New Roman"/>
        </w:rPr>
        <w:t xml:space="preserve"> his </w:t>
      </w:r>
      <w:proofErr w:type="spellStart"/>
      <w:r w:rsidR="009E2323" w:rsidRPr="00705170">
        <w:rPr>
          <w:rFonts w:ascii="Times New Roman" w:hAnsi="Times New Roman" w:cs="Times New Roman"/>
        </w:rPr>
        <w:t>or</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others</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interests</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before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the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welfare</w:t>
      </w:r>
      <w:proofErr w:type="spellEnd"/>
      <w:r w:rsidR="009E2323" w:rsidRPr="00705170">
        <w:rPr>
          <w:rFonts w:ascii="Times New Roman" w:hAnsi="Times New Roman" w:cs="Times New Roman"/>
        </w:rPr>
        <w:t xml:space="preserve"> of </w:t>
      </w:r>
      <w:proofErr w:type="spellStart"/>
      <w:r w:rsidR="009E2323" w:rsidRPr="00705170">
        <w:rPr>
          <w:rFonts w:ascii="Times New Roman" w:hAnsi="Times New Roman" w:cs="Times New Roman"/>
        </w:rPr>
        <w:t>the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corporation</w:t>
      </w:r>
      <w:proofErr w:type="spellEnd"/>
      <w:r w:rsidR="009E2323" w:rsidRPr="00705170">
        <w:rPr>
          <w:rStyle w:val="DipnotBavurusu"/>
          <w:rFonts w:ascii="Times New Roman" w:hAnsi="Times New Roman" w:cs="Times New Roman"/>
        </w:rPr>
        <w:footnoteReference w:id="178"/>
      </w:r>
      <w:r w:rsidR="009E2323" w:rsidRPr="00705170">
        <w:rPr>
          <w:rFonts w:ascii="Times New Roman" w:hAnsi="Times New Roman" w:cs="Times New Roman"/>
        </w:rPr>
        <w:t>.</w:t>
      </w:r>
    </w:p>
    <w:p w14:paraId="6FF8C81D" w14:textId="0CEFB988" w:rsidR="00070B8D" w:rsidRPr="00705170" w:rsidRDefault="00070B8D" w:rsidP="00070B8D">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It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acknowledged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responsive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wishes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people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elected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them</w:t>
      </w:r>
      <w:proofErr w:type="spellEnd"/>
      <w:r w:rsidRPr="00705170">
        <w:rPr>
          <w:rStyle w:val="DipnotBavurusu"/>
          <w:rFonts w:ascii="Times New Roman" w:hAnsi="Times New Roman" w:cs="Times New Roman"/>
        </w:rPr>
        <w:footnoteReference w:id="179"/>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extract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Style w:val="DipnotBavurusu"/>
          <w:rFonts w:ascii="Times New Roman" w:hAnsi="Times New Roman" w:cs="Times New Roman"/>
        </w:rPr>
        <w:footnoteReference w:id="180"/>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board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officers</w:t>
      </w:r>
      <w:proofErr w:type="spellEnd"/>
      <w:r w:rsidRPr="00705170">
        <w:rPr>
          <w:rStyle w:val="DipnotBavurusu"/>
          <w:rFonts w:ascii="Times New Roman" w:hAnsi="Times New Roman" w:cs="Times New Roman"/>
        </w:rPr>
        <w:footnoteReference w:id="181"/>
      </w:r>
      <w:r w:rsidRPr="00705170">
        <w:rPr>
          <w:rFonts w:ascii="Times New Roman" w:hAnsi="Times New Roman" w:cs="Times New Roman"/>
        </w:rPr>
        <w:t xml:space="preserve">. </w:t>
      </w:r>
      <w:proofErr w:type="spellStart"/>
      <w:r w:rsidRPr="00705170">
        <w:rPr>
          <w:rFonts w:ascii="Times New Roman" w:hAnsi="Times New Roman" w:cs="Times New Roman"/>
        </w:rPr>
        <w:t>Hence</w:t>
      </w:r>
      <w:proofErr w:type="spellEnd"/>
      <w:r w:rsidRPr="00705170">
        <w:rPr>
          <w:rFonts w:ascii="Times New Roman" w:hAnsi="Times New Roman" w:cs="Times New Roman"/>
        </w:rPr>
        <w:t xml:space="preserve">, it is not </w:t>
      </w:r>
      <w:proofErr w:type="spellStart"/>
      <w:r w:rsidRPr="00705170">
        <w:rPr>
          <w:rFonts w:ascii="Times New Roman" w:hAnsi="Times New Roman" w:cs="Times New Roman"/>
        </w:rPr>
        <w:t>unusual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traditional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governance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norms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overridden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somehow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insulating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board of </w:t>
      </w:r>
      <w:proofErr w:type="spellStart"/>
      <w:r w:rsidRPr="00705170">
        <w:rPr>
          <w:rFonts w:ascii="Times New Roman" w:hAnsi="Times New Roman" w:cs="Times New Roman"/>
        </w:rPr>
        <w:t>directors</w:t>
      </w:r>
      <w:proofErr w:type="spellEnd"/>
      <w:r w:rsidR="003104E9" w:rsidRPr="00705170">
        <w:rPr>
          <w:rFonts w:ascii="Times New Roman" w:hAnsi="Times New Roman" w:cs="Times New Roman"/>
        </w:rPr>
        <w:t xml:space="preserve"> (</w:t>
      </w:r>
      <w:proofErr w:type="spellStart"/>
      <w:r w:rsidR="003104E9" w:rsidRPr="00705170">
        <w:rPr>
          <w:rFonts w:ascii="Times New Roman" w:hAnsi="Times New Roman" w:cs="Times New Roman"/>
        </w:rPr>
        <w:t>and</w:t>
      </w:r>
      <w:proofErr w:type="spellEnd"/>
      <w:r w:rsidR="003104E9" w:rsidRPr="00705170">
        <w:rPr>
          <w:rFonts w:ascii="Times New Roman" w:hAnsi="Times New Roman" w:cs="Times New Roman"/>
        </w:rPr>
        <w:t xml:space="preserve"> </w:t>
      </w:r>
      <w:proofErr w:type="spellStart"/>
      <w:r w:rsidR="003104E9" w:rsidRPr="00705170">
        <w:rPr>
          <w:rFonts w:ascii="Times New Roman" w:hAnsi="Times New Roman" w:cs="Times New Roman"/>
        </w:rPr>
        <w:t>the</w:t>
      </w:r>
      <w:proofErr w:type="spellEnd"/>
      <w:r w:rsidR="003104E9" w:rsidRPr="00705170">
        <w:rPr>
          <w:rFonts w:ascii="Times New Roman" w:hAnsi="Times New Roman" w:cs="Times New Roman"/>
        </w:rPr>
        <w:t xml:space="preserve"> </w:t>
      </w:r>
      <w:proofErr w:type="spellStart"/>
      <w:r w:rsidR="003104E9" w:rsidRPr="00705170">
        <w:rPr>
          <w:rFonts w:ascii="Times New Roman" w:hAnsi="Times New Roman" w:cs="Times New Roman"/>
        </w:rPr>
        <w:t>management</w:t>
      </w:r>
      <w:proofErr w:type="spellEnd"/>
      <w:r w:rsidR="003104E9"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supervisory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decision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making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w:t>
      </w:r>
      <w:proofErr w:type="spellEnd"/>
      <w:r w:rsidRPr="00705170">
        <w:rPr>
          <w:rStyle w:val="DipnotBavurusu"/>
          <w:rFonts w:ascii="Times New Roman" w:hAnsi="Times New Roman" w:cs="Times New Roman"/>
        </w:rPr>
        <w:footnoteReference w:id="182"/>
      </w:r>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r w:rsidR="00D56405" w:rsidRPr="00705170">
        <w:rPr>
          <w:rFonts w:ascii="Times New Roman" w:hAnsi="Times New Roman" w:cs="Times New Roman"/>
        </w:rPr>
        <w:t xml:space="preserve">as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presence is </w:t>
      </w:r>
      <w:proofErr w:type="spellStart"/>
      <w:r w:rsidRPr="00705170">
        <w:rPr>
          <w:rFonts w:ascii="Times New Roman" w:hAnsi="Times New Roman" w:cs="Times New Roman"/>
        </w:rPr>
        <w:t>well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known</w:t>
      </w:r>
      <w:proofErr w:type="spellEnd"/>
      <w:r w:rsidRPr="00705170">
        <w:rPr>
          <w:rStyle w:val="DipnotBavurusu"/>
          <w:rFonts w:ascii="Times New Roman" w:hAnsi="Times New Roman" w:cs="Times New Roman"/>
        </w:rPr>
        <w:footnoteReference w:id="183"/>
      </w:r>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t>law</w:t>
      </w:r>
      <w:proofErr w:type="spellEnd"/>
      <w:r w:rsidR="00D56405" w:rsidRPr="00705170">
        <w:rPr>
          <w:rFonts w:ascii="Times New Roman" w:hAnsi="Times New Roman" w:cs="Times New Roman"/>
        </w:rPr>
        <w:t xml:space="preserve"> has </w:t>
      </w:r>
      <w:proofErr w:type="spellStart"/>
      <w:r w:rsidR="00D56405" w:rsidRPr="00705170">
        <w:rPr>
          <w:rFonts w:ascii="Times New Roman" w:hAnsi="Times New Roman" w:cs="Times New Roman"/>
        </w:rPr>
        <w:t>already</w:t>
      </w:r>
      <w:proofErr w:type="spellEnd"/>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t>includes</w:t>
      </w:r>
      <w:proofErr w:type="spellEnd"/>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t>mechanisms</w:t>
      </w:r>
      <w:proofErr w:type="spellEnd"/>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lastRenderedPageBreak/>
        <w:t>to</w:t>
      </w:r>
      <w:proofErr w:type="spellEnd"/>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t>deal</w:t>
      </w:r>
      <w:proofErr w:type="spellEnd"/>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t>with</w:t>
      </w:r>
      <w:proofErr w:type="spellEnd"/>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t>this</w:t>
      </w:r>
      <w:proofErr w:type="spellEnd"/>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t>issue</w:t>
      </w:r>
      <w:proofErr w:type="spellEnd"/>
      <w:r w:rsidR="00D56405" w:rsidRPr="00705170">
        <w:rPr>
          <w:rStyle w:val="DipnotBavurusu"/>
          <w:rFonts w:ascii="Times New Roman" w:hAnsi="Times New Roman" w:cs="Times New Roman"/>
        </w:rPr>
        <w:footnoteReference w:id="184"/>
      </w:r>
      <w:r w:rsidR="00D56405" w:rsidRPr="00705170">
        <w:rPr>
          <w:rFonts w:ascii="Times New Roman" w:hAnsi="Times New Roman" w:cs="Times New Roman"/>
        </w:rPr>
        <w:t>.</w:t>
      </w:r>
      <w:r w:rsidRPr="00705170">
        <w:rPr>
          <w:rFonts w:ascii="Times New Roman" w:hAnsi="Times New Roman" w:cs="Times New Roman"/>
        </w:rPr>
        <w:t xml:space="preserve"> </w:t>
      </w:r>
      <w:proofErr w:type="spellStart"/>
      <w:r w:rsidR="00D56405" w:rsidRPr="00705170">
        <w:rPr>
          <w:rFonts w:ascii="Times New Roman" w:hAnsi="Times New Roman" w:cs="Times New Roman"/>
        </w:rPr>
        <w:t>Although</w:t>
      </w:r>
      <w:proofErr w:type="spellEnd"/>
      <w:r w:rsidR="00D56405" w:rsidRPr="00705170">
        <w:rPr>
          <w:rFonts w:ascii="Times New Roman" w:hAnsi="Times New Roman" w:cs="Times New Roman"/>
        </w:rPr>
        <w:t xml:space="preserve"> it is </w:t>
      </w:r>
      <w:proofErr w:type="spellStart"/>
      <w:r w:rsidR="00D56405" w:rsidRPr="00705170">
        <w:rPr>
          <w:rFonts w:ascii="Times New Roman" w:hAnsi="Times New Roman" w:cs="Times New Roman"/>
        </w:rPr>
        <w:t>tough</w:t>
      </w:r>
      <w:proofErr w:type="spellEnd"/>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t>to</w:t>
      </w:r>
      <w:proofErr w:type="spellEnd"/>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t>observe</w:t>
      </w:r>
      <w:proofErr w:type="spellEnd"/>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t>and</w:t>
      </w:r>
      <w:proofErr w:type="spellEnd"/>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t>measure</w:t>
      </w:r>
      <w:proofErr w:type="spellEnd"/>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t>these</w:t>
      </w:r>
      <w:proofErr w:type="spellEnd"/>
      <w:r w:rsidR="00D56405" w:rsidRPr="00705170">
        <w:rPr>
          <w:rFonts w:ascii="Times New Roman" w:hAnsi="Times New Roman" w:cs="Times New Roman"/>
        </w:rPr>
        <w:t xml:space="preserve"> </w:t>
      </w:r>
      <w:proofErr w:type="spellStart"/>
      <w:r w:rsidR="00D56405" w:rsidRPr="00705170">
        <w:rPr>
          <w:rFonts w:ascii="Times New Roman" w:hAnsi="Times New Roman" w:cs="Times New Roman"/>
        </w:rPr>
        <w:t>interventions</w:t>
      </w:r>
      <w:proofErr w:type="spellEnd"/>
      <w:r w:rsidR="00D56405" w:rsidRPr="00705170">
        <w:rPr>
          <w:rStyle w:val="DipnotBavurusu"/>
          <w:rFonts w:ascii="Times New Roman" w:hAnsi="Times New Roman" w:cs="Times New Roman"/>
        </w:rPr>
        <w:footnoteReference w:id="185"/>
      </w:r>
      <w:r w:rsidR="00D56405"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empirical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studi</w:t>
      </w:r>
      <w:r w:rsidR="003104E9" w:rsidRPr="00705170">
        <w:rPr>
          <w:rFonts w:ascii="Times New Roman" w:hAnsi="Times New Roman" w:cs="Times New Roman"/>
        </w:rPr>
        <w:t>es</w:t>
      </w:r>
      <w:proofErr w:type="spellEnd"/>
      <w:r w:rsidR="003104E9" w:rsidRPr="00705170">
        <w:rPr>
          <w:rFonts w:ascii="Times New Roman" w:hAnsi="Times New Roman" w:cs="Times New Roman"/>
        </w:rPr>
        <w:t xml:space="preserve"> </w:t>
      </w:r>
      <w:proofErr w:type="spellStart"/>
      <w:r w:rsidR="003104E9" w:rsidRPr="00705170">
        <w:rPr>
          <w:rFonts w:ascii="Times New Roman" w:hAnsi="Times New Roman" w:cs="Times New Roman"/>
        </w:rPr>
        <w:t>that</w:t>
      </w:r>
      <w:proofErr w:type="spellEnd"/>
      <w:r w:rsidR="003104E9" w:rsidRPr="00705170">
        <w:rPr>
          <w:rFonts w:ascii="Times New Roman" w:hAnsi="Times New Roman" w:cs="Times New Roman"/>
        </w:rPr>
        <w:t xml:space="preserve"> </w:t>
      </w:r>
      <w:proofErr w:type="spellStart"/>
      <w:r w:rsidR="003104E9" w:rsidRPr="00705170">
        <w:rPr>
          <w:rFonts w:ascii="Times New Roman" w:hAnsi="Times New Roman" w:cs="Times New Roman"/>
        </w:rPr>
        <w:t>provide</w:t>
      </w:r>
      <w:proofErr w:type="spellEnd"/>
      <w:r w:rsidR="003104E9" w:rsidRPr="00705170">
        <w:rPr>
          <w:rFonts w:ascii="Times New Roman" w:hAnsi="Times New Roman" w:cs="Times New Roman"/>
        </w:rPr>
        <w:t xml:space="preserve"> </w:t>
      </w:r>
      <w:proofErr w:type="spellStart"/>
      <w:r w:rsidR="003104E9" w:rsidRPr="00705170">
        <w:rPr>
          <w:rFonts w:ascii="Times New Roman" w:hAnsi="Times New Roman" w:cs="Times New Roman"/>
        </w:rPr>
        <w:t>insights</w:t>
      </w:r>
      <w:proofErr w:type="spellEnd"/>
      <w:r w:rsidR="003104E9" w:rsidRPr="00705170">
        <w:rPr>
          <w:rFonts w:ascii="Times New Roman" w:hAnsi="Times New Roman" w:cs="Times New Roman"/>
        </w:rPr>
        <w:t xml:space="preserve"> </w:t>
      </w:r>
      <w:proofErr w:type="spellStart"/>
      <w:r w:rsidR="003104E9" w:rsidRPr="00705170">
        <w:rPr>
          <w:rFonts w:ascii="Times New Roman" w:hAnsi="Times New Roman" w:cs="Times New Roman"/>
        </w:rPr>
        <w:t>about</w:t>
      </w:r>
      <w:proofErr w:type="spellEnd"/>
      <w:r w:rsidR="003104E9" w:rsidRPr="00705170">
        <w:rPr>
          <w:rFonts w:ascii="Times New Roman" w:hAnsi="Times New Roman" w:cs="Times New Roman"/>
        </w:rPr>
        <w:t xml:space="preserve"> how it </w:t>
      </w:r>
      <w:proofErr w:type="spellStart"/>
      <w:r w:rsidR="003104E9" w:rsidRPr="00705170">
        <w:rPr>
          <w:rFonts w:ascii="Times New Roman" w:hAnsi="Times New Roman" w:cs="Times New Roman"/>
        </w:rPr>
        <w:t>works</w:t>
      </w:r>
      <w:proofErr w:type="spellEnd"/>
      <w:r w:rsidRPr="00705170">
        <w:rPr>
          <w:rFonts w:ascii="Times New Roman" w:hAnsi="Times New Roman" w:cs="Times New Roman"/>
        </w:rPr>
        <w:t>.</w:t>
      </w:r>
    </w:p>
    <w:p w14:paraId="36220130" w14:textId="62F572AF" w:rsidR="00070B8D" w:rsidRPr="00705170" w:rsidRDefault="00070B8D" w:rsidP="00070B8D">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Despite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presence of </w:t>
      </w:r>
      <w:proofErr w:type="spellStart"/>
      <w:r w:rsidRPr="00705170">
        <w:rPr>
          <w:rFonts w:ascii="Times New Roman" w:hAnsi="Times New Roman" w:cs="Times New Roman"/>
        </w:rPr>
        <w:t>early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researches</w:t>
      </w:r>
      <w:proofErr w:type="spellEnd"/>
      <w:r w:rsidRPr="00705170">
        <w:rPr>
          <w:rFonts w:ascii="Times New Roman" w:hAnsi="Times New Roman" w:cs="Times New Roman"/>
        </w:rPr>
        <w:t xml:space="preserve"> on how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John </w:t>
      </w:r>
      <w:proofErr w:type="spellStart"/>
      <w:r w:rsidRPr="00705170">
        <w:rPr>
          <w:rFonts w:ascii="Times New Roman" w:hAnsi="Times New Roman" w:cs="Times New Roman"/>
        </w:rPr>
        <w:t>Holland’s</w:t>
      </w:r>
      <w:proofErr w:type="spellEnd"/>
      <w:r w:rsidRPr="00705170">
        <w:rPr>
          <w:rFonts w:ascii="Times New Roman" w:hAnsi="Times New Roman" w:cs="Times New Roman"/>
        </w:rPr>
        <w:t xml:space="preserve"> 1995 </w:t>
      </w:r>
      <w:proofErr w:type="spellStart"/>
      <w:r w:rsidRPr="00705170">
        <w:rPr>
          <w:rFonts w:ascii="Times New Roman" w:hAnsi="Times New Roman" w:cs="Times New Roman"/>
        </w:rPr>
        <w:t>dated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research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represents</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important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highlights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behind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scenes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comprehensively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purposes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study</w:t>
      </w:r>
      <w:proofErr w:type="spellEnd"/>
      <w:r w:rsidRPr="00705170">
        <w:rPr>
          <w:rStyle w:val="DipnotBavurusu"/>
          <w:rFonts w:ascii="Times New Roman" w:hAnsi="Times New Roman" w:cs="Times New Roman"/>
        </w:rPr>
        <w:footnoteReference w:id="186"/>
      </w:r>
      <w:r w:rsidRPr="00705170">
        <w:rPr>
          <w:rFonts w:ascii="Times New Roman" w:hAnsi="Times New Roman" w:cs="Times New Roman"/>
        </w:rPr>
        <w:t xml:space="preserve">. </w:t>
      </w:r>
      <w:proofErr w:type="spellStart"/>
      <w:r w:rsidRPr="00705170">
        <w:rPr>
          <w:rFonts w:ascii="Times New Roman" w:hAnsi="Times New Roman" w:cs="Times New Roman"/>
        </w:rPr>
        <w:t>According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Holland’s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research</w:t>
      </w:r>
      <w:proofErr w:type="spellEnd"/>
      <w:r w:rsidRPr="00705170">
        <w:rPr>
          <w:rFonts w:ascii="Times New Roman" w:hAnsi="Times New Roman" w:cs="Times New Roman"/>
        </w:rPr>
        <w:t xml:space="preserve"> on how </w:t>
      </w:r>
      <w:proofErr w:type="spellStart"/>
      <w:r w:rsidRPr="00705170">
        <w:rPr>
          <w:rFonts w:ascii="Times New Roman" w:hAnsi="Times New Roman" w:cs="Times New Roman"/>
        </w:rPr>
        <w:t>financial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institutions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investee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companies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governance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issues</w:t>
      </w:r>
      <w:proofErr w:type="spellEnd"/>
      <w:r w:rsidRPr="00705170">
        <w:rPr>
          <w:rFonts w:ascii="Times New Roman" w:hAnsi="Times New Roman" w:cs="Times New Roman"/>
        </w:rPr>
        <w:t>, “</w:t>
      </w:r>
      <w:proofErr w:type="spellStart"/>
      <w:r w:rsidRPr="00705170">
        <w:rPr>
          <w:rFonts w:ascii="Times New Roman" w:hAnsi="Times New Roman" w:cs="Times New Roman"/>
        </w:rPr>
        <w:t>much</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process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influence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intervention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conducted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financial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instituions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outside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gaze</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187"/>
      </w:r>
      <w:r w:rsidRPr="00705170">
        <w:rPr>
          <w:rFonts w:ascii="Times New Roman" w:hAnsi="Times New Roman" w:cs="Times New Roman"/>
        </w:rPr>
        <w:t xml:space="preserve">. He </w:t>
      </w:r>
      <w:proofErr w:type="spellStart"/>
      <w:r w:rsidRPr="00705170">
        <w:rPr>
          <w:rFonts w:ascii="Times New Roman" w:hAnsi="Times New Roman" w:cs="Times New Roman"/>
        </w:rPr>
        <w:t>expressed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financial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institutions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choices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methods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intervention</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grouped</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follows</w:t>
      </w:r>
      <w:proofErr w:type="spellEnd"/>
      <w:r w:rsidRPr="00705170">
        <w:rPr>
          <w:rFonts w:ascii="Times New Roman" w:hAnsi="Times New Roman" w:cs="Times New Roman"/>
        </w:rPr>
        <w:t xml:space="preserve">: (1) do </w:t>
      </w:r>
      <w:proofErr w:type="spellStart"/>
      <w:r w:rsidRPr="00705170">
        <w:rPr>
          <w:rFonts w:ascii="Times New Roman" w:hAnsi="Times New Roman" w:cs="Times New Roman"/>
        </w:rPr>
        <w:t>nothing</w:t>
      </w:r>
      <w:proofErr w:type="spellEnd"/>
      <w:r w:rsidRPr="00705170">
        <w:rPr>
          <w:rFonts w:ascii="Times New Roman" w:hAnsi="Times New Roman" w:cs="Times New Roman"/>
        </w:rPr>
        <w:t xml:space="preserve">, (2) </w:t>
      </w:r>
      <w:proofErr w:type="spellStart"/>
      <w:r w:rsidRPr="00705170">
        <w:rPr>
          <w:rFonts w:ascii="Times New Roman" w:hAnsi="Times New Roman" w:cs="Times New Roman"/>
        </w:rPr>
        <w:t>interact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w:t>
      </w:r>
      <w:r w:rsidR="00B2602D">
        <w:rPr>
          <w:rFonts w:ascii="Times New Roman" w:hAnsi="Times New Roman" w:cs="Times New Roman"/>
        </w:rPr>
        <w:t>c</w:t>
      </w:r>
      <w:r w:rsidRPr="00705170">
        <w:rPr>
          <w:rFonts w:ascii="Times New Roman" w:hAnsi="Times New Roman" w:cs="Times New Roman"/>
        </w:rPr>
        <w:t>tly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behind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scenes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pressuring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board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top </w:t>
      </w:r>
      <w:proofErr w:type="spellStart"/>
      <w:r w:rsidRPr="00705170">
        <w:rPr>
          <w:rFonts w:ascii="Times New Roman" w:hAnsi="Times New Roman" w:cs="Times New Roman"/>
        </w:rPr>
        <w:t>executives</w:t>
      </w:r>
      <w:proofErr w:type="spellEnd"/>
      <w:r w:rsidRPr="00705170">
        <w:rPr>
          <w:rFonts w:ascii="Times New Roman" w:hAnsi="Times New Roman" w:cs="Times New Roman"/>
        </w:rPr>
        <w:t xml:space="preserve">, (3) </w:t>
      </w:r>
      <w:proofErr w:type="spellStart"/>
      <w:r w:rsidRPr="00705170">
        <w:rPr>
          <w:rFonts w:ascii="Times New Roman" w:hAnsi="Times New Roman" w:cs="Times New Roman"/>
        </w:rPr>
        <w:t>public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pressure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via</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media</w:t>
      </w:r>
      <w:proofErr w:type="spellEnd"/>
      <w:r w:rsidRPr="00705170">
        <w:rPr>
          <w:rFonts w:ascii="Times New Roman" w:hAnsi="Times New Roman" w:cs="Times New Roman"/>
        </w:rPr>
        <w:t xml:space="preserve">, (4) </w:t>
      </w:r>
      <w:proofErr w:type="spellStart"/>
      <w:r w:rsidRPr="00705170">
        <w:rPr>
          <w:rFonts w:ascii="Times New Roman" w:hAnsi="Times New Roman" w:cs="Times New Roman"/>
        </w:rPr>
        <w:t>using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market </w:t>
      </w:r>
      <w:proofErr w:type="spellStart"/>
      <w:r w:rsidRPr="00705170">
        <w:rPr>
          <w:rFonts w:ascii="Times New Roman" w:hAnsi="Times New Roman" w:cs="Times New Roman"/>
        </w:rPr>
        <w:t>pressure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selling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investment</w:t>
      </w:r>
      <w:proofErr w:type="spellEnd"/>
      <w:r w:rsidRPr="00705170">
        <w:rPr>
          <w:rStyle w:val="DipnotBavurusu"/>
          <w:rFonts w:ascii="Times New Roman" w:hAnsi="Times New Roman" w:cs="Times New Roman"/>
        </w:rPr>
        <w:footnoteReference w:id="188"/>
      </w:r>
      <w:r w:rsidRPr="00705170">
        <w:rPr>
          <w:rFonts w:ascii="Times New Roman" w:hAnsi="Times New Roman" w:cs="Times New Roman"/>
        </w:rPr>
        <w:t xml:space="preserve">. He </w:t>
      </w:r>
      <w:proofErr w:type="spellStart"/>
      <w:r w:rsidRPr="00705170">
        <w:rPr>
          <w:rFonts w:ascii="Times New Roman" w:hAnsi="Times New Roman" w:cs="Times New Roman"/>
        </w:rPr>
        <w:t>noted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institutions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intervention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methods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individually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combination</w:t>
      </w:r>
      <w:proofErr w:type="spellEnd"/>
      <w:r w:rsidRPr="00705170">
        <w:rPr>
          <w:rStyle w:val="DipnotBavurusu"/>
          <w:rFonts w:ascii="Times New Roman" w:hAnsi="Times New Roman" w:cs="Times New Roman"/>
        </w:rPr>
        <w:footnoteReference w:id="189"/>
      </w:r>
      <w:r w:rsidRPr="00705170">
        <w:rPr>
          <w:rFonts w:ascii="Times New Roman" w:hAnsi="Times New Roman" w:cs="Times New Roman"/>
        </w:rPr>
        <w:t xml:space="preserve">. </w:t>
      </w:r>
      <w:proofErr w:type="spellStart"/>
      <w:r w:rsidRPr="00705170">
        <w:rPr>
          <w:rFonts w:ascii="Times New Roman" w:hAnsi="Times New Roman" w:cs="Times New Roman"/>
        </w:rPr>
        <w:t>Herein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behind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scenes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method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indicates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links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precondition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companies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before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decisions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190"/>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Holland’s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showed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method</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implemented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simple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phone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call</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191"/>
      </w:r>
    </w:p>
    <w:p w14:paraId="519463A1" w14:textId="77777777" w:rsidR="00070B8D" w:rsidRPr="00705170" w:rsidRDefault="00070B8D" w:rsidP="00070B8D">
      <w:pPr>
        <w:spacing w:after="240" w:line="480" w:lineRule="auto"/>
        <w:ind w:firstLine="720"/>
        <w:jc w:val="both"/>
        <w:rPr>
          <w:rFonts w:ascii="Times New Roman" w:hAnsi="Times New Roman" w:cs="Times New Roman"/>
        </w:rPr>
      </w:pPr>
      <w:r w:rsidRPr="00705170">
        <w:rPr>
          <w:rFonts w:ascii="Times New Roman" w:hAnsi="Times New Roman" w:cs="Times New Roman"/>
        </w:rPr>
        <w:lastRenderedPageBreak/>
        <w:t xml:space="preserve">A </w:t>
      </w:r>
      <w:proofErr w:type="spellStart"/>
      <w:r w:rsidRPr="00705170">
        <w:rPr>
          <w:rFonts w:ascii="Times New Roman" w:hAnsi="Times New Roman" w:cs="Times New Roman"/>
        </w:rPr>
        <w:t>research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conducted</w:t>
      </w:r>
      <w:proofErr w:type="spellEnd"/>
      <w:r w:rsidRPr="00705170">
        <w:rPr>
          <w:rFonts w:ascii="Times New Roman" w:hAnsi="Times New Roman" w:cs="Times New Roman"/>
        </w:rPr>
        <w:t xml:space="preserve"> in 2014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scholars</w:t>
      </w:r>
      <w:proofErr w:type="spellEnd"/>
      <w:r w:rsidRPr="00705170">
        <w:rPr>
          <w:rFonts w:ascii="Times New Roman" w:hAnsi="Times New Roman" w:cs="Times New Roman"/>
        </w:rPr>
        <w:t xml:space="preserve"> Joseph A. </w:t>
      </w:r>
      <w:proofErr w:type="spellStart"/>
      <w:r w:rsidRPr="00705170">
        <w:rPr>
          <w:rFonts w:ascii="Times New Roman" w:hAnsi="Times New Roman" w:cs="Times New Roman"/>
        </w:rPr>
        <w:t>McCahery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Zacharias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Sautner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Laura T. </w:t>
      </w:r>
      <w:proofErr w:type="spellStart"/>
      <w:r w:rsidRPr="00705170">
        <w:rPr>
          <w:rFonts w:ascii="Times New Roman" w:hAnsi="Times New Roman" w:cs="Times New Roman"/>
        </w:rPr>
        <w:t>Starks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John </w:t>
      </w:r>
      <w:proofErr w:type="spellStart"/>
      <w:r w:rsidRPr="00705170">
        <w:rPr>
          <w:rFonts w:ascii="Times New Roman" w:hAnsi="Times New Roman" w:cs="Times New Roman"/>
        </w:rPr>
        <w:t>Holland’s</w:t>
      </w:r>
      <w:proofErr w:type="spellEnd"/>
      <w:r w:rsidRPr="00705170">
        <w:rPr>
          <w:rFonts w:ascii="Times New Roman" w:hAnsi="Times New Roman" w:cs="Times New Roman"/>
        </w:rPr>
        <w:t xml:space="preserve"> 1995 </w:t>
      </w:r>
      <w:proofErr w:type="spellStart"/>
      <w:r w:rsidRPr="00705170">
        <w:rPr>
          <w:rFonts w:ascii="Times New Roman" w:hAnsi="Times New Roman" w:cs="Times New Roman"/>
        </w:rPr>
        <w:t>dated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findings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applicable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today</w:t>
      </w:r>
      <w:proofErr w:type="spellEnd"/>
      <w:r w:rsidRPr="00705170">
        <w:rPr>
          <w:rFonts w:ascii="Times New Roman" w:hAnsi="Times New Roman" w:cs="Times New Roman"/>
        </w:rPr>
        <w:t xml:space="preserve">. First of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survey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found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institutional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engage</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direct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discussion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including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discussions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company’s</w:t>
      </w:r>
      <w:proofErr w:type="spellEnd"/>
      <w:r w:rsidRPr="00705170">
        <w:rPr>
          <w:rFonts w:ascii="Times New Roman" w:hAnsi="Times New Roman" w:cs="Times New Roman"/>
        </w:rPr>
        <w:t xml:space="preserve"> board </w:t>
      </w:r>
      <w:proofErr w:type="spellStart"/>
      <w:r w:rsidRPr="00705170">
        <w:rPr>
          <w:rFonts w:ascii="Times New Roman" w:hAnsi="Times New Roman" w:cs="Times New Roman"/>
        </w:rPr>
        <w:t>outside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management’s</w:t>
      </w:r>
      <w:proofErr w:type="spellEnd"/>
      <w:r w:rsidRPr="00705170">
        <w:rPr>
          <w:rFonts w:ascii="Times New Roman" w:hAnsi="Times New Roman" w:cs="Times New Roman"/>
        </w:rPr>
        <w:t xml:space="preserve"> presence</w:t>
      </w:r>
      <w:r w:rsidRPr="00705170">
        <w:rPr>
          <w:rStyle w:val="DipnotBavurusu"/>
          <w:rFonts w:ascii="Times New Roman" w:hAnsi="Times New Roman" w:cs="Times New Roman"/>
        </w:rPr>
        <w:footnoteReference w:id="192"/>
      </w:r>
      <w:r w:rsidRPr="00705170">
        <w:rPr>
          <w:rFonts w:ascii="Times New Roman" w:hAnsi="Times New Roman" w:cs="Times New Roman"/>
        </w:rPr>
        <w:t xml:space="preserve">. </w:t>
      </w:r>
      <w:proofErr w:type="spellStart"/>
      <w:r w:rsidRPr="00705170">
        <w:rPr>
          <w:rFonts w:ascii="Times New Roman" w:hAnsi="Times New Roman" w:cs="Times New Roman"/>
        </w:rPr>
        <w:t>Furthermore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similar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Holland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found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institutional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take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measures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after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interventions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failed</w:t>
      </w:r>
      <w:proofErr w:type="spellEnd"/>
      <w:r w:rsidRPr="00705170">
        <w:rPr>
          <w:rStyle w:val="DipnotBavurusu"/>
          <w:rFonts w:ascii="Times New Roman" w:hAnsi="Times New Roman" w:cs="Times New Roman"/>
        </w:rPr>
        <w:footnoteReference w:id="193"/>
      </w:r>
      <w:r w:rsidRPr="00705170">
        <w:rPr>
          <w:rFonts w:ascii="Times New Roman" w:hAnsi="Times New Roman" w:cs="Times New Roman"/>
        </w:rPr>
        <w:t xml:space="preserve">. </w:t>
      </w:r>
      <w:proofErr w:type="spellStart"/>
      <w:r w:rsidRPr="00705170">
        <w:rPr>
          <w:rFonts w:ascii="Times New Roman" w:hAnsi="Times New Roman" w:cs="Times New Roman"/>
        </w:rPr>
        <w:t>Hence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authors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implementation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public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measures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proposals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signals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institutional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could</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negotiate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behind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scenes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agreement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Style w:val="DipnotBavurusu"/>
          <w:rFonts w:ascii="Times New Roman" w:hAnsi="Times New Roman" w:cs="Times New Roman"/>
        </w:rPr>
        <w:footnoteReference w:id="194"/>
      </w:r>
      <w:r w:rsidRPr="00705170">
        <w:rPr>
          <w:rFonts w:ascii="Times New Roman" w:hAnsi="Times New Roman" w:cs="Times New Roman"/>
        </w:rPr>
        <w:t xml:space="preserve">. </w:t>
      </w:r>
      <w:proofErr w:type="spellStart"/>
      <w:r w:rsidRPr="00705170">
        <w:rPr>
          <w:rFonts w:ascii="Times New Roman" w:hAnsi="Times New Roman" w:cs="Times New Roman"/>
        </w:rPr>
        <w:t>Moreover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express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research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suggests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discussions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is a general </w:t>
      </w:r>
      <w:proofErr w:type="spellStart"/>
      <w:r w:rsidRPr="00705170">
        <w:rPr>
          <w:rFonts w:ascii="Times New Roman" w:hAnsi="Times New Roman" w:cs="Times New Roman"/>
        </w:rPr>
        <w:t>phenomenon</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restricted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particular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types</w:t>
      </w:r>
      <w:proofErr w:type="spellEnd"/>
      <w:r w:rsidRPr="00705170">
        <w:rPr>
          <w:rStyle w:val="DipnotBavurusu"/>
          <w:rFonts w:ascii="Times New Roman" w:hAnsi="Times New Roman" w:cs="Times New Roman"/>
        </w:rPr>
        <w:footnoteReference w:id="195"/>
      </w:r>
      <w:r w:rsidRPr="00705170">
        <w:rPr>
          <w:rFonts w:ascii="Times New Roman" w:hAnsi="Times New Roman" w:cs="Times New Roman"/>
        </w:rPr>
        <w:t>.</w:t>
      </w:r>
    </w:p>
    <w:p w14:paraId="6F423265" w14:textId="7C35F156" w:rsidR="00070B8D" w:rsidRPr="00705170" w:rsidRDefault="00070B8D" w:rsidP="006A717B">
      <w:pPr>
        <w:spacing w:after="240" w:line="480" w:lineRule="auto"/>
        <w:ind w:firstLine="720"/>
        <w:jc w:val="both"/>
        <w:rPr>
          <w:rFonts w:ascii="Times New Roman" w:hAnsi="Times New Roman" w:cs="Times New Roman"/>
        </w:rPr>
      </w:pPr>
      <w:r w:rsidRPr="00705170">
        <w:rPr>
          <w:rFonts w:ascii="Times New Roman" w:hAnsi="Times New Roman" w:cs="Times New Roman"/>
        </w:rPr>
        <w:t xml:space="preserve">As it is </w:t>
      </w:r>
      <w:proofErr w:type="spellStart"/>
      <w:r w:rsidRPr="00705170">
        <w:rPr>
          <w:rFonts w:ascii="Times New Roman" w:hAnsi="Times New Roman" w:cs="Times New Roman"/>
        </w:rPr>
        <w:t>understood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findings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above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studies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behind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scenes</w:t>
      </w:r>
      <w:proofErr w:type="spellEnd"/>
      <w:r w:rsidRPr="00705170">
        <w:rPr>
          <w:rFonts w:ascii="Times New Roman" w:hAnsi="Times New Roman" w:cs="Times New Roman"/>
        </w:rPr>
        <w:t xml:space="preserve"> is a </w:t>
      </w:r>
      <w:proofErr w:type="spellStart"/>
      <w:r w:rsidRPr="00705170">
        <w:rPr>
          <w:rFonts w:ascii="Times New Roman" w:hAnsi="Times New Roman" w:cs="Times New Roman"/>
        </w:rPr>
        <w:t>reality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than</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theoretical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assumption</w:t>
      </w:r>
      <w:proofErr w:type="spellEnd"/>
      <w:r w:rsidRPr="00705170">
        <w:rPr>
          <w:rStyle w:val="DipnotBavurusu"/>
          <w:rFonts w:ascii="Times New Roman" w:hAnsi="Times New Roman" w:cs="Times New Roman"/>
        </w:rPr>
        <w:footnoteReference w:id="196"/>
      </w:r>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reality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points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conduct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mechanisms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securities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Instead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prefer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rely</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discussions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before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taking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steps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listens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take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accordingly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seen</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product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management’s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Consequently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circumvention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many</w:t>
      </w:r>
      <w:proofErr w:type="spellEnd"/>
      <w:r w:rsidRPr="00705170">
        <w:rPr>
          <w:rFonts w:ascii="Times New Roman" w:hAnsi="Times New Roman" w:cs="Times New Roman"/>
        </w:rPr>
        <w:t xml:space="preserve"> legal </w:t>
      </w:r>
      <w:proofErr w:type="spellStart"/>
      <w:r w:rsidRPr="00705170">
        <w:rPr>
          <w:rFonts w:ascii="Times New Roman" w:hAnsi="Times New Roman" w:cs="Times New Roman"/>
        </w:rPr>
        <w:t>measures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implemented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000E6684" w:rsidRPr="00705170">
        <w:rPr>
          <w:rFonts w:ascii="Times New Roman" w:hAnsi="Times New Roman" w:cs="Times New Roman"/>
        </w:rPr>
        <w:t xml:space="preserve">; </w:t>
      </w:r>
      <w:proofErr w:type="spellStart"/>
      <w:r w:rsidR="000E6684" w:rsidRPr="00705170">
        <w:rPr>
          <w:rFonts w:ascii="Times New Roman" w:hAnsi="Times New Roman" w:cs="Times New Roman"/>
        </w:rPr>
        <w:t>the</w:t>
      </w:r>
      <w:proofErr w:type="spellEnd"/>
      <w:r w:rsidR="000E6684" w:rsidRPr="00705170">
        <w:rPr>
          <w:rFonts w:ascii="Times New Roman" w:hAnsi="Times New Roman" w:cs="Times New Roman"/>
        </w:rPr>
        <w:t xml:space="preserve"> </w:t>
      </w:r>
      <w:proofErr w:type="spellStart"/>
      <w:r w:rsidR="000E6684" w:rsidRPr="00705170">
        <w:rPr>
          <w:rFonts w:ascii="Times New Roman" w:hAnsi="Times New Roman" w:cs="Times New Roman"/>
        </w:rPr>
        <w:t>action</w:t>
      </w:r>
      <w:proofErr w:type="spellEnd"/>
      <w:r w:rsidR="000E6684" w:rsidRPr="00705170">
        <w:rPr>
          <w:rFonts w:ascii="Times New Roman" w:hAnsi="Times New Roman" w:cs="Times New Roman"/>
        </w:rPr>
        <w:t xml:space="preserve"> </w:t>
      </w:r>
      <w:proofErr w:type="spellStart"/>
      <w:r w:rsidR="000E6684" w:rsidRPr="00705170">
        <w:rPr>
          <w:rFonts w:ascii="Times New Roman" w:hAnsi="Times New Roman" w:cs="Times New Roman"/>
        </w:rPr>
        <w:t>will</w:t>
      </w:r>
      <w:proofErr w:type="spellEnd"/>
      <w:r w:rsidR="000E6684" w:rsidRPr="00705170">
        <w:rPr>
          <w:rFonts w:ascii="Times New Roman" w:hAnsi="Times New Roman" w:cs="Times New Roman"/>
        </w:rPr>
        <w:t xml:space="preserve"> not be </w:t>
      </w:r>
      <w:proofErr w:type="spellStart"/>
      <w:r w:rsidR="000E6684" w:rsidRPr="00705170">
        <w:rPr>
          <w:rFonts w:ascii="Times New Roman" w:hAnsi="Times New Roman" w:cs="Times New Roman"/>
        </w:rPr>
        <w:t>subject</w:t>
      </w:r>
      <w:proofErr w:type="spellEnd"/>
      <w:r w:rsidR="000E6684" w:rsidRPr="00705170">
        <w:rPr>
          <w:rFonts w:ascii="Times New Roman" w:hAnsi="Times New Roman" w:cs="Times New Roman"/>
        </w:rPr>
        <w:t xml:space="preserve"> </w:t>
      </w:r>
      <w:proofErr w:type="spellStart"/>
      <w:r w:rsidR="000E6684" w:rsidRPr="00705170">
        <w:rPr>
          <w:rFonts w:ascii="Times New Roman" w:hAnsi="Times New Roman" w:cs="Times New Roman"/>
        </w:rPr>
        <w:t>to</w:t>
      </w:r>
      <w:proofErr w:type="spellEnd"/>
      <w:r w:rsidR="000E6684" w:rsidRPr="00705170">
        <w:rPr>
          <w:rFonts w:ascii="Times New Roman" w:hAnsi="Times New Roman" w:cs="Times New Roman"/>
        </w:rPr>
        <w:t xml:space="preserve"> </w:t>
      </w:r>
      <w:proofErr w:type="spellStart"/>
      <w:r w:rsidR="000E6684" w:rsidRPr="00705170">
        <w:rPr>
          <w:rFonts w:ascii="Times New Roman" w:hAnsi="Times New Roman" w:cs="Times New Roman"/>
        </w:rPr>
        <w:t>rules</w:t>
      </w:r>
      <w:proofErr w:type="spellEnd"/>
      <w:r w:rsidR="000E6684" w:rsidRPr="00705170">
        <w:rPr>
          <w:rFonts w:ascii="Times New Roman" w:hAnsi="Times New Roman" w:cs="Times New Roman"/>
        </w:rPr>
        <w:t xml:space="preserve"> </w:t>
      </w:r>
      <w:proofErr w:type="spellStart"/>
      <w:r w:rsidR="000E6684" w:rsidRPr="00705170">
        <w:rPr>
          <w:rFonts w:ascii="Times New Roman" w:hAnsi="Times New Roman" w:cs="Times New Roman"/>
        </w:rPr>
        <w:t>constraining</w:t>
      </w:r>
      <w:proofErr w:type="spellEnd"/>
      <w:r w:rsidR="000E6684" w:rsidRPr="00705170">
        <w:rPr>
          <w:rFonts w:ascii="Times New Roman" w:hAnsi="Times New Roman" w:cs="Times New Roman"/>
        </w:rPr>
        <w:t xml:space="preserve"> </w:t>
      </w:r>
      <w:proofErr w:type="spellStart"/>
      <w:r w:rsidR="000E6684" w:rsidRPr="00705170">
        <w:rPr>
          <w:rFonts w:ascii="Times New Roman" w:hAnsi="Times New Roman" w:cs="Times New Roman"/>
        </w:rPr>
        <w:t>director’s</w:t>
      </w:r>
      <w:proofErr w:type="spellEnd"/>
      <w:r w:rsidR="000E6684" w:rsidRPr="00705170">
        <w:rPr>
          <w:rFonts w:ascii="Times New Roman" w:hAnsi="Times New Roman" w:cs="Times New Roman"/>
        </w:rPr>
        <w:t xml:space="preserve"> self- </w:t>
      </w:r>
      <w:proofErr w:type="spellStart"/>
      <w:r w:rsidR="000E6684" w:rsidRPr="00705170">
        <w:rPr>
          <w:rFonts w:ascii="Times New Roman" w:hAnsi="Times New Roman" w:cs="Times New Roman"/>
        </w:rPr>
        <w:t>dealing</w:t>
      </w:r>
      <w:proofErr w:type="spellEnd"/>
      <w:r w:rsidR="0048594F" w:rsidRPr="00705170">
        <w:rPr>
          <w:rFonts w:ascii="Times New Roman" w:hAnsi="Times New Roman" w:cs="Times New Roman"/>
        </w:rPr>
        <w:t xml:space="preserve"> in </w:t>
      </w:r>
      <w:proofErr w:type="spellStart"/>
      <w:r w:rsidR="0048594F" w:rsidRPr="00705170">
        <w:rPr>
          <w:rFonts w:ascii="Times New Roman" w:hAnsi="Times New Roman" w:cs="Times New Roman"/>
        </w:rPr>
        <w:t>most</w:t>
      </w:r>
      <w:proofErr w:type="spellEnd"/>
      <w:r w:rsidR="0048594F" w:rsidRPr="00705170">
        <w:rPr>
          <w:rFonts w:ascii="Times New Roman" w:hAnsi="Times New Roman" w:cs="Times New Roman"/>
        </w:rPr>
        <w:t xml:space="preserve"> </w:t>
      </w:r>
      <w:proofErr w:type="spellStart"/>
      <w:r w:rsidR="0048594F" w:rsidRPr="00705170">
        <w:rPr>
          <w:rFonts w:ascii="Times New Roman" w:hAnsi="Times New Roman" w:cs="Times New Roman"/>
        </w:rPr>
        <w:t>instances</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result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especially</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measures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themselves</w:t>
      </w:r>
      <w:proofErr w:type="spellEnd"/>
      <w:r w:rsidRPr="00705170">
        <w:rPr>
          <w:rFonts w:ascii="Times New Roman" w:hAnsi="Times New Roman" w:cs="Times New Roman"/>
        </w:rPr>
        <w:t xml:space="preserve"> apart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Wall Street </w:t>
      </w:r>
      <w:proofErr w:type="spellStart"/>
      <w:r w:rsidRPr="00705170">
        <w:rPr>
          <w:rFonts w:ascii="Times New Roman" w:hAnsi="Times New Roman" w:cs="Times New Roman"/>
        </w:rPr>
        <w:t>Rule</w:t>
      </w:r>
      <w:proofErr w:type="spellEnd"/>
      <w:r w:rsidRPr="00705170">
        <w:rPr>
          <w:rFonts w:ascii="Times New Roman" w:hAnsi="Times New Roman" w:cs="Times New Roman"/>
        </w:rPr>
        <w:t>.</w:t>
      </w:r>
      <w:r w:rsidR="006A717B" w:rsidRPr="00705170">
        <w:rPr>
          <w:rFonts w:ascii="Times New Roman" w:hAnsi="Times New Roman" w:cs="Times New Roman"/>
        </w:rPr>
        <w:t xml:space="preserve"> </w:t>
      </w:r>
    </w:p>
    <w:p w14:paraId="0C496200" w14:textId="3AFC7C02" w:rsidR="00070B8D" w:rsidRPr="00705170" w:rsidRDefault="00070B8D" w:rsidP="000E4B7E">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must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noted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behind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scenes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communication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between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violate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securities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it has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materiality</w:t>
      </w:r>
      <w:proofErr w:type="spellEnd"/>
      <w:r w:rsidRPr="00705170">
        <w:rPr>
          <w:rFonts w:ascii="Times New Roman" w:hAnsi="Times New Roman" w:cs="Times New Roman"/>
        </w:rPr>
        <w:t xml:space="preserve">. Apart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behind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scenes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communication</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disclosed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registered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cannot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classified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communications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proposal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proxy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solicitation</w:t>
      </w:r>
      <w:proofErr w:type="spellEnd"/>
      <w:r w:rsidRPr="00705170">
        <w:rPr>
          <w:rStyle w:val="DipnotBavurusu"/>
          <w:rFonts w:ascii="Times New Roman" w:hAnsi="Times New Roman" w:cs="Times New Roman"/>
        </w:rPr>
        <w:footnoteReference w:id="197"/>
      </w:r>
      <w:r w:rsidRPr="00705170">
        <w:rPr>
          <w:rFonts w:ascii="Times New Roman" w:hAnsi="Times New Roman" w:cs="Times New Roman"/>
        </w:rPr>
        <w:t xml:space="preserve">. </w:t>
      </w:r>
      <w:proofErr w:type="spellStart"/>
      <w:r w:rsidRPr="00705170">
        <w:rPr>
          <w:rFonts w:ascii="Times New Roman" w:hAnsi="Times New Roman" w:cs="Times New Roman"/>
        </w:rPr>
        <w:t>Hence</w:t>
      </w:r>
      <w:proofErr w:type="spellEnd"/>
      <w:r w:rsidRPr="00705170">
        <w:rPr>
          <w:rFonts w:ascii="Times New Roman" w:hAnsi="Times New Roman" w:cs="Times New Roman"/>
        </w:rPr>
        <w:t xml:space="preserve">, it can be </w:t>
      </w:r>
      <w:proofErr w:type="spellStart"/>
      <w:r w:rsidRPr="00705170">
        <w:rPr>
          <w:rFonts w:ascii="Times New Roman" w:hAnsi="Times New Roman" w:cs="Times New Roman"/>
        </w:rPr>
        <w:t>said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generally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silent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about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behind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scenes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communicatio</w:t>
      </w:r>
      <w:r w:rsidR="00412856" w:rsidRPr="00705170">
        <w:rPr>
          <w:rFonts w:ascii="Times New Roman" w:hAnsi="Times New Roman" w:cs="Times New Roman"/>
        </w:rPr>
        <w:t>n</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even</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though</w:t>
      </w:r>
      <w:proofErr w:type="spellEnd"/>
      <w:r w:rsidR="00412856" w:rsidRPr="00705170">
        <w:rPr>
          <w:rFonts w:ascii="Times New Roman" w:hAnsi="Times New Roman" w:cs="Times New Roman"/>
        </w:rPr>
        <w:t xml:space="preserve"> it </w:t>
      </w:r>
      <w:proofErr w:type="spellStart"/>
      <w:r w:rsidR="00412856" w:rsidRPr="00705170">
        <w:rPr>
          <w:rFonts w:ascii="Times New Roman" w:hAnsi="Times New Roman" w:cs="Times New Roman"/>
        </w:rPr>
        <w:t>would</w:t>
      </w:r>
      <w:proofErr w:type="spellEnd"/>
      <w:r w:rsidR="00412856" w:rsidRPr="00705170">
        <w:rPr>
          <w:rFonts w:ascii="Times New Roman" w:hAnsi="Times New Roman" w:cs="Times New Roman"/>
        </w:rPr>
        <w:t xml:space="preserve"> be </w:t>
      </w:r>
      <w:proofErr w:type="spellStart"/>
      <w:r w:rsidR="00412856" w:rsidRPr="00705170">
        <w:rPr>
          <w:rFonts w:ascii="Times New Roman" w:hAnsi="Times New Roman" w:cs="Times New Roman"/>
        </w:rPr>
        <w:t>misleading</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for</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the</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prospective</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investors</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who</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reasonably</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assume</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that</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the</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corporation</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enjoys</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full</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range</w:t>
      </w:r>
      <w:proofErr w:type="spellEnd"/>
      <w:r w:rsidR="00412856" w:rsidRPr="00705170">
        <w:rPr>
          <w:rFonts w:ascii="Times New Roman" w:hAnsi="Times New Roman" w:cs="Times New Roman"/>
        </w:rPr>
        <w:t xml:space="preserve"> of </w:t>
      </w:r>
      <w:proofErr w:type="spellStart"/>
      <w:r w:rsidR="00412856" w:rsidRPr="00705170">
        <w:rPr>
          <w:rFonts w:ascii="Times New Roman" w:hAnsi="Times New Roman" w:cs="Times New Roman"/>
        </w:rPr>
        <w:t>statutory</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powers</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concerning</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its</w:t>
      </w:r>
      <w:proofErr w:type="spellEnd"/>
      <w:r w:rsidR="00412856" w:rsidRPr="00705170">
        <w:rPr>
          <w:rFonts w:ascii="Times New Roman" w:hAnsi="Times New Roman" w:cs="Times New Roman"/>
        </w:rPr>
        <w:t xml:space="preserve"> </w:t>
      </w:r>
      <w:proofErr w:type="spellStart"/>
      <w:r w:rsidR="00412856" w:rsidRPr="00705170">
        <w:rPr>
          <w:rFonts w:ascii="Times New Roman" w:hAnsi="Times New Roman" w:cs="Times New Roman"/>
        </w:rPr>
        <w:t>management</w:t>
      </w:r>
      <w:proofErr w:type="spellEnd"/>
      <w:r w:rsidR="00412856" w:rsidRPr="00705170">
        <w:rPr>
          <w:rStyle w:val="DipnotBavurusu"/>
          <w:rFonts w:ascii="Times New Roman" w:hAnsi="Times New Roman" w:cs="Times New Roman"/>
        </w:rPr>
        <w:footnoteReference w:id="198"/>
      </w:r>
      <w:r w:rsidR="00412856" w:rsidRPr="00705170">
        <w:rPr>
          <w:rFonts w:ascii="Times New Roman" w:hAnsi="Times New Roman" w:cs="Times New Roman"/>
        </w:rPr>
        <w:t>.</w:t>
      </w:r>
      <w:r w:rsidR="000E4B7E">
        <w:rPr>
          <w:rFonts w:ascii="Times New Roman" w:hAnsi="Times New Roman" w:cs="Times New Roman"/>
        </w:rPr>
        <w:t xml:space="preserve"> </w:t>
      </w:r>
      <w:r w:rsidR="006E1192" w:rsidRPr="00705170">
        <w:rPr>
          <w:rFonts w:ascii="Times New Roman" w:hAnsi="Times New Roman" w:cs="Times New Roman"/>
        </w:rPr>
        <w:t xml:space="preserve">Of </w:t>
      </w:r>
      <w:proofErr w:type="spellStart"/>
      <w:r w:rsidR="006E1192" w:rsidRPr="00705170">
        <w:rPr>
          <w:rFonts w:ascii="Times New Roman" w:hAnsi="Times New Roman" w:cs="Times New Roman"/>
        </w:rPr>
        <w:t>course</w:t>
      </w:r>
      <w:proofErr w:type="spellEnd"/>
      <w:r w:rsidR="006E1192" w:rsidRPr="00705170">
        <w:rPr>
          <w:rFonts w:ascii="Times New Roman" w:hAnsi="Times New Roman" w:cs="Times New Roman"/>
        </w:rPr>
        <w:t>, i</w:t>
      </w:r>
      <w:r w:rsidRPr="00705170">
        <w:rPr>
          <w:rFonts w:ascii="Times New Roman" w:hAnsi="Times New Roman" w:cs="Times New Roman"/>
        </w:rPr>
        <w:t xml:space="preserve">t is a </w:t>
      </w:r>
      <w:proofErr w:type="spellStart"/>
      <w:r w:rsidRPr="00705170">
        <w:rPr>
          <w:rFonts w:ascii="Times New Roman" w:hAnsi="Times New Roman" w:cs="Times New Roman"/>
        </w:rPr>
        <w:t>tough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task</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content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behind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scenes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communication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petitioners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help</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whistleblower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watchdog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institutions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study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opines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it is not </w:t>
      </w:r>
      <w:proofErr w:type="spellStart"/>
      <w:r w:rsidRPr="00705170">
        <w:rPr>
          <w:rFonts w:ascii="Times New Roman" w:hAnsi="Times New Roman" w:cs="Times New Roman"/>
        </w:rPr>
        <w:t>impossible</w:t>
      </w:r>
      <w:proofErr w:type="spellEnd"/>
      <w:r w:rsidRPr="00705170">
        <w:rPr>
          <w:rStyle w:val="DipnotBavurusu"/>
          <w:rFonts w:ascii="Times New Roman" w:hAnsi="Times New Roman" w:cs="Times New Roman"/>
        </w:rPr>
        <w:footnoteReference w:id="199"/>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believes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lead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appropriate</w:t>
      </w:r>
      <w:proofErr w:type="spellEnd"/>
      <w:r w:rsidRPr="00705170">
        <w:rPr>
          <w:rFonts w:ascii="Times New Roman" w:hAnsi="Times New Roman" w:cs="Times New Roman"/>
        </w:rPr>
        <w:t xml:space="preserve"> legal </w:t>
      </w:r>
      <w:proofErr w:type="spellStart"/>
      <w:r w:rsidRPr="00705170">
        <w:rPr>
          <w:rFonts w:ascii="Times New Roman" w:hAnsi="Times New Roman" w:cs="Times New Roman"/>
        </w:rPr>
        <w:t>consequences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detected</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suggested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00E97D85" w:rsidRPr="00705170">
        <w:rPr>
          <w:rFonts w:ascii="Times New Roman" w:hAnsi="Times New Roman" w:cs="Times New Roman"/>
        </w:rPr>
        <w:t>study</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The</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fact</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that</w:t>
      </w:r>
      <w:proofErr w:type="spellEnd"/>
      <w:r w:rsidR="00E97D85" w:rsidRPr="00705170">
        <w:rPr>
          <w:rFonts w:ascii="Times New Roman" w:hAnsi="Times New Roman" w:cs="Times New Roman"/>
        </w:rPr>
        <w:t xml:space="preserve"> a </w:t>
      </w:r>
      <w:proofErr w:type="spellStart"/>
      <w:r w:rsidR="00E97D85" w:rsidRPr="00705170">
        <w:rPr>
          <w:rFonts w:ascii="Times New Roman" w:hAnsi="Times New Roman" w:cs="Times New Roman"/>
        </w:rPr>
        <w:t>liability</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imposed</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by</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the</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shadow</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director</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lastRenderedPageBreak/>
        <w:t>theory</w:t>
      </w:r>
      <w:proofErr w:type="spellEnd"/>
      <w:r w:rsidR="00E97D85" w:rsidRPr="00705170">
        <w:rPr>
          <w:rFonts w:ascii="Times New Roman" w:hAnsi="Times New Roman" w:cs="Times New Roman"/>
        </w:rPr>
        <w:t xml:space="preserve"> is in </w:t>
      </w:r>
      <w:proofErr w:type="spellStart"/>
      <w:r w:rsidR="00E97D85" w:rsidRPr="00705170">
        <w:rPr>
          <w:rFonts w:ascii="Times New Roman" w:hAnsi="Times New Roman" w:cs="Times New Roman"/>
        </w:rPr>
        <w:t>effect</w:t>
      </w:r>
      <w:proofErr w:type="spellEnd"/>
      <w:r w:rsidR="00E97D85" w:rsidRPr="00705170">
        <w:rPr>
          <w:rFonts w:ascii="Times New Roman" w:hAnsi="Times New Roman" w:cs="Times New Roman"/>
        </w:rPr>
        <w:t xml:space="preserve"> in </w:t>
      </w:r>
      <w:proofErr w:type="spellStart"/>
      <w:r w:rsidR="00E97D85" w:rsidRPr="00705170">
        <w:rPr>
          <w:rFonts w:ascii="Times New Roman" w:hAnsi="Times New Roman" w:cs="Times New Roman"/>
        </w:rPr>
        <w:t>some</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foreign</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jurisdictions</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such</w:t>
      </w:r>
      <w:proofErr w:type="spellEnd"/>
      <w:r w:rsidR="00E97D85" w:rsidRPr="00705170">
        <w:rPr>
          <w:rFonts w:ascii="Times New Roman" w:hAnsi="Times New Roman" w:cs="Times New Roman"/>
        </w:rPr>
        <w:t xml:space="preserve"> as United </w:t>
      </w:r>
      <w:proofErr w:type="spellStart"/>
      <w:r w:rsidR="00E97D85" w:rsidRPr="00705170">
        <w:rPr>
          <w:rFonts w:ascii="Times New Roman" w:hAnsi="Times New Roman" w:cs="Times New Roman"/>
        </w:rPr>
        <w:t>Kingdom</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Australia</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and</w:t>
      </w:r>
      <w:proofErr w:type="spellEnd"/>
      <w:r w:rsidR="00E97D85" w:rsidRPr="00705170">
        <w:rPr>
          <w:rFonts w:ascii="Times New Roman" w:hAnsi="Times New Roman" w:cs="Times New Roman"/>
        </w:rPr>
        <w:t xml:space="preserve"> Hong Kong) </w:t>
      </w:r>
      <w:proofErr w:type="spellStart"/>
      <w:r w:rsidR="00E97D85" w:rsidRPr="00705170">
        <w:rPr>
          <w:rFonts w:ascii="Times New Roman" w:hAnsi="Times New Roman" w:cs="Times New Roman"/>
        </w:rPr>
        <w:t>shows</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that</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behind</w:t>
      </w:r>
      <w:proofErr w:type="spellEnd"/>
      <w:r w:rsidR="00E97D85" w:rsidRPr="00705170">
        <w:rPr>
          <w:rFonts w:ascii="Times New Roman" w:hAnsi="Times New Roman" w:cs="Times New Roman"/>
        </w:rPr>
        <w:t xml:space="preserve"> </w:t>
      </w:r>
      <w:proofErr w:type="spellStart"/>
      <w:r w:rsidR="00E97D85" w:rsidRPr="00705170">
        <w:rPr>
          <w:rFonts w:ascii="Times New Roman" w:hAnsi="Times New Roman" w:cs="Times New Roman"/>
        </w:rPr>
        <w:t>th</w:t>
      </w:r>
      <w:r w:rsidR="00CD3F69" w:rsidRPr="00705170">
        <w:rPr>
          <w:rFonts w:ascii="Times New Roman" w:hAnsi="Times New Roman" w:cs="Times New Roman"/>
        </w:rPr>
        <w:t>e</w:t>
      </w:r>
      <w:proofErr w:type="spellEnd"/>
      <w:r w:rsidR="00CD3F69" w:rsidRPr="00705170">
        <w:rPr>
          <w:rFonts w:ascii="Times New Roman" w:hAnsi="Times New Roman" w:cs="Times New Roman"/>
        </w:rPr>
        <w:t xml:space="preserve"> </w:t>
      </w:r>
      <w:proofErr w:type="spellStart"/>
      <w:r w:rsidR="00CD3F69" w:rsidRPr="00705170">
        <w:rPr>
          <w:rFonts w:ascii="Times New Roman" w:hAnsi="Times New Roman" w:cs="Times New Roman"/>
        </w:rPr>
        <w:t>scenes</w:t>
      </w:r>
      <w:proofErr w:type="spellEnd"/>
      <w:r w:rsidR="00CD3F69" w:rsidRPr="00705170">
        <w:rPr>
          <w:rFonts w:ascii="Times New Roman" w:hAnsi="Times New Roman" w:cs="Times New Roman"/>
        </w:rPr>
        <w:t xml:space="preserve"> </w:t>
      </w:r>
      <w:proofErr w:type="spellStart"/>
      <w:r w:rsidR="00CD3F69" w:rsidRPr="00705170">
        <w:rPr>
          <w:rFonts w:ascii="Times New Roman" w:hAnsi="Times New Roman" w:cs="Times New Roman"/>
        </w:rPr>
        <w:t>influence</w:t>
      </w:r>
      <w:proofErr w:type="spellEnd"/>
      <w:r w:rsidR="00CD3F69" w:rsidRPr="00705170">
        <w:rPr>
          <w:rFonts w:ascii="Times New Roman" w:hAnsi="Times New Roman" w:cs="Times New Roman"/>
        </w:rPr>
        <w:t xml:space="preserve"> </w:t>
      </w:r>
      <w:proofErr w:type="spellStart"/>
      <w:r w:rsidR="00CD3F69" w:rsidRPr="00705170">
        <w:rPr>
          <w:rFonts w:ascii="Times New Roman" w:hAnsi="Times New Roman" w:cs="Times New Roman"/>
        </w:rPr>
        <w:t>may</w:t>
      </w:r>
      <w:proofErr w:type="spellEnd"/>
      <w:r w:rsidR="00CD3F69" w:rsidRPr="00705170">
        <w:rPr>
          <w:rFonts w:ascii="Times New Roman" w:hAnsi="Times New Roman" w:cs="Times New Roman"/>
        </w:rPr>
        <w:t xml:space="preserve"> be </w:t>
      </w:r>
      <w:proofErr w:type="spellStart"/>
      <w:r w:rsidR="00CD3F69" w:rsidRPr="00705170">
        <w:rPr>
          <w:rFonts w:ascii="Times New Roman" w:hAnsi="Times New Roman" w:cs="Times New Roman"/>
        </w:rPr>
        <w:t>proven</w:t>
      </w:r>
      <w:proofErr w:type="spellEnd"/>
      <w:r w:rsidR="00E97D85" w:rsidRPr="00705170">
        <w:rPr>
          <w:rFonts w:ascii="Times New Roman" w:hAnsi="Times New Roman" w:cs="Times New Roman"/>
        </w:rPr>
        <w:t xml:space="preserve"> in </w:t>
      </w:r>
      <w:proofErr w:type="spellStart"/>
      <w:r w:rsidR="00E97D85" w:rsidRPr="00705170">
        <w:rPr>
          <w:rFonts w:ascii="Times New Roman" w:hAnsi="Times New Roman" w:cs="Times New Roman"/>
        </w:rPr>
        <w:t>courts</w:t>
      </w:r>
      <w:proofErr w:type="spellEnd"/>
      <w:r w:rsidR="00E97D85" w:rsidRPr="00705170">
        <w:rPr>
          <w:rStyle w:val="DipnotBavurusu"/>
          <w:rFonts w:ascii="Times New Roman" w:hAnsi="Times New Roman" w:cs="Times New Roman"/>
        </w:rPr>
        <w:footnoteReference w:id="200"/>
      </w:r>
      <w:r w:rsidR="00E97D85" w:rsidRPr="00705170">
        <w:rPr>
          <w:rFonts w:ascii="Times New Roman" w:hAnsi="Times New Roman" w:cs="Times New Roman"/>
        </w:rPr>
        <w:t>.</w:t>
      </w:r>
      <w:r w:rsidR="00B2602D">
        <w:rPr>
          <w:rFonts w:ascii="Times New Roman" w:hAnsi="Times New Roman" w:cs="Times New Roman"/>
        </w:rPr>
        <w:t xml:space="preserve"> </w:t>
      </w:r>
    </w:p>
    <w:p w14:paraId="16FEEE16" w14:textId="4DD33AD6" w:rsidR="00773316" w:rsidRPr="00705170" w:rsidRDefault="006E1192" w:rsidP="00070B8D">
      <w:pPr>
        <w:spacing w:after="240" w:line="480" w:lineRule="auto"/>
        <w:ind w:firstLine="720"/>
        <w:jc w:val="both"/>
        <w:rPr>
          <w:rFonts w:ascii="Times New Roman" w:hAnsi="Times New Roman" w:cs="Times New Roman"/>
        </w:rPr>
      </w:pPr>
      <w:r w:rsidRPr="00705170">
        <w:rPr>
          <w:rFonts w:ascii="Times New Roman" w:hAnsi="Times New Roman" w:cs="Times New Roman"/>
        </w:rPr>
        <w:t xml:space="preserve">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t>
      </w:r>
      <w:r w:rsidR="00773316" w:rsidRPr="00705170">
        <w:rPr>
          <w:rFonts w:ascii="Times New Roman" w:hAnsi="Times New Roman" w:cs="Times New Roman"/>
        </w:rPr>
        <w:t>he</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extralegal</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perspective</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required</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to</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perceive</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the</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kind</w:t>
      </w:r>
      <w:proofErr w:type="spellEnd"/>
      <w:r w:rsidR="00773316" w:rsidRPr="00705170">
        <w:rPr>
          <w:rFonts w:ascii="Times New Roman" w:hAnsi="Times New Roman" w:cs="Times New Roman"/>
        </w:rPr>
        <w:t xml:space="preserve"> of </w:t>
      </w:r>
      <w:proofErr w:type="spellStart"/>
      <w:r w:rsidR="00773316" w:rsidRPr="00705170">
        <w:rPr>
          <w:rFonts w:ascii="Times New Roman" w:hAnsi="Times New Roman" w:cs="Times New Roman"/>
        </w:rPr>
        <w:t>influence</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which</w:t>
      </w:r>
      <w:proofErr w:type="spellEnd"/>
      <w:r w:rsidR="00773316" w:rsidRPr="00705170">
        <w:rPr>
          <w:rFonts w:ascii="Times New Roman" w:hAnsi="Times New Roman" w:cs="Times New Roman"/>
        </w:rPr>
        <w:t xml:space="preserve"> a </w:t>
      </w:r>
      <w:proofErr w:type="spellStart"/>
      <w:r w:rsidR="00773316" w:rsidRPr="00705170">
        <w:rPr>
          <w:rFonts w:ascii="Times New Roman" w:hAnsi="Times New Roman" w:cs="Times New Roman"/>
        </w:rPr>
        <w:t>shareholder</w:t>
      </w:r>
      <w:proofErr w:type="spellEnd"/>
      <w:r w:rsidR="00773316" w:rsidRPr="00705170">
        <w:rPr>
          <w:rFonts w:ascii="Times New Roman" w:hAnsi="Times New Roman" w:cs="Times New Roman"/>
        </w:rPr>
        <w:t xml:space="preserve"> can </w:t>
      </w:r>
      <w:proofErr w:type="spellStart"/>
      <w:r w:rsidR="00773316" w:rsidRPr="00705170">
        <w:rPr>
          <w:rFonts w:ascii="Times New Roman" w:hAnsi="Times New Roman" w:cs="Times New Roman"/>
        </w:rPr>
        <w:t>have</w:t>
      </w:r>
      <w:proofErr w:type="spellEnd"/>
      <w:r w:rsidR="00773316" w:rsidRPr="00705170">
        <w:rPr>
          <w:rFonts w:ascii="Times New Roman" w:hAnsi="Times New Roman" w:cs="Times New Roman"/>
        </w:rPr>
        <w:t xml:space="preserve"> on a </w:t>
      </w:r>
      <w:proofErr w:type="spellStart"/>
      <w:r w:rsidR="00773316" w:rsidRPr="00705170">
        <w:rPr>
          <w:rFonts w:ascii="Times New Roman" w:hAnsi="Times New Roman" w:cs="Times New Roman"/>
        </w:rPr>
        <w:t>corporation</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by</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simply</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taking</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actions</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outside</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the</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corporate</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machinery</w:t>
      </w:r>
      <w:proofErr w:type="spellEnd"/>
      <w:r w:rsidR="00773316" w:rsidRPr="00705170">
        <w:rPr>
          <w:rFonts w:ascii="Times New Roman" w:hAnsi="Times New Roman" w:cs="Times New Roman"/>
        </w:rPr>
        <w:t xml:space="preserve"> is </w:t>
      </w:r>
      <w:proofErr w:type="spellStart"/>
      <w:r w:rsidR="00773316" w:rsidRPr="00705170">
        <w:rPr>
          <w:rFonts w:ascii="Times New Roman" w:hAnsi="Times New Roman" w:cs="Times New Roman"/>
        </w:rPr>
        <w:t>easier</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to</w:t>
      </w:r>
      <w:proofErr w:type="spellEnd"/>
      <w:r w:rsidR="00773316" w:rsidRPr="00705170">
        <w:rPr>
          <w:rFonts w:ascii="Times New Roman" w:hAnsi="Times New Roman" w:cs="Times New Roman"/>
        </w:rPr>
        <w:t xml:space="preserve"> </w:t>
      </w:r>
      <w:proofErr w:type="spellStart"/>
      <w:r w:rsidR="00773316" w:rsidRPr="00705170">
        <w:rPr>
          <w:rFonts w:ascii="Times New Roman" w:hAnsi="Times New Roman" w:cs="Times New Roman"/>
        </w:rPr>
        <w:t>illustrate</w:t>
      </w:r>
      <w:proofErr w:type="spellEnd"/>
      <w:r w:rsidR="00773316" w:rsidRPr="00705170">
        <w:rPr>
          <w:rFonts w:ascii="Times New Roman" w:hAnsi="Times New Roman" w:cs="Times New Roman"/>
        </w:rPr>
        <w:t>.</w:t>
      </w:r>
      <w:r w:rsidR="00270E63" w:rsidRPr="00705170">
        <w:rPr>
          <w:rFonts w:ascii="Times New Roman" w:hAnsi="Times New Roman" w:cs="Times New Roman"/>
        </w:rPr>
        <w:t xml:space="preserve"> An </w:t>
      </w:r>
      <w:proofErr w:type="spellStart"/>
      <w:r w:rsidR="00270E63" w:rsidRPr="00705170">
        <w:rPr>
          <w:rFonts w:ascii="Times New Roman" w:hAnsi="Times New Roman" w:cs="Times New Roman"/>
        </w:rPr>
        <w:t>influencing</w:t>
      </w:r>
      <w:proofErr w:type="spellEnd"/>
      <w:r w:rsidR="00270E63" w:rsidRPr="00705170">
        <w:rPr>
          <w:rFonts w:ascii="Times New Roman" w:hAnsi="Times New Roman" w:cs="Times New Roman"/>
        </w:rPr>
        <w:t xml:space="preserve"> </w:t>
      </w:r>
      <w:proofErr w:type="spellStart"/>
      <w:r w:rsidR="00270E63" w:rsidRPr="00705170">
        <w:rPr>
          <w:rFonts w:ascii="Times New Roman" w:hAnsi="Times New Roman" w:cs="Times New Roman"/>
        </w:rPr>
        <w:t>shareholder</w:t>
      </w:r>
      <w:proofErr w:type="spellEnd"/>
      <w:r w:rsidR="00270E63" w:rsidRPr="00705170">
        <w:rPr>
          <w:rFonts w:ascii="Times New Roman" w:hAnsi="Times New Roman" w:cs="Times New Roman"/>
        </w:rPr>
        <w:t xml:space="preserve">, </w:t>
      </w:r>
      <w:proofErr w:type="spellStart"/>
      <w:r w:rsidR="00270E63" w:rsidRPr="00705170">
        <w:rPr>
          <w:rFonts w:ascii="Times New Roman" w:hAnsi="Times New Roman" w:cs="Times New Roman"/>
        </w:rPr>
        <w:t>who</w:t>
      </w:r>
      <w:proofErr w:type="spellEnd"/>
      <w:r w:rsidR="00270E63" w:rsidRPr="00705170">
        <w:rPr>
          <w:rFonts w:ascii="Times New Roman" w:hAnsi="Times New Roman" w:cs="Times New Roman"/>
        </w:rPr>
        <w:t xml:space="preserve"> is </w:t>
      </w:r>
      <w:proofErr w:type="spellStart"/>
      <w:r w:rsidR="00270E63" w:rsidRPr="00705170">
        <w:rPr>
          <w:rFonts w:ascii="Times New Roman" w:hAnsi="Times New Roman" w:cs="Times New Roman"/>
        </w:rPr>
        <w:t>associated</w:t>
      </w:r>
      <w:proofErr w:type="spellEnd"/>
      <w:r w:rsidR="00270E63" w:rsidRPr="00705170">
        <w:rPr>
          <w:rFonts w:ascii="Times New Roman" w:hAnsi="Times New Roman" w:cs="Times New Roman"/>
        </w:rPr>
        <w:t xml:space="preserve"> </w:t>
      </w:r>
      <w:proofErr w:type="spellStart"/>
      <w:r w:rsidR="00270E63" w:rsidRPr="00705170">
        <w:rPr>
          <w:rFonts w:ascii="Times New Roman" w:hAnsi="Times New Roman" w:cs="Times New Roman"/>
        </w:rPr>
        <w:t>with</w:t>
      </w:r>
      <w:proofErr w:type="spellEnd"/>
      <w:r w:rsidR="00270E63" w:rsidRPr="00705170">
        <w:rPr>
          <w:rFonts w:ascii="Times New Roman" w:hAnsi="Times New Roman" w:cs="Times New Roman"/>
        </w:rPr>
        <w:t xml:space="preserve"> </w:t>
      </w:r>
      <w:proofErr w:type="spellStart"/>
      <w:r w:rsidR="00270E63" w:rsidRPr="00705170">
        <w:rPr>
          <w:rFonts w:ascii="Times New Roman" w:hAnsi="Times New Roman" w:cs="Times New Roman"/>
        </w:rPr>
        <w:t>the</w:t>
      </w:r>
      <w:proofErr w:type="spellEnd"/>
      <w:r w:rsidR="00270E63" w:rsidRPr="00705170">
        <w:rPr>
          <w:rFonts w:ascii="Times New Roman" w:hAnsi="Times New Roman" w:cs="Times New Roman"/>
        </w:rPr>
        <w:t xml:space="preserve"> </w:t>
      </w:r>
      <w:proofErr w:type="spellStart"/>
      <w:r w:rsidR="00270E63" w:rsidRPr="00705170">
        <w:rPr>
          <w:rFonts w:ascii="Times New Roman" w:hAnsi="Times New Roman" w:cs="Times New Roman"/>
        </w:rPr>
        <w:t>corporation</w:t>
      </w:r>
      <w:proofErr w:type="spellEnd"/>
      <w:r w:rsidR="00270E63" w:rsidRPr="00705170">
        <w:rPr>
          <w:rFonts w:ascii="Times New Roman" w:hAnsi="Times New Roman" w:cs="Times New Roman"/>
        </w:rPr>
        <w:t xml:space="preserve"> </w:t>
      </w:r>
      <w:proofErr w:type="spellStart"/>
      <w:r w:rsidR="00270E63" w:rsidRPr="00705170">
        <w:rPr>
          <w:rFonts w:ascii="Times New Roman" w:hAnsi="Times New Roman" w:cs="Times New Roman"/>
        </w:rPr>
        <w:t>itself</w:t>
      </w:r>
      <w:proofErr w:type="spellEnd"/>
      <w:r w:rsidR="00270E63" w:rsidRPr="00705170">
        <w:rPr>
          <w:rFonts w:ascii="Times New Roman" w:hAnsi="Times New Roman" w:cs="Times New Roman"/>
        </w:rPr>
        <w:t xml:space="preserve"> </w:t>
      </w:r>
      <w:r w:rsidR="000453D4" w:rsidRPr="00705170">
        <w:rPr>
          <w:rFonts w:ascii="Times New Roman" w:hAnsi="Times New Roman" w:cs="Times New Roman"/>
        </w:rPr>
        <w:t xml:space="preserve">in </w:t>
      </w:r>
      <w:proofErr w:type="spellStart"/>
      <w:r w:rsidR="000453D4" w:rsidRPr="00705170">
        <w:rPr>
          <w:rFonts w:ascii="Times New Roman" w:hAnsi="Times New Roman" w:cs="Times New Roman"/>
        </w:rPr>
        <w:t>the</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eyes</w:t>
      </w:r>
      <w:proofErr w:type="spellEnd"/>
      <w:r w:rsidR="000453D4" w:rsidRPr="00705170">
        <w:rPr>
          <w:rFonts w:ascii="Times New Roman" w:hAnsi="Times New Roman" w:cs="Times New Roman"/>
        </w:rPr>
        <w:t xml:space="preserve"> of </w:t>
      </w:r>
      <w:proofErr w:type="spellStart"/>
      <w:r w:rsidR="000453D4" w:rsidRPr="00705170">
        <w:rPr>
          <w:rFonts w:ascii="Times New Roman" w:hAnsi="Times New Roman" w:cs="Times New Roman"/>
        </w:rPr>
        <w:t>public</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due</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to</w:t>
      </w:r>
      <w:proofErr w:type="spellEnd"/>
      <w:r w:rsidR="000453D4" w:rsidRPr="00705170">
        <w:rPr>
          <w:rFonts w:ascii="Times New Roman" w:hAnsi="Times New Roman" w:cs="Times New Roman"/>
        </w:rPr>
        <w:t xml:space="preserve"> his “</w:t>
      </w:r>
      <w:proofErr w:type="spellStart"/>
      <w:r w:rsidR="000453D4" w:rsidRPr="00705170">
        <w:rPr>
          <w:rFonts w:ascii="Times New Roman" w:hAnsi="Times New Roman" w:cs="Times New Roman"/>
        </w:rPr>
        <w:t>founder</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position</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or</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large</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shareholding</w:t>
      </w:r>
      <w:proofErr w:type="spellEnd"/>
      <w:r w:rsidR="000453D4" w:rsidRPr="00705170">
        <w:rPr>
          <w:rFonts w:ascii="Times New Roman" w:hAnsi="Times New Roman" w:cs="Times New Roman"/>
        </w:rPr>
        <w:t xml:space="preserve"> in </w:t>
      </w:r>
      <w:proofErr w:type="spellStart"/>
      <w:r w:rsidR="000453D4" w:rsidRPr="00705170">
        <w:rPr>
          <w:rFonts w:ascii="Times New Roman" w:hAnsi="Times New Roman" w:cs="Times New Roman"/>
        </w:rPr>
        <w:t>the</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corporation</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might</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easily</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damage</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the</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corporation’s</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reputation</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and</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harm</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its</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business</w:t>
      </w:r>
      <w:proofErr w:type="spellEnd"/>
      <w:r w:rsidR="00204591" w:rsidRPr="00705170">
        <w:rPr>
          <w:rFonts w:ascii="Times New Roman" w:hAnsi="Times New Roman" w:cs="Times New Roman"/>
        </w:rPr>
        <w:t xml:space="preserve"> </w:t>
      </w:r>
      <w:proofErr w:type="spellStart"/>
      <w:r w:rsidR="00204591" w:rsidRPr="00705170">
        <w:rPr>
          <w:rFonts w:ascii="Times New Roman" w:hAnsi="Times New Roman" w:cs="Times New Roman"/>
        </w:rPr>
        <w:t>or</w:t>
      </w:r>
      <w:proofErr w:type="spellEnd"/>
      <w:r w:rsidR="00204591" w:rsidRPr="00705170">
        <w:rPr>
          <w:rFonts w:ascii="Times New Roman" w:hAnsi="Times New Roman" w:cs="Times New Roman"/>
        </w:rPr>
        <w:t xml:space="preserve"> </w:t>
      </w:r>
      <w:proofErr w:type="spellStart"/>
      <w:r w:rsidR="00204591" w:rsidRPr="00705170">
        <w:rPr>
          <w:rFonts w:ascii="Times New Roman" w:hAnsi="Times New Roman" w:cs="Times New Roman"/>
        </w:rPr>
        <w:t>valuation</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by</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publicly</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making</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outrag</w:t>
      </w:r>
      <w:r w:rsidRPr="00705170">
        <w:rPr>
          <w:rFonts w:ascii="Times New Roman" w:hAnsi="Times New Roman" w:cs="Times New Roman"/>
        </w:rPr>
        <w:t>e</w:t>
      </w:r>
      <w:r w:rsidR="000453D4" w:rsidRPr="00705170">
        <w:rPr>
          <w:rFonts w:ascii="Times New Roman" w:hAnsi="Times New Roman" w:cs="Times New Roman"/>
        </w:rPr>
        <w:t>ous</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comments</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about</w:t>
      </w:r>
      <w:proofErr w:type="spellEnd"/>
      <w:r w:rsidR="000453D4" w:rsidRPr="00705170">
        <w:rPr>
          <w:rFonts w:ascii="Times New Roman" w:hAnsi="Times New Roman" w:cs="Times New Roman"/>
        </w:rPr>
        <w:t xml:space="preserve"> a </w:t>
      </w:r>
      <w:proofErr w:type="spellStart"/>
      <w:r w:rsidR="000453D4" w:rsidRPr="00705170">
        <w:rPr>
          <w:rFonts w:ascii="Times New Roman" w:hAnsi="Times New Roman" w:cs="Times New Roman"/>
        </w:rPr>
        <w:t>fraction</w:t>
      </w:r>
      <w:proofErr w:type="spellEnd"/>
      <w:r w:rsidR="000453D4" w:rsidRPr="00705170">
        <w:rPr>
          <w:rFonts w:ascii="Times New Roman" w:hAnsi="Times New Roman" w:cs="Times New Roman"/>
        </w:rPr>
        <w:t xml:space="preserve"> of a </w:t>
      </w:r>
      <w:proofErr w:type="spellStart"/>
      <w:r w:rsidR="000453D4" w:rsidRPr="00705170">
        <w:rPr>
          <w:rFonts w:ascii="Times New Roman" w:hAnsi="Times New Roman" w:cs="Times New Roman"/>
        </w:rPr>
        <w:t>community</w:t>
      </w:r>
      <w:proofErr w:type="spellEnd"/>
      <w:r w:rsidR="000453D4" w:rsidRPr="00705170">
        <w:rPr>
          <w:rFonts w:ascii="Times New Roman" w:hAnsi="Times New Roman" w:cs="Times New Roman"/>
        </w:rPr>
        <w:t xml:space="preserve"> in </w:t>
      </w:r>
      <w:proofErr w:type="spellStart"/>
      <w:r w:rsidR="000453D4" w:rsidRPr="00705170">
        <w:rPr>
          <w:rFonts w:ascii="Times New Roman" w:hAnsi="Times New Roman" w:cs="Times New Roman"/>
        </w:rPr>
        <w:t>which</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the</w:t>
      </w:r>
      <w:proofErr w:type="spellEnd"/>
      <w:r w:rsidR="000453D4" w:rsidRPr="00705170">
        <w:rPr>
          <w:rFonts w:ascii="Times New Roman" w:hAnsi="Times New Roman" w:cs="Times New Roman"/>
        </w:rPr>
        <w:t xml:space="preserve"> </w:t>
      </w:r>
      <w:proofErr w:type="spellStart"/>
      <w:r w:rsidR="000453D4" w:rsidRPr="00705170">
        <w:rPr>
          <w:rFonts w:ascii="Times New Roman" w:hAnsi="Times New Roman" w:cs="Times New Roman"/>
        </w:rPr>
        <w:t>corporation</w:t>
      </w:r>
      <w:proofErr w:type="spellEnd"/>
      <w:r w:rsidR="000453D4" w:rsidRPr="00705170">
        <w:rPr>
          <w:rFonts w:ascii="Times New Roman" w:hAnsi="Times New Roman" w:cs="Times New Roman"/>
        </w:rPr>
        <w:t xml:space="preserve"> has </w:t>
      </w:r>
      <w:proofErr w:type="spellStart"/>
      <w:r w:rsidR="000453D4" w:rsidRPr="00705170">
        <w:rPr>
          <w:rFonts w:ascii="Times New Roman" w:hAnsi="Times New Roman" w:cs="Times New Roman"/>
        </w:rPr>
        <w:t>customers</w:t>
      </w:r>
      <w:proofErr w:type="spellEnd"/>
      <w:r w:rsidR="00204591" w:rsidRPr="00705170">
        <w:rPr>
          <w:rFonts w:ascii="Times New Roman" w:hAnsi="Times New Roman" w:cs="Times New Roman"/>
        </w:rPr>
        <w:t xml:space="preserve"> </w:t>
      </w:r>
      <w:proofErr w:type="spellStart"/>
      <w:r w:rsidR="00204591" w:rsidRPr="00705170">
        <w:rPr>
          <w:rFonts w:ascii="Times New Roman" w:hAnsi="Times New Roman" w:cs="Times New Roman"/>
        </w:rPr>
        <w:t>or</w:t>
      </w:r>
      <w:proofErr w:type="spellEnd"/>
      <w:r w:rsidR="00204591" w:rsidRPr="00705170">
        <w:rPr>
          <w:rFonts w:ascii="Times New Roman" w:hAnsi="Times New Roman" w:cs="Times New Roman"/>
        </w:rPr>
        <w:t xml:space="preserve"> </w:t>
      </w:r>
      <w:proofErr w:type="spellStart"/>
      <w:r w:rsidR="00204591" w:rsidRPr="00705170">
        <w:rPr>
          <w:rFonts w:ascii="Times New Roman" w:hAnsi="Times New Roman" w:cs="Times New Roman"/>
        </w:rPr>
        <w:t>lenders</w:t>
      </w:r>
      <w:proofErr w:type="spellEnd"/>
      <w:r w:rsidR="009A3707" w:rsidRPr="00705170">
        <w:rPr>
          <w:rStyle w:val="DipnotBavurusu"/>
          <w:rFonts w:ascii="Times New Roman" w:hAnsi="Times New Roman" w:cs="Times New Roman"/>
        </w:rPr>
        <w:footnoteReference w:id="201"/>
      </w:r>
      <w:r w:rsidR="00204591" w:rsidRPr="00705170">
        <w:rPr>
          <w:rFonts w:ascii="Times New Roman" w:hAnsi="Times New Roman" w:cs="Times New Roman"/>
        </w:rPr>
        <w:t>.</w:t>
      </w:r>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While</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this</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outside</w:t>
      </w:r>
      <w:proofErr w:type="spellEnd"/>
      <w:r w:rsidR="009A3707" w:rsidRPr="00705170">
        <w:rPr>
          <w:rFonts w:ascii="Times New Roman" w:hAnsi="Times New Roman" w:cs="Times New Roman"/>
        </w:rPr>
        <w:t xml:space="preserve"> </w:t>
      </w:r>
      <w:r w:rsidR="005D0D82" w:rsidRPr="00705170">
        <w:rPr>
          <w:rFonts w:ascii="Times New Roman" w:hAnsi="Times New Roman" w:cs="Times New Roman"/>
        </w:rPr>
        <w:t>(</w:t>
      </w:r>
      <w:proofErr w:type="spellStart"/>
      <w:r w:rsidR="005D0D82" w:rsidRPr="00705170">
        <w:rPr>
          <w:rFonts w:ascii="Times New Roman" w:hAnsi="Times New Roman" w:cs="Times New Roman"/>
        </w:rPr>
        <w:t>external</w:t>
      </w:r>
      <w:proofErr w:type="spellEnd"/>
      <w:r w:rsidR="005D0D82" w:rsidRPr="00705170">
        <w:rPr>
          <w:rFonts w:ascii="Times New Roman" w:hAnsi="Times New Roman" w:cs="Times New Roman"/>
        </w:rPr>
        <w:t xml:space="preserve">) </w:t>
      </w:r>
      <w:proofErr w:type="spellStart"/>
      <w:r w:rsidR="009A3707" w:rsidRPr="00705170">
        <w:rPr>
          <w:rFonts w:ascii="Times New Roman" w:hAnsi="Times New Roman" w:cs="Times New Roman"/>
        </w:rPr>
        <w:t>action</w:t>
      </w:r>
      <w:proofErr w:type="spellEnd"/>
      <w:r w:rsidR="009A3707" w:rsidRPr="00705170">
        <w:rPr>
          <w:rFonts w:ascii="Times New Roman" w:hAnsi="Times New Roman" w:cs="Times New Roman"/>
        </w:rPr>
        <w:t xml:space="preserve"> can </w:t>
      </w:r>
      <w:proofErr w:type="spellStart"/>
      <w:r w:rsidR="009A3707" w:rsidRPr="00705170">
        <w:rPr>
          <w:rFonts w:ascii="Times New Roman" w:hAnsi="Times New Roman" w:cs="Times New Roman"/>
        </w:rPr>
        <w:t>harm</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the</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corporation’s</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well</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being</w:t>
      </w:r>
      <w:proofErr w:type="spellEnd"/>
      <w:r w:rsidR="009A3707" w:rsidRPr="00705170">
        <w:rPr>
          <w:rFonts w:ascii="Times New Roman" w:hAnsi="Times New Roman" w:cs="Times New Roman"/>
        </w:rPr>
        <w:t xml:space="preserve">, it </w:t>
      </w:r>
      <w:proofErr w:type="spellStart"/>
      <w:r w:rsidR="009A3707" w:rsidRPr="00705170">
        <w:rPr>
          <w:rFonts w:ascii="Times New Roman" w:hAnsi="Times New Roman" w:cs="Times New Roman"/>
        </w:rPr>
        <w:t>would</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also</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influence</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the</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corporate</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management</w:t>
      </w:r>
      <w:proofErr w:type="spellEnd"/>
      <w:r w:rsidR="009A3707" w:rsidRPr="00705170">
        <w:rPr>
          <w:rFonts w:ascii="Times New Roman" w:hAnsi="Times New Roman" w:cs="Times New Roman"/>
        </w:rPr>
        <w:t xml:space="preserve"> </w:t>
      </w:r>
      <w:proofErr w:type="spellStart"/>
      <w:r w:rsidR="00204591" w:rsidRPr="00705170">
        <w:rPr>
          <w:rFonts w:ascii="Times New Roman" w:hAnsi="Times New Roman" w:cs="Times New Roman"/>
        </w:rPr>
        <w:t>while</w:t>
      </w:r>
      <w:proofErr w:type="spellEnd"/>
      <w:r w:rsidR="00204591" w:rsidRPr="00705170">
        <w:rPr>
          <w:rFonts w:ascii="Times New Roman" w:hAnsi="Times New Roman" w:cs="Times New Roman"/>
        </w:rPr>
        <w:t xml:space="preserve"> </w:t>
      </w:r>
      <w:proofErr w:type="spellStart"/>
      <w:r w:rsidR="009A3707" w:rsidRPr="00705170">
        <w:rPr>
          <w:rFonts w:ascii="Times New Roman" w:hAnsi="Times New Roman" w:cs="Times New Roman"/>
        </w:rPr>
        <w:t>making</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business</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decisions</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The</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management</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might</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try</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to</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compensate</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the</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loss</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caused</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by</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the</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shareholder</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certain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ways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009A3707" w:rsidRPr="00705170">
        <w:rPr>
          <w:rFonts w:ascii="Times New Roman" w:hAnsi="Times New Roman" w:cs="Times New Roman"/>
        </w:rPr>
        <w:t>advertisement</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campaigns</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or</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they</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might</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align</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with</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the</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shareholder’s</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view</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and</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operate</w:t>
      </w:r>
      <w:proofErr w:type="spellEnd"/>
      <w:r w:rsidR="009A3707" w:rsidRPr="00705170">
        <w:rPr>
          <w:rFonts w:ascii="Times New Roman" w:hAnsi="Times New Roman" w:cs="Times New Roman"/>
        </w:rPr>
        <w:t xml:space="preserve"> </w:t>
      </w:r>
      <w:proofErr w:type="spellStart"/>
      <w:r w:rsidR="009A3707" w:rsidRPr="00705170">
        <w:rPr>
          <w:rFonts w:ascii="Times New Roman" w:hAnsi="Times New Roman" w:cs="Times New Roman"/>
        </w:rPr>
        <w:t>accordingly</w:t>
      </w:r>
      <w:proofErr w:type="spellEnd"/>
      <w:r w:rsidR="009A3707" w:rsidRPr="00705170">
        <w:rPr>
          <w:rFonts w:ascii="Times New Roman" w:hAnsi="Times New Roman" w:cs="Times New Roman"/>
        </w:rPr>
        <w:t>.</w:t>
      </w:r>
    </w:p>
    <w:p w14:paraId="70C9A20E" w14:textId="59C96D62" w:rsidR="00E513F4" w:rsidRPr="00705170" w:rsidRDefault="008818E5" w:rsidP="00E513F4">
      <w:pPr>
        <w:spacing w:after="240" w:line="480" w:lineRule="auto"/>
        <w:jc w:val="both"/>
        <w:rPr>
          <w:rFonts w:ascii="Times New Roman" w:hAnsi="Times New Roman" w:cs="Times New Roman"/>
          <w:b/>
        </w:rPr>
      </w:pPr>
      <w:r w:rsidRPr="00705170">
        <w:rPr>
          <w:rFonts w:ascii="Times New Roman" w:hAnsi="Times New Roman" w:cs="Times New Roman"/>
          <w:b/>
        </w:rPr>
        <w:tab/>
        <w:t xml:space="preserve">2.3. </w:t>
      </w:r>
      <w:proofErr w:type="spellStart"/>
      <w:r w:rsidRPr="00705170">
        <w:rPr>
          <w:rFonts w:ascii="Times New Roman" w:hAnsi="Times New Roman" w:cs="Times New Roman"/>
          <w:b/>
        </w:rPr>
        <w:t>The</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Transaction</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Based</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System</w:t>
      </w:r>
      <w:proofErr w:type="spellEnd"/>
    </w:p>
    <w:p w14:paraId="7E19AD01" w14:textId="11C6A701" w:rsidR="00E513F4" w:rsidRPr="00705170" w:rsidRDefault="00E513F4" w:rsidP="005E5ABC">
      <w:pPr>
        <w:spacing w:after="240" w:line="480" w:lineRule="auto"/>
        <w:ind w:firstLine="720"/>
        <w:jc w:val="both"/>
        <w:rPr>
          <w:rFonts w:ascii="Times New Roman" w:hAnsi="Times New Roman" w:cs="Times New Roman"/>
          <w:b/>
        </w:rPr>
      </w:pPr>
      <w:r w:rsidRPr="00705170">
        <w:rPr>
          <w:rFonts w:ascii="Times New Roman" w:hAnsi="Times New Roman" w:cs="Times New Roman"/>
          <w:b/>
        </w:rPr>
        <w:lastRenderedPageBreak/>
        <w:t xml:space="preserve">2.3.1. </w:t>
      </w:r>
      <w:proofErr w:type="spellStart"/>
      <w:r w:rsidRPr="00705170">
        <w:rPr>
          <w:rFonts w:ascii="Times New Roman" w:hAnsi="Times New Roman" w:cs="Times New Roman"/>
          <w:b/>
        </w:rPr>
        <w:t>Generally</w:t>
      </w:r>
      <w:proofErr w:type="spellEnd"/>
    </w:p>
    <w:p w14:paraId="7DE314F5" w14:textId="032E2C6D" w:rsidR="00D467F5" w:rsidRPr="00705170" w:rsidRDefault="00D467F5" w:rsidP="005E5ABC">
      <w:pPr>
        <w:spacing w:after="240" w:line="480" w:lineRule="auto"/>
        <w:ind w:firstLine="720"/>
        <w:jc w:val="both"/>
        <w:rPr>
          <w:rFonts w:ascii="Times New Roman" w:hAnsi="Times New Roman" w:cs="Times New Roman"/>
        </w:rPr>
      </w:pPr>
      <w:r w:rsidRPr="00705170">
        <w:rPr>
          <w:rFonts w:ascii="Times New Roman" w:hAnsi="Times New Roman" w:cs="Times New Roman"/>
        </w:rPr>
        <w:t xml:space="preserve">As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California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wisely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control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activities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themselves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in a </w:t>
      </w:r>
      <w:proofErr w:type="spellStart"/>
      <w:r w:rsidRPr="00705170">
        <w:rPr>
          <w:rFonts w:ascii="Times New Roman" w:hAnsi="Times New Roman" w:cs="Times New Roman"/>
        </w:rPr>
        <w:t>manner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detrimental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put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control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proportionately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must</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conflict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proper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conduct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202"/>
      </w:r>
      <w:r w:rsidRPr="00705170">
        <w:rPr>
          <w:rFonts w:ascii="Times New Roman" w:hAnsi="Times New Roman" w:cs="Times New Roman"/>
        </w:rPr>
        <w:t xml:space="preserve">. </w:t>
      </w:r>
      <w:proofErr w:type="spellStart"/>
      <w:r w:rsidRPr="00705170">
        <w:rPr>
          <w:rFonts w:ascii="Times New Roman" w:hAnsi="Times New Roman" w:cs="Times New Roman"/>
        </w:rPr>
        <w:t>Although</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simple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say, </w:t>
      </w:r>
      <w:proofErr w:type="spellStart"/>
      <w:r w:rsidRPr="00705170">
        <w:rPr>
          <w:rFonts w:ascii="Times New Roman" w:hAnsi="Times New Roman" w:cs="Times New Roman"/>
        </w:rPr>
        <w:t>finding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legal </w:t>
      </w:r>
      <w:proofErr w:type="spellStart"/>
      <w:r w:rsidRPr="00705170">
        <w:rPr>
          <w:rFonts w:ascii="Times New Roman" w:hAnsi="Times New Roman" w:cs="Times New Roman"/>
        </w:rPr>
        <w:t>basis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000B1108">
        <w:rPr>
          <w:rFonts w:ascii="Times New Roman" w:hAnsi="Times New Roman" w:cs="Times New Roman"/>
        </w:rPr>
        <w:t>facts</w:t>
      </w:r>
      <w:proofErr w:type="spellEnd"/>
      <w:r w:rsidR="000B1108"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responsibility</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difficult</w:t>
      </w:r>
      <w:proofErr w:type="spellEnd"/>
      <w:r w:rsidRPr="00705170">
        <w:rPr>
          <w:rFonts w:ascii="Times New Roman" w:hAnsi="Times New Roman" w:cs="Times New Roman"/>
        </w:rPr>
        <w:t>.</w:t>
      </w:r>
    </w:p>
    <w:p w14:paraId="52F61BC3" w14:textId="3C393E5F" w:rsidR="005E5ABC" w:rsidRPr="00705170" w:rsidRDefault="005E5ABC" w:rsidP="00BC4DCA">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terms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affairs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operates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conscientious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disagreements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respect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policy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inevitable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ordinarily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reconcilable</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203"/>
      </w:r>
      <w:r w:rsidRPr="00705170">
        <w:rPr>
          <w:rFonts w:ascii="Times New Roman" w:hAnsi="Times New Roman" w:cs="Times New Roman"/>
        </w:rPr>
        <w:t xml:space="preserve">. </w:t>
      </w:r>
      <w:proofErr w:type="spellStart"/>
      <w:r w:rsidR="00BC4DCA" w:rsidRPr="00705170">
        <w:rPr>
          <w:rFonts w:ascii="Times New Roman" w:hAnsi="Times New Roman" w:cs="Times New Roman"/>
        </w:rPr>
        <w:t>In</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this</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case</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shareholders</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have</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two</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protections</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against</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perceived</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inadequate</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business</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performance</w:t>
      </w:r>
      <w:proofErr w:type="spellEnd"/>
      <w:r w:rsidR="00BC4DCA" w:rsidRPr="00705170">
        <w:rPr>
          <w:rFonts w:ascii="Times New Roman" w:hAnsi="Times New Roman" w:cs="Times New Roman"/>
        </w:rPr>
        <w:t xml:space="preserve"> in </w:t>
      </w:r>
      <w:proofErr w:type="spellStart"/>
      <w:r w:rsidR="00BC4DCA" w:rsidRPr="00705170">
        <w:rPr>
          <w:rFonts w:ascii="Times New Roman" w:hAnsi="Times New Roman" w:cs="Times New Roman"/>
        </w:rPr>
        <w:t>publicly</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traded</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corporations</w:t>
      </w:r>
      <w:proofErr w:type="spellEnd"/>
      <w:r w:rsidR="00BC4DCA" w:rsidRPr="00705170">
        <w:rPr>
          <w:rFonts w:ascii="Times New Roman" w:hAnsi="Times New Roman" w:cs="Times New Roman"/>
        </w:rPr>
        <w:t>. “</w:t>
      </w:r>
      <w:proofErr w:type="spellStart"/>
      <w:r w:rsidR="00BC4DCA" w:rsidRPr="00705170">
        <w:rPr>
          <w:rFonts w:ascii="Times New Roman" w:hAnsi="Times New Roman" w:cs="Times New Roman"/>
        </w:rPr>
        <w:t>They</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may</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sell</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their</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stock</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which</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if</w:t>
      </w:r>
      <w:proofErr w:type="spellEnd"/>
      <w:r w:rsidR="00BC4DCA" w:rsidRPr="00705170">
        <w:rPr>
          <w:rFonts w:ascii="Times New Roman" w:hAnsi="Times New Roman" w:cs="Times New Roman"/>
        </w:rPr>
        <w:t xml:space="preserve"> </w:t>
      </w:r>
      <w:proofErr w:type="gramStart"/>
      <w:r w:rsidR="00BC4DCA" w:rsidRPr="00705170">
        <w:rPr>
          <w:rFonts w:ascii="Times New Roman" w:hAnsi="Times New Roman" w:cs="Times New Roman"/>
        </w:rPr>
        <w:t>done</w:t>
      </w:r>
      <w:proofErr w:type="gramEnd"/>
      <w:r w:rsidR="00BC4DCA" w:rsidRPr="00705170">
        <w:rPr>
          <w:rFonts w:ascii="Times New Roman" w:hAnsi="Times New Roman" w:cs="Times New Roman"/>
        </w:rPr>
        <w:t xml:space="preserve"> in </w:t>
      </w:r>
      <w:proofErr w:type="spellStart"/>
      <w:r w:rsidR="00BC4DCA" w:rsidRPr="00705170">
        <w:rPr>
          <w:rFonts w:ascii="Times New Roman" w:hAnsi="Times New Roman" w:cs="Times New Roman"/>
        </w:rPr>
        <w:t>sufficient</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numbers</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may</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so</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affect</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security</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prices</w:t>
      </w:r>
      <w:proofErr w:type="spellEnd"/>
      <w:r w:rsidR="00BC4DCA" w:rsidRPr="00705170">
        <w:rPr>
          <w:rFonts w:ascii="Times New Roman" w:hAnsi="Times New Roman" w:cs="Times New Roman"/>
        </w:rPr>
        <w:t xml:space="preserve"> as </w:t>
      </w:r>
      <w:proofErr w:type="spellStart"/>
      <w:r w:rsidR="00BC4DCA" w:rsidRPr="00705170">
        <w:rPr>
          <w:rFonts w:ascii="Times New Roman" w:hAnsi="Times New Roman" w:cs="Times New Roman"/>
        </w:rPr>
        <w:t>to</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create</w:t>
      </w:r>
      <w:proofErr w:type="spellEnd"/>
      <w:r w:rsidR="00BC4DCA" w:rsidRPr="00705170">
        <w:rPr>
          <w:rFonts w:ascii="Times New Roman" w:hAnsi="Times New Roman" w:cs="Times New Roman"/>
        </w:rPr>
        <w:t xml:space="preserve"> an </w:t>
      </w:r>
      <w:proofErr w:type="spellStart"/>
      <w:r w:rsidR="00BC4DCA" w:rsidRPr="00705170">
        <w:rPr>
          <w:rFonts w:ascii="Times New Roman" w:hAnsi="Times New Roman" w:cs="Times New Roman"/>
        </w:rPr>
        <w:t>incentive</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for</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altered</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managerial</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performance</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or</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they</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may</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vote</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to</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replace</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incumbent</w:t>
      </w:r>
      <w:proofErr w:type="spellEnd"/>
      <w:r w:rsidR="00BC4DCA" w:rsidRPr="00705170">
        <w:rPr>
          <w:rFonts w:ascii="Times New Roman" w:hAnsi="Times New Roman" w:cs="Times New Roman"/>
        </w:rPr>
        <w:t xml:space="preserve"> board </w:t>
      </w:r>
      <w:proofErr w:type="spellStart"/>
      <w:r w:rsidR="00BC4DCA" w:rsidRPr="00705170">
        <w:rPr>
          <w:rFonts w:ascii="Times New Roman" w:hAnsi="Times New Roman" w:cs="Times New Roman"/>
        </w:rPr>
        <w:t>members</w:t>
      </w:r>
      <w:proofErr w:type="spellEnd"/>
      <w:r w:rsidR="00BC4DCA" w:rsidRPr="00705170">
        <w:rPr>
          <w:rFonts w:ascii="Times New Roman" w:hAnsi="Times New Roman" w:cs="Times New Roman"/>
        </w:rPr>
        <w:t>.”</w:t>
      </w:r>
      <w:r w:rsidR="00BC4DCA" w:rsidRPr="00705170">
        <w:rPr>
          <w:rStyle w:val="DipnotBavurusu"/>
          <w:rFonts w:ascii="Times New Roman" w:hAnsi="Times New Roman" w:cs="Times New Roman"/>
        </w:rPr>
        <w:footnoteReference w:id="204"/>
      </w:r>
      <w:r w:rsidR="00BC4DCA" w:rsidRPr="00705170">
        <w:rPr>
          <w:rFonts w:ascii="Times New Roman" w:hAnsi="Times New Roman" w:cs="Times New Roman"/>
        </w:rPr>
        <w:t xml:space="preserve"> On </w:t>
      </w:r>
      <w:proofErr w:type="spellStart"/>
      <w:r w:rsidR="00BC4DCA" w:rsidRPr="00705170">
        <w:rPr>
          <w:rFonts w:ascii="Times New Roman" w:hAnsi="Times New Roman" w:cs="Times New Roman"/>
        </w:rPr>
        <w:t>the</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other</w:t>
      </w:r>
      <w:proofErr w:type="spellEnd"/>
      <w:r w:rsidR="00BC4DCA" w:rsidRPr="00705170">
        <w:rPr>
          <w:rFonts w:ascii="Times New Roman" w:hAnsi="Times New Roman" w:cs="Times New Roman"/>
        </w:rPr>
        <w:t xml:space="preserve"> </w:t>
      </w:r>
      <w:proofErr w:type="spellStart"/>
      <w:r w:rsidR="00BC4DCA" w:rsidRPr="00705170">
        <w:rPr>
          <w:rFonts w:ascii="Times New Roman" w:hAnsi="Times New Roman" w:cs="Times New Roman"/>
        </w:rPr>
        <w:t>hand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grounds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relief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disagreement</w:t>
      </w:r>
      <w:proofErr w:type="spellEnd"/>
      <w:r w:rsidRPr="00705170">
        <w:rPr>
          <w:rFonts w:ascii="Times New Roman" w:hAnsi="Times New Roman" w:cs="Times New Roman"/>
        </w:rPr>
        <w:t xml:space="preserve"> is not “</w:t>
      </w:r>
      <w:proofErr w:type="spellStart"/>
      <w:r w:rsidRPr="00705170">
        <w:rPr>
          <w:rFonts w:ascii="Times New Roman" w:hAnsi="Times New Roman" w:cs="Times New Roman"/>
        </w:rPr>
        <w:t>conscientious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fraud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illegality</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shown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chall</w:t>
      </w:r>
      <w:r w:rsidR="00230D15" w:rsidRPr="00705170">
        <w:rPr>
          <w:rFonts w:ascii="Times New Roman" w:hAnsi="Times New Roman" w:cs="Times New Roman"/>
        </w:rPr>
        <w:t>enging</w:t>
      </w:r>
      <w:proofErr w:type="spellEnd"/>
      <w:r w:rsidR="00230D15" w:rsidRPr="00705170">
        <w:rPr>
          <w:rFonts w:ascii="Times New Roman" w:hAnsi="Times New Roman" w:cs="Times New Roman"/>
        </w:rPr>
        <w:t xml:space="preserve"> </w:t>
      </w:r>
      <w:proofErr w:type="spellStart"/>
      <w:r w:rsidR="00230D15" w:rsidRPr="00705170">
        <w:rPr>
          <w:rFonts w:ascii="Times New Roman" w:hAnsi="Times New Roman" w:cs="Times New Roman"/>
        </w:rPr>
        <w:t>to</w:t>
      </w:r>
      <w:proofErr w:type="spellEnd"/>
      <w:r w:rsidR="00230D15" w:rsidRPr="00705170">
        <w:rPr>
          <w:rFonts w:ascii="Times New Roman" w:hAnsi="Times New Roman" w:cs="Times New Roman"/>
        </w:rPr>
        <w:t xml:space="preserve"> </w:t>
      </w:r>
      <w:proofErr w:type="spellStart"/>
      <w:r w:rsidR="00230D15" w:rsidRPr="00705170">
        <w:rPr>
          <w:rFonts w:ascii="Times New Roman" w:hAnsi="Times New Roman" w:cs="Times New Roman"/>
        </w:rPr>
        <w:t>grant</w:t>
      </w:r>
      <w:proofErr w:type="spellEnd"/>
      <w:r w:rsidR="00230D15" w:rsidRPr="00705170">
        <w:rPr>
          <w:rFonts w:ascii="Times New Roman" w:hAnsi="Times New Roman" w:cs="Times New Roman"/>
        </w:rPr>
        <w:t xml:space="preserve"> a </w:t>
      </w:r>
      <w:proofErr w:type="spellStart"/>
      <w:r w:rsidR="00230D15" w:rsidRPr="00705170">
        <w:rPr>
          <w:rFonts w:ascii="Times New Roman" w:hAnsi="Times New Roman" w:cs="Times New Roman"/>
        </w:rPr>
        <w:t>relief</w:t>
      </w:r>
      <w:proofErr w:type="spellEnd"/>
      <w:r w:rsidR="00230D15" w:rsidRPr="00705170">
        <w:rPr>
          <w:rFonts w:ascii="Times New Roman" w:hAnsi="Times New Roman" w:cs="Times New Roman"/>
        </w:rPr>
        <w:t xml:space="preserve"> </w:t>
      </w:r>
      <w:proofErr w:type="spellStart"/>
      <w:r w:rsidR="00230D15" w:rsidRPr="00705170">
        <w:rPr>
          <w:rFonts w:ascii="Times New Roman" w:hAnsi="Times New Roman" w:cs="Times New Roman"/>
        </w:rPr>
        <w:t>for</w:t>
      </w:r>
      <w:proofErr w:type="spellEnd"/>
      <w:r w:rsidR="00230D15" w:rsidRPr="00705170">
        <w:rPr>
          <w:rFonts w:ascii="Times New Roman" w:hAnsi="Times New Roman" w:cs="Times New Roman"/>
        </w:rPr>
        <w:t xml:space="preserve"> an </w:t>
      </w:r>
      <w:proofErr w:type="spellStart"/>
      <w:r w:rsidR="00230D15" w:rsidRPr="00705170">
        <w:rPr>
          <w:rFonts w:ascii="Times New Roman" w:hAnsi="Times New Roman" w:cs="Times New Roman"/>
        </w:rPr>
        <w:t>oppressive</w:t>
      </w:r>
      <w:proofErr w:type="spellEnd"/>
      <w:r w:rsidR="00230D15" w:rsidRPr="00705170">
        <w:rPr>
          <w:rFonts w:ascii="Times New Roman" w:hAnsi="Times New Roman" w:cs="Times New Roman"/>
        </w:rPr>
        <w:t xml:space="preserve"> </w:t>
      </w:r>
      <w:proofErr w:type="spellStart"/>
      <w:r w:rsidR="00230D15" w:rsidRPr="00705170">
        <w:rPr>
          <w:rFonts w:ascii="Times New Roman" w:hAnsi="Times New Roman" w:cs="Times New Roman"/>
        </w:rPr>
        <w:t>conduct</w:t>
      </w:r>
      <w:proofErr w:type="spellEnd"/>
      <w:r w:rsidRPr="00705170">
        <w:rPr>
          <w:rFonts w:ascii="Times New Roman" w:hAnsi="Times New Roman" w:cs="Times New Roman"/>
        </w:rPr>
        <w:t xml:space="preserve"> as an </w:t>
      </w:r>
      <w:proofErr w:type="spellStart"/>
      <w:r w:rsidRPr="00705170">
        <w:rPr>
          <w:rFonts w:ascii="Times New Roman" w:hAnsi="Times New Roman" w:cs="Times New Roman"/>
        </w:rPr>
        <w:t>independent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ground</w:t>
      </w:r>
      <w:proofErr w:type="spellEnd"/>
      <w:r w:rsidR="00230D15"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absent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specific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claimant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fraud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illegality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mismanagement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wasting</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assets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deadlock</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grounds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concerning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Style w:val="DipnotBavurusu"/>
          <w:rFonts w:ascii="Times New Roman" w:hAnsi="Times New Roman" w:cs="Times New Roman"/>
        </w:rPr>
        <w:footnoteReference w:id="205"/>
      </w:r>
      <w:r w:rsidRPr="00705170">
        <w:rPr>
          <w:rFonts w:ascii="Times New Roman" w:hAnsi="Times New Roman" w:cs="Times New Roman"/>
        </w:rPr>
        <w:t xml:space="preserve">. </w:t>
      </w:r>
    </w:p>
    <w:p w14:paraId="7A5BC959" w14:textId="1D6B00F4" w:rsidR="0048131F" w:rsidRPr="00705170" w:rsidRDefault="005E5ABC" w:rsidP="005E5ABC">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Conventional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principles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control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judgment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w:t>
      </w:r>
      <w:proofErr w:type="spellEnd"/>
      <w:r w:rsidRPr="00705170">
        <w:rPr>
          <w:rFonts w:ascii="Times New Roman" w:hAnsi="Times New Roman" w:cs="Times New Roman"/>
        </w:rPr>
        <w:t>”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derivatives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hands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unbridled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privilege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as it </w:t>
      </w:r>
      <w:proofErr w:type="spellStart"/>
      <w:r w:rsidRPr="00705170">
        <w:rPr>
          <w:rFonts w:ascii="Times New Roman" w:hAnsi="Times New Roman" w:cs="Times New Roman"/>
        </w:rPr>
        <w:t>saw</w:t>
      </w:r>
      <w:proofErr w:type="spellEnd"/>
      <w:r w:rsidRPr="00705170">
        <w:rPr>
          <w:rFonts w:ascii="Times New Roman" w:hAnsi="Times New Roman" w:cs="Times New Roman"/>
        </w:rPr>
        <w:t xml:space="preserve"> fit” </w:t>
      </w:r>
      <w:proofErr w:type="spellStart"/>
      <w:r w:rsidRPr="00705170">
        <w:rPr>
          <w:rFonts w:ascii="Times New Roman" w:hAnsi="Times New Roman" w:cs="Times New Roman"/>
        </w:rPr>
        <w:lastRenderedPageBreak/>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0B1108">
        <w:rPr>
          <w:rFonts w:ascii="Times New Roman" w:hAnsi="Times New Roman" w:cs="Times New Roman"/>
        </w:rPr>
        <w:t>majority</w:t>
      </w:r>
      <w:proofErr w:type="spellEnd"/>
      <w:r w:rsidR="000B1108">
        <w:rPr>
          <w:rFonts w:ascii="Times New Roman" w:hAnsi="Times New Roman" w:cs="Times New Roman"/>
        </w:rPr>
        <w:t xml:space="preserve"> of</w:t>
      </w:r>
      <w:r w:rsidR="000B1108"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Style w:val="DipnotBavurusu"/>
          <w:rFonts w:ascii="Times New Roman" w:hAnsi="Times New Roman" w:cs="Times New Roman"/>
        </w:rPr>
        <w:footnoteReference w:id="206"/>
      </w:r>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and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fails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curb</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any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abuse</w:t>
      </w:r>
      <w:proofErr w:type="spellEnd"/>
      <w:r w:rsidR="00E513F4" w:rsidRPr="00705170">
        <w:rPr>
          <w:rStyle w:val="DipnotBavurusu"/>
          <w:rFonts w:ascii="Times New Roman" w:hAnsi="Times New Roman" w:cs="Times New Roman"/>
        </w:rPr>
        <w:footnoteReference w:id="207"/>
      </w:r>
      <w:r w:rsidR="00E513F4"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Thus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specific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measures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scrutinizing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suspicious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implemented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restrain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unjustified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dispropo</w:t>
      </w:r>
      <w:r w:rsidR="00230D15" w:rsidRPr="00705170">
        <w:rPr>
          <w:rFonts w:ascii="Times New Roman" w:hAnsi="Times New Roman" w:cs="Times New Roman"/>
        </w:rPr>
        <w:t>rtionate</w:t>
      </w:r>
      <w:proofErr w:type="spellEnd"/>
      <w:r w:rsidR="00230D15" w:rsidRPr="00705170">
        <w:rPr>
          <w:rFonts w:ascii="Times New Roman" w:hAnsi="Times New Roman" w:cs="Times New Roman"/>
        </w:rPr>
        <w:t xml:space="preserve"> </w:t>
      </w:r>
      <w:proofErr w:type="spellStart"/>
      <w:r w:rsidR="00230D15" w:rsidRPr="00705170">
        <w:rPr>
          <w:rFonts w:ascii="Times New Roman" w:hAnsi="Times New Roman" w:cs="Times New Roman"/>
        </w:rPr>
        <w:t>benefits</w:t>
      </w:r>
      <w:proofErr w:type="spellEnd"/>
      <w:r w:rsidR="00230D15" w:rsidRPr="00705170">
        <w:rPr>
          <w:rFonts w:ascii="Times New Roman" w:hAnsi="Times New Roman" w:cs="Times New Roman"/>
        </w:rPr>
        <w:t xml:space="preserve"> </w:t>
      </w:r>
      <w:proofErr w:type="spellStart"/>
      <w:r w:rsidR="00230D15" w:rsidRPr="00705170">
        <w:rPr>
          <w:rFonts w:ascii="Times New Roman" w:hAnsi="Times New Roman" w:cs="Times New Roman"/>
        </w:rPr>
        <w:t>and</w:t>
      </w:r>
      <w:proofErr w:type="spellEnd"/>
      <w:r w:rsidR="00230D15" w:rsidRPr="00705170">
        <w:rPr>
          <w:rFonts w:ascii="Times New Roman" w:hAnsi="Times New Roman" w:cs="Times New Roman"/>
        </w:rPr>
        <w:t xml:space="preserve"> </w:t>
      </w:r>
      <w:proofErr w:type="spellStart"/>
      <w:r w:rsidR="00230D15" w:rsidRPr="00705170">
        <w:rPr>
          <w:rFonts w:ascii="Times New Roman" w:hAnsi="Times New Roman" w:cs="Times New Roman"/>
        </w:rPr>
        <w:t>oppress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00AB3924" w:rsidRPr="00705170">
        <w:rPr>
          <w:rStyle w:val="DipnotBavurusu"/>
          <w:rFonts w:ascii="Times New Roman" w:hAnsi="Times New Roman" w:cs="Times New Roman"/>
        </w:rPr>
        <w:footnoteReference w:id="208"/>
      </w:r>
      <w:r w:rsidRPr="00705170">
        <w:rPr>
          <w:rFonts w:ascii="Times New Roman" w:hAnsi="Times New Roman" w:cs="Times New Roman"/>
        </w:rPr>
        <w:t xml:space="preserve">. </w:t>
      </w:r>
      <w:proofErr w:type="spellStart"/>
      <w:r w:rsidR="0048131F" w:rsidRPr="00705170">
        <w:rPr>
          <w:rFonts w:ascii="Times New Roman" w:hAnsi="Times New Roman" w:cs="Times New Roman"/>
        </w:rPr>
        <w:t>Hence</w:t>
      </w:r>
      <w:proofErr w:type="spellEnd"/>
      <w:r w:rsidR="0048131F" w:rsidRPr="00705170">
        <w:rPr>
          <w:rFonts w:ascii="Times New Roman" w:hAnsi="Times New Roman" w:cs="Times New Roman"/>
        </w:rPr>
        <w:t xml:space="preserve">, how </w:t>
      </w:r>
      <w:proofErr w:type="spellStart"/>
      <w:r w:rsidR="0048131F" w:rsidRPr="00705170">
        <w:rPr>
          <w:rFonts w:ascii="Times New Roman" w:hAnsi="Times New Roman" w:cs="Times New Roman"/>
        </w:rPr>
        <w:t>much</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law</w:t>
      </w:r>
      <w:proofErr w:type="spellEnd"/>
      <w:r w:rsidR="0048131F" w:rsidRPr="00705170">
        <w:rPr>
          <w:rFonts w:ascii="Times New Roman" w:hAnsi="Times New Roman" w:cs="Times New Roman"/>
        </w:rPr>
        <w:t xml:space="preserve"> can </w:t>
      </w:r>
      <w:proofErr w:type="spellStart"/>
      <w:r w:rsidR="0048131F" w:rsidRPr="00705170">
        <w:rPr>
          <w:rFonts w:ascii="Times New Roman" w:hAnsi="Times New Roman" w:cs="Times New Roman"/>
        </w:rPr>
        <w:t>control</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extraction</w:t>
      </w:r>
      <w:proofErr w:type="spellEnd"/>
      <w:r w:rsidR="0048131F" w:rsidRPr="00705170">
        <w:rPr>
          <w:rFonts w:ascii="Times New Roman" w:hAnsi="Times New Roman" w:cs="Times New Roman"/>
        </w:rPr>
        <w:t xml:space="preserve"> of </w:t>
      </w:r>
      <w:proofErr w:type="spellStart"/>
      <w:r w:rsidR="0048131F" w:rsidRPr="00705170">
        <w:rPr>
          <w:rFonts w:ascii="Times New Roman" w:hAnsi="Times New Roman" w:cs="Times New Roman"/>
        </w:rPr>
        <w:t>non</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pecuniary</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private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benefits</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depends</w:t>
      </w:r>
      <w:proofErr w:type="spellEnd"/>
      <w:r w:rsidR="0048131F" w:rsidRPr="00705170">
        <w:rPr>
          <w:rFonts w:ascii="Times New Roman" w:hAnsi="Times New Roman" w:cs="Times New Roman"/>
        </w:rPr>
        <w:t xml:space="preserve"> on how </w:t>
      </w:r>
      <w:proofErr w:type="spellStart"/>
      <w:r w:rsidR="0048131F" w:rsidRPr="00705170">
        <w:rPr>
          <w:rFonts w:ascii="Times New Roman" w:hAnsi="Times New Roman" w:cs="Times New Roman"/>
        </w:rPr>
        <w:t>adequate</w:t>
      </w:r>
      <w:proofErr w:type="spellEnd"/>
      <w:r w:rsidR="00230D15" w:rsidRPr="00705170">
        <w:rPr>
          <w:rFonts w:ascii="Times New Roman" w:hAnsi="Times New Roman" w:cs="Times New Roman"/>
        </w:rPr>
        <w:t xml:space="preserve"> </w:t>
      </w:r>
      <w:proofErr w:type="spellStart"/>
      <w:r w:rsidR="00230D15" w:rsidRPr="00705170">
        <w:rPr>
          <w:rFonts w:ascii="Times New Roman" w:hAnsi="Times New Roman" w:cs="Times New Roman"/>
        </w:rPr>
        <w:t>these</w:t>
      </w:r>
      <w:proofErr w:type="spellEnd"/>
      <w:r w:rsidR="00230D15" w:rsidRPr="00705170">
        <w:rPr>
          <w:rFonts w:ascii="Times New Roman" w:hAnsi="Times New Roman" w:cs="Times New Roman"/>
        </w:rPr>
        <w:t xml:space="preserve"> </w:t>
      </w:r>
      <w:proofErr w:type="spellStart"/>
      <w:r w:rsidR="00230D15" w:rsidRPr="00705170">
        <w:rPr>
          <w:rFonts w:ascii="Times New Roman" w:hAnsi="Times New Roman" w:cs="Times New Roman"/>
        </w:rPr>
        <w:t>specific</w:t>
      </w:r>
      <w:proofErr w:type="spellEnd"/>
      <w:r w:rsidR="00230D15" w:rsidRPr="00705170">
        <w:rPr>
          <w:rFonts w:ascii="Times New Roman" w:hAnsi="Times New Roman" w:cs="Times New Roman"/>
        </w:rPr>
        <w:t xml:space="preserve"> </w:t>
      </w:r>
      <w:proofErr w:type="spellStart"/>
      <w:r w:rsidR="00230D15" w:rsidRPr="00705170">
        <w:rPr>
          <w:rFonts w:ascii="Times New Roman" w:hAnsi="Times New Roman" w:cs="Times New Roman"/>
        </w:rPr>
        <w:t>measures</w:t>
      </w:r>
      <w:proofErr w:type="spellEnd"/>
      <w:r w:rsidR="00230D15" w:rsidRPr="00705170">
        <w:rPr>
          <w:rFonts w:ascii="Times New Roman" w:hAnsi="Times New Roman" w:cs="Times New Roman"/>
        </w:rPr>
        <w:t xml:space="preserve"> </w:t>
      </w:r>
      <w:proofErr w:type="spellStart"/>
      <w:r w:rsidR="00230D15" w:rsidRPr="00705170">
        <w:rPr>
          <w:rFonts w:ascii="Times New Roman" w:hAnsi="Times New Roman" w:cs="Times New Roman"/>
        </w:rPr>
        <w:t>are</w:t>
      </w:r>
      <w:proofErr w:type="spellEnd"/>
      <w:r w:rsidR="00230D15" w:rsidRPr="00705170">
        <w:rPr>
          <w:rFonts w:ascii="Times New Roman" w:hAnsi="Times New Roman" w:cs="Times New Roman"/>
        </w:rPr>
        <w:t xml:space="preserve"> </w:t>
      </w:r>
      <w:proofErr w:type="spellStart"/>
      <w:r w:rsidR="00230D15" w:rsidRPr="00705170">
        <w:rPr>
          <w:rFonts w:ascii="Times New Roman" w:hAnsi="Times New Roman" w:cs="Times New Roman"/>
        </w:rPr>
        <w:t>able</w:t>
      </w:r>
      <w:proofErr w:type="spellEnd"/>
      <w:r w:rsidR="00230D15" w:rsidRPr="00705170">
        <w:rPr>
          <w:rFonts w:ascii="Times New Roman" w:hAnsi="Times New Roman" w:cs="Times New Roman"/>
        </w:rPr>
        <w:t xml:space="preserve"> </w:t>
      </w:r>
      <w:proofErr w:type="spellStart"/>
      <w:r w:rsidR="00230D15" w:rsidRPr="00705170">
        <w:rPr>
          <w:rFonts w:ascii="Times New Roman" w:hAnsi="Times New Roman" w:cs="Times New Roman"/>
        </w:rPr>
        <w:t>to</w:t>
      </w:r>
      <w:proofErr w:type="spellEnd"/>
      <w:r w:rsidR="00230D15" w:rsidRPr="00705170">
        <w:rPr>
          <w:rFonts w:ascii="Times New Roman" w:hAnsi="Times New Roman" w:cs="Times New Roman"/>
        </w:rPr>
        <w:t xml:space="preserve"> </w:t>
      </w:r>
      <w:proofErr w:type="spellStart"/>
      <w:r w:rsidR="0048131F" w:rsidRPr="00705170">
        <w:rPr>
          <w:rFonts w:ascii="Times New Roman" w:hAnsi="Times New Roman" w:cs="Times New Roman"/>
        </w:rPr>
        <w:t>detect</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this</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type</w:t>
      </w:r>
      <w:proofErr w:type="spellEnd"/>
      <w:r w:rsidR="0048131F" w:rsidRPr="00705170">
        <w:rPr>
          <w:rFonts w:ascii="Times New Roman" w:hAnsi="Times New Roman" w:cs="Times New Roman"/>
        </w:rPr>
        <w:t xml:space="preserve"> of </w:t>
      </w:r>
      <w:proofErr w:type="spellStart"/>
      <w:r w:rsidR="0048131F" w:rsidRPr="00705170">
        <w:rPr>
          <w:rFonts w:ascii="Times New Roman" w:hAnsi="Times New Roman" w:cs="Times New Roman"/>
        </w:rPr>
        <w:t>extraction</w:t>
      </w:r>
      <w:proofErr w:type="spellEnd"/>
      <w:r w:rsidR="0048131F" w:rsidRPr="00705170">
        <w:rPr>
          <w:rFonts w:ascii="Times New Roman" w:hAnsi="Times New Roman" w:cs="Times New Roman"/>
        </w:rPr>
        <w:t>.</w:t>
      </w:r>
    </w:p>
    <w:p w14:paraId="13A094FF" w14:textId="2F01D99D" w:rsidR="00E513F4" w:rsidRPr="00705170" w:rsidRDefault="00D835DD" w:rsidP="00E513F4">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generally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deals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disproportionate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issue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by</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providing</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measures</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that</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either</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requir</w:t>
      </w:r>
      <w:r w:rsidRPr="00705170">
        <w:rPr>
          <w:rFonts w:ascii="Times New Roman" w:hAnsi="Times New Roman" w:cs="Times New Roman"/>
        </w:rPr>
        <w: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procedures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to</w:t>
      </w:r>
      <w:proofErr w:type="spellEnd"/>
      <w:r w:rsidR="0048131F" w:rsidRPr="00705170">
        <w:rPr>
          <w:rFonts w:ascii="Times New Roman" w:hAnsi="Times New Roman" w:cs="Times New Roman"/>
        </w:rPr>
        <w:t xml:space="preserve"> be </w:t>
      </w:r>
      <w:proofErr w:type="spellStart"/>
      <w:r w:rsidR="0048131F" w:rsidRPr="00705170">
        <w:rPr>
          <w:rFonts w:ascii="Times New Roman" w:hAnsi="Times New Roman" w:cs="Times New Roman"/>
        </w:rPr>
        <w:t>completed</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before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completing</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the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transaction</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or</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by</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testing</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the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transaction</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after</w:t>
      </w:r>
      <w:proofErr w:type="spellEnd"/>
      <w:r w:rsidR="0048131F" w:rsidRPr="00705170">
        <w:rPr>
          <w:rFonts w:ascii="Times New Roman" w:hAnsi="Times New Roman" w:cs="Times New Roman"/>
        </w:rPr>
        <w:t xml:space="preserve"> it is </w:t>
      </w:r>
      <w:proofErr w:type="spellStart"/>
      <w:r w:rsidR="0048131F" w:rsidRPr="00705170">
        <w:rPr>
          <w:rFonts w:ascii="Times New Roman" w:hAnsi="Times New Roman" w:cs="Times New Roman"/>
        </w:rPr>
        <w:t>completed</w:t>
      </w:r>
      <w:proofErr w:type="spellEnd"/>
      <w:r w:rsidRPr="00705170">
        <w:rPr>
          <w:rStyle w:val="DipnotBavurusu"/>
          <w:rFonts w:ascii="Times New Roman" w:hAnsi="Times New Roman" w:cs="Times New Roman"/>
        </w:rPr>
        <w:footnoteReference w:id="209"/>
      </w:r>
      <w:r w:rsidR="0048131F" w:rsidRPr="00705170">
        <w:rPr>
          <w:rFonts w:ascii="Times New Roman" w:hAnsi="Times New Roman" w:cs="Times New Roman"/>
        </w:rPr>
        <w:t xml:space="preserve">. </w:t>
      </w:r>
      <w:proofErr w:type="spellStart"/>
      <w:r w:rsidRPr="00705170">
        <w:rPr>
          <w:rFonts w:ascii="Times New Roman" w:hAnsi="Times New Roman" w:cs="Times New Roman"/>
        </w:rPr>
        <w:t>Thus</w:t>
      </w:r>
      <w:proofErr w:type="spellEnd"/>
      <w:r w:rsidRPr="00705170">
        <w:rPr>
          <w:rFonts w:ascii="Times New Roman" w:hAnsi="Times New Roman" w:cs="Times New Roman"/>
        </w:rPr>
        <w:t>, i</w:t>
      </w:r>
      <w:r w:rsidR="00E513F4" w:rsidRPr="00705170">
        <w:rPr>
          <w:rFonts w:ascii="Times New Roman" w:hAnsi="Times New Roman" w:cs="Times New Roman"/>
        </w:rPr>
        <w:t xml:space="preserve">t is </w:t>
      </w:r>
      <w:proofErr w:type="spellStart"/>
      <w:r w:rsidR="00E513F4" w:rsidRPr="00705170">
        <w:rPr>
          <w:rFonts w:ascii="Times New Roman" w:hAnsi="Times New Roman" w:cs="Times New Roman"/>
        </w:rPr>
        <w:t>focused</w:t>
      </w:r>
      <w:proofErr w:type="spellEnd"/>
      <w:r w:rsidR="00E513F4" w:rsidRPr="00705170">
        <w:rPr>
          <w:rFonts w:ascii="Times New Roman" w:hAnsi="Times New Roman" w:cs="Times New Roman"/>
        </w:rPr>
        <w:t xml:space="preserve"> on </w:t>
      </w:r>
      <w:proofErr w:type="spellStart"/>
      <w:r w:rsidR="00E513F4" w:rsidRPr="00705170">
        <w:rPr>
          <w:rFonts w:ascii="Times New Roman" w:hAnsi="Times New Roman" w:cs="Times New Roman"/>
        </w:rPr>
        <w:t>tracking</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suspicious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transactions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However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way</w:t>
      </w:r>
      <w:proofErr w:type="spellEnd"/>
      <w:r w:rsidR="0048131F" w:rsidRPr="00705170">
        <w:rPr>
          <w:rFonts w:ascii="Times New Roman" w:hAnsi="Times New Roman" w:cs="Times New Roman"/>
        </w:rPr>
        <w:t xml:space="preserve"> it </w:t>
      </w:r>
      <w:proofErr w:type="spellStart"/>
      <w:r w:rsidR="0048131F" w:rsidRPr="00705170">
        <w:rPr>
          <w:rFonts w:ascii="Times New Roman" w:hAnsi="Times New Roman" w:cs="Times New Roman"/>
        </w:rPr>
        <w:t>approaches</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to</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the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transactions</w:t>
      </w:r>
      <w:proofErr w:type="spellEnd"/>
      <w:r w:rsidR="0048131F" w:rsidRPr="00705170">
        <w:rPr>
          <w:rFonts w:ascii="Times New Roman" w:hAnsi="Times New Roman" w:cs="Times New Roman"/>
        </w:rPr>
        <w:t xml:space="preserve"> is </w:t>
      </w:r>
      <w:proofErr w:type="spellStart"/>
      <w:r w:rsidR="0048131F" w:rsidRPr="00705170">
        <w:rPr>
          <w:rFonts w:ascii="Times New Roman" w:hAnsi="Times New Roman" w:cs="Times New Roman"/>
        </w:rPr>
        <w:t>problematic</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when</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non</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pecuniary</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private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benefits</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are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taken</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to</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consideration</w:t>
      </w:r>
      <w:proofErr w:type="spellEnd"/>
      <w:r w:rsidR="0048131F" w:rsidRPr="00705170">
        <w:rPr>
          <w:rFonts w:ascii="Times New Roman" w:hAnsi="Times New Roman" w:cs="Times New Roman"/>
        </w:rPr>
        <w:t xml:space="preserve">. First of </w:t>
      </w:r>
      <w:proofErr w:type="spellStart"/>
      <w:r w:rsidR="0048131F" w:rsidRPr="00705170">
        <w:rPr>
          <w:rFonts w:ascii="Times New Roman" w:hAnsi="Times New Roman" w:cs="Times New Roman"/>
        </w:rPr>
        <w:t>all</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when</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extracted</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without</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any</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transact</w:t>
      </w:r>
      <w:r w:rsidR="005D0D82" w:rsidRPr="00705170">
        <w:rPr>
          <w:rFonts w:ascii="Times New Roman" w:hAnsi="Times New Roman" w:cs="Times New Roman"/>
        </w:rPr>
        <w:t>ion</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taking</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place</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via</w:t>
      </w:r>
      <w:proofErr w:type="spellEnd"/>
      <w:r w:rsidR="005D0D82" w:rsidRPr="00705170">
        <w:rPr>
          <w:rFonts w:ascii="Times New Roman" w:hAnsi="Times New Roman" w:cs="Times New Roman"/>
        </w:rPr>
        <w:t xml:space="preserve"> an </w:t>
      </w:r>
      <w:proofErr w:type="spellStart"/>
      <w:r w:rsidR="005D0D82" w:rsidRPr="00705170">
        <w:rPr>
          <w:rFonts w:ascii="Times New Roman" w:hAnsi="Times New Roman" w:cs="Times New Roman"/>
        </w:rPr>
        <w:t>external</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undertaking</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rules</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focused</w:t>
      </w:r>
      <w:proofErr w:type="spellEnd"/>
      <w:r w:rsidR="0048131F" w:rsidRPr="00705170">
        <w:rPr>
          <w:rFonts w:ascii="Times New Roman" w:hAnsi="Times New Roman" w:cs="Times New Roman"/>
        </w:rPr>
        <w:t xml:space="preserve"> on </w:t>
      </w:r>
      <w:proofErr w:type="spellStart"/>
      <w:r w:rsidR="0048131F" w:rsidRPr="00705170">
        <w:rPr>
          <w:rFonts w:ascii="Times New Roman" w:hAnsi="Times New Roman" w:cs="Times New Roman"/>
        </w:rPr>
        <w:t>transactions</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does</w:t>
      </w:r>
      <w:proofErr w:type="spellEnd"/>
      <w:r w:rsidR="0048131F" w:rsidRPr="00705170">
        <w:rPr>
          <w:rFonts w:ascii="Times New Roman" w:hAnsi="Times New Roman" w:cs="Times New Roman"/>
        </w:rPr>
        <w:t xml:space="preserve"> not </w:t>
      </w:r>
      <w:proofErr w:type="spellStart"/>
      <w:r w:rsidR="0048131F" w:rsidRPr="00705170">
        <w:rPr>
          <w:rFonts w:ascii="Times New Roman" w:hAnsi="Times New Roman" w:cs="Times New Roman"/>
        </w:rPr>
        <w:t>work</w:t>
      </w:r>
      <w:proofErr w:type="spellEnd"/>
      <w:r w:rsidR="000B1108">
        <w:rPr>
          <w:rFonts w:ascii="Times New Roman" w:hAnsi="Times New Roman" w:cs="Times New Roman"/>
        </w:rPr>
        <w:t xml:space="preserve">, but </w:t>
      </w:r>
      <w:proofErr w:type="spellStart"/>
      <w:r w:rsidR="000B1108">
        <w:rPr>
          <w:rFonts w:ascii="Times New Roman" w:hAnsi="Times New Roman" w:cs="Times New Roman"/>
        </w:rPr>
        <w:t>only</w:t>
      </w:r>
      <w:proofErr w:type="spellEnd"/>
      <w:r w:rsidR="000B1108">
        <w:rPr>
          <w:rFonts w:ascii="Times New Roman" w:hAnsi="Times New Roman" w:cs="Times New Roman"/>
        </w:rPr>
        <w:t xml:space="preserve"> general </w:t>
      </w:r>
      <w:proofErr w:type="spellStart"/>
      <w:r w:rsidR="000B1108">
        <w:rPr>
          <w:rFonts w:ascii="Times New Roman" w:hAnsi="Times New Roman" w:cs="Times New Roman"/>
        </w:rPr>
        <w:t>principles</w:t>
      </w:r>
      <w:proofErr w:type="spellEnd"/>
      <w:r w:rsidR="000B1108">
        <w:rPr>
          <w:rFonts w:ascii="Times New Roman" w:hAnsi="Times New Roman" w:cs="Times New Roman"/>
        </w:rPr>
        <w:t xml:space="preserve"> </w:t>
      </w:r>
      <w:proofErr w:type="spellStart"/>
      <w:r w:rsidR="000B1108">
        <w:rPr>
          <w:rFonts w:ascii="Times New Roman" w:hAnsi="Times New Roman" w:cs="Times New Roman"/>
        </w:rPr>
        <w:t>such</w:t>
      </w:r>
      <w:proofErr w:type="spellEnd"/>
      <w:r w:rsidR="000B1108">
        <w:rPr>
          <w:rFonts w:ascii="Times New Roman" w:hAnsi="Times New Roman" w:cs="Times New Roman"/>
        </w:rPr>
        <w:t xml:space="preserve"> as </w:t>
      </w:r>
      <w:r w:rsidR="00670669">
        <w:rPr>
          <w:rFonts w:ascii="Times New Roman" w:hAnsi="Times New Roman" w:cs="Times New Roman"/>
        </w:rPr>
        <w:t>“</w:t>
      </w:r>
      <w:proofErr w:type="spellStart"/>
      <w:r w:rsidR="000B1108">
        <w:rPr>
          <w:rFonts w:ascii="Times New Roman" w:hAnsi="Times New Roman" w:cs="Times New Roman"/>
        </w:rPr>
        <w:t>duty</w:t>
      </w:r>
      <w:proofErr w:type="spellEnd"/>
      <w:r w:rsidR="000B1108">
        <w:rPr>
          <w:rFonts w:ascii="Times New Roman" w:hAnsi="Times New Roman" w:cs="Times New Roman"/>
        </w:rPr>
        <w:t xml:space="preserve"> of </w:t>
      </w:r>
      <w:proofErr w:type="spellStart"/>
      <w:r w:rsidR="000B1108">
        <w:rPr>
          <w:rFonts w:ascii="Times New Roman" w:hAnsi="Times New Roman" w:cs="Times New Roman"/>
        </w:rPr>
        <w:t>good</w:t>
      </w:r>
      <w:proofErr w:type="spellEnd"/>
      <w:r w:rsidR="000B1108">
        <w:rPr>
          <w:rFonts w:ascii="Times New Roman" w:hAnsi="Times New Roman" w:cs="Times New Roman"/>
        </w:rPr>
        <w:t xml:space="preserve"> </w:t>
      </w:r>
      <w:proofErr w:type="spellStart"/>
      <w:r w:rsidR="000B1108">
        <w:rPr>
          <w:rFonts w:ascii="Times New Roman" w:hAnsi="Times New Roman" w:cs="Times New Roman"/>
        </w:rPr>
        <w:t>faith</w:t>
      </w:r>
      <w:proofErr w:type="spellEnd"/>
      <w:r w:rsidR="00670669">
        <w:rPr>
          <w:rFonts w:ascii="Times New Roman" w:hAnsi="Times New Roman" w:cs="Times New Roman"/>
        </w:rPr>
        <w:t>”</w:t>
      </w:r>
      <w:r w:rsidR="000B1108">
        <w:rPr>
          <w:rFonts w:ascii="Times New Roman" w:hAnsi="Times New Roman" w:cs="Times New Roman"/>
        </w:rPr>
        <w:t xml:space="preserve"> </w:t>
      </w:r>
      <w:proofErr w:type="spellStart"/>
      <w:r w:rsidR="000B1108">
        <w:rPr>
          <w:rFonts w:ascii="Times New Roman" w:hAnsi="Times New Roman" w:cs="Times New Roman"/>
        </w:rPr>
        <w:t>may</w:t>
      </w:r>
      <w:proofErr w:type="spellEnd"/>
      <w:r w:rsidR="000B1108">
        <w:rPr>
          <w:rFonts w:ascii="Times New Roman" w:hAnsi="Times New Roman" w:cs="Times New Roman"/>
        </w:rPr>
        <w:t xml:space="preserve"> be </w:t>
      </w:r>
      <w:proofErr w:type="spellStart"/>
      <w:r w:rsidR="000B1108">
        <w:rPr>
          <w:rFonts w:ascii="Times New Roman" w:hAnsi="Times New Roman" w:cs="Times New Roman"/>
        </w:rPr>
        <w:t>used</w:t>
      </w:r>
      <w:proofErr w:type="spellEnd"/>
      <w:r w:rsidR="000B1108">
        <w:rPr>
          <w:rFonts w:ascii="Times New Roman" w:hAnsi="Times New Roman" w:cs="Times New Roman"/>
        </w:rPr>
        <w:t xml:space="preserve"> as a legal </w:t>
      </w:r>
      <w:proofErr w:type="spellStart"/>
      <w:r w:rsidR="000B1108">
        <w:rPr>
          <w:rFonts w:ascii="Times New Roman" w:hAnsi="Times New Roman" w:cs="Times New Roman"/>
        </w:rPr>
        <w:t>basis</w:t>
      </w:r>
      <w:proofErr w:type="spellEnd"/>
      <w:r w:rsidR="000B1108">
        <w:rPr>
          <w:rFonts w:ascii="Times New Roman" w:hAnsi="Times New Roman" w:cs="Times New Roman"/>
        </w:rPr>
        <w:t xml:space="preserve"> </w:t>
      </w:r>
      <w:proofErr w:type="spellStart"/>
      <w:r w:rsidR="000B1108">
        <w:rPr>
          <w:rFonts w:ascii="Times New Roman" w:hAnsi="Times New Roman" w:cs="Times New Roman"/>
        </w:rPr>
        <w:t>to</w:t>
      </w:r>
      <w:proofErr w:type="spellEnd"/>
      <w:r w:rsidR="000B1108">
        <w:rPr>
          <w:rFonts w:ascii="Times New Roman" w:hAnsi="Times New Roman" w:cs="Times New Roman"/>
        </w:rPr>
        <w:t xml:space="preserve"> </w:t>
      </w:r>
      <w:proofErr w:type="spellStart"/>
      <w:r w:rsidR="000B1108">
        <w:rPr>
          <w:rFonts w:ascii="Times New Roman" w:hAnsi="Times New Roman" w:cs="Times New Roman"/>
        </w:rPr>
        <w:t>create</w:t>
      </w:r>
      <w:proofErr w:type="spellEnd"/>
      <w:r w:rsidR="000B1108">
        <w:rPr>
          <w:rFonts w:ascii="Times New Roman" w:hAnsi="Times New Roman" w:cs="Times New Roman"/>
        </w:rPr>
        <w:t xml:space="preserve"> a </w:t>
      </w:r>
      <w:proofErr w:type="spellStart"/>
      <w:r w:rsidR="000B1108">
        <w:rPr>
          <w:rFonts w:ascii="Times New Roman" w:hAnsi="Times New Roman" w:cs="Times New Roman"/>
        </w:rPr>
        <w:t>statutory</w:t>
      </w:r>
      <w:proofErr w:type="spellEnd"/>
      <w:r w:rsidR="000B1108">
        <w:rPr>
          <w:rFonts w:ascii="Times New Roman" w:hAnsi="Times New Roman" w:cs="Times New Roman"/>
        </w:rPr>
        <w:t xml:space="preserve"> </w:t>
      </w:r>
      <w:proofErr w:type="spellStart"/>
      <w:r w:rsidR="000B1108">
        <w:rPr>
          <w:rFonts w:ascii="Times New Roman" w:hAnsi="Times New Roman" w:cs="Times New Roman"/>
        </w:rPr>
        <w:t>duty</w:t>
      </w:r>
      <w:proofErr w:type="spellEnd"/>
      <w:r w:rsidR="000B1108">
        <w:rPr>
          <w:rFonts w:ascii="Times New Roman" w:hAnsi="Times New Roman" w:cs="Times New Roman"/>
        </w:rPr>
        <w:t xml:space="preserve"> not </w:t>
      </w:r>
      <w:proofErr w:type="spellStart"/>
      <w:r w:rsidR="000B1108">
        <w:rPr>
          <w:rFonts w:ascii="Times New Roman" w:hAnsi="Times New Roman" w:cs="Times New Roman"/>
        </w:rPr>
        <w:t>to</w:t>
      </w:r>
      <w:proofErr w:type="spellEnd"/>
      <w:r w:rsidR="000B1108">
        <w:rPr>
          <w:rFonts w:ascii="Times New Roman" w:hAnsi="Times New Roman" w:cs="Times New Roman"/>
        </w:rPr>
        <w:t xml:space="preserve"> </w:t>
      </w:r>
      <w:proofErr w:type="spellStart"/>
      <w:r w:rsidR="000B1108">
        <w:rPr>
          <w:rFonts w:ascii="Times New Roman" w:hAnsi="Times New Roman" w:cs="Times New Roman"/>
        </w:rPr>
        <w:t>extract</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Secondly</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even</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when</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there</w:t>
      </w:r>
      <w:proofErr w:type="spellEnd"/>
      <w:r w:rsidR="0048131F" w:rsidRPr="00705170">
        <w:rPr>
          <w:rFonts w:ascii="Times New Roman" w:hAnsi="Times New Roman" w:cs="Times New Roman"/>
        </w:rPr>
        <w:t xml:space="preserve"> is a </w:t>
      </w:r>
      <w:proofErr w:type="spellStart"/>
      <w:r w:rsidR="0048131F" w:rsidRPr="00705170">
        <w:rPr>
          <w:rFonts w:ascii="Times New Roman" w:hAnsi="Times New Roman" w:cs="Times New Roman"/>
        </w:rPr>
        <w:t>transaction</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taking</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place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the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procedures</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or</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the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transaction</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tests</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might</w:t>
      </w:r>
      <w:proofErr w:type="spellEnd"/>
      <w:r w:rsidR="0048131F" w:rsidRPr="00705170">
        <w:rPr>
          <w:rFonts w:ascii="Times New Roman" w:hAnsi="Times New Roman" w:cs="Times New Roman"/>
        </w:rPr>
        <w:t xml:space="preserve"> not </w:t>
      </w:r>
      <w:proofErr w:type="spellStart"/>
      <w:r w:rsidR="0048131F" w:rsidRPr="00705170">
        <w:rPr>
          <w:rFonts w:ascii="Times New Roman" w:hAnsi="Times New Roman" w:cs="Times New Roman"/>
        </w:rPr>
        <w:t>get</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activated</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This</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approach</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creates</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the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flaw</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present</w:t>
      </w:r>
      <w:proofErr w:type="spellEnd"/>
      <w:r w:rsidR="0048131F" w:rsidRPr="00705170">
        <w:rPr>
          <w:rFonts w:ascii="Times New Roman" w:hAnsi="Times New Roman" w:cs="Times New Roman"/>
        </w:rPr>
        <w:t xml:space="preserve"> in </w:t>
      </w:r>
      <w:proofErr w:type="spellStart"/>
      <w:r w:rsidR="0048131F" w:rsidRPr="00705170">
        <w:rPr>
          <w:rFonts w:ascii="Times New Roman" w:hAnsi="Times New Roman" w:cs="Times New Roman"/>
        </w:rPr>
        <w:t>the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current</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structure</w:t>
      </w:r>
      <w:proofErr w:type="spellEnd"/>
      <w:r w:rsidR="0048131F" w:rsidRPr="00705170">
        <w:rPr>
          <w:rFonts w:ascii="Times New Roman" w:hAnsi="Times New Roman" w:cs="Times New Roman"/>
        </w:rPr>
        <w:t xml:space="preserve"> of </w:t>
      </w:r>
      <w:proofErr w:type="spellStart"/>
      <w:r w:rsidR="0048131F" w:rsidRPr="00705170">
        <w:rPr>
          <w:rFonts w:ascii="Times New Roman" w:hAnsi="Times New Roman" w:cs="Times New Roman"/>
        </w:rPr>
        <w:t>corporate</w:t>
      </w:r>
      <w:proofErr w:type="spellEnd"/>
      <w:r w:rsidR="0048131F" w:rsidRPr="00705170">
        <w:rPr>
          <w:rFonts w:ascii="Times New Roman" w:hAnsi="Times New Roman" w:cs="Times New Roman"/>
        </w:rPr>
        <w:t xml:space="preserve"> </w:t>
      </w:r>
      <w:proofErr w:type="spellStart"/>
      <w:r w:rsidR="0048131F" w:rsidRPr="00705170">
        <w:rPr>
          <w:rFonts w:ascii="Times New Roman" w:hAnsi="Times New Roman" w:cs="Times New Roman"/>
        </w:rPr>
        <w:t>law</w:t>
      </w:r>
      <w:proofErr w:type="spellEnd"/>
      <w:r w:rsidR="0048131F" w:rsidRPr="00705170">
        <w:rPr>
          <w:rFonts w:ascii="Times New Roman" w:hAnsi="Times New Roman" w:cs="Times New Roman"/>
        </w:rPr>
        <w:t>.</w:t>
      </w:r>
    </w:p>
    <w:p w14:paraId="19FBD098" w14:textId="0BF2DC6F" w:rsidR="00E513F4" w:rsidRPr="00705170" w:rsidRDefault="00E513F4" w:rsidP="00E513F4">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lastRenderedPageBreak/>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basically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00B74918" w:rsidRPr="00705170">
        <w:rPr>
          <w:rFonts w:ascii="Times New Roman" w:hAnsi="Times New Roman" w:cs="Times New Roman"/>
        </w:rPr>
        <w:t>flaw</w:t>
      </w:r>
      <w:proofErr w:type="spellEnd"/>
      <w:r w:rsidR="00B74918" w:rsidRPr="00705170">
        <w:rPr>
          <w:rFonts w:ascii="Times New Roman" w:hAnsi="Times New Roman" w:cs="Times New Roman"/>
        </w:rPr>
        <w:t xml:space="preserve"> </w:t>
      </w:r>
      <w:proofErr w:type="spellStart"/>
      <w:r w:rsidR="00B74918" w:rsidRPr="00705170">
        <w:rPr>
          <w:rFonts w:ascii="Times New Roman" w:hAnsi="Times New Roman" w:cs="Times New Roman"/>
        </w:rPr>
        <w:t>arises</w:t>
      </w:r>
      <w:proofErr w:type="spellEnd"/>
      <w:r w:rsidR="00B74918" w:rsidRPr="00705170">
        <w:rPr>
          <w:rFonts w:ascii="Times New Roman" w:hAnsi="Times New Roman" w:cs="Times New Roman"/>
        </w:rPr>
        <w:t xml:space="preserve"> </w:t>
      </w:r>
      <w:proofErr w:type="spellStart"/>
      <w:r w:rsidR="00B74918" w:rsidRPr="00705170">
        <w:rPr>
          <w:rFonts w:ascii="Times New Roman" w:hAnsi="Times New Roman" w:cs="Times New Roman"/>
        </w:rPr>
        <w:t>from</w:t>
      </w:r>
      <w:proofErr w:type="spellEnd"/>
      <w:r w:rsidR="00B74918" w:rsidRPr="00705170">
        <w:rPr>
          <w:rFonts w:ascii="Times New Roman" w:hAnsi="Times New Roman" w:cs="Times New Roman"/>
        </w:rPr>
        <w:t xml:space="preserve"> </w:t>
      </w:r>
      <w:proofErr w:type="spellStart"/>
      <w:r w:rsidR="00B74918" w:rsidRPr="00705170">
        <w:rPr>
          <w:rFonts w:ascii="Times New Roman" w:hAnsi="Times New Roman" w:cs="Times New Roman"/>
        </w:rPr>
        <w:t>the</w:t>
      </w:r>
      <w:proofErr w:type="spellEnd"/>
      <w:r w:rsidR="00B74918" w:rsidRPr="00705170">
        <w:rPr>
          <w:rFonts w:ascii="Times New Roman" w:hAnsi="Times New Roman" w:cs="Times New Roman"/>
        </w:rPr>
        <w:t xml:space="preserve"> </w:t>
      </w:r>
      <w:proofErr w:type="spellStart"/>
      <w:r w:rsidR="00B74918" w:rsidRPr="00705170">
        <w:rPr>
          <w:rFonts w:ascii="Times New Roman" w:hAnsi="Times New Roman" w:cs="Times New Roman"/>
        </w:rPr>
        <w:t>fact</w:t>
      </w:r>
      <w:proofErr w:type="spellEnd"/>
      <w:r w:rsidR="00B74918" w:rsidRPr="00705170">
        <w:rPr>
          <w:rFonts w:ascii="Times New Roman" w:hAnsi="Times New Roman" w:cs="Times New Roman"/>
        </w:rPr>
        <w:t xml:space="preserve"> </w:t>
      </w:r>
      <w:proofErr w:type="spellStart"/>
      <w:r w:rsidR="00B74918" w:rsidRPr="00705170">
        <w:rPr>
          <w:rFonts w:ascii="Times New Roman" w:hAnsi="Times New Roman" w:cs="Times New Roman"/>
        </w:rPr>
        <w:t>that</w:t>
      </w:r>
      <w:proofErr w:type="spellEnd"/>
      <w:r w:rsidR="00B74918" w:rsidRPr="00705170">
        <w:rPr>
          <w:rFonts w:ascii="Times New Roman" w:hAnsi="Times New Roman" w:cs="Times New Roman"/>
        </w:rPr>
        <w:t xml:space="preserve"> </w:t>
      </w:r>
      <w:proofErr w:type="spellStart"/>
      <w:r w:rsidR="00B74918"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specific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00B74918" w:rsidRPr="00705170">
        <w:rPr>
          <w:rFonts w:ascii="Times New Roman" w:hAnsi="Times New Roman" w:cs="Times New Roman"/>
        </w:rPr>
        <w:t xml:space="preserve"> </w:t>
      </w:r>
      <w:proofErr w:type="spellStart"/>
      <w:r w:rsidR="00B74918" w:rsidRPr="00705170">
        <w:rPr>
          <w:rFonts w:ascii="Times New Roman" w:hAnsi="Times New Roman" w:cs="Times New Roman"/>
        </w:rPr>
        <w:t>implemented</w:t>
      </w:r>
      <w:proofErr w:type="spellEnd"/>
      <w:r w:rsidR="00B74918" w:rsidRPr="00705170">
        <w:rPr>
          <w:rFonts w:ascii="Times New Roman" w:hAnsi="Times New Roman" w:cs="Times New Roman"/>
        </w:rPr>
        <w:t xml:space="preserve"> </w:t>
      </w:r>
      <w:proofErr w:type="spellStart"/>
      <w:r w:rsidR="00B74918" w:rsidRPr="00705170">
        <w:rPr>
          <w:rFonts w:ascii="Times New Roman" w:hAnsi="Times New Roman" w:cs="Times New Roman"/>
        </w:rPr>
        <w:t>to</w:t>
      </w:r>
      <w:proofErr w:type="spellEnd"/>
      <w:r w:rsidR="00B74918" w:rsidRPr="00705170">
        <w:rPr>
          <w:rFonts w:ascii="Times New Roman" w:hAnsi="Times New Roman" w:cs="Times New Roman"/>
        </w:rPr>
        <w:t xml:space="preserve"> </w:t>
      </w:r>
      <w:proofErr w:type="spellStart"/>
      <w:r w:rsidR="00B74918" w:rsidRPr="00705170">
        <w:rPr>
          <w:rFonts w:ascii="Times New Roman" w:hAnsi="Times New Roman" w:cs="Times New Roman"/>
        </w:rPr>
        <w:t>deal</w:t>
      </w:r>
      <w:proofErr w:type="spellEnd"/>
      <w:r w:rsidR="00B74918" w:rsidRPr="00705170">
        <w:rPr>
          <w:rFonts w:ascii="Times New Roman" w:hAnsi="Times New Roman" w:cs="Times New Roman"/>
        </w:rPr>
        <w:t xml:space="preserve"> </w:t>
      </w:r>
      <w:proofErr w:type="spellStart"/>
      <w:r w:rsidR="00B74918" w:rsidRPr="00705170">
        <w:rPr>
          <w:rFonts w:ascii="Times New Roman" w:hAnsi="Times New Roman" w:cs="Times New Roman"/>
        </w:rPr>
        <w:t>with</w:t>
      </w:r>
      <w:proofErr w:type="spellEnd"/>
      <w:r w:rsidR="00B74918" w:rsidRPr="00705170">
        <w:rPr>
          <w:rFonts w:ascii="Times New Roman" w:hAnsi="Times New Roman" w:cs="Times New Roman"/>
        </w:rPr>
        <w:t xml:space="preserve"> </w:t>
      </w:r>
      <w:proofErr w:type="spellStart"/>
      <w:r w:rsidR="00B74918" w:rsidRPr="00705170">
        <w:rPr>
          <w:rFonts w:ascii="Times New Roman" w:hAnsi="Times New Roman" w:cs="Times New Roman"/>
        </w:rPr>
        <w:t>these</w:t>
      </w:r>
      <w:proofErr w:type="spellEnd"/>
      <w:r w:rsidR="00B74918" w:rsidRPr="00705170">
        <w:rPr>
          <w:rFonts w:ascii="Times New Roman" w:hAnsi="Times New Roman" w:cs="Times New Roman"/>
        </w:rPr>
        <w:t xml:space="preserve"> </w:t>
      </w:r>
      <w:proofErr w:type="spellStart"/>
      <w:r w:rsidR="00B74918" w:rsidRPr="00705170">
        <w:rPr>
          <w:rFonts w:ascii="Times New Roman" w:hAnsi="Times New Roman" w:cs="Times New Roman"/>
        </w:rPr>
        <w:t>issues</w:t>
      </w:r>
      <w:proofErr w:type="spellEnd"/>
      <w:r w:rsidRPr="00705170">
        <w:rPr>
          <w:rFonts w:ascii="Times New Roman" w:hAnsi="Times New Roman" w:cs="Times New Roman"/>
        </w:rPr>
        <w:t xml:space="preserve"> do not </w:t>
      </w:r>
      <w:proofErr w:type="spellStart"/>
      <w:r w:rsidRPr="00705170">
        <w:rPr>
          <w:rFonts w:ascii="Times New Roman" w:hAnsi="Times New Roman" w:cs="Times New Roman"/>
        </w:rPr>
        <w:t>differentiate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between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different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forms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control</w:t>
      </w:r>
      <w:proofErr w:type="spellEnd"/>
      <w:r w:rsidRPr="00705170">
        <w:rPr>
          <w:rStyle w:val="DipnotBavurusu"/>
          <w:rFonts w:ascii="Times New Roman" w:hAnsi="Times New Roman" w:cs="Times New Roman"/>
        </w:rPr>
        <w:footnoteReference w:id="210"/>
      </w:r>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implemented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like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Delaware’s</w:t>
      </w:r>
      <w:proofErr w:type="spellEnd"/>
      <w:r w:rsidRPr="00705170">
        <w:rPr>
          <w:rStyle w:val="DipnotBavurusu"/>
          <w:rFonts w:ascii="Times New Roman" w:hAnsi="Times New Roman" w:cs="Times New Roman"/>
        </w:rPr>
        <w:footnoteReference w:id="211"/>
      </w:r>
      <w:r w:rsidRPr="00705170">
        <w:rPr>
          <w:rFonts w:ascii="Times New Roman" w:hAnsi="Times New Roman" w:cs="Times New Roman"/>
        </w:rPr>
        <w:t xml:space="preserve">, </w:t>
      </w:r>
      <w:proofErr w:type="spellStart"/>
      <w:r w:rsidRPr="00705170">
        <w:rPr>
          <w:rFonts w:ascii="Times New Roman" w:hAnsi="Times New Roman" w:cs="Times New Roman"/>
        </w:rPr>
        <w:t>fails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effectively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detect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matter</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fact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preclude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acknowledging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presence of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but </w:t>
      </w:r>
      <w:proofErr w:type="spellStart"/>
      <w:r w:rsidRPr="00705170">
        <w:rPr>
          <w:rFonts w:ascii="Times New Roman" w:hAnsi="Times New Roman" w:cs="Times New Roman"/>
        </w:rPr>
        <w:t>simply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practitioners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disregard</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because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w:t>
      </w:r>
      <w:r w:rsidR="008A31A9" w:rsidRPr="00705170">
        <w:rPr>
          <w:rFonts w:ascii="Times New Roman" w:hAnsi="Times New Roman" w:cs="Times New Roman"/>
        </w:rPr>
        <w:t>ion</w:t>
      </w:r>
      <w:proofErr w:type="spellEnd"/>
      <w:r w:rsidR="008A31A9" w:rsidRPr="00705170">
        <w:rPr>
          <w:rFonts w:ascii="Times New Roman" w:hAnsi="Times New Roman" w:cs="Times New Roman"/>
        </w:rPr>
        <w:t xml:space="preserve">- </w:t>
      </w:r>
      <w:proofErr w:type="spellStart"/>
      <w:r w:rsidR="008A31A9" w:rsidRPr="00705170">
        <w:rPr>
          <w:rFonts w:ascii="Times New Roman" w:hAnsi="Times New Roman" w:cs="Times New Roman"/>
        </w:rPr>
        <w:t>based</w:t>
      </w:r>
      <w:proofErr w:type="spellEnd"/>
      <w:r w:rsidR="008A31A9" w:rsidRPr="00705170">
        <w:rPr>
          <w:rFonts w:ascii="Times New Roman" w:hAnsi="Times New Roman" w:cs="Times New Roman"/>
        </w:rPr>
        <w:t xml:space="preserve"> </w:t>
      </w:r>
      <w:proofErr w:type="spellStart"/>
      <w:r w:rsidR="008A31A9" w:rsidRPr="00705170">
        <w:rPr>
          <w:rFonts w:ascii="Times New Roman" w:hAnsi="Times New Roman" w:cs="Times New Roman"/>
        </w:rPr>
        <w:t>systems</w:t>
      </w:r>
      <w:proofErr w:type="spellEnd"/>
      <w:r w:rsidR="008A31A9" w:rsidRPr="00705170">
        <w:rPr>
          <w:rFonts w:ascii="Times New Roman" w:hAnsi="Times New Roman" w:cs="Times New Roman"/>
        </w:rPr>
        <w:t xml:space="preserve">’ </w:t>
      </w:r>
      <w:proofErr w:type="spellStart"/>
      <w:r w:rsidR="008A31A9" w:rsidRPr="00705170">
        <w:rPr>
          <w:rFonts w:ascii="Times New Roman" w:hAnsi="Times New Roman" w:cs="Times New Roman"/>
        </w:rPr>
        <w:t>rules</w:t>
      </w:r>
      <w:proofErr w:type="spellEnd"/>
      <w:r w:rsidR="008A31A9" w:rsidRPr="00705170">
        <w:rPr>
          <w:rFonts w:ascii="Times New Roman" w:hAnsi="Times New Roman" w:cs="Times New Roman"/>
        </w:rPr>
        <w:t xml:space="preserve"> </w:t>
      </w:r>
      <w:proofErr w:type="spellStart"/>
      <w:r w:rsidR="008A31A9" w:rsidRPr="00705170">
        <w:rPr>
          <w:rFonts w:ascii="Times New Roman" w:hAnsi="Times New Roman" w:cs="Times New Roman"/>
        </w:rPr>
        <w:t>gener</w:t>
      </w:r>
      <w:r w:rsidRPr="00705170">
        <w:rPr>
          <w:rFonts w:ascii="Times New Roman" w:hAnsi="Times New Roman" w:cs="Times New Roman"/>
        </w:rPr>
        <w:t>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preliminary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evaluations</w:t>
      </w:r>
      <w:proofErr w:type="spellEnd"/>
      <w:r w:rsidRPr="00705170">
        <w:rPr>
          <w:rFonts w:ascii="Times New Roman" w:hAnsi="Times New Roman" w:cs="Times New Roman"/>
        </w:rPr>
        <w:t xml:space="preserve"> </w:t>
      </w:r>
      <w:proofErr w:type="spellStart"/>
      <w:r w:rsidR="008A31A9" w:rsidRPr="00705170">
        <w:rPr>
          <w:rFonts w:ascii="Times New Roman" w:hAnsi="Times New Roman" w:cs="Times New Roman"/>
        </w:rPr>
        <w:t>about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(1) </w:t>
      </w:r>
      <w:proofErr w:type="spellStart"/>
      <w:r w:rsidRPr="00705170">
        <w:rPr>
          <w:rFonts w:ascii="Times New Roman" w:hAnsi="Times New Roman" w:cs="Times New Roman"/>
        </w:rPr>
        <w:t>relatedness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(2) </w:t>
      </w:r>
      <w:proofErr w:type="spellStart"/>
      <w:r w:rsidRPr="00705170">
        <w:rPr>
          <w:rFonts w:ascii="Times New Roman" w:hAnsi="Times New Roman" w:cs="Times New Roman"/>
        </w:rPr>
        <w:t>value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assets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subject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preliminary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points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nothing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do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detection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001F6625" w:rsidRPr="00705170">
        <w:rPr>
          <w:rStyle w:val="DipnotBavurusu"/>
          <w:rFonts w:ascii="Times New Roman" w:hAnsi="Times New Roman" w:cs="Times New Roman"/>
        </w:rPr>
        <w:footnoteReference w:id="212"/>
      </w:r>
      <w:r w:rsidRPr="00705170">
        <w:rPr>
          <w:rFonts w:ascii="Times New Roman" w:hAnsi="Times New Roman" w:cs="Times New Roman"/>
        </w:rPr>
        <w:t xml:space="preserve">. </w:t>
      </w:r>
      <w:proofErr w:type="spellStart"/>
      <w:r w:rsidRPr="00705170">
        <w:rPr>
          <w:rFonts w:ascii="Times New Roman" w:hAnsi="Times New Roman" w:cs="Times New Roman"/>
        </w:rPr>
        <w:t>Hence</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ignores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classic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judgment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decisions</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substantial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adverse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affect</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interest</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213"/>
      </w:r>
      <w:r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setting</w:t>
      </w:r>
      <w:proofErr w:type="spellEnd"/>
      <w:r w:rsidRPr="00705170">
        <w:rPr>
          <w:rFonts w:ascii="Times New Roman" w:hAnsi="Times New Roman" w:cs="Times New Roman"/>
        </w:rPr>
        <w:t xml:space="preserve">, it is not </w:t>
      </w:r>
      <w:proofErr w:type="spellStart"/>
      <w:r w:rsidRPr="00705170">
        <w:rPr>
          <w:rFonts w:ascii="Times New Roman" w:hAnsi="Times New Roman" w:cs="Times New Roman"/>
        </w:rPr>
        <w:t>difficult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frustrate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interests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means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otherwise</w:t>
      </w:r>
      <w:proofErr w:type="spellEnd"/>
      <w:r w:rsidRPr="00705170">
        <w:rPr>
          <w:rFonts w:ascii="Times New Roman" w:hAnsi="Times New Roman" w:cs="Times New Roman"/>
        </w:rPr>
        <w:t xml:space="preserve"> be </w:t>
      </w:r>
      <w:proofErr w:type="spellStart"/>
      <w:r w:rsidR="00667CC5" w:rsidRPr="00705170">
        <w:rPr>
          <w:rFonts w:ascii="Times New Roman" w:hAnsi="Times New Roman" w:cs="Times New Roman"/>
        </w:rPr>
        <w:t>il</w:t>
      </w:r>
      <w:r w:rsidRPr="00705170">
        <w:rPr>
          <w:rFonts w:ascii="Times New Roman" w:hAnsi="Times New Roman" w:cs="Times New Roman"/>
        </w:rPr>
        <w:t>legitimate</w:t>
      </w:r>
      <w:proofErr w:type="spellEnd"/>
      <w:r w:rsidRPr="00705170">
        <w:rPr>
          <w:rStyle w:val="DipnotBavurusu"/>
          <w:rFonts w:ascii="Times New Roman" w:hAnsi="Times New Roman" w:cs="Times New Roman"/>
        </w:rPr>
        <w:footnoteReference w:id="214"/>
      </w:r>
      <w:r w:rsidRPr="00705170">
        <w:rPr>
          <w:rFonts w:ascii="Times New Roman" w:hAnsi="Times New Roman" w:cs="Times New Roman"/>
        </w:rPr>
        <w:t xml:space="preserve">. </w:t>
      </w:r>
    </w:p>
    <w:p w14:paraId="50A75E50" w14:textId="4C99F05D" w:rsidR="00E513F4" w:rsidRPr="00705170" w:rsidRDefault="00E513F4" w:rsidP="00E513F4">
      <w:pPr>
        <w:spacing w:after="240" w:line="480" w:lineRule="auto"/>
        <w:ind w:firstLine="720"/>
        <w:jc w:val="both"/>
        <w:rPr>
          <w:rFonts w:ascii="Times New Roman" w:hAnsi="Times New Roman" w:cs="Times New Roman"/>
        </w:rPr>
      </w:pPr>
      <w:r w:rsidRPr="00705170">
        <w:rPr>
          <w:rFonts w:ascii="Times New Roman" w:hAnsi="Times New Roman" w:cs="Times New Roman"/>
        </w:rPr>
        <w:t xml:space="preserve">A </w:t>
      </w:r>
      <w:proofErr w:type="spellStart"/>
      <w:r w:rsidRPr="00705170">
        <w:rPr>
          <w:rFonts w:ascii="Times New Roman" w:hAnsi="Times New Roman" w:cs="Times New Roman"/>
        </w:rPr>
        <w:t>good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example</w:t>
      </w:r>
      <w:proofErr w:type="spellEnd"/>
      <w:r w:rsidRPr="00705170">
        <w:rPr>
          <w:rFonts w:ascii="Times New Roman" w:hAnsi="Times New Roman" w:cs="Times New Roman"/>
        </w:rPr>
        <w:t xml:space="preserve"> of how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disregard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seen</w:t>
      </w:r>
      <w:proofErr w:type="spellEnd"/>
      <w:r w:rsidRPr="00705170">
        <w:rPr>
          <w:rFonts w:ascii="Times New Roman" w:hAnsi="Times New Roman" w:cs="Times New Roman"/>
        </w:rPr>
        <w:t xml:space="preserve"> in Court of </w:t>
      </w:r>
      <w:proofErr w:type="spellStart"/>
      <w:r w:rsidRPr="00705170">
        <w:rPr>
          <w:rFonts w:ascii="Times New Roman" w:hAnsi="Times New Roman" w:cs="Times New Roman"/>
        </w:rPr>
        <w:t>Chancery</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Delaware’s</w:t>
      </w:r>
      <w:proofErr w:type="spellEnd"/>
      <w:r w:rsidRPr="00705170">
        <w:rPr>
          <w:rFonts w:ascii="Times New Roman" w:hAnsi="Times New Roman" w:cs="Times New Roman"/>
        </w:rPr>
        <w:t xml:space="preserve"> 2004 </w:t>
      </w:r>
      <w:proofErr w:type="spellStart"/>
      <w:r w:rsidRPr="00705170">
        <w:rPr>
          <w:rFonts w:ascii="Times New Roman" w:hAnsi="Times New Roman" w:cs="Times New Roman"/>
        </w:rPr>
        <w:t>dated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Hollinger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Inc</w:t>
      </w:r>
      <w:proofErr w:type="spellEnd"/>
      <w:r w:rsidRPr="00705170">
        <w:rPr>
          <w:rFonts w:ascii="Times New Roman" w:hAnsi="Times New Roman" w:cs="Times New Roman"/>
        </w:rPr>
        <w:t xml:space="preserve">. v. </w:t>
      </w:r>
      <w:proofErr w:type="spellStart"/>
      <w:r w:rsidRPr="00705170">
        <w:rPr>
          <w:rFonts w:ascii="Times New Roman" w:hAnsi="Times New Roman" w:cs="Times New Roman"/>
        </w:rPr>
        <w:t>Hollinger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Inc</w:t>
      </w:r>
      <w:proofErr w:type="spellEnd"/>
      <w:r w:rsidRPr="00705170">
        <w:rPr>
          <w:rFonts w:ascii="Times New Roman" w:hAnsi="Times New Roman" w:cs="Times New Roman"/>
        </w:rPr>
        <w:t xml:space="preserve">., 858 A. 2d 342 </w:t>
      </w:r>
      <w:proofErr w:type="spellStart"/>
      <w:r w:rsidRPr="00705170">
        <w:rPr>
          <w:rFonts w:ascii="Times New Roman" w:hAnsi="Times New Roman" w:cs="Times New Roman"/>
        </w:rPr>
        <w:t>ruling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key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question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before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Court </w:t>
      </w:r>
      <w:proofErr w:type="spellStart"/>
      <w:r w:rsidRPr="00705170">
        <w:rPr>
          <w:rFonts w:ascii="Times New Roman" w:hAnsi="Times New Roman" w:cs="Times New Roman"/>
        </w:rPr>
        <w:t>was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vote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disapprove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sale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substantially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property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assets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Court </w:t>
      </w:r>
      <w:proofErr w:type="spellStart"/>
      <w:r w:rsidRPr="00705170">
        <w:rPr>
          <w:rFonts w:ascii="Times New Roman" w:hAnsi="Times New Roman" w:cs="Times New Roman"/>
        </w:rPr>
        <w:t>ruled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lastRenderedPageBreak/>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approval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necessary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asset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sale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Telegraph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owns</w:t>
      </w:r>
      <w:proofErr w:type="spellEnd"/>
      <w:r w:rsidRPr="00705170">
        <w:rPr>
          <w:rFonts w:ascii="Times New Roman" w:hAnsi="Times New Roman" w:cs="Times New Roman"/>
        </w:rPr>
        <w:t xml:space="preserve"> United </w:t>
      </w:r>
      <w:proofErr w:type="spellStart"/>
      <w:r w:rsidRPr="00705170">
        <w:rPr>
          <w:rFonts w:ascii="Times New Roman" w:hAnsi="Times New Roman" w:cs="Times New Roman"/>
        </w:rPr>
        <w:t>Kingdom’s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influential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Telegraph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newspaper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though</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likely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valuable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asset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did</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constitute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substantially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assets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Court </w:t>
      </w:r>
      <w:proofErr w:type="spellStart"/>
      <w:r w:rsidRPr="00705170">
        <w:rPr>
          <w:rFonts w:ascii="Times New Roman" w:hAnsi="Times New Roman" w:cs="Times New Roman"/>
        </w:rPr>
        <w:t>stated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designed</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protection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owners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proper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interpretation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focus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economic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importance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assets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aesthetic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worth</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215"/>
      </w:r>
      <w:r w:rsidRPr="00705170">
        <w:rPr>
          <w:rFonts w:ascii="Times New Roman" w:hAnsi="Times New Roman" w:cs="Times New Roman"/>
        </w:rPr>
        <w:t xml:space="preserve">. </w:t>
      </w:r>
      <w:proofErr w:type="spellStart"/>
      <w:r w:rsidRPr="00705170">
        <w:rPr>
          <w:rFonts w:ascii="Times New Roman" w:hAnsi="Times New Roman" w:cs="Times New Roman"/>
        </w:rPr>
        <w:t>Herein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petitioners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asked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Court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think</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asset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providing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referring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conception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itself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claimed</w:t>
      </w:r>
      <w:proofErr w:type="spellEnd"/>
      <w:r w:rsidRPr="00705170">
        <w:rPr>
          <w:rFonts w:ascii="Times New Roman" w:hAnsi="Times New Roman" w:cs="Times New Roman"/>
        </w:rPr>
        <w:t xml:space="preserve"> </w:t>
      </w:r>
      <w:proofErr w:type="spellStart"/>
      <w:r w:rsidR="008C72B6" w:rsidRPr="00705170">
        <w:rPr>
          <w:rFonts w:ascii="Times New Roman" w:hAnsi="Times New Roman" w:cs="Times New Roman"/>
        </w:rPr>
        <w:t>that</w:t>
      </w:r>
      <w:proofErr w:type="spellEnd"/>
      <w:r w:rsidR="008C72B6" w:rsidRPr="00705170">
        <w:rPr>
          <w:rFonts w:ascii="Times New Roman" w:hAnsi="Times New Roman" w:cs="Times New Roman"/>
        </w:rPr>
        <w:t xml:space="preserve"> </w:t>
      </w:r>
      <w:r w:rsidRPr="00705170">
        <w:rPr>
          <w:rFonts w:ascii="Times New Roman" w:hAnsi="Times New Roman" w:cs="Times New Roman"/>
        </w:rPr>
        <w:t xml:space="preserve">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consideration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assets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satisfaction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r w:rsidR="00E03726" w:rsidRPr="00705170">
        <w:rPr>
          <w:rFonts w:ascii="Times New Roman" w:hAnsi="Times New Roman" w:cs="Times New Roman"/>
        </w:rPr>
        <w:t>“</w:t>
      </w:r>
      <w:proofErr w:type="spellStart"/>
      <w:r w:rsidR="00E03726" w:rsidRPr="00705170">
        <w:rPr>
          <w:rFonts w:ascii="Times New Roman" w:hAnsi="Times New Roman" w:cs="Times New Roman"/>
        </w:rPr>
        <w:t>substantially</w:t>
      </w:r>
      <w:proofErr w:type="spellEnd"/>
      <w:r w:rsidR="00E03726" w:rsidRPr="00705170">
        <w:rPr>
          <w:rFonts w:ascii="Times New Roman" w:hAnsi="Times New Roman" w:cs="Times New Roman"/>
        </w:rPr>
        <w:t xml:space="preserve"> </w:t>
      </w:r>
      <w:proofErr w:type="spellStart"/>
      <w:r w:rsidR="00E03726" w:rsidRPr="00705170">
        <w:rPr>
          <w:rFonts w:ascii="Times New Roman" w:hAnsi="Times New Roman" w:cs="Times New Roman"/>
        </w:rPr>
        <w:t>all</w:t>
      </w:r>
      <w:proofErr w:type="spellEnd"/>
      <w:r w:rsidR="00E03726" w:rsidRPr="00705170">
        <w:rPr>
          <w:rFonts w:ascii="Times New Roman" w:hAnsi="Times New Roman" w:cs="Times New Roman"/>
        </w:rPr>
        <w:t xml:space="preserve">” </w:t>
      </w:r>
      <w:proofErr w:type="spellStart"/>
      <w:r w:rsidR="00E03726" w:rsidRPr="00705170">
        <w:rPr>
          <w:rFonts w:ascii="Times New Roman" w:hAnsi="Times New Roman" w:cs="Times New Roman"/>
        </w:rPr>
        <w:t>requirement</w:t>
      </w:r>
      <w:proofErr w:type="spellEnd"/>
      <w:r w:rsidR="00E03726"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ownership</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Telegraph</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provide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dinner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Queen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thought</w:t>
      </w:r>
      <w:proofErr w:type="spellEnd"/>
      <w:r w:rsidRPr="00705170">
        <w:rPr>
          <w:rFonts w:ascii="Times New Roman" w:hAnsi="Times New Roman" w:cs="Times New Roman"/>
        </w:rPr>
        <w:t xml:space="preserve"> on</w:t>
      </w:r>
      <w:r w:rsidRPr="00705170">
        <w:rPr>
          <w:rStyle w:val="DipnotBavurusu"/>
          <w:rFonts w:ascii="Times New Roman" w:hAnsi="Times New Roman" w:cs="Times New Roman"/>
        </w:rPr>
        <w:footnoteReference w:id="216"/>
      </w:r>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Court </w:t>
      </w:r>
      <w:proofErr w:type="spellStart"/>
      <w:r w:rsidRPr="00705170">
        <w:rPr>
          <w:rFonts w:ascii="Times New Roman" w:hAnsi="Times New Roman" w:cs="Times New Roman"/>
        </w:rPr>
        <w:t>refused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argument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investors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public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companies</w:t>
      </w:r>
      <w:proofErr w:type="spellEnd"/>
      <w:r w:rsidRPr="00705170">
        <w:rPr>
          <w:rFonts w:ascii="Times New Roman" w:hAnsi="Times New Roman" w:cs="Times New Roman"/>
        </w:rPr>
        <w:t xml:space="preserve"> do not </w:t>
      </w:r>
      <w:proofErr w:type="spellStart"/>
      <w:r w:rsidRPr="00705170">
        <w:rPr>
          <w:rFonts w:ascii="Times New Roman" w:hAnsi="Times New Roman" w:cs="Times New Roman"/>
        </w:rPr>
        <w:t>invest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money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derive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owning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shares</w:t>
      </w:r>
      <w:proofErr w:type="spellEnd"/>
      <w:r w:rsidRPr="00705170">
        <w:rPr>
          <w:rFonts w:ascii="Times New Roman" w:hAnsi="Times New Roman" w:cs="Times New Roman"/>
        </w:rPr>
        <w:t xml:space="preserve"> in a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controlling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manager</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dinner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Queen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Whatever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importance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Telegraph</w:t>
      </w:r>
      <w:proofErr w:type="spellEnd"/>
      <w:r w:rsidRPr="00705170">
        <w:rPr>
          <w:rFonts w:ascii="Times New Roman" w:hAnsi="Times New Roman" w:cs="Times New Roman"/>
        </w:rPr>
        <w:t xml:space="preserve"> in Great Britain,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economic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value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importance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…as an </w:t>
      </w:r>
      <w:proofErr w:type="spellStart"/>
      <w:r w:rsidRPr="00705170">
        <w:rPr>
          <w:rFonts w:ascii="Times New Roman" w:hAnsi="Times New Roman" w:cs="Times New Roman"/>
        </w:rPr>
        <w:t>entity</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what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matters</w:t>
      </w:r>
      <w:proofErr w:type="spellEnd"/>
      <w:r w:rsidRPr="00705170">
        <w:rPr>
          <w:rFonts w:ascii="Times New Roman" w:hAnsi="Times New Roman" w:cs="Times New Roman"/>
        </w:rPr>
        <w:t xml:space="preserve">…not how </w:t>
      </w:r>
      <w:proofErr w:type="spellStart"/>
      <w:r w:rsidRPr="00705170">
        <w:rPr>
          <w:rFonts w:ascii="Times New Roman" w:hAnsi="Times New Roman" w:cs="Times New Roman"/>
        </w:rPr>
        <w:t>cool</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Telegraph’s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publisher</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217"/>
      </w:r>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Court </w:t>
      </w:r>
      <w:proofErr w:type="spellStart"/>
      <w:r w:rsidRPr="00705170">
        <w:rPr>
          <w:rFonts w:ascii="Times New Roman" w:hAnsi="Times New Roman" w:cs="Times New Roman"/>
        </w:rPr>
        <w:t>stressed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Although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stockholders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International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capitalize</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potential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buyers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Telegraph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willing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pay </w:t>
      </w:r>
      <w:proofErr w:type="spellStart"/>
      <w:r w:rsidRPr="00705170">
        <w:rPr>
          <w:rFonts w:ascii="Times New Roman" w:hAnsi="Times New Roman" w:cs="Times New Roman"/>
        </w:rPr>
        <w:t>money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reeive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economic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control</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newspaper</w:t>
      </w:r>
      <w:proofErr w:type="spellEnd"/>
      <w:r w:rsidRPr="00705170">
        <w:rPr>
          <w:rFonts w:ascii="Times New Roman" w:hAnsi="Times New Roman" w:cs="Times New Roman"/>
        </w:rPr>
        <w:t xml:space="preserve">, it is not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assume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International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retain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Telegraph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could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receive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price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attractive</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light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projected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future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flow</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color w:val="000000"/>
        </w:rPr>
        <w:t>Certainly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given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active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involvement</w:t>
      </w:r>
      <w:proofErr w:type="spellEnd"/>
      <w:r w:rsidRPr="00705170">
        <w:rPr>
          <w:rFonts w:ascii="Times New Roman" w:hAnsi="Times New Roman" w:cs="Times New Roman"/>
          <w:color w:val="000000"/>
        </w:rPr>
        <w:t xml:space="preserve"> of International in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M &amp; A market, </w:t>
      </w:r>
      <w:proofErr w:type="spellStart"/>
      <w:r w:rsidRPr="00705170">
        <w:rPr>
          <w:rFonts w:ascii="Times New Roman" w:hAnsi="Times New Roman" w:cs="Times New Roman"/>
          <w:color w:val="000000"/>
        </w:rPr>
        <w:t>there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was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no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reason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invest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based</w:t>
      </w:r>
      <w:proofErr w:type="spellEnd"/>
      <w:r w:rsidRPr="00705170">
        <w:rPr>
          <w:rFonts w:ascii="Times New Roman" w:hAnsi="Times New Roman" w:cs="Times New Roman"/>
          <w:color w:val="000000"/>
        </w:rPr>
        <w:t xml:space="preserve"> on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unusual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basis</w:t>
      </w:r>
      <w:proofErr w:type="spellEnd"/>
      <w:r w:rsidRPr="00705170">
        <w:rPr>
          <w:rFonts w:ascii="Times New Roman" w:hAnsi="Times New Roman" w:cs="Times New Roman"/>
        </w:rPr>
        <w:t>”</w:t>
      </w:r>
      <w:r w:rsidRPr="00705170">
        <w:rPr>
          <w:rStyle w:val="DipnotBavurusu"/>
          <w:rFonts w:ascii="Times New Roman" w:hAnsi="Times New Roman" w:cs="Times New Roman"/>
        </w:rPr>
        <w:t xml:space="preserve"> </w:t>
      </w:r>
      <w:r w:rsidRPr="00705170">
        <w:rPr>
          <w:rStyle w:val="DipnotBavurusu"/>
          <w:rFonts w:ascii="Times New Roman" w:hAnsi="Times New Roman" w:cs="Times New Roman"/>
        </w:rPr>
        <w:footnoteReference w:id="218"/>
      </w:r>
      <w:r w:rsidRPr="00705170">
        <w:rPr>
          <w:rFonts w:ascii="Times New Roman" w:hAnsi="Times New Roman" w:cs="Times New Roman"/>
        </w:rPr>
        <w:t xml:space="preserve">. </w:t>
      </w:r>
      <w:proofErr w:type="spellStart"/>
      <w:r w:rsidRPr="00705170">
        <w:rPr>
          <w:rFonts w:ascii="Times New Roman" w:hAnsi="Times New Roman" w:cs="Times New Roman"/>
        </w:rPr>
        <w:t>Still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Court </w:t>
      </w:r>
      <w:proofErr w:type="spellStart"/>
      <w:r w:rsidRPr="00705170">
        <w:rPr>
          <w:rFonts w:ascii="Times New Roman" w:hAnsi="Times New Roman" w:cs="Times New Roman"/>
        </w:rPr>
        <w:t>acknowledged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might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investors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investing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but, </w:t>
      </w:r>
      <w:proofErr w:type="spellStart"/>
      <w:r w:rsidRPr="00705170">
        <w:rPr>
          <w:rFonts w:ascii="Times New Roman" w:hAnsi="Times New Roman" w:cs="Times New Roman"/>
        </w:rPr>
        <w:t>nevertheless</w:t>
      </w:r>
      <w:proofErr w:type="spellEnd"/>
      <w:r w:rsidRPr="00705170">
        <w:rPr>
          <w:rFonts w:ascii="Times New Roman" w:hAnsi="Times New Roman" w:cs="Times New Roman"/>
        </w:rPr>
        <w:t xml:space="preserve">, it has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disregard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follows</w:t>
      </w:r>
      <w:proofErr w:type="spellEnd"/>
      <w:r w:rsidRPr="00705170">
        <w:rPr>
          <w:rFonts w:ascii="Times New Roman" w:hAnsi="Times New Roman" w:cs="Times New Roman"/>
        </w:rPr>
        <w:t xml:space="preserve">: </w:t>
      </w:r>
      <w:r w:rsidRPr="00705170">
        <w:rPr>
          <w:rFonts w:ascii="Times New Roman" w:hAnsi="Times New Roman" w:cs="Times New Roman"/>
          <w:color w:val="000000"/>
        </w:rPr>
        <w:t>“</w:t>
      </w:r>
      <w:proofErr w:type="spellStart"/>
      <w:r w:rsidRPr="00705170">
        <w:rPr>
          <w:rFonts w:ascii="Times New Roman" w:hAnsi="Times New Roman" w:cs="Times New Roman"/>
          <w:color w:val="000000"/>
        </w:rPr>
        <w:t>It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may</w:t>
      </w:r>
      <w:proofErr w:type="spellEnd"/>
      <w:r w:rsidRPr="00705170">
        <w:rPr>
          <w:rFonts w:ascii="Times New Roman" w:hAnsi="Times New Roman" w:cs="Times New Roman"/>
          <w:color w:val="000000"/>
        </w:rPr>
        <w:t xml:space="preserve"> be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exists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somewhere</w:t>
      </w:r>
      <w:proofErr w:type="spellEnd"/>
      <w:r w:rsidRPr="00705170">
        <w:rPr>
          <w:rFonts w:ascii="Times New Roman" w:hAnsi="Times New Roman" w:cs="Times New Roman"/>
          <w:color w:val="000000"/>
        </w:rPr>
        <w:t xml:space="preserve"> an International </w:t>
      </w:r>
      <w:proofErr w:type="spellStart"/>
      <w:r w:rsidRPr="00705170">
        <w:rPr>
          <w:rFonts w:ascii="Times New Roman" w:hAnsi="Times New Roman" w:cs="Times New Roman"/>
          <w:color w:val="000000"/>
        </w:rPr>
        <w:t>stockholder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other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Mrs</w:t>
      </w:r>
      <w:proofErr w:type="spellEnd"/>
      <w:r w:rsidRPr="00705170">
        <w:rPr>
          <w:rFonts w:ascii="Times New Roman" w:hAnsi="Times New Roman" w:cs="Times New Roman"/>
          <w:color w:val="000000"/>
        </w:rPr>
        <w:t xml:space="preserve">. Black </w:t>
      </w:r>
      <w:proofErr w:type="spellStart"/>
      <w:r w:rsidRPr="00705170">
        <w:rPr>
          <w:rFonts w:ascii="Times New Roman" w:hAnsi="Times New Roman" w:cs="Times New Roman"/>
          <w:color w:val="000000"/>
        </w:rPr>
        <w:t>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perhaps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some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personal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friends</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Blacks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who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values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opportunities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Conrad</w:t>
      </w:r>
      <w:proofErr w:type="spellEnd"/>
      <w:r w:rsidRPr="00705170">
        <w:rPr>
          <w:rFonts w:ascii="Times New Roman" w:hAnsi="Times New Roman" w:cs="Times New Roman"/>
          <w:color w:val="000000"/>
        </w:rPr>
        <w:t xml:space="preserve"> Black had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dine </w:t>
      </w:r>
      <w:proofErr w:type="spellStart"/>
      <w:r w:rsidRPr="00705170">
        <w:rPr>
          <w:rFonts w:ascii="Times New Roman" w:hAnsi="Times New Roman" w:cs="Times New Roman"/>
          <w:color w:val="000000"/>
        </w:rPr>
        <w:t>with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Queen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other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eminent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members</w:t>
      </w:r>
      <w:proofErr w:type="spellEnd"/>
      <w:r w:rsidRPr="00705170">
        <w:rPr>
          <w:rFonts w:ascii="Times New Roman" w:hAnsi="Times New Roman" w:cs="Times New Roman"/>
          <w:color w:val="000000"/>
        </w:rPr>
        <w:t xml:space="preserve"> of British </w:t>
      </w:r>
      <w:proofErr w:type="spellStart"/>
      <w:r w:rsidRPr="00705170">
        <w:rPr>
          <w:rFonts w:ascii="Times New Roman" w:hAnsi="Times New Roman" w:cs="Times New Roman"/>
          <w:color w:val="000000"/>
        </w:rPr>
        <w:t>society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because</w:t>
      </w:r>
      <w:proofErr w:type="spellEnd"/>
      <w:r w:rsidRPr="00705170">
        <w:rPr>
          <w:rFonts w:ascii="Times New Roman" w:hAnsi="Times New Roman" w:cs="Times New Roman"/>
          <w:color w:val="000000"/>
        </w:rPr>
        <w:t xml:space="preserve"> he </w:t>
      </w:r>
      <w:proofErr w:type="spellStart"/>
      <w:r w:rsidRPr="00705170">
        <w:rPr>
          <w:rFonts w:ascii="Times New Roman" w:hAnsi="Times New Roman" w:cs="Times New Roman"/>
          <w:color w:val="000000"/>
        </w:rPr>
        <w:t>was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i/>
          <w:iCs/>
          <w:color w:val="000000"/>
        </w:rPr>
        <w:t>Telegraph's</w:t>
      </w:r>
      <w:proofErr w:type="spellEnd"/>
      <w:r w:rsidRPr="00705170">
        <w:rPr>
          <w:rFonts w:ascii="Times New Roman" w:hAnsi="Times New Roman" w:cs="Times New Roman"/>
          <w:i/>
          <w:iCs/>
          <w:color w:val="000000"/>
        </w:rPr>
        <w:t xml:space="preserve"> </w:t>
      </w:r>
      <w:proofErr w:type="spellStart"/>
      <w:r w:rsidRPr="00705170">
        <w:rPr>
          <w:rFonts w:ascii="Times New Roman" w:hAnsi="Times New Roman" w:cs="Times New Roman"/>
          <w:color w:val="000000"/>
        </w:rPr>
        <w:t>publisher</w:t>
      </w:r>
      <w:proofErr w:type="spellEnd"/>
      <w:r w:rsidRPr="00705170">
        <w:rPr>
          <w:rFonts w:ascii="Times New Roman" w:hAnsi="Times New Roman" w:cs="Times New Roman"/>
          <w:color w:val="000000"/>
        </w:rPr>
        <w:t xml:space="preserve">. </w:t>
      </w:r>
      <w:r w:rsidRPr="00705170">
        <w:rPr>
          <w:rFonts w:ascii="Times New Roman" w:hAnsi="Times New Roman" w:cs="Times New Roman"/>
        </w:rPr>
        <w:t>But…</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test </w:t>
      </w:r>
      <w:proofErr w:type="spellStart"/>
      <w:r w:rsidRPr="00705170">
        <w:rPr>
          <w:rFonts w:ascii="Times New Roman" w:hAnsi="Times New Roman" w:cs="Times New Roman"/>
        </w:rPr>
        <w:t>addresses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economic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aberrational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sentiments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peculiar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more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likely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existent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persons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money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help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fulfill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ambitions</w:t>
      </w:r>
      <w:proofErr w:type="spellEnd"/>
      <w:r w:rsidRPr="00705170">
        <w:rPr>
          <w:rFonts w:ascii="Times New Roman" w:hAnsi="Times New Roman" w:cs="Times New Roman"/>
        </w:rPr>
        <w:t xml:space="preserve"> of inside </w:t>
      </w:r>
      <w:proofErr w:type="spellStart"/>
      <w:r w:rsidRPr="00705170">
        <w:rPr>
          <w:rFonts w:ascii="Times New Roman" w:hAnsi="Times New Roman" w:cs="Times New Roman"/>
        </w:rPr>
        <w:t>managers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enjoy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ownership</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common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stock</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vicariously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extraordinary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themselves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219"/>
      </w:r>
      <w:r w:rsidRPr="00705170">
        <w:rPr>
          <w:rFonts w:ascii="Times New Roman" w:hAnsi="Times New Roman" w:cs="Times New Roman"/>
        </w:rPr>
        <w:t>.</w:t>
      </w:r>
    </w:p>
    <w:p w14:paraId="0592BE12" w14:textId="26941EC5" w:rsidR="00E513F4" w:rsidRPr="00705170" w:rsidRDefault="00E513F4" w:rsidP="0012251E">
      <w:pPr>
        <w:spacing w:after="240" w:line="480" w:lineRule="auto"/>
        <w:jc w:val="both"/>
        <w:rPr>
          <w:rFonts w:ascii="Times New Roman" w:hAnsi="Times New Roman" w:cs="Times New Roman"/>
          <w:b/>
        </w:rPr>
      </w:pPr>
      <w:r w:rsidRPr="00705170">
        <w:rPr>
          <w:rFonts w:ascii="Times New Roman" w:hAnsi="Times New Roman" w:cs="Times New Roman"/>
          <w:b/>
        </w:rPr>
        <w:tab/>
        <w:t xml:space="preserve">2.3. </w:t>
      </w:r>
      <w:proofErr w:type="spellStart"/>
      <w:r w:rsidRPr="00705170">
        <w:rPr>
          <w:rFonts w:ascii="Times New Roman" w:hAnsi="Times New Roman" w:cs="Times New Roman"/>
          <w:b/>
        </w:rPr>
        <w:t>Rationale</w:t>
      </w:r>
      <w:proofErr w:type="spellEnd"/>
      <w:r w:rsidR="0022324A">
        <w:rPr>
          <w:rFonts w:ascii="Times New Roman" w:hAnsi="Times New Roman" w:cs="Times New Roman"/>
          <w:b/>
        </w:rPr>
        <w:t xml:space="preserve"> of </w:t>
      </w:r>
      <w:proofErr w:type="spellStart"/>
      <w:r w:rsidR="0022324A">
        <w:rPr>
          <w:rFonts w:ascii="Times New Roman" w:hAnsi="Times New Roman" w:cs="Times New Roman"/>
          <w:b/>
        </w:rPr>
        <w:t>Transaction</w:t>
      </w:r>
      <w:proofErr w:type="spellEnd"/>
      <w:r w:rsidR="0022324A">
        <w:rPr>
          <w:rFonts w:ascii="Times New Roman" w:hAnsi="Times New Roman" w:cs="Times New Roman"/>
          <w:b/>
        </w:rPr>
        <w:t xml:space="preserve">- </w:t>
      </w:r>
      <w:proofErr w:type="spellStart"/>
      <w:r w:rsidR="0022324A">
        <w:rPr>
          <w:rFonts w:ascii="Times New Roman" w:hAnsi="Times New Roman" w:cs="Times New Roman"/>
          <w:b/>
        </w:rPr>
        <w:t>Based</w:t>
      </w:r>
      <w:proofErr w:type="spellEnd"/>
      <w:r w:rsidR="0022324A">
        <w:rPr>
          <w:rFonts w:ascii="Times New Roman" w:hAnsi="Times New Roman" w:cs="Times New Roman"/>
          <w:b/>
        </w:rPr>
        <w:t xml:space="preserve"> </w:t>
      </w:r>
      <w:proofErr w:type="spellStart"/>
      <w:r w:rsidR="0022324A">
        <w:rPr>
          <w:rFonts w:ascii="Times New Roman" w:hAnsi="Times New Roman" w:cs="Times New Roman"/>
          <w:b/>
        </w:rPr>
        <w:t>Systems</w:t>
      </w:r>
      <w:proofErr w:type="spellEnd"/>
    </w:p>
    <w:p w14:paraId="5AE1237D" w14:textId="68A6E6CE" w:rsidR="00E513F4" w:rsidRPr="00705170" w:rsidRDefault="00E513F4" w:rsidP="00E513F4">
      <w:pPr>
        <w:spacing w:after="240" w:line="480" w:lineRule="auto"/>
        <w:ind w:firstLine="720"/>
        <w:jc w:val="both"/>
        <w:outlineLvl w:val="0"/>
        <w:rPr>
          <w:rFonts w:ascii="Times New Roman" w:hAnsi="Times New Roman" w:cs="Times New Roman"/>
        </w:rPr>
      </w:pPr>
      <w:proofErr w:type="spellStart"/>
      <w:r w:rsidRPr="00705170">
        <w:rPr>
          <w:rFonts w:ascii="Times New Roman" w:hAnsi="Times New Roman" w:cs="Times New Roman"/>
        </w:rPr>
        <w:t>Transaction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inherently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disregards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designed</w:t>
      </w:r>
      <w:proofErr w:type="spellEnd"/>
      <w:r w:rsidRPr="00705170">
        <w:rPr>
          <w:rFonts w:ascii="Times New Roman" w:hAnsi="Times New Roman" w:cs="Times New Roman"/>
        </w:rPr>
        <w:t xml:space="preserve"> (1)</w:t>
      </w:r>
      <w:r w:rsidR="007E33AA" w:rsidRPr="00705170">
        <w:rPr>
          <w:rFonts w:ascii="Times New Roman" w:hAnsi="Times New Roman" w:cs="Times New Roman"/>
        </w:rPr>
        <w:t xml:space="preserve"> </w:t>
      </w:r>
      <w:proofErr w:type="spellStart"/>
      <w:r w:rsidR="007E33AA" w:rsidRPr="00705170">
        <w:rPr>
          <w:rFonts w:ascii="Times New Roman" w:hAnsi="Times New Roman" w:cs="Times New Roman"/>
        </w:rPr>
        <w:t>to</w:t>
      </w:r>
      <w:proofErr w:type="spellEnd"/>
      <w:r w:rsidR="007E33AA" w:rsidRPr="00705170">
        <w:rPr>
          <w:rFonts w:ascii="Times New Roman" w:hAnsi="Times New Roman" w:cs="Times New Roman"/>
        </w:rPr>
        <w:t xml:space="preserve"> abide </w:t>
      </w:r>
      <w:proofErr w:type="spellStart"/>
      <w:r w:rsidR="007E33AA" w:rsidRPr="00705170">
        <w:rPr>
          <w:rFonts w:ascii="Times New Roman" w:hAnsi="Times New Roman" w:cs="Times New Roman"/>
        </w:rPr>
        <w:t>by</w:t>
      </w:r>
      <w:proofErr w:type="spellEnd"/>
      <w:r w:rsidR="007E33AA" w:rsidRPr="00705170">
        <w:rPr>
          <w:rFonts w:ascii="Times New Roman" w:hAnsi="Times New Roman" w:cs="Times New Roman"/>
        </w:rPr>
        <w:t xml:space="preserve"> </w:t>
      </w:r>
      <w:proofErr w:type="spellStart"/>
      <w:r w:rsidR="007E33AA" w:rsidRPr="00705170">
        <w:rPr>
          <w:rFonts w:ascii="Times New Roman" w:hAnsi="Times New Roman" w:cs="Times New Roman"/>
        </w:rPr>
        <w:t>the</w:t>
      </w:r>
      <w:proofErr w:type="spellEnd"/>
      <w:r w:rsidR="007E33AA" w:rsidRPr="00705170">
        <w:rPr>
          <w:rFonts w:ascii="Times New Roman" w:hAnsi="Times New Roman" w:cs="Times New Roman"/>
        </w:rPr>
        <w:t xml:space="preserve"> “legal </w:t>
      </w:r>
      <w:proofErr w:type="spellStart"/>
      <w:r w:rsidR="007E33AA" w:rsidRPr="00705170">
        <w:rPr>
          <w:rFonts w:ascii="Times New Roman" w:hAnsi="Times New Roman" w:cs="Times New Roman"/>
        </w:rPr>
        <w:t>certainty</w:t>
      </w:r>
      <w:proofErr w:type="spellEnd"/>
      <w:r w:rsidR="007E33AA" w:rsidRPr="00705170">
        <w:rPr>
          <w:rFonts w:ascii="Times New Roman" w:hAnsi="Times New Roman" w:cs="Times New Roman"/>
        </w:rPr>
        <w:t xml:space="preserve">” </w:t>
      </w:r>
      <w:proofErr w:type="spellStart"/>
      <w:r w:rsidR="007E33AA" w:rsidRPr="00705170">
        <w:rPr>
          <w:rFonts w:ascii="Times New Roman" w:hAnsi="Times New Roman" w:cs="Times New Roman"/>
        </w:rPr>
        <w:t>principle</w:t>
      </w:r>
      <w:proofErr w:type="spellEnd"/>
      <w:r w:rsidR="007E33AA" w:rsidRPr="00705170">
        <w:rPr>
          <w:rStyle w:val="DipnotBavurusu"/>
          <w:rFonts w:ascii="Times New Roman" w:hAnsi="Times New Roman" w:cs="Times New Roman"/>
        </w:rPr>
        <w:footnoteReference w:id="220"/>
      </w:r>
      <w:r w:rsidR="007E33AA" w:rsidRPr="00705170">
        <w:rPr>
          <w:rFonts w:ascii="Times New Roman" w:hAnsi="Times New Roman" w:cs="Times New Roman"/>
        </w:rPr>
        <w:t xml:space="preserve">, </w:t>
      </w:r>
      <w:proofErr w:type="spellStart"/>
      <w:r w:rsidR="007E33AA" w:rsidRPr="00705170">
        <w:rPr>
          <w:rFonts w:ascii="Times New Roman" w:hAnsi="Times New Roman" w:cs="Times New Roman"/>
        </w:rPr>
        <w:t>and</w:t>
      </w:r>
      <w:proofErr w:type="spellEnd"/>
      <w:r w:rsidR="007E33AA" w:rsidRPr="00705170">
        <w:rPr>
          <w:rFonts w:ascii="Times New Roman" w:hAnsi="Times New Roman" w:cs="Times New Roman"/>
        </w:rPr>
        <w:t xml:space="preserve"> (2)</w:t>
      </w:r>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adequate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problem of </w:t>
      </w:r>
      <w:proofErr w:type="spellStart"/>
      <w:r w:rsidRPr="00705170">
        <w:rPr>
          <w:rFonts w:ascii="Times New Roman" w:hAnsi="Times New Roman" w:cs="Times New Roman"/>
        </w:rPr>
        <w:t>distinguishing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between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efficient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inefficient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deals</w:t>
      </w:r>
      <w:proofErr w:type="spellEnd"/>
      <w:r w:rsidRPr="00705170">
        <w:rPr>
          <w:rStyle w:val="DipnotBavurusu"/>
          <w:rFonts w:ascii="Times New Roman" w:hAnsi="Times New Roman" w:cs="Times New Roman"/>
        </w:rPr>
        <w:footnoteReference w:id="221"/>
      </w:r>
      <w:r w:rsidRPr="00705170">
        <w:rPr>
          <w:rFonts w:ascii="Times New Roman" w:hAnsi="Times New Roman" w:cs="Times New Roman"/>
        </w:rPr>
        <w:t xml:space="preserve">. </w:t>
      </w:r>
      <w:proofErr w:type="spellStart"/>
      <w:r w:rsidR="007E33AA" w:rsidRPr="00705170">
        <w:rPr>
          <w:rFonts w:ascii="Times New Roman" w:hAnsi="Times New Roman" w:cs="Times New Roman"/>
        </w:rPr>
        <w:t>Firstly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hamper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“legal </w:t>
      </w:r>
      <w:proofErr w:type="spellStart"/>
      <w:r w:rsidRPr="00705170">
        <w:rPr>
          <w:rFonts w:ascii="Times New Roman" w:hAnsi="Times New Roman" w:cs="Times New Roman"/>
        </w:rPr>
        <w:t>certainty</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marketplace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tries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define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8A5189" w:rsidRPr="00705170">
        <w:rPr>
          <w:rFonts w:ascii="Times New Roman" w:hAnsi="Times New Roman" w:cs="Times New Roman"/>
        </w:rPr>
        <w:t>values</w:t>
      </w:r>
      <w:proofErr w:type="spellEnd"/>
      <w:r w:rsidRPr="00705170">
        <w:rPr>
          <w:rFonts w:ascii="Times New Roman" w:hAnsi="Times New Roman" w:cs="Times New Roman"/>
        </w:rPr>
        <w:t xml:space="preserve"> of </w:t>
      </w:r>
      <w:proofErr w:type="spellStart"/>
      <w:r w:rsidR="008A5189" w:rsidRPr="00705170">
        <w:rPr>
          <w:rFonts w:ascii="Times New Roman" w:hAnsi="Times New Roman" w:cs="Times New Roman"/>
        </w:rPr>
        <w:t>the</w:t>
      </w:r>
      <w:proofErr w:type="spellEnd"/>
      <w:r w:rsidR="008A5189" w:rsidRPr="00705170">
        <w:rPr>
          <w:rFonts w:ascii="Times New Roman" w:hAnsi="Times New Roman" w:cs="Times New Roman"/>
        </w:rPr>
        <w:t xml:space="preserve"> </w:t>
      </w:r>
      <w:proofErr w:type="spellStart"/>
      <w:r w:rsidRPr="00705170">
        <w:rPr>
          <w:rFonts w:ascii="Times New Roman" w:hAnsi="Times New Roman" w:cs="Times New Roman"/>
        </w:rPr>
        <w:t>assets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subject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precise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limits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track</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w:t>
      </w:r>
      <w:r w:rsidR="003C4D93" w:rsidRPr="00705170">
        <w:rPr>
          <w:rFonts w:ascii="Times New Roman" w:hAnsi="Times New Roman" w:cs="Times New Roman"/>
        </w:rPr>
        <w:t>uniary</w:t>
      </w:r>
      <w:proofErr w:type="spellEnd"/>
      <w:r w:rsidR="003C4D93" w:rsidRPr="00705170">
        <w:rPr>
          <w:rFonts w:ascii="Times New Roman" w:hAnsi="Times New Roman" w:cs="Times New Roman"/>
        </w:rPr>
        <w:t xml:space="preserve"> </w:t>
      </w:r>
      <w:proofErr w:type="spellStart"/>
      <w:r w:rsidR="003C4D93" w:rsidRPr="00705170">
        <w:rPr>
          <w:rFonts w:ascii="Times New Roman" w:hAnsi="Times New Roman" w:cs="Times New Roman"/>
        </w:rPr>
        <w:t>benefits</w:t>
      </w:r>
      <w:proofErr w:type="spellEnd"/>
      <w:r w:rsidR="003C4D93" w:rsidRPr="00705170">
        <w:rPr>
          <w:rFonts w:ascii="Times New Roman" w:hAnsi="Times New Roman" w:cs="Times New Roman"/>
        </w:rPr>
        <w:t xml:space="preserve"> </w:t>
      </w:r>
      <w:proofErr w:type="spellStart"/>
      <w:r w:rsidR="003C4D93" w:rsidRPr="00705170">
        <w:rPr>
          <w:rFonts w:ascii="Times New Roman" w:hAnsi="Times New Roman" w:cs="Times New Roman"/>
        </w:rPr>
        <w:t>would</w:t>
      </w:r>
      <w:proofErr w:type="spellEnd"/>
      <w:r w:rsidR="003C4D93" w:rsidRPr="00705170">
        <w:rPr>
          <w:rFonts w:ascii="Times New Roman" w:hAnsi="Times New Roman" w:cs="Times New Roman"/>
        </w:rPr>
        <w:t xml:space="preserve"> </w:t>
      </w:r>
      <w:proofErr w:type="spellStart"/>
      <w:r w:rsidR="003C4D93" w:rsidRPr="00705170">
        <w:rPr>
          <w:rFonts w:ascii="Times New Roman" w:hAnsi="Times New Roman" w:cs="Times New Roman"/>
        </w:rPr>
        <w:t>need</w:t>
      </w:r>
      <w:proofErr w:type="spellEnd"/>
      <w:r w:rsidR="003C4D93" w:rsidRPr="00705170">
        <w:rPr>
          <w:rFonts w:ascii="Times New Roman" w:hAnsi="Times New Roman" w:cs="Times New Roman"/>
        </w:rPr>
        <w:t xml:space="preserve"> </w:t>
      </w:r>
      <w:proofErr w:type="spellStart"/>
      <w:r w:rsidR="0022324A">
        <w:rPr>
          <w:rFonts w:ascii="Times New Roman" w:hAnsi="Times New Roman" w:cs="Times New Roman"/>
        </w:rPr>
        <w:t>terms</w:t>
      </w:r>
      <w:proofErr w:type="spellEnd"/>
      <w:r w:rsidR="0022324A"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somehow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indefinite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limits</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lastRenderedPageBreak/>
        <w:t>open</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to</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arbitrary</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interpretation</w:t>
      </w:r>
      <w:proofErr w:type="spellEnd"/>
      <w:r w:rsidR="002B0B4D" w:rsidRPr="00705170">
        <w:rPr>
          <w:rStyle w:val="DipnotBavurusu"/>
          <w:rFonts w:ascii="Times New Roman" w:hAnsi="Times New Roman" w:cs="Times New Roman"/>
        </w:rPr>
        <w:footnoteReference w:id="222"/>
      </w:r>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oblige</w:t>
      </w:r>
      <w:proofErr w:type="spellEnd"/>
      <w:r w:rsidRPr="00705170">
        <w:rPr>
          <w:rFonts w:ascii="Times New Roman" w:hAnsi="Times New Roman" w:cs="Times New Roman"/>
        </w:rPr>
        <w:t xml:space="preserve"> legal </w:t>
      </w:r>
      <w:proofErr w:type="spellStart"/>
      <w:r w:rsidRPr="00705170">
        <w:rPr>
          <w:rFonts w:ascii="Times New Roman" w:hAnsi="Times New Roman" w:cs="Times New Roman"/>
        </w:rPr>
        <w:t>practitioners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including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undertake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scrutinize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w:t>
      </w:r>
      <w:proofErr w:type="spellEnd"/>
      <w:r w:rsidR="008A5189" w:rsidRPr="00705170">
        <w:rPr>
          <w:rFonts w:ascii="Times New Roman" w:hAnsi="Times New Roman" w:cs="Times New Roman"/>
        </w:rPr>
        <w:t xml:space="preserve">, </w:t>
      </w:r>
      <w:proofErr w:type="spellStart"/>
      <w:r w:rsidR="008A5189" w:rsidRPr="00705170">
        <w:rPr>
          <w:rFonts w:ascii="Times New Roman" w:hAnsi="Times New Roman" w:cs="Times New Roman"/>
        </w:rPr>
        <w:t>and</w:t>
      </w:r>
      <w:proofErr w:type="spellEnd"/>
      <w:r w:rsidR="008A5189" w:rsidRPr="00705170">
        <w:rPr>
          <w:rFonts w:ascii="Times New Roman" w:hAnsi="Times New Roman" w:cs="Times New Roman"/>
        </w:rPr>
        <w:t xml:space="preserve"> </w:t>
      </w:r>
      <w:proofErr w:type="spellStart"/>
      <w:r w:rsidR="008A5189" w:rsidRPr="00705170">
        <w:rPr>
          <w:rFonts w:ascii="Times New Roman" w:hAnsi="Times New Roman" w:cs="Times New Roman"/>
        </w:rPr>
        <w:t>this</w:t>
      </w:r>
      <w:proofErr w:type="spellEnd"/>
      <w:r w:rsidR="008A5189" w:rsidRPr="00705170">
        <w:rPr>
          <w:rFonts w:ascii="Times New Roman" w:hAnsi="Times New Roman" w:cs="Times New Roman"/>
        </w:rPr>
        <w:t xml:space="preserve"> </w:t>
      </w:r>
      <w:proofErr w:type="spellStart"/>
      <w:r w:rsidR="008A5189" w:rsidRPr="00705170">
        <w:rPr>
          <w:rFonts w:ascii="Times New Roman" w:hAnsi="Times New Roman" w:cs="Times New Roman"/>
        </w:rPr>
        <w:t>will</w:t>
      </w:r>
      <w:proofErr w:type="spellEnd"/>
      <w:r w:rsidR="008A5189" w:rsidRPr="00705170">
        <w:rPr>
          <w:rFonts w:ascii="Times New Roman" w:hAnsi="Times New Roman" w:cs="Times New Roman"/>
        </w:rPr>
        <w:t xml:space="preserve"> </w:t>
      </w:r>
      <w:proofErr w:type="spellStart"/>
      <w:r w:rsidR="008A5189" w:rsidRPr="00705170">
        <w:rPr>
          <w:rFonts w:ascii="Times New Roman" w:hAnsi="Times New Roman" w:cs="Times New Roman"/>
        </w:rPr>
        <w:t>lead</w:t>
      </w:r>
      <w:proofErr w:type="spellEnd"/>
      <w:r w:rsidR="008A5189" w:rsidRPr="00705170">
        <w:rPr>
          <w:rFonts w:ascii="Times New Roman" w:hAnsi="Times New Roman" w:cs="Times New Roman"/>
        </w:rPr>
        <w:t xml:space="preserve"> </w:t>
      </w:r>
      <w:proofErr w:type="spellStart"/>
      <w:r w:rsidR="008A5189" w:rsidRPr="00705170">
        <w:rPr>
          <w:rFonts w:ascii="Times New Roman" w:hAnsi="Times New Roman" w:cs="Times New Roman"/>
        </w:rPr>
        <w:t>to</w:t>
      </w:r>
      <w:proofErr w:type="spellEnd"/>
      <w:r w:rsidR="008A5189" w:rsidRPr="00705170">
        <w:rPr>
          <w:rFonts w:ascii="Times New Roman" w:hAnsi="Times New Roman" w:cs="Times New Roman"/>
        </w:rPr>
        <w:t xml:space="preserve"> an </w:t>
      </w:r>
      <w:proofErr w:type="spellStart"/>
      <w:r w:rsidR="008A5189" w:rsidRPr="00705170">
        <w:rPr>
          <w:rFonts w:ascii="Times New Roman" w:hAnsi="Times New Roman" w:cs="Times New Roman"/>
        </w:rPr>
        <w:t>increase</w:t>
      </w:r>
      <w:proofErr w:type="spellEnd"/>
      <w:r w:rsidR="008A5189" w:rsidRPr="00705170">
        <w:rPr>
          <w:rFonts w:ascii="Times New Roman" w:hAnsi="Times New Roman" w:cs="Times New Roman"/>
        </w:rPr>
        <w:t xml:space="preserve"> in </w:t>
      </w:r>
      <w:proofErr w:type="spellStart"/>
      <w:r w:rsidR="008A5189"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costs</w:t>
      </w:r>
      <w:proofErr w:type="spellEnd"/>
      <w:r w:rsidRPr="00705170">
        <w:rPr>
          <w:rStyle w:val="DipnotBavurusu"/>
          <w:rFonts w:ascii="Times New Roman" w:hAnsi="Times New Roman" w:cs="Times New Roman"/>
        </w:rPr>
        <w:footnoteReference w:id="223"/>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people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hesistate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completing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concern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being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punished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court</w:t>
      </w:r>
      <w:proofErr w:type="spellEnd"/>
      <w:r w:rsidR="008A5189" w:rsidRPr="00705170">
        <w:rPr>
          <w:rFonts w:ascii="Times New Roman" w:hAnsi="Times New Roman" w:cs="Times New Roman"/>
        </w:rPr>
        <w:t xml:space="preserve"> </w:t>
      </w:r>
      <w:proofErr w:type="spellStart"/>
      <w:r w:rsidR="008A5189" w:rsidRPr="00705170">
        <w:rPr>
          <w:rFonts w:ascii="Times New Roman" w:hAnsi="Times New Roman" w:cs="Times New Roman"/>
        </w:rPr>
        <w:t>afterwards</w:t>
      </w:r>
      <w:proofErr w:type="spellEnd"/>
      <w:r w:rsidRPr="00705170">
        <w:rPr>
          <w:rStyle w:val="DipnotBavurusu"/>
          <w:rFonts w:ascii="Times New Roman" w:hAnsi="Times New Roman" w:cs="Times New Roman"/>
        </w:rPr>
        <w:footnoteReference w:id="224"/>
      </w:r>
      <w:r w:rsidRPr="00705170">
        <w:rPr>
          <w:rFonts w:ascii="Times New Roman" w:hAnsi="Times New Roman" w:cs="Times New Roman"/>
        </w:rPr>
        <w:t xml:space="preserve">. </w:t>
      </w:r>
    </w:p>
    <w:p w14:paraId="0A1B5B9D" w14:textId="1D3D891E" w:rsidR="00E513F4" w:rsidRPr="00705170" w:rsidRDefault="007E33AA" w:rsidP="00F0243E">
      <w:pPr>
        <w:spacing w:after="240" w:line="480" w:lineRule="auto"/>
        <w:ind w:firstLine="720"/>
        <w:jc w:val="both"/>
        <w:outlineLvl w:val="0"/>
        <w:rPr>
          <w:rFonts w:ascii="Times New Roman" w:hAnsi="Times New Roman" w:cs="Times New Roman"/>
        </w:rPr>
      </w:pPr>
      <w:proofErr w:type="spellStart"/>
      <w:r w:rsidRPr="00705170">
        <w:rPr>
          <w:rFonts w:ascii="Times New Roman" w:hAnsi="Times New Roman" w:cs="Times New Roman"/>
        </w:rPr>
        <w:t>Secondly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makes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effort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distinguish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efficient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inefficient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deals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permit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efficient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r w:rsidR="0022324A">
        <w:rPr>
          <w:rFonts w:ascii="Times New Roman" w:hAnsi="Times New Roman" w:cs="Times New Roman"/>
        </w:rPr>
        <w:t>P</w:t>
      </w:r>
      <w:r w:rsidR="00E513F4" w:rsidRPr="00705170">
        <w:rPr>
          <w:rFonts w:ascii="Times New Roman" w:hAnsi="Times New Roman" w:cs="Times New Roman"/>
        </w:rPr>
        <w:t xml:space="preserve">resence of an </w:t>
      </w:r>
      <w:proofErr w:type="spellStart"/>
      <w:r w:rsidR="00E513F4" w:rsidRPr="00705170">
        <w:rPr>
          <w:rFonts w:ascii="Times New Roman" w:hAnsi="Times New Roman" w:cs="Times New Roman"/>
        </w:rPr>
        <w:t>influencing</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shareholder</w:t>
      </w:r>
      <w:proofErr w:type="spellEnd"/>
      <w:r w:rsidR="00E513F4" w:rsidRPr="00705170">
        <w:rPr>
          <w:rFonts w:ascii="Times New Roman" w:hAnsi="Times New Roman" w:cs="Times New Roman"/>
        </w:rPr>
        <w:t xml:space="preserve"> in a </w:t>
      </w:r>
      <w:proofErr w:type="spellStart"/>
      <w:r w:rsidR="00E513F4" w:rsidRPr="00705170">
        <w:rPr>
          <w:rFonts w:ascii="Times New Roman" w:hAnsi="Times New Roman" w:cs="Times New Roman"/>
        </w:rPr>
        <w:t>corporation</w:t>
      </w:r>
      <w:proofErr w:type="spellEnd"/>
      <w:r w:rsidR="00E513F4" w:rsidRPr="00705170">
        <w:rPr>
          <w:rFonts w:ascii="Times New Roman" w:hAnsi="Times New Roman" w:cs="Times New Roman"/>
        </w:rPr>
        <w:t xml:space="preserve"> can </w:t>
      </w:r>
      <w:proofErr w:type="spellStart"/>
      <w:r w:rsidR="00E513F4" w:rsidRPr="00705170">
        <w:rPr>
          <w:rFonts w:ascii="Times New Roman" w:hAnsi="Times New Roman" w:cs="Times New Roman"/>
        </w:rPr>
        <w:t>bring</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advantages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minority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shareholders</w:t>
      </w:r>
      <w:proofErr w:type="spellEnd"/>
      <w:r w:rsidR="0022324A">
        <w:rPr>
          <w:rFonts w:ascii="Times New Roman" w:hAnsi="Times New Roman" w:cs="Times New Roman"/>
        </w:rPr>
        <w:t xml:space="preserve"> in </w:t>
      </w:r>
      <w:proofErr w:type="spellStart"/>
      <w:r w:rsidR="0022324A">
        <w:rPr>
          <w:rFonts w:ascii="Times New Roman" w:hAnsi="Times New Roman" w:cs="Times New Roman"/>
        </w:rPr>
        <w:t>three</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ways</w:t>
      </w:r>
      <w:proofErr w:type="spellEnd"/>
      <w:r w:rsidR="0022324A" w:rsidRPr="00705170">
        <w:rPr>
          <w:rStyle w:val="DipnotBavurusu"/>
          <w:rFonts w:ascii="Times New Roman" w:hAnsi="Times New Roman" w:cs="Times New Roman"/>
        </w:rPr>
        <w:footnoteReference w:id="225"/>
      </w:r>
      <w:r w:rsidR="0022324A">
        <w:rPr>
          <w:rFonts w:ascii="Times New Roman" w:hAnsi="Times New Roman" w:cs="Times New Roman"/>
        </w:rPr>
        <w:t>.</w:t>
      </w:r>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Firstly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influencing</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shareholders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will</w:t>
      </w:r>
      <w:proofErr w:type="spellEnd"/>
      <w:r w:rsidR="00E513F4" w:rsidRPr="00705170">
        <w:rPr>
          <w:rFonts w:ascii="Times New Roman" w:hAnsi="Times New Roman" w:cs="Times New Roman"/>
        </w:rPr>
        <w:t xml:space="preserve"> be </w:t>
      </w:r>
      <w:proofErr w:type="spellStart"/>
      <w:r w:rsidR="00E513F4" w:rsidRPr="00705170">
        <w:rPr>
          <w:rFonts w:ascii="Times New Roman" w:hAnsi="Times New Roman" w:cs="Times New Roman"/>
        </w:rPr>
        <w:t>well</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positioned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monitor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corporation’s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management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and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secondly</w:t>
      </w:r>
      <w:proofErr w:type="spellEnd"/>
      <w:r w:rsidR="00E513F4" w:rsidRPr="00705170">
        <w:rPr>
          <w:rFonts w:ascii="Times New Roman" w:hAnsi="Times New Roman" w:cs="Times New Roman"/>
        </w:rPr>
        <w:t xml:space="preserve">, in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case</w:t>
      </w:r>
      <w:proofErr w:type="spellEnd"/>
      <w:r w:rsidR="00E513F4" w:rsidRPr="00705170">
        <w:rPr>
          <w:rFonts w:ascii="Times New Roman" w:hAnsi="Times New Roman" w:cs="Times New Roman"/>
        </w:rPr>
        <w:t xml:space="preserve"> of </w:t>
      </w:r>
      <w:proofErr w:type="spellStart"/>
      <w:r w:rsidR="00E513F4" w:rsidRPr="00705170">
        <w:rPr>
          <w:rFonts w:ascii="Times New Roman" w:hAnsi="Times New Roman" w:cs="Times New Roman"/>
        </w:rPr>
        <w:t>related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party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transactions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ownership</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relations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between</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two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sides</w:t>
      </w:r>
      <w:proofErr w:type="spellEnd"/>
      <w:r w:rsidR="00E513F4" w:rsidRPr="00705170">
        <w:rPr>
          <w:rFonts w:ascii="Times New Roman" w:hAnsi="Times New Roman" w:cs="Times New Roman"/>
        </w:rPr>
        <w:t xml:space="preserve"> can </w:t>
      </w:r>
      <w:proofErr w:type="spellStart"/>
      <w:r w:rsidR="00E513F4" w:rsidRPr="00705170">
        <w:rPr>
          <w:rFonts w:ascii="Times New Roman" w:hAnsi="Times New Roman" w:cs="Times New Roman"/>
        </w:rPr>
        <w:t>help</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lower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transaction</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costs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between</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these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sides</w:t>
      </w:r>
      <w:proofErr w:type="spellEnd"/>
      <w:r w:rsidR="00E513F4" w:rsidRPr="00705170">
        <w:rPr>
          <w:rStyle w:val="DipnotBavurusu"/>
          <w:rFonts w:ascii="Times New Roman" w:hAnsi="Times New Roman" w:cs="Times New Roman"/>
        </w:rPr>
        <w:footnoteReference w:id="226"/>
      </w:r>
      <w:r w:rsidR="00E513F4" w:rsidRPr="00705170">
        <w:rPr>
          <w:rFonts w:ascii="Times New Roman" w:hAnsi="Times New Roman" w:cs="Times New Roman"/>
        </w:rPr>
        <w:t xml:space="preserve">. </w:t>
      </w:r>
      <w:proofErr w:type="spellStart"/>
      <w:r w:rsidR="0022324A">
        <w:rPr>
          <w:rFonts w:ascii="Times New Roman" w:hAnsi="Times New Roman" w:cs="Times New Roman"/>
        </w:rPr>
        <w:t>Thirdly</w:t>
      </w:r>
      <w:proofErr w:type="spellEnd"/>
      <w:r w:rsidR="00035E79">
        <w:rPr>
          <w:rFonts w:ascii="Times New Roman" w:hAnsi="Times New Roman" w:cs="Times New Roman"/>
        </w:rPr>
        <w:t xml:space="preserve">, an </w:t>
      </w:r>
      <w:proofErr w:type="spellStart"/>
      <w:r w:rsidR="00035E79">
        <w:rPr>
          <w:rFonts w:ascii="Times New Roman" w:hAnsi="Times New Roman" w:cs="Times New Roman"/>
        </w:rPr>
        <w:t>influencing</w:t>
      </w:r>
      <w:proofErr w:type="spellEnd"/>
      <w:r w:rsidR="00035E79">
        <w:rPr>
          <w:rFonts w:ascii="Times New Roman" w:hAnsi="Times New Roman" w:cs="Times New Roman"/>
        </w:rPr>
        <w:t xml:space="preserve"> </w:t>
      </w:r>
      <w:proofErr w:type="spellStart"/>
      <w:r w:rsidR="00035E79">
        <w:rPr>
          <w:rFonts w:ascii="Times New Roman" w:hAnsi="Times New Roman" w:cs="Times New Roman"/>
        </w:rPr>
        <w:t>shareholder</w:t>
      </w:r>
      <w:r w:rsidR="0022324A">
        <w:rPr>
          <w:rFonts w:ascii="Times New Roman" w:hAnsi="Times New Roman" w:cs="Times New Roman"/>
        </w:rPr>
        <w:t>’s</w:t>
      </w:r>
      <w:proofErr w:type="spellEnd"/>
      <w:r w:rsidR="00035E79">
        <w:rPr>
          <w:rFonts w:ascii="Times New Roman" w:hAnsi="Times New Roman" w:cs="Times New Roman"/>
        </w:rPr>
        <w:t xml:space="preserve"> </w:t>
      </w:r>
      <w:proofErr w:type="spellStart"/>
      <w:r w:rsidR="00035E79">
        <w:rPr>
          <w:rFonts w:ascii="Times New Roman" w:hAnsi="Times New Roman" w:cs="Times New Roman"/>
        </w:rPr>
        <w:t>good</w:t>
      </w:r>
      <w:proofErr w:type="spellEnd"/>
      <w:r w:rsidR="00035E79">
        <w:rPr>
          <w:rFonts w:ascii="Times New Roman" w:hAnsi="Times New Roman" w:cs="Times New Roman"/>
        </w:rPr>
        <w:t xml:space="preserve"> </w:t>
      </w:r>
      <w:proofErr w:type="spellStart"/>
      <w:r w:rsidR="00035E79">
        <w:rPr>
          <w:rFonts w:ascii="Times New Roman" w:hAnsi="Times New Roman" w:cs="Times New Roman"/>
        </w:rPr>
        <w:t>reputation</w:t>
      </w:r>
      <w:proofErr w:type="spellEnd"/>
      <w:r w:rsidR="00035E79">
        <w:rPr>
          <w:rFonts w:ascii="Times New Roman" w:hAnsi="Times New Roman" w:cs="Times New Roman"/>
        </w:rPr>
        <w:t xml:space="preserve"> </w:t>
      </w:r>
      <w:r w:rsidR="0022324A">
        <w:rPr>
          <w:rFonts w:ascii="Times New Roman" w:hAnsi="Times New Roman" w:cs="Times New Roman"/>
        </w:rPr>
        <w:t xml:space="preserve">in </w:t>
      </w:r>
      <w:proofErr w:type="spellStart"/>
      <w:r w:rsidR="0022324A">
        <w:rPr>
          <w:rFonts w:ascii="Times New Roman" w:hAnsi="Times New Roman" w:cs="Times New Roman"/>
        </w:rPr>
        <w:t>the</w:t>
      </w:r>
      <w:proofErr w:type="spellEnd"/>
      <w:r w:rsidR="0022324A">
        <w:rPr>
          <w:rFonts w:ascii="Times New Roman" w:hAnsi="Times New Roman" w:cs="Times New Roman"/>
        </w:rPr>
        <w:t xml:space="preserve"> market </w:t>
      </w:r>
      <w:proofErr w:type="spellStart"/>
      <w:r w:rsidR="00035E79">
        <w:rPr>
          <w:rFonts w:ascii="Times New Roman" w:hAnsi="Times New Roman" w:cs="Times New Roman"/>
        </w:rPr>
        <w:t>may</w:t>
      </w:r>
      <w:proofErr w:type="spellEnd"/>
      <w:r w:rsidR="00035E79">
        <w:rPr>
          <w:rFonts w:ascii="Times New Roman" w:hAnsi="Times New Roman" w:cs="Times New Roman"/>
        </w:rPr>
        <w:t xml:space="preserve"> </w:t>
      </w:r>
      <w:proofErr w:type="spellStart"/>
      <w:r w:rsidR="00035E79">
        <w:rPr>
          <w:rFonts w:ascii="Times New Roman" w:hAnsi="Times New Roman" w:cs="Times New Roman"/>
        </w:rPr>
        <w:t>also</w:t>
      </w:r>
      <w:proofErr w:type="spellEnd"/>
      <w:r w:rsidR="00035E79">
        <w:rPr>
          <w:rFonts w:ascii="Times New Roman" w:hAnsi="Times New Roman" w:cs="Times New Roman"/>
        </w:rPr>
        <w:t xml:space="preserve"> </w:t>
      </w:r>
      <w:proofErr w:type="spellStart"/>
      <w:r w:rsidR="00035E79">
        <w:rPr>
          <w:rFonts w:ascii="Times New Roman" w:hAnsi="Times New Roman" w:cs="Times New Roman"/>
        </w:rPr>
        <w:t>help</w:t>
      </w:r>
      <w:proofErr w:type="spellEnd"/>
      <w:r w:rsidR="00035E79">
        <w:rPr>
          <w:rFonts w:ascii="Times New Roman" w:hAnsi="Times New Roman" w:cs="Times New Roman"/>
        </w:rPr>
        <w:t xml:space="preserve"> </w:t>
      </w:r>
      <w:proofErr w:type="spellStart"/>
      <w:r w:rsidR="00035E79">
        <w:rPr>
          <w:rFonts w:ascii="Times New Roman" w:hAnsi="Times New Roman" w:cs="Times New Roman"/>
        </w:rPr>
        <w:t>the</w:t>
      </w:r>
      <w:proofErr w:type="spellEnd"/>
      <w:r w:rsidR="00035E79">
        <w:rPr>
          <w:rFonts w:ascii="Times New Roman" w:hAnsi="Times New Roman" w:cs="Times New Roman"/>
        </w:rPr>
        <w:t xml:space="preserve"> </w:t>
      </w:r>
      <w:proofErr w:type="spellStart"/>
      <w:r w:rsidR="0022324A">
        <w:rPr>
          <w:rFonts w:ascii="Times New Roman" w:hAnsi="Times New Roman" w:cs="Times New Roman"/>
        </w:rPr>
        <w:t>corporation</w:t>
      </w:r>
      <w:proofErr w:type="spellEnd"/>
      <w:r w:rsidR="00035E79">
        <w:rPr>
          <w:rFonts w:ascii="Times New Roman" w:hAnsi="Times New Roman" w:cs="Times New Roman"/>
        </w:rPr>
        <w:t xml:space="preserve"> </w:t>
      </w:r>
      <w:proofErr w:type="spellStart"/>
      <w:r w:rsidR="00035E79">
        <w:rPr>
          <w:rFonts w:ascii="Times New Roman" w:hAnsi="Times New Roman" w:cs="Times New Roman"/>
        </w:rPr>
        <w:t>to</w:t>
      </w:r>
      <w:proofErr w:type="spellEnd"/>
      <w:r w:rsidR="00035E79">
        <w:rPr>
          <w:rFonts w:ascii="Times New Roman" w:hAnsi="Times New Roman" w:cs="Times New Roman"/>
        </w:rPr>
        <w:t xml:space="preserve"> </w:t>
      </w:r>
      <w:proofErr w:type="spellStart"/>
      <w:r w:rsidR="00035E79">
        <w:rPr>
          <w:rFonts w:ascii="Times New Roman" w:hAnsi="Times New Roman" w:cs="Times New Roman"/>
        </w:rPr>
        <w:t>secure</w:t>
      </w:r>
      <w:proofErr w:type="spellEnd"/>
      <w:r w:rsidR="00035E79">
        <w:rPr>
          <w:rFonts w:ascii="Times New Roman" w:hAnsi="Times New Roman" w:cs="Times New Roman"/>
        </w:rPr>
        <w:t xml:space="preserve"> </w:t>
      </w:r>
      <w:proofErr w:type="spellStart"/>
      <w:r w:rsidR="00035E79">
        <w:rPr>
          <w:rFonts w:ascii="Times New Roman" w:hAnsi="Times New Roman" w:cs="Times New Roman"/>
        </w:rPr>
        <w:t>deals</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that</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will</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eventually</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increase</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its</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profits</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by</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signalling</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the</w:t>
      </w:r>
      <w:proofErr w:type="spellEnd"/>
      <w:r w:rsidR="0022324A">
        <w:rPr>
          <w:rFonts w:ascii="Times New Roman" w:hAnsi="Times New Roman" w:cs="Times New Roman"/>
        </w:rPr>
        <w:t xml:space="preserve"> market </w:t>
      </w:r>
      <w:proofErr w:type="spellStart"/>
      <w:r w:rsidR="0022324A">
        <w:rPr>
          <w:rFonts w:ascii="Times New Roman" w:hAnsi="Times New Roman" w:cs="Times New Roman"/>
        </w:rPr>
        <w:t>positive</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feedback</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about</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the</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corporation</w:t>
      </w:r>
      <w:proofErr w:type="spellEnd"/>
      <w:r w:rsidR="0022324A">
        <w:rPr>
          <w:rFonts w:ascii="Times New Roman" w:hAnsi="Times New Roman" w:cs="Times New Roman"/>
        </w:rPr>
        <w:t xml:space="preserve"> in </w:t>
      </w:r>
      <w:proofErr w:type="spellStart"/>
      <w:r w:rsidR="0022324A">
        <w:rPr>
          <w:rFonts w:ascii="Times New Roman" w:hAnsi="Times New Roman" w:cs="Times New Roman"/>
        </w:rPr>
        <w:t>terms</w:t>
      </w:r>
      <w:proofErr w:type="spellEnd"/>
      <w:r w:rsidR="0022324A">
        <w:rPr>
          <w:rFonts w:ascii="Times New Roman" w:hAnsi="Times New Roman" w:cs="Times New Roman"/>
        </w:rPr>
        <w:t xml:space="preserve"> of </w:t>
      </w:r>
      <w:proofErr w:type="spellStart"/>
      <w:r w:rsidR="0022324A">
        <w:rPr>
          <w:rFonts w:ascii="Times New Roman" w:hAnsi="Times New Roman" w:cs="Times New Roman"/>
        </w:rPr>
        <w:t>its</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credibility</w:t>
      </w:r>
      <w:proofErr w:type="spellEnd"/>
      <w:r w:rsidR="00035E79">
        <w:rPr>
          <w:rStyle w:val="DipnotBavurusu"/>
          <w:rFonts w:ascii="Times New Roman" w:hAnsi="Times New Roman" w:cs="Times New Roman"/>
        </w:rPr>
        <w:footnoteReference w:id="227"/>
      </w:r>
      <w:r w:rsidR="00035E79">
        <w:rPr>
          <w:rFonts w:ascii="Times New Roman" w:hAnsi="Times New Roman" w:cs="Times New Roman"/>
        </w:rPr>
        <w:t xml:space="preserve">. </w:t>
      </w:r>
      <w:r w:rsidR="00E513F4" w:rsidRPr="00705170">
        <w:rPr>
          <w:rFonts w:ascii="Times New Roman" w:hAnsi="Times New Roman" w:cs="Times New Roman"/>
        </w:rPr>
        <w:t xml:space="preserve">On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other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hand</w:t>
      </w:r>
      <w:proofErr w:type="spellEnd"/>
      <w:r w:rsidR="00E513F4" w:rsidRPr="00705170">
        <w:rPr>
          <w:rFonts w:ascii="Times New Roman" w:hAnsi="Times New Roman" w:cs="Times New Roman"/>
        </w:rPr>
        <w:t xml:space="preserve">, it is </w:t>
      </w:r>
      <w:proofErr w:type="spellStart"/>
      <w:r w:rsidR="00E513F4" w:rsidRPr="00705170">
        <w:rPr>
          <w:rFonts w:ascii="Times New Roman" w:hAnsi="Times New Roman" w:cs="Times New Roman"/>
        </w:rPr>
        <w:t>well</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understood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that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existence</w:t>
      </w:r>
      <w:proofErr w:type="spellEnd"/>
      <w:r w:rsidR="00E513F4" w:rsidRPr="00705170">
        <w:rPr>
          <w:rFonts w:ascii="Times New Roman" w:hAnsi="Times New Roman" w:cs="Times New Roman"/>
        </w:rPr>
        <w:t xml:space="preserve"> </w:t>
      </w:r>
      <w:r w:rsidR="00E513F4" w:rsidRPr="00705170">
        <w:rPr>
          <w:rFonts w:ascii="Times New Roman" w:hAnsi="Times New Roman" w:cs="Times New Roman"/>
        </w:rPr>
        <w:lastRenderedPageBreak/>
        <w:t xml:space="preserve">of </w:t>
      </w:r>
      <w:proofErr w:type="spellStart"/>
      <w:r w:rsidR="00E513F4" w:rsidRPr="00705170">
        <w:rPr>
          <w:rFonts w:ascii="Times New Roman" w:hAnsi="Times New Roman" w:cs="Times New Roman"/>
        </w:rPr>
        <w:t>any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private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benefit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which</w:t>
      </w:r>
      <w:proofErr w:type="spellEnd"/>
      <w:r w:rsidR="00E513F4" w:rsidRPr="00705170">
        <w:rPr>
          <w:rFonts w:ascii="Times New Roman" w:hAnsi="Times New Roman" w:cs="Times New Roman"/>
        </w:rPr>
        <w:t xml:space="preserve"> is not </w:t>
      </w:r>
      <w:proofErr w:type="spellStart"/>
      <w:r w:rsidR="00E513F4" w:rsidRPr="00705170">
        <w:rPr>
          <w:rFonts w:ascii="Times New Roman" w:hAnsi="Times New Roman" w:cs="Times New Roman"/>
        </w:rPr>
        <w:t>shared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with</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minority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gives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influencing</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shareholder</w:t>
      </w:r>
      <w:proofErr w:type="spellEnd"/>
      <w:r w:rsidR="00E513F4" w:rsidRPr="00705170">
        <w:rPr>
          <w:rFonts w:ascii="Times New Roman" w:hAnsi="Times New Roman" w:cs="Times New Roman"/>
        </w:rPr>
        <w:t xml:space="preserve"> an </w:t>
      </w:r>
      <w:proofErr w:type="spellStart"/>
      <w:r w:rsidR="00E513F4" w:rsidRPr="00705170">
        <w:rPr>
          <w:rFonts w:ascii="Times New Roman" w:hAnsi="Times New Roman" w:cs="Times New Roman"/>
        </w:rPr>
        <w:t>incentive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deviate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from</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maximization</w:t>
      </w:r>
      <w:proofErr w:type="spellEnd"/>
      <w:r w:rsidR="00E513F4" w:rsidRPr="00705170">
        <w:rPr>
          <w:rFonts w:ascii="Times New Roman" w:hAnsi="Times New Roman" w:cs="Times New Roman"/>
        </w:rPr>
        <w:t xml:space="preserve"> of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corporation’s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value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corollary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these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shareholders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will</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take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decisions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based</w:t>
      </w:r>
      <w:proofErr w:type="spellEnd"/>
      <w:r w:rsidR="00E513F4" w:rsidRPr="00705170">
        <w:rPr>
          <w:rFonts w:ascii="Times New Roman" w:hAnsi="Times New Roman" w:cs="Times New Roman"/>
        </w:rPr>
        <w:t xml:space="preserve"> on </w:t>
      </w:r>
      <w:proofErr w:type="spellStart"/>
      <w:r w:rsidR="00E513F4" w:rsidRPr="00705170">
        <w:rPr>
          <w:rFonts w:ascii="Times New Roman" w:hAnsi="Times New Roman" w:cs="Times New Roman"/>
        </w:rPr>
        <w:t>their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will</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maximize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sum</w:t>
      </w:r>
      <w:proofErr w:type="spellEnd"/>
      <w:r w:rsidR="00E513F4" w:rsidRPr="00705170">
        <w:rPr>
          <w:rFonts w:ascii="Times New Roman" w:hAnsi="Times New Roman" w:cs="Times New Roman"/>
        </w:rPr>
        <w:t xml:space="preserve"> of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corporation’s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value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and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value</w:t>
      </w:r>
      <w:proofErr w:type="spellEnd"/>
      <w:r w:rsidR="00E513F4" w:rsidRPr="00705170">
        <w:rPr>
          <w:rFonts w:ascii="Times New Roman" w:hAnsi="Times New Roman" w:cs="Times New Roman"/>
        </w:rPr>
        <w:t xml:space="preserve"> of </w:t>
      </w:r>
      <w:proofErr w:type="spellStart"/>
      <w:r w:rsidR="00E513F4" w:rsidRPr="00705170">
        <w:rPr>
          <w:rFonts w:ascii="Times New Roman" w:hAnsi="Times New Roman" w:cs="Times New Roman"/>
        </w:rPr>
        <w:t>their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private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benefits</w:t>
      </w:r>
      <w:proofErr w:type="spellEnd"/>
      <w:r w:rsidR="00E513F4" w:rsidRPr="00705170">
        <w:rPr>
          <w:rStyle w:val="DipnotBavurusu"/>
          <w:rFonts w:ascii="Times New Roman" w:hAnsi="Times New Roman" w:cs="Times New Roman"/>
        </w:rPr>
        <w:footnoteReference w:id="228"/>
      </w:r>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With</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this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understanding</w:t>
      </w:r>
      <w:proofErr w:type="spellEnd"/>
      <w:r w:rsidR="00E513F4" w:rsidRPr="00705170">
        <w:rPr>
          <w:rFonts w:ascii="Times New Roman" w:hAnsi="Times New Roman" w:cs="Times New Roman"/>
        </w:rPr>
        <w:t xml:space="preserve"> in </w:t>
      </w:r>
      <w:proofErr w:type="spellStart"/>
      <w:r w:rsidR="00E513F4" w:rsidRPr="00705170">
        <w:rPr>
          <w:rFonts w:ascii="Times New Roman" w:hAnsi="Times New Roman" w:cs="Times New Roman"/>
        </w:rPr>
        <w:t>mind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corporate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law</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allows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minority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shareholder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expropriation</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extent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that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action</w:t>
      </w:r>
      <w:proofErr w:type="spellEnd"/>
      <w:r w:rsidRPr="00705170">
        <w:rPr>
          <w:rFonts w:ascii="Times New Roman" w:hAnsi="Times New Roman" w:cs="Times New Roman"/>
        </w:rPr>
        <w:t>/</w:t>
      </w:r>
      <w:proofErr w:type="spellStart"/>
      <w:r w:rsidRPr="00705170">
        <w:rPr>
          <w:rFonts w:ascii="Times New Roman" w:hAnsi="Times New Roman" w:cs="Times New Roman"/>
        </w:rPr>
        <w:t>transaction</w:t>
      </w:r>
      <w:proofErr w:type="spellEnd"/>
      <w:r w:rsidR="00E513F4" w:rsidRPr="00705170">
        <w:rPr>
          <w:rFonts w:ascii="Times New Roman" w:hAnsi="Times New Roman" w:cs="Times New Roman"/>
        </w:rPr>
        <w:t xml:space="preserve"> is </w:t>
      </w:r>
      <w:proofErr w:type="spellStart"/>
      <w:r w:rsidR="00E513F4" w:rsidRPr="00705170">
        <w:rPr>
          <w:rFonts w:ascii="Times New Roman" w:hAnsi="Times New Roman" w:cs="Times New Roman"/>
        </w:rPr>
        <w:t>undertaken</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satisfying</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procedures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and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remedies</w:t>
      </w:r>
      <w:proofErr w:type="spellEnd"/>
      <w:r w:rsidR="00E513F4" w:rsidRPr="00705170">
        <w:rPr>
          <w:rFonts w:ascii="Times New Roman" w:hAnsi="Times New Roman" w:cs="Times New Roman"/>
        </w:rPr>
        <w:t xml:space="preserve"> set </w:t>
      </w:r>
      <w:proofErr w:type="spellStart"/>
      <w:r w:rsidR="00E513F4" w:rsidRPr="00705170">
        <w:rPr>
          <w:rFonts w:ascii="Times New Roman" w:hAnsi="Times New Roman" w:cs="Times New Roman"/>
        </w:rPr>
        <w:t>by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transaction</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based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system</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which</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makes</w:t>
      </w:r>
      <w:proofErr w:type="spellEnd"/>
      <w:r w:rsidR="00E513F4" w:rsidRPr="00705170">
        <w:rPr>
          <w:rFonts w:ascii="Times New Roman" w:hAnsi="Times New Roman" w:cs="Times New Roman"/>
        </w:rPr>
        <w:t xml:space="preserve"> sure </w:t>
      </w:r>
      <w:proofErr w:type="spellStart"/>
      <w:r w:rsidR="00E513F4" w:rsidRPr="00705170">
        <w:rPr>
          <w:rFonts w:ascii="Times New Roman" w:hAnsi="Times New Roman" w:cs="Times New Roman"/>
        </w:rPr>
        <w:t>that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minorities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frustration</w:t>
      </w:r>
      <w:proofErr w:type="spellEnd"/>
      <w:r w:rsidR="00E513F4" w:rsidRPr="00705170">
        <w:rPr>
          <w:rFonts w:ascii="Times New Roman" w:hAnsi="Times New Roman" w:cs="Times New Roman"/>
        </w:rPr>
        <w:t xml:space="preserve"> is </w:t>
      </w:r>
      <w:proofErr w:type="spellStart"/>
      <w:r w:rsidR="00E513F4" w:rsidRPr="00705170">
        <w:rPr>
          <w:rFonts w:ascii="Times New Roman" w:hAnsi="Times New Roman" w:cs="Times New Roman"/>
        </w:rPr>
        <w:t>sufficient</w:t>
      </w:r>
      <w:r w:rsidRPr="00705170">
        <w:rPr>
          <w:rFonts w:ascii="Times New Roman" w:hAnsi="Times New Roman" w:cs="Times New Roman"/>
        </w:rPr>
        <w:t>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compensated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frustrated</w:t>
      </w:r>
      <w:proofErr w:type="spellEnd"/>
      <w:r w:rsidRPr="00705170">
        <w:rPr>
          <w:rFonts w:ascii="Times New Roman" w:hAnsi="Times New Roman" w:cs="Times New Roman"/>
        </w:rPr>
        <w:t>)</w:t>
      </w:r>
      <w:r w:rsidR="00E513F4" w:rsidRPr="00705170">
        <w:rPr>
          <w:rFonts w:ascii="Times New Roman" w:hAnsi="Times New Roman" w:cs="Times New Roman"/>
        </w:rPr>
        <w:t xml:space="preserve">. </w:t>
      </w:r>
      <w:proofErr w:type="spellStart"/>
      <w:r w:rsidR="0022324A">
        <w:rPr>
          <w:rFonts w:ascii="Times New Roman" w:hAnsi="Times New Roman" w:cs="Times New Roman"/>
        </w:rPr>
        <w:t>In</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other</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words</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allowing</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the</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influencing</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shareholder</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to</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treat</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the</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corporation</w:t>
      </w:r>
      <w:proofErr w:type="spellEnd"/>
      <w:r w:rsidR="0022324A">
        <w:rPr>
          <w:rFonts w:ascii="Times New Roman" w:hAnsi="Times New Roman" w:cs="Times New Roman"/>
        </w:rPr>
        <w:t xml:space="preserve"> as </w:t>
      </w:r>
      <w:proofErr w:type="spellStart"/>
      <w:r w:rsidR="0022324A">
        <w:rPr>
          <w:rFonts w:ascii="Times New Roman" w:hAnsi="Times New Roman" w:cs="Times New Roman"/>
        </w:rPr>
        <w:t>its</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alter</w:t>
      </w:r>
      <w:proofErr w:type="spellEnd"/>
      <w:r w:rsidR="0022324A">
        <w:rPr>
          <w:rFonts w:ascii="Times New Roman" w:hAnsi="Times New Roman" w:cs="Times New Roman"/>
        </w:rPr>
        <w:t xml:space="preserve"> ego </w:t>
      </w:r>
      <w:proofErr w:type="spellStart"/>
      <w:r w:rsidR="0022324A">
        <w:rPr>
          <w:rFonts w:ascii="Times New Roman" w:hAnsi="Times New Roman" w:cs="Times New Roman"/>
        </w:rPr>
        <w:t>to</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generate</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income</w:t>
      </w:r>
      <w:proofErr w:type="spellEnd"/>
      <w:r w:rsidR="0022324A">
        <w:rPr>
          <w:rFonts w:ascii="Times New Roman" w:hAnsi="Times New Roman" w:cs="Times New Roman"/>
        </w:rPr>
        <w:t xml:space="preserve"> </w:t>
      </w:r>
      <w:proofErr w:type="spellStart"/>
      <w:r w:rsidR="0022324A">
        <w:rPr>
          <w:rFonts w:ascii="Times New Roman" w:hAnsi="Times New Roman" w:cs="Times New Roman"/>
        </w:rPr>
        <w:t>may</w:t>
      </w:r>
      <w:proofErr w:type="spellEnd"/>
      <w:r w:rsidR="0022324A">
        <w:rPr>
          <w:rFonts w:ascii="Times New Roman" w:hAnsi="Times New Roman" w:cs="Times New Roman"/>
        </w:rPr>
        <w:t xml:space="preserve"> be </w:t>
      </w:r>
      <w:proofErr w:type="spellStart"/>
      <w:r w:rsidR="0022324A">
        <w:rPr>
          <w:rFonts w:ascii="Times New Roman" w:hAnsi="Times New Roman" w:cs="Times New Roman"/>
        </w:rPr>
        <w:t>tolareted</w:t>
      </w:r>
      <w:proofErr w:type="spellEnd"/>
      <w:r w:rsidR="0022324A">
        <w:rPr>
          <w:rFonts w:ascii="Times New Roman" w:hAnsi="Times New Roman" w:cs="Times New Roman"/>
        </w:rPr>
        <w:t xml:space="preserve"> as </w:t>
      </w:r>
      <w:proofErr w:type="spellStart"/>
      <w:r w:rsidR="0022324A">
        <w:rPr>
          <w:rFonts w:ascii="Times New Roman" w:hAnsi="Times New Roman" w:cs="Times New Roman"/>
        </w:rPr>
        <w:t>long</w:t>
      </w:r>
      <w:proofErr w:type="spellEnd"/>
      <w:r w:rsidR="0022324A">
        <w:rPr>
          <w:rFonts w:ascii="Times New Roman" w:hAnsi="Times New Roman" w:cs="Times New Roman"/>
        </w:rPr>
        <w:t xml:space="preserve"> as</w:t>
      </w:r>
      <w:r w:rsidR="00B22FB9">
        <w:rPr>
          <w:rFonts w:ascii="Times New Roman" w:hAnsi="Times New Roman" w:cs="Times New Roman"/>
        </w:rPr>
        <w:t xml:space="preserve"> </w:t>
      </w:r>
      <w:proofErr w:type="spellStart"/>
      <w:r w:rsidR="00B22FB9">
        <w:rPr>
          <w:rFonts w:ascii="Times New Roman" w:hAnsi="Times New Roman" w:cs="Times New Roman"/>
        </w:rPr>
        <w:t>there</w:t>
      </w:r>
      <w:proofErr w:type="spellEnd"/>
      <w:r w:rsidR="00B22FB9">
        <w:rPr>
          <w:rFonts w:ascii="Times New Roman" w:hAnsi="Times New Roman" w:cs="Times New Roman"/>
        </w:rPr>
        <w:t xml:space="preserve"> is an</w:t>
      </w:r>
      <w:r w:rsidR="0022324A">
        <w:rPr>
          <w:rFonts w:ascii="Times New Roman" w:hAnsi="Times New Roman" w:cs="Times New Roman"/>
        </w:rPr>
        <w:t xml:space="preserve"> </w:t>
      </w:r>
      <w:proofErr w:type="spellStart"/>
      <w:r w:rsidR="0022324A">
        <w:rPr>
          <w:rFonts w:ascii="Times New Roman" w:hAnsi="Times New Roman" w:cs="Times New Roman"/>
        </w:rPr>
        <w:t>indemnifi</w:t>
      </w:r>
      <w:r w:rsidR="00B22FB9">
        <w:rPr>
          <w:rFonts w:ascii="Times New Roman" w:hAnsi="Times New Roman" w:cs="Times New Roman"/>
        </w:rPr>
        <w:t>cation</w:t>
      </w:r>
      <w:proofErr w:type="spellEnd"/>
      <w:r w:rsidR="0022324A">
        <w:rPr>
          <w:rFonts w:ascii="Times New Roman" w:hAnsi="Times New Roman" w:cs="Times New Roman"/>
        </w:rPr>
        <w:t xml:space="preserve">. </w:t>
      </w:r>
    </w:p>
    <w:p w14:paraId="358D8749" w14:textId="437E65F8" w:rsidR="000317BF" w:rsidRPr="00705170" w:rsidRDefault="00553DAF" w:rsidP="000317BF">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w:t>
      </w:r>
      <w:r w:rsidR="007E33AA" w:rsidRPr="00705170">
        <w:rPr>
          <w:rFonts w:ascii="Times New Roman" w:hAnsi="Times New Roman" w:cs="Times New Roman"/>
        </w:rPr>
        <w:t>here</w:t>
      </w:r>
      <w:proofErr w:type="spellEnd"/>
      <w:r w:rsidR="007E33AA" w:rsidRPr="00705170">
        <w:rPr>
          <w:rFonts w:ascii="Times New Roman" w:hAnsi="Times New Roman" w:cs="Times New Roman"/>
        </w:rPr>
        <w:t xml:space="preserve"> </w:t>
      </w:r>
      <w:proofErr w:type="spellStart"/>
      <w:r w:rsidR="007E33AA" w:rsidRPr="00705170">
        <w:rPr>
          <w:rFonts w:ascii="Times New Roman" w:hAnsi="Times New Roman" w:cs="Times New Roman"/>
        </w:rPr>
        <w:t>are</w:t>
      </w:r>
      <w:proofErr w:type="spellEnd"/>
      <w:r w:rsidR="007E33AA" w:rsidRPr="00705170">
        <w:rPr>
          <w:rFonts w:ascii="Times New Roman" w:hAnsi="Times New Roman" w:cs="Times New Roman"/>
        </w:rPr>
        <w:t xml:space="preserve"> </w:t>
      </w:r>
      <w:proofErr w:type="spellStart"/>
      <w:r w:rsidRPr="00705170">
        <w:rPr>
          <w:rFonts w:ascii="Times New Roman" w:hAnsi="Times New Roman" w:cs="Times New Roman"/>
        </w:rPr>
        <w:t>scholars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also</w:t>
      </w:r>
      <w:proofErr w:type="spellEnd"/>
      <w:r w:rsidR="007E33AA" w:rsidRPr="00705170">
        <w:rPr>
          <w:rFonts w:ascii="Times New Roman" w:hAnsi="Times New Roman" w:cs="Times New Roman"/>
        </w:rPr>
        <w:t xml:space="preserve"> </w:t>
      </w:r>
      <w:proofErr w:type="spellStart"/>
      <w:r w:rsidR="007E33AA" w:rsidRPr="00705170">
        <w:rPr>
          <w:rFonts w:ascii="Times New Roman" w:hAnsi="Times New Roman" w:cs="Times New Roman"/>
        </w:rPr>
        <w:t>highlight</w:t>
      </w:r>
      <w:proofErr w:type="spellEnd"/>
      <w:r w:rsidR="007E33AA" w:rsidRPr="00705170">
        <w:rPr>
          <w:rFonts w:ascii="Times New Roman" w:hAnsi="Times New Roman" w:cs="Times New Roman"/>
        </w:rPr>
        <w:t xml:space="preserve"> </w:t>
      </w:r>
      <w:proofErr w:type="spellStart"/>
      <w:r w:rsidR="007E33AA" w:rsidRPr="00705170">
        <w:rPr>
          <w:rFonts w:ascii="Times New Roman" w:hAnsi="Times New Roman" w:cs="Times New Roman"/>
        </w:rPr>
        <w:t>the</w:t>
      </w:r>
      <w:proofErr w:type="spellEnd"/>
      <w:r w:rsidR="007E33AA" w:rsidRPr="00705170">
        <w:rPr>
          <w:rFonts w:ascii="Times New Roman" w:hAnsi="Times New Roman" w:cs="Times New Roman"/>
        </w:rPr>
        <w:t xml:space="preserve"> </w:t>
      </w:r>
      <w:proofErr w:type="spellStart"/>
      <w:r w:rsidR="007E33AA" w:rsidRPr="00705170">
        <w:rPr>
          <w:rFonts w:ascii="Times New Roman" w:hAnsi="Times New Roman" w:cs="Times New Roman"/>
        </w:rPr>
        <w:t>flaws</w:t>
      </w:r>
      <w:proofErr w:type="spellEnd"/>
      <w:r w:rsidR="007E33AA" w:rsidRPr="00705170">
        <w:rPr>
          <w:rFonts w:ascii="Times New Roman" w:hAnsi="Times New Roman" w:cs="Times New Roman"/>
        </w:rPr>
        <w:t xml:space="preserve"> of </w:t>
      </w:r>
      <w:proofErr w:type="spellStart"/>
      <w:r w:rsidR="007E33AA" w:rsidRPr="00705170">
        <w:rPr>
          <w:rFonts w:ascii="Times New Roman" w:hAnsi="Times New Roman" w:cs="Times New Roman"/>
        </w:rPr>
        <w:t>the</w:t>
      </w:r>
      <w:proofErr w:type="spellEnd"/>
      <w:r w:rsidR="007E33AA" w:rsidRPr="00705170">
        <w:rPr>
          <w:rFonts w:ascii="Times New Roman" w:hAnsi="Times New Roman" w:cs="Times New Roman"/>
        </w:rPr>
        <w:t xml:space="preserve"> </w:t>
      </w:r>
      <w:proofErr w:type="spellStart"/>
      <w:r w:rsidR="007E33AA" w:rsidRPr="00705170">
        <w:rPr>
          <w:rFonts w:ascii="Times New Roman" w:hAnsi="Times New Roman" w:cs="Times New Roman"/>
        </w:rPr>
        <w:t>system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acknowledging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rationale</w:t>
      </w:r>
      <w:proofErr w:type="spellEnd"/>
      <w:r w:rsidRPr="00705170">
        <w:rPr>
          <w:rFonts w:ascii="Times New Roman" w:hAnsi="Times New Roman" w:cs="Times New Roman"/>
        </w:rPr>
        <w:t xml:space="preserve"> of it</w:t>
      </w:r>
      <w:r w:rsidR="007E33AA" w:rsidRPr="00705170">
        <w:rPr>
          <w:rFonts w:ascii="Times New Roman" w:hAnsi="Times New Roman" w:cs="Times New Roman"/>
        </w:rPr>
        <w:t xml:space="preserve">. </w:t>
      </w:r>
      <w:proofErr w:type="spellStart"/>
      <w:r w:rsidR="007E33AA" w:rsidRPr="00705170">
        <w:rPr>
          <w:rFonts w:ascii="Times New Roman" w:hAnsi="Times New Roman" w:cs="Times New Roman"/>
        </w:rPr>
        <w:t>For</w:t>
      </w:r>
      <w:proofErr w:type="spellEnd"/>
      <w:r w:rsidR="007E33AA" w:rsidRPr="00705170">
        <w:rPr>
          <w:rFonts w:ascii="Times New Roman" w:hAnsi="Times New Roman" w:cs="Times New Roman"/>
        </w:rPr>
        <w:t xml:space="preserve"> </w:t>
      </w:r>
      <w:proofErr w:type="spellStart"/>
      <w:r w:rsidR="007E33AA" w:rsidRPr="00705170">
        <w:rPr>
          <w:rFonts w:ascii="Times New Roman" w:hAnsi="Times New Roman" w:cs="Times New Roman"/>
        </w:rPr>
        <w:t>example</w:t>
      </w:r>
      <w:proofErr w:type="spellEnd"/>
      <w:r w:rsidR="007E33AA" w:rsidRPr="00705170">
        <w:rPr>
          <w:rFonts w:ascii="Times New Roman" w:hAnsi="Times New Roman" w:cs="Times New Roman"/>
        </w:rPr>
        <w:t xml:space="preserve">, </w:t>
      </w:r>
      <w:proofErr w:type="spellStart"/>
      <w:r w:rsidR="007E33AA" w:rsidRPr="00705170">
        <w:rPr>
          <w:rFonts w:ascii="Times New Roman" w:hAnsi="Times New Roman" w:cs="Times New Roman"/>
        </w:rPr>
        <w:t>a</w:t>
      </w:r>
      <w:r w:rsidR="00E513F4" w:rsidRPr="00705170">
        <w:rPr>
          <w:rFonts w:ascii="Times New Roman" w:hAnsi="Times New Roman" w:cs="Times New Roman"/>
        </w:rPr>
        <w:t>ccording</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Jens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Dammann</w:t>
      </w:r>
      <w:proofErr w:type="spellEnd"/>
      <w:r w:rsidR="00E513F4" w:rsidRPr="00705170">
        <w:rPr>
          <w:rFonts w:ascii="Times New Roman" w:hAnsi="Times New Roman" w:cs="Times New Roman"/>
        </w:rPr>
        <w:t>, “</w:t>
      </w:r>
      <w:proofErr w:type="spellStart"/>
      <w:r w:rsidR="00E513F4" w:rsidRPr="00705170">
        <w:rPr>
          <w:rFonts w:ascii="Times New Roman" w:hAnsi="Times New Roman" w:cs="Times New Roman"/>
        </w:rPr>
        <w:t>just</w:t>
      </w:r>
      <w:proofErr w:type="spellEnd"/>
      <w:r w:rsidR="00E513F4" w:rsidRPr="00705170">
        <w:rPr>
          <w:rFonts w:ascii="Times New Roman" w:hAnsi="Times New Roman" w:cs="Times New Roman"/>
        </w:rPr>
        <w:t xml:space="preserve"> as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law</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should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enforce</w:t>
      </w:r>
      <w:proofErr w:type="spellEnd"/>
      <w:r w:rsidR="00E513F4" w:rsidRPr="00705170">
        <w:rPr>
          <w:rFonts w:ascii="Times New Roman" w:hAnsi="Times New Roman" w:cs="Times New Roman"/>
        </w:rPr>
        <w:t xml:space="preserve"> an </w:t>
      </w:r>
      <w:proofErr w:type="spellStart"/>
      <w:r w:rsidR="00E513F4" w:rsidRPr="00705170">
        <w:rPr>
          <w:rFonts w:ascii="Times New Roman" w:hAnsi="Times New Roman" w:cs="Times New Roman"/>
        </w:rPr>
        <w:t>upper</w:t>
      </w:r>
      <w:proofErr w:type="spellEnd"/>
      <w:r w:rsidR="00E513F4" w:rsidRPr="00705170">
        <w:rPr>
          <w:rFonts w:ascii="Times New Roman" w:hAnsi="Times New Roman" w:cs="Times New Roman"/>
        </w:rPr>
        <w:t xml:space="preserve"> limit </w:t>
      </w:r>
      <w:proofErr w:type="spellStart"/>
      <w:r w:rsidR="00E513F4" w:rsidRPr="00705170">
        <w:rPr>
          <w:rFonts w:ascii="Times New Roman" w:hAnsi="Times New Roman" w:cs="Times New Roman"/>
        </w:rPr>
        <w:t>for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extraction</w:t>
      </w:r>
      <w:proofErr w:type="spellEnd"/>
      <w:r w:rsidR="00E513F4" w:rsidRPr="00705170">
        <w:rPr>
          <w:rFonts w:ascii="Times New Roman" w:hAnsi="Times New Roman" w:cs="Times New Roman"/>
        </w:rPr>
        <w:t xml:space="preserve"> of </w:t>
      </w:r>
      <w:proofErr w:type="spellStart"/>
      <w:r w:rsidR="00E513F4" w:rsidRPr="00705170">
        <w:rPr>
          <w:rFonts w:ascii="Times New Roman" w:hAnsi="Times New Roman" w:cs="Times New Roman"/>
        </w:rPr>
        <w:t>private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benefits</w:t>
      </w:r>
      <w:proofErr w:type="spellEnd"/>
      <w:r w:rsidR="00E513F4" w:rsidRPr="00705170">
        <w:rPr>
          <w:rFonts w:ascii="Times New Roman" w:hAnsi="Times New Roman" w:cs="Times New Roman"/>
        </w:rPr>
        <w:t xml:space="preserve"> in </w:t>
      </w:r>
      <w:proofErr w:type="spellStart"/>
      <w:r w:rsidR="00E513F4" w:rsidRPr="00705170">
        <w:rPr>
          <w:rFonts w:ascii="Times New Roman" w:hAnsi="Times New Roman" w:cs="Times New Roman"/>
        </w:rPr>
        <w:t>order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protect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minority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shareholders</w:t>
      </w:r>
      <w:proofErr w:type="spellEnd"/>
      <w:r w:rsidR="00E513F4" w:rsidRPr="00705170">
        <w:rPr>
          <w:rFonts w:ascii="Times New Roman" w:hAnsi="Times New Roman" w:cs="Times New Roman"/>
        </w:rPr>
        <w:t xml:space="preserve">, it </w:t>
      </w:r>
      <w:proofErr w:type="spellStart"/>
      <w:r w:rsidR="00E513F4" w:rsidRPr="00705170">
        <w:rPr>
          <w:rFonts w:ascii="Times New Roman" w:hAnsi="Times New Roman" w:cs="Times New Roman"/>
        </w:rPr>
        <w:t>should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also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strive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set a </w:t>
      </w:r>
      <w:proofErr w:type="spellStart"/>
      <w:r w:rsidR="00E513F4" w:rsidRPr="00705170">
        <w:rPr>
          <w:rFonts w:ascii="Times New Roman" w:hAnsi="Times New Roman" w:cs="Times New Roman"/>
        </w:rPr>
        <w:t>lower</w:t>
      </w:r>
      <w:proofErr w:type="spellEnd"/>
      <w:r w:rsidR="00E513F4" w:rsidRPr="00705170">
        <w:rPr>
          <w:rFonts w:ascii="Times New Roman" w:hAnsi="Times New Roman" w:cs="Times New Roman"/>
        </w:rPr>
        <w:t xml:space="preserve"> limit </w:t>
      </w:r>
      <w:proofErr w:type="spellStart"/>
      <w:r w:rsidR="00E513F4" w:rsidRPr="00705170">
        <w:rPr>
          <w:rFonts w:ascii="Times New Roman" w:hAnsi="Times New Roman" w:cs="Times New Roman"/>
        </w:rPr>
        <w:t>for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permissible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extraction</w:t>
      </w:r>
      <w:proofErr w:type="spellEnd"/>
      <w:r w:rsidR="00E513F4" w:rsidRPr="00705170">
        <w:rPr>
          <w:rFonts w:ascii="Times New Roman" w:hAnsi="Times New Roman" w:cs="Times New Roman"/>
        </w:rPr>
        <w:t xml:space="preserve"> of </w:t>
      </w:r>
      <w:proofErr w:type="spellStart"/>
      <w:r w:rsidR="00E513F4" w:rsidRPr="00705170">
        <w:rPr>
          <w:rFonts w:ascii="Times New Roman" w:hAnsi="Times New Roman" w:cs="Times New Roman"/>
        </w:rPr>
        <w:t>private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benefits</w:t>
      </w:r>
      <w:proofErr w:type="spellEnd"/>
      <w:r w:rsidR="00E513F4" w:rsidRPr="00705170">
        <w:rPr>
          <w:rFonts w:ascii="Times New Roman" w:hAnsi="Times New Roman" w:cs="Times New Roman"/>
        </w:rPr>
        <w:t>”</w:t>
      </w:r>
      <w:r w:rsidR="00E513F4" w:rsidRPr="00705170">
        <w:rPr>
          <w:rStyle w:val="DipnotBavurusu"/>
          <w:rFonts w:ascii="Times New Roman" w:hAnsi="Times New Roman" w:cs="Times New Roman"/>
        </w:rPr>
        <w:footnoteReference w:id="229"/>
      </w:r>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otherwise</w:t>
      </w:r>
      <w:proofErr w:type="spellEnd"/>
      <w:r w:rsidR="00E513F4" w:rsidRPr="00705170">
        <w:rPr>
          <w:rFonts w:ascii="Times New Roman" w:hAnsi="Times New Roman" w:cs="Times New Roman"/>
        </w:rPr>
        <w:t xml:space="preserve">, he </w:t>
      </w:r>
      <w:proofErr w:type="spellStart"/>
      <w:r w:rsidR="00E513F4" w:rsidRPr="00705170">
        <w:rPr>
          <w:rFonts w:ascii="Times New Roman" w:hAnsi="Times New Roman" w:cs="Times New Roman"/>
        </w:rPr>
        <w:t>says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minority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shareholders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will</w:t>
      </w:r>
      <w:proofErr w:type="spellEnd"/>
      <w:r w:rsidR="00E513F4" w:rsidRPr="00705170">
        <w:rPr>
          <w:rFonts w:ascii="Times New Roman" w:hAnsi="Times New Roman" w:cs="Times New Roman"/>
        </w:rPr>
        <w:t xml:space="preserve"> not be </w:t>
      </w:r>
      <w:proofErr w:type="spellStart"/>
      <w:r w:rsidR="00E513F4" w:rsidRPr="00705170">
        <w:rPr>
          <w:rFonts w:ascii="Times New Roman" w:hAnsi="Times New Roman" w:cs="Times New Roman"/>
        </w:rPr>
        <w:t>prevented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from</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free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riding</w:t>
      </w:r>
      <w:proofErr w:type="spellEnd"/>
      <w:r w:rsidR="00E513F4" w:rsidRPr="00705170">
        <w:rPr>
          <w:rFonts w:ascii="Times New Roman" w:hAnsi="Times New Roman" w:cs="Times New Roman"/>
        </w:rPr>
        <w:t xml:space="preserve"> at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expense</w:t>
      </w:r>
      <w:proofErr w:type="spellEnd"/>
      <w:r w:rsidR="00E513F4" w:rsidRPr="00705170">
        <w:rPr>
          <w:rFonts w:ascii="Times New Roman" w:hAnsi="Times New Roman" w:cs="Times New Roman"/>
        </w:rPr>
        <w:t xml:space="preserve"> of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controller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and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desirable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controllers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will</w:t>
      </w:r>
      <w:proofErr w:type="spellEnd"/>
      <w:r w:rsidR="00E513F4" w:rsidRPr="00705170">
        <w:rPr>
          <w:rFonts w:ascii="Times New Roman" w:hAnsi="Times New Roman" w:cs="Times New Roman"/>
        </w:rPr>
        <w:t xml:space="preserve"> not </w:t>
      </w:r>
      <w:proofErr w:type="spellStart"/>
      <w:r w:rsidR="00E513F4" w:rsidRPr="00705170">
        <w:rPr>
          <w:rFonts w:ascii="Times New Roman" w:hAnsi="Times New Roman" w:cs="Times New Roman"/>
        </w:rPr>
        <w:t>emerge</w:t>
      </w:r>
      <w:proofErr w:type="spellEnd"/>
      <w:r w:rsidR="00E513F4" w:rsidRPr="00705170">
        <w:rPr>
          <w:rStyle w:val="DipnotBavurusu"/>
          <w:rFonts w:ascii="Times New Roman" w:hAnsi="Times New Roman" w:cs="Times New Roman"/>
        </w:rPr>
        <w:footnoteReference w:id="230"/>
      </w:r>
      <w:r w:rsidR="00E513F4" w:rsidRPr="00705170">
        <w:rPr>
          <w:rFonts w:ascii="Times New Roman" w:hAnsi="Times New Roman" w:cs="Times New Roman"/>
        </w:rPr>
        <w:t xml:space="preserve">. He </w:t>
      </w:r>
      <w:proofErr w:type="spellStart"/>
      <w:r w:rsidR="00E513F4" w:rsidRPr="00705170">
        <w:rPr>
          <w:rFonts w:ascii="Times New Roman" w:hAnsi="Times New Roman" w:cs="Times New Roman"/>
        </w:rPr>
        <w:t>asserts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that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appropriate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upper</w:t>
      </w:r>
      <w:proofErr w:type="spellEnd"/>
      <w:r w:rsidR="00E513F4" w:rsidRPr="00705170">
        <w:rPr>
          <w:rFonts w:ascii="Times New Roman" w:hAnsi="Times New Roman" w:cs="Times New Roman"/>
        </w:rPr>
        <w:t xml:space="preserve"> limit </w:t>
      </w:r>
      <w:proofErr w:type="spellStart"/>
      <w:r w:rsidR="00E513F4" w:rsidRPr="00705170">
        <w:rPr>
          <w:rFonts w:ascii="Times New Roman" w:hAnsi="Times New Roman" w:cs="Times New Roman"/>
        </w:rPr>
        <w:t>for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extraction</w:t>
      </w:r>
      <w:proofErr w:type="spellEnd"/>
      <w:r w:rsidR="00E513F4" w:rsidRPr="00705170">
        <w:rPr>
          <w:rFonts w:ascii="Times New Roman" w:hAnsi="Times New Roman" w:cs="Times New Roman"/>
        </w:rPr>
        <w:t xml:space="preserve"> of </w:t>
      </w:r>
      <w:proofErr w:type="spellStart"/>
      <w:r w:rsidR="00E513F4" w:rsidRPr="00705170">
        <w:rPr>
          <w:rFonts w:ascii="Times New Roman" w:hAnsi="Times New Roman" w:cs="Times New Roman"/>
        </w:rPr>
        <w:t>private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benefits</w:t>
      </w:r>
      <w:proofErr w:type="spellEnd"/>
      <w:r w:rsidR="00E513F4" w:rsidRPr="00705170">
        <w:rPr>
          <w:rFonts w:ascii="Times New Roman" w:hAnsi="Times New Roman" w:cs="Times New Roman"/>
        </w:rPr>
        <w:t xml:space="preserve"> is </w:t>
      </w:r>
      <w:proofErr w:type="spellStart"/>
      <w:r w:rsidR="00E513F4" w:rsidRPr="00705170">
        <w:rPr>
          <w:rFonts w:ascii="Times New Roman" w:hAnsi="Times New Roman" w:cs="Times New Roman"/>
        </w:rPr>
        <w:t>equal</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net </w:t>
      </w:r>
      <w:proofErr w:type="spellStart"/>
      <w:r w:rsidR="00E513F4" w:rsidRPr="00705170">
        <w:rPr>
          <w:rFonts w:ascii="Times New Roman" w:hAnsi="Times New Roman" w:cs="Times New Roman"/>
        </w:rPr>
        <w:t>benefits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that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controller’s</w:t>
      </w:r>
      <w:proofErr w:type="spellEnd"/>
      <w:r w:rsidR="00E513F4" w:rsidRPr="00705170">
        <w:rPr>
          <w:rFonts w:ascii="Times New Roman" w:hAnsi="Times New Roman" w:cs="Times New Roman"/>
        </w:rPr>
        <w:t xml:space="preserve"> presence </w:t>
      </w:r>
      <w:proofErr w:type="spellStart"/>
      <w:r w:rsidR="00E513F4" w:rsidRPr="00705170">
        <w:rPr>
          <w:rFonts w:ascii="Times New Roman" w:hAnsi="Times New Roman" w:cs="Times New Roman"/>
        </w:rPr>
        <w:t>creates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for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corporations</w:t>
      </w:r>
      <w:proofErr w:type="spellEnd"/>
      <w:r w:rsidR="00E513F4" w:rsidRPr="00705170">
        <w:rPr>
          <w:rFonts w:ascii="Times New Roman" w:hAnsi="Times New Roman" w:cs="Times New Roman"/>
        </w:rPr>
        <w:t>”</w:t>
      </w:r>
      <w:r w:rsidR="00E513F4" w:rsidRPr="00705170">
        <w:rPr>
          <w:rStyle w:val="DipnotBavurusu"/>
          <w:rFonts w:ascii="Times New Roman" w:hAnsi="Times New Roman" w:cs="Times New Roman"/>
        </w:rPr>
        <w:footnoteReference w:id="231"/>
      </w:r>
      <w:r w:rsidR="00E513F4" w:rsidRPr="00705170">
        <w:rPr>
          <w:rFonts w:ascii="Times New Roman" w:hAnsi="Times New Roman" w:cs="Times New Roman"/>
        </w:rPr>
        <w:t xml:space="preserve">. Yet, he </w:t>
      </w:r>
      <w:proofErr w:type="spellStart"/>
      <w:r w:rsidR="00E513F4" w:rsidRPr="00705170">
        <w:rPr>
          <w:rFonts w:ascii="Times New Roman" w:hAnsi="Times New Roman" w:cs="Times New Roman"/>
        </w:rPr>
        <w:t>claims</w:t>
      </w:r>
      <w:proofErr w:type="spellEnd"/>
      <w:r w:rsidR="00E513F4" w:rsidRPr="00705170">
        <w:rPr>
          <w:rFonts w:ascii="Times New Roman" w:hAnsi="Times New Roman" w:cs="Times New Roman"/>
        </w:rPr>
        <w:t>,</w:t>
      </w:r>
      <w:r w:rsidR="00E02412" w:rsidRPr="00705170">
        <w:rPr>
          <w:rFonts w:ascii="Times New Roman" w:hAnsi="Times New Roman" w:cs="Times New Roman"/>
        </w:rPr>
        <w:t xml:space="preserve"> </w:t>
      </w:r>
      <w:proofErr w:type="spellStart"/>
      <w:r w:rsidR="00E02412"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transaction</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centered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approach</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fails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detect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correct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amount</w:t>
      </w:r>
      <w:proofErr w:type="spellEnd"/>
      <w:r w:rsidR="00E513F4" w:rsidRPr="00705170">
        <w:rPr>
          <w:rFonts w:ascii="Times New Roman" w:hAnsi="Times New Roman" w:cs="Times New Roman"/>
        </w:rPr>
        <w:t xml:space="preserve"> of </w:t>
      </w:r>
      <w:proofErr w:type="spellStart"/>
      <w:r w:rsidR="00E513F4" w:rsidRPr="00705170">
        <w:rPr>
          <w:rFonts w:ascii="Times New Roman" w:hAnsi="Times New Roman" w:cs="Times New Roman"/>
        </w:rPr>
        <w:t>benefits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that</w:t>
      </w:r>
      <w:proofErr w:type="spellEnd"/>
      <w:r w:rsidR="00E513F4" w:rsidRPr="00705170">
        <w:rPr>
          <w:rFonts w:ascii="Times New Roman" w:hAnsi="Times New Roman" w:cs="Times New Roman"/>
        </w:rPr>
        <w:t xml:space="preserve"> a </w:t>
      </w:r>
      <w:proofErr w:type="spellStart"/>
      <w:r w:rsidR="00E513F4" w:rsidRPr="00705170">
        <w:rPr>
          <w:rFonts w:ascii="Times New Roman" w:hAnsi="Times New Roman" w:cs="Times New Roman"/>
        </w:rPr>
        <w:t>shareholder</w:t>
      </w:r>
      <w:proofErr w:type="spellEnd"/>
      <w:r w:rsidR="00E513F4" w:rsidRPr="00705170">
        <w:rPr>
          <w:rFonts w:ascii="Times New Roman" w:hAnsi="Times New Roman" w:cs="Times New Roman"/>
        </w:rPr>
        <w:t xml:space="preserve"> can </w:t>
      </w:r>
      <w:proofErr w:type="spellStart"/>
      <w:r w:rsidR="00E513F4" w:rsidRPr="00705170">
        <w:rPr>
          <w:rFonts w:ascii="Times New Roman" w:hAnsi="Times New Roman" w:cs="Times New Roman"/>
        </w:rPr>
        <w:t>extract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because</w:t>
      </w:r>
      <w:proofErr w:type="spellEnd"/>
      <w:r w:rsidR="00E513F4" w:rsidRPr="00705170">
        <w:rPr>
          <w:rFonts w:ascii="Times New Roman" w:hAnsi="Times New Roman" w:cs="Times New Roman"/>
        </w:rPr>
        <w:t xml:space="preserve"> it </w:t>
      </w:r>
      <w:proofErr w:type="spellStart"/>
      <w:r w:rsidR="00E513F4" w:rsidRPr="00705170">
        <w:rPr>
          <w:rFonts w:ascii="Times New Roman" w:hAnsi="Times New Roman" w:cs="Times New Roman"/>
        </w:rPr>
        <w:t>focuses</w:t>
      </w:r>
      <w:proofErr w:type="spellEnd"/>
      <w:r w:rsidR="00E513F4" w:rsidRPr="00705170">
        <w:rPr>
          <w:rFonts w:ascii="Times New Roman" w:hAnsi="Times New Roman" w:cs="Times New Roman"/>
        </w:rPr>
        <w:t xml:space="preserve"> on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fairness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fair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dealing</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and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fair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price</w:t>
      </w:r>
      <w:proofErr w:type="spellEnd"/>
      <w:r w:rsidR="00E513F4" w:rsidRPr="00705170">
        <w:rPr>
          <w:rFonts w:ascii="Times New Roman" w:hAnsi="Times New Roman" w:cs="Times New Roman"/>
        </w:rPr>
        <w:t xml:space="preserve">) of </w:t>
      </w:r>
      <w:proofErr w:type="spellStart"/>
      <w:r w:rsidR="00E513F4" w:rsidRPr="00705170">
        <w:rPr>
          <w:rFonts w:ascii="Times New Roman" w:hAnsi="Times New Roman" w:cs="Times New Roman"/>
        </w:rPr>
        <w:t>individual</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transactions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between</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corporation</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and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controller</w:t>
      </w:r>
      <w:proofErr w:type="spellEnd"/>
      <w:r w:rsidR="00E513F4" w:rsidRPr="00705170">
        <w:rPr>
          <w:rStyle w:val="DipnotBavurusu"/>
          <w:rFonts w:ascii="Times New Roman" w:hAnsi="Times New Roman" w:cs="Times New Roman"/>
        </w:rPr>
        <w:footnoteReference w:id="232"/>
      </w:r>
      <w:r w:rsidR="00E513F4" w:rsidRPr="00705170">
        <w:rPr>
          <w:rFonts w:ascii="Times New Roman" w:hAnsi="Times New Roman" w:cs="Times New Roman"/>
        </w:rPr>
        <w:t xml:space="preserve">. He </w:t>
      </w:r>
      <w:proofErr w:type="spellStart"/>
      <w:r w:rsidR="00E513F4" w:rsidRPr="00705170">
        <w:rPr>
          <w:rFonts w:ascii="Times New Roman" w:hAnsi="Times New Roman" w:cs="Times New Roman"/>
        </w:rPr>
        <w:t>indicates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lastRenderedPageBreak/>
        <w:t>that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transaction</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centered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approach</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may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lead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excessive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private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benefit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extraction</w:t>
      </w:r>
      <w:proofErr w:type="spellEnd"/>
      <w:r w:rsidR="00E513F4" w:rsidRPr="00705170">
        <w:rPr>
          <w:rFonts w:ascii="Times New Roman" w:hAnsi="Times New Roman" w:cs="Times New Roman"/>
        </w:rPr>
        <w:t xml:space="preserve"> in </w:t>
      </w:r>
      <w:proofErr w:type="spellStart"/>
      <w:r w:rsidR="00E513F4" w:rsidRPr="00705170">
        <w:rPr>
          <w:rFonts w:ascii="Times New Roman" w:hAnsi="Times New Roman" w:cs="Times New Roman"/>
        </w:rPr>
        <w:t>some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corporations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and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little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extraction</w:t>
      </w:r>
      <w:proofErr w:type="spellEnd"/>
      <w:r w:rsidR="00E513F4" w:rsidRPr="00705170">
        <w:rPr>
          <w:rFonts w:ascii="Times New Roman" w:hAnsi="Times New Roman" w:cs="Times New Roman"/>
        </w:rPr>
        <w:t xml:space="preserve"> in </w:t>
      </w:r>
      <w:proofErr w:type="spellStart"/>
      <w:r w:rsidR="00E513F4" w:rsidRPr="00705170">
        <w:rPr>
          <w:rFonts w:ascii="Times New Roman" w:hAnsi="Times New Roman" w:cs="Times New Roman"/>
        </w:rPr>
        <w:t>others</w:t>
      </w:r>
      <w:proofErr w:type="spellEnd"/>
      <w:r w:rsidR="00E513F4" w:rsidRPr="00705170">
        <w:rPr>
          <w:rStyle w:val="DipnotBavurusu"/>
          <w:rFonts w:ascii="Times New Roman" w:hAnsi="Times New Roman" w:cs="Times New Roman"/>
        </w:rPr>
        <w:footnoteReference w:id="233"/>
      </w:r>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Moreover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Dammann</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states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that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this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approach</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fails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prevent</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emergence</w:t>
      </w:r>
      <w:proofErr w:type="spellEnd"/>
      <w:r w:rsidR="00E513F4" w:rsidRPr="00705170">
        <w:rPr>
          <w:rFonts w:ascii="Times New Roman" w:hAnsi="Times New Roman" w:cs="Times New Roman"/>
        </w:rPr>
        <w:t xml:space="preserve"> of </w:t>
      </w:r>
      <w:proofErr w:type="spellStart"/>
      <w:r w:rsidR="00E513F4" w:rsidRPr="00705170">
        <w:rPr>
          <w:rFonts w:ascii="Times New Roman" w:hAnsi="Times New Roman" w:cs="Times New Roman"/>
        </w:rPr>
        <w:t>controllers</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who</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are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motivated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private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non</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pecuniary</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benefits</w:t>
      </w:r>
      <w:proofErr w:type="spellEnd"/>
      <w:r w:rsidR="00E513F4" w:rsidRPr="00705170">
        <w:rPr>
          <w:rFonts w:ascii="Times New Roman" w:hAnsi="Times New Roman" w:cs="Times New Roman"/>
        </w:rPr>
        <w:t xml:space="preserve"> of </w:t>
      </w:r>
      <w:proofErr w:type="spellStart"/>
      <w:r w:rsidR="00E513F4" w:rsidRPr="00705170">
        <w:rPr>
          <w:rFonts w:ascii="Times New Roman" w:hAnsi="Times New Roman" w:cs="Times New Roman"/>
        </w:rPr>
        <w:t>control</w:t>
      </w:r>
      <w:proofErr w:type="spellEnd"/>
      <w:r w:rsidR="00E513F4" w:rsidRPr="00705170">
        <w:rPr>
          <w:rStyle w:val="DipnotBavurusu"/>
          <w:rFonts w:ascii="Times New Roman" w:hAnsi="Times New Roman" w:cs="Times New Roman"/>
        </w:rPr>
        <w:footnoteReference w:id="234"/>
      </w:r>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and</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that</w:t>
      </w:r>
      <w:proofErr w:type="spellEnd"/>
      <w:r w:rsidR="00E513F4" w:rsidRPr="00705170">
        <w:rPr>
          <w:rFonts w:ascii="Times New Roman" w:hAnsi="Times New Roman" w:cs="Times New Roman"/>
        </w:rPr>
        <w:t xml:space="preserve"> it can </w:t>
      </w:r>
      <w:proofErr w:type="spellStart"/>
      <w:r w:rsidR="00E513F4" w:rsidRPr="00705170">
        <w:rPr>
          <w:rFonts w:ascii="Times New Roman" w:hAnsi="Times New Roman" w:cs="Times New Roman"/>
        </w:rPr>
        <w:t>never</w:t>
      </w:r>
      <w:proofErr w:type="spellEnd"/>
      <w:r w:rsidR="00E513F4" w:rsidRPr="00705170">
        <w:rPr>
          <w:rFonts w:ascii="Times New Roman" w:hAnsi="Times New Roman" w:cs="Times New Roman"/>
        </w:rPr>
        <w:t xml:space="preserve"> stop </w:t>
      </w:r>
      <w:proofErr w:type="spellStart"/>
      <w:r w:rsidR="00E513F4" w:rsidRPr="00705170">
        <w:rPr>
          <w:rFonts w:ascii="Times New Roman" w:hAnsi="Times New Roman" w:cs="Times New Roman"/>
        </w:rPr>
        <w:t>the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shareholder</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from</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enjoying</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these</w:t>
      </w:r>
      <w:proofErr w:type="spellEnd"/>
      <w:r w:rsidR="00E513F4" w:rsidRPr="00705170">
        <w:rPr>
          <w:rFonts w:ascii="Times New Roman" w:hAnsi="Times New Roman" w:cs="Times New Roman"/>
        </w:rPr>
        <w:t xml:space="preserve"> </w:t>
      </w:r>
      <w:proofErr w:type="spellStart"/>
      <w:r w:rsidR="00E513F4" w:rsidRPr="00705170">
        <w:rPr>
          <w:rFonts w:ascii="Times New Roman" w:hAnsi="Times New Roman" w:cs="Times New Roman"/>
        </w:rPr>
        <w:t>benefits</w:t>
      </w:r>
      <w:proofErr w:type="spellEnd"/>
      <w:r w:rsidR="00E513F4" w:rsidRPr="00705170">
        <w:rPr>
          <w:rStyle w:val="DipnotBavurusu"/>
          <w:rFonts w:ascii="Times New Roman" w:hAnsi="Times New Roman" w:cs="Times New Roman"/>
        </w:rPr>
        <w:footnoteReference w:id="235"/>
      </w:r>
      <w:r w:rsidR="00E513F4"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sense, he </w:t>
      </w:r>
      <w:proofErr w:type="spellStart"/>
      <w:r w:rsidRPr="00705170">
        <w:rPr>
          <w:rFonts w:ascii="Times New Roman" w:hAnsi="Times New Roman" w:cs="Times New Roman"/>
        </w:rPr>
        <w:t>endorses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claims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study</w:t>
      </w:r>
      <w:proofErr w:type="spellEnd"/>
      <w:r w:rsidRPr="00705170">
        <w:rPr>
          <w:rFonts w:ascii="Times New Roman" w:hAnsi="Times New Roman" w:cs="Times New Roman"/>
        </w:rPr>
        <w:t>.</w:t>
      </w:r>
      <w:r w:rsidR="000317BF" w:rsidRPr="00705170">
        <w:rPr>
          <w:rFonts w:ascii="Times New Roman" w:hAnsi="Times New Roman" w:cs="Times New Roman"/>
        </w:rPr>
        <w:t xml:space="preserve"> </w:t>
      </w:r>
    </w:p>
    <w:p w14:paraId="56964A69" w14:textId="7B7AD1A9" w:rsidR="00E513F4" w:rsidRPr="00705170" w:rsidRDefault="000317BF" w:rsidP="000317BF">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jurisdictions</w:t>
      </w:r>
      <w:proofErr w:type="spellEnd"/>
      <w:r w:rsidRPr="00705170">
        <w:rPr>
          <w:rFonts w:ascii="Times New Roman" w:hAnsi="Times New Roman" w:cs="Times New Roman"/>
        </w:rPr>
        <w:t>,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held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accountable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engaged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unfair</w:t>
      </w:r>
      <w:proofErr w:type="spellEnd"/>
      <w:r w:rsidRPr="00705170">
        <w:rPr>
          <w:rFonts w:ascii="Times New Roman" w:hAnsi="Times New Roman" w:cs="Times New Roman"/>
        </w:rPr>
        <w:t xml:space="preserve">’ self- </w:t>
      </w:r>
      <w:proofErr w:type="spellStart"/>
      <w:r w:rsidRPr="00705170">
        <w:rPr>
          <w:rFonts w:ascii="Times New Roman" w:hAnsi="Times New Roman" w:cs="Times New Roman"/>
        </w:rPr>
        <w:t>dealing</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236"/>
      </w:r>
      <w:r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sense, </w:t>
      </w: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disdains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Style w:val="DipnotBavurusu"/>
          <w:rFonts w:ascii="Times New Roman" w:hAnsi="Times New Roman" w:cs="Times New Roman"/>
        </w:rPr>
        <w:footnoteReference w:id="237"/>
      </w:r>
      <w:r w:rsidRPr="00705170">
        <w:rPr>
          <w:rFonts w:ascii="Times New Roman" w:hAnsi="Times New Roman" w:cs="Times New Roman"/>
        </w:rPr>
        <w:t xml:space="preserve">, </w:t>
      </w:r>
      <w:proofErr w:type="spellStart"/>
      <w:r w:rsidRPr="00705170">
        <w:rPr>
          <w:rFonts w:ascii="Times New Roman" w:hAnsi="Times New Roman" w:cs="Times New Roman"/>
        </w:rPr>
        <w:t>extraction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is not illegal </w:t>
      </w:r>
      <w:proofErr w:type="spellStart"/>
      <w:r w:rsidRPr="00705170">
        <w:rPr>
          <w:rFonts w:ascii="Times New Roman" w:hAnsi="Times New Roman" w:cs="Times New Roman"/>
        </w:rPr>
        <w:t>per</w:t>
      </w:r>
      <w:proofErr w:type="spellEnd"/>
      <w:r w:rsidRPr="00705170">
        <w:rPr>
          <w:rFonts w:ascii="Times New Roman" w:hAnsi="Times New Roman" w:cs="Times New Roman"/>
        </w:rPr>
        <w:t xml:space="preserve"> se; in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words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enjoy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investments</w:t>
      </w:r>
      <w:proofErr w:type="spellEnd"/>
      <w:r w:rsidRPr="00705170">
        <w:rPr>
          <w:rStyle w:val="DipnotBavurusu"/>
          <w:rFonts w:ascii="Times New Roman" w:hAnsi="Times New Roman" w:cs="Times New Roman"/>
        </w:rPr>
        <w:footnoteReference w:id="238"/>
      </w:r>
      <w:r w:rsidRPr="00705170">
        <w:rPr>
          <w:rFonts w:ascii="Times New Roman" w:hAnsi="Times New Roman" w:cs="Times New Roman"/>
        </w:rPr>
        <w:t xml:space="preserve">. </w:t>
      </w:r>
      <w:proofErr w:type="spellStart"/>
      <w:r w:rsidRPr="00705170">
        <w:rPr>
          <w:rFonts w:ascii="Times New Roman" w:hAnsi="Times New Roman" w:cs="Times New Roman"/>
        </w:rPr>
        <w:t>Still</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acknowledged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harm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reduces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production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surplus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available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them</w:t>
      </w:r>
      <w:proofErr w:type="spellEnd"/>
      <w:r w:rsidRPr="00705170">
        <w:rPr>
          <w:rStyle w:val="DipnotBavurusu"/>
          <w:rFonts w:ascii="Times New Roman" w:hAnsi="Times New Roman" w:cs="Times New Roman"/>
        </w:rPr>
        <w:footnoteReference w:id="239"/>
      </w:r>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party</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burden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justifying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him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but </w:t>
      </w:r>
      <w:proofErr w:type="spellStart"/>
      <w:r w:rsidRPr="00705170">
        <w:rPr>
          <w:rFonts w:ascii="Times New Roman" w:hAnsi="Times New Roman" w:cs="Times New Roman"/>
        </w:rPr>
        <w:t>meanwhile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deprive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characteristics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inherent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investment</w:t>
      </w:r>
      <w:proofErr w:type="spellEnd"/>
      <w:r w:rsidRPr="00705170">
        <w:rPr>
          <w:rStyle w:val="DipnotBavurusu"/>
          <w:rFonts w:ascii="Times New Roman" w:hAnsi="Times New Roman" w:cs="Times New Roman"/>
        </w:rPr>
        <w:footnoteReference w:id="240"/>
      </w:r>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what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based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tracks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w:t>
      </w:r>
      <w:r w:rsidR="00B22FB9">
        <w:rPr>
          <w:rFonts w:ascii="Times New Roman" w:hAnsi="Times New Roman" w:cs="Times New Roman"/>
        </w:rPr>
        <w:t>s</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remedy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harm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justifies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justification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provided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form; it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be a </w:t>
      </w:r>
      <w:proofErr w:type="spellStart"/>
      <w:r w:rsidRPr="00705170">
        <w:rPr>
          <w:rFonts w:ascii="Times New Roman" w:hAnsi="Times New Roman" w:cs="Times New Roman"/>
        </w:rPr>
        <w:t>requirement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w:t>
      </w:r>
      <w:proofErr w:type="spellEnd"/>
      <w:r w:rsidRPr="00705170">
        <w:rPr>
          <w:rFonts w:ascii="Times New Roman" w:hAnsi="Times New Roman" w:cs="Times New Roman"/>
        </w:rPr>
        <w:t xml:space="preserve"> </w:t>
      </w:r>
      <w:proofErr w:type="spellStart"/>
      <w:r w:rsidR="00430429" w:rsidRPr="00705170">
        <w:rPr>
          <w:rFonts w:ascii="Times New Roman" w:hAnsi="Times New Roman" w:cs="Times New Roman"/>
        </w:rPr>
        <w:t>via</w:t>
      </w:r>
      <w:proofErr w:type="spellEnd"/>
      <w:r w:rsidR="00430429" w:rsidRPr="00705170">
        <w:rPr>
          <w:rFonts w:ascii="Times New Roman" w:hAnsi="Times New Roman" w:cs="Times New Roman"/>
        </w:rPr>
        <w:t xml:space="preserve"> </w:t>
      </w:r>
      <w:proofErr w:type="spellStart"/>
      <w:r w:rsidR="00430429" w:rsidRPr="00705170">
        <w:rPr>
          <w:rFonts w:ascii="Times New Roman" w:hAnsi="Times New Roman" w:cs="Times New Roman"/>
        </w:rPr>
        <w:t>resolutions</w:t>
      </w:r>
      <w:proofErr w:type="spellEnd"/>
      <w:r w:rsidR="00430429"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be a </w:t>
      </w:r>
      <w:proofErr w:type="spellStart"/>
      <w:r w:rsidRPr="00705170">
        <w:rPr>
          <w:rFonts w:ascii="Times New Roman" w:hAnsi="Times New Roman" w:cs="Times New Roman"/>
        </w:rPr>
        <w:t>compensation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paid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voluntarily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based</w:t>
      </w:r>
      <w:proofErr w:type="spellEnd"/>
      <w:r w:rsidRPr="00705170">
        <w:rPr>
          <w:rFonts w:ascii="Times New Roman" w:hAnsi="Times New Roman" w:cs="Times New Roman"/>
        </w:rPr>
        <w:t xml:space="preserve"> on an </w:t>
      </w:r>
      <w:proofErr w:type="spellStart"/>
      <w:r w:rsidRPr="00705170">
        <w:rPr>
          <w:rFonts w:ascii="Times New Roman" w:hAnsi="Times New Roman" w:cs="Times New Roman"/>
        </w:rPr>
        <w:t>agreement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ordered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after</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initiation</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lawsuit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focuses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w:t>
      </w:r>
      <w:proofErr w:type="spellEnd"/>
      <w:r w:rsidRPr="00705170">
        <w:rPr>
          <w:rFonts w:ascii="Times New Roman" w:hAnsi="Times New Roman" w:cs="Times New Roman"/>
        </w:rPr>
        <w:t>.</w:t>
      </w:r>
      <w:r w:rsidR="0037470F" w:rsidRPr="00705170">
        <w:rPr>
          <w:rFonts w:ascii="Times New Roman" w:hAnsi="Times New Roman" w:cs="Times New Roman"/>
        </w:rPr>
        <w:t xml:space="preserve"> </w:t>
      </w:r>
    </w:p>
    <w:p w14:paraId="6DBF5468" w14:textId="47497466" w:rsidR="00D670D7" w:rsidRPr="00705170" w:rsidRDefault="005A2972" w:rsidP="00D670D7">
      <w:pPr>
        <w:spacing w:after="240" w:line="480" w:lineRule="auto"/>
        <w:ind w:firstLine="720"/>
        <w:jc w:val="both"/>
        <w:rPr>
          <w:rFonts w:ascii="Times New Roman" w:hAnsi="Times New Roman" w:cs="Times New Roman"/>
        </w:rPr>
      </w:pPr>
      <w:r w:rsidRPr="00705170">
        <w:rPr>
          <w:rFonts w:ascii="Times New Roman" w:hAnsi="Times New Roman" w:cs="Times New Roman"/>
          <w:b/>
        </w:rPr>
        <w:t xml:space="preserve">2.4. </w:t>
      </w:r>
      <w:proofErr w:type="spellStart"/>
      <w:r w:rsidRPr="00705170">
        <w:rPr>
          <w:rFonts w:ascii="Times New Roman" w:hAnsi="Times New Roman" w:cs="Times New Roman"/>
          <w:b/>
        </w:rPr>
        <w:t>Conclusion</w:t>
      </w:r>
      <w:proofErr w:type="spellEnd"/>
      <w:r w:rsidR="00D670D7" w:rsidRPr="00705170">
        <w:rPr>
          <w:rFonts w:ascii="Times New Roman" w:hAnsi="Times New Roman" w:cs="Times New Roman"/>
        </w:rPr>
        <w:t xml:space="preserve"> </w:t>
      </w:r>
    </w:p>
    <w:p w14:paraId="0CC03502" w14:textId="17EE530B" w:rsidR="00BA2D4D" w:rsidRPr="00705170" w:rsidRDefault="00741AB7" w:rsidP="00BD2832">
      <w:pPr>
        <w:spacing w:after="240" w:line="480" w:lineRule="auto"/>
        <w:ind w:firstLine="720"/>
        <w:jc w:val="both"/>
        <w:rPr>
          <w:rFonts w:ascii="Times New Roman" w:hAnsi="Times New Roman" w:cs="Times New Roman"/>
        </w:rPr>
      </w:pPr>
      <w:r w:rsidRPr="00705170">
        <w:rPr>
          <w:rFonts w:ascii="Times New Roman" w:hAnsi="Times New Roman" w:cs="Times New Roman"/>
        </w:rPr>
        <w:t xml:space="preserve">As it is </w:t>
      </w:r>
      <w:proofErr w:type="spellStart"/>
      <w:r w:rsidRPr="00705170">
        <w:rPr>
          <w:rFonts w:ascii="Times New Roman" w:hAnsi="Times New Roman" w:cs="Times New Roman"/>
        </w:rPr>
        <w:t>shown</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chapter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conflict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between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aspects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evaluated</w:t>
      </w:r>
      <w:proofErr w:type="spellEnd"/>
      <w:r w:rsidRPr="00705170">
        <w:rPr>
          <w:rFonts w:ascii="Times New Roman" w:hAnsi="Times New Roman" w:cs="Times New Roman"/>
        </w:rPr>
        <w:t xml:space="preserve"> </w:t>
      </w:r>
      <w:proofErr w:type="spellStart"/>
      <w:r w:rsidR="00BF532C" w:rsidRPr="00705170">
        <w:rPr>
          <w:rFonts w:ascii="Times New Roman" w:hAnsi="Times New Roman" w:cs="Times New Roman"/>
        </w:rPr>
        <w:t>with</w:t>
      </w:r>
      <w:proofErr w:type="spellEnd"/>
      <w:r w:rsidR="00BF532C" w:rsidRPr="00705170">
        <w:rPr>
          <w:rFonts w:ascii="Times New Roman" w:hAnsi="Times New Roman" w:cs="Times New Roman"/>
        </w:rPr>
        <w:t xml:space="preserve"> </w:t>
      </w:r>
      <w:proofErr w:type="spellStart"/>
      <w:r w:rsidR="00BF532C" w:rsidRPr="00705170">
        <w:rPr>
          <w:rFonts w:ascii="Times New Roman" w:hAnsi="Times New Roman" w:cs="Times New Roman"/>
        </w:rPr>
        <w:t>both</w:t>
      </w:r>
      <w:proofErr w:type="spellEnd"/>
      <w:r w:rsidR="00BF532C" w:rsidRPr="00705170">
        <w:rPr>
          <w:rFonts w:ascii="Times New Roman" w:hAnsi="Times New Roman" w:cs="Times New Roman"/>
        </w:rPr>
        <w:t xml:space="preserve"> a legal </w:t>
      </w:r>
      <w:proofErr w:type="spellStart"/>
      <w:r w:rsidR="00BF532C" w:rsidRPr="00705170">
        <w:rPr>
          <w:rFonts w:ascii="Times New Roman" w:hAnsi="Times New Roman" w:cs="Times New Roman"/>
        </w:rPr>
        <w:t>and</w:t>
      </w:r>
      <w:proofErr w:type="spellEnd"/>
      <w:r w:rsidR="00BF532C" w:rsidRPr="00705170">
        <w:rPr>
          <w:rFonts w:ascii="Times New Roman" w:hAnsi="Times New Roman" w:cs="Times New Roman"/>
        </w:rPr>
        <w:t xml:space="preserve"> an </w:t>
      </w:r>
      <w:proofErr w:type="spellStart"/>
      <w:r w:rsidR="00BF532C" w:rsidRPr="00705170">
        <w:rPr>
          <w:rFonts w:ascii="Times New Roman" w:hAnsi="Times New Roman" w:cs="Times New Roman"/>
        </w:rPr>
        <w:t>extralegal</w:t>
      </w:r>
      <w:proofErr w:type="spellEnd"/>
      <w:r w:rsidR="00BF532C" w:rsidRPr="00705170">
        <w:rPr>
          <w:rFonts w:ascii="Times New Roman" w:hAnsi="Times New Roman" w:cs="Times New Roman"/>
        </w:rPr>
        <w:t xml:space="preserve"> </w:t>
      </w:r>
      <w:proofErr w:type="spellStart"/>
      <w:r w:rsidR="00BF532C" w:rsidRPr="00705170">
        <w:rPr>
          <w:rFonts w:ascii="Times New Roman" w:hAnsi="Times New Roman" w:cs="Times New Roman"/>
        </w:rPr>
        <w:t>perspective</w:t>
      </w:r>
      <w:proofErr w:type="spellEnd"/>
      <w:r w:rsidR="00BF532C" w:rsidRPr="00705170">
        <w:rPr>
          <w:rFonts w:ascii="Times New Roman" w:hAnsi="Times New Roman" w:cs="Times New Roman"/>
        </w:rPr>
        <w:t xml:space="preserve">. </w:t>
      </w:r>
      <w:proofErr w:type="spellStart"/>
      <w:r w:rsidR="00D20742">
        <w:rPr>
          <w:rFonts w:ascii="Times New Roman" w:hAnsi="Times New Roman" w:cs="Times New Roman"/>
        </w:rPr>
        <w:t>P</w:t>
      </w:r>
      <w:r w:rsidR="00BF532C" w:rsidRPr="00705170">
        <w:rPr>
          <w:rFonts w:ascii="Times New Roman" w:hAnsi="Times New Roman" w:cs="Times New Roman"/>
        </w:rPr>
        <w:t>rivate</w:t>
      </w:r>
      <w:proofErr w:type="spellEnd"/>
      <w:r w:rsidR="00BF532C" w:rsidRPr="00705170">
        <w:rPr>
          <w:rFonts w:ascii="Times New Roman" w:hAnsi="Times New Roman" w:cs="Times New Roman"/>
        </w:rPr>
        <w:t xml:space="preserve"> </w:t>
      </w:r>
      <w:proofErr w:type="spellStart"/>
      <w:r w:rsidR="00BF532C" w:rsidRPr="00705170">
        <w:rPr>
          <w:rFonts w:ascii="Times New Roman" w:hAnsi="Times New Roman" w:cs="Times New Roman"/>
        </w:rPr>
        <w:t>pecuniary</w:t>
      </w:r>
      <w:proofErr w:type="spellEnd"/>
      <w:r w:rsidR="00BF532C" w:rsidRPr="00705170">
        <w:rPr>
          <w:rFonts w:ascii="Times New Roman" w:hAnsi="Times New Roman" w:cs="Times New Roman"/>
        </w:rPr>
        <w:t xml:space="preserve"> </w:t>
      </w:r>
      <w:proofErr w:type="spellStart"/>
      <w:r w:rsidR="00BF532C" w:rsidRPr="00705170">
        <w:rPr>
          <w:rFonts w:ascii="Times New Roman" w:hAnsi="Times New Roman" w:cs="Times New Roman"/>
        </w:rPr>
        <w:t>benefits</w:t>
      </w:r>
      <w:proofErr w:type="spellEnd"/>
      <w:r w:rsidR="0006076A" w:rsidRPr="00705170">
        <w:rPr>
          <w:rFonts w:ascii="Times New Roman" w:hAnsi="Times New Roman" w:cs="Times New Roman"/>
        </w:rPr>
        <w:t xml:space="preserve"> </w:t>
      </w:r>
      <w:proofErr w:type="spellStart"/>
      <w:r w:rsidR="0006076A" w:rsidRPr="00705170">
        <w:rPr>
          <w:rFonts w:ascii="Times New Roman" w:hAnsi="Times New Roman" w:cs="Times New Roman"/>
        </w:rPr>
        <w:t>represents</w:t>
      </w:r>
      <w:proofErr w:type="spellEnd"/>
      <w:r w:rsidR="0006076A" w:rsidRPr="00705170">
        <w:rPr>
          <w:rFonts w:ascii="Times New Roman" w:hAnsi="Times New Roman" w:cs="Times New Roman"/>
        </w:rPr>
        <w:t xml:space="preserve"> an </w:t>
      </w:r>
      <w:proofErr w:type="spellStart"/>
      <w:r w:rsidR="0006076A" w:rsidRPr="00705170">
        <w:rPr>
          <w:rFonts w:ascii="Times New Roman" w:hAnsi="Times New Roman" w:cs="Times New Roman"/>
        </w:rPr>
        <w:t>interesting</w:t>
      </w:r>
      <w:proofErr w:type="spellEnd"/>
      <w:r w:rsidR="0006076A" w:rsidRPr="00705170">
        <w:rPr>
          <w:rFonts w:ascii="Times New Roman" w:hAnsi="Times New Roman" w:cs="Times New Roman"/>
        </w:rPr>
        <w:t xml:space="preserve"> </w:t>
      </w:r>
      <w:proofErr w:type="spellStart"/>
      <w:r w:rsidR="0006076A" w:rsidRPr="00705170">
        <w:rPr>
          <w:rFonts w:ascii="Times New Roman" w:hAnsi="Times New Roman" w:cs="Times New Roman"/>
        </w:rPr>
        <w:t>part</w:t>
      </w:r>
      <w:proofErr w:type="spellEnd"/>
      <w:r w:rsidR="0006076A" w:rsidRPr="00705170">
        <w:rPr>
          <w:rFonts w:ascii="Times New Roman" w:hAnsi="Times New Roman" w:cs="Times New Roman"/>
        </w:rPr>
        <w:t xml:space="preserve"> of </w:t>
      </w:r>
      <w:proofErr w:type="spellStart"/>
      <w:r w:rsidR="0006076A" w:rsidRPr="00705170">
        <w:rPr>
          <w:rFonts w:ascii="Times New Roman" w:hAnsi="Times New Roman" w:cs="Times New Roman"/>
        </w:rPr>
        <w:t>this</w:t>
      </w:r>
      <w:proofErr w:type="spellEnd"/>
      <w:r w:rsidR="0006076A" w:rsidRPr="00705170">
        <w:rPr>
          <w:rFonts w:ascii="Times New Roman" w:hAnsi="Times New Roman" w:cs="Times New Roman"/>
        </w:rPr>
        <w:t xml:space="preserve"> </w:t>
      </w:r>
      <w:proofErr w:type="spellStart"/>
      <w:r w:rsidR="0006076A" w:rsidRPr="00705170">
        <w:rPr>
          <w:rFonts w:ascii="Times New Roman" w:hAnsi="Times New Roman" w:cs="Times New Roman"/>
        </w:rPr>
        <w:t>conflict</w:t>
      </w:r>
      <w:proofErr w:type="spellEnd"/>
      <w:r w:rsidR="0006076A" w:rsidRPr="00705170">
        <w:rPr>
          <w:rFonts w:ascii="Times New Roman" w:hAnsi="Times New Roman" w:cs="Times New Roman"/>
        </w:rPr>
        <w:t xml:space="preserve">. </w:t>
      </w:r>
      <w:proofErr w:type="spellStart"/>
      <w:r w:rsidR="0006076A" w:rsidRPr="00705170">
        <w:rPr>
          <w:rFonts w:ascii="Times New Roman" w:hAnsi="Times New Roman" w:cs="Times New Roman"/>
        </w:rPr>
        <w:t>The</w:t>
      </w:r>
      <w:proofErr w:type="spellEnd"/>
      <w:r w:rsidR="0006076A" w:rsidRPr="00705170">
        <w:rPr>
          <w:rFonts w:ascii="Times New Roman" w:hAnsi="Times New Roman" w:cs="Times New Roman"/>
        </w:rPr>
        <w:t xml:space="preserve"> </w:t>
      </w:r>
      <w:proofErr w:type="spellStart"/>
      <w:r w:rsidR="0006076A" w:rsidRPr="00705170">
        <w:rPr>
          <w:rFonts w:ascii="Times New Roman" w:hAnsi="Times New Roman" w:cs="Times New Roman"/>
        </w:rPr>
        <w:t>principle</w:t>
      </w:r>
      <w:proofErr w:type="spellEnd"/>
      <w:r w:rsidR="0006076A" w:rsidRPr="00705170">
        <w:rPr>
          <w:rFonts w:ascii="Times New Roman" w:hAnsi="Times New Roman" w:cs="Times New Roman"/>
        </w:rPr>
        <w:t xml:space="preserve"> </w:t>
      </w:r>
      <w:proofErr w:type="spellStart"/>
      <w:r w:rsidR="0006076A" w:rsidRPr="00705170">
        <w:rPr>
          <w:rFonts w:ascii="Times New Roman" w:hAnsi="Times New Roman" w:cs="Times New Roman"/>
        </w:rPr>
        <w:t>regarding</w:t>
      </w:r>
      <w:proofErr w:type="spellEnd"/>
      <w:r w:rsidR="0006076A" w:rsidRPr="00705170">
        <w:rPr>
          <w:rFonts w:ascii="Times New Roman" w:hAnsi="Times New Roman" w:cs="Times New Roman"/>
        </w:rPr>
        <w:t xml:space="preserve"> </w:t>
      </w:r>
      <w:proofErr w:type="spellStart"/>
      <w:r w:rsidR="0006076A" w:rsidRPr="00705170">
        <w:rPr>
          <w:rFonts w:ascii="Times New Roman" w:hAnsi="Times New Roman" w:cs="Times New Roman"/>
        </w:rPr>
        <w:t>private</w:t>
      </w:r>
      <w:proofErr w:type="spellEnd"/>
      <w:r w:rsidR="0006076A" w:rsidRPr="00705170">
        <w:rPr>
          <w:rFonts w:ascii="Times New Roman" w:hAnsi="Times New Roman" w:cs="Times New Roman"/>
        </w:rPr>
        <w:t xml:space="preserve"> </w:t>
      </w:r>
      <w:proofErr w:type="spellStart"/>
      <w:r w:rsidR="0006076A" w:rsidRPr="00705170">
        <w:rPr>
          <w:rFonts w:ascii="Times New Roman" w:hAnsi="Times New Roman" w:cs="Times New Roman"/>
        </w:rPr>
        <w:t>pecuniary</w:t>
      </w:r>
      <w:proofErr w:type="spellEnd"/>
      <w:r w:rsidR="0006076A" w:rsidRPr="00705170">
        <w:rPr>
          <w:rFonts w:ascii="Times New Roman" w:hAnsi="Times New Roman" w:cs="Times New Roman"/>
        </w:rPr>
        <w:t xml:space="preserve"> </w:t>
      </w:r>
      <w:proofErr w:type="spellStart"/>
      <w:r w:rsidR="0006076A" w:rsidRPr="00705170">
        <w:rPr>
          <w:rFonts w:ascii="Times New Roman" w:hAnsi="Times New Roman" w:cs="Times New Roman"/>
        </w:rPr>
        <w:t>benefits</w:t>
      </w:r>
      <w:proofErr w:type="spellEnd"/>
      <w:r w:rsidR="0006076A" w:rsidRPr="00705170">
        <w:rPr>
          <w:rFonts w:ascii="Times New Roman" w:hAnsi="Times New Roman" w:cs="Times New Roman"/>
        </w:rPr>
        <w:t xml:space="preserve"> is </w:t>
      </w:r>
      <w:proofErr w:type="spellStart"/>
      <w:r w:rsidR="0006076A" w:rsidRPr="00705170">
        <w:rPr>
          <w:rFonts w:ascii="Times New Roman" w:hAnsi="Times New Roman" w:cs="Times New Roman"/>
        </w:rPr>
        <w:t>laid</w:t>
      </w:r>
      <w:proofErr w:type="spellEnd"/>
      <w:r w:rsidR="0006076A" w:rsidRPr="00705170">
        <w:rPr>
          <w:rFonts w:ascii="Times New Roman" w:hAnsi="Times New Roman" w:cs="Times New Roman"/>
        </w:rPr>
        <w:t xml:space="preserve"> </w:t>
      </w:r>
      <w:proofErr w:type="spellStart"/>
      <w:r w:rsidR="0006076A" w:rsidRPr="00705170">
        <w:rPr>
          <w:rFonts w:ascii="Times New Roman" w:hAnsi="Times New Roman" w:cs="Times New Roman"/>
        </w:rPr>
        <w:t>down</w:t>
      </w:r>
      <w:proofErr w:type="spellEnd"/>
      <w:r w:rsidR="0006076A" w:rsidRPr="00705170">
        <w:rPr>
          <w:rFonts w:ascii="Times New Roman" w:hAnsi="Times New Roman" w:cs="Times New Roman"/>
        </w:rPr>
        <w:t xml:space="preserve"> as </w:t>
      </w:r>
      <w:proofErr w:type="spellStart"/>
      <w:r w:rsidR="0006076A" w:rsidRPr="00705170">
        <w:rPr>
          <w:rFonts w:ascii="Times New Roman" w:hAnsi="Times New Roman" w:cs="Times New Roman"/>
        </w:rPr>
        <w:t>follows</w:t>
      </w:r>
      <w:proofErr w:type="spellEnd"/>
      <w:r w:rsidR="00D20742">
        <w:rPr>
          <w:rFonts w:ascii="Times New Roman" w:hAnsi="Times New Roman" w:cs="Times New Roman"/>
        </w:rPr>
        <w:t>:</w:t>
      </w:r>
      <w:r w:rsidR="0006076A" w:rsidRPr="00705170">
        <w:rPr>
          <w:rFonts w:ascii="Times New Roman" w:hAnsi="Times New Roman" w:cs="Times New Roman"/>
        </w:rPr>
        <w:t xml:space="preserve"> As </w:t>
      </w:r>
      <w:proofErr w:type="spellStart"/>
      <w:r w:rsidR="0006076A" w:rsidRPr="00705170">
        <w:rPr>
          <w:rFonts w:ascii="Times New Roman" w:hAnsi="Times New Roman" w:cs="Times New Roman"/>
        </w:rPr>
        <w:t>long</w:t>
      </w:r>
      <w:proofErr w:type="spellEnd"/>
      <w:r w:rsidR="0006076A" w:rsidRPr="00705170">
        <w:rPr>
          <w:rFonts w:ascii="Times New Roman" w:hAnsi="Times New Roman" w:cs="Times New Roman"/>
        </w:rPr>
        <w:t xml:space="preserve"> as</w:t>
      </w:r>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law</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places</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the</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burden</w:t>
      </w:r>
      <w:proofErr w:type="spellEnd"/>
      <w:r w:rsidR="00345817" w:rsidRPr="00705170">
        <w:rPr>
          <w:rFonts w:ascii="Times New Roman" w:hAnsi="Times New Roman" w:cs="Times New Roman"/>
        </w:rPr>
        <w:t xml:space="preserve"> of </w:t>
      </w:r>
      <w:proofErr w:type="spellStart"/>
      <w:r w:rsidR="00345817" w:rsidRPr="00705170">
        <w:rPr>
          <w:rFonts w:ascii="Times New Roman" w:hAnsi="Times New Roman" w:cs="Times New Roman"/>
        </w:rPr>
        <w:t>justfying</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the</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harms</w:t>
      </w:r>
      <w:proofErr w:type="spellEnd"/>
      <w:r w:rsidR="00345817" w:rsidRPr="00705170">
        <w:rPr>
          <w:rFonts w:ascii="Times New Roman" w:hAnsi="Times New Roman" w:cs="Times New Roman"/>
        </w:rPr>
        <w:t xml:space="preserve"> on </w:t>
      </w:r>
      <w:proofErr w:type="spellStart"/>
      <w:r w:rsidR="00345817" w:rsidRPr="00705170">
        <w:rPr>
          <w:rFonts w:ascii="Times New Roman" w:hAnsi="Times New Roman" w:cs="Times New Roman"/>
        </w:rPr>
        <w:t>t</w:t>
      </w:r>
      <w:r w:rsidR="00775920" w:rsidRPr="00705170">
        <w:rPr>
          <w:rFonts w:ascii="Times New Roman" w:hAnsi="Times New Roman" w:cs="Times New Roman"/>
        </w:rPr>
        <w:t>he</w:t>
      </w:r>
      <w:proofErr w:type="spellEnd"/>
      <w:r w:rsidR="00775920" w:rsidRPr="00705170">
        <w:rPr>
          <w:rFonts w:ascii="Times New Roman" w:hAnsi="Times New Roman" w:cs="Times New Roman"/>
        </w:rPr>
        <w:t xml:space="preserve"> </w:t>
      </w:r>
      <w:proofErr w:type="spellStart"/>
      <w:r w:rsidR="00775920" w:rsidRPr="00705170">
        <w:rPr>
          <w:rFonts w:ascii="Times New Roman" w:hAnsi="Times New Roman" w:cs="Times New Roman"/>
        </w:rPr>
        <w:t>extracting</w:t>
      </w:r>
      <w:proofErr w:type="spellEnd"/>
      <w:r w:rsidR="00775920" w:rsidRPr="00705170">
        <w:rPr>
          <w:rFonts w:ascii="Times New Roman" w:hAnsi="Times New Roman" w:cs="Times New Roman"/>
        </w:rPr>
        <w:t xml:space="preserve"> </w:t>
      </w:r>
      <w:proofErr w:type="spellStart"/>
      <w:r w:rsidR="00BD2832" w:rsidRPr="00705170">
        <w:rPr>
          <w:rFonts w:ascii="Times New Roman" w:hAnsi="Times New Roman" w:cs="Times New Roman"/>
        </w:rPr>
        <w:t>influencing</w:t>
      </w:r>
      <w:proofErr w:type="spellEnd"/>
      <w:r w:rsidR="00BD2832" w:rsidRPr="00705170">
        <w:rPr>
          <w:rFonts w:ascii="Times New Roman" w:hAnsi="Times New Roman" w:cs="Times New Roman"/>
        </w:rPr>
        <w:t xml:space="preserve"> </w:t>
      </w:r>
      <w:proofErr w:type="spellStart"/>
      <w:r w:rsidR="00775920" w:rsidRPr="00705170">
        <w:rPr>
          <w:rFonts w:ascii="Times New Roman" w:hAnsi="Times New Roman" w:cs="Times New Roman"/>
        </w:rPr>
        <w:t>shareholders</w:t>
      </w:r>
      <w:proofErr w:type="spellEnd"/>
      <w:r w:rsidR="00775920" w:rsidRPr="00705170">
        <w:rPr>
          <w:rFonts w:ascii="Times New Roman" w:hAnsi="Times New Roman" w:cs="Times New Roman"/>
        </w:rPr>
        <w:t xml:space="preserve">, </w:t>
      </w:r>
      <w:proofErr w:type="spellStart"/>
      <w:r w:rsidR="00775920" w:rsidRPr="00705170">
        <w:rPr>
          <w:rFonts w:ascii="Times New Roman" w:hAnsi="Times New Roman" w:cs="Times New Roman"/>
        </w:rPr>
        <w:t>these</w:t>
      </w:r>
      <w:proofErr w:type="spellEnd"/>
      <w:r w:rsidR="00775920" w:rsidRPr="00705170">
        <w:rPr>
          <w:rFonts w:ascii="Times New Roman" w:hAnsi="Times New Roman" w:cs="Times New Roman"/>
        </w:rPr>
        <w:t xml:space="preserve"> </w:t>
      </w:r>
      <w:proofErr w:type="spellStart"/>
      <w:r w:rsidR="00775920" w:rsidRPr="00705170">
        <w:rPr>
          <w:rFonts w:ascii="Times New Roman" w:hAnsi="Times New Roman" w:cs="Times New Roman"/>
        </w:rPr>
        <w:t>extractors</w:t>
      </w:r>
      <w:proofErr w:type="spellEnd"/>
      <w:r w:rsidR="00775920" w:rsidRPr="00705170">
        <w:rPr>
          <w:rFonts w:ascii="Times New Roman" w:hAnsi="Times New Roman" w:cs="Times New Roman"/>
        </w:rPr>
        <w:t xml:space="preserve"> </w:t>
      </w:r>
      <w:proofErr w:type="spellStart"/>
      <w:r w:rsidR="00775920" w:rsidRPr="00705170">
        <w:rPr>
          <w:rFonts w:ascii="Times New Roman" w:hAnsi="Times New Roman" w:cs="Times New Roman"/>
        </w:rPr>
        <w:t>hold</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the</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right</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to</w:t>
      </w:r>
      <w:proofErr w:type="spellEnd"/>
      <w:r w:rsidR="00D670D7" w:rsidRPr="00705170">
        <w:rPr>
          <w:rFonts w:ascii="Times New Roman" w:hAnsi="Times New Roman" w:cs="Times New Roman"/>
        </w:rPr>
        <w:t xml:space="preserve"> be “</w:t>
      </w:r>
      <w:proofErr w:type="spellStart"/>
      <w:r w:rsidR="00D670D7" w:rsidRPr="00705170">
        <w:rPr>
          <w:rFonts w:ascii="Times New Roman" w:hAnsi="Times New Roman" w:cs="Times New Roman"/>
        </w:rPr>
        <w:t>selfish</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owners</w:t>
      </w:r>
      <w:proofErr w:type="spellEnd"/>
      <w:r w:rsidR="00D670D7" w:rsidRPr="00705170">
        <w:rPr>
          <w:rFonts w:ascii="Times New Roman" w:hAnsi="Times New Roman" w:cs="Times New Roman"/>
        </w:rPr>
        <w:t>”</w:t>
      </w:r>
      <w:r w:rsidR="00D670D7" w:rsidRPr="00705170">
        <w:rPr>
          <w:rStyle w:val="DipnotBavurusu"/>
          <w:rFonts w:ascii="Times New Roman" w:hAnsi="Times New Roman" w:cs="Times New Roman"/>
        </w:rPr>
        <w:t xml:space="preserve"> </w:t>
      </w:r>
      <w:r w:rsidR="00D670D7" w:rsidRPr="00705170">
        <w:rPr>
          <w:rStyle w:val="DipnotBavurusu"/>
          <w:rFonts w:ascii="Times New Roman" w:hAnsi="Times New Roman" w:cs="Times New Roman"/>
        </w:rPr>
        <w:footnoteReference w:id="241"/>
      </w:r>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and</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run</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the</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corporation</w:t>
      </w:r>
      <w:proofErr w:type="spellEnd"/>
      <w:r w:rsidR="00D670D7" w:rsidRPr="00705170">
        <w:rPr>
          <w:rFonts w:ascii="Times New Roman" w:hAnsi="Times New Roman" w:cs="Times New Roman"/>
        </w:rPr>
        <w:t xml:space="preserve"> as </w:t>
      </w:r>
      <w:proofErr w:type="spellStart"/>
      <w:r w:rsidR="00D670D7" w:rsidRPr="00705170">
        <w:rPr>
          <w:rFonts w:ascii="Times New Roman" w:hAnsi="Times New Roman" w:cs="Times New Roman"/>
        </w:rPr>
        <w:t>they</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will</w:t>
      </w:r>
      <w:proofErr w:type="spellEnd"/>
      <w:r w:rsidR="00D670D7" w:rsidRPr="00705170">
        <w:rPr>
          <w:rStyle w:val="DipnotBavurusu"/>
          <w:rFonts w:ascii="Times New Roman" w:hAnsi="Times New Roman" w:cs="Times New Roman"/>
        </w:rPr>
        <w:footnoteReference w:id="242"/>
      </w:r>
      <w:r w:rsidR="00345817" w:rsidRPr="00705170">
        <w:rPr>
          <w:rFonts w:ascii="Times New Roman" w:hAnsi="Times New Roman" w:cs="Times New Roman"/>
        </w:rPr>
        <w:t xml:space="preserve">. </w:t>
      </w:r>
      <w:proofErr w:type="spellStart"/>
      <w:r w:rsidR="00D670D7" w:rsidRPr="00705170">
        <w:rPr>
          <w:rFonts w:ascii="Times New Roman" w:hAnsi="Times New Roman" w:cs="Times New Roman"/>
        </w:rPr>
        <w:t>This</w:t>
      </w:r>
      <w:proofErr w:type="spellEnd"/>
      <w:r w:rsidR="00D670D7" w:rsidRPr="00705170">
        <w:rPr>
          <w:rFonts w:ascii="Times New Roman" w:hAnsi="Times New Roman" w:cs="Times New Roman"/>
        </w:rPr>
        <w:t xml:space="preserve"> is </w:t>
      </w:r>
      <w:proofErr w:type="spellStart"/>
      <w:r w:rsidR="00D670D7" w:rsidRPr="00705170">
        <w:rPr>
          <w:rFonts w:ascii="Times New Roman" w:hAnsi="Times New Roman" w:cs="Times New Roman"/>
        </w:rPr>
        <w:t>why</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much</w:t>
      </w:r>
      <w:proofErr w:type="spellEnd"/>
      <w:r w:rsidR="00D670D7" w:rsidRPr="00705170">
        <w:rPr>
          <w:rFonts w:ascii="Times New Roman" w:hAnsi="Times New Roman" w:cs="Times New Roman"/>
        </w:rPr>
        <w:t xml:space="preserve"> of </w:t>
      </w:r>
      <w:proofErr w:type="spellStart"/>
      <w:r w:rsidR="00D670D7" w:rsidRPr="00705170">
        <w:rPr>
          <w:rFonts w:ascii="Times New Roman" w:hAnsi="Times New Roman" w:cs="Times New Roman"/>
        </w:rPr>
        <w:t>the</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tunneling</w:t>
      </w:r>
      <w:proofErr w:type="spellEnd"/>
      <w:r w:rsidR="00D670D7" w:rsidRPr="00705170">
        <w:rPr>
          <w:rFonts w:ascii="Times New Roman" w:hAnsi="Times New Roman" w:cs="Times New Roman"/>
        </w:rPr>
        <w:t xml:space="preserve"> can be </w:t>
      </w:r>
      <w:proofErr w:type="spellStart"/>
      <w:r w:rsidR="00D670D7" w:rsidRPr="00705170">
        <w:rPr>
          <w:rFonts w:ascii="Times New Roman" w:hAnsi="Times New Roman" w:cs="Times New Roman"/>
        </w:rPr>
        <w:t>regarded</w:t>
      </w:r>
      <w:proofErr w:type="spellEnd"/>
      <w:r w:rsidR="00D670D7" w:rsidRPr="00705170">
        <w:rPr>
          <w:rFonts w:ascii="Times New Roman" w:hAnsi="Times New Roman" w:cs="Times New Roman"/>
        </w:rPr>
        <w:t xml:space="preserve"> legal </w:t>
      </w:r>
      <w:proofErr w:type="spellStart"/>
      <w:r w:rsidR="00D670D7" w:rsidRPr="00705170">
        <w:rPr>
          <w:rFonts w:ascii="Times New Roman" w:hAnsi="Times New Roman" w:cs="Times New Roman"/>
        </w:rPr>
        <w:t>by</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statutes</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and</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judges</w:t>
      </w:r>
      <w:proofErr w:type="spellEnd"/>
      <w:r w:rsidR="00D670D7" w:rsidRPr="00705170">
        <w:rPr>
          <w:rStyle w:val="DipnotBavurusu"/>
          <w:rFonts w:ascii="Times New Roman" w:hAnsi="Times New Roman" w:cs="Times New Roman"/>
        </w:rPr>
        <w:footnoteReference w:id="243"/>
      </w:r>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law</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legitimates</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receiving</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these</w:t>
      </w:r>
      <w:proofErr w:type="spellEnd"/>
      <w:r w:rsidR="00D670D7" w:rsidRPr="00705170">
        <w:rPr>
          <w:rFonts w:ascii="Times New Roman" w:hAnsi="Times New Roman" w:cs="Times New Roman"/>
        </w:rPr>
        <w:t xml:space="preserve"> </w:t>
      </w:r>
      <w:proofErr w:type="spellStart"/>
      <w:r w:rsidR="00D670D7" w:rsidRPr="00705170">
        <w:rPr>
          <w:rFonts w:ascii="Times New Roman" w:hAnsi="Times New Roman" w:cs="Times New Roman"/>
        </w:rPr>
        <w:t>benefits</w:t>
      </w:r>
      <w:proofErr w:type="spellEnd"/>
      <w:r w:rsidR="00125C28" w:rsidRPr="00705170">
        <w:rPr>
          <w:rFonts w:ascii="Times New Roman" w:hAnsi="Times New Roman" w:cs="Times New Roman"/>
        </w:rPr>
        <w:t xml:space="preserve"> </w:t>
      </w:r>
      <w:proofErr w:type="spellStart"/>
      <w:r w:rsidR="00125C28" w:rsidRPr="00705170">
        <w:rPr>
          <w:rFonts w:ascii="Times New Roman" w:hAnsi="Times New Roman" w:cs="Times New Roman"/>
        </w:rPr>
        <w:t>if</w:t>
      </w:r>
      <w:proofErr w:type="spellEnd"/>
      <w:r w:rsidR="00125C28" w:rsidRPr="00705170">
        <w:rPr>
          <w:rFonts w:ascii="Times New Roman" w:hAnsi="Times New Roman" w:cs="Times New Roman"/>
        </w:rPr>
        <w:t xml:space="preserve"> </w:t>
      </w:r>
      <w:proofErr w:type="spellStart"/>
      <w:r w:rsidR="00125C28" w:rsidRPr="00705170">
        <w:rPr>
          <w:rFonts w:ascii="Times New Roman" w:hAnsi="Times New Roman" w:cs="Times New Roman"/>
        </w:rPr>
        <w:t>properly</w:t>
      </w:r>
      <w:proofErr w:type="spellEnd"/>
      <w:r w:rsidR="00125C28" w:rsidRPr="00705170">
        <w:rPr>
          <w:rFonts w:ascii="Times New Roman" w:hAnsi="Times New Roman" w:cs="Times New Roman"/>
        </w:rPr>
        <w:t xml:space="preserve"> </w:t>
      </w:r>
      <w:proofErr w:type="spellStart"/>
      <w:r w:rsidR="00125C28" w:rsidRPr="00705170">
        <w:rPr>
          <w:rFonts w:ascii="Times New Roman" w:hAnsi="Times New Roman" w:cs="Times New Roman"/>
        </w:rPr>
        <w:t>justified</w:t>
      </w:r>
      <w:proofErr w:type="spellEnd"/>
      <w:r w:rsidR="00125C28" w:rsidRPr="00705170">
        <w:rPr>
          <w:rFonts w:ascii="Times New Roman" w:hAnsi="Times New Roman" w:cs="Times New Roman"/>
        </w:rPr>
        <w:t>,</w:t>
      </w:r>
      <w:r w:rsidR="00AB24AB" w:rsidRPr="00705170">
        <w:rPr>
          <w:rFonts w:ascii="Times New Roman" w:hAnsi="Times New Roman" w:cs="Times New Roman"/>
        </w:rPr>
        <w:t xml:space="preserve"> </w:t>
      </w:r>
      <w:proofErr w:type="spellStart"/>
      <w:r w:rsidR="00AB24AB" w:rsidRPr="00705170">
        <w:rPr>
          <w:rFonts w:ascii="Times New Roman" w:hAnsi="Times New Roman" w:cs="Times New Roman"/>
        </w:rPr>
        <w:t>due</w:t>
      </w:r>
      <w:proofErr w:type="spellEnd"/>
      <w:r w:rsidR="00AB24AB" w:rsidRPr="00705170">
        <w:rPr>
          <w:rFonts w:ascii="Times New Roman" w:hAnsi="Times New Roman" w:cs="Times New Roman"/>
        </w:rPr>
        <w:t xml:space="preserve"> </w:t>
      </w:r>
      <w:proofErr w:type="spellStart"/>
      <w:r w:rsidR="00AB24AB" w:rsidRPr="00705170">
        <w:rPr>
          <w:rFonts w:ascii="Times New Roman" w:hAnsi="Times New Roman" w:cs="Times New Roman"/>
        </w:rPr>
        <w:t>to</w:t>
      </w:r>
      <w:proofErr w:type="spellEnd"/>
      <w:r w:rsidR="00AB24AB" w:rsidRPr="00705170">
        <w:rPr>
          <w:rFonts w:ascii="Times New Roman" w:hAnsi="Times New Roman" w:cs="Times New Roman"/>
        </w:rPr>
        <w:t xml:space="preserve"> </w:t>
      </w:r>
      <w:proofErr w:type="spellStart"/>
      <w:r w:rsidR="00AB24AB" w:rsidRPr="00705170">
        <w:rPr>
          <w:rFonts w:ascii="Times New Roman" w:hAnsi="Times New Roman" w:cs="Times New Roman"/>
        </w:rPr>
        <w:t>the</w:t>
      </w:r>
      <w:proofErr w:type="spellEnd"/>
      <w:r w:rsidR="00AB24AB" w:rsidRPr="00705170">
        <w:rPr>
          <w:rFonts w:ascii="Times New Roman" w:hAnsi="Times New Roman" w:cs="Times New Roman"/>
        </w:rPr>
        <w:t xml:space="preserve"> </w:t>
      </w:r>
      <w:proofErr w:type="spellStart"/>
      <w:r w:rsidR="00AB24AB" w:rsidRPr="00705170">
        <w:rPr>
          <w:rFonts w:ascii="Times New Roman" w:hAnsi="Times New Roman" w:cs="Times New Roman"/>
        </w:rPr>
        <w:t>benefits</w:t>
      </w:r>
      <w:proofErr w:type="spellEnd"/>
      <w:r w:rsidR="00AB24AB" w:rsidRPr="00705170">
        <w:rPr>
          <w:rFonts w:ascii="Times New Roman" w:hAnsi="Times New Roman" w:cs="Times New Roman"/>
        </w:rPr>
        <w:t xml:space="preserve"> it can </w:t>
      </w:r>
      <w:proofErr w:type="spellStart"/>
      <w:r w:rsidR="00AB24AB" w:rsidRPr="00705170">
        <w:rPr>
          <w:rFonts w:ascii="Times New Roman" w:hAnsi="Times New Roman" w:cs="Times New Roman"/>
        </w:rPr>
        <w:t>provide</w:t>
      </w:r>
      <w:proofErr w:type="spellEnd"/>
      <w:r w:rsidR="00125C28" w:rsidRPr="00705170">
        <w:rPr>
          <w:rFonts w:ascii="Times New Roman" w:hAnsi="Times New Roman" w:cs="Times New Roman"/>
        </w:rPr>
        <w:t xml:space="preserve"> </w:t>
      </w:r>
      <w:proofErr w:type="spellStart"/>
      <w:r w:rsidR="00125C28" w:rsidRPr="00705170">
        <w:rPr>
          <w:rFonts w:ascii="Times New Roman" w:hAnsi="Times New Roman" w:cs="Times New Roman"/>
        </w:rPr>
        <w:t>to</w:t>
      </w:r>
      <w:proofErr w:type="spellEnd"/>
      <w:r w:rsidR="00125C28" w:rsidRPr="00705170">
        <w:rPr>
          <w:rFonts w:ascii="Times New Roman" w:hAnsi="Times New Roman" w:cs="Times New Roman"/>
        </w:rPr>
        <w:t xml:space="preserve"> </w:t>
      </w:r>
      <w:proofErr w:type="spellStart"/>
      <w:r w:rsidR="00125C28" w:rsidRPr="00705170">
        <w:rPr>
          <w:rFonts w:ascii="Times New Roman" w:hAnsi="Times New Roman" w:cs="Times New Roman"/>
        </w:rPr>
        <w:t>the</w:t>
      </w:r>
      <w:proofErr w:type="spellEnd"/>
      <w:r w:rsidR="00125C28" w:rsidRPr="00705170">
        <w:rPr>
          <w:rFonts w:ascii="Times New Roman" w:hAnsi="Times New Roman" w:cs="Times New Roman"/>
        </w:rPr>
        <w:t xml:space="preserve"> </w:t>
      </w:r>
      <w:proofErr w:type="spellStart"/>
      <w:r w:rsidR="00125C28" w:rsidRPr="00705170">
        <w:rPr>
          <w:rFonts w:ascii="Times New Roman" w:hAnsi="Times New Roman" w:cs="Times New Roman"/>
        </w:rPr>
        <w:t>minority</w:t>
      </w:r>
      <w:proofErr w:type="spellEnd"/>
      <w:r w:rsidR="002E23DC" w:rsidRPr="00705170">
        <w:rPr>
          <w:rFonts w:ascii="Times New Roman" w:hAnsi="Times New Roman" w:cs="Times New Roman"/>
        </w:rPr>
        <w:t xml:space="preserve"> </w:t>
      </w:r>
      <w:proofErr w:type="spellStart"/>
      <w:r w:rsidR="002E23DC" w:rsidRPr="00705170">
        <w:rPr>
          <w:rFonts w:ascii="Times New Roman" w:hAnsi="Times New Roman" w:cs="Times New Roman"/>
        </w:rPr>
        <w:t>and</w:t>
      </w:r>
      <w:proofErr w:type="spellEnd"/>
      <w:r w:rsidR="002E23DC" w:rsidRPr="00705170">
        <w:rPr>
          <w:rFonts w:ascii="Times New Roman" w:hAnsi="Times New Roman" w:cs="Times New Roman"/>
        </w:rPr>
        <w:t xml:space="preserve"> </w:t>
      </w:r>
      <w:proofErr w:type="spellStart"/>
      <w:r w:rsidR="002E23DC" w:rsidRPr="00705170">
        <w:rPr>
          <w:rFonts w:ascii="Times New Roman" w:hAnsi="Times New Roman" w:cs="Times New Roman"/>
        </w:rPr>
        <w:t>the</w:t>
      </w:r>
      <w:proofErr w:type="spellEnd"/>
      <w:r w:rsidR="002E23DC" w:rsidRPr="00705170">
        <w:rPr>
          <w:rFonts w:ascii="Times New Roman" w:hAnsi="Times New Roman" w:cs="Times New Roman"/>
        </w:rPr>
        <w:t xml:space="preserve"> </w:t>
      </w:r>
      <w:proofErr w:type="spellStart"/>
      <w:r w:rsidR="002E23DC" w:rsidRPr="00705170">
        <w:rPr>
          <w:rFonts w:ascii="Times New Roman" w:hAnsi="Times New Roman" w:cs="Times New Roman"/>
        </w:rPr>
        <w:t>corporation</w:t>
      </w:r>
      <w:proofErr w:type="spellEnd"/>
      <w:r w:rsidR="002E23DC" w:rsidRPr="00705170">
        <w:rPr>
          <w:rFonts w:ascii="Times New Roman" w:hAnsi="Times New Roman" w:cs="Times New Roman"/>
        </w:rPr>
        <w:t xml:space="preserve"> as a </w:t>
      </w:r>
      <w:proofErr w:type="spellStart"/>
      <w:r w:rsidR="002E23DC" w:rsidRPr="00705170">
        <w:rPr>
          <w:rFonts w:ascii="Times New Roman" w:hAnsi="Times New Roman" w:cs="Times New Roman"/>
        </w:rPr>
        <w:t>whole</w:t>
      </w:r>
      <w:proofErr w:type="spellEnd"/>
      <w:r w:rsidR="002E23DC" w:rsidRPr="00705170">
        <w:rPr>
          <w:rStyle w:val="DipnotBavurusu"/>
          <w:rFonts w:ascii="Times New Roman" w:hAnsi="Times New Roman" w:cs="Times New Roman"/>
        </w:rPr>
        <w:footnoteReference w:id="244"/>
      </w:r>
      <w:r w:rsidR="00D670D7" w:rsidRPr="00705170">
        <w:rPr>
          <w:rFonts w:ascii="Times New Roman" w:hAnsi="Times New Roman" w:cs="Times New Roman"/>
        </w:rPr>
        <w:t>.</w:t>
      </w:r>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However</w:t>
      </w:r>
      <w:proofErr w:type="spellEnd"/>
      <w:r w:rsidR="00345817" w:rsidRPr="00705170">
        <w:rPr>
          <w:rFonts w:ascii="Times New Roman" w:hAnsi="Times New Roman" w:cs="Times New Roman"/>
        </w:rPr>
        <w:t xml:space="preserve">, as </w:t>
      </w:r>
      <w:proofErr w:type="spellStart"/>
      <w:r w:rsidR="00345817" w:rsidRPr="00705170">
        <w:rPr>
          <w:rFonts w:ascii="Times New Roman" w:hAnsi="Times New Roman" w:cs="Times New Roman"/>
        </w:rPr>
        <w:t>shown</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above</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there</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are</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no</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adequate</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means</w:t>
      </w:r>
      <w:proofErr w:type="spellEnd"/>
      <w:r w:rsidR="00345817" w:rsidRPr="00705170">
        <w:rPr>
          <w:rFonts w:ascii="Times New Roman" w:hAnsi="Times New Roman" w:cs="Times New Roman"/>
        </w:rPr>
        <w:t xml:space="preserve"> of </w:t>
      </w:r>
      <w:proofErr w:type="spellStart"/>
      <w:r w:rsidR="00345817" w:rsidRPr="00705170">
        <w:rPr>
          <w:rFonts w:ascii="Times New Roman" w:hAnsi="Times New Roman" w:cs="Times New Roman"/>
        </w:rPr>
        <w:t>detecting</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the</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extraction</w:t>
      </w:r>
      <w:proofErr w:type="spellEnd"/>
      <w:r w:rsidR="00345817" w:rsidRPr="00705170">
        <w:rPr>
          <w:rFonts w:ascii="Times New Roman" w:hAnsi="Times New Roman" w:cs="Times New Roman"/>
        </w:rPr>
        <w:t xml:space="preserve"> of </w:t>
      </w:r>
      <w:proofErr w:type="spellStart"/>
      <w:r w:rsidR="00345817" w:rsidRPr="00705170">
        <w:rPr>
          <w:rFonts w:ascii="Times New Roman" w:hAnsi="Times New Roman" w:cs="Times New Roman"/>
        </w:rPr>
        <w:t>non</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pecuniary</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private</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benefits</w:t>
      </w:r>
      <w:proofErr w:type="spellEnd"/>
      <w:r w:rsidR="00345817" w:rsidRPr="00705170">
        <w:rPr>
          <w:rFonts w:ascii="Times New Roman" w:hAnsi="Times New Roman" w:cs="Times New Roman"/>
        </w:rPr>
        <w:t xml:space="preserve"> in </w:t>
      </w:r>
      <w:proofErr w:type="spellStart"/>
      <w:r w:rsidR="00345817" w:rsidRPr="00705170">
        <w:rPr>
          <w:rFonts w:ascii="Times New Roman" w:hAnsi="Times New Roman" w:cs="Times New Roman"/>
        </w:rPr>
        <w:t>the</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current</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structure</w:t>
      </w:r>
      <w:proofErr w:type="spellEnd"/>
      <w:r w:rsidR="00345817" w:rsidRPr="00705170">
        <w:rPr>
          <w:rFonts w:ascii="Times New Roman" w:hAnsi="Times New Roman" w:cs="Times New Roman"/>
        </w:rPr>
        <w:t xml:space="preserve"> of </w:t>
      </w:r>
      <w:proofErr w:type="spellStart"/>
      <w:r w:rsidR="00345817" w:rsidRPr="00705170">
        <w:rPr>
          <w:rFonts w:ascii="Times New Roman" w:hAnsi="Times New Roman" w:cs="Times New Roman"/>
        </w:rPr>
        <w:t>corp</w:t>
      </w:r>
      <w:r w:rsidR="00775920" w:rsidRPr="00705170">
        <w:rPr>
          <w:rFonts w:ascii="Times New Roman" w:hAnsi="Times New Roman" w:cs="Times New Roman"/>
        </w:rPr>
        <w:t>orate</w:t>
      </w:r>
      <w:proofErr w:type="spellEnd"/>
      <w:r w:rsidR="00775920" w:rsidRPr="00705170">
        <w:rPr>
          <w:rFonts w:ascii="Times New Roman" w:hAnsi="Times New Roman" w:cs="Times New Roman"/>
        </w:rPr>
        <w:t xml:space="preserve"> </w:t>
      </w:r>
      <w:proofErr w:type="spellStart"/>
      <w:r w:rsidR="00775920" w:rsidRPr="00705170">
        <w:rPr>
          <w:rFonts w:ascii="Times New Roman" w:hAnsi="Times New Roman" w:cs="Times New Roman"/>
        </w:rPr>
        <w:t>law</w:t>
      </w:r>
      <w:proofErr w:type="spellEnd"/>
      <w:r w:rsidR="00775920" w:rsidRPr="00705170">
        <w:rPr>
          <w:rFonts w:ascii="Times New Roman" w:hAnsi="Times New Roman" w:cs="Times New Roman"/>
        </w:rPr>
        <w:t xml:space="preserve">, </w:t>
      </w:r>
      <w:proofErr w:type="spellStart"/>
      <w:r w:rsidR="00775920" w:rsidRPr="00705170">
        <w:rPr>
          <w:rFonts w:ascii="Times New Roman" w:hAnsi="Times New Roman" w:cs="Times New Roman"/>
        </w:rPr>
        <w:t>due</w:t>
      </w:r>
      <w:proofErr w:type="spellEnd"/>
      <w:r w:rsidR="00775920" w:rsidRPr="00705170">
        <w:rPr>
          <w:rFonts w:ascii="Times New Roman" w:hAnsi="Times New Roman" w:cs="Times New Roman"/>
        </w:rPr>
        <w:t xml:space="preserve"> </w:t>
      </w:r>
      <w:proofErr w:type="spellStart"/>
      <w:r w:rsidR="00775920" w:rsidRPr="00705170">
        <w:rPr>
          <w:rFonts w:ascii="Times New Roman" w:hAnsi="Times New Roman" w:cs="Times New Roman"/>
        </w:rPr>
        <w:t>to</w:t>
      </w:r>
      <w:proofErr w:type="spellEnd"/>
      <w:r w:rsidR="00775920" w:rsidRPr="00705170">
        <w:rPr>
          <w:rFonts w:ascii="Times New Roman" w:hAnsi="Times New Roman" w:cs="Times New Roman"/>
        </w:rPr>
        <w:t xml:space="preserve"> </w:t>
      </w:r>
      <w:proofErr w:type="spellStart"/>
      <w:r w:rsidR="00775920" w:rsidRPr="00705170">
        <w:rPr>
          <w:rFonts w:ascii="Times New Roman" w:hAnsi="Times New Roman" w:cs="Times New Roman"/>
        </w:rPr>
        <w:t>the</w:t>
      </w:r>
      <w:proofErr w:type="spellEnd"/>
      <w:r w:rsidR="00775920" w:rsidRPr="00705170">
        <w:rPr>
          <w:rFonts w:ascii="Times New Roman" w:hAnsi="Times New Roman" w:cs="Times New Roman"/>
        </w:rPr>
        <w:t xml:space="preserve"> </w:t>
      </w:r>
      <w:proofErr w:type="spellStart"/>
      <w:r w:rsidR="00775920" w:rsidRPr="00705170">
        <w:rPr>
          <w:rFonts w:ascii="Times New Roman" w:hAnsi="Times New Roman" w:cs="Times New Roman"/>
        </w:rPr>
        <w:t>construction</w:t>
      </w:r>
      <w:proofErr w:type="spellEnd"/>
      <w:r w:rsidR="00775920" w:rsidRPr="00705170">
        <w:rPr>
          <w:rFonts w:ascii="Times New Roman" w:hAnsi="Times New Roman" w:cs="Times New Roman"/>
        </w:rPr>
        <w:t xml:space="preserve"> of </w:t>
      </w:r>
      <w:proofErr w:type="spellStart"/>
      <w:r w:rsidR="00775920" w:rsidRPr="00705170">
        <w:rPr>
          <w:rFonts w:ascii="Times New Roman" w:hAnsi="Times New Roman" w:cs="Times New Roman"/>
        </w:rPr>
        <w:t>the</w:t>
      </w:r>
      <w:proofErr w:type="spellEnd"/>
      <w:r w:rsidR="00775920" w:rsidRPr="00705170">
        <w:rPr>
          <w:rFonts w:ascii="Times New Roman" w:hAnsi="Times New Roman" w:cs="Times New Roman"/>
        </w:rPr>
        <w:t xml:space="preserve"> </w:t>
      </w:r>
      <w:proofErr w:type="spellStart"/>
      <w:r w:rsidR="00775920" w:rsidRPr="00705170">
        <w:rPr>
          <w:rFonts w:ascii="Times New Roman" w:hAnsi="Times New Roman" w:cs="Times New Roman"/>
        </w:rPr>
        <w:t>present</w:t>
      </w:r>
      <w:proofErr w:type="spellEnd"/>
      <w:r w:rsidR="00775920" w:rsidRPr="00705170">
        <w:rPr>
          <w:rFonts w:ascii="Times New Roman" w:hAnsi="Times New Roman" w:cs="Times New Roman"/>
        </w:rPr>
        <w:t xml:space="preserve"> </w:t>
      </w:r>
      <w:proofErr w:type="spellStart"/>
      <w:r w:rsidR="00775920" w:rsidRPr="00705170">
        <w:rPr>
          <w:rFonts w:ascii="Times New Roman" w:hAnsi="Times New Roman" w:cs="Times New Roman"/>
        </w:rPr>
        <w:t>mechanism</w:t>
      </w:r>
      <w:proofErr w:type="spellEnd"/>
      <w:r w:rsidR="00775920" w:rsidRPr="00705170">
        <w:rPr>
          <w:rFonts w:ascii="Times New Roman" w:hAnsi="Times New Roman" w:cs="Times New Roman"/>
        </w:rPr>
        <w:t xml:space="preserve">, </w:t>
      </w:r>
      <w:proofErr w:type="spellStart"/>
      <w:r w:rsidR="00775920" w:rsidRPr="00705170">
        <w:rPr>
          <w:rFonts w:ascii="Times New Roman" w:hAnsi="Times New Roman" w:cs="Times New Roman"/>
        </w:rPr>
        <w:t>thus</w:t>
      </w:r>
      <w:proofErr w:type="spellEnd"/>
      <w:r w:rsidR="00775920" w:rsidRPr="00705170">
        <w:rPr>
          <w:rFonts w:ascii="Times New Roman" w:hAnsi="Times New Roman" w:cs="Times New Roman"/>
        </w:rPr>
        <w:t xml:space="preserve"> </w:t>
      </w:r>
      <w:proofErr w:type="spellStart"/>
      <w:r w:rsidR="00775920" w:rsidRPr="00705170">
        <w:rPr>
          <w:rFonts w:ascii="Times New Roman" w:hAnsi="Times New Roman" w:cs="Times New Roman"/>
        </w:rPr>
        <w:t>this</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extraction</w:t>
      </w:r>
      <w:proofErr w:type="spellEnd"/>
      <w:r w:rsidR="00345817" w:rsidRPr="00705170">
        <w:rPr>
          <w:rFonts w:ascii="Times New Roman" w:hAnsi="Times New Roman" w:cs="Times New Roman"/>
        </w:rPr>
        <w:t xml:space="preserve"> is </w:t>
      </w:r>
      <w:proofErr w:type="spellStart"/>
      <w:r w:rsidR="00345817" w:rsidRPr="00705170">
        <w:rPr>
          <w:rFonts w:ascii="Times New Roman" w:hAnsi="Times New Roman" w:cs="Times New Roman"/>
        </w:rPr>
        <w:t>never</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justified</w:t>
      </w:r>
      <w:proofErr w:type="spellEnd"/>
      <w:r w:rsidR="00345817" w:rsidRPr="00705170">
        <w:rPr>
          <w:rFonts w:ascii="Times New Roman" w:hAnsi="Times New Roman" w:cs="Times New Roman"/>
        </w:rPr>
        <w:t xml:space="preserve">. </w:t>
      </w:r>
    </w:p>
    <w:p w14:paraId="07F2F468" w14:textId="4D8FF724" w:rsidR="00204528" w:rsidRPr="00705170" w:rsidRDefault="00204528" w:rsidP="00BD2832">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lastRenderedPageBreak/>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said</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important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in a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r w:rsidR="003E07DF" w:rsidRPr="00705170">
        <w:rPr>
          <w:rFonts w:ascii="Times New Roman" w:hAnsi="Times New Roman" w:cs="Times New Roman"/>
        </w:rPr>
        <w:t xml:space="preserve">a </w:t>
      </w:r>
      <w:proofErr w:type="spellStart"/>
      <w:r w:rsidRPr="00705170">
        <w:rPr>
          <w:rFonts w:ascii="Times New Roman" w:hAnsi="Times New Roman" w:cs="Times New Roman"/>
        </w:rPr>
        <w:t>perfectly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functioning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governance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structure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be </w:t>
      </w:r>
      <w:proofErr w:type="spellStart"/>
      <w:r w:rsidR="00124583" w:rsidRPr="00705170">
        <w:rPr>
          <w:rFonts w:ascii="Times New Roman" w:hAnsi="Times New Roman" w:cs="Times New Roman"/>
        </w:rPr>
        <w:t>primarily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against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unjustified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virtue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conventional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principles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judgment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derivatives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r w:rsidR="009E2323" w:rsidRPr="00705170">
        <w:rPr>
          <w:rFonts w:ascii="Times New Roman" w:hAnsi="Times New Roman" w:cs="Times New Roman"/>
        </w:rPr>
        <w:t xml:space="preserve">a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responsive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to</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the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wishes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00124583" w:rsidRPr="00705170">
        <w:rPr>
          <w:rFonts w:ascii="Times New Roman" w:hAnsi="Times New Roman" w:cs="Times New Roman"/>
        </w:rPr>
        <w:t>, it</w:t>
      </w:r>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completely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engage</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privately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except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cases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approval</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required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Moreover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affairs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00C6715D" w:rsidRPr="00705170">
        <w:rPr>
          <w:rFonts w:ascii="Times New Roman" w:hAnsi="Times New Roman" w:cs="Times New Roman"/>
        </w:rPr>
        <w:t>oust</w:t>
      </w:r>
      <w:proofErr w:type="spellEnd"/>
      <w:r w:rsidR="00C6715D" w:rsidRPr="00705170">
        <w:rPr>
          <w:rFonts w:ascii="Times New Roman" w:hAnsi="Times New Roman" w:cs="Times New Roman"/>
        </w:rPr>
        <w:t xml:space="preserve"> a </w:t>
      </w:r>
      <w:proofErr w:type="spellStart"/>
      <w:r w:rsidR="00C6715D" w:rsidRPr="00705170">
        <w:rPr>
          <w:rFonts w:ascii="Times New Roman" w:hAnsi="Times New Roman" w:cs="Times New Roman"/>
        </w:rPr>
        <w:t>shareholder</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who</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extracts</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non</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pecuniary</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private</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benefits</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via</w:t>
      </w:r>
      <w:proofErr w:type="spellEnd"/>
      <w:r w:rsidR="005D0D82" w:rsidRPr="00705170">
        <w:rPr>
          <w:rFonts w:ascii="Times New Roman" w:hAnsi="Times New Roman" w:cs="Times New Roman"/>
        </w:rPr>
        <w:t xml:space="preserve"> an </w:t>
      </w:r>
      <w:proofErr w:type="spellStart"/>
      <w:r w:rsidR="005D0D82" w:rsidRPr="00705170">
        <w:rPr>
          <w:rFonts w:ascii="Times New Roman" w:hAnsi="Times New Roman" w:cs="Times New Roman"/>
        </w:rPr>
        <w:t>external</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undertaking</w:t>
      </w:r>
      <w:proofErr w:type="spellEnd"/>
      <w:r w:rsidR="00C6715D" w:rsidRPr="00705170">
        <w:rPr>
          <w:rFonts w:ascii="Times New Roman" w:hAnsi="Times New Roman" w:cs="Times New Roman"/>
        </w:rPr>
        <w:t xml:space="preserve">: </w:t>
      </w:r>
      <w:proofErr w:type="spellStart"/>
      <w:r w:rsidR="009E2323" w:rsidRPr="00705170">
        <w:rPr>
          <w:rFonts w:ascii="Times New Roman" w:hAnsi="Times New Roman" w:cs="Times New Roman"/>
        </w:rPr>
        <w:t>For</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example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d</w:t>
      </w:r>
      <w:r w:rsidR="00C6715D" w:rsidRPr="00705170">
        <w:rPr>
          <w:rFonts w:ascii="Times New Roman" w:hAnsi="Times New Roman" w:cs="Times New Roman"/>
        </w:rPr>
        <w:t>irectors</w:t>
      </w:r>
      <w:proofErr w:type="spellEnd"/>
      <w:r w:rsidR="00C6715D" w:rsidRPr="00705170">
        <w:rPr>
          <w:rFonts w:ascii="Times New Roman" w:hAnsi="Times New Roman" w:cs="Times New Roman"/>
        </w:rPr>
        <w:t xml:space="preserve"> can </w:t>
      </w:r>
      <w:proofErr w:type="spellStart"/>
      <w:r w:rsidR="00C6715D" w:rsidRPr="00705170">
        <w:rPr>
          <w:rFonts w:ascii="Times New Roman" w:hAnsi="Times New Roman" w:cs="Times New Roman"/>
        </w:rPr>
        <w:t>simply</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sue</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that</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shareholder</w:t>
      </w:r>
      <w:proofErr w:type="spellEnd"/>
      <w:r w:rsidR="00C6715D" w:rsidRPr="00705170">
        <w:rPr>
          <w:rFonts w:ascii="Times New Roman" w:hAnsi="Times New Roman" w:cs="Times New Roman"/>
        </w:rPr>
        <w:t xml:space="preserve"> on </w:t>
      </w:r>
      <w:proofErr w:type="spellStart"/>
      <w:r w:rsidR="00C6715D" w:rsidRPr="00705170">
        <w:rPr>
          <w:rFonts w:ascii="Times New Roman" w:hAnsi="Times New Roman" w:cs="Times New Roman"/>
        </w:rPr>
        <w:t>behalf</w:t>
      </w:r>
      <w:proofErr w:type="spellEnd"/>
      <w:r w:rsidR="00C6715D" w:rsidRPr="00705170">
        <w:rPr>
          <w:rFonts w:ascii="Times New Roman" w:hAnsi="Times New Roman" w:cs="Times New Roman"/>
        </w:rPr>
        <w:t xml:space="preserve"> of </w:t>
      </w:r>
      <w:proofErr w:type="spellStart"/>
      <w:r w:rsidR="00C6715D" w:rsidRPr="00705170">
        <w:rPr>
          <w:rFonts w:ascii="Times New Roman" w:hAnsi="Times New Roman" w:cs="Times New Roman"/>
        </w:rPr>
        <w:t>the</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corporation</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for</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defamation</w:t>
      </w:r>
      <w:proofErr w:type="spellEnd"/>
      <w:r w:rsidR="00057C4C" w:rsidRPr="00705170">
        <w:rPr>
          <w:rStyle w:val="DipnotBavurusu"/>
          <w:rFonts w:ascii="Times New Roman" w:hAnsi="Times New Roman" w:cs="Times New Roman"/>
        </w:rPr>
        <w:footnoteReference w:id="245"/>
      </w:r>
      <w:r w:rsidR="00057C4C" w:rsidRPr="00705170">
        <w:rPr>
          <w:rFonts w:ascii="Times New Roman" w:hAnsi="Times New Roman" w:cs="Times New Roman"/>
        </w:rPr>
        <w:t xml:space="preserve"> (</w:t>
      </w:r>
      <w:proofErr w:type="spellStart"/>
      <w:r w:rsidR="00057C4C" w:rsidRPr="00705170">
        <w:rPr>
          <w:rFonts w:ascii="Times New Roman" w:hAnsi="Times New Roman" w:cs="Times New Roman"/>
        </w:rPr>
        <w:t>or</w:t>
      </w:r>
      <w:proofErr w:type="spellEnd"/>
      <w:r w:rsidR="00057C4C" w:rsidRPr="00705170">
        <w:rPr>
          <w:rFonts w:ascii="Times New Roman" w:hAnsi="Times New Roman" w:cs="Times New Roman"/>
        </w:rPr>
        <w:t xml:space="preserve"> </w:t>
      </w:r>
      <w:proofErr w:type="spellStart"/>
      <w:r w:rsidR="00057C4C" w:rsidRPr="00705170">
        <w:rPr>
          <w:rFonts w:ascii="Times New Roman" w:hAnsi="Times New Roman" w:cs="Times New Roman"/>
        </w:rPr>
        <w:t>sue</w:t>
      </w:r>
      <w:proofErr w:type="spellEnd"/>
      <w:r w:rsidR="00057C4C" w:rsidRPr="00705170">
        <w:rPr>
          <w:rFonts w:ascii="Times New Roman" w:hAnsi="Times New Roman" w:cs="Times New Roman"/>
        </w:rPr>
        <w:t xml:space="preserve"> </w:t>
      </w:r>
      <w:proofErr w:type="spellStart"/>
      <w:r w:rsidR="00057C4C" w:rsidRPr="00705170">
        <w:rPr>
          <w:rFonts w:ascii="Times New Roman" w:hAnsi="Times New Roman" w:cs="Times New Roman"/>
        </w:rPr>
        <w:t>under</w:t>
      </w:r>
      <w:proofErr w:type="spellEnd"/>
      <w:r w:rsidR="00057C4C" w:rsidRPr="00705170">
        <w:rPr>
          <w:rFonts w:ascii="Times New Roman" w:hAnsi="Times New Roman" w:cs="Times New Roman"/>
        </w:rPr>
        <w:t xml:space="preserve"> </w:t>
      </w:r>
      <w:proofErr w:type="spellStart"/>
      <w:r w:rsidR="00057C4C" w:rsidRPr="00705170">
        <w:rPr>
          <w:rFonts w:ascii="Times New Roman" w:hAnsi="Times New Roman" w:cs="Times New Roman"/>
        </w:rPr>
        <w:t>any</w:t>
      </w:r>
      <w:proofErr w:type="spellEnd"/>
      <w:r w:rsidR="00057C4C" w:rsidRPr="00705170">
        <w:rPr>
          <w:rFonts w:ascii="Times New Roman" w:hAnsi="Times New Roman" w:cs="Times New Roman"/>
        </w:rPr>
        <w:t xml:space="preserve"> </w:t>
      </w:r>
      <w:proofErr w:type="spellStart"/>
      <w:r w:rsidR="00057C4C" w:rsidRPr="00705170">
        <w:rPr>
          <w:rFonts w:ascii="Times New Roman" w:hAnsi="Times New Roman" w:cs="Times New Roman"/>
        </w:rPr>
        <w:t>other</w:t>
      </w:r>
      <w:proofErr w:type="spellEnd"/>
      <w:r w:rsidR="00057C4C" w:rsidRPr="00705170">
        <w:rPr>
          <w:rFonts w:ascii="Times New Roman" w:hAnsi="Times New Roman" w:cs="Times New Roman"/>
        </w:rPr>
        <w:t xml:space="preserve"> </w:t>
      </w:r>
      <w:proofErr w:type="spellStart"/>
      <w:r w:rsidR="00057C4C" w:rsidRPr="00705170">
        <w:rPr>
          <w:rFonts w:ascii="Times New Roman" w:hAnsi="Times New Roman" w:cs="Times New Roman"/>
        </w:rPr>
        <w:t>tort</w:t>
      </w:r>
      <w:proofErr w:type="spellEnd"/>
      <w:r w:rsidR="00057C4C" w:rsidRPr="00705170">
        <w:rPr>
          <w:rFonts w:ascii="Times New Roman" w:hAnsi="Times New Roman" w:cs="Times New Roman"/>
        </w:rPr>
        <w:t xml:space="preserve"> </w:t>
      </w:r>
      <w:proofErr w:type="spellStart"/>
      <w:r w:rsidR="00057C4C" w:rsidRPr="00705170">
        <w:rPr>
          <w:rFonts w:ascii="Times New Roman" w:hAnsi="Times New Roman" w:cs="Times New Roman"/>
        </w:rPr>
        <w:t>or</w:t>
      </w:r>
      <w:proofErr w:type="spellEnd"/>
      <w:r w:rsidR="00057C4C" w:rsidRPr="00705170">
        <w:rPr>
          <w:rFonts w:ascii="Times New Roman" w:hAnsi="Times New Roman" w:cs="Times New Roman"/>
        </w:rPr>
        <w:t xml:space="preserve"> </w:t>
      </w:r>
      <w:proofErr w:type="spellStart"/>
      <w:r w:rsidR="00057C4C" w:rsidRPr="00705170">
        <w:rPr>
          <w:rFonts w:ascii="Times New Roman" w:hAnsi="Times New Roman" w:cs="Times New Roman"/>
        </w:rPr>
        <w:t>contract</w:t>
      </w:r>
      <w:proofErr w:type="spellEnd"/>
      <w:r w:rsidR="00057C4C" w:rsidRPr="00705170">
        <w:rPr>
          <w:rFonts w:ascii="Times New Roman" w:hAnsi="Times New Roman" w:cs="Times New Roman"/>
        </w:rPr>
        <w:t xml:space="preserve"> </w:t>
      </w:r>
      <w:proofErr w:type="spellStart"/>
      <w:r w:rsidR="00057C4C" w:rsidRPr="00705170">
        <w:rPr>
          <w:rFonts w:ascii="Times New Roman" w:hAnsi="Times New Roman" w:cs="Times New Roman"/>
        </w:rPr>
        <w:t>claim</w:t>
      </w:r>
      <w:proofErr w:type="spellEnd"/>
      <w:r w:rsidR="00057C4C" w:rsidRPr="00705170">
        <w:rPr>
          <w:rFonts w:ascii="Times New Roman" w:hAnsi="Times New Roman" w:cs="Times New Roman"/>
        </w:rPr>
        <w:t>)</w:t>
      </w:r>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or</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choose</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to</w:t>
      </w:r>
      <w:proofErr w:type="spellEnd"/>
      <w:r w:rsidR="00C6715D" w:rsidRPr="00705170">
        <w:rPr>
          <w:rFonts w:ascii="Times New Roman" w:hAnsi="Times New Roman" w:cs="Times New Roman"/>
        </w:rPr>
        <w:t xml:space="preserve"> buy- </w:t>
      </w:r>
      <w:proofErr w:type="spellStart"/>
      <w:r w:rsidR="00C6715D" w:rsidRPr="00705170">
        <w:rPr>
          <w:rFonts w:ascii="Times New Roman" w:hAnsi="Times New Roman" w:cs="Times New Roman"/>
        </w:rPr>
        <w:t>out</w:t>
      </w:r>
      <w:proofErr w:type="spellEnd"/>
      <w:r w:rsidR="00C6715D" w:rsidRPr="00705170">
        <w:rPr>
          <w:rFonts w:ascii="Times New Roman" w:hAnsi="Times New Roman" w:cs="Times New Roman"/>
        </w:rPr>
        <w:t xml:space="preserve"> his </w:t>
      </w:r>
      <w:proofErr w:type="spellStart"/>
      <w:r w:rsidR="00C6715D" w:rsidRPr="00705170">
        <w:rPr>
          <w:rFonts w:ascii="Times New Roman" w:hAnsi="Times New Roman" w:cs="Times New Roman"/>
        </w:rPr>
        <w:t>shares</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or</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adopt</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alternative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schemes</w:t>
      </w:r>
      <w:proofErr w:type="spellEnd"/>
      <w:r w:rsidR="009E2323" w:rsidRPr="00705170">
        <w:rPr>
          <w:rFonts w:ascii="Times New Roman" w:hAnsi="Times New Roman" w:cs="Times New Roman"/>
        </w:rPr>
        <w:t>)</w:t>
      </w:r>
      <w:r w:rsidR="009E2323" w:rsidRPr="00705170">
        <w:rPr>
          <w:rStyle w:val="DipnotBavurusu"/>
          <w:rFonts w:ascii="Times New Roman" w:hAnsi="Times New Roman" w:cs="Times New Roman"/>
        </w:rPr>
        <w:footnoteReference w:id="246"/>
      </w:r>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However</w:t>
      </w:r>
      <w:proofErr w:type="spellEnd"/>
      <w:r w:rsidR="00C6715D" w:rsidRPr="00705170">
        <w:rPr>
          <w:rFonts w:ascii="Times New Roman" w:hAnsi="Times New Roman" w:cs="Times New Roman"/>
        </w:rPr>
        <w:t xml:space="preserve">, as </w:t>
      </w:r>
      <w:proofErr w:type="spellStart"/>
      <w:r w:rsidR="00C6715D" w:rsidRPr="00705170">
        <w:rPr>
          <w:rFonts w:ascii="Times New Roman" w:hAnsi="Times New Roman" w:cs="Times New Roman"/>
        </w:rPr>
        <w:t>noted</w:t>
      </w:r>
      <w:proofErr w:type="spellEnd"/>
      <w:r w:rsidR="00C6715D" w:rsidRPr="00705170">
        <w:rPr>
          <w:rFonts w:ascii="Times New Roman" w:hAnsi="Times New Roman" w:cs="Times New Roman"/>
        </w:rPr>
        <w:t xml:space="preserve"> in </w:t>
      </w:r>
      <w:proofErr w:type="spellStart"/>
      <w:r w:rsidR="00C6715D" w:rsidRPr="00705170">
        <w:rPr>
          <w:rFonts w:ascii="Times New Roman" w:hAnsi="Times New Roman" w:cs="Times New Roman"/>
        </w:rPr>
        <w:t>this</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Chapter</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the</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extralegal</w:t>
      </w:r>
      <w:proofErr w:type="spellEnd"/>
      <w:r w:rsidR="00C6715D" w:rsidRPr="00705170">
        <w:rPr>
          <w:rFonts w:ascii="Times New Roman" w:hAnsi="Times New Roman" w:cs="Times New Roman"/>
        </w:rPr>
        <w:t xml:space="preserve"> </w:t>
      </w:r>
      <w:proofErr w:type="spellStart"/>
      <w:r w:rsidR="00C6715D" w:rsidRPr="00705170">
        <w:rPr>
          <w:rFonts w:ascii="Times New Roman" w:hAnsi="Times New Roman" w:cs="Times New Roman"/>
        </w:rPr>
        <w:t>perspective</w:t>
      </w:r>
      <w:proofErr w:type="spellEnd"/>
      <w:r w:rsidR="00C6715D" w:rsidRPr="00705170">
        <w:rPr>
          <w:rFonts w:ascii="Times New Roman" w:hAnsi="Times New Roman" w:cs="Times New Roman"/>
        </w:rPr>
        <w:t xml:space="preserve"> of </w:t>
      </w:r>
      <w:proofErr w:type="spellStart"/>
      <w:r w:rsidR="009E2323" w:rsidRPr="00705170">
        <w:rPr>
          <w:rFonts w:ascii="Times New Roman" w:hAnsi="Times New Roman" w:cs="Times New Roman"/>
        </w:rPr>
        <w:t>inf</w:t>
      </w:r>
      <w:r w:rsidR="003E07DF" w:rsidRPr="00705170">
        <w:rPr>
          <w:rFonts w:ascii="Times New Roman" w:hAnsi="Times New Roman" w:cs="Times New Roman"/>
        </w:rPr>
        <w:t>l</w:t>
      </w:r>
      <w:r w:rsidR="009E2323" w:rsidRPr="00705170">
        <w:rPr>
          <w:rFonts w:ascii="Times New Roman" w:hAnsi="Times New Roman" w:cs="Times New Roman"/>
        </w:rPr>
        <w:t>uence</w:t>
      </w:r>
      <w:proofErr w:type="spellEnd"/>
      <w:r w:rsidR="009E2323" w:rsidRPr="00705170">
        <w:rPr>
          <w:rFonts w:ascii="Times New Roman" w:hAnsi="Times New Roman" w:cs="Times New Roman"/>
        </w:rPr>
        <w:t xml:space="preserve"> is </w:t>
      </w:r>
      <w:proofErr w:type="spellStart"/>
      <w:r w:rsidR="009E2323" w:rsidRPr="00705170">
        <w:rPr>
          <w:rFonts w:ascii="Times New Roman" w:hAnsi="Times New Roman" w:cs="Times New Roman"/>
        </w:rPr>
        <w:t>the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notion</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that</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avoids</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the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perfect</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functioning</w:t>
      </w:r>
      <w:proofErr w:type="spellEnd"/>
      <w:r w:rsidR="009E2323" w:rsidRPr="00705170">
        <w:rPr>
          <w:rFonts w:ascii="Times New Roman" w:hAnsi="Times New Roman" w:cs="Times New Roman"/>
        </w:rPr>
        <w:t xml:space="preserve"> of </w:t>
      </w:r>
      <w:proofErr w:type="spellStart"/>
      <w:r w:rsidR="009E2323" w:rsidRPr="00705170">
        <w:rPr>
          <w:rFonts w:ascii="Times New Roman" w:hAnsi="Times New Roman" w:cs="Times New Roman"/>
        </w:rPr>
        <w:t>the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corporate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governance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system</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especially</w:t>
      </w:r>
      <w:proofErr w:type="spellEnd"/>
      <w:r w:rsidR="009E2323" w:rsidRPr="00705170">
        <w:rPr>
          <w:rFonts w:ascii="Times New Roman" w:hAnsi="Times New Roman" w:cs="Times New Roman"/>
        </w:rPr>
        <w:t xml:space="preserve"> in </w:t>
      </w:r>
      <w:proofErr w:type="spellStart"/>
      <w:r w:rsidR="009E2323" w:rsidRPr="00705170">
        <w:rPr>
          <w:rFonts w:ascii="Times New Roman" w:hAnsi="Times New Roman" w:cs="Times New Roman"/>
        </w:rPr>
        <w:t>corporations</w:t>
      </w:r>
      <w:proofErr w:type="spellEnd"/>
      <w:r w:rsidR="009E2323" w:rsidRPr="00705170">
        <w:rPr>
          <w:rFonts w:ascii="Times New Roman" w:hAnsi="Times New Roman" w:cs="Times New Roman"/>
        </w:rPr>
        <w:t xml:space="preserve"> </w:t>
      </w:r>
      <w:r w:rsidR="00124583" w:rsidRPr="00705170">
        <w:rPr>
          <w:rFonts w:ascii="Times New Roman" w:hAnsi="Times New Roman" w:cs="Times New Roman"/>
        </w:rPr>
        <w:t xml:space="preserve">in </w:t>
      </w:r>
      <w:proofErr w:type="spellStart"/>
      <w:r w:rsidR="009E2323" w:rsidRPr="00705170">
        <w:rPr>
          <w:rFonts w:ascii="Times New Roman" w:hAnsi="Times New Roman" w:cs="Times New Roman"/>
        </w:rPr>
        <w:t>which</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shareholders</w:t>
      </w:r>
      <w:proofErr w:type="spellEnd"/>
      <w:r w:rsidR="009E2323" w:rsidRPr="00705170">
        <w:rPr>
          <w:rFonts w:ascii="Times New Roman" w:hAnsi="Times New Roman" w:cs="Times New Roman"/>
        </w:rPr>
        <w:t xml:space="preserve"> holding a </w:t>
      </w:r>
      <w:proofErr w:type="spellStart"/>
      <w:r w:rsidR="009E2323" w:rsidRPr="00705170">
        <w:rPr>
          <w:rFonts w:ascii="Times New Roman" w:hAnsi="Times New Roman" w:cs="Times New Roman"/>
        </w:rPr>
        <w:t>large</w:t>
      </w:r>
      <w:proofErr w:type="spellEnd"/>
      <w:r w:rsidR="009E2323" w:rsidRPr="00705170">
        <w:rPr>
          <w:rFonts w:ascii="Times New Roman" w:hAnsi="Times New Roman" w:cs="Times New Roman"/>
        </w:rPr>
        <w:t xml:space="preserve"> </w:t>
      </w:r>
      <w:proofErr w:type="spellStart"/>
      <w:r w:rsidR="009E2323" w:rsidRPr="00705170">
        <w:rPr>
          <w:rFonts w:ascii="Times New Roman" w:hAnsi="Times New Roman" w:cs="Times New Roman"/>
        </w:rPr>
        <w:t>stake</w:t>
      </w:r>
      <w:proofErr w:type="spellEnd"/>
      <w:r w:rsidR="009E2323" w:rsidRPr="00705170">
        <w:rPr>
          <w:rFonts w:ascii="Times New Roman" w:hAnsi="Times New Roman" w:cs="Times New Roman"/>
        </w:rPr>
        <w:t xml:space="preserve"> is </w:t>
      </w:r>
      <w:proofErr w:type="spellStart"/>
      <w:r w:rsidR="009E2323" w:rsidRPr="00705170">
        <w:rPr>
          <w:rFonts w:ascii="Times New Roman" w:hAnsi="Times New Roman" w:cs="Times New Roman"/>
        </w:rPr>
        <w:t>present</w:t>
      </w:r>
      <w:proofErr w:type="spellEnd"/>
      <w:r w:rsidR="009E2323" w:rsidRPr="00705170">
        <w:rPr>
          <w:rFonts w:ascii="Times New Roman" w:hAnsi="Times New Roman" w:cs="Times New Roman"/>
        </w:rPr>
        <w:t>.</w:t>
      </w:r>
    </w:p>
    <w:p w14:paraId="172922D7" w14:textId="7C2C5B64" w:rsidR="006F5205" w:rsidRPr="00F91D2C" w:rsidRDefault="000317BF" w:rsidP="00F91D2C">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rationale</w:t>
      </w:r>
      <w:proofErr w:type="spellEnd"/>
      <w:r w:rsidR="00BA2D4D" w:rsidRPr="00705170">
        <w:rPr>
          <w:rFonts w:ascii="Times New Roman" w:hAnsi="Times New Roman" w:cs="Times New Roman"/>
        </w:rPr>
        <w:t xml:space="preserve"> of </w:t>
      </w:r>
      <w:proofErr w:type="spellStart"/>
      <w:r w:rsidR="00BA2D4D" w:rsidRPr="00705170">
        <w:rPr>
          <w:rFonts w:ascii="Times New Roman" w:hAnsi="Times New Roman" w:cs="Times New Roman"/>
        </w:rPr>
        <w:t>the</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transaction</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based</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system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suggest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00BA2D4D" w:rsidRPr="00705170">
        <w:rPr>
          <w:rFonts w:ascii="Times New Roman" w:hAnsi="Times New Roman" w:cs="Times New Roman"/>
        </w:rPr>
        <w:t>extraction</w:t>
      </w:r>
      <w:proofErr w:type="spellEnd"/>
      <w:r w:rsidR="00BA2D4D" w:rsidRPr="00705170">
        <w:rPr>
          <w:rFonts w:ascii="Times New Roman" w:hAnsi="Times New Roman" w:cs="Times New Roman"/>
        </w:rPr>
        <w:t xml:space="preserve"> of </w:t>
      </w:r>
      <w:proofErr w:type="spellStart"/>
      <w:r w:rsidR="00BA2D4D" w:rsidRPr="00705170">
        <w:rPr>
          <w:rFonts w:ascii="Times New Roman" w:hAnsi="Times New Roman" w:cs="Times New Roman"/>
        </w:rPr>
        <w:t>non</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pecuniary</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private</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benefits</w:t>
      </w:r>
      <w:proofErr w:type="spellEnd"/>
      <w:r w:rsidR="00BA2D4D" w:rsidRPr="00705170">
        <w:rPr>
          <w:rFonts w:ascii="Times New Roman" w:hAnsi="Times New Roman" w:cs="Times New Roman"/>
        </w:rPr>
        <w:t xml:space="preserve"> can </w:t>
      </w:r>
      <w:proofErr w:type="spellStart"/>
      <w:r w:rsidR="00BA2D4D" w:rsidRPr="00705170">
        <w:rPr>
          <w:rFonts w:ascii="Times New Roman" w:hAnsi="Times New Roman" w:cs="Times New Roman"/>
        </w:rPr>
        <w:t>also</w:t>
      </w:r>
      <w:proofErr w:type="spellEnd"/>
      <w:r w:rsidR="00BA2D4D" w:rsidRPr="00705170">
        <w:rPr>
          <w:rFonts w:ascii="Times New Roman" w:hAnsi="Times New Roman" w:cs="Times New Roman"/>
        </w:rPr>
        <w:t xml:space="preserve"> be </w:t>
      </w:r>
      <w:proofErr w:type="spellStart"/>
      <w:r w:rsidR="00BA2D4D" w:rsidRPr="00705170">
        <w:rPr>
          <w:rFonts w:ascii="Times New Roman" w:hAnsi="Times New Roman" w:cs="Times New Roman"/>
        </w:rPr>
        <w:t>seen</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permissible</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and</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legitimate</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if</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properly</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justified</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ex</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ante</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via</w:t>
      </w:r>
      <w:proofErr w:type="spellEnd"/>
      <w:r w:rsidR="00BA2D4D" w:rsidRPr="00705170">
        <w:rPr>
          <w:rFonts w:ascii="Times New Roman" w:hAnsi="Times New Roman" w:cs="Times New Roman"/>
        </w:rPr>
        <w:t xml:space="preserve"> board </w:t>
      </w:r>
      <w:proofErr w:type="spellStart"/>
      <w:r w:rsidR="00BA2D4D" w:rsidRPr="00705170">
        <w:rPr>
          <w:rFonts w:ascii="Times New Roman" w:hAnsi="Times New Roman" w:cs="Times New Roman"/>
        </w:rPr>
        <w:t>or</w:t>
      </w:r>
      <w:proofErr w:type="spellEnd"/>
      <w:r w:rsidR="00BA2D4D" w:rsidRPr="00705170">
        <w:rPr>
          <w:rFonts w:ascii="Times New Roman" w:hAnsi="Times New Roman" w:cs="Times New Roman"/>
        </w:rPr>
        <w:t xml:space="preserve"> general </w:t>
      </w:r>
      <w:proofErr w:type="spellStart"/>
      <w:r w:rsidR="00BA2D4D" w:rsidRPr="00705170">
        <w:rPr>
          <w:rFonts w:ascii="Times New Roman" w:hAnsi="Times New Roman" w:cs="Times New Roman"/>
        </w:rPr>
        <w:t>assembly</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resolutions</w:t>
      </w:r>
      <w:proofErr w:type="spellEnd"/>
      <w:r w:rsidR="00430429" w:rsidRPr="00705170">
        <w:rPr>
          <w:rFonts w:ascii="Times New Roman" w:hAnsi="Times New Roman" w:cs="Times New Roman"/>
        </w:rPr>
        <w:t xml:space="preserve"> (</w:t>
      </w:r>
      <w:proofErr w:type="spellStart"/>
      <w:r w:rsidR="00430429" w:rsidRPr="00705170">
        <w:rPr>
          <w:rFonts w:ascii="Times New Roman" w:hAnsi="Times New Roman" w:cs="Times New Roman"/>
        </w:rPr>
        <w:t>i.e</w:t>
      </w:r>
      <w:proofErr w:type="spellEnd"/>
      <w:r w:rsidR="00430429" w:rsidRPr="00705170">
        <w:rPr>
          <w:rFonts w:ascii="Times New Roman" w:hAnsi="Times New Roman" w:cs="Times New Roman"/>
        </w:rPr>
        <w:t xml:space="preserve">., </w:t>
      </w:r>
      <w:proofErr w:type="spellStart"/>
      <w:r w:rsidR="00430429" w:rsidRPr="00705170">
        <w:rPr>
          <w:rFonts w:ascii="Times New Roman" w:hAnsi="Times New Roman" w:cs="Times New Roman"/>
        </w:rPr>
        <w:t>internal</w:t>
      </w:r>
      <w:proofErr w:type="spellEnd"/>
      <w:r w:rsidR="00430429" w:rsidRPr="00705170">
        <w:rPr>
          <w:rFonts w:ascii="Times New Roman" w:hAnsi="Times New Roman" w:cs="Times New Roman"/>
        </w:rPr>
        <w:t xml:space="preserve"> </w:t>
      </w:r>
      <w:proofErr w:type="spellStart"/>
      <w:r w:rsidR="00430429" w:rsidRPr="00705170">
        <w:rPr>
          <w:rFonts w:ascii="Times New Roman" w:hAnsi="Times New Roman" w:cs="Times New Roman"/>
        </w:rPr>
        <w:t>corporate</w:t>
      </w:r>
      <w:proofErr w:type="spellEnd"/>
      <w:r w:rsidR="00430429" w:rsidRPr="00705170">
        <w:rPr>
          <w:rFonts w:ascii="Times New Roman" w:hAnsi="Times New Roman" w:cs="Times New Roman"/>
        </w:rPr>
        <w:t xml:space="preserve"> </w:t>
      </w:r>
      <w:proofErr w:type="spellStart"/>
      <w:r w:rsidR="00430429" w:rsidRPr="00705170">
        <w:rPr>
          <w:rFonts w:ascii="Times New Roman" w:hAnsi="Times New Roman" w:cs="Times New Roman"/>
        </w:rPr>
        <w:t>procedures</w:t>
      </w:r>
      <w:proofErr w:type="spellEnd"/>
      <w:r w:rsidR="00430429" w:rsidRPr="00705170">
        <w:rPr>
          <w:rFonts w:ascii="Times New Roman" w:hAnsi="Times New Roman" w:cs="Times New Roman"/>
        </w:rPr>
        <w:t>)</w:t>
      </w:r>
      <w:r w:rsidR="002E23DC" w:rsidRPr="00705170">
        <w:rPr>
          <w:rFonts w:ascii="Times New Roman" w:hAnsi="Times New Roman" w:cs="Times New Roman"/>
        </w:rPr>
        <w:t>,</w:t>
      </w:r>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the</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nature</w:t>
      </w:r>
      <w:proofErr w:type="spellEnd"/>
      <w:r w:rsidR="00BA2D4D" w:rsidRPr="00705170">
        <w:rPr>
          <w:rFonts w:ascii="Times New Roman" w:hAnsi="Times New Roman" w:cs="Times New Roman"/>
        </w:rPr>
        <w:t xml:space="preserve"> of </w:t>
      </w:r>
      <w:proofErr w:type="spellStart"/>
      <w:r w:rsidR="00BA2D4D" w:rsidRPr="00705170">
        <w:rPr>
          <w:rFonts w:ascii="Times New Roman" w:hAnsi="Times New Roman" w:cs="Times New Roman"/>
        </w:rPr>
        <w:t>non</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pecuniary</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private</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benefits</w:t>
      </w:r>
      <w:proofErr w:type="spellEnd"/>
      <w:r w:rsidR="00BA2D4D" w:rsidRPr="00705170">
        <w:rPr>
          <w:rFonts w:ascii="Times New Roman" w:hAnsi="Times New Roman" w:cs="Times New Roman"/>
        </w:rPr>
        <w:t xml:space="preserve"> do not </w:t>
      </w:r>
      <w:proofErr w:type="spellStart"/>
      <w:r w:rsidR="00BA2D4D" w:rsidRPr="00705170">
        <w:rPr>
          <w:rFonts w:ascii="Times New Roman" w:hAnsi="Times New Roman" w:cs="Times New Roman"/>
        </w:rPr>
        <w:t>let</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this</w:t>
      </w:r>
      <w:proofErr w:type="spellEnd"/>
      <w:r w:rsidR="00BA2D4D" w:rsidRPr="00705170">
        <w:rPr>
          <w:rFonts w:ascii="Times New Roman" w:hAnsi="Times New Roman" w:cs="Times New Roman"/>
        </w:rPr>
        <w:t xml:space="preserve"> </w:t>
      </w:r>
      <w:proofErr w:type="spellStart"/>
      <w:r w:rsidR="00BA2D4D" w:rsidRPr="00705170">
        <w:rPr>
          <w:rFonts w:ascii="Times New Roman" w:hAnsi="Times New Roman" w:cs="Times New Roman"/>
        </w:rPr>
        <w:t>rationale</w:t>
      </w:r>
      <w:proofErr w:type="spellEnd"/>
      <w:r w:rsidR="00BA2D4D" w:rsidRPr="00705170">
        <w:rPr>
          <w:rFonts w:ascii="Times New Roman" w:hAnsi="Times New Roman" w:cs="Times New Roman"/>
        </w:rPr>
        <w:t xml:space="preserve"> be </w:t>
      </w:r>
      <w:proofErr w:type="spellStart"/>
      <w:r w:rsidR="00BA2D4D" w:rsidRPr="00705170">
        <w:rPr>
          <w:rFonts w:ascii="Times New Roman" w:hAnsi="Times New Roman" w:cs="Times New Roman"/>
        </w:rPr>
        <w:t>implemented</w:t>
      </w:r>
      <w:proofErr w:type="spellEnd"/>
      <w:r w:rsidR="00BA2D4D" w:rsidRPr="00705170">
        <w:rPr>
          <w:rFonts w:ascii="Times New Roman" w:hAnsi="Times New Roman" w:cs="Times New Roman"/>
        </w:rPr>
        <w:t xml:space="preserve"> </w:t>
      </w:r>
      <w:r w:rsidR="004C1A12" w:rsidRPr="00705170">
        <w:rPr>
          <w:rFonts w:ascii="Times New Roman" w:hAnsi="Times New Roman" w:cs="Times New Roman"/>
        </w:rPr>
        <w:t xml:space="preserve">in </w:t>
      </w:r>
      <w:proofErr w:type="spellStart"/>
      <w:r w:rsidR="004C1A12" w:rsidRPr="00705170">
        <w:rPr>
          <w:rFonts w:ascii="Times New Roman" w:hAnsi="Times New Roman" w:cs="Times New Roman"/>
        </w:rPr>
        <w:t>jurisdictions</w:t>
      </w:r>
      <w:proofErr w:type="spellEnd"/>
      <w:r w:rsidR="004C1A12" w:rsidRPr="00705170">
        <w:rPr>
          <w:rFonts w:ascii="Times New Roman" w:hAnsi="Times New Roman" w:cs="Times New Roman"/>
        </w:rPr>
        <w:t xml:space="preserve"> </w:t>
      </w:r>
      <w:proofErr w:type="spellStart"/>
      <w:r w:rsidR="004C1A12" w:rsidRPr="00705170">
        <w:rPr>
          <w:rFonts w:ascii="Times New Roman" w:hAnsi="Times New Roman" w:cs="Times New Roman"/>
        </w:rPr>
        <w:t>such</w:t>
      </w:r>
      <w:proofErr w:type="spellEnd"/>
      <w:r w:rsidR="004C1A12" w:rsidRPr="00705170">
        <w:rPr>
          <w:rFonts w:ascii="Times New Roman" w:hAnsi="Times New Roman" w:cs="Times New Roman"/>
        </w:rPr>
        <w:t xml:space="preserve"> as </w:t>
      </w:r>
      <w:proofErr w:type="spellStart"/>
      <w:r w:rsidR="004C1A12" w:rsidRPr="00705170">
        <w:rPr>
          <w:rFonts w:ascii="Times New Roman" w:hAnsi="Times New Roman" w:cs="Times New Roman"/>
        </w:rPr>
        <w:t>Turkey</w:t>
      </w:r>
      <w:proofErr w:type="spellEnd"/>
      <w:r w:rsidR="004C1A12" w:rsidRPr="00705170">
        <w:rPr>
          <w:rFonts w:ascii="Times New Roman" w:hAnsi="Times New Roman" w:cs="Times New Roman"/>
        </w:rPr>
        <w:t xml:space="preserve">, </w:t>
      </w:r>
      <w:r w:rsidR="004C1A12" w:rsidRPr="00705170">
        <w:rPr>
          <w:rFonts w:ascii="Times New Roman" w:hAnsi="Times New Roman" w:cs="Times New Roman"/>
        </w:rPr>
        <w:lastRenderedPageBreak/>
        <w:t xml:space="preserve">but </w:t>
      </w:r>
      <w:proofErr w:type="spellStart"/>
      <w:r w:rsidR="004C1A12" w:rsidRPr="00705170">
        <w:rPr>
          <w:rFonts w:ascii="Times New Roman" w:hAnsi="Times New Roman" w:cs="Times New Roman"/>
        </w:rPr>
        <w:t>may</w:t>
      </w:r>
      <w:proofErr w:type="spellEnd"/>
      <w:r w:rsidR="004C1A12" w:rsidRPr="00705170">
        <w:rPr>
          <w:rFonts w:ascii="Times New Roman" w:hAnsi="Times New Roman" w:cs="Times New Roman"/>
        </w:rPr>
        <w:t xml:space="preserve"> be </w:t>
      </w:r>
      <w:proofErr w:type="spellStart"/>
      <w:r w:rsidR="004C1A12" w:rsidRPr="00705170">
        <w:rPr>
          <w:rFonts w:ascii="Times New Roman" w:hAnsi="Times New Roman" w:cs="Times New Roman"/>
        </w:rPr>
        <w:t>implemented</w:t>
      </w:r>
      <w:proofErr w:type="spellEnd"/>
      <w:r w:rsidR="004C1A12" w:rsidRPr="00705170">
        <w:rPr>
          <w:rFonts w:ascii="Times New Roman" w:hAnsi="Times New Roman" w:cs="Times New Roman"/>
        </w:rPr>
        <w:t xml:space="preserve"> in </w:t>
      </w:r>
      <w:proofErr w:type="spellStart"/>
      <w:r w:rsidR="004C1A12" w:rsidRPr="00705170">
        <w:rPr>
          <w:rFonts w:ascii="Times New Roman" w:hAnsi="Times New Roman" w:cs="Times New Roman"/>
        </w:rPr>
        <w:t>ones</w:t>
      </w:r>
      <w:proofErr w:type="spellEnd"/>
      <w:r w:rsidR="004C1A12" w:rsidRPr="00705170">
        <w:rPr>
          <w:rFonts w:ascii="Times New Roman" w:hAnsi="Times New Roman" w:cs="Times New Roman"/>
        </w:rPr>
        <w:t xml:space="preserve"> </w:t>
      </w:r>
      <w:proofErr w:type="spellStart"/>
      <w:r w:rsidR="004C1A12" w:rsidRPr="00705170">
        <w:rPr>
          <w:rFonts w:ascii="Times New Roman" w:hAnsi="Times New Roman" w:cs="Times New Roman"/>
        </w:rPr>
        <w:t>like</w:t>
      </w:r>
      <w:proofErr w:type="spellEnd"/>
      <w:r w:rsidR="004C1A12" w:rsidRPr="00705170">
        <w:rPr>
          <w:rFonts w:ascii="Times New Roman" w:hAnsi="Times New Roman" w:cs="Times New Roman"/>
        </w:rPr>
        <w:t xml:space="preserve"> Delaware, as it </w:t>
      </w:r>
      <w:proofErr w:type="spellStart"/>
      <w:r w:rsidR="004C1A12" w:rsidRPr="00705170">
        <w:rPr>
          <w:rFonts w:ascii="Times New Roman" w:hAnsi="Times New Roman" w:cs="Times New Roman"/>
        </w:rPr>
        <w:t>will</w:t>
      </w:r>
      <w:proofErr w:type="spellEnd"/>
      <w:r w:rsidR="004C1A12" w:rsidRPr="00705170">
        <w:rPr>
          <w:rFonts w:ascii="Times New Roman" w:hAnsi="Times New Roman" w:cs="Times New Roman"/>
        </w:rPr>
        <w:t xml:space="preserve"> be </w:t>
      </w:r>
      <w:proofErr w:type="spellStart"/>
      <w:r w:rsidR="004C1A12" w:rsidRPr="00705170">
        <w:rPr>
          <w:rFonts w:ascii="Times New Roman" w:hAnsi="Times New Roman" w:cs="Times New Roman"/>
        </w:rPr>
        <w:t>further</w:t>
      </w:r>
      <w:proofErr w:type="spellEnd"/>
      <w:r w:rsidR="004C1A12" w:rsidRPr="00705170">
        <w:rPr>
          <w:rFonts w:ascii="Times New Roman" w:hAnsi="Times New Roman" w:cs="Times New Roman"/>
        </w:rPr>
        <w:t xml:space="preserve"> </w:t>
      </w:r>
      <w:proofErr w:type="spellStart"/>
      <w:r w:rsidR="004C1A12" w:rsidRPr="00705170">
        <w:rPr>
          <w:rFonts w:ascii="Times New Roman" w:hAnsi="Times New Roman" w:cs="Times New Roman"/>
        </w:rPr>
        <w:t>explained</w:t>
      </w:r>
      <w:proofErr w:type="spellEnd"/>
      <w:r w:rsidR="004C1A12" w:rsidRPr="00705170">
        <w:rPr>
          <w:rFonts w:ascii="Times New Roman" w:hAnsi="Times New Roman" w:cs="Times New Roman"/>
        </w:rPr>
        <w:t xml:space="preserve"> </w:t>
      </w:r>
      <w:proofErr w:type="spellStart"/>
      <w:r w:rsidR="0085756D">
        <w:rPr>
          <w:rFonts w:ascii="Times New Roman" w:hAnsi="Times New Roman" w:cs="Times New Roman"/>
        </w:rPr>
        <w:t>later</w:t>
      </w:r>
      <w:proofErr w:type="spellEnd"/>
      <w:r w:rsidR="004C1A12" w:rsidRPr="00705170">
        <w:rPr>
          <w:rFonts w:ascii="Times New Roman" w:hAnsi="Times New Roman" w:cs="Times New Roman"/>
        </w:rPr>
        <w:t>.</w:t>
      </w:r>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That</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being</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said</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this</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study</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advocates</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for</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linking</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this</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extraction</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with</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the</w:t>
      </w:r>
      <w:proofErr w:type="spellEnd"/>
      <w:r w:rsidR="00345817" w:rsidRPr="00705170">
        <w:rPr>
          <w:rFonts w:ascii="Times New Roman" w:hAnsi="Times New Roman" w:cs="Times New Roman"/>
        </w:rPr>
        <w:t xml:space="preserve"> </w:t>
      </w:r>
      <w:r w:rsidR="00775920" w:rsidRPr="00705170">
        <w:rPr>
          <w:rFonts w:ascii="Times New Roman" w:hAnsi="Times New Roman" w:cs="Times New Roman"/>
        </w:rPr>
        <w:t>“</w:t>
      </w:r>
      <w:proofErr w:type="spellStart"/>
      <w:r w:rsidR="00345817" w:rsidRPr="00705170">
        <w:rPr>
          <w:rFonts w:ascii="Times New Roman" w:hAnsi="Times New Roman" w:cs="Times New Roman"/>
        </w:rPr>
        <w:t>involuntary</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dissolution</w:t>
      </w:r>
      <w:proofErr w:type="spellEnd"/>
      <w:r w:rsidR="00775920" w:rsidRPr="00705170">
        <w:rPr>
          <w:rFonts w:ascii="Times New Roman" w:hAnsi="Times New Roman" w:cs="Times New Roman"/>
        </w:rPr>
        <w:t>”</w:t>
      </w:r>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statute</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to</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make</w:t>
      </w:r>
      <w:proofErr w:type="spellEnd"/>
      <w:r w:rsidR="00345817" w:rsidRPr="00705170">
        <w:rPr>
          <w:rFonts w:ascii="Times New Roman" w:hAnsi="Times New Roman" w:cs="Times New Roman"/>
        </w:rPr>
        <w:t xml:space="preserve"> sure </w:t>
      </w:r>
      <w:proofErr w:type="spellStart"/>
      <w:r w:rsidR="00345817" w:rsidRPr="00705170">
        <w:rPr>
          <w:rFonts w:ascii="Times New Roman" w:hAnsi="Times New Roman" w:cs="Times New Roman"/>
        </w:rPr>
        <w:t>that</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there</w:t>
      </w:r>
      <w:proofErr w:type="spellEnd"/>
      <w:r w:rsidR="00345817" w:rsidRPr="00705170">
        <w:rPr>
          <w:rFonts w:ascii="Times New Roman" w:hAnsi="Times New Roman" w:cs="Times New Roman"/>
        </w:rPr>
        <w:t xml:space="preserve"> is a </w:t>
      </w:r>
      <w:proofErr w:type="spellStart"/>
      <w:r w:rsidR="00345817" w:rsidRPr="00705170">
        <w:rPr>
          <w:rFonts w:ascii="Times New Roman" w:hAnsi="Times New Roman" w:cs="Times New Roman"/>
        </w:rPr>
        <w:t>path</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to</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take</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for</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minority</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shareholders</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to</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force</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the</w:t>
      </w:r>
      <w:proofErr w:type="spellEnd"/>
      <w:r w:rsidR="00345817" w:rsidRPr="00705170">
        <w:rPr>
          <w:rFonts w:ascii="Times New Roman" w:hAnsi="Times New Roman" w:cs="Times New Roman"/>
        </w:rPr>
        <w:t xml:space="preserve"> </w:t>
      </w:r>
      <w:proofErr w:type="spellStart"/>
      <w:r w:rsidR="00345817" w:rsidRPr="00705170">
        <w:rPr>
          <w:rFonts w:ascii="Times New Roman" w:hAnsi="Times New Roman" w:cs="Times New Roman"/>
        </w:rPr>
        <w:t>e</w:t>
      </w:r>
      <w:r w:rsidR="002D59A7" w:rsidRPr="00705170">
        <w:rPr>
          <w:rFonts w:ascii="Times New Roman" w:hAnsi="Times New Roman" w:cs="Times New Roman"/>
        </w:rPr>
        <w:t>xtractor</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justify</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the</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extraction</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Still</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the</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justification</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proposed</w:t>
      </w:r>
      <w:proofErr w:type="spellEnd"/>
      <w:r w:rsidR="002D59A7" w:rsidRPr="00705170">
        <w:rPr>
          <w:rFonts w:ascii="Times New Roman" w:hAnsi="Times New Roman" w:cs="Times New Roman"/>
        </w:rPr>
        <w:t xml:space="preserve"> here is not </w:t>
      </w:r>
      <w:proofErr w:type="spellStart"/>
      <w:r w:rsidR="002D59A7" w:rsidRPr="00705170">
        <w:rPr>
          <w:rFonts w:ascii="Times New Roman" w:hAnsi="Times New Roman" w:cs="Times New Roman"/>
        </w:rPr>
        <w:t>to</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legitim</w:t>
      </w:r>
      <w:r w:rsidR="00D20742">
        <w:rPr>
          <w:rFonts w:ascii="Times New Roman" w:hAnsi="Times New Roman" w:cs="Times New Roman"/>
        </w:rPr>
        <w:t>ize</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this</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kind</w:t>
      </w:r>
      <w:proofErr w:type="spellEnd"/>
      <w:r w:rsidR="002D59A7" w:rsidRPr="00705170">
        <w:rPr>
          <w:rFonts w:ascii="Times New Roman" w:hAnsi="Times New Roman" w:cs="Times New Roman"/>
        </w:rPr>
        <w:t xml:space="preserve"> of </w:t>
      </w:r>
      <w:proofErr w:type="spellStart"/>
      <w:r w:rsidR="002D59A7" w:rsidRPr="00705170">
        <w:rPr>
          <w:rFonts w:ascii="Times New Roman" w:hAnsi="Times New Roman" w:cs="Times New Roman"/>
        </w:rPr>
        <w:t>extraction</w:t>
      </w:r>
      <w:proofErr w:type="spellEnd"/>
      <w:r w:rsidR="002D59A7" w:rsidRPr="00705170">
        <w:rPr>
          <w:rFonts w:ascii="Times New Roman" w:hAnsi="Times New Roman" w:cs="Times New Roman"/>
        </w:rPr>
        <w:t xml:space="preserve">, but </w:t>
      </w:r>
      <w:proofErr w:type="spellStart"/>
      <w:r w:rsidR="002D59A7" w:rsidRPr="00705170">
        <w:rPr>
          <w:rFonts w:ascii="Times New Roman" w:hAnsi="Times New Roman" w:cs="Times New Roman"/>
        </w:rPr>
        <w:t>contrary</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to</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show</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that</w:t>
      </w:r>
      <w:proofErr w:type="spellEnd"/>
      <w:r w:rsidR="002D59A7" w:rsidRPr="00705170">
        <w:rPr>
          <w:rFonts w:ascii="Times New Roman" w:hAnsi="Times New Roman" w:cs="Times New Roman"/>
        </w:rPr>
        <w:t xml:space="preserve"> it is </w:t>
      </w:r>
      <w:proofErr w:type="spellStart"/>
      <w:r w:rsidR="002D59A7" w:rsidRPr="00705170">
        <w:rPr>
          <w:rFonts w:ascii="Times New Roman" w:hAnsi="Times New Roman" w:cs="Times New Roman"/>
        </w:rPr>
        <w:t>one</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that</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law</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does</w:t>
      </w:r>
      <w:proofErr w:type="spellEnd"/>
      <w:r w:rsidR="002D59A7" w:rsidRPr="00705170">
        <w:rPr>
          <w:rFonts w:ascii="Times New Roman" w:hAnsi="Times New Roman" w:cs="Times New Roman"/>
        </w:rPr>
        <w:t xml:space="preserve"> not </w:t>
      </w:r>
      <w:proofErr w:type="spellStart"/>
      <w:r w:rsidR="002D59A7" w:rsidRPr="00705170">
        <w:rPr>
          <w:rFonts w:ascii="Times New Roman" w:hAnsi="Times New Roman" w:cs="Times New Roman"/>
        </w:rPr>
        <w:t>legitimates</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and</w:t>
      </w:r>
      <w:proofErr w:type="spellEnd"/>
      <w:r w:rsidR="002D59A7" w:rsidRPr="00705170">
        <w:rPr>
          <w:rFonts w:ascii="Times New Roman" w:hAnsi="Times New Roman" w:cs="Times New Roman"/>
        </w:rPr>
        <w:t xml:space="preserve"> </w:t>
      </w:r>
      <w:proofErr w:type="spellStart"/>
      <w:r w:rsidR="002D59A7" w:rsidRPr="00705170">
        <w:rPr>
          <w:rFonts w:ascii="Times New Roman" w:hAnsi="Times New Roman" w:cs="Times New Roman"/>
        </w:rPr>
        <w:t>sanctions</w:t>
      </w:r>
      <w:proofErr w:type="spellEnd"/>
      <w:r w:rsidR="002D59A7" w:rsidRPr="00705170">
        <w:rPr>
          <w:rFonts w:ascii="Times New Roman" w:hAnsi="Times New Roman" w:cs="Times New Roman"/>
        </w:rPr>
        <w:t xml:space="preserve">. </w:t>
      </w:r>
    </w:p>
    <w:p w14:paraId="4FB4C2EF" w14:textId="3D141B3F" w:rsidR="00256B30" w:rsidRPr="00705170" w:rsidRDefault="00BC0E66" w:rsidP="008C17C2">
      <w:pPr>
        <w:spacing w:after="240" w:line="480" w:lineRule="auto"/>
        <w:jc w:val="center"/>
        <w:rPr>
          <w:rFonts w:ascii="Times New Roman" w:hAnsi="Times New Roman" w:cs="Times New Roman"/>
          <w:b/>
        </w:rPr>
      </w:pPr>
      <w:r w:rsidRPr="00705170">
        <w:rPr>
          <w:rFonts w:ascii="Times New Roman" w:hAnsi="Times New Roman" w:cs="Times New Roman"/>
          <w:b/>
        </w:rPr>
        <w:t>CHAPTER I</w:t>
      </w:r>
      <w:r w:rsidR="00C01441">
        <w:rPr>
          <w:rFonts w:ascii="Times New Roman" w:hAnsi="Times New Roman" w:cs="Times New Roman"/>
          <w:b/>
        </w:rPr>
        <w:t>II</w:t>
      </w:r>
    </w:p>
    <w:p w14:paraId="62600FD0" w14:textId="403F22EE" w:rsidR="008A08CB" w:rsidRPr="00705170" w:rsidRDefault="00BC0E66" w:rsidP="0039362E">
      <w:pPr>
        <w:spacing w:after="240" w:line="480" w:lineRule="auto"/>
        <w:jc w:val="center"/>
        <w:rPr>
          <w:rFonts w:ascii="Times New Roman" w:hAnsi="Times New Roman" w:cs="Times New Roman"/>
          <w:b/>
        </w:rPr>
      </w:pPr>
      <w:r w:rsidRPr="00705170">
        <w:rPr>
          <w:rFonts w:ascii="Times New Roman" w:hAnsi="Times New Roman" w:cs="Times New Roman"/>
          <w:b/>
        </w:rPr>
        <w:t>COMPONENTS OF THE TRANSACTION- BASED SYSTEM IN TURKISH LAW</w:t>
      </w:r>
    </w:p>
    <w:p w14:paraId="071E6300" w14:textId="47660CC3" w:rsidR="001A6D11" w:rsidRPr="00705170" w:rsidRDefault="00036F1D" w:rsidP="00DB5C10">
      <w:pPr>
        <w:spacing w:after="240" w:line="480" w:lineRule="auto"/>
        <w:rPr>
          <w:rFonts w:ascii="Times New Roman" w:hAnsi="Times New Roman" w:cs="Times New Roman"/>
          <w:b/>
        </w:rPr>
      </w:pPr>
      <w:r w:rsidRPr="00705170">
        <w:rPr>
          <w:rFonts w:ascii="Times New Roman" w:hAnsi="Times New Roman" w:cs="Times New Roman"/>
          <w:b/>
        </w:rPr>
        <w:tab/>
      </w:r>
      <w:r w:rsidR="00C01441">
        <w:rPr>
          <w:rFonts w:ascii="Times New Roman" w:hAnsi="Times New Roman" w:cs="Times New Roman"/>
          <w:b/>
        </w:rPr>
        <w:t>3</w:t>
      </w:r>
      <w:r w:rsidRPr="00705170">
        <w:rPr>
          <w:rFonts w:ascii="Times New Roman" w:hAnsi="Times New Roman" w:cs="Times New Roman"/>
          <w:b/>
        </w:rPr>
        <w:t xml:space="preserve">.1. </w:t>
      </w:r>
      <w:proofErr w:type="spellStart"/>
      <w:r w:rsidRPr="00705170">
        <w:rPr>
          <w:rFonts w:ascii="Times New Roman" w:hAnsi="Times New Roman" w:cs="Times New Roman"/>
          <w:b/>
        </w:rPr>
        <w:t>Generally</w:t>
      </w:r>
      <w:proofErr w:type="spellEnd"/>
    </w:p>
    <w:p w14:paraId="45B0F8C4" w14:textId="1E70EA22" w:rsidR="00CC1CC6" w:rsidRPr="00705170" w:rsidRDefault="00F31825" w:rsidP="00CC1CC6">
      <w:pPr>
        <w:spacing w:after="240" w:line="480" w:lineRule="auto"/>
        <w:jc w:val="both"/>
        <w:rPr>
          <w:rFonts w:ascii="Times New Roman" w:hAnsi="Times New Roman" w:cs="Times New Roman"/>
          <w:color w:val="000000"/>
        </w:rPr>
      </w:pPr>
      <w:r w:rsidRPr="00705170">
        <w:rPr>
          <w:rFonts w:ascii="Times New Roman" w:hAnsi="Times New Roman" w:cs="Times New Roman"/>
          <w:b/>
        </w:rPr>
        <w:tab/>
      </w:r>
      <w:proofErr w:type="spellStart"/>
      <w:r w:rsidR="00AD5DE1" w:rsidRPr="00705170">
        <w:rPr>
          <w:rFonts w:ascii="Times New Roman" w:hAnsi="Times New Roman" w:cs="Times New Roman"/>
        </w:rPr>
        <w:t>Turkish</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law</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includes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various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measures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which</w:t>
      </w:r>
      <w:proofErr w:type="spellEnd"/>
      <w:r w:rsidR="00AD5DE1" w:rsidRPr="00705170">
        <w:rPr>
          <w:rFonts w:ascii="Times New Roman" w:hAnsi="Times New Roman" w:cs="Times New Roman"/>
        </w:rPr>
        <w:t xml:space="preserve"> can be </w:t>
      </w:r>
      <w:proofErr w:type="spellStart"/>
      <w:r w:rsidR="00AD5DE1" w:rsidRPr="00705170">
        <w:rPr>
          <w:rFonts w:ascii="Times New Roman" w:hAnsi="Times New Roman" w:cs="Times New Roman"/>
        </w:rPr>
        <w:t>used</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to</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track</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and</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constrain</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non</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pecuniary</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private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benefit</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extractions</w:t>
      </w:r>
      <w:proofErr w:type="spellEnd"/>
      <w:r w:rsidR="00AD5DE1" w:rsidRPr="00705170">
        <w:rPr>
          <w:rFonts w:ascii="Times New Roman" w:hAnsi="Times New Roman" w:cs="Times New Roman"/>
        </w:rPr>
        <w:t xml:space="preserve"> in </w:t>
      </w:r>
      <w:proofErr w:type="spellStart"/>
      <w:r w:rsidR="00AD5DE1" w:rsidRPr="00705170">
        <w:rPr>
          <w:rFonts w:ascii="Times New Roman" w:hAnsi="Times New Roman" w:cs="Times New Roman"/>
        </w:rPr>
        <w:t>publicly</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traded</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corporations</w:t>
      </w:r>
      <w:proofErr w:type="spellEnd"/>
      <w:r w:rsidR="00253590">
        <w:rPr>
          <w:rStyle w:val="DipnotBavurusu"/>
          <w:rFonts w:ascii="Times New Roman" w:hAnsi="Times New Roman" w:cs="Times New Roman"/>
        </w:rPr>
        <w:footnoteReference w:id="247"/>
      </w:r>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However</w:t>
      </w:r>
      <w:proofErr w:type="spellEnd"/>
      <w:r w:rsidR="00AD5DE1" w:rsidRPr="00705170">
        <w:rPr>
          <w:rFonts w:ascii="Times New Roman" w:hAnsi="Times New Roman" w:cs="Times New Roman"/>
        </w:rPr>
        <w:t xml:space="preserve">, not </w:t>
      </w:r>
      <w:proofErr w:type="spellStart"/>
      <w:r w:rsidR="00AD5DE1" w:rsidRPr="00705170">
        <w:rPr>
          <w:rFonts w:ascii="Times New Roman" w:hAnsi="Times New Roman" w:cs="Times New Roman"/>
        </w:rPr>
        <w:t>all</w:t>
      </w:r>
      <w:proofErr w:type="spellEnd"/>
      <w:r w:rsidR="00AD5DE1" w:rsidRPr="00705170">
        <w:rPr>
          <w:rFonts w:ascii="Times New Roman" w:hAnsi="Times New Roman" w:cs="Times New Roman"/>
        </w:rPr>
        <w:t xml:space="preserve"> has </w:t>
      </w:r>
      <w:proofErr w:type="spellStart"/>
      <w:r w:rsidR="00AD5DE1" w:rsidRPr="00705170">
        <w:rPr>
          <w:rFonts w:ascii="Times New Roman" w:hAnsi="Times New Roman" w:cs="Times New Roman"/>
        </w:rPr>
        <w:t>the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lastRenderedPageBreak/>
        <w:t>same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effectiveness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concerning</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both</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purpose</w:t>
      </w:r>
      <w:proofErr w:type="spellEnd"/>
      <w:r w:rsidR="00AD5DE1" w:rsidRPr="00705170">
        <w:rPr>
          <w:rFonts w:ascii="Times New Roman" w:hAnsi="Times New Roman" w:cs="Times New Roman"/>
        </w:rPr>
        <w:t xml:space="preserve"> of </w:t>
      </w:r>
      <w:proofErr w:type="spellStart"/>
      <w:r w:rsidR="00AD5DE1" w:rsidRPr="00705170">
        <w:rPr>
          <w:rFonts w:ascii="Times New Roman" w:hAnsi="Times New Roman" w:cs="Times New Roman"/>
        </w:rPr>
        <w:t>restraining</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influencing</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shareholders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and</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activating</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minority</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shareholders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motivation</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to</w:t>
      </w:r>
      <w:proofErr w:type="spellEnd"/>
      <w:r w:rsidR="00AD5DE1" w:rsidRPr="00705170">
        <w:rPr>
          <w:rFonts w:ascii="Times New Roman" w:hAnsi="Times New Roman" w:cs="Times New Roman"/>
        </w:rPr>
        <w:t xml:space="preserve"> be </w:t>
      </w:r>
      <w:proofErr w:type="spellStart"/>
      <w:r w:rsidR="00AD5DE1" w:rsidRPr="00705170">
        <w:rPr>
          <w:rFonts w:ascii="Times New Roman" w:hAnsi="Times New Roman" w:cs="Times New Roman"/>
        </w:rPr>
        <w:t>the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gatekeepers</w:t>
      </w:r>
      <w:proofErr w:type="spellEnd"/>
      <w:r w:rsidR="00AD5DE1" w:rsidRPr="00705170">
        <w:rPr>
          <w:rFonts w:ascii="Times New Roman" w:hAnsi="Times New Roman" w:cs="Times New Roman"/>
        </w:rPr>
        <w:t xml:space="preserve"> of </w:t>
      </w:r>
      <w:proofErr w:type="spellStart"/>
      <w:r w:rsidR="00AD5DE1" w:rsidRPr="00705170">
        <w:rPr>
          <w:rFonts w:ascii="Times New Roman" w:hAnsi="Times New Roman" w:cs="Times New Roman"/>
        </w:rPr>
        <w:t>both</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their</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private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interests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and</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public</w:t>
      </w:r>
      <w:proofErr w:type="spellEnd"/>
      <w:r w:rsidR="00AD5DE1" w:rsidRPr="00705170">
        <w:rPr>
          <w:rFonts w:ascii="Times New Roman" w:hAnsi="Times New Roman" w:cs="Times New Roman"/>
        </w:rPr>
        <w:t xml:space="preserve"> </w:t>
      </w:r>
      <w:proofErr w:type="spellStart"/>
      <w:r w:rsidR="00EB0563" w:rsidRPr="00705170">
        <w:rPr>
          <w:rFonts w:ascii="Times New Roman" w:hAnsi="Times New Roman" w:cs="Times New Roman"/>
        </w:rPr>
        <w:t>policy</w:t>
      </w:r>
      <w:proofErr w:type="spellEnd"/>
      <w:r w:rsidR="00EB0563" w:rsidRPr="00705170">
        <w:rPr>
          <w:rFonts w:ascii="Times New Roman" w:hAnsi="Times New Roman" w:cs="Times New Roman"/>
        </w:rPr>
        <w:t xml:space="preserve">. </w:t>
      </w:r>
      <w:proofErr w:type="spellStart"/>
      <w:r w:rsidR="00EB0563" w:rsidRPr="00705170">
        <w:rPr>
          <w:rFonts w:ascii="Times New Roman" w:hAnsi="Times New Roman" w:cs="Times New Roman"/>
        </w:rPr>
        <w:t>However</w:t>
      </w:r>
      <w:proofErr w:type="spellEnd"/>
      <w:r w:rsidR="00EB0563" w:rsidRPr="00705170">
        <w:rPr>
          <w:rFonts w:ascii="Times New Roman" w:hAnsi="Times New Roman" w:cs="Times New Roman"/>
        </w:rPr>
        <w:t xml:space="preserve">, in </w:t>
      </w:r>
      <w:proofErr w:type="spellStart"/>
      <w:r w:rsidR="00EB0563" w:rsidRPr="00705170">
        <w:rPr>
          <w:rFonts w:ascii="Times New Roman" w:hAnsi="Times New Roman" w:cs="Times New Roman"/>
        </w:rPr>
        <w:t>order</w:t>
      </w:r>
      <w:proofErr w:type="spellEnd"/>
      <w:r w:rsidR="00EB0563" w:rsidRPr="00705170">
        <w:rPr>
          <w:rFonts w:ascii="Times New Roman" w:hAnsi="Times New Roman" w:cs="Times New Roman"/>
        </w:rPr>
        <w:t xml:space="preserve"> </w:t>
      </w:r>
      <w:proofErr w:type="spellStart"/>
      <w:r w:rsidR="00EB0563" w:rsidRPr="00705170">
        <w:rPr>
          <w:rFonts w:ascii="Times New Roman" w:hAnsi="Times New Roman" w:cs="Times New Roman"/>
        </w:rPr>
        <w:t>to</w:t>
      </w:r>
      <w:proofErr w:type="spellEnd"/>
      <w:r w:rsidR="00EB0563" w:rsidRPr="00705170">
        <w:rPr>
          <w:rFonts w:ascii="Times New Roman" w:hAnsi="Times New Roman" w:cs="Times New Roman"/>
        </w:rPr>
        <w:t xml:space="preserve"> </w:t>
      </w:r>
      <w:proofErr w:type="spellStart"/>
      <w:r w:rsidR="00EB0563" w:rsidRPr="00705170">
        <w:rPr>
          <w:rFonts w:ascii="Times New Roman" w:hAnsi="Times New Roman" w:cs="Times New Roman"/>
        </w:rPr>
        <w:t>lay</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down</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flaws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that</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the</w:t>
      </w:r>
      <w:proofErr w:type="spellEnd"/>
      <w:r w:rsidR="00AD5DE1" w:rsidRPr="00705170">
        <w:rPr>
          <w:rFonts w:ascii="Times New Roman" w:hAnsi="Times New Roman" w:cs="Times New Roman"/>
        </w:rPr>
        <w:t xml:space="preserve"> legal </w:t>
      </w:r>
      <w:proofErr w:type="spellStart"/>
      <w:r w:rsidR="00AD5DE1" w:rsidRPr="00705170">
        <w:rPr>
          <w:rFonts w:ascii="Times New Roman" w:hAnsi="Times New Roman" w:cs="Times New Roman"/>
        </w:rPr>
        <w:t>regime</w:t>
      </w:r>
      <w:proofErr w:type="spellEnd"/>
      <w:r w:rsidR="00AD5DE1" w:rsidRPr="00705170">
        <w:rPr>
          <w:rFonts w:ascii="Times New Roman" w:hAnsi="Times New Roman" w:cs="Times New Roman"/>
        </w:rPr>
        <w:t xml:space="preserve"> has, </w:t>
      </w:r>
      <w:proofErr w:type="spellStart"/>
      <w:r w:rsidR="00AD5DE1" w:rsidRPr="00705170">
        <w:rPr>
          <w:rFonts w:ascii="Times New Roman" w:hAnsi="Times New Roman" w:cs="Times New Roman"/>
        </w:rPr>
        <w:t>both</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the</w:t>
      </w:r>
      <w:proofErr w:type="spellEnd"/>
      <w:r w:rsidR="00AD5DE1" w:rsidRPr="00705170">
        <w:rPr>
          <w:rFonts w:ascii="Times New Roman" w:hAnsi="Times New Roman" w:cs="Times New Roman"/>
        </w:rPr>
        <w:t xml:space="preserve"> general </w:t>
      </w:r>
      <w:proofErr w:type="spellStart"/>
      <w:r w:rsidR="00AD5DE1" w:rsidRPr="00705170">
        <w:rPr>
          <w:rFonts w:ascii="Times New Roman" w:hAnsi="Times New Roman" w:cs="Times New Roman"/>
        </w:rPr>
        <w:t>and</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specific</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rules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that</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might</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cover</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these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extractions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should</w:t>
      </w:r>
      <w:proofErr w:type="spellEnd"/>
      <w:r w:rsidR="00AD5DE1" w:rsidRPr="00705170">
        <w:rPr>
          <w:rFonts w:ascii="Times New Roman" w:hAnsi="Times New Roman" w:cs="Times New Roman"/>
        </w:rPr>
        <w:t xml:space="preserve"> be </w:t>
      </w:r>
      <w:proofErr w:type="spellStart"/>
      <w:r w:rsidR="00AD5DE1" w:rsidRPr="00705170">
        <w:rPr>
          <w:rFonts w:ascii="Times New Roman" w:hAnsi="Times New Roman" w:cs="Times New Roman"/>
        </w:rPr>
        <w:t>summarized</w:t>
      </w:r>
      <w:proofErr w:type="spellEnd"/>
      <w:r w:rsidR="00AD5DE1" w:rsidRPr="00705170">
        <w:rPr>
          <w:rFonts w:ascii="Times New Roman" w:hAnsi="Times New Roman" w:cs="Times New Roman"/>
        </w:rPr>
        <w:t>.</w:t>
      </w:r>
    </w:p>
    <w:p w14:paraId="65557D6F" w14:textId="4828E951" w:rsidR="0064531E" w:rsidRPr="00705170" w:rsidRDefault="0064531E" w:rsidP="00CC1CC6">
      <w:pPr>
        <w:spacing w:after="240" w:line="480" w:lineRule="auto"/>
        <w:jc w:val="both"/>
        <w:rPr>
          <w:rFonts w:ascii="Times New Roman" w:hAnsi="Times New Roman" w:cs="Times New Roman"/>
          <w:color w:val="000000"/>
        </w:rPr>
      </w:pPr>
      <w:r w:rsidRPr="00705170">
        <w:rPr>
          <w:rFonts w:ascii="Times New Roman" w:hAnsi="Times New Roman" w:cs="Times New Roman"/>
          <w:color w:val="000000"/>
        </w:rPr>
        <w:tab/>
      </w:r>
      <w:r w:rsidR="00F52F09" w:rsidRPr="00705170">
        <w:rPr>
          <w:rFonts w:ascii="Times New Roman" w:hAnsi="Times New Roman" w:cs="Times New Roman"/>
          <w:color w:val="000000"/>
        </w:rPr>
        <w:t>G</w:t>
      </w:r>
      <w:r w:rsidRPr="00705170">
        <w:rPr>
          <w:rFonts w:ascii="Times New Roman" w:hAnsi="Times New Roman" w:cs="Times New Roman"/>
          <w:color w:val="000000"/>
        </w:rPr>
        <w:t xml:space="preserve">eneral </w:t>
      </w:r>
      <w:proofErr w:type="spellStart"/>
      <w:r w:rsidRPr="00705170">
        <w:rPr>
          <w:rFonts w:ascii="Times New Roman" w:hAnsi="Times New Roman" w:cs="Times New Roman"/>
          <w:color w:val="000000"/>
        </w:rPr>
        <w:t>rules</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Turkish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law</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includes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statutory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provisions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can be </w:t>
      </w:r>
      <w:proofErr w:type="spellStart"/>
      <w:r w:rsidRPr="00705170">
        <w:rPr>
          <w:rFonts w:ascii="Times New Roman" w:hAnsi="Times New Roman" w:cs="Times New Roman"/>
          <w:color w:val="000000"/>
        </w:rPr>
        <w:t>used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curb</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abuses</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both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influencing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minority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shareholders</w:t>
      </w:r>
      <w:proofErr w:type="spellEnd"/>
      <w:r w:rsidR="00F448D6">
        <w:rPr>
          <w:rStyle w:val="DipnotBavurusu"/>
          <w:rFonts w:ascii="Times New Roman" w:hAnsi="Times New Roman" w:cs="Times New Roman"/>
          <w:color w:val="000000"/>
        </w:rPr>
        <w:footnoteReference w:id="248"/>
      </w:r>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this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regards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Turkish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law</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does</w:t>
      </w:r>
      <w:proofErr w:type="spellEnd"/>
      <w:r w:rsidRPr="00705170">
        <w:rPr>
          <w:rFonts w:ascii="Times New Roman" w:hAnsi="Times New Roman" w:cs="Times New Roman"/>
          <w:color w:val="000000"/>
        </w:rPr>
        <w:t xml:space="preserve"> not </w:t>
      </w:r>
      <w:proofErr w:type="spellStart"/>
      <w:r w:rsidRPr="00705170">
        <w:rPr>
          <w:rFonts w:ascii="Times New Roman" w:hAnsi="Times New Roman" w:cs="Times New Roman"/>
          <w:color w:val="000000"/>
        </w:rPr>
        <w:t>preclude</w:t>
      </w:r>
      <w:proofErr w:type="spellEnd"/>
      <w:r w:rsidRPr="00705170">
        <w:rPr>
          <w:rFonts w:ascii="Times New Roman" w:hAnsi="Times New Roman" w:cs="Times New Roman"/>
          <w:color w:val="000000"/>
        </w:rPr>
        <w:t xml:space="preserve"> </w:t>
      </w:r>
      <w:r w:rsidRPr="00705170">
        <w:rPr>
          <w:rFonts w:ascii="Times New Roman" w:hAnsi="Times New Roman" w:cs="Times New Roman"/>
          <w:color w:val="000000"/>
        </w:rPr>
        <w:lastRenderedPageBreak/>
        <w:t xml:space="preserve">a </w:t>
      </w:r>
      <w:proofErr w:type="spellStart"/>
      <w:r w:rsidRPr="00705170">
        <w:rPr>
          <w:rFonts w:ascii="Times New Roman" w:hAnsi="Times New Roman" w:cs="Times New Roman"/>
          <w:color w:val="000000"/>
        </w:rPr>
        <w:t>shareholder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from</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suing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another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shareholder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either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minority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influencing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demanding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compensation</w:t>
      </w:r>
      <w:proofErr w:type="spellEnd"/>
      <w:r w:rsidRPr="00705170">
        <w:rPr>
          <w:rFonts w:ascii="Times New Roman" w:hAnsi="Times New Roman" w:cs="Times New Roman"/>
          <w:color w:val="000000"/>
        </w:rPr>
        <w:t xml:space="preserve"> of his </w:t>
      </w:r>
      <w:proofErr w:type="spellStart"/>
      <w:r w:rsidRPr="00705170">
        <w:rPr>
          <w:rFonts w:ascii="Times New Roman" w:hAnsi="Times New Roman" w:cs="Times New Roman"/>
          <w:color w:val="000000"/>
        </w:rPr>
        <w:t>losses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caused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virtue</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abuse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defendant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shareholder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car</w:t>
      </w:r>
      <w:r w:rsidR="00373AF7" w:rsidRPr="00705170">
        <w:rPr>
          <w:rFonts w:ascii="Times New Roman" w:hAnsi="Times New Roman" w:cs="Times New Roman"/>
          <w:color w:val="000000"/>
        </w:rPr>
        <w:t>ried</w:t>
      </w:r>
      <w:proofErr w:type="spellEnd"/>
      <w:r w:rsidR="00373AF7" w:rsidRPr="00705170">
        <w:rPr>
          <w:rFonts w:ascii="Times New Roman" w:hAnsi="Times New Roman" w:cs="Times New Roman"/>
          <w:color w:val="000000"/>
        </w:rPr>
        <w:t xml:space="preserve"> </w:t>
      </w:r>
      <w:proofErr w:type="spellStart"/>
      <w:r w:rsidR="00373AF7" w:rsidRPr="00705170">
        <w:rPr>
          <w:rFonts w:ascii="Times New Roman" w:hAnsi="Times New Roman" w:cs="Times New Roman"/>
          <w:color w:val="000000"/>
        </w:rPr>
        <w:t>out</w:t>
      </w:r>
      <w:proofErr w:type="spellEnd"/>
      <w:r w:rsidR="00C53F16" w:rsidRPr="00705170">
        <w:rPr>
          <w:rStyle w:val="DipnotBavurusu"/>
          <w:rFonts w:ascii="Times New Roman" w:hAnsi="Times New Roman" w:cs="Times New Roman"/>
          <w:color w:val="000000"/>
        </w:rPr>
        <w:footnoteReference w:id="249"/>
      </w:r>
      <w:r w:rsidR="00373AF7" w:rsidRPr="00705170">
        <w:rPr>
          <w:rFonts w:ascii="Times New Roman" w:hAnsi="Times New Roman" w:cs="Times New Roman"/>
          <w:color w:val="000000"/>
        </w:rPr>
        <w:t xml:space="preserve">. </w:t>
      </w:r>
      <w:proofErr w:type="spellStart"/>
      <w:r w:rsidR="00373AF7" w:rsidRPr="00705170">
        <w:rPr>
          <w:rFonts w:ascii="Times New Roman" w:hAnsi="Times New Roman" w:cs="Times New Roman"/>
          <w:color w:val="000000"/>
        </w:rPr>
        <w:t>Commentators</w:t>
      </w:r>
      <w:proofErr w:type="spellEnd"/>
      <w:r w:rsidR="00373AF7" w:rsidRPr="00705170">
        <w:rPr>
          <w:rFonts w:ascii="Times New Roman" w:hAnsi="Times New Roman" w:cs="Times New Roman"/>
          <w:color w:val="000000"/>
        </w:rPr>
        <w:t xml:space="preserve"> </w:t>
      </w:r>
      <w:proofErr w:type="spellStart"/>
      <w:r w:rsidR="00373AF7" w:rsidRPr="00705170">
        <w:rPr>
          <w:rFonts w:ascii="Times New Roman" w:hAnsi="Times New Roman" w:cs="Times New Roman"/>
          <w:color w:val="000000"/>
        </w:rPr>
        <w:t>opine</w:t>
      </w:r>
      <w:proofErr w:type="spellEnd"/>
      <w:r w:rsidR="00373AF7" w:rsidRPr="00705170">
        <w:rPr>
          <w:rFonts w:ascii="Times New Roman" w:hAnsi="Times New Roman" w:cs="Times New Roman"/>
          <w:color w:val="000000"/>
        </w:rPr>
        <w:t xml:space="preserve"> </w:t>
      </w:r>
      <w:proofErr w:type="spellStart"/>
      <w:r w:rsidR="00373AF7" w:rsidRPr="00705170">
        <w:rPr>
          <w:rFonts w:ascii="Times New Roman" w:hAnsi="Times New Roman" w:cs="Times New Roman"/>
          <w:color w:val="000000"/>
        </w:rPr>
        <w:t>that</w:t>
      </w:r>
      <w:proofErr w:type="spellEnd"/>
      <w:r w:rsidR="00373AF7" w:rsidRPr="00705170">
        <w:rPr>
          <w:rFonts w:ascii="Times New Roman" w:hAnsi="Times New Roman" w:cs="Times New Roman"/>
          <w:color w:val="000000"/>
        </w:rPr>
        <w:t xml:space="preserve"> </w:t>
      </w:r>
      <w:proofErr w:type="spellStart"/>
      <w:r w:rsidR="00373AF7" w:rsidRPr="00705170">
        <w:rPr>
          <w:rFonts w:ascii="Times New Roman" w:hAnsi="Times New Roman" w:cs="Times New Roman"/>
          <w:color w:val="000000"/>
        </w:rPr>
        <w:t>the</w:t>
      </w:r>
      <w:proofErr w:type="spellEnd"/>
      <w:r w:rsidR="00373AF7" w:rsidRPr="00705170">
        <w:rPr>
          <w:rFonts w:ascii="Times New Roman" w:hAnsi="Times New Roman" w:cs="Times New Roman"/>
          <w:color w:val="000000"/>
        </w:rPr>
        <w:t xml:space="preserve"> </w:t>
      </w:r>
      <w:proofErr w:type="spellStart"/>
      <w:r w:rsidR="00373AF7" w:rsidRPr="00705170">
        <w:rPr>
          <w:rFonts w:ascii="Times New Roman" w:hAnsi="Times New Roman" w:cs="Times New Roman"/>
          <w:color w:val="000000"/>
        </w:rPr>
        <w:t>Article</w:t>
      </w:r>
      <w:proofErr w:type="spellEnd"/>
      <w:r w:rsidR="00373AF7" w:rsidRPr="00705170">
        <w:rPr>
          <w:rFonts w:ascii="Times New Roman" w:hAnsi="Times New Roman" w:cs="Times New Roman"/>
          <w:color w:val="000000"/>
        </w:rPr>
        <w:t xml:space="preserve"> 2 of </w:t>
      </w:r>
      <w:proofErr w:type="spellStart"/>
      <w:r w:rsidR="00373AF7" w:rsidRPr="00705170">
        <w:rPr>
          <w:rFonts w:ascii="Times New Roman" w:hAnsi="Times New Roman" w:cs="Times New Roman"/>
          <w:color w:val="000000"/>
        </w:rPr>
        <w:t>the</w:t>
      </w:r>
      <w:proofErr w:type="spellEnd"/>
      <w:r w:rsidR="00373AF7" w:rsidRPr="00705170">
        <w:rPr>
          <w:rFonts w:ascii="Times New Roman" w:hAnsi="Times New Roman" w:cs="Times New Roman"/>
          <w:color w:val="000000"/>
        </w:rPr>
        <w:t xml:space="preserve"> 4721 </w:t>
      </w:r>
      <w:proofErr w:type="spellStart"/>
      <w:r w:rsidR="00373AF7" w:rsidRPr="00705170">
        <w:rPr>
          <w:rFonts w:ascii="Times New Roman" w:hAnsi="Times New Roman" w:cs="Times New Roman"/>
          <w:color w:val="000000"/>
        </w:rPr>
        <w:t>numbered</w:t>
      </w:r>
      <w:proofErr w:type="spellEnd"/>
      <w:r w:rsidR="00373AF7" w:rsidRPr="00705170">
        <w:rPr>
          <w:rFonts w:ascii="Times New Roman" w:hAnsi="Times New Roman" w:cs="Times New Roman"/>
          <w:color w:val="000000"/>
        </w:rPr>
        <w:t xml:space="preserve"> </w:t>
      </w:r>
      <w:proofErr w:type="spellStart"/>
      <w:r w:rsidR="00373AF7" w:rsidRPr="00705170">
        <w:rPr>
          <w:rFonts w:ascii="Times New Roman" w:hAnsi="Times New Roman" w:cs="Times New Roman"/>
          <w:color w:val="000000"/>
        </w:rPr>
        <w:t>Turkish</w:t>
      </w:r>
      <w:proofErr w:type="spellEnd"/>
      <w:r w:rsidR="00373AF7" w:rsidRPr="00705170">
        <w:rPr>
          <w:rFonts w:ascii="Times New Roman" w:hAnsi="Times New Roman" w:cs="Times New Roman"/>
          <w:color w:val="000000"/>
        </w:rPr>
        <w:t xml:space="preserve"> </w:t>
      </w:r>
      <w:proofErr w:type="spellStart"/>
      <w:r w:rsidR="00373AF7" w:rsidRPr="00705170">
        <w:rPr>
          <w:rFonts w:ascii="Times New Roman" w:hAnsi="Times New Roman" w:cs="Times New Roman"/>
          <w:color w:val="000000"/>
        </w:rPr>
        <w:t>Civil</w:t>
      </w:r>
      <w:proofErr w:type="spellEnd"/>
      <w:r w:rsidR="00373AF7" w:rsidRPr="00705170">
        <w:rPr>
          <w:rFonts w:ascii="Times New Roman" w:hAnsi="Times New Roman" w:cs="Times New Roman"/>
          <w:color w:val="000000"/>
        </w:rPr>
        <w:t xml:space="preserve"> </w:t>
      </w:r>
      <w:proofErr w:type="spellStart"/>
      <w:r w:rsidR="00373AF7" w:rsidRPr="00705170">
        <w:rPr>
          <w:rFonts w:ascii="Times New Roman" w:hAnsi="Times New Roman" w:cs="Times New Roman"/>
          <w:color w:val="000000"/>
        </w:rPr>
        <w:t>Code</w:t>
      </w:r>
      <w:proofErr w:type="spellEnd"/>
      <w:r w:rsidR="00373AF7" w:rsidRPr="00705170">
        <w:rPr>
          <w:rStyle w:val="DipnotBavurusu"/>
          <w:rFonts w:ascii="Times New Roman" w:hAnsi="Times New Roman" w:cs="Times New Roman"/>
          <w:color w:val="000000"/>
        </w:rPr>
        <w:footnoteReference w:id="250"/>
      </w:r>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which</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states</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that</w:t>
      </w:r>
      <w:proofErr w:type="spellEnd"/>
      <w:r w:rsidR="00AB2B15" w:rsidRPr="00705170">
        <w:rPr>
          <w:rFonts w:ascii="Times New Roman" w:hAnsi="Times New Roman" w:cs="Times New Roman"/>
          <w:color w:val="000000"/>
        </w:rPr>
        <w:t xml:space="preserve"> </w:t>
      </w:r>
      <w:proofErr w:type="spellStart"/>
      <w:r w:rsidR="00EF52FC" w:rsidRPr="00705170">
        <w:rPr>
          <w:rFonts w:ascii="Times New Roman" w:hAnsi="Times New Roman" w:cs="Times New Roman"/>
          <w:color w:val="000000"/>
        </w:rPr>
        <w:t>abuse</w:t>
      </w:r>
      <w:proofErr w:type="spellEnd"/>
      <w:r w:rsidR="00EF52FC" w:rsidRPr="00705170">
        <w:rPr>
          <w:rFonts w:ascii="Times New Roman" w:hAnsi="Times New Roman" w:cs="Times New Roman"/>
          <w:color w:val="000000"/>
        </w:rPr>
        <w:t xml:space="preserve"> of a </w:t>
      </w:r>
      <w:proofErr w:type="spellStart"/>
      <w:r w:rsidR="00EF52FC" w:rsidRPr="00705170">
        <w:rPr>
          <w:rFonts w:ascii="Times New Roman" w:hAnsi="Times New Roman" w:cs="Times New Roman"/>
          <w:color w:val="000000"/>
        </w:rPr>
        <w:t>right</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would</w:t>
      </w:r>
      <w:proofErr w:type="spellEnd"/>
      <w:r w:rsidR="00AB2B15" w:rsidRPr="00705170">
        <w:rPr>
          <w:rFonts w:ascii="Times New Roman" w:hAnsi="Times New Roman" w:cs="Times New Roman"/>
          <w:color w:val="000000"/>
        </w:rPr>
        <w:t xml:space="preserve"> not be </w:t>
      </w:r>
      <w:proofErr w:type="spellStart"/>
      <w:r w:rsidR="00AB2B15" w:rsidRPr="00705170">
        <w:rPr>
          <w:rFonts w:ascii="Times New Roman" w:hAnsi="Times New Roman" w:cs="Times New Roman"/>
          <w:color w:val="000000"/>
        </w:rPr>
        <w:t>protected</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by</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law</w:t>
      </w:r>
      <w:proofErr w:type="spellEnd"/>
      <w:r w:rsidR="00373AF7"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requires</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abusers</w:t>
      </w:r>
      <w:proofErr w:type="spellEnd"/>
      <w:r w:rsidR="00AB2B15" w:rsidRPr="00705170">
        <w:rPr>
          <w:rFonts w:ascii="Times New Roman" w:hAnsi="Times New Roman" w:cs="Times New Roman"/>
          <w:color w:val="000000"/>
        </w:rPr>
        <w:t xml:space="preserve"> </w:t>
      </w:r>
      <w:proofErr w:type="spellStart"/>
      <w:r w:rsidR="00501F8A" w:rsidRPr="00705170">
        <w:rPr>
          <w:rFonts w:ascii="Times New Roman" w:hAnsi="Times New Roman" w:cs="Times New Roman"/>
          <w:color w:val="000000"/>
        </w:rPr>
        <w:t>injuring</w:t>
      </w:r>
      <w:proofErr w:type="spellEnd"/>
      <w:r w:rsidR="00DD49F9"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the</w:t>
      </w:r>
      <w:proofErr w:type="spellEnd"/>
      <w:r w:rsidR="00DD49F9"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corporation</w:t>
      </w:r>
      <w:proofErr w:type="spellEnd"/>
      <w:r w:rsidR="00DD49F9"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and</w:t>
      </w:r>
      <w:proofErr w:type="spellEnd"/>
      <w:r w:rsidR="00DD49F9"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its</w:t>
      </w:r>
      <w:proofErr w:type="spellEnd"/>
      <w:r w:rsidR="00DD49F9"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shareholders</w:t>
      </w:r>
      <w:proofErr w:type="spellEnd"/>
      <w:r w:rsidR="00501F8A" w:rsidRPr="00705170">
        <w:rPr>
          <w:rFonts w:ascii="Times New Roman" w:hAnsi="Times New Roman" w:cs="Times New Roman"/>
          <w:color w:val="000000"/>
        </w:rPr>
        <w:t xml:space="preserve"> </w:t>
      </w:r>
      <w:proofErr w:type="spellStart"/>
      <w:r w:rsidR="00501F8A" w:rsidRPr="00705170">
        <w:rPr>
          <w:rFonts w:ascii="Times New Roman" w:hAnsi="Times New Roman" w:cs="Times New Roman"/>
          <w:color w:val="000000"/>
        </w:rPr>
        <w:t>compensate</w:t>
      </w:r>
      <w:proofErr w:type="spellEnd"/>
      <w:r w:rsidR="00501F8A" w:rsidRPr="00705170">
        <w:rPr>
          <w:rFonts w:ascii="Times New Roman" w:hAnsi="Times New Roman" w:cs="Times New Roman"/>
          <w:color w:val="000000"/>
        </w:rPr>
        <w:t xml:space="preserve"> </w:t>
      </w:r>
      <w:proofErr w:type="spellStart"/>
      <w:r w:rsidR="00501F8A" w:rsidRPr="00705170">
        <w:rPr>
          <w:rFonts w:ascii="Times New Roman" w:hAnsi="Times New Roman" w:cs="Times New Roman"/>
          <w:color w:val="000000"/>
        </w:rPr>
        <w:t>this</w:t>
      </w:r>
      <w:proofErr w:type="spellEnd"/>
      <w:r w:rsidR="00501F8A" w:rsidRPr="00705170">
        <w:rPr>
          <w:rFonts w:ascii="Times New Roman" w:hAnsi="Times New Roman" w:cs="Times New Roman"/>
          <w:color w:val="000000"/>
        </w:rPr>
        <w:t xml:space="preserve"> </w:t>
      </w:r>
      <w:proofErr w:type="spellStart"/>
      <w:r w:rsidR="00501F8A" w:rsidRPr="00705170">
        <w:rPr>
          <w:rFonts w:ascii="Times New Roman" w:hAnsi="Times New Roman" w:cs="Times New Roman"/>
          <w:color w:val="000000"/>
        </w:rPr>
        <w:t>injury</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consequently</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abuses</w:t>
      </w:r>
      <w:proofErr w:type="spellEnd"/>
      <w:r w:rsidR="00AB2B15" w:rsidRPr="00705170">
        <w:rPr>
          <w:rFonts w:ascii="Times New Roman" w:hAnsi="Times New Roman" w:cs="Times New Roman"/>
          <w:color w:val="000000"/>
        </w:rPr>
        <w:t xml:space="preserve"> of </w:t>
      </w:r>
      <w:proofErr w:type="spellStart"/>
      <w:r w:rsidR="00AB2B15" w:rsidRPr="00705170">
        <w:rPr>
          <w:rFonts w:ascii="Times New Roman" w:hAnsi="Times New Roman" w:cs="Times New Roman"/>
          <w:color w:val="000000"/>
        </w:rPr>
        <w:t>shareholders</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rights</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would</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make</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the</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abusers</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liable</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for</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the</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damages</w:t>
      </w:r>
      <w:proofErr w:type="spellEnd"/>
      <w:r w:rsidR="00AB2B15" w:rsidRPr="00705170">
        <w:rPr>
          <w:rFonts w:ascii="Times New Roman" w:hAnsi="Times New Roman" w:cs="Times New Roman"/>
          <w:color w:val="000000"/>
        </w:rPr>
        <w:t xml:space="preserve"> in </w:t>
      </w:r>
      <w:proofErr w:type="spellStart"/>
      <w:r w:rsidR="00AB2B15" w:rsidRPr="00705170">
        <w:rPr>
          <w:rFonts w:ascii="Times New Roman" w:hAnsi="Times New Roman" w:cs="Times New Roman"/>
          <w:color w:val="000000"/>
        </w:rPr>
        <w:t>accordance</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with</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Article</w:t>
      </w:r>
      <w:proofErr w:type="spellEnd"/>
      <w:r w:rsidR="00AB2B15" w:rsidRPr="00705170">
        <w:rPr>
          <w:rFonts w:ascii="Times New Roman" w:hAnsi="Times New Roman" w:cs="Times New Roman"/>
          <w:color w:val="000000"/>
        </w:rPr>
        <w:t xml:space="preserve"> 49 of </w:t>
      </w:r>
      <w:proofErr w:type="spellStart"/>
      <w:r w:rsidR="00AB2B15" w:rsidRPr="00705170">
        <w:rPr>
          <w:rFonts w:ascii="Times New Roman" w:hAnsi="Times New Roman" w:cs="Times New Roman"/>
          <w:color w:val="000000"/>
        </w:rPr>
        <w:t>the</w:t>
      </w:r>
      <w:proofErr w:type="spellEnd"/>
      <w:r w:rsidR="00AB2B15" w:rsidRPr="00705170">
        <w:rPr>
          <w:rFonts w:ascii="Times New Roman" w:hAnsi="Times New Roman" w:cs="Times New Roman"/>
          <w:color w:val="000000"/>
        </w:rPr>
        <w:t xml:space="preserve"> 6098 </w:t>
      </w:r>
      <w:proofErr w:type="spellStart"/>
      <w:r w:rsidR="00AB2B15" w:rsidRPr="00705170">
        <w:rPr>
          <w:rFonts w:ascii="Times New Roman" w:hAnsi="Times New Roman" w:cs="Times New Roman"/>
          <w:color w:val="000000"/>
        </w:rPr>
        <w:t>numbered</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Turkish</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Code</w:t>
      </w:r>
      <w:proofErr w:type="spellEnd"/>
      <w:r w:rsidR="00AB2B15" w:rsidRPr="00705170">
        <w:rPr>
          <w:rFonts w:ascii="Times New Roman" w:hAnsi="Times New Roman" w:cs="Times New Roman"/>
          <w:color w:val="000000"/>
        </w:rPr>
        <w:t xml:space="preserve"> of </w:t>
      </w:r>
      <w:proofErr w:type="spellStart"/>
      <w:r w:rsidR="00AB2B15" w:rsidRPr="00705170">
        <w:rPr>
          <w:rFonts w:ascii="Times New Roman" w:hAnsi="Times New Roman" w:cs="Times New Roman"/>
          <w:color w:val="000000"/>
        </w:rPr>
        <w:t>Obligations</w:t>
      </w:r>
      <w:proofErr w:type="spellEnd"/>
      <w:r w:rsidR="00AB2B15" w:rsidRPr="00705170">
        <w:rPr>
          <w:rStyle w:val="DipnotBavurusu"/>
          <w:rFonts w:ascii="Times New Roman" w:hAnsi="Times New Roman" w:cs="Times New Roman"/>
          <w:color w:val="000000"/>
        </w:rPr>
        <w:footnoteReference w:id="251"/>
      </w:r>
      <w:r w:rsidR="00AB2B15" w:rsidRPr="00705170">
        <w:rPr>
          <w:rFonts w:ascii="Times New Roman" w:hAnsi="Times New Roman" w:cs="Times New Roman"/>
          <w:color w:val="000000"/>
        </w:rPr>
        <w:t xml:space="preserve"> on </w:t>
      </w:r>
      <w:proofErr w:type="spellStart"/>
      <w:r w:rsidR="00AB2B15" w:rsidRPr="00705170">
        <w:rPr>
          <w:rFonts w:ascii="Times New Roman" w:hAnsi="Times New Roman" w:cs="Times New Roman"/>
          <w:color w:val="000000"/>
        </w:rPr>
        <w:t>tort</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law</w:t>
      </w:r>
      <w:proofErr w:type="spellEnd"/>
      <w:r w:rsidR="00AB2B15" w:rsidRPr="00705170">
        <w:rPr>
          <w:rStyle w:val="DipnotBavurusu"/>
          <w:rFonts w:ascii="Times New Roman" w:hAnsi="Times New Roman" w:cs="Times New Roman"/>
          <w:color w:val="000000"/>
        </w:rPr>
        <w:footnoteReference w:id="252"/>
      </w:r>
      <w:r w:rsidR="00AB2B15" w:rsidRPr="00705170">
        <w:rPr>
          <w:rFonts w:ascii="Times New Roman" w:hAnsi="Times New Roman" w:cs="Times New Roman"/>
          <w:color w:val="000000"/>
        </w:rPr>
        <w:t xml:space="preserve">. </w:t>
      </w:r>
      <w:proofErr w:type="spellStart"/>
      <w:r w:rsidR="008F3A0C" w:rsidRPr="00705170">
        <w:rPr>
          <w:rFonts w:ascii="Times New Roman" w:hAnsi="Times New Roman" w:cs="Times New Roman"/>
          <w:color w:val="000000"/>
        </w:rPr>
        <w:t>However</w:t>
      </w:r>
      <w:proofErr w:type="spellEnd"/>
      <w:r w:rsidR="008F3A0C" w:rsidRPr="00705170">
        <w:rPr>
          <w:rFonts w:ascii="Times New Roman" w:hAnsi="Times New Roman" w:cs="Times New Roman"/>
          <w:color w:val="000000"/>
        </w:rPr>
        <w:t xml:space="preserve">, </w:t>
      </w:r>
      <w:r w:rsidR="00093FF8" w:rsidRPr="00705170">
        <w:rPr>
          <w:rFonts w:ascii="Times New Roman" w:hAnsi="Times New Roman" w:cs="Times New Roman"/>
          <w:color w:val="000000"/>
        </w:rPr>
        <w:t xml:space="preserve">it is a </w:t>
      </w:r>
      <w:proofErr w:type="spellStart"/>
      <w:r w:rsidR="00093FF8" w:rsidRPr="00705170">
        <w:rPr>
          <w:rFonts w:ascii="Times New Roman" w:hAnsi="Times New Roman" w:cs="Times New Roman"/>
          <w:color w:val="000000"/>
        </w:rPr>
        <w:t>fact</w:t>
      </w:r>
      <w:proofErr w:type="spellEnd"/>
      <w:r w:rsidR="00093FF8" w:rsidRPr="00705170">
        <w:rPr>
          <w:rFonts w:ascii="Times New Roman" w:hAnsi="Times New Roman" w:cs="Times New Roman"/>
          <w:color w:val="000000"/>
        </w:rPr>
        <w:t xml:space="preserve"> </w:t>
      </w:r>
      <w:proofErr w:type="spellStart"/>
      <w:r w:rsidR="00093FF8" w:rsidRPr="00705170">
        <w:rPr>
          <w:rFonts w:ascii="Times New Roman" w:hAnsi="Times New Roman" w:cs="Times New Roman"/>
          <w:color w:val="000000"/>
        </w:rPr>
        <w:t>that</w:t>
      </w:r>
      <w:proofErr w:type="spellEnd"/>
      <w:r w:rsidR="00093FF8" w:rsidRPr="00705170">
        <w:rPr>
          <w:rFonts w:ascii="Times New Roman" w:hAnsi="Times New Roman" w:cs="Times New Roman"/>
          <w:color w:val="000000"/>
        </w:rPr>
        <w:t xml:space="preserve"> </w:t>
      </w:r>
      <w:proofErr w:type="spellStart"/>
      <w:r w:rsidR="00093FF8" w:rsidRPr="00705170">
        <w:rPr>
          <w:rFonts w:ascii="Times New Roman" w:hAnsi="Times New Roman" w:cs="Times New Roman"/>
          <w:color w:val="000000"/>
        </w:rPr>
        <w:t>the</w:t>
      </w:r>
      <w:proofErr w:type="spellEnd"/>
      <w:r w:rsidR="00093FF8" w:rsidRPr="00705170">
        <w:rPr>
          <w:rFonts w:ascii="Times New Roman" w:hAnsi="Times New Roman" w:cs="Times New Roman"/>
          <w:color w:val="000000"/>
        </w:rPr>
        <w:t xml:space="preserve"> </w:t>
      </w:r>
      <w:proofErr w:type="spellStart"/>
      <w:r w:rsidR="00093FF8" w:rsidRPr="00705170">
        <w:rPr>
          <w:rFonts w:ascii="Times New Roman" w:hAnsi="Times New Roman" w:cs="Times New Roman"/>
          <w:color w:val="000000"/>
        </w:rPr>
        <w:t>plaintiff</w:t>
      </w:r>
      <w:proofErr w:type="spellEnd"/>
      <w:r w:rsidR="00093FF8" w:rsidRPr="00705170">
        <w:rPr>
          <w:rFonts w:ascii="Times New Roman" w:hAnsi="Times New Roman" w:cs="Times New Roman"/>
          <w:color w:val="000000"/>
        </w:rPr>
        <w:t xml:space="preserve"> </w:t>
      </w:r>
      <w:proofErr w:type="spellStart"/>
      <w:r w:rsidR="00093FF8" w:rsidRPr="00705170">
        <w:rPr>
          <w:rFonts w:ascii="Times New Roman" w:hAnsi="Times New Roman" w:cs="Times New Roman"/>
          <w:color w:val="000000"/>
        </w:rPr>
        <w:t>shareholder</w:t>
      </w:r>
      <w:proofErr w:type="spellEnd"/>
      <w:r w:rsidR="00093FF8" w:rsidRPr="00705170">
        <w:rPr>
          <w:rFonts w:ascii="Times New Roman" w:hAnsi="Times New Roman" w:cs="Times New Roman"/>
          <w:color w:val="000000"/>
        </w:rPr>
        <w:t xml:space="preserve"> </w:t>
      </w:r>
      <w:proofErr w:type="spellStart"/>
      <w:r w:rsidR="00093FF8" w:rsidRPr="00705170">
        <w:rPr>
          <w:rFonts w:ascii="Times New Roman" w:hAnsi="Times New Roman" w:cs="Times New Roman"/>
          <w:color w:val="000000"/>
        </w:rPr>
        <w:t>would</w:t>
      </w:r>
      <w:proofErr w:type="spellEnd"/>
      <w:r w:rsidR="00093FF8" w:rsidRPr="00705170">
        <w:rPr>
          <w:rFonts w:ascii="Times New Roman" w:hAnsi="Times New Roman" w:cs="Times New Roman"/>
          <w:color w:val="000000"/>
        </w:rPr>
        <w:t xml:space="preserve"> </w:t>
      </w:r>
      <w:proofErr w:type="spellStart"/>
      <w:r w:rsidR="00093FF8" w:rsidRPr="00705170">
        <w:rPr>
          <w:rFonts w:ascii="Times New Roman" w:hAnsi="Times New Roman" w:cs="Times New Roman"/>
          <w:color w:val="000000"/>
        </w:rPr>
        <w:t>have</w:t>
      </w:r>
      <w:proofErr w:type="spellEnd"/>
      <w:r w:rsidR="00093FF8" w:rsidRPr="00705170">
        <w:rPr>
          <w:rFonts w:ascii="Times New Roman" w:hAnsi="Times New Roman" w:cs="Times New Roman"/>
          <w:color w:val="000000"/>
        </w:rPr>
        <w:t xml:space="preserve"> a hard time in </w:t>
      </w:r>
      <w:proofErr w:type="spellStart"/>
      <w:r w:rsidR="00093FF8" w:rsidRPr="00705170">
        <w:rPr>
          <w:rFonts w:ascii="Times New Roman" w:hAnsi="Times New Roman" w:cs="Times New Roman"/>
          <w:color w:val="000000"/>
        </w:rPr>
        <w:t>satisfying</w:t>
      </w:r>
      <w:proofErr w:type="spellEnd"/>
      <w:r w:rsidR="00093FF8" w:rsidRPr="00705170">
        <w:rPr>
          <w:rFonts w:ascii="Times New Roman" w:hAnsi="Times New Roman" w:cs="Times New Roman"/>
          <w:color w:val="000000"/>
        </w:rPr>
        <w:t xml:space="preserve"> </w:t>
      </w:r>
      <w:proofErr w:type="spellStart"/>
      <w:r w:rsidR="00093FF8" w:rsidRPr="00705170">
        <w:rPr>
          <w:rFonts w:ascii="Times New Roman" w:hAnsi="Times New Roman" w:cs="Times New Roman"/>
          <w:color w:val="000000"/>
        </w:rPr>
        <w:t>the</w:t>
      </w:r>
      <w:proofErr w:type="spellEnd"/>
      <w:r w:rsidR="00093FF8" w:rsidRPr="00705170">
        <w:rPr>
          <w:rFonts w:ascii="Times New Roman" w:hAnsi="Times New Roman" w:cs="Times New Roman"/>
          <w:color w:val="000000"/>
        </w:rPr>
        <w:t xml:space="preserve"> </w:t>
      </w:r>
      <w:proofErr w:type="spellStart"/>
      <w:r w:rsidR="00093FF8" w:rsidRPr="00705170">
        <w:rPr>
          <w:rFonts w:ascii="Times New Roman" w:hAnsi="Times New Roman" w:cs="Times New Roman"/>
          <w:color w:val="000000"/>
        </w:rPr>
        <w:t>requirements</w:t>
      </w:r>
      <w:proofErr w:type="spellEnd"/>
      <w:r w:rsidR="00093FF8" w:rsidRPr="00705170">
        <w:rPr>
          <w:rFonts w:ascii="Times New Roman" w:hAnsi="Times New Roman" w:cs="Times New Roman"/>
          <w:color w:val="000000"/>
        </w:rPr>
        <w:t xml:space="preserve"> </w:t>
      </w:r>
      <w:proofErr w:type="spellStart"/>
      <w:r w:rsidR="00093FF8" w:rsidRPr="00705170">
        <w:rPr>
          <w:rFonts w:ascii="Times New Roman" w:hAnsi="Times New Roman" w:cs="Times New Roman"/>
          <w:color w:val="000000"/>
        </w:rPr>
        <w:t>and</w:t>
      </w:r>
      <w:proofErr w:type="spellEnd"/>
      <w:r w:rsidR="00093FF8" w:rsidRPr="00705170">
        <w:rPr>
          <w:rFonts w:ascii="Times New Roman" w:hAnsi="Times New Roman" w:cs="Times New Roman"/>
          <w:color w:val="000000"/>
        </w:rPr>
        <w:t xml:space="preserve"> </w:t>
      </w:r>
      <w:proofErr w:type="spellStart"/>
      <w:r w:rsidR="00093FF8" w:rsidRPr="00705170">
        <w:rPr>
          <w:rFonts w:ascii="Times New Roman" w:hAnsi="Times New Roman" w:cs="Times New Roman"/>
          <w:color w:val="000000"/>
        </w:rPr>
        <w:t>burden</w:t>
      </w:r>
      <w:proofErr w:type="spellEnd"/>
      <w:r w:rsidR="00093FF8" w:rsidRPr="00705170">
        <w:rPr>
          <w:rFonts w:ascii="Times New Roman" w:hAnsi="Times New Roman" w:cs="Times New Roman"/>
          <w:color w:val="000000"/>
        </w:rPr>
        <w:t xml:space="preserve"> of </w:t>
      </w:r>
      <w:proofErr w:type="spellStart"/>
      <w:r w:rsidR="00093FF8" w:rsidRPr="00705170">
        <w:rPr>
          <w:rFonts w:ascii="Times New Roman" w:hAnsi="Times New Roman" w:cs="Times New Roman"/>
          <w:color w:val="000000"/>
        </w:rPr>
        <w:t>proof</w:t>
      </w:r>
      <w:proofErr w:type="spellEnd"/>
      <w:r w:rsidR="00093FF8" w:rsidRPr="00705170">
        <w:rPr>
          <w:rFonts w:ascii="Times New Roman" w:hAnsi="Times New Roman" w:cs="Times New Roman"/>
          <w:color w:val="000000"/>
        </w:rPr>
        <w:t xml:space="preserve"> of </w:t>
      </w:r>
      <w:proofErr w:type="spellStart"/>
      <w:r w:rsidR="00093FF8" w:rsidRPr="00705170">
        <w:rPr>
          <w:rFonts w:ascii="Times New Roman" w:hAnsi="Times New Roman" w:cs="Times New Roman"/>
          <w:color w:val="000000"/>
        </w:rPr>
        <w:t>this</w:t>
      </w:r>
      <w:proofErr w:type="spellEnd"/>
      <w:r w:rsidR="00093FF8" w:rsidRPr="00705170">
        <w:rPr>
          <w:rFonts w:ascii="Times New Roman" w:hAnsi="Times New Roman" w:cs="Times New Roman"/>
          <w:color w:val="000000"/>
        </w:rPr>
        <w:t xml:space="preserve"> </w:t>
      </w:r>
      <w:proofErr w:type="spellStart"/>
      <w:r w:rsidR="004F1141" w:rsidRPr="00705170">
        <w:rPr>
          <w:rFonts w:ascii="Times New Roman" w:hAnsi="Times New Roman" w:cs="Times New Roman"/>
          <w:color w:val="000000"/>
        </w:rPr>
        <w:t>tort</w:t>
      </w:r>
      <w:proofErr w:type="spellEnd"/>
      <w:r w:rsidR="004F1141" w:rsidRPr="00705170">
        <w:rPr>
          <w:rFonts w:ascii="Times New Roman" w:hAnsi="Times New Roman" w:cs="Times New Roman"/>
          <w:color w:val="000000"/>
        </w:rPr>
        <w:t xml:space="preserve"> </w:t>
      </w:r>
      <w:proofErr w:type="spellStart"/>
      <w:r w:rsidR="00093FF8" w:rsidRPr="00705170">
        <w:rPr>
          <w:rFonts w:ascii="Times New Roman" w:hAnsi="Times New Roman" w:cs="Times New Roman"/>
          <w:color w:val="000000"/>
        </w:rPr>
        <w:t>cause</w:t>
      </w:r>
      <w:proofErr w:type="spellEnd"/>
      <w:r w:rsidR="00093FF8" w:rsidRPr="00705170">
        <w:rPr>
          <w:rFonts w:ascii="Times New Roman" w:hAnsi="Times New Roman" w:cs="Times New Roman"/>
          <w:color w:val="000000"/>
        </w:rPr>
        <w:t xml:space="preserve"> of </w:t>
      </w:r>
      <w:proofErr w:type="spellStart"/>
      <w:r w:rsidR="00093FF8" w:rsidRPr="00705170">
        <w:rPr>
          <w:rFonts w:ascii="Times New Roman" w:hAnsi="Times New Roman" w:cs="Times New Roman"/>
          <w:color w:val="000000"/>
        </w:rPr>
        <w:t>action</w:t>
      </w:r>
      <w:proofErr w:type="spellEnd"/>
      <w:r w:rsidR="00093FF8" w:rsidRPr="00705170">
        <w:rPr>
          <w:rStyle w:val="DipnotBavurusu"/>
          <w:rFonts w:ascii="Times New Roman" w:hAnsi="Times New Roman" w:cs="Times New Roman"/>
          <w:color w:val="000000"/>
        </w:rPr>
        <w:footnoteReference w:id="253"/>
      </w:r>
      <w:r w:rsidR="00AB2B15" w:rsidRPr="00705170">
        <w:rPr>
          <w:rFonts w:ascii="Times New Roman" w:hAnsi="Times New Roman" w:cs="Times New Roman"/>
          <w:color w:val="000000"/>
        </w:rPr>
        <w:t xml:space="preserve">; as </w:t>
      </w:r>
      <w:proofErr w:type="spellStart"/>
      <w:r w:rsidR="00AB2B15" w:rsidRPr="00705170">
        <w:rPr>
          <w:rFonts w:ascii="Times New Roman" w:hAnsi="Times New Roman" w:cs="Times New Roman"/>
          <w:color w:val="000000"/>
        </w:rPr>
        <w:t>the</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plaintiff</w:t>
      </w:r>
      <w:proofErr w:type="spellEnd"/>
      <w:r w:rsidR="00AB2B15" w:rsidRPr="00705170">
        <w:rPr>
          <w:rFonts w:ascii="Times New Roman" w:hAnsi="Times New Roman" w:cs="Times New Roman"/>
          <w:color w:val="000000"/>
        </w:rPr>
        <w:t xml:space="preserve"> has </w:t>
      </w:r>
      <w:proofErr w:type="spellStart"/>
      <w:r w:rsidR="00AB2B15" w:rsidRPr="00705170">
        <w:rPr>
          <w:rFonts w:ascii="Times New Roman" w:hAnsi="Times New Roman" w:cs="Times New Roman"/>
          <w:color w:val="000000"/>
        </w:rPr>
        <w:t>to</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show</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the</w:t>
      </w:r>
      <w:proofErr w:type="spellEnd"/>
      <w:r w:rsidR="00AB2B15" w:rsidRPr="00705170">
        <w:rPr>
          <w:rFonts w:ascii="Times New Roman" w:hAnsi="Times New Roman" w:cs="Times New Roman"/>
          <w:color w:val="000000"/>
        </w:rPr>
        <w:t xml:space="preserve"> </w:t>
      </w:r>
      <w:proofErr w:type="spellStart"/>
      <w:r w:rsidR="00501F8A" w:rsidRPr="00705170">
        <w:rPr>
          <w:rFonts w:ascii="Times New Roman" w:hAnsi="Times New Roman" w:cs="Times New Roman"/>
          <w:color w:val="000000"/>
        </w:rPr>
        <w:t>injury</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bad</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faith</w:t>
      </w:r>
      <w:proofErr w:type="spellEnd"/>
      <w:r w:rsidR="00AB2B15" w:rsidRPr="00705170">
        <w:rPr>
          <w:rFonts w:ascii="Times New Roman" w:hAnsi="Times New Roman" w:cs="Times New Roman"/>
          <w:color w:val="000000"/>
        </w:rPr>
        <w:t xml:space="preserve"> of </w:t>
      </w:r>
      <w:proofErr w:type="spellStart"/>
      <w:r w:rsidR="00AB2B15" w:rsidRPr="00705170">
        <w:rPr>
          <w:rFonts w:ascii="Times New Roman" w:hAnsi="Times New Roman" w:cs="Times New Roman"/>
          <w:color w:val="000000"/>
        </w:rPr>
        <w:t>the</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abusers</w:t>
      </w:r>
      <w:proofErr w:type="spellEnd"/>
      <w:r w:rsidR="00AB2B15"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i.e</w:t>
      </w:r>
      <w:proofErr w:type="spellEnd"/>
      <w:r w:rsidR="00DD49F9"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breach</w:t>
      </w:r>
      <w:proofErr w:type="spellEnd"/>
      <w:r w:rsidR="00DD49F9" w:rsidRPr="00705170">
        <w:rPr>
          <w:rFonts w:ascii="Times New Roman" w:hAnsi="Times New Roman" w:cs="Times New Roman"/>
          <w:color w:val="000000"/>
        </w:rPr>
        <w:t xml:space="preserve"> of a </w:t>
      </w:r>
      <w:proofErr w:type="spellStart"/>
      <w:r w:rsidR="00AB2B15" w:rsidRPr="00705170">
        <w:rPr>
          <w:rFonts w:ascii="Times New Roman" w:hAnsi="Times New Roman" w:cs="Times New Roman"/>
          <w:color w:val="000000"/>
        </w:rPr>
        <w:t>duty</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and</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unlawfulness</w:t>
      </w:r>
      <w:proofErr w:type="spellEnd"/>
      <w:r w:rsidR="00AB2B15" w:rsidRPr="00705170">
        <w:rPr>
          <w:rFonts w:ascii="Times New Roman" w:hAnsi="Times New Roman" w:cs="Times New Roman"/>
          <w:color w:val="000000"/>
        </w:rPr>
        <w:t xml:space="preserve"> of </w:t>
      </w:r>
      <w:proofErr w:type="spellStart"/>
      <w:r w:rsidR="00AB2B15" w:rsidRPr="00705170">
        <w:rPr>
          <w:rFonts w:ascii="Times New Roman" w:hAnsi="Times New Roman" w:cs="Times New Roman"/>
          <w:color w:val="000000"/>
        </w:rPr>
        <w:t>the</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act</w:t>
      </w:r>
      <w:proofErr w:type="spellEnd"/>
      <w:r w:rsidR="00DD49F9"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which</w:t>
      </w:r>
      <w:proofErr w:type="spellEnd"/>
      <w:r w:rsidR="00DD49F9"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would</w:t>
      </w:r>
      <w:proofErr w:type="spellEnd"/>
      <w:r w:rsidR="00DD49F9" w:rsidRPr="00705170">
        <w:rPr>
          <w:rFonts w:ascii="Times New Roman" w:hAnsi="Times New Roman" w:cs="Times New Roman"/>
          <w:color w:val="000000"/>
        </w:rPr>
        <w:t xml:space="preserve"> be </w:t>
      </w:r>
      <w:proofErr w:type="spellStart"/>
      <w:r w:rsidR="00DD49F9" w:rsidRPr="00705170">
        <w:rPr>
          <w:rFonts w:ascii="Times New Roman" w:hAnsi="Times New Roman" w:cs="Times New Roman"/>
          <w:color w:val="000000"/>
        </w:rPr>
        <w:t>established</w:t>
      </w:r>
      <w:proofErr w:type="spellEnd"/>
      <w:r w:rsidR="00DD49F9"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using</w:t>
      </w:r>
      <w:proofErr w:type="spellEnd"/>
      <w:r w:rsidR="00DD49F9"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Article</w:t>
      </w:r>
      <w:proofErr w:type="spellEnd"/>
      <w:r w:rsidR="00DD49F9" w:rsidRPr="00705170">
        <w:rPr>
          <w:rFonts w:ascii="Times New Roman" w:hAnsi="Times New Roman" w:cs="Times New Roman"/>
          <w:color w:val="000000"/>
        </w:rPr>
        <w:t xml:space="preserve"> 2 of </w:t>
      </w:r>
      <w:proofErr w:type="spellStart"/>
      <w:r w:rsidR="00DD49F9" w:rsidRPr="00705170">
        <w:rPr>
          <w:rFonts w:ascii="Times New Roman" w:hAnsi="Times New Roman" w:cs="Times New Roman"/>
          <w:color w:val="000000"/>
        </w:rPr>
        <w:t>the</w:t>
      </w:r>
      <w:proofErr w:type="spellEnd"/>
      <w:r w:rsidR="00DD49F9"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Turkish</w:t>
      </w:r>
      <w:proofErr w:type="spellEnd"/>
      <w:r w:rsidR="00DD49F9"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Civil</w:t>
      </w:r>
      <w:proofErr w:type="spellEnd"/>
      <w:r w:rsidR="00DD49F9" w:rsidRPr="00705170">
        <w:rPr>
          <w:rFonts w:ascii="Times New Roman" w:hAnsi="Times New Roman" w:cs="Times New Roman"/>
          <w:color w:val="000000"/>
        </w:rPr>
        <w:t xml:space="preserve"> </w:t>
      </w:r>
      <w:proofErr w:type="spellStart"/>
      <w:r w:rsidR="00DD49F9" w:rsidRPr="00705170">
        <w:rPr>
          <w:rFonts w:ascii="Times New Roman" w:hAnsi="Times New Roman" w:cs="Times New Roman"/>
          <w:color w:val="000000"/>
        </w:rPr>
        <w:t>Code</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lastRenderedPageBreak/>
        <w:t>and</w:t>
      </w:r>
      <w:proofErr w:type="spellEnd"/>
      <w:r w:rsidR="00AB2B15" w:rsidRPr="00705170">
        <w:rPr>
          <w:rFonts w:ascii="Times New Roman" w:hAnsi="Times New Roman" w:cs="Times New Roman"/>
          <w:color w:val="000000"/>
        </w:rPr>
        <w:t xml:space="preserve"> </w:t>
      </w:r>
      <w:proofErr w:type="spellStart"/>
      <w:r w:rsidR="00501F8A" w:rsidRPr="00705170">
        <w:rPr>
          <w:rFonts w:ascii="Times New Roman" w:hAnsi="Times New Roman" w:cs="Times New Roman"/>
          <w:color w:val="000000"/>
        </w:rPr>
        <w:t>whether</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the</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exercise</w:t>
      </w:r>
      <w:proofErr w:type="spellEnd"/>
      <w:r w:rsidR="00AB2B15" w:rsidRPr="00705170">
        <w:rPr>
          <w:rFonts w:ascii="Times New Roman" w:hAnsi="Times New Roman" w:cs="Times New Roman"/>
          <w:color w:val="000000"/>
        </w:rPr>
        <w:t xml:space="preserve"> of </w:t>
      </w:r>
      <w:proofErr w:type="spellStart"/>
      <w:r w:rsidR="00AB2B15" w:rsidRPr="00705170">
        <w:rPr>
          <w:rFonts w:ascii="Times New Roman" w:hAnsi="Times New Roman" w:cs="Times New Roman"/>
          <w:color w:val="000000"/>
        </w:rPr>
        <w:t>the</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shareholders</w:t>
      </w:r>
      <w:proofErr w:type="spellEnd"/>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rights</w:t>
      </w:r>
      <w:proofErr w:type="spellEnd"/>
      <w:r w:rsidR="00AB2B15" w:rsidRPr="00705170">
        <w:rPr>
          <w:rFonts w:ascii="Times New Roman" w:hAnsi="Times New Roman" w:cs="Times New Roman"/>
          <w:color w:val="000000"/>
        </w:rPr>
        <w:t xml:space="preserve"> </w:t>
      </w:r>
      <w:r w:rsidR="00501F8A" w:rsidRPr="00705170">
        <w:rPr>
          <w:rFonts w:ascii="Times New Roman" w:hAnsi="Times New Roman" w:cs="Times New Roman"/>
          <w:color w:val="000000"/>
        </w:rPr>
        <w:t xml:space="preserve">is </w:t>
      </w:r>
      <w:proofErr w:type="spellStart"/>
      <w:r w:rsidR="00501F8A" w:rsidRPr="00705170">
        <w:rPr>
          <w:rFonts w:ascii="Times New Roman" w:hAnsi="Times New Roman" w:cs="Times New Roman"/>
          <w:color w:val="000000"/>
        </w:rPr>
        <w:t>the</w:t>
      </w:r>
      <w:proofErr w:type="spellEnd"/>
      <w:r w:rsidR="00501F8A" w:rsidRPr="00705170">
        <w:rPr>
          <w:rFonts w:ascii="Times New Roman" w:hAnsi="Times New Roman" w:cs="Times New Roman"/>
          <w:color w:val="000000"/>
        </w:rPr>
        <w:t xml:space="preserve"> </w:t>
      </w:r>
      <w:proofErr w:type="spellStart"/>
      <w:r w:rsidR="00501F8A" w:rsidRPr="00705170">
        <w:rPr>
          <w:rFonts w:ascii="Times New Roman" w:hAnsi="Times New Roman" w:cs="Times New Roman"/>
          <w:color w:val="000000"/>
        </w:rPr>
        <w:t>proximate</w:t>
      </w:r>
      <w:proofErr w:type="spellEnd"/>
      <w:r w:rsidR="00501F8A" w:rsidRPr="00705170">
        <w:rPr>
          <w:rFonts w:ascii="Times New Roman" w:hAnsi="Times New Roman" w:cs="Times New Roman"/>
          <w:color w:val="000000"/>
        </w:rPr>
        <w:t xml:space="preserve"> </w:t>
      </w:r>
      <w:proofErr w:type="spellStart"/>
      <w:r w:rsidR="00501F8A" w:rsidRPr="00705170">
        <w:rPr>
          <w:rFonts w:ascii="Times New Roman" w:hAnsi="Times New Roman" w:cs="Times New Roman"/>
          <w:color w:val="000000"/>
        </w:rPr>
        <w:t>cause</w:t>
      </w:r>
      <w:proofErr w:type="spellEnd"/>
      <w:r w:rsidR="00501F8A" w:rsidRPr="00705170">
        <w:rPr>
          <w:rFonts w:ascii="Times New Roman" w:hAnsi="Times New Roman" w:cs="Times New Roman"/>
          <w:color w:val="000000"/>
        </w:rPr>
        <w:t xml:space="preserve"> of</w:t>
      </w:r>
      <w:r w:rsidR="00AB2B15" w:rsidRPr="00705170">
        <w:rPr>
          <w:rFonts w:ascii="Times New Roman" w:hAnsi="Times New Roman" w:cs="Times New Roman"/>
          <w:color w:val="000000"/>
        </w:rPr>
        <w:t xml:space="preserve"> </w:t>
      </w:r>
      <w:proofErr w:type="spellStart"/>
      <w:r w:rsidR="00AB2B15" w:rsidRPr="00705170">
        <w:rPr>
          <w:rFonts w:ascii="Times New Roman" w:hAnsi="Times New Roman" w:cs="Times New Roman"/>
          <w:color w:val="000000"/>
        </w:rPr>
        <w:t>the</w:t>
      </w:r>
      <w:proofErr w:type="spellEnd"/>
      <w:r w:rsidR="00AB2B15" w:rsidRPr="00705170">
        <w:rPr>
          <w:rFonts w:ascii="Times New Roman" w:hAnsi="Times New Roman" w:cs="Times New Roman"/>
          <w:color w:val="000000"/>
        </w:rPr>
        <w:t xml:space="preserve"> </w:t>
      </w:r>
      <w:proofErr w:type="spellStart"/>
      <w:r w:rsidR="00501F8A" w:rsidRPr="00705170">
        <w:rPr>
          <w:rFonts w:ascii="Times New Roman" w:hAnsi="Times New Roman" w:cs="Times New Roman"/>
          <w:color w:val="000000"/>
        </w:rPr>
        <w:t>injury</w:t>
      </w:r>
      <w:proofErr w:type="spellEnd"/>
      <w:r w:rsidR="00AB2B15" w:rsidRPr="00705170">
        <w:rPr>
          <w:rStyle w:val="DipnotBavurusu"/>
          <w:rFonts w:ascii="Times New Roman" w:hAnsi="Times New Roman" w:cs="Times New Roman"/>
          <w:color w:val="000000"/>
        </w:rPr>
        <w:footnoteReference w:id="254"/>
      </w:r>
      <w:r w:rsidR="00AB2B15" w:rsidRPr="00705170">
        <w:rPr>
          <w:rFonts w:ascii="Times New Roman" w:hAnsi="Times New Roman" w:cs="Times New Roman"/>
          <w:color w:val="000000"/>
        </w:rPr>
        <w:t>.</w:t>
      </w:r>
      <w:r w:rsidR="00556514" w:rsidRPr="00705170">
        <w:rPr>
          <w:rFonts w:ascii="Times New Roman" w:hAnsi="Times New Roman" w:cs="Times New Roman"/>
          <w:color w:val="000000"/>
        </w:rPr>
        <w:t xml:space="preserve"> </w:t>
      </w:r>
      <w:proofErr w:type="spellStart"/>
      <w:r w:rsidR="00556514" w:rsidRPr="00705170">
        <w:rPr>
          <w:rFonts w:ascii="Times New Roman" w:hAnsi="Times New Roman" w:cs="Times New Roman"/>
          <w:color w:val="000000"/>
        </w:rPr>
        <w:t>This</w:t>
      </w:r>
      <w:proofErr w:type="spellEnd"/>
      <w:r w:rsidR="00556514" w:rsidRPr="00705170">
        <w:rPr>
          <w:rFonts w:ascii="Times New Roman" w:hAnsi="Times New Roman" w:cs="Times New Roman"/>
          <w:color w:val="000000"/>
        </w:rPr>
        <w:t xml:space="preserve"> is </w:t>
      </w:r>
      <w:proofErr w:type="spellStart"/>
      <w:r w:rsidR="00B0532E" w:rsidRPr="00705170">
        <w:rPr>
          <w:rFonts w:ascii="Times New Roman" w:hAnsi="Times New Roman" w:cs="Times New Roman"/>
          <w:color w:val="000000"/>
        </w:rPr>
        <w:t>also</w:t>
      </w:r>
      <w:proofErr w:type="spellEnd"/>
      <w:r w:rsidR="00B0532E" w:rsidRPr="00705170">
        <w:rPr>
          <w:rFonts w:ascii="Times New Roman" w:hAnsi="Times New Roman" w:cs="Times New Roman"/>
          <w:color w:val="000000"/>
        </w:rPr>
        <w:t xml:space="preserve"> </w:t>
      </w:r>
      <w:proofErr w:type="spellStart"/>
      <w:r w:rsidR="00556514" w:rsidRPr="00705170">
        <w:rPr>
          <w:rFonts w:ascii="Times New Roman" w:hAnsi="Times New Roman" w:cs="Times New Roman"/>
          <w:color w:val="000000"/>
        </w:rPr>
        <w:t>why</w:t>
      </w:r>
      <w:proofErr w:type="spellEnd"/>
      <w:r w:rsidR="00556514" w:rsidRPr="00705170">
        <w:rPr>
          <w:rFonts w:ascii="Times New Roman" w:hAnsi="Times New Roman" w:cs="Times New Roman"/>
          <w:color w:val="000000"/>
        </w:rPr>
        <w:t xml:space="preserve"> </w:t>
      </w:r>
      <w:proofErr w:type="spellStart"/>
      <w:r w:rsidR="00556514" w:rsidRPr="00705170">
        <w:rPr>
          <w:rFonts w:ascii="Times New Roman" w:hAnsi="Times New Roman" w:cs="Times New Roman"/>
          <w:color w:val="000000"/>
        </w:rPr>
        <w:t>the</w:t>
      </w:r>
      <w:proofErr w:type="spellEnd"/>
      <w:r w:rsidR="00556514" w:rsidRPr="00705170">
        <w:rPr>
          <w:rFonts w:ascii="Times New Roman" w:hAnsi="Times New Roman" w:cs="Times New Roman"/>
          <w:color w:val="000000"/>
        </w:rPr>
        <w:t xml:space="preserve"> </w:t>
      </w:r>
      <w:proofErr w:type="spellStart"/>
      <w:r w:rsidR="00556514" w:rsidRPr="00705170">
        <w:rPr>
          <w:rFonts w:ascii="Times New Roman" w:hAnsi="Times New Roman" w:cs="Times New Roman"/>
          <w:color w:val="000000"/>
        </w:rPr>
        <w:t>contemporary</w:t>
      </w:r>
      <w:proofErr w:type="spellEnd"/>
      <w:r w:rsidR="00556514" w:rsidRPr="00705170">
        <w:rPr>
          <w:rFonts w:ascii="Times New Roman" w:hAnsi="Times New Roman" w:cs="Times New Roman"/>
          <w:color w:val="000000"/>
        </w:rPr>
        <w:t xml:space="preserve"> </w:t>
      </w:r>
      <w:proofErr w:type="spellStart"/>
      <w:r w:rsidR="00B0532E" w:rsidRPr="00705170">
        <w:rPr>
          <w:rFonts w:ascii="Times New Roman" w:hAnsi="Times New Roman" w:cs="Times New Roman"/>
          <w:color w:val="000000"/>
        </w:rPr>
        <w:t>approach</w:t>
      </w:r>
      <w:proofErr w:type="spellEnd"/>
      <w:r w:rsidR="00B0532E" w:rsidRPr="00705170">
        <w:rPr>
          <w:rFonts w:ascii="Times New Roman" w:hAnsi="Times New Roman" w:cs="Times New Roman"/>
          <w:color w:val="000000"/>
        </w:rPr>
        <w:t xml:space="preserve"> </w:t>
      </w:r>
      <w:proofErr w:type="spellStart"/>
      <w:r w:rsidR="00B0532E" w:rsidRPr="00705170">
        <w:rPr>
          <w:rFonts w:ascii="Times New Roman" w:hAnsi="Times New Roman" w:cs="Times New Roman"/>
          <w:color w:val="000000"/>
        </w:rPr>
        <w:t>to</w:t>
      </w:r>
      <w:proofErr w:type="spellEnd"/>
      <w:r w:rsidR="00B0532E" w:rsidRPr="00705170">
        <w:rPr>
          <w:rFonts w:ascii="Times New Roman" w:hAnsi="Times New Roman" w:cs="Times New Roman"/>
          <w:color w:val="000000"/>
        </w:rPr>
        <w:t xml:space="preserve"> </w:t>
      </w:r>
      <w:proofErr w:type="spellStart"/>
      <w:r w:rsidR="00B0532E" w:rsidRPr="00705170">
        <w:rPr>
          <w:rFonts w:ascii="Times New Roman" w:hAnsi="Times New Roman" w:cs="Times New Roman"/>
          <w:color w:val="000000"/>
        </w:rPr>
        <w:t>deal</w:t>
      </w:r>
      <w:proofErr w:type="spellEnd"/>
      <w:r w:rsidR="00B0532E" w:rsidRPr="00705170">
        <w:rPr>
          <w:rFonts w:ascii="Times New Roman" w:hAnsi="Times New Roman" w:cs="Times New Roman"/>
          <w:color w:val="000000"/>
        </w:rPr>
        <w:t xml:space="preserve"> </w:t>
      </w:r>
      <w:proofErr w:type="spellStart"/>
      <w:r w:rsidR="00B0532E" w:rsidRPr="00705170">
        <w:rPr>
          <w:rFonts w:ascii="Times New Roman" w:hAnsi="Times New Roman" w:cs="Times New Roman"/>
          <w:color w:val="000000"/>
        </w:rPr>
        <w:t>with</w:t>
      </w:r>
      <w:proofErr w:type="spellEnd"/>
      <w:r w:rsidR="00B0532E" w:rsidRPr="00705170">
        <w:rPr>
          <w:rFonts w:ascii="Times New Roman" w:hAnsi="Times New Roman" w:cs="Times New Roman"/>
          <w:color w:val="000000"/>
        </w:rPr>
        <w:t xml:space="preserve"> </w:t>
      </w:r>
      <w:proofErr w:type="spellStart"/>
      <w:r w:rsidR="00B0532E" w:rsidRPr="00705170">
        <w:rPr>
          <w:rFonts w:ascii="Times New Roman" w:hAnsi="Times New Roman" w:cs="Times New Roman"/>
          <w:color w:val="000000"/>
        </w:rPr>
        <w:t>shareholder</w:t>
      </w:r>
      <w:proofErr w:type="spellEnd"/>
      <w:r w:rsidR="00B0532E" w:rsidRPr="00705170">
        <w:rPr>
          <w:rFonts w:ascii="Times New Roman" w:hAnsi="Times New Roman" w:cs="Times New Roman"/>
          <w:color w:val="000000"/>
        </w:rPr>
        <w:t xml:space="preserve"> </w:t>
      </w:r>
      <w:proofErr w:type="spellStart"/>
      <w:r w:rsidR="00B0532E" w:rsidRPr="00705170">
        <w:rPr>
          <w:rFonts w:ascii="Times New Roman" w:hAnsi="Times New Roman" w:cs="Times New Roman"/>
          <w:color w:val="000000"/>
        </w:rPr>
        <w:t>abuses</w:t>
      </w:r>
      <w:proofErr w:type="spellEnd"/>
      <w:r w:rsidR="00B0532E" w:rsidRPr="00705170">
        <w:rPr>
          <w:rFonts w:ascii="Times New Roman" w:hAnsi="Times New Roman" w:cs="Times New Roman"/>
          <w:color w:val="000000"/>
        </w:rPr>
        <w:t xml:space="preserve"> is </w:t>
      </w:r>
      <w:proofErr w:type="spellStart"/>
      <w:r w:rsidR="00B0532E" w:rsidRPr="00705170">
        <w:rPr>
          <w:rFonts w:ascii="Times New Roman" w:hAnsi="Times New Roman" w:cs="Times New Roman"/>
          <w:color w:val="000000"/>
        </w:rPr>
        <w:t>to</w:t>
      </w:r>
      <w:proofErr w:type="spellEnd"/>
      <w:r w:rsidR="00B0532E" w:rsidRPr="00705170">
        <w:rPr>
          <w:rFonts w:ascii="Times New Roman" w:hAnsi="Times New Roman" w:cs="Times New Roman"/>
          <w:color w:val="000000"/>
        </w:rPr>
        <w:t xml:space="preserve"> </w:t>
      </w:r>
      <w:proofErr w:type="spellStart"/>
      <w:r w:rsidR="00B0532E" w:rsidRPr="00705170">
        <w:rPr>
          <w:rFonts w:ascii="Times New Roman" w:hAnsi="Times New Roman" w:cs="Times New Roman"/>
          <w:color w:val="000000"/>
        </w:rPr>
        <w:t>create</w:t>
      </w:r>
      <w:proofErr w:type="spellEnd"/>
      <w:r w:rsidR="00B0532E" w:rsidRPr="00705170">
        <w:rPr>
          <w:rFonts w:ascii="Times New Roman" w:hAnsi="Times New Roman" w:cs="Times New Roman"/>
          <w:color w:val="000000"/>
        </w:rPr>
        <w:t xml:space="preserve"> </w:t>
      </w:r>
      <w:proofErr w:type="spellStart"/>
      <w:r w:rsidR="00B0532E" w:rsidRPr="00705170">
        <w:rPr>
          <w:rFonts w:ascii="Times New Roman" w:hAnsi="Times New Roman" w:cs="Times New Roman"/>
          <w:color w:val="000000"/>
        </w:rPr>
        <w:t>case</w:t>
      </w:r>
      <w:proofErr w:type="spellEnd"/>
      <w:r w:rsidR="00B0532E" w:rsidRPr="00705170">
        <w:rPr>
          <w:rFonts w:ascii="Times New Roman" w:hAnsi="Times New Roman" w:cs="Times New Roman"/>
          <w:color w:val="000000"/>
        </w:rPr>
        <w:t xml:space="preserve">- </w:t>
      </w:r>
      <w:proofErr w:type="spellStart"/>
      <w:r w:rsidR="00B0532E" w:rsidRPr="00705170">
        <w:rPr>
          <w:rFonts w:ascii="Times New Roman" w:hAnsi="Times New Roman" w:cs="Times New Roman"/>
          <w:color w:val="000000"/>
        </w:rPr>
        <w:t>specific</w:t>
      </w:r>
      <w:proofErr w:type="spellEnd"/>
      <w:r w:rsidR="00B0532E" w:rsidRPr="00705170">
        <w:rPr>
          <w:rFonts w:ascii="Times New Roman" w:hAnsi="Times New Roman" w:cs="Times New Roman"/>
          <w:color w:val="000000"/>
        </w:rPr>
        <w:t xml:space="preserve"> </w:t>
      </w:r>
      <w:proofErr w:type="spellStart"/>
      <w:r w:rsidR="00B0532E" w:rsidRPr="00705170">
        <w:rPr>
          <w:rFonts w:ascii="Times New Roman" w:hAnsi="Times New Roman" w:cs="Times New Roman"/>
          <w:color w:val="000000"/>
        </w:rPr>
        <w:t>provisions</w:t>
      </w:r>
      <w:proofErr w:type="spellEnd"/>
      <w:r w:rsidR="004F1141" w:rsidRPr="00705170">
        <w:rPr>
          <w:rFonts w:ascii="Times New Roman" w:hAnsi="Times New Roman" w:cs="Times New Roman"/>
          <w:color w:val="000000"/>
        </w:rPr>
        <w:t xml:space="preserve"> in </w:t>
      </w:r>
      <w:proofErr w:type="spellStart"/>
      <w:r w:rsidR="004F1141" w:rsidRPr="00705170">
        <w:rPr>
          <w:rFonts w:ascii="Times New Roman" w:hAnsi="Times New Roman" w:cs="Times New Roman"/>
          <w:color w:val="000000"/>
        </w:rPr>
        <w:t>Turkish</w:t>
      </w:r>
      <w:proofErr w:type="spellEnd"/>
      <w:r w:rsidR="004F1141" w:rsidRPr="00705170">
        <w:rPr>
          <w:rFonts w:ascii="Times New Roman" w:hAnsi="Times New Roman" w:cs="Times New Roman"/>
          <w:color w:val="000000"/>
        </w:rPr>
        <w:t xml:space="preserve"> </w:t>
      </w:r>
      <w:proofErr w:type="spellStart"/>
      <w:r w:rsidR="004F1141" w:rsidRPr="00705170">
        <w:rPr>
          <w:rFonts w:ascii="Times New Roman" w:hAnsi="Times New Roman" w:cs="Times New Roman"/>
          <w:color w:val="000000"/>
        </w:rPr>
        <w:t>law</w:t>
      </w:r>
      <w:proofErr w:type="spellEnd"/>
      <w:r w:rsidR="00B0532E" w:rsidRPr="00705170">
        <w:rPr>
          <w:rStyle w:val="DipnotBavurusu"/>
          <w:rFonts w:ascii="Times New Roman" w:hAnsi="Times New Roman" w:cs="Times New Roman"/>
          <w:color w:val="000000"/>
        </w:rPr>
        <w:footnoteReference w:id="255"/>
      </w:r>
      <w:r w:rsidR="00B0532E" w:rsidRPr="00705170">
        <w:rPr>
          <w:rFonts w:ascii="Times New Roman" w:hAnsi="Times New Roman" w:cs="Times New Roman"/>
          <w:color w:val="000000"/>
        </w:rPr>
        <w:t>.</w:t>
      </w:r>
    </w:p>
    <w:p w14:paraId="72C38402" w14:textId="142D82D5" w:rsidR="00253590" w:rsidRPr="0047452F" w:rsidRDefault="00391B16" w:rsidP="00253590">
      <w:pPr>
        <w:spacing w:after="240" w:line="480" w:lineRule="auto"/>
        <w:ind w:firstLine="708"/>
        <w:jc w:val="both"/>
        <w:rPr>
          <w:rFonts w:ascii="Times New Roman" w:hAnsi="Times New Roman" w:cs="Times New Roman"/>
        </w:rPr>
      </w:pPr>
      <w:r>
        <w:rPr>
          <w:rFonts w:ascii="Times New Roman" w:hAnsi="Times New Roman" w:cs="Times New Roman"/>
          <w:color w:val="000000"/>
        </w:rPr>
        <w:t xml:space="preserve">6102 </w:t>
      </w:r>
      <w:proofErr w:type="spellStart"/>
      <w:r>
        <w:rPr>
          <w:rFonts w:ascii="Times New Roman" w:hAnsi="Times New Roman" w:cs="Times New Roman"/>
          <w:color w:val="000000"/>
        </w:rPr>
        <w:t>numbered</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Turkish</w:t>
      </w:r>
      <w:proofErr w:type="spellEnd"/>
      <w:r>
        <w:rPr>
          <w:rFonts w:ascii="Times New Roman" w:hAnsi="Times New Roman" w:cs="Times New Roman"/>
          <w:color w:val="000000"/>
        </w:rPr>
        <w:t xml:space="preserve"> Commercial </w:t>
      </w:r>
      <w:proofErr w:type="spellStart"/>
      <w:r>
        <w:rPr>
          <w:rFonts w:ascii="Times New Roman" w:hAnsi="Times New Roman" w:cs="Times New Roman"/>
          <w:color w:val="000000"/>
        </w:rPr>
        <w:t>Code</w:t>
      </w:r>
      <w:proofErr w:type="spellEnd"/>
      <w:r>
        <w:rPr>
          <w:rFonts w:ascii="Times New Roman" w:hAnsi="Times New Roman" w:cs="Times New Roman"/>
          <w:color w:val="000000"/>
        </w:rPr>
        <w:t xml:space="preserve"> (</w:t>
      </w:r>
      <w:r w:rsidR="001A6D11" w:rsidRPr="00705170">
        <w:rPr>
          <w:rFonts w:ascii="Times New Roman" w:hAnsi="Times New Roman" w:cs="Times New Roman"/>
          <w:color w:val="000000"/>
        </w:rPr>
        <w:t>TCC</w:t>
      </w:r>
      <w:r>
        <w:rPr>
          <w:rFonts w:ascii="Times New Roman" w:hAnsi="Times New Roman" w:cs="Times New Roman"/>
          <w:color w:val="000000"/>
        </w:rPr>
        <w:t>)</w:t>
      </w:r>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includes</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many</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provisions</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that</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would</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indirectly</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curb</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the</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influencing</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shareholder</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power</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if</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activated</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even</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though</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these</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provisions</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are</w:t>
      </w:r>
      <w:proofErr w:type="spellEnd"/>
      <w:r w:rsidR="001A6D11" w:rsidRPr="00705170">
        <w:rPr>
          <w:rFonts w:ascii="Times New Roman" w:hAnsi="Times New Roman" w:cs="Times New Roman"/>
          <w:color w:val="000000"/>
        </w:rPr>
        <w:t xml:space="preserve"> not </w:t>
      </w:r>
      <w:proofErr w:type="spellStart"/>
      <w:r w:rsidR="001A6D11" w:rsidRPr="00705170">
        <w:rPr>
          <w:rFonts w:ascii="Times New Roman" w:hAnsi="Times New Roman" w:cs="Times New Roman"/>
          <w:color w:val="000000"/>
        </w:rPr>
        <w:t>tailored</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with</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the</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primary</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aim</w:t>
      </w:r>
      <w:proofErr w:type="spellEnd"/>
      <w:r w:rsidR="001A6D11" w:rsidRPr="00705170">
        <w:rPr>
          <w:rFonts w:ascii="Times New Roman" w:hAnsi="Times New Roman" w:cs="Times New Roman"/>
          <w:color w:val="000000"/>
        </w:rPr>
        <w:t xml:space="preserve"> of </w:t>
      </w:r>
      <w:proofErr w:type="spellStart"/>
      <w:r w:rsidR="001A6D11" w:rsidRPr="00705170">
        <w:rPr>
          <w:rFonts w:ascii="Times New Roman" w:hAnsi="Times New Roman" w:cs="Times New Roman"/>
          <w:color w:val="000000"/>
        </w:rPr>
        <w:t>curbing</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that</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power</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These</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pr</w:t>
      </w:r>
      <w:r w:rsidR="00207064" w:rsidRPr="00705170">
        <w:rPr>
          <w:rFonts w:ascii="Times New Roman" w:hAnsi="Times New Roman" w:cs="Times New Roman"/>
          <w:color w:val="000000"/>
        </w:rPr>
        <w:t>ovisions</w:t>
      </w:r>
      <w:proofErr w:type="spellEnd"/>
      <w:r w:rsidR="00207064" w:rsidRPr="00705170">
        <w:rPr>
          <w:rFonts w:ascii="Times New Roman" w:hAnsi="Times New Roman" w:cs="Times New Roman"/>
          <w:color w:val="000000"/>
        </w:rPr>
        <w:t xml:space="preserve"> can be </w:t>
      </w:r>
      <w:proofErr w:type="spellStart"/>
      <w:r w:rsidR="00207064" w:rsidRPr="00705170">
        <w:rPr>
          <w:rFonts w:ascii="Times New Roman" w:hAnsi="Times New Roman" w:cs="Times New Roman"/>
          <w:color w:val="000000"/>
        </w:rPr>
        <w:t>listed</w:t>
      </w:r>
      <w:proofErr w:type="spellEnd"/>
      <w:r w:rsidR="00207064" w:rsidRPr="00705170">
        <w:rPr>
          <w:rFonts w:ascii="Times New Roman" w:hAnsi="Times New Roman" w:cs="Times New Roman"/>
          <w:color w:val="000000"/>
        </w:rPr>
        <w:t xml:space="preserve"> as</w:t>
      </w:r>
      <w:r w:rsidR="00DC784E" w:rsidRPr="00705170">
        <w:rPr>
          <w:rStyle w:val="DipnotBavurusu"/>
          <w:rFonts w:ascii="Times New Roman" w:hAnsi="Times New Roman" w:cs="Times New Roman"/>
          <w:color w:val="000000"/>
        </w:rPr>
        <w:footnoteReference w:id="256"/>
      </w:r>
      <w:r w:rsidR="00DC784E" w:rsidRPr="00705170">
        <w:rPr>
          <w:rFonts w:ascii="Times New Roman" w:hAnsi="Times New Roman" w:cs="Times New Roman"/>
          <w:color w:val="000000"/>
        </w:rPr>
        <w:t>;</w:t>
      </w:r>
      <w:r w:rsidR="00207064" w:rsidRPr="00705170">
        <w:rPr>
          <w:rFonts w:ascii="Times New Roman" w:hAnsi="Times New Roman" w:cs="Times New Roman"/>
          <w:color w:val="000000"/>
        </w:rPr>
        <w:t xml:space="preserve"> </w:t>
      </w:r>
      <w:proofErr w:type="spellStart"/>
      <w:r w:rsidR="00207064" w:rsidRPr="00705170">
        <w:rPr>
          <w:rFonts w:ascii="Times New Roman" w:hAnsi="Times New Roman" w:cs="Times New Roman"/>
          <w:color w:val="000000"/>
        </w:rPr>
        <w:t>p</w:t>
      </w:r>
      <w:r w:rsidR="004B0B09" w:rsidRPr="00705170">
        <w:rPr>
          <w:rFonts w:ascii="Times New Roman" w:hAnsi="Times New Roman" w:cs="Times New Roman"/>
          <w:color w:val="000000"/>
        </w:rPr>
        <w:t>etition</w:t>
      </w:r>
      <w:proofErr w:type="spellEnd"/>
      <w:r w:rsidR="004B0B09" w:rsidRPr="00705170">
        <w:rPr>
          <w:rFonts w:ascii="Times New Roman" w:hAnsi="Times New Roman" w:cs="Times New Roman"/>
          <w:color w:val="000000"/>
        </w:rPr>
        <w:t xml:space="preserve"> </w:t>
      </w:r>
      <w:proofErr w:type="spellStart"/>
      <w:r w:rsidR="004B0B09" w:rsidRPr="00705170">
        <w:rPr>
          <w:rFonts w:ascii="Times New Roman" w:hAnsi="Times New Roman" w:cs="Times New Roman"/>
          <w:color w:val="000000"/>
        </w:rPr>
        <w:t>for</w:t>
      </w:r>
      <w:proofErr w:type="spellEnd"/>
      <w:r w:rsidR="004B0B09" w:rsidRPr="00705170">
        <w:rPr>
          <w:rFonts w:ascii="Times New Roman" w:hAnsi="Times New Roman" w:cs="Times New Roman"/>
          <w:color w:val="000000"/>
        </w:rPr>
        <w:t xml:space="preserve"> </w:t>
      </w:r>
      <w:proofErr w:type="spellStart"/>
      <w:r w:rsidR="004B0B09" w:rsidRPr="00705170">
        <w:rPr>
          <w:rFonts w:ascii="Times New Roman" w:hAnsi="Times New Roman" w:cs="Times New Roman"/>
          <w:color w:val="000000"/>
        </w:rPr>
        <w:t>nullity</w:t>
      </w:r>
      <w:proofErr w:type="spellEnd"/>
      <w:r w:rsidR="004B0B09" w:rsidRPr="00705170">
        <w:rPr>
          <w:rFonts w:ascii="Times New Roman" w:hAnsi="Times New Roman" w:cs="Times New Roman"/>
          <w:color w:val="000000"/>
        </w:rPr>
        <w:t xml:space="preserve"> of</w:t>
      </w:r>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the</w:t>
      </w:r>
      <w:proofErr w:type="spellEnd"/>
      <w:r w:rsidR="001A6D11" w:rsidRPr="00705170">
        <w:rPr>
          <w:rFonts w:ascii="Times New Roman" w:hAnsi="Times New Roman" w:cs="Times New Roman"/>
          <w:color w:val="000000"/>
        </w:rPr>
        <w:t xml:space="preserve"> general </w:t>
      </w:r>
      <w:proofErr w:type="spellStart"/>
      <w:r w:rsidR="001A6D11" w:rsidRPr="00705170">
        <w:rPr>
          <w:rFonts w:ascii="Times New Roman" w:hAnsi="Times New Roman" w:cs="Times New Roman"/>
          <w:color w:val="000000"/>
        </w:rPr>
        <w:t>assembly</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resolution</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Article</w:t>
      </w:r>
      <w:proofErr w:type="spellEnd"/>
      <w:r w:rsidR="001A6D11" w:rsidRPr="00705170">
        <w:rPr>
          <w:rFonts w:ascii="Times New Roman" w:hAnsi="Times New Roman" w:cs="Times New Roman"/>
          <w:color w:val="000000"/>
        </w:rPr>
        <w:t xml:space="preserve"> 447), </w:t>
      </w:r>
      <w:proofErr w:type="spellStart"/>
      <w:r w:rsidR="004457A2">
        <w:rPr>
          <w:rFonts w:ascii="Times New Roman" w:hAnsi="Times New Roman" w:cs="Times New Roman"/>
          <w:color w:val="000000"/>
        </w:rPr>
        <w:t>prohibition</w:t>
      </w:r>
      <w:proofErr w:type="spellEnd"/>
      <w:r w:rsidR="004457A2">
        <w:rPr>
          <w:rFonts w:ascii="Times New Roman" w:hAnsi="Times New Roman" w:cs="Times New Roman"/>
          <w:color w:val="000000"/>
        </w:rPr>
        <w:t xml:space="preserve"> on </w:t>
      </w:r>
      <w:proofErr w:type="spellStart"/>
      <w:r w:rsidR="004457A2">
        <w:rPr>
          <w:rFonts w:ascii="Times New Roman" w:hAnsi="Times New Roman" w:cs="Times New Roman"/>
          <w:color w:val="000000"/>
        </w:rPr>
        <w:t>return</w:t>
      </w:r>
      <w:proofErr w:type="spellEnd"/>
      <w:r w:rsidR="004457A2">
        <w:rPr>
          <w:rFonts w:ascii="Times New Roman" w:hAnsi="Times New Roman" w:cs="Times New Roman"/>
          <w:color w:val="000000"/>
        </w:rPr>
        <w:t xml:space="preserve"> of </w:t>
      </w:r>
      <w:proofErr w:type="spellStart"/>
      <w:r w:rsidR="004457A2">
        <w:rPr>
          <w:rFonts w:ascii="Times New Roman" w:hAnsi="Times New Roman" w:cs="Times New Roman"/>
          <w:color w:val="000000"/>
        </w:rPr>
        <w:t>capital</w:t>
      </w:r>
      <w:proofErr w:type="spellEnd"/>
      <w:r w:rsidR="004457A2">
        <w:rPr>
          <w:rFonts w:ascii="Times New Roman" w:hAnsi="Times New Roman" w:cs="Times New Roman"/>
          <w:color w:val="000000"/>
        </w:rPr>
        <w:t xml:space="preserve"> (Art. 480(3)), </w:t>
      </w:r>
      <w:proofErr w:type="spellStart"/>
      <w:r w:rsidR="00207064" w:rsidRPr="00705170">
        <w:rPr>
          <w:rFonts w:ascii="Times New Roman" w:hAnsi="Times New Roman" w:cs="Times New Roman"/>
          <w:color w:val="000000"/>
        </w:rPr>
        <w:t>petition</w:t>
      </w:r>
      <w:proofErr w:type="spellEnd"/>
      <w:r w:rsidR="00207064" w:rsidRPr="00705170">
        <w:rPr>
          <w:rFonts w:ascii="Times New Roman" w:hAnsi="Times New Roman" w:cs="Times New Roman"/>
          <w:color w:val="000000"/>
        </w:rPr>
        <w:t xml:space="preserve"> </w:t>
      </w:r>
      <w:proofErr w:type="spellStart"/>
      <w:r w:rsidR="00207064" w:rsidRPr="00705170">
        <w:rPr>
          <w:rFonts w:ascii="Times New Roman" w:hAnsi="Times New Roman" w:cs="Times New Roman"/>
          <w:color w:val="000000"/>
        </w:rPr>
        <w:t>for</w:t>
      </w:r>
      <w:proofErr w:type="spellEnd"/>
      <w:r w:rsidR="00207064" w:rsidRPr="00705170">
        <w:rPr>
          <w:rFonts w:ascii="Times New Roman" w:hAnsi="Times New Roman" w:cs="Times New Roman"/>
          <w:color w:val="000000"/>
        </w:rPr>
        <w:t xml:space="preserve"> </w:t>
      </w:r>
      <w:proofErr w:type="spellStart"/>
      <w:r w:rsidR="00207064" w:rsidRPr="00705170">
        <w:rPr>
          <w:rFonts w:ascii="Times New Roman" w:hAnsi="Times New Roman" w:cs="Times New Roman"/>
          <w:color w:val="000000"/>
        </w:rPr>
        <w:t>rescission</w:t>
      </w:r>
      <w:proofErr w:type="spellEnd"/>
      <w:r w:rsidR="00207064" w:rsidRPr="00705170">
        <w:rPr>
          <w:rFonts w:ascii="Times New Roman" w:hAnsi="Times New Roman" w:cs="Times New Roman"/>
          <w:color w:val="000000"/>
        </w:rPr>
        <w:t xml:space="preserve"> </w:t>
      </w:r>
      <w:r w:rsidR="001A6D11" w:rsidRPr="00705170">
        <w:rPr>
          <w:rFonts w:ascii="Times New Roman" w:hAnsi="Times New Roman" w:cs="Times New Roman"/>
          <w:color w:val="000000"/>
        </w:rPr>
        <w:t xml:space="preserve">of general </w:t>
      </w:r>
      <w:proofErr w:type="spellStart"/>
      <w:r w:rsidR="001A6D11" w:rsidRPr="00705170">
        <w:rPr>
          <w:rFonts w:ascii="Times New Roman" w:hAnsi="Times New Roman" w:cs="Times New Roman"/>
          <w:color w:val="000000"/>
        </w:rPr>
        <w:t>assembly</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resolutions</w:t>
      </w:r>
      <w:proofErr w:type="spellEnd"/>
      <w:r w:rsidR="001A6D11" w:rsidRPr="00705170">
        <w:rPr>
          <w:rFonts w:ascii="Times New Roman" w:hAnsi="Times New Roman" w:cs="Times New Roman"/>
          <w:color w:val="000000"/>
        </w:rPr>
        <w:t xml:space="preserve"> (</w:t>
      </w:r>
      <w:proofErr w:type="spellStart"/>
      <w:r w:rsidR="001A6D11" w:rsidRPr="00705170">
        <w:rPr>
          <w:rFonts w:ascii="Times New Roman" w:hAnsi="Times New Roman" w:cs="Times New Roman"/>
          <w:color w:val="000000"/>
        </w:rPr>
        <w:t>Article</w:t>
      </w:r>
      <w:proofErr w:type="spellEnd"/>
      <w:r w:rsidR="001A6D11" w:rsidRPr="00705170">
        <w:rPr>
          <w:rFonts w:ascii="Times New Roman" w:hAnsi="Times New Roman" w:cs="Times New Roman"/>
          <w:color w:val="000000"/>
        </w:rPr>
        <w:t xml:space="preserve"> 446),</w:t>
      </w:r>
      <w:r w:rsidR="00207064" w:rsidRPr="00705170">
        <w:rPr>
          <w:rFonts w:ascii="Times New Roman" w:hAnsi="Times New Roman" w:cs="Times New Roman"/>
          <w:color w:val="000000"/>
        </w:rPr>
        <w:t xml:space="preserve"> </w:t>
      </w:r>
      <w:proofErr w:type="spellStart"/>
      <w:r w:rsidR="00207064" w:rsidRPr="00705170">
        <w:rPr>
          <w:rFonts w:ascii="Times New Roman" w:hAnsi="Times New Roman" w:cs="Times New Roman"/>
          <w:color w:val="000000"/>
        </w:rPr>
        <w:t>petition</w:t>
      </w:r>
      <w:proofErr w:type="spellEnd"/>
      <w:r w:rsidR="00207064" w:rsidRPr="00705170">
        <w:rPr>
          <w:rFonts w:ascii="Times New Roman" w:hAnsi="Times New Roman" w:cs="Times New Roman"/>
          <w:color w:val="000000"/>
        </w:rPr>
        <w:t xml:space="preserve"> </w:t>
      </w:r>
      <w:proofErr w:type="spellStart"/>
      <w:r w:rsidR="00207064" w:rsidRPr="00705170">
        <w:rPr>
          <w:rFonts w:ascii="Times New Roman" w:hAnsi="Times New Roman" w:cs="Times New Roman"/>
          <w:color w:val="000000"/>
        </w:rPr>
        <w:t>for</w:t>
      </w:r>
      <w:proofErr w:type="spellEnd"/>
      <w:r w:rsidR="00AD5DE1" w:rsidRPr="00705170">
        <w:rPr>
          <w:rFonts w:ascii="Times New Roman" w:hAnsi="Times New Roman" w:cs="Times New Roman"/>
          <w:color w:val="000000"/>
        </w:rPr>
        <w:t xml:space="preserve"> </w:t>
      </w:r>
      <w:proofErr w:type="spellStart"/>
      <w:r w:rsidR="00AD5DE1" w:rsidRPr="00705170">
        <w:rPr>
          <w:rFonts w:ascii="Times New Roman" w:hAnsi="Times New Roman" w:cs="Times New Roman"/>
          <w:color w:val="000000"/>
        </w:rPr>
        <w:t>nullity</w:t>
      </w:r>
      <w:proofErr w:type="spellEnd"/>
      <w:r w:rsidR="005F2910" w:rsidRPr="00705170">
        <w:rPr>
          <w:rFonts w:ascii="Times New Roman" w:hAnsi="Times New Roman" w:cs="Times New Roman"/>
          <w:color w:val="000000"/>
        </w:rPr>
        <w:t xml:space="preserve"> </w:t>
      </w:r>
      <w:r w:rsidR="00207064" w:rsidRPr="00705170">
        <w:rPr>
          <w:rFonts w:ascii="Times New Roman" w:hAnsi="Times New Roman" w:cs="Times New Roman"/>
          <w:color w:val="000000"/>
        </w:rPr>
        <w:t xml:space="preserve">of board </w:t>
      </w:r>
      <w:proofErr w:type="spellStart"/>
      <w:r w:rsidR="00207064" w:rsidRPr="00705170">
        <w:rPr>
          <w:rFonts w:ascii="Times New Roman" w:hAnsi="Times New Roman" w:cs="Times New Roman"/>
          <w:color w:val="000000"/>
        </w:rPr>
        <w:t>resolutions</w:t>
      </w:r>
      <w:proofErr w:type="spellEnd"/>
      <w:r w:rsidR="00207064" w:rsidRPr="00705170">
        <w:rPr>
          <w:rFonts w:ascii="Times New Roman" w:hAnsi="Times New Roman" w:cs="Times New Roman"/>
          <w:color w:val="000000"/>
        </w:rPr>
        <w:t xml:space="preserve"> (</w:t>
      </w:r>
      <w:proofErr w:type="spellStart"/>
      <w:r w:rsidR="00207064" w:rsidRPr="00705170">
        <w:rPr>
          <w:rFonts w:ascii="Times New Roman" w:hAnsi="Times New Roman" w:cs="Times New Roman"/>
          <w:color w:val="000000"/>
        </w:rPr>
        <w:t>Article</w:t>
      </w:r>
      <w:proofErr w:type="spellEnd"/>
      <w:r w:rsidR="00207064" w:rsidRPr="00705170">
        <w:rPr>
          <w:rFonts w:ascii="Times New Roman" w:hAnsi="Times New Roman" w:cs="Times New Roman"/>
          <w:color w:val="000000"/>
        </w:rPr>
        <w:t xml:space="preserve"> 391), </w:t>
      </w:r>
      <w:proofErr w:type="spellStart"/>
      <w:r w:rsidR="00207064" w:rsidRPr="00705170">
        <w:rPr>
          <w:rFonts w:ascii="Times New Roman" w:hAnsi="Times New Roman" w:cs="Times New Roman"/>
          <w:color w:val="000000"/>
        </w:rPr>
        <w:t>petition</w:t>
      </w:r>
      <w:proofErr w:type="spellEnd"/>
      <w:r w:rsidR="00207064" w:rsidRPr="00705170">
        <w:rPr>
          <w:rFonts w:ascii="Times New Roman" w:hAnsi="Times New Roman" w:cs="Times New Roman"/>
          <w:color w:val="000000"/>
        </w:rPr>
        <w:t xml:space="preserve"> </w:t>
      </w:r>
      <w:proofErr w:type="spellStart"/>
      <w:r w:rsidR="00207064" w:rsidRPr="00705170">
        <w:rPr>
          <w:rFonts w:ascii="Times New Roman" w:hAnsi="Times New Roman" w:cs="Times New Roman"/>
          <w:color w:val="000000"/>
        </w:rPr>
        <w:t>for</w:t>
      </w:r>
      <w:proofErr w:type="spellEnd"/>
      <w:r w:rsidR="00207064" w:rsidRPr="00705170">
        <w:rPr>
          <w:rFonts w:ascii="Times New Roman" w:hAnsi="Times New Roman" w:cs="Times New Roman"/>
          <w:color w:val="000000"/>
        </w:rPr>
        <w:t xml:space="preserve"> </w:t>
      </w:r>
      <w:proofErr w:type="spellStart"/>
      <w:r w:rsidR="00207064" w:rsidRPr="00705170">
        <w:rPr>
          <w:rFonts w:ascii="Times New Roman" w:hAnsi="Times New Roman" w:cs="Times New Roman"/>
          <w:color w:val="000000"/>
        </w:rPr>
        <w:t>rescisson</w:t>
      </w:r>
      <w:proofErr w:type="spellEnd"/>
      <w:r w:rsidR="00207064" w:rsidRPr="00705170">
        <w:rPr>
          <w:rFonts w:ascii="Times New Roman" w:hAnsi="Times New Roman" w:cs="Times New Roman"/>
          <w:color w:val="000000"/>
        </w:rPr>
        <w:t xml:space="preserve"> of </w:t>
      </w:r>
      <w:proofErr w:type="spellStart"/>
      <w:r w:rsidR="00207064" w:rsidRPr="00705170">
        <w:rPr>
          <w:rFonts w:ascii="Times New Roman" w:hAnsi="Times New Roman" w:cs="Times New Roman"/>
          <w:color w:val="000000"/>
        </w:rPr>
        <w:t>certain</w:t>
      </w:r>
      <w:proofErr w:type="spellEnd"/>
      <w:r w:rsidR="00207064" w:rsidRPr="00705170">
        <w:rPr>
          <w:rFonts w:ascii="Times New Roman" w:hAnsi="Times New Roman" w:cs="Times New Roman"/>
          <w:color w:val="000000"/>
        </w:rPr>
        <w:t xml:space="preserve"> board </w:t>
      </w:r>
      <w:proofErr w:type="spellStart"/>
      <w:r w:rsidR="00207064" w:rsidRPr="00705170">
        <w:rPr>
          <w:rFonts w:ascii="Times New Roman" w:hAnsi="Times New Roman" w:cs="Times New Roman"/>
          <w:color w:val="000000"/>
        </w:rPr>
        <w:t>resolutions</w:t>
      </w:r>
      <w:proofErr w:type="spellEnd"/>
      <w:r w:rsidR="00207064" w:rsidRPr="00705170">
        <w:rPr>
          <w:rFonts w:ascii="Times New Roman" w:hAnsi="Times New Roman" w:cs="Times New Roman"/>
          <w:color w:val="000000"/>
        </w:rPr>
        <w:t xml:space="preserve"> (</w:t>
      </w:r>
      <w:proofErr w:type="spellStart"/>
      <w:r w:rsidR="00207064" w:rsidRPr="00705170">
        <w:rPr>
          <w:rFonts w:ascii="Times New Roman" w:hAnsi="Times New Roman" w:cs="Times New Roman"/>
          <w:color w:val="000000"/>
        </w:rPr>
        <w:t>Article</w:t>
      </w:r>
      <w:proofErr w:type="spellEnd"/>
      <w:r w:rsidR="00207064" w:rsidRPr="00705170">
        <w:rPr>
          <w:rFonts w:ascii="Times New Roman" w:hAnsi="Times New Roman" w:cs="Times New Roman"/>
          <w:color w:val="000000"/>
        </w:rPr>
        <w:t xml:space="preserve"> 460/5), </w:t>
      </w:r>
      <w:proofErr w:type="spellStart"/>
      <w:r w:rsidR="00207064" w:rsidRPr="00705170">
        <w:rPr>
          <w:rFonts w:ascii="Times New Roman" w:hAnsi="Times New Roman" w:cs="Times New Roman"/>
          <w:color w:val="000000"/>
        </w:rPr>
        <w:t>principle</w:t>
      </w:r>
      <w:proofErr w:type="spellEnd"/>
      <w:r w:rsidR="00207064" w:rsidRPr="00705170">
        <w:rPr>
          <w:rFonts w:ascii="Times New Roman" w:hAnsi="Times New Roman" w:cs="Times New Roman"/>
          <w:color w:val="000000"/>
        </w:rPr>
        <w:t xml:space="preserve"> of </w:t>
      </w:r>
      <w:proofErr w:type="spellStart"/>
      <w:r w:rsidR="00207064" w:rsidRPr="00705170">
        <w:rPr>
          <w:rFonts w:ascii="Times New Roman" w:hAnsi="Times New Roman" w:cs="Times New Roman"/>
          <w:color w:val="000000"/>
        </w:rPr>
        <w:t>equal</w:t>
      </w:r>
      <w:proofErr w:type="spellEnd"/>
      <w:r w:rsidR="00207064" w:rsidRPr="00705170">
        <w:rPr>
          <w:rFonts w:ascii="Times New Roman" w:hAnsi="Times New Roman" w:cs="Times New Roman"/>
          <w:color w:val="000000"/>
        </w:rPr>
        <w:t xml:space="preserve"> </w:t>
      </w:r>
      <w:proofErr w:type="spellStart"/>
      <w:r w:rsidR="00207064" w:rsidRPr="00705170">
        <w:rPr>
          <w:rFonts w:ascii="Times New Roman" w:hAnsi="Times New Roman" w:cs="Times New Roman"/>
          <w:color w:val="000000"/>
        </w:rPr>
        <w:t>treatment</w:t>
      </w:r>
      <w:proofErr w:type="spellEnd"/>
      <w:r w:rsidR="00207064" w:rsidRPr="00705170">
        <w:rPr>
          <w:rFonts w:ascii="Times New Roman" w:hAnsi="Times New Roman" w:cs="Times New Roman"/>
          <w:color w:val="000000"/>
        </w:rPr>
        <w:t xml:space="preserve"> (m.397)</w:t>
      </w:r>
      <w:r w:rsidR="00AD5DE1" w:rsidRPr="00705170">
        <w:rPr>
          <w:rFonts w:ascii="Times New Roman" w:hAnsi="Times New Roman" w:cs="Times New Roman"/>
          <w:color w:val="000000"/>
        </w:rPr>
        <w:t xml:space="preserve">, </w:t>
      </w:r>
      <w:proofErr w:type="spellStart"/>
      <w:r w:rsidR="00AD5DE1" w:rsidRPr="00705170">
        <w:rPr>
          <w:rFonts w:ascii="Times New Roman" w:hAnsi="Times New Roman" w:cs="Times New Roman"/>
          <w:color w:val="000000"/>
        </w:rPr>
        <w:t>duty</w:t>
      </w:r>
      <w:proofErr w:type="spellEnd"/>
      <w:r w:rsidR="00AD5DE1" w:rsidRPr="00705170">
        <w:rPr>
          <w:rFonts w:ascii="Times New Roman" w:hAnsi="Times New Roman" w:cs="Times New Roman"/>
          <w:color w:val="000000"/>
        </w:rPr>
        <w:t xml:space="preserve"> </w:t>
      </w:r>
      <w:proofErr w:type="spellStart"/>
      <w:r w:rsidR="00AD5DE1" w:rsidRPr="00705170">
        <w:rPr>
          <w:rFonts w:ascii="Times New Roman" w:hAnsi="Times New Roman" w:cs="Times New Roman"/>
          <w:color w:val="000000"/>
        </w:rPr>
        <w:t>to</w:t>
      </w:r>
      <w:proofErr w:type="spellEnd"/>
      <w:r w:rsidR="00AD5DE1" w:rsidRPr="00705170">
        <w:rPr>
          <w:rFonts w:ascii="Times New Roman" w:hAnsi="Times New Roman" w:cs="Times New Roman"/>
          <w:color w:val="000000"/>
        </w:rPr>
        <w:t xml:space="preserve"> not </w:t>
      </w:r>
      <w:proofErr w:type="spellStart"/>
      <w:r w:rsidR="00AD5DE1" w:rsidRPr="00705170">
        <w:rPr>
          <w:rFonts w:ascii="Times New Roman" w:hAnsi="Times New Roman" w:cs="Times New Roman"/>
          <w:color w:val="000000"/>
        </w:rPr>
        <w:t>to</w:t>
      </w:r>
      <w:proofErr w:type="spellEnd"/>
      <w:r w:rsidR="00AD5DE1" w:rsidRPr="00705170">
        <w:rPr>
          <w:rFonts w:ascii="Times New Roman" w:hAnsi="Times New Roman" w:cs="Times New Roman"/>
          <w:color w:val="000000"/>
        </w:rPr>
        <w:t xml:space="preserve"> </w:t>
      </w:r>
      <w:proofErr w:type="spellStart"/>
      <w:r w:rsidR="00AD5DE1" w:rsidRPr="00705170">
        <w:rPr>
          <w:rFonts w:ascii="Times New Roman" w:hAnsi="Times New Roman" w:cs="Times New Roman"/>
          <w:color w:val="000000"/>
        </w:rPr>
        <w:t>compete</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Article</w:t>
      </w:r>
      <w:proofErr w:type="spellEnd"/>
      <w:r w:rsidR="00DC784E" w:rsidRPr="00705170">
        <w:rPr>
          <w:rFonts w:ascii="Times New Roman" w:hAnsi="Times New Roman" w:cs="Times New Roman"/>
          <w:color w:val="000000"/>
        </w:rPr>
        <w:t xml:space="preserve"> 396), </w:t>
      </w:r>
      <w:proofErr w:type="spellStart"/>
      <w:r w:rsidR="00DC784E" w:rsidRPr="00705170">
        <w:rPr>
          <w:rFonts w:ascii="Times New Roman" w:hAnsi="Times New Roman" w:cs="Times New Roman"/>
          <w:color w:val="000000"/>
        </w:rPr>
        <w:t>prohibition</w:t>
      </w:r>
      <w:proofErr w:type="spellEnd"/>
      <w:r w:rsidR="00DC784E" w:rsidRPr="00705170">
        <w:rPr>
          <w:rFonts w:ascii="Times New Roman" w:hAnsi="Times New Roman" w:cs="Times New Roman"/>
          <w:color w:val="000000"/>
        </w:rPr>
        <w:t xml:space="preserve"> on </w:t>
      </w:r>
      <w:proofErr w:type="spellStart"/>
      <w:r w:rsidR="00AD7AE3" w:rsidRPr="00705170">
        <w:rPr>
          <w:rFonts w:ascii="Times New Roman" w:hAnsi="Times New Roman" w:cs="Times New Roman"/>
          <w:color w:val="000000"/>
        </w:rPr>
        <w:t>deals</w:t>
      </w:r>
      <w:proofErr w:type="spellEnd"/>
      <w:r w:rsidR="00AD7AE3" w:rsidRPr="00705170">
        <w:rPr>
          <w:rFonts w:ascii="Times New Roman" w:hAnsi="Times New Roman" w:cs="Times New Roman"/>
          <w:color w:val="000000"/>
        </w:rPr>
        <w:t xml:space="preserve"> </w:t>
      </w:r>
      <w:proofErr w:type="spellStart"/>
      <w:r w:rsidR="00AD7AE3" w:rsidRPr="00705170">
        <w:rPr>
          <w:rFonts w:ascii="Times New Roman" w:hAnsi="Times New Roman" w:cs="Times New Roman"/>
          <w:color w:val="000000"/>
        </w:rPr>
        <w:lastRenderedPageBreak/>
        <w:t>with</w:t>
      </w:r>
      <w:proofErr w:type="spellEnd"/>
      <w:r w:rsidR="00AD7AE3" w:rsidRPr="00705170">
        <w:rPr>
          <w:rFonts w:ascii="Times New Roman" w:hAnsi="Times New Roman" w:cs="Times New Roman"/>
          <w:color w:val="000000"/>
        </w:rPr>
        <w:t xml:space="preserve"> </w:t>
      </w:r>
      <w:proofErr w:type="spellStart"/>
      <w:r w:rsidR="00AD7AE3" w:rsidRPr="00705170">
        <w:rPr>
          <w:rFonts w:ascii="Times New Roman" w:hAnsi="Times New Roman" w:cs="Times New Roman"/>
          <w:color w:val="000000"/>
        </w:rPr>
        <w:t>the</w:t>
      </w:r>
      <w:proofErr w:type="spellEnd"/>
      <w:r w:rsidR="00AD7AE3" w:rsidRPr="00705170">
        <w:rPr>
          <w:rFonts w:ascii="Times New Roman" w:hAnsi="Times New Roman" w:cs="Times New Roman"/>
          <w:color w:val="000000"/>
        </w:rPr>
        <w:t xml:space="preserve"> </w:t>
      </w:r>
      <w:proofErr w:type="spellStart"/>
      <w:r w:rsidR="00AD7AE3" w:rsidRPr="00705170">
        <w:rPr>
          <w:rFonts w:ascii="Times New Roman" w:hAnsi="Times New Roman" w:cs="Times New Roman"/>
          <w:color w:val="000000"/>
        </w:rPr>
        <w:t>corporations</w:t>
      </w:r>
      <w:proofErr w:type="spellEnd"/>
      <w:r w:rsidR="00AD7AE3" w:rsidRPr="00705170">
        <w:rPr>
          <w:rFonts w:ascii="Times New Roman" w:hAnsi="Times New Roman" w:cs="Times New Roman"/>
          <w:color w:val="000000"/>
        </w:rPr>
        <w:t xml:space="preserve"> </w:t>
      </w:r>
      <w:proofErr w:type="spellStart"/>
      <w:r w:rsidR="00AD7AE3" w:rsidRPr="00705170">
        <w:rPr>
          <w:rFonts w:ascii="Times New Roman" w:hAnsi="Times New Roman" w:cs="Times New Roman"/>
          <w:color w:val="000000"/>
        </w:rPr>
        <w:t>and</w:t>
      </w:r>
      <w:proofErr w:type="spellEnd"/>
      <w:r w:rsidR="00AD7AE3" w:rsidRPr="00705170">
        <w:rPr>
          <w:rFonts w:ascii="Times New Roman" w:hAnsi="Times New Roman" w:cs="Times New Roman"/>
          <w:color w:val="000000"/>
        </w:rPr>
        <w:t xml:space="preserve"> </w:t>
      </w:r>
      <w:proofErr w:type="spellStart"/>
      <w:r w:rsidR="00AD7AE3" w:rsidRPr="00705170">
        <w:rPr>
          <w:rFonts w:ascii="Times New Roman" w:hAnsi="Times New Roman" w:cs="Times New Roman"/>
          <w:color w:val="000000"/>
        </w:rPr>
        <w:t>loans</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Article</w:t>
      </w:r>
      <w:proofErr w:type="spellEnd"/>
      <w:r w:rsidR="00DC784E" w:rsidRPr="00705170">
        <w:rPr>
          <w:rFonts w:ascii="Times New Roman" w:hAnsi="Times New Roman" w:cs="Times New Roman"/>
          <w:color w:val="000000"/>
        </w:rPr>
        <w:t xml:space="preserve"> 395 </w:t>
      </w:r>
      <w:proofErr w:type="spellStart"/>
      <w:r w:rsidR="00DC784E" w:rsidRPr="00705170">
        <w:rPr>
          <w:rFonts w:ascii="Times New Roman" w:hAnsi="Times New Roman" w:cs="Times New Roman"/>
          <w:color w:val="000000"/>
        </w:rPr>
        <w:t>and</w:t>
      </w:r>
      <w:proofErr w:type="spellEnd"/>
      <w:r w:rsidR="00DC784E" w:rsidRPr="00705170">
        <w:rPr>
          <w:rFonts w:ascii="Times New Roman" w:hAnsi="Times New Roman" w:cs="Times New Roman"/>
          <w:color w:val="000000"/>
        </w:rPr>
        <w:t xml:space="preserve"> 358), </w:t>
      </w:r>
      <w:proofErr w:type="spellStart"/>
      <w:r w:rsidR="00AD7AE3" w:rsidRPr="00705170">
        <w:rPr>
          <w:rFonts w:ascii="Times New Roman" w:hAnsi="Times New Roman" w:cs="Times New Roman"/>
          <w:color w:val="000000"/>
        </w:rPr>
        <w:t>pre-</w:t>
      </w:r>
      <w:r w:rsidR="00017051" w:rsidRPr="00705170">
        <w:rPr>
          <w:rFonts w:ascii="Times New Roman" w:hAnsi="Times New Roman" w:cs="Times New Roman"/>
          <w:color w:val="000000"/>
        </w:rPr>
        <w:t>emption</w:t>
      </w:r>
      <w:proofErr w:type="spellEnd"/>
      <w:r w:rsidR="00017051" w:rsidRPr="00705170">
        <w:rPr>
          <w:rFonts w:ascii="Times New Roman" w:hAnsi="Times New Roman" w:cs="Times New Roman"/>
          <w:color w:val="000000"/>
        </w:rPr>
        <w:t xml:space="preserve"> </w:t>
      </w:r>
      <w:proofErr w:type="spellStart"/>
      <w:r w:rsidR="00017051" w:rsidRPr="00705170">
        <w:rPr>
          <w:rFonts w:ascii="Times New Roman" w:hAnsi="Times New Roman" w:cs="Times New Roman"/>
          <w:color w:val="000000"/>
        </w:rPr>
        <w:t>rights</w:t>
      </w:r>
      <w:proofErr w:type="spellEnd"/>
      <w:r w:rsidR="00017051" w:rsidRPr="00705170">
        <w:rPr>
          <w:rFonts w:ascii="Times New Roman" w:hAnsi="Times New Roman" w:cs="Times New Roman"/>
          <w:color w:val="000000"/>
        </w:rPr>
        <w:t xml:space="preserve"> </w:t>
      </w:r>
      <w:r w:rsidR="00DC784E" w:rsidRPr="00705170">
        <w:rPr>
          <w:rFonts w:ascii="Times New Roman" w:hAnsi="Times New Roman" w:cs="Times New Roman"/>
          <w:color w:val="000000"/>
        </w:rPr>
        <w:t>(</w:t>
      </w:r>
      <w:proofErr w:type="spellStart"/>
      <w:r w:rsidR="00DC784E" w:rsidRPr="00705170">
        <w:rPr>
          <w:rFonts w:ascii="Times New Roman" w:hAnsi="Times New Roman" w:cs="Times New Roman"/>
          <w:color w:val="000000"/>
        </w:rPr>
        <w:t>Article</w:t>
      </w:r>
      <w:proofErr w:type="spellEnd"/>
      <w:r w:rsidR="00DC784E" w:rsidRPr="00705170">
        <w:rPr>
          <w:rFonts w:ascii="Times New Roman" w:hAnsi="Times New Roman" w:cs="Times New Roman"/>
          <w:color w:val="000000"/>
        </w:rPr>
        <w:t xml:space="preserve"> 461 </w:t>
      </w:r>
      <w:proofErr w:type="spellStart"/>
      <w:r w:rsidR="00DC784E" w:rsidRPr="00705170">
        <w:rPr>
          <w:rFonts w:ascii="Times New Roman" w:hAnsi="Times New Roman" w:cs="Times New Roman"/>
          <w:color w:val="000000"/>
        </w:rPr>
        <w:t>and</w:t>
      </w:r>
      <w:proofErr w:type="spellEnd"/>
      <w:r w:rsidR="00DC784E" w:rsidRPr="00705170">
        <w:rPr>
          <w:rFonts w:ascii="Times New Roman" w:hAnsi="Times New Roman" w:cs="Times New Roman"/>
          <w:color w:val="000000"/>
        </w:rPr>
        <w:t xml:space="preserve"> 466), </w:t>
      </w:r>
      <w:proofErr w:type="spellStart"/>
      <w:r w:rsidR="00DC784E" w:rsidRPr="00705170">
        <w:rPr>
          <w:rFonts w:ascii="Times New Roman" w:hAnsi="Times New Roman" w:cs="Times New Roman"/>
          <w:color w:val="000000"/>
        </w:rPr>
        <w:t>rights</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arising</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from</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corporate</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restructurings</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Article</w:t>
      </w:r>
      <w:proofErr w:type="spellEnd"/>
      <w:r w:rsidR="00DC784E" w:rsidRPr="00705170">
        <w:rPr>
          <w:rFonts w:ascii="Times New Roman" w:hAnsi="Times New Roman" w:cs="Times New Roman"/>
          <w:color w:val="000000"/>
        </w:rPr>
        <w:t xml:space="preserve"> 191- 193), </w:t>
      </w:r>
      <w:proofErr w:type="spellStart"/>
      <w:r w:rsidR="00DC784E" w:rsidRPr="00705170">
        <w:rPr>
          <w:rFonts w:ascii="Times New Roman" w:hAnsi="Times New Roman" w:cs="Times New Roman"/>
          <w:color w:val="000000"/>
        </w:rPr>
        <w:t>restrictions</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regarding</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dividend</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distribution</w:t>
      </w:r>
      <w:proofErr w:type="spellEnd"/>
      <w:r w:rsidR="00D1380F" w:rsidRPr="00705170">
        <w:rPr>
          <w:rFonts w:ascii="Times New Roman" w:hAnsi="Times New Roman" w:cs="Times New Roman"/>
          <w:color w:val="000000"/>
        </w:rPr>
        <w:t xml:space="preserve"> (</w:t>
      </w:r>
      <w:proofErr w:type="spellStart"/>
      <w:r w:rsidR="00D1380F" w:rsidRPr="00705170">
        <w:rPr>
          <w:rFonts w:ascii="Times New Roman" w:hAnsi="Times New Roman" w:cs="Times New Roman"/>
          <w:color w:val="000000"/>
        </w:rPr>
        <w:t>Article</w:t>
      </w:r>
      <w:proofErr w:type="spellEnd"/>
      <w:r w:rsidR="00D1380F" w:rsidRPr="00705170">
        <w:rPr>
          <w:rFonts w:ascii="Times New Roman" w:hAnsi="Times New Roman" w:cs="Times New Roman"/>
          <w:color w:val="000000"/>
        </w:rPr>
        <w:t xml:space="preserve"> 507)</w:t>
      </w:r>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requiring</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just</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cause</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justification</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for</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certain</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internal</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corporate</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decisions</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Articles</w:t>
      </w:r>
      <w:proofErr w:type="spellEnd"/>
      <w:r w:rsidR="00DC784E" w:rsidRPr="00705170">
        <w:rPr>
          <w:rFonts w:ascii="Times New Roman" w:hAnsi="Times New Roman" w:cs="Times New Roman"/>
          <w:color w:val="000000"/>
        </w:rPr>
        <w:t xml:space="preserve"> 531, 461(2), 466(2), 479(2), 399(4), 360, </w:t>
      </w:r>
      <w:proofErr w:type="spellStart"/>
      <w:r w:rsidR="00DC784E" w:rsidRPr="00705170">
        <w:rPr>
          <w:rFonts w:ascii="Times New Roman" w:hAnsi="Times New Roman" w:cs="Times New Roman"/>
          <w:color w:val="000000"/>
        </w:rPr>
        <w:t>and</w:t>
      </w:r>
      <w:proofErr w:type="spellEnd"/>
      <w:r w:rsidR="00DC784E" w:rsidRPr="00705170">
        <w:rPr>
          <w:rFonts w:ascii="Times New Roman" w:hAnsi="Times New Roman" w:cs="Times New Roman"/>
          <w:color w:val="000000"/>
        </w:rPr>
        <w:t xml:space="preserve"> 493), </w:t>
      </w:r>
      <w:proofErr w:type="spellStart"/>
      <w:r w:rsidR="00393CD3" w:rsidRPr="00705170">
        <w:rPr>
          <w:rFonts w:ascii="Times New Roman" w:hAnsi="Times New Roman" w:cs="Times New Roman"/>
          <w:color w:val="000000"/>
        </w:rPr>
        <w:t>restrictions</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regarding</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articles</w:t>
      </w:r>
      <w:proofErr w:type="spellEnd"/>
      <w:r w:rsidR="00DC784E" w:rsidRPr="00705170">
        <w:rPr>
          <w:rFonts w:ascii="Times New Roman" w:hAnsi="Times New Roman" w:cs="Times New Roman"/>
          <w:color w:val="000000"/>
        </w:rPr>
        <w:t xml:space="preserve"> of </w:t>
      </w:r>
      <w:proofErr w:type="spellStart"/>
      <w:r w:rsidR="00DC784E" w:rsidRPr="00705170">
        <w:rPr>
          <w:rFonts w:ascii="Times New Roman" w:hAnsi="Times New Roman" w:cs="Times New Roman"/>
          <w:color w:val="000000"/>
        </w:rPr>
        <w:t>incorporation</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Article</w:t>
      </w:r>
      <w:proofErr w:type="spellEnd"/>
      <w:r w:rsidR="00DC784E" w:rsidRPr="00705170">
        <w:rPr>
          <w:rFonts w:ascii="Times New Roman" w:hAnsi="Times New Roman" w:cs="Times New Roman"/>
          <w:color w:val="000000"/>
        </w:rPr>
        <w:t xml:space="preserve"> 340)</w:t>
      </w:r>
      <w:r w:rsidR="00253590">
        <w:rPr>
          <w:rStyle w:val="DipnotBavurusu"/>
          <w:rFonts w:ascii="Times New Roman" w:hAnsi="Times New Roman" w:cs="Times New Roman"/>
          <w:color w:val="000000"/>
        </w:rPr>
        <w:footnoteReference w:id="257"/>
      </w:r>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and</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provisions</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dealing</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with</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the</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liability</w:t>
      </w:r>
      <w:proofErr w:type="spellEnd"/>
      <w:r w:rsidR="00DC784E" w:rsidRPr="00705170">
        <w:rPr>
          <w:rFonts w:ascii="Times New Roman" w:hAnsi="Times New Roman" w:cs="Times New Roman"/>
          <w:color w:val="000000"/>
        </w:rPr>
        <w:t xml:space="preserve"> of </w:t>
      </w:r>
      <w:proofErr w:type="spellStart"/>
      <w:r w:rsidR="00DC784E" w:rsidRPr="00705170">
        <w:rPr>
          <w:rFonts w:ascii="Times New Roman" w:hAnsi="Times New Roman" w:cs="Times New Roman"/>
          <w:color w:val="000000"/>
        </w:rPr>
        <w:t>the</w:t>
      </w:r>
      <w:proofErr w:type="spellEnd"/>
      <w:r w:rsidR="00DC784E" w:rsidRPr="00705170">
        <w:rPr>
          <w:rFonts w:ascii="Times New Roman" w:hAnsi="Times New Roman" w:cs="Times New Roman"/>
          <w:color w:val="000000"/>
        </w:rPr>
        <w:t xml:space="preserve"> board of </w:t>
      </w:r>
      <w:proofErr w:type="spellStart"/>
      <w:r w:rsidR="00DC784E" w:rsidRPr="00705170">
        <w:rPr>
          <w:rFonts w:ascii="Times New Roman" w:hAnsi="Times New Roman" w:cs="Times New Roman"/>
          <w:color w:val="000000"/>
        </w:rPr>
        <w:t>directors</w:t>
      </w:r>
      <w:proofErr w:type="spellEnd"/>
      <w:r w:rsidR="00DC784E" w:rsidRPr="00705170">
        <w:rPr>
          <w:rFonts w:ascii="Times New Roman" w:hAnsi="Times New Roman" w:cs="Times New Roman"/>
          <w:color w:val="000000"/>
        </w:rPr>
        <w:t xml:space="preserve"> (</w:t>
      </w:r>
      <w:proofErr w:type="spellStart"/>
      <w:r w:rsidR="00DC784E" w:rsidRPr="00705170">
        <w:rPr>
          <w:rFonts w:ascii="Times New Roman" w:hAnsi="Times New Roman" w:cs="Times New Roman"/>
          <w:color w:val="000000"/>
        </w:rPr>
        <w:t>Article</w:t>
      </w:r>
      <w:proofErr w:type="spellEnd"/>
      <w:r w:rsidR="00DC784E" w:rsidRPr="00705170">
        <w:rPr>
          <w:rFonts w:ascii="Times New Roman" w:hAnsi="Times New Roman" w:cs="Times New Roman"/>
          <w:color w:val="000000"/>
        </w:rPr>
        <w:t xml:space="preserve"> 553).</w:t>
      </w:r>
      <w:r w:rsidR="00CC1CC6" w:rsidRPr="00705170">
        <w:rPr>
          <w:rFonts w:ascii="Times New Roman" w:hAnsi="Times New Roman" w:cs="Times New Roman"/>
          <w:color w:val="000000"/>
        </w:rPr>
        <w:t xml:space="preserve"> </w:t>
      </w:r>
      <w:proofErr w:type="spellStart"/>
      <w:r w:rsidR="00DB5761" w:rsidRPr="00705170">
        <w:rPr>
          <w:rFonts w:ascii="Times New Roman" w:hAnsi="Times New Roman" w:cs="Times New Roman"/>
          <w:color w:val="000000"/>
        </w:rPr>
        <w:t>In</w:t>
      </w:r>
      <w:proofErr w:type="spellEnd"/>
      <w:r w:rsidR="00DB5761" w:rsidRPr="00705170">
        <w:rPr>
          <w:rFonts w:ascii="Times New Roman" w:hAnsi="Times New Roman" w:cs="Times New Roman"/>
          <w:color w:val="000000"/>
        </w:rPr>
        <w:t xml:space="preserve"> </w:t>
      </w:r>
      <w:proofErr w:type="spellStart"/>
      <w:r w:rsidR="00DB5761" w:rsidRPr="00705170">
        <w:rPr>
          <w:rFonts w:ascii="Times New Roman" w:hAnsi="Times New Roman" w:cs="Times New Roman"/>
          <w:color w:val="000000"/>
        </w:rPr>
        <w:t>addition</w:t>
      </w:r>
      <w:proofErr w:type="spellEnd"/>
      <w:r w:rsidR="00DB5761" w:rsidRPr="00705170">
        <w:rPr>
          <w:rFonts w:ascii="Times New Roman" w:hAnsi="Times New Roman" w:cs="Times New Roman"/>
          <w:color w:val="000000"/>
        </w:rPr>
        <w:t xml:space="preserve"> </w:t>
      </w:r>
      <w:proofErr w:type="spellStart"/>
      <w:r w:rsidR="00DB5761" w:rsidRPr="00705170">
        <w:rPr>
          <w:rFonts w:ascii="Times New Roman" w:hAnsi="Times New Roman" w:cs="Times New Roman"/>
          <w:color w:val="000000"/>
        </w:rPr>
        <w:t>to</w:t>
      </w:r>
      <w:proofErr w:type="spellEnd"/>
      <w:r w:rsidR="00DB5761" w:rsidRPr="00705170">
        <w:rPr>
          <w:rFonts w:ascii="Times New Roman" w:hAnsi="Times New Roman" w:cs="Times New Roman"/>
          <w:color w:val="000000"/>
        </w:rPr>
        <w:t xml:space="preserve"> </w:t>
      </w:r>
      <w:proofErr w:type="spellStart"/>
      <w:r w:rsidR="00DB5761" w:rsidRPr="00705170">
        <w:rPr>
          <w:rFonts w:ascii="Times New Roman" w:hAnsi="Times New Roman" w:cs="Times New Roman"/>
          <w:color w:val="000000"/>
        </w:rPr>
        <w:t>these</w:t>
      </w:r>
      <w:proofErr w:type="spellEnd"/>
      <w:r w:rsidR="00DB5761" w:rsidRPr="00705170">
        <w:rPr>
          <w:rFonts w:ascii="Times New Roman" w:hAnsi="Times New Roman" w:cs="Times New Roman"/>
          <w:color w:val="000000"/>
        </w:rPr>
        <w:t xml:space="preserve">, </w:t>
      </w:r>
      <w:proofErr w:type="spellStart"/>
      <w:r>
        <w:rPr>
          <w:rFonts w:ascii="Times New Roman" w:hAnsi="Times New Roman" w:cs="Times New Roman"/>
          <w:color w:val="000000"/>
        </w:rPr>
        <w:t>Capital</w:t>
      </w:r>
      <w:proofErr w:type="spellEnd"/>
      <w:r>
        <w:rPr>
          <w:rFonts w:ascii="Times New Roman" w:hAnsi="Times New Roman" w:cs="Times New Roman"/>
          <w:color w:val="000000"/>
        </w:rPr>
        <w:t xml:space="preserve"> Market </w:t>
      </w:r>
      <w:proofErr w:type="spellStart"/>
      <w:r>
        <w:rPr>
          <w:rFonts w:ascii="Times New Roman" w:hAnsi="Times New Roman" w:cs="Times New Roman"/>
          <w:color w:val="000000"/>
        </w:rPr>
        <w:t>Board’s</w:t>
      </w:r>
      <w:proofErr w:type="spellEnd"/>
      <w:r>
        <w:rPr>
          <w:rFonts w:ascii="Times New Roman" w:hAnsi="Times New Roman" w:cs="Times New Roman"/>
          <w:color w:val="000000"/>
        </w:rPr>
        <w:t xml:space="preserve"> (</w:t>
      </w:r>
      <w:r w:rsidR="00C00467" w:rsidRPr="00705170">
        <w:rPr>
          <w:rFonts w:ascii="Times New Roman" w:hAnsi="Times New Roman" w:cs="Times New Roman"/>
          <w:color w:val="000000"/>
        </w:rPr>
        <w:t>CMB</w:t>
      </w:r>
      <w:r>
        <w:rPr>
          <w:rFonts w:ascii="Times New Roman" w:hAnsi="Times New Roman" w:cs="Times New Roman"/>
          <w:color w:val="000000"/>
        </w:rPr>
        <w:t>)</w:t>
      </w:r>
      <w:r w:rsidR="00C00467" w:rsidRPr="00705170">
        <w:rPr>
          <w:rFonts w:ascii="Times New Roman" w:hAnsi="Times New Roman" w:cs="Times New Roman"/>
          <w:color w:val="000000"/>
        </w:rPr>
        <w:t xml:space="preserve"> </w:t>
      </w:r>
      <w:proofErr w:type="spellStart"/>
      <w:r w:rsidR="00C00467" w:rsidRPr="00705170">
        <w:rPr>
          <w:rFonts w:ascii="Times New Roman" w:hAnsi="Times New Roman" w:cs="Times New Roman"/>
          <w:color w:val="000000"/>
        </w:rPr>
        <w:t>share</w:t>
      </w:r>
      <w:proofErr w:type="spellEnd"/>
      <w:r w:rsidR="00C00467" w:rsidRPr="00705170">
        <w:rPr>
          <w:rFonts w:ascii="Times New Roman" w:hAnsi="Times New Roman" w:cs="Times New Roman"/>
          <w:color w:val="000000"/>
        </w:rPr>
        <w:t xml:space="preserve"> </w:t>
      </w:r>
      <w:proofErr w:type="spellStart"/>
      <w:r w:rsidR="00C00467" w:rsidRPr="00705170">
        <w:rPr>
          <w:rFonts w:ascii="Times New Roman" w:hAnsi="Times New Roman" w:cs="Times New Roman"/>
          <w:color w:val="000000"/>
        </w:rPr>
        <w:t>privilige</w:t>
      </w:r>
      <w:proofErr w:type="spellEnd"/>
      <w:r w:rsidR="00C00467" w:rsidRPr="00705170">
        <w:rPr>
          <w:rFonts w:ascii="Times New Roman" w:hAnsi="Times New Roman" w:cs="Times New Roman"/>
          <w:color w:val="000000"/>
        </w:rPr>
        <w:t xml:space="preserve"> </w:t>
      </w:r>
      <w:proofErr w:type="spellStart"/>
      <w:r w:rsidR="00C00467" w:rsidRPr="00705170">
        <w:rPr>
          <w:rFonts w:ascii="Times New Roman" w:hAnsi="Times New Roman" w:cs="Times New Roman"/>
          <w:color w:val="000000"/>
        </w:rPr>
        <w:t>revoc</w:t>
      </w:r>
      <w:r w:rsidR="00970B8F" w:rsidRPr="00705170">
        <w:rPr>
          <w:rFonts w:ascii="Times New Roman" w:hAnsi="Times New Roman" w:cs="Times New Roman"/>
          <w:color w:val="000000"/>
        </w:rPr>
        <w:t>ation</w:t>
      </w:r>
      <w:proofErr w:type="spellEnd"/>
      <w:r w:rsidR="00970B8F" w:rsidRPr="00705170">
        <w:rPr>
          <w:rFonts w:ascii="Times New Roman" w:hAnsi="Times New Roman" w:cs="Times New Roman"/>
          <w:color w:val="000000"/>
        </w:rPr>
        <w:t xml:space="preserve"> </w:t>
      </w:r>
      <w:proofErr w:type="spellStart"/>
      <w:r w:rsidR="00970B8F" w:rsidRPr="00705170">
        <w:rPr>
          <w:rFonts w:ascii="Times New Roman" w:hAnsi="Times New Roman" w:cs="Times New Roman"/>
          <w:color w:val="000000"/>
        </w:rPr>
        <w:t>authority</w:t>
      </w:r>
      <w:proofErr w:type="spellEnd"/>
      <w:r w:rsidR="00970B8F" w:rsidRPr="00705170">
        <w:rPr>
          <w:rFonts w:ascii="Times New Roman" w:hAnsi="Times New Roman" w:cs="Times New Roman"/>
          <w:color w:val="000000"/>
        </w:rPr>
        <w:t xml:space="preserve"> </w:t>
      </w:r>
      <w:r w:rsidR="004B0B09" w:rsidRPr="00705170">
        <w:rPr>
          <w:rFonts w:ascii="Times New Roman" w:hAnsi="Times New Roman" w:cs="Times New Roman"/>
          <w:color w:val="000000"/>
        </w:rPr>
        <w:t>(</w:t>
      </w:r>
      <w:proofErr w:type="spellStart"/>
      <w:r w:rsidR="00970B8F" w:rsidRPr="00705170">
        <w:rPr>
          <w:rFonts w:ascii="Times New Roman" w:hAnsi="Times New Roman" w:cs="Times New Roman"/>
          <w:color w:val="000000"/>
        </w:rPr>
        <w:t>due</w:t>
      </w:r>
      <w:proofErr w:type="spellEnd"/>
      <w:r w:rsidR="00970B8F" w:rsidRPr="00705170">
        <w:rPr>
          <w:rFonts w:ascii="Times New Roman" w:hAnsi="Times New Roman" w:cs="Times New Roman"/>
          <w:color w:val="000000"/>
        </w:rPr>
        <w:t xml:space="preserve"> </w:t>
      </w:r>
      <w:proofErr w:type="spellStart"/>
      <w:r w:rsidR="00970B8F" w:rsidRPr="00705170">
        <w:rPr>
          <w:rFonts w:ascii="Times New Roman" w:hAnsi="Times New Roman" w:cs="Times New Roman"/>
          <w:color w:val="000000"/>
        </w:rPr>
        <w:t>to</w:t>
      </w:r>
      <w:proofErr w:type="spellEnd"/>
      <w:r w:rsidR="00970B8F" w:rsidRPr="00705170">
        <w:rPr>
          <w:rFonts w:ascii="Times New Roman" w:hAnsi="Times New Roman" w:cs="Times New Roman"/>
          <w:color w:val="000000"/>
        </w:rPr>
        <w:t xml:space="preserve"> </w:t>
      </w:r>
      <w:proofErr w:type="spellStart"/>
      <w:r w:rsidR="00970B8F" w:rsidRPr="00705170">
        <w:rPr>
          <w:rFonts w:ascii="Times New Roman" w:hAnsi="Times New Roman" w:cs="Times New Roman"/>
          <w:color w:val="000000"/>
        </w:rPr>
        <w:t>certain</w:t>
      </w:r>
      <w:proofErr w:type="spellEnd"/>
      <w:r w:rsidR="00970B8F" w:rsidRPr="00705170">
        <w:rPr>
          <w:rFonts w:ascii="Times New Roman" w:hAnsi="Times New Roman" w:cs="Times New Roman"/>
          <w:color w:val="000000"/>
        </w:rPr>
        <w:t xml:space="preserve"> </w:t>
      </w:r>
      <w:proofErr w:type="spellStart"/>
      <w:r w:rsidR="00970B8F" w:rsidRPr="00705170">
        <w:rPr>
          <w:rFonts w:ascii="Times New Roman" w:hAnsi="Times New Roman" w:cs="Times New Roman"/>
          <w:color w:val="000000"/>
        </w:rPr>
        <w:t>types</w:t>
      </w:r>
      <w:proofErr w:type="spellEnd"/>
      <w:r w:rsidR="00970B8F" w:rsidRPr="00705170">
        <w:rPr>
          <w:rFonts w:ascii="Times New Roman" w:hAnsi="Times New Roman" w:cs="Times New Roman"/>
          <w:color w:val="000000"/>
        </w:rPr>
        <w:t xml:space="preserve"> of </w:t>
      </w:r>
      <w:proofErr w:type="spellStart"/>
      <w:r w:rsidR="00970B8F" w:rsidRPr="00705170">
        <w:rPr>
          <w:rFonts w:ascii="Times New Roman" w:hAnsi="Times New Roman" w:cs="Times New Roman"/>
          <w:color w:val="000000"/>
        </w:rPr>
        <w:t>bad</w:t>
      </w:r>
      <w:proofErr w:type="spellEnd"/>
      <w:r w:rsidR="00970B8F" w:rsidRPr="00705170">
        <w:rPr>
          <w:rFonts w:ascii="Times New Roman" w:hAnsi="Times New Roman" w:cs="Times New Roman"/>
          <w:color w:val="000000"/>
        </w:rPr>
        <w:t xml:space="preserve"> </w:t>
      </w:r>
      <w:proofErr w:type="spellStart"/>
      <w:r w:rsidR="00970B8F" w:rsidRPr="00705170">
        <w:rPr>
          <w:rFonts w:ascii="Times New Roman" w:hAnsi="Times New Roman" w:cs="Times New Roman"/>
          <w:color w:val="000000"/>
        </w:rPr>
        <w:t>management</w:t>
      </w:r>
      <w:proofErr w:type="spellEnd"/>
      <w:r w:rsidR="00970B8F" w:rsidRPr="00705170">
        <w:rPr>
          <w:rFonts w:ascii="Times New Roman" w:hAnsi="Times New Roman" w:cs="Times New Roman"/>
          <w:color w:val="000000"/>
        </w:rPr>
        <w:t xml:space="preserve"> of </w:t>
      </w:r>
      <w:proofErr w:type="spellStart"/>
      <w:r w:rsidR="00970B8F" w:rsidRPr="00705170">
        <w:rPr>
          <w:rFonts w:ascii="Times New Roman" w:hAnsi="Times New Roman" w:cs="Times New Roman"/>
          <w:color w:val="000000"/>
        </w:rPr>
        <w:t>the</w:t>
      </w:r>
      <w:proofErr w:type="spellEnd"/>
      <w:r w:rsidR="00970B8F" w:rsidRPr="00705170">
        <w:rPr>
          <w:rFonts w:ascii="Times New Roman" w:hAnsi="Times New Roman" w:cs="Times New Roman"/>
          <w:color w:val="000000"/>
        </w:rPr>
        <w:t xml:space="preserve"> </w:t>
      </w:r>
      <w:proofErr w:type="spellStart"/>
      <w:r w:rsidR="00970B8F" w:rsidRPr="00705170">
        <w:rPr>
          <w:rFonts w:ascii="Times New Roman" w:hAnsi="Times New Roman" w:cs="Times New Roman"/>
          <w:color w:val="000000"/>
        </w:rPr>
        <w:t>corporation</w:t>
      </w:r>
      <w:proofErr w:type="spellEnd"/>
      <w:r w:rsidR="004B0B09" w:rsidRPr="00705170">
        <w:rPr>
          <w:rFonts w:ascii="Times New Roman" w:hAnsi="Times New Roman" w:cs="Times New Roman"/>
          <w:color w:val="000000"/>
        </w:rPr>
        <w:t>)</w:t>
      </w:r>
      <w:r w:rsidR="00970B8F" w:rsidRPr="00705170">
        <w:rPr>
          <w:rFonts w:ascii="Times New Roman" w:hAnsi="Times New Roman" w:cs="Times New Roman"/>
          <w:color w:val="000000"/>
        </w:rPr>
        <w:t xml:space="preserve"> </w:t>
      </w:r>
      <w:proofErr w:type="spellStart"/>
      <w:r w:rsidR="00970B8F" w:rsidRPr="00705170">
        <w:rPr>
          <w:rFonts w:ascii="Times New Roman" w:hAnsi="Times New Roman" w:cs="Times New Roman"/>
          <w:color w:val="000000"/>
        </w:rPr>
        <w:t>also</w:t>
      </w:r>
      <w:proofErr w:type="spellEnd"/>
      <w:r w:rsidR="00970B8F" w:rsidRPr="00705170">
        <w:rPr>
          <w:rFonts w:ascii="Times New Roman" w:hAnsi="Times New Roman" w:cs="Times New Roman"/>
          <w:color w:val="000000"/>
        </w:rPr>
        <w:t xml:space="preserve"> </w:t>
      </w:r>
      <w:proofErr w:type="spellStart"/>
      <w:r w:rsidR="00970B8F" w:rsidRPr="00705170">
        <w:rPr>
          <w:rFonts w:ascii="Times New Roman" w:hAnsi="Times New Roman" w:cs="Times New Roman"/>
          <w:color w:val="000000"/>
        </w:rPr>
        <w:t>constrains</w:t>
      </w:r>
      <w:proofErr w:type="spellEnd"/>
      <w:r w:rsidR="00970B8F" w:rsidRPr="00705170">
        <w:rPr>
          <w:rFonts w:ascii="Times New Roman" w:hAnsi="Times New Roman" w:cs="Times New Roman"/>
          <w:color w:val="000000"/>
        </w:rPr>
        <w:t xml:space="preserve"> </w:t>
      </w:r>
      <w:proofErr w:type="spellStart"/>
      <w:r w:rsidR="00970B8F" w:rsidRPr="00705170">
        <w:rPr>
          <w:rFonts w:ascii="Times New Roman" w:hAnsi="Times New Roman" w:cs="Times New Roman"/>
          <w:color w:val="000000"/>
        </w:rPr>
        <w:t>the</w:t>
      </w:r>
      <w:proofErr w:type="spellEnd"/>
      <w:r w:rsidR="00970B8F" w:rsidRPr="00705170">
        <w:rPr>
          <w:rFonts w:ascii="Times New Roman" w:hAnsi="Times New Roman" w:cs="Times New Roman"/>
          <w:color w:val="000000"/>
        </w:rPr>
        <w:t xml:space="preserve"> </w:t>
      </w:r>
      <w:proofErr w:type="spellStart"/>
      <w:r w:rsidR="00970B8F" w:rsidRPr="00705170">
        <w:rPr>
          <w:rFonts w:ascii="Times New Roman" w:hAnsi="Times New Roman" w:cs="Times New Roman"/>
          <w:color w:val="000000"/>
        </w:rPr>
        <w:t>influencing</w:t>
      </w:r>
      <w:proofErr w:type="spellEnd"/>
      <w:r w:rsidR="00970B8F" w:rsidRPr="00705170">
        <w:rPr>
          <w:rFonts w:ascii="Times New Roman" w:hAnsi="Times New Roman" w:cs="Times New Roman"/>
          <w:color w:val="000000"/>
        </w:rPr>
        <w:t xml:space="preserve"> </w:t>
      </w:r>
      <w:proofErr w:type="spellStart"/>
      <w:r w:rsidR="00970B8F" w:rsidRPr="00705170">
        <w:rPr>
          <w:rFonts w:ascii="Times New Roman" w:hAnsi="Times New Roman" w:cs="Times New Roman"/>
          <w:color w:val="000000"/>
        </w:rPr>
        <w:t>shareholder’s</w:t>
      </w:r>
      <w:proofErr w:type="spellEnd"/>
      <w:r w:rsidR="00970B8F" w:rsidRPr="00705170">
        <w:rPr>
          <w:rFonts w:ascii="Times New Roman" w:hAnsi="Times New Roman" w:cs="Times New Roman"/>
          <w:color w:val="000000"/>
        </w:rPr>
        <w:t xml:space="preserve"> </w:t>
      </w:r>
      <w:proofErr w:type="spellStart"/>
      <w:r w:rsidR="00970B8F" w:rsidRPr="00705170">
        <w:rPr>
          <w:rFonts w:ascii="Times New Roman" w:hAnsi="Times New Roman" w:cs="Times New Roman"/>
          <w:color w:val="000000"/>
        </w:rPr>
        <w:t>power</w:t>
      </w:r>
      <w:proofErr w:type="spellEnd"/>
      <w:r w:rsidR="00970B8F" w:rsidRPr="00705170">
        <w:rPr>
          <w:rFonts w:ascii="Times New Roman" w:hAnsi="Times New Roman" w:cs="Times New Roman"/>
          <w:color w:val="000000"/>
        </w:rPr>
        <w:t xml:space="preserve"> </w:t>
      </w:r>
      <w:r>
        <w:rPr>
          <w:rFonts w:ascii="Times New Roman" w:hAnsi="Times New Roman" w:cs="Times New Roman"/>
          <w:color w:val="000000"/>
        </w:rPr>
        <w:t xml:space="preserve">(6362 </w:t>
      </w:r>
      <w:proofErr w:type="spellStart"/>
      <w:r>
        <w:rPr>
          <w:rFonts w:ascii="Times New Roman" w:hAnsi="Times New Roman" w:cs="Times New Roman"/>
          <w:color w:val="000000"/>
        </w:rPr>
        <w:t>numbered</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Capital</w:t>
      </w:r>
      <w:proofErr w:type="spellEnd"/>
      <w:r>
        <w:rPr>
          <w:rFonts w:ascii="Times New Roman" w:hAnsi="Times New Roman" w:cs="Times New Roman"/>
          <w:color w:val="000000"/>
        </w:rPr>
        <w:t xml:space="preserve"> Market </w:t>
      </w:r>
      <w:proofErr w:type="spellStart"/>
      <w:r>
        <w:rPr>
          <w:rFonts w:ascii="Times New Roman" w:hAnsi="Times New Roman" w:cs="Times New Roman"/>
          <w:color w:val="000000"/>
        </w:rPr>
        <w:t>Law</w:t>
      </w:r>
      <w:proofErr w:type="spellEnd"/>
      <w:r>
        <w:rPr>
          <w:rFonts w:ascii="Times New Roman" w:hAnsi="Times New Roman" w:cs="Times New Roman"/>
          <w:color w:val="000000"/>
        </w:rPr>
        <w:t xml:space="preserve"> (</w:t>
      </w:r>
      <w:r w:rsidR="00970B8F" w:rsidRPr="00705170">
        <w:rPr>
          <w:rFonts w:ascii="Times New Roman" w:hAnsi="Times New Roman" w:cs="Times New Roman"/>
          <w:color w:val="000000"/>
        </w:rPr>
        <w:t>CML</w:t>
      </w:r>
      <w:r>
        <w:rPr>
          <w:rFonts w:ascii="Times New Roman" w:hAnsi="Times New Roman" w:cs="Times New Roman"/>
          <w:color w:val="000000"/>
        </w:rPr>
        <w:t>)</w:t>
      </w:r>
      <w:r w:rsidR="00970B8F" w:rsidRPr="00705170">
        <w:rPr>
          <w:rFonts w:ascii="Times New Roman" w:hAnsi="Times New Roman" w:cs="Times New Roman"/>
          <w:color w:val="000000"/>
        </w:rPr>
        <w:t xml:space="preserve"> </w:t>
      </w:r>
      <w:proofErr w:type="spellStart"/>
      <w:r w:rsidR="00970B8F" w:rsidRPr="00705170">
        <w:rPr>
          <w:rFonts w:ascii="Times New Roman" w:hAnsi="Times New Roman" w:cs="Times New Roman"/>
          <w:color w:val="000000"/>
        </w:rPr>
        <w:t>Article</w:t>
      </w:r>
      <w:proofErr w:type="spellEnd"/>
      <w:r w:rsidR="00970B8F" w:rsidRPr="00705170">
        <w:rPr>
          <w:rFonts w:ascii="Times New Roman" w:hAnsi="Times New Roman" w:cs="Times New Roman"/>
          <w:color w:val="000000"/>
        </w:rPr>
        <w:t xml:space="preserve"> 28). </w:t>
      </w:r>
      <w:proofErr w:type="spellStart"/>
      <w:r w:rsidR="00CC1CC6" w:rsidRPr="00705170">
        <w:rPr>
          <w:rFonts w:ascii="Times New Roman" w:hAnsi="Times New Roman" w:cs="Times New Roman"/>
        </w:rPr>
        <w:t>While</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the</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instruments</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listed</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for</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Turkish</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law</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represent</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indirect</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provisions</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that</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may</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help</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minority</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shareholders</w:t>
      </w:r>
      <w:proofErr w:type="spellEnd"/>
      <w:r w:rsidR="00CC1CC6" w:rsidRPr="00705170">
        <w:rPr>
          <w:rFonts w:ascii="Times New Roman" w:hAnsi="Times New Roman" w:cs="Times New Roman"/>
        </w:rPr>
        <w:t xml:space="preserve"> in </w:t>
      </w:r>
      <w:proofErr w:type="spellStart"/>
      <w:r w:rsidR="00CC1CC6" w:rsidRPr="00705170">
        <w:rPr>
          <w:rFonts w:ascii="Times New Roman" w:hAnsi="Times New Roman" w:cs="Times New Roman"/>
        </w:rPr>
        <w:t>their</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endevour</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curbing</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influencing</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shareholder</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power</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this</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does</w:t>
      </w:r>
      <w:proofErr w:type="spellEnd"/>
      <w:r w:rsidR="00CC1CC6" w:rsidRPr="00705170">
        <w:rPr>
          <w:rFonts w:ascii="Times New Roman" w:hAnsi="Times New Roman" w:cs="Times New Roman"/>
        </w:rPr>
        <w:t xml:space="preserve"> not </w:t>
      </w:r>
      <w:proofErr w:type="spellStart"/>
      <w:r w:rsidR="00CC1CC6" w:rsidRPr="00705170">
        <w:rPr>
          <w:rFonts w:ascii="Times New Roman" w:hAnsi="Times New Roman" w:cs="Times New Roman"/>
        </w:rPr>
        <w:t>necessarily</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mean</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that</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those</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are</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completely</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ineffective</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Rather</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the</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notion</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that</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those</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are</w:t>
      </w:r>
      <w:proofErr w:type="spellEnd"/>
      <w:r w:rsidR="00CC1CC6" w:rsidRPr="00705170">
        <w:rPr>
          <w:rFonts w:ascii="Times New Roman" w:hAnsi="Times New Roman" w:cs="Times New Roman"/>
        </w:rPr>
        <w:t xml:space="preserve"> not </w:t>
      </w:r>
      <w:proofErr w:type="spellStart"/>
      <w:r w:rsidR="00CC1CC6" w:rsidRPr="00705170">
        <w:rPr>
          <w:rFonts w:ascii="Times New Roman" w:hAnsi="Times New Roman" w:cs="Times New Roman"/>
        </w:rPr>
        <w:t>designed</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to</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particularly</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fight</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against</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this</w:t>
      </w:r>
      <w:proofErr w:type="spellEnd"/>
      <w:r w:rsidR="00A84336" w:rsidRPr="00705170">
        <w:rPr>
          <w:rFonts w:ascii="Times New Roman" w:hAnsi="Times New Roman" w:cs="Times New Roman"/>
        </w:rPr>
        <w:t xml:space="preserve"> </w:t>
      </w:r>
      <w:proofErr w:type="spellStart"/>
      <w:r w:rsidR="00A84336" w:rsidRPr="00705170">
        <w:rPr>
          <w:rFonts w:ascii="Times New Roman" w:hAnsi="Times New Roman" w:cs="Times New Roman"/>
        </w:rPr>
        <w:t>abuse</w:t>
      </w:r>
      <w:proofErr w:type="spellEnd"/>
      <w:r w:rsidR="00A84336" w:rsidRPr="00705170">
        <w:rPr>
          <w:rFonts w:ascii="Times New Roman" w:hAnsi="Times New Roman" w:cs="Times New Roman"/>
        </w:rPr>
        <w:t xml:space="preserve"> </w:t>
      </w:r>
      <w:proofErr w:type="spellStart"/>
      <w:r w:rsidR="00A84336" w:rsidRPr="00705170">
        <w:rPr>
          <w:rFonts w:ascii="Times New Roman" w:hAnsi="Times New Roman" w:cs="Times New Roman"/>
        </w:rPr>
        <w:t>makes</w:t>
      </w:r>
      <w:proofErr w:type="spellEnd"/>
      <w:r w:rsidR="00A84336" w:rsidRPr="00705170">
        <w:rPr>
          <w:rFonts w:ascii="Times New Roman" w:hAnsi="Times New Roman" w:cs="Times New Roman"/>
        </w:rPr>
        <w:t xml:space="preserve"> </w:t>
      </w:r>
      <w:proofErr w:type="spellStart"/>
      <w:r w:rsidR="00A84336" w:rsidRPr="00705170">
        <w:rPr>
          <w:rFonts w:ascii="Times New Roman" w:hAnsi="Times New Roman" w:cs="Times New Roman"/>
        </w:rPr>
        <w:t>them</w:t>
      </w:r>
      <w:proofErr w:type="spellEnd"/>
      <w:r w:rsidR="00A84336" w:rsidRPr="00705170">
        <w:rPr>
          <w:rFonts w:ascii="Times New Roman" w:hAnsi="Times New Roman" w:cs="Times New Roman"/>
        </w:rPr>
        <w:t xml:space="preserve"> </w:t>
      </w:r>
      <w:proofErr w:type="spellStart"/>
      <w:r w:rsidR="00A84336" w:rsidRPr="00705170">
        <w:rPr>
          <w:rFonts w:ascii="Times New Roman" w:hAnsi="Times New Roman" w:cs="Times New Roman"/>
        </w:rPr>
        <w:t>ineffective</w:t>
      </w:r>
      <w:proofErr w:type="spellEnd"/>
      <w:r w:rsidR="00A84336" w:rsidRPr="00705170">
        <w:rPr>
          <w:rFonts w:ascii="Times New Roman" w:hAnsi="Times New Roman" w:cs="Times New Roman"/>
        </w:rPr>
        <w:t xml:space="preserve"> </w:t>
      </w:r>
      <w:proofErr w:type="spellStart"/>
      <w:r w:rsidR="00A84336" w:rsidRPr="00705170">
        <w:rPr>
          <w:rFonts w:ascii="Times New Roman" w:hAnsi="Times New Roman" w:cs="Times New Roman"/>
        </w:rPr>
        <w:t>against</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certain</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issues</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such</w:t>
      </w:r>
      <w:proofErr w:type="spellEnd"/>
      <w:r w:rsidR="00CC1CC6" w:rsidRPr="00705170">
        <w:rPr>
          <w:rFonts w:ascii="Times New Roman" w:hAnsi="Times New Roman" w:cs="Times New Roman"/>
        </w:rPr>
        <w:t xml:space="preserve"> as </w:t>
      </w:r>
      <w:proofErr w:type="spellStart"/>
      <w:r w:rsidR="00CC1CC6" w:rsidRPr="00705170">
        <w:rPr>
          <w:rFonts w:ascii="Times New Roman" w:hAnsi="Times New Roman" w:cs="Times New Roman"/>
        </w:rPr>
        <w:t>the</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non</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pecuniary</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private</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benefit</w:t>
      </w:r>
      <w:proofErr w:type="spellEnd"/>
      <w:r w:rsidR="00CC1CC6" w:rsidRPr="00705170">
        <w:rPr>
          <w:rFonts w:ascii="Times New Roman" w:hAnsi="Times New Roman" w:cs="Times New Roman"/>
        </w:rPr>
        <w:t xml:space="preserve"> </w:t>
      </w:r>
      <w:proofErr w:type="spellStart"/>
      <w:r w:rsidR="00CC1CC6" w:rsidRPr="00705170">
        <w:rPr>
          <w:rFonts w:ascii="Times New Roman" w:hAnsi="Times New Roman" w:cs="Times New Roman"/>
        </w:rPr>
        <w:t>extractions</w:t>
      </w:r>
      <w:proofErr w:type="spellEnd"/>
      <w:r w:rsidR="00CC1CC6" w:rsidRPr="00705170">
        <w:rPr>
          <w:rStyle w:val="DipnotBavurusu"/>
          <w:rFonts w:ascii="Times New Roman" w:hAnsi="Times New Roman" w:cs="Times New Roman"/>
        </w:rPr>
        <w:footnoteReference w:id="258"/>
      </w:r>
      <w:r w:rsidR="00CC1CC6" w:rsidRPr="00705170">
        <w:rPr>
          <w:rFonts w:ascii="Times New Roman" w:hAnsi="Times New Roman" w:cs="Times New Roman"/>
        </w:rPr>
        <w:t xml:space="preserve">. </w:t>
      </w:r>
      <w:proofErr w:type="spellStart"/>
      <w:r w:rsidR="00BC1835" w:rsidRPr="00705170">
        <w:rPr>
          <w:rFonts w:ascii="Times New Roman" w:hAnsi="Times New Roman" w:cs="Times New Roman"/>
        </w:rPr>
        <w:t>After</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all</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these</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provisions</w:t>
      </w:r>
      <w:proofErr w:type="spellEnd"/>
      <w:r w:rsidR="00A84336" w:rsidRPr="00705170">
        <w:rPr>
          <w:rFonts w:ascii="Times New Roman" w:hAnsi="Times New Roman" w:cs="Times New Roman"/>
        </w:rPr>
        <w:t xml:space="preserve"> </w:t>
      </w:r>
      <w:proofErr w:type="spellStart"/>
      <w:r w:rsidR="00BC1835" w:rsidRPr="00705170">
        <w:rPr>
          <w:rFonts w:ascii="Times New Roman" w:hAnsi="Times New Roman" w:cs="Times New Roman"/>
        </w:rPr>
        <w:t>require</w:t>
      </w:r>
      <w:proofErr w:type="spellEnd"/>
      <w:r w:rsidR="00BC1835" w:rsidRPr="00705170">
        <w:rPr>
          <w:rFonts w:ascii="Times New Roman" w:hAnsi="Times New Roman" w:cs="Times New Roman"/>
        </w:rPr>
        <w:t xml:space="preserve"> </w:t>
      </w:r>
      <w:proofErr w:type="spellStart"/>
      <w:r w:rsidR="00A84336" w:rsidRPr="00705170">
        <w:rPr>
          <w:rFonts w:ascii="Times New Roman" w:hAnsi="Times New Roman" w:cs="Times New Roman"/>
        </w:rPr>
        <w:t>shareholders</w:t>
      </w:r>
      <w:proofErr w:type="spellEnd"/>
      <w:r w:rsidR="00A84336" w:rsidRPr="00705170">
        <w:rPr>
          <w:rFonts w:ascii="Times New Roman" w:hAnsi="Times New Roman" w:cs="Times New Roman"/>
        </w:rPr>
        <w:t xml:space="preserve"> </w:t>
      </w:r>
      <w:proofErr w:type="spellStart"/>
      <w:r w:rsidR="00BC1835" w:rsidRPr="00705170">
        <w:rPr>
          <w:rFonts w:ascii="Times New Roman" w:hAnsi="Times New Roman" w:cs="Times New Roman"/>
        </w:rPr>
        <w:t>to</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track</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all</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lastRenderedPageBreak/>
        <w:t>exte</w:t>
      </w:r>
      <w:r w:rsidR="00A84336" w:rsidRPr="00705170">
        <w:rPr>
          <w:rFonts w:ascii="Times New Roman" w:hAnsi="Times New Roman" w:cs="Times New Roman"/>
        </w:rPr>
        <w:t>rnal</w:t>
      </w:r>
      <w:proofErr w:type="spellEnd"/>
      <w:r w:rsidR="00A84336" w:rsidRPr="00705170">
        <w:rPr>
          <w:rFonts w:ascii="Times New Roman" w:hAnsi="Times New Roman" w:cs="Times New Roman"/>
        </w:rPr>
        <w:t xml:space="preserve"> </w:t>
      </w:r>
      <w:proofErr w:type="spellStart"/>
      <w:r w:rsidR="00BC1835" w:rsidRPr="00705170">
        <w:rPr>
          <w:rFonts w:ascii="Times New Roman" w:hAnsi="Times New Roman" w:cs="Times New Roman"/>
        </w:rPr>
        <w:t>transactions</w:t>
      </w:r>
      <w:proofErr w:type="spellEnd"/>
      <w:r w:rsidR="00BC1835" w:rsidRPr="00705170">
        <w:rPr>
          <w:rFonts w:ascii="Times New Roman" w:hAnsi="Times New Roman" w:cs="Times New Roman"/>
        </w:rPr>
        <w:t xml:space="preserve"> </w:t>
      </w:r>
      <w:proofErr w:type="spellStart"/>
      <w:r w:rsidR="00A84336" w:rsidRPr="00705170">
        <w:rPr>
          <w:rFonts w:ascii="Times New Roman" w:hAnsi="Times New Roman" w:cs="Times New Roman"/>
        </w:rPr>
        <w:t>and</w:t>
      </w:r>
      <w:proofErr w:type="spellEnd"/>
      <w:r w:rsidR="00A84336" w:rsidRPr="00705170">
        <w:rPr>
          <w:rFonts w:ascii="Times New Roman" w:hAnsi="Times New Roman" w:cs="Times New Roman"/>
        </w:rPr>
        <w:t xml:space="preserve"> </w:t>
      </w:r>
      <w:proofErr w:type="spellStart"/>
      <w:r w:rsidR="00A84336" w:rsidRPr="00705170">
        <w:rPr>
          <w:rFonts w:ascii="Times New Roman" w:hAnsi="Times New Roman" w:cs="Times New Roman"/>
        </w:rPr>
        <w:t>internal</w:t>
      </w:r>
      <w:proofErr w:type="spellEnd"/>
      <w:r w:rsidR="00A84336" w:rsidRPr="00705170">
        <w:rPr>
          <w:rFonts w:ascii="Times New Roman" w:hAnsi="Times New Roman" w:cs="Times New Roman"/>
        </w:rPr>
        <w:t xml:space="preserve"> </w:t>
      </w:r>
      <w:proofErr w:type="spellStart"/>
      <w:r w:rsidR="00A84336" w:rsidRPr="00705170">
        <w:rPr>
          <w:rFonts w:ascii="Times New Roman" w:hAnsi="Times New Roman" w:cs="Times New Roman"/>
        </w:rPr>
        <w:t>corporate</w:t>
      </w:r>
      <w:proofErr w:type="spellEnd"/>
      <w:r w:rsidR="00A84336" w:rsidRPr="00705170">
        <w:rPr>
          <w:rFonts w:ascii="Times New Roman" w:hAnsi="Times New Roman" w:cs="Times New Roman"/>
        </w:rPr>
        <w:t xml:space="preserve"> </w:t>
      </w:r>
      <w:proofErr w:type="spellStart"/>
      <w:r w:rsidR="00A84336" w:rsidRPr="00705170">
        <w:rPr>
          <w:rFonts w:ascii="Times New Roman" w:hAnsi="Times New Roman" w:cs="Times New Roman"/>
        </w:rPr>
        <w:t>resolutions</w:t>
      </w:r>
      <w:proofErr w:type="spellEnd"/>
      <w:r w:rsidR="00BC1835" w:rsidRPr="00705170">
        <w:rPr>
          <w:rFonts w:ascii="Times New Roman" w:hAnsi="Times New Roman" w:cs="Times New Roman"/>
        </w:rPr>
        <w:t>,</w:t>
      </w:r>
      <w:r w:rsidR="00A84336" w:rsidRPr="00705170">
        <w:rPr>
          <w:rFonts w:ascii="Times New Roman" w:hAnsi="Times New Roman" w:cs="Times New Roman"/>
        </w:rPr>
        <w:t xml:space="preserve"> </w:t>
      </w:r>
      <w:proofErr w:type="spellStart"/>
      <w:r w:rsidR="00BC1835" w:rsidRPr="00705170">
        <w:rPr>
          <w:rFonts w:ascii="Times New Roman" w:hAnsi="Times New Roman" w:cs="Times New Roman"/>
        </w:rPr>
        <w:t>and</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hunt</w:t>
      </w:r>
      <w:proofErr w:type="spellEnd"/>
      <w:r w:rsidR="00BC1835" w:rsidRPr="00705170">
        <w:rPr>
          <w:rFonts w:ascii="Times New Roman" w:hAnsi="Times New Roman" w:cs="Times New Roman"/>
        </w:rPr>
        <w:t xml:space="preserve"> </w:t>
      </w:r>
      <w:proofErr w:type="spellStart"/>
      <w:r w:rsidR="00A97BE8" w:rsidRPr="00705170">
        <w:rPr>
          <w:rFonts w:ascii="Times New Roman" w:hAnsi="Times New Roman" w:cs="Times New Roman"/>
        </w:rPr>
        <w:t>them</w:t>
      </w:r>
      <w:proofErr w:type="spellEnd"/>
      <w:r w:rsidR="00A97BE8" w:rsidRPr="00705170">
        <w:rPr>
          <w:rFonts w:ascii="Times New Roman" w:hAnsi="Times New Roman" w:cs="Times New Roman"/>
        </w:rPr>
        <w:t xml:space="preserve"> </w:t>
      </w:r>
      <w:proofErr w:type="spellStart"/>
      <w:r w:rsidR="00BC1835" w:rsidRPr="00705170">
        <w:rPr>
          <w:rFonts w:ascii="Times New Roman" w:hAnsi="Times New Roman" w:cs="Times New Roman"/>
        </w:rPr>
        <w:t>down</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transaction</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by</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transaction</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or</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resolution</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by</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resolution</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and</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this</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notion</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lessens</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the</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effect</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and</w:t>
      </w:r>
      <w:proofErr w:type="spellEnd"/>
      <w:r w:rsidR="00BC1835" w:rsidRPr="00705170">
        <w:rPr>
          <w:rFonts w:ascii="Times New Roman" w:hAnsi="Times New Roman" w:cs="Times New Roman"/>
        </w:rPr>
        <w:t xml:space="preserve"> </w:t>
      </w:r>
      <w:proofErr w:type="spellStart"/>
      <w:r w:rsidR="00BC1835" w:rsidRPr="00705170">
        <w:rPr>
          <w:rFonts w:ascii="Times New Roman" w:hAnsi="Times New Roman" w:cs="Times New Roman"/>
        </w:rPr>
        <w:t>viability</w:t>
      </w:r>
      <w:proofErr w:type="spellEnd"/>
      <w:r w:rsidR="00BC1835" w:rsidRPr="00705170">
        <w:rPr>
          <w:rFonts w:ascii="Times New Roman" w:hAnsi="Times New Roman" w:cs="Times New Roman"/>
        </w:rPr>
        <w:t xml:space="preserve"> of </w:t>
      </w:r>
      <w:proofErr w:type="spellStart"/>
      <w:r w:rsidR="00A84336" w:rsidRPr="00705170">
        <w:rPr>
          <w:rFonts w:ascii="Times New Roman" w:hAnsi="Times New Roman" w:cs="Times New Roman"/>
        </w:rPr>
        <w:t>these</w:t>
      </w:r>
      <w:proofErr w:type="spellEnd"/>
      <w:r w:rsidR="00A84336" w:rsidRPr="00705170">
        <w:rPr>
          <w:rFonts w:ascii="Times New Roman" w:hAnsi="Times New Roman" w:cs="Times New Roman"/>
        </w:rPr>
        <w:t xml:space="preserve"> </w:t>
      </w:r>
      <w:proofErr w:type="spellStart"/>
      <w:r w:rsidR="00A84336" w:rsidRPr="00705170">
        <w:rPr>
          <w:rFonts w:ascii="Times New Roman" w:hAnsi="Times New Roman" w:cs="Times New Roman"/>
        </w:rPr>
        <w:t>instru</w:t>
      </w:r>
      <w:r w:rsidR="00BC1835" w:rsidRPr="00705170">
        <w:rPr>
          <w:rFonts w:ascii="Times New Roman" w:hAnsi="Times New Roman" w:cs="Times New Roman"/>
        </w:rPr>
        <w:t>ments</w:t>
      </w:r>
      <w:proofErr w:type="spellEnd"/>
      <w:r w:rsidR="00556514" w:rsidRPr="00705170">
        <w:rPr>
          <w:rStyle w:val="DipnotBavurusu"/>
          <w:rFonts w:ascii="Times New Roman" w:hAnsi="Times New Roman" w:cs="Times New Roman"/>
        </w:rPr>
        <w:footnoteReference w:id="259"/>
      </w:r>
      <w:r w:rsidR="00BC1835" w:rsidRPr="00705170">
        <w:rPr>
          <w:rFonts w:ascii="Times New Roman" w:hAnsi="Times New Roman" w:cs="Times New Roman"/>
        </w:rPr>
        <w:t>.</w:t>
      </w:r>
    </w:p>
    <w:p w14:paraId="7A526DA7" w14:textId="3F343D41" w:rsidR="008A3AEA" w:rsidRPr="00705170" w:rsidRDefault="001A6D11" w:rsidP="001A6D11">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w:t>
      </w:r>
      <w:r w:rsidR="00A97BE8" w:rsidRPr="00705170">
        <w:rPr>
          <w:rFonts w:ascii="Times New Roman" w:hAnsi="Times New Roman" w:cs="Times New Roman"/>
        </w:rPr>
        <w:t>ternative</w:t>
      </w:r>
      <w:proofErr w:type="spellEnd"/>
      <w:r w:rsidR="00A97BE8" w:rsidRPr="00705170">
        <w:rPr>
          <w:rFonts w:ascii="Times New Roman" w:hAnsi="Times New Roman" w:cs="Times New Roman"/>
        </w:rPr>
        <w:t xml:space="preserve"> </w:t>
      </w:r>
      <w:proofErr w:type="spellStart"/>
      <w:r w:rsidR="00A97BE8" w:rsidRPr="00705170">
        <w:rPr>
          <w:rFonts w:ascii="Times New Roman" w:hAnsi="Times New Roman" w:cs="Times New Roman"/>
        </w:rPr>
        <w:t>theories</w:t>
      </w:r>
      <w:proofErr w:type="spellEnd"/>
      <w:r w:rsidR="00A97BE8" w:rsidRPr="00705170">
        <w:rPr>
          <w:rFonts w:ascii="Times New Roman" w:hAnsi="Times New Roman" w:cs="Times New Roman"/>
        </w:rPr>
        <w:t xml:space="preserve"> </w:t>
      </w:r>
      <w:proofErr w:type="spellStart"/>
      <w:r w:rsidR="00A97BE8" w:rsidRPr="00705170">
        <w:rPr>
          <w:rFonts w:ascii="Times New Roman" w:hAnsi="Times New Roman" w:cs="Times New Roman"/>
        </w:rPr>
        <w:t>that</w:t>
      </w:r>
      <w:proofErr w:type="spellEnd"/>
      <w:r w:rsidR="00A97BE8" w:rsidRPr="00705170">
        <w:rPr>
          <w:rFonts w:ascii="Times New Roman" w:hAnsi="Times New Roman" w:cs="Times New Roman"/>
        </w:rPr>
        <w:t xml:space="preserve"> </w:t>
      </w:r>
      <w:proofErr w:type="spellStart"/>
      <w:r w:rsidR="00A97BE8"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suggested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commentators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curb</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CD3F44">
        <w:rPr>
          <w:rFonts w:ascii="Times New Roman" w:hAnsi="Times New Roman" w:cs="Times New Roman"/>
        </w:rPr>
        <w:t>controlling</w:t>
      </w:r>
      <w:proofErr w:type="spellEnd"/>
      <w:r w:rsidR="00CD3F44"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damages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CD3F44">
        <w:rPr>
          <w:rFonts w:ascii="Times New Roman" w:hAnsi="Times New Roman" w:cs="Times New Roman"/>
        </w:rPr>
        <w:t>corporation</w:t>
      </w:r>
      <w:proofErr w:type="spellEnd"/>
      <w:r w:rsidR="00A97BE8" w:rsidRPr="00705170">
        <w:rPr>
          <w:rFonts w:ascii="Times New Roman" w:hAnsi="Times New Roman" w:cs="Times New Roman"/>
        </w:rPr>
        <w:t xml:space="preserve"> </w:t>
      </w:r>
      <w:proofErr w:type="spellStart"/>
      <w:r w:rsidR="00A97BE8" w:rsidRPr="00705170">
        <w:rPr>
          <w:rFonts w:ascii="Times New Roman" w:hAnsi="Times New Roman" w:cs="Times New Roman"/>
        </w:rPr>
        <w:t>and</w:t>
      </w:r>
      <w:proofErr w:type="spellEnd"/>
      <w:r w:rsidR="00A97BE8" w:rsidRPr="00705170">
        <w:rPr>
          <w:rFonts w:ascii="Times New Roman" w:hAnsi="Times New Roman" w:cs="Times New Roman"/>
        </w:rPr>
        <w:t xml:space="preserve"> </w:t>
      </w:r>
      <w:proofErr w:type="spellStart"/>
      <w:r w:rsidR="00A97BE8" w:rsidRPr="00705170">
        <w:rPr>
          <w:rFonts w:ascii="Times New Roman" w:hAnsi="Times New Roman" w:cs="Times New Roman"/>
        </w:rPr>
        <w:t>its</w:t>
      </w:r>
      <w:proofErr w:type="spellEnd"/>
      <w:r w:rsidR="00A97BE8" w:rsidRPr="00705170">
        <w:rPr>
          <w:rFonts w:ascii="Times New Roman" w:hAnsi="Times New Roman" w:cs="Times New Roman"/>
        </w:rPr>
        <w:t xml:space="preserve"> </w:t>
      </w:r>
      <w:proofErr w:type="spellStart"/>
      <w:r w:rsidR="00A97BE8" w:rsidRPr="00705170">
        <w:rPr>
          <w:rFonts w:ascii="Times New Roman" w:hAnsi="Times New Roman" w:cs="Times New Roman"/>
        </w:rPr>
        <w:t>shareholders</w:t>
      </w:r>
      <w:proofErr w:type="spellEnd"/>
      <w:r w:rsidR="00A97BE8" w:rsidRPr="00705170">
        <w:rPr>
          <w:rFonts w:ascii="Times New Roman" w:hAnsi="Times New Roman" w:cs="Times New Roman"/>
        </w:rPr>
        <w:t xml:space="preserve"> </w:t>
      </w:r>
      <w:proofErr w:type="spellStart"/>
      <w:r w:rsidR="00A97BE8" w:rsidRPr="00705170">
        <w:rPr>
          <w:rFonts w:ascii="Times New Roman" w:hAnsi="Times New Roman" w:cs="Times New Roman"/>
        </w:rPr>
        <w:t>are</w:t>
      </w:r>
      <w:proofErr w:type="spellEnd"/>
      <w:r w:rsidR="00A97BE8"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“lifting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veil</w:t>
      </w:r>
      <w:proofErr w:type="spellEnd"/>
      <w:r w:rsidRPr="00705170">
        <w:rPr>
          <w:rFonts w:ascii="Times New Roman" w:hAnsi="Times New Roman" w:cs="Times New Roman"/>
        </w:rPr>
        <w:t>”, “</w:t>
      </w:r>
      <w:proofErr w:type="spellStart"/>
      <w:r w:rsidRPr="00705170">
        <w:rPr>
          <w:rFonts w:ascii="Times New Roman" w:hAnsi="Times New Roman" w:cs="Times New Roman"/>
        </w:rPr>
        <w:t>shadow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fiduciary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theories</w:t>
      </w:r>
      <w:proofErr w:type="spellEnd"/>
      <w:r w:rsidRPr="00705170">
        <w:rPr>
          <w:rStyle w:val="DipnotBavurusu"/>
          <w:rFonts w:ascii="Times New Roman" w:hAnsi="Times New Roman" w:cs="Times New Roman"/>
        </w:rPr>
        <w:footnoteReference w:id="260"/>
      </w:r>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00CD3F44">
        <w:rPr>
          <w:rFonts w:ascii="Times New Roman" w:hAnsi="Times New Roman" w:cs="Times New Roman"/>
        </w:rPr>
        <w:t>the</w:t>
      </w:r>
      <w:proofErr w:type="spellEnd"/>
      <w:r w:rsidR="00CD3F44">
        <w:rPr>
          <w:rFonts w:ascii="Times New Roman" w:hAnsi="Times New Roman" w:cs="Times New Roman"/>
        </w:rPr>
        <w:t xml:space="preserve"> legal </w:t>
      </w:r>
      <w:proofErr w:type="spellStart"/>
      <w:r w:rsidR="00CD3F44">
        <w:rPr>
          <w:rFonts w:ascii="Times New Roman" w:hAnsi="Times New Roman" w:cs="Times New Roman"/>
        </w:rPr>
        <w:t>basis</w:t>
      </w:r>
      <w:proofErr w:type="spellEnd"/>
      <w:r w:rsidR="00CD3F44">
        <w:rPr>
          <w:rFonts w:ascii="Times New Roman" w:hAnsi="Times New Roman" w:cs="Times New Roman"/>
        </w:rPr>
        <w:t xml:space="preserve"> </w:t>
      </w:r>
      <w:proofErr w:type="spellStart"/>
      <w:r w:rsidR="00CD3F44">
        <w:rPr>
          <w:rFonts w:ascii="Times New Roman" w:hAnsi="Times New Roman" w:cs="Times New Roman"/>
        </w:rPr>
        <w:t>and</w:t>
      </w:r>
      <w:proofErr w:type="spellEnd"/>
      <w:r w:rsidR="00CD3F44">
        <w:rPr>
          <w:rFonts w:ascii="Times New Roman" w:hAnsi="Times New Roman" w:cs="Times New Roman"/>
        </w:rPr>
        <w:t xml:space="preserve"> </w:t>
      </w:r>
      <w:proofErr w:type="spellStart"/>
      <w:r w:rsidR="00CD3F44">
        <w:rPr>
          <w:rFonts w:ascii="Times New Roman" w:hAnsi="Times New Roman" w:cs="Times New Roman"/>
        </w:rPr>
        <w:t>application</w:t>
      </w:r>
      <w:proofErr w:type="spellEnd"/>
      <w:r w:rsidR="00CD3F44">
        <w:rPr>
          <w:rFonts w:ascii="Times New Roman" w:hAnsi="Times New Roman" w:cs="Times New Roman"/>
        </w:rPr>
        <w:t xml:space="preserve"> </w:t>
      </w:r>
      <w:proofErr w:type="spellStart"/>
      <w:r w:rsidR="00CD3F44">
        <w:rPr>
          <w:rFonts w:ascii="Times New Roman" w:hAnsi="Times New Roman" w:cs="Times New Roman"/>
        </w:rPr>
        <w:t>standards</w:t>
      </w:r>
      <w:proofErr w:type="spellEnd"/>
      <w:r w:rsidR="00CD3F44">
        <w:rPr>
          <w:rFonts w:ascii="Times New Roman" w:hAnsi="Times New Roman" w:cs="Times New Roman"/>
        </w:rPr>
        <w:t xml:space="preserve"> of </w:t>
      </w:r>
      <w:proofErr w:type="spellStart"/>
      <w:r w:rsidR="00CD3F44">
        <w:rPr>
          <w:rFonts w:ascii="Times New Roman" w:hAnsi="Times New Roman" w:cs="Times New Roman"/>
        </w:rPr>
        <w:t>these</w:t>
      </w:r>
      <w:proofErr w:type="spellEnd"/>
      <w:r w:rsidR="00CD3F44">
        <w:rPr>
          <w:rFonts w:ascii="Times New Roman" w:hAnsi="Times New Roman" w:cs="Times New Roman"/>
        </w:rPr>
        <w:t xml:space="preserve"> </w:t>
      </w:r>
      <w:proofErr w:type="spellStart"/>
      <w:r w:rsidR="00CD3F44">
        <w:rPr>
          <w:rFonts w:ascii="Times New Roman" w:hAnsi="Times New Roman" w:cs="Times New Roman"/>
        </w:rPr>
        <w:t>theories</w:t>
      </w:r>
      <w:proofErr w:type="spellEnd"/>
      <w:r w:rsidR="00CD3F44">
        <w:rPr>
          <w:rFonts w:ascii="Times New Roman" w:hAnsi="Times New Roman" w:cs="Times New Roman"/>
        </w:rPr>
        <w:t xml:space="preserve"> </w:t>
      </w:r>
      <w:proofErr w:type="spellStart"/>
      <w:r w:rsidR="00CD3F44">
        <w:rPr>
          <w:rFonts w:ascii="Times New Roman" w:hAnsi="Times New Roman" w:cs="Times New Roman"/>
        </w:rPr>
        <w:t>are</w:t>
      </w:r>
      <w:proofErr w:type="spellEnd"/>
      <w:r w:rsidR="00CD3F44">
        <w:rPr>
          <w:rFonts w:ascii="Times New Roman" w:hAnsi="Times New Roman" w:cs="Times New Roman"/>
        </w:rPr>
        <w:t xml:space="preserve"> not </w:t>
      </w:r>
      <w:proofErr w:type="spellStart"/>
      <w:r w:rsidR="00CD3F44">
        <w:rPr>
          <w:rFonts w:ascii="Times New Roman" w:hAnsi="Times New Roman" w:cs="Times New Roman"/>
        </w:rPr>
        <w:t>explicitly</w:t>
      </w:r>
      <w:proofErr w:type="spellEnd"/>
      <w:r w:rsidR="00CD3F44">
        <w:rPr>
          <w:rFonts w:ascii="Times New Roman" w:hAnsi="Times New Roman" w:cs="Times New Roman"/>
        </w:rPr>
        <w:t xml:space="preserve"> </w:t>
      </w:r>
      <w:proofErr w:type="spellStart"/>
      <w:r w:rsidR="00CE4B13">
        <w:rPr>
          <w:rFonts w:ascii="Times New Roman" w:hAnsi="Times New Roman" w:cs="Times New Roman"/>
        </w:rPr>
        <w:t>shown</w:t>
      </w:r>
      <w:proofErr w:type="spellEnd"/>
      <w:r w:rsidR="00CD3F44">
        <w:rPr>
          <w:rFonts w:ascii="Times New Roman" w:hAnsi="Times New Roman" w:cs="Times New Roman"/>
        </w:rPr>
        <w:t xml:space="preserve"> in </w:t>
      </w:r>
      <w:proofErr w:type="spellStart"/>
      <w:r w:rsidR="00CD3F44">
        <w:rPr>
          <w:rFonts w:ascii="Times New Roman" w:hAnsi="Times New Roman" w:cs="Times New Roman"/>
        </w:rPr>
        <w:t>the</w:t>
      </w:r>
      <w:proofErr w:type="spellEnd"/>
      <w:r w:rsidR="00CD3F44">
        <w:rPr>
          <w:rFonts w:ascii="Times New Roman" w:hAnsi="Times New Roman" w:cs="Times New Roman"/>
        </w:rPr>
        <w:t xml:space="preserve"> TCC </w:t>
      </w:r>
      <w:proofErr w:type="spellStart"/>
      <w:r w:rsidR="00CD3F44">
        <w:rPr>
          <w:rFonts w:ascii="Times New Roman" w:hAnsi="Times New Roman" w:cs="Times New Roman"/>
        </w:rPr>
        <w:t>regime</w:t>
      </w:r>
      <w:proofErr w:type="spellEnd"/>
      <w:r w:rsidRPr="00705170">
        <w:rPr>
          <w:rStyle w:val="DipnotBavurusu"/>
          <w:rFonts w:ascii="Times New Roman" w:hAnsi="Times New Roman" w:cs="Times New Roman"/>
        </w:rPr>
        <w:footnoteReference w:id="261"/>
      </w:r>
      <w:r w:rsidRPr="00705170">
        <w:rPr>
          <w:rFonts w:ascii="Times New Roman" w:hAnsi="Times New Roman" w:cs="Times New Roman"/>
        </w:rPr>
        <w:t xml:space="preserve">. </w:t>
      </w:r>
      <w:proofErr w:type="spellStart"/>
      <w:r w:rsidRPr="00705170">
        <w:rPr>
          <w:rFonts w:ascii="Times New Roman" w:hAnsi="Times New Roman" w:cs="Times New Roman"/>
        </w:rPr>
        <w:t>Accordingly</w:t>
      </w:r>
      <w:proofErr w:type="spellEnd"/>
      <w:r w:rsidRPr="00705170">
        <w:rPr>
          <w:rFonts w:ascii="Times New Roman" w:hAnsi="Times New Roman" w:cs="Times New Roman"/>
        </w:rPr>
        <w:t xml:space="preserve">, </w:t>
      </w:r>
      <w:r w:rsidR="00DE6F11" w:rsidRPr="00705170">
        <w:rPr>
          <w:rFonts w:ascii="Times New Roman" w:hAnsi="Times New Roman" w:cs="Times New Roman"/>
        </w:rPr>
        <w:t xml:space="preserve">in </w:t>
      </w:r>
      <w:proofErr w:type="spellStart"/>
      <w:r w:rsidR="00DE6F11" w:rsidRPr="00705170">
        <w:rPr>
          <w:rFonts w:ascii="Times New Roman" w:hAnsi="Times New Roman" w:cs="Times New Roman"/>
        </w:rPr>
        <w:t>this</w:t>
      </w:r>
      <w:proofErr w:type="spellEnd"/>
      <w:r w:rsidR="00DE6F11" w:rsidRPr="00705170">
        <w:rPr>
          <w:rFonts w:ascii="Times New Roman" w:hAnsi="Times New Roman" w:cs="Times New Roman"/>
        </w:rPr>
        <w:t xml:space="preserve"> </w:t>
      </w:r>
      <w:proofErr w:type="spellStart"/>
      <w:r w:rsidR="00DE6F11" w:rsidRPr="00705170">
        <w:rPr>
          <w:rFonts w:ascii="Times New Roman" w:hAnsi="Times New Roman" w:cs="Times New Roman"/>
        </w:rPr>
        <w:t>chapter</w:t>
      </w:r>
      <w:proofErr w:type="spellEnd"/>
      <w:r w:rsidR="00DE6F11"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study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focuses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primary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can</w:t>
      </w:r>
      <w:r w:rsidR="00DE6F11" w:rsidRPr="00705170">
        <w:rPr>
          <w:rFonts w:ascii="Times New Roman" w:hAnsi="Times New Roman" w:cs="Times New Roman"/>
        </w:rPr>
        <w:t xml:space="preserve"> be </w:t>
      </w:r>
      <w:proofErr w:type="spellStart"/>
      <w:r w:rsidR="00DE6F11" w:rsidRPr="00705170">
        <w:rPr>
          <w:rFonts w:ascii="Times New Roman" w:hAnsi="Times New Roman" w:cs="Times New Roman"/>
        </w:rPr>
        <w:t>used</w:t>
      </w:r>
      <w:proofErr w:type="spellEnd"/>
      <w:r w:rsidR="00DE6F11" w:rsidRPr="00705170">
        <w:rPr>
          <w:rFonts w:ascii="Times New Roman" w:hAnsi="Times New Roman" w:cs="Times New Roman"/>
        </w:rPr>
        <w:t xml:space="preserve"> </w:t>
      </w:r>
      <w:proofErr w:type="spellStart"/>
      <w:r w:rsidR="00DE6F11"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w:t>
      </w:r>
    </w:p>
    <w:p w14:paraId="6B7F40E7" w14:textId="521EB85C" w:rsidR="00036F1D" w:rsidRPr="00705170" w:rsidRDefault="00036F1D" w:rsidP="00DB5C10">
      <w:pPr>
        <w:spacing w:after="240" w:line="480" w:lineRule="auto"/>
        <w:rPr>
          <w:rFonts w:ascii="Times New Roman" w:hAnsi="Times New Roman" w:cs="Times New Roman"/>
          <w:b/>
        </w:rPr>
      </w:pPr>
      <w:r w:rsidRPr="00705170">
        <w:rPr>
          <w:rFonts w:ascii="Times New Roman" w:hAnsi="Times New Roman" w:cs="Times New Roman"/>
          <w:b/>
        </w:rPr>
        <w:tab/>
      </w:r>
      <w:r w:rsidR="00C01441">
        <w:rPr>
          <w:rFonts w:ascii="Times New Roman" w:hAnsi="Times New Roman" w:cs="Times New Roman"/>
          <w:b/>
        </w:rPr>
        <w:t>3</w:t>
      </w:r>
      <w:r w:rsidRPr="00705170">
        <w:rPr>
          <w:rFonts w:ascii="Times New Roman" w:hAnsi="Times New Roman" w:cs="Times New Roman"/>
          <w:b/>
        </w:rPr>
        <w:t xml:space="preserve">.2. </w:t>
      </w:r>
      <w:proofErr w:type="spellStart"/>
      <w:r w:rsidRPr="00705170">
        <w:rPr>
          <w:rFonts w:ascii="Times New Roman" w:hAnsi="Times New Roman" w:cs="Times New Roman"/>
          <w:b/>
        </w:rPr>
        <w:t>Specific</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Provisions</w:t>
      </w:r>
      <w:proofErr w:type="spellEnd"/>
    </w:p>
    <w:p w14:paraId="107A343D" w14:textId="7F9381C7" w:rsidR="000A35AA" w:rsidRPr="00705170" w:rsidRDefault="00132C8A" w:rsidP="004D6830">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00AD5DE1" w:rsidRPr="00705170">
        <w:rPr>
          <w:rFonts w:ascii="Times New Roman" w:hAnsi="Times New Roman" w:cs="Times New Roman"/>
        </w:rPr>
        <w:t>There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are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certian</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specific</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statutory</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provisions</w:t>
      </w:r>
      <w:proofErr w:type="spellEnd"/>
      <w:r w:rsidR="00AD5DE1" w:rsidRPr="00705170">
        <w:rPr>
          <w:rFonts w:ascii="Times New Roman" w:hAnsi="Times New Roman" w:cs="Times New Roman"/>
        </w:rPr>
        <w:t xml:space="preserve"> in </w:t>
      </w:r>
      <w:proofErr w:type="spellStart"/>
      <w:r w:rsidR="00AD5DE1" w:rsidRPr="00705170">
        <w:rPr>
          <w:rFonts w:ascii="Times New Roman" w:hAnsi="Times New Roman" w:cs="Times New Roman"/>
        </w:rPr>
        <w:t>the</w:t>
      </w:r>
      <w:proofErr w:type="spellEnd"/>
      <w:r w:rsidR="00AD5DE1" w:rsidRPr="00705170">
        <w:rPr>
          <w:rFonts w:ascii="Times New Roman" w:hAnsi="Times New Roman" w:cs="Times New Roman"/>
        </w:rPr>
        <w:t xml:space="preserve"> CML </w:t>
      </w:r>
      <w:proofErr w:type="spellStart"/>
      <w:r w:rsidR="00AD5DE1" w:rsidRPr="00705170">
        <w:rPr>
          <w:rFonts w:ascii="Times New Roman" w:hAnsi="Times New Roman" w:cs="Times New Roman"/>
        </w:rPr>
        <w:t>that</w:t>
      </w:r>
      <w:proofErr w:type="spellEnd"/>
      <w:r w:rsidR="00AD5DE1" w:rsidRPr="00705170">
        <w:rPr>
          <w:rFonts w:ascii="Times New Roman" w:hAnsi="Times New Roman" w:cs="Times New Roman"/>
        </w:rPr>
        <w:t xml:space="preserve"> can </w:t>
      </w:r>
      <w:proofErr w:type="spellStart"/>
      <w:r w:rsidR="00AD5DE1" w:rsidRPr="00705170">
        <w:rPr>
          <w:rFonts w:ascii="Times New Roman" w:hAnsi="Times New Roman" w:cs="Times New Roman"/>
        </w:rPr>
        <w:t>provide</w:t>
      </w:r>
      <w:proofErr w:type="spellEnd"/>
      <w:r w:rsidR="00AD5DE1" w:rsidRPr="00705170">
        <w:rPr>
          <w:rFonts w:ascii="Times New Roman" w:hAnsi="Times New Roman" w:cs="Times New Roman"/>
        </w:rPr>
        <w:t xml:space="preserve"> an </w:t>
      </w:r>
      <w:proofErr w:type="spellStart"/>
      <w:r w:rsidR="00AD5DE1" w:rsidRPr="00705170">
        <w:rPr>
          <w:rFonts w:ascii="Times New Roman" w:hAnsi="Times New Roman" w:cs="Times New Roman"/>
        </w:rPr>
        <w:t>effective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constraint</w:t>
      </w:r>
      <w:proofErr w:type="spellEnd"/>
      <w:r w:rsidR="00AD5DE1" w:rsidRPr="00705170">
        <w:rPr>
          <w:rFonts w:ascii="Times New Roman" w:hAnsi="Times New Roman" w:cs="Times New Roman"/>
        </w:rPr>
        <w:t xml:space="preserve"> on </w:t>
      </w:r>
      <w:proofErr w:type="spellStart"/>
      <w:r w:rsidR="00AD5DE1" w:rsidRPr="00705170">
        <w:rPr>
          <w:rFonts w:ascii="Times New Roman" w:hAnsi="Times New Roman" w:cs="Times New Roman"/>
        </w:rPr>
        <w:t>influencing</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shareholder’s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non</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pecuniary</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private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benefit</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extractions</w:t>
      </w:r>
      <w:proofErr w:type="spellEnd"/>
      <w:r w:rsidR="00AD5DE1" w:rsidRPr="00705170">
        <w:rPr>
          <w:rFonts w:ascii="Times New Roman" w:hAnsi="Times New Roman" w:cs="Times New Roman"/>
        </w:rPr>
        <w:t xml:space="preserve">. </w:t>
      </w:r>
      <w:proofErr w:type="spellStart"/>
      <w:r w:rsidR="007B4F62" w:rsidRPr="00705170">
        <w:rPr>
          <w:rFonts w:ascii="Times New Roman" w:hAnsi="Times New Roman" w:cs="Times New Roman"/>
        </w:rPr>
        <w:t>While</w:t>
      </w:r>
      <w:proofErr w:type="spellEnd"/>
      <w:r w:rsidR="007B4F62" w:rsidRPr="00705170">
        <w:rPr>
          <w:rFonts w:ascii="Times New Roman" w:hAnsi="Times New Roman" w:cs="Times New Roman"/>
        </w:rPr>
        <w:t xml:space="preserve"> </w:t>
      </w:r>
      <w:proofErr w:type="spellStart"/>
      <w:r w:rsidR="007B4F62" w:rsidRPr="00705170">
        <w:rPr>
          <w:rFonts w:ascii="Times New Roman" w:hAnsi="Times New Roman" w:cs="Times New Roman"/>
        </w:rPr>
        <w:t>the</w:t>
      </w:r>
      <w:proofErr w:type="spellEnd"/>
      <w:r w:rsidR="007B4F62" w:rsidRPr="00705170">
        <w:rPr>
          <w:rFonts w:ascii="Times New Roman" w:hAnsi="Times New Roman" w:cs="Times New Roman"/>
        </w:rPr>
        <w:t xml:space="preserve"> </w:t>
      </w:r>
      <w:proofErr w:type="spellStart"/>
      <w:r w:rsidR="007B4F62" w:rsidRPr="00705170">
        <w:rPr>
          <w:rFonts w:ascii="Times New Roman" w:hAnsi="Times New Roman" w:cs="Times New Roman"/>
        </w:rPr>
        <w:t>efficiency</w:t>
      </w:r>
      <w:proofErr w:type="spellEnd"/>
      <w:r w:rsidR="007B4F62" w:rsidRPr="00705170">
        <w:rPr>
          <w:rFonts w:ascii="Times New Roman" w:hAnsi="Times New Roman" w:cs="Times New Roman"/>
        </w:rPr>
        <w:t xml:space="preserve"> of </w:t>
      </w:r>
      <w:proofErr w:type="spellStart"/>
      <w:r w:rsidR="007B4F62" w:rsidRPr="00705170">
        <w:rPr>
          <w:rFonts w:ascii="Times New Roman" w:hAnsi="Times New Roman" w:cs="Times New Roman"/>
        </w:rPr>
        <w:t>the</w:t>
      </w:r>
      <w:proofErr w:type="spellEnd"/>
      <w:r w:rsidR="007B4F62" w:rsidRPr="00705170">
        <w:rPr>
          <w:rFonts w:ascii="Times New Roman" w:hAnsi="Times New Roman" w:cs="Times New Roman"/>
        </w:rPr>
        <w:t xml:space="preserve"> </w:t>
      </w:r>
      <w:proofErr w:type="spellStart"/>
      <w:r w:rsidR="007B4F62" w:rsidRPr="00705170">
        <w:rPr>
          <w:rFonts w:ascii="Times New Roman" w:hAnsi="Times New Roman" w:cs="Times New Roman"/>
        </w:rPr>
        <w:t>provisions</w:t>
      </w:r>
      <w:proofErr w:type="spellEnd"/>
      <w:r w:rsidR="007B4F62" w:rsidRPr="00705170">
        <w:rPr>
          <w:rFonts w:ascii="Times New Roman" w:hAnsi="Times New Roman" w:cs="Times New Roman"/>
        </w:rPr>
        <w:t xml:space="preserve"> </w:t>
      </w:r>
      <w:proofErr w:type="spellStart"/>
      <w:r w:rsidR="007B4F62" w:rsidRPr="00705170">
        <w:rPr>
          <w:rFonts w:ascii="Times New Roman" w:hAnsi="Times New Roman" w:cs="Times New Roman"/>
        </w:rPr>
        <w:t>are</w:t>
      </w:r>
      <w:proofErr w:type="spellEnd"/>
      <w:r w:rsidR="007B4F62" w:rsidRPr="00705170">
        <w:rPr>
          <w:rFonts w:ascii="Times New Roman" w:hAnsi="Times New Roman" w:cs="Times New Roman"/>
        </w:rPr>
        <w:t xml:space="preserve"> </w:t>
      </w:r>
      <w:proofErr w:type="spellStart"/>
      <w:r w:rsidR="007B4F62" w:rsidRPr="00705170">
        <w:rPr>
          <w:rFonts w:ascii="Times New Roman" w:hAnsi="Times New Roman" w:cs="Times New Roman"/>
        </w:rPr>
        <w:t>questionable</w:t>
      </w:r>
      <w:proofErr w:type="spellEnd"/>
      <w:r w:rsidR="007B4F62" w:rsidRPr="00705170">
        <w:rPr>
          <w:rStyle w:val="DipnotBavurusu"/>
          <w:rFonts w:ascii="Times New Roman" w:hAnsi="Times New Roman" w:cs="Times New Roman"/>
        </w:rPr>
        <w:footnoteReference w:id="262"/>
      </w:r>
      <w:r w:rsidR="00AD5DE1" w:rsidRPr="00705170">
        <w:rPr>
          <w:rFonts w:ascii="Times New Roman" w:hAnsi="Times New Roman" w:cs="Times New Roman"/>
        </w:rPr>
        <w:t xml:space="preserve">, in </w:t>
      </w:r>
      <w:proofErr w:type="spellStart"/>
      <w:r w:rsidR="00AD5DE1" w:rsidRPr="00705170">
        <w:rPr>
          <w:rFonts w:ascii="Times New Roman" w:hAnsi="Times New Roman" w:cs="Times New Roman"/>
        </w:rPr>
        <w:t>theory</w:t>
      </w:r>
      <w:proofErr w:type="spellEnd"/>
      <w:r w:rsidR="001D6642" w:rsidRPr="00705170">
        <w:rPr>
          <w:rFonts w:ascii="Times New Roman" w:hAnsi="Times New Roman" w:cs="Times New Roman"/>
        </w:rPr>
        <w:t>; (1)</w:t>
      </w:r>
      <w:r w:rsidR="007B4F62" w:rsidRPr="00705170">
        <w:rPr>
          <w:rFonts w:ascii="Times New Roman" w:hAnsi="Times New Roman" w:cs="Times New Roman"/>
        </w:rPr>
        <w:t xml:space="preserve"> </w:t>
      </w:r>
      <w:proofErr w:type="spellStart"/>
      <w:r w:rsidR="007B4F62" w:rsidRPr="00705170">
        <w:rPr>
          <w:rFonts w:ascii="Times New Roman" w:hAnsi="Times New Roman" w:cs="Times New Roman"/>
        </w:rPr>
        <w:t>t</w:t>
      </w:r>
      <w:r w:rsidRPr="00705170">
        <w:rPr>
          <w:rFonts w:ascii="Times New Roman" w:hAnsi="Times New Roman" w:cs="Times New Roman"/>
        </w:rPr>
        <w: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004457A2">
        <w:rPr>
          <w:rFonts w:ascii="Times New Roman" w:hAnsi="Times New Roman" w:cs="Times New Roman"/>
        </w:rPr>
        <w:t>may</w:t>
      </w:r>
      <w:proofErr w:type="spellEnd"/>
      <w:r w:rsidR="004457A2" w:rsidRPr="00705170">
        <w:rPr>
          <w:rFonts w:ascii="Times New Roman" w:hAnsi="Times New Roman" w:cs="Times New Roman"/>
        </w:rPr>
        <w:t xml:space="preserve"> </w:t>
      </w:r>
      <w:r w:rsidRPr="00705170">
        <w:rPr>
          <w:rFonts w:ascii="Times New Roman" w:hAnsi="Times New Roman" w:cs="Times New Roman"/>
        </w:rPr>
        <w:t xml:space="preserve">be </w:t>
      </w:r>
      <w:proofErr w:type="spellStart"/>
      <w:r w:rsidRPr="00705170">
        <w:rPr>
          <w:rFonts w:ascii="Times New Roman" w:hAnsi="Times New Roman" w:cs="Times New Roman"/>
        </w:rPr>
        <w:t>deemed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according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co</w:t>
      </w:r>
      <w:r w:rsidR="00AD5DE1" w:rsidRPr="00705170">
        <w:rPr>
          <w:rFonts w:ascii="Times New Roman" w:hAnsi="Times New Roman" w:cs="Times New Roman"/>
        </w:rPr>
        <w:t>rporate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groups</w:t>
      </w:r>
      <w:proofErr w:type="spellEnd"/>
      <w:r w:rsidR="00AD5DE1" w:rsidRPr="00705170">
        <w:rPr>
          <w:rFonts w:ascii="Times New Roman" w:hAnsi="Times New Roman" w:cs="Times New Roman"/>
        </w:rPr>
        <w:t xml:space="preserve">; </w:t>
      </w:r>
      <w:r w:rsidR="001D6642" w:rsidRPr="00705170">
        <w:rPr>
          <w:rFonts w:ascii="Times New Roman" w:hAnsi="Times New Roman" w:cs="Times New Roman"/>
        </w:rPr>
        <w:t xml:space="preserve">(2) </w:t>
      </w:r>
      <w:proofErr w:type="spellStart"/>
      <w:r w:rsidR="00AD5DE1" w:rsidRPr="00705170">
        <w:rPr>
          <w:rFonts w:ascii="Times New Roman" w:hAnsi="Times New Roman" w:cs="Times New Roman"/>
        </w:rPr>
        <w:t>the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non</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pecuniary</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benefit</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extractions</w:t>
      </w:r>
      <w:proofErr w:type="spellEnd"/>
      <w:r w:rsidR="00AD5DE1" w:rsidRPr="00705170">
        <w:rPr>
          <w:rFonts w:ascii="Times New Roman" w:hAnsi="Times New Roman" w:cs="Times New Roman"/>
        </w:rPr>
        <w:t xml:space="preserve"> can be </w:t>
      </w:r>
      <w:proofErr w:type="spellStart"/>
      <w:r w:rsidR="00AD5DE1" w:rsidRPr="00705170">
        <w:rPr>
          <w:rFonts w:ascii="Times New Roman" w:hAnsi="Times New Roman" w:cs="Times New Roman"/>
        </w:rPr>
        <w:t>subject</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to</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rules</w:t>
      </w:r>
      <w:proofErr w:type="spellEnd"/>
      <w:r w:rsidR="00AD5DE1" w:rsidRPr="00705170">
        <w:rPr>
          <w:rFonts w:ascii="Times New Roman" w:hAnsi="Times New Roman" w:cs="Times New Roman"/>
        </w:rPr>
        <w:t xml:space="preserve"> on </w:t>
      </w:r>
      <w:proofErr w:type="spellStart"/>
      <w:r w:rsidR="00AD5DE1" w:rsidRPr="00705170">
        <w:rPr>
          <w:rFonts w:ascii="Times New Roman" w:hAnsi="Times New Roman" w:cs="Times New Roman"/>
        </w:rPr>
        <w:t>fundamental</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corporate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changes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or</w:t>
      </w:r>
      <w:proofErr w:type="spellEnd"/>
      <w:r w:rsidR="00AD5DE1" w:rsidRPr="00705170">
        <w:rPr>
          <w:rFonts w:ascii="Times New Roman" w:hAnsi="Times New Roman" w:cs="Times New Roman"/>
        </w:rPr>
        <w:t xml:space="preserve"> </w:t>
      </w:r>
      <w:r w:rsidR="001D6642" w:rsidRPr="00705170">
        <w:rPr>
          <w:rFonts w:ascii="Times New Roman" w:hAnsi="Times New Roman" w:cs="Times New Roman"/>
        </w:rPr>
        <w:t xml:space="preserve">(3) </w:t>
      </w:r>
      <w:proofErr w:type="spellStart"/>
      <w:r w:rsidR="00AD5DE1" w:rsidRPr="00705170">
        <w:rPr>
          <w:rFonts w:ascii="Times New Roman" w:hAnsi="Times New Roman" w:cs="Times New Roman"/>
        </w:rPr>
        <w:t>to</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rules</w:t>
      </w:r>
      <w:proofErr w:type="spellEnd"/>
      <w:r w:rsidR="00AD5DE1" w:rsidRPr="00705170">
        <w:rPr>
          <w:rFonts w:ascii="Times New Roman" w:hAnsi="Times New Roman" w:cs="Times New Roman"/>
        </w:rPr>
        <w:t xml:space="preserve"> on </w:t>
      </w:r>
      <w:proofErr w:type="spellStart"/>
      <w:r w:rsidR="00AD5DE1" w:rsidRPr="00705170">
        <w:rPr>
          <w:rFonts w:ascii="Times New Roman" w:hAnsi="Times New Roman" w:cs="Times New Roman"/>
        </w:rPr>
        <w:t>concealed</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distribution</w:t>
      </w:r>
      <w:proofErr w:type="spellEnd"/>
      <w:r w:rsidR="00AD5DE1" w:rsidRPr="00705170">
        <w:rPr>
          <w:rFonts w:ascii="Times New Roman" w:hAnsi="Times New Roman" w:cs="Times New Roman"/>
        </w:rPr>
        <w:t xml:space="preserve"> of </w:t>
      </w:r>
      <w:proofErr w:type="spellStart"/>
      <w:r w:rsidR="00AD5DE1" w:rsidRPr="00705170">
        <w:rPr>
          <w:rFonts w:ascii="Times New Roman" w:hAnsi="Times New Roman" w:cs="Times New Roman"/>
        </w:rPr>
        <w:t>capital</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and</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related</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party</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transactions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and</w:t>
      </w:r>
      <w:proofErr w:type="spellEnd"/>
      <w:r w:rsidR="00AD5DE1" w:rsidRPr="00705170">
        <w:rPr>
          <w:rFonts w:ascii="Times New Roman" w:hAnsi="Times New Roman" w:cs="Times New Roman"/>
        </w:rPr>
        <w:t xml:space="preserve"> </w:t>
      </w:r>
      <w:r w:rsidR="001D6642" w:rsidRPr="00705170">
        <w:rPr>
          <w:rFonts w:ascii="Times New Roman" w:hAnsi="Times New Roman" w:cs="Times New Roman"/>
        </w:rPr>
        <w:t xml:space="preserve">(4) </w:t>
      </w:r>
      <w:proofErr w:type="spellStart"/>
      <w:r w:rsidR="00AD5DE1" w:rsidRPr="00705170">
        <w:rPr>
          <w:rFonts w:ascii="Times New Roman" w:hAnsi="Times New Roman" w:cs="Times New Roman"/>
        </w:rPr>
        <w:t>the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benefit</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extractions</w:t>
      </w:r>
      <w:proofErr w:type="spellEnd"/>
      <w:r w:rsidR="00AD5DE1" w:rsidRPr="00705170">
        <w:rPr>
          <w:rFonts w:ascii="Times New Roman" w:hAnsi="Times New Roman" w:cs="Times New Roman"/>
        </w:rPr>
        <w:t xml:space="preserve"> can </w:t>
      </w:r>
      <w:proofErr w:type="spellStart"/>
      <w:r w:rsidR="00AD5DE1" w:rsidRPr="00705170">
        <w:rPr>
          <w:rFonts w:ascii="Times New Roman" w:hAnsi="Times New Roman" w:cs="Times New Roman"/>
        </w:rPr>
        <w:t>even</w:t>
      </w:r>
      <w:proofErr w:type="spellEnd"/>
      <w:r w:rsidR="00AD5DE1" w:rsidRPr="00705170">
        <w:rPr>
          <w:rFonts w:ascii="Times New Roman" w:hAnsi="Times New Roman" w:cs="Times New Roman"/>
        </w:rPr>
        <w:t xml:space="preserve"> be </w:t>
      </w:r>
      <w:proofErr w:type="spellStart"/>
      <w:r w:rsidR="00AD5DE1" w:rsidRPr="00705170">
        <w:rPr>
          <w:rFonts w:ascii="Times New Roman" w:hAnsi="Times New Roman" w:cs="Times New Roman"/>
        </w:rPr>
        <w:lastRenderedPageBreak/>
        <w:t>traced</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under</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securities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authority’s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miscellanous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powers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Thus</w:t>
      </w:r>
      <w:proofErr w:type="spellEnd"/>
      <w:r w:rsidR="00AD5DE1" w:rsidRPr="00705170">
        <w:rPr>
          <w:rFonts w:ascii="Times New Roman" w:hAnsi="Times New Roman" w:cs="Times New Roman"/>
        </w:rPr>
        <w:t xml:space="preserve">, in </w:t>
      </w:r>
      <w:proofErr w:type="spellStart"/>
      <w:r w:rsidR="00AD5DE1" w:rsidRPr="00705170">
        <w:rPr>
          <w:rFonts w:ascii="Times New Roman" w:hAnsi="Times New Roman" w:cs="Times New Roman"/>
        </w:rPr>
        <w:t>this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section</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these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provisions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and</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loopholes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they</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have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with</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regards</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to</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non</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pecuniary</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are</w:t>
      </w:r>
      <w:proofErr w:type="spellEnd"/>
      <w:r w:rsidR="00AD5DE1" w:rsidRPr="00705170">
        <w:rPr>
          <w:rFonts w:ascii="Times New Roman" w:hAnsi="Times New Roman" w:cs="Times New Roman"/>
        </w:rPr>
        <w:t xml:space="preserve"> </w:t>
      </w:r>
      <w:proofErr w:type="spellStart"/>
      <w:r w:rsidR="00AD5DE1" w:rsidRPr="00705170">
        <w:rPr>
          <w:rFonts w:ascii="Times New Roman" w:hAnsi="Times New Roman" w:cs="Times New Roman"/>
        </w:rPr>
        <w:t>explained</w:t>
      </w:r>
      <w:proofErr w:type="spellEnd"/>
      <w:r w:rsidR="00AD5DE1" w:rsidRPr="00705170">
        <w:rPr>
          <w:rFonts w:ascii="Times New Roman" w:hAnsi="Times New Roman" w:cs="Times New Roman"/>
        </w:rPr>
        <w:t xml:space="preserve"> in </w:t>
      </w:r>
      <w:proofErr w:type="spellStart"/>
      <w:r w:rsidR="00AD5DE1" w:rsidRPr="00705170">
        <w:rPr>
          <w:rFonts w:ascii="Times New Roman" w:hAnsi="Times New Roman" w:cs="Times New Roman"/>
        </w:rPr>
        <w:t>detail</w:t>
      </w:r>
      <w:proofErr w:type="spellEnd"/>
      <w:r w:rsidR="00AD5DE1" w:rsidRPr="00705170">
        <w:rPr>
          <w:rFonts w:ascii="Times New Roman" w:hAnsi="Times New Roman" w:cs="Times New Roman"/>
        </w:rPr>
        <w:t>.</w:t>
      </w:r>
    </w:p>
    <w:p w14:paraId="25A569BD" w14:textId="58E69FC2" w:rsidR="00036F1D" w:rsidRPr="00705170" w:rsidRDefault="00036F1D" w:rsidP="00DB5C10">
      <w:pPr>
        <w:spacing w:after="240" w:line="480" w:lineRule="auto"/>
        <w:rPr>
          <w:rFonts w:ascii="Times New Roman" w:hAnsi="Times New Roman" w:cs="Times New Roman"/>
          <w:b/>
        </w:rPr>
      </w:pPr>
      <w:r w:rsidRPr="00705170">
        <w:rPr>
          <w:rFonts w:ascii="Times New Roman" w:hAnsi="Times New Roman" w:cs="Times New Roman"/>
          <w:b/>
        </w:rPr>
        <w:tab/>
      </w:r>
      <w:r w:rsidR="00C01441">
        <w:rPr>
          <w:rFonts w:ascii="Times New Roman" w:hAnsi="Times New Roman" w:cs="Times New Roman"/>
          <w:b/>
        </w:rPr>
        <w:t>3</w:t>
      </w:r>
      <w:r w:rsidRPr="00705170">
        <w:rPr>
          <w:rFonts w:ascii="Times New Roman" w:hAnsi="Times New Roman" w:cs="Times New Roman"/>
          <w:b/>
        </w:rPr>
        <w:t xml:space="preserve">.2.1. </w:t>
      </w:r>
      <w:proofErr w:type="spellStart"/>
      <w:r w:rsidRPr="00705170">
        <w:rPr>
          <w:rFonts w:ascii="Times New Roman" w:hAnsi="Times New Roman" w:cs="Times New Roman"/>
          <w:b/>
        </w:rPr>
        <w:t>Fundamental</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Corporate</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Changes</w:t>
      </w:r>
      <w:proofErr w:type="spellEnd"/>
    </w:p>
    <w:p w14:paraId="36104D0E" w14:textId="73CFE737" w:rsidR="00BA26A9" w:rsidRPr="00705170" w:rsidRDefault="00036F1D" w:rsidP="00753D62">
      <w:pPr>
        <w:spacing w:after="240" w:line="480" w:lineRule="auto"/>
        <w:jc w:val="both"/>
        <w:rPr>
          <w:rFonts w:ascii="Times New Roman" w:hAnsi="Times New Roman" w:cs="Times New Roman"/>
        </w:rPr>
      </w:pPr>
      <w:r w:rsidRPr="00705170">
        <w:rPr>
          <w:rFonts w:ascii="Times New Roman" w:hAnsi="Times New Roman" w:cs="Times New Roman"/>
          <w:b/>
        </w:rPr>
        <w:tab/>
      </w:r>
      <w:proofErr w:type="spellStart"/>
      <w:r w:rsidR="00473E16" w:rsidRPr="00705170">
        <w:rPr>
          <w:rFonts w:ascii="Times New Roman" w:hAnsi="Times New Roman" w:cs="Times New Roman"/>
        </w:rPr>
        <w:t>In</w:t>
      </w:r>
      <w:proofErr w:type="spellEnd"/>
      <w:r w:rsidR="00473E16" w:rsidRPr="00705170">
        <w:rPr>
          <w:rFonts w:ascii="Times New Roman" w:hAnsi="Times New Roman" w:cs="Times New Roman"/>
        </w:rPr>
        <w:t xml:space="preserve"> general, </w:t>
      </w:r>
      <w:proofErr w:type="spellStart"/>
      <w:r w:rsidR="00473E16" w:rsidRPr="00705170">
        <w:rPr>
          <w:rFonts w:ascii="Times New Roman" w:hAnsi="Times New Roman" w:cs="Times New Roman"/>
        </w:rPr>
        <w:t>corporate</w:t>
      </w:r>
      <w:proofErr w:type="spellEnd"/>
      <w:r w:rsidR="00473E16" w:rsidRPr="00705170">
        <w:rPr>
          <w:rFonts w:ascii="Times New Roman" w:hAnsi="Times New Roman" w:cs="Times New Roman"/>
        </w:rPr>
        <w:t xml:space="preserve"> </w:t>
      </w:r>
      <w:proofErr w:type="spellStart"/>
      <w:r w:rsidR="00473E16" w:rsidRPr="00705170">
        <w:rPr>
          <w:rFonts w:ascii="Times New Roman" w:hAnsi="Times New Roman" w:cs="Times New Roman"/>
        </w:rPr>
        <w:t>law</w:t>
      </w:r>
      <w:proofErr w:type="spellEnd"/>
      <w:r w:rsidR="00473E16" w:rsidRPr="00705170">
        <w:rPr>
          <w:rFonts w:ascii="Times New Roman" w:hAnsi="Times New Roman" w:cs="Times New Roman"/>
        </w:rPr>
        <w:t xml:space="preserve"> </w:t>
      </w:r>
      <w:proofErr w:type="spellStart"/>
      <w:r w:rsidR="00473E16" w:rsidRPr="00705170">
        <w:rPr>
          <w:rFonts w:ascii="Times New Roman" w:hAnsi="Times New Roman" w:cs="Times New Roman"/>
        </w:rPr>
        <w:t>regards</w:t>
      </w:r>
      <w:proofErr w:type="spellEnd"/>
      <w:r w:rsidR="00473E16" w:rsidRPr="00705170">
        <w:rPr>
          <w:rFonts w:ascii="Times New Roman" w:hAnsi="Times New Roman" w:cs="Times New Roman"/>
        </w:rPr>
        <w:t xml:space="preserve"> </w:t>
      </w:r>
      <w:proofErr w:type="spellStart"/>
      <w:r w:rsidR="00473E16" w:rsidRPr="00705170">
        <w:rPr>
          <w:rFonts w:ascii="Times New Roman" w:hAnsi="Times New Roman" w:cs="Times New Roman"/>
        </w:rPr>
        <w:t>a</w:t>
      </w:r>
      <w:r w:rsidR="002D7482" w:rsidRPr="00705170">
        <w:rPr>
          <w:rFonts w:ascii="Times New Roman" w:hAnsi="Times New Roman" w:cs="Times New Roman"/>
        </w:rPr>
        <w:t>mendments</w:t>
      </w:r>
      <w:proofErr w:type="spellEnd"/>
      <w:r w:rsidR="002D7482" w:rsidRPr="00705170">
        <w:rPr>
          <w:rFonts w:ascii="Times New Roman" w:hAnsi="Times New Roman" w:cs="Times New Roman"/>
        </w:rPr>
        <w:t xml:space="preserve"> </w:t>
      </w:r>
      <w:proofErr w:type="spellStart"/>
      <w:r w:rsidR="002D7482" w:rsidRPr="00705170">
        <w:rPr>
          <w:rFonts w:ascii="Times New Roman" w:hAnsi="Times New Roman" w:cs="Times New Roman"/>
        </w:rPr>
        <w:t>to</w:t>
      </w:r>
      <w:proofErr w:type="spellEnd"/>
      <w:r w:rsidR="002D7482" w:rsidRPr="00705170">
        <w:rPr>
          <w:rFonts w:ascii="Times New Roman" w:hAnsi="Times New Roman" w:cs="Times New Roman"/>
        </w:rPr>
        <w:t xml:space="preserve"> </w:t>
      </w:r>
      <w:proofErr w:type="spellStart"/>
      <w:r w:rsidR="002D7482" w:rsidRPr="00705170">
        <w:rPr>
          <w:rFonts w:ascii="Times New Roman" w:hAnsi="Times New Roman" w:cs="Times New Roman"/>
        </w:rPr>
        <w:t>the</w:t>
      </w:r>
      <w:proofErr w:type="spellEnd"/>
      <w:r w:rsidR="002D7482" w:rsidRPr="00705170">
        <w:rPr>
          <w:rFonts w:ascii="Times New Roman" w:hAnsi="Times New Roman" w:cs="Times New Roman"/>
        </w:rPr>
        <w:t xml:space="preserve"> </w:t>
      </w:r>
      <w:proofErr w:type="spellStart"/>
      <w:r w:rsidR="002D7482" w:rsidRPr="00705170">
        <w:rPr>
          <w:rFonts w:ascii="Times New Roman" w:hAnsi="Times New Roman" w:cs="Times New Roman"/>
        </w:rPr>
        <w:t>articles</w:t>
      </w:r>
      <w:proofErr w:type="spellEnd"/>
      <w:r w:rsidR="002D7482" w:rsidRPr="00705170">
        <w:rPr>
          <w:rFonts w:ascii="Times New Roman" w:hAnsi="Times New Roman" w:cs="Times New Roman"/>
        </w:rPr>
        <w:t xml:space="preserve"> of </w:t>
      </w:r>
      <w:proofErr w:type="spellStart"/>
      <w:r w:rsidR="002D7482" w:rsidRPr="00705170">
        <w:rPr>
          <w:rFonts w:ascii="Times New Roman" w:hAnsi="Times New Roman" w:cs="Times New Roman"/>
        </w:rPr>
        <w:t>incorporation</w:t>
      </w:r>
      <w:proofErr w:type="spellEnd"/>
      <w:r w:rsidR="002D7482" w:rsidRPr="00705170">
        <w:rPr>
          <w:rFonts w:ascii="Times New Roman" w:hAnsi="Times New Roman" w:cs="Times New Roman"/>
        </w:rPr>
        <w:t xml:space="preserve">, </w:t>
      </w:r>
      <w:proofErr w:type="spellStart"/>
      <w:r w:rsidR="002D7482" w:rsidRPr="00705170">
        <w:rPr>
          <w:rFonts w:ascii="Times New Roman" w:hAnsi="Times New Roman" w:cs="Times New Roman"/>
        </w:rPr>
        <w:t>sale</w:t>
      </w:r>
      <w:proofErr w:type="spellEnd"/>
      <w:r w:rsidR="002D7482" w:rsidRPr="00705170">
        <w:rPr>
          <w:rFonts w:ascii="Times New Roman" w:hAnsi="Times New Roman" w:cs="Times New Roman"/>
        </w:rPr>
        <w:t xml:space="preserve"> </w:t>
      </w:r>
      <w:proofErr w:type="spellStart"/>
      <w:r w:rsidR="002D7482" w:rsidRPr="00705170">
        <w:rPr>
          <w:rFonts w:ascii="Times New Roman" w:hAnsi="Times New Roman" w:cs="Times New Roman"/>
        </w:rPr>
        <w:t>or</w:t>
      </w:r>
      <w:proofErr w:type="spellEnd"/>
      <w:r w:rsidR="002D7482" w:rsidRPr="00705170">
        <w:rPr>
          <w:rFonts w:ascii="Times New Roman" w:hAnsi="Times New Roman" w:cs="Times New Roman"/>
        </w:rPr>
        <w:t xml:space="preserve"> </w:t>
      </w:r>
      <w:proofErr w:type="spellStart"/>
      <w:r w:rsidR="002D7482" w:rsidRPr="00705170">
        <w:rPr>
          <w:rFonts w:ascii="Times New Roman" w:hAnsi="Times New Roman" w:cs="Times New Roman"/>
        </w:rPr>
        <w:t>dispositions</w:t>
      </w:r>
      <w:proofErr w:type="spellEnd"/>
      <w:r w:rsidR="002D7482" w:rsidRPr="00705170">
        <w:rPr>
          <w:rFonts w:ascii="Times New Roman" w:hAnsi="Times New Roman" w:cs="Times New Roman"/>
        </w:rPr>
        <w:t xml:space="preserve"> of </w:t>
      </w:r>
      <w:proofErr w:type="spellStart"/>
      <w:r w:rsidR="002D7482" w:rsidRPr="00705170">
        <w:rPr>
          <w:rFonts w:ascii="Times New Roman" w:hAnsi="Times New Roman" w:cs="Times New Roman"/>
        </w:rPr>
        <w:t>all</w:t>
      </w:r>
      <w:proofErr w:type="spellEnd"/>
      <w:r w:rsidR="002D7482" w:rsidRPr="00705170">
        <w:rPr>
          <w:rFonts w:ascii="Times New Roman" w:hAnsi="Times New Roman" w:cs="Times New Roman"/>
        </w:rPr>
        <w:t xml:space="preserve"> </w:t>
      </w:r>
      <w:proofErr w:type="spellStart"/>
      <w:r w:rsidR="002D7482" w:rsidRPr="00705170">
        <w:rPr>
          <w:rFonts w:ascii="Times New Roman" w:hAnsi="Times New Roman" w:cs="Times New Roman"/>
        </w:rPr>
        <w:t>or</w:t>
      </w:r>
      <w:proofErr w:type="spellEnd"/>
      <w:r w:rsidR="002D7482" w:rsidRPr="00705170">
        <w:rPr>
          <w:rFonts w:ascii="Times New Roman" w:hAnsi="Times New Roman" w:cs="Times New Roman"/>
        </w:rPr>
        <w:t xml:space="preserve"> </w:t>
      </w:r>
      <w:proofErr w:type="spellStart"/>
      <w:r w:rsidR="002D7482" w:rsidRPr="00705170">
        <w:rPr>
          <w:rFonts w:ascii="Times New Roman" w:hAnsi="Times New Roman" w:cs="Times New Roman"/>
        </w:rPr>
        <w:t>substantial</w:t>
      </w:r>
      <w:proofErr w:type="spellEnd"/>
      <w:r w:rsidR="002D7482" w:rsidRPr="00705170">
        <w:rPr>
          <w:rFonts w:ascii="Times New Roman" w:hAnsi="Times New Roman" w:cs="Times New Roman"/>
        </w:rPr>
        <w:t xml:space="preserve"> </w:t>
      </w:r>
      <w:proofErr w:type="spellStart"/>
      <w:r w:rsidR="002D7482" w:rsidRPr="00705170">
        <w:rPr>
          <w:rFonts w:ascii="Times New Roman" w:hAnsi="Times New Roman" w:cs="Times New Roman"/>
        </w:rPr>
        <w:t>part</w:t>
      </w:r>
      <w:proofErr w:type="spellEnd"/>
      <w:r w:rsidR="002D7482" w:rsidRPr="00705170">
        <w:rPr>
          <w:rFonts w:ascii="Times New Roman" w:hAnsi="Times New Roman" w:cs="Times New Roman"/>
        </w:rPr>
        <w:t xml:space="preserve"> of </w:t>
      </w:r>
      <w:proofErr w:type="spellStart"/>
      <w:r w:rsidR="002D7482" w:rsidRPr="00705170">
        <w:rPr>
          <w:rFonts w:ascii="Times New Roman" w:hAnsi="Times New Roman" w:cs="Times New Roman"/>
        </w:rPr>
        <w:t>the</w:t>
      </w:r>
      <w:proofErr w:type="spellEnd"/>
      <w:r w:rsidR="002D7482" w:rsidRPr="00705170">
        <w:rPr>
          <w:rFonts w:ascii="Times New Roman" w:hAnsi="Times New Roman" w:cs="Times New Roman"/>
        </w:rPr>
        <w:t xml:space="preserve"> </w:t>
      </w:r>
      <w:proofErr w:type="spellStart"/>
      <w:r w:rsidR="002D7482" w:rsidRPr="00705170">
        <w:rPr>
          <w:rFonts w:ascii="Times New Roman" w:hAnsi="Times New Roman" w:cs="Times New Roman"/>
        </w:rPr>
        <w:t>property</w:t>
      </w:r>
      <w:proofErr w:type="spellEnd"/>
      <w:r w:rsidR="002D7482" w:rsidRPr="00705170">
        <w:rPr>
          <w:rFonts w:ascii="Times New Roman" w:hAnsi="Times New Roman" w:cs="Times New Roman"/>
        </w:rPr>
        <w:t xml:space="preserve"> of </w:t>
      </w:r>
      <w:proofErr w:type="spellStart"/>
      <w:r w:rsidR="002D7482" w:rsidRPr="00705170">
        <w:rPr>
          <w:rFonts w:ascii="Times New Roman" w:hAnsi="Times New Roman" w:cs="Times New Roman"/>
        </w:rPr>
        <w:t>the</w:t>
      </w:r>
      <w:proofErr w:type="spellEnd"/>
      <w:r w:rsidR="002D7482" w:rsidRPr="00705170">
        <w:rPr>
          <w:rFonts w:ascii="Times New Roman" w:hAnsi="Times New Roman" w:cs="Times New Roman"/>
        </w:rPr>
        <w:t xml:space="preserve"> </w:t>
      </w:r>
      <w:proofErr w:type="spellStart"/>
      <w:r w:rsidR="002D7482" w:rsidRPr="00705170">
        <w:rPr>
          <w:rFonts w:ascii="Times New Roman" w:hAnsi="Times New Roman" w:cs="Times New Roman"/>
        </w:rPr>
        <w:t>corporation</w:t>
      </w:r>
      <w:proofErr w:type="spellEnd"/>
      <w:r w:rsidR="002D7482" w:rsidRPr="00705170">
        <w:rPr>
          <w:rFonts w:ascii="Times New Roman" w:hAnsi="Times New Roman" w:cs="Times New Roman"/>
        </w:rPr>
        <w:t xml:space="preserve"> </w:t>
      </w:r>
      <w:proofErr w:type="spellStart"/>
      <w:r w:rsidR="002D7482" w:rsidRPr="00705170">
        <w:rPr>
          <w:rFonts w:ascii="Times New Roman" w:hAnsi="Times New Roman" w:cs="Times New Roman"/>
        </w:rPr>
        <w:t>and</w:t>
      </w:r>
      <w:proofErr w:type="spellEnd"/>
      <w:r w:rsidR="002D7482" w:rsidRPr="00705170">
        <w:rPr>
          <w:rFonts w:ascii="Times New Roman" w:hAnsi="Times New Roman" w:cs="Times New Roman"/>
        </w:rPr>
        <w:t xml:space="preserve"> </w:t>
      </w:r>
      <w:proofErr w:type="spellStart"/>
      <w:r w:rsidR="002D7482" w:rsidRPr="00705170">
        <w:rPr>
          <w:rFonts w:ascii="Times New Roman" w:hAnsi="Times New Roman" w:cs="Times New Roman"/>
        </w:rPr>
        <w:t>dissolution</w:t>
      </w:r>
      <w:proofErr w:type="spellEnd"/>
      <w:r w:rsidR="002D7482" w:rsidRPr="00705170">
        <w:rPr>
          <w:rFonts w:ascii="Times New Roman" w:hAnsi="Times New Roman" w:cs="Times New Roman"/>
        </w:rPr>
        <w:t xml:space="preserve"> </w:t>
      </w:r>
      <w:r w:rsidR="00473E16" w:rsidRPr="00705170">
        <w:rPr>
          <w:rFonts w:ascii="Times New Roman" w:hAnsi="Times New Roman" w:cs="Times New Roman"/>
        </w:rPr>
        <w:t xml:space="preserve">as </w:t>
      </w:r>
      <w:proofErr w:type="spellStart"/>
      <w:r w:rsidR="002D7482" w:rsidRPr="00705170">
        <w:rPr>
          <w:rFonts w:ascii="Times New Roman" w:hAnsi="Times New Roman" w:cs="Times New Roman"/>
        </w:rPr>
        <w:t>fundamental</w:t>
      </w:r>
      <w:proofErr w:type="spellEnd"/>
      <w:r w:rsidR="002D7482" w:rsidRPr="00705170">
        <w:rPr>
          <w:rFonts w:ascii="Times New Roman" w:hAnsi="Times New Roman" w:cs="Times New Roman"/>
        </w:rPr>
        <w:t xml:space="preserve"> </w:t>
      </w:r>
      <w:proofErr w:type="spellStart"/>
      <w:r w:rsidR="00473E16" w:rsidRPr="00705170">
        <w:rPr>
          <w:rFonts w:ascii="Times New Roman" w:hAnsi="Times New Roman" w:cs="Times New Roman"/>
        </w:rPr>
        <w:t>corporate</w:t>
      </w:r>
      <w:proofErr w:type="spellEnd"/>
      <w:r w:rsidR="00473E16" w:rsidRPr="00705170">
        <w:rPr>
          <w:rFonts w:ascii="Times New Roman" w:hAnsi="Times New Roman" w:cs="Times New Roman"/>
        </w:rPr>
        <w:t xml:space="preserve"> </w:t>
      </w:r>
      <w:proofErr w:type="spellStart"/>
      <w:r w:rsidR="002D7482" w:rsidRPr="00705170">
        <w:rPr>
          <w:rFonts w:ascii="Times New Roman" w:hAnsi="Times New Roman" w:cs="Times New Roman"/>
        </w:rPr>
        <w:t>changes</w:t>
      </w:r>
      <w:proofErr w:type="spellEnd"/>
      <w:r w:rsidR="004D5315" w:rsidRPr="00705170">
        <w:rPr>
          <w:rStyle w:val="DipnotBavurusu"/>
          <w:rFonts w:ascii="Times New Roman" w:hAnsi="Times New Roman" w:cs="Times New Roman"/>
        </w:rPr>
        <w:footnoteReference w:id="263"/>
      </w:r>
      <w:r w:rsidR="00474536" w:rsidRPr="00705170">
        <w:rPr>
          <w:rFonts w:ascii="Times New Roman" w:hAnsi="Times New Roman" w:cs="Times New Roman"/>
        </w:rPr>
        <w:t xml:space="preserve">, </w:t>
      </w:r>
      <w:proofErr w:type="spellStart"/>
      <w:r w:rsidR="00474536" w:rsidRPr="00705170">
        <w:rPr>
          <w:rFonts w:ascii="Times New Roman" w:hAnsi="Times New Roman" w:cs="Times New Roman"/>
        </w:rPr>
        <w:t>and</w:t>
      </w:r>
      <w:proofErr w:type="spellEnd"/>
      <w:r w:rsidR="00474536" w:rsidRPr="00705170">
        <w:rPr>
          <w:rFonts w:ascii="Times New Roman" w:hAnsi="Times New Roman" w:cs="Times New Roman"/>
        </w:rPr>
        <w:t xml:space="preserve"> </w:t>
      </w:r>
      <w:proofErr w:type="spellStart"/>
      <w:r w:rsidR="00474536" w:rsidRPr="00705170">
        <w:rPr>
          <w:rFonts w:ascii="Times New Roman" w:hAnsi="Times New Roman" w:cs="Times New Roman"/>
        </w:rPr>
        <w:t>regulates</w:t>
      </w:r>
      <w:proofErr w:type="spellEnd"/>
      <w:r w:rsidR="00474536" w:rsidRPr="00705170">
        <w:rPr>
          <w:rFonts w:ascii="Times New Roman" w:hAnsi="Times New Roman" w:cs="Times New Roman"/>
        </w:rPr>
        <w:t xml:space="preserve"> </w:t>
      </w:r>
      <w:proofErr w:type="spellStart"/>
      <w:r w:rsidR="00474536" w:rsidRPr="00705170">
        <w:rPr>
          <w:rFonts w:ascii="Times New Roman" w:hAnsi="Times New Roman" w:cs="Times New Roman"/>
        </w:rPr>
        <w:t>these</w:t>
      </w:r>
      <w:proofErr w:type="spellEnd"/>
      <w:r w:rsidR="00474536" w:rsidRPr="00705170">
        <w:rPr>
          <w:rFonts w:ascii="Times New Roman" w:hAnsi="Times New Roman" w:cs="Times New Roman"/>
        </w:rPr>
        <w:t xml:space="preserve"> </w:t>
      </w:r>
      <w:proofErr w:type="spellStart"/>
      <w:r w:rsidR="001F0573" w:rsidRPr="00705170">
        <w:rPr>
          <w:rFonts w:ascii="Times New Roman" w:hAnsi="Times New Roman" w:cs="Times New Roman"/>
        </w:rPr>
        <w:t>specifically</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even</w:t>
      </w:r>
      <w:proofErr w:type="spellEnd"/>
      <w:r w:rsidR="001F0573" w:rsidRPr="00705170">
        <w:rPr>
          <w:rFonts w:ascii="Times New Roman" w:hAnsi="Times New Roman" w:cs="Times New Roman"/>
        </w:rPr>
        <w:t xml:space="preserve"> </w:t>
      </w:r>
      <w:proofErr w:type="spellStart"/>
      <w:r w:rsidR="00594E71" w:rsidRPr="00705170">
        <w:rPr>
          <w:rFonts w:ascii="Times New Roman" w:hAnsi="Times New Roman" w:cs="Times New Roman"/>
        </w:rPr>
        <w:t>when</w:t>
      </w:r>
      <w:proofErr w:type="spellEnd"/>
      <w:r w:rsidR="00594E71" w:rsidRPr="00705170">
        <w:rPr>
          <w:rFonts w:ascii="Times New Roman" w:hAnsi="Times New Roman" w:cs="Times New Roman"/>
        </w:rPr>
        <w:t xml:space="preserve"> </w:t>
      </w:r>
      <w:proofErr w:type="spellStart"/>
      <w:r w:rsidR="001F0573" w:rsidRPr="00705170">
        <w:rPr>
          <w:rFonts w:ascii="Times New Roman" w:hAnsi="Times New Roman" w:cs="Times New Roman"/>
        </w:rPr>
        <w:t>these</w:t>
      </w:r>
      <w:proofErr w:type="spellEnd"/>
      <w:r w:rsidR="001F0573" w:rsidRPr="00705170">
        <w:rPr>
          <w:rFonts w:ascii="Times New Roman" w:hAnsi="Times New Roman" w:cs="Times New Roman"/>
        </w:rPr>
        <w:t xml:space="preserve"> do not </w:t>
      </w:r>
      <w:proofErr w:type="spellStart"/>
      <w:r w:rsidR="001F0573" w:rsidRPr="00705170">
        <w:rPr>
          <w:rFonts w:ascii="Times New Roman" w:hAnsi="Times New Roman" w:cs="Times New Roman"/>
        </w:rPr>
        <w:t>give</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rise</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to</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any</w:t>
      </w:r>
      <w:proofErr w:type="spellEnd"/>
      <w:r w:rsidR="001F0573" w:rsidRPr="00705170">
        <w:rPr>
          <w:rFonts w:ascii="Times New Roman" w:hAnsi="Times New Roman" w:cs="Times New Roman"/>
        </w:rPr>
        <w:t xml:space="preserve"> self- </w:t>
      </w:r>
      <w:proofErr w:type="spellStart"/>
      <w:r w:rsidR="001F0573" w:rsidRPr="00705170">
        <w:rPr>
          <w:rFonts w:ascii="Times New Roman" w:hAnsi="Times New Roman" w:cs="Times New Roman"/>
        </w:rPr>
        <w:t>dealing</w:t>
      </w:r>
      <w:proofErr w:type="spellEnd"/>
      <w:r w:rsidR="001F0573" w:rsidRPr="00705170">
        <w:rPr>
          <w:rFonts w:ascii="Times New Roman" w:hAnsi="Times New Roman" w:cs="Times New Roman"/>
        </w:rPr>
        <w:t>.</w:t>
      </w:r>
      <w:r w:rsidR="002D7482" w:rsidRPr="00705170">
        <w:rPr>
          <w:rFonts w:ascii="Times New Roman" w:hAnsi="Times New Roman" w:cs="Times New Roman"/>
        </w:rPr>
        <w:t xml:space="preserve"> </w:t>
      </w:r>
      <w:proofErr w:type="spellStart"/>
      <w:r w:rsidR="00473E16" w:rsidRPr="00705170">
        <w:rPr>
          <w:rFonts w:ascii="Times New Roman" w:hAnsi="Times New Roman" w:cs="Times New Roman"/>
        </w:rPr>
        <w:t>It</w:t>
      </w:r>
      <w:proofErr w:type="spellEnd"/>
      <w:r w:rsidR="00473E16" w:rsidRPr="00705170">
        <w:rPr>
          <w:rFonts w:ascii="Times New Roman" w:hAnsi="Times New Roman" w:cs="Times New Roman"/>
        </w:rPr>
        <w:t xml:space="preserve"> </w:t>
      </w:r>
      <w:proofErr w:type="spellStart"/>
      <w:r w:rsidR="00473E16" w:rsidRPr="00705170">
        <w:rPr>
          <w:rFonts w:ascii="Times New Roman" w:hAnsi="Times New Roman" w:cs="Times New Roman"/>
        </w:rPr>
        <w:t>chooses</w:t>
      </w:r>
      <w:proofErr w:type="spellEnd"/>
      <w:r w:rsidR="00473E16" w:rsidRPr="00705170">
        <w:rPr>
          <w:rFonts w:ascii="Times New Roman" w:hAnsi="Times New Roman" w:cs="Times New Roman"/>
        </w:rPr>
        <w:t xml:space="preserve"> </w:t>
      </w:r>
      <w:proofErr w:type="spellStart"/>
      <w:r w:rsidR="00473E16" w:rsidRPr="00705170">
        <w:rPr>
          <w:rFonts w:ascii="Times New Roman" w:hAnsi="Times New Roman" w:cs="Times New Roman"/>
        </w:rPr>
        <w:t>to</w:t>
      </w:r>
      <w:proofErr w:type="spellEnd"/>
      <w:r w:rsidR="00473E16" w:rsidRPr="00705170">
        <w:rPr>
          <w:rFonts w:ascii="Times New Roman" w:hAnsi="Times New Roman" w:cs="Times New Roman"/>
        </w:rPr>
        <w:t xml:space="preserve"> </w:t>
      </w:r>
      <w:proofErr w:type="spellStart"/>
      <w:r w:rsidR="00473E16" w:rsidRPr="00705170">
        <w:rPr>
          <w:rFonts w:ascii="Times New Roman" w:hAnsi="Times New Roman" w:cs="Times New Roman"/>
        </w:rPr>
        <w:t>deal</w:t>
      </w:r>
      <w:proofErr w:type="spellEnd"/>
      <w:r w:rsidR="00473E16" w:rsidRPr="00705170">
        <w:rPr>
          <w:rFonts w:ascii="Times New Roman" w:hAnsi="Times New Roman" w:cs="Times New Roman"/>
        </w:rPr>
        <w:t xml:space="preserve"> </w:t>
      </w:r>
      <w:proofErr w:type="spellStart"/>
      <w:r w:rsidR="00473E16" w:rsidRPr="00705170">
        <w:rPr>
          <w:rFonts w:ascii="Times New Roman" w:hAnsi="Times New Roman" w:cs="Times New Roman"/>
        </w:rPr>
        <w:t>with</w:t>
      </w:r>
      <w:proofErr w:type="spellEnd"/>
      <w:r w:rsidR="00473E16" w:rsidRPr="00705170">
        <w:rPr>
          <w:rFonts w:ascii="Times New Roman" w:hAnsi="Times New Roman" w:cs="Times New Roman"/>
        </w:rPr>
        <w:t xml:space="preserve"> </w:t>
      </w:r>
      <w:proofErr w:type="spellStart"/>
      <w:r w:rsidR="00473E16" w:rsidRPr="00705170">
        <w:rPr>
          <w:rFonts w:ascii="Times New Roman" w:hAnsi="Times New Roman" w:cs="Times New Roman"/>
        </w:rPr>
        <w:t>these</w:t>
      </w:r>
      <w:proofErr w:type="spellEnd"/>
      <w:r w:rsidR="00473E16" w:rsidRPr="00705170">
        <w:rPr>
          <w:rFonts w:ascii="Times New Roman" w:hAnsi="Times New Roman" w:cs="Times New Roman"/>
        </w:rPr>
        <w:t xml:space="preserve"> </w:t>
      </w:r>
      <w:proofErr w:type="spellStart"/>
      <w:r w:rsidR="00473E16" w:rsidRPr="00705170">
        <w:rPr>
          <w:rFonts w:ascii="Times New Roman" w:hAnsi="Times New Roman" w:cs="Times New Roman"/>
        </w:rPr>
        <w:t>changes</w:t>
      </w:r>
      <w:proofErr w:type="spellEnd"/>
      <w:r w:rsidR="00473E16" w:rsidRPr="00705170">
        <w:rPr>
          <w:rFonts w:ascii="Times New Roman" w:hAnsi="Times New Roman" w:cs="Times New Roman"/>
        </w:rPr>
        <w:t xml:space="preserve"> </w:t>
      </w:r>
      <w:proofErr w:type="spellStart"/>
      <w:r w:rsidR="00473E16" w:rsidRPr="00705170">
        <w:rPr>
          <w:rFonts w:ascii="Times New Roman" w:hAnsi="Times New Roman" w:cs="Times New Roman"/>
        </w:rPr>
        <w:t>specifically</w:t>
      </w:r>
      <w:proofErr w:type="spellEnd"/>
      <w:r w:rsidR="00473E16" w:rsidRPr="00705170">
        <w:rPr>
          <w:rFonts w:ascii="Times New Roman" w:hAnsi="Times New Roman" w:cs="Times New Roman"/>
        </w:rPr>
        <w:t xml:space="preserve"> </w:t>
      </w:r>
      <w:proofErr w:type="spellStart"/>
      <w:r w:rsidR="00473E16" w:rsidRPr="00705170">
        <w:rPr>
          <w:rFonts w:ascii="Times New Roman" w:hAnsi="Times New Roman" w:cs="Times New Roman"/>
        </w:rPr>
        <w:t>because</w:t>
      </w:r>
      <w:proofErr w:type="spellEnd"/>
      <w:r w:rsidR="00473E16" w:rsidRPr="00705170">
        <w:rPr>
          <w:rFonts w:ascii="Times New Roman" w:hAnsi="Times New Roman" w:cs="Times New Roman"/>
        </w:rPr>
        <w:t xml:space="preserve"> of</w:t>
      </w:r>
      <w:r w:rsidR="001943FC" w:rsidRPr="00705170">
        <w:rPr>
          <w:rFonts w:ascii="Times New Roman" w:hAnsi="Times New Roman" w:cs="Times New Roman"/>
        </w:rPr>
        <w:t xml:space="preserve"> (1) </w:t>
      </w:r>
      <w:proofErr w:type="spellStart"/>
      <w:r w:rsidR="001943FC" w:rsidRPr="00705170">
        <w:rPr>
          <w:rFonts w:ascii="Times New Roman" w:hAnsi="Times New Roman" w:cs="Times New Roman"/>
        </w:rPr>
        <w:t>the</w:t>
      </w:r>
      <w:proofErr w:type="spellEnd"/>
      <w:r w:rsidR="001943FC" w:rsidRPr="00705170">
        <w:rPr>
          <w:rFonts w:ascii="Times New Roman" w:hAnsi="Times New Roman" w:cs="Times New Roman"/>
        </w:rPr>
        <w:t xml:space="preserve"> </w:t>
      </w:r>
      <w:proofErr w:type="spellStart"/>
      <w:r w:rsidR="001943FC" w:rsidRPr="00705170">
        <w:rPr>
          <w:rFonts w:ascii="Times New Roman" w:hAnsi="Times New Roman" w:cs="Times New Roman"/>
        </w:rPr>
        <w:t>effect</w:t>
      </w:r>
      <w:proofErr w:type="spellEnd"/>
      <w:r w:rsidR="001943FC" w:rsidRPr="00705170">
        <w:rPr>
          <w:rFonts w:ascii="Times New Roman" w:hAnsi="Times New Roman" w:cs="Times New Roman"/>
        </w:rPr>
        <w:t xml:space="preserve"> </w:t>
      </w:r>
      <w:proofErr w:type="spellStart"/>
      <w:r w:rsidR="001943FC" w:rsidRPr="00705170">
        <w:rPr>
          <w:rFonts w:ascii="Times New Roman" w:hAnsi="Times New Roman" w:cs="Times New Roman"/>
        </w:rPr>
        <w:t>that</w:t>
      </w:r>
      <w:proofErr w:type="spellEnd"/>
      <w:r w:rsidR="001943FC" w:rsidRPr="00705170">
        <w:rPr>
          <w:rFonts w:ascii="Times New Roman" w:hAnsi="Times New Roman" w:cs="Times New Roman"/>
        </w:rPr>
        <w:t xml:space="preserve"> </w:t>
      </w:r>
      <w:proofErr w:type="spellStart"/>
      <w:r w:rsidR="001943FC" w:rsidRPr="00705170">
        <w:rPr>
          <w:rFonts w:ascii="Times New Roman" w:hAnsi="Times New Roman" w:cs="Times New Roman"/>
        </w:rPr>
        <w:t>these</w:t>
      </w:r>
      <w:proofErr w:type="spellEnd"/>
      <w:r w:rsidR="001943FC" w:rsidRPr="00705170">
        <w:rPr>
          <w:rFonts w:ascii="Times New Roman" w:hAnsi="Times New Roman" w:cs="Times New Roman"/>
        </w:rPr>
        <w:t xml:space="preserve"> </w:t>
      </w:r>
      <w:proofErr w:type="spellStart"/>
      <w:r w:rsidR="001943FC" w:rsidRPr="00705170">
        <w:rPr>
          <w:rFonts w:ascii="Times New Roman" w:hAnsi="Times New Roman" w:cs="Times New Roman"/>
        </w:rPr>
        <w:t>changes</w:t>
      </w:r>
      <w:proofErr w:type="spellEnd"/>
      <w:r w:rsidR="001943FC" w:rsidRPr="00705170">
        <w:rPr>
          <w:rFonts w:ascii="Times New Roman" w:hAnsi="Times New Roman" w:cs="Times New Roman"/>
        </w:rPr>
        <w:t xml:space="preserve"> has on </w:t>
      </w:r>
      <w:proofErr w:type="spellStart"/>
      <w:r w:rsidR="001943FC" w:rsidRPr="00705170">
        <w:rPr>
          <w:rFonts w:ascii="Times New Roman" w:hAnsi="Times New Roman" w:cs="Times New Roman"/>
        </w:rPr>
        <w:t>the</w:t>
      </w:r>
      <w:proofErr w:type="spellEnd"/>
      <w:r w:rsidR="001943FC" w:rsidRPr="00705170">
        <w:rPr>
          <w:rFonts w:ascii="Times New Roman" w:hAnsi="Times New Roman" w:cs="Times New Roman"/>
        </w:rPr>
        <w:t xml:space="preserve"> </w:t>
      </w:r>
      <w:proofErr w:type="spellStart"/>
      <w:r w:rsidR="001943FC" w:rsidRPr="00705170">
        <w:rPr>
          <w:rFonts w:ascii="Times New Roman" w:hAnsi="Times New Roman" w:cs="Times New Roman"/>
        </w:rPr>
        <w:t>corporation</w:t>
      </w:r>
      <w:r w:rsidR="00594E71" w:rsidRPr="00705170">
        <w:rPr>
          <w:rFonts w:ascii="Times New Roman" w:hAnsi="Times New Roman" w:cs="Times New Roman"/>
        </w:rPr>
        <w:t>’</w:t>
      </w:r>
      <w:r w:rsidR="001943FC" w:rsidRPr="00705170">
        <w:rPr>
          <w:rFonts w:ascii="Times New Roman" w:hAnsi="Times New Roman" w:cs="Times New Roman"/>
        </w:rPr>
        <w:t>s</w:t>
      </w:r>
      <w:proofErr w:type="spellEnd"/>
      <w:r w:rsidR="001943FC" w:rsidRPr="00705170">
        <w:rPr>
          <w:rFonts w:ascii="Times New Roman" w:hAnsi="Times New Roman" w:cs="Times New Roman"/>
        </w:rPr>
        <w:t xml:space="preserve"> </w:t>
      </w:r>
      <w:proofErr w:type="spellStart"/>
      <w:r w:rsidR="001943FC" w:rsidRPr="00705170">
        <w:rPr>
          <w:rFonts w:ascii="Times New Roman" w:hAnsi="Times New Roman" w:cs="Times New Roman"/>
        </w:rPr>
        <w:t>ability</w:t>
      </w:r>
      <w:proofErr w:type="spellEnd"/>
      <w:r w:rsidR="001943FC" w:rsidRPr="00705170">
        <w:rPr>
          <w:rFonts w:ascii="Times New Roman" w:hAnsi="Times New Roman" w:cs="Times New Roman"/>
        </w:rPr>
        <w:t xml:space="preserve"> </w:t>
      </w:r>
      <w:proofErr w:type="spellStart"/>
      <w:r w:rsidR="001943FC" w:rsidRPr="00705170">
        <w:rPr>
          <w:rFonts w:ascii="Times New Roman" w:hAnsi="Times New Roman" w:cs="Times New Roman"/>
        </w:rPr>
        <w:t>to</w:t>
      </w:r>
      <w:proofErr w:type="spellEnd"/>
      <w:r w:rsidR="001943FC" w:rsidRPr="00705170">
        <w:rPr>
          <w:rFonts w:ascii="Times New Roman" w:hAnsi="Times New Roman" w:cs="Times New Roman"/>
        </w:rPr>
        <w:t xml:space="preserve"> </w:t>
      </w:r>
      <w:proofErr w:type="spellStart"/>
      <w:r w:rsidR="001943FC" w:rsidRPr="00705170">
        <w:rPr>
          <w:rFonts w:ascii="Times New Roman" w:hAnsi="Times New Roman" w:cs="Times New Roman"/>
        </w:rPr>
        <w:t>pursue</w:t>
      </w:r>
      <w:proofErr w:type="spellEnd"/>
      <w:r w:rsidR="001943FC" w:rsidRPr="00705170">
        <w:rPr>
          <w:rFonts w:ascii="Times New Roman" w:hAnsi="Times New Roman" w:cs="Times New Roman"/>
        </w:rPr>
        <w:t xml:space="preserve"> </w:t>
      </w:r>
      <w:proofErr w:type="spellStart"/>
      <w:r w:rsidR="001943FC" w:rsidRPr="00705170">
        <w:rPr>
          <w:rFonts w:ascii="Times New Roman" w:hAnsi="Times New Roman" w:cs="Times New Roman"/>
        </w:rPr>
        <w:t>the</w:t>
      </w:r>
      <w:proofErr w:type="spellEnd"/>
      <w:r w:rsidR="001943FC" w:rsidRPr="00705170">
        <w:rPr>
          <w:rFonts w:ascii="Times New Roman" w:hAnsi="Times New Roman" w:cs="Times New Roman"/>
        </w:rPr>
        <w:t xml:space="preserve"> </w:t>
      </w:r>
      <w:proofErr w:type="spellStart"/>
      <w:r w:rsidR="001943FC" w:rsidRPr="00705170">
        <w:rPr>
          <w:rFonts w:ascii="Times New Roman" w:hAnsi="Times New Roman" w:cs="Times New Roman"/>
        </w:rPr>
        <w:t>purpose</w:t>
      </w:r>
      <w:proofErr w:type="spellEnd"/>
      <w:r w:rsidR="001943FC" w:rsidRPr="00705170">
        <w:rPr>
          <w:rFonts w:ascii="Times New Roman" w:hAnsi="Times New Roman" w:cs="Times New Roman"/>
        </w:rPr>
        <w:t xml:space="preserve"> </w:t>
      </w:r>
      <w:proofErr w:type="spellStart"/>
      <w:r w:rsidR="001943FC" w:rsidRPr="00705170">
        <w:rPr>
          <w:rFonts w:ascii="Times New Roman" w:hAnsi="Times New Roman" w:cs="Times New Roman"/>
        </w:rPr>
        <w:t>for</w:t>
      </w:r>
      <w:proofErr w:type="spellEnd"/>
      <w:r w:rsidR="001943FC" w:rsidRPr="00705170">
        <w:rPr>
          <w:rFonts w:ascii="Times New Roman" w:hAnsi="Times New Roman" w:cs="Times New Roman"/>
        </w:rPr>
        <w:t xml:space="preserve"> </w:t>
      </w:r>
      <w:proofErr w:type="spellStart"/>
      <w:r w:rsidR="001943FC" w:rsidRPr="00705170">
        <w:rPr>
          <w:rFonts w:ascii="Times New Roman" w:hAnsi="Times New Roman" w:cs="Times New Roman"/>
        </w:rPr>
        <w:t>which</w:t>
      </w:r>
      <w:proofErr w:type="spellEnd"/>
      <w:r w:rsidR="001943FC" w:rsidRPr="00705170">
        <w:rPr>
          <w:rFonts w:ascii="Times New Roman" w:hAnsi="Times New Roman" w:cs="Times New Roman"/>
        </w:rPr>
        <w:t xml:space="preserve"> it is </w:t>
      </w:r>
      <w:proofErr w:type="spellStart"/>
      <w:r w:rsidR="001943FC" w:rsidRPr="00705170">
        <w:rPr>
          <w:rFonts w:ascii="Times New Roman" w:hAnsi="Times New Roman" w:cs="Times New Roman"/>
        </w:rPr>
        <w:t>chartered</w:t>
      </w:r>
      <w:proofErr w:type="spellEnd"/>
      <w:r w:rsidR="001943FC" w:rsidRPr="00705170">
        <w:rPr>
          <w:rStyle w:val="DipnotBavurusu"/>
          <w:rFonts w:ascii="Times New Roman" w:hAnsi="Times New Roman" w:cs="Times New Roman"/>
        </w:rPr>
        <w:footnoteReference w:id="264"/>
      </w:r>
      <w:r w:rsidR="001943FC" w:rsidRPr="00705170">
        <w:rPr>
          <w:rFonts w:ascii="Times New Roman" w:hAnsi="Times New Roman" w:cs="Times New Roman"/>
        </w:rPr>
        <w:t>,</w:t>
      </w:r>
      <w:r w:rsidR="00473E16" w:rsidRPr="00705170">
        <w:rPr>
          <w:rFonts w:ascii="Times New Roman" w:hAnsi="Times New Roman" w:cs="Times New Roman"/>
        </w:rPr>
        <w:t xml:space="preserve"> </w:t>
      </w:r>
      <w:proofErr w:type="spellStart"/>
      <w:r w:rsidR="001943FC" w:rsidRPr="00705170">
        <w:rPr>
          <w:rFonts w:ascii="Times New Roman" w:hAnsi="Times New Roman" w:cs="Times New Roman"/>
        </w:rPr>
        <w:t>and</w:t>
      </w:r>
      <w:proofErr w:type="spellEnd"/>
      <w:r w:rsidR="001943FC" w:rsidRPr="00705170">
        <w:rPr>
          <w:rFonts w:ascii="Times New Roman" w:hAnsi="Times New Roman" w:cs="Times New Roman"/>
        </w:rPr>
        <w:t xml:space="preserve"> (2) </w:t>
      </w:r>
      <w:proofErr w:type="spellStart"/>
      <w:r w:rsidR="00473E16" w:rsidRPr="00705170">
        <w:rPr>
          <w:rFonts w:ascii="Times New Roman" w:hAnsi="Times New Roman" w:cs="Times New Roman"/>
        </w:rPr>
        <w:t>the</w:t>
      </w:r>
      <w:proofErr w:type="spellEnd"/>
      <w:r w:rsidR="00473E16" w:rsidRPr="00705170">
        <w:rPr>
          <w:rFonts w:ascii="Times New Roman" w:hAnsi="Times New Roman" w:cs="Times New Roman"/>
        </w:rPr>
        <w:t xml:space="preserve"> “</w:t>
      </w:r>
      <w:proofErr w:type="spellStart"/>
      <w:r w:rsidRPr="00705170">
        <w:rPr>
          <w:rFonts w:ascii="Times New Roman" w:hAnsi="Times New Roman" w:cs="Times New Roman"/>
        </w:rPr>
        <w:t>provisions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state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authorizing</w:t>
      </w:r>
      <w:proofErr w:type="spellEnd"/>
      <w:r w:rsidRPr="00705170">
        <w:rPr>
          <w:rFonts w:ascii="Times New Roman" w:hAnsi="Times New Roman" w:cs="Times New Roman"/>
        </w:rPr>
        <w:t xml:space="preserve"> </w:t>
      </w:r>
      <w:proofErr w:type="gramStart"/>
      <w:r w:rsidRPr="00705170">
        <w:rPr>
          <w:rFonts w:ascii="Times New Roman" w:hAnsi="Times New Roman" w:cs="Times New Roman"/>
        </w:rPr>
        <w:t>charter</w:t>
      </w:r>
      <w:proofErr w:type="gramEnd"/>
      <w:r w:rsidRPr="00705170">
        <w:rPr>
          <w:rFonts w:ascii="Times New Roman" w:hAnsi="Times New Roman" w:cs="Times New Roman"/>
        </w:rPr>
        <w:t xml:space="preserve"> </w:t>
      </w:r>
      <w:proofErr w:type="spellStart"/>
      <w:r w:rsidRPr="00705170">
        <w:rPr>
          <w:rFonts w:ascii="Times New Roman" w:hAnsi="Times New Roman" w:cs="Times New Roman"/>
        </w:rPr>
        <w:t>amendments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mergers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fundamental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changes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considerable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leeway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take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unfair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advantage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265"/>
      </w:r>
      <w:r w:rsidRPr="00705170">
        <w:rPr>
          <w:rFonts w:ascii="Times New Roman" w:hAnsi="Times New Roman" w:cs="Times New Roman"/>
        </w:rPr>
        <w:t>.</w:t>
      </w:r>
      <w:r w:rsidR="009D3916" w:rsidRPr="00705170">
        <w:rPr>
          <w:rFonts w:ascii="Times New Roman" w:hAnsi="Times New Roman" w:cs="Times New Roman"/>
        </w:rPr>
        <w:t xml:space="preserve"> </w:t>
      </w:r>
      <w:proofErr w:type="spellStart"/>
      <w:r w:rsidR="00730E0E" w:rsidRPr="00705170">
        <w:rPr>
          <w:rFonts w:ascii="Times New Roman" w:hAnsi="Times New Roman" w:cs="Times New Roman"/>
        </w:rPr>
        <w:t>For</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example</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those</w:t>
      </w:r>
      <w:proofErr w:type="spellEnd"/>
      <w:r w:rsidR="00730E0E" w:rsidRPr="00705170">
        <w:rPr>
          <w:rFonts w:ascii="Times New Roman" w:hAnsi="Times New Roman" w:cs="Times New Roman"/>
        </w:rPr>
        <w:t xml:space="preserve"> in </w:t>
      </w:r>
      <w:proofErr w:type="spellStart"/>
      <w:r w:rsidR="00730E0E" w:rsidRPr="00705170">
        <w:rPr>
          <w:rFonts w:ascii="Times New Roman" w:hAnsi="Times New Roman" w:cs="Times New Roman"/>
        </w:rPr>
        <w:t>control</w:t>
      </w:r>
      <w:proofErr w:type="spellEnd"/>
      <w:r w:rsidR="00730E0E" w:rsidRPr="00705170">
        <w:rPr>
          <w:rFonts w:ascii="Times New Roman" w:hAnsi="Times New Roman" w:cs="Times New Roman"/>
        </w:rPr>
        <w:t xml:space="preserve"> of </w:t>
      </w:r>
      <w:proofErr w:type="spellStart"/>
      <w:r w:rsidR="00730E0E" w:rsidRPr="00705170">
        <w:rPr>
          <w:rFonts w:ascii="Times New Roman" w:hAnsi="Times New Roman" w:cs="Times New Roman"/>
        </w:rPr>
        <w:t>the</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corporation</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may</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take</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actions</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that</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have</w:t>
      </w:r>
      <w:proofErr w:type="spellEnd"/>
      <w:r w:rsidR="00730E0E" w:rsidRPr="00705170">
        <w:rPr>
          <w:rFonts w:ascii="Times New Roman" w:hAnsi="Times New Roman" w:cs="Times New Roman"/>
        </w:rPr>
        <w:t xml:space="preserve"> a </w:t>
      </w:r>
      <w:proofErr w:type="spellStart"/>
      <w:r w:rsidR="00730E0E" w:rsidRPr="00705170">
        <w:rPr>
          <w:rFonts w:ascii="Times New Roman" w:hAnsi="Times New Roman" w:cs="Times New Roman"/>
        </w:rPr>
        <w:t>short</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term</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effect</w:t>
      </w:r>
      <w:proofErr w:type="spellEnd"/>
      <w:r w:rsidR="00730E0E" w:rsidRPr="00705170">
        <w:rPr>
          <w:rFonts w:ascii="Times New Roman" w:hAnsi="Times New Roman" w:cs="Times New Roman"/>
        </w:rPr>
        <w:t xml:space="preserve"> of </w:t>
      </w:r>
      <w:proofErr w:type="spellStart"/>
      <w:r w:rsidR="00730E0E" w:rsidRPr="00705170">
        <w:rPr>
          <w:rFonts w:ascii="Times New Roman" w:hAnsi="Times New Roman" w:cs="Times New Roman"/>
        </w:rPr>
        <w:t>lowering</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the</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price</w:t>
      </w:r>
      <w:proofErr w:type="spellEnd"/>
      <w:r w:rsidR="00730E0E" w:rsidRPr="00705170">
        <w:rPr>
          <w:rFonts w:ascii="Times New Roman" w:hAnsi="Times New Roman" w:cs="Times New Roman"/>
        </w:rPr>
        <w:t xml:space="preserve"> of </w:t>
      </w:r>
      <w:proofErr w:type="spellStart"/>
      <w:r w:rsidR="00730E0E" w:rsidRPr="00705170">
        <w:rPr>
          <w:rFonts w:ascii="Times New Roman" w:hAnsi="Times New Roman" w:cs="Times New Roman"/>
        </w:rPr>
        <w:t>the</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corporation’s</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share</w:t>
      </w:r>
      <w:proofErr w:type="spellEnd"/>
      <w:r w:rsidR="00730E0E" w:rsidRPr="00705170">
        <w:rPr>
          <w:rFonts w:ascii="Times New Roman" w:hAnsi="Times New Roman" w:cs="Times New Roman"/>
        </w:rPr>
        <w:t xml:space="preserve">, in </w:t>
      </w:r>
      <w:proofErr w:type="spellStart"/>
      <w:r w:rsidR="00730E0E" w:rsidRPr="00705170">
        <w:rPr>
          <w:rFonts w:ascii="Times New Roman" w:hAnsi="Times New Roman" w:cs="Times New Roman"/>
        </w:rPr>
        <w:t>order</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to</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acquire</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the</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minority’s</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share</w:t>
      </w:r>
      <w:proofErr w:type="spellEnd"/>
      <w:r w:rsidR="00730E0E" w:rsidRPr="00705170">
        <w:rPr>
          <w:rFonts w:ascii="Times New Roman" w:hAnsi="Times New Roman" w:cs="Times New Roman"/>
        </w:rPr>
        <w:t xml:space="preserve"> at an </w:t>
      </w:r>
      <w:proofErr w:type="spellStart"/>
      <w:r w:rsidR="00730E0E" w:rsidRPr="00705170">
        <w:rPr>
          <w:rFonts w:ascii="Times New Roman" w:hAnsi="Times New Roman" w:cs="Times New Roman"/>
        </w:rPr>
        <w:t>artificially</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low</w:t>
      </w:r>
      <w:proofErr w:type="spellEnd"/>
      <w:r w:rsidR="00730E0E" w:rsidRPr="00705170">
        <w:rPr>
          <w:rFonts w:ascii="Times New Roman" w:hAnsi="Times New Roman" w:cs="Times New Roman"/>
        </w:rPr>
        <w:t xml:space="preserve"> </w:t>
      </w:r>
      <w:proofErr w:type="spellStart"/>
      <w:r w:rsidR="00730E0E" w:rsidRPr="00705170">
        <w:rPr>
          <w:rFonts w:ascii="Times New Roman" w:hAnsi="Times New Roman" w:cs="Times New Roman"/>
        </w:rPr>
        <w:t>price</w:t>
      </w:r>
      <w:proofErr w:type="spellEnd"/>
      <w:r w:rsidR="00730E0E" w:rsidRPr="00705170">
        <w:rPr>
          <w:rStyle w:val="DipnotBavurusu"/>
          <w:rFonts w:ascii="Times New Roman" w:hAnsi="Times New Roman" w:cs="Times New Roman"/>
        </w:rPr>
        <w:footnoteReference w:id="266"/>
      </w:r>
      <w:r w:rsidR="00730E0E" w:rsidRPr="00705170">
        <w:rPr>
          <w:rFonts w:ascii="Times New Roman" w:hAnsi="Times New Roman" w:cs="Times New Roman"/>
        </w:rPr>
        <w:t>.</w:t>
      </w:r>
      <w:r w:rsidR="001C2A80" w:rsidRPr="00705170">
        <w:rPr>
          <w:rFonts w:ascii="Times New Roman" w:hAnsi="Times New Roman" w:cs="Times New Roman"/>
        </w:rPr>
        <w:t xml:space="preserve"> </w:t>
      </w:r>
      <w:proofErr w:type="spellStart"/>
      <w:r w:rsidR="00BA26A9" w:rsidRPr="00705170">
        <w:rPr>
          <w:rFonts w:ascii="Times New Roman" w:hAnsi="Times New Roman" w:cs="Times New Roman"/>
        </w:rPr>
        <w:t>In</w:t>
      </w:r>
      <w:proofErr w:type="spellEnd"/>
      <w:r w:rsidR="00BA26A9" w:rsidRPr="00705170">
        <w:rPr>
          <w:rFonts w:ascii="Times New Roman" w:hAnsi="Times New Roman" w:cs="Times New Roman"/>
        </w:rPr>
        <w:t xml:space="preserve"> </w:t>
      </w:r>
      <w:proofErr w:type="spellStart"/>
      <w:r w:rsidR="00BA26A9" w:rsidRPr="00705170">
        <w:rPr>
          <w:rFonts w:ascii="Times New Roman" w:hAnsi="Times New Roman" w:cs="Times New Roman"/>
        </w:rPr>
        <w:t>this</w:t>
      </w:r>
      <w:proofErr w:type="spellEnd"/>
      <w:r w:rsidR="00BA26A9" w:rsidRPr="00705170">
        <w:rPr>
          <w:rFonts w:ascii="Times New Roman" w:hAnsi="Times New Roman" w:cs="Times New Roman"/>
        </w:rPr>
        <w:t xml:space="preserve"> </w:t>
      </w:r>
      <w:proofErr w:type="spellStart"/>
      <w:r w:rsidR="00BA26A9" w:rsidRPr="00705170">
        <w:rPr>
          <w:rFonts w:ascii="Times New Roman" w:hAnsi="Times New Roman" w:cs="Times New Roman"/>
        </w:rPr>
        <w:t>regards</w:t>
      </w:r>
      <w:proofErr w:type="spellEnd"/>
      <w:r w:rsidR="00BA26A9" w:rsidRPr="00705170">
        <w:rPr>
          <w:rFonts w:ascii="Times New Roman" w:hAnsi="Times New Roman" w:cs="Times New Roman"/>
        </w:rPr>
        <w:t xml:space="preserve">, </w:t>
      </w:r>
      <w:proofErr w:type="spellStart"/>
      <w:r w:rsidR="00BA26A9" w:rsidRPr="00705170">
        <w:rPr>
          <w:rFonts w:ascii="Times New Roman" w:hAnsi="Times New Roman" w:cs="Times New Roman"/>
        </w:rPr>
        <w:t>fundamental</w:t>
      </w:r>
      <w:proofErr w:type="spellEnd"/>
      <w:r w:rsidR="00BA26A9" w:rsidRPr="00705170">
        <w:rPr>
          <w:rFonts w:ascii="Times New Roman" w:hAnsi="Times New Roman" w:cs="Times New Roman"/>
        </w:rPr>
        <w:t xml:space="preserve"> </w:t>
      </w:r>
      <w:proofErr w:type="spellStart"/>
      <w:r w:rsidR="00BA26A9" w:rsidRPr="00705170">
        <w:rPr>
          <w:rFonts w:ascii="Times New Roman" w:hAnsi="Times New Roman" w:cs="Times New Roman"/>
        </w:rPr>
        <w:t>corporate</w:t>
      </w:r>
      <w:proofErr w:type="spellEnd"/>
      <w:r w:rsidR="00BA26A9" w:rsidRPr="00705170">
        <w:rPr>
          <w:rFonts w:ascii="Times New Roman" w:hAnsi="Times New Roman" w:cs="Times New Roman"/>
        </w:rPr>
        <w:t xml:space="preserve"> </w:t>
      </w:r>
      <w:proofErr w:type="spellStart"/>
      <w:r w:rsidR="00BA26A9" w:rsidRPr="00705170">
        <w:rPr>
          <w:rFonts w:ascii="Times New Roman" w:hAnsi="Times New Roman" w:cs="Times New Roman"/>
        </w:rPr>
        <w:t>changes</w:t>
      </w:r>
      <w:proofErr w:type="spellEnd"/>
      <w:r w:rsidR="00BA26A9" w:rsidRPr="00705170">
        <w:rPr>
          <w:rFonts w:ascii="Times New Roman" w:hAnsi="Times New Roman" w:cs="Times New Roman"/>
        </w:rPr>
        <w:t xml:space="preserve"> </w:t>
      </w:r>
      <w:proofErr w:type="spellStart"/>
      <w:r w:rsidR="00BA26A9" w:rsidRPr="00705170">
        <w:rPr>
          <w:rFonts w:ascii="Times New Roman" w:hAnsi="Times New Roman" w:cs="Times New Roman"/>
        </w:rPr>
        <w:t>represents</w:t>
      </w:r>
      <w:proofErr w:type="spellEnd"/>
      <w:r w:rsidR="00BA26A9" w:rsidRPr="00705170">
        <w:rPr>
          <w:rFonts w:ascii="Times New Roman" w:hAnsi="Times New Roman" w:cs="Times New Roman"/>
        </w:rPr>
        <w:t xml:space="preserve"> a </w:t>
      </w:r>
      <w:proofErr w:type="spellStart"/>
      <w:r w:rsidR="00BA26A9" w:rsidRPr="00705170">
        <w:rPr>
          <w:rFonts w:ascii="Times New Roman" w:hAnsi="Times New Roman" w:cs="Times New Roman"/>
        </w:rPr>
        <w:t>technique</w:t>
      </w:r>
      <w:proofErr w:type="spellEnd"/>
      <w:r w:rsidR="00BA26A9" w:rsidRPr="00705170">
        <w:rPr>
          <w:rFonts w:ascii="Times New Roman" w:hAnsi="Times New Roman" w:cs="Times New Roman"/>
        </w:rPr>
        <w:t xml:space="preserve"> </w:t>
      </w:r>
      <w:proofErr w:type="spellStart"/>
      <w:r w:rsidR="00BA26A9" w:rsidRPr="00705170">
        <w:rPr>
          <w:rFonts w:ascii="Times New Roman" w:hAnsi="Times New Roman" w:cs="Times New Roman"/>
        </w:rPr>
        <w:t>that</w:t>
      </w:r>
      <w:proofErr w:type="spellEnd"/>
      <w:r w:rsidR="00BA26A9" w:rsidRPr="00705170">
        <w:rPr>
          <w:rFonts w:ascii="Times New Roman" w:hAnsi="Times New Roman" w:cs="Times New Roman"/>
        </w:rPr>
        <w:t xml:space="preserve"> can be </w:t>
      </w:r>
      <w:proofErr w:type="spellStart"/>
      <w:r w:rsidR="00BA26A9" w:rsidRPr="00705170">
        <w:rPr>
          <w:rFonts w:ascii="Times New Roman" w:hAnsi="Times New Roman" w:cs="Times New Roman"/>
        </w:rPr>
        <w:t>used</w:t>
      </w:r>
      <w:proofErr w:type="spellEnd"/>
      <w:r w:rsidR="00BA26A9" w:rsidRPr="00705170">
        <w:rPr>
          <w:rFonts w:ascii="Times New Roman" w:hAnsi="Times New Roman" w:cs="Times New Roman"/>
        </w:rPr>
        <w:t xml:space="preserve"> </w:t>
      </w:r>
      <w:proofErr w:type="spellStart"/>
      <w:r w:rsidR="00BA26A9" w:rsidRPr="00705170">
        <w:rPr>
          <w:rFonts w:ascii="Times New Roman" w:hAnsi="Times New Roman" w:cs="Times New Roman"/>
        </w:rPr>
        <w:t>to</w:t>
      </w:r>
      <w:proofErr w:type="spellEnd"/>
      <w:r w:rsidR="00BA26A9" w:rsidRPr="00705170">
        <w:rPr>
          <w:rFonts w:ascii="Times New Roman" w:hAnsi="Times New Roman" w:cs="Times New Roman"/>
        </w:rPr>
        <w:t xml:space="preserve"> </w:t>
      </w:r>
      <w:proofErr w:type="spellStart"/>
      <w:r w:rsidR="00BA26A9" w:rsidRPr="00705170">
        <w:rPr>
          <w:rFonts w:ascii="Times New Roman" w:hAnsi="Times New Roman" w:cs="Times New Roman"/>
        </w:rPr>
        <w:t>freeze</w:t>
      </w:r>
      <w:proofErr w:type="spellEnd"/>
      <w:r w:rsidR="00BA26A9" w:rsidRPr="00705170">
        <w:rPr>
          <w:rFonts w:ascii="Times New Roman" w:hAnsi="Times New Roman" w:cs="Times New Roman"/>
        </w:rPr>
        <w:t xml:space="preserve">- </w:t>
      </w:r>
      <w:proofErr w:type="spellStart"/>
      <w:r w:rsidR="00BA26A9" w:rsidRPr="00705170">
        <w:rPr>
          <w:rFonts w:ascii="Times New Roman" w:hAnsi="Times New Roman" w:cs="Times New Roman"/>
        </w:rPr>
        <w:t>out</w:t>
      </w:r>
      <w:proofErr w:type="spellEnd"/>
      <w:r w:rsidR="00BA26A9" w:rsidRPr="00705170">
        <w:rPr>
          <w:rFonts w:ascii="Times New Roman" w:hAnsi="Times New Roman" w:cs="Times New Roman"/>
        </w:rPr>
        <w:t xml:space="preserve"> </w:t>
      </w:r>
      <w:proofErr w:type="spellStart"/>
      <w:r w:rsidR="00BA26A9" w:rsidRPr="00705170">
        <w:rPr>
          <w:rFonts w:ascii="Times New Roman" w:hAnsi="Times New Roman" w:cs="Times New Roman"/>
        </w:rPr>
        <w:t>minority</w:t>
      </w:r>
      <w:proofErr w:type="spellEnd"/>
      <w:r w:rsidR="00BA26A9" w:rsidRPr="00705170">
        <w:rPr>
          <w:rFonts w:ascii="Times New Roman" w:hAnsi="Times New Roman" w:cs="Times New Roman"/>
        </w:rPr>
        <w:t xml:space="preserve"> </w:t>
      </w:r>
      <w:proofErr w:type="spellStart"/>
      <w:r w:rsidR="00BA26A9" w:rsidRPr="00705170">
        <w:rPr>
          <w:rFonts w:ascii="Times New Roman" w:hAnsi="Times New Roman" w:cs="Times New Roman"/>
        </w:rPr>
        <w:t>shareholders</w:t>
      </w:r>
      <w:proofErr w:type="spellEnd"/>
      <w:r w:rsidR="00BA26A9" w:rsidRPr="00705170">
        <w:rPr>
          <w:rStyle w:val="DipnotBavurusu"/>
          <w:rFonts w:ascii="Times New Roman" w:hAnsi="Times New Roman" w:cs="Times New Roman"/>
        </w:rPr>
        <w:footnoteReference w:id="267"/>
      </w:r>
      <w:r w:rsidR="00BA26A9" w:rsidRPr="00705170">
        <w:rPr>
          <w:rFonts w:ascii="Times New Roman" w:hAnsi="Times New Roman" w:cs="Times New Roman"/>
        </w:rPr>
        <w:t>.</w:t>
      </w:r>
      <w:r w:rsidR="00594E71" w:rsidRPr="00705170">
        <w:rPr>
          <w:rFonts w:ascii="Times New Roman" w:hAnsi="Times New Roman" w:cs="Times New Roman"/>
        </w:rPr>
        <w:t xml:space="preserve"> </w:t>
      </w:r>
      <w:proofErr w:type="spellStart"/>
      <w:r w:rsidR="00594E71" w:rsidRPr="00705170">
        <w:rPr>
          <w:rFonts w:ascii="Times New Roman" w:hAnsi="Times New Roman" w:cs="Times New Roman"/>
        </w:rPr>
        <w:t>Consquently</w:t>
      </w:r>
      <w:proofErr w:type="spellEnd"/>
      <w:r w:rsidR="00594E71" w:rsidRPr="00705170">
        <w:rPr>
          <w:rFonts w:ascii="Times New Roman" w:hAnsi="Times New Roman" w:cs="Times New Roman"/>
        </w:rPr>
        <w:t xml:space="preserve">, </w:t>
      </w:r>
      <w:proofErr w:type="spellStart"/>
      <w:r w:rsidR="00594E71" w:rsidRPr="00705170">
        <w:rPr>
          <w:rFonts w:ascii="Times New Roman" w:hAnsi="Times New Roman" w:cs="Times New Roman"/>
        </w:rPr>
        <w:t>law</w:t>
      </w:r>
      <w:proofErr w:type="spellEnd"/>
      <w:r w:rsidR="00594E71" w:rsidRPr="00705170">
        <w:rPr>
          <w:rFonts w:ascii="Times New Roman" w:hAnsi="Times New Roman" w:cs="Times New Roman"/>
        </w:rPr>
        <w:t xml:space="preserve"> </w:t>
      </w:r>
      <w:proofErr w:type="spellStart"/>
      <w:r w:rsidR="00594E71" w:rsidRPr="00705170">
        <w:rPr>
          <w:rFonts w:ascii="Times New Roman" w:hAnsi="Times New Roman" w:cs="Times New Roman"/>
        </w:rPr>
        <w:t>tries</w:t>
      </w:r>
      <w:proofErr w:type="spellEnd"/>
      <w:r w:rsidR="00594E71" w:rsidRPr="00705170">
        <w:rPr>
          <w:rFonts w:ascii="Times New Roman" w:hAnsi="Times New Roman" w:cs="Times New Roman"/>
        </w:rPr>
        <w:t xml:space="preserve"> </w:t>
      </w:r>
      <w:proofErr w:type="spellStart"/>
      <w:r w:rsidR="00594E71" w:rsidRPr="00705170">
        <w:rPr>
          <w:rFonts w:ascii="Times New Roman" w:hAnsi="Times New Roman" w:cs="Times New Roman"/>
        </w:rPr>
        <w:t>to</w:t>
      </w:r>
      <w:proofErr w:type="spellEnd"/>
      <w:r w:rsidR="00594E71" w:rsidRPr="00705170">
        <w:rPr>
          <w:rFonts w:ascii="Times New Roman" w:hAnsi="Times New Roman" w:cs="Times New Roman"/>
        </w:rPr>
        <w:t xml:space="preserve"> </w:t>
      </w:r>
      <w:proofErr w:type="spellStart"/>
      <w:r w:rsidR="00594E71" w:rsidRPr="00705170">
        <w:rPr>
          <w:rFonts w:ascii="Times New Roman" w:hAnsi="Times New Roman" w:cs="Times New Roman"/>
        </w:rPr>
        <w:t>avoid</w:t>
      </w:r>
      <w:proofErr w:type="spellEnd"/>
      <w:r w:rsidR="00594E71" w:rsidRPr="00705170">
        <w:rPr>
          <w:rFonts w:ascii="Times New Roman" w:hAnsi="Times New Roman" w:cs="Times New Roman"/>
        </w:rPr>
        <w:t xml:space="preserve"> </w:t>
      </w:r>
      <w:proofErr w:type="spellStart"/>
      <w:r w:rsidR="00594E71" w:rsidRPr="00705170">
        <w:rPr>
          <w:rFonts w:ascii="Times New Roman" w:hAnsi="Times New Roman" w:cs="Times New Roman"/>
        </w:rPr>
        <w:t>these</w:t>
      </w:r>
      <w:proofErr w:type="spellEnd"/>
      <w:r w:rsidR="00594E71" w:rsidRPr="00705170">
        <w:rPr>
          <w:rFonts w:ascii="Times New Roman" w:hAnsi="Times New Roman" w:cs="Times New Roman"/>
        </w:rPr>
        <w:t xml:space="preserve"> </w:t>
      </w:r>
      <w:proofErr w:type="spellStart"/>
      <w:r w:rsidR="00594E71" w:rsidRPr="00705170">
        <w:rPr>
          <w:rFonts w:ascii="Times New Roman" w:hAnsi="Times New Roman" w:cs="Times New Roman"/>
        </w:rPr>
        <w:t>negative</w:t>
      </w:r>
      <w:proofErr w:type="spellEnd"/>
      <w:r w:rsidR="00594E71" w:rsidRPr="00705170">
        <w:rPr>
          <w:rFonts w:ascii="Times New Roman" w:hAnsi="Times New Roman" w:cs="Times New Roman"/>
        </w:rPr>
        <w:t xml:space="preserve"> </w:t>
      </w:r>
      <w:proofErr w:type="spellStart"/>
      <w:r w:rsidR="00594E71" w:rsidRPr="00705170">
        <w:rPr>
          <w:rFonts w:ascii="Times New Roman" w:hAnsi="Times New Roman" w:cs="Times New Roman"/>
        </w:rPr>
        <w:t>outcomes</w:t>
      </w:r>
      <w:proofErr w:type="spellEnd"/>
      <w:r w:rsidR="00594E71" w:rsidRPr="00705170">
        <w:rPr>
          <w:rFonts w:ascii="Times New Roman" w:hAnsi="Times New Roman" w:cs="Times New Roman"/>
        </w:rPr>
        <w:t xml:space="preserve"> </w:t>
      </w:r>
      <w:proofErr w:type="spellStart"/>
      <w:r w:rsidR="00594E71" w:rsidRPr="00705170">
        <w:rPr>
          <w:rFonts w:ascii="Times New Roman" w:hAnsi="Times New Roman" w:cs="Times New Roman"/>
        </w:rPr>
        <w:t>by</w:t>
      </w:r>
      <w:proofErr w:type="spellEnd"/>
      <w:r w:rsidR="00594E71" w:rsidRPr="00705170">
        <w:rPr>
          <w:rFonts w:ascii="Times New Roman" w:hAnsi="Times New Roman" w:cs="Times New Roman"/>
        </w:rPr>
        <w:t xml:space="preserve"> </w:t>
      </w:r>
      <w:proofErr w:type="spellStart"/>
      <w:r w:rsidR="00594E71" w:rsidRPr="00705170">
        <w:rPr>
          <w:rFonts w:ascii="Times New Roman" w:hAnsi="Times New Roman" w:cs="Times New Roman"/>
        </w:rPr>
        <w:t>scrutinizing</w:t>
      </w:r>
      <w:proofErr w:type="spellEnd"/>
      <w:r w:rsidR="00594E71" w:rsidRPr="00705170">
        <w:rPr>
          <w:rFonts w:ascii="Times New Roman" w:hAnsi="Times New Roman" w:cs="Times New Roman"/>
        </w:rPr>
        <w:t xml:space="preserve"> </w:t>
      </w:r>
      <w:proofErr w:type="spellStart"/>
      <w:r w:rsidR="00594E71" w:rsidRPr="00705170">
        <w:rPr>
          <w:rFonts w:ascii="Times New Roman" w:hAnsi="Times New Roman" w:cs="Times New Roman"/>
        </w:rPr>
        <w:t>these</w:t>
      </w:r>
      <w:proofErr w:type="spellEnd"/>
      <w:r w:rsidR="00594E71" w:rsidRPr="00705170">
        <w:rPr>
          <w:rFonts w:ascii="Times New Roman" w:hAnsi="Times New Roman" w:cs="Times New Roman"/>
        </w:rPr>
        <w:t xml:space="preserve"> </w:t>
      </w:r>
      <w:proofErr w:type="spellStart"/>
      <w:r w:rsidR="00594E71" w:rsidRPr="00705170">
        <w:rPr>
          <w:rFonts w:ascii="Times New Roman" w:hAnsi="Times New Roman" w:cs="Times New Roman"/>
        </w:rPr>
        <w:t>changes</w:t>
      </w:r>
      <w:proofErr w:type="spellEnd"/>
      <w:r w:rsidR="00594E71" w:rsidRPr="00705170">
        <w:rPr>
          <w:rFonts w:ascii="Times New Roman" w:hAnsi="Times New Roman" w:cs="Times New Roman"/>
        </w:rPr>
        <w:t>.</w:t>
      </w:r>
    </w:p>
    <w:p w14:paraId="783B3B4D" w14:textId="7F161520" w:rsidR="00D05672" w:rsidRPr="00705170" w:rsidRDefault="001C2A80" w:rsidP="00BA26A9">
      <w:pPr>
        <w:spacing w:after="240" w:line="480" w:lineRule="auto"/>
        <w:ind w:firstLine="708"/>
        <w:jc w:val="both"/>
        <w:rPr>
          <w:rFonts w:ascii="Times New Roman" w:hAnsi="Times New Roman" w:cs="Times New Roman"/>
        </w:rPr>
      </w:pPr>
      <w:r w:rsidRPr="00705170">
        <w:rPr>
          <w:rFonts w:ascii="Times New Roman" w:hAnsi="Times New Roman" w:cs="Times New Roman"/>
        </w:rPr>
        <w:lastRenderedPageBreak/>
        <w:t xml:space="preserve">As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moved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away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unanimous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approval</w:t>
      </w:r>
      <w:proofErr w:type="spellEnd"/>
      <w:r w:rsidRPr="00705170">
        <w:rPr>
          <w:rFonts w:ascii="Times New Roman" w:hAnsi="Times New Roman" w:cs="Times New Roman"/>
        </w:rPr>
        <w:t xml:space="preserve"> of </w:t>
      </w:r>
      <w:proofErr w:type="spellStart"/>
      <w:r w:rsidR="00BA26A9" w:rsidRPr="00705170">
        <w:rPr>
          <w:rFonts w:ascii="Times New Roman" w:hAnsi="Times New Roman" w:cs="Times New Roman"/>
        </w:rPr>
        <w:t>fundamental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changes</w:t>
      </w:r>
      <w:proofErr w:type="spellEnd"/>
      <w:r w:rsidR="00753D62" w:rsidRPr="00705170">
        <w:rPr>
          <w:rStyle w:val="DipnotBavurusu"/>
          <w:rFonts w:ascii="Times New Roman" w:hAnsi="Times New Roman" w:cs="Times New Roman"/>
        </w:rPr>
        <w:footnoteReference w:id="268"/>
      </w:r>
      <w:r w:rsidRPr="00705170">
        <w:rPr>
          <w:rFonts w:ascii="Times New Roman" w:hAnsi="Times New Roman" w:cs="Times New Roman"/>
        </w:rPr>
        <w:t xml:space="preserve">, it </w:t>
      </w:r>
      <w:proofErr w:type="spellStart"/>
      <w:r w:rsidRPr="00705170">
        <w:rPr>
          <w:rFonts w:ascii="Times New Roman" w:hAnsi="Times New Roman" w:cs="Times New Roman"/>
        </w:rPr>
        <w:t>needed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alternative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ways</w:t>
      </w:r>
      <w:proofErr w:type="spellEnd"/>
      <w:r w:rsidRPr="00705170">
        <w:rPr>
          <w:rFonts w:ascii="Times New Roman" w:hAnsi="Times New Roman" w:cs="Times New Roman"/>
        </w:rPr>
        <w:t xml:space="preserve"> </w:t>
      </w:r>
      <w:proofErr w:type="spellStart"/>
      <w:r w:rsidR="00753D62" w:rsidRPr="00705170">
        <w:rPr>
          <w:rFonts w:ascii="Times New Roman" w:hAnsi="Times New Roman" w:cs="Times New Roman"/>
        </w:rPr>
        <w:t>to</w:t>
      </w:r>
      <w:proofErr w:type="spellEnd"/>
      <w:r w:rsidR="00753D62" w:rsidRPr="00705170">
        <w:rPr>
          <w:rFonts w:ascii="Times New Roman" w:hAnsi="Times New Roman" w:cs="Times New Roman"/>
        </w:rPr>
        <w:t xml:space="preserve"> </w:t>
      </w:r>
      <w:proofErr w:type="spellStart"/>
      <w:r w:rsidR="00753D62" w:rsidRPr="00705170">
        <w:rPr>
          <w:rFonts w:ascii="Times New Roman" w:hAnsi="Times New Roman" w:cs="Times New Roman"/>
        </w:rPr>
        <w:t>deal</w:t>
      </w:r>
      <w:proofErr w:type="spellEnd"/>
      <w:r w:rsidR="00753D62" w:rsidRPr="00705170">
        <w:rPr>
          <w:rFonts w:ascii="Times New Roman" w:hAnsi="Times New Roman" w:cs="Times New Roman"/>
        </w:rPr>
        <w:t xml:space="preserve"> </w:t>
      </w:r>
      <w:proofErr w:type="spellStart"/>
      <w:r w:rsidR="00753D62" w:rsidRPr="00705170">
        <w:rPr>
          <w:rFonts w:ascii="Times New Roman" w:hAnsi="Times New Roman" w:cs="Times New Roman"/>
        </w:rPr>
        <w:t>with</w:t>
      </w:r>
      <w:proofErr w:type="spellEnd"/>
      <w:r w:rsidR="00753D62" w:rsidRPr="00705170">
        <w:rPr>
          <w:rFonts w:ascii="Times New Roman" w:hAnsi="Times New Roman" w:cs="Times New Roman"/>
        </w:rPr>
        <w:t xml:space="preserve"> </w:t>
      </w:r>
      <w:proofErr w:type="spellStart"/>
      <w:r w:rsidR="00753D62" w:rsidRPr="00705170">
        <w:rPr>
          <w:rFonts w:ascii="Times New Roman" w:hAnsi="Times New Roman" w:cs="Times New Roman"/>
        </w:rPr>
        <w:t>changes</w:t>
      </w:r>
      <w:proofErr w:type="spellEnd"/>
      <w:r w:rsidR="00753D62" w:rsidRPr="00705170">
        <w:rPr>
          <w:rFonts w:ascii="Times New Roman" w:hAnsi="Times New Roman" w:cs="Times New Roman"/>
        </w:rPr>
        <w:t xml:space="preserve"> </w:t>
      </w:r>
      <w:proofErr w:type="spellStart"/>
      <w:r w:rsidR="00D21BDC" w:rsidRPr="00705170">
        <w:rPr>
          <w:rFonts w:ascii="Times New Roman" w:hAnsi="Times New Roman" w:cs="Times New Roman"/>
        </w:rPr>
        <w:t>which</w:t>
      </w:r>
      <w:proofErr w:type="spellEnd"/>
      <w:r w:rsidR="00C7005E" w:rsidRPr="00705170">
        <w:rPr>
          <w:rFonts w:ascii="Times New Roman" w:hAnsi="Times New Roman" w:cs="Times New Roman"/>
        </w:rPr>
        <w:t xml:space="preserve"> </w:t>
      </w:r>
      <w:proofErr w:type="spellStart"/>
      <w:r w:rsidR="00C7005E" w:rsidRPr="00705170">
        <w:rPr>
          <w:rFonts w:ascii="Times New Roman" w:hAnsi="Times New Roman" w:cs="Times New Roman"/>
        </w:rPr>
        <w:t>create</w:t>
      </w:r>
      <w:proofErr w:type="spellEnd"/>
      <w:r w:rsidR="00753D62" w:rsidRPr="00705170">
        <w:rPr>
          <w:rFonts w:ascii="Times New Roman" w:hAnsi="Times New Roman" w:cs="Times New Roman"/>
        </w:rPr>
        <w:t xml:space="preserve"> </w:t>
      </w:r>
      <w:proofErr w:type="spellStart"/>
      <w:r w:rsidR="00753D62" w:rsidRPr="00705170">
        <w:rPr>
          <w:rFonts w:ascii="Times New Roman" w:hAnsi="Times New Roman" w:cs="Times New Roman"/>
        </w:rPr>
        <w:t>uncertainty</w:t>
      </w:r>
      <w:proofErr w:type="spellEnd"/>
      <w:r w:rsidR="00753D62" w:rsidRPr="00705170">
        <w:rPr>
          <w:rFonts w:ascii="Times New Roman" w:hAnsi="Times New Roman" w:cs="Times New Roman"/>
        </w:rPr>
        <w:t xml:space="preserve"> </w:t>
      </w:r>
      <w:proofErr w:type="spellStart"/>
      <w:r w:rsidR="00753D62" w:rsidRPr="00705170">
        <w:rPr>
          <w:rFonts w:ascii="Times New Roman" w:hAnsi="Times New Roman" w:cs="Times New Roman"/>
        </w:rPr>
        <w:t>concerning</w:t>
      </w:r>
      <w:proofErr w:type="spellEnd"/>
      <w:r w:rsidR="00753D62" w:rsidRPr="00705170">
        <w:rPr>
          <w:rFonts w:ascii="Times New Roman" w:hAnsi="Times New Roman" w:cs="Times New Roman"/>
        </w:rPr>
        <w:t xml:space="preserve"> </w:t>
      </w:r>
      <w:proofErr w:type="spellStart"/>
      <w:r w:rsidR="00753D62" w:rsidRPr="00705170">
        <w:rPr>
          <w:rFonts w:ascii="Times New Roman" w:hAnsi="Times New Roman" w:cs="Times New Roman"/>
        </w:rPr>
        <w:t>the</w:t>
      </w:r>
      <w:proofErr w:type="spellEnd"/>
      <w:r w:rsidR="00753D62" w:rsidRPr="00705170">
        <w:rPr>
          <w:rFonts w:ascii="Times New Roman" w:hAnsi="Times New Roman" w:cs="Times New Roman"/>
        </w:rPr>
        <w:t xml:space="preserve"> </w:t>
      </w:r>
      <w:proofErr w:type="spellStart"/>
      <w:r w:rsidR="00753D62" w:rsidRPr="00705170">
        <w:rPr>
          <w:rFonts w:ascii="Times New Roman" w:hAnsi="Times New Roman" w:cs="Times New Roman"/>
        </w:rPr>
        <w:t>fair</w:t>
      </w:r>
      <w:proofErr w:type="spellEnd"/>
      <w:r w:rsidR="00753D62" w:rsidRPr="00705170">
        <w:rPr>
          <w:rFonts w:ascii="Times New Roman" w:hAnsi="Times New Roman" w:cs="Times New Roman"/>
        </w:rPr>
        <w:t xml:space="preserve"> </w:t>
      </w:r>
      <w:proofErr w:type="spellStart"/>
      <w:r w:rsidR="00753D62" w:rsidRPr="00705170">
        <w:rPr>
          <w:rFonts w:ascii="Times New Roman" w:hAnsi="Times New Roman" w:cs="Times New Roman"/>
        </w:rPr>
        <w:t>value</w:t>
      </w:r>
      <w:proofErr w:type="spellEnd"/>
      <w:r w:rsidR="00753D62" w:rsidRPr="00705170">
        <w:rPr>
          <w:rFonts w:ascii="Times New Roman" w:hAnsi="Times New Roman" w:cs="Times New Roman"/>
        </w:rPr>
        <w:t xml:space="preserve"> of </w:t>
      </w:r>
      <w:proofErr w:type="spellStart"/>
      <w:r w:rsidR="00753D62" w:rsidRPr="00705170">
        <w:rPr>
          <w:rFonts w:ascii="Times New Roman" w:hAnsi="Times New Roman" w:cs="Times New Roman"/>
        </w:rPr>
        <w:t>the</w:t>
      </w:r>
      <w:proofErr w:type="spellEnd"/>
      <w:r w:rsidR="00753D62" w:rsidRPr="00705170">
        <w:rPr>
          <w:rFonts w:ascii="Times New Roman" w:hAnsi="Times New Roman" w:cs="Times New Roman"/>
        </w:rPr>
        <w:t xml:space="preserve"> </w:t>
      </w:r>
      <w:proofErr w:type="spellStart"/>
      <w:r w:rsidR="00753D62" w:rsidRPr="00705170">
        <w:rPr>
          <w:rFonts w:ascii="Times New Roman" w:hAnsi="Times New Roman" w:cs="Times New Roman"/>
        </w:rPr>
        <w:t>affected</w:t>
      </w:r>
      <w:proofErr w:type="spellEnd"/>
      <w:r w:rsidR="00753D62" w:rsidRPr="00705170">
        <w:rPr>
          <w:rFonts w:ascii="Times New Roman" w:hAnsi="Times New Roman" w:cs="Times New Roman"/>
        </w:rPr>
        <w:t xml:space="preserve"> </w:t>
      </w:r>
      <w:proofErr w:type="spellStart"/>
      <w:r w:rsidR="00753D62" w:rsidRPr="00705170">
        <w:rPr>
          <w:rFonts w:ascii="Times New Roman" w:hAnsi="Times New Roman" w:cs="Times New Roman"/>
        </w:rPr>
        <w:t>shares</w:t>
      </w:r>
      <w:proofErr w:type="spellEnd"/>
      <w:r w:rsidR="00753D62" w:rsidRPr="00705170">
        <w:rPr>
          <w:rFonts w:ascii="Times New Roman" w:hAnsi="Times New Roman" w:cs="Times New Roman"/>
        </w:rPr>
        <w:t xml:space="preserve"> </w:t>
      </w:r>
      <w:proofErr w:type="spellStart"/>
      <w:r w:rsidR="00D21BDC" w:rsidRPr="00705170">
        <w:rPr>
          <w:rFonts w:ascii="Times New Roman" w:hAnsi="Times New Roman" w:cs="Times New Roman"/>
        </w:rPr>
        <w:t>that</w:t>
      </w:r>
      <w:proofErr w:type="spellEnd"/>
      <w:r w:rsidR="00D21BDC" w:rsidRPr="00705170">
        <w:rPr>
          <w:rFonts w:ascii="Times New Roman" w:hAnsi="Times New Roman" w:cs="Times New Roman"/>
        </w:rPr>
        <w:t xml:space="preserve"> </w:t>
      </w:r>
      <w:proofErr w:type="spellStart"/>
      <w:r w:rsidR="00C7005E" w:rsidRPr="00705170">
        <w:rPr>
          <w:rFonts w:ascii="Times New Roman" w:hAnsi="Times New Roman" w:cs="Times New Roman"/>
        </w:rPr>
        <w:t>caus</w:t>
      </w:r>
      <w:r w:rsidR="00D21BDC" w:rsidRPr="00705170">
        <w:rPr>
          <w:rFonts w:ascii="Times New Roman" w:hAnsi="Times New Roman" w:cs="Times New Roman"/>
        </w:rPr>
        <w:t>es</w:t>
      </w:r>
      <w:proofErr w:type="spellEnd"/>
      <w:r w:rsidR="00267CD9" w:rsidRPr="00705170">
        <w:rPr>
          <w:rFonts w:ascii="Times New Roman" w:hAnsi="Times New Roman" w:cs="Times New Roman"/>
        </w:rPr>
        <w:t xml:space="preserve"> </w:t>
      </w:r>
      <w:proofErr w:type="spellStart"/>
      <w:r w:rsidR="00267CD9" w:rsidRPr="00705170">
        <w:rPr>
          <w:rFonts w:ascii="Times New Roman" w:hAnsi="Times New Roman" w:cs="Times New Roman"/>
        </w:rPr>
        <w:t>reasonable</w:t>
      </w:r>
      <w:proofErr w:type="spellEnd"/>
      <w:r w:rsidR="00267CD9" w:rsidRPr="00705170">
        <w:rPr>
          <w:rFonts w:ascii="Times New Roman" w:hAnsi="Times New Roman" w:cs="Times New Roman"/>
        </w:rPr>
        <w:t xml:space="preserve"> </w:t>
      </w:r>
      <w:proofErr w:type="spellStart"/>
      <w:r w:rsidR="00267CD9" w:rsidRPr="00705170">
        <w:rPr>
          <w:rFonts w:ascii="Times New Roman" w:hAnsi="Times New Roman" w:cs="Times New Roman"/>
        </w:rPr>
        <w:t>persons</w:t>
      </w:r>
      <w:proofErr w:type="spellEnd"/>
      <w:r w:rsidR="00267CD9" w:rsidRPr="00705170">
        <w:rPr>
          <w:rFonts w:ascii="Times New Roman" w:hAnsi="Times New Roman" w:cs="Times New Roman"/>
        </w:rPr>
        <w:t xml:space="preserve"> </w:t>
      </w:r>
      <w:proofErr w:type="spellStart"/>
      <w:r w:rsidR="00267CD9" w:rsidRPr="00705170">
        <w:rPr>
          <w:rFonts w:ascii="Times New Roman" w:hAnsi="Times New Roman" w:cs="Times New Roman"/>
        </w:rPr>
        <w:t>to</w:t>
      </w:r>
      <w:proofErr w:type="spellEnd"/>
      <w:r w:rsidR="00267CD9" w:rsidRPr="00705170">
        <w:rPr>
          <w:rFonts w:ascii="Times New Roman" w:hAnsi="Times New Roman" w:cs="Times New Roman"/>
        </w:rPr>
        <w:t xml:space="preserve"> </w:t>
      </w:r>
      <w:proofErr w:type="spellStart"/>
      <w:r w:rsidR="00267CD9" w:rsidRPr="00705170">
        <w:rPr>
          <w:rFonts w:ascii="Times New Roman" w:hAnsi="Times New Roman" w:cs="Times New Roman"/>
        </w:rPr>
        <w:t>differ</w:t>
      </w:r>
      <w:proofErr w:type="spellEnd"/>
      <w:r w:rsidR="00267CD9" w:rsidRPr="00705170">
        <w:rPr>
          <w:rFonts w:ascii="Times New Roman" w:hAnsi="Times New Roman" w:cs="Times New Roman"/>
        </w:rPr>
        <w:t xml:space="preserve"> </w:t>
      </w:r>
      <w:proofErr w:type="spellStart"/>
      <w:r w:rsidR="00267CD9" w:rsidRPr="00705170">
        <w:rPr>
          <w:rFonts w:ascii="Times New Roman" w:hAnsi="Times New Roman" w:cs="Times New Roman"/>
        </w:rPr>
        <w:t>about</w:t>
      </w:r>
      <w:proofErr w:type="spellEnd"/>
      <w:r w:rsidR="00267CD9" w:rsidRPr="00705170">
        <w:rPr>
          <w:rFonts w:ascii="Times New Roman" w:hAnsi="Times New Roman" w:cs="Times New Roman"/>
        </w:rPr>
        <w:t xml:space="preserve"> </w:t>
      </w:r>
      <w:proofErr w:type="spellStart"/>
      <w:r w:rsidR="00267CD9" w:rsidRPr="00705170">
        <w:rPr>
          <w:rFonts w:ascii="Times New Roman" w:hAnsi="Times New Roman" w:cs="Times New Roman"/>
        </w:rPr>
        <w:t>the</w:t>
      </w:r>
      <w:proofErr w:type="spellEnd"/>
      <w:r w:rsidR="00267CD9" w:rsidRPr="00705170">
        <w:rPr>
          <w:rFonts w:ascii="Times New Roman" w:hAnsi="Times New Roman" w:cs="Times New Roman"/>
        </w:rPr>
        <w:t xml:space="preserve"> </w:t>
      </w:r>
      <w:proofErr w:type="spellStart"/>
      <w:r w:rsidR="00267CD9" w:rsidRPr="00705170">
        <w:rPr>
          <w:rFonts w:ascii="Times New Roman" w:hAnsi="Times New Roman" w:cs="Times New Roman"/>
        </w:rPr>
        <w:t>fairness</w:t>
      </w:r>
      <w:proofErr w:type="spellEnd"/>
      <w:r w:rsidR="00267CD9" w:rsidRPr="00705170">
        <w:rPr>
          <w:rFonts w:ascii="Times New Roman" w:hAnsi="Times New Roman" w:cs="Times New Roman"/>
        </w:rPr>
        <w:t xml:space="preserve"> of </w:t>
      </w:r>
      <w:proofErr w:type="spellStart"/>
      <w:r w:rsidR="00267CD9" w:rsidRPr="00705170">
        <w:rPr>
          <w:rFonts w:ascii="Times New Roman" w:hAnsi="Times New Roman" w:cs="Times New Roman"/>
        </w:rPr>
        <w:t>the</w:t>
      </w:r>
      <w:proofErr w:type="spellEnd"/>
      <w:r w:rsidR="00267CD9" w:rsidRPr="00705170">
        <w:rPr>
          <w:rFonts w:ascii="Times New Roman" w:hAnsi="Times New Roman" w:cs="Times New Roman"/>
        </w:rPr>
        <w:t xml:space="preserve"> </w:t>
      </w:r>
      <w:proofErr w:type="spellStart"/>
      <w:r w:rsidR="00267CD9" w:rsidRPr="00705170">
        <w:rPr>
          <w:rFonts w:ascii="Times New Roman" w:hAnsi="Times New Roman" w:cs="Times New Roman"/>
        </w:rPr>
        <w:t>terms</w:t>
      </w:r>
      <w:proofErr w:type="spellEnd"/>
      <w:r w:rsidR="00267CD9" w:rsidRPr="00705170">
        <w:rPr>
          <w:rFonts w:ascii="Times New Roman" w:hAnsi="Times New Roman" w:cs="Times New Roman"/>
        </w:rPr>
        <w:t xml:space="preserve"> of </w:t>
      </w:r>
      <w:proofErr w:type="spellStart"/>
      <w:r w:rsidR="00267CD9" w:rsidRPr="00705170">
        <w:rPr>
          <w:rFonts w:ascii="Times New Roman" w:hAnsi="Times New Roman" w:cs="Times New Roman"/>
        </w:rPr>
        <w:t>the</w:t>
      </w:r>
      <w:proofErr w:type="spellEnd"/>
      <w:r w:rsidR="00267CD9" w:rsidRPr="00705170">
        <w:rPr>
          <w:rFonts w:ascii="Times New Roman" w:hAnsi="Times New Roman" w:cs="Times New Roman"/>
        </w:rPr>
        <w:t xml:space="preserve"> </w:t>
      </w:r>
      <w:proofErr w:type="spellStart"/>
      <w:r w:rsidR="00267CD9" w:rsidRPr="00705170">
        <w:rPr>
          <w:rFonts w:ascii="Times New Roman" w:hAnsi="Times New Roman" w:cs="Times New Roman"/>
        </w:rPr>
        <w:t>corporate</w:t>
      </w:r>
      <w:proofErr w:type="spellEnd"/>
      <w:r w:rsidR="00267CD9" w:rsidRPr="00705170">
        <w:rPr>
          <w:rFonts w:ascii="Times New Roman" w:hAnsi="Times New Roman" w:cs="Times New Roman"/>
        </w:rPr>
        <w:t xml:space="preserve"> </w:t>
      </w:r>
      <w:proofErr w:type="spellStart"/>
      <w:r w:rsidR="00267CD9" w:rsidRPr="00705170">
        <w:rPr>
          <w:rFonts w:ascii="Times New Roman" w:hAnsi="Times New Roman" w:cs="Times New Roman"/>
        </w:rPr>
        <w:t>action</w:t>
      </w:r>
      <w:proofErr w:type="spellEnd"/>
      <w:r w:rsidR="00753D62" w:rsidRPr="00705170">
        <w:rPr>
          <w:rStyle w:val="DipnotBavurusu"/>
          <w:rFonts w:ascii="Times New Roman" w:hAnsi="Times New Roman" w:cs="Times New Roman"/>
        </w:rPr>
        <w:footnoteReference w:id="269"/>
      </w:r>
      <w:r w:rsidR="00753D62" w:rsidRPr="00705170">
        <w:rPr>
          <w:rFonts w:ascii="Times New Roman" w:hAnsi="Times New Roman" w:cs="Times New Roman"/>
        </w:rPr>
        <w:t>.</w:t>
      </w:r>
      <w:r w:rsidR="00BA26A9" w:rsidRPr="00705170">
        <w:rPr>
          <w:rFonts w:ascii="Times New Roman" w:hAnsi="Times New Roman" w:cs="Times New Roman"/>
        </w:rPr>
        <w:t xml:space="preserve"> </w:t>
      </w:r>
      <w:proofErr w:type="spellStart"/>
      <w:r w:rsidR="00753D62" w:rsidRPr="00705170">
        <w:rPr>
          <w:rFonts w:ascii="Times New Roman" w:hAnsi="Times New Roman" w:cs="Times New Roman"/>
        </w:rPr>
        <w:t>In</w:t>
      </w:r>
      <w:proofErr w:type="spellEnd"/>
      <w:r w:rsidR="00753D62" w:rsidRPr="00705170">
        <w:rPr>
          <w:rFonts w:ascii="Times New Roman" w:hAnsi="Times New Roman" w:cs="Times New Roman"/>
        </w:rPr>
        <w:t xml:space="preserve"> </w:t>
      </w:r>
      <w:proofErr w:type="spellStart"/>
      <w:r w:rsidR="00753D62" w:rsidRPr="00705170">
        <w:rPr>
          <w:rFonts w:ascii="Times New Roman" w:hAnsi="Times New Roman" w:cs="Times New Roman"/>
        </w:rPr>
        <w:t>order</w:t>
      </w:r>
      <w:proofErr w:type="spellEnd"/>
      <w:r w:rsidR="00753D62"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r w:rsidR="00E24D08" w:rsidRPr="00705170">
        <w:rPr>
          <w:rFonts w:ascii="Times New Roman" w:hAnsi="Times New Roman" w:cs="Times New Roman"/>
        </w:rPr>
        <w:t xml:space="preserve">minimize </w:t>
      </w:r>
      <w:proofErr w:type="spellStart"/>
      <w:r w:rsidR="00E24D08" w:rsidRPr="00705170">
        <w:rPr>
          <w:rFonts w:ascii="Times New Roman" w:hAnsi="Times New Roman" w:cs="Times New Roman"/>
        </w:rPr>
        <w:t>the</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negative</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affects</w:t>
      </w:r>
      <w:proofErr w:type="spellEnd"/>
      <w:r w:rsidR="00E24D08" w:rsidRPr="00705170">
        <w:rPr>
          <w:rFonts w:ascii="Times New Roman" w:hAnsi="Times New Roman" w:cs="Times New Roman"/>
        </w:rPr>
        <w:t xml:space="preserve"> of </w:t>
      </w:r>
      <w:proofErr w:type="spellStart"/>
      <w:r w:rsidR="00E24D08" w:rsidRPr="00705170">
        <w:rPr>
          <w:rFonts w:ascii="Times New Roman" w:hAnsi="Times New Roman" w:cs="Times New Roman"/>
        </w:rPr>
        <w:t>the</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changes</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for</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minority</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shareholders</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and</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opportunistic</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behaviours</w:t>
      </w:r>
      <w:proofErr w:type="spellEnd"/>
      <w:r w:rsidR="00E24D08" w:rsidRPr="00705170">
        <w:rPr>
          <w:rFonts w:ascii="Times New Roman" w:hAnsi="Times New Roman" w:cs="Times New Roman"/>
        </w:rPr>
        <w:t xml:space="preserve"> of </w:t>
      </w:r>
      <w:proofErr w:type="spellStart"/>
      <w:r w:rsidR="00E24D08" w:rsidRPr="00705170">
        <w:rPr>
          <w:rFonts w:ascii="Times New Roman" w:hAnsi="Times New Roman" w:cs="Times New Roman"/>
        </w:rPr>
        <w:t>those</w:t>
      </w:r>
      <w:proofErr w:type="spellEnd"/>
      <w:r w:rsidR="00E24D08" w:rsidRPr="00705170">
        <w:rPr>
          <w:rFonts w:ascii="Times New Roman" w:hAnsi="Times New Roman" w:cs="Times New Roman"/>
        </w:rPr>
        <w:t xml:space="preserve"> in </w:t>
      </w:r>
      <w:proofErr w:type="spellStart"/>
      <w:r w:rsidR="00E24D08" w:rsidRPr="00705170">
        <w:rPr>
          <w:rFonts w:ascii="Times New Roman" w:hAnsi="Times New Roman" w:cs="Times New Roman"/>
        </w:rPr>
        <w:t>cont</w:t>
      </w:r>
      <w:r w:rsidRPr="00705170">
        <w:rPr>
          <w:rFonts w:ascii="Times New Roman" w:hAnsi="Times New Roman" w:cs="Times New Roman"/>
        </w:rPr>
        <w:t>rol</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00753D62"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c</w:t>
      </w:r>
      <w:r w:rsidR="00E24D08" w:rsidRPr="00705170">
        <w:rPr>
          <w:rFonts w:ascii="Times New Roman" w:hAnsi="Times New Roman" w:cs="Times New Roman"/>
        </w:rPr>
        <w:t>orporate</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law</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includes</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some</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dissenters</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rights</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that</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are</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triggered</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when</w:t>
      </w:r>
      <w:proofErr w:type="spellEnd"/>
      <w:r w:rsidR="00E24D08" w:rsidRPr="00705170">
        <w:rPr>
          <w:rFonts w:ascii="Times New Roman" w:hAnsi="Times New Roman" w:cs="Times New Roman"/>
        </w:rPr>
        <w:t xml:space="preserve"> a </w:t>
      </w:r>
      <w:proofErr w:type="spellStart"/>
      <w:r w:rsidR="00E24D08" w:rsidRPr="00705170">
        <w:rPr>
          <w:rFonts w:ascii="Times New Roman" w:hAnsi="Times New Roman" w:cs="Times New Roman"/>
        </w:rPr>
        <w:t>fundamental</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change</w:t>
      </w:r>
      <w:proofErr w:type="spellEnd"/>
      <w:r w:rsidR="00E24D08" w:rsidRPr="00705170">
        <w:rPr>
          <w:rFonts w:ascii="Times New Roman" w:hAnsi="Times New Roman" w:cs="Times New Roman"/>
        </w:rPr>
        <w:t xml:space="preserve"> is </w:t>
      </w:r>
      <w:proofErr w:type="spellStart"/>
      <w:r w:rsidR="00E24D08" w:rsidRPr="00705170">
        <w:rPr>
          <w:rFonts w:ascii="Times New Roman" w:hAnsi="Times New Roman" w:cs="Times New Roman"/>
        </w:rPr>
        <w:t>taking</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place</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Statutes</w:t>
      </w:r>
      <w:proofErr w:type="spellEnd"/>
      <w:r w:rsidR="00E24D08" w:rsidRPr="00705170">
        <w:rPr>
          <w:rFonts w:ascii="Times New Roman" w:hAnsi="Times New Roman" w:cs="Times New Roman"/>
        </w:rPr>
        <w:t xml:space="preserve"> </w:t>
      </w:r>
      <w:proofErr w:type="spellStart"/>
      <w:r w:rsidR="00473E16" w:rsidRPr="00705170">
        <w:rPr>
          <w:rFonts w:ascii="Times New Roman" w:hAnsi="Times New Roman" w:cs="Times New Roman"/>
        </w:rPr>
        <w:t>enforce</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the</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dissenters</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rights</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by</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requiring</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special</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quorum</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both</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for</w:t>
      </w:r>
      <w:proofErr w:type="spellEnd"/>
      <w:r w:rsidR="00E24D08" w:rsidRPr="00705170">
        <w:rPr>
          <w:rFonts w:ascii="Times New Roman" w:hAnsi="Times New Roman" w:cs="Times New Roman"/>
        </w:rPr>
        <w:t xml:space="preserve"> board of </w:t>
      </w:r>
      <w:proofErr w:type="spellStart"/>
      <w:r w:rsidR="00E24D08" w:rsidRPr="00705170">
        <w:rPr>
          <w:rFonts w:ascii="Times New Roman" w:hAnsi="Times New Roman" w:cs="Times New Roman"/>
        </w:rPr>
        <w:t>directors</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and</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shareholders</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for</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approval</w:t>
      </w:r>
      <w:proofErr w:type="spellEnd"/>
      <w:r w:rsidR="00E24D08" w:rsidRPr="00705170">
        <w:rPr>
          <w:rFonts w:ascii="Times New Roman" w:hAnsi="Times New Roman" w:cs="Times New Roman"/>
        </w:rPr>
        <w:t xml:space="preserve"> of </w:t>
      </w:r>
      <w:proofErr w:type="spellStart"/>
      <w:r w:rsidR="00E24D08" w:rsidRPr="00705170">
        <w:rPr>
          <w:rFonts w:ascii="Times New Roman" w:hAnsi="Times New Roman" w:cs="Times New Roman"/>
        </w:rPr>
        <w:t>the</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changes</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or</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authorization</w:t>
      </w:r>
      <w:proofErr w:type="spellEnd"/>
      <w:r w:rsidR="00E24D08" w:rsidRPr="00705170">
        <w:rPr>
          <w:rFonts w:ascii="Times New Roman" w:hAnsi="Times New Roman" w:cs="Times New Roman"/>
        </w:rPr>
        <w:t xml:space="preserve"> of </w:t>
      </w:r>
      <w:proofErr w:type="spellStart"/>
      <w:r w:rsidR="00E24D08" w:rsidRPr="00705170">
        <w:rPr>
          <w:rFonts w:ascii="Times New Roman" w:hAnsi="Times New Roman" w:cs="Times New Roman"/>
        </w:rPr>
        <w:t>the</w:t>
      </w:r>
      <w:proofErr w:type="spellEnd"/>
      <w:r w:rsidR="009A34E3" w:rsidRPr="00705170">
        <w:rPr>
          <w:rFonts w:ascii="Times New Roman" w:hAnsi="Times New Roman" w:cs="Times New Roman"/>
        </w:rPr>
        <w:t xml:space="preserve"> board </w:t>
      </w:r>
      <w:proofErr w:type="spellStart"/>
      <w:r w:rsidR="009A34E3" w:rsidRPr="00705170">
        <w:rPr>
          <w:rFonts w:ascii="Times New Roman" w:hAnsi="Times New Roman" w:cs="Times New Roman"/>
        </w:rPr>
        <w:t>for</w:t>
      </w:r>
      <w:proofErr w:type="spellEnd"/>
      <w:r w:rsidR="009A34E3" w:rsidRPr="00705170">
        <w:rPr>
          <w:rFonts w:ascii="Times New Roman" w:hAnsi="Times New Roman" w:cs="Times New Roman"/>
        </w:rPr>
        <w:t xml:space="preserve"> </w:t>
      </w:r>
      <w:proofErr w:type="spellStart"/>
      <w:r w:rsidR="009A34E3" w:rsidRPr="00705170">
        <w:rPr>
          <w:rFonts w:ascii="Times New Roman" w:hAnsi="Times New Roman" w:cs="Times New Roman"/>
        </w:rPr>
        <w:t>the</w:t>
      </w:r>
      <w:proofErr w:type="spellEnd"/>
      <w:r w:rsidR="009A34E3" w:rsidRPr="00705170">
        <w:rPr>
          <w:rFonts w:ascii="Times New Roman" w:hAnsi="Times New Roman" w:cs="Times New Roman"/>
        </w:rPr>
        <w:t xml:space="preserve"> </w:t>
      </w:r>
      <w:proofErr w:type="spellStart"/>
      <w:r w:rsidR="009A34E3" w:rsidRPr="00705170">
        <w:rPr>
          <w:rFonts w:ascii="Times New Roman" w:hAnsi="Times New Roman" w:cs="Times New Roman"/>
        </w:rPr>
        <w:t>transaction</w:t>
      </w:r>
      <w:proofErr w:type="spellEnd"/>
      <w:r w:rsidR="009A34E3" w:rsidRPr="00705170">
        <w:rPr>
          <w:rFonts w:ascii="Times New Roman" w:hAnsi="Times New Roman" w:cs="Times New Roman"/>
        </w:rPr>
        <w:t xml:space="preserve">, </w:t>
      </w:r>
      <w:proofErr w:type="spellStart"/>
      <w:r w:rsidR="009A34E3" w:rsidRPr="00705170">
        <w:rPr>
          <w:rFonts w:ascii="Times New Roman" w:hAnsi="Times New Roman" w:cs="Times New Roman"/>
        </w:rPr>
        <w:t>sepa</w:t>
      </w:r>
      <w:r w:rsidR="00E24D08" w:rsidRPr="00705170">
        <w:rPr>
          <w:rFonts w:ascii="Times New Roman" w:hAnsi="Times New Roman" w:cs="Times New Roman"/>
        </w:rPr>
        <w:t>rate</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class</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or</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group</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voting</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for</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changes</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specifically</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effecting</w:t>
      </w:r>
      <w:proofErr w:type="spellEnd"/>
      <w:r w:rsidR="00E24D08" w:rsidRPr="00705170">
        <w:rPr>
          <w:rFonts w:ascii="Times New Roman" w:hAnsi="Times New Roman" w:cs="Times New Roman"/>
        </w:rPr>
        <w:t xml:space="preserve"> </w:t>
      </w:r>
      <w:proofErr w:type="spellStart"/>
      <w:r w:rsidR="00E24D08" w:rsidRPr="00705170">
        <w:rPr>
          <w:rFonts w:ascii="Times New Roman" w:hAnsi="Times New Roman" w:cs="Times New Roman"/>
        </w:rPr>
        <w:t>the</w:t>
      </w:r>
      <w:proofErr w:type="spellEnd"/>
      <w:r w:rsidR="00E24D08" w:rsidRPr="00705170">
        <w:rPr>
          <w:rFonts w:ascii="Times New Roman" w:hAnsi="Times New Roman" w:cs="Times New Roman"/>
        </w:rPr>
        <w:t xml:space="preserve"> a </w:t>
      </w:r>
      <w:proofErr w:type="spellStart"/>
      <w:r w:rsidR="00E24D08" w:rsidRPr="00705170">
        <w:rPr>
          <w:rFonts w:ascii="Times New Roman" w:hAnsi="Times New Roman" w:cs="Times New Roman"/>
        </w:rPr>
        <w:t>group</w:t>
      </w:r>
      <w:proofErr w:type="spellEnd"/>
      <w:r w:rsidR="00E24D08" w:rsidRPr="00705170">
        <w:rPr>
          <w:rFonts w:ascii="Times New Roman" w:hAnsi="Times New Roman" w:cs="Times New Roman"/>
        </w:rPr>
        <w:t xml:space="preserve"> of </w:t>
      </w:r>
      <w:proofErr w:type="spellStart"/>
      <w:r w:rsidR="00E24D08" w:rsidRPr="00705170">
        <w:rPr>
          <w:rFonts w:ascii="Times New Roman" w:hAnsi="Times New Roman" w:cs="Times New Roman"/>
        </w:rPr>
        <w:t>shareholders</w:t>
      </w:r>
      <w:proofErr w:type="spellEnd"/>
      <w:r w:rsidR="00E24D08" w:rsidRPr="00705170">
        <w:rPr>
          <w:rFonts w:ascii="Times New Roman" w:hAnsi="Times New Roman" w:cs="Times New Roman"/>
        </w:rPr>
        <w:t xml:space="preserve">, </w:t>
      </w:r>
      <w:proofErr w:type="spellStart"/>
      <w:r w:rsidR="00FC31FC" w:rsidRPr="00705170">
        <w:rPr>
          <w:rFonts w:ascii="Times New Roman" w:hAnsi="Times New Roman" w:cs="Times New Roman"/>
        </w:rPr>
        <w:t>or</w:t>
      </w:r>
      <w:proofErr w:type="spellEnd"/>
      <w:r w:rsidR="00FC31FC" w:rsidRPr="00705170">
        <w:rPr>
          <w:rFonts w:ascii="Times New Roman" w:hAnsi="Times New Roman" w:cs="Times New Roman"/>
        </w:rPr>
        <w:t xml:space="preserve"> </w:t>
      </w:r>
      <w:proofErr w:type="spellStart"/>
      <w:r w:rsidR="00473E16" w:rsidRPr="00705170">
        <w:rPr>
          <w:rFonts w:ascii="Times New Roman" w:hAnsi="Times New Roman" w:cs="Times New Roman"/>
        </w:rPr>
        <w:t>giving</w:t>
      </w:r>
      <w:proofErr w:type="spellEnd"/>
      <w:r w:rsidR="00473E16" w:rsidRPr="00705170">
        <w:rPr>
          <w:rFonts w:ascii="Times New Roman" w:hAnsi="Times New Roman" w:cs="Times New Roman"/>
        </w:rPr>
        <w:t xml:space="preserve"> </w:t>
      </w:r>
      <w:proofErr w:type="spellStart"/>
      <w:r w:rsidR="00473E16" w:rsidRPr="00705170">
        <w:rPr>
          <w:rFonts w:ascii="Times New Roman" w:hAnsi="Times New Roman" w:cs="Times New Roman"/>
        </w:rPr>
        <w:t>appraisal</w:t>
      </w:r>
      <w:proofErr w:type="spellEnd"/>
      <w:r w:rsidR="00E24D08" w:rsidRPr="00705170">
        <w:rPr>
          <w:rFonts w:ascii="Times New Roman" w:hAnsi="Times New Roman" w:cs="Times New Roman"/>
        </w:rPr>
        <w:t xml:space="preserve"> </w:t>
      </w:r>
      <w:proofErr w:type="spellStart"/>
      <w:r w:rsidR="00473E16" w:rsidRPr="00705170">
        <w:rPr>
          <w:rFonts w:ascii="Times New Roman" w:hAnsi="Times New Roman" w:cs="Times New Roman"/>
        </w:rPr>
        <w:t>rights</w:t>
      </w:r>
      <w:proofErr w:type="spellEnd"/>
      <w:r w:rsidR="00473E16" w:rsidRPr="00705170">
        <w:rPr>
          <w:rFonts w:ascii="Times New Roman" w:hAnsi="Times New Roman" w:cs="Times New Roman"/>
        </w:rPr>
        <w:t xml:space="preserve"> in </w:t>
      </w:r>
      <w:proofErr w:type="spellStart"/>
      <w:r w:rsidR="00473E16" w:rsidRPr="00705170">
        <w:rPr>
          <w:rFonts w:ascii="Times New Roman" w:hAnsi="Times New Roman" w:cs="Times New Roman"/>
        </w:rPr>
        <w:t>some</w:t>
      </w:r>
      <w:proofErr w:type="spellEnd"/>
      <w:r w:rsidR="00473E16" w:rsidRPr="00705170">
        <w:rPr>
          <w:rFonts w:ascii="Times New Roman" w:hAnsi="Times New Roman" w:cs="Times New Roman"/>
        </w:rPr>
        <w:t xml:space="preserve"> </w:t>
      </w:r>
      <w:proofErr w:type="spellStart"/>
      <w:r w:rsidR="00473E16" w:rsidRPr="00705170">
        <w:rPr>
          <w:rFonts w:ascii="Times New Roman" w:hAnsi="Times New Roman" w:cs="Times New Roman"/>
        </w:rPr>
        <w:t>events</w:t>
      </w:r>
      <w:proofErr w:type="spellEnd"/>
      <w:r w:rsidR="00E24D08" w:rsidRPr="00705170">
        <w:rPr>
          <w:rStyle w:val="DipnotBavurusu"/>
          <w:rFonts w:ascii="Times New Roman" w:hAnsi="Times New Roman" w:cs="Times New Roman"/>
        </w:rPr>
        <w:footnoteReference w:id="270"/>
      </w:r>
      <w:r w:rsidR="00FC31FC" w:rsidRPr="00705170">
        <w:rPr>
          <w:rFonts w:ascii="Times New Roman" w:hAnsi="Times New Roman" w:cs="Times New Roman"/>
        </w:rPr>
        <w:t>.</w:t>
      </w:r>
      <w:r w:rsidR="00E24D08" w:rsidRPr="00705170">
        <w:rPr>
          <w:rFonts w:ascii="Times New Roman" w:hAnsi="Times New Roman" w:cs="Times New Roman"/>
        </w:rPr>
        <w:t xml:space="preserve"> </w:t>
      </w:r>
      <w:proofErr w:type="spellStart"/>
      <w:r w:rsidR="00417B38" w:rsidRPr="00705170">
        <w:rPr>
          <w:rFonts w:ascii="Times New Roman" w:hAnsi="Times New Roman" w:cs="Times New Roman"/>
        </w:rPr>
        <w:t>In</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this</w:t>
      </w:r>
      <w:proofErr w:type="spellEnd"/>
      <w:r w:rsidR="00417B38" w:rsidRPr="00705170">
        <w:rPr>
          <w:rFonts w:ascii="Times New Roman" w:hAnsi="Times New Roman" w:cs="Times New Roman"/>
        </w:rPr>
        <w:t xml:space="preserve"> sense, </w:t>
      </w:r>
      <w:proofErr w:type="spellStart"/>
      <w:r w:rsidR="00417B38" w:rsidRPr="00705170">
        <w:rPr>
          <w:rFonts w:ascii="Times New Roman" w:hAnsi="Times New Roman" w:cs="Times New Roman"/>
        </w:rPr>
        <w:t>fundamental</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corporate</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changes</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also</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represents</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one</w:t>
      </w:r>
      <w:proofErr w:type="spellEnd"/>
      <w:r w:rsidR="00417B38" w:rsidRPr="00705170">
        <w:rPr>
          <w:rFonts w:ascii="Times New Roman" w:hAnsi="Times New Roman" w:cs="Times New Roman"/>
        </w:rPr>
        <w:t xml:space="preserve"> of </w:t>
      </w:r>
      <w:proofErr w:type="spellStart"/>
      <w:r w:rsidR="00417B38" w:rsidRPr="00705170">
        <w:rPr>
          <w:rFonts w:ascii="Times New Roman" w:hAnsi="Times New Roman" w:cs="Times New Roman"/>
        </w:rPr>
        <w:t>the</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seldom</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limitations</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imposed</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by</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corporate</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law</w:t>
      </w:r>
      <w:proofErr w:type="spellEnd"/>
      <w:r w:rsidR="00417B38" w:rsidRPr="00705170">
        <w:rPr>
          <w:rFonts w:ascii="Times New Roman" w:hAnsi="Times New Roman" w:cs="Times New Roman"/>
        </w:rPr>
        <w:t xml:space="preserve"> on</w:t>
      </w:r>
      <w:r w:rsidR="009A34E3" w:rsidRPr="00705170">
        <w:rPr>
          <w:rFonts w:ascii="Times New Roman" w:hAnsi="Times New Roman" w:cs="Times New Roman"/>
        </w:rPr>
        <w:t xml:space="preserve"> </w:t>
      </w:r>
      <w:proofErr w:type="spellStart"/>
      <w:r w:rsidR="009A34E3" w:rsidRPr="00705170">
        <w:rPr>
          <w:rFonts w:ascii="Times New Roman" w:hAnsi="Times New Roman" w:cs="Times New Roman"/>
        </w:rPr>
        <w:t>the</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board</w:t>
      </w:r>
      <w:r w:rsidR="009A34E3" w:rsidRPr="00705170">
        <w:rPr>
          <w:rFonts w:ascii="Times New Roman" w:hAnsi="Times New Roman" w:cs="Times New Roman"/>
        </w:rPr>
        <w:t>’s</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discretion</w:t>
      </w:r>
      <w:proofErr w:type="spellEnd"/>
      <w:r w:rsidR="00417B38" w:rsidRPr="00705170">
        <w:rPr>
          <w:rStyle w:val="DipnotBavurusu"/>
          <w:rFonts w:ascii="Times New Roman" w:hAnsi="Times New Roman" w:cs="Times New Roman"/>
        </w:rPr>
        <w:footnoteReference w:id="271"/>
      </w:r>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Additional</w:t>
      </w:r>
      <w:r w:rsidR="009A34E3" w:rsidRPr="00705170">
        <w:rPr>
          <w:rFonts w:ascii="Times New Roman" w:hAnsi="Times New Roman" w:cs="Times New Roman"/>
        </w:rPr>
        <w:t>ly</w:t>
      </w:r>
      <w:proofErr w:type="spellEnd"/>
      <w:r w:rsidR="009A34E3" w:rsidRPr="00705170">
        <w:rPr>
          <w:rFonts w:ascii="Times New Roman" w:hAnsi="Times New Roman" w:cs="Times New Roman"/>
        </w:rPr>
        <w:t xml:space="preserve">, </w:t>
      </w:r>
      <w:proofErr w:type="spellStart"/>
      <w:r w:rsidR="009A34E3" w:rsidRPr="00705170">
        <w:rPr>
          <w:rFonts w:ascii="Times New Roman" w:hAnsi="Times New Roman" w:cs="Times New Roman"/>
        </w:rPr>
        <w:t>some</w:t>
      </w:r>
      <w:proofErr w:type="spellEnd"/>
      <w:r w:rsidR="009A34E3" w:rsidRPr="00705170">
        <w:rPr>
          <w:rFonts w:ascii="Times New Roman" w:hAnsi="Times New Roman" w:cs="Times New Roman"/>
        </w:rPr>
        <w:t xml:space="preserve"> </w:t>
      </w:r>
      <w:proofErr w:type="spellStart"/>
      <w:r w:rsidR="009A34E3" w:rsidRPr="00705170">
        <w:rPr>
          <w:rFonts w:ascii="Times New Roman" w:hAnsi="Times New Roman" w:cs="Times New Roman"/>
        </w:rPr>
        <w:t>detailed</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disclosure</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may</w:t>
      </w:r>
      <w:proofErr w:type="spellEnd"/>
      <w:r w:rsidR="00FC31FC" w:rsidRPr="00705170">
        <w:rPr>
          <w:rFonts w:ascii="Times New Roman" w:hAnsi="Times New Roman" w:cs="Times New Roman"/>
        </w:rPr>
        <w:t xml:space="preserve"> </w:t>
      </w:r>
      <w:proofErr w:type="spellStart"/>
      <w:r w:rsidR="00FC31FC" w:rsidRPr="00705170">
        <w:rPr>
          <w:rFonts w:ascii="Times New Roman" w:hAnsi="Times New Roman" w:cs="Times New Roman"/>
        </w:rPr>
        <w:t>also</w:t>
      </w:r>
      <w:proofErr w:type="spellEnd"/>
      <w:r w:rsidR="00FC31FC" w:rsidRPr="00705170">
        <w:rPr>
          <w:rFonts w:ascii="Times New Roman" w:hAnsi="Times New Roman" w:cs="Times New Roman"/>
        </w:rPr>
        <w:t xml:space="preserve"> be </w:t>
      </w:r>
      <w:proofErr w:type="spellStart"/>
      <w:r w:rsidR="00FC31FC" w:rsidRPr="00705170">
        <w:rPr>
          <w:rFonts w:ascii="Times New Roman" w:hAnsi="Times New Roman" w:cs="Times New Roman"/>
        </w:rPr>
        <w:t>required</w:t>
      </w:r>
      <w:proofErr w:type="spellEnd"/>
      <w:r w:rsidR="00FC31FC" w:rsidRPr="00705170">
        <w:rPr>
          <w:rFonts w:ascii="Times New Roman" w:hAnsi="Times New Roman" w:cs="Times New Roman"/>
        </w:rPr>
        <w:t xml:space="preserve">. </w:t>
      </w:r>
    </w:p>
    <w:p w14:paraId="3450CC4D" w14:textId="5B3A7316" w:rsidR="00A335E7" w:rsidRPr="00705170" w:rsidRDefault="00D05672" w:rsidP="00D05672">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00417B38" w:rsidRPr="00705170">
        <w:rPr>
          <w:rFonts w:ascii="Times New Roman" w:hAnsi="Times New Roman" w:cs="Times New Roman"/>
        </w:rPr>
        <w:t>regulates</w:t>
      </w:r>
      <w:proofErr w:type="spellEnd"/>
      <w:r w:rsidR="00C9675E" w:rsidRPr="00705170">
        <w:rPr>
          <w:rFonts w:ascii="Times New Roman" w:hAnsi="Times New Roman" w:cs="Times New Roman"/>
        </w:rPr>
        <w:t xml:space="preserve"> </w:t>
      </w:r>
      <w:proofErr w:type="spellStart"/>
      <w:r w:rsidR="00C9675E" w:rsidRPr="00705170">
        <w:rPr>
          <w:rFonts w:ascii="Times New Roman" w:hAnsi="Times New Roman" w:cs="Times New Roman"/>
        </w:rPr>
        <w:t>fundamental</w:t>
      </w:r>
      <w:proofErr w:type="spellEnd"/>
      <w:r w:rsidR="00C9675E" w:rsidRPr="00705170">
        <w:rPr>
          <w:rFonts w:ascii="Times New Roman" w:hAnsi="Times New Roman" w:cs="Times New Roman"/>
        </w:rPr>
        <w:t xml:space="preserve"> </w:t>
      </w:r>
      <w:proofErr w:type="spellStart"/>
      <w:r w:rsidR="00C9675E" w:rsidRPr="00705170">
        <w:rPr>
          <w:rFonts w:ascii="Times New Roman" w:hAnsi="Times New Roman" w:cs="Times New Roman"/>
        </w:rPr>
        <w:t>corporate</w:t>
      </w:r>
      <w:proofErr w:type="spellEnd"/>
      <w:r w:rsidR="00C9675E" w:rsidRPr="00705170">
        <w:rPr>
          <w:rFonts w:ascii="Times New Roman" w:hAnsi="Times New Roman" w:cs="Times New Roman"/>
        </w:rPr>
        <w:t xml:space="preserve"> </w:t>
      </w:r>
      <w:proofErr w:type="spellStart"/>
      <w:r w:rsidR="00C9675E" w:rsidRPr="00705170">
        <w:rPr>
          <w:rFonts w:ascii="Times New Roman" w:hAnsi="Times New Roman" w:cs="Times New Roman"/>
        </w:rPr>
        <w:t>changes</w:t>
      </w:r>
      <w:proofErr w:type="spellEnd"/>
      <w:r w:rsidR="00C9675E" w:rsidRPr="00705170">
        <w:rPr>
          <w:rFonts w:ascii="Times New Roman" w:hAnsi="Times New Roman" w:cs="Times New Roman"/>
        </w:rPr>
        <w:t xml:space="preserve"> in </w:t>
      </w:r>
      <w:proofErr w:type="spellStart"/>
      <w:r w:rsidR="00C9675E" w:rsidRPr="00705170">
        <w:rPr>
          <w:rFonts w:ascii="Times New Roman" w:hAnsi="Times New Roman" w:cs="Times New Roman"/>
        </w:rPr>
        <w:t>publicly</w:t>
      </w:r>
      <w:proofErr w:type="spellEnd"/>
      <w:r w:rsidR="00C9675E" w:rsidRPr="00705170">
        <w:rPr>
          <w:rFonts w:ascii="Times New Roman" w:hAnsi="Times New Roman" w:cs="Times New Roman"/>
        </w:rPr>
        <w:t xml:space="preserve"> </w:t>
      </w:r>
      <w:proofErr w:type="spellStart"/>
      <w:r w:rsidR="00C9675E" w:rsidRPr="00705170">
        <w:rPr>
          <w:rFonts w:ascii="Times New Roman" w:hAnsi="Times New Roman" w:cs="Times New Roman"/>
        </w:rPr>
        <w:t>traded</w:t>
      </w:r>
      <w:proofErr w:type="spellEnd"/>
      <w:r w:rsidR="00C9675E" w:rsidRPr="00705170">
        <w:rPr>
          <w:rFonts w:ascii="Times New Roman" w:hAnsi="Times New Roman" w:cs="Times New Roman"/>
        </w:rPr>
        <w:t xml:space="preserve"> </w:t>
      </w:r>
      <w:proofErr w:type="spellStart"/>
      <w:r w:rsidR="00C9675E" w:rsidRPr="00705170">
        <w:rPr>
          <w:rFonts w:ascii="Times New Roman" w:hAnsi="Times New Roman" w:cs="Times New Roman"/>
        </w:rPr>
        <w:t>corpora</w:t>
      </w:r>
      <w:r w:rsidR="00417B38" w:rsidRPr="00705170">
        <w:rPr>
          <w:rFonts w:ascii="Times New Roman" w:hAnsi="Times New Roman" w:cs="Times New Roman"/>
        </w:rPr>
        <w:t>tions</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under</w:t>
      </w:r>
      <w:proofErr w:type="spellEnd"/>
      <w:r w:rsidR="00417B38" w:rsidRPr="00705170">
        <w:rPr>
          <w:rFonts w:ascii="Times New Roman" w:hAnsi="Times New Roman" w:cs="Times New Roman"/>
        </w:rPr>
        <w:t xml:space="preserve"> a </w:t>
      </w:r>
      <w:proofErr w:type="spellStart"/>
      <w:r w:rsidR="00417B38" w:rsidRPr="00705170">
        <w:rPr>
          <w:rFonts w:ascii="Times New Roman" w:hAnsi="Times New Roman" w:cs="Times New Roman"/>
        </w:rPr>
        <w:t>special</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regime</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partially</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with</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the</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aim</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to</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harmonize</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its</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law</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with</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the</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European</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Union’s</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and</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with</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lastRenderedPageBreak/>
        <w:t>the</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aim</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to</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protect</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minority</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shareholders</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interests</w:t>
      </w:r>
      <w:proofErr w:type="spellEnd"/>
      <w:r w:rsidR="00417B38" w:rsidRPr="00705170">
        <w:rPr>
          <w:rFonts w:ascii="Times New Roman" w:hAnsi="Times New Roman" w:cs="Times New Roman"/>
        </w:rPr>
        <w:t xml:space="preserve"> in </w:t>
      </w:r>
      <w:proofErr w:type="spellStart"/>
      <w:r w:rsidR="00417B38" w:rsidRPr="00705170">
        <w:rPr>
          <w:rFonts w:ascii="Times New Roman" w:hAnsi="Times New Roman" w:cs="Times New Roman"/>
        </w:rPr>
        <w:t>especially</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corporations</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with</w:t>
      </w:r>
      <w:proofErr w:type="spellEnd"/>
      <w:r w:rsidR="00417B38" w:rsidRPr="00705170">
        <w:rPr>
          <w:rFonts w:ascii="Times New Roman" w:hAnsi="Times New Roman" w:cs="Times New Roman"/>
        </w:rPr>
        <w:t xml:space="preserve"> a </w:t>
      </w:r>
      <w:proofErr w:type="spellStart"/>
      <w:r w:rsidR="00417B38" w:rsidRPr="00705170">
        <w:rPr>
          <w:rFonts w:ascii="Times New Roman" w:hAnsi="Times New Roman" w:cs="Times New Roman"/>
        </w:rPr>
        <w:t>controlling</w:t>
      </w:r>
      <w:proofErr w:type="spellEnd"/>
      <w:r w:rsidR="00417B38" w:rsidRPr="00705170">
        <w:rPr>
          <w:rFonts w:ascii="Times New Roman" w:hAnsi="Times New Roman" w:cs="Times New Roman"/>
        </w:rPr>
        <w:t xml:space="preserve"> </w:t>
      </w:r>
      <w:proofErr w:type="spellStart"/>
      <w:r w:rsidR="00417B38" w:rsidRPr="00705170">
        <w:rPr>
          <w:rFonts w:ascii="Times New Roman" w:hAnsi="Times New Roman" w:cs="Times New Roman"/>
        </w:rPr>
        <w:t>shareholder</w:t>
      </w:r>
      <w:proofErr w:type="spellEnd"/>
      <w:r w:rsidR="00417B38" w:rsidRPr="00705170">
        <w:rPr>
          <w:rStyle w:val="DipnotBavurusu"/>
          <w:rFonts w:ascii="Times New Roman" w:hAnsi="Times New Roman" w:cs="Times New Roman"/>
        </w:rPr>
        <w:footnoteReference w:id="272"/>
      </w:r>
      <w:r w:rsidR="00417B38" w:rsidRPr="00705170">
        <w:rPr>
          <w:rFonts w:ascii="Times New Roman" w:hAnsi="Times New Roman" w:cs="Times New Roman"/>
        </w:rPr>
        <w:t>.</w:t>
      </w:r>
      <w:r w:rsidRPr="00705170">
        <w:rPr>
          <w:rFonts w:ascii="Times New Roman" w:hAnsi="Times New Roman" w:cs="Times New Roman"/>
        </w:rPr>
        <w:t xml:space="preserve"> </w:t>
      </w:r>
      <w:proofErr w:type="spellStart"/>
      <w:r w:rsidR="00A335E7" w:rsidRPr="00705170">
        <w:rPr>
          <w:rFonts w:ascii="Times New Roman" w:hAnsi="Times New Roman" w:cs="Times New Roman"/>
        </w:rPr>
        <w:t>Article</w:t>
      </w:r>
      <w:proofErr w:type="spellEnd"/>
      <w:r w:rsidR="00A335E7" w:rsidRPr="00705170">
        <w:rPr>
          <w:rFonts w:ascii="Times New Roman" w:hAnsi="Times New Roman" w:cs="Times New Roman"/>
        </w:rPr>
        <w:t xml:space="preserve"> 23 of </w:t>
      </w:r>
      <w:proofErr w:type="spellStart"/>
      <w:r w:rsidR="00A335E7" w:rsidRPr="00705170">
        <w:rPr>
          <w:rFonts w:ascii="Times New Roman" w:hAnsi="Times New Roman" w:cs="Times New Roman"/>
        </w:rPr>
        <w:t>the</w:t>
      </w:r>
      <w:proofErr w:type="spellEnd"/>
      <w:r w:rsidR="00A335E7" w:rsidRPr="00705170">
        <w:rPr>
          <w:rFonts w:ascii="Times New Roman" w:hAnsi="Times New Roman" w:cs="Times New Roman"/>
        </w:rPr>
        <w:t xml:space="preserve"> CML </w:t>
      </w:r>
      <w:proofErr w:type="spellStart"/>
      <w:r w:rsidR="00A335E7" w:rsidRPr="00705170">
        <w:rPr>
          <w:rFonts w:ascii="Times New Roman" w:hAnsi="Times New Roman" w:cs="Times New Roman"/>
        </w:rPr>
        <w:t>designates</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certain</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corporate</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changes</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and</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transactions</w:t>
      </w:r>
      <w:proofErr w:type="spellEnd"/>
      <w:r w:rsidR="00A335E7" w:rsidRPr="00705170">
        <w:rPr>
          <w:rFonts w:ascii="Times New Roman" w:hAnsi="Times New Roman" w:cs="Times New Roman"/>
        </w:rPr>
        <w:t xml:space="preserve"> as “</w:t>
      </w:r>
      <w:proofErr w:type="spellStart"/>
      <w:r w:rsidR="00A335E7" w:rsidRPr="00705170">
        <w:rPr>
          <w:rFonts w:ascii="Times New Roman" w:hAnsi="Times New Roman" w:cs="Times New Roman"/>
        </w:rPr>
        <w:t>significant</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transactions</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and</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provides</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that</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these</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transactions</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are</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subject</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to</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special</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procedures</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Accordingly</w:t>
      </w:r>
      <w:proofErr w:type="spellEnd"/>
      <w:r w:rsidR="00A335E7" w:rsidRPr="00705170">
        <w:rPr>
          <w:rFonts w:ascii="Times New Roman" w:hAnsi="Times New Roman" w:cs="Times New Roman"/>
        </w:rPr>
        <w:t xml:space="preserve">, in </w:t>
      </w:r>
      <w:proofErr w:type="spellStart"/>
      <w:r w:rsidR="00A335E7" w:rsidRPr="00705170">
        <w:rPr>
          <w:rFonts w:ascii="Times New Roman" w:hAnsi="Times New Roman" w:cs="Times New Roman"/>
        </w:rPr>
        <w:t>the</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secondary</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legislation</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promulgated</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under</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Article</w:t>
      </w:r>
      <w:proofErr w:type="spellEnd"/>
      <w:r w:rsidR="00A335E7" w:rsidRPr="00705170">
        <w:rPr>
          <w:rFonts w:ascii="Times New Roman" w:hAnsi="Times New Roman" w:cs="Times New Roman"/>
        </w:rPr>
        <w:t xml:space="preserve"> 23, CML</w:t>
      </w:r>
      <w:r w:rsidR="00E6259B" w:rsidRPr="00705170">
        <w:rPr>
          <w:rFonts w:ascii="Times New Roman" w:hAnsi="Times New Roman" w:cs="Times New Roman"/>
        </w:rPr>
        <w:t xml:space="preserve"> </w:t>
      </w:r>
      <w:proofErr w:type="spellStart"/>
      <w:r w:rsidR="00A335E7" w:rsidRPr="00705170">
        <w:rPr>
          <w:rFonts w:ascii="Times New Roman" w:hAnsi="Times New Roman" w:cs="Times New Roman"/>
        </w:rPr>
        <w:t>divides</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significant</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tran</w:t>
      </w:r>
      <w:r w:rsidR="00E6259B" w:rsidRPr="00705170">
        <w:rPr>
          <w:rFonts w:ascii="Times New Roman" w:hAnsi="Times New Roman" w:cs="Times New Roman"/>
        </w:rPr>
        <w:t>sactions</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into</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two</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classes</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whereby</w:t>
      </w:r>
      <w:proofErr w:type="spellEnd"/>
      <w:r w:rsidR="00E6259B" w:rsidRPr="00705170">
        <w:rPr>
          <w:rFonts w:ascii="Times New Roman" w:hAnsi="Times New Roman" w:cs="Times New Roman"/>
        </w:rPr>
        <w:t xml:space="preserve"> it </w:t>
      </w:r>
      <w:proofErr w:type="spellStart"/>
      <w:r w:rsidR="00E6259B" w:rsidRPr="00705170">
        <w:rPr>
          <w:rFonts w:ascii="Times New Roman" w:hAnsi="Times New Roman" w:cs="Times New Roman"/>
        </w:rPr>
        <w:t>names</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certain</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changes</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and</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transactions</w:t>
      </w:r>
      <w:proofErr w:type="spellEnd"/>
      <w:r w:rsidR="00BE6F36" w:rsidRPr="00705170">
        <w:rPr>
          <w:rFonts w:ascii="Times New Roman" w:hAnsi="Times New Roman" w:cs="Times New Roman"/>
        </w:rPr>
        <w:t xml:space="preserve"> (1)</w:t>
      </w:r>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significant</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transactions</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per</w:t>
      </w:r>
      <w:proofErr w:type="spellEnd"/>
      <w:r w:rsidR="00E6259B" w:rsidRPr="00705170">
        <w:rPr>
          <w:rFonts w:ascii="Times New Roman" w:hAnsi="Times New Roman" w:cs="Times New Roman"/>
        </w:rPr>
        <w:t xml:space="preserve"> se, </w:t>
      </w:r>
      <w:proofErr w:type="spellStart"/>
      <w:r w:rsidR="00E6259B" w:rsidRPr="00705170">
        <w:rPr>
          <w:rFonts w:ascii="Times New Roman" w:hAnsi="Times New Roman" w:cs="Times New Roman"/>
        </w:rPr>
        <w:t>and</w:t>
      </w:r>
      <w:proofErr w:type="spellEnd"/>
      <w:r w:rsidR="00BE6F36" w:rsidRPr="00705170">
        <w:rPr>
          <w:rFonts w:ascii="Times New Roman" w:hAnsi="Times New Roman" w:cs="Times New Roman"/>
        </w:rPr>
        <w:t xml:space="preserve"> (2)</w:t>
      </w:r>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lists</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certain</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other</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changes</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and</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transactions</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that</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would</w:t>
      </w:r>
      <w:proofErr w:type="spellEnd"/>
      <w:r w:rsidR="00E6259B" w:rsidRPr="00705170">
        <w:rPr>
          <w:rFonts w:ascii="Times New Roman" w:hAnsi="Times New Roman" w:cs="Times New Roman"/>
        </w:rPr>
        <w:t xml:space="preserve"> be </w:t>
      </w:r>
      <w:proofErr w:type="spellStart"/>
      <w:r w:rsidR="00E6259B" w:rsidRPr="00705170">
        <w:rPr>
          <w:rFonts w:ascii="Times New Roman" w:hAnsi="Times New Roman" w:cs="Times New Roman"/>
        </w:rPr>
        <w:t>accepted</w:t>
      </w:r>
      <w:proofErr w:type="spellEnd"/>
      <w:r w:rsidR="00E6259B" w:rsidRPr="00705170">
        <w:rPr>
          <w:rFonts w:ascii="Times New Roman" w:hAnsi="Times New Roman" w:cs="Times New Roman"/>
        </w:rPr>
        <w:t xml:space="preserve"> as “</w:t>
      </w:r>
      <w:proofErr w:type="spellStart"/>
      <w:r w:rsidR="00E6259B" w:rsidRPr="00705170">
        <w:rPr>
          <w:rFonts w:ascii="Times New Roman" w:hAnsi="Times New Roman" w:cs="Times New Roman"/>
        </w:rPr>
        <w:t>significant</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transactions</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only</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if</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those</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meet</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with</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the</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significance</w:t>
      </w:r>
      <w:proofErr w:type="spellEnd"/>
      <w:r w:rsidR="00E6259B" w:rsidRPr="00705170">
        <w:rPr>
          <w:rFonts w:ascii="Times New Roman" w:hAnsi="Times New Roman" w:cs="Times New Roman"/>
        </w:rPr>
        <w:t xml:space="preserve">” </w:t>
      </w:r>
      <w:proofErr w:type="spellStart"/>
      <w:r w:rsidR="00E6259B" w:rsidRPr="00705170">
        <w:rPr>
          <w:rFonts w:ascii="Times New Roman" w:hAnsi="Times New Roman" w:cs="Times New Roman"/>
        </w:rPr>
        <w:t>threshold</w:t>
      </w:r>
      <w:proofErr w:type="spellEnd"/>
      <w:r w:rsidR="00E6259B" w:rsidRPr="00705170">
        <w:rPr>
          <w:rFonts w:ascii="Times New Roman" w:hAnsi="Times New Roman" w:cs="Times New Roman"/>
        </w:rPr>
        <w:t xml:space="preserve"> it </w:t>
      </w:r>
      <w:proofErr w:type="spellStart"/>
      <w:r w:rsidR="00E6259B" w:rsidRPr="00705170">
        <w:rPr>
          <w:rFonts w:ascii="Times New Roman" w:hAnsi="Times New Roman" w:cs="Times New Roman"/>
        </w:rPr>
        <w:t>defines</w:t>
      </w:r>
      <w:proofErr w:type="spellEnd"/>
      <w:r w:rsidR="00E6259B" w:rsidRPr="00705170">
        <w:rPr>
          <w:rStyle w:val="DipnotBavurusu"/>
          <w:rFonts w:ascii="Times New Roman" w:hAnsi="Times New Roman" w:cs="Times New Roman"/>
        </w:rPr>
        <w:footnoteReference w:id="273"/>
      </w:r>
      <w:r w:rsidR="00E6259B" w:rsidRPr="00705170">
        <w:rPr>
          <w:rFonts w:ascii="Times New Roman" w:hAnsi="Times New Roman" w:cs="Times New Roman"/>
        </w:rPr>
        <w:t>.</w:t>
      </w:r>
      <w:r w:rsidR="00BE6F36" w:rsidRPr="00705170">
        <w:rPr>
          <w:rFonts w:ascii="Times New Roman" w:hAnsi="Times New Roman" w:cs="Times New Roman"/>
        </w:rPr>
        <w:t xml:space="preserve"> </w:t>
      </w:r>
      <w:proofErr w:type="spellStart"/>
      <w:r w:rsidR="00BE6F36" w:rsidRPr="00705170">
        <w:rPr>
          <w:rFonts w:ascii="Times New Roman" w:hAnsi="Times New Roman" w:cs="Times New Roman"/>
        </w:rPr>
        <w:t>However</w:t>
      </w:r>
      <w:proofErr w:type="spellEnd"/>
      <w:r w:rsidR="00BE6F36" w:rsidRPr="00705170">
        <w:rPr>
          <w:rFonts w:ascii="Times New Roman" w:hAnsi="Times New Roman" w:cs="Times New Roman"/>
        </w:rPr>
        <w:t xml:space="preserve">, </w:t>
      </w:r>
      <w:r w:rsidR="00CE04AC" w:rsidRPr="00705170">
        <w:rPr>
          <w:rFonts w:ascii="Times New Roman" w:hAnsi="Times New Roman" w:cs="Times New Roman"/>
        </w:rPr>
        <w:t xml:space="preserve">it </w:t>
      </w:r>
      <w:proofErr w:type="spellStart"/>
      <w:r w:rsidR="00CE04AC" w:rsidRPr="00705170">
        <w:rPr>
          <w:rFonts w:ascii="Times New Roman" w:hAnsi="Times New Roman" w:cs="Times New Roman"/>
        </w:rPr>
        <w:t>also</w:t>
      </w:r>
      <w:proofErr w:type="spellEnd"/>
      <w:r w:rsidR="00CE04AC" w:rsidRPr="00705170">
        <w:rPr>
          <w:rFonts w:ascii="Times New Roman" w:hAnsi="Times New Roman" w:cs="Times New Roman"/>
        </w:rPr>
        <w:t xml:space="preserve"> </w:t>
      </w:r>
      <w:proofErr w:type="spellStart"/>
      <w:r w:rsidR="00CE04AC" w:rsidRPr="00705170">
        <w:rPr>
          <w:rFonts w:ascii="Times New Roman" w:hAnsi="Times New Roman" w:cs="Times New Roman"/>
        </w:rPr>
        <w:t>provides</w:t>
      </w:r>
      <w:proofErr w:type="spellEnd"/>
      <w:r w:rsidR="00CE04AC" w:rsidRPr="00705170">
        <w:rPr>
          <w:rFonts w:ascii="Times New Roman" w:hAnsi="Times New Roman" w:cs="Times New Roman"/>
        </w:rPr>
        <w:t xml:space="preserve"> </w:t>
      </w:r>
      <w:proofErr w:type="spellStart"/>
      <w:r w:rsidR="00CE04AC" w:rsidRPr="00705170">
        <w:rPr>
          <w:rFonts w:ascii="Times New Roman" w:hAnsi="Times New Roman" w:cs="Times New Roman"/>
        </w:rPr>
        <w:t>to</w:t>
      </w:r>
      <w:proofErr w:type="spellEnd"/>
      <w:r w:rsidR="00CE04AC" w:rsidRPr="00705170">
        <w:rPr>
          <w:rFonts w:ascii="Times New Roman" w:hAnsi="Times New Roman" w:cs="Times New Roman"/>
        </w:rPr>
        <w:t xml:space="preserve"> </w:t>
      </w:r>
      <w:proofErr w:type="spellStart"/>
      <w:r w:rsidR="00CE04AC" w:rsidRPr="00705170">
        <w:rPr>
          <w:rFonts w:ascii="Times New Roman" w:hAnsi="Times New Roman" w:cs="Times New Roman"/>
        </w:rPr>
        <w:t>exceptions</w:t>
      </w:r>
      <w:proofErr w:type="spellEnd"/>
      <w:r w:rsidR="00CE04AC" w:rsidRPr="00705170">
        <w:rPr>
          <w:rFonts w:ascii="Times New Roman" w:hAnsi="Times New Roman" w:cs="Times New Roman"/>
        </w:rPr>
        <w:t xml:space="preserve"> </w:t>
      </w:r>
      <w:proofErr w:type="spellStart"/>
      <w:r w:rsidR="00CE04AC" w:rsidRPr="00705170">
        <w:rPr>
          <w:rFonts w:ascii="Times New Roman" w:hAnsi="Times New Roman" w:cs="Times New Roman"/>
        </w:rPr>
        <w:t>to</w:t>
      </w:r>
      <w:proofErr w:type="spellEnd"/>
      <w:r w:rsidR="00CE04AC" w:rsidRPr="00705170">
        <w:rPr>
          <w:rFonts w:ascii="Times New Roman" w:hAnsi="Times New Roman" w:cs="Times New Roman"/>
        </w:rPr>
        <w:t xml:space="preserve"> </w:t>
      </w:r>
      <w:proofErr w:type="spellStart"/>
      <w:r w:rsidR="00CE04AC" w:rsidRPr="00705170">
        <w:rPr>
          <w:rFonts w:ascii="Times New Roman" w:hAnsi="Times New Roman" w:cs="Times New Roman"/>
        </w:rPr>
        <w:t>this</w:t>
      </w:r>
      <w:proofErr w:type="spellEnd"/>
      <w:r w:rsidR="00CE04AC" w:rsidRPr="00705170">
        <w:rPr>
          <w:rFonts w:ascii="Times New Roman" w:hAnsi="Times New Roman" w:cs="Times New Roman"/>
        </w:rPr>
        <w:t xml:space="preserve"> </w:t>
      </w:r>
      <w:proofErr w:type="spellStart"/>
      <w:r w:rsidR="00CE04AC" w:rsidRPr="00705170">
        <w:rPr>
          <w:rFonts w:ascii="Times New Roman" w:hAnsi="Times New Roman" w:cs="Times New Roman"/>
        </w:rPr>
        <w:t>classification</w:t>
      </w:r>
      <w:proofErr w:type="spellEnd"/>
      <w:r w:rsidR="00CE04AC" w:rsidRPr="00705170">
        <w:rPr>
          <w:rFonts w:ascii="Times New Roman" w:hAnsi="Times New Roman" w:cs="Times New Roman"/>
        </w:rPr>
        <w:t xml:space="preserve">: </w:t>
      </w:r>
      <w:proofErr w:type="spellStart"/>
      <w:r w:rsidR="00CE04AC" w:rsidRPr="00705170">
        <w:rPr>
          <w:rFonts w:ascii="Times New Roman" w:hAnsi="Times New Roman" w:cs="Times New Roman"/>
        </w:rPr>
        <w:t>Firstly</w:t>
      </w:r>
      <w:proofErr w:type="spellEnd"/>
      <w:r w:rsidR="00CE04AC" w:rsidRPr="00705170">
        <w:rPr>
          <w:rFonts w:ascii="Times New Roman" w:hAnsi="Times New Roman" w:cs="Times New Roman"/>
        </w:rPr>
        <w:t xml:space="preserve">, CMB </w:t>
      </w:r>
      <w:proofErr w:type="spellStart"/>
      <w:r w:rsidR="00CE04AC" w:rsidRPr="00705170">
        <w:rPr>
          <w:rFonts w:ascii="Times New Roman" w:hAnsi="Times New Roman" w:cs="Times New Roman"/>
        </w:rPr>
        <w:t>may</w:t>
      </w:r>
      <w:proofErr w:type="spellEnd"/>
      <w:r w:rsidR="00CE04AC" w:rsidRPr="00705170">
        <w:rPr>
          <w:rFonts w:ascii="Times New Roman" w:hAnsi="Times New Roman" w:cs="Times New Roman"/>
        </w:rPr>
        <w:t xml:space="preserve"> </w:t>
      </w:r>
      <w:proofErr w:type="spellStart"/>
      <w:r w:rsidR="00CE04AC" w:rsidRPr="00705170">
        <w:rPr>
          <w:rFonts w:ascii="Times New Roman" w:hAnsi="Times New Roman" w:cs="Times New Roman"/>
        </w:rPr>
        <w:t>deem</w:t>
      </w:r>
      <w:proofErr w:type="spellEnd"/>
      <w:r w:rsidR="00CE04AC" w:rsidRPr="00705170">
        <w:rPr>
          <w:rFonts w:ascii="Times New Roman" w:hAnsi="Times New Roman" w:cs="Times New Roman"/>
        </w:rPr>
        <w:t xml:space="preserve"> a </w:t>
      </w:r>
      <w:proofErr w:type="spellStart"/>
      <w:r w:rsidR="00CE04AC" w:rsidRPr="00705170">
        <w:rPr>
          <w:rFonts w:ascii="Times New Roman" w:hAnsi="Times New Roman" w:cs="Times New Roman"/>
        </w:rPr>
        <w:t>transaction</w:t>
      </w:r>
      <w:proofErr w:type="spellEnd"/>
      <w:r w:rsidR="00CE04AC" w:rsidRPr="00705170">
        <w:rPr>
          <w:rFonts w:ascii="Times New Roman" w:hAnsi="Times New Roman" w:cs="Times New Roman"/>
        </w:rPr>
        <w:t xml:space="preserve"> </w:t>
      </w:r>
      <w:proofErr w:type="spellStart"/>
      <w:r w:rsidR="00CE04AC" w:rsidRPr="00705170">
        <w:rPr>
          <w:rFonts w:ascii="Times New Roman" w:hAnsi="Times New Roman" w:cs="Times New Roman"/>
        </w:rPr>
        <w:t>significant</w:t>
      </w:r>
      <w:proofErr w:type="spellEnd"/>
      <w:r w:rsidR="00CE04AC" w:rsidRPr="00705170">
        <w:rPr>
          <w:rFonts w:ascii="Times New Roman" w:hAnsi="Times New Roman" w:cs="Times New Roman"/>
        </w:rPr>
        <w:t xml:space="preserve">, </w:t>
      </w:r>
      <w:proofErr w:type="spellStart"/>
      <w:r w:rsidR="00CE04AC" w:rsidRPr="00705170">
        <w:rPr>
          <w:rFonts w:ascii="Times New Roman" w:hAnsi="Times New Roman" w:cs="Times New Roman"/>
        </w:rPr>
        <w:t>if</w:t>
      </w:r>
      <w:proofErr w:type="spellEnd"/>
      <w:r w:rsidR="00CE04AC" w:rsidRPr="00705170">
        <w:rPr>
          <w:rFonts w:ascii="Times New Roman" w:hAnsi="Times New Roman" w:cs="Times New Roman"/>
        </w:rPr>
        <w:t xml:space="preserve"> a </w:t>
      </w:r>
      <w:proofErr w:type="spellStart"/>
      <w:r w:rsidR="00E0633F" w:rsidRPr="00705170">
        <w:rPr>
          <w:rFonts w:ascii="Times New Roman" w:hAnsi="Times New Roman" w:cs="Times New Roman"/>
        </w:rPr>
        <w:t>transaction</w:t>
      </w:r>
      <w:proofErr w:type="spellEnd"/>
      <w:r w:rsidR="0030786B">
        <w:rPr>
          <w:rFonts w:ascii="Times New Roman" w:hAnsi="Times New Roman" w:cs="Times New Roman"/>
        </w:rPr>
        <w:t xml:space="preserve"> </w:t>
      </w:r>
      <w:proofErr w:type="spellStart"/>
      <w:r w:rsidR="0030786B">
        <w:rPr>
          <w:rFonts w:ascii="Times New Roman" w:hAnsi="Times New Roman" w:cs="Times New Roman"/>
        </w:rPr>
        <w:t>related</w:t>
      </w:r>
      <w:proofErr w:type="spellEnd"/>
      <w:r w:rsidR="0030786B">
        <w:rPr>
          <w:rFonts w:ascii="Times New Roman" w:hAnsi="Times New Roman" w:cs="Times New Roman"/>
        </w:rPr>
        <w:t xml:space="preserve"> </w:t>
      </w:r>
      <w:proofErr w:type="spellStart"/>
      <w:r w:rsidR="0030786B">
        <w:rPr>
          <w:rFonts w:ascii="Times New Roman" w:hAnsi="Times New Roman" w:cs="Times New Roman"/>
        </w:rPr>
        <w:t>to</w:t>
      </w:r>
      <w:proofErr w:type="spellEnd"/>
      <w:r w:rsidR="0030786B">
        <w:rPr>
          <w:rFonts w:ascii="Times New Roman" w:hAnsi="Times New Roman" w:cs="Times New Roman"/>
        </w:rPr>
        <w:t xml:space="preserve"> </w:t>
      </w:r>
      <w:proofErr w:type="spellStart"/>
      <w:r w:rsidR="0030786B">
        <w:rPr>
          <w:rFonts w:ascii="Times New Roman" w:hAnsi="Times New Roman" w:cs="Times New Roman"/>
        </w:rPr>
        <w:t>the</w:t>
      </w:r>
      <w:proofErr w:type="spellEnd"/>
      <w:r w:rsidR="0030786B">
        <w:rPr>
          <w:rFonts w:ascii="Times New Roman" w:hAnsi="Times New Roman" w:cs="Times New Roman"/>
        </w:rPr>
        <w:t xml:space="preserve"> </w:t>
      </w:r>
      <w:proofErr w:type="spellStart"/>
      <w:r w:rsidR="0030786B">
        <w:rPr>
          <w:rFonts w:ascii="Times New Roman" w:hAnsi="Times New Roman" w:cs="Times New Roman"/>
        </w:rPr>
        <w:t>corporate</w:t>
      </w:r>
      <w:proofErr w:type="spellEnd"/>
      <w:r w:rsidR="0030786B">
        <w:rPr>
          <w:rFonts w:ascii="Times New Roman" w:hAnsi="Times New Roman" w:cs="Times New Roman"/>
        </w:rPr>
        <w:t xml:space="preserve"> </w:t>
      </w:r>
      <w:proofErr w:type="spellStart"/>
      <w:r w:rsidR="0030786B">
        <w:rPr>
          <w:rFonts w:ascii="Times New Roman" w:hAnsi="Times New Roman" w:cs="Times New Roman"/>
        </w:rPr>
        <w:t>structure</w:t>
      </w:r>
      <w:proofErr w:type="spellEnd"/>
      <w:r w:rsidR="00E0633F" w:rsidRPr="00705170">
        <w:rPr>
          <w:rFonts w:ascii="Times New Roman" w:hAnsi="Times New Roman" w:cs="Times New Roman"/>
        </w:rPr>
        <w:t xml:space="preserve">, </w:t>
      </w:r>
      <w:proofErr w:type="spellStart"/>
      <w:r w:rsidR="00E0633F" w:rsidRPr="00705170">
        <w:rPr>
          <w:rFonts w:ascii="Times New Roman" w:hAnsi="Times New Roman" w:cs="Times New Roman"/>
        </w:rPr>
        <w:t>taken</w:t>
      </w:r>
      <w:proofErr w:type="spellEnd"/>
      <w:r w:rsidR="00E0633F" w:rsidRPr="00705170">
        <w:rPr>
          <w:rFonts w:ascii="Times New Roman" w:hAnsi="Times New Roman" w:cs="Times New Roman"/>
        </w:rPr>
        <w:t xml:space="preserve"> as a </w:t>
      </w:r>
      <w:proofErr w:type="spellStart"/>
      <w:r w:rsidR="00E0633F" w:rsidRPr="00705170">
        <w:rPr>
          <w:rFonts w:ascii="Times New Roman" w:hAnsi="Times New Roman" w:cs="Times New Roman"/>
        </w:rPr>
        <w:t>whole</w:t>
      </w:r>
      <w:proofErr w:type="spellEnd"/>
      <w:r w:rsidR="00E0633F" w:rsidRPr="00705170">
        <w:rPr>
          <w:rFonts w:ascii="Times New Roman" w:hAnsi="Times New Roman" w:cs="Times New Roman"/>
        </w:rPr>
        <w:t xml:space="preserve">, </w:t>
      </w:r>
      <w:proofErr w:type="spellStart"/>
      <w:r w:rsidR="00E0633F" w:rsidRPr="00705170">
        <w:rPr>
          <w:rFonts w:ascii="Times New Roman" w:hAnsi="Times New Roman" w:cs="Times New Roman"/>
        </w:rPr>
        <w:t>may</w:t>
      </w:r>
      <w:proofErr w:type="spellEnd"/>
      <w:r w:rsidR="00E0633F" w:rsidRPr="00705170">
        <w:rPr>
          <w:rFonts w:ascii="Times New Roman" w:hAnsi="Times New Roman" w:cs="Times New Roman"/>
        </w:rPr>
        <w:t xml:space="preserve"> </w:t>
      </w:r>
      <w:proofErr w:type="spellStart"/>
      <w:r w:rsidR="00E0633F" w:rsidRPr="00705170">
        <w:rPr>
          <w:rFonts w:ascii="Times New Roman" w:hAnsi="Times New Roman" w:cs="Times New Roman"/>
        </w:rPr>
        <w:t>significantly</w:t>
      </w:r>
      <w:proofErr w:type="spellEnd"/>
      <w:r w:rsidR="00E0633F" w:rsidRPr="00705170">
        <w:rPr>
          <w:rFonts w:ascii="Times New Roman" w:hAnsi="Times New Roman" w:cs="Times New Roman"/>
        </w:rPr>
        <w:t xml:space="preserve"> </w:t>
      </w:r>
      <w:proofErr w:type="spellStart"/>
      <w:r w:rsidR="00E0633F" w:rsidRPr="00705170">
        <w:rPr>
          <w:rFonts w:ascii="Times New Roman" w:hAnsi="Times New Roman" w:cs="Times New Roman"/>
        </w:rPr>
        <w:t>change</w:t>
      </w:r>
      <w:proofErr w:type="spellEnd"/>
      <w:r w:rsidR="00E0633F" w:rsidRPr="00705170">
        <w:rPr>
          <w:rFonts w:ascii="Times New Roman" w:hAnsi="Times New Roman" w:cs="Times New Roman"/>
        </w:rPr>
        <w:t xml:space="preserve"> </w:t>
      </w:r>
      <w:proofErr w:type="spellStart"/>
      <w:r w:rsidR="00E0633F" w:rsidRPr="00705170">
        <w:rPr>
          <w:rFonts w:ascii="Times New Roman" w:hAnsi="Times New Roman" w:cs="Times New Roman"/>
        </w:rPr>
        <w:t>the</w:t>
      </w:r>
      <w:proofErr w:type="spellEnd"/>
      <w:r w:rsidR="00E0633F" w:rsidRPr="00705170">
        <w:rPr>
          <w:rFonts w:ascii="Times New Roman" w:hAnsi="Times New Roman" w:cs="Times New Roman"/>
        </w:rPr>
        <w:t xml:space="preserve"> </w:t>
      </w:r>
      <w:proofErr w:type="spellStart"/>
      <w:r w:rsidR="00E0633F" w:rsidRPr="00705170">
        <w:rPr>
          <w:rFonts w:ascii="Times New Roman" w:hAnsi="Times New Roman" w:cs="Times New Roman"/>
        </w:rPr>
        <w:t>business</w:t>
      </w:r>
      <w:proofErr w:type="spellEnd"/>
      <w:r w:rsidR="00E0633F" w:rsidRPr="00705170">
        <w:rPr>
          <w:rFonts w:ascii="Times New Roman" w:hAnsi="Times New Roman" w:cs="Times New Roman"/>
        </w:rPr>
        <w:t xml:space="preserve"> </w:t>
      </w:r>
      <w:proofErr w:type="spellStart"/>
      <w:r w:rsidR="00E0633F" w:rsidRPr="00705170">
        <w:rPr>
          <w:rFonts w:ascii="Times New Roman" w:hAnsi="Times New Roman" w:cs="Times New Roman"/>
        </w:rPr>
        <w:t>and</w:t>
      </w:r>
      <w:proofErr w:type="spellEnd"/>
      <w:r w:rsidR="00E0633F" w:rsidRPr="00705170">
        <w:rPr>
          <w:rFonts w:ascii="Times New Roman" w:hAnsi="Times New Roman" w:cs="Times New Roman"/>
        </w:rPr>
        <w:t xml:space="preserve"> </w:t>
      </w:r>
      <w:proofErr w:type="spellStart"/>
      <w:r w:rsidR="0030786B">
        <w:rPr>
          <w:rFonts w:ascii="Times New Roman" w:hAnsi="Times New Roman" w:cs="Times New Roman"/>
        </w:rPr>
        <w:t>basic</w:t>
      </w:r>
      <w:proofErr w:type="spellEnd"/>
      <w:r w:rsidR="0030786B">
        <w:rPr>
          <w:rFonts w:ascii="Times New Roman" w:hAnsi="Times New Roman" w:cs="Times New Roman"/>
        </w:rPr>
        <w:t xml:space="preserve"> </w:t>
      </w:r>
      <w:proofErr w:type="spellStart"/>
      <w:r w:rsidR="00E0633F" w:rsidRPr="00705170">
        <w:rPr>
          <w:rFonts w:ascii="Times New Roman" w:hAnsi="Times New Roman" w:cs="Times New Roman"/>
        </w:rPr>
        <w:t>operation</w:t>
      </w:r>
      <w:proofErr w:type="spellEnd"/>
      <w:r w:rsidR="00E0633F" w:rsidRPr="00705170">
        <w:rPr>
          <w:rFonts w:ascii="Times New Roman" w:hAnsi="Times New Roman" w:cs="Times New Roman"/>
        </w:rPr>
        <w:t xml:space="preserve"> of </w:t>
      </w:r>
      <w:proofErr w:type="spellStart"/>
      <w:r w:rsidR="00E0633F" w:rsidRPr="00705170">
        <w:rPr>
          <w:rFonts w:ascii="Times New Roman" w:hAnsi="Times New Roman" w:cs="Times New Roman"/>
        </w:rPr>
        <w:t>the</w:t>
      </w:r>
      <w:proofErr w:type="spellEnd"/>
      <w:r w:rsidR="00E0633F" w:rsidRPr="00705170">
        <w:rPr>
          <w:rFonts w:ascii="Times New Roman" w:hAnsi="Times New Roman" w:cs="Times New Roman"/>
        </w:rPr>
        <w:t xml:space="preserve"> </w:t>
      </w:r>
      <w:proofErr w:type="spellStart"/>
      <w:r w:rsidR="00E0633F" w:rsidRPr="00705170">
        <w:rPr>
          <w:rFonts w:ascii="Times New Roman" w:hAnsi="Times New Roman" w:cs="Times New Roman"/>
        </w:rPr>
        <w:t>corportion</w:t>
      </w:r>
      <w:proofErr w:type="spellEnd"/>
      <w:r w:rsidR="0030786B">
        <w:rPr>
          <w:rFonts w:ascii="Times New Roman" w:hAnsi="Times New Roman" w:cs="Times New Roman"/>
        </w:rPr>
        <w:t xml:space="preserve"> </w:t>
      </w:r>
      <w:proofErr w:type="spellStart"/>
      <w:r w:rsidR="0030786B">
        <w:rPr>
          <w:rFonts w:ascii="Times New Roman" w:hAnsi="Times New Roman" w:cs="Times New Roman"/>
        </w:rPr>
        <w:t>and</w:t>
      </w:r>
      <w:proofErr w:type="spellEnd"/>
      <w:r w:rsidR="0030786B">
        <w:rPr>
          <w:rFonts w:ascii="Times New Roman" w:hAnsi="Times New Roman" w:cs="Times New Roman"/>
        </w:rPr>
        <w:t xml:space="preserve"> </w:t>
      </w:r>
      <w:proofErr w:type="spellStart"/>
      <w:r w:rsidR="0030786B">
        <w:rPr>
          <w:rFonts w:ascii="Times New Roman" w:hAnsi="Times New Roman" w:cs="Times New Roman"/>
        </w:rPr>
        <w:t>effect</w:t>
      </w:r>
      <w:proofErr w:type="spellEnd"/>
      <w:r w:rsidR="0030786B">
        <w:rPr>
          <w:rFonts w:ascii="Times New Roman" w:hAnsi="Times New Roman" w:cs="Times New Roman"/>
        </w:rPr>
        <w:t xml:space="preserve"> </w:t>
      </w:r>
      <w:proofErr w:type="spellStart"/>
      <w:r w:rsidR="0030786B">
        <w:rPr>
          <w:rFonts w:ascii="Times New Roman" w:hAnsi="Times New Roman" w:cs="Times New Roman"/>
        </w:rPr>
        <w:t>the</w:t>
      </w:r>
      <w:proofErr w:type="spellEnd"/>
      <w:r w:rsidR="0030786B">
        <w:rPr>
          <w:rFonts w:ascii="Times New Roman" w:hAnsi="Times New Roman" w:cs="Times New Roman"/>
        </w:rPr>
        <w:t xml:space="preserve"> </w:t>
      </w:r>
      <w:proofErr w:type="spellStart"/>
      <w:r w:rsidR="0030786B">
        <w:rPr>
          <w:rFonts w:ascii="Times New Roman" w:hAnsi="Times New Roman" w:cs="Times New Roman"/>
        </w:rPr>
        <w:t>investors’s</w:t>
      </w:r>
      <w:proofErr w:type="spellEnd"/>
      <w:r w:rsidR="0030786B">
        <w:rPr>
          <w:rFonts w:ascii="Times New Roman" w:hAnsi="Times New Roman" w:cs="Times New Roman"/>
        </w:rPr>
        <w:t xml:space="preserve"> </w:t>
      </w:r>
      <w:proofErr w:type="spellStart"/>
      <w:r w:rsidR="0030786B">
        <w:rPr>
          <w:rFonts w:ascii="Times New Roman" w:hAnsi="Times New Roman" w:cs="Times New Roman"/>
        </w:rPr>
        <w:t>investment</w:t>
      </w:r>
      <w:proofErr w:type="spellEnd"/>
      <w:r w:rsidR="0030786B">
        <w:rPr>
          <w:rFonts w:ascii="Times New Roman" w:hAnsi="Times New Roman" w:cs="Times New Roman"/>
        </w:rPr>
        <w:t xml:space="preserve"> </w:t>
      </w:r>
      <w:proofErr w:type="spellStart"/>
      <w:r w:rsidR="0030786B">
        <w:rPr>
          <w:rFonts w:ascii="Times New Roman" w:hAnsi="Times New Roman" w:cs="Times New Roman"/>
        </w:rPr>
        <w:t>decision</w:t>
      </w:r>
      <w:proofErr w:type="spellEnd"/>
      <w:r w:rsidR="00E0633F" w:rsidRPr="00705170">
        <w:rPr>
          <w:rFonts w:ascii="Times New Roman" w:hAnsi="Times New Roman" w:cs="Times New Roman"/>
        </w:rPr>
        <w:t xml:space="preserve"> (</w:t>
      </w:r>
      <w:proofErr w:type="spellStart"/>
      <w:r w:rsidR="00E0633F" w:rsidRPr="00705170">
        <w:rPr>
          <w:rFonts w:ascii="Times New Roman" w:hAnsi="Times New Roman" w:cs="Times New Roman"/>
        </w:rPr>
        <w:t>Significant</w:t>
      </w:r>
      <w:proofErr w:type="spellEnd"/>
      <w:r w:rsidR="00E0633F" w:rsidRPr="00705170">
        <w:rPr>
          <w:rFonts w:ascii="Times New Roman" w:hAnsi="Times New Roman" w:cs="Times New Roman"/>
        </w:rPr>
        <w:t xml:space="preserve"> </w:t>
      </w:r>
      <w:proofErr w:type="spellStart"/>
      <w:r w:rsidR="00E0633F" w:rsidRPr="00705170">
        <w:rPr>
          <w:rFonts w:ascii="Times New Roman" w:hAnsi="Times New Roman" w:cs="Times New Roman"/>
        </w:rPr>
        <w:t>Transactions</w:t>
      </w:r>
      <w:proofErr w:type="spellEnd"/>
      <w:r w:rsidR="00E0633F" w:rsidRPr="00705170">
        <w:rPr>
          <w:rFonts w:ascii="Times New Roman" w:hAnsi="Times New Roman" w:cs="Times New Roman"/>
        </w:rPr>
        <w:t xml:space="preserve"> </w:t>
      </w:r>
      <w:proofErr w:type="spellStart"/>
      <w:r w:rsidR="00E0633F" w:rsidRPr="00705170">
        <w:rPr>
          <w:rFonts w:ascii="Times New Roman" w:hAnsi="Times New Roman" w:cs="Times New Roman"/>
        </w:rPr>
        <w:t>Communique</w:t>
      </w:r>
      <w:proofErr w:type="spellEnd"/>
      <w:r w:rsidR="00E0633F" w:rsidRPr="00705170">
        <w:rPr>
          <w:rFonts w:ascii="Times New Roman" w:hAnsi="Times New Roman" w:cs="Times New Roman"/>
        </w:rPr>
        <w:t xml:space="preserve"> </w:t>
      </w:r>
      <w:proofErr w:type="spellStart"/>
      <w:r w:rsidR="00E0633F" w:rsidRPr="00705170">
        <w:rPr>
          <w:rFonts w:ascii="Times New Roman" w:hAnsi="Times New Roman" w:cs="Times New Roman"/>
        </w:rPr>
        <w:t>Article</w:t>
      </w:r>
      <w:proofErr w:type="spellEnd"/>
      <w:r w:rsidR="00E0633F" w:rsidRPr="00705170">
        <w:rPr>
          <w:rFonts w:ascii="Times New Roman" w:hAnsi="Times New Roman" w:cs="Times New Roman"/>
        </w:rPr>
        <w:t xml:space="preserve"> </w:t>
      </w:r>
      <w:r w:rsidR="0030786B">
        <w:rPr>
          <w:rFonts w:ascii="Times New Roman" w:hAnsi="Times New Roman" w:cs="Times New Roman"/>
        </w:rPr>
        <w:t>4</w:t>
      </w:r>
      <w:r w:rsidR="00E0633F" w:rsidRPr="00705170">
        <w:rPr>
          <w:rFonts w:ascii="Times New Roman" w:hAnsi="Times New Roman" w:cs="Times New Roman"/>
        </w:rPr>
        <w:t>(</w:t>
      </w:r>
      <w:r w:rsidR="0030786B">
        <w:rPr>
          <w:rFonts w:ascii="Times New Roman" w:hAnsi="Times New Roman" w:cs="Times New Roman"/>
        </w:rPr>
        <w:t>3</w:t>
      </w:r>
      <w:r w:rsidR="00E0633F" w:rsidRPr="00705170">
        <w:rPr>
          <w:rFonts w:ascii="Times New Roman" w:hAnsi="Times New Roman" w:cs="Times New Roman"/>
        </w:rPr>
        <w:t>))</w:t>
      </w:r>
      <w:r w:rsidR="00CE04AC" w:rsidRPr="00705170">
        <w:rPr>
          <w:rFonts w:ascii="Times New Roman" w:hAnsi="Times New Roman" w:cs="Times New Roman"/>
        </w:rPr>
        <w:t xml:space="preserve">. </w:t>
      </w:r>
      <w:proofErr w:type="spellStart"/>
      <w:r w:rsidR="00CE04AC" w:rsidRPr="00705170">
        <w:rPr>
          <w:rFonts w:ascii="Times New Roman" w:hAnsi="Times New Roman" w:cs="Times New Roman"/>
        </w:rPr>
        <w:t>Secondly</w:t>
      </w:r>
      <w:proofErr w:type="spellEnd"/>
      <w:r w:rsidR="00CE04AC" w:rsidRPr="00705170">
        <w:rPr>
          <w:rFonts w:ascii="Times New Roman" w:hAnsi="Times New Roman" w:cs="Times New Roman"/>
        </w:rPr>
        <w:t xml:space="preserve">, </w:t>
      </w:r>
      <w:proofErr w:type="spellStart"/>
      <w:r w:rsidR="00281961" w:rsidRPr="00705170">
        <w:rPr>
          <w:rFonts w:ascii="Times New Roman" w:hAnsi="Times New Roman" w:cs="Times New Roman"/>
        </w:rPr>
        <w:t>the</w:t>
      </w:r>
      <w:proofErr w:type="spellEnd"/>
      <w:r w:rsidR="00281961" w:rsidRPr="00705170">
        <w:rPr>
          <w:rFonts w:ascii="Times New Roman" w:hAnsi="Times New Roman" w:cs="Times New Roman"/>
        </w:rPr>
        <w:t xml:space="preserve"> board of </w:t>
      </w:r>
      <w:proofErr w:type="spellStart"/>
      <w:r w:rsidR="00281961" w:rsidRPr="00705170">
        <w:rPr>
          <w:rFonts w:ascii="Times New Roman" w:hAnsi="Times New Roman" w:cs="Times New Roman"/>
        </w:rPr>
        <w:t>directors</w:t>
      </w:r>
      <w:proofErr w:type="spellEnd"/>
      <w:r w:rsidR="00281961" w:rsidRPr="00705170">
        <w:rPr>
          <w:rFonts w:ascii="Times New Roman" w:hAnsi="Times New Roman" w:cs="Times New Roman"/>
        </w:rPr>
        <w:t xml:space="preserve"> is </w:t>
      </w:r>
      <w:proofErr w:type="spellStart"/>
      <w:r w:rsidR="00281961" w:rsidRPr="00705170">
        <w:rPr>
          <w:rFonts w:ascii="Times New Roman" w:hAnsi="Times New Roman" w:cs="Times New Roman"/>
        </w:rPr>
        <w:t>liable</w:t>
      </w:r>
      <w:proofErr w:type="spellEnd"/>
      <w:r w:rsidR="00281961" w:rsidRPr="00705170">
        <w:rPr>
          <w:rFonts w:ascii="Times New Roman" w:hAnsi="Times New Roman" w:cs="Times New Roman"/>
        </w:rPr>
        <w:t xml:space="preserve"> </w:t>
      </w:r>
      <w:proofErr w:type="spellStart"/>
      <w:r w:rsidR="00281961" w:rsidRPr="00705170">
        <w:rPr>
          <w:rFonts w:ascii="Times New Roman" w:hAnsi="Times New Roman" w:cs="Times New Roman"/>
        </w:rPr>
        <w:t>for</w:t>
      </w:r>
      <w:proofErr w:type="spellEnd"/>
      <w:r w:rsidR="00281961" w:rsidRPr="00705170">
        <w:rPr>
          <w:rFonts w:ascii="Times New Roman" w:hAnsi="Times New Roman" w:cs="Times New Roman"/>
        </w:rPr>
        <w:t xml:space="preserve"> </w:t>
      </w:r>
      <w:proofErr w:type="spellStart"/>
      <w:r w:rsidR="00281961" w:rsidRPr="00705170">
        <w:rPr>
          <w:rFonts w:ascii="Times New Roman" w:hAnsi="Times New Roman" w:cs="Times New Roman"/>
        </w:rPr>
        <w:t>any</w:t>
      </w:r>
      <w:proofErr w:type="spellEnd"/>
      <w:r w:rsidR="00281961" w:rsidRPr="00705170">
        <w:rPr>
          <w:rFonts w:ascii="Times New Roman" w:hAnsi="Times New Roman" w:cs="Times New Roman"/>
        </w:rPr>
        <w:t xml:space="preserve"> </w:t>
      </w:r>
      <w:proofErr w:type="spellStart"/>
      <w:r w:rsidR="00281961" w:rsidRPr="00705170">
        <w:rPr>
          <w:rFonts w:ascii="Times New Roman" w:hAnsi="Times New Roman" w:cs="Times New Roman"/>
        </w:rPr>
        <w:t>violation</w:t>
      </w:r>
      <w:proofErr w:type="spellEnd"/>
      <w:r w:rsidR="00281961" w:rsidRPr="00705170">
        <w:rPr>
          <w:rFonts w:ascii="Times New Roman" w:hAnsi="Times New Roman" w:cs="Times New Roman"/>
        </w:rPr>
        <w:t xml:space="preserve"> of </w:t>
      </w:r>
      <w:proofErr w:type="spellStart"/>
      <w:r w:rsidR="00281961" w:rsidRPr="00705170">
        <w:rPr>
          <w:rFonts w:ascii="Times New Roman" w:hAnsi="Times New Roman" w:cs="Times New Roman"/>
        </w:rPr>
        <w:t>these</w:t>
      </w:r>
      <w:proofErr w:type="spellEnd"/>
      <w:r w:rsidR="00281961" w:rsidRPr="00705170">
        <w:rPr>
          <w:rFonts w:ascii="Times New Roman" w:hAnsi="Times New Roman" w:cs="Times New Roman"/>
        </w:rPr>
        <w:t xml:space="preserve"> </w:t>
      </w:r>
      <w:proofErr w:type="spellStart"/>
      <w:r w:rsidR="00281961" w:rsidRPr="00705170">
        <w:rPr>
          <w:rFonts w:ascii="Times New Roman" w:hAnsi="Times New Roman" w:cs="Times New Roman"/>
        </w:rPr>
        <w:t>rules</w:t>
      </w:r>
      <w:proofErr w:type="spellEnd"/>
      <w:r w:rsidR="00281961" w:rsidRPr="00705170">
        <w:rPr>
          <w:rFonts w:ascii="Times New Roman" w:hAnsi="Times New Roman" w:cs="Times New Roman"/>
        </w:rPr>
        <w:t xml:space="preserve"> </w:t>
      </w:r>
      <w:r w:rsidR="00BE6F36" w:rsidRPr="00705170">
        <w:rPr>
          <w:rFonts w:ascii="Times New Roman" w:hAnsi="Times New Roman" w:cs="Times New Roman"/>
        </w:rPr>
        <w:t>(</w:t>
      </w:r>
      <w:proofErr w:type="spellStart"/>
      <w:r w:rsidR="00BE6F36" w:rsidRPr="00705170">
        <w:rPr>
          <w:rFonts w:ascii="Times New Roman" w:hAnsi="Times New Roman" w:cs="Times New Roman"/>
        </w:rPr>
        <w:t>Significant</w:t>
      </w:r>
      <w:proofErr w:type="spellEnd"/>
      <w:r w:rsidR="00BE6F36" w:rsidRPr="00705170">
        <w:rPr>
          <w:rFonts w:ascii="Times New Roman" w:hAnsi="Times New Roman" w:cs="Times New Roman"/>
        </w:rPr>
        <w:t xml:space="preserve"> </w:t>
      </w:r>
      <w:proofErr w:type="spellStart"/>
      <w:r w:rsidR="00BE6F36" w:rsidRPr="00705170">
        <w:rPr>
          <w:rFonts w:ascii="Times New Roman" w:hAnsi="Times New Roman" w:cs="Times New Roman"/>
        </w:rPr>
        <w:t>Transactions</w:t>
      </w:r>
      <w:proofErr w:type="spellEnd"/>
      <w:r w:rsidR="00BE6F36" w:rsidRPr="00705170">
        <w:rPr>
          <w:rFonts w:ascii="Times New Roman" w:hAnsi="Times New Roman" w:cs="Times New Roman"/>
        </w:rPr>
        <w:t xml:space="preserve"> </w:t>
      </w:r>
      <w:proofErr w:type="spellStart"/>
      <w:r w:rsidR="00BE6F36" w:rsidRPr="00705170">
        <w:rPr>
          <w:rFonts w:ascii="Times New Roman" w:hAnsi="Times New Roman" w:cs="Times New Roman"/>
        </w:rPr>
        <w:t>Comm</w:t>
      </w:r>
      <w:r w:rsidR="00281961" w:rsidRPr="00705170">
        <w:rPr>
          <w:rFonts w:ascii="Times New Roman" w:hAnsi="Times New Roman" w:cs="Times New Roman"/>
        </w:rPr>
        <w:t>inique</w:t>
      </w:r>
      <w:proofErr w:type="spellEnd"/>
      <w:r w:rsidR="00281961" w:rsidRPr="00705170">
        <w:rPr>
          <w:rFonts w:ascii="Times New Roman" w:hAnsi="Times New Roman" w:cs="Times New Roman"/>
        </w:rPr>
        <w:t xml:space="preserve"> </w:t>
      </w:r>
      <w:proofErr w:type="spellStart"/>
      <w:r w:rsidR="00281961" w:rsidRPr="00705170">
        <w:rPr>
          <w:rFonts w:ascii="Times New Roman" w:hAnsi="Times New Roman" w:cs="Times New Roman"/>
        </w:rPr>
        <w:t>Article</w:t>
      </w:r>
      <w:proofErr w:type="spellEnd"/>
      <w:r w:rsidR="00281961" w:rsidRPr="00705170">
        <w:rPr>
          <w:rFonts w:ascii="Times New Roman" w:hAnsi="Times New Roman" w:cs="Times New Roman"/>
        </w:rPr>
        <w:t xml:space="preserve"> </w:t>
      </w:r>
      <w:r w:rsidR="00BE6F36" w:rsidRPr="00705170">
        <w:rPr>
          <w:rFonts w:ascii="Times New Roman" w:hAnsi="Times New Roman" w:cs="Times New Roman"/>
        </w:rPr>
        <w:t>1</w:t>
      </w:r>
      <w:r w:rsidR="0030786B">
        <w:rPr>
          <w:rFonts w:ascii="Times New Roman" w:hAnsi="Times New Roman" w:cs="Times New Roman"/>
        </w:rPr>
        <w:t>8</w:t>
      </w:r>
      <w:r w:rsidR="00BE6F36" w:rsidRPr="00705170">
        <w:rPr>
          <w:rFonts w:ascii="Times New Roman" w:hAnsi="Times New Roman" w:cs="Times New Roman"/>
        </w:rPr>
        <w:t>)</w:t>
      </w:r>
      <w:r w:rsidR="001659DC">
        <w:rPr>
          <w:rStyle w:val="DipnotBavurusu"/>
          <w:rFonts w:ascii="Times New Roman" w:hAnsi="Times New Roman" w:cs="Times New Roman"/>
        </w:rPr>
        <w:footnoteReference w:id="274"/>
      </w:r>
      <w:r w:rsidR="00BE6F36" w:rsidRPr="00705170">
        <w:rPr>
          <w:rFonts w:ascii="Times New Roman" w:hAnsi="Times New Roman" w:cs="Times New Roman"/>
        </w:rPr>
        <w:t>.</w:t>
      </w:r>
    </w:p>
    <w:p w14:paraId="136FCE6C" w14:textId="76C4315F" w:rsidR="00637616" w:rsidRPr="00705170" w:rsidRDefault="00E0633F" w:rsidP="001659DC">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CML </w:t>
      </w:r>
      <w:proofErr w:type="spellStart"/>
      <w:r w:rsidRPr="00705170">
        <w:rPr>
          <w:rFonts w:ascii="Times New Roman" w:hAnsi="Times New Roman" w:cs="Times New Roman"/>
        </w:rPr>
        <w:t>designates</w:t>
      </w:r>
      <w:proofErr w:type="spellEnd"/>
      <w:r w:rsidRPr="00705170">
        <w:rPr>
          <w:rFonts w:ascii="Times New Roman" w:hAnsi="Times New Roman" w:cs="Times New Roman"/>
        </w:rPr>
        <w:t xml:space="preserve"> as</w:t>
      </w:r>
      <w:r w:rsidR="00A335E7" w:rsidRPr="00705170">
        <w:rPr>
          <w:rFonts w:ascii="Times New Roman" w:hAnsi="Times New Roman" w:cs="Times New Roman"/>
        </w:rPr>
        <w:t xml:space="preserve"> </w:t>
      </w:r>
      <w:r w:rsidRPr="00705170">
        <w:rPr>
          <w:rFonts w:ascii="Times New Roman" w:hAnsi="Times New Roman" w:cs="Times New Roman"/>
        </w:rPr>
        <w:t>“</w:t>
      </w:r>
      <w:proofErr w:type="spellStart"/>
      <w:r w:rsidRPr="00705170">
        <w:rPr>
          <w:rFonts w:ascii="Times New Roman" w:hAnsi="Times New Roman" w:cs="Times New Roman"/>
        </w:rPr>
        <w:t>significant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transactions</w:t>
      </w:r>
      <w:proofErr w:type="spellEnd"/>
      <w:r w:rsidR="00A335E7" w:rsidRPr="00705170">
        <w:rPr>
          <w:rFonts w:ascii="Times New Roman" w:hAnsi="Times New Roman" w:cs="Times New Roman"/>
        </w:rPr>
        <w:t xml:space="preserve"> </w:t>
      </w:r>
      <w:proofErr w:type="spellStart"/>
      <w:r w:rsidR="00A335E7" w:rsidRPr="00705170">
        <w:rPr>
          <w:rFonts w:ascii="Times New Roman" w:hAnsi="Times New Roman" w:cs="Times New Roman"/>
        </w:rPr>
        <w:t>per</w:t>
      </w:r>
      <w:proofErr w:type="spellEnd"/>
      <w:r w:rsidR="00A335E7" w:rsidRPr="00705170">
        <w:rPr>
          <w:rFonts w:ascii="Times New Roman" w:hAnsi="Times New Roman" w:cs="Times New Roman"/>
        </w:rPr>
        <w:t xml:space="preserve"> se</w:t>
      </w:r>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mergers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divisions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restructurings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establis</w:t>
      </w:r>
      <w:r w:rsidR="00127AE2" w:rsidRPr="00705170">
        <w:rPr>
          <w:rFonts w:ascii="Times New Roman" w:hAnsi="Times New Roman" w:cs="Times New Roman"/>
        </w:rPr>
        <w:t>h</w:t>
      </w:r>
      <w:r w:rsidRPr="00705170">
        <w:rPr>
          <w:rFonts w:ascii="Times New Roman" w:hAnsi="Times New Roman" w:cs="Times New Roman"/>
        </w:rPr>
        <w: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priviliges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revoking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changing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w:t>
      </w:r>
      <w:proofErr w:type="spellEnd"/>
      <w:r w:rsidRPr="00705170">
        <w:rPr>
          <w:rFonts w:ascii="Times New Roman" w:hAnsi="Times New Roman" w:cs="Times New Roman"/>
        </w:rPr>
        <w:t xml:space="preserve"> </w:t>
      </w:r>
      <w:proofErr w:type="spellStart"/>
      <w:r w:rsidR="00C95BCB" w:rsidRPr="00705170">
        <w:rPr>
          <w:rFonts w:ascii="Times New Roman" w:hAnsi="Times New Roman" w:cs="Times New Roman"/>
        </w:rPr>
        <w:t>priviliges</w:t>
      </w:r>
      <w:proofErr w:type="spellEnd"/>
      <w:r w:rsidR="001659DC">
        <w:rPr>
          <w:rFonts w:ascii="Times New Roman" w:hAnsi="Times New Roman" w:cs="Times New Roman"/>
        </w:rPr>
        <w:t xml:space="preserve">. </w:t>
      </w:r>
      <w:r w:rsidR="00D55593" w:rsidRPr="00705170">
        <w:rPr>
          <w:rFonts w:ascii="Times New Roman" w:hAnsi="Times New Roman" w:cs="Times New Roman"/>
        </w:rPr>
        <w:t>(</w:t>
      </w:r>
      <w:proofErr w:type="spellStart"/>
      <w:r w:rsidR="00D55593" w:rsidRPr="00705170">
        <w:rPr>
          <w:rFonts w:ascii="Times New Roman" w:hAnsi="Times New Roman" w:cs="Times New Roman"/>
        </w:rPr>
        <w:t>Significant</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Transactions</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Comminque</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Article</w:t>
      </w:r>
      <w:proofErr w:type="spellEnd"/>
      <w:r w:rsidR="00D55593" w:rsidRPr="00705170">
        <w:rPr>
          <w:rFonts w:ascii="Times New Roman" w:hAnsi="Times New Roman" w:cs="Times New Roman"/>
        </w:rPr>
        <w:t xml:space="preserve"> </w:t>
      </w:r>
      <w:r w:rsidR="001659DC">
        <w:rPr>
          <w:rFonts w:ascii="Times New Roman" w:hAnsi="Times New Roman" w:cs="Times New Roman"/>
        </w:rPr>
        <w:t>4</w:t>
      </w:r>
      <w:r w:rsidR="00D55593" w:rsidRPr="00705170">
        <w:rPr>
          <w:rFonts w:ascii="Times New Roman" w:hAnsi="Times New Roman" w:cs="Times New Roman"/>
        </w:rPr>
        <w:t>)</w:t>
      </w:r>
      <w:r w:rsidR="00C95BCB" w:rsidRPr="00705170">
        <w:rPr>
          <w:rFonts w:ascii="Times New Roman" w:hAnsi="Times New Roman" w:cs="Times New Roman"/>
        </w:rPr>
        <w:t>.</w:t>
      </w:r>
      <w:r w:rsidR="00D55593" w:rsidRPr="00705170">
        <w:rPr>
          <w:rFonts w:ascii="Times New Roman" w:hAnsi="Times New Roman" w:cs="Times New Roman"/>
        </w:rPr>
        <w:t xml:space="preserve"> On </w:t>
      </w:r>
      <w:proofErr w:type="spellStart"/>
      <w:r w:rsidR="00D55593" w:rsidRPr="00705170">
        <w:rPr>
          <w:rFonts w:ascii="Times New Roman" w:hAnsi="Times New Roman" w:cs="Times New Roman"/>
        </w:rPr>
        <w:t>the</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other</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hand</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the</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transactions</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that</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would</w:t>
      </w:r>
      <w:proofErr w:type="spellEnd"/>
      <w:r w:rsidR="00D55593" w:rsidRPr="00705170">
        <w:rPr>
          <w:rFonts w:ascii="Times New Roman" w:hAnsi="Times New Roman" w:cs="Times New Roman"/>
        </w:rPr>
        <w:t xml:space="preserve"> be </w:t>
      </w:r>
      <w:proofErr w:type="spellStart"/>
      <w:r w:rsidR="00D55593" w:rsidRPr="00705170">
        <w:rPr>
          <w:rFonts w:ascii="Times New Roman" w:hAnsi="Times New Roman" w:cs="Times New Roman"/>
        </w:rPr>
        <w:t>deemed</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significant</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if</w:t>
      </w:r>
      <w:proofErr w:type="spellEnd"/>
      <w:r w:rsidR="00D55593" w:rsidRPr="00705170">
        <w:rPr>
          <w:rFonts w:ascii="Times New Roman" w:hAnsi="Times New Roman" w:cs="Times New Roman"/>
        </w:rPr>
        <w:t xml:space="preserve"> it </w:t>
      </w:r>
      <w:proofErr w:type="spellStart"/>
      <w:r w:rsidR="00D55593" w:rsidRPr="00705170">
        <w:rPr>
          <w:rFonts w:ascii="Times New Roman" w:hAnsi="Times New Roman" w:cs="Times New Roman"/>
        </w:rPr>
        <w:t>meet</w:t>
      </w:r>
      <w:r w:rsidR="00127AE2" w:rsidRPr="00705170">
        <w:rPr>
          <w:rFonts w:ascii="Times New Roman" w:hAnsi="Times New Roman" w:cs="Times New Roman"/>
        </w:rPr>
        <w:t>s</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the</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significance</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threshold</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are</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listed</w:t>
      </w:r>
      <w:proofErr w:type="spellEnd"/>
      <w:r w:rsidR="00D55593" w:rsidRPr="00705170">
        <w:rPr>
          <w:rFonts w:ascii="Times New Roman" w:hAnsi="Times New Roman" w:cs="Times New Roman"/>
        </w:rPr>
        <w:t xml:space="preserve"> as; (1) transfer</w:t>
      </w:r>
      <w:r w:rsidR="003437FF" w:rsidRPr="00705170">
        <w:rPr>
          <w:rFonts w:ascii="Times New Roman" w:hAnsi="Times New Roman" w:cs="Times New Roman"/>
        </w:rPr>
        <w:t xml:space="preserve"> </w:t>
      </w:r>
      <w:proofErr w:type="spellStart"/>
      <w:r w:rsidR="003437FF" w:rsidRPr="00705170">
        <w:rPr>
          <w:rFonts w:ascii="Times New Roman" w:hAnsi="Times New Roman" w:cs="Times New Roman"/>
        </w:rPr>
        <w:t>or</w:t>
      </w:r>
      <w:proofErr w:type="spellEnd"/>
      <w:r w:rsidR="003437FF" w:rsidRPr="00705170">
        <w:rPr>
          <w:rFonts w:ascii="Times New Roman" w:hAnsi="Times New Roman" w:cs="Times New Roman"/>
        </w:rPr>
        <w:t xml:space="preserve"> </w:t>
      </w:r>
      <w:proofErr w:type="spellStart"/>
      <w:r w:rsidR="003437FF" w:rsidRPr="00705170">
        <w:rPr>
          <w:rFonts w:ascii="Times New Roman" w:hAnsi="Times New Roman" w:cs="Times New Roman"/>
        </w:rPr>
        <w:t>loan</w:t>
      </w:r>
      <w:proofErr w:type="spellEnd"/>
      <w:r w:rsidR="00D55593" w:rsidRPr="00705170">
        <w:rPr>
          <w:rFonts w:ascii="Times New Roman" w:hAnsi="Times New Roman" w:cs="Times New Roman"/>
        </w:rPr>
        <w:t xml:space="preserve"> of </w:t>
      </w:r>
      <w:proofErr w:type="spellStart"/>
      <w:r w:rsidR="00D55593" w:rsidRPr="00705170">
        <w:rPr>
          <w:rFonts w:ascii="Times New Roman" w:hAnsi="Times New Roman" w:cs="Times New Roman"/>
        </w:rPr>
        <w:t>all</w:t>
      </w:r>
      <w:proofErr w:type="spellEnd"/>
      <w:r w:rsidR="00D55593" w:rsidRPr="00705170">
        <w:rPr>
          <w:rFonts w:ascii="Times New Roman" w:hAnsi="Times New Roman" w:cs="Times New Roman"/>
        </w:rPr>
        <w:t xml:space="preserve"> </w:t>
      </w:r>
      <w:proofErr w:type="spellStart"/>
      <w:r w:rsidR="00D55593" w:rsidRPr="00705170">
        <w:rPr>
          <w:rFonts w:ascii="Times New Roman" w:hAnsi="Times New Roman" w:cs="Times New Roman"/>
        </w:rPr>
        <w:t>or</w:t>
      </w:r>
      <w:proofErr w:type="spellEnd"/>
      <w:r w:rsidR="00D55593" w:rsidRPr="00705170">
        <w:rPr>
          <w:rFonts w:ascii="Times New Roman" w:hAnsi="Times New Roman" w:cs="Times New Roman"/>
        </w:rPr>
        <w:t xml:space="preserve"> a </w:t>
      </w:r>
      <w:proofErr w:type="spellStart"/>
      <w:r w:rsidR="00D55593" w:rsidRPr="00705170">
        <w:rPr>
          <w:rFonts w:ascii="Times New Roman" w:hAnsi="Times New Roman" w:cs="Times New Roman"/>
        </w:rPr>
        <w:t>substantial</w:t>
      </w:r>
      <w:proofErr w:type="spellEnd"/>
      <w:r w:rsidR="00D55593" w:rsidRPr="00705170">
        <w:rPr>
          <w:rFonts w:ascii="Times New Roman" w:hAnsi="Times New Roman" w:cs="Times New Roman"/>
        </w:rPr>
        <w:t xml:space="preserve"> </w:t>
      </w:r>
      <w:proofErr w:type="spellStart"/>
      <w:r w:rsidR="003437FF" w:rsidRPr="00705170">
        <w:rPr>
          <w:rFonts w:ascii="Times New Roman" w:hAnsi="Times New Roman" w:cs="Times New Roman"/>
        </w:rPr>
        <w:t>part</w:t>
      </w:r>
      <w:proofErr w:type="spellEnd"/>
      <w:r w:rsidR="003437FF" w:rsidRPr="00705170">
        <w:rPr>
          <w:rFonts w:ascii="Times New Roman" w:hAnsi="Times New Roman" w:cs="Times New Roman"/>
        </w:rPr>
        <w:t xml:space="preserve"> of </w:t>
      </w:r>
      <w:proofErr w:type="spellStart"/>
      <w:r w:rsidR="003437FF" w:rsidRPr="00705170">
        <w:rPr>
          <w:rFonts w:ascii="Times New Roman" w:hAnsi="Times New Roman" w:cs="Times New Roman"/>
        </w:rPr>
        <w:t>the</w:t>
      </w:r>
      <w:proofErr w:type="spellEnd"/>
      <w:r w:rsidR="003437FF" w:rsidRPr="00705170">
        <w:rPr>
          <w:rFonts w:ascii="Times New Roman" w:hAnsi="Times New Roman" w:cs="Times New Roman"/>
        </w:rPr>
        <w:t xml:space="preserve"> </w:t>
      </w:r>
      <w:proofErr w:type="spellStart"/>
      <w:r w:rsidR="003437FF" w:rsidRPr="00705170">
        <w:rPr>
          <w:rFonts w:ascii="Times New Roman" w:hAnsi="Times New Roman" w:cs="Times New Roman"/>
        </w:rPr>
        <w:t>corporate</w:t>
      </w:r>
      <w:proofErr w:type="spellEnd"/>
      <w:r w:rsidR="003437FF" w:rsidRPr="00705170">
        <w:rPr>
          <w:rFonts w:ascii="Times New Roman" w:hAnsi="Times New Roman" w:cs="Times New Roman"/>
        </w:rPr>
        <w:t xml:space="preserve"> </w:t>
      </w:r>
      <w:proofErr w:type="spellStart"/>
      <w:r w:rsidR="003437FF" w:rsidRPr="00705170">
        <w:rPr>
          <w:rFonts w:ascii="Times New Roman" w:hAnsi="Times New Roman" w:cs="Times New Roman"/>
        </w:rPr>
        <w:t>assets</w:t>
      </w:r>
      <w:proofErr w:type="spellEnd"/>
      <w:r w:rsidR="003437FF" w:rsidRPr="00705170">
        <w:rPr>
          <w:rFonts w:ascii="Times New Roman" w:hAnsi="Times New Roman" w:cs="Times New Roman"/>
        </w:rPr>
        <w:t xml:space="preserve"> </w:t>
      </w:r>
      <w:proofErr w:type="spellStart"/>
      <w:r w:rsidR="00C82AEA" w:rsidRPr="00705170">
        <w:rPr>
          <w:rFonts w:ascii="Times New Roman" w:hAnsi="Times New Roman" w:cs="Times New Roman"/>
        </w:rPr>
        <w:t>or</w:t>
      </w:r>
      <w:proofErr w:type="spellEnd"/>
      <w:r w:rsidR="00C82AEA" w:rsidRPr="00705170">
        <w:rPr>
          <w:rFonts w:ascii="Times New Roman" w:hAnsi="Times New Roman" w:cs="Times New Roman"/>
        </w:rPr>
        <w:t xml:space="preserve"> </w:t>
      </w:r>
      <w:proofErr w:type="spellStart"/>
      <w:r w:rsidR="00C82AEA" w:rsidRPr="00705170">
        <w:rPr>
          <w:rFonts w:ascii="Times New Roman" w:hAnsi="Times New Roman" w:cs="Times New Roman"/>
        </w:rPr>
        <w:t>establishment</w:t>
      </w:r>
      <w:proofErr w:type="spellEnd"/>
      <w:r w:rsidR="00C82AEA" w:rsidRPr="00705170">
        <w:rPr>
          <w:rFonts w:ascii="Times New Roman" w:hAnsi="Times New Roman" w:cs="Times New Roman"/>
        </w:rPr>
        <w:t xml:space="preserve"> of a </w:t>
      </w:r>
      <w:proofErr w:type="spellStart"/>
      <w:r w:rsidR="00A71C79" w:rsidRPr="00705170">
        <w:rPr>
          <w:rFonts w:ascii="Times New Roman" w:hAnsi="Times New Roman" w:cs="Times New Roman"/>
        </w:rPr>
        <w:t>possesory</w:t>
      </w:r>
      <w:proofErr w:type="spellEnd"/>
      <w:r w:rsidR="00A71C79" w:rsidRPr="00705170">
        <w:rPr>
          <w:rFonts w:ascii="Times New Roman" w:hAnsi="Times New Roman" w:cs="Times New Roman"/>
        </w:rPr>
        <w:t xml:space="preserve"> </w:t>
      </w:r>
      <w:proofErr w:type="spellStart"/>
      <w:r w:rsidR="00A71C79" w:rsidRPr="00705170">
        <w:rPr>
          <w:rFonts w:ascii="Times New Roman" w:hAnsi="Times New Roman" w:cs="Times New Roman"/>
        </w:rPr>
        <w:t>interest</w:t>
      </w:r>
      <w:proofErr w:type="spellEnd"/>
      <w:r w:rsidR="00C82AEA" w:rsidRPr="00705170">
        <w:rPr>
          <w:rFonts w:ascii="Times New Roman" w:hAnsi="Times New Roman" w:cs="Times New Roman"/>
        </w:rPr>
        <w:t xml:space="preserve">, (2) </w:t>
      </w:r>
      <w:proofErr w:type="spellStart"/>
      <w:r w:rsidR="00C82AEA" w:rsidRPr="00705170">
        <w:rPr>
          <w:rFonts w:ascii="Times New Roman" w:hAnsi="Times New Roman" w:cs="Times New Roman"/>
        </w:rPr>
        <w:t>change</w:t>
      </w:r>
      <w:proofErr w:type="spellEnd"/>
      <w:r w:rsidR="00C82AEA" w:rsidRPr="00705170">
        <w:rPr>
          <w:rFonts w:ascii="Times New Roman" w:hAnsi="Times New Roman" w:cs="Times New Roman"/>
        </w:rPr>
        <w:t xml:space="preserve"> of </w:t>
      </w:r>
      <w:proofErr w:type="spellStart"/>
      <w:r w:rsidR="00C82AEA" w:rsidRPr="00705170">
        <w:rPr>
          <w:rFonts w:ascii="Times New Roman" w:hAnsi="Times New Roman" w:cs="Times New Roman"/>
        </w:rPr>
        <w:t>the</w:t>
      </w:r>
      <w:proofErr w:type="spellEnd"/>
      <w:r w:rsidR="00C82AEA" w:rsidRPr="00705170">
        <w:rPr>
          <w:rFonts w:ascii="Times New Roman" w:hAnsi="Times New Roman" w:cs="Times New Roman"/>
        </w:rPr>
        <w:t xml:space="preserve"> </w:t>
      </w:r>
      <w:proofErr w:type="spellStart"/>
      <w:r w:rsidR="00C82AEA" w:rsidRPr="00705170">
        <w:rPr>
          <w:rFonts w:ascii="Times New Roman" w:hAnsi="Times New Roman" w:cs="Times New Roman"/>
        </w:rPr>
        <w:t>specified</w:t>
      </w:r>
      <w:proofErr w:type="spellEnd"/>
      <w:r w:rsidR="00C82AEA" w:rsidRPr="00705170">
        <w:rPr>
          <w:rFonts w:ascii="Times New Roman" w:hAnsi="Times New Roman" w:cs="Times New Roman"/>
        </w:rPr>
        <w:t xml:space="preserve"> </w:t>
      </w:r>
      <w:proofErr w:type="spellStart"/>
      <w:r w:rsidR="00C82AEA" w:rsidRPr="00705170">
        <w:rPr>
          <w:rFonts w:ascii="Times New Roman" w:hAnsi="Times New Roman" w:cs="Times New Roman"/>
        </w:rPr>
        <w:t>corporate</w:t>
      </w:r>
      <w:proofErr w:type="spellEnd"/>
      <w:r w:rsidR="00C82AEA" w:rsidRPr="00705170">
        <w:rPr>
          <w:rFonts w:ascii="Times New Roman" w:hAnsi="Times New Roman" w:cs="Times New Roman"/>
        </w:rPr>
        <w:t xml:space="preserve"> </w:t>
      </w:r>
      <w:proofErr w:type="spellStart"/>
      <w:r w:rsidR="00C82AEA" w:rsidRPr="00705170">
        <w:rPr>
          <w:rFonts w:ascii="Times New Roman" w:hAnsi="Times New Roman" w:cs="Times New Roman"/>
        </w:rPr>
        <w:t>purpose</w:t>
      </w:r>
      <w:proofErr w:type="spellEnd"/>
      <w:r w:rsidR="00C82AEA" w:rsidRPr="00705170">
        <w:rPr>
          <w:rFonts w:ascii="Times New Roman" w:hAnsi="Times New Roman" w:cs="Times New Roman"/>
        </w:rPr>
        <w:t xml:space="preserve">, (3) </w:t>
      </w:r>
      <w:proofErr w:type="spellStart"/>
      <w:r w:rsidR="00C82AEA" w:rsidRPr="00705170">
        <w:rPr>
          <w:rFonts w:ascii="Times New Roman" w:hAnsi="Times New Roman" w:cs="Times New Roman"/>
        </w:rPr>
        <w:t>acquisition</w:t>
      </w:r>
      <w:proofErr w:type="spellEnd"/>
      <w:r w:rsidR="00C82AEA" w:rsidRPr="00705170">
        <w:rPr>
          <w:rFonts w:ascii="Times New Roman" w:hAnsi="Times New Roman" w:cs="Times New Roman"/>
        </w:rPr>
        <w:t xml:space="preserve"> </w:t>
      </w:r>
      <w:proofErr w:type="spellStart"/>
      <w:r w:rsidR="00C82AEA" w:rsidRPr="00705170">
        <w:rPr>
          <w:rFonts w:ascii="Times New Roman" w:hAnsi="Times New Roman" w:cs="Times New Roman"/>
        </w:rPr>
        <w:t>or</w:t>
      </w:r>
      <w:proofErr w:type="spellEnd"/>
      <w:r w:rsidR="00C82AEA" w:rsidRPr="00705170">
        <w:rPr>
          <w:rFonts w:ascii="Times New Roman" w:hAnsi="Times New Roman" w:cs="Times New Roman"/>
        </w:rPr>
        <w:t xml:space="preserve"> </w:t>
      </w:r>
      <w:proofErr w:type="spellStart"/>
      <w:r w:rsidR="00C82AEA" w:rsidRPr="00705170">
        <w:rPr>
          <w:rFonts w:ascii="Times New Roman" w:hAnsi="Times New Roman" w:cs="Times New Roman"/>
        </w:rPr>
        <w:t>loan</w:t>
      </w:r>
      <w:proofErr w:type="spellEnd"/>
      <w:r w:rsidR="00C82AEA" w:rsidRPr="00705170">
        <w:rPr>
          <w:rFonts w:ascii="Times New Roman" w:hAnsi="Times New Roman" w:cs="Times New Roman"/>
        </w:rPr>
        <w:t xml:space="preserve"> of </w:t>
      </w:r>
      <w:proofErr w:type="spellStart"/>
      <w:r w:rsidR="00C82AEA" w:rsidRPr="00705170">
        <w:rPr>
          <w:rFonts w:ascii="Times New Roman" w:hAnsi="Times New Roman" w:cs="Times New Roman"/>
        </w:rPr>
        <w:t>significant</w:t>
      </w:r>
      <w:proofErr w:type="spellEnd"/>
      <w:r w:rsidR="00C82AEA" w:rsidRPr="00705170">
        <w:rPr>
          <w:rFonts w:ascii="Times New Roman" w:hAnsi="Times New Roman" w:cs="Times New Roman"/>
        </w:rPr>
        <w:t xml:space="preserve"> </w:t>
      </w:r>
      <w:proofErr w:type="spellStart"/>
      <w:r w:rsidR="00C82AEA" w:rsidRPr="00705170">
        <w:rPr>
          <w:rFonts w:ascii="Times New Roman" w:hAnsi="Times New Roman" w:cs="Times New Roman"/>
        </w:rPr>
        <w:t>amount</w:t>
      </w:r>
      <w:proofErr w:type="spellEnd"/>
      <w:r w:rsidR="00C82AEA" w:rsidRPr="00705170">
        <w:rPr>
          <w:rFonts w:ascii="Times New Roman" w:hAnsi="Times New Roman" w:cs="Times New Roman"/>
        </w:rPr>
        <w:t xml:space="preserve"> of </w:t>
      </w:r>
      <w:proofErr w:type="spellStart"/>
      <w:r w:rsidR="00C82AEA" w:rsidRPr="00705170">
        <w:rPr>
          <w:rFonts w:ascii="Times New Roman" w:hAnsi="Times New Roman" w:cs="Times New Roman"/>
        </w:rPr>
        <w:t>assets</w:t>
      </w:r>
      <w:proofErr w:type="spellEnd"/>
      <w:r w:rsidR="00C82AEA" w:rsidRPr="00705170">
        <w:rPr>
          <w:rFonts w:ascii="Times New Roman" w:hAnsi="Times New Roman" w:cs="Times New Roman"/>
        </w:rPr>
        <w:t xml:space="preserve"> </w:t>
      </w:r>
      <w:proofErr w:type="spellStart"/>
      <w:r w:rsidR="00C82AEA" w:rsidRPr="00705170">
        <w:rPr>
          <w:rFonts w:ascii="Times New Roman" w:hAnsi="Times New Roman" w:cs="Times New Roman"/>
        </w:rPr>
        <w:t>fro</w:t>
      </w:r>
      <w:r w:rsidR="00A51EF6" w:rsidRPr="00705170">
        <w:rPr>
          <w:rFonts w:ascii="Times New Roman" w:hAnsi="Times New Roman" w:cs="Times New Roman"/>
        </w:rPr>
        <w:t>m</w:t>
      </w:r>
      <w:proofErr w:type="spellEnd"/>
      <w:r w:rsidR="00C82AEA" w:rsidRPr="00705170">
        <w:rPr>
          <w:rFonts w:ascii="Times New Roman" w:hAnsi="Times New Roman" w:cs="Times New Roman"/>
        </w:rPr>
        <w:t xml:space="preserve"> </w:t>
      </w:r>
      <w:proofErr w:type="spellStart"/>
      <w:r w:rsidR="00C82AEA" w:rsidRPr="00705170">
        <w:rPr>
          <w:rFonts w:ascii="Times New Roman" w:hAnsi="Times New Roman" w:cs="Times New Roman"/>
        </w:rPr>
        <w:t>related</w:t>
      </w:r>
      <w:proofErr w:type="spellEnd"/>
      <w:r w:rsidR="00C82AEA" w:rsidRPr="00705170">
        <w:rPr>
          <w:rFonts w:ascii="Times New Roman" w:hAnsi="Times New Roman" w:cs="Times New Roman"/>
        </w:rPr>
        <w:t xml:space="preserve"> </w:t>
      </w:r>
      <w:proofErr w:type="spellStart"/>
      <w:r w:rsidR="00C82AEA" w:rsidRPr="00705170">
        <w:rPr>
          <w:rFonts w:ascii="Times New Roman" w:hAnsi="Times New Roman" w:cs="Times New Roman"/>
        </w:rPr>
        <w:t>parties</w:t>
      </w:r>
      <w:proofErr w:type="spellEnd"/>
      <w:r w:rsidR="00C82AEA" w:rsidRPr="00705170">
        <w:rPr>
          <w:rFonts w:ascii="Times New Roman" w:hAnsi="Times New Roman" w:cs="Times New Roman"/>
        </w:rPr>
        <w:t>.</w:t>
      </w:r>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The</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significance</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threshold</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represents</w:t>
      </w:r>
      <w:proofErr w:type="spellEnd"/>
      <w:r w:rsidR="00A51EF6" w:rsidRPr="00705170">
        <w:rPr>
          <w:rFonts w:ascii="Times New Roman" w:hAnsi="Times New Roman" w:cs="Times New Roman"/>
        </w:rPr>
        <w:t xml:space="preserve"> a </w:t>
      </w:r>
      <w:proofErr w:type="spellStart"/>
      <w:r w:rsidR="00A51EF6" w:rsidRPr="00705170">
        <w:rPr>
          <w:rFonts w:ascii="Times New Roman" w:hAnsi="Times New Roman" w:cs="Times New Roman"/>
        </w:rPr>
        <w:t>criteria</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lastRenderedPageBreak/>
        <w:t>that</w:t>
      </w:r>
      <w:proofErr w:type="spellEnd"/>
      <w:r w:rsidR="00A51EF6" w:rsidRPr="00705170">
        <w:rPr>
          <w:rFonts w:ascii="Times New Roman" w:hAnsi="Times New Roman" w:cs="Times New Roman"/>
        </w:rPr>
        <w:t xml:space="preserve"> </w:t>
      </w:r>
      <w:proofErr w:type="spellStart"/>
      <w:r w:rsidR="00DC4528" w:rsidRPr="00705170">
        <w:rPr>
          <w:rFonts w:ascii="Times New Roman" w:hAnsi="Times New Roman" w:cs="Times New Roman"/>
        </w:rPr>
        <w:t>requires</w:t>
      </w:r>
      <w:proofErr w:type="spellEnd"/>
      <w:r w:rsidR="00DC4528" w:rsidRPr="00705170">
        <w:rPr>
          <w:rFonts w:ascii="Times New Roman" w:hAnsi="Times New Roman" w:cs="Times New Roman"/>
        </w:rPr>
        <w:t xml:space="preserve"> </w:t>
      </w:r>
      <w:proofErr w:type="spellStart"/>
      <w:r w:rsidR="00DC4528" w:rsidRPr="00705170">
        <w:rPr>
          <w:rFonts w:ascii="Times New Roman" w:hAnsi="Times New Roman" w:cs="Times New Roman"/>
        </w:rPr>
        <w:t>calculation</w:t>
      </w:r>
      <w:proofErr w:type="spellEnd"/>
      <w:r w:rsidR="00DC4528" w:rsidRPr="00705170">
        <w:rPr>
          <w:rFonts w:ascii="Times New Roman" w:hAnsi="Times New Roman" w:cs="Times New Roman"/>
        </w:rPr>
        <w:t xml:space="preserve"> of </w:t>
      </w:r>
      <w:proofErr w:type="spellStart"/>
      <w:r w:rsidR="00DC4528" w:rsidRPr="00705170">
        <w:rPr>
          <w:rFonts w:ascii="Times New Roman" w:hAnsi="Times New Roman" w:cs="Times New Roman"/>
        </w:rPr>
        <w:t>the</w:t>
      </w:r>
      <w:proofErr w:type="spellEnd"/>
      <w:r w:rsidR="00DC4528" w:rsidRPr="00705170">
        <w:rPr>
          <w:rFonts w:ascii="Times New Roman" w:hAnsi="Times New Roman" w:cs="Times New Roman"/>
        </w:rPr>
        <w:t xml:space="preserve"> </w:t>
      </w:r>
      <w:proofErr w:type="spellStart"/>
      <w:r w:rsidR="00DC4528" w:rsidRPr="00705170">
        <w:rPr>
          <w:rFonts w:ascii="Times New Roman" w:hAnsi="Times New Roman" w:cs="Times New Roman"/>
        </w:rPr>
        <w:t>proportion</w:t>
      </w:r>
      <w:proofErr w:type="spellEnd"/>
      <w:r w:rsidR="00A51EF6" w:rsidRPr="00705170">
        <w:rPr>
          <w:rFonts w:ascii="Times New Roman" w:hAnsi="Times New Roman" w:cs="Times New Roman"/>
        </w:rPr>
        <w:t xml:space="preserve"> of </w:t>
      </w:r>
      <w:proofErr w:type="spellStart"/>
      <w:r w:rsidR="00A51EF6" w:rsidRPr="00705170">
        <w:rPr>
          <w:rFonts w:ascii="Times New Roman" w:hAnsi="Times New Roman" w:cs="Times New Roman"/>
        </w:rPr>
        <w:t>the</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transaction</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to</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the</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assets</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or</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other</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elements</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determined</w:t>
      </w:r>
      <w:proofErr w:type="spellEnd"/>
      <w:r w:rsidR="00A51EF6" w:rsidRPr="00705170">
        <w:rPr>
          <w:rFonts w:ascii="Times New Roman" w:hAnsi="Times New Roman" w:cs="Times New Roman"/>
        </w:rPr>
        <w:t xml:space="preserve"> in </w:t>
      </w:r>
      <w:proofErr w:type="spellStart"/>
      <w:r w:rsidR="00A51EF6" w:rsidRPr="00705170">
        <w:rPr>
          <w:rFonts w:ascii="Times New Roman" w:hAnsi="Times New Roman" w:cs="Times New Roman"/>
        </w:rPr>
        <w:t>Article</w:t>
      </w:r>
      <w:proofErr w:type="spellEnd"/>
      <w:r w:rsidR="00A51EF6" w:rsidRPr="00705170">
        <w:rPr>
          <w:rFonts w:ascii="Times New Roman" w:hAnsi="Times New Roman" w:cs="Times New Roman"/>
        </w:rPr>
        <w:t xml:space="preserve"> 6 of </w:t>
      </w:r>
      <w:proofErr w:type="spellStart"/>
      <w:r w:rsidR="00A51EF6" w:rsidRPr="00705170">
        <w:rPr>
          <w:rFonts w:ascii="Times New Roman" w:hAnsi="Times New Roman" w:cs="Times New Roman"/>
        </w:rPr>
        <w:t>the</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Significant</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Transactions</w:t>
      </w:r>
      <w:proofErr w:type="spellEnd"/>
      <w:r w:rsidR="00A51EF6" w:rsidRPr="00705170">
        <w:rPr>
          <w:rFonts w:ascii="Times New Roman" w:hAnsi="Times New Roman" w:cs="Times New Roman"/>
        </w:rPr>
        <w:t xml:space="preserve"> </w:t>
      </w:r>
      <w:proofErr w:type="spellStart"/>
      <w:r w:rsidR="00A51EF6" w:rsidRPr="00705170">
        <w:rPr>
          <w:rFonts w:ascii="Times New Roman" w:hAnsi="Times New Roman" w:cs="Times New Roman"/>
        </w:rPr>
        <w:t>Comminique</w:t>
      </w:r>
      <w:proofErr w:type="spellEnd"/>
      <w:r w:rsidR="00A51EF6" w:rsidRPr="00705170">
        <w:rPr>
          <w:rFonts w:ascii="Times New Roman" w:hAnsi="Times New Roman" w:cs="Times New Roman"/>
        </w:rPr>
        <w:t>.</w:t>
      </w:r>
      <w:r w:rsidR="005E3397" w:rsidRPr="00705170">
        <w:rPr>
          <w:rFonts w:ascii="Times New Roman" w:hAnsi="Times New Roman" w:cs="Times New Roman"/>
        </w:rPr>
        <w:t xml:space="preserve"> </w:t>
      </w:r>
    </w:p>
    <w:p w14:paraId="2ED7F41D" w14:textId="5FA70D9C" w:rsidR="00637616" w:rsidRPr="00705170" w:rsidRDefault="00C30BA5" w:rsidP="00B823D9">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Although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regime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poses</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constraint</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dealings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t>
      </w:r>
      <w:r w:rsidR="00637616" w:rsidRPr="00705170">
        <w:rPr>
          <w:rFonts w:ascii="Times New Roman" w:hAnsi="Times New Roman" w:cs="Times New Roman"/>
        </w:rPr>
        <w:t>he</w:t>
      </w:r>
      <w:proofErr w:type="spellEnd"/>
      <w:r w:rsidR="00637616" w:rsidRPr="00705170">
        <w:rPr>
          <w:rFonts w:ascii="Times New Roman" w:hAnsi="Times New Roman" w:cs="Times New Roman"/>
        </w:rPr>
        <w:t xml:space="preserve"> “</w:t>
      </w:r>
      <w:proofErr w:type="spellStart"/>
      <w:r w:rsidR="00637616" w:rsidRPr="00705170">
        <w:rPr>
          <w:rFonts w:ascii="Times New Roman" w:hAnsi="Times New Roman" w:cs="Times New Roman"/>
        </w:rPr>
        <w:t>downside</w:t>
      </w:r>
      <w:proofErr w:type="spellEnd"/>
      <w:r w:rsidR="00637616" w:rsidRPr="00705170">
        <w:rPr>
          <w:rFonts w:ascii="Times New Roman" w:hAnsi="Times New Roman" w:cs="Times New Roman"/>
        </w:rPr>
        <w:t xml:space="preserve"> of </w:t>
      </w:r>
      <w:proofErr w:type="spellStart"/>
      <w:r w:rsidR="00637616" w:rsidRPr="00705170">
        <w:rPr>
          <w:rFonts w:ascii="Times New Roman" w:hAnsi="Times New Roman" w:cs="Times New Roman"/>
        </w:rPr>
        <w:t>the</w:t>
      </w:r>
      <w:proofErr w:type="spellEnd"/>
      <w:r w:rsidR="00637616" w:rsidRPr="00705170">
        <w:rPr>
          <w:rFonts w:ascii="Times New Roman" w:hAnsi="Times New Roman" w:cs="Times New Roman"/>
        </w:rPr>
        <w:t xml:space="preserve"> </w:t>
      </w:r>
      <w:proofErr w:type="spellStart"/>
      <w:r w:rsidR="00637616" w:rsidRPr="00705170">
        <w:rPr>
          <w:rFonts w:ascii="Times New Roman" w:hAnsi="Times New Roman" w:cs="Times New Roman"/>
        </w:rPr>
        <w:t>transaction</w:t>
      </w:r>
      <w:proofErr w:type="spellEnd"/>
      <w:r w:rsidR="00637616" w:rsidRPr="00705170">
        <w:rPr>
          <w:rFonts w:ascii="Times New Roman" w:hAnsi="Times New Roman" w:cs="Times New Roman"/>
        </w:rPr>
        <w:t xml:space="preserve">- </w:t>
      </w:r>
      <w:proofErr w:type="spellStart"/>
      <w:r w:rsidR="00637616" w:rsidRPr="00705170">
        <w:rPr>
          <w:rFonts w:ascii="Times New Roman" w:hAnsi="Times New Roman" w:cs="Times New Roman"/>
        </w:rPr>
        <w:t>by</w:t>
      </w:r>
      <w:proofErr w:type="spellEnd"/>
      <w:r w:rsidR="00637616" w:rsidRPr="00705170">
        <w:rPr>
          <w:rFonts w:ascii="Times New Roman" w:hAnsi="Times New Roman" w:cs="Times New Roman"/>
        </w:rPr>
        <w:t xml:space="preserve">- </w:t>
      </w:r>
      <w:proofErr w:type="spellStart"/>
      <w:r w:rsidR="00637616" w:rsidRPr="00705170">
        <w:rPr>
          <w:rFonts w:ascii="Times New Roman" w:hAnsi="Times New Roman" w:cs="Times New Roman"/>
        </w:rPr>
        <w:t>transaction</w:t>
      </w:r>
      <w:proofErr w:type="spellEnd"/>
      <w:r w:rsidR="00637616" w:rsidRPr="00705170">
        <w:rPr>
          <w:rFonts w:ascii="Times New Roman" w:hAnsi="Times New Roman" w:cs="Times New Roman"/>
        </w:rPr>
        <w:t xml:space="preserve"> </w:t>
      </w:r>
      <w:proofErr w:type="spellStart"/>
      <w:r w:rsidR="00637616" w:rsidRPr="00705170">
        <w:rPr>
          <w:rFonts w:ascii="Times New Roman" w:hAnsi="Times New Roman" w:cs="Times New Roman"/>
        </w:rPr>
        <w:t>approach</w:t>
      </w:r>
      <w:proofErr w:type="spellEnd"/>
      <w:r w:rsidR="00637616" w:rsidRPr="00705170">
        <w:rPr>
          <w:rFonts w:ascii="Times New Roman" w:hAnsi="Times New Roman" w:cs="Times New Roman"/>
        </w:rPr>
        <w:t xml:space="preserve"> is </w:t>
      </w:r>
      <w:proofErr w:type="spellStart"/>
      <w:r w:rsidR="00637616" w:rsidRPr="00705170">
        <w:rPr>
          <w:rFonts w:ascii="Times New Roman" w:hAnsi="Times New Roman" w:cs="Times New Roman"/>
        </w:rPr>
        <w:t>that</w:t>
      </w:r>
      <w:proofErr w:type="spellEnd"/>
      <w:r w:rsidR="00637616" w:rsidRPr="00705170">
        <w:rPr>
          <w:rFonts w:ascii="Times New Roman" w:hAnsi="Times New Roman" w:cs="Times New Roman"/>
        </w:rPr>
        <w:t xml:space="preserve"> it can be </w:t>
      </w:r>
      <w:proofErr w:type="spellStart"/>
      <w:r w:rsidR="00637616" w:rsidRPr="00705170">
        <w:rPr>
          <w:rFonts w:ascii="Times New Roman" w:hAnsi="Times New Roman" w:cs="Times New Roman"/>
        </w:rPr>
        <w:t>side</w:t>
      </w:r>
      <w:proofErr w:type="spellEnd"/>
      <w:r w:rsidR="00637616" w:rsidRPr="00705170">
        <w:rPr>
          <w:rFonts w:ascii="Times New Roman" w:hAnsi="Times New Roman" w:cs="Times New Roman"/>
        </w:rPr>
        <w:t xml:space="preserve">- </w:t>
      </w:r>
      <w:proofErr w:type="spellStart"/>
      <w:r w:rsidR="00637616" w:rsidRPr="00705170">
        <w:rPr>
          <w:rFonts w:ascii="Times New Roman" w:hAnsi="Times New Roman" w:cs="Times New Roman"/>
        </w:rPr>
        <w:t>stepped</w:t>
      </w:r>
      <w:proofErr w:type="spellEnd"/>
      <w:r w:rsidR="00637616" w:rsidRPr="00705170">
        <w:rPr>
          <w:rFonts w:ascii="Times New Roman" w:hAnsi="Times New Roman" w:cs="Times New Roman"/>
        </w:rPr>
        <w:t>…</w:t>
      </w:r>
      <w:proofErr w:type="spellStart"/>
      <w:r w:rsidR="00637616" w:rsidRPr="00705170">
        <w:rPr>
          <w:rFonts w:ascii="Times New Roman" w:hAnsi="Times New Roman" w:cs="Times New Roman"/>
        </w:rPr>
        <w:t>by</w:t>
      </w:r>
      <w:proofErr w:type="spellEnd"/>
      <w:r w:rsidR="00637616" w:rsidRPr="00705170">
        <w:rPr>
          <w:rFonts w:ascii="Times New Roman" w:hAnsi="Times New Roman" w:cs="Times New Roman"/>
        </w:rPr>
        <w:t xml:space="preserve"> </w:t>
      </w:r>
      <w:proofErr w:type="spellStart"/>
      <w:r w:rsidR="00637616" w:rsidRPr="00705170">
        <w:rPr>
          <w:rFonts w:ascii="Times New Roman" w:hAnsi="Times New Roman" w:cs="Times New Roman"/>
        </w:rPr>
        <w:t>adoption</w:t>
      </w:r>
      <w:proofErr w:type="spellEnd"/>
      <w:r w:rsidR="00637616" w:rsidRPr="00705170">
        <w:rPr>
          <w:rFonts w:ascii="Times New Roman" w:hAnsi="Times New Roman" w:cs="Times New Roman"/>
        </w:rPr>
        <w:t xml:space="preserve"> of a </w:t>
      </w:r>
      <w:proofErr w:type="spellStart"/>
      <w:r w:rsidR="00637616" w:rsidRPr="00705170">
        <w:rPr>
          <w:rFonts w:ascii="Times New Roman" w:hAnsi="Times New Roman" w:cs="Times New Roman"/>
        </w:rPr>
        <w:t>non</w:t>
      </w:r>
      <w:proofErr w:type="spellEnd"/>
      <w:r w:rsidR="00637616" w:rsidRPr="00705170">
        <w:rPr>
          <w:rFonts w:ascii="Times New Roman" w:hAnsi="Times New Roman" w:cs="Times New Roman"/>
        </w:rPr>
        <w:t xml:space="preserve">- </w:t>
      </w:r>
      <w:proofErr w:type="spellStart"/>
      <w:r w:rsidR="00637616" w:rsidRPr="00705170">
        <w:rPr>
          <w:rFonts w:ascii="Times New Roman" w:hAnsi="Times New Roman" w:cs="Times New Roman"/>
        </w:rPr>
        <w:t>regulated</w:t>
      </w:r>
      <w:proofErr w:type="spellEnd"/>
      <w:r w:rsidR="00637616" w:rsidRPr="00705170">
        <w:rPr>
          <w:rFonts w:ascii="Times New Roman" w:hAnsi="Times New Roman" w:cs="Times New Roman"/>
        </w:rPr>
        <w:t xml:space="preserve"> </w:t>
      </w:r>
      <w:proofErr w:type="spellStart"/>
      <w:r w:rsidR="00637616" w:rsidRPr="00705170">
        <w:rPr>
          <w:rFonts w:ascii="Times New Roman" w:hAnsi="Times New Roman" w:cs="Times New Roman"/>
        </w:rPr>
        <w:t>transaction</w:t>
      </w:r>
      <w:proofErr w:type="spellEnd"/>
      <w:r w:rsidR="00637616" w:rsidRPr="00705170">
        <w:rPr>
          <w:rFonts w:ascii="Times New Roman" w:hAnsi="Times New Roman" w:cs="Times New Roman"/>
        </w:rPr>
        <w:t xml:space="preserve"> </w:t>
      </w:r>
      <w:proofErr w:type="spellStart"/>
      <w:r w:rsidR="00637616" w:rsidRPr="00705170">
        <w:rPr>
          <w:rFonts w:ascii="Times New Roman" w:hAnsi="Times New Roman" w:cs="Times New Roman"/>
        </w:rPr>
        <w:t>which</w:t>
      </w:r>
      <w:proofErr w:type="spellEnd"/>
      <w:r w:rsidR="00637616" w:rsidRPr="00705170">
        <w:rPr>
          <w:rFonts w:ascii="Times New Roman" w:hAnsi="Times New Roman" w:cs="Times New Roman"/>
        </w:rPr>
        <w:t xml:space="preserve"> </w:t>
      </w:r>
      <w:proofErr w:type="spellStart"/>
      <w:r w:rsidR="00637616" w:rsidRPr="00705170">
        <w:rPr>
          <w:rFonts w:ascii="Times New Roman" w:hAnsi="Times New Roman" w:cs="Times New Roman"/>
        </w:rPr>
        <w:t>achieves</w:t>
      </w:r>
      <w:proofErr w:type="spellEnd"/>
      <w:r w:rsidR="00637616" w:rsidRPr="00705170">
        <w:rPr>
          <w:rFonts w:ascii="Times New Roman" w:hAnsi="Times New Roman" w:cs="Times New Roman"/>
        </w:rPr>
        <w:t xml:space="preserve"> </w:t>
      </w:r>
      <w:proofErr w:type="spellStart"/>
      <w:r w:rsidR="001D1691" w:rsidRPr="00705170">
        <w:rPr>
          <w:rFonts w:ascii="Times New Roman" w:hAnsi="Times New Roman" w:cs="Times New Roman"/>
        </w:rPr>
        <w:t>the</w:t>
      </w:r>
      <w:proofErr w:type="spellEnd"/>
      <w:r w:rsidR="001D1691" w:rsidRPr="00705170">
        <w:rPr>
          <w:rFonts w:ascii="Times New Roman" w:hAnsi="Times New Roman" w:cs="Times New Roman"/>
        </w:rPr>
        <w:t xml:space="preserve"> </w:t>
      </w:r>
      <w:proofErr w:type="spellStart"/>
      <w:r w:rsidR="001D1691" w:rsidRPr="00705170">
        <w:rPr>
          <w:rFonts w:ascii="Times New Roman" w:hAnsi="Times New Roman" w:cs="Times New Roman"/>
        </w:rPr>
        <w:t>same</w:t>
      </w:r>
      <w:proofErr w:type="spellEnd"/>
      <w:r w:rsidR="001D1691" w:rsidRPr="00705170">
        <w:rPr>
          <w:rFonts w:ascii="Times New Roman" w:hAnsi="Times New Roman" w:cs="Times New Roman"/>
        </w:rPr>
        <w:t xml:space="preserve"> </w:t>
      </w:r>
      <w:proofErr w:type="spellStart"/>
      <w:r w:rsidR="001D1691" w:rsidRPr="00705170">
        <w:rPr>
          <w:rFonts w:ascii="Times New Roman" w:hAnsi="Times New Roman" w:cs="Times New Roman"/>
        </w:rPr>
        <w:t>functional</w:t>
      </w:r>
      <w:proofErr w:type="spellEnd"/>
      <w:r w:rsidR="001D1691" w:rsidRPr="00705170">
        <w:rPr>
          <w:rFonts w:ascii="Times New Roman" w:hAnsi="Times New Roman" w:cs="Times New Roman"/>
        </w:rPr>
        <w:t xml:space="preserve"> </w:t>
      </w:r>
      <w:proofErr w:type="spellStart"/>
      <w:r w:rsidR="001D1691" w:rsidRPr="00705170">
        <w:rPr>
          <w:rFonts w:ascii="Times New Roman" w:hAnsi="Times New Roman" w:cs="Times New Roman"/>
        </w:rPr>
        <w:t>goal</w:t>
      </w:r>
      <w:proofErr w:type="spellEnd"/>
      <w:r w:rsidR="001D1691" w:rsidRPr="00705170">
        <w:rPr>
          <w:rFonts w:ascii="Times New Roman" w:hAnsi="Times New Roman" w:cs="Times New Roman"/>
        </w:rPr>
        <w:t>”</w:t>
      </w:r>
      <w:r w:rsidR="001D1691" w:rsidRPr="00705170">
        <w:rPr>
          <w:rStyle w:val="DipnotBavurusu"/>
          <w:rFonts w:ascii="Times New Roman" w:hAnsi="Times New Roman" w:cs="Times New Roman"/>
        </w:rPr>
        <w:footnoteReference w:id="275"/>
      </w:r>
      <w:r w:rsidR="001D1691" w:rsidRPr="00705170">
        <w:rPr>
          <w:rFonts w:ascii="Times New Roman" w:hAnsi="Times New Roman" w:cs="Times New Roman"/>
        </w:rPr>
        <w:t>.</w:t>
      </w:r>
      <w:r w:rsidR="001F0573" w:rsidRPr="00705170">
        <w:rPr>
          <w:rFonts w:ascii="Times New Roman" w:hAnsi="Times New Roman" w:cs="Times New Roman"/>
        </w:rPr>
        <w:t xml:space="preserve"> </w:t>
      </w:r>
      <w:proofErr w:type="spellStart"/>
      <w:r w:rsidR="00FE7827" w:rsidRPr="00705170">
        <w:rPr>
          <w:rFonts w:ascii="Times New Roman" w:hAnsi="Times New Roman" w:cs="Times New Roman"/>
        </w:rPr>
        <w:t>The</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fact</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that</w:t>
      </w:r>
      <w:proofErr w:type="spellEnd"/>
      <w:r w:rsidR="00FE7827" w:rsidRPr="00705170">
        <w:rPr>
          <w:rFonts w:ascii="Times New Roman" w:hAnsi="Times New Roman" w:cs="Times New Roman"/>
        </w:rPr>
        <w:t xml:space="preserve"> CML </w:t>
      </w:r>
      <w:proofErr w:type="spellStart"/>
      <w:r w:rsidR="00FE7827" w:rsidRPr="00705170">
        <w:rPr>
          <w:rFonts w:ascii="Times New Roman" w:hAnsi="Times New Roman" w:cs="Times New Roman"/>
        </w:rPr>
        <w:t>gives</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the</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corporation</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the</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right</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to</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cancel</w:t>
      </w:r>
      <w:proofErr w:type="spellEnd"/>
      <w:r w:rsidR="00FE7827" w:rsidRPr="00705170">
        <w:rPr>
          <w:rFonts w:ascii="Times New Roman" w:hAnsi="Times New Roman" w:cs="Times New Roman"/>
        </w:rPr>
        <w:t xml:space="preserve"> a </w:t>
      </w:r>
      <w:proofErr w:type="spellStart"/>
      <w:r w:rsidR="00FE7827" w:rsidRPr="00705170">
        <w:rPr>
          <w:rFonts w:ascii="Times New Roman" w:hAnsi="Times New Roman" w:cs="Times New Roman"/>
        </w:rPr>
        <w:t>significant</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transaction</w:t>
      </w:r>
      <w:proofErr w:type="spellEnd"/>
      <w:r w:rsidR="00FE7827" w:rsidRPr="00705170">
        <w:rPr>
          <w:rFonts w:ascii="Times New Roman" w:hAnsi="Times New Roman" w:cs="Times New Roman"/>
        </w:rPr>
        <w:t xml:space="preserve"> plan </w:t>
      </w:r>
      <w:proofErr w:type="spellStart"/>
      <w:r w:rsidR="00FE7827" w:rsidRPr="00705170">
        <w:rPr>
          <w:rFonts w:ascii="Times New Roman" w:hAnsi="Times New Roman" w:cs="Times New Roman"/>
        </w:rPr>
        <w:t>even</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after</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the</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proposal</w:t>
      </w:r>
      <w:proofErr w:type="spellEnd"/>
      <w:r w:rsidR="00FE7827" w:rsidRPr="00705170">
        <w:rPr>
          <w:rFonts w:ascii="Times New Roman" w:hAnsi="Times New Roman" w:cs="Times New Roman"/>
        </w:rPr>
        <w:t xml:space="preserve"> is </w:t>
      </w:r>
      <w:proofErr w:type="spellStart"/>
      <w:r w:rsidR="00FE7827" w:rsidRPr="00705170">
        <w:rPr>
          <w:rFonts w:ascii="Times New Roman" w:hAnsi="Times New Roman" w:cs="Times New Roman"/>
        </w:rPr>
        <w:t>submitted</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to</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the</w:t>
      </w:r>
      <w:proofErr w:type="spellEnd"/>
      <w:r w:rsidR="00FE7827" w:rsidRPr="00705170">
        <w:rPr>
          <w:rFonts w:ascii="Times New Roman" w:hAnsi="Times New Roman" w:cs="Times New Roman"/>
        </w:rPr>
        <w:t xml:space="preserve"> general </w:t>
      </w:r>
      <w:proofErr w:type="spellStart"/>
      <w:r w:rsidR="00FE7827" w:rsidRPr="00705170">
        <w:rPr>
          <w:rFonts w:ascii="Times New Roman" w:hAnsi="Times New Roman" w:cs="Times New Roman"/>
        </w:rPr>
        <w:t>assembly</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and</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voted</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Significant</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Transactions</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Comminique</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Article</w:t>
      </w:r>
      <w:proofErr w:type="spellEnd"/>
      <w:r w:rsidR="00FE7827" w:rsidRPr="00705170">
        <w:rPr>
          <w:rFonts w:ascii="Times New Roman" w:hAnsi="Times New Roman" w:cs="Times New Roman"/>
        </w:rPr>
        <w:t xml:space="preserve"> </w:t>
      </w:r>
      <w:r w:rsidR="008955B5" w:rsidRPr="00705170">
        <w:rPr>
          <w:rFonts w:ascii="Times New Roman" w:hAnsi="Times New Roman" w:cs="Times New Roman"/>
        </w:rPr>
        <w:t>10(</w:t>
      </w:r>
      <w:r w:rsidR="001659DC">
        <w:rPr>
          <w:rFonts w:ascii="Times New Roman" w:hAnsi="Times New Roman" w:cs="Times New Roman"/>
        </w:rPr>
        <w:t>4</w:t>
      </w:r>
      <w:r w:rsidR="008955B5" w:rsidRPr="00705170">
        <w:rPr>
          <w:rFonts w:ascii="Times New Roman" w:hAnsi="Times New Roman" w:cs="Times New Roman"/>
        </w:rPr>
        <w:t>)</w:t>
      </w:r>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shows</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that</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the</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law</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gives</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the</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leeway</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to</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the</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controllers</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to</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achieve</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their</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purposes</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through</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alternative</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structurings</w:t>
      </w:r>
      <w:proofErr w:type="spellEnd"/>
      <w:r w:rsidR="00FE7827" w:rsidRPr="00705170">
        <w:rPr>
          <w:rFonts w:ascii="Times New Roman" w:hAnsi="Times New Roman" w:cs="Times New Roman"/>
        </w:rPr>
        <w:t xml:space="preserve">. </w:t>
      </w:r>
      <w:proofErr w:type="spellStart"/>
      <w:r w:rsidR="00FE7827" w:rsidRPr="00705170">
        <w:rPr>
          <w:rFonts w:ascii="Times New Roman" w:hAnsi="Times New Roman" w:cs="Times New Roman"/>
        </w:rPr>
        <w:t>Also</w:t>
      </w:r>
      <w:proofErr w:type="spellEnd"/>
      <w:r w:rsidR="00FE7827" w:rsidRPr="00705170">
        <w:rPr>
          <w:rFonts w:ascii="Times New Roman" w:hAnsi="Times New Roman" w:cs="Times New Roman"/>
        </w:rPr>
        <w:t>,</w:t>
      </w:r>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controllers</w:t>
      </w:r>
      <w:proofErr w:type="spellEnd"/>
      <w:r w:rsidR="001F0573" w:rsidRPr="00705170">
        <w:rPr>
          <w:rFonts w:ascii="Times New Roman" w:hAnsi="Times New Roman" w:cs="Times New Roman"/>
        </w:rPr>
        <w:t xml:space="preserve"> can </w:t>
      </w:r>
      <w:proofErr w:type="spellStart"/>
      <w:r w:rsidR="001F0573" w:rsidRPr="00705170">
        <w:rPr>
          <w:rFonts w:ascii="Times New Roman" w:hAnsi="Times New Roman" w:cs="Times New Roman"/>
        </w:rPr>
        <w:t>use</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different</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techniques</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to</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achieve</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what</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they</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desire</w:t>
      </w:r>
      <w:proofErr w:type="spellEnd"/>
      <w:r w:rsidR="001F0573" w:rsidRPr="00705170">
        <w:rPr>
          <w:rFonts w:ascii="Times New Roman" w:hAnsi="Times New Roman" w:cs="Times New Roman"/>
        </w:rPr>
        <w:t xml:space="preserve">, </w:t>
      </w:r>
      <w:proofErr w:type="spellStart"/>
      <w:r w:rsidR="00FE7827" w:rsidRPr="00705170">
        <w:rPr>
          <w:rFonts w:ascii="Times New Roman" w:hAnsi="Times New Roman" w:cs="Times New Roman"/>
        </w:rPr>
        <w:t>without</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trigger</w:t>
      </w:r>
      <w:r w:rsidR="00FE7827" w:rsidRPr="00705170">
        <w:rPr>
          <w:rFonts w:ascii="Times New Roman" w:hAnsi="Times New Roman" w:cs="Times New Roman"/>
        </w:rPr>
        <w:t>ing</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dissenters</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rights</w:t>
      </w:r>
      <w:proofErr w:type="spellEnd"/>
      <w:r w:rsidR="001F0573" w:rsidRPr="00705170">
        <w:rPr>
          <w:rStyle w:val="DipnotBavurusu"/>
          <w:rFonts w:ascii="Times New Roman" w:hAnsi="Times New Roman" w:cs="Times New Roman"/>
        </w:rPr>
        <w:footnoteReference w:id="276"/>
      </w:r>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Even</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when</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the</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action</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triggers</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dissenters</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rights</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the</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complex</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procedures</w:t>
      </w:r>
      <w:proofErr w:type="spellEnd"/>
      <w:r w:rsidR="001F0573" w:rsidRPr="00705170">
        <w:rPr>
          <w:rFonts w:ascii="Times New Roman" w:hAnsi="Times New Roman" w:cs="Times New Roman"/>
        </w:rPr>
        <w:t xml:space="preserve"> of </w:t>
      </w:r>
      <w:proofErr w:type="spellStart"/>
      <w:r w:rsidR="001F0573" w:rsidRPr="00705170">
        <w:rPr>
          <w:rFonts w:ascii="Times New Roman" w:hAnsi="Times New Roman" w:cs="Times New Roman"/>
        </w:rPr>
        <w:t>the</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rights</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may</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leave</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the</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minority</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shareholders</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without</w:t>
      </w:r>
      <w:proofErr w:type="spellEnd"/>
      <w:r w:rsidR="001F0573" w:rsidRPr="00705170">
        <w:rPr>
          <w:rFonts w:ascii="Times New Roman" w:hAnsi="Times New Roman" w:cs="Times New Roman"/>
        </w:rPr>
        <w:t xml:space="preserve"> a </w:t>
      </w:r>
      <w:proofErr w:type="spellStart"/>
      <w:r w:rsidR="001F0573" w:rsidRPr="00705170">
        <w:rPr>
          <w:rFonts w:ascii="Times New Roman" w:hAnsi="Times New Roman" w:cs="Times New Roman"/>
        </w:rPr>
        <w:t>practical</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way</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for</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obtaining</w:t>
      </w:r>
      <w:proofErr w:type="spellEnd"/>
      <w:r w:rsidR="001F0573" w:rsidRPr="00705170">
        <w:rPr>
          <w:rFonts w:ascii="Times New Roman" w:hAnsi="Times New Roman" w:cs="Times New Roman"/>
        </w:rPr>
        <w:t xml:space="preserve"> a </w:t>
      </w:r>
      <w:proofErr w:type="spellStart"/>
      <w:r w:rsidR="001F0573" w:rsidRPr="00705170">
        <w:rPr>
          <w:rFonts w:ascii="Times New Roman" w:hAnsi="Times New Roman" w:cs="Times New Roman"/>
        </w:rPr>
        <w:t>fair</w:t>
      </w:r>
      <w:proofErr w:type="spellEnd"/>
      <w:r w:rsidR="001F0573" w:rsidRPr="00705170">
        <w:rPr>
          <w:rFonts w:ascii="Times New Roman" w:hAnsi="Times New Roman" w:cs="Times New Roman"/>
        </w:rPr>
        <w:t xml:space="preserve"> </w:t>
      </w:r>
      <w:proofErr w:type="spellStart"/>
      <w:r w:rsidR="001F0573" w:rsidRPr="00705170">
        <w:rPr>
          <w:rFonts w:ascii="Times New Roman" w:hAnsi="Times New Roman" w:cs="Times New Roman"/>
        </w:rPr>
        <w:t>remedy</w:t>
      </w:r>
      <w:proofErr w:type="spellEnd"/>
      <w:r w:rsidR="001F0573" w:rsidRPr="00705170">
        <w:rPr>
          <w:rStyle w:val="DipnotBavurusu"/>
          <w:rFonts w:ascii="Times New Roman" w:hAnsi="Times New Roman" w:cs="Times New Roman"/>
        </w:rPr>
        <w:footnoteReference w:id="277"/>
      </w:r>
      <w:r w:rsidR="001F0573" w:rsidRPr="00705170">
        <w:rPr>
          <w:rFonts w:ascii="Times New Roman" w:hAnsi="Times New Roman" w:cs="Times New Roman"/>
        </w:rPr>
        <w:t>.</w:t>
      </w:r>
      <w:r w:rsidR="00FE7827" w:rsidRPr="00705170">
        <w:rPr>
          <w:rFonts w:ascii="Times New Roman" w:hAnsi="Times New Roman" w:cs="Times New Roman"/>
        </w:rPr>
        <w:t xml:space="preserve"> </w:t>
      </w:r>
      <w:r w:rsidRPr="00705170">
        <w:rPr>
          <w:rFonts w:ascii="Times New Roman" w:hAnsi="Times New Roman" w:cs="Times New Roman"/>
        </w:rPr>
        <w:t xml:space="preserve">Apart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extract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external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dealings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deem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regime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ineffective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ineffective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against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extractions</w:t>
      </w:r>
      <w:proofErr w:type="spellEnd"/>
      <w:r w:rsidRPr="00705170">
        <w:rPr>
          <w:rFonts w:ascii="Times New Roman" w:hAnsi="Times New Roman" w:cs="Times New Roman"/>
        </w:rPr>
        <w:t>.</w:t>
      </w:r>
    </w:p>
    <w:p w14:paraId="4CFE2B9E" w14:textId="26C1FC81" w:rsidR="008F35A9" w:rsidRPr="00705170" w:rsidRDefault="00C01441" w:rsidP="001C2A80">
      <w:pPr>
        <w:spacing w:after="240" w:line="480" w:lineRule="auto"/>
        <w:ind w:firstLine="708"/>
        <w:jc w:val="both"/>
        <w:rPr>
          <w:rFonts w:ascii="Times New Roman" w:hAnsi="Times New Roman" w:cs="Times New Roman"/>
          <w:b/>
        </w:rPr>
      </w:pPr>
      <w:r>
        <w:rPr>
          <w:rFonts w:ascii="Times New Roman" w:hAnsi="Times New Roman" w:cs="Times New Roman"/>
          <w:b/>
        </w:rPr>
        <w:t>3</w:t>
      </w:r>
      <w:r w:rsidR="008F35A9" w:rsidRPr="00705170">
        <w:rPr>
          <w:rFonts w:ascii="Times New Roman" w:hAnsi="Times New Roman" w:cs="Times New Roman"/>
          <w:b/>
        </w:rPr>
        <w:t xml:space="preserve">.2.2. </w:t>
      </w:r>
      <w:proofErr w:type="spellStart"/>
      <w:r w:rsidR="008F35A9" w:rsidRPr="00705170">
        <w:rPr>
          <w:rFonts w:ascii="Times New Roman" w:hAnsi="Times New Roman" w:cs="Times New Roman"/>
          <w:b/>
        </w:rPr>
        <w:t>Concealed</w:t>
      </w:r>
      <w:proofErr w:type="spellEnd"/>
      <w:r w:rsidR="008F35A9" w:rsidRPr="00705170">
        <w:rPr>
          <w:rFonts w:ascii="Times New Roman" w:hAnsi="Times New Roman" w:cs="Times New Roman"/>
          <w:b/>
        </w:rPr>
        <w:t xml:space="preserve"> Distribution of </w:t>
      </w:r>
      <w:proofErr w:type="spellStart"/>
      <w:r w:rsidR="008F35A9" w:rsidRPr="00705170">
        <w:rPr>
          <w:rFonts w:ascii="Times New Roman" w:hAnsi="Times New Roman" w:cs="Times New Roman"/>
          <w:b/>
        </w:rPr>
        <w:t>Capital</w:t>
      </w:r>
      <w:proofErr w:type="spellEnd"/>
      <w:r w:rsidR="00D91AC9" w:rsidRPr="00705170">
        <w:rPr>
          <w:rFonts w:ascii="Times New Roman" w:hAnsi="Times New Roman" w:cs="Times New Roman"/>
          <w:b/>
        </w:rPr>
        <w:t xml:space="preserve"> </w:t>
      </w:r>
      <w:proofErr w:type="spellStart"/>
      <w:r w:rsidR="00D91AC9" w:rsidRPr="00705170">
        <w:rPr>
          <w:rFonts w:ascii="Times New Roman" w:hAnsi="Times New Roman" w:cs="Times New Roman"/>
          <w:b/>
        </w:rPr>
        <w:t>and</w:t>
      </w:r>
      <w:proofErr w:type="spellEnd"/>
      <w:r w:rsidR="00D91AC9" w:rsidRPr="00705170">
        <w:rPr>
          <w:rFonts w:ascii="Times New Roman" w:hAnsi="Times New Roman" w:cs="Times New Roman"/>
          <w:b/>
        </w:rPr>
        <w:t xml:space="preserve"> </w:t>
      </w:r>
      <w:proofErr w:type="spellStart"/>
      <w:r w:rsidR="005278D5" w:rsidRPr="00705170">
        <w:rPr>
          <w:rFonts w:ascii="Times New Roman" w:hAnsi="Times New Roman" w:cs="Times New Roman"/>
          <w:b/>
        </w:rPr>
        <w:t>Related</w:t>
      </w:r>
      <w:proofErr w:type="spellEnd"/>
      <w:r w:rsidR="005278D5" w:rsidRPr="00705170">
        <w:rPr>
          <w:rFonts w:ascii="Times New Roman" w:hAnsi="Times New Roman" w:cs="Times New Roman"/>
          <w:b/>
        </w:rPr>
        <w:t xml:space="preserve">- </w:t>
      </w:r>
      <w:proofErr w:type="spellStart"/>
      <w:r w:rsidR="005278D5" w:rsidRPr="00705170">
        <w:rPr>
          <w:rFonts w:ascii="Times New Roman" w:hAnsi="Times New Roman" w:cs="Times New Roman"/>
          <w:b/>
        </w:rPr>
        <w:t>Party</w:t>
      </w:r>
      <w:proofErr w:type="spellEnd"/>
      <w:r w:rsidR="005278D5" w:rsidRPr="00705170">
        <w:rPr>
          <w:rFonts w:ascii="Times New Roman" w:hAnsi="Times New Roman" w:cs="Times New Roman"/>
          <w:b/>
        </w:rPr>
        <w:t xml:space="preserve"> </w:t>
      </w:r>
      <w:proofErr w:type="spellStart"/>
      <w:r w:rsidR="005278D5" w:rsidRPr="00705170">
        <w:rPr>
          <w:rFonts w:ascii="Times New Roman" w:hAnsi="Times New Roman" w:cs="Times New Roman"/>
          <w:b/>
        </w:rPr>
        <w:t>Transactions</w:t>
      </w:r>
      <w:proofErr w:type="spellEnd"/>
    </w:p>
    <w:p w14:paraId="1A0C1270" w14:textId="07955DB2" w:rsidR="00223D99" w:rsidRPr="00705170" w:rsidRDefault="00C75B5D" w:rsidP="00223D99">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Pr="00705170">
        <w:rPr>
          <w:rFonts w:ascii="Times New Roman" w:hAnsi="Times New Roman" w:cs="Times New Roman"/>
        </w:rPr>
        <w:t>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self- </w:t>
      </w:r>
      <w:proofErr w:type="spellStart"/>
      <w:r w:rsidRPr="00705170">
        <w:rPr>
          <w:rFonts w:ascii="Times New Roman" w:hAnsi="Times New Roman" w:cs="Times New Roman"/>
        </w:rPr>
        <w:t>dealing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represents</w:t>
      </w:r>
      <w:proofErr w:type="spellEnd"/>
      <w:r w:rsidRPr="00705170">
        <w:rPr>
          <w:rFonts w:ascii="Times New Roman" w:hAnsi="Times New Roman" w:cs="Times New Roman"/>
        </w:rPr>
        <w:t xml:space="preserve"> </w:t>
      </w:r>
      <w:r w:rsidR="0008607E" w:rsidRPr="00705170">
        <w:rPr>
          <w:rFonts w:ascii="Times New Roman" w:hAnsi="Times New Roman" w:cs="Times New Roman"/>
        </w:rPr>
        <w:t xml:space="preserve">a </w:t>
      </w:r>
      <w:proofErr w:type="spellStart"/>
      <w:r w:rsidRPr="00705170">
        <w:rPr>
          <w:rFonts w:ascii="Times New Roman" w:hAnsi="Times New Roman" w:cs="Times New Roman"/>
        </w:rPr>
        <w:t>technique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value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diversion</w:t>
      </w:r>
      <w:proofErr w:type="spellEnd"/>
      <w:r w:rsidRPr="00705170">
        <w:rPr>
          <w:rStyle w:val="DipnotBavurusu"/>
          <w:rFonts w:ascii="Times New Roman" w:hAnsi="Times New Roman" w:cs="Times New Roman"/>
        </w:rPr>
        <w:footnoteReference w:id="278"/>
      </w:r>
      <w:r w:rsidR="0008607E" w:rsidRPr="00705170">
        <w:rPr>
          <w:rFonts w:ascii="Times New Roman" w:hAnsi="Times New Roman" w:cs="Times New Roman"/>
        </w:rPr>
        <w:t xml:space="preserve">, in </w:t>
      </w:r>
      <w:proofErr w:type="spellStart"/>
      <w:r w:rsidR="0008607E" w:rsidRPr="00705170">
        <w:rPr>
          <w:rFonts w:ascii="Times New Roman" w:hAnsi="Times New Roman" w:cs="Times New Roman"/>
        </w:rPr>
        <w:t>which</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corporate</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insiders</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transfers</w:t>
      </w:r>
      <w:proofErr w:type="spellEnd"/>
      <w:r w:rsidR="0008607E" w:rsidRPr="00705170">
        <w:rPr>
          <w:rFonts w:ascii="Times New Roman" w:hAnsi="Times New Roman" w:cs="Times New Roman"/>
        </w:rPr>
        <w:t xml:space="preserve"> a </w:t>
      </w:r>
      <w:proofErr w:type="spellStart"/>
      <w:r w:rsidR="0008607E" w:rsidRPr="00705170">
        <w:rPr>
          <w:rFonts w:ascii="Times New Roman" w:hAnsi="Times New Roman" w:cs="Times New Roman"/>
        </w:rPr>
        <w:t>corporation’s</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resources</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through</w:t>
      </w:r>
      <w:proofErr w:type="spellEnd"/>
      <w:r w:rsidR="0008607E" w:rsidRPr="00705170">
        <w:rPr>
          <w:rFonts w:ascii="Times New Roman" w:hAnsi="Times New Roman" w:cs="Times New Roman"/>
        </w:rPr>
        <w:t xml:space="preserve"> self- </w:t>
      </w:r>
      <w:proofErr w:type="spellStart"/>
      <w:r w:rsidR="0008607E" w:rsidRPr="00705170">
        <w:rPr>
          <w:rFonts w:ascii="Times New Roman" w:hAnsi="Times New Roman" w:cs="Times New Roman"/>
        </w:rPr>
        <w:t>dealing</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transactions</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and</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obtain</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private</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benefits</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from</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control</w:t>
      </w:r>
      <w:proofErr w:type="spellEnd"/>
      <w:r w:rsidR="00691C00" w:rsidRPr="00705170">
        <w:rPr>
          <w:rStyle w:val="DipnotBavurusu"/>
          <w:rFonts w:ascii="Times New Roman" w:hAnsi="Times New Roman" w:cs="Times New Roman"/>
        </w:rPr>
        <w:footnoteReference w:id="279"/>
      </w:r>
      <w:r w:rsidR="003D2BE9" w:rsidRPr="00705170">
        <w:rPr>
          <w:rFonts w:ascii="Times New Roman" w:hAnsi="Times New Roman" w:cs="Times New Roman"/>
        </w:rPr>
        <w:t>.</w:t>
      </w:r>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T</w:t>
      </w:r>
      <w:r w:rsidR="003D2BE9" w:rsidRPr="00705170">
        <w:rPr>
          <w:rFonts w:ascii="Times New Roman" w:hAnsi="Times New Roman" w:cs="Times New Roman"/>
        </w:rPr>
        <w:t>he</w:t>
      </w:r>
      <w:proofErr w:type="spellEnd"/>
      <w:r w:rsidR="00691C00" w:rsidRPr="00705170">
        <w:rPr>
          <w:rFonts w:ascii="Times New Roman" w:hAnsi="Times New Roman" w:cs="Times New Roman"/>
        </w:rPr>
        <w:t xml:space="preserve"> </w:t>
      </w:r>
      <w:proofErr w:type="spellStart"/>
      <w:r w:rsidR="00691C00" w:rsidRPr="00705170">
        <w:rPr>
          <w:rFonts w:ascii="Times New Roman" w:hAnsi="Times New Roman" w:cs="Times New Roman"/>
        </w:rPr>
        <w:t>conduct</w:t>
      </w:r>
      <w:proofErr w:type="spellEnd"/>
      <w:r w:rsidR="00691C00" w:rsidRPr="00705170">
        <w:rPr>
          <w:rFonts w:ascii="Times New Roman" w:hAnsi="Times New Roman" w:cs="Times New Roman"/>
        </w:rPr>
        <w:t xml:space="preserve"> of </w:t>
      </w:r>
      <w:proofErr w:type="spellStart"/>
      <w:r w:rsidR="00691C00" w:rsidRPr="00705170">
        <w:rPr>
          <w:rFonts w:ascii="Times New Roman" w:hAnsi="Times New Roman" w:cs="Times New Roman"/>
        </w:rPr>
        <w:t>transferring</w:t>
      </w:r>
      <w:proofErr w:type="spellEnd"/>
      <w:r w:rsidR="00691C00" w:rsidRPr="00705170">
        <w:rPr>
          <w:rFonts w:ascii="Times New Roman" w:hAnsi="Times New Roman" w:cs="Times New Roman"/>
        </w:rPr>
        <w:t xml:space="preserve"> </w:t>
      </w:r>
      <w:proofErr w:type="spellStart"/>
      <w:r w:rsidR="00691C00" w:rsidRPr="00705170">
        <w:rPr>
          <w:rFonts w:ascii="Times New Roman" w:hAnsi="Times New Roman" w:cs="Times New Roman"/>
        </w:rPr>
        <w:t>resources</w:t>
      </w:r>
      <w:proofErr w:type="spellEnd"/>
      <w:r w:rsidR="00691C00" w:rsidRPr="00705170">
        <w:rPr>
          <w:rFonts w:ascii="Times New Roman" w:hAnsi="Times New Roman" w:cs="Times New Roman"/>
        </w:rPr>
        <w:t xml:space="preserve"> </w:t>
      </w:r>
      <w:proofErr w:type="spellStart"/>
      <w:r w:rsidR="00691C00" w:rsidRPr="00705170">
        <w:rPr>
          <w:rFonts w:ascii="Times New Roman" w:hAnsi="Times New Roman" w:cs="Times New Roman"/>
        </w:rPr>
        <w:t>out</w:t>
      </w:r>
      <w:proofErr w:type="spellEnd"/>
      <w:r w:rsidR="00691C00" w:rsidRPr="00705170">
        <w:rPr>
          <w:rFonts w:ascii="Times New Roman" w:hAnsi="Times New Roman" w:cs="Times New Roman"/>
        </w:rPr>
        <w:t xml:space="preserve"> of </w:t>
      </w:r>
      <w:proofErr w:type="spellStart"/>
      <w:r w:rsidR="00691C00" w:rsidRPr="00705170">
        <w:rPr>
          <w:rFonts w:ascii="Times New Roman" w:hAnsi="Times New Roman" w:cs="Times New Roman"/>
        </w:rPr>
        <w:t>the</w:t>
      </w:r>
      <w:proofErr w:type="spellEnd"/>
      <w:r w:rsidR="00691C00" w:rsidRPr="00705170">
        <w:rPr>
          <w:rFonts w:ascii="Times New Roman" w:hAnsi="Times New Roman" w:cs="Times New Roman"/>
        </w:rPr>
        <w:t xml:space="preserve"> </w:t>
      </w:r>
      <w:proofErr w:type="spellStart"/>
      <w:r w:rsidR="00691C00" w:rsidRPr="00705170">
        <w:rPr>
          <w:rFonts w:ascii="Times New Roman" w:hAnsi="Times New Roman" w:cs="Times New Roman"/>
        </w:rPr>
        <w:lastRenderedPageBreak/>
        <w:t>corporation</w:t>
      </w:r>
      <w:proofErr w:type="spellEnd"/>
      <w:r w:rsidR="00691C00" w:rsidRPr="00705170">
        <w:rPr>
          <w:rFonts w:ascii="Times New Roman" w:hAnsi="Times New Roman" w:cs="Times New Roman"/>
        </w:rPr>
        <w:t xml:space="preserve"> </w:t>
      </w:r>
      <w:proofErr w:type="spellStart"/>
      <w:r w:rsidR="00691C00" w:rsidRPr="00705170">
        <w:rPr>
          <w:rFonts w:ascii="Times New Roman" w:hAnsi="Times New Roman" w:cs="Times New Roman"/>
        </w:rPr>
        <w:t>to</w:t>
      </w:r>
      <w:proofErr w:type="spellEnd"/>
      <w:r w:rsidR="00691C00" w:rsidRPr="00705170">
        <w:rPr>
          <w:rFonts w:ascii="Times New Roman" w:hAnsi="Times New Roman" w:cs="Times New Roman"/>
        </w:rPr>
        <w:t xml:space="preserve"> a </w:t>
      </w:r>
      <w:proofErr w:type="spellStart"/>
      <w:r w:rsidR="00691C00" w:rsidRPr="00705170">
        <w:rPr>
          <w:rFonts w:ascii="Times New Roman" w:hAnsi="Times New Roman" w:cs="Times New Roman"/>
        </w:rPr>
        <w:t>corporate</w:t>
      </w:r>
      <w:proofErr w:type="spellEnd"/>
      <w:r w:rsidR="00691C00" w:rsidRPr="00705170">
        <w:rPr>
          <w:rFonts w:ascii="Times New Roman" w:hAnsi="Times New Roman" w:cs="Times New Roman"/>
        </w:rPr>
        <w:t xml:space="preserve"> </w:t>
      </w:r>
      <w:proofErr w:type="spellStart"/>
      <w:r w:rsidR="00691C00" w:rsidRPr="00705170">
        <w:rPr>
          <w:rFonts w:ascii="Times New Roman" w:hAnsi="Times New Roman" w:cs="Times New Roman"/>
        </w:rPr>
        <w:t>insider</w:t>
      </w:r>
      <w:proofErr w:type="spellEnd"/>
      <w:r w:rsidR="0008607E" w:rsidRPr="00705170">
        <w:rPr>
          <w:rFonts w:ascii="Times New Roman" w:hAnsi="Times New Roman" w:cs="Times New Roman"/>
        </w:rPr>
        <w:t xml:space="preserve"> is </w:t>
      </w:r>
      <w:proofErr w:type="spellStart"/>
      <w:r w:rsidR="003D2BE9" w:rsidRPr="00705170">
        <w:rPr>
          <w:rFonts w:ascii="Times New Roman" w:hAnsi="Times New Roman" w:cs="Times New Roman"/>
        </w:rPr>
        <w:t>generally</w:t>
      </w:r>
      <w:proofErr w:type="spellEnd"/>
      <w:r w:rsidR="003D2BE9" w:rsidRPr="00705170">
        <w:rPr>
          <w:rFonts w:ascii="Times New Roman" w:hAnsi="Times New Roman" w:cs="Times New Roman"/>
        </w:rPr>
        <w:t xml:space="preserve"> </w:t>
      </w:r>
      <w:proofErr w:type="spellStart"/>
      <w:r w:rsidR="0008607E" w:rsidRPr="00705170">
        <w:rPr>
          <w:rFonts w:ascii="Times New Roman" w:hAnsi="Times New Roman" w:cs="Times New Roman"/>
        </w:rPr>
        <w:t>termed</w:t>
      </w:r>
      <w:proofErr w:type="spellEnd"/>
      <w:r w:rsidR="0008607E" w:rsidRPr="00705170">
        <w:rPr>
          <w:rFonts w:ascii="Times New Roman" w:hAnsi="Times New Roman" w:cs="Times New Roman"/>
        </w:rPr>
        <w:t xml:space="preserve"> as “</w:t>
      </w:r>
      <w:proofErr w:type="spellStart"/>
      <w:r w:rsidR="0008607E" w:rsidRPr="00705170">
        <w:rPr>
          <w:rFonts w:ascii="Times New Roman" w:hAnsi="Times New Roman" w:cs="Times New Roman"/>
        </w:rPr>
        <w:t>tunnelling</w:t>
      </w:r>
      <w:proofErr w:type="spellEnd"/>
      <w:r w:rsidR="0008607E" w:rsidRPr="00705170">
        <w:rPr>
          <w:rFonts w:ascii="Times New Roman" w:hAnsi="Times New Roman" w:cs="Times New Roman"/>
        </w:rPr>
        <w:t>”</w:t>
      </w:r>
      <w:r w:rsidR="00691C00" w:rsidRPr="00705170">
        <w:rPr>
          <w:rStyle w:val="DipnotBavurusu"/>
          <w:rFonts w:ascii="Times New Roman" w:hAnsi="Times New Roman" w:cs="Times New Roman"/>
        </w:rPr>
        <w:footnoteReference w:id="280"/>
      </w:r>
      <w:r w:rsidR="003D2BE9" w:rsidRPr="00705170">
        <w:rPr>
          <w:rFonts w:ascii="Times New Roman" w:hAnsi="Times New Roman" w:cs="Times New Roman"/>
        </w:rPr>
        <w:t xml:space="preserve">; in </w:t>
      </w:r>
      <w:proofErr w:type="spellStart"/>
      <w:r w:rsidR="003D2BE9" w:rsidRPr="00705170">
        <w:rPr>
          <w:rFonts w:ascii="Times New Roman" w:hAnsi="Times New Roman" w:cs="Times New Roman"/>
        </w:rPr>
        <w:t>this</w:t>
      </w:r>
      <w:proofErr w:type="spellEnd"/>
      <w:r w:rsidR="003D2BE9" w:rsidRPr="00705170">
        <w:rPr>
          <w:rFonts w:ascii="Times New Roman" w:hAnsi="Times New Roman" w:cs="Times New Roman"/>
        </w:rPr>
        <w:t xml:space="preserve"> </w:t>
      </w:r>
      <w:proofErr w:type="spellStart"/>
      <w:r w:rsidR="003D2BE9" w:rsidRPr="00705170">
        <w:rPr>
          <w:rFonts w:ascii="Times New Roman" w:hAnsi="Times New Roman" w:cs="Times New Roman"/>
        </w:rPr>
        <w:t>regards</w:t>
      </w:r>
      <w:proofErr w:type="spellEnd"/>
      <w:r w:rsidR="003D2BE9" w:rsidRPr="00705170">
        <w:rPr>
          <w:rFonts w:ascii="Times New Roman" w:hAnsi="Times New Roman" w:cs="Times New Roman"/>
        </w:rPr>
        <w:t xml:space="preserve">, self- </w:t>
      </w:r>
      <w:proofErr w:type="spellStart"/>
      <w:r w:rsidR="003D2BE9" w:rsidRPr="00705170">
        <w:rPr>
          <w:rFonts w:ascii="Times New Roman" w:hAnsi="Times New Roman" w:cs="Times New Roman"/>
        </w:rPr>
        <w:t>dealing</w:t>
      </w:r>
      <w:proofErr w:type="spellEnd"/>
      <w:r w:rsidR="003D2BE9" w:rsidRPr="00705170">
        <w:rPr>
          <w:rFonts w:ascii="Times New Roman" w:hAnsi="Times New Roman" w:cs="Times New Roman"/>
        </w:rPr>
        <w:t xml:space="preserve"> is </w:t>
      </w:r>
      <w:proofErr w:type="spellStart"/>
      <w:r w:rsidR="003D2BE9" w:rsidRPr="00705170">
        <w:rPr>
          <w:rFonts w:ascii="Times New Roman" w:hAnsi="Times New Roman" w:cs="Times New Roman"/>
        </w:rPr>
        <w:t>just</w:t>
      </w:r>
      <w:proofErr w:type="spellEnd"/>
      <w:r w:rsidR="003D2BE9" w:rsidRPr="00705170">
        <w:rPr>
          <w:rFonts w:ascii="Times New Roman" w:hAnsi="Times New Roman" w:cs="Times New Roman"/>
        </w:rPr>
        <w:t xml:space="preserve"> </w:t>
      </w:r>
      <w:proofErr w:type="spellStart"/>
      <w:r w:rsidR="003D2BE9" w:rsidRPr="00705170">
        <w:rPr>
          <w:rFonts w:ascii="Times New Roman" w:hAnsi="Times New Roman" w:cs="Times New Roman"/>
        </w:rPr>
        <w:t>one</w:t>
      </w:r>
      <w:proofErr w:type="spellEnd"/>
      <w:r w:rsidR="003D2BE9" w:rsidRPr="00705170">
        <w:rPr>
          <w:rFonts w:ascii="Times New Roman" w:hAnsi="Times New Roman" w:cs="Times New Roman"/>
        </w:rPr>
        <w:t xml:space="preserve"> </w:t>
      </w:r>
      <w:proofErr w:type="spellStart"/>
      <w:r w:rsidR="003D2BE9" w:rsidRPr="00705170">
        <w:rPr>
          <w:rFonts w:ascii="Times New Roman" w:hAnsi="Times New Roman" w:cs="Times New Roman"/>
        </w:rPr>
        <w:t>type</w:t>
      </w:r>
      <w:proofErr w:type="spellEnd"/>
      <w:r w:rsidR="003D2BE9" w:rsidRPr="00705170">
        <w:rPr>
          <w:rFonts w:ascii="Times New Roman" w:hAnsi="Times New Roman" w:cs="Times New Roman"/>
        </w:rPr>
        <w:t xml:space="preserve"> of </w:t>
      </w:r>
      <w:proofErr w:type="spellStart"/>
      <w:r w:rsidR="003D2BE9" w:rsidRPr="00705170">
        <w:rPr>
          <w:rFonts w:ascii="Times New Roman" w:hAnsi="Times New Roman" w:cs="Times New Roman"/>
        </w:rPr>
        <w:t>tunnelling</w:t>
      </w:r>
      <w:proofErr w:type="spellEnd"/>
      <w:r w:rsidR="003D2BE9" w:rsidRPr="00705170">
        <w:rPr>
          <w:rFonts w:ascii="Times New Roman" w:hAnsi="Times New Roman" w:cs="Times New Roman"/>
        </w:rPr>
        <w:t>.</w:t>
      </w:r>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The</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related</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party</w:t>
      </w:r>
      <w:proofErr w:type="spellEnd"/>
      <w:r w:rsidR="0008607E" w:rsidRPr="00705170">
        <w:rPr>
          <w:rFonts w:ascii="Times New Roman" w:hAnsi="Times New Roman" w:cs="Times New Roman"/>
        </w:rPr>
        <w:t xml:space="preserve"> </w:t>
      </w:r>
      <w:proofErr w:type="spellStart"/>
      <w:r w:rsidR="0008607E" w:rsidRPr="00705170">
        <w:rPr>
          <w:rFonts w:ascii="Times New Roman" w:hAnsi="Times New Roman" w:cs="Times New Roman"/>
        </w:rPr>
        <w:t>transactions</w:t>
      </w:r>
      <w:proofErr w:type="spellEnd"/>
      <w:r w:rsidRPr="00705170">
        <w:rPr>
          <w:rFonts w:ascii="Times New Roman" w:hAnsi="Times New Roman" w:cs="Times New Roman"/>
        </w:rPr>
        <w:t xml:space="preserve"> </w:t>
      </w:r>
      <w:r w:rsidR="0008607E" w:rsidRPr="00705170">
        <w:rPr>
          <w:rFonts w:ascii="Times New Roman" w:hAnsi="Times New Roman" w:cs="Times New Roman"/>
        </w:rPr>
        <w:t>“</w:t>
      </w:r>
      <w:proofErr w:type="spellStart"/>
      <w:r w:rsidRPr="00705170">
        <w:rPr>
          <w:rFonts w:ascii="Times New Roman" w:hAnsi="Times New Roman" w:cs="Times New Roman"/>
        </w:rPr>
        <w:t>category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includes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directors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controlling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traditional</w:t>
      </w:r>
      <w:proofErr w:type="spellEnd"/>
      <w:r w:rsidRPr="00705170">
        <w:rPr>
          <w:rFonts w:ascii="Times New Roman" w:hAnsi="Times New Roman" w:cs="Times New Roman"/>
        </w:rPr>
        <w:t xml:space="preserve"> self- </w:t>
      </w:r>
      <w:proofErr w:type="spellStart"/>
      <w:r w:rsidRPr="00705170">
        <w:rPr>
          <w:rFonts w:ascii="Times New Roman" w:hAnsi="Times New Roman" w:cs="Times New Roman"/>
        </w:rPr>
        <w:t>dealing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managerial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compensation</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well</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transactions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appropriate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value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belonging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taking</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opportunities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trading</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company’s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281"/>
      </w:r>
      <w:r w:rsidRPr="00705170">
        <w:rPr>
          <w:rFonts w:ascii="Times New Roman" w:hAnsi="Times New Roman" w:cs="Times New Roman"/>
        </w:rPr>
        <w:t>.</w:t>
      </w:r>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The</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primary</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concern</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about</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related</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party</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transactions</w:t>
      </w:r>
      <w:proofErr w:type="spellEnd"/>
      <w:r w:rsidR="00DF399B" w:rsidRPr="00705170">
        <w:rPr>
          <w:rFonts w:ascii="Times New Roman" w:hAnsi="Times New Roman" w:cs="Times New Roman"/>
        </w:rPr>
        <w:t xml:space="preserve"> is </w:t>
      </w:r>
      <w:proofErr w:type="spellStart"/>
      <w:r w:rsidR="00DF399B" w:rsidRPr="00705170">
        <w:rPr>
          <w:rFonts w:ascii="Times New Roman" w:hAnsi="Times New Roman" w:cs="Times New Roman"/>
        </w:rPr>
        <w:t>that</w:t>
      </w:r>
      <w:proofErr w:type="spellEnd"/>
      <w:r w:rsidR="00DF399B" w:rsidRPr="00705170">
        <w:rPr>
          <w:rFonts w:ascii="Times New Roman" w:hAnsi="Times New Roman" w:cs="Times New Roman"/>
        </w:rPr>
        <w:t xml:space="preserve"> a </w:t>
      </w:r>
      <w:proofErr w:type="spellStart"/>
      <w:r w:rsidR="00DF399B" w:rsidRPr="00705170">
        <w:rPr>
          <w:rFonts w:ascii="Times New Roman" w:hAnsi="Times New Roman" w:cs="Times New Roman"/>
        </w:rPr>
        <w:t>director</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or</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controlling</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shareholder</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may</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transact</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with</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the</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corporation</w:t>
      </w:r>
      <w:proofErr w:type="spellEnd"/>
      <w:r w:rsidR="00DF399B" w:rsidRPr="00705170">
        <w:rPr>
          <w:rFonts w:ascii="Times New Roman" w:hAnsi="Times New Roman" w:cs="Times New Roman"/>
        </w:rPr>
        <w:t xml:space="preserve"> on </w:t>
      </w:r>
      <w:proofErr w:type="spellStart"/>
      <w:r w:rsidR="00DF399B" w:rsidRPr="00705170">
        <w:rPr>
          <w:rFonts w:ascii="Times New Roman" w:hAnsi="Times New Roman" w:cs="Times New Roman"/>
        </w:rPr>
        <w:t>less</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favorable</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terms</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than</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could</w:t>
      </w:r>
      <w:proofErr w:type="spellEnd"/>
      <w:r w:rsidR="00DF399B" w:rsidRPr="00705170">
        <w:rPr>
          <w:rFonts w:ascii="Times New Roman" w:hAnsi="Times New Roman" w:cs="Times New Roman"/>
        </w:rPr>
        <w:t xml:space="preserve"> be </w:t>
      </w:r>
      <w:proofErr w:type="spellStart"/>
      <w:r w:rsidR="00DF399B" w:rsidRPr="00705170">
        <w:rPr>
          <w:rFonts w:ascii="Times New Roman" w:hAnsi="Times New Roman" w:cs="Times New Roman"/>
        </w:rPr>
        <w:t>obtained</w:t>
      </w:r>
      <w:proofErr w:type="spellEnd"/>
      <w:r w:rsidR="00DF399B" w:rsidRPr="00705170">
        <w:rPr>
          <w:rFonts w:ascii="Times New Roman" w:hAnsi="Times New Roman" w:cs="Times New Roman"/>
        </w:rPr>
        <w:t xml:space="preserve"> in an </w:t>
      </w:r>
      <w:proofErr w:type="spellStart"/>
      <w:r w:rsidR="00DF399B" w:rsidRPr="00705170">
        <w:rPr>
          <w:rFonts w:ascii="Times New Roman" w:hAnsi="Times New Roman" w:cs="Times New Roman"/>
        </w:rPr>
        <w:t>arm’s</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length</w:t>
      </w:r>
      <w:proofErr w:type="spellEnd"/>
      <w:r w:rsidR="00DF399B" w:rsidRPr="00705170">
        <w:rPr>
          <w:rFonts w:ascii="Times New Roman" w:hAnsi="Times New Roman" w:cs="Times New Roman"/>
        </w:rPr>
        <w:t xml:space="preserve"> </w:t>
      </w:r>
      <w:proofErr w:type="spellStart"/>
      <w:r w:rsidR="00DF399B" w:rsidRPr="00705170">
        <w:rPr>
          <w:rFonts w:ascii="Times New Roman" w:hAnsi="Times New Roman" w:cs="Times New Roman"/>
        </w:rPr>
        <w:t>transaction</w:t>
      </w:r>
      <w:proofErr w:type="spellEnd"/>
      <w:r w:rsidR="00DF399B" w:rsidRPr="00705170">
        <w:rPr>
          <w:rStyle w:val="DipnotBavurusu"/>
          <w:rFonts w:ascii="Times New Roman" w:hAnsi="Times New Roman" w:cs="Times New Roman"/>
        </w:rPr>
        <w:footnoteReference w:id="282"/>
      </w:r>
      <w:r w:rsidR="00E46F03" w:rsidRPr="00705170">
        <w:rPr>
          <w:rFonts w:ascii="Times New Roman" w:hAnsi="Times New Roman" w:cs="Times New Roman"/>
        </w:rPr>
        <w:t xml:space="preserve">, </w:t>
      </w:r>
      <w:proofErr w:type="spellStart"/>
      <w:r w:rsidR="00E46F03" w:rsidRPr="00705170">
        <w:rPr>
          <w:rFonts w:ascii="Times New Roman" w:hAnsi="Times New Roman" w:cs="Times New Roman"/>
        </w:rPr>
        <w:t>and</w:t>
      </w:r>
      <w:proofErr w:type="spellEnd"/>
      <w:r w:rsidR="00E46F03" w:rsidRPr="00705170">
        <w:rPr>
          <w:rFonts w:ascii="Times New Roman" w:hAnsi="Times New Roman" w:cs="Times New Roman"/>
        </w:rPr>
        <w:t xml:space="preserve"> </w:t>
      </w:r>
      <w:proofErr w:type="spellStart"/>
      <w:r w:rsidR="000B01FF" w:rsidRPr="00705170">
        <w:rPr>
          <w:rFonts w:ascii="Times New Roman" w:hAnsi="Times New Roman" w:cs="Times New Roman"/>
        </w:rPr>
        <w:t>obtain</w:t>
      </w:r>
      <w:proofErr w:type="spellEnd"/>
      <w:r w:rsidR="000B01FF" w:rsidRPr="00705170">
        <w:rPr>
          <w:rFonts w:ascii="Times New Roman" w:hAnsi="Times New Roman" w:cs="Times New Roman"/>
        </w:rPr>
        <w:t xml:space="preserve"> </w:t>
      </w:r>
      <w:proofErr w:type="spellStart"/>
      <w:r w:rsidR="000B01FF" w:rsidRPr="00705170">
        <w:rPr>
          <w:rFonts w:ascii="Times New Roman" w:hAnsi="Times New Roman" w:cs="Times New Roman"/>
        </w:rPr>
        <w:t>disproportionate</w:t>
      </w:r>
      <w:proofErr w:type="spellEnd"/>
      <w:r w:rsidR="000B01FF" w:rsidRPr="00705170">
        <w:rPr>
          <w:rFonts w:ascii="Times New Roman" w:hAnsi="Times New Roman" w:cs="Times New Roman"/>
        </w:rPr>
        <w:t xml:space="preserve"> </w:t>
      </w:r>
      <w:proofErr w:type="spellStart"/>
      <w:r w:rsidR="000B01FF" w:rsidRPr="00705170">
        <w:rPr>
          <w:rFonts w:ascii="Times New Roman" w:hAnsi="Times New Roman" w:cs="Times New Roman"/>
        </w:rPr>
        <w:t>benefits</w:t>
      </w:r>
      <w:proofErr w:type="spellEnd"/>
      <w:r w:rsidR="000B01FF" w:rsidRPr="00705170">
        <w:rPr>
          <w:rFonts w:ascii="Times New Roman" w:hAnsi="Times New Roman" w:cs="Times New Roman"/>
        </w:rPr>
        <w:t xml:space="preserve"> </w:t>
      </w:r>
      <w:proofErr w:type="spellStart"/>
      <w:r w:rsidR="000B01FF" w:rsidRPr="00705170">
        <w:rPr>
          <w:rFonts w:ascii="Times New Roman" w:hAnsi="Times New Roman" w:cs="Times New Roman"/>
        </w:rPr>
        <w:t>and</w:t>
      </w:r>
      <w:proofErr w:type="spellEnd"/>
      <w:r w:rsidR="000B01FF" w:rsidRPr="00705170">
        <w:rPr>
          <w:rFonts w:ascii="Times New Roman" w:hAnsi="Times New Roman" w:cs="Times New Roman"/>
        </w:rPr>
        <w:t xml:space="preserve"> </w:t>
      </w:r>
      <w:proofErr w:type="spellStart"/>
      <w:r w:rsidR="000B01FF" w:rsidRPr="00705170">
        <w:rPr>
          <w:rFonts w:ascii="Times New Roman" w:hAnsi="Times New Roman" w:cs="Times New Roman"/>
        </w:rPr>
        <w:t>exclude</w:t>
      </w:r>
      <w:proofErr w:type="spellEnd"/>
      <w:r w:rsidR="000B01FF" w:rsidRPr="00705170">
        <w:rPr>
          <w:rFonts w:ascii="Times New Roman" w:hAnsi="Times New Roman" w:cs="Times New Roman"/>
        </w:rPr>
        <w:t xml:space="preserve"> </w:t>
      </w:r>
      <w:proofErr w:type="spellStart"/>
      <w:r w:rsidR="000B01FF" w:rsidRPr="00705170">
        <w:rPr>
          <w:rFonts w:ascii="Times New Roman" w:hAnsi="Times New Roman" w:cs="Times New Roman"/>
        </w:rPr>
        <w:t>other’s</w:t>
      </w:r>
      <w:proofErr w:type="spellEnd"/>
      <w:r w:rsidR="000B01FF" w:rsidRPr="00705170">
        <w:rPr>
          <w:rFonts w:ascii="Times New Roman" w:hAnsi="Times New Roman" w:cs="Times New Roman"/>
        </w:rPr>
        <w:t xml:space="preserve"> </w:t>
      </w:r>
      <w:proofErr w:type="spellStart"/>
      <w:r w:rsidR="000B01FF" w:rsidRPr="00705170">
        <w:rPr>
          <w:rFonts w:ascii="Times New Roman" w:hAnsi="Times New Roman" w:cs="Times New Roman"/>
        </w:rPr>
        <w:t>from</w:t>
      </w:r>
      <w:proofErr w:type="spellEnd"/>
      <w:r w:rsidR="000B01FF" w:rsidRPr="00705170">
        <w:rPr>
          <w:rFonts w:ascii="Times New Roman" w:hAnsi="Times New Roman" w:cs="Times New Roman"/>
        </w:rPr>
        <w:t xml:space="preserve"> </w:t>
      </w:r>
      <w:proofErr w:type="spellStart"/>
      <w:r w:rsidR="000B01FF" w:rsidRPr="00705170">
        <w:rPr>
          <w:rFonts w:ascii="Times New Roman" w:hAnsi="Times New Roman" w:cs="Times New Roman"/>
        </w:rPr>
        <w:t>their</w:t>
      </w:r>
      <w:proofErr w:type="spellEnd"/>
      <w:r w:rsidR="000B01FF" w:rsidRPr="00705170">
        <w:rPr>
          <w:rFonts w:ascii="Times New Roman" w:hAnsi="Times New Roman" w:cs="Times New Roman"/>
        </w:rPr>
        <w:t xml:space="preserve"> </w:t>
      </w:r>
      <w:proofErr w:type="spellStart"/>
      <w:r w:rsidR="000B01FF" w:rsidRPr="00705170">
        <w:rPr>
          <w:rFonts w:ascii="Times New Roman" w:hAnsi="Times New Roman" w:cs="Times New Roman"/>
        </w:rPr>
        <w:t>proportionate</w:t>
      </w:r>
      <w:proofErr w:type="spellEnd"/>
      <w:r w:rsidR="000B01FF" w:rsidRPr="00705170">
        <w:rPr>
          <w:rFonts w:ascii="Times New Roman" w:hAnsi="Times New Roman" w:cs="Times New Roman"/>
        </w:rPr>
        <w:t xml:space="preserve"> </w:t>
      </w:r>
      <w:proofErr w:type="spellStart"/>
      <w:r w:rsidR="000B01FF" w:rsidRPr="00705170">
        <w:rPr>
          <w:rFonts w:ascii="Times New Roman" w:hAnsi="Times New Roman" w:cs="Times New Roman"/>
        </w:rPr>
        <w:t>share</w:t>
      </w:r>
      <w:proofErr w:type="spellEnd"/>
      <w:r w:rsidR="000B01FF" w:rsidRPr="00705170">
        <w:rPr>
          <w:rFonts w:ascii="Times New Roman" w:hAnsi="Times New Roman" w:cs="Times New Roman"/>
        </w:rPr>
        <w:t xml:space="preserve"> </w:t>
      </w:r>
      <w:proofErr w:type="spellStart"/>
      <w:r w:rsidR="000B01FF" w:rsidRPr="00705170">
        <w:rPr>
          <w:rFonts w:ascii="Times New Roman" w:hAnsi="Times New Roman" w:cs="Times New Roman"/>
        </w:rPr>
        <w:t>from</w:t>
      </w:r>
      <w:proofErr w:type="spellEnd"/>
      <w:r w:rsidR="000B01FF" w:rsidRPr="00705170">
        <w:rPr>
          <w:rFonts w:ascii="Times New Roman" w:hAnsi="Times New Roman" w:cs="Times New Roman"/>
        </w:rPr>
        <w:t xml:space="preserve"> </w:t>
      </w:r>
      <w:proofErr w:type="spellStart"/>
      <w:r w:rsidR="000B01FF" w:rsidRPr="00705170">
        <w:rPr>
          <w:rFonts w:ascii="Times New Roman" w:hAnsi="Times New Roman" w:cs="Times New Roman"/>
        </w:rPr>
        <w:t>this</w:t>
      </w:r>
      <w:proofErr w:type="spellEnd"/>
      <w:r w:rsidR="000B01FF" w:rsidRPr="00705170">
        <w:rPr>
          <w:rFonts w:ascii="Times New Roman" w:hAnsi="Times New Roman" w:cs="Times New Roman"/>
        </w:rPr>
        <w:t xml:space="preserve"> </w:t>
      </w:r>
      <w:proofErr w:type="spellStart"/>
      <w:r w:rsidR="000B01FF" w:rsidRPr="00705170">
        <w:rPr>
          <w:rFonts w:ascii="Times New Roman" w:hAnsi="Times New Roman" w:cs="Times New Roman"/>
        </w:rPr>
        <w:t>transaction</w:t>
      </w:r>
      <w:proofErr w:type="spellEnd"/>
      <w:r w:rsidR="000B01FF" w:rsidRPr="00705170">
        <w:rPr>
          <w:rFonts w:ascii="Times New Roman" w:hAnsi="Times New Roman" w:cs="Times New Roman"/>
        </w:rPr>
        <w:t>.</w:t>
      </w:r>
    </w:p>
    <w:p w14:paraId="29F6C1DE" w14:textId="12339A06" w:rsidR="00D81783" w:rsidRPr="00705170" w:rsidRDefault="00D81783" w:rsidP="001C2A80">
      <w:pPr>
        <w:spacing w:after="240" w:line="480" w:lineRule="auto"/>
        <w:ind w:firstLine="708"/>
        <w:jc w:val="both"/>
        <w:rPr>
          <w:rFonts w:ascii="Times New Roman" w:hAnsi="Times New Roman" w:cs="Times New Roman"/>
          <w:lang w:val="en-US"/>
        </w:rPr>
      </w:pP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transactions</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long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been</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focus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0068499F" w:rsidRPr="00705170">
        <w:rPr>
          <w:rStyle w:val="DipnotBavurusu"/>
          <w:rFonts w:ascii="Times New Roman" w:hAnsi="Times New Roman" w:cs="Times New Roman"/>
        </w:rPr>
        <w:footnoteReference w:id="283"/>
      </w:r>
      <w:r w:rsidRPr="00705170">
        <w:rPr>
          <w:rFonts w:ascii="Times New Roman" w:hAnsi="Times New Roman" w:cs="Times New Roman"/>
        </w:rPr>
        <w:t xml:space="preserve">, </w:t>
      </w:r>
      <w:proofErr w:type="spellStart"/>
      <w:r w:rsidRPr="00705170">
        <w:rPr>
          <w:rFonts w:ascii="Times New Roman" w:hAnsi="Times New Roman" w:cs="Times New Roman"/>
        </w:rPr>
        <w:t>improving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mechanisms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monitoring</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among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main </w:t>
      </w:r>
      <w:proofErr w:type="spellStart"/>
      <w:r w:rsidRPr="00705170">
        <w:rPr>
          <w:rFonts w:ascii="Times New Roman" w:hAnsi="Times New Roman" w:cs="Times New Roman"/>
        </w:rPr>
        <w:t>concerns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regulators</w:t>
      </w:r>
      <w:proofErr w:type="spellEnd"/>
      <w:r w:rsidRPr="00705170">
        <w:rPr>
          <w:rFonts w:ascii="Times New Roman" w:hAnsi="Times New Roman" w:cs="Times New Roman"/>
        </w:rPr>
        <w:t>.</w:t>
      </w:r>
      <w:r w:rsidR="000740E6" w:rsidRPr="00705170">
        <w:rPr>
          <w:rFonts w:ascii="Times New Roman" w:hAnsi="Times New Roman" w:cs="Times New Roman"/>
        </w:rPr>
        <w:t xml:space="preserve"> </w:t>
      </w:r>
      <w:r w:rsidR="0056208C" w:rsidRPr="00705170">
        <w:rPr>
          <w:rFonts w:ascii="Times New Roman" w:hAnsi="Times New Roman" w:cs="Times New Roman"/>
        </w:rPr>
        <w:t xml:space="preserve">As a “do </w:t>
      </w:r>
      <w:proofErr w:type="spellStart"/>
      <w:r w:rsidR="0056208C" w:rsidRPr="00705170">
        <w:rPr>
          <w:rFonts w:ascii="Times New Roman" w:hAnsi="Times New Roman" w:cs="Times New Roman"/>
        </w:rPr>
        <w:t>nothing</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approach</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gives</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leeway</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to</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abuses</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due</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to</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the</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temptat</w:t>
      </w:r>
      <w:r w:rsidR="00161A68" w:rsidRPr="00705170">
        <w:rPr>
          <w:rFonts w:ascii="Times New Roman" w:hAnsi="Times New Roman" w:cs="Times New Roman"/>
        </w:rPr>
        <w:t>ion</w:t>
      </w:r>
      <w:proofErr w:type="spellEnd"/>
      <w:r w:rsidR="00161A68" w:rsidRPr="00705170">
        <w:rPr>
          <w:rFonts w:ascii="Times New Roman" w:hAnsi="Times New Roman" w:cs="Times New Roman"/>
        </w:rPr>
        <w:t xml:space="preserve"> </w:t>
      </w:r>
      <w:proofErr w:type="spellStart"/>
      <w:r w:rsidR="00161A68" w:rsidRPr="00705170">
        <w:rPr>
          <w:rFonts w:ascii="Times New Roman" w:hAnsi="Times New Roman" w:cs="Times New Roman"/>
        </w:rPr>
        <w:t>to</w:t>
      </w:r>
      <w:proofErr w:type="spellEnd"/>
      <w:r w:rsidR="00161A68" w:rsidRPr="00705170">
        <w:rPr>
          <w:rFonts w:ascii="Times New Roman" w:hAnsi="Times New Roman" w:cs="Times New Roman"/>
        </w:rPr>
        <w:t xml:space="preserve"> “</w:t>
      </w:r>
      <w:proofErr w:type="spellStart"/>
      <w:r w:rsidR="00161A68" w:rsidRPr="00705170">
        <w:rPr>
          <w:rFonts w:ascii="Times New Roman" w:hAnsi="Times New Roman" w:cs="Times New Roman"/>
        </w:rPr>
        <w:t>take</w:t>
      </w:r>
      <w:proofErr w:type="spellEnd"/>
      <w:r w:rsidR="00161A68" w:rsidRPr="00705170">
        <w:rPr>
          <w:rFonts w:ascii="Times New Roman" w:hAnsi="Times New Roman" w:cs="Times New Roman"/>
        </w:rPr>
        <w:t xml:space="preserve"> </w:t>
      </w:r>
      <w:proofErr w:type="spellStart"/>
      <w:r w:rsidR="00161A68" w:rsidRPr="00705170">
        <w:rPr>
          <w:rFonts w:ascii="Times New Roman" w:hAnsi="Times New Roman" w:cs="Times New Roman"/>
        </w:rPr>
        <w:t>the</w:t>
      </w:r>
      <w:proofErr w:type="spellEnd"/>
      <w:r w:rsidR="00161A68" w:rsidRPr="00705170">
        <w:rPr>
          <w:rFonts w:ascii="Times New Roman" w:hAnsi="Times New Roman" w:cs="Times New Roman"/>
        </w:rPr>
        <w:t xml:space="preserve"> </w:t>
      </w:r>
      <w:proofErr w:type="spellStart"/>
      <w:r w:rsidR="00161A68" w:rsidRPr="00705170">
        <w:rPr>
          <w:rFonts w:ascii="Times New Roman" w:hAnsi="Times New Roman" w:cs="Times New Roman"/>
        </w:rPr>
        <w:t>money</w:t>
      </w:r>
      <w:proofErr w:type="spellEnd"/>
      <w:r w:rsidR="00161A68" w:rsidRPr="00705170">
        <w:rPr>
          <w:rFonts w:ascii="Times New Roman" w:hAnsi="Times New Roman" w:cs="Times New Roman"/>
        </w:rPr>
        <w:t xml:space="preserve"> </w:t>
      </w:r>
      <w:proofErr w:type="spellStart"/>
      <w:r w:rsidR="00161A68" w:rsidRPr="00705170">
        <w:rPr>
          <w:rFonts w:ascii="Times New Roman" w:hAnsi="Times New Roman" w:cs="Times New Roman"/>
        </w:rPr>
        <w:t>and</w:t>
      </w:r>
      <w:proofErr w:type="spellEnd"/>
      <w:r w:rsidR="00161A68" w:rsidRPr="00705170">
        <w:rPr>
          <w:rFonts w:ascii="Times New Roman" w:hAnsi="Times New Roman" w:cs="Times New Roman"/>
        </w:rPr>
        <w:t xml:space="preserve"> </w:t>
      </w:r>
      <w:proofErr w:type="spellStart"/>
      <w:r w:rsidR="00161A68" w:rsidRPr="00705170">
        <w:rPr>
          <w:rFonts w:ascii="Times New Roman" w:hAnsi="Times New Roman" w:cs="Times New Roman"/>
        </w:rPr>
        <w:t>run</w:t>
      </w:r>
      <w:proofErr w:type="spellEnd"/>
      <w:r w:rsidR="00161A68" w:rsidRPr="00705170">
        <w:rPr>
          <w:rFonts w:ascii="Times New Roman" w:hAnsi="Times New Roman" w:cs="Times New Roman"/>
        </w:rPr>
        <w:t>”</w:t>
      </w:r>
      <w:r w:rsidR="002C2CAE" w:rsidRPr="00705170">
        <w:rPr>
          <w:rFonts w:ascii="Times New Roman" w:hAnsi="Times New Roman" w:cs="Times New Roman"/>
        </w:rPr>
        <w:t xml:space="preserve"> </w:t>
      </w:r>
      <w:proofErr w:type="spellStart"/>
      <w:r w:rsidR="002C2CAE" w:rsidRPr="00705170">
        <w:rPr>
          <w:rFonts w:ascii="Times New Roman" w:hAnsi="Times New Roman" w:cs="Times New Roman"/>
        </w:rPr>
        <w:t>and</w:t>
      </w:r>
      <w:proofErr w:type="spellEnd"/>
      <w:r w:rsidR="002C2CAE" w:rsidRPr="00705170">
        <w:rPr>
          <w:rFonts w:ascii="Times New Roman" w:hAnsi="Times New Roman" w:cs="Times New Roman"/>
        </w:rPr>
        <w:t xml:space="preserve"> </w:t>
      </w:r>
      <w:proofErr w:type="spellStart"/>
      <w:r w:rsidR="002C2CAE" w:rsidRPr="00705170">
        <w:rPr>
          <w:rFonts w:ascii="Times New Roman" w:hAnsi="Times New Roman" w:cs="Times New Roman"/>
        </w:rPr>
        <w:t>outright</w:t>
      </w:r>
      <w:proofErr w:type="spellEnd"/>
      <w:r w:rsidR="002C2CAE" w:rsidRPr="00705170">
        <w:rPr>
          <w:rFonts w:ascii="Times New Roman" w:hAnsi="Times New Roman" w:cs="Times New Roman"/>
        </w:rPr>
        <w:t xml:space="preserve"> ban is not </w:t>
      </w:r>
      <w:proofErr w:type="spellStart"/>
      <w:r w:rsidR="002C2CAE" w:rsidRPr="00705170">
        <w:rPr>
          <w:rFonts w:ascii="Times New Roman" w:hAnsi="Times New Roman" w:cs="Times New Roman"/>
        </w:rPr>
        <w:t>desirable</w:t>
      </w:r>
      <w:proofErr w:type="spellEnd"/>
      <w:r w:rsidR="002C2CAE" w:rsidRPr="00705170">
        <w:rPr>
          <w:rFonts w:ascii="Times New Roman" w:hAnsi="Times New Roman" w:cs="Times New Roman"/>
        </w:rPr>
        <w:t>,</w:t>
      </w:r>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jurisdictions</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try</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to</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adopt</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efficient</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schemes</w:t>
      </w:r>
      <w:proofErr w:type="spellEnd"/>
      <w:r w:rsidR="002C2CAE" w:rsidRPr="00705170">
        <w:rPr>
          <w:rStyle w:val="DipnotBavurusu"/>
          <w:rFonts w:ascii="Times New Roman" w:hAnsi="Times New Roman" w:cs="Times New Roman"/>
        </w:rPr>
        <w:footnoteReference w:id="284"/>
      </w:r>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However</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t</w:t>
      </w:r>
      <w:r w:rsidR="00223D99" w:rsidRPr="00705170">
        <w:rPr>
          <w:rFonts w:ascii="Times New Roman" w:hAnsi="Times New Roman" w:cs="Times New Roman"/>
        </w:rPr>
        <w:t>his</w:t>
      </w:r>
      <w:proofErr w:type="spellEnd"/>
      <w:r w:rsidR="00223D99" w:rsidRPr="00705170">
        <w:rPr>
          <w:rFonts w:ascii="Times New Roman" w:hAnsi="Times New Roman" w:cs="Times New Roman"/>
        </w:rPr>
        <w:t xml:space="preserve"> is</w:t>
      </w:r>
      <w:r w:rsidR="0056208C" w:rsidRPr="00705170">
        <w:rPr>
          <w:rFonts w:ascii="Times New Roman" w:hAnsi="Times New Roman" w:cs="Times New Roman"/>
        </w:rPr>
        <w:t xml:space="preserve"> not an </w:t>
      </w:r>
      <w:proofErr w:type="spellStart"/>
      <w:r w:rsidR="0056208C" w:rsidRPr="00705170">
        <w:rPr>
          <w:rFonts w:ascii="Times New Roman" w:hAnsi="Times New Roman" w:cs="Times New Roman"/>
        </w:rPr>
        <w:t>easy</w:t>
      </w:r>
      <w:proofErr w:type="spellEnd"/>
      <w:r w:rsidR="0056208C" w:rsidRPr="00705170">
        <w:rPr>
          <w:rFonts w:ascii="Times New Roman" w:hAnsi="Times New Roman" w:cs="Times New Roman"/>
        </w:rPr>
        <w:t xml:space="preserve"> </w:t>
      </w:r>
      <w:proofErr w:type="spellStart"/>
      <w:r w:rsidR="0056208C" w:rsidRPr="00705170">
        <w:rPr>
          <w:rFonts w:ascii="Times New Roman" w:hAnsi="Times New Roman" w:cs="Times New Roman"/>
        </w:rPr>
        <w:t>task</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due</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to</w:t>
      </w:r>
      <w:proofErr w:type="spellEnd"/>
      <w:r w:rsidR="00223D99" w:rsidRPr="00705170">
        <w:rPr>
          <w:rFonts w:ascii="Times New Roman" w:hAnsi="Times New Roman" w:cs="Times New Roman"/>
        </w:rPr>
        <w:t xml:space="preserve"> self- </w:t>
      </w:r>
      <w:proofErr w:type="spellStart"/>
      <w:r w:rsidR="00223D99" w:rsidRPr="00705170">
        <w:rPr>
          <w:rFonts w:ascii="Times New Roman" w:hAnsi="Times New Roman" w:cs="Times New Roman"/>
        </w:rPr>
        <w:t>dealing’s</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problematic</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nature</w:t>
      </w:r>
      <w:proofErr w:type="spellEnd"/>
      <w:r w:rsidR="00223D99" w:rsidRPr="00705170">
        <w:rPr>
          <w:rFonts w:ascii="Times New Roman" w:hAnsi="Times New Roman" w:cs="Times New Roman"/>
        </w:rPr>
        <w:t xml:space="preserve">. Rules, </w:t>
      </w:r>
      <w:proofErr w:type="spellStart"/>
      <w:r w:rsidR="00223D99" w:rsidRPr="00705170">
        <w:rPr>
          <w:rFonts w:ascii="Times New Roman" w:hAnsi="Times New Roman" w:cs="Times New Roman"/>
        </w:rPr>
        <w:t>which</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prescribe</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specific</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behaviours</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ex</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ante</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are</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less</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useful</w:t>
      </w:r>
      <w:proofErr w:type="spellEnd"/>
      <w:r w:rsidR="00223D99" w:rsidRPr="00705170">
        <w:rPr>
          <w:rFonts w:ascii="Times New Roman" w:hAnsi="Times New Roman" w:cs="Times New Roman"/>
        </w:rPr>
        <w:t xml:space="preserve"> in </w:t>
      </w:r>
      <w:proofErr w:type="spellStart"/>
      <w:r w:rsidR="00223D99" w:rsidRPr="00705170">
        <w:rPr>
          <w:rFonts w:ascii="Times New Roman" w:hAnsi="Times New Roman" w:cs="Times New Roman"/>
        </w:rPr>
        <w:t>this</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area</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because</w:t>
      </w:r>
      <w:proofErr w:type="spellEnd"/>
      <w:r w:rsidR="00223D99" w:rsidRPr="00705170">
        <w:rPr>
          <w:rFonts w:ascii="Times New Roman" w:hAnsi="Times New Roman" w:cs="Times New Roman"/>
        </w:rPr>
        <w:t xml:space="preserve"> self- </w:t>
      </w:r>
      <w:proofErr w:type="spellStart"/>
      <w:r w:rsidR="00223D99" w:rsidRPr="00705170">
        <w:rPr>
          <w:rFonts w:ascii="Times New Roman" w:hAnsi="Times New Roman" w:cs="Times New Roman"/>
        </w:rPr>
        <w:t>dealing</w:t>
      </w:r>
      <w:proofErr w:type="spellEnd"/>
      <w:r w:rsidR="00223D99" w:rsidRPr="00705170">
        <w:rPr>
          <w:rFonts w:ascii="Times New Roman" w:hAnsi="Times New Roman" w:cs="Times New Roman"/>
        </w:rPr>
        <w:t xml:space="preserve"> is “</w:t>
      </w:r>
      <w:proofErr w:type="spellStart"/>
      <w:r w:rsidR="00223D99" w:rsidRPr="00705170">
        <w:rPr>
          <w:rFonts w:ascii="Times New Roman" w:hAnsi="Times New Roman" w:cs="Times New Roman"/>
        </w:rPr>
        <w:t>too</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complex</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to</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regulate</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with</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no</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more</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than</w:t>
      </w:r>
      <w:proofErr w:type="spellEnd"/>
      <w:r w:rsidR="00223D99" w:rsidRPr="00705170">
        <w:rPr>
          <w:rFonts w:ascii="Times New Roman" w:hAnsi="Times New Roman" w:cs="Times New Roman"/>
        </w:rPr>
        <w:t xml:space="preserve"> a </w:t>
      </w:r>
      <w:proofErr w:type="spellStart"/>
      <w:r w:rsidR="00223D99" w:rsidRPr="00705170">
        <w:rPr>
          <w:rFonts w:ascii="Times New Roman" w:hAnsi="Times New Roman" w:cs="Times New Roman"/>
        </w:rPr>
        <w:t>matrix</w:t>
      </w:r>
      <w:proofErr w:type="spellEnd"/>
      <w:r w:rsidR="00223D99" w:rsidRPr="00705170">
        <w:rPr>
          <w:rFonts w:ascii="Times New Roman" w:hAnsi="Times New Roman" w:cs="Times New Roman"/>
        </w:rPr>
        <w:t xml:space="preserve"> of </w:t>
      </w:r>
      <w:proofErr w:type="spellStart"/>
      <w:r w:rsidR="00223D99" w:rsidRPr="00705170">
        <w:rPr>
          <w:rFonts w:ascii="Times New Roman" w:hAnsi="Times New Roman" w:cs="Times New Roman"/>
        </w:rPr>
        <w:t>prohibitions</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and</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exemptions</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which</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would</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threaten</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to</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codify</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loopholes</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and</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create</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pointless</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rigidities</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Rather</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than</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rule</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based</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regulation</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then</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intra</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corporate</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topics</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such</w:t>
      </w:r>
      <w:proofErr w:type="spellEnd"/>
      <w:r w:rsidR="00223D99" w:rsidRPr="00705170">
        <w:rPr>
          <w:rFonts w:ascii="Times New Roman" w:hAnsi="Times New Roman" w:cs="Times New Roman"/>
        </w:rPr>
        <w:t xml:space="preserve"> as </w:t>
      </w:r>
      <w:proofErr w:type="spellStart"/>
      <w:r w:rsidR="00223D99" w:rsidRPr="00705170">
        <w:rPr>
          <w:rFonts w:ascii="Times New Roman" w:hAnsi="Times New Roman" w:cs="Times New Roman"/>
        </w:rPr>
        <w:t>insider</w:t>
      </w:r>
      <w:proofErr w:type="spellEnd"/>
      <w:r w:rsidR="00223D99" w:rsidRPr="00705170">
        <w:rPr>
          <w:rFonts w:ascii="Times New Roman" w:hAnsi="Times New Roman" w:cs="Times New Roman"/>
        </w:rPr>
        <w:t xml:space="preserve"> self-</w:t>
      </w:r>
      <w:proofErr w:type="spellStart"/>
      <w:r w:rsidR="00223D99" w:rsidRPr="00705170">
        <w:rPr>
          <w:rFonts w:ascii="Times New Roman" w:hAnsi="Times New Roman" w:cs="Times New Roman"/>
        </w:rPr>
        <w:t>dealing</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tend</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to</w:t>
      </w:r>
      <w:proofErr w:type="spellEnd"/>
      <w:r w:rsidR="00223D99" w:rsidRPr="00705170">
        <w:rPr>
          <w:rFonts w:ascii="Times New Roman" w:hAnsi="Times New Roman" w:cs="Times New Roman"/>
        </w:rPr>
        <w:t xml:space="preserve"> be </w:t>
      </w:r>
      <w:proofErr w:type="spellStart"/>
      <w:r w:rsidR="00223D99" w:rsidRPr="00705170">
        <w:rPr>
          <w:rFonts w:ascii="Times New Roman" w:hAnsi="Times New Roman" w:cs="Times New Roman"/>
        </w:rPr>
        <w:t>governed</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by</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open</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standards</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that</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leave</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discretion</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for</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adjucators</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to</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determine</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ex</w:t>
      </w:r>
      <w:proofErr w:type="spellEnd"/>
      <w:r w:rsidR="00223D99" w:rsidRPr="00705170">
        <w:rPr>
          <w:rFonts w:ascii="Times New Roman" w:hAnsi="Times New Roman" w:cs="Times New Roman"/>
        </w:rPr>
        <w:t xml:space="preserve"> post </w:t>
      </w:r>
      <w:proofErr w:type="spellStart"/>
      <w:r w:rsidR="00223D99" w:rsidRPr="00705170">
        <w:rPr>
          <w:rFonts w:ascii="Times New Roman" w:hAnsi="Times New Roman" w:cs="Times New Roman"/>
        </w:rPr>
        <w:t>whether</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violations</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have</w:t>
      </w:r>
      <w:proofErr w:type="spellEnd"/>
      <w:r w:rsidR="00223D99" w:rsidRPr="00705170">
        <w:rPr>
          <w:rFonts w:ascii="Times New Roman" w:hAnsi="Times New Roman" w:cs="Times New Roman"/>
        </w:rPr>
        <w:t xml:space="preserve"> </w:t>
      </w:r>
      <w:proofErr w:type="spellStart"/>
      <w:r w:rsidR="00223D99" w:rsidRPr="00705170">
        <w:rPr>
          <w:rFonts w:ascii="Times New Roman" w:hAnsi="Times New Roman" w:cs="Times New Roman"/>
        </w:rPr>
        <w:t>occurred</w:t>
      </w:r>
      <w:proofErr w:type="spellEnd"/>
      <w:r w:rsidR="00223D99" w:rsidRPr="00705170">
        <w:rPr>
          <w:rFonts w:ascii="Times New Roman" w:hAnsi="Times New Roman" w:cs="Times New Roman"/>
        </w:rPr>
        <w:t>”</w:t>
      </w:r>
      <w:r w:rsidR="00223D99" w:rsidRPr="00705170">
        <w:rPr>
          <w:rStyle w:val="DipnotBavurusu"/>
          <w:rFonts w:ascii="Times New Roman" w:hAnsi="Times New Roman" w:cs="Times New Roman"/>
        </w:rPr>
        <w:footnoteReference w:id="285"/>
      </w:r>
      <w:r w:rsidR="00223D99" w:rsidRPr="00705170">
        <w:rPr>
          <w:rFonts w:ascii="Times New Roman" w:hAnsi="Times New Roman" w:cs="Times New Roman"/>
        </w:rPr>
        <w:t>.</w:t>
      </w:r>
      <w:r w:rsidR="00DF5AB3" w:rsidRPr="00705170">
        <w:rPr>
          <w:rFonts w:ascii="Times New Roman" w:hAnsi="Times New Roman" w:cs="Times New Roman"/>
        </w:rPr>
        <w:t xml:space="preserve"> </w:t>
      </w:r>
      <w:proofErr w:type="spellStart"/>
      <w:r w:rsidR="00DF5AB3" w:rsidRPr="00705170">
        <w:rPr>
          <w:rFonts w:ascii="Times New Roman" w:hAnsi="Times New Roman" w:cs="Times New Roman"/>
        </w:rPr>
        <w:t>In</w:t>
      </w:r>
      <w:proofErr w:type="spellEnd"/>
      <w:r w:rsidR="00DF5AB3" w:rsidRPr="00705170">
        <w:rPr>
          <w:rFonts w:ascii="Times New Roman" w:hAnsi="Times New Roman" w:cs="Times New Roman"/>
        </w:rPr>
        <w:t xml:space="preserve"> general, legal </w:t>
      </w:r>
      <w:proofErr w:type="spellStart"/>
      <w:r w:rsidR="00DF5AB3" w:rsidRPr="00705170">
        <w:rPr>
          <w:rFonts w:ascii="Times New Roman" w:hAnsi="Times New Roman" w:cs="Times New Roman"/>
        </w:rPr>
        <w:t>strategies</w:t>
      </w:r>
      <w:proofErr w:type="spellEnd"/>
      <w:r w:rsidR="00DF5AB3" w:rsidRPr="00705170">
        <w:rPr>
          <w:rFonts w:ascii="Times New Roman" w:hAnsi="Times New Roman" w:cs="Times New Roman"/>
        </w:rPr>
        <w:t xml:space="preserve"> </w:t>
      </w:r>
      <w:proofErr w:type="spellStart"/>
      <w:r w:rsidR="00DF5AB3" w:rsidRPr="00705170">
        <w:rPr>
          <w:rFonts w:ascii="Times New Roman" w:hAnsi="Times New Roman" w:cs="Times New Roman"/>
        </w:rPr>
        <w:lastRenderedPageBreak/>
        <w:t>adopted</w:t>
      </w:r>
      <w:proofErr w:type="spellEnd"/>
      <w:r w:rsidR="00DF5AB3" w:rsidRPr="00705170">
        <w:rPr>
          <w:rFonts w:ascii="Times New Roman" w:hAnsi="Times New Roman" w:cs="Times New Roman"/>
        </w:rPr>
        <w:t xml:space="preserve"> </w:t>
      </w:r>
      <w:proofErr w:type="spellStart"/>
      <w:r w:rsidR="00DF5AB3" w:rsidRPr="00705170">
        <w:rPr>
          <w:rFonts w:ascii="Times New Roman" w:hAnsi="Times New Roman" w:cs="Times New Roman"/>
        </w:rPr>
        <w:t>to</w:t>
      </w:r>
      <w:proofErr w:type="spellEnd"/>
      <w:r w:rsidR="00DF5AB3" w:rsidRPr="00705170">
        <w:rPr>
          <w:rFonts w:ascii="Times New Roman" w:hAnsi="Times New Roman" w:cs="Times New Roman"/>
        </w:rPr>
        <w:t xml:space="preserve"> </w:t>
      </w:r>
      <w:proofErr w:type="spellStart"/>
      <w:r w:rsidR="00DF5AB3" w:rsidRPr="00705170">
        <w:rPr>
          <w:rFonts w:ascii="Times New Roman" w:hAnsi="Times New Roman" w:cs="Times New Roman"/>
        </w:rPr>
        <w:t>control</w:t>
      </w:r>
      <w:proofErr w:type="spellEnd"/>
      <w:r w:rsidR="00DF5AB3" w:rsidRPr="00705170">
        <w:rPr>
          <w:rFonts w:ascii="Times New Roman" w:hAnsi="Times New Roman" w:cs="Times New Roman"/>
        </w:rPr>
        <w:t xml:space="preserve"> </w:t>
      </w:r>
      <w:proofErr w:type="spellStart"/>
      <w:r w:rsidR="00DF5AB3" w:rsidRPr="00705170">
        <w:rPr>
          <w:rFonts w:ascii="Times New Roman" w:hAnsi="Times New Roman" w:cs="Times New Roman"/>
        </w:rPr>
        <w:t>related</w:t>
      </w:r>
      <w:proofErr w:type="spellEnd"/>
      <w:r w:rsidR="00DF5AB3" w:rsidRPr="00705170">
        <w:rPr>
          <w:rFonts w:ascii="Times New Roman" w:hAnsi="Times New Roman" w:cs="Times New Roman"/>
        </w:rPr>
        <w:t xml:space="preserve">- </w:t>
      </w:r>
      <w:proofErr w:type="spellStart"/>
      <w:r w:rsidR="00DF5AB3" w:rsidRPr="00705170">
        <w:rPr>
          <w:rFonts w:ascii="Times New Roman" w:hAnsi="Times New Roman" w:cs="Times New Roman"/>
        </w:rPr>
        <w:t>party</w:t>
      </w:r>
      <w:proofErr w:type="spellEnd"/>
      <w:r w:rsidR="00DF5AB3" w:rsidRPr="00705170">
        <w:rPr>
          <w:rFonts w:ascii="Times New Roman" w:hAnsi="Times New Roman" w:cs="Times New Roman"/>
        </w:rPr>
        <w:t xml:space="preserve"> </w:t>
      </w:r>
      <w:proofErr w:type="spellStart"/>
      <w:r w:rsidR="00DF5AB3" w:rsidRPr="00705170">
        <w:rPr>
          <w:rFonts w:ascii="Times New Roman" w:hAnsi="Times New Roman" w:cs="Times New Roman"/>
        </w:rPr>
        <w:t>transactions</w:t>
      </w:r>
      <w:proofErr w:type="spellEnd"/>
      <w:r w:rsidR="00DF5AB3" w:rsidRPr="00705170">
        <w:rPr>
          <w:rFonts w:ascii="Times New Roman" w:hAnsi="Times New Roman" w:cs="Times New Roman"/>
        </w:rPr>
        <w:t xml:space="preserve"> </w:t>
      </w:r>
      <w:proofErr w:type="spellStart"/>
      <w:r w:rsidR="00DF5AB3" w:rsidRPr="00705170">
        <w:rPr>
          <w:rFonts w:ascii="Times New Roman" w:hAnsi="Times New Roman" w:cs="Times New Roman"/>
        </w:rPr>
        <w:t>consists</w:t>
      </w:r>
      <w:proofErr w:type="spellEnd"/>
      <w:r w:rsidR="00DF5AB3" w:rsidRPr="00705170">
        <w:rPr>
          <w:rFonts w:ascii="Times New Roman" w:hAnsi="Times New Roman" w:cs="Times New Roman"/>
        </w:rPr>
        <w:t xml:space="preserve"> of </w:t>
      </w:r>
      <w:proofErr w:type="spellStart"/>
      <w:r w:rsidR="00DF5AB3" w:rsidRPr="00705170">
        <w:rPr>
          <w:rFonts w:ascii="Times New Roman" w:hAnsi="Times New Roman" w:cs="Times New Roman"/>
        </w:rPr>
        <w:t>mandatory</w:t>
      </w:r>
      <w:proofErr w:type="spellEnd"/>
      <w:r w:rsidR="00DF5AB3" w:rsidRPr="00705170">
        <w:rPr>
          <w:rFonts w:ascii="Times New Roman" w:hAnsi="Times New Roman" w:cs="Times New Roman"/>
        </w:rPr>
        <w:t xml:space="preserve"> </w:t>
      </w:r>
      <w:proofErr w:type="spellStart"/>
      <w:r w:rsidR="00DF5AB3" w:rsidRPr="00705170">
        <w:rPr>
          <w:rFonts w:ascii="Times New Roman" w:hAnsi="Times New Roman" w:cs="Times New Roman"/>
        </w:rPr>
        <w:t>disclosure</w:t>
      </w:r>
      <w:proofErr w:type="spellEnd"/>
      <w:r w:rsidR="00DF5AB3" w:rsidRPr="00705170">
        <w:rPr>
          <w:rFonts w:ascii="Times New Roman" w:hAnsi="Times New Roman" w:cs="Times New Roman"/>
        </w:rPr>
        <w:t xml:space="preserve">, </w:t>
      </w:r>
      <w:proofErr w:type="spellStart"/>
      <w:r w:rsidR="002946DC" w:rsidRPr="00705170">
        <w:rPr>
          <w:rFonts w:ascii="Times New Roman" w:hAnsi="Times New Roman" w:cs="Times New Roman"/>
        </w:rPr>
        <w:t>corporate</w:t>
      </w:r>
      <w:proofErr w:type="spellEnd"/>
      <w:r w:rsidR="002946DC" w:rsidRPr="00705170">
        <w:rPr>
          <w:rFonts w:ascii="Times New Roman" w:hAnsi="Times New Roman" w:cs="Times New Roman"/>
        </w:rPr>
        <w:t xml:space="preserve"> </w:t>
      </w:r>
      <w:proofErr w:type="spellStart"/>
      <w:r w:rsidR="002946DC" w:rsidRPr="00705170">
        <w:rPr>
          <w:rFonts w:ascii="Times New Roman" w:hAnsi="Times New Roman" w:cs="Times New Roman"/>
        </w:rPr>
        <w:t>dissolution</w:t>
      </w:r>
      <w:proofErr w:type="spellEnd"/>
      <w:r w:rsidR="002946DC" w:rsidRPr="00705170">
        <w:rPr>
          <w:rFonts w:ascii="Times New Roman" w:hAnsi="Times New Roman" w:cs="Times New Roman"/>
        </w:rPr>
        <w:t>,</w:t>
      </w:r>
      <w:r w:rsidR="000565BA" w:rsidRPr="00705170">
        <w:rPr>
          <w:rFonts w:ascii="Times New Roman" w:hAnsi="Times New Roman" w:cs="Times New Roman"/>
        </w:rPr>
        <w:t xml:space="preserve"> </w:t>
      </w:r>
      <w:proofErr w:type="spellStart"/>
      <w:r w:rsidR="000565BA" w:rsidRPr="00705170">
        <w:rPr>
          <w:rFonts w:ascii="Times New Roman" w:hAnsi="Times New Roman" w:cs="Times New Roman"/>
        </w:rPr>
        <w:t>requiring</w:t>
      </w:r>
      <w:proofErr w:type="spellEnd"/>
      <w:r w:rsidR="000565BA" w:rsidRPr="00705170">
        <w:rPr>
          <w:rFonts w:ascii="Times New Roman" w:hAnsi="Times New Roman" w:cs="Times New Roman"/>
        </w:rPr>
        <w:t xml:space="preserve"> </w:t>
      </w:r>
      <w:proofErr w:type="spellStart"/>
      <w:r w:rsidR="000565BA" w:rsidRPr="00705170">
        <w:rPr>
          <w:rFonts w:ascii="Times New Roman" w:hAnsi="Times New Roman" w:cs="Times New Roman"/>
        </w:rPr>
        <w:t>disinterested</w:t>
      </w:r>
      <w:proofErr w:type="spellEnd"/>
      <w:r w:rsidR="000565BA" w:rsidRPr="00705170">
        <w:rPr>
          <w:rFonts w:ascii="Times New Roman" w:hAnsi="Times New Roman" w:cs="Times New Roman"/>
        </w:rPr>
        <w:t xml:space="preserve"> </w:t>
      </w:r>
      <w:proofErr w:type="spellStart"/>
      <w:r w:rsidR="000565BA" w:rsidRPr="00705170">
        <w:rPr>
          <w:rFonts w:ascii="Times New Roman" w:hAnsi="Times New Roman" w:cs="Times New Roman"/>
        </w:rPr>
        <w:t>director</w:t>
      </w:r>
      <w:proofErr w:type="spellEnd"/>
      <w:r w:rsidR="000565BA" w:rsidRPr="00705170">
        <w:rPr>
          <w:rFonts w:ascii="Times New Roman" w:hAnsi="Times New Roman" w:cs="Times New Roman"/>
        </w:rPr>
        <w:t xml:space="preserve"> </w:t>
      </w:r>
      <w:proofErr w:type="spellStart"/>
      <w:r w:rsidR="000565BA" w:rsidRPr="00705170">
        <w:rPr>
          <w:rFonts w:ascii="Times New Roman" w:hAnsi="Times New Roman" w:cs="Times New Roman"/>
        </w:rPr>
        <w:t>approval</w:t>
      </w:r>
      <w:proofErr w:type="spellEnd"/>
      <w:r w:rsidR="000565BA" w:rsidRPr="00705170">
        <w:rPr>
          <w:rFonts w:ascii="Times New Roman" w:hAnsi="Times New Roman" w:cs="Times New Roman"/>
        </w:rPr>
        <w:t xml:space="preserve">, </w:t>
      </w:r>
      <w:proofErr w:type="spellStart"/>
      <w:r w:rsidR="00CD5F10" w:rsidRPr="00705170">
        <w:rPr>
          <w:rFonts w:ascii="Times New Roman" w:hAnsi="Times New Roman" w:cs="Times New Roman"/>
        </w:rPr>
        <w:t>shareholder</w:t>
      </w:r>
      <w:proofErr w:type="spellEnd"/>
      <w:r w:rsidR="00CD5F10" w:rsidRPr="00705170">
        <w:rPr>
          <w:rFonts w:ascii="Times New Roman" w:hAnsi="Times New Roman" w:cs="Times New Roman"/>
        </w:rPr>
        <w:t xml:space="preserve"> </w:t>
      </w:r>
      <w:proofErr w:type="spellStart"/>
      <w:r w:rsidR="00CD5F10" w:rsidRPr="00705170">
        <w:rPr>
          <w:rFonts w:ascii="Times New Roman" w:hAnsi="Times New Roman" w:cs="Times New Roman"/>
        </w:rPr>
        <w:t>approval</w:t>
      </w:r>
      <w:proofErr w:type="spellEnd"/>
      <w:r w:rsidR="00CD5F10" w:rsidRPr="00705170">
        <w:rPr>
          <w:rFonts w:ascii="Times New Roman" w:hAnsi="Times New Roman" w:cs="Times New Roman"/>
        </w:rPr>
        <w:t xml:space="preserve">, </w:t>
      </w:r>
      <w:proofErr w:type="spellStart"/>
      <w:r w:rsidR="00CC3FBD" w:rsidRPr="00705170">
        <w:rPr>
          <w:rFonts w:ascii="Times New Roman" w:hAnsi="Times New Roman" w:cs="Times New Roman"/>
        </w:rPr>
        <w:t>prohibiting</w:t>
      </w:r>
      <w:proofErr w:type="spellEnd"/>
      <w:r w:rsidR="00CC3FBD" w:rsidRPr="00705170">
        <w:rPr>
          <w:rFonts w:ascii="Times New Roman" w:hAnsi="Times New Roman" w:cs="Times New Roman"/>
        </w:rPr>
        <w:t xml:space="preserve"> </w:t>
      </w:r>
      <w:proofErr w:type="spellStart"/>
      <w:r w:rsidR="00CC3FBD" w:rsidRPr="00705170">
        <w:rPr>
          <w:rFonts w:ascii="Times New Roman" w:hAnsi="Times New Roman" w:cs="Times New Roman"/>
        </w:rPr>
        <w:t>certain</w:t>
      </w:r>
      <w:proofErr w:type="spellEnd"/>
      <w:r w:rsidR="00CC3FBD" w:rsidRPr="00705170">
        <w:rPr>
          <w:rFonts w:ascii="Times New Roman" w:hAnsi="Times New Roman" w:cs="Times New Roman"/>
        </w:rPr>
        <w:t xml:space="preserve"> </w:t>
      </w:r>
      <w:proofErr w:type="spellStart"/>
      <w:r w:rsidR="00CC3FBD" w:rsidRPr="00705170">
        <w:rPr>
          <w:rFonts w:ascii="Times New Roman" w:hAnsi="Times New Roman" w:cs="Times New Roman"/>
        </w:rPr>
        <w:t>transactions</w:t>
      </w:r>
      <w:proofErr w:type="spellEnd"/>
      <w:r w:rsidR="00CC3FBD" w:rsidRPr="00705170">
        <w:rPr>
          <w:rFonts w:ascii="Times New Roman" w:hAnsi="Times New Roman" w:cs="Times New Roman"/>
        </w:rPr>
        <w:t xml:space="preserve"> </w:t>
      </w:r>
      <w:proofErr w:type="spellStart"/>
      <w:r w:rsidR="00CC3FBD" w:rsidRPr="00705170">
        <w:rPr>
          <w:rFonts w:ascii="Times New Roman" w:hAnsi="Times New Roman" w:cs="Times New Roman"/>
        </w:rPr>
        <w:t>per</w:t>
      </w:r>
      <w:proofErr w:type="spellEnd"/>
      <w:r w:rsidR="00CC3FBD" w:rsidRPr="00705170">
        <w:rPr>
          <w:rFonts w:ascii="Times New Roman" w:hAnsi="Times New Roman" w:cs="Times New Roman"/>
        </w:rPr>
        <w:t xml:space="preserve"> se, </w:t>
      </w:r>
      <w:proofErr w:type="spellStart"/>
      <w:r w:rsidR="00CC3FBD" w:rsidRPr="00705170">
        <w:rPr>
          <w:rFonts w:ascii="Times New Roman" w:hAnsi="Times New Roman" w:cs="Times New Roman"/>
        </w:rPr>
        <w:t>law</w:t>
      </w:r>
      <w:proofErr w:type="spellEnd"/>
      <w:r w:rsidR="00CC3FBD" w:rsidRPr="00705170">
        <w:rPr>
          <w:rFonts w:ascii="Times New Roman" w:hAnsi="Times New Roman" w:cs="Times New Roman"/>
        </w:rPr>
        <w:t xml:space="preserve"> of </w:t>
      </w:r>
      <w:proofErr w:type="spellStart"/>
      <w:r w:rsidR="00CC3FBD" w:rsidRPr="00705170">
        <w:rPr>
          <w:rFonts w:ascii="Times New Roman" w:hAnsi="Times New Roman" w:cs="Times New Roman"/>
        </w:rPr>
        <w:t>corporate</w:t>
      </w:r>
      <w:proofErr w:type="spellEnd"/>
      <w:r w:rsidR="00CC3FBD" w:rsidRPr="00705170">
        <w:rPr>
          <w:rFonts w:ascii="Times New Roman" w:hAnsi="Times New Roman" w:cs="Times New Roman"/>
        </w:rPr>
        <w:t xml:space="preserve"> </w:t>
      </w:r>
      <w:proofErr w:type="spellStart"/>
      <w:r w:rsidR="00CC3FBD" w:rsidRPr="00705170">
        <w:rPr>
          <w:rFonts w:ascii="Times New Roman" w:hAnsi="Times New Roman" w:cs="Times New Roman"/>
        </w:rPr>
        <w:t>groups</w:t>
      </w:r>
      <w:proofErr w:type="spellEnd"/>
      <w:r w:rsidR="00CC3FBD" w:rsidRPr="00705170">
        <w:rPr>
          <w:rFonts w:ascii="Times New Roman" w:hAnsi="Times New Roman" w:cs="Times New Roman"/>
        </w:rPr>
        <w:t xml:space="preserve">, </w:t>
      </w:r>
      <w:proofErr w:type="spellStart"/>
      <w:r w:rsidR="00CC3FBD" w:rsidRPr="00705170">
        <w:rPr>
          <w:rFonts w:ascii="Times New Roman" w:hAnsi="Times New Roman" w:cs="Times New Roman"/>
        </w:rPr>
        <w:t>fiduciary</w:t>
      </w:r>
      <w:proofErr w:type="spellEnd"/>
      <w:r w:rsidR="00CC3FBD" w:rsidRPr="00705170">
        <w:rPr>
          <w:rFonts w:ascii="Times New Roman" w:hAnsi="Times New Roman" w:cs="Times New Roman"/>
        </w:rPr>
        <w:t xml:space="preserve"> </w:t>
      </w:r>
      <w:proofErr w:type="spellStart"/>
      <w:r w:rsidR="00CC3FBD" w:rsidRPr="00705170">
        <w:rPr>
          <w:rFonts w:ascii="Times New Roman" w:hAnsi="Times New Roman" w:cs="Times New Roman"/>
        </w:rPr>
        <w:t>duties</w:t>
      </w:r>
      <w:proofErr w:type="spellEnd"/>
      <w:r w:rsidR="00DF5AB3" w:rsidRPr="00705170">
        <w:rPr>
          <w:rStyle w:val="DipnotBavurusu"/>
          <w:rFonts w:ascii="Times New Roman" w:hAnsi="Times New Roman" w:cs="Times New Roman"/>
        </w:rPr>
        <w:footnoteReference w:id="286"/>
      </w:r>
      <w:r w:rsidR="000565BA" w:rsidRPr="00705170">
        <w:rPr>
          <w:rFonts w:ascii="Times New Roman" w:hAnsi="Times New Roman" w:cs="Times New Roman"/>
        </w:rPr>
        <w:t>.</w:t>
      </w:r>
    </w:p>
    <w:p w14:paraId="3456078C" w14:textId="74678E03" w:rsidR="00200763" w:rsidRPr="00705170" w:rsidRDefault="0068499F" w:rsidP="009B7254">
      <w:pPr>
        <w:spacing w:after="240" w:line="480" w:lineRule="auto"/>
        <w:ind w:firstLine="708"/>
        <w:jc w:val="both"/>
        <w:rPr>
          <w:rFonts w:ascii="Times New Roman" w:hAnsi="Times New Roman" w:cs="Times New Roman"/>
        </w:rPr>
      </w:pPr>
      <w:r w:rsidRPr="00705170">
        <w:rPr>
          <w:rFonts w:ascii="Times New Roman" w:hAnsi="Times New Roman" w:cs="Times New Roman"/>
          <w:lang w:val="en-US"/>
        </w:rPr>
        <w:t xml:space="preserve">Turkish corporate law deals with related- party transactions specifically through two mechanisms promulgated under the CML: (1) Provision on concealed distribution of capital (CML Article </w:t>
      </w:r>
      <w:r w:rsidR="00261A07" w:rsidRPr="00705170">
        <w:rPr>
          <w:rFonts w:ascii="Times New Roman" w:hAnsi="Times New Roman" w:cs="Times New Roman"/>
          <w:lang w:val="en-US"/>
        </w:rPr>
        <w:t>21), and (2) rules on</w:t>
      </w:r>
      <w:r w:rsidRPr="00705170">
        <w:rPr>
          <w:rFonts w:ascii="Times New Roman" w:hAnsi="Times New Roman" w:cs="Times New Roman"/>
          <w:lang w:val="en-US"/>
        </w:rPr>
        <w:t xml:space="preserve"> related- party transactions under the corporate governance requiremen</w:t>
      </w:r>
      <w:r w:rsidR="00200763" w:rsidRPr="00705170">
        <w:rPr>
          <w:rFonts w:ascii="Times New Roman" w:hAnsi="Times New Roman" w:cs="Times New Roman"/>
          <w:lang w:val="en-US"/>
        </w:rPr>
        <w:t xml:space="preserve">ts (CML Article </w:t>
      </w:r>
      <w:r w:rsidR="00535170" w:rsidRPr="00705170">
        <w:rPr>
          <w:rFonts w:ascii="Times New Roman" w:hAnsi="Times New Roman" w:cs="Times New Roman"/>
          <w:lang w:val="en-US"/>
        </w:rPr>
        <w:t>17(3)</w:t>
      </w:r>
      <w:r w:rsidR="00200763" w:rsidRPr="00705170">
        <w:rPr>
          <w:rFonts w:ascii="Times New Roman" w:hAnsi="Times New Roman" w:cs="Times New Roman"/>
          <w:lang w:val="en-US"/>
        </w:rPr>
        <w:t xml:space="preserve">). </w:t>
      </w:r>
      <w:r w:rsidR="00261A07" w:rsidRPr="00705170">
        <w:rPr>
          <w:rFonts w:ascii="Times New Roman" w:hAnsi="Times New Roman" w:cs="Times New Roman"/>
          <w:lang w:val="en-US"/>
        </w:rPr>
        <w:t>T</w:t>
      </w:r>
      <w:r w:rsidR="00200763" w:rsidRPr="00705170">
        <w:rPr>
          <w:rFonts w:ascii="Times New Roman" w:hAnsi="Times New Roman" w:cs="Times New Roman"/>
        </w:rPr>
        <w:t xml:space="preserve">he </w:t>
      </w:r>
      <w:proofErr w:type="spellStart"/>
      <w:r w:rsidR="00200763" w:rsidRPr="00705170">
        <w:rPr>
          <w:rFonts w:ascii="Times New Roman" w:hAnsi="Times New Roman" w:cs="Times New Roman"/>
        </w:rPr>
        <w:t>concealed</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distribution</w:t>
      </w:r>
      <w:proofErr w:type="spellEnd"/>
      <w:r w:rsidR="00200763" w:rsidRPr="00705170">
        <w:rPr>
          <w:rFonts w:ascii="Times New Roman" w:hAnsi="Times New Roman" w:cs="Times New Roman"/>
        </w:rPr>
        <w:t xml:space="preserve"> of </w:t>
      </w:r>
      <w:proofErr w:type="spellStart"/>
      <w:r w:rsidR="00200763" w:rsidRPr="00705170">
        <w:rPr>
          <w:rFonts w:ascii="Times New Roman" w:hAnsi="Times New Roman" w:cs="Times New Roman"/>
        </w:rPr>
        <w:t>capital</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provision</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aims</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to</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track</w:t>
      </w:r>
      <w:proofErr w:type="spellEnd"/>
      <w:r w:rsidR="00200763" w:rsidRPr="00705170">
        <w:rPr>
          <w:rFonts w:ascii="Times New Roman" w:hAnsi="Times New Roman" w:cs="Times New Roman"/>
        </w:rPr>
        <w:t xml:space="preserve"> de </w:t>
      </w:r>
      <w:proofErr w:type="spellStart"/>
      <w:r w:rsidR="00200763" w:rsidRPr="00705170">
        <w:rPr>
          <w:rFonts w:ascii="Times New Roman" w:hAnsi="Times New Roman" w:cs="Times New Roman"/>
        </w:rPr>
        <w:t>facto</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dividend</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distributions</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through</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related</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party</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transactions</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ex</w:t>
      </w:r>
      <w:proofErr w:type="spellEnd"/>
      <w:r w:rsidR="00261A07" w:rsidRPr="00705170">
        <w:rPr>
          <w:rFonts w:ascii="Times New Roman" w:hAnsi="Times New Roman" w:cs="Times New Roman"/>
        </w:rPr>
        <w:t xml:space="preserve"> post</w:t>
      </w:r>
      <w:r w:rsidR="00BB1A08" w:rsidRPr="00705170">
        <w:rPr>
          <w:rStyle w:val="DipnotBavurusu"/>
          <w:rFonts w:ascii="Times New Roman" w:hAnsi="Times New Roman" w:cs="Times New Roman"/>
        </w:rPr>
        <w:footnoteReference w:id="287"/>
      </w:r>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and</w:t>
      </w:r>
      <w:proofErr w:type="spellEnd"/>
      <w:r w:rsidR="00200763" w:rsidRPr="00705170">
        <w:rPr>
          <w:rFonts w:ascii="Times New Roman" w:hAnsi="Times New Roman" w:cs="Times New Roman"/>
        </w:rPr>
        <w:t xml:space="preserve"> is </w:t>
      </w:r>
      <w:proofErr w:type="spellStart"/>
      <w:r w:rsidR="00200763" w:rsidRPr="00705170">
        <w:rPr>
          <w:rFonts w:ascii="Times New Roman" w:hAnsi="Times New Roman" w:cs="Times New Roman"/>
        </w:rPr>
        <w:t>doctrinally</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related</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to</w:t>
      </w:r>
      <w:proofErr w:type="spellEnd"/>
      <w:r w:rsidR="00200763" w:rsidRPr="00705170">
        <w:rPr>
          <w:rFonts w:ascii="Times New Roman" w:hAnsi="Times New Roman" w:cs="Times New Roman"/>
        </w:rPr>
        <w:t xml:space="preserve"> </w:t>
      </w:r>
      <w:proofErr w:type="spellStart"/>
      <w:r w:rsidR="009B7254" w:rsidRPr="00705170">
        <w:rPr>
          <w:rFonts w:ascii="Times New Roman" w:hAnsi="Times New Roman" w:cs="Times New Roman"/>
        </w:rPr>
        <w:t>both</w:t>
      </w:r>
      <w:proofErr w:type="spellEnd"/>
      <w:r w:rsidR="009B7254" w:rsidRPr="00705170">
        <w:rPr>
          <w:rFonts w:ascii="Times New Roman" w:hAnsi="Times New Roman" w:cs="Times New Roman"/>
        </w:rPr>
        <w:t xml:space="preserve"> </w:t>
      </w:r>
      <w:proofErr w:type="spellStart"/>
      <w:r w:rsidR="009B7254" w:rsidRPr="00705170">
        <w:rPr>
          <w:rFonts w:ascii="Times New Roman" w:hAnsi="Times New Roman" w:cs="Times New Roman"/>
        </w:rPr>
        <w:t>the</w:t>
      </w:r>
      <w:proofErr w:type="spellEnd"/>
      <w:r w:rsidR="009B7254" w:rsidRPr="00705170">
        <w:rPr>
          <w:rFonts w:ascii="Times New Roman" w:hAnsi="Times New Roman" w:cs="Times New Roman"/>
        </w:rPr>
        <w:t xml:space="preserve"> </w:t>
      </w:r>
      <w:r w:rsidR="00200763" w:rsidRPr="00705170">
        <w:rPr>
          <w:rFonts w:ascii="Times New Roman" w:hAnsi="Times New Roman" w:cs="Times New Roman"/>
        </w:rPr>
        <w:t xml:space="preserve">legal </w:t>
      </w:r>
      <w:proofErr w:type="spellStart"/>
      <w:r w:rsidR="00200763" w:rsidRPr="00705170">
        <w:rPr>
          <w:rFonts w:ascii="Times New Roman" w:hAnsi="Times New Roman" w:cs="Times New Roman"/>
        </w:rPr>
        <w:t>capital</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rules</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pro</w:t>
      </w:r>
      <w:r w:rsidR="009B7254" w:rsidRPr="00705170">
        <w:rPr>
          <w:rFonts w:ascii="Times New Roman" w:hAnsi="Times New Roman" w:cs="Times New Roman"/>
        </w:rPr>
        <w:t>viding</w:t>
      </w:r>
      <w:proofErr w:type="spellEnd"/>
      <w:r w:rsidR="009B7254" w:rsidRPr="00705170">
        <w:rPr>
          <w:rFonts w:ascii="Times New Roman" w:hAnsi="Times New Roman" w:cs="Times New Roman"/>
        </w:rPr>
        <w:t xml:space="preserve"> </w:t>
      </w:r>
      <w:proofErr w:type="spellStart"/>
      <w:r w:rsidR="009B7254" w:rsidRPr="00705170">
        <w:rPr>
          <w:rFonts w:ascii="Times New Roman" w:hAnsi="Times New Roman" w:cs="Times New Roman"/>
        </w:rPr>
        <w:t>protection</w:t>
      </w:r>
      <w:proofErr w:type="spellEnd"/>
      <w:r w:rsidR="009B7254" w:rsidRPr="00705170">
        <w:rPr>
          <w:rFonts w:ascii="Times New Roman" w:hAnsi="Times New Roman" w:cs="Times New Roman"/>
        </w:rPr>
        <w:t xml:space="preserve"> </w:t>
      </w:r>
      <w:proofErr w:type="spellStart"/>
      <w:r w:rsidR="009B7254" w:rsidRPr="00705170">
        <w:rPr>
          <w:rFonts w:ascii="Times New Roman" w:hAnsi="Times New Roman" w:cs="Times New Roman"/>
        </w:rPr>
        <w:t>to</w:t>
      </w:r>
      <w:proofErr w:type="spellEnd"/>
      <w:r w:rsidR="009B7254" w:rsidRPr="00705170">
        <w:rPr>
          <w:rFonts w:ascii="Times New Roman" w:hAnsi="Times New Roman" w:cs="Times New Roman"/>
        </w:rPr>
        <w:t xml:space="preserve"> </w:t>
      </w:r>
      <w:proofErr w:type="spellStart"/>
      <w:r w:rsidR="009B7254" w:rsidRPr="00705170">
        <w:rPr>
          <w:rFonts w:ascii="Times New Roman" w:hAnsi="Times New Roman" w:cs="Times New Roman"/>
        </w:rPr>
        <w:t>creditors</w:t>
      </w:r>
      <w:proofErr w:type="spellEnd"/>
      <w:r w:rsidR="009B7254" w:rsidRPr="00705170">
        <w:rPr>
          <w:rFonts w:ascii="Times New Roman" w:hAnsi="Times New Roman" w:cs="Times New Roman"/>
        </w:rPr>
        <w:t xml:space="preserve"> </w:t>
      </w:r>
      <w:proofErr w:type="spellStart"/>
      <w:r w:rsidR="009B7254" w:rsidRPr="00705170">
        <w:rPr>
          <w:rFonts w:ascii="Times New Roman" w:hAnsi="Times New Roman" w:cs="Times New Roman"/>
        </w:rPr>
        <w:t>and</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minority</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shareholder</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protection</w:t>
      </w:r>
      <w:proofErr w:type="spellEnd"/>
      <w:r w:rsidR="00200763" w:rsidRPr="00705170">
        <w:rPr>
          <w:rStyle w:val="DipnotBavurusu"/>
          <w:rFonts w:ascii="Times New Roman" w:hAnsi="Times New Roman" w:cs="Times New Roman"/>
        </w:rPr>
        <w:footnoteReference w:id="288"/>
      </w:r>
      <w:r w:rsidR="00200763" w:rsidRPr="00705170">
        <w:rPr>
          <w:rFonts w:ascii="Times New Roman" w:hAnsi="Times New Roman" w:cs="Times New Roman"/>
        </w:rPr>
        <w:t>.</w:t>
      </w:r>
      <w:r w:rsidR="009B7254" w:rsidRPr="00705170">
        <w:rPr>
          <w:rFonts w:ascii="Times New Roman" w:hAnsi="Times New Roman" w:cs="Times New Roman"/>
        </w:rPr>
        <w:t xml:space="preserve"> </w:t>
      </w:r>
      <w:proofErr w:type="spellStart"/>
      <w:r w:rsidR="009B7254" w:rsidRPr="00705170">
        <w:rPr>
          <w:rFonts w:ascii="Times New Roman" w:hAnsi="Times New Roman" w:cs="Times New Roman"/>
        </w:rPr>
        <w:t>In</w:t>
      </w:r>
      <w:proofErr w:type="spellEnd"/>
      <w:r w:rsidR="009B7254" w:rsidRPr="00705170">
        <w:rPr>
          <w:rFonts w:ascii="Times New Roman" w:hAnsi="Times New Roman" w:cs="Times New Roman"/>
        </w:rPr>
        <w:t xml:space="preserve"> </w:t>
      </w:r>
      <w:proofErr w:type="spellStart"/>
      <w:r w:rsidR="009B7254" w:rsidRPr="00705170">
        <w:rPr>
          <w:rFonts w:ascii="Times New Roman" w:hAnsi="Times New Roman" w:cs="Times New Roman"/>
        </w:rPr>
        <w:t>this</w:t>
      </w:r>
      <w:proofErr w:type="spellEnd"/>
      <w:r w:rsidR="009B7254" w:rsidRPr="00705170">
        <w:rPr>
          <w:rFonts w:ascii="Times New Roman" w:hAnsi="Times New Roman" w:cs="Times New Roman"/>
        </w:rPr>
        <w:t xml:space="preserve"> </w:t>
      </w:r>
      <w:proofErr w:type="spellStart"/>
      <w:r w:rsidR="009B7254" w:rsidRPr="00705170">
        <w:rPr>
          <w:rFonts w:ascii="Times New Roman" w:hAnsi="Times New Roman" w:cs="Times New Roman"/>
        </w:rPr>
        <w:t>regards</w:t>
      </w:r>
      <w:proofErr w:type="spellEnd"/>
      <w:r w:rsidR="009B7254" w:rsidRPr="00705170">
        <w:rPr>
          <w:rFonts w:ascii="Times New Roman" w:hAnsi="Times New Roman" w:cs="Times New Roman"/>
        </w:rPr>
        <w:t xml:space="preserve">, it </w:t>
      </w:r>
      <w:proofErr w:type="spellStart"/>
      <w:r w:rsidR="00200763" w:rsidRPr="00705170">
        <w:rPr>
          <w:rFonts w:ascii="Times New Roman" w:hAnsi="Times New Roman" w:cs="Times New Roman"/>
        </w:rPr>
        <w:t>represents</w:t>
      </w:r>
      <w:proofErr w:type="spellEnd"/>
      <w:r w:rsidR="00200763" w:rsidRPr="00705170">
        <w:rPr>
          <w:rFonts w:ascii="Times New Roman" w:hAnsi="Times New Roman" w:cs="Times New Roman"/>
        </w:rPr>
        <w:t xml:space="preserve"> a </w:t>
      </w:r>
      <w:proofErr w:type="spellStart"/>
      <w:r w:rsidR="00200763" w:rsidRPr="00705170">
        <w:rPr>
          <w:rFonts w:ascii="Times New Roman" w:hAnsi="Times New Roman" w:cs="Times New Roman"/>
        </w:rPr>
        <w:t>provision</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which</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provides</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the</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consequences</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that</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could</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have</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provided</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through</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shareholder</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fiduciary</w:t>
      </w:r>
      <w:proofErr w:type="spellEnd"/>
      <w:r w:rsidR="00200763" w:rsidRPr="00705170">
        <w:rPr>
          <w:rFonts w:ascii="Times New Roman" w:hAnsi="Times New Roman" w:cs="Times New Roman"/>
        </w:rPr>
        <w:t xml:space="preserve"> </w:t>
      </w:r>
      <w:proofErr w:type="spellStart"/>
      <w:r w:rsidR="00200763" w:rsidRPr="00705170">
        <w:rPr>
          <w:rFonts w:ascii="Times New Roman" w:hAnsi="Times New Roman" w:cs="Times New Roman"/>
        </w:rPr>
        <w:t>duties</w:t>
      </w:r>
      <w:proofErr w:type="spellEnd"/>
      <w:r w:rsidR="00200763" w:rsidRPr="00705170">
        <w:rPr>
          <w:rStyle w:val="DipnotBavurusu"/>
          <w:rFonts w:ascii="Times New Roman" w:hAnsi="Times New Roman" w:cs="Times New Roman"/>
        </w:rPr>
        <w:footnoteReference w:id="289"/>
      </w:r>
      <w:r w:rsidR="00200763" w:rsidRPr="00705170">
        <w:rPr>
          <w:rFonts w:ascii="Times New Roman" w:hAnsi="Times New Roman" w:cs="Times New Roman"/>
        </w:rPr>
        <w:t xml:space="preserve">. </w:t>
      </w:r>
      <w:r w:rsidR="009B7254" w:rsidRPr="00705170">
        <w:rPr>
          <w:rFonts w:ascii="Times New Roman" w:hAnsi="Times New Roman" w:cs="Times New Roman"/>
        </w:rPr>
        <w:t xml:space="preserve">On </w:t>
      </w:r>
      <w:proofErr w:type="spellStart"/>
      <w:r w:rsidR="009B7254" w:rsidRPr="00705170">
        <w:rPr>
          <w:rFonts w:ascii="Times New Roman" w:hAnsi="Times New Roman" w:cs="Times New Roman"/>
        </w:rPr>
        <w:t>the</w:t>
      </w:r>
      <w:proofErr w:type="spellEnd"/>
      <w:r w:rsidR="009B7254" w:rsidRPr="00705170">
        <w:rPr>
          <w:rFonts w:ascii="Times New Roman" w:hAnsi="Times New Roman" w:cs="Times New Roman"/>
        </w:rPr>
        <w:t xml:space="preserve"> </w:t>
      </w:r>
      <w:proofErr w:type="spellStart"/>
      <w:r w:rsidR="009B7254" w:rsidRPr="00705170">
        <w:rPr>
          <w:rFonts w:ascii="Times New Roman" w:hAnsi="Times New Roman" w:cs="Times New Roman"/>
        </w:rPr>
        <w:t>other</w:t>
      </w:r>
      <w:proofErr w:type="spellEnd"/>
      <w:r w:rsidR="009B7254" w:rsidRPr="00705170">
        <w:rPr>
          <w:rFonts w:ascii="Times New Roman" w:hAnsi="Times New Roman" w:cs="Times New Roman"/>
        </w:rPr>
        <w:t xml:space="preserve"> </w:t>
      </w:r>
      <w:proofErr w:type="spellStart"/>
      <w:r w:rsidR="009B7254" w:rsidRPr="00705170">
        <w:rPr>
          <w:rFonts w:ascii="Times New Roman" w:hAnsi="Times New Roman" w:cs="Times New Roman"/>
        </w:rPr>
        <w:t>hand</w:t>
      </w:r>
      <w:proofErr w:type="spellEnd"/>
      <w:r w:rsidR="009B7254" w:rsidRPr="00705170">
        <w:rPr>
          <w:rFonts w:ascii="Times New Roman" w:hAnsi="Times New Roman" w:cs="Times New Roman"/>
        </w:rPr>
        <w:t xml:space="preserve">, </w:t>
      </w:r>
      <w:proofErr w:type="spellStart"/>
      <w:r w:rsidR="00261A07" w:rsidRPr="00705170">
        <w:rPr>
          <w:rFonts w:ascii="Times New Roman" w:hAnsi="Times New Roman" w:cs="Times New Roman"/>
        </w:rPr>
        <w:t>rules</w:t>
      </w:r>
      <w:proofErr w:type="spellEnd"/>
      <w:r w:rsidR="00261A07" w:rsidRPr="00705170">
        <w:rPr>
          <w:rFonts w:ascii="Times New Roman" w:hAnsi="Times New Roman" w:cs="Times New Roman"/>
        </w:rPr>
        <w:t xml:space="preserve"> on </w:t>
      </w:r>
      <w:proofErr w:type="spellStart"/>
      <w:r w:rsidR="00261A07" w:rsidRPr="00705170">
        <w:rPr>
          <w:rFonts w:ascii="Times New Roman" w:hAnsi="Times New Roman" w:cs="Times New Roman"/>
        </w:rPr>
        <w:t>related</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party</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transactions</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under</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corporate</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governance</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requirements</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deals</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with</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related</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party</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transactions</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ex</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ante</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by</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requiring</w:t>
      </w:r>
      <w:proofErr w:type="spellEnd"/>
      <w:r w:rsidR="00261A07" w:rsidRPr="00705170">
        <w:rPr>
          <w:rFonts w:ascii="Times New Roman" w:hAnsi="Times New Roman" w:cs="Times New Roman"/>
        </w:rPr>
        <w:t xml:space="preserve"> a board of </w:t>
      </w:r>
      <w:proofErr w:type="spellStart"/>
      <w:r w:rsidR="00261A07" w:rsidRPr="00705170">
        <w:rPr>
          <w:rFonts w:ascii="Times New Roman" w:hAnsi="Times New Roman" w:cs="Times New Roman"/>
        </w:rPr>
        <w:t>directors</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resolution</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which</w:t>
      </w:r>
      <w:proofErr w:type="spellEnd"/>
      <w:r w:rsidR="00261A07" w:rsidRPr="00705170">
        <w:rPr>
          <w:rFonts w:ascii="Times New Roman" w:hAnsi="Times New Roman" w:cs="Times New Roman"/>
        </w:rPr>
        <w:t xml:space="preserve"> is </w:t>
      </w:r>
      <w:proofErr w:type="spellStart"/>
      <w:r w:rsidR="00261A07" w:rsidRPr="00705170">
        <w:rPr>
          <w:rFonts w:ascii="Times New Roman" w:hAnsi="Times New Roman" w:cs="Times New Roman"/>
        </w:rPr>
        <w:t>approved</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by</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the</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majority</w:t>
      </w:r>
      <w:proofErr w:type="spellEnd"/>
      <w:r w:rsidR="00261A07" w:rsidRPr="00705170">
        <w:rPr>
          <w:rFonts w:ascii="Times New Roman" w:hAnsi="Times New Roman" w:cs="Times New Roman"/>
        </w:rPr>
        <w:t xml:space="preserve"> of </w:t>
      </w:r>
      <w:proofErr w:type="spellStart"/>
      <w:r w:rsidR="00261A07" w:rsidRPr="00705170">
        <w:rPr>
          <w:rFonts w:ascii="Times New Roman" w:hAnsi="Times New Roman" w:cs="Times New Roman"/>
        </w:rPr>
        <w:t>the</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disinterested</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directors</w:t>
      </w:r>
      <w:proofErr w:type="spellEnd"/>
      <w:r w:rsidR="00261A07" w:rsidRPr="00705170">
        <w:rPr>
          <w:rFonts w:ascii="Times New Roman" w:hAnsi="Times New Roman" w:cs="Times New Roman"/>
        </w:rPr>
        <w:t xml:space="preserve">, </w:t>
      </w:r>
      <w:r w:rsidR="0086339C" w:rsidRPr="00705170">
        <w:rPr>
          <w:rFonts w:ascii="Times New Roman" w:hAnsi="Times New Roman" w:cs="Times New Roman"/>
        </w:rPr>
        <w:t xml:space="preserve">in </w:t>
      </w:r>
      <w:proofErr w:type="spellStart"/>
      <w:r w:rsidR="0086339C" w:rsidRPr="00705170">
        <w:rPr>
          <w:rFonts w:ascii="Times New Roman" w:hAnsi="Times New Roman" w:cs="Times New Roman"/>
        </w:rPr>
        <w:t>order</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to</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carry</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out</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certain</w:t>
      </w:r>
      <w:proofErr w:type="spellEnd"/>
      <w:r w:rsidR="0086339C" w:rsidRPr="00705170">
        <w:rPr>
          <w:rFonts w:ascii="Times New Roman" w:hAnsi="Times New Roman" w:cs="Times New Roman"/>
        </w:rPr>
        <w:t xml:space="preserve"> </w:t>
      </w:r>
      <w:proofErr w:type="spellStart"/>
      <w:r w:rsidR="00261A07" w:rsidRPr="00705170">
        <w:rPr>
          <w:rFonts w:ascii="Times New Roman" w:hAnsi="Times New Roman" w:cs="Times New Roman"/>
        </w:rPr>
        <w:t>transaction</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determined</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by</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the</w:t>
      </w:r>
      <w:proofErr w:type="spellEnd"/>
      <w:r w:rsidR="0086339C" w:rsidRPr="00705170">
        <w:rPr>
          <w:rFonts w:ascii="Times New Roman" w:hAnsi="Times New Roman" w:cs="Times New Roman"/>
        </w:rPr>
        <w:t xml:space="preserve"> CMB</w:t>
      </w:r>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If</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the</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transaction</w:t>
      </w:r>
      <w:proofErr w:type="spellEnd"/>
      <w:r w:rsidR="006E5BBA" w:rsidRPr="00705170">
        <w:rPr>
          <w:rFonts w:ascii="Times New Roman" w:hAnsi="Times New Roman" w:cs="Times New Roman"/>
        </w:rPr>
        <w:t xml:space="preserve"> is not </w:t>
      </w:r>
      <w:proofErr w:type="spellStart"/>
      <w:r w:rsidR="006E5BBA" w:rsidRPr="00705170">
        <w:rPr>
          <w:rFonts w:ascii="Times New Roman" w:hAnsi="Times New Roman" w:cs="Times New Roman"/>
        </w:rPr>
        <w:t>approved</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by</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the</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majority</w:t>
      </w:r>
      <w:proofErr w:type="spellEnd"/>
      <w:r w:rsidR="006E5BBA" w:rsidRPr="00705170">
        <w:rPr>
          <w:rFonts w:ascii="Times New Roman" w:hAnsi="Times New Roman" w:cs="Times New Roman"/>
        </w:rPr>
        <w:t xml:space="preserve"> of </w:t>
      </w:r>
      <w:proofErr w:type="spellStart"/>
      <w:r w:rsidR="006E5BBA" w:rsidRPr="00705170">
        <w:rPr>
          <w:rFonts w:ascii="Times New Roman" w:hAnsi="Times New Roman" w:cs="Times New Roman"/>
        </w:rPr>
        <w:t>the</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disinterested</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directors</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then</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the</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details</w:t>
      </w:r>
      <w:proofErr w:type="spellEnd"/>
      <w:r w:rsidR="006E5BBA" w:rsidRPr="00705170">
        <w:rPr>
          <w:rFonts w:ascii="Times New Roman" w:hAnsi="Times New Roman" w:cs="Times New Roman"/>
        </w:rPr>
        <w:t xml:space="preserve"> of </w:t>
      </w:r>
      <w:proofErr w:type="spellStart"/>
      <w:r w:rsidR="006E5BBA" w:rsidRPr="00705170">
        <w:rPr>
          <w:rFonts w:ascii="Times New Roman" w:hAnsi="Times New Roman" w:cs="Times New Roman"/>
        </w:rPr>
        <w:t>the</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transaction</w:t>
      </w:r>
      <w:proofErr w:type="spellEnd"/>
      <w:r w:rsidR="006E5BBA" w:rsidRPr="00705170">
        <w:rPr>
          <w:rFonts w:ascii="Times New Roman" w:hAnsi="Times New Roman" w:cs="Times New Roman"/>
        </w:rPr>
        <w:t xml:space="preserve"> is </w:t>
      </w:r>
      <w:proofErr w:type="spellStart"/>
      <w:r w:rsidR="006E5BBA" w:rsidRPr="00705170">
        <w:rPr>
          <w:rFonts w:ascii="Times New Roman" w:hAnsi="Times New Roman" w:cs="Times New Roman"/>
        </w:rPr>
        <w:lastRenderedPageBreak/>
        <w:t>disclosed</w:t>
      </w:r>
      <w:proofErr w:type="spellEnd"/>
      <w:r w:rsidR="00261A07" w:rsidRPr="00705170">
        <w:rPr>
          <w:rFonts w:ascii="Times New Roman" w:hAnsi="Times New Roman" w:cs="Times New Roman"/>
        </w:rPr>
        <w:t xml:space="preserve"> </w:t>
      </w:r>
      <w:proofErr w:type="spellStart"/>
      <w:r w:rsidR="006E5BBA" w:rsidRPr="00705170">
        <w:rPr>
          <w:rFonts w:ascii="Times New Roman" w:hAnsi="Times New Roman" w:cs="Times New Roman"/>
        </w:rPr>
        <w:t>and</w:t>
      </w:r>
      <w:proofErr w:type="spellEnd"/>
      <w:r w:rsidR="006E5BBA" w:rsidRPr="00705170">
        <w:rPr>
          <w:rFonts w:ascii="Times New Roman" w:hAnsi="Times New Roman" w:cs="Times New Roman"/>
        </w:rPr>
        <w:t xml:space="preserve"> it is </w:t>
      </w:r>
      <w:proofErr w:type="spellStart"/>
      <w:r w:rsidR="006E5BBA" w:rsidRPr="00705170">
        <w:rPr>
          <w:rFonts w:ascii="Times New Roman" w:hAnsi="Times New Roman" w:cs="Times New Roman"/>
        </w:rPr>
        <w:t>submitted</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to</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the</w:t>
      </w:r>
      <w:proofErr w:type="spellEnd"/>
      <w:r w:rsidR="006E5BBA" w:rsidRPr="00705170">
        <w:rPr>
          <w:rFonts w:ascii="Times New Roman" w:hAnsi="Times New Roman" w:cs="Times New Roman"/>
        </w:rPr>
        <w:t xml:space="preserve"> general </w:t>
      </w:r>
      <w:proofErr w:type="spellStart"/>
      <w:r w:rsidR="006E5BBA" w:rsidRPr="00705170">
        <w:rPr>
          <w:rFonts w:ascii="Times New Roman" w:hAnsi="Times New Roman" w:cs="Times New Roman"/>
        </w:rPr>
        <w:t>assembly</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for</w:t>
      </w:r>
      <w:proofErr w:type="spellEnd"/>
      <w:r w:rsidR="006E5BBA" w:rsidRPr="00705170">
        <w:rPr>
          <w:rFonts w:ascii="Times New Roman" w:hAnsi="Times New Roman" w:cs="Times New Roman"/>
        </w:rPr>
        <w:t xml:space="preserve"> a </w:t>
      </w:r>
      <w:proofErr w:type="spellStart"/>
      <w:r w:rsidR="006E5BBA" w:rsidRPr="00705170">
        <w:rPr>
          <w:rFonts w:ascii="Times New Roman" w:hAnsi="Times New Roman" w:cs="Times New Roman"/>
        </w:rPr>
        <w:t>shareholder</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approval</w:t>
      </w:r>
      <w:proofErr w:type="spellEnd"/>
      <w:r w:rsidR="006E5BBA" w:rsidRPr="00705170">
        <w:rPr>
          <w:rFonts w:ascii="Times New Roman" w:hAnsi="Times New Roman" w:cs="Times New Roman"/>
        </w:rPr>
        <w:t xml:space="preserve"> in </w:t>
      </w:r>
      <w:proofErr w:type="spellStart"/>
      <w:r w:rsidR="006E5BBA" w:rsidRPr="00705170">
        <w:rPr>
          <w:rFonts w:ascii="Times New Roman" w:hAnsi="Times New Roman" w:cs="Times New Roman"/>
        </w:rPr>
        <w:t>which</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the</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interested</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parties</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would</w:t>
      </w:r>
      <w:proofErr w:type="spellEnd"/>
      <w:r w:rsidR="006E5BBA" w:rsidRPr="00705170">
        <w:rPr>
          <w:rFonts w:ascii="Times New Roman" w:hAnsi="Times New Roman" w:cs="Times New Roman"/>
        </w:rPr>
        <w:t xml:space="preserve"> not </w:t>
      </w:r>
      <w:proofErr w:type="spellStart"/>
      <w:r w:rsidR="006E5BBA" w:rsidRPr="00705170">
        <w:rPr>
          <w:rFonts w:ascii="Times New Roman" w:hAnsi="Times New Roman" w:cs="Times New Roman"/>
        </w:rPr>
        <w:t>have</w:t>
      </w:r>
      <w:proofErr w:type="spellEnd"/>
      <w:r w:rsidR="006E5BBA" w:rsidRPr="00705170">
        <w:rPr>
          <w:rFonts w:ascii="Times New Roman" w:hAnsi="Times New Roman" w:cs="Times New Roman"/>
        </w:rPr>
        <w:t xml:space="preserve"> a </w:t>
      </w:r>
      <w:proofErr w:type="spellStart"/>
      <w:r w:rsidR="006E5BBA" w:rsidRPr="00705170">
        <w:rPr>
          <w:rFonts w:ascii="Times New Roman" w:hAnsi="Times New Roman" w:cs="Times New Roman"/>
        </w:rPr>
        <w:t>voting</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right</w:t>
      </w:r>
      <w:proofErr w:type="spellEnd"/>
      <w:r w:rsidR="006E5BBA" w:rsidRPr="00705170">
        <w:rPr>
          <w:rFonts w:ascii="Times New Roman" w:hAnsi="Times New Roman" w:cs="Times New Roman"/>
        </w:rPr>
        <w:t xml:space="preserve"> </w:t>
      </w:r>
      <w:r w:rsidR="00261A07" w:rsidRPr="00705170">
        <w:rPr>
          <w:rFonts w:ascii="Times New Roman" w:hAnsi="Times New Roman" w:cs="Times New Roman"/>
        </w:rPr>
        <w:t>(</w:t>
      </w:r>
      <w:proofErr w:type="spellStart"/>
      <w:r w:rsidR="00261A07" w:rsidRPr="00705170">
        <w:rPr>
          <w:rFonts w:ascii="Times New Roman" w:hAnsi="Times New Roman" w:cs="Times New Roman"/>
        </w:rPr>
        <w:t>Article</w:t>
      </w:r>
      <w:proofErr w:type="spellEnd"/>
      <w:r w:rsidR="00261A07" w:rsidRPr="00705170">
        <w:rPr>
          <w:rFonts w:ascii="Times New Roman" w:hAnsi="Times New Roman" w:cs="Times New Roman"/>
        </w:rPr>
        <w:t xml:space="preserve"> 17(3)). </w:t>
      </w:r>
      <w:r w:rsidR="006E5BBA" w:rsidRPr="00705170">
        <w:rPr>
          <w:rFonts w:ascii="Times New Roman" w:hAnsi="Times New Roman" w:cs="Times New Roman"/>
        </w:rPr>
        <w:t xml:space="preserve">Under </w:t>
      </w:r>
      <w:proofErr w:type="spellStart"/>
      <w:r w:rsidR="006E5BBA" w:rsidRPr="00705170">
        <w:rPr>
          <w:rFonts w:ascii="Times New Roman" w:hAnsi="Times New Roman" w:cs="Times New Roman"/>
        </w:rPr>
        <w:t>this</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framework</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the</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legislative</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intent</w:t>
      </w:r>
      <w:proofErr w:type="spellEnd"/>
      <w:r w:rsidR="00261A07" w:rsidRPr="00705170">
        <w:rPr>
          <w:rFonts w:ascii="Times New Roman" w:hAnsi="Times New Roman" w:cs="Times New Roman"/>
        </w:rPr>
        <w:t xml:space="preserve"> is </w:t>
      </w:r>
      <w:proofErr w:type="spellStart"/>
      <w:r w:rsidR="00261A07" w:rsidRPr="00705170">
        <w:rPr>
          <w:rFonts w:ascii="Times New Roman" w:hAnsi="Times New Roman" w:cs="Times New Roman"/>
        </w:rPr>
        <w:t>to</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use</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the</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disinterested</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directors</w:t>
      </w:r>
      <w:proofErr w:type="spellEnd"/>
      <w:r w:rsidR="00261A07" w:rsidRPr="00705170">
        <w:rPr>
          <w:rFonts w:ascii="Times New Roman" w:hAnsi="Times New Roman" w:cs="Times New Roman"/>
        </w:rPr>
        <w:t xml:space="preserve"> as a “</w:t>
      </w:r>
      <w:proofErr w:type="spellStart"/>
      <w:r w:rsidR="00261A07" w:rsidRPr="00705170">
        <w:rPr>
          <w:rFonts w:ascii="Times New Roman" w:hAnsi="Times New Roman" w:cs="Times New Roman"/>
        </w:rPr>
        <w:t>controlling</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instrument</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regarding</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the</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protection</w:t>
      </w:r>
      <w:proofErr w:type="spellEnd"/>
      <w:r w:rsidR="00261A07" w:rsidRPr="00705170">
        <w:rPr>
          <w:rFonts w:ascii="Times New Roman" w:hAnsi="Times New Roman" w:cs="Times New Roman"/>
        </w:rPr>
        <w:t xml:space="preserve"> of </w:t>
      </w:r>
      <w:proofErr w:type="spellStart"/>
      <w:r w:rsidR="00261A07" w:rsidRPr="00705170">
        <w:rPr>
          <w:rFonts w:ascii="Times New Roman" w:hAnsi="Times New Roman" w:cs="Times New Roman"/>
        </w:rPr>
        <w:t>the</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corporation’s</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long</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term</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interests</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and</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the</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balance</w:t>
      </w:r>
      <w:proofErr w:type="spellEnd"/>
      <w:r w:rsidR="00261A07" w:rsidRPr="00705170">
        <w:rPr>
          <w:rFonts w:ascii="Times New Roman" w:hAnsi="Times New Roman" w:cs="Times New Roman"/>
        </w:rPr>
        <w:t xml:space="preserve"> of </w:t>
      </w:r>
      <w:proofErr w:type="spellStart"/>
      <w:r w:rsidR="00261A07" w:rsidRPr="00705170">
        <w:rPr>
          <w:rFonts w:ascii="Times New Roman" w:hAnsi="Times New Roman" w:cs="Times New Roman"/>
        </w:rPr>
        <w:t>differing</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interests</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among</w:t>
      </w:r>
      <w:proofErr w:type="spellEnd"/>
      <w:r w:rsidR="00261A07" w:rsidRPr="00705170">
        <w:rPr>
          <w:rFonts w:ascii="Times New Roman" w:hAnsi="Times New Roman" w:cs="Times New Roman"/>
        </w:rPr>
        <w:t xml:space="preserve"> </w:t>
      </w:r>
      <w:proofErr w:type="spellStart"/>
      <w:r w:rsidR="00261A07" w:rsidRPr="00705170">
        <w:rPr>
          <w:rFonts w:ascii="Times New Roman" w:hAnsi="Times New Roman" w:cs="Times New Roman"/>
        </w:rPr>
        <w:t>shareholders</w:t>
      </w:r>
      <w:proofErr w:type="spellEnd"/>
      <w:r w:rsidR="00261A07" w:rsidRPr="00705170">
        <w:rPr>
          <w:rStyle w:val="DipnotBavurusu"/>
          <w:rFonts w:ascii="Times New Roman" w:hAnsi="Times New Roman" w:cs="Times New Roman"/>
        </w:rPr>
        <w:footnoteReference w:id="290"/>
      </w:r>
      <w:r w:rsidR="006E5BBA" w:rsidRPr="00705170">
        <w:rPr>
          <w:rFonts w:ascii="Times New Roman" w:hAnsi="Times New Roman" w:cs="Times New Roman"/>
        </w:rPr>
        <w:t xml:space="preserve">, but </w:t>
      </w:r>
      <w:proofErr w:type="spellStart"/>
      <w:r w:rsidR="006E5BBA" w:rsidRPr="00705170">
        <w:rPr>
          <w:rFonts w:ascii="Times New Roman" w:hAnsi="Times New Roman" w:cs="Times New Roman"/>
        </w:rPr>
        <w:t>gives</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the</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ultimate</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decision</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power</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to</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the</w:t>
      </w:r>
      <w:proofErr w:type="spellEnd"/>
      <w:r w:rsidR="006E5BBA" w:rsidRPr="00705170">
        <w:rPr>
          <w:rFonts w:ascii="Times New Roman" w:hAnsi="Times New Roman" w:cs="Times New Roman"/>
        </w:rPr>
        <w:t xml:space="preserve"> </w:t>
      </w:r>
      <w:proofErr w:type="spellStart"/>
      <w:r w:rsidR="006E5BBA" w:rsidRPr="00705170">
        <w:rPr>
          <w:rFonts w:ascii="Times New Roman" w:hAnsi="Times New Roman" w:cs="Times New Roman"/>
        </w:rPr>
        <w:t>shareholders</w:t>
      </w:r>
      <w:proofErr w:type="spellEnd"/>
      <w:r w:rsidR="006E5BBA" w:rsidRPr="00705170">
        <w:rPr>
          <w:rFonts w:ascii="Times New Roman" w:hAnsi="Times New Roman" w:cs="Times New Roman"/>
        </w:rPr>
        <w:t>.</w:t>
      </w:r>
    </w:p>
    <w:p w14:paraId="50E0F1D2" w14:textId="63A3189B" w:rsidR="00C06208" w:rsidRPr="00705170" w:rsidRDefault="00200763" w:rsidP="00C06208">
      <w:pPr>
        <w:spacing w:after="240" w:line="480" w:lineRule="auto"/>
        <w:ind w:firstLine="708"/>
        <w:jc w:val="both"/>
        <w:rPr>
          <w:rFonts w:ascii="Times New Roman" w:hAnsi="Times New Roman" w:cs="Times New Roman"/>
        </w:rPr>
      </w:pPr>
      <w:r w:rsidRPr="00705170">
        <w:rPr>
          <w:rFonts w:ascii="Times New Roman" w:hAnsi="Times New Roman" w:cs="Times New Roman"/>
          <w:lang w:val="en-US"/>
        </w:rPr>
        <w:t xml:space="preserve">The </w:t>
      </w:r>
      <w:r w:rsidR="00FA134E" w:rsidRPr="00705170">
        <w:rPr>
          <w:rFonts w:ascii="Times New Roman" w:hAnsi="Times New Roman" w:cs="Times New Roman"/>
          <w:lang w:val="en-US"/>
        </w:rPr>
        <w:t>regulatory interpretation of</w:t>
      </w:r>
      <w:r w:rsidR="0068499F" w:rsidRPr="00705170">
        <w:rPr>
          <w:rFonts w:ascii="Times New Roman" w:hAnsi="Times New Roman" w:cs="Times New Roman"/>
          <w:lang w:val="en-US"/>
        </w:rPr>
        <w:t xml:space="preserve"> the provision of concealed distribution of capital would be better understood if the CML</w:t>
      </w:r>
      <w:r w:rsidR="00FA134E" w:rsidRPr="00705170">
        <w:rPr>
          <w:rFonts w:ascii="Times New Roman" w:hAnsi="Times New Roman" w:cs="Times New Roman"/>
          <w:lang w:val="en-US"/>
        </w:rPr>
        <w:t>’s</w:t>
      </w:r>
      <w:r w:rsidR="0068499F" w:rsidRPr="00705170">
        <w:rPr>
          <w:rFonts w:ascii="Times New Roman" w:hAnsi="Times New Roman" w:cs="Times New Roman"/>
          <w:lang w:val="en-US"/>
        </w:rPr>
        <w:t xml:space="preserve"> official text English is examined: While the literal translation of the title of Article 21 is “concealed distribution of income”, the official English text uses the </w:t>
      </w:r>
      <w:r w:rsidR="00B816C6" w:rsidRPr="00705170">
        <w:rPr>
          <w:rFonts w:ascii="Times New Roman" w:hAnsi="Times New Roman" w:cs="Times New Roman"/>
          <w:lang w:val="en-US"/>
        </w:rPr>
        <w:t>“prohibition of illegal transfer pricing activities” title</w:t>
      </w:r>
      <w:r w:rsidR="0068499F" w:rsidRPr="00705170">
        <w:rPr>
          <w:rFonts w:ascii="Times New Roman" w:hAnsi="Times New Roman" w:cs="Times New Roman"/>
          <w:lang w:val="en-US"/>
        </w:rPr>
        <w:t xml:space="preserve">. </w:t>
      </w:r>
      <w:r w:rsidR="00224850" w:rsidRPr="00705170">
        <w:rPr>
          <w:rFonts w:ascii="Times New Roman" w:hAnsi="Times New Roman" w:cs="Times New Roman"/>
          <w:lang w:val="en-US"/>
        </w:rPr>
        <w:t>However, this translation is misleading, because the provision itself is wider than just covering transfer pricing</w:t>
      </w:r>
      <w:r w:rsidR="00E45198" w:rsidRPr="00705170">
        <w:rPr>
          <w:rStyle w:val="DipnotBavurusu"/>
          <w:rFonts w:ascii="Times New Roman" w:hAnsi="Times New Roman" w:cs="Times New Roman"/>
          <w:lang w:val="en-US"/>
        </w:rPr>
        <w:footnoteReference w:id="291"/>
      </w:r>
      <w:r w:rsidR="00224850" w:rsidRPr="00705170">
        <w:rPr>
          <w:rFonts w:ascii="Times New Roman" w:hAnsi="Times New Roman" w:cs="Times New Roman"/>
          <w:lang w:val="en-US"/>
        </w:rPr>
        <w:t>: As one court notes, this provision protects the minority shareholders against “special governance practices”</w:t>
      </w:r>
      <w:r w:rsidR="00224850" w:rsidRPr="00705170">
        <w:rPr>
          <w:rStyle w:val="DipnotBavurusu"/>
          <w:rFonts w:ascii="Times New Roman" w:hAnsi="Times New Roman" w:cs="Times New Roman"/>
          <w:lang w:val="en-US"/>
        </w:rPr>
        <w:footnoteReference w:id="292"/>
      </w:r>
      <w:r w:rsidR="00224850" w:rsidRPr="00705170">
        <w:rPr>
          <w:rFonts w:ascii="Times New Roman" w:hAnsi="Times New Roman" w:cs="Times New Roman"/>
          <w:lang w:val="en-US"/>
        </w:rPr>
        <w:t xml:space="preserve">. </w:t>
      </w:r>
      <w:r w:rsidR="001B2CFB" w:rsidRPr="00705170">
        <w:rPr>
          <w:rFonts w:ascii="Times New Roman" w:hAnsi="Times New Roman" w:cs="Times New Roman"/>
          <w:lang w:val="en-US"/>
        </w:rPr>
        <w:t xml:space="preserve">As a matter of fact, Article 21 of the CML tracks corporate governance practices that are implemented to transfer funds from the corporation to one of its related parties: In this regard, this provision is focused on the conduct of tunneling, but only covers tunneling aimed at maximizing pecuniary benefits of </w:t>
      </w:r>
      <w:r w:rsidR="001F3A80" w:rsidRPr="00705170">
        <w:rPr>
          <w:rFonts w:ascii="Times New Roman" w:hAnsi="Times New Roman" w:cs="Times New Roman"/>
          <w:lang w:val="en-US"/>
        </w:rPr>
        <w:t xml:space="preserve">the related party. </w:t>
      </w:r>
      <w:r w:rsidRPr="00705170">
        <w:rPr>
          <w:rFonts w:ascii="Times New Roman" w:hAnsi="Times New Roman" w:cs="Times New Roman"/>
          <w:lang w:val="en-US"/>
        </w:rPr>
        <w:t>Ther</w:t>
      </w:r>
      <w:r w:rsidR="005D0D82" w:rsidRPr="00705170">
        <w:rPr>
          <w:rFonts w:ascii="Times New Roman" w:hAnsi="Times New Roman" w:cs="Times New Roman"/>
          <w:lang w:val="en-US"/>
        </w:rPr>
        <w:t>e</w:t>
      </w:r>
      <w:r w:rsidRPr="00705170">
        <w:rPr>
          <w:rFonts w:ascii="Times New Roman" w:hAnsi="Times New Roman" w:cs="Times New Roman"/>
          <w:lang w:val="en-US"/>
        </w:rPr>
        <w:t>in, t</w:t>
      </w:r>
      <w:r w:rsidR="001B2CFB" w:rsidRPr="00705170">
        <w:rPr>
          <w:rFonts w:ascii="Times New Roman" w:hAnsi="Times New Roman" w:cs="Times New Roman"/>
          <w:lang w:val="en-US"/>
        </w:rPr>
        <w:t>ransfer pricing</w:t>
      </w:r>
      <w:r w:rsidR="00C43B51" w:rsidRPr="00705170">
        <w:rPr>
          <w:rFonts w:ascii="Times New Roman" w:hAnsi="Times New Roman" w:cs="Times New Roman"/>
          <w:lang w:val="en-US"/>
        </w:rPr>
        <w:t xml:space="preserve"> </w:t>
      </w:r>
      <w:r w:rsidR="001B2CFB" w:rsidRPr="00705170">
        <w:rPr>
          <w:rFonts w:ascii="Times New Roman" w:hAnsi="Times New Roman" w:cs="Times New Roman"/>
          <w:lang w:val="en-US"/>
        </w:rPr>
        <w:t xml:space="preserve">represents </w:t>
      </w:r>
      <w:r w:rsidRPr="00705170">
        <w:rPr>
          <w:rFonts w:ascii="Times New Roman" w:hAnsi="Times New Roman" w:cs="Times New Roman"/>
          <w:lang w:val="en-US"/>
        </w:rPr>
        <w:t xml:space="preserve">only </w:t>
      </w:r>
      <w:r w:rsidR="001B2CFB" w:rsidRPr="00705170">
        <w:rPr>
          <w:rFonts w:ascii="Times New Roman" w:hAnsi="Times New Roman" w:cs="Times New Roman"/>
          <w:lang w:val="en-US"/>
        </w:rPr>
        <w:t>o</w:t>
      </w:r>
      <w:r w:rsidRPr="00705170">
        <w:rPr>
          <w:rFonts w:ascii="Times New Roman" w:hAnsi="Times New Roman" w:cs="Times New Roman"/>
          <w:lang w:val="en-US"/>
        </w:rPr>
        <w:t xml:space="preserve">ne of the tunneling </w:t>
      </w:r>
      <w:r w:rsidRPr="00705170">
        <w:rPr>
          <w:rFonts w:ascii="Times New Roman" w:hAnsi="Times New Roman" w:cs="Times New Roman"/>
          <w:lang w:val="en-US"/>
        </w:rPr>
        <w:lastRenderedPageBreak/>
        <w:t>techn</w:t>
      </w:r>
      <w:r w:rsidR="00267372" w:rsidRPr="00705170">
        <w:rPr>
          <w:rFonts w:ascii="Times New Roman" w:hAnsi="Times New Roman" w:cs="Times New Roman"/>
          <w:lang w:val="en-US"/>
        </w:rPr>
        <w:t>iques that the provision covers</w:t>
      </w:r>
      <w:r w:rsidR="00267372" w:rsidRPr="00705170">
        <w:rPr>
          <w:rStyle w:val="DipnotBavurusu"/>
          <w:rFonts w:ascii="Times New Roman" w:hAnsi="Times New Roman" w:cs="Times New Roman"/>
          <w:lang w:val="en-US"/>
        </w:rPr>
        <w:footnoteReference w:id="293"/>
      </w:r>
      <w:r w:rsidR="00267372" w:rsidRPr="00705170">
        <w:rPr>
          <w:rFonts w:ascii="Times New Roman" w:hAnsi="Times New Roman" w:cs="Times New Roman"/>
          <w:lang w:val="en-US"/>
        </w:rPr>
        <w:t>. Other tunneling techniques that t</w:t>
      </w:r>
      <w:r w:rsidR="00FA134E" w:rsidRPr="00705170">
        <w:rPr>
          <w:rFonts w:ascii="Times New Roman" w:hAnsi="Times New Roman" w:cs="Times New Roman"/>
          <w:lang w:val="en-US"/>
        </w:rPr>
        <w:t>he provision covers are transactions that would under normal circumstances not be completed or refraining to transact</w:t>
      </w:r>
      <w:r w:rsidR="00FA134E" w:rsidRPr="00705170">
        <w:rPr>
          <w:rStyle w:val="DipnotBavurusu"/>
          <w:rFonts w:ascii="Times New Roman" w:hAnsi="Times New Roman" w:cs="Times New Roman"/>
          <w:lang w:val="en-US"/>
        </w:rPr>
        <w:footnoteReference w:id="294"/>
      </w:r>
      <w:r w:rsidR="00FA134E" w:rsidRPr="00705170">
        <w:rPr>
          <w:rFonts w:ascii="Times New Roman" w:hAnsi="Times New Roman" w:cs="Times New Roman"/>
          <w:lang w:val="en-US"/>
        </w:rPr>
        <w:t>.</w:t>
      </w:r>
    </w:p>
    <w:p w14:paraId="614C9363" w14:textId="02F3ED92" w:rsidR="008F35A9" w:rsidRPr="00705170" w:rsidRDefault="008620D7" w:rsidP="00D93371">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According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CML</w:t>
      </w:r>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Article</w:t>
      </w:r>
      <w:proofErr w:type="spellEnd"/>
      <w:r w:rsidR="007D0755" w:rsidRPr="00705170">
        <w:rPr>
          <w:rFonts w:ascii="Times New Roman" w:hAnsi="Times New Roman" w:cs="Times New Roman"/>
        </w:rPr>
        <w:t xml:space="preserve"> 21</w:t>
      </w:r>
      <w:r w:rsidRPr="00705170">
        <w:rPr>
          <w:rFonts w:ascii="Times New Roman" w:hAnsi="Times New Roman" w:cs="Times New Roman"/>
        </w:rPr>
        <w:t xml:space="preserve">, a </w:t>
      </w:r>
      <w:proofErr w:type="spellStart"/>
      <w:r w:rsidRPr="00705170">
        <w:rPr>
          <w:rFonts w:ascii="Times New Roman" w:hAnsi="Times New Roman" w:cs="Times New Roman"/>
        </w:rPr>
        <w:t>concealed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distribution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occurs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satisfies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following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four</w:t>
      </w:r>
      <w:proofErr w:type="spellEnd"/>
      <w:r w:rsidR="00AE3209" w:rsidRPr="00705170">
        <w:rPr>
          <w:rFonts w:ascii="Times New Roman" w:hAnsi="Times New Roman" w:cs="Times New Roman"/>
        </w:rPr>
        <w:t xml:space="preserve"> main</w:t>
      </w:r>
      <w:r w:rsidRPr="00705170">
        <w:rPr>
          <w:rFonts w:ascii="Times New Roman" w:hAnsi="Times New Roman" w:cs="Times New Roman"/>
        </w:rPr>
        <w:t xml:space="preserve"> </w:t>
      </w:r>
      <w:proofErr w:type="spellStart"/>
      <w:r w:rsidRPr="00705170">
        <w:rPr>
          <w:rFonts w:ascii="Times New Roman" w:hAnsi="Times New Roman" w:cs="Times New Roman"/>
        </w:rPr>
        <w:t>elements</w:t>
      </w:r>
      <w:proofErr w:type="spellEnd"/>
      <w:r w:rsidRPr="00705170">
        <w:rPr>
          <w:rFonts w:ascii="Times New Roman" w:hAnsi="Times New Roman" w:cs="Times New Roman"/>
        </w:rPr>
        <w:t xml:space="preserve">: (1)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transfer is </w:t>
      </w:r>
      <w:proofErr w:type="spellStart"/>
      <w:r w:rsidRPr="00705170">
        <w:rPr>
          <w:rFonts w:ascii="Times New Roman" w:hAnsi="Times New Roman" w:cs="Times New Roman"/>
        </w:rPr>
        <w:t>made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w:t>
      </w:r>
      <w:r w:rsidR="005E37E8" w:rsidRPr="00705170">
        <w:rPr>
          <w:rFonts w:ascii="Times New Roman" w:hAnsi="Times New Roman" w:cs="Times New Roman"/>
        </w:rPr>
        <w:t>ded</w:t>
      </w:r>
      <w:proofErr w:type="spellEnd"/>
      <w:r w:rsidR="005E37E8" w:rsidRPr="00705170">
        <w:rPr>
          <w:rFonts w:ascii="Times New Roman" w:hAnsi="Times New Roman" w:cs="Times New Roman"/>
        </w:rPr>
        <w:t xml:space="preserve"> </w:t>
      </w:r>
      <w:proofErr w:type="spellStart"/>
      <w:r w:rsidR="005E37E8" w:rsidRPr="00705170">
        <w:rPr>
          <w:rFonts w:ascii="Times New Roman" w:hAnsi="Times New Roman" w:cs="Times New Roman"/>
        </w:rPr>
        <w:t>corporation</w:t>
      </w:r>
      <w:proofErr w:type="spellEnd"/>
      <w:r w:rsidR="005E37E8" w:rsidRPr="00705170">
        <w:rPr>
          <w:rFonts w:ascii="Times New Roman" w:hAnsi="Times New Roman" w:cs="Times New Roman"/>
        </w:rPr>
        <w:t xml:space="preserve"> </w:t>
      </w:r>
      <w:proofErr w:type="spellStart"/>
      <w:r w:rsidR="005E37E8"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005E37E8" w:rsidRPr="00705170">
        <w:rPr>
          <w:rFonts w:ascii="Times New Roman" w:hAnsi="Times New Roman" w:cs="Times New Roman"/>
        </w:rPr>
        <w:t>collective</w:t>
      </w:r>
      <w:proofErr w:type="spellEnd"/>
      <w:r w:rsidR="005E37E8" w:rsidRPr="00705170">
        <w:rPr>
          <w:rFonts w:ascii="Times New Roman" w:hAnsi="Times New Roman" w:cs="Times New Roman"/>
        </w:rPr>
        <w:t xml:space="preserve"> </w:t>
      </w:r>
      <w:proofErr w:type="spellStart"/>
      <w:r w:rsidR="005E37E8" w:rsidRPr="00705170">
        <w:rPr>
          <w:rFonts w:ascii="Times New Roman" w:hAnsi="Times New Roman" w:cs="Times New Roman"/>
        </w:rPr>
        <w:t>investment</w:t>
      </w:r>
      <w:proofErr w:type="spellEnd"/>
      <w:r w:rsidR="005E37E8" w:rsidRPr="00705170">
        <w:rPr>
          <w:rFonts w:ascii="Times New Roman" w:hAnsi="Times New Roman" w:cs="Times New Roman"/>
        </w:rPr>
        <w:t xml:space="preserve"> </w:t>
      </w:r>
      <w:proofErr w:type="spellStart"/>
      <w:r w:rsidR="005E37E8" w:rsidRPr="00705170">
        <w:rPr>
          <w:rFonts w:ascii="Times New Roman" w:hAnsi="Times New Roman" w:cs="Times New Roman"/>
        </w:rPr>
        <w:t>organizations</w:t>
      </w:r>
      <w:proofErr w:type="spellEnd"/>
      <w:r w:rsidR="005E37E8" w:rsidRPr="00705170">
        <w:rPr>
          <w:rFonts w:ascii="Times New Roman" w:hAnsi="Times New Roman" w:cs="Times New Roman"/>
        </w:rPr>
        <w:t xml:space="preserve">, </w:t>
      </w:r>
      <w:proofErr w:type="spellStart"/>
      <w:r w:rsidR="005E37E8" w:rsidRPr="00705170">
        <w:rPr>
          <w:rFonts w:ascii="Times New Roman" w:hAnsi="Times New Roman" w:cs="Times New Roman"/>
        </w:rPr>
        <w:t>or</w:t>
      </w:r>
      <w:proofErr w:type="spellEnd"/>
      <w:r w:rsidR="005E37E8" w:rsidRPr="00705170">
        <w:rPr>
          <w:rFonts w:ascii="Times New Roman" w:hAnsi="Times New Roman" w:cs="Times New Roman"/>
        </w:rPr>
        <w:t xml:space="preserve"> </w:t>
      </w:r>
      <w:proofErr w:type="spellStart"/>
      <w:r w:rsidR="005E37E8" w:rsidRPr="00705170">
        <w:rPr>
          <w:rFonts w:ascii="Times New Roman" w:hAnsi="Times New Roman" w:cs="Times New Roman"/>
        </w:rPr>
        <w:t>the</w:t>
      </w:r>
      <w:proofErr w:type="spellEnd"/>
      <w:r w:rsidR="005E37E8" w:rsidRPr="00705170">
        <w:rPr>
          <w:rFonts w:ascii="Times New Roman" w:hAnsi="Times New Roman" w:cs="Times New Roman"/>
        </w:rPr>
        <w:t xml:space="preserve"> </w:t>
      </w:r>
      <w:proofErr w:type="spellStart"/>
      <w:r w:rsidR="005E37E8" w:rsidRPr="00705170">
        <w:rPr>
          <w:rFonts w:ascii="Times New Roman" w:hAnsi="Times New Roman" w:cs="Times New Roman"/>
        </w:rPr>
        <w:t>subsidiaries</w:t>
      </w:r>
      <w:proofErr w:type="spellEnd"/>
      <w:r w:rsidR="005E37E8" w:rsidRPr="00705170">
        <w:rPr>
          <w:rFonts w:ascii="Times New Roman" w:hAnsi="Times New Roman" w:cs="Times New Roman"/>
        </w:rPr>
        <w:t xml:space="preserve"> </w:t>
      </w:r>
      <w:proofErr w:type="spellStart"/>
      <w:r w:rsidR="00AE3209" w:rsidRPr="00705170">
        <w:rPr>
          <w:rFonts w:ascii="Times New Roman" w:hAnsi="Times New Roman" w:cs="Times New Roman"/>
        </w:rPr>
        <w:t>and</w:t>
      </w:r>
      <w:proofErr w:type="spellEnd"/>
      <w:r w:rsidR="00AE3209" w:rsidRPr="00705170">
        <w:rPr>
          <w:rFonts w:ascii="Times New Roman" w:hAnsi="Times New Roman" w:cs="Times New Roman"/>
        </w:rPr>
        <w:t xml:space="preserve"> </w:t>
      </w:r>
      <w:proofErr w:type="spellStart"/>
      <w:r w:rsidR="00AE3209" w:rsidRPr="00705170">
        <w:rPr>
          <w:rFonts w:ascii="Times New Roman" w:hAnsi="Times New Roman" w:cs="Times New Roman"/>
        </w:rPr>
        <w:t>affiliates</w:t>
      </w:r>
      <w:proofErr w:type="spellEnd"/>
      <w:r w:rsidR="00AE3209" w:rsidRPr="00705170">
        <w:rPr>
          <w:rFonts w:ascii="Times New Roman" w:hAnsi="Times New Roman" w:cs="Times New Roman"/>
        </w:rPr>
        <w:t xml:space="preserve"> </w:t>
      </w:r>
      <w:r w:rsidR="005E37E8" w:rsidRPr="00705170">
        <w:rPr>
          <w:rFonts w:ascii="Times New Roman" w:hAnsi="Times New Roman" w:cs="Times New Roman"/>
        </w:rPr>
        <w:t xml:space="preserve">of </w:t>
      </w:r>
      <w:proofErr w:type="spellStart"/>
      <w:r w:rsidR="005E37E8" w:rsidRPr="00705170">
        <w:rPr>
          <w:rFonts w:ascii="Times New Roman" w:hAnsi="Times New Roman" w:cs="Times New Roman"/>
        </w:rPr>
        <w:t>these</w:t>
      </w:r>
      <w:proofErr w:type="spellEnd"/>
      <w:r w:rsidR="005E37E8" w:rsidRPr="00705170">
        <w:rPr>
          <w:rFonts w:ascii="Times New Roman" w:hAnsi="Times New Roman" w:cs="Times New Roman"/>
        </w:rPr>
        <w:t xml:space="preserve"> </w:t>
      </w:r>
      <w:proofErr w:type="spellStart"/>
      <w:r w:rsidR="005E37E8" w:rsidRPr="00705170">
        <w:rPr>
          <w:rFonts w:ascii="Times New Roman" w:hAnsi="Times New Roman" w:cs="Times New Roman"/>
        </w:rPr>
        <w:t>entities</w:t>
      </w:r>
      <w:proofErr w:type="spellEnd"/>
      <w:r w:rsidR="00AE3209" w:rsidRPr="00705170">
        <w:rPr>
          <w:rFonts w:ascii="Times New Roman" w:hAnsi="Times New Roman" w:cs="Times New Roman"/>
        </w:rPr>
        <w:t xml:space="preserve">, (2) </w:t>
      </w:r>
      <w:proofErr w:type="spellStart"/>
      <w:r w:rsidR="00AE3209" w:rsidRPr="00705170">
        <w:rPr>
          <w:rFonts w:ascii="Times New Roman" w:hAnsi="Times New Roman" w:cs="Times New Roman"/>
        </w:rPr>
        <w:t>the</w:t>
      </w:r>
      <w:proofErr w:type="spellEnd"/>
      <w:r w:rsidR="00AE3209" w:rsidRPr="00705170">
        <w:rPr>
          <w:rFonts w:ascii="Times New Roman" w:hAnsi="Times New Roman" w:cs="Times New Roman"/>
        </w:rPr>
        <w:t xml:space="preserve"> transfer is </w:t>
      </w:r>
      <w:proofErr w:type="spellStart"/>
      <w:r w:rsidR="00AE3209" w:rsidRPr="00705170">
        <w:rPr>
          <w:rFonts w:ascii="Times New Roman" w:hAnsi="Times New Roman" w:cs="Times New Roman"/>
        </w:rPr>
        <w:t>made</w:t>
      </w:r>
      <w:proofErr w:type="spellEnd"/>
      <w:r w:rsidR="00AE3209" w:rsidRPr="00705170">
        <w:rPr>
          <w:rFonts w:ascii="Times New Roman" w:hAnsi="Times New Roman" w:cs="Times New Roman"/>
        </w:rPr>
        <w:t xml:space="preserve"> </w:t>
      </w:r>
      <w:proofErr w:type="spellStart"/>
      <w:r w:rsidR="00AE3209" w:rsidRPr="00705170">
        <w:rPr>
          <w:rFonts w:ascii="Times New Roman" w:hAnsi="Times New Roman" w:cs="Times New Roman"/>
        </w:rPr>
        <w:t>to</w:t>
      </w:r>
      <w:proofErr w:type="spellEnd"/>
      <w:r w:rsidR="00AE3209" w:rsidRPr="00705170">
        <w:rPr>
          <w:rFonts w:ascii="Times New Roman" w:hAnsi="Times New Roman" w:cs="Times New Roman"/>
        </w:rPr>
        <w:t xml:space="preserve"> a </w:t>
      </w:r>
      <w:proofErr w:type="spellStart"/>
      <w:r w:rsidR="00AE3209" w:rsidRPr="00705170">
        <w:rPr>
          <w:rFonts w:ascii="Times New Roman" w:hAnsi="Times New Roman" w:cs="Times New Roman"/>
        </w:rPr>
        <w:t>related</w:t>
      </w:r>
      <w:proofErr w:type="spellEnd"/>
      <w:r w:rsidR="00AE3209" w:rsidRPr="00705170">
        <w:rPr>
          <w:rFonts w:ascii="Times New Roman" w:hAnsi="Times New Roman" w:cs="Times New Roman"/>
        </w:rPr>
        <w:t xml:space="preserve"> </w:t>
      </w:r>
      <w:proofErr w:type="spellStart"/>
      <w:r w:rsidR="00AE3209" w:rsidRPr="00705170">
        <w:rPr>
          <w:rFonts w:ascii="Times New Roman" w:hAnsi="Times New Roman" w:cs="Times New Roman"/>
        </w:rPr>
        <w:t>party</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the</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term</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related</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party</w:t>
      </w:r>
      <w:proofErr w:type="spellEnd"/>
      <w:r w:rsidR="007D0755" w:rsidRPr="00705170">
        <w:rPr>
          <w:rFonts w:ascii="Times New Roman" w:hAnsi="Times New Roman" w:cs="Times New Roman"/>
        </w:rPr>
        <w:t xml:space="preserve">” is </w:t>
      </w:r>
      <w:proofErr w:type="spellStart"/>
      <w:r w:rsidR="007D0755" w:rsidRPr="00705170">
        <w:rPr>
          <w:rFonts w:ascii="Times New Roman" w:hAnsi="Times New Roman" w:cs="Times New Roman"/>
        </w:rPr>
        <w:t>defined</w:t>
      </w:r>
      <w:proofErr w:type="spellEnd"/>
      <w:r w:rsidR="007D0755" w:rsidRPr="00705170">
        <w:rPr>
          <w:rFonts w:ascii="Times New Roman" w:hAnsi="Times New Roman" w:cs="Times New Roman"/>
        </w:rPr>
        <w:t xml:space="preserve"> as a </w:t>
      </w:r>
      <w:proofErr w:type="spellStart"/>
      <w:r w:rsidR="007D0755" w:rsidRPr="00705170">
        <w:rPr>
          <w:rFonts w:ascii="Times New Roman" w:hAnsi="Times New Roman" w:cs="Times New Roman"/>
        </w:rPr>
        <w:t>direct</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or</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indirect</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relationship</w:t>
      </w:r>
      <w:proofErr w:type="spellEnd"/>
      <w:r w:rsidR="00BA4B24" w:rsidRPr="00705170">
        <w:rPr>
          <w:rFonts w:ascii="Times New Roman" w:hAnsi="Times New Roman" w:cs="Times New Roman"/>
        </w:rPr>
        <w:t xml:space="preserve"> </w:t>
      </w:r>
      <w:proofErr w:type="spellStart"/>
      <w:r w:rsidR="00BA4B24" w:rsidRPr="00705170">
        <w:rPr>
          <w:rFonts w:ascii="Times New Roman" w:hAnsi="Times New Roman" w:cs="Times New Roman"/>
        </w:rPr>
        <w:t>with</w:t>
      </w:r>
      <w:proofErr w:type="spellEnd"/>
      <w:r w:rsidR="00BA4B24" w:rsidRPr="00705170">
        <w:rPr>
          <w:rFonts w:ascii="Times New Roman" w:hAnsi="Times New Roman" w:cs="Times New Roman"/>
        </w:rPr>
        <w:t xml:space="preserve"> a </w:t>
      </w:r>
      <w:proofErr w:type="spellStart"/>
      <w:r w:rsidR="00BA4B24" w:rsidRPr="00705170">
        <w:rPr>
          <w:rFonts w:ascii="Times New Roman" w:hAnsi="Times New Roman" w:cs="Times New Roman"/>
        </w:rPr>
        <w:t>real</w:t>
      </w:r>
      <w:proofErr w:type="spellEnd"/>
      <w:r w:rsidR="00BA4B24" w:rsidRPr="00705170">
        <w:rPr>
          <w:rFonts w:ascii="Times New Roman" w:hAnsi="Times New Roman" w:cs="Times New Roman"/>
        </w:rPr>
        <w:t xml:space="preserve"> </w:t>
      </w:r>
      <w:proofErr w:type="spellStart"/>
      <w:r w:rsidR="00BA4B24" w:rsidRPr="00705170">
        <w:rPr>
          <w:rFonts w:ascii="Times New Roman" w:hAnsi="Times New Roman" w:cs="Times New Roman"/>
        </w:rPr>
        <w:t>or</w:t>
      </w:r>
      <w:proofErr w:type="spellEnd"/>
      <w:r w:rsidR="00BA4B24" w:rsidRPr="00705170">
        <w:rPr>
          <w:rFonts w:ascii="Times New Roman" w:hAnsi="Times New Roman" w:cs="Times New Roman"/>
        </w:rPr>
        <w:t xml:space="preserve"> legal </w:t>
      </w:r>
      <w:proofErr w:type="spellStart"/>
      <w:r w:rsidR="00BA4B24" w:rsidRPr="00705170">
        <w:rPr>
          <w:rFonts w:ascii="Times New Roman" w:hAnsi="Times New Roman" w:cs="Times New Roman"/>
        </w:rPr>
        <w:t>entity</w:t>
      </w:r>
      <w:proofErr w:type="spellEnd"/>
      <w:r w:rsidR="007D0755" w:rsidRPr="00705170">
        <w:rPr>
          <w:rFonts w:ascii="Times New Roman" w:hAnsi="Times New Roman" w:cs="Times New Roman"/>
        </w:rPr>
        <w:t xml:space="preserve"> in </w:t>
      </w:r>
      <w:proofErr w:type="spellStart"/>
      <w:r w:rsidR="007D0755" w:rsidRPr="00705170">
        <w:rPr>
          <w:rFonts w:ascii="Times New Roman" w:hAnsi="Times New Roman" w:cs="Times New Roman"/>
        </w:rPr>
        <w:t>terms</w:t>
      </w:r>
      <w:proofErr w:type="spellEnd"/>
      <w:r w:rsidR="007D0755" w:rsidRPr="00705170">
        <w:rPr>
          <w:rFonts w:ascii="Times New Roman" w:hAnsi="Times New Roman" w:cs="Times New Roman"/>
        </w:rPr>
        <w:t xml:space="preserve"> of </w:t>
      </w:r>
      <w:proofErr w:type="spellStart"/>
      <w:r w:rsidR="007D0755" w:rsidRPr="00705170">
        <w:rPr>
          <w:rFonts w:ascii="Times New Roman" w:hAnsi="Times New Roman" w:cs="Times New Roman"/>
        </w:rPr>
        <w:t>management</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audit</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or</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share</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ownership</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Article</w:t>
      </w:r>
      <w:proofErr w:type="spellEnd"/>
      <w:r w:rsidR="007D0755" w:rsidRPr="00705170">
        <w:rPr>
          <w:rFonts w:ascii="Times New Roman" w:hAnsi="Times New Roman" w:cs="Times New Roman"/>
        </w:rPr>
        <w:t xml:space="preserve"> 21(1)))</w:t>
      </w:r>
      <w:r w:rsidR="00AE3209" w:rsidRPr="00705170">
        <w:rPr>
          <w:rFonts w:ascii="Times New Roman" w:hAnsi="Times New Roman" w:cs="Times New Roman"/>
        </w:rPr>
        <w:t xml:space="preserve"> of </w:t>
      </w:r>
      <w:proofErr w:type="spellStart"/>
      <w:r w:rsidR="00AE3209" w:rsidRPr="00705170">
        <w:rPr>
          <w:rFonts w:ascii="Times New Roman" w:hAnsi="Times New Roman" w:cs="Times New Roman"/>
        </w:rPr>
        <w:t>these</w:t>
      </w:r>
      <w:proofErr w:type="spellEnd"/>
      <w:r w:rsidR="00AE3209" w:rsidRPr="00705170">
        <w:rPr>
          <w:rFonts w:ascii="Times New Roman" w:hAnsi="Times New Roman" w:cs="Times New Roman"/>
        </w:rPr>
        <w:t xml:space="preserve"> </w:t>
      </w:r>
      <w:proofErr w:type="spellStart"/>
      <w:r w:rsidR="00AE3209" w:rsidRPr="00705170">
        <w:rPr>
          <w:rFonts w:ascii="Times New Roman" w:hAnsi="Times New Roman" w:cs="Times New Roman"/>
        </w:rPr>
        <w:t>schemes</w:t>
      </w:r>
      <w:proofErr w:type="spellEnd"/>
      <w:r w:rsidR="00AE3209" w:rsidRPr="00705170">
        <w:rPr>
          <w:rFonts w:ascii="Times New Roman" w:hAnsi="Times New Roman" w:cs="Times New Roman"/>
        </w:rPr>
        <w:t xml:space="preserve">, (3) </w:t>
      </w:r>
      <w:proofErr w:type="spellStart"/>
      <w:r w:rsidR="00AE3209" w:rsidRPr="00705170">
        <w:rPr>
          <w:rFonts w:ascii="Times New Roman" w:hAnsi="Times New Roman" w:cs="Times New Roman"/>
        </w:rPr>
        <w:t>the</w:t>
      </w:r>
      <w:proofErr w:type="spellEnd"/>
      <w:r w:rsidR="00AE3209" w:rsidRPr="00705170">
        <w:rPr>
          <w:rFonts w:ascii="Times New Roman" w:hAnsi="Times New Roman" w:cs="Times New Roman"/>
        </w:rPr>
        <w:t xml:space="preserve"> transfer is </w:t>
      </w:r>
      <w:proofErr w:type="spellStart"/>
      <w:r w:rsidR="00AE3209" w:rsidRPr="00705170">
        <w:rPr>
          <w:rFonts w:ascii="Times New Roman" w:hAnsi="Times New Roman" w:cs="Times New Roman"/>
        </w:rPr>
        <w:t>made</w:t>
      </w:r>
      <w:proofErr w:type="spellEnd"/>
      <w:r w:rsidR="00AE3209" w:rsidRPr="00705170">
        <w:rPr>
          <w:rFonts w:ascii="Times New Roman" w:hAnsi="Times New Roman" w:cs="Times New Roman"/>
        </w:rPr>
        <w:t xml:space="preserve"> in a </w:t>
      </w:r>
      <w:proofErr w:type="spellStart"/>
      <w:r w:rsidR="00AE3209" w:rsidRPr="00705170">
        <w:rPr>
          <w:rFonts w:ascii="Times New Roman" w:hAnsi="Times New Roman" w:cs="Times New Roman"/>
        </w:rPr>
        <w:t>concealed</w:t>
      </w:r>
      <w:proofErr w:type="spellEnd"/>
      <w:r w:rsidR="00AE3209" w:rsidRPr="00705170">
        <w:rPr>
          <w:rFonts w:ascii="Times New Roman" w:hAnsi="Times New Roman" w:cs="Times New Roman"/>
        </w:rPr>
        <w:t xml:space="preserve"> </w:t>
      </w:r>
      <w:proofErr w:type="spellStart"/>
      <w:r w:rsidR="00AE3209" w:rsidRPr="00705170">
        <w:rPr>
          <w:rFonts w:ascii="Times New Roman" w:hAnsi="Times New Roman" w:cs="Times New Roman"/>
        </w:rPr>
        <w:t>manner</w:t>
      </w:r>
      <w:proofErr w:type="spellEnd"/>
      <w:r w:rsidR="00FE5900" w:rsidRPr="00705170">
        <w:rPr>
          <w:rFonts w:ascii="Times New Roman" w:hAnsi="Times New Roman" w:cs="Times New Roman"/>
        </w:rPr>
        <w:t xml:space="preserve"> (</w:t>
      </w:r>
      <w:proofErr w:type="spellStart"/>
      <w:r w:rsidR="00FE5900" w:rsidRPr="00705170">
        <w:rPr>
          <w:rFonts w:ascii="Times New Roman" w:hAnsi="Times New Roman" w:cs="Times New Roman"/>
        </w:rPr>
        <w:t>meaning</w:t>
      </w:r>
      <w:proofErr w:type="spellEnd"/>
      <w:r w:rsidR="00FE5900" w:rsidRPr="00705170">
        <w:rPr>
          <w:rFonts w:ascii="Times New Roman" w:hAnsi="Times New Roman" w:cs="Times New Roman"/>
        </w:rPr>
        <w:t xml:space="preserve"> in </w:t>
      </w:r>
      <w:proofErr w:type="spellStart"/>
      <w:r w:rsidR="00FE5900" w:rsidRPr="00705170">
        <w:rPr>
          <w:rFonts w:ascii="Times New Roman" w:hAnsi="Times New Roman" w:cs="Times New Roman"/>
        </w:rPr>
        <w:t>violation</w:t>
      </w:r>
      <w:proofErr w:type="spellEnd"/>
      <w:r w:rsidR="00FE5900" w:rsidRPr="00705170">
        <w:rPr>
          <w:rFonts w:ascii="Times New Roman" w:hAnsi="Times New Roman" w:cs="Times New Roman"/>
        </w:rPr>
        <w:t xml:space="preserve"> of </w:t>
      </w:r>
      <w:proofErr w:type="spellStart"/>
      <w:r w:rsidR="00FE5900" w:rsidRPr="00705170">
        <w:rPr>
          <w:rFonts w:ascii="Times New Roman" w:hAnsi="Times New Roman" w:cs="Times New Roman"/>
        </w:rPr>
        <w:t>the</w:t>
      </w:r>
      <w:proofErr w:type="spellEnd"/>
      <w:r w:rsidR="00FE5900" w:rsidRPr="00705170">
        <w:rPr>
          <w:rFonts w:ascii="Times New Roman" w:hAnsi="Times New Roman" w:cs="Times New Roman"/>
        </w:rPr>
        <w:t xml:space="preserve"> </w:t>
      </w:r>
      <w:proofErr w:type="spellStart"/>
      <w:r w:rsidR="00FE5900" w:rsidRPr="00705170">
        <w:rPr>
          <w:rFonts w:ascii="Times New Roman" w:hAnsi="Times New Roman" w:cs="Times New Roman"/>
        </w:rPr>
        <w:t>principles</w:t>
      </w:r>
      <w:proofErr w:type="spellEnd"/>
      <w:r w:rsidR="00FE5900" w:rsidRPr="00705170">
        <w:rPr>
          <w:rFonts w:ascii="Times New Roman" w:hAnsi="Times New Roman" w:cs="Times New Roman"/>
        </w:rPr>
        <w:t xml:space="preserve"> set </w:t>
      </w:r>
      <w:proofErr w:type="spellStart"/>
      <w:r w:rsidR="00FE5900" w:rsidRPr="00705170">
        <w:rPr>
          <w:rFonts w:ascii="Times New Roman" w:hAnsi="Times New Roman" w:cs="Times New Roman"/>
        </w:rPr>
        <w:t>forth</w:t>
      </w:r>
      <w:proofErr w:type="spellEnd"/>
      <w:r w:rsidR="00FE5900" w:rsidRPr="00705170">
        <w:rPr>
          <w:rFonts w:ascii="Times New Roman" w:hAnsi="Times New Roman" w:cs="Times New Roman"/>
        </w:rPr>
        <w:t xml:space="preserve"> in </w:t>
      </w:r>
      <w:proofErr w:type="spellStart"/>
      <w:r w:rsidR="00FE5900" w:rsidRPr="00705170">
        <w:rPr>
          <w:rFonts w:ascii="Times New Roman" w:hAnsi="Times New Roman" w:cs="Times New Roman"/>
        </w:rPr>
        <w:t>the</w:t>
      </w:r>
      <w:proofErr w:type="spellEnd"/>
      <w:r w:rsidR="00FE5900" w:rsidRPr="00705170">
        <w:rPr>
          <w:rFonts w:ascii="Times New Roman" w:hAnsi="Times New Roman" w:cs="Times New Roman"/>
        </w:rPr>
        <w:t xml:space="preserve"> </w:t>
      </w:r>
      <w:proofErr w:type="spellStart"/>
      <w:r w:rsidR="00FE5900" w:rsidRPr="00705170">
        <w:rPr>
          <w:rFonts w:ascii="Times New Roman" w:hAnsi="Times New Roman" w:cs="Times New Roman"/>
        </w:rPr>
        <w:t>provision</w:t>
      </w:r>
      <w:proofErr w:type="spellEnd"/>
      <w:r w:rsidR="00FE5900" w:rsidRPr="00705170">
        <w:rPr>
          <w:rFonts w:ascii="Times New Roman" w:hAnsi="Times New Roman" w:cs="Times New Roman"/>
        </w:rPr>
        <w:t>)</w:t>
      </w:r>
      <w:r w:rsidR="00AE3209" w:rsidRPr="00705170">
        <w:rPr>
          <w:rFonts w:ascii="Times New Roman" w:hAnsi="Times New Roman" w:cs="Times New Roman"/>
        </w:rPr>
        <w:t xml:space="preserve">, (4) </w:t>
      </w:r>
      <w:proofErr w:type="spellStart"/>
      <w:r w:rsidR="00AE3209" w:rsidRPr="00705170">
        <w:rPr>
          <w:rFonts w:ascii="Times New Roman" w:hAnsi="Times New Roman" w:cs="Times New Roman"/>
        </w:rPr>
        <w:t>the</w:t>
      </w:r>
      <w:proofErr w:type="spellEnd"/>
      <w:r w:rsidR="00AE3209" w:rsidRPr="00705170">
        <w:rPr>
          <w:rFonts w:ascii="Times New Roman" w:hAnsi="Times New Roman" w:cs="Times New Roman"/>
        </w:rPr>
        <w:t xml:space="preserve"> </w:t>
      </w:r>
      <w:proofErr w:type="spellStart"/>
      <w:r w:rsidR="00AE3209" w:rsidRPr="00705170">
        <w:rPr>
          <w:rFonts w:ascii="Times New Roman" w:hAnsi="Times New Roman" w:cs="Times New Roman"/>
        </w:rPr>
        <w:t>profit</w:t>
      </w:r>
      <w:proofErr w:type="spellEnd"/>
      <w:r w:rsidR="00AE3209" w:rsidRPr="00705170">
        <w:rPr>
          <w:rFonts w:ascii="Times New Roman" w:hAnsi="Times New Roman" w:cs="Times New Roman"/>
        </w:rPr>
        <w:t xml:space="preserve"> </w:t>
      </w:r>
      <w:proofErr w:type="spellStart"/>
      <w:r w:rsidR="00AE3209" w:rsidRPr="00705170">
        <w:rPr>
          <w:rFonts w:ascii="Times New Roman" w:hAnsi="Times New Roman" w:cs="Times New Roman"/>
        </w:rPr>
        <w:t>or</w:t>
      </w:r>
      <w:proofErr w:type="spellEnd"/>
      <w:r w:rsidR="00AE3209" w:rsidRPr="00705170">
        <w:rPr>
          <w:rFonts w:ascii="Times New Roman" w:hAnsi="Times New Roman" w:cs="Times New Roman"/>
        </w:rPr>
        <w:t xml:space="preserve"> </w:t>
      </w:r>
      <w:proofErr w:type="spellStart"/>
      <w:r w:rsidR="00AE3209" w:rsidRPr="00705170">
        <w:rPr>
          <w:rFonts w:ascii="Times New Roman" w:hAnsi="Times New Roman" w:cs="Times New Roman"/>
        </w:rPr>
        <w:t>assets</w:t>
      </w:r>
      <w:proofErr w:type="spellEnd"/>
      <w:r w:rsidR="00AE3209" w:rsidRPr="00705170">
        <w:rPr>
          <w:rFonts w:ascii="Times New Roman" w:hAnsi="Times New Roman" w:cs="Times New Roman"/>
        </w:rPr>
        <w:t xml:space="preserve"> is </w:t>
      </w:r>
      <w:proofErr w:type="spellStart"/>
      <w:r w:rsidR="009318C5" w:rsidRPr="00705170">
        <w:rPr>
          <w:rFonts w:ascii="Times New Roman" w:hAnsi="Times New Roman" w:cs="Times New Roman"/>
        </w:rPr>
        <w:t>decreased</w:t>
      </w:r>
      <w:proofErr w:type="spellEnd"/>
      <w:r w:rsidR="00AE3209" w:rsidRPr="00705170">
        <w:rPr>
          <w:rFonts w:ascii="Times New Roman" w:hAnsi="Times New Roman" w:cs="Times New Roman"/>
        </w:rPr>
        <w:t xml:space="preserve"> </w:t>
      </w:r>
      <w:proofErr w:type="spellStart"/>
      <w:r w:rsidR="00AE3209" w:rsidRPr="00705170">
        <w:rPr>
          <w:rFonts w:ascii="Times New Roman" w:hAnsi="Times New Roman" w:cs="Times New Roman"/>
        </w:rPr>
        <w:t>or</w:t>
      </w:r>
      <w:proofErr w:type="spellEnd"/>
      <w:r w:rsidR="00AE3209" w:rsidRPr="00705170">
        <w:rPr>
          <w:rFonts w:ascii="Times New Roman" w:hAnsi="Times New Roman" w:cs="Times New Roman"/>
        </w:rPr>
        <w:t xml:space="preserve"> </w:t>
      </w:r>
      <w:proofErr w:type="spellStart"/>
      <w:r w:rsidR="00AE3209" w:rsidRPr="00705170">
        <w:rPr>
          <w:rFonts w:ascii="Times New Roman" w:hAnsi="Times New Roman" w:cs="Times New Roman"/>
        </w:rPr>
        <w:t>the</w:t>
      </w:r>
      <w:proofErr w:type="spellEnd"/>
      <w:r w:rsidR="009318C5" w:rsidRPr="00705170">
        <w:rPr>
          <w:rFonts w:ascii="Times New Roman" w:hAnsi="Times New Roman" w:cs="Times New Roman"/>
        </w:rPr>
        <w:t xml:space="preserve"> </w:t>
      </w:r>
      <w:proofErr w:type="spellStart"/>
      <w:r w:rsidR="009318C5" w:rsidRPr="00705170">
        <w:rPr>
          <w:rFonts w:ascii="Times New Roman" w:hAnsi="Times New Roman" w:cs="Times New Roman"/>
        </w:rPr>
        <w:t>increase</w:t>
      </w:r>
      <w:proofErr w:type="spellEnd"/>
      <w:r w:rsidR="009318C5" w:rsidRPr="00705170">
        <w:rPr>
          <w:rFonts w:ascii="Times New Roman" w:hAnsi="Times New Roman" w:cs="Times New Roman"/>
        </w:rPr>
        <w:t xml:space="preserve"> of </w:t>
      </w:r>
      <w:proofErr w:type="spellStart"/>
      <w:r w:rsidR="009318C5" w:rsidRPr="00705170">
        <w:rPr>
          <w:rFonts w:ascii="Times New Roman" w:hAnsi="Times New Roman" w:cs="Times New Roman"/>
        </w:rPr>
        <w:t>their</w:t>
      </w:r>
      <w:proofErr w:type="spellEnd"/>
      <w:r w:rsidR="009318C5" w:rsidRPr="00705170">
        <w:rPr>
          <w:rFonts w:ascii="Times New Roman" w:hAnsi="Times New Roman" w:cs="Times New Roman"/>
        </w:rPr>
        <w:t xml:space="preserve"> </w:t>
      </w:r>
      <w:proofErr w:type="spellStart"/>
      <w:r w:rsidR="009318C5" w:rsidRPr="00705170">
        <w:rPr>
          <w:rFonts w:ascii="Times New Roman" w:hAnsi="Times New Roman" w:cs="Times New Roman"/>
        </w:rPr>
        <w:t>profits</w:t>
      </w:r>
      <w:proofErr w:type="spellEnd"/>
      <w:r w:rsidR="009318C5" w:rsidRPr="00705170">
        <w:rPr>
          <w:rFonts w:ascii="Times New Roman" w:hAnsi="Times New Roman" w:cs="Times New Roman"/>
        </w:rPr>
        <w:t xml:space="preserve"> </w:t>
      </w:r>
      <w:proofErr w:type="spellStart"/>
      <w:r w:rsidR="009318C5" w:rsidRPr="00705170">
        <w:rPr>
          <w:rFonts w:ascii="Times New Roman" w:hAnsi="Times New Roman" w:cs="Times New Roman"/>
        </w:rPr>
        <w:t>or</w:t>
      </w:r>
      <w:proofErr w:type="spellEnd"/>
      <w:r w:rsidR="009318C5" w:rsidRPr="00705170">
        <w:rPr>
          <w:rFonts w:ascii="Times New Roman" w:hAnsi="Times New Roman" w:cs="Times New Roman"/>
        </w:rPr>
        <w:t xml:space="preserve"> </w:t>
      </w:r>
      <w:proofErr w:type="spellStart"/>
      <w:r w:rsidR="009318C5" w:rsidRPr="00705170">
        <w:rPr>
          <w:rFonts w:ascii="Times New Roman" w:hAnsi="Times New Roman" w:cs="Times New Roman"/>
        </w:rPr>
        <w:t>assets</w:t>
      </w:r>
      <w:proofErr w:type="spellEnd"/>
      <w:r w:rsidR="009318C5" w:rsidRPr="00705170">
        <w:rPr>
          <w:rFonts w:ascii="Times New Roman" w:hAnsi="Times New Roman" w:cs="Times New Roman"/>
        </w:rPr>
        <w:t xml:space="preserve"> </w:t>
      </w:r>
      <w:proofErr w:type="spellStart"/>
      <w:r w:rsidR="009318C5" w:rsidRPr="00705170">
        <w:rPr>
          <w:rFonts w:ascii="Times New Roman" w:hAnsi="Times New Roman" w:cs="Times New Roman"/>
        </w:rPr>
        <w:t>are</w:t>
      </w:r>
      <w:proofErr w:type="spellEnd"/>
      <w:r w:rsidR="009318C5" w:rsidRPr="00705170">
        <w:rPr>
          <w:rFonts w:ascii="Times New Roman" w:hAnsi="Times New Roman" w:cs="Times New Roman"/>
        </w:rPr>
        <w:t xml:space="preserve"> </w:t>
      </w:r>
      <w:proofErr w:type="spellStart"/>
      <w:r w:rsidR="009318C5" w:rsidRPr="00705170">
        <w:rPr>
          <w:rFonts w:ascii="Times New Roman" w:hAnsi="Times New Roman" w:cs="Times New Roman"/>
        </w:rPr>
        <w:t>prevented</w:t>
      </w:r>
      <w:proofErr w:type="spellEnd"/>
      <w:r w:rsidR="009318C5" w:rsidRPr="00705170">
        <w:rPr>
          <w:rFonts w:ascii="Times New Roman" w:hAnsi="Times New Roman" w:cs="Times New Roman"/>
        </w:rPr>
        <w:t xml:space="preserve"> as a </w:t>
      </w:r>
      <w:proofErr w:type="spellStart"/>
      <w:r w:rsidR="009318C5" w:rsidRPr="00705170">
        <w:rPr>
          <w:rFonts w:ascii="Times New Roman" w:hAnsi="Times New Roman" w:cs="Times New Roman"/>
        </w:rPr>
        <w:t>consquence</w:t>
      </w:r>
      <w:proofErr w:type="spellEnd"/>
      <w:r w:rsidR="009318C5" w:rsidRPr="00705170">
        <w:rPr>
          <w:rFonts w:ascii="Times New Roman" w:hAnsi="Times New Roman" w:cs="Times New Roman"/>
        </w:rPr>
        <w:t xml:space="preserve"> of </w:t>
      </w:r>
      <w:proofErr w:type="spellStart"/>
      <w:r w:rsidR="009318C5" w:rsidRPr="00705170">
        <w:rPr>
          <w:rFonts w:ascii="Times New Roman" w:hAnsi="Times New Roman" w:cs="Times New Roman"/>
        </w:rPr>
        <w:t>the</w:t>
      </w:r>
      <w:proofErr w:type="spellEnd"/>
      <w:r w:rsidR="009318C5" w:rsidRPr="00705170">
        <w:rPr>
          <w:rFonts w:ascii="Times New Roman" w:hAnsi="Times New Roman" w:cs="Times New Roman"/>
        </w:rPr>
        <w:t xml:space="preserve"> transfer</w:t>
      </w:r>
      <w:r w:rsidR="00DB12C7" w:rsidRPr="00705170">
        <w:rPr>
          <w:rStyle w:val="DipnotBavurusu"/>
          <w:rFonts w:ascii="Times New Roman" w:hAnsi="Times New Roman" w:cs="Times New Roman"/>
        </w:rPr>
        <w:footnoteReference w:id="295"/>
      </w:r>
      <w:r w:rsidRPr="00705170">
        <w:rPr>
          <w:rFonts w:ascii="Times New Roman" w:hAnsi="Times New Roman" w:cs="Times New Roman"/>
        </w:rPr>
        <w:t xml:space="preserve">. As </w:t>
      </w:r>
      <w:proofErr w:type="spellStart"/>
      <w:r w:rsidRPr="00705170">
        <w:rPr>
          <w:rFonts w:ascii="Times New Roman" w:hAnsi="Times New Roman" w:cs="Times New Roman"/>
        </w:rPr>
        <w:t>understood</w:t>
      </w:r>
      <w:proofErr w:type="spellEnd"/>
      <w:r w:rsidRPr="00705170">
        <w:rPr>
          <w:rFonts w:ascii="Times New Roman" w:hAnsi="Times New Roman" w:cs="Times New Roman"/>
        </w:rPr>
        <w:t xml:space="preserve">, </w:t>
      </w:r>
      <w:r w:rsidR="001B2CFB" w:rsidRPr="00705170">
        <w:rPr>
          <w:rFonts w:ascii="Times New Roman" w:hAnsi="Times New Roman" w:cs="Times New Roman"/>
        </w:rPr>
        <w:t xml:space="preserve">CML </w:t>
      </w:r>
      <w:proofErr w:type="spellStart"/>
      <w:r w:rsidR="009C1414">
        <w:rPr>
          <w:rFonts w:ascii="Times New Roman" w:hAnsi="Times New Roman" w:cs="Times New Roman"/>
        </w:rPr>
        <w:t>lists</w:t>
      </w:r>
      <w:proofErr w:type="spellEnd"/>
      <w:r w:rsidR="009C1414" w:rsidRPr="00705170">
        <w:rPr>
          <w:rFonts w:ascii="Times New Roman" w:hAnsi="Times New Roman" w:cs="Times New Roman"/>
        </w:rPr>
        <w:t xml:space="preserve"> </w:t>
      </w:r>
      <w:proofErr w:type="spellStart"/>
      <w:r w:rsidR="001B2CFB" w:rsidRPr="00705170">
        <w:rPr>
          <w:rFonts w:ascii="Times New Roman" w:hAnsi="Times New Roman" w:cs="Times New Roman"/>
        </w:rPr>
        <w:t>two</w:t>
      </w:r>
      <w:proofErr w:type="spellEnd"/>
      <w:r w:rsidR="001B2CFB" w:rsidRPr="00705170">
        <w:rPr>
          <w:rFonts w:ascii="Times New Roman" w:hAnsi="Times New Roman" w:cs="Times New Roman"/>
        </w:rPr>
        <w:t xml:space="preserve"> </w:t>
      </w:r>
      <w:proofErr w:type="spellStart"/>
      <w:r w:rsidR="001B2CFB" w:rsidRPr="00705170">
        <w:rPr>
          <w:rFonts w:ascii="Times New Roman" w:hAnsi="Times New Roman" w:cs="Times New Roman"/>
        </w:rPr>
        <w:t>types</w:t>
      </w:r>
      <w:proofErr w:type="spellEnd"/>
      <w:r w:rsidR="001B2CFB" w:rsidRPr="00705170">
        <w:rPr>
          <w:rFonts w:ascii="Times New Roman" w:hAnsi="Times New Roman" w:cs="Times New Roman"/>
        </w:rPr>
        <w:t xml:space="preserve"> of </w:t>
      </w:r>
      <w:proofErr w:type="spellStart"/>
      <w:r w:rsidR="001B2CFB" w:rsidRPr="00705170">
        <w:rPr>
          <w:rFonts w:ascii="Times New Roman" w:hAnsi="Times New Roman" w:cs="Times New Roman"/>
        </w:rPr>
        <w:t>concealed</w:t>
      </w:r>
      <w:proofErr w:type="spellEnd"/>
      <w:r w:rsidR="001B2CFB" w:rsidRPr="00705170">
        <w:rPr>
          <w:rFonts w:ascii="Times New Roman" w:hAnsi="Times New Roman" w:cs="Times New Roman"/>
        </w:rPr>
        <w:t xml:space="preserve"> </w:t>
      </w:r>
      <w:proofErr w:type="spellStart"/>
      <w:r w:rsidR="001B2CFB" w:rsidRPr="00705170">
        <w:rPr>
          <w:rFonts w:ascii="Times New Roman" w:hAnsi="Times New Roman" w:cs="Times New Roman"/>
        </w:rPr>
        <w:t>distributions</w:t>
      </w:r>
      <w:proofErr w:type="spellEnd"/>
      <w:r w:rsidR="001B2CFB" w:rsidRPr="00705170">
        <w:rPr>
          <w:rFonts w:ascii="Times New Roman" w:hAnsi="Times New Roman" w:cs="Times New Roman"/>
        </w:rPr>
        <w:t xml:space="preserve">; (1) </w:t>
      </w:r>
      <w:proofErr w:type="spellStart"/>
      <w:r w:rsidR="001B2CFB" w:rsidRPr="00705170">
        <w:rPr>
          <w:rFonts w:ascii="Times New Roman" w:hAnsi="Times New Roman" w:cs="Times New Roman"/>
        </w:rPr>
        <w:t>transaction</w:t>
      </w:r>
      <w:proofErr w:type="spellEnd"/>
      <w:r w:rsidR="001B2CFB" w:rsidRPr="00705170">
        <w:rPr>
          <w:rFonts w:ascii="Times New Roman" w:hAnsi="Times New Roman" w:cs="Times New Roman"/>
        </w:rPr>
        <w:t xml:space="preserve"> </w:t>
      </w:r>
      <w:proofErr w:type="spellStart"/>
      <w:r w:rsidR="001B2CFB" w:rsidRPr="00705170">
        <w:rPr>
          <w:rFonts w:ascii="Times New Roman" w:hAnsi="Times New Roman" w:cs="Times New Roman"/>
        </w:rPr>
        <w:t>based</w:t>
      </w:r>
      <w:proofErr w:type="spellEnd"/>
      <w:r w:rsidR="001B2CFB" w:rsidRPr="00705170">
        <w:rPr>
          <w:rFonts w:ascii="Times New Roman" w:hAnsi="Times New Roman" w:cs="Times New Roman"/>
        </w:rPr>
        <w:t xml:space="preserve"> (</w:t>
      </w:r>
      <w:proofErr w:type="spellStart"/>
      <w:r w:rsidR="001B2CFB" w:rsidRPr="00705170">
        <w:rPr>
          <w:rFonts w:ascii="Times New Roman" w:hAnsi="Times New Roman" w:cs="Times New Roman"/>
        </w:rPr>
        <w:t>active</w:t>
      </w:r>
      <w:proofErr w:type="spellEnd"/>
      <w:r w:rsidR="001B2CFB" w:rsidRPr="00705170">
        <w:rPr>
          <w:rFonts w:ascii="Times New Roman" w:hAnsi="Times New Roman" w:cs="Times New Roman"/>
        </w:rPr>
        <w:t xml:space="preserve"> </w:t>
      </w:r>
      <w:proofErr w:type="spellStart"/>
      <w:r w:rsidR="001B2CFB" w:rsidRPr="00705170">
        <w:rPr>
          <w:rFonts w:ascii="Times New Roman" w:hAnsi="Times New Roman" w:cs="Times New Roman"/>
        </w:rPr>
        <w:t>action</w:t>
      </w:r>
      <w:proofErr w:type="spellEnd"/>
      <w:r w:rsidR="001B2CFB" w:rsidRPr="00705170">
        <w:rPr>
          <w:rFonts w:ascii="Times New Roman" w:hAnsi="Times New Roman" w:cs="Times New Roman"/>
        </w:rPr>
        <w:t xml:space="preserve">), </w:t>
      </w:r>
      <w:proofErr w:type="spellStart"/>
      <w:r w:rsidR="001B2CFB" w:rsidRPr="00705170">
        <w:rPr>
          <w:rFonts w:ascii="Times New Roman" w:hAnsi="Times New Roman" w:cs="Times New Roman"/>
        </w:rPr>
        <w:t>and</w:t>
      </w:r>
      <w:proofErr w:type="spellEnd"/>
      <w:r w:rsidR="001B2CFB" w:rsidRPr="00705170">
        <w:rPr>
          <w:rFonts w:ascii="Times New Roman" w:hAnsi="Times New Roman" w:cs="Times New Roman"/>
        </w:rPr>
        <w:t xml:space="preserve"> (2) </w:t>
      </w:r>
      <w:proofErr w:type="spellStart"/>
      <w:r w:rsidR="001B2CFB" w:rsidRPr="00705170">
        <w:rPr>
          <w:rFonts w:ascii="Times New Roman" w:hAnsi="Times New Roman" w:cs="Times New Roman"/>
        </w:rPr>
        <w:t>non</w:t>
      </w:r>
      <w:proofErr w:type="spellEnd"/>
      <w:r w:rsidR="001B2CFB" w:rsidRPr="00705170">
        <w:rPr>
          <w:rFonts w:ascii="Times New Roman" w:hAnsi="Times New Roman" w:cs="Times New Roman"/>
        </w:rPr>
        <w:t xml:space="preserve">- </w:t>
      </w:r>
      <w:proofErr w:type="spellStart"/>
      <w:r w:rsidR="001B2CFB" w:rsidRPr="00705170">
        <w:rPr>
          <w:rFonts w:ascii="Times New Roman" w:hAnsi="Times New Roman" w:cs="Times New Roman"/>
        </w:rPr>
        <w:t>transaction</w:t>
      </w:r>
      <w:proofErr w:type="spellEnd"/>
      <w:r w:rsidR="001B2CFB" w:rsidRPr="00705170">
        <w:rPr>
          <w:rFonts w:ascii="Times New Roman" w:hAnsi="Times New Roman" w:cs="Times New Roman"/>
        </w:rPr>
        <w:t xml:space="preserve"> </w:t>
      </w:r>
      <w:proofErr w:type="spellStart"/>
      <w:r w:rsidR="001B2CFB" w:rsidRPr="00705170">
        <w:rPr>
          <w:rFonts w:ascii="Times New Roman" w:hAnsi="Times New Roman" w:cs="Times New Roman"/>
        </w:rPr>
        <w:t>based</w:t>
      </w:r>
      <w:proofErr w:type="spellEnd"/>
      <w:r w:rsidR="001B2CFB" w:rsidRPr="00705170">
        <w:rPr>
          <w:rFonts w:ascii="Times New Roman" w:hAnsi="Times New Roman" w:cs="Times New Roman"/>
        </w:rPr>
        <w:t xml:space="preserve"> (</w:t>
      </w:r>
      <w:proofErr w:type="spellStart"/>
      <w:r w:rsidR="001B2CFB" w:rsidRPr="00705170">
        <w:rPr>
          <w:rFonts w:ascii="Times New Roman" w:hAnsi="Times New Roman" w:cs="Times New Roman"/>
        </w:rPr>
        <w:t>passive</w:t>
      </w:r>
      <w:proofErr w:type="spellEnd"/>
      <w:r w:rsidR="001B2CFB" w:rsidRPr="00705170">
        <w:rPr>
          <w:rFonts w:ascii="Times New Roman" w:hAnsi="Times New Roman" w:cs="Times New Roman"/>
        </w:rPr>
        <w:t xml:space="preserve"> </w:t>
      </w:r>
      <w:proofErr w:type="spellStart"/>
      <w:r w:rsidR="001B2CFB" w:rsidRPr="00705170">
        <w:rPr>
          <w:rFonts w:ascii="Times New Roman" w:hAnsi="Times New Roman" w:cs="Times New Roman"/>
        </w:rPr>
        <w:t>action</w:t>
      </w:r>
      <w:proofErr w:type="spellEnd"/>
      <w:r w:rsidR="001B2CFB" w:rsidRPr="00705170">
        <w:rPr>
          <w:rFonts w:ascii="Times New Roman" w:hAnsi="Times New Roman" w:cs="Times New Roman"/>
        </w:rPr>
        <w:t xml:space="preserve">). </w:t>
      </w:r>
      <w:r w:rsidR="002E2AB0" w:rsidRPr="00705170">
        <w:rPr>
          <w:rFonts w:ascii="Times New Roman" w:hAnsi="Times New Roman" w:cs="Times New Roman"/>
        </w:rPr>
        <w:t xml:space="preserve">A </w:t>
      </w:r>
      <w:proofErr w:type="spellStart"/>
      <w:r w:rsidR="002E2AB0" w:rsidRPr="00705170">
        <w:rPr>
          <w:rFonts w:ascii="Times New Roman" w:hAnsi="Times New Roman" w:cs="Times New Roman"/>
        </w:rPr>
        <w:t>transaction</w:t>
      </w:r>
      <w:proofErr w:type="spellEnd"/>
      <w:r w:rsidR="002E2AB0" w:rsidRPr="00705170">
        <w:rPr>
          <w:rFonts w:ascii="Times New Roman" w:hAnsi="Times New Roman" w:cs="Times New Roman"/>
        </w:rPr>
        <w:t xml:space="preserve"> </w:t>
      </w:r>
      <w:proofErr w:type="spellStart"/>
      <w:r w:rsidR="002E2AB0" w:rsidRPr="00705170">
        <w:rPr>
          <w:rFonts w:ascii="Times New Roman" w:hAnsi="Times New Roman" w:cs="Times New Roman"/>
        </w:rPr>
        <w:t>would</w:t>
      </w:r>
      <w:proofErr w:type="spellEnd"/>
      <w:r w:rsidR="002E2AB0" w:rsidRPr="00705170">
        <w:rPr>
          <w:rFonts w:ascii="Times New Roman" w:hAnsi="Times New Roman" w:cs="Times New Roman"/>
        </w:rPr>
        <w:t xml:space="preserve"> be </w:t>
      </w:r>
      <w:proofErr w:type="spellStart"/>
      <w:r w:rsidR="002E2AB0" w:rsidRPr="00705170">
        <w:rPr>
          <w:rFonts w:ascii="Times New Roman" w:hAnsi="Times New Roman" w:cs="Times New Roman"/>
        </w:rPr>
        <w:t>seen</w:t>
      </w:r>
      <w:proofErr w:type="spellEnd"/>
      <w:r w:rsidR="002E2AB0" w:rsidRPr="00705170">
        <w:rPr>
          <w:rFonts w:ascii="Times New Roman" w:hAnsi="Times New Roman" w:cs="Times New Roman"/>
        </w:rPr>
        <w:t xml:space="preserve"> as a </w:t>
      </w:r>
      <w:proofErr w:type="spellStart"/>
      <w:r w:rsidR="002E2AB0" w:rsidRPr="00705170">
        <w:rPr>
          <w:rFonts w:ascii="Times New Roman" w:hAnsi="Times New Roman" w:cs="Times New Roman"/>
        </w:rPr>
        <w:t>concealed</w:t>
      </w:r>
      <w:proofErr w:type="spellEnd"/>
      <w:r w:rsidR="002E2AB0" w:rsidRPr="00705170">
        <w:rPr>
          <w:rFonts w:ascii="Times New Roman" w:hAnsi="Times New Roman" w:cs="Times New Roman"/>
        </w:rPr>
        <w:t xml:space="preserve"> </w:t>
      </w:r>
      <w:proofErr w:type="spellStart"/>
      <w:r w:rsidR="002E2AB0" w:rsidRPr="00705170">
        <w:rPr>
          <w:rFonts w:ascii="Times New Roman" w:hAnsi="Times New Roman" w:cs="Times New Roman"/>
        </w:rPr>
        <w:t>distribution</w:t>
      </w:r>
      <w:proofErr w:type="spellEnd"/>
      <w:r w:rsidR="002E2AB0" w:rsidRPr="00705170">
        <w:rPr>
          <w:rFonts w:ascii="Times New Roman" w:hAnsi="Times New Roman" w:cs="Times New Roman"/>
        </w:rPr>
        <w:t xml:space="preserve"> </w:t>
      </w:r>
      <w:proofErr w:type="spellStart"/>
      <w:r w:rsidR="002E2AB0" w:rsidRPr="00705170">
        <w:rPr>
          <w:rFonts w:ascii="Times New Roman" w:hAnsi="Times New Roman" w:cs="Times New Roman"/>
        </w:rPr>
        <w:t>under</w:t>
      </w:r>
      <w:proofErr w:type="spellEnd"/>
      <w:r w:rsidR="002E2AB0" w:rsidRPr="00705170">
        <w:rPr>
          <w:rFonts w:ascii="Times New Roman" w:hAnsi="Times New Roman" w:cs="Times New Roman"/>
        </w:rPr>
        <w:t xml:space="preserve"> </w:t>
      </w:r>
      <w:proofErr w:type="spellStart"/>
      <w:r w:rsidR="002E2AB0" w:rsidRPr="00705170">
        <w:rPr>
          <w:rFonts w:ascii="Times New Roman" w:hAnsi="Times New Roman" w:cs="Times New Roman"/>
        </w:rPr>
        <w:t>the</w:t>
      </w:r>
      <w:proofErr w:type="spellEnd"/>
      <w:r w:rsidR="002E2AB0" w:rsidRPr="00705170">
        <w:rPr>
          <w:rFonts w:ascii="Times New Roman" w:hAnsi="Times New Roman" w:cs="Times New Roman"/>
        </w:rPr>
        <w:t xml:space="preserve"> “</w:t>
      </w:r>
      <w:proofErr w:type="spellStart"/>
      <w:r w:rsidR="002E2AB0" w:rsidRPr="00705170">
        <w:rPr>
          <w:rFonts w:ascii="Times New Roman" w:hAnsi="Times New Roman" w:cs="Times New Roman"/>
        </w:rPr>
        <w:t>transaction</w:t>
      </w:r>
      <w:proofErr w:type="spellEnd"/>
      <w:r w:rsidR="002E2AB0" w:rsidRPr="00705170">
        <w:rPr>
          <w:rFonts w:ascii="Times New Roman" w:hAnsi="Times New Roman" w:cs="Times New Roman"/>
        </w:rPr>
        <w:t xml:space="preserve"> </w:t>
      </w:r>
      <w:proofErr w:type="spellStart"/>
      <w:r w:rsidR="002E2AB0" w:rsidRPr="00705170">
        <w:rPr>
          <w:rFonts w:ascii="Times New Roman" w:hAnsi="Times New Roman" w:cs="Times New Roman"/>
        </w:rPr>
        <w:t>based</w:t>
      </w:r>
      <w:proofErr w:type="spellEnd"/>
      <w:r w:rsidR="002E2AB0" w:rsidRPr="00705170">
        <w:rPr>
          <w:rFonts w:ascii="Times New Roman" w:hAnsi="Times New Roman" w:cs="Times New Roman"/>
        </w:rPr>
        <w:t xml:space="preserve"> </w:t>
      </w:r>
      <w:proofErr w:type="spellStart"/>
      <w:r w:rsidR="002E2AB0" w:rsidRPr="00705170">
        <w:rPr>
          <w:rFonts w:ascii="Times New Roman" w:hAnsi="Times New Roman" w:cs="Times New Roman"/>
        </w:rPr>
        <w:t>distribution</w:t>
      </w:r>
      <w:proofErr w:type="spellEnd"/>
      <w:r w:rsidR="002E2AB0" w:rsidRPr="00705170">
        <w:rPr>
          <w:rFonts w:ascii="Times New Roman" w:hAnsi="Times New Roman" w:cs="Times New Roman"/>
        </w:rPr>
        <w:t xml:space="preserve">” </w:t>
      </w:r>
      <w:proofErr w:type="spellStart"/>
      <w:r w:rsidR="002E2AB0" w:rsidRPr="00705170">
        <w:rPr>
          <w:rFonts w:ascii="Times New Roman" w:hAnsi="Times New Roman" w:cs="Times New Roman"/>
        </w:rPr>
        <w:t>type</w:t>
      </w:r>
      <w:proofErr w:type="spellEnd"/>
      <w:r w:rsidR="002E2AB0" w:rsidRPr="00705170">
        <w:rPr>
          <w:rFonts w:ascii="Times New Roman" w:hAnsi="Times New Roman" w:cs="Times New Roman"/>
        </w:rPr>
        <w:t xml:space="preserve">, </w:t>
      </w:r>
      <w:proofErr w:type="spellStart"/>
      <w:r w:rsidR="002E2AB0" w:rsidRPr="00705170">
        <w:rPr>
          <w:rFonts w:ascii="Times New Roman" w:hAnsi="Times New Roman" w:cs="Times New Roman"/>
        </w:rPr>
        <w:t>if</w:t>
      </w:r>
      <w:proofErr w:type="spellEnd"/>
      <w:r w:rsidR="002E2AB0" w:rsidRPr="00705170">
        <w:rPr>
          <w:rFonts w:ascii="Times New Roman" w:hAnsi="Times New Roman" w:cs="Times New Roman"/>
        </w:rPr>
        <w:t xml:space="preserve"> it is a </w:t>
      </w:r>
      <w:proofErr w:type="spellStart"/>
      <w:r w:rsidR="002E2AB0" w:rsidRPr="00705170">
        <w:rPr>
          <w:rFonts w:ascii="Times New Roman" w:hAnsi="Times New Roman" w:cs="Times New Roman"/>
        </w:rPr>
        <w:t>transaction</w:t>
      </w:r>
      <w:proofErr w:type="spellEnd"/>
      <w:r w:rsidR="002E2AB0" w:rsidRPr="00705170">
        <w:rPr>
          <w:rFonts w:ascii="Times New Roman" w:hAnsi="Times New Roman" w:cs="Times New Roman"/>
        </w:rPr>
        <w:t xml:space="preserve"> </w:t>
      </w:r>
      <w:proofErr w:type="spellStart"/>
      <w:r w:rsidR="002E2AB0" w:rsidRPr="00705170">
        <w:rPr>
          <w:rFonts w:ascii="Times New Roman" w:hAnsi="Times New Roman" w:cs="Times New Roman"/>
        </w:rPr>
        <w:t>which</w:t>
      </w:r>
      <w:proofErr w:type="spellEnd"/>
      <w:r w:rsidR="002E2AB0" w:rsidRPr="00705170">
        <w:rPr>
          <w:rFonts w:ascii="Times New Roman" w:hAnsi="Times New Roman" w:cs="Times New Roman"/>
        </w:rPr>
        <w:t xml:space="preserve"> </w:t>
      </w:r>
      <w:proofErr w:type="spellStart"/>
      <w:r w:rsidR="007D0755" w:rsidRPr="00705170">
        <w:rPr>
          <w:rFonts w:ascii="Times New Roman" w:hAnsi="Times New Roman" w:cs="Times New Roman"/>
        </w:rPr>
        <w:t>violates</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the</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principles</w:t>
      </w:r>
      <w:proofErr w:type="spellEnd"/>
      <w:r w:rsidR="007D0755" w:rsidRPr="00705170">
        <w:rPr>
          <w:rFonts w:ascii="Times New Roman" w:hAnsi="Times New Roman" w:cs="Times New Roman"/>
        </w:rPr>
        <w:t xml:space="preserve"> of “</w:t>
      </w:r>
      <w:proofErr w:type="spellStart"/>
      <w:r w:rsidR="007D0755" w:rsidRPr="00705170">
        <w:rPr>
          <w:rFonts w:ascii="Times New Roman" w:hAnsi="Times New Roman" w:cs="Times New Roman"/>
        </w:rPr>
        <w:t>conformity</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with</w:t>
      </w:r>
      <w:proofErr w:type="spellEnd"/>
      <w:r w:rsidR="007D0755" w:rsidRPr="00705170">
        <w:rPr>
          <w:rFonts w:ascii="Times New Roman" w:hAnsi="Times New Roman" w:cs="Times New Roman"/>
        </w:rPr>
        <w:t xml:space="preserve"> market </w:t>
      </w:r>
      <w:proofErr w:type="spellStart"/>
      <w:r w:rsidR="007D0755" w:rsidRPr="00705170">
        <w:rPr>
          <w:rFonts w:ascii="Times New Roman" w:hAnsi="Times New Roman" w:cs="Times New Roman"/>
        </w:rPr>
        <w:t>practices</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prudence</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and</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honesty</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principles</w:t>
      </w:r>
      <w:proofErr w:type="spellEnd"/>
      <w:r w:rsidR="007D0755" w:rsidRPr="00705170">
        <w:rPr>
          <w:rFonts w:ascii="Times New Roman" w:hAnsi="Times New Roman" w:cs="Times New Roman"/>
        </w:rPr>
        <w:t xml:space="preserve"> of </w:t>
      </w:r>
      <w:proofErr w:type="spellStart"/>
      <w:r w:rsidR="007D0755" w:rsidRPr="00705170">
        <w:rPr>
          <w:rFonts w:ascii="Times New Roman" w:hAnsi="Times New Roman" w:cs="Times New Roman"/>
        </w:rPr>
        <w:t>commercial</w:t>
      </w:r>
      <w:proofErr w:type="spellEnd"/>
      <w:r w:rsidR="007D0755" w:rsidRPr="00705170">
        <w:rPr>
          <w:rFonts w:ascii="Times New Roman" w:hAnsi="Times New Roman" w:cs="Times New Roman"/>
        </w:rPr>
        <w:t xml:space="preserve"> life, </w:t>
      </w:r>
      <w:proofErr w:type="spellStart"/>
      <w:r w:rsidR="007D0755" w:rsidRPr="00705170">
        <w:rPr>
          <w:rFonts w:ascii="Times New Roman" w:hAnsi="Times New Roman" w:cs="Times New Roman"/>
        </w:rPr>
        <w:t>and</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arm’s</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length</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principle</w:t>
      </w:r>
      <w:proofErr w:type="spellEnd"/>
      <w:r w:rsidR="007D0755" w:rsidRPr="00705170">
        <w:rPr>
          <w:rFonts w:ascii="Times New Roman" w:hAnsi="Times New Roman" w:cs="Times New Roman"/>
        </w:rPr>
        <w:t>” (</w:t>
      </w:r>
      <w:proofErr w:type="spellStart"/>
      <w:r w:rsidR="007D0755" w:rsidRPr="00705170">
        <w:rPr>
          <w:rFonts w:ascii="Times New Roman" w:hAnsi="Times New Roman" w:cs="Times New Roman"/>
        </w:rPr>
        <w:t>Article</w:t>
      </w:r>
      <w:proofErr w:type="spellEnd"/>
      <w:r w:rsidR="007D0755" w:rsidRPr="00705170">
        <w:rPr>
          <w:rFonts w:ascii="Times New Roman" w:hAnsi="Times New Roman" w:cs="Times New Roman"/>
        </w:rPr>
        <w:t xml:space="preserve"> 21(1)). </w:t>
      </w:r>
      <w:proofErr w:type="spellStart"/>
      <w:r w:rsidR="007D0755" w:rsidRPr="00705170">
        <w:rPr>
          <w:rFonts w:ascii="Times New Roman" w:hAnsi="Times New Roman" w:cs="Times New Roman"/>
        </w:rPr>
        <w:t>The</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provision</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also</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lists</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examples</w:t>
      </w:r>
      <w:proofErr w:type="spellEnd"/>
      <w:r w:rsidR="007D0755" w:rsidRPr="00705170">
        <w:rPr>
          <w:rFonts w:ascii="Times New Roman" w:hAnsi="Times New Roman" w:cs="Times New Roman"/>
        </w:rPr>
        <w:t xml:space="preserve"> of </w:t>
      </w:r>
      <w:proofErr w:type="spellStart"/>
      <w:r w:rsidR="007D0755" w:rsidRPr="00705170">
        <w:rPr>
          <w:rFonts w:ascii="Times New Roman" w:hAnsi="Times New Roman" w:cs="Times New Roman"/>
        </w:rPr>
        <w:t>this</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type</w:t>
      </w:r>
      <w:proofErr w:type="spellEnd"/>
      <w:r w:rsidR="007D0755" w:rsidRPr="00705170">
        <w:rPr>
          <w:rFonts w:ascii="Times New Roman" w:hAnsi="Times New Roman" w:cs="Times New Roman"/>
        </w:rPr>
        <w:t xml:space="preserve"> of </w:t>
      </w:r>
      <w:proofErr w:type="spellStart"/>
      <w:r w:rsidR="007D0755" w:rsidRPr="00705170">
        <w:rPr>
          <w:rFonts w:ascii="Times New Roman" w:hAnsi="Times New Roman" w:cs="Times New Roman"/>
        </w:rPr>
        <w:t>transactions</w:t>
      </w:r>
      <w:proofErr w:type="spellEnd"/>
      <w:r w:rsidR="007D0755" w:rsidRPr="00705170">
        <w:rPr>
          <w:rFonts w:ascii="Times New Roman" w:hAnsi="Times New Roman" w:cs="Times New Roman"/>
        </w:rPr>
        <w:t xml:space="preserve"> it </w:t>
      </w:r>
      <w:proofErr w:type="spellStart"/>
      <w:r w:rsidR="007D0755" w:rsidRPr="00705170">
        <w:rPr>
          <w:rFonts w:ascii="Times New Roman" w:hAnsi="Times New Roman" w:cs="Times New Roman"/>
        </w:rPr>
        <w:t>covers</w:t>
      </w:r>
      <w:proofErr w:type="spellEnd"/>
      <w:r w:rsidR="007D0755" w:rsidRPr="00705170">
        <w:rPr>
          <w:rFonts w:ascii="Times New Roman" w:hAnsi="Times New Roman" w:cs="Times New Roman"/>
        </w:rPr>
        <w:t xml:space="preserve"> as “</w:t>
      </w:r>
      <w:proofErr w:type="spellStart"/>
      <w:r w:rsidR="007D0755" w:rsidRPr="00705170">
        <w:rPr>
          <w:rFonts w:ascii="Times New Roman" w:hAnsi="Times New Roman" w:cs="Times New Roman"/>
        </w:rPr>
        <w:t>contracts</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or</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commercial</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practices</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containing</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different</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prices</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fees</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costs</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or</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conditions</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or</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producing</w:t>
      </w:r>
      <w:proofErr w:type="spellEnd"/>
      <w:r w:rsidR="007D0755" w:rsidRPr="00705170">
        <w:rPr>
          <w:rFonts w:ascii="Times New Roman" w:hAnsi="Times New Roman" w:cs="Times New Roman"/>
        </w:rPr>
        <w:t xml:space="preserve"> a </w:t>
      </w:r>
      <w:proofErr w:type="spellStart"/>
      <w:r w:rsidR="007D0755" w:rsidRPr="00705170">
        <w:rPr>
          <w:rFonts w:ascii="Times New Roman" w:hAnsi="Times New Roman" w:cs="Times New Roman"/>
        </w:rPr>
        <w:t>trading</w:t>
      </w:r>
      <w:proofErr w:type="spellEnd"/>
      <w:r w:rsidR="007D0755" w:rsidRPr="00705170">
        <w:rPr>
          <w:rFonts w:ascii="Times New Roman" w:hAnsi="Times New Roman" w:cs="Times New Roman"/>
        </w:rPr>
        <w:t xml:space="preserve"> </w:t>
      </w:r>
      <w:proofErr w:type="spellStart"/>
      <w:r w:rsidR="007D0755" w:rsidRPr="00705170">
        <w:rPr>
          <w:rFonts w:ascii="Times New Roman" w:hAnsi="Times New Roman" w:cs="Times New Roman"/>
        </w:rPr>
        <w:t>volume</w:t>
      </w:r>
      <w:proofErr w:type="spellEnd"/>
      <w:r w:rsidR="007D0755" w:rsidRPr="00705170">
        <w:rPr>
          <w:rFonts w:ascii="Times New Roman" w:hAnsi="Times New Roman" w:cs="Times New Roman"/>
        </w:rPr>
        <w:t>” (</w:t>
      </w:r>
      <w:proofErr w:type="spellStart"/>
      <w:r w:rsidR="007D0755" w:rsidRPr="00705170">
        <w:rPr>
          <w:rFonts w:ascii="Times New Roman" w:hAnsi="Times New Roman" w:cs="Times New Roman"/>
        </w:rPr>
        <w:t>Article</w:t>
      </w:r>
      <w:proofErr w:type="spellEnd"/>
      <w:r w:rsidR="007D0755" w:rsidRPr="00705170">
        <w:rPr>
          <w:rFonts w:ascii="Times New Roman" w:hAnsi="Times New Roman" w:cs="Times New Roman"/>
        </w:rPr>
        <w:t xml:space="preserve"> 21(1)).</w:t>
      </w:r>
      <w:r w:rsidR="00BA4B24" w:rsidRPr="00705170">
        <w:rPr>
          <w:rFonts w:ascii="Times New Roman" w:hAnsi="Times New Roman" w:cs="Times New Roman"/>
        </w:rPr>
        <w:t xml:space="preserve"> </w:t>
      </w:r>
      <w:r w:rsidR="006E6B06" w:rsidRPr="00705170">
        <w:rPr>
          <w:rFonts w:ascii="Times New Roman" w:hAnsi="Times New Roman" w:cs="Times New Roman"/>
        </w:rPr>
        <w:t xml:space="preserve">On </w:t>
      </w:r>
      <w:proofErr w:type="spellStart"/>
      <w:r w:rsidR="006E6B06" w:rsidRPr="00705170">
        <w:rPr>
          <w:rFonts w:ascii="Times New Roman" w:hAnsi="Times New Roman" w:cs="Times New Roman"/>
        </w:rPr>
        <w:t>the</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other</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hand</w:t>
      </w:r>
      <w:proofErr w:type="spellEnd"/>
      <w:r w:rsidR="006E6B06" w:rsidRPr="00705170">
        <w:rPr>
          <w:rFonts w:ascii="Times New Roman" w:hAnsi="Times New Roman" w:cs="Times New Roman"/>
        </w:rPr>
        <w:t xml:space="preserve">, a </w:t>
      </w:r>
      <w:proofErr w:type="spellStart"/>
      <w:r w:rsidR="006E6B06" w:rsidRPr="00705170">
        <w:rPr>
          <w:rFonts w:ascii="Times New Roman" w:hAnsi="Times New Roman" w:cs="Times New Roman"/>
        </w:rPr>
        <w:t>non</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transaction</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based</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concealed</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distribution</w:t>
      </w:r>
      <w:proofErr w:type="spellEnd"/>
      <w:r w:rsidR="006E6B06" w:rsidRPr="00705170">
        <w:rPr>
          <w:rFonts w:ascii="Times New Roman" w:hAnsi="Times New Roman" w:cs="Times New Roman"/>
        </w:rPr>
        <w:t xml:space="preserve"> can </w:t>
      </w:r>
      <w:proofErr w:type="spellStart"/>
      <w:r w:rsidR="006E6B06" w:rsidRPr="00705170">
        <w:rPr>
          <w:rFonts w:ascii="Times New Roman" w:hAnsi="Times New Roman" w:cs="Times New Roman"/>
        </w:rPr>
        <w:t>occur</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if</w:t>
      </w:r>
      <w:proofErr w:type="spellEnd"/>
      <w:r w:rsidR="006E6B06" w:rsidRPr="00705170">
        <w:rPr>
          <w:rFonts w:ascii="Times New Roman" w:hAnsi="Times New Roman" w:cs="Times New Roman"/>
        </w:rPr>
        <w:t xml:space="preserve"> a </w:t>
      </w:r>
      <w:proofErr w:type="spellStart"/>
      <w:r w:rsidR="006E6B06" w:rsidRPr="00705170">
        <w:rPr>
          <w:rFonts w:ascii="Times New Roman" w:hAnsi="Times New Roman" w:cs="Times New Roman"/>
        </w:rPr>
        <w:t>corporation</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refrains</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from</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taking</w:t>
      </w:r>
      <w:proofErr w:type="spellEnd"/>
      <w:r w:rsidR="006E6B06" w:rsidRPr="00705170">
        <w:rPr>
          <w:rFonts w:ascii="Times New Roman" w:hAnsi="Times New Roman" w:cs="Times New Roman"/>
        </w:rPr>
        <w:t xml:space="preserve"> an </w:t>
      </w:r>
      <w:proofErr w:type="spellStart"/>
      <w:r w:rsidR="006E6B06" w:rsidRPr="00705170">
        <w:rPr>
          <w:rFonts w:ascii="Times New Roman" w:hAnsi="Times New Roman" w:cs="Times New Roman"/>
        </w:rPr>
        <w:t>action</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that</w:t>
      </w:r>
      <w:proofErr w:type="spellEnd"/>
      <w:r w:rsidR="006E6B06" w:rsidRPr="00705170">
        <w:rPr>
          <w:rFonts w:ascii="Times New Roman" w:hAnsi="Times New Roman" w:cs="Times New Roman"/>
        </w:rPr>
        <w:t xml:space="preserve"> is </w:t>
      </w:r>
      <w:proofErr w:type="spellStart"/>
      <w:r w:rsidR="006E6B06" w:rsidRPr="00705170">
        <w:rPr>
          <w:rFonts w:ascii="Times New Roman" w:hAnsi="Times New Roman" w:cs="Times New Roman"/>
        </w:rPr>
        <w:t>required</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to</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lastRenderedPageBreak/>
        <w:t>complete</w:t>
      </w:r>
      <w:proofErr w:type="spellEnd"/>
      <w:r w:rsidR="006E6B06" w:rsidRPr="00705170">
        <w:rPr>
          <w:rFonts w:ascii="Times New Roman" w:hAnsi="Times New Roman" w:cs="Times New Roman"/>
        </w:rPr>
        <w:t xml:space="preserve"> in </w:t>
      </w:r>
      <w:proofErr w:type="spellStart"/>
      <w:r w:rsidR="006E6B06" w:rsidRPr="00705170">
        <w:rPr>
          <w:rFonts w:ascii="Times New Roman" w:hAnsi="Times New Roman" w:cs="Times New Roman"/>
        </w:rPr>
        <w:t>order</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to</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protect</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its</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profit</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or</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asset</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or</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increase</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them</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This</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kind</w:t>
      </w:r>
      <w:proofErr w:type="spellEnd"/>
      <w:r w:rsidR="006E6B06" w:rsidRPr="00705170">
        <w:rPr>
          <w:rFonts w:ascii="Times New Roman" w:hAnsi="Times New Roman" w:cs="Times New Roman"/>
        </w:rPr>
        <w:t xml:space="preserve"> of </w:t>
      </w:r>
      <w:proofErr w:type="spellStart"/>
      <w:r w:rsidR="006E6B06" w:rsidRPr="00705170">
        <w:rPr>
          <w:rFonts w:ascii="Times New Roman" w:hAnsi="Times New Roman" w:cs="Times New Roman"/>
        </w:rPr>
        <w:t>action</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would</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only</w:t>
      </w:r>
      <w:proofErr w:type="spellEnd"/>
      <w:r w:rsidR="006E6B06" w:rsidRPr="00705170">
        <w:rPr>
          <w:rFonts w:ascii="Times New Roman" w:hAnsi="Times New Roman" w:cs="Times New Roman"/>
        </w:rPr>
        <w:t xml:space="preserve"> be a </w:t>
      </w:r>
      <w:proofErr w:type="spellStart"/>
      <w:r w:rsidR="006E6B06" w:rsidRPr="00705170">
        <w:rPr>
          <w:rFonts w:ascii="Times New Roman" w:hAnsi="Times New Roman" w:cs="Times New Roman"/>
        </w:rPr>
        <w:t>concealed</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distribution</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if</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its</w:t>
      </w:r>
      <w:proofErr w:type="spellEnd"/>
      <w:r w:rsidR="006E6B06" w:rsidRPr="00705170">
        <w:rPr>
          <w:rFonts w:ascii="Times New Roman" w:hAnsi="Times New Roman" w:cs="Times New Roman"/>
        </w:rPr>
        <w:t xml:space="preserve"> in </w:t>
      </w:r>
      <w:proofErr w:type="spellStart"/>
      <w:r w:rsidR="006E6B06" w:rsidRPr="00705170">
        <w:rPr>
          <w:rFonts w:ascii="Times New Roman" w:hAnsi="Times New Roman" w:cs="Times New Roman"/>
        </w:rPr>
        <w:t>contrary</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to</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what</w:t>
      </w:r>
      <w:proofErr w:type="spellEnd"/>
      <w:r w:rsidR="006E6B06" w:rsidRPr="00705170">
        <w:rPr>
          <w:rFonts w:ascii="Times New Roman" w:hAnsi="Times New Roman" w:cs="Times New Roman"/>
        </w:rPr>
        <w:t xml:space="preserve"> is </w:t>
      </w:r>
      <w:proofErr w:type="spellStart"/>
      <w:r w:rsidR="006E6B06" w:rsidRPr="00705170">
        <w:rPr>
          <w:rFonts w:ascii="Times New Roman" w:hAnsi="Times New Roman" w:cs="Times New Roman"/>
        </w:rPr>
        <w:t>expected</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from</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the</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corporation</w:t>
      </w:r>
      <w:proofErr w:type="spellEnd"/>
      <w:r w:rsidR="006E6B06" w:rsidRPr="00705170">
        <w:rPr>
          <w:rFonts w:ascii="Times New Roman" w:hAnsi="Times New Roman" w:cs="Times New Roman"/>
        </w:rPr>
        <w:t xml:space="preserve"> as </w:t>
      </w:r>
      <w:proofErr w:type="spellStart"/>
      <w:r w:rsidR="006E6B06" w:rsidRPr="00705170">
        <w:rPr>
          <w:rFonts w:ascii="Times New Roman" w:hAnsi="Times New Roman" w:cs="Times New Roman"/>
        </w:rPr>
        <w:t>prudent</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and</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honest</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merchants</w:t>
      </w:r>
      <w:proofErr w:type="spellEnd"/>
      <w:r w:rsidR="006E6B06" w:rsidRPr="00705170">
        <w:rPr>
          <w:rFonts w:ascii="Times New Roman" w:hAnsi="Times New Roman" w:cs="Times New Roman"/>
        </w:rPr>
        <w:t xml:space="preserve"> in </w:t>
      </w:r>
      <w:proofErr w:type="spellStart"/>
      <w:r w:rsidR="006E6B06" w:rsidRPr="00705170">
        <w:rPr>
          <w:rFonts w:ascii="Times New Roman" w:hAnsi="Times New Roman" w:cs="Times New Roman"/>
        </w:rPr>
        <w:t>the</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scope</w:t>
      </w:r>
      <w:proofErr w:type="spellEnd"/>
      <w:r w:rsidR="006E6B06" w:rsidRPr="00705170">
        <w:rPr>
          <w:rFonts w:ascii="Times New Roman" w:hAnsi="Times New Roman" w:cs="Times New Roman"/>
        </w:rPr>
        <w:t xml:space="preserve"> of </w:t>
      </w:r>
      <w:proofErr w:type="spellStart"/>
      <w:r w:rsidR="006E6B06" w:rsidRPr="00705170">
        <w:rPr>
          <w:rFonts w:ascii="Times New Roman" w:hAnsi="Times New Roman" w:cs="Times New Roman"/>
        </w:rPr>
        <w:t>their</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articles</w:t>
      </w:r>
      <w:proofErr w:type="spellEnd"/>
      <w:r w:rsidR="006E6B06" w:rsidRPr="00705170">
        <w:rPr>
          <w:rFonts w:ascii="Times New Roman" w:hAnsi="Times New Roman" w:cs="Times New Roman"/>
        </w:rPr>
        <w:t xml:space="preserve"> of </w:t>
      </w:r>
      <w:proofErr w:type="spellStart"/>
      <w:r w:rsidR="006E6B06" w:rsidRPr="00705170">
        <w:rPr>
          <w:rFonts w:ascii="Times New Roman" w:hAnsi="Times New Roman" w:cs="Times New Roman"/>
        </w:rPr>
        <w:t>incorporation</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or</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bylaws</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or</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due</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to</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commercial</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practices</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Article</w:t>
      </w:r>
      <w:proofErr w:type="spellEnd"/>
      <w:r w:rsidR="006E6B06" w:rsidRPr="00705170">
        <w:rPr>
          <w:rFonts w:ascii="Times New Roman" w:hAnsi="Times New Roman" w:cs="Times New Roman"/>
        </w:rPr>
        <w:t xml:space="preserve"> 21(2)). </w:t>
      </w:r>
      <w:proofErr w:type="spellStart"/>
      <w:r w:rsidR="006E6B06" w:rsidRPr="00705170">
        <w:rPr>
          <w:rFonts w:ascii="Times New Roman" w:hAnsi="Times New Roman" w:cs="Times New Roman"/>
        </w:rPr>
        <w:t>Moreover</w:t>
      </w:r>
      <w:proofErr w:type="spellEnd"/>
      <w:r w:rsidR="006E6B06" w:rsidRPr="00705170">
        <w:rPr>
          <w:rFonts w:ascii="Times New Roman" w:hAnsi="Times New Roman" w:cs="Times New Roman"/>
        </w:rPr>
        <w:t xml:space="preserve">, </w:t>
      </w:r>
      <w:proofErr w:type="spellStart"/>
      <w:r w:rsidR="00603CB5" w:rsidRPr="00705170">
        <w:rPr>
          <w:rFonts w:ascii="Times New Roman" w:hAnsi="Times New Roman" w:cs="Times New Roman"/>
        </w:rPr>
        <w:t>different</w:t>
      </w:r>
      <w:proofErr w:type="spellEnd"/>
      <w:r w:rsidR="00603CB5" w:rsidRPr="00705170">
        <w:rPr>
          <w:rFonts w:ascii="Times New Roman" w:hAnsi="Times New Roman" w:cs="Times New Roman"/>
        </w:rPr>
        <w:t xml:space="preserve"> </w:t>
      </w:r>
      <w:proofErr w:type="spellStart"/>
      <w:r w:rsidR="00603CB5" w:rsidRPr="00705170">
        <w:rPr>
          <w:rFonts w:ascii="Times New Roman" w:hAnsi="Times New Roman" w:cs="Times New Roman"/>
        </w:rPr>
        <w:t>from</w:t>
      </w:r>
      <w:proofErr w:type="spellEnd"/>
      <w:r w:rsidR="00603CB5" w:rsidRPr="00705170">
        <w:rPr>
          <w:rFonts w:ascii="Times New Roman" w:hAnsi="Times New Roman" w:cs="Times New Roman"/>
        </w:rPr>
        <w:t xml:space="preserve"> </w:t>
      </w:r>
      <w:proofErr w:type="spellStart"/>
      <w:r w:rsidR="00603CB5" w:rsidRPr="00705170">
        <w:rPr>
          <w:rFonts w:ascii="Times New Roman" w:hAnsi="Times New Roman" w:cs="Times New Roman"/>
        </w:rPr>
        <w:t>the</w:t>
      </w:r>
      <w:proofErr w:type="spellEnd"/>
      <w:r w:rsidR="00603CB5" w:rsidRPr="00705170">
        <w:rPr>
          <w:rFonts w:ascii="Times New Roman" w:hAnsi="Times New Roman" w:cs="Times New Roman"/>
        </w:rPr>
        <w:t xml:space="preserve"> </w:t>
      </w:r>
      <w:proofErr w:type="spellStart"/>
      <w:r w:rsidR="00603CB5" w:rsidRPr="00705170">
        <w:rPr>
          <w:rFonts w:ascii="Times New Roman" w:hAnsi="Times New Roman" w:cs="Times New Roman"/>
        </w:rPr>
        <w:t>transaction</w:t>
      </w:r>
      <w:proofErr w:type="spellEnd"/>
      <w:r w:rsidR="00603CB5" w:rsidRPr="00705170">
        <w:rPr>
          <w:rFonts w:ascii="Times New Roman" w:hAnsi="Times New Roman" w:cs="Times New Roman"/>
        </w:rPr>
        <w:t xml:space="preserve"> </w:t>
      </w:r>
      <w:proofErr w:type="spellStart"/>
      <w:r w:rsidR="00603CB5" w:rsidRPr="00705170">
        <w:rPr>
          <w:rFonts w:ascii="Times New Roman" w:hAnsi="Times New Roman" w:cs="Times New Roman"/>
        </w:rPr>
        <w:t>based</w:t>
      </w:r>
      <w:proofErr w:type="spellEnd"/>
      <w:r w:rsidR="00603CB5" w:rsidRPr="00705170">
        <w:rPr>
          <w:rFonts w:ascii="Times New Roman" w:hAnsi="Times New Roman" w:cs="Times New Roman"/>
        </w:rPr>
        <w:t xml:space="preserve"> </w:t>
      </w:r>
      <w:proofErr w:type="spellStart"/>
      <w:r w:rsidR="00603CB5" w:rsidRPr="00705170">
        <w:rPr>
          <w:rFonts w:ascii="Times New Roman" w:hAnsi="Times New Roman" w:cs="Times New Roman"/>
        </w:rPr>
        <w:t>distribution</w:t>
      </w:r>
      <w:proofErr w:type="spellEnd"/>
      <w:r w:rsidR="00603CB5" w:rsidRPr="00705170">
        <w:rPr>
          <w:rFonts w:ascii="Times New Roman" w:hAnsi="Times New Roman" w:cs="Times New Roman"/>
        </w:rPr>
        <w:t xml:space="preserve">, </w:t>
      </w:r>
      <w:proofErr w:type="spellStart"/>
      <w:r w:rsidR="006E6B06" w:rsidRPr="00705170">
        <w:rPr>
          <w:rFonts w:ascii="Times New Roman" w:hAnsi="Times New Roman" w:cs="Times New Roman"/>
        </w:rPr>
        <w:t>this</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kind</w:t>
      </w:r>
      <w:proofErr w:type="spellEnd"/>
      <w:r w:rsidR="006E6B06" w:rsidRPr="00705170">
        <w:rPr>
          <w:rFonts w:ascii="Times New Roman" w:hAnsi="Times New Roman" w:cs="Times New Roman"/>
        </w:rPr>
        <w:t xml:space="preserve"> of </w:t>
      </w:r>
      <w:proofErr w:type="spellStart"/>
      <w:r w:rsidR="006E6B06" w:rsidRPr="00705170">
        <w:rPr>
          <w:rFonts w:ascii="Times New Roman" w:hAnsi="Times New Roman" w:cs="Times New Roman"/>
        </w:rPr>
        <w:t>passive</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action</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would</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only</w:t>
      </w:r>
      <w:proofErr w:type="spellEnd"/>
      <w:r w:rsidR="006E6B06" w:rsidRPr="00705170">
        <w:rPr>
          <w:rFonts w:ascii="Times New Roman" w:hAnsi="Times New Roman" w:cs="Times New Roman"/>
        </w:rPr>
        <w:t xml:space="preserve"> be </w:t>
      </w:r>
      <w:proofErr w:type="spellStart"/>
      <w:r w:rsidR="006E6B06" w:rsidRPr="00705170">
        <w:rPr>
          <w:rFonts w:ascii="Times New Roman" w:hAnsi="Times New Roman" w:cs="Times New Roman"/>
        </w:rPr>
        <w:t>deemed</w:t>
      </w:r>
      <w:proofErr w:type="spellEnd"/>
      <w:r w:rsidR="006E6B06" w:rsidRPr="00705170">
        <w:rPr>
          <w:rFonts w:ascii="Times New Roman" w:hAnsi="Times New Roman" w:cs="Times New Roman"/>
        </w:rPr>
        <w:t xml:space="preserve"> a </w:t>
      </w:r>
      <w:proofErr w:type="spellStart"/>
      <w:r w:rsidR="006E6B06" w:rsidRPr="00705170">
        <w:rPr>
          <w:rFonts w:ascii="Times New Roman" w:hAnsi="Times New Roman" w:cs="Times New Roman"/>
        </w:rPr>
        <w:t>concealed</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distribution</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if</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this</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refrainment</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increases</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the</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assets</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or</w:t>
      </w:r>
      <w:proofErr w:type="spellEnd"/>
      <w:r w:rsidR="006E6B06" w:rsidRPr="00705170">
        <w:rPr>
          <w:rFonts w:ascii="Times New Roman" w:hAnsi="Times New Roman" w:cs="Times New Roman"/>
        </w:rPr>
        <w:t xml:space="preserve"> </w:t>
      </w:r>
      <w:proofErr w:type="spellStart"/>
      <w:r w:rsidR="00603CB5" w:rsidRPr="00705170">
        <w:rPr>
          <w:rFonts w:ascii="Times New Roman" w:hAnsi="Times New Roman" w:cs="Times New Roman"/>
        </w:rPr>
        <w:t>profits</w:t>
      </w:r>
      <w:proofErr w:type="spellEnd"/>
      <w:r w:rsidR="00603CB5" w:rsidRPr="00705170">
        <w:rPr>
          <w:rFonts w:ascii="Times New Roman" w:hAnsi="Times New Roman" w:cs="Times New Roman"/>
        </w:rPr>
        <w:t xml:space="preserve"> of </w:t>
      </w:r>
      <w:proofErr w:type="spellStart"/>
      <w:r w:rsidR="00603CB5" w:rsidRPr="00705170">
        <w:rPr>
          <w:rFonts w:ascii="Times New Roman" w:hAnsi="Times New Roman" w:cs="Times New Roman"/>
        </w:rPr>
        <w:t>the</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related</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parties</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Article</w:t>
      </w:r>
      <w:proofErr w:type="spellEnd"/>
      <w:r w:rsidR="006E6B06" w:rsidRPr="00705170">
        <w:rPr>
          <w:rFonts w:ascii="Times New Roman" w:hAnsi="Times New Roman" w:cs="Times New Roman"/>
        </w:rPr>
        <w:t xml:space="preserve"> 21(2)).</w:t>
      </w:r>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If</w:t>
      </w:r>
      <w:proofErr w:type="spellEnd"/>
      <w:r w:rsidR="00D93371" w:rsidRPr="00705170">
        <w:rPr>
          <w:rFonts w:ascii="Times New Roman" w:hAnsi="Times New Roman" w:cs="Times New Roman"/>
        </w:rPr>
        <w:t xml:space="preserve"> a </w:t>
      </w:r>
      <w:proofErr w:type="spellStart"/>
      <w:r w:rsidR="00D93371" w:rsidRPr="00705170">
        <w:rPr>
          <w:rFonts w:ascii="Times New Roman" w:hAnsi="Times New Roman" w:cs="Times New Roman"/>
        </w:rPr>
        <w:t>transaction</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or</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non</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transaction</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takes</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place</w:t>
      </w:r>
      <w:proofErr w:type="spellEnd"/>
      <w:r w:rsidR="00D93371" w:rsidRPr="00705170">
        <w:rPr>
          <w:rFonts w:ascii="Times New Roman" w:hAnsi="Times New Roman" w:cs="Times New Roman"/>
        </w:rPr>
        <w:t xml:space="preserve"> in </w:t>
      </w:r>
      <w:proofErr w:type="spellStart"/>
      <w:r w:rsidR="00D93371" w:rsidRPr="00705170">
        <w:rPr>
          <w:rFonts w:ascii="Times New Roman" w:hAnsi="Times New Roman" w:cs="Times New Roman"/>
        </w:rPr>
        <w:t>violation</w:t>
      </w:r>
      <w:proofErr w:type="spellEnd"/>
      <w:r w:rsidR="00D93371" w:rsidRPr="00705170">
        <w:rPr>
          <w:rFonts w:ascii="Times New Roman" w:hAnsi="Times New Roman" w:cs="Times New Roman"/>
        </w:rPr>
        <w:t xml:space="preserve"> of </w:t>
      </w:r>
      <w:proofErr w:type="spellStart"/>
      <w:r w:rsidR="00D93371" w:rsidRPr="00705170">
        <w:rPr>
          <w:rFonts w:ascii="Times New Roman" w:hAnsi="Times New Roman" w:cs="Times New Roman"/>
        </w:rPr>
        <w:t>the</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provision</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the</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amount</w:t>
      </w:r>
      <w:proofErr w:type="spellEnd"/>
      <w:r w:rsidR="00D93371" w:rsidRPr="00705170">
        <w:rPr>
          <w:rFonts w:ascii="Times New Roman" w:hAnsi="Times New Roman" w:cs="Times New Roman"/>
        </w:rPr>
        <w:t xml:space="preserve"> of </w:t>
      </w:r>
      <w:proofErr w:type="spellStart"/>
      <w:r w:rsidR="00D93371" w:rsidRPr="00705170">
        <w:rPr>
          <w:rFonts w:ascii="Times New Roman" w:hAnsi="Times New Roman" w:cs="Times New Roman"/>
        </w:rPr>
        <w:t>concealed</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distribution</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should</w:t>
      </w:r>
      <w:proofErr w:type="spellEnd"/>
      <w:r w:rsidR="00D93371" w:rsidRPr="00705170">
        <w:rPr>
          <w:rFonts w:ascii="Times New Roman" w:hAnsi="Times New Roman" w:cs="Times New Roman"/>
        </w:rPr>
        <w:t xml:space="preserve"> be </w:t>
      </w:r>
      <w:proofErr w:type="spellStart"/>
      <w:r w:rsidR="00D93371" w:rsidRPr="00705170">
        <w:rPr>
          <w:rFonts w:ascii="Times New Roman" w:hAnsi="Times New Roman" w:cs="Times New Roman"/>
        </w:rPr>
        <w:t>returned</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back</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to</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the</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corporation</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and</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responsible</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parties</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should</w:t>
      </w:r>
      <w:proofErr w:type="spellEnd"/>
      <w:r w:rsidR="00D93371" w:rsidRPr="00705170">
        <w:rPr>
          <w:rFonts w:ascii="Times New Roman" w:hAnsi="Times New Roman" w:cs="Times New Roman"/>
        </w:rPr>
        <w:t xml:space="preserve"> be </w:t>
      </w:r>
      <w:proofErr w:type="spellStart"/>
      <w:r w:rsidR="00D93371" w:rsidRPr="00705170">
        <w:rPr>
          <w:rFonts w:ascii="Times New Roman" w:hAnsi="Times New Roman" w:cs="Times New Roman"/>
        </w:rPr>
        <w:t>prosecuted</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under</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the</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criminal</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and</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administrative</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sanctions</w:t>
      </w:r>
      <w:proofErr w:type="spellEnd"/>
      <w:r w:rsidR="00D93371" w:rsidRPr="00705170">
        <w:rPr>
          <w:rFonts w:ascii="Times New Roman" w:hAnsi="Times New Roman" w:cs="Times New Roman"/>
        </w:rPr>
        <w:t xml:space="preserve"> of </w:t>
      </w:r>
      <w:proofErr w:type="spellStart"/>
      <w:r w:rsidR="00D93371" w:rsidRPr="00705170">
        <w:rPr>
          <w:rFonts w:ascii="Times New Roman" w:hAnsi="Times New Roman" w:cs="Times New Roman"/>
        </w:rPr>
        <w:t>the</w:t>
      </w:r>
      <w:proofErr w:type="spellEnd"/>
      <w:r w:rsidR="00D93371" w:rsidRPr="00705170">
        <w:rPr>
          <w:rFonts w:ascii="Times New Roman" w:hAnsi="Times New Roman" w:cs="Times New Roman"/>
        </w:rPr>
        <w:t xml:space="preserve"> CML (</w:t>
      </w:r>
      <w:proofErr w:type="spellStart"/>
      <w:r w:rsidR="00D93371" w:rsidRPr="00705170">
        <w:rPr>
          <w:rFonts w:ascii="Times New Roman" w:hAnsi="Times New Roman" w:cs="Times New Roman"/>
        </w:rPr>
        <w:t>Article</w:t>
      </w:r>
      <w:proofErr w:type="spellEnd"/>
      <w:r w:rsidR="00D93371" w:rsidRPr="00705170">
        <w:rPr>
          <w:rFonts w:ascii="Times New Roman" w:hAnsi="Times New Roman" w:cs="Times New Roman"/>
        </w:rPr>
        <w:t xml:space="preserve"> 21(4)).</w:t>
      </w:r>
      <w:r w:rsidR="00B62675" w:rsidRPr="00705170">
        <w:rPr>
          <w:rFonts w:ascii="Times New Roman" w:hAnsi="Times New Roman" w:cs="Times New Roman"/>
        </w:rPr>
        <w:t xml:space="preserve"> </w:t>
      </w:r>
    </w:p>
    <w:p w14:paraId="1A877AE1" w14:textId="68E3D46B" w:rsidR="00DC525E" w:rsidRPr="00705170" w:rsidRDefault="00A379BB" w:rsidP="00EE78C5">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00FB0651" w:rsidRPr="00705170">
        <w:rPr>
          <w:rFonts w:ascii="Times New Roman" w:hAnsi="Times New Roman" w:cs="Times New Roman"/>
        </w:rPr>
        <w:t xml:space="preserve"> </w:t>
      </w:r>
      <w:proofErr w:type="spellStart"/>
      <w:r w:rsidR="00FB0651" w:rsidRPr="00705170">
        <w:rPr>
          <w:rFonts w:ascii="Times New Roman" w:hAnsi="Times New Roman" w:cs="Times New Roman"/>
        </w:rPr>
        <w:t>Comminique</w:t>
      </w:r>
      <w:proofErr w:type="spellEnd"/>
      <w:r w:rsidR="00FB0651" w:rsidRPr="00705170">
        <w:rPr>
          <w:rFonts w:ascii="Times New Roman" w:hAnsi="Times New Roman" w:cs="Times New Roman"/>
        </w:rPr>
        <w:t xml:space="preserve"> on </w:t>
      </w:r>
      <w:proofErr w:type="spellStart"/>
      <w:r w:rsidR="00FB0651"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Governance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00FB5962" w:rsidRPr="00705170">
        <w:rPr>
          <w:rFonts w:ascii="Times New Roman" w:hAnsi="Times New Roman" w:cs="Times New Roman"/>
        </w:rPr>
        <w:t>includes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inspection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transactions</w:t>
      </w:r>
      <w:proofErr w:type="spellEnd"/>
      <w:r w:rsidRPr="00705170">
        <w:rPr>
          <w:rFonts w:ascii="Times New Roman" w:hAnsi="Times New Roman" w:cs="Times New Roman"/>
        </w:rPr>
        <w:t xml:space="preserve">, </w:t>
      </w:r>
      <w:proofErr w:type="spellStart"/>
      <w:r w:rsidR="00FB5962" w:rsidRPr="00705170">
        <w:rPr>
          <w:rFonts w:ascii="Times New Roman" w:hAnsi="Times New Roman" w:cs="Times New Roman"/>
        </w:rPr>
        <w:t>expresses</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that</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definitions</w:t>
      </w:r>
      <w:proofErr w:type="spellEnd"/>
      <w:r w:rsidR="00FB5962" w:rsidRPr="00705170">
        <w:rPr>
          <w:rFonts w:ascii="Times New Roman" w:hAnsi="Times New Roman" w:cs="Times New Roman"/>
        </w:rPr>
        <w:t xml:space="preserve"> in </w:t>
      </w:r>
      <w:proofErr w:type="spellStart"/>
      <w:r w:rsidR="00FB5962" w:rsidRPr="00705170">
        <w:rPr>
          <w:rFonts w:ascii="Times New Roman" w:hAnsi="Times New Roman" w:cs="Times New Roman"/>
        </w:rPr>
        <w:t>account</w:t>
      </w:r>
      <w:r w:rsidR="001E5472" w:rsidRPr="00705170">
        <w:rPr>
          <w:rFonts w:ascii="Times New Roman" w:hAnsi="Times New Roman" w:cs="Times New Roman"/>
        </w:rPr>
        <w:t>ing</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standards</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will</w:t>
      </w:r>
      <w:proofErr w:type="spellEnd"/>
      <w:r w:rsidR="00FB5962" w:rsidRPr="00705170">
        <w:rPr>
          <w:rFonts w:ascii="Times New Roman" w:hAnsi="Times New Roman" w:cs="Times New Roman"/>
        </w:rPr>
        <w:t xml:space="preserve"> be </w:t>
      </w:r>
      <w:proofErr w:type="spellStart"/>
      <w:r w:rsidR="00FB5962" w:rsidRPr="00705170">
        <w:rPr>
          <w:rFonts w:ascii="Times New Roman" w:hAnsi="Times New Roman" w:cs="Times New Roman"/>
        </w:rPr>
        <w:t>used</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to</w:t>
      </w:r>
      <w:proofErr w:type="spellEnd"/>
      <w:r w:rsidR="00FB5962" w:rsidRPr="00705170">
        <w:rPr>
          <w:rFonts w:ascii="Times New Roman" w:hAnsi="Times New Roman" w:cs="Times New Roman"/>
        </w:rPr>
        <w:t xml:space="preserve"> define </w:t>
      </w:r>
      <w:proofErr w:type="spellStart"/>
      <w:r w:rsidR="00FB5962" w:rsidRPr="00705170">
        <w:rPr>
          <w:rFonts w:ascii="Times New Roman" w:hAnsi="Times New Roman" w:cs="Times New Roman"/>
        </w:rPr>
        <w:t>the</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term</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related</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party</w:t>
      </w:r>
      <w:proofErr w:type="spellEnd"/>
      <w:r w:rsidR="00FB5962" w:rsidRPr="00705170">
        <w:rPr>
          <w:rFonts w:ascii="Times New Roman" w:hAnsi="Times New Roman" w:cs="Times New Roman"/>
        </w:rPr>
        <w:t>”</w:t>
      </w:r>
      <w:r w:rsidR="001E5472" w:rsidRPr="00705170">
        <w:rPr>
          <w:rFonts w:ascii="Times New Roman" w:hAnsi="Times New Roman" w:cs="Times New Roman"/>
        </w:rPr>
        <w:t xml:space="preserve">, </w:t>
      </w:r>
      <w:proofErr w:type="spellStart"/>
      <w:r w:rsidR="001E5472" w:rsidRPr="00705170">
        <w:rPr>
          <w:rFonts w:ascii="Times New Roman" w:hAnsi="Times New Roman" w:cs="Times New Roman"/>
        </w:rPr>
        <w:t>which</w:t>
      </w:r>
      <w:proofErr w:type="spellEnd"/>
      <w:r w:rsidR="001E5472" w:rsidRPr="00705170">
        <w:rPr>
          <w:rFonts w:ascii="Times New Roman" w:hAnsi="Times New Roman" w:cs="Times New Roman"/>
        </w:rPr>
        <w:t xml:space="preserve"> </w:t>
      </w:r>
      <w:proofErr w:type="spellStart"/>
      <w:r w:rsidR="001E5472" w:rsidRPr="00705170">
        <w:rPr>
          <w:rFonts w:ascii="Times New Roman" w:hAnsi="Times New Roman" w:cs="Times New Roman"/>
        </w:rPr>
        <w:t>includes</w:t>
      </w:r>
      <w:proofErr w:type="spellEnd"/>
      <w:r w:rsidR="001E5472" w:rsidRPr="00705170">
        <w:rPr>
          <w:rFonts w:ascii="Times New Roman" w:hAnsi="Times New Roman" w:cs="Times New Roman"/>
        </w:rPr>
        <w:t xml:space="preserve"> </w:t>
      </w:r>
      <w:proofErr w:type="spellStart"/>
      <w:r w:rsidR="001E5472" w:rsidRPr="00705170">
        <w:rPr>
          <w:rFonts w:ascii="Times New Roman" w:hAnsi="Times New Roman" w:cs="Times New Roman"/>
        </w:rPr>
        <w:t>vague</w:t>
      </w:r>
      <w:proofErr w:type="spellEnd"/>
      <w:r w:rsidR="001E5472" w:rsidRPr="00705170">
        <w:rPr>
          <w:rFonts w:ascii="Times New Roman" w:hAnsi="Times New Roman" w:cs="Times New Roman"/>
        </w:rPr>
        <w:t xml:space="preserve"> </w:t>
      </w:r>
      <w:proofErr w:type="spellStart"/>
      <w:r w:rsidR="001E5472" w:rsidRPr="00705170">
        <w:rPr>
          <w:rFonts w:ascii="Times New Roman" w:hAnsi="Times New Roman" w:cs="Times New Roman"/>
        </w:rPr>
        <w:t>terms</w:t>
      </w:r>
      <w:proofErr w:type="spellEnd"/>
      <w:r w:rsidR="001E5472" w:rsidRPr="00705170">
        <w:rPr>
          <w:rFonts w:ascii="Times New Roman" w:hAnsi="Times New Roman" w:cs="Times New Roman"/>
        </w:rPr>
        <w:t xml:space="preserve"> </w:t>
      </w:r>
      <w:proofErr w:type="spellStart"/>
      <w:r w:rsidR="001E5472" w:rsidRPr="00705170">
        <w:rPr>
          <w:rFonts w:ascii="Times New Roman" w:hAnsi="Times New Roman" w:cs="Times New Roman"/>
        </w:rPr>
        <w:t>that</w:t>
      </w:r>
      <w:proofErr w:type="spellEnd"/>
      <w:r w:rsidR="001E5472" w:rsidRPr="00705170">
        <w:rPr>
          <w:rFonts w:ascii="Times New Roman" w:hAnsi="Times New Roman" w:cs="Times New Roman"/>
        </w:rPr>
        <w:t xml:space="preserve"> </w:t>
      </w:r>
      <w:proofErr w:type="spellStart"/>
      <w:r w:rsidR="001E5472" w:rsidRPr="00705170">
        <w:rPr>
          <w:rFonts w:ascii="Times New Roman" w:hAnsi="Times New Roman" w:cs="Times New Roman"/>
        </w:rPr>
        <w:t>would</w:t>
      </w:r>
      <w:proofErr w:type="spellEnd"/>
      <w:r w:rsidR="001E5472" w:rsidRPr="00705170">
        <w:rPr>
          <w:rFonts w:ascii="Times New Roman" w:hAnsi="Times New Roman" w:cs="Times New Roman"/>
        </w:rPr>
        <w:t xml:space="preserve"> </w:t>
      </w:r>
      <w:proofErr w:type="spellStart"/>
      <w:r w:rsidR="001E5472" w:rsidRPr="00705170">
        <w:rPr>
          <w:rFonts w:ascii="Times New Roman" w:hAnsi="Times New Roman" w:cs="Times New Roman"/>
        </w:rPr>
        <w:t>cause</w:t>
      </w:r>
      <w:proofErr w:type="spellEnd"/>
      <w:r w:rsidR="001E5472" w:rsidRPr="00705170">
        <w:rPr>
          <w:rFonts w:ascii="Times New Roman" w:hAnsi="Times New Roman" w:cs="Times New Roman"/>
        </w:rPr>
        <w:t xml:space="preserve"> </w:t>
      </w:r>
      <w:proofErr w:type="spellStart"/>
      <w:r w:rsidR="001E5472" w:rsidRPr="00705170">
        <w:rPr>
          <w:rFonts w:ascii="Times New Roman" w:hAnsi="Times New Roman" w:cs="Times New Roman"/>
        </w:rPr>
        <w:t>uncertainty</w:t>
      </w:r>
      <w:proofErr w:type="spellEnd"/>
      <w:r w:rsidR="001E5472" w:rsidRPr="00705170">
        <w:rPr>
          <w:rFonts w:ascii="Times New Roman" w:hAnsi="Times New Roman" w:cs="Times New Roman"/>
        </w:rPr>
        <w:t xml:space="preserve"> in legal </w:t>
      </w:r>
      <w:proofErr w:type="spellStart"/>
      <w:r w:rsidR="001E5472" w:rsidRPr="00705170">
        <w:rPr>
          <w:rFonts w:ascii="Times New Roman" w:hAnsi="Times New Roman" w:cs="Times New Roman"/>
        </w:rPr>
        <w:t>context</w:t>
      </w:r>
      <w:proofErr w:type="spellEnd"/>
      <w:r w:rsidR="001E5472" w:rsidRPr="00705170">
        <w:rPr>
          <w:rStyle w:val="DipnotBavurusu"/>
          <w:rFonts w:ascii="Times New Roman" w:hAnsi="Times New Roman" w:cs="Times New Roman"/>
        </w:rPr>
        <w:footnoteReference w:id="296"/>
      </w:r>
      <w:r w:rsidR="00D22CDF" w:rsidRPr="00705170">
        <w:rPr>
          <w:rFonts w:ascii="Times New Roman" w:hAnsi="Times New Roman" w:cs="Times New Roman"/>
        </w:rPr>
        <w:t xml:space="preserve">. </w:t>
      </w:r>
      <w:proofErr w:type="spellStart"/>
      <w:r w:rsidR="00D22CDF" w:rsidRPr="00705170">
        <w:rPr>
          <w:rFonts w:ascii="Times New Roman" w:hAnsi="Times New Roman" w:cs="Times New Roman"/>
        </w:rPr>
        <w:t>Comminque</w:t>
      </w:r>
      <w:proofErr w:type="spellEnd"/>
      <w:r w:rsidR="00D22CDF" w:rsidRPr="00705170">
        <w:rPr>
          <w:rFonts w:ascii="Times New Roman" w:hAnsi="Times New Roman" w:cs="Times New Roman"/>
        </w:rPr>
        <w:t xml:space="preserve"> </w:t>
      </w:r>
      <w:proofErr w:type="spellStart"/>
      <w:r w:rsidR="00FB5962" w:rsidRPr="00705170">
        <w:rPr>
          <w:rFonts w:ascii="Times New Roman" w:hAnsi="Times New Roman" w:cs="Times New Roman"/>
        </w:rPr>
        <w:t>states</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that</w:t>
      </w:r>
      <w:proofErr w:type="spellEnd"/>
      <w:r w:rsidR="00FB5962" w:rsidRPr="00705170">
        <w:rPr>
          <w:rFonts w:ascii="Times New Roman" w:hAnsi="Times New Roman" w:cs="Times New Roman"/>
        </w:rPr>
        <w:t xml:space="preserve"> a board of </w:t>
      </w:r>
      <w:proofErr w:type="spellStart"/>
      <w:r w:rsidR="00FB5962" w:rsidRPr="00705170">
        <w:rPr>
          <w:rFonts w:ascii="Times New Roman" w:hAnsi="Times New Roman" w:cs="Times New Roman"/>
        </w:rPr>
        <w:t>directors</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resolution</w:t>
      </w:r>
      <w:proofErr w:type="spellEnd"/>
      <w:r w:rsidR="007A306F" w:rsidRPr="00705170">
        <w:rPr>
          <w:rFonts w:ascii="Times New Roman" w:hAnsi="Times New Roman" w:cs="Times New Roman"/>
        </w:rPr>
        <w:t xml:space="preserve">, </w:t>
      </w:r>
      <w:proofErr w:type="spellStart"/>
      <w:r w:rsidR="007A306F" w:rsidRPr="00705170">
        <w:rPr>
          <w:rFonts w:ascii="Times New Roman" w:hAnsi="Times New Roman" w:cs="Times New Roman"/>
        </w:rPr>
        <w:t>and</w:t>
      </w:r>
      <w:proofErr w:type="spellEnd"/>
      <w:r w:rsidR="007A306F" w:rsidRPr="00705170">
        <w:rPr>
          <w:rFonts w:ascii="Times New Roman" w:hAnsi="Times New Roman" w:cs="Times New Roman"/>
        </w:rPr>
        <w:t xml:space="preserve"> an </w:t>
      </w:r>
      <w:proofErr w:type="spellStart"/>
      <w:r w:rsidR="007A306F" w:rsidRPr="00705170">
        <w:rPr>
          <w:rFonts w:ascii="Times New Roman" w:hAnsi="Times New Roman" w:cs="Times New Roman"/>
        </w:rPr>
        <w:t>appraisal</w:t>
      </w:r>
      <w:proofErr w:type="spellEnd"/>
      <w:r w:rsidR="007A306F" w:rsidRPr="00705170">
        <w:rPr>
          <w:rFonts w:ascii="Times New Roman" w:hAnsi="Times New Roman" w:cs="Times New Roman"/>
        </w:rPr>
        <w:t xml:space="preserve"> </w:t>
      </w:r>
      <w:proofErr w:type="spellStart"/>
      <w:r w:rsidR="007A306F" w:rsidRPr="00705170">
        <w:rPr>
          <w:rFonts w:ascii="Times New Roman" w:hAnsi="Times New Roman" w:cs="Times New Roman"/>
        </w:rPr>
        <w:t>report</w:t>
      </w:r>
      <w:proofErr w:type="spellEnd"/>
      <w:r w:rsidR="007A306F" w:rsidRPr="00705170">
        <w:rPr>
          <w:rFonts w:ascii="Times New Roman" w:hAnsi="Times New Roman" w:cs="Times New Roman"/>
        </w:rPr>
        <w:t xml:space="preserve"> on </w:t>
      </w:r>
      <w:proofErr w:type="spellStart"/>
      <w:r w:rsidR="007A306F" w:rsidRPr="00705170">
        <w:rPr>
          <w:rFonts w:ascii="Times New Roman" w:hAnsi="Times New Roman" w:cs="Times New Roman"/>
        </w:rPr>
        <w:t>the</w:t>
      </w:r>
      <w:proofErr w:type="spellEnd"/>
      <w:r w:rsidR="007A306F" w:rsidRPr="00705170">
        <w:rPr>
          <w:rFonts w:ascii="Times New Roman" w:hAnsi="Times New Roman" w:cs="Times New Roman"/>
        </w:rPr>
        <w:t xml:space="preserve"> </w:t>
      </w:r>
      <w:proofErr w:type="spellStart"/>
      <w:r w:rsidR="007A306F" w:rsidRPr="00705170">
        <w:rPr>
          <w:rFonts w:ascii="Times New Roman" w:hAnsi="Times New Roman" w:cs="Times New Roman"/>
        </w:rPr>
        <w:t>transaction</w:t>
      </w:r>
      <w:proofErr w:type="spellEnd"/>
      <w:r w:rsidR="007A306F" w:rsidRPr="00705170">
        <w:rPr>
          <w:rFonts w:ascii="Times New Roman" w:hAnsi="Times New Roman" w:cs="Times New Roman"/>
        </w:rPr>
        <w:t>,</w:t>
      </w:r>
      <w:r w:rsidR="00FB5962" w:rsidRPr="00705170">
        <w:rPr>
          <w:rFonts w:ascii="Times New Roman" w:hAnsi="Times New Roman" w:cs="Times New Roman"/>
        </w:rPr>
        <w:t xml:space="preserve"> is </w:t>
      </w:r>
      <w:proofErr w:type="spellStart"/>
      <w:r w:rsidR="00FB5962" w:rsidRPr="00705170">
        <w:rPr>
          <w:rFonts w:ascii="Times New Roman" w:hAnsi="Times New Roman" w:cs="Times New Roman"/>
        </w:rPr>
        <w:t>required</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for</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the</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following</w:t>
      </w:r>
      <w:proofErr w:type="spellEnd"/>
      <w:r w:rsidR="00FB5962" w:rsidRPr="00705170">
        <w:rPr>
          <w:rFonts w:ascii="Times New Roman" w:hAnsi="Times New Roman" w:cs="Times New Roman"/>
        </w:rPr>
        <w:t xml:space="preserve"> </w:t>
      </w:r>
      <w:proofErr w:type="spellStart"/>
      <w:r w:rsidR="00FB5962" w:rsidRPr="00705170">
        <w:rPr>
          <w:rFonts w:ascii="Times New Roman" w:hAnsi="Times New Roman" w:cs="Times New Roman"/>
        </w:rPr>
        <w:t>transactions</w:t>
      </w:r>
      <w:proofErr w:type="spellEnd"/>
      <w:r w:rsidR="00D22CDF" w:rsidRPr="00705170">
        <w:rPr>
          <w:rFonts w:ascii="Times New Roman" w:hAnsi="Times New Roman" w:cs="Times New Roman"/>
        </w:rPr>
        <w:t xml:space="preserve"> </w:t>
      </w:r>
      <w:proofErr w:type="spellStart"/>
      <w:r w:rsidR="00D22CDF" w:rsidRPr="00705170">
        <w:rPr>
          <w:rFonts w:ascii="Times New Roman" w:hAnsi="Times New Roman" w:cs="Times New Roman"/>
        </w:rPr>
        <w:t>between</w:t>
      </w:r>
      <w:proofErr w:type="spellEnd"/>
      <w:r w:rsidR="00D22CDF" w:rsidRPr="00705170">
        <w:rPr>
          <w:rFonts w:ascii="Times New Roman" w:hAnsi="Times New Roman" w:cs="Times New Roman"/>
        </w:rPr>
        <w:t xml:space="preserve"> </w:t>
      </w:r>
      <w:proofErr w:type="spellStart"/>
      <w:r w:rsidR="00D22CDF" w:rsidRPr="00705170">
        <w:rPr>
          <w:rFonts w:ascii="Times New Roman" w:hAnsi="Times New Roman" w:cs="Times New Roman"/>
        </w:rPr>
        <w:t>the</w:t>
      </w:r>
      <w:proofErr w:type="spellEnd"/>
      <w:r w:rsidR="00D22CDF" w:rsidRPr="00705170">
        <w:rPr>
          <w:rFonts w:ascii="Times New Roman" w:hAnsi="Times New Roman" w:cs="Times New Roman"/>
        </w:rPr>
        <w:t xml:space="preserve"> </w:t>
      </w:r>
      <w:proofErr w:type="spellStart"/>
      <w:r w:rsidR="00D22CDF" w:rsidRPr="00705170">
        <w:rPr>
          <w:rFonts w:ascii="Times New Roman" w:hAnsi="Times New Roman" w:cs="Times New Roman"/>
        </w:rPr>
        <w:t>corporation</w:t>
      </w:r>
      <w:proofErr w:type="spellEnd"/>
      <w:r w:rsidR="00D22CDF" w:rsidRPr="00705170">
        <w:rPr>
          <w:rFonts w:ascii="Times New Roman" w:hAnsi="Times New Roman" w:cs="Times New Roman"/>
        </w:rPr>
        <w:t xml:space="preserve"> </w:t>
      </w:r>
      <w:proofErr w:type="spellStart"/>
      <w:r w:rsidR="00D22CDF" w:rsidRPr="00705170">
        <w:rPr>
          <w:rFonts w:ascii="Times New Roman" w:hAnsi="Times New Roman" w:cs="Times New Roman"/>
        </w:rPr>
        <w:t>or</w:t>
      </w:r>
      <w:proofErr w:type="spellEnd"/>
      <w:r w:rsidR="00D22CDF" w:rsidRPr="00705170">
        <w:rPr>
          <w:rFonts w:ascii="Times New Roman" w:hAnsi="Times New Roman" w:cs="Times New Roman"/>
        </w:rPr>
        <w:t xml:space="preserve"> </w:t>
      </w:r>
      <w:proofErr w:type="spellStart"/>
      <w:r w:rsidR="00D22CDF" w:rsidRPr="00705170">
        <w:rPr>
          <w:rFonts w:ascii="Times New Roman" w:hAnsi="Times New Roman" w:cs="Times New Roman"/>
        </w:rPr>
        <w:t>its</w:t>
      </w:r>
      <w:proofErr w:type="spellEnd"/>
      <w:r w:rsidR="00D22CDF" w:rsidRPr="00705170">
        <w:rPr>
          <w:rFonts w:ascii="Times New Roman" w:hAnsi="Times New Roman" w:cs="Times New Roman"/>
        </w:rPr>
        <w:t xml:space="preserve"> </w:t>
      </w:r>
      <w:proofErr w:type="spellStart"/>
      <w:r w:rsidR="00D22CDF" w:rsidRPr="00705170">
        <w:rPr>
          <w:rFonts w:ascii="Times New Roman" w:hAnsi="Times New Roman" w:cs="Times New Roman"/>
        </w:rPr>
        <w:t>subsidiary</w:t>
      </w:r>
      <w:proofErr w:type="spellEnd"/>
      <w:r w:rsidR="00D22CDF" w:rsidRPr="00705170">
        <w:rPr>
          <w:rFonts w:ascii="Times New Roman" w:hAnsi="Times New Roman" w:cs="Times New Roman"/>
        </w:rPr>
        <w:t xml:space="preserve"> </w:t>
      </w:r>
      <w:proofErr w:type="spellStart"/>
      <w:r w:rsidR="00D22CDF" w:rsidRPr="00705170">
        <w:rPr>
          <w:rFonts w:ascii="Times New Roman" w:hAnsi="Times New Roman" w:cs="Times New Roman"/>
        </w:rPr>
        <w:t>and</w:t>
      </w:r>
      <w:proofErr w:type="spellEnd"/>
      <w:r w:rsidR="00D22CDF" w:rsidRPr="00705170">
        <w:rPr>
          <w:rFonts w:ascii="Times New Roman" w:hAnsi="Times New Roman" w:cs="Times New Roman"/>
        </w:rPr>
        <w:t xml:space="preserve"> </w:t>
      </w:r>
      <w:proofErr w:type="spellStart"/>
      <w:r w:rsidR="00D22CDF" w:rsidRPr="00705170">
        <w:rPr>
          <w:rFonts w:ascii="Times New Roman" w:hAnsi="Times New Roman" w:cs="Times New Roman"/>
        </w:rPr>
        <w:t>their</w:t>
      </w:r>
      <w:proofErr w:type="spellEnd"/>
      <w:r w:rsidR="00D22CDF" w:rsidRPr="00705170">
        <w:rPr>
          <w:rFonts w:ascii="Times New Roman" w:hAnsi="Times New Roman" w:cs="Times New Roman"/>
        </w:rPr>
        <w:t xml:space="preserve"> </w:t>
      </w:r>
      <w:proofErr w:type="spellStart"/>
      <w:r w:rsidR="00D22CDF" w:rsidRPr="00705170">
        <w:rPr>
          <w:rFonts w:ascii="Times New Roman" w:hAnsi="Times New Roman" w:cs="Times New Roman"/>
        </w:rPr>
        <w:t>related</w:t>
      </w:r>
      <w:proofErr w:type="spellEnd"/>
      <w:r w:rsidR="00D22CDF" w:rsidRPr="00705170">
        <w:rPr>
          <w:rFonts w:ascii="Times New Roman" w:hAnsi="Times New Roman" w:cs="Times New Roman"/>
        </w:rPr>
        <w:t xml:space="preserve"> </w:t>
      </w:r>
      <w:proofErr w:type="spellStart"/>
      <w:r w:rsidR="00D22CDF" w:rsidRPr="00705170">
        <w:rPr>
          <w:rFonts w:ascii="Times New Roman" w:hAnsi="Times New Roman" w:cs="Times New Roman"/>
        </w:rPr>
        <w:t>parties</w:t>
      </w:r>
      <w:proofErr w:type="spellEnd"/>
      <w:r w:rsidR="00EE78C5" w:rsidRPr="00705170">
        <w:rPr>
          <w:rFonts w:ascii="Times New Roman" w:hAnsi="Times New Roman" w:cs="Times New Roman"/>
        </w:rPr>
        <w:t xml:space="preserve">, </w:t>
      </w:r>
      <w:proofErr w:type="spellStart"/>
      <w:r w:rsidR="00EE78C5" w:rsidRPr="00705170">
        <w:rPr>
          <w:rFonts w:ascii="Times New Roman" w:hAnsi="Times New Roman" w:cs="Times New Roman"/>
        </w:rPr>
        <w:t>provided</w:t>
      </w:r>
      <w:proofErr w:type="spellEnd"/>
      <w:r w:rsidR="00EE78C5" w:rsidRPr="00705170">
        <w:rPr>
          <w:rFonts w:ascii="Times New Roman" w:hAnsi="Times New Roman" w:cs="Times New Roman"/>
        </w:rPr>
        <w:t xml:space="preserve"> </w:t>
      </w:r>
      <w:proofErr w:type="spellStart"/>
      <w:r w:rsidR="00EE78C5" w:rsidRPr="00705170">
        <w:rPr>
          <w:rFonts w:ascii="Times New Roman" w:hAnsi="Times New Roman" w:cs="Times New Roman"/>
        </w:rPr>
        <w:t>that</w:t>
      </w:r>
      <w:proofErr w:type="spellEnd"/>
      <w:r w:rsidR="00EE78C5" w:rsidRPr="00705170">
        <w:rPr>
          <w:rFonts w:ascii="Times New Roman" w:hAnsi="Times New Roman" w:cs="Times New Roman"/>
        </w:rPr>
        <w:t xml:space="preserve"> </w:t>
      </w:r>
      <w:r w:rsidR="0086339C" w:rsidRPr="00705170">
        <w:rPr>
          <w:rFonts w:ascii="Times New Roman" w:hAnsi="Times New Roman" w:cs="Times New Roman"/>
        </w:rPr>
        <w:t xml:space="preserve">it </w:t>
      </w:r>
      <w:proofErr w:type="spellStart"/>
      <w:r w:rsidR="0086339C" w:rsidRPr="00705170">
        <w:rPr>
          <w:rFonts w:ascii="Times New Roman" w:hAnsi="Times New Roman" w:cs="Times New Roman"/>
        </w:rPr>
        <w:t>meets</w:t>
      </w:r>
      <w:proofErr w:type="spellEnd"/>
      <w:r w:rsidR="00EE78C5" w:rsidRPr="00705170">
        <w:rPr>
          <w:rFonts w:ascii="Times New Roman" w:hAnsi="Times New Roman" w:cs="Times New Roman"/>
        </w:rPr>
        <w:t xml:space="preserve"> </w:t>
      </w:r>
      <w:proofErr w:type="spellStart"/>
      <w:r w:rsidR="00EE78C5" w:rsidRPr="00705170">
        <w:rPr>
          <w:rFonts w:ascii="Times New Roman" w:hAnsi="Times New Roman" w:cs="Times New Roman"/>
        </w:rPr>
        <w:t>the</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initial</w:t>
      </w:r>
      <w:proofErr w:type="spellEnd"/>
      <w:r w:rsidR="00EE78C5" w:rsidRPr="00705170">
        <w:rPr>
          <w:rFonts w:ascii="Times New Roman" w:hAnsi="Times New Roman" w:cs="Times New Roman"/>
        </w:rPr>
        <w:t xml:space="preserve"> </w:t>
      </w:r>
      <w:proofErr w:type="spellStart"/>
      <w:r w:rsidR="00147A05" w:rsidRPr="00705170">
        <w:rPr>
          <w:rFonts w:ascii="Times New Roman" w:hAnsi="Times New Roman" w:cs="Times New Roman"/>
        </w:rPr>
        <w:t>monetary</w:t>
      </w:r>
      <w:proofErr w:type="spellEnd"/>
      <w:r w:rsidR="00147A05" w:rsidRPr="00705170">
        <w:rPr>
          <w:rFonts w:ascii="Times New Roman" w:hAnsi="Times New Roman" w:cs="Times New Roman"/>
        </w:rPr>
        <w:t xml:space="preserve"> </w:t>
      </w:r>
      <w:proofErr w:type="spellStart"/>
      <w:r w:rsidR="00EE78C5" w:rsidRPr="00705170">
        <w:rPr>
          <w:rFonts w:ascii="Times New Roman" w:hAnsi="Times New Roman" w:cs="Times New Roman"/>
        </w:rPr>
        <w:t>thresholds</w:t>
      </w:r>
      <w:proofErr w:type="spellEnd"/>
      <w:r w:rsidR="00EE78C5" w:rsidRPr="00705170">
        <w:rPr>
          <w:rFonts w:ascii="Times New Roman" w:hAnsi="Times New Roman" w:cs="Times New Roman"/>
        </w:rPr>
        <w:t xml:space="preserve"> </w:t>
      </w:r>
      <w:proofErr w:type="spellStart"/>
      <w:r w:rsidR="00EE78C5" w:rsidRPr="00705170">
        <w:rPr>
          <w:rFonts w:ascii="Times New Roman" w:hAnsi="Times New Roman" w:cs="Times New Roman"/>
        </w:rPr>
        <w:t>determined</w:t>
      </w:r>
      <w:proofErr w:type="spellEnd"/>
      <w:r w:rsidR="00EE78C5" w:rsidRPr="00705170">
        <w:rPr>
          <w:rFonts w:ascii="Times New Roman" w:hAnsi="Times New Roman" w:cs="Times New Roman"/>
        </w:rPr>
        <w:t xml:space="preserve"> </w:t>
      </w:r>
      <w:proofErr w:type="spellStart"/>
      <w:r w:rsidR="00EE78C5" w:rsidRPr="00705170">
        <w:rPr>
          <w:rFonts w:ascii="Times New Roman" w:hAnsi="Times New Roman" w:cs="Times New Roman"/>
        </w:rPr>
        <w:t>by</w:t>
      </w:r>
      <w:proofErr w:type="spellEnd"/>
      <w:r w:rsidR="00EE78C5" w:rsidRPr="00705170">
        <w:rPr>
          <w:rFonts w:ascii="Times New Roman" w:hAnsi="Times New Roman" w:cs="Times New Roman"/>
        </w:rPr>
        <w:t xml:space="preserve"> </w:t>
      </w:r>
      <w:proofErr w:type="spellStart"/>
      <w:r w:rsidR="00EE78C5" w:rsidRPr="00705170">
        <w:rPr>
          <w:rFonts w:ascii="Times New Roman" w:hAnsi="Times New Roman" w:cs="Times New Roman"/>
        </w:rPr>
        <w:t>the</w:t>
      </w:r>
      <w:proofErr w:type="spellEnd"/>
      <w:r w:rsidR="00EE78C5" w:rsidRPr="00705170">
        <w:rPr>
          <w:rFonts w:ascii="Times New Roman" w:hAnsi="Times New Roman" w:cs="Times New Roman"/>
        </w:rPr>
        <w:t xml:space="preserve"> </w:t>
      </w:r>
      <w:proofErr w:type="spellStart"/>
      <w:r w:rsidR="00EE78C5" w:rsidRPr="00705170">
        <w:rPr>
          <w:rFonts w:ascii="Times New Roman" w:hAnsi="Times New Roman" w:cs="Times New Roman"/>
        </w:rPr>
        <w:t>Comminique</w:t>
      </w:r>
      <w:proofErr w:type="spellEnd"/>
      <w:r w:rsidR="00FB5962" w:rsidRPr="00705170">
        <w:rPr>
          <w:rFonts w:ascii="Times New Roman" w:hAnsi="Times New Roman" w:cs="Times New Roman"/>
        </w:rPr>
        <w:t xml:space="preserve">: </w:t>
      </w:r>
      <w:r w:rsidR="00D22CDF" w:rsidRPr="00705170">
        <w:rPr>
          <w:rFonts w:ascii="Times New Roman" w:hAnsi="Times New Roman" w:cs="Times New Roman"/>
        </w:rPr>
        <w:t xml:space="preserve">(1) </w:t>
      </w:r>
      <w:proofErr w:type="spellStart"/>
      <w:r w:rsidR="00B72A77" w:rsidRPr="00705170">
        <w:rPr>
          <w:rFonts w:ascii="Times New Roman" w:hAnsi="Times New Roman" w:cs="Times New Roman"/>
        </w:rPr>
        <w:t>transactions</w:t>
      </w:r>
      <w:proofErr w:type="spellEnd"/>
      <w:r w:rsidR="00B72A77" w:rsidRPr="00705170">
        <w:rPr>
          <w:rFonts w:ascii="Times New Roman" w:hAnsi="Times New Roman" w:cs="Times New Roman"/>
        </w:rPr>
        <w:t xml:space="preserve"> </w:t>
      </w:r>
      <w:proofErr w:type="spellStart"/>
      <w:r w:rsidR="00B72A77" w:rsidRPr="00705170">
        <w:rPr>
          <w:rFonts w:ascii="Times New Roman" w:hAnsi="Times New Roman" w:cs="Times New Roman"/>
        </w:rPr>
        <w:t>such</w:t>
      </w:r>
      <w:proofErr w:type="spellEnd"/>
      <w:r w:rsidR="00B72A77" w:rsidRPr="00705170">
        <w:rPr>
          <w:rFonts w:ascii="Times New Roman" w:hAnsi="Times New Roman" w:cs="Times New Roman"/>
        </w:rPr>
        <w:t xml:space="preserve"> as </w:t>
      </w:r>
      <w:proofErr w:type="spellStart"/>
      <w:r w:rsidR="00B72A77" w:rsidRPr="00705170">
        <w:rPr>
          <w:rFonts w:ascii="Times New Roman" w:hAnsi="Times New Roman" w:cs="Times New Roman"/>
        </w:rPr>
        <w:t>asset</w:t>
      </w:r>
      <w:proofErr w:type="spellEnd"/>
      <w:r w:rsidR="00B72A77" w:rsidRPr="00705170">
        <w:rPr>
          <w:rFonts w:ascii="Times New Roman" w:hAnsi="Times New Roman" w:cs="Times New Roman"/>
        </w:rPr>
        <w:t xml:space="preserve"> </w:t>
      </w:r>
      <w:proofErr w:type="spellStart"/>
      <w:r w:rsidR="00B72A77" w:rsidRPr="00705170">
        <w:rPr>
          <w:rFonts w:ascii="Times New Roman" w:hAnsi="Times New Roman" w:cs="Times New Roman"/>
        </w:rPr>
        <w:t>and</w:t>
      </w:r>
      <w:proofErr w:type="spellEnd"/>
      <w:r w:rsidR="00B72A77" w:rsidRPr="00705170">
        <w:rPr>
          <w:rFonts w:ascii="Times New Roman" w:hAnsi="Times New Roman" w:cs="Times New Roman"/>
        </w:rPr>
        <w:t xml:space="preserve"> service </w:t>
      </w:r>
      <w:proofErr w:type="spellStart"/>
      <w:r w:rsidR="00B72A77" w:rsidRPr="00705170">
        <w:rPr>
          <w:rFonts w:ascii="Times New Roman" w:hAnsi="Times New Roman" w:cs="Times New Roman"/>
        </w:rPr>
        <w:t>purchase</w:t>
      </w:r>
      <w:proofErr w:type="spellEnd"/>
      <w:r w:rsidR="00B72A77" w:rsidRPr="00705170">
        <w:rPr>
          <w:rFonts w:ascii="Times New Roman" w:hAnsi="Times New Roman" w:cs="Times New Roman"/>
        </w:rPr>
        <w:t xml:space="preserve">, </w:t>
      </w:r>
      <w:proofErr w:type="spellStart"/>
      <w:r w:rsidR="00B72A77" w:rsidRPr="00705170">
        <w:rPr>
          <w:rFonts w:ascii="Times New Roman" w:hAnsi="Times New Roman" w:cs="Times New Roman"/>
        </w:rPr>
        <w:t>and</w:t>
      </w:r>
      <w:proofErr w:type="spellEnd"/>
      <w:r w:rsidR="00B72A77" w:rsidRPr="00705170">
        <w:rPr>
          <w:rFonts w:ascii="Times New Roman" w:hAnsi="Times New Roman" w:cs="Times New Roman"/>
        </w:rPr>
        <w:t xml:space="preserve"> </w:t>
      </w:r>
      <w:proofErr w:type="spellStart"/>
      <w:r w:rsidR="00B72A77" w:rsidRPr="00705170">
        <w:rPr>
          <w:rFonts w:ascii="Times New Roman" w:hAnsi="Times New Roman" w:cs="Times New Roman"/>
        </w:rPr>
        <w:t>obligation</w:t>
      </w:r>
      <w:proofErr w:type="spellEnd"/>
      <w:r w:rsidR="00B72A77" w:rsidRPr="00705170">
        <w:rPr>
          <w:rFonts w:ascii="Times New Roman" w:hAnsi="Times New Roman" w:cs="Times New Roman"/>
        </w:rPr>
        <w:t xml:space="preserve"> </w:t>
      </w:r>
      <w:proofErr w:type="spellStart"/>
      <w:r w:rsidR="00B72A77" w:rsidRPr="00705170">
        <w:rPr>
          <w:rFonts w:ascii="Times New Roman" w:hAnsi="Times New Roman" w:cs="Times New Roman"/>
        </w:rPr>
        <w:t>transfers</w:t>
      </w:r>
      <w:proofErr w:type="spellEnd"/>
      <w:r w:rsidR="00B72A77" w:rsidRPr="00705170">
        <w:rPr>
          <w:rFonts w:ascii="Times New Roman" w:hAnsi="Times New Roman" w:cs="Times New Roman"/>
        </w:rPr>
        <w:t>, (2)</w:t>
      </w:r>
      <w:r w:rsidR="007A306F" w:rsidRPr="00705170">
        <w:rPr>
          <w:rFonts w:ascii="Times New Roman" w:hAnsi="Times New Roman" w:cs="Times New Roman"/>
        </w:rPr>
        <w:t xml:space="preserve"> </w:t>
      </w:r>
      <w:proofErr w:type="spellStart"/>
      <w:r w:rsidR="007A306F" w:rsidRPr="00705170">
        <w:rPr>
          <w:rFonts w:ascii="Times New Roman" w:hAnsi="Times New Roman" w:cs="Times New Roman"/>
        </w:rPr>
        <w:t>transactions</w:t>
      </w:r>
      <w:proofErr w:type="spellEnd"/>
      <w:r w:rsidR="007A306F" w:rsidRPr="00705170">
        <w:rPr>
          <w:rFonts w:ascii="Times New Roman" w:hAnsi="Times New Roman" w:cs="Times New Roman"/>
        </w:rPr>
        <w:t xml:space="preserve"> </w:t>
      </w:r>
      <w:proofErr w:type="spellStart"/>
      <w:r w:rsidR="007A306F" w:rsidRPr="00705170">
        <w:rPr>
          <w:rFonts w:ascii="Times New Roman" w:hAnsi="Times New Roman" w:cs="Times New Roman"/>
        </w:rPr>
        <w:t>such</w:t>
      </w:r>
      <w:proofErr w:type="spellEnd"/>
      <w:r w:rsidR="007A306F" w:rsidRPr="00705170">
        <w:rPr>
          <w:rFonts w:ascii="Times New Roman" w:hAnsi="Times New Roman" w:cs="Times New Roman"/>
        </w:rPr>
        <w:t xml:space="preserve"> as </w:t>
      </w:r>
      <w:proofErr w:type="spellStart"/>
      <w:r w:rsidR="007A306F" w:rsidRPr="00705170">
        <w:rPr>
          <w:rFonts w:ascii="Times New Roman" w:hAnsi="Times New Roman" w:cs="Times New Roman"/>
        </w:rPr>
        <w:t>asset</w:t>
      </w:r>
      <w:proofErr w:type="spellEnd"/>
      <w:r w:rsidR="007A306F" w:rsidRPr="00705170">
        <w:rPr>
          <w:rFonts w:ascii="Times New Roman" w:hAnsi="Times New Roman" w:cs="Times New Roman"/>
        </w:rPr>
        <w:t xml:space="preserve"> </w:t>
      </w:r>
      <w:proofErr w:type="spellStart"/>
      <w:r w:rsidR="007A306F" w:rsidRPr="00705170">
        <w:rPr>
          <w:rFonts w:ascii="Times New Roman" w:hAnsi="Times New Roman" w:cs="Times New Roman"/>
        </w:rPr>
        <w:t>and</w:t>
      </w:r>
      <w:proofErr w:type="spellEnd"/>
      <w:r w:rsidR="007A306F" w:rsidRPr="00705170">
        <w:rPr>
          <w:rFonts w:ascii="Times New Roman" w:hAnsi="Times New Roman" w:cs="Times New Roman"/>
        </w:rPr>
        <w:t xml:space="preserve"> service </w:t>
      </w:r>
      <w:proofErr w:type="spellStart"/>
      <w:r w:rsidR="007A306F" w:rsidRPr="00705170">
        <w:rPr>
          <w:rFonts w:ascii="Times New Roman" w:hAnsi="Times New Roman" w:cs="Times New Roman"/>
        </w:rPr>
        <w:t>sale</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Article</w:t>
      </w:r>
      <w:proofErr w:type="spellEnd"/>
      <w:r w:rsidR="0086339C" w:rsidRPr="00705170">
        <w:rPr>
          <w:rFonts w:ascii="Times New Roman" w:hAnsi="Times New Roman" w:cs="Times New Roman"/>
        </w:rPr>
        <w:t xml:space="preserve"> 9(2))</w:t>
      </w:r>
      <w:r w:rsidR="007A306F" w:rsidRPr="00705170">
        <w:rPr>
          <w:rFonts w:ascii="Times New Roman" w:hAnsi="Times New Roman" w:cs="Times New Roman"/>
        </w:rPr>
        <w:t>.</w:t>
      </w:r>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If</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these</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transactions</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meet</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the</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second</w:t>
      </w:r>
      <w:proofErr w:type="spellEnd"/>
      <w:r w:rsidR="0086339C" w:rsidRPr="00705170">
        <w:rPr>
          <w:rFonts w:ascii="Times New Roman" w:hAnsi="Times New Roman" w:cs="Times New Roman"/>
        </w:rPr>
        <w:t xml:space="preserve"> </w:t>
      </w:r>
      <w:proofErr w:type="spellStart"/>
      <w:r w:rsidR="00147A05" w:rsidRPr="00705170">
        <w:rPr>
          <w:rFonts w:ascii="Times New Roman" w:hAnsi="Times New Roman" w:cs="Times New Roman"/>
        </w:rPr>
        <w:t>monetary</w:t>
      </w:r>
      <w:proofErr w:type="spellEnd"/>
      <w:r w:rsidR="00147A05" w:rsidRPr="00705170">
        <w:rPr>
          <w:rFonts w:ascii="Times New Roman" w:hAnsi="Times New Roman" w:cs="Times New Roman"/>
        </w:rPr>
        <w:t xml:space="preserve"> </w:t>
      </w:r>
      <w:proofErr w:type="spellStart"/>
      <w:r w:rsidR="0086339C" w:rsidRPr="00705170">
        <w:rPr>
          <w:rFonts w:ascii="Times New Roman" w:hAnsi="Times New Roman" w:cs="Times New Roman"/>
        </w:rPr>
        <w:t>threshold</w:t>
      </w:r>
      <w:proofErr w:type="spellEnd"/>
      <w:r w:rsidR="0086339C" w:rsidRPr="00705170">
        <w:rPr>
          <w:rFonts w:ascii="Times New Roman" w:hAnsi="Times New Roman" w:cs="Times New Roman"/>
        </w:rPr>
        <w:t xml:space="preserve"> set </w:t>
      </w:r>
      <w:proofErr w:type="spellStart"/>
      <w:r w:rsidR="0086339C" w:rsidRPr="00705170">
        <w:rPr>
          <w:rFonts w:ascii="Times New Roman" w:hAnsi="Times New Roman" w:cs="Times New Roman"/>
        </w:rPr>
        <w:t>by</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the</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Comminique</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the</w:t>
      </w:r>
      <w:proofErr w:type="spellEnd"/>
      <w:r w:rsidR="0086339C" w:rsidRPr="00705170">
        <w:rPr>
          <w:rFonts w:ascii="Times New Roman" w:hAnsi="Times New Roman" w:cs="Times New Roman"/>
        </w:rPr>
        <w:t xml:space="preserve"> board of </w:t>
      </w:r>
      <w:proofErr w:type="spellStart"/>
      <w:r w:rsidR="0086339C" w:rsidRPr="00705170">
        <w:rPr>
          <w:rFonts w:ascii="Times New Roman" w:hAnsi="Times New Roman" w:cs="Times New Roman"/>
        </w:rPr>
        <w:t>directors</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resolution</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should</w:t>
      </w:r>
      <w:proofErr w:type="spellEnd"/>
      <w:r w:rsidR="0086339C" w:rsidRPr="00705170">
        <w:rPr>
          <w:rFonts w:ascii="Times New Roman" w:hAnsi="Times New Roman" w:cs="Times New Roman"/>
        </w:rPr>
        <w:t xml:space="preserve"> be </w:t>
      </w:r>
      <w:proofErr w:type="spellStart"/>
      <w:r w:rsidR="0086339C" w:rsidRPr="00705170">
        <w:rPr>
          <w:rFonts w:ascii="Times New Roman" w:hAnsi="Times New Roman" w:cs="Times New Roman"/>
        </w:rPr>
        <w:t>approved</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by</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the</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majority</w:t>
      </w:r>
      <w:proofErr w:type="spellEnd"/>
      <w:r w:rsidR="0086339C" w:rsidRPr="00705170">
        <w:rPr>
          <w:rFonts w:ascii="Times New Roman" w:hAnsi="Times New Roman" w:cs="Times New Roman"/>
        </w:rPr>
        <w:t xml:space="preserve"> of </w:t>
      </w:r>
      <w:proofErr w:type="spellStart"/>
      <w:r w:rsidR="0086339C" w:rsidRPr="00705170">
        <w:rPr>
          <w:rFonts w:ascii="Times New Roman" w:hAnsi="Times New Roman" w:cs="Times New Roman"/>
        </w:rPr>
        <w:t>the</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disinterested</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directors</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If</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the</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majority</w:t>
      </w:r>
      <w:proofErr w:type="spellEnd"/>
      <w:r w:rsidR="0086339C" w:rsidRPr="00705170">
        <w:rPr>
          <w:rFonts w:ascii="Times New Roman" w:hAnsi="Times New Roman" w:cs="Times New Roman"/>
        </w:rPr>
        <w:t xml:space="preserve"> of </w:t>
      </w:r>
      <w:proofErr w:type="spellStart"/>
      <w:r w:rsidR="0086339C" w:rsidRPr="00705170">
        <w:rPr>
          <w:rFonts w:ascii="Times New Roman" w:hAnsi="Times New Roman" w:cs="Times New Roman"/>
        </w:rPr>
        <w:t>the</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disinterested</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directors</w:t>
      </w:r>
      <w:proofErr w:type="spellEnd"/>
      <w:r w:rsidR="0086339C" w:rsidRPr="00705170">
        <w:rPr>
          <w:rFonts w:ascii="Times New Roman" w:hAnsi="Times New Roman" w:cs="Times New Roman"/>
        </w:rPr>
        <w:t xml:space="preserve"> do not </w:t>
      </w:r>
      <w:proofErr w:type="spellStart"/>
      <w:r w:rsidR="0086339C" w:rsidRPr="00705170">
        <w:rPr>
          <w:rFonts w:ascii="Times New Roman" w:hAnsi="Times New Roman" w:cs="Times New Roman"/>
        </w:rPr>
        <w:t>approve</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the</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transaction</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then</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the</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transaction</w:t>
      </w:r>
      <w:proofErr w:type="spellEnd"/>
      <w:r w:rsidR="0086339C" w:rsidRPr="00705170">
        <w:rPr>
          <w:rFonts w:ascii="Times New Roman" w:hAnsi="Times New Roman" w:cs="Times New Roman"/>
        </w:rPr>
        <w:t xml:space="preserve"> plan is </w:t>
      </w:r>
      <w:proofErr w:type="spellStart"/>
      <w:r w:rsidR="0086339C" w:rsidRPr="00705170">
        <w:rPr>
          <w:rFonts w:ascii="Times New Roman" w:hAnsi="Times New Roman" w:cs="Times New Roman"/>
        </w:rPr>
        <w:t>submitted</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to</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the</w:t>
      </w:r>
      <w:proofErr w:type="spellEnd"/>
      <w:r w:rsidR="0086339C" w:rsidRPr="00705170">
        <w:rPr>
          <w:rFonts w:ascii="Times New Roman" w:hAnsi="Times New Roman" w:cs="Times New Roman"/>
        </w:rPr>
        <w:t xml:space="preserve"> general </w:t>
      </w:r>
      <w:proofErr w:type="spellStart"/>
      <w:r w:rsidR="0086339C" w:rsidRPr="00705170">
        <w:rPr>
          <w:rFonts w:ascii="Times New Roman" w:hAnsi="Times New Roman" w:cs="Times New Roman"/>
        </w:rPr>
        <w:t>assembly</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for</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shareholder</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approval</w:t>
      </w:r>
      <w:proofErr w:type="spellEnd"/>
      <w:r w:rsidR="0086339C" w:rsidRPr="00705170">
        <w:rPr>
          <w:rFonts w:ascii="Times New Roman" w:hAnsi="Times New Roman" w:cs="Times New Roman"/>
        </w:rPr>
        <w:t xml:space="preserve"> (</w:t>
      </w:r>
      <w:proofErr w:type="spellStart"/>
      <w:r w:rsidR="0086339C" w:rsidRPr="00705170">
        <w:rPr>
          <w:rFonts w:ascii="Times New Roman" w:hAnsi="Times New Roman" w:cs="Times New Roman"/>
        </w:rPr>
        <w:t>Article</w:t>
      </w:r>
      <w:proofErr w:type="spellEnd"/>
      <w:r w:rsidR="0086339C" w:rsidRPr="00705170">
        <w:rPr>
          <w:rFonts w:ascii="Times New Roman" w:hAnsi="Times New Roman" w:cs="Times New Roman"/>
        </w:rPr>
        <w:t xml:space="preserve"> 9(3)).</w:t>
      </w:r>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In</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addition</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to</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these</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principles</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Article</w:t>
      </w:r>
      <w:proofErr w:type="spellEnd"/>
      <w:r w:rsidR="00AC0A9C" w:rsidRPr="00705170">
        <w:rPr>
          <w:rFonts w:ascii="Times New Roman" w:hAnsi="Times New Roman" w:cs="Times New Roman"/>
        </w:rPr>
        <w:t xml:space="preserve"> 10 of </w:t>
      </w:r>
      <w:proofErr w:type="spellStart"/>
      <w:r w:rsidR="00AC0A9C" w:rsidRPr="00705170">
        <w:rPr>
          <w:rFonts w:ascii="Times New Roman" w:hAnsi="Times New Roman" w:cs="Times New Roman"/>
        </w:rPr>
        <w:t>the</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Corporate</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lastRenderedPageBreak/>
        <w:t>Governance</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Commique</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provides</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that</w:t>
      </w:r>
      <w:proofErr w:type="spellEnd"/>
      <w:r w:rsidR="007971B2" w:rsidRPr="00705170">
        <w:rPr>
          <w:rFonts w:ascii="Times New Roman" w:hAnsi="Times New Roman" w:cs="Times New Roman"/>
        </w:rPr>
        <w:t xml:space="preserve"> a board of </w:t>
      </w:r>
      <w:proofErr w:type="spellStart"/>
      <w:r w:rsidR="007971B2" w:rsidRPr="00705170">
        <w:rPr>
          <w:rFonts w:ascii="Times New Roman" w:hAnsi="Times New Roman" w:cs="Times New Roman"/>
        </w:rPr>
        <w:t>directors</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resolution</w:t>
      </w:r>
      <w:proofErr w:type="spellEnd"/>
      <w:r w:rsidR="007971B2" w:rsidRPr="00705170">
        <w:rPr>
          <w:rFonts w:ascii="Times New Roman" w:hAnsi="Times New Roman" w:cs="Times New Roman"/>
        </w:rPr>
        <w:t xml:space="preserve"> is </w:t>
      </w:r>
      <w:proofErr w:type="spellStart"/>
      <w:r w:rsidR="007971B2" w:rsidRPr="00705170">
        <w:rPr>
          <w:rFonts w:ascii="Times New Roman" w:hAnsi="Times New Roman" w:cs="Times New Roman"/>
        </w:rPr>
        <w:t>needed</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for</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common</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and</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continuous</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transactions</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which</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are</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defined</w:t>
      </w:r>
      <w:proofErr w:type="spellEnd"/>
      <w:r w:rsidR="00AC0A9C" w:rsidRPr="00705170">
        <w:rPr>
          <w:rFonts w:ascii="Times New Roman" w:hAnsi="Times New Roman" w:cs="Times New Roman"/>
        </w:rPr>
        <w:t xml:space="preserve"> as “</w:t>
      </w:r>
      <w:proofErr w:type="spellStart"/>
      <w:r w:rsidR="00AC0A9C" w:rsidRPr="00705170">
        <w:rPr>
          <w:rFonts w:ascii="Times New Roman" w:hAnsi="Times New Roman" w:cs="Times New Roman"/>
        </w:rPr>
        <w:t>transactions</w:t>
      </w:r>
      <w:proofErr w:type="spellEnd"/>
      <w:r w:rsidR="003646F2" w:rsidRPr="00705170">
        <w:rPr>
          <w:rFonts w:ascii="Times New Roman" w:hAnsi="Times New Roman" w:cs="Times New Roman"/>
        </w:rPr>
        <w:t xml:space="preserve">, </w:t>
      </w:r>
      <w:proofErr w:type="spellStart"/>
      <w:r w:rsidR="003646F2" w:rsidRPr="00705170">
        <w:rPr>
          <w:rFonts w:ascii="Times New Roman" w:hAnsi="Times New Roman" w:cs="Times New Roman"/>
        </w:rPr>
        <w:t>whether</w:t>
      </w:r>
      <w:proofErr w:type="spellEnd"/>
      <w:r w:rsidR="003646F2" w:rsidRPr="00705170">
        <w:rPr>
          <w:rFonts w:ascii="Times New Roman" w:hAnsi="Times New Roman" w:cs="Times New Roman"/>
        </w:rPr>
        <w:t xml:space="preserve"> as a </w:t>
      </w:r>
      <w:proofErr w:type="spellStart"/>
      <w:r w:rsidR="003646F2" w:rsidRPr="00705170">
        <w:rPr>
          <w:rFonts w:ascii="Times New Roman" w:hAnsi="Times New Roman" w:cs="Times New Roman"/>
        </w:rPr>
        <w:t>part</w:t>
      </w:r>
      <w:proofErr w:type="spellEnd"/>
      <w:r w:rsidR="003646F2" w:rsidRPr="00705170">
        <w:rPr>
          <w:rFonts w:ascii="Times New Roman" w:hAnsi="Times New Roman" w:cs="Times New Roman"/>
        </w:rPr>
        <w:t xml:space="preserve"> of </w:t>
      </w:r>
      <w:proofErr w:type="spellStart"/>
      <w:r w:rsidR="003646F2" w:rsidRPr="00705170">
        <w:rPr>
          <w:rFonts w:ascii="Times New Roman" w:hAnsi="Times New Roman" w:cs="Times New Roman"/>
        </w:rPr>
        <w:t>the</w:t>
      </w:r>
      <w:proofErr w:type="spellEnd"/>
      <w:r w:rsidR="003646F2" w:rsidRPr="00705170">
        <w:rPr>
          <w:rFonts w:ascii="Times New Roman" w:hAnsi="Times New Roman" w:cs="Times New Roman"/>
        </w:rPr>
        <w:t xml:space="preserve"> </w:t>
      </w:r>
      <w:proofErr w:type="spellStart"/>
      <w:r w:rsidR="003646F2" w:rsidRPr="00705170">
        <w:rPr>
          <w:rFonts w:ascii="Times New Roman" w:hAnsi="Times New Roman" w:cs="Times New Roman"/>
        </w:rPr>
        <w:t>corporation’s</w:t>
      </w:r>
      <w:proofErr w:type="spellEnd"/>
      <w:r w:rsidR="003646F2" w:rsidRPr="00705170">
        <w:rPr>
          <w:rFonts w:ascii="Times New Roman" w:hAnsi="Times New Roman" w:cs="Times New Roman"/>
        </w:rPr>
        <w:t xml:space="preserve"> </w:t>
      </w:r>
      <w:proofErr w:type="spellStart"/>
      <w:r w:rsidR="003646F2" w:rsidRPr="00705170">
        <w:rPr>
          <w:rFonts w:ascii="Times New Roman" w:hAnsi="Times New Roman" w:cs="Times New Roman"/>
        </w:rPr>
        <w:t>ordinary</w:t>
      </w:r>
      <w:proofErr w:type="spellEnd"/>
      <w:r w:rsidR="005C106B" w:rsidRPr="00705170">
        <w:rPr>
          <w:rFonts w:ascii="Times New Roman" w:hAnsi="Times New Roman" w:cs="Times New Roman"/>
        </w:rPr>
        <w:t xml:space="preserve"> </w:t>
      </w:r>
      <w:proofErr w:type="spellStart"/>
      <w:r w:rsidR="005C106B" w:rsidRPr="00705170">
        <w:rPr>
          <w:rFonts w:ascii="Times New Roman" w:hAnsi="Times New Roman" w:cs="Times New Roman"/>
        </w:rPr>
        <w:t>commercial</w:t>
      </w:r>
      <w:proofErr w:type="spellEnd"/>
      <w:r w:rsidR="005C106B" w:rsidRPr="00705170">
        <w:rPr>
          <w:rFonts w:ascii="Times New Roman" w:hAnsi="Times New Roman" w:cs="Times New Roman"/>
        </w:rPr>
        <w:t xml:space="preserve"> </w:t>
      </w:r>
      <w:proofErr w:type="spellStart"/>
      <w:r w:rsidR="005C106B" w:rsidRPr="00705170">
        <w:rPr>
          <w:rFonts w:ascii="Times New Roman" w:hAnsi="Times New Roman" w:cs="Times New Roman"/>
        </w:rPr>
        <w:t>operations</w:t>
      </w:r>
      <w:proofErr w:type="spellEnd"/>
      <w:r w:rsidR="003646F2" w:rsidRPr="00705170">
        <w:rPr>
          <w:rFonts w:ascii="Times New Roman" w:hAnsi="Times New Roman" w:cs="Times New Roman"/>
        </w:rPr>
        <w:t xml:space="preserve"> </w:t>
      </w:r>
      <w:proofErr w:type="spellStart"/>
      <w:r w:rsidR="005C106B" w:rsidRPr="00705170">
        <w:rPr>
          <w:rFonts w:ascii="Times New Roman" w:hAnsi="Times New Roman" w:cs="Times New Roman"/>
        </w:rPr>
        <w:t>or</w:t>
      </w:r>
      <w:proofErr w:type="spellEnd"/>
      <w:r w:rsidR="005C106B" w:rsidRPr="00705170">
        <w:rPr>
          <w:rFonts w:ascii="Times New Roman" w:hAnsi="Times New Roman" w:cs="Times New Roman"/>
        </w:rPr>
        <w:t xml:space="preserve"> not </w:t>
      </w:r>
      <w:proofErr w:type="spellStart"/>
      <w:r w:rsidR="005C106B" w:rsidRPr="00705170">
        <w:rPr>
          <w:rFonts w:ascii="Times New Roman" w:hAnsi="Times New Roman" w:cs="Times New Roman"/>
        </w:rPr>
        <w:t>commercial</w:t>
      </w:r>
      <w:proofErr w:type="spellEnd"/>
      <w:r w:rsidR="005C106B" w:rsidRPr="00705170">
        <w:rPr>
          <w:rFonts w:ascii="Times New Roman" w:hAnsi="Times New Roman" w:cs="Times New Roman"/>
        </w:rPr>
        <w:t xml:space="preserve">, </w:t>
      </w:r>
      <w:proofErr w:type="spellStart"/>
      <w:r w:rsidR="00AC0A9C" w:rsidRPr="00705170">
        <w:rPr>
          <w:rFonts w:ascii="Times New Roman" w:hAnsi="Times New Roman" w:cs="Times New Roman"/>
        </w:rPr>
        <w:t>that</w:t>
      </w:r>
      <w:proofErr w:type="spellEnd"/>
      <w:r w:rsidR="00AC0A9C" w:rsidRPr="00705170">
        <w:rPr>
          <w:rFonts w:ascii="Times New Roman" w:hAnsi="Times New Roman" w:cs="Times New Roman"/>
        </w:rPr>
        <w:t xml:space="preserve"> </w:t>
      </w:r>
      <w:proofErr w:type="spellStart"/>
      <w:r w:rsidR="00AC0A9C" w:rsidRPr="00705170">
        <w:rPr>
          <w:rFonts w:ascii="Times New Roman" w:hAnsi="Times New Roman" w:cs="Times New Roman"/>
        </w:rPr>
        <w:t>are</w:t>
      </w:r>
      <w:proofErr w:type="spellEnd"/>
      <w:r w:rsidR="00AC0A9C" w:rsidRPr="00705170">
        <w:rPr>
          <w:rFonts w:ascii="Times New Roman" w:hAnsi="Times New Roman" w:cs="Times New Roman"/>
        </w:rPr>
        <w:t xml:space="preserve"> </w:t>
      </w:r>
      <w:proofErr w:type="spellStart"/>
      <w:r w:rsidR="003646F2" w:rsidRPr="00705170">
        <w:rPr>
          <w:rFonts w:ascii="Times New Roman" w:hAnsi="Times New Roman" w:cs="Times New Roman"/>
        </w:rPr>
        <w:t>or</w:t>
      </w:r>
      <w:proofErr w:type="spellEnd"/>
      <w:r w:rsidR="003646F2" w:rsidRPr="00705170">
        <w:rPr>
          <w:rFonts w:ascii="Times New Roman" w:hAnsi="Times New Roman" w:cs="Times New Roman"/>
        </w:rPr>
        <w:t xml:space="preserve"> </w:t>
      </w:r>
      <w:proofErr w:type="spellStart"/>
      <w:r w:rsidR="003646F2" w:rsidRPr="00705170">
        <w:rPr>
          <w:rFonts w:ascii="Times New Roman" w:hAnsi="Times New Roman" w:cs="Times New Roman"/>
        </w:rPr>
        <w:t>will</w:t>
      </w:r>
      <w:proofErr w:type="spellEnd"/>
      <w:r w:rsidR="003646F2" w:rsidRPr="00705170">
        <w:rPr>
          <w:rFonts w:ascii="Times New Roman" w:hAnsi="Times New Roman" w:cs="Times New Roman"/>
        </w:rPr>
        <w:t xml:space="preserve"> be </w:t>
      </w:r>
      <w:proofErr w:type="spellStart"/>
      <w:r w:rsidR="00AC0A9C" w:rsidRPr="00705170">
        <w:rPr>
          <w:rFonts w:ascii="Times New Roman" w:hAnsi="Times New Roman" w:cs="Times New Roman"/>
        </w:rPr>
        <w:t>completed</w:t>
      </w:r>
      <w:proofErr w:type="spellEnd"/>
      <w:r w:rsidR="003646F2" w:rsidRPr="00705170">
        <w:rPr>
          <w:rFonts w:ascii="Times New Roman" w:hAnsi="Times New Roman" w:cs="Times New Roman"/>
        </w:rPr>
        <w:t xml:space="preserve"> </w:t>
      </w:r>
      <w:proofErr w:type="spellStart"/>
      <w:r w:rsidR="003646F2" w:rsidRPr="00705170">
        <w:rPr>
          <w:rFonts w:ascii="Times New Roman" w:hAnsi="Times New Roman" w:cs="Times New Roman"/>
        </w:rPr>
        <w:t>for</w:t>
      </w:r>
      <w:proofErr w:type="spellEnd"/>
      <w:r w:rsidR="003646F2" w:rsidRPr="00705170">
        <w:rPr>
          <w:rFonts w:ascii="Times New Roman" w:hAnsi="Times New Roman" w:cs="Times New Roman"/>
        </w:rPr>
        <w:t xml:space="preserve"> at </w:t>
      </w:r>
      <w:proofErr w:type="spellStart"/>
      <w:r w:rsidR="003646F2" w:rsidRPr="00705170">
        <w:rPr>
          <w:rFonts w:ascii="Times New Roman" w:hAnsi="Times New Roman" w:cs="Times New Roman"/>
        </w:rPr>
        <w:t>least</w:t>
      </w:r>
      <w:proofErr w:type="spellEnd"/>
      <w:r w:rsidR="003646F2" w:rsidRPr="00705170">
        <w:rPr>
          <w:rFonts w:ascii="Times New Roman" w:hAnsi="Times New Roman" w:cs="Times New Roman"/>
        </w:rPr>
        <w:t xml:space="preserve"> </w:t>
      </w:r>
      <w:proofErr w:type="spellStart"/>
      <w:r w:rsidR="003646F2" w:rsidRPr="00705170">
        <w:rPr>
          <w:rFonts w:ascii="Times New Roman" w:hAnsi="Times New Roman" w:cs="Times New Roman"/>
        </w:rPr>
        <w:t>two</w:t>
      </w:r>
      <w:proofErr w:type="spellEnd"/>
      <w:r w:rsidR="003646F2" w:rsidRPr="00705170">
        <w:rPr>
          <w:rFonts w:ascii="Times New Roman" w:hAnsi="Times New Roman" w:cs="Times New Roman"/>
        </w:rPr>
        <w:t xml:space="preserve"> </w:t>
      </w:r>
      <w:proofErr w:type="spellStart"/>
      <w:r w:rsidR="003646F2" w:rsidRPr="00705170">
        <w:rPr>
          <w:rFonts w:ascii="Times New Roman" w:hAnsi="Times New Roman" w:cs="Times New Roman"/>
        </w:rPr>
        <w:t>times</w:t>
      </w:r>
      <w:proofErr w:type="spellEnd"/>
      <w:r w:rsidR="003646F2" w:rsidRPr="00705170">
        <w:rPr>
          <w:rFonts w:ascii="Times New Roman" w:hAnsi="Times New Roman" w:cs="Times New Roman"/>
        </w:rPr>
        <w:t xml:space="preserve"> </w:t>
      </w:r>
      <w:proofErr w:type="spellStart"/>
      <w:r w:rsidR="003646F2" w:rsidRPr="00705170">
        <w:rPr>
          <w:rFonts w:ascii="Times New Roman" w:hAnsi="Times New Roman" w:cs="Times New Roman"/>
        </w:rPr>
        <w:t>during</w:t>
      </w:r>
      <w:proofErr w:type="spellEnd"/>
      <w:r w:rsidR="003646F2" w:rsidRPr="00705170">
        <w:rPr>
          <w:rFonts w:ascii="Times New Roman" w:hAnsi="Times New Roman" w:cs="Times New Roman"/>
        </w:rPr>
        <w:t xml:space="preserve"> a </w:t>
      </w:r>
      <w:proofErr w:type="spellStart"/>
      <w:r w:rsidR="003646F2" w:rsidRPr="00705170">
        <w:rPr>
          <w:rFonts w:ascii="Times New Roman" w:hAnsi="Times New Roman" w:cs="Times New Roman"/>
        </w:rPr>
        <w:t>single</w:t>
      </w:r>
      <w:proofErr w:type="spellEnd"/>
      <w:r w:rsidR="003646F2" w:rsidRPr="00705170">
        <w:rPr>
          <w:rFonts w:ascii="Times New Roman" w:hAnsi="Times New Roman" w:cs="Times New Roman"/>
        </w:rPr>
        <w:t xml:space="preserve"> </w:t>
      </w:r>
      <w:proofErr w:type="spellStart"/>
      <w:r w:rsidR="003646F2" w:rsidRPr="00705170">
        <w:rPr>
          <w:rFonts w:ascii="Times New Roman" w:hAnsi="Times New Roman" w:cs="Times New Roman"/>
        </w:rPr>
        <w:t>fiscal</w:t>
      </w:r>
      <w:proofErr w:type="spellEnd"/>
      <w:r w:rsidR="003646F2" w:rsidRPr="00705170">
        <w:rPr>
          <w:rFonts w:ascii="Times New Roman" w:hAnsi="Times New Roman" w:cs="Times New Roman"/>
        </w:rPr>
        <w:t xml:space="preserve"> </w:t>
      </w:r>
      <w:proofErr w:type="spellStart"/>
      <w:r w:rsidR="003646F2" w:rsidRPr="00705170">
        <w:rPr>
          <w:rFonts w:ascii="Times New Roman" w:hAnsi="Times New Roman" w:cs="Times New Roman"/>
        </w:rPr>
        <w:t>year</w:t>
      </w:r>
      <w:proofErr w:type="spellEnd"/>
      <w:r w:rsidR="003646F2" w:rsidRPr="00705170">
        <w:rPr>
          <w:rFonts w:ascii="Times New Roman" w:hAnsi="Times New Roman" w:cs="Times New Roman"/>
        </w:rPr>
        <w:t>” (</w:t>
      </w:r>
      <w:proofErr w:type="spellStart"/>
      <w:r w:rsidR="003646F2" w:rsidRPr="00705170">
        <w:rPr>
          <w:rFonts w:ascii="Times New Roman" w:hAnsi="Times New Roman" w:cs="Times New Roman"/>
        </w:rPr>
        <w:t>Article</w:t>
      </w:r>
      <w:proofErr w:type="spellEnd"/>
      <w:r w:rsidR="003646F2" w:rsidRPr="00705170">
        <w:rPr>
          <w:rFonts w:ascii="Times New Roman" w:hAnsi="Times New Roman" w:cs="Times New Roman"/>
        </w:rPr>
        <w:t xml:space="preserve"> </w:t>
      </w:r>
      <w:r w:rsidR="005C106B" w:rsidRPr="00705170">
        <w:rPr>
          <w:rFonts w:ascii="Times New Roman" w:hAnsi="Times New Roman" w:cs="Times New Roman"/>
        </w:rPr>
        <w:t>3(1)</w:t>
      </w:r>
      <w:r w:rsidR="003646F2" w:rsidRPr="00705170">
        <w:rPr>
          <w:rFonts w:ascii="Times New Roman" w:hAnsi="Times New Roman" w:cs="Times New Roman"/>
        </w:rPr>
        <w:t>(m))</w:t>
      </w:r>
      <w:r w:rsidR="00AB48E4" w:rsidRPr="00705170">
        <w:rPr>
          <w:rFonts w:ascii="Times New Roman" w:hAnsi="Times New Roman" w:cs="Times New Roman"/>
        </w:rPr>
        <w:t xml:space="preserve">, </w:t>
      </w:r>
      <w:proofErr w:type="spellStart"/>
      <w:r w:rsidR="00AB48E4" w:rsidRPr="00705170">
        <w:rPr>
          <w:rFonts w:ascii="Times New Roman" w:hAnsi="Times New Roman" w:cs="Times New Roman"/>
        </w:rPr>
        <w:t>excluding</w:t>
      </w:r>
      <w:proofErr w:type="spellEnd"/>
      <w:r w:rsidR="00AB48E4" w:rsidRPr="00705170">
        <w:rPr>
          <w:rFonts w:ascii="Times New Roman" w:hAnsi="Times New Roman" w:cs="Times New Roman"/>
        </w:rPr>
        <w:t xml:space="preserve"> </w:t>
      </w:r>
      <w:proofErr w:type="spellStart"/>
      <w:r w:rsidR="00AB48E4" w:rsidRPr="00705170">
        <w:rPr>
          <w:rFonts w:ascii="Times New Roman" w:hAnsi="Times New Roman" w:cs="Times New Roman"/>
        </w:rPr>
        <w:t>transactions</w:t>
      </w:r>
      <w:proofErr w:type="spellEnd"/>
      <w:r w:rsidR="00AB48E4" w:rsidRPr="00705170">
        <w:rPr>
          <w:rFonts w:ascii="Times New Roman" w:hAnsi="Times New Roman" w:cs="Times New Roman"/>
        </w:rPr>
        <w:t xml:space="preserve"> </w:t>
      </w:r>
      <w:proofErr w:type="spellStart"/>
      <w:r w:rsidR="00AB48E4" w:rsidRPr="00705170">
        <w:rPr>
          <w:rFonts w:ascii="Times New Roman" w:hAnsi="Times New Roman" w:cs="Times New Roman"/>
        </w:rPr>
        <w:t>such</w:t>
      </w:r>
      <w:proofErr w:type="spellEnd"/>
      <w:r w:rsidR="00AB48E4" w:rsidRPr="00705170">
        <w:rPr>
          <w:rFonts w:ascii="Times New Roman" w:hAnsi="Times New Roman" w:cs="Times New Roman"/>
        </w:rPr>
        <w:t xml:space="preserve"> as </w:t>
      </w:r>
      <w:proofErr w:type="spellStart"/>
      <w:r w:rsidR="00AB48E4" w:rsidRPr="00705170">
        <w:rPr>
          <w:rFonts w:ascii="Times New Roman" w:hAnsi="Times New Roman" w:cs="Times New Roman"/>
        </w:rPr>
        <w:t>dividend</w:t>
      </w:r>
      <w:proofErr w:type="spellEnd"/>
      <w:r w:rsidR="00AB48E4" w:rsidRPr="00705170">
        <w:rPr>
          <w:rFonts w:ascii="Times New Roman" w:hAnsi="Times New Roman" w:cs="Times New Roman"/>
        </w:rPr>
        <w:t xml:space="preserve"> </w:t>
      </w:r>
      <w:proofErr w:type="spellStart"/>
      <w:r w:rsidR="00AB48E4" w:rsidRPr="00705170">
        <w:rPr>
          <w:rFonts w:ascii="Times New Roman" w:hAnsi="Times New Roman" w:cs="Times New Roman"/>
        </w:rPr>
        <w:t>distribution</w:t>
      </w:r>
      <w:proofErr w:type="spellEnd"/>
      <w:r w:rsidR="00AB48E4" w:rsidRPr="00705170">
        <w:rPr>
          <w:rFonts w:ascii="Times New Roman" w:hAnsi="Times New Roman" w:cs="Times New Roman"/>
        </w:rPr>
        <w:t xml:space="preserve"> (</w:t>
      </w:r>
      <w:proofErr w:type="spellStart"/>
      <w:r w:rsidR="00AB48E4" w:rsidRPr="00705170">
        <w:rPr>
          <w:rFonts w:ascii="Times New Roman" w:hAnsi="Times New Roman" w:cs="Times New Roman"/>
        </w:rPr>
        <w:t>Article</w:t>
      </w:r>
      <w:proofErr w:type="spellEnd"/>
      <w:r w:rsidR="00AB48E4" w:rsidRPr="00705170">
        <w:rPr>
          <w:rFonts w:ascii="Times New Roman" w:hAnsi="Times New Roman" w:cs="Times New Roman"/>
        </w:rPr>
        <w:t xml:space="preserve"> 10(4));</w:t>
      </w:r>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and</w:t>
      </w:r>
      <w:proofErr w:type="spellEnd"/>
      <w:r w:rsidR="007971B2" w:rsidRPr="00705170">
        <w:rPr>
          <w:rFonts w:ascii="Times New Roman" w:hAnsi="Times New Roman" w:cs="Times New Roman"/>
        </w:rPr>
        <w:t xml:space="preserve"> a </w:t>
      </w:r>
      <w:proofErr w:type="spellStart"/>
      <w:r w:rsidR="007971B2" w:rsidRPr="00705170">
        <w:rPr>
          <w:rFonts w:ascii="Times New Roman" w:hAnsi="Times New Roman" w:cs="Times New Roman"/>
        </w:rPr>
        <w:t>special</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appraisal</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report</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should</w:t>
      </w:r>
      <w:proofErr w:type="spellEnd"/>
      <w:r w:rsidR="007971B2" w:rsidRPr="00705170">
        <w:rPr>
          <w:rFonts w:ascii="Times New Roman" w:hAnsi="Times New Roman" w:cs="Times New Roman"/>
        </w:rPr>
        <w:t xml:space="preserve"> be </w:t>
      </w:r>
      <w:proofErr w:type="spellStart"/>
      <w:r w:rsidR="007971B2" w:rsidRPr="00705170">
        <w:rPr>
          <w:rFonts w:ascii="Times New Roman" w:hAnsi="Times New Roman" w:cs="Times New Roman"/>
        </w:rPr>
        <w:t>disclosed</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if</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the</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transaction</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meets</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the</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threshold</w:t>
      </w:r>
      <w:proofErr w:type="spellEnd"/>
      <w:r w:rsidR="007971B2" w:rsidRPr="00705170">
        <w:rPr>
          <w:rFonts w:ascii="Times New Roman" w:hAnsi="Times New Roman" w:cs="Times New Roman"/>
        </w:rPr>
        <w:t xml:space="preserve"> but </w:t>
      </w:r>
      <w:proofErr w:type="spellStart"/>
      <w:r w:rsidR="007971B2" w:rsidRPr="00705170">
        <w:rPr>
          <w:rFonts w:ascii="Times New Roman" w:hAnsi="Times New Roman" w:cs="Times New Roman"/>
        </w:rPr>
        <w:t>fails</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to</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have</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the</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approval</w:t>
      </w:r>
      <w:proofErr w:type="spellEnd"/>
      <w:r w:rsidR="007971B2" w:rsidRPr="00705170">
        <w:rPr>
          <w:rFonts w:ascii="Times New Roman" w:hAnsi="Times New Roman" w:cs="Times New Roman"/>
        </w:rPr>
        <w:t xml:space="preserve"> of </w:t>
      </w:r>
      <w:proofErr w:type="spellStart"/>
      <w:r w:rsidR="007971B2" w:rsidRPr="00705170">
        <w:rPr>
          <w:rFonts w:ascii="Times New Roman" w:hAnsi="Times New Roman" w:cs="Times New Roman"/>
        </w:rPr>
        <w:t>the</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majority</w:t>
      </w:r>
      <w:proofErr w:type="spellEnd"/>
      <w:r w:rsidR="007971B2" w:rsidRPr="00705170">
        <w:rPr>
          <w:rFonts w:ascii="Times New Roman" w:hAnsi="Times New Roman" w:cs="Times New Roman"/>
        </w:rPr>
        <w:t xml:space="preserve"> of </w:t>
      </w:r>
      <w:proofErr w:type="spellStart"/>
      <w:r w:rsidR="007971B2" w:rsidRPr="00705170">
        <w:rPr>
          <w:rFonts w:ascii="Times New Roman" w:hAnsi="Times New Roman" w:cs="Times New Roman"/>
        </w:rPr>
        <w:t>disinterested</w:t>
      </w:r>
      <w:proofErr w:type="spellEnd"/>
      <w:r w:rsidR="007971B2" w:rsidRPr="00705170">
        <w:rPr>
          <w:rFonts w:ascii="Times New Roman" w:hAnsi="Times New Roman" w:cs="Times New Roman"/>
        </w:rPr>
        <w:t xml:space="preserve"> </w:t>
      </w:r>
      <w:proofErr w:type="spellStart"/>
      <w:r w:rsidR="007971B2" w:rsidRPr="00705170">
        <w:rPr>
          <w:rFonts w:ascii="Times New Roman" w:hAnsi="Times New Roman" w:cs="Times New Roman"/>
        </w:rPr>
        <w:t>directors</w:t>
      </w:r>
      <w:proofErr w:type="spellEnd"/>
      <w:r w:rsidR="007971B2" w:rsidRPr="00705170">
        <w:rPr>
          <w:rFonts w:ascii="Times New Roman" w:hAnsi="Times New Roman" w:cs="Times New Roman"/>
        </w:rPr>
        <w:t>.</w:t>
      </w:r>
      <w:r w:rsidR="00AB48E4" w:rsidRPr="00705170">
        <w:rPr>
          <w:rFonts w:ascii="Times New Roman" w:hAnsi="Times New Roman" w:cs="Times New Roman"/>
        </w:rPr>
        <w:t xml:space="preserve"> </w:t>
      </w:r>
      <w:proofErr w:type="spellStart"/>
      <w:r w:rsidR="00AB48E4" w:rsidRPr="00705170">
        <w:rPr>
          <w:rFonts w:ascii="Times New Roman" w:hAnsi="Times New Roman" w:cs="Times New Roman"/>
        </w:rPr>
        <w:t>The</w:t>
      </w:r>
      <w:proofErr w:type="spellEnd"/>
      <w:r w:rsidR="00AB48E4" w:rsidRPr="00705170">
        <w:rPr>
          <w:rFonts w:ascii="Times New Roman" w:hAnsi="Times New Roman" w:cs="Times New Roman"/>
        </w:rPr>
        <w:t xml:space="preserve"> </w:t>
      </w:r>
      <w:proofErr w:type="spellStart"/>
      <w:r w:rsidR="00AB48E4" w:rsidRPr="00705170">
        <w:rPr>
          <w:rFonts w:ascii="Times New Roman" w:hAnsi="Times New Roman" w:cs="Times New Roman"/>
        </w:rPr>
        <w:t>Commiqu</w:t>
      </w:r>
      <w:r w:rsidR="00935946" w:rsidRPr="00705170">
        <w:rPr>
          <w:rFonts w:ascii="Times New Roman" w:hAnsi="Times New Roman" w:cs="Times New Roman"/>
        </w:rPr>
        <w:t>e</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also</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states</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that</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corporations</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and</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their</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subsidiaries</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cannot</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grant</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collateral</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pledge</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mortgage</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and</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surety</w:t>
      </w:r>
      <w:proofErr w:type="spellEnd"/>
      <w:r w:rsidR="00935946" w:rsidRPr="00705170">
        <w:rPr>
          <w:rFonts w:ascii="Times New Roman" w:hAnsi="Times New Roman" w:cs="Times New Roman"/>
        </w:rPr>
        <w:t xml:space="preserve"> in </w:t>
      </w:r>
      <w:proofErr w:type="spellStart"/>
      <w:r w:rsidR="00935946" w:rsidRPr="00705170">
        <w:rPr>
          <w:rFonts w:ascii="Times New Roman" w:hAnsi="Times New Roman" w:cs="Times New Roman"/>
        </w:rPr>
        <w:t>favor</w:t>
      </w:r>
      <w:proofErr w:type="spellEnd"/>
      <w:r w:rsidR="00935946" w:rsidRPr="00705170">
        <w:rPr>
          <w:rFonts w:ascii="Times New Roman" w:hAnsi="Times New Roman" w:cs="Times New Roman"/>
        </w:rPr>
        <w:t xml:space="preserve"> of </w:t>
      </w:r>
      <w:proofErr w:type="spellStart"/>
      <w:r w:rsidR="00935946" w:rsidRPr="00705170">
        <w:rPr>
          <w:rFonts w:ascii="Times New Roman" w:hAnsi="Times New Roman" w:cs="Times New Roman"/>
        </w:rPr>
        <w:t>third</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parties</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unless</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the</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grant</w:t>
      </w:r>
      <w:proofErr w:type="spellEnd"/>
      <w:r w:rsidR="00935946" w:rsidRPr="00705170">
        <w:rPr>
          <w:rFonts w:ascii="Times New Roman" w:hAnsi="Times New Roman" w:cs="Times New Roman"/>
        </w:rPr>
        <w:t xml:space="preserve"> is </w:t>
      </w:r>
      <w:proofErr w:type="spellStart"/>
      <w:r w:rsidR="00935946" w:rsidRPr="00705170">
        <w:rPr>
          <w:rFonts w:ascii="Times New Roman" w:hAnsi="Times New Roman" w:cs="Times New Roman"/>
        </w:rPr>
        <w:t>one</w:t>
      </w:r>
      <w:proofErr w:type="spellEnd"/>
      <w:r w:rsidR="00935946" w:rsidRPr="00705170">
        <w:rPr>
          <w:rFonts w:ascii="Times New Roman" w:hAnsi="Times New Roman" w:cs="Times New Roman"/>
        </w:rPr>
        <w:t xml:space="preserve"> of </w:t>
      </w:r>
      <w:proofErr w:type="spellStart"/>
      <w:r w:rsidR="00935946" w:rsidRPr="00705170">
        <w:rPr>
          <w:rFonts w:ascii="Times New Roman" w:hAnsi="Times New Roman" w:cs="Times New Roman"/>
        </w:rPr>
        <w:t>the</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grants</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authorized</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by</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the</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Comminique</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and</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requires</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approval</w:t>
      </w:r>
      <w:proofErr w:type="spellEnd"/>
      <w:r w:rsidR="00935946" w:rsidRPr="00705170">
        <w:rPr>
          <w:rFonts w:ascii="Times New Roman" w:hAnsi="Times New Roman" w:cs="Times New Roman"/>
        </w:rPr>
        <w:t xml:space="preserve"> of </w:t>
      </w:r>
      <w:proofErr w:type="spellStart"/>
      <w:r w:rsidR="00935946" w:rsidRPr="00705170">
        <w:rPr>
          <w:rFonts w:ascii="Times New Roman" w:hAnsi="Times New Roman" w:cs="Times New Roman"/>
        </w:rPr>
        <w:t>the</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majority</w:t>
      </w:r>
      <w:proofErr w:type="spellEnd"/>
      <w:r w:rsidR="00935946" w:rsidRPr="00705170">
        <w:rPr>
          <w:rFonts w:ascii="Times New Roman" w:hAnsi="Times New Roman" w:cs="Times New Roman"/>
        </w:rPr>
        <w:t xml:space="preserve"> of </w:t>
      </w:r>
      <w:proofErr w:type="spellStart"/>
      <w:r w:rsidR="00935946" w:rsidRPr="00705170">
        <w:rPr>
          <w:rFonts w:ascii="Times New Roman" w:hAnsi="Times New Roman" w:cs="Times New Roman"/>
        </w:rPr>
        <w:t>disinterested</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directors</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for</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some</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grants</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and</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orders</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the</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disclosure</w:t>
      </w:r>
      <w:proofErr w:type="spellEnd"/>
      <w:r w:rsidR="00935946" w:rsidRPr="00705170">
        <w:rPr>
          <w:rFonts w:ascii="Times New Roman" w:hAnsi="Times New Roman" w:cs="Times New Roman"/>
        </w:rPr>
        <w:t xml:space="preserve"> of </w:t>
      </w:r>
      <w:proofErr w:type="spellStart"/>
      <w:r w:rsidR="00935946" w:rsidRPr="00705170">
        <w:rPr>
          <w:rFonts w:ascii="Times New Roman" w:hAnsi="Times New Roman" w:cs="Times New Roman"/>
        </w:rPr>
        <w:t>the</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disinterested</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directors</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reasons</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for</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rejecting</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the</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transaction</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if</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their</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majority</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does</w:t>
      </w:r>
      <w:proofErr w:type="spellEnd"/>
      <w:r w:rsidR="00935946" w:rsidRPr="00705170">
        <w:rPr>
          <w:rFonts w:ascii="Times New Roman" w:hAnsi="Times New Roman" w:cs="Times New Roman"/>
        </w:rPr>
        <w:t xml:space="preserve"> not </w:t>
      </w:r>
      <w:proofErr w:type="spellStart"/>
      <w:r w:rsidR="00935946" w:rsidRPr="00705170">
        <w:rPr>
          <w:rFonts w:ascii="Times New Roman" w:hAnsi="Times New Roman" w:cs="Times New Roman"/>
        </w:rPr>
        <w:t>approve</w:t>
      </w:r>
      <w:proofErr w:type="spellEnd"/>
      <w:r w:rsidR="00935946" w:rsidRPr="00705170">
        <w:rPr>
          <w:rFonts w:ascii="Times New Roman" w:hAnsi="Times New Roman" w:cs="Times New Roman"/>
        </w:rPr>
        <w:t xml:space="preserve"> (</w:t>
      </w:r>
      <w:proofErr w:type="spellStart"/>
      <w:r w:rsidR="00935946" w:rsidRPr="00705170">
        <w:rPr>
          <w:rFonts w:ascii="Times New Roman" w:hAnsi="Times New Roman" w:cs="Times New Roman"/>
        </w:rPr>
        <w:t>Article</w:t>
      </w:r>
      <w:proofErr w:type="spellEnd"/>
      <w:r w:rsidR="00935946" w:rsidRPr="00705170">
        <w:rPr>
          <w:rFonts w:ascii="Times New Roman" w:hAnsi="Times New Roman" w:cs="Times New Roman"/>
        </w:rPr>
        <w:t xml:space="preserve"> 12).</w:t>
      </w:r>
    </w:p>
    <w:p w14:paraId="2C0E40AC" w14:textId="34E341DA" w:rsidR="008F35A9" w:rsidRPr="00705170" w:rsidRDefault="0056321C" w:rsidP="001C2A80">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main </w:t>
      </w:r>
      <w:r w:rsidR="00995BC8" w:rsidRPr="00705170">
        <w:rPr>
          <w:rFonts w:ascii="Times New Roman" w:hAnsi="Times New Roman" w:cs="Times New Roman"/>
        </w:rPr>
        <w:t>problem</w:t>
      </w:r>
      <w:r w:rsidRPr="00705170">
        <w:rPr>
          <w:rFonts w:ascii="Times New Roman" w:hAnsi="Times New Roman" w:cs="Times New Roman"/>
        </w:rPr>
        <w:t xml:space="preserve"> </w:t>
      </w:r>
      <w:proofErr w:type="spellStart"/>
      <w:r w:rsidRPr="00705170">
        <w:rPr>
          <w:rFonts w:ascii="Times New Roman" w:hAnsi="Times New Roman" w:cs="Times New Roman"/>
        </w:rPr>
        <w:t>regarding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concealed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distribution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party</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w:t>
      </w:r>
      <w:proofErr w:type="spellEnd"/>
      <w:r w:rsidRPr="00705170">
        <w:rPr>
          <w:rFonts w:ascii="Times New Roman" w:hAnsi="Times New Roman" w:cs="Times New Roman"/>
        </w:rPr>
        <w:t xml:space="preserve"> be a </w:t>
      </w:r>
      <w:proofErr w:type="spellStart"/>
      <w:r w:rsidRPr="00705170">
        <w:rPr>
          <w:rFonts w:ascii="Times New Roman" w:hAnsi="Times New Roman" w:cs="Times New Roman"/>
        </w:rPr>
        <w:t>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w:t>
      </w:r>
      <w:r w:rsidR="00C11E7B" w:rsidRPr="00705170">
        <w:rPr>
          <w:rFonts w:ascii="Times New Roman" w:hAnsi="Times New Roman" w:cs="Times New Roman"/>
        </w:rPr>
        <w:t>y</w:t>
      </w:r>
      <w:proofErr w:type="spellEnd"/>
      <w:r w:rsidR="00EB6746" w:rsidRPr="00705170">
        <w:rPr>
          <w:rStyle w:val="DipnotBavurusu"/>
          <w:rFonts w:ascii="Times New Roman" w:hAnsi="Times New Roman" w:cs="Times New Roman"/>
        </w:rPr>
        <w:footnoteReference w:id="297"/>
      </w:r>
      <w:r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regards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includes</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scope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provisions</w:t>
      </w:r>
      <w:proofErr w:type="spellEnd"/>
      <w:r w:rsidRPr="00705170">
        <w:rPr>
          <w:rFonts w:ascii="Times New Roman" w:hAnsi="Times New Roman" w:cs="Times New Roman"/>
        </w:rPr>
        <w:t>.</w:t>
      </w:r>
      <w:r w:rsidR="006D0455" w:rsidRPr="00705170">
        <w:rPr>
          <w:rFonts w:ascii="Times New Roman" w:hAnsi="Times New Roman" w:cs="Times New Roman"/>
        </w:rPr>
        <w:t xml:space="preserve"> </w:t>
      </w:r>
      <w:proofErr w:type="spellStart"/>
      <w:r w:rsidR="006D0455" w:rsidRPr="00705170">
        <w:rPr>
          <w:rFonts w:ascii="Times New Roman" w:hAnsi="Times New Roman" w:cs="Times New Roman"/>
        </w:rPr>
        <w:t>While</w:t>
      </w:r>
      <w:proofErr w:type="spellEnd"/>
      <w:r w:rsidR="006D0455" w:rsidRPr="00705170">
        <w:rPr>
          <w:rFonts w:ascii="Times New Roman" w:hAnsi="Times New Roman" w:cs="Times New Roman"/>
        </w:rPr>
        <w:t xml:space="preserve"> </w:t>
      </w:r>
      <w:proofErr w:type="spellStart"/>
      <w:r w:rsidR="006D0455" w:rsidRPr="00705170">
        <w:rPr>
          <w:rFonts w:ascii="Times New Roman" w:hAnsi="Times New Roman" w:cs="Times New Roman"/>
        </w:rPr>
        <w:t>the</w:t>
      </w:r>
      <w:proofErr w:type="spellEnd"/>
      <w:r w:rsidR="006D0455" w:rsidRPr="00705170">
        <w:rPr>
          <w:rFonts w:ascii="Times New Roman" w:hAnsi="Times New Roman" w:cs="Times New Roman"/>
        </w:rPr>
        <w:t xml:space="preserve"> </w:t>
      </w:r>
      <w:proofErr w:type="spellStart"/>
      <w:r w:rsidR="006D0455" w:rsidRPr="00705170">
        <w:rPr>
          <w:rFonts w:ascii="Times New Roman" w:hAnsi="Times New Roman" w:cs="Times New Roman"/>
        </w:rPr>
        <w:t>complex</w:t>
      </w:r>
      <w:proofErr w:type="spellEnd"/>
      <w:r w:rsidR="006D0455" w:rsidRPr="00705170">
        <w:rPr>
          <w:rFonts w:ascii="Times New Roman" w:hAnsi="Times New Roman" w:cs="Times New Roman"/>
        </w:rPr>
        <w:t xml:space="preserve"> </w:t>
      </w:r>
      <w:proofErr w:type="spellStart"/>
      <w:r w:rsidR="006D0455" w:rsidRPr="00705170">
        <w:rPr>
          <w:rFonts w:ascii="Times New Roman" w:hAnsi="Times New Roman" w:cs="Times New Roman"/>
        </w:rPr>
        <w:t>and</w:t>
      </w:r>
      <w:proofErr w:type="spellEnd"/>
      <w:r w:rsidR="006D0455" w:rsidRPr="00705170">
        <w:rPr>
          <w:rFonts w:ascii="Times New Roman" w:hAnsi="Times New Roman" w:cs="Times New Roman"/>
        </w:rPr>
        <w:t xml:space="preserve"> </w:t>
      </w:r>
      <w:proofErr w:type="spellStart"/>
      <w:r w:rsidR="006D0455" w:rsidRPr="00705170">
        <w:rPr>
          <w:rFonts w:ascii="Times New Roman" w:hAnsi="Times New Roman" w:cs="Times New Roman"/>
        </w:rPr>
        <w:t>vague</w:t>
      </w:r>
      <w:proofErr w:type="spellEnd"/>
      <w:r w:rsidR="006D0455" w:rsidRPr="00705170">
        <w:rPr>
          <w:rFonts w:ascii="Times New Roman" w:hAnsi="Times New Roman" w:cs="Times New Roman"/>
        </w:rPr>
        <w:t xml:space="preserve"> </w:t>
      </w:r>
      <w:proofErr w:type="spellStart"/>
      <w:r w:rsidR="006D0455" w:rsidRPr="00705170">
        <w:rPr>
          <w:rFonts w:ascii="Times New Roman" w:hAnsi="Times New Roman" w:cs="Times New Roman"/>
        </w:rPr>
        <w:t>definition</w:t>
      </w:r>
      <w:proofErr w:type="spellEnd"/>
      <w:r w:rsidR="006D0455" w:rsidRPr="00705170">
        <w:rPr>
          <w:rFonts w:ascii="Times New Roman" w:hAnsi="Times New Roman" w:cs="Times New Roman"/>
        </w:rPr>
        <w:t xml:space="preserve"> of </w:t>
      </w:r>
      <w:proofErr w:type="spellStart"/>
      <w:r w:rsidR="006D0455" w:rsidRPr="00705170">
        <w:rPr>
          <w:rFonts w:ascii="Times New Roman" w:hAnsi="Times New Roman" w:cs="Times New Roman"/>
        </w:rPr>
        <w:t>related</w:t>
      </w:r>
      <w:proofErr w:type="spellEnd"/>
      <w:r w:rsidR="006D0455" w:rsidRPr="00705170">
        <w:rPr>
          <w:rFonts w:ascii="Times New Roman" w:hAnsi="Times New Roman" w:cs="Times New Roman"/>
        </w:rPr>
        <w:t xml:space="preserve"> </w:t>
      </w:r>
      <w:proofErr w:type="spellStart"/>
      <w:r w:rsidR="006D0455" w:rsidRPr="00705170">
        <w:rPr>
          <w:rFonts w:ascii="Times New Roman" w:hAnsi="Times New Roman" w:cs="Times New Roman"/>
        </w:rPr>
        <w:t>parties</w:t>
      </w:r>
      <w:proofErr w:type="spellEnd"/>
      <w:r w:rsidR="006D0455" w:rsidRPr="00705170">
        <w:rPr>
          <w:rFonts w:ascii="Times New Roman" w:hAnsi="Times New Roman" w:cs="Times New Roman"/>
        </w:rPr>
        <w:t xml:space="preserve"> can </w:t>
      </w:r>
      <w:proofErr w:type="spellStart"/>
      <w:r w:rsidR="006D0455" w:rsidRPr="00705170">
        <w:rPr>
          <w:rFonts w:ascii="Times New Roman" w:hAnsi="Times New Roman" w:cs="Times New Roman"/>
        </w:rPr>
        <w:t>widen</w:t>
      </w:r>
      <w:proofErr w:type="spellEnd"/>
      <w:r w:rsidR="006D0455" w:rsidRPr="00705170">
        <w:rPr>
          <w:rFonts w:ascii="Times New Roman" w:hAnsi="Times New Roman" w:cs="Times New Roman"/>
        </w:rPr>
        <w:t xml:space="preserve"> </w:t>
      </w:r>
      <w:proofErr w:type="spellStart"/>
      <w:r w:rsidR="006D0455" w:rsidRPr="00705170">
        <w:rPr>
          <w:rFonts w:ascii="Times New Roman" w:hAnsi="Times New Roman" w:cs="Times New Roman"/>
        </w:rPr>
        <w:t>the</w:t>
      </w:r>
      <w:proofErr w:type="spellEnd"/>
      <w:r w:rsidR="006D0455" w:rsidRPr="00705170">
        <w:rPr>
          <w:rFonts w:ascii="Times New Roman" w:hAnsi="Times New Roman" w:cs="Times New Roman"/>
        </w:rPr>
        <w:t xml:space="preserve"> </w:t>
      </w:r>
      <w:proofErr w:type="spellStart"/>
      <w:r w:rsidR="006D0455" w:rsidRPr="00705170">
        <w:rPr>
          <w:rFonts w:ascii="Times New Roman" w:hAnsi="Times New Roman" w:cs="Times New Roman"/>
        </w:rPr>
        <w:t>coverage</w:t>
      </w:r>
      <w:proofErr w:type="spellEnd"/>
      <w:r w:rsidR="006D0455" w:rsidRPr="00705170">
        <w:rPr>
          <w:rFonts w:ascii="Times New Roman" w:hAnsi="Times New Roman" w:cs="Times New Roman"/>
        </w:rPr>
        <w:t xml:space="preserve"> of </w:t>
      </w:r>
      <w:proofErr w:type="spellStart"/>
      <w:r w:rsidR="006D0455" w:rsidRPr="00705170">
        <w:rPr>
          <w:rFonts w:ascii="Times New Roman" w:hAnsi="Times New Roman" w:cs="Times New Roman"/>
        </w:rPr>
        <w:t>this</w:t>
      </w:r>
      <w:proofErr w:type="spellEnd"/>
      <w:r w:rsidR="006D0455" w:rsidRPr="00705170">
        <w:rPr>
          <w:rFonts w:ascii="Times New Roman" w:hAnsi="Times New Roman" w:cs="Times New Roman"/>
        </w:rPr>
        <w:t xml:space="preserve"> </w:t>
      </w:r>
      <w:proofErr w:type="spellStart"/>
      <w:r w:rsidR="006D0455" w:rsidRPr="00705170">
        <w:rPr>
          <w:rFonts w:ascii="Times New Roman" w:hAnsi="Times New Roman" w:cs="Times New Roman"/>
        </w:rPr>
        <w:t>concept</w:t>
      </w:r>
      <w:proofErr w:type="spellEnd"/>
      <w:r w:rsidR="006D0455" w:rsidRPr="00705170">
        <w:rPr>
          <w:rFonts w:ascii="Times New Roman" w:hAnsi="Times New Roman" w:cs="Times New Roman"/>
        </w:rPr>
        <w:t>,</w:t>
      </w:r>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the</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fact</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that</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the</w:t>
      </w:r>
      <w:proofErr w:type="spellEnd"/>
      <w:r w:rsidR="00432672" w:rsidRPr="00705170">
        <w:rPr>
          <w:rFonts w:ascii="Times New Roman" w:hAnsi="Times New Roman" w:cs="Times New Roman"/>
        </w:rPr>
        <w:t xml:space="preserve"> legal </w:t>
      </w:r>
      <w:proofErr w:type="spellStart"/>
      <w:r w:rsidR="00432672" w:rsidRPr="00705170">
        <w:rPr>
          <w:rFonts w:ascii="Times New Roman" w:hAnsi="Times New Roman" w:cs="Times New Roman"/>
        </w:rPr>
        <w:t>certainty</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principle</w:t>
      </w:r>
      <w:proofErr w:type="spellEnd"/>
      <w:r w:rsidR="00432672" w:rsidRPr="00705170">
        <w:rPr>
          <w:rFonts w:ascii="Times New Roman" w:hAnsi="Times New Roman" w:cs="Times New Roman"/>
        </w:rPr>
        <w:t xml:space="preserve"> </w:t>
      </w:r>
      <w:proofErr w:type="spellStart"/>
      <w:r w:rsidR="00EB017E" w:rsidRPr="00705170">
        <w:rPr>
          <w:rFonts w:ascii="Times New Roman" w:hAnsi="Times New Roman" w:cs="Times New Roman"/>
        </w:rPr>
        <w:t>and</w:t>
      </w:r>
      <w:proofErr w:type="spellEnd"/>
      <w:r w:rsidR="00EB017E" w:rsidRPr="00705170">
        <w:rPr>
          <w:rFonts w:ascii="Times New Roman" w:hAnsi="Times New Roman" w:cs="Times New Roman"/>
        </w:rPr>
        <w:t xml:space="preserve"> </w:t>
      </w:r>
      <w:proofErr w:type="spellStart"/>
      <w:r w:rsidR="00EB017E" w:rsidRPr="00705170">
        <w:rPr>
          <w:rFonts w:ascii="Times New Roman" w:hAnsi="Times New Roman" w:cs="Times New Roman"/>
        </w:rPr>
        <w:t>intersecting</w:t>
      </w:r>
      <w:proofErr w:type="spellEnd"/>
      <w:r w:rsidR="00EB017E" w:rsidRPr="00705170">
        <w:rPr>
          <w:rFonts w:ascii="Times New Roman" w:hAnsi="Times New Roman" w:cs="Times New Roman"/>
        </w:rPr>
        <w:t xml:space="preserve"> </w:t>
      </w:r>
      <w:proofErr w:type="spellStart"/>
      <w:r w:rsidR="00EB017E" w:rsidRPr="00705170">
        <w:rPr>
          <w:rFonts w:ascii="Times New Roman" w:hAnsi="Times New Roman" w:cs="Times New Roman"/>
        </w:rPr>
        <w:t>coverage</w:t>
      </w:r>
      <w:proofErr w:type="spellEnd"/>
      <w:r w:rsidR="00EB017E" w:rsidRPr="00705170">
        <w:rPr>
          <w:rFonts w:ascii="Times New Roman" w:hAnsi="Times New Roman" w:cs="Times New Roman"/>
        </w:rPr>
        <w:t xml:space="preserve"> of </w:t>
      </w:r>
      <w:proofErr w:type="spellStart"/>
      <w:r w:rsidR="00EB017E" w:rsidRPr="00705170">
        <w:rPr>
          <w:rFonts w:ascii="Times New Roman" w:hAnsi="Times New Roman" w:cs="Times New Roman"/>
        </w:rPr>
        <w:t>the</w:t>
      </w:r>
      <w:proofErr w:type="spellEnd"/>
      <w:r w:rsidR="00EB017E" w:rsidRPr="00705170">
        <w:rPr>
          <w:rFonts w:ascii="Times New Roman" w:hAnsi="Times New Roman" w:cs="Times New Roman"/>
        </w:rPr>
        <w:t xml:space="preserve"> </w:t>
      </w:r>
      <w:proofErr w:type="spellStart"/>
      <w:r w:rsidR="00EB017E" w:rsidRPr="00705170">
        <w:rPr>
          <w:rFonts w:ascii="Times New Roman" w:hAnsi="Times New Roman" w:cs="Times New Roman"/>
        </w:rPr>
        <w:t>provision</w:t>
      </w:r>
      <w:proofErr w:type="spellEnd"/>
      <w:r w:rsidR="00EB017E" w:rsidRPr="00705170">
        <w:rPr>
          <w:rFonts w:ascii="Times New Roman" w:hAnsi="Times New Roman" w:cs="Times New Roman"/>
        </w:rPr>
        <w:t xml:space="preserve"> </w:t>
      </w:r>
      <w:proofErr w:type="spellStart"/>
      <w:r w:rsidR="00EB017E" w:rsidRPr="00705170">
        <w:rPr>
          <w:rFonts w:ascii="Times New Roman" w:hAnsi="Times New Roman" w:cs="Times New Roman"/>
        </w:rPr>
        <w:t>with</w:t>
      </w:r>
      <w:proofErr w:type="spellEnd"/>
      <w:r w:rsidR="00EB017E" w:rsidRPr="00705170">
        <w:rPr>
          <w:rFonts w:ascii="Times New Roman" w:hAnsi="Times New Roman" w:cs="Times New Roman"/>
        </w:rPr>
        <w:t xml:space="preserve"> </w:t>
      </w:r>
      <w:proofErr w:type="spellStart"/>
      <w:r w:rsidR="00EB017E" w:rsidRPr="00705170">
        <w:rPr>
          <w:rFonts w:ascii="Times New Roman" w:hAnsi="Times New Roman" w:cs="Times New Roman"/>
        </w:rPr>
        <w:t>other</w:t>
      </w:r>
      <w:proofErr w:type="spellEnd"/>
      <w:r w:rsidR="00EB017E" w:rsidRPr="00705170">
        <w:rPr>
          <w:rFonts w:ascii="Times New Roman" w:hAnsi="Times New Roman" w:cs="Times New Roman"/>
        </w:rPr>
        <w:t xml:space="preserve"> </w:t>
      </w:r>
      <w:proofErr w:type="spellStart"/>
      <w:r w:rsidR="00EB017E" w:rsidRPr="00705170">
        <w:rPr>
          <w:rFonts w:ascii="Times New Roman" w:hAnsi="Times New Roman" w:cs="Times New Roman"/>
        </w:rPr>
        <w:t>provisions</w:t>
      </w:r>
      <w:proofErr w:type="spellEnd"/>
      <w:r w:rsidR="00553D2B" w:rsidRPr="00705170">
        <w:rPr>
          <w:rStyle w:val="DipnotBavurusu"/>
          <w:rFonts w:ascii="Times New Roman" w:hAnsi="Times New Roman" w:cs="Times New Roman"/>
        </w:rPr>
        <w:footnoteReference w:id="298"/>
      </w:r>
      <w:r w:rsidR="00EB017E" w:rsidRPr="00705170">
        <w:rPr>
          <w:rFonts w:ascii="Times New Roman" w:hAnsi="Times New Roman" w:cs="Times New Roman"/>
        </w:rPr>
        <w:t xml:space="preserve"> </w:t>
      </w:r>
      <w:proofErr w:type="spellStart"/>
      <w:r w:rsidR="00432672" w:rsidRPr="00705170">
        <w:rPr>
          <w:rFonts w:ascii="Times New Roman" w:hAnsi="Times New Roman" w:cs="Times New Roman"/>
        </w:rPr>
        <w:t>requires</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both</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the</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courts</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and</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the</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regulatory</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authorities</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to</w:t>
      </w:r>
      <w:proofErr w:type="spellEnd"/>
      <w:r w:rsidR="00432672" w:rsidRPr="00705170">
        <w:rPr>
          <w:rFonts w:ascii="Times New Roman" w:hAnsi="Times New Roman" w:cs="Times New Roman"/>
        </w:rPr>
        <w:t xml:space="preserve"> be </w:t>
      </w:r>
      <w:proofErr w:type="spellStart"/>
      <w:r w:rsidR="00432672" w:rsidRPr="00705170">
        <w:rPr>
          <w:rFonts w:ascii="Times New Roman" w:hAnsi="Times New Roman" w:cs="Times New Roman"/>
        </w:rPr>
        <w:t>consistent</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and</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precise</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about</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their</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conclusions</w:t>
      </w:r>
      <w:proofErr w:type="spellEnd"/>
      <w:r w:rsidR="004870B0" w:rsidRPr="00705170">
        <w:rPr>
          <w:rFonts w:ascii="Times New Roman" w:hAnsi="Times New Roman" w:cs="Times New Roman"/>
        </w:rPr>
        <w:t xml:space="preserve">, </w:t>
      </w:r>
      <w:proofErr w:type="spellStart"/>
      <w:r w:rsidR="004870B0" w:rsidRPr="00705170">
        <w:rPr>
          <w:rFonts w:ascii="Times New Roman" w:hAnsi="Times New Roman" w:cs="Times New Roman"/>
        </w:rPr>
        <w:t>and</w:t>
      </w:r>
      <w:proofErr w:type="spellEnd"/>
      <w:r w:rsidR="004870B0" w:rsidRPr="00705170">
        <w:rPr>
          <w:rFonts w:ascii="Times New Roman" w:hAnsi="Times New Roman" w:cs="Times New Roman"/>
        </w:rPr>
        <w:t xml:space="preserve"> </w:t>
      </w:r>
      <w:proofErr w:type="spellStart"/>
      <w:r w:rsidR="004870B0" w:rsidRPr="00705170">
        <w:rPr>
          <w:rFonts w:ascii="Times New Roman" w:hAnsi="Times New Roman" w:cs="Times New Roman"/>
        </w:rPr>
        <w:t>their</w:t>
      </w:r>
      <w:proofErr w:type="spellEnd"/>
      <w:r w:rsidR="004870B0" w:rsidRPr="00705170">
        <w:rPr>
          <w:rFonts w:ascii="Times New Roman" w:hAnsi="Times New Roman" w:cs="Times New Roman"/>
        </w:rPr>
        <w:t xml:space="preserve"> </w:t>
      </w:r>
      <w:proofErr w:type="spellStart"/>
      <w:r w:rsidR="004870B0" w:rsidRPr="00705170">
        <w:rPr>
          <w:rFonts w:ascii="Times New Roman" w:hAnsi="Times New Roman" w:cs="Times New Roman"/>
        </w:rPr>
        <w:t>interpretation</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would</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probably</w:t>
      </w:r>
      <w:proofErr w:type="spellEnd"/>
      <w:r w:rsidR="00432672" w:rsidRPr="00705170">
        <w:rPr>
          <w:rFonts w:ascii="Times New Roman" w:hAnsi="Times New Roman" w:cs="Times New Roman"/>
        </w:rPr>
        <w:t xml:space="preserve"> </w:t>
      </w:r>
      <w:r w:rsidR="00972064" w:rsidRPr="00705170">
        <w:rPr>
          <w:rFonts w:ascii="Times New Roman" w:hAnsi="Times New Roman" w:cs="Times New Roman"/>
        </w:rPr>
        <w:t>(</w:t>
      </w:r>
      <w:proofErr w:type="spellStart"/>
      <w:r w:rsidR="00972064" w:rsidRPr="00705170">
        <w:rPr>
          <w:rFonts w:ascii="Times New Roman" w:hAnsi="Times New Roman" w:cs="Times New Roman"/>
        </w:rPr>
        <w:t>and</w:t>
      </w:r>
      <w:proofErr w:type="spellEnd"/>
      <w:r w:rsidR="00972064" w:rsidRPr="00705170">
        <w:rPr>
          <w:rFonts w:ascii="Times New Roman" w:hAnsi="Times New Roman" w:cs="Times New Roman"/>
        </w:rPr>
        <w:t xml:space="preserve"> </w:t>
      </w:r>
      <w:proofErr w:type="spellStart"/>
      <w:r w:rsidR="00972064" w:rsidRPr="00705170">
        <w:rPr>
          <w:rFonts w:ascii="Times New Roman" w:hAnsi="Times New Roman" w:cs="Times New Roman"/>
        </w:rPr>
        <w:t>should</w:t>
      </w:r>
      <w:proofErr w:type="spellEnd"/>
      <w:r w:rsidR="00972064" w:rsidRPr="00705170">
        <w:rPr>
          <w:rFonts w:ascii="Times New Roman" w:hAnsi="Times New Roman" w:cs="Times New Roman"/>
        </w:rPr>
        <w:t xml:space="preserve">) </w:t>
      </w:r>
      <w:proofErr w:type="spellStart"/>
      <w:r w:rsidR="00432672" w:rsidRPr="00705170">
        <w:rPr>
          <w:rFonts w:ascii="Times New Roman" w:hAnsi="Times New Roman" w:cs="Times New Roman"/>
        </w:rPr>
        <w:t>lead</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to</w:t>
      </w:r>
      <w:proofErr w:type="spellEnd"/>
      <w:r w:rsidR="00432672" w:rsidRPr="00705170">
        <w:rPr>
          <w:rFonts w:ascii="Times New Roman" w:hAnsi="Times New Roman" w:cs="Times New Roman"/>
        </w:rPr>
        <w:t xml:space="preserve"> a </w:t>
      </w:r>
      <w:proofErr w:type="spellStart"/>
      <w:r w:rsidR="00432672" w:rsidRPr="00705170">
        <w:rPr>
          <w:rFonts w:ascii="Times New Roman" w:hAnsi="Times New Roman" w:cs="Times New Roman"/>
        </w:rPr>
        <w:t>narrow</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interpretation</w:t>
      </w:r>
      <w:proofErr w:type="spellEnd"/>
      <w:r w:rsidR="00432672" w:rsidRPr="00705170">
        <w:rPr>
          <w:rFonts w:ascii="Times New Roman" w:hAnsi="Times New Roman" w:cs="Times New Roman"/>
        </w:rPr>
        <w:t xml:space="preserve"> of </w:t>
      </w:r>
      <w:proofErr w:type="spellStart"/>
      <w:r w:rsidR="00432672" w:rsidRPr="00705170">
        <w:rPr>
          <w:rFonts w:ascii="Times New Roman" w:hAnsi="Times New Roman" w:cs="Times New Roman"/>
        </w:rPr>
        <w:t>the</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term’s</w:t>
      </w:r>
      <w:proofErr w:type="spellEnd"/>
      <w:r w:rsidR="00432672" w:rsidRPr="00705170">
        <w:rPr>
          <w:rFonts w:ascii="Times New Roman" w:hAnsi="Times New Roman" w:cs="Times New Roman"/>
        </w:rPr>
        <w:t xml:space="preserve"> </w:t>
      </w:r>
      <w:proofErr w:type="spellStart"/>
      <w:r w:rsidR="00432672" w:rsidRPr="00705170">
        <w:rPr>
          <w:rFonts w:ascii="Times New Roman" w:hAnsi="Times New Roman" w:cs="Times New Roman"/>
        </w:rPr>
        <w:t>coverage</w:t>
      </w:r>
      <w:proofErr w:type="spellEnd"/>
      <w:r w:rsidR="00432672" w:rsidRPr="00705170">
        <w:rPr>
          <w:rFonts w:ascii="Times New Roman" w:hAnsi="Times New Roman" w:cs="Times New Roman"/>
        </w:rPr>
        <w:t>.</w:t>
      </w:r>
      <w:r w:rsidRPr="00705170">
        <w:rPr>
          <w:rFonts w:ascii="Times New Roman" w:hAnsi="Times New Roman" w:cs="Times New Roman"/>
        </w:rPr>
        <w:t xml:space="preserve"> </w:t>
      </w:r>
      <w:proofErr w:type="spellStart"/>
      <w:r w:rsidR="00035E29" w:rsidRPr="00705170">
        <w:rPr>
          <w:rFonts w:ascii="Times New Roman" w:hAnsi="Times New Roman" w:cs="Times New Roman"/>
        </w:rPr>
        <w:t>Furthermore</w:t>
      </w:r>
      <w:proofErr w:type="spellEnd"/>
      <w:r w:rsidR="00035E29" w:rsidRPr="00705170">
        <w:rPr>
          <w:rFonts w:ascii="Times New Roman" w:hAnsi="Times New Roman" w:cs="Times New Roman"/>
        </w:rPr>
        <w:t xml:space="preserve">, </w:t>
      </w:r>
      <w:proofErr w:type="spellStart"/>
      <w:r w:rsidR="0074796F" w:rsidRPr="00705170">
        <w:rPr>
          <w:rFonts w:ascii="Times New Roman" w:hAnsi="Times New Roman" w:cs="Times New Roman"/>
        </w:rPr>
        <w:t>while</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the</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broad</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language</w:t>
      </w:r>
      <w:proofErr w:type="spellEnd"/>
      <w:r w:rsidR="0074796F" w:rsidRPr="00705170">
        <w:rPr>
          <w:rFonts w:ascii="Times New Roman" w:hAnsi="Times New Roman" w:cs="Times New Roman"/>
        </w:rPr>
        <w:t xml:space="preserve"> of CML </w:t>
      </w:r>
      <w:proofErr w:type="spellStart"/>
      <w:r w:rsidR="0074796F" w:rsidRPr="00705170">
        <w:rPr>
          <w:rFonts w:ascii="Times New Roman" w:hAnsi="Times New Roman" w:cs="Times New Roman"/>
        </w:rPr>
        <w:t>Article</w:t>
      </w:r>
      <w:proofErr w:type="spellEnd"/>
      <w:r w:rsidR="0074796F" w:rsidRPr="00705170">
        <w:rPr>
          <w:rFonts w:ascii="Times New Roman" w:hAnsi="Times New Roman" w:cs="Times New Roman"/>
        </w:rPr>
        <w:t xml:space="preserve"> 21(2) </w:t>
      </w:r>
      <w:r w:rsidR="0074796F" w:rsidRPr="00705170">
        <w:rPr>
          <w:rFonts w:ascii="Times New Roman" w:hAnsi="Times New Roman" w:cs="Times New Roman"/>
        </w:rPr>
        <w:lastRenderedPageBreak/>
        <w:t xml:space="preserve">can be </w:t>
      </w:r>
      <w:proofErr w:type="spellStart"/>
      <w:r w:rsidR="0074796F" w:rsidRPr="00705170">
        <w:rPr>
          <w:rFonts w:ascii="Times New Roman" w:hAnsi="Times New Roman" w:cs="Times New Roman"/>
        </w:rPr>
        <w:t>interpreted</w:t>
      </w:r>
      <w:proofErr w:type="spellEnd"/>
      <w:r w:rsidR="0074796F" w:rsidRPr="00705170">
        <w:rPr>
          <w:rFonts w:ascii="Times New Roman" w:hAnsi="Times New Roman" w:cs="Times New Roman"/>
        </w:rPr>
        <w:t xml:space="preserve"> as a </w:t>
      </w:r>
      <w:proofErr w:type="spellStart"/>
      <w:r w:rsidR="0074796F" w:rsidRPr="00705170">
        <w:rPr>
          <w:rFonts w:ascii="Times New Roman" w:hAnsi="Times New Roman" w:cs="Times New Roman"/>
        </w:rPr>
        <w:t>provision</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that</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gives</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the</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chance</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to</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track</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transactions</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with</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non</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related</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parties</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completed</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for</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the</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benefit</w:t>
      </w:r>
      <w:proofErr w:type="spellEnd"/>
      <w:r w:rsidR="0074796F" w:rsidRPr="00705170">
        <w:rPr>
          <w:rFonts w:ascii="Times New Roman" w:hAnsi="Times New Roman" w:cs="Times New Roman"/>
        </w:rPr>
        <w:t xml:space="preserve"> of a </w:t>
      </w:r>
      <w:proofErr w:type="spellStart"/>
      <w:r w:rsidR="0074796F" w:rsidRPr="00705170">
        <w:rPr>
          <w:rFonts w:ascii="Times New Roman" w:hAnsi="Times New Roman" w:cs="Times New Roman"/>
        </w:rPr>
        <w:t>related</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party</w:t>
      </w:r>
      <w:proofErr w:type="spellEnd"/>
      <w:r w:rsidR="0074796F" w:rsidRPr="00705170">
        <w:rPr>
          <w:rFonts w:ascii="Times New Roman" w:hAnsi="Times New Roman" w:cs="Times New Roman"/>
        </w:rPr>
        <w:t xml:space="preserve">, </w:t>
      </w:r>
      <w:proofErr w:type="spellStart"/>
      <w:r w:rsidR="00035E29" w:rsidRPr="00705170">
        <w:rPr>
          <w:rFonts w:ascii="Times New Roman" w:hAnsi="Times New Roman" w:cs="Times New Roman"/>
        </w:rPr>
        <w:t>the</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fact</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that</w:t>
      </w:r>
      <w:proofErr w:type="spellEnd"/>
      <w:r w:rsidR="00035E29" w:rsidRPr="00705170">
        <w:rPr>
          <w:rFonts w:ascii="Times New Roman" w:hAnsi="Times New Roman" w:cs="Times New Roman"/>
        </w:rPr>
        <w:t xml:space="preserve"> an </w:t>
      </w:r>
      <w:proofErr w:type="spellStart"/>
      <w:r w:rsidR="00035E29" w:rsidRPr="00705170">
        <w:rPr>
          <w:rFonts w:ascii="Times New Roman" w:hAnsi="Times New Roman" w:cs="Times New Roman"/>
        </w:rPr>
        <w:t>inc</w:t>
      </w:r>
      <w:r w:rsidR="004F4C79" w:rsidRPr="00705170">
        <w:rPr>
          <w:rFonts w:ascii="Times New Roman" w:hAnsi="Times New Roman" w:cs="Times New Roman"/>
        </w:rPr>
        <w:t>r</w:t>
      </w:r>
      <w:r w:rsidR="00035E29" w:rsidRPr="00705170">
        <w:rPr>
          <w:rFonts w:ascii="Times New Roman" w:hAnsi="Times New Roman" w:cs="Times New Roman"/>
        </w:rPr>
        <w:t>ease</w:t>
      </w:r>
      <w:proofErr w:type="spellEnd"/>
      <w:r w:rsidR="00035E29" w:rsidRPr="00705170">
        <w:rPr>
          <w:rFonts w:ascii="Times New Roman" w:hAnsi="Times New Roman" w:cs="Times New Roman"/>
        </w:rPr>
        <w:t xml:space="preserve"> in </w:t>
      </w:r>
      <w:proofErr w:type="spellStart"/>
      <w:r w:rsidR="00035E29" w:rsidRPr="00705170">
        <w:rPr>
          <w:rFonts w:ascii="Times New Roman" w:hAnsi="Times New Roman" w:cs="Times New Roman"/>
        </w:rPr>
        <w:t>the</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related-party’s</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assets</w:t>
      </w:r>
      <w:proofErr w:type="spellEnd"/>
      <w:r w:rsidR="00035E29" w:rsidRPr="00705170">
        <w:rPr>
          <w:rFonts w:ascii="Times New Roman" w:hAnsi="Times New Roman" w:cs="Times New Roman"/>
        </w:rPr>
        <w:t xml:space="preserve"> is </w:t>
      </w:r>
      <w:proofErr w:type="spellStart"/>
      <w:r w:rsidR="00035E29" w:rsidRPr="00705170">
        <w:rPr>
          <w:rFonts w:ascii="Times New Roman" w:hAnsi="Times New Roman" w:cs="Times New Roman"/>
        </w:rPr>
        <w:t>required</w:t>
      </w:r>
      <w:proofErr w:type="spellEnd"/>
      <w:r w:rsidR="00035E29" w:rsidRPr="00705170">
        <w:rPr>
          <w:rFonts w:ascii="Times New Roman" w:hAnsi="Times New Roman" w:cs="Times New Roman"/>
        </w:rPr>
        <w:t xml:space="preserve"> </w:t>
      </w:r>
      <w:proofErr w:type="spellStart"/>
      <w:r w:rsidR="0074796F" w:rsidRPr="00705170">
        <w:rPr>
          <w:rFonts w:ascii="Times New Roman" w:hAnsi="Times New Roman" w:cs="Times New Roman"/>
        </w:rPr>
        <w:t>makes</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the</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provision</w:t>
      </w:r>
      <w:proofErr w:type="spellEnd"/>
      <w:r w:rsidR="0074796F" w:rsidRPr="00705170">
        <w:rPr>
          <w:rFonts w:ascii="Times New Roman" w:hAnsi="Times New Roman" w:cs="Times New Roman"/>
        </w:rPr>
        <w:t xml:space="preserve"> </w:t>
      </w:r>
      <w:proofErr w:type="spellStart"/>
      <w:r w:rsidR="00FC7981" w:rsidRPr="00705170">
        <w:rPr>
          <w:rFonts w:ascii="Times New Roman" w:hAnsi="Times New Roman" w:cs="Times New Roman"/>
        </w:rPr>
        <w:t>ineffective</w:t>
      </w:r>
      <w:proofErr w:type="spellEnd"/>
      <w:r w:rsidR="00FC7981" w:rsidRPr="00705170">
        <w:rPr>
          <w:rFonts w:ascii="Times New Roman" w:hAnsi="Times New Roman" w:cs="Times New Roman"/>
        </w:rPr>
        <w:t xml:space="preserve"> </w:t>
      </w:r>
      <w:proofErr w:type="spellStart"/>
      <w:r w:rsidR="00FC7981" w:rsidRPr="00705170">
        <w:rPr>
          <w:rFonts w:ascii="Times New Roman" w:hAnsi="Times New Roman" w:cs="Times New Roman"/>
        </w:rPr>
        <w:t>against</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non</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pecuniary</w:t>
      </w:r>
      <w:proofErr w:type="spellEnd"/>
      <w:r w:rsidR="0074796F" w:rsidRPr="00705170">
        <w:rPr>
          <w:rFonts w:ascii="Times New Roman" w:hAnsi="Times New Roman" w:cs="Times New Roman"/>
        </w:rPr>
        <w:t xml:space="preserve"> </w:t>
      </w:r>
      <w:proofErr w:type="spellStart"/>
      <w:r w:rsidR="0074796F" w:rsidRPr="00705170">
        <w:rPr>
          <w:rFonts w:ascii="Times New Roman" w:hAnsi="Times New Roman" w:cs="Times New Roman"/>
        </w:rPr>
        <w:t>benefits</w:t>
      </w:r>
      <w:proofErr w:type="spellEnd"/>
      <w:r w:rsidR="00161424" w:rsidRPr="00705170">
        <w:rPr>
          <w:rStyle w:val="DipnotBavurusu"/>
          <w:rFonts w:ascii="Times New Roman" w:hAnsi="Times New Roman" w:cs="Times New Roman"/>
        </w:rPr>
        <w:footnoteReference w:id="299"/>
      </w:r>
      <w:r w:rsidR="008D17C9" w:rsidRPr="00705170">
        <w:rPr>
          <w:rFonts w:ascii="Times New Roman" w:hAnsi="Times New Roman" w:cs="Times New Roman"/>
        </w:rPr>
        <w:t xml:space="preserve">. </w:t>
      </w:r>
      <w:proofErr w:type="spellStart"/>
      <w:r w:rsidR="00035E29" w:rsidRPr="00705170">
        <w:rPr>
          <w:rFonts w:ascii="Times New Roman" w:hAnsi="Times New Roman" w:cs="Times New Roman"/>
        </w:rPr>
        <w:t>In</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addition</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to</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this</w:t>
      </w:r>
      <w:proofErr w:type="spellEnd"/>
      <w:r w:rsidRPr="00705170">
        <w:rPr>
          <w:rFonts w:ascii="Times New Roman" w:hAnsi="Times New Roman" w:cs="Times New Roman"/>
        </w:rPr>
        <w:t>,</w:t>
      </w:r>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both</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shareholders</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motivation</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and</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ability</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to</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monitor</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these</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transactions</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are</w:t>
      </w:r>
      <w:proofErr w:type="spellEnd"/>
      <w:r w:rsidR="006C6235" w:rsidRPr="00705170">
        <w:rPr>
          <w:rFonts w:ascii="Times New Roman" w:hAnsi="Times New Roman" w:cs="Times New Roman"/>
        </w:rPr>
        <w:t xml:space="preserve"> in </w:t>
      </w:r>
      <w:proofErr w:type="spellStart"/>
      <w:r w:rsidR="006C6235" w:rsidRPr="00705170">
        <w:rPr>
          <w:rFonts w:ascii="Times New Roman" w:hAnsi="Times New Roman" w:cs="Times New Roman"/>
        </w:rPr>
        <w:t>question</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because</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the</w:t>
      </w:r>
      <w:r w:rsidR="00035E29" w:rsidRPr="00705170">
        <w:rPr>
          <w:rFonts w:ascii="Times New Roman" w:hAnsi="Times New Roman" w:cs="Times New Roman"/>
        </w:rPr>
        <w:t>y</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are</w:t>
      </w:r>
      <w:proofErr w:type="spellEnd"/>
      <w:r w:rsidR="00035E29" w:rsidRPr="00705170">
        <w:rPr>
          <w:rFonts w:ascii="Times New Roman" w:hAnsi="Times New Roman" w:cs="Times New Roman"/>
        </w:rPr>
        <w:t xml:space="preserve"> not </w:t>
      </w:r>
      <w:proofErr w:type="spellStart"/>
      <w:r w:rsidR="00035E29" w:rsidRPr="00705170">
        <w:rPr>
          <w:rFonts w:ascii="Times New Roman" w:hAnsi="Times New Roman" w:cs="Times New Roman"/>
        </w:rPr>
        <w:t>directly</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compensated</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if</w:t>
      </w:r>
      <w:proofErr w:type="spellEnd"/>
      <w:r w:rsidR="00035E29" w:rsidRPr="00705170">
        <w:rPr>
          <w:rFonts w:ascii="Times New Roman" w:hAnsi="Times New Roman" w:cs="Times New Roman"/>
        </w:rPr>
        <w:t xml:space="preserve"> a </w:t>
      </w:r>
      <w:proofErr w:type="spellStart"/>
      <w:r w:rsidR="00035E29" w:rsidRPr="00705170">
        <w:rPr>
          <w:rFonts w:ascii="Times New Roman" w:hAnsi="Times New Roman" w:cs="Times New Roman"/>
        </w:rPr>
        <w:t>violation</w:t>
      </w:r>
      <w:proofErr w:type="spellEnd"/>
      <w:r w:rsidR="00035E29" w:rsidRPr="00705170">
        <w:rPr>
          <w:rFonts w:ascii="Times New Roman" w:hAnsi="Times New Roman" w:cs="Times New Roman"/>
        </w:rPr>
        <w:t xml:space="preserve"> </w:t>
      </w:r>
      <w:proofErr w:type="spellStart"/>
      <w:r w:rsidR="00035E29" w:rsidRPr="00705170">
        <w:rPr>
          <w:rFonts w:ascii="Times New Roman" w:hAnsi="Times New Roman" w:cs="Times New Roman"/>
        </w:rPr>
        <w:t>ar</w:t>
      </w:r>
      <w:r w:rsidR="00D93371" w:rsidRPr="00705170">
        <w:rPr>
          <w:rFonts w:ascii="Times New Roman" w:hAnsi="Times New Roman" w:cs="Times New Roman"/>
        </w:rPr>
        <w:t>ises</w:t>
      </w:r>
      <w:proofErr w:type="spellEnd"/>
      <w:r w:rsidR="00D93371" w:rsidRPr="00705170">
        <w:rPr>
          <w:rFonts w:ascii="Times New Roman" w:hAnsi="Times New Roman" w:cs="Times New Roman"/>
        </w:rPr>
        <w:t xml:space="preserve"> </w:t>
      </w:r>
      <w:proofErr w:type="spellStart"/>
      <w:r w:rsidR="00035E29" w:rsidRPr="00705170">
        <w:rPr>
          <w:rFonts w:ascii="Times New Roman" w:hAnsi="Times New Roman" w:cs="Times New Roman"/>
        </w:rPr>
        <w:t>and</w:t>
      </w:r>
      <w:proofErr w:type="spellEnd"/>
      <w:r w:rsidR="00035E29" w:rsidRPr="00705170">
        <w:rPr>
          <w:rFonts w:ascii="Times New Roman" w:hAnsi="Times New Roman" w:cs="Times New Roman"/>
        </w:rPr>
        <w:t xml:space="preserve"> do not </w:t>
      </w:r>
      <w:proofErr w:type="spellStart"/>
      <w:r w:rsidR="006C6235" w:rsidRPr="00705170">
        <w:rPr>
          <w:rFonts w:ascii="Times New Roman" w:hAnsi="Times New Roman" w:cs="Times New Roman"/>
        </w:rPr>
        <w:t>have</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adequate</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access</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to</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sufficient</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information</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ahead</w:t>
      </w:r>
      <w:proofErr w:type="spellEnd"/>
      <w:r w:rsidR="006C6235" w:rsidRPr="00705170">
        <w:rPr>
          <w:rFonts w:ascii="Times New Roman" w:hAnsi="Times New Roman" w:cs="Times New Roman"/>
        </w:rPr>
        <w:t xml:space="preserve"> of </w:t>
      </w:r>
      <w:proofErr w:type="spellStart"/>
      <w:r w:rsidR="006C6235" w:rsidRPr="00705170">
        <w:rPr>
          <w:rFonts w:ascii="Times New Roman" w:hAnsi="Times New Roman" w:cs="Times New Roman"/>
        </w:rPr>
        <w:t>the</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planned</w:t>
      </w:r>
      <w:proofErr w:type="spellEnd"/>
      <w:r w:rsidR="006C6235" w:rsidRPr="00705170">
        <w:rPr>
          <w:rFonts w:ascii="Times New Roman" w:hAnsi="Times New Roman" w:cs="Times New Roman"/>
        </w:rPr>
        <w:t xml:space="preserve"> </w:t>
      </w:r>
      <w:proofErr w:type="spellStart"/>
      <w:r w:rsidR="006C6235" w:rsidRPr="00705170">
        <w:rPr>
          <w:rFonts w:ascii="Times New Roman" w:hAnsi="Times New Roman" w:cs="Times New Roman"/>
        </w:rPr>
        <w:t>transaction</w:t>
      </w:r>
      <w:proofErr w:type="spellEnd"/>
      <w:r w:rsidR="006C6235" w:rsidRPr="00705170">
        <w:rPr>
          <w:rFonts w:ascii="Times New Roman" w:hAnsi="Times New Roman" w:cs="Times New Roman"/>
        </w:rPr>
        <w:t xml:space="preserve">. </w:t>
      </w: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006E6B06" w:rsidRPr="00705170">
        <w:rPr>
          <w:rFonts w:ascii="Times New Roman" w:hAnsi="Times New Roman" w:cs="Times New Roman"/>
        </w:rPr>
        <w:t>the</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disclosure</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requirements</w:t>
      </w:r>
      <w:proofErr w:type="spellEnd"/>
      <w:r w:rsidR="006E6B06" w:rsidRPr="00705170">
        <w:rPr>
          <w:rFonts w:ascii="Times New Roman" w:hAnsi="Times New Roman" w:cs="Times New Roman"/>
        </w:rPr>
        <w:t xml:space="preserve"> </w:t>
      </w:r>
      <w:proofErr w:type="spellStart"/>
      <w:r w:rsidR="004C1A38" w:rsidRPr="00705170">
        <w:rPr>
          <w:rFonts w:ascii="Times New Roman" w:hAnsi="Times New Roman" w:cs="Times New Roman"/>
        </w:rPr>
        <w:t>would</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provide</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them</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some</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information</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transactions</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structured</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to</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stay</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below</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thresholds</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and</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with</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non</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related</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parties</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would</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still</w:t>
      </w:r>
      <w:proofErr w:type="spellEnd"/>
      <w:r w:rsidR="004C1A38" w:rsidRPr="00705170">
        <w:rPr>
          <w:rFonts w:ascii="Times New Roman" w:hAnsi="Times New Roman" w:cs="Times New Roman"/>
        </w:rPr>
        <w:t xml:space="preserve"> not be </w:t>
      </w:r>
      <w:proofErr w:type="spellStart"/>
      <w:r w:rsidR="004C1A38" w:rsidRPr="00705170">
        <w:rPr>
          <w:rFonts w:ascii="Times New Roman" w:hAnsi="Times New Roman" w:cs="Times New Roman"/>
        </w:rPr>
        <w:t>disclosed</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under</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this</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special</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disclosure</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regime</w:t>
      </w:r>
      <w:proofErr w:type="spellEnd"/>
      <w:r w:rsidR="00257771" w:rsidRPr="00705170">
        <w:rPr>
          <w:rFonts w:ascii="Times New Roman" w:hAnsi="Times New Roman" w:cs="Times New Roman"/>
        </w:rPr>
        <w:t xml:space="preserve"> </w:t>
      </w:r>
      <w:r w:rsidR="004F4C79" w:rsidRPr="00705170">
        <w:rPr>
          <w:rFonts w:ascii="Times New Roman" w:hAnsi="Times New Roman" w:cs="Times New Roman"/>
        </w:rPr>
        <w:t>(</w:t>
      </w:r>
      <w:r w:rsidR="00257771" w:rsidRPr="00705170">
        <w:rPr>
          <w:rFonts w:ascii="Times New Roman" w:hAnsi="Times New Roman" w:cs="Times New Roman"/>
        </w:rPr>
        <w:t xml:space="preserve">but </w:t>
      </w:r>
      <w:proofErr w:type="spellStart"/>
      <w:r w:rsidR="00257771" w:rsidRPr="00705170">
        <w:rPr>
          <w:rFonts w:ascii="Times New Roman" w:hAnsi="Times New Roman" w:cs="Times New Roman"/>
        </w:rPr>
        <w:t>would</w:t>
      </w:r>
      <w:proofErr w:type="spellEnd"/>
      <w:r w:rsidR="00257771" w:rsidRPr="00705170">
        <w:rPr>
          <w:rFonts w:ascii="Times New Roman" w:hAnsi="Times New Roman" w:cs="Times New Roman"/>
        </w:rPr>
        <w:t xml:space="preserve"> </w:t>
      </w:r>
      <w:proofErr w:type="spellStart"/>
      <w:r w:rsidR="00257771" w:rsidRPr="00705170">
        <w:rPr>
          <w:rFonts w:ascii="Times New Roman" w:hAnsi="Times New Roman" w:cs="Times New Roman"/>
        </w:rPr>
        <w:t>still</w:t>
      </w:r>
      <w:proofErr w:type="spellEnd"/>
      <w:r w:rsidR="00257771" w:rsidRPr="00705170">
        <w:rPr>
          <w:rFonts w:ascii="Times New Roman" w:hAnsi="Times New Roman" w:cs="Times New Roman"/>
        </w:rPr>
        <w:t xml:space="preserve"> be </w:t>
      </w:r>
      <w:proofErr w:type="spellStart"/>
      <w:r w:rsidR="00257771" w:rsidRPr="00705170">
        <w:rPr>
          <w:rFonts w:ascii="Times New Roman" w:hAnsi="Times New Roman" w:cs="Times New Roman"/>
        </w:rPr>
        <w:t>subject</w:t>
      </w:r>
      <w:proofErr w:type="spellEnd"/>
      <w:r w:rsidR="00257771" w:rsidRPr="00705170">
        <w:rPr>
          <w:rFonts w:ascii="Times New Roman" w:hAnsi="Times New Roman" w:cs="Times New Roman"/>
        </w:rPr>
        <w:t xml:space="preserve"> </w:t>
      </w:r>
      <w:proofErr w:type="spellStart"/>
      <w:r w:rsidR="00257771" w:rsidRPr="00705170">
        <w:rPr>
          <w:rFonts w:ascii="Times New Roman" w:hAnsi="Times New Roman" w:cs="Times New Roman"/>
        </w:rPr>
        <w:t>to</w:t>
      </w:r>
      <w:proofErr w:type="spellEnd"/>
      <w:r w:rsidR="00257771" w:rsidRPr="00705170">
        <w:rPr>
          <w:rFonts w:ascii="Times New Roman" w:hAnsi="Times New Roman" w:cs="Times New Roman"/>
        </w:rPr>
        <w:t xml:space="preserve"> </w:t>
      </w:r>
      <w:proofErr w:type="spellStart"/>
      <w:r w:rsidR="00257771" w:rsidRPr="00705170">
        <w:rPr>
          <w:rFonts w:ascii="Times New Roman" w:hAnsi="Times New Roman" w:cs="Times New Roman"/>
        </w:rPr>
        <w:t>the</w:t>
      </w:r>
      <w:proofErr w:type="spellEnd"/>
      <w:r w:rsidR="00257771" w:rsidRPr="00705170">
        <w:rPr>
          <w:rFonts w:ascii="Times New Roman" w:hAnsi="Times New Roman" w:cs="Times New Roman"/>
        </w:rPr>
        <w:t xml:space="preserve"> general </w:t>
      </w:r>
      <w:proofErr w:type="spellStart"/>
      <w:r w:rsidR="00257771" w:rsidRPr="00705170">
        <w:rPr>
          <w:rFonts w:ascii="Times New Roman" w:hAnsi="Times New Roman" w:cs="Times New Roman"/>
        </w:rPr>
        <w:t>disclosure</w:t>
      </w:r>
      <w:proofErr w:type="spellEnd"/>
      <w:r w:rsidR="00257771" w:rsidRPr="00705170">
        <w:rPr>
          <w:rFonts w:ascii="Times New Roman" w:hAnsi="Times New Roman" w:cs="Times New Roman"/>
        </w:rPr>
        <w:t xml:space="preserve"> </w:t>
      </w:r>
      <w:proofErr w:type="spellStart"/>
      <w:r w:rsidR="00257771" w:rsidRPr="00705170">
        <w:rPr>
          <w:rFonts w:ascii="Times New Roman" w:hAnsi="Times New Roman" w:cs="Times New Roman"/>
        </w:rPr>
        <w:t>regime</w:t>
      </w:r>
      <w:proofErr w:type="spellEnd"/>
      <w:r w:rsidR="00257771" w:rsidRPr="00705170">
        <w:rPr>
          <w:rFonts w:ascii="Times New Roman" w:hAnsi="Times New Roman" w:cs="Times New Roman"/>
        </w:rPr>
        <w:t xml:space="preserve"> </w:t>
      </w:r>
      <w:proofErr w:type="spellStart"/>
      <w:r w:rsidR="00257771" w:rsidRPr="00705170">
        <w:rPr>
          <w:rFonts w:ascii="Times New Roman" w:hAnsi="Times New Roman" w:cs="Times New Roman"/>
        </w:rPr>
        <w:t>which</w:t>
      </w:r>
      <w:proofErr w:type="spellEnd"/>
      <w:r w:rsidR="00257771" w:rsidRPr="00705170">
        <w:rPr>
          <w:rFonts w:ascii="Times New Roman" w:hAnsi="Times New Roman" w:cs="Times New Roman"/>
        </w:rPr>
        <w:t xml:space="preserve"> can be </w:t>
      </w:r>
      <w:proofErr w:type="spellStart"/>
      <w:r w:rsidR="004F4C79" w:rsidRPr="00705170">
        <w:rPr>
          <w:rFonts w:ascii="Times New Roman" w:hAnsi="Times New Roman" w:cs="Times New Roman"/>
        </w:rPr>
        <w:t>circumvented</w:t>
      </w:r>
      <w:proofErr w:type="spellEnd"/>
      <w:r w:rsidR="004F4C79" w:rsidRPr="00705170">
        <w:rPr>
          <w:rFonts w:ascii="Times New Roman" w:hAnsi="Times New Roman" w:cs="Times New Roman"/>
        </w:rPr>
        <w:t>)</w:t>
      </w:r>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Meanwhile</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the</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requirement</w:t>
      </w:r>
      <w:proofErr w:type="spellEnd"/>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that</w:t>
      </w:r>
      <w:proofErr w:type="spellEnd"/>
      <w:r w:rsidR="004C1A38" w:rsidRPr="00705170">
        <w:rPr>
          <w:rFonts w:ascii="Times New Roman" w:hAnsi="Times New Roman" w:cs="Times New Roman"/>
        </w:rPr>
        <w:t xml:space="preserve"> </w:t>
      </w:r>
      <w:proofErr w:type="spellStart"/>
      <w:r w:rsidR="006E6B06" w:rsidRPr="00705170">
        <w:rPr>
          <w:rFonts w:ascii="Times New Roman" w:hAnsi="Times New Roman" w:cs="Times New Roman"/>
        </w:rPr>
        <w:t>transactions</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with</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related</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parties</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should</w:t>
      </w:r>
      <w:proofErr w:type="spellEnd"/>
      <w:r w:rsidR="006E6B06" w:rsidRPr="00705170">
        <w:rPr>
          <w:rFonts w:ascii="Times New Roman" w:hAnsi="Times New Roman" w:cs="Times New Roman"/>
        </w:rPr>
        <w:t xml:space="preserve"> be </w:t>
      </w:r>
      <w:proofErr w:type="spellStart"/>
      <w:r w:rsidR="004C1A38" w:rsidRPr="00705170">
        <w:rPr>
          <w:rFonts w:ascii="Times New Roman" w:hAnsi="Times New Roman" w:cs="Times New Roman"/>
        </w:rPr>
        <w:t>documented</w:t>
      </w:r>
      <w:proofErr w:type="spellEnd"/>
      <w:r w:rsidR="004C1A38" w:rsidRPr="00705170">
        <w:rPr>
          <w:rFonts w:ascii="Times New Roman" w:hAnsi="Times New Roman" w:cs="Times New Roman"/>
        </w:rPr>
        <w:t xml:space="preserve"> </w:t>
      </w:r>
      <w:proofErr w:type="spellStart"/>
      <w:r w:rsidR="006E6B06" w:rsidRPr="00705170">
        <w:rPr>
          <w:rFonts w:ascii="Times New Roman" w:hAnsi="Times New Roman" w:cs="Times New Roman"/>
        </w:rPr>
        <w:t>and</w:t>
      </w:r>
      <w:proofErr w:type="spellEnd"/>
      <w:r w:rsidR="006E6B06" w:rsidRPr="00705170">
        <w:rPr>
          <w:rFonts w:ascii="Times New Roman" w:hAnsi="Times New Roman" w:cs="Times New Roman"/>
        </w:rPr>
        <w:t xml:space="preserve"> </w:t>
      </w:r>
      <w:proofErr w:type="spellStart"/>
      <w:r w:rsidR="006E6B06" w:rsidRPr="00705170">
        <w:rPr>
          <w:rFonts w:ascii="Times New Roman" w:hAnsi="Times New Roman" w:cs="Times New Roman"/>
        </w:rPr>
        <w:t>ar</w:t>
      </w:r>
      <w:r w:rsidR="00D93371" w:rsidRPr="00705170">
        <w:rPr>
          <w:rFonts w:ascii="Times New Roman" w:hAnsi="Times New Roman" w:cs="Times New Roman"/>
        </w:rPr>
        <w:t>chived</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for</w:t>
      </w:r>
      <w:proofErr w:type="spellEnd"/>
      <w:r w:rsidR="00D93371" w:rsidRPr="00705170">
        <w:rPr>
          <w:rFonts w:ascii="Times New Roman" w:hAnsi="Times New Roman" w:cs="Times New Roman"/>
        </w:rPr>
        <w:t xml:space="preserve"> at </w:t>
      </w:r>
      <w:proofErr w:type="spellStart"/>
      <w:r w:rsidR="00D93371" w:rsidRPr="00705170">
        <w:rPr>
          <w:rFonts w:ascii="Times New Roman" w:hAnsi="Times New Roman" w:cs="Times New Roman"/>
        </w:rPr>
        <w:t>least</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eight</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years</w:t>
      </w:r>
      <w:proofErr w:type="spellEnd"/>
      <w:r w:rsidR="00D93371" w:rsidRPr="00705170">
        <w:rPr>
          <w:rFonts w:ascii="Times New Roman" w:hAnsi="Times New Roman" w:cs="Times New Roman"/>
        </w:rPr>
        <w:t xml:space="preserve"> as </w:t>
      </w:r>
      <w:proofErr w:type="spellStart"/>
      <w:r w:rsidR="00D93371" w:rsidRPr="00705170">
        <w:rPr>
          <w:rFonts w:ascii="Times New Roman" w:hAnsi="Times New Roman" w:cs="Times New Roman"/>
        </w:rPr>
        <w:t>evidence</w:t>
      </w:r>
      <w:proofErr w:type="spellEnd"/>
      <w:r w:rsidR="00D93371" w:rsidRPr="00705170">
        <w:rPr>
          <w:rFonts w:ascii="Times New Roman" w:hAnsi="Times New Roman" w:cs="Times New Roman"/>
        </w:rPr>
        <w:t xml:space="preserve"> of </w:t>
      </w:r>
      <w:proofErr w:type="spellStart"/>
      <w:r w:rsidR="00D93371" w:rsidRPr="00705170">
        <w:rPr>
          <w:rFonts w:ascii="Times New Roman" w:hAnsi="Times New Roman" w:cs="Times New Roman"/>
        </w:rPr>
        <w:t>compliance</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with</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the</w:t>
      </w:r>
      <w:proofErr w:type="spellEnd"/>
      <w:r w:rsidR="00D93371" w:rsidRPr="00705170">
        <w:rPr>
          <w:rFonts w:ascii="Times New Roman" w:hAnsi="Times New Roman" w:cs="Times New Roman"/>
        </w:rPr>
        <w:t xml:space="preserve"> </w:t>
      </w:r>
      <w:proofErr w:type="spellStart"/>
      <w:r w:rsidR="00D93371" w:rsidRPr="00705170">
        <w:rPr>
          <w:rFonts w:ascii="Times New Roman" w:hAnsi="Times New Roman" w:cs="Times New Roman"/>
        </w:rPr>
        <w:t>provision</w:t>
      </w:r>
      <w:proofErr w:type="spellEnd"/>
      <w:r w:rsidR="00D93371" w:rsidRPr="00705170">
        <w:rPr>
          <w:rFonts w:ascii="Times New Roman" w:hAnsi="Times New Roman" w:cs="Times New Roman"/>
        </w:rPr>
        <w:t xml:space="preserve"> </w:t>
      </w:r>
      <w:r w:rsidR="004C1A38" w:rsidRPr="00705170">
        <w:rPr>
          <w:rFonts w:ascii="Times New Roman" w:hAnsi="Times New Roman" w:cs="Times New Roman"/>
        </w:rPr>
        <w:t xml:space="preserve">(CML </w:t>
      </w:r>
      <w:proofErr w:type="spellStart"/>
      <w:r w:rsidR="004C1A38" w:rsidRPr="00705170">
        <w:rPr>
          <w:rFonts w:ascii="Times New Roman" w:hAnsi="Times New Roman" w:cs="Times New Roman"/>
        </w:rPr>
        <w:t>Article</w:t>
      </w:r>
      <w:proofErr w:type="spellEnd"/>
      <w:r w:rsidR="004C1A38" w:rsidRPr="00705170">
        <w:rPr>
          <w:rFonts w:ascii="Times New Roman" w:hAnsi="Times New Roman" w:cs="Times New Roman"/>
        </w:rPr>
        <w:t xml:space="preserve"> 21(3))</w:t>
      </w:r>
      <w:r w:rsidR="00D93371" w:rsidRPr="00705170">
        <w:rPr>
          <w:rFonts w:ascii="Times New Roman" w:hAnsi="Times New Roman" w:cs="Times New Roman"/>
        </w:rPr>
        <w:t>,</w:t>
      </w:r>
      <w:r w:rsidR="004C1A38" w:rsidRPr="00705170">
        <w:rPr>
          <w:rFonts w:ascii="Times New Roman" w:hAnsi="Times New Roman" w:cs="Times New Roman"/>
        </w:rPr>
        <w:t xml:space="preserve"> </w:t>
      </w:r>
      <w:proofErr w:type="spellStart"/>
      <w:r w:rsidR="004C1A38" w:rsidRPr="00705170">
        <w:rPr>
          <w:rFonts w:ascii="Times New Roman" w:hAnsi="Times New Roman" w:cs="Times New Roman"/>
        </w:rPr>
        <w:t>does</w:t>
      </w:r>
      <w:proofErr w:type="spellEnd"/>
      <w:r w:rsidR="004C1A38" w:rsidRPr="00705170">
        <w:rPr>
          <w:rFonts w:ascii="Times New Roman" w:hAnsi="Times New Roman" w:cs="Times New Roman"/>
        </w:rPr>
        <w:t xml:space="preserve"> not </w:t>
      </w:r>
      <w:proofErr w:type="spellStart"/>
      <w:r w:rsidR="004C1A38" w:rsidRPr="00705170">
        <w:rPr>
          <w:rFonts w:ascii="Times New Roman" w:hAnsi="Times New Roman" w:cs="Times New Roman"/>
        </w:rPr>
        <w:t>give</w:t>
      </w:r>
      <w:proofErr w:type="spellEnd"/>
      <w:r w:rsidR="004C1A38" w:rsidRPr="00705170">
        <w:rPr>
          <w:rFonts w:ascii="Times New Roman" w:hAnsi="Times New Roman" w:cs="Times New Roman"/>
        </w:rPr>
        <w:t xml:space="preserve"> a</w:t>
      </w:r>
      <w:r w:rsidR="004F4C79" w:rsidRPr="00705170">
        <w:rPr>
          <w:rFonts w:ascii="Times New Roman" w:hAnsi="Times New Roman" w:cs="Times New Roman"/>
        </w:rPr>
        <w:t xml:space="preserve"> </w:t>
      </w:r>
      <w:proofErr w:type="spellStart"/>
      <w:r w:rsidR="004F4C79" w:rsidRPr="00705170">
        <w:rPr>
          <w:rFonts w:ascii="Times New Roman" w:hAnsi="Times New Roman" w:cs="Times New Roman"/>
        </w:rPr>
        <w:t>hand</w:t>
      </w:r>
      <w:proofErr w:type="spellEnd"/>
      <w:r w:rsidR="004F4C79" w:rsidRPr="00705170">
        <w:rPr>
          <w:rFonts w:ascii="Times New Roman" w:hAnsi="Times New Roman" w:cs="Times New Roman"/>
        </w:rPr>
        <w:t xml:space="preserve"> in </w:t>
      </w:r>
      <w:proofErr w:type="spellStart"/>
      <w:r w:rsidR="004F4C79" w:rsidRPr="00705170">
        <w:rPr>
          <w:rFonts w:ascii="Times New Roman" w:hAnsi="Times New Roman" w:cs="Times New Roman"/>
        </w:rPr>
        <w:t>advance</w:t>
      </w:r>
      <w:proofErr w:type="spellEnd"/>
      <w:r w:rsidR="004F4C79" w:rsidRPr="00705170">
        <w:rPr>
          <w:rFonts w:ascii="Times New Roman" w:hAnsi="Times New Roman" w:cs="Times New Roman"/>
        </w:rPr>
        <w:t xml:space="preserve"> </w:t>
      </w:r>
      <w:proofErr w:type="spellStart"/>
      <w:r w:rsidR="004F4C79" w:rsidRPr="00705170">
        <w:rPr>
          <w:rFonts w:ascii="Times New Roman" w:hAnsi="Times New Roman" w:cs="Times New Roman"/>
        </w:rPr>
        <w:t>planning</w:t>
      </w:r>
      <w:proofErr w:type="spellEnd"/>
      <w:r w:rsidR="004C1A38" w:rsidRPr="00705170">
        <w:rPr>
          <w:rFonts w:ascii="Times New Roman" w:hAnsi="Times New Roman" w:cs="Times New Roman"/>
        </w:rPr>
        <w:t>.</w:t>
      </w:r>
      <w:r w:rsidR="00FA3BE8" w:rsidRPr="00705170">
        <w:rPr>
          <w:rFonts w:ascii="Times New Roman" w:hAnsi="Times New Roman" w:cs="Times New Roman"/>
        </w:rPr>
        <w:t xml:space="preserve"> </w:t>
      </w:r>
      <w:proofErr w:type="spellStart"/>
      <w:r w:rsidR="00975317" w:rsidRPr="00705170">
        <w:rPr>
          <w:rFonts w:ascii="Times New Roman" w:hAnsi="Times New Roman" w:cs="Times New Roman"/>
        </w:rPr>
        <w:t>Thus</w:t>
      </w:r>
      <w:proofErr w:type="spellEnd"/>
      <w:r w:rsidR="00975317" w:rsidRPr="00705170">
        <w:rPr>
          <w:rFonts w:ascii="Times New Roman" w:hAnsi="Times New Roman" w:cs="Times New Roman"/>
        </w:rPr>
        <w:t xml:space="preserve">, </w:t>
      </w:r>
      <w:proofErr w:type="spellStart"/>
      <w:r w:rsidR="00033F79" w:rsidRPr="00705170">
        <w:rPr>
          <w:rFonts w:ascii="Times New Roman" w:hAnsi="Times New Roman" w:cs="Times New Roman"/>
        </w:rPr>
        <w:t>directors</w:t>
      </w:r>
      <w:proofErr w:type="spellEnd"/>
      <w:r w:rsidR="00033F79" w:rsidRPr="00705170">
        <w:rPr>
          <w:rFonts w:ascii="Times New Roman" w:hAnsi="Times New Roman" w:cs="Times New Roman"/>
        </w:rPr>
        <w:t xml:space="preserve">’ </w:t>
      </w:r>
      <w:proofErr w:type="spellStart"/>
      <w:r w:rsidR="006924BD" w:rsidRPr="00705170">
        <w:rPr>
          <w:rFonts w:ascii="Times New Roman" w:hAnsi="Times New Roman" w:cs="Times New Roman"/>
        </w:rPr>
        <w:t>fiduciary</w:t>
      </w:r>
      <w:proofErr w:type="spellEnd"/>
      <w:r w:rsidR="006924BD" w:rsidRPr="00705170">
        <w:rPr>
          <w:rFonts w:ascii="Times New Roman" w:hAnsi="Times New Roman" w:cs="Times New Roman"/>
        </w:rPr>
        <w:t xml:space="preserve"> </w:t>
      </w:r>
      <w:proofErr w:type="spellStart"/>
      <w:r w:rsidR="00033F79" w:rsidRPr="00705170">
        <w:rPr>
          <w:rFonts w:ascii="Times New Roman" w:hAnsi="Times New Roman" w:cs="Times New Roman"/>
        </w:rPr>
        <w:t>duties</w:t>
      </w:r>
      <w:proofErr w:type="spellEnd"/>
      <w:r w:rsidR="00033F79" w:rsidRPr="00705170">
        <w:rPr>
          <w:rFonts w:ascii="Times New Roman" w:hAnsi="Times New Roman" w:cs="Times New Roman"/>
        </w:rPr>
        <w:t xml:space="preserve"> </w:t>
      </w:r>
      <w:proofErr w:type="spellStart"/>
      <w:r w:rsidR="00557A3A" w:rsidRPr="00705170">
        <w:rPr>
          <w:rFonts w:ascii="Times New Roman" w:hAnsi="Times New Roman" w:cs="Times New Roman"/>
        </w:rPr>
        <w:t>still</w:t>
      </w:r>
      <w:proofErr w:type="spellEnd"/>
      <w:r w:rsidR="00557A3A" w:rsidRPr="00705170">
        <w:rPr>
          <w:rFonts w:ascii="Times New Roman" w:hAnsi="Times New Roman" w:cs="Times New Roman"/>
        </w:rPr>
        <w:t xml:space="preserve"> </w:t>
      </w:r>
      <w:proofErr w:type="spellStart"/>
      <w:r w:rsidR="00033F79" w:rsidRPr="00705170">
        <w:rPr>
          <w:rFonts w:ascii="Times New Roman" w:hAnsi="Times New Roman" w:cs="Times New Roman"/>
        </w:rPr>
        <w:t>represent</w:t>
      </w:r>
      <w:proofErr w:type="spellEnd"/>
      <w:r w:rsidR="00033F79" w:rsidRPr="00705170">
        <w:rPr>
          <w:rFonts w:ascii="Times New Roman" w:hAnsi="Times New Roman" w:cs="Times New Roman"/>
        </w:rPr>
        <w:t xml:space="preserve"> </w:t>
      </w:r>
      <w:proofErr w:type="spellStart"/>
      <w:r w:rsidR="00033F79" w:rsidRPr="00705170">
        <w:rPr>
          <w:rFonts w:ascii="Times New Roman" w:hAnsi="Times New Roman" w:cs="Times New Roman"/>
        </w:rPr>
        <w:t>the</w:t>
      </w:r>
      <w:proofErr w:type="spellEnd"/>
      <w:r w:rsidR="00033F79" w:rsidRPr="00705170">
        <w:rPr>
          <w:rFonts w:ascii="Times New Roman" w:hAnsi="Times New Roman" w:cs="Times New Roman"/>
        </w:rPr>
        <w:t xml:space="preserve"> </w:t>
      </w:r>
      <w:proofErr w:type="spellStart"/>
      <w:r w:rsidR="00033F79" w:rsidRPr="00705170">
        <w:rPr>
          <w:rFonts w:ascii="Times New Roman" w:hAnsi="Times New Roman" w:cs="Times New Roman"/>
        </w:rPr>
        <w:t>mo</w:t>
      </w:r>
      <w:r w:rsidR="00E55882" w:rsidRPr="00705170">
        <w:rPr>
          <w:rFonts w:ascii="Times New Roman" w:hAnsi="Times New Roman" w:cs="Times New Roman"/>
        </w:rPr>
        <w:t>st</w:t>
      </w:r>
      <w:proofErr w:type="spellEnd"/>
      <w:r w:rsidR="00E55882" w:rsidRPr="00705170">
        <w:rPr>
          <w:rFonts w:ascii="Times New Roman" w:hAnsi="Times New Roman" w:cs="Times New Roman"/>
        </w:rPr>
        <w:t xml:space="preserve"> </w:t>
      </w:r>
      <w:proofErr w:type="spellStart"/>
      <w:r w:rsidR="00E55882" w:rsidRPr="00705170">
        <w:rPr>
          <w:rFonts w:ascii="Times New Roman" w:hAnsi="Times New Roman" w:cs="Times New Roman"/>
        </w:rPr>
        <w:t>effective</w:t>
      </w:r>
      <w:proofErr w:type="spellEnd"/>
      <w:r w:rsidR="00E55882" w:rsidRPr="00705170">
        <w:rPr>
          <w:rFonts w:ascii="Times New Roman" w:hAnsi="Times New Roman" w:cs="Times New Roman"/>
        </w:rPr>
        <w:t xml:space="preserve"> </w:t>
      </w:r>
      <w:proofErr w:type="spellStart"/>
      <w:r w:rsidR="00E55882" w:rsidRPr="00705170">
        <w:rPr>
          <w:rFonts w:ascii="Times New Roman" w:hAnsi="Times New Roman" w:cs="Times New Roman"/>
        </w:rPr>
        <w:t>and</w:t>
      </w:r>
      <w:proofErr w:type="spellEnd"/>
      <w:r w:rsidR="00E55882" w:rsidRPr="00705170">
        <w:rPr>
          <w:rFonts w:ascii="Times New Roman" w:hAnsi="Times New Roman" w:cs="Times New Roman"/>
        </w:rPr>
        <w:t xml:space="preserve"> </w:t>
      </w:r>
      <w:proofErr w:type="spellStart"/>
      <w:r w:rsidR="00E55882" w:rsidRPr="00705170">
        <w:rPr>
          <w:rFonts w:ascii="Times New Roman" w:hAnsi="Times New Roman" w:cs="Times New Roman"/>
        </w:rPr>
        <w:t>last</w:t>
      </w:r>
      <w:proofErr w:type="spellEnd"/>
      <w:r w:rsidR="00E55882" w:rsidRPr="00705170">
        <w:rPr>
          <w:rFonts w:ascii="Times New Roman" w:hAnsi="Times New Roman" w:cs="Times New Roman"/>
        </w:rPr>
        <w:t xml:space="preserve"> </w:t>
      </w:r>
      <w:proofErr w:type="spellStart"/>
      <w:r w:rsidR="00E55882" w:rsidRPr="00705170">
        <w:rPr>
          <w:rFonts w:ascii="Times New Roman" w:hAnsi="Times New Roman" w:cs="Times New Roman"/>
        </w:rPr>
        <w:t>resort</w:t>
      </w:r>
      <w:proofErr w:type="spellEnd"/>
      <w:r w:rsidR="00E55882" w:rsidRPr="00705170">
        <w:rPr>
          <w:rFonts w:ascii="Times New Roman" w:hAnsi="Times New Roman" w:cs="Times New Roman"/>
        </w:rPr>
        <w:t xml:space="preserve"> </w:t>
      </w:r>
      <w:proofErr w:type="spellStart"/>
      <w:r w:rsidR="00E55882" w:rsidRPr="00705170">
        <w:rPr>
          <w:rFonts w:ascii="Times New Roman" w:hAnsi="Times New Roman" w:cs="Times New Roman"/>
        </w:rPr>
        <w:t>constraint</w:t>
      </w:r>
      <w:proofErr w:type="spellEnd"/>
      <w:r w:rsidR="00E55882" w:rsidRPr="00705170">
        <w:rPr>
          <w:rFonts w:ascii="Times New Roman" w:hAnsi="Times New Roman" w:cs="Times New Roman"/>
        </w:rPr>
        <w:t xml:space="preserve"> on </w:t>
      </w:r>
      <w:proofErr w:type="spellStart"/>
      <w:r w:rsidR="00E55882" w:rsidRPr="00705170">
        <w:rPr>
          <w:rFonts w:ascii="Times New Roman" w:hAnsi="Times New Roman" w:cs="Times New Roman"/>
        </w:rPr>
        <w:t>the</w:t>
      </w:r>
      <w:proofErr w:type="spellEnd"/>
      <w:r w:rsidR="00E55882" w:rsidRPr="00705170">
        <w:rPr>
          <w:rFonts w:ascii="Times New Roman" w:hAnsi="Times New Roman" w:cs="Times New Roman"/>
        </w:rPr>
        <w:t xml:space="preserve"> </w:t>
      </w:r>
      <w:proofErr w:type="spellStart"/>
      <w:r w:rsidR="00E55882" w:rsidRPr="00705170">
        <w:rPr>
          <w:rFonts w:ascii="Times New Roman" w:hAnsi="Times New Roman" w:cs="Times New Roman"/>
        </w:rPr>
        <w:t>related</w:t>
      </w:r>
      <w:proofErr w:type="spellEnd"/>
      <w:r w:rsidR="00E55882" w:rsidRPr="00705170">
        <w:rPr>
          <w:rFonts w:ascii="Times New Roman" w:hAnsi="Times New Roman" w:cs="Times New Roman"/>
        </w:rPr>
        <w:t xml:space="preserve">- </w:t>
      </w:r>
      <w:proofErr w:type="spellStart"/>
      <w:r w:rsidR="00E55882" w:rsidRPr="00705170">
        <w:rPr>
          <w:rFonts w:ascii="Times New Roman" w:hAnsi="Times New Roman" w:cs="Times New Roman"/>
        </w:rPr>
        <w:t>party</w:t>
      </w:r>
      <w:proofErr w:type="spellEnd"/>
      <w:r w:rsidR="00033F79" w:rsidRPr="00705170">
        <w:rPr>
          <w:rFonts w:ascii="Times New Roman" w:hAnsi="Times New Roman" w:cs="Times New Roman"/>
        </w:rPr>
        <w:t xml:space="preserve"> </w:t>
      </w:r>
      <w:proofErr w:type="spellStart"/>
      <w:r w:rsidR="00033F79" w:rsidRPr="00705170">
        <w:rPr>
          <w:rFonts w:ascii="Times New Roman" w:hAnsi="Times New Roman" w:cs="Times New Roman"/>
        </w:rPr>
        <w:t>transactions</w:t>
      </w:r>
      <w:proofErr w:type="spellEnd"/>
      <w:r w:rsidR="00033F79" w:rsidRPr="00705170">
        <w:rPr>
          <w:rFonts w:ascii="Times New Roman" w:hAnsi="Times New Roman" w:cs="Times New Roman"/>
        </w:rPr>
        <w:t>.</w:t>
      </w:r>
    </w:p>
    <w:p w14:paraId="60326093" w14:textId="62EDA5CC" w:rsidR="00AD5371" w:rsidRPr="00705170" w:rsidRDefault="00AC7CBE" w:rsidP="00DB5C10">
      <w:pPr>
        <w:spacing w:after="240" w:line="480" w:lineRule="auto"/>
        <w:rPr>
          <w:rFonts w:ascii="Times New Roman" w:hAnsi="Times New Roman" w:cs="Times New Roman"/>
          <w:b/>
        </w:rPr>
      </w:pPr>
      <w:r w:rsidRPr="00705170">
        <w:rPr>
          <w:rFonts w:ascii="Times New Roman" w:hAnsi="Times New Roman" w:cs="Times New Roman"/>
        </w:rPr>
        <w:tab/>
      </w:r>
      <w:r w:rsidR="00C01441">
        <w:rPr>
          <w:rFonts w:ascii="Times New Roman" w:hAnsi="Times New Roman" w:cs="Times New Roman"/>
          <w:b/>
        </w:rPr>
        <w:t>3</w:t>
      </w:r>
      <w:r w:rsidRPr="00705170">
        <w:rPr>
          <w:rFonts w:ascii="Times New Roman" w:hAnsi="Times New Roman" w:cs="Times New Roman"/>
          <w:b/>
        </w:rPr>
        <w:t xml:space="preserve">.2.2. </w:t>
      </w:r>
      <w:proofErr w:type="spellStart"/>
      <w:r w:rsidRPr="00705170">
        <w:rPr>
          <w:rFonts w:ascii="Times New Roman" w:hAnsi="Times New Roman" w:cs="Times New Roman"/>
          <w:b/>
        </w:rPr>
        <w:t>Liability</w:t>
      </w:r>
      <w:proofErr w:type="spellEnd"/>
      <w:r w:rsidRPr="00705170">
        <w:rPr>
          <w:rFonts w:ascii="Times New Roman" w:hAnsi="Times New Roman" w:cs="Times New Roman"/>
          <w:b/>
        </w:rPr>
        <w:t xml:space="preserve"> in </w:t>
      </w:r>
      <w:proofErr w:type="spellStart"/>
      <w:r w:rsidRPr="00705170">
        <w:rPr>
          <w:rFonts w:ascii="Times New Roman" w:hAnsi="Times New Roman" w:cs="Times New Roman"/>
          <w:b/>
        </w:rPr>
        <w:t>Corporate</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Groups</w:t>
      </w:r>
      <w:proofErr w:type="spellEnd"/>
    </w:p>
    <w:p w14:paraId="362526D2" w14:textId="74997C9B" w:rsidR="00AC7CBE" w:rsidRPr="00705170" w:rsidRDefault="00AC7CBE" w:rsidP="00AC7CBE">
      <w:pPr>
        <w:spacing w:after="240" w:line="480" w:lineRule="auto"/>
        <w:jc w:val="both"/>
        <w:rPr>
          <w:rFonts w:ascii="Times New Roman" w:hAnsi="Times New Roman" w:cs="Times New Roman"/>
        </w:rPr>
      </w:pPr>
      <w:r w:rsidRPr="00705170">
        <w:rPr>
          <w:rFonts w:ascii="Times New Roman" w:hAnsi="Times New Roman" w:cs="Times New Roman"/>
          <w:b/>
        </w:rPr>
        <w:tab/>
      </w:r>
      <w:proofErr w:type="spellStart"/>
      <w:r w:rsidR="00D07445" w:rsidRPr="00705170">
        <w:rPr>
          <w:rFonts w:ascii="Times New Roman" w:hAnsi="Times New Roman" w:cs="Times New Roman"/>
        </w:rPr>
        <w:t>The</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efficiency</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advantages</w:t>
      </w:r>
      <w:proofErr w:type="spellEnd"/>
      <w:r w:rsidR="00D07445" w:rsidRPr="00705170">
        <w:rPr>
          <w:rFonts w:ascii="Times New Roman" w:hAnsi="Times New Roman" w:cs="Times New Roman"/>
        </w:rPr>
        <w:t xml:space="preserve"> of </w:t>
      </w:r>
      <w:proofErr w:type="spellStart"/>
      <w:r w:rsidR="00D07445" w:rsidRPr="00705170">
        <w:rPr>
          <w:rFonts w:ascii="Times New Roman" w:hAnsi="Times New Roman" w:cs="Times New Roman"/>
        </w:rPr>
        <w:t>structuring</w:t>
      </w:r>
      <w:proofErr w:type="spellEnd"/>
      <w:r w:rsidR="00D07445" w:rsidRPr="00705170">
        <w:rPr>
          <w:rFonts w:ascii="Times New Roman" w:hAnsi="Times New Roman" w:cs="Times New Roman"/>
        </w:rPr>
        <w:t xml:space="preserve"> as a </w:t>
      </w:r>
      <w:proofErr w:type="spellStart"/>
      <w:r w:rsidR="00D07445" w:rsidRPr="00705170">
        <w:rPr>
          <w:rFonts w:ascii="Times New Roman" w:hAnsi="Times New Roman" w:cs="Times New Roman"/>
        </w:rPr>
        <w:t>corporate</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group</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rather</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than</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relying</w:t>
      </w:r>
      <w:proofErr w:type="spellEnd"/>
      <w:r w:rsidR="00D07445" w:rsidRPr="00705170">
        <w:rPr>
          <w:rFonts w:ascii="Times New Roman" w:hAnsi="Times New Roman" w:cs="Times New Roman"/>
        </w:rPr>
        <w:t xml:space="preserve"> on </w:t>
      </w:r>
      <w:proofErr w:type="spellStart"/>
      <w:r w:rsidR="00D07445" w:rsidRPr="00705170">
        <w:rPr>
          <w:rFonts w:ascii="Times New Roman" w:hAnsi="Times New Roman" w:cs="Times New Roman"/>
        </w:rPr>
        <w:t>contractual</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relationships</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such</w:t>
      </w:r>
      <w:proofErr w:type="spellEnd"/>
      <w:r w:rsidR="00D07445" w:rsidRPr="00705170">
        <w:rPr>
          <w:rFonts w:ascii="Times New Roman" w:hAnsi="Times New Roman" w:cs="Times New Roman"/>
        </w:rPr>
        <w:t xml:space="preserve"> as </w:t>
      </w:r>
      <w:proofErr w:type="spellStart"/>
      <w:r w:rsidR="00D07445" w:rsidRPr="00705170">
        <w:rPr>
          <w:rFonts w:ascii="Times New Roman" w:hAnsi="Times New Roman" w:cs="Times New Roman"/>
        </w:rPr>
        <w:t>licensing</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trade</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or</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subcontracting</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so</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substituting</w:t>
      </w:r>
      <w:proofErr w:type="spellEnd"/>
      <w:r w:rsidR="00D07445" w:rsidRPr="00705170">
        <w:rPr>
          <w:rFonts w:ascii="Times New Roman" w:hAnsi="Times New Roman" w:cs="Times New Roman"/>
        </w:rPr>
        <w:t xml:space="preserve"> market </w:t>
      </w:r>
      <w:proofErr w:type="spellStart"/>
      <w:r w:rsidR="00D07445" w:rsidRPr="00705170">
        <w:rPr>
          <w:rFonts w:ascii="Times New Roman" w:hAnsi="Times New Roman" w:cs="Times New Roman"/>
        </w:rPr>
        <w:t>relationships</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by</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hierarchy</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saves</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significant</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transaction</w:t>
      </w:r>
      <w:proofErr w:type="spellEnd"/>
      <w:r w:rsidR="00D07445" w:rsidRPr="00705170">
        <w:rPr>
          <w:rFonts w:ascii="Times New Roman" w:hAnsi="Times New Roman" w:cs="Times New Roman"/>
        </w:rPr>
        <w:t xml:space="preserve"> </w:t>
      </w:r>
      <w:proofErr w:type="spellStart"/>
      <w:r w:rsidR="00D07445" w:rsidRPr="00705170">
        <w:rPr>
          <w:rFonts w:ascii="Times New Roman" w:hAnsi="Times New Roman" w:cs="Times New Roman"/>
        </w:rPr>
        <w:t>costs</w:t>
      </w:r>
      <w:proofErr w:type="spellEnd"/>
      <w:r w:rsidR="00D07445" w:rsidRPr="00705170">
        <w:rPr>
          <w:rStyle w:val="DipnotBavurusu"/>
          <w:rFonts w:ascii="Times New Roman" w:hAnsi="Times New Roman" w:cs="Times New Roman"/>
        </w:rPr>
        <w:footnoteReference w:id="300"/>
      </w:r>
      <w:r w:rsidR="00D07445" w:rsidRPr="00705170">
        <w:rPr>
          <w:rFonts w:ascii="Times New Roman" w:hAnsi="Times New Roman" w:cs="Times New Roman"/>
        </w:rPr>
        <w:t xml:space="preserve">. </w:t>
      </w:r>
      <w:proofErr w:type="spellStart"/>
      <w:r w:rsidR="00372512" w:rsidRPr="00705170">
        <w:rPr>
          <w:rFonts w:ascii="Times New Roman" w:hAnsi="Times New Roman" w:cs="Times New Roman"/>
        </w:rPr>
        <w:t>Accordingly</w:t>
      </w:r>
      <w:proofErr w:type="spellEnd"/>
      <w:r w:rsidR="00D07445" w:rsidRPr="00705170">
        <w:rPr>
          <w:rFonts w:ascii="Times New Roman" w:hAnsi="Times New Roman" w:cs="Times New Roman"/>
        </w:rPr>
        <w:t>, a</w:t>
      </w:r>
      <w:r w:rsidRPr="00705170">
        <w:rPr>
          <w:rFonts w:ascii="Times New Roman" w:hAnsi="Times New Roman" w:cs="Times New Roman"/>
        </w:rPr>
        <w:t xml:space="preserve">s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began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organize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conduct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acquire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entities</w:t>
      </w:r>
      <w:proofErr w:type="spellEnd"/>
      <w:r w:rsidRPr="00705170">
        <w:rPr>
          <w:rFonts w:ascii="Times New Roman" w:hAnsi="Times New Roman" w:cs="Times New Roman"/>
        </w:rPr>
        <w:t xml:space="preserve"> as an </w:t>
      </w:r>
      <w:proofErr w:type="spellStart"/>
      <w:r w:rsidRPr="00705170">
        <w:rPr>
          <w:rFonts w:ascii="Times New Roman" w:hAnsi="Times New Roman" w:cs="Times New Roman"/>
        </w:rPr>
        <w:t>alternative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method</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expansion</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started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longer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represent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entire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enterprise</w:t>
      </w:r>
      <w:proofErr w:type="spellEnd"/>
      <w:r w:rsidRPr="00705170">
        <w:rPr>
          <w:rStyle w:val="DipnotBavurusu"/>
          <w:rFonts w:ascii="Times New Roman" w:hAnsi="Times New Roman" w:cs="Times New Roman"/>
        </w:rPr>
        <w:footnoteReference w:id="301"/>
      </w:r>
      <w:r w:rsidRPr="00705170">
        <w:rPr>
          <w:rFonts w:ascii="Times New Roman" w:hAnsi="Times New Roman" w:cs="Times New Roman"/>
        </w:rPr>
        <w:t xml:space="preserve">. </w:t>
      </w:r>
      <w:proofErr w:type="spellStart"/>
      <w:r w:rsidR="00624F20" w:rsidRPr="00705170">
        <w:rPr>
          <w:rFonts w:ascii="Times New Roman" w:hAnsi="Times New Roman" w:cs="Times New Roman"/>
        </w:rPr>
        <w:t>This</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notion</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caused</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two</w:t>
      </w:r>
      <w:proofErr w:type="spellEnd"/>
      <w:r w:rsidR="00624F20" w:rsidRPr="00705170">
        <w:rPr>
          <w:rFonts w:ascii="Times New Roman" w:hAnsi="Times New Roman" w:cs="Times New Roman"/>
        </w:rPr>
        <w:t xml:space="preserve"> </w:t>
      </w:r>
      <w:r w:rsidR="003118FB" w:rsidRPr="00705170">
        <w:rPr>
          <w:rFonts w:ascii="Times New Roman" w:hAnsi="Times New Roman" w:cs="Times New Roman"/>
        </w:rPr>
        <w:t xml:space="preserve">legal </w:t>
      </w:r>
      <w:proofErr w:type="spellStart"/>
      <w:r w:rsidR="00624F20" w:rsidRPr="00705170">
        <w:rPr>
          <w:rFonts w:ascii="Times New Roman" w:hAnsi="Times New Roman" w:cs="Times New Roman"/>
        </w:rPr>
        <w:t>problems</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Firstly</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member</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entities</w:t>
      </w:r>
      <w:proofErr w:type="spellEnd"/>
      <w:r w:rsidR="00624F20" w:rsidRPr="00705170">
        <w:rPr>
          <w:rFonts w:ascii="Times New Roman" w:hAnsi="Times New Roman" w:cs="Times New Roman"/>
        </w:rPr>
        <w:t xml:space="preserve"> of </w:t>
      </w:r>
      <w:proofErr w:type="spellStart"/>
      <w:r w:rsidR="00624F20" w:rsidRPr="00705170">
        <w:rPr>
          <w:rFonts w:ascii="Times New Roman" w:hAnsi="Times New Roman" w:cs="Times New Roman"/>
        </w:rPr>
        <w:t>the</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corporate</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groups</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started</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to</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run</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for</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the</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benefit</w:t>
      </w:r>
      <w:proofErr w:type="spellEnd"/>
      <w:r w:rsidR="00624F20" w:rsidRPr="00705170">
        <w:rPr>
          <w:rFonts w:ascii="Times New Roman" w:hAnsi="Times New Roman" w:cs="Times New Roman"/>
        </w:rPr>
        <w:t xml:space="preserve"> of </w:t>
      </w:r>
      <w:proofErr w:type="spellStart"/>
      <w:r w:rsidR="00624F20" w:rsidRPr="00705170">
        <w:rPr>
          <w:rFonts w:ascii="Times New Roman" w:hAnsi="Times New Roman" w:cs="Times New Roman"/>
        </w:rPr>
        <w:t>the</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whole</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group</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rather</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than</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the</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individual</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benefit</w:t>
      </w:r>
      <w:proofErr w:type="spellEnd"/>
      <w:r w:rsidR="00624F20" w:rsidRPr="00705170">
        <w:rPr>
          <w:rFonts w:ascii="Times New Roman" w:hAnsi="Times New Roman" w:cs="Times New Roman"/>
        </w:rPr>
        <w:t xml:space="preserve"> of </w:t>
      </w:r>
      <w:proofErr w:type="spellStart"/>
      <w:r w:rsidR="00624F20" w:rsidRPr="00705170">
        <w:rPr>
          <w:rFonts w:ascii="Times New Roman" w:hAnsi="Times New Roman" w:cs="Times New Roman"/>
        </w:rPr>
        <w:t>the</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entity</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itself</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and</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secondly</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managing</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the</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related</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party</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inter</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group</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transactions</w:t>
      </w:r>
      <w:proofErr w:type="spellEnd"/>
      <w:r w:rsidR="00B8076F" w:rsidRPr="00705170">
        <w:rPr>
          <w:rFonts w:ascii="Times New Roman" w:hAnsi="Times New Roman" w:cs="Times New Roman"/>
        </w:rPr>
        <w:t xml:space="preserve"> </w:t>
      </w:r>
      <w:proofErr w:type="spellStart"/>
      <w:r w:rsidR="00B8076F" w:rsidRPr="00705170">
        <w:rPr>
          <w:rFonts w:ascii="Times New Roman" w:hAnsi="Times New Roman" w:cs="Times New Roman"/>
        </w:rPr>
        <w:t>became</w:t>
      </w:r>
      <w:proofErr w:type="spellEnd"/>
      <w:r w:rsidR="00B8076F" w:rsidRPr="00705170">
        <w:rPr>
          <w:rFonts w:ascii="Times New Roman" w:hAnsi="Times New Roman" w:cs="Times New Roman"/>
        </w:rPr>
        <w:t xml:space="preserve"> a </w:t>
      </w:r>
      <w:proofErr w:type="spellStart"/>
      <w:r w:rsidR="00B8076F" w:rsidRPr="00705170">
        <w:rPr>
          <w:rFonts w:ascii="Times New Roman" w:hAnsi="Times New Roman" w:cs="Times New Roman"/>
        </w:rPr>
        <w:t>more</w:t>
      </w:r>
      <w:proofErr w:type="spellEnd"/>
      <w:r w:rsidR="00B8076F" w:rsidRPr="00705170">
        <w:rPr>
          <w:rFonts w:ascii="Times New Roman" w:hAnsi="Times New Roman" w:cs="Times New Roman"/>
        </w:rPr>
        <w:t xml:space="preserve"> </w:t>
      </w:r>
      <w:proofErr w:type="spellStart"/>
      <w:r w:rsidR="00B8076F" w:rsidRPr="00705170">
        <w:rPr>
          <w:rFonts w:ascii="Times New Roman" w:hAnsi="Times New Roman" w:cs="Times New Roman"/>
        </w:rPr>
        <w:t>complicated</w:t>
      </w:r>
      <w:proofErr w:type="spellEnd"/>
      <w:r w:rsidR="00624F20" w:rsidRPr="00705170">
        <w:rPr>
          <w:rFonts w:ascii="Times New Roman" w:hAnsi="Times New Roman" w:cs="Times New Roman"/>
        </w:rPr>
        <w:t xml:space="preserve"> </w:t>
      </w:r>
      <w:proofErr w:type="spellStart"/>
      <w:r w:rsidR="00624F20" w:rsidRPr="00705170">
        <w:rPr>
          <w:rFonts w:ascii="Times New Roman" w:hAnsi="Times New Roman" w:cs="Times New Roman"/>
        </w:rPr>
        <w:t>issue</w:t>
      </w:r>
      <w:proofErr w:type="spellEnd"/>
      <w:r w:rsidR="00624F20" w:rsidRPr="00705170">
        <w:rPr>
          <w:rStyle w:val="DipnotBavurusu"/>
          <w:rFonts w:ascii="Times New Roman" w:hAnsi="Times New Roman" w:cs="Times New Roman"/>
        </w:rPr>
        <w:footnoteReference w:id="302"/>
      </w:r>
      <w:r w:rsidR="00624F20" w:rsidRPr="00705170">
        <w:rPr>
          <w:rFonts w:ascii="Times New Roman" w:hAnsi="Times New Roman" w:cs="Times New Roman"/>
        </w:rPr>
        <w:t xml:space="preserve">. </w:t>
      </w:r>
      <w:proofErr w:type="spellStart"/>
      <w:r w:rsidR="00095BC9" w:rsidRPr="00705170">
        <w:rPr>
          <w:rFonts w:ascii="Times New Roman" w:hAnsi="Times New Roman" w:cs="Times New Roman"/>
        </w:rPr>
        <w:t>Gradually</w:t>
      </w:r>
      <w:proofErr w:type="spellEnd"/>
      <w:r w:rsidR="00095BC9" w:rsidRPr="00705170">
        <w:rPr>
          <w:rFonts w:ascii="Times New Roman" w:hAnsi="Times New Roman" w:cs="Times New Roman"/>
        </w:rPr>
        <w:t xml:space="preserve">, </w:t>
      </w:r>
      <w:proofErr w:type="spellStart"/>
      <w:r w:rsidR="00095BC9" w:rsidRPr="00705170">
        <w:rPr>
          <w:rFonts w:ascii="Times New Roman" w:hAnsi="Times New Roman" w:cs="Times New Roman"/>
        </w:rPr>
        <w:t>jurisdictions</w:t>
      </w:r>
      <w:proofErr w:type="spellEnd"/>
      <w:r w:rsidR="00095BC9" w:rsidRPr="00705170">
        <w:rPr>
          <w:rFonts w:ascii="Times New Roman" w:hAnsi="Times New Roman" w:cs="Times New Roman"/>
        </w:rPr>
        <w:t xml:space="preserve"> had </w:t>
      </w:r>
      <w:proofErr w:type="spellStart"/>
      <w:r w:rsidR="00095BC9" w:rsidRPr="00705170">
        <w:rPr>
          <w:rFonts w:ascii="Times New Roman" w:hAnsi="Times New Roman" w:cs="Times New Roman"/>
        </w:rPr>
        <w:t>to</w:t>
      </w:r>
      <w:proofErr w:type="spellEnd"/>
      <w:r w:rsidR="00095BC9" w:rsidRPr="00705170">
        <w:rPr>
          <w:rFonts w:ascii="Times New Roman" w:hAnsi="Times New Roman" w:cs="Times New Roman"/>
        </w:rPr>
        <w:t xml:space="preserve"> </w:t>
      </w:r>
      <w:proofErr w:type="spellStart"/>
      <w:r w:rsidR="00095BC9" w:rsidRPr="00705170">
        <w:rPr>
          <w:rFonts w:ascii="Times New Roman" w:hAnsi="Times New Roman" w:cs="Times New Roman"/>
        </w:rPr>
        <w:t>deal</w:t>
      </w:r>
      <w:proofErr w:type="spellEnd"/>
      <w:r w:rsidR="00095BC9" w:rsidRPr="00705170">
        <w:rPr>
          <w:rFonts w:ascii="Times New Roman" w:hAnsi="Times New Roman" w:cs="Times New Roman"/>
        </w:rPr>
        <w:t xml:space="preserve"> </w:t>
      </w:r>
      <w:proofErr w:type="spellStart"/>
      <w:r w:rsidR="00095BC9" w:rsidRPr="00705170">
        <w:rPr>
          <w:rFonts w:ascii="Times New Roman" w:hAnsi="Times New Roman" w:cs="Times New Roman"/>
        </w:rPr>
        <w:t>with</w:t>
      </w:r>
      <w:proofErr w:type="spellEnd"/>
      <w:r w:rsidR="00095BC9" w:rsidRPr="00705170">
        <w:rPr>
          <w:rFonts w:ascii="Times New Roman" w:hAnsi="Times New Roman" w:cs="Times New Roman"/>
        </w:rPr>
        <w:t xml:space="preserve"> </w:t>
      </w:r>
      <w:proofErr w:type="spellStart"/>
      <w:r w:rsidR="00095BC9" w:rsidRPr="00705170">
        <w:rPr>
          <w:rFonts w:ascii="Times New Roman" w:hAnsi="Times New Roman" w:cs="Times New Roman"/>
        </w:rPr>
        <w:t>the</w:t>
      </w:r>
      <w:proofErr w:type="spellEnd"/>
      <w:r w:rsidR="00095BC9" w:rsidRPr="00705170">
        <w:rPr>
          <w:rFonts w:ascii="Times New Roman" w:hAnsi="Times New Roman" w:cs="Times New Roman"/>
        </w:rPr>
        <w:t xml:space="preserve"> </w:t>
      </w:r>
      <w:proofErr w:type="spellStart"/>
      <w:r w:rsidR="00095BC9" w:rsidRPr="00705170">
        <w:rPr>
          <w:rFonts w:ascii="Times New Roman" w:hAnsi="Times New Roman" w:cs="Times New Roman"/>
        </w:rPr>
        <w:t>advantages</w:t>
      </w:r>
      <w:proofErr w:type="spellEnd"/>
      <w:r w:rsidR="00095BC9" w:rsidRPr="00705170">
        <w:rPr>
          <w:rFonts w:ascii="Times New Roman" w:hAnsi="Times New Roman" w:cs="Times New Roman"/>
        </w:rPr>
        <w:t xml:space="preserve"> </w:t>
      </w:r>
      <w:proofErr w:type="spellStart"/>
      <w:r w:rsidR="00095BC9" w:rsidRPr="00705170">
        <w:rPr>
          <w:rFonts w:ascii="Times New Roman" w:hAnsi="Times New Roman" w:cs="Times New Roman"/>
        </w:rPr>
        <w:t>and</w:t>
      </w:r>
      <w:proofErr w:type="spellEnd"/>
      <w:r w:rsidR="00095BC9" w:rsidRPr="00705170">
        <w:rPr>
          <w:rFonts w:ascii="Times New Roman" w:hAnsi="Times New Roman" w:cs="Times New Roman"/>
        </w:rPr>
        <w:t xml:space="preserve"> </w:t>
      </w:r>
      <w:proofErr w:type="spellStart"/>
      <w:r w:rsidR="00095BC9" w:rsidRPr="00705170">
        <w:rPr>
          <w:rFonts w:ascii="Times New Roman" w:hAnsi="Times New Roman" w:cs="Times New Roman"/>
        </w:rPr>
        <w:t>disadvantages</w:t>
      </w:r>
      <w:proofErr w:type="spellEnd"/>
      <w:r w:rsidR="009F644B" w:rsidRPr="00705170">
        <w:rPr>
          <w:rFonts w:ascii="Times New Roman" w:hAnsi="Times New Roman" w:cs="Times New Roman"/>
        </w:rPr>
        <w:t xml:space="preserve"> (</w:t>
      </w:r>
      <w:proofErr w:type="spellStart"/>
      <w:r w:rsidR="009F644B" w:rsidRPr="00705170">
        <w:rPr>
          <w:rFonts w:ascii="Times New Roman" w:hAnsi="Times New Roman" w:cs="Times New Roman"/>
        </w:rPr>
        <w:t>mainly</w:t>
      </w:r>
      <w:proofErr w:type="spellEnd"/>
      <w:r w:rsidR="009F644B" w:rsidRPr="00705170">
        <w:rPr>
          <w:rFonts w:ascii="Times New Roman" w:hAnsi="Times New Roman" w:cs="Times New Roman"/>
        </w:rPr>
        <w:t xml:space="preserve">, </w:t>
      </w:r>
      <w:proofErr w:type="spellStart"/>
      <w:r w:rsidR="009F644B" w:rsidRPr="00705170">
        <w:rPr>
          <w:rFonts w:ascii="Times New Roman" w:hAnsi="Times New Roman" w:cs="Times New Roman"/>
        </w:rPr>
        <w:t>the</w:t>
      </w:r>
      <w:proofErr w:type="spellEnd"/>
      <w:r w:rsidR="009F644B" w:rsidRPr="00705170">
        <w:rPr>
          <w:rFonts w:ascii="Times New Roman" w:hAnsi="Times New Roman" w:cs="Times New Roman"/>
        </w:rPr>
        <w:t xml:space="preserve"> </w:t>
      </w:r>
      <w:proofErr w:type="spellStart"/>
      <w:r w:rsidR="009F644B" w:rsidRPr="00705170">
        <w:rPr>
          <w:rFonts w:ascii="Times New Roman" w:hAnsi="Times New Roman" w:cs="Times New Roman"/>
        </w:rPr>
        <w:t>negative</w:t>
      </w:r>
      <w:proofErr w:type="spellEnd"/>
      <w:r w:rsidR="009F644B" w:rsidRPr="00705170">
        <w:rPr>
          <w:rFonts w:ascii="Times New Roman" w:hAnsi="Times New Roman" w:cs="Times New Roman"/>
        </w:rPr>
        <w:t xml:space="preserve"> </w:t>
      </w:r>
      <w:proofErr w:type="spellStart"/>
      <w:r w:rsidR="009F644B" w:rsidRPr="00705170">
        <w:rPr>
          <w:rFonts w:ascii="Times New Roman" w:hAnsi="Times New Roman" w:cs="Times New Roman"/>
        </w:rPr>
        <w:t>effects</w:t>
      </w:r>
      <w:proofErr w:type="spellEnd"/>
      <w:r w:rsidR="009F644B" w:rsidRPr="00705170">
        <w:rPr>
          <w:rFonts w:ascii="Times New Roman" w:hAnsi="Times New Roman" w:cs="Times New Roman"/>
        </w:rPr>
        <w:t xml:space="preserve"> on </w:t>
      </w:r>
      <w:proofErr w:type="spellStart"/>
      <w:r w:rsidR="009F644B" w:rsidRPr="00705170">
        <w:rPr>
          <w:rFonts w:ascii="Times New Roman" w:hAnsi="Times New Roman" w:cs="Times New Roman"/>
        </w:rPr>
        <w:t>the</w:t>
      </w:r>
      <w:proofErr w:type="spellEnd"/>
      <w:r w:rsidR="009F644B" w:rsidRPr="00705170">
        <w:rPr>
          <w:rFonts w:ascii="Times New Roman" w:hAnsi="Times New Roman" w:cs="Times New Roman"/>
        </w:rPr>
        <w:t xml:space="preserve"> </w:t>
      </w:r>
      <w:proofErr w:type="spellStart"/>
      <w:r w:rsidR="009F644B" w:rsidRPr="00705170">
        <w:rPr>
          <w:rFonts w:ascii="Times New Roman" w:hAnsi="Times New Roman" w:cs="Times New Roman"/>
        </w:rPr>
        <w:t>minority</w:t>
      </w:r>
      <w:proofErr w:type="spellEnd"/>
      <w:r w:rsidR="009F644B" w:rsidRPr="00705170">
        <w:rPr>
          <w:rFonts w:ascii="Times New Roman" w:hAnsi="Times New Roman" w:cs="Times New Roman"/>
        </w:rPr>
        <w:t xml:space="preserve"> </w:t>
      </w:r>
      <w:proofErr w:type="spellStart"/>
      <w:r w:rsidR="009F644B" w:rsidRPr="00705170">
        <w:rPr>
          <w:rFonts w:ascii="Times New Roman" w:hAnsi="Times New Roman" w:cs="Times New Roman"/>
        </w:rPr>
        <w:t>and</w:t>
      </w:r>
      <w:proofErr w:type="spellEnd"/>
      <w:r w:rsidR="009F644B" w:rsidRPr="00705170">
        <w:rPr>
          <w:rFonts w:ascii="Times New Roman" w:hAnsi="Times New Roman" w:cs="Times New Roman"/>
        </w:rPr>
        <w:t xml:space="preserve"> </w:t>
      </w:r>
      <w:proofErr w:type="spellStart"/>
      <w:r w:rsidR="009F644B" w:rsidRPr="00705170">
        <w:rPr>
          <w:rFonts w:ascii="Times New Roman" w:hAnsi="Times New Roman" w:cs="Times New Roman"/>
        </w:rPr>
        <w:t>creditors</w:t>
      </w:r>
      <w:proofErr w:type="spellEnd"/>
      <w:r w:rsidR="009F644B" w:rsidRPr="00705170">
        <w:rPr>
          <w:rFonts w:ascii="Times New Roman" w:hAnsi="Times New Roman" w:cs="Times New Roman"/>
        </w:rPr>
        <w:t>)</w:t>
      </w:r>
      <w:r w:rsidR="009F644B" w:rsidRPr="00705170">
        <w:rPr>
          <w:rStyle w:val="DipnotBavurusu"/>
          <w:rFonts w:ascii="Times New Roman" w:hAnsi="Times New Roman" w:cs="Times New Roman"/>
        </w:rPr>
        <w:footnoteReference w:id="303"/>
      </w:r>
      <w:r w:rsidR="00095BC9" w:rsidRPr="00705170">
        <w:rPr>
          <w:rFonts w:ascii="Times New Roman" w:hAnsi="Times New Roman" w:cs="Times New Roman"/>
        </w:rPr>
        <w:t xml:space="preserve"> of </w:t>
      </w:r>
      <w:proofErr w:type="spellStart"/>
      <w:r w:rsidR="00095BC9" w:rsidRPr="00705170">
        <w:rPr>
          <w:rFonts w:ascii="Times New Roman" w:hAnsi="Times New Roman" w:cs="Times New Roman"/>
        </w:rPr>
        <w:t>this</w:t>
      </w:r>
      <w:proofErr w:type="spellEnd"/>
      <w:r w:rsidR="00095BC9" w:rsidRPr="00705170">
        <w:rPr>
          <w:rFonts w:ascii="Times New Roman" w:hAnsi="Times New Roman" w:cs="Times New Roman"/>
        </w:rPr>
        <w:t xml:space="preserve"> </w:t>
      </w:r>
      <w:proofErr w:type="spellStart"/>
      <w:r w:rsidR="00095BC9" w:rsidRPr="00705170">
        <w:rPr>
          <w:rFonts w:ascii="Times New Roman" w:hAnsi="Times New Roman" w:cs="Times New Roman"/>
        </w:rPr>
        <w:t>reality</w:t>
      </w:r>
      <w:proofErr w:type="spellEnd"/>
      <w:r w:rsidR="00095BC9" w:rsidRPr="00705170">
        <w:rPr>
          <w:rStyle w:val="DipnotBavurusu"/>
          <w:rFonts w:ascii="Times New Roman" w:hAnsi="Times New Roman" w:cs="Times New Roman"/>
        </w:rPr>
        <w:footnoteReference w:id="304"/>
      </w:r>
      <w:r w:rsidR="00095BC9" w:rsidRPr="00705170">
        <w:rPr>
          <w:rFonts w:ascii="Times New Roman" w:hAnsi="Times New Roman" w:cs="Times New Roman"/>
        </w:rPr>
        <w:t xml:space="preserve">. </w:t>
      </w:r>
      <w:proofErr w:type="spellStart"/>
      <w:r w:rsidR="005F1819" w:rsidRPr="00705170">
        <w:rPr>
          <w:rFonts w:ascii="Times New Roman" w:hAnsi="Times New Roman" w:cs="Times New Roman"/>
        </w:rPr>
        <w:t>Corollary</w:t>
      </w:r>
      <w:proofErr w:type="spellEnd"/>
      <w:r w:rsidR="005F1819" w:rsidRPr="00705170">
        <w:rPr>
          <w:rFonts w:ascii="Times New Roman" w:hAnsi="Times New Roman" w:cs="Times New Roman"/>
        </w:rPr>
        <w:t xml:space="preserve">, </w:t>
      </w:r>
      <w:proofErr w:type="spellStart"/>
      <w:r w:rsidR="00D54C82" w:rsidRPr="00705170">
        <w:rPr>
          <w:rFonts w:ascii="Times New Roman" w:hAnsi="Times New Roman" w:cs="Times New Roman"/>
        </w:rPr>
        <w:t>to</w:t>
      </w:r>
      <w:proofErr w:type="spellEnd"/>
      <w:r w:rsidR="00D54C82" w:rsidRPr="00705170">
        <w:rPr>
          <w:rFonts w:ascii="Times New Roman" w:hAnsi="Times New Roman" w:cs="Times New Roman"/>
        </w:rPr>
        <w:t xml:space="preserve"> </w:t>
      </w:r>
      <w:proofErr w:type="spellStart"/>
      <w:r w:rsidR="00D54C82" w:rsidRPr="00705170">
        <w:rPr>
          <w:rFonts w:ascii="Times New Roman" w:hAnsi="Times New Roman" w:cs="Times New Roman"/>
        </w:rPr>
        <w:t>match</w:t>
      </w:r>
      <w:proofErr w:type="spellEnd"/>
      <w:r w:rsidR="00D54C82" w:rsidRPr="00705170">
        <w:rPr>
          <w:rFonts w:ascii="Times New Roman" w:hAnsi="Times New Roman" w:cs="Times New Roman"/>
        </w:rPr>
        <w:t xml:space="preserve"> </w:t>
      </w:r>
      <w:proofErr w:type="spellStart"/>
      <w:r w:rsidR="00D54C82" w:rsidRPr="00705170">
        <w:rPr>
          <w:rFonts w:ascii="Times New Roman" w:hAnsi="Times New Roman" w:cs="Times New Roman"/>
        </w:rPr>
        <w:t>with</w:t>
      </w:r>
      <w:proofErr w:type="spellEnd"/>
      <w:r w:rsidR="00D54C82" w:rsidRPr="00705170">
        <w:rPr>
          <w:rFonts w:ascii="Times New Roman" w:hAnsi="Times New Roman" w:cs="Times New Roman"/>
        </w:rPr>
        <w:t xml:space="preserve"> </w:t>
      </w:r>
      <w:proofErr w:type="spellStart"/>
      <w:r w:rsidR="00D54C82" w:rsidRPr="00705170">
        <w:rPr>
          <w:rFonts w:ascii="Times New Roman" w:hAnsi="Times New Roman" w:cs="Times New Roman"/>
        </w:rPr>
        <w:t>the</w:t>
      </w:r>
      <w:proofErr w:type="spellEnd"/>
      <w:r w:rsidR="00D54C82" w:rsidRPr="00705170">
        <w:rPr>
          <w:rFonts w:ascii="Times New Roman" w:hAnsi="Times New Roman" w:cs="Times New Roman"/>
        </w:rPr>
        <w:t xml:space="preserve"> </w:t>
      </w:r>
      <w:proofErr w:type="spellStart"/>
      <w:r w:rsidR="00D54C82" w:rsidRPr="00705170">
        <w:rPr>
          <w:rFonts w:ascii="Times New Roman" w:hAnsi="Times New Roman" w:cs="Times New Roman"/>
        </w:rPr>
        <w:t>realities</w:t>
      </w:r>
      <w:proofErr w:type="spellEnd"/>
      <w:r w:rsidR="00D54C82" w:rsidRPr="00705170">
        <w:rPr>
          <w:rFonts w:ascii="Times New Roman" w:hAnsi="Times New Roman" w:cs="Times New Roman"/>
        </w:rPr>
        <w:t xml:space="preserve"> of </w:t>
      </w:r>
      <w:proofErr w:type="spellStart"/>
      <w:r w:rsidR="00D54C82" w:rsidRPr="00705170">
        <w:rPr>
          <w:rFonts w:ascii="Times New Roman" w:hAnsi="Times New Roman" w:cs="Times New Roman"/>
        </w:rPr>
        <w:t>commercial</w:t>
      </w:r>
      <w:proofErr w:type="spellEnd"/>
      <w:r w:rsidR="00D54C82" w:rsidRPr="00705170">
        <w:rPr>
          <w:rFonts w:ascii="Times New Roman" w:hAnsi="Times New Roman" w:cs="Times New Roman"/>
        </w:rPr>
        <w:t xml:space="preserve"> life, </w:t>
      </w:r>
      <w:proofErr w:type="spellStart"/>
      <w:r w:rsidR="005F1819" w:rsidRPr="00705170">
        <w:rPr>
          <w:rFonts w:ascii="Times New Roman" w:hAnsi="Times New Roman" w:cs="Times New Roman"/>
        </w:rPr>
        <w:t>two</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di</w:t>
      </w:r>
      <w:r w:rsidR="00C3710B" w:rsidRPr="00705170">
        <w:rPr>
          <w:rFonts w:ascii="Times New Roman" w:hAnsi="Times New Roman" w:cs="Times New Roman"/>
        </w:rPr>
        <w:t>fferent</w:t>
      </w:r>
      <w:proofErr w:type="spellEnd"/>
      <w:r w:rsidR="00C3710B" w:rsidRPr="00705170">
        <w:rPr>
          <w:rFonts w:ascii="Times New Roman" w:hAnsi="Times New Roman" w:cs="Times New Roman"/>
        </w:rPr>
        <w:t xml:space="preserve"> </w:t>
      </w:r>
      <w:proofErr w:type="spellStart"/>
      <w:r w:rsidR="00C3710B" w:rsidRPr="00705170">
        <w:rPr>
          <w:rFonts w:ascii="Times New Roman" w:hAnsi="Times New Roman" w:cs="Times New Roman"/>
        </w:rPr>
        <w:t>regulatory</w:t>
      </w:r>
      <w:proofErr w:type="spellEnd"/>
      <w:r w:rsidR="00C3710B" w:rsidRPr="00705170">
        <w:rPr>
          <w:rFonts w:ascii="Times New Roman" w:hAnsi="Times New Roman" w:cs="Times New Roman"/>
        </w:rPr>
        <w:t xml:space="preserve"> </w:t>
      </w:r>
      <w:proofErr w:type="spellStart"/>
      <w:r w:rsidR="00C3710B" w:rsidRPr="00705170">
        <w:rPr>
          <w:rFonts w:ascii="Times New Roman" w:hAnsi="Times New Roman" w:cs="Times New Roman"/>
        </w:rPr>
        <w:t>approaches</w:t>
      </w:r>
      <w:proofErr w:type="spellEnd"/>
      <w:r w:rsidR="00C3710B" w:rsidRPr="00705170">
        <w:rPr>
          <w:rFonts w:ascii="Times New Roman" w:hAnsi="Times New Roman" w:cs="Times New Roman"/>
        </w:rPr>
        <w:t xml:space="preserve"> </w:t>
      </w:r>
      <w:proofErr w:type="spellStart"/>
      <w:r w:rsidR="00C3710B" w:rsidRPr="00705170">
        <w:rPr>
          <w:rFonts w:ascii="Times New Roman" w:hAnsi="Times New Roman" w:cs="Times New Roman"/>
        </w:rPr>
        <w:t>regarding</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corporate</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groups</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developed</w:t>
      </w:r>
      <w:proofErr w:type="spellEnd"/>
      <w:r w:rsidR="005F1819" w:rsidRPr="00705170">
        <w:rPr>
          <w:rFonts w:ascii="Times New Roman" w:hAnsi="Times New Roman" w:cs="Times New Roman"/>
        </w:rPr>
        <w:t xml:space="preserve">: (1) </w:t>
      </w:r>
      <w:proofErr w:type="spellStart"/>
      <w:r w:rsidR="005F1819" w:rsidRPr="00705170">
        <w:rPr>
          <w:rFonts w:ascii="Times New Roman" w:hAnsi="Times New Roman" w:cs="Times New Roman"/>
        </w:rPr>
        <w:t>entity</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principle</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and</w:t>
      </w:r>
      <w:proofErr w:type="spellEnd"/>
      <w:r w:rsidR="005F1819" w:rsidRPr="00705170">
        <w:rPr>
          <w:rFonts w:ascii="Times New Roman" w:hAnsi="Times New Roman" w:cs="Times New Roman"/>
        </w:rPr>
        <w:t xml:space="preserve"> (2) </w:t>
      </w:r>
      <w:proofErr w:type="spellStart"/>
      <w:r w:rsidR="005F1819" w:rsidRPr="00705170">
        <w:rPr>
          <w:rFonts w:ascii="Times New Roman" w:hAnsi="Times New Roman" w:cs="Times New Roman"/>
        </w:rPr>
        <w:t>enterprise</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principle</w:t>
      </w:r>
      <w:proofErr w:type="spellEnd"/>
      <w:r w:rsidR="005F1819" w:rsidRPr="00705170">
        <w:rPr>
          <w:rStyle w:val="DipnotBavurusu"/>
          <w:rFonts w:ascii="Times New Roman" w:hAnsi="Times New Roman" w:cs="Times New Roman"/>
        </w:rPr>
        <w:footnoteReference w:id="305"/>
      </w:r>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In</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entity</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principle</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each</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business</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entity</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within</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the</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corporate</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group</w:t>
      </w:r>
      <w:proofErr w:type="spellEnd"/>
      <w:r w:rsidR="005F1819" w:rsidRPr="00705170">
        <w:rPr>
          <w:rFonts w:ascii="Times New Roman" w:hAnsi="Times New Roman" w:cs="Times New Roman"/>
        </w:rPr>
        <w:t xml:space="preserve"> is </w:t>
      </w:r>
      <w:proofErr w:type="spellStart"/>
      <w:r w:rsidR="005F1819" w:rsidRPr="00705170">
        <w:rPr>
          <w:rFonts w:ascii="Times New Roman" w:hAnsi="Times New Roman" w:cs="Times New Roman"/>
        </w:rPr>
        <w:t>treated</w:t>
      </w:r>
      <w:proofErr w:type="spellEnd"/>
      <w:r w:rsidR="005F1819" w:rsidRPr="00705170">
        <w:rPr>
          <w:rFonts w:ascii="Times New Roman" w:hAnsi="Times New Roman" w:cs="Times New Roman"/>
        </w:rPr>
        <w:t xml:space="preserve"> as </w:t>
      </w:r>
      <w:proofErr w:type="spellStart"/>
      <w:r w:rsidR="005F1819" w:rsidRPr="00705170">
        <w:rPr>
          <w:rFonts w:ascii="Times New Roman" w:hAnsi="Times New Roman" w:cs="Times New Roman"/>
        </w:rPr>
        <w:t>separate</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and</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distinct</w:t>
      </w:r>
      <w:proofErr w:type="spellEnd"/>
      <w:r w:rsidR="005F1819" w:rsidRPr="00705170">
        <w:rPr>
          <w:rFonts w:ascii="Times New Roman" w:hAnsi="Times New Roman" w:cs="Times New Roman"/>
        </w:rPr>
        <w:t xml:space="preserve"> </w:t>
      </w:r>
      <w:proofErr w:type="spellStart"/>
      <w:r w:rsidR="00BA27EC" w:rsidRPr="00705170">
        <w:rPr>
          <w:rFonts w:ascii="Times New Roman" w:hAnsi="Times New Roman" w:cs="Times New Roman"/>
        </w:rPr>
        <w:t>from</w:t>
      </w:r>
      <w:proofErr w:type="spellEnd"/>
      <w:r w:rsidR="00BA27EC" w:rsidRPr="00705170">
        <w:rPr>
          <w:rFonts w:ascii="Times New Roman" w:hAnsi="Times New Roman" w:cs="Times New Roman"/>
        </w:rPr>
        <w:t xml:space="preserve"> </w:t>
      </w:r>
      <w:proofErr w:type="spellStart"/>
      <w:r w:rsidR="00BA27EC" w:rsidRPr="00705170">
        <w:rPr>
          <w:rFonts w:ascii="Times New Roman" w:hAnsi="Times New Roman" w:cs="Times New Roman"/>
        </w:rPr>
        <w:t>every</w:t>
      </w:r>
      <w:proofErr w:type="spellEnd"/>
      <w:r w:rsidR="00BA27EC" w:rsidRPr="00705170">
        <w:rPr>
          <w:rFonts w:ascii="Times New Roman" w:hAnsi="Times New Roman" w:cs="Times New Roman"/>
        </w:rPr>
        <w:t xml:space="preserve"> </w:t>
      </w:r>
      <w:proofErr w:type="spellStart"/>
      <w:r w:rsidR="00BA27EC" w:rsidRPr="00705170">
        <w:rPr>
          <w:rFonts w:ascii="Times New Roman" w:hAnsi="Times New Roman" w:cs="Times New Roman"/>
        </w:rPr>
        <w:t>other</w:t>
      </w:r>
      <w:proofErr w:type="spellEnd"/>
      <w:r w:rsidR="00BA27EC" w:rsidRPr="00705170">
        <w:rPr>
          <w:rFonts w:ascii="Times New Roman" w:hAnsi="Times New Roman" w:cs="Times New Roman"/>
        </w:rPr>
        <w:t xml:space="preserve"> </w:t>
      </w:r>
      <w:proofErr w:type="spellStart"/>
      <w:r w:rsidR="00BA27EC" w:rsidRPr="00705170">
        <w:rPr>
          <w:rFonts w:ascii="Times New Roman" w:hAnsi="Times New Roman" w:cs="Times New Roman"/>
        </w:rPr>
        <w:t>entity</w:t>
      </w:r>
      <w:proofErr w:type="spellEnd"/>
      <w:r w:rsidR="00BA27EC" w:rsidRPr="00705170">
        <w:rPr>
          <w:rFonts w:ascii="Times New Roman" w:hAnsi="Times New Roman" w:cs="Times New Roman"/>
        </w:rPr>
        <w:t xml:space="preserve">, on </w:t>
      </w:r>
      <w:proofErr w:type="spellStart"/>
      <w:r w:rsidR="00BA27EC" w:rsidRPr="00705170">
        <w:rPr>
          <w:rFonts w:ascii="Times New Roman" w:hAnsi="Times New Roman" w:cs="Times New Roman"/>
        </w:rPr>
        <w:t>the</w:t>
      </w:r>
      <w:proofErr w:type="spellEnd"/>
      <w:r w:rsidR="00BA27EC" w:rsidRPr="00705170">
        <w:rPr>
          <w:rFonts w:ascii="Times New Roman" w:hAnsi="Times New Roman" w:cs="Times New Roman"/>
        </w:rPr>
        <w:t xml:space="preserve"> </w:t>
      </w:r>
      <w:proofErr w:type="spellStart"/>
      <w:r w:rsidR="00BA27EC" w:rsidRPr="00705170">
        <w:rPr>
          <w:rFonts w:ascii="Times New Roman" w:hAnsi="Times New Roman" w:cs="Times New Roman"/>
        </w:rPr>
        <w:t>other</w:t>
      </w:r>
      <w:proofErr w:type="spellEnd"/>
      <w:r w:rsidR="00BA27EC" w:rsidRPr="00705170">
        <w:rPr>
          <w:rFonts w:ascii="Times New Roman" w:hAnsi="Times New Roman" w:cs="Times New Roman"/>
        </w:rPr>
        <w:t xml:space="preserve"> </w:t>
      </w:r>
      <w:proofErr w:type="spellStart"/>
      <w:r w:rsidR="00BA27EC" w:rsidRPr="00705170">
        <w:rPr>
          <w:rFonts w:ascii="Times New Roman" w:hAnsi="Times New Roman" w:cs="Times New Roman"/>
        </w:rPr>
        <w:t>hand</w:t>
      </w:r>
      <w:proofErr w:type="spellEnd"/>
      <w:r w:rsidR="00BA27EC" w:rsidRPr="00705170">
        <w:rPr>
          <w:rFonts w:ascii="Times New Roman" w:hAnsi="Times New Roman" w:cs="Times New Roman"/>
        </w:rPr>
        <w:t>,</w:t>
      </w:r>
      <w:r w:rsidR="005F1819" w:rsidRPr="00705170">
        <w:rPr>
          <w:rFonts w:ascii="Times New Roman" w:hAnsi="Times New Roman" w:cs="Times New Roman"/>
        </w:rPr>
        <w:t xml:space="preserve"> in </w:t>
      </w:r>
      <w:proofErr w:type="spellStart"/>
      <w:r w:rsidR="005F1819" w:rsidRPr="00705170">
        <w:rPr>
          <w:rFonts w:ascii="Times New Roman" w:hAnsi="Times New Roman" w:cs="Times New Roman"/>
        </w:rPr>
        <w:t>the</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enterprise</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principle</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the</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entities</w:t>
      </w:r>
      <w:proofErr w:type="spellEnd"/>
      <w:r w:rsidR="005F1819" w:rsidRPr="00705170">
        <w:rPr>
          <w:rFonts w:ascii="Times New Roman" w:hAnsi="Times New Roman" w:cs="Times New Roman"/>
        </w:rPr>
        <w:t xml:space="preserve"> in a </w:t>
      </w:r>
      <w:proofErr w:type="spellStart"/>
      <w:r w:rsidR="005F1819" w:rsidRPr="00705170">
        <w:rPr>
          <w:rFonts w:ascii="Times New Roman" w:hAnsi="Times New Roman" w:cs="Times New Roman"/>
        </w:rPr>
        <w:t>group</w:t>
      </w:r>
      <w:proofErr w:type="spellEnd"/>
      <w:r w:rsidR="00C3710B" w:rsidRPr="00705170">
        <w:rPr>
          <w:rFonts w:ascii="Times New Roman" w:hAnsi="Times New Roman" w:cs="Times New Roman"/>
        </w:rPr>
        <w:t xml:space="preserve"> </w:t>
      </w:r>
      <w:proofErr w:type="spellStart"/>
      <w:r w:rsidR="00C3710B" w:rsidRPr="00705170">
        <w:rPr>
          <w:rFonts w:ascii="Times New Roman" w:hAnsi="Times New Roman" w:cs="Times New Roman"/>
        </w:rPr>
        <w:t>are</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treated</w:t>
      </w:r>
      <w:proofErr w:type="spellEnd"/>
      <w:r w:rsidR="005F1819" w:rsidRPr="00705170">
        <w:rPr>
          <w:rFonts w:ascii="Times New Roman" w:hAnsi="Times New Roman" w:cs="Times New Roman"/>
        </w:rPr>
        <w:t xml:space="preserve"> as a </w:t>
      </w:r>
      <w:proofErr w:type="spellStart"/>
      <w:r w:rsidR="005F1819" w:rsidRPr="00705170">
        <w:rPr>
          <w:rFonts w:ascii="Times New Roman" w:hAnsi="Times New Roman" w:cs="Times New Roman"/>
        </w:rPr>
        <w:t>single</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unit</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under</w:t>
      </w:r>
      <w:proofErr w:type="spellEnd"/>
      <w:r w:rsidR="005F1819" w:rsidRPr="00705170">
        <w:rPr>
          <w:rFonts w:ascii="Times New Roman" w:hAnsi="Times New Roman" w:cs="Times New Roman"/>
        </w:rPr>
        <w:t xml:space="preserve"> </w:t>
      </w:r>
      <w:proofErr w:type="spellStart"/>
      <w:r w:rsidR="005F1819" w:rsidRPr="00705170">
        <w:rPr>
          <w:rFonts w:ascii="Times New Roman" w:hAnsi="Times New Roman" w:cs="Times New Roman"/>
        </w:rPr>
        <w:t>certain</w:t>
      </w:r>
      <w:proofErr w:type="spellEnd"/>
      <w:r w:rsidR="005F1819" w:rsidRPr="00705170">
        <w:rPr>
          <w:rFonts w:ascii="Times New Roman" w:hAnsi="Times New Roman" w:cs="Times New Roman"/>
        </w:rPr>
        <w:t xml:space="preserve"> </w:t>
      </w:r>
      <w:r w:rsidR="00BA27EC" w:rsidRPr="00705170">
        <w:rPr>
          <w:rFonts w:ascii="Times New Roman" w:hAnsi="Times New Roman" w:cs="Times New Roman"/>
        </w:rPr>
        <w:t>(</w:t>
      </w:r>
      <w:proofErr w:type="spellStart"/>
      <w:r w:rsidR="00BA27EC" w:rsidRPr="00705170">
        <w:rPr>
          <w:rFonts w:ascii="Times New Roman" w:hAnsi="Times New Roman" w:cs="Times New Roman"/>
        </w:rPr>
        <w:t>i.e</w:t>
      </w:r>
      <w:proofErr w:type="spellEnd"/>
      <w:r w:rsidR="00BA27EC" w:rsidRPr="00705170">
        <w:rPr>
          <w:rFonts w:ascii="Times New Roman" w:hAnsi="Times New Roman" w:cs="Times New Roman"/>
        </w:rPr>
        <w:t xml:space="preserve">. </w:t>
      </w:r>
      <w:proofErr w:type="spellStart"/>
      <w:r w:rsidR="00BA27EC" w:rsidRPr="00705170">
        <w:rPr>
          <w:rFonts w:ascii="Times New Roman" w:hAnsi="Times New Roman" w:cs="Times New Roman"/>
        </w:rPr>
        <w:t>selective</w:t>
      </w:r>
      <w:proofErr w:type="spellEnd"/>
      <w:r w:rsidR="00BA27EC" w:rsidRPr="00705170">
        <w:rPr>
          <w:rFonts w:ascii="Times New Roman" w:hAnsi="Times New Roman" w:cs="Times New Roman"/>
        </w:rPr>
        <w:t xml:space="preserve">) </w:t>
      </w:r>
      <w:proofErr w:type="spellStart"/>
      <w:r w:rsidR="005F1819" w:rsidRPr="00705170">
        <w:rPr>
          <w:rFonts w:ascii="Times New Roman" w:hAnsi="Times New Roman" w:cs="Times New Roman"/>
        </w:rPr>
        <w:t>circumstances</w:t>
      </w:r>
      <w:proofErr w:type="spellEnd"/>
      <w:r w:rsidR="005F1819" w:rsidRPr="00705170">
        <w:rPr>
          <w:rStyle w:val="DipnotBavurusu"/>
          <w:rFonts w:ascii="Times New Roman" w:hAnsi="Times New Roman" w:cs="Times New Roman"/>
        </w:rPr>
        <w:footnoteReference w:id="306"/>
      </w:r>
      <w:r w:rsidR="005F1819" w:rsidRPr="00705170">
        <w:rPr>
          <w:rFonts w:ascii="Times New Roman" w:hAnsi="Times New Roman" w:cs="Times New Roman"/>
        </w:rPr>
        <w:t>.</w:t>
      </w:r>
      <w:r w:rsidR="00095BC9" w:rsidRPr="00705170">
        <w:rPr>
          <w:rFonts w:ascii="Times New Roman" w:hAnsi="Times New Roman" w:cs="Times New Roman"/>
        </w:rPr>
        <w:t xml:space="preserve"> </w:t>
      </w:r>
    </w:p>
    <w:p w14:paraId="594C0EFF" w14:textId="5F5ADA1B" w:rsidR="006B112F" w:rsidRPr="00705170" w:rsidRDefault="00CE0834" w:rsidP="0057614A">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adopted</w:t>
      </w:r>
      <w:proofErr w:type="spellEnd"/>
      <w:r w:rsidRPr="00705170">
        <w:rPr>
          <w:rFonts w:ascii="Times New Roman" w:hAnsi="Times New Roman" w:cs="Times New Roman"/>
        </w:rPr>
        <w:t xml:space="preserve"> an </w:t>
      </w:r>
      <w:r w:rsidR="00260082" w:rsidRPr="00705170">
        <w:rPr>
          <w:rFonts w:ascii="Times New Roman" w:hAnsi="Times New Roman" w:cs="Times New Roman"/>
        </w:rPr>
        <w:t>“</w:t>
      </w:r>
      <w:proofErr w:type="spellStart"/>
      <w:r w:rsidRPr="00705170">
        <w:rPr>
          <w:rFonts w:ascii="Times New Roman" w:hAnsi="Times New Roman" w:cs="Times New Roman"/>
        </w:rPr>
        <w:t>enterprise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principle</w:t>
      </w:r>
      <w:proofErr w:type="spellEnd"/>
      <w:r w:rsidR="00260082"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interwoven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control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006B112F" w:rsidRPr="00705170">
        <w:rPr>
          <w:rFonts w:ascii="Times New Roman" w:hAnsi="Times New Roman" w:cs="Times New Roman"/>
        </w:rPr>
        <w:t xml:space="preserve"> </w:t>
      </w:r>
      <w:proofErr w:type="spellStart"/>
      <w:r w:rsidR="006B112F" w:rsidRPr="00705170">
        <w:rPr>
          <w:rFonts w:ascii="Times New Roman" w:hAnsi="Times New Roman" w:cs="Times New Roman"/>
        </w:rPr>
        <w:t>the</w:t>
      </w:r>
      <w:proofErr w:type="spellEnd"/>
      <w:r w:rsidR="006B112F" w:rsidRPr="00705170">
        <w:rPr>
          <w:rFonts w:ascii="Times New Roman" w:hAnsi="Times New Roman" w:cs="Times New Roman"/>
        </w:rPr>
        <w:t xml:space="preserve"> </w:t>
      </w:r>
      <w:proofErr w:type="spellStart"/>
      <w:r w:rsidR="006B112F" w:rsidRPr="00705170">
        <w:rPr>
          <w:rFonts w:ascii="Times New Roman" w:hAnsi="Times New Roman" w:cs="Times New Roman"/>
        </w:rPr>
        <w:t>enactment</w:t>
      </w:r>
      <w:proofErr w:type="spellEnd"/>
      <w:r w:rsidR="006B112F" w:rsidRPr="00705170">
        <w:rPr>
          <w:rFonts w:ascii="Times New Roman" w:hAnsi="Times New Roman" w:cs="Times New Roman"/>
        </w:rPr>
        <w:t xml:space="preserve"> of </w:t>
      </w:r>
      <w:proofErr w:type="spellStart"/>
      <w:r w:rsidR="006B112F" w:rsidRPr="00705170">
        <w:rPr>
          <w:rFonts w:ascii="Times New Roman" w:hAnsi="Times New Roman" w:cs="Times New Roman"/>
        </w:rPr>
        <w:t>the</w:t>
      </w:r>
      <w:proofErr w:type="spellEnd"/>
      <w:r w:rsidR="006B112F" w:rsidRPr="00705170">
        <w:rPr>
          <w:rFonts w:ascii="Times New Roman" w:hAnsi="Times New Roman" w:cs="Times New Roman"/>
        </w:rPr>
        <w:t xml:space="preserve"> TCC</w:t>
      </w:r>
      <w:r w:rsidRPr="00705170">
        <w:rPr>
          <w:rStyle w:val="DipnotBavurusu"/>
          <w:rFonts w:ascii="Times New Roman" w:hAnsi="Times New Roman" w:cs="Times New Roman"/>
        </w:rPr>
        <w:footnoteReference w:id="307"/>
      </w:r>
      <w:r w:rsidR="006B112F" w:rsidRPr="00705170">
        <w:rPr>
          <w:rFonts w:ascii="Times New Roman" w:hAnsi="Times New Roman" w:cs="Times New Roman"/>
        </w:rPr>
        <w:t xml:space="preserve">, </w:t>
      </w:r>
      <w:proofErr w:type="spellStart"/>
      <w:r w:rsidR="006B112F" w:rsidRPr="00705170">
        <w:rPr>
          <w:rFonts w:ascii="Times New Roman" w:hAnsi="Times New Roman" w:cs="Times New Roman"/>
        </w:rPr>
        <w:t>and</w:t>
      </w:r>
      <w:proofErr w:type="spellEnd"/>
      <w:r w:rsidR="000B3C05" w:rsidRPr="00705170">
        <w:rPr>
          <w:rFonts w:ascii="Times New Roman" w:hAnsi="Times New Roman" w:cs="Times New Roman"/>
        </w:rPr>
        <w:t xml:space="preserve"> </w:t>
      </w:r>
      <w:proofErr w:type="spellStart"/>
      <w:r w:rsidR="000B3C05" w:rsidRPr="00705170">
        <w:rPr>
          <w:rFonts w:ascii="Times New Roman" w:hAnsi="Times New Roman" w:cs="Times New Roman"/>
        </w:rPr>
        <w:t>codified</w:t>
      </w:r>
      <w:proofErr w:type="spellEnd"/>
      <w:r w:rsidR="000B3C05" w:rsidRPr="00705170">
        <w:rPr>
          <w:rFonts w:ascii="Times New Roman" w:hAnsi="Times New Roman" w:cs="Times New Roman"/>
        </w:rPr>
        <w:t xml:space="preserve"> </w:t>
      </w:r>
      <w:proofErr w:type="spellStart"/>
      <w:r w:rsidR="000B3C05" w:rsidRPr="00705170">
        <w:rPr>
          <w:rFonts w:ascii="Times New Roman" w:hAnsi="Times New Roman" w:cs="Times New Roman"/>
        </w:rPr>
        <w:t>the</w:t>
      </w:r>
      <w:proofErr w:type="spellEnd"/>
      <w:r w:rsidR="000B3C05" w:rsidRPr="00705170">
        <w:rPr>
          <w:rFonts w:ascii="Times New Roman" w:hAnsi="Times New Roman" w:cs="Times New Roman"/>
        </w:rPr>
        <w:t xml:space="preserve"> </w:t>
      </w:r>
      <w:proofErr w:type="spellStart"/>
      <w:r w:rsidR="000B3C05" w:rsidRPr="00705170">
        <w:rPr>
          <w:rFonts w:ascii="Times New Roman" w:hAnsi="Times New Roman" w:cs="Times New Roman"/>
        </w:rPr>
        <w:t>rules</w:t>
      </w:r>
      <w:proofErr w:type="spellEnd"/>
      <w:r w:rsidR="000B3C05" w:rsidRPr="00705170">
        <w:rPr>
          <w:rFonts w:ascii="Times New Roman" w:hAnsi="Times New Roman" w:cs="Times New Roman"/>
        </w:rPr>
        <w:t xml:space="preserve"> on </w:t>
      </w:r>
      <w:proofErr w:type="spellStart"/>
      <w:r w:rsidR="000B3C05" w:rsidRPr="00705170">
        <w:rPr>
          <w:rFonts w:ascii="Times New Roman" w:hAnsi="Times New Roman" w:cs="Times New Roman"/>
        </w:rPr>
        <w:t>corporate</w:t>
      </w:r>
      <w:proofErr w:type="spellEnd"/>
      <w:r w:rsidR="000B3C05" w:rsidRPr="00705170">
        <w:rPr>
          <w:rFonts w:ascii="Times New Roman" w:hAnsi="Times New Roman" w:cs="Times New Roman"/>
        </w:rPr>
        <w:t xml:space="preserve"> </w:t>
      </w:r>
      <w:proofErr w:type="spellStart"/>
      <w:r w:rsidR="000B3C05" w:rsidRPr="00705170">
        <w:rPr>
          <w:rFonts w:ascii="Times New Roman" w:hAnsi="Times New Roman" w:cs="Times New Roman"/>
        </w:rPr>
        <w:t>groups</w:t>
      </w:r>
      <w:proofErr w:type="spellEnd"/>
      <w:r w:rsidR="000B3C05" w:rsidRPr="00705170">
        <w:rPr>
          <w:rFonts w:ascii="Times New Roman" w:hAnsi="Times New Roman" w:cs="Times New Roman"/>
        </w:rPr>
        <w:t xml:space="preserve"> </w:t>
      </w:r>
      <w:proofErr w:type="spellStart"/>
      <w:r w:rsidR="000B3C05" w:rsidRPr="00705170">
        <w:rPr>
          <w:rFonts w:ascii="Times New Roman" w:hAnsi="Times New Roman" w:cs="Times New Roman"/>
        </w:rPr>
        <w:t>by</w:t>
      </w:r>
      <w:proofErr w:type="spellEnd"/>
      <w:r w:rsidR="000B3C05" w:rsidRPr="00705170">
        <w:rPr>
          <w:rFonts w:ascii="Times New Roman" w:hAnsi="Times New Roman" w:cs="Times New Roman"/>
        </w:rPr>
        <w:t xml:space="preserve"> </w:t>
      </w:r>
      <w:proofErr w:type="spellStart"/>
      <w:r w:rsidR="000B3C05" w:rsidRPr="00705170">
        <w:rPr>
          <w:rFonts w:ascii="Times New Roman" w:hAnsi="Times New Roman" w:cs="Times New Roman"/>
        </w:rPr>
        <w:t>using</w:t>
      </w:r>
      <w:proofErr w:type="spellEnd"/>
      <w:r w:rsidR="006B112F" w:rsidRPr="00705170">
        <w:rPr>
          <w:rFonts w:ascii="Times New Roman" w:hAnsi="Times New Roman" w:cs="Times New Roman"/>
        </w:rPr>
        <w:t xml:space="preserve"> </w:t>
      </w:r>
      <w:proofErr w:type="spellStart"/>
      <w:r w:rsidR="006B112F" w:rsidRPr="00705170">
        <w:rPr>
          <w:rFonts w:ascii="Times New Roman" w:hAnsi="Times New Roman" w:cs="Times New Roman"/>
        </w:rPr>
        <w:t>the</w:t>
      </w:r>
      <w:proofErr w:type="spellEnd"/>
      <w:r w:rsidR="006B112F" w:rsidRPr="00705170">
        <w:rPr>
          <w:rFonts w:ascii="Times New Roman" w:hAnsi="Times New Roman" w:cs="Times New Roman"/>
        </w:rPr>
        <w:t xml:space="preserve"> </w:t>
      </w:r>
      <w:proofErr w:type="spellStart"/>
      <w:r w:rsidR="006B112F" w:rsidRPr="00705170">
        <w:rPr>
          <w:rFonts w:ascii="Times New Roman" w:hAnsi="Times New Roman" w:cs="Times New Roman"/>
        </w:rPr>
        <w:t>German</w:t>
      </w:r>
      <w:proofErr w:type="spellEnd"/>
      <w:r w:rsidR="006B112F" w:rsidRPr="00705170">
        <w:rPr>
          <w:rFonts w:ascii="Times New Roman" w:hAnsi="Times New Roman" w:cs="Times New Roman"/>
        </w:rPr>
        <w:t xml:space="preserve"> </w:t>
      </w:r>
      <w:r w:rsidR="006B112F" w:rsidRPr="00705170">
        <w:rPr>
          <w:rFonts w:ascii="Times New Roman" w:hAnsi="Times New Roman" w:cs="Times New Roman"/>
        </w:rPr>
        <w:lastRenderedPageBreak/>
        <w:t>“</w:t>
      </w:r>
      <w:proofErr w:type="spellStart"/>
      <w:r w:rsidR="006B112F" w:rsidRPr="00705170">
        <w:rPr>
          <w:rFonts w:ascii="Times New Roman" w:hAnsi="Times New Roman" w:cs="Times New Roman"/>
        </w:rPr>
        <w:t>konzernrecht</w:t>
      </w:r>
      <w:proofErr w:type="spellEnd"/>
      <w:r w:rsidR="006B112F" w:rsidRPr="00705170">
        <w:rPr>
          <w:rFonts w:ascii="Times New Roman" w:hAnsi="Times New Roman" w:cs="Times New Roman"/>
        </w:rPr>
        <w:t>” (</w:t>
      </w:r>
      <w:proofErr w:type="spellStart"/>
      <w:r w:rsidR="006B112F" w:rsidRPr="00705170">
        <w:rPr>
          <w:rFonts w:ascii="Times New Roman" w:hAnsi="Times New Roman" w:cs="Times New Roman"/>
        </w:rPr>
        <w:t>i.e</w:t>
      </w:r>
      <w:proofErr w:type="spellEnd"/>
      <w:r w:rsidR="006B112F" w:rsidRPr="00705170">
        <w:rPr>
          <w:rFonts w:ascii="Times New Roman" w:hAnsi="Times New Roman" w:cs="Times New Roman"/>
        </w:rPr>
        <w:t xml:space="preserve">. </w:t>
      </w:r>
      <w:proofErr w:type="spellStart"/>
      <w:r w:rsidR="006B112F" w:rsidRPr="00705170">
        <w:rPr>
          <w:rFonts w:ascii="Times New Roman" w:hAnsi="Times New Roman" w:cs="Times New Roman"/>
        </w:rPr>
        <w:t>concern</w:t>
      </w:r>
      <w:proofErr w:type="spellEnd"/>
      <w:r w:rsidR="006B112F" w:rsidRPr="00705170">
        <w:rPr>
          <w:rFonts w:ascii="Times New Roman" w:hAnsi="Times New Roman" w:cs="Times New Roman"/>
        </w:rPr>
        <w:t xml:space="preserve"> </w:t>
      </w:r>
      <w:proofErr w:type="spellStart"/>
      <w:r w:rsidR="006B112F" w:rsidRPr="00705170">
        <w:rPr>
          <w:rFonts w:ascii="Times New Roman" w:hAnsi="Times New Roman" w:cs="Times New Roman"/>
        </w:rPr>
        <w:t>law</w:t>
      </w:r>
      <w:proofErr w:type="spellEnd"/>
      <w:r w:rsidR="006B112F" w:rsidRPr="00705170">
        <w:rPr>
          <w:rFonts w:ascii="Times New Roman" w:hAnsi="Times New Roman" w:cs="Times New Roman"/>
        </w:rPr>
        <w:t xml:space="preserve">) as </w:t>
      </w:r>
      <w:proofErr w:type="spellStart"/>
      <w:r w:rsidR="006B112F" w:rsidRPr="00705170">
        <w:rPr>
          <w:rFonts w:ascii="Times New Roman" w:hAnsi="Times New Roman" w:cs="Times New Roman"/>
        </w:rPr>
        <w:t>its</w:t>
      </w:r>
      <w:proofErr w:type="spellEnd"/>
      <w:r w:rsidR="006B112F" w:rsidRPr="00705170">
        <w:rPr>
          <w:rFonts w:ascii="Times New Roman" w:hAnsi="Times New Roman" w:cs="Times New Roman"/>
        </w:rPr>
        <w:t xml:space="preserve"> model</w:t>
      </w:r>
      <w:r w:rsidR="002B3E29" w:rsidRPr="00705170">
        <w:rPr>
          <w:rStyle w:val="DipnotBavurusu"/>
          <w:rFonts w:ascii="Times New Roman" w:hAnsi="Times New Roman" w:cs="Times New Roman"/>
        </w:rPr>
        <w:footnoteReference w:id="308"/>
      </w:r>
      <w:r w:rsidR="006B112F" w:rsidRPr="00705170">
        <w:rPr>
          <w:rFonts w:ascii="Times New Roman" w:hAnsi="Times New Roman" w:cs="Times New Roman"/>
        </w:rPr>
        <w:t xml:space="preserve">. </w:t>
      </w:r>
      <w:proofErr w:type="spellStart"/>
      <w:r w:rsidR="00525B7F" w:rsidRPr="00705170">
        <w:rPr>
          <w:rFonts w:ascii="Times New Roman" w:hAnsi="Times New Roman" w:cs="Times New Roman"/>
        </w:rPr>
        <w:t>In</w:t>
      </w:r>
      <w:proofErr w:type="spellEnd"/>
      <w:r w:rsidR="00525B7F" w:rsidRPr="00705170">
        <w:rPr>
          <w:rFonts w:ascii="Times New Roman" w:hAnsi="Times New Roman" w:cs="Times New Roman"/>
        </w:rPr>
        <w:t xml:space="preserve"> TCC, </w:t>
      </w:r>
      <w:proofErr w:type="spellStart"/>
      <w:r w:rsidR="00525B7F" w:rsidRPr="00705170">
        <w:rPr>
          <w:rFonts w:ascii="Times New Roman" w:hAnsi="Times New Roman" w:cs="Times New Roman"/>
        </w:rPr>
        <w:t>the</w:t>
      </w:r>
      <w:proofErr w:type="spellEnd"/>
      <w:r w:rsidR="00525B7F" w:rsidRPr="00705170">
        <w:rPr>
          <w:rFonts w:ascii="Times New Roman" w:hAnsi="Times New Roman" w:cs="Times New Roman"/>
        </w:rPr>
        <w:t xml:space="preserve"> </w:t>
      </w:r>
      <w:proofErr w:type="spellStart"/>
      <w:r w:rsidR="00525B7F" w:rsidRPr="00705170">
        <w:rPr>
          <w:rFonts w:ascii="Times New Roman" w:hAnsi="Times New Roman" w:cs="Times New Roman"/>
        </w:rPr>
        <w:t>central</w:t>
      </w:r>
      <w:proofErr w:type="spellEnd"/>
      <w:r w:rsidR="00525B7F" w:rsidRPr="00705170">
        <w:rPr>
          <w:rFonts w:ascii="Times New Roman" w:hAnsi="Times New Roman" w:cs="Times New Roman"/>
        </w:rPr>
        <w:t xml:space="preserve"> </w:t>
      </w:r>
      <w:proofErr w:type="spellStart"/>
      <w:r w:rsidR="00525B7F" w:rsidRPr="00705170">
        <w:rPr>
          <w:rFonts w:ascii="Times New Roman" w:hAnsi="Times New Roman" w:cs="Times New Roman"/>
        </w:rPr>
        <w:t>conception</w:t>
      </w:r>
      <w:proofErr w:type="spellEnd"/>
      <w:r w:rsidR="00525B7F" w:rsidRPr="00705170">
        <w:rPr>
          <w:rFonts w:ascii="Times New Roman" w:hAnsi="Times New Roman" w:cs="Times New Roman"/>
        </w:rPr>
        <w:t xml:space="preserve"> of </w:t>
      </w:r>
      <w:proofErr w:type="spellStart"/>
      <w:r w:rsidR="00525B7F" w:rsidRPr="00705170">
        <w:rPr>
          <w:rFonts w:ascii="Times New Roman" w:hAnsi="Times New Roman" w:cs="Times New Roman"/>
        </w:rPr>
        <w:t>the</w:t>
      </w:r>
      <w:proofErr w:type="spellEnd"/>
      <w:r w:rsidR="00525B7F" w:rsidRPr="00705170">
        <w:rPr>
          <w:rFonts w:ascii="Times New Roman" w:hAnsi="Times New Roman" w:cs="Times New Roman"/>
        </w:rPr>
        <w:t xml:space="preserve"> legal </w:t>
      </w:r>
      <w:proofErr w:type="spellStart"/>
      <w:r w:rsidR="00525B7F" w:rsidRPr="00705170">
        <w:rPr>
          <w:rFonts w:ascii="Times New Roman" w:hAnsi="Times New Roman" w:cs="Times New Roman"/>
        </w:rPr>
        <w:t>construction</w:t>
      </w:r>
      <w:proofErr w:type="spellEnd"/>
      <w:r w:rsidR="00525B7F" w:rsidRPr="00705170">
        <w:rPr>
          <w:rFonts w:ascii="Times New Roman" w:hAnsi="Times New Roman" w:cs="Times New Roman"/>
        </w:rPr>
        <w:t xml:space="preserve"> </w:t>
      </w:r>
      <w:proofErr w:type="spellStart"/>
      <w:r w:rsidR="00525B7F" w:rsidRPr="00705170">
        <w:rPr>
          <w:rFonts w:ascii="Times New Roman" w:hAnsi="Times New Roman" w:cs="Times New Roman"/>
        </w:rPr>
        <w:t>regarding</w:t>
      </w:r>
      <w:proofErr w:type="spellEnd"/>
      <w:r w:rsidR="00525B7F" w:rsidRPr="00705170">
        <w:rPr>
          <w:rFonts w:ascii="Times New Roman" w:hAnsi="Times New Roman" w:cs="Times New Roman"/>
        </w:rPr>
        <w:t xml:space="preserve"> </w:t>
      </w:r>
      <w:proofErr w:type="spellStart"/>
      <w:r w:rsidR="00525B7F" w:rsidRPr="00705170">
        <w:rPr>
          <w:rFonts w:ascii="Times New Roman" w:hAnsi="Times New Roman" w:cs="Times New Roman"/>
        </w:rPr>
        <w:t>corporate</w:t>
      </w:r>
      <w:proofErr w:type="spellEnd"/>
      <w:r w:rsidR="00525B7F" w:rsidRPr="00705170">
        <w:rPr>
          <w:rFonts w:ascii="Times New Roman" w:hAnsi="Times New Roman" w:cs="Times New Roman"/>
        </w:rPr>
        <w:t xml:space="preserve"> </w:t>
      </w:r>
      <w:proofErr w:type="spellStart"/>
      <w:r w:rsidR="00525B7F" w:rsidRPr="00705170">
        <w:rPr>
          <w:rFonts w:ascii="Times New Roman" w:hAnsi="Times New Roman" w:cs="Times New Roman"/>
        </w:rPr>
        <w:t>groups</w:t>
      </w:r>
      <w:proofErr w:type="spellEnd"/>
      <w:r w:rsidR="00525B7F" w:rsidRPr="00705170">
        <w:rPr>
          <w:rFonts w:ascii="Times New Roman" w:hAnsi="Times New Roman" w:cs="Times New Roman"/>
        </w:rPr>
        <w:t xml:space="preserve"> is “</w:t>
      </w:r>
      <w:proofErr w:type="spellStart"/>
      <w:r w:rsidR="00525B7F" w:rsidRPr="00705170">
        <w:rPr>
          <w:rFonts w:ascii="Times New Roman" w:hAnsi="Times New Roman" w:cs="Times New Roman"/>
        </w:rPr>
        <w:t>control</w:t>
      </w:r>
      <w:proofErr w:type="spellEnd"/>
      <w:r w:rsidR="00525B7F" w:rsidRPr="00705170">
        <w:rPr>
          <w:rFonts w:ascii="Times New Roman" w:hAnsi="Times New Roman" w:cs="Times New Roman"/>
        </w:rPr>
        <w:t>”</w:t>
      </w:r>
      <w:r w:rsidR="0071384B" w:rsidRPr="00705170">
        <w:rPr>
          <w:rStyle w:val="DipnotBavurusu"/>
          <w:rFonts w:ascii="Times New Roman" w:hAnsi="Times New Roman" w:cs="Times New Roman"/>
        </w:rPr>
        <w:footnoteReference w:id="309"/>
      </w:r>
      <w:r w:rsidR="00525B7F" w:rsidRPr="00705170">
        <w:rPr>
          <w:rFonts w:ascii="Times New Roman" w:hAnsi="Times New Roman" w:cs="Times New Roman"/>
        </w:rPr>
        <w:t xml:space="preserve">; </w:t>
      </w:r>
      <w:proofErr w:type="spellStart"/>
      <w:r w:rsidR="00525B7F" w:rsidRPr="00705170">
        <w:rPr>
          <w:rFonts w:ascii="Times New Roman" w:hAnsi="Times New Roman" w:cs="Times New Roman"/>
        </w:rPr>
        <w:t>wh</w:t>
      </w:r>
      <w:r w:rsidR="00B66373" w:rsidRPr="00705170">
        <w:rPr>
          <w:rFonts w:ascii="Times New Roman" w:hAnsi="Times New Roman" w:cs="Times New Roman"/>
        </w:rPr>
        <w:t>ether</w:t>
      </w:r>
      <w:proofErr w:type="spellEnd"/>
      <w:r w:rsidR="00B66373" w:rsidRPr="00705170">
        <w:rPr>
          <w:rFonts w:ascii="Times New Roman" w:hAnsi="Times New Roman" w:cs="Times New Roman"/>
        </w:rPr>
        <w:t xml:space="preserve"> a </w:t>
      </w:r>
      <w:proofErr w:type="spellStart"/>
      <w:r w:rsidR="00B66373" w:rsidRPr="00705170">
        <w:rPr>
          <w:rFonts w:ascii="Times New Roman" w:hAnsi="Times New Roman" w:cs="Times New Roman"/>
        </w:rPr>
        <w:t>corporate</w:t>
      </w:r>
      <w:proofErr w:type="spellEnd"/>
      <w:r w:rsidR="00B66373" w:rsidRPr="00705170">
        <w:rPr>
          <w:rFonts w:ascii="Times New Roman" w:hAnsi="Times New Roman" w:cs="Times New Roman"/>
        </w:rPr>
        <w:t xml:space="preserve"> </w:t>
      </w:r>
      <w:proofErr w:type="spellStart"/>
      <w:r w:rsidR="00B66373" w:rsidRPr="00705170">
        <w:rPr>
          <w:rFonts w:ascii="Times New Roman" w:hAnsi="Times New Roman" w:cs="Times New Roman"/>
        </w:rPr>
        <w:t>group</w:t>
      </w:r>
      <w:proofErr w:type="spellEnd"/>
      <w:r w:rsidR="00B66373" w:rsidRPr="00705170">
        <w:rPr>
          <w:rFonts w:ascii="Times New Roman" w:hAnsi="Times New Roman" w:cs="Times New Roman"/>
        </w:rPr>
        <w:t xml:space="preserve"> </w:t>
      </w:r>
      <w:proofErr w:type="spellStart"/>
      <w:r w:rsidR="00B66373" w:rsidRPr="00705170">
        <w:rPr>
          <w:rFonts w:ascii="Times New Roman" w:hAnsi="Times New Roman" w:cs="Times New Roman"/>
        </w:rPr>
        <w:t>exists</w:t>
      </w:r>
      <w:proofErr w:type="spellEnd"/>
      <w:r w:rsidR="00B66373" w:rsidRPr="00705170">
        <w:rPr>
          <w:rFonts w:ascii="Times New Roman" w:hAnsi="Times New Roman" w:cs="Times New Roman"/>
        </w:rPr>
        <w:t xml:space="preserve"> (</w:t>
      </w:r>
      <w:proofErr w:type="spellStart"/>
      <w:r w:rsidR="00B66373" w:rsidRPr="00705170">
        <w:rPr>
          <w:rFonts w:ascii="Times New Roman" w:hAnsi="Times New Roman" w:cs="Times New Roman"/>
        </w:rPr>
        <w:t>consequently</w:t>
      </w:r>
      <w:proofErr w:type="spellEnd"/>
      <w:r w:rsidR="00B66373" w:rsidRPr="00705170">
        <w:rPr>
          <w:rFonts w:ascii="Times New Roman" w:hAnsi="Times New Roman" w:cs="Times New Roman"/>
        </w:rPr>
        <w:t xml:space="preserve"> a </w:t>
      </w:r>
      <w:proofErr w:type="spellStart"/>
      <w:r w:rsidR="00B66373" w:rsidRPr="00705170">
        <w:rPr>
          <w:rFonts w:ascii="Times New Roman" w:hAnsi="Times New Roman" w:cs="Times New Roman"/>
        </w:rPr>
        <w:t>liability</w:t>
      </w:r>
      <w:proofErr w:type="spellEnd"/>
      <w:r w:rsidR="00B66373" w:rsidRPr="00705170">
        <w:rPr>
          <w:rFonts w:ascii="Times New Roman" w:hAnsi="Times New Roman" w:cs="Times New Roman"/>
        </w:rPr>
        <w:t>)</w:t>
      </w:r>
      <w:r w:rsidR="00525B7F" w:rsidRPr="00705170">
        <w:rPr>
          <w:rFonts w:ascii="Times New Roman" w:hAnsi="Times New Roman" w:cs="Times New Roman"/>
        </w:rPr>
        <w:t xml:space="preserve"> </w:t>
      </w:r>
      <w:proofErr w:type="spellStart"/>
      <w:r w:rsidR="00525B7F" w:rsidRPr="00705170">
        <w:rPr>
          <w:rFonts w:ascii="Times New Roman" w:hAnsi="Times New Roman" w:cs="Times New Roman"/>
        </w:rPr>
        <w:t>depends</w:t>
      </w:r>
      <w:proofErr w:type="spellEnd"/>
      <w:r w:rsidR="00525B7F" w:rsidRPr="00705170">
        <w:rPr>
          <w:rFonts w:ascii="Times New Roman" w:hAnsi="Times New Roman" w:cs="Times New Roman"/>
        </w:rPr>
        <w:t xml:space="preserve"> on </w:t>
      </w:r>
      <w:proofErr w:type="spellStart"/>
      <w:r w:rsidR="00525B7F" w:rsidRPr="00705170">
        <w:rPr>
          <w:rFonts w:ascii="Times New Roman" w:hAnsi="Times New Roman" w:cs="Times New Roman"/>
        </w:rPr>
        <w:t>this</w:t>
      </w:r>
      <w:proofErr w:type="spellEnd"/>
      <w:r w:rsidR="00525B7F" w:rsidRPr="00705170">
        <w:rPr>
          <w:rFonts w:ascii="Times New Roman" w:hAnsi="Times New Roman" w:cs="Times New Roman"/>
        </w:rPr>
        <w:t xml:space="preserve"> </w:t>
      </w:r>
      <w:proofErr w:type="spellStart"/>
      <w:r w:rsidR="00525B7F" w:rsidRPr="00705170">
        <w:rPr>
          <w:rFonts w:ascii="Times New Roman" w:hAnsi="Times New Roman" w:cs="Times New Roman"/>
        </w:rPr>
        <w:t>conception</w:t>
      </w:r>
      <w:proofErr w:type="spellEnd"/>
      <w:r w:rsidR="00525B7F" w:rsidRPr="00705170">
        <w:rPr>
          <w:rStyle w:val="DipnotBavurusu"/>
          <w:rFonts w:ascii="Times New Roman" w:hAnsi="Times New Roman" w:cs="Times New Roman"/>
        </w:rPr>
        <w:footnoteReference w:id="310"/>
      </w:r>
      <w:r w:rsidR="00525B7F" w:rsidRPr="00705170">
        <w:rPr>
          <w:rFonts w:ascii="Times New Roman" w:hAnsi="Times New Roman" w:cs="Times New Roman"/>
        </w:rPr>
        <w:t>.</w:t>
      </w:r>
      <w:r w:rsidR="0057614A" w:rsidRPr="00705170">
        <w:rPr>
          <w:rFonts w:ascii="Times New Roman" w:hAnsi="Times New Roman" w:cs="Times New Roman"/>
        </w:rPr>
        <w:t xml:space="preserve"> </w:t>
      </w:r>
      <w:proofErr w:type="spellStart"/>
      <w:r w:rsidR="00705AD0" w:rsidRPr="00705170">
        <w:rPr>
          <w:rFonts w:ascii="Times New Roman" w:hAnsi="Times New Roman" w:cs="Times New Roman"/>
        </w:rPr>
        <w:t>It</w:t>
      </w:r>
      <w:proofErr w:type="spellEnd"/>
      <w:r w:rsidR="00705AD0" w:rsidRPr="00705170">
        <w:rPr>
          <w:rFonts w:ascii="Times New Roman" w:hAnsi="Times New Roman" w:cs="Times New Roman"/>
        </w:rPr>
        <w:t xml:space="preserve"> </w:t>
      </w:r>
      <w:proofErr w:type="spellStart"/>
      <w:r w:rsidR="00705AD0" w:rsidRPr="00705170">
        <w:rPr>
          <w:rFonts w:ascii="Times New Roman" w:hAnsi="Times New Roman" w:cs="Times New Roman"/>
        </w:rPr>
        <w:t>states</w:t>
      </w:r>
      <w:proofErr w:type="spellEnd"/>
      <w:r w:rsidR="00705AD0" w:rsidRPr="00705170">
        <w:rPr>
          <w:rFonts w:ascii="Times New Roman" w:hAnsi="Times New Roman" w:cs="Times New Roman"/>
        </w:rPr>
        <w:t xml:space="preserve"> </w:t>
      </w:r>
      <w:proofErr w:type="spellStart"/>
      <w:r w:rsidR="00705AD0" w:rsidRPr="00705170">
        <w:rPr>
          <w:rFonts w:ascii="Times New Roman" w:hAnsi="Times New Roman" w:cs="Times New Roman"/>
        </w:rPr>
        <w:t>that</w:t>
      </w:r>
      <w:proofErr w:type="spellEnd"/>
      <w:r w:rsidR="00705AD0" w:rsidRPr="00705170">
        <w:rPr>
          <w:rFonts w:ascii="Times New Roman" w:hAnsi="Times New Roman" w:cs="Times New Roman"/>
        </w:rPr>
        <w:t xml:space="preserve"> </w:t>
      </w:r>
      <w:r w:rsidR="00ED2F57" w:rsidRPr="00705170">
        <w:rPr>
          <w:rFonts w:ascii="Times New Roman" w:hAnsi="Times New Roman" w:cs="Times New Roman"/>
        </w:rPr>
        <w:t>presence of</w:t>
      </w:r>
      <w:r w:rsidR="00705AD0" w:rsidRPr="00705170">
        <w:rPr>
          <w:rFonts w:ascii="Times New Roman" w:hAnsi="Times New Roman" w:cs="Times New Roman"/>
        </w:rPr>
        <w:t xml:space="preserve"> </w:t>
      </w:r>
      <w:proofErr w:type="spellStart"/>
      <w:r w:rsidR="00705AD0" w:rsidRPr="00705170">
        <w:rPr>
          <w:rFonts w:ascii="Times New Roman" w:hAnsi="Times New Roman" w:cs="Times New Roman"/>
        </w:rPr>
        <w:t>corporations</w:t>
      </w:r>
      <w:proofErr w:type="spellEnd"/>
      <w:r w:rsidR="00705AD0" w:rsidRPr="00705170">
        <w:rPr>
          <w:rFonts w:ascii="Times New Roman" w:hAnsi="Times New Roman" w:cs="Times New Roman"/>
        </w:rPr>
        <w:t xml:space="preserve"> </w:t>
      </w:r>
      <w:proofErr w:type="spellStart"/>
      <w:r w:rsidR="00705AD0" w:rsidRPr="00705170">
        <w:rPr>
          <w:rFonts w:ascii="Times New Roman" w:hAnsi="Times New Roman" w:cs="Times New Roman"/>
        </w:rPr>
        <w:t>that</w:t>
      </w:r>
      <w:proofErr w:type="spellEnd"/>
      <w:r w:rsidR="00705AD0" w:rsidRPr="00705170">
        <w:rPr>
          <w:rFonts w:ascii="Times New Roman" w:hAnsi="Times New Roman" w:cs="Times New Roman"/>
        </w:rPr>
        <w:t xml:space="preserve"> </w:t>
      </w:r>
      <w:proofErr w:type="spellStart"/>
      <w:r w:rsidR="00705AD0" w:rsidRPr="00705170">
        <w:rPr>
          <w:rFonts w:ascii="Times New Roman" w:hAnsi="Times New Roman" w:cs="Times New Roman"/>
        </w:rPr>
        <w:t>are</w:t>
      </w:r>
      <w:proofErr w:type="spellEnd"/>
      <w:r w:rsidR="00705AD0" w:rsidRPr="00705170">
        <w:rPr>
          <w:rFonts w:ascii="Times New Roman" w:hAnsi="Times New Roman" w:cs="Times New Roman"/>
        </w:rPr>
        <w:t xml:space="preserve"> </w:t>
      </w:r>
      <w:proofErr w:type="spellStart"/>
      <w:r w:rsidR="00705AD0" w:rsidRPr="00705170">
        <w:rPr>
          <w:rFonts w:ascii="Times New Roman" w:hAnsi="Times New Roman" w:cs="Times New Roman"/>
        </w:rPr>
        <w:t>directly</w:t>
      </w:r>
      <w:proofErr w:type="spellEnd"/>
      <w:r w:rsidR="00705AD0" w:rsidRPr="00705170">
        <w:rPr>
          <w:rFonts w:ascii="Times New Roman" w:hAnsi="Times New Roman" w:cs="Times New Roman"/>
        </w:rPr>
        <w:t xml:space="preserve"> </w:t>
      </w:r>
      <w:proofErr w:type="spellStart"/>
      <w:r w:rsidR="00705AD0" w:rsidRPr="00705170">
        <w:rPr>
          <w:rFonts w:ascii="Times New Roman" w:hAnsi="Times New Roman" w:cs="Times New Roman"/>
        </w:rPr>
        <w:t>or</w:t>
      </w:r>
      <w:proofErr w:type="spellEnd"/>
      <w:r w:rsidR="00705AD0" w:rsidRPr="00705170">
        <w:rPr>
          <w:rFonts w:ascii="Times New Roman" w:hAnsi="Times New Roman" w:cs="Times New Roman"/>
        </w:rPr>
        <w:t xml:space="preserve"> </w:t>
      </w:r>
      <w:proofErr w:type="spellStart"/>
      <w:r w:rsidR="00705AD0" w:rsidRPr="00705170">
        <w:rPr>
          <w:rFonts w:ascii="Times New Roman" w:hAnsi="Times New Roman" w:cs="Times New Roman"/>
        </w:rPr>
        <w:t>indirectly</w:t>
      </w:r>
      <w:proofErr w:type="spellEnd"/>
      <w:r w:rsidR="00705AD0" w:rsidRPr="00705170">
        <w:rPr>
          <w:rFonts w:ascii="Times New Roman" w:hAnsi="Times New Roman" w:cs="Times New Roman"/>
        </w:rPr>
        <w:t xml:space="preserve"> </w:t>
      </w:r>
      <w:proofErr w:type="spellStart"/>
      <w:r w:rsidR="00705AD0" w:rsidRPr="00705170">
        <w:rPr>
          <w:rFonts w:ascii="Times New Roman" w:hAnsi="Times New Roman" w:cs="Times New Roman"/>
        </w:rPr>
        <w:t>controlled</w:t>
      </w:r>
      <w:proofErr w:type="spellEnd"/>
      <w:r w:rsidR="00705AD0" w:rsidRPr="00705170">
        <w:rPr>
          <w:rFonts w:ascii="Times New Roman" w:hAnsi="Times New Roman" w:cs="Times New Roman"/>
        </w:rPr>
        <w:t xml:space="preserve"> </w:t>
      </w:r>
      <w:proofErr w:type="spellStart"/>
      <w:r w:rsidR="00705AD0" w:rsidRPr="00705170">
        <w:rPr>
          <w:rFonts w:ascii="Times New Roman" w:hAnsi="Times New Roman" w:cs="Times New Roman"/>
        </w:rPr>
        <w:t>by</w:t>
      </w:r>
      <w:proofErr w:type="spellEnd"/>
      <w:r w:rsidR="00705AD0" w:rsidRPr="00705170">
        <w:rPr>
          <w:rFonts w:ascii="Times New Roman" w:hAnsi="Times New Roman" w:cs="Times New Roman"/>
        </w:rPr>
        <w:t xml:space="preserve"> </w:t>
      </w:r>
      <w:proofErr w:type="spellStart"/>
      <w:r w:rsidR="00ED2F57" w:rsidRPr="00705170">
        <w:rPr>
          <w:rFonts w:ascii="Times New Roman" w:hAnsi="Times New Roman" w:cs="Times New Roman"/>
        </w:rPr>
        <w:t>another</w:t>
      </w:r>
      <w:proofErr w:type="spellEnd"/>
      <w:r w:rsidR="00ED2F57" w:rsidRPr="00705170">
        <w:rPr>
          <w:rFonts w:ascii="Times New Roman" w:hAnsi="Times New Roman" w:cs="Times New Roman"/>
        </w:rPr>
        <w:t xml:space="preserve"> </w:t>
      </w:r>
      <w:proofErr w:type="spellStart"/>
      <w:r w:rsidR="00ED2F57" w:rsidRPr="00705170">
        <w:rPr>
          <w:rFonts w:ascii="Times New Roman" w:hAnsi="Times New Roman" w:cs="Times New Roman"/>
        </w:rPr>
        <w:t>corporation</w:t>
      </w:r>
      <w:proofErr w:type="spellEnd"/>
      <w:r w:rsidR="00ED2F57" w:rsidRPr="00705170">
        <w:rPr>
          <w:rFonts w:ascii="Times New Roman" w:hAnsi="Times New Roman" w:cs="Times New Roman"/>
        </w:rPr>
        <w:t xml:space="preserve"> </w:t>
      </w:r>
      <w:proofErr w:type="spellStart"/>
      <w:r w:rsidR="00ED2F57" w:rsidRPr="00705170">
        <w:rPr>
          <w:rFonts w:ascii="Times New Roman" w:hAnsi="Times New Roman" w:cs="Times New Roman"/>
        </w:rPr>
        <w:t>forms</w:t>
      </w:r>
      <w:proofErr w:type="spellEnd"/>
      <w:r w:rsidR="00ED2F57" w:rsidRPr="00705170">
        <w:rPr>
          <w:rFonts w:ascii="Times New Roman" w:hAnsi="Times New Roman" w:cs="Times New Roman"/>
        </w:rPr>
        <w:t xml:space="preserve"> a </w:t>
      </w:r>
      <w:proofErr w:type="spellStart"/>
      <w:r w:rsidR="00ED2F57" w:rsidRPr="00705170">
        <w:rPr>
          <w:rFonts w:ascii="Times New Roman" w:hAnsi="Times New Roman" w:cs="Times New Roman"/>
        </w:rPr>
        <w:t>corporate</w:t>
      </w:r>
      <w:proofErr w:type="spellEnd"/>
      <w:r w:rsidR="00ED2F57" w:rsidRPr="00705170">
        <w:rPr>
          <w:rFonts w:ascii="Times New Roman" w:hAnsi="Times New Roman" w:cs="Times New Roman"/>
        </w:rPr>
        <w:t xml:space="preserve"> </w:t>
      </w:r>
      <w:proofErr w:type="spellStart"/>
      <w:r w:rsidR="00ED2F57" w:rsidRPr="00705170">
        <w:rPr>
          <w:rFonts w:ascii="Times New Roman" w:hAnsi="Times New Roman" w:cs="Times New Roman"/>
        </w:rPr>
        <w:t>group</w:t>
      </w:r>
      <w:proofErr w:type="spellEnd"/>
      <w:r w:rsidR="00ED2F57" w:rsidRPr="00705170">
        <w:rPr>
          <w:rFonts w:ascii="Times New Roman" w:hAnsi="Times New Roman" w:cs="Times New Roman"/>
        </w:rPr>
        <w:t xml:space="preserve"> (</w:t>
      </w:r>
      <w:proofErr w:type="spellStart"/>
      <w:r w:rsidR="00ED2F57" w:rsidRPr="00705170">
        <w:rPr>
          <w:rFonts w:ascii="Times New Roman" w:hAnsi="Times New Roman" w:cs="Times New Roman"/>
        </w:rPr>
        <w:t>Article</w:t>
      </w:r>
      <w:proofErr w:type="spellEnd"/>
      <w:r w:rsidR="00ED2F57" w:rsidRPr="00705170">
        <w:rPr>
          <w:rFonts w:ascii="Times New Roman" w:hAnsi="Times New Roman" w:cs="Times New Roman"/>
        </w:rPr>
        <w:t xml:space="preserve"> 195(4))</w:t>
      </w:r>
      <w:r w:rsidR="007A56BD" w:rsidRPr="00705170">
        <w:rPr>
          <w:rStyle w:val="DipnotBavurusu"/>
          <w:rFonts w:ascii="Times New Roman" w:hAnsi="Times New Roman" w:cs="Times New Roman"/>
        </w:rPr>
        <w:footnoteReference w:id="311"/>
      </w:r>
      <w:r w:rsidR="00ED2F57" w:rsidRPr="00705170">
        <w:rPr>
          <w:rFonts w:ascii="Times New Roman" w:hAnsi="Times New Roman" w:cs="Times New Roman"/>
        </w:rPr>
        <w:t xml:space="preserve">. </w:t>
      </w:r>
      <w:proofErr w:type="spellStart"/>
      <w:r w:rsidR="0057614A" w:rsidRPr="00705170">
        <w:rPr>
          <w:rFonts w:ascii="Times New Roman" w:hAnsi="Times New Roman" w:cs="Times New Roman"/>
        </w:rPr>
        <w:t>Rather</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tha</w:t>
      </w:r>
      <w:r w:rsidR="00540D30" w:rsidRPr="00705170">
        <w:rPr>
          <w:rFonts w:ascii="Times New Roman" w:hAnsi="Times New Roman" w:cs="Times New Roman"/>
        </w:rPr>
        <w:t>n</w:t>
      </w:r>
      <w:proofErr w:type="spellEnd"/>
      <w:r w:rsidR="00540D30" w:rsidRPr="00705170">
        <w:rPr>
          <w:rFonts w:ascii="Times New Roman" w:hAnsi="Times New Roman" w:cs="Times New Roman"/>
        </w:rPr>
        <w:t xml:space="preserve"> </w:t>
      </w:r>
      <w:proofErr w:type="spellStart"/>
      <w:r w:rsidR="00540D30" w:rsidRPr="00705170">
        <w:rPr>
          <w:rFonts w:ascii="Times New Roman" w:hAnsi="Times New Roman" w:cs="Times New Roman"/>
        </w:rPr>
        <w:t>defining</w:t>
      </w:r>
      <w:proofErr w:type="spellEnd"/>
      <w:r w:rsidR="00540D30" w:rsidRPr="00705170">
        <w:rPr>
          <w:rFonts w:ascii="Times New Roman" w:hAnsi="Times New Roman" w:cs="Times New Roman"/>
        </w:rPr>
        <w:t xml:space="preserve"> </w:t>
      </w:r>
      <w:proofErr w:type="spellStart"/>
      <w:r w:rsidR="00540D30" w:rsidRPr="00705170">
        <w:rPr>
          <w:rFonts w:ascii="Times New Roman" w:hAnsi="Times New Roman" w:cs="Times New Roman"/>
        </w:rPr>
        <w:t>control</w:t>
      </w:r>
      <w:proofErr w:type="spellEnd"/>
      <w:r w:rsidR="00540D30" w:rsidRPr="00705170">
        <w:rPr>
          <w:rFonts w:ascii="Times New Roman" w:hAnsi="Times New Roman" w:cs="Times New Roman"/>
        </w:rPr>
        <w:t xml:space="preserve"> </w:t>
      </w:r>
      <w:proofErr w:type="spellStart"/>
      <w:r w:rsidR="00540D30" w:rsidRPr="00705170">
        <w:rPr>
          <w:rFonts w:ascii="Times New Roman" w:hAnsi="Times New Roman" w:cs="Times New Roman"/>
        </w:rPr>
        <w:t>rightaway</w:t>
      </w:r>
      <w:proofErr w:type="spellEnd"/>
      <w:r w:rsidR="00540D30" w:rsidRPr="00705170">
        <w:rPr>
          <w:rFonts w:ascii="Times New Roman" w:hAnsi="Times New Roman" w:cs="Times New Roman"/>
        </w:rPr>
        <w:t>, TCC</w:t>
      </w:r>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provides</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criterias</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for</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determining</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the</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existance</w:t>
      </w:r>
      <w:proofErr w:type="spellEnd"/>
      <w:r w:rsidR="0057614A" w:rsidRPr="00705170">
        <w:rPr>
          <w:rFonts w:ascii="Times New Roman" w:hAnsi="Times New Roman" w:cs="Times New Roman"/>
        </w:rPr>
        <w:t xml:space="preserve"> of </w:t>
      </w:r>
      <w:proofErr w:type="spellStart"/>
      <w:r w:rsidR="0057614A" w:rsidRPr="00705170">
        <w:rPr>
          <w:rFonts w:ascii="Times New Roman" w:hAnsi="Times New Roman" w:cs="Times New Roman"/>
        </w:rPr>
        <w:t>control</w:t>
      </w:r>
      <w:proofErr w:type="spellEnd"/>
      <w:r w:rsidR="0057614A" w:rsidRPr="00705170">
        <w:rPr>
          <w:rStyle w:val="DipnotBavurusu"/>
          <w:rFonts w:ascii="Times New Roman" w:hAnsi="Times New Roman" w:cs="Times New Roman"/>
        </w:rPr>
        <w:footnoteReference w:id="312"/>
      </w:r>
      <w:r w:rsidR="0057614A" w:rsidRPr="00705170">
        <w:rPr>
          <w:rFonts w:ascii="Times New Roman" w:hAnsi="Times New Roman" w:cs="Times New Roman"/>
        </w:rPr>
        <w:t xml:space="preserve">. </w:t>
      </w:r>
      <w:proofErr w:type="spellStart"/>
      <w:r w:rsidR="006B112F" w:rsidRPr="00705170">
        <w:rPr>
          <w:rFonts w:ascii="Times New Roman" w:hAnsi="Times New Roman" w:cs="Times New Roman"/>
        </w:rPr>
        <w:t>Accordingly</w:t>
      </w:r>
      <w:proofErr w:type="spellEnd"/>
      <w:r w:rsidR="006B112F" w:rsidRPr="00705170">
        <w:rPr>
          <w:rFonts w:ascii="Times New Roman" w:hAnsi="Times New Roman" w:cs="Times New Roman"/>
        </w:rPr>
        <w:t xml:space="preserve">, </w:t>
      </w:r>
      <w:proofErr w:type="spellStart"/>
      <w:r w:rsidR="0057614A" w:rsidRPr="00705170">
        <w:rPr>
          <w:rFonts w:ascii="Times New Roman" w:hAnsi="Times New Roman" w:cs="Times New Roman"/>
        </w:rPr>
        <w:t>similar</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to</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what</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the</w:t>
      </w:r>
      <w:proofErr w:type="spellEnd"/>
      <w:r w:rsidR="006B112F" w:rsidRPr="00705170">
        <w:rPr>
          <w:rFonts w:ascii="Times New Roman" w:hAnsi="Times New Roman" w:cs="Times New Roman"/>
        </w:rPr>
        <w:t xml:space="preserve"> </w:t>
      </w:r>
      <w:proofErr w:type="spellStart"/>
      <w:r w:rsidR="006B112F" w:rsidRPr="00705170">
        <w:rPr>
          <w:rFonts w:ascii="Times New Roman" w:hAnsi="Times New Roman" w:cs="Times New Roman"/>
        </w:rPr>
        <w:t>German</w:t>
      </w:r>
      <w:proofErr w:type="spellEnd"/>
      <w:r w:rsidR="006B112F" w:rsidRPr="00705170">
        <w:rPr>
          <w:rFonts w:ascii="Times New Roman" w:hAnsi="Times New Roman" w:cs="Times New Roman"/>
        </w:rPr>
        <w:t xml:space="preserve"> </w:t>
      </w:r>
      <w:proofErr w:type="spellStart"/>
      <w:r w:rsidR="006B112F" w:rsidRPr="00705170">
        <w:rPr>
          <w:rFonts w:ascii="Times New Roman" w:hAnsi="Times New Roman" w:cs="Times New Roman"/>
        </w:rPr>
        <w:t>law</w:t>
      </w:r>
      <w:proofErr w:type="spellEnd"/>
      <w:r w:rsidR="006B112F" w:rsidRPr="00705170">
        <w:rPr>
          <w:rFonts w:ascii="Times New Roman" w:hAnsi="Times New Roman" w:cs="Times New Roman"/>
        </w:rPr>
        <w:t xml:space="preserve"> </w:t>
      </w:r>
      <w:proofErr w:type="spellStart"/>
      <w:r w:rsidR="006B112F" w:rsidRPr="00705170">
        <w:rPr>
          <w:rFonts w:ascii="Times New Roman" w:hAnsi="Times New Roman" w:cs="Times New Roman"/>
        </w:rPr>
        <w:t>does</w:t>
      </w:r>
      <w:proofErr w:type="spellEnd"/>
      <w:r w:rsidR="006B112F" w:rsidRPr="00705170">
        <w:rPr>
          <w:rStyle w:val="DipnotBavurusu"/>
          <w:rFonts w:ascii="Times New Roman" w:hAnsi="Times New Roman" w:cs="Times New Roman"/>
        </w:rPr>
        <w:footnoteReference w:id="313"/>
      </w:r>
      <w:r w:rsidR="006B112F" w:rsidRPr="00705170">
        <w:rPr>
          <w:rFonts w:ascii="Times New Roman" w:hAnsi="Times New Roman" w:cs="Times New Roman"/>
        </w:rPr>
        <w:t xml:space="preserve">, </w:t>
      </w:r>
      <w:r w:rsidR="0057614A" w:rsidRPr="00705170">
        <w:rPr>
          <w:rFonts w:ascii="Times New Roman" w:hAnsi="Times New Roman" w:cs="Times New Roman"/>
        </w:rPr>
        <w:t xml:space="preserve">it </w:t>
      </w:r>
      <w:proofErr w:type="spellStart"/>
      <w:r w:rsidR="0057614A" w:rsidRPr="00705170">
        <w:rPr>
          <w:rFonts w:ascii="Times New Roman" w:hAnsi="Times New Roman" w:cs="Times New Roman"/>
        </w:rPr>
        <w:t>divides</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the</w:t>
      </w:r>
      <w:proofErr w:type="spellEnd"/>
      <w:r w:rsidR="0057614A" w:rsidRPr="00705170">
        <w:rPr>
          <w:rFonts w:ascii="Times New Roman" w:hAnsi="Times New Roman" w:cs="Times New Roman"/>
        </w:rPr>
        <w:t xml:space="preserve"> </w:t>
      </w:r>
      <w:r w:rsidR="006C0E8B" w:rsidRPr="00705170">
        <w:rPr>
          <w:rFonts w:ascii="Times New Roman" w:hAnsi="Times New Roman" w:cs="Times New Roman"/>
        </w:rPr>
        <w:t>“</w:t>
      </w:r>
      <w:proofErr w:type="spellStart"/>
      <w:r w:rsidR="0057614A" w:rsidRPr="00705170">
        <w:rPr>
          <w:rFonts w:ascii="Times New Roman" w:hAnsi="Times New Roman" w:cs="Times New Roman"/>
        </w:rPr>
        <w:t>control</w:t>
      </w:r>
      <w:proofErr w:type="spellEnd"/>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types</w:t>
      </w:r>
      <w:proofErr w:type="spellEnd"/>
      <w:r w:rsidR="00B66373" w:rsidRPr="00705170">
        <w:rPr>
          <w:rFonts w:ascii="Times New Roman" w:hAnsi="Times New Roman" w:cs="Times New Roman"/>
        </w:rPr>
        <w:t xml:space="preserve"> </w:t>
      </w:r>
      <w:proofErr w:type="spellStart"/>
      <w:r w:rsidR="00B66373" w:rsidRPr="00705170">
        <w:rPr>
          <w:rFonts w:ascii="Times New Roman" w:hAnsi="Times New Roman" w:cs="Times New Roman"/>
        </w:rPr>
        <w:t>into</w:t>
      </w:r>
      <w:proofErr w:type="spellEnd"/>
      <w:r w:rsidR="00B66373" w:rsidRPr="00705170">
        <w:rPr>
          <w:rFonts w:ascii="Times New Roman" w:hAnsi="Times New Roman" w:cs="Times New Roman"/>
        </w:rPr>
        <w:t xml:space="preserve"> </w:t>
      </w:r>
      <w:proofErr w:type="spellStart"/>
      <w:r w:rsidR="00B66373" w:rsidRPr="00705170">
        <w:rPr>
          <w:rFonts w:ascii="Times New Roman" w:hAnsi="Times New Roman" w:cs="Times New Roman"/>
        </w:rPr>
        <w:t>three</w:t>
      </w:r>
      <w:proofErr w:type="spellEnd"/>
      <w:r w:rsidR="00B66373" w:rsidRPr="00705170">
        <w:rPr>
          <w:rFonts w:ascii="Times New Roman" w:hAnsi="Times New Roman" w:cs="Times New Roman"/>
        </w:rPr>
        <w:t xml:space="preserve"> </w:t>
      </w:r>
      <w:proofErr w:type="spellStart"/>
      <w:r w:rsidR="00B66373" w:rsidRPr="00705170">
        <w:rPr>
          <w:rFonts w:ascii="Times New Roman" w:hAnsi="Times New Roman" w:cs="Times New Roman"/>
        </w:rPr>
        <w:t>groups</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hence</w:t>
      </w:r>
      <w:proofErr w:type="spellEnd"/>
      <w:r w:rsidR="00CE39AB" w:rsidRPr="00705170">
        <w:rPr>
          <w:rFonts w:ascii="Times New Roman" w:hAnsi="Times New Roman" w:cs="Times New Roman"/>
        </w:rPr>
        <w:t xml:space="preserve"> </w:t>
      </w:r>
      <w:proofErr w:type="spellStart"/>
      <w:r w:rsidR="00CE39AB" w:rsidRPr="00705170">
        <w:rPr>
          <w:rFonts w:ascii="Times New Roman" w:hAnsi="Times New Roman" w:cs="Times New Roman"/>
        </w:rPr>
        <w:t>implicitly</w:t>
      </w:r>
      <w:proofErr w:type="spellEnd"/>
      <w:r w:rsidR="00B66373" w:rsidRPr="00705170">
        <w:rPr>
          <w:rFonts w:ascii="Times New Roman" w:hAnsi="Times New Roman" w:cs="Times New Roman"/>
        </w:rPr>
        <w:t xml:space="preserve"> </w:t>
      </w:r>
      <w:proofErr w:type="spellStart"/>
      <w:r w:rsidR="00B66373" w:rsidRPr="00705170">
        <w:rPr>
          <w:rFonts w:ascii="Times New Roman" w:hAnsi="Times New Roman" w:cs="Times New Roman"/>
        </w:rPr>
        <w:t>the</w:t>
      </w:r>
      <w:proofErr w:type="spellEnd"/>
      <w:r w:rsidR="00B66373" w:rsidRPr="00705170">
        <w:rPr>
          <w:rFonts w:ascii="Times New Roman" w:hAnsi="Times New Roman" w:cs="Times New Roman"/>
        </w:rPr>
        <w:t xml:space="preserve"> </w:t>
      </w:r>
      <w:proofErr w:type="spellStart"/>
      <w:r w:rsidR="00B66373" w:rsidRPr="00705170">
        <w:rPr>
          <w:rFonts w:ascii="Times New Roman" w:hAnsi="Times New Roman" w:cs="Times New Roman"/>
        </w:rPr>
        <w:t>corporate</w:t>
      </w:r>
      <w:proofErr w:type="spellEnd"/>
      <w:r w:rsidR="00B66373" w:rsidRPr="00705170">
        <w:rPr>
          <w:rFonts w:ascii="Times New Roman" w:hAnsi="Times New Roman" w:cs="Times New Roman"/>
        </w:rPr>
        <w:t xml:space="preserve"> </w:t>
      </w:r>
      <w:proofErr w:type="spellStart"/>
      <w:r w:rsidR="00B66373" w:rsidRPr="00705170">
        <w:rPr>
          <w:rFonts w:ascii="Times New Roman" w:hAnsi="Times New Roman" w:cs="Times New Roman"/>
        </w:rPr>
        <w:t>groups</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into</w:t>
      </w:r>
      <w:proofErr w:type="spellEnd"/>
      <w:r w:rsidR="0057614A" w:rsidRPr="00705170">
        <w:rPr>
          <w:rFonts w:ascii="Times New Roman" w:hAnsi="Times New Roman" w:cs="Times New Roman"/>
        </w:rPr>
        <w:t xml:space="preserve"> </w:t>
      </w:r>
      <w:proofErr w:type="spellStart"/>
      <w:r w:rsidR="00B66373" w:rsidRPr="00705170">
        <w:rPr>
          <w:rFonts w:ascii="Times New Roman" w:hAnsi="Times New Roman" w:cs="Times New Roman"/>
        </w:rPr>
        <w:t>the</w:t>
      </w:r>
      <w:proofErr w:type="spellEnd"/>
      <w:r w:rsidR="00B66373" w:rsidRPr="00705170">
        <w:rPr>
          <w:rFonts w:ascii="Times New Roman" w:hAnsi="Times New Roman" w:cs="Times New Roman"/>
        </w:rPr>
        <w:t xml:space="preserve"> </w:t>
      </w:r>
      <w:proofErr w:type="spellStart"/>
      <w:r w:rsidR="00B66373" w:rsidRPr="00705170">
        <w:rPr>
          <w:rFonts w:ascii="Times New Roman" w:hAnsi="Times New Roman" w:cs="Times New Roman"/>
        </w:rPr>
        <w:t>following</w:t>
      </w:r>
      <w:proofErr w:type="spellEnd"/>
      <w:r w:rsidR="00B66373" w:rsidRPr="00705170">
        <w:rPr>
          <w:rFonts w:ascii="Times New Roman" w:hAnsi="Times New Roman" w:cs="Times New Roman"/>
        </w:rPr>
        <w:t xml:space="preserve"> </w:t>
      </w:r>
      <w:proofErr w:type="spellStart"/>
      <w:r w:rsidR="0057614A" w:rsidRPr="00705170">
        <w:rPr>
          <w:rFonts w:ascii="Times New Roman" w:hAnsi="Times New Roman" w:cs="Times New Roman"/>
        </w:rPr>
        <w:t>three</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classes</w:t>
      </w:r>
      <w:proofErr w:type="spellEnd"/>
      <w:r w:rsidR="0057614A" w:rsidRPr="00705170">
        <w:rPr>
          <w:rFonts w:ascii="Times New Roman" w:hAnsi="Times New Roman" w:cs="Times New Roman"/>
        </w:rPr>
        <w:t>;</w:t>
      </w:r>
      <w:r w:rsidR="00F51C37" w:rsidRPr="00705170">
        <w:rPr>
          <w:rFonts w:ascii="Times New Roman" w:hAnsi="Times New Roman" w:cs="Times New Roman"/>
        </w:rPr>
        <w:t xml:space="preserve"> </w:t>
      </w:r>
      <w:r w:rsidR="006C0E8B" w:rsidRPr="00705170">
        <w:rPr>
          <w:rFonts w:ascii="Times New Roman" w:hAnsi="Times New Roman" w:cs="Times New Roman"/>
        </w:rPr>
        <w:t xml:space="preserve">(1) </w:t>
      </w:r>
      <w:proofErr w:type="spellStart"/>
      <w:r w:rsidR="006C0E8B" w:rsidRPr="00705170">
        <w:rPr>
          <w:rFonts w:ascii="Times New Roman" w:hAnsi="Times New Roman" w:cs="Times New Roman"/>
        </w:rPr>
        <w:t>integrated</w:t>
      </w:r>
      <w:proofErr w:type="spellEnd"/>
      <w:r w:rsidR="006B112F" w:rsidRPr="00705170">
        <w:rPr>
          <w:rFonts w:ascii="Times New Roman" w:hAnsi="Times New Roman" w:cs="Times New Roman"/>
        </w:rPr>
        <w:t xml:space="preserve"> </w:t>
      </w:r>
      <w:proofErr w:type="spellStart"/>
      <w:r w:rsidR="006C0E8B" w:rsidRPr="00705170">
        <w:rPr>
          <w:rFonts w:ascii="Times New Roman" w:hAnsi="Times New Roman" w:cs="Times New Roman"/>
        </w:rPr>
        <w:t>groups</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formed</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through</w:t>
      </w:r>
      <w:proofErr w:type="spellEnd"/>
      <w:r w:rsidR="00B66373" w:rsidRPr="00705170">
        <w:rPr>
          <w:rFonts w:ascii="Times New Roman" w:hAnsi="Times New Roman" w:cs="Times New Roman"/>
        </w:rPr>
        <w:t xml:space="preserve"> holding</w:t>
      </w:r>
      <w:r w:rsidR="0057614A" w:rsidRPr="00705170">
        <w:rPr>
          <w:rFonts w:ascii="Times New Roman" w:hAnsi="Times New Roman" w:cs="Times New Roman"/>
        </w:rPr>
        <w:t xml:space="preserve"> </w:t>
      </w:r>
      <w:proofErr w:type="spellStart"/>
      <w:r w:rsidR="00B66373" w:rsidRPr="00705170">
        <w:rPr>
          <w:rFonts w:ascii="Times New Roman" w:hAnsi="Times New Roman" w:cs="Times New Roman"/>
        </w:rPr>
        <w:t>voting</w:t>
      </w:r>
      <w:proofErr w:type="spellEnd"/>
      <w:r w:rsidR="00B66373" w:rsidRPr="00705170">
        <w:rPr>
          <w:rFonts w:ascii="Times New Roman" w:hAnsi="Times New Roman" w:cs="Times New Roman"/>
        </w:rPr>
        <w:t xml:space="preserve"> </w:t>
      </w:r>
      <w:proofErr w:type="spellStart"/>
      <w:r w:rsidR="00B66373" w:rsidRPr="00705170">
        <w:rPr>
          <w:rFonts w:ascii="Times New Roman" w:hAnsi="Times New Roman" w:cs="Times New Roman"/>
        </w:rPr>
        <w:t>rights</w:t>
      </w:r>
      <w:proofErr w:type="spellEnd"/>
      <w:r w:rsidR="002A2204" w:rsidRPr="00705170">
        <w:rPr>
          <w:rFonts w:ascii="Times New Roman" w:hAnsi="Times New Roman" w:cs="Times New Roman"/>
        </w:rPr>
        <w:t xml:space="preserve"> </w:t>
      </w:r>
      <w:proofErr w:type="spellStart"/>
      <w:r w:rsidR="002A2204" w:rsidRPr="00705170">
        <w:rPr>
          <w:rFonts w:ascii="Times New Roman" w:hAnsi="Times New Roman" w:cs="Times New Roman"/>
        </w:rPr>
        <w:t>bearing</w:t>
      </w:r>
      <w:proofErr w:type="spellEnd"/>
      <w:r w:rsidR="002A2204" w:rsidRPr="00705170">
        <w:rPr>
          <w:rFonts w:ascii="Times New Roman" w:hAnsi="Times New Roman" w:cs="Times New Roman"/>
        </w:rPr>
        <w:t xml:space="preserve"> </w:t>
      </w:r>
      <w:proofErr w:type="spellStart"/>
      <w:r w:rsidR="002A2204" w:rsidRPr="00705170">
        <w:rPr>
          <w:rFonts w:ascii="Times New Roman" w:hAnsi="Times New Roman" w:cs="Times New Roman"/>
        </w:rPr>
        <w:t>the</w:t>
      </w:r>
      <w:proofErr w:type="spellEnd"/>
      <w:r w:rsidR="002A2204" w:rsidRPr="00705170">
        <w:rPr>
          <w:rFonts w:ascii="Times New Roman" w:hAnsi="Times New Roman" w:cs="Times New Roman"/>
        </w:rPr>
        <w:t xml:space="preserve"> </w:t>
      </w:r>
      <w:proofErr w:type="spellStart"/>
      <w:r w:rsidR="002A2204" w:rsidRPr="00705170">
        <w:rPr>
          <w:rFonts w:ascii="Times New Roman" w:hAnsi="Times New Roman" w:cs="Times New Roman"/>
        </w:rPr>
        <w:t>particular</w:t>
      </w:r>
      <w:proofErr w:type="spellEnd"/>
      <w:r w:rsidR="002A2204" w:rsidRPr="00705170">
        <w:rPr>
          <w:rFonts w:ascii="Times New Roman" w:hAnsi="Times New Roman" w:cs="Times New Roman"/>
        </w:rPr>
        <w:t xml:space="preserve"> </w:t>
      </w:r>
      <w:proofErr w:type="spellStart"/>
      <w:r w:rsidR="002A2204" w:rsidRPr="00705170">
        <w:rPr>
          <w:rFonts w:ascii="Times New Roman" w:hAnsi="Times New Roman" w:cs="Times New Roman"/>
        </w:rPr>
        <w:t>fea</w:t>
      </w:r>
      <w:r w:rsidR="0057614A" w:rsidRPr="00705170">
        <w:rPr>
          <w:rFonts w:ascii="Times New Roman" w:hAnsi="Times New Roman" w:cs="Times New Roman"/>
        </w:rPr>
        <w:t>tures</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the</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statute</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provides</w:t>
      </w:r>
      <w:proofErr w:type="spellEnd"/>
      <w:r w:rsidR="0057614A" w:rsidRPr="00705170">
        <w:rPr>
          <w:rFonts w:ascii="Times New Roman" w:hAnsi="Times New Roman" w:cs="Times New Roman"/>
        </w:rPr>
        <w:t>)</w:t>
      </w:r>
      <w:r w:rsidR="002A2204" w:rsidRPr="00705170">
        <w:rPr>
          <w:rFonts w:ascii="Times New Roman" w:hAnsi="Times New Roman" w:cs="Times New Roman"/>
        </w:rPr>
        <w:t xml:space="preserve"> (TCC </w:t>
      </w:r>
      <w:proofErr w:type="spellStart"/>
      <w:r w:rsidR="002A2204" w:rsidRPr="00705170">
        <w:rPr>
          <w:rFonts w:ascii="Times New Roman" w:hAnsi="Times New Roman" w:cs="Times New Roman"/>
        </w:rPr>
        <w:t>Article</w:t>
      </w:r>
      <w:proofErr w:type="spellEnd"/>
      <w:r w:rsidR="002A2204" w:rsidRPr="00705170">
        <w:rPr>
          <w:rFonts w:ascii="Times New Roman" w:hAnsi="Times New Roman" w:cs="Times New Roman"/>
        </w:rPr>
        <w:t xml:space="preserve"> 195(1)(a)</w:t>
      </w:r>
      <w:r w:rsidR="00762708" w:rsidRPr="00705170">
        <w:rPr>
          <w:rFonts w:ascii="Times New Roman" w:hAnsi="Times New Roman" w:cs="Times New Roman"/>
        </w:rPr>
        <w:t xml:space="preserve"> </w:t>
      </w:r>
      <w:proofErr w:type="spellStart"/>
      <w:r w:rsidR="00762708" w:rsidRPr="00705170">
        <w:rPr>
          <w:rFonts w:ascii="Times New Roman" w:hAnsi="Times New Roman" w:cs="Times New Roman"/>
        </w:rPr>
        <w:t>and</w:t>
      </w:r>
      <w:proofErr w:type="spellEnd"/>
      <w:r w:rsidR="00762708" w:rsidRPr="00705170">
        <w:rPr>
          <w:rFonts w:ascii="Times New Roman" w:hAnsi="Times New Roman" w:cs="Times New Roman"/>
        </w:rPr>
        <w:t xml:space="preserve"> 195(2)</w:t>
      </w:r>
      <w:r w:rsidR="002A2204" w:rsidRPr="00705170">
        <w:rPr>
          <w:rFonts w:ascii="Times New Roman" w:hAnsi="Times New Roman" w:cs="Times New Roman"/>
        </w:rPr>
        <w:t>)</w:t>
      </w:r>
      <w:r w:rsidR="006B112F" w:rsidRPr="00705170">
        <w:rPr>
          <w:rFonts w:ascii="Times New Roman" w:hAnsi="Times New Roman" w:cs="Times New Roman"/>
        </w:rPr>
        <w:t xml:space="preserve">, (2) </w:t>
      </w:r>
      <w:proofErr w:type="spellStart"/>
      <w:r w:rsidR="006B112F" w:rsidRPr="00705170">
        <w:rPr>
          <w:rFonts w:ascii="Times New Roman" w:hAnsi="Times New Roman" w:cs="Times New Roman"/>
        </w:rPr>
        <w:t>contract</w:t>
      </w:r>
      <w:r w:rsidR="006C0E8B" w:rsidRPr="00705170">
        <w:rPr>
          <w:rFonts w:ascii="Times New Roman" w:hAnsi="Times New Roman" w:cs="Times New Roman"/>
        </w:rPr>
        <w:t>ual</w:t>
      </w:r>
      <w:proofErr w:type="spellEnd"/>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groups</w:t>
      </w:r>
      <w:proofErr w:type="spellEnd"/>
      <w:r w:rsidR="006B112F" w:rsidRPr="00705170">
        <w:rPr>
          <w:rFonts w:ascii="Times New Roman" w:hAnsi="Times New Roman" w:cs="Times New Roman"/>
        </w:rPr>
        <w:t xml:space="preserve"> </w:t>
      </w:r>
      <w:r w:rsidR="0057614A" w:rsidRPr="00705170">
        <w:rPr>
          <w:rFonts w:ascii="Times New Roman" w:hAnsi="Times New Roman" w:cs="Times New Roman"/>
        </w:rPr>
        <w:t>(</w:t>
      </w:r>
      <w:proofErr w:type="spellStart"/>
      <w:r w:rsidR="0057614A" w:rsidRPr="00705170">
        <w:rPr>
          <w:rFonts w:ascii="Times New Roman" w:hAnsi="Times New Roman" w:cs="Times New Roman"/>
        </w:rPr>
        <w:t>formed</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through</w:t>
      </w:r>
      <w:proofErr w:type="spellEnd"/>
      <w:r w:rsidR="0057614A" w:rsidRPr="00705170">
        <w:rPr>
          <w:rFonts w:ascii="Times New Roman" w:hAnsi="Times New Roman" w:cs="Times New Roman"/>
        </w:rPr>
        <w:t xml:space="preserve"> </w:t>
      </w:r>
      <w:r w:rsidR="00E90ED6" w:rsidRPr="00705170">
        <w:rPr>
          <w:rFonts w:ascii="Times New Roman" w:hAnsi="Times New Roman" w:cs="Times New Roman"/>
        </w:rPr>
        <w:t xml:space="preserve">a </w:t>
      </w:r>
      <w:proofErr w:type="spellStart"/>
      <w:r w:rsidR="00E90ED6" w:rsidRPr="00705170">
        <w:rPr>
          <w:rFonts w:ascii="Times New Roman" w:hAnsi="Times New Roman" w:cs="Times New Roman"/>
        </w:rPr>
        <w:t>specific</w:t>
      </w:r>
      <w:proofErr w:type="spellEnd"/>
      <w:r w:rsidR="00E90ED6" w:rsidRPr="00705170">
        <w:rPr>
          <w:rFonts w:ascii="Times New Roman" w:hAnsi="Times New Roman" w:cs="Times New Roman"/>
        </w:rPr>
        <w:t xml:space="preserve"> </w:t>
      </w:r>
      <w:proofErr w:type="spellStart"/>
      <w:r w:rsidR="0057614A" w:rsidRPr="00705170">
        <w:rPr>
          <w:rFonts w:ascii="Times New Roman" w:hAnsi="Times New Roman" w:cs="Times New Roman"/>
        </w:rPr>
        <w:t>private</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contract</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between</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entities</w:t>
      </w:r>
      <w:proofErr w:type="spellEnd"/>
      <w:r w:rsidR="0057614A" w:rsidRPr="00705170">
        <w:rPr>
          <w:rFonts w:ascii="Times New Roman" w:hAnsi="Times New Roman" w:cs="Times New Roman"/>
        </w:rPr>
        <w:t>)</w:t>
      </w:r>
      <w:r w:rsidR="002A2204" w:rsidRPr="00705170">
        <w:rPr>
          <w:rFonts w:ascii="Times New Roman" w:hAnsi="Times New Roman" w:cs="Times New Roman"/>
        </w:rPr>
        <w:t xml:space="preserve"> (TCC </w:t>
      </w:r>
      <w:proofErr w:type="spellStart"/>
      <w:r w:rsidR="002A2204" w:rsidRPr="00705170">
        <w:rPr>
          <w:rFonts w:ascii="Times New Roman" w:hAnsi="Times New Roman" w:cs="Times New Roman"/>
        </w:rPr>
        <w:t>Article</w:t>
      </w:r>
      <w:proofErr w:type="spellEnd"/>
      <w:r w:rsidR="002A2204" w:rsidRPr="00705170">
        <w:rPr>
          <w:rFonts w:ascii="Times New Roman" w:hAnsi="Times New Roman" w:cs="Times New Roman"/>
        </w:rPr>
        <w:t xml:space="preserve"> 195(1)(b))</w:t>
      </w:r>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and</w:t>
      </w:r>
      <w:proofErr w:type="spellEnd"/>
      <w:r w:rsidR="006C0E8B" w:rsidRPr="00705170">
        <w:rPr>
          <w:rFonts w:ascii="Times New Roman" w:hAnsi="Times New Roman" w:cs="Times New Roman"/>
        </w:rPr>
        <w:t xml:space="preserve"> (3) </w:t>
      </w:r>
      <w:proofErr w:type="spellStart"/>
      <w:r w:rsidR="006C0E8B" w:rsidRPr="00705170">
        <w:rPr>
          <w:rFonts w:ascii="Times New Roman" w:hAnsi="Times New Roman" w:cs="Times New Roman"/>
        </w:rPr>
        <w:t>other</w:t>
      </w:r>
      <w:proofErr w:type="spellEnd"/>
      <w:r w:rsidR="006B112F" w:rsidRPr="00705170">
        <w:rPr>
          <w:rFonts w:ascii="Times New Roman" w:hAnsi="Times New Roman" w:cs="Times New Roman"/>
        </w:rPr>
        <w:t xml:space="preserve"> </w:t>
      </w:r>
      <w:proofErr w:type="spellStart"/>
      <w:r w:rsidR="006C0E8B" w:rsidRPr="00705170">
        <w:rPr>
          <w:rFonts w:ascii="Times New Roman" w:hAnsi="Times New Roman" w:cs="Times New Roman"/>
        </w:rPr>
        <w:t>groups</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formed</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through</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any</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other</w:t>
      </w:r>
      <w:proofErr w:type="spellEnd"/>
      <w:r w:rsidR="0057614A" w:rsidRPr="00705170">
        <w:rPr>
          <w:rFonts w:ascii="Times New Roman" w:hAnsi="Times New Roman" w:cs="Times New Roman"/>
        </w:rPr>
        <w:t xml:space="preserve"> </w:t>
      </w:r>
      <w:proofErr w:type="spellStart"/>
      <w:r w:rsidR="0057614A" w:rsidRPr="00705170">
        <w:rPr>
          <w:rFonts w:ascii="Times New Roman" w:hAnsi="Times New Roman" w:cs="Times New Roman"/>
        </w:rPr>
        <w:t>technique</w:t>
      </w:r>
      <w:proofErr w:type="spellEnd"/>
      <w:r w:rsidR="0057614A" w:rsidRPr="00705170">
        <w:rPr>
          <w:rFonts w:ascii="Times New Roman" w:hAnsi="Times New Roman" w:cs="Times New Roman"/>
        </w:rPr>
        <w:t>)</w:t>
      </w:r>
      <w:r w:rsidR="002A2204" w:rsidRPr="00705170">
        <w:rPr>
          <w:rFonts w:ascii="Times New Roman" w:hAnsi="Times New Roman" w:cs="Times New Roman"/>
        </w:rPr>
        <w:t xml:space="preserve"> (TCC </w:t>
      </w:r>
      <w:proofErr w:type="spellStart"/>
      <w:r w:rsidR="002A2204" w:rsidRPr="00705170">
        <w:rPr>
          <w:rFonts w:ascii="Times New Roman" w:hAnsi="Times New Roman" w:cs="Times New Roman"/>
        </w:rPr>
        <w:t>Article</w:t>
      </w:r>
      <w:proofErr w:type="spellEnd"/>
      <w:r w:rsidR="002A2204" w:rsidRPr="00705170">
        <w:rPr>
          <w:rFonts w:ascii="Times New Roman" w:hAnsi="Times New Roman" w:cs="Times New Roman"/>
        </w:rPr>
        <w:t xml:space="preserve"> 195(1)(b))</w:t>
      </w:r>
      <w:r w:rsidR="006B112F" w:rsidRPr="00705170">
        <w:rPr>
          <w:rFonts w:ascii="Times New Roman" w:hAnsi="Times New Roman" w:cs="Times New Roman"/>
        </w:rPr>
        <w:t>.</w:t>
      </w:r>
      <w:r w:rsidR="005453F4" w:rsidRPr="00705170">
        <w:rPr>
          <w:rFonts w:ascii="Times New Roman" w:hAnsi="Times New Roman" w:cs="Times New Roman"/>
        </w:rPr>
        <w:t xml:space="preserve"> </w:t>
      </w:r>
      <w:r w:rsidR="00B66373" w:rsidRPr="00705170">
        <w:rPr>
          <w:rFonts w:ascii="Times New Roman" w:hAnsi="Times New Roman" w:cs="Times New Roman"/>
        </w:rPr>
        <w:t xml:space="preserve">TCC </w:t>
      </w:r>
      <w:proofErr w:type="spellStart"/>
      <w:r w:rsidR="00B66373" w:rsidRPr="00705170">
        <w:rPr>
          <w:rFonts w:ascii="Times New Roman" w:hAnsi="Times New Roman" w:cs="Times New Roman"/>
        </w:rPr>
        <w:t>makes</w:t>
      </w:r>
      <w:proofErr w:type="spellEnd"/>
      <w:r w:rsidR="00B66373" w:rsidRPr="00705170">
        <w:rPr>
          <w:rFonts w:ascii="Times New Roman" w:hAnsi="Times New Roman" w:cs="Times New Roman"/>
        </w:rPr>
        <w:t xml:space="preserve"> </w:t>
      </w:r>
      <w:proofErr w:type="spellStart"/>
      <w:r w:rsidR="00B66373" w:rsidRPr="00705170">
        <w:rPr>
          <w:rFonts w:ascii="Times New Roman" w:hAnsi="Times New Roman" w:cs="Times New Roman"/>
        </w:rPr>
        <w:t>these</w:t>
      </w:r>
      <w:proofErr w:type="spellEnd"/>
      <w:r w:rsidR="00B66373" w:rsidRPr="00705170">
        <w:rPr>
          <w:rFonts w:ascii="Times New Roman" w:hAnsi="Times New Roman" w:cs="Times New Roman"/>
        </w:rPr>
        <w:t xml:space="preserve"> </w:t>
      </w:r>
      <w:proofErr w:type="spellStart"/>
      <w:r w:rsidR="00B66373" w:rsidRPr="00705170">
        <w:rPr>
          <w:rFonts w:ascii="Times New Roman" w:hAnsi="Times New Roman" w:cs="Times New Roman"/>
        </w:rPr>
        <w:t>distinctions</w:t>
      </w:r>
      <w:proofErr w:type="spellEnd"/>
      <w:r w:rsidR="00B44255" w:rsidRPr="00705170">
        <w:rPr>
          <w:rFonts w:ascii="Times New Roman" w:hAnsi="Times New Roman" w:cs="Times New Roman"/>
        </w:rPr>
        <w:t xml:space="preserve"> </w:t>
      </w:r>
      <w:proofErr w:type="spellStart"/>
      <w:r w:rsidR="00B44255" w:rsidRPr="00705170">
        <w:rPr>
          <w:rFonts w:ascii="Times New Roman" w:hAnsi="Times New Roman" w:cs="Times New Roman"/>
        </w:rPr>
        <w:t>becau</w:t>
      </w:r>
      <w:r w:rsidR="002F77C1" w:rsidRPr="00705170">
        <w:rPr>
          <w:rFonts w:ascii="Times New Roman" w:hAnsi="Times New Roman" w:cs="Times New Roman"/>
        </w:rPr>
        <w:t>se</w:t>
      </w:r>
      <w:proofErr w:type="spellEnd"/>
      <w:r w:rsidR="002F77C1" w:rsidRPr="00705170">
        <w:rPr>
          <w:rFonts w:ascii="Times New Roman" w:hAnsi="Times New Roman" w:cs="Times New Roman"/>
        </w:rPr>
        <w:t xml:space="preserve"> </w:t>
      </w:r>
      <w:proofErr w:type="spellStart"/>
      <w:r w:rsidR="002F77C1" w:rsidRPr="00705170">
        <w:rPr>
          <w:rFonts w:ascii="Times New Roman" w:hAnsi="Times New Roman" w:cs="Times New Roman"/>
        </w:rPr>
        <w:t>the</w:t>
      </w:r>
      <w:proofErr w:type="spellEnd"/>
      <w:r w:rsidR="002F77C1" w:rsidRPr="00705170">
        <w:rPr>
          <w:rFonts w:ascii="Times New Roman" w:hAnsi="Times New Roman" w:cs="Times New Roman"/>
        </w:rPr>
        <w:t xml:space="preserve"> </w:t>
      </w:r>
      <w:proofErr w:type="spellStart"/>
      <w:r w:rsidR="002F77C1" w:rsidRPr="00705170">
        <w:rPr>
          <w:rFonts w:ascii="Times New Roman" w:hAnsi="Times New Roman" w:cs="Times New Roman"/>
        </w:rPr>
        <w:t>conflict</w:t>
      </w:r>
      <w:proofErr w:type="spellEnd"/>
      <w:r w:rsidR="002F77C1" w:rsidRPr="00705170">
        <w:rPr>
          <w:rFonts w:ascii="Times New Roman" w:hAnsi="Times New Roman" w:cs="Times New Roman"/>
        </w:rPr>
        <w:t xml:space="preserve"> of </w:t>
      </w:r>
      <w:proofErr w:type="spellStart"/>
      <w:r w:rsidR="002F77C1" w:rsidRPr="00705170">
        <w:rPr>
          <w:rFonts w:ascii="Times New Roman" w:hAnsi="Times New Roman" w:cs="Times New Roman"/>
        </w:rPr>
        <w:t>interests</w:t>
      </w:r>
      <w:proofErr w:type="spellEnd"/>
      <w:r w:rsidR="002F77C1" w:rsidRPr="00705170">
        <w:rPr>
          <w:rFonts w:ascii="Times New Roman" w:hAnsi="Times New Roman" w:cs="Times New Roman"/>
        </w:rPr>
        <w:t xml:space="preserve"> </w:t>
      </w:r>
      <w:proofErr w:type="spellStart"/>
      <w:r w:rsidR="002F77C1" w:rsidRPr="00705170">
        <w:rPr>
          <w:rFonts w:ascii="Times New Roman" w:hAnsi="Times New Roman" w:cs="Times New Roman"/>
        </w:rPr>
        <w:t>differs</w:t>
      </w:r>
      <w:proofErr w:type="spellEnd"/>
      <w:r w:rsidR="002F77C1" w:rsidRPr="00705170">
        <w:rPr>
          <w:rFonts w:ascii="Times New Roman" w:hAnsi="Times New Roman" w:cs="Times New Roman"/>
        </w:rPr>
        <w:t xml:space="preserve"> </w:t>
      </w:r>
      <w:proofErr w:type="spellStart"/>
      <w:r w:rsidR="002F77C1" w:rsidRPr="00705170">
        <w:rPr>
          <w:rFonts w:ascii="Times New Roman" w:hAnsi="Times New Roman" w:cs="Times New Roman"/>
        </w:rPr>
        <w:t>depending</w:t>
      </w:r>
      <w:proofErr w:type="spellEnd"/>
      <w:r w:rsidR="002F77C1" w:rsidRPr="00705170">
        <w:rPr>
          <w:rFonts w:ascii="Times New Roman" w:hAnsi="Times New Roman" w:cs="Times New Roman"/>
        </w:rPr>
        <w:t xml:space="preserve"> on </w:t>
      </w:r>
      <w:proofErr w:type="spellStart"/>
      <w:r w:rsidR="002F77C1" w:rsidRPr="00705170">
        <w:rPr>
          <w:rFonts w:ascii="Times New Roman" w:hAnsi="Times New Roman" w:cs="Times New Roman"/>
        </w:rPr>
        <w:t>the</w:t>
      </w:r>
      <w:proofErr w:type="spellEnd"/>
      <w:r w:rsidR="002F77C1" w:rsidRPr="00705170">
        <w:rPr>
          <w:rFonts w:ascii="Times New Roman" w:hAnsi="Times New Roman" w:cs="Times New Roman"/>
        </w:rPr>
        <w:t xml:space="preserve"> </w:t>
      </w:r>
      <w:proofErr w:type="spellStart"/>
      <w:r w:rsidR="002F77C1" w:rsidRPr="00705170">
        <w:rPr>
          <w:rFonts w:ascii="Times New Roman" w:hAnsi="Times New Roman" w:cs="Times New Roman"/>
        </w:rPr>
        <w:t>level</w:t>
      </w:r>
      <w:proofErr w:type="spellEnd"/>
      <w:r w:rsidR="002F77C1" w:rsidRPr="00705170">
        <w:rPr>
          <w:rFonts w:ascii="Times New Roman" w:hAnsi="Times New Roman" w:cs="Times New Roman"/>
        </w:rPr>
        <w:t xml:space="preserve"> of </w:t>
      </w:r>
      <w:proofErr w:type="spellStart"/>
      <w:r w:rsidR="002F77C1" w:rsidRPr="00705170">
        <w:rPr>
          <w:rFonts w:ascii="Times New Roman" w:hAnsi="Times New Roman" w:cs="Times New Roman"/>
        </w:rPr>
        <w:t>the</w:t>
      </w:r>
      <w:proofErr w:type="spellEnd"/>
      <w:r w:rsidR="002F77C1" w:rsidRPr="00705170">
        <w:rPr>
          <w:rFonts w:ascii="Times New Roman" w:hAnsi="Times New Roman" w:cs="Times New Roman"/>
        </w:rPr>
        <w:t xml:space="preserve"> </w:t>
      </w:r>
      <w:proofErr w:type="spellStart"/>
      <w:r w:rsidR="002F77C1" w:rsidRPr="00705170">
        <w:rPr>
          <w:rFonts w:ascii="Times New Roman" w:hAnsi="Times New Roman" w:cs="Times New Roman"/>
        </w:rPr>
        <w:t>integration</w:t>
      </w:r>
      <w:proofErr w:type="spellEnd"/>
      <w:r w:rsidR="002F77C1" w:rsidRPr="00705170">
        <w:rPr>
          <w:rFonts w:ascii="Times New Roman" w:hAnsi="Times New Roman" w:cs="Times New Roman"/>
        </w:rPr>
        <w:t xml:space="preserve"> </w:t>
      </w:r>
      <w:proofErr w:type="spellStart"/>
      <w:r w:rsidR="002F77C1" w:rsidRPr="00705170">
        <w:rPr>
          <w:rFonts w:ascii="Times New Roman" w:hAnsi="Times New Roman" w:cs="Times New Roman"/>
        </w:rPr>
        <w:t>that</w:t>
      </w:r>
      <w:proofErr w:type="spellEnd"/>
      <w:r w:rsidR="002F77C1" w:rsidRPr="00705170">
        <w:rPr>
          <w:rFonts w:ascii="Times New Roman" w:hAnsi="Times New Roman" w:cs="Times New Roman"/>
        </w:rPr>
        <w:t xml:space="preserve"> </w:t>
      </w:r>
      <w:proofErr w:type="spellStart"/>
      <w:r w:rsidR="002F77C1" w:rsidRPr="00705170">
        <w:rPr>
          <w:rFonts w:ascii="Times New Roman" w:hAnsi="Times New Roman" w:cs="Times New Roman"/>
        </w:rPr>
        <w:t>the</w:t>
      </w:r>
      <w:proofErr w:type="spellEnd"/>
      <w:r w:rsidR="002F77C1" w:rsidRPr="00705170">
        <w:rPr>
          <w:rFonts w:ascii="Times New Roman" w:hAnsi="Times New Roman" w:cs="Times New Roman"/>
        </w:rPr>
        <w:t xml:space="preserve"> </w:t>
      </w:r>
      <w:proofErr w:type="spellStart"/>
      <w:r w:rsidR="002F77C1" w:rsidRPr="00705170">
        <w:rPr>
          <w:rFonts w:ascii="Times New Roman" w:hAnsi="Times New Roman" w:cs="Times New Roman"/>
        </w:rPr>
        <w:t>corporations</w:t>
      </w:r>
      <w:proofErr w:type="spellEnd"/>
      <w:r w:rsidR="002F77C1" w:rsidRPr="00705170">
        <w:rPr>
          <w:rFonts w:ascii="Times New Roman" w:hAnsi="Times New Roman" w:cs="Times New Roman"/>
        </w:rPr>
        <w:t xml:space="preserve"> </w:t>
      </w:r>
      <w:proofErr w:type="spellStart"/>
      <w:r w:rsidR="002F77C1" w:rsidRPr="00705170">
        <w:rPr>
          <w:rFonts w:ascii="Times New Roman" w:hAnsi="Times New Roman" w:cs="Times New Roman"/>
        </w:rPr>
        <w:t>have</w:t>
      </w:r>
      <w:proofErr w:type="spellEnd"/>
      <w:r w:rsidR="002F77C1" w:rsidRPr="00705170">
        <w:rPr>
          <w:rStyle w:val="DipnotBavurusu"/>
          <w:rFonts w:ascii="Times New Roman" w:hAnsi="Times New Roman" w:cs="Times New Roman"/>
        </w:rPr>
        <w:footnoteReference w:id="314"/>
      </w:r>
      <w:r w:rsidR="00705AD0" w:rsidRPr="00705170">
        <w:rPr>
          <w:rFonts w:ascii="Times New Roman" w:hAnsi="Times New Roman" w:cs="Times New Roman"/>
        </w:rPr>
        <w:t xml:space="preserve">. </w:t>
      </w:r>
      <w:r w:rsidR="00737710" w:rsidRPr="00705170">
        <w:rPr>
          <w:rFonts w:ascii="Times New Roman" w:hAnsi="Times New Roman" w:cs="Times New Roman"/>
        </w:rPr>
        <w:t xml:space="preserve">TCC </w:t>
      </w:r>
      <w:proofErr w:type="spellStart"/>
      <w:r w:rsidR="00737710" w:rsidRPr="00705170">
        <w:rPr>
          <w:rFonts w:ascii="Times New Roman" w:hAnsi="Times New Roman" w:cs="Times New Roman"/>
        </w:rPr>
        <w:t>also</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puts</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forward</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the</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principle</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that</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the</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parent</w:t>
      </w:r>
      <w:proofErr w:type="spellEnd"/>
      <w:r w:rsidR="00737710" w:rsidRPr="00705170">
        <w:rPr>
          <w:rFonts w:ascii="Times New Roman" w:hAnsi="Times New Roman" w:cs="Times New Roman"/>
        </w:rPr>
        <w:t xml:space="preserve"> can be an </w:t>
      </w:r>
      <w:r w:rsidR="00B66373" w:rsidRPr="00705170">
        <w:rPr>
          <w:rFonts w:ascii="Times New Roman" w:hAnsi="Times New Roman" w:cs="Times New Roman"/>
        </w:rPr>
        <w:t>“</w:t>
      </w:r>
      <w:proofErr w:type="spellStart"/>
      <w:r w:rsidR="00737710" w:rsidRPr="00705170">
        <w:rPr>
          <w:rFonts w:ascii="Times New Roman" w:hAnsi="Times New Roman" w:cs="Times New Roman"/>
        </w:rPr>
        <w:t>undertaking</w:t>
      </w:r>
      <w:proofErr w:type="spellEnd"/>
      <w:r w:rsidR="00B66373" w:rsidRPr="00705170">
        <w:rPr>
          <w:rFonts w:ascii="Times New Roman" w:hAnsi="Times New Roman" w:cs="Times New Roman"/>
        </w:rPr>
        <w:t>”</w:t>
      </w:r>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i.e</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enterprise</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meaning</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that</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the</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controlling</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parent</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does</w:t>
      </w:r>
      <w:proofErr w:type="spellEnd"/>
      <w:r w:rsidR="00737710" w:rsidRPr="00705170">
        <w:rPr>
          <w:rFonts w:ascii="Times New Roman" w:hAnsi="Times New Roman" w:cs="Times New Roman"/>
        </w:rPr>
        <w:t xml:space="preserve"> not </w:t>
      </w:r>
      <w:proofErr w:type="spellStart"/>
      <w:r w:rsidR="00737710" w:rsidRPr="00705170">
        <w:rPr>
          <w:rFonts w:ascii="Times New Roman" w:hAnsi="Times New Roman" w:cs="Times New Roman"/>
        </w:rPr>
        <w:t>necessarily</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have</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to</w:t>
      </w:r>
      <w:proofErr w:type="spellEnd"/>
      <w:r w:rsidR="00737710" w:rsidRPr="00705170">
        <w:rPr>
          <w:rFonts w:ascii="Times New Roman" w:hAnsi="Times New Roman" w:cs="Times New Roman"/>
        </w:rPr>
        <w:t xml:space="preserve"> be an </w:t>
      </w:r>
      <w:proofErr w:type="spellStart"/>
      <w:r w:rsidR="00737710" w:rsidRPr="00705170">
        <w:rPr>
          <w:rFonts w:ascii="Times New Roman" w:hAnsi="Times New Roman" w:cs="Times New Roman"/>
        </w:rPr>
        <w:t>artificial</w:t>
      </w:r>
      <w:proofErr w:type="spellEnd"/>
      <w:r w:rsidR="00737710" w:rsidRPr="00705170">
        <w:rPr>
          <w:rFonts w:ascii="Times New Roman" w:hAnsi="Times New Roman" w:cs="Times New Roman"/>
        </w:rPr>
        <w:t xml:space="preserve"> legal </w:t>
      </w:r>
      <w:proofErr w:type="spellStart"/>
      <w:r w:rsidR="00737710" w:rsidRPr="00705170">
        <w:rPr>
          <w:rFonts w:ascii="Times New Roman" w:hAnsi="Times New Roman" w:cs="Times New Roman"/>
        </w:rPr>
        <w:t>entity</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or</w:t>
      </w:r>
      <w:proofErr w:type="spellEnd"/>
      <w:r w:rsidR="00B66373" w:rsidRPr="00705170">
        <w:rPr>
          <w:rFonts w:ascii="Times New Roman" w:hAnsi="Times New Roman" w:cs="Times New Roman"/>
        </w:rPr>
        <w:t xml:space="preserve"> a</w:t>
      </w:r>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business</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entity</w:t>
      </w:r>
      <w:proofErr w:type="spellEnd"/>
      <w:r w:rsidR="00737710" w:rsidRPr="00705170">
        <w:rPr>
          <w:rFonts w:ascii="Times New Roman" w:hAnsi="Times New Roman" w:cs="Times New Roman"/>
        </w:rPr>
        <w:t xml:space="preserve"> (</w:t>
      </w:r>
      <w:proofErr w:type="spellStart"/>
      <w:r w:rsidR="00737710" w:rsidRPr="00705170">
        <w:rPr>
          <w:rFonts w:ascii="Times New Roman" w:hAnsi="Times New Roman" w:cs="Times New Roman"/>
        </w:rPr>
        <w:t>Article</w:t>
      </w:r>
      <w:proofErr w:type="spellEnd"/>
      <w:r w:rsidR="00737710" w:rsidRPr="00705170">
        <w:rPr>
          <w:rFonts w:ascii="Times New Roman" w:hAnsi="Times New Roman" w:cs="Times New Roman"/>
        </w:rPr>
        <w:t xml:space="preserve"> 195(5))</w:t>
      </w:r>
      <w:r w:rsidR="00737710" w:rsidRPr="00705170">
        <w:rPr>
          <w:rStyle w:val="DipnotBavurusu"/>
          <w:rFonts w:ascii="Times New Roman" w:hAnsi="Times New Roman" w:cs="Times New Roman"/>
        </w:rPr>
        <w:footnoteReference w:id="315"/>
      </w:r>
      <w:r w:rsidR="00737710" w:rsidRPr="00705170">
        <w:rPr>
          <w:rFonts w:ascii="Times New Roman" w:hAnsi="Times New Roman" w:cs="Times New Roman"/>
        </w:rPr>
        <w:t>.</w:t>
      </w:r>
    </w:p>
    <w:p w14:paraId="61E9B356" w14:textId="14FACD1F" w:rsidR="006C0E8B" w:rsidRPr="00705170" w:rsidRDefault="006C0E8B" w:rsidP="0057614A">
      <w:pPr>
        <w:spacing w:after="240" w:line="480" w:lineRule="auto"/>
        <w:jc w:val="both"/>
        <w:rPr>
          <w:rFonts w:ascii="Times New Roman" w:hAnsi="Times New Roman" w:cs="Times New Roman"/>
        </w:rPr>
      </w:pPr>
      <w:r w:rsidRPr="00705170">
        <w:rPr>
          <w:rFonts w:ascii="Times New Roman" w:hAnsi="Times New Roman" w:cs="Times New Roman"/>
        </w:rPr>
        <w:lastRenderedPageBreak/>
        <w:tab/>
      </w:r>
      <w:r w:rsidR="00762708" w:rsidRPr="00705170">
        <w:rPr>
          <w:rFonts w:ascii="Times New Roman" w:hAnsi="Times New Roman" w:cs="Times New Roman"/>
        </w:rPr>
        <w:t xml:space="preserve">Under TCC </w:t>
      </w:r>
      <w:proofErr w:type="spellStart"/>
      <w:r w:rsidR="00762708" w:rsidRPr="00705170">
        <w:rPr>
          <w:rFonts w:ascii="Times New Roman" w:hAnsi="Times New Roman" w:cs="Times New Roman"/>
        </w:rPr>
        <w:t>Article</w:t>
      </w:r>
      <w:proofErr w:type="spellEnd"/>
      <w:r w:rsidR="00762708" w:rsidRPr="00705170">
        <w:rPr>
          <w:rFonts w:ascii="Times New Roman" w:hAnsi="Times New Roman" w:cs="Times New Roman"/>
        </w:rPr>
        <w:t xml:space="preserve"> 195(1)(a), a</w:t>
      </w:r>
      <w:r w:rsidRPr="00705170">
        <w:rPr>
          <w:rFonts w:ascii="Times New Roman" w:hAnsi="Times New Roman" w:cs="Times New Roman"/>
        </w:rPr>
        <w:t xml:space="preserve">n </w:t>
      </w:r>
      <w:proofErr w:type="spellStart"/>
      <w:r w:rsidRPr="00705170">
        <w:rPr>
          <w:rFonts w:ascii="Times New Roman" w:hAnsi="Times New Roman" w:cs="Times New Roman"/>
        </w:rPr>
        <w:t>integrated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group</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formed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holding</w:t>
      </w:r>
      <w:r w:rsidR="00463BB5" w:rsidRPr="00705170">
        <w:rPr>
          <w:rFonts w:ascii="Times New Roman" w:hAnsi="Times New Roman" w:cs="Times New Roman"/>
        </w:rPr>
        <w:t xml:space="preserve">; </w:t>
      </w:r>
      <w:proofErr w:type="spellStart"/>
      <w:r w:rsidR="00463BB5"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voting</w:t>
      </w:r>
      <w:proofErr w:type="spellEnd"/>
      <w:r w:rsidR="00CF783D" w:rsidRPr="00705170">
        <w:rPr>
          <w:rFonts w:ascii="Times New Roman" w:hAnsi="Times New Roman" w:cs="Times New Roman"/>
        </w:rPr>
        <w:t xml:space="preserve"> </w:t>
      </w:r>
      <w:proofErr w:type="spellStart"/>
      <w:r w:rsidR="00CF783D" w:rsidRPr="00705170">
        <w:rPr>
          <w:rFonts w:ascii="Times New Roman" w:hAnsi="Times New Roman" w:cs="Times New Roman"/>
        </w:rPr>
        <w:t>rights</w:t>
      </w:r>
      <w:proofErr w:type="spellEnd"/>
      <w:r w:rsidR="00762708" w:rsidRPr="00705170">
        <w:rPr>
          <w:rFonts w:ascii="Times New Roman" w:hAnsi="Times New Roman" w:cs="Times New Roman"/>
        </w:rPr>
        <w:t>,</w:t>
      </w:r>
      <w:r w:rsidRPr="00705170">
        <w:rPr>
          <w:rFonts w:ascii="Times New Roman" w:hAnsi="Times New Roman" w:cs="Times New Roman"/>
        </w:rPr>
        <w:t xml:space="preserve"> a </w:t>
      </w:r>
      <w:proofErr w:type="spellStart"/>
      <w:r w:rsidRPr="00705170">
        <w:rPr>
          <w:rFonts w:ascii="Times New Roman" w:hAnsi="Times New Roman" w:cs="Times New Roman"/>
        </w:rPr>
        <w:t>privilege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articles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nominate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necessary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number</w:t>
      </w:r>
      <w:proofErr w:type="spellEnd"/>
      <w:r w:rsidRPr="00705170">
        <w:rPr>
          <w:rFonts w:ascii="Times New Roman" w:hAnsi="Times New Roman" w:cs="Times New Roman"/>
        </w:rPr>
        <w:t xml:space="preserve"> of </w:t>
      </w:r>
      <w:proofErr w:type="spellStart"/>
      <w:r w:rsidR="00291733" w:rsidRPr="00705170">
        <w:rPr>
          <w:rFonts w:ascii="Times New Roman" w:hAnsi="Times New Roman" w:cs="Times New Roman"/>
        </w:rPr>
        <w:t>director</w:t>
      </w:r>
      <w:proofErr w:type="spellEnd"/>
      <w:r w:rsidRPr="00705170">
        <w:rPr>
          <w:rFonts w:ascii="Times New Roman" w:hAnsi="Times New Roman" w:cs="Times New Roman"/>
        </w:rPr>
        <w:t xml:space="preserve"> </w:t>
      </w:r>
      <w:proofErr w:type="spellStart"/>
      <w:r w:rsidR="00291733" w:rsidRPr="00705170">
        <w:rPr>
          <w:rFonts w:ascii="Times New Roman" w:hAnsi="Times New Roman" w:cs="Times New Roman"/>
        </w:rPr>
        <w:t>requir</w:t>
      </w:r>
      <w:r w:rsidRPr="00705170">
        <w:rPr>
          <w:rFonts w:ascii="Times New Roman" w:hAnsi="Times New Roman" w:cs="Times New Roman"/>
        </w:rPr>
        <w: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secure</w:t>
      </w:r>
      <w:proofErr w:type="spellEnd"/>
      <w:r w:rsidRPr="00705170">
        <w:rPr>
          <w:rFonts w:ascii="Times New Roman" w:hAnsi="Times New Roman" w:cs="Times New Roman"/>
        </w:rPr>
        <w:t xml:space="preserve"> a board </w:t>
      </w:r>
      <w:proofErr w:type="spellStart"/>
      <w:r w:rsidRPr="00705170">
        <w:rPr>
          <w:rFonts w:ascii="Times New Roman" w:hAnsi="Times New Roman" w:cs="Times New Roman"/>
        </w:rPr>
        <w:t>resolution</w:t>
      </w:r>
      <w:proofErr w:type="spellEnd"/>
      <w:r w:rsidR="00762708" w:rsidRPr="00705170">
        <w:rPr>
          <w:rFonts w:ascii="Times New Roman" w:hAnsi="Times New Roman" w:cs="Times New Roman"/>
        </w:rPr>
        <w:t xml:space="preserve">, </w:t>
      </w:r>
      <w:proofErr w:type="spellStart"/>
      <w:r w:rsidR="00762708" w:rsidRPr="00705170">
        <w:rPr>
          <w:rFonts w:ascii="Times New Roman" w:hAnsi="Times New Roman" w:cs="Times New Roman"/>
        </w:rPr>
        <w:t>or</w:t>
      </w:r>
      <w:proofErr w:type="spellEnd"/>
      <w:r w:rsidR="00463BB5" w:rsidRPr="00705170">
        <w:rPr>
          <w:rFonts w:ascii="Times New Roman" w:hAnsi="Times New Roman" w:cs="Times New Roman"/>
        </w:rPr>
        <w:t xml:space="preserve"> </w:t>
      </w:r>
      <w:proofErr w:type="spellStart"/>
      <w:r w:rsidR="00463BB5" w:rsidRPr="00705170">
        <w:rPr>
          <w:rFonts w:ascii="Times New Roman" w:hAnsi="Times New Roman" w:cs="Times New Roman"/>
        </w:rPr>
        <w:t>the</w:t>
      </w:r>
      <w:proofErr w:type="spellEnd"/>
      <w:r w:rsidR="00762708" w:rsidRPr="00705170">
        <w:rPr>
          <w:rFonts w:ascii="Times New Roman" w:hAnsi="Times New Roman" w:cs="Times New Roman"/>
        </w:rPr>
        <w:t xml:space="preserve"> </w:t>
      </w:r>
      <w:proofErr w:type="spellStart"/>
      <w:r w:rsidR="00762708" w:rsidRPr="00705170">
        <w:rPr>
          <w:rFonts w:ascii="Times New Roman" w:hAnsi="Times New Roman" w:cs="Times New Roman"/>
        </w:rPr>
        <w:t>majority</w:t>
      </w:r>
      <w:proofErr w:type="spellEnd"/>
      <w:r w:rsidR="00762708" w:rsidRPr="00705170">
        <w:rPr>
          <w:rFonts w:ascii="Times New Roman" w:hAnsi="Times New Roman" w:cs="Times New Roman"/>
        </w:rPr>
        <w:t xml:space="preserve"> of </w:t>
      </w:r>
      <w:proofErr w:type="spellStart"/>
      <w:r w:rsidR="00762708" w:rsidRPr="00705170">
        <w:rPr>
          <w:rFonts w:ascii="Times New Roman" w:hAnsi="Times New Roman" w:cs="Times New Roman"/>
        </w:rPr>
        <w:t>voting</w:t>
      </w:r>
      <w:proofErr w:type="spellEnd"/>
      <w:r w:rsidR="00762708" w:rsidRPr="00705170">
        <w:rPr>
          <w:rFonts w:ascii="Times New Roman" w:hAnsi="Times New Roman" w:cs="Times New Roman"/>
        </w:rPr>
        <w:t xml:space="preserve"> </w:t>
      </w:r>
      <w:proofErr w:type="spellStart"/>
      <w:r w:rsidR="00762708" w:rsidRPr="00705170">
        <w:rPr>
          <w:rFonts w:ascii="Times New Roman" w:hAnsi="Times New Roman" w:cs="Times New Roman"/>
        </w:rPr>
        <w:t>rights</w:t>
      </w:r>
      <w:proofErr w:type="spellEnd"/>
      <w:r w:rsidR="00762708" w:rsidRPr="00705170">
        <w:rPr>
          <w:rFonts w:ascii="Times New Roman" w:hAnsi="Times New Roman" w:cs="Times New Roman"/>
        </w:rPr>
        <w:t xml:space="preserve"> </w:t>
      </w:r>
      <w:proofErr w:type="spellStart"/>
      <w:r w:rsidR="00762708" w:rsidRPr="00705170">
        <w:rPr>
          <w:rFonts w:ascii="Times New Roman" w:hAnsi="Times New Roman" w:cs="Times New Roman"/>
        </w:rPr>
        <w:t>through</w:t>
      </w:r>
      <w:proofErr w:type="spellEnd"/>
      <w:r w:rsidR="00762708" w:rsidRPr="00705170">
        <w:rPr>
          <w:rFonts w:ascii="Times New Roman" w:hAnsi="Times New Roman" w:cs="Times New Roman"/>
        </w:rPr>
        <w:t xml:space="preserve"> a </w:t>
      </w:r>
      <w:proofErr w:type="spellStart"/>
      <w:r w:rsidR="00762708" w:rsidRPr="00705170">
        <w:rPr>
          <w:rFonts w:ascii="Times New Roman" w:hAnsi="Times New Roman" w:cs="Times New Roman"/>
        </w:rPr>
        <w:t>contract</w:t>
      </w:r>
      <w:proofErr w:type="spellEnd"/>
      <w:r w:rsidR="00762708" w:rsidRPr="00705170">
        <w:rPr>
          <w:rFonts w:ascii="Times New Roman" w:hAnsi="Times New Roman" w:cs="Times New Roman"/>
        </w:rPr>
        <w:t xml:space="preserve"> (</w:t>
      </w:r>
      <w:proofErr w:type="spellStart"/>
      <w:r w:rsidR="00762708" w:rsidRPr="00705170">
        <w:rPr>
          <w:rFonts w:ascii="Times New Roman" w:hAnsi="Times New Roman" w:cs="Times New Roman"/>
        </w:rPr>
        <w:t>such</w:t>
      </w:r>
      <w:proofErr w:type="spellEnd"/>
      <w:r w:rsidR="00762708" w:rsidRPr="00705170">
        <w:rPr>
          <w:rFonts w:ascii="Times New Roman" w:hAnsi="Times New Roman" w:cs="Times New Roman"/>
        </w:rPr>
        <w:t xml:space="preserve"> as </w:t>
      </w:r>
      <w:proofErr w:type="spellStart"/>
      <w:r w:rsidR="00762708" w:rsidRPr="00705170">
        <w:rPr>
          <w:rFonts w:ascii="Times New Roman" w:hAnsi="Times New Roman" w:cs="Times New Roman"/>
        </w:rPr>
        <w:t>shareholders</w:t>
      </w:r>
      <w:proofErr w:type="spellEnd"/>
      <w:r w:rsidR="00762708" w:rsidRPr="00705170">
        <w:rPr>
          <w:rFonts w:ascii="Times New Roman" w:hAnsi="Times New Roman" w:cs="Times New Roman"/>
        </w:rPr>
        <w:t xml:space="preserve">’ </w:t>
      </w:r>
      <w:proofErr w:type="spellStart"/>
      <w:r w:rsidR="00762708" w:rsidRPr="00705170">
        <w:rPr>
          <w:rFonts w:ascii="Times New Roman" w:hAnsi="Times New Roman" w:cs="Times New Roman"/>
        </w:rPr>
        <w:t>agreement</w:t>
      </w:r>
      <w:proofErr w:type="spellEnd"/>
      <w:r w:rsidR="00762708" w:rsidRPr="00705170">
        <w:rPr>
          <w:rFonts w:ascii="Times New Roman" w:hAnsi="Times New Roman" w:cs="Times New Roman"/>
        </w:rPr>
        <w:t>)</w:t>
      </w:r>
      <w:r w:rsidR="00291733" w:rsidRPr="00705170">
        <w:rPr>
          <w:rFonts w:ascii="Times New Roman" w:hAnsi="Times New Roman" w:cs="Times New Roman"/>
        </w:rPr>
        <w:t xml:space="preserve"> in </w:t>
      </w:r>
      <w:proofErr w:type="spellStart"/>
      <w:r w:rsidR="00291733" w:rsidRPr="00705170">
        <w:rPr>
          <w:rFonts w:ascii="Times New Roman" w:hAnsi="Times New Roman" w:cs="Times New Roman"/>
        </w:rPr>
        <w:t>addition</w:t>
      </w:r>
      <w:proofErr w:type="spellEnd"/>
      <w:r w:rsidR="00291733" w:rsidRPr="00705170">
        <w:rPr>
          <w:rFonts w:ascii="Times New Roman" w:hAnsi="Times New Roman" w:cs="Times New Roman"/>
        </w:rPr>
        <w:t xml:space="preserve"> </w:t>
      </w:r>
      <w:proofErr w:type="spellStart"/>
      <w:r w:rsidR="00291733" w:rsidRPr="00705170">
        <w:rPr>
          <w:rFonts w:ascii="Times New Roman" w:hAnsi="Times New Roman" w:cs="Times New Roman"/>
        </w:rPr>
        <w:t>to</w:t>
      </w:r>
      <w:proofErr w:type="spellEnd"/>
      <w:r w:rsidR="00291733" w:rsidRPr="00705170">
        <w:rPr>
          <w:rFonts w:ascii="Times New Roman" w:hAnsi="Times New Roman" w:cs="Times New Roman"/>
        </w:rPr>
        <w:t xml:space="preserve"> </w:t>
      </w:r>
      <w:proofErr w:type="spellStart"/>
      <w:r w:rsidR="00291733" w:rsidRPr="00705170">
        <w:rPr>
          <w:rFonts w:ascii="Times New Roman" w:hAnsi="Times New Roman" w:cs="Times New Roman"/>
        </w:rPr>
        <w:t>the</w:t>
      </w:r>
      <w:proofErr w:type="spellEnd"/>
      <w:r w:rsidR="00291733" w:rsidRPr="00705170">
        <w:rPr>
          <w:rFonts w:ascii="Times New Roman" w:hAnsi="Times New Roman" w:cs="Times New Roman"/>
        </w:rPr>
        <w:t xml:space="preserve"> </w:t>
      </w:r>
      <w:proofErr w:type="spellStart"/>
      <w:r w:rsidR="00291733" w:rsidRPr="00705170">
        <w:rPr>
          <w:rFonts w:ascii="Times New Roman" w:hAnsi="Times New Roman" w:cs="Times New Roman"/>
        </w:rPr>
        <w:t>holders</w:t>
      </w:r>
      <w:proofErr w:type="spellEnd"/>
      <w:r w:rsidR="008F2587" w:rsidRPr="00705170">
        <w:rPr>
          <w:rFonts w:ascii="Times New Roman" w:hAnsi="Times New Roman" w:cs="Times New Roman"/>
        </w:rPr>
        <w:t xml:space="preserve"> </w:t>
      </w:r>
      <w:proofErr w:type="spellStart"/>
      <w:r w:rsidR="008F2587" w:rsidRPr="00705170">
        <w:rPr>
          <w:rFonts w:ascii="Times New Roman" w:hAnsi="Times New Roman" w:cs="Times New Roman"/>
        </w:rPr>
        <w:t>own</w:t>
      </w:r>
      <w:proofErr w:type="spellEnd"/>
      <w:r w:rsidR="008F2587" w:rsidRPr="00705170">
        <w:rPr>
          <w:rFonts w:ascii="Times New Roman" w:hAnsi="Times New Roman" w:cs="Times New Roman"/>
        </w:rPr>
        <w:t xml:space="preserve"> </w:t>
      </w:r>
      <w:proofErr w:type="spellStart"/>
      <w:r w:rsidR="008F2587" w:rsidRPr="00705170">
        <w:rPr>
          <w:rFonts w:ascii="Times New Roman" w:hAnsi="Times New Roman" w:cs="Times New Roman"/>
        </w:rPr>
        <w:t>voting</w:t>
      </w:r>
      <w:proofErr w:type="spellEnd"/>
      <w:r w:rsidR="008F2587" w:rsidRPr="00705170">
        <w:rPr>
          <w:rFonts w:ascii="Times New Roman" w:hAnsi="Times New Roman" w:cs="Times New Roman"/>
        </w:rPr>
        <w:t xml:space="preserve"> </w:t>
      </w:r>
      <w:proofErr w:type="spellStart"/>
      <w:r w:rsidR="008F2587" w:rsidRPr="00705170">
        <w:rPr>
          <w:rFonts w:ascii="Times New Roman" w:hAnsi="Times New Roman" w:cs="Times New Roman"/>
        </w:rPr>
        <w:t>rights</w:t>
      </w:r>
      <w:proofErr w:type="spellEnd"/>
      <w:r w:rsidR="00762708" w:rsidRPr="00705170">
        <w:rPr>
          <w:rFonts w:ascii="Times New Roman" w:hAnsi="Times New Roman" w:cs="Times New Roman"/>
        </w:rPr>
        <w:t>.</w:t>
      </w:r>
      <w:r w:rsidR="00DE7E40" w:rsidRPr="00705170">
        <w:rPr>
          <w:rFonts w:ascii="Times New Roman" w:hAnsi="Times New Roman" w:cs="Times New Roman"/>
        </w:rPr>
        <w:t xml:space="preserve"> </w:t>
      </w:r>
      <w:proofErr w:type="spellStart"/>
      <w:r w:rsidR="00106E10" w:rsidRPr="00705170">
        <w:rPr>
          <w:rFonts w:ascii="Times New Roman" w:hAnsi="Times New Roman" w:cs="Times New Roman"/>
        </w:rPr>
        <w:t>The</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control</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tools</w:t>
      </w:r>
      <w:proofErr w:type="spellEnd"/>
      <w:r w:rsidR="00106E10" w:rsidRPr="00705170">
        <w:rPr>
          <w:rFonts w:ascii="Times New Roman" w:hAnsi="Times New Roman" w:cs="Times New Roman"/>
        </w:rPr>
        <w:t>”</w:t>
      </w:r>
      <w:r w:rsidR="00291733" w:rsidRPr="00705170">
        <w:rPr>
          <w:rFonts w:ascii="Times New Roman" w:hAnsi="Times New Roman" w:cs="Times New Roman"/>
        </w:rPr>
        <w:t xml:space="preserve"> </w:t>
      </w:r>
      <w:proofErr w:type="spellStart"/>
      <w:r w:rsidR="00291733" w:rsidRPr="00705170">
        <w:rPr>
          <w:rFonts w:ascii="Times New Roman" w:hAnsi="Times New Roman" w:cs="Times New Roman"/>
        </w:rPr>
        <w:t>listed</w:t>
      </w:r>
      <w:proofErr w:type="spellEnd"/>
      <w:r w:rsidR="00291733" w:rsidRPr="00705170">
        <w:rPr>
          <w:rFonts w:ascii="Times New Roman" w:hAnsi="Times New Roman" w:cs="Times New Roman"/>
        </w:rPr>
        <w:t xml:space="preserve"> in </w:t>
      </w:r>
      <w:proofErr w:type="spellStart"/>
      <w:r w:rsidR="00291733" w:rsidRPr="00705170">
        <w:rPr>
          <w:rFonts w:ascii="Times New Roman" w:hAnsi="Times New Roman" w:cs="Times New Roman"/>
        </w:rPr>
        <w:t>Article</w:t>
      </w:r>
      <w:proofErr w:type="spellEnd"/>
      <w:r w:rsidR="00291733" w:rsidRPr="00705170">
        <w:rPr>
          <w:rFonts w:ascii="Times New Roman" w:hAnsi="Times New Roman" w:cs="Times New Roman"/>
        </w:rPr>
        <w:t xml:space="preserve"> 195(1)(a)</w:t>
      </w:r>
      <w:r w:rsidR="00106E10" w:rsidRPr="00705170">
        <w:rPr>
          <w:rFonts w:ascii="Times New Roman" w:hAnsi="Times New Roman" w:cs="Times New Roman"/>
        </w:rPr>
        <w:t xml:space="preserve"> do not </w:t>
      </w:r>
      <w:proofErr w:type="spellStart"/>
      <w:r w:rsidR="00106E10" w:rsidRPr="00705170">
        <w:rPr>
          <w:rFonts w:ascii="Times New Roman" w:hAnsi="Times New Roman" w:cs="Times New Roman"/>
        </w:rPr>
        <w:t>function</w:t>
      </w:r>
      <w:proofErr w:type="spellEnd"/>
      <w:r w:rsidR="00106E10" w:rsidRPr="00705170">
        <w:rPr>
          <w:rFonts w:ascii="Times New Roman" w:hAnsi="Times New Roman" w:cs="Times New Roman"/>
        </w:rPr>
        <w:t xml:space="preserve"> as a </w:t>
      </w:r>
      <w:r w:rsidR="00291733" w:rsidRPr="00705170">
        <w:rPr>
          <w:rFonts w:ascii="Times New Roman" w:hAnsi="Times New Roman" w:cs="Times New Roman"/>
        </w:rPr>
        <w:t>“</w:t>
      </w:r>
      <w:proofErr w:type="spellStart"/>
      <w:r w:rsidR="00106E10" w:rsidRPr="00705170">
        <w:rPr>
          <w:rFonts w:ascii="Times New Roman" w:hAnsi="Times New Roman" w:cs="Times New Roman"/>
        </w:rPr>
        <w:t>presumption</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for</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control</w:t>
      </w:r>
      <w:proofErr w:type="spellEnd"/>
      <w:r w:rsidR="00291733" w:rsidRPr="00705170">
        <w:rPr>
          <w:rFonts w:ascii="Times New Roman" w:hAnsi="Times New Roman" w:cs="Times New Roman"/>
        </w:rPr>
        <w:t>”</w:t>
      </w:r>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rather</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the</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law</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deems</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control</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when</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these</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tools</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are</w:t>
      </w:r>
      <w:proofErr w:type="spellEnd"/>
      <w:r w:rsidR="00106E10" w:rsidRPr="00705170">
        <w:rPr>
          <w:rFonts w:ascii="Times New Roman" w:hAnsi="Times New Roman" w:cs="Times New Roman"/>
        </w:rPr>
        <w:t xml:space="preserve"> in </w:t>
      </w:r>
      <w:proofErr w:type="spellStart"/>
      <w:r w:rsidR="00106E10" w:rsidRPr="00705170">
        <w:rPr>
          <w:rFonts w:ascii="Times New Roman" w:hAnsi="Times New Roman" w:cs="Times New Roman"/>
        </w:rPr>
        <w:t>effect</w:t>
      </w:r>
      <w:proofErr w:type="spellEnd"/>
      <w:r w:rsidR="00106E10" w:rsidRPr="00705170">
        <w:rPr>
          <w:rStyle w:val="DipnotBavurusu"/>
          <w:rFonts w:ascii="Times New Roman" w:hAnsi="Times New Roman" w:cs="Times New Roman"/>
        </w:rPr>
        <w:footnoteReference w:id="316"/>
      </w:r>
      <w:r w:rsidR="00106E10" w:rsidRPr="00705170">
        <w:rPr>
          <w:rFonts w:ascii="Times New Roman" w:hAnsi="Times New Roman" w:cs="Times New Roman"/>
        </w:rPr>
        <w:t xml:space="preserve">. </w:t>
      </w:r>
      <w:proofErr w:type="spellStart"/>
      <w:r w:rsidR="00DE7E40" w:rsidRPr="00705170">
        <w:rPr>
          <w:rFonts w:ascii="Times New Roman" w:hAnsi="Times New Roman" w:cs="Times New Roman"/>
        </w:rPr>
        <w:t>Additionally</w:t>
      </w:r>
      <w:proofErr w:type="spellEnd"/>
      <w:r w:rsidR="00DE7E40" w:rsidRPr="00705170">
        <w:rPr>
          <w:rFonts w:ascii="Times New Roman" w:hAnsi="Times New Roman" w:cs="Times New Roman"/>
        </w:rPr>
        <w:t xml:space="preserve">, </w:t>
      </w:r>
      <w:proofErr w:type="spellStart"/>
      <w:r w:rsidR="00DE7E40" w:rsidRPr="00705170">
        <w:rPr>
          <w:rFonts w:ascii="Times New Roman" w:hAnsi="Times New Roman" w:cs="Times New Roman"/>
        </w:rPr>
        <w:t>Article</w:t>
      </w:r>
      <w:proofErr w:type="spellEnd"/>
      <w:r w:rsidR="00DE7E40" w:rsidRPr="00705170">
        <w:rPr>
          <w:rFonts w:ascii="Times New Roman" w:hAnsi="Times New Roman" w:cs="Times New Roman"/>
        </w:rPr>
        <w:t xml:space="preserve"> 195(2) </w:t>
      </w:r>
      <w:proofErr w:type="spellStart"/>
      <w:r w:rsidR="00DE7E40" w:rsidRPr="00705170">
        <w:rPr>
          <w:rFonts w:ascii="Times New Roman" w:hAnsi="Times New Roman" w:cs="Times New Roman"/>
        </w:rPr>
        <w:t>states</w:t>
      </w:r>
      <w:proofErr w:type="spellEnd"/>
      <w:r w:rsidR="00DE7E40" w:rsidRPr="00705170">
        <w:rPr>
          <w:rFonts w:ascii="Times New Roman" w:hAnsi="Times New Roman" w:cs="Times New Roman"/>
        </w:rPr>
        <w:t xml:space="preserve"> </w:t>
      </w:r>
      <w:proofErr w:type="spellStart"/>
      <w:r w:rsidR="00DE7E40" w:rsidRPr="00705170">
        <w:rPr>
          <w:rFonts w:ascii="Times New Roman" w:hAnsi="Times New Roman" w:cs="Times New Roman"/>
        </w:rPr>
        <w:t>that</w:t>
      </w:r>
      <w:proofErr w:type="spellEnd"/>
      <w:r w:rsidR="00B30F5E" w:rsidRPr="00705170">
        <w:rPr>
          <w:rFonts w:ascii="Times New Roman" w:hAnsi="Times New Roman" w:cs="Times New Roman"/>
        </w:rPr>
        <w:t xml:space="preserve"> </w:t>
      </w:r>
      <w:r w:rsidR="00DE7E40" w:rsidRPr="00705170">
        <w:rPr>
          <w:rFonts w:ascii="Times New Roman" w:hAnsi="Times New Roman" w:cs="Times New Roman"/>
        </w:rPr>
        <w:t xml:space="preserve">a </w:t>
      </w:r>
      <w:proofErr w:type="spellStart"/>
      <w:r w:rsidR="00DE7E40" w:rsidRPr="00705170">
        <w:rPr>
          <w:rFonts w:ascii="Times New Roman" w:hAnsi="Times New Roman" w:cs="Times New Roman"/>
        </w:rPr>
        <w:t>corporation’s</w:t>
      </w:r>
      <w:proofErr w:type="spellEnd"/>
      <w:r w:rsidR="00DE7E40" w:rsidRPr="00705170">
        <w:rPr>
          <w:rFonts w:ascii="Times New Roman" w:hAnsi="Times New Roman" w:cs="Times New Roman"/>
        </w:rPr>
        <w:t xml:space="preserve"> </w:t>
      </w:r>
      <w:proofErr w:type="spellStart"/>
      <w:r w:rsidR="00DE7E40" w:rsidRPr="00705170">
        <w:rPr>
          <w:rFonts w:ascii="Times New Roman" w:hAnsi="Times New Roman" w:cs="Times New Roman"/>
        </w:rPr>
        <w:t>ownership</w:t>
      </w:r>
      <w:proofErr w:type="spellEnd"/>
      <w:r w:rsidR="00DE7E40" w:rsidRPr="00705170">
        <w:rPr>
          <w:rFonts w:ascii="Times New Roman" w:hAnsi="Times New Roman" w:cs="Times New Roman"/>
        </w:rPr>
        <w:t xml:space="preserve"> of </w:t>
      </w:r>
      <w:proofErr w:type="spellStart"/>
      <w:r w:rsidR="00DE7E40" w:rsidRPr="00705170">
        <w:rPr>
          <w:rFonts w:ascii="Times New Roman" w:hAnsi="Times New Roman" w:cs="Times New Roman"/>
        </w:rPr>
        <w:t>m</w:t>
      </w:r>
      <w:r w:rsidR="00B30F5E" w:rsidRPr="00705170">
        <w:rPr>
          <w:rFonts w:ascii="Times New Roman" w:hAnsi="Times New Roman" w:cs="Times New Roman"/>
        </w:rPr>
        <w:t>ajority</w:t>
      </w:r>
      <w:proofErr w:type="spellEnd"/>
      <w:r w:rsidR="00B30F5E" w:rsidRPr="00705170">
        <w:rPr>
          <w:rFonts w:ascii="Times New Roman" w:hAnsi="Times New Roman" w:cs="Times New Roman"/>
        </w:rPr>
        <w:t xml:space="preserve"> of </w:t>
      </w:r>
      <w:proofErr w:type="spellStart"/>
      <w:r w:rsidR="00B30F5E" w:rsidRPr="00705170">
        <w:rPr>
          <w:rFonts w:ascii="Times New Roman" w:hAnsi="Times New Roman" w:cs="Times New Roman"/>
        </w:rPr>
        <w:t>the</w:t>
      </w:r>
      <w:proofErr w:type="spellEnd"/>
      <w:r w:rsidR="00B30F5E" w:rsidRPr="00705170">
        <w:rPr>
          <w:rFonts w:ascii="Times New Roman" w:hAnsi="Times New Roman" w:cs="Times New Roman"/>
        </w:rPr>
        <w:t xml:space="preserve"> </w:t>
      </w:r>
      <w:proofErr w:type="spellStart"/>
      <w:r w:rsidR="00B30F5E" w:rsidRPr="00705170">
        <w:rPr>
          <w:rFonts w:ascii="Times New Roman" w:hAnsi="Times New Roman" w:cs="Times New Roman"/>
        </w:rPr>
        <w:t>shares</w:t>
      </w:r>
      <w:proofErr w:type="spellEnd"/>
      <w:r w:rsidR="00B30F5E" w:rsidRPr="00705170">
        <w:rPr>
          <w:rFonts w:ascii="Times New Roman" w:hAnsi="Times New Roman" w:cs="Times New Roman"/>
        </w:rPr>
        <w:t xml:space="preserve"> (</w:t>
      </w:r>
      <w:proofErr w:type="spellStart"/>
      <w:r w:rsidR="00DE7E40" w:rsidRPr="00705170">
        <w:rPr>
          <w:rFonts w:ascii="Times New Roman" w:hAnsi="Times New Roman" w:cs="Times New Roman"/>
        </w:rPr>
        <w:t>or</w:t>
      </w:r>
      <w:proofErr w:type="spellEnd"/>
      <w:r w:rsidR="00DE7E40" w:rsidRPr="00705170">
        <w:rPr>
          <w:rFonts w:ascii="Times New Roman" w:hAnsi="Times New Roman" w:cs="Times New Roman"/>
        </w:rPr>
        <w:t xml:space="preserve"> </w:t>
      </w:r>
      <w:proofErr w:type="spellStart"/>
      <w:r w:rsidR="00DE7E40" w:rsidRPr="00705170">
        <w:rPr>
          <w:rFonts w:ascii="Times New Roman" w:hAnsi="Times New Roman" w:cs="Times New Roman"/>
        </w:rPr>
        <w:t>the</w:t>
      </w:r>
      <w:proofErr w:type="spellEnd"/>
      <w:r w:rsidR="00DE7E40" w:rsidRPr="00705170">
        <w:rPr>
          <w:rFonts w:ascii="Times New Roman" w:hAnsi="Times New Roman" w:cs="Times New Roman"/>
        </w:rPr>
        <w:t xml:space="preserve"> </w:t>
      </w:r>
      <w:proofErr w:type="spellStart"/>
      <w:r w:rsidR="00DE7E40" w:rsidRPr="00705170">
        <w:rPr>
          <w:rFonts w:ascii="Times New Roman" w:hAnsi="Times New Roman" w:cs="Times New Roman"/>
        </w:rPr>
        <w:t>necessary</w:t>
      </w:r>
      <w:proofErr w:type="spellEnd"/>
      <w:r w:rsidR="00DE7E40" w:rsidRPr="00705170">
        <w:rPr>
          <w:rFonts w:ascii="Times New Roman" w:hAnsi="Times New Roman" w:cs="Times New Roman"/>
        </w:rPr>
        <w:t xml:space="preserve"> </w:t>
      </w:r>
      <w:proofErr w:type="spellStart"/>
      <w:r w:rsidR="00DE7E40" w:rsidRPr="00705170">
        <w:rPr>
          <w:rFonts w:ascii="Times New Roman" w:hAnsi="Times New Roman" w:cs="Times New Roman"/>
        </w:rPr>
        <w:t>number</w:t>
      </w:r>
      <w:proofErr w:type="spellEnd"/>
      <w:r w:rsidR="00DE7E40" w:rsidRPr="00705170">
        <w:rPr>
          <w:rFonts w:ascii="Times New Roman" w:hAnsi="Times New Roman" w:cs="Times New Roman"/>
        </w:rPr>
        <w:t xml:space="preserve"> of </w:t>
      </w:r>
      <w:proofErr w:type="spellStart"/>
      <w:r w:rsidR="00DE7E40" w:rsidRPr="00705170">
        <w:rPr>
          <w:rFonts w:ascii="Times New Roman" w:hAnsi="Times New Roman" w:cs="Times New Roman"/>
        </w:rPr>
        <w:t>shares</w:t>
      </w:r>
      <w:proofErr w:type="spellEnd"/>
      <w:r w:rsidR="00DE7E40" w:rsidRPr="00705170">
        <w:rPr>
          <w:rFonts w:ascii="Times New Roman" w:hAnsi="Times New Roman" w:cs="Times New Roman"/>
        </w:rPr>
        <w:t xml:space="preserve"> </w:t>
      </w:r>
      <w:proofErr w:type="spellStart"/>
      <w:r w:rsidR="00DE7E40" w:rsidRPr="00705170">
        <w:rPr>
          <w:rFonts w:ascii="Times New Roman" w:hAnsi="Times New Roman" w:cs="Times New Roman"/>
        </w:rPr>
        <w:t>to</w:t>
      </w:r>
      <w:proofErr w:type="spellEnd"/>
      <w:r w:rsidR="00DE7E40" w:rsidRPr="00705170">
        <w:rPr>
          <w:rFonts w:ascii="Times New Roman" w:hAnsi="Times New Roman" w:cs="Times New Roman"/>
        </w:rPr>
        <w:t xml:space="preserve"> </w:t>
      </w:r>
      <w:proofErr w:type="spellStart"/>
      <w:r w:rsidR="00DE7E40" w:rsidRPr="00705170">
        <w:rPr>
          <w:rFonts w:ascii="Times New Roman" w:hAnsi="Times New Roman" w:cs="Times New Roman"/>
        </w:rPr>
        <w:t>pass</w:t>
      </w:r>
      <w:proofErr w:type="spellEnd"/>
      <w:r w:rsidR="00B30F5E" w:rsidRPr="00705170">
        <w:rPr>
          <w:rFonts w:ascii="Times New Roman" w:hAnsi="Times New Roman" w:cs="Times New Roman"/>
        </w:rPr>
        <w:t xml:space="preserve"> </w:t>
      </w:r>
      <w:proofErr w:type="spellStart"/>
      <w:r w:rsidR="00B30F5E" w:rsidRPr="00705170">
        <w:rPr>
          <w:rFonts w:ascii="Times New Roman" w:hAnsi="Times New Roman" w:cs="Times New Roman"/>
        </w:rPr>
        <w:t>decisions</w:t>
      </w:r>
      <w:proofErr w:type="spellEnd"/>
      <w:r w:rsidR="00B30F5E" w:rsidRPr="00705170">
        <w:rPr>
          <w:rFonts w:ascii="Times New Roman" w:hAnsi="Times New Roman" w:cs="Times New Roman"/>
        </w:rPr>
        <w:t xml:space="preserve"> </w:t>
      </w:r>
      <w:proofErr w:type="spellStart"/>
      <w:r w:rsidR="00B30F5E" w:rsidRPr="00705170">
        <w:rPr>
          <w:rFonts w:ascii="Times New Roman" w:hAnsi="Times New Roman" w:cs="Times New Roman"/>
        </w:rPr>
        <w:t>regarding</w:t>
      </w:r>
      <w:proofErr w:type="spellEnd"/>
      <w:r w:rsidR="00B30F5E" w:rsidRPr="00705170">
        <w:rPr>
          <w:rFonts w:ascii="Times New Roman" w:hAnsi="Times New Roman" w:cs="Times New Roman"/>
        </w:rPr>
        <w:t xml:space="preserve"> </w:t>
      </w:r>
      <w:proofErr w:type="spellStart"/>
      <w:r w:rsidR="00B30F5E" w:rsidRPr="00705170">
        <w:rPr>
          <w:rFonts w:ascii="Times New Roman" w:hAnsi="Times New Roman" w:cs="Times New Roman"/>
        </w:rPr>
        <w:t>management</w:t>
      </w:r>
      <w:proofErr w:type="spellEnd"/>
      <w:r w:rsidR="00B30F5E" w:rsidRPr="00705170">
        <w:rPr>
          <w:rFonts w:ascii="Times New Roman" w:hAnsi="Times New Roman" w:cs="Times New Roman"/>
        </w:rPr>
        <w:t>)</w:t>
      </w:r>
      <w:r w:rsidR="00DE7E40" w:rsidRPr="00705170">
        <w:rPr>
          <w:rFonts w:ascii="Times New Roman" w:hAnsi="Times New Roman" w:cs="Times New Roman"/>
        </w:rPr>
        <w:t xml:space="preserve"> of </w:t>
      </w:r>
      <w:proofErr w:type="spellStart"/>
      <w:r w:rsidR="00DE7E40" w:rsidRPr="00705170">
        <w:rPr>
          <w:rFonts w:ascii="Times New Roman" w:hAnsi="Times New Roman" w:cs="Times New Roman"/>
        </w:rPr>
        <w:t>another</w:t>
      </w:r>
      <w:proofErr w:type="spellEnd"/>
      <w:r w:rsidR="00DE7E40" w:rsidRPr="00705170">
        <w:rPr>
          <w:rFonts w:ascii="Times New Roman" w:hAnsi="Times New Roman" w:cs="Times New Roman"/>
        </w:rPr>
        <w:t xml:space="preserve"> </w:t>
      </w:r>
      <w:proofErr w:type="spellStart"/>
      <w:r w:rsidR="00DE7E40" w:rsidRPr="00705170">
        <w:rPr>
          <w:rFonts w:ascii="Times New Roman" w:hAnsi="Times New Roman" w:cs="Times New Roman"/>
        </w:rPr>
        <w:t>corporation</w:t>
      </w:r>
      <w:proofErr w:type="spellEnd"/>
      <w:r w:rsidR="00DE7E40" w:rsidRPr="00705170">
        <w:rPr>
          <w:rFonts w:ascii="Times New Roman" w:hAnsi="Times New Roman" w:cs="Times New Roman"/>
        </w:rPr>
        <w:t xml:space="preserve"> </w:t>
      </w:r>
      <w:proofErr w:type="spellStart"/>
      <w:r w:rsidR="00DE7E40" w:rsidRPr="00705170">
        <w:rPr>
          <w:rFonts w:ascii="Times New Roman" w:hAnsi="Times New Roman" w:cs="Times New Roman"/>
        </w:rPr>
        <w:t>would</w:t>
      </w:r>
      <w:proofErr w:type="spellEnd"/>
      <w:r w:rsidR="00DE7E40" w:rsidRPr="00705170">
        <w:rPr>
          <w:rFonts w:ascii="Times New Roman" w:hAnsi="Times New Roman" w:cs="Times New Roman"/>
        </w:rPr>
        <w:t xml:space="preserve"> </w:t>
      </w:r>
      <w:proofErr w:type="spellStart"/>
      <w:r w:rsidR="00DE7E40" w:rsidRPr="00705170">
        <w:rPr>
          <w:rFonts w:ascii="Times New Roman" w:hAnsi="Times New Roman" w:cs="Times New Roman"/>
        </w:rPr>
        <w:t>create</w:t>
      </w:r>
      <w:proofErr w:type="spellEnd"/>
      <w:r w:rsidR="00DE7E40" w:rsidRPr="00705170">
        <w:rPr>
          <w:rFonts w:ascii="Times New Roman" w:hAnsi="Times New Roman" w:cs="Times New Roman"/>
        </w:rPr>
        <w:t xml:space="preserve"> a </w:t>
      </w:r>
      <w:proofErr w:type="spellStart"/>
      <w:r w:rsidR="00DE7E40" w:rsidRPr="00705170">
        <w:rPr>
          <w:rFonts w:ascii="Times New Roman" w:hAnsi="Times New Roman" w:cs="Times New Roman"/>
        </w:rPr>
        <w:t>presumption</w:t>
      </w:r>
      <w:proofErr w:type="spellEnd"/>
      <w:r w:rsidR="00DE7E40" w:rsidRPr="00705170">
        <w:rPr>
          <w:rFonts w:ascii="Times New Roman" w:hAnsi="Times New Roman" w:cs="Times New Roman"/>
        </w:rPr>
        <w:t xml:space="preserve"> of </w:t>
      </w:r>
      <w:proofErr w:type="spellStart"/>
      <w:r w:rsidR="00DE7E40" w:rsidRPr="00705170">
        <w:rPr>
          <w:rFonts w:ascii="Times New Roman" w:hAnsi="Times New Roman" w:cs="Times New Roman"/>
        </w:rPr>
        <w:t>control</w:t>
      </w:r>
      <w:proofErr w:type="spellEnd"/>
      <w:r w:rsidR="002D59E1" w:rsidRPr="00705170">
        <w:rPr>
          <w:rStyle w:val="DipnotBavurusu"/>
          <w:rFonts w:ascii="Times New Roman" w:hAnsi="Times New Roman" w:cs="Times New Roman"/>
        </w:rPr>
        <w:footnoteReference w:id="317"/>
      </w:r>
      <w:r w:rsidR="00DE7E40" w:rsidRPr="00705170">
        <w:rPr>
          <w:rFonts w:ascii="Times New Roman" w:hAnsi="Times New Roman" w:cs="Times New Roman"/>
        </w:rPr>
        <w:t>.</w:t>
      </w:r>
      <w:r w:rsidR="004F329B" w:rsidRPr="00705170">
        <w:rPr>
          <w:rFonts w:ascii="Times New Roman" w:hAnsi="Times New Roman" w:cs="Times New Roman"/>
        </w:rPr>
        <w:t xml:space="preserve"> </w:t>
      </w:r>
    </w:p>
    <w:p w14:paraId="182109F5" w14:textId="532309BB" w:rsidR="00932325" w:rsidRPr="00705170" w:rsidRDefault="007A1C13" w:rsidP="00932325">
      <w:pPr>
        <w:spacing w:after="240" w:line="480" w:lineRule="auto"/>
        <w:ind w:firstLine="708"/>
        <w:jc w:val="both"/>
        <w:rPr>
          <w:rFonts w:ascii="Times New Roman" w:hAnsi="Times New Roman" w:cs="Times New Roman"/>
          <w:lang w:val="en-US"/>
        </w:rPr>
      </w:pP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TCC </w:t>
      </w:r>
      <w:proofErr w:type="spellStart"/>
      <w:r w:rsidRPr="00705170">
        <w:rPr>
          <w:rFonts w:ascii="Times New Roman" w:hAnsi="Times New Roman" w:cs="Times New Roman"/>
        </w:rPr>
        <w:t>Article</w:t>
      </w:r>
      <w:proofErr w:type="spellEnd"/>
      <w:r w:rsidRPr="00705170">
        <w:rPr>
          <w:rFonts w:ascii="Times New Roman" w:hAnsi="Times New Roman" w:cs="Times New Roman"/>
        </w:rPr>
        <w:t xml:space="preserve"> </w:t>
      </w:r>
      <w:r w:rsidR="00B13840" w:rsidRPr="00705170">
        <w:rPr>
          <w:rFonts w:ascii="Times New Roman" w:hAnsi="Times New Roman" w:cs="Times New Roman"/>
        </w:rPr>
        <w:t xml:space="preserve">195(1)(b) </w:t>
      </w:r>
      <w:proofErr w:type="spellStart"/>
      <w:r w:rsidRPr="00705170">
        <w:rPr>
          <w:rFonts w:ascii="Times New Roman" w:hAnsi="Times New Roman" w:cs="Times New Roman"/>
        </w:rPr>
        <w:t>states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group</w:t>
      </w:r>
      <w:proofErr w:type="spellEnd"/>
      <w:r w:rsidRPr="00705170">
        <w:rPr>
          <w:rFonts w:ascii="Times New Roman" w:hAnsi="Times New Roman" w:cs="Times New Roman"/>
        </w:rPr>
        <w:t xml:space="preserve"> can </w:t>
      </w:r>
      <w:r w:rsidR="00C32BCA" w:rsidRPr="00705170">
        <w:rPr>
          <w:rFonts w:ascii="Times New Roman" w:hAnsi="Times New Roman" w:cs="Times New Roman"/>
        </w:rPr>
        <w:t xml:space="preserve">be </w:t>
      </w:r>
      <w:proofErr w:type="spellStart"/>
      <w:r w:rsidR="00C32BCA" w:rsidRPr="00705170">
        <w:rPr>
          <w:rFonts w:ascii="Times New Roman" w:hAnsi="Times New Roman" w:cs="Times New Roman"/>
        </w:rPr>
        <w:t>formed</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by</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a</w:t>
      </w:r>
      <w:r w:rsidRPr="00705170">
        <w:rPr>
          <w:rFonts w:ascii="Times New Roman" w:hAnsi="Times New Roman" w:cs="Times New Roman"/>
        </w:rPr>
        <w:t>ny</w:t>
      </w:r>
      <w:proofErr w:type="spellEnd"/>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contract</w:t>
      </w:r>
      <w:proofErr w:type="spellEnd"/>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contractual</w:t>
      </w:r>
      <w:proofErr w:type="spellEnd"/>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group</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the</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contract</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that</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the</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statute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particularly</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refers</w:t>
      </w:r>
      <w:proofErr w:type="spellEnd"/>
      <w:r w:rsidR="00C32BCA" w:rsidRPr="00705170">
        <w:rPr>
          <w:rFonts w:ascii="Times New Roman" w:hAnsi="Times New Roman" w:cs="Times New Roman"/>
        </w:rPr>
        <w:t xml:space="preserve"> is a</w:t>
      </w:r>
      <w:r w:rsidRPr="00705170">
        <w:rPr>
          <w:rFonts w:ascii="Times New Roman" w:hAnsi="Times New Roman" w:cs="Times New Roman"/>
        </w:rPr>
        <w:t xml:space="preserve"> </w:t>
      </w:r>
      <w:proofErr w:type="spellStart"/>
      <w:r w:rsidRPr="00705170">
        <w:rPr>
          <w:rFonts w:ascii="Times New Roman" w:hAnsi="Times New Roman" w:cs="Times New Roman"/>
        </w:rPr>
        <w:t>distinct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type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contract</w:t>
      </w:r>
      <w:proofErr w:type="spellEnd"/>
      <w:r w:rsidRPr="00705170">
        <w:rPr>
          <w:rFonts w:ascii="Times New Roman" w:hAnsi="Times New Roman" w:cs="Times New Roman"/>
        </w:rPr>
        <w:t xml:space="preserve"> </w:t>
      </w:r>
      <w:proofErr w:type="spellStart"/>
      <w:r w:rsidR="007E3866" w:rsidRPr="00705170">
        <w:rPr>
          <w:rFonts w:ascii="Times New Roman" w:hAnsi="Times New Roman" w:cs="Times New Roman"/>
        </w:rPr>
        <w:t>called</w:t>
      </w:r>
      <w:proofErr w:type="spellEnd"/>
      <w:r w:rsidR="007E3866" w:rsidRPr="00705170">
        <w:rPr>
          <w:rFonts w:ascii="Times New Roman" w:hAnsi="Times New Roman" w:cs="Times New Roman"/>
        </w:rPr>
        <w:t xml:space="preserve"> “</w:t>
      </w:r>
      <w:proofErr w:type="spellStart"/>
      <w:r w:rsidR="007E3866" w:rsidRPr="00705170">
        <w:rPr>
          <w:rFonts w:ascii="Times New Roman" w:hAnsi="Times New Roman" w:cs="Times New Roman"/>
        </w:rPr>
        <w:t>domination</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contract</w:t>
      </w:r>
      <w:proofErr w:type="spellEnd"/>
      <w:r w:rsidR="00C32BCA" w:rsidRPr="00705170">
        <w:rPr>
          <w:rFonts w:ascii="Times New Roman" w:hAnsi="Times New Roman" w:cs="Times New Roman"/>
        </w:rPr>
        <w:t>”</w:t>
      </w:r>
      <w:r w:rsidRPr="00705170">
        <w:rPr>
          <w:rStyle w:val="DipnotBavurusu"/>
          <w:rFonts w:ascii="Times New Roman" w:hAnsi="Times New Roman" w:cs="Times New Roman"/>
        </w:rPr>
        <w:t xml:space="preserve"> </w:t>
      </w:r>
      <w:r w:rsidRPr="00705170">
        <w:rPr>
          <w:rStyle w:val="DipnotBavurusu"/>
          <w:rFonts w:ascii="Times New Roman" w:hAnsi="Times New Roman" w:cs="Times New Roman"/>
        </w:rPr>
        <w:footnoteReference w:id="318"/>
      </w:r>
      <w:r w:rsidR="006E0C1D" w:rsidRPr="00705170">
        <w:rPr>
          <w:rFonts w:ascii="Times New Roman" w:hAnsi="Times New Roman" w:cs="Times New Roman"/>
        </w:rPr>
        <w:t xml:space="preserve">. </w:t>
      </w:r>
      <w:proofErr w:type="spellStart"/>
      <w:r w:rsidR="006E0C1D" w:rsidRPr="00705170">
        <w:rPr>
          <w:rFonts w:ascii="Times New Roman" w:hAnsi="Times New Roman" w:cs="Times New Roman"/>
        </w:rPr>
        <w:t>Although</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the</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validity</w:t>
      </w:r>
      <w:proofErr w:type="spellEnd"/>
      <w:r w:rsidR="00C32BCA" w:rsidRPr="00705170">
        <w:rPr>
          <w:rFonts w:ascii="Times New Roman" w:hAnsi="Times New Roman" w:cs="Times New Roman"/>
        </w:rPr>
        <w:t xml:space="preserve"> of </w:t>
      </w:r>
      <w:proofErr w:type="spellStart"/>
      <w:r w:rsidR="00C32BCA" w:rsidRPr="00705170">
        <w:rPr>
          <w:rFonts w:ascii="Times New Roman" w:hAnsi="Times New Roman" w:cs="Times New Roman"/>
        </w:rPr>
        <w:t>these</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contracts</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depend</w:t>
      </w:r>
      <w:proofErr w:type="spellEnd"/>
      <w:r w:rsidR="00C32BCA" w:rsidRPr="00705170">
        <w:rPr>
          <w:rFonts w:ascii="Times New Roman" w:hAnsi="Times New Roman" w:cs="Times New Roman"/>
        </w:rPr>
        <w:t xml:space="preserve"> on </w:t>
      </w:r>
      <w:proofErr w:type="spellStart"/>
      <w:r w:rsidR="000076F3" w:rsidRPr="00705170">
        <w:rPr>
          <w:rFonts w:ascii="Times New Roman" w:hAnsi="Times New Roman" w:cs="Times New Roman"/>
        </w:rPr>
        <w:t>its</w:t>
      </w:r>
      <w:proofErr w:type="spellEnd"/>
      <w:r w:rsidR="000076F3" w:rsidRPr="00705170">
        <w:rPr>
          <w:rFonts w:ascii="Times New Roman" w:hAnsi="Times New Roman" w:cs="Times New Roman"/>
        </w:rPr>
        <w:t xml:space="preserve"> </w:t>
      </w:r>
      <w:proofErr w:type="spellStart"/>
      <w:r w:rsidR="000076F3" w:rsidRPr="00705170">
        <w:rPr>
          <w:rFonts w:ascii="Times New Roman" w:hAnsi="Times New Roman" w:cs="Times New Roman"/>
        </w:rPr>
        <w:t>registration</w:t>
      </w:r>
      <w:proofErr w:type="spellEnd"/>
      <w:r w:rsidR="000076F3" w:rsidRPr="00705170">
        <w:rPr>
          <w:rFonts w:ascii="Times New Roman" w:hAnsi="Times New Roman" w:cs="Times New Roman"/>
        </w:rPr>
        <w:t xml:space="preserve"> </w:t>
      </w:r>
      <w:proofErr w:type="spellStart"/>
      <w:r w:rsidR="000076F3" w:rsidRPr="00705170">
        <w:rPr>
          <w:rFonts w:ascii="Times New Roman" w:hAnsi="Times New Roman" w:cs="Times New Roman"/>
        </w:rPr>
        <w:t>and</w:t>
      </w:r>
      <w:proofErr w:type="spellEnd"/>
      <w:r w:rsidR="000076F3" w:rsidRPr="00705170">
        <w:rPr>
          <w:rFonts w:ascii="Times New Roman" w:hAnsi="Times New Roman" w:cs="Times New Roman"/>
        </w:rPr>
        <w:t xml:space="preserve"> </w:t>
      </w:r>
      <w:proofErr w:type="spellStart"/>
      <w:r w:rsidR="000076F3" w:rsidRPr="00705170">
        <w:rPr>
          <w:rFonts w:ascii="Times New Roman" w:hAnsi="Times New Roman" w:cs="Times New Roman"/>
        </w:rPr>
        <w:t>publication</w:t>
      </w:r>
      <w:proofErr w:type="spellEnd"/>
      <w:r w:rsidR="00C32BCA" w:rsidRPr="00705170">
        <w:rPr>
          <w:rFonts w:ascii="Times New Roman" w:hAnsi="Times New Roman" w:cs="Times New Roman"/>
        </w:rPr>
        <w:t xml:space="preserve"> in </w:t>
      </w:r>
      <w:proofErr w:type="spellStart"/>
      <w:r w:rsidR="00C32BCA" w:rsidRPr="00705170">
        <w:rPr>
          <w:rFonts w:ascii="Times New Roman" w:hAnsi="Times New Roman" w:cs="Times New Roman"/>
        </w:rPr>
        <w:t>the</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trade</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registry</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failure</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to</w:t>
      </w:r>
      <w:proofErr w:type="spellEnd"/>
      <w:r w:rsidR="00C32BCA" w:rsidRPr="00705170">
        <w:rPr>
          <w:rFonts w:ascii="Times New Roman" w:hAnsi="Times New Roman" w:cs="Times New Roman"/>
        </w:rPr>
        <w:t xml:space="preserve"> do </w:t>
      </w:r>
      <w:proofErr w:type="spellStart"/>
      <w:r w:rsidR="00C32BCA" w:rsidRPr="00705170">
        <w:rPr>
          <w:rFonts w:ascii="Times New Roman" w:hAnsi="Times New Roman" w:cs="Times New Roman"/>
        </w:rPr>
        <w:t>so</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would</w:t>
      </w:r>
      <w:proofErr w:type="spellEnd"/>
      <w:r w:rsidR="00C32BCA" w:rsidRPr="00705170">
        <w:rPr>
          <w:rFonts w:ascii="Times New Roman" w:hAnsi="Times New Roman" w:cs="Times New Roman"/>
        </w:rPr>
        <w:t xml:space="preserve"> not </w:t>
      </w:r>
      <w:proofErr w:type="spellStart"/>
      <w:r w:rsidR="00C32BCA" w:rsidRPr="00705170">
        <w:rPr>
          <w:rFonts w:ascii="Times New Roman" w:hAnsi="Times New Roman" w:cs="Times New Roman"/>
        </w:rPr>
        <w:t>effect</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the</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application</w:t>
      </w:r>
      <w:proofErr w:type="spellEnd"/>
      <w:r w:rsidR="00C32BCA" w:rsidRPr="00705170">
        <w:rPr>
          <w:rFonts w:ascii="Times New Roman" w:hAnsi="Times New Roman" w:cs="Times New Roman"/>
        </w:rPr>
        <w:t xml:space="preserve"> of </w:t>
      </w:r>
      <w:proofErr w:type="spellStart"/>
      <w:r w:rsidR="00C32BCA" w:rsidRPr="00705170">
        <w:rPr>
          <w:rFonts w:ascii="Times New Roman" w:hAnsi="Times New Roman" w:cs="Times New Roman"/>
        </w:rPr>
        <w:t>the</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provisions</w:t>
      </w:r>
      <w:proofErr w:type="spellEnd"/>
      <w:r w:rsidR="00C32BCA" w:rsidRPr="00705170">
        <w:rPr>
          <w:rFonts w:ascii="Times New Roman" w:hAnsi="Times New Roman" w:cs="Times New Roman"/>
        </w:rPr>
        <w:t xml:space="preserve"> on </w:t>
      </w:r>
      <w:proofErr w:type="spellStart"/>
      <w:r w:rsidR="00C32BCA" w:rsidRPr="00705170">
        <w:rPr>
          <w:rFonts w:ascii="Times New Roman" w:hAnsi="Times New Roman" w:cs="Times New Roman"/>
        </w:rPr>
        <w:t>corporate</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groups</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to</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the</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particular</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relationship</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between</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the</w:t>
      </w:r>
      <w:proofErr w:type="spellEnd"/>
      <w:r w:rsidR="00C32BCA" w:rsidRPr="00705170">
        <w:rPr>
          <w:rFonts w:ascii="Times New Roman" w:hAnsi="Times New Roman" w:cs="Times New Roman"/>
        </w:rPr>
        <w:t xml:space="preserve"> </w:t>
      </w:r>
      <w:proofErr w:type="spellStart"/>
      <w:r w:rsidR="00C32BCA" w:rsidRPr="00705170">
        <w:rPr>
          <w:rFonts w:ascii="Times New Roman" w:hAnsi="Times New Roman" w:cs="Times New Roman"/>
        </w:rPr>
        <w:t>corporations</w:t>
      </w:r>
      <w:proofErr w:type="spellEnd"/>
      <w:r w:rsidRPr="00705170">
        <w:rPr>
          <w:rFonts w:ascii="Times New Roman" w:hAnsi="Times New Roman" w:cs="Times New Roman"/>
        </w:rPr>
        <w:t xml:space="preserve"> (TCC </w:t>
      </w:r>
      <w:proofErr w:type="spellStart"/>
      <w:r w:rsidRPr="00705170">
        <w:rPr>
          <w:rFonts w:ascii="Times New Roman" w:hAnsi="Times New Roman" w:cs="Times New Roman"/>
        </w:rPr>
        <w:t>Article</w:t>
      </w:r>
      <w:proofErr w:type="spellEnd"/>
      <w:r w:rsidRPr="00705170">
        <w:rPr>
          <w:rFonts w:ascii="Times New Roman" w:hAnsi="Times New Roman" w:cs="Times New Roman"/>
        </w:rPr>
        <w:t xml:space="preserve"> 198(3))</w:t>
      </w:r>
      <w:r w:rsidR="00C32BCA" w:rsidRPr="00705170">
        <w:rPr>
          <w:rFonts w:ascii="Times New Roman" w:hAnsi="Times New Roman" w:cs="Times New Roman"/>
        </w:rPr>
        <w:t>.</w:t>
      </w:r>
      <w:r w:rsidR="003920DD" w:rsidRPr="00705170">
        <w:rPr>
          <w:rFonts w:ascii="Times New Roman" w:hAnsi="Times New Roman" w:cs="Times New Roman"/>
        </w:rPr>
        <w:t xml:space="preserve"> </w:t>
      </w:r>
      <w:proofErr w:type="spellStart"/>
      <w:r w:rsidR="007E3866" w:rsidRPr="00705170">
        <w:rPr>
          <w:rFonts w:ascii="Times New Roman" w:hAnsi="Times New Roman" w:cs="Times New Roman"/>
        </w:rPr>
        <w:t>In</w:t>
      </w:r>
      <w:proofErr w:type="spellEnd"/>
      <w:r w:rsidR="007E3866" w:rsidRPr="00705170">
        <w:rPr>
          <w:rFonts w:ascii="Times New Roman" w:hAnsi="Times New Roman" w:cs="Times New Roman"/>
        </w:rPr>
        <w:t xml:space="preserve"> </w:t>
      </w:r>
      <w:proofErr w:type="spellStart"/>
      <w:r w:rsidR="007E3866" w:rsidRPr="00705170">
        <w:rPr>
          <w:rFonts w:ascii="Times New Roman" w:hAnsi="Times New Roman" w:cs="Times New Roman"/>
        </w:rPr>
        <w:t>domination</w:t>
      </w:r>
      <w:proofErr w:type="spellEnd"/>
      <w:r w:rsidR="006E0C1D" w:rsidRPr="00705170">
        <w:rPr>
          <w:rFonts w:ascii="Times New Roman" w:hAnsi="Times New Roman" w:cs="Times New Roman"/>
        </w:rPr>
        <w:t xml:space="preserve"> </w:t>
      </w:r>
      <w:proofErr w:type="spellStart"/>
      <w:r w:rsidR="006E0C1D" w:rsidRPr="00705170">
        <w:rPr>
          <w:rFonts w:ascii="Times New Roman" w:hAnsi="Times New Roman" w:cs="Times New Roman"/>
        </w:rPr>
        <w:t>contracts</w:t>
      </w:r>
      <w:proofErr w:type="spellEnd"/>
      <w:r w:rsidR="006E0C1D" w:rsidRPr="00705170">
        <w:rPr>
          <w:rFonts w:ascii="Times New Roman" w:hAnsi="Times New Roman" w:cs="Times New Roman"/>
        </w:rPr>
        <w:t xml:space="preserve">, </w:t>
      </w:r>
      <w:proofErr w:type="spellStart"/>
      <w:r w:rsidR="006E0C1D" w:rsidRPr="00705170">
        <w:rPr>
          <w:rFonts w:ascii="Times New Roman" w:hAnsi="Times New Roman" w:cs="Times New Roman"/>
        </w:rPr>
        <w:t>t</w:t>
      </w:r>
      <w:r w:rsidR="003920DD" w:rsidRPr="00705170">
        <w:rPr>
          <w:rFonts w:ascii="Times New Roman" w:hAnsi="Times New Roman" w:cs="Times New Roman"/>
        </w:rPr>
        <w:t>he</w:t>
      </w:r>
      <w:proofErr w:type="spellEnd"/>
      <w:r w:rsidR="003920DD" w:rsidRPr="00705170">
        <w:rPr>
          <w:rFonts w:ascii="Times New Roman" w:hAnsi="Times New Roman" w:cs="Times New Roman"/>
        </w:rPr>
        <w:t xml:space="preserve"> </w:t>
      </w:r>
      <w:proofErr w:type="gramStart"/>
      <w:r w:rsidR="003920DD" w:rsidRPr="00705170">
        <w:rPr>
          <w:rFonts w:ascii="Times New Roman" w:hAnsi="Times New Roman" w:cs="Times New Roman"/>
        </w:rPr>
        <w:t>dominant</w:t>
      </w:r>
      <w:proofErr w:type="gram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corporation</w:t>
      </w:r>
      <w:proofErr w:type="spellEnd"/>
      <w:r w:rsidR="003920DD" w:rsidRPr="00705170">
        <w:rPr>
          <w:rFonts w:ascii="Times New Roman" w:hAnsi="Times New Roman" w:cs="Times New Roman"/>
        </w:rPr>
        <w:t xml:space="preserve"> </w:t>
      </w:r>
      <w:proofErr w:type="spellStart"/>
      <w:r w:rsidR="006E0C1D" w:rsidRPr="00705170">
        <w:rPr>
          <w:rFonts w:ascii="Times New Roman" w:hAnsi="Times New Roman" w:cs="Times New Roman"/>
        </w:rPr>
        <w:t>acquires</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the</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right</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to</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direct</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the</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management</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and</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affairs</w:t>
      </w:r>
      <w:proofErr w:type="spellEnd"/>
      <w:r w:rsidR="003920DD" w:rsidRPr="00705170">
        <w:rPr>
          <w:rFonts w:ascii="Times New Roman" w:hAnsi="Times New Roman" w:cs="Times New Roman"/>
        </w:rPr>
        <w:t xml:space="preserve"> of </w:t>
      </w:r>
      <w:proofErr w:type="spellStart"/>
      <w:r w:rsidR="003920DD" w:rsidRPr="00705170">
        <w:rPr>
          <w:rFonts w:ascii="Times New Roman" w:hAnsi="Times New Roman" w:cs="Times New Roman"/>
        </w:rPr>
        <w:t>the</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subservient</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corporation</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and</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the</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subservient</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corporation</w:t>
      </w:r>
      <w:proofErr w:type="spellEnd"/>
      <w:r w:rsidR="003920DD" w:rsidRPr="00705170">
        <w:rPr>
          <w:rFonts w:ascii="Times New Roman" w:hAnsi="Times New Roman" w:cs="Times New Roman"/>
        </w:rPr>
        <w:t xml:space="preserve"> is </w:t>
      </w:r>
      <w:proofErr w:type="spellStart"/>
      <w:r w:rsidR="003920DD" w:rsidRPr="00705170">
        <w:rPr>
          <w:rFonts w:ascii="Times New Roman" w:hAnsi="Times New Roman" w:cs="Times New Roman"/>
        </w:rPr>
        <w:t>under</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the</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duty</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to</w:t>
      </w:r>
      <w:proofErr w:type="spellEnd"/>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ob</w:t>
      </w:r>
      <w:r w:rsidR="006E0C1D" w:rsidRPr="00705170">
        <w:rPr>
          <w:rFonts w:ascii="Times New Roman" w:hAnsi="Times New Roman" w:cs="Times New Roman"/>
        </w:rPr>
        <w:t>ey</w:t>
      </w:r>
      <w:proofErr w:type="spellEnd"/>
      <w:r w:rsidR="006E0C1D" w:rsidRPr="00705170">
        <w:rPr>
          <w:rFonts w:ascii="Times New Roman" w:hAnsi="Times New Roman" w:cs="Times New Roman"/>
        </w:rPr>
        <w:t xml:space="preserve"> </w:t>
      </w:r>
      <w:proofErr w:type="spellStart"/>
      <w:r w:rsidR="006E0C1D" w:rsidRPr="00705170">
        <w:rPr>
          <w:rFonts w:ascii="Times New Roman" w:hAnsi="Times New Roman" w:cs="Times New Roman"/>
        </w:rPr>
        <w:t>and</w:t>
      </w:r>
      <w:proofErr w:type="spellEnd"/>
      <w:r w:rsidR="006E0C1D" w:rsidRPr="00705170">
        <w:rPr>
          <w:rFonts w:ascii="Times New Roman" w:hAnsi="Times New Roman" w:cs="Times New Roman"/>
        </w:rPr>
        <w:t xml:space="preserve"> </w:t>
      </w:r>
      <w:proofErr w:type="spellStart"/>
      <w:r w:rsidR="006E0C1D" w:rsidRPr="00705170">
        <w:rPr>
          <w:rFonts w:ascii="Times New Roman" w:hAnsi="Times New Roman" w:cs="Times New Roman"/>
        </w:rPr>
        <w:t>implement</w:t>
      </w:r>
      <w:proofErr w:type="spellEnd"/>
      <w:r w:rsidR="006E0C1D" w:rsidRPr="00705170">
        <w:rPr>
          <w:rFonts w:ascii="Times New Roman" w:hAnsi="Times New Roman" w:cs="Times New Roman"/>
        </w:rPr>
        <w:t xml:space="preserve"> </w:t>
      </w:r>
      <w:proofErr w:type="spellStart"/>
      <w:r w:rsidR="006E0C1D" w:rsidRPr="00705170">
        <w:rPr>
          <w:rFonts w:ascii="Times New Roman" w:hAnsi="Times New Roman" w:cs="Times New Roman"/>
        </w:rPr>
        <w:t>the</w:t>
      </w:r>
      <w:proofErr w:type="spellEnd"/>
      <w:r w:rsidR="006E0C1D" w:rsidRPr="00705170">
        <w:rPr>
          <w:rFonts w:ascii="Times New Roman" w:hAnsi="Times New Roman" w:cs="Times New Roman"/>
        </w:rPr>
        <w:t xml:space="preserve"> </w:t>
      </w:r>
      <w:proofErr w:type="spellStart"/>
      <w:r w:rsidR="006E0C1D" w:rsidRPr="00705170">
        <w:rPr>
          <w:rFonts w:ascii="Times New Roman" w:hAnsi="Times New Roman" w:cs="Times New Roman"/>
        </w:rPr>
        <w:t>orders</w:t>
      </w:r>
      <w:proofErr w:type="spellEnd"/>
      <w:r w:rsidR="006E0C1D" w:rsidRPr="00705170">
        <w:rPr>
          <w:rFonts w:ascii="Times New Roman" w:hAnsi="Times New Roman" w:cs="Times New Roman"/>
        </w:rPr>
        <w:t xml:space="preserve"> of</w:t>
      </w:r>
      <w:r w:rsidR="003920DD" w:rsidRPr="00705170">
        <w:rPr>
          <w:rFonts w:ascii="Times New Roman" w:hAnsi="Times New Roman" w:cs="Times New Roman"/>
        </w:rPr>
        <w:t xml:space="preserve"> </w:t>
      </w:r>
      <w:proofErr w:type="spellStart"/>
      <w:r w:rsidR="003920DD" w:rsidRPr="00705170">
        <w:rPr>
          <w:rFonts w:ascii="Times New Roman" w:hAnsi="Times New Roman" w:cs="Times New Roman"/>
        </w:rPr>
        <w:t>the</w:t>
      </w:r>
      <w:proofErr w:type="spellEnd"/>
      <w:r w:rsidR="003920DD" w:rsidRPr="00705170">
        <w:rPr>
          <w:rFonts w:ascii="Times New Roman" w:hAnsi="Times New Roman" w:cs="Times New Roman"/>
        </w:rPr>
        <w:t xml:space="preserve"> dominant </w:t>
      </w:r>
      <w:proofErr w:type="spellStart"/>
      <w:r w:rsidR="003920DD" w:rsidRPr="00705170">
        <w:rPr>
          <w:rFonts w:ascii="Times New Roman" w:hAnsi="Times New Roman" w:cs="Times New Roman"/>
        </w:rPr>
        <w:t>corporation</w:t>
      </w:r>
      <w:proofErr w:type="spellEnd"/>
      <w:r w:rsidR="003920DD" w:rsidRPr="00705170">
        <w:rPr>
          <w:rStyle w:val="DipnotBavurusu"/>
          <w:rFonts w:ascii="Times New Roman" w:hAnsi="Times New Roman" w:cs="Times New Roman"/>
        </w:rPr>
        <w:footnoteReference w:id="319"/>
      </w:r>
      <w:r w:rsidR="003920DD" w:rsidRPr="00705170">
        <w:rPr>
          <w:rFonts w:ascii="Times New Roman" w:hAnsi="Times New Roman" w:cs="Times New Roman"/>
        </w:rPr>
        <w:t>.</w:t>
      </w:r>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The</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contract</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itself</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provides</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the</w:t>
      </w:r>
      <w:proofErr w:type="spellEnd"/>
      <w:r w:rsidR="00FC2701" w:rsidRPr="00705170">
        <w:rPr>
          <w:rFonts w:ascii="Times New Roman" w:hAnsi="Times New Roman" w:cs="Times New Roman"/>
        </w:rPr>
        <w:t xml:space="preserve"> </w:t>
      </w:r>
      <w:proofErr w:type="gramStart"/>
      <w:r w:rsidR="00FC2701" w:rsidRPr="00705170">
        <w:rPr>
          <w:rFonts w:ascii="Times New Roman" w:hAnsi="Times New Roman" w:cs="Times New Roman"/>
        </w:rPr>
        <w:t>dominant</w:t>
      </w:r>
      <w:proofErr w:type="gram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party</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the</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power</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to</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use</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the</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statutory</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powers</w:t>
      </w:r>
      <w:proofErr w:type="spellEnd"/>
      <w:r w:rsidR="00FC2701" w:rsidRPr="00705170">
        <w:rPr>
          <w:rFonts w:ascii="Times New Roman" w:hAnsi="Times New Roman" w:cs="Times New Roman"/>
        </w:rPr>
        <w:t xml:space="preserve"> of </w:t>
      </w:r>
      <w:proofErr w:type="spellStart"/>
      <w:r w:rsidR="00FC2701" w:rsidRPr="00705170">
        <w:rPr>
          <w:rFonts w:ascii="Times New Roman" w:hAnsi="Times New Roman" w:cs="Times New Roman"/>
        </w:rPr>
        <w:t>the</w:t>
      </w:r>
      <w:proofErr w:type="spellEnd"/>
      <w:r w:rsidR="00FC2701" w:rsidRPr="00705170">
        <w:rPr>
          <w:rFonts w:ascii="Times New Roman" w:hAnsi="Times New Roman" w:cs="Times New Roman"/>
        </w:rPr>
        <w:t xml:space="preserve"> board of </w:t>
      </w:r>
      <w:proofErr w:type="spellStart"/>
      <w:r w:rsidR="00FC2701" w:rsidRPr="00705170">
        <w:rPr>
          <w:rFonts w:ascii="Times New Roman" w:hAnsi="Times New Roman" w:cs="Times New Roman"/>
        </w:rPr>
        <w:t>directors</w:t>
      </w:r>
      <w:proofErr w:type="spellEnd"/>
      <w:r w:rsidR="00FC2701" w:rsidRPr="00705170">
        <w:rPr>
          <w:rFonts w:ascii="Times New Roman" w:hAnsi="Times New Roman" w:cs="Times New Roman"/>
        </w:rPr>
        <w:t xml:space="preserve"> of </w:t>
      </w:r>
      <w:proofErr w:type="spellStart"/>
      <w:r w:rsidR="00FC2701" w:rsidRPr="00705170">
        <w:rPr>
          <w:rFonts w:ascii="Times New Roman" w:hAnsi="Times New Roman" w:cs="Times New Roman"/>
        </w:rPr>
        <w:t>the</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lastRenderedPageBreak/>
        <w:t>subservient</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corporation</w:t>
      </w:r>
      <w:proofErr w:type="spellEnd"/>
      <w:r w:rsidR="004B223F" w:rsidRPr="00705170">
        <w:rPr>
          <w:rStyle w:val="DipnotBavurusu"/>
          <w:rFonts w:ascii="Times New Roman" w:hAnsi="Times New Roman" w:cs="Times New Roman"/>
        </w:rPr>
        <w:footnoteReference w:id="320"/>
      </w:r>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however</w:t>
      </w:r>
      <w:proofErr w:type="spellEnd"/>
      <w:r w:rsidR="00FC2701" w:rsidRPr="00705170">
        <w:rPr>
          <w:rFonts w:ascii="Times New Roman" w:hAnsi="Times New Roman" w:cs="Times New Roman"/>
        </w:rPr>
        <w:t xml:space="preserve">, it </w:t>
      </w:r>
      <w:proofErr w:type="spellStart"/>
      <w:r w:rsidR="00FC2701" w:rsidRPr="00705170">
        <w:rPr>
          <w:rFonts w:ascii="Times New Roman" w:hAnsi="Times New Roman" w:cs="Times New Roman"/>
        </w:rPr>
        <w:t>does</w:t>
      </w:r>
      <w:proofErr w:type="spellEnd"/>
      <w:r w:rsidR="00FC2701" w:rsidRPr="00705170">
        <w:rPr>
          <w:rFonts w:ascii="Times New Roman" w:hAnsi="Times New Roman" w:cs="Times New Roman"/>
        </w:rPr>
        <w:t xml:space="preserve"> not </w:t>
      </w:r>
      <w:proofErr w:type="spellStart"/>
      <w:r w:rsidR="00FC2701" w:rsidRPr="00705170">
        <w:rPr>
          <w:rFonts w:ascii="Times New Roman" w:hAnsi="Times New Roman" w:cs="Times New Roman"/>
        </w:rPr>
        <w:t>effect</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the</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powers</w:t>
      </w:r>
      <w:proofErr w:type="spellEnd"/>
      <w:r w:rsidR="00FC2701" w:rsidRPr="00705170">
        <w:rPr>
          <w:rFonts w:ascii="Times New Roman" w:hAnsi="Times New Roman" w:cs="Times New Roman"/>
        </w:rPr>
        <w:t xml:space="preserve"> of </w:t>
      </w:r>
      <w:proofErr w:type="spellStart"/>
      <w:r w:rsidR="00FC2701" w:rsidRPr="00705170">
        <w:rPr>
          <w:rFonts w:ascii="Times New Roman" w:hAnsi="Times New Roman" w:cs="Times New Roman"/>
        </w:rPr>
        <w:t>the</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shareholders</w:t>
      </w:r>
      <w:proofErr w:type="spellEnd"/>
      <w:r w:rsidR="00FC2701" w:rsidRPr="00705170">
        <w:rPr>
          <w:rFonts w:ascii="Times New Roman" w:hAnsi="Times New Roman" w:cs="Times New Roman"/>
        </w:rPr>
        <w:t xml:space="preserve"> (</w:t>
      </w:r>
      <w:proofErr w:type="spellStart"/>
      <w:r w:rsidR="00FC2701" w:rsidRPr="00705170">
        <w:rPr>
          <w:rFonts w:ascii="Times New Roman" w:hAnsi="Times New Roman" w:cs="Times New Roman"/>
        </w:rPr>
        <w:t>i.e</w:t>
      </w:r>
      <w:proofErr w:type="spellEnd"/>
      <w:r w:rsidR="00FC2701" w:rsidRPr="00705170">
        <w:rPr>
          <w:rFonts w:ascii="Times New Roman" w:hAnsi="Times New Roman" w:cs="Times New Roman"/>
        </w:rPr>
        <w:t xml:space="preserve">. general </w:t>
      </w:r>
      <w:proofErr w:type="spellStart"/>
      <w:r w:rsidR="00FC2701" w:rsidRPr="00705170">
        <w:rPr>
          <w:rFonts w:ascii="Times New Roman" w:hAnsi="Times New Roman" w:cs="Times New Roman"/>
        </w:rPr>
        <w:t>assembly</w:t>
      </w:r>
      <w:proofErr w:type="spellEnd"/>
      <w:r w:rsidR="00FC2701" w:rsidRPr="00705170">
        <w:rPr>
          <w:rFonts w:ascii="Times New Roman" w:hAnsi="Times New Roman" w:cs="Times New Roman"/>
        </w:rPr>
        <w:t>)</w:t>
      </w:r>
      <w:r w:rsidR="00FC2701" w:rsidRPr="00705170">
        <w:rPr>
          <w:rStyle w:val="DipnotBavurusu"/>
          <w:rFonts w:ascii="Times New Roman" w:hAnsi="Times New Roman" w:cs="Times New Roman"/>
        </w:rPr>
        <w:footnoteReference w:id="321"/>
      </w:r>
      <w:r w:rsidR="00FC2701" w:rsidRPr="00705170">
        <w:rPr>
          <w:rFonts w:ascii="Times New Roman" w:hAnsi="Times New Roman" w:cs="Times New Roman"/>
        </w:rPr>
        <w:t>.</w:t>
      </w:r>
      <w:r w:rsidR="00D90019" w:rsidRPr="00705170">
        <w:rPr>
          <w:rFonts w:ascii="Times New Roman" w:hAnsi="Times New Roman" w:cs="Times New Roman"/>
        </w:rPr>
        <w:t xml:space="preserve"> </w:t>
      </w:r>
      <w:proofErr w:type="spellStart"/>
      <w:r w:rsidR="00D90019" w:rsidRPr="00705170">
        <w:rPr>
          <w:rFonts w:ascii="Times New Roman" w:hAnsi="Times New Roman" w:cs="Times New Roman"/>
        </w:rPr>
        <w:t>Likewise</w:t>
      </w:r>
      <w:proofErr w:type="spellEnd"/>
      <w:r w:rsidR="00D90019" w:rsidRPr="00705170">
        <w:rPr>
          <w:rFonts w:ascii="Times New Roman" w:hAnsi="Times New Roman" w:cs="Times New Roman"/>
        </w:rPr>
        <w:t xml:space="preserve">, </w:t>
      </w:r>
      <w:proofErr w:type="spellStart"/>
      <w:r w:rsidR="00D90019" w:rsidRPr="00705170">
        <w:rPr>
          <w:rFonts w:ascii="Times New Roman" w:hAnsi="Times New Roman" w:cs="Times New Roman"/>
        </w:rPr>
        <w:t>the</w:t>
      </w:r>
      <w:proofErr w:type="spellEnd"/>
      <w:r w:rsidR="00D90019" w:rsidRPr="00705170">
        <w:rPr>
          <w:rFonts w:ascii="Times New Roman" w:hAnsi="Times New Roman" w:cs="Times New Roman"/>
        </w:rPr>
        <w:t xml:space="preserve"> </w:t>
      </w:r>
      <w:proofErr w:type="spellStart"/>
      <w:r w:rsidR="00D90019" w:rsidRPr="00705170">
        <w:rPr>
          <w:rFonts w:ascii="Times New Roman" w:hAnsi="Times New Roman" w:cs="Times New Roman"/>
        </w:rPr>
        <w:t>statutory</w:t>
      </w:r>
      <w:proofErr w:type="spellEnd"/>
      <w:r w:rsidR="00D90019" w:rsidRPr="00705170">
        <w:rPr>
          <w:rFonts w:ascii="Times New Roman" w:hAnsi="Times New Roman" w:cs="Times New Roman"/>
        </w:rPr>
        <w:t xml:space="preserve"> </w:t>
      </w:r>
      <w:proofErr w:type="spellStart"/>
      <w:r w:rsidR="00D90019" w:rsidRPr="00705170">
        <w:rPr>
          <w:rFonts w:ascii="Times New Roman" w:hAnsi="Times New Roman" w:cs="Times New Roman"/>
        </w:rPr>
        <w:t>authority</w:t>
      </w:r>
      <w:proofErr w:type="spellEnd"/>
      <w:r w:rsidR="00D90019" w:rsidRPr="00705170">
        <w:rPr>
          <w:rFonts w:ascii="Times New Roman" w:hAnsi="Times New Roman" w:cs="Times New Roman"/>
        </w:rPr>
        <w:t xml:space="preserve"> </w:t>
      </w:r>
      <w:proofErr w:type="spellStart"/>
      <w:r w:rsidR="00D90019" w:rsidRPr="00705170">
        <w:rPr>
          <w:rFonts w:ascii="Times New Roman" w:hAnsi="Times New Roman" w:cs="Times New Roman"/>
        </w:rPr>
        <w:t>to</w:t>
      </w:r>
      <w:proofErr w:type="spellEnd"/>
      <w:r w:rsidR="00D90019" w:rsidRPr="00705170">
        <w:rPr>
          <w:rFonts w:ascii="Times New Roman" w:hAnsi="Times New Roman" w:cs="Times New Roman"/>
        </w:rPr>
        <w:t xml:space="preserve"> </w:t>
      </w:r>
      <w:proofErr w:type="spellStart"/>
      <w:r w:rsidR="00D90019" w:rsidRPr="00705170">
        <w:rPr>
          <w:rFonts w:ascii="Times New Roman" w:hAnsi="Times New Roman" w:cs="Times New Roman"/>
        </w:rPr>
        <w:t>sign</w:t>
      </w:r>
      <w:proofErr w:type="spellEnd"/>
      <w:r w:rsidR="00D90019" w:rsidRPr="00705170">
        <w:rPr>
          <w:rFonts w:ascii="Times New Roman" w:hAnsi="Times New Roman" w:cs="Times New Roman"/>
        </w:rPr>
        <w:t xml:space="preserve"> </w:t>
      </w:r>
      <w:proofErr w:type="spellStart"/>
      <w:r w:rsidR="00D90019" w:rsidRPr="00705170">
        <w:rPr>
          <w:rFonts w:ascii="Times New Roman" w:hAnsi="Times New Roman" w:cs="Times New Roman"/>
        </w:rPr>
        <w:t>these</w:t>
      </w:r>
      <w:proofErr w:type="spellEnd"/>
      <w:r w:rsidR="00D90019" w:rsidRPr="00705170">
        <w:rPr>
          <w:rFonts w:ascii="Times New Roman" w:hAnsi="Times New Roman" w:cs="Times New Roman"/>
        </w:rPr>
        <w:t xml:space="preserve"> </w:t>
      </w:r>
      <w:proofErr w:type="spellStart"/>
      <w:r w:rsidR="00D90019" w:rsidRPr="00705170">
        <w:rPr>
          <w:rFonts w:ascii="Times New Roman" w:hAnsi="Times New Roman" w:cs="Times New Roman"/>
        </w:rPr>
        <w:t>contracts</w:t>
      </w:r>
      <w:proofErr w:type="spellEnd"/>
      <w:r w:rsidR="00D90019" w:rsidRPr="00705170">
        <w:rPr>
          <w:rFonts w:ascii="Times New Roman" w:hAnsi="Times New Roman" w:cs="Times New Roman"/>
        </w:rPr>
        <w:t xml:space="preserve"> is </w:t>
      </w:r>
      <w:proofErr w:type="spellStart"/>
      <w:r w:rsidR="00D90019" w:rsidRPr="00705170">
        <w:rPr>
          <w:rFonts w:ascii="Times New Roman" w:hAnsi="Times New Roman" w:cs="Times New Roman"/>
        </w:rPr>
        <w:t>given</w:t>
      </w:r>
      <w:proofErr w:type="spellEnd"/>
      <w:r w:rsidR="00D90019" w:rsidRPr="00705170">
        <w:rPr>
          <w:rFonts w:ascii="Times New Roman" w:hAnsi="Times New Roman" w:cs="Times New Roman"/>
        </w:rPr>
        <w:t xml:space="preserve"> </w:t>
      </w:r>
      <w:proofErr w:type="spellStart"/>
      <w:r w:rsidR="00D90019" w:rsidRPr="00705170">
        <w:rPr>
          <w:rFonts w:ascii="Times New Roman" w:hAnsi="Times New Roman" w:cs="Times New Roman"/>
        </w:rPr>
        <w:t>to</w:t>
      </w:r>
      <w:proofErr w:type="spellEnd"/>
      <w:r w:rsidR="00D90019" w:rsidRPr="00705170">
        <w:rPr>
          <w:rFonts w:ascii="Times New Roman" w:hAnsi="Times New Roman" w:cs="Times New Roman"/>
        </w:rPr>
        <w:t xml:space="preserve"> </w:t>
      </w:r>
      <w:proofErr w:type="spellStart"/>
      <w:r w:rsidR="00D90019" w:rsidRPr="00705170">
        <w:rPr>
          <w:rFonts w:ascii="Times New Roman" w:hAnsi="Times New Roman" w:cs="Times New Roman"/>
        </w:rPr>
        <w:t>the</w:t>
      </w:r>
      <w:proofErr w:type="spellEnd"/>
      <w:r w:rsidR="00D90019" w:rsidRPr="00705170">
        <w:rPr>
          <w:rFonts w:ascii="Times New Roman" w:hAnsi="Times New Roman" w:cs="Times New Roman"/>
        </w:rPr>
        <w:t xml:space="preserve"> board of </w:t>
      </w:r>
      <w:proofErr w:type="spellStart"/>
      <w:r w:rsidR="00D90019" w:rsidRPr="00705170">
        <w:rPr>
          <w:rFonts w:ascii="Times New Roman" w:hAnsi="Times New Roman" w:cs="Times New Roman"/>
        </w:rPr>
        <w:t>directors</w:t>
      </w:r>
      <w:proofErr w:type="spellEnd"/>
      <w:r w:rsidR="00D90019" w:rsidRPr="00705170">
        <w:rPr>
          <w:rFonts w:ascii="Times New Roman" w:hAnsi="Times New Roman" w:cs="Times New Roman"/>
        </w:rPr>
        <w:t xml:space="preserve"> of </w:t>
      </w:r>
      <w:proofErr w:type="spellStart"/>
      <w:r w:rsidR="00D90019" w:rsidRPr="00705170">
        <w:rPr>
          <w:rFonts w:ascii="Times New Roman" w:hAnsi="Times New Roman" w:cs="Times New Roman"/>
        </w:rPr>
        <w:t>the</w:t>
      </w:r>
      <w:proofErr w:type="spellEnd"/>
      <w:r w:rsidR="00D90019" w:rsidRPr="00705170">
        <w:rPr>
          <w:rFonts w:ascii="Times New Roman" w:hAnsi="Times New Roman" w:cs="Times New Roman"/>
        </w:rPr>
        <w:t xml:space="preserve"> </w:t>
      </w:r>
      <w:proofErr w:type="spellStart"/>
      <w:r w:rsidR="00D90019" w:rsidRPr="00705170">
        <w:rPr>
          <w:rFonts w:ascii="Times New Roman" w:hAnsi="Times New Roman" w:cs="Times New Roman"/>
        </w:rPr>
        <w:t>both</w:t>
      </w:r>
      <w:proofErr w:type="spellEnd"/>
      <w:r w:rsidR="00D90019" w:rsidRPr="00705170">
        <w:rPr>
          <w:rFonts w:ascii="Times New Roman" w:hAnsi="Times New Roman" w:cs="Times New Roman"/>
        </w:rPr>
        <w:t xml:space="preserve"> </w:t>
      </w:r>
      <w:proofErr w:type="spellStart"/>
      <w:r w:rsidR="00D90019" w:rsidRPr="00705170">
        <w:rPr>
          <w:rFonts w:ascii="Times New Roman" w:hAnsi="Times New Roman" w:cs="Times New Roman"/>
        </w:rPr>
        <w:t>parties</w:t>
      </w:r>
      <w:proofErr w:type="spellEnd"/>
      <w:r w:rsidR="00D90019" w:rsidRPr="00705170">
        <w:rPr>
          <w:rStyle w:val="DipnotBavurusu"/>
          <w:rFonts w:ascii="Times New Roman" w:hAnsi="Times New Roman" w:cs="Times New Roman"/>
        </w:rPr>
        <w:footnoteReference w:id="322"/>
      </w:r>
      <w:r w:rsidR="0014109C" w:rsidRPr="00705170">
        <w:rPr>
          <w:rFonts w:ascii="Times New Roman" w:hAnsi="Times New Roman" w:cs="Times New Roman"/>
        </w:rPr>
        <w:t xml:space="preserve">, </w:t>
      </w:r>
      <w:proofErr w:type="spellStart"/>
      <w:r w:rsidR="00C613F0" w:rsidRPr="00705170">
        <w:rPr>
          <w:rFonts w:ascii="Times New Roman" w:hAnsi="Times New Roman" w:cs="Times New Roman"/>
        </w:rPr>
        <w:t>however</w:t>
      </w:r>
      <w:proofErr w:type="spellEnd"/>
      <w:r w:rsidR="00FA35B8" w:rsidRPr="00705170">
        <w:rPr>
          <w:rFonts w:ascii="Times New Roman" w:hAnsi="Times New Roman" w:cs="Times New Roman"/>
        </w:rPr>
        <w:t xml:space="preserve"> </w:t>
      </w:r>
      <w:proofErr w:type="spellStart"/>
      <w:r w:rsidR="00FA35B8" w:rsidRPr="00705170">
        <w:rPr>
          <w:rFonts w:ascii="Times New Roman" w:hAnsi="Times New Roman" w:cs="Times New Roman"/>
        </w:rPr>
        <w:t>the</w:t>
      </w:r>
      <w:proofErr w:type="spellEnd"/>
      <w:r w:rsidR="00C613F0" w:rsidRPr="00705170">
        <w:rPr>
          <w:rFonts w:ascii="Times New Roman" w:hAnsi="Times New Roman" w:cs="Times New Roman"/>
        </w:rPr>
        <w:t xml:space="preserve"> </w:t>
      </w:r>
      <w:proofErr w:type="spellStart"/>
      <w:r w:rsidR="00F42E0A" w:rsidRPr="00705170">
        <w:rPr>
          <w:rFonts w:ascii="Times New Roman" w:hAnsi="Times New Roman" w:cs="Times New Roman"/>
        </w:rPr>
        <w:t>secondary</w:t>
      </w:r>
      <w:proofErr w:type="spellEnd"/>
      <w:r w:rsidR="00F42E0A" w:rsidRPr="00705170">
        <w:rPr>
          <w:rFonts w:ascii="Times New Roman" w:hAnsi="Times New Roman" w:cs="Times New Roman"/>
        </w:rPr>
        <w:t xml:space="preserve"> </w:t>
      </w:r>
      <w:proofErr w:type="spellStart"/>
      <w:r w:rsidR="00F42E0A" w:rsidRPr="00705170">
        <w:rPr>
          <w:rFonts w:ascii="Times New Roman" w:hAnsi="Times New Roman" w:cs="Times New Roman"/>
        </w:rPr>
        <w:t>legislation</w:t>
      </w:r>
      <w:r w:rsidR="0014109C" w:rsidRPr="00705170">
        <w:rPr>
          <w:rFonts w:ascii="Times New Roman" w:hAnsi="Times New Roman" w:cs="Times New Roman"/>
        </w:rPr>
        <w:t>s</w:t>
      </w:r>
      <w:proofErr w:type="spellEnd"/>
      <w:r w:rsidR="00F42E0A" w:rsidRPr="00705170">
        <w:rPr>
          <w:rFonts w:ascii="Times New Roman" w:hAnsi="Times New Roman" w:cs="Times New Roman"/>
        </w:rPr>
        <w:t xml:space="preserve"> </w:t>
      </w:r>
      <w:proofErr w:type="spellStart"/>
      <w:r w:rsidR="00F42E0A" w:rsidRPr="00705170">
        <w:rPr>
          <w:rFonts w:ascii="Times New Roman" w:hAnsi="Times New Roman" w:cs="Times New Roman"/>
        </w:rPr>
        <w:t>nevertheless</w:t>
      </w:r>
      <w:proofErr w:type="spellEnd"/>
      <w:r w:rsidR="00F42E0A" w:rsidRPr="00705170">
        <w:rPr>
          <w:rFonts w:ascii="Times New Roman" w:hAnsi="Times New Roman" w:cs="Times New Roman"/>
        </w:rPr>
        <w:t xml:space="preserve"> </w:t>
      </w:r>
      <w:proofErr w:type="spellStart"/>
      <w:r w:rsidR="00F42E0A" w:rsidRPr="00705170">
        <w:rPr>
          <w:rFonts w:ascii="Times New Roman" w:hAnsi="Times New Roman" w:cs="Times New Roman"/>
        </w:rPr>
        <w:t>requires</w:t>
      </w:r>
      <w:proofErr w:type="spellEnd"/>
      <w:r w:rsidR="00F42E0A" w:rsidRPr="00705170">
        <w:rPr>
          <w:rFonts w:ascii="Times New Roman" w:hAnsi="Times New Roman" w:cs="Times New Roman"/>
        </w:rPr>
        <w:t xml:space="preserve"> </w:t>
      </w:r>
      <w:proofErr w:type="spellStart"/>
      <w:r w:rsidR="00F42E0A" w:rsidRPr="00705170">
        <w:rPr>
          <w:rFonts w:ascii="Times New Roman" w:hAnsi="Times New Roman" w:cs="Times New Roman"/>
        </w:rPr>
        <w:t>the</w:t>
      </w:r>
      <w:proofErr w:type="spellEnd"/>
      <w:r w:rsidR="00F42E0A" w:rsidRPr="00705170">
        <w:rPr>
          <w:rFonts w:ascii="Times New Roman" w:hAnsi="Times New Roman" w:cs="Times New Roman"/>
        </w:rPr>
        <w:t xml:space="preserve"> </w:t>
      </w:r>
      <w:proofErr w:type="spellStart"/>
      <w:r w:rsidR="00F42E0A" w:rsidRPr="00705170">
        <w:rPr>
          <w:rFonts w:ascii="Times New Roman" w:hAnsi="Times New Roman" w:cs="Times New Roman"/>
        </w:rPr>
        <w:t>approval</w:t>
      </w:r>
      <w:proofErr w:type="spellEnd"/>
      <w:r w:rsidR="00F42E0A" w:rsidRPr="00705170">
        <w:rPr>
          <w:rFonts w:ascii="Times New Roman" w:hAnsi="Times New Roman" w:cs="Times New Roman"/>
        </w:rPr>
        <w:t xml:space="preserve"> of </w:t>
      </w:r>
      <w:proofErr w:type="spellStart"/>
      <w:r w:rsidR="0014109C" w:rsidRPr="00705170">
        <w:rPr>
          <w:rFonts w:ascii="Times New Roman" w:hAnsi="Times New Roman" w:cs="Times New Roman"/>
        </w:rPr>
        <w:t>both</w:t>
      </w:r>
      <w:proofErr w:type="spellEnd"/>
      <w:r w:rsidR="00F42E0A" w:rsidRPr="00705170">
        <w:rPr>
          <w:rFonts w:ascii="Times New Roman" w:hAnsi="Times New Roman" w:cs="Times New Roman"/>
        </w:rPr>
        <w:t xml:space="preserve"> </w:t>
      </w:r>
      <w:proofErr w:type="spellStart"/>
      <w:r w:rsidR="00F42E0A" w:rsidRPr="00705170">
        <w:rPr>
          <w:rFonts w:ascii="Times New Roman" w:hAnsi="Times New Roman" w:cs="Times New Roman"/>
        </w:rPr>
        <w:t>corporations</w:t>
      </w:r>
      <w:proofErr w:type="spellEnd"/>
      <w:r w:rsidR="0014109C" w:rsidRPr="00705170">
        <w:rPr>
          <w:rFonts w:ascii="Times New Roman" w:hAnsi="Times New Roman" w:cs="Times New Roman"/>
        </w:rPr>
        <w:t>’</w:t>
      </w:r>
      <w:r w:rsidR="00F42E0A" w:rsidRPr="00705170">
        <w:rPr>
          <w:rFonts w:ascii="Times New Roman" w:hAnsi="Times New Roman" w:cs="Times New Roman"/>
        </w:rPr>
        <w:t xml:space="preserve"> </w:t>
      </w:r>
      <w:proofErr w:type="spellStart"/>
      <w:r w:rsidR="00F42E0A" w:rsidRPr="00705170">
        <w:rPr>
          <w:rFonts w:ascii="Times New Roman" w:hAnsi="Times New Roman" w:cs="Times New Roman"/>
        </w:rPr>
        <w:t>shareholder</w:t>
      </w:r>
      <w:r w:rsidR="0014109C" w:rsidRPr="00705170">
        <w:rPr>
          <w:rFonts w:ascii="Times New Roman" w:hAnsi="Times New Roman" w:cs="Times New Roman"/>
        </w:rPr>
        <w:t>s</w:t>
      </w:r>
      <w:proofErr w:type="spellEnd"/>
      <w:r w:rsidR="00F42E0A" w:rsidRPr="00705170">
        <w:rPr>
          <w:rFonts w:ascii="Times New Roman" w:hAnsi="Times New Roman" w:cs="Times New Roman"/>
        </w:rPr>
        <w:t xml:space="preserve"> </w:t>
      </w:r>
      <w:proofErr w:type="spellStart"/>
      <w:r w:rsidR="00F42E0A" w:rsidRPr="00705170">
        <w:rPr>
          <w:rFonts w:ascii="Times New Roman" w:hAnsi="Times New Roman" w:cs="Times New Roman"/>
        </w:rPr>
        <w:t>for</w:t>
      </w:r>
      <w:proofErr w:type="spellEnd"/>
      <w:r w:rsidR="00F42E0A" w:rsidRPr="00705170">
        <w:rPr>
          <w:rFonts w:ascii="Times New Roman" w:hAnsi="Times New Roman" w:cs="Times New Roman"/>
        </w:rPr>
        <w:t xml:space="preserve"> </w:t>
      </w:r>
      <w:proofErr w:type="spellStart"/>
      <w:r w:rsidR="00F42E0A" w:rsidRPr="00705170">
        <w:rPr>
          <w:rFonts w:ascii="Times New Roman" w:hAnsi="Times New Roman" w:cs="Times New Roman"/>
        </w:rPr>
        <w:t>validity</w:t>
      </w:r>
      <w:proofErr w:type="spellEnd"/>
      <w:r w:rsidR="00F42E0A" w:rsidRPr="00705170">
        <w:rPr>
          <w:rStyle w:val="DipnotBavurusu"/>
          <w:rFonts w:ascii="Times New Roman" w:hAnsi="Times New Roman" w:cs="Times New Roman"/>
        </w:rPr>
        <w:footnoteReference w:id="323"/>
      </w:r>
      <w:r w:rsidR="00F42E0A" w:rsidRPr="00705170">
        <w:rPr>
          <w:rFonts w:ascii="Times New Roman" w:hAnsi="Times New Roman" w:cs="Times New Roman"/>
        </w:rPr>
        <w:t>.</w:t>
      </w:r>
      <w:r w:rsidR="00C613F0" w:rsidRPr="00705170">
        <w:rPr>
          <w:rFonts w:ascii="Times New Roman" w:hAnsi="Times New Roman" w:cs="Times New Roman"/>
        </w:rPr>
        <w:t xml:space="preserve"> </w:t>
      </w:r>
      <w:proofErr w:type="spellStart"/>
      <w:r w:rsidR="00FA35B8" w:rsidRPr="00705170">
        <w:rPr>
          <w:rFonts w:ascii="Times New Roman" w:hAnsi="Times New Roman" w:cs="Times New Roman"/>
        </w:rPr>
        <w:t>Note</w:t>
      </w:r>
      <w:proofErr w:type="spellEnd"/>
      <w:r w:rsidR="00FA35B8" w:rsidRPr="00705170">
        <w:rPr>
          <w:rFonts w:ascii="Times New Roman" w:hAnsi="Times New Roman" w:cs="Times New Roman"/>
        </w:rPr>
        <w:t xml:space="preserve"> </w:t>
      </w:r>
      <w:proofErr w:type="spellStart"/>
      <w:r w:rsidR="00FA35B8" w:rsidRPr="00705170">
        <w:rPr>
          <w:rFonts w:ascii="Times New Roman" w:hAnsi="Times New Roman" w:cs="Times New Roman"/>
        </w:rPr>
        <w:t>that</w:t>
      </w:r>
      <w:proofErr w:type="spellEnd"/>
      <w:r w:rsidR="00FA35B8" w:rsidRPr="00705170">
        <w:rPr>
          <w:rFonts w:ascii="Times New Roman" w:hAnsi="Times New Roman" w:cs="Times New Roman"/>
        </w:rPr>
        <w:t xml:space="preserve"> </w:t>
      </w:r>
      <w:proofErr w:type="spellStart"/>
      <w:r w:rsidR="00FA35B8" w:rsidRPr="00705170">
        <w:rPr>
          <w:rFonts w:ascii="Times New Roman" w:hAnsi="Times New Roman" w:cs="Times New Roman"/>
        </w:rPr>
        <w:t>i</w:t>
      </w:r>
      <w:r w:rsidR="00932325" w:rsidRPr="00705170">
        <w:rPr>
          <w:rFonts w:ascii="Times New Roman" w:hAnsi="Times New Roman" w:cs="Times New Roman"/>
        </w:rPr>
        <w:t>f</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the</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the</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subservient</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party</w:t>
      </w:r>
      <w:proofErr w:type="spellEnd"/>
      <w:r w:rsidR="00932325" w:rsidRPr="00705170">
        <w:rPr>
          <w:rFonts w:ascii="Times New Roman" w:hAnsi="Times New Roman" w:cs="Times New Roman"/>
        </w:rPr>
        <w:t xml:space="preserve"> of </w:t>
      </w:r>
      <w:proofErr w:type="spellStart"/>
      <w:r w:rsidR="00932325" w:rsidRPr="00705170">
        <w:rPr>
          <w:rFonts w:ascii="Times New Roman" w:hAnsi="Times New Roman" w:cs="Times New Roman"/>
        </w:rPr>
        <w:t>the</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domination</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contract</w:t>
      </w:r>
      <w:proofErr w:type="spellEnd"/>
      <w:r w:rsidR="00932325" w:rsidRPr="00705170">
        <w:rPr>
          <w:rFonts w:ascii="Times New Roman" w:hAnsi="Times New Roman" w:cs="Times New Roman"/>
        </w:rPr>
        <w:t xml:space="preserve"> is a </w:t>
      </w:r>
      <w:proofErr w:type="spellStart"/>
      <w:r w:rsidR="00932325" w:rsidRPr="00705170">
        <w:rPr>
          <w:rFonts w:ascii="Times New Roman" w:hAnsi="Times New Roman" w:cs="Times New Roman"/>
        </w:rPr>
        <w:t>publicly</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traded</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corporation</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this</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contract</w:t>
      </w:r>
      <w:proofErr w:type="spellEnd"/>
      <w:r w:rsidR="00932325" w:rsidRPr="00705170">
        <w:rPr>
          <w:rFonts w:ascii="Times New Roman" w:hAnsi="Times New Roman" w:cs="Times New Roman"/>
        </w:rPr>
        <w:t xml:space="preserve"> can be </w:t>
      </w:r>
      <w:proofErr w:type="spellStart"/>
      <w:r w:rsidR="00932325" w:rsidRPr="00705170">
        <w:rPr>
          <w:rFonts w:ascii="Times New Roman" w:hAnsi="Times New Roman" w:cs="Times New Roman"/>
        </w:rPr>
        <w:t>accepted</w:t>
      </w:r>
      <w:proofErr w:type="spellEnd"/>
      <w:r w:rsidR="00932325" w:rsidRPr="00705170">
        <w:rPr>
          <w:rFonts w:ascii="Times New Roman" w:hAnsi="Times New Roman" w:cs="Times New Roman"/>
        </w:rPr>
        <w:t xml:space="preserve"> as a </w:t>
      </w:r>
      <w:proofErr w:type="spellStart"/>
      <w:r w:rsidR="00932325" w:rsidRPr="00705170">
        <w:rPr>
          <w:rFonts w:ascii="Times New Roman" w:hAnsi="Times New Roman" w:cs="Times New Roman"/>
        </w:rPr>
        <w:t>fundemental</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corporate</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change</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and</w:t>
      </w:r>
      <w:proofErr w:type="spellEnd"/>
      <w:r w:rsidR="00932325" w:rsidRPr="00705170">
        <w:rPr>
          <w:rFonts w:ascii="Times New Roman" w:hAnsi="Times New Roman" w:cs="Times New Roman"/>
        </w:rPr>
        <w:t xml:space="preserve"> a </w:t>
      </w:r>
      <w:proofErr w:type="spellStart"/>
      <w:r w:rsidR="00932325" w:rsidRPr="00705170">
        <w:rPr>
          <w:rFonts w:ascii="Times New Roman" w:hAnsi="Times New Roman" w:cs="Times New Roman"/>
        </w:rPr>
        <w:t>shareholder</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approval</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might</w:t>
      </w:r>
      <w:proofErr w:type="spellEnd"/>
      <w:r w:rsidR="00932325" w:rsidRPr="00705170">
        <w:rPr>
          <w:rFonts w:ascii="Times New Roman" w:hAnsi="Times New Roman" w:cs="Times New Roman"/>
        </w:rPr>
        <w:t xml:space="preserve"> be </w:t>
      </w:r>
      <w:proofErr w:type="spellStart"/>
      <w:r w:rsidR="00932325" w:rsidRPr="00705170">
        <w:rPr>
          <w:rFonts w:ascii="Times New Roman" w:hAnsi="Times New Roman" w:cs="Times New Roman"/>
        </w:rPr>
        <w:t>necessary</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under</w:t>
      </w:r>
      <w:proofErr w:type="spellEnd"/>
      <w:r w:rsidR="00932325" w:rsidRPr="00705170">
        <w:rPr>
          <w:rFonts w:ascii="Times New Roman" w:hAnsi="Times New Roman" w:cs="Times New Roman"/>
        </w:rPr>
        <w:t xml:space="preserve"> </w:t>
      </w:r>
      <w:proofErr w:type="spellStart"/>
      <w:r w:rsidR="00932325" w:rsidRPr="00705170">
        <w:rPr>
          <w:rFonts w:ascii="Times New Roman" w:hAnsi="Times New Roman" w:cs="Times New Roman"/>
        </w:rPr>
        <w:t>Article</w:t>
      </w:r>
      <w:proofErr w:type="spellEnd"/>
      <w:r w:rsidR="00932325" w:rsidRPr="00705170">
        <w:rPr>
          <w:rFonts w:ascii="Times New Roman" w:hAnsi="Times New Roman" w:cs="Times New Roman"/>
        </w:rPr>
        <w:t xml:space="preserve"> of </w:t>
      </w:r>
      <w:proofErr w:type="spellStart"/>
      <w:r w:rsidR="00932325" w:rsidRPr="00705170">
        <w:rPr>
          <w:rFonts w:ascii="Times New Roman" w:hAnsi="Times New Roman" w:cs="Times New Roman"/>
        </w:rPr>
        <w:t>the</w:t>
      </w:r>
      <w:proofErr w:type="spellEnd"/>
      <w:r w:rsidR="00932325" w:rsidRPr="00705170">
        <w:rPr>
          <w:rFonts w:ascii="Times New Roman" w:hAnsi="Times New Roman" w:cs="Times New Roman"/>
        </w:rPr>
        <w:t xml:space="preserve"> 23 CML.</w:t>
      </w:r>
      <w:r w:rsidR="00080221" w:rsidRPr="00705170">
        <w:rPr>
          <w:rFonts w:ascii="Times New Roman" w:hAnsi="Times New Roman" w:cs="Times New Roman"/>
        </w:rPr>
        <w:t xml:space="preserve"> </w:t>
      </w:r>
    </w:p>
    <w:p w14:paraId="75D88793" w14:textId="11F85ACF" w:rsidR="00AB2080" w:rsidRPr="00705170" w:rsidRDefault="00906C50" w:rsidP="007A56BD">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Although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commentaries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outline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scope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first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types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groups</w:t>
      </w:r>
      <w:proofErr w:type="spellEnd"/>
      <w:r w:rsidRPr="00705170">
        <w:rPr>
          <w:rFonts w:ascii="Times New Roman" w:hAnsi="Times New Roman" w:cs="Times New Roman"/>
        </w:rPr>
        <w:t>, a</w:t>
      </w:r>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corporate</w:t>
      </w:r>
      <w:proofErr w:type="spellEnd"/>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group</w:t>
      </w:r>
      <w:proofErr w:type="spellEnd"/>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that</w:t>
      </w:r>
      <w:proofErr w:type="spellEnd"/>
      <w:r w:rsidR="006C0E8B" w:rsidRPr="00705170">
        <w:rPr>
          <w:rFonts w:ascii="Times New Roman" w:hAnsi="Times New Roman" w:cs="Times New Roman"/>
        </w:rPr>
        <w:t xml:space="preserve"> can be </w:t>
      </w:r>
      <w:proofErr w:type="spellStart"/>
      <w:r w:rsidR="006C0E8B" w:rsidRPr="00705170">
        <w:rPr>
          <w:rFonts w:ascii="Times New Roman" w:hAnsi="Times New Roman" w:cs="Times New Roman"/>
        </w:rPr>
        <w:t>classified</w:t>
      </w:r>
      <w:proofErr w:type="spellEnd"/>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under</w:t>
      </w:r>
      <w:proofErr w:type="spellEnd"/>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the</w:t>
      </w:r>
      <w:proofErr w:type="spellEnd"/>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other</w:t>
      </w:r>
      <w:proofErr w:type="spellEnd"/>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group</w:t>
      </w:r>
      <w:proofErr w:type="spellEnd"/>
      <w:r w:rsidR="006C0E8B" w:rsidRPr="00705170">
        <w:rPr>
          <w:rFonts w:ascii="Times New Roman" w:hAnsi="Times New Roman" w:cs="Times New Roman"/>
        </w:rPr>
        <w:t xml:space="preserve">” </w:t>
      </w:r>
      <w:proofErr w:type="spellStart"/>
      <w:r w:rsidR="006C0E8B" w:rsidRPr="00705170">
        <w:rPr>
          <w:rFonts w:ascii="Times New Roman" w:hAnsi="Times New Roman" w:cs="Times New Roman"/>
        </w:rPr>
        <w:t>class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definite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definition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opined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whoever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exerts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control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actually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deemed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parent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controlled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Style w:val="DipnotBavurusu"/>
          <w:rFonts w:ascii="Times New Roman" w:hAnsi="Times New Roman" w:cs="Times New Roman"/>
        </w:rPr>
        <w:footnoteReference w:id="324"/>
      </w:r>
      <w:r w:rsidRPr="00705170">
        <w:rPr>
          <w:rFonts w:ascii="Times New Roman" w:hAnsi="Times New Roman" w:cs="Times New Roman"/>
        </w:rPr>
        <w:t>.</w:t>
      </w:r>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Some</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other</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commentators</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state</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that</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the</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type</w:t>
      </w:r>
      <w:proofErr w:type="spellEnd"/>
      <w:r w:rsidR="00F764C9" w:rsidRPr="00705170">
        <w:rPr>
          <w:rFonts w:ascii="Times New Roman" w:hAnsi="Times New Roman" w:cs="Times New Roman"/>
        </w:rPr>
        <w:t xml:space="preserve"> of </w:t>
      </w:r>
      <w:proofErr w:type="spellStart"/>
      <w:r w:rsidR="00F764C9" w:rsidRPr="00705170">
        <w:rPr>
          <w:rFonts w:ascii="Times New Roman" w:hAnsi="Times New Roman" w:cs="Times New Roman"/>
        </w:rPr>
        <w:t>control</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necessary</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for</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the</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establishment</w:t>
      </w:r>
      <w:proofErr w:type="spellEnd"/>
      <w:r w:rsidR="00F764C9" w:rsidRPr="00705170">
        <w:rPr>
          <w:rFonts w:ascii="Times New Roman" w:hAnsi="Times New Roman" w:cs="Times New Roman"/>
        </w:rPr>
        <w:t xml:space="preserve"> of </w:t>
      </w:r>
      <w:proofErr w:type="spellStart"/>
      <w:r w:rsidR="00F764C9" w:rsidRPr="00705170">
        <w:rPr>
          <w:rFonts w:ascii="Times New Roman" w:hAnsi="Times New Roman" w:cs="Times New Roman"/>
        </w:rPr>
        <w:t>these</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groups</w:t>
      </w:r>
      <w:proofErr w:type="spellEnd"/>
      <w:r w:rsidR="00F764C9" w:rsidRPr="00705170">
        <w:rPr>
          <w:rFonts w:ascii="Times New Roman" w:hAnsi="Times New Roman" w:cs="Times New Roman"/>
        </w:rPr>
        <w:t xml:space="preserve"> is </w:t>
      </w:r>
      <w:proofErr w:type="spellStart"/>
      <w:r w:rsidR="00F764C9" w:rsidRPr="00705170">
        <w:rPr>
          <w:rFonts w:ascii="Times New Roman" w:hAnsi="Times New Roman" w:cs="Times New Roman"/>
        </w:rPr>
        <w:t>obtained</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through</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voting</w:t>
      </w:r>
      <w:proofErr w:type="spellEnd"/>
      <w:r w:rsidR="00F764C9" w:rsidRPr="00705170">
        <w:rPr>
          <w:rFonts w:ascii="Times New Roman" w:hAnsi="Times New Roman" w:cs="Times New Roman"/>
        </w:rPr>
        <w:t xml:space="preserve"> </w:t>
      </w:r>
      <w:proofErr w:type="spellStart"/>
      <w:r w:rsidR="00F764C9" w:rsidRPr="00705170">
        <w:rPr>
          <w:rFonts w:ascii="Times New Roman" w:hAnsi="Times New Roman" w:cs="Times New Roman"/>
        </w:rPr>
        <w:t>agreements</w:t>
      </w:r>
      <w:proofErr w:type="spellEnd"/>
      <w:r w:rsidR="00F764C9" w:rsidRPr="00705170">
        <w:rPr>
          <w:rFonts w:ascii="Times New Roman" w:hAnsi="Times New Roman" w:cs="Times New Roman"/>
        </w:rPr>
        <w:t>”</w:t>
      </w:r>
      <w:r w:rsidR="00F764C9" w:rsidRPr="00705170">
        <w:rPr>
          <w:rStyle w:val="DipnotBavurusu"/>
          <w:rFonts w:ascii="Times New Roman" w:hAnsi="Times New Roman" w:cs="Times New Roman"/>
        </w:rPr>
        <w:footnoteReference w:id="325"/>
      </w:r>
      <w:r w:rsidR="00F764C9" w:rsidRPr="00705170">
        <w:rPr>
          <w:rFonts w:ascii="Times New Roman" w:hAnsi="Times New Roman" w:cs="Times New Roman"/>
        </w:rPr>
        <w:t>.</w:t>
      </w:r>
      <w:r w:rsidR="0071384B" w:rsidRPr="00705170">
        <w:rPr>
          <w:rFonts w:ascii="Times New Roman" w:hAnsi="Times New Roman" w:cs="Times New Roman"/>
        </w:rPr>
        <w:t xml:space="preserve"> </w:t>
      </w:r>
      <w:proofErr w:type="spellStart"/>
      <w:r w:rsidR="0071384B" w:rsidRPr="00705170">
        <w:rPr>
          <w:rFonts w:ascii="Times New Roman" w:hAnsi="Times New Roman" w:cs="Times New Roman"/>
        </w:rPr>
        <w:t>According</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to</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the</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Official</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Comment</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to</w:t>
      </w:r>
      <w:proofErr w:type="spellEnd"/>
      <w:r w:rsidR="00106E10" w:rsidRPr="00705170">
        <w:rPr>
          <w:rFonts w:ascii="Times New Roman" w:hAnsi="Times New Roman" w:cs="Times New Roman"/>
        </w:rPr>
        <w:t xml:space="preserve"> TCC</w:t>
      </w:r>
      <w:r w:rsidR="00B6798B" w:rsidRPr="00705170">
        <w:rPr>
          <w:rFonts w:ascii="Times New Roman" w:hAnsi="Times New Roman" w:cs="Times New Roman"/>
        </w:rPr>
        <w:t>;</w:t>
      </w:r>
      <w:r w:rsidR="0071384B" w:rsidRPr="00705170">
        <w:rPr>
          <w:rFonts w:ascii="Times New Roman" w:hAnsi="Times New Roman" w:cs="Times New Roman"/>
        </w:rPr>
        <w:t xml:space="preserve"> </w:t>
      </w:r>
      <w:proofErr w:type="spellStart"/>
      <w:r w:rsidR="0071384B" w:rsidRPr="00705170">
        <w:rPr>
          <w:rFonts w:ascii="Times New Roman" w:hAnsi="Times New Roman" w:cs="Times New Roman"/>
        </w:rPr>
        <w:t>mergers</w:t>
      </w:r>
      <w:proofErr w:type="spellEnd"/>
      <w:r w:rsidR="00106E10" w:rsidRPr="00705170">
        <w:rPr>
          <w:rFonts w:ascii="Times New Roman" w:hAnsi="Times New Roman" w:cs="Times New Roman"/>
        </w:rPr>
        <w:t xml:space="preserve">, </w:t>
      </w:r>
      <w:proofErr w:type="spellStart"/>
      <w:r w:rsidR="00106E10" w:rsidRPr="00705170">
        <w:rPr>
          <w:rFonts w:ascii="Times New Roman" w:hAnsi="Times New Roman" w:cs="Times New Roman"/>
        </w:rPr>
        <w:t>divisions</w:t>
      </w:r>
      <w:proofErr w:type="spellEnd"/>
      <w:r w:rsidR="0071384B" w:rsidRPr="00705170">
        <w:rPr>
          <w:rFonts w:ascii="Times New Roman" w:hAnsi="Times New Roman" w:cs="Times New Roman"/>
        </w:rPr>
        <w:t xml:space="preserve"> </w:t>
      </w:r>
      <w:proofErr w:type="spellStart"/>
      <w:r w:rsidR="0071384B" w:rsidRPr="00705170">
        <w:rPr>
          <w:rFonts w:ascii="Times New Roman" w:hAnsi="Times New Roman" w:cs="Times New Roman"/>
        </w:rPr>
        <w:t>and</w:t>
      </w:r>
      <w:proofErr w:type="spellEnd"/>
      <w:r w:rsidR="0071384B" w:rsidRPr="00705170">
        <w:rPr>
          <w:rFonts w:ascii="Times New Roman" w:hAnsi="Times New Roman" w:cs="Times New Roman"/>
        </w:rPr>
        <w:t xml:space="preserve"> </w:t>
      </w:r>
      <w:proofErr w:type="spellStart"/>
      <w:r w:rsidR="0071384B" w:rsidRPr="00705170">
        <w:rPr>
          <w:rFonts w:ascii="Times New Roman" w:hAnsi="Times New Roman" w:cs="Times New Roman"/>
        </w:rPr>
        <w:t>share</w:t>
      </w:r>
      <w:proofErr w:type="spellEnd"/>
      <w:r w:rsidR="0071384B" w:rsidRPr="00705170">
        <w:rPr>
          <w:rFonts w:ascii="Times New Roman" w:hAnsi="Times New Roman" w:cs="Times New Roman"/>
        </w:rPr>
        <w:t xml:space="preserve"> </w:t>
      </w:r>
      <w:proofErr w:type="spellStart"/>
      <w:r w:rsidR="0071384B" w:rsidRPr="00705170">
        <w:rPr>
          <w:rFonts w:ascii="Times New Roman" w:hAnsi="Times New Roman" w:cs="Times New Roman"/>
        </w:rPr>
        <w:t>acqusitions</w:t>
      </w:r>
      <w:proofErr w:type="spellEnd"/>
      <w:r w:rsidR="0071384B" w:rsidRPr="00705170">
        <w:rPr>
          <w:rFonts w:ascii="Times New Roman" w:hAnsi="Times New Roman" w:cs="Times New Roman"/>
        </w:rPr>
        <w:t xml:space="preserve"> can </w:t>
      </w:r>
      <w:proofErr w:type="spellStart"/>
      <w:r w:rsidR="0071384B" w:rsidRPr="00705170">
        <w:rPr>
          <w:rFonts w:ascii="Times New Roman" w:hAnsi="Times New Roman" w:cs="Times New Roman"/>
        </w:rPr>
        <w:t>also</w:t>
      </w:r>
      <w:proofErr w:type="spellEnd"/>
      <w:r w:rsidR="0071384B" w:rsidRPr="00705170">
        <w:rPr>
          <w:rFonts w:ascii="Times New Roman" w:hAnsi="Times New Roman" w:cs="Times New Roman"/>
        </w:rPr>
        <w:t xml:space="preserve"> be </w:t>
      </w:r>
      <w:proofErr w:type="spellStart"/>
      <w:r w:rsidR="0071384B" w:rsidRPr="00705170">
        <w:rPr>
          <w:rFonts w:ascii="Times New Roman" w:hAnsi="Times New Roman" w:cs="Times New Roman"/>
        </w:rPr>
        <w:t>evaluated</w:t>
      </w:r>
      <w:proofErr w:type="spellEnd"/>
      <w:r w:rsidR="0071384B" w:rsidRPr="00705170">
        <w:rPr>
          <w:rFonts w:ascii="Times New Roman" w:hAnsi="Times New Roman" w:cs="Times New Roman"/>
        </w:rPr>
        <w:t xml:space="preserve"> </w:t>
      </w:r>
      <w:proofErr w:type="spellStart"/>
      <w:r w:rsidR="0071384B" w:rsidRPr="00705170">
        <w:rPr>
          <w:rFonts w:ascii="Times New Roman" w:hAnsi="Times New Roman" w:cs="Times New Roman"/>
        </w:rPr>
        <w:t>under</w:t>
      </w:r>
      <w:proofErr w:type="spellEnd"/>
      <w:r w:rsidR="0071384B" w:rsidRPr="00705170">
        <w:rPr>
          <w:rFonts w:ascii="Times New Roman" w:hAnsi="Times New Roman" w:cs="Times New Roman"/>
        </w:rPr>
        <w:t xml:space="preserve"> </w:t>
      </w:r>
      <w:proofErr w:type="spellStart"/>
      <w:r w:rsidR="0071384B" w:rsidRPr="00705170">
        <w:rPr>
          <w:rFonts w:ascii="Times New Roman" w:hAnsi="Times New Roman" w:cs="Times New Roman"/>
        </w:rPr>
        <w:t>this</w:t>
      </w:r>
      <w:proofErr w:type="spellEnd"/>
      <w:r w:rsidR="0071384B" w:rsidRPr="00705170">
        <w:rPr>
          <w:rFonts w:ascii="Times New Roman" w:hAnsi="Times New Roman" w:cs="Times New Roman"/>
        </w:rPr>
        <w:t xml:space="preserve"> </w:t>
      </w:r>
      <w:proofErr w:type="spellStart"/>
      <w:r w:rsidR="0071384B" w:rsidRPr="00705170">
        <w:rPr>
          <w:rFonts w:ascii="Times New Roman" w:hAnsi="Times New Roman" w:cs="Times New Roman"/>
        </w:rPr>
        <w:t>classification</w:t>
      </w:r>
      <w:proofErr w:type="spellEnd"/>
      <w:r w:rsidR="0071384B" w:rsidRPr="00705170">
        <w:rPr>
          <w:rStyle w:val="DipnotBavurusu"/>
          <w:rFonts w:ascii="Times New Roman" w:hAnsi="Times New Roman" w:cs="Times New Roman"/>
        </w:rPr>
        <w:footnoteReference w:id="326"/>
      </w:r>
      <w:r w:rsidR="0071384B" w:rsidRPr="00705170">
        <w:rPr>
          <w:rFonts w:ascii="Times New Roman" w:hAnsi="Times New Roman" w:cs="Times New Roman"/>
        </w:rPr>
        <w:t>.</w:t>
      </w:r>
    </w:p>
    <w:p w14:paraId="04EFA38D" w14:textId="559327C4" w:rsidR="00E05463" w:rsidRPr="00705170" w:rsidRDefault="00E369AA" w:rsidP="00C32BCA">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According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groups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three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situations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entity’s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liability</w:t>
      </w:r>
      <w:proofErr w:type="spellEnd"/>
      <w:r w:rsidRPr="00705170">
        <w:rPr>
          <w:rFonts w:ascii="Times New Roman" w:hAnsi="Times New Roman" w:cs="Times New Roman"/>
        </w:rPr>
        <w:t xml:space="preserve">: (1) </w:t>
      </w:r>
      <w:proofErr w:type="spellStart"/>
      <w:r w:rsidRPr="00705170">
        <w:rPr>
          <w:rFonts w:ascii="Times New Roman" w:hAnsi="Times New Roman" w:cs="Times New Roman"/>
        </w:rPr>
        <w:t>Intrusion</w:t>
      </w:r>
      <w:proofErr w:type="spellEnd"/>
      <w:r w:rsidRPr="00705170">
        <w:rPr>
          <w:rFonts w:ascii="Times New Roman" w:hAnsi="Times New Roman" w:cs="Times New Roman"/>
        </w:rPr>
        <w:t xml:space="preserve"> </w:t>
      </w:r>
      <w:r w:rsidR="00830A5D" w:rsidRPr="00705170">
        <w:rPr>
          <w:rFonts w:ascii="Times New Roman" w:hAnsi="Times New Roman" w:cs="Times New Roman"/>
        </w:rPr>
        <w:t xml:space="preserve">in </w:t>
      </w:r>
      <w:proofErr w:type="spellStart"/>
      <w:r w:rsidR="00830A5D" w:rsidRPr="00705170">
        <w:rPr>
          <w:rFonts w:ascii="Times New Roman" w:hAnsi="Times New Roman" w:cs="Times New Roman"/>
        </w:rPr>
        <w:t>subsidiary’s</w:t>
      </w:r>
      <w:proofErr w:type="spellEnd"/>
      <w:r w:rsidR="00830A5D" w:rsidRPr="00705170">
        <w:rPr>
          <w:rFonts w:ascii="Times New Roman" w:hAnsi="Times New Roman" w:cs="Times New Roman"/>
        </w:rPr>
        <w:t xml:space="preserve"> </w:t>
      </w:r>
      <w:proofErr w:type="spellStart"/>
      <w:r w:rsidR="00830A5D" w:rsidRPr="00705170">
        <w:rPr>
          <w:rFonts w:ascii="Times New Roman" w:hAnsi="Times New Roman" w:cs="Times New Roman"/>
        </w:rPr>
        <w:t>management</w:t>
      </w:r>
      <w:proofErr w:type="spellEnd"/>
      <w:r w:rsidR="00830A5D" w:rsidRPr="00705170">
        <w:rPr>
          <w:rFonts w:ascii="Times New Roman" w:hAnsi="Times New Roman" w:cs="Times New Roman"/>
        </w:rPr>
        <w:t xml:space="preserve"> </w:t>
      </w:r>
      <w:r w:rsidR="00610DB8" w:rsidRPr="00705170">
        <w:rPr>
          <w:rFonts w:ascii="Times New Roman" w:hAnsi="Times New Roman" w:cs="Times New Roman"/>
        </w:rPr>
        <w:t xml:space="preserve">(TCC </w:t>
      </w:r>
      <w:proofErr w:type="spellStart"/>
      <w:r w:rsidR="00610DB8" w:rsidRPr="00705170">
        <w:rPr>
          <w:rFonts w:ascii="Times New Roman" w:hAnsi="Times New Roman" w:cs="Times New Roman"/>
        </w:rPr>
        <w:t>Article</w:t>
      </w:r>
      <w:proofErr w:type="spellEnd"/>
      <w:r w:rsidR="00610DB8" w:rsidRPr="00705170">
        <w:rPr>
          <w:rFonts w:ascii="Times New Roman" w:hAnsi="Times New Roman" w:cs="Times New Roman"/>
        </w:rPr>
        <w:t xml:space="preserve"> 202(1)), (2) </w:t>
      </w:r>
      <w:r w:rsidR="00BB3859" w:rsidRPr="00705170">
        <w:rPr>
          <w:rFonts w:ascii="Times New Roman" w:hAnsi="Times New Roman" w:cs="Times New Roman"/>
        </w:rPr>
        <w:lastRenderedPageBreak/>
        <w:t xml:space="preserve">general </w:t>
      </w:r>
      <w:proofErr w:type="spellStart"/>
      <w:r w:rsidR="00BB3859" w:rsidRPr="00705170">
        <w:rPr>
          <w:rFonts w:ascii="Times New Roman" w:hAnsi="Times New Roman" w:cs="Times New Roman"/>
        </w:rPr>
        <w:t>a</w:t>
      </w:r>
      <w:r w:rsidR="00830A5D" w:rsidRPr="00705170">
        <w:rPr>
          <w:rFonts w:ascii="Times New Roman" w:hAnsi="Times New Roman" w:cs="Times New Roman"/>
        </w:rPr>
        <w:t>ssembly</w:t>
      </w:r>
      <w:proofErr w:type="spellEnd"/>
      <w:r w:rsidR="00830A5D" w:rsidRPr="00705170">
        <w:rPr>
          <w:rFonts w:ascii="Times New Roman" w:hAnsi="Times New Roman" w:cs="Times New Roman"/>
        </w:rPr>
        <w:t xml:space="preserve"> </w:t>
      </w:r>
      <w:proofErr w:type="spellStart"/>
      <w:r w:rsidR="00830A5D" w:rsidRPr="00705170">
        <w:rPr>
          <w:rFonts w:ascii="Times New Roman" w:hAnsi="Times New Roman" w:cs="Times New Roman"/>
        </w:rPr>
        <w:t>resolution</w:t>
      </w:r>
      <w:r w:rsidR="00BB3859" w:rsidRPr="00705170">
        <w:rPr>
          <w:rFonts w:ascii="Times New Roman" w:hAnsi="Times New Roman" w:cs="Times New Roman"/>
        </w:rPr>
        <w:t>s</w:t>
      </w:r>
      <w:proofErr w:type="spellEnd"/>
      <w:r w:rsidR="00830A5D" w:rsidRPr="00705170">
        <w:rPr>
          <w:rFonts w:ascii="Times New Roman" w:hAnsi="Times New Roman" w:cs="Times New Roman"/>
        </w:rPr>
        <w:t xml:space="preserve"> </w:t>
      </w:r>
      <w:proofErr w:type="spellStart"/>
      <w:r w:rsidR="00830A5D" w:rsidRPr="00705170">
        <w:rPr>
          <w:rFonts w:ascii="Times New Roman" w:hAnsi="Times New Roman" w:cs="Times New Roman"/>
        </w:rPr>
        <w:t>violating</w:t>
      </w:r>
      <w:proofErr w:type="spellEnd"/>
      <w:r w:rsidR="00830A5D" w:rsidRPr="00705170">
        <w:rPr>
          <w:rFonts w:ascii="Times New Roman" w:hAnsi="Times New Roman" w:cs="Times New Roman"/>
        </w:rPr>
        <w:t xml:space="preserve"> </w:t>
      </w:r>
      <w:proofErr w:type="spellStart"/>
      <w:r w:rsidR="00830A5D" w:rsidRPr="00705170">
        <w:rPr>
          <w:rFonts w:ascii="Times New Roman" w:hAnsi="Times New Roman" w:cs="Times New Roman"/>
        </w:rPr>
        <w:t>subsidiary’s</w:t>
      </w:r>
      <w:proofErr w:type="spellEnd"/>
      <w:r w:rsidR="00830A5D" w:rsidRPr="00705170">
        <w:rPr>
          <w:rFonts w:ascii="Times New Roman" w:hAnsi="Times New Roman" w:cs="Times New Roman"/>
        </w:rPr>
        <w:t xml:space="preserve"> </w:t>
      </w:r>
      <w:proofErr w:type="spellStart"/>
      <w:r w:rsidR="00830A5D" w:rsidRPr="00705170">
        <w:rPr>
          <w:rFonts w:ascii="Times New Roman" w:hAnsi="Times New Roman" w:cs="Times New Roman"/>
        </w:rPr>
        <w:t>interests</w:t>
      </w:r>
      <w:proofErr w:type="spellEnd"/>
      <w:r w:rsidR="00830A5D" w:rsidRPr="00705170">
        <w:rPr>
          <w:rFonts w:ascii="Times New Roman" w:hAnsi="Times New Roman" w:cs="Times New Roman"/>
        </w:rPr>
        <w:t xml:space="preserve"> </w:t>
      </w:r>
      <w:r w:rsidR="00610DB8" w:rsidRPr="00705170">
        <w:rPr>
          <w:rFonts w:ascii="Times New Roman" w:hAnsi="Times New Roman" w:cs="Times New Roman"/>
        </w:rPr>
        <w:t xml:space="preserve">(TCC </w:t>
      </w:r>
      <w:proofErr w:type="spellStart"/>
      <w:r w:rsidR="00610DB8" w:rsidRPr="00705170">
        <w:rPr>
          <w:rFonts w:ascii="Times New Roman" w:hAnsi="Times New Roman" w:cs="Times New Roman"/>
        </w:rPr>
        <w:t>Article</w:t>
      </w:r>
      <w:proofErr w:type="spellEnd"/>
      <w:r w:rsidR="00610DB8" w:rsidRPr="00705170">
        <w:rPr>
          <w:rFonts w:ascii="Times New Roman" w:hAnsi="Times New Roman" w:cs="Times New Roman"/>
        </w:rPr>
        <w:t xml:space="preserve"> 202(2)) </w:t>
      </w:r>
      <w:proofErr w:type="spellStart"/>
      <w:r w:rsidR="00610DB8" w:rsidRPr="00705170">
        <w:rPr>
          <w:rFonts w:ascii="Times New Roman" w:hAnsi="Times New Roman" w:cs="Times New Roman"/>
        </w:rPr>
        <w:t>and</w:t>
      </w:r>
      <w:proofErr w:type="spellEnd"/>
      <w:r w:rsidR="00610DB8" w:rsidRPr="00705170">
        <w:rPr>
          <w:rFonts w:ascii="Times New Roman" w:hAnsi="Times New Roman" w:cs="Times New Roman"/>
        </w:rPr>
        <w:t xml:space="preserve"> (3) </w:t>
      </w:r>
      <w:proofErr w:type="spellStart"/>
      <w:r w:rsidR="00610DB8" w:rsidRPr="00705170">
        <w:rPr>
          <w:rFonts w:ascii="Times New Roman" w:hAnsi="Times New Roman" w:cs="Times New Roman"/>
        </w:rPr>
        <w:t>breach</w:t>
      </w:r>
      <w:proofErr w:type="spellEnd"/>
      <w:r w:rsidR="00610DB8" w:rsidRPr="00705170">
        <w:rPr>
          <w:rFonts w:ascii="Times New Roman" w:hAnsi="Times New Roman" w:cs="Times New Roman"/>
        </w:rPr>
        <w:t xml:space="preserve"> of </w:t>
      </w:r>
      <w:proofErr w:type="spellStart"/>
      <w:r w:rsidR="00610DB8" w:rsidRPr="00705170">
        <w:rPr>
          <w:rFonts w:ascii="Times New Roman" w:hAnsi="Times New Roman" w:cs="Times New Roman"/>
        </w:rPr>
        <w:t>trust</w:t>
      </w:r>
      <w:proofErr w:type="spellEnd"/>
      <w:r w:rsidR="00610DB8" w:rsidRPr="00705170">
        <w:rPr>
          <w:rFonts w:ascii="Times New Roman" w:hAnsi="Times New Roman" w:cs="Times New Roman"/>
        </w:rPr>
        <w:t xml:space="preserve"> (TCC </w:t>
      </w:r>
      <w:proofErr w:type="spellStart"/>
      <w:r w:rsidR="00610DB8" w:rsidRPr="00705170">
        <w:rPr>
          <w:rFonts w:ascii="Times New Roman" w:hAnsi="Times New Roman" w:cs="Times New Roman"/>
        </w:rPr>
        <w:t>Article</w:t>
      </w:r>
      <w:proofErr w:type="spellEnd"/>
      <w:r w:rsidR="00610DB8" w:rsidRPr="00705170">
        <w:rPr>
          <w:rFonts w:ascii="Times New Roman" w:hAnsi="Times New Roman" w:cs="Times New Roman"/>
        </w:rPr>
        <w:t xml:space="preserve"> 209)</w:t>
      </w:r>
      <w:r w:rsidR="00610DB8" w:rsidRPr="00705170">
        <w:rPr>
          <w:rStyle w:val="DipnotBavurusu"/>
          <w:rFonts w:ascii="Times New Roman" w:hAnsi="Times New Roman" w:cs="Times New Roman"/>
        </w:rPr>
        <w:footnoteReference w:id="327"/>
      </w:r>
      <w:r w:rsidR="00610DB8" w:rsidRPr="00705170">
        <w:rPr>
          <w:rFonts w:ascii="Times New Roman" w:hAnsi="Times New Roman" w:cs="Times New Roman"/>
        </w:rPr>
        <w:t>.</w:t>
      </w:r>
      <w:r w:rsidRPr="00705170">
        <w:rPr>
          <w:rFonts w:ascii="Times New Roman" w:hAnsi="Times New Roman" w:cs="Times New Roman"/>
        </w:rPr>
        <w:t xml:space="preserve"> </w:t>
      </w:r>
      <w:proofErr w:type="spellStart"/>
      <w:r w:rsidR="00737732" w:rsidRPr="00705170">
        <w:rPr>
          <w:rFonts w:ascii="Times New Roman" w:hAnsi="Times New Roman" w:cs="Times New Roman"/>
        </w:rPr>
        <w:t>In</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all</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situations</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the</w:t>
      </w:r>
      <w:proofErr w:type="spellEnd"/>
      <w:r w:rsidR="00737732" w:rsidRPr="00705170">
        <w:rPr>
          <w:rFonts w:ascii="Times New Roman" w:hAnsi="Times New Roman" w:cs="Times New Roman"/>
        </w:rPr>
        <w:t xml:space="preserve"> presence of a </w:t>
      </w:r>
      <w:proofErr w:type="spellStart"/>
      <w:r w:rsidR="00737732" w:rsidRPr="00705170">
        <w:rPr>
          <w:rFonts w:ascii="Times New Roman" w:hAnsi="Times New Roman" w:cs="Times New Roman"/>
        </w:rPr>
        <w:t>corporate</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group</w:t>
      </w:r>
      <w:proofErr w:type="spellEnd"/>
      <w:r w:rsidR="00737732" w:rsidRPr="00705170">
        <w:rPr>
          <w:rFonts w:ascii="Times New Roman" w:hAnsi="Times New Roman" w:cs="Times New Roman"/>
        </w:rPr>
        <w:t xml:space="preserve"> is </w:t>
      </w:r>
      <w:proofErr w:type="spellStart"/>
      <w:r w:rsidR="00737732" w:rsidRPr="00705170">
        <w:rPr>
          <w:rFonts w:ascii="Times New Roman" w:hAnsi="Times New Roman" w:cs="Times New Roman"/>
        </w:rPr>
        <w:t>necessary</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to</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establish</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any</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parent</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liability</w:t>
      </w:r>
      <w:proofErr w:type="spellEnd"/>
      <w:r w:rsidR="00737732" w:rsidRPr="00705170">
        <w:rPr>
          <w:rFonts w:ascii="Times New Roman" w:hAnsi="Times New Roman" w:cs="Times New Roman"/>
        </w:rPr>
        <w:t xml:space="preserve">. </w:t>
      </w:r>
      <w:proofErr w:type="spellStart"/>
      <w:r w:rsidR="00853AA5" w:rsidRPr="00705170">
        <w:rPr>
          <w:rFonts w:ascii="Times New Roman" w:hAnsi="Times New Roman" w:cs="Times New Roman"/>
        </w:rPr>
        <w:t>T</w:t>
      </w:r>
      <w:r w:rsidR="0061303C" w:rsidRPr="00705170">
        <w:rPr>
          <w:rFonts w:ascii="Times New Roman" w:hAnsi="Times New Roman" w:cs="Times New Roman"/>
        </w:rPr>
        <w:t>he</w:t>
      </w:r>
      <w:proofErr w:type="spellEnd"/>
      <w:r w:rsidR="0061303C" w:rsidRPr="00705170">
        <w:rPr>
          <w:rFonts w:ascii="Times New Roman" w:hAnsi="Times New Roman" w:cs="Times New Roman"/>
        </w:rPr>
        <w:t xml:space="preserve"> main </w:t>
      </w:r>
      <w:proofErr w:type="spellStart"/>
      <w:r w:rsidR="0061303C" w:rsidRPr="00705170">
        <w:rPr>
          <w:rFonts w:ascii="Times New Roman" w:hAnsi="Times New Roman" w:cs="Times New Roman"/>
        </w:rPr>
        <w:t>principle</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regarding</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the</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first</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two</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situations</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that</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may</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give</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rise</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to</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parent</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liability</w:t>
      </w:r>
      <w:proofErr w:type="spellEnd"/>
      <w:r w:rsidR="0061303C" w:rsidRPr="00705170">
        <w:rPr>
          <w:rFonts w:ascii="Times New Roman" w:hAnsi="Times New Roman" w:cs="Times New Roman"/>
        </w:rPr>
        <w:t xml:space="preserve"> is </w:t>
      </w:r>
      <w:proofErr w:type="spellStart"/>
      <w:r w:rsidR="0061303C" w:rsidRPr="00705170">
        <w:rPr>
          <w:rFonts w:ascii="Times New Roman" w:hAnsi="Times New Roman" w:cs="Times New Roman"/>
        </w:rPr>
        <w:t>that</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00D8653C"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00D8653C" w:rsidRPr="00705170">
        <w:rPr>
          <w:rFonts w:ascii="Times New Roman" w:hAnsi="Times New Roman" w:cs="Times New Roman"/>
        </w:rPr>
        <w:t xml:space="preserve"> </w:t>
      </w:r>
      <w:proofErr w:type="spellStart"/>
      <w:r w:rsidR="00D8653C" w:rsidRPr="00705170">
        <w:rPr>
          <w:rFonts w:ascii="Times New Roman" w:hAnsi="Times New Roman" w:cs="Times New Roman"/>
        </w:rPr>
        <w:t>unlawful</w:t>
      </w:r>
      <w:proofErr w:type="spellEnd"/>
      <w:r w:rsidR="00D8653C" w:rsidRPr="00705170">
        <w:rPr>
          <w:rFonts w:ascii="Times New Roman" w:hAnsi="Times New Roman" w:cs="Times New Roman"/>
        </w:rPr>
        <w:t xml:space="preserve"> </w:t>
      </w:r>
      <w:proofErr w:type="spellStart"/>
      <w:r w:rsidR="0061303C" w:rsidRPr="00705170">
        <w:rPr>
          <w:rFonts w:ascii="Times New Roman" w:hAnsi="Times New Roman" w:cs="Times New Roman"/>
        </w:rPr>
        <w:t>exercise</w:t>
      </w:r>
      <w:proofErr w:type="spellEnd"/>
      <w:r w:rsidR="0061303C" w:rsidRPr="00705170">
        <w:rPr>
          <w:rFonts w:ascii="Times New Roman" w:hAnsi="Times New Roman" w:cs="Times New Roman"/>
        </w:rPr>
        <w:t xml:space="preserve"> of </w:t>
      </w:r>
      <w:proofErr w:type="spellStart"/>
      <w:r w:rsidR="0061303C"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00D8653C" w:rsidRPr="00705170">
        <w:rPr>
          <w:rFonts w:ascii="Times New Roman" w:hAnsi="Times New Roman" w:cs="Times New Roman"/>
        </w:rPr>
        <w:t>control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subsidiary</w:t>
      </w:r>
      <w:proofErr w:type="spellEnd"/>
      <w:r w:rsidRPr="00705170">
        <w:rPr>
          <w:rFonts w:ascii="Times New Roman" w:hAnsi="Times New Roman" w:cs="Times New Roman"/>
        </w:rPr>
        <w:t>.</w:t>
      </w:r>
      <w:r w:rsidR="0061303C" w:rsidRPr="00705170">
        <w:rPr>
          <w:rFonts w:ascii="Times New Roman" w:hAnsi="Times New Roman" w:cs="Times New Roman"/>
        </w:rPr>
        <w:t xml:space="preserve"> </w:t>
      </w:r>
      <w:proofErr w:type="spellStart"/>
      <w:r w:rsidR="00E05463" w:rsidRPr="00705170">
        <w:rPr>
          <w:rFonts w:ascii="Times New Roman" w:hAnsi="Times New Roman" w:cs="Times New Roman"/>
        </w:rPr>
        <w:t>Howeve</w:t>
      </w:r>
      <w:r w:rsidR="00737732" w:rsidRPr="00705170">
        <w:rPr>
          <w:rFonts w:ascii="Times New Roman" w:hAnsi="Times New Roman" w:cs="Times New Roman"/>
        </w:rPr>
        <w:t>r</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the</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for</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the</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third</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situation</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rather</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than</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unlawful</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exercise</w:t>
      </w:r>
      <w:proofErr w:type="spellEnd"/>
      <w:r w:rsidR="00737732" w:rsidRPr="00705170">
        <w:rPr>
          <w:rFonts w:ascii="Times New Roman" w:hAnsi="Times New Roman" w:cs="Times New Roman"/>
        </w:rPr>
        <w:t xml:space="preserve"> of </w:t>
      </w:r>
      <w:proofErr w:type="spellStart"/>
      <w:r w:rsidR="00737732" w:rsidRPr="00705170">
        <w:rPr>
          <w:rFonts w:ascii="Times New Roman" w:hAnsi="Times New Roman" w:cs="Times New Roman"/>
        </w:rPr>
        <w:t>control</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over</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the</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subsidiary</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the</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parent’s</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liability</w:t>
      </w:r>
      <w:proofErr w:type="spellEnd"/>
      <w:r w:rsidR="00737732" w:rsidRPr="00705170">
        <w:rPr>
          <w:rFonts w:ascii="Times New Roman" w:hAnsi="Times New Roman" w:cs="Times New Roman"/>
        </w:rPr>
        <w:t xml:space="preserve"> can </w:t>
      </w:r>
      <w:proofErr w:type="spellStart"/>
      <w:r w:rsidR="00737732" w:rsidRPr="00705170">
        <w:rPr>
          <w:rFonts w:ascii="Times New Roman" w:hAnsi="Times New Roman" w:cs="Times New Roman"/>
        </w:rPr>
        <w:t>only</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arise</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if</w:t>
      </w:r>
      <w:proofErr w:type="spellEnd"/>
      <w:r w:rsidR="00737732" w:rsidRPr="00705170">
        <w:rPr>
          <w:rFonts w:ascii="Times New Roman" w:hAnsi="Times New Roman" w:cs="Times New Roman"/>
        </w:rPr>
        <w:t xml:space="preserve"> it has a </w:t>
      </w:r>
      <w:proofErr w:type="spellStart"/>
      <w:r w:rsidR="00737732" w:rsidRPr="00705170">
        <w:rPr>
          <w:rFonts w:ascii="Times New Roman" w:hAnsi="Times New Roman" w:cs="Times New Roman"/>
        </w:rPr>
        <w:t>reputation</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that</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provides</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confidence</w:t>
      </w:r>
      <w:proofErr w:type="spellEnd"/>
      <w:r w:rsidR="00737732" w:rsidRPr="00705170">
        <w:rPr>
          <w:rFonts w:ascii="Times New Roman" w:hAnsi="Times New Roman" w:cs="Times New Roman"/>
        </w:rPr>
        <w:t xml:space="preserve"> in </w:t>
      </w:r>
      <w:proofErr w:type="spellStart"/>
      <w:r w:rsidR="00737732" w:rsidRPr="00705170">
        <w:rPr>
          <w:rFonts w:ascii="Times New Roman" w:hAnsi="Times New Roman" w:cs="Times New Roman"/>
        </w:rPr>
        <w:t>the</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third</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parties</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view</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and</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if</w:t>
      </w:r>
      <w:proofErr w:type="spellEnd"/>
      <w:r w:rsidR="00737732" w:rsidRPr="00705170">
        <w:rPr>
          <w:rFonts w:ascii="Times New Roman" w:hAnsi="Times New Roman" w:cs="Times New Roman"/>
        </w:rPr>
        <w:t xml:space="preserve"> it </w:t>
      </w:r>
      <w:proofErr w:type="spellStart"/>
      <w:r w:rsidR="00737732" w:rsidRPr="00705170">
        <w:rPr>
          <w:rFonts w:ascii="Times New Roman" w:hAnsi="Times New Roman" w:cs="Times New Roman"/>
        </w:rPr>
        <w:t>violates</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its</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duty</w:t>
      </w:r>
      <w:proofErr w:type="spellEnd"/>
      <w:r w:rsidR="00737732" w:rsidRPr="00705170">
        <w:rPr>
          <w:rFonts w:ascii="Times New Roman" w:hAnsi="Times New Roman" w:cs="Times New Roman"/>
        </w:rPr>
        <w:t xml:space="preserve"> of </w:t>
      </w:r>
      <w:proofErr w:type="spellStart"/>
      <w:r w:rsidR="00737732" w:rsidRPr="00705170">
        <w:rPr>
          <w:rFonts w:ascii="Times New Roman" w:hAnsi="Times New Roman" w:cs="Times New Roman"/>
        </w:rPr>
        <w:t>good</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faith</w:t>
      </w:r>
      <w:proofErr w:type="spellEnd"/>
      <w:r w:rsidR="00737732" w:rsidRPr="00705170">
        <w:rPr>
          <w:rStyle w:val="DipnotBavurusu"/>
          <w:rFonts w:ascii="Times New Roman" w:hAnsi="Times New Roman" w:cs="Times New Roman"/>
        </w:rPr>
        <w:footnoteReference w:id="328"/>
      </w:r>
      <w:r w:rsidR="00737732" w:rsidRPr="00705170">
        <w:rPr>
          <w:rFonts w:ascii="Times New Roman" w:hAnsi="Times New Roman" w:cs="Times New Roman"/>
        </w:rPr>
        <w:t>.</w:t>
      </w:r>
      <w:r w:rsidR="00073C19" w:rsidRPr="00705170">
        <w:rPr>
          <w:rFonts w:ascii="Times New Roman" w:hAnsi="Times New Roman" w:cs="Times New Roman"/>
        </w:rPr>
        <w:t xml:space="preserve"> </w:t>
      </w:r>
      <w:proofErr w:type="spellStart"/>
      <w:r w:rsidR="00BB3859" w:rsidRPr="00705170">
        <w:rPr>
          <w:rFonts w:ascii="Times New Roman" w:hAnsi="Times New Roman" w:cs="Times New Roman"/>
        </w:rPr>
        <w:t>Furthermore</w:t>
      </w:r>
      <w:proofErr w:type="spellEnd"/>
      <w:r w:rsidR="00BB3859" w:rsidRPr="00705170">
        <w:rPr>
          <w:rFonts w:ascii="Times New Roman" w:hAnsi="Times New Roman" w:cs="Times New Roman"/>
        </w:rPr>
        <w:t xml:space="preserve">, </w:t>
      </w:r>
      <w:proofErr w:type="spellStart"/>
      <w:r w:rsidR="00853AA5" w:rsidRPr="00705170">
        <w:rPr>
          <w:rFonts w:ascii="Times New Roman" w:hAnsi="Times New Roman" w:cs="Times New Roman"/>
        </w:rPr>
        <w:t>the</w:t>
      </w:r>
      <w:proofErr w:type="spellEnd"/>
      <w:r w:rsidR="00853AA5" w:rsidRPr="00705170">
        <w:rPr>
          <w:rFonts w:ascii="Times New Roman" w:hAnsi="Times New Roman" w:cs="Times New Roman"/>
        </w:rPr>
        <w:t xml:space="preserve"> legal </w:t>
      </w:r>
      <w:proofErr w:type="spellStart"/>
      <w:r w:rsidR="00853AA5" w:rsidRPr="00705170">
        <w:rPr>
          <w:rFonts w:ascii="Times New Roman" w:hAnsi="Times New Roman" w:cs="Times New Roman"/>
        </w:rPr>
        <w:t>basis</w:t>
      </w:r>
      <w:proofErr w:type="spellEnd"/>
      <w:r w:rsidR="00853AA5" w:rsidRPr="00705170">
        <w:rPr>
          <w:rFonts w:ascii="Times New Roman" w:hAnsi="Times New Roman" w:cs="Times New Roman"/>
        </w:rPr>
        <w:t xml:space="preserve"> of </w:t>
      </w:r>
      <w:proofErr w:type="spellStart"/>
      <w:r w:rsidR="00853AA5" w:rsidRPr="00705170">
        <w:rPr>
          <w:rFonts w:ascii="Times New Roman" w:hAnsi="Times New Roman" w:cs="Times New Roman"/>
        </w:rPr>
        <w:t>the</w:t>
      </w:r>
      <w:proofErr w:type="spellEnd"/>
      <w:r w:rsidR="00853AA5" w:rsidRPr="00705170">
        <w:rPr>
          <w:rFonts w:ascii="Times New Roman" w:hAnsi="Times New Roman" w:cs="Times New Roman"/>
        </w:rPr>
        <w:t xml:space="preserve"> </w:t>
      </w:r>
      <w:proofErr w:type="spellStart"/>
      <w:r w:rsidR="00853AA5" w:rsidRPr="00705170">
        <w:rPr>
          <w:rFonts w:ascii="Times New Roman" w:hAnsi="Times New Roman" w:cs="Times New Roman"/>
        </w:rPr>
        <w:t>first</w:t>
      </w:r>
      <w:proofErr w:type="spellEnd"/>
      <w:r w:rsidR="00853AA5" w:rsidRPr="00705170">
        <w:rPr>
          <w:rFonts w:ascii="Times New Roman" w:hAnsi="Times New Roman" w:cs="Times New Roman"/>
        </w:rPr>
        <w:t xml:space="preserve"> </w:t>
      </w:r>
      <w:proofErr w:type="spellStart"/>
      <w:r w:rsidR="00853AA5" w:rsidRPr="00705170">
        <w:rPr>
          <w:rFonts w:ascii="Times New Roman" w:hAnsi="Times New Roman" w:cs="Times New Roman"/>
        </w:rPr>
        <w:t>two</w:t>
      </w:r>
      <w:proofErr w:type="spellEnd"/>
      <w:r w:rsidR="00853AA5" w:rsidRPr="00705170">
        <w:rPr>
          <w:rFonts w:ascii="Times New Roman" w:hAnsi="Times New Roman" w:cs="Times New Roman"/>
        </w:rPr>
        <w:t xml:space="preserve"> </w:t>
      </w:r>
      <w:proofErr w:type="spellStart"/>
      <w:r w:rsidR="00853AA5" w:rsidRPr="00705170">
        <w:rPr>
          <w:rFonts w:ascii="Times New Roman" w:hAnsi="Times New Roman" w:cs="Times New Roman"/>
        </w:rPr>
        <w:t>sitatuations</w:t>
      </w:r>
      <w:proofErr w:type="spellEnd"/>
      <w:r w:rsidR="00853AA5" w:rsidRPr="00705170">
        <w:rPr>
          <w:rFonts w:ascii="Times New Roman" w:hAnsi="Times New Roman" w:cs="Times New Roman"/>
        </w:rPr>
        <w:t xml:space="preserve"> </w:t>
      </w:r>
      <w:r w:rsidR="00E255E0" w:rsidRPr="00705170">
        <w:rPr>
          <w:rFonts w:ascii="Times New Roman" w:hAnsi="Times New Roman" w:cs="Times New Roman"/>
        </w:rPr>
        <w:t xml:space="preserve">is </w:t>
      </w:r>
      <w:proofErr w:type="spellStart"/>
      <w:r w:rsidR="00E255E0" w:rsidRPr="00705170">
        <w:rPr>
          <w:rFonts w:ascii="Times New Roman" w:hAnsi="Times New Roman" w:cs="Times New Roman"/>
        </w:rPr>
        <w:t>accepted</w:t>
      </w:r>
      <w:proofErr w:type="spellEnd"/>
      <w:r w:rsidR="00853AA5" w:rsidRPr="00705170">
        <w:rPr>
          <w:rFonts w:ascii="Times New Roman" w:hAnsi="Times New Roman" w:cs="Times New Roman"/>
        </w:rPr>
        <w:t xml:space="preserve"> </w:t>
      </w:r>
      <w:proofErr w:type="spellStart"/>
      <w:r w:rsidR="00373743" w:rsidRPr="00705170">
        <w:rPr>
          <w:rFonts w:ascii="Times New Roman" w:hAnsi="Times New Roman" w:cs="Times New Roman"/>
        </w:rPr>
        <w:t>primarily</w:t>
      </w:r>
      <w:proofErr w:type="spellEnd"/>
      <w:r w:rsidR="00373743" w:rsidRPr="00705170">
        <w:rPr>
          <w:rFonts w:ascii="Times New Roman" w:hAnsi="Times New Roman" w:cs="Times New Roman"/>
        </w:rPr>
        <w:t xml:space="preserve"> </w:t>
      </w:r>
      <w:r w:rsidR="00853AA5" w:rsidRPr="00705170">
        <w:rPr>
          <w:rFonts w:ascii="Times New Roman" w:hAnsi="Times New Roman" w:cs="Times New Roman"/>
        </w:rPr>
        <w:t xml:space="preserve">as a </w:t>
      </w:r>
      <w:proofErr w:type="spellStart"/>
      <w:r w:rsidR="00853AA5" w:rsidRPr="00705170">
        <w:rPr>
          <w:rFonts w:ascii="Times New Roman" w:hAnsi="Times New Roman" w:cs="Times New Roman"/>
        </w:rPr>
        <w:t>tort</w:t>
      </w:r>
      <w:proofErr w:type="spellEnd"/>
      <w:r w:rsidR="00853AA5" w:rsidRPr="00705170">
        <w:rPr>
          <w:rFonts w:ascii="Times New Roman" w:hAnsi="Times New Roman" w:cs="Times New Roman"/>
        </w:rPr>
        <w:t xml:space="preserve"> </w:t>
      </w:r>
      <w:proofErr w:type="spellStart"/>
      <w:r w:rsidR="00853AA5" w:rsidRPr="00705170">
        <w:rPr>
          <w:rFonts w:ascii="Times New Roman" w:hAnsi="Times New Roman" w:cs="Times New Roman"/>
        </w:rPr>
        <w:t>claim</w:t>
      </w:r>
      <w:proofErr w:type="spellEnd"/>
      <w:r w:rsidR="00E255E0" w:rsidRPr="00705170">
        <w:rPr>
          <w:rStyle w:val="DipnotBavurusu"/>
          <w:rFonts w:ascii="Times New Roman" w:hAnsi="Times New Roman" w:cs="Times New Roman"/>
        </w:rPr>
        <w:footnoteReference w:id="329"/>
      </w:r>
      <w:r w:rsidR="00BB3859" w:rsidRPr="00705170">
        <w:rPr>
          <w:rFonts w:ascii="Times New Roman" w:hAnsi="Times New Roman" w:cs="Times New Roman"/>
        </w:rPr>
        <w:t>, but</w:t>
      </w:r>
      <w:r w:rsidR="00853AA5" w:rsidRPr="00705170">
        <w:rPr>
          <w:rFonts w:ascii="Times New Roman" w:hAnsi="Times New Roman" w:cs="Times New Roman"/>
        </w:rPr>
        <w:t xml:space="preserve"> </w:t>
      </w:r>
      <w:proofErr w:type="spellStart"/>
      <w:r w:rsidR="00853AA5" w:rsidRPr="00705170">
        <w:rPr>
          <w:rFonts w:ascii="Times New Roman" w:hAnsi="Times New Roman" w:cs="Times New Roman"/>
        </w:rPr>
        <w:t>the</w:t>
      </w:r>
      <w:proofErr w:type="spellEnd"/>
      <w:r w:rsidR="00853AA5" w:rsidRPr="00705170">
        <w:rPr>
          <w:rFonts w:ascii="Times New Roman" w:hAnsi="Times New Roman" w:cs="Times New Roman"/>
        </w:rPr>
        <w:t xml:space="preserve"> </w:t>
      </w:r>
      <w:proofErr w:type="spellStart"/>
      <w:r w:rsidR="00853AA5" w:rsidRPr="00705170">
        <w:rPr>
          <w:rFonts w:ascii="Times New Roman" w:hAnsi="Times New Roman" w:cs="Times New Roman"/>
        </w:rPr>
        <w:t>third</w:t>
      </w:r>
      <w:proofErr w:type="spellEnd"/>
      <w:r w:rsidR="00853AA5" w:rsidRPr="00705170">
        <w:rPr>
          <w:rFonts w:ascii="Times New Roman" w:hAnsi="Times New Roman" w:cs="Times New Roman"/>
        </w:rPr>
        <w:t xml:space="preserve"> </w:t>
      </w:r>
      <w:proofErr w:type="spellStart"/>
      <w:r w:rsidR="00853AA5" w:rsidRPr="00705170">
        <w:rPr>
          <w:rFonts w:ascii="Times New Roman" w:hAnsi="Times New Roman" w:cs="Times New Roman"/>
        </w:rPr>
        <w:t>situation’s</w:t>
      </w:r>
      <w:proofErr w:type="spellEnd"/>
      <w:r w:rsidR="00853AA5" w:rsidRPr="00705170">
        <w:rPr>
          <w:rFonts w:ascii="Times New Roman" w:hAnsi="Times New Roman" w:cs="Times New Roman"/>
        </w:rPr>
        <w:t xml:space="preserve"> legal </w:t>
      </w:r>
      <w:proofErr w:type="spellStart"/>
      <w:r w:rsidR="00853AA5" w:rsidRPr="00705170">
        <w:rPr>
          <w:rFonts w:ascii="Times New Roman" w:hAnsi="Times New Roman" w:cs="Times New Roman"/>
        </w:rPr>
        <w:t>basis</w:t>
      </w:r>
      <w:proofErr w:type="spellEnd"/>
      <w:r w:rsidR="00853AA5" w:rsidRPr="00705170">
        <w:rPr>
          <w:rFonts w:ascii="Times New Roman" w:hAnsi="Times New Roman" w:cs="Times New Roman"/>
        </w:rPr>
        <w:t xml:space="preserve"> is </w:t>
      </w:r>
      <w:proofErr w:type="spellStart"/>
      <w:r w:rsidR="00853AA5" w:rsidRPr="00705170">
        <w:rPr>
          <w:rFonts w:ascii="Times New Roman" w:hAnsi="Times New Roman" w:cs="Times New Roman"/>
        </w:rPr>
        <w:t>analogized</w:t>
      </w:r>
      <w:proofErr w:type="spellEnd"/>
      <w:r w:rsidR="00853AA5" w:rsidRPr="00705170">
        <w:rPr>
          <w:rFonts w:ascii="Times New Roman" w:hAnsi="Times New Roman" w:cs="Times New Roman"/>
        </w:rPr>
        <w:t xml:space="preserve"> </w:t>
      </w:r>
      <w:proofErr w:type="spellStart"/>
      <w:r w:rsidR="00853AA5" w:rsidRPr="00705170">
        <w:rPr>
          <w:rFonts w:ascii="Times New Roman" w:hAnsi="Times New Roman" w:cs="Times New Roman"/>
        </w:rPr>
        <w:t>to</w:t>
      </w:r>
      <w:proofErr w:type="spellEnd"/>
      <w:r w:rsidR="00853AA5" w:rsidRPr="00705170">
        <w:rPr>
          <w:rFonts w:ascii="Times New Roman" w:hAnsi="Times New Roman" w:cs="Times New Roman"/>
        </w:rPr>
        <w:t xml:space="preserve"> </w:t>
      </w:r>
      <w:proofErr w:type="spellStart"/>
      <w:r w:rsidR="00853AA5" w:rsidRPr="00705170">
        <w:rPr>
          <w:rFonts w:ascii="Times New Roman" w:hAnsi="Times New Roman" w:cs="Times New Roman"/>
        </w:rPr>
        <w:t>the</w:t>
      </w:r>
      <w:proofErr w:type="spellEnd"/>
      <w:r w:rsidR="00853AA5" w:rsidRPr="00705170">
        <w:rPr>
          <w:rFonts w:ascii="Times New Roman" w:hAnsi="Times New Roman" w:cs="Times New Roman"/>
        </w:rPr>
        <w:t xml:space="preserve"> </w:t>
      </w:r>
      <w:proofErr w:type="spellStart"/>
      <w:r w:rsidR="00853AA5" w:rsidRPr="00705170">
        <w:rPr>
          <w:rFonts w:ascii="Times New Roman" w:hAnsi="Times New Roman" w:cs="Times New Roman"/>
        </w:rPr>
        <w:t>precontractual</w:t>
      </w:r>
      <w:proofErr w:type="spellEnd"/>
      <w:r w:rsidR="00853AA5" w:rsidRPr="00705170">
        <w:rPr>
          <w:rFonts w:ascii="Times New Roman" w:hAnsi="Times New Roman" w:cs="Times New Roman"/>
        </w:rPr>
        <w:t xml:space="preserve"> </w:t>
      </w:r>
      <w:proofErr w:type="spellStart"/>
      <w:r w:rsidR="00853AA5" w:rsidRPr="00705170">
        <w:rPr>
          <w:rFonts w:ascii="Times New Roman" w:hAnsi="Times New Roman" w:cs="Times New Roman"/>
        </w:rPr>
        <w:t>liability</w:t>
      </w:r>
      <w:proofErr w:type="spellEnd"/>
      <w:r w:rsidR="00853AA5" w:rsidRPr="00705170">
        <w:rPr>
          <w:rFonts w:ascii="Times New Roman" w:hAnsi="Times New Roman" w:cs="Times New Roman"/>
        </w:rPr>
        <w:t xml:space="preserve"> </w:t>
      </w:r>
      <w:proofErr w:type="spellStart"/>
      <w:r w:rsidR="00853AA5" w:rsidRPr="00705170">
        <w:rPr>
          <w:rFonts w:ascii="Times New Roman" w:hAnsi="Times New Roman" w:cs="Times New Roman"/>
        </w:rPr>
        <w:t>doctrine</w:t>
      </w:r>
      <w:proofErr w:type="spellEnd"/>
      <w:r w:rsidR="00853AA5" w:rsidRPr="00705170">
        <w:rPr>
          <w:rFonts w:ascii="Times New Roman" w:hAnsi="Times New Roman" w:cs="Times New Roman"/>
        </w:rPr>
        <w:t xml:space="preserve"> of “</w:t>
      </w:r>
      <w:proofErr w:type="spellStart"/>
      <w:r w:rsidR="00853AA5" w:rsidRPr="00705170">
        <w:rPr>
          <w:rFonts w:ascii="Times New Roman" w:hAnsi="Times New Roman" w:cs="Times New Roman"/>
        </w:rPr>
        <w:t>culpa</w:t>
      </w:r>
      <w:proofErr w:type="spellEnd"/>
      <w:r w:rsidR="00853AA5" w:rsidRPr="00705170">
        <w:rPr>
          <w:rFonts w:ascii="Times New Roman" w:hAnsi="Times New Roman" w:cs="Times New Roman"/>
        </w:rPr>
        <w:t xml:space="preserve"> in </w:t>
      </w:r>
      <w:proofErr w:type="spellStart"/>
      <w:r w:rsidR="00853AA5" w:rsidRPr="00705170">
        <w:rPr>
          <w:rFonts w:ascii="Times New Roman" w:hAnsi="Times New Roman" w:cs="Times New Roman"/>
        </w:rPr>
        <w:t>contrahendo</w:t>
      </w:r>
      <w:proofErr w:type="spellEnd"/>
      <w:r w:rsidR="00853AA5" w:rsidRPr="00705170">
        <w:rPr>
          <w:rFonts w:ascii="Times New Roman" w:hAnsi="Times New Roman" w:cs="Times New Roman"/>
        </w:rPr>
        <w:t>”</w:t>
      </w:r>
      <w:r w:rsidR="00853AA5" w:rsidRPr="00705170">
        <w:rPr>
          <w:rStyle w:val="DipnotBavurusu"/>
          <w:rFonts w:ascii="Times New Roman" w:hAnsi="Times New Roman" w:cs="Times New Roman"/>
        </w:rPr>
        <w:footnoteReference w:id="330"/>
      </w:r>
      <w:r w:rsidR="00853AA5" w:rsidRPr="00705170">
        <w:rPr>
          <w:rFonts w:ascii="Times New Roman" w:hAnsi="Times New Roman" w:cs="Times New Roman"/>
        </w:rPr>
        <w:t>.</w:t>
      </w:r>
    </w:p>
    <w:p w14:paraId="0F8F0777" w14:textId="4F43479E" w:rsidR="00E05463" w:rsidRPr="00705170" w:rsidRDefault="00E05463" w:rsidP="00C32BCA">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Regarding</w:t>
      </w:r>
      <w:proofErr w:type="spellEnd"/>
      <w:r w:rsidRPr="00705170">
        <w:rPr>
          <w:rFonts w:ascii="Times New Roman" w:hAnsi="Times New Roman" w:cs="Times New Roman"/>
        </w:rPr>
        <w:t xml:space="preserve"> </w:t>
      </w:r>
      <w:proofErr w:type="spellStart"/>
      <w:r w:rsidR="0061303C" w:rsidRPr="00705170">
        <w:rPr>
          <w:rFonts w:ascii="Times New Roman" w:hAnsi="Times New Roman" w:cs="Times New Roman"/>
        </w:rPr>
        <w:t>the</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fist</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situation</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intrusion</w:t>
      </w:r>
      <w:proofErr w:type="spellEnd"/>
      <w:r w:rsidR="003C7A88" w:rsidRPr="00705170">
        <w:rPr>
          <w:rFonts w:ascii="Times New Roman" w:hAnsi="Times New Roman" w:cs="Times New Roman"/>
        </w:rPr>
        <w:t xml:space="preserve"> in </w:t>
      </w:r>
      <w:proofErr w:type="spellStart"/>
      <w:r w:rsidR="003C7A88" w:rsidRPr="00705170">
        <w:rPr>
          <w:rFonts w:ascii="Times New Roman" w:hAnsi="Times New Roman" w:cs="Times New Roman"/>
        </w:rPr>
        <w:t>subsidiary’s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management</w:t>
      </w:r>
      <w:proofErr w:type="spellEnd"/>
      <w:r w:rsidR="003C7A88" w:rsidRPr="00705170">
        <w:rPr>
          <w:rFonts w:ascii="Times New Roman" w:hAnsi="Times New Roman" w:cs="Times New Roman"/>
        </w:rPr>
        <w:t>)</w:t>
      </w:r>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the</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statute</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states</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that</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the</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parent</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cannot</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use</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its</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control</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over</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the</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subsidiary</w:t>
      </w:r>
      <w:proofErr w:type="spellEnd"/>
      <w:r w:rsidR="0061303C" w:rsidRPr="00705170">
        <w:rPr>
          <w:rFonts w:ascii="Times New Roman" w:hAnsi="Times New Roman" w:cs="Times New Roman"/>
        </w:rPr>
        <w:t xml:space="preserve"> in a </w:t>
      </w:r>
      <w:proofErr w:type="spellStart"/>
      <w:r w:rsidR="0061303C" w:rsidRPr="00705170">
        <w:rPr>
          <w:rFonts w:ascii="Times New Roman" w:hAnsi="Times New Roman" w:cs="Times New Roman"/>
        </w:rPr>
        <w:t>way</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that</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would</w:t>
      </w:r>
      <w:proofErr w:type="spellEnd"/>
      <w:r w:rsidR="0061303C" w:rsidRPr="00705170">
        <w:rPr>
          <w:rFonts w:ascii="Times New Roman" w:hAnsi="Times New Roman" w:cs="Times New Roman"/>
        </w:rPr>
        <w:t xml:space="preserve"> </w:t>
      </w:r>
      <w:proofErr w:type="spellStart"/>
      <w:r w:rsidR="007907C4" w:rsidRPr="00705170">
        <w:rPr>
          <w:rFonts w:ascii="Times New Roman" w:hAnsi="Times New Roman" w:cs="Times New Roman"/>
        </w:rPr>
        <w:t>cause</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loss</w:t>
      </w:r>
      <w:proofErr w:type="spellEnd"/>
      <w:r w:rsidR="003C7A88" w:rsidRPr="00705170">
        <w:rPr>
          <w:rStyle w:val="DipnotBavurusu"/>
          <w:rFonts w:ascii="Times New Roman" w:hAnsi="Times New Roman" w:cs="Times New Roman"/>
        </w:rPr>
        <w:footnoteReference w:id="331"/>
      </w:r>
      <w:r w:rsidR="0061303C" w:rsidRPr="00705170">
        <w:rPr>
          <w:rFonts w:ascii="Times New Roman" w:hAnsi="Times New Roman" w:cs="Times New Roman"/>
        </w:rPr>
        <w:t xml:space="preserve"> </w:t>
      </w:r>
      <w:proofErr w:type="spellStart"/>
      <w:r w:rsidR="007907C4" w:rsidRPr="00705170">
        <w:rPr>
          <w:rFonts w:ascii="Times New Roman" w:hAnsi="Times New Roman" w:cs="Times New Roman"/>
        </w:rPr>
        <w:t>to</w:t>
      </w:r>
      <w:proofErr w:type="spellEnd"/>
      <w:r w:rsidR="007907C4" w:rsidRPr="00705170">
        <w:rPr>
          <w:rFonts w:ascii="Times New Roman" w:hAnsi="Times New Roman" w:cs="Times New Roman"/>
        </w:rPr>
        <w:t xml:space="preserve"> </w:t>
      </w:r>
      <w:proofErr w:type="spellStart"/>
      <w:r w:rsidR="0061303C" w:rsidRPr="00705170">
        <w:rPr>
          <w:rFonts w:ascii="Times New Roman" w:hAnsi="Times New Roman" w:cs="Times New Roman"/>
        </w:rPr>
        <w:t>the</w:t>
      </w:r>
      <w:proofErr w:type="spellEnd"/>
      <w:r w:rsidR="0061303C" w:rsidRPr="00705170">
        <w:rPr>
          <w:rFonts w:ascii="Times New Roman" w:hAnsi="Times New Roman" w:cs="Times New Roman"/>
        </w:rPr>
        <w:t xml:space="preserve"> </w:t>
      </w:r>
      <w:proofErr w:type="spellStart"/>
      <w:r w:rsidR="0061303C" w:rsidRPr="00705170">
        <w:rPr>
          <w:rFonts w:ascii="Times New Roman" w:hAnsi="Times New Roman" w:cs="Times New Roman"/>
        </w:rPr>
        <w:t>subsidiary</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through</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any</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transactions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such</w:t>
      </w:r>
      <w:proofErr w:type="spellEnd"/>
      <w:r w:rsidR="003C7A88" w:rsidRPr="00705170">
        <w:rPr>
          <w:rFonts w:ascii="Times New Roman" w:hAnsi="Times New Roman" w:cs="Times New Roman"/>
        </w:rPr>
        <w:t xml:space="preserve"> as transfer of </w:t>
      </w:r>
      <w:proofErr w:type="spellStart"/>
      <w:r w:rsidR="003C7A88" w:rsidRPr="00705170">
        <w:rPr>
          <w:rFonts w:ascii="Times New Roman" w:hAnsi="Times New Roman" w:cs="Times New Roman"/>
        </w:rPr>
        <w:t>funds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from</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one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subsidiary</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to</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other</w:t>
      </w:r>
      <w:proofErr w:type="spellEnd"/>
      <w:r w:rsidR="003C7A88" w:rsidRPr="00705170">
        <w:rPr>
          <w:rFonts w:ascii="Times New Roman" w:hAnsi="Times New Roman" w:cs="Times New Roman"/>
        </w:rPr>
        <w:t xml:space="preserve">, not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renew</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the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subsidiary’s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facilities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supressing</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the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investment</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projects</w:t>
      </w:r>
      <w:proofErr w:type="spellEnd"/>
      <w:r w:rsidR="003C7A88" w:rsidRPr="00705170">
        <w:rPr>
          <w:rFonts w:ascii="Times New Roman" w:hAnsi="Times New Roman" w:cs="Times New Roman"/>
        </w:rPr>
        <w:t xml:space="preserve"> of </w:t>
      </w:r>
      <w:proofErr w:type="spellStart"/>
      <w:r w:rsidR="003C7A88" w:rsidRPr="00705170">
        <w:rPr>
          <w:rFonts w:ascii="Times New Roman" w:hAnsi="Times New Roman" w:cs="Times New Roman"/>
        </w:rPr>
        <w:t>the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subsidiary</w:t>
      </w:r>
      <w:proofErr w:type="spellEnd"/>
      <w:r w:rsidR="003C7A88" w:rsidRPr="00705170">
        <w:rPr>
          <w:rFonts w:ascii="Times New Roman" w:hAnsi="Times New Roman" w:cs="Times New Roman"/>
        </w:rPr>
        <w:t>)</w:t>
      </w:r>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Article</w:t>
      </w:r>
      <w:proofErr w:type="spellEnd"/>
      <w:r w:rsidR="00FD7073" w:rsidRPr="00705170">
        <w:rPr>
          <w:rFonts w:ascii="Times New Roman" w:hAnsi="Times New Roman" w:cs="Times New Roman"/>
        </w:rPr>
        <w:t xml:space="preserve"> 202(1)(a))</w:t>
      </w:r>
      <w:r w:rsidR="0061303C" w:rsidRPr="00705170">
        <w:rPr>
          <w:rFonts w:ascii="Times New Roman" w:hAnsi="Times New Roman" w:cs="Times New Roman"/>
        </w:rPr>
        <w:t>.</w:t>
      </w:r>
      <w:r w:rsidR="003C7A88" w:rsidRPr="00705170">
        <w:rPr>
          <w:rFonts w:ascii="Times New Roman" w:hAnsi="Times New Roman" w:cs="Times New Roman"/>
        </w:rPr>
        <w:t xml:space="preserve"> </w:t>
      </w:r>
      <w:proofErr w:type="spellStart"/>
      <w:r w:rsidR="0097363F" w:rsidRPr="00705170">
        <w:rPr>
          <w:rFonts w:ascii="Times New Roman" w:hAnsi="Times New Roman" w:cs="Times New Roman"/>
        </w:rPr>
        <w:t>It</w:t>
      </w:r>
      <w:proofErr w:type="spellEnd"/>
      <w:r w:rsidR="0097363F" w:rsidRPr="00705170">
        <w:rPr>
          <w:rFonts w:ascii="Times New Roman" w:hAnsi="Times New Roman" w:cs="Times New Roman"/>
        </w:rPr>
        <w:t xml:space="preserve"> </w:t>
      </w:r>
      <w:proofErr w:type="spellStart"/>
      <w:r w:rsidR="0097363F" w:rsidRPr="00705170">
        <w:rPr>
          <w:rFonts w:ascii="Times New Roman" w:hAnsi="Times New Roman" w:cs="Times New Roman"/>
        </w:rPr>
        <w:t>holds</w:t>
      </w:r>
      <w:proofErr w:type="spellEnd"/>
      <w:r w:rsidR="0097363F" w:rsidRPr="00705170">
        <w:rPr>
          <w:rFonts w:ascii="Times New Roman" w:hAnsi="Times New Roman" w:cs="Times New Roman"/>
        </w:rPr>
        <w:t xml:space="preserve"> </w:t>
      </w:r>
      <w:proofErr w:type="spellStart"/>
      <w:r w:rsidR="0097363F" w:rsidRPr="00705170">
        <w:rPr>
          <w:rFonts w:ascii="Times New Roman" w:hAnsi="Times New Roman" w:cs="Times New Roman"/>
        </w:rPr>
        <w:t>that</w:t>
      </w:r>
      <w:proofErr w:type="spellEnd"/>
      <w:r w:rsidR="0097363F" w:rsidRPr="00705170">
        <w:rPr>
          <w:rFonts w:ascii="Times New Roman" w:hAnsi="Times New Roman" w:cs="Times New Roman"/>
        </w:rPr>
        <w:t xml:space="preserve">, </w:t>
      </w:r>
      <w:proofErr w:type="spellStart"/>
      <w:r w:rsidR="007907C4" w:rsidRPr="00705170">
        <w:rPr>
          <w:rFonts w:ascii="Times New Roman" w:hAnsi="Times New Roman" w:cs="Times New Roman"/>
        </w:rPr>
        <w:t>losses</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arising</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from</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these</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transactions</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would</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make</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the</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parent’s</w:t>
      </w:r>
      <w:proofErr w:type="spellEnd"/>
      <w:r w:rsidR="00F8538C" w:rsidRPr="00705170">
        <w:rPr>
          <w:rFonts w:ascii="Times New Roman" w:hAnsi="Times New Roman" w:cs="Times New Roman"/>
        </w:rPr>
        <w:t xml:space="preserve"> board of </w:t>
      </w:r>
      <w:proofErr w:type="spellStart"/>
      <w:r w:rsidR="00F8538C" w:rsidRPr="00705170">
        <w:rPr>
          <w:rFonts w:ascii="Times New Roman" w:hAnsi="Times New Roman" w:cs="Times New Roman"/>
        </w:rPr>
        <w:t>directors</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liable</w:t>
      </w:r>
      <w:proofErr w:type="spellEnd"/>
      <w:r w:rsidR="00F8538C" w:rsidRPr="00705170">
        <w:rPr>
          <w:rFonts w:ascii="Times New Roman" w:hAnsi="Times New Roman" w:cs="Times New Roman"/>
        </w:rPr>
        <w:t>,</w:t>
      </w:r>
      <w:r w:rsidR="005568A0" w:rsidRPr="00705170">
        <w:rPr>
          <w:rFonts w:ascii="Times New Roman" w:hAnsi="Times New Roman" w:cs="Times New Roman"/>
        </w:rPr>
        <w:t xml:space="preserve"> </w:t>
      </w:r>
      <w:proofErr w:type="spellStart"/>
      <w:r w:rsidR="005568A0" w:rsidRPr="00705170">
        <w:rPr>
          <w:rFonts w:ascii="Times New Roman" w:hAnsi="Times New Roman" w:cs="Times New Roman"/>
        </w:rPr>
        <w:t>consequently</w:t>
      </w:r>
      <w:proofErr w:type="spellEnd"/>
      <w:r w:rsidR="005568A0" w:rsidRPr="00705170">
        <w:rPr>
          <w:rFonts w:ascii="Times New Roman" w:hAnsi="Times New Roman" w:cs="Times New Roman"/>
        </w:rPr>
        <w:t xml:space="preserve"> </w:t>
      </w:r>
      <w:proofErr w:type="spellStart"/>
      <w:r w:rsidR="005568A0" w:rsidRPr="00705170">
        <w:rPr>
          <w:rFonts w:ascii="Times New Roman" w:hAnsi="Times New Roman" w:cs="Times New Roman"/>
        </w:rPr>
        <w:t>the</w:t>
      </w:r>
      <w:proofErr w:type="spellEnd"/>
      <w:r w:rsidR="005568A0" w:rsidRPr="00705170">
        <w:rPr>
          <w:rFonts w:ascii="Times New Roman" w:hAnsi="Times New Roman" w:cs="Times New Roman"/>
        </w:rPr>
        <w:t xml:space="preserve"> </w:t>
      </w:r>
      <w:proofErr w:type="spellStart"/>
      <w:r w:rsidR="005568A0" w:rsidRPr="00705170">
        <w:rPr>
          <w:rFonts w:ascii="Times New Roman" w:hAnsi="Times New Roman" w:cs="Times New Roman"/>
        </w:rPr>
        <w:t>parent</w:t>
      </w:r>
      <w:proofErr w:type="spellEnd"/>
      <w:r w:rsidR="005568A0" w:rsidRPr="00705170">
        <w:rPr>
          <w:rFonts w:ascii="Times New Roman" w:hAnsi="Times New Roman" w:cs="Times New Roman"/>
        </w:rPr>
        <w:t>,</w:t>
      </w:r>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only</w:t>
      </w:r>
      <w:proofErr w:type="spellEnd"/>
      <w:r w:rsidR="00F8538C" w:rsidRPr="00705170">
        <w:rPr>
          <w:rFonts w:ascii="Times New Roman" w:hAnsi="Times New Roman" w:cs="Times New Roman"/>
        </w:rPr>
        <w:t xml:space="preserve"> </w:t>
      </w:r>
      <w:proofErr w:type="spellStart"/>
      <w:r w:rsidR="0097363F" w:rsidRPr="00705170">
        <w:rPr>
          <w:rFonts w:ascii="Times New Roman" w:hAnsi="Times New Roman" w:cs="Times New Roman"/>
        </w:rPr>
        <w:t>if</w:t>
      </w:r>
      <w:proofErr w:type="spellEnd"/>
      <w:r w:rsidR="0097363F" w:rsidRPr="00705170">
        <w:rPr>
          <w:rFonts w:ascii="Times New Roman" w:hAnsi="Times New Roman" w:cs="Times New Roman"/>
        </w:rPr>
        <w:t xml:space="preserve"> </w:t>
      </w:r>
      <w:proofErr w:type="spellStart"/>
      <w:r w:rsidR="0097363F" w:rsidRPr="00705170">
        <w:rPr>
          <w:rFonts w:ascii="Times New Roman" w:hAnsi="Times New Roman" w:cs="Times New Roman"/>
        </w:rPr>
        <w:t>these</w:t>
      </w:r>
      <w:proofErr w:type="spellEnd"/>
      <w:r w:rsidR="0097363F" w:rsidRPr="00705170">
        <w:rPr>
          <w:rFonts w:ascii="Times New Roman" w:hAnsi="Times New Roman" w:cs="Times New Roman"/>
        </w:rPr>
        <w:t xml:space="preserve"> </w:t>
      </w:r>
      <w:proofErr w:type="spellStart"/>
      <w:r w:rsidR="0097363F" w:rsidRPr="00705170">
        <w:rPr>
          <w:rFonts w:ascii="Times New Roman" w:hAnsi="Times New Roman" w:cs="Times New Roman"/>
        </w:rPr>
        <w:t>transactions</w:t>
      </w:r>
      <w:proofErr w:type="spellEnd"/>
      <w:r w:rsidR="0097363F" w:rsidRPr="00705170">
        <w:rPr>
          <w:rFonts w:ascii="Times New Roman" w:hAnsi="Times New Roman" w:cs="Times New Roman"/>
        </w:rPr>
        <w:t xml:space="preserve"> </w:t>
      </w:r>
      <w:proofErr w:type="spellStart"/>
      <w:r w:rsidR="0097363F" w:rsidRPr="00705170">
        <w:rPr>
          <w:rFonts w:ascii="Times New Roman" w:hAnsi="Times New Roman" w:cs="Times New Roman"/>
        </w:rPr>
        <w:t>are</w:t>
      </w:r>
      <w:proofErr w:type="spellEnd"/>
      <w:r w:rsidR="0097363F" w:rsidRPr="00705170">
        <w:rPr>
          <w:rFonts w:ascii="Times New Roman" w:hAnsi="Times New Roman" w:cs="Times New Roman"/>
        </w:rPr>
        <w:t xml:space="preserve"> </w:t>
      </w:r>
      <w:proofErr w:type="spellStart"/>
      <w:r w:rsidR="0097363F" w:rsidRPr="00705170">
        <w:rPr>
          <w:rFonts w:ascii="Times New Roman" w:hAnsi="Times New Roman" w:cs="Times New Roman"/>
        </w:rPr>
        <w:t>ones</w:t>
      </w:r>
      <w:proofErr w:type="spellEnd"/>
      <w:r w:rsidR="0097363F" w:rsidRPr="00705170">
        <w:rPr>
          <w:rFonts w:ascii="Times New Roman" w:hAnsi="Times New Roman" w:cs="Times New Roman"/>
        </w:rPr>
        <w:t xml:space="preserve"> </w:t>
      </w:r>
      <w:proofErr w:type="spellStart"/>
      <w:r w:rsidR="0097363F" w:rsidRPr="00705170">
        <w:rPr>
          <w:rFonts w:ascii="Times New Roman" w:hAnsi="Times New Roman" w:cs="Times New Roman"/>
        </w:rPr>
        <w:t>that</w:t>
      </w:r>
      <w:proofErr w:type="spellEnd"/>
      <w:r w:rsidR="0097363F" w:rsidRPr="00705170">
        <w:rPr>
          <w:rFonts w:ascii="Times New Roman" w:hAnsi="Times New Roman" w:cs="Times New Roman"/>
        </w:rPr>
        <w:t xml:space="preserve"> a </w:t>
      </w:r>
      <w:proofErr w:type="spellStart"/>
      <w:r w:rsidR="0097363F" w:rsidRPr="00705170">
        <w:rPr>
          <w:rFonts w:ascii="Times New Roman" w:hAnsi="Times New Roman" w:cs="Times New Roman"/>
        </w:rPr>
        <w:t>faithful</w:t>
      </w:r>
      <w:proofErr w:type="spellEnd"/>
      <w:r w:rsidR="0097363F" w:rsidRPr="00705170">
        <w:rPr>
          <w:rFonts w:ascii="Times New Roman" w:hAnsi="Times New Roman" w:cs="Times New Roman"/>
        </w:rPr>
        <w:t xml:space="preserve"> </w:t>
      </w:r>
      <w:proofErr w:type="spellStart"/>
      <w:r w:rsidR="0097363F" w:rsidRPr="00705170">
        <w:rPr>
          <w:rFonts w:ascii="Times New Roman" w:hAnsi="Times New Roman" w:cs="Times New Roman"/>
        </w:rPr>
        <w:t>and</w:t>
      </w:r>
      <w:proofErr w:type="spellEnd"/>
      <w:r w:rsidR="0097363F" w:rsidRPr="00705170">
        <w:rPr>
          <w:rFonts w:ascii="Times New Roman" w:hAnsi="Times New Roman" w:cs="Times New Roman"/>
        </w:rPr>
        <w:t xml:space="preserve"> </w:t>
      </w:r>
      <w:proofErr w:type="spellStart"/>
      <w:r w:rsidR="0097363F" w:rsidRPr="00705170">
        <w:rPr>
          <w:rFonts w:ascii="Times New Roman" w:hAnsi="Times New Roman" w:cs="Times New Roman"/>
        </w:rPr>
        <w:t>cautious</w:t>
      </w:r>
      <w:proofErr w:type="spellEnd"/>
      <w:r w:rsidR="0097363F" w:rsidRPr="00705170">
        <w:rPr>
          <w:rFonts w:ascii="Times New Roman" w:hAnsi="Times New Roman" w:cs="Times New Roman"/>
        </w:rPr>
        <w:t xml:space="preserve"> </w:t>
      </w:r>
      <w:proofErr w:type="spellStart"/>
      <w:r w:rsidR="0097363F" w:rsidRPr="00705170">
        <w:rPr>
          <w:rFonts w:ascii="Times New Roman" w:hAnsi="Times New Roman" w:cs="Times New Roman"/>
        </w:rPr>
        <w:t>managers</w:t>
      </w:r>
      <w:proofErr w:type="spellEnd"/>
      <w:r w:rsidR="0097363F" w:rsidRPr="00705170">
        <w:rPr>
          <w:rFonts w:ascii="Times New Roman" w:hAnsi="Times New Roman" w:cs="Times New Roman"/>
        </w:rPr>
        <w:t xml:space="preserve"> of an </w:t>
      </w:r>
      <w:proofErr w:type="spellStart"/>
      <w:r w:rsidR="0097363F" w:rsidRPr="00705170">
        <w:rPr>
          <w:rFonts w:ascii="Times New Roman" w:hAnsi="Times New Roman" w:cs="Times New Roman"/>
        </w:rPr>
        <w:t>independent</w:t>
      </w:r>
      <w:proofErr w:type="spellEnd"/>
      <w:r w:rsidR="0097363F" w:rsidRPr="00705170">
        <w:rPr>
          <w:rFonts w:ascii="Times New Roman" w:hAnsi="Times New Roman" w:cs="Times New Roman"/>
        </w:rPr>
        <w:t xml:space="preserve"> </w:t>
      </w:r>
      <w:proofErr w:type="spellStart"/>
      <w:r w:rsidR="0097363F" w:rsidRPr="00705170">
        <w:rPr>
          <w:rFonts w:ascii="Times New Roman" w:hAnsi="Times New Roman" w:cs="Times New Roman"/>
        </w:rPr>
        <w:t>corporation</w:t>
      </w:r>
      <w:proofErr w:type="spellEnd"/>
      <w:r w:rsidR="0097363F" w:rsidRPr="00705170">
        <w:rPr>
          <w:rFonts w:ascii="Times New Roman" w:hAnsi="Times New Roman" w:cs="Times New Roman"/>
        </w:rPr>
        <w:t xml:space="preserve"> </w:t>
      </w:r>
      <w:proofErr w:type="spellStart"/>
      <w:r w:rsidR="0097363F" w:rsidRPr="00705170">
        <w:rPr>
          <w:rFonts w:ascii="Times New Roman" w:hAnsi="Times New Roman" w:cs="Times New Roman"/>
        </w:rPr>
        <w:t>would</w:t>
      </w:r>
      <w:proofErr w:type="spellEnd"/>
      <w:r w:rsidR="0097363F" w:rsidRPr="00705170">
        <w:rPr>
          <w:rFonts w:ascii="Times New Roman" w:hAnsi="Times New Roman" w:cs="Times New Roman"/>
        </w:rPr>
        <w:t xml:space="preserve"> not </w:t>
      </w:r>
      <w:proofErr w:type="spellStart"/>
      <w:r w:rsidR="0097363F" w:rsidRPr="00705170">
        <w:rPr>
          <w:rFonts w:ascii="Times New Roman" w:hAnsi="Times New Roman" w:cs="Times New Roman"/>
        </w:rPr>
        <w:t>ap</w:t>
      </w:r>
      <w:r w:rsidR="00F8538C" w:rsidRPr="00705170">
        <w:rPr>
          <w:rFonts w:ascii="Times New Roman" w:hAnsi="Times New Roman" w:cs="Times New Roman"/>
        </w:rPr>
        <w:t>prove</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under</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the</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same</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conditions</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Article</w:t>
      </w:r>
      <w:proofErr w:type="spellEnd"/>
      <w:r w:rsidR="00FD7073" w:rsidRPr="00705170">
        <w:rPr>
          <w:rFonts w:ascii="Times New Roman" w:hAnsi="Times New Roman" w:cs="Times New Roman"/>
        </w:rPr>
        <w:t xml:space="preserve"> 202(1)(d))</w:t>
      </w:r>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To</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avoid</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liability</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the</w:t>
      </w:r>
      <w:proofErr w:type="spellEnd"/>
      <w:r w:rsidR="00F8538C" w:rsidRPr="00705170">
        <w:rPr>
          <w:rFonts w:ascii="Times New Roman" w:hAnsi="Times New Roman" w:cs="Times New Roman"/>
        </w:rPr>
        <w:t xml:space="preserve"> </w:t>
      </w:r>
      <w:proofErr w:type="spellStart"/>
      <w:r w:rsidR="005568A0" w:rsidRPr="00705170">
        <w:rPr>
          <w:rFonts w:ascii="Times New Roman" w:hAnsi="Times New Roman" w:cs="Times New Roman"/>
        </w:rPr>
        <w:t>parent</w:t>
      </w:r>
      <w:proofErr w:type="spellEnd"/>
      <w:r w:rsidR="005568A0" w:rsidRPr="00705170">
        <w:rPr>
          <w:rFonts w:ascii="Times New Roman" w:hAnsi="Times New Roman" w:cs="Times New Roman"/>
        </w:rPr>
        <w:t xml:space="preserve"> can </w:t>
      </w:r>
      <w:proofErr w:type="spellStart"/>
      <w:r w:rsidR="005568A0" w:rsidRPr="00705170">
        <w:rPr>
          <w:rFonts w:ascii="Times New Roman" w:hAnsi="Times New Roman" w:cs="Times New Roman"/>
        </w:rPr>
        <w:t>compensate</w:t>
      </w:r>
      <w:proofErr w:type="spellEnd"/>
      <w:r w:rsidR="005568A0" w:rsidRPr="00705170">
        <w:rPr>
          <w:rFonts w:ascii="Times New Roman" w:hAnsi="Times New Roman" w:cs="Times New Roman"/>
        </w:rPr>
        <w:t xml:space="preserve"> </w:t>
      </w:r>
      <w:proofErr w:type="spellStart"/>
      <w:r w:rsidR="005568A0" w:rsidRPr="00705170">
        <w:rPr>
          <w:rFonts w:ascii="Times New Roman" w:hAnsi="Times New Roman" w:cs="Times New Roman"/>
        </w:rPr>
        <w:t>the</w:t>
      </w:r>
      <w:proofErr w:type="spellEnd"/>
      <w:r w:rsidR="005568A0" w:rsidRPr="00705170">
        <w:rPr>
          <w:rFonts w:ascii="Times New Roman" w:hAnsi="Times New Roman" w:cs="Times New Roman"/>
        </w:rPr>
        <w:t xml:space="preserve"> </w:t>
      </w:r>
      <w:proofErr w:type="spellStart"/>
      <w:r w:rsidR="005568A0" w:rsidRPr="00705170">
        <w:rPr>
          <w:rFonts w:ascii="Times New Roman" w:hAnsi="Times New Roman" w:cs="Times New Roman"/>
        </w:rPr>
        <w:t>loss</w:t>
      </w:r>
      <w:proofErr w:type="spellEnd"/>
      <w:r w:rsidR="00F8538C" w:rsidRPr="00705170">
        <w:rPr>
          <w:rFonts w:ascii="Times New Roman" w:hAnsi="Times New Roman" w:cs="Times New Roman"/>
        </w:rPr>
        <w:t xml:space="preserve"> of </w:t>
      </w:r>
      <w:proofErr w:type="spellStart"/>
      <w:r w:rsidR="00F8538C" w:rsidRPr="00705170">
        <w:rPr>
          <w:rFonts w:ascii="Times New Roman" w:hAnsi="Times New Roman" w:cs="Times New Roman"/>
        </w:rPr>
        <w:t>the</w:t>
      </w:r>
      <w:proofErr w:type="spellEnd"/>
      <w:r w:rsidR="00F8538C" w:rsidRPr="00705170">
        <w:rPr>
          <w:rFonts w:ascii="Times New Roman" w:hAnsi="Times New Roman" w:cs="Times New Roman"/>
        </w:rPr>
        <w:t xml:space="preserve"> </w:t>
      </w:r>
      <w:proofErr w:type="spellStart"/>
      <w:r w:rsidR="00F8538C" w:rsidRPr="00705170">
        <w:rPr>
          <w:rFonts w:ascii="Times New Roman" w:hAnsi="Times New Roman" w:cs="Times New Roman"/>
        </w:rPr>
        <w:t>subsidiary</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Article</w:t>
      </w:r>
      <w:proofErr w:type="spellEnd"/>
      <w:r w:rsidR="00FD7073" w:rsidRPr="00705170">
        <w:rPr>
          <w:rFonts w:ascii="Times New Roman" w:hAnsi="Times New Roman" w:cs="Times New Roman"/>
        </w:rPr>
        <w:t xml:space="preserve"> </w:t>
      </w:r>
      <w:r w:rsidR="00FD7073" w:rsidRPr="00705170">
        <w:rPr>
          <w:rFonts w:ascii="Times New Roman" w:hAnsi="Times New Roman" w:cs="Times New Roman"/>
        </w:rPr>
        <w:lastRenderedPageBreak/>
        <w:t>202(1)(a))</w:t>
      </w:r>
      <w:r w:rsidR="00F8538C" w:rsidRPr="00705170">
        <w:rPr>
          <w:rFonts w:ascii="Times New Roman" w:hAnsi="Times New Roman" w:cs="Times New Roman"/>
        </w:rPr>
        <w:t>.</w:t>
      </w:r>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However</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if</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the</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parent</w:t>
      </w:r>
      <w:proofErr w:type="spellEnd"/>
      <w:r w:rsidR="007907C4" w:rsidRPr="00705170">
        <w:rPr>
          <w:rFonts w:ascii="Times New Roman" w:hAnsi="Times New Roman" w:cs="Times New Roman"/>
        </w:rPr>
        <w:t xml:space="preserve"> </w:t>
      </w:r>
      <w:proofErr w:type="spellStart"/>
      <w:r w:rsidR="00FD7073" w:rsidRPr="00705170">
        <w:rPr>
          <w:rFonts w:ascii="Times New Roman" w:hAnsi="Times New Roman" w:cs="Times New Roman"/>
        </w:rPr>
        <w:t>does</w:t>
      </w:r>
      <w:proofErr w:type="spellEnd"/>
      <w:r w:rsidR="007907C4" w:rsidRPr="00705170">
        <w:rPr>
          <w:rFonts w:ascii="Times New Roman" w:hAnsi="Times New Roman" w:cs="Times New Roman"/>
        </w:rPr>
        <w:t xml:space="preserve"> not </w:t>
      </w:r>
      <w:proofErr w:type="spellStart"/>
      <w:r w:rsidR="007907C4" w:rsidRPr="00705170">
        <w:rPr>
          <w:rFonts w:ascii="Times New Roman" w:hAnsi="Times New Roman" w:cs="Times New Roman"/>
        </w:rPr>
        <w:t>compensat</w:t>
      </w:r>
      <w:r w:rsidR="005568A0" w:rsidRPr="00705170">
        <w:rPr>
          <w:rFonts w:ascii="Times New Roman" w:hAnsi="Times New Roman" w:cs="Times New Roman"/>
        </w:rPr>
        <w:t>e</w:t>
      </w:r>
      <w:proofErr w:type="spellEnd"/>
      <w:r w:rsidR="005568A0" w:rsidRPr="00705170">
        <w:rPr>
          <w:rFonts w:ascii="Times New Roman" w:hAnsi="Times New Roman" w:cs="Times New Roman"/>
        </w:rPr>
        <w:t xml:space="preserve"> </w:t>
      </w:r>
      <w:proofErr w:type="spellStart"/>
      <w:r w:rsidR="005568A0" w:rsidRPr="00705170">
        <w:rPr>
          <w:rFonts w:ascii="Times New Roman" w:hAnsi="Times New Roman" w:cs="Times New Roman"/>
        </w:rPr>
        <w:t>the</w:t>
      </w:r>
      <w:proofErr w:type="spellEnd"/>
      <w:r w:rsidR="005568A0" w:rsidRPr="00705170">
        <w:rPr>
          <w:rFonts w:ascii="Times New Roman" w:hAnsi="Times New Roman" w:cs="Times New Roman"/>
        </w:rPr>
        <w:t xml:space="preserve"> </w:t>
      </w:r>
      <w:proofErr w:type="spellStart"/>
      <w:r w:rsidR="005568A0" w:rsidRPr="00705170">
        <w:rPr>
          <w:rFonts w:ascii="Times New Roman" w:hAnsi="Times New Roman" w:cs="Times New Roman"/>
        </w:rPr>
        <w:t>loss</w:t>
      </w:r>
      <w:proofErr w:type="spellEnd"/>
      <w:r w:rsidR="005568A0" w:rsidRPr="00705170">
        <w:rPr>
          <w:rFonts w:ascii="Times New Roman" w:hAnsi="Times New Roman" w:cs="Times New Roman"/>
        </w:rPr>
        <w:t xml:space="preserve"> </w:t>
      </w:r>
      <w:proofErr w:type="spellStart"/>
      <w:r w:rsidR="005568A0" w:rsidRPr="00705170">
        <w:rPr>
          <w:rFonts w:ascii="Times New Roman" w:hAnsi="Times New Roman" w:cs="Times New Roman"/>
        </w:rPr>
        <w:t>until</w:t>
      </w:r>
      <w:proofErr w:type="spellEnd"/>
      <w:r w:rsidR="005568A0" w:rsidRPr="00705170">
        <w:rPr>
          <w:rFonts w:ascii="Times New Roman" w:hAnsi="Times New Roman" w:cs="Times New Roman"/>
        </w:rPr>
        <w:t xml:space="preserve"> </w:t>
      </w:r>
      <w:proofErr w:type="spellStart"/>
      <w:r w:rsidR="005568A0" w:rsidRPr="00705170">
        <w:rPr>
          <w:rFonts w:ascii="Times New Roman" w:hAnsi="Times New Roman" w:cs="Times New Roman"/>
        </w:rPr>
        <w:t>the</w:t>
      </w:r>
      <w:proofErr w:type="spellEnd"/>
      <w:r w:rsidR="005568A0" w:rsidRPr="00705170">
        <w:rPr>
          <w:rFonts w:ascii="Times New Roman" w:hAnsi="Times New Roman" w:cs="Times New Roman"/>
        </w:rPr>
        <w:t xml:space="preserve"> </w:t>
      </w:r>
      <w:proofErr w:type="spellStart"/>
      <w:r w:rsidR="005568A0" w:rsidRPr="00705170">
        <w:rPr>
          <w:rFonts w:ascii="Times New Roman" w:hAnsi="Times New Roman" w:cs="Times New Roman"/>
        </w:rPr>
        <w:t>end</w:t>
      </w:r>
      <w:proofErr w:type="spellEnd"/>
      <w:r w:rsidR="005568A0" w:rsidRPr="00705170">
        <w:rPr>
          <w:rFonts w:ascii="Times New Roman" w:hAnsi="Times New Roman" w:cs="Times New Roman"/>
        </w:rPr>
        <w:t xml:space="preserve"> of </w:t>
      </w:r>
      <w:proofErr w:type="spellStart"/>
      <w:r w:rsidR="005568A0" w:rsidRPr="00705170">
        <w:rPr>
          <w:rFonts w:ascii="Times New Roman" w:hAnsi="Times New Roman" w:cs="Times New Roman"/>
        </w:rPr>
        <w:t>the</w:t>
      </w:r>
      <w:proofErr w:type="spellEnd"/>
      <w:r w:rsidR="005568A0" w:rsidRPr="00705170">
        <w:rPr>
          <w:rFonts w:ascii="Times New Roman" w:hAnsi="Times New Roman" w:cs="Times New Roman"/>
        </w:rPr>
        <w:t xml:space="preserve"> </w:t>
      </w:r>
      <w:proofErr w:type="spellStart"/>
      <w:r w:rsidR="00FD7073" w:rsidRPr="00705170">
        <w:rPr>
          <w:rFonts w:ascii="Times New Roman" w:hAnsi="Times New Roman" w:cs="Times New Roman"/>
        </w:rPr>
        <w:t>operation</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year</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the</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minority</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shareholders</w:t>
      </w:r>
      <w:proofErr w:type="spellEnd"/>
      <w:r w:rsidR="007907C4" w:rsidRPr="00705170">
        <w:rPr>
          <w:rFonts w:ascii="Times New Roman" w:hAnsi="Times New Roman" w:cs="Times New Roman"/>
        </w:rPr>
        <w:t xml:space="preserve"> </w:t>
      </w:r>
      <w:proofErr w:type="spellStart"/>
      <w:r w:rsidR="00870996" w:rsidRPr="00705170">
        <w:rPr>
          <w:rFonts w:ascii="Times New Roman" w:hAnsi="Times New Roman" w:cs="Times New Roman"/>
        </w:rPr>
        <w:t>or</w:t>
      </w:r>
      <w:proofErr w:type="spellEnd"/>
      <w:r w:rsidR="00870996" w:rsidRPr="00705170">
        <w:rPr>
          <w:rFonts w:ascii="Times New Roman" w:hAnsi="Times New Roman" w:cs="Times New Roman"/>
        </w:rPr>
        <w:t xml:space="preserve"> </w:t>
      </w:r>
      <w:proofErr w:type="spellStart"/>
      <w:r w:rsidR="00870996" w:rsidRPr="00705170">
        <w:rPr>
          <w:rFonts w:ascii="Times New Roman" w:hAnsi="Times New Roman" w:cs="Times New Roman"/>
        </w:rPr>
        <w:t>the</w:t>
      </w:r>
      <w:proofErr w:type="spellEnd"/>
      <w:r w:rsidR="00870996" w:rsidRPr="00705170">
        <w:rPr>
          <w:rFonts w:ascii="Times New Roman" w:hAnsi="Times New Roman" w:cs="Times New Roman"/>
        </w:rPr>
        <w:t xml:space="preserve"> </w:t>
      </w:r>
      <w:proofErr w:type="spellStart"/>
      <w:r w:rsidR="00870996" w:rsidRPr="00705170">
        <w:rPr>
          <w:rFonts w:ascii="Times New Roman" w:hAnsi="Times New Roman" w:cs="Times New Roman"/>
        </w:rPr>
        <w:t>creditors</w:t>
      </w:r>
      <w:proofErr w:type="spellEnd"/>
      <w:r w:rsidR="00870996" w:rsidRPr="00705170">
        <w:rPr>
          <w:rFonts w:ascii="Times New Roman" w:hAnsi="Times New Roman" w:cs="Times New Roman"/>
        </w:rPr>
        <w:t xml:space="preserve"> (</w:t>
      </w:r>
      <w:proofErr w:type="spellStart"/>
      <w:r w:rsidR="00870996" w:rsidRPr="00705170">
        <w:rPr>
          <w:rFonts w:ascii="Times New Roman" w:hAnsi="Times New Roman" w:cs="Times New Roman"/>
        </w:rPr>
        <w:t>even</w:t>
      </w:r>
      <w:proofErr w:type="spellEnd"/>
      <w:r w:rsidR="00870996" w:rsidRPr="00705170">
        <w:rPr>
          <w:rFonts w:ascii="Times New Roman" w:hAnsi="Times New Roman" w:cs="Times New Roman"/>
        </w:rPr>
        <w:t xml:space="preserve"> </w:t>
      </w:r>
      <w:proofErr w:type="spellStart"/>
      <w:r w:rsidR="00870996" w:rsidRPr="00705170">
        <w:rPr>
          <w:rFonts w:ascii="Times New Roman" w:hAnsi="Times New Roman" w:cs="Times New Roman"/>
        </w:rPr>
        <w:t>if</w:t>
      </w:r>
      <w:proofErr w:type="spellEnd"/>
      <w:r w:rsidR="00870996" w:rsidRPr="00705170">
        <w:rPr>
          <w:rFonts w:ascii="Times New Roman" w:hAnsi="Times New Roman" w:cs="Times New Roman"/>
        </w:rPr>
        <w:t xml:space="preserve"> </w:t>
      </w:r>
      <w:proofErr w:type="spellStart"/>
      <w:r w:rsidR="00870996" w:rsidRPr="00705170">
        <w:rPr>
          <w:rFonts w:ascii="Times New Roman" w:hAnsi="Times New Roman" w:cs="Times New Roman"/>
        </w:rPr>
        <w:t>the</w:t>
      </w:r>
      <w:proofErr w:type="spellEnd"/>
      <w:r w:rsidR="00870996" w:rsidRPr="00705170">
        <w:rPr>
          <w:rFonts w:ascii="Times New Roman" w:hAnsi="Times New Roman" w:cs="Times New Roman"/>
        </w:rPr>
        <w:t xml:space="preserve"> </w:t>
      </w:r>
      <w:proofErr w:type="spellStart"/>
      <w:r w:rsidR="00870996" w:rsidRPr="00705170">
        <w:rPr>
          <w:rFonts w:ascii="Times New Roman" w:hAnsi="Times New Roman" w:cs="Times New Roman"/>
        </w:rPr>
        <w:t>corporation</w:t>
      </w:r>
      <w:proofErr w:type="spellEnd"/>
      <w:r w:rsidR="00870996" w:rsidRPr="00705170">
        <w:rPr>
          <w:rFonts w:ascii="Times New Roman" w:hAnsi="Times New Roman" w:cs="Times New Roman"/>
        </w:rPr>
        <w:t xml:space="preserve"> is </w:t>
      </w:r>
      <w:proofErr w:type="spellStart"/>
      <w:r w:rsidR="00870996" w:rsidRPr="00705170">
        <w:rPr>
          <w:rFonts w:ascii="Times New Roman" w:hAnsi="Times New Roman" w:cs="Times New Roman"/>
        </w:rPr>
        <w:t>solvent</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Article</w:t>
      </w:r>
      <w:proofErr w:type="spellEnd"/>
      <w:r w:rsidR="00FD7073" w:rsidRPr="00705170">
        <w:rPr>
          <w:rFonts w:ascii="Times New Roman" w:hAnsi="Times New Roman" w:cs="Times New Roman"/>
        </w:rPr>
        <w:t xml:space="preserve"> 202(1)(c)</w:t>
      </w:r>
      <w:r w:rsidR="00870996" w:rsidRPr="00705170">
        <w:rPr>
          <w:rFonts w:ascii="Times New Roman" w:hAnsi="Times New Roman" w:cs="Times New Roman"/>
        </w:rPr>
        <w:t xml:space="preserve">) </w:t>
      </w:r>
      <w:r w:rsidR="007907C4" w:rsidRPr="00705170">
        <w:rPr>
          <w:rFonts w:ascii="Times New Roman" w:hAnsi="Times New Roman" w:cs="Times New Roman"/>
        </w:rPr>
        <w:t xml:space="preserve">can </w:t>
      </w:r>
      <w:proofErr w:type="spellStart"/>
      <w:r w:rsidR="007907C4" w:rsidRPr="00705170">
        <w:rPr>
          <w:rFonts w:ascii="Times New Roman" w:hAnsi="Times New Roman" w:cs="Times New Roman"/>
        </w:rPr>
        <w:t>sue</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the</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parent</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demanding</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the</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parent</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to</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compensate</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the</w:t>
      </w:r>
      <w:proofErr w:type="spellEnd"/>
      <w:r w:rsidR="007907C4" w:rsidRPr="00705170">
        <w:rPr>
          <w:rFonts w:ascii="Times New Roman" w:hAnsi="Times New Roman" w:cs="Times New Roman"/>
        </w:rPr>
        <w:t xml:space="preserve"> </w:t>
      </w:r>
      <w:proofErr w:type="spellStart"/>
      <w:r w:rsidR="00870996" w:rsidRPr="00705170">
        <w:rPr>
          <w:rFonts w:ascii="Times New Roman" w:hAnsi="Times New Roman" w:cs="Times New Roman"/>
        </w:rPr>
        <w:t>loss</w:t>
      </w:r>
      <w:proofErr w:type="spellEnd"/>
      <w:r w:rsidR="00870996" w:rsidRPr="00705170">
        <w:rPr>
          <w:rFonts w:ascii="Times New Roman" w:hAnsi="Times New Roman" w:cs="Times New Roman"/>
        </w:rPr>
        <w:t xml:space="preserve"> of </w:t>
      </w:r>
      <w:proofErr w:type="spellStart"/>
      <w:r w:rsidR="00870996" w:rsidRPr="00705170">
        <w:rPr>
          <w:rFonts w:ascii="Times New Roman" w:hAnsi="Times New Roman" w:cs="Times New Roman"/>
        </w:rPr>
        <w:t>the</w:t>
      </w:r>
      <w:proofErr w:type="spellEnd"/>
      <w:r w:rsidR="00870996" w:rsidRPr="00705170">
        <w:rPr>
          <w:rFonts w:ascii="Times New Roman" w:hAnsi="Times New Roman" w:cs="Times New Roman"/>
        </w:rPr>
        <w:t xml:space="preserve"> </w:t>
      </w:r>
      <w:proofErr w:type="spellStart"/>
      <w:r w:rsidR="00870996" w:rsidRPr="00705170">
        <w:rPr>
          <w:rFonts w:ascii="Times New Roman" w:hAnsi="Times New Roman" w:cs="Times New Roman"/>
        </w:rPr>
        <w:t>corporation</w:t>
      </w:r>
      <w:proofErr w:type="spellEnd"/>
      <w:r w:rsidR="00870996" w:rsidRPr="00705170">
        <w:rPr>
          <w:rFonts w:ascii="Times New Roman" w:hAnsi="Times New Roman" w:cs="Times New Roman"/>
        </w:rPr>
        <w:t xml:space="preserve">, </w:t>
      </w:r>
      <w:proofErr w:type="spellStart"/>
      <w:r w:rsidR="00870996" w:rsidRPr="00705170">
        <w:rPr>
          <w:rFonts w:ascii="Times New Roman" w:hAnsi="Times New Roman" w:cs="Times New Roman"/>
        </w:rPr>
        <w:t>or</w:t>
      </w:r>
      <w:proofErr w:type="spellEnd"/>
      <w:r w:rsidR="00870996" w:rsidRPr="00705170">
        <w:rPr>
          <w:rFonts w:ascii="Times New Roman" w:hAnsi="Times New Roman" w:cs="Times New Roman"/>
        </w:rPr>
        <w:t xml:space="preserve"> </w:t>
      </w:r>
      <w:proofErr w:type="spellStart"/>
      <w:r w:rsidR="00870996" w:rsidRPr="00705170">
        <w:rPr>
          <w:rFonts w:ascii="Times New Roman" w:hAnsi="Times New Roman" w:cs="Times New Roman"/>
        </w:rPr>
        <w:t>alternatively</w:t>
      </w:r>
      <w:proofErr w:type="spellEnd"/>
      <w:r w:rsidR="00870996" w:rsidRPr="00705170">
        <w:rPr>
          <w:rFonts w:ascii="Times New Roman" w:hAnsi="Times New Roman" w:cs="Times New Roman"/>
        </w:rPr>
        <w:t>,</w:t>
      </w:r>
      <w:r w:rsidR="007907C4" w:rsidRPr="00705170">
        <w:rPr>
          <w:rFonts w:ascii="Times New Roman" w:hAnsi="Times New Roman" w:cs="Times New Roman"/>
        </w:rPr>
        <w:t xml:space="preserve"> </w:t>
      </w:r>
      <w:proofErr w:type="spellStart"/>
      <w:r w:rsidR="00870996" w:rsidRPr="00705170">
        <w:rPr>
          <w:rFonts w:ascii="Times New Roman" w:hAnsi="Times New Roman" w:cs="Times New Roman"/>
        </w:rPr>
        <w:t>the</w:t>
      </w:r>
      <w:proofErr w:type="spellEnd"/>
      <w:r w:rsidR="00870996" w:rsidRPr="00705170">
        <w:rPr>
          <w:rFonts w:ascii="Times New Roman" w:hAnsi="Times New Roman" w:cs="Times New Roman"/>
        </w:rPr>
        <w:t xml:space="preserve"> </w:t>
      </w:r>
      <w:proofErr w:type="spellStart"/>
      <w:r w:rsidR="00870996" w:rsidRPr="00705170">
        <w:rPr>
          <w:rFonts w:ascii="Times New Roman" w:hAnsi="Times New Roman" w:cs="Times New Roman"/>
        </w:rPr>
        <w:t>complaning</w:t>
      </w:r>
      <w:proofErr w:type="spellEnd"/>
      <w:r w:rsidR="00870996" w:rsidRPr="00705170">
        <w:rPr>
          <w:rFonts w:ascii="Times New Roman" w:hAnsi="Times New Roman" w:cs="Times New Roman"/>
        </w:rPr>
        <w:t xml:space="preserve"> </w:t>
      </w:r>
      <w:proofErr w:type="spellStart"/>
      <w:r w:rsidR="00870996" w:rsidRPr="00705170">
        <w:rPr>
          <w:rFonts w:ascii="Times New Roman" w:hAnsi="Times New Roman" w:cs="Times New Roman"/>
        </w:rPr>
        <w:t>shareholders</w:t>
      </w:r>
      <w:proofErr w:type="spellEnd"/>
      <w:r w:rsidR="00870996" w:rsidRPr="00705170">
        <w:rPr>
          <w:rFonts w:ascii="Times New Roman" w:hAnsi="Times New Roman" w:cs="Times New Roman"/>
        </w:rPr>
        <w:t xml:space="preserve"> can </w:t>
      </w:r>
      <w:proofErr w:type="spellStart"/>
      <w:r w:rsidR="007907C4" w:rsidRPr="00705170">
        <w:rPr>
          <w:rFonts w:ascii="Times New Roman" w:hAnsi="Times New Roman" w:cs="Times New Roman"/>
        </w:rPr>
        <w:t>demand</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the</w:t>
      </w:r>
      <w:proofErr w:type="spellEnd"/>
      <w:r w:rsidR="007907C4" w:rsidRPr="00705170">
        <w:rPr>
          <w:rFonts w:ascii="Times New Roman" w:hAnsi="Times New Roman" w:cs="Times New Roman"/>
        </w:rPr>
        <w:t xml:space="preserve"> buy-</w:t>
      </w:r>
      <w:proofErr w:type="spellStart"/>
      <w:r w:rsidR="007907C4" w:rsidRPr="00705170">
        <w:rPr>
          <w:rFonts w:ascii="Times New Roman" w:hAnsi="Times New Roman" w:cs="Times New Roman"/>
        </w:rPr>
        <w:t>out</w:t>
      </w:r>
      <w:proofErr w:type="spellEnd"/>
      <w:r w:rsidR="007907C4" w:rsidRPr="00705170">
        <w:rPr>
          <w:rFonts w:ascii="Times New Roman" w:hAnsi="Times New Roman" w:cs="Times New Roman"/>
        </w:rPr>
        <w:t xml:space="preserve"> of </w:t>
      </w:r>
      <w:proofErr w:type="spellStart"/>
      <w:r w:rsidR="007907C4" w:rsidRPr="00705170">
        <w:rPr>
          <w:rFonts w:ascii="Times New Roman" w:hAnsi="Times New Roman" w:cs="Times New Roman"/>
        </w:rPr>
        <w:t>their</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shares</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by</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the</w:t>
      </w:r>
      <w:proofErr w:type="spellEnd"/>
      <w:r w:rsidR="007907C4" w:rsidRPr="00705170">
        <w:rPr>
          <w:rFonts w:ascii="Times New Roman" w:hAnsi="Times New Roman" w:cs="Times New Roman"/>
        </w:rPr>
        <w:t xml:space="preserve"> </w:t>
      </w:r>
      <w:proofErr w:type="spellStart"/>
      <w:r w:rsidR="007907C4" w:rsidRPr="00705170">
        <w:rPr>
          <w:rFonts w:ascii="Times New Roman" w:hAnsi="Times New Roman" w:cs="Times New Roman"/>
        </w:rPr>
        <w:t>parent</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Article</w:t>
      </w:r>
      <w:proofErr w:type="spellEnd"/>
      <w:r w:rsidR="00FD7073" w:rsidRPr="00705170">
        <w:rPr>
          <w:rFonts w:ascii="Times New Roman" w:hAnsi="Times New Roman" w:cs="Times New Roman"/>
        </w:rPr>
        <w:t xml:space="preserve"> 202(1)(b))</w:t>
      </w:r>
      <w:r w:rsidR="007907C4" w:rsidRPr="00705170">
        <w:rPr>
          <w:rFonts w:ascii="Times New Roman" w:hAnsi="Times New Roman" w:cs="Times New Roman"/>
        </w:rPr>
        <w:t>.</w:t>
      </w:r>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It</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must</w:t>
      </w:r>
      <w:proofErr w:type="spellEnd"/>
      <w:r w:rsidR="008F23BD" w:rsidRPr="00705170">
        <w:rPr>
          <w:rFonts w:ascii="Times New Roman" w:hAnsi="Times New Roman" w:cs="Times New Roman"/>
        </w:rPr>
        <w:t xml:space="preserve"> be </w:t>
      </w:r>
      <w:proofErr w:type="spellStart"/>
      <w:r w:rsidR="008F23BD" w:rsidRPr="00705170">
        <w:rPr>
          <w:rFonts w:ascii="Times New Roman" w:hAnsi="Times New Roman" w:cs="Times New Roman"/>
        </w:rPr>
        <w:t>noted</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that</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if</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subsidiary</w:t>
      </w:r>
      <w:proofErr w:type="spellEnd"/>
      <w:r w:rsidR="008F23BD" w:rsidRPr="00705170">
        <w:rPr>
          <w:rFonts w:ascii="Times New Roman" w:hAnsi="Times New Roman" w:cs="Times New Roman"/>
        </w:rPr>
        <w:t xml:space="preserve"> is a </w:t>
      </w:r>
      <w:proofErr w:type="spellStart"/>
      <w:r w:rsidR="008F23BD" w:rsidRPr="00705170">
        <w:rPr>
          <w:rFonts w:ascii="Times New Roman" w:hAnsi="Times New Roman" w:cs="Times New Roman"/>
        </w:rPr>
        <w:t>wholly-owned</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one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then</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subsidiary’s</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management</w:t>
      </w:r>
      <w:proofErr w:type="spellEnd"/>
      <w:r w:rsidR="008F23BD" w:rsidRPr="00705170">
        <w:rPr>
          <w:rFonts w:ascii="Times New Roman" w:hAnsi="Times New Roman" w:cs="Times New Roman"/>
        </w:rPr>
        <w:t xml:space="preserve"> is </w:t>
      </w:r>
      <w:proofErr w:type="spellStart"/>
      <w:r w:rsidR="008F23BD" w:rsidRPr="00705170">
        <w:rPr>
          <w:rFonts w:ascii="Times New Roman" w:hAnsi="Times New Roman" w:cs="Times New Roman"/>
        </w:rPr>
        <w:t>obliged</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to</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comply</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with</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directions</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coming</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from</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parent</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which</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are</w:t>
      </w:r>
      <w:proofErr w:type="spellEnd"/>
      <w:r w:rsidR="00FD7073" w:rsidRPr="00705170">
        <w:rPr>
          <w:rFonts w:ascii="Times New Roman" w:hAnsi="Times New Roman" w:cs="Times New Roman"/>
        </w:rPr>
        <w:t xml:space="preserve"> a </w:t>
      </w:r>
      <w:proofErr w:type="spellStart"/>
      <w:r w:rsidR="00FD7073" w:rsidRPr="00705170">
        <w:rPr>
          <w:rFonts w:ascii="Times New Roman" w:hAnsi="Times New Roman" w:cs="Times New Roman"/>
        </w:rPr>
        <w:t>part</w:t>
      </w:r>
      <w:proofErr w:type="spellEnd"/>
      <w:r w:rsidR="00FD7073" w:rsidRPr="00705170">
        <w:rPr>
          <w:rFonts w:ascii="Times New Roman" w:hAnsi="Times New Roman" w:cs="Times New Roman"/>
        </w:rPr>
        <w:t xml:space="preserve"> of </w:t>
      </w:r>
      <w:proofErr w:type="spellStart"/>
      <w:r w:rsidR="00FD7073" w:rsidRPr="00705170">
        <w:rPr>
          <w:rFonts w:ascii="Times New Roman" w:hAnsi="Times New Roman" w:cs="Times New Roman"/>
        </w:rPr>
        <w:t>the</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corporate</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group’s</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policy</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Article</w:t>
      </w:r>
      <w:proofErr w:type="spellEnd"/>
      <w:r w:rsidR="00FD7073" w:rsidRPr="00705170">
        <w:rPr>
          <w:rFonts w:ascii="Times New Roman" w:hAnsi="Times New Roman" w:cs="Times New Roman"/>
        </w:rPr>
        <w:t xml:space="preserve"> 203),</w:t>
      </w:r>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unless</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these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will</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make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corporation</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insolvent</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or</w:t>
      </w:r>
      <w:proofErr w:type="spellEnd"/>
      <w:r w:rsidR="00FD7073" w:rsidRPr="00705170">
        <w:rPr>
          <w:rFonts w:ascii="Times New Roman" w:hAnsi="Times New Roman" w:cs="Times New Roman"/>
        </w:rPr>
        <w:t xml:space="preserve"> put in </w:t>
      </w:r>
      <w:proofErr w:type="spellStart"/>
      <w:r w:rsidR="00FD7073" w:rsidRPr="00705170">
        <w:rPr>
          <w:rFonts w:ascii="Times New Roman" w:hAnsi="Times New Roman" w:cs="Times New Roman"/>
        </w:rPr>
        <w:t>zone</w:t>
      </w:r>
      <w:proofErr w:type="spellEnd"/>
      <w:r w:rsidR="00FD7073" w:rsidRPr="00705170">
        <w:rPr>
          <w:rFonts w:ascii="Times New Roman" w:hAnsi="Times New Roman" w:cs="Times New Roman"/>
        </w:rPr>
        <w:t xml:space="preserve"> of </w:t>
      </w:r>
      <w:proofErr w:type="spellStart"/>
      <w:r w:rsidR="00FD7073" w:rsidRPr="00705170">
        <w:rPr>
          <w:rFonts w:ascii="Times New Roman" w:hAnsi="Times New Roman" w:cs="Times New Roman"/>
        </w:rPr>
        <w:t>insolvency</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or</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cause</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the</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loss</w:t>
      </w:r>
      <w:proofErr w:type="spellEnd"/>
      <w:r w:rsidR="00FD7073" w:rsidRPr="00705170">
        <w:rPr>
          <w:rFonts w:ascii="Times New Roman" w:hAnsi="Times New Roman" w:cs="Times New Roman"/>
        </w:rPr>
        <w:t xml:space="preserve"> of </w:t>
      </w:r>
      <w:proofErr w:type="spellStart"/>
      <w:r w:rsidR="00FD7073" w:rsidRPr="00705170">
        <w:rPr>
          <w:rFonts w:ascii="Times New Roman" w:hAnsi="Times New Roman" w:cs="Times New Roman"/>
        </w:rPr>
        <w:t>significant</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assets</w:t>
      </w:r>
      <w:proofErr w:type="spellEnd"/>
      <w:r w:rsidR="00FD7073" w:rsidRPr="00705170">
        <w:rPr>
          <w:rFonts w:ascii="Times New Roman" w:hAnsi="Times New Roman" w:cs="Times New Roman"/>
        </w:rPr>
        <w:t xml:space="preserve"> (</w:t>
      </w:r>
      <w:proofErr w:type="spellStart"/>
      <w:r w:rsidR="00FD7073" w:rsidRPr="00705170">
        <w:rPr>
          <w:rFonts w:ascii="Times New Roman" w:hAnsi="Times New Roman" w:cs="Times New Roman"/>
        </w:rPr>
        <w:t>Article</w:t>
      </w:r>
      <w:proofErr w:type="spellEnd"/>
      <w:r w:rsidR="00FD7073" w:rsidRPr="00705170">
        <w:rPr>
          <w:rFonts w:ascii="Times New Roman" w:hAnsi="Times New Roman" w:cs="Times New Roman"/>
        </w:rPr>
        <w:t xml:space="preserve"> 204)</w:t>
      </w:r>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In</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this</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case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parent</w:t>
      </w:r>
      <w:proofErr w:type="spellEnd"/>
      <w:r w:rsidR="008F23BD" w:rsidRPr="00705170">
        <w:rPr>
          <w:rFonts w:ascii="Times New Roman" w:hAnsi="Times New Roman" w:cs="Times New Roman"/>
        </w:rPr>
        <w:t xml:space="preserve"> can </w:t>
      </w:r>
      <w:proofErr w:type="spellStart"/>
      <w:r w:rsidR="008F23BD" w:rsidRPr="00705170">
        <w:rPr>
          <w:rFonts w:ascii="Times New Roman" w:hAnsi="Times New Roman" w:cs="Times New Roman"/>
        </w:rPr>
        <w:t>again</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avoid</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liability</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by</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compensating</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loss</w:t>
      </w:r>
      <w:proofErr w:type="spellEnd"/>
      <w:r w:rsidR="000050DF" w:rsidRPr="00705170">
        <w:rPr>
          <w:rFonts w:ascii="Times New Roman" w:hAnsi="Times New Roman" w:cs="Times New Roman"/>
        </w:rPr>
        <w:t xml:space="preserve"> (</w:t>
      </w:r>
      <w:proofErr w:type="spellStart"/>
      <w:r w:rsidR="000050DF" w:rsidRPr="00705170">
        <w:rPr>
          <w:rFonts w:ascii="Times New Roman" w:hAnsi="Times New Roman" w:cs="Times New Roman"/>
        </w:rPr>
        <w:t>Article</w:t>
      </w:r>
      <w:proofErr w:type="spellEnd"/>
      <w:r w:rsidR="000050DF" w:rsidRPr="00705170">
        <w:rPr>
          <w:rFonts w:ascii="Times New Roman" w:hAnsi="Times New Roman" w:cs="Times New Roman"/>
        </w:rPr>
        <w:t xml:space="preserve"> 206)</w:t>
      </w:r>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however</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level</w:t>
      </w:r>
      <w:proofErr w:type="spellEnd"/>
      <w:r w:rsidR="008F23BD" w:rsidRPr="00705170">
        <w:rPr>
          <w:rFonts w:ascii="Times New Roman" w:hAnsi="Times New Roman" w:cs="Times New Roman"/>
        </w:rPr>
        <w:t xml:space="preserve"> of </w:t>
      </w:r>
      <w:proofErr w:type="spellStart"/>
      <w:r w:rsidR="008F23BD" w:rsidRPr="00705170">
        <w:rPr>
          <w:rFonts w:ascii="Times New Roman" w:hAnsi="Times New Roman" w:cs="Times New Roman"/>
        </w:rPr>
        <w:t>loss</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that</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should</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occur</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zone</w:t>
      </w:r>
      <w:proofErr w:type="spellEnd"/>
      <w:r w:rsidR="008F23BD" w:rsidRPr="00705170">
        <w:rPr>
          <w:rFonts w:ascii="Times New Roman" w:hAnsi="Times New Roman" w:cs="Times New Roman"/>
        </w:rPr>
        <w:t xml:space="preserve"> of </w:t>
      </w:r>
      <w:proofErr w:type="spellStart"/>
      <w:r w:rsidR="008F23BD" w:rsidRPr="00705170">
        <w:rPr>
          <w:rFonts w:ascii="Times New Roman" w:hAnsi="Times New Roman" w:cs="Times New Roman"/>
        </w:rPr>
        <w:t>insolvency</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for</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establishment</w:t>
      </w:r>
      <w:proofErr w:type="spellEnd"/>
      <w:r w:rsidR="008F23BD" w:rsidRPr="00705170">
        <w:rPr>
          <w:rFonts w:ascii="Times New Roman" w:hAnsi="Times New Roman" w:cs="Times New Roman"/>
        </w:rPr>
        <w:t xml:space="preserve"> of </w:t>
      </w:r>
      <w:proofErr w:type="spellStart"/>
      <w:r w:rsidR="008F23BD" w:rsidRPr="00705170">
        <w:rPr>
          <w:rFonts w:ascii="Times New Roman" w:hAnsi="Times New Roman" w:cs="Times New Roman"/>
        </w:rPr>
        <w:t>any</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liability</w:t>
      </w:r>
      <w:proofErr w:type="spellEnd"/>
      <w:r w:rsidR="008F23BD" w:rsidRPr="00705170">
        <w:rPr>
          <w:rFonts w:ascii="Times New Roman" w:hAnsi="Times New Roman" w:cs="Times New Roman"/>
        </w:rPr>
        <w:t xml:space="preserve"> is </w:t>
      </w:r>
      <w:proofErr w:type="spellStart"/>
      <w:r w:rsidR="008F23BD" w:rsidRPr="00705170">
        <w:rPr>
          <w:rFonts w:ascii="Times New Roman" w:hAnsi="Times New Roman" w:cs="Times New Roman"/>
        </w:rPr>
        <w:t>much</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higher</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compared</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to</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the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level</w:t>
      </w:r>
      <w:proofErr w:type="spellEnd"/>
      <w:r w:rsidR="008F23BD" w:rsidRPr="00705170">
        <w:rPr>
          <w:rFonts w:ascii="Times New Roman" w:hAnsi="Times New Roman" w:cs="Times New Roman"/>
        </w:rPr>
        <w:t xml:space="preserve"> of </w:t>
      </w:r>
      <w:proofErr w:type="spellStart"/>
      <w:r w:rsidR="008F23BD" w:rsidRPr="00705170">
        <w:rPr>
          <w:rFonts w:ascii="Times New Roman" w:hAnsi="Times New Roman" w:cs="Times New Roman"/>
        </w:rPr>
        <w:t>loss</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required</w:t>
      </w:r>
      <w:proofErr w:type="spellEnd"/>
      <w:r w:rsidR="008F23BD" w:rsidRPr="00705170">
        <w:rPr>
          <w:rFonts w:ascii="Times New Roman" w:hAnsi="Times New Roman" w:cs="Times New Roman"/>
        </w:rPr>
        <w:t xml:space="preserve"> in </w:t>
      </w:r>
      <w:proofErr w:type="spellStart"/>
      <w:r w:rsidR="008F23BD" w:rsidRPr="00705170">
        <w:rPr>
          <w:rFonts w:ascii="Times New Roman" w:hAnsi="Times New Roman" w:cs="Times New Roman"/>
        </w:rPr>
        <w:t>the</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non</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wholly</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owned</w:t>
      </w:r>
      <w:proofErr w:type="spellEnd"/>
      <w:r w:rsidR="008F23BD" w:rsidRPr="00705170">
        <w:rPr>
          <w:rFonts w:ascii="Times New Roman" w:hAnsi="Times New Roman" w:cs="Times New Roman"/>
        </w:rPr>
        <w:t xml:space="preserve"> </w:t>
      </w:r>
      <w:proofErr w:type="spellStart"/>
      <w:r w:rsidR="008F23BD" w:rsidRPr="00705170">
        <w:rPr>
          <w:rFonts w:ascii="Times New Roman" w:hAnsi="Times New Roman" w:cs="Times New Roman"/>
        </w:rPr>
        <w:t>subsidiaries</w:t>
      </w:r>
      <w:proofErr w:type="spellEnd"/>
      <w:r w:rsidR="00FD7073" w:rsidRPr="00705170">
        <w:rPr>
          <w:rStyle w:val="DipnotBavurusu"/>
          <w:rFonts w:ascii="Times New Roman" w:hAnsi="Times New Roman" w:cs="Times New Roman"/>
        </w:rPr>
        <w:footnoteReference w:id="332"/>
      </w:r>
      <w:r w:rsidR="008F23BD" w:rsidRPr="00705170">
        <w:rPr>
          <w:rFonts w:ascii="Times New Roman" w:hAnsi="Times New Roman" w:cs="Times New Roman"/>
        </w:rPr>
        <w:t>.</w:t>
      </w:r>
      <w:r w:rsidRPr="00705170">
        <w:rPr>
          <w:rFonts w:ascii="Times New Roman" w:hAnsi="Times New Roman" w:cs="Times New Roman"/>
        </w:rPr>
        <w:t xml:space="preserve"> </w:t>
      </w:r>
    </w:p>
    <w:p w14:paraId="7047CBB4" w14:textId="689CC926" w:rsidR="00D8653C" w:rsidRPr="00705170" w:rsidRDefault="00E05463" w:rsidP="00C32BCA">
      <w:pPr>
        <w:spacing w:after="240" w:line="480" w:lineRule="auto"/>
        <w:ind w:firstLine="708"/>
        <w:jc w:val="both"/>
        <w:rPr>
          <w:rFonts w:ascii="Times New Roman" w:hAnsi="Times New Roman" w:cs="Times New Roman"/>
        </w:rPr>
      </w:pPr>
      <w:r w:rsidRPr="00705170">
        <w:rPr>
          <w:rFonts w:ascii="Times New Roman" w:hAnsi="Times New Roman" w:cs="Times New Roman"/>
        </w:rPr>
        <w:t xml:space="preserve">As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second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situation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liability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general </w:t>
      </w:r>
      <w:proofErr w:type="spellStart"/>
      <w:r w:rsidRPr="00705170">
        <w:rPr>
          <w:rFonts w:ascii="Times New Roman" w:hAnsi="Times New Roman" w:cs="Times New Roman"/>
        </w:rPr>
        <w:t>assembly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resolutions</w:t>
      </w:r>
      <w:proofErr w:type="spellEnd"/>
      <w:r w:rsidRPr="00705170">
        <w:rPr>
          <w:rFonts w:ascii="Times New Roman" w:hAnsi="Times New Roman" w:cs="Times New Roman"/>
        </w:rPr>
        <w:t xml:space="preserve">), it can be </w:t>
      </w:r>
      <w:proofErr w:type="spellStart"/>
      <w:r w:rsidRPr="00705170">
        <w:rPr>
          <w:rFonts w:ascii="Times New Roman" w:hAnsi="Times New Roman" w:cs="Times New Roman"/>
        </w:rPr>
        <w:t>said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liability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occur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certain</w:t>
      </w:r>
      <w:proofErr w:type="spellEnd"/>
      <w:r w:rsidRPr="00705170">
        <w:rPr>
          <w:rFonts w:ascii="Times New Roman" w:hAnsi="Times New Roman" w:cs="Times New Roman"/>
        </w:rPr>
        <w:t xml:space="preserve"> </w:t>
      </w:r>
      <w:proofErr w:type="spellStart"/>
      <w:r w:rsidR="001D3D44" w:rsidRPr="00705170">
        <w:rPr>
          <w:rFonts w:ascii="Times New Roman" w:hAnsi="Times New Roman" w:cs="Times New Roman"/>
        </w:rPr>
        <w:t>significant</w:t>
      </w:r>
      <w:proofErr w:type="spellEnd"/>
      <w:r w:rsidR="001D3D44" w:rsidRPr="00705170">
        <w:rPr>
          <w:rFonts w:ascii="Times New Roman" w:hAnsi="Times New Roman" w:cs="Times New Roman"/>
        </w:rPr>
        <w:t xml:space="preserve"> </w:t>
      </w:r>
      <w:r w:rsidRPr="00705170">
        <w:rPr>
          <w:rFonts w:ascii="Times New Roman" w:hAnsi="Times New Roman" w:cs="Times New Roman"/>
        </w:rPr>
        <w:t xml:space="preserve">general </w:t>
      </w:r>
      <w:proofErr w:type="spellStart"/>
      <w:r w:rsidRPr="00705170">
        <w:rPr>
          <w:rFonts w:ascii="Times New Roman" w:hAnsi="Times New Roman" w:cs="Times New Roman"/>
        </w:rPr>
        <w:t>assembly</w:t>
      </w:r>
      <w:proofErr w:type="spellEnd"/>
      <w:r w:rsidRPr="00705170">
        <w:rPr>
          <w:rFonts w:ascii="Times New Roman" w:hAnsi="Times New Roman" w:cs="Times New Roman"/>
        </w:rPr>
        <w:t xml:space="preserve"> </w:t>
      </w:r>
      <w:proofErr w:type="spellStart"/>
      <w:r w:rsidR="00C91A77" w:rsidRPr="00705170">
        <w:rPr>
          <w:rFonts w:ascii="Times New Roman" w:hAnsi="Times New Roman" w:cs="Times New Roman"/>
        </w:rPr>
        <w:t>resolution</w:t>
      </w:r>
      <w:r w:rsidR="001D3D44" w:rsidRPr="00705170">
        <w:rPr>
          <w:rFonts w:ascii="Times New Roman" w:hAnsi="Times New Roman" w:cs="Times New Roman"/>
        </w:rPr>
        <w:t>s</w:t>
      </w:r>
      <w:proofErr w:type="spellEnd"/>
      <w:r w:rsidR="00C91A77" w:rsidRPr="00705170">
        <w:rPr>
          <w:rFonts w:ascii="Times New Roman" w:hAnsi="Times New Roman" w:cs="Times New Roman"/>
        </w:rPr>
        <w:t xml:space="preserve">. </w:t>
      </w:r>
      <w:proofErr w:type="spellStart"/>
      <w:r w:rsidR="00486B76" w:rsidRPr="00705170">
        <w:rPr>
          <w:rFonts w:ascii="Times New Roman" w:hAnsi="Times New Roman" w:cs="Times New Roman"/>
        </w:rPr>
        <w:t>These</w:t>
      </w:r>
      <w:proofErr w:type="spellEnd"/>
      <w:r w:rsidR="00486B76" w:rsidRPr="00705170">
        <w:rPr>
          <w:rFonts w:ascii="Times New Roman" w:hAnsi="Times New Roman" w:cs="Times New Roman"/>
        </w:rPr>
        <w:t xml:space="preserve"> </w:t>
      </w:r>
      <w:proofErr w:type="spellStart"/>
      <w:r w:rsidR="00486B76" w:rsidRPr="00705170">
        <w:rPr>
          <w:rFonts w:ascii="Times New Roman" w:hAnsi="Times New Roman" w:cs="Times New Roman"/>
        </w:rPr>
        <w:t>resolutions</w:t>
      </w:r>
      <w:proofErr w:type="spellEnd"/>
      <w:r w:rsidR="00486B76" w:rsidRPr="00705170">
        <w:rPr>
          <w:rFonts w:ascii="Times New Roman" w:hAnsi="Times New Roman" w:cs="Times New Roman"/>
        </w:rPr>
        <w:t xml:space="preserve"> can be </w:t>
      </w:r>
      <w:proofErr w:type="spellStart"/>
      <w:r w:rsidR="00486B76" w:rsidRPr="00705170">
        <w:rPr>
          <w:rFonts w:ascii="Times New Roman" w:hAnsi="Times New Roman" w:cs="Times New Roman"/>
        </w:rPr>
        <w:t>exemplified</w:t>
      </w:r>
      <w:proofErr w:type="spellEnd"/>
      <w:r w:rsidR="00486B76" w:rsidRPr="00705170">
        <w:rPr>
          <w:rFonts w:ascii="Times New Roman" w:hAnsi="Times New Roman" w:cs="Times New Roman"/>
        </w:rPr>
        <w:t xml:space="preserve"> as</w:t>
      </w:r>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significant</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amendments</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t</w:t>
      </w:r>
      <w:r w:rsidR="00C91A77" w:rsidRPr="00705170">
        <w:rPr>
          <w:rFonts w:ascii="Times New Roman" w:hAnsi="Times New Roman" w:cs="Times New Roman"/>
        </w:rPr>
        <w:t>o</w:t>
      </w:r>
      <w:proofErr w:type="spellEnd"/>
      <w:r w:rsidR="00C91A77" w:rsidRPr="00705170">
        <w:rPr>
          <w:rFonts w:ascii="Times New Roman" w:hAnsi="Times New Roman" w:cs="Times New Roman"/>
        </w:rPr>
        <w:t xml:space="preserve"> </w:t>
      </w:r>
      <w:proofErr w:type="spellStart"/>
      <w:r w:rsidR="00C91A77" w:rsidRPr="00705170">
        <w:rPr>
          <w:rFonts w:ascii="Times New Roman" w:hAnsi="Times New Roman" w:cs="Times New Roman"/>
        </w:rPr>
        <w:t>the</w:t>
      </w:r>
      <w:proofErr w:type="spellEnd"/>
      <w:r w:rsidR="00C91A77" w:rsidRPr="00705170">
        <w:rPr>
          <w:rFonts w:ascii="Times New Roman" w:hAnsi="Times New Roman" w:cs="Times New Roman"/>
        </w:rPr>
        <w:t xml:space="preserve"> </w:t>
      </w:r>
      <w:proofErr w:type="spellStart"/>
      <w:r w:rsidR="00C91A77" w:rsidRPr="00705170">
        <w:rPr>
          <w:rFonts w:ascii="Times New Roman" w:hAnsi="Times New Roman" w:cs="Times New Roman"/>
        </w:rPr>
        <w:t>articles</w:t>
      </w:r>
      <w:proofErr w:type="spellEnd"/>
      <w:r w:rsidR="00C91A77" w:rsidRPr="00705170">
        <w:rPr>
          <w:rFonts w:ascii="Times New Roman" w:hAnsi="Times New Roman" w:cs="Times New Roman"/>
        </w:rPr>
        <w:t xml:space="preserve"> of </w:t>
      </w:r>
      <w:proofErr w:type="spellStart"/>
      <w:r w:rsidR="00C91A77" w:rsidRPr="00705170">
        <w:rPr>
          <w:rFonts w:ascii="Times New Roman" w:hAnsi="Times New Roman" w:cs="Times New Roman"/>
        </w:rPr>
        <w:t>incorporation</w:t>
      </w:r>
      <w:proofErr w:type="spellEnd"/>
      <w:r w:rsidR="00C91A77" w:rsidRPr="00705170">
        <w:rPr>
          <w:rFonts w:ascii="Times New Roman" w:hAnsi="Times New Roman" w:cs="Times New Roman"/>
        </w:rPr>
        <w:t xml:space="preserve">, </w:t>
      </w:r>
      <w:proofErr w:type="spellStart"/>
      <w:r w:rsidR="00C91A77" w:rsidRPr="00705170">
        <w:rPr>
          <w:rFonts w:ascii="Times New Roman" w:hAnsi="Times New Roman" w:cs="Times New Roman"/>
        </w:rPr>
        <w:t>dissolution</w:t>
      </w:r>
      <w:proofErr w:type="spellEnd"/>
      <w:r w:rsidR="00C91A77" w:rsidRPr="00705170">
        <w:rPr>
          <w:rFonts w:ascii="Times New Roman" w:hAnsi="Times New Roman" w:cs="Times New Roman"/>
        </w:rPr>
        <w:t xml:space="preserve">, </w:t>
      </w:r>
      <w:proofErr w:type="spellStart"/>
      <w:r w:rsidR="00C91A77" w:rsidRPr="00705170">
        <w:rPr>
          <w:rFonts w:ascii="Times New Roman" w:hAnsi="Times New Roman" w:cs="Times New Roman"/>
        </w:rPr>
        <w:t>issue</w:t>
      </w:r>
      <w:proofErr w:type="spellEnd"/>
      <w:r w:rsidR="00C91A77" w:rsidRPr="00705170">
        <w:rPr>
          <w:rFonts w:ascii="Times New Roman" w:hAnsi="Times New Roman" w:cs="Times New Roman"/>
        </w:rPr>
        <w:t xml:space="preserve"> of </w:t>
      </w:r>
      <w:proofErr w:type="spellStart"/>
      <w:r w:rsidR="00C91A77" w:rsidRPr="00705170">
        <w:rPr>
          <w:rFonts w:ascii="Times New Roman" w:hAnsi="Times New Roman" w:cs="Times New Roman"/>
        </w:rPr>
        <w:t>shares</w:t>
      </w:r>
      <w:proofErr w:type="spellEnd"/>
      <w:r w:rsidR="00C91A77" w:rsidRPr="00705170">
        <w:rPr>
          <w:rFonts w:ascii="Times New Roman" w:hAnsi="Times New Roman" w:cs="Times New Roman"/>
        </w:rPr>
        <w:t xml:space="preserve">, </w:t>
      </w:r>
      <w:proofErr w:type="spellStart"/>
      <w:r w:rsidR="00C91A77" w:rsidRPr="00705170">
        <w:rPr>
          <w:rFonts w:ascii="Times New Roman" w:hAnsi="Times New Roman" w:cs="Times New Roman"/>
        </w:rPr>
        <w:t>change</w:t>
      </w:r>
      <w:proofErr w:type="spellEnd"/>
      <w:r w:rsidR="00C91A77" w:rsidRPr="00705170">
        <w:rPr>
          <w:rFonts w:ascii="Times New Roman" w:hAnsi="Times New Roman" w:cs="Times New Roman"/>
        </w:rPr>
        <w:t xml:space="preserve"> of </w:t>
      </w:r>
      <w:proofErr w:type="spellStart"/>
      <w:r w:rsidR="00C91A77" w:rsidRPr="00705170">
        <w:rPr>
          <w:rFonts w:ascii="Times New Roman" w:hAnsi="Times New Roman" w:cs="Times New Roman"/>
        </w:rPr>
        <w:t>entity</w:t>
      </w:r>
      <w:proofErr w:type="spellEnd"/>
      <w:r w:rsidR="00C91A77" w:rsidRPr="00705170">
        <w:rPr>
          <w:rFonts w:ascii="Times New Roman" w:hAnsi="Times New Roman" w:cs="Times New Roman"/>
        </w:rPr>
        <w:t xml:space="preserve"> form, </w:t>
      </w:r>
      <w:proofErr w:type="spellStart"/>
      <w:r w:rsidR="00C91A77" w:rsidRPr="00705170">
        <w:rPr>
          <w:rFonts w:ascii="Times New Roman" w:hAnsi="Times New Roman" w:cs="Times New Roman"/>
        </w:rPr>
        <w:t>mergers</w:t>
      </w:r>
      <w:proofErr w:type="spellEnd"/>
      <w:r w:rsidR="00C91A77" w:rsidRPr="00705170">
        <w:rPr>
          <w:rFonts w:ascii="Times New Roman" w:hAnsi="Times New Roman" w:cs="Times New Roman"/>
        </w:rPr>
        <w:t xml:space="preserve"> </w:t>
      </w:r>
      <w:proofErr w:type="spellStart"/>
      <w:r w:rsidR="00C91A77" w:rsidRPr="00705170">
        <w:rPr>
          <w:rFonts w:ascii="Times New Roman" w:hAnsi="Times New Roman" w:cs="Times New Roman"/>
        </w:rPr>
        <w:t>and</w:t>
      </w:r>
      <w:proofErr w:type="spellEnd"/>
      <w:r w:rsidR="00C91A77" w:rsidRPr="00705170">
        <w:rPr>
          <w:rFonts w:ascii="Times New Roman" w:hAnsi="Times New Roman" w:cs="Times New Roman"/>
        </w:rPr>
        <w:t xml:space="preserve"> </w:t>
      </w:r>
      <w:proofErr w:type="spellStart"/>
      <w:r w:rsidR="00C51939" w:rsidRPr="00705170">
        <w:rPr>
          <w:rFonts w:ascii="Times New Roman" w:hAnsi="Times New Roman" w:cs="Times New Roman"/>
        </w:rPr>
        <w:t>divisions</w:t>
      </w:r>
      <w:proofErr w:type="spellEnd"/>
      <w:r w:rsidR="00C91A77" w:rsidRPr="00705170">
        <w:rPr>
          <w:rFonts w:ascii="Times New Roman" w:hAnsi="Times New Roman" w:cs="Times New Roman"/>
        </w:rPr>
        <w:t xml:space="preserve">, </w:t>
      </w:r>
      <w:proofErr w:type="spellStart"/>
      <w:r w:rsidR="00C91A77" w:rsidRPr="00705170">
        <w:rPr>
          <w:rFonts w:ascii="Times New Roman" w:hAnsi="Times New Roman" w:cs="Times New Roman"/>
        </w:rPr>
        <w:t>changes</w:t>
      </w:r>
      <w:proofErr w:type="spellEnd"/>
      <w:r w:rsidR="00C91A77" w:rsidRPr="00705170">
        <w:rPr>
          <w:rFonts w:ascii="Times New Roman" w:hAnsi="Times New Roman" w:cs="Times New Roman"/>
        </w:rPr>
        <w:t xml:space="preserve"> </w:t>
      </w:r>
      <w:proofErr w:type="spellStart"/>
      <w:r w:rsidR="00C91A77" w:rsidRPr="00705170">
        <w:rPr>
          <w:rFonts w:ascii="Times New Roman" w:hAnsi="Times New Roman" w:cs="Times New Roman"/>
        </w:rPr>
        <w:t>regarding</w:t>
      </w:r>
      <w:proofErr w:type="spellEnd"/>
      <w:r w:rsidR="00C91A77" w:rsidRPr="00705170">
        <w:rPr>
          <w:rFonts w:ascii="Times New Roman" w:hAnsi="Times New Roman" w:cs="Times New Roman"/>
        </w:rPr>
        <w:t xml:space="preserve"> </w:t>
      </w:r>
      <w:proofErr w:type="spellStart"/>
      <w:r w:rsidR="00C91A77" w:rsidRPr="00705170">
        <w:rPr>
          <w:rFonts w:ascii="Times New Roman" w:hAnsi="Times New Roman" w:cs="Times New Roman"/>
        </w:rPr>
        <w:t>the</w:t>
      </w:r>
      <w:proofErr w:type="spellEnd"/>
      <w:r w:rsidR="00C91A77" w:rsidRPr="00705170">
        <w:rPr>
          <w:rFonts w:ascii="Times New Roman" w:hAnsi="Times New Roman" w:cs="Times New Roman"/>
        </w:rPr>
        <w:t xml:space="preserve"> </w:t>
      </w:r>
      <w:proofErr w:type="spellStart"/>
      <w:r w:rsidR="00C91A77" w:rsidRPr="00705170">
        <w:rPr>
          <w:rFonts w:ascii="Times New Roman" w:hAnsi="Times New Roman" w:cs="Times New Roman"/>
        </w:rPr>
        <w:t>quorum</w:t>
      </w:r>
      <w:proofErr w:type="spellEnd"/>
      <w:r w:rsidR="00C91A77" w:rsidRPr="00705170">
        <w:rPr>
          <w:rFonts w:ascii="Times New Roman" w:hAnsi="Times New Roman" w:cs="Times New Roman"/>
        </w:rPr>
        <w:t xml:space="preserve"> </w:t>
      </w:r>
      <w:proofErr w:type="spellStart"/>
      <w:r w:rsidR="00C91A77" w:rsidRPr="00705170">
        <w:rPr>
          <w:rFonts w:ascii="Times New Roman" w:hAnsi="Times New Roman" w:cs="Times New Roman"/>
        </w:rPr>
        <w:t>or</w:t>
      </w:r>
      <w:proofErr w:type="spellEnd"/>
      <w:r w:rsidR="00C91A77" w:rsidRPr="00705170">
        <w:rPr>
          <w:rFonts w:ascii="Times New Roman" w:hAnsi="Times New Roman" w:cs="Times New Roman"/>
        </w:rPr>
        <w:t xml:space="preserve"> </w:t>
      </w:r>
      <w:proofErr w:type="spellStart"/>
      <w:r w:rsidR="00C91A77" w:rsidRPr="00705170">
        <w:rPr>
          <w:rFonts w:ascii="Times New Roman" w:hAnsi="Times New Roman" w:cs="Times New Roman"/>
        </w:rPr>
        <w:t>share</w:t>
      </w:r>
      <w:proofErr w:type="spellEnd"/>
      <w:r w:rsidR="00C91A77" w:rsidRPr="00705170">
        <w:rPr>
          <w:rFonts w:ascii="Times New Roman" w:hAnsi="Times New Roman" w:cs="Times New Roman"/>
        </w:rPr>
        <w:t xml:space="preserve"> transfer </w:t>
      </w:r>
      <w:proofErr w:type="spellStart"/>
      <w:r w:rsidR="00C91A77" w:rsidRPr="00705170">
        <w:rPr>
          <w:rFonts w:ascii="Times New Roman" w:hAnsi="Times New Roman" w:cs="Times New Roman"/>
        </w:rPr>
        <w:t>restrictions</w:t>
      </w:r>
      <w:proofErr w:type="spellEnd"/>
      <w:r w:rsidR="00C91A77" w:rsidRPr="00705170">
        <w:rPr>
          <w:rStyle w:val="DipnotBavurusu"/>
          <w:rFonts w:ascii="Times New Roman" w:hAnsi="Times New Roman" w:cs="Times New Roman"/>
        </w:rPr>
        <w:footnoteReference w:id="333"/>
      </w:r>
      <w:r w:rsidR="00C91A77" w:rsidRPr="00705170">
        <w:rPr>
          <w:rFonts w:ascii="Times New Roman" w:hAnsi="Times New Roman" w:cs="Times New Roman"/>
        </w:rPr>
        <w:t>.</w:t>
      </w:r>
      <w:r w:rsidRPr="00705170">
        <w:rPr>
          <w:rFonts w:ascii="Times New Roman" w:hAnsi="Times New Roman" w:cs="Times New Roman"/>
        </w:rPr>
        <w:t xml:space="preserve"> </w:t>
      </w:r>
      <w:proofErr w:type="spellStart"/>
      <w:r w:rsidR="004321C1" w:rsidRPr="00705170">
        <w:rPr>
          <w:rFonts w:ascii="Times New Roman" w:hAnsi="Times New Roman" w:cs="Times New Roman"/>
        </w:rPr>
        <w:t>According</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to</w:t>
      </w:r>
      <w:proofErr w:type="spellEnd"/>
      <w:r w:rsidR="004321C1" w:rsidRPr="00705170">
        <w:rPr>
          <w:rFonts w:ascii="Times New Roman" w:hAnsi="Times New Roman" w:cs="Times New Roman"/>
        </w:rPr>
        <w:t xml:space="preserve"> TCC </w:t>
      </w:r>
      <w:proofErr w:type="spellStart"/>
      <w:r w:rsidR="004321C1" w:rsidRPr="00705170">
        <w:rPr>
          <w:rFonts w:ascii="Times New Roman" w:hAnsi="Times New Roman" w:cs="Times New Roman"/>
        </w:rPr>
        <w:t>Article</w:t>
      </w:r>
      <w:proofErr w:type="spellEnd"/>
      <w:r w:rsidR="004321C1" w:rsidRPr="00705170">
        <w:rPr>
          <w:rFonts w:ascii="Times New Roman" w:hAnsi="Times New Roman" w:cs="Times New Roman"/>
        </w:rPr>
        <w:t xml:space="preserve"> 202(2), </w:t>
      </w:r>
      <w:proofErr w:type="spellStart"/>
      <w:r w:rsidR="004321C1" w:rsidRPr="00705170">
        <w:rPr>
          <w:rFonts w:ascii="Times New Roman" w:hAnsi="Times New Roman" w:cs="Times New Roman"/>
        </w:rPr>
        <w:t>if</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the</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subsidiary’s</w:t>
      </w:r>
      <w:proofErr w:type="spellEnd"/>
      <w:r w:rsidR="004321C1" w:rsidRPr="00705170">
        <w:rPr>
          <w:rFonts w:ascii="Times New Roman" w:hAnsi="Times New Roman" w:cs="Times New Roman"/>
        </w:rPr>
        <w:t xml:space="preserve"> general </w:t>
      </w:r>
      <w:proofErr w:type="spellStart"/>
      <w:r w:rsidR="004321C1" w:rsidRPr="00705170">
        <w:rPr>
          <w:rFonts w:ascii="Times New Roman" w:hAnsi="Times New Roman" w:cs="Times New Roman"/>
        </w:rPr>
        <w:t>assembly</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resolution</w:t>
      </w:r>
      <w:proofErr w:type="spellEnd"/>
      <w:r w:rsidR="004321C1" w:rsidRPr="00705170">
        <w:rPr>
          <w:rFonts w:ascii="Times New Roman" w:hAnsi="Times New Roman" w:cs="Times New Roman"/>
        </w:rPr>
        <w:t xml:space="preserve"> is </w:t>
      </w:r>
      <w:proofErr w:type="spellStart"/>
      <w:r w:rsidR="004321C1" w:rsidRPr="00705170">
        <w:rPr>
          <w:rFonts w:ascii="Times New Roman" w:hAnsi="Times New Roman" w:cs="Times New Roman"/>
        </w:rPr>
        <w:t>taken</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due</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to</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the</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exercise</w:t>
      </w:r>
      <w:proofErr w:type="spellEnd"/>
      <w:r w:rsidR="004321C1" w:rsidRPr="00705170">
        <w:rPr>
          <w:rFonts w:ascii="Times New Roman" w:hAnsi="Times New Roman" w:cs="Times New Roman"/>
        </w:rPr>
        <w:t xml:space="preserve"> of </w:t>
      </w:r>
      <w:proofErr w:type="spellStart"/>
      <w:r w:rsidR="004321C1" w:rsidRPr="00705170">
        <w:rPr>
          <w:rFonts w:ascii="Times New Roman" w:hAnsi="Times New Roman" w:cs="Times New Roman"/>
        </w:rPr>
        <w:t>the</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votings</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rights</w:t>
      </w:r>
      <w:proofErr w:type="spellEnd"/>
      <w:r w:rsidR="004321C1" w:rsidRPr="00705170">
        <w:rPr>
          <w:rFonts w:ascii="Times New Roman" w:hAnsi="Times New Roman" w:cs="Times New Roman"/>
        </w:rPr>
        <w:t xml:space="preserve"> of </w:t>
      </w:r>
      <w:proofErr w:type="spellStart"/>
      <w:r w:rsidR="004321C1" w:rsidRPr="00705170">
        <w:rPr>
          <w:rFonts w:ascii="Times New Roman" w:hAnsi="Times New Roman" w:cs="Times New Roman"/>
        </w:rPr>
        <w:t>the</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parent</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and</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if</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the</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action</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taken</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by</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the</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resolution</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does</w:t>
      </w:r>
      <w:proofErr w:type="spellEnd"/>
      <w:r w:rsidR="004321C1" w:rsidRPr="00705170">
        <w:rPr>
          <w:rFonts w:ascii="Times New Roman" w:hAnsi="Times New Roman" w:cs="Times New Roman"/>
        </w:rPr>
        <w:t xml:space="preserve"> not </w:t>
      </w:r>
      <w:proofErr w:type="spellStart"/>
      <w:r w:rsidR="004321C1" w:rsidRPr="00705170">
        <w:rPr>
          <w:rFonts w:ascii="Times New Roman" w:hAnsi="Times New Roman" w:cs="Times New Roman"/>
        </w:rPr>
        <w:t>have</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any</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rational</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explanation</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for</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the</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subsidiary</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the</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dissenting</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minority</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shareholders</w:t>
      </w:r>
      <w:proofErr w:type="spellEnd"/>
      <w:r w:rsidR="004321C1" w:rsidRPr="00705170">
        <w:rPr>
          <w:rFonts w:ascii="Times New Roman" w:hAnsi="Times New Roman" w:cs="Times New Roman"/>
        </w:rPr>
        <w:t xml:space="preserve"> can </w:t>
      </w:r>
      <w:proofErr w:type="spellStart"/>
      <w:r w:rsidR="004321C1" w:rsidRPr="00705170">
        <w:rPr>
          <w:rFonts w:ascii="Times New Roman" w:hAnsi="Times New Roman" w:cs="Times New Roman"/>
        </w:rPr>
        <w:t>sue</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the</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parent</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for</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their</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direct</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damages</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or</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alternatively</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demand</w:t>
      </w:r>
      <w:proofErr w:type="spellEnd"/>
      <w:r w:rsidR="004321C1" w:rsidRPr="00705170">
        <w:rPr>
          <w:rFonts w:ascii="Times New Roman" w:hAnsi="Times New Roman" w:cs="Times New Roman"/>
        </w:rPr>
        <w:t xml:space="preserve"> a buy-</w:t>
      </w:r>
      <w:proofErr w:type="spellStart"/>
      <w:r w:rsidR="004321C1" w:rsidRPr="00705170">
        <w:rPr>
          <w:rFonts w:ascii="Times New Roman" w:hAnsi="Times New Roman" w:cs="Times New Roman"/>
        </w:rPr>
        <w:t>out</w:t>
      </w:r>
      <w:proofErr w:type="spellEnd"/>
      <w:r w:rsidR="004321C1" w:rsidRPr="00705170">
        <w:rPr>
          <w:rFonts w:ascii="Times New Roman" w:hAnsi="Times New Roman" w:cs="Times New Roman"/>
        </w:rPr>
        <w:t xml:space="preserve"> of </w:t>
      </w:r>
      <w:proofErr w:type="spellStart"/>
      <w:r w:rsidR="004321C1" w:rsidRPr="00705170">
        <w:rPr>
          <w:rFonts w:ascii="Times New Roman" w:hAnsi="Times New Roman" w:cs="Times New Roman"/>
        </w:rPr>
        <w:t>their</w:t>
      </w:r>
      <w:proofErr w:type="spellEnd"/>
      <w:r w:rsidR="004321C1" w:rsidRPr="00705170">
        <w:rPr>
          <w:rFonts w:ascii="Times New Roman" w:hAnsi="Times New Roman" w:cs="Times New Roman"/>
        </w:rPr>
        <w:t xml:space="preserve"> </w:t>
      </w:r>
      <w:proofErr w:type="spellStart"/>
      <w:r w:rsidR="004321C1" w:rsidRPr="00705170">
        <w:rPr>
          <w:rFonts w:ascii="Times New Roman" w:hAnsi="Times New Roman" w:cs="Times New Roman"/>
        </w:rPr>
        <w:t>shares</w:t>
      </w:r>
      <w:proofErr w:type="spellEnd"/>
      <w:r w:rsidR="004F329B" w:rsidRPr="00705170">
        <w:rPr>
          <w:rFonts w:ascii="Times New Roman" w:hAnsi="Times New Roman" w:cs="Times New Roman"/>
        </w:rPr>
        <w:t xml:space="preserve"> (</w:t>
      </w:r>
      <w:proofErr w:type="spellStart"/>
      <w:r w:rsidR="004F329B" w:rsidRPr="00705170">
        <w:rPr>
          <w:rFonts w:ascii="Times New Roman" w:hAnsi="Times New Roman" w:cs="Times New Roman"/>
        </w:rPr>
        <w:t>Article</w:t>
      </w:r>
      <w:proofErr w:type="spellEnd"/>
      <w:r w:rsidR="004F329B" w:rsidRPr="00705170">
        <w:rPr>
          <w:rFonts w:ascii="Times New Roman" w:hAnsi="Times New Roman" w:cs="Times New Roman"/>
        </w:rPr>
        <w:t xml:space="preserve"> 202(2))</w:t>
      </w:r>
      <w:r w:rsidR="002240A6" w:rsidRPr="00705170">
        <w:rPr>
          <w:rStyle w:val="DipnotBavurusu"/>
          <w:rFonts w:ascii="Times New Roman" w:hAnsi="Times New Roman" w:cs="Times New Roman"/>
        </w:rPr>
        <w:footnoteReference w:id="334"/>
      </w:r>
      <w:r w:rsidR="004321C1" w:rsidRPr="00705170">
        <w:rPr>
          <w:rFonts w:ascii="Times New Roman" w:hAnsi="Times New Roman" w:cs="Times New Roman"/>
        </w:rPr>
        <w:t>.</w:t>
      </w:r>
    </w:p>
    <w:p w14:paraId="706FFD4F" w14:textId="1052A9F5" w:rsidR="003C7A88" w:rsidRPr="00705170" w:rsidRDefault="002A601F" w:rsidP="0072291E">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lastRenderedPageBreak/>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situation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liability</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breach</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trust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confidence</w:t>
      </w:r>
      <w:proofErr w:type="spellEnd"/>
      <w:r w:rsidRPr="00705170">
        <w:rPr>
          <w:rFonts w:ascii="Times New Roman" w:hAnsi="Times New Roman" w:cs="Times New Roman"/>
        </w:rPr>
        <w:t>)</w:t>
      </w:r>
      <w:r w:rsidR="00737732" w:rsidRPr="00705170">
        <w:rPr>
          <w:rStyle w:val="DipnotBavurusu"/>
          <w:rFonts w:ascii="Times New Roman" w:hAnsi="Times New Roman" w:cs="Times New Roman"/>
        </w:rPr>
        <w:footnoteReference w:id="335"/>
      </w:r>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transplanted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Swiss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001133E6" w:rsidRPr="00705170">
        <w:rPr>
          <w:rStyle w:val="DipnotBavurusu"/>
          <w:rFonts w:ascii="Times New Roman" w:hAnsi="Times New Roman" w:cs="Times New Roman"/>
        </w:rPr>
        <w:footnoteReference w:id="336"/>
      </w:r>
      <w:r w:rsidR="00AB2080" w:rsidRPr="00705170">
        <w:rPr>
          <w:rFonts w:ascii="Times New Roman" w:hAnsi="Times New Roman" w:cs="Times New Roman"/>
        </w:rPr>
        <w:t xml:space="preserve"> </w:t>
      </w:r>
      <w:proofErr w:type="spellStart"/>
      <w:r w:rsidR="00737732" w:rsidRPr="00705170">
        <w:rPr>
          <w:rFonts w:ascii="Times New Roman" w:hAnsi="Times New Roman" w:cs="Times New Roman"/>
        </w:rPr>
        <w:t>in</w:t>
      </w:r>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Style w:val="DipnotBavurusu"/>
          <w:rFonts w:ascii="Times New Roman" w:hAnsi="Times New Roman" w:cs="Times New Roman"/>
        </w:rPr>
        <w:footnoteReference w:id="337"/>
      </w:r>
      <w:r w:rsidR="00853AA5" w:rsidRPr="00705170">
        <w:rPr>
          <w:rFonts w:ascii="Times New Roman" w:hAnsi="Times New Roman" w:cs="Times New Roman"/>
        </w:rPr>
        <w:t xml:space="preserve">. </w:t>
      </w:r>
      <w:proofErr w:type="spellStart"/>
      <w:r w:rsidR="00260840" w:rsidRPr="00705170">
        <w:rPr>
          <w:rFonts w:ascii="Times New Roman" w:hAnsi="Times New Roman" w:cs="Times New Roman"/>
        </w:rPr>
        <w:t>The</w:t>
      </w:r>
      <w:proofErr w:type="spellEnd"/>
      <w:r w:rsidR="00260840" w:rsidRPr="00705170">
        <w:rPr>
          <w:rFonts w:ascii="Times New Roman" w:hAnsi="Times New Roman" w:cs="Times New Roman"/>
        </w:rPr>
        <w:t xml:space="preserve"> </w:t>
      </w:r>
      <w:proofErr w:type="spellStart"/>
      <w:r w:rsidR="00260840" w:rsidRPr="00705170">
        <w:rPr>
          <w:rFonts w:ascii="Times New Roman" w:hAnsi="Times New Roman" w:cs="Times New Roman"/>
        </w:rPr>
        <w:t>breach</w:t>
      </w:r>
      <w:proofErr w:type="spellEnd"/>
      <w:r w:rsidR="00260840" w:rsidRPr="00705170">
        <w:rPr>
          <w:rFonts w:ascii="Times New Roman" w:hAnsi="Times New Roman" w:cs="Times New Roman"/>
        </w:rPr>
        <w:t xml:space="preserve"> of </w:t>
      </w:r>
      <w:proofErr w:type="spellStart"/>
      <w:r w:rsidR="00260840" w:rsidRPr="00705170">
        <w:rPr>
          <w:rFonts w:ascii="Times New Roman" w:hAnsi="Times New Roman" w:cs="Times New Roman"/>
        </w:rPr>
        <w:t>trust</w:t>
      </w:r>
      <w:proofErr w:type="spellEnd"/>
      <w:r w:rsidR="00260840" w:rsidRPr="00705170">
        <w:rPr>
          <w:rFonts w:ascii="Times New Roman" w:hAnsi="Times New Roman" w:cs="Times New Roman"/>
        </w:rPr>
        <w:t xml:space="preserve"> </w:t>
      </w:r>
      <w:proofErr w:type="spellStart"/>
      <w:r w:rsidR="00260840" w:rsidRPr="00705170">
        <w:rPr>
          <w:rFonts w:ascii="Times New Roman" w:hAnsi="Times New Roman" w:cs="Times New Roman"/>
        </w:rPr>
        <w:t>doctrine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represents</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separate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situated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somewhere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between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contractual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liability</w:t>
      </w:r>
      <w:proofErr w:type="spellEnd"/>
      <w:r w:rsidRPr="00705170">
        <w:rPr>
          <w:rStyle w:val="DipnotBavurusu"/>
          <w:rFonts w:ascii="Times New Roman" w:hAnsi="Times New Roman" w:cs="Times New Roman"/>
        </w:rPr>
        <w:footnoteReference w:id="338"/>
      </w:r>
      <w:r w:rsidRPr="00705170">
        <w:rPr>
          <w:rFonts w:ascii="Times New Roman" w:hAnsi="Times New Roman" w:cs="Times New Roman"/>
        </w:rPr>
        <w:t>.</w:t>
      </w:r>
      <w:r w:rsidR="00737732" w:rsidRPr="00705170">
        <w:rPr>
          <w:rFonts w:ascii="Times New Roman" w:hAnsi="Times New Roman" w:cs="Times New Roman"/>
        </w:rPr>
        <w:t xml:space="preserve"> A </w:t>
      </w:r>
      <w:proofErr w:type="spellStart"/>
      <w:r w:rsidR="00737732" w:rsidRPr="00705170">
        <w:rPr>
          <w:rFonts w:ascii="Times New Roman" w:hAnsi="Times New Roman" w:cs="Times New Roman"/>
        </w:rPr>
        <w:t>parent</w:t>
      </w:r>
      <w:proofErr w:type="spellEnd"/>
      <w:r w:rsidR="00737732" w:rsidRPr="00705170">
        <w:rPr>
          <w:rFonts w:ascii="Times New Roman" w:hAnsi="Times New Roman" w:cs="Times New Roman"/>
        </w:rPr>
        <w:t xml:space="preserve"> can be </w:t>
      </w:r>
      <w:proofErr w:type="spellStart"/>
      <w:r w:rsidR="00737732" w:rsidRPr="00705170">
        <w:rPr>
          <w:rFonts w:ascii="Times New Roman" w:hAnsi="Times New Roman" w:cs="Times New Roman"/>
        </w:rPr>
        <w:t>li</w:t>
      </w:r>
      <w:r w:rsidR="006F4853" w:rsidRPr="00705170">
        <w:rPr>
          <w:rFonts w:ascii="Times New Roman" w:hAnsi="Times New Roman" w:cs="Times New Roman"/>
        </w:rPr>
        <w:t>able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under</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this</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section</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if</w:t>
      </w:r>
      <w:proofErr w:type="spellEnd"/>
      <w:r w:rsidR="006F4853" w:rsidRPr="00705170">
        <w:rPr>
          <w:rFonts w:ascii="Times New Roman" w:hAnsi="Times New Roman" w:cs="Times New Roman"/>
        </w:rPr>
        <w:t xml:space="preserve"> a </w:t>
      </w:r>
      <w:proofErr w:type="spellStart"/>
      <w:r w:rsidR="006F4853" w:rsidRPr="00705170">
        <w:rPr>
          <w:rFonts w:ascii="Times New Roman" w:hAnsi="Times New Roman" w:cs="Times New Roman"/>
        </w:rPr>
        <w:t>damage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occurs</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only</w:t>
      </w:r>
      <w:proofErr w:type="spellEnd"/>
      <w:r w:rsidR="006F4853" w:rsidRPr="00705170">
        <w:rPr>
          <w:rFonts w:ascii="Times New Roman" w:hAnsi="Times New Roman" w:cs="Times New Roman"/>
        </w:rPr>
        <w:t xml:space="preserve"> (1) </w:t>
      </w:r>
      <w:proofErr w:type="spellStart"/>
      <w:r w:rsidR="006F4853" w:rsidRPr="00705170">
        <w:rPr>
          <w:rFonts w:ascii="Times New Roman" w:hAnsi="Times New Roman" w:cs="Times New Roman"/>
        </w:rPr>
        <w:t>when</w:t>
      </w:r>
      <w:proofErr w:type="spellEnd"/>
      <w:r w:rsidR="00737732" w:rsidRPr="00705170">
        <w:rPr>
          <w:rFonts w:ascii="Times New Roman" w:hAnsi="Times New Roman" w:cs="Times New Roman"/>
        </w:rPr>
        <w:t xml:space="preserve"> a </w:t>
      </w:r>
      <w:proofErr w:type="spellStart"/>
      <w:r w:rsidR="00737732" w:rsidRPr="00705170">
        <w:rPr>
          <w:rFonts w:ascii="Times New Roman" w:hAnsi="Times New Roman" w:cs="Times New Roman"/>
        </w:rPr>
        <w:t>subsidiary</w:t>
      </w:r>
      <w:proofErr w:type="spellEnd"/>
      <w:r w:rsidR="00737732" w:rsidRPr="00705170">
        <w:rPr>
          <w:rFonts w:ascii="Times New Roman" w:hAnsi="Times New Roman" w:cs="Times New Roman"/>
        </w:rPr>
        <w:t xml:space="preserve"> is </w:t>
      </w:r>
      <w:proofErr w:type="spellStart"/>
      <w:r w:rsidR="00737732" w:rsidRPr="00705170">
        <w:rPr>
          <w:rFonts w:ascii="Times New Roman" w:hAnsi="Times New Roman" w:cs="Times New Roman"/>
        </w:rPr>
        <w:t>engaging</w:t>
      </w:r>
      <w:proofErr w:type="spellEnd"/>
      <w:r w:rsidR="00737732" w:rsidRPr="00705170">
        <w:rPr>
          <w:rFonts w:ascii="Times New Roman" w:hAnsi="Times New Roman" w:cs="Times New Roman"/>
        </w:rPr>
        <w:t xml:space="preserve"> in </w:t>
      </w:r>
      <w:proofErr w:type="spellStart"/>
      <w:r w:rsidR="00737732" w:rsidRPr="00705170">
        <w:rPr>
          <w:rFonts w:ascii="Times New Roman" w:hAnsi="Times New Roman" w:cs="Times New Roman"/>
        </w:rPr>
        <w:t>relationships</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with</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third</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parties</w:t>
      </w:r>
      <w:proofErr w:type="spellEnd"/>
      <w:r w:rsidR="000C54EF" w:rsidRPr="00705170">
        <w:rPr>
          <w:rFonts w:ascii="Times New Roman" w:hAnsi="Times New Roman" w:cs="Times New Roman"/>
        </w:rPr>
        <w:t>,</w:t>
      </w:r>
      <w:r w:rsidR="00737732" w:rsidRPr="00705170">
        <w:rPr>
          <w:rFonts w:ascii="Times New Roman" w:hAnsi="Times New Roman" w:cs="Times New Roman"/>
        </w:rPr>
        <w:t xml:space="preserve"> </w:t>
      </w:r>
      <w:proofErr w:type="spellStart"/>
      <w:r w:rsidR="000C54EF" w:rsidRPr="00705170">
        <w:rPr>
          <w:rFonts w:ascii="Times New Roman" w:hAnsi="Times New Roman" w:cs="Times New Roman"/>
        </w:rPr>
        <w:t>and</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the</w:t>
      </w:r>
      <w:r w:rsidR="000C54EF" w:rsidRPr="00705170">
        <w:rPr>
          <w:rFonts w:ascii="Times New Roman" w:hAnsi="Times New Roman" w:cs="Times New Roman"/>
        </w:rPr>
        <w:t>se</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third</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parties</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are</w:t>
      </w:r>
      <w:proofErr w:type="spellEnd"/>
      <w:r w:rsidR="00737732" w:rsidRPr="00705170">
        <w:rPr>
          <w:rFonts w:ascii="Times New Roman" w:hAnsi="Times New Roman" w:cs="Times New Roman"/>
        </w:rPr>
        <w:t xml:space="preserve"> </w:t>
      </w:r>
      <w:proofErr w:type="spellStart"/>
      <w:r w:rsidR="00737732" w:rsidRPr="00705170">
        <w:rPr>
          <w:rFonts w:ascii="Times New Roman" w:hAnsi="Times New Roman" w:cs="Times New Roman"/>
        </w:rPr>
        <w:t>engaging</w:t>
      </w:r>
      <w:proofErr w:type="spellEnd"/>
      <w:r w:rsidR="000C54EF" w:rsidRPr="00705170">
        <w:rPr>
          <w:rFonts w:ascii="Times New Roman" w:hAnsi="Times New Roman" w:cs="Times New Roman"/>
        </w:rPr>
        <w:t xml:space="preserve"> in</w:t>
      </w:r>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this</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relatio</w:t>
      </w:r>
      <w:r w:rsidR="000C54EF" w:rsidRPr="00705170">
        <w:rPr>
          <w:rFonts w:ascii="Times New Roman" w:hAnsi="Times New Roman" w:cs="Times New Roman"/>
        </w:rPr>
        <w:t>n</w:t>
      </w:r>
      <w:r w:rsidR="006F4853" w:rsidRPr="00705170">
        <w:rPr>
          <w:rFonts w:ascii="Times New Roman" w:hAnsi="Times New Roman" w:cs="Times New Roman"/>
        </w:rPr>
        <w:t>ship</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due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to</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subsidiary</w:t>
      </w:r>
      <w:r w:rsidR="000C54EF" w:rsidRPr="00705170">
        <w:rPr>
          <w:rFonts w:ascii="Times New Roman" w:hAnsi="Times New Roman" w:cs="Times New Roman"/>
        </w:rPr>
        <w:t>’s</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inducement</w:t>
      </w:r>
      <w:proofErr w:type="spellEnd"/>
      <w:r w:rsidR="006F4853" w:rsidRPr="00705170">
        <w:rPr>
          <w:rFonts w:ascii="Times New Roman" w:hAnsi="Times New Roman" w:cs="Times New Roman"/>
        </w:rPr>
        <w:t xml:space="preserve"> </w:t>
      </w:r>
      <w:r w:rsidR="009A027D" w:rsidRPr="00705170">
        <w:rPr>
          <w:rFonts w:ascii="Times New Roman" w:hAnsi="Times New Roman" w:cs="Times New Roman"/>
        </w:rPr>
        <w:t>(</w:t>
      </w:r>
      <w:proofErr w:type="spellStart"/>
      <w:r w:rsidR="009A027D" w:rsidRPr="00705170">
        <w:rPr>
          <w:rFonts w:ascii="Times New Roman" w:hAnsi="Times New Roman" w:cs="Times New Roman"/>
        </w:rPr>
        <w:t>this</w:t>
      </w:r>
      <w:proofErr w:type="spellEnd"/>
      <w:r w:rsidR="009A027D" w:rsidRPr="00705170">
        <w:rPr>
          <w:rFonts w:ascii="Times New Roman" w:hAnsi="Times New Roman" w:cs="Times New Roman"/>
        </w:rPr>
        <w:t xml:space="preserve"> </w:t>
      </w:r>
      <w:proofErr w:type="spellStart"/>
      <w:r w:rsidR="009A027D" w:rsidRPr="00705170">
        <w:rPr>
          <w:rFonts w:ascii="Times New Roman" w:hAnsi="Times New Roman" w:cs="Times New Roman"/>
        </w:rPr>
        <w:t>may</w:t>
      </w:r>
      <w:proofErr w:type="spellEnd"/>
      <w:r w:rsidR="009A027D" w:rsidRPr="00705170">
        <w:rPr>
          <w:rFonts w:ascii="Times New Roman" w:hAnsi="Times New Roman" w:cs="Times New Roman"/>
        </w:rPr>
        <w:t xml:space="preserve"> </w:t>
      </w:r>
      <w:proofErr w:type="spellStart"/>
      <w:r w:rsidR="009A027D" w:rsidRPr="00705170">
        <w:rPr>
          <w:rFonts w:ascii="Times New Roman" w:hAnsi="Times New Roman" w:cs="Times New Roman"/>
        </w:rPr>
        <w:t>also</w:t>
      </w:r>
      <w:proofErr w:type="spellEnd"/>
      <w:r w:rsidR="009A027D" w:rsidRPr="00705170">
        <w:rPr>
          <w:rFonts w:ascii="Times New Roman" w:hAnsi="Times New Roman" w:cs="Times New Roman"/>
        </w:rPr>
        <w:t xml:space="preserve"> be </w:t>
      </w:r>
      <w:proofErr w:type="spellStart"/>
      <w:r w:rsidR="009A027D" w:rsidRPr="00705170">
        <w:rPr>
          <w:rFonts w:ascii="Times New Roman" w:hAnsi="Times New Roman" w:cs="Times New Roman"/>
        </w:rPr>
        <w:t>directly</w:t>
      </w:r>
      <w:proofErr w:type="spellEnd"/>
      <w:r w:rsidR="009A027D" w:rsidRPr="00705170">
        <w:rPr>
          <w:rFonts w:ascii="Times New Roman" w:hAnsi="Times New Roman" w:cs="Times New Roman"/>
        </w:rPr>
        <w:t xml:space="preserve"> </w:t>
      </w:r>
      <w:proofErr w:type="spellStart"/>
      <w:r w:rsidR="009A027D" w:rsidRPr="00705170">
        <w:rPr>
          <w:rFonts w:ascii="Times New Roman" w:hAnsi="Times New Roman" w:cs="Times New Roman"/>
        </w:rPr>
        <w:t>through</w:t>
      </w:r>
      <w:proofErr w:type="spellEnd"/>
      <w:r w:rsidR="009A027D" w:rsidRPr="00705170">
        <w:rPr>
          <w:rFonts w:ascii="Times New Roman" w:hAnsi="Times New Roman" w:cs="Times New Roman"/>
        </w:rPr>
        <w:t xml:space="preserve"> </w:t>
      </w:r>
      <w:r w:rsidR="00975F3D" w:rsidRPr="00705170">
        <w:rPr>
          <w:rFonts w:ascii="Times New Roman" w:hAnsi="Times New Roman" w:cs="Times New Roman"/>
        </w:rPr>
        <w:t xml:space="preserve">an </w:t>
      </w:r>
      <w:proofErr w:type="spellStart"/>
      <w:r w:rsidR="00975F3D" w:rsidRPr="00705170">
        <w:rPr>
          <w:rFonts w:ascii="Times New Roman" w:hAnsi="Times New Roman" w:cs="Times New Roman"/>
        </w:rPr>
        <w:t>action</w:t>
      </w:r>
      <w:proofErr w:type="spellEnd"/>
      <w:r w:rsidR="00975F3D" w:rsidRPr="00705170">
        <w:rPr>
          <w:rFonts w:ascii="Times New Roman" w:hAnsi="Times New Roman" w:cs="Times New Roman"/>
        </w:rPr>
        <w:t xml:space="preserve"> </w:t>
      </w:r>
      <w:proofErr w:type="spellStart"/>
      <w:r w:rsidR="00975F3D" w:rsidRPr="00705170">
        <w:rPr>
          <w:rFonts w:ascii="Times New Roman" w:hAnsi="Times New Roman" w:cs="Times New Roman"/>
        </w:rPr>
        <w:t>taken</w:t>
      </w:r>
      <w:proofErr w:type="spellEnd"/>
      <w:r w:rsidR="00975F3D" w:rsidRPr="00705170">
        <w:rPr>
          <w:rFonts w:ascii="Times New Roman" w:hAnsi="Times New Roman" w:cs="Times New Roman"/>
        </w:rPr>
        <w:t xml:space="preserve"> </w:t>
      </w:r>
      <w:proofErr w:type="spellStart"/>
      <w:r w:rsidR="00975F3D" w:rsidRPr="00705170">
        <w:rPr>
          <w:rFonts w:ascii="Times New Roman" w:hAnsi="Times New Roman" w:cs="Times New Roman"/>
        </w:rPr>
        <w:t>or</w:t>
      </w:r>
      <w:proofErr w:type="spellEnd"/>
      <w:r w:rsidR="00975F3D" w:rsidRPr="00705170">
        <w:rPr>
          <w:rFonts w:ascii="Times New Roman" w:hAnsi="Times New Roman" w:cs="Times New Roman"/>
        </w:rPr>
        <w:t xml:space="preserve"> </w:t>
      </w:r>
      <w:r w:rsidR="009A027D" w:rsidRPr="00705170">
        <w:rPr>
          <w:rFonts w:ascii="Times New Roman" w:hAnsi="Times New Roman" w:cs="Times New Roman"/>
        </w:rPr>
        <w:t xml:space="preserve">a </w:t>
      </w:r>
      <w:proofErr w:type="spellStart"/>
      <w:r w:rsidR="009A027D" w:rsidRPr="00705170">
        <w:rPr>
          <w:rFonts w:ascii="Times New Roman" w:hAnsi="Times New Roman" w:cs="Times New Roman"/>
        </w:rPr>
        <w:t>statement</w:t>
      </w:r>
      <w:proofErr w:type="spellEnd"/>
      <w:r w:rsidR="009A027D" w:rsidRPr="00705170">
        <w:rPr>
          <w:rFonts w:ascii="Times New Roman" w:hAnsi="Times New Roman" w:cs="Times New Roman"/>
        </w:rPr>
        <w:t xml:space="preserve"> </w:t>
      </w:r>
      <w:proofErr w:type="spellStart"/>
      <w:r w:rsidR="009A027D" w:rsidRPr="00705170">
        <w:rPr>
          <w:rFonts w:ascii="Times New Roman" w:hAnsi="Times New Roman" w:cs="Times New Roman"/>
        </w:rPr>
        <w:t>submitted</w:t>
      </w:r>
      <w:proofErr w:type="spellEnd"/>
      <w:r w:rsidR="009A027D" w:rsidRPr="00705170">
        <w:rPr>
          <w:rFonts w:ascii="Times New Roman" w:hAnsi="Times New Roman" w:cs="Times New Roman"/>
        </w:rPr>
        <w:t xml:space="preserve"> </w:t>
      </w:r>
      <w:proofErr w:type="spellStart"/>
      <w:r w:rsidR="009A027D" w:rsidRPr="00705170">
        <w:rPr>
          <w:rFonts w:ascii="Times New Roman" w:hAnsi="Times New Roman" w:cs="Times New Roman"/>
        </w:rPr>
        <w:t>by</w:t>
      </w:r>
      <w:proofErr w:type="spellEnd"/>
      <w:r w:rsidR="009A027D" w:rsidRPr="00705170">
        <w:rPr>
          <w:rFonts w:ascii="Times New Roman" w:hAnsi="Times New Roman" w:cs="Times New Roman"/>
        </w:rPr>
        <w:t xml:space="preserve"> </w:t>
      </w:r>
      <w:proofErr w:type="spellStart"/>
      <w:r w:rsidR="009A027D" w:rsidRPr="00705170">
        <w:rPr>
          <w:rFonts w:ascii="Times New Roman" w:hAnsi="Times New Roman" w:cs="Times New Roman"/>
        </w:rPr>
        <w:t>the</w:t>
      </w:r>
      <w:proofErr w:type="spellEnd"/>
      <w:r w:rsidR="009A027D" w:rsidRPr="00705170">
        <w:rPr>
          <w:rFonts w:ascii="Times New Roman" w:hAnsi="Times New Roman" w:cs="Times New Roman"/>
        </w:rPr>
        <w:t xml:space="preserve"> </w:t>
      </w:r>
      <w:proofErr w:type="spellStart"/>
      <w:r w:rsidR="009A027D" w:rsidRPr="00705170">
        <w:rPr>
          <w:rFonts w:ascii="Times New Roman" w:hAnsi="Times New Roman" w:cs="Times New Roman"/>
        </w:rPr>
        <w:t>parent</w:t>
      </w:r>
      <w:proofErr w:type="spellEnd"/>
      <w:r w:rsidR="009A027D" w:rsidRPr="00705170">
        <w:rPr>
          <w:rFonts w:ascii="Times New Roman" w:hAnsi="Times New Roman" w:cs="Times New Roman"/>
        </w:rPr>
        <w:t>)</w:t>
      </w:r>
      <w:r w:rsidR="009A027D" w:rsidRPr="00705170">
        <w:rPr>
          <w:rStyle w:val="DipnotBavurusu"/>
          <w:rFonts w:ascii="Times New Roman" w:hAnsi="Times New Roman" w:cs="Times New Roman"/>
        </w:rPr>
        <w:footnoteReference w:id="339"/>
      </w:r>
      <w:r w:rsidR="009A027D" w:rsidRPr="00705170">
        <w:rPr>
          <w:rFonts w:ascii="Times New Roman" w:hAnsi="Times New Roman" w:cs="Times New Roman"/>
        </w:rPr>
        <w:t xml:space="preserve"> </w:t>
      </w:r>
      <w:r w:rsidR="006F4853" w:rsidRPr="00705170">
        <w:rPr>
          <w:rFonts w:ascii="Times New Roman" w:hAnsi="Times New Roman" w:cs="Times New Roman"/>
        </w:rPr>
        <w:t xml:space="preserve">of </w:t>
      </w:r>
      <w:proofErr w:type="spellStart"/>
      <w:r w:rsidR="006F4853" w:rsidRPr="00705170">
        <w:rPr>
          <w:rFonts w:ascii="Times New Roman" w:hAnsi="Times New Roman" w:cs="Times New Roman"/>
        </w:rPr>
        <w:t>the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third</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party</w:t>
      </w:r>
      <w:proofErr w:type="spellEnd"/>
      <w:r w:rsidR="00E83E82" w:rsidRPr="00705170">
        <w:rPr>
          <w:rFonts w:ascii="Times New Roman" w:hAnsi="Times New Roman" w:cs="Times New Roman"/>
        </w:rPr>
        <w:t xml:space="preserve"> </w:t>
      </w:r>
      <w:proofErr w:type="spellStart"/>
      <w:r w:rsidR="006F4853" w:rsidRPr="00705170">
        <w:rPr>
          <w:rFonts w:ascii="Times New Roman" w:hAnsi="Times New Roman" w:cs="Times New Roman"/>
        </w:rPr>
        <w:t>that</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parent</w:t>
      </w:r>
      <w:proofErr w:type="spellEnd"/>
      <w:r w:rsidR="001E3828" w:rsidRPr="00705170">
        <w:rPr>
          <w:rFonts w:ascii="Times New Roman" w:hAnsi="Times New Roman" w:cs="Times New Roman"/>
        </w:rPr>
        <w:t xml:space="preserve"> (</w:t>
      </w:r>
      <w:proofErr w:type="spellStart"/>
      <w:r w:rsidR="001E3828" w:rsidRPr="00705170">
        <w:rPr>
          <w:rFonts w:ascii="Times New Roman" w:hAnsi="Times New Roman" w:cs="Times New Roman"/>
        </w:rPr>
        <w:t>or</w:t>
      </w:r>
      <w:proofErr w:type="spellEnd"/>
      <w:r w:rsidR="001E3828" w:rsidRPr="00705170">
        <w:rPr>
          <w:rFonts w:ascii="Times New Roman" w:hAnsi="Times New Roman" w:cs="Times New Roman"/>
        </w:rPr>
        <w:t xml:space="preserve"> </w:t>
      </w:r>
      <w:proofErr w:type="spellStart"/>
      <w:r w:rsidR="001E3828" w:rsidRPr="00705170">
        <w:rPr>
          <w:rFonts w:ascii="Times New Roman" w:hAnsi="Times New Roman" w:cs="Times New Roman"/>
        </w:rPr>
        <w:t>the</w:t>
      </w:r>
      <w:proofErr w:type="spellEnd"/>
      <w:r w:rsidR="001E3828" w:rsidRPr="00705170">
        <w:rPr>
          <w:rFonts w:ascii="Times New Roman" w:hAnsi="Times New Roman" w:cs="Times New Roman"/>
        </w:rPr>
        <w:t xml:space="preserve"> </w:t>
      </w:r>
      <w:proofErr w:type="spellStart"/>
      <w:r w:rsidR="001E3828" w:rsidRPr="00705170">
        <w:rPr>
          <w:rFonts w:ascii="Times New Roman" w:hAnsi="Times New Roman" w:cs="Times New Roman"/>
        </w:rPr>
        <w:t>group</w:t>
      </w:r>
      <w:proofErr w:type="spellEnd"/>
      <w:r w:rsidR="001E3828" w:rsidRPr="00705170">
        <w:rPr>
          <w:rFonts w:ascii="Times New Roman" w:hAnsi="Times New Roman" w:cs="Times New Roman"/>
        </w:rPr>
        <w:t>)</w:t>
      </w:r>
      <w:r w:rsidR="006F4853" w:rsidRPr="00705170">
        <w:rPr>
          <w:rFonts w:ascii="Times New Roman" w:hAnsi="Times New Roman" w:cs="Times New Roman"/>
        </w:rPr>
        <w:t xml:space="preserve"> is </w:t>
      </w:r>
      <w:proofErr w:type="spellStart"/>
      <w:r w:rsidR="001E3828" w:rsidRPr="00705170">
        <w:rPr>
          <w:rFonts w:ascii="Times New Roman" w:hAnsi="Times New Roman" w:cs="Times New Roman"/>
        </w:rPr>
        <w:t>specifically</w:t>
      </w:r>
      <w:proofErr w:type="spellEnd"/>
      <w:r w:rsidR="001E3828" w:rsidRPr="00705170">
        <w:rPr>
          <w:rFonts w:ascii="Times New Roman" w:hAnsi="Times New Roman" w:cs="Times New Roman"/>
        </w:rPr>
        <w:t xml:space="preserve"> </w:t>
      </w:r>
      <w:r w:rsidR="006F4853" w:rsidRPr="00705170">
        <w:rPr>
          <w:rFonts w:ascii="Times New Roman" w:hAnsi="Times New Roman" w:cs="Times New Roman"/>
        </w:rPr>
        <w:t>“</w:t>
      </w:r>
      <w:proofErr w:type="spellStart"/>
      <w:r w:rsidR="000C54EF" w:rsidRPr="00705170">
        <w:rPr>
          <w:rFonts w:ascii="Times New Roman" w:hAnsi="Times New Roman" w:cs="Times New Roman"/>
        </w:rPr>
        <w:t>backing</w:t>
      </w:r>
      <w:proofErr w:type="spellEnd"/>
      <w:r w:rsidR="009A027D" w:rsidRPr="00705170">
        <w:rPr>
          <w:rFonts w:ascii="Times New Roman" w:hAnsi="Times New Roman" w:cs="Times New Roman"/>
        </w:rPr>
        <w:t xml:space="preserve"> </w:t>
      </w:r>
      <w:proofErr w:type="spellStart"/>
      <w:r w:rsidR="009A027D" w:rsidRPr="00705170">
        <w:rPr>
          <w:rFonts w:ascii="Times New Roman" w:hAnsi="Times New Roman" w:cs="Times New Roman"/>
        </w:rPr>
        <w:t>or</w:t>
      </w:r>
      <w:proofErr w:type="spellEnd"/>
      <w:r w:rsidR="009A027D" w:rsidRPr="00705170">
        <w:rPr>
          <w:rFonts w:ascii="Times New Roman" w:hAnsi="Times New Roman" w:cs="Times New Roman"/>
        </w:rPr>
        <w:t xml:space="preserve"> </w:t>
      </w:r>
      <w:proofErr w:type="spellStart"/>
      <w:r w:rsidR="00350B1D" w:rsidRPr="00705170">
        <w:rPr>
          <w:rFonts w:ascii="Times New Roman" w:hAnsi="Times New Roman" w:cs="Times New Roman"/>
        </w:rPr>
        <w:t>supervising</w:t>
      </w:r>
      <w:proofErr w:type="spellEnd"/>
      <w:r w:rsidR="006F4853" w:rsidRPr="00705170">
        <w:rPr>
          <w:rFonts w:ascii="Times New Roman" w:hAnsi="Times New Roman" w:cs="Times New Roman"/>
        </w:rPr>
        <w:t xml:space="preserve"> </w:t>
      </w:r>
      <w:proofErr w:type="spellStart"/>
      <w:r w:rsidR="000C54EF" w:rsidRPr="00705170">
        <w:rPr>
          <w:rFonts w:ascii="Times New Roman" w:hAnsi="Times New Roman" w:cs="Times New Roman"/>
        </w:rPr>
        <w:t>the</w:t>
      </w:r>
      <w:proofErr w:type="spellEnd"/>
      <w:r w:rsidR="000C54EF" w:rsidRPr="00705170">
        <w:rPr>
          <w:rFonts w:ascii="Times New Roman" w:hAnsi="Times New Roman" w:cs="Times New Roman"/>
        </w:rPr>
        <w:t xml:space="preserve"> </w:t>
      </w:r>
      <w:proofErr w:type="spellStart"/>
      <w:r w:rsidR="000C54EF" w:rsidRPr="00705170">
        <w:rPr>
          <w:rFonts w:ascii="Times New Roman" w:hAnsi="Times New Roman" w:cs="Times New Roman"/>
        </w:rPr>
        <w:t>subsidiary</w:t>
      </w:r>
      <w:proofErr w:type="spellEnd"/>
      <w:r w:rsidR="000C54EF" w:rsidRPr="00705170">
        <w:rPr>
          <w:rFonts w:ascii="Times New Roman" w:hAnsi="Times New Roman" w:cs="Times New Roman"/>
        </w:rPr>
        <w:t>”</w:t>
      </w:r>
      <w:r w:rsidR="00E83E82" w:rsidRPr="00705170">
        <w:rPr>
          <w:rFonts w:ascii="Times New Roman" w:hAnsi="Times New Roman" w:cs="Times New Roman"/>
        </w:rPr>
        <w:t xml:space="preserve"> </w:t>
      </w:r>
      <w:r w:rsidR="006F4853" w:rsidRPr="00705170">
        <w:rPr>
          <w:rFonts w:ascii="Times New Roman" w:hAnsi="Times New Roman" w:cs="Times New Roman"/>
        </w:rPr>
        <w:t xml:space="preserve">in </w:t>
      </w:r>
      <w:proofErr w:type="spellStart"/>
      <w:r w:rsidR="006F4853" w:rsidRPr="00705170">
        <w:rPr>
          <w:rFonts w:ascii="Times New Roman" w:hAnsi="Times New Roman" w:cs="Times New Roman"/>
        </w:rPr>
        <w:t>the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action</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that</w:t>
      </w:r>
      <w:proofErr w:type="spellEnd"/>
      <w:r w:rsidR="006F4853" w:rsidRPr="00705170">
        <w:rPr>
          <w:rFonts w:ascii="Times New Roman" w:hAnsi="Times New Roman" w:cs="Times New Roman"/>
        </w:rPr>
        <w:t xml:space="preserve"> is </w:t>
      </w:r>
      <w:proofErr w:type="spellStart"/>
      <w:r w:rsidR="006F4853" w:rsidRPr="00705170">
        <w:rPr>
          <w:rFonts w:ascii="Times New Roman" w:hAnsi="Times New Roman" w:cs="Times New Roman"/>
        </w:rPr>
        <w:t>subject</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to</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relationship</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between</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third</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parties</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and</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subsidiary</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and</w:t>
      </w:r>
      <w:proofErr w:type="spellEnd"/>
      <w:r w:rsidR="006F4853" w:rsidRPr="00705170">
        <w:rPr>
          <w:rFonts w:ascii="Times New Roman" w:hAnsi="Times New Roman" w:cs="Times New Roman"/>
        </w:rPr>
        <w:t xml:space="preserve"> (2) </w:t>
      </w:r>
      <w:proofErr w:type="spellStart"/>
      <w:r w:rsidR="006F4853" w:rsidRPr="00705170">
        <w:rPr>
          <w:rFonts w:ascii="Times New Roman" w:hAnsi="Times New Roman" w:cs="Times New Roman"/>
        </w:rPr>
        <w:t>the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parent</w:t>
      </w:r>
      <w:proofErr w:type="spellEnd"/>
      <w:r w:rsidR="008673B1" w:rsidRPr="00705170">
        <w:rPr>
          <w:rFonts w:ascii="Times New Roman" w:hAnsi="Times New Roman" w:cs="Times New Roman"/>
        </w:rPr>
        <w:t xml:space="preserve"> </w:t>
      </w:r>
      <w:proofErr w:type="spellStart"/>
      <w:r w:rsidR="008673B1" w:rsidRPr="00705170">
        <w:rPr>
          <w:rFonts w:ascii="Times New Roman" w:hAnsi="Times New Roman" w:cs="Times New Roman"/>
        </w:rPr>
        <w:t>knowingly</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does</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nothing</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to</w:t>
      </w:r>
      <w:proofErr w:type="spellEnd"/>
      <w:r w:rsidR="000C54EF" w:rsidRPr="00705170">
        <w:rPr>
          <w:rFonts w:ascii="Times New Roman" w:hAnsi="Times New Roman" w:cs="Times New Roman"/>
        </w:rPr>
        <w:t xml:space="preserve"> </w:t>
      </w:r>
      <w:proofErr w:type="spellStart"/>
      <w:r w:rsidR="000C54EF" w:rsidRPr="00705170">
        <w:rPr>
          <w:rFonts w:ascii="Times New Roman" w:hAnsi="Times New Roman" w:cs="Times New Roman"/>
        </w:rPr>
        <w:t>prevent</w:t>
      </w:r>
      <w:proofErr w:type="spellEnd"/>
      <w:r w:rsidR="000C54EF" w:rsidRPr="00705170">
        <w:rPr>
          <w:rFonts w:ascii="Times New Roman" w:hAnsi="Times New Roman" w:cs="Times New Roman"/>
        </w:rPr>
        <w:t xml:space="preserve"> </w:t>
      </w:r>
      <w:proofErr w:type="spellStart"/>
      <w:r w:rsidR="000C54EF" w:rsidRPr="00705170">
        <w:rPr>
          <w:rFonts w:ascii="Times New Roman" w:hAnsi="Times New Roman" w:cs="Times New Roman"/>
        </w:rPr>
        <w:t>the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legitimate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expectation</w:t>
      </w:r>
      <w:r w:rsidR="009A027D" w:rsidRPr="00705170">
        <w:rPr>
          <w:rFonts w:ascii="Times New Roman" w:hAnsi="Times New Roman" w:cs="Times New Roman"/>
        </w:rPr>
        <w:t>s</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that</w:t>
      </w:r>
      <w:proofErr w:type="spellEnd"/>
      <w:r w:rsidR="000C54EF" w:rsidRPr="00705170">
        <w:rPr>
          <w:rFonts w:ascii="Times New Roman" w:hAnsi="Times New Roman" w:cs="Times New Roman"/>
        </w:rPr>
        <w:t xml:space="preserve"> </w:t>
      </w:r>
      <w:proofErr w:type="spellStart"/>
      <w:r w:rsidR="000C54EF" w:rsidRPr="00705170">
        <w:rPr>
          <w:rFonts w:ascii="Times New Roman" w:hAnsi="Times New Roman" w:cs="Times New Roman"/>
        </w:rPr>
        <w:t>this</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inducement</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created</w:t>
      </w:r>
      <w:proofErr w:type="spellEnd"/>
      <w:r w:rsidR="000C54EF" w:rsidRPr="00705170">
        <w:rPr>
          <w:rFonts w:ascii="Times New Roman" w:hAnsi="Times New Roman" w:cs="Times New Roman"/>
        </w:rPr>
        <w:t xml:space="preserve"> in </w:t>
      </w:r>
      <w:proofErr w:type="spellStart"/>
      <w:r w:rsidR="000C54EF" w:rsidRPr="00705170">
        <w:rPr>
          <w:rFonts w:ascii="Times New Roman" w:hAnsi="Times New Roman" w:cs="Times New Roman"/>
        </w:rPr>
        <w:t>the</w:t>
      </w:r>
      <w:proofErr w:type="spellEnd"/>
      <w:r w:rsidR="000C54EF" w:rsidRPr="00705170">
        <w:rPr>
          <w:rFonts w:ascii="Times New Roman" w:hAnsi="Times New Roman" w:cs="Times New Roman"/>
        </w:rPr>
        <w:t xml:space="preserve"> </w:t>
      </w:r>
      <w:proofErr w:type="spellStart"/>
      <w:r w:rsidR="000C54EF" w:rsidRPr="00705170">
        <w:rPr>
          <w:rFonts w:ascii="Times New Roman" w:hAnsi="Times New Roman" w:cs="Times New Roman"/>
        </w:rPr>
        <w:t>view</w:t>
      </w:r>
      <w:proofErr w:type="spellEnd"/>
      <w:r w:rsidR="000C54EF" w:rsidRPr="00705170">
        <w:rPr>
          <w:rFonts w:ascii="Times New Roman" w:hAnsi="Times New Roman" w:cs="Times New Roman"/>
        </w:rPr>
        <w:t xml:space="preserve"> of </w:t>
      </w:r>
      <w:proofErr w:type="spellStart"/>
      <w:r w:rsidR="000C54EF" w:rsidRPr="00705170">
        <w:rPr>
          <w:rFonts w:ascii="Times New Roman" w:hAnsi="Times New Roman" w:cs="Times New Roman"/>
        </w:rPr>
        <w:t>the</w:t>
      </w:r>
      <w:proofErr w:type="spellEnd"/>
      <w:r w:rsidR="000C54EF" w:rsidRPr="00705170">
        <w:rPr>
          <w:rFonts w:ascii="Times New Roman" w:hAnsi="Times New Roman" w:cs="Times New Roman"/>
        </w:rPr>
        <w:t xml:space="preserve"> </w:t>
      </w:r>
      <w:proofErr w:type="spellStart"/>
      <w:r w:rsidR="000C54EF" w:rsidRPr="00705170">
        <w:rPr>
          <w:rFonts w:ascii="Times New Roman" w:hAnsi="Times New Roman" w:cs="Times New Roman"/>
        </w:rPr>
        <w:lastRenderedPageBreak/>
        <w:t>third</w:t>
      </w:r>
      <w:proofErr w:type="spellEnd"/>
      <w:r w:rsidR="000C54EF" w:rsidRPr="00705170">
        <w:rPr>
          <w:rFonts w:ascii="Times New Roman" w:hAnsi="Times New Roman" w:cs="Times New Roman"/>
        </w:rPr>
        <w:t xml:space="preserve"> </w:t>
      </w:r>
      <w:proofErr w:type="spellStart"/>
      <w:r w:rsidR="000C54EF" w:rsidRPr="00705170">
        <w:rPr>
          <w:rFonts w:ascii="Times New Roman" w:hAnsi="Times New Roman" w:cs="Times New Roman"/>
        </w:rPr>
        <w:t>parties</w:t>
      </w:r>
      <w:proofErr w:type="spellEnd"/>
      <w:r w:rsidR="008673B1" w:rsidRPr="00705170">
        <w:rPr>
          <w:rFonts w:ascii="Times New Roman" w:hAnsi="Times New Roman" w:cs="Times New Roman"/>
        </w:rPr>
        <w:t xml:space="preserve"> </w:t>
      </w:r>
      <w:proofErr w:type="spellStart"/>
      <w:r w:rsidR="008673B1" w:rsidRPr="00705170">
        <w:rPr>
          <w:rFonts w:ascii="Times New Roman" w:hAnsi="Times New Roman" w:cs="Times New Roman"/>
        </w:rPr>
        <w:t>and</w:t>
      </w:r>
      <w:proofErr w:type="spellEnd"/>
      <w:r w:rsidR="008673B1" w:rsidRPr="00705170">
        <w:rPr>
          <w:rFonts w:ascii="Times New Roman" w:hAnsi="Times New Roman" w:cs="Times New Roman"/>
        </w:rPr>
        <w:t xml:space="preserve"> </w:t>
      </w:r>
      <w:proofErr w:type="spellStart"/>
      <w:r w:rsidR="008673B1" w:rsidRPr="00705170">
        <w:rPr>
          <w:rFonts w:ascii="Times New Roman" w:hAnsi="Times New Roman" w:cs="Times New Roman"/>
        </w:rPr>
        <w:t>derive</w:t>
      </w:r>
      <w:proofErr w:type="spellEnd"/>
      <w:r w:rsidR="008673B1" w:rsidRPr="00705170">
        <w:rPr>
          <w:rFonts w:ascii="Times New Roman" w:hAnsi="Times New Roman" w:cs="Times New Roman"/>
        </w:rPr>
        <w:t xml:space="preserve"> </w:t>
      </w:r>
      <w:proofErr w:type="spellStart"/>
      <w:r w:rsidR="008673B1" w:rsidRPr="00705170">
        <w:rPr>
          <w:rFonts w:ascii="Times New Roman" w:hAnsi="Times New Roman" w:cs="Times New Roman"/>
        </w:rPr>
        <w:t>benefit</w:t>
      </w:r>
      <w:proofErr w:type="spellEnd"/>
      <w:r w:rsidR="008673B1" w:rsidRPr="00705170">
        <w:rPr>
          <w:rFonts w:ascii="Times New Roman" w:hAnsi="Times New Roman" w:cs="Times New Roman"/>
        </w:rPr>
        <w:t xml:space="preserve"> </w:t>
      </w:r>
      <w:proofErr w:type="spellStart"/>
      <w:r w:rsidR="008673B1" w:rsidRPr="00705170">
        <w:rPr>
          <w:rFonts w:ascii="Times New Roman" w:hAnsi="Times New Roman" w:cs="Times New Roman"/>
        </w:rPr>
        <w:t>to</w:t>
      </w:r>
      <w:proofErr w:type="spellEnd"/>
      <w:r w:rsidR="008673B1" w:rsidRPr="00705170">
        <w:rPr>
          <w:rFonts w:ascii="Times New Roman" w:hAnsi="Times New Roman" w:cs="Times New Roman"/>
        </w:rPr>
        <w:t xml:space="preserve"> </w:t>
      </w:r>
      <w:proofErr w:type="spellStart"/>
      <w:r w:rsidR="008673B1" w:rsidRPr="00705170">
        <w:rPr>
          <w:rFonts w:ascii="Times New Roman" w:hAnsi="Times New Roman" w:cs="Times New Roman"/>
        </w:rPr>
        <w:t>the</w:t>
      </w:r>
      <w:proofErr w:type="spellEnd"/>
      <w:r w:rsidR="008673B1" w:rsidRPr="00705170">
        <w:rPr>
          <w:rFonts w:ascii="Times New Roman" w:hAnsi="Times New Roman" w:cs="Times New Roman"/>
        </w:rPr>
        <w:t xml:space="preserve"> </w:t>
      </w:r>
      <w:proofErr w:type="spellStart"/>
      <w:r w:rsidR="008673B1" w:rsidRPr="00705170">
        <w:rPr>
          <w:rFonts w:ascii="Times New Roman" w:hAnsi="Times New Roman" w:cs="Times New Roman"/>
        </w:rPr>
        <w:t>corporate</w:t>
      </w:r>
      <w:proofErr w:type="spellEnd"/>
      <w:r w:rsidR="008673B1" w:rsidRPr="00705170">
        <w:rPr>
          <w:rFonts w:ascii="Times New Roman" w:hAnsi="Times New Roman" w:cs="Times New Roman"/>
        </w:rPr>
        <w:t xml:space="preserve"> </w:t>
      </w:r>
      <w:proofErr w:type="spellStart"/>
      <w:r w:rsidR="008673B1" w:rsidRPr="00705170">
        <w:rPr>
          <w:rFonts w:ascii="Times New Roman" w:hAnsi="Times New Roman" w:cs="Times New Roman"/>
        </w:rPr>
        <w:t>group</w:t>
      </w:r>
      <w:proofErr w:type="spellEnd"/>
      <w:r w:rsidR="008673B1" w:rsidRPr="00705170">
        <w:rPr>
          <w:rFonts w:ascii="Times New Roman" w:hAnsi="Times New Roman" w:cs="Times New Roman"/>
        </w:rPr>
        <w:t xml:space="preserve"> </w:t>
      </w:r>
      <w:proofErr w:type="spellStart"/>
      <w:r w:rsidR="008673B1" w:rsidRPr="00705170">
        <w:rPr>
          <w:rFonts w:ascii="Times New Roman" w:hAnsi="Times New Roman" w:cs="Times New Roman"/>
        </w:rPr>
        <w:t>from</w:t>
      </w:r>
      <w:proofErr w:type="spellEnd"/>
      <w:r w:rsidR="008673B1" w:rsidRPr="00705170">
        <w:rPr>
          <w:rFonts w:ascii="Times New Roman" w:hAnsi="Times New Roman" w:cs="Times New Roman"/>
        </w:rPr>
        <w:t xml:space="preserve"> </w:t>
      </w:r>
      <w:proofErr w:type="spellStart"/>
      <w:r w:rsidR="009D0FB3" w:rsidRPr="00705170">
        <w:rPr>
          <w:rFonts w:ascii="Times New Roman" w:hAnsi="Times New Roman" w:cs="Times New Roman"/>
        </w:rPr>
        <w:t>this</w:t>
      </w:r>
      <w:proofErr w:type="spellEnd"/>
      <w:r w:rsidR="009D0FB3" w:rsidRPr="00705170">
        <w:rPr>
          <w:rFonts w:ascii="Times New Roman" w:hAnsi="Times New Roman" w:cs="Times New Roman"/>
        </w:rPr>
        <w:t xml:space="preserve"> </w:t>
      </w:r>
      <w:proofErr w:type="spellStart"/>
      <w:r w:rsidR="009D0FB3" w:rsidRPr="00705170">
        <w:rPr>
          <w:rFonts w:ascii="Times New Roman" w:hAnsi="Times New Roman" w:cs="Times New Roman"/>
        </w:rPr>
        <w:t>inducement</w:t>
      </w:r>
      <w:proofErr w:type="spellEnd"/>
      <w:r w:rsidR="006F4853" w:rsidRPr="00705170">
        <w:rPr>
          <w:rStyle w:val="DipnotBavurusu"/>
          <w:rFonts w:ascii="Times New Roman" w:hAnsi="Times New Roman" w:cs="Times New Roman"/>
        </w:rPr>
        <w:footnoteReference w:id="340"/>
      </w:r>
      <w:r w:rsidR="00486B76" w:rsidRPr="00705170">
        <w:rPr>
          <w:rFonts w:ascii="Times New Roman" w:hAnsi="Times New Roman" w:cs="Times New Roman"/>
        </w:rPr>
        <w:t xml:space="preserve">. </w:t>
      </w:r>
      <w:proofErr w:type="spellStart"/>
      <w:r w:rsidR="00486B76" w:rsidRPr="00705170">
        <w:rPr>
          <w:rFonts w:ascii="Times New Roman" w:hAnsi="Times New Roman" w:cs="Times New Roman"/>
        </w:rPr>
        <w:t>It</w:t>
      </w:r>
      <w:proofErr w:type="spellEnd"/>
      <w:r w:rsidR="00486B76" w:rsidRPr="00705170">
        <w:rPr>
          <w:rFonts w:ascii="Times New Roman" w:hAnsi="Times New Roman" w:cs="Times New Roman"/>
        </w:rPr>
        <w:t xml:space="preserve"> is </w:t>
      </w:r>
      <w:proofErr w:type="spellStart"/>
      <w:r w:rsidR="00486B76" w:rsidRPr="00705170">
        <w:rPr>
          <w:rFonts w:ascii="Times New Roman" w:hAnsi="Times New Roman" w:cs="Times New Roman"/>
        </w:rPr>
        <w:t>important</w:t>
      </w:r>
      <w:proofErr w:type="spellEnd"/>
      <w:r w:rsidR="00486B76" w:rsidRPr="00705170">
        <w:rPr>
          <w:rFonts w:ascii="Times New Roman" w:hAnsi="Times New Roman" w:cs="Times New Roman"/>
        </w:rPr>
        <w:t xml:space="preserve"> </w:t>
      </w:r>
      <w:proofErr w:type="spellStart"/>
      <w:r w:rsidR="00486B76" w:rsidRPr="00705170">
        <w:rPr>
          <w:rFonts w:ascii="Times New Roman" w:hAnsi="Times New Roman" w:cs="Times New Roman"/>
        </w:rPr>
        <w:t>to</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note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that</w:t>
      </w:r>
      <w:proofErr w:type="spellEnd"/>
      <w:r w:rsidR="006F4853" w:rsidRPr="00705170">
        <w:rPr>
          <w:rFonts w:ascii="Times New Roman" w:hAnsi="Times New Roman" w:cs="Times New Roman"/>
        </w:rPr>
        <w:t xml:space="preserve"> in </w:t>
      </w:r>
      <w:proofErr w:type="spellStart"/>
      <w:r w:rsidR="006F4853" w:rsidRPr="00705170">
        <w:rPr>
          <w:rFonts w:ascii="Times New Roman" w:hAnsi="Times New Roman" w:cs="Times New Roman"/>
        </w:rPr>
        <w:t>this</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situation</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parent</w:t>
      </w:r>
      <w:proofErr w:type="spellEnd"/>
      <w:r w:rsidR="006F4853" w:rsidRPr="00705170">
        <w:rPr>
          <w:rFonts w:ascii="Times New Roman" w:hAnsi="Times New Roman" w:cs="Times New Roman"/>
        </w:rPr>
        <w:t xml:space="preserve"> is not </w:t>
      </w:r>
      <w:proofErr w:type="spellStart"/>
      <w:r w:rsidR="006F4853" w:rsidRPr="00705170">
        <w:rPr>
          <w:rFonts w:ascii="Times New Roman" w:hAnsi="Times New Roman" w:cs="Times New Roman"/>
        </w:rPr>
        <w:t>held</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liable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for</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subsidiary’s</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violation</w:t>
      </w:r>
      <w:proofErr w:type="spellEnd"/>
      <w:r w:rsidR="006F4853" w:rsidRPr="00705170">
        <w:rPr>
          <w:rFonts w:ascii="Times New Roman" w:hAnsi="Times New Roman" w:cs="Times New Roman"/>
        </w:rPr>
        <w:t xml:space="preserve"> of a </w:t>
      </w:r>
      <w:proofErr w:type="spellStart"/>
      <w:r w:rsidR="006F4853" w:rsidRPr="00705170">
        <w:rPr>
          <w:rFonts w:ascii="Times New Roman" w:hAnsi="Times New Roman" w:cs="Times New Roman"/>
        </w:rPr>
        <w:t>contract</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e.g</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failure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to</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perform</w:t>
      </w:r>
      <w:proofErr w:type="spellEnd"/>
      <w:r w:rsidR="006F4853" w:rsidRPr="00705170">
        <w:rPr>
          <w:rFonts w:ascii="Times New Roman" w:hAnsi="Times New Roman" w:cs="Times New Roman"/>
        </w:rPr>
        <w:t xml:space="preserve"> a </w:t>
      </w:r>
      <w:proofErr w:type="spellStart"/>
      <w:r w:rsidR="006F4853" w:rsidRPr="00705170">
        <w:rPr>
          <w:rFonts w:ascii="Times New Roman" w:hAnsi="Times New Roman" w:cs="Times New Roman"/>
        </w:rPr>
        <w:t>contractual</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obligation</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rather</w:t>
      </w:r>
      <w:proofErr w:type="spellEnd"/>
      <w:r w:rsidR="006F4853" w:rsidRPr="00705170">
        <w:rPr>
          <w:rFonts w:ascii="Times New Roman" w:hAnsi="Times New Roman" w:cs="Times New Roman"/>
        </w:rPr>
        <w:t xml:space="preserve"> it is </w:t>
      </w:r>
      <w:proofErr w:type="spellStart"/>
      <w:r w:rsidR="006F4853" w:rsidRPr="00705170">
        <w:rPr>
          <w:rFonts w:ascii="Times New Roman" w:hAnsi="Times New Roman" w:cs="Times New Roman"/>
        </w:rPr>
        <w:t>held</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liable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for</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its</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parent’s</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own</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violation</w:t>
      </w:r>
      <w:proofErr w:type="spellEnd"/>
      <w:r w:rsidR="006F4853" w:rsidRPr="00705170">
        <w:rPr>
          <w:rFonts w:ascii="Times New Roman" w:hAnsi="Times New Roman" w:cs="Times New Roman"/>
        </w:rPr>
        <w:t xml:space="preserve"> of </w:t>
      </w:r>
      <w:proofErr w:type="spellStart"/>
      <w:r w:rsidR="006F4853" w:rsidRPr="00705170">
        <w:rPr>
          <w:rFonts w:ascii="Times New Roman" w:hAnsi="Times New Roman" w:cs="Times New Roman"/>
        </w:rPr>
        <w:t>the</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duty</w:t>
      </w:r>
      <w:proofErr w:type="spellEnd"/>
      <w:r w:rsidR="006F4853" w:rsidRPr="00705170">
        <w:rPr>
          <w:rFonts w:ascii="Times New Roman" w:hAnsi="Times New Roman" w:cs="Times New Roman"/>
        </w:rPr>
        <w:t xml:space="preserve"> of </w:t>
      </w:r>
      <w:proofErr w:type="spellStart"/>
      <w:r w:rsidR="006F4853" w:rsidRPr="00705170">
        <w:rPr>
          <w:rFonts w:ascii="Times New Roman" w:hAnsi="Times New Roman" w:cs="Times New Roman"/>
        </w:rPr>
        <w:t>good</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faith</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if</w:t>
      </w:r>
      <w:proofErr w:type="spellEnd"/>
      <w:r w:rsidR="006F4853" w:rsidRPr="00705170">
        <w:rPr>
          <w:rFonts w:ascii="Times New Roman" w:hAnsi="Times New Roman" w:cs="Times New Roman"/>
        </w:rPr>
        <w:t xml:space="preserve"> it </w:t>
      </w:r>
      <w:proofErr w:type="spellStart"/>
      <w:r w:rsidR="006F4853" w:rsidRPr="00705170">
        <w:rPr>
          <w:rFonts w:ascii="Times New Roman" w:hAnsi="Times New Roman" w:cs="Times New Roman"/>
        </w:rPr>
        <w:t>refrained</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from</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perfoming</w:t>
      </w:r>
      <w:proofErr w:type="spellEnd"/>
      <w:r w:rsidR="006F4853" w:rsidRPr="00705170">
        <w:rPr>
          <w:rFonts w:ascii="Times New Roman" w:hAnsi="Times New Roman" w:cs="Times New Roman"/>
        </w:rPr>
        <w:t xml:space="preserve"> an </w:t>
      </w:r>
      <w:proofErr w:type="spellStart"/>
      <w:r w:rsidR="006F4853" w:rsidRPr="00705170">
        <w:rPr>
          <w:rFonts w:ascii="Times New Roman" w:hAnsi="Times New Roman" w:cs="Times New Roman"/>
        </w:rPr>
        <w:t>obligation</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that</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this</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duty</w:t>
      </w:r>
      <w:proofErr w:type="spellEnd"/>
      <w:r w:rsidR="006F4853" w:rsidRPr="00705170">
        <w:rPr>
          <w:rFonts w:ascii="Times New Roman" w:hAnsi="Times New Roman" w:cs="Times New Roman"/>
        </w:rPr>
        <w:t xml:space="preserve"> </w:t>
      </w:r>
      <w:proofErr w:type="spellStart"/>
      <w:r w:rsidR="006F4853" w:rsidRPr="00705170">
        <w:rPr>
          <w:rFonts w:ascii="Times New Roman" w:hAnsi="Times New Roman" w:cs="Times New Roman"/>
        </w:rPr>
        <w:t>burdens</w:t>
      </w:r>
      <w:proofErr w:type="spellEnd"/>
      <w:r w:rsidR="006F4853" w:rsidRPr="00705170">
        <w:rPr>
          <w:rStyle w:val="DipnotBavurusu"/>
          <w:rFonts w:ascii="Times New Roman" w:hAnsi="Times New Roman" w:cs="Times New Roman"/>
        </w:rPr>
        <w:footnoteReference w:id="341"/>
      </w:r>
      <w:r w:rsidR="006F4853" w:rsidRPr="00705170">
        <w:rPr>
          <w:rFonts w:ascii="Times New Roman" w:hAnsi="Times New Roman" w:cs="Times New Roman"/>
        </w:rPr>
        <w:t>.</w:t>
      </w:r>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Moreover</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the</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breach</w:t>
      </w:r>
      <w:proofErr w:type="spellEnd"/>
      <w:r w:rsidR="00036064" w:rsidRPr="00705170">
        <w:rPr>
          <w:rFonts w:ascii="Times New Roman" w:hAnsi="Times New Roman" w:cs="Times New Roman"/>
        </w:rPr>
        <w:t xml:space="preserve"> of </w:t>
      </w:r>
      <w:proofErr w:type="spellStart"/>
      <w:r w:rsidR="00036064" w:rsidRPr="00705170">
        <w:rPr>
          <w:rFonts w:ascii="Times New Roman" w:hAnsi="Times New Roman" w:cs="Times New Roman"/>
        </w:rPr>
        <w:t>trust</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theory</w:t>
      </w:r>
      <w:proofErr w:type="spellEnd"/>
      <w:r w:rsidR="00036064" w:rsidRPr="00705170">
        <w:rPr>
          <w:rFonts w:ascii="Times New Roman" w:hAnsi="Times New Roman" w:cs="Times New Roman"/>
        </w:rPr>
        <w:t xml:space="preserve"> is </w:t>
      </w:r>
      <w:proofErr w:type="spellStart"/>
      <w:r w:rsidR="00036064" w:rsidRPr="00705170">
        <w:rPr>
          <w:rFonts w:ascii="Times New Roman" w:hAnsi="Times New Roman" w:cs="Times New Roman"/>
        </w:rPr>
        <w:t>only</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applicable</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if</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there</w:t>
      </w:r>
      <w:proofErr w:type="spellEnd"/>
      <w:r w:rsidR="00036064" w:rsidRPr="00705170">
        <w:rPr>
          <w:rFonts w:ascii="Times New Roman" w:hAnsi="Times New Roman" w:cs="Times New Roman"/>
        </w:rPr>
        <w:t xml:space="preserve"> is </w:t>
      </w:r>
      <w:proofErr w:type="spellStart"/>
      <w:r w:rsidR="00036064" w:rsidRPr="00705170">
        <w:rPr>
          <w:rFonts w:ascii="Times New Roman" w:hAnsi="Times New Roman" w:cs="Times New Roman"/>
        </w:rPr>
        <w:t>no</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contractual</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relationship</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between</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the</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parent</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and</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the</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third</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party</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and</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the</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tort</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law</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cannot</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provide</w:t>
      </w:r>
      <w:proofErr w:type="spellEnd"/>
      <w:r w:rsidR="00036064" w:rsidRPr="00705170">
        <w:rPr>
          <w:rFonts w:ascii="Times New Roman" w:hAnsi="Times New Roman" w:cs="Times New Roman"/>
        </w:rPr>
        <w:t xml:space="preserve"> a </w:t>
      </w:r>
      <w:proofErr w:type="spellStart"/>
      <w:r w:rsidR="00036064" w:rsidRPr="00705170">
        <w:rPr>
          <w:rFonts w:ascii="Times New Roman" w:hAnsi="Times New Roman" w:cs="Times New Roman"/>
        </w:rPr>
        <w:t>satisfactory</w:t>
      </w:r>
      <w:proofErr w:type="spellEnd"/>
      <w:r w:rsidR="00036064" w:rsidRPr="00705170">
        <w:rPr>
          <w:rFonts w:ascii="Times New Roman" w:hAnsi="Times New Roman" w:cs="Times New Roman"/>
        </w:rPr>
        <w:t xml:space="preserve"> </w:t>
      </w:r>
      <w:proofErr w:type="spellStart"/>
      <w:r w:rsidR="00036064" w:rsidRPr="00705170">
        <w:rPr>
          <w:rFonts w:ascii="Times New Roman" w:hAnsi="Times New Roman" w:cs="Times New Roman"/>
        </w:rPr>
        <w:t>remedy</w:t>
      </w:r>
      <w:proofErr w:type="spellEnd"/>
      <w:r w:rsidR="00036064" w:rsidRPr="00705170">
        <w:rPr>
          <w:rStyle w:val="DipnotBavurusu"/>
          <w:rFonts w:ascii="Times New Roman" w:hAnsi="Times New Roman" w:cs="Times New Roman"/>
        </w:rPr>
        <w:footnoteReference w:id="342"/>
      </w:r>
      <w:r w:rsidR="00036064" w:rsidRPr="00705170">
        <w:rPr>
          <w:rFonts w:ascii="Times New Roman" w:hAnsi="Times New Roman" w:cs="Times New Roman"/>
        </w:rPr>
        <w:t>.</w:t>
      </w:r>
    </w:p>
    <w:p w14:paraId="22A63CB6" w14:textId="78429346" w:rsidR="000B1686" w:rsidRPr="00705170" w:rsidRDefault="00210A82" w:rsidP="008B6944">
      <w:pPr>
        <w:spacing w:after="240" w:line="480" w:lineRule="auto"/>
        <w:ind w:firstLine="708"/>
        <w:jc w:val="both"/>
        <w:rPr>
          <w:rFonts w:ascii="Times New Roman" w:hAnsi="Times New Roman" w:cs="Times New Roman"/>
        </w:rPr>
      </w:pPr>
      <w:r w:rsidRPr="00705170">
        <w:rPr>
          <w:rFonts w:ascii="Times New Roman" w:hAnsi="Times New Roman" w:cs="Times New Roman"/>
        </w:rPr>
        <w:t>A</w:t>
      </w:r>
      <w:r w:rsidR="000C3A34" w:rsidRPr="00705170">
        <w:rPr>
          <w:rFonts w:ascii="Times New Roman" w:hAnsi="Times New Roman" w:cs="Times New Roman"/>
        </w:rPr>
        <w:t xml:space="preserve">part </w:t>
      </w:r>
      <w:proofErr w:type="spellStart"/>
      <w:r w:rsidR="000C3A34" w:rsidRPr="00705170">
        <w:rPr>
          <w:rFonts w:ascii="Times New Roman" w:hAnsi="Times New Roman" w:cs="Times New Roman"/>
        </w:rPr>
        <w:t>from</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the</w:t>
      </w:r>
      <w:proofErr w:type="spellEnd"/>
      <w:r w:rsidR="000C3A34" w:rsidRPr="00705170">
        <w:rPr>
          <w:rFonts w:ascii="Times New Roman" w:hAnsi="Times New Roman" w:cs="Times New Roman"/>
        </w:rPr>
        <w:t xml:space="preserve"> general </w:t>
      </w:r>
      <w:proofErr w:type="spellStart"/>
      <w:r w:rsidRPr="00705170">
        <w:rPr>
          <w:rFonts w:ascii="Times New Roman" w:hAnsi="Times New Roman" w:cs="Times New Roman"/>
        </w:rPr>
        <w:t>criticism</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to</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the</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statutory</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construction</w:t>
      </w:r>
      <w:proofErr w:type="spellEnd"/>
      <w:r w:rsidR="000C3A34" w:rsidRPr="00705170">
        <w:rPr>
          <w:rFonts w:ascii="Times New Roman" w:hAnsi="Times New Roman" w:cs="Times New Roman"/>
        </w:rPr>
        <w:t xml:space="preserve"> on </w:t>
      </w:r>
      <w:proofErr w:type="spellStart"/>
      <w:r w:rsidR="000C3A34" w:rsidRPr="00705170">
        <w:rPr>
          <w:rFonts w:ascii="Times New Roman" w:hAnsi="Times New Roman" w:cs="Times New Roman"/>
        </w:rPr>
        <w:t>the</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grounds</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that</w:t>
      </w:r>
      <w:proofErr w:type="spellEnd"/>
      <w:r w:rsidR="000C3A34" w:rsidRPr="00705170">
        <w:rPr>
          <w:rFonts w:ascii="Times New Roman" w:hAnsi="Times New Roman" w:cs="Times New Roman"/>
        </w:rPr>
        <w:t xml:space="preserve"> it is </w:t>
      </w:r>
      <w:proofErr w:type="spellStart"/>
      <w:r w:rsidR="000C3A34" w:rsidRPr="00705170">
        <w:rPr>
          <w:rFonts w:ascii="Times New Roman" w:hAnsi="Times New Roman" w:cs="Times New Roman"/>
        </w:rPr>
        <w:t>difficult</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to</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prove</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detrimental</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interference</w:t>
      </w:r>
      <w:proofErr w:type="spellEnd"/>
      <w:r w:rsidR="000C3A34" w:rsidRPr="00705170">
        <w:rPr>
          <w:rFonts w:ascii="Times New Roman" w:hAnsi="Times New Roman" w:cs="Times New Roman"/>
        </w:rPr>
        <w:t xml:space="preserve"> on a </w:t>
      </w:r>
      <w:proofErr w:type="spellStart"/>
      <w:r w:rsidR="000C3A34" w:rsidRPr="00705170">
        <w:rPr>
          <w:rFonts w:ascii="Times New Roman" w:hAnsi="Times New Roman" w:cs="Times New Roman"/>
        </w:rPr>
        <w:t>transaction</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by</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transaction</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basis</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especially</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where</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the</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businesses</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are</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highly</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interconnected</w:t>
      </w:r>
      <w:proofErr w:type="spellEnd"/>
      <w:r w:rsidR="000C3A34" w:rsidRPr="00705170">
        <w:rPr>
          <w:rStyle w:val="DipnotBavurusu"/>
          <w:rFonts w:ascii="Times New Roman" w:hAnsi="Times New Roman" w:cs="Times New Roman"/>
        </w:rPr>
        <w:footnoteReference w:id="343"/>
      </w:r>
      <w:r w:rsidR="008B6944" w:rsidRPr="00705170">
        <w:rPr>
          <w:rFonts w:ascii="Times New Roman" w:hAnsi="Times New Roman" w:cs="Times New Roman"/>
        </w:rPr>
        <w:t xml:space="preserve">, </w:t>
      </w:r>
      <w:r w:rsidR="000C3A34" w:rsidRPr="00705170">
        <w:rPr>
          <w:rFonts w:ascii="Times New Roman" w:hAnsi="Times New Roman" w:cs="Times New Roman"/>
        </w:rPr>
        <w:t xml:space="preserve"> </w:t>
      </w:r>
      <w:proofErr w:type="spellStart"/>
      <w:r w:rsidR="008B6944" w:rsidRPr="00705170">
        <w:rPr>
          <w:rFonts w:ascii="Times New Roman" w:hAnsi="Times New Roman" w:cs="Times New Roman"/>
        </w:rPr>
        <w:t>the</w:t>
      </w:r>
      <w:proofErr w:type="spellEnd"/>
      <w:r w:rsidR="008B6944" w:rsidRPr="00705170">
        <w:rPr>
          <w:rFonts w:ascii="Times New Roman" w:hAnsi="Times New Roman" w:cs="Times New Roman"/>
        </w:rPr>
        <w:t xml:space="preserve"> </w:t>
      </w:r>
      <w:proofErr w:type="spellStart"/>
      <w:r w:rsidR="008B6944" w:rsidRPr="00705170">
        <w:rPr>
          <w:rFonts w:ascii="Times New Roman" w:hAnsi="Times New Roman" w:cs="Times New Roman"/>
        </w:rPr>
        <w:t>nature</w:t>
      </w:r>
      <w:proofErr w:type="spellEnd"/>
      <w:r w:rsidR="008B6944" w:rsidRPr="00705170">
        <w:rPr>
          <w:rFonts w:ascii="Times New Roman" w:hAnsi="Times New Roman" w:cs="Times New Roman"/>
        </w:rPr>
        <w:t xml:space="preserve"> of </w:t>
      </w:r>
      <w:proofErr w:type="spellStart"/>
      <w:r w:rsidR="008B6944" w:rsidRPr="00705170">
        <w:rPr>
          <w:rFonts w:ascii="Times New Roman" w:hAnsi="Times New Roman" w:cs="Times New Roman"/>
        </w:rPr>
        <w:t>the</w:t>
      </w:r>
      <w:proofErr w:type="spellEnd"/>
      <w:r w:rsidR="008B6944" w:rsidRPr="00705170">
        <w:rPr>
          <w:rFonts w:ascii="Times New Roman" w:hAnsi="Times New Roman" w:cs="Times New Roman"/>
        </w:rPr>
        <w:t xml:space="preserve"> </w:t>
      </w:r>
      <w:proofErr w:type="spellStart"/>
      <w:r w:rsidR="008B6944" w:rsidRPr="00705170">
        <w:rPr>
          <w:rFonts w:ascii="Times New Roman" w:hAnsi="Times New Roman" w:cs="Times New Roman"/>
        </w:rPr>
        <w:t>rules</w:t>
      </w:r>
      <w:proofErr w:type="spellEnd"/>
      <w:r w:rsidR="008B6944" w:rsidRPr="00705170">
        <w:rPr>
          <w:rFonts w:ascii="Times New Roman" w:hAnsi="Times New Roman" w:cs="Times New Roman"/>
        </w:rPr>
        <w:t xml:space="preserve"> on </w:t>
      </w:r>
      <w:proofErr w:type="spellStart"/>
      <w:r w:rsidR="008B6944" w:rsidRPr="00705170">
        <w:rPr>
          <w:rFonts w:ascii="Times New Roman" w:hAnsi="Times New Roman" w:cs="Times New Roman"/>
        </w:rPr>
        <w:t>corporate</w:t>
      </w:r>
      <w:proofErr w:type="spellEnd"/>
      <w:r w:rsidR="008B6944" w:rsidRPr="00705170">
        <w:rPr>
          <w:rFonts w:ascii="Times New Roman" w:hAnsi="Times New Roman" w:cs="Times New Roman"/>
        </w:rPr>
        <w:t xml:space="preserve"> </w:t>
      </w:r>
      <w:proofErr w:type="spellStart"/>
      <w:r w:rsidR="008B6944" w:rsidRPr="00705170">
        <w:rPr>
          <w:rFonts w:ascii="Times New Roman" w:hAnsi="Times New Roman" w:cs="Times New Roman"/>
        </w:rPr>
        <w:t>groups</w:t>
      </w:r>
      <w:proofErr w:type="spellEnd"/>
      <w:r w:rsidR="008B6944" w:rsidRPr="00705170">
        <w:rPr>
          <w:rFonts w:ascii="Times New Roman" w:hAnsi="Times New Roman" w:cs="Times New Roman"/>
        </w:rPr>
        <w:t xml:space="preserve"> </w:t>
      </w:r>
      <w:proofErr w:type="spellStart"/>
      <w:r w:rsidR="008B6944" w:rsidRPr="00705170">
        <w:rPr>
          <w:rFonts w:ascii="Times New Roman" w:hAnsi="Times New Roman" w:cs="Times New Roman"/>
        </w:rPr>
        <w:t>includes</w:t>
      </w:r>
      <w:proofErr w:type="spellEnd"/>
      <w:r w:rsidR="008B6944" w:rsidRPr="00705170">
        <w:rPr>
          <w:rFonts w:ascii="Times New Roman" w:hAnsi="Times New Roman" w:cs="Times New Roman"/>
        </w:rPr>
        <w:t xml:space="preserve"> </w:t>
      </w:r>
      <w:proofErr w:type="spellStart"/>
      <w:r w:rsidR="008B6944" w:rsidRPr="00705170">
        <w:rPr>
          <w:rFonts w:ascii="Times New Roman" w:hAnsi="Times New Roman" w:cs="Times New Roman"/>
        </w:rPr>
        <w:t>five</w:t>
      </w:r>
      <w:proofErr w:type="spellEnd"/>
      <w:r w:rsidR="008B6944" w:rsidRPr="00705170">
        <w:rPr>
          <w:rFonts w:ascii="Times New Roman" w:hAnsi="Times New Roman" w:cs="Times New Roman"/>
        </w:rPr>
        <w:t xml:space="preserve"> main </w:t>
      </w:r>
      <w:proofErr w:type="spellStart"/>
      <w:r w:rsidR="008B6944" w:rsidRPr="00705170">
        <w:rPr>
          <w:rFonts w:ascii="Times New Roman" w:hAnsi="Times New Roman" w:cs="Times New Roman"/>
        </w:rPr>
        <w:t>loopholes</w:t>
      </w:r>
      <w:proofErr w:type="spellEnd"/>
      <w:r w:rsidR="008B6944" w:rsidRPr="00705170">
        <w:rPr>
          <w:rFonts w:ascii="Times New Roman" w:hAnsi="Times New Roman" w:cs="Times New Roman"/>
        </w:rPr>
        <w:t xml:space="preserve"> </w:t>
      </w:r>
      <w:proofErr w:type="spellStart"/>
      <w:r w:rsidR="008B6944" w:rsidRPr="00705170">
        <w:rPr>
          <w:rFonts w:ascii="Times New Roman" w:hAnsi="Times New Roman" w:cs="Times New Roman"/>
        </w:rPr>
        <w:t>with</w:t>
      </w:r>
      <w:proofErr w:type="spellEnd"/>
      <w:r w:rsidR="008B6944" w:rsidRPr="00705170">
        <w:rPr>
          <w:rFonts w:ascii="Times New Roman" w:hAnsi="Times New Roman" w:cs="Times New Roman"/>
        </w:rPr>
        <w:t xml:space="preserve"> </w:t>
      </w:r>
      <w:proofErr w:type="spellStart"/>
      <w:r w:rsidR="008B6944" w:rsidRPr="00705170">
        <w:rPr>
          <w:rFonts w:ascii="Times New Roman" w:hAnsi="Times New Roman" w:cs="Times New Roman"/>
        </w:rPr>
        <w:t>regards</w:t>
      </w:r>
      <w:proofErr w:type="spellEnd"/>
      <w:r w:rsidR="008B6944" w:rsidRPr="00705170">
        <w:rPr>
          <w:rFonts w:ascii="Times New Roman" w:hAnsi="Times New Roman" w:cs="Times New Roman"/>
        </w:rPr>
        <w:t xml:space="preserve"> </w:t>
      </w:r>
      <w:proofErr w:type="spellStart"/>
      <w:r w:rsidR="008B6944" w:rsidRPr="00705170">
        <w:rPr>
          <w:rFonts w:ascii="Times New Roman" w:hAnsi="Times New Roman" w:cs="Times New Roman"/>
        </w:rPr>
        <w:t>to</w:t>
      </w:r>
      <w:proofErr w:type="spellEnd"/>
      <w:r w:rsidR="008B6944" w:rsidRPr="00705170">
        <w:rPr>
          <w:rFonts w:ascii="Times New Roman" w:hAnsi="Times New Roman" w:cs="Times New Roman"/>
        </w:rPr>
        <w:t xml:space="preserve"> </w:t>
      </w:r>
      <w:proofErr w:type="spellStart"/>
      <w:r w:rsidR="008B6944" w:rsidRPr="00705170">
        <w:rPr>
          <w:rFonts w:ascii="Times New Roman" w:hAnsi="Times New Roman" w:cs="Times New Roman"/>
        </w:rPr>
        <w:t>extraction</w:t>
      </w:r>
      <w:proofErr w:type="spellEnd"/>
      <w:r w:rsidR="008B6944" w:rsidRPr="00705170">
        <w:rPr>
          <w:rFonts w:ascii="Times New Roman" w:hAnsi="Times New Roman" w:cs="Times New Roman"/>
        </w:rPr>
        <w:t xml:space="preserve"> of </w:t>
      </w:r>
      <w:proofErr w:type="spellStart"/>
      <w:r w:rsidR="008B6944" w:rsidRPr="00705170">
        <w:rPr>
          <w:rFonts w:ascii="Times New Roman" w:hAnsi="Times New Roman" w:cs="Times New Roman"/>
        </w:rPr>
        <w:t>non</w:t>
      </w:r>
      <w:proofErr w:type="spellEnd"/>
      <w:r w:rsidR="008B6944" w:rsidRPr="00705170">
        <w:rPr>
          <w:rFonts w:ascii="Times New Roman" w:hAnsi="Times New Roman" w:cs="Times New Roman"/>
        </w:rPr>
        <w:t xml:space="preserve">- </w:t>
      </w:r>
      <w:proofErr w:type="spellStart"/>
      <w:r w:rsidR="008B6944" w:rsidRPr="00705170">
        <w:rPr>
          <w:rFonts w:ascii="Times New Roman" w:hAnsi="Times New Roman" w:cs="Times New Roman"/>
        </w:rPr>
        <w:t>pecuniary</w:t>
      </w:r>
      <w:proofErr w:type="spellEnd"/>
      <w:r w:rsidR="008B6944" w:rsidRPr="00705170">
        <w:rPr>
          <w:rFonts w:ascii="Times New Roman" w:hAnsi="Times New Roman" w:cs="Times New Roman"/>
        </w:rPr>
        <w:t xml:space="preserve"> </w:t>
      </w:r>
      <w:proofErr w:type="spellStart"/>
      <w:r w:rsidR="008B6944" w:rsidRPr="00705170">
        <w:rPr>
          <w:rFonts w:ascii="Times New Roman" w:hAnsi="Times New Roman" w:cs="Times New Roman"/>
        </w:rPr>
        <w:t>private</w:t>
      </w:r>
      <w:proofErr w:type="spellEnd"/>
      <w:r w:rsidR="008B6944" w:rsidRPr="00705170">
        <w:rPr>
          <w:rFonts w:ascii="Times New Roman" w:hAnsi="Times New Roman" w:cs="Times New Roman"/>
        </w:rPr>
        <w:t xml:space="preserve"> </w:t>
      </w:r>
      <w:proofErr w:type="spellStart"/>
      <w:r w:rsidR="008B6944" w:rsidRPr="00705170">
        <w:rPr>
          <w:rFonts w:ascii="Times New Roman" w:hAnsi="Times New Roman" w:cs="Times New Roman"/>
        </w:rPr>
        <w:t>benefits</w:t>
      </w:r>
      <w:proofErr w:type="spellEnd"/>
      <w:r w:rsidR="008B6944" w:rsidRPr="00705170">
        <w:rPr>
          <w:rFonts w:ascii="Times New Roman" w:hAnsi="Times New Roman" w:cs="Times New Roman"/>
        </w:rPr>
        <w:t xml:space="preserve">. </w:t>
      </w:r>
      <w:r w:rsidR="003C7A88" w:rsidRPr="00705170">
        <w:rPr>
          <w:rFonts w:ascii="Times New Roman" w:hAnsi="Times New Roman" w:cs="Times New Roman"/>
        </w:rPr>
        <w:t xml:space="preserve">First of </w:t>
      </w:r>
      <w:proofErr w:type="spellStart"/>
      <w:r w:rsidR="003C7A88" w:rsidRPr="00705170">
        <w:rPr>
          <w:rFonts w:ascii="Times New Roman" w:hAnsi="Times New Roman" w:cs="Times New Roman"/>
        </w:rPr>
        <w:t>all</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although</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the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Turkish</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law</w:t>
      </w:r>
      <w:proofErr w:type="spellEnd"/>
      <w:r w:rsidR="003C7A88" w:rsidRPr="00705170">
        <w:rPr>
          <w:rFonts w:ascii="Times New Roman" w:hAnsi="Times New Roman" w:cs="Times New Roman"/>
        </w:rPr>
        <w:t xml:space="preserve"> on </w:t>
      </w:r>
      <w:proofErr w:type="spellStart"/>
      <w:r w:rsidR="003C7A88" w:rsidRPr="00705170">
        <w:rPr>
          <w:rFonts w:ascii="Times New Roman" w:hAnsi="Times New Roman" w:cs="Times New Roman"/>
        </w:rPr>
        <w:t>corporate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groups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resembles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the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doctrine</w:t>
      </w:r>
      <w:proofErr w:type="spellEnd"/>
      <w:r w:rsidR="003C7A88" w:rsidRPr="00705170">
        <w:rPr>
          <w:rFonts w:ascii="Times New Roman" w:hAnsi="Times New Roman" w:cs="Times New Roman"/>
        </w:rPr>
        <w:t xml:space="preserve"> of </w:t>
      </w:r>
      <w:proofErr w:type="spellStart"/>
      <w:r w:rsidR="003C7A88" w:rsidRPr="00705170">
        <w:rPr>
          <w:rFonts w:ascii="Times New Roman" w:hAnsi="Times New Roman" w:cs="Times New Roman"/>
        </w:rPr>
        <w:t>imposing</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fiduciary</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duties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particularly</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duty</w:t>
      </w:r>
      <w:proofErr w:type="spellEnd"/>
      <w:r w:rsidR="003C7A88" w:rsidRPr="00705170">
        <w:rPr>
          <w:rFonts w:ascii="Times New Roman" w:hAnsi="Times New Roman" w:cs="Times New Roman"/>
        </w:rPr>
        <w:t xml:space="preserve"> of </w:t>
      </w:r>
      <w:proofErr w:type="spellStart"/>
      <w:r w:rsidR="003C7A88" w:rsidRPr="00705170">
        <w:rPr>
          <w:rFonts w:ascii="Times New Roman" w:hAnsi="Times New Roman" w:cs="Times New Roman"/>
        </w:rPr>
        <w:t>loyalty</w:t>
      </w:r>
      <w:proofErr w:type="spellEnd"/>
      <w:r w:rsidR="003C7A88" w:rsidRPr="00705170">
        <w:rPr>
          <w:rFonts w:ascii="Times New Roman" w:hAnsi="Times New Roman" w:cs="Times New Roman"/>
        </w:rPr>
        <w:t>)</w:t>
      </w:r>
      <w:r w:rsidR="003C7A88" w:rsidRPr="00705170">
        <w:rPr>
          <w:rStyle w:val="DipnotBavurusu"/>
          <w:rFonts w:ascii="Times New Roman" w:hAnsi="Times New Roman" w:cs="Times New Roman"/>
        </w:rPr>
        <w:footnoteReference w:id="344"/>
      </w:r>
      <w:r w:rsidR="003C7A88" w:rsidRPr="00705170">
        <w:rPr>
          <w:rFonts w:ascii="Times New Roman" w:hAnsi="Times New Roman" w:cs="Times New Roman"/>
        </w:rPr>
        <w:t xml:space="preserve"> on </w:t>
      </w:r>
      <w:proofErr w:type="spellStart"/>
      <w:r w:rsidR="003C7A88" w:rsidRPr="00705170">
        <w:rPr>
          <w:rFonts w:ascii="Times New Roman" w:hAnsi="Times New Roman" w:cs="Times New Roman"/>
        </w:rPr>
        <w:t>certain</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shareholders</w:t>
      </w:r>
      <w:proofErr w:type="spellEnd"/>
      <w:r w:rsidR="003C7A88" w:rsidRPr="00705170">
        <w:rPr>
          <w:rFonts w:ascii="Times New Roman" w:hAnsi="Times New Roman" w:cs="Times New Roman"/>
        </w:rPr>
        <w:t xml:space="preserve"> in Delaware, </w:t>
      </w:r>
      <w:proofErr w:type="spellStart"/>
      <w:r w:rsidR="003C7A88" w:rsidRPr="00705170">
        <w:rPr>
          <w:rFonts w:ascii="Times New Roman" w:hAnsi="Times New Roman" w:cs="Times New Roman"/>
        </w:rPr>
        <w:t>the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fact</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that</w:t>
      </w:r>
      <w:proofErr w:type="spellEnd"/>
      <w:r w:rsidR="003C7A88" w:rsidRPr="00705170">
        <w:rPr>
          <w:rFonts w:ascii="Times New Roman" w:hAnsi="Times New Roman" w:cs="Times New Roman"/>
        </w:rPr>
        <w:t xml:space="preserve"> a </w:t>
      </w:r>
      <w:proofErr w:type="spellStart"/>
      <w:r w:rsidR="003C7A88" w:rsidRPr="00705170">
        <w:rPr>
          <w:rFonts w:ascii="Times New Roman" w:hAnsi="Times New Roman" w:cs="Times New Roman"/>
        </w:rPr>
        <w:t>secondary</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legislation</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states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that</w:t>
      </w:r>
      <w:proofErr w:type="spellEnd"/>
      <w:r w:rsidR="003C7A88" w:rsidRPr="00705170">
        <w:rPr>
          <w:rFonts w:ascii="Times New Roman" w:hAnsi="Times New Roman" w:cs="Times New Roman"/>
        </w:rPr>
        <w:t xml:space="preserve"> a </w:t>
      </w:r>
      <w:proofErr w:type="spellStart"/>
      <w:r w:rsidR="003C7A88" w:rsidRPr="00705170">
        <w:rPr>
          <w:rFonts w:ascii="Times New Roman" w:hAnsi="Times New Roman" w:cs="Times New Roman"/>
        </w:rPr>
        <w:t>corporate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group</w:t>
      </w:r>
      <w:proofErr w:type="spellEnd"/>
      <w:r w:rsidR="003C7A88" w:rsidRPr="00705170">
        <w:rPr>
          <w:rFonts w:ascii="Times New Roman" w:hAnsi="Times New Roman" w:cs="Times New Roman"/>
        </w:rPr>
        <w:t xml:space="preserve"> can at minimum </w:t>
      </w:r>
      <w:proofErr w:type="spellStart"/>
      <w:r w:rsidR="003C7A88" w:rsidRPr="00705170">
        <w:rPr>
          <w:rFonts w:ascii="Times New Roman" w:hAnsi="Times New Roman" w:cs="Times New Roman"/>
        </w:rPr>
        <w:t>comprise</w:t>
      </w:r>
      <w:proofErr w:type="spellEnd"/>
      <w:r w:rsidR="003C7A88" w:rsidRPr="00705170">
        <w:rPr>
          <w:rFonts w:ascii="Times New Roman" w:hAnsi="Times New Roman" w:cs="Times New Roman"/>
        </w:rPr>
        <w:t xml:space="preserve"> of </w:t>
      </w:r>
      <w:proofErr w:type="spellStart"/>
      <w:r w:rsidR="003C7A88" w:rsidRPr="00705170">
        <w:rPr>
          <w:rFonts w:ascii="Times New Roman" w:hAnsi="Times New Roman" w:cs="Times New Roman"/>
        </w:rPr>
        <w:t>three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entities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distinguishes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this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regulation</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from</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the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doctrine</w:t>
      </w:r>
      <w:proofErr w:type="spellEnd"/>
      <w:r w:rsidR="003C7A88" w:rsidRPr="00705170">
        <w:rPr>
          <w:rFonts w:ascii="Times New Roman" w:hAnsi="Times New Roman" w:cs="Times New Roman"/>
        </w:rPr>
        <w:t xml:space="preserve"> of </w:t>
      </w:r>
      <w:proofErr w:type="spellStart"/>
      <w:r w:rsidR="003C7A88" w:rsidRPr="00705170">
        <w:rPr>
          <w:rFonts w:ascii="Times New Roman" w:hAnsi="Times New Roman" w:cs="Times New Roman"/>
        </w:rPr>
        <w:t>fiduciary</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duties</w:t>
      </w:r>
      <w:proofErr w:type="spellEnd"/>
      <w:r w:rsidR="003C7A88" w:rsidRPr="00705170">
        <w:rPr>
          <w:rStyle w:val="DipnotBavurusu"/>
          <w:rFonts w:ascii="Times New Roman" w:hAnsi="Times New Roman" w:cs="Times New Roman"/>
        </w:rPr>
        <w:footnoteReference w:id="345"/>
      </w:r>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According</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to</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the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Article</w:t>
      </w:r>
      <w:proofErr w:type="spellEnd"/>
      <w:r w:rsidR="003C7A88" w:rsidRPr="00705170">
        <w:rPr>
          <w:rFonts w:ascii="Times New Roman" w:hAnsi="Times New Roman" w:cs="Times New Roman"/>
        </w:rPr>
        <w:t xml:space="preserve"> 105(1) of </w:t>
      </w:r>
      <w:proofErr w:type="spellStart"/>
      <w:r w:rsidR="003C7A88" w:rsidRPr="00705170">
        <w:rPr>
          <w:rFonts w:ascii="Times New Roman" w:hAnsi="Times New Roman" w:cs="Times New Roman"/>
        </w:rPr>
        <w:t>the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Trade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Registry</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Regulation</w:t>
      </w:r>
      <w:proofErr w:type="spellEnd"/>
      <w:r w:rsidR="003C7A88" w:rsidRPr="00705170">
        <w:rPr>
          <w:rFonts w:ascii="Times New Roman" w:hAnsi="Times New Roman" w:cs="Times New Roman"/>
        </w:rPr>
        <w:t xml:space="preserve">, a </w:t>
      </w:r>
      <w:proofErr w:type="spellStart"/>
      <w:r w:rsidR="003C7A88" w:rsidRPr="00705170">
        <w:rPr>
          <w:rFonts w:ascii="Times New Roman" w:hAnsi="Times New Roman" w:cs="Times New Roman"/>
        </w:rPr>
        <w:t>corporate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group</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forms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when</w:t>
      </w:r>
      <w:proofErr w:type="spellEnd"/>
      <w:r w:rsidR="003C7A88" w:rsidRPr="00705170">
        <w:rPr>
          <w:rFonts w:ascii="Times New Roman" w:hAnsi="Times New Roman" w:cs="Times New Roman"/>
        </w:rPr>
        <w:t xml:space="preserve"> an </w:t>
      </w:r>
      <w:proofErr w:type="spellStart"/>
      <w:r w:rsidR="003C7A88" w:rsidRPr="00705170">
        <w:rPr>
          <w:rFonts w:ascii="Times New Roman" w:hAnsi="Times New Roman" w:cs="Times New Roman"/>
        </w:rPr>
        <w:t>entity</w:t>
      </w:r>
      <w:proofErr w:type="spellEnd"/>
      <w:r w:rsidR="003C7A88" w:rsidRPr="00705170">
        <w:rPr>
          <w:rFonts w:ascii="Times New Roman" w:hAnsi="Times New Roman" w:cs="Times New Roman"/>
        </w:rPr>
        <w:t xml:space="preserve"> has </w:t>
      </w:r>
      <w:proofErr w:type="spellStart"/>
      <w:r w:rsidR="003C7A88" w:rsidRPr="00705170">
        <w:rPr>
          <w:rFonts w:ascii="Times New Roman" w:hAnsi="Times New Roman" w:cs="Times New Roman"/>
        </w:rPr>
        <w:t>two</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or</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more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subsidiary</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companies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controlled</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either</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directly</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or</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indirectly</w:t>
      </w:r>
      <w:proofErr w:type="spellEnd"/>
      <w:r w:rsidR="003C7A88" w:rsidRPr="00705170">
        <w:rPr>
          <w:rStyle w:val="DipnotBavurusu"/>
          <w:rFonts w:ascii="Times New Roman" w:hAnsi="Times New Roman" w:cs="Times New Roman"/>
        </w:rPr>
        <w:footnoteReference w:id="346"/>
      </w:r>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Hence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according</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to</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this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regulatory</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interpretation</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the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lastRenderedPageBreak/>
        <w:t>rules</w:t>
      </w:r>
      <w:proofErr w:type="spellEnd"/>
      <w:r w:rsidR="003C7A88" w:rsidRPr="00705170">
        <w:rPr>
          <w:rFonts w:ascii="Times New Roman" w:hAnsi="Times New Roman" w:cs="Times New Roman"/>
        </w:rPr>
        <w:t xml:space="preserve"> on </w:t>
      </w:r>
      <w:proofErr w:type="spellStart"/>
      <w:r w:rsidR="003C7A88" w:rsidRPr="00705170">
        <w:rPr>
          <w:rFonts w:ascii="Times New Roman" w:hAnsi="Times New Roman" w:cs="Times New Roman"/>
        </w:rPr>
        <w:t>corporate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groups</w:t>
      </w:r>
      <w:proofErr w:type="spellEnd"/>
      <w:r w:rsidR="003C7A88" w:rsidRPr="00705170">
        <w:rPr>
          <w:rFonts w:ascii="Times New Roman" w:hAnsi="Times New Roman" w:cs="Times New Roman"/>
        </w:rPr>
        <w:t xml:space="preserve"> do not </w:t>
      </w:r>
      <w:proofErr w:type="spellStart"/>
      <w:r w:rsidR="003C7A88" w:rsidRPr="00705170">
        <w:rPr>
          <w:rFonts w:ascii="Times New Roman" w:hAnsi="Times New Roman" w:cs="Times New Roman"/>
        </w:rPr>
        <w:t>address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to</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transactions</w:t>
      </w:r>
      <w:proofErr w:type="spellEnd"/>
      <w:r w:rsidR="003C7A88" w:rsidRPr="00705170">
        <w:rPr>
          <w:rFonts w:ascii="Times New Roman" w:hAnsi="Times New Roman" w:cs="Times New Roman"/>
        </w:rPr>
        <w:t xml:space="preserve"> of </w:t>
      </w:r>
      <w:proofErr w:type="spellStart"/>
      <w:r w:rsidR="003C7A88" w:rsidRPr="00705170">
        <w:rPr>
          <w:rFonts w:ascii="Times New Roman" w:hAnsi="Times New Roman" w:cs="Times New Roman"/>
        </w:rPr>
        <w:t>controllers</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that</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have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only</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one</w:t>
      </w:r>
      <w:proofErr w:type="spellEnd"/>
      <w:r w:rsidR="003C7A88" w:rsidRPr="00705170">
        <w:rPr>
          <w:rFonts w:ascii="Times New Roman" w:hAnsi="Times New Roman" w:cs="Times New Roman"/>
        </w:rPr>
        <w:t xml:space="preserve"> </w:t>
      </w:r>
      <w:proofErr w:type="spellStart"/>
      <w:r w:rsidR="003C7A88" w:rsidRPr="00705170">
        <w:rPr>
          <w:rFonts w:ascii="Times New Roman" w:hAnsi="Times New Roman" w:cs="Times New Roman"/>
        </w:rPr>
        <w:t>subsidiary</w:t>
      </w:r>
      <w:proofErr w:type="spellEnd"/>
      <w:r w:rsidR="003C7A88" w:rsidRPr="00705170">
        <w:rPr>
          <w:rStyle w:val="DipnotBavurusu"/>
          <w:rFonts w:ascii="Times New Roman" w:hAnsi="Times New Roman" w:cs="Times New Roman"/>
        </w:rPr>
        <w:footnoteReference w:id="347"/>
      </w:r>
      <w:r w:rsidR="003C7A88" w:rsidRPr="00705170">
        <w:rPr>
          <w:rFonts w:ascii="Times New Roman" w:hAnsi="Times New Roman" w:cs="Times New Roman"/>
        </w:rPr>
        <w:t xml:space="preserve">. </w:t>
      </w:r>
      <w:proofErr w:type="spellStart"/>
      <w:r w:rsidR="005F0E12" w:rsidRPr="00705170">
        <w:rPr>
          <w:rFonts w:ascii="Times New Roman" w:hAnsi="Times New Roman" w:cs="Times New Roman"/>
        </w:rPr>
        <w:t>Therefore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many</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private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benefit</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extractions</w:t>
      </w:r>
      <w:proofErr w:type="spellEnd"/>
      <w:r w:rsidR="005F0E12" w:rsidRPr="00705170">
        <w:rPr>
          <w:rFonts w:ascii="Times New Roman" w:hAnsi="Times New Roman" w:cs="Times New Roman"/>
        </w:rPr>
        <w:t xml:space="preserve"> (not </w:t>
      </w:r>
      <w:proofErr w:type="spellStart"/>
      <w:r w:rsidR="005F0E12" w:rsidRPr="00705170">
        <w:rPr>
          <w:rFonts w:ascii="Times New Roman" w:hAnsi="Times New Roman" w:cs="Times New Roman"/>
        </w:rPr>
        <w:t>only</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non</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pecuniary</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ones</w:t>
      </w:r>
      <w:proofErr w:type="spellEnd"/>
      <w:r w:rsidR="005F0E12" w:rsidRPr="00705170">
        <w:rPr>
          <w:rFonts w:ascii="Times New Roman" w:hAnsi="Times New Roman" w:cs="Times New Roman"/>
        </w:rPr>
        <w:t xml:space="preserve">) can </w:t>
      </w:r>
      <w:proofErr w:type="spellStart"/>
      <w:r w:rsidR="005F0E12" w:rsidRPr="00705170">
        <w:rPr>
          <w:rFonts w:ascii="Times New Roman" w:hAnsi="Times New Roman" w:cs="Times New Roman"/>
        </w:rPr>
        <w:t>escape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from</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rules</w:t>
      </w:r>
      <w:proofErr w:type="spellEnd"/>
      <w:r w:rsidR="005F0E12" w:rsidRPr="00705170">
        <w:rPr>
          <w:rFonts w:ascii="Times New Roman" w:hAnsi="Times New Roman" w:cs="Times New Roman"/>
        </w:rPr>
        <w:t xml:space="preserve"> of </w:t>
      </w:r>
      <w:proofErr w:type="spellStart"/>
      <w:r w:rsidR="005F0E12" w:rsidRPr="00705170">
        <w:rPr>
          <w:rFonts w:ascii="Times New Roman" w:hAnsi="Times New Roman" w:cs="Times New Roman"/>
        </w:rPr>
        <w:t>this</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section</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if</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there</w:t>
      </w:r>
      <w:proofErr w:type="spellEnd"/>
      <w:r w:rsidR="005F0E12" w:rsidRPr="00705170">
        <w:rPr>
          <w:rFonts w:ascii="Times New Roman" w:hAnsi="Times New Roman" w:cs="Times New Roman"/>
        </w:rPr>
        <w:t xml:space="preserve"> is </w:t>
      </w:r>
      <w:proofErr w:type="spellStart"/>
      <w:r w:rsidR="005F0E12" w:rsidRPr="00705170">
        <w:rPr>
          <w:rFonts w:ascii="Times New Roman" w:hAnsi="Times New Roman" w:cs="Times New Roman"/>
        </w:rPr>
        <w:t>no</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three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entity</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g</w:t>
      </w:r>
      <w:r w:rsidR="00132C8A" w:rsidRPr="00705170">
        <w:rPr>
          <w:rFonts w:ascii="Times New Roman" w:hAnsi="Times New Roman" w:cs="Times New Roman"/>
        </w:rPr>
        <w:t>roup</w:t>
      </w:r>
      <w:proofErr w:type="spellEnd"/>
      <w:r w:rsidR="00132C8A" w:rsidRPr="00705170">
        <w:rPr>
          <w:rFonts w:ascii="Times New Roman" w:hAnsi="Times New Roman" w:cs="Times New Roman"/>
        </w:rPr>
        <w:t xml:space="preserve"> </w:t>
      </w:r>
      <w:proofErr w:type="spellStart"/>
      <w:r w:rsidR="00132C8A" w:rsidRPr="00705170">
        <w:rPr>
          <w:rFonts w:ascii="Times New Roman" w:hAnsi="Times New Roman" w:cs="Times New Roman"/>
        </w:rPr>
        <w:t>present</w:t>
      </w:r>
      <w:proofErr w:type="spellEnd"/>
      <w:r w:rsidR="00132C8A" w:rsidRPr="00705170">
        <w:rPr>
          <w:rFonts w:ascii="Times New Roman" w:hAnsi="Times New Roman" w:cs="Times New Roman"/>
        </w:rPr>
        <w:t>.</w:t>
      </w:r>
    </w:p>
    <w:p w14:paraId="56754EF3" w14:textId="37A6CF1C" w:rsidR="00A61752" w:rsidRPr="00705170" w:rsidRDefault="0072291E" w:rsidP="000B1686">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Secondly</w:t>
      </w:r>
      <w:proofErr w:type="spellEnd"/>
      <w:r w:rsidR="00E21981" w:rsidRPr="00705170">
        <w:rPr>
          <w:rFonts w:ascii="Times New Roman" w:hAnsi="Times New Roman" w:cs="Times New Roman"/>
        </w:rPr>
        <w:t xml:space="preserve">, </w:t>
      </w:r>
      <w:proofErr w:type="spellStart"/>
      <w:r w:rsidR="00E21981" w:rsidRPr="00705170">
        <w:rPr>
          <w:rFonts w:ascii="Times New Roman" w:hAnsi="Times New Roman" w:cs="Times New Roman"/>
        </w:rPr>
        <w:t>w</w:t>
      </w:r>
      <w:r w:rsidR="003C4CDF" w:rsidRPr="00705170">
        <w:rPr>
          <w:rFonts w:ascii="Times New Roman" w:hAnsi="Times New Roman" w:cs="Times New Roman"/>
        </w:rPr>
        <w:t>hile</w:t>
      </w:r>
      <w:proofErr w:type="spellEnd"/>
      <w:r w:rsidR="003C4CDF" w:rsidRPr="00705170">
        <w:rPr>
          <w:rFonts w:ascii="Times New Roman" w:hAnsi="Times New Roman" w:cs="Times New Roman"/>
        </w:rPr>
        <w:t xml:space="preserve"> </w:t>
      </w:r>
      <w:proofErr w:type="spellStart"/>
      <w:r w:rsidR="003C4CDF" w:rsidRPr="00705170">
        <w:rPr>
          <w:rFonts w:ascii="Times New Roman" w:hAnsi="Times New Roman" w:cs="Times New Roman"/>
        </w:rPr>
        <w:t>the</w:t>
      </w:r>
      <w:proofErr w:type="spellEnd"/>
      <w:r w:rsidR="003C4CDF" w:rsidRPr="00705170">
        <w:rPr>
          <w:rFonts w:ascii="Times New Roman" w:hAnsi="Times New Roman" w:cs="Times New Roman"/>
        </w:rPr>
        <w:t xml:space="preserve"> </w:t>
      </w:r>
      <w:proofErr w:type="spellStart"/>
      <w:r w:rsidR="003C4CDF" w:rsidRPr="00705170">
        <w:rPr>
          <w:rFonts w:ascii="Times New Roman" w:hAnsi="Times New Roman" w:cs="Times New Roman"/>
        </w:rPr>
        <w:t>criterias</w:t>
      </w:r>
      <w:proofErr w:type="spellEnd"/>
      <w:r w:rsidR="003C4CDF" w:rsidRPr="00705170">
        <w:rPr>
          <w:rFonts w:ascii="Times New Roman" w:hAnsi="Times New Roman" w:cs="Times New Roman"/>
        </w:rPr>
        <w:t xml:space="preserve"> </w:t>
      </w:r>
      <w:proofErr w:type="spellStart"/>
      <w:r w:rsidR="003C4CDF" w:rsidRPr="00705170">
        <w:rPr>
          <w:rFonts w:ascii="Times New Roman" w:hAnsi="Times New Roman" w:cs="Times New Roman"/>
        </w:rPr>
        <w:t>for</w:t>
      </w:r>
      <w:proofErr w:type="spellEnd"/>
      <w:r w:rsidR="003C4CDF" w:rsidRPr="00705170">
        <w:rPr>
          <w:rFonts w:ascii="Times New Roman" w:hAnsi="Times New Roman" w:cs="Times New Roman"/>
        </w:rPr>
        <w:t xml:space="preserve"> </w:t>
      </w:r>
      <w:proofErr w:type="spellStart"/>
      <w:r w:rsidR="003C4CDF" w:rsidRPr="00705170">
        <w:rPr>
          <w:rFonts w:ascii="Times New Roman" w:hAnsi="Times New Roman" w:cs="Times New Roman"/>
        </w:rPr>
        <w:t>determining</w:t>
      </w:r>
      <w:proofErr w:type="spellEnd"/>
      <w:r w:rsidR="003C4CDF" w:rsidRPr="00705170">
        <w:rPr>
          <w:rFonts w:ascii="Times New Roman" w:hAnsi="Times New Roman" w:cs="Times New Roman"/>
        </w:rPr>
        <w:t xml:space="preserve"> </w:t>
      </w:r>
      <w:proofErr w:type="spellStart"/>
      <w:r w:rsidR="003C4CDF" w:rsidRPr="00705170">
        <w:rPr>
          <w:rFonts w:ascii="Times New Roman" w:hAnsi="Times New Roman" w:cs="Times New Roman"/>
        </w:rPr>
        <w:t>control</w:t>
      </w:r>
      <w:proofErr w:type="spellEnd"/>
      <w:r w:rsidR="003C4CDF" w:rsidRPr="00705170">
        <w:rPr>
          <w:rFonts w:ascii="Times New Roman" w:hAnsi="Times New Roman" w:cs="Times New Roman"/>
        </w:rPr>
        <w:t xml:space="preserve"> is </w:t>
      </w:r>
      <w:proofErr w:type="spellStart"/>
      <w:r w:rsidR="003C4CDF" w:rsidRPr="00705170">
        <w:rPr>
          <w:rFonts w:ascii="Times New Roman" w:hAnsi="Times New Roman" w:cs="Times New Roman"/>
        </w:rPr>
        <w:t>broadly</w:t>
      </w:r>
      <w:proofErr w:type="spellEnd"/>
      <w:r w:rsidR="003C4CDF" w:rsidRPr="00705170">
        <w:rPr>
          <w:rFonts w:ascii="Times New Roman" w:hAnsi="Times New Roman" w:cs="Times New Roman"/>
        </w:rPr>
        <w:t xml:space="preserve"> </w:t>
      </w:r>
      <w:proofErr w:type="spellStart"/>
      <w:r w:rsidR="003C4CDF" w:rsidRPr="00705170">
        <w:rPr>
          <w:rFonts w:ascii="Times New Roman" w:hAnsi="Times New Roman" w:cs="Times New Roman"/>
        </w:rPr>
        <w:t>defined</w:t>
      </w:r>
      <w:proofErr w:type="spellEnd"/>
      <w:r w:rsidR="00DB468A" w:rsidRPr="00705170">
        <w:rPr>
          <w:rFonts w:ascii="Times New Roman" w:hAnsi="Times New Roman" w:cs="Times New Roman"/>
        </w:rPr>
        <w:t xml:space="preserve"> </w:t>
      </w:r>
      <w:proofErr w:type="spellStart"/>
      <w:r w:rsidR="00DB468A" w:rsidRPr="00705170">
        <w:rPr>
          <w:rFonts w:ascii="Times New Roman" w:hAnsi="Times New Roman" w:cs="Times New Roman"/>
        </w:rPr>
        <w:t>under</w:t>
      </w:r>
      <w:proofErr w:type="spellEnd"/>
      <w:r w:rsidR="00DB468A" w:rsidRPr="00705170">
        <w:rPr>
          <w:rFonts w:ascii="Times New Roman" w:hAnsi="Times New Roman" w:cs="Times New Roman"/>
        </w:rPr>
        <w:t xml:space="preserve"> </w:t>
      </w:r>
      <w:proofErr w:type="spellStart"/>
      <w:r w:rsidR="00DB468A" w:rsidRPr="00705170">
        <w:rPr>
          <w:rFonts w:ascii="Times New Roman" w:hAnsi="Times New Roman" w:cs="Times New Roman"/>
        </w:rPr>
        <w:t>Turkish</w:t>
      </w:r>
      <w:proofErr w:type="spellEnd"/>
      <w:r w:rsidR="00DB468A" w:rsidRPr="00705170">
        <w:rPr>
          <w:rFonts w:ascii="Times New Roman" w:hAnsi="Times New Roman" w:cs="Times New Roman"/>
        </w:rPr>
        <w:t xml:space="preserve"> </w:t>
      </w:r>
      <w:proofErr w:type="spellStart"/>
      <w:r w:rsidR="00DB468A" w:rsidRPr="00705170">
        <w:rPr>
          <w:rFonts w:ascii="Times New Roman" w:hAnsi="Times New Roman" w:cs="Times New Roman"/>
        </w:rPr>
        <w:t>law</w:t>
      </w:r>
      <w:proofErr w:type="spellEnd"/>
      <w:r w:rsidR="00DB468A" w:rsidRPr="00705170">
        <w:rPr>
          <w:rFonts w:ascii="Times New Roman" w:hAnsi="Times New Roman" w:cs="Times New Roman"/>
        </w:rPr>
        <w:t xml:space="preserve"> (</w:t>
      </w:r>
      <w:proofErr w:type="spellStart"/>
      <w:r w:rsidR="003C4CDF" w:rsidRPr="00705170">
        <w:rPr>
          <w:rFonts w:ascii="Times New Roman" w:hAnsi="Times New Roman" w:cs="Times New Roman"/>
        </w:rPr>
        <w:t>including</w:t>
      </w:r>
      <w:proofErr w:type="spellEnd"/>
      <w:r w:rsidR="003C4CDF" w:rsidRPr="00705170">
        <w:rPr>
          <w:rFonts w:ascii="Times New Roman" w:hAnsi="Times New Roman" w:cs="Times New Roman"/>
        </w:rPr>
        <w:t xml:space="preserve"> </w:t>
      </w:r>
      <w:proofErr w:type="spellStart"/>
      <w:r w:rsidR="003C4CDF" w:rsidRPr="00705170">
        <w:rPr>
          <w:rFonts w:ascii="Times New Roman" w:hAnsi="Times New Roman" w:cs="Times New Roman"/>
        </w:rPr>
        <w:t>the</w:t>
      </w:r>
      <w:proofErr w:type="spellEnd"/>
      <w:r w:rsidR="003C4CDF" w:rsidRPr="00705170">
        <w:rPr>
          <w:rFonts w:ascii="Times New Roman" w:hAnsi="Times New Roman" w:cs="Times New Roman"/>
        </w:rPr>
        <w:t xml:space="preserve"> </w:t>
      </w:r>
      <w:r w:rsidR="00DB468A" w:rsidRPr="00705170">
        <w:rPr>
          <w:rFonts w:ascii="Times New Roman" w:hAnsi="Times New Roman" w:cs="Times New Roman"/>
        </w:rPr>
        <w:t xml:space="preserve">de </w:t>
      </w:r>
      <w:proofErr w:type="spellStart"/>
      <w:r w:rsidR="00DB468A" w:rsidRPr="00705170">
        <w:rPr>
          <w:rFonts w:ascii="Times New Roman" w:hAnsi="Times New Roman" w:cs="Times New Roman"/>
        </w:rPr>
        <w:t>facto</w:t>
      </w:r>
      <w:proofErr w:type="spellEnd"/>
      <w:r w:rsidR="00DB468A" w:rsidRPr="00705170">
        <w:rPr>
          <w:rFonts w:ascii="Times New Roman" w:hAnsi="Times New Roman" w:cs="Times New Roman"/>
        </w:rPr>
        <w:t xml:space="preserve"> </w:t>
      </w:r>
      <w:proofErr w:type="spellStart"/>
      <w:r w:rsidR="00DB468A" w:rsidRPr="00705170">
        <w:rPr>
          <w:rFonts w:ascii="Times New Roman" w:hAnsi="Times New Roman" w:cs="Times New Roman"/>
        </w:rPr>
        <w:t>control</w:t>
      </w:r>
      <w:proofErr w:type="spellEnd"/>
      <w:r w:rsidR="00DB468A" w:rsidRPr="00705170">
        <w:rPr>
          <w:rFonts w:ascii="Times New Roman" w:hAnsi="Times New Roman" w:cs="Times New Roman"/>
        </w:rPr>
        <w:t xml:space="preserve"> </w:t>
      </w:r>
      <w:proofErr w:type="spellStart"/>
      <w:r w:rsidR="00DB468A" w:rsidRPr="00705170">
        <w:rPr>
          <w:rFonts w:ascii="Times New Roman" w:hAnsi="Times New Roman" w:cs="Times New Roman"/>
        </w:rPr>
        <w:t>technique</w:t>
      </w:r>
      <w:proofErr w:type="spellEnd"/>
      <w:r w:rsidR="00DB468A" w:rsidRPr="00705170">
        <w:rPr>
          <w:rFonts w:ascii="Times New Roman" w:hAnsi="Times New Roman" w:cs="Times New Roman"/>
        </w:rPr>
        <w:t>),</w:t>
      </w:r>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these</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criterias</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may</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give</w:t>
      </w:r>
      <w:proofErr w:type="spellEnd"/>
      <w:r w:rsidR="00D36BFF" w:rsidRPr="00705170">
        <w:rPr>
          <w:rFonts w:ascii="Times New Roman" w:hAnsi="Times New Roman" w:cs="Times New Roman"/>
        </w:rPr>
        <w:t xml:space="preserve"> a hard time in </w:t>
      </w:r>
      <w:proofErr w:type="spellStart"/>
      <w:r w:rsidR="00D36BFF" w:rsidRPr="00705170">
        <w:rPr>
          <w:rFonts w:ascii="Times New Roman" w:hAnsi="Times New Roman" w:cs="Times New Roman"/>
        </w:rPr>
        <w:t>proving</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that</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the</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activities</w:t>
      </w:r>
      <w:proofErr w:type="spellEnd"/>
      <w:r w:rsidR="00D36BFF" w:rsidRPr="00705170">
        <w:rPr>
          <w:rFonts w:ascii="Times New Roman" w:hAnsi="Times New Roman" w:cs="Times New Roman"/>
        </w:rPr>
        <w:t xml:space="preserve"> of </w:t>
      </w:r>
      <w:proofErr w:type="spellStart"/>
      <w:r w:rsidR="00D36BFF" w:rsidRPr="00705170">
        <w:rPr>
          <w:rFonts w:ascii="Times New Roman" w:hAnsi="Times New Roman" w:cs="Times New Roman"/>
        </w:rPr>
        <w:t>influencing</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shareholders</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are</w:t>
      </w:r>
      <w:proofErr w:type="spellEnd"/>
      <w:r w:rsidR="00D36BFF" w:rsidRPr="00705170">
        <w:rPr>
          <w:rFonts w:ascii="Times New Roman" w:hAnsi="Times New Roman" w:cs="Times New Roman"/>
        </w:rPr>
        <w:t xml:space="preserve"> in </w:t>
      </w:r>
      <w:proofErr w:type="spellStart"/>
      <w:r w:rsidR="00D36BFF" w:rsidRPr="00705170">
        <w:rPr>
          <w:rFonts w:ascii="Times New Roman" w:hAnsi="Times New Roman" w:cs="Times New Roman"/>
        </w:rPr>
        <w:t>fact</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activities</w:t>
      </w:r>
      <w:proofErr w:type="spellEnd"/>
      <w:r w:rsidR="00D36BFF" w:rsidRPr="00705170">
        <w:rPr>
          <w:rFonts w:ascii="Times New Roman" w:hAnsi="Times New Roman" w:cs="Times New Roman"/>
        </w:rPr>
        <w:t xml:space="preserve"> of “</w:t>
      </w:r>
      <w:proofErr w:type="spellStart"/>
      <w:r w:rsidR="00D36BFF" w:rsidRPr="00705170">
        <w:rPr>
          <w:rFonts w:ascii="Times New Roman" w:hAnsi="Times New Roman" w:cs="Times New Roman"/>
        </w:rPr>
        <w:t>controllers</w:t>
      </w:r>
      <w:proofErr w:type="spellEnd"/>
      <w:r w:rsidR="00D36BFF" w:rsidRPr="00705170">
        <w:rPr>
          <w:rFonts w:ascii="Times New Roman" w:hAnsi="Times New Roman" w:cs="Times New Roman"/>
        </w:rPr>
        <w:t xml:space="preserve">”. As </w:t>
      </w:r>
      <w:proofErr w:type="spellStart"/>
      <w:r w:rsidR="00D36BFF" w:rsidRPr="00705170">
        <w:rPr>
          <w:rFonts w:ascii="Times New Roman" w:hAnsi="Times New Roman" w:cs="Times New Roman"/>
        </w:rPr>
        <w:t>the</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definition</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for</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influencing</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shareholder</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suggests</w:t>
      </w:r>
      <w:proofErr w:type="spellEnd"/>
      <w:r w:rsidR="00D36BFF" w:rsidRPr="00705170">
        <w:rPr>
          <w:rStyle w:val="DipnotBavurusu"/>
          <w:rFonts w:ascii="Times New Roman" w:hAnsi="Times New Roman" w:cs="Times New Roman"/>
        </w:rPr>
        <w:footnoteReference w:id="348"/>
      </w:r>
      <w:r w:rsidR="00D36BFF" w:rsidRPr="00705170">
        <w:rPr>
          <w:rFonts w:ascii="Times New Roman" w:hAnsi="Times New Roman" w:cs="Times New Roman"/>
        </w:rPr>
        <w:t xml:space="preserve">, a </w:t>
      </w:r>
      <w:proofErr w:type="spellStart"/>
      <w:r w:rsidR="00D36BFF" w:rsidRPr="00705170">
        <w:rPr>
          <w:rFonts w:ascii="Times New Roman" w:hAnsi="Times New Roman" w:cs="Times New Roman"/>
        </w:rPr>
        <w:t>shareholder</w:t>
      </w:r>
      <w:proofErr w:type="spellEnd"/>
      <w:r w:rsidR="00D36BFF" w:rsidRPr="00705170">
        <w:rPr>
          <w:rFonts w:ascii="Times New Roman" w:hAnsi="Times New Roman" w:cs="Times New Roman"/>
        </w:rPr>
        <w:t xml:space="preserve"> can </w:t>
      </w:r>
      <w:proofErr w:type="spellStart"/>
      <w:r w:rsidR="00D36BFF" w:rsidRPr="00705170">
        <w:rPr>
          <w:rFonts w:ascii="Times New Roman" w:hAnsi="Times New Roman" w:cs="Times New Roman"/>
        </w:rPr>
        <w:t>influence</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the</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corporation</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by</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purely</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relying</w:t>
      </w:r>
      <w:proofErr w:type="spellEnd"/>
      <w:r w:rsidR="00D36BFF" w:rsidRPr="00705170">
        <w:rPr>
          <w:rFonts w:ascii="Times New Roman" w:hAnsi="Times New Roman" w:cs="Times New Roman"/>
        </w:rPr>
        <w:t xml:space="preserve"> on </w:t>
      </w:r>
      <w:proofErr w:type="spellStart"/>
      <w:r w:rsidR="00D36BFF" w:rsidRPr="00705170">
        <w:rPr>
          <w:rFonts w:ascii="Times New Roman" w:hAnsi="Times New Roman" w:cs="Times New Roman"/>
        </w:rPr>
        <w:t>the</w:t>
      </w:r>
      <w:proofErr w:type="spellEnd"/>
      <w:r w:rsidR="00DB468A" w:rsidRPr="00705170">
        <w:rPr>
          <w:rFonts w:ascii="Times New Roman" w:hAnsi="Times New Roman" w:cs="Times New Roman"/>
        </w:rPr>
        <w:t xml:space="preserve"> </w:t>
      </w:r>
      <w:proofErr w:type="spellStart"/>
      <w:r w:rsidR="00DB468A" w:rsidRPr="00705170">
        <w:rPr>
          <w:rFonts w:ascii="Times New Roman" w:hAnsi="Times New Roman" w:cs="Times New Roman"/>
        </w:rPr>
        <w:t>prospective</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power</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to</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remove</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the</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director</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from</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position</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or</w:t>
      </w:r>
      <w:proofErr w:type="spellEnd"/>
      <w:r w:rsidR="00D36BFF" w:rsidRPr="00705170">
        <w:rPr>
          <w:rFonts w:ascii="Times New Roman" w:hAnsi="Times New Roman" w:cs="Times New Roman"/>
        </w:rPr>
        <w:t xml:space="preserve"> </w:t>
      </w:r>
      <w:proofErr w:type="spellStart"/>
      <w:r w:rsidR="00DB468A" w:rsidRPr="00705170">
        <w:rPr>
          <w:rFonts w:ascii="Times New Roman" w:hAnsi="Times New Roman" w:cs="Times New Roman"/>
        </w:rPr>
        <w:t>using</w:t>
      </w:r>
      <w:proofErr w:type="spellEnd"/>
      <w:r w:rsidR="00DB468A" w:rsidRPr="00705170">
        <w:rPr>
          <w:rFonts w:ascii="Times New Roman" w:hAnsi="Times New Roman" w:cs="Times New Roman"/>
        </w:rPr>
        <w:t xml:space="preserve"> </w:t>
      </w:r>
      <w:proofErr w:type="spellStart"/>
      <w:r w:rsidR="00DB468A" w:rsidRPr="00705170">
        <w:rPr>
          <w:rFonts w:ascii="Times New Roman" w:hAnsi="Times New Roman" w:cs="Times New Roman"/>
        </w:rPr>
        <w:t>the</w:t>
      </w:r>
      <w:proofErr w:type="spellEnd"/>
      <w:r w:rsidR="00DB468A" w:rsidRPr="00705170">
        <w:rPr>
          <w:rFonts w:ascii="Times New Roman" w:hAnsi="Times New Roman" w:cs="Times New Roman"/>
        </w:rPr>
        <w:t xml:space="preserve"> “</w:t>
      </w:r>
      <w:proofErr w:type="spellStart"/>
      <w:r w:rsidR="00DB468A" w:rsidRPr="00705170">
        <w:rPr>
          <w:rFonts w:ascii="Times New Roman" w:hAnsi="Times New Roman" w:cs="Times New Roman"/>
        </w:rPr>
        <w:t>human</w:t>
      </w:r>
      <w:proofErr w:type="spellEnd"/>
      <w:r w:rsidR="00DB468A" w:rsidRPr="00705170">
        <w:rPr>
          <w:rFonts w:ascii="Times New Roman" w:hAnsi="Times New Roman" w:cs="Times New Roman"/>
        </w:rPr>
        <w:t xml:space="preserve"> </w:t>
      </w:r>
      <w:proofErr w:type="spellStart"/>
      <w:r w:rsidR="00DB468A" w:rsidRPr="00705170">
        <w:rPr>
          <w:rFonts w:ascii="Times New Roman" w:hAnsi="Times New Roman" w:cs="Times New Roman"/>
        </w:rPr>
        <w:t>nature</w:t>
      </w:r>
      <w:proofErr w:type="spellEnd"/>
      <w:r w:rsidR="00DB468A" w:rsidRPr="00705170">
        <w:rPr>
          <w:rFonts w:ascii="Times New Roman" w:hAnsi="Times New Roman" w:cs="Times New Roman"/>
        </w:rPr>
        <w:t>” of</w:t>
      </w:r>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the</w:t>
      </w:r>
      <w:proofErr w:type="spellEnd"/>
      <w:r w:rsidR="00D36BFF" w:rsidRPr="00705170">
        <w:rPr>
          <w:rFonts w:ascii="Times New Roman" w:hAnsi="Times New Roman" w:cs="Times New Roman"/>
        </w:rPr>
        <w:t xml:space="preserve"> </w:t>
      </w:r>
      <w:proofErr w:type="spellStart"/>
      <w:r w:rsidR="00D36BFF" w:rsidRPr="00705170">
        <w:rPr>
          <w:rFonts w:ascii="Times New Roman" w:hAnsi="Times New Roman" w:cs="Times New Roman"/>
        </w:rPr>
        <w:t>director</w:t>
      </w:r>
      <w:proofErr w:type="spellEnd"/>
      <w:r w:rsidR="00D36BFF" w:rsidRPr="00705170">
        <w:rPr>
          <w:rFonts w:ascii="Times New Roman" w:hAnsi="Times New Roman" w:cs="Times New Roman"/>
        </w:rPr>
        <w:t>.</w:t>
      </w:r>
      <w:r w:rsidR="005B283C"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sense, a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influence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director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legally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being</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controller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possible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prefer</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engage</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legal </w:t>
      </w:r>
      <w:proofErr w:type="spellStart"/>
      <w:r w:rsidRPr="00705170">
        <w:rPr>
          <w:rFonts w:ascii="Times New Roman" w:hAnsi="Times New Roman" w:cs="Times New Roman"/>
        </w:rPr>
        <w:t>controlling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relationship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w:t>
      </w:r>
      <w:r w:rsidR="00B4095D" w:rsidRPr="00705170">
        <w:rPr>
          <w:rFonts w:ascii="Times New Roman" w:hAnsi="Times New Roman" w:cs="Times New Roman"/>
        </w:rPr>
        <w:t>fter</w:t>
      </w:r>
      <w:proofErr w:type="spellEnd"/>
      <w:r w:rsidR="00B4095D" w:rsidRPr="00705170">
        <w:rPr>
          <w:rFonts w:ascii="Times New Roman" w:hAnsi="Times New Roman" w:cs="Times New Roman"/>
        </w:rPr>
        <w:t xml:space="preserve"> </w:t>
      </w:r>
      <w:proofErr w:type="spellStart"/>
      <w:r w:rsidR="00B4095D" w:rsidRPr="00705170">
        <w:rPr>
          <w:rFonts w:ascii="Times New Roman" w:hAnsi="Times New Roman" w:cs="Times New Roman"/>
        </w:rPr>
        <w:t>all</w:t>
      </w:r>
      <w:proofErr w:type="spellEnd"/>
      <w:r w:rsidR="00B4095D" w:rsidRPr="00705170">
        <w:rPr>
          <w:rFonts w:ascii="Times New Roman" w:hAnsi="Times New Roman" w:cs="Times New Roman"/>
        </w:rPr>
        <w:t xml:space="preserve">, “as </w:t>
      </w:r>
      <w:proofErr w:type="spellStart"/>
      <w:r w:rsidR="00B4095D" w:rsidRPr="00705170">
        <w:rPr>
          <w:rFonts w:ascii="Times New Roman" w:hAnsi="Times New Roman" w:cs="Times New Roman"/>
        </w:rPr>
        <w:t>long</w:t>
      </w:r>
      <w:proofErr w:type="spellEnd"/>
      <w:r w:rsidR="00B4095D" w:rsidRPr="00705170">
        <w:rPr>
          <w:rFonts w:ascii="Times New Roman" w:hAnsi="Times New Roman" w:cs="Times New Roman"/>
        </w:rPr>
        <w:t xml:space="preserve"> as it is </w:t>
      </w:r>
      <w:proofErr w:type="spellStart"/>
      <w:r w:rsidR="00B4095D" w:rsidRPr="00705170">
        <w:rPr>
          <w:rFonts w:ascii="Times New Roman" w:hAnsi="Times New Roman" w:cs="Times New Roman"/>
        </w:rPr>
        <w:t>cheaper</w:t>
      </w:r>
      <w:proofErr w:type="spellEnd"/>
      <w:r w:rsidR="00B4095D" w:rsidRPr="00705170">
        <w:rPr>
          <w:rFonts w:ascii="Times New Roman" w:hAnsi="Times New Roman" w:cs="Times New Roman"/>
        </w:rPr>
        <w:t xml:space="preserve"> </w:t>
      </w:r>
      <w:proofErr w:type="spellStart"/>
      <w:r w:rsidR="00B4095D" w:rsidRPr="00705170">
        <w:rPr>
          <w:rFonts w:ascii="Times New Roman" w:hAnsi="Times New Roman" w:cs="Times New Roman"/>
        </w:rPr>
        <w:t>to</w:t>
      </w:r>
      <w:proofErr w:type="spellEnd"/>
      <w:r w:rsidR="00B4095D" w:rsidRPr="00705170">
        <w:rPr>
          <w:rFonts w:ascii="Times New Roman" w:hAnsi="Times New Roman" w:cs="Times New Roman"/>
        </w:rPr>
        <w:t xml:space="preserve"> </w:t>
      </w:r>
      <w:proofErr w:type="spellStart"/>
      <w:r w:rsidR="00B4095D" w:rsidRPr="00705170">
        <w:rPr>
          <w:rFonts w:ascii="Times New Roman" w:hAnsi="Times New Roman" w:cs="Times New Roman"/>
        </w:rPr>
        <w:t>control</w:t>
      </w:r>
      <w:proofErr w:type="spellEnd"/>
      <w:r w:rsidR="00B4095D" w:rsidRPr="00705170">
        <w:rPr>
          <w:rFonts w:ascii="Times New Roman" w:hAnsi="Times New Roman" w:cs="Times New Roman"/>
        </w:rPr>
        <w:t xml:space="preserve"> </w:t>
      </w:r>
      <w:proofErr w:type="spellStart"/>
      <w:r w:rsidR="00B4095D" w:rsidRPr="00705170">
        <w:rPr>
          <w:rFonts w:ascii="Times New Roman" w:hAnsi="Times New Roman" w:cs="Times New Roman"/>
        </w:rPr>
        <w:t>without</w:t>
      </w:r>
      <w:proofErr w:type="spellEnd"/>
      <w:r w:rsidR="00B4095D" w:rsidRPr="00705170">
        <w:rPr>
          <w:rFonts w:ascii="Times New Roman" w:hAnsi="Times New Roman" w:cs="Times New Roman"/>
        </w:rPr>
        <w:t xml:space="preserve"> </w:t>
      </w:r>
      <w:proofErr w:type="spellStart"/>
      <w:r w:rsidR="00B4095D" w:rsidRPr="00705170">
        <w:rPr>
          <w:rFonts w:ascii="Times New Roman" w:hAnsi="Times New Roman" w:cs="Times New Roman"/>
        </w:rPr>
        <w:t>contract</w:t>
      </w:r>
      <w:proofErr w:type="spellEnd"/>
      <w:r w:rsidR="00B4095D" w:rsidRPr="00705170">
        <w:rPr>
          <w:rFonts w:ascii="Times New Roman" w:hAnsi="Times New Roman" w:cs="Times New Roman"/>
        </w:rPr>
        <w:t xml:space="preserve"> </w:t>
      </w:r>
      <w:proofErr w:type="spellStart"/>
      <w:r w:rsidR="00B4095D" w:rsidRPr="00705170">
        <w:rPr>
          <w:rFonts w:ascii="Times New Roman" w:hAnsi="Times New Roman" w:cs="Times New Roman"/>
        </w:rPr>
        <w:t>the</w:t>
      </w:r>
      <w:proofErr w:type="spellEnd"/>
      <w:r w:rsidR="00B4095D" w:rsidRPr="00705170">
        <w:rPr>
          <w:rFonts w:ascii="Times New Roman" w:hAnsi="Times New Roman" w:cs="Times New Roman"/>
        </w:rPr>
        <w:t xml:space="preserve"> </w:t>
      </w:r>
      <w:proofErr w:type="spellStart"/>
      <w:r w:rsidR="00B4095D" w:rsidRPr="00705170">
        <w:rPr>
          <w:rFonts w:ascii="Times New Roman" w:hAnsi="Times New Roman" w:cs="Times New Roman"/>
        </w:rPr>
        <w:t>parent’s</w:t>
      </w:r>
      <w:proofErr w:type="spellEnd"/>
      <w:r w:rsidR="00B4095D" w:rsidRPr="00705170">
        <w:rPr>
          <w:rFonts w:ascii="Times New Roman" w:hAnsi="Times New Roman" w:cs="Times New Roman"/>
        </w:rPr>
        <w:t xml:space="preserve"> </w:t>
      </w:r>
      <w:proofErr w:type="spellStart"/>
      <w:r w:rsidR="00B4095D" w:rsidRPr="00705170">
        <w:rPr>
          <w:rFonts w:ascii="Times New Roman" w:hAnsi="Times New Roman" w:cs="Times New Roman"/>
        </w:rPr>
        <w:t>cost</w:t>
      </w:r>
      <w:proofErr w:type="spellEnd"/>
      <w:r w:rsidR="00B4095D" w:rsidRPr="00705170">
        <w:rPr>
          <w:rFonts w:ascii="Times New Roman" w:hAnsi="Times New Roman" w:cs="Times New Roman"/>
        </w:rPr>
        <w:t>/</w:t>
      </w:r>
      <w:proofErr w:type="spellStart"/>
      <w:r w:rsidR="00B4095D" w:rsidRPr="00705170">
        <w:rPr>
          <w:rFonts w:ascii="Times New Roman" w:hAnsi="Times New Roman" w:cs="Times New Roman"/>
        </w:rPr>
        <w:t>benefit</w:t>
      </w:r>
      <w:proofErr w:type="spellEnd"/>
      <w:r w:rsidR="00B4095D" w:rsidRPr="00705170">
        <w:rPr>
          <w:rFonts w:ascii="Times New Roman" w:hAnsi="Times New Roman" w:cs="Times New Roman"/>
        </w:rPr>
        <w:t xml:space="preserve"> </w:t>
      </w:r>
      <w:proofErr w:type="spellStart"/>
      <w:r w:rsidR="00B4095D" w:rsidRPr="00705170">
        <w:rPr>
          <w:rFonts w:ascii="Times New Roman" w:hAnsi="Times New Roman" w:cs="Times New Roman"/>
        </w:rPr>
        <w:t>analysis</w:t>
      </w:r>
      <w:proofErr w:type="spellEnd"/>
      <w:r w:rsidR="00B4095D" w:rsidRPr="00705170">
        <w:rPr>
          <w:rFonts w:ascii="Times New Roman" w:hAnsi="Times New Roman" w:cs="Times New Roman"/>
        </w:rPr>
        <w:t xml:space="preserve"> </w:t>
      </w:r>
      <w:proofErr w:type="spellStart"/>
      <w:r w:rsidR="00B4095D" w:rsidRPr="00705170">
        <w:rPr>
          <w:rFonts w:ascii="Times New Roman" w:hAnsi="Times New Roman" w:cs="Times New Roman"/>
        </w:rPr>
        <w:t>will</w:t>
      </w:r>
      <w:proofErr w:type="spellEnd"/>
      <w:r w:rsidR="00B4095D" w:rsidRPr="00705170">
        <w:rPr>
          <w:rFonts w:ascii="Times New Roman" w:hAnsi="Times New Roman" w:cs="Times New Roman"/>
        </w:rPr>
        <w:t xml:space="preserve"> </w:t>
      </w:r>
      <w:proofErr w:type="spellStart"/>
      <w:r w:rsidR="00B4095D" w:rsidRPr="00705170">
        <w:rPr>
          <w:rFonts w:ascii="Times New Roman" w:hAnsi="Times New Roman" w:cs="Times New Roman"/>
        </w:rPr>
        <w:t>favor</w:t>
      </w:r>
      <w:proofErr w:type="spellEnd"/>
      <w:r w:rsidR="00B4095D" w:rsidRPr="00705170">
        <w:rPr>
          <w:rFonts w:ascii="Times New Roman" w:hAnsi="Times New Roman" w:cs="Times New Roman"/>
        </w:rPr>
        <w:t xml:space="preserve"> </w:t>
      </w:r>
      <w:proofErr w:type="spellStart"/>
      <w:r w:rsidR="00B4095D" w:rsidRPr="00705170">
        <w:rPr>
          <w:rFonts w:ascii="Times New Roman" w:hAnsi="Times New Roman" w:cs="Times New Roman"/>
        </w:rPr>
        <w:t>contractless</w:t>
      </w:r>
      <w:proofErr w:type="spellEnd"/>
      <w:r w:rsidR="00B4095D" w:rsidRPr="00705170">
        <w:rPr>
          <w:rFonts w:ascii="Times New Roman" w:hAnsi="Times New Roman" w:cs="Times New Roman"/>
        </w:rPr>
        <w:t xml:space="preserve"> </w:t>
      </w:r>
      <w:proofErr w:type="spellStart"/>
      <w:r w:rsidR="00B4095D" w:rsidRPr="00705170">
        <w:rPr>
          <w:rFonts w:ascii="Times New Roman" w:hAnsi="Times New Roman" w:cs="Times New Roman"/>
        </w:rPr>
        <w:t>control</w:t>
      </w:r>
      <w:proofErr w:type="spellEnd"/>
      <w:r w:rsidR="00B4095D" w:rsidRPr="00705170">
        <w:rPr>
          <w:rFonts w:ascii="Times New Roman" w:hAnsi="Times New Roman" w:cs="Times New Roman"/>
        </w:rPr>
        <w:t>”</w:t>
      </w:r>
      <w:r w:rsidR="00B4095D" w:rsidRPr="00705170">
        <w:rPr>
          <w:rStyle w:val="DipnotBavurusu"/>
          <w:rFonts w:ascii="Times New Roman" w:hAnsi="Times New Roman" w:cs="Times New Roman"/>
        </w:rPr>
        <w:footnoteReference w:id="349"/>
      </w:r>
      <w:r w:rsidR="00B4095D"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claiming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kind</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control</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purview</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contrary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legislative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legal </w:t>
      </w:r>
      <w:proofErr w:type="spellStart"/>
      <w:r w:rsidRPr="00705170">
        <w:rPr>
          <w:rFonts w:ascii="Times New Roman" w:hAnsi="Times New Roman" w:cs="Times New Roman"/>
        </w:rPr>
        <w:t>certainty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principle</w:t>
      </w:r>
      <w:proofErr w:type="spellEnd"/>
      <w:r w:rsidR="003608EC" w:rsidRPr="00705170">
        <w:rPr>
          <w:rStyle w:val="DipnotBavurusu"/>
          <w:rFonts w:ascii="Times New Roman" w:hAnsi="Times New Roman" w:cs="Times New Roman"/>
        </w:rPr>
        <w:footnoteReference w:id="350"/>
      </w:r>
      <w:r w:rsidRPr="00705170">
        <w:rPr>
          <w:rFonts w:ascii="Times New Roman" w:hAnsi="Times New Roman" w:cs="Times New Roman"/>
        </w:rPr>
        <w:t>.</w:t>
      </w:r>
    </w:p>
    <w:p w14:paraId="7E3A5A7A" w14:textId="46E02C0C" w:rsidR="00A61752" w:rsidRPr="00705170" w:rsidRDefault="0072291E" w:rsidP="00A61752">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Thirdly</w:t>
      </w:r>
      <w:proofErr w:type="spellEnd"/>
      <w:r w:rsidR="00000FCD"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controlled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loss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compensated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remains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groups</w:t>
      </w:r>
      <w:proofErr w:type="spellEnd"/>
      <w:r w:rsidR="00BF52A8" w:rsidRPr="00705170">
        <w:rPr>
          <w:rStyle w:val="DipnotBavurusu"/>
          <w:rFonts w:ascii="Times New Roman" w:hAnsi="Times New Roman" w:cs="Times New Roman"/>
        </w:rPr>
        <w:footnoteReference w:id="351"/>
      </w:r>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i</w:t>
      </w:r>
      <w:r w:rsidR="00BC4FDB" w:rsidRPr="00705170">
        <w:rPr>
          <w:rFonts w:ascii="Times New Roman" w:hAnsi="Times New Roman" w:cs="Times New Roman"/>
        </w:rPr>
        <w:t xml:space="preserve">n </w:t>
      </w:r>
      <w:proofErr w:type="spellStart"/>
      <w:r w:rsidR="00BC4FDB" w:rsidRPr="00705170">
        <w:rPr>
          <w:rFonts w:ascii="Times New Roman" w:hAnsi="Times New Roman" w:cs="Times New Roman"/>
        </w:rPr>
        <w:t>the</w:t>
      </w:r>
      <w:proofErr w:type="spellEnd"/>
      <w:r w:rsidR="00BC4FDB" w:rsidRPr="00705170">
        <w:rPr>
          <w:rFonts w:ascii="Times New Roman" w:hAnsi="Times New Roman" w:cs="Times New Roman"/>
        </w:rPr>
        <w:t xml:space="preserve"> </w:t>
      </w:r>
      <w:proofErr w:type="spellStart"/>
      <w:r w:rsidR="00BC4FDB" w:rsidRPr="00705170">
        <w:rPr>
          <w:rFonts w:ascii="Times New Roman" w:hAnsi="Times New Roman" w:cs="Times New Roman"/>
        </w:rPr>
        <w:t>case</w:t>
      </w:r>
      <w:proofErr w:type="spellEnd"/>
      <w:r w:rsidR="00BC4FDB" w:rsidRPr="00705170">
        <w:rPr>
          <w:rFonts w:ascii="Times New Roman" w:hAnsi="Times New Roman" w:cs="Times New Roman"/>
        </w:rPr>
        <w:t xml:space="preserve"> of </w:t>
      </w:r>
      <w:proofErr w:type="spellStart"/>
      <w:r w:rsidR="00BC4FDB" w:rsidRPr="00705170">
        <w:rPr>
          <w:rFonts w:ascii="Times New Roman" w:hAnsi="Times New Roman" w:cs="Times New Roman"/>
        </w:rPr>
        <w:t>non</w:t>
      </w:r>
      <w:proofErr w:type="spellEnd"/>
      <w:r w:rsidR="00BC4FDB" w:rsidRPr="00705170">
        <w:rPr>
          <w:rFonts w:ascii="Times New Roman" w:hAnsi="Times New Roman" w:cs="Times New Roman"/>
        </w:rPr>
        <w:t xml:space="preserve">- </w:t>
      </w:r>
      <w:proofErr w:type="spellStart"/>
      <w:r w:rsidR="00BC4FDB" w:rsidRPr="00705170">
        <w:rPr>
          <w:rFonts w:ascii="Times New Roman" w:hAnsi="Times New Roman" w:cs="Times New Roman"/>
        </w:rPr>
        <w:t>pecuniary</w:t>
      </w:r>
      <w:proofErr w:type="spellEnd"/>
      <w:r w:rsidR="00BC4FDB" w:rsidRPr="00705170">
        <w:rPr>
          <w:rFonts w:ascii="Times New Roman" w:hAnsi="Times New Roman" w:cs="Times New Roman"/>
        </w:rPr>
        <w:t xml:space="preserve"> </w:t>
      </w:r>
      <w:proofErr w:type="spellStart"/>
      <w:r w:rsidR="00BC4FDB" w:rsidRPr="00705170">
        <w:rPr>
          <w:rFonts w:ascii="Times New Roman" w:hAnsi="Times New Roman" w:cs="Times New Roman"/>
        </w:rPr>
        <w:t>benefits</w:t>
      </w:r>
      <w:proofErr w:type="spellEnd"/>
      <w:r w:rsidR="00BC4FDB"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considerations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goes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beyond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lastRenderedPageBreak/>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creditors</w:t>
      </w:r>
      <w:proofErr w:type="spellEnd"/>
      <w:r w:rsidR="000C3A34" w:rsidRPr="00705170">
        <w:rPr>
          <w:rStyle w:val="DipnotBavurusu"/>
          <w:rFonts w:ascii="Times New Roman" w:hAnsi="Times New Roman" w:cs="Times New Roman"/>
        </w:rPr>
        <w:footnoteReference w:id="352"/>
      </w:r>
      <w:r w:rsidRPr="00705170">
        <w:rPr>
          <w:rFonts w:ascii="Times New Roman" w:hAnsi="Times New Roman" w:cs="Times New Roman"/>
        </w:rPr>
        <w:t xml:space="preserve">. </w:t>
      </w:r>
      <w:proofErr w:type="spellStart"/>
      <w:r w:rsidR="0004214A" w:rsidRPr="00705170">
        <w:rPr>
          <w:rFonts w:ascii="Times New Roman" w:hAnsi="Times New Roman" w:cs="Times New Roman"/>
        </w:rPr>
        <w:t>After</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all</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c</w:t>
      </w:r>
      <w:r w:rsidRPr="00705170">
        <w:rPr>
          <w:rFonts w:ascii="Times New Roman" w:hAnsi="Times New Roman" w:cs="Times New Roman"/>
        </w:rPr>
        <w:t>ompensating</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sub</w:t>
      </w:r>
      <w:r w:rsidR="0004214A" w:rsidRPr="00705170">
        <w:rPr>
          <w:rFonts w:ascii="Times New Roman" w:hAnsi="Times New Roman" w:cs="Times New Roman"/>
        </w:rPr>
        <w:t>sidiary’s</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loss</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would</w:t>
      </w:r>
      <w:proofErr w:type="spellEnd"/>
      <w:r w:rsidR="0004214A" w:rsidRPr="00705170">
        <w:rPr>
          <w:rFonts w:ascii="Times New Roman" w:hAnsi="Times New Roman" w:cs="Times New Roman"/>
        </w:rPr>
        <w:t xml:space="preserve"> not </w:t>
      </w:r>
      <w:proofErr w:type="spellStart"/>
      <w:r w:rsidR="0004214A" w:rsidRPr="00705170">
        <w:rPr>
          <w:rFonts w:ascii="Times New Roman" w:hAnsi="Times New Roman" w:cs="Times New Roman"/>
        </w:rPr>
        <w:t>deem</w:t>
      </w:r>
      <w:proofErr w:type="spellEnd"/>
      <w:r w:rsidR="0004214A" w:rsidRPr="00705170">
        <w:rPr>
          <w:rFonts w:ascii="Times New Roman" w:hAnsi="Times New Roman" w:cs="Times New Roman"/>
        </w:rPr>
        <w:t xml:space="preserve"> an </w:t>
      </w:r>
      <w:proofErr w:type="spellStart"/>
      <w:r w:rsidR="0004214A" w:rsidRPr="00705170">
        <w:rPr>
          <w:rFonts w:ascii="Times New Roman" w:hAnsi="Times New Roman" w:cs="Times New Roman"/>
        </w:rPr>
        <w:t>action</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which</w:t>
      </w:r>
      <w:proofErr w:type="spellEnd"/>
      <w:r w:rsidR="0004214A" w:rsidRPr="00705170">
        <w:rPr>
          <w:rFonts w:ascii="Times New Roman" w:hAnsi="Times New Roman" w:cs="Times New Roman"/>
        </w:rPr>
        <w:t xml:space="preserve"> is </w:t>
      </w:r>
      <w:proofErr w:type="spellStart"/>
      <w:r w:rsidR="0004214A" w:rsidRPr="00705170">
        <w:rPr>
          <w:rFonts w:ascii="Times New Roman" w:hAnsi="Times New Roman" w:cs="Times New Roman"/>
        </w:rPr>
        <w:t>against</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public</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policy</w:t>
      </w:r>
      <w:proofErr w:type="spellEnd"/>
      <w:r w:rsidR="0004214A" w:rsidRPr="00705170">
        <w:rPr>
          <w:rFonts w:ascii="Times New Roman" w:hAnsi="Times New Roman" w:cs="Times New Roman"/>
        </w:rPr>
        <w:t xml:space="preserve"> </w:t>
      </w:r>
      <w:r w:rsidR="00675A51" w:rsidRPr="00705170">
        <w:rPr>
          <w:rFonts w:ascii="Times New Roman" w:hAnsi="Times New Roman" w:cs="Times New Roman"/>
        </w:rPr>
        <w:t>“</w:t>
      </w:r>
      <w:r w:rsidR="0004214A" w:rsidRPr="00705170">
        <w:rPr>
          <w:rFonts w:ascii="Times New Roman" w:hAnsi="Times New Roman" w:cs="Times New Roman"/>
        </w:rPr>
        <w:t>legal</w:t>
      </w:r>
      <w:r w:rsidR="00675A51" w:rsidRPr="00705170">
        <w:rPr>
          <w:rFonts w:ascii="Times New Roman" w:hAnsi="Times New Roman" w:cs="Times New Roman"/>
        </w:rPr>
        <w:t>”</w:t>
      </w:r>
      <w:r w:rsidR="0004214A" w:rsidRPr="00705170">
        <w:rPr>
          <w:rFonts w:ascii="Times New Roman" w:hAnsi="Times New Roman" w:cs="Times New Roman"/>
        </w:rPr>
        <w:t xml:space="preserve">. </w:t>
      </w:r>
      <w:proofErr w:type="spellStart"/>
      <w:r w:rsidR="005F0E12" w:rsidRPr="00705170">
        <w:rPr>
          <w:rFonts w:ascii="Times New Roman" w:hAnsi="Times New Roman" w:cs="Times New Roman"/>
        </w:rPr>
        <w:t>While</w:t>
      </w:r>
      <w:proofErr w:type="spellEnd"/>
      <w:r w:rsidR="00B55CDF" w:rsidRPr="00705170">
        <w:rPr>
          <w:rFonts w:ascii="Times New Roman" w:hAnsi="Times New Roman" w:cs="Times New Roman"/>
        </w:rPr>
        <w:t>,</w:t>
      </w:r>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practically</w:t>
      </w:r>
      <w:proofErr w:type="spellEnd"/>
      <w:r w:rsidR="00B55CDF" w:rsidRPr="00705170">
        <w:rPr>
          <w:rFonts w:ascii="Times New Roman" w:hAnsi="Times New Roman" w:cs="Times New Roman"/>
        </w:rPr>
        <w:t>,</w:t>
      </w:r>
      <w:r w:rsidR="005F0E12" w:rsidRPr="00705170">
        <w:rPr>
          <w:rFonts w:ascii="Times New Roman" w:hAnsi="Times New Roman" w:cs="Times New Roman"/>
        </w:rPr>
        <w:t xml:space="preserve"> a </w:t>
      </w:r>
      <w:proofErr w:type="spellStart"/>
      <w:r w:rsidR="005F0E12" w:rsidRPr="00705170">
        <w:rPr>
          <w:rFonts w:ascii="Times New Roman" w:hAnsi="Times New Roman" w:cs="Times New Roman"/>
        </w:rPr>
        <w:t>shareholder</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whose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loss</w:t>
      </w:r>
      <w:proofErr w:type="spellEnd"/>
      <w:r w:rsidR="005F0E12" w:rsidRPr="00705170">
        <w:rPr>
          <w:rFonts w:ascii="Times New Roman" w:hAnsi="Times New Roman" w:cs="Times New Roman"/>
        </w:rPr>
        <w:t xml:space="preserve"> is </w:t>
      </w:r>
      <w:proofErr w:type="spellStart"/>
      <w:r w:rsidR="005F0E12" w:rsidRPr="00705170">
        <w:rPr>
          <w:rFonts w:ascii="Times New Roman" w:hAnsi="Times New Roman" w:cs="Times New Roman"/>
        </w:rPr>
        <w:t>compensated</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would</w:t>
      </w:r>
      <w:proofErr w:type="spellEnd"/>
      <w:r w:rsidR="005F0E12" w:rsidRPr="00705170">
        <w:rPr>
          <w:rFonts w:ascii="Times New Roman" w:hAnsi="Times New Roman" w:cs="Times New Roman"/>
        </w:rPr>
        <w:t xml:space="preserve"> not </w:t>
      </w:r>
      <w:proofErr w:type="spellStart"/>
      <w:r w:rsidR="00B55CDF" w:rsidRPr="00705170">
        <w:rPr>
          <w:rFonts w:ascii="Times New Roman" w:hAnsi="Times New Roman" w:cs="Times New Roman"/>
        </w:rPr>
        <w:t>go</w:t>
      </w:r>
      <w:proofErr w:type="spellEnd"/>
      <w:r w:rsidR="00B55CDF" w:rsidRPr="00705170">
        <w:rPr>
          <w:rFonts w:ascii="Times New Roman" w:hAnsi="Times New Roman" w:cs="Times New Roman"/>
        </w:rPr>
        <w:t xml:space="preserve"> </w:t>
      </w:r>
      <w:proofErr w:type="spellStart"/>
      <w:r w:rsidR="00B55CDF" w:rsidRPr="00705170">
        <w:rPr>
          <w:rFonts w:ascii="Times New Roman" w:hAnsi="Times New Roman" w:cs="Times New Roman"/>
        </w:rPr>
        <w:t>after</w:t>
      </w:r>
      <w:proofErr w:type="spellEnd"/>
      <w:r w:rsidR="00B55CDF" w:rsidRPr="00705170">
        <w:rPr>
          <w:rFonts w:ascii="Times New Roman" w:hAnsi="Times New Roman" w:cs="Times New Roman"/>
        </w:rPr>
        <w:t xml:space="preserve"> </w:t>
      </w:r>
      <w:proofErr w:type="spellStart"/>
      <w:r w:rsidR="00B55CDF" w:rsidRPr="00705170">
        <w:rPr>
          <w:rFonts w:ascii="Times New Roman" w:hAnsi="Times New Roman" w:cs="Times New Roman"/>
        </w:rPr>
        <w:t>the</w:t>
      </w:r>
      <w:proofErr w:type="spellEnd"/>
      <w:r w:rsidR="00B55CDF" w:rsidRPr="00705170">
        <w:rPr>
          <w:rFonts w:ascii="Times New Roman" w:hAnsi="Times New Roman" w:cs="Times New Roman"/>
        </w:rPr>
        <w:t xml:space="preserve"> </w:t>
      </w:r>
      <w:proofErr w:type="spellStart"/>
      <w:r w:rsidR="00B55CDF" w:rsidRPr="00705170">
        <w:rPr>
          <w:rFonts w:ascii="Times New Roman" w:hAnsi="Times New Roman" w:cs="Times New Roman"/>
        </w:rPr>
        <w:t>benefit</w:t>
      </w:r>
      <w:proofErr w:type="spellEnd"/>
      <w:r w:rsidR="00B55CDF" w:rsidRPr="00705170">
        <w:rPr>
          <w:rFonts w:ascii="Times New Roman" w:hAnsi="Times New Roman" w:cs="Times New Roman"/>
        </w:rPr>
        <w:t xml:space="preserve"> </w:t>
      </w:r>
      <w:proofErr w:type="spellStart"/>
      <w:r w:rsidR="00B55CDF" w:rsidRPr="00705170">
        <w:rPr>
          <w:rFonts w:ascii="Times New Roman" w:hAnsi="Times New Roman" w:cs="Times New Roman"/>
        </w:rPr>
        <w:t>extractor</w:t>
      </w:r>
      <w:proofErr w:type="spellEnd"/>
      <w:r w:rsidR="00B55CDF" w:rsidRPr="00705170">
        <w:rPr>
          <w:rFonts w:ascii="Times New Roman" w:hAnsi="Times New Roman" w:cs="Times New Roman"/>
        </w:rPr>
        <w:t xml:space="preserve"> (</w:t>
      </w:r>
      <w:proofErr w:type="spellStart"/>
      <w:r w:rsidR="005F0E12" w:rsidRPr="00705170">
        <w:rPr>
          <w:rFonts w:ascii="Times New Roman" w:hAnsi="Times New Roman" w:cs="Times New Roman"/>
        </w:rPr>
        <w:t>because</w:t>
      </w:r>
      <w:proofErr w:type="spellEnd"/>
      <w:r w:rsidR="005F0E12" w:rsidRPr="00705170">
        <w:rPr>
          <w:rFonts w:ascii="Times New Roman" w:hAnsi="Times New Roman" w:cs="Times New Roman"/>
        </w:rPr>
        <w:t xml:space="preserve"> he </w:t>
      </w:r>
      <w:proofErr w:type="spellStart"/>
      <w:r w:rsidR="005F0E12" w:rsidRPr="00705170">
        <w:rPr>
          <w:rFonts w:ascii="Times New Roman" w:hAnsi="Times New Roman" w:cs="Times New Roman"/>
        </w:rPr>
        <w:t>will</w:t>
      </w:r>
      <w:proofErr w:type="spellEnd"/>
      <w:r w:rsidR="005F0E12" w:rsidRPr="00705170">
        <w:rPr>
          <w:rFonts w:ascii="Times New Roman" w:hAnsi="Times New Roman" w:cs="Times New Roman"/>
        </w:rPr>
        <w:t xml:space="preserve"> not </w:t>
      </w:r>
      <w:proofErr w:type="spellStart"/>
      <w:r w:rsidR="005F0E12" w:rsidRPr="00705170">
        <w:rPr>
          <w:rFonts w:ascii="Times New Roman" w:hAnsi="Times New Roman" w:cs="Times New Roman"/>
        </w:rPr>
        <w:t>have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any</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damages</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to</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demand</w:t>
      </w:r>
      <w:proofErr w:type="spellEnd"/>
      <w:r w:rsidR="00B55CDF" w:rsidRPr="00705170">
        <w:rPr>
          <w:rFonts w:ascii="Times New Roman" w:hAnsi="Times New Roman" w:cs="Times New Roman"/>
        </w:rPr>
        <w:t>)</w:t>
      </w:r>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w:t>
      </w:r>
      <w:r w:rsidR="0004214A" w:rsidRPr="00705170">
        <w:rPr>
          <w:rFonts w:ascii="Times New Roman" w:hAnsi="Times New Roman" w:cs="Times New Roman"/>
        </w:rPr>
        <w:t>is</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might</w:t>
      </w:r>
      <w:proofErr w:type="spellEnd"/>
      <w:r w:rsidR="0004214A" w:rsidRPr="00705170">
        <w:rPr>
          <w:rFonts w:ascii="Times New Roman" w:hAnsi="Times New Roman" w:cs="Times New Roman"/>
        </w:rPr>
        <w:t xml:space="preserve"> not </w:t>
      </w:r>
      <w:proofErr w:type="spellStart"/>
      <w:r w:rsidR="0004214A" w:rsidRPr="00705170">
        <w:rPr>
          <w:rFonts w:ascii="Times New Roman" w:hAnsi="Times New Roman" w:cs="Times New Roman"/>
        </w:rPr>
        <w:t>always</w:t>
      </w:r>
      <w:proofErr w:type="spellEnd"/>
      <w:r w:rsidR="0004214A" w:rsidRPr="00705170">
        <w:rPr>
          <w:rFonts w:ascii="Times New Roman" w:hAnsi="Times New Roman" w:cs="Times New Roman"/>
        </w:rPr>
        <w:t xml:space="preserve"> be </w:t>
      </w:r>
      <w:proofErr w:type="spellStart"/>
      <w:r w:rsidR="0004214A" w:rsidRPr="00705170">
        <w:rPr>
          <w:rFonts w:ascii="Times New Roman" w:hAnsi="Times New Roman" w:cs="Times New Roman"/>
        </w:rPr>
        <w:t>the</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case</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and</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the</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shareholder</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might</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have</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the</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motivation</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for</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acting</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like</w:t>
      </w:r>
      <w:proofErr w:type="spellEnd"/>
      <w:r w:rsidR="0004214A" w:rsidRPr="00705170">
        <w:rPr>
          <w:rFonts w:ascii="Times New Roman" w:hAnsi="Times New Roman" w:cs="Times New Roman"/>
        </w:rPr>
        <w:t xml:space="preserve"> a </w:t>
      </w:r>
      <w:proofErr w:type="spellStart"/>
      <w:r w:rsidR="0004214A" w:rsidRPr="00705170">
        <w:rPr>
          <w:rFonts w:ascii="Times New Roman" w:hAnsi="Times New Roman" w:cs="Times New Roman"/>
        </w:rPr>
        <w:t>private</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attorney</w:t>
      </w:r>
      <w:proofErr w:type="spellEnd"/>
      <w:r w:rsidR="0004214A" w:rsidRPr="00705170">
        <w:rPr>
          <w:rFonts w:ascii="Times New Roman" w:hAnsi="Times New Roman" w:cs="Times New Roman"/>
        </w:rPr>
        <w:t xml:space="preserve"> general </w:t>
      </w:r>
      <w:proofErr w:type="spellStart"/>
      <w:r w:rsidR="0004214A" w:rsidRPr="00705170">
        <w:rPr>
          <w:rFonts w:ascii="Times New Roman" w:hAnsi="Times New Roman" w:cs="Times New Roman"/>
        </w:rPr>
        <w:t>for</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various</w:t>
      </w:r>
      <w:proofErr w:type="spellEnd"/>
      <w:r w:rsidR="0004214A" w:rsidRPr="00705170">
        <w:rPr>
          <w:rFonts w:ascii="Times New Roman" w:hAnsi="Times New Roman" w:cs="Times New Roman"/>
        </w:rPr>
        <w:t xml:space="preserve"> (but </w:t>
      </w:r>
      <w:proofErr w:type="spellStart"/>
      <w:r w:rsidR="0004214A" w:rsidRPr="00705170">
        <w:rPr>
          <w:rFonts w:ascii="Times New Roman" w:hAnsi="Times New Roman" w:cs="Times New Roman"/>
        </w:rPr>
        <w:t>more</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likely</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for</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non</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pecuniary</w:t>
      </w:r>
      <w:proofErr w:type="spellEnd"/>
      <w:r w:rsidR="0004214A" w:rsidRPr="00705170">
        <w:rPr>
          <w:rFonts w:ascii="Times New Roman" w:hAnsi="Times New Roman" w:cs="Times New Roman"/>
        </w:rPr>
        <w:t xml:space="preserve"> </w:t>
      </w:r>
      <w:proofErr w:type="spellStart"/>
      <w:r w:rsidR="0004214A" w:rsidRPr="00705170">
        <w:rPr>
          <w:rFonts w:ascii="Times New Roman" w:hAnsi="Times New Roman" w:cs="Times New Roman"/>
        </w:rPr>
        <w:t>reasons</w:t>
      </w:r>
      <w:proofErr w:type="spellEnd"/>
      <w:r w:rsidR="0004214A" w:rsidRPr="00705170">
        <w:rPr>
          <w:rFonts w:ascii="Times New Roman" w:hAnsi="Times New Roman" w:cs="Times New Roman"/>
        </w:rPr>
        <w:t>)</w:t>
      </w:r>
      <w:r w:rsidR="00E83B12" w:rsidRPr="00705170">
        <w:rPr>
          <w:rStyle w:val="DipnotBavurusu"/>
          <w:rFonts w:ascii="Times New Roman" w:hAnsi="Times New Roman" w:cs="Times New Roman"/>
        </w:rPr>
        <w:footnoteReference w:id="353"/>
      </w:r>
      <w:r w:rsidR="0004214A" w:rsidRPr="00705170">
        <w:rPr>
          <w:rFonts w:ascii="Times New Roman" w:hAnsi="Times New Roman" w:cs="Times New Roman"/>
        </w:rPr>
        <w:t>.</w:t>
      </w:r>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Although</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one</w:t>
      </w:r>
      <w:proofErr w:type="spellEnd"/>
      <w:r w:rsidR="005F0E12" w:rsidRPr="00705170">
        <w:rPr>
          <w:rFonts w:ascii="Times New Roman" w:hAnsi="Times New Roman" w:cs="Times New Roman"/>
        </w:rPr>
        <w:t xml:space="preserve"> can say </w:t>
      </w:r>
      <w:proofErr w:type="spellStart"/>
      <w:r w:rsidR="005F0E12" w:rsidRPr="00705170">
        <w:rPr>
          <w:rFonts w:ascii="Times New Roman" w:hAnsi="Times New Roman" w:cs="Times New Roman"/>
        </w:rPr>
        <w:t>the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lack</w:t>
      </w:r>
      <w:proofErr w:type="spellEnd"/>
      <w:r w:rsidR="005F0E12" w:rsidRPr="00705170">
        <w:rPr>
          <w:rFonts w:ascii="Times New Roman" w:hAnsi="Times New Roman" w:cs="Times New Roman"/>
        </w:rPr>
        <w:t xml:space="preserve"> of </w:t>
      </w:r>
      <w:proofErr w:type="spellStart"/>
      <w:r w:rsidR="005F0E12" w:rsidRPr="00705170">
        <w:rPr>
          <w:rFonts w:ascii="Times New Roman" w:hAnsi="Times New Roman" w:cs="Times New Roman"/>
        </w:rPr>
        <w:t>damages</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would</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preclude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shareholder</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from</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taking</w:t>
      </w:r>
      <w:proofErr w:type="spellEnd"/>
      <w:r w:rsidR="005F0E12" w:rsidRPr="00705170">
        <w:rPr>
          <w:rFonts w:ascii="Times New Roman" w:hAnsi="Times New Roman" w:cs="Times New Roman"/>
        </w:rPr>
        <w:t xml:space="preserve"> a </w:t>
      </w:r>
      <w:proofErr w:type="spellStart"/>
      <w:r w:rsidR="005F0E12" w:rsidRPr="00705170">
        <w:rPr>
          <w:rFonts w:ascii="Times New Roman" w:hAnsi="Times New Roman" w:cs="Times New Roman"/>
        </w:rPr>
        <w:t>cause</w:t>
      </w:r>
      <w:proofErr w:type="spellEnd"/>
      <w:r w:rsidR="005F0E12" w:rsidRPr="00705170">
        <w:rPr>
          <w:rFonts w:ascii="Times New Roman" w:hAnsi="Times New Roman" w:cs="Times New Roman"/>
        </w:rPr>
        <w:t xml:space="preserve"> of </w:t>
      </w:r>
      <w:proofErr w:type="spellStart"/>
      <w:r w:rsidR="005F0E12" w:rsidRPr="00705170">
        <w:rPr>
          <w:rFonts w:ascii="Times New Roman" w:hAnsi="Times New Roman" w:cs="Times New Roman"/>
        </w:rPr>
        <w:t>action</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law</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does</w:t>
      </w:r>
      <w:proofErr w:type="spellEnd"/>
      <w:r w:rsidR="005F0E12" w:rsidRPr="00705170">
        <w:rPr>
          <w:rFonts w:ascii="Times New Roman" w:hAnsi="Times New Roman" w:cs="Times New Roman"/>
        </w:rPr>
        <w:t xml:space="preserve"> not </w:t>
      </w:r>
      <w:proofErr w:type="spellStart"/>
      <w:r w:rsidR="005F0E12" w:rsidRPr="00705170">
        <w:rPr>
          <w:rFonts w:ascii="Times New Roman" w:hAnsi="Times New Roman" w:cs="Times New Roman"/>
        </w:rPr>
        <w:t>necessarily</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require</w:t>
      </w:r>
      <w:proofErr w:type="spellEnd"/>
      <w:r w:rsidR="005F0E12" w:rsidRPr="00705170">
        <w:rPr>
          <w:rFonts w:ascii="Times New Roman" w:hAnsi="Times New Roman" w:cs="Times New Roman"/>
        </w:rPr>
        <w:t xml:space="preserve"> presence of </w:t>
      </w:r>
      <w:proofErr w:type="spellStart"/>
      <w:r w:rsidR="005F0E12" w:rsidRPr="00705170">
        <w:rPr>
          <w:rFonts w:ascii="Times New Roman" w:hAnsi="Times New Roman" w:cs="Times New Roman"/>
        </w:rPr>
        <w:t>damage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to</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remedy</w:t>
      </w:r>
      <w:proofErr w:type="spellEnd"/>
      <w:r w:rsidR="005F0E12" w:rsidRPr="00705170">
        <w:rPr>
          <w:rFonts w:ascii="Times New Roman" w:hAnsi="Times New Roman" w:cs="Times New Roman"/>
        </w:rPr>
        <w:t xml:space="preserve"> a </w:t>
      </w:r>
      <w:proofErr w:type="spellStart"/>
      <w:r w:rsidR="005F0E12" w:rsidRPr="00705170">
        <w:rPr>
          <w:rFonts w:ascii="Times New Roman" w:hAnsi="Times New Roman" w:cs="Times New Roman"/>
        </w:rPr>
        <w:t>frustration</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For</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example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there</w:t>
      </w:r>
      <w:proofErr w:type="spellEnd"/>
      <w:r w:rsidR="005F0E12" w:rsidRPr="00705170">
        <w:rPr>
          <w:rFonts w:ascii="Times New Roman" w:hAnsi="Times New Roman" w:cs="Times New Roman"/>
        </w:rPr>
        <w:t xml:space="preserve"> is </w:t>
      </w:r>
      <w:proofErr w:type="spellStart"/>
      <w:r w:rsidR="005F0E12" w:rsidRPr="00705170">
        <w:rPr>
          <w:rFonts w:ascii="Times New Roman" w:hAnsi="Times New Roman" w:cs="Times New Roman"/>
        </w:rPr>
        <w:t>no</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damage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requirement</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to</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initiate</w:t>
      </w:r>
      <w:proofErr w:type="spellEnd"/>
      <w:r w:rsidR="005F0E12" w:rsidRPr="00705170">
        <w:rPr>
          <w:rFonts w:ascii="Times New Roman" w:hAnsi="Times New Roman" w:cs="Times New Roman"/>
        </w:rPr>
        <w:t xml:space="preserve"> a </w:t>
      </w:r>
      <w:proofErr w:type="spellStart"/>
      <w:r w:rsidR="005F0E12" w:rsidRPr="00705170">
        <w:rPr>
          <w:rFonts w:ascii="Times New Roman" w:hAnsi="Times New Roman" w:cs="Times New Roman"/>
        </w:rPr>
        <w:t>judicial</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dissolution</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action</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under</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Turkish</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law</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and</w:t>
      </w:r>
      <w:proofErr w:type="spellEnd"/>
      <w:r w:rsidR="005F0E12" w:rsidRPr="00705170">
        <w:rPr>
          <w:rFonts w:ascii="Times New Roman" w:hAnsi="Times New Roman" w:cs="Times New Roman"/>
        </w:rPr>
        <w:t xml:space="preserve"> a </w:t>
      </w:r>
      <w:proofErr w:type="spellStart"/>
      <w:r w:rsidR="005F0E12" w:rsidRPr="00705170">
        <w:rPr>
          <w:rFonts w:ascii="Times New Roman" w:hAnsi="Times New Roman" w:cs="Times New Roman"/>
        </w:rPr>
        <w:t>court</w:t>
      </w:r>
      <w:proofErr w:type="spellEnd"/>
      <w:r w:rsidR="005F0E12" w:rsidRPr="00705170">
        <w:rPr>
          <w:rFonts w:ascii="Times New Roman" w:hAnsi="Times New Roman" w:cs="Times New Roman"/>
        </w:rPr>
        <w:t xml:space="preserve"> can </w:t>
      </w:r>
      <w:proofErr w:type="spellStart"/>
      <w:r w:rsidR="005F0E12" w:rsidRPr="00705170">
        <w:rPr>
          <w:rFonts w:ascii="Times New Roman" w:hAnsi="Times New Roman" w:cs="Times New Roman"/>
        </w:rPr>
        <w:t>practically</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dissolve</w:t>
      </w:r>
      <w:proofErr w:type="spellEnd"/>
      <w:r w:rsidR="005F0E12" w:rsidRPr="00705170">
        <w:rPr>
          <w:rFonts w:ascii="Times New Roman" w:hAnsi="Times New Roman" w:cs="Times New Roman"/>
        </w:rPr>
        <w:t xml:space="preserve"> a </w:t>
      </w:r>
      <w:proofErr w:type="spellStart"/>
      <w:r w:rsidR="005F0E12" w:rsidRPr="00705170">
        <w:rPr>
          <w:rFonts w:ascii="Times New Roman" w:hAnsi="Times New Roman" w:cs="Times New Roman"/>
        </w:rPr>
        <w:t>corporation</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without</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establishment</w:t>
      </w:r>
      <w:proofErr w:type="spellEnd"/>
      <w:r w:rsidR="005F0E12" w:rsidRPr="00705170">
        <w:rPr>
          <w:rFonts w:ascii="Times New Roman" w:hAnsi="Times New Roman" w:cs="Times New Roman"/>
        </w:rPr>
        <w:t xml:space="preserve"> of </w:t>
      </w:r>
      <w:proofErr w:type="spellStart"/>
      <w:r w:rsidR="005F0E12" w:rsidRPr="00705170">
        <w:rPr>
          <w:rFonts w:ascii="Times New Roman" w:hAnsi="Times New Roman" w:cs="Times New Roman"/>
        </w:rPr>
        <w:t>any</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damage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even</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though</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court</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would</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have</w:t>
      </w:r>
      <w:proofErr w:type="spellEnd"/>
      <w:r w:rsidR="005F0E12" w:rsidRPr="00705170">
        <w:rPr>
          <w:rFonts w:ascii="Times New Roman" w:hAnsi="Times New Roman" w:cs="Times New Roman"/>
        </w:rPr>
        <w:t xml:space="preserve"> a hard time in </w:t>
      </w:r>
      <w:proofErr w:type="spellStart"/>
      <w:r w:rsidR="005F0E12" w:rsidRPr="00705170">
        <w:rPr>
          <w:rFonts w:ascii="Times New Roman" w:hAnsi="Times New Roman" w:cs="Times New Roman"/>
        </w:rPr>
        <w:t>doing</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so</w:t>
      </w:r>
      <w:proofErr w:type="spellEnd"/>
      <w:r w:rsidR="005F0E12" w:rsidRPr="00705170">
        <w:rPr>
          <w:rFonts w:ascii="Times New Roman" w:hAnsi="Times New Roman" w:cs="Times New Roman"/>
        </w:rPr>
        <w:t>)</w:t>
      </w:r>
      <w:r w:rsidR="005F0E12" w:rsidRPr="00705170">
        <w:rPr>
          <w:rStyle w:val="DipnotBavurusu"/>
          <w:rFonts w:ascii="Times New Roman" w:hAnsi="Times New Roman" w:cs="Times New Roman"/>
        </w:rPr>
        <w:footnoteReference w:id="354"/>
      </w:r>
      <w:r w:rsidR="005F0E12" w:rsidRPr="00705170">
        <w:rPr>
          <w:rFonts w:ascii="Times New Roman" w:hAnsi="Times New Roman" w:cs="Times New Roman"/>
        </w:rPr>
        <w:t>.</w:t>
      </w:r>
      <w:r w:rsidR="00964281" w:rsidRPr="00705170">
        <w:rPr>
          <w:rFonts w:ascii="Times New Roman" w:hAnsi="Times New Roman" w:cs="Times New Roman"/>
        </w:rPr>
        <w:t xml:space="preserve"> </w:t>
      </w:r>
    </w:p>
    <w:p w14:paraId="1B287F84" w14:textId="7597DDF6" w:rsidR="005F0E12" w:rsidRPr="00705170" w:rsidRDefault="0004214A" w:rsidP="00A61752">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Fourthly</w:t>
      </w:r>
      <w:proofErr w:type="spellEnd"/>
      <w:r w:rsidR="00A61752" w:rsidRPr="00705170">
        <w:rPr>
          <w:rFonts w:ascii="Times New Roman" w:hAnsi="Times New Roman" w:cs="Times New Roman"/>
        </w:rPr>
        <w:t>,</w:t>
      </w:r>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while</w:t>
      </w:r>
      <w:proofErr w:type="spellEnd"/>
      <w:r w:rsidR="00A61752" w:rsidRPr="00705170">
        <w:rPr>
          <w:rFonts w:ascii="Times New Roman" w:hAnsi="Times New Roman" w:cs="Times New Roman"/>
        </w:rPr>
        <w:t xml:space="preserve"> </w:t>
      </w:r>
      <w:proofErr w:type="spellStart"/>
      <w:r w:rsidR="005F0E12" w:rsidRPr="00705170">
        <w:rPr>
          <w:rFonts w:ascii="Times New Roman" w:hAnsi="Times New Roman" w:cs="Times New Roman"/>
        </w:rPr>
        <w:t>the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first</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two</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sit</w:t>
      </w:r>
      <w:r w:rsidR="00964281" w:rsidRPr="00705170">
        <w:rPr>
          <w:rFonts w:ascii="Times New Roman" w:hAnsi="Times New Roman" w:cs="Times New Roman"/>
        </w:rPr>
        <w:t>uations</w:t>
      </w:r>
      <w:proofErr w:type="spellEnd"/>
      <w:r w:rsidR="00964281" w:rsidRPr="00705170">
        <w:rPr>
          <w:rFonts w:ascii="Times New Roman" w:hAnsi="Times New Roman" w:cs="Times New Roman"/>
        </w:rPr>
        <w:t xml:space="preserve"> </w:t>
      </w:r>
      <w:proofErr w:type="spellStart"/>
      <w:r w:rsidR="00964281" w:rsidRPr="00705170">
        <w:rPr>
          <w:rFonts w:ascii="Times New Roman" w:hAnsi="Times New Roman" w:cs="Times New Roman"/>
        </w:rPr>
        <w:t>for</w:t>
      </w:r>
      <w:proofErr w:type="spellEnd"/>
      <w:r w:rsidR="00964281" w:rsidRPr="00705170">
        <w:rPr>
          <w:rFonts w:ascii="Times New Roman" w:hAnsi="Times New Roman" w:cs="Times New Roman"/>
        </w:rPr>
        <w:t xml:space="preserve"> </w:t>
      </w:r>
      <w:proofErr w:type="spellStart"/>
      <w:r w:rsidR="00964281" w:rsidRPr="00705170">
        <w:rPr>
          <w:rFonts w:ascii="Times New Roman" w:hAnsi="Times New Roman" w:cs="Times New Roman"/>
        </w:rPr>
        <w:t>liability</w:t>
      </w:r>
      <w:proofErr w:type="spellEnd"/>
      <w:r w:rsidR="00964281" w:rsidRPr="00705170">
        <w:rPr>
          <w:rFonts w:ascii="Times New Roman" w:hAnsi="Times New Roman" w:cs="Times New Roman"/>
        </w:rPr>
        <w:t xml:space="preserve"> can </w:t>
      </w:r>
      <w:proofErr w:type="spellStart"/>
      <w:r w:rsidR="00964281" w:rsidRPr="00705170">
        <w:rPr>
          <w:rFonts w:ascii="Times New Roman" w:hAnsi="Times New Roman" w:cs="Times New Roman"/>
        </w:rPr>
        <w:t>theore</w:t>
      </w:r>
      <w:r w:rsidR="005F0E12" w:rsidRPr="00705170">
        <w:rPr>
          <w:rFonts w:ascii="Times New Roman" w:hAnsi="Times New Roman" w:cs="Times New Roman"/>
        </w:rPr>
        <w:t>tically</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cover</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non</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pecuniary</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benefit</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extractions</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via</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external</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undertaking</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if</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the</w:t>
      </w:r>
      <w:proofErr w:type="spellEnd"/>
      <w:r w:rsidR="005F0E12" w:rsidRPr="00705170">
        <w:rPr>
          <w:rFonts w:ascii="Times New Roman" w:hAnsi="Times New Roman" w:cs="Times New Roman"/>
        </w:rPr>
        <w:t xml:space="preserve"> </w:t>
      </w:r>
      <w:proofErr w:type="spellStart"/>
      <w:r w:rsidR="00132C8A" w:rsidRPr="00705170">
        <w:rPr>
          <w:rFonts w:ascii="Times New Roman" w:hAnsi="Times New Roman" w:cs="Times New Roman"/>
        </w:rPr>
        <w:t>subsidiary</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refrains</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from</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taking</w:t>
      </w:r>
      <w:proofErr w:type="spellEnd"/>
      <w:r w:rsidR="005F0E12" w:rsidRPr="00705170">
        <w:rPr>
          <w:rFonts w:ascii="Times New Roman" w:hAnsi="Times New Roman" w:cs="Times New Roman"/>
        </w:rPr>
        <w:t xml:space="preserve"> a legal </w:t>
      </w:r>
      <w:proofErr w:type="spellStart"/>
      <w:r w:rsidR="005F0E12" w:rsidRPr="00705170">
        <w:rPr>
          <w:rFonts w:ascii="Times New Roman" w:hAnsi="Times New Roman" w:cs="Times New Roman"/>
        </w:rPr>
        <w:t>action</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against</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detrimental</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benefit</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extraction</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due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to</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extractor</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shareholder’s</w:t>
      </w:r>
      <w:proofErr w:type="spellEnd"/>
      <w:r w:rsidR="00132C8A" w:rsidRPr="00705170">
        <w:rPr>
          <w:rFonts w:ascii="Times New Roman" w:hAnsi="Times New Roman" w:cs="Times New Roman"/>
        </w:rPr>
        <w:t xml:space="preserve"> (</w:t>
      </w:r>
      <w:proofErr w:type="spellStart"/>
      <w:r w:rsidR="00132C8A" w:rsidRPr="00705170">
        <w:rPr>
          <w:rFonts w:ascii="Times New Roman" w:hAnsi="Times New Roman" w:cs="Times New Roman"/>
        </w:rPr>
        <w:t>parent’s</w:t>
      </w:r>
      <w:proofErr w:type="spellEnd"/>
      <w:r w:rsidR="00132C8A" w:rsidRPr="00705170">
        <w:rPr>
          <w:rFonts w:ascii="Times New Roman" w:hAnsi="Times New Roman" w:cs="Times New Roman"/>
        </w:rPr>
        <w:t>)</w:t>
      </w:r>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order</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to</w:t>
      </w:r>
      <w:proofErr w:type="spellEnd"/>
      <w:r w:rsidR="005F0E12" w:rsidRPr="00705170">
        <w:rPr>
          <w:rFonts w:ascii="Times New Roman" w:hAnsi="Times New Roman" w:cs="Times New Roman"/>
        </w:rPr>
        <w:t xml:space="preserve"> “not </w:t>
      </w:r>
      <w:proofErr w:type="spellStart"/>
      <w:r w:rsidR="005F0E12" w:rsidRPr="00705170">
        <w:rPr>
          <w:rFonts w:ascii="Times New Roman" w:hAnsi="Times New Roman" w:cs="Times New Roman"/>
        </w:rPr>
        <w:t>to</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sue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shareholder</w:t>
      </w:r>
      <w:proofErr w:type="spellEnd"/>
      <w:r w:rsidR="005F0E12" w:rsidRPr="00705170">
        <w:rPr>
          <w:rFonts w:ascii="Times New Roman" w:hAnsi="Times New Roman" w:cs="Times New Roman"/>
        </w:rPr>
        <w:t xml:space="preserve"> can be </w:t>
      </w:r>
      <w:proofErr w:type="spellStart"/>
      <w:r w:rsidR="005F0E12" w:rsidRPr="00705170">
        <w:rPr>
          <w:rFonts w:ascii="Times New Roman" w:hAnsi="Times New Roman" w:cs="Times New Roman"/>
        </w:rPr>
        <w:t>liable</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for</w:t>
      </w:r>
      <w:proofErr w:type="spellEnd"/>
      <w:r w:rsidR="005F0E12" w:rsidRPr="00705170">
        <w:rPr>
          <w:rFonts w:ascii="Times New Roman" w:hAnsi="Times New Roman" w:cs="Times New Roman"/>
        </w:rPr>
        <w:t xml:space="preserve"> </w:t>
      </w:r>
      <w:proofErr w:type="spellStart"/>
      <w:r w:rsidR="005F0E12" w:rsidRPr="00705170">
        <w:rPr>
          <w:rFonts w:ascii="Times New Roman" w:hAnsi="Times New Roman" w:cs="Times New Roman"/>
        </w:rPr>
        <w:t>this</w:t>
      </w:r>
      <w:proofErr w:type="spellEnd"/>
      <w:r w:rsidR="005F0E12" w:rsidRPr="00705170">
        <w:rPr>
          <w:rFonts w:ascii="Times New Roman" w:hAnsi="Times New Roman" w:cs="Times New Roman"/>
        </w:rPr>
        <w:t xml:space="preserve"> </w:t>
      </w:r>
      <w:proofErr w:type="spellStart"/>
      <w:r w:rsidR="001D3D44" w:rsidRPr="00705170">
        <w:rPr>
          <w:rFonts w:ascii="Times New Roman" w:hAnsi="Times New Roman" w:cs="Times New Roman"/>
        </w:rPr>
        <w:t>inaction</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under</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Article</w:t>
      </w:r>
      <w:proofErr w:type="spellEnd"/>
      <w:r w:rsidR="001D3D44" w:rsidRPr="00705170">
        <w:rPr>
          <w:rFonts w:ascii="Times New Roman" w:hAnsi="Times New Roman" w:cs="Times New Roman"/>
        </w:rPr>
        <w:t xml:space="preserve"> 202(1))</w:t>
      </w:r>
      <w:r w:rsidR="001D3D44" w:rsidRPr="00705170">
        <w:rPr>
          <w:rFonts w:ascii="Times New Roman" w:hAnsi="Times New Roman" w:cs="Times New Roman"/>
          <w:lang w:val="en-US"/>
        </w:rPr>
        <w:t>,</w:t>
      </w:r>
      <w:r w:rsidR="00750861" w:rsidRPr="00705170">
        <w:rPr>
          <w:rFonts w:ascii="Times New Roman" w:hAnsi="Times New Roman" w:cs="Times New Roman"/>
          <w:lang w:val="en-US"/>
        </w:rPr>
        <w:t xml:space="preserve"> </w:t>
      </w:r>
      <w:r w:rsidR="001D3D44" w:rsidRPr="00705170">
        <w:rPr>
          <w:rFonts w:ascii="Times New Roman" w:hAnsi="Times New Roman" w:cs="Times New Roman"/>
          <w:lang w:val="en-US"/>
        </w:rPr>
        <w:t xml:space="preserve">it would be challenging to use those sections for transaction based non- pecuniary private benefit extractions. As TCC Article 202(2) requires there to be a shareholders’ resolution on a significant issue and </w:t>
      </w:r>
      <w:proofErr w:type="spellStart"/>
      <w:r w:rsidR="001D3D44" w:rsidRPr="00705170">
        <w:rPr>
          <w:rFonts w:ascii="Times New Roman" w:hAnsi="Times New Roman" w:cs="Times New Roman"/>
        </w:rPr>
        <w:t>that</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the</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action</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taken</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by</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the</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resolution</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does</w:t>
      </w:r>
      <w:proofErr w:type="spellEnd"/>
      <w:r w:rsidR="001D3D44" w:rsidRPr="00705170">
        <w:rPr>
          <w:rFonts w:ascii="Times New Roman" w:hAnsi="Times New Roman" w:cs="Times New Roman"/>
        </w:rPr>
        <w:t xml:space="preserve"> not </w:t>
      </w:r>
      <w:proofErr w:type="spellStart"/>
      <w:r w:rsidR="001D3D44" w:rsidRPr="00705170">
        <w:rPr>
          <w:rFonts w:ascii="Times New Roman" w:hAnsi="Times New Roman" w:cs="Times New Roman"/>
        </w:rPr>
        <w:t>have</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any</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rational</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explanation</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for</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the</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subsidiary</w:t>
      </w:r>
      <w:proofErr w:type="spellEnd"/>
      <w:r w:rsidR="001D3D44" w:rsidRPr="00705170">
        <w:rPr>
          <w:rFonts w:ascii="Times New Roman" w:hAnsi="Times New Roman" w:cs="Times New Roman"/>
        </w:rPr>
        <w:t xml:space="preserve">, a </w:t>
      </w:r>
      <w:proofErr w:type="spellStart"/>
      <w:r w:rsidR="001D3D44" w:rsidRPr="00705170">
        <w:rPr>
          <w:rFonts w:ascii="Times New Roman" w:hAnsi="Times New Roman" w:cs="Times New Roman"/>
        </w:rPr>
        <w:t>simple</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and</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ordinary</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transaction</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that</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does</w:t>
      </w:r>
      <w:proofErr w:type="spellEnd"/>
      <w:r w:rsidR="001D3D44" w:rsidRPr="00705170">
        <w:rPr>
          <w:rFonts w:ascii="Times New Roman" w:hAnsi="Times New Roman" w:cs="Times New Roman"/>
        </w:rPr>
        <w:t xml:space="preserve"> not </w:t>
      </w:r>
      <w:proofErr w:type="spellStart"/>
      <w:r w:rsidR="001D3D44" w:rsidRPr="00705170">
        <w:rPr>
          <w:rFonts w:ascii="Times New Roman" w:hAnsi="Times New Roman" w:cs="Times New Roman"/>
        </w:rPr>
        <w:t>require</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shareholders</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authorization</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would</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easily</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lastRenderedPageBreak/>
        <w:t>escape</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from</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the</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requirement</w:t>
      </w:r>
      <w:proofErr w:type="spellEnd"/>
      <w:r w:rsidR="001D3D44" w:rsidRPr="00705170">
        <w:rPr>
          <w:rFonts w:ascii="Times New Roman" w:hAnsi="Times New Roman" w:cs="Times New Roman"/>
        </w:rPr>
        <w:t xml:space="preserve"> of </w:t>
      </w:r>
      <w:proofErr w:type="spellStart"/>
      <w:r w:rsidR="001D3D44" w:rsidRPr="00705170">
        <w:rPr>
          <w:rFonts w:ascii="Times New Roman" w:hAnsi="Times New Roman" w:cs="Times New Roman"/>
        </w:rPr>
        <w:t>the</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provision</w:t>
      </w:r>
      <w:proofErr w:type="spellEnd"/>
      <w:r w:rsidR="001D3D44" w:rsidRPr="00705170">
        <w:rPr>
          <w:rFonts w:ascii="Times New Roman" w:hAnsi="Times New Roman" w:cs="Times New Roman"/>
        </w:rPr>
        <w:t xml:space="preserve">. </w:t>
      </w:r>
      <w:proofErr w:type="spellStart"/>
      <w:r w:rsidR="001D3D44" w:rsidRPr="00705170">
        <w:rPr>
          <w:rFonts w:ascii="Times New Roman" w:hAnsi="Times New Roman" w:cs="Times New Roman"/>
        </w:rPr>
        <w:t>Likewise</w:t>
      </w:r>
      <w:proofErr w:type="spellEnd"/>
      <w:r w:rsidR="001D3D44" w:rsidRPr="00705170">
        <w:rPr>
          <w:rFonts w:ascii="Times New Roman" w:hAnsi="Times New Roman" w:cs="Times New Roman"/>
        </w:rPr>
        <w:t xml:space="preserve">, </w:t>
      </w:r>
      <w:proofErr w:type="spellStart"/>
      <w:r w:rsidR="000C3A34" w:rsidRPr="00705170">
        <w:rPr>
          <w:rFonts w:ascii="Times New Roman" w:hAnsi="Times New Roman" w:cs="Times New Roman"/>
        </w:rPr>
        <w:t>one</w:t>
      </w:r>
      <w:proofErr w:type="spellEnd"/>
      <w:r w:rsidR="000C3A34" w:rsidRPr="00705170">
        <w:rPr>
          <w:rFonts w:ascii="Times New Roman" w:hAnsi="Times New Roman" w:cs="Times New Roman"/>
        </w:rPr>
        <w:t xml:space="preserve"> can </w:t>
      </w:r>
      <w:proofErr w:type="spellStart"/>
      <w:r w:rsidR="000C3A34" w:rsidRPr="00705170">
        <w:rPr>
          <w:rFonts w:ascii="Times New Roman" w:hAnsi="Times New Roman" w:cs="Times New Roman"/>
        </w:rPr>
        <w:t>prove</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that</w:t>
      </w:r>
      <w:proofErr w:type="spellEnd"/>
      <w:r w:rsidR="000C3A34" w:rsidRPr="00705170">
        <w:rPr>
          <w:rFonts w:ascii="Times New Roman" w:hAnsi="Times New Roman" w:cs="Times New Roman"/>
        </w:rPr>
        <w:t xml:space="preserve"> an </w:t>
      </w:r>
      <w:proofErr w:type="spellStart"/>
      <w:r w:rsidR="000C3A34" w:rsidRPr="00705170">
        <w:rPr>
          <w:rFonts w:ascii="Times New Roman" w:hAnsi="Times New Roman" w:cs="Times New Roman"/>
        </w:rPr>
        <w:t>independently</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acting</w:t>
      </w:r>
      <w:proofErr w:type="spellEnd"/>
      <w:r w:rsidR="000C3A34" w:rsidRPr="00705170">
        <w:rPr>
          <w:rFonts w:ascii="Times New Roman" w:hAnsi="Times New Roman" w:cs="Times New Roman"/>
        </w:rPr>
        <w:t xml:space="preserve"> board of </w:t>
      </w:r>
      <w:proofErr w:type="spellStart"/>
      <w:r w:rsidR="000C3A34" w:rsidRPr="00705170">
        <w:rPr>
          <w:rFonts w:ascii="Times New Roman" w:hAnsi="Times New Roman" w:cs="Times New Roman"/>
        </w:rPr>
        <w:t>directors</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would</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have</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also</w:t>
      </w:r>
      <w:proofErr w:type="spellEnd"/>
      <w:r w:rsidR="000C3A34" w:rsidRPr="00705170">
        <w:rPr>
          <w:rFonts w:ascii="Times New Roman" w:hAnsi="Times New Roman" w:cs="Times New Roman"/>
        </w:rPr>
        <w:t xml:space="preserve"> </w:t>
      </w:r>
      <w:proofErr w:type="gramStart"/>
      <w:r w:rsidR="000C3A34" w:rsidRPr="00705170">
        <w:rPr>
          <w:rFonts w:ascii="Times New Roman" w:hAnsi="Times New Roman" w:cs="Times New Roman"/>
        </w:rPr>
        <w:t>done</w:t>
      </w:r>
      <w:proofErr w:type="gram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the</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action</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and</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ac</w:t>
      </w:r>
      <w:r w:rsidR="003B2239" w:rsidRPr="00705170">
        <w:rPr>
          <w:rFonts w:ascii="Times New Roman" w:hAnsi="Times New Roman" w:cs="Times New Roman"/>
        </w:rPr>
        <w:t>cordingly</w:t>
      </w:r>
      <w:proofErr w:type="spellEnd"/>
      <w:r w:rsidR="003B2239" w:rsidRPr="00705170">
        <w:rPr>
          <w:rFonts w:ascii="Times New Roman" w:hAnsi="Times New Roman" w:cs="Times New Roman"/>
        </w:rPr>
        <w:t>,</w:t>
      </w:r>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make</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both</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the</w:t>
      </w:r>
      <w:proofErr w:type="spellEnd"/>
      <w:r w:rsidR="000C3A34" w:rsidRPr="00705170">
        <w:rPr>
          <w:rFonts w:ascii="Times New Roman" w:hAnsi="Times New Roman" w:cs="Times New Roman"/>
        </w:rPr>
        <w:t xml:space="preserve"> board </w:t>
      </w:r>
      <w:proofErr w:type="spellStart"/>
      <w:r w:rsidR="000C3A34" w:rsidRPr="00705170">
        <w:rPr>
          <w:rFonts w:ascii="Times New Roman" w:hAnsi="Times New Roman" w:cs="Times New Roman"/>
        </w:rPr>
        <w:t>and</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the</w:t>
      </w:r>
      <w:proofErr w:type="spellEnd"/>
      <w:r w:rsidR="000C3A34" w:rsidRPr="00705170">
        <w:rPr>
          <w:rFonts w:ascii="Times New Roman" w:hAnsi="Times New Roman" w:cs="Times New Roman"/>
        </w:rPr>
        <w:t xml:space="preserve"> </w:t>
      </w:r>
      <w:proofErr w:type="spellStart"/>
      <w:r w:rsidR="000C3A34" w:rsidRPr="00705170">
        <w:rPr>
          <w:rFonts w:ascii="Times New Roman" w:hAnsi="Times New Roman" w:cs="Times New Roman"/>
        </w:rPr>
        <w:t>parent</w:t>
      </w:r>
      <w:proofErr w:type="spellEnd"/>
      <w:r w:rsidR="003B2239" w:rsidRPr="00705170">
        <w:rPr>
          <w:rFonts w:ascii="Times New Roman" w:hAnsi="Times New Roman" w:cs="Times New Roman"/>
        </w:rPr>
        <w:t xml:space="preserve"> </w:t>
      </w:r>
      <w:proofErr w:type="spellStart"/>
      <w:r w:rsidR="003B2239" w:rsidRPr="00705170">
        <w:rPr>
          <w:rFonts w:ascii="Times New Roman" w:hAnsi="Times New Roman" w:cs="Times New Roman"/>
        </w:rPr>
        <w:t>immune</w:t>
      </w:r>
      <w:proofErr w:type="spellEnd"/>
      <w:r w:rsidR="003B2239" w:rsidRPr="00705170">
        <w:rPr>
          <w:rFonts w:ascii="Times New Roman" w:hAnsi="Times New Roman" w:cs="Times New Roman"/>
        </w:rPr>
        <w:t xml:space="preserve">, as </w:t>
      </w:r>
      <w:proofErr w:type="spellStart"/>
      <w:r w:rsidR="003B2239" w:rsidRPr="00705170">
        <w:rPr>
          <w:rFonts w:ascii="Times New Roman" w:hAnsi="Times New Roman" w:cs="Times New Roman"/>
        </w:rPr>
        <w:t>the</w:t>
      </w:r>
      <w:proofErr w:type="spellEnd"/>
      <w:r w:rsidR="003B2239" w:rsidRPr="00705170">
        <w:rPr>
          <w:rFonts w:ascii="Times New Roman" w:hAnsi="Times New Roman" w:cs="Times New Roman"/>
        </w:rPr>
        <w:t xml:space="preserve"> board of </w:t>
      </w:r>
      <w:proofErr w:type="spellStart"/>
      <w:r w:rsidR="003B2239" w:rsidRPr="00705170">
        <w:rPr>
          <w:rFonts w:ascii="Times New Roman" w:hAnsi="Times New Roman" w:cs="Times New Roman"/>
        </w:rPr>
        <w:t>directors</w:t>
      </w:r>
      <w:proofErr w:type="spellEnd"/>
      <w:r w:rsidR="003B2239" w:rsidRPr="00705170">
        <w:rPr>
          <w:rFonts w:ascii="Times New Roman" w:hAnsi="Times New Roman" w:cs="Times New Roman"/>
        </w:rPr>
        <w:t xml:space="preserve">’ </w:t>
      </w:r>
      <w:proofErr w:type="spellStart"/>
      <w:r w:rsidR="003B2239" w:rsidRPr="00705170">
        <w:rPr>
          <w:rFonts w:ascii="Times New Roman" w:hAnsi="Times New Roman" w:cs="Times New Roman"/>
        </w:rPr>
        <w:t>actions</w:t>
      </w:r>
      <w:proofErr w:type="spellEnd"/>
      <w:r w:rsidR="003B2239" w:rsidRPr="00705170">
        <w:rPr>
          <w:rFonts w:ascii="Times New Roman" w:hAnsi="Times New Roman" w:cs="Times New Roman"/>
        </w:rPr>
        <w:t xml:space="preserve"> </w:t>
      </w:r>
      <w:proofErr w:type="spellStart"/>
      <w:r w:rsidR="003B2239" w:rsidRPr="00705170">
        <w:rPr>
          <w:rFonts w:ascii="Times New Roman" w:hAnsi="Times New Roman" w:cs="Times New Roman"/>
        </w:rPr>
        <w:t>represent</w:t>
      </w:r>
      <w:proofErr w:type="spellEnd"/>
      <w:r w:rsidR="003B2239" w:rsidRPr="00705170">
        <w:rPr>
          <w:rFonts w:ascii="Times New Roman" w:hAnsi="Times New Roman" w:cs="Times New Roman"/>
        </w:rPr>
        <w:t xml:space="preserve"> </w:t>
      </w:r>
      <w:proofErr w:type="spellStart"/>
      <w:r w:rsidR="003B2239" w:rsidRPr="00705170">
        <w:rPr>
          <w:rFonts w:ascii="Times New Roman" w:hAnsi="Times New Roman" w:cs="Times New Roman"/>
        </w:rPr>
        <w:t>the</w:t>
      </w:r>
      <w:proofErr w:type="spellEnd"/>
      <w:r w:rsidR="003B2239" w:rsidRPr="00705170">
        <w:rPr>
          <w:rFonts w:ascii="Times New Roman" w:hAnsi="Times New Roman" w:cs="Times New Roman"/>
        </w:rPr>
        <w:t xml:space="preserve"> </w:t>
      </w:r>
      <w:proofErr w:type="spellStart"/>
      <w:r w:rsidR="003B2239" w:rsidRPr="00705170">
        <w:rPr>
          <w:rFonts w:ascii="Times New Roman" w:hAnsi="Times New Roman" w:cs="Times New Roman"/>
        </w:rPr>
        <w:t>corporations</w:t>
      </w:r>
      <w:proofErr w:type="spellEnd"/>
      <w:r w:rsidR="003B2239" w:rsidRPr="00705170">
        <w:rPr>
          <w:rFonts w:ascii="Times New Roman" w:hAnsi="Times New Roman" w:cs="Times New Roman"/>
        </w:rPr>
        <w:t xml:space="preserve"> </w:t>
      </w:r>
      <w:proofErr w:type="spellStart"/>
      <w:r w:rsidR="003B2239" w:rsidRPr="00705170">
        <w:rPr>
          <w:rFonts w:ascii="Times New Roman" w:hAnsi="Times New Roman" w:cs="Times New Roman"/>
        </w:rPr>
        <w:t>actions</w:t>
      </w:r>
      <w:proofErr w:type="spellEnd"/>
      <w:r w:rsidR="003B2239" w:rsidRPr="00705170">
        <w:rPr>
          <w:rStyle w:val="DipnotBavurusu"/>
          <w:rFonts w:ascii="Times New Roman" w:hAnsi="Times New Roman" w:cs="Times New Roman"/>
        </w:rPr>
        <w:footnoteReference w:id="355"/>
      </w:r>
      <w:r w:rsidR="003B2239" w:rsidRPr="00705170">
        <w:rPr>
          <w:rFonts w:ascii="Times New Roman" w:hAnsi="Times New Roman" w:cs="Times New Roman"/>
        </w:rPr>
        <w:t>.</w:t>
      </w:r>
    </w:p>
    <w:p w14:paraId="7B77F80A" w14:textId="633E4523" w:rsidR="003C4CDF" w:rsidRPr="00705170" w:rsidRDefault="000C3A34" w:rsidP="008054FA">
      <w:pPr>
        <w:spacing w:after="240" w:line="480" w:lineRule="auto"/>
        <w:ind w:firstLine="708"/>
        <w:jc w:val="both"/>
        <w:rPr>
          <w:rFonts w:ascii="Times New Roman" w:hAnsi="Times New Roman" w:cs="Times New Roman"/>
          <w:color w:val="FF0000"/>
        </w:rPr>
      </w:pPr>
      <w:proofErr w:type="spellStart"/>
      <w:r w:rsidRPr="00705170">
        <w:rPr>
          <w:rFonts w:ascii="Times New Roman" w:hAnsi="Times New Roman" w:cs="Times New Roman"/>
        </w:rPr>
        <w:t>Lastly</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application</w:t>
      </w:r>
      <w:proofErr w:type="spellEnd"/>
      <w:r w:rsidR="00A61752" w:rsidRPr="00705170">
        <w:rPr>
          <w:rFonts w:ascii="Times New Roman" w:hAnsi="Times New Roman" w:cs="Times New Roman"/>
        </w:rPr>
        <w:t xml:space="preserve"> of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third</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situation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that</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may</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give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rise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to</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parent</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liability</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breach</w:t>
      </w:r>
      <w:proofErr w:type="spellEnd"/>
      <w:r w:rsidR="00A61752" w:rsidRPr="00705170">
        <w:rPr>
          <w:rFonts w:ascii="Times New Roman" w:hAnsi="Times New Roman" w:cs="Times New Roman"/>
        </w:rPr>
        <w:t xml:space="preserve"> of </w:t>
      </w:r>
      <w:proofErr w:type="spellStart"/>
      <w:r w:rsidR="00A61752" w:rsidRPr="00705170">
        <w:rPr>
          <w:rFonts w:ascii="Times New Roman" w:hAnsi="Times New Roman" w:cs="Times New Roman"/>
        </w:rPr>
        <w:t>trust</w:t>
      </w:r>
      <w:proofErr w:type="spellEnd"/>
      <w:r w:rsidR="00A61752" w:rsidRPr="00705170">
        <w:rPr>
          <w:rFonts w:ascii="Times New Roman" w:hAnsi="Times New Roman" w:cs="Times New Roman"/>
        </w:rPr>
        <w:t xml:space="preserve">) is </w:t>
      </w:r>
      <w:proofErr w:type="spellStart"/>
      <w:r w:rsidR="00A61752" w:rsidRPr="00705170">
        <w:rPr>
          <w:rFonts w:ascii="Times New Roman" w:hAnsi="Times New Roman" w:cs="Times New Roman"/>
        </w:rPr>
        <w:t>ineffective</w:t>
      </w:r>
      <w:proofErr w:type="spellEnd"/>
      <w:r w:rsidR="00A61752" w:rsidRPr="00705170">
        <w:rPr>
          <w:rFonts w:ascii="Times New Roman" w:hAnsi="Times New Roman" w:cs="Times New Roman"/>
        </w:rPr>
        <w:t xml:space="preserve"> in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context</w:t>
      </w:r>
      <w:proofErr w:type="spellEnd"/>
      <w:r w:rsidR="00A61752" w:rsidRPr="00705170">
        <w:rPr>
          <w:rFonts w:ascii="Times New Roman" w:hAnsi="Times New Roman" w:cs="Times New Roman"/>
        </w:rPr>
        <w:t xml:space="preserve"> of </w:t>
      </w:r>
      <w:proofErr w:type="spellStart"/>
      <w:r w:rsidR="00A61752" w:rsidRPr="00705170">
        <w:rPr>
          <w:rFonts w:ascii="Times New Roman" w:hAnsi="Times New Roman" w:cs="Times New Roman"/>
        </w:rPr>
        <w:t>non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pecuniary</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private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benefit</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extractions</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To</w:t>
      </w:r>
      <w:proofErr w:type="spellEnd"/>
      <w:r w:rsidR="00A61752" w:rsidRPr="00705170">
        <w:rPr>
          <w:rFonts w:ascii="Times New Roman" w:hAnsi="Times New Roman" w:cs="Times New Roman"/>
        </w:rPr>
        <w:t xml:space="preserve"> start </w:t>
      </w:r>
      <w:proofErr w:type="spellStart"/>
      <w:r w:rsidR="00A61752" w:rsidRPr="00705170">
        <w:rPr>
          <w:rFonts w:ascii="Times New Roman" w:hAnsi="Times New Roman" w:cs="Times New Roman"/>
        </w:rPr>
        <w:t>with</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non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pecuniary</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private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benefit</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extraction</w:t>
      </w:r>
      <w:proofErr w:type="spellEnd"/>
      <w:r w:rsidR="00A61752" w:rsidRPr="00705170">
        <w:rPr>
          <w:rFonts w:ascii="Times New Roman" w:hAnsi="Times New Roman" w:cs="Times New Roman"/>
        </w:rPr>
        <w:t xml:space="preserve"> can </w:t>
      </w:r>
      <w:proofErr w:type="gramStart"/>
      <w:r w:rsidR="00A61752" w:rsidRPr="00705170">
        <w:rPr>
          <w:rFonts w:ascii="Times New Roman" w:hAnsi="Times New Roman" w:cs="Times New Roman"/>
        </w:rPr>
        <w:t>done</w:t>
      </w:r>
      <w:proofErr w:type="gram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without</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involvement</w:t>
      </w:r>
      <w:proofErr w:type="spellEnd"/>
      <w:r w:rsidR="00A61752" w:rsidRPr="00705170">
        <w:rPr>
          <w:rFonts w:ascii="Times New Roman" w:hAnsi="Times New Roman" w:cs="Times New Roman"/>
        </w:rPr>
        <w:t xml:space="preserve"> of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corporation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itself</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In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other</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words</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for</w:t>
      </w:r>
      <w:proofErr w:type="spellEnd"/>
      <w:r w:rsidR="00A61752" w:rsidRPr="00705170">
        <w:rPr>
          <w:rFonts w:ascii="Times New Roman" w:hAnsi="Times New Roman" w:cs="Times New Roman"/>
        </w:rPr>
        <w:t xml:space="preserve"> a </w:t>
      </w:r>
      <w:proofErr w:type="spellStart"/>
      <w:r w:rsidR="00A61752" w:rsidRPr="00705170">
        <w:rPr>
          <w:rFonts w:ascii="Times New Roman" w:hAnsi="Times New Roman" w:cs="Times New Roman"/>
        </w:rPr>
        <w:t>shareholder</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to</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extract</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private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non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pecuniary</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benefits</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corporation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does</w:t>
      </w:r>
      <w:proofErr w:type="spellEnd"/>
      <w:r w:rsidR="00A61752" w:rsidRPr="00705170">
        <w:rPr>
          <w:rFonts w:ascii="Times New Roman" w:hAnsi="Times New Roman" w:cs="Times New Roman"/>
        </w:rPr>
        <w:t xml:space="preserve"> not </w:t>
      </w:r>
      <w:proofErr w:type="spellStart"/>
      <w:r w:rsidR="00A61752" w:rsidRPr="00705170">
        <w:rPr>
          <w:rFonts w:ascii="Times New Roman" w:hAnsi="Times New Roman" w:cs="Times New Roman"/>
        </w:rPr>
        <w:t>have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to</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engage</w:t>
      </w:r>
      <w:proofErr w:type="spellEnd"/>
      <w:r w:rsidR="00A61752" w:rsidRPr="00705170">
        <w:rPr>
          <w:rFonts w:ascii="Times New Roman" w:hAnsi="Times New Roman" w:cs="Times New Roman"/>
        </w:rPr>
        <w:t xml:space="preserve"> in </w:t>
      </w:r>
      <w:proofErr w:type="spellStart"/>
      <w:r w:rsidR="00A61752" w:rsidRPr="00705170">
        <w:rPr>
          <w:rFonts w:ascii="Times New Roman" w:hAnsi="Times New Roman" w:cs="Times New Roman"/>
        </w:rPr>
        <w:t>any</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transaction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with</w:t>
      </w:r>
      <w:proofErr w:type="spellEnd"/>
      <w:r w:rsidR="00A61752" w:rsidRPr="00705170">
        <w:rPr>
          <w:rFonts w:ascii="Times New Roman" w:hAnsi="Times New Roman" w:cs="Times New Roman"/>
        </w:rPr>
        <w:t xml:space="preserve"> a </w:t>
      </w:r>
      <w:proofErr w:type="spellStart"/>
      <w:r w:rsidR="00A61752" w:rsidRPr="00705170">
        <w:rPr>
          <w:rFonts w:ascii="Times New Roman" w:hAnsi="Times New Roman" w:cs="Times New Roman"/>
        </w:rPr>
        <w:t>third</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party</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and</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shareholder</w:t>
      </w:r>
      <w:proofErr w:type="spellEnd"/>
      <w:r w:rsidR="00A61752" w:rsidRPr="00705170">
        <w:rPr>
          <w:rFonts w:ascii="Times New Roman" w:hAnsi="Times New Roman" w:cs="Times New Roman"/>
        </w:rPr>
        <w:t xml:space="preserve"> can </w:t>
      </w:r>
      <w:proofErr w:type="spellStart"/>
      <w:r w:rsidR="00A61752" w:rsidRPr="00705170">
        <w:rPr>
          <w:rFonts w:ascii="Times New Roman" w:hAnsi="Times New Roman" w:cs="Times New Roman"/>
        </w:rPr>
        <w:t>d</w:t>
      </w:r>
      <w:r w:rsidR="005D0D82" w:rsidRPr="00705170">
        <w:rPr>
          <w:rFonts w:ascii="Times New Roman" w:hAnsi="Times New Roman" w:cs="Times New Roman"/>
        </w:rPr>
        <w:t>erive</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the</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benefit</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via</w:t>
      </w:r>
      <w:proofErr w:type="spellEnd"/>
      <w:r w:rsidR="005D0D82" w:rsidRPr="00705170">
        <w:rPr>
          <w:rFonts w:ascii="Times New Roman" w:hAnsi="Times New Roman" w:cs="Times New Roman"/>
        </w:rPr>
        <w:t xml:space="preserve"> an </w:t>
      </w:r>
      <w:proofErr w:type="spellStart"/>
      <w:r w:rsidR="005D0D82" w:rsidRPr="00705170">
        <w:rPr>
          <w:rFonts w:ascii="Times New Roman" w:hAnsi="Times New Roman" w:cs="Times New Roman"/>
        </w:rPr>
        <w:t>external</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undertaking</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In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addition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to</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this</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even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if</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corporation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engages</w:t>
      </w:r>
      <w:proofErr w:type="spellEnd"/>
      <w:r w:rsidR="00A61752" w:rsidRPr="00705170">
        <w:rPr>
          <w:rFonts w:ascii="Times New Roman" w:hAnsi="Times New Roman" w:cs="Times New Roman"/>
        </w:rPr>
        <w:t xml:space="preserve"> in a </w:t>
      </w:r>
      <w:proofErr w:type="spellStart"/>
      <w:r w:rsidR="00A61752" w:rsidRPr="00705170">
        <w:rPr>
          <w:rFonts w:ascii="Times New Roman" w:hAnsi="Times New Roman" w:cs="Times New Roman"/>
        </w:rPr>
        <w:t>transaction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with</w:t>
      </w:r>
      <w:proofErr w:type="spellEnd"/>
      <w:r w:rsidR="00A61752" w:rsidRPr="00705170">
        <w:rPr>
          <w:rFonts w:ascii="Times New Roman" w:hAnsi="Times New Roman" w:cs="Times New Roman"/>
        </w:rPr>
        <w:t xml:space="preserve"> a </w:t>
      </w:r>
      <w:proofErr w:type="spellStart"/>
      <w:r w:rsidR="00A61752" w:rsidRPr="00705170">
        <w:rPr>
          <w:rFonts w:ascii="Times New Roman" w:hAnsi="Times New Roman" w:cs="Times New Roman"/>
        </w:rPr>
        <w:t>third</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party</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shareholder</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does</w:t>
      </w:r>
      <w:proofErr w:type="spellEnd"/>
      <w:r w:rsidR="00A61752" w:rsidRPr="00705170">
        <w:rPr>
          <w:rFonts w:ascii="Times New Roman" w:hAnsi="Times New Roman" w:cs="Times New Roman"/>
        </w:rPr>
        <w:t xml:space="preserve"> not </w:t>
      </w:r>
      <w:proofErr w:type="spellStart"/>
      <w:r w:rsidR="00A61752" w:rsidRPr="00705170">
        <w:rPr>
          <w:rFonts w:ascii="Times New Roman" w:hAnsi="Times New Roman" w:cs="Times New Roman"/>
        </w:rPr>
        <w:t>need</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to</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have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third</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party</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induced</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by</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corporation</w:t>
      </w:r>
      <w:proofErr w:type="spellEnd"/>
      <w:r w:rsidR="002F4752" w:rsidRPr="00705170">
        <w:rPr>
          <w:rFonts w:ascii="Times New Roman" w:hAnsi="Times New Roman" w:cs="Times New Roman"/>
        </w:rPr>
        <w:t xml:space="preserve"> </w:t>
      </w:r>
      <w:proofErr w:type="spellStart"/>
      <w:r w:rsidR="002F4752" w:rsidRPr="00705170">
        <w:rPr>
          <w:rFonts w:ascii="Times New Roman" w:hAnsi="Times New Roman" w:cs="Times New Roman"/>
        </w:rPr>
        <w:t>to</w:t>
      </w:r>
      <w:proofErr w:type="spellEnd"/>
      <w:r w:rsidR="002F4752" w:rsidRPr="00705170">
        <w:rPr>
          <w:rFonts w:ascii="Times New Roman" w:hAnsi="Times New Roman" w:cs="Times New Roman"/>
        </w:rPr>
        <w:t xml:space="preserve"> </w:t>
      </w:r>
      <w:proofErr w:type="spellStart"/>
      <w:r w:rsidR="002F4752" w:rsidRPr="00705170">
        <w:rPr>
          <w:rFonts w:ascii="Times New Roman" w:hAnsi="Times New Roman" w:cs="Times New Roman"/>
        </w:rPr>
        <w:t>extract</w:t>
      </w:r>
      <w:proofErr w:type="spellEnd"/>
      <w:r w:rsidR="002F4752" w:rsidRPr="00705170">
        <w:rPr>
          <w:rFonts w:ascii="Times New Roman" w:hAnsi="Times New Roman" w:cs="Times New Roman"/>
        </w:rPr>
        <w:t xml:space="preserve"> </w:t>
      </w:r>
      <w:proofErr w:type="spellStart"/>
      <w:r w:rsidR="002F4752" w:rsidRPr="00705170">
        <w:rPr>
          <w:rFonts w:ascii="Times New Roman" w:hAnsi="Times New Roman" w:cs="Times New Roman"/>
        </w:rPr>
        <w:t>non</w:t>
      </w:r>
      <w:proofErr w:type="spellEnd"/>
      <w:r w:rsidR="002F4752" w:rsidRPr="00705170">
        <w:rPr>
          <w:rFonts w:ascii="Times New Roman" w:hAnsi="Times New Roman" w:cs="Times New Roman"/>
        </w:rPr>
        <w:t xml:space="preserve">- </w:t>
      </w:r>
      <w:proofErr w:type="spellStart"/>
      <w:r w:rsidR="002F4752" w:rsidRPr="00705170">
        <w:rPr>
          <w:rFonts w:ascii="Times New Roman" w:hAnsi="Times New Roman" w:cs="Times New Roman"/>
        </w:rPr>
        <w:t>pecuniary</w:t>
      </w:r>
      <w:proofErr w:type="spellEnd"/>
      <w:r w:rsidR="002F4752" w:rsidRPr="00705170">
        <w:rPr>
          <w:rFonts w:ascii="Times New Roman" w:hAnsi="Times New Roman" w:cs="Times New Roman"/>
        </w:rPr>
        <w:t xml:space="preserve"> </w:t>
      </w:r>
      <w:proofErr w:type="spellStart"/>
      <w:r w:rsidR="002F4752" w:rsidRPr="00705170">
        <w:rPr>
          <w:rFonts w:ascii="Times New Roman" w:hAnsi="Times New Roman" w:cs="Times New Roman"/>
        </w:rPr>
        <w:t>benefits</w:t>
      </w:r>
      <w:proofErr w:type="spellEnd"/>
      <w:r w:rsidR="002F4752" w:rsidRPr="00705170">
        <w:rPr>
          <w:rFonts w:ascii="Times New Roman" w:hAnsi="Times New Roman" w:cs="Times New Roman"/>
        </w:rPr>
        <w:t xml:space="preserve"> </w:t>
      </w:r>
      <w:proofErr w:type="spellStart"/>
      <w:r w:rsidR="002F4752" w:rsidRPr="00705170">
        <w:rPr>
          <w:rFonts w:ascii="Times New Roman" w:hAnsi="Times New Roman" w:cs="Times New Roman"/>
        </w:rPr>
        <w:t>from</w:t>
      </w:r>
      <w:proofErr w:type="spellEnd"/>
      <w:r w:rsidR="002F4752" w:rsidRPr="00705170">
        <w:rPr>
          <w:rFonts w:ascii="Times New Roman" w:hAnsi="Times New Roman" w:cs="Times New Roman"/>
        </w:rPr>
        <w:t xml:space="preserve"> his </w:t>
      </w:r>
      <w:proofErr w:type="spellStart"/>
      <w:r w:rsidR="002F4752" w:rsidRPr="00705170">
        <w:rPr>
          <w:rFonts w:ascii="Times New Roman" w:hAnsi="Times New Roman" w:cs="Times New Roman"/>
        </w:rPr>
        <w:t>status</w:t>
      </w:r>
      <w:proofErr w:type="spellEnd"/>
      <w:r w:rsidR="002F4752" w:rsidRPr="00705170">
        <w:rPr>
          <w:rFonts w:ascii="Times New Roman" w:hAnsi="Times New Roman" w:cs="Times New Roman"/>
        </w:rPr>
        <w:t xml:space="preserve"> as a </w:t>
      </w:r>
      <w:proofErr w:type="spellStart"/>
      <w:r w:rsidR="002F4752" w:rsidRPr="00705170">
        <w:rPr>
          <w:rFonts w:ascii="Times New Roman" w:hAnsi="Times New Roman" w:cs="Times New Roman"/>
        </w:rPr>
        <w:t>shareholder</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inducement</w:t>
      </w:r>
      <w:proofErr w:type="spellEnd"/>
      <w:r w:rsidR="00F3739D" w:rsidRPr="00705170">
        <w:rPr>
          <w:rFonts w:ascii="Times New Roman" w:hAnsi="Times New Roman" w:cs="Times New Roman"/>
        </w:rPr>
        <w:t xml:space="preserve"> of a </w:t>
      </w:r>
      <w:proofErr w:type="spellStart"/>
      <w:r w:rsidR="00F3739D" w:rsidRPr="00705170">
        <w:rPr>
          <w:rFonts w:ascii="Times New Roman" w:hAnsi="Times New Roman" w:cs="Times New Roman"/>
        </w:rPr>
        <w:t>party</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who</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would</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under</w:t>
      </w:r>
      <w:proofErr w:type="spellEnd"/>
      <w:r w:rsidR="00F3739D" w:rsidRPr="00705170">
        <w:rPr>
          <w:rFonts w:ascii="Times New Roman" w:hAnsi="Times New Roman" w:cs="Times New Roman"/>
        </w:rPr>
        <w:t xml:space="preserve"> normal </w:t>
      </w:r>
      <w:proofErr w:type="spellStart"/>
      <w:r w:rsidR="00F3739D" w:rsidRPr="00705170">
        <w:rPr>
          <w:rFonts w:ascii="Times New Roman" w:hAnsi="Times New Roman" w:cs="Times New Roman"/>
        </w:rPr>
        <w:t>circumstances</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would</w:t>
      </w:r>
      <w:proofErr w:type="spellEnd"/>
      <w:r w:rsidR="00F3739D" w:rsidRPr="00705170">
        <w:rPr>
          <w:rFonts w:ascii="Times New Roman" w:hAnsi="Times New Roman" w:cs="Times New Roman"/>
        </w:rPr>
        <w:t xml:space="preserve"> not do </w:t>
      </w:r>
      <w:proofErr w:type="spellStart"/>
      <w:r w:rsidR="00F3739D" w:rsidRPr="00705170">
        <w:rPr>
          <w:rFonts w:ascii="Times New Roman" w:hAnsi="Times New Roman" w:cs="Times New Roman"/>
        </w:rPr>
        <w:t>business</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with</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the</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corporation</w:t>
      </w:r>
      <w:proofErr w:type="spellEnd"/>
      <w:r w:rsidR="00F3739D" w:rsidRPr="00705170">
        <w:rPr>
          <w:rFonts w:ascii="Times New Roman" w:hAnsi="Times New Roman" w:cs="Times New Roman"/>
        </w:rPr>
        <w:t xml:space="preserve"> is not a </w:t>
      </w:r>
      <w:proofErr w:type="spellStart"/>
      <w:r w:rsidR="00F3739D" w:rsidRPr="00705170">
        <w:rPr>
          <w:rFonts w:ascii="Times New Roman" w:hAnsi="Times New Roman" w:cs="Times New Roman"/>
        </w:rPr>
        <w:t>prerequisite</w:t>
      </w:r>
      <w:proofErr w:type="spellEnd"/>
      <w:r w:rsidR="00F3739D" w:rsidRPr="00705170">
        <w:rPr>
          <w:rFonts w:ascii="Times New Roman" w:hAnsi="Times New Roman" w:cs="Times New Roman"/>
        </w:rPr>
        <w:t xml:space="preserve"> of </w:t>
      </w:r>
      <w:proofErr w:type="spellStart"/>
      <w:r w:rsidR="00F3739D" w:rsidRPr="00705170">
        <w:rPr>
          <w:rFonts w:ascii="Times New Roman" w:hAnsi="Times New Roman" w:cs="Times New Roman"/>
        </w:rPr>
        <w:t>non</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pecuniary</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benefit</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extraction</w:t>
      </w:r>
      <w:proofErr w:type="spellEnd"/>
      <w:r w:rsidR="00F3739D" w:rsidRPr="00705170">
        <w:rPr>
          <w:rFonts w:ascii="Times New Roman" w:hAnsi="Times New Roman" w:cs="Times New Roman"/>
        </w:rPr>
        <w:t>.</w:t>
      </w:r>
      <w:r w:rsidR="002F4752" w:rsidRPr="00705170">
        <w:rPr>
          <w:rFonts w:ascii="Times New Roman" w:hAnsi="Times New Roman" w:cs="Times New Roman"/>
        </w:rPr>
        <w:t xml:space="preserve"> </w:t>
      </w:r>
      <w:proofErr w:type="spellStart"/>
      <w:r w:rsidR="00F3739D" w:rsidRPr="00705170">
        <w:rPr>
          <w:rFonts w:ascii="Times New Roman" w:hAnsi="Times New Roman" w:cs="Times New Roman"/>
        </w:rPr>
        <w:t>Alternatively</w:t>
      </w:r>
      <w:proofErr w:type="spellEnd"/>
      <w:r w:rsidR="00F3739D" w:rsidRPr="00705170">
        <w:rPr>
          <w:rFonts w:ascii="Times New Roman" w:hAnsi="Times New Roman" w:cs="Times New Roman"/>
        </w:rPr>
        <w:t>, h</w:t>
      </w:r>
      <w:r w:rsidR="002F4752" w:rsidRPr="00705170">
        <w:rPr>
          <w:rFonts w:ascii="Times New Roman" w:hAnsi="Times New Roman" w:cs="Times New Roman"/>
        </w:rPr>
        <w:t xml:space="preserve">e can </w:t>
      </w:r>
      <w:proofErr w:type="spellStart"/>
      <w:r w:rsidR="002F4752" w:rsidRPr="00705170">
        <w:rPr>
          <w:rFonts w:ascii="Times New Roman" w:hAnsi="Times New Roman" w:cs="Times New Roman"/>
        </w:rPr>
        <w:t>simp</w:t>
      </w:r>
      <w:r w:rsidR="005D0D82" w:rsidRPr="00705170">
        <w:rPr>
          <w:rFonts w:ascii="Times New Roman" w:hAnsi="Times New Roman" w:cs="Times New Roman"/>
        </w:rPr>
        <w:t>ly</w:t>
      </w:r>
      <w:proofErr w:type="spellEnd"/>
      <w:r w:rsidR="005D0D82" w:rsidRPr="00705170">
        <w:rPr>
          <w:rFonts w:ascii="Times New Roman" w:hAnsi="Times New Roman" w:cs="Times New Roman"/>
        </w:rPr>
        <w:t xml:space="preserve"> </w:t>
      </w:r>
      <w:proofErr w:type="spellStart"/>
      <w:r w:rsidR="005D0D82" w:rsidRPr="00705170">
        <w:rPr>
          <w:rFonts w:ascii="Times New Roman" w:hAnsi="Times New Roman" w:cs="Times New Roman"/>
        </w:rPr>
        <w:t>extract</w:t>
      </w:r>
      <w:proofErr w:type="spellEnd"/>
      <w:r w:rsidR="005D0D82" w:rsidRPr="00705170">
        <w:rPr>
          <w:rFonts w:ascii="Times New Roman" w:hAnsi="Times New Roman" w:cs="Times New Roman"/>
        </w:rPr>
        <w:t xml:space="preserve"> it </w:t>
      </w:r>
      <w:proofErr w:type="spellStart"/>
      <w:r w:rsidR="005D0D82" w:rsidRPr="00705170">
        <w:rPr>
          <w:rFonts w:ascii="Times New Roman" w:hAnsi="Times New Roman" w:cs="Times New Roman"/>
        </w:rPr>
        <w:t>through</w:t>
      </w:r>
      <w:proofErr w:type="spellEnd"/>
      <w:r w:rsidR="005D0D82" w:rsidRPr="00705170">
        <w:rPr>
          <w:rFonts w:ascii="Times New Roman" w:hAnsi="Times New Roman" w:cs="Times New Roman"/>
        </w:rPr>
        <w:t xml:space="preserve"> an </w:t>
      </w:r>
      <w:proofErr w:type="spellStart"/>
      <w:r w:rsidR="005D0D82" w:rsidRPr="00705170">
        <w:rPr>
          <w:rFonts w:ascii="Times New Roman" w:hAnsi="Times New Roman" w:cs="Times New Roman"/>
        </w:rPr>
        <w:t>external</w:t>
      </w:r>
      <w:proofErr w:type="spellEnd"/>
      <w:r w:rsidR="002F4752" w:rsidRPr="00705170">
        <w:rPr>
          <w:rFonts w:ascii="Times New Roman" w:hAnsi="Times New Roman" w:cs="Times New Roman"/>
        </w:rPr>
        <w:t xml:space="preserve"> </w:t>
      </w:r>
      <w:proofErr w:type="spellStart"/>
      <w:r w:rsidR="002F4752" w:rsidRPr="00705170">
        <w:rPr>
          <w:rFonts w:ascii="Times New Roman" w:hAnsi="Times New Roman" w:cs="Times New Roman"/>
        </w:rPr>
        <w:t>undertaking</w:t>
      </w:r>
      <w:proofErr w:type="spellEnd"/>
      <w:r w:rsidR="00136A03" w:rsidRPr="00705170">
        <w:rPr>
          <w:rFonts w:ascii="Times New Roman" w:hAnsi="Times New Roman" w:cs="Times New Roman"/>
        </w:rPr>
        <w:t xml:space="preserve"> </w:t>
      </w:r>
      <w:proofErr w:type="spellStart"/>
      <w:r w:rsidR="00136A03" w:rsidRPr="00705170">
        <w:rPr>
          <w:rFonts w:ascii="Times New Roman" w:hAnsi="Times New Roman" w:cs="Times New Roman"/>
        </w:rPr>
        <w:t>without</w:t>
      </w:r>
      <w:proofErr w:type="spellEnd"/>
      <w:r w:rsidR="00136A03" w:rsidRPr="00705170">
        <w:rPr>
          <w:rFonts w:ascii="Times New Roman" w:hAnsi="Times New Roman" w:cs="Times New Roman"/>
        </w:rPr>
        <w:t xml:space="preserve"> </w:t>
      </w:r>
      <w:proofErr w:type="spellStart"/>
      <w:r w:rsidR="00136A03" w:rsidRPr="00705170">
        <w:rPr>
          <w:rFonts w:ascii="Times New Roman" w:hAnsi="Times New Roman" w:cs="Times New Roman"/>
        </w:rPr>
        <w:t>having</w:t>
      </w:r>
      <w:proofErr w:type="spellEnd"/>
      <w:r w:rsidR="00136A03" w:rsidRPr="00705170">
        <w:rPr>
          <w:rFonts w:ascii="Times New Roman" w:hAnsi="Times New Roman" w:cs="Times New Roman"/>
        </w:rPr>
        <w:t xml:space="preserve"> </w:t>
      </w:r>
      <w:proofErr w:type="spellStart"/>
      <w:r w:rsidR="00136A03" w:rsidRPr="00705170">
        <w:rPr>
          <w:rFonts w:ascii="Times New Roman" w:hAnsi="Times New Roman" w:cs="Times New Roman"/>
        </w:rPr>
        <w:t>neither</w:t>
      </w:r>
      <w:proofErr w:type="spellEnd"/>
      <w:r w:rsidR="00136A03" w:rsidRPr="00705170">
        <w:rPr>
          <w:rFonts w:ascii="Times New Roman" w:hAnsi="Times New Roman" w:cs="Times New Roman"/>
        </w:rPr>
        <w:t xml:space="preserve"> </w:t>
      </w:r>
      <w:proofErr w:type="spellStart"/>
      <w:r w:rsidR="00136A03" w:rsidRPr="00705170">
        <w:rPr>
          <w:rFonts w:ascii="Times New Roman" w:hAnsi="Times New Roman" w:cs="Times New Roman"/>
        </w:rPr>
        <w:t>the</w:t>
      </w:r>
      <w:proofErr w:type="spellEnd"/>
      <w:r w:rsidR="00136A03" w:rsidRPr="00705170">
        <w:rPr>
          <w:rFonts w:ascii="Times New Roman" w:hAnsi="Times New Roman" w:cs="Times New Roman"/>
        </w:rPr>
        <w:t xml:space="preserve"> </w:t>
      </w:r>
      <w:proofErr w:type="spellStart"/>
      <w:r w:rsidR="00136A03" w:rsidRPr="00705170">
        <w:rPr>
          <w:rFonts w:ascii="Times New Roman" w:hAnsi="Times New Roman" w:cs="Times New Roman"/>
        </w:rPr>
        <w:t>corporation</w:t>
      </w:r>
      <w:proofErr w:type="spellEnd"/>
      <w:r w:rsidR="00136A03" w:rsidRPr="00705170">
        <w:rPr>
          <w:rFonts w:ascii="Times New Roman" w:hAnsi="Times New Roman" w:cs="Times New Roman"/>
        </w:rPr>
        <w:t xml:space="preserve"> </w:t>
      </w:r>
      <w:proofErr w:type="spellStart"/>
      <w:r w:rsidR="00136A03" w:rsidRPr="00705170">
        <w:rPr>
          <w:rFonts w:ascii="Times New Roman" w:hAnsi="Times New Roman" w:cs="Times New Roman"/>
        </w:rPr>
        <w:t>nor</w:t>
      </w:r>
      <w:proofErr w:type="spellEnd"/>
      <w:r w:rsidR="00136A03" w:rsidRPr="00705170">
        <w:rPr>
          <w:rFonts w:ascii="Times New Roman" w:hAnsi="Times New Roman" w:cs="Times New Roman"/>
        </w:rPr>
        <w:t xml:space="preserve"> </w:t>
      </w:r>
      <w:proofErr w:type="spellStart"/>
      <w:r w:rsidR="00136A03" w:rsidRPr="00705170">
        <w:rPr>
          <w:rFonts w:ascii="Times New Roman" w:hAnsi="Times New Roman" w:cs="Times New Roman"/>
        </w:rPr>
        <w:t>the</w:t>
      </w:r>
      <w:proofErr w:type="spellEnd"/>
      <w:r w:rsidR="00136A03" w:rsidRPr="00705170">
        <w:rPr>
          <w:rFonts w:ascii="Times New Roman" w:hAnsi="Times New Roman" w:cs="Times New Roman"/>
        </w:rPr>
        <w:t xml:space="preserve"> </w:t>
      </w:r>
      <w:proofErr w:type="spellStart"/>
      <w:r w:rsidR="00136A03" w:rsidRPr="00705170">
        <w:rPr>
          <w:rFonts w:ascii="Times New Roman" w:hAnsi="Times New Roman" w:cs="Times New Roman"/>
        </w:rPr>
        <w:t>third</w:t>
      </w:r>
      <w:proofErr w:type="spellEnd"/>
      <w:r w:rsidR="00136A03" w:rsidRPr="00705170">
        <w:rPr>
          <w:rFonts w:ascii="Times New Roman" w:hAnsi="Times New Roman" w:cs="Times New Roman"/>
        </w:rPr>
        <w:t xml:space="preserve"> </w:t>
      </w:r>
      <w:proofErr w:type="spellStart"/>
      <w:r w:rsidR="00136A03" w:rsidRPr="00705170">
        <w:rPr>
          <w:rFonts w:ascii="Times New Roman" w:hAnsi="Times New Roman" w:cs="Times New Roman"/>
        </w:rPr>
        <w:t>party</w:t>
      </w:r>
      <w:proofErr w:type="spellEnd"/>
      <w:r w:rsidR="00136A03" w:rsidRPr="00705170">
        <w:rPr>
          <w:rFonts w:ascii="Times New Roman" w:hAnsi="Times New Roman" w:cs="Times New Roman"/>
        </w:rPr>
        <w:t xml:space="preserve"> </w:t>
      </w:r>
      <w:proofErr w:type="spellStart"/>
      <w:r w:rsidR="00136A03" w:rsidRPr="00705170">
        <w:rPr>
          <w:rFonts w:ascii="Times New Roman" w:hAnsi="Times New Roman" w:cs="Times New Roman"/>
        </w:rPr>
        <w:t>involved</w:t>
      </w:r>
      <w:proofErr w:type="spellEnd"/>
      <w:r w:rsidR="00136A03" w:rsidRPr="00705170">
        <w:rPr>
          <w:rFonts w:ascii="Times New Roman" w:hAnsi="Times New Roman" w:cs="Times New Roman"/>
        </w:rPr>
        <w:t xml:space="preserve"> in </w:t>
      </w:r>
      <w:proofErr w:type="spellStart"/>
      <w:r w:rsidR="00136A03" w:rsidRPr="00705170">
        <w:rPr>
          <w:rFonts w:ascii="Times New Roman" w:hAnsi="Times New Roman" w:cs="Times New Roman"/>
        </w:rPr>
        <w:t>any</w:t>
      </w:r>
      <w:proofErr w:type="spellEnd"/>
      <w:r w:rsidR="00136A03" w:rsidRPr="00705170">
        <w:rPr>
          <w:rFonts w:ascii="Times New Roman" w:hAnsi="Times New Roman" w:cs="Times New Roman"/>
        </w:rPr>
        <w:t xml:space="preserve"> </w:t>
      </w:r>
      <w:proofErr w:type="spellStart"/>
      <w:r w:rsidR="00136A03" w:rsidRPr="00705170">
        <w:rPr>
          <w:rFonts w:ascii="Times New Roman" w:hAnsi="Times New Roman" w:cs="Times New Roman"/>
        </w:rPr>
        <w:t>kind</w:t>
      </w:r>
      <w:proofErr w:type="spellEnd"/>
      <w:r w:rsidR="00136A03" w:rsidRPr="00705170">
        <w:rPr>
          <w:rFonts w:ascii="Times New Roman" w:hAnsi="Times New Roman" w:cs="Times New Roman"/>
        </w:rPr>
        <w:t xml:space="preserve"> of </w:t>
      </w:r>
      <w:proofErr w:type="spellStart"/>
      <w:r w:rsidR="00136A03" w:rsidRPr="00705170">
        <w:rPr>
          <w:rFonts w:ascii="Times New Roman" w:hAnsi="Times New Roman" w:cs="Times New Roman"/>
        </w:rPr>
        <w:t>relationship</w:t>
      </w:r>
      <w:proofErr w:type="spellEnd"/>
      <w:r w:rsidR="002F4752" w:rsidRPr="00705170">
        <w:rPr>
          <w:rStyle w:val="DipnotBavurusu"/>
          <w:rFonts w:ascii="Times New Roman" w:hAnsi="Times New Roman" w:cs="Times New Roman"/>
        </w:rPr>
        <w:footnoteReference w:id="356"/>
      </w:r>
      <w:r w:rsidR="00F3739D" w:rsidRPr="00705170">
        <w:rPr>
          <w:rFonts w:ascii="Times New Roman" w:hAnsi="Times New Roman" w:cs="Times New Roman"/>
        </w:rPr>
        <w:t>.</w:t>
      </w:r>
      <w:r w:rsidR="002F4752" w:rsidRPr="00705170">
        <w:rPr>
          <w:rFonts w:ascii="Times New Roman" w:hAnsi="Times New Roman" w:cs="Times New Roman"/>
        </w:rPr>
        <w:t xml:space="preserve"> </w:t>
      </w:r>
      <w:proofErr w:type="spellStart"/>
      <w:r w:rsidR="00A61752" w:rsidRPr="00705170">
        <w:rPr>
          <w:rFonts w:ascii="Times New Roman" w:hAnsi="Times New Roman" w:cs="Times New Roman"/>
        </w:rPr>
        <w:t>Also</w:t>
      </w:r>
      <w:proofErr w:type="spellEnd"/>
      <w:r w:rsidR="00A61752" w:rsidRPr="00705170">
        <w:rPr>
          <w:rFonts w:ascii="Times New Roman" w:hAnsi="Times New Roman" w:cs="Times New Roman"/>
        </w:rPr>
        <w:t>,</w:t>
      </w:r>
      <w:r w:rsidR="00F3739D" w:rsidRPr="00705170">
        <w:rPr>
          <w:rFonts w:ascii="Times New Roman" w:hAnsi="Times New Roman" w:cs="Times New Roman"/>
        </w:rPr>
        <w:t xml:space="preserve"> it is </w:t>
      </w:r>
      <w:proofErr w:type="spellStart"/>
      <w:r w:rsidR="00F3739D" w:rsidRPr="00705170">
        <w:rPr>
          <w:rFonts w:ascii="Times New Roman" w:hAnsi="Times New Roman" w:cs="Times New Roman"/>
        </w:rPr>
        <w:t>important</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to</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note</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that</w:t>
      </w:r>
      <w:proofErr w:type="spellEnd"/>
      <w:r w:rsidR="00F3739D" w:rsidRPr="00705170">
        <w:rPr>
          <w:rFonts w:ascii="Times New Roman" w:hAnsi="Times New Roman" w:cs="Times New Roman"/>
        </w:rPr>
        <w:t xml:space="preserve"> in </w:t>
      </w:r>
      <w:proofErr w:type="spellStart"/>
      <w:r w:rsidR="00F3739D" w:rsidRPr="00705170">
        <w:rPr>
          <w:rFonts w:ascii="Times New Roman" w:hAnsi="Times New Roman" w:cs="Times New Roman"/>
        </w:rPr>
        <w:t>the</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non</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pecuniary</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extraction</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context</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shareholder’s</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reputation</w:t>
      </w:r>
      <w:proofErr w:type="spellEnd"/>
      <w:r w:rsidR="00A61752" w:rsidRPr="00705170">
        <w:rPr>
          <w:rFonts w:ascii="Times New Roman" w:hAnsi="Times New Roman" w:cs="Times New Roman"/>
        </w:rPr>
        <w:t xml:space="preserve"> is not </w:t>
      </w:r>
      <w:proofErr w:type="spellStart"/>
      <w:r w:rsidR="00A61752" w:rsidRPr="00705170">
        <w:rPr>
          <w:rFonts w:ascii="Times New Roman" w:hAnsi="Times New Roman" w:cs="Times New Roman"/>
        </w:rPr>
        <w:t>used</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to</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induce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third</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party</w:t>
      </w:r>
      <w:proofErr w:type="spellEnd"/>
      <w:r w:rsidR="00A61752" w:rsidRPr="00705170">
        <w:rPr>
          <w:rFonts w:ascii="Times New Roman" w:hAnsi="Times New Roman" w:cs="Times New Roman"/>
        </w:rPr>
        <w:t xml:space="preserve">, </w:t>
      </w:r>
      <w:proofErr w:type="spellStart"/>
      <w:r w:rsidR="00F3739D" w:rsidRPr="00705170">
        <w:rPr>
          <w:rFonts w:ascii="Times New Roman" w:hAnsi="Times New Roman" w:cs="Times New Roman"/>
        </w:rPr>
        <w:t>and</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shareholder</w:t>
      </w:r>
      <w:proofErr w:type="spellEnd"/>
      <w:r w:rsidR="00A61752" w:rsidRPr="00705170">
        <w:rPr>
          <w:rFonts w:ascii="Times New Roman" w:hAnsi="Times New Roman" w:cs="Times New Roman"/>
        </w:rPr>
        <w:t xml:space="preserve"> is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one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who</w:t>
      </w:r>
      <w:proofErr w:type="spellEnd"/>
      <w:r w:rsidR="00A61752" w:rsidRPr="00705170">
        <w:rPr>
          <w:rFonts w:ascii="Times New Roman" w:hAnsi="Times New Roman" w:cs="Times New Roman"/>
        </w:rPr>
        <w:t xml:space="preserve"> is </w:t>
      </w:r>
      <w:proofErr w:type="spellStart"/>
      <w:r w:rsidR="00A61752" w:rsidRPr="00705170">
        <w:rPr>
          <w:rFonts w:ascii="Times New Roman" w:hAnsi="Times New Roman" w:cs="Times New Roman"/>
        </w:rPr>
        <w:t>willing</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to</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use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reputation</w:t>
      </w:r>
      <w:proofErr w:type="spellEnd"/>
      <w:r w:rsidR="00A61752" w:rsidRPr="00705170">
        <w:rPr>
          <w:rFonts w:ascii="Times New Roman" w:hAnsi="Times New Roman" w:cs="Times New Roman"/>
        </w:rPr>
        <w:t xml:space="preserve"> of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corporation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In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this</w:t>
      </w:r>
      <w:proofErr w:type="spellEnd"/>
      <w:r w:rsidR="00A61752" w:rsidRPr="00705170">
        <w:rPr>
          <w:rFonts w:ascii="Times New Roman" w:hAnsi="Times New Roman" w:cs="Times New Roman"/>
        </w:rPr>
        <w:t xml:space="preserve"> sense,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usage</w:t>
      </w:r>
      <w:proofErr w:type="spellEnd"/>
      <w:r w:rsidR="00A61752" w:rsidRPr="00705170">
        <w:rPr>
          <w:rFonts w:ascii="Times New Roman" w:hAnsi="Times New Roman" w:cs="Times New Roman"/>
        </w:rPr>
        <w:t xml:space="preserve"> of </w:t>
      </w:r>
      <w:proofErr w:type="spellStart"/>
      <w:r w:rsidR="00A61752" w:rsidRPr="00705170">
        <w:rPr>
          <w:rFonts w:ascii="Times New Roman" w:hAnsi="Times New Roman" w:cs="Times New Roman"/>
        </w:rPr>
        <w:t>reputation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trust</w:t>
      </w:r>
      <w:proofErr w:type="spellEnd"/>
      <w:r w:rsidR="00A61752" w:rsidRPr="00705170">
        <w:rPr>
          <w:rFonts w:ascii="Times New Roman" w:hAnsi="Times New Roman" w:cs="Times New Roman"/>
        </w:rPr>
        <w:t xml:space="preserve">) is </w:t>
      </w:r>
      <w:proofErr w:type="spellStart"/>
      <w:r w:rsidR="00A61752" w:rsidRPr="00705170">
        <w:rPr>
          <w:rFonts w:ascii="Times New Roman" w:hAnsi="Times New Roman" w:cs="Times New Roman"/>
        </w:rPr>
        <w:t>vice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versa</w:t>
      </w:r>
      <w:proofErr w:type="spellEnd"/>
      <w:r w:rsidR="00A61752" w:rsidRPr="00705170">
        <w:rPr>
          <w:rFonts w:ascii="Times New Roman" w:hAnsi="Times New Roman" w:cs="Times New Roman"/>
        </w:rPr>
        <w:t xml:space="preserve"> in </w:t>
      </w:r>
      <w:proofErr w:type="spellStart"/>
      <w:r w:rsidR="00A61752" w:rsidRPr="00705170">
        <w:rPr>
          <w:rFonts w:ascii="Times New Roman" w:hAnsi="Times New Roman" w:cs="Times New Roman"/>
        </w:rPr>
        <w:t>the</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context</w:t>
      </w:r>
      <w:proofErr w:type="spellEnd"/>
      <w:r w:rsidR="00A61752" w:rsidRPr="00705170">
        <w:rPr>
          <w:rFonts w:ascii="Times New Roman" w:hAnsi="Times New Roman" w:cs="Times New Roman"/>
        </w:rPr>
        <w:t xml:space="preserve"> of </w:t>
      </w:r>
      <w:proofErr w:type="spellStart"/>
      <w:r w:rsidR="00A61752" w:rsidRPr="00705170">
        <w:rPr>
          <w:rFonts w:ascii="Times New Roman" w:hAnsi="Times New Roman" w:cs="Times New Roman"/>
        </w:rPr>
        <w:t>non</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pecuniary</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benefit</w:t>
      </w:r>
      <w:proofErr w:type="spellEnd"/>
      <w:r w:rsidR="00A61752" w:rsidRPr="00705170">
        <w:rPr>
          <w:rFonts w:ascii="Times New Roman" w:hAnsi="Times New Roman" w:cs="Times New Roman"/>
        </w:rPr>
        <w:t xml:space="preserve"> </w:t>
      </w:r>
      <w:proofErr w:type="spellStart"/>
      <w:r w:rsidR="00A61752" w:rsidRPr="00705170">
        <w:rPr>
          <w:rFonts w:ascii="Times New Roman" w:hAnsi="Times New Roman" w:cs="Times New Roman"/>
        </w:rPr>
        <w:t>extractions</w:t>
      </w:r>
      <w:proofErr w:type="spellEnd"/>
      <w:r w:rsidR="00A61752" w:rsidRPr="00705170">
        <w:rPr>
          <w:rFonts w:ascii="Times New Roman" w:hAnsi="Times New Roman" w:cs="Times New Roman"/>
        </w:rPr>
        <w:t>.</w:t>
      </w:r>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Therefore</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this</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third</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situation</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for</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liability</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does</w:t>
      </w:r>
      <w:proofErr w:type="spellEnd"/>
      <w:r w:rsidR="00F3739D" w:rsidRPr="00705170">
        <w:rPr>
          <w:rFonts w:ascii="Times New Roman" w:hAnsi="Times New Roman" w:cs="Times New Roman"/>
        </w:rPr>
        <w:t xml:space="preserve"> not </w:t>
      </w:r>
      <w:proofErr w:type="spellStart"/>
      <w:r w:rsidR="00F3739D" w:rsidRPr="00705170">
        <w:rPr>
          <w:rFonts w:ascii="Times New Roman" w:hAnsi="Times New Roman" w:cs="Times New Roman"/>
        </w:rPr>
        <w:t>cover</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the</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circumstances</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that</w:t>
      </w:r>
      <w:proofErr w:type="spellEnd"/>
      <w:r w:rsidR="00F3739D" w:rsidRPr="00705170">
        <w:rPr>
          <w:rFonts w:ascii="Times New Roman" w:hAnsi="Times New Roman" w:cs="Times New Roman"/>
        </w:rPr>
        <w:t xml:space="preserve"> an </w:t>
      </w:r>
      <w:proofErr w:type="spellStart"/>
      <w:r w:rsidR="00F3739D" w:rsidRPr="00705170">
        <w:rPr>
          <w:rFonts w:ascii="Times New Roman" w:hAnsi="Times New Roman" w:cs="Times New Roman"/>
        </w:rPr>
        <w:t>extraction</w:t>
      </w:r>
      <w:proofErr w:type="spellEnd"/>
      <w:r w:rsidR="00F3739D" w:rsidRPr="00705170">
        <w:rPr>
          <w:rFonts w:ascii="Times New Roman" w:hAnsi="Times New Roman" w:cs="Times New Roman"/>
        </w:rPr>
        <w:t xml:space="preserve"> can </w:t>
      </w:r>
      <w:proofErr w:type="spellStart"/>
      <w:r w:rsidR="00F3739D" w:rsidRPr="00705170">
        <w:rPr>
          <w:rFonts w:ascii="Times New Roman" w:hAnsi="Times New Roman" w:cs="Times New Roman"/>
        </w:rPr>
        <w:t>take</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place</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hence</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fails</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to</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p</w:t>
      </w:r>
      <w:r w:rsidR="00692CF8" w:rsidRPr="00705170">
        <w:rPr>
          <w:rFonts w:ascii="Times New Roman" w:hAnsi="Times New Roman" w:cs="Times New Roman"/>
        </w:rPr>
        <w:t>rovide</w:t>
      </w:r>
      <w:proofErr w:type="spellEnd"/>
      <w:r w:rsidR="00692CF8" w:rsidRPr="00705170">
        <w:rPr>
          <w:rFonts w:ascii="Times New Roman" w:hAnsi="Times New Roman" w:cs="Times New Roman"/>
        </w:rPr>
        <w:t xml:space="preserve"> </w:t>
      </w:r>
      <w:proofErr w:type="spellStart"/>
      <w:r w:rsidR="00692CF8" w:rsidRPr="00705170">
        <w:rPr>
          <w:rFonts w:ascii="Times New Roman" w:hAnsi="Times New Roman" w:cs="Times New Roman"/>
        </w:rPr>
        <w:t>adequate</w:t>
      </w:r>
      <w:proofErr w:type="spellEnd"/>
      <w:r w:rsidR="00692CF8" w:rsidRPr="00705170">
        <w:rPr>
          <w:rFonts w:ascii="Times New Roman" w:hAnsi="Times New Roman" w:cs="Times New Roman"/>
        </w:rPr>
        <w:t xml:space="preserve"> </w:t>
      </w:r>
      <w:proofErr w:type="spellStart"/>
      <w:r w:rsidR="00692CF8" w:rsidRPr="00705170">
        <w:rPr>
          <w:rFonts w:ascii="Times New Roman" w:hAnsi="Times New Roman" w:cs="Times New Roman"/>
        </w:rPr>
        <w:t>protection</w:t>
      </w:r>
      <w:proofErr w:type="spellEnd"/>
      <w:r w:rsidR="00692CF8" w:rsidRPr="00705170">
        <w:rPr>
          <w:rFonts w:ascii="Times New Roman" w:hAnsi="Times New Roman" w:cs="Times New Roman"/>
        </w:rPr>
        <w:t xml:space="preserve"> </w:t>
      </w:r>
      <w:proofErr w:type="spellStart"/>
      <w:r w:rsidR="00692CF8" w:rsidRPr="00705170">
        <w:rPr>
          <w:rFonts w:ascii="Times New Roman" w:hAnsi="Times New Roman" w:cs="Times New Roman"/>
        </w:rPr>
        <w:t>for</w:t>
      </w:r>
      <w:proofErr w:type="spellEnd"/>
      <w:r w:rsidR="00692CF8" w:rsidRPr="00705170">
        <w:rPr>
          <w:rFonts w:ascii="Times New Roman" w:hAnsi="Times New Roman" w:cs="Times New Roman"/>
        </w:rPr>
        <w:t xml:space="preserve"> </w:t>
      </w:r>
      <w:proofErr w:type="spellStart"/>
      <w:r w:rsidR="00692CF8" w:rsidRPr="00705170">
        <w:rPr>
          <w:rFonts w:ascii="Times New Roman" w:hAnsi="Times New Roman" w:cs="Times New Roman"/>
        </w:rPr>
        <w:t>t</w:t>
      </w:r>
      <w:r w:rsidR="00F3739D" w:rsidRPr="00705170">
        <w:rPr>
          <w:rFonts w:ascii="Times New Roman" w:hAnsi="Times New Roman" w:cs="Times New Roman"/>
        </w:rPr>
        <w:t>he</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minority</w:t>
      </w:r>
      <w:proofErr w:type="spellEnd"/>
      <w:r w:rsidR="00F3739D" w:rsidRPr="00705170">
        <w:rPr>
          <w:rFonts w:ascii="Times New Roman" w:hAnsi="Times New Roman" w:cs="Times New Roman"/>
        </w:rPr>
        <w:t xml:space="preserve"> </w:t>
      </w:r>
      <w:proofErr w:type="spellStart"/>
      <w:r w:rsidR="00F3739D" w:rsidRPr="00705170">
        <w:rPr>
          <w:rFonts w:ascii="Times New Roman" w:hAnsi="Times New Roman" w:cs="Times New Roman"/>
        </w:rPr>
        <w:t>shareholders</w:t>
      </w:r>
      <w:proofErr w:type="spellEnd"/>
      <w:r w:rsidR="008054FA" w:rsidRPr="00705170">
        <w:rPr>
          <w:rFonts w:ascii="Times New Roman" w:hAnsi="Times New Roman" w:cs="Times New Roman"/>
        </w:rPr>
        <w:t>.</w:t>
      </w:r>
      <w:r w:rsidR="00DB468A" w:rsidRPr="00705170">
        <w:rPr>
          <w:rFonts w:ascii="Times New Roman" w:hAnsi="Times New Roman" w:cs="Times New Roman"/>
          <w:color w:val="FF0000"/>
        </w:rPr>
        <w:t xml:space="preserve"> </w:t>
      </w:r>
    </w:p>
    <w:p w14:paraId="21585461" w14:textId="51FE5FF2" w:rsidR="00DB5C10" w:rsidRPr="00705170" w:rsidRDefault="00C01441" w:rsidP="00036F1D">
      <w:pPr>
        <w:spacing w:after="240" w:line="480" w:lineRule="auto"/>
        <w:ind w:firstLine="708"/>
        <w:rPr>
          <w:rFonts w:ascii="Times New Roman" w:hAnsi="Times New Roman" w:cs="Times New Roman"/>
          <w:b/>
        </w:rPr>
      </w:pPr>
      <w:r>
        <w:rPr>
          <w:rFonts w:ascii="Times New Roman" w:hAnsi="Times New Roman" w:cs="Times New Roman"/>
          <w:b/>
        </w:rPr>
        <w:lastRenderedPageBreak/>
        <w:t>3</w:t>
      </w:r>
      <w:r w:rsidR="00A02947" w:rsidRPr="00705170">
        <w:rPr>
          <w:rFonts w:ascii="Times New Roman" w:hAnsi="Times New Roman" w:cs="Times New Roman"/>
          <w:b/>
        </w:rPr>
        <w:t xml:space="preserve">.2.3 </w:t>
      </w:r>
      <w:proofErr w:type="spellStart"/>
      <w:r w:rsidR="00A02947" w:rsidRPr="00705170">
        <w:rPr>
          <w:rFonts w:ascii="Times New Roman" w:hAnsi="Times New Roman" w:cs="Times New Roman"/>
          <w:b/>
        </w:rPr>
        <w:t>Securities</w:t>
      </w:r>
      <w:proofErr w:type="spellEnd"/>
      <w:r w:rsidR="00A02947" w:rsidRPr="00705170">
        <w:rPr>
          <w:rFonts w:ascii="Times New Roman" w:hAnsi="Times New Roman" w:cs="Times New Roman"/>
          <w:b/>
        </w:rPr>
        <w:t xml:space="preserve"> </w:t>
      </w:r>
      <w:proofErr w:type="spellStart"/>
      <w:r w:rsidR="00A02947" w:rsidRPr="00705170">
        <w:rPr>
          <w:rFonts w:ascii="Times New Roman" w:hAnsi="Times New Roman" w:cs="Times New Roman"/>
          <w:b/>
        </w:rPr>
        <w:t>Authority’s</w:t>
      </w:r>
      <w:proofErr w:type="spellEnd"/>
      <w:r w:rsidR="00A02947" w:rsidRPr="00705170">
        <w:rPr>
          <w:rFonts w:ascii="Times New Roman" w:hAnsi="Times New Roman" w:cs="Times New Roman"/>
          <w:b/>
        </w:rPr>
        <w:t xml:space="preserve"> </w:t>
      </w:r>
      <w:proofErr w:type="spellStart"/>
      <w:r w:rsidR="00A02947" w:rsidRPr="00705170">
        <w:rPr>
          <w:rFonts w:ascii="Times New Roman" w:hAnsi="Times New Roman" w:cs="Times New Roman"/>
          <w:b/>
        </w:rPr>
        <w:t>Miscellaneous</w:t>
      </w:r>
      <w:proofErr w:type="spellEnd"/>
      <w:r w:rsidR="00A02947" w:rsidRPr="00705170">
        <w:rPr>
          <w:rFonts w:ascii="Times New Roman" w:hAnsi="Times New Roman" w:cs="Times New Roman"/>
          <w:b/>
        </w:rPr>
        <w:t xml:space="preserve"> Powers</w:t>
      </w:r>
    </w:p>
    <w:p w14:paraId="79C0567D" w14:textId="6B6968E3" w:rsidR="00F3417A" w:rsidRPr="00705170" w:rsidRDefault="004575EA" w:rsidP="00F3417A">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title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securities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authority’s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miscellaneous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powers</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include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00D8417E" w:rsidRPr="00705170">
        <w:rPr>
          <w:rFonts w:ascii="Times New Roman" w:hAnsi="Times New Roman" w:cs="Times New Roman"/>
        </w:rPr>
        <w:t xml:space="preserve"> </w:t>
      </w:r>
      <w:proofErr w:type="spellStart"/>
      <w:r w:rsidR="00D8417E" w:rsidRPr="00705170">
        <w:rPr>
          <w:rFonts w:ascii="Times New Roman" w:hAnsi="Times New Roman" w:cs="Times New Roman"/>
        </w:rPr>
        <w:t>enforcemen</w:t>
      </w:r>
      <w:r w:rsidR="0085232F" w:rsidRPr="00705170">
        <w:rPr>
          <w:rFonts w:ascii="Times New Roman" w:hAnsi="Times New Roman" w:cs="Times New Roman"/>
        </w:rPr>
        <w:t>t</w:t>
      </w:r>
      <w:proofErr w:type="spellEnd"/>
      <w:r w:rsidR="0085232F" w:rsidRPr="00705170">
        <w:rPr>
          <w:rFonts w:ascii="Times New Roman" w:hAnsi="Times New Roman" w:cs="Times New Roman"/>
        </w:rPr>
        <w:t xml:space="preserve"> </w:t>
      </w:r>
      <w:proofErr w:type="spellStart"/>
      <w:r w:rsidR="0085232F" w:rsidRPr="00705170">
        <w:rPr>
          <w:rFonts w:ascii="Times New Roman" w:hAnsi="Times New Roman" w:cs="Times New Roman"/>
        </w:rPr>
        <w:t>measures</w:t>
      </w:r>
      <w:proofErr w:type="spellEnd"/>
      <w:r w:rsidR="0085232F" w:rsidRPr="00705170">
        <w:rPr>
          <w:rFonts w:ascii="Times New Roman" w:hAnsi="Times New Roman" w:cs="Times New Roman"/>
        </w:rPr>
        <w:t xml:space="preserve"> of </w:t>
      </w:r>
      <w:proofErr w:type="spellStart"/>
      <w:r w:rsidR="0085232F" w:rsidRPr="00705170">
        <w:rPr>
          <w:rFonts w:ascii="Times New Roman" w:hAnsi="Times New Roman" w:cs="Times New Roman"/>
        </w:rPr>
        <w:t>the</w:t>
      </w:r>
      <w:proofErr w:type="spellEnd"/>
      <w:r w:rsidR="0085232F" w:rsidRPr="00705170">
        <w:rPr>
          <w:rFonts w:ascii="Times New Roman" w:hAnsi="Times New Roman" w:cs="Times New Roman"/>
        </w:rPr>
        <w:t xml:space="preserve"> CMB</w:t>
      </w:r>
      <w:r w:rsidRPr="00705170">
        <w:rPr>
          <w:rFonts w:ascii="Times New Roman" w:hAnsi="Times New Roman" w:cs="Times New Roman"/>
        </w:rPr>
        <w:t xml:space="preserve"> </w:t>
      </w:r>
      <w:proofErr w:type="spellStart"/>
      <w:r w:rsidRPr="00705170">
        <w:rPr>
          <w:rFonts w:ascii="Times New Roman" w:hAnsi="Times New Roman" w:cs="Times New Roman"/>
        </w:rPr>
        <w:t>under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CML,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purposes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study</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used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refer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authority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Article</w:t>
      </w:r>
      <w:proofErr w:type="spellEnd"/>
      <w:r w:rsidRPr="00705170">
        <w:rPr>
          <w:rFonts w:ascii="Times New Roman" w:hAnsi="Times New Roman" w:cs="Times New Roman"/>
        </w:rPr>
        <w:t xml:space="preserve"> 92</w:t>
      </w:r>
      <w:r w:rsidR="008C6864" w:rsidRPr="00705170">
        <w:rPr>
          <w:rStyle w:val="DipnotBavurusu"/>
          <w:rFonts w:ascii="Times New Roman" w:hAnsi="Times New Roman" w:cs="Times New Roman"/>
        </w:rPr>
        <w:footnoteReference w:id="357"/>
      </w:r>
      <w:r w:rsidRPr="00705170">
        <w:rPr>
          <w:rFonts w:ascii="Times New Roman" w:hAnsi="Times New Roman" w:cs="Times New Roman"/>
        </w:rPr>
        <w:t xml:space="preserve">. </w:t>
      </w:r>
      <w:proofErr w:type="spellStart"/>
      <w:r w:rsidR="00F72AD1" w:rsidRPr="00705170">
        <w:rPr>
          <w:rFonts w:ascii="Times New Roman" w:hAnsi="Times New Roman" w:cs="Times New Roman"/>
        </w:rPr>
        <w:t>According</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to</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the</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Official</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Comment</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to</w:t>
      </w:r>
      <w:proofErr w:type="spellEnd"/>
      <w:r w:rsidR="00F72AD1" w:rsidRPr="00705170">
        <w:rPr>
          <w:rFonts w:ascii="Times New Roman" w:hAnsi="Times New Roman" w:cs="Times New Roman"/>
        </w:rPr>
        <w:t xml:space="preserve"> CML </w:t>
      </w:r>
      <w:proofErr w:type="spellStart"/>
      <w:r w:rsidR="00F72AD1" w:rsidRPr="00705170">
        <w:rPr>
          <w:rFonts w:ascii="Times New Roman" w:hAnsi="Times New Roman" w:cs="Times New Roman"/>
        </w:rPr>
        <w:t>Article</w:t>
      </w:r>
      <w:proofErr w:type="spellEnd"/>
      <w:r w:rsidR="00F72AD1" w:rsidRPr="00705170">
        <w:rPr>
          <w:rFonts w:ascii="Times New Roman" w:hAnsi="Times New Roman" w:cs="Times New Roman"/>
        </w:rPr>
        <w:t xml:space="preserve"> 92, </w:t>
      </w:r>
      <w:proofErr w:type="spellStart"/>
      <w:r w:rsidR="00F72AD1" w:rsidRPr="00705170">
        <w:rPr>
          <w:rFonts w:ascii="Times New Roman" w:hAnsi="Times New Roman" w:cs="Times New Roman"/>
        </w:rPr>
        <w:t>this</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provision</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shows</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the</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measures</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which</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the</w:t>
      </w:r>
      <w:proofErr w:type="spellEnd"/>
      <w:r w:rsidR="00F72AD1" w:rsidRPr="00705170">
        <w:rPr>
          <w:rFonts w:ascii="Times New Roman" w:hAnsi="Times New Roman" w:cs="Times New Roman"/>
        </w:rPr>
        <w:t xml:space="preserve"> CMB can </w:t>
      </w:r>
      <w:proofErr w:type="spellStart"/>
      <w:r w:rsidR="00F72AD1" w:rsidRPr="00705170">
        <w:rPr>
          <w:rFonts w:ascii="Times New Roman" w:hAnsi="Times New Roman" w:cs="Times New Roman"/>
        </w:rPr>
        <w:t>apply</w:t>
      </w:r>
      <w:proofErr w:type="spellEnd"/>
      <w:r w:rsidR="00F72AD1" w:rsidRPr="00705170">
        <w:rPr>
          <w:rFonts w:ascii="Times New Roman" w:hAnsi="Times New Roman" w:cs="Times New Roman"/>
        </w:rPr>
        <w:t xml:space="preserve"> in </w:t>
      </w:r>
      <w:proofErr w:type="spellStart"/>
      <w:r w:rsidR="00F72AD1" w:rsidRPr="00705170">
        <w:rPr>
          <w:rFonts w:ascii="Times New Roman" w:hAnsi="Times New Roman" w:cs="Times New Roman"/>
        </w:rPr>
        <w:t>cases</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concerning</w:t>
      </w:r>
      <w:proofErr w:type="spellEnd"/>
      <w:r w:rsidR="00F72AD1" w:rsidRPr="00705170">
        <w:rPr>
          <w:rFonts w:ascii="Times New Roman" w:hAnsi="Times New Roman" w:cs="Times New Roman"/>
        </w:rPr>
        <w:t xml:space="preserve"> </w:t>
      </w:r>
      <w:r w:rsidRPr="00705170">
        <w:rPr>
          <w:rFonts w:ascii="Times New Roman" w:hAnsi="Times New Roman" w:cs="Times New Roman"/>
        </w:rPr>
        <w:t>“</w:t>
      </w:r>
      <w:proofErr w:type="spellStart"/>
      <w:r w:rsidR="00F72AD1" w:rsidRPr="00705170">
        <w:rPr>
          <w:rFonts w:ascii="Times New Roman" w:hAnsi="Times New Roman" w:cs="Times New Roman"/>
        </w:rPr>
        <w:t>authorized</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capital</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system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refers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board of </w:t>
      </w:r>
      <w:proofErr w:type="spellStart"/>
      <w:r w:rsidRPr="00705170">
        <w:rPr>
          <w:rFonts w:ascii="Times New Roman" w:hAnsi="Times New Roman" w:cs="Times New Roman"/>
        </w:rPr>
        <w:t>directors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authority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increase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resolution</w:t>
      </w:r>
      <w:proofErr w:type="spellEnd"/>
      <w:r w:rsidR="00F2748A" w:rsidRPr="00705170">
        <w:rPr>
          <w:rFonts w:ascii="Times New Roman" w:hAnsi="Times New Roman" w:cs="Times New Roman"/>
        </w:rPr>
        <w:t xml:space="preserve"> (TCC </w:t>
      </w:r>
      <w:proofErr w:type="spellStart"/>
      <w:r w:rsidR="00F2748A" w:rsidRPr="00705170">
        <w:rPr>
          <w:rFonts w:ascii="Times New Roman" w:hAnsi="Times New Roman" w:cs="Times New Roman"/>
        </w:rPr>
        <w:t>Article</w:t>
      </w:r>
      <w:proofErr w:type="spellEnd"/>
      <w:r w:rsidR="00F2748A" w:rsidRPr="00705170">
        <w:rPr>
          <w:rFonts w:ascii="Times New Roman" w:hAnsi="Times New Roman" w:cs="Times New Roman"/>
        </w:rPr>
        <w:t xml:space="preserve"> 456(2))</w:t>
      </w:r>
      <w:r w:rsidRPr="00705170">
        <w:rPr>
          <w:rFonts w:ascii="Times New Roman" w:hAnsi="Times New Roman" w:cs="Times New Roman"/>
        </w:rPr>
        <w:t xml:space="preserve">, </w:t>
      </w:r>
      <w:proofErr w:type="spellStart"/>
      <w:r w:rsidRPr="00705170">
        <w:rPr>
          <w:rFonts w:ascii="Times New Roman" w:hAnsi="Times New Roman" w:cs="Times New Roman"/>
        </w:rPr>
        <w:t>without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00F2748A" w:rsidRPr="00705170">
        <w:rPr>
          <w:rFonts w:ascii="Times New Roman" w:hAnsi="Times New Roman" w:cs="Times New Roman"/>
        </w:rPr>
        <w:t xml:space="preserve"> </w:t>
      </w:r>
      <w:proofErr w:type="spellStart"/>
      <w:r w:rsidRPr="00705170">
        <w:rPr>
          <w:rFonts w:ascii="Times New Roman" w:hAnsi="Times New Roman" w:cs="Times New Roman"/>
        </w:rPr>
        <w:t>approval</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opposed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subscribed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increase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decision</w:t>
      </w:r>
      <w:proofErr w:type="spellEnd"/>
      <w:r w:rsidRPr="00705170">
        <w:rPr>
          <w:rFonts w:ascii="Times New Roman" w:hAnsi="Times New Roman" w:cs="Times New Roman"/>
        </w:rPr>
        <w:t xml:space="preserve"> </w:t>
      </w:r>
      <w:r w:rsidR="000D4C3A" w:rsidRPr="00705170">
        <w:rPr>
          <w:rFonts w:ascii="Times New Roman" w:hAnsi="Times New Roman" w:cs="Times New Roman"/>
        </w:rPr>
        <w:t xml:space="preserve">is </w:t>
      </w:r>
      <w:r w:rsidRPr="00705170">
        <w:rPr>
          <w:rFonts w:ascii="Times New Roman" w:hAnsi="Times New Roman" w:cs="Times New Roman"/>
        </w:rPr>
        <w:t xml:space="preserve">in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monopoly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relying</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grant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authority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articles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incorporation</w:t>
      </w:r>
      <w:proofErr w:type="spellEnd"/>
      <w:r w:rsidRPr="00705170">
        <w:rPr>
          <w:rFonts w:ascii="Times New Roman" w:hAnsi="Times New Roman" w:cs="Times New Roman"/>
        </w:rPr>
        <w:t xml:space="preserve"> (TCC </w:t>
      </w:r>
      <w:proofErr w:type="spellStart"/>
      <w:r w:rsidRPr="00705170">
        <w:rPr>
          <w:rFonts w:ascii="Times New Roman" w:hAnsi="Times New Roman" w:cs="Times New Roman"/>
        </w:rPr>
        <w:t>Article</w:t>
      </w:r>
      <w:proofErr w:type="spellEnd"/>
      <w:r w:rsidRPr="00705170">
        <w:rPr>
          <w:rFonts w:ascii="Times New Roman" w:hAnsi="Times New Roman" w:cs="Times New Roman"/>
        </w:rPr>
        <w:t xml:space="preserve"> </w:t>
      </w:r>
      <w:r w:rsidR="00F2748A" w:rsidRPr="00705170">
        <w:rPr>
          <w:rFonts w:ascii="Times New Roman" w:hAnsi="Times New Roman" w:cs="Times New Roman"/>
        </w:rPr>
        <w:t>460</w:t>
      </w:r>
      <w:r w:rsidRPr="00705170">
        <w:rPr>
          <w:rFonts w:ascii="Times New Roman" w:hAnsi="Times New Roman" w:cs="Times New Roman"/>
        </w:rPr>
        <w:t>)</w:t>
      </w:r>
      <w:r w:rsidR="00F72AD1"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official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it can be </w:t>
      </w:r>
      <w:proofErr w:type="spellStart"/>
      <w:r w:rsidRPr="00705170">
        <w:rPr>
          <w:rFonts w:ascii="Times New Roman" w:hAnsi="Times New Roman" w:cs="Times New Roman"/>
        </w:rPr>
        <w:t>applied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example</w:t>
      </w:r>
      <w:proofErr w:type="spellEnd"/>
      <w:r w:rsidR="00F72AD1" w:rsidRPr="00705170">
        <w:rPr>
          <w:rFonts w:ascii="Times New Roman" w:hAnsi="Times New Roman" w:cs="Times New Roman"/>
        </w:rPr>
        <w:t xml:space="preserve">, </w:t>
      </w:r>
      <w:proofErr w:type="spellStart"/>
      <w:r w:rsidR="00EB5FF3" w:rsidRPr="00705170">
        <w:rPr>
          <w:rFonts w:ascii="Times New Roman" w:hAnsi="Times New Roman" w:cs="Times New Roman"/>
        </w:rPr>
        <w:t>to</w:t>
      </w:r>
      <w:proofErr w:type="spellEnd"/>
      <w:r w:rsidR="00EB5FF3" w:rsidRPr="00705170">
        <w:rPr>
          <w:rFonts w:ascii="Times New Roman" w:hAnsi="Times New Roman" w:cs="Times New Roman"/>
        </w:rPr>
        <w:t xml:space="preserve"> </w:t>
      </w:r>
      <w:proofErr w:type="spellStart"/>
      <w:r w:rsidR="00EB5FF3" w:rsidRPr="00705170">
        <w:rPr>
          <w:rFonts w:ascii="Times New Roman" w:hAnsi="Times New Roman" w:cs="Times New Roman"/>
        </w:rPr>
        <w:t>conceal</w:t>
      </w:r>
      <w:r w:rsidRPr="00705170">
        <w:rPr>
          <w:rFonts w:ascii="Times New Roman" w:hAnsi="Times New Roman" w:cs="Times New Roman"/>
        </w:rPr>
        <w: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distribution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surprisingly</w:t>
      </w:r>
      <w:proofErr w:type="spellEnd"/>
      <w:r w:rsidRPr="00705170">
        <w:rPr>
          <w:rFonts w:ascii="Times New Roman" w:hAnsi="Times New Roman" w:cs="Times New Roman"/>
        </w:rPr>
        <w:t xml:space="preserve">, </w:t>
      </w:r>
      <w:proofErr w:type="spellStart"/>
      <w:r w:rsidR="00F72AD1" w:rsidRPr="00705170">
        <w:rPr>
          <w:rFonts w:ascii="Times New Roman" w:hAnsi="Times New Roman" w:cs="Times New Roman"/>
        </w:rPr>
        <w:t>A</w:t>
      </w:r>
      <w:r w:rsidRPr="00705170">
        <w:rPr>
          <w:rFonts w:ascii="Times New Roman" w:hAnsi="Times New Roman" w:cs="Times New Roman"/>
        </w:rPr>
        <w:t>rticle</w:t>
      </w:r>
      <w:proofErr w:type="spellEnd"/>
      <w:r w:rsidRPr="00705170">
        <w:rPr>
          <w:rFonts w:ascii="Times New Roman" w:hAnsi="Times New Roman" w:cs="Times New Roman"/>
        </w:rPr>
        <w:t xml:space="preserve"> 94(2)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CML </w:t>
      </w:r>
      <w:proofErr w:type="spellStart"/>
      <w:r w:rsidRPr="00705170">
        <w:rPr>
          <w:rFonts w:ascii="Times New Roman" w:hAnsi="Times New Roman" w:cs="Times New Roman"/>
        </w:rPr>
        <w:t>explicitly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states</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that</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Article</w:t>
      </w:r>
      <w:proofErr w:type="spellEnd"/>
      <w:r w:rsidR="00F72AD1" w:rsidRPr="00705170">
        <w:rPr>
          <w:rFonts w:ascii="Times New Roman" w:hAnsi="Times New Roman" w:cs="Times New Roman"/>
        </w:rPr>
        <w:t xml:space="preserve"> 92 </w:t>
      </w:r>
      <w:r w:rsidRPr="00705170">
        <w:rPr>
          <w:rFonts w:ascii="Times New Roman" w:hAnsi="Times New Roman" w:cs="Times New Roman"/>
        </w:rPr>
        <w:t xml:space="preserve">can be </w:t>
      </w:r>
      <w:proofErr w:type="spellStart"/>
      <w:r w:rsidRPr="00705170">
        <w:rPr>
          <w:rFonts w:ascii="Times New Roman" w:hAnsi="Times New Roman" w:cs="Times New Roman"/>
        </w:rPr>
        <w:t>applied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which</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concealed</w:t>
      </w:r>
      <w:proofErr w:type="spellEnd"/>
      <w:r w:rsidR="00F72AD1" w:rsidRPr="00705170">
        <w:rPr>
          <w:rFonts w:ascii="Times New Roman" w:hAnsi="Times New Roman" w:cs="Times New Roman"/>
        </w:rPr>
        <w:t xml:space="preserve"> </w:t>
      </w:r>
      <w:proofErr w:type="spellStart"/>
      <w:r w:rsidR="00F72AD1" w:rsidRPr="00705170">
        <w:rPr>
          <w:rFonts w:ascii="Times New Roman" w:hAnsi="Times New Roman" w:cs="Times New Roman"/>
        </w:rPr>
        <w:t>distribution</w:t>
      </w:r>
      <w:proofErr w:type="spellEnd"/>
      <w:r w:rsidR="00F72AD1" w:rsidRPr="00705170">
        <w:rPr>
          <w:rFonts w:ascii="Times New Roman" w:hAnsi="Times New Roman" w:cs="Times New Roman"/>
        </w:rPr>
        <w:t xml:space="preserve"> of </w:t>
      </w:r>
      <w:proofErr w:type="spellStart"/>
      <w:r w:rsidR="00F72AD1" w:rsidRPr="00705170">
        <w:rPr>
          <w:rFonts w:ascii="Times New Roman" w:hAnsi="Times New Roman" w:cs="Times New Roman"/>
        </w:rPr>
        <w:t>capital</w:t>
      </w:r>
      <w:proofErr w:type="spellEnd"/>
      <w:r w:rsidR="00F72AD1" w:rsidRPr="00705170">
        <w:rPr>
          <w:rFonts w:ascii="Times New Roman" w:hAnsi="Times New Roman" w:cs="Times New Roman"/>
        </w:rPr>
        <w:t xml:space="preserve"> is </w:t>
      </w:r>
      <w:proofErr w:type="spellStart"/>
      <w:r w:rsidRPr="00705170">
        <w:rPr>
          <w:rFonts w:ascii="Times New Roman" w:hAnsi="Times New Roman" w:cs="Times New Roman"/>
        </w:rPr>
        <w:t>detected</w:t>
      </w:r>
      <w:proofErr w:type="spellEnd"/>
      <w:r w:rsidR="005140F1" w:rsidRPr="00705170">
        <w:rPr>
          <w:rFonts w:ascii="Times New Roman" w:hAnsi="Times New Roman" w:cs="Times New Roman"/>
        </w:rPr>
        <w:t>).</w:t>
      </w:r>
      <w:r w:rsidR="00F80A79" w:rsidRPr="00705170">
        <w:rPr>
          <w:rFonts w:ascii="Times New Roman" w:hAnsi="Times New Roman" w:cs="Times New Roman"/>
        </w:rPr>
        <w:t xml:space="preserve"> </w:t>
      </w:r>
      <w:proofErr w:type="spellStart"/>
      <w:r w:rsidR="00821805" w:rsidRPr="00705170">
        <w:rPr>
          <w:rFonts w:ascii="Times New Roman" w:hAnsi="Times New Roman" w:cs="Times New Roman"/>
        </w:rPr>
        <w:t>In</w:t>
      </w:r>
      <w:proofErr w:type="spellEnd"/>
      <w:r w:rsidR="00821805" w:rsidRPr="00705170">
        <w:rPr>
          <w:rFonts w:ascii="Times New Roman" w:hAnsi="Times New Roman" w:cs="Times New Roman"/>
        </w:rPr>
        <w:t xml:space="preserve"> </w:t>
      </w:r>
      <w:proofErr w:type="spellStart"/>
      <w:r w:rsidR="00821805" w:rsidRPr="00705170">
        <w:rPr>
          <w:rFonts w:ascii="Times New Roman" w:hAnsi="Times New Roman" w:cs="Times New Roman"/>
        </w:rPr>
        <w:t>fact</w:t>
      </w:r>
      <w:proofErr w:type="spellEnd"/>
      <w:r w:rsidR="00821805" w:rsidRPr="00705170">
        <w:rPr>
          <w:rFonts w:ascii="Times New Roman" w:hAnsi="Times New Roman" w:cs="Times New Roman"/>
        </w:rPr>
        <w:t xml:space="preserve">, an </w:t>
      </w:r>
      <w:proofErr w:type="spellStart"/>
      <w:r w:rsidR="00821805" w:rsidRPr="00705170">
        <w:rPr>
          <w:rFonts w:ascii="Times New Roman" w:hAnsi="Times New Roman" w:cs="Times New Roman"/>
        </w:rPr>
        <w:t>equivalent</w:t>
      </w:r>
      <w:proofErr w:type="spellEnd"/>
      <w:r w:rsidR="00821805" w:rsidRPr="00705170">
        <w:rPr>
          <w:rFonts w:ascii="Times New Roman" w:hAnsi="Times New Roman" w:cs="Times New Roman"/>
        </w:rPr>
        <w:t xml:space="preserve"> of </w:t>
      </w:r>
      <w:proofErr w:type="spellStart"/>
      <w:r w:rsidR="00821805" w:rsidRPr="00705170">
        <w:rPr>
          <w:rFonts w:ascii="Times New Roman" w:hAnsi="Times New Roman" w:cs="Times New Roman"/>
        </w:rPr>
        <w:t>this</w:t>
      </w:r>
      <w:proofErr w:type="spellEnd"/>
      <w:r w:rsidR="00821805" w:rsidRPr="00705170">
        <w:rPr>
          <w:rFonts w:ascii="Times New Roman" w:hAnsi="Times New Roman" w:cs="Times New Roman"/>
        </w:rPr>
        <w:t xml:space="preserve"> </w:t>
      </w:r>
      <w:proofErr w:type="spellStart"/>
      <w:r w:rsidR="00821805" w:rsidRPr="00705170">
        <w:rPr>
          <w:rFonts w:ascii="Times New Roman" w:hAnsi="Times New Roman" w:cs="Times New Roman"/>
        </w:rPr>
        <w:t>article</w:t>
      </w:r>
      <w:proofErr w:type="spellEnd"/>
      <w:r w:rsidR="00821805" w:rsidRPr="00705170">
        <w:rPr>
          <w:rFonts w:ascii="Times New Roman" w:hAnsi="Times New Roman" w:cs="Times New Roman"/>
        </w:rPr>
        <w:t xml:space="preserve"> </w:t>
      </w:r>
      <w:proofErr w:type="spellStart"/>
      <w:r w:rsidR="00821805" w:rsidRPr="00705170">
        <w:rPr>
          <w:rFonts w:ascii="Times New Roman" w:hAnsi="Times New Roman" w:cs="Times New Roman"/>
        </w:rPr>
        <w:t>was</w:t>
      </w:r>
      <w:proofErr w:type="spellEnd"/>
      <w:r w:rsidR="00821805" w:rsidRPr="00705170">
        <w:rPr>
          <w:rFonts w:ascii="Times New Roman" w:hAnsi="Times New Roman" w:cs="Times New Roman"/>
        </w:rPr>
        <w:t xml:space="preserve"> </w:t>
      </w:r>
      <w:proofErr w:type="spellStart"/>
      <w:r w:rsidR="00821805" w:rsidRPr="00705170">
        <w:rPr>
          <w:rFonts w:ascii="Times New Roman" w:hAnsi="Times New Roman" w:cs="Times New Roman"/>
        </w:rPr>
        <w:t>present</w:t>
      </w:r>
      <w:proofErr w:type="spellEnd"/>
      <w:r w:rsidR="00821805" w:rsidRPr="00705170">
        <w:rPr>
          <w:rFonts w:ascii="Times New Roman" w:hAnsi="Times New Roman" w:cs="Times New Roman"/>
        </w:rPr>
        <w:t xml:space="preserve"> in </w:t>
      </w:r>
      <w:proofErr w:type="spellStart"/>
      <w:r w:rsidR="00821805" w:rsidRPr="00705170">
        <w:rPr>
          <w:rFonts w:ascii="Times New Roman" w:hAnsi="Times New Roman" w:cs="Times New Roman"/>
        </w:rPr>
        <w:t>the</w:t>
      </w:r>
      <w:proofErr w:type="spellEnd"/>
      <w:r w:rsidR="00821805" w:rsidRPr="00705170">
        <w:rPr>
          <w:rFonts w:ascii="Times New Roman" w:hAnsi="Times New Roman" w:cs="Times New Roman"/>
        </w:rPr>
        <w:t xml:space="preserve"> </w:t>
      </w:r>
      <w:proofErr w:type="spellStart"/>
      <w:r w:rsidR="00821805" w:rsidRPr="00705170">
        <w:rPr>
          <w:rFonts w:ascii="Times New Roman" w:hAnsi="Times New Roman" w:cs="Times New Roman"/>
        </w:rPr>
        <w:t>abolished</w:t>
      </w:r>
      <w:proofErr w:type="spellEnd"/>
      <w:r w:rsidR="00821805" w:rsidRPr="00705170">
        <w:rPr>
          <w:rFonts w:ascii="Times New Roman" w:hAnsi="Times New Roman" w:cs="Times New Roman"/>
        </w:rPr>
        <w:t xml:space="preserve"> CML, </w:t>
      </w:r>
      <w:proofErr w:type="spellStart"/>
      <w:r w:rsidR="00821805" w:rsidRPr="00705170">
        <w:rPr>
          <w:rFonts w:ascii="Times New Roman" w:hAnsi="Times New Roman" w:cs="Times New Roman"/>
        </w:rPr>
        <w:t>and</w:t>
      </w:r>
      <w:proofErr w:type="spellEnd"/>
      <w:r w:rsidR="00821805" w:rsidRPr="00705170">
        <w:rPr>
          <w:rFonts w:ascii="Times New Roman" w:hAnsi="Times New Roman" w:cs="Times New Roman"/>
        </w:rPr>
        <w:t xml:space="preserve"> </w:t>
      </w:r>
      <w:proofErr w:type="spellStart"/>
      <w:r w:rsidR="00821805" w:rsidRPr="00705170">
        <w:rPr>
          <w:rFonts w:ascii="Times New Roman" w:hAnsi="Times New Roman" w:cs="Times New Roman"/>
        </w:rPr>
        <w:t>the</w:t>
      </w:r>
      <w:proofErr w:type="spellEnd"/>
      <w:r w:rsidR="00821805" w:rsidRPr="00705170">
        <w:rPr>
          <w:rFonts w:ascii="Times New Roman" w:hAnsi="Times New Roman" w:cs="Times New Roman"/>
        </w:rPr>
        <w:t xml:space="preserve"> </w:t>
      </w:r>
      <w:proofErr w:type="spellStart"/>
      <w:r w:rsidR="00821805" w:rsidRPr="00705170">
        <w:rPr>
          <w:rFonts w:ascii="Times New Roman" w:hAnsi="Times New Roman" w:cs="Times New Roman"/>
        </w:rPr>
        <w:t>broad</w:t>
      </w:r>
      <w:proofErr w:type="spellEnd"/>
      <w:r w:rsidR="00821805" w:rsidRPr="00705170">
        <w:rPr>
          <w:rFonts w:ascii="Times New Roman" w:hAnsi="Times New Roman" w:cs="Times New Roman"/>
        </w:rPr>
        <w:t xml:space="preserve"> </w:t>
      </w:r>
      <w:proofErr w:type="spellStart"/>
      <w:r w:rsidR="00EB5FF3" w:rsidRPr="00705170">
        <w:rPr>
          <w:rFonts w:ascii="Times New Roman" w:hAnsi="Times New Roman" w:cs="Times New Roman"/>
        </w:rPr>
        <w:t>authority</w:t>
      </w:r>
      <w:proofErr w:type="spellEnd"/>
      <w:r w:rsidR="00EB5FF3" w:rsidRPr="00705170">
        <w:rPr>
          <w:rFonts w:ascii="Times New Roman" w:hAnsi="Times New Roman" w:cs="Times New Roman"/>
        </w:rPr>
        <w:t xml:space="preserve"> </w:t>
      </w:r>
      <w:proofErr w:type="spellStart"/>
      <w:r w:rsidR="00EB5FF3" w:rsidRPr="00705170">
        <w:rPr>
          <w:rFonts w:ascii="Times New Roman" w:hAnsi="Times New Roman" w:cs="Times New Roman"/>
        </w:rPr>
        <w:t>that</w:t>
      </w:r>
      <w:proofErr w:type="spellEnd"/>
      <w:r w:rsidR="00EB5FF3" w:rsidRPr="00705170">
        <w:rPr>
          <w:rFonts w:ascii="Times New Roman" w:hAnsi="Times New Roman" w:cs="Times New Roman"/>
        </w:rPr>
        <w:t xml:space="preserve"> </w:t>
      </w:r>
      <w:proofErr w:type="spellStart"/>
      <w:r w:rsidR="00EB5FF3" w:rsidRPr="00705170">
        <w:rPr>
          <w:rFonts w:ascii="Times New Roman" w:hAnsi="Times New Roman" w:cs="Times New Roman"/>
        </w:rPr>
        <w:t>the</w:t>
      </w:r>
      <w:proofErr w:type="spellEnd"/>
      <w:r w:rsidR="00EB5FF3" w:rsidRPr="00705170">
        <w:rPr>
          <w:rFonts w:ascii="Times New Roman" w:hAnsi="Times New Roman" w:cs="Times New Roman"/>
        </w:rPr>
        <w:t xml:space="preserve"> </w:t>
      </w:r>
      <w:proofErr w:type="spellStart"/>
      <w:r w:rsidR="00EB5FF3" w:rsidRPr="00705170">
        <w:rPr>
          <w:rFonts w:ascii="Times New Roman" w:hAnsi="Times New Roman" w:cs="Times New Roman"/>
        </w:rPr>
        <w:t>abolished</w:t>
      </w:r>
      <w:proofErr w:type="spellEnd"/>
      <w:r w:rsidR="00EB5FF3" w:rsidRPr="00705170">
        <w:rPr>
          <w:rFonts w:ascii="Times New Roman" w:hAnsi="Times New Roman" w:cs="Times New Roman"/>
        </w:rPr>
        <w:t xml:space="preserve"> </w:t>
      </w:r>
      <w:proofErr w:type="spellStart"/>
      <w:r w:rsidR="00EB5FF3" w:rsidRPr="00705170">
        <w:rPr>
          <w:rFonts w:ascii="Times New Roman" w:hAnsi="Times New Roman" w:cs="Times New Roman"/>
        </w:rPr>
        <w:t>article</w:t>
      </w:r>
      <w:proofErr w:type="spellEnd"/>
      <w:r w:rsidR="00EB5FF3" w:rsidRPr="00705170">
        <w:rPr>
          <w:rFonts w:ascii="Times New Roman" w:hAnsi="Times New Roman" w:cs="Times New Roman"/>
        </w:rPr>
        <w:t xml:space="preserve"> </w:t>
      </w:r>
      <w:proofErr w:type="spellStart"/>
      <w:r w:rsidR="00EB5FF3" w:rsidRPr="00705170">
        <w:rPr>
          <w:rFonts w:ascii="Times New Roman" w:hAnsi="Times New Roman" w:cs="Times New Roman"/>
        </w:rPr>
        <w:t>gives</w:t>
      </w:r>
      <w:proofErr w:type="spellEnd"/>
      <w:r w:rsidR="00EB5FF3" w:rsidRPr="00705170">
        <w:rPr>
          <w:rFonts w:ascii="Times New Roman" w:hAnsi="Times New Roman" w:cs="Times New Roman"/>
        </w:rPr>
        <w:t xml:space="preserve"> </w:t>
      </w:r>
      <w:proofErr w:type="spellStart"/>
      <w:r w:rsidR="00EB5FF3" w:rsidRPr="00705170">
        <w:rPr>
          <w:rFonts w:ascii="Times New Roman" w:hAnsi="Times New Roman" w:cs="Times New Roman"/>
        </w:rPr>
        <w:t>to</w:t>
      </w:r>
      <w:proofErr w:type="spellEnd"/>
      <w:r w:rsidR="00EB5FF3" w:rsidRPr="00705170">
        <w:rPr>
          <w:rFonts w:ascii="Times New Roman" w:hAnsi="Times New Roman" w:cs="Times New Roman"/>
        </w:rPr>
        <w:t xml:space="preserve"> </w:t>
      </w:r>
      <w:proofErr w:type="spellStart"/>
      <w:r w:rsidR="00EB5FF3" w:rsidRPr="00705170">
        <w:rPr>
          <w:rFonts w:ascii="Times New Roman" w:hAnsi="Times New Roman" w:cs="Times New Roman"/>
        </w:rPr>
        <w:t>the</w:t>
      </w:r>
      <w:proofErr w:type="spellEnd"/>
      <w:r w:rsidR="00EB5FF3" w:rsidRPr="00705170">
        <w:rPr>
          <w:rFonts w:ascii="Times New Roman" w:hAnsi="Times New Roman" w:cs="Times New Roman"/>
        </w:rPr>
        <w:t xml:space="preserve"> CMB </w:t>
      </w:r>
      <w:proofErr w:type="spellStart"/>
      <w:r w:rsidR="00EB5FF3" w:rsidRPr="00705170">
        <w:rPr>
          <w:rFonts w:ascii="Times New Roman" w:hAnsi="Times New Roman" w:cs="Times New Roman"/>
        </w:rPr>
        <w:t>was</w:t>
      </w:r>
      <w:proofErr w:type="spellEnd"/>
      <w:r w:rsidR="00EB5FF3" w:rsidRPr="00705170">
        <w:rPr>
          <w:rFonts w:ascii="Times New Roman" w:hAnsi="Times New Roman" w:cs="Times New Roman"/>
        </w:rPr>
        <w:t xml:space="preserve"> </w:t>
      </w:r>
      <w:proofErr w:type="spellStart"/>
      <w:r w:rsidR="00EB5FF3" w:rsidRPr="00705170">
        <w:rPr>
          <w:rFonts w:ascii="Times New Roman" w:hAnsi="Times New Roman" w:cs="Times New Roman"/>
        </w:rPr>
        <w:t>underlined</w:t>
      </w:r>
      <w:proofErr w:type="spellEnd"/>
      <w:r w:rsidR="00EB5FF3" w:rsidRPr="00705170">
        <w:rPr>
          <w:rFonts w:ascii="Times New Roman" w:hAnsi="Times New Roman" w:cs="Times New Roman"/>
        </w:rPr>
        <w:t xml:space="preserve"> </w:t>
      </w:r>
      <w:proofErr w:type="spellStart"/>
      <w:r w:rsidR="00EB5FF3" w:rsidRPr="00705170">
        <w:rPr>
          <w:rFonts w:ascii="Times New Roman" w:hAnsi="Times New Roman" w:cs="Times New Roman"/>
        </w:rPr>
        <w:t>by</w:t>
      </w:r>
      <w:proofErr w:type="spellEnd"/>
      <w:r w:rsidR="00EB5FF3" w:rsidRPr="00705170">
        <w:rPr>
          <w:rFonts w:ascii="Times New Roman" w:hAnsi="Times New Roman" w:cs="Times New Roman"/>
        </w:rPr>
        <w:t xml:space="preserve"> </w:t>
      </w:r>
      <w:proofErr w:type="spellStart"/>
      <w:r w:rsidR="00EB5FF3" w:rsidRPr="00705170">
        <w:rPr>
          <w:rFonts w:ascii="Times New Roman" w:hAnsi="Times New Roman" w:cs="Times New Roman"/>
        </w:rPr>
        <w:t>commentators</w:t>
      </w:r>
      <w:proofErr w:type="spellEnd"/>
      <w:r w:rsidR="00EB5FF3" w:rsidRPr="00705170">
        <w:rPr>
          <w:rStyle w:val="DipnotBavurusu"/>
          <w:rFonts w:ascii="Times New Roman" w:hAnsi="Times New Roman" w:cs="Times New Roman"/>
        </w:rPr>
        <w:footnoteReference w:id="358"/>
      </w:r>
      <w:r w:rsidR="00EB5FF3" w:rsidRPr="00705170">
        <w:rPr>
          <w:rFonts w:ascii="Times New Roman" w:hAnsi="Times New Roman" w:cs="Times New Roman"/>
        </w:rPr>
        <w:t>.</w:t>
      </w:r>
    </w:p>
    <w:p w14:paraId="6A9328F0" w14:textId="1B4C5289" w:rsidR="00F3417A" w:rsidRPr="00705170" w:rsidRDefault="008E1765" w:rsidP="00F3417A">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According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Article</w:t>
      </w:r>
      <w:proofErr w:type="spellEnd"/>
      <w:r w:rsidRPr="00705170">
        <w:rPr>
          <w:rFonts w:ascii="Times New Roman" w:hAnsi="Times New Roman" w:cs="Times New Roman"/>
        </w:rPr>
        <w:t xml:space="preserve"> 92(1)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CML, </w:t>
      </w:r>
      <w:proofErr w:type="spellStart"/>
      <w:r w:rsidRPr="00705170">
        <w:rPr>
          <w:rFonts w:ascii="Times New Roman" w:hAnsi="Times New Roman" w:cs="Times New Roman"/>
        </w:rPr>
        <w:t>securities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authority’</w:t>
      </w:r>
      <w:r w:rsidR="00A64736" w:rsidRPr="00705170">
        <w:rPr>
          <w:rFonts w:ascii="Times New Roman" w:hAnsi="Times New Roman" w:cs="Times New Roman"/>
        </w:rPr>
        <w:t>s</w:t>
      </w:r>
      <w:proofErr w:type="spellEnd"/>
      <w:r w:rsidR="00A64736" w:rsidRPr="00705170">
        <w:rPr>
          <w:rFonts w:ascii="Times New Roman" w:hAnsi="Times New Roman" w:cs="Times New Roman"/>
        </w:rPr>
        <w:t xml:space="preserve"> </w:t>
      </w:r>
      <w:proofErr w:type="spellStart"/>
      <w:r w:rsidR="00A64736" w:rsidRPr="00705170">
        <w:rPr>
          <w:rFonts w:ascii="Times New Roman" w:hAnsi="Times New Roman" w:cs="Times New Roman"/>
        </w:rPr>
        <w:t>power</w:t>
      </w:r>
      <w:proofErr w:type="spellEnd"/>
      <w:r w:rsidR="00A64736" w:rsidRPr="00705170">
        <w:rPr>
          <w:rFonts w:ascii="Times New Roman" w:hAnsi="Times New Roman" w:cs="Times New Roman"/>
        </w:rPr>
        <w:t xml:space="preserve"> </w:t>
      </w:r>
      <w:proofErr w:type="spellStart"/>
      <w:r w:rsidR="00A64736" w:rsidRPr="00705170">
        <w:rPr>
          <w:rFonts w:ascii="Times New Roman" w:hAnsi="Times New Roman" w:cs="Times New Roman"/>
        </w:rPr>
        <w:t>under</w:t>
      </w:r>
      <w:proofErr w:type="spellEnd"/>
      <w:r w:rsidR="00A64736" w:rsidRPr="00705170">
        <w:rPr>
          <w:rFonts w:ascii="Times New Roman" w:hAnsi="Times New Roman" w:cs="Times New Roman"/>
        </w:rPr>
        <w:t xml:space="preserve"> </w:t>
      </w:r>
      <w:proofErr w:type="spellStart"/>
      <w:r w:rsidR="00A64736" w:rsidRPr="00705170">
        <w:rPr>
          <w:rFonts w:ascii="Times New Roman" w:hAnsi="Times New Roman" w:cs="Times New Roman"/>
        </w:rPr>
        <w:t>this</w:t>
      </w:r>
      <w:proofErr w:type="spellEnd"/>
      <w:r w:rsidR="00A64736" w:rsidRPr="00705170">
        <w:rPr>
          <w:rFonts w:ascii="Times New Roman" w:hAnsi="Times New Roman" w:cs="Times New Roman"/>
        </w:rPr>
        <w:t xml:space="preserve"> </w:t>
      </w:r>
      <w:proofErr w:type="spellStart"/>
      <w:r w:rsidR="00A64736" w:rsidRPr="00705170">
        <w:rPr>
          <w:rFonts w:ascii="Times New Roman" w:hAnsi="Times New Roman" w:cs="Times New Roman"/>
        </w:rPr>
        <w:t>article</w:t>
      </w:r>
      <w:proofErr w:type="spellEnd"/>
      <w:r w:rsidR="00A64736" w:rsidRPr="00705170">
        <w:rPr>
          <w:rFonts w:ascii="Times New Roman" w:hAnsi="Times New Roman" w:cs="Times New Roman"/>
        </w:rPr>
        <w:t xml:space="preserve"> is </w:t>
      </w:r>
      <w:r w:rsidRPr="00705170">
        <w:rPr>
          <w:rFonts w:ascii="Times New Roman" w:hAnsi="Times New Roman" w:cs="Times New Roman"/>
        </w:rPr>
        <w:t xml:space="preserve">limited </w:t>
      </w:r>
      <w:proofErr w:type="spellStart"/>
      <w:r w:rsidRPr="00705170">
        <w:rPr>
          <w:rFonts w:ascii="Times New Roman" w:hAnsi="Times New Roman" w:cs="Times New Roman"/>
        </w:rPr>
        <w:t>t</w:t>
      </w:r>
      <w:r w:rsidR="00A64736" w:rsidRPr="00705170">
        <w:rPr>
          <w:rFonts w:ascii="Times New Roman" w:hAnsi="Times New Roman" w:cs="Times New Roman"/>
        </w:rPr>
        <w:t>o</w:t>
      </w:r>
      <w:proofErr w:type="spellEnd"/>
      <w:r w:rsidR="00A64736" w:rsidRPr="00705170">
        <w:rPr>
          <w:rFonts w:ascii="Times New Roman" w:hAnsi="Times New Roman" w:cs="Times New Roman"/>
        </w:rPr>
        <w:t xml:space="preserve"> </w:t>
      </w:r>
      <w:proofErr w:type="spellStart"/>
      <w:r w:rsidR="00A64736" w:rsidRPr="00705170">
        <w:rPr>
          <w:rFonts w:ascii="Times New Roman" w:hAnsi="Times New Roman" w:cs="Times New Roman"/>
        </w:rPr>
        <w:t>the</w:t>
      </w:r>
      <w:proofErr w:type="spellEnd"/>
      <w:r w:rsidR="00A64736" w:rsidRPr="00705170">
        <w:rPr>
          <w:rFonts w:ascii="Times New Roman" w:hAnsi="Times New Roman" w:cs="Times New Roman"/>
        </w:rPr>
        <w:t xml:space="preserve"> </w:t>
      </w:r>
      <w:proofErr w:type="spellStart"/>
      <w:r w:rsidR="00A64736" w:rsidRPr="00705170">
        <w:rPr>
          <w:rFonts w:ascii="Times New Roman" w:hAnsi="Times New Roman" w:cs="Times New Roman"/>
        </w:rPr>
        <w:t>events</w:t>
      </w:r>
      <w:proofErr w:type="spellEnd"/>
      <w:r w:rsidR="00A64736" w:rsidRPr="00705170">
        <w:rPr>
          <w:rFonts w:ascii="Times New Roman" w:hAnsi="Times New Roman" w:cs="Times New Roman"/>
        </w:rPr>
        <w:t xml:space="preserve"> in </w:t>
      </w:r>
      <w:proofErr w:type="spellStart"/>
      <w:r w:rsidR="00A64736" w:rsidRPr="00705170">
        <w:rPr>
          <w:rFonts w:ascii="Times New Roman" w:hAnsi="Times New Roman" w:cs="Times New Roman"/>
        </w:rPr>
        <w:t>which</w:t>
      </w:r>
      <w:proofErr w:type="spellEnd"/>
      <w:r w:rsidR="00A64736" w:rsidRPr="00705170">
        <w:rPr>
          <w:rFonts w:ascii="Times New Roman" w:hAnsi="Times New Roman" w:cs="Times New Roman"/>
        </w:rPr>
        <w:t xml:space="preserve"> (1) a </w:t>
      </w:r>
      <w:proofErr w:type="spellStart"/>
      <w:r w:rsidR="00A64736" w:rsidRPr="00705170">
        <w:rPr>
          <w:rFonts w:ascii="Times New Roman" w:hAnsi="Times New Roman" w:cs="Times New Roman"/>
        </w:rPr>
        <w:t>loss</w:t>
      </w:r>
      <w:proofErr w:type="spellEnd"/>
      <w:r w:rsidR="00A64736" w:rsidRPr="00705170">
        <w:rPr>
          <w:rFonts w:ascii="Times New Roman" w:hAnsi="Times New Roman" w:cs="Times New Roman"/>
        </w:rPr>
        <w:t xml:space="preserve"> </w:t>
      </w:r>
      <w:proofErr w:type="spellStart"/>
      <w:r w:rsidR="00A64736" w:rsidRPr="00705170">
        <w:rPr>
          <w:rFonts w:ascii="Times New Roman" w:hAnsi="Times New Roman" w:cs="Times New Roman"/>
        </w:rPr>
        <w:t>or</w:t>
      </w:r>
      <w:proofErr w:type="spellEnd"/>
      <w:r w:rsidR="00A64736" w:rsidRPr="00705170">
        <w:rPr>
          <w:rFonts w:ascii="Times New Roman" w:hAnsi="Times New Roman" w:cs="Times New Roman"/>
        </w:rPr>
        <w:t xml:space="preserve"> </w:t>
      </w:r>
      <w:proofErr w:type="spellStart"/>
      <w:r w:rsidR="00A64736" w:rsidRPr="00705170">
        <w:rPr>
          <w:rFonts w:ascii="Times New Roman" w:hAnsi="Times New Roman" w:cs="Times New Roman"/>
        </w:rPr>
        <w:t>decrease</w:t>
      </w:r>
      <w:proofErr w:type="spellEnd"/>
      <w:r w:rsidR="00A64736" w:rsidRPr="00705170">
        <w:rPr>
          <w:rFonts w:ascii="Times New Roman" w:hAnsi="Times New Roman" w:cs="Times New Roman"/>
        </w:rPr>
        <w:t xml:space="preserve"> in </w:t>
      </w:r>
      <w:proofErr w:type="spellStart"/>
      <w:r w:rsidR="00A64736" w:rsidRPr="00705170">
        <w:rPr>
          <w:rFonts w:ascii="Times New Roman" w:hAnsi="Times New Roman" w:cs="Times New Roman"/>
        </w:rPr>
        <w:t>the</w:t>
      </w:r>
      <w:proofErr w:type="spellEnd"/>
      <w:r w:rsidR="00A64736" w:rsidRPr="00705170">
        <w:rPr>
          <w:rFonts w:ascii="Times New Roman" w:hAnsi="Times New Roman" w:cs="Times New Roman"/>
        </w:rPr>
        <w:t xml:space="preserve"> </w:t>
      </w:r>
      <w:proofErr w:type="spellStart"/>
      <w:r w:rsidR="00A64736" w:rsidRPr="00705170">
        <w:rPr>
          <w:rFonts w:ascii="Times New Roman" w:hAnsi="Times New Roman" w:cs="Times New Roman"/>
        </w:rPr>
        <w:t>assets</w:t>
      </w:r>
      <w:proofErr w:type="spellEnd"/>
      <w:r w:rsidR="00A64736" w:rsidRPr="00705170">
        <w:rPr>
          <w:rFonts w:ascii="Times New Roman" w:hAnsi="Times New Roman" w:cs="Times New Roman"/>
        </w:rPr>
        <w:t xml:space="preserve"> </w:t>
      </w:r>
      <w:proofErr w:type="spellStart"/>
      <w:r w:rsidR="00A64736" w:rsidRPr="00705170">
        <w:rPr>
          <w:rFonts w:ascii="Times New Roman" w:hAnsi="Times New Roman" w:cs="Times New Roman"/>
        </w:rPr>
        <w:t>or</w:t>
      </w:r>
      <w:proofErr w:type="spellEnd"/>
      <w:r w:rsidR="00A64736" w:rsidRPr="00705170">
        <w:rPr>
          <w:rFonts w:ascii="Times New Roman" w:hAnsi="Times New Roman" w:cs="Times New Roman"/>
        </w:rPr>
        <w:t xml:space="preserve"> </w:t>
      </w:r>
      <w:proofErr w:type="spellStart"/>
      <w:r w:rsidR="00A64736" w:rsidRPr="00705170">
        <w:rPr>
          <w:rFonts w:ascii="Times New Roman" w:hAnsi="Times New Roman" w:cs="Times New Roman"/>
        </w:rPr>
        <w:t>capital</w:t>
      </w:r>
      <w:proofErr w:type="spellEnd"/>
      <w:r w:rsidR="00A64736" w:rsidRPr="00705170">
        <w:rPr>
          <w:rFonts w:ascii="Times New Roman" w:hAnsi="Times New Roman" w:cs="Times New Roman"/>
        </w:rPr>
        <w:t xml:space="preserve"> of </w:t>
      </w:r>
      <w:proofErr w:type="spellStart"/>
      <w:r w:rsidR="00A64736" w:rsidRPr="00705170">
        <w:rPr>
          <w:rFonts w:ascii="Times New Roman" w:hAnsi="Times New Roman" w:cs="Times New Roman"/>
        </w:rPr>
        <w:t>the</w:t>
      </w:r>
      <w:proofErr w:type="spellEnd"/>
      <w:r w:rsidR="00A64736" w:rsidRPr="00705170">
        <w:rPr>
          <w:rFonts w:ascii="Times New Roman" w:hAnsi="Times New Roman" w:cs="Times New Roman"/>
        </w:rPr>
        <w:t xml:space="preserve"> </w:t>
      </w:r>
      <w:proofErr w:type="spellStart"/>
      <w:r w:rsidR="00A64736" w:rsidRPr="00705170">
        <w:rPr>
          <w:rFonts w:ascii="Times New Roman" w:hAnsi="Times New Roman" w:cs="Times New Roman"/>
        </w:rPr>
        <w:t>issuer</w:t>
      </w:r>
      <w:proofErr w:type="spellEnd"/>
      <w:r w:rsidR="00A64736" w:rsidRPr="00705170">
        <w:rPr>
          <w:rFonts w:ascii="Times New Roman" w:hAnsi="Times New Roman" w:cs="Times New Roman"/>
        </w:rPr>
        <w:t xml:space="preserve"> has </w:t>
      </w:r>
      <w:proofErr w:type="spellStart"/>
      <w:r w:rsidR="00A64736" w:rsidRPr="00705170">
        <w:rPr>
          <w:rFonts w:ascii="Times New Roman" w:hAnsi="Times New Roman" w:cs="Times New Roman"/>
        </w:rPr>
        <w:t>occurred</w:t>
      </w:r>
      <w:proofErr w:type="spellEnd"/>
      <w:r w:rsidR="00A64736" w:rsidRPr="00705170">
        <w:rPr>
          <w:rFonts w:ascii="Times New Roman" w:hAnsi="Times New Roman" w:cs="Times New Roman"/>
        </w:rPr>
        <w:t xml:space="preserve"> (2) </w:t>
      </w:r>
      <w:proofErr w:type="spellStart"/>
      <w:r w:rsidR="00A64736" w:rsidRPr="00705170">
        <w:rPr>
          <w:rFonts w:ascii="Times New Roman" w:hAnsi="Times New Roman" w:cs="Times New Roman"/>
        </w:rPr>
        <w:t>due</w:t>
      </w:r>
      <w:proofErr w:type="spellEnd"/>
      <w:r w:rsidR="00A64736" w:rsidRPr="00705170">
        <w:rPr>
          <w:rFonts w:ascii="Times New Roman" w:hAnsi="Times New Roman" w:cs="Times New Roman"/>
        </w:rPr>
        <w:t xml:space="preserve"> </w:t>
      </w:r>
      <w:proofErr w:type="spellStart"/>
      <w:r w:rsidR="00A64736" w:rsidRPr="00705170">
        <w:rPr>
          <w:rFonts w:ascii="Times New Roman" w:hAnsi="Times New Roman" w:cs="Times New Roman"/>
        </w:rPr>
        <w:t>to</w:t>
      </w:r>
      <w:proofErr w:type="spellEnd"/>
      <w:r w:rsidR="00A64736" w:rsidRPr="00705170">
        <w:rPr>
          <w:rFonts w:ascii="Times New Roman" w:hAnsi="Times New Roman" w:cs="Times New Roman"/>
        </w:rPr>
        <w:t xml:space="preserve"> </w:t>
      </w:r>
      <w:proofErr w:type="spellStart"/>
      <w:r w:rsidR="00F54CAD" w:rsidRPr="00705170">
        <w:rPr>
          <w:rFonts w:ascii="Times New Roman" w:hAnsi="Times New Roman" w:cs="Times New Roman"/>
        </w:rPr>
        <w:t>the</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issuer’s</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actions</w:t>
      </w:r>
      <w:proofErr w:type="spellEnd"/>
      <w:r w:rsidR="00F54CAD" w:rsidRPr="00705170">
        <w:rPr>
          <w:rFonts w:ascii="Times New Roman" w:hAnsi="Times New Roman" w:cs="Times New Roman"/>
        </w:rPr>
        <w:t xml:space="preserve"> in </w:t>
      </w:r>
      <w:proofErr w:type="spellStart"/>
      <w:r w:rsidR="00F54CAD" w:rsidRPr="00705170">
        <w:rPr>
          <w:rFonts w:ascii="Times New Roman" w:hAnsi="Times New Roman" w:cs="Times New Roman"/>
        </w:rPr>
        <w:t>violation</w:t>
      </w:r>
      <w:proofErr w:type="spellEnd"/>
      <w:r w:rsidR="00F54CAD" w:rsidRPr="00705170">
        <w:rPr>
          <w:rFonts w:ascii="Times New Roman" w:hAnsi="Times New Roman" w:cs="Times New Roman"/>
        </w:rPr>
        <w:t xml:space="preserve"> of </w:t>
      </w:r>
      <w:proofErr w:type="spellStart"/>
      <w:r w:rsidR="00F54CAD" w:rsidRPr="00705170">
        <w:rPr>
          <w:rFonts w:ascii="Times New Roman" w:hAnsi="Times New Roman" w:cs="Times New Roman"/>
        </w:rPr>
        <w:t>the</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statute</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capital</w:t>
      </w:r>
      <w:proofErr w:type="spellEnd"/>
      <w:r w:rsidR="00F54CAD" w:rsidRPr="00705170">
        <w:rPr>
          <w:rFonts w:ascii="Times New Roman" w:hAnsi="Times New Roman" w:cs="Times New Roman"/>
        </w:rPr>
        <w:t xml:space="preserve"> market </w:t>
      </w:r>
      <w:proofErr w:type="spellStart"/>
      <w:r w:rsidR="00F54CAD" w:rsidRPr="00705170">
        <w:rPr>
          <w:rFonts w:ascii="Times New Roman" w:hAnsi="Times New Roman" w:cs="Times New Roman"/>
        </w:rPr>
        <w:t>legislation</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articles</w:t>
      </w:r>
      <w:proofErr w:type="spellEnd"/>
      <w:r w:rsidR="00F54CAD" w:rsidRPr="00705170">
        <w:rPr>
          <w:rFonts w:ascii="Times New Roman" w:hAnsi="Times New Roman" w:cs="Times New Roman"/>
        </w:rPr>
        <w:t xml:space="preserve"> of </w:t>
      </w:r>
      <w:proofErr w:type="spellStart"/>
      <w:r w:rsidR="00F54CAD" w:rsidRPr="00705170">
        <w:rPr>
          <w:rFonts w:ascii="Times New Roman" w:hAnsi="Times New Roman" w:cs="Times New Roman"/>
        </w:rPr>
        <w:lastRenderedPageBreak/>
        <w:t>incorporation</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and</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fund</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bylaws</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or</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actions</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contrary</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to</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the</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corporate</w:t>
      </w:r>
      <w:proofErr w:type="spellEnd"/>
      <w:r w:rsidR="00F54CAD" w:rsidRPr="00705170">
        <w:rPr>
          <w:rFonts w:ascii="Times New Roman" w:hAnsi="Times New Roman" w:cs="Times New Roman"/>
        </w:rPr>
        <w:t xml:space="preserve"> </w:t>
      </w:r>
      <w:proofErr w:type="spellStart"/>
      <w:r w:rsidR="00F54CAD" w:rsidRPr="00705170">
        <w:rPr>
          <w:rFonts w:ascii="Times New Roman" w:hAnsi="Times New Roman" w:cs="Times New Roman"/>
        </w:rPr>
        <w:t>purpose</w:t>
      </w:r>
      <w:proofErr w:type="spellEnd"/>
      <w:r w:rsidR="00347485" w:rsidRPr="00705170">
        <w:rPr>
          <w:rStyle w:val="DipnotBavurusu"/>
          <w:rFonts w:ascii="Times New Roman" w:hAnsi="Times New Roman" w:cs="Times New Roman"/>
        </w:rPr>
        <w:footnoteReference w:id="359"/>
      </w:r>
      <w:r w:rsidR="00F54CAD" w:rsidRPr="00705170">
        <w:rPr>
          <w:rFonts w:ascii="Times New Roman" w:hAnsi="Times New Roman" w:cs="Times New Roman"/>
        </w:rPr>
        <w:t>.</w:t>
      </w:r>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Provided</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that</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the</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requirements</w:t>
      </w:r>
      <w:proofErr w:type="spellEnd"/>
      <w:r w:rsidR="005F2910" w:rsidRPr="00705170">
        <w:rPr>
          <w:rFonts w:ascii="Times New Roman" w:hAnsi="Times New Roman" w:cs="Times New Roman"/>
        </w:rPr>
        <w:t xml:space="preserve"> of </w:t>
      </w:r>
      <w:proofErr w:type="spellStart"/>
      <w:r w:rsidR="005F2910" w:rsidRPr="00705170">
        <w:rPr>
          <w:rFonts w:ascii="Times New Roman" w:hAnsi="Times New Roman" w:cs="Times New Roman"/>
        </w:rPr>
        <w:t>the</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Article</w:t>
      </w:r>
      <w:proofErr w:type="spellEnd"/>
      <w:r w:rsidR="005F2910" w:rsidRPr="00705170">
        <w:rPr>
          <w:rFonts w:ascii="Times New Roman" w:hAnsi="Times New Roman" w:cs="Times New Roman"/>
        </w:rPr>
        <w:t xml:space="preserve"> 92(1) is </w:t>
      </w:r>
      <w:proofErr w:type="spellStart"/>
      <w:r w:rsidR="005F2910" w:rsidRPr="00705170">
        <w:rPr>
          <w:rFonts w:ascii="Times New Roman" w:hAnsi="Times New Roman" w:cs="Times New Roman"/>
        </w:rPr>
        <w:t>satisfied</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the</w:t>
      </w:r>
      <w:proofErr w:type="spellEnd"/>
      <w:r w:rsidR="005F2910" w:rsidRPr="00705170">
        <w:rPr>
          <w:rFonts w:ascii="Times New Roman" w:hAnsi="Times New Roman" w:cs="Times New Roman"/>
        </w:rPr>
        <w:t xml:space="preserve"> CMB can (a) </w:t>
      </w:r>
      <w:proofErr w:type="spellStart"/>
      <w:r w:rsidR="005F2910" w:rsidRPr="00705170">
        <w:rPr>
          <w:rFonts w:ascii="Times New Roman" w:hAnsi="Times New Roman" w:cs="Times New Roman"/>
        </w:rPr>
        <w:t>request</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from</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related</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parties</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to</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take</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measures</w:t>
      </w:r>
      <w:proofErr w:type="spellEnd"/>
      <w:r w:rsidR="005F2910" w:rsidRPr="00705170">
        <w:rPr>
          <w:rFonts w:ascii="Times New Roman" w:hAnsi="Times New Roman" w:cs="Times New Roman"/>
        </w:rPr>
        <w:t xml:space="preserve"> in </w:t>
      </w:r>
      <w:proofErr w:type="spellStart"/>
      <w:r w:rsidR="005F2910" w:rsidRPr="00705170">
        <w:rPr>
          <w:rFonts w:ascii="Times New Roman" w:hAnsi="Times New Roman" w:cs="Times New Roman"/>
        </w:rPr>
        <w:t>order</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to</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cure</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the</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violations</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and</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carry</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out</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the</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necessary</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transactions</w:t>
      </w:r>
      <w:proofErr w:type="spellEnd"/>
      <w:r w:rsidR="005F2910" w:rsidRPr="00705170">
        <w:rPr>
          <w:rFonts w:ascii="Times New Roman" w:hAnsi="Times New Roman" w:cs="Times New Roman"/>
        </w:rPr>
        <w:t xml:space="preserve">, (b) </w:t>
      </w:r>
      <w:proofErr w:type="spellStart"/>
      <w:r w:rsidR="005F2910" w:rsidRPr="00705170">
        <w:rPr>
          <w:rFonts w:ascii="Times New Roman" w:hAnsi="Times New Roman" w:cs="Times New Roman"/>
        </w:rPr>
        <w:t>initiate</w:t>
      </w:r>
      <w:proofErr w:type="spellEnd"/>
      <w:r w:rsidR="005F2910" w:rsidRPr="00705170">
        <w:rPr>
          <w:rFonts w:ascii="Times New Roman" w:hAnsi="Times New Roman" w:cs="Times New Roman"/>
        </w:rPr>
        <w:t xml:space="preserve"> a </w:t>
      </w:r>
      <w:proofErr w:type="spellStart"/>
      <w:r w:rsidR="005F2910" w:rsidRPr="00705170">
        <w:rPr>
          <w:rFonts w:ascii="Times New Roman" w:hAnsi="Times New Roman" w:cs="Times New Roman"/>
        </w:rPr>
        <w:t>nullity</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or</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rescission</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suit</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against</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the</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actions</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causing</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violation</w:t>
      </w:r>
      <w:proofErr w:type="spellEnd"/>
      <w:r w:rsidR="005F2910" w:rsidRPr="00705170">
        <w:rPr>
          <w:rFonts w:ascii="Times New Roman" w:hAnsi="Times New Roman" w:cs="Times New Roman"/>
        </w:rPr>
        <w:t xml:space="preserve"> of </w:t>
      </w:r>
      <w:proofErr w:type="spellStart"/>
      <w:r w:rsidR="005F2910" w:rsidRPr="00705170">
        <w:rPr>
          <w:rFonts w:ascii="Times New Roman" w:hAnsi="Times New Roman" w:cs="Times New Roman"/>
        </w:rPr>
        <w:t>Article</w:t>
      </w:r>
      <w:proofErr w:type="spellEnd"/>
      <w:r w:rsidR="005F2910" w:rsidRPr="00705170">
        <w:rPr>
          <w:rFonts w:ascii="Times New Roman" w:hAnsi="Times New Roman" w:cs="Times New Roman"/>
        </w:rPr>
        <w:t xml:space="preserve"> 92(1), (c) </w:t>
      </w:r>
      <w:proofErr w:type="spellStart"/>
      <w:r w:rsidR="005F2910" w:rsidRPr="00705170">
        <w:rPr>
          <w:rFonts w:ascii="Times New Roman" w:hAnsi="Times New Roman" w:cs="Times New Roman"/>
        </w:rPr>
        <w:t>revoke</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the</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signature</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authority</w:t>
      </w:r>
      <w:proofErr w:type="spellEnd"/>
      <w:r w:rsidR="005F2910" w:rsidRPr="00705170">
        <w:rPr>
          <w:rFonts w:ascii="Times New Roman" w:hAnsi="Times New Roman" w:cs="Times New Roman"/>
        </w:rPr>
        <w:t xml:space="preserve"> of </w:t>
      </w:r>
      <w:proofErr w:type="spellStart"/>
      <w:r w:rsidR="005F2910" w:rsidRPr="00705170">
        <w:rPr>
          <w:rFonts w:ascii="Times New Roman" w:hAnsi="Times New Roman" w:cs="Times New Roman"/>
        </w:rPr>
        <w:t>the</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responsible</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persons</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a</w:t>
      </w:r>
      <w:r w:rsidR="00984122" w:rsidRPr="00705170">
        <w:rPr>
          <w:rFonts w:ascii="Times New Roman" w:hAnsi="Times New Roman" w:cs="Times New Roman"/>
        </w:rPr>
        <w:t>nd</w:t>
      </w:r>
      <w:proofErr w:type="spellEnd"/>
      <w:r w:rsidR="00984122" w:rsidRPr="00705170">
        <w:rPr>
          <w:rFonts w:ascii="Times New Roman" w:hAnsi="Times New Roman" w:cs="Times New Roman"/>
        </w:rPr>
        <w:t xml:space="preserve"> </w:t>
      </w:r>
      <w:proofErr w:type="spellStart"/>
      <w:r w:rsidR="00984122" w:rsidRPr="00705170">
        <w:rPr>
          <w:rFonts w:ascii="Times New Roman" w:hAnsi="Times New Roman" w:cs="Times New Roman"/>
        </w:rPr>
        <w:t>if</w:t>
      </w:r>
      <w:proofErr w:type="spellEnd"/>
      <w:r w:rsidR="00984122" w:rsidRPr="00705170">
        <w:rPr>
          <w:rFonts w:ascii="Times New Roman" w:hAnsi="Times New Roman" w:cs="Times New Roman"/>
        </w:rPr>
        <w:t xml:space="preserve"> a</w:t>
      </w:r>
      <w:r w:rsidR="005F2910" w:rsidRPr="00705170">
        <w:rPr>
          <w:rFonts w:ascii="Times New Roman" w:hAnsi="Times New Roman" w:cs="Times New Roman"/>
        </w:rPr>
        <w:t xml:space="preserve"> </w:t>
      </w:r>
      <w:proofErr w:type="spellStart"/>
      <w:r w:rsidR="00551337" w:rsidRPr="00705170">
        <w:rPr>
          <w:rFonts w:ascii="Times New Roman" w:hAnsi="Times New Roman" w:cs="Times New Roman"/>
        </w:rPr>
        <w:t>criminal</w:t>
      </w:r>
      <w:proofErr w:type="spellEnd"/>
      <w:r w:rsidR="00551337" w:rsidRPr="00705170">
        <w:rPr>
          <w:rFonts w:ascii="Times New Roman" w:hAnsi="Times New Roman" w:cs="Times New Roman"/>
        </w:rPr>
        <w:t xml:space="preserve"> </w:t>
      </w:r>
      <w:proofErr w:type="spellStart"/>
      <w:r w:rsidR="00551337" w:rsidRPr="00705170">
        <w:rPr>
          <w:rFonts w:ascii="Times New Roman" w:hAnsi="Times New Roman" w:cs="Times New Roman"/>
        </w:rPr>
        <w:t>complaint</w:t>
      </w:r>
      <w:proofErr w:type="spellEnd"/>
      <w:r w:rsidR="005F2910" w:rsidRPr="00705170">
        <w:rPr>
          <w:rFonts w:ascii="Times New Roman" w:hAnsi="Times New Roman" w:cs="Times New Roman"/>
        </w:rPr>
        <w:t xml:space="preserve"> </w:t>
      </w:r>
      <w:r w:rsidR="00984122" w:rsidRPr="00705170">
        <w:rPr>
          <w:rFonts w:ascii="Times New Roman" w:hAnsi="Times New Roman" w:cs="Times New Roman"/>
        </w:rPr>
        <w:t xml:space="preserve">is </w:t>
      </w:r>
      <w:proofErr w:type="spellStart"/>
      <w:r w:rsidR="00984122" w:rsidRPr="00705170">
        <w:rPr>
          <w:rFonts w:ascii="Times New Roman" w:hAnsi="Times New Roman" w:cs="Times New Roman"/>
        </w:rPr>
        <w:t>filed</w:t>
      </w:r>
      <w:proofErr w:type="spellEnd"/>
      <w:r w:rsidR="00984122" w:rsidRPr="00705170">
        <w:rPr>
          <w:rFonts w:ascii="Times New Roman" w:hAnsi="Times New Roman" w:cs="Times New Roman"/>
        </w:rPr>
        <w:t xml:space="preserve"> </w:t>
      </w:r>
      <w:proofErr w:type="spellStart"/>
      <w:r w:rsidR="00984122" w:rsidRPr="00705170">
        <w:rPr>
          <w:rFonts w:ascii="Times New Roman" w:hAnsi="Times New Roman" w:cs="Times New Roman"/>
        </w:rPr>
        <w:t>then</w:t>
      </w:r>
      <w:proofErr w:type="spellEnd"/>
      <w:r w:rsidR="00984122" w:rsidRPr="00705170">
        <w:rPr>
          <w:rFonts w:ascii="Times New Roman" w:hAnsi="Times New Roman" w:cs="Times New Roman"/>
        </w:rPr>
        <w:t xml:space="preserve"> </w:t>
      </w:r>
      <w:proofErr w:type="spellStart"/>
      <w:r w:rsidR="00984122" w:rsidRPr="00705170">
        <w:rPr>
          <w:rFonts w:ascii="Times New Roman" w:hAnsi="Times New Roman" w:cs="Times New Roman"/>
        </w:rPr>
        <w:t>the</w:t>
      </w:r>
      <w:proofErr w:type="spellEnd"/>
      <w:r w:rsidR="00984122" w:rsidRPr="00705170">
        <w:rPr>
          <w:rFonts w:ascii="Times New Roman" w:hAnsi="Times New Roman" w:cs="Times New Roman"/>
        </w:rPr>
        <w:t xml:space="preserve"> </w:t>
      </w:r>
      <w:r w:rsidR="005F2910" w:rsidRPr="00705170">
        <w:rPr>
          <w:rFonts w:ascii="Times New Roman" w:hAnsi="Times New Roman" w:cs="Times New Roman"/>
        </w:rPr>
        <w:t xml:space="preserve">CMB can </w:t>
      </w:r>
      <w:proofErr w:type="spellStart"/>
      <w:r w:rsidR="005F2910" w:rsidRPr="00705170">
        <w:rPr>
          <w:rFonts w:ascii="Times New Roman" w:hAnsi="Times New Roman" w:cs="Times New Roman"/>
        </w:rPr>
        <w:t>remove</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them</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from</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their</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positions</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and</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appoint</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members</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to</w:t>
      </w:r>
      <w:proofErr w:type="spellEnd"/>
      <w:r w:rsidR="005F2910" w:rsidRPr="00705170">
        <w:rPr>
          <w:rFonts w:ascii="Times New Roman" w:hAnsi="Times New Roman" w:cs="Times New Roman"/>
        </w:rPr>
        <w:t xml:space="preserve"> </w:t>
      </w:r>
      <w:proofErr w:type="spellStart"/>
      <w:r w:rsidR="005F2910" w:rsidRPr="00705170">
        <w:rPr>
          <w:rFonts w:ascii="Times New Roman" w:hAnsi="Times New Roman" w:cs="Times New Roman"/>
        </w:rPr>
        <w:t>the</w:t>
      </w:r>
      <w:proofErr w:type="spellEnd"/>
      <w:r w:rsidR="005F2910" w:rsidRPr="00705170">
        <w:rPr>
          <w:rFonts w:ascii="Times New Roman" w:hAnsi="Times New Roman" w:cs="Times New Roman"/>
        </w:rPr>
        <w:t xml:space="preserve"> board of </w:t>
      </w:r>
      <w:proofErr w:type="spellStart"/>
      <w:r w:rsidR="005F2910" w:rsidRPr="00705170">
        <w:rPr>
          <w:rFonts w:ascii="Times New Roman" w:hAnsi="Times New Roman" w:cs="Times New Roman"/>
        </w:rPr>
        <w:t>directors</w:t>
      </w:r>
      <w:proofErr w:type="spellEnd"/>
      <w:r w:rsidR="005F2910" w:rsidRPr="00705170">
        <w:rPr>
          <w:rFonts w:ascii="Times New Roman" w:hAnsi="Times New Roman" w:cs="Times New Roman"/>
        </w:rPr>
        <w:t xml:space="preserve">. </w:t>
      </w:r>
    </w:p>
    <w:p w14:paraId="6ABD5764" w14:textId="6B1785B9" w:rsidR="00F72AD1" w:rsidRPr="00705170" w:rsidRDefault="00691AAF" w:rsidP="00F3417A">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can, on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face</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applied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w:t>
      </w:r>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this</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would</w:t>
      </w:r>
      <w:proofErr w:type="spellEnd"/>
      <w:r w:rsidR="00FF6033" w:rsidRPr="00705170">
        <w:rPr>
          <w:rFonts w:ascii="Times New Roman" w:hAnsi="Times New Roman" w:cs="Times New Roman"/>
        </w:rPr>
        <w:t xml:space="preserve"> be </w:t>
      </w:r>
      <w:proofErr w:type="spellStart"/>
      <w:r w:rsidR="00FF6033" w:rsidRPr="00705170">
        <w:rPr>
          <w:rFonts w:ascii="Times New Roman" w:hAnsi="Times New Roman" w:cs="Times New Roman"/>
        </w:rPr>
        <w:t>problematic</w:t>
      </w:r>
      <w:proofErr w:type="spellEnd"/>
      <w:r w:rsidR="004C282B" w:rsidRPr="00705170">
        <w:rPr>
          <w:rStyle w:val="DipnotBavurusu"/>
          <w:rFonts w:ascii="Times New Roman" w:hAnsi="Times New Roman" w:cs="Times New Roman"/>
        </w:rPr>
        <w:footnoteReference w:id="360"/>
      </w:r>
      <w:r w:rsidR="00FF6033" w:rsidRPr="00705170">
        <w:rPr>
          <w:rFonts w:ascii="Times New Roman" w:hAnsi="Times New Roman" w:cs="Times New Roman"/>
        </w:rPr>
        <w:t xml:space="preserve">. As </w:t>
      </w:r>
      <w:proofErr w:type="spellStart"/>
      <w:r w:rsidR="00FF6033" w:rsidRPr="00705170">
        <w:rPr>
          <w:rFonts w:ascii="Times New Roman" w:hAnsi="Times New Roman" w:cs="Times New Roman"/>
        </w:rPr>
        <w:t>the</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article</w:t>
      </w:r>
      <w:proofErr w:type="spellEnd"/>
      <w:r w:rsidR="00FF6033" w:rsidRPr="00705170">
        <w:rPr>
          <w:rFonts w:ascii="Times New Roman" w:hAnsi="Times New Roman" w:cs="Times New Roman"/>
        </w:rPr>
        <w:t xml:space="preserve"> is </w:t>
      </w:r>
      <w:proofErr w:type="spellStart"/>
      <w:r w:rsidR="00FF6033" w:rsidRPr="00705170">
        <w:rPr>
          <w:rFonts w:ascii="Times New Roman" w:hAnsi="Times New Roman" w:cs="Times New Roman"/>
        </w:rPr>
        <w:t>focused</w:t>
      </w:r>
      <w:proofErr w:type="spellEnd"/>
      <w:r w:rsidR="00FF6033" w:rsidRPr="00705170">
        <w:rPr>
          <w:rFonts w:ascii="Times New Roman" w:hAnsi="Times New Roman" w:cs="Times New Roman"/>
        </w:rPr>
        <w:t xml:space="preserve"> on </w:t>
      </w:r>
      <w:proofErr w:type="spellStart"/>
      <w:r w:rsidR="00FF6033" w:rsidRPr="00705170">
        <w:rPr>
          <w:rFonts w:ascii="Times New Roman" w:hAnsi="Times New Roman" w:cs="Times New Roman"/>
        </w:rPr>
        <w:t>actions</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that</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reduce</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the</w:t>
      </w:r>
      <w:proofErr w:type="spellEnd"/>
      <w:r w:rsidR="00FF6033" w:rsidRPr="00705170">
        <w:rPr>
          <w:rFonts w:ascii="Times New Roman" w:hAnsi="Times New Roman" w:cs="Times New Roman"/>
        </w:rPr>
        <w:t xml:space="preserve"> legal </w:t>
      </w:r>
      <w:proofErr w:type="spellStart"/>
      <w:r w:rsidR="00FF6033" w:rsidRPr="00705170">
        <w:rPr>
          <w:rFonts w:ascii="Times New Roman" w:hAnsi="Times New Roman" w:cs="Times New Roman"/>
        </w:rPr>
        <w:t>capital</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or</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assets</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non</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pecuniary</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benefit’s</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effect</w:t>
      </w:r>
      <w:proofErr w:type="spellEnd"/>
      <w:r w:rsidR="00FF6033" w:rsidRPr="00705170">
        <w:rPr>
          <w:rFonts w:ascii="Times New Roman" w:hAnsi="Times New Roman" w:cs="Times New Roman"/>
        </w:rPr>
        <w:t xml:space="preserve"> on </w:t>
      </w:r>
      <w:proofErr w:type="spellStart"/>
      <w:r w:rsidR="00FF6033" w:rsidRPr="00705170">
        <w:rPr>
          <w:rFonts w:ascii="Times New Roman" w:hAnsi="Times New Roman" w:cs="Times New Roman"/>
        </w:rPr>
        <w:t>the</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detoriation</w:t>
      </w:r>
      <w:proofErr w:type="spellEnd"/>
      <w:r w:rsidR="00FF6033" w:rsidRPr="00705170">
        <w:rPr>
          <w:rFonts w:ascii="Times New Roman" w:hAnsi="Times New Roman" w:cs="Times New Roman"/>
        </w:rPr>
        <w:t xml:space="preserve"> in </w:t>
      </w:r>
      <w:proofErr w:type="spellStart"/>
      <w:r w:rsidR="00FF6033" w:rsidRPr="00705170">
        <w:rPr>
          <w:rFonts w:ascii="Times New Roman" w:hAnsi="Times New Roman" w:cs="Times New Roman"/>
        </w:rPr>
        <w:t>profit</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margins</w:t>
      </w:r>
      <w:proofErr w:type="spellEnd"/>
      <w:r w:rsidRPr="00705170">
        <w:rPr>
          <w:rFonts w:ascii="Times New Roman" w:hAnsi="Times New Roman" w:cs="Times New Roman"/>
        </w:rPr>
        <w:t xml:space="preserve"> </w:t>
      </w:r>
      <w:proofErr w:type="spellStart"/>
      <w:r w:rsidR="00FF6033" w:rsidRPr="00705170">
        <w:rPr>
          <w:rFonts w:ascii="Times New Roman" w:hAnsi="Times New Roman" w:cs="Times New Roman"/>
        </w:rPr>
        <w:t>would</w:t>
      </w:r>
      <w:proofErr w:type="spellEnd"/>
      <w:r w:rsidR="00FF6033" w:rsidRPr="00705170">
        <w:rPr>
          <w:rFonts w:ascii="Times New Roman" w:hAnsi="Times New Roman" w:cs="Times New Roman"/>
        </w:rPr>
        <w:t xml:space="preserve"> not be </w:t>
      </w:r>
      <w:proofErr w:type="spellStart"/>
      <w:r w:rsidR="00FF6033" w:rsidRPr="00705170">
        <w:rPr>
          <w:rFonts w:ascii="Times New Roman" w:hAnsi="Times New Roman" w:cs="Times New Roman"/>
        </w:rPr>
        <w:t>completely</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covered</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by</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the</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article</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Furthermore</w:t>
      </w:r>
      <w:proofErr w:type="spellEnd"/>
      <w:r w:rsidR="00FF6033" w:rsidRPr="00705170">
        <w:rPr>
          <w:rFonts w:ascii="Times New Roman" w:hAnsi="Times New Roman" w:cs="Times New Roman"/>
        </w:rPr>
        <w:t xml:space="preserve">, </w:t>
      </w:r>
      <w:proofErr w:type="spellStart"/>
      <w:r w:rsidR="00F3417A" w:rsidRPr="00705170">
        <w:rPr>
          <w:rFonts w:ascii="Times New Roman" w:hAnsi="Times New Roman" w:cs="Times New Roman"/>
        </w:rPr>
        <w:t>making</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securities</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authority</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police</w:t>
      </w:r>
      <w:proofErr w:type="spellEnd"/>
      <w:r w:rsidR="00F3417A" w:rsidRPr="00705170">
        <w:rPr>
          <w:rFonts w:ascii="Times New Roman" w:hAnsi="Times New Roman" w:cs="Times New Roman"/>
        </w:rPr>
        <w:t xml:space="preserve"> of </w:t>
      </w:r>
      <w:proofErr w:type="spellStart"/>
      <w:r w:rsidR="00F3417A" w:rsidRPr="00705170">
        <w:rPr>
          <w:rFonts w:ascii="Times New Roman" w:hAnsi="Times New Roman" w:cs="Times New Roman"/>
        </w:rPr>
        <w:t>these</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extractions</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causes</w:t>
      </w:r>
      <w:proofErr w:type="spellEnd"/>
      <w:r w:rsidR="00FF6033" w:rsidRPr="00705170">
        <w:rPr>
          <w:rFonts w:ascii="Times New Roman" w:hAnsi="Times New Roman" w:cs="Times New Roman"/>
        </w:rPr>
        <w:t xml:space="preserve"> </w:t>
      </w:r>
      <w:proofErr w:type="spellStart"/>
      <w:r w:rsidR="00FF6033" w:rsidRPr="00705170">
        <w:rPr>
          <w:rFonts w:ascii="Times New Roman" w:hAnsi="Times New Roman" w:cs="Times New Roman"/>
        </w:rPr>
        <w:t>two</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problems</w:t>
      </w:r>
      <w:proofErr w:type="spellEnd"/>
      <w:r w:rsidR="00F3417A" w:rsidRPr="00705170">
        <w:rPr>
          <w:rFonts w:ascii="Times New Roman" w:hAnsi="Times New Roman" w:cs="Times New Roman"/>
        </w:rPr>
        <w:t xml:space="preserve">. First of </w:t>
      </w:r>
      <w:proofErr w:type="spellStart"/>
      <w:r w:rsidR="00F3417A" w:rsidRPr="00705170">
        <w:rPr>
          <w:rFonts w:ascii="Times New Roman" w:hAnsi="Times New Roman" w:cs="Times New Roman"/>
        </w:rPr>
        <w:t>all</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from</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investor</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point</w:t>
      </w:r>
      <w:proofErr w:type="spellEnd"/>
      <w:r w:rsidR="00F3417A" w:rsidRPr="00705170">
        <w:rPr>
          <w:rFonts w:ascii="Times New Roman" w:hAnsi="Times New Roman" w:cs="Times New Roman"/>
        </w:rPr>
        <w:t xml:space="preserve"> of </w:t>
      </w:r>
      <w:proofErr w:type="spellStart"/>
      <w:r w:rsidR="00F3417A" w:rsidRPr="00705170">
        <w:rPr>
          <w:rFonts w:ascii="Times New Roman" w:hAnsi="Times New Roman" w:cs="Times New Roman"/>
        </w:rPr>
        <w:t>view</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knowing</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that</w:t>
      </w:r>
      <w:proofErr w:type="spellEnd"/>
      <w:r w:rsidR="00F3417A" w:rsidRPr="00705170">
        <w:rPr>
          <w:rFonts w:ascii="Times New Roman" w:hAnsi="Times New Roman" w:cs="Times New Roman"/>
        </w:rPr>
        <w:t xml:space="preserve"> an </w:t>
      </w:r>
      <w:proofErr w:type="spellStart"/>
      <w:r w:rsidR="00F3417A" w:rsidRPr="00705170">
        <w:rPr>
          <w:rFonts w:ascii="Times New Roman" w:hAnsi="Times New Roman" w:cs="Times New Roman"/>
        </w:rPr>
        <w:t>administrative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agency</w:t>
      </w:r>
      <w:proofErr w:type="spellEnd"/>
      <w:r w:rsidR="00F3417A" w:rsidRPr="00705170">
        <w:rPr>
          <w:rFonts w:ascii="Times New Roman" w:hAnsi="Times New Roman" w:cs="Times New Roman"/>
        </w:rPr>
        <w:t xml:space="preserve"> has </w:t>
      </w:r>
      <w:proofErr w:type="spellStart"/>
      <w:r w:rsidR="00F3417A" w:rsidRPr="00705170">
        <w:rPr>
          <w:rFonts w:ascii="Times New Roman" w:hAnsi="Times New Roman" w:cs="Times New Roman"/>
        </w:rPr>
        <w:t>broad</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powers</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and</w:t>
      </w:r>
      <w:proofErr w:type="spellEnd"/>
      <w:r w:rsidR="00F3417A" w:rsidRPr="00705170">
        <w:rPr>
          <w:rFonts w:ascii="Times New Roman" w:hAnsi="Times New Roman" w:cs="Times New Roman"/>
        </w:rPr>
        <w:t xml:space="preserve"> it can </w:t>
      </w:r>
      <w:proofErr w:type="spellStart"/>
      <w:r w:rsidR="00F3417A" w:rsidRPr="00705170">
        <w:rPr>
          <w:rFonts w:ascii="Times New Roman" w:hAnsi="Times New Roman" w:cs="Times New Roman"/>
        </w:rPr>
        <w:t>try</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to</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effect</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operation</w:t>
      </w:r>
      <w:proofErr w:type="spellEnd"/>
      <w:r w:rsidR="00F3417A" w:rsidRPr="00705170">
        <w:rPr>
          <w:rFonts w:ascii="Times New Roman" w:hAnsi="Times New Roman" w:cs="Times New Roman"/>
        </w:rPr>
        <w:t xml:space="preserve"> of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corporation</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by</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using</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non</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pecuniary</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extraction</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card</w:t>
      </w:r>
      <w:proofErr w:type="spellEnd"/>
      <w:r w:rsidR="00B25ECF" w:rsidRPr="00705170">
        <w:rPr>
          <w:rFonts w:ascii="Times New Roman" w:hAnsi="Times New Roman" w:cs="Times New Roman"/>
        </w:rPr>
        <w:t>,</w:t>
      </w:r>
      <w:r w:rsidR="00F3417A" w:rsidRPr="00705170">
        <w:rPr>
          <w:rFonts w:ascii="Times New Roman" w:hAnsi="Times New Roman" w:cs="Times New Roman"/>
        </w:rPr>
        <w:t xml:space="preserve"> is an element </w:t>
      </w:r>
      <w:proofErr w:type="spellStart"/>
      <w:r w:rsidR="00F3417A" w:rsidRPr="00705170">
        <w:rPr>
          <w:rFonts w:ascii="Times New Roman" w:hAnsi="Times New Roman" w:cs="Times New Roman"/>
        </w:rPr>
        <w:t>that</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lowers</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trust</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to</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efficient</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function</w:t>
      </w:r>
      <w:r w:rsidR="00B25ECF" w:rsidRPr="00705170">
        <w:rPr>
          <w:rFonts w:ascii="Times New Roman" w:hAnsi="Times New Roman" w:cs="Times New Roman"/>
        </w:rPr>
        <w:t>ing</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and</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integrity</w:t>
      </w:r>
      <w:proofErr w:type="spellEnd"/>
      <w:r w:rsidR="00F3417A" w:rsidRPr="00705170">
        <w:rPr>
          <w:rFonts w:ascii="Times New Roman" w:hAnsi="Times New Roman" w:cs="Times New Roman"/>
        </w:rPr>
        <w:t xml:space="preserve"> of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market, </w:t>
      </w:r>
      <w:proofErr w:type="spellStart"/>
      <w:r w:rsidR="00F3417A" w:rsidRPr="00705170">
        <w:rPr>
          <w:rFonts w:ascii="Times New Roman" w:hAnsi="Times New Roman" w:cs="Times New Roman"/>
        </w:rPr>
        <w:t>and</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investors</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especially</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international</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investors</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will</w:t>
      </w:r>
      <w:proofErr w:type="spellEnd"/>
      <w:r w:rsidR="00F3417A" w:rsidRPr="00705170">
        <w:rPr>
          <w:rFonts w:ascii="Times New Roman" w:hAnsi="Times New Roman" w:cs="Times New Roman"/>
        </w:rPr>
        <w:t xml:space="preserve"> not be </w:t>
      </w:r>
      <w:proofErr w:type="spellStart"/>
      <w:r w:rsidR="00F3417A" w:rsidRPr="00705170">
        <w:rPr>
          <w:rFonts w:ascii="Times New Roman" w:hAnsi="Times New Roman" w:cs="Times New Roman"/>
        </w:rPr>
        <w:t>induced</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to</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invest</w:t>
      </w:r>
      <w:proofErr w:type="spellEnd"/>
      <w:r w:rsidR="00B25ECF" w:rsidRPr="00705170">
        <w:rPr>
          <w:rFonts w:ascii="Times New Roman" w:hAnsi="Times New Roman" w:cs="Times New Roman"/>
        </w:rPr>
        <w:t xml:space="preserve"> in a market </w:t>
      </w:r>
      <w:proofErr w:type="spellStart"/>
      <w:r w:rsidR="00B25ECF" w:rsidRPr="00705170">
        <w:rPr>
          <w:rFonts w:ascii="Times New Roman" w:hAnsi="Times New Roman" w:cs="Times New Roman"/>
        </w:rPr>
        <w:t>like</w:t>
      </w:r>
      <w:proofErr w:type="spellEnd"/>
      <w:r w:rsidR="00B25ECF" w:rsidRPr="00705170">
        <w:rPr>
          <w:rFonts w:ascii="Times New Roman" w:hAnsi="Times New Roman" w:cs="Times New Roman"/>
        </w:rPr>
        <w:t xml:space="preserve"> </w:t>
      </w:r>
      <w:proofErr w:type="spellStart"/>
      <w:r w:rsidR="00B25ECF" w:rsidRPr="00705170">
        <w:rPr>
          <w:rFonts w:ascii="Times New Roman" w:hAnsi="Times New Roman" w:cs="Times New Roman"/>
        </w:rPr>
        <w:t>this</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Secondly</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notion</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that</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benefits</w:t>
      </w:r>
      <w:proofErr w:type="spellEnd"/>
      <w:r w:rsidR="00F3417A" w:rsidRPr="00705170">
        <w:rPr>
          <w:rFonts w:ascii="Times New Roman" w:hAnsi="Times New Roman" w:cs="Times New Roman"/>
        </w:rPr>
        <w:t xml:space="preserve"> of </w:t>
      </w:r>
      <w:proofErr w:type="spellStart"/>
      <w:r w:rsidR="00F3417A" w:rsidRPr="00705170">
        <w:rPr>
          <w:rFonts w:ascii="Times New Roman" w:hAnsi="Times New Roman" w:cs="Times New Roman"/>
        </w:rPr>
        <w:t>such</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detection</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will</w:t>
      </w:r>
      <w:proofErr w:type="spellEnd"/>
      <w:r w:rsidR="00F3417A" w:rsidRPr="00705170">
        <w:rPr>
          <w:rFonts w:ascii="Times New Roman" w:hAnsi="Times New Roman" w:cs="Times New Roman"/>
        </w:rPr>
        <w:t xml:space="preserve"> not be </w:t>
      </w:r>
      <w:proofErr w:type="spellStart"/>
      <w:r w:rsidR="00F3417A" w:rsidRPr="00705170">
        <w:rPr>
          <w:rFonts w:ascii="Times New Roman" w:hAnsi="Times New Roman" w:cs="Times New Roman"/>
        </w:rPr>
        <w:t>directly</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transferred</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to</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shareholders</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would</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lower</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shareholder</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motivation</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to</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act</w:t>
      </w:r>
      <w:proofErr w:type="spellEnd"/>
      <w:r w:rsidR="00F3417A" w:rsidRPr="00705170">
        <w:rPr>
          <w:rFonts w:ascii="Times New Roman" w:hAnsi="Times New Roman" w:cs="Times New Roman"/>
        </w:rPr>
        <w:t xml:space="preserve"> as a </w:t>
      </w:r>
      <w:proofErr w:type="spellStart"/>
      <w:r w:rsidR="00F3417A" w:rsidRPr="00705170">
        <w:rPr>
          <w:rFonts w:ascii="Times New Roman" w:hAnsi="Times New Roman" w:cs="Times New Roman"/>
        </w:rPr>
        <w:t>gatekeeper</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and</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would</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instead</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leave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all</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work</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to</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agency</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and</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this</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would</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increase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costs</w:t>
      </w:r>
      <w:proofErr w:type="spellEnd"/>
      <w:r w:rsidR="00F3417A" w:rsidRPr="00705170">
        <w:rPr>
          <w:rFonts w:ascii="Times New Roman" w:hAnsi="Times New Roman" w:cs="Times New Roman"/>
        </w:rPr>
        <w:t xml:space="preserve"> of </w:t>
      </w:r>
      <w:proofErr w:type="spellStart"/>
      <w:r w:rsidR="00F3417A" w:rsidRPr="00705170">
        <w:rPr>
          <w:rFonts w:ascii="Times New Roman" w:hAnsi="Times New Roman" w:cs="Times New Roman"/>
        </w:rPr>
        <w:t>regulatory</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enforcement</w:t>
      </w:r>
      <w:proofErr w:type="spellEnd"/>
      <w:r w:rsidR="00F3417A" w:rsidRPr="00705170">
        <w:rPr>
          <w:rFonts w:ascii="Times New Roman" w:hAnsi="Times New Roman" w:cs="Times New Roman"/>
        </w:rPr>
        <w:t xml:space="preserve">. </w:t>
      </w:r>
      <w:proofErr w:type="spellStart"/>
      <w:r w:rsidR="00573B40" w:rsidRPr="00705170">
        <w:rPr>
          <w:rFonts w:ascii="Times New Roman" w:hAnsi="Times New Roman" w:cs="Times New Roman"/>
        </w:rPr>
        <w:t>T</w:t>
      </w:r>
      <w:r w:rsidR="00300C95" w:rsidRPr="00705170">
        <w:rPr>
          <w:rFonts w:ascii="Times New Roman" w:hAnsi="Times New Roman" w:cs="Times New Roman"/>
        </w:rPr>
        <w:t>hirdly</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t</w:t>
      </w:r>
      <w:r w:rsidR="00573B40" w:rsidRPr="00705170">
        <w:rPr>
          <w:rFonts w:ascii="Times New Roman" w:hAnsi="Times New Roman" w:cs="Times New Roman"/>
        </w:rPr>
        <w:t>he</w:t>
      </w:r>
      <w:proofErr w:type="spellEnd"/>
      <w:r w:rsidR="00573B40" w:rsidRPr="00705170">
        <w:rPr>
          <w:rFonts w:ascii="Times New Roman" w:hAnsi="Times New Roman" w:cs="Times New Roman"/>
        </w:rPr>
        <w:t xml:space="preserve"> </w:t>
      </w:r>
      <w:proofErr w:type="spellStart"/>
      <w:r w:rsidR="00573B40" w:rsidRPr="00705170">
        <w:rPr>
          <w:rFonts w:ascii="Times New Roman" w:hAnsi="Times New Roman" w:cs="Times New Roman"/>
        </w:rPr>
        <w:t>notion</w:t>
      </w:r>
      <w:proofErr w:type="spellEnd"/>
      <w:r w:rsidR="00573B40" w:rsidRPr="00705170">
        <w:rPr>
          <w:rFonts w:ascii="Times New Roman" w:hAnsi="Times New Roman" w:cs="Times New Roman"/>
        </w:rPr>
        <w:t xml:space="preserve"> </w:t>
      </w:r>
      <w:proofErr w:type="spellStart"/>
      <w:r w:rsidR="00573B40" w:rsidRPr="00705170">
        <w:rPr>
          <w:rFonts w:ascii="Times New Roman" w:hAnsi="Times New Roman" w:cs="Times New Roman"/>
        </w:rPr>
        <w:t>that</w:t>
      </w:r>
      <w:proofErr w:type="spellEnd"/>
      <w:r w:rsidR="001829C6" w:rsidRPr="00705170">
        <w:rPr>
          <w:rFonts w:ascii="Times New Roman" w:hAnsi="Times New Roman" w:cs="Times New Roman"/>
        </w:rPr>
        <w:t xml:space="preserve"> a </w:t>
      </w:r>
      <w:proofErr w:type="spellStart"/>
      <w:r w:rsidR="001829C6" w:rsidRPr="00705170">
        <w:rPr>
          <w:rFonts w:ascii="Times New Roman" w:hAnsi="Times New Roman" w:cs="Times New Roman"/>
        </w:rPr>
        <w:t>securities</w:t>
      </w:r>
      <w:proofErr w:type="spellEnd"/>
      <w:r w:rsidR="001829C6" w:rsidRPr="00705170">
        <w:rPr>
          <w:rFonts w:ascii="Times New Roman" w:hAnsi="Times New Roman" w:cs="Times New Roman"/>
        </w:rPr>
        <w:t xml:space="preserve"> </w:t>
      </w:r>
      <w:proofErr w:type="spellStart"/>
      <w:r w:rsidR="001829C6" w:rsidRPr="00705170">
        <w:rPr>
          <w:rFonts w:ascii="Times New Roman" w:hAnsi="Times New Roman" w:cs="Times New Roman"/>
        </w:rPr>
        <w:t>agency</w:t>
      </w:r>
      <w:proofErr w:type="spellEnd"/>
      <w:r w:rsidR="001829C6" w:rsidRPr="00705170">
        <w:rPr>
          <w:rFonts w:ascii="Times New Roman" w:hAnsi="Times New Roman" w:cs="Times New Roman"/>
        </w:rPr>
        <w:t xml:space="preserve"> </w:t>
      </w:r>
      <w:proofErr w:type="spellStart"/>
      <w:r w:rsidR="001829C6" w:rsidRPr="00705170">
        <w:rPr>
          <w:rFonts w:ascii="Times New Roman" w:hAnsi="Times New Roman" w:cs="Times New Roman"/>
        </w:rPr>
        <w:t>should</w:t>
      </w:r>
      <w:proofErr w:type="spellEnd"/>
      <w:r w:rsidR="001829C6" w:rsidRPr="00705170">
        <w:rPr>
          <w:rFonts w:ascii="Times New Roman" w:hAnsi="Times New Roman" w:cs="Times New Roman"/>
        </w:rPr>
        <w:t xml:space="preserve"> </w:t>
      </w:r>
      <w:proofErr w:type="spellStart"/>
      <w:r w:rsidR="001829C6" w:rsidRPr="00705170">
        <w:rPr>
          <w:rFonts w:ascii="Times New Roman" w:hAnsi="Times New Roman" w:cs="Times New Roman"/>
        </w:rPr>
        <w:t>exercise</w:t>
      </w:r>
      <w:proofErr w:type="spellEnd"/>
      <w:r w:rsidR="001829C6" w:rsidRPr="00705170">
        <w:rPr>
          <w:rFonts w:ascii="Times New Roman" w:hAnsi="Times New Roman" w:cs="Times New Roman"/>
        </w:rPr>
        <w:t xml:space="preserve"> </w:t>
      </w:r>
      <w:proofErr w:type="spellStart"/>
      <w:r w:rsidR="001829C6" w:rsidRPr="00705170">
        <w:rPr>
          <w:rFonts w:ascii="Times New Roman" w:hAnsi="Times New Roman" w:cs="Times New Roman"/>
        </w:rPr>
        <w:t>its</w:t>
      </w:r>
      <w:proofErr w:type="spellEnd"/>
      <w:r w:rsidR="00895EEC" w:rsidRPr="00705170">
        <w:rPr>
          <w:rFonts w:ascii="Times New Roman" w:hAnsi="Times New Roman" w:cs="Times New Roman"/>
        </w:rPr>
        <w:t xml:space="preserve"> </w:t>
      </w:r>
      <w:proofErr w:type="spellStart"/>
      <w:r w:rsidR="00895EEC" w:rsidRPr="00705170">
        <w:rPr>
          <w:rFonts w:ascii="Times New Roman" w:hAnsi="Times New Roman" w:cs="Times New Roman"/>
        </w:rPr>
        <w:t>powers</w:t>
      </w:r>
      <w:proofErr w:type="spellEnd"/>
      <w:r w:rsidR="00895EEC" w:rsidRPr="00705170">
        <w:rPr>
          <w:rFonts w:ascii="Times New Roman" w:hAnsi="Times New Roman" w:cs="Times New Roman"/>
        </w:rPr>
        <w:t xml:space="preserve"> in </w:t>
      </w:r>
      <w:proofErr w:type="spellStart"/>
      <w:r w:rsidR="00895EEC" w:rsidRPr="00705170">
        <w:rPr>
          <w:rFonts w:ascii="Times New Roman" w:hAnsi="Times New Roman" w:cs="Times New Roman"/>
        </w:rPr>
        <w:t>accordance</w:t>
      </w:r>
      <w:proofErr w:type="spellEnd"/>
      <w:r w:rsidR="00895EEC" w:rsidRPr="00705170">
        <w:rPr>
          <w:rFonts w:ascii="Times New Roman" w:hAnsi="Times New Roman" w:cs="Times New Roman"/>
        </w:rPr>
        <w:t xml:space="preserve"> </w:t>
      </w:r>
      <w:proofErr w:type="spellStart"/>
      <w:r w:rsidR="00895EEC" w:rsidRPr="00705170">
        <w:rPr>
          <w:rFonts w:ascii="Times New Roman" w:hAnsi="Times New Roman" w:cs="Times New Roman"/>
        </w:rPr>
        <w:t>with</w:t>
      </w:r>
      <w:proofErr w:type="spellEnd"/>
      <w:r w:rsidR="00895EEC" w:rsidRPr="00705170">
        <w:rPr>
          <w:rFonts w:ascii="Times New Roman" w:hAnsi="Times New Roman" w:cs="Times New Roman"/>
        </w:rPr>
        <w:t xml:space="preserve"> </w:t>
      </w:r>
      <w:proofErr w:type="spellStart"/>
      <w:r w:rsidR="00895EEC" w:rsidRPr="00705170">
        <w:rPr>
          <w:rFonts w:ascii="Times New Roman" w:hAnsi="Times New Roman" w:cs="Times New Roman"/>
        </w:rPr>
        <w:t>the</w:t>
      </w:r>
      <w:proofErr w:type="spellEnd"/>
      <w:r w:rsidR="00895EEC" w:rsidRPr="00705170">
        <w:rPr>
          <w:rFonts w:ascii="Times New Roman" w:hAnsi="Times New Roman" w:cs="Times New Roman"/>
        </w:rPr>
        <w:t xml:space="preserve"> </w:t>
      </w:r>
      <w:proofErr w:type="spellStart"/>
      <w:r w:rsidR="001829C6" w:rsidRPr="00705170">
        <w:rPr>
          <w:rFonts w:ascii="Times New Roman" w:hAnsi="Times New Roman" w:cs="Times New Roman"/>
        </w:rPr>
        <w:t>sc</w:t>
      </w:r>
      <w:r w:rsidR="00300C95" w:rsidRPr="00705170">
        <w:rPr>
          <w:rFonts w:ascii="Times New Roman" w:hAnsi="Times New Roman" w:cs="Times New Roman"/>
        </w:rPr>
        <w:t>ope</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and</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aim</w:t>
      </w:r>
      <w:proofErr w:type="spellEnd"/>
      <w:r w:rsidR="00300C95" w:rsidRPr="00705170">
        <w:rPr>
          <w:rFonts w:ascii="Times New Roman" w:hAnsi="Times New Roman" w:cs="Times New Roman"/>
        </w:rPr>
        <w:t xml:space="preserve"> of </w:t>
      </w:r>
      <w:proofErr w:type="spellStart"/>
      <w:r w:rsidR="00300C95" w:rsidRPr="00705170">
        <w:rPr>
          <w:rFonts w:ascii="Times New Roman" w:hAnsi="Times New Roman" w:cs="Times New Roman"/>
        </w:rPr>
        <w:t>the</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statute</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may</w:t>
      </w:r>
      <w:proofErr w:type="spellEnd"/>
      <w:r w:rsidR="001829C6" w:rsidRPr="00705170">
        <w:rPr>
          <w:rFonts w:ascii="Times New Roman" w:hAnsi="Times New Roman" w:cs="Times New Roman"/>
        </w:rPr>
        <w:t xml:space="preserve"> bar </w:t>
      </w:r>
      <w:proofErr w:type="spellStart"/>
      <w:r w:rsidR="001829C6" w:rsidRPr="00705170">
        <w:rPr>
          <w:rFonts w:ascii="Times New Roman" w:hAnsi="Times New Roman" w:cs="Times New Roman"/>
        </w:rPr>
        <w:t>the</w:t>
      </w:r>
      <w:proofErr w:type="spellEnd"/>
      <w:r w:rsidR="001829C6" w:rsidRPr="00705170">
        <w:rPr>
          <w:rFonts w:ascii="Times New Roman" w:hAnsi="Times New Roman" w:cs="Times New Roman"/>
        </w:rPr>
        <w:t xml:space="preserve"> </w:t>
      </w:r>
      <w:proofErr w:type="spellStart"/>
      <w:r w:rsidR="001829C6" w:rsidRPr="00705170">
        <w:rPr>
          <w:rFonts w:ascii="Times New Roman" w:hAnsi="Times New Roman" w:cs="Times New Roman"/>
        </w:rPr>
        <w:t>authority</w:t>
      </w:r>
      <w:proofErr w:type="spellEnd"/>
      <w:r w:rsidR="001829C6" w:rsidRPr="00705170">
        <w:rPr>
          <w:rFonts w:ascii="Times New Roman" w:hAnsi="Times New Roman" w:cs="Times New Roman"/>
        </w:rPr>
        <w:t xml:space="preserve"> </w:t>
      </w:r>
      <w:proofErr w:type="spellStart"/>
      <w:r w:rsidR="001829C6" w:rsidRPr="00705170">
        <w:rPr>
          <w:rFonts w:ascii="Times New Roman" w:hAnsi="Times New Roman" w:cs="Times New Roman"/>
        </w:rPr>
        <w:t>from</w:t>
      </w:r>
      <w:proofErr w:type="spellEnd"/>
      <w:r w:rsidR="001829C6" w:rsidRPr="00705170">
        <w:rPr>
          <w:rFonts w:ascii="Times New Roman" w:hAnsi="Times New Roman" w:cs="Times New Roman"/>
        </w:rPr>
        <w:t xml:space="preserve"> </w:t>
      </w:r>
      <w:proofErr w:type="spellStart"/>
      <w:r w:rsidR="00300C95" w:rsidRPr="00705170">
        <w:rPr>
          <w:rFonts w:ascii="Times New Roman" w:hAnsi="Times New Roman" w:cs="Times New Roman"/>
        </w:rPr>
        <w:t>using</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the</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power</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under</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this</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provision</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for</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the</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control</w:t>
      </w:r>
      <w:proofErr w:type="spellEnd"/>
      <w:r w:rsidR="00300C95" w:rsidRPr="00705170">
        <w:rPr>
          <w:rFonts w:ascii="Times New Roman" w:hAnsi="Times New Roman" w:cs="Times New Roman"/>
        </w:rPr>
        <w:t xml:space="preserve"> of </w:t>
      </w:r>
      <w:proofErr w:type="spellStart"/>
      <w:r w:rsidR="00300C95" w:rsidRPr="00705170">
        <w:rPr>
          <w:rFonts w:ascii="Times New Roman" w:hAnsi="Times New Roman" w:cs="Times New Roman"/>
        </w:rPr>
        <w:t>non</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pecuniary</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private</w:t>
      </w:r>
      <w:proofErr w:type="spellEnd"/>
      <w:r w:rsidR="00300C95" w:rsidRPr="00705170">
        <w:rPr>
          <w:rFonts w:ascii="Times New Roman" w:hAnsi="Times New Roman" w:cs="Times New Roman"/>
        </w:rPr>
        <w:t xml:space="preserve"> </w:t>
      </w:r>
      <w:proofErr w:type="spellStart"/>
      <w:r w:rsidR="00300C95" w:rsidRPr="00705170">
        <w:rPr>
          <w:rFonts w:ascii="Times New Roman" w:hAnsi="Times New Roman" w:cs="Times New Roman"/>
        </w:rPr>
        <w:t>benefits</w:t>
      </w:r>
      <w:proofErr w:type="spellEnd"/>
      <w:r w:rsidR="00300C95" w:rsidRPr="00705170">
        <w:rPr>
          <w:rStyle w:val="DipnotBavurusu"/>
          <w:rFonts w:ascii="Times New Roman" w:hAnsi="Times New Roman" w:cs="Times New Roman"/>
        </w:rPr>
        <w:footnoteReference w:id="361"/>
      </w:r>
      <w:r w:rsidR="00300C95" w:rsidRPr="00705170">
        <w:rPr>
          <w:rFonts w:ascii="Times New Roman" w:hAnsi="Times New Roman" w:cs="Times New Roman"/>
        </w:rPr>
        <w:t xml:space="preserve">. </w:t>
      </w:r>
      <w:proofErr w:type="spellStart"/>
      <w:r w:rsidR="00F3417A" w:rsidRPr="00705170">
        <w:rPr>
          <w:rFonts w:ascii="Times New Roman" w:hAnsi="Times New Roman" w:cs="Times New Roman"/>
        </w:rPr>
        <w:t>All</w:t>
      </w:r>
      <w:proofErr w:type="spellEnd"/>
      <w:r w:rsidR="00F3417A" w:rsidRPr="00705170">
        <w:rPr>
          <w:rFonts w:ascii="Times New Roman" w:hAnsi="Times New Roman" w:cs="Times New Roman"/>
        </w:rPr>
        <w:t xml:space="preserve"> in </w:t>
      </w:r>
      <w:proofErr w:type="spellStart"/>
      <w:r w:rsidR="00F3417A" w:rsidRPr="00705170">
        <w:rPr>
          <w:rFonts w:ascii="Times New Roman" w:hAnsi="Times New Roman" w:cs="Times New Roman"/>
        </w:rPr>
        <w:t>all</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leaving</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lastRenderedPageBreak/>
        <w:t>issue</w:t>
      </w:r>
      <w:proofErr w:type="spellEnd"/>
      <w:r w:rsidR="00F3417A" w:rsidRPr="00705170">
        <w:rPr>
          <w:rFonts w:ascii="Times New Roman" w:hAnsi="Times New Roman" w:cs="Times New Roman"/>
        </w:rPr>
        <w:t xml:space="preserve"> of </w:t>
      </w:r>
      <w:proofErr w:type="spellStart"/>
      <w:r w:rsidR="00F3417A" w:rsidRPr="00705170">
        <w:rPr>
          <w:rFonts w:ascii="Times New Roman" w:hAnsi="Times New Roman" w:cs="Times New Roman"/>
        </w:rPr>
        <w:t>non</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pecuniary</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benefit</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extractions</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to</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this</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provision</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will</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cause</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inefficiency</w:t>
      </w:r>
      <w:proofErr w:type="spellEnd"/>
      <w:r w:rsidR="00F3417A" w:rsidRPr="00705170">
        <w:rPr>
          <w:rFonts w:ascii="Times New Roman" w:hAnsi="Times New Roman" w:cs="Times New Roman"/>
        </w:rPr>
        <w:t xml:space="preserve">, </w:t>
      </w:r>
      <w:proofErr w:type="spellStart"/>
      <w:r w:rsidR="00F3417A" w:rsidRPr="00705170">
        <w:rPr>
          <w:rFonts w:ascii="Times New Roman" w:hAnsi="Times New Roman" w:cs="Times New Roman"/>
        </w:rPr>
        <w:t>thus</w:t>
      </w:r>
      <w:proofErr w:type="spellEnd"/>
      <w:r w:rsidR="00F3417A" w:rsidRPr="00705170">
        <w:rPr>
          <w:rFonts w:ascii="Times New Roman" w:hAnsi="Times New Roman" w:cs="Times New Roman"/>
        </w:rPr>
        <w:t xml:space="preserve"> </w:t>
      </w:r>
      <w:r w:rsidR="00B25ECF" w:rsidRPr="00705170">
        <w:rPr>
          <w:rFonts w:ascii="Times New Roman" w:hAnsi="Times New Roman" w:cs="Times New Roman"/>
        </w:rPr>
        <w:t xml:space="preserve">it is </w:t>
      </w:r>
      <w:r w:rsidR="00F3417A" w:rsidRPr="00705170">
        <w:rPr>
          <w:rFonts w:ascii="Times New Roman" w:hAnsi="Times New Roman" w:cs="Times New Roman"/>
        </w:rPr>
        <w:t xml:space="preserve">not </w:t>
      </w:r>
      <w:proofErr w:type="spellStart"/>
      <w:r w:rsidR="00F3417A" w:rsidRPr="00705170">
        <w:rPr>
          <w:rFonts w:ascii="Times New Roman" w:hAnsi="Times New Roman" w:cs="Times New Roman"/>
        </w:rPr>
        <w:t>convenient</w:t>
      </w:r>
      <w:proofErr w:type="spellEnd"/>
      <w:r w:rsidR="00F3417A" w:rsidRPr="00705170">
        <w:rPr>
          <w:rFonts w:ascii="Times New Roman" w:hAnsi="Times New Roman" w:cs="Times New Roman"/>
        </w:rPr>
        <w:t>.</w:t>
      </w:r>
    </w:p>
    <w:p w14:paraId="3332743F" w14:textId="45E9CB18" w:rsidR="00A02947" w:rsidRPr="00705170" w:rsidRDefault="00C01441" w:rsidP="00036F1D">
      <w:pPr>
        <w:spacing w:after="240" w:line="480" w:lineRule="auto"/>
        <w:ind w:firstLine="708"/>
        <w:rPr>
          <w:rFonts w:ascii="Times New Roman" w:hAnsi="Times New Roman" w:cs="Times New Roman"/>
          <w:b/>
        </w:rPr>
      </w:pPr>
      <w:r>
        <w:rPr>
          <w:rFonts w:ascii="Times New Roman" w:hAnsi="Times New Roman" w:cs="Times New Roman"/>
          <w:b/>
        </w:rPr>
        <w:t>3</w:t>
      </w:r>
      <w:r w:rsidR="00A02947" w:rsidRPr="00705170">
        <w:rPr>
          <w:rFonts w:ascii="Times New Roman" w:hAnsi="Times New Roman" w:cs="Times New Roman"/>
          <w:b/>
        </w:rPr>
        <w:t xml:space="preserve">.3. </w:t>
      </w:r>
      <w:proofErr w:type="spellStart"/>
      <w:r w:rsidR="00A02947" w:rsidRPr="00705170">
        <w:rPr>
          <w:rFonts w:ascii="Times New Roman" w:hAnsi="Times New Roman" w:cs="Times New Roman"/>
          <w:b/>
        </w:rPr>
        <w:t>Conclusion</w:t>
      </w:r>
      <w:proofErr w:type="spellEnd"/>
    </w:p>
    <w:p w14:paraId="739207CB" w14:textId="01BBE1EF" w:rsidR="00D1477B" w:rsidRPr="00705170" w:rsidRDefault="003A3B8F" w:rsidP="00D63515">
      <w:pPr>
        <w:spacing w:after="240" w:line="480" w:lineRule="auto"/>
        <w:jc w:val="both"/>
        <w:rPr>
          <w:rFonts w:ascii="Times New Roman" w:hAnsi="Times New Roman" w:cs="Times New Roman"/>
        </w:rPr>
      </w:pPr>
      <w:r w:rsidRPr="00705170">
        <w:rPr>
          <w:rFonts w:ascii="Times New Roman" w:hAnsi="Times New Roman" w:cs="Times New Roman"/>
        </w:rPr>
        <w:tab/>
      </w:r>
      <w:r w:rsidR="00DF3899" w:rsidRPr="00705170">
        <w:rPr>
          <w:rFonts w:ascii="Times New Roman" w:hAnsi="Times New Roman" w:cs="Times New Roman"/>
        </w:rPr>
        <w:t xml:space="preserve">As </w:t>
      </w:r>
      <w:proofErr w:type="spellStart"/>
      <w:r w:rsidR="00DF3899" w:rsidRPr="00705170">
        <w:rPr>
          <w:rFonts w:ascii="Times New Roman" w:hAnsi="Times New Roman" w:cs="Times New Roman"/>
        </w:rPr>
        <w:t>shown</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throughout</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this</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Chapter</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both</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the</w:t>
      </w:r>
      <w:proofErr w:type="spellEnd"/>
      <w:r w:rsidR="00DF3899" w:rsidRPr="00705170">
        <w:rPr>
          <w:rFonts w:ascii="Times New Roman" w:hAnsi="Times New Roman" w:cs="Times New Roman"/>
        </w:rPr>
        <w:t xml:space="preserve"> general </w:t>
      </w:r>
      <w:proofErr w:type="spellStart"/>
      <w:r w:rsidR="00DF3899" w:rsidRPr="00705170">
        <w:rPr>
          <w:rFonts w:ascii="Times New Roman" w:hAnsi="Times New Roman" w:cs="Times New Roman"/>
        </w:rPr>
        <w:t>theories</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and</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the</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specific</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provisions</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that</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might</w:t>
      </w:r>
      <w:proofErr w:type="spellEnd"/>
      <w:r w:rsidR="00DF3899" w:rsidRPr="00705170">
        <w:rPr>
          <w:rFonts w:ascii="Times New Roman" w:hAnsi="Times New Roman" w:cs="Times New Roman"/>
        </w:rPr>
        <w:t xml:space="preserve"> be </w:t>
      </w:r>
      <w:proofErr w:type="spellStart"/>
      <w:r w:rsidR="00DF3899" w:rsidRPr="00705170">
        <w:rPr>
          <w:rFonts w:ascii="Times New Roman" w:hAnsi="Times New Roman" w:cs="Times New Roman"/>
        </w:rPr>
        <w:t>used</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to</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deal</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with</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non</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pecuniary</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private</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benefit</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extractions</w:t>
      </w:r>
      <w:proofErr w:type="spellEnd"/>
      <w:r w:rsidR="00DF3899" w:rsidRPr="00705170">
        <w:rPr>
          <w:rFonts w:ascii="Times New Roman" w:hAnsi="Times New Roman" w:cs="Times New Roman"/>
        </w:rPr>
        <w:t xml:space="preserve"> has </w:t>
      </w:r>
      <w:proofErr w:type="spellStart"/>
      <w:r w:rsidR="00DF3899" w:rsidRPr="00705170">
        <w:rPr>
          <w:rFonts w:ascii="Times New Roman" w:hAnsi="Times New Roman" w:cs="Times New Roman"/>
        </w:rPr>
        <w:t>flaws</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and</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loopholes</w:t>
      </w:r>
      <w:proofErr w:type="spellEnd"/>
      <w:r w:rsidR="00DF3899" w:rsidRPr="00705170">
        <w:rPr>
          <w:rFonts w:ascii="Times New Roman" w:hAnsi="Times New Roman" w:cs="Times New Roman"/>
        </w:rPr>
        <w:t>.</w:t>
      </w:r>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The</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loopholes</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exist</w:t>
      </w:r>
      <w:proofErr w:type="spellEnd"/>
      <w:r w:rsidR="00DF3899" w:rsidRPr="00705170">
        <w:rPr>
          <w:rFonts w:ascii="Times New Roman" w:hAnsi="Times New Roman" w:cs="Times New Roman"/>
        </w:rPr>
        <w:t xml:space="preserve"> </w:t>
      </w:r>
      <w:r w:rsidR="001B4AC8" w:rsidRPr="00705170">
        <w:rPr>
          <w:rFonts w:ascii="Times New Roman" w:hAnsi="Times New Roman" w:cs="Times New Roman"/>
        </w:rPr>
        <w:t xml:space="preserve">in </w:t>
      </w:r>
      <w:proofErr w:type="spellStart"/>
      <w:r w:rsidR="001B4AC8" w:rsidRPr="00705170">
        <w:rPr>
          <w:rFonts w:ascii="Times New Roman" w:hAnsi="Times New Roman" w:cs="Times New Roman"/>
        </w:rPr>
        <w:t>the</w:t>
      </w:r>
      <w:proofErr w:type="spellEnd"/>
      <w:r w:rsidR="001B4AC8" w:rsidRPr="00705170">
        <w:rPr>
          <w:rFonts w:ascii="Times New Roman" w:hAnsi="Times New Roman" w:cs="Times New Roman"/>
        </w:rPr>
        <w:t xml:space="preserve"> </w:t>
      </w:r>
      <w:proofErr w:type="spellStart"/>
      <w:r w:rsidR="001B4AC8" w:rsidRPr="00705170">
        <w:rPr>
          <w:rFonts w:ascii="Times New Roman" w:hAnsi="Times New Roman" w:cs="Times New Roman"/>
        </w:rPr>
        <w:t>specific</w:t>
      </w:r>
      <w:proofErr w:type="spellEnd"/>
      <w:r w:rsidR="001B4AC8" w:rsidRPr="00705170">
        <w:rPr>
          <w:rFonts w:ascii="Times New Roman" w:hAnsi="Times New Roman" w:cs="Times New Roman"/>
        </w:rPr>
        <w:t xml:space="preserve"> </w:t>
      </w:r>
      <w:proofErr w:type="spellStart"/>
      <w:r w:rsidR="001B4AC8" w:rsidRPr="00705170">
        <w:rPr>
          <w:rFonts w:ascii="Times New Roman" w:hAnsi="Times New Roman" w:cs="Times New Roman"/>
        </w:rPr>
        <w:t>provisions</w:t>
      </w:r>
      <w:proofErr w:type="spellEnd"/>
      <w:r w:rsidR="001B4AC8" w:rsidRPr="00705170">
        <w:rPr>
          <w:rFonts w:ascii="Times New Roman" w:hAnsi="Times New Roman" w:cs="Times New Roman"/>
        </w:rPr>
        <w:t xml:space="preserve"> </w:t>
      </w:r>
      <w:proofErr w:type="spellStart"/>
      <w:r w:rsidR="00DF3899" w:rsidRPr="00705170">
        <w:rPr>
          <w:rFonts w:ascii="Times New Roman" w:hAnsi="Times New Roman" w:cs="Times New Roman"/>
        </w:rPr>
        <w:t>primarily</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because</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the</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provisions</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are</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focused</w:t>
      </w:r>
      <w:proofErr w:type="spellEnd"/>
      <w:r w:rsidR="00DF3899" w:rsidRPr="00705170">
        <w:rPr>
          <w:rFonts w:ascii="Times New Roman" w:hAnsi="Times New Roman" w:cs="Times New Roman"/>
        </w:rPr>
        <w:t xml:space="preserve"> on </w:t>
      </w:r>
      <w:proofErr w:type="spellStart"/>
      <w:r w:rsidR="00DF3899" w:rsidRPr="00705170">
        <w:rPr>
          <w:rFonts w:ascii="Times New Roman" w:hAnsi="Times New Roman" w:cs="Times New Roman"/>
        </w:rPr>
        <w:t>either</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the</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relatedness</w:t>
      </w:r>
      <w:proofErr w:type="spellEnd"/>
      <w:r w:rsidR="00DF3899" w:rsidRPr="00705170">
        <w:rPr>
          <w:rFonts w:ascii="Times New Roman" w:hAnsi="Times New Roman" w:cs="Times New Roman"/>
        </w:rPr>
        <w:t xml:space="preserve"> of </w:t>
      </w:r>
      <w:proofErr w:type="spellStart"/>
      <w:r w:rsidR="00DF3899" w:rsidRPr="00705170">
        <w:rPr>
          <w:rFonts w:ascii="Times New Roman" w:hAnsi="Times New Roman" w:cs="Times New Roman"/>
        </w:rPr>
        <w:t>the</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parties</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or</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the</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value</w:t>
      </w:r>
      <w:proofErr w:type="spellEnd"/>
      <w:r w:rsidR="00DF3899" w:rsidRPr="00705170">
        <w:rPr>
          <w:rFonts w:ascii="Times New Roman" w:hAnsi="Times New Roman" w:cs="Times New Roman"/>
        </w:rPr>
        <w:t xml:space="preserve"> of </w:t>
      </w:r>
      <w:proofErr w:type="spellStart"/>
      <w:r w:rsidR="00DF3899" w:rsidRPr="00705170">
        <w:rPr>
          <w:rFonts w:ascii="Times New Roman" w:hAnsi="Times New Roman" w:cs="Times New Roman"/>
        </w:rPr>
        <w:t>subject</w:t>
      </w:r>
      <w:proofErr w:type="spellEnd"/>
      <w:r w:rsidR="00DF3899" w:rsidRPr="00705170">
        <w:rPr>
          <w:rFonts w:ascii="Times New Roman" w:hAnsi="Times New Roman" w:cs="Times New Roman"/>
        </w:rPr>
        <w:t xml:space="preserve"> of </w:t>
      </w:r>
      <w:proofErr w:type="spellStart"/>
      <w:r w:rsidR="00DF3899" w:rsidRPr="00705170">
        <w:rPr>
          <w:rFonts w:ascii="Times New Roman" w:hAnsi="Times New Roman" w:cs="Times New Roman"/>
        </w:rPr>
        <w:t>the</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transaction</w:t>
      </w:r>
      <w:proofErr w:type="spellEnd"/>
      <w:r w:rsidR="00DF3899" w:rsidRPr="00705170">
        <w:rPr>
          <w:rFonts w:ascii="Times New Roman" w:hAnsi="Times New Roman" w:cs="Times New Roman"/>
        </w:rPr>
        <w:t xml:space="preserve">. On </w:t>
      </w:r>
      <w:proofErr w:type="spellStart"/>
      <w:r w:rsidR="00DF3899" w:rsidRPr="00705170">
        <w:rPr>
          <w:rFonts w:ascii="Times New Roman" w:hAnsi="Times New Roman" w:cs="Times New Roman"/>
        </w:rPr>
        <w:t>the</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other</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hand</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their</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effect</w:t>
      </w:r>
      <w:proofErr w:type="spellEnd"/>
      <w:r w:rsidR="00DF3899" w:rsidRPr="00705170">
        <w:rPr>
          <w:rFonts w:ascii="Times New Roman" w:hAnsi="Times New Roman" w:cs="Times New Roman"/>
        </w:rPr>
        <w:t xml:space="preserve"> on </w:t>
      </w:r>
      <w:proofErr w:type="spellStart"/>
      <w:r w:rsidR="00DF3899" w:rsidRPr="00705170">
        <w:rPr>
          <w:rFonts w:ascii="Times New Roman" w:hAnsi="Times New Roman" w:cs="Times New Roman"/>
        </w:rPr>
        <w:t>restraining</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influencing</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shareholders</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and</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motivating</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the</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minority</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for</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exercising</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their</w:t>
      </w:r>
      <w:proofErr w:type="spellEnd"/>
      <w:r w:rsidR="00DF3899" w:rsidRPr="00705170">
        <w:rPr>
          <w:rFonts w:ascii="Times New Roman" w:hAnsi="Times New Roman" w:cs="Times New Roman"/>
        </w:rPr>
        <w:t xml:space="preserve"> </w:t>
      </w:r>
      <w:proofErr w:type="spellStart"/>
      <w:r w:rsidR="00DF3899" w:rsidRPr="00705170">
        <w:rPr>
          <w:rFonts w:ascii="Times New Roman" w:hAnsi="Times New Roman" w:cs="Times New Roman"/>
        </w:rPr>
        <w:t>rights</w:t>
      </w:r>
      <w:proofErr w:type="spellEnd"/>
      <w:r w:rsidR="00DF3899" w:rsidRPr="00705170">
        <w:rPr>
          <w:rFonts w:ascii="Times New Roman" w:hAnsi="Times New Roman" w:cs="Times New Roman"/>
        </w:rPr>
        <w:t xml:space="preserve"> is </w:t>
      </w:r>
      <w:proofErr w:type="spellStart"/>
      <w:r w:rsidR="00DF3899" w:rsidRPr="00705170">
        <w:rPr>
          <w:rFonts w:ascii="Times New Roman" w:hAnsi="Times New Roman" w:cs="Times New Roman"/>
        </w:rPr>
        <w:t>problematic</w:t>
      </w:r>
      <w:proofErr w:type="spellEnd"/>
      <w:r w:rsidR="00DF3899" w:rsidRPr="00705170">
        <w:rPr>
          <w:rFonts w:ascii="Times New Roman" w:hAnsi="Times New Roman" w:cs="Times New Roman"/>
        </w:rPr>
        <w:t>.</w:t>
      </w:r>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Besides</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empowering</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courts</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and</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authorities</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to</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bring</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the</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non</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pecuniary</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benefit</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claims</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into</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the</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coverage</w:t>
      </w:r>
      <w:proofErr w:type="spellEnd"/>
      <w:r w:rsidR="00EA15F4" w:rsidRPr="00705170">
        <w:rPr>
          <w:rFonts w:ascii="Times New Roman" w:hAnsi="Times New Roman" w:cs="Times New Roman"/>
        </w:rPr>
        <w:t xml:space="preserve"> of </w:t>
      </w:r>
      <w:proofErr w:type="spellStart"/>
      <w:r w:rsidR="00EA15F4" w:rsidRPr="00705170">
        <w:rPr>
          <w:rFonts w:ascii="Times New Roman" w:hAnsi="Times New Roman" w:cs="Times New Roman"/>
        </w:rPr>
        <w:t>these</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rules</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when</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the</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vagueness</w:t>
      </w:r>
      <w:proofErr w:type="spellEnd"/>
      <w:r w:rsidR="00EA15F4" w:rsidRPr="00705170">
        <w:rPr>
          <w:rFonts w:ascii="Times New Roman" w:hAnsi="Times New Roman" w:cs="Times New Roman"/>
        </w:rPr>
        <w:t xml:space="preserve"> of </w:t>
      </w:r>
      <w:proofErr w:type="spellStart"/>
      <w:r w:rsidR="00EA15F4" w:rsidRPr="00705170">
        <w:rPr>
          <w:rFonts w:ascii="Times New Roman" w:hAnsi="Times New Roman" w:cs="Times New Roman"/>
        </w:rPr>
        <w:t>the</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provisions</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are</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taken</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into</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consideration</w:t>
      </w:r>
      <w:proofErr w:type="spellEnd"/>
      <w:r w:rsidR="00EA15F4" w:rsidRPr="00705170">
        <w:rPr>
          <w:rStyle w:val="DipnotBavurusu"/>
          <w:rFonts w:ascii="Times New Roman" w:hAnsi="Times New Roman" w:cs="Times New Roman"/>
        </w:rPr>
        <w:footnoteReference w:id="362"/>
      </w:r>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poses</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threat</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to</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the</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integrity</w:t>
      </w:r>
      <w:proofErr w:type="spellEnd"/>
      <w:r w:rsidR="00EA15F4" w:rsidRPr="00705170">
        <w:rPr>
          <w:rFonts w:ascii="Times New Roman" w:hAnsi="Times New Roman" w:cs="Times New Roman"/>
        </w:rPr>
        <w:t xml:space="preserve"> of </w:t>
      </w:r>
      <w:proofErr w:type="spellStart"/>
      <w:r w:rsidR="00EA15F4" w:rsidRPr="00705170">
        <w:rPr>
          <w:rFonts w:ascii="Times New Roman" w:hAnsi="Times New Roman" w:cs="Times New Roman"/>
        </w:rPr>
        <w:t>the</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marketplace</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and</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the</w:t>
      </w:r>
      <w:proofErr w:type="spellEnd"/>
      <w:r w:rsidR="00EA15F4" w:rsidRPr="00705170">
        <w:rPr>
          <w:rFonts w:ascii="Times New Roman" w:hAnsi="Times New Roman" w:cs="Times New Roman"/>
        </w:rPr>
        <w:t xml:space="preserve"> legal </w:t>
      </w:r>
      <w:proofErr w:type="spellStart"/>
      <w:r w:rsidR="00EA15F4" w:rsidRPr="00705170">
        <w:rPr>
          <w:rFonts w:ascii="Times New Roman" w:hAnsi="Times New Roman" w:cs="Times New Roman"/>
        </w:rPr>
        <w:t>system</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Therefore</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this</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issue</w:t>
      </w:r>
      <w:proofErr w:type="spellEnd"/>
      <w:r w:rsidR="00EA15F4" w:rsidRPr="00705170">
        <w:rPr>
          <w:rFonts w:ascii="Times New Roman" w:hAnsi="Times New Roman" w:cs="Times New Roman"/>
        </w:rPr>
        <w:t xml:space="preserve"> has </w:t>
      </w:r>
      <w:proofErr w:type="spellStart"/>
      <w:r w:rsidR="00EA15F4" w:rsidRPr="00705170">
        <w:rPr>
          <w:rFonts w:ascii="Times New Roman" w:hAnsi="Times New Roman" w:cs="Times New Roman"/>
        </w:rPr>
        <w:t>to</w:t>
      </w:r>
      <w:proofErr w:type="spellEnd"/>
      <w:r w:rsidR="00EA15F4" w:rsidRPr="00705170">
        <w:rPr>
          <w:rFonts w:ascii="Times New Roman" w:hAnsi="Times New Roman" w:cs="Times New Roman"/>
        </w:rPr>
        <w:t xml:space="preserve"> be </w:t>
      </w:r>
      <w:proofErr w:type="spellStart"/>
      <w:r w:rsidR="00EA15F4" w:rsidRPr="00705170">
        <w:rPr>
          <w:rFonts w:ascii="Times New Roman" w:hAnsi="Times New Roman" w:cs="Times New Roman"/>
        </w:rPr>
        <w:t>solved</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through</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another</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mechanism</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that</w:t>
      </w:r>
      <w:proofErr w:type="spellEnd"/>
      <w:r w:rsidR="00EA15F4" w:rsidRPr="00705170">
        <w:rPr>
          <w:rFonts w:ascii="Times New Roman" w:hAnsi="Times New Roman" w:cs="Times New Roman"/>
        </w:rPr>
        <w:t xml:space="preserve"> has a </w:t>
      </w:r>
      <w:proofErr w:type="spellStart"/>
      <w:r w:rsidR="00EA15F4" w:rsidRPr="00705170">
        <w:rPr>
          <w:rFonts w:ascii="Times New Roman" w:hAnsi="Times New Roman" w:cs="Times New Roman"/>
        </w:rPr>
        <w:t>convenient</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theoretical</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basis</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and</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justification</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for</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the</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detection</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and</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protection</w:t>
      </w:r>
      <w:proofErr w:type="spellEnd"/>
      <w:r w:rsidR="00EA15F4" w:rsidRPr="00705170">
        <w:rPr>
          <w:rFonts w:ascii="Times New Roman" w:hAnsi="Times New Roman" w:cs="Times New Roman"/>
        </w:rPr>
        <w:t xml:space="preserve"> of </w:t>
      </w:r>
      <w:proofErr w:type="spellStart"/>
      <w:r w:rsidR="00EA15F4" w:rsidRPr="00705170">
        <w:rPr>
          <w:rFonts w:ascii="Times New Roman" w:hAnsi="Times New Roman" w:cs="Times New Roman"/>
        </w:rPr>
        <w:t>these</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extractions</w:t>
      </w:r>
      <w:proofErr w:type="spellEnd"/>
      <w:r w:rsidR="00EA15F4" w:rsidRPr="00705170">
        <w:rPr>
          <w:rFonts w:ascii="Times New Roman" w:hAnsi="Times New Roman" w:cs="Times New Roman"/>
        </w:rPr>
        <w:t>.</w:t>
      </w:r>
    </w:p>
    <w:p w14:paraId="3DEE683E" w14:textId="1BCBBFBF" w:rsidR="007607C8" w:rsidRPr="00F91D2C" w:rsidRDefault="00DF3899" w:rsidP="00F91D2C">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00D63515" w:rsidRPr="00705170">
        <w:rPr>
          <w:rFonts w:ascii="Times New Roman" w:hAnsi="Times New Roman" w:cs="Times New Roman"/>
        </w:rPr>
        <w:t>The</w:t>
      </w:r>
      <w:proofErr w:type="spellEnd"/>
      <w:r w:rsidR="00D63515" w:rsidRPr="00705170">
        <w:rPr>
          <w:rFonts w:ascii="Times New Roman" w:hAnsi="Times New Roman" w:cs="Times New Roman"/>
        </w:rPr>
        <w:t xml:space="preserve"> art of </w:t>
      </w:r>
      <w:proofErr w:type="spellStart"/>
      <w:r w:rsidR="00D63515" w:rsidRPr="00705170">
        <w:rPr>
          <w:rFonts w:ascii="Times New Roman" w:hAnsi="Times New Roman" w:cs="Times New Roman"/>
        </w:rPr>
        <w:t>lawmaking</w:t>
      </w:r>
      <w:proofErr w:type="spellEnd"/>
      <w:r w:rsidR="00D63515" w:rsidRPr="00705170">
        <w:rPr>
          <w:rFonts w:ascii="Times New Roman" w:hAnsi="Times New Roman" w:cs="Times New Roman"/>
        </w:rPr>
        <w:t xml:space="preserve"> has </w:t>
      </w:r>
      <w:proofErr w:type="spellStart"/>
      <w:r w:rsidR="00D63515" w:rsidRPr="00705170">
        <w:rPr>
          <w:rFonts w:ascii="Times New Roman" w:hAnsi="Times New Roman" w:cs="Times New Roman"/>
        </w:rPr>
        <w:t>never</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been</w:t>
      </w:r>
      <w:proofErr w:type="spellEnd"/>
      <w:r w:rsidR="00D63515" w:rsidRPr="00705170">
        <w:rPr>
          <w:rFonts w:ascii="Times New Roman" w:hAnsi="Times New Roman" w:cs="Times New Roman"/>
        </w:rPr>
        <w:t xml:space="preserve"> an </w:t>
      </w:r>
      <w:proofErr w:type="spellStart"/>
      <w:r w:rsidR="00D63515" w:rsidRPr="00705170">
        <w:rPr>
          <w:rFonts w:ascii="Times New Roman" w:hAnsi="Times New Roman" w:cs="Times New Roman"/>
        </w:rPr>
        <w:t>easy</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task</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every</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legislation</w:t>
      </w:r>
      <w:proofErr w:type="spellEnd"/>
      <w:r w:rsidR="00D63515" w:rsidRPr="00705170">
        <w:rPr>
          <w:rFonts w:ascii="Times New Roman" w:hAnsi="Times New Roman" w:cs="Times New Roman"/>
        </w:rPr>
        <w:t xml:space="preserve">, be in </w:t>
      </w:r>
      <w:proofErr w:type="spellStart"/>
      <w:r w:rsidR="00D63515" w:rsidRPr="00705170">
        <w:rPr>
          <w:rFonts w:ascii="Times New Roman" w:hAnsi="Times New Roman" w:cs="Times New Roman"/>
        </w:rPr>
        <w:t>the</w:t>
      </w:r>
      <w:proofErr w:type="spellEnd"/>
      <w:r w:rsidR="00D63515" w:rsidRPr="00705170">
        <w:rPr>
          <w:rFonts w:ascii="Times New Roman" w:hAnsi="Times New Roman" w:cs="Times New Roman"/>
        </w:rPr>
        <w:t xml:space="preserve"> form of </w:t>
      </w:r>
      <w:proofErr w:type="spellStart"/>
      <w:r w:rsidR="00D63515" w:rsidRPr="00705170">
        <w:rPr>
          <w:rFonts w:ascii="Times New Roman" w:hAnsi="Times New Roman" w:cs="Times New Roman"/>
        </w:rPr>
        <w:t>rules</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or</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standars</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face</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with</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the</w:t>
      </w:r>
      <w:proofErr w:type="spellEnd"/>
      <w:r w:rsidR="00D63515" w:rsidRPr="00705170">
        <w:rPr>
          <w:rFonts w:ascii="Times New Roman" w:hAnsi="Times New Roman" w:cs="Times New Roman"/>
        </w:rPr>
        <w:t xml:space="preserve"> problem of </w:t>
      </w:r>
      <w:proofErr w:type="spellStart"/>
      <w:r w:rsidR="00D63515" w:rsidRPr="00705170">
        <w:rPr>
          <w:rFonts w:ascii="Times New Roman" w:hAnsi="Times New Roman" w:cs="Times New Roman"/>
        </w:rPr>
        <w:t>simplicity</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complexity</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and</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over-under</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inclusivity</w:t>
      </w:r>
      <w:proofErr w:type="spellEnd"/>
      <w:r w:rsidR="00D63515" w:rsidRPr="00705170">
        <w:rPr>
          <w:rStyle w:val="DipnotBavurusu"/>
          <w:rFonts w:ascii="Times New Roman" w:hAnsi="Times New Roman" w:cs="Times New Roman"/>
        </w:rPr>
        <w:footnoteReference w:id="363"/>
      </w:r>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In</w:t>
      </w:r>
      <w:proofErr w:type="spellEnd"/>
      <w:r w:rsidR="00D63515" w:rsidRPr="00705170">
        <w:rPr>
          <w:rFonts w:ascii="Times New Roman" w:hAnsi="Times New Roman" w:cs="Times New Roman"/>
        </w:rPr>
        <w:t xml:space="preserve"> </w:t>
      </w:r>
      <w:proofErr w:type="spellStart"/>
      <w:r w:rsidR="00D63515" w:rsidRPr="00705170">
        <w:rPr>
          <w:rFonts w:ascii="Times New Roman" w:hAnsi="Times New Roman" w:cs="Times New Roman"/>
        </w:rPr>
        <w:t>this</w:t>
      </w:r>
      <w:proofErr w:type="spellEnd"/>
      <w:r w:rsidR="00D63515" w:rsidRPr="00705170">
        <w:rPr>
          <w:rFonts w:ascii="Times New Roman" w:hAnsi="Times New Roman" w:cs="Times New Roman"/>
        </w:rPr>
        <w:t xml:space="preserve"> sense, </w:t>
      </w:r>
      <w:proofErr w:type="spellStart"/>
      <w:r w:rsidR="00D63515" w:rsidRPr="00705170">
        <w:rPr>
          <w:rFonts w:ascii="Times New Roman" w:hAnsi="Times New Roman" w:cs="Times New Roman"/>
        </w:rPr>
        <w:t>w</w:t>
      </w:r>
      <w:r w:rsidRPr="00705170">
        <w:rPr>
          <w:rFonts w:ascii="Times New Roman" w:hAnsi="Times New Roman" w:cs="Times New Roman"/>
        </w:rPr>
        <w:t>hile</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true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pres</w:t>
      </w:r>
      <w:r w:rsidR="00D03B2D" w:rsidRPr="00705170">
        <w:rPr>
          <w:rFonts w:ascii="Times New Roman" w:hAnsi="Times New Roman" w:cs="Times New Roman"/>
        </w:rPr>
        <w:t xml:space="preserve">ence of </w:t>
      </w:r>
      <w:proofErr w:type="spellStart"/>
      <w:r w:rsidR="00D03B2D" w:rsidRPr="00705170">
        <w:rPr>
          <w:rFonts w:ascii="Times New Roman" w:hAnsi="Times New Roman" w:cs="Times New Roman"/>
        </w:rPr>
        <w:t>the</w:t>
      </w:r>
      <w:proofErr w:type="spellEnd"/>
      <w:r w:rsidR="00D03B2D" w:rsidRPr="00705170">
        <w:rPr>
          <w:rFonts w:ascii="Times New Roman" w:hAnsi="Times New Roman" w:cs="Times New Roman"/>
        </w:rPr>
        <w:t xml:space="preserve"> </w:t>
      </w:r>
      <w:proofErr w:type="spellStart"/>
      <w:r w:rsidR="00D03B2D" w:rsidRPr="00705170">
        <w:rPr>
          <w:rFonts w:ascii="Times New Roman" w:hAnsi="Times New Roman" w:cs="Times New Roman"/>
        </w:rPr>
        <w:t>existing</w:t>
      </w:r>
      <w:proofErr w:type="spellEnd"/>
      <w:r w:rsidR="00D03B2D" w:rsidRPr="00705170">
        <w:rPr>
          <w:rFonts w:ascii="Times New Roman" w:hAnsi="Times New Roman" w:cs="Times New Roman"/>
        </w:rPr>
        <w:t xml:space="preserve"> </w:t>
      </w:r>
      <w:proofErr w:type="spellStart"/>
      <w:r w:rsidR="00D03B2D" w:rsidRPr="00705170">
        <w:rPr>
          <w:rFonts w:ascii="Times New Roman" w:hAnsi="Times New Roman" w:cs="Times New Roman"/>
        </w:rPr>
        <w:t>measures</w:t>
      </w:r>
      <w:proofErr w:type="spellEnd"/>
      <w:r w:rsidR="00D03B2D" w:rsidRPr="00705170">
        <w:rPr>
          <w:rFonts w:ascii="Times New Roman" w:hAnsi="Times New Roman" w:cs="Times New Roman"/>
        </w:rPr>
        <w:t xml:space="preserve"> </w:t>
      </w:r>
      <w:proofErr w:type="spellStart"/>
      <w:r w:rsidR="00D03B2D"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curbing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extractions</w:t>
      </w:r>
      <w:proofErr w:type="spellEnd"/>
      <w:r w:rsidRPr="00705170">
        <w:rPr>
          <w:rFonts w:ascii="Times New Roman" w:hAnsi="Times New Roman" w:cs="Times New Roman"/>
        </w:rPr>
        <w:t xml:space="preserve"> o</w:t>
      </w:r>
      <w:r w:rsidR="001B4AC8" w:rsidRPr="00705170">
        <w:rPr>
          <w:rFonts w:ascii="Times New Roman" w:hAnsi="Times New Roman" w:cs="Times New Roman"/>
        </w:rPr>
        <w:t xml:space="preserve">f </w:t>
      </w:r>
      <w:proofErr w:type="spellStart"/>
      <w:r w:rsidR="001B4AC8" w:rsidRPr="00705170">
        <w:rPr>
          <w:rFonts w:ascii="Times New Roman" w:hAnsi="Times New Roman" w:cs="Times New Roman"/>
        </w:rPr>
        <w:t>influencing</w:t>
      </w:r>
      <w:proofErr w:type="spellEnd"/>
      <w:r w:rsidR="001B4AC8" w:rsidRPr="00705170">
        <w:rPr>
          <w:rFonts w:ascii="Times New Roman" w:hAnsi="Times New Roman" w:cs="Times New Roman"/>
        </w:rPr>
        <w:t xml:space="preserve"> </w:t>
      </w:r>
      <w:proofErr w:type="spellStart"/>
      <w:r w:rsidR="001B4AC8" w:rsidRPr="00705170">
        <w:rPr>
          <w:rFonts w:ascii="Times New Roman" w:hAnsi="Times New Roman" w:cs="Times New Roman"/>
        </w:rPr>
        <w:t>shareholders</w:t>
      </w:r>
      <w:proofErr w:type="spellEnd"/>
      <w:r w:rsidR="001B4AC8" w:rsidRPr="00705170">
        <w:rPr>
          <w:rFonts w:ascii="Times New Roman" w:hAnsi="Times New Roman" w:cs="Times New Roman"/>
        </w:rPr>
        <w:t xml:space="preserve">, </w:t>
      </w:r>
      <w:proofErr w:type="spellStart"/>
      <w:r w:rsidR="001B4AC8" w:rsidRPr="00705170">
        <w:rPr>
          <w:rFonts w:ascii="Times New Roman" w:hAnsi="Times New Roman" w:cs="Times New Roman"/>
        </w:rPr>
        <w:t>these</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improved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Accordingly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study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proposes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way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catch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undetected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meanwhile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effects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deterring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motiv</w:t>
      </w:r>
      <w:r w:rsidR="00EA15F4" w:rsidRPr="00705170">
        <w:rPr>
          <w:rFonts w:ascii="Times New Roman" w:hAnsi="Times New Roman" w:cs="Times New Roman"/>
        </w:rPr>
        <w:t>ating</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w:t>
      </w:r>
      <w:r w:rsidR="001B4AC8" w:rsidRPr="00705170">
        <w:rPr>
          <w:rFonts w:ascii="Times New Roman" w:hAnsi="Times New Roman" w:cs="Times New Roman"/>
        </w:rPr>
        <w:t>e</w:t>
      </w:r>
      <w:proofErr w:type="spellEnd"/>
      <w:r w:rsidR="001B4AC8" w:rsidRPr="00705170">
        <w:rPr>
          <w:rFonts w:ascii="Times New Roman" w:hAnsi="Times New Roman" w:cs="Times New Roman"/>
        </w:rPr>
        <w:t xml:space="preserve"> </w:t>
      </w:r>
      <w:proofErr w:type="spellStart"/>
      <w:r w:rsidR="001B4AC8" w:rsidRPr="00705170">
        <w:rPr>
          <w:rFonts w:ascii="Times New Roman" w:hAnsi="Times New Roman" w:cs="Times New Roman"/>
        </w:rPr>
        <w:t>minority</w:t>
      </w:r>
      <w:proofErr w:type="spellEnd"/>
      <w:r w:rsidR="001B4AC8" w:rsidRPr="00705170">
        <w:rPr>
          <w:rFonts w:ascii="Times New Roman" w:hAnsi="Times New Roman" w:cs="Times New Roman"/>
        </w:rPr>
        <w:t xml:space="preserve"> </w:t>
      </w:r>
      <w:proofErr w:type="spellStart"/>
      <w:r w:rsidR="001B4AC8" w:rsidRPr="00705170">
        <w:rPr>
          <w:rFonts w:ascii="Times New Roman" w:hAnsi="Times New Roman" w:cs="Times New Roman"/>
        </w:rPr>
        <w:t>shareholders</w:t>
      </w:r>
      <w:proofErr w:type="spellEnd"/>
      <w:r w:rsidR="001B4AC8" w:rsidRPr="00705170">
        <w:rPr>
          <w:rFonts w:ascii="Times New Roman" w:hAnsi="Times New Roman" w:cs="Times New Roman"/>
        </w:rPr>
        <w:t xml:space="preserve">, </w:t>
      </w:r>
      <w:proofErr w:type="spellStart"/>
      <w:r w:rsidR="001B4AC8" w:rsidRPr="00705170">
        <w:rPr>
          <w:rFonts w:ascii="Times New Roman" w:hAnsi="Times New Roman" w:cs="Times New Roman"/>
        </w:rPr>
        <w:t>and</w:t>
      </w:r>
      <w:proofErr w:type="spellEnd"/>
      <w:r w:rsidR="001B4AC8" w:rsidRPr="00705170">
        <w:rPr>
          <w:rFonts w:ascii="Times New Roman" w:hAnsi="Times New Roman" w:cs="Times New Roman"/>
        </w:rPr>
        <w:t xml:space="preserve"> </w:t>
      </w:r>
      <w:proofErr w:type="spellStart"/>
      <w:r w:rsidR="001B4AC8" w:rsidRPr="00705170">
        <w:rPr>
          <w:rFonts w:ascii="Times New Roman" w:hAnsi="Times New Roman" w:cs="Times New Roman"/>
        </w:rPr>
        <w:t>lay</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down</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the</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issue</w:t>
      </w:r>
      <w:proofErr w:type="spellEnd"/>
      <w:r w:rsidR="00EA15F4" w:rsidRPr="00705170">
        <w:rPr>
          <w:rFonts w:ascii="Times New Roman" w:hAnsi="Times New Roman" w:cs="Times New Roman"/>
        </w:rPr>
        <w:t xml:space="preserve"> on a </w:t>
      </w:r>
      <w:proofErr w:type="spellStart"/>
      <w:r w:rsidR="00EA15F4" w:rsidRPr="00705170">
        <w:rPr>
          <w:rFonts w:ascii="Times New Roman" w:hAnsi="Times New Roman" w:cs="Times New Roman"/>
        </w:rPr>
        <w:t>theoretically</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rational</w:t>
      </w:r>
      <w:proofErr w:type="spellEnd"/>
      <w:r w:rsidR="00EA15F4" w:rsidRPr="00705170">
        <w:rPr>
          <w:rFonts w:ascii="Times New Roman" w:hAnsi="Times New Roman" w:cs="Times New Roman"/>
        </w:rPr>
        <w:t xml:space="preserve"> </w:t>
      </w:r>
      <w:proofErr w:type="spellStart"/>
      <w:r w:rsidR="00EA15F4" w:rsidRPr="00705170">
        <w:rPr>
          <w:rFonts w:ascii="Times New Roman" w:hAnsi="Times New Roman" w:cs="Times New Roman"/>
        </w:rPr>
        <w:t>basis</w:t>
      </w:r>
      <w:proofErr w:type="spellEnd"/>
      <w:r w:rsidR="00EA15F4" w:rsidRPr="00705170">
        <w:rPr>
          <w:rFonts w:ascii="Times New Roman" w:hAnsi="Times New Roman" w:cs="Times New Roman"/>
        </w:rPr>
        <w:t>.</w:t>
      </w:r>
    </w:p>
    <w:p w14:paraId="1A4B8BF6" w14:textId="546D6B93" w:rsidR="008A08CB" w:rsidRPr="00705170" w:rsidRDefault="005E4903" w:rsidP="008A08CB">
      <w:pPr>
        <w:spacing w:after="240" w:line="480" w:lineRule="auto"/>
        <w:jc w:val="center"/>
        <w:rPr>
          <w:rFonts w:ascii="Times New Roman" w:hAnsi="Times New Roman" w:cs="Times New Roman"/>
          <w:b/>
        </w:rPr>
      </w:pPr>
      <w:r w:rsidRPr="00705170">
        <w:rPr>
          <w:rFonts w:ascii="Times New Roman" w:hAnsi="Times New Roman" w:cs="Times New Roman"/>
          <w:b/>
        </w:rPr>
        <w:t xml:space="preserve">CHAPTER </w:t>
      </w:r>
      <w:r w:rsidR="00C01441">
        <w:rPr>
          <w:rFonts w:ascii="Times New Roman" w:hAnsi="Times New Roman" w:cs="Times New Roman"/>
          <w:b/>
        </w:rPr>
        <w:t>I</w:t>
      </w:r>
      <w:r w:rsidRPr="00705170">
        <w:rPr>
          <w:rFonts w:ascii="Times New Roman" w:hAnsi="Times New Roman" w:cs="Times New Roman"/>
          <w:b/>
        </w:rPr>
        <w:t>V</w:t>
      </w:r>
    </w:p>
    <w:p w14:paraId="09107411" w14:textId="2EFB9AA4" w:rsidR="008A08CB" w:rsidRPr="00705170" w:rsidRDefault="008A08CB" w:rsidP="008A08CB">
      <w:pPr>
        <w:spacing w:after="240" w:line="480" w:lineRule="auto"/>
        <w:jc w:val="center"/>
        <w:rPr>
          <w:rFonts w:ascii="Times New Roman" w:hAnsi="Times New Roman" w:cs="Times New Roman"/>
          <w:b/>
        </w:rPr>
      </w:pPr>
      <w:r w:rsidRPr="00705170">
        <w:rPr>
          <w:rFonts w:ascii="Times New Roman" w:hAnsi="Times New Roman" w:cs="Times New Roman"/>
          <w:b/>
        </w:rPr>
        <w:t>THE “REASONABLE EXPECTATIONS” STANDARD</w:t>
      </w:r>
    </w:p>
    <w:p w14:paraId="05684E6A" w14:textId="352130A9" w:rsidR="008A08CB" w:rsidRPr="00705170" w:rsidRDefault="00C01441" w:rsidP="008A08CB">
      <w:pPr>
        <w:spacing w:after="240" w:line="480" w:lineRule="auto"/>
        <w:ind w:firstLine="708"/>
        <w:rPr>
          <w:rFonts w:ascii="Times New Roman" w:hAnsi="Times New Roman" w:cs="Times New Roman"/>
          <w:b/>
        </w:rPr>
      </w:pPr>
      <w:r>
        <w:rPr>
          <w:rFonts w:ascii="Times New Roman" w:hAnsi="Times New Roman" w:cs="Times New Roman"/>
          <w:b/>
        </w:rPr>
        <w:t>4</w:t>
      </w:r>
      <w:r w:rsidR="008A08CB" w:rsidRPr="00705170">
        <w:rPr>
          <w:rFonts w:ascii="Times New Roman" w:hAnsi="Times New Roman" w:cs="Times New Roman"/>
          <w:b/>
        </w:rPr>
        <w:t xml:space="preserve">.1. </w:t>
      </w:r>
      <w:proofErr w:type="spellStart"/>
      <w:r w:rsidR="008A08CB" w:rsidRPr="00705170">
        <w:rPr>
          <w:rFonts w:ascii="Times New Roman" w:hAnsi="Times New Roman" w:cs="Times New Roman"/>
          <w:b/>
        </w:rPr>
        <w:t>Generally</w:t>
      </w:r>
      <w:proofErr w:type="spellEnd"/>
    </w:p>
    <w:p w14:paraId="5B9DFC95" w14:textId="07B75A8E" w:rsidR="00E61F35" w:rsidRPr="00705170" w:rsidRDefault="00A050D4" w:rsidP="009C163D">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Generally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w:t>
      </w:r>
      <w:proofErr w:type="spellEnd"/>
      <w:r w:rsidRPr="00705170">
        <w:rPr>
          <w:rFonts w:ascii="Times New Roman" w:hAnsi="Times New Roman" w:cs="Times New Roman"/>
        </w:rPr>
        <w:t xml:space="preserve"> is not a legal </w:t>
      </w:r>
      <w:proofErr w:type="spellStart"/>
      <w:r w:rsidRPr="00705170">
        <w:rPr>
          <w:rFonts w:ascii="Times New Roman" w:hAnsi="Times New Roman" w:cs="Times New Roman"/>
        </w:rPr>
        <w:t>term</w:t>
      </w:r>
      <w:proofErr w:type="spellEnd"/>
      <w:r w:rsidRPr="00705170">
        <w:rPr>
          <w:rFonts w:ascii="Times New Roman" w:hAnsi="Times New Roman" w:cs="Times New Roman"/>
        </w:rPr>
        <w:t xml:space="preserve"> of art</w:t>
      </w:r>
      <w:r w:rsidRPr="00705170">
        <w:rPr>
          <w:rStyle w:val="DipnotBavurusu"/>
          <w:rFonts w:ascii="Times New Roman" w:hAnsi="Times New Roman" w:cs="Times New Roman"/>
        </w:rPr>
        <w:footnoteReference w:id="364"/>
      </w:r>
      <w:r w:rsidRPr="00705170">
        <w:rPr>
          <w:rFonts w:ascii="Times New Roman" w:hAnsi="Times New Roman" w:cs="Times New Roman"/>
        </w:rPr>
        <w:t>.</w:t>
      </w:r>
      <w:r w:rsidR="005A00BE" w:rsidRPr="00705170">
        <w:rPr>
          <w:rFonts w:ascii="Times New Roman" w:hAnsi="Times New Roman" w:cs="Times New Roman"/>
        </w:rPr>
        <w:t xml:space="preserve"> </w:t>
      </w:r>
      <w:proofErr w:type="spellStart"/>
      <w:r w:rsidR="001A13E0" w:rsidRPr="00705170">
        <w:rPr>
          <w:rFonts w:ascii="Times New Roman" w:hAnsi="Times New Roman" w:cs="Times New Roman"/>
        </w:rPr>
        <w:t>Still</w:t>
      </w:r>
      <w:proofErr w:type="spellEnd"/>
      <w:r w:rsidR="005A00BE"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t</w:t>
      </w:r>
      <w:r w:rsidR="009C163D" w:rsidRPr="00705170">
        <w:rPr>
          <w:rFonts w:ascii="Times New Roman" w:hAnsi="Times New Roman" w:cs="Times New Roman"/>
        </w:rPr>
        <w:t>he</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concept</w:t>
      </w:r>
      <w:proofErr w:type="spellEnd"/>
      <w:r w:rsidR="009C163D" w:rsidRPr="00705170">
        <w:rPr>
          <w:rFonts w:ascii="Times New Roman" w:hAnsi="Times New Roman" w:cs="Times New Roman"/>
        </w:rPr>
        <w:t xml:space="preserve"> of “</w:t>
      </w:r>
      <w:proofErr w:type="spellStart"/>
      <w:r w:rsidR="009C163D" w:rsidRPr="00705170">
        <w:rPr>
          <w:rFonts w:ascii="Times New Roman" w:hAnsi="Times New Roman" w:cs="Times New Roman"/>
        </w:rPr>
        <w:t>r</w:t>
      </w:r>
      <w:r w:rsidR="006108D5" w:rsidRPr="00705170">
        <w:rPr>
          <w:rFonts w:ascii="Times New Roman" w:hAnsi="Times New Roman" w:cs="Times New Roman"/>
        </w:rPr>
        <w:t>easonable</w:t>
      </w:r>
      <w:proofErr w:type="spellEnd"/>
      <w:r w:rsidR="006108D5" w:rsidRPr="00705170">
        <w:rPr>
          <w:rFonts w:ascii="Times New Roman" w:hAnsi="Times New Roman" w:cs="Times New Roman"/>
        </w:rPr>
        <w:t xml:space="preserve"> </w:t>
      </w:r>
      <w:proofErr w:type="spellStart"/>
      <w:r w:rsidR="006108D5" w:rsidRPr="00705170">
        <w:rPr>
          <w:rFonts w:ascii="Times New Roman" w:hAnsi="Times New Roman" w:cs="Times New Roman"/>
        </w:rPr>
        <w:t>expectations</w:t>
      </w:r>
      <w:proofErr w:type="spellEnd"/>
      <w:r w:rsidR="006108D5" w:rsidRPr="00705170">
        <w:rPr>
          <w:rFonts w:ascii="Times New Roman" w:hAnsi="Times New Roman" w:cs="Times New Roman"/>
        </w:rPr>
        <w:t>”</w:t>
      </w:r>
      <w:r w:rsidR="00A65EB5" w:rsidRPr="00705170">
        <w:rPr>
          <w:rFonts w:ascii="Times New Roman" w:hAnsi="Times New Roman" w:cs="Times New Roman"/>
        </w:rPr>
        <w:t xml:space="preserve"> </w:t>
      </w:r>
      <w:r w:rsidR="00AD1764" w:rsidRPr="00705170">
        <w:rPr>
          <w:rFonts w:ascii="Times New Roman" w:hAnsi="Times New Roman" w:cs="Times New Roman"/>
        </w:rPr>
        <w:t>is</w:t>
      </w:r>
      <w:r w:rsidR="001A13E0" w:rsidRPr="00705170">
        <w:rPr>
          <w:rFonts w:ascii="Times New Roman" w:hAnsi="Times New Roman" w:cs="Times New Roman"/>
        </w:rPr>
        <w:t xml:space="preserve"> </w:t>
      </w:r>
      <w:proofErr w:type="spellStart"/>
      <w:r w:rsidR="001A13E0" w:rsidRPr="00705170">
        <w:rPr>
          <w:rFonts w:ascii="Times New Roman" w:hAnsi="Times New Roman" w:cs="Times New Roman"/>
        </w:rPr>
        <w:t>used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refer</w:t>
      </w:r>
      <w:proofErr w:type="spellEnd"/>
      <w:r w:rsidR="00A65EB5" w:rsidRPr="00705170">
        <w:rPr>
          <w:rFonts w:ascii="Times New Roman" w:hAnsi="Times New Roman" w:cs="Times New Roman"/>
        </w:rPr>
        <w:t xml:space="preserve"> </w:t>
      </w:r>
      <w:proofErr w:type="spellStart"/>
      <w:r w:rsidR="00A65EB5" w:rsidRPr="00705170">
        <w:rPr>
          <w:rFonts w:ascii="Times New Roman" w:hAnsi="Times New Roman" w:cs="Times New Roman"/>
        </w:rPr>
        <w:t>to</w:t>
      </w:r>
      <w:proofErr w:type="spellEnd"/>
      <w:r w:rsidR="00A65EB5" w:rsidRPr="00705170">
        <w:rPr>
          <w:rFonts w:ascii="Times New Roman" w:hAnsi="Times New Roman" w:cs="Times New Roman"/>
        </w:rPr>
        <w:t xml:space="preserve"> </w:t>
      </w:r>
      <w:proofErr w:type="spellStart"/>
      <w:r w:rsidR="00A65EB5" w:rsidRPr="00705170">
        <w:rPr>
          <w:rFonts w:ascii="Times New Roman" w:hAnsi="Times New Roman" w:cs="Times New Roman"/>
        </w:rPr>
        <w:t>the</w:t>
      </w:r>
      <w:proofErr w:type="spellEnd"/>
      <w:r w:rsidR="00A65EB5" w:rsidRPr="00705170">
        <w:rPr>
          <w:rFonts w:ascii="Times New Roman" w:hAnsi="Times New Roman" w:cs="Times New Roman"/>
        </w:rPr>
        <w:t xml:space="preserve"> </w:t>
      </w:r>
      <w:proofErr w:type="spellStart"/>
      <w:r w:rsidR="00A65EB5" w:rsidRPr="00705170">
        <w:rPr>
          <w:rFonts w:ascii="Times New Roman" w:hAnsi="Times New Roman" w:cs="Times New Roman"/>
        </w:rPr>
        <w:t>law</w:t>
      </w:r>
      <w:proofErr w:type="spellEnd"/>
      <w:r w:rsidR="00A65EB5" w:rsidRPr="00705170">
        <w:rPr>
          <w:rFonts w:ascii="Times New Roman" w:hAnsi="Times New Roman" w:cs="Times New Roman"/>
        </w:rPr>
        <w:t xml:space="preserve">- </w:t>
      </w:r>
      <w:proofErr w:type="spellStart"/>
      <w:r w:rsidR="00A65EB5" w:rsidRPr="00705170">
        <w:rPr>
          <w:rFonts w:ascii="Times New Roman" w:hAnsi="Times New Roman" w:cs="Times New Roman"/>
        </w:rPr>
        <w:t>backed</w:t>
      </w:r>
      <w:proofErr w:type="spellEnd"/>
      <w:r w:rsidR="00A65EB5" w:rsidRPr="00705170">
        <w:rPr>
          <w:rFonts w:ascii="Times New Roman" w:hAnsi="Times New Roman" w:cs="Times New Roman"/>
        </w:rPr>
        <w:t xml:space="preserve"> </w:t>
      </w:r>
      <w:proofErr w:type="spellStart"/>
      <w:r w:rsidR="00A65EB5" w:rsidRPr="00705170">
        <w:rPr>
          <w:rFonts w:ascii="Times New Roman" w:hAnsi="Times New Roman" w:cs="Times New Roman"/>
        </w:rPr>
        <w:t>expectations</w:t>
      </w:r>
      <w:proofErr w:type="spellEnd"/>
      <w:r w:rsidR="000E68A3" w:rsidRPr="00705170">
        <w:rPr>
          <w:rFonts w:ascii="Times New Roman" w:hAnsi="Times New Roman" w:cs="Times New Roman"/>
        </w:rPr>
        <w:t xml:space="preserve"> </w:t>
      </w:r>
      <w:r w:rsidR="00523669" w:rsidRPr="00705170">
        <w:rPr>
          <w:rFonts w:ascii="Times New Roman" w:hAnsi="Times New Roman" w:cs="Times New Roman"/>
        </w:rPr>
        <w:t xml:space="preserve">of a </w:t>
      </w:r>
      <w:proofErr w:type="spellStart"/>
      <w:r w:rsidR="00523669" w:rsidRPr="00705170">
        <w:rPr>
          <w:rFonts w:ascii="Times New Roman" w:hAnsi="Times New Roman" w:cs="Times New Roman"/>
        </w:rPr>
        <w:t>party</w:t>
      </w:r>
      <w:proofErr w:type="spellEnd"/>
      <w:r w:rsidR="00A65EB5" w:rsidRPr="00705170">
        <w:rPr>
          <w:rFonts w:ascii="Times New Roman" w:hAnsi="Times New Roman" w:cs="Times New Roman"/>
        </w:rPr>
        <w:t>,</w:t>
      </w:r>
      <w:r w:rsidR="00523669"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distinguished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r w:rsidR="00523669" w:rsidRPr="00705170">
        <w:rPr>
          <w:rFonts w:ascii="Times New Roman" w:hAnsi="Times New Roman" w:cs="Times New Roman"/>
        </w:rPr>
        <w:t>“</w:t>
      </w:r>
      <w:proofErr w:type="spellStart"/>
      <w:r w:rsidR="00523669" w:rsidRPr="00705170">
        <w:rPr>
          <w:rFonts w:ascii="Times New Roman" w:hAnsi="Times New Roman" w:cs="Times New Roman"/>
        </w:rPr>
        <w:t>expectations</w:t>
      </w:r>
      <w:proofErr w:type="spellEnd"/>
      <w:r w:rsidR="00523669" w:rsidRPr="00705170">
        <w:rPr>
          <w:rFonts w:ascii="Times New Roman" w:hAnsi="Times New Roman" w:cs="Times New Roman"/>
        </w:rPr>
        <w:t xml:space="preserve"> </w:t>
      </w:r>
      <w:proofErr w:type="spellStart"/>
      <w:r w:rsidR="00523669" w:rsidRPr="00705170">
        <w:rPr>
          <w:rFonts w:ascii="Times New Roman" w:hAnsi="Times New Roman" w:cs="Times New Roman"/>
        </w:rPr>
        <w:t>stemming</w:t>
      </w:r>
      <w:proofErr w:type="spellEnd"/>
      <w:r w:rsidR="00523669" w:rsidRPr="00705170">
        <w:rPr>
          <w:rFonts w:ascii="Times New Roman" w:hAnsi="Times New Roman" w:cs="Times New Roman"/>
        </w:rPr>
        <w:t xml:space="preserve"> </w:t>
      </w:r>
      <w:proofErr w:type="spellStart"/>
      <w:r w:rsidR="00523669" w:rsidRPr="00705170">
        <w:rPr>
          <w:rFonts w:ascii="Times New Roman" w:hAnsi="Times New Roman" w:cs="Times New Roman"/>
        </w:rPr>
        <w:t>from</w:t>
      </w:r>
      <w:proofErr w:type="spellEnd"/>
      <w:r w:rsidR="00523669" w:rsidRPr="00705170">
        <w:rPr>
          <w:rFonts w:ascii="Times New Roman" w:hAnsi="Times New Roman" w:cs="Times New Roman"/>
        </w:rPr>
        <w:t xml:space="preserve"> </w:t>
      </w:r>
      <w:proofErr w:type="spellStart"/>
      <w:r w:rsidR="00523669" w:rsidRPr="00705170">
        <w:rPr>
          <w:rFonts w:ascii="Times New Roman" w:hAnsi="Times New Roman" w:cs="Times New Roman"/>
        </w:rPr>
        <w:t>circumstances</w:t>
      </w:r>
      <w:proofErr w:type="spellEnd"/>
      <w:r w:rsidR="00523669" w:rsidRPr="00705170">
        <w:rPr>
          <w:rFonts w:ascii="Times New Roman" w:hAnsi="Times New Roman" w:cs="Times New Roman"/>
        </w:rPr>
        <w:t xml:space="preserve"> </w:t>
      </w:r>
      <w:proofErr w:type="spellStart"/>
      <w:r w:rsidR="00523669" w:rsidRPr="00705170">
        <w:rPr>
          <w:rFonts w:ascii="Times New Roman" w:hAnsi="Times New Roman" w:cs="Times New Roman"/>
        </w:rPr>
        <w:t>divorced</w:t>
      </w:r>
      <w:proofErr w:type="spellEnd"/>
      <w:r w:rsidR="00523669" w:rsidRPr="00705170">
        <w:rPr>
          <w:rFonts w:ascii="Times New Roman" w:hAnsi="Times New Roman" w:cs="Times New Roman"/>
        </w:rPr>
        <w:t xml:space="preserve"> </w:t>
      </w:r>
      <w:proofErr w:type="spellStart"/>
      <w:r w:rsidR="00523669" w:rsidRPr="00705170">
        <w:rPr>
          <w:rFonts w:ascii="Times New Roman" w:hAnsi="Times New Roman" w:cs="Times New Roman"/>
        </w:rPr>
        <w:t>from</w:t>
      </w:r>
      <w:proofErr w:type="spellEnd"/>
      <w:r w:rsidR="00523669" w:rsidRPr="00705170">
        <w:rPr>
          <w:rFonts w:ascii="Times New Roman" w:hAnsi="Times New Roman" w:cs="Times New Roman"/>
        </w:rPr>
        <w:t xml:space="preserve"> </w:t>
      </w:r>
      <w:proofErr w:type="spellStart"/>
      <w:r w:rsidR="00523669" w:rsidRPr="00705170">
        <w:rPr>
          <w:rFonts w:ascii="Times New Roman" w:hAnsi="Times New Roman" w:cs="Times New Roman"/>
        </w:rPr>
        <w:t>the</w:t>
      </w:r>
      <w:proofErr w:type="spellEnd"/>
      <w:r w:rsidR="00523669" w:rsidRPr="00705170">
        <w:rPr>
          <w:rFonts w:ascii="Times New Roman" w:hAnsi="Times New Roman" w:cs="Times New Roman"/>
        </w:rPr>
        <w:t xml:space="preserve"> legal </w:t>
      </w:r>
      <w:proofErr w:type="spellStart"/>
      <w:r w:rsidR="00523669" w:rsidRPr="00705170">
        <w:rPr>
          <w:rFonts w:ascii="Times New Roman" w:hAnsi="Times New Roman" w:cs="Times New Roman"/>
        </w:rPr>
        <w:t>culture</w:t>
      </w:r>
      <w:proofErr w:type="spellEnd"/>
      <w:r w:rsidR="00523669" w:rsidRPr="00705170">
        <w:rPr>
          <w:rFonts w:ascii="Times New Roman" w:hAnsi="Times New Roman" w:cs="Times New Roman"/>
        </w:rPr>
        <w:t>”</w:t>
      </w:r>
      <w:r w:rsidR="00A65EB5" w:rsidRPr="00705170">
        <w:rPr>
          <w:rStyle w:val="DipnotBavurusu"/>
          <w:rFonts w:ascii="Times New Roman" w:hAnsi="Times New Roman" w:cs="Times New Roman"/>
        </w:rPr>
        <w:footnoteReference w:id="365"/>
      </w:r>
      <w:r w:rsidR="00A65EB5" w:rsidRPr="00705170">
        <w:rPr>
          <w:rFonts w:ascii="Times New Roman" w:hAnsi="Times New Roman" w:cs="Times New Roman"/>
        </w:rPr>
        <w:t xml:space="preserve">. </w:t>
      </w:r>
      <w:proofErr w:type="spellStart"/>
      <w:r w:rsidR="003D6689" w:rsidRPr="00705170">
        <w:rPr>
          <w:rFonts w:ascii="Times New Roman" w:hAnsi="Times New Roman" w:cs="Times New Roman"/>
        </w:rPr>
        <w:t>In</w:t>
      </w:r>
      <w:proofErr w:type="spellEnd"/>
      <w:r w:rsidR="001A13E0" w:rsidRPr="00705170">
        <w:rPr>
          <w:rFonts w:ascii="Times New Roman" w:hAnsi="Times New Roman" w:cs="Times New Roman"/>
        </w:rPr>
        <w:t xml:space="preserve"> </w:t>
      </w:r>
      <w:proofErr w:type="spellStart"/>
      <w:r w:rsidR="001A13E0" w:rsidRPr="00705170">
        <w:rPr>
          <w:rFonts w:ascii="Times New Roman" w:hAnsi="Times New Roman" w:cs="Times New Roman"/>
        </w:rPr>
        <w:t>the</w:t>
      </w:r>
      <w:proofErr w:type="spellEnd"/>
      <w:r w:rsidR="001A13E0" w:rsidRPr="00705170">
        <w:rPr>
          <w:rFonts w:ascii="Times New Roman" w:hAnsi="Times New Roman" w:cs="Times New Roman"/>
        </w:rPr>
        <w:t xml:space="preserve"> </w:t>
      </w:r>
      <w:proofErr w:type="spellStart"/>
      <w:r w:rsidR="001A13E0" w:rsidRPr="00705170">
        <w:rPr>
          <w:rFonts w:ascii="Times New Roman" w:hAnsi="Times New Roman" w:cs="Times New Roman"/>
        </w:rPr>
        <w:t>words</w:t>
      </w:r>
      <w:proofErr w:type="spellEnd"/>
      <w:r w:rsidR="001A13E0" w:rsidRPr="00705170">
        <w:rPr>
          <w:rFonts w:ascii="Times New Roman" w:hAnsi="Times New Roman" w:cs="Times New Roman"/>
        </w:rPr>
        <w:t xml:space="preserve"> of a </w:t>
      </w:r>
      <w:proofErr w:type="spellStart"/>
      <w:r w:rsidR="001A13E0" w:rsidRPr="00705170">
        <w:rPr>
          <w:rFonts w:ascii="Times New Roman" w:hAnsi="Times New Roman" w:cs="Times New Roman"/>
        </w:rPr>
        <w:t>Canadian</w:t>
      </w:r>
      <w:proofErr w:type="spellEnd"/>
      <w:r w:rsidR="001A13E0" w:rsidRPr="00705170">
        <w:rPr>
          <w:rFonts w:ascii="Times New Roman" w:hAnsi="Times New Roman" w:cs="Times New Roman"/>
        </w:rPr>
        <w:t xml:space="preserve"> </w:t>
      </w:r>
      <w:proofErr w:type="spellStart"/>
      <w:r w:rsidR="001A13E0" w:rsidRPr="00705170">
        <w:rPr>
          <w:rFonts w:ascii="Times New Roman" w:hAnsi="Times New Roman" w:cs="Times New Roman"/>
        </w:rPr>
        <w:t>court</w:t>
      </w:r>
      <w:proofErr w:type="spellEnd"/>
      <w:r w:rsidR="001F5FD0" w:rsidRPr="00705170">
        <w:rPr>
          <w:rFonts w:ascii="Times New Roman" w:hAnsi="Times New Roman" w:cs="Times New Roman"/>
        </w:rPr>
        <w:t>,</w:t>
      </w:r>
      <w:r w:rsidR="001A13E0" w:rsidRPr="00705170">
        <w:rPr>
          <w:rFonts w:ascii="Times New Roman" w:hAnsi="Times New Roman" w:cs="Times New Roman"/>
        </w:rPr>
        <w:t xml:space="preserve"> </w:t>
      </w:r>
      <w:proofErr w:type="spellStart"/>
      <w:r w:rsidR="001A13E0" w:rsidRPr="00705170">
        <w:rPr>
          <w:rFonts w:ascii="Times New Roman" w:hAnsi="Times New Roman" w:cs="Times New Roman"/>
        </w:rPr>
        <w:t>laws</w:t>
      </w:r>
      <w:proofErr w:type="spellEnd"/>
      <w:r w:rsidR="001A13E0" w:rsidRPr="00705170">
        <w:rPr>
          <w:rFonts w:ascii="Times New Roman" w:hAnsi="Times New Roman" w:cs="Times New Roman"/>
        </w:rPr>
        <w:t xml:space="preserve"> “</w:t>
      </w:r>
      <w:proofErr w:type="spellStart"/>
      <w:r w:rsidR="003D6689" w:rsidRPr="00705170">
        <w:rPr>
          <w:rFonts w:ascii="Times New Roman" w:hAnsi="Times New Roman" w:cs="Times New Roman"/>
        </w:rPr>
        <w:t>regulate</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voluntary</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relationships</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by</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regard</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to</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the</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expectations</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raised</w:t>
      </w:r>
      <w:proofErr w:type="spellEnd"/>
      <w:r w:rsidR="003D6689" w:rsidRPr="00705170">
        <w:rPr>
          <w:rFonts w:ascii="Times New Roman" w:hAnsi="Times New Roman" w:cs="Times New Roman"/>
        </w:rPr>
        <w:t xml:space="preserve"> in </w:t>
      </w:r>
      <w:proofErr w:type="spellStart"/>
      <w:r w:rsidR="003D6689" w:rsidRPr="00705170">
        <w:rPr>
          <w:rFonts w:ascii="Times New Roman" w:hAnsi="Times New Roman" w:cs="Times New Roman"/>
        </w:rPr>
        <w:t>the</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mind</w:t>
      </w:r>
      <w:proofErr w:type="spellEnd"/>
      <w:r w:rsidR="003D6689" w:rsidRPr="00705170">
        <w:rPr>
          <w:rFonts w:ascii="Times New Roman" w:hAnsi="Times New Roman" w:cs="Times New Roman"/>
        </w:rPr>
        <w:t xml:space="preserve"> of a </w:t>
      </w:r>
      <w:proofErr w:type="spellStart"/>
      <w:r w:rsidR="003D6689" w:rsidRPr="00705170">
        <w:rPr>
          <w:rFonts w:ascii="Times New Roman" w:hAnsi="Times New Roman" w:cs="Times New Roman"/>
        </w:rPr>
        <w:t>party</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by</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the</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word</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or</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deed</w:t>
      </w:r>
      <w:proofErr w:type="spellEnd"/>
      <w:r w:rsidR="003D6689" w:rsidRPr="00705170">
        <w:rPr>
          <w:rFonts w:ascii="Times New Roman" w:hAnsi="Times New Roman" w:cs="Times New Roman"/>
        </w:rPr>
        <w:t xml:space="preserve"> of </w:t>
      </w:r>
      <w:proofErr w:type="spellStart"/>
      <w:r w:rsidR="003D6689" w:rsidRPr="00705170">
        <w:rPr>
          <w:rFonts w:ascii="Times New Roman" w:hAnsi="Times New Roman" w:cs="Times New Roman"/>
        </w:rPr>
        <w:t>the</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other</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and</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which</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the</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first</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party</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ordinarily</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would</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realize</w:t>
      </w:r>
      <w:proofErr w:type="spellEnd"/>
      <w:r w:rsidR="003D6689" w:rsidRPr="00705170">
        <w:rPr>
          <w:rFonts w:ascii="Times New Roman" w:hAnsi="Times New Roman" w:cs="Times New Roman"/>
        </w:rPr>
        <w:t xml:space="preserve"> it </w:t>
      </w:r>
      <w:proofErr w:type="spellStart"/>
      <w:r w:rsidR="003D6689" w:rsidRPr="00705170">
        <w:rPr>
          <w:rFonts w:ascii="Times New Roman" w:hAnsi="Times New Roman" w:cs="Times New Roman"/>
        </w:rPr>
        <w:t>was</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encouraging</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by</w:t>
      </w:r>
      <w:proofErr w:type="spellEnd"/>
      <w:r w:rsidR="003D6689" w:rsidRPr="00705170">
        <w:rPr>
          <w:rFonts w:ascii="Times New Roman" w:hAnsi="Times New Roman" w:cs="Times New Roman"/>
        </w:rPr>
        <w:t xml:space="preserve"> his </w:t>
      </w:r>
      <w:proofErr w:type="spellStart"/>
      <w:r w:rsidR="003D6689" w:rsidRPr="00705170">
        <w:rPr>
          <w:rFonts w:ascii="Times New Roman" w:hAnsi="Times New Roman" w:cs="Times New Roman"/>
        </w:rPr>
        <w:t>words</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and</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deeds</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This</w:t>
      </w:r>
      <w:proofErr w:type="spellEnd"/>
      <w:r w:rsidR="003D6689" w:rsidRPr="00705170">
        <w:rPr>
          <w:rFonts w:ascii="Times New Roman" w:hAnsi="Times New Roman" w:cs="Times New Roman"/>
        </w:rPr>
        <w:t xml:space="preserve"> is </w:t>
      </w:r>
      <w:proofErr w:type="spellStart"/>
      <w:r w:rsidR="003D6689" w:rsidRPr="00705170">
        <w:rPr>
          <w:rFonts w:ascii="Times New Roman" w:hAnsi="Times New Roman" w:cs="Times New Roman"/>
        </w:rPr>
        <w:t>what</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we</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call</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reasonable</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expectations</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or</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expectations</w:t>
      </w:r>
      <w:proofErr w:type="spellEnd"/>
      <w:r w:rsidR="003D6689" w:rsidRPr="00705170">
        <w:rPr>
          <w:rFonts w:ascii="Times New Roman" w:hAnsi="Times New Roman" w:cs="Times New Roman"/>
        </w:rPr>
        <w:t xml:space="preserve"> </w:t>
      </w:r>
      <w:proofErr w:type="spellStart"/>
      <w:r w:rsidR="003D6689" w:rsidRPr="00705170">
        <w:rPr>
          <w:rFonts w:ascii="Times New Roman" w:hAnsi="Times New Roman" w:cs="Times New Roman"/>
        </w:rPr>
        <w:t>deserving</w:t>
      </w:r>
      <w:proofErr w:type="spellEnd"/>
      <w:r w:rsidR="003D6689" w:rsidRPr="00705170">
        <w:rPr>
          <w:rFonts w:ascii="Times New Roman" w:hAnsi="Times New Roman" w:cs="Times New Roman"/>
        </w:rPr>
        <w:t xml:space="preserve"> of </w:t>
      </w:r>
      <w:proofErr w:type="spellStart"/>
      <w:r w:rsidR="003D6689" w:rsidRPr="00705170">
        <w:rPr>
          <w:rFonts w:ascii="Times New Roman" w:hAnsi="Times New Roman" w:cs="Times New Roman"/>
        </w:rPr>
        <w:t>protection</w:t>
      </w:r>
      <w:proofErr w:type="spellEnd"/>
      <w:r w:rsidR="003D6689" w:rsidRPr="00705170">
        <w:rPr>
          <w:rFonts w:ascii="Times New Roman" w:hAnsi="Times New Roman" w:cs="Times New Roman"/>
        </w:rPr>
        <w:t>.”</w:t>
      </w:r>
      <w:r w:rsidR="003D6689" w:rsidRPr="00705170">
        <w:rPr>
          <w:rStyle w:val="DipnotBavurusu"/>
          <w:rFonts w:ascii="Times New Roman" w:hAnsi="Times New Roman" w:cs="Times New Roman"/>
        </w:rPr>
        <w:footnoteReference w:id="366"/>
      </w:r>
    </w:p>
    <w:p w14:paraId="0CB373AA" w14:textId="55548E2C" w:rsidR="00332826" w:rsidRPr="00705170" w:rsidRDefault="00234F8B" w:rsidP="009C163D">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doctrine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study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focuses</w:t>
      </w:r>
      <w:proofErr w:type="spellEnd"/>
      <w:r w:rsidRPr="00705170">
        <w:rPr>
          <w:rFonts w:ascii="Times New Roman" w:hAnsi="Times New Roman" w:cs="Times New Roman"/>
        </w:rPr>
        <w:t xml:space="preserve"> on is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used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in U.S.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Style w:val="DipnotBavurusu"/>
          <w:rFonts w:ascii="Times New Roman" w:hAnsi="Times New Roman" w:cs="Times New Roman"/>
        </w:rPr>
        <w:footnoteReference w:id="367"/>
      </w:r>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t>
      </w:r>
      <w:r w:rsidR="00A65EB5" w:rsidRPr="00705170">
        <w:rPr>
          <w:rFonts w:ascii="Times New Roman" w:hAnsi="Times New Roman" w:cs="Times New Roman"/>
        </w:rPr>
        <w:t>h</w:t>
      </w:r>
      <w:r w:rsidRPr="00705170">
        <w:rPr>
          <w:rFonts w:ascii="Times New Roman" w:hAnsi="Times New Roman" w:cs="Times New Roman"/>
        </w:rPr>
        <w:t>is</w:t>
      </w:r>
      <w:proofErr w:type="spellEnd"/>
      <w:r w:rsidR="00A65EB5" w:rsidRPr="00705170">
        <w:rPr>
          <w:rFonts w:ascii="Times New Roman" w:hAnsi="Times New Roman" w:cs="Times New Roman"/>
        </w:rPr>
        <w:t xml:space="preserve"> </w:t>
      </w:r>
      <w:proofErr w:type="spellStart"/>
      <w:r w:rsidR="00A65EB5" w:rsidRPr="00705170">
        <w:rPr>
          <w:rFonts w:ascii="Times New Roman" w:hAnsi="Times New Roman" w:cs="Times New Roman"/>
        </w:rPr>
        <w:t>conception</w:t>
      </w:r>
      <w:proofErr w:type="spellEnd"/>
      <w:r w:rsidR="00A65EB5" w:rsidRPr="00705170">
        <w:rPr>
          <w:rFonts w:ascii="Times New Roman" w:hAnsi="Times New Roman" w:cs="Times New Roman"/>
        </w:rPr>
        <w:t xml:space="preserve"> </w:t>
      </w:r>
      <w:r w:rsidR="009C163D" w:rsidRPr="00705170">
        <w:rPr>
          <w:rFonts w:ascii="Times New Roman" w:hAnsi="Times New Roman" w:cs="Times New Roman"/>
        </w:rPr>
        <w:t xml:space="preserve">can be </w:t>
      </w:r>
      <w:proofErr w:type="spellStart"/>
      <w:r w:rsidR="009C163D" w:rsidRPr="00705170">
        <w:rPr>
          <w:rFonts w:ascii="Times New Roman" w:hAnsi="Times New Roman" w:cs="Times New Roman"/>
        </w:rPr>
        <w:t>found</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both</w:t>
      </w:r>
      <w:proofErr w:type="spellEnd"/>
      <w:r w:rsidR="009C163D" w:rsidRPr="00705170">
        <w:rPr>
          <w:rFonts w:ascii="Times New Roman" w:hAnsi="Times New Roman" w:cs="Times New Roman"/>
        </w:rPr>
        <w:t xml:space="preserve"> in </w:t>
      </w:r>
      <w:proofErr w:type="spellStart"/>
      <w:r w:rsidR="009C163D" w:rsidRPr="00705170">
        <w:rPr>
          <w:rFonts w:ascii="Times New Roman" w:hAnsi="Times New Roman" w:cs="Times New Roman"/>
        </w:rPr>
        <w:t>private</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law</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and</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public</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law</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In</w:t>
      </w:r>
      <w:proofErr w:type="spellEnd"/>
      <w:r w:rsidR="009C163D" w:rsidRPr="00705170">
        <w:rPr>
          <w:rFonts w:ascii="Times New Roman" w:hAnsi="Times New Roman" w:cs="Times New Roman"/>
        </w:rPr>
        <w:t xml:space="preserve"> </w:t>
      </w:r>
      <w:proofErr w:type="spellStart"/>
      <w:r w:rsidR="006108D5" w:rsidRPr="00705170">
        <w:rPr>
          <w:rFonts w:ascii="Times New Roman" w:hAnsi="Times New Roman" w:cs="Times New Roman"/>
        </w:rPr>
        <w:t>the</w:t>
      </w:r>
      <w:proofErr w:type="spellEnd"/>
      <w:r w:rsidR="006108D5" w:rsidRPr="00705170">
        <w:rPr>
          <w:rFonts w:ascii="Times New Roman" w:hAnsi="Times New Roman" w:cs="Times New Roman"/>
        </w:rPr>
        <w:t xml:space="preserve"> </w:t>
      </w:r>
      <w:proofErr w:type="spellStart"/>
      <w:r w:rsidR="009C163D" w:rsidRPr="00705170">
        <w:rPr>
          <w:rFonts w:ascii="Times New Roman" w:hAnsi="Times New Roman" w:cs="Times New Roman"/>
        </w:rPr>
        <w:t>private</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law</w:t>
      </w:r>
      <w:proofErr w:type="spellEnd"/>
      <w:r w:rsidR="006108D5" w:rsidRPr="00705170">
        <w:rPr>
          <w:rFonts w:ascii="Times New Roman" w:hAnsi="Times New Roman" w:cs="Times New Roman"/>
        </w:rPr>
        <w:t xml:space="preserve"> </w:t>
      </w:r>
      <w:proofErr w:type="spellStart"/>
      <w:r w:rsidR="006108D5" w:rsidRPr="00705170">
        <w:rPr>
          <w:rFonts w:ascii="Times New Roman" w:hAnsi="Times New Roman" w:cs="Times New Roman"/>
        </w:rPr>
        <w:t>context</w:t>
      </w:r>
      <w:proofErr w:type="spellEnd"/>
      <w:r w:rsidR="009C163D" w:rsidRPr="00705170">
        <w:rPr>
          <w:rFonts w:ascii="Times New Roman" w:hAnsi="Times New Roman" w:cs="Times New Roman"/>
        </w:rPr>
        <w:t xml:space="preserve">, </w:t>
      </w:r>
      <w:r w:rsidR="001F5FD0" w:rsidRPr="00705170">
        <w:rPr>
          <w:rFonts w:ascii="Times New Roman" w:hAnsi="Times New Roman" w:cs="Times New Roman"/>
        </w:rPr>
        <w:t xml:space="preserve">U.S. </w:t>
      </w:r>
      <w:proofErr w:type="spellStart"/>
      <w:r w:rsidR="009C163D" w:rsidRPr="00705170">
        <w:rPr>
          <w:rFonts w:ascii="Times New Roman" w:hAnsi="Times New Roman" w:cs="Times New Roman"/>
        </w:rPr>
        <w:t>courts</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have</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originated</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lastRenderedPageBreak/>
        <w:t>this</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doctrine</w:t>
      </w:r>
      <w:proofErr w:type="spellEnd"/>
      <w:r w:rsidR="009C163D" w:rsidRPr="00705170">
        <w:rPr>
          <w:rFonts w:ascii="Times New Roman" w:hAnsi="Times New Roman" w:cs="Times New Roman"/>
        </w:rPr>
        <w:t xml:space="preserve"> in </w:t>
      </w:r>
      <w:proofErr w:type="spellStart"/>
      <w:r w:rsidR="009C163D" w:rsidRPr="00705170">
        <w:rPr>
          <w:rFonts w:ascii="Times New Roman" w:hAnsi="Times New Roman" w:cs="Times New Roman"/>
        </w:rPr>
        <w:t>insurance</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law</w:t>
      </w:r>
      <w:proofErr w:type="spellEnd"/>
      <w:r w:rsidR="000556F7" w:rsidRPr="00705170">
        <w:rPr>
          <w:rFonts w:ascii="Times New Roman" w:hAnsi="Times New Roman" w:cs="Times New Roman"/>
        </w:rPr>
        <w:t xml:space="preserve">, </w:t>
      </w:r>
      <w:proofErr w:type="spellStart"/>
      <w:r w:rsidR="000556F7" w:rsidRPr="00705170">
        <w:rPr>
          <w:rFonts w:ascii="Times New Roman" w:hAnsi="Times New Roman" w:cs="Times New Roman"/>
        </w:rPr>
        <w:t>which</w:t>
      </w:r>
      <w:proofErr w:type="spellEnd"/>
      <w:r w:rsidR="000556F7" w:rsidRPr="00705170">
        <w:rPr>
          <w:rFonts w:ascii="Times New Roman" w:hAnsi="Times New Roman" w:cs="Times New Roman"/>
        </w:rPr>
        <w:t xml:space="preserve"> </w:t>
      </w:r>
      <w:proofErr w:type="spellStart"/>
      <w:r w:rsidR="000556F7" w:rsidRPr="00705170">
        <w:rPr>
          <w:rFonts w:ascii="Times New Roman" w:hAnsi="Times New Roman" w:cs="Times New Roman"/>
        </w:rPr>
        <w:t>started</w:t>
      </w:r>
      <w:proofErr w:type="spellEnd"/>
      <w:r w:rsidR="000556F7" w:rsidRPr="00705170">
        <w:rPr>
          <w:rFonts w:ascii="Times New Roman" w:hAnsi="Times New Roman" w:cs="Times New Roman"/>
        </w:rPr>
        <w:t xml:space="preserve"> </w:t>
      </w:r>
      <w:proofErr w:type="spellStart"/>
      <w:r w:rsidR="000556F7" w:rsidRPr="00705170">
        <w:rPr>
          <w:rFonts w:ascii="Times New Roman" w:hAnsi="Times New Roman" w:cs="Times New Roman"/>
        </w:rPr>
        <w:t>to</w:t>
      </w:r>
      <w:proofErr w:type="spellEnd"/>
      <w:r w:rsidR="000556F7" w:rsidRPr="00705170">
        <w:rPr>
          <w:rFonts w:ascii="Times New Roman" w:hAnsi="Times New Roman" w:cs="Times New Roman"/>
        </w:rPr>
        <w:t xml:space="preserve"> </w:t>
      </w:r>
      <w:proofErr w:type="spellStart"/>
      <w:r w:rsidR="000556F7" w:rsidRPr="00705170">
        <w:rPr>
          <w:rFonts w:ascii="Times New Roman" w:hAnsi="Times New Roman" w:cs="Times New Roman"/>
        </w:rPr>
        <w:t>grow</w:t>
      </w:r>
      <w:proofErr w:type="spellEnd"/>
      <w:r w:rsidR="000556F7" w:rsidRPr="00705170">
        <w:rPr>
          <w:rFonts w:ascii="Times New Roman" w:hAnsi="Times New Roman" w:cs="Times New Roman"/>
        </w:rPr>
        <w:t xml:space="preserve"> </w:t>
      </w:r>
      <w:proofErr w:type="spellStart"/>
      <w:r w:rsidR="000556F7" w:rsidRPr="00705170">
        <w:rPr>
          <w:rFonts w:ascii="Times New Roman" w:hAnsi="Times New Roman" w:cs="Times New Roman"/>
        </w:rPr>
        <w:t>by</w:t>
      </w:r>
      <w:proofErr w:type="spellEnd"/>
      <w:r w:rsidR="001861FC" w:rsidRPr="00705170">
        <w:rPr>
          <w:rFonts w:ascii="Times New Roman" w:hAnsi="Times New Roman" w:cs="Times New Roman"/>
        </w:rPr>
        <w:t xml:space="preserve"> 1960’s</w:t>
      </w:r>
      <w:r w:rsidR="000C66B3" w:rsidRPr="00705170">
        <w:rPr>
          <w:rFonts w:ascii="Times New Roman" w:hAnsi="Times New Roman" w:cs="Times New Roman"/>
        </w:rPr>
        <w:t xml:space="preserve"> in </w:t>
      </w:r>
      <w:proofErr w:type="spellStart"/>
      <w:r w:rsidR="000C66B3" w:rsidRPr="00705170">
        <w:rPr>
          <w:rFonts w:ascii="Times New Roman" w:hAnsi="Times New Roman" w:cs="Times New Roman"/>
        </w:rPr>
        <w:t>the</w:t>
      </w:r>
      <w:proofErr w:type="spellEnd"/>
      <w:r w:rsidR="000C66B3" w:rsidRPr="00705170">
        <w:rPr>
          <w:rFonts w:ascii="Times New Roman" w:hAnsi="Times New Roman" w:cs="Times New Roman"/>
        </w:rPr>
        <w:t xml:space="preserve"> U.S.</w:t>
      </w:r>
      <w:r w:rsidR="001861FC" w:rsidRPr="00705170">
        <w:rPr>
          <w:rStyle w:val="DipnotBavurusu"/>
          <w:rFonts w:ascii="Times New Roman" w:hAnsi="Times New Roman" w:cs="Times New Roman"/>
        </w:rPr>
        <w:footnoteReference w:id="368"/>
      </w:r>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whereas</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scholars</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originated</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its</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development</w:t>
      </w:r>
      <w:proofErr w:type="spellEnd"/>
      <w:r w:rsidR="009C163D" w:rsidRPr="00705170">
        <w:rPr>
          <w:rFonts w:ascii="Times New Roman" w:hAnsi="Times New Roman" w:cs="Times New Roman"/>
        </w:rPr>
        <w:t xml:space="preserve"> in general </w:t>
      </w:r>
      <w:proofErr w:type="spellStart"/>
      <w:r w:rsidR="009C163D" w:rsidRPr="00705170">
        <w:rPr>
          <w:rFonts w:ascii="Times New Roman" w:hAnsi="Times New Roman" w:cs="Times New Roman"/>
        </w:rPr>
        <w:t>contract</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law</w:t>
      </w:r>
      <w:proofErr w:type="spellEnd"/>
      <w:r w:rsidR="009C163D" w:rsidRPr="00705170">
        <w:rPr>
          <w:rStyle w:val="DipnotBavurusu"/>
          <w:rFonts w:ascii="Times New Roman" w:hAnsi="Times New Roman" w:cs="Times New Roman"/>
        </w:rPr>
        <w:footnoteReference w:id="369"/>
      </w:r>
      <w:r w:rsidR="009C163D" w:rsidRPr="00705170">
        <w:rPr>
          <w:rFonts w:ascii="Times New Roman" w:hAnsi="Times New Roman" w:cs="Times New Roman"/>
        </w:rPr>
        <w:t xml:space="preserve">. On </w:t>
      </w:r>
      <w:proofErr w:type="spellStart"/>
      <w:r w:rsidR="009C163D" w:rsidRPr="00705170">
        <w:rPr>
          <w:rFonts w:ascii="Times New Roman" w:hAnsi="Times New Roman" w:cs="Times New Roman"/>
        </w:rPr>
        <w:t>the</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other</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hand</w:t>
      </w:r>
      <w:proofErr w:type="spellEnd"/>
      <w:r w:rsidR="009C163D" w:rsidRPr="00705170">
        <w:rPr>
          <w:rFonts w:ascii="Times New Roman" w:hAnsi="Times New Roman" w:cs="Times New Roman"/>
        </w:rPr>
        <w:t xml:space="preserve">, in </w:t>
      </w:r>
      <w:proofErr w:type="spellStart"/>
      <w:r w:rsidR="009C163D" w:rsidRPr="00705170">
        <w:rPr>
          <w:rFonts w:ascii="Times New Roman" w:hAnsi="Times New Roman" w:cs="Times New Roman"/>
        </w:rPr>
        <w:t>public</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law</w:t>
      </w:r>
      <w:proofErr w:type="spellEnd"/>
      <w:r w:rsidR="006108D5" w:rsidRPr="00705170">
        <w:rPr>
          <w:rFonts w:ascii="Times New Roman" w:hAnsi="Times New Roman" w:cs="Times New Roman"/>
        </w:rPr>
        <w:t xml:space="preserve"> </w:t>
      </w:r>
      <w:proofErr w:type="spellStart"/>
      <w:r w:rsidR="006108D5" w:rsidRPr="00705170">
        <w:rPr>
          <w:rFonts w:ascii="Times New Roman" w:hAnsi="Times New Roman" w:cs="Times New Roman"/>
        </w:rPr>
        <w:t>context</w:t>
      </w:r>
      <w:proofErr w:type="spellEnd"/>
      <w:r w:rsidR="009C163D" w:rsidRPr="00705170">
        <w:rPr>
          <w:rFonts w:ascii="Times New Roman" w:hAnsi="Times New Roman" w:cs="Times New Roman"/>
        </w:rPr>
        <w:t>, “</w:t>
      </w:r>
      <w:proofErr w:type="spellStart"/>
      <w:r w:rsidR="009C163D" w:rsidRPr="00705170">
        <w:rPr>
          <w:rFonts w:ascii="Times New Roman" w:hAnsi="Times New Roman" w:cs="Times New Roman"/>
        </w:rPr>
        <w:t>reasonable</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expectations</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theory</w:t>
      </w:r>
      <w:proofErr w:type="spellEnd"/>
      <w:r w:rsidR="009C163D" w:rsidRPr="00705170">
        <w:rPr>
          <w:rFonts w:ascii="Times New Roman" w:hAnsi="Times New Roman" w:cs="Times New Roman"/>
        </w:rPr>
        <w:t xml:space="preserve"> has a </w:t>
      </w:r>
      <w:proofErr w:type="spellStart"/>
      <w:r w:rsidR="009C163D" w:rsidRPr="00705170">
        <w:rPr>
          <w:rFonts w:ascii="Times New Roman" w:hAnsi="Times New Roman" w:cs="Times New Roman"/>
        </w:rPr>
        <w:t>counterpart</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called</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legitimate</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expectations</w:t>
      </w:r>
      <w:proofErr w:type="spellEnd"/>
      <w:r w:rsidR="009C163D" w:rsidRPr="00705170">
        <w:rPr>
          <w:rFonts w:ascii="Times New Roman" w:hAnsi="Times New Roman" w:cs="Times New Roman"/>
        </w:rPr>
        <w:t xml:space="preserve">” in </w:t>
      </w:r>
      <w:proofErr w:type="spellStart"/>
      <w:r w:rsidR="009C163D" w:rsidRPr="00705170">
        <w:rPr>
          <w:rFonts w:ascii="Times New Roman" w:hAnsi="Times New Roman" w:cs="Times New Roman"/>
        </w:rPr>
        <w:t>administrative</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law</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which</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mainly</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focuses</w:t>
      </w:r>
      <w:proofErr w:type="spellEnd"/>
      <w:r w:rsidR="009C163D" w:rsidRPr="00705170">
        <w:rPr>
          <w:rFonts w:ascii="Times New Roman" w:hAnsi="Times New Roman" w:cs="Times New Roman"/>
        </w:rPr>
        <w:t xml:space="preserve"> on </w:t>
      </w:r>
      <w:proofErr w:type="spellStart"/>
      <w:r w:rsidR="006108D5" w:rsidRPr="00705170">
        <w:rPr>
          <w:rFonts w:ascii="Times New Roman" w:hAnsi="Times New Roman" w:cs="Times New Roman"/>
        </w:rPr>
        <w:t>the</w:t>
      </w:r>
      <w:proofErr w:type="spellEnd"/>
      <w:r w:rsidR="006108D5" w:rsidRPr="00705170">
        <w:rPr>
          <w:rFonts w:ascii="Times New Roman" w:hAnsi="Times New Roman" w:cs="Times New Roman"/>
        </w:rPr>
        <w:t xml:space="preserve"> </w:t>
      </w:r>
      <w:proofErr w:type="spellStart"/>
      <w:r w:rsidR="006108D5" w:rsidRPr="00705170">
        <w:rPr>
          <w:rFonts w:ascii="Times New Roman" w:hAnsi="Times New Roman" w:cs="Times New Roman"/>
        </w:rPr>
        <w:t>expectations</w:t>
      </w:r>
      <w:proofErr w:type="spellEnd"/>
      <w:r w:rsidR="006108D5" w:rsidRPr="00705170">
        <w:rPr>
          <w:rFonts w:ascii="Times New Roman" w:hAnsi="Times New Roman" w:cs="Times New Roman"/>
        </w:rPr>
        <w:t xml:space="preserve"> </w:t>
      </w:r>
      <w:proofErr w:type="spellStart"/>
      <w:r w:rsidR="006108D5" w:rsidRPr="00705170">
        <w:rPr>
          <w:rFonts w:ascii="Times New Roman" w:hAnsi="Times New Roman" w:cs="Times New Roman"/>
        </w:rPr>
        <w:t>that</w:t>
      </w:r>
      <w:proofErr w:type="spellEnd"/>
      <w:r w:rsidR="006108D5" w:rsidRPr="00705170">
        <w:rPr>
          <w:rFonts w:ascii="Times New Roman" w:hAnsi="Times New Roman" w:cs="Times New Roman"/>
        </w:rPr>
        <w:t xml:space="preserve"> </w:t>
      </w:r>
      <w:proofErr w:type="spellStart"/>
      <w:r w:rsidR="006108D5" w:rsidRPr="00705170">
        <w:rPr>
          <w:rFonts w:ascii="Times New Roman" w:hAnsi="Times New Roman" w:cs="Times New Roman"/>
        </w:rPr>
        <w:t>public</w:t>
      </w:r>
      <w:proofErr w:type="spellEnd"/>
      <w:r w:rsidR="006108D5" w:rsidRPr="00705170">
        <w:rPr>
          <w:rFonts w:ascii="Times New Roman" w:hAnsi="Times New Roman" w:cs="Times New Roman"/>
        </w:rPr>
        <w:t xml:space="preserve"> </w:t>
      </w:r>
      <w:proofErr w:type="spellStart"/>
      <w:r w:rsidR="006108D5" w:rsidRPr="00705170">
        <w:rPr>
          <w:rFonts w:ascii="Times New Roman" w:hAnsi="Times New Roman" w:cs="Times New Roman"/>
        </w:rPr>
        <w:t>authorities</w:t>
      </w:r>
      <w:proofErr w:type="spellEnd"/>
      <w:r w:rsidR="009C163D" w:rsidRPr="00705170">
        <w:rPr>
          <w:rFonts w:ascii="Times New Roman" w:hAnsi="Times New Roman" w:cs="Times New Roman"/>
        </w:rPr>
        <w:t xml:space="preserve"> </w:t>
      </w:r>
      <w:proofErr w:type="spellStart"/>
      <w:r w:rsidR="009C163D" w:rsidRPr="00705170">
        <w:rPr>
          <w:rFonts w:ascii="Times New Roman" w:hAnsi="Times New Roman" w:cs="Times New Roman"/>
        </w:rPr>
        <w:t>evoke</w:t>
      </w:r>
      <w:r w:rsidR="003908BE">
        <w:rPr>
          <w:rFonts w:ascii="Times New Roman" w:hAnsi="Times New Roman" w:cs="Times New Roman"/>
        </w:rPr>
        <w:t>s</w:t>
      </w:r>
      <w:proofErr w:type="spellEnd"/>
      <w:r w:rsidR="009C163D" w:rsidRPr="00705170">
        <w:rPr>
          <w:rStyle w:val="DipnotBavurusu"/>
          <w:rFonts w:ascii="Times New Roman" w:hAnsi="Times New Roman" w:cs="Times New Roman"/>
        </w:rPr>
        <w:footnoteReference w:id="370"/>
      </w:r>
      <w:r w:rsidR="009C163D" w:rsidRPr="00705170">
        <w:rPr>
          <w:rFonts w:ascii="Times New Roman" w:hAnsi="Times New Roman" w:cs="Times New Roman"/>
        </w:rPr>
        <w:t xml:space="preserve">. </w:t>
      </w:r>
    </w:p>
    <w:p w14:paraId="3A90D797" w14:textId="5E44A832" w:rsidR="009C163D" w:rsidRPr="00705170" w:rsidRDefault="009C163D" w:rsidP="003E49BE">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U.S.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doctrine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appears</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determines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wheth</w:t>
      </w:r>
      <w:r w:rsidR="00A7544B" w:rsidRPr="00705170">
        <w:rPr>
          <w:rFonts w:ascii="Times New Roman" w:hAnsi="Times New Roman" w:cs="Times New Roman"/>
        </w:rPr>
        <w:t>er</w:t>
      </w:r>
      <w:proofErr w:type="spellEnd"/>
      <w:r w:rsidR="00A7544B" w:rsidRPr="00705170">
        <w:rPr>
          <w:rFonts w:ascii="Times New Roman" w:hAnsi="Times New Roman" w:cs="Times New Roman"/>
        </w:rPr>
        <w:t xml:space="preserve"> an “</w:t>
      </w:r>
      <w:proofErr w:type="spellStart"/>
      <w:r w:rsidR="00A7544B" w:rsidRPr="00705170">
        <w:rPr>
          <w:rFonts w:ascii="Times New Roman" w:hAnsi="Times New Roman" w:cs="Times New Roman"/>
        </w:rPr>
        <w:t>oppression</w:t>
      </w:r>
      <w:proofErr w:type="spellEnd"/>
      <w:r w:rsidR="00A7544B" w:rsidRPr="00705170">
        <w:rPr>
          <w:rFonts w:ascii="Times New Roman" w:hAnsi="Times New Roman" w:cs="Times New Roman"/>
        </w:rPr>
        <w:t xml:space="preserve">” has </w:t>
      </w:r>
      <w:proofErr w:type="spellStart"/>
      <w:r w:rsidR="00A7544B" w:rsidRPr="00705170">
        <w:rPr>
          <w:rFonts w:ascii="Times New Roman" w:hAnsi="Times New Roman" w:cs="Times New Roman"/>
        </w:rPr>
        <w:t>occurred</w:t>
      </w:r>
      <w:proofErr w:type="spellEnd"/>
      <w:r w:rsidR="00B16C78" w:rsidRPr="00705170">
        <w:rPr>
          <w:rStyle w:val="DipnotBavurusu"/>
          <w:rFonts w:ascii="Times New Roman" w:hAnsi="Times New Roman" w:cs="Times New Roman"/>
        </w:rPr>
        <w:footnoteReference w:id="371"/>
      </w:r>
      <w:r w:rsidR="00A7544B" w:rsidRPr="00705170">
        <w:rPr>
          <w:rFonts w:ascii="Times New Roman" w:hAnsi="Times New Roman" w:cs="Times New Roman"/>
        </w:rPr>
        <w:t xml:space="preserve">: </w:t>
      </w:r>
      <w:proofErr w:type="spellStart"/>
      <w:r w:rsidR="00A7544B" w:rsidRPr="00705170">
        <w:rPr>
          <w:rFonts w:ascii="Times New Roman" w:hAnsi="Times New Roman" w:cs="Times New Roman"/>
        </w:rPr>
        <w:t>This</w:t>
      </w:r>
      <w:proofErr w:type="spellEnd"/>
      <w:r w:rsidR="00A7544B" w:rsidRPr="00705170">
        <w:rPr>
          <w:rFonts w:ascii="Times New Roman" w:hAnsi="Times New Roman" w:cs="Times New Roman"/>
        </w:rPr>
        <w:t xml:space="preserve"> </w:t>
      </w:r>
      <w:proofErr w:type="spellStart"/>
      <w:r w:rsidR="00A7544B" w:rsidRPr="00705170">
        <w:rPr>
          <w:rFonts w:ascii="Times New Roman" w:hAnsi="Times New Roman" w:cs="Times New Roman"/>
        </w:rPr>
        <w:t>doctrine</w:t>
      </w:r>
      <w:proofErr w:type="spellEnd"/>
      <w:r w:rsidR="00A7544B" w:rsidRPr="00705170">
        <w:rPr>
          <w:rFonts w:ascii="Times New Roman" w:hAnsi="Times New Roman" w:cs="Times New Roman"/>
        </w:rPr>
        <w:t xml:space="preserve"> is </w:t>
      </w:r>
      <w:proofErr w:type="spellStart"/>
      <w:r w:rsidR="00A7544B" w:rsidRPr="00705170">
        <w:rPr>
          <w:rFonts w:ascii="Times New Roman" w:hAnsi="Times New Roman" w:cs="Times New Roman"/>
        </w:rPr>
        <w:t>crucial</w:t>
      </w:r>
      <w:proofErr w:type="spellEnd"/>
      <w:r w:rsidR="00A7544B" w:rsidRPr="00705170">
        <w:rPr>
          <w:rFonts w:ascii="Times New Roman" w:hAnsi="Times New Roman" w:cs="Times New Roman"/>
        </w:rPr>
        <w:t xml:space="preserve">, </w:t>
      </w:r>
      <w:proofErr w:type="spellStart"/>
      <w:r w:rsidR="00A7544B" w:rsidRPr="00705170">
        <w:rPr>
          <w:rFonts w:ascii="Times New Roman" w:hAnsi="Times New Roman" w:cs="Times New Roman"/>
        </w:rPr>
        <w:t>because</w:t>
      </w:r>
      <w:proofErr w:type="spellEnd"/>
      <w:r w:rsidR="00A7544B" w:rsidRPr="00705170">
        <w:rPr>
          <w:rFonts w:ascii="Times New Roman" w:hAnsi="Times New Roman" w:cs="Times New Roman"/>
        </w:rPr>
        <w:t xml:space="preserve"> “</w:t>
      </w:r>
      <w:proofErr w:type="spellStart"/>
      <w:r w:rsidR="00A7544B" w:rsidRPr="00705170">
        <w:rPr>
          <w:rFonts w:ascii="Times New Roman" w:hAnsi="Times New Roman" w:cs="Times New Roman"/>
        </w:rPr>
        <w:t>oppression</w:t>
      </w:r>
      <w:proofErr w:type="spellEnd"/>
      <w:r w:rsidR="00A7544B" w:rsidRPr="00705170">
        <w:rPr>
          <w:rFonts w:ascii="Times New Roman" w:hAnsi="Times New Roman" w:cs="Times New Roman"/>
        </w:rPr>
        <w:t>”</w:t>
      </w:r>
      <w:r w:rsidRPr="00705170">
        <w:rPr>
          <w:rFonts w:ascii="Times New Roman" w:hAnsi="Times New Roman" w:cs="Times New Roman"/>
        </w:rPr>
        <w:t xml:space="preserve"> </w:t>
      </w:r>
      <w:proofErr w:type="spellStart"/>
      <w:r w:rsidR="00A7544B" w:rsidRPr="00705170">
        <w:rPr>
          <w:rFonts w:ascii="Times New Roman" w:hAnsi="Times New Roman" w:cs="Times New Roman"/>
        </w:rPr>
        <w:t>provides</w:t>
      </w:r>
      <w:proofErr w:type="spellEnd"/>
      <w:r w:rsidR="00A7544B" w:rsidRPr="00705170">
        <w:rPr>
          <w:rFonts w:ascii="Times New Roman" w:hAnsi="Times New Roman" w:cs="Times New Roman"/>
        </w:rPr>
        <w:t xml:space="preserve"> </w:t>
      </w:r>
      <w:r w:rsidRPr="00705170">
        <w:rPr>
          <w:rFonts w:ascii="Times New Roman" w:hAnsi="Times New Roman" w:cs="Times New Roman"/>
        </w:rPr>
        <w:t>a</w:t>
      </w:r>
      <w:r w:rsidR="00A7544B" w:rsidRPr="00705170">
        <w:rPr>
          <w:rFonts w:ascii="Times New Roman" w:hAnsi="Times New Roman" w:cs="Times New Roman"/>
        </w:rPr>
        <w:t xml:space="preserve">n </w:t>
      </w:r>
      <w:proofErr w:type="spellStart"/>
      <w:r w:rsidR="00A7544B" w:rsidRPr="00705170">
        <w:rPr>
          <w:rFonts w:ascii="Times New Roman" w:hAnsi="Times New Roman" w:cs="Times New Roman"/>
        </w:rPr>
        <w:t>independent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corportion</w:t>
      </w:r>
      <w:proofErr w:type="spellEnd"/>
      <w:r w:rsidRPr="00705170">
        <w:rPr>
          <w:rStyle w:val="DipnotBavurusu"/>
          <w:rFonts w:ascii="Times New Roman" w:hAnsi="Times New Roman" w:cs="Times New Roman"/>
        </w:rPr>
        <w:footnoteReference w:id="372"/>
      </w:r>
      <w:r w:rsidR="003E49BE">
        <w:rPr>
          <w:rFonts w:ascii="Times New Roman" w:hAnsi="Times New Roman" w:cs="Times New Roman"/>
        </w:rPr>
        <w:t>.</w:t>
      </w:r>
      <w:r w:rsidR="00517860" w:rsidRPr="00705170">
        <w:rPr>
          <w:rFonts w:ascii="Times New Roman" w:hAnsi="Times New Roman" w:cs="Times New Roman"/>
        </w:rPr>
        <w:t xml:space="preserve"> </w:t>
      </w:r>
      <w:proofErr w:type="spellStart"/>
      <w:r w:rsidR="0078765B" w:rsidRPr="00705170">
        <w:rPr>
          <w:rFonts w:ascii="Times New Roman" w:hAnsi="Times New Roman" w:cs="Times New Roman"/>
        </w:rPr>
        <w:t>The</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usage</w:t>
      </w:r>
      <w:proofErr w:type="spellEnd"/>
      <w:r w:rsidR="0078765B" w:rsidRPr="00705170">
        <w:rPr>
          <w:rFonts w:ascii="Times New Roman" w:hAnsi="Times New Roman" w:cs="Times New Roman"/>
        </w:rPr>
        <w:t xml:space="preserve"> of “</w:t>
      </w:r>
      <w:proofErr w:type="spellStart"/>
      <w:r w:rsidR="0078765B" w:rsidRPr="00705170">
        <w:rPr>
          <w:rFonts w:ascii="Times New Roman" w:hAnsi="Times New Roman" w:cs="Times New Roman"/>
        </w:rPr>
        <w:t>reasonable</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expectations</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concept</w:t>
      </w:r>
      <w:proofErr w:type="spellEnd"/>
      <w:r w:rsidR="0078765B" w:rsidRPr="00705170">
        <w:rPr>
          <w:rFonts w:ascii="Times New Roman" w:hAnsi="Times New Roman" w:cs="Times New Roman"/>
        </w:rPr>
        <w:t xml:space="preserve"> </w:t>
      </w:r>
      <w:r w:rsidR="003E49BE">
        <w:rPr>
          <w:rFonts w:ascii="Times New Roman" w:hAnsi="Times New Roman" w:cs="Times New Roman"/>
        </w:rPr>
        <w:t xml:space="preserve">as a </w:t>
      </w:r>
      <w:proofErr w:type="spellStart"/>
      <w:r w:rsidR="003E49BE">
        <w:rPr>
          <w:rFonts w:ascii="Times New Roman" w:hAnsi="Times New Roman" w:cs="Times New Roman"/>
        </w:rPr>
        <w:t>standard</w:t>
      </w:r>
      <w:proofErr w:type="spellEnd"/>
      <w:r w:rsidR="003E49BE">
        <w:rPr>
          <w:rStyle w:val="DipnotBavurusu"/>
          <w:rFonts w:ascii="Times New Roman" w:hAnsi="Times New Roman" w:cs="Times New Roman"/>
        </w:rPr>
        <w:footnoteReference w:id="373"/>
      </w:r>
      <w:r w:rsidR="003E49BE">
        <w:rPr>
          <w:rFonts w:ascii="Times New Roman" w:hAnsi="Times New Roman" w:cs="Times New Roman"/>
        </w:rPr>
        <w:t xml:space="preserve"> </w:t>
      </w:r>
      <w:proofErr w:type="spellStart"/>
      <w:r w:rsidR="003E49BE">
        <w:rPr>
          <w:rFonts w:ascii="Times New Roman" w:hAnsi="Times New Roman" w:cs="Times New Roman"/>
        </w:rPr>
        <w:t>to</w:t>
      </w:r>
      <w:proofErr w:type="spellEnd"/>
      <w:r w:rsidR="003E49BE">
        <w:rPr>
          <w:rFonts w:ascii="Times New Roman" w:hAnsi="Times New Roman" w:cs="Times New Roman"/>
        </w:rPr>
        <w:t xml:space="preserve"> </w:t>
      </w:r>
      <w:proofErr w:type="spellStart"/>
      <w:r w:rsidR="003E49BE">
        <w:rPr>
          <w:rFonts w:ascii="Times New Roman" w:hAnsi="Times New Roman" w:cs="Times New Roman"/>
        </w:rPr>
        <w:t>assess</w:t>
      </w:r>
      <w:proofErr w:type="spellEnd"/>
      <w:r w:rsidR="003E49BE">
        <w:rPr>
          <w:rFonts w:ascii="Times New Roman" w:hAnsi="Times New Roman" w:cs="Times New Roman"/>
        </w:rPr>
        <w:t xml:space="preserve"> </w:t>
      </w:r>
      <w:proofErr w:type="spellStart"/>
      <w:r w:rsidR="003E49BE">
        <w:rPr>
          <w:rFonts w:ascii="Times New Roman" w:hAnsi="Times New Roman" w:cs="Times New Roman"/>
        </w:rPr>
        <w:t>oppression</w:t>
      </w:r>
      <w:proofErr w:type="spellEnd"/>
      <w:r w:rsidR="003E49BE">
        <w:rPr>
          <w:rFonts w:ascii="Times New Roman" w:hAnsi="Times New Roman" w:cs="Times New Roman"/>
        </w:rPr>
        <w:t xml:space="preserve"> </w:t>
      </w:r>
      <w:r w:rsidR="0078765B" w:rsidRPr="00705170">
        <w:rPr>
          <w:rFonts w:ascii="Times New Roman" w:hAnsi="Times New Roman" w:cs="Times New Roman"/>
        </w:rPr>
        <w:t xml:space="preserve">in U.S. </w:t>
      </w:r>
      <w:proofErr w:type="spellStart"/>
      <w:r w:rsidR="0078765B" w:rsidRPr="00705170">
        <w:rPr>
          <w:rFonts w:ascii="Times New Roman" w:hAnsi="Times New Roman" w:cs="Times New Roman"/>
        </w:rPr>
        <w:t>shareholder</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oppression</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law</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was</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strongly</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advocated</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for</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the</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first</w:t>
      </w:r>
      <w:proofErr w:type="spellEnd"/>
      <w:r w:rsidR="0078765B" w:rsidRPr="00705170">
        <w:rPr>
          <w:rFonts w:ascii="Times New Roman" w:hAnsi="Times New Roman" w:cs="Times New Roman"/>
        </w:rPr>
        <w:t xml:space="preserve"> time </w:t>
      </w:r>
      <w:proofErr w:type="spellStart"/>
      <w:r w:rsidR="0078765B" w:rsidRPr="00705170">
        <w:rPr>
          <w:rFonts w:ascii="Times New Roman" w:hAnsi="Times New Roman" w:cs="Times New Roman"/>
        </w:rPr>
        <w:t>by</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Professor</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O’Neil</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back</w:t>
      </w:r>
      <w:proofErr w:type="spellEnd"/>
      <w:r w:rsidR="0078765B" w:rsidRPr="00705170">
        <w:rPr>
          <w:rFonts w:ascii="Times New Roman" w:hAnsi="Times New Roman" w:cs="Times New Roman"/>
        </w:rPr>
        <w:t xml:space="preserve"> in 1975</w:t>
      </w:r>
      <w:r w:rsidR="0078765B" w:rsidRPr="00705170">
        <w:rPr>
          <w:rStyle w:val="DipnotBavurusu"/>
          <w:rFonts w:ascii="Times New Roman" w:hAnsi="Times New Roman" w:cs="Times New Roman"/>
        </w:rPr>
        <w:footnoteReference w:id="374"/>
      </w:r>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However</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this</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concept</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did</w:t>
      </w:r>
      <w:proofErr w:type="spellEnd"/>
      <w:r w:rsidR="0078765B" w:rsidRPr="00705170">
        <w:rPr>
          <w:rFonts w:ascii="Times New Roman" w:hAnsi="Times New Roman" w:cs="Times New Roman"/>
        </w:rPr>
        <w:t xml:space="preserve"> not </w:t>
      </w:r>
      <w:proofErr w:type="spellStart"/>
      <w:r w:rsidR="0078765B" w:rsidRPr="00705170">
        <w:rPr>
          <w:rFonts w:ascii="Times New Roman" w:hAnsi="Times New Roman" w:cs="Times New Roman"/>
        </w:rPr>
        <w:t>originate</w:t>
      </w:r>
      <w:proofErr w:type="spellEnd"/>
      <w:r w:rsidR="0078765B" w:rsidRPr="00705170">
        <w:rPr>
          <w:rFonts w:ascii="Times New Roman" w:hAnsi="Times New Roman" w:cs="Times New Roman"/>
        </w:rPr>
        <w:t xml:space="preserve"> in U.S. </w:t>
      </w:r>
      <w:proofErr w:type="spellStart"/>
      <w:r w:rsidR="0078765B" w:rsidRPr="00705170">
        <w:rPr>
          <w:rFonts w:ascii="Times New Roman" w:hAnsi="Times New Roman" w:cs="Times New Roman"/>
        </w:rPr>
        <w:t>law</w:t>
      </w:r>
      <w:proofErr w:type="spellEnd"/>
      <w:r w:rsidR="0078765B" w:rsidRPr="00705170">
        <w:rPr>
          <w:rFonts w:ascii="Times New Roman" w:hAnsi="Times New Roman" w:cs="Times New Roman"/>
        </w:rPr>
        <w:t xml:space="preserve">. An </w:t>
      </w:r>
      <w:proofErr w:type="spellStart"/>
      <w:r w:rsidR="0078765B" w:rsidRPr="00705170">
        <w:rPr>
          <w:rFonts w:ascii="Times New Roman" w:hAnsi="Times New Roman" w:cs="Times New Roman"/>
        </w:rPr>
        <w:t>Australian</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scholar</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Allen</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Afterman</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linked</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this</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concept</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to</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oppression</w:t>
      </w:r>
      <w:proofErr w:type="spellEnd"/>
      <w:r w:rsidR="0078765B" w:rsidRPr="00705170">
        <w:rPr>
          <w:rFonts w:ascii="Times New Roman" w:hAnsi="Times New Roman" w:cs="Times New Roman"/>
        </w:rPr>
        <w:t xml:space="preserve"> </w:t>
      </w:r>
      <w:proofErr w:type="spellStart"/>
      <w:r w:rsidR="00A7544B" w:rsidRPr="00705170">
        <w:rPr>
          <w:rFonts w:ascii="Times New Roman" w:hAnsi="Times New Roman" w:cs="Times New Roman"/>
        </w:rPr>
        <w:t>for</w:t>
      </w:r>
      <w:proofErr w:type="spellEnd"/>
      <w:r w:rsidR="00A7544B" w:rsidRPr="00705170">
        <w:rPr>
          <w:rFonts w:ascii="Times New Roman" w:hAnsi="Times New Roman" w:cs="Times New Roman"/>
        </w:rPr>
        <w:t xml:space="preserve"> </w:t>
      </w:r>
      <w:proofErr w:type="spellStart"/>
      <w:r w:rsidR="00A7544B" w:rsidRPr="00705170">
        <w:rPr>
          <w:rFonts w:ascii="Times New Roman" w:hAnsi="Times New Roman" w:cs="Times New Roman"/>
        </w:rPr>
        <w:t>the</w:t>
      </w:r>
      <w:proofErr w:type="spellEnd"/>
      <w:r w:rsidR="00A7544B" w:rsidRPr="00705170">
        <w:rPr>
          <w:rFonts w:ascii="Times New Roman" w:hAnsi="Times New Roman" w:cs="Times New Roman"/>
        </w:rPr>
        <w:t xml:space="preserve"> </w:t>
      </w:r>
      <w:proofErr w:type="spellStart"/>
      <w:r w:rsidR="00A7544B" w:rsidRPr="00705170">
        <w:rPr>
          <w:rFonts w:ascii="Times New Roman" w:hAnsi="Times New Roman" w:cs="Times New Roman"/>
        </w:rPr>
        <w:t>first</w:t>
      </w:r>
      <w:proofErr w:type="spellEnd"/>
      <w:r w:rsidR="00A7544B" w:rsidRPr="00705170">
        <w:rPr>
          <w:rFonts w:ascii="Times New Roman" w:hAnsi="Times New Roman" w:cs="Times New Roman"/>
        </w:rPr>
        <w:t xml:space="preserve"> time </w:t>
      </w:r>
      <w:r w:rsidR="0078765B" w:rsidRPr="00705170">
        <w:rPr>
          <w:rFonts w:ascii="Times New Roman" w:hAnsi="Times New Roman" w:cs="Times New Roman"/>
        </w:rPr>
        <w:t xml:space="preserve">in his 1969 </w:t>
      </w:r>
      <w:proofErr w:type="spellStart"/>
      <w:r w:rsidR="00A7544B" w:rsidRPr="00705170">
        <w:rPr>
          <w:rFonts w:ascii="Times New Roman" w:hAnsi="Times New Roman" w:cs="Times New Roman"/>
        </w:rPr>
        <w:t>dated</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article</w:t>
      </w:r>
      <w:proofErr w:type="spellEnd"/>
      <w:r w:rsidR="0078765B" w:rsidRPr="00705170">
        <w:rPr>
          <w:rStyle w:val="DipnotBavurusu"/>
          <w:rFonts w:ascii="Times New Roman" w:hAnsi="Times New Roman" w:cs="Times New Roman"/>
        </w:rPr>
        <w:footnoteReference w:id="375"/>
      </w:r>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Still</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the</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judicial</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use</w:t>
      </w:r>
      <w:proofErr w:type="spellEnd"/>
      <w:r w:rsidR="0078765B" w:rsidRPr="00705170">
        <w:rPr>
          <w:rFonts w:ascii="Times New Roman" w:hAnsi="Times New Roman" w:cs="Times New Roman"/>
        </w:rPr>
        <w:t xml:space="preserve"> of </w:t>
      </w:r>
      <w:proofErr w:type="spellStart"/>
      <w:r w:rsidR="0078765B" w:rsidRPr="00705170">
        <w:rPr>
          <w:rFonts w:ascii="Times New Roman" w:hAnsi="Times New Roman" w:cs="Times New Roman"/>
        </w:rPr>
        <w:t>the</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concept</w:t>
      </w:r>
      <w:proofErr w:type="spellEnd"/>
      <w:r w:rsidR="0078765B" w:rsidRPr="00705170">
        <w:rPr>
          <w:rFonts w:ascii="Times New Roman" w:hAnsi="Times New Roman" w:cs="Times New Roman"/>
        </w:rPr>
        <w:t xml:space="preserve"> had </w:t>
      </w:r>
      <w:proofErr w:type="spellStart"/>
      <w:r w:rsidR="0078765B" w:rsidRPr="00705170">
        <w:rPr>
          <w:rFonts w:ascii="Times New Roman" w:hAnsi="Times New Roman" w:cs="Times New Roman"/>
        </w:rPr>
        <w:t>to</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wait</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until</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the</w:t>
      </w:r>
      <w:proofErr w:type="spellEnd"/>
      <w:r w:rsidR="0078765B" w:rsidRPr="00705170">
        <w:rPr>
          <w:rFonts w:ascii="Times New Roman" w:hAnsi="Times New Roman" w:cs="Times New Roman"/>
        </w:rPr>
        <w:t xml:space="preserve"> 1972 </w:t>
      </w:r>
      <w:proofErr w:type="spellStart"/>
      <w:r w:rsidR="0078765B" w:rsidRPr="00705170">
        <w:rPr>
          <w:rFonts w:ascii="Times New Roman" w:hAnsi="Times New Roman" w:cs="Times New Roman"/>
        </w:rPr>
        <w:t>dated</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Ebrahimi</w:t>
      </w:r>
      <w:proofErr w:type="spellEnd"/>
      <w:r w:rsidR="0078765B" w:rsidRPr="00705170">
        <w:rPr>
          <w:rFonts w:ascii="Times New Roman" w:hAnsi="Times New Roman" w:cs="Times New Roman"/>
        </w:rPr>
        <w:t xml:space="preserve"> v. </w:t>
      </w:r>
      <w:proofErr w:type="spellStart"/>
      <w:r w:rsidR="0078765B" w:rsidRPr="00705170">
        <w:rPr>
          <w:rFonts w:ascii="Times New Roman" w:hAnsi="Times New Roman" w:cs="Times New Roman"/>
        </w:rPr>
        <w:t>Wesbourne</w:t>
      </w:r>
      <w:proofErr w:type="spellEnd"/>
      <w:r w:rsidR="0078765B" w:rsidRPr="00705170">
        <w:rPr>
          <w:rFonts w:ascii="Times New Roman" w:hAnsi="Times New Roman" w:cs="Times New Roman"/>
        </w:rPr>
        <w:t xml:space="preserve"> </w:t>
      </w:r>
      <w:proofErr w:type="spellStart"/>
      <w:r w:rsidR="0078765B" w:rsidRPr="00705170">
        <w:rPr>
          <w:rFonts w:ascii="Times New Roman" w:hAnsi="Times New Roman" w:cs="Times New Roman"/>
        </w:rPr>
        <w:t>Galleries</w:t>
      </w:r>
      <w:proofErr w:type="spellEnd"/>
      <w:r w:rsidR="0078765B" w:rsidRPr="00705170">
        <w:rPr>
          <w:rFonts w:ascii="Times New Roman" w:hAnsi="Times New Roman" w:cs="Times New Roman"/>
        </w:rPr>
        <w:t xml:space="preserve"> Ltd.</w:t>
      </w:r>
      <w:r w:rsidR="0078765B" w:rsidRPr="00705170">
        <w:rPr>
          <w:rStyle w:val="DipnotBavurusu"/>
          <w:rFonts w:ascii="Times New Roman" w:hAnsi="Times New Roman" w:cs="Times New Roman"/>
        </w:rPr>
        <w:footnoteReference w:id="376"/>
      </w:r>
      <w:r w:rsidR="00A7544B" w:rsidRPr="00705170">
        <w:rPr>
          <w:rFonts w:ascii="Times New Roman" w:hAnsi="Times New Roman" w:cs="Times New Roman"/>
        </w:rPr>
        <w:t xml:space="preserve"> </w:t>
      </w:r>
      <w:proofErr w:type="spellStart"/>
      <w:r w:rsidR="00A7544B" w:rsidRPr="00705170">
        <w:rPr>
          <w:rFonts w:ascii="Times New Roman" w:hAnsi="Times New Roman" w:cs="Times New Roman"/>
        </w:rPr>
        <w:t>decision</w:t>
      </w:r>
      <w:proofErr w:type="spellEnd"/>
      <w:r w:rsidR="00A7544B" w:rsidRPr="00705170">
        <w:rPr>
          <w:rFonts w:ascii="Times New Roman" w:hAnsi="Times New Roman" w:cs="Times New Roman"/>
        </w:rPr>
        <w:t xml:space="preserve"> of </w:t>
      </w:r>
      <w:proofErr w:type="spellStart"/>
      <w:r w:rsidR="00A7544B" w:rsidRPr="00705170">
        <w:rPr>
          <w:rFonts w:ascii="Times New Roman" w:hAnsi="Times New Roman" w:cs="Times New Roman"/>
        </w:rPr>
        <w:t>the</w:t>
      </w:r>
      <w:proofErr w:type="spellEnd"/>
      <w:r w:rsidR="00A7544B" w:rsidRPr="00705170">
        <w:rPr>
          <w:rFonts w:ascii="Times New Roman" w:hAnsi="Times New Roman" w:cs="Times New Roman"/>
        </w:rPr>
        <w:t xml:space="preserve"> U.K. </w:t>
      </w:r>
      <w:proofErr w:type="spellStart"/>
      <w:r w:rsidR="0078765B" w:rsidRPr="00705170">
        <w:rPr>
          <w:rFonts w:ascii="Times New Roman" w:hAnsi="Times New Roman" w:cs="Times New Roman"/>
        </w:rPr>
        <w:t>court</w:t>
      </w:r>
      <w:proofErr w:type="spellEnd"/>
      <w:r w:rsidR="0078765B" w:rsidRPr="00705170">
        <w:rPr>
          <w:rFonts w:ascii="Times New Roman" w:hAnsi="Times New Roman" w:cs="Times New Roman"/>
        </w:rPr>
        <w:t>.</w:t>
      </w:r>
      <w:r w:rsidR="007E29AB" w:rsidRPr="00705170">
        <w:rPr>
          <w:rFonts w:ascii="Times New Roman" w:hAnsi="Times New Roman" w:cs="Times New Roman"/>
        </w:rPr>
        <w:t xml:space="preserve"> On </w:t>
      </w:r>
      <w:proofErr w:type="spellStart"/>
      <w:r w:rsidR="007E29AB" w:rsidRPr="00705170">
        <w:rPr>
          <w:rFonts w:ascii="Times New Roman" w:hAnsi="Times New Roman" w:cs="Times New Roman"/>
        </w:rPr>
        <w:t>the</w:t>
      </w:r>
      <w:proofErr w:type="spellEnd"/>
      <w:r w:rsidR="007E29AB" w:rsidRPr="00705170">
        <w:rPr>
          <w:rFonts w:ascii="Times New Roman" w:hAnsi="Times New Roman" w:cs="Times New Roman"/>
        </w:rPr>
        <w:t xml:space="preserve"> </w:t>
      </w:r>
      <w:proofErr w:type="spellStart"/>
      <w:r w:rsidR="007E29AB" w:rsidRPr="00705170">
        <w:rPr>
          <w:rFonts w:ascii="Times New Roman" w:hAnsi="Times New Roman" w:cs="Times New Roman"/>
        </w:rPr>
        <w:t>other</w:t>
      </w:r>
      <w:proofErr w:type="spellEnd"/>
      <w:r w:rsidR="005523A6" w:rsidRPr="00705170">
        <w:rPr>
          <w:rFonts w:ascii="Times New Roman" w:hAnsi="Times New Roman" w:cs="Times New Roman"/>
        </w:rPr>
        <w:t xml:space="preserve"> </w:t>
      </w:r>
      <w:proofErr w:type="spellStart"/>
      <w:r w:rsidR="005523A6" w:rsidRPr="00705170">
        <w:rPr>
          <w:rFonts w:ascii="Times New Roman" w:hAnsi="Times New Roman" w:cs="Times New Roman"/>
        </w:rPr>
        <w:t>hand</w:t>
      </w:r>
      <w:proofErr w:type="spellEnd"/>
      <w:r w:rsidR="005523A6" w:rsidRPr="00705170">
        <w:rPr>
          <w:rFonts w:ascii="Times New Roman" w:hAnsi="Times New Roman" w:cs="Times New Roman"/>
        </w:rPr>
        <w:t xml:space="preserve">, U.S. </w:t>
      </w:r>
      <w:proofErr w:type="spellStart"/>
      <w:r w:rsidR="003908BE">
        <w:rPr>
          <w:rFonts w:ascii="Times New Roman" w:hAnsi="Times New Roman" w:cs="Times New Roman"/>
        </w:rPr>
        <w:t>law</w:t>
      </w:r>
      <w:proofErr w:type="spellEnd"/>
      <w:r w:rsidR="003908BE">
        <w:rPr>
          <w:rFonts w:ascii="Times New Roman" w:hAnsi="Times New Roman" w:cs="Times New Roman"/>
        </w:rPr>
        <w:t xml:space="preserve"> </w:t>
      </w:r>
      <w:r w:rsidR="005523A6" w:rsidRPr="00705170">
        <w:rPr>
          <w:rFonts w:ascii="Times New Roman" w:hAnsi="Times New Roman" w:cs="Times New Roman"/>
        </w:rPr>
        <w:t xml:space="preserve">had </w:t>
      </w:r>
      <w:proofErr w:type="spellStart"/>
      <w:r w:rsidR="005523A6" w:rsidRPr="00705170">
        <w:rPr>
          <w:rFonts w:ascii="Times New Roman" w:hAnsi="Times New Roman" w:cs="Times New Roman"/>
        </w:rPr>
        <w:t>to</w:t>
      </w:r>
      <w:proofErr w:type="spellEnd"/>
      <w:r w:rsidR="005523A6" w:rsidRPr="00705170">
        <w:rPr>
          <w:rFonts w:ascii="Times New Roman" w:hAnsi="Times New Roman" w:cs="Times New Roman"/>
        </w:rPr>
        <w:t xml:space="preserve"> </w:t>
      </w:r>
      <w:proofErr w:type="spellStart"/>
      <w:r w:rsidR="005523A6" w:rsidRPr="00705170">
        <w:rPr>
          <w:rFonts w:ascii="Times New Roman" w:hAnsi="Times New Roman" w:cs="Times New Roman"/>
        </w:rPr>
        <w:t>wait</w:t>
      </w:r>
      <w:proofErr w:type="spellEnd"/>
      <w:r w:rsidR="005523A6" w:rsidRPr="00705170">
        <w:rPr>
          <w:rFonts w:ascii="Times New Roman" w:hAnsi="Times New Roman" w:cs="Times New Roman"/>
        </w:rPr>
        <w:t xml:space="preserve"> </w:t>
      </w:r>
      <w:proofErr w:type="spellStart"/>
      <w:r w:rsidR="005523A6" w:rsidRPr="00705170">
        <w:rPr>
          <w:rFonts w:ascii="Times New Roman" w:hAnsi="Times New Roman" w:cs="Times New Roman"/>
        </w:rPr>
        <w:t>until</w:t>
      </w:r>
      <w:proofErr w:type="spellEnd"/>
      <w:r w:rsidR="005523A6" w:rsidRPr="00705170">
        <w:rPr>
          <w:rFonts w:ascii="Times New Roman" w:hAnsi="Times New Roman" w:cs="Times New Roman"/>
        </w:rPr>
        <w:t xml:space="preserve"> New </w:t>
      </w:r>
      <w:proofErr w:type="spellStart"/>
      <w:r w:rsidR="005523A6" w:rsidRPr="00705170">
        <w:rPr>
          <w:rFonts w:ascii="Times New Roman" w:hAnsi="Times New Roman" w:cs="Times New Roman"/>
        </w:rPr>
        <w:t>Jersey’s</w:t>
      </w:r>
      <w:proofErr w:type="spellEnd"/>
      <w:r w:rsidR="007E29AB" w:rsidRPr="00705170">
        <w:rPr>
          <w:rFonts w:ascii="Times New Roman" w:hAnsi="Times New Roman" w:cs="Times New Roman"/>
        </w:rPr>
        <w:t xml:space="preserve"> 1979 </w:t>
      </w:r>
      <w:proofErr w:type="spellStart"/>
      <w:r w:rsidR="007E29AB" w:rsidRPr="00705170">
        <w:rPr>
          <w:rFonts w:ascii="Times New Roman" w:hAnsi="Times New Roman" w:cs="Times New Roman"/>
        </w:rPr>
        <w:t>dated</w:t>
      </w:r>
      <w:proofErr w:type="spellEnd"/>
      <w:r w:rsidR="005523A6" w:rsidRPr="00705170">
        <w:rPr>
          <w:rFonts w:ascii="Times New Roman" w:hAnsi="Times New Roman" w:cs="Times New Roman"/>
        </w:rPr>
        <w:t xml:space="preserve"> </w:t>
      </w:r>
      <w:proofErr w:type="spellStart"/>
      <w:r w:rsidR="005523A6" w:rsidRPr="00705170">
        <w:rPr>
          <w:rFonts w:ascii="Times New Roman" w:hAnsi="Times New Roman" w:cs="Times New Roman"/>
        </w:rPr>
        <w:t>Exadakitilos</w:t>
      </w:r>
      <w:proofErr w:type="spellEnd"/>
      <w:r w:rsidR="005523A6" w:rsidRPr="00705170">
        <w:rPr>
          <w:rFonts w:ascii="Times New Roman" w:hAnsi="Times New Roman" w:cs="Times New Roman"/>
        </w:rPr>
        <w:t xml:space="preserve"> v. </w:t>
      </w:r>
      <w:proofErr w:type="spellStart"/>
      <w:r w:rsidR="005523A6" w:rsidRPr="00705170">
        <w:rPr>
          <w:rFonts w:ascii="Times New Roman" w:hAnsi="Times New Roman" w:cs="Times New Roman"/>
        </w:rPr>
        <w:t>Cinnaminson</w:t>
      </w:r>
      <w:proofErr w:type="spellEnd"/>
      <w:r w:rsidR="005523A6" w:rsidRPr="00705170">
        <w:rPr>
          <w:rFonts w:ascii="Times New Roman" w:hAnsi="Times New Roman" w:cs="Times New Roman"/>
        </w:rPr>
        <w:t xml:space="preserve"> Realty </w:t>
      </w:r>
      <w:proofErr w:type="spellStart"/>
      <w:r w:rsidR="005523A6" w:rsidRPr="00705170">
        <w:rPr>
          <w:rFonts w:ascii="Times New Roman" w:hAnsi="Times New Roman" w:cs="Times New Roman"/>
        </w:rPr>
        <w:t>Co</w:t>
      </w:r>
      <w:proofErr w:type="spellEnd"/>
      <w:r w:rsidR="005523A6" w:rsidRPr="00705170">
        <w:rPr>
          <w:rFonts w:ascii="Times New Roman" w:hAnsi="Times New Roman" w:cs="Times New Roman"/>
        </w:rPr>
        <w:t>.</w:t>
      </w:r>
      <w:r w:rsidR="005523A6" w:rsidRPr="00705170">
        <w:rPr>
          <w:rStyle w:val="DipnotBavurusu"/>
          <w:rFonts w:ascii="Times New Roman" w:hAnsi="Times New Roman" w:cs="Times New Roman"/>
        </w:rPr>
        <w:footnoteReference w:id="377"/>
      </w:r>
      <w:r w:rsidR="007E29AB" w:rsidRPr="00705170">
        <w:rPr>
          <w:rFonts w:ascii="Times New Roman" w:hAnsi="Times New Roman" w:cs="Times New Roman"/>
        </w:rPr>
        <w:t xml:space="preserve"> </w:t>
      </w:r>
      <w:proofErr w:type="spellStart"/>
      <w:r w:rsidR="007E29AB" w:rsidRPr="00705170">
        <w:rPr>
          <w:rFonts w:ascii="Times New Roman" w:hAnsi="Times New Roman" w:cs="Times New Roman"/>
        </w:rPr>
        <w:t>decision</w:t>
      </w:r>
      <w:proofErr w:type="spellEnd"/>
      <w:r w:rsidR="007E29AB" w:rsidRPr="00705170">
        <w:rPr>
          <w:rFonts w:ascii="Times New Roman" w:hAnsi="Times New Roman" w:cs="Times New Roman"/>
        </w:rPr>
        <w:t xml:space="preserve"> </w:t>
      </w:r>
      <w:proofErr w:type="spellStart"/>
      <w:r w:rsidR="007E29AB" w:rsidRPr="00705170">
        <w:rPr>
          <w:rFonts w:ascii="Times New Roman" w:hAnsi="Times New Roman" w:cs="Times New Roman"/>
        </w:rPr>
        <w:t>for</w:t>
      </w:r>
      <w:proofErr w:type="spellEnd"/>
      <w:r w:rsidR="007E29AB" w:rsidRPr="00705170">
        <w:rPr>
          <w:rFonts w:ascii="Times New Roman" w:hAnsi="Times New Roman" w:cs="Times New Roman"/>
        </w:rPr>
        <w:t xml:space="preserve"> </w:t>
      </w:r>
      <w:proofErr w:type="spellStart"/>
      <w:r w:rsidR="007E29AB" w:rsidRPr="00705170">
        <w:rPr>
          <w:rFonts w:ascii="Times New Roman" w:hAnsi="Times New Roman" w:cs="Times New Roman"/>
        </w:rPr>
        <w:t>the</w:t>
      </w:r>
      <w:proofErr w:type="spellEnd"/>
      <w:r w:rsidR="007E29AB" w:rsidRPr="00705170">
        <w:rPr>
          <w:rFonts w:ascii="Times New Roman" w:hAnsi="Times New Roman" w:cs="Times New Roman"/>
        </w:rPr>
        <w:t xml:space="preserve"> </w:t>
      </w:r>
      <w:proofErr w:type="spellStart"/>
      <w:r w:rsidR="005523A6" w:rsidRPr="00705170">
        <w:rPr>
          <w:rFonts w:ascii="Times New Roman" w:hAnsi="Times New Roman" w:cs="Times New Roman"/>
        </w:rPr>
        <w:t>real</w:t>
      </w:r>
      <w:proofErr w:type="spellEnd"/>
      <w:r w:rsidR="005523A6" w:rsidRPr="00705170">
        <w:rPr>
          <w:rFonts w:ascii="Times New Roman" w:hAnsi="Times New Roman" w:cs="Times New Roman"/>
        </w:rPr>
        <w:t xml:space="preserve"> </w:t>
      </w:r>
      <w:proofErr w:type="spellStart"/>
      <w:r w:rsidR="007E29AB" w:rsidRPr="00705170">
        <w:rPr>
          <w:rFonts w:ascii="Times New Roman" w:hAnsi="Times New Roman" w:cs="Times New Roman"/>
        </w:rPr>
        <w:t>linkage</w:t>
      </w:r>
      <w:proofErr w:type="spellEnd"/>
      <w:r w:rsidR="007E29AB" w:rsidRPr="00705170">
        <w:rPr>
          <w:rFonts w:ascii="Times New Roman" w:hAnsi="Times New Roman" w:cs="Times New Roman"/>
        </w:rPr>
        <w:t xml:space="preserve"> of </w:t>
      </w:r>
      <w:proofErr w:type="spellStart"/>
      <w:r w:rsidR="007E29AB" w:rsidRPr="00705170">
        <w:rPr>
          <w:rFonts w:ascii="Times New Roman" w:hAnsi="Times New Roman" w:cs="Times New Roman"/>
        </w:rPr>
        <w:t>the</w:t>
      </w:r>
      <w:proofErr w:type="spellEnd"/>
      <w:r w:rsidR="007E29AB" w:rsidRPr="00705170">
        <w:rPr>
          <w:rFonts w:ascii="Times New Roman" w:hAnsi="Times New Roman" w:cs="Times New Roman"/>
        </w:rPr>
        <w:t xml:space="preserve"> </w:t>
      </w:r>
      <w:proofErr w:type="spellStart"/>
      <w:r w:rsidR="007E29AB" w:rsidRPr="00705170">
        <w:rPr>
          <w:rFonts w:ascii="Times New Roman" w:hAnsi="Times New Roman" w:cs="Times New Roman"/>
        </w:rPr>
        <w:t>conception</w:t>
      </w:r>
      <w:proofErr w:type="spellEnd"/>
      <w:r w:rsidR="007E29AB" w:rsidRPr="00705170">
        <w:rPr>
          <w:rFonts w:ascii="Times New Roman" w:hAnsi="Times New Roman" w:cs="Times New Roman"/>
        </w:rPr>
        <w:t xml:space="preserve"> </w:t>
      </w:r>
      <w:proofErr w:type="spellStart"/>
      <w:r w:rsidR="005523A6" w:rsidRPr="00705170">
        <w:rPr>
          <w:rFonts w:ascii="Times New Roman" w:hAnsi="Times New Roman" w:cs="Times New Roman"/>
        </w:rPr>
        <w:t>to</w:t>
      </w:r>
      <w:proofErr w:type="spellEnd"/>
      <w:r w:rsidR="005523A6" w:rsidRPr="00705170">
        <w:rPr>
          <w:rFonts w:ascii="Times New Roman" w:hAnsi="Times New Roman" w:cs="Times New Roman"/>
        </w:rPr>
        <w:t xml:space="preserve"> </w:t>
      </w:r>
      <w:proofErr w:type="spellStart"/>
      <w:r w:rsidR="005523A6" w:rsidRPr="00705170">
        <w:rPr>
          <w:rFonts w:ascii="Times New Roman" w:hAnsi="Times New Roman" w:cs="Times New Roman"/>
        </w:rPr>
        <w:t>the</w:t>
      </w:r>
      <w:proofErr w:type="spellEnd"/>
      <w:r w:rsidR="005523A6" w:rsidRPr="00705170">
        <w:rPr>
          <w:rFonts w:ascii="Times New Roman" w:hAnsi="Times New Roman" w:cs="Times New Roman"/>
        </w:rPr>
        <w:t xml:space="preserve"> </w:t>
      </w:r>
      <w:proofErr w:type="spellStart"/>
      <w:r w:rsidR="005523A6" w:rsidRPr="00705170">
        <w:rPr>
          <w:rFonts w:ascii="Times New Roman" w:hAnsi="Times New Roman" w:cs="Times New Roman"/>
        </w:rPr>
        <w:t>definition</w:t>
      </w:r>
      <w:proofErr w:type="spellEnd"/>
      <w:r w:rsidR="005523A6" w:rsidRPr="00705170">
        <w:rPr>
          <w:rFonts w:ascii="Times New Roman" w:hAnsi="Times New Roman" w:cs="Times New Roman"/>
        </w:rPr>
        <w:t xml:space="preserve"> of </w:t>
      </w:r>
      <w:proofErr w:type="spellStart"/>
      <w:r w:rsidR="005523A6" w:rsidRPr="00705170">
        <w:rPr>
          <w:rFonts w:ascii="Times New Roman" w:hAnsi="Times New Roman" w:cs="Times New Roman"/>
        </w:rPr>
        <w:lastRenderedPageBreak/>
        <w:t>oppression</w:t>
      </w:r>
      <w:proofErr w:type="spellEnd"/>
      <w:r w:rsidR="005523A6" w:rsidRPr="00705170">
        <w:rPr>
          <w:rFonts w:ascii="Times New Roman" w:hAnsi="Times New Roman" w:cs="Times New Roman"/>
        </w:rPr>
        <w:t xml:space="preserve"> in </w:t>
      </w:r>
      <w:proofErr w:type="spellStart"/>
      <w:r w:rsidR="005523A6" w:rsidRPr="00705170">
        <w:rPr>
          <w:rFonts w:ascii="Times New Roman" w:hAnsi="Times New Roman" w:cs="Times New Roman"/>
        </w:rPr>
        <w:t>judiciary</w:t>
      </w:r>
      <w:proofErr w:type="spellEnd"/>
      <w:r w:rsidR="005523A6" w:rsidRPr="00705170">
        <w:rPr>
          <w:rFonts w:ascii="Times New Roman" w:hAnsi="Times New Roman" w:cs="Times New Roman"/>
        </w:rPr>
        <w:t xml:space="preserve">; but it </w:t>
      </w:r>
      <w:proofErr w:type="spellStart"/>
      <w:r w:rsidR="005523A6" w:rsidRPr="00705170">
        <w:rPr>
          <w:rFonts w:ascii="Times New Roman" w:hAnsi="Times New Roman" w:cs="Times New Roman"/>
        </w:rPr>
        <w:t>was</w:t>
      </w:r>
      <w:proofErr w:type="spellEnd"/>
      <w:r w:rsidR="005523A6" w:rsidRPr="00705170">
        <w:rPr>
          <w:rFonts w:ascii="Times New Roman" w:hAnsi="Times New Roman" w:cs="Times New Roman"/>
        </w:rPr>
        <w:t xml:space="preserve"> </w:t>
      </w:r>
      <w:proofErr w:type="spellStart"/>
      <w:r w:rsidR="005523A6" w:rsidRPr="00705170">
        <w:rPr>
          <w:rFonts w:ascii="Times New Roman" w:hAnsi="Times New Roman" w:cs="Times New Roman"/>
        </w:rPr>
        <w:t>the</w:t>
      </w:r>
      <w:proofErr w:type="spellEnd"/>
      <w:r w:rsidR="005523A6" w:rsidRPr="00705170">
        <w:rPr>
          <w:rFonts w:ascii="Times New Roman" w:hAnsi="Times New Roman" w:cs="Times New Roman"/>
        </w:rPr>
        <w:t xml:space="preserve"> New York </w:t>
      </w:r>
      <w:proofErr w:type="spellStart"/>
      <w:r w:rsidR="005523A6" w:rsidRPr="00705170">
        <w:rPr>
          <w:rFonts w:ascii="Times New Roman" w:hAnsi="Times New Roman" w:cs="Times New Roman"/>
        </w:rPr>
        <w:t>courts</w:t>
      </w:r>
      <w:proofErr w:type="spellEnd"/>
      <w:r w:rsidR="005523A6" w:rsidRPr="00705170">
        <w:rPr>
          <w:rFonts w:ascii="Times New Roman" w:hAnsi="Times New Roman" w:cs="Times New Roman"/>
        </w:rPr>
        <w:t xml:space="preserve"> </w:t>
      </w:r>
      <w:proofErr w:type="spellStart"/>
      <w:r w:rsidR="003908BE">
        <w:rPr>
          <w:rFonts w:ascii="Times New Roman" w:hAnsi="Times New Roman" w:cs="Times New Roman"/>
        </w:rPr>
        <w:t>who</w:t>
      </w:r>
      <w:proofErr w:type="spellEnd"/>
      <w:r w:rsidR="003908BE">
        <w:rPr>
          <w:rFonts w:ascii="Times New Roman" w:hAnsi="Times New Roman" w:cs="Times New Roman"/>
        </w:rPr>
        <w:t xml:space="preserve"> has </w:t>
      </w:r>
      <w:proofErr w:type="spellStart"/>
      <w:r w:rsidR="005523A6" w:rsidRPr="00705170">
        <w:rPr>
          <w:rFonts w:ascii="Times New Roman" w:hAnsi="Times New Roman" w:cs="Times New Roman"/>
        </w:rPr>
        <w:t>developed</w:t>
      </w:r>
      <w:proofErr w:type="spellEnd"/>
      <w:r w:rsidR="005523A6" w:rsidRPr="00705170">
        <w:rPr>
          <w:rFonts w:ascii="Times New Roman" w:hAnsi="Times New Roman" w:cs="Times New Roman"/>
        </w:rPr>
        <w:t xml:space="preserve"> </w:t>
      </w:r>
      <w:proofErr w:type="spellStart"/>
      <w:r w:rsidR="005523A6" w:rsidRPr="00705170">
        <w:rPr>
          <w:rFonts w:ascii="Times New Roman" w:hAnsi="Times New Roman" w:cs="Times New Roman"/>
        </w:rPr>
        <w:t>the</w:t>
      </w:r>
      <w:proofErr w:type="spellEnd"/>
      <w:r w:rsidR="005523A6" w:rsidRPr="00705170">
        <w:rPr>
          <w:rFonts w:ascii="Times New Roman" w:hAnsi="Times New Roman" w:cs="Times New Roman"/>
        </w:rPr>
        <w:t xml:space="preserve"> </w:t>
      </w:r>
      <w:proofErr w:type="spellStart"/>
      <w:r w:rsidR="005523A6" w:rsidRPr="00705170">
        <w:rPr>
          <w:rFonts w:ascii="Times New Roman" w:hAnsi="Times New Roman" w:cs="Times New Roman"/>
        </w:rPr>
        <w:t>standard</w:t>
      </w:r>
      <w:proofErr w:type="spellEnd"/>
      <w:r w:rsidR="005523A6" w:rsidRPr="00705170">
        <w:rPr>
          <w:rFonts w:ascii="Times New Roman" w:hAnsi="Times New Roman" w:cs="Times New Roman"/>
        </w:rPr>
        <w:t xml:space="preserve"> </w:t>
      </w:r>
      <w:proofErr w:type="spellStart"/>
      <w:r w:rsidR="005523A6" w:rsidRPr="00705170">
        <w:rPr>
          <w:rFonts w:ascii="Times New Roman" w:hAnsi="Times New Roman" w:cs="Times New Roman"/>
        </w:rPr>
        <w:t>to</w:t>
      </w:r>
      <w:proofErr w:type="spellEnd"/>
      <w:r w:rsidR="005523A6" w:rsidRPr="00705170">
        <w:rPr>
          <w:rFonts w:ascii="Times New Roman" w:hAnsi="Times New Roman" w:cs="Times New Roman"/>
        </w:rPr>
        <w:t xml:space="preserve"> </w:t>
      </w:r>
      <w:proofErr w:type="spellStart"/>
      <w:r w:rsidR="005523A6" w:rsidRPr="00705170">
        <w:rPr>
          <w:rFonts w:ascii="Times New Roman" w:hAnsi="Times New Roman" w:cs="Times New Roman"/>
        </w:rPr>
        <w:t>today’s</w:t>
      </w:r>
      <w:proofErr w:type="spellEnd"/>
      <w:r w:rsidR="005523A6" w:rsidRPr="00705170">
        <w:rPr>
          <w:rFonts w:ascii="Times New Roman" w:hAnsi="Times New Roman" w:cs="Times New Roman"/>
        </w:rPr>
        <w:t xml:space="preserve"> </w:t>
      </w:r>
      <w:proofErr w:type="spellStart"/>
      <w:r w:rsidR="005523A6" w:rsidRPr="00705170">
        <w:rPr>
          <w:rFonts w:ascii="Times New Roman" w:hAnsi="Times New Roman" w:cs="Times New Roman"/>
        </w:rPr>
        <w:t>extent</w:t>
      </w:r>
      <w:proofErr w:type="spellEnd"/>
      <w:r w:rsidR="005523A6" w:rsidRPr="00705170">
        <w:rPr>
          <w:rStyle w:val="DipnotBavurusu"/>
          <w:rFonts w:ascii="Times New Roman" w:hAnsi="Times New Roman" w:cs="Times New Roman"/>
        </w:rPr>
        <w:footnoteReference w:id="378"/>
      </w:r>
      <w:r w:rsidR="005523A6" w:rsidRPr="00705170">
        <w:rPr>
          <w:rFonts w:ascii="Times New Roman" w:hAnsi="Times New Roman" w:cs="Times New Roman"/>
        </w:rPr>
        <w:t>.</w:t>
      </w:r>
      <w:r w:rsidR="003E49BE">
        <w:rPr>
          <w:rFonts w:ascii="Times New Roman" w:hAnsi="Times New Roman" w:cs="Times New Roman"/>
        </w:rPr>
        <w:t xml:space="preserve"> </w:t>
      </w:r>
    </w:p>
    <w:p w14:paraId="6C044A9C" w14:textId="0AF56B78" w:rsidR="008A08CB" w:rsidRPr="00705170" w:rsidRDefault="00C01441" w:rsidP="008A08CB">
      <w:pPr>
        <w:spacing w:after="240" w:line="480" w:lineRule="auto"/>
        <w:ind w:firstLine="708"/>
        <w:rPr>
          <w:rFonts w:ascii="Times New Roman" w:hAnsi="Times New Roman" w:cs="Times New Roman"/>
          <w:b/>
        </w:rPr>
      </w:pPr>
      <w:r>
        <w:rPr>
          <w:rFonts w:ascii="Times New Roman" w:hAnsi="Times New Roman" w:cs="Times New Roman"/>
          <w:b/>
        </w:rPr>
        <w:t>4</w:t>
      </w:r>
      <w:r w:rsidR="008A08CB" w:rsidRPr="00705170">
        <w:rPr>
          <w:rFonts w:ascii="Times New Roman" w:hAnsi="Times New Roman" w:cs="Times New Roman"/>
          <w:b/>
        </w:rPr>
        <w:t xml:space="preserve">.1.1. </w:t>
      </w:r>
      <w:proofErr w:type="spellStart"/>
      <w:r w:rsidR="008A08CB" w:rsidRPr="00705170">
        <w:rPr>
          <w:rFonts w:ascii="Times New Roman" w:hAnsi="Times New Roman" w:cs="Times New Roman"/>
          <w:b/>
        </w:rPr>
        <w:t>Theoretical</w:t>
      </w:r>
      <w:proofErr w:type="spellEnd"/>
      <w:r w:rsidR="008A08CB" w:rsidRPr="00705170">
        <w:rPr>
          <w:rFonts w:ascii="Times New Roman" w:hAnsi="Times New Roman" w:cs="Times New Roman"/>
          <w:b/>
        </w:rPr>
        <w:t xml:space="preserve"> Framework of </w:t>
      </w:r>
      <w:proofErr w:type="spellStart"/>
      <w:r w:rsidR="008A08CB" w:rsidRPr="00705170">
        <w:rPr>
          <w:rFonts w:ascii="Times New Roman" w:hAnsi="Times New Roman" w:cs="Times New Roman"/>
          <w:b/>
        </w:rPr>
        <w:t>the</w:t>
      </w:r>
      <w:proofErr w:type="spellEnd"/>
      <w:r w:rsidR="008A08CB" w:rsidRPr="00705170">
        <w:rPr>
          <w:rFonts w:ascii="Times New Roman" w:hAnsi="Times New Roman" w:cs="Times New Roman"/>
          <w:b/>
        </w:rPr>
        <w:t xml:space="preserve"> “</w:t>
      </w:r>
      <w:proofErr w:type="spellStart"/>
      <w:r w:rsidR="008A08CB" w:rsidRPr="00705170">
        <w:rPr>
          <w:rFonts w:ascii="Times New Roman" w:hAnsi="Times New Roman" w:cs="Times New Roman"/>
          <w:b/>
        </w:rPr>
        <w:t>Reasonable</w:t>
      </w:r>
      <w:proofErr w:type="spellEnd"/>
      <w:r w:rsidR="008A08CB" w:rsidRPr="00705170">
        <w:rPr>
          <w:rFonts w:ascii="Times New Roman" w:hAnsi="Times New Roman" w:cs="Times New Roman"/>
          <w:b/>
        </w:rPr>
        <w:t xml:space="preserve"> </w:t>
      </w:r>
      <w:proofErr w:type="spellStart"/>
      <w:r w:rsidR="008A08CB" w:rsidRPr="00705170">
        <w:rPr>
          <w:rFonts w:ascii="Times New Roman" w:hAnsi="Times New Roman" w:cs="Times New Roman"/>
          <w:b/>
        </w:rPr>
        <w:t>Expectations</w:t>
      </w:r>
      <w:proofErr w:type="spellEnd"/>
      <w:r w:rsidR="008A08CB" w:rsidRPr="00705170">
        <w:rPr>
          <w:rFonts w:ascii="Times New Roman" w:hAnsi="Times New Roman" w:cs="Times New Roman"/>
          <w:b/>
        </w:rPr>
        <w:t xml:space="preserve">” </w:t>
      </w:r>
      <w:proofErr w:type="spellStart"/>
      <w:r w:rsidR="008A08CB" w:rsidRPr="00705170">
        <w:rPr>
          <w:rFonts w:ascii="Times New Roman" w:hAnsi="Times New Roman" w:cs="Times New Roman"/>
          <w:b/>
        </w:rPr>
        <w:t>Conception</w:t>
      </w:r>
      <w:proofErr w:type="spellEnd"/>
    </w:p>
    <w:p w14:paraId="27B82431" w14:textId="63FC1291" w:rsidR="00F13E92" w:rsidRPr="00705170" w:rsidRDefault="00332826" w:rsidP="00332826">
      <w:pPr>
        <w:spacing w:after="240" w:line="480" w:lineRule="auto"/>
        <w:ind w:firstLine="720"/>
        <w:jc w:val="both"/>
        <w:rPr>
          <w:rFonts w:ascii="Times New Roman" w:hAnsi="Times New Roman" w:cs="Times New Roman"/>
        </w:rPr>
      </w:pPr>
      <w:r w:rsidRPr="00705170">
        <w:rPr>
          <w:rFonts w:ascii="Times New Roman" w:hAnsi="Times New Roman" w:cs="Times New Roman"/>
        </w:rPr>
        <w:t xml:space="preserve">U.S. </w:t>
      </w:r>
      <w:proofErr w:type="spellStart"/>
      <w:r w:rsidRPr="00705170">
        <w:rPr>
          <w:rFonts w:ascii="Times New Roman" w:hAnsi="Times New Roman" w:cs="Times New Roman"/>
        </w:rPr>
        <w:t>law’s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conception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initially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derived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English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Style w:val="DipnotBavurusu"/>
          <w:rFonts w:ascii="Times New Roman" w:hAnsi="Times New Roman" w:cs="Times New Roman"/>
        </w:rPr>
        <w:footnoteReference w:id="379"/>
      </w:r>
      <w:r w:rsidRPr="00705170">
        <w:rPr>
          <w:rFonts w:ascii="Times New Roman" w:hAnsi="Times New Roman" w:cs="Times New Roman"/>
        </w:rPr>
        <w:t xml:space="preserve">, </w:t>
      </w:r>
      <w:proofErr w:type="spellStart"/>
      <w:r w:rsidRPr="00705170">
        <w:rPr>
          <w:rFonts w:ascii="Times New Roman" w:hAnsi="Times New Roman" w:cs="Times New Roman"/>
        </w:rPr>
        <w:t>resembles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contractual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view</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Style w:val="DipnotBavurusu"/>
          <w:rFonts w:ascii="Times New Roman" w:hAnsi="Times New Roman" w:cs="Times New Roman"/>
        </w:rPr>
        <w:footnoteReference w:id="380"/>
      </w:r>
      <w:r w:rsidRPr="00705170">
        <w:rPr>
          <w:rFonts w:ascii="Times New Roman" w:hAnsi="Times New Roman" w:cs="Times New Roman"/>
        </w:rPr>
        <w:t xml:space="preserve">. </w:t>
      </w:r>
      <w:proofErr w:type="spellStart"/>
      <w:r w:rsidR="00366626" w:rsidRPr="00705170">
        <w:rPr>
          <w:rFonts w:ascii="Times New Roman" w:hAnsi="Times New Roman" w:cs="Times New Roman"/>
        </w:rPr>
        <w:t>Hence</w:t>
      </w:r>
      <w:proofErr w:type="spellEnd"/>
      <w:r w:rsidR="00366626" w:rsidRPr="00705170">
        <w:rPr>
          <w:rFonts w:ascii="Times New Roman" w:hAnsi="Times New Roman" w:cs="Times New Roman"/>
        </w:rPr>
        <w:t xml:space="preserve">, </w:t>
      </w:r>
      <w:proofErr w:type="spellStart"/>
      <w:r w:rsidR="00366626" w:rsidRPr="00705170">
        <w:rPr>
          <w:rFonts w:ascii="Times New Roman" w:hAnsi="Times New Roman" w:cs="Times New Roman"/>
        </w:rPr>
        <w:t>its</w:t>
      </w:r>
      <w:proofErr w:type="spellEnd"/>
      <w:r w:rsidR="00366626" w:rsidRPr="00705170">
        <w:rPr>
          <w:rFonts w:ascii="Times New Roman" w:hAnsi="Times New Roman" w:cs="Times New Roman"/>
        </w:rPr>
        <w:t xml:space="preserve"> </w:t>
      </w:r>
      <w:proofErr w:type="spellStart"/>
      <w:r w:rsidR="00366626" w:rsidRPr="00705170">
        <w:rPr>
          <w:rFonts w:ascii="Times New Roman" w:hAnsi="Times New Roman" w:cs="Times New Roman"/>
        </w:rPr>
        <w:t>usage</w:t>
      </w:r>
      <w:proofErr w:type="spellEnd"/>
      <w:r w:rsidR="00366626" w:rsidRPr="00705170">
        <w:rPr>
          <w:rFonts w:ascii="Times New Roman" w:hAnsi="Times New Roman" w:cs="Times New Roman"/>
        </w:rPr>
        <w:t xml:space="preserve"> </w:t>
      </w:r>
      <w:proofErr w:type="spellStart"/>
      <w:r w:rsidR="00366626" w:rsidRPr="00705170">
        <w:rPr>
          <w:rFonts w:ascii="Times New Roman" w:hAnsi="Times New Roman" w:cs="Times New Roman"/>
        </w:rPr>
        <w:t>under</w:t>
      </w:r>
      <w:proofErr w:type="spellEnd"/>
      <w:r w:rsidR="00366626" w:rsidRPr="00705170">
        <w:rPr>
          <w:rFonts w:ascii="Times New Roman" w:hAnsi="Times New Roman" w:cs="Times New Roman"/>
        </w:rPr>
        <w:t xml:space="preserve"> </w:t>
      </w:r>
      <w:proofErr w:type="spellStart"/>
      <w:r w:rsidR="00366626" w:rsidRPr="00705170">
        <w:rPr>
          <w:rFonts w:ascii="Times New Roman" w:hAnsi="Times New Roman" w:cs="Times New Roman"/>
        </w:rPr>
        <w:t>the</w:t>
      </w:r>
      <w:proofErr w:type="spellEnd"/>
      <w:r w:rsidR="00366626" w:rsidRPr="00705170">
        <w:rPr>
          <w:rFonts w:ascii="Times New Roman" w:hAnsi="Times New Roman" w:cs="Times New Roman"/>
        </w:rPr>
        <w:t xml:space="preserve"> </w:t>
      </w:r>
      <w:proofErr w:type="spellStart"/>
      <w:r w:rsidR="00366626" w:rsidRPr="00705170">
        <w:rPr>
          <w:rFonts w:ascii="Times New Roman" w:hAnsi="Times New Roman" w:cs="Times New Roman"/>
        </w:rPr>
        <w:t>involuntary</w:t>
      </w:r>
      <w:proofErr w:type="spellEnd"/>
      <w:r w:rsidR="00366626" w:rsidRPr="00705170">
        <w:rPr>
          <w:rFonts w:ascii="Times New Roman" w:hAnsi="Times New Roman" w:cs="Times New Roman"/>
        </w:rPr>
        <w:t xml:space="preserve"> </w:t>
      </w:r>
      <w:proofErr w:type="spellStart"/>
      <w:r w:rsidR="00366626" w:rsidRPr="00705170">
        <w:rPr>
          <w:rFonts w:ascii="Times New Roman" w:hAnsi="Times New Roman" w:cs="Times New Roman"/>
        </w:rPr>
        <w:t>dissolution</w:t>
      </w:r>
      <w:proofErr w:type="spellEnd"/>
      <w:r w:rsidR="00366626" w:rsidRPr="00705170">
        <w:rPr>
          <w:rFonts w:ascii="Times New Roman" w:hAnsi="Times New Roman" w:cs="Times New Roman"/>
        </w:rPr>
        <w:t xml:space="preserve"> </w:t>
      </w:r>
      <w:proofErr w:type="spellStart"/>
      <w:r w:rsidR="00366626" w:rsidRPr="00705170">
        <w:rPr>
          <w:rFonts w:ascii="Times New Roman" w:hAnsi="Times New Roman" w:cs="Times New Roman"/>
        </w:rPr>
        <w:t>statute</w:t>
      </w:r>
      <w:proofErr w:type="spellEnd"/>
      <w:r w:rsidR="00366626" w:rsidRPr="00705170">
        <w:rPr>
          <w:rFonts w:ascii="Times New Roman" w:hAnsi="Times New Roman" w:cs="Times New Roman"/>
        </w:rPr>
        <w:t xml:space="preserve"> is </w:t>
      </w:r>
      <w:proofErr w:type="spellStart"/>
      <w:r w:rsidR="00366626" w:rsidRPr="00705170">
        <w:rPr>
          <w:rFonts w:ascii="Times New Roman" w:hAnsi="Times New Roman" w:cs="Times New Roman"/>
        </w:rPr>
        <w:t>also</w:t>
      </w:r>
      <w:proofErr w:type="spellEnd"/>
      <w:r w:rsidR="00366626" w:rsidRPr="00705170">
        <w:rPr>
          <w:rFonts w:ascii="Times New Roman" w:hAnsi="Times New Roman" w:cs="Times New Roman"/>
        </w:rPr>
        <w:t xml:space="preserve"> </w:t>
      </w:r>
      <w:proofErr w:type="spellStart"/>
      <w:r w:rsidR="00366626" w:rsidRPr="00705170">
        <w:rPr>
          <w:rFonts w:ascii="Times New Roman" w:hAnsi="Times New Roman" w:cs="Times New Roman"/>
        </w:rPr>
        <w:t>compatible</w:t>
      </w:r>
      <w:proofErr w:type="spellEnd"/>
      <w:r w:rsidR="00366626" w:rsidRPr="00705170">
        <w:rPr>
          <w:rFonts w:ascii="Times New Roman" w:hAnsi="Times New Roman" w:cs="Times New Roman"/>
        </w:rPr>
        <w:t xml:space="preserve"> </w:t>
      </w:r>
      <w:proofErr w:type="spellStart"/>
      <w:r w:rsidR="00366626" w:rsidRPr="00705170">
        <w:rPr>
          <w:rFonts w:ascii="Times New Roman" w:hAnsi="Times New Roman" w:cs="Times New Roman"/>
        </w:rPr>
        <w:t>with</w:t>
      </w:r>
      <w:proofErr w:type="spellEnd"/>
      <w:r w:rsidR="00366626" w:rsidRPr="00705170">
        <w:rPr>
          <w:rFonts w:ascii="Times New Roman" w:hAnsi="Times New Roman" w:cs="Times New Roman"/>
        </w:rPr>
        <w:t xml:space="preserve"> </w:t>
      </w:r>
      <w:proofErr w:type="spellStart"/>
      <w:r w:rsidR="00366626" w:rsidRPr="00705170">
        <w:rPr>
          <w:rFonts w:ascii="Times New Roman" w:hAnsi="Times New Roman" w:cs="Times New Roman"/>
        </w:rPr>
        <w:t>the</w:t>
      </w:r>
      <w:proofErr w:type="spellEnd"/>
      <w:r w:rsidR="00366626" w:rsidRPr="00705170">
        <w:rPr>
          <w:rFonts w:ascii="Times New Roman" w:hAnsi="Times New Roman" w:cs="Times New Roman"/>
        </w:rPr>
        <w:t xml:space="preserve"> </w:t>
      </w:r>
      <w:proofErr w:type="spellStart"/>
      <w:r w:rsidR="00366626" w:rsidRPr="00705170">
        <w:rPr>
          <w:rFonts w:ascii="Times New Roman" w:hAnsi="Times New Roman" w:cs="Times New Roman"/>
        </w:rPr>
        <w:t>nexus</w:t>
      </w:r>
      <w:proofErr w:type="spellEnd"/>
      <w:r w:rsidR="00366626" w:rsidRPr="00705170">
        <w:rPr>
          <w:rFonts w:ascii="Times New Roman" w:hAnsi="Times New Roman" w:cs="Times New Roman"/>
        </w:rPr>
        <w:t xml:space="preserve"> of </w:t>
      </w:r>
      <w:proofErr w:type="spellStart"/>
      <w:r w:rsidR="00366626" w:rsidRPr="00705170">
        <w:rPr>
          <w:rFonts w:ascii="Times New Roman" w:hAnsi="Times New Roman" w:cs="Times New Roman"/>
        </w:rPr>
        <w:t>contracts</w:t>
      </w:r>
      <w:proofErr w:type="spellEnd"/>
      <w:r w:rsidR="00366626" w:rsidRPr="00705170">
        <w:rPr>
          <w:rFonts w:ascii="Times New Roman" w:hAnsi="Times New Roman" w:cs="Times New Roman"/>
        </w:rPr>
        <w:t xml:space="preserve"> </w:t>
      </w:r>
      <w:proofErr w:type="spellStart"/>
      <w:r w:rsidR="00366626" w:rsidRPr="00705170">
        <w:rPr>
          <w:rFonts w:ascii="Times New Roman" w:hAnsi="Times New Roman" w:cs="Times New Roman"/>
        </w:rPr>
        <w:t>theory</w:t>
      </w:r>
      <w:proofErr w:type="spellEnd"/>
      <w:r w:rsidR="00366626" w:rsidRPr="00705170">
        <w:rPr>
          <w:rStyle w:val="DipnotBavurusu"/>
          <w:rFonts w:ascii="Times New Roman" w:hAnsi="Times New Roman" w:cs="Times New Roman"/>
        </w:rPr>
        <w:footnoteReference w:id="381"/>
      </w:r>
      <w:r w:rsidR="00366626" w:rsidRPr="00705170">
        <w:rPr>
          <w:rFonts w:ascii="Times New Roman" w:hAnsi="Times New Roman" w:cs="Times New Roman"/>
        </w:rPr>
        <w:t xml:space="preserve">. </w:t>
      </w:r>
      <w:proofErr w:type="spellStart"/>
      <w:r w:rsidR="007C45F8" w:rsidRPr="00705170">
        <w:rPr>
          <w:rFonts w:ascii="Times New Roman" w:hAnsi="Times New Roman" w:cs="Times New Roman"/>
        </w:rPr>
        <w:t>Jurisdictions</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that</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have</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adopted</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the</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reasonable</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expectations</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approach</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embrace</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the</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central</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tenet</w:t>
      </w:r>
      <w:proofErr w:type="spellEnd"/>
      <w:r w:rsidR="007C45F8" w:rsidRPr="00705170">
        <w:rPr>
          <w:rFonts w:ascii="Times New Roman" w:hAnsi="Times New Roman" w:cs="Times New Roman"/>
        </w:rPr>
        <w:t xml:space="preserve"> of </w:t>
      </w:r>
      <w:proofErr w:type="spellStart"/>
      <w:r w:rsidR="007C45F8" w:rsidRPr="00705170">
        <w:rPr>
          <w:rFonts w:ascii="Times New Roman" w:hAnsi="Times New Roman" w:cs="Times New Roman"/>
        </w:rPr>
        <w:t>the</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nexus</w:t>
      </w:r>
      <w:proofErr w:type="spellEnd"/>
      <w:r w:rsidR="007C45F8" w:rsidRPr="00705170">
        <w:rPr>
          <w:rFonts w:ascii="Times New Roman" w:hAnsi="Times New Roman" w:cs="Times New Roman"/>
        </w:rPr>
        <w:t xml:space="preserve"> of </w:t>
      </w:r>
      <w:proofErr w:type="spellStart"/>
      <w:r w:rsidR="007C45F8" w:rsidRPr="00705170">
        <w:rPr>
          <w:rFonts w:ascii="Times New Roman" w:hAnsi="Times New Roman" w:cs="Times New Roman"/>
        </w:rPr>
        <w:t>contracts</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theory</w:t>
      </w:r>
      <w:proofErr w:type="spellEnd"/>
      <w:r w:rsidR="007C45F8" w:rsidRPr="00705170">
        <w:rPr>
          <w:rFonts w:ascii="Times New Roman" w:hAnsi="Times New Roman" w:cs="Times New Roman"/>
        </w:rPr>
        <w:t xml:space="preserve"> of </w:t>
      </w:r>
      <w:proofErr w:type="spellStart"/>
      <w:r w:rsidR="007C45F8" w:rsidRPr="00705170">
        <w:rPr>
          <w:rFonts w:ascii="Times New Roman" w:hAnsi="Times New Roman" w:cs="Times New Roman"/>
        </w:rPr>
        <w:t>the</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firm</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that</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the</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primary</w:t>
      </w:r>
      <w:proofErr w:type="spellEnd"/>
      <w:r w:rsidR="007C45F8" w:rsidRPr="00705170">
        <w:rPr>
          <w:rFonts w:ascii="Times New Roman" w:hAnsi="Times New Roman" w:cs="Times New Roman"/>
        </w:rPr>
        <w:t xml:space="preserve"> role of </w:t>
      </w:r>
      <w:proofErr w:type="spellStart"/>
      <w:r w:rsidR="007C45F8" w:rsidRPr="00705170">
        <w:rPr>
          <w:rFonts w:ascii="Times New Roman" w:hAnsi="Times New Roman" w:cs="Times New Roman"/>
        </w:rPr>
        <w:t>corporate</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law</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should</w:t>
      </w:r>
      <w:proofErr w:type="spellEnd"/>
      <w:r w:rsidR="007C45F8" w:rsidRPr="00705170">
        <w:rPr>
          <w:rFonts w:ascii="Times New Roman" w:hAnsi="Times New Roman" w:cs="Times New Roman"/>
        </w:rPr>
        <w:t xml:space="preserve"> be </w:t>
      </w:r>
      <w:proofErr w:type="spellStart"/>
      <w:r w:rsidR="007C45F8" w:rsidRPr="00705170">
        <w:rPr>
          <w:rFonts w:ascii="Times New Roman" w:hAnsi="Times New Roman" w:cs="Times New Roman"/>
        </w:rPr>
        <w:t>to</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enforce</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participants</w:t>
      </w:r>
      <w:proofErr w:type="spellEnd"/>
      <w:r w:rsidR="007C45F8" w:rsidRPr="00705170">
        <w:rPr>
          <w:rFonts w:ascii="Times New Roman" w:hAnsi="Times New Roman" w:cs="Times New Roman"/>
        </w:rPr>
        <w:t xml:space="preserve">’ </w:t>
      </w:r>
      <w:proofErr w:type="spellStart"/>
      <w:r w:rsidR="007C45F8" w:rsidRPr="00705170">
        <w:rPr>
          <w:rFonts w:ascii="Times New Roman" w:hAnsi="Times New Roman" w:cs="Times New Roman"/>
        </w:rPr>
        <w:t>contract</w:t>
      </w:r>
      <w:proofErr w:type="spellEnd"/>
      <w:r w:rsidR="007C45F8" w:rsidRPr="00705170">
        <w:rPr>
          <w:rFonts w:ascii="Times New Roman" w:hAnsi="Times New Roman" w:cs="Times New Roman"/>
        </w:rPr>
        <w:t>”</w:t>
      </w:r>
      <w:r w:rsidR="007C45F8" w:rsidRPr="00705170">
        <w:rPr>
          <w:rStyle w:val="DipnotBavurusu"/>
          <w:rFonts w:ascii="Times New Roman" w:hAnsi="Times New Roman" w:cs="Times New Roman"/>
        </w:rPr>
        <w:footnoteReference w:id="382"/>
      </w:r>
      <w:r w:rsidR="007C45F8" w:rsidRPr="00705170">
        <w:rPr>
          <w:rFonts w:ascii="Times New Roman" w:hAnsi="Times New Roman" w:cs="Times New Roman"/>
        </w:rPr>
        <w:t>.</w:t>
      </w:r>
    </w:p>
    <w:p w14:paraId="7EE5047F" w14:textId="0428A441" w:rsidR="00332826" w:rsidRPr="00705170" w:rsidRDefault="00366626" w:rsidP="00332826">
      <w:pPr>
        <w:spacing w:after="240" w:line="480" w:lineRule="auto"/>
        <w:ind w:firstLine="720"/>
        <w:jc w:val="both"/>
        <w:rPr>
          <w:rFonts w:ascii="Times New Roman" w:hAnsi="Times New Roman" w:cs="Times New Roman"/>
          <w:b/>
        </w:rPr>
      </w:pPr>
      <w:proofErr w:type="spellStart"/>
      <w:r w:rsidRPr="00705170">
        <w:rPr>
          <w:rFonts w:ascii="Times New Roman" w:hAnsi="Times New Roman" w:cs="Times New Roman"/>
        </w:rPr>
        <w:t>According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contractual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00CE3782" w:rsidRPr="00705170">
        <w:rPr>
          <w:rFonts w:ascii="Times New Roman" w:hAnsi="Times New Roman" w:cs="Times New Roman"/>
        </w:rPr>
        <w:t>, an</w:t>
      </w:r>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economic</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analysis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does</w:t>
      </w:r>
      <w:proofErr w:type="spellEnd"/>
      <w:r w:rsidR="00332826" w:rsidRPr="00705170">
        <w:rPr>
          <w:rFonts w:ascii="Times New Roman" w:hAnsi="Times New Roman" w:cs="Times New Roman"/>
        </w:rPr>
        <w:t xml:space="preserve"> not </w:t>
      </w:r>
      <w:proofErr w:type="spellStart"/>
      <w:r w:rsidR="00332826" w:rsidRPr="00705170">
        <w:rPr>
          <w:rFonts w:ascii="Times New Roman" w:hAnsi="Times New Roman" w:cs="Times New Roman"/>
        </w:rPr>
        <w:t>solely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focus</w:t>
      </w:r>
      <w:proofErr w:type="spellEnd"/>
      <w:r w:rsidR="00332826" w:rsidRPr="00705170">
        <w:rPr>
          <w:rFonts w:ascii="Times New Roman" w:hAnsi="Times New Roman" w:cs="Times New Roman"/>
        </w:rPr>
        <w:t xml:space="preserve"> on </w:t>
      </w:r>
      <w:proofErr w:type="spellStart"/>
      <w:r w:rsidR="00332826" w:rsidRPr="00705170">
        <w:rPr>
          <w:rFonts w:ascii="Times New Roman" w:hAnsi="Times New Roman" w:cs="Times New Roman"/>
        </w:rPr>
        <w:t>enforcement</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expressly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articulated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bargains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and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pays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attention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bargains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never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fully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articulated</w:t>
      </w:r>
      <w:proofErr w:type="spellEnd"/>
      <w:r w:rsidR="00332826" w:rsidRPr="00705170">
        <w:rPr>
          <w:rFonts w:ascii="Times New Roman" w:hAnsi="Times New Roman" w:cs="Times New Roman"/>
        </w:rPr>
        <w:t xml:space="preserve"> as </w:t>
      </w:r>
      <w:proofErr w:type="spellStart"/>
      <w:r w:rsidR="00332826" w:rsidRPr="00705170">
        <w:rPr>
          <w:rFonts w:ascii="Times New Roman" w:hAnsi="Times New Roman" w:cs="Times New Roman"/>
        </w:rPr>
        <w:t>well</w:t>
      </w:r>
      <w:proofErr w:type="spellEnd"/>
      <w:r w:rsidR="00332826" w:rsidRPr="00705170">
        <w:rPr>
          <w:rFonts w:ascii="Times New Roman" w:hAnsi="Times New Roman" w:cs="Times New Roman"/>
        </w:rPr>
        <w:t>, “</w:t>
      </w:r>
      <w:proofErr w:type="spellStart"/>
      <w:r w:rsidR="00332826" w:rsidRPr="00705170">
        <w:rPr>
          <w:rFonts w:ascii="Times New Roman" w:hAnsi="Times New Roman" w:cs="Times New Roman"/>
        </w:rPr>
        <w:t>because</w:t>
      </w:r>
      <w:proofErr w:type="spellEnd"/>
      <w:r w:rsidR="00332826" w:rsidRPr="00705170">
        <w:rPr>
          <w:rFonts w:ascii="Times New Roman" w:hAnsi="Times New Roman" w:cs="Times New Roman"/>
        </w:rPr>
        <w:t xml:space="preserve"> at </w:t>
      </w:r>
      <w:proofErr w:type="spellStart"/>
      <w:r w:rsidR="00332826" w:rsidRPr="00705170">
        <w:rPr>
          <w:rFonts w:ascii="Times New Roman" w:hAnsi="Times New Roman" w:cs="Times New Roman"/>
        </w:rPr>
        <w:t>some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point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costs</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setting</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out</w:t>
      </w:r>
      <w:proofErr w:type="spellEnd"/>
      <w:r w:rsidR="00332826" w:rsidRPr="00705170">
        <w:rPr>
          <w:rFonts w:ascii="Times New Roman" w:hAnsi="Times New Roman" w:cs="Times New Roman"/>
        </w:rPr>
        <w:t xml:space="preserve"> a </w:t>
      </w:r>
      <w:proofErr w:type="spellStart"/>
      <w:r w:rsidR="00332826" w:rsidRPr="00705170">
        <w:rPr>
          <w:rFonts w:ascii="Times New Roman" w:hAnsi="Times New Roman" w:cs="Times New Roman"/>
        </w:rPr>
        <w:t>bargain</w:t>
      </w:r>
      <w:proofErr w:type="spellEnd"/>
      <w:r w:rsidR="00332826" w:rsidRPr="00705170">
        <w:rPr>
          <w:rFonts w:ascii="Times New Roman" w:hAnsi="Times New Roman" w:cs="Times New Roman"/>
        </w:rPr>
        <w:t xml:space="preserve"> in </w:t>
      </w:r>
      <w:proofErr w:type="spellStart"/>
      <w:r w:rsidR="00332826" w:rsidRPr="00705170">
        <w:rPr>
          <w:rFonts w:ascii="Times New Roman" w:hAnsi="Times New Roman" w:cs="Times New Roman"/>
        </w:rPr>
        <w:t>writing</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will</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exceed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benefits</w:t>
      </w:r>
      <w:proofErr w:type="spellEnd"/>
      <w:r w:rsidR="00332826" w:rsidRPr="00705170">
        <w:rPr>
          <w:rFonts w:ascii="Times New Roman" w:hAnsi="Times New Roman" w:cs="Times New Roman"/>
        </w:rPr>
        <w:t>”</w:t>
      </w:r>
      <w:r w:rsidR="00332826" w:rsidRPr="00705170">
        <w:rPr>
          <w:rStyle w:val="DipnotBavurusu"/>
          <w:rFonts w:ascii="Times New Roman" w:hAnsi="Times New Roman" w:cs="Times New Roman"/>
        </w:rPr>
        <w:footnoteReference w:id="383"/>
      </w:r>
      <w:r w:rsidR="003B3ED8" w:rsidRPr="00705170">
        <w:rPr>
          <w:rFonts w:ascii="Times New Roman" w:hAnsi="Times New Roman" w:cs="Times New Roman"/>
        </w:rPr>
        <w:t xml:space="preserve">, </w:t>
      </w:r>
      <w:proofErr w:type="spellStart"/>
      <w:r w:rsidR="003B3ED8" w:rsidRPr="00705170">
        <w:rPr>
          <w:rFonts w:ascii="Times New Roman" w:hAnsi="Times New Roman" w:cs="Times New Roman"/>
        </w:rPr>
        <w:t>so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some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parts</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agreement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will</w:t>
      </w:r>
      <w:proofErr w:type="spellEnd"/>
      <w:r w:rsidR="00332826" w:rsidRPr="00705170">
        <w:rPr>
          <w:rFonts w:ascii="Times New Roman" w:hAnsi="Times New Roman" w:cs="Times New Roman"/>
        </w:rPr>
        <w:t xml:space="preserve"> be </w:t>
      </w:r>
      <w:proofErr w:type="spellStart"/>
      <w:r w:rsidR="00332826" w:rsidRPr="00705170">
        <w:rPr>
          <w:rFonts w:ascii="Times New Roman" w:hAnsi="Times New Roman" w:cs="Times New Roman"/>
        </w:rPr>
        <w:t>left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unwrit</w:t>
      </w:r>
      <w:r w:rsidR="003B3ED8" w:rsidRPr="00705170">
        <w:rPr>
          <w:rFonts w:ascii="Times New Roman" w:hAnsi="Times New Roman" w:cs="Times New Roman"/>
        </w:rPr>
        <w:t>ten</w:t>
      </w:r>
      <w:proofErr w:type="spellEnd"/>
      <w:r w:rsidR="00D51332" w:rsidRPr="00705170">
        <w:rPr>
          <w:rFonts w:ascii="Times New Roman" w:hAnsi="Times New Roman" w:cs="Times New Roman"/>
        </w:rPr>
        <w:t xml:space="preserve">. </w:t>
      </w:r>
      <w:proofErr w:type="spellStart"/>
      <w:r w:rsidR="00CE3782" w:rsidRPr="00705170">
        <w:rPr>
          <w:rFonts w:ascii="Times New Roman" w:hAnsi="Times New Roman" w:cs="Times New Roman"/>
        </w:rPr>
        <w:t>Also</w:t>
      </w:r>
      <w:proofErr w:type="spellEnd"/>
      <w:r w:rsidR="00CE3782" w:rsidRPr="00705170">
        <w:rPr>
          <w:rFonts w:ascii="Times New Roman" w:hAnsi="Times New Roman" w:cs="Times New Roman"/>
        </w:rPr>
        <w:t xml:space="preserve">, as </w:t>
      </w:r>
      <w:proofErr w:type="spellStart"/>
      <w:r w:rsidR="00CE3782" w:rsidRPr="00705170">
        <w:rPr>
          <w:rFonts w:ascii="Times New Roman" w:hAnsi="Times New Roman" w:cs="Times New Roman"/>
        </w:rPr>
        <w:t>the</w:t>
      </w:r>
      <w:proofErr w:type="spellEnd"/>
      <w:r w:rsidR="00CE3782" w:rsidRPr="00705170">
        <w:rPr>
          <w:rFonts w:ascii="Times New Roman" w:hAnsi="Times New Roman" w:cs="Times New Roman"/>
        </w:rPr>
        <w:t xml:space="preserve"> </w:t>
      </w:r>
      <w:proofErr w:type="spellStart"/>
      <w:r w:rsidR="00CE3782" w:rsidRPr="00705170">
        <w:rPr>
          <w:rFonts w:ascii="Times New Roman" w:hAnsi="Times New Roman" w:cs="Times New Roman"/>
        </w:rPr>
        <w:t>nature</w:t>
      </w:r>
      <w:proofErr w:type="spellEnd"/>
      <w:r w:rsidR="00CE3782" w:rsidRPr="00705170">
        <w:rPr>
          <w:rFonts w:ascii="Times New Roman" w:hAnsi="Times New Roman" w:cs="Times New Roman"/>
        </w:rPr>
        <w:t xml:space="preserve"> of </w:t>
      </w:r>
      <w:proofErr w:type="spellStart"/>
      <w:r w:rsidR="00CE3782" w:rsidRPr="00705170">
        <w:rPr>
          <w:rFonts w:ascii="Times New Roman" w:hAnsi="Times New Roman" w:cs="Times New Roman"/>
        </w:rPr>
        <w:t>the</w:t>
      </w:r>
      <w:proofErr w:type="spellEnd"/>
      <w:r w:rsidR="00CE3782" w:rsidRPr="00705170">
        <w:rPr>
          <w:rFonts w:ascii="Times New Roman" w:hAnsi="Times New Roman" w:cs="Times New Roman"/>
        </w:rPr>
        <w:t xml:space="preserve"> </w:t>
      </w:r>
      <w:proofErr w:type="spellStart"/>
      <w:r w:rsidR="00CE3782" w:rsidRPr="00705170">
        <w:rPr>
          <w:rFonts w:ascii="Times New Roman" w:hAnsi="Times New Roman" w:cs="Times New Roman"/>
        </w:rPr>
        <w:t>corporate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contract</w:t>
      </w:r>
      <w:proofErr w:type="spellEnd"/>
      <w:r w:rsidR="00332826" w:rsidRPr="00705170">
        <w:rPr>
          <w:rFonts w:ascii="Times New Roman" w:hAnsi="Times New Roman" w:cs="Times New Roman"/>
        </w:rPr>
        <w:t xml:space="preserve"> is a </w:t>
      </w:r>
      <w:proofErr w:type="spellStart"/>
      <w:r w:rsidR="00332826" w:rsidRPr="00705170">
        <w:rPr>
          <w:rFonts w:ascii="Times New Roman" w:hAnsi="Times New Roman" w:cs="Times New Roman"/>
        </w:rPr>
        <w:t>long</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term</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one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rather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than</w:t>
      </w:r>
      <w:proofErr w:type="spellEnd"/>
      <w:r w:rsidR="00332826" w:rsidRPr="00705170">
        <w:rPr>
          <w:rFonts w:ascii="Times New Roman" w:hAnsi="Times New Roman" w:cs="Times New Roman"/>
        </w:rPr>
        <w:t xml:space="preserve"> a </w:t>
      </w:r>
      <w:proofErr w:type="spellStart"/>
      <w:r w:rsidR="00332826" w:rsidRPr="00705170">
        <w:rPr>
          <w:rFonts w:ascii="Times New Roman" w:hAnsi="Times New Roman" w:cs="Times New Roman"/>
        </w:rPr>
        <w:t>discrete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transaction</w:t>
      </w:r>
      <w:proofErr w:type="spellEnd"/>
      <w:r w:rsidR="00332826" w:rsidRPr="00705170">
        <w:rPr>
          <w:rFonts w:ascii="Times New Roman" w:hAnsi="Times New Roman" w:cs="Times New Roman"/>
        </w:rPr>
        <w:t>, it is</w:t>
      </w:r>
      <w:r w:rsidR="00CE3782" w:rsidRPr="00705170">
        <w:rPr>
          <w:rFonts w:ascii="Times New Roman" w:hAnsi="Times New Roman" w:cs="Times New Roman"/>
        </w:rPr>
        <w:t xml:space="preserve"> not</w:t>
      </w:r>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possible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foresee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lastRenderedPageBreak/>
        <w:t>and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state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every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possible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conflict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that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may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arise</w:t>
      </w:r>
      <w:proofErr w:type="spellEnd"/>
      <w:r w:rsidR="00332826" w:rsidRPr="00705170">
        <w:rPr>
          <w:rFonts w:ascii="Times New Roman" w:hAnsi="Times New Roman" w:cs="Times New Roman"/>
        </w:rPr>
        <w:t xml:space="preserve"> in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future</w:t>
      </w:r>
      <w:proofErr w:type="spellEnd"/>
      <w:r w:rsidR="00CE3782" w:rsidRPr="00705170">
        <w:rPr>
          <w:rFonts w:ascii="Times New Roman" w:hAnsi="Times New Roman" w:cs="Times New Roman"/>
        </w:rPr>
        <w:t>,</w:t>
      </w:r>
      <w:r w:rsidR="00332826" w:rsidRPr="00705170">
        <w:rPr>
          <w:rFonts w:ascii="Times New Roman" w:hAnsi="Times New Roman" w:cs="Times New Roman"/>
        </w:rPr>
        <w:t xml:space="preserve"> in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contract</w:t>
      </w:r>
      <w:proofErr w:type="spellEnd"/>
      <w:r w:rsidR="00332826" w:rsidRPr="00705170">
        <w:rPr>
          <w:rStyle w:val="DipnotBavurusu"/>
          <w:rFonts w:ascii="Times New Roman" w:hAnsi="Times New Roman" w:cs="Times New Roman"/>
        </w:rPr>
        <w:footnoteReference w:id="384"/>
      </w:r>
      <w:r w:rsidR="00D51332" w:rsidRPr="00705170">
        <w:rPr>
          <w:rFonts w:ascii="Times New Roman" w:hAnsi="Times New Roman" w:cs="Times New Roman"/>
        </w:rPr>
        <w:t xml:space="preserve">; </w:t>
      </w:r>
      <w:r w:rsidR="00332826" w:rsidRPr="00705170">
        <w:rPr>
          <w:rFonts w:ascii="Times New Roman" w:hAnsi="Times New Roman" w:cs="Times New Roman"/>
        </w:rPr>
        <w:t xml:space="preserve"> </w:t>
      </w:r>
      <w:proofErr w:type="spellStart"/>
      <w:r w:rsidR="00D51332" w:rsidRPr="00705170">
        <w:rPr>
          <w:rFonts w:ascii="Times New Roman" w:hAnsi="Times New Roman" w:cs="Times New Roman"/>
        </w:rPr>
        <w:t>and</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economically</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rational</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investors</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will</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often</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prefer</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to</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live</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with</w:t>
      </w:r>
      <w:proofErr w:type="spellEnd"/>
      <w:r w:rsidR="00D51332" w:rsidRPr="00705170">
        <w:rPr>
          <w:rFonts w:ascii="Times New Roman" w:hAnsi="Times New Roman" w:cs="Times New Roman"/>
        </w:rPr>
        <w:t xml:space="preserve"> an </w:t>
      </w:r>
      <w:proofErr w:type="spellStart"/>
      <w:r w:rsidR="00D51332" w:rsidRPr="00705170">
        <w:rPr>
          <w:rFonts w:ascii="Times New Roman" w:hAnsi="Times New Roman" w:cs="Times New Roman"/>
        </w:rPr>
        <w:t>incomplete</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bargain</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addressing</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probl</w:t>
      </w:r>
      <w:r w:rsidR="003E49BE">
        <w:rPr>
          <w:rFonts w:ascii="Times New Roman" w:hAnsi="Times New Roman" w:cs="Times New Roman"/>
        </w:rPr>
        <w:t>e</w:t>
      </w:r>
      <w:r w:rsidR="00D51332" w:rsidRPr="00705170">
        <w:rPr>
          <w:rFonts w:ascii="Times New Roman" w:hAnsi="Times New Roman" w:cs="Times New Roman"/>
        </w:rPr>
        <w:t>ms</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later</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if</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and</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when</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they</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arise</w:t>
      </w:r>
      <w:proofErr w:type="spellEnd"/>
      <w:r w:rsidR="00D51332" w:rsidRPr="00705170">
        <w:rPr>
          <w:rFonts w:ascii="Times New Roman" w:hAnsi="Times New Roman" w:cs="Times New Roman"/>
        </w:rPr>
        <w:t>”</w:t>
      </w:r>
      <w:r w:rsidR="00D51332" w:rsidRPr="00705170">
        <w:rPr>
          <w:rStyle w:val="DipnotBavurusu"/>
          <w:rFonts w:ascii="Times New Roman" w:hAnsi="Times New Roman" w:cs="Times New Roman"/>
        </w:rPr>
        <w:footnoteReference w:id="385"/>
      </w:r>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S</w:t>
      </w:r>
      <w:r w:rsidR="003B597F" w:rsidRPr="00705170">
        <w:rPr>
          <w:rFonts w:ascii="Times New Roman" w:hAnsi="Times New Roman" w:cs="Times New Roman"/>
        </w:rPr>
        <w:t>ometimes</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even</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the</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bargain</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limiting</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interpersonal</w:t>
      </w:r>
      <w:proofErr w:type="spellEnd"/>
      <w:r w:rsidR="00D51332" w:rsidRPr="00705170">
        <w:rPr>
          <w:rFonts w:ascii="Times New Roman" w:hAnsi="Times New Roman" w:cs="Times New Roman"/>
        </w:rPr>
        <w:t xml:space="preserve"> </w:t>
      </w:r>
      <w:proofErr w:type="spellStart"/>
      <w:r w:rsidR="00D51332" w:rsidRPr="00705170">
        <w:rPr>
          <w:rFonts w:ascii="Times New Roman" w:hAnsi="Times New Roman" w:cs="Times New Roman"/>
        </w:rPr>
        <w:t>trust</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or</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other</w:t>
      </w:r>
      <w:proofErr w:type="spellEnd"/>
      <w:r w:rsidR="003B597F" w:rsidRPr="00705170">
        <w:rPr>
          <w:rFonts w:ascii="Times New Roman" w:hAnsi="Times New Roman" w:cs="Times New Roman"/>
        </w:rPr>
        <w:t xml:space="preserve"> market </w:t>
      </w:r>
      <w:proofErr w:type="spellStart"/>
      <w:r w:rsidR="003B597F" w:rsidRPr="00705170">
        <w:rPr>
          <w:rFonts w:ascii="Times New Roman" w:hAnsi="Times New Roman" w:cs="Times New Roman"/>
        </w:rPr>
        <w:t>or</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reputational</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constraints</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are</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seen</w:t>
      </w:r>
      <w:proofErr w:type="spellEnd"/>
      <w:r w:rsidR="003B597F" w:rsidRPr="00705170">
        <w:rPr>
          <w:rFonts w:ascii="Times New Roman" w:hAnsi="Times New Roman" w:cs="Times New Roman"/>
        </w:rPr>
        <w:t xml:space="preserve"> as </w:t>
      </w:r>
      <w:proofErr w:type="spellStart"/>
      <w:r w:rsidR="003B597F" w:rsidRPr="00705170">
        <w:rPr>
          <w:rFonts w:ascii="Times New Roman" w:hAnsi="Times New Roman" w:cs="Times New Roman"/>
        </w:rPr>
        <w:t>reasonable</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substitu</w:t>
      </w:r>
      <w:r w:rsidR="00FE575E" w:rsidRPr="00705170">
        <w:rPr>
          <w:rFonts w:ascii="Times New Roman" w:hAnsi="Times New Roman" w:cs="Times New Roman"/>
        </w:rPr>
        <w:t>t</w:t>
      </w:r>
      <w:r w:rsidR="003B597F" w:rsidRPr="00705170">
        <w:rPr>
          <w:rFonts w:ascii="Times New Roman" w:hAnsi="Times New Roman" w:cs="Times New Roman"/>
        </w:rPr>
        <w:t>es</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for</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the</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articulated</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bargains</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thus</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leave</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the</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issue</w:t>
      </w:r>
      <w:proofErr w:type="spellEnd"/>
      <w:r w:rsidR="003B597F" w:rsidRPr="00705170">
        <w:rPr>
          <w:rFonts w:ascii="Times New Roman" w:hAnsi="Times New Roman" w:cs="Times New Roman"/>
        </w:rPr>
        <w:t xml:space="preserve"> </w:t>
      </w:r>
      <w:proofErr w:type="spellStart"/>
      <w:r w:rsidR="003B597F" w:rsidRPr="00705170">
        <w:rPr>
          <w:rFonts w:ascii="Times New Roman" w:hAnsi="Times New Roman" w:cs="Times New Roman"/>
        </w:rPr>
        <w:t>unwritten</w:t>
      </w:r>
      <w:proofErr w:type="spellEnd"/>
      <w:r w:rsidR="00D15F20" w:rsidRPr="00705170">
        <w:rPr>
          <w:rStyle w:val="DipnotBavurusu"/>
          <w:rFonts w:ascii="Times New Roman" w:hAnsi="Times New Roman" w:cs="Times New Roman"/>
        </w:rPr>
        <w:footnoteReference w:id="386"/>
      </w:r>
      <w:r w:rsidR="00D51332" w:rsidRPr="00705170">
        <w:rPr>
          <w:rFonts w:ascii="Times New Roman" w:hAnsi="Times New Roman" w:cs="Times New Roman"/>
        </w:rPr>
        <w:t>.</w:t>
      </w:r>
      <w:r w:rsidR="00F13E92" w:rsidRPr="00705170">
        <w:rPr>
          <w:rFonts w:ascii="Times New Roman" w:hAnsi="Times New Roman" w:cs="Times New Roman"/>
        </w:rPr>
        <w:t xml:space="preserve"> </w:t>
      </w:r>
      <w:proofErr w:type="spellStart"/>
      <w:r w:rsidR="00332826" w:rsidRPr="00705170">
        <w:rPr>
          <w:rFonts w:ascii="Times New Roman" w:hAnsi="Times New Roman" w:cs="Times New Roman"/>
        </w:rPr>
        <w:t>Herein</w:t>
      </w:r>
      <w:proofErr w:type="spellEnd"/>
      <w:r w:rsidR="00332826" w:rsidRPr="00705170">
        <w:rPr>
          <w:rFonts w:ascii="Times New Roman" w:hAnsi="Times New Roman" w:cs="Times New Roman"/>
        </w:rPr>
        <w:t xml:space="preserve">, as </w:t>
      </w:r>
      <w:proofErr w:type="spellStart"/>
      <w:r w:rsidR="00332826" w:rsidRPr="00705170">
        <w:rPr>
          <w:rFonts w:ascii="Times New Roman" w:hAnsi="Times New Roman" w:cs="Times New Roman"/>
        </w:rPr>
        <w:t>said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above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corporate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law</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comes</w:t>
      </w:r>
      <w:proofErr w:type="spellEnd"/>
      <w:r w:rsidR="00332826" w:rsidRPr="00705170">
        <w:rPr>
          <w:rFonts w:ascii="Times New Roman" w:hAnsi="Times New Roman" w:cs="Times New Roman"/>
        </w:rPr>
        <w:t xml:space="preserve"> in </w:t>
      </w:r>
      <w:proofErr w:type="spellStart"/>
      <w:r w:rsidR="00332826" w:rsidRPr="00705170">
        <w:rPr>
          <w:rFonts w:ascii="Times New Roman" w:hAnsi="Times New Roman" w:cs="Times New Roman"/>
        </w:rPr>
        <w:t>and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acts</w:t>
      </w:r>
      <w:proofErr w:type="spellEnd"/>
      <w:r w:rsidR="00332826" w:rsidRPr="00705170">
        <w:rPr>
          <w:rFonts w:ascii="Times New Roman" w:hAnsi="Times New Roman" w:cs="Times New Roman"/>
        </w:rPr>
        <w:t xml:space="preserve"> as a </w:t>
      </w:r>
      <w:proofErr w:type="spellStart"/>
      <w:r w:rsidR="00332826" w:rsidRPr="00705170">
        <w:rPr>
          <w:rFonts w:ascii="Times New Roman" w:hAnsi="Times New Roman" w:cs="Times New Roman"/>
        </w:rPr>
        <w:t>standard</w:t>
      </w:r>
      <w:proofErr w:type="spellEnd"/>
      <w:r w:rsidR="00332826" w:rsidRPr="00705170">
        <w:rPr>
          <w:rFonts w:ascii="Times New Roman" w:hAnsi="Times New Roman" w:cs="Times New Roman"/>
        </w:rPr>
        <w:t xml:space="preserve"> form </w:t>
      </w:r>
      <w:proofErr w:type="spellStart"/>
      <w:r w:rsidR="00332826" w:rsidRPr="00705170">
        <w:rPr>
          <w:rFonts w:ascii="Times New Roman" w:hAnsi="Times New Roman" w:cs="Times New Roman"/>
        </w:rPr>
        <w:t>contract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thereby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reduces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costs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and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provide</w:t>
      </w:r>
      <w:proofErr w:type="spellEnd"/>
      <w:r w:rsidR="00332826" w:rsidRPr="00705170">
        <w:rPr>
          <w:rFonts w:ascii="Times New Roman" w:hAnsi="Times New Roman" w:cs="Times New Roman"/>
        </w:rPr>
        <w:t xml:space="preserve"> an </w:t>
      </w:r>
      <w:proofErr w:type="spellStart"/>
      <w:r w:rsidR="00332826" w:rsidRPr="00705170">
        <w:rPr>
          <w:rFonts w:ascii="Times New Roman" w:hAnsi="Times New Roman" w:cs="Times New Roman"/>
        </w:rPr>
        <w:t>adequate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de</w:t>
      </w:r>
      <w:r w:rsidR="00CE3782" w:rsidRPr="00705170">
        <w:rPr>
          <w:rFonts w:ascii="Times New Roman" w:hAnsi="Times New Roman" w:cs="Times New Roman"/>
        </w:rPr>
        <w:t>al</w:t>
      </w:r>
      <w:proofErr w:type="spellEnd"/>
      <w:r w:rsidR="00CE3782" w:rsidRPr="00705170">
        <w:rPr>
          <w:rFonts w:ascii="Times New Roman" w:hAnsi="Times New Roman" w:cs="Times New Roman"/>
        </w:rPr>
        <w:t xml:space="preserve"> </w:t>
      </w:r>
      <w:proofErr w:type="spellStart"/>
      <w:r w:rsidR="00CE3782" w:rsidRPr="00705170">
        <w:rPr>
          <w:rFonts w:ascii="Times New Roman" w:hAnsi="Times New Roman" w:cs="Times New Roman"/>
        </w:rPr>
        <w:t>for</w:t>
      </w:r>
      <w:proofErr w:type="spellEnd"/>
      <w:r w:rsidR="00CE3782" w:rsidRPr="00705170">
        <w:rPr>
          <w:rFonts w:ascii="Times New Roman" w:hAnsi="Times New Roman" w:cs="Times New Roman"/>
        </w:rPr>
        <w:t xml:space="preserve"> </w:t>
      </w:r>
      <w:proofErr w:type="spellStart"/>
      <w:r w:rsidR="00CE3782" w:rsidRPr="00705170">
        <w:rPr>
          <w:rFonts w:ascii="Times New Roman" w:hAnsi="Times New Roman" w:cs="Times New Roman"/>
        </w:rPr>
        <w:t>the</w:t>
      </w:r>
      <w:proofErr w:type="spellEnd"/>
      <w:r w:rsidR="00CE3782" w:rsidRPr="00705170">
        <w:rPr>
          <w:rFonts w:ascii="Times New Roman" w:hAnsi="Times New Roman" w:cs="Times New Roman"/>
        </w:rPr>
        <w:t xml:space="preserve"> </w:t>
      </w:r>
      <w:proofErr w:type="spellStart"/>
      <w:r w:rsidR="00CE3782" w:rsidRPr="00705170">
        <w:rPr>
          <w:rFonts w:ascii="Times New Roman" w:hAnsi="Times New Roman" w:cs="Times New Roman"/>
        </w:rPr>
        <w:t>participants</w:t>
      </w:r>
      <w:proofErr w:type="spellEnd"/>
      <w:r w:rsidR="00CE3782" w:rsidRPr="00705170">
        <w:rPr>
          <w:rFonts w:ascii="Times New Roman" w:hAnsi="Times New Roman" w:cs="Times New Roman"/>
        </w:rPr>
        <w:t xml:space="preserve">, </w:t>
      </w:r>
      <w:proofErr w:type="spellStart"/>
      <w:r w:rsidR="00CE3782" w:rsidRPr="00705170">
        <w:rPr>
          <w:rFonts w:ascii="Times New Roman" w:hAnsi="Times New Roman" w:cs="Times New Roman"/>
        </w:rPr>
        <w:t>and</w:t>
      </w:r>
      <w:proofErr w:type="spellEnd"/>
      <w:r w:rsidR="00CE3782" w:rsidRPr="00705170">
        <w:rPr>
          <w:rFonts w:ascii="Times New Roman" w:hAnsi="Times New Roman" w:cs="Times New Roman"/>
        </w:rPr>
        <w:t xml:space="preserve"> </w:t>
      </w:r>
      <w:proofErr w:type="spellStart"/>
      <w:r w:rsidR="00CE3782" w:rsidRPr="00705170">
        <w:rPr>
          <w:rFonts w:ascii="Times New Roman" w:hAnsi="Times New Roman" w:cs="Times New Roman"/>
        </w:rPr>
        <w:t>aims</w:t>
      </w:r>
      <w:proofErr w:type="spellEnd"/>
      <w:r w:rsidR="00CE3782" w:rsidRPr="00705170">
        <w:rPr>
          <w:rFonts w:ascii="Times New Roman" w:hAnsi="Times New Roman" w:cs="Times New Roman"/>
        </w:rPr>
        <w:t xml:space="preserve"> </w:t>
      </w:r>
      <w:proofErr w:type="spellStart"/>
      <w:r w:rsidR="00CE3782" w:rsidRPr="00705170">
        <w:rPr>
          <w:rFonts w:ascii="Times New Roman" w:hAnsi="Times New Roman" w:cs="Times New Roman"/>
        </w:rPr>
        <w:t>to</w:t>
      </w:r>
      <w:proofErr w:type="spellEnd"/>
      <w:r w:rsidR="00CE3782" w:rsidRPr="00705170">
        <w:rPr>
          <w:rFonts w:ascii="Times New Roman" w:hAnsi="Times New Roman" w:cs="Times New Roman"/>
        </w:rPr>
        <w:t xml:space="preserve"> not </w:t>
      </w:r>
      <w:proofErr w:type="spellStart"/>
      <w:r w:rsidR="00CE3782"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let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any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bargain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unarticulated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Furthermore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corporate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law</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devises</w:t>
      </w:r>
      <w:proofErr w:type="spellEnd"/>
      <w:r w:rsidR="00CE3782" w:rsidRPr="00705170">
        <w:rPr>
          <w:rFonts w:ascii="Times New Roman" w:hAnsi="Times New Roman" w:cs="Times New Roman"/>
        </w:rPr>
        <w:t xml:space="preserve"> (</w:t>
      </w:r>
      <w:proofErr w:type="spellStart"/>
      <w:r w:rsidR="00CE3782" w:rsidRPr="00705170">
        <w:rPr>
          <w:rFonts w:ascii="Times New Roman" w:hAnsi="Times New Roman" w:cs="Times New Roman"/>
        </w:rPr>
        <w:t>and</w:t>
      </w:r>
      <w:proofErr w:type="spellEnd"/>
      <w:r w:rsidR="00CE3782" w:rsidRPr="00705170">
        <w:rPr>
          <w:rFonts w:ascii="Times New Roman" w:hAnsi="Times New Roman" w:cs="Times New Roman"/>
        </w:rPr>
        <w:t xml:space="preserve"> </w:t>
      </w:r>
      <w:proofErr w:type="spellStart"/>
      <w:r w:rsidR="00CE3782" w:rsidRPr="00705170">
        <w:rPr>
          <w:rFonts w:ascii="Times New Roman" w:hAnsi="Times New Roman" w:cs="Times New Roman"/>
        </w:rPr>
        <w:t>should</w:t>
      </w:r>
      <w:proofErr w:type="spellEnd"/>
      <w:r w:rsidR="00CE3782" w:rsidRPr="00705170">
        <w:rPr>
          <w:rFonts w:ascii="Times New Roman" w:hAnsi="Times New Roman" w:cs="Times New Roman"/>
        </w:rPr>
        <w:t xml:space="preserve"> </w:t>
      </w:r>
      <w:proofErr w:type="spellStart"/>
      <w:r w:rsidR="00CE3782" w:rsidRPr="00705170">
        <w:rPr>
          <w:rFonts w:ascii="Times New Roman" w:hAnsi="Times New Roman" w:cs="Times New Roman"/>
        </w:rPr>
        <w:t>devise</w:t>
      </w:r>
      <w:proofErr w:type="spellEnd"/>
      <w:r w:rsidR="00CE3782" w:rsidRPr="00705170">
        <w:rPr>
          <w:rFonts w:ascii="Times New Roman" w:hAnsi="Times New Roman" w:cs="Times New Roman"/>
        </w:rPr>
        <w:t xml:space="preserve">) </w:t>
      </w:r>
      <w:proofErr w:type="spellStart"/>
      <w:r w:rsidR="00332826" w:rsidRPr="00705170">
        <w:rPr>
          <w:rFonts w:ascii="Times New Roman" w:hAnsi="Times New Roman" w:cs="Times New Roman"/>
        </w:rPr>
        <w:t>rules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govern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this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incomplete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contract</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parties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when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dispute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arises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between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parties</w:t>
      </w:r>
      <w:proofErr w:type="spellEnd"/>
      <w:r w:rsidR="00332826" w:rsidRPr="00705170">
        <w:rPr>
          <w:rStyle w:val="DipnotBavurusu"/>
          <w:rFonts w:ascii="Times New Roman" w:hAnsi="Times New Roman" w:cs="Times New Roman"/>
        </w:rPr>
        <w:footnoteReference w:id="387"/>
      </w:r>
      <w:r w:rsidR="00332826" w:rsidRPr="00705170">
        <w:rPr>
          <w:rFonts w:ascii="Times New Roman" w:hAnsi="Times New Roman" w:cs="Times New Roman"/>
        </w:rPr>
        <w:t>.</w:t>
      </w:r>
    </w:p>
    <w:p w14:paraId="0B9415AB" w14:textId="2631F3EF" w:rsidR="004020BC" w:rsidRPr="00705170" w:rsidRDefault="003B597F" w:rsidP="002C5189">
      <w:pPr>
        <w:spacing w:after="240" w:line="480" w:lineRule="auto"/>
        <w:ind w:firstLine="720"/>
        <w:jc w:val="both"/>
        <w:rPr>
          <w:rFonts w:ascii="Times New Roman" w:hAnsi="Times New Roman" w:cs="Times New Roman"/>
        </w:rPr>
      </w:pPr>
      <w:r w:rsidRPr="00705170">
        <w:rPr>
          <w:rFonts w:ascii="Times New Roman" w:hAnsi="Times New Roman" w:cs="Times New Roman"/>
        </w:rPr>
        <w:t>“</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doc</w:t>
      </w:r>
      <w:r w:rsidR="00636DFC" w:rsidRPr="00705170">
        <w:rPr>
          <w:rFonts w:ascii="Times New Roman" w:hAnsi="Times New Roman" w:cs="Times New Roman"/>
        </w:rPr>
        <w:t>trine</w:t>
      </w:r>
      <w:proofErr w:type="spellEnd"/>
      <w:r w:rsidR="00636DFC" w:rsidRPr="00705170">
        <w:rPr>
          <w:rFonts w:ascii="Times New Roman" w:hAnsi="Times New Roman" w:cs="Times New Roman"/>
        </w:rPr>
        <w:t xml:space="preserve"> </w:t>
      </w:r>
      <w:proofErr w:type="spellStart"/>
      <w:r w:rsidR="00636DFC" w:rsidRPr="00705170">
        <w:rPr>
          <w:rFonts w:ascii="Times New Roman" w:hAnsi="Times New Roman" w:cs="Times New Roman"/>
        </w:rPr>
        <w:t>reduces</w:t>
      </w:r>
      <w:proofErr w:type="spellEnd"/>
      <w:r w:rsidR="00636DFC" w:rsidRPr="00705170">
        <w:rPr>
          <w:rFonts w:ascii="Times New Roman" w:hAnsi="Times New Roman" w:cs="Times New Roman"/>
        </w:rPr>
        <w:t xml:space="preserve"> </w:t>
      </w:r>
      <w:proofErr w:type="spellStart"/>
      <w:r w:rsidR="00636DFC" w:rsidRPr="00705170">
        <w:rPr>
          <w:rFonts w:ascii="Times New Roman" w:hAnsi="Times New Roman" w:cs="Times New Roman"/>
        </w:rPr>
        <w:t>the</w:t>
      </w:r>
      <w:proofErr w:type="spellEnd"/>
      <w:r w:rsidR="00636DFC" w:rsidRPr="00705170">
        <w:rPr>
          <w:rFonts w:ascii="Times New Roman" w:hAnsi="Times New Roman" w:cs="Times New Roman"/>
        </w:rPr>
        <w:t xml:space="preserve"> </w:t>
      </w:r>
      <w:proofErr w:type="spellStart"/>
      <w:r w:rsidR="00636DFC" w:rsidRPr="00705170">
        <w:rPr>
          <w:rFonts w:ascii="Times New Roman" w:hAnsi="Times New Roman" w:cs="Times New Roman"/>
        </w:rPr>
        <w:t>need</w:t>
      </w:r>
      <w:proofErr w:type="spellEnd"/>
      <w:r w:rsidR="00636DFC" w:rsidRPr="00705170">
        <w:rPr>
          <w:rFonts w:ascii="Times New Roman" w:hAnsi="Times New Roman" w:cs="Times New Roman"/>
        </w:rPr>
        <w:t xml:space="preserve"> </w:t>
      </w:r>
      <w:proofErr w:type="spellStart"/>
      <w:r w:rsidR="00636DFC" w:rsidRPr="00705170">
        <w:rPr>
          <w:rFonts w:ascii="Times New Roman" w:hAnsi="Times New Roman" w:cs="Times New Roman"/>
        </w:rPr>
        <w:t>for</w:t>
      </w:r>
      <w:proofErr w:type="spellEnd"/>
      <w:r w:rsidR="00636DFC" w:rsidRPr="00705170">
        <w:rPr>
          <w:rFonts w:ascii="Times New Roman" w:hAnsi="Times New Roman" w:cs="Times New Roman"/>
        </w:rPr>
        <w:t xml:space="preserve"> </w:t>
      </w:r>
      <w:proofErr w:type="spellStart"/>
      <w:r w:rsidR="00636DFC" w:rsidRPr="00705170">
        <w:rPr>
          <w:rFonts w:ascii="Times New Roman" w:hAnsi="Times New Roman" w:cs="Times New Roman"/>
        </w:rPr>
        <w:t>expe</w:t>
      </w:r>
      <w:r w:rsidRPr="00705170">
        <w:rPr>
          <w:rFonts w:ascii="Times New Roman" w:hAnsi="Times New Roman" w:cs="Times New Roman"/>
        </w:rPr>
        <w:t>n</w:t>
      </w:r>
      <w:r w:rsidR="00636DFC" w:rsidRPr="00705170">
        <w:rPr>
          <w:rFonts w:ascii="Times New Roman" w:hAnsi="Times New Roman" w:cs="Times New Roman"/>
        </w:rPr>
        <w:t>s</w:t>
      </w:r>
      <w:r w:rsidRPr="00705170">
        <w:rPr>
          <w:rFonts w:ascii="Times New Roman" w:hAnsi="Times New Roman" w:cs="Times New Roman"/>
        </w:rPr>
        <w: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bargaining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allowing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participants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proceed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incomplete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agreement</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388"/>
      </w:r>
      <w:r w:rsidRPr="00705170">
        <w:rPr>
          <w:rFonts w:ascii="Times New Roman" w:hAnsi="Times New Roman" w:cs="Times New Roman"/>
        </w:rPr>
        <w:t xml:space="preserve">. </w:t>
      </w:r>
      <w:proofErr w:type="spellStart"/>
      <w:r w:rsidR="00332826" w:rsidRPr="00705170">
        <w:rPr>
          <w:rFonts w:ascii="Times New Roman" w:hAnsi="Times New Roman" w:cs="Times New Roman"/>
        </w:rPr>
        <w:t>Accordingly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economic</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theory</w:t>
      </w:r>
      <w:proofErr w:type="spellEnd"/>
      <w:r w:rsidR="009F3518" w:rsidRPr="00705170">
        <w:rPr>
          <w:rStyle w:val="DipnotBavurusu"/>
          <w:rFonts w:ascii="Times New Roman" w:hAnsi="Times New Roman" w:cs="Times New Roman"/>
        </w:rPr>
        <w:footnoteReference w:id="389"/>
      </w:r>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suggests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that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both</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express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terms</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agreement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and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terms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that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agreement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would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have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included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if</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negotiations</w:t>
      </w:r>
      <w:proofErr w:type="spellEnd"/>
      <w:r w:rsidR="00332826" w:rsidRPr="00705170">
        <w:rPr>
          <w:rFonts w:ascii="Times New Roman" w:hAnsi="Times New Roman" w:cs="Times New Roman"/>
        </w:rPr>
        <w:t xml:space="preserve"> had </w:t>
      </w:r>
      <w:proofErr w:type="spellStart"/>
      <w:r w:rsidR="00332826" w:rsidRPr="00705170">
        <w:rPr>
          <w:rFonts w:ascii="Times New Roman" w:hAnsi="Times New Roman" w:cs="Times New Roman"/>
        </w:rPr>
        <w:t>been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costless</w:t>
      </w:r>
      <w:proofErr w:type="spellEnd"/>
      <w:r w:rsidR="00942995" w:rsidRPr="00705170">
        <w:rPr>
          <w:rFonts w:ascii="Times New Roman" w:hAnsi="Times New Roman" w:cs="Times New Roman"/>
        </w:rPr>
        <w:t>,</w:t>
      </w:r>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should</w:t>
      </w:r>
      <w:proofErr w:type="spellEnd"/>
      <w:r w:rsidR="00332826" w:rsidRPr="00705170">
        <w:rPr>
          <w:rFonts w:ascii="Times New Roman" w:hAnsi="Times New Roman" w:cs="Times New Roman"/>
        </w:rPr>
        <w:t xml:space="preserve"> be </w:t>
      </w:r>
      <w:proofErr w:type="spellStart"/>
      <w:r w:rsidR="00332826" w:rsidRPr="00705170">
        <w:rPr>
          <w:rFonts w:ascii="Times New Roman" w:hAnsi="Times New Roman" w:cs="Times New Roman"/>
        </w:rPr>
        <w:t>equally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considered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fully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construe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parties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agreement</w:t>
      </w:r>
      <w:proofErr w:type="spellEnd"/>
      <w:r w:rsidR="00332826" w:rsidRPr="00705170">
        <w:rPr>
          <w:rStyle w:val="DipnotBavurusu"/>
          <w:rFonts w:ascii="Times New Roman" w:hAnsi="Times New Roman" w:cs="Times New Roman"/>
        </w:rPr>
        <w:footnoteReference w:id="390"/>
      </w:r>
      <w:r w:rsidR="00332826" w:rsidRPr="00705170">
        <w:rPr>
          <w:rFonts w:ascii="Times New Roman" w:hAnsi="Times New Roman" w:cs="Times New Roman"/>
        </w:rPr>
        <w:t xml:space="preserve">. </w:t>
      </w:r>
      <w:proofErr w:type="spellStart"/>
      <w:r w:rsidR="00127868" w:rsidRPr="00705170">
        <w:rPr>
          <w:rFonts w:ascii="Times New Roman" w:hAnsi="Times New Roman" w:cs="Times New Roman"/>
        </w:rPr>
        <w:t>In</w:t>
      </w:r>
      <w:proofErr w:type="spellEnd"/>
      <w:r w:rsidR="00127868" w:rsidRPr="00705170">
        <w:rPr>
          <w:rFonts w:ascii="Times New Roman" w:hAnsi="Times New Roman" w:cs="Times New Roman"/>
        </w:rPr>
        <w:t xml:space="preserve"> </w:t>
      </w:r>
      <w:proofErr w:type="spellStart"/>
      <w:r w:rsidR="00127868" w:rsidRPr="00705170">
        <w:rPr>
          <w:rFonts w:ascii="Times New Roman" w:hAnsi="Times New Roman" w:cs="Times New Roman"/>
        </w:rPr>
        <w:t>this</w:t>
      </w:r>
      <w:proofErr w:type="spellEnd"/>
      <w:r w:rsidR="00127868" w:rsidRPr="00705170">
        <w:rPr>
          <w:rFonts w:ascii="Times New Roman" w:hAnsi="Times New Roman" w:cs="Times New Roman"/>
        </w:rPr>
        <w:t xml:space="preserve"> sense, </w:t>
      </w:r>
      <w:proofErr w:type="spellStart"/>
      <w:r w:rsidR="00127868" w:rsidRPr="00705170">
        <w:rPr>
          <w:rFonts w:ascii="Times New Roman" w:hAnsi="Times New Roman" w:cs="Times New Roman"/>
        </w:rPr>
        <w:t>the</w:t>
      </w:r>
      <w:proofErr w:type="spellEnd"/>
      <w:r w:rsidR="00127868" w:rsidRPr="00705170">
        <w:rPr>
          <w:rFonts w:ascii="Times New Roman" w:hAnsi="Times New Roman" w:cs="Times New Roman"/>
        </w:rPr>
        <w:t xml:space="preserve"> </w:t>
      </w:r>
      <w:proofErr w:type="spellStart"/>
      <w:r w:rsidR="00127868" w:rsidRPr="00705170">
        <w:rPr>
          <w:rFonts w:ascii="Times New Roman" w:hAnsi="Times New Roman" w:cs="Times New Roman"/>
        </w:rPr>
        <w:t>usage</w:t>
      </w:r>
      <w:proofErr w:type="spellEnd"/>
      <w:r w:rsidR="00127868" w:rsidRPr="00705170">
        <w:rPr>
          <w:rFonts w:ascii="Times New Roman" w:hAnsi="Times New Roman" w:cs="Times New Roman"/>
        </w:rPr>
        <w:t xml:space="preserve"> of </w:t>
      </w:r>
      <w:proofErr w:type="spellStart"/>
      <w:r w:rsidR="00127868" w:rsidRPr="00705170">
        <w:rPr>
          <w:rFonts w:ascii="Times New Roman" w:hAnsi="Times New Roman" w:cs="Times New Roman"/>
        </w:rPr>
        <w:t>the</w:t>
      </w:r>
      <w:proofErr w:type="spellEnd"/>
      <w:r w:rsidR="00127868" w:rsidRPr="00705170">
        <w:rPr>
          <w:rFonts w:ascii="Times New Roman" w:hAnsi="Times New Roman" w:cs="Times New Roman"/>
        </w:rPr>
        <w:t xml:space="preserve"> </w:t>
      </w:r>
      <w:r w:rsidR="00FC7479" w:rsidRPr="00705170">
        <w:rPr>
          <w:rFonts w:ascii="Times New Roman" w:hAnsi="Times New Roman" w:cs="Times New Roman"/>
        </w:rPr>
        <w:t>"</w:t>
      </w:r>
      <w:proofErr w:type="spellStart"/>
      <w:r w:rsidR="00FC7479" w:rsidRPr="00705170">
        <w:rPr>
          <w:rFonts w:ascii="Times New Roman" w:hAnsi="Times New Roman" w:cs="Times New Roman"/>
        </w:rPr>
        <w:t>complementary</w:t>
      </w:r>
      <w:proofErr w:type="spellEnd"/>
      <w:r w:rsidR="00FC7479" w:rsidRPr="00705170">
        <w:rPr>
          <w:rFonts w:ascii="Times New Roman" w:hAnsi="Times New Roman" w:cs="Times New Roman"/>
        </w:rPr>
        <w:t xml:space="preserve"> </w:t>
      </w:r>
      <w:proofErr w:type="spellStart"/>
      <w:r w:rsidR="00FC7479" w:rsidRPr="00705170">
        <w:rPr>
          <w:rFonts w:ascii="Times New Roman" w:hAnsi="Times New Roman" w:cs="Times New Roman"/>
        </w:rPr>
        <w:t>interpretation</w:t>
      </w:r>
      <w:proofErr w:type="spellEnd"/>
      <w:r w:rsidR="00FC7479" w:rsidRPr="00705170">
        <w:rPr>
          <w:rFonts w:ascii="Times New Roman" w:hAnsi="Times New Roman" w:cs="Times New Roman"/>
        </w:rPr>
        <w:t xml:space="preserve">” </w:t>
      </w:r>
      <w:proofErr w:type="spellStart"/>
      <w:r w:rsidR="00FC7479" w:rsidRPr="00705170">
        <w:rPr>
          <w:rFonts w:ascii="Times New Roman" w:hAnsi="Times New Roman" w:cs="Times New Roman"/>
        </w:rPr>
        <w:t>method</w:t>
      </w:r>
      <w:proofErr w:type="spellEnd"/>
      <w:r w:rsidR="00127868" w:rsidRPr="00705170">
        <w:rPr>
          <w:rFonts w:ascii="Times New Roman" w:hAnsi="Times New Roman" w:cs="Times New Roman"/>
        </w:rPr>
        <w:t xml:space="preserve"> of </w:t>
      </w:r>
      <w:proofErr w:type="spellStart"/>
      <w:r w:rsidR="00127868" w:rsidRPr="00705170">
        <w:rPr>
          <w:rFonts w:ascii="Times New Roman" w:hAnsi="Times New Roman" w:cs="Times New Roman"/>
        </w:rPr>
        <w:t>the</w:t>
      </w:r>
      <w:proofErr w:type="spellEnd"/>
      <w:r w:rsidR="00127868" w:rsidRPr="00705170">
        <w:rPr>
          <w:rFonts w:ascii="Times New Roman" w:hAnsi="Times New Roman" w:cs="Times New Roman"/>
        </w:rPr>
        <w:t xml:space="preserve"> </w:t>
      </w:r>
      <w:proofErr w:type="spellStart"/>
      <w:r w:rsidR="00127868" w:rsidRPr="00705170">
        <w:rPr>
          <w:rFonts w:ascii="Times New Roman" w:hAnsi="Times New Roman" w:cs="Times New Roman"/>
        </w:rPr>
        <w:t>contract</w:t>
      </w:r>
      <w:proofErr w:type="spellEnd"/>
      <w:r w:rsidR="00127868" w:rsidRPr="00705170">
        <w:rPr>
          <w:rFonts w:ascii="Times New Roman" w:hAnsi="Times New Roman" w:cs="Times New Roman"/>
        </w:rPr>
        <w:t xml:space="preserve"> </w:t>
      </w:r>
      <w:proofErr w:type="spellStart"/>
      <w:r w:rsidR="00127868" w:rsidRPr="00705170">
        <w:rPr>
          <w:rFonts w:ascii="Times New Roman" w:hAnsi="Times New Roman" w:cs="Times New Roman"/>
        </w:rPr>
        <w:t>law</w:t>
      </w:r>
      <w:proofErr w:type="spellEnd"/>
      <w:r w:rsidR="00791DF6" w:rsidRPr="00705170">
        <w:rPr>
          <w:rFonts w:ascii="Times New Roman" w:hAnsi="Times New Roman" w:cs="Times New Roman"/>
        </w:rPr>
        <w:t xml:space="preserve"> </w:t>
      </w:r>
      <w:proofErr w:type="spellStart"/>
      <w:r w:rsidR="00791DF6" w:rsidRPr="00705170">
        <w:rPr>
          <w:rFonts w:ascii="Times New Roman" w:hAnsi="Times New Roman" w:cs="Times New Roman"/>
        </w:rPr>
        <w:t>to</w:t>
      </w:r>
      <w:proofErr w:type="spellEnd"/>
      <w:r w:rsidR="00791DF6" w:rsidRPr="00705170">
        <w:rPr>
          <w:rFonts w:ascii="Times New Roman" w:hAnsi="Times New Roman" w:cs="Times New Roman"/>
        </w:rPr>
        <w:t xml:space="preserve"> </w:t>
      </w:r>
      <w:proofErr w:type="spellStart"/>
      <w:r w:rsidR="00791DF6" w:rsidRPr="00705170">
        <w:rPr>
          <w:rFonts w:ascii="Times New Roman" w:hAnsi="Times New Roman" w:cs="Times New Roman"/>
        </w:rPr>
        <w:t>construe</w:t>
      </w:r>
      <w:proofErr w:type="spellEnd"/>
      <w:r w:rsidR="00791DF6" w:rsidRPr="00705170">
        <w:rPr>
          <w:rFonts w:ascii="Times New Roman" w:hAnsi="Times New Roman" w:cs="Times New Roman"/>
        </w:rPr>
        <w:t xml:space="preserve"> </w:t>
      </w:r>
      <w:proofErr w:type="spellStart"/>
      <w:r w:rsidR="00791DF6" w:rsidRPr="00705170">
        <w:rPr>
          <w:rFonts w:ascii="Times New Roman" w:hAnsi="Times New Roman" w:cs="Times New Roman"/>
        </w:rPr>
        <w:t>the</w:t>
      </w:r>
      <w:proofErr w:type="spellEnd"/>
      <w:r w:rsidR="00791DF6" w:rsidRPr="00705170">
        <w:rPr>
          <w:rFonts w:ascii="Times New Roman" w:hAnsi="Times New Roman" w:cs="Times New Roman"/>
        </w:rPr>
        <w:t xml:space="preserve"> </w:t>
      </w:r>
      <w:proofErr w:type="spellStart"/>
      <w:r w:rsidR="00791DF6" w:rsidRPr="00705170">
        <w:rPr>
          <w:rFonts w:ascii="Times New Roman" w:hAnsi="Times New Roman" w:cs="Times New Roman"/>
        </w:rPr>
        <w:t>full</w:t>
      </w:r>
      <w:proofErr w:type="spellEnd"/>
      <w:r w:rsidR="00791DF6" w:rsidRPr="00705170">
        <w:rPr>
          <w:rFonts w:ascii="Times New Roman" w:hAnsi="Times New Roman" w:cs="Times New Roman"/>
        </w:rPr>
        <w:t xml:space="preserve"> </w:t>
      </w:r>
      <w:proofErr w:type="spellStart"/>
      <w:r w:rsidR="00791DF6" w:rsidRPr="00705170">
        <w:rPr>
          <w:rFonts w:ascii="Times New Roman" w:hAnsi="Times New Roman" w:cs="Times New Roman"/>
        </w:rPr>
        <w:t>extent</w:t>
      </w:r>
      <w:proofErr w:type="spellEnd"/>
      <w:r w:rsidR="00791DF6" w:rsidRPr="00705170">
        <w:rPr>
          <w:rFonts w:ascii="Times New Roman" w:hAnsi="Times New Roman" w:cs="Times New Roman"/>
        </w:rPr>
        <w:t xml:space="preserve"> of </w:t>
      </w:r>
      <w:proofErr w:type="spellStart"/>
      <w:r w:rsidR="00791DF6" w:rsidRPr="00705170">
        <w:rPr>
          <w:rFonts w:ascii="Times New Roman" w:hAnsi="Times New Roman" w:cs="Times New Roman"/>
        </w:rPr>
        <w:t>the</w:t>
      </w:r>
      <w:proofErr w:type="spellEnd"/>
      <w:r w:rsidR="00791DF6" w:rsidRPr="00705170">
        <w:rPr>
          <w:rFonts w:ascii="Times New Roman" w:hAnsi="Times New Roman" w:cs="Times New Roman"/>
        </w:rPr>
        <w:t xml:space="preserve"> </w:t>
      </w:r>
      <w:proofErr w:type="spellStart"/>
      <w:r w:rsidR="00791DF6" w:rsidRPr="00705170">
        <w:rPr>
          <w:rFonts w:ascii="Times New Roman" w:hAnsi="Times New Roman" w:cs="Times New Roman"/>
        </w:rPr>
        <w:t>agreement</w:t>
      </w:r>
      <w:proofErr w:type="spellEnd"/>
      <w:r w:rsidR="003E49BE">
        <w:rPr>
          <w:rFonts w:ascii="Times New Roman" w:hAnsi="Times New Roman" w:cs="Times New Roman"/>
        </w:rPr>
        <w:t xml:space="preserve"> is </w:t>
      </w:r>
      <w:proofErr w:type="spellStart"/>
      <w:r w:rsidR="003E49BE">
        <w:rPr>
          <w:rFonts w:ascii="Times New Roman" w:hAnsi="Times New Roman" w:cs="Times New Roman"/>
        </w:rPr>
        <w:t>proposed</w:t>
      </w:r>
      <w:proofErr w:type="spellEnd"/>
      <w:r w:rsidR="00952B0A" w:rsidRPr="00705170">
        <w:rPr>
          <w:rStyle w:val="DipnotBavurusu"/>
          <w:rFonts w:ascii="Times New Roman" w:hAnsi="Times New Roman" w:cs="Times New Roman"/>
        </w:rPr>
        <w:footnoteReference w:id="391"/>
      </w:r>
      <w:r w:rsidR="00FC7479" w:rsidRPr="00705170">
        <w:rPr>
          <w:rFonts w:ascii="Times New Roman" w:hAnsi="Times New Roman" w:cs="Times New Roman"/>
        </w:rPr>
        <w:t xml:space="preserve">. </w:t>
      </w:r>
      <w:proofErr w:type="spellStart"/>
      <w:r w:rsidR="00332826" w:rsidRPr="00705170">
        <w:rPr>
          <w:rFonts w:ascii="Times New Roman" w:hAnsi="Times New Roman" w:cs="Times New Roman"/>
        </w:rPr>
        <w:t>Herein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r w:rsidR="00332826" w:rsidRPr="00705170">
        <w:rPr>
          <w:rFonts w:ascii="Times New Roman" w:hAnsi="Times New Roman" w:cs="Times New Roman"/>
        </w:rPr>
        <w:lastRenderedPageBreak/>
        <w:t>“</w:t>
      </w:r>
      <w:proofErr w:type="spellStart"/>
      <w:r w:rsidR="00332826" w:rsidRPr="00705170">
        <w:rPr>
          <w:rFonts w:ascii="Times New Roman" w:hAnsi="Times New Roman" w:cs="Times New Roman"/>
        </w:rPr>
        <w:t>reasonable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expectation</w:t>
      </w:r>
      <w:r w:rsidR="00942995" w:rsidRPr="00705170">
        <w:rPr>
          <w:rFonts w:ascii="Times New Roman" w:hAnsi="Times New Roman" w:cs="Times New Roman"/>
        </w:rPr>
        <w:t>s</w:t>
      </w:r>
      <w:proofErr w:type="spellEnd"/>
      <w:r w:rsidR="00942995" w:rsidRPr="00705170">
        <w:rPr>
          <w:rFonts w:ascii="Times New Roman" w:hAnsi="Times New Roman" w:cs="Times New Roman"/>
        </w:rPr>
        <w:t xml:space="preserve">” </w:t>
      </w:r>
      <w:proofErr w:type="spellStart"/>
      <w:r w:rsidR="00B10058" w:rsidRPr="00705170">
        <w:rPr>
          <w:rFonts w:ascii="Times New Roman" w:hAnsi="Times New Roman" w:cs="Times New Roman"/>
        </w:rPr>
        <w:t>standard</w:t>
      </w:r>
      <w:proofErr w:type="spellEnd"/>
      <w:r w:rsidR="00B10058" w:rsidRPr="00705170">
        <w:rPr>
          <w:rFonts w:ascii="Times New Roman" w:hAnsi="Times New Roman" w:cs="Times New Roman"/>
        </w:rPr>
        <w:t xml:space="preserve"> </w:t>
      </w:r>
      <w:r w:rsidR="00942995" w:rsidRPr="00705170">
        <w:rPr>
          <w:rFonts w:ascii="Times New Roman" w:hAnsi="Times New Roman" w:cs="Times New Roman"/>
        </w:rPr>
        <w:t xml:space="preserve">is </w:t>
      </w:r>
      <w:proofErr w:type="spellStart"/>
      <w:r w:rsidR="00942995" w:rsidRPr="00705170">
        <w:rPr>
          <w:rFonts w:ascii="Times New Roman" w:hAnsi="Times New Roman" w:cs="Times New Roman"/>
        </w:rPr>
        <w:t>there</w:t>
      </w:r>
      <w:proofErr w:type="spellEnd"/>
      <w:r w:rsidR="00942995" w:rsidRPr="00705170">
        <w:rPr>
          <w:rFonts w:ascii="Times New Roman" w:hAnsi="Times New Roman" w:cs="Times New Roman"/>
        </w:rPr>
        <w:t xml:space="preserve"> </w:t>
      </w:r>
      <w:proofErr w:type="spellStart"/>
      <w:r w:rsidR="00942995" w:rsidRPr="00705170">
        <w:rPr>
          <w:rFonts w:ascii="Times New Roman" w:hAnsi="Times New Roman" w:cs="Times New Roman"/>
        </w:rPr>
        <w:t>to</w:t>
      </w:r>
      <w:proofErr w:type="spellEnd"/>
      <w:r w:rsidR="00C74DAB" w:rsidRPr="00705170">
        <w:rPr>
          <w:rFonts w:ascii="Times New Roman" w:hAnsi="Times New Roman" w:cs="Times New Roman"/>
        </w:rPr>
        <w:t xml:space="preserve"> </w:t>
      </w:r>
      <w:proofErr w:type="spellStart"/>
      <w:r w:rsidR="00C74DAB" w:rsidRPr="00705170">
        <w:rPr>
          <w:rFonts w:ascii="Times New Roman" w:hAnsi="Times New Roman" w:cs="Times New Roman"/>
        </w:rPr>
        <w:t>make</w:t>
      </w:r>
      <w:proofErr w:type="spellEnd"/>
      <w:r w:rsidR="00C74DAB" w:rsidRPr="00705170">
        <w:rPr>
          <w:rFonts w:ascii="Times New Roman" w:hAnsi="Times New Roman" w:cs="Times New Roman"/>
        </w:rPr>
        <w:t xml:space="preserve"> </w:t>
      </w:r>
      <w:proofErr w:type="spellStart"/>
      <w:r w:rsidR="00C74DAB" w:rsidRPr="00705170">
        <w:rPr>
          <w:rFonts w:ascii="Times New Roman" w:hAnsi="Times New Roman" w:cs="Times New Roman"/>
        </w:rPr>
        <w:t>the</w:t>
      </w:r>
      <w:proofErr w:type="spellEnd"/>
      <w:r w:rsidR="00C74DAB" w:rsidRPr="00705170">
        <w:rPr>
          <w:rFonts w:ascii="Times New Roman" w:hAnsi="Times New Roman" w:cs="Times New Roman"/>
        </w:rPr>
        <w:t xml:space="preserve"> </w:t>
      </w:r>
      <w:proofErr w:type="spellStart"/>
      <w:r w:rsidR="00C74DAB" w:rsidRPr="00705170">
        <w:rPr>
          <w:rFonts w:ascii="Times New Roman" w:hAnsi="Times New Roman" w:cs="Times New Roman"/>
        </w:rPr>
        <w:t>construction</w:t>
      </w:r>
      <w:proofErr w:type="spellEnd"/>
      <w:r w:rsidR="00C74DAB" w:rsidRPr="00705170">
        <w:rPr>
          <w:rFonts w:ascii="Times New Roman" w:hAnsi="Times New Roman" w:cs="Times New Roman"/>
        </w:rPr>
        <w:t xml:space="preserve">: </w:t>
      </w:r>
      <w:proofErr w:type="spellStart"/>
      <w:r w:rsidR="00C74DAB" w:rsidRPr="00705170">
        <w:rPr>
          <w:rFonts w:ascii="Times New Roman" w:hAnsi="Times New Roman" w:cs="Times New Roman"/>
        </w:rPr>
        <w:t>The</w:t>
      </w:r>
      <w:proofErr w:type="spellEnd"/>
      <w:r w:rsidR="00C74DAB" w:rsidRPr="00705170">
        <w:rPr>
          <w:rFonts w:ascii="Times New Roman" w:hAnsi="Times New Roman" w:cs="Times New Roman"/>
        </w:rPr>
        <w:t xml:space="preserve"> “</w:t>
      </w:r>
      <w:proofErr w:type="spellStart"/>
      <w:r w:rsidR="00C74DAB" w:rsidRPr="00705170">
        <w:rPr>
          <w:rFonts w:ascii="Times New Roman" w:hAnsi="Times New Roman" w:cs="Times New Roman"/>
        </w:rPr>
        <w:t>reasonable</w:t>
      </w:r>
      <w:proofErr w:type="spellEnd"/>
      <w:r w:rsidR="00C74DAB" w:rsidRPr="00705170">
        <w:rPr>
          <w:rFonts w:ascii="Times New Roman" w:hAnsi="Times New Roman" w:cs="Times New Roman"/>
        </w:rPr>
        <w:t xml:space="preserve"> </w:t>
      </w:r>
      <w:proofErr w:type="spellStart"/>
      <w:r w:rsidR="00C74DAB" w:rsidRPr="00705170">
        <w:rPr>
          <w:rFonts w:ascii="Times New Roman" w:hAnsi="Times New Roman" w:cs="Times New Roman"/>
        </w:rPr>
        <w:t>expectations</w:t>
      </w:r>
      <w:proofErr w:type="spellEnd"/>
      <w:r w:rsidR="00C74DAB" w:rsidRPr="00705170">
        <w:rPr>
          <w:rFonts w:ascii="Times New Roman" w:hAnsi="Times New Roman" w:cs="Times New Roman"/>
        </w:rPr>
        <w:t xml:space="preserve"> </w:t>
      </w:r>
      <w:proofErr w:type="spellStart"/>
      <w:r w:rsidR="00C74DAB" w:rsidRPr="00705170">
        <w:rPr>
          <w:rFonts w:ascii="Times New Roman" w:hAnsi="Times New Roman" w:cs="Times New Roman"/>
        </w:rPr>
        <w:t>constitute</w:t>
      </w:r>
      <w:proofErr w:type="spellEnd"/>
      <w:r w:rsidR="00C74DAB" w:rsidRPr="00705170">
        <w:rPr>
          <w:rFonts w:ascii="Times New Roman" w:hAnsi="Times New Roman" w:cs="Times New Roman"/>
        </w:rPr>
        <w:t xml:space="preserve"> </w:t>
      </w:r>
      <w:proofErr w:type="spellStart"/>
      <w:r w:rsidR="00C74DAB" w:rsidRPr="00705170">
        <w:rPr>
          <w:rFonts w:ascii="Times New Roman" w:hAnsi="Times New Roman" w:cs="Times New Roman"/>
        </w:rPr>
        <w:t>the</w:t>
      </w:r>
      <w:proofErr w:type="spellEnd"/>
      <w:r w:rsidR="00C74DAB" w:rsidRPr="00705170">
        <w:rPr>
          <w:rFonts w:ascii="Times New Roman" w:hAnsi="Times New Roman" w:cs="Times New Roman"/>
        </w:rPr>
        <w:t xml:space="preserve"> </w:t>
      </w:r>
      <w:proofErr w:type="spellStart"/>
      <w:r w:rsidR="00C74DAB" w:rsidRPr="00705170">
        <w:rPr>
          <w:rFonts w:ascii="Times New Roman" w:hAnsi="Times New Roman" w:cs="Times New Roman"/>
        </w:rPr>
        <w:t>bargain</w:t>
      </w:r>
      <w:proofErr w:type="spellEnd"/>
      <w:r w:rsidR="00C74DAB" w:rsidRPr="00705170">
        <w:rPr>
          <w:rFonts w:ascii="Times New Roman" w:hAnsi="Times New Roman" w:cs="Times New Roman"/>
        </w:rPr>
        <w:t xml:space="preserve"> of </w:t>
      </w:r>
      <w:proofErr w:type="spellStart"/>
      <w:r w:rsidR="00C74DAB" w:rsidRPr="00705170">
        <w:rPr>
          <w:rFonts w:ascii="Times New Roman" w:hAnsi="Times New Roman" w:cs="Times New Roman"/>
        </w:rPr>
        <w:t>the</w:t>
      </w:r>
      <w:proofErr w:type="spellEnd"/>
      <w:r w:rsidR="00C74DAB" w:rsidRPr="00705170">
        <w:rPr>
          <w:rFonts w:ascii="Times New Roman" w:hAnsi="Times New Roman" w:cs="Times New Roman"/>
        </w:rPr>
        <w:t xml:space="preserve"> </w:t>
      </w:r>
      <w:proofErr w:type="spellStart"/>
      <w:r w:rsidR="00C74DAB" w:rsidRPr="00705170">
        <w:rPr>
          <w:rFonts w:ascii="Times New Roman" w:hAnsi="Times New Roman" w:cs="Times New Roman"/>
        </w:rPr>
        <w:t>parties</w:t>
      </w:r>
      <w:proofErr w:type="spellEnd"/>
      <w:r w:rsidR="00C74DAB" w:rsidRPr="00705170">
        <w:rPr>
          <w:rFonts w:ascii="Times New Roman" w:hAnsi="Times New Roman" w:cs="Times New Roman"/>
        </w:rPr>
        <w:t xml:space="preserve"> in </w:t>
      </w:r>
      <w:proofErr w:type="spellStart"/>
      <w:r w:rsidR="00C74DAB" w:rsidRPr="00705170">
        <w:rPr>
          <w:rFonts w:ascii="Times New Roman" w:hAnsi="Times New Roman" w:cs="Times New Roman"/>
        </w:rPr>
        <w:t>light</w:t>
      </w:r>
      <w:proofErr w:type="spellEnd"/>
      <w:r w:rsidR="00C74DAB" w:rsidRPr="00705170">
        <w:rPr>
          <w:rFonts w:ascii="Times New Roman" w:hAnsi="Times New Roman" w:cs="Times New Roman"/>
        </w:rPr>
        <w:t xml:space="preserve"> of </w:t>
      </w:r>
      <w:proofErr w:type="spellStart"/>
      <w:r w:rsidR="00C74DAB" w:rsidRPr="00705170">
        <w:rPr>
          <w:rFonts w:ascii="Times New Roman" w:hAnsi="Times New Roman" w:cs="Times New Roman"/>
        </w:rPr>
        <w:t>which</w:t>
      </w:r>
      <w:proofErr w:type="spellEnd"/>
      <w:r w:rsidR="00C74DAB" w:rsidRPr="00705170">
        <w:rPr>
          <w:rFonts w:ascii="Times New Roman" w:hAnsi="Times New Roman" w:cs="Times New Roman"/>
        </w:rPr>
        <w:t xml:space="preserve"> </w:t>
      </w:r>
      <w:proofErr w:type="spellStart"/>
      <w:r w:rsidR="00C74DAB" w:rsidRPr="00705170">
        <w:rPr>
          <w:rFonts w:ascii="Times New Roman" w:hAnsi="Times New Roman" w:cs="Times New Roman"/>
        </w:rPr>
        <w:t>subsequent</w:t>
      </w:r>
      <w:proofErr w:type="spellEnd"/>
      <w:r w:rsidR="00C74DAB" w:rsidRPr="00705170">
        <w:rPr>
          <w:rFonts w:ascii="Times New Roman" w:hAnsi="Times New Roman" w:cs="Times New Roman"/>
        </w:rPr>
        <w:t xml:space="preserve"> </w:t>
      </w:r>
      <w:proofErr w:type="spellStart"/>
      <w:r w:rsidR="00C74DAB" w:rsidRPr="00705170">
        <w:rPr>
          <w:rFonts w:ascii="Times New Roman" w:hAnsi="Times New Roman" w:cs="Times New Roman"/>
        </w:rPr>
        <w:t>conduct</w:t>
      </w:r>
      <w:proofErr w:type="spellEnd"/>
      <w:r w:rsidR="00C74DAB" w:rsidRPr="00705170">
        <w:rPr>
          <w:rFonts w:ascii="Times New Roman" w:hAnsi="Times New Roman" w:cs="Times New Roman"/>
        </w:rPr>
        <w:t xml:space="preserve"> </w:t>
      </w:r>
      <w:proofErr w:type="spellStart"/>
      <w:r w:rsidR="00C74DAB" w:rsidRPr="00705170">
        <w:rPr>
          <w:rFonts w:ascii="Times New Roman" w:hAnsi="Times New Roman" w:cs="Times New Roman"/>
        </w:rPr>
        <w:t>must</w:t>
      </w:r>
      <w:proofErr w:type="spellEnd"/>
      <w:r w:rsidR="00C74DAB" w:rsidRPr="00705170">
        <w:rPr>
          <w:rFonts w:ascii="Times New Roman" w:hAnsi="Times New Roman" w:cs="Times New Roman"/>
        </w:rPr>
        <w:t xml:space="preserve"> be </w:t>
      </w:r>
      <w:proofErr w:type="spellStart"/>
      <w:r w:rsidR="00C74DAB" w:rsidRPr="00705170">
        <w:rPr>
          <w:rFonts w:ascii="Times New Roman" w:hAnsi="Times New Roman" w:cs="Times New Roman"/>
        </w:rPr>
        <w:t>appraised</w:t>
      </w:r>
      <w:proofErr w:type="spellEnd"/>
      <w:r w:rsidR="00C74DAB" w:rsidRPr="00705170">
        <w:rPr>
          <w:rFonts w:ascii="Times New Roman" w:hAnsi="Times New Roman" w:cs="Times New Roman"/>
        </w:rPr>
        <w:t>”</w:t>
      </w:r>
      <w:r w:rsidR="00C74DAB" w:rsidRPr="00705170">
        <w:rPr>
          <w:rStyle w:val="DipnotBavurusu"/>
          <w:rFonts w:ascii="Times New Roman" w:hAnsi="Times New Roman" w:cs="Times New Roman"/>
        </w:rPr>
        <w:footnoteReference w:id="392"/>
      </w:r>
      <w:r w:rsidR="00C74DAB" w:rsidRPr="00705170">
        <w:rPr>
          <w:rFonts w:ascii="Times New Roman" w:hAnsi="Times New Roman" w:cs="Times New Roman"/>
        </w:rPr>
        <w:t>.</w:t>
      </w:r>
      <w:r w:rsidR="00332826" w:rsidRPr="00705170">
        <w:rPr>
          <w:rFonts w:ascii="Times New Roman" w:hAnsi="Times New Roman" w:cs="Times New Roman"/>
        </w:rPr>
        <w:t xml:space="preserve"> </w:t>
      </w:r>
      <w:proofErr w:type="spellStart"/>
      <w:r w:rsidR="00B10058" w:rsidRPr="00705170">
        <w:rPr>
          <w:rFonts w:ascii="Times New Roman" w:hAnsi="Times New Roman" w:cs="Times New Roman"/>
        </w:rPr>
        <w:t>In</w:t>
      </w:r>
      <w:proofErr w:type="spellEnd"/>
      <w:r w:rsidR="00B10058" w:rsidRPr="00705170">
        <w:rPr>
          <w:rFonts w:ascii="Times New Roman" w:hAnsi="Times New Roman" w:cs="Times New Roman"/>
        </w:rPr>
        <w:t xml:space="preserve"> </w:t>
      </w:r>
      <w:proofErr w:type="spellStart"/>
      <w:r w:rsidR="00B10058" w:rsidRPr="00705170">
        <w:rPr>
          <w:rFonts w:ascii="Times New Roman" w:hAnsi="Times New Roman" w:cs="Times New Roman"/>
        </w:rPr>
        <w:t>this</w:t>
      </w:r>
      <w:proofErr w:type="spellEnd"/>
      <w:r w:rsidR="00B10058" w:rsidRPr="00705170">
        <w:rPr>
          <w:rFonts w:ascii="Times New Roman" w:hAnsi="Times New Roman" w:cs="Times New Roman"/>
        </w:rPr>
        <w:t xml:space="preserve"> sense, </w:t>
      </w:r>
      <w:proofErr w:type="spellStart"/>
      <w:r w:rsidR="00B10058" w:rsidRPr="00705170">
        <w:rPr>
          <w:rFonts w:ascii="Times New Roman" w:hAnsi="Times New Roman" w:cs="Times New Roman"/>
        </w:rPr>
        <w:t>the</w:t>
      </w:r>
      <w:proofErr w:type="spellEnd"/>
      <w:r w:rsidR="00B10058" w:rsidRPr="00705170">
        <w:rPr>
          <w:rFonts w:ascii="Times New Roman" w:hAnsi="Times New Roman" w:cs="Times New Roman"/>
        </w:rPr>
        <w:t xml:space="preserve"> “</w:t>
      </w:r>
      <w:proofErr w:type="spellStart"/>
      <w:r w:rsidR="00B10058" w:rsidRPr="00705170">
        <w:rPr>
          <w:rFonts w:ascii="Times New Roman" w:hAnsi="Times New Roman" w:cs="Times New Roman"/>
        </w:rPr>
        <w:t>reasonable</w:t>
      </w:r>
      <w:proofErr w:type="spellEnd"/>
      <w:r w:rsidR="00B10058" w:rsidRPr="00705170">
        <w:rPr>
          <w:rFonts w:ascii="Times New Roman" w:hAnsi="Times New Roman" w:cs="Times New Roman"/>
        </w:rPr>
        <w:t xml:space="preserve"> </w:t>
      </w:r>
      <w:proofErr w:type="spellStart"/>
      <w:r w:rsidR="00B10058" w:rsidRPr="00705170">
        <w:rPr>
          <w:rFonts w:ascii="Times New Roman" w:hAnsi="Times New Roman" w:cs="Times New Roman"/>
        </w:rPr>
        <w:t>expectations</w:t>
      </w:r>
      <w:proofErr w:type="spellEnd"/>
      <w:r w:rsidR="00B10058" w:rsidRPr="00705170">
        <w:rPr>
          <w:rFonts w:ascii="Times New Roman" w:hAnsi="Times New Roman" w:cs="Times New Roman"/>
        </w:rPr>
        <w:t xml:space="preserve">” </w:t>
      </w:r>
      <w:proofErr w:type="spellStart"/>
      <w:r w:rsidR="00B10058" w:rsidRPr="00705170">
        <w:rPr>
          <w:rFonts w:ascii="Times New Roman" w:hAnsi="Times New Roman" w:cs="Times New Roman"/>
        </w:rPr>
        <w:t>standard</w:t>
      </w:r>
      <w:proofErr w:type="spellEnd"/>
      <w:r w:rsidR="00B10058" w:rsidRPr="00705170">
        <w:rPr>
          <w:rFonts w:ascii="Times New Roman" w:hAnsi="Times New Roman" w:cs="Times New Roman"/>
        </w:rPr>
        <w:t xml:space="preserve"> is not a </w:t>
      </w:r>
      <w:proofErr w:type="spellStart"/>
      <w:r w:rsidR="00B10058" w:rsidRPr="00705170">
        <w:rPr>
          <w:rFonts w:ascii="Times New Roman" w:hAnsi="Times New Roman" w:cs="Times New Roman"/>
        </w:rPr>
        <w:t>tool</w:t>
      </w:r>
      <w:proofErr w:type="spellEnd"/>
      <w:r w:rsidR="00D065AB" w:rsidRPr="00705170">
        <w:rPr>
          <w:rFonts w:ascii="Times New Roman" w:hAnsi="Times New Roman" w:cs="Times New Roman"/>
        </w:rPr>
        <w:t xml:space="preserve"> </w:t>
      </w:r>
      <w:proofErr w:type="spellStart"/>
      <w:r w:rsidR="00D065AB" w:rsidRPr="00705170">
        <w:rPr>
          <w:rFonts w:ascii="Times New Roman" w:hAnsi="Times New Roman" w:cs="Times New Roman"/>
        </w:rPr>
        <w:t>serving</w:t>
      </w:r>
      <w:proofErr w:type="spellEnd"/>
      <w:r w:rsidR="00D065AB" w:rsidRPr="00705170">
        <w:rPr>
          <w:rFonts w:ascii="Times New Roman" w:hAnsi="Times New Roman" w:cs="Times New Roman"/>
        </w:rPr>
        <w:t xml:space="preserve"> </w:t>
      </w:r>
      <w:proofErr w:type="spellStart"/>
      <w:r w:rsidR="004625C7" w:rsidRPr="00705170">
        <w:rPr>
          <w:rFonts w:ascii="Times New Roman" w:hAnsi="Times New Roman" w:cs="Times New Roman"/>
        </w:rPr>
        <w:t>to</w:t>
      </w:r>
      <w:proofErr w:type="spellEnd"/>
      <w:r w:rsidR="004625C7" w:rsidRPr="00705170">
        <w:rPr>
          <w:rFonts w:ascii="Times New Roman" w:hAnsi="Times New Roman" w:cs="Times New Roman"/>
        </w:rPr>
        <w:t xml:space="preserve"> </w:t>
      </w:r>
      <w:proofErr w:type="spellStart"/>
      <w:r w:rsidR="00D065AB" w:rsidRPr="00705170">
        <w:rPr>
          <w:rFonts w:ascii="Times New Roman" w:hAnsi="Times New Roman" w:cs="Times New Roman"/>
        </w:rPr>
        <w:t>the</w:t>
      </w:r>
      <w:proofErr w:type="spellEnd"/>
      <w:r w:rsidR="00D065AB" w:rsidRPr="00705170">
        <w:rPr>
          <w:rFonts w:ascii="Times New Roman" w:hAnsi="Times New Roman" w:cs="Times New Roman"/>
        </w:rPr>
        <w:t xml:space="preserve"> </w:t>
      </w:r>
      <w:proofErr w:type="spellStart"/>
      <w:r w:rsidR="00D065AB" w:rsidRPr="00705170">
        <w:rPr>
          <w:rFonts w:ascii="Times New Roman" w:hAnsi="Times New Roman" w:cs="Times New Roman"/>
        </w:rPr>
        <w:t>conversion</w:t>
      </w:r>
      <w:proofErr w:type="spellEnd"/>
      <w:r w:rsidR="00D065AB" w:rsidRPr="00705170">
        <w:rPr>
          <w:rFonts w:ascii="Times New Roman" w:hAnsi="Times New Roman" w:cs="Times New Roman"/>
        </w:rPr>
        <w:t xml:space="preserve"> of</w:t>
      </w:r>
      <w:r w:rsidR="00B10058" w:rsidRPr="00705170">
        <w:rPr>
          <w:rFonts w:ascii="Times New Roman" w:hAnsi="Times New Roman" w:cs="Times New Roman"/>
        </w:rPr>
        <w:t xml:space="preserve"> an </w:t>
      </w:r>
      <w:proofErr w:type="spellStart"/>
      <w:r w:rsidR="00B10058" w:rsidRPr="00705170">
        <w:rPr>
          <w:rFonts w:ascii="Times New Roman" w:hAnsi="Times New Roman" w:cs="Times New Roman"/>
        </w:rPr>
        <w:t>expectation</w:t>
      </w:r>
      <w:proofErr w:type="spellEnd"/>
      <w:r w:rsidR="00B10058" w:rsidRPr="00705170">
        <w:rPr>
          <w:rFonts w:ascii="Times New Roman" w:hAnsi="Times New Roman" w:cs="Times New Roman"/>
        </w:rPr>
        <w:t xml:space="preserve"> </w:t>
      </w:r>
      <w:proofErr w:type="spellStart"/>
      <w:r w:rsidR="00B10058" w:rsidRPr="00705170">
        <w:rPr>
          <w:rFonts w:ascii="Times New Roman" w:hAnsi="Times New Roman" w:cs="Times New Roman"/>
        </w:rPr>
        <w:t>to</w:t>
      </w:r>
      <w:proofErr w:type="spellEnd"/>
      <w:r w:rsidR="00B10058" w:rsidRPr="00705170">
        <w:rPr>
          <w:rFonts w:ascii="Times New Roman" w:hAnsi="Times New Roman" w:cs="Times New Roman"/>
        </w:rPr>
        <w:t xml:space="preserve"> a </w:t>
      </w:r>
      <w:proofErr w:type="spellStart"/>
      <w:r w:rsidR="00B10058" w:rsidRPr="00705170">
        <w:rPr>
          <w:rFonts w:ascii="Times New Roman" w:hAnsi="Times New Roman" w:cs="Times New Roman"/>
        </w:rPr>
        <w:t>right</w:t>
      </w:r>
      <w:proofErr w:type="spellEnd"/>
      <w:r w:rsidR="00D065AB" w:rsidRPr="00705170">
        <w:rPr>
          <w:rStyle w:val="DipnotBavurusu"/>
          <w:rFonts w:ascii="Times New Roman" w:hAnsi="Times New Roman" w:cs="Times New Roman"/>
        </w:rPr>
        <w:footnoteReference w:id="393"/>
      </w:r>
      <w:r w:rsidR="00B10058" w:rsidRPr="00705170">
        <w:rPr>
          <w:rFonts w:ascii="Times New Roman" w:hAnsi="Times New Roman" w:cs="Times New Roman"/>
        </w:rPr>
        <w:t xml:space="preserve">, </w:t>
      </w:r>
      <w:proofErr w:type="spellStart"/>
      <w:r w:rsidR="00B10058" w:rsidRPr="00705170">
        <w:rPr>
          <w:rFonts w:ascii="Times New Roman" w:hAnsi="Times New Roman" w:cs="Times New Roman"/>
        </w:rPr>
        <w:t>rather</w:t>
      </w:r>
      <w:proofErr w:type="spellEnd"/>
      <w:r w:rsidR="00B10058" w:rsidRPr="00705170">
        <w:rPr>
          <w:rFonts w:ascii="Times New Roman" w:hAnsi="Times New Roman" w:cs="Times New Roman"/>
        </w:rPr>
        <w:t xml:space="preserve"> it is an </w:t>
      </w:r>
      <w:proofErr w:type="spellStart"/>
      <w:r w:rsidR="00B10058" w:rsidRPr="00705170">
        <w:rPr>
          <w:rFonts w:ascii="Times New Roman" w:hAnsi="Times New Roman" w:cs="Times New Roman"/>
        </w:rPr>
        <w:t>analysis</w:t>
      </w:r>
      <w:proofErr w:type="spellEnd"/>
      <w:r w:rsidR="00B10058" w:rsidRPr="00705170">
        <w:rPr>
          <w:rFonts w:ascii="Times New Roman" w:hAnsi="Times New Roman" w:cs="Times New Roman"/>
        </w:rPr>
        <w:t xml:space="preserve"> </w:t>
      </w:r>
      <w:proofErr w:type="spellStart"/>
      <w:r w:rsidR="00D065AB" w:rsidRPr="00705170">
        <w:rPr>
          <w:rFonts w:ascii="Times New Roman" w:hAnsi="Times New Roman" w:cs="Times New Roman"/>
        </w:rPr>
        <w:t>or</w:t>
      </w:r>
      <w:proofErr w:type="spellEnd"/>
      <w:r w:rsidR="00D065AB" w:rsidRPr="00705170">
        <w:rPr>
          <w:rFonts w:ascii="Times New Roman" w:hAnsi="Times New Roman" w:cs="Times New Roman"/>
        </w:rPr>
        <w:t xml:space="preserve"> </w:t>
      </w:r>
      <w:proofErr w:type="spellStart"/>
      <w:r w:rsidR="00D065AB" w:rsidRPr="00705170">
        <w:rPr>
          <w:rFonts w:ascii="Times New Roman" w:hAnsi="Times New Roman" w:cs="Times New Roman"/>
        </w:rPr>
        <w:t>method</w:t>
      </w:r>
      <w:proofErr w:type="spellEnd"/>
      <w:r w:rsidR="00D065AB" w:rsidRPr="00705170">
        <w:rPr>
          <w:rFonts w:ascii="Times New Roman" w:hAnsi="Times New Roman" w:cs="Times New Roman"/>
        </w:rPr>
        <w:t xml:space="preserve"> </w:t>
      </w:r>
      <w:proofErr w:type="spellStart"/>
      <w:r w:rsidR="00D065AB" w:rsidRPr="00705170">
        <w:rPr>
          <w:rFonts w:ascii="Times New Roman" w:hAnsi="Times New Roman" w:cs="Times New Roman"/>
        </w:rPr>
        <w:t>that</w:t>
      </w:r>
      <w:proofErr w:type="spellEnd"/>
      <w:r w:rsidR="00D065AB" w:rsidRPr="00705170">
        <w:rPr>
          <w:rFonts w:ascii="Times New Roman" w:hAnsi="Times New Roman" w:cs="Times New Roman"/>
        </w:rPr>
        <w:t xml:space="preserve"> is</w:t>
      </w:r>
      <w:r w:rsidR="00B10058" w:rsidRPr="00705170">
        <w:rPr>
          <w:rFonts w:ascii="Times New Roman" w:hAnsi="Times New Roman" w:cs="Times New Roman"/>
        </w:rPr>
        <w:t xml:space="preserve"> </w:t>
      </w:r>
      <w:proofErr w:type="spellStart"/>
      <w:r w:rsidR="00B10058" w:rsidRPr="00705170">
        <w:rPr>
          <w:rFonts w:ascii="Times New Roman" w:hAnsi="Times New Roman" w:cs="Times New Roman"/>
        </w:rPr>
        <w:t>used</w:t>
      </w:r>
      <w:proofErr w:type="spellEnd"/>
      <w:r w:rsidR="00B10058" w:rsidRPr="00705170">
        <w:rPr>
          <w:rFonts w:ascii="Times New Roman" w:hAnsi="Times New Roman" w:cs="Times New Roman"/>
        </w:rPr>
        <w:t xml:space="preserve"> </w:t>
      </w:r>
      <w:proofErr w:type="spellStart"/>
      <w:r w:rsidR="00B10058" w:rsidRPr="00705170">
        <w:rPr>
          <w:rFonts w:ascii="Times New Roman" w:hAnsi="Times New Roman" w:cs="Times New Roman"/>
        </w:rPr>
        <w:t>to</w:t>
      </w:r>
      <w:proofErr w:type="spellEnd"/>
      <w:r w:rsidR="00D065AB" w:rsidRPr="00705170">
        <w:rPr>
          <w:rFonts w:ascii="Times New Roman" w:hAnsi="Times New Roman" w:cs="Times New Roman"/>
        </w:rPr>
        <w:t xml:space="preserve"> </w:t>
      </w:r>
      <w:proofErr w:type="spellStart"/>
      <w:r w:rsidR="004625C7" w:rsidRPr="00705170">
        <w:rPr>
          <w:rFonts w:ascii="Times New Roman" w:hAnsi="Times New Roman" w:cs="Times New Roman"/>
        </w:rPr>
        <w:t>find</w:t>
      </w:r>
      <w:proofErr w:type="spellEnd"/>
      <w:r w:rsidR="004625C7" w:rsidRPr="00705170">
        <w:rPr>
          <w:rFonts w:ascii="Times New Roman" w:hAnsi="Times New Roman" w:cs="Times New Roman"/>
        </w:rPr>
        <w:t xml:space="preserve"> </w:t>
      </w:r>
      <w:proofErr w:type="spellStart"/>
      <w:r w:rsidR="004625C7" w:rsidRPr="00705170">
        <w:rPr>
          <w:rFonts w:ascii="Times New Roman" w:hAnsi="Times New Roman" w:cs="Times New Roman"/>
        </w:rPr>
        <w:t>or</w:t>
      </w:r>
      <w:proofErr w:type="spellEnd"/>
      <w:r w:rsidR="00D065AB" w:rsidRPr="00705170">
        <w:rPr>
          <w:rFonts w:ascii="Times New Roman" w:hAnsi="Times New Roman" w:cs="Times New Roman"/>
        </w:rPr>
        <w:t xml:space="preserve"> </w:t>
      </w:r>
      <w:proofErr w:type="spellStart"/>
      <w:r w:rsidR="00D065AB" w:rsidRPr="00705170">
        <w:rPr>
          <w:rFonts w:ascii="Times New Roman" w:hAnsi="Times New Roman" w:cs="Times New Roman"/>
        </w:rPr>
        <w:t>interpret</w:t>
      </w:r>
      <w:proofErr w:type="spellEnd"/>
      <w:r w:rsidR="00D065AB" w:rsidRPr="00705170">
        <w:rPr>
          <w:rFonts w:ascii="Times New Roman" w:hAnsi="Times New Roman" w:cs="Times New Roman"/>
        </w:rPr>
        <w:t xml:space="preserve"> </w:t>
      </w:r>
      <w:proofErr w:type="spellStart"/>
      <w:r w:rsidR="00D065AB" w:rsidRPr="00705170">
        <w:rPr>
          <w:rFonts w:ascii="Times New Roman" w:hAnsi="Times New Roman" w:cs="Times New Roman"/>
        </w:rPr>
        <w:t>the</w:t>
      </w:r>
      <w:proofErr w:type="spellEnd"/>
      <w:r w:rsidR="00D065AB" w:rsidRPr="00705170">
        <w:rPr>
          <w:rFonts w:ascii="Times New Roman" w:hAnsi="Times New Roman" w:cs="Times New Roman"/>
        </w:rPr>
        <w:t xml:space="preserve"> </w:t>
      </w:r>
      <w:proofErr w:type="spellStart"/>
      <w:r w:rsidR="00D065AB" w:rsidRPr="00705170">
        <w:rPr>
          <w:rFonts w:ascii="Times New Roman" w:hAnsi="Times New Roman" w:cs="Times New Roman"/>
        </w:rPr>
        <w:t>explicit</w:t>
      </w:r>
      <w:proofErr w:type="spellEnd"/>
      <w:r w:rsidR="00D065AB" w:rsidRPr="00705170">
        <w:rPr>
          <w:rFonts w:ascii="Times New Roman" w:hAnsi="Times New Roman" w:cs="Times New Roman"/>
        </w:rPr>
        <w:t xml:space="preserve"> </w:t>
      </w:r>
      <w:proofErr w:type="spellStart"/>
      <w:r w:rsidR="00D065AB" w:rsidRPr="00705170">
        <w:rPr>
          <w:rFonts w:ascii="Times New Roman" w:hAnsi="Times New Roman" w:cs="Times New Roman"/>
        </w:rPr>
        <w:t>or</w:t>
      </w:r>
      <w:proofErr w:type="spellEnd"/>
      <w:r w:rsidR="00D065AB" w:rsidRPr="00705170">
        <w:rPr>
          <w:rFonts w:ascii="Times New Roman" w:hAnsi="Times New Roman" w:cs="Times New Roman"/>
        </w:rPr>
        <w:t xml:space="preserve"> </w:t>
      </w:r>
      <w:proofErr w:type="spellStart"/>
      <w:r w:rsidR="00D065AB" w:rsidRPr="00705170">
        <w:rPr>
          <w:rFonts w:ascii="Times New Roman" w:hAnsi="Times New Roman" w:cs="Times New Roman"/>
        </w:rPr>
        <w:t>implicit</w:t>
      </w:r>
      <w:proofErr w:type="spellEnd"/>
      <w:r w:rsidR="00D065AB" w:rsidRPr="00705170">
        <w:rPr>
          <w:rFonts w:ascii="Times New Roman" w:hAnsi="Times New Roman" w:cs="Times New Roman"/>
        </w:rPr>
        <w:t xml:space="preserve"> </w:t>
      </w:r>
      <w:proofErr w:type="spellStart"/>
      <w:r w:rsidR="00D065AB" w:rsidRPr="00705170">
        <w:rPr>
          <w:rFonts w:ascii="Times New Roman" w:hAnsi="Times New Roman" w:cs="Times New Roman"/>
        </w:rPr>
        <w:t>terms</w:t>
      </w:r>
      <w:proofErr w:type="spellEnd"/>
      <w:r w:rsidR="00D065AB" w:rsidRPr="00705170">
        <w:rPr>
          <w:rFonts w:ascii="Times New Roman" w:hAnsi="Times New Roman" w:cs="Times New Roman"/>
        </w:rPr>
        <w:t xml:space="preserve"> of </w:t>
      </w:r>
      <w:proofErr w:type="spellStart"/>
      <w:r w:rsidR="00D065AB" w:rsidRPr="00705170">
        <w:rPr>
          <w:rFonts w:ascii="Times New Roman" w:hAnsi="Times New Roman" w:cs="Times New Roman"/>
        </w:rPr>
        <w:t>the</w:t>
      </w:r>
      <w:proofErr w:type="spellEnd"/>
      <w:r w:rsidR="00D065AB" w:rsidRPr="00705170">
        <w:rPr>
          <w:rFonts w:ascii="Times New Roman" w:hAnsi="Times New Roman" w:cs="Times New Roman"/>
        </w:rPr>
        <w:t xml:space="preserve"> </w:t>
      </w:r>
      <w:proofErr w:type="spellStart"/>
      <w:r w:rsidR="00D065AB" w:rsidRPr="00705170">
        <w:rPr>
          <w:rFonts w:ascii="Times New Roman" w:hAnsi="Times New Roman" w:cs="Times New Roman"/>
        </w:rPr>
        <w:t>contract</w:t>
      </w:r>
      <w:proofErr w:type="spellEnd"/>
      <w:r w:rsidR="00D065AB" w:rsidRPr="00705170">
        <w:rPr>
          <w:rStyle w:val="DipnotBavurusu"/>
          <w:rFonts w:ascii="Times New Roman" w:hAnsi="Times New Roman" w:cs="Times New Roman"/>
        </w:rPr>
        <w:footnoteReference w:id="394"/>
      </w:r>
      <w:r w:rsidR="00D065AB" w:rsidRPr="00705170">
        <w:rPr>
          <w:rFonts w:ascii="Times New Roman" w:hAnsi="Times New Roman" w:cs="Times New Roman"/>
        </w:rPr>
        <w:t>.</w:t>
      </w:r>
      <w:r w:rsidR="00B8283E" w:rsidRPr="00705170">
        <w:rPr>
          <w:rFonts w:ascii="Times New Roman" w:hAnsi="Times New Roman" w:cs="Times New Roman"/>
        </w:rPr>
        <w:t xml:space="preserve"> </w:t>
      </w:r>
    </w:p>
    <w:p w14:paraId="32EA6FFA" w14:textId="7E8FB5DE" w:rsidR="00332826" w:rsidRDefault="00EB23AE" w:rsidP="002C5189">
      <w:pPr>
        <w:spacing w:after="240" w:line="480" w:lineRule="auto"/>
        <w:ind w:firstLine="720"/>
        <w:jc w:val="both"/>
        <w:rPr>
          <w:rFonts w:ascii="Times New Roman" w:hAnsi="Times New Roman" w:cs="Times New Roman"/>
        </w:rPr>
      </w:pPr>
      <w:r w:rsidRPr="00705170">
        <w:rPr>
          <w:rFonts w:ascii="Times New Roman" w:hAnsi="Times New Roman" w:cs="Times New Roman"/>
        </w:rPr>
        <w:t xml:space="preserve">As </w:t>
      </w:r>
      <w:proofErr w:type="spellStart"/>
      <w:r w:rsidRPr="00705170">
        <w:rPr>
          <w:rFonts w:ascii="Times New Roman" w:hAnsi="Times New Roman" w:cs="Times New Roman"/>
        </w:rPr>
        <w:t>understood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w:t>
      </w:r>
      <w:r w:rsidR="007C0F43" w:rsidRPr="00705170">
        <w:rPr>
          <w:rFonts w:ascii="Times New Roman" w:hAnsi="Times New Roman" w:cs="Times New Roman"/>
        </w:rPr>
        <w:t>hile</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the</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reasonable</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expectations</w:t>
      </w:r>
      <w:proofErr w:type="spellEnd"/>
      <w:r w:rsidR="007C0F43"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does</w:t>
      </w:r>
      <w:proofErr w:type="spellEnd"/>
      <w:r w:rsidR="007C0F43" w:rsidRPr="00705170">
        <w:rPr>
          <w:rFonts w:ascii="Times New Roman" w:hAnsi="Times New Roman" w:cs="Times New Roman"/>
        </w:rPr>
        <w:t xml:space="preserve"> not </w:t>
      </w:r>
      <w:proofErr w:type="spellStart"/>
      <w:r w:rsidR="007C0F43" w:rsidRPr="00705170">
        <w:rPr>
          <w:rFonts w:ascii="Times New Roman" w:hAnsi="Times New Roman" w:cs="Times New Roman"/>
        </w:rPr>
        <w:t>hand</w:t>
      </w:r>
      <w:proofErr w:type="spellEnd"/>
      <w:r w:rsidR="007C0F43" w:rsidRPr="00705170">
        <w:rPr>
          <w:rFonts w:ascii="Times New Roman" w:hAnsi="Times New Roman" w:cs="Times New Roman"/>
        </w:rPr>
        <w:t xml:space="preserve"> in an </w:t>
      </w:r>
      <w:proofErr w:type="spellStart"/>
      <w:r w:rsidR="007C0F43" w:rsidRPr="00705170">
        <w:rPr>
          <w:rFonts w:ascii="Times New Roman" w:hAnsi="Times New Roman" w:cs="Times New Roman"/>
        </w:rPr>
        <w:t>outright</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right</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to</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the</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shareholders</w:t>
      </w:r>
      <w:proofErr w:type="spellEnd"/>
      <w:r w:rsidR="007C0F43" w:rsidRPr="00705170">
        <w:rPr>
          <w:rFonts w:ascii="Times New Roman" w:hAnsi="Times New Roman" w:cs="Times New Roman"/>
        </w:rPr>
        <w:t>,</w:t>
      </w:r>
      <w:r w:rsidR="006463BD" w:rsidRPr="00705170">
        <w:rPr>
          <w:rFonts w:ascii="Times New Roman" w:hAnsi="Times New Roman" w:cs="Times New Roman"/>
        </w:rPr>
        <w:t xml:space="preserve"> it</w:t>
      </w:r>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may</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provide</w:t>
      </w:r>
      <w:proofErr w:type="spellEnd"/>
      <w:r w:rsidR="007C0F43" w:rsidRPr="00705170">
        <w:rPr>
          <w:rFonts w:ascii="Times New Roman" w:hAnsi="Times New Roman" w:cs="Times New Roman"/>
        </w:rPr>
        <w:t xml:space="preserve"> a </w:t>
      </w:r>
      <w:proofErr w:type="spellStart"/>
      <w:r w:rsidR="007C0F43" w:rsidRPr="00705170">
        <w:rPr>
          <w:rFonts w:ascii="Times New Roman" w:hAnsi="Times New Roman" w:cs="Times New Roman"/>
        </w:rPr>
        <w:t>protection</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pursuant</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to</w:t>
      </w:r>
      <w:proofErr w:type="spellEnd"/>
      <w:r w:rsidR="007C0F43" w:rsidRPr="00705170">
        <w:rPr>
          <w:rFonts w:ascii="Times New Roman" w:hAnsi="Times New Roman" w:cs="Times New Roman"/>
        </w:rPr>
        <w:t xml:space="preserve"> a </w:t>
      </w:r>
      <w:proofErr w:type="spellStart"/>
      <w:r w:rsidR="007C0F43" w:rsidRPr="00705170">
        <w:rPr>
          <w:rFonts w:ascii="Times New Roman" w:hAnsi="Times New Roman" w:cs="Times New Roman"/>
        </w:rPr>
        <w:t>statutory</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provision</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that</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permits</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its</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usage</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Although</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corporate</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law</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prohibits</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the</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usage</w:t>
      </w:r>
      <w:proofErr w:type="spellEnd"/>
      <w:r w:rsidR="004020BC" w:rsidRPr="00705170">
        <w:rPr>
          <w:rFonts w:ascii="Times New Roman" w:hAnsi="Times New Roman" w:cs="Times New Roman"/>
        </w:rPr>
        <w:t xml:space="preserve"> of </w:t>
      </w:r>
      <w:proofErr w:type="spellStart"/>
      <w:r w:rsidR="004020BC" w:rsidRPr="00705170">
        <w:rPr>
          <w:rFonts w:ascii="Times New Roman" w:hAnsi="Times New Roman" w:cs="Times New Roman"/>
        </w:rPr>
        <w:t>this</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conception</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for</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certain</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issues</w:t>
      </w:r>
      <w:proofErr w:type="spellEnd"/>
      <w:r w:rsidR="004020BC" w:rsidRPr="00705170">
        <w:rPr>
          <w:rFonts w:ascii="Times New Roman" w:hAnsi="Times New Roman" w:cs="Times New Roman"/>
        </w:rPr>
        <w:t xml:space="preserve">, </w:t>
      </w:r>
      <w:proofErr w:type="spellStart"/>
      <w:r w:rsidR="00EB7F0C" w:rsidRPr="00705170">
        <w:rPr>
          <w:rFonts w:ascii="Times New Roman" w:hAnsi="Times New Roman" w:cs="Times New Roman"/>
        </w:rPr>
        <w:t>such</w:t>
      </w:r>
      <w:proofErr w:type="spellEnd"/>
      <w:r w:rsidR="00EB7F0C" w:rsidRPr="00705170">
        <w:rPr>
          <w:rFonts w:ascii="Times New Roman" w:hAnsi="Times New Roman" w:cs="Times New Roman"/>
        </w:rPr>
        <w:t xml:space="preserve"> as </w:t>
      </w:r>
      <w:proofErr w:type="spellStart"/>
      <w:r w:rsidR="004020BC" w:rsidRPr="00705170">
        <w:rPr>
          <w:rFonts w:ascii="Times New Roman" w:hAnsi="Times New Roman" w:cs="Times New Roman"/>
        </w:rPr>
        <w:t>by</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requiring</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parties</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to</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arrange</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certain</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issues</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explicit</w:t>
      </w:r>
      <w:r w:rsidR="003E49BE">
        <w:rPr>
          <w:rFonts w:ascii="Times New Roman" w:hAnsi="Times New Roman" w:cs="Times New Roman"/>
        </w:rPr>
        <w:t>l</w:t>
      </w:r>
      <w:r w:rsidR="004020BC" w:rsidRPr="00705170">
        <w:rPr>
          <w:rFonts w:ascii="Times New Roman" w:hAnsi="Times New Roman" w:cs="Times New Roman"/>
        </w:rPr>
        <w:t>y</w:t>
      </w:r>
      <w:proofErr w:type="spellEnd"/>
      <w:r w:rsidR="004020BC" w:rsidRPr="00705170">
        <w:rPr>
          <w:rFonts w:ascii="Times New Roman" w:hAnsi="Times New Roman" w:cs="Times New Roman"/>
        </w:rPr>
        <w:t xml:space="preserve"> in </w:t>
      </w:r>
      <w:proofErr w:type="spellStart"/>
      <w:r w:rsidR="004020BC" w:rsidRPr="00705170">
        <w:rPr>
          <w:rFonts w:ascii="Times New Roman" w:hAnsi="Times New Roman" w:cs="Times New Roman"/>
        </w:rPr>
        <w:t>articles</w:t>
      </w:r>
      <w:proofErr w:type="spellEnd"/>
      <w:r w:rsidR="004020BC" w:rsidRPr="00705170">
        <w:rPr>
          <w:rFonts w:ascii="Times New Roman" w:hAnsi="Times New Roman" w:cs="Times New Roman"/>
        </w:rPr>
        <w:t xml:space="preserve"> of </w:t>
      </w:r>
      <w:proofErr w:type="spellStart"/>
      <w:r w:rsidR="004020BC" w:rsidRPr="00705170">
        <w:rPr>
          <w:rFonts w:ascii="Times New Roman" w:hAnsi="Times New Roman" w:cs="Times New Roman"/>
        </w:rPr>
        <w:t>incorporation</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for</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validity</w:t>
      </w:r>
      <w:proofErr w:type="spellEnd"/>
      <w:r w:rsidR="007C0F43" w:rsidRPr="00705170">
        <w:rPr>
          <w:rStyle w:val="DipnotBavurusu"/>
          <w:rFonts w:ascii="Times New Roman" w:hAnsi="Times New Roman" w:cs="Times New Roman"/>
        </w:rPr>
        <w:footnoteReference w:id="395"/>
      </w:r>
      <w:r w:rsidR="004020BC" w:rsidRPr="00705170">
        <w:rPr>
          <w:rFonts w:ascii="Times New Roman" w:hAnsi="Times New Roman" w:cs="Times New Roman"/>
        </w:rPr>
        <w:t xml:space="preserve">, it </w:t>
      </w:r>
      <w:proofErr w:type="spellStart"/>
      <w:r w:rsidR="003E49BE">
        <w:rPr>
          <w:rFonts w:ascii="Times New Roman" w:hAnsi="Times New Roman" w:cs="Times New Roman"/>
        </w:rPr>
        <w:t>may</w:t>
      </w:r>
      <w:proofErr w:type="spellEnd"/>
      <w:r w:rsidR="003E49BE">
        <w:rPr>
          <w:rFonts w:ascii="Times New Roman" w:hAnsi="Times New Roman" w:cs="Times New Roman"/>
        </w:rPr>
        <w:t xml:space="preserve"> </w:t>
      </w:r>
      <w:proofErr w:type="spellStart"/>
      <w:r w:rsidR="004020BC" w:rsidRPr="00705170">
        <w:rPr>
          <w:rFonts w:ascii="Times New Roman" w:hAnsi="Times New Roman" w:cs="Times New Roman"/>
        </w:rPr>
        <w:t>permit</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its</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usage</w:t>
      </w:r>
      <w:proofErr w:type="spellEnd"/>
      <w:r w:rsidR="004020BC" w:rsidRPr="00705170">
        <w:rPr>
          <w:rFonts w:ascii="Times New Roman" w:hAnsi="Times New Roman" w:cs="Times New Roman"/>
        </w:rPr>
        <w:t xml:space="preserve"> in </w:t>
      </w:r>
      <w:proofErr w:type="spellStart"/>
      <w:r w:rsidR="004020BC" w:rsidRPr="00705170">
        <w:rPr>
          <w:rFonts w:ascii="Times New Roman" w:hAnsi="Times New Roman" w:cs="Times New Roman"/>
        </w:rPr>
        <w:t>the</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context</w:t>
      </w:r>
      <w:proofErr w:type="spellEnd"/>
      <w:r w:rsidR="004020BC" w:rsidRPr="00705170">
        <w:rPr>
          <w:rFonts w:ascii="Times New Roman" w:hAnsi="Times New Roman" w:cs="Times New Roman"/>
        </w:rPr>
        <w:t xml:space="preserve"> of </w:t>
      </w:r>
      <w:proofErr w:type="spellStart"/>
      <w:r w:rsidR="004020BC" w:rsidRPr="00705170">
        <w:rPr>
          <w:rFonts w:ascii="Times New Roman" w:hAnsi="Times New Roman" w:cs="Times New Roman"/>
        </w:rPr>
        <w:t>judicial</w:t>
      </w:r>
      <w:proofErr w:type="spellEnd"/>
      <w:r w:rsidR="004020BC" w:rsidRPr="00705170">
        <w:rPr>
          <w:rFonts w:ascii="Times New Roman" w:hAnsi="Times New Roman" w:cs="Times New Roman"/>
        </w:rPr>
        <w:t xml:space="preserve"> </w:t>
      </w:r>
      <w:proofErr w:type="spellStart"/>
      <w:r w:rsidR="004020BC" w:rsidRPr="00705170">
        <w:rPr>
          <w:rFonts w:ascii="Times New Roman" w:hAnsi="Times New Roman" w:cs="Times New Roman"/>
        </w:rPr>
        <w:t>dissolution</w:t>
      </w:r>
      <w:proofErr w:type="spellEnd"/>
      <w:r w:rsidR="003E49BE">
        <w:rPr>
          <w:rFonts w:ascii="Times New Roman" w:hAnsi="Times New Roman" w:cs="Times New Roman"/>
        </w:rPr>
        <w:t xml:space="preserve"> </w:t>
      </w:r>
      <w:proofErr w:type="spellStart"/>
      <w:r w:rsidR="003E49BE">
        <w:rPr>
          <w:rFonts w:ascii="Times New Roman" w:hAnsi="Times New Roman" w:cs="Times New Roman"/>
        </w:rPr>
        <w:t>based</w:t>
      </w:r>
      <w:proofErr w:type="spellEnd"/>
      <w:r w:rsidR="003E49BE">
        <w:rPr>
          <w:rFonts w:ascii="Times New Roman" w:hAnsi="Times New Roman" w:cs="Times New Roman"/>
        </w:rPr>
        <w:t xml:space="preserve"> on </w:t>
      </w:r>
      <w:proofErr w:type="spellStart"/>
      <w:r w:rsidR="003E49BE">
        <w:rPr>
          <w:rFonts w:ascii="Times New Roman" w:hAnsi="Times New Roman" w:cs="Times New Roman"/>
        </w:rPr>
        <w:t>the</w:t>
      </w:r>
      <w:proofErr w:type="spellEnd"/>
      <w:r w:rsidR="003E49BE">
        <w:rPr>
          <w:rFonts w:ascii="Times New Roman" w:hAnsi="Times New Roman" w:cs="Times New Roman"/>
        </w:rPr>
        <w:t xml:space="preserve"> </w:t>
      </w:r>
      <w:proofErr w:type="spellStart"/>
      <w:r w:rsidR="003E49BE">
        <w:rPr>
          <w:rFonts w:ascii="Times New Roman" w:hAnsi="Times New Roman" w:cs="Times New Roman"/>
        </w:rPr>
        <w:t>abovementioned</w:t>
      </w:r>
      <w:proofErr w:type="spellEnd"/>
      <w:r w:rsidR="003E49BE">
        <w:rPr>
          <w:rFonts w:ascii="Times New Roman" w:hAnsi="Times New Roman" w:cs="Times New Roman"/>
        </w:rPr>
        <w:t xml:space="preserve"> </w:t>
      </w:r>
      <w:proofErr w:type="spellStart"/>
      <w:r w:rsidR="003E49BE">
        <w:rPr>
          <w:rFonts w:ascii="Times New Roman" w:hAnsi="Times New Roman" w:cs="Times New Roman"/>
        </w:rPr>
        <w:t>economic</w:t>
      </w:r>
      <w:proofErr w:type="spellEnd"/>
      <w:r w:rsidR="003E49BE">
        <w:rPr>
          <w:rFonts w:ascii="Times New Roman" w:hAnsi="Times New Roman" w:cs="Times New Roman"/>
        </w:rPr>
        <w:t xml:space="preserve"> </w:t>
      </w:r>
      <w:proofErr w:type="spellStart"/>
      <w:r w:rsidR="003E49BE">
        <w:rPr>
          <w:rFonts w:ascii="Times New Roman" w:hAnsi="Times New Roman" w:cs="Times New Roman"/>
        </w:rPr>
        <w:t>theory</w:t>
      </w:r>
      <w:proofErr w:type="spellEnd"/>
      <w:r w:rsidR="004020BC" w:rsidRPr="00705170">
        <w:rPr>
          <w:rFonts w:ascii="Times New Roman" w:hAnsi="Times New Roman" w:cs="Times New Roman"/>
        </w:rPr>
        <w:t xml:space="preserve">. </w:t>
      </w:r>
      <w:proofErr w:type="spellStart"/>
      <w:r w:rsidR="007C0F43" w:rsidRPr="00705170">
        <w:rPr>
          <w:rFonts w:ascii="Times New Roman" w:hAnsi="Times New Roman" w:cs="Times New Roman"/>
        </w:rPr>
        <w:t>After</w:t>
      </w:r>
      <w:proofErr w:type="spellEnd"/>
      <w:r w:rsidR="007C0F43" w:rsidRPr="00705170">
        <w:rPr>
          <w:rFonts w:ascii="Times New Roman" w:hAnsi="Times New Roman" w:cs="Times New Roman"/>
        </w:rPr>
        <w:t xml:space="preserve"> </w:t>
      </w:r>
      <w:proofErr w:type="spellStart"/>
      <w:r w:rsidR="007C0F43" w:rsidRPr="00705170">
        <w:rPr>
          <w:rFonts w:ascii="Times New Roman" w:hAnsi="Times New Roman" w:cs="Times New Roman"/>
        </w:rPr>
        <w:t>all</w:t>
      </w:r>
      <w:proofErr w:type="spellEnd"/>
      <w:r w:rsidR="007C0F43" w:rsidRPr="00705170">
        <w:rPr>
          <w:rFonts w:ascii="Times New Roman" w:hAnsi="Times New Roman" w:cs="Times New Roman"/>
        </w:rPr>
        <w:t>, i</w:t>
      </w:r>
      <w:r w:rsidR="005948F0" w:rsidRPr="00705170">
        <w:rPr>
          <w:rFonts w:ascii="Times New Roman" w:hAnsi="Times New Roman" w:cs="Times New Roman"/>
        </w:rPr>
        <w:t xml:space="preserve">n </w:t>
      </w:r>
      <w:proofErr w:type="spellStart"/>
      <w:r w:rsidR="005948F0" w:rsidRPr="00705170">
        <w:rPr>
          <w:rFonts w:ascii="Times New Roman" w:hAnsi="Times New Roman" w:cs="Times New Roman"/>
        </w:rPr>
        <w:t>the</w:t>
      </w:r>
      <w:proofErr w:type="spellEnd"/>
      <w:r w:rsidR="005948F0" w:rsidRPr="00705170">
        <w:rPr>
          <w:rFonts w:ascii="Times New Roman" w:hAnsi="Times New Roman" w:cs="Times New Roman"/>
        </w:rPr>
        <w:t xml:space="preserve"> </w:t>
      </w:r>
      <w:proofErr w:type="spellStart"/>
      <w:r w:rsidR="005948F0" w:rsidRPr="00705170">
        <w:rPr>
          <w:rFonts w:ascii="Times New Roman" w:hAnsi="Times New Roman" w:cs="Times New Roman"/>
        </w:rPr>
        <w:t>context</w:t>
      </w:r>
      <w:proofErr w:type="spellEnd"/>
      <w:r w:rsidR="005948F0" w:rsidRPr="00705170">
        <w:rPr>
          <w:rFonts w:ascii="Times New Roman" w:hAnsi="Times New Roman" w:cs="Times New Roman"/>
        </w:rPr>
        <w:t xml:space="preserve"> of </w:t>
      </w:r>
      <w:proofErr w:type="spellStart"/>
      <w:r w:rsidR="005948F0" w:rsidRPr="00705170">
        <w:rPr>
          <w:rFonts w:ascii="Times New Roman" w:hAnsi="Times New Roman" w:cs="Times New Roman"/>
        </w:rPr>
        <w:t>shareholder</w:t>
      </w:r>
      <w:proofErr w:type="spellEnd"/>
      <w:r w:rsidR="005948F0" w:rsidRPr="00705170">
        <w:rPr>
          <w:rFonts w:ascii="Times New Roman" w:hAnsi="Times New Roman" w:cs="Times New Roman"/>
        </w:rPr>
        <w:t xml:space="preserve"> </w:t>
      </w:r>
      <w:proofErr w:type="spellStart"/>
      <w:r w:rsidR="005948F0" w:rsidRPr="00705170">
        <w:rPr>
          <w:rFonts w:ascii="Times New Roman" w:hAnsi="Times New Roman" w:cs="Times New Roman"/>
        </w:rPr>
        <w:t>oppression</w:t>
      </w:r>
      <w:proofErr w:type="spellEnd"/>
      <w:r w:rsidR="005948F0" w:rsidRPr="00705170">
        <w:rPr>
          <w:rFonts w:ascii="Times New Roman" w:hAnsi="Times New Roman" w:cs="Times New Roman"/>
        </w:rPr>
        <w:t xml:space="preserve">, </w:t>
      </w:r>
      <w:proofErr w:type="spellStart"/>
      <w:r w:rsidR="005948F0" w:rsidRPr="00705170">
        <w:rPr>
          <w:rFonts w:ascii="Times New Roman" w:hAnsi="Times New Roman" w:cs="Times New Roman"/>
        </w:rPr>
        <w:t>the</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parties</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failure</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to</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build</w:t>
      </w:r>
      <w:proofErr w:type="spellEnd"/>
      <w:r w:rsidR="004F2BB7" w:rsidRPr="00705170">
        <w:rPr>
          <w:rFonts w:ascii="Times New Roman" w:hAnsi="Times New Roman" w:cs="Times New Roman"/>
        </w:rPr>
        <w:t xml:space="preserve"> in </w:t>
      </w:r>
      <w:proofErr w:type="spellStart"/>
      <w:r w:rsidR="004F2BB7" w:rsidRPr="00705170">
        <w:rPr>
          <w:rFonts w:ascii="Times New Roman" w:hAnsi="Times New Roman" w:cs="Times New Roman"/>
        </w:rPr>
        <w:t>specific</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protections</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agains</w:t>
      </w:r>
      <w:r w:rsidR="005948F0" w:rsidRPr="00705170">
        <w:rPr>
          <w:rFonts w:ascii="Times New Roman" w:hAnsi="Times New Roman" w:cs="Times New Roman"/>
        </w:rPr>
        <w:t>t</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the</w:t>
      </w:r>
      <w:proofErr w:type="spellEnd"/>
      <w:r w:rsidR="005948F0" w:rsidRPr="00705170">
        <w:rPr>
          <w:rFonts w:ascii="Times New Roman" w:hAnsi="Times New Roman" w:cs="Times New Roman"/>
        </w:rPr>
        <w:t xml:space="preserve"> </w:t>
      </w:r>
      <w:proofErr w:type="spellStart"/>
      <w:r w:rsidR="005948F0" w:rsidRPr="00705170">
        <w:rPr>
          <w:rFonts w:ascii="Times New Roman" w:hAnsi="Times New Roman" w:cs="Times New Roman"/>
        </w:rPr>
        <w:t>majority</w:t>
      </w:r>
      <w:proofErr w:type="spellEnd"/>
      <w:r w:rsidR="005948F0" w:rsidRPr="00705170">
        <w:rPr>
          <w:rFonts w:ascii="Times New Roman" w:hAnsi="Times New Roman" w:cs="Times New Roman"/>
        </w:rPr>
        <w:t xml:space="preserve"> </w:t>
      </w:r>
      <w:proofErr w:type="spellStart"/>
      <w:r w:rsidR="005948F0" w:rsidRPr="00705170">
        <w:rPr>
          <w:rFonts w:ascii="Times New Roman" w:hAnsi="Times New Roman" w:cs="Times New Roman"/>
        </w:rPr>
        <w:t>appro</w:t>
      </w:r>
      <w:r w:rsidR="004F2BB7" w:rsidRPr="00705170">
        <w:rPr>
          <w:rFonts w:ascii="Times New Roman" w:hAnsi="Times New Roman" w:cs="Times New Roman"/>
        </w:rPr>
        <w:t>priating</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wealth</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from</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the</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minority</w:t>
      </w:r>
      <w:proofErr w:type="spellEnd"/>
      <w:r w:rsidR="004F2BB7" w:rsidRPr="00705170">
        <w:rPr>
          <w:rFonts w:ascii="Times New Roman" w:hAnsi="Times New Roman" w:cs="Times New Roman"/>
        </w:rPr>
        <w:t xml:space="preserve"> is </w:t>
      </w:r>
      <w:proofErr w:type="spellStart"/>
      <w:r w:rsidR="004F2BB7" w:rsidRPr="00705170">
        <w:rPr>
          <w:rFonts w:ascii="Times New Roman" w:hAnsi="Times New Roman" w:cs="Times New Roman"/>
        </w:rPr>
        <w:t>plausibly</w:t>
      </w:r>
      <w:proofErr w:type="spellEnd"/>
      <w:r w:rsidR="004F2BB7" w:rsidRPr="00705170">
        <w:rPr>
          <w:rFonts w:ascii="Times New Roman" w:hAnsi="Times New Roman" w:cs="Times New Roman"/>
        </w:rPr>
        <w:t xml:space="preserve"> a </w:t>
      </w:r>
      <w:proofErr w:type="spellStart"/>
      <w:r w:rsidR="004F2BB7" w:rsidRPr="00705170">
        <w:rPr>
          <w:rFonts w:ascii="Times New Roman" w:hAnsi="Times New Roman" w:cs="Times New Roman"/>
        </w:rPr>
        <w:t>result</w:t>
      </w:r>
      <w:proofErr w:type="spellEnd"/>
      <w:r w:rsidR="004F2BB7" w:rsidRPr="00705170">
        <w:rPr>
          <w:rFonts w:ascii="Times New Roman" w:hAnsi="Times New Roman" w:cs="Times New Roman"/>
        </w:rPr>
        <w:t xml:space="preserve">, not of </w:t>
      </w:r>
      <w:proofErr w:type="spellStart"/>
      <w:r w:rsidR="004F2BB7" w:rsidRPr="00705170">
        <w:rPr>
          <w:rFonts w:ascii="Times New Roman" w:hAnsi="Times New Roman" w:cs="Times New Roman"/>
        </w:rPr>
        <w:t>their</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desire</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to</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permit</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such</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appropriation</w:t>
      </w:r>
      <w:proofErr w:type="spellEnd"/>
      <w:r w:rsidR="004F2BB7" w:rsidRPr="00705170">
        <w:rPr>
          <w:rFonts w:ascii="Times New Roman" w:hAnsi="Times New Roman" w:cs="Times New Roman"/>
        </w:rPr>
        <w:t xml:space="preserve">, but </w:t>
      </w:r>
      <w:proofErr w:type="spellStart"/>
      <w:r w:rsidR="004F2BB7" w:rsidRPr="00705170">
        <w:rPr>
          <w:rFonts w:ascii="Times New Roman" w:hAnsi="Times New Roman" w:cs="Times New Roman"/>
        </w:rPr>
        <w:t>rather</w:t>
      </w:r>
      <w:proofErr w:type="spellEnd"/>
      <w:r w:rsidR="004F2BB7" w:rsidRPr="00705170">
        <w:rPr>
          <w:rFonts w:ascii="Times New Roman" w:hAnsi="Times New Roman" w:cs="Times New Roman"/>
        </w:rPr>
        <w:t xml:space="preserve"> of </w:t>
      </w:r>
      <w:proofErr w:type="spellStart"/>
      <w:r w:rsidR="004F2BB7" w:rsidRPr="00705170">
        <w:rPr>
          <w:rFonts w:ascii="Times New Roman" w:hAnsi="Times New Roman" w:cs="Times New Roman"/>
        </w:rPr>
        <w:t>the</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prohibitive</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cost</w:t>
      </w:r>
      <w:proofErr w:type="spellEnd"/>
      <w:r w:rsidR="004F2BB7" w:rsidRPr="00705170">
        <w:rPr>
          <w:rFonts w:ascii="Times New Roman" w:hAnsi="Times New Roman" w:cs="Times New Roman"/>
        </w:rPr>
        <w:t xml:space="preserve"> of </w:t>
      </w:r>
      <w:proofErr w:type="spellStart"/>
      <w:r w:rsidR="004F2BB7" w:rsidRPr="00705170">
        <w:rPr>
          <w:rFonts w:ascii="Times New Roman" w:hAnsi="Times New Roman" w:cs="Times New Roman"/>
        </w:rPr>
        <w:t>writing</w:t>
      </w:r>
      <w:proofErr w:type="spellEnd"/>
      <w:r w:rsidR="004F2BB7" w:rsidRPr="00705170">
        <w:rPr>
          <w:rFonts w:ascii="Times New Roman" w:hAnsi="Times New Roman" w:cs="Times New Roman"/>
        </w:rPr>
        <w:t xml:space="preserve"> a </w:t>
      </w:r>
      <w:proofErr w:type="spellStart"/>
      <w:r w:rsidR="004F2BB7" w:rsidRPr="00705170">
        <w:rPr>
          <w:rFonts w:ascii="Times New Roman" w:hAnsi="Times New Roman" w:cs="Times New Roman"/>
        </w:rPr>
        <w:t>contract</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to</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lastRenderedPageBreak/>
        <w:t>achieve</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that</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result</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To</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the</w:t>
      </w:r>
      <w:proofErr w:type="spellEnd"/>
      <w:r w:rsidR="004F2BB7" w:rsidRPr="00705170">
        <w:rPr>
          <w:rFonts w:ascii="Times New Roman" w:hAnsi="Times New Roman" w:cs="Times New Roman"/>
        </w:rPr>
        <w:t xml:space="preserve"> </w:t>
      </w:r>
      <w:proofErr w:type="spellStart"/>
      <w:r w:rsidR="004F2BB7" w:rsidRPr="00705170">
        <w:rPr>
          <w:rFonts w:ascii="Times New Roman" w:hAnsi="Times New Roman" w:cs="Times New Roman"/>
        </w:rPr>
        <w:t>extent</w:t>
      </w:r>
      <w:proofErr w:type="spellEnd"/>
      <w:r w:rsidR="004F2BB7" w:rsidRPr="00705170">
        <w:rPr>
          <w:rFonts w:ascii="Times New Roman" w:hAnsi="Times New Roman" w:cs="Times New Roman"/>
        </w:rPr>
        <w:t xml:space="preserve"> </w:t>
      </w:r>
      <w:proofErr w:type="spellStart"/>
      <w:r w:rsidR="002C5189" w:rsidRPr="00705170">
        <w:rPr>
          <w:rFonts w:ascii="Times New Roman" w:hAnsi="Times New Roman" w:cs="Times New Roman"/>
        </w:rPr>
        <w:t>that</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courts</w:t>
      </w:r>
      <w:proofErr w:type="spellEnd"/>
      <w:r w:rsidR="002C5189" w:rsidRPr="00705170">
        <w:rPr>
          <w:rFonts w:ascii="Times New Roman" w:hAnsi="Times New Roman" w:cs="Times New Roman"/>
        </w:rPr>
        <w:t xml:space="preserve"> can </w:t>
      </w:r>
      <w:proofErr w:type="spellStart"/>
      <w:r w:rsidR="002C5189" w:rsidRPr="00705170">
        <w:rPr>
          <w:rFonts w:ascii="Times New Roman" w:hAnsi="Times New Roman" w:cs="Times New Roman"/>
        </w:rPr>
        <w:t>supply</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implicit</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contract</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terms</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that</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are</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consistent</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with</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the</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parties</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preferences</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they</w:t>
      </w:r>
      <w:proofErr w:type="spellEnd"/>
      <w:r w:rsidR="002C5189" w:rsidRPr="00705170">
        <w:rPr>
          <w:rFonts w:ascii="Times New Roman" w:hAnsi="Times New Roman" w:cs="Times New Roman"/>
        </w:rPr>
        <w:t xml:space="preserve"> can </w:t>
      </w:r>
      <w:proofErr w:type="spellStart"/>
      <w:r w:rsidR="002C5189" w:rsidRPr="00705170">
        <w:rPr>
          <w:rFonts w:ascii="Times New Roman" w:hAnsi="Times New Roman" w:cs="Times New Roman"/>
        </w:rPr>
        <w:t>reduce</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the</w:t>
      </w:r>
      <w:proofErr w:type="spellEnd"/>
      <w:r w:rsidR="002C5189" w:rsidRPr="00705170">
        <w:rPr>
          <w:rFonts w:ascii="Times New Roman" w:hAnsi="Times New Roman" w:cs="Times New Roman"/>
        </w:rPr>
        <w:t xml:space="preserve"> </w:t>
      </w:r>
      <w:proofErr w:type="spellStart"/>
      <w:r w:rsidR="002C5189" w:rsidRPr="00705170">
        <w:rPr>
          <w:rFonts w:ascii="Times New Roman" w:hAnsi="Times New Roman" w:cs="Times New Roman"/>
        </w:rPr>
        <w:t>cost</w:t>
      </w:r>
      <w:proofErr w:type="spellEnd"/>
      <w:r w:rsidR="002C5189" w:rsidRPr="00705170">
        <w:rPr>
          <w:rFonts w:ascii="Times New Roman" w:hAnsi="Times New Roman" w:cs="Times New Roman"/>
        </w:rPr>
        <w:t xml:space="preserve"> of </w:t>
      </w:r>
      <w:proofErr w:type="spellStart"/>
      <w:r w:rsidR="002C5189" w:rsidRPr="00705170">
        <w:rPr>
          <w:rFonts w:ascii="Times New Roman" w:hAnsi="Times New Roman" w:cs="Times New Roman"/>
        </w:rPr>
        <w:t>forming</w:t>
      </w:r>
      <w:proofErr w:type="spellEnd"/>
      <w:r w:rsidR="002C5189" w:rsidRPr="00705170">
        <w:rPr>
          <w:rFonts w:ascii="Times New Roman" w:hAnsi="Times New Roman" w:cs="Times New Roman"/>
        </w:rPr>
        <w:t>”</w:t>
      </w:r>
      <w:r w:rsidR="005948F0" w:rsidRPr="00705170">
        <w:rPr>
          <w:rStyle w:val="DipnotBavurusu"/>
          <w:rFonts w:ascii="Times New Roman" w:hAnsi="Times New Roman" w:cs="Times New Roman"/>
        </w:rPr>
        <w:footnoteReference w:id="396"/>
      </w:r>
      <w:r w:rsidR="002C5189" w:rsidRPr="00705170">
        <w:rPr>
          <w:rFonts w:ascii="Times New Roman" w:hAnsi="Times New Roman" w:cs="Times New Roman"/>
        </w:rPr>
        <w:t xml:space="preserve"> a </w:t>
      </w:r>
      <w:proofErr w:type="spellStart"/>
      <w:r w:rsidR="002C5189" w:rsidRPr="00705170">
        <w:rPr>
          <w:rFonts w:ascii="Times New Roman" w:hAnsi="Times New Roman" w:cs="Times New Roman"/>
        </w:rPr>
        <w:t>business</w:t>
      </w:r>
      <w:proofErr w:type="spellEnd"/>
      <w:r w:rsidR="004F2BB7" w:rsidRPr="00705170">
        <w:rPr>
          <w:rFonts w:ascii="Times New Roman" w:hAnsi="Times New Roman" w:cs="Times New Roman"/>
        </w:rPr>
        <w:t xml:space="preserve">. </w:t>
      </w:r>
      <w:proofErr w:type="spellStart"/>
      <w:r w:rsidR="0099225C" w:rsidRPr="00705170">
        <w:rPr>
          <w:rFonts w:ascii="Times New Roman" w:hAnsi="Times New Roman" w:cs="Times New Roman"/>
        </w:rPr>
        <w:t>From</w:t>
      </w:r>
      <w:proofErr w:type="spellEnd"/>
      <w:r w:rsidR="0099225C" w:rsidRPr="00705170">
        <w:rPr>
          <w:rFonts w:ascii="Times New Roman" w:hAnsi="Times New Roman" w:cs="Times New Roman"/>
        </w:rPr>
        <w:t xml:space="preserve"> </w:t>
      </w:r>
      <w:proofErr w:type="spellStart"/>
      <w:r w:rsidR="0099225C" w:rsidRPr="00705170">
        <w:rPr>
          <w:rFonts w:ascii="Times New Roman" w:hAnsi="Times New Roman" w:cs="Times New Roman"/>
        </w:rPr>
        <w:t>another</w:t>
      </w:r>
      <w:proofErr w:type="spellEnd"/>
      <w:r w:rsidR="0099225C" w:rsidRPr="00705170">
        <w:rPr>
          <w:rFonts w:ascii="Times New Roman" w:hAnsi="Times New Roman" w:cs="Times New Roman"/>
        </w:rPr>
        <w:t xml:space="preserve"> </w:t>
      </w:r>
      <w:proofErr w:type="spellStart"/>
      <w:r w:rsidR="0099225C" w:rsidRPr="00705170">
        <w:rPr>
          <w:rFonts w:ascii="Times New Roman" w:hAnsi="Times New Roman" w:cs="Times New Roman"/>
        </w:rPr>
        <w:t>perspective</w:t>
      </w:r>
      <w:proofErr w:type="spellEnd"/>
      <w:r w:rsidR="0099225C" w:rsidRPr="00705170">
        <w:rPr>
          <w:rFonts w:ascii="Times New Roman" w:hAnsi="Times New Roman" w:cs="Times New Roman"/>
        </w:rPr>
        <w:t xml:space="preserve">, </w:t>
      </w:r>
      <w:proofErr w:type="spellStart"/>
      <w:r w:rsidR="0099225C" w:rsidRPr="00705170">
        <w:rPr>
          <w:rFonts w:ascii="Times New Roman" w:hAnsi="Times New Roman" w:cs="Times New Roman"/>
        </w:rPr>
        <w:t>o</w:t>
      </w:r>
      <w:r w:rsidRPr="00705170">
        <w:rPr>
          <w:rFonts w:ascii="Times New Roman" w:hAnsi="Times New Roman" w:cs="Times New Roman"/>
        </w:rPr>
        <w:t>ne</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claim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suggests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activation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proceeding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based</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allegation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evidences</w:t>
      </w:r>
      <w:proofErr w:type="spellEnd"/>
      <w:r w:rsidRPr="00705170">
        <w:rPr>
          <w:rFonts w:ascii="Times New Roman" w:hAnsi="Times New Roman" w:cs="Times New Roman"/>
        </w:rPr>
        <w:t xml:space="preserve"> </w:t>
      </w:r>
      <w:r w:rsidR="00D81C91" w:rsidRPr="00705170">
        <w:rPr>
          <w:rFonts w:ascii="Times New Roman" w:hAnsi="Times New Roman" w:cs="Times New Roman"/>
        </w:rPr>
        <w:t>a</w:t>
      </w:r>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dissension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dissension</w:t>
      </w:r>
      <w:proofErr w:type="spellEnd"/>
      <w:r w:rsidRPr="00705170">
        <w:rPr>
          <w:rFonts w:ascii="Times New Roman" w:hAnsi="Times New Roman" w:cs="Times New Roman"/>
        </w:rPr>
        <w:t xml:space="preserve"> is not </w:t>
      </w:r>
      <w:proofErr w:type="spellStart"/>
      <w:r w:rsidRPr="00705170">
        <w:rPr>
          <w:rFonts w:ascii="Times New Roman" w:hAnsi="Times New Roman" w:cs="Times New Roman"/>
        </w:rPr>
        <w:t>solved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procedures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signals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might</w:t>
      </w:r>
      <w:proofErr w:type="spellEnd"/>
      <w:r w:rsidRPr="00705170">
        <w:rPr>
          <w:rFonts w:ascii="Times New Roman" w:hAnsi="Times New Roman" w:cs="Times New Roman"/>
        </w:rPr>
        <w:t xml:space="preserve"> be an </w:t>
      </w:r>
      <w:proofErr w:type="spellStart"/>
      <w:r w:rsidRPr="00705170">
        <w:rPr>
          <w:rFonts w:ascii="Times New Roman" w:hAnsi="Times New Roman" w:cs="Times New Roman"/>
        </w:rPr>
        <w:t>ambiguity</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w:t>
      </w:r>
      <w:proofErr w:type="spellEnd"/>
      <w:r w:rsidR="00D24B72" w:rsidRPr="00705170">
        <w:rPr>
          <w:rStyle w:val="DipnotBavurusu"/>
          <w:rFonts w:ascii="Times New Roman" w:hAnsi="Times New Roman" w:cs="Times New Roman"/>
        </w:rPr>
        <w:footnoteReference w:id="397"/>
      </w:r>
      <w:r w:rsidR="00D81C91" w:rsidRPr="00705170">
        <w:rPr>
          <w:rFonts w:ascii="Times New Roman" w:hAnsi="Times New Roman" w:cs="Times New Roman"/>
        </w:rPr>
        <w:t xml:space="preserve">, </w:t>
      </w:r>
      <w:proofErr w:type="spellStart"/>
      <w:r w:rsidR="00D81C91" w:rsidRPr="00705170">
        <w:rPr>
          <w:rFonts w:ascii="Times New Roman" w:hAnsi="Times New Roman" w:cs="Times New Roman"/>
        </w:rPr>
        <w:t>and</w:t>
      </w:r>
      <w:proofErr w:type="spellEnd"/>
      <w:r w:rsidR="00D81C91" w:rsidRPr="00705170">
        <w:rPr>
          <w:rFonts w:ascii="Times New Roman" w:hAnsi="Times New Roman" w:cs="Times New Roman"/>
        </w:rPr>
        <w:t xml:space="preserve"> </w:t>
      </w:r>
      <w:proofErr w:type="spellStart"/>
      <w:r w:rsidR="00D81C91" w:rsidRPr="00705170">
        <w:rPr>
          <w:rFonts w:ascii="Times New Roman" w:hAnsi="Times New Roman" w:cs="Times New Roman"/>
        </w:rPr>
        <w:t>this</w:t>
      </w:r>
      <w:proofErr w:type="spellEnd"/>
      <w:r w:rsidR="00D81C91" w:rsidRPr="00705170">
        <w:rPr>
          <w:rFonts w:ascii="Times New Roman" w:hAnsi="Times New Roman" w:cs="Times New Roman"/>
        </w:rPr>
        <w:t xml:space="preserve"> </w:t>
      </w:r>
      <w:proofErr w:type="spellStart"/>
      <w:r w:rsidR="00D81C91" w:rsidRPr="00705170">
        <w:rPr>
          <w:rFonts w:ascii="Times New Roman" w:hAnsi="Times New Roman" w:cs="Times New Roman"/>
        </w:rPr>
        <w:t>requires</w:t>
      </w:r>
      <w:proofErr w:type="spellEnd"/>
      <w:r w:rsidR="00D81C91" w:rsidRPr="00705170">
        <w:rPr>
          <w:rFonts w:ascii="Times New Roman" w:hAnsi="Times New Roman" w:cs="Times New Roman"/>
        </w:rPr>
        <w:t xml:space="preserve"> a</w:t>
      </w:r>
      <w:r w:rsidRPr="00705170">
        <w:rPr>
          <w:rFonts w:ascii="Times New Roman" w:hAnsi="Times New Roman" w:cs="Times New Roman"/>
        </w:rPr>
        <w:t xml:space="preserve"> </w:t>
      </w:r>
      <w:proofErr w:type="spellStart"/>
      <w:r w:rsidRPr="00705170">
        <w:rPr>
          <w:rFonts w:ascii="Times New Roman" w:hAnsi="Times New Roman" w:cs="Times New Roman"/>
        </w:rPr>
        <w:t>further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evaluation</w:t>
      </w:r>
      <w:proofErr w:type="spellEnd"/>
      <w:r w:rsidRPr="00705170">
        <w:rPr>
          <w:rFonts w:ascii="Times New Roman" w:hAnsi="Times New Roman" w:cs="Times New Roman"/>
        </w:rPr>
        <w:t xml:space="preserve"> </w:t>
      </w:r>
      <w:proofErr w:type="spellStart"/>
      <w:r w:rsidR="00D81C91" w:rsidRPr="00705170">
        <w:rPr>
          <w:rFonts w:ascii="Times New Roman" w:hAnsi="Times New Roman" w:cs="Times New Roman"/>
        </w:rPr>
        <w:t>by</w:t>
      </w:r>
      <w:proofErr w:type="spellEnd"/>
      <w:r w:rsidR="00D81C91" w:rsidRPr="00705170">
        <w:rPr>
          <w:rFonts w:ascii="Times New Roman" w:hAnsi="Times New Roman" w:cs="Times New Roman"/>
        </w:rPr>
        <w:t xml:space="preserve"> </w:t>
      </w:r>
      <w:proofErr w:type="spellStart"/>
      <w:r w:rsidR="00D81C91" w:rsidRPr="00705170">
        <w:rPr>
          <w:rFonts w:ascii="Times New Roman" w:hAnsi="Times New Roman" w:cs="Times New Roman"/>
        </w:rPr>
        <w:t>the</w:t>
      </w:r>
      <w:proofErr w:type="spellEnd"/>
      <w:r w:rsidR="00D81C91" w:rsidRPr="00705170">
        <w:rPr>
          <w:rFonts w:ascii="Times New Roman" w:hAnsi="Times New Roman" w:cs="Times New Roman"/>
        </w:rPr>
        <w:t xml:space="preserve"> </w:t>
      </w:r>
      <w:proofErr w:type="spellStart"/>
      <w:r w:rsidR="00D81C91" w:rsidRPr="00705170">
        <w:rPr>
          <w:rFonts w:ascii="Times New Roman" w:hAnsi="Times New Roman" w:cs="Times New Roman"/>
        </w:rPr>
        <w:t>court</w:t>
      </w:r>
      <w:proofErr w:type="spellEnd"/>
      <w:r w:rsidR="00D81C91"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Pr="00705170">
        <w:rPr>
          <w:rStyle w:val="DipnotBavurusu"/>
          <w:rFonts w:ascii="Times New Roman" w:hAnsi="Times New Roman" w:cs="Times New Roman"/>
        </w:rPr>
        <w:footnoteReference w:id="398"/>
      </w:r>
      <w:r w:rsidRPr="00705170">
        <w:rPr>
          <w:rFonts w:ascii="Times New Roman" w:hAnsi="Times New Roman" w:cs="Times New Roman"/>
        </w:rPr>
        <w:t>.</w:t>
      </w:r>
    </w:p>
    <w:p w14:paraId="23305518" w14:textId="08C1B8C3" w:rsidR="00732873" w:rsidRPr="00705170" w:rsidRDefault="00732873" w:rsidP="00732873">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must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noted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frameworked</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view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above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get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defeated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petitioner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investment’s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value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undiminished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increased</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claim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his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frustrated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understanding</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example</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role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expected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play</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defeated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influencing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action</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399"/>
      </w:r>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preclude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reality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frustrated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not be </w:t>
      </w:r>
      <w:proofErr w:type="spellStart"/>
      <w:r w:rsidRPr="00705170">
        <w:rPr>
          <w:rFonts w:ascii="Times New Roman" w:hAnsi="Times New Roman" w:cs="Times New Roman"/>
        </w:rPr>
        <w:t>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recover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anything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frustration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damage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arises</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r w:rsidRPr="00705170">
        <w:rPr>
          <w:rFonts w:ascii="Times New Roman" w:hAnsi="Times New Roman" w:cs="Times New Roman"/>
        </w:rPr>
        <w:lastRenderedPageBreak/>
        <w:t xml:space="preserve">a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logically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depend</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harm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her </w:t>
      </w:r>
      <w:proofErr w:type="spellStart"/>
      <w:r w:rsidRPr="00705170">
        <w:rPr>
          <w:rFonts w:ascii="Times New Roman" w:hAnsi="Times New Roman" w:cs="Times New Roman"/>
        </w:rPr>
        <w:t>interest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400"/>
      </w:r>
      <w:r w:rsidRPr="00705170">
        <w:rPr>
          <w:rFonts w:ascii="Times New Roman" w:hAnsi="Times New Roman" w:cs="Times New Roman"/>
        </w:rPr>
        <w:t xml:space="preserve">. </w:t>
      </w:r>
    </w:p>
    <w:p w14:paraId="2108035F" w14:textId="6CC2790F" w:rsidR="002E7621" w:rsidRPr="00705170" w:rsidRDefault="00332826" w:rsidP="00954ED1">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lastRenderedPageBreak/>
        <w:t>Although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used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00E61A91">
        <w:rPr>
          <w:rStyle w:val="DipnotBavurusu"/>
          <w:rFonts w:ascii="Times New Roman" w:hAnsi="Times New Roman" w:cs="Times New Roman"/>
        </w:rPr>
        <w:footnoteReference w:id="401"/>
      </w:r>
      <w:r w:rsidRPr="00705170">
        <w:rPr>
          <w:rFonts w:ascii="Times New Roman" w:hAnsi="Times New Roman" w:cs="Times New Roman"/>
        </w:rPr>
        <w:t xml:space="preserve">, </w:t>
      </w:r>
      <w:proofErr w:type="spellStart"/>
      <w:r w:rsidR="00206784" w:rsidRPr="00705170">
        <w:rPr>
          <w:rFonts w:ascii="Times New Roman" w:hAnsi="Times New Roman" w:cs="Times New Roman"/>
        </w:rPr>
        <w:t>by</w:t>
      </w:r>
      <w:proofErr w:type="spellEnd"/>
      <w:r w:rsidR="00206784" w:rsidRPr="00705170">
        <w:rPr>
          <w:rFonts w:ascii="Times New Roman" w:hAnsi="Times New Roman" w:cs="Times New Roman"/>
        </w:rPr>
        <w:t xml:space="preserve"> </w:t>
      </w:r>
      <w:proofErr w:type="spellStart"/>
      <w:r w:rsidR="00206784" w:rsidRPr="00705170">
        <w:rPr>
          <w:rFonts w:ascii="Times New Roman" w:hAnsi="Times New Roman" w:cs="Times New Roman"/>
        </w:rPr>
        <w:t>usually</w:t>
      </w:r>
      <w:proofErr w:type="spellEnd"/>
      <w:r w:rsidR="00206784" w:rsidRPr="00705170">
        <w:rPr>
          <w:rFonts w:ascii="Times New Roman" w:hAnsi="Times New Roman" w:cs="Times New Roman"/>
        </w:rPr>
        <w:t xml:space="preserve"> </w:t>
      </w:r>
      <w:proofErr w:type="spellStart"/>
      <w:r w:rsidR="00206784" w:rsidRPr="00705170">
        <w:rPr>
          <w:rFonts w:ascii="Times New Roman" w:hAnsi="Times New Roman" w:cs="Times New Roman"/>
        </w:rPr>
        <w:t>analogizing</w:t>
      </w:r>
      <w:proofErr w:type="spellEnd"/>
      <w:r w:rsidR="00206784" w:rsidRPr="00705170">
        <w:rPr>
          <w:rFonts w:ascii="Times New Roman" w:hAnsi="Times New Roman" w:cs="Times New Roman"/>
        </w:rPr>
        <w:t xml:space="preserve"> </w:t>
      </w:r>
      <w:proofErr w:type="spellStart"/>
      <w:r w:rsidR="00206784" w:rsidRPr="00705170">
        <w:rPr>
          <w:rFonts w:ascii="Times New Roman" w:hAnsi="Times New Roman" w:cs="Times New Roman"/>
        </w:rPr>
        <w:t>close</w:t>
      </w:r>
      <w:proofErr w:type="spellEnd"/>
      <w:r w:rsidR="00206784" w:rsidRPr="00705170">
        <w:rPr>
          <w:rFonts w:ascii="Times New Roman" w:hAnsi="Times New Roman" w:cs="Times New Roman"/>
        </w:rPr>
        <w:t xml:space="preserve"> </w:t>
      </w:r>
      <w:proofErr w:type="spellStart"/>
      <w:r w:rsidR="00206784" w:rsidRPr="00705170">
        <w:rPr>
          <w:rFonts w:ascii="Times New Roman" w:hAnsi="Times New Roman" w:cs="Times New Roman"/>
        </w:rPr>
        <w:t>corporations</w:t>
      </w:r>
      <w:proofErr w:type="spellEnd"/>
      <w:r w:rsidR="00206784" w:rsidRPr="00705170">
        <w:rPr>
          <w:rFonts w:ascii="Times New Roman" w:hAnsi="Times New Roman" w:cs="Times New Roman"/>
        </w:rPr>
        <w:t xml:space="preserve"> </w:t>
      </w:r>
      <w:proofErr w:type="spellStart"/>
      <w:r w:rsidR="00206784" w:rsidRPr="00705170">
        <w:rPr>
          <w:rFonts w:ascii="Times New Roman" w:hAnsi="Times New Roman" w:cs="Times New Roman"/>
        </w:rPr>
        <w:t>to</w:t>
      </w:r>
      <w:proofErr w:type="spellEnd"/>
      <w:r w:rsidR="00206784" w:rsidRPr="00705170">
        <w:rPr>
          <w:rFonts w:ascii="Times New Roman" w:hAnsi="Times New Roman" w:cs="Times New Roman"/>
        </w:rPr>
        <w:t xml:space="preserve"> </w:t>
      </w:r>
      <w:proofErr w:type="spellStart"/>
      <w:r w:rsidR="00206784" w:rsidRPr="00705170">
        <w:rPr>
          <w:rFonts w:ascii="Times New Roman" w:hAnsi="Times New Roman" w:cs="Times New Roman"/>
        </w:rPr>
        <w:t>partnerships</w:t>
      </w:r>
      <w:proofErr w:type="spellEnd"/>
      <w:r w:rsidR="00206784" w:rsidRPr="00705170">
        <w:rPr>
          <w:rStyle w:val="DipnotBavurusu"/>
          <w:rFonts w:ascii="Times New Roman" w:hAnsi="Times New Roman" w:cs="Times New Roman"/>
        </w:rPr>
        <w:footnoteReference w:id="402"/>
      </w:r>
      <w:r w:rsidR="00206784" w:rsidRPr="00705170">
        <w:rPr>
          <w:rFonts w:ascii="Times New Roman" w:hAnsi="Times New Roman" w:cs="Times New Roman"/>
        </w:rPr>
        <w:t xml:space="preserve">, </w:t>
      </w:r>
      <w:proofErr w:type="spellStart"/>
      <w:r w:rsidRPr="00705170">
        <w:rPr>
          <w:rFonts w:ascii="Times New Roman" w:hAnsi="Times New Roman" w:cs="Times New Roman"/>
        </w:rPr>
        <w:t>contractual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gaps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exist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Style w:val="DipnotBavurusu"/>
          <w:rFonts w:ascii="Times New Roman" w:hAnsi="Times New Roman" w:cs="Times New Roman"/>
        </w:rPr>
        <w:footnoteReference w:id="403"/>
      </w:r>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inevitably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be a </w:t>
      </w:r>
      <w:proofErr w:type="spellStart"/>
      <w:r w:rsidRPr="00705170">
        <w:rPr>
          <w:rFonts w:ascii="Times New Roman" w:hAnsi="Times New Roman" w:cs="Times New Roman"/>
        </w:rPr>
        <w:t>point</w:t>
      </w:r>
      <w:proofErr w:type="spellEnd"/>
      <w:r w:rsidRPr="00705170">
        <w:rPr>
          <w:rFonts w:ascii="Times New Roman" w:hAnsi="Times New Roman" w:cs="Times New Roman"/>
        </w:rPr>
        <w:t xml:space="preserve"> at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costs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associated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specifying</w:t>
      </w:r>
      <w:proofErr w:type="spellEnd"/>
      <w:r w:rsidRPr="00705170">
        <w:rPr>
          <w:rFonts w:ascii="Times New Roman" w:hAnsi="Times New Roman" w:cs="Times New Roman"/>
        </w:rPr>
        <w:t xml:space="preserve"> how </w:t>
      </w:r>
      <w:proofErr w:type="spellStart"/>
      <w:r w:rsidRPr="00705170">
        <w:rPr>
          <w:rFonts w:ascii="Times New Roman" w:hAnsi="Times New Roman" w:cs="Times New Roman"/>
        </w:rPr>
        <w:t>particular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dealt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exceed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w:t>
      </w:r>
      <w:r w:rsidR="00791DF6" w:rsidRPr="00705170">
        <w:rPr>
          <w:rFonts w:ascii="Times New Roman" w:hAnsi="Times New Roman" w:cs="Times New Roman"/>
        </w:rPr>
        <w:t>e</w:t>
      </w:r>
      <w:proofErr w:type="spellEnd"/>
      <w:r w:rsidR="00791DF6" w:rsidRPr="00705170">
        <w:rPr>
          <w:rFonts w:ascii="Times New Roman" w:hAnsi="Times New Roman" w:cs="Times New Roman"/>
        </w:rPr>
        <w:t xml:space="preserve"> </w:t>
      </w:r>
      <w:proofErr w:type="spellStart"/>
      <w:r w:rsidR="00791DF6" w:rsidRPr="00705170">
        <w:rPr>
          <w:rFonts w:ascii="Times New Roman" w:hAnsi="Times New Roman" w:cs="Times New Roman"/>
        </w:rPr>
        <w:t>corporate</w:t>
      </w:r>
      <w:proofErr w:type="spellEnd"/>
      <w:r w:rsidR="00791DF6" w:rsidRPr="00705170">
        <w:rPr>
          <w:rFonts w:ascii="Times New Roman" w:hAnsi="Times New Roman" w:cs="Times New Roman"/>
        </w:rPr>
        <w:t xml:space="preserve"> </w:t>
      </w:r>
      <w:proofErr w:type="spellStart"/>
      <w:r w:rsidR="00791DF6" w:rsidRPr="00705170">
        <w:rPr>
          <w:rFonts w:ascii="Times New Roman" w:hAnsi="Times New Roman" w:cs="Times New Roman"/>
        </w:rPr>
        <w:t>constitution</w:t>
      </w:r>
      <w:proofErr w:type="spellEnd"/>
      <w:r w:rsidR="00791DF6" w:rsidRPr="00705170">
        <w:rPr>
          <w:rFonts w:ascii="Times New Roman" w:hAnsi="Times New Roman" w:cs="Times New Roman"/>
        </w:rPr>
        <w:t xml:space="preserve"> </w:t>
      </w:r>
      <w:proofErr w:type="spellStart"/>
      <w:r w:rsidR="00791DF6" w:rsidRPr="00705170">
        <w:rPr>
          <w:rFonts w:ascii="Times New Roman" w:hAnsi="Times New Roman" w:cs="Times New Roman"/>
        </w:rPr>
        <w:t>and</w:t>
      </w:r>
      <w:proofErr w:type="spellEnd"/>
      <w:r w:rsidR="00791DF6" w:rsidRPr="00705170">
        <w:rPr>
          <w:rFonts w:ascii="Times New Roman" w:hAnsi="Times New Roman" w:cs="Times New Roman"/>
        </w:rPr>
        <w:t xml:space="preserve"> </w:t>
      </w:r>
      <w:proofErr w:type="spellStart"/>
      <w:r w:rsidR="00791DF6" w:rsidRPr="00705170">
        <w:rPr>
          <w:rFonts w:ascii="Times New Roman" w:hAnsi="Times New Roman" w:cs="Times New Roman"/>
        </w:rPr>
        <w:t>re</w:t>
      </w:r>
      <w:r w:rsidRPr="00705170">
        <w:rPr>
          <w:rFonts w:ascii="Times New Roman" w:hAnsi="Times New Roman" w:cs="Times New Roman"/>
        </w:rPr>
        <w:t>l</w:t>
      </w:r>
      <w:r w:rsidR="00791DF6" w:rsidRPr="00705170">
        <w:rPr>
          <w:rFonts w:ascii="Times New Roman" w:hAnsi="Times New Roman" w:cs="Times New Roman"/>
        </w:rPr>
        <w:t>a</w:t>
      </w:r>
      <w:r w:rsidRPr="00705170">
        <w:rPr>
          <w:rFonts w:ascii="Times New Roman" w:hAnsi="Times New Roman" w:cs="Times New Roman"/>
        </w:rPr>
        <w:t>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contractual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arrangements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address</w:t>
      </w:r>
      <w:proofErr w:type="spellEnd"/>
      <w:r w:rsidRPr="00705170">
        <w:rPr>
          <w:rFonts w:ascii="Times New Roman" w:hAnsi="Times New Roman" w:cs="Times New Roman"/>
        </w:rPr>
        <w:t xml:space="preserve"> in a </w:t>
      </w:r>
      <w:proofErr w:type="spellStart"/>
      <w:r w:rsidRPr="00705170">
        <w:rPr>
          <w:rFonts w:ascii="Times New Roman" w:hAnsi="Times New Roman" w:cs="Times New Roman"/>
        </w:rPr>
        <w:t>comprehensive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fashion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pertinent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follows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investor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he </w:t>
      </w:r>
      <w:proofErr w:type="spellStart"/>
      <w:r w:rsidRPr="00705170">
        <w:rPr>
          <w:rFonts w:ascii="Times New Roman" w:hAnsi="Times New Roman" w:cs="Times New Roman"/>
        </w:rPr>
        <w:t>buys</w:t>
      </w:r>
      <w:proofErr w:type="spellEnd"/>
      <w:r w:rsidRPr="00705170">
        <w:rPr>
          <w:rFonts w:ascii="Times New Roman" w:hAnsi="Times New Roman" w:cs="Times New Roman"/>
        </w:rPr>
        <w:t xml:space="preserve"> his </w:t>
      </w:r>
      <w:proofErr w:type="spellStart"/>
      <w:r w:rsidRPr="00705170">
        <w:rPr>
          <w:rFonts w:ascii="Times New Roman" w:hAnsi="Times New Roman" w:cs="Times New Roman"/>
        </w:rPr>
        <w:t>shares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not be </w:t>
      </w:r>
      <w:proofErr w:type="spellStart"/>
      <w:r w:rsidRPr="00705170">
        <w:rPr>
          <w:rFonts w:ascii="Times New Roman" w:hAnsi="Times New Roman" w:cs="Times New Roman"/>
        </w:rPr>
        <w:t>reflected</w:t>
      </w:r>
      <w:proofErr w:type="spellEnd"/>
      <w:r w:rsidRPr="00705170">
        <w:rPr>
          <w:rFonts w:ascii="Times New Roman" w:hAnsi="Times New Roman" w:cs="Times New Roman"/>
        </w:rPr>
        <w:t xml:space="preserve"> in legal </w:t>
      </w:r>
      <w:proofErr w:type="spellStart"/>
      <w:r w:rsidRPr="00705170">
        <w:rPr>
          <w:rFonts w:ascii="Times New Roman" w:hAnsi="Times New Roman" w:cs="Times New Roman"/>
        </w:rPr>
        <w:t>documentation</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404"/>
      </w:r>
      <w:r w:rsidRPr="00705170">
        <w:rPr>
          <w:rFonts w:ascii="Times New Roman" w:hAnsi="Times New Roman" w:cs="Times New Roman"/>
        </w:rPr>
        <w:t xml:space="preserve"> </w:t>
      </w:r>
      <w:proofErr w:type="spellStart"/>
      <w:r w:rsidRPr="00705170">
        <w:rPr>
          <w:rFonts w:ascii="Times New Roman" w:hAnsi="Times New Roman" w:cs="Times New Roman"/>
        </w:rPr>
        <w:t>Although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ordinarily</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investor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gets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opportunity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buy </w:t>
      </w:r>
      <w:proofErr w:type="spellStart"/>
      <w:r w:rsidRPr="00705170">
        <w:rPr>
          <w:rFonts w:ascii="Times New Roman" w:hAnsi="Times New Roman" w:cs="Times New Roman"/>
        </w:rPr>
        <w:t>equity</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take</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leave</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basis</w:t>
      </w:r>
      <w:proofErr w:type="spellEnd"/>
      <w:r w:rsidRPr="00705170">
        <w:rPr>
          <w:rStyle w:val="DipnotBavurusu"/>
          <w:rFonts w:ascii="Times New Roman" w:hAnsi="Times New Roman" w:cs="Times New Roman"/>
        </w:rPr>
        <w:footnoteReference w:id="405"/>
      </w:r>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preclude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him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his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status</w:t>
      </w:r>
      <w:proofErr w:type="spellEnd"/>
      <w:r w:rsidRPr="00705170">
        <w:rPr>
          <w:rStyle w:val="DipnotBavurusu"/>
          <w:rFonts w:ascii="Times New Roman" w:hAnsi="Times New Roman" w:cs="Times New Roman"/>
        </w:rPr>
        <w:footnoteReference w:id="406"/>
      </w:r>
      <w:r w:rsidRPr="00705170">
        <w:rPr>
          <w:rFonts w:ascii="Times New Roman" w:hAnsi="Times New Roman" w:cs="Times New Roman"/>
        </w:rPr>
        <w:t>.</w:t>
      </w:r>
      <w:r w:rsidR="00B8283E" w:rsidRPr="00705170">
        <w:rPr>
          <w:rFonts w:ascii="Times New Roman" w:hAnsi="Times New Roman" w:cs="Times New Roman"/>
        </w:rPr>
        <w:t xml:space="preserve"> </w:t>
      </w:r>
      <w:proofErr w:type="spellStart"/>
      <w:r w:rsidR="004B2E77" w:rsidRPr="00705170">
        <w:rPr>
          <w:rFonts w:ascii="Times New Roman" w:hAnsi="Times New Roman" w:cs="Times New Roman"/>
        </w:rPr>
        <w:t>The</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reasonable</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expectations</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standard</w:t>
      </w:r>
      <w:proofErr w:type="spellEnd"/>
      <w:r w:rsidR="004B2E77" w:rsidRPr="00705170">
        <w:rPr>
          <w:rFonts w:ascii="Times New Roman" w:hAnsi="Times New Roman" w:cs="Times New Roman"/>
        </w:rPr>
        <w:t xml:space="preserve"> is </w:t>
      </w:r>
      <w:proofErr w:type="spellStart"/>
      <w:r w:rsidR="004B2E77" w:rsidRPr="00705170">
        <w:rPr>
          <w:rFonts w:ascii="Times New Roman" w:hAnsi="Times New Roman" w:cs="Times New Roman"/>
        </w:rPr>
        <w:t>already</w:t>
      </w:r>
      <w:proofErr w:type="spellEnd"/>
      <w:r w:rsidR="004B2E77" w:rsidRPr="00705170">
        <w:rPr>
          <w:rFonts w:ascii="Times New Roman" w:hAnsi="Times New Roman" w:cs="Times New Roman"/>
        </w:rPr>
        <w:t xml:space="preserve"> in </w:t>
      </w:r>
      <w:proofErr w:type="spellStart"/>
      <w:r w:rsidR="004B2E77" w:rsidRPr="00705170">
        <w:rPr>
          <w:rFonts w:ascii="Times New Roman" w:hAnsi="Times New Roman" w:cs="Times New Roman"/>
        </w:rPr>
        <w:t>use</w:t>
      </w:r>
      <w:proofErr w:type="spellEnd"/>
      <w:r w:rsidR="004B2E77" w:rsidRPr="00705170">
        <w:rPr>
          <w:rFonts w:ascii="Times New Roman" w:hAnsi="Times New Roman" w:cs="Times New Roman"/>
        </w:rPr>
        <w:t xml:space="preserve"> in </w:t>
      </w:r>
      <w:proofErr w:type="spellStart"/>
      <w:r w:rsidR="004B2E77" w:rsidRPr="00705170">
        <w:rPr>
          <w:rFonts w:ascii="Times New Roman" w:hAnsi="Times New Roman" w:cs="Times New Roman"/>
        </w:rPr>
        <w:t>different</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contexts</w:t>
      </w:r>
      <w:proofErr w:type="spellEnd"/>
      <w:r w:rsidR="004B2E77" w:rsidRPr="00705170">
        <w:rPr>
          <w:rFonts w:ascii="Times New Roman" w:hAnsi="Times New Roman" w:cs="Times New Roman"/>
        </w:rPr>
        <w:t xml:space="preserve"> of </w:t>
      </w:r>
      <w:proofErr w:type="spellStart"/>
      <w:r w:rsidR="004B2E77" w:rsidRPr="00705170">
        <w:rPr>
          <w:rFonts w:ascii="Times New Roman" w:hAnsi="Times New Roman" w:cs="Times New Roman"/>
        </w:rPr>
        <w:t>corporate</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law</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such</w:t>
      </w:r>
      <w:proofErr w:type="spellEnd"/>
      <w:r w:rsidR="004B2E77" w:rsidRPr="00705170">
        <w:rPr>
          <w:rFonts w:ascii="Times New Roman" w:hAnsi="Times New Roman" w:cs="Times New Roman"/>
        </w:rPr>
        <w:t xml:space="preserve"> as </w:t>
      </w:r>
      <w:proofErr w:type="spellStart"/>
      <w:r w:rsidR="004B2E77" w:rsidRPr="00705170">
        <w:rPr>
          <w:rFonts w:ascii="Times New Roman" w:hAnsi="Times New Roman" w:cs="Times New Roman"/>
        </w:rPr>
        <w:t>interpretation</w:t>
      </w:r>
      <w:proofErr w:type="spellEnd"/>
      <w:r w:rsidR="004B2E77" w:rsidRPr="00705170">
        <w:rPr>
          <w:rFonts w:ascii="Times New Roman" w:hAnsi="Times New Roman" w:cs="Times New Roman"/>
        </w:rPr>
        <w:t xml:space="preserve"> of </w:t>
      </w:r>
      <w:proofErr w:type="spellStart"/>
      <w:r w:rsidR="004B2E77" w:rsidRPr="00705170">
        <w:rPr>
          <w:rFonts w:ascii="Times New Roman" w:hAnsi="Times New Roman" w:cs="Times New Roman"/>
        </w:rPr>
        <w:t>the</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articles</w:t>
      </w:r>
      <w:proofErr w:type="spellEnd"/>
      <w:r w:rsidR="004B2E77" w:rsidRPr="00705170">
        <w:rPr>
          <w:rFonts w:ascii="Times New Roman" w:hAnsi="Times New Roman" w:cs="Times New Roman"/>
        </w:rPr>
        <w:t xml:space="preserve"> of </w:t>
      </w:r>
      <w:proofErr w:type="spellStart"/>
      <w:r w:rsidR="004B2E77" w:rsidRPr="00705170">
        <w:rPr>
          <w:rFonts w:ascii="Times New Roman" w:hAnsi="Times New Roman" w:cs="Times New Roman"/>
        </w:rPr>
        <w:t>incorporation</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if</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there</w:t>
      </w:r>
      <w:proofErr w:type="spellEnd"/>
      <w:r w:rsidR="004B2E77" w:rsidRPr="00705170">
        <w:rPr>
          <w:rFonts w:ascii="Times New Roman" w:hAnsi="Times New Roman" w:cs="Times New Roman"/>
        </w:rPr>
        <w:t xml:space="preserve"> is </w:t>
      </w:r>
      <w:proofErr w:type="spellStart"/>
      <w:r w:rsidR="004B2E77" w:rsidRPr="00705170">
        <w:rPr>
          <w:rFonts w:ascii="Times New Roman" w:hAnsi="Times New Roman" w:cs="Times New Roman"/>
        </w:rPr>
        <w:t>ambiguity</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about</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the</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rights</w:t>
      </w:r>
      <w:proofErr w:type="spellEnd"/>
      <w:r w:rsidR="004B2E77" w:rsidRPr="00705170">
        <w:rPr>
          <w:rFonts w:ascii="Times New Roman" w:hAnsi="Times New Roman" w:cs="Times New Roman"/>
        </w:rPr>
        <w:t xml:space="preserve"> of </w:t>
      </w:r>
      <w:proofErr w:type="spellStart"/>
      <w:r w:rsidR="004B2E77" w:rsidRPr="00705170">
        <w:rPr>
          <w:rFonts w:ascii="Times New Roman" w:hAnsi="Times New Roman" w:cs="Times New Roman"/>
        </w:rPr>
        <w:t>the</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shareholders</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without</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distinguishing</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between</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close</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or</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publicly</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traded</w:t>
      </w:r>
      <w:proofErr w:type="spellEnd"/>
      <w:r w:rsidR="004B2E77" w:rsidRPr="00705170">
        <w:rPr>
          <w:rFonts w:ascii="Times New Roman" w:hAnsi="Times New Roman" w:cs="Times New Roman"/>
        </w:rPr>
        <w:t xml:space="preserve"> </w:t>
      </w:r>
      <w:proofErr w:type="spellStart"/>
      <w:r w:rsidR="004B2E77" w:rsidRPr="00705170">
        <w:rPr>
          <w:rFonts w:ascii="Times New Roman" w:hAnsi="Times New Roman" w:cs="Times New Roman"/>
        </w:rPr>
        <w:t>corporations</w:t>
      </w:r>
      <w:proofErr w:type="spellEnd"/>
      <w:r w:rsidR="004B2E77" w:rsidRPr="00705170">
        <w:rPr>
          <w:rStyle w:val="DipnotBavurusu"/>
          <w:rFonts w:ascii="Times New Roman" w:hAnsi="Times New Roman" w:cs="Times New Roman"/>
        </w:rPr>
        <w:footnoteReference w:id="407"/>
      </w:r>
      <w:r w:rsidR="004B2E77" w:rsidRPr="00705170">
        <w:rPr>
          <w:rFonts w:ascii="Times New Roman" w:hAnsi="Times New Roman" w:cs="Times New Roman"/>
        </w:rPr>
        <w:t xml:space="preserve">. </w:t>
      </w:r>
      <w:proofErr w:type="spellStart"/>
      <w:r w:rsidR="00D24B72" w:rsidRPr="00705170">
        <w:rPr>
          <w:rFonts w:ascii="Times New Roman" w:hAnsi="Times New Roman" w:cs="Times New Roman"/>
        </w:rPr>
        <w:t>Moreover</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thinking</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from</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another</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perspective</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the</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lastRenderedPageBreak/>
        <w:t>fact</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that</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the</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ultimate</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share</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purchaser</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was</w:t>
      </w:r>
      <w:proofErr w:type="spellEnd"/>
      <w:r w:rsidR="00D24B72" w:rsidRPr="00705170">
        <w:rPr>
          <w:rFonts w:ascii="Times New Roman" w:hAnsi="Times New Roman" w:cs="Times New Roman"/>
        </w:rPr>
        <w:t xml:space="preserve"> not a </w:t>
      </w:r>
      <w:proofErr w:type="spellStart"/>
      <w:r w:rsidR="00D24B72" w:rsidRPr="00705170">
        <w:rPr>
          <w:rFonts w:ascii="Times New Roman" w:hAnsi="Times New Roman" w:cs="Times New Roman"/>
        </w:rPr>
        <w:t>party</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to</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the</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drafting</w:t>
      </w:r>
      <w:proofErr w:type="spellEnd"/>
      <w:r w:rsidR="00D24B72" w:rsidRPr="00705170">
        <w:rPr>
          <w:rFonts w:ascii="Times New Roman" w:hAnsi="Times New Roman" w:cs="Times New Roman"/>
        </w:rPr>
        <w:t xml:space="preserve"> of </w:t>
      </w:r>
      <w:proofErr w:type="spellStart"/>
      <w:r w:rsidR="00D24B72" w:rsidRPr="00705170">
        <w:rPr>
          <w:rFonts w:ascii="Times New Roman" w:hAnsi="Times New Roman" w:cs="Times New Roman"/>
        </w:rPr>
        <w:t>the</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documents</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which</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determines</w:t>
      </w:r>
      <w:proofErr w:type="spellEnd"/>
      <w:r w:rsidR="00D24B72" w:rsidRPr="00705170">
        <w:rPr>
          <w:rFonts w:ascii="Times New Roman" w:hAnsi="Times New Roman" w:cs="Times New Roman"/>
        </w:rPr>
        <w:t xml:space="preserve"> his </w:t>
      </w:r>
      <w:proofErr w:type="spellStart"/>
      <w:r w:rsidR="00D24B72" w:rsidRPr="00705170">
        <w:rPr>
          <w:rFonts w:ascii="Times New Roman" w:hAnsi="Times New Roman" w:cs="Times New Roman"/>
        </w:rPr>
        <w:t>rights</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giving</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effect</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to</w:t>
      </w:r>
      <w:proofErr w:type="spellEnd"/>
      <w:r w:rsidR="00D24B72" w:rsidRPr="00705170">
        <w:rPr>
          <w:rFonts w:ascii="Times New Roman" w:hAnsi="Times New Roman" w:cs="Times New Roman"/>
        </w:rPr>
        <w:t xml:space="preserve"> his </w:t>
      </w:r>
      <w:proofErr w:type="spellStart"/>
      <w:r w:rsidR="00D24B72" w:rsidRPr="00705170">
        <w:rPr>
          <w:rFonts w:ascii="Times New Roman" w:hAnsi="Times New Roman" w:cs="Times New Roman"/>
        </w:rPr>
        <w:t>reasonable</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expectations</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would</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align</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with</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the</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classic</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contract</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interpretation</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technique</w:t>
      </w:r>
      <w:proofErr w:type="spellEnd"/>
      <w:r w:rsidR="00553931" w:rsidRPr="00705170">
        <w:rPr>
          <w:rFonts w:ascii="Times New Roman" w:hAnsi="Times New Roman" w:cs="Times New Roman"/>
        </w:rPr>
        <w:t xml:space="preserve"> (</w:t>
      </w:r>
      <w:r w:rsidR="00B26D8A" w:rsidRPr="00705170">
        <w:rPr>
          <w:rFonts w:ascii="Times New Roman" w:hAnsi="Times New Roman" w:cs="Times New Roman"/>
        </w:rPr>
        <w:t>“</w:t>
      </w:r>
      <w:proofErr w:type="spellStart"/>
      <w:r w:rsidR="00B26D8A" w:rsidRPr="00705170">
        <w:rPr>
          <w:rFonts w:ascii="Times New Roman" w:hAnsi="Times New Roman" w:cs="Times New Roman"/>
        </w:rPr>
        <w:t>contra</w:t>
      </w:r>
      <w:proofErr w:type="spellEnd"/>
      <w:r w:rsidR="00B26D8A" w:rsidRPr="00705170">
        <w:rPr>
          <w:rFonts w:ascii="Times New Roman" w:hAnsi="Times New Roman" w:cs="Times New Roman"/>
        </w:rPr>
        <w:t xml:space="preserve"> </w:t>
      </w:r>
      <w:proofErr w:type="spellStart"/>
      <w:r w:rsidR="00B26D8A" w:rsidRPr="00705170">
        <w:rPr>
          <w:rFonts w:ascii="Times New Roman" w:hAnsi="Times New Roman" w:cs="Times New Roman"/>
        </w:rPr>
        <w:t>proferentem</w:t>
      </w:r>
      <w:proofErr w:type="spellEnd"/>
      <w:r w:rsidR="00B26D8A" w:rsidRPr="00705170">
        <w:rPr>
          <w:rFonts w:ascii="Times New Roman" w:hAnsi="Times New Roman" w:cs="Times New Roman"/>
        </w:rPr>
        <w:t>”</w:t>
      </w:r>
      <w:r w:rsidR="00553931" w:rsidRPr="00705170">
        <w:rPr>
          <w:rFonts w:ascii="Times New Roman" w:hAnsi="Times New Roman" w:cs="Times New Roman"/>
        </w:rPr>
        <w:t>)</w:t>
      </w:r>
      <w:r w:rsidR="00D24B72" w:rsidRPr="00705170">
        <w:rPr>
          <w:rFonts w:ascii="Times New Roman" w:hAnsi="Times New Roman" w:cs="Times New Roman"/>
        </w:rPr>
        <w:t xml:space="preserve"> in </w:t>
      </w:r>
      <w:proofErr w:type="spellStart"/>
      <w:r w:rsidR="00D24B72" w:rsidRPr="00705170">
        <w:rPr>
          <w:rFonts w:ascii="Times New Roman" w:hAnsi="Times New Roman" w:cs="Times New Roman"/>
        </w:rPr>
        <w:t>the</w:t>
      </w:r>
      <w:proofErr w:type="spellEnd"/>
      <w:r w:rsidR="00D24B72" w:rsidRPr="00705170">
        <w:rPr>
          <w:rFonts w:ascii="Times New Roman" w:hAnsi="Times New Roman" w:cs="Times New Roman"/>
        </w:rPr>
        <w:t xml:space="preserve"> </w:t>
      </w:r>
      <w:proofErr w:type="spellStart"/>
      <w:r w:rsidR="00D24B72" w:rsidRPr="00705170">
        <w:rPr>
          <w:rFonts w:ascii="Times New Roman" w:hAnsi="Times New Roman" w:cs="Times New Roman"/>
        </w:rPr>
        <w:t>case</w:t>
      </w:r>
      <w:proofErr w:type="spellEnd"/>
      <w:r w:rsidR="00D24B72" w:rsidRPr="00705170">
        <w:rPr>
          <w:rFonts w:ascii="Times New Roman" w:hAnsi="Times New Roman" w:cs="Times New Roman"/>
        </w:rPr>
        <w:t xml:space="preserve"> of </w:t>
      </w:r>
      <w:proofErr w:type="spellStart"/>
      <w:r w:rsidR="00D24B72" w:rsidRPr="00705170">
        <w:rPr>
          <w:rFonts w:ascii="Times New Roman" w:hAnsi="Times New Roman" w:cs="Times New Roman"/>
        </w:rPr>
        <w:t>ambiguity</w:t>
      </w:r>
      <w:proofErr w:type="spellEnd"/>
      <w:r w:rsidR="00D24B72" w:rsidRPr="00705170">
        <w:rPr>
          <w:rStyle w:val="DipnotBavurusu"/>
          <w:rFonts w:ascii="Times New Roman" w:hAnsi="Times New Roman" w:cs="Times New Roman"/>
        </w:rPr>
        <w:footnoteReference w:id="408"/>
      </w:r>
      <w:r w:rsidR="00D24B72" w:rsidRPr="00705170">
        <w:rPr>
          <w:rFonts w:ascii="Times New Roman" w:hAnsi="Times New Roman" w:cs="Times New Roman"/>
        </w:rPr>
        <w:t xml:space="preserve">. </w:t>
      </w:r>
    </w:p>
    <w:p w14:paraId="66D69CC4" w14:textId="1D79D70E" w:rsidR="00332826" w:rsidRPr="00705170" w:rsidRDefault="002E7621" w:rsidP="00954ED1">
      <w:pPr>
        <w:spacing w:after="240" w:line="480" w:lineRule="auto"/>
        <w:ind w:firstLine="720"/>
        <w:jc w:val="both"/>
        <w:rPr>
          <w:rFonts w:ascii="Times New Roman" w:hAnsi="Times New Roman" w:cs="Times New Roman"/>
        </w:rPr>
      </w:pPr>
      <w:r w:rsidRPr="00705170">
        <w:rPr>
          <w:rFonts w:ascii="Times New Roman" w:hAnsi="Times New Roman" w:cs="Times New Roman"/>
        </w:rPr>
        <w:t>A</w:t>
      </w:r>
      <w:r w:rsidR="00D871F8" w:rsidRPr="00705170">
        <w:rPr>
          <w:rFonts w:ascii="Times New Roman" w:hAnsi="Times New Roman" w:cs="Times New Roman"/>
        </w:rPr>
        <w:t xml:space="preserve">s </w:t>
      </w:r>
      <w:proofErr w:type="spellStart"/>
      <w:r w:rsidR="00D871F8" w:rsidRPr="00705170">
        <w:rPr>
          <w:rFonts w:ascii="Times New Roman" w:hAnsi="Times New Roman" w:cs="Times New Roman"/>
        </w:rPr>
        <w:t>the</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contractual</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relatio</w:t>
      </w:r>
      <w:r w:rsidR="00D24B72" w:rsidRPr="00705170">
        <w:rPr>
          <w:rFonts w:ascii="Times New Roman" w:hAnsi="Times New Roman" w:cs="Times New Roman"/>
        </w:rPr>
        <w:t>n</w:t>
      </w:r>
      <w:r w:rsidR="00D871F8" w:rsidRPr="00705170">
        <w:rPr>
          <w:rFonts w:ascii="Times New Roman" w:hAnsi="Times New Roman" w:cs="Times New Roman"/>
        </w:rPr>
        <w:t>ship</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between</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the</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publicly</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traded</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corporation</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and</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the</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shareholder</w:t>
      </w:r>
      <w:proofErr w:type="spellEnd"/>
      <w:r w:rsidR="00D871F8" w:rsidRPr="00705170">
        <w:rPr>
          <w:rFonts w:ascii="Times New Roman" w:hAnsi="Times New Roman" w:cs="Times New Roman"/>
        </w:rPr>
        <w:t xml:space="preserve"> is </w:t>
      </w:r>
      <w:proofErr w:type="spellStart"/>
      <w:r w:rsidR="00D871F8" w:rsidRPr="00705170">
        <w:rPr>
          <w:rFonts w:ascii="Times New Roman" w:hAnsi="Times New Roman" w:cs="Times New Roman"/>
        </w:rPr>
        <w:t>different</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than</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the</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close</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corporation</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context</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the</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sources</w:t>
      </w:r>
      <w:proofErr w:type="spellEnd"/>
      <w:r w:rsidR="00D871F8" w:rsidRPr="00705170">
        <w:rPr>
          <w:rFonts w:ascii="Times New Roman" w:hAnsi="Times New Roman" w:cs="Times New Roman"/>
        </w:rPr>
        <w:t xml:space="preserve"> of </w:t>
      </w:r>
      <w:proofErr w:type="spellStart"/>
      <w:r w:rsidR="00D871F8" w:rsidRPr="00705170">
        <w:rPr>
          <w:rFonts w:ascii="Times New Roman" w:hAnsi="Times New Roman" w:cs="Times New Roman"/>
        </w:rPr>
        <w:t>the</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reasonable</w:t>
      </w:r>
      <w:proofErr w:type="spellEnd"/>
      <w:r w:rsidR="00D871F8" w:rsidRPr="00705170">
        <w:rPr>
          <w:rFonts w:ascii="Times New Roman" w:hAnsi="Times New Roman" w:cs="Times New Roman"/>
        </w:rPr>
        <w:t xml:space="preserve"> </w:t>
      </w:r>
      <w:proofErr w:type="spellStart"/>
      <w:r w:rsidR="00D871F8" w:rsidRPr="00705170">
        <w:rPr>
          <w:rFonts w:ascii="Times New Roman" w:hAnsi="Times New Roman" w:cs="Times New Roman"/>
        </w:rPr>
        <w:t>expectations</w:t>
      </w:r>
      <w:proofErr w:type="spellEnd"/>
      <w:r w:rsidR="00D871F8"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00D871F8" w:rsidRPr="00705170">
        <w:rPr>
          <w:rFonts w:ascii="Times New Roman" w:hAnsi="Times New Roman" w:cs="Times New Roman"/>
        </w:rPr>
        <w:t>will</w:t>
      </w:r>
      <w:proofErr w:type="spellEnd"/>
      <w:r w:rsidR="00D871F8" w:rsidRPr="00705170">
        <w:rPr>
          <w:rFonts w:ascii="Times New Roman" w:hAnsi="Times New Roman" w:cs="Times New Roman"/>
        </w:rPr>
        <w:t xml:space="preserve"> be </w:t>
      </w:r>
      <w:proofErr w:type="spellStart"/>
      <w:r w:rsidR="00D871F8" w:rsidRPr="00705170">
        <w:rPr>
          <w:rFonts w:ascii="Times New Roman" w:hAnsi="Times New Roman" w:cs="Times New Roman"/>
        </w:rPr>
        <w:t>frameworked</w:t>
      </w:r>
      <w:proofErr w:type="spellEnd"/>
      <w:r w:rsidR="00D871F8" w:rsidRPr="00705170">
        <w:rPr>
          <w:rFonts w:ascii="Times New Roman" w:hAnsi="Times New Roman" w:cs="Times New Roman"/>
        </w:rPr>
        <w:t xml:space="preserve"> has </w:t>
      </w:r>
      <w:proofErr w:type="spellStart"/>
      <w:r w:rsidR="00D871F8" w:rsidRPr="00705170">
        <w:rPr>
          <w:rFonts w:ascii="Times New Roman" w:hAnsi="Times New Roman" w:cs="Times New Roman"/>
        </w:rPr>
        <w:t>to</w:t>
      </w:r>
      <w:proofErr w:type="spellEnd"/>
      <w:r w:rsidR="00D871F8" w:rsidRPr="00705170">
        <w:rPr>
          <w:rFonts w:ascii="Times New Roman" w:hAnsi="Times New Roman" w:cs="Times New Roman"/>
        </w:rPr>
        <w:t xml:space="preserve"> be </w:t>
      </w:r>
      <w:proofErr w:type="spellStart"/>
      <w:r w:rsidR="00D871F8" w:rsidRPr="00705170">
        <w:rPr>
          <w:rFonts w:ascii="Times New Roman" w:hAnsi="Times New Roman" w:cs="Times New Roman"/>
        </w:rPr>
        <w:t>different</w:t>
      </w:r>
      <w:proofErr w:type="spellEnd"/>
      <w:r w:rsidR="00D871F8" w:rsidRPr="00705170">
        <w:rPr>
          <w:rFonts w:ascii="Times New Roman" w:hAnsi="Times New Roman" w:cs="Times New Roman"/>
        </w:rPr>
        <w:t xml:space="preserve">. </w:t>
      </w:r>
      <w:proofErr w:type="spellStart"/>
      <w:r w:rsidR="00B321E4" w:rsidRPr="00705170">
        <w:rPr>
          <w:rFonts w:ascii="Times New Roman" w:hAnsi="Times New Roman" w:cs="Times New Roman"/>
        </w:rPr>
        <w:t>This</w:t>
      </w:r>
      <w:proofErr w:type="spellEnd"/>
      <w:r w:rsidR="00B321E4" w:rsidRPr="00705170">
        <w:rPr>
          <w:rFonts w:ascii="Times New Roman" w:hAnsi="Times New Roman" w:cs="Times New Roman"/>
        </w:rPr>
        <w:t xml:space="preserve"> </w:t>
      </w:r>
      <w:proofErr w:type="spellStart"/>
      <w:r w:rsidR="00B321E4" w:rsidRPr="00705170">
        <w:rPr>
          <w:rFonts w:ascii="Times New Roman" w:hAnsi="Times New Roman" w:cs="Times New Roman"/>
        </w:rPr>
        <w:t>due</w:t>
      </w:r>
      <w:proofErr w:type="spellEnd"/>
      <w:r w:rsidR="00B321E4" w:rsidRPr="00705170">
        <w:rPr>
          <w:rFonts w:ascii="Times New Roman" w:hAnsi="Times New Roman" w:cs="Times New Roman"/>
        </w:rPr>
        <w:t xml:space="preserve"> </w:t>
      </w:r>
      <w:proofErr w:type="spellStart"/>
      <w:r w:rsidR="00B321E4" w:rsidRPr="00705170">
        <w:rPr>
          <w:rFonts w:ascii="Times New Roman" w:hAnsi="Times New Roman" w:cs="Times New Roman"/>
        </w:rPr>
        <w:t>to</w:t>
      </w:r>
      <w:proofErr w:type="spellEnd"/>
      <w:r w:rsidR="00B321E4" w:rsidRPr="00705170">
        <w:rPr>
          <w:rFonts w:ascii="Times New Roman" w:hAnsi="Times New Roman" w:cs="Times New Roman"/>
        </w:rPr>
        <w:t xml:space="preserve"> </w:t>
      </w:r>
      <w:proofErr w:type="spellStart"/>
      <w:r w:rsidR="00B321E4" w:rsidRPr="00705170">
        <w:rPr>
          <w:rFonts w:ascii="Times New Roman" w:hAnsi="Times New Roman" w:cs="Times New Roman"/>
        </w:rPr>
        <w:t>the</w:t>
      </w:r>
      <w:proofErr w:type="spellEnd"/>
      <w:r w:rsidR="00B321E4" w:rsidRPr="00705170">
        <w:rPr>
          <w:rFonts w:ascii="Times New Roman" w:hAnsi="Times New Roman" w:cs="Times New Roman"/>
        </w:rPr>
        <w:t xml:space="preserve"> </w:t>
      </w:r>
      <w:proofErr w:type="spellStart"/>
      <w:r w:rsidR="0034183E" w:rsidRPr="00705170">
        <w:rPr>
          <w:rFonts w:ascii="Times New Roman" w:hAnsi="Times New Roman" w:cs="Times New Roman"/>
        </w:rPr>
        <w:t>following</w:t>
      </w:r>
      <w:proofErr w:type="spellEnd"/>
      <w:r w:rsidR="0034183E" w:rsidRPr="00705170">
        <w:rPr>
          <w:rFonts w:ascii="Times New Roman" w:hAnsi="Times New Roman" w:cs="Times New Roman"/>
        </w:rPr>
        <w:t xml:space="preserve"> </w:t>
      </w:r>
      <w:proofErr w:type="spellStart"/>
      <w:r w:rsidR="0034183E" w:rsidRPr="00705170">
        <w:rPr>
          <w:rFonts w:ascii="Times New Roman" w:hAnsi="Times New Roman" w:cs="Times New Roman"/>
        </w:rPr>
        <w:t>reason</w:t>
      </w:r>
      <w:proofErr w:type="spellEnd"/>
      <w:r w:rsidR="0034183E" w:rsidRPr="00705170">
        <w:rPr>
          <w:rFonts w:ascii="Times New Roman" w:hAnsi="Times New Roman" w:cs="Times New Roman"/>
        </w:rPr>
        <w:t xml:space="preserve">: </w:t>
      </w:r>
      <w:proofErr w:type="spellStart"/>
      <w:r w:rsidR="00E06E49" w:rsidRPr="00705170">
        <w:rPr>
          <w:rFonts w:ascii="Times New Roman" w:hAnsi="Times New Roman" w:cs="Times New Roman"/>
        </w:rPr>
        <w:t>While</w:t>
      </w:r>
      <w:proofErr w:type="spellEnd"/>
      <w:r w:rsidR="00E06E49" w:rsidRPr="00705170">
        <w:rPr>
          <w:rFonts w:ascii="Times New Roman" w:hAnsi="Times New Roman" w:cs="Times New Roman"/>
        </w:rPr>
        <w:t xml:space="preserve"> </w:t>
      </w:r>
      <w:proofErr w:type="spellStart"/>
      <w:r w:rsidR="00E06E49" w:rsidRPr="00705170">
        <w:rPr>
          <w:rFonts w:ascii="Times New Roman" w:hAnsi="Times New Roman" w:cs="Times New Roman"/>
        </w:rPr>
        <w:t>the</w:t>
      </w:r>
      <w:proofErr w:type="spellEnd"/>
      <w:r w:rsidR="00E06E49" w:rsidRPr="00705170">
        <w:rPr>
          <w:rFonts w:ascii="Times New Roman" w:hAnsi="Times New Roman" w:cs="Times New Roman"/>
        </w:rPr>
        <w:t xml:space="preserve"> main </w:t>
      </w:r>
      <w:proofErr w:type="spellStart"/>
      <w:r w:rsidR="00E06E49" w:rsidRPr="00705170">
        <w:rPr>
          <w:rFonts w:ascii="Times New Roman" w:hAnsi="Times New Roman" w:cs="Times New Roman"/>
        </w:rPr>
        <w:t>document</w:t>
      </w:r>
      <w:proofErr w:type="spellEnd"/>
      <w:r w:rsidR="00E06E49" w:rsidRPr="00705170">
        <w:rPr>
          <w:rFonts w:ascii="Times New Roman" w:hAnsi="Times New Roman" w:cs="Times New Roman"/>
        </w:rPr>
        <w:t xml:space="preserve"> </w:t>
      </w:r>
      <w:proofErr w:type="spellStart"/>
      <w:r w:rsidR="00E06E49" w:rsidRPr="00705170">
        <w:rPr>
          <w:rFonts w:ascii="Times New Roman" w:hAnsi="Times New Roman" w:cs="Times New Roman"/>
        </w:rPr>
        <w:t>that</w:t>
      </w:r>
      <w:proofErr w:type="spellEnd"/>
      <w:r w:rsidR="00E06E49" w:rsidRPr="00705170">
        <w:rPr>
          <w:rFonts w:ascii="Times New Roman" w:hAnsi="Times New Roman" w:cs="Times New Roman"/>
        </w:rPr>
        <w:t xml:space="preserve"> </w:t>
      </w:r>
      <w:proofErr w:type="spellStart"/>
      <w:r w:rsidR="00E06E49" w:rsidRPr="00705170">
        <w:rPr>
          <w:rFonts w:ascii="Times New Roman" w:hAnsi="Times New Roman" w:cs="Times New Roman"/>
        </w:rPr>
        <w:t>reflects</w:t>
      </w:r>
      <w:proofErr w:type="spellEnd"/>
      <w:r w:rsidR="00E06E49" w:rsidRPr="00705170">
        <w:rPr>
          <w:rFonts w:ascii="Times New Roman" w:hAnsi="Times New Roman" w:cs="Times New Roman"/>
        </w:rPr>
        <w:t xml:space="preserve"> </w:t>
      </w:r>
      <w:proofErr w:type="spellStart"/>
      <w:r w:rsidR="00E06E49" w:rsidRPr="00705170">
        <w:rPr>
          <w:rFonts w:ascii="Times New Roman" w:hAnsi="Times New Roman" w:cs="Times New Roman"/>
        </w:rPr>
        <w:t>the</w:t>
      </w:r>
      <w:proofErr w:type="spellEnd"/>
      <w:r w:rsidR="00E06E49" w:rsidRPr="00705170">
        <w:rPr>
          <w:rFonts w:ascii="Times New Roman" w:hAnsi="Times New Roman" w:cs="Times New Roman"/>
        </w:rPr>
        <w:t xml:space="preserve"> </w:t>
      </w:r>
      <w:proofErr w:type="spellStart"/>
      <w:r w:rsidR="00E06E49" w:rsidRPr="00705170">
        <w:rPr>
          <w:rFonts w:ascii="Times New Roman" w:hAnsi="Times New Roman" w:cs="Times New Roman"/>
        </w:rPr>
        <w:t>explicit</w:t>
      </w:r>
      <w:proofErr w:type="spellEnd"/>
      <w:r w:rsidR="00E06E49" w:rsidRPr="00705170">
        <w:rPr>
          <w:rFonts w:ascii="Times New Roman" w:hAnsi="Times New Roman" w:cs="Times New Roman"/>
        </w:rPr>
        <w:t xml:space="preserve"> </w:t>
      </w:r>
      <w:proofErr w:type="spellStart"/>
      <w:r w:rsidR="00E06E49" w:rsidRPr="00705170">
        <w:rPr>
          <w:rFonts w:ascii="Times New Roman" w:hAnsi="Times New Roman" w:cs="Times New Roman"/>
        </w:rPr>
        <w:t>terms</w:t>
      </w:r>
      <w:proofErr w:type="spellEnd"/>
      <w:r w:rsidR="00E06E49" w:rsidRPr="00705170">
        <w:rPr>
          <w:rFonts w:ascii="Times New Roman" w:hAnsi="Times New Roman" w:cs="Times New Roman"/>
        </w:rPr>
        <w:t xml:space="preserve"> of </w:t>
      </w:r>
      <w:proofErr w:type="spellStart"/>
      <w:r w:rsidR="00E06E49" w:rsidRPr="00705170">
        <w:rPr>
          <w:rFonts w:ascii="Times New Roman" w:hAnsi="Times New Roman" w:cs="Times New Roman"/>
        </w:rPr>
        <w:t>this</w:t>
      </w:r>
      <w:proofErr w:type="spellEnd"/>
      <w:r w:rsidR="00E06E49" w:rsidRPr="00705170">
        <w:rPr>
          <w:rFonts w:ascii="Times New Roman" w:hAnsi="Times New Roman" w:cs="Times New Roman"/>
        </w:rPr>
        <w:t xml:space="preserve"> </w:t>
      </w:r>
      <w:proofErr w:type="spellStart"/>
      <w:r w:rsidR="00E06E49" w:rsidRPr="00705170">
        <w:rPr>
          <w:rFonts w:ascii="Times New Roman" w:hAnsi="Times New Roman" w:cs="Times New Roman"/>
        </w:rPr>
        <w:t>contract</w:t>
      </w:r>
      <w:proofErr w:type="spellEnd"/>
      <w:r w:rsidR="00520E78" w:rsidRPr="00705170">
        <w:rPr>
          <w:rFonts w:ascii="Times New Roman" w:hAnsi="Times New Roman" w:cs="Times New Roman"/>
        </w:rPr>
        <w:t xml:space="preserve"> (</w:t>
      </w:r>
      <w:proofErr w:type="spellStart"/>
      <w:r w:rsidR="00E06E49" w:rsidRPr="00705170">
        <w:rPr>
          <w:rFonts w:ascii="Times New Roman" w:hAnsi="Times New Roman" w:cs="Times New Roman"/>
        </w:rPr>
        <w:t>articles</w:t>
      </w:r>
      <w:proofErr w:type="spellEnd"/>
      <w:r w:rsidR="00E06E49" w:rsidRPr="00705170">
        <w:rPr>
          <w:rFonts w:ascii="Times New Roman" w:hAnsi="Times New Roman" w:cs="Times New Roman"/>
        </w:rPr>
        <w:t xml:space="preserve"> of </w:t>
      </w:r>
      <w:proofErr w:type="spellStart"/>
      <w:r w:rsidR="00E06E49" w:rsidRPr="00705170">
        <w:rPr>
          <w:rFonts w:ascii="Times New Roman" w:hAnsi="Times New Roman" w:cs="Times New Roman"/>
        </w:rPr>
        <w:t>incorporation</w:t>
      </w:r>
      <w:proofErr w:type="spellEnd"/>
      <w:r w:rsidR="00520E78" w:rsidRPr="00705170">
        <w:rPr>
          <w:rFonts w:ascii="Times New Roman" w:hAnsi="Times New Roman" w:cs="Times New Roman"/>
        </w:rPr>
        <w:t>)</w:t>
      </w:r>
      <w:r w:rsidR="00954ED1" w:rsidRPr="00705170">
        <w:rPr>
          <w:rFonts w:ascii="Times New Roman" w:hAnsi="Times New Roman" w:cs="Times New Roman"/>
        </w:rPr>
        <w:t xml:space="preserve"> </w:t>
      </w:r>
      <w:proofErr w:type="spellStart"/>
      <w:r w:rsidR="00954ED1" w:rsidRPr="00705170">
        <w:rPr>
          <w:rFonts w:ascii="Times New Roman" w:hAnsi="Times New Roman" w:cs="Times New Roman"/>
        </w:rPr>
        <w:t>becomes</w:t>
      </w:r>
      <w:proofErr w:type="spellEnd"/>
      <w:r w:rsidR="00954ED1" w:rsidRPr="00705170">
        <w:rPr>
          <w:rFonts w:ascii="Times New Roman" w:hAnsi="Times New Roman" w:cs="Times New Roman"/>
        </w:rPr>
        <w:t xml:space="preserve"> a </w:t>
      </w:r>
      <w:proofErr w:type="spellStart"/>
      <w:r w:rsidR="00954ED1" w:rsidRPr="00705170">
        <w:rPr>
          <w:rFonts w:ascii="Times New Roman" w:hAnsi="Times New Roman" w:cs="Times New Roman"/>
        </w:rPr>
        <w:t>document</w:t>
      </w:r>
      <w:proofErr w:type="spellEnd"/>
      <w:r w:rsidR="00954ED1" w:rsidRPr="00705170">
        <w:rPr>
          <w:rFonts w:ascii="Times New Roman" w:hAnsi="Times New Roman" w:cs="Times New Roman"/>
        </w:rPr>
        <w:t xml:space="preserve"> </w:t>
      </w:r>
      <w:proofErr w:type="spellStart"/>
      <w:r w:rsidR="00BA4CD8" w:rsidRPr="00705170">
        <w:rPr>
          <w:rFonts w:ascii="Times New Roman" w:hAnsi="Times New Roman" w:cs="Times New Roman"/>
        </w:rPr>
        <w:t>that</w:t>
      </w:r>
      <w:proofErr w:type="spellEnd"/>
      <w:r w:rsidR="00BA4CD8" w:rsidRPr="00705170">
        <w:rPr>
          <w:rFonts w:ascii="Times New Roman" w:hAnsi="Times New Roman" w:cs="Times New Roman"/>
        </w:rPr>
        <w:t xml:space="preserve"> </w:t>
      </w:r>
      <w:proofErr w:type="spellStart"/>
      <w:r w:rsidR="00BA4CD8" w:rsidRPr="00705170">
        <w:rPr>
          <w:rFonts w:ascii="Times New Roman" w:hAnsi="Times New Roman" w:cs="Times New Roman"/>
        </w:rPr>
        <w:t>binds</w:t>
      </w:r>
      <w:proofErr w:type="spellEnd"/>
      <w:r w:rsidR="00BA4CD8" w:rsidRPr="00705170">
        <w:rPr>
          <w:rFonts w:ascii="Times New Roman" w:hAnsi="Times New Roman" w:cs="Times New Roman"/>
        </w:rPr>
        <w:t xml:space="preserve"> </w:t>
      </w:r>
      <w:proofErr w:type="spellStart"/>
      <w:r w:rsidR="00BA4CD8" w:rsidRPr="00705170">
        <w:rPr>
          <w:rFonts w:ascii="Times New Roman" w:hAnsi="Times New Roman" w:cs="Times New Roman"/>
        </w:rPr>
        <w:t>all</w:t>
      </w:r>
      <w:proofErr w:type="spellEnd"/>
      <w:r w:rsidR="00BA4CD8" w:rsidRPr="00705170">
        <w:rPr>
          <w:rFonts w:ascii="Times New Roman" w:hAnsi="Times New Roman" w:cs="Times New Roman"/>
        </w:rPr>
        <w:t xml:space="preserve"> </w:t>
      </w:r>
      <w:proofErr w:type="spellStart"/>
      <w:r w:rsidR="00BA4CD8" w:rsidRPr="00705170">
        <w:rPr>
          <w:rFonts w:ascii="Times New Roman" w:hAnsi="Times New Roman" w:cs="Times New Roman"/>
        </w:rPr>
        <w:t>the</w:t>
      </w:r>
      <w:proofErr w:type="spellEnd"/>
      <w:r w:rsidR="00BA4CD8" w:rsidRPr="00705170">
        <w:rPr>
          <w:rFonts w:ascii="Times New Roman" w:hAnsi="Times New Roman" w:cs="Times New Roman"/>
        </w:rPr>
        <w:t xml:space="preserve"> </w:t>
      </w:r>
      <w:proofErr w:type="spellStart"/>
      <w:r w:rsidR="00BA4CD8" w:rsidRPr="00705170">
        <w:rPr>
          <w:rFonts w:ascii="Times New Roman" w:hAnsi="Times New Roman" w:cs="Times New Roman"/>
        </w:rPr>
        <w:t>present</w:t>
      </w:r>
      <w:proofErr w:type="spellEnd"/>
      <w:r w:rsidR="00BA4CD8" w:rsidRPr="00705170">
        <w:rPr>
          <w:rFonts w:ascii="Times New Roman" w:hAnsi="Times New Roman" w:cs="Times New Roman"/>
        </w:rPr>
        <w:t xml:space="preserve"> </w:t>
      </w:r>
      <w:proofErr w:type="spellStart"/>
      <w:r w:rsidR="00BA4CD8" w:rsidRPr="00705170">
        <w:rPr>
          <w:rFonts w:ascii="Times New Roman" w:hAnsi="Times New Roman" w:cs="Times New Roman"/>
        </w:rPr>
        <w:t>and</w:t>
      </w:r>
      <w:proofErr w:type="spellEnd"/>
      <w:r w:rsidR="00BA4CD8" w:rsidRPr="00705170">
        <w:rPr>
          <w:rFonts w:ascii="Times New Roman" w:hAnsi="Times New Roman" w:cs="Times New Roman"/>
        </w:rPr>
        <w:t xml:space="preserve"> </w:t>
      </w:r>
      <w:proofErr w:type="spellStart"/>
      <w:r w:rsidR="00BA4CD8" w:rsidRPr="00705170">
        <w:rPr>
          <w:rFonts w:ascii="Times New Roman" w:hAnsi="Times New Roman" w:cs="Times New Roman"/>
        </w:rPr>
        <w:t>prospective</w:t>
      </w:r>
      <w:proofErr w:type="spellEnd"/>
      <w:r w:rsidR="00BA4CD8" w:rsidRPr="00705170">
        <w:rPr>
          <w:rFonts w:ascii="Times New Roman" w:hAnsi="Times New Roman" w:cs="Times New Roman"/>
        </w:rPr>
        <w:t xml:space="preserve"> </w:t>
      </w:r>
      <w:proofErr w:type="spellStart"/>
      <w:r w:rsidR="00BA4CD8" w:rsidRPr="00705170">
        <w:rPr>
          <w:rFonts w:ascii="Times New Roman" w:hAnsi="Times New Roman" w:cs="Times New Roman"/>
        </w:rPr>
        <w:t>shareholders</w:t>
      </w:r>
      <w:proofErr w:type="spellEnd"/>
      <w:r w:rsidR="00BA4CD8" w:rsidRPr="00705170">
        <w:rPr>
          <w:rFonts w:ascii="Times New Roman" w:hAnsi="Times New Roman" w:cs="Times New Roman"/>
        </w:rPr>
        <w:t xml:space="preserve"> </w:t>
      </w:r>
      <w:proofErr w:type="spellStart"/>
      <w:r w:rsidR="00B93917" w:rsidRPr="00705170">
        <w:rPr>
          <w:rFonts w:ascii="Times New Roman" w:hAnsi="Times New Roman" w:cs="Times New Roman"/>
        </w:rPr>
        <w:t>once</w:t>
      </w:r>
      <w:proofErr w:type="spellEnd"/>
      <w:r w:rsidR="00B93917" w:rsidRPr="00705170">
        <w:rPr>
          <w:rFonts w:ascii="Times New Roman" w:hAnsi="Times New Roman" w:cs="Times New Roman"/>
        </w:rPr>
        <w:t xml:space="preserve"> </w:t>
      </w:r>
      <w:proofErr w:type="spellStart"/>
      <w:r w:rsidR="000C79FD" w:rsidRPr="00705170">
        <w:rPr>
          <w:rFonts w:ascii="Times New Roman" w:hAnsi="Times New Roman" w:cs="Times New Roman"/>
        </w:rPr>
        <w:t>the</w:t>
      </w:r>
      <w:proofErr w:type="spellEnd"/>
      <w:r w:rsidR="000C79FD" w:rsidRPr="00705170">
        <w:rPr>
          <w:rFonts w:ascii="Times New Roman" w:hAnsi="Times New Roman" w:cs="Times New Roman"/>
        </w:rPr>
        <w:t xml:space="preserve"> </w:t>
      </w:r>
      <w:proofErr w:type="spellStart"/>
      <w:r w:rsidR="000C79FD" w:rsidRPr="00705170">
        <w:rPr>
          <w:rFonts w:ascii="Times New Roman" w:hAnsi="Times New Roman" w:cs="Times New Roman"/>
        </w:rPr>
        <w:t>corporation</w:t>
      </w:r>
      <w:proofErr w:type="spellEnd"/>
      <w:r w:rsidR="000C79FD" w:rsidRPr="00705170">
        <w:rPr>
          <w:rFonts w:ascii="Times New Roman" w:hAnsi="Times New Roman" w:cs="Times New Roman"/>
        </w:rPr>
        <w:t xml:space="preserve"> </w:t>
      </w:r>
      <w:proofErr w:type="spellStart"/>
      <w:r w:rsidR="000C79FD" w:rsidRPr="00705170">
        <w:rPr>
          <w:rFonts w:ascii="Times New Roman" w:hAnsi="Times New Roman" w:cs="Times New Roman"/>
        </w:rPr>
        <w:t>incorporates</w:t>
      </w:r>
      <w:proofErr w:type="spellEnd"/>
      <w:r w:rsidR="00E50414" w:rsidRPr="00705170">
        <w:rPr>
          <w:rFonts w:ascii="Times New Roman" w:hAnsi="Times New Roman" w:cs="Times New Roman"/>
        </w:rPr>
        <w:t xml:space="preserve"> </w:t>
      </w:r>
      <w:proofErr w:type="spellStart"/>
      <w:r w:rsidR="00E50414" w:rsidRPr="00705170">
        <w:rPr>
          <w:rFonts w:ascii="Times New Roman" w:hAnsi="Times New Roman" w:cs="Times New Roman"/>
        </w:rPr>
        <w:t>and</w:t>
      </w:r>
      <w:proofErr w:type="spellEnd"/>
      <w:r w:rsidR="00E50414" w:rsidRPr="00705170">
        <w:rPr>
          <w:rFonts w:ascii="Times New Roman" w:hAnsi="Times New Roman" w:cs="Times New Roman"/>
        </w:rPr>
        <w:t xml:space="preserve"> </w:t>
      </w:r>
      <w:proofErr w:type="spellStart"/>
      <w:r w:rsidR="00E50414" w:rsidRPr="00705170">
        <w:rPr>
          <w:rFonts w:ascii="Times New Roman" w:hAnsi="Times New Roman" w:cs="Times New Roman"/>
        </w:rPr>
        <w:t>changes</w:t>
      </w:r>
      <w:proofErr w:type="spellEnd"/>
      <w:r w:rsidR="00E50414" w:rsidRPr="00705170">
        <w:rPr>
          <w:rFonts w:ascii="Times New Roman" w:hAnsi="Times New Roman" w:cs="Times New Roman"/>
        </w:rPr>
        <w:t xml:space="preserve"> </w:t>
      </w:r>
      <w:proofErr w:type="spellStart"/>
      <w:r w:rsidR="00E50414" w:rsidRPr="00705170">
        <w:rPr>
          <w:rFonts w:ascii="Times New Roman" w:hAnsi="Times New Roman" w:cs="Times New Roman"/>
        </w:rPr>
        <w:t>its</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nature</w:t>
      </w:r>
      <w:proofErr w:type="spellEnd"/>
      <w:r w:rsidR="00B324FB" w:rsidRPr="00705170">
        <w:rPr>
          <w:rStyle w:val="DipnotBavurusu"/>
          <w:rFonts w:ascii="Times New Roman" w:hAnsi="Times New Roman" w:cs="Times New Roman"/>
        </w:rPr>
        <w:footnoteReference w:id="409"/>
      </w:r>
      <w:r w:rsidR="00100BFC" w:rsidRPr="00705170">
        <w:rPr>
          <w:rFonts w:ascii="Times New Roman" w:hAnsi="Times New Roman" w:cs="Times New Roman"/>
        </w:rPr>
        <w:t>,</w:t>
      </w:r>
      <w:r w:rsidR="00E50414" w:rsidRPr="00705170">
        <w:rPr>
          <w:rFonts w:ascii="Times New Roman" w:hAnsi="Times New Roman" w:cs="Times New Roman"/>
        </w:rPr>
        <w:t xml:space="preserve"> in </w:t>
      </w:r>
      <w:proofErr w:type="spellStart"/>
      <w:r w:rsidR="00E50414" w:rsidRPr="00705170">
        <w:rPr>
          <w:rFonts w:ascii="Times New Roman" w:hAnsi="Times New Roman" w:cs="Times New Roman"/>
        </w:rPr>
        <w:t>the</w:t>
      </w:r>
      <w:proofErr w:type="spellEnd"/>
      <w:r w:rsidR="00E50414" w:rsidRPr="00705170">
        <w:rPr>
          <w:rFonts w:ascii="Times New Roman" w:hAnsi="Times New Roman" w:cs="Times New Roman"/>
        </w:rPr>
        <w:t xml:space="preserve"> </w:t>
      </w:r>
      <w:proofErr w:type="spellStart"/>
      <w:r w:rsidR="00E50414" w:rsidRPr="00705170">
        <w:rPr>
          <w:rFonts w:ascii="Times New Roman" w:hAnsi="Times New Roman" w:cs="Times New Roman"/>
        </w:rPr>
        <w:t>context</w:t>
      </w:r>
      <w:proofErr w:type="spellEnd"/>
      <w:r w:rsidR="00E50414" w:rsidRPr="00705170">
        <w:rPr>
          <w:rFonts w:ascii="Times New Roman" w:hAnsi="Times New Roman" w:cs="Times New Roman"/>
        </w:rPr>
        <w:t xml:space="preserve"> of </w:t>
      </w:r>
      <w:proofErr w:type="spellStart"/>
      <w:r w:rsidR="00E50414" w:rsidRPr="00705170">
        <w:rPr>
          <w:rFonts w:ascii="Times New Roman" w:hAnsi="Times New Roman" w:cs="Times New Roman"/>
        </w:rPr>
        <w:t>close</w:t>
      </w:r>
      <w:proofErr w:type="spellEnd"/>
      <w:r w:rsidR="00E50414" w:rsidRPr="00705170">
        <w:rPr>
          <w:rFonts w:ascii="Times New Roman" w:hAnsi="Times New Roman" w:cs="Times New Roman"/>
        </w:rPr>
        <w:t xml:space="preserve"> </w:t>
      </w:r>
      <w:proofErr w:type="spellStart"/>
      <w:r w:rsidR="00E50414" w:rsidRPr="00705170">
        <w:rPr>
          <w:rFonts w:ascii="Times New Roman" w:hAnsi="Times New Roman" w:cs="Times New Roman"/>
        </w:rPr>
        <w:t>corporations</w:t>
      </w:r>
      <w:proofErr w:type="spellEnd"/>
      <w:r w:rsidR="00E50414" w:rsidRPr="00705170">
        <w:rPr>
          <w:rFonts w:ascii="Times New Roman" w:hAnsi="Times New Roman" w:cs="Times New Roman"/>
        </w:rPr>
        <w:t>,</w:t>
      </w:r>
      <w:r w:rsidR="00100BFC" w:rsidRPr="00705170">
        <w:rPr>
          <w:rFonts w:ascii="Times New Roman" w:hAnsi="Times New Roman" w:cs="Times New Roman"/>
        </w:rPr>
        <w:t xml:space="preserve"> </w:t>
      </w:r>
      <w:proofErr w:type="spellStart"/>
      <w:r w:rsidR="00100BFC" w:rsidRPr="00705170">
        <w:rPr>
          <w:rFonts w:ascii="Times New Roman" w:hAnsi="Times New Roman" w:cs="Times New Roman"/>
        </w:rPr>
        <w:t>the</w:t>
      </w:r>
      <w:proofErr w:type="spellEnd"/>
      <w:r w:rsidR="00E50414" w:rsidRPr="00705170">
        <w:rPr>
          <w:rFonts w:ascii="Times New Roman" w:hAnsi="Times New Roman" w:cs="Times New Roman"/>
        </w:rPr>
        <w:t xml:space="preserve"> </w:t>
      </w:r>
      <w:proofErr w:type="spellStart"/>
      <w:r w:rsidR="00520E78" w:rsidRPr="00705170">
        <w:rPr>
          <w:rFonts w:ascii="Times New Roman" w:hAnsi="Times New Roman" w:cs="Times New Roman"/>
        </w:rPr>
        <w:t>nature</w:t>
      </w:r>
      <w:proofErr w:type="spellEnd"/>
      <w:r w:rsidR="00520E78" w:rsidRPr="00705170">
        <w:rPr>
          <w:rFonts w:ascii="Times New Roman" w:hAnsi="Times New Roman" w:cs="Times New Roman"/>
        </w:rPr>
        <w:t xml:space="preserve"> of </w:t>
      </w:r>
      <w:proofErr w:type="spellStart"/>
      <w:r w:rsidR="00520E78" w:rsidRPr="00705170">
        <w:rPr>
          <w:rFonts w:ascii="Times New Roman" w:hAnsi="Times New Roman" w:cs="Times New Roman"/>
        </w:rPr>
        <w:t>this</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contract</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generally</w:t>
      </w:r>
      <w:proofErr w:type="spellEnd"/>
      <w:r w:rsidR="001F1997" w:rsidRPr="00705170">
        <w:rPr>
          <w:rFonts w:ascii="Times New Roman" w:hAnsi="Times New Roman" w:cs="Times New Roman"/>
        </w:rPr>
        <w:t xml:space="preserve"> </w:t>
      </w:r>
      <w:proofErr w:type="spellStart"/>
      <w:r w:rsidR="001F1997" w:rsidRPr="00705170">
        <w:rPr>
          <w:rFonts w:ascii="Times New Roman" w:hAnsi="Times New Roman" w:cs="Times New Roman"/>
        </w:rPr>
        <w:t>remains</w:t>
      </w:r>
      <w:proofErr w:type="spellEnd"/>
      <w:r w:rsidR="001F1997" w:rsidRPr="00705170">
        <w:rPr>
          <w:rFonts w:ascii="Times New Roman" w:hAnsi="Times New Roman" w:cs="Times New Roman"/>
        </w:rPr>
        <w:t xml:space="preserve"> </w:t>
      </w:r>
      <w:proofErr w:type="spellStart"/>
      <w:r w:rsidR="001F1997" w:rsidRPr="00705170">
        <w:rPr>
          <w:rFonts w:ascii="Times New Roman" w:hAnsi="Times New Roman" w:cs="Times New Roman"/>
        </w:rPr>
        <w:t>intact</w:t>
      </w:r>
      <w:proofErr w:type="spellEnd"/>
      <w:r w:rsidR="00B324FB" w:rsidRPr="00705170">
        <w:rPr>
          <w:rFonts w:ascii="Times New Roman" w:hAnsi="Times New Roman" w:cs="Times New Roman"/>
        </w:rPr>
        <w:t xml:space="preserve"> as </w:t>
      </w:r>
      <w:proofErr w:type="spellStart"/>
      <w:r w:rsidR="00B324FB" w:rsidRPr="00705170">
        <w:rPr>
          <w:rFonts w:ascii="Times New Roman" w:hAnsi="Times New Roman" w:cs="Times New Roman"/>
        </w:rPr>
        <w:t>if</w:t>
      </w:r>
      <w:proofErr w:type="spellEnd"/>
      <w:r w:rsidR="00B324FB" w:rsidRPr="00705170">
        <w:rPr>
          <w:rFonts w:ascii="Times New Roman" w:hAnsi="Times New Roman" w:cs="Times New Roman"/>
        </w:rPr>
        <w:t xml:space="preserve"> it is a </w:t>
      </w:r>
      <w:proofErr w:type="spellStart"/>
      <w:r w:rsidR="00B324FB" w:rsidRPr="00705170">
        <w:rPr>
          <w:rFonts w:ascii="Times New Roman" w:hAnsi="Times New Roman" w:cs="Times New Roman"/>
        </w:rPr>
        <w:t>partnership</w:t>
      </w:r>
      <w:proofErr w:type="spellEnd"/>
      <w:r w:rsidR="00B324FB" w:rsidRPr="00705170">
        <w:rPr>
          <w:rFonts w:ascii="Times New Roman" w:hAnsi="Times New Roman" w:cs="Times New Roman"/>
        </w:rPr>
        <w:t xml:space="preserve"> </w:t>
      </w:r>
      <w:proofErr w:type="spellStart"/>
      <w:r w:rsidR="00B324FB" w:rsidRPr="00705170">
        <w:rPr>
          <w:rFonts w:ascii="Times New Roman" w:hAnsi="Times New Roman" w:cs="Times New Roman"/>
        </w:rPr>
        <w:t>contract</w:t>
      </w:r>
      <w:proofErr w:type="spellEnd"/>
      <w:r w:rsidR="00520E78" w:rsidRPr="00705170">
        <w:rPr>
          <w:rFonts w:ascii="Times New Roman" w:hAnsi="Times New Roman" w:cs="Times New Roman"/>
        </w:rPr>
        <w:t xml:space="preserve"> </w:t>
      </w:r>
      <w:proofErr w:type="spellStart"/>
      <w:r w:rsidR="001F1997" w:rsidRPr="00705170">
        <w:rPr>
          <w:rFonts w:ascii="Times New Roman" w:hAnsi="Times New Roman" w:cs="Times New Roman"/>
        </w:rPr>
        <w:t>due</w:t>
      </w:r>
      <w:proofErr w:type="spellEnd"/>
      <w:r w:rsidR="001F1997" w:rsidRPr="00705170">
        <w:rPr>
          <w:rFonts w:ascii="Times New Roman" w:hAnsi="Times New Roman" w:cs="Times New Roman"/>
        </w:rPr>
        <w:t xml:space="preserve"> </w:t>
      </w:r>
      <w:proofErr w:type="spellStart"/>
      <w:r w:rsidR="001F1997" w:rsidRPr="00705170">
        <w:rPr>
          <w:rFonts w:ascii="Times New Roman" w:hAnsi="Times New Roman" w:cs="Times New Roman"/>
        </w:rPr>
        <w:t>to</w:t>
      </w:r>
      <w:proofErr w:type="spellEnd"/>
      <w:r w:rsidR="001F1997" w:rsidRPr="00705170">
        <w:rPr>
          <w:rFonts w:ascii="Times New Roman" w:hAnsi="Times New Roman" w:cs="Times New Roman"/>
        </w:rPr>
        <w:t xml:space="preserve"> </w:t>
      </w:r>
      <w:proofErr w:type="spellStart"/>
      <w:r w:rsidR="001F1997" w:rsidRPr="00705170">
        <w:rPr>
          <w:rFonts w:ascii="Times New Roman" w:hAnsi="Times New Roman" w:cs="Times New Roman"/>
        </w:rPr>
        <w:t>the</w:t>
      </w:r>
      <w:proofErr w:type="spellEnd"/>
      <w:r w:rsidR="00520E78" w:rsidRPr="00705170">
        <w:rPr>
          <w:rFonts w:ascii="Times New Roman" w:hAnsi="Times New Roman" w:cs="Times New Roman"/>
        </w:rPr>
        <w:t xml:space="preserve"> </w:t>
      </w:r>
      <w:proofErr w:type="spellStart"/>
      <w:r w:rsidR="00100BFC" w:rsidRPr="00705170">
        <w:rPr>
          <w:rFonts w:ascii="Times New Roman" w:hAnsi="Times New Roman" w:cs="Times New Roman"/>
        </w:rPr>
        <w:t>nature</w:t>
      </w:r>
      <w:proofErr w:type="spellEnd"/>
      <w:r w:rsidR="00100BFC" w:rsidRPr="00705170">
        <w:rPr>
          <w:rFonts w:ascii="Times New Roman" w:hAnsi="Times New Roman" w:cs="Times New Roman"/>
        </w:rPr>
        <w:t xml:space="preserve"> of </w:t>
      </w:r>
      <w:proofErr w:type="spellStart"/>
      <w:r w:rsidR="00100BFC" w:rsidRPr="00705170">
        <w:rPr>
          <w:rFonts w:ascii="Times New Roman" w:hAnsi="Times New Roman" w:cs="Times New Roman"/>
        </w:rPr>
        <w:t>the</w:t>
      </w:r>
      <w:proofErr w:type="spellEnd"/>
      <w:r w:rsidR="00100BFC" w:rsidRPr="00705170">
        <w:rPr>
          <w:rFonts w:ascii="Times New Roman" w:hAnsi="Times New Roman" w:cs="Times New Roman"/>
        </w:rPr>
        <w:t xml:space="preserve"> </w:t>
      </w:r>
      <w:proofErr w:type="spellStart"/>
      <w:r w:rsidR="00520E78" w:rsidRPr="00705170">
        <w:rPr>
          <w:rFonts w:ascii="Times New Roman" w:hAnsi="Times New Roman" w:cs="Times New Roman"/>
        </w:rPr>
        <w:t>close</w:t>
      </w:r>
      <w:proofErr w:type="spellEnd"/>
      <w:r w:rsidR="00520E78" w:rsidRPr="00705170">
        <w:rPr>
          <w:rFonts w:ascii="Times New Roman" w:hAnsi="Times New Roman" w:cs="Times New Roman"/>
        </w:rPr>
        <w:t xml:space="preserve"> </w:t>
      </w:r>
      <w:proofErr w:type="spellStart"/>
      <w:r w:rsidR="00100BFC" w:rsidRPr="00705170">
        <w:rPr>
          <w:rFonts w:ascii="Times New Roman" w:hAnsi="Times New Roman" w:cs="Times New Roman"/>
        </w:rPr>
        <w:t>corporation</w:t>
      </w:r>
      <w:proofErr w:type="spellEnd"/>
      <w:r w:rsidR="00B324FB" w:rsidRPr="00705170">
        <w:rPr>
          <w:rStyle w:val="DipnotBavurusu"/>
          <w:rFonts w:ascii="Times New Roman" w:hAnsi="Times New Roman" w:cs="Times New Roman"/>
        </w:rPr>
        <w:footnoteReference w:id="410"/>
      </w:r>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This</w:t>
      </w:r>
      <w:proofErr w:type="spellEnd"/>
      <w:r w:rsidR="00520E78" w:rsidRPr="00705170">
        <w:rPr>
          <w:rFonts w:ascii="Times New Roman" w:hAnsi="Times New Roman" w:cs="Times New Roman"/>
        </w:rPr>
        <w:t xml:space="preserve"> is</w:t>
      </w:r>
      <w:r w:rsidR="00DF4BD7" w:rsidRPr="00705170">
        <w:rPr>
          <w:rFonts w:ascii="Times New Roman" w:hAnsi="Times New Roman" w:cs="Times New Roman"/>
        </w:rPr>
        <w:t xml:space="preserve"> </w:t>
      </w:r>
      <w:proofErr w:type="spellStart"/>
      <w:r w:rsidR="00520E78" w:rsidRPr="00705170">
        <w:rPr>
          <w:rFonts w:ascii="Times New Roman" w:hAnsi="Times New Roman" w:cs="Times New Roman"/>
        </w:rPr>
        <w:t>primarily</w:t>
      </w:r>
      <w:proofErr w:type="spellEnd"/>
      <w:r w:rsidR="00520E78" w:rsidRPr="00705170">
        <w:rPr>
          <w:rFonts w:ascii="Times New Roman" w:hAnsi="Times New Roman" w:cs="Times New Roman"/>
        </w:rPr>
        <w:t xml:space="preserve"> </w:t>
      </w:r>
      <w:proofErr w:type="spellStart"/>
      <w:r w:rsidR="00DF4BD7" w:rsidRPr="00705170">
        <w:rPr>
          <w:rFonts w:ascii="Times New Roman" w:hAnsi="Times New Roman" w:cs="Times New Roman"/>
        </w:rPr>
        <w:t>because</w:t>
      </w:r>
      <w:proofErr w:type="spellEnd"/>
      <w:r w:rsidR="00567F4C" w:rsidRPr="00705170">
        <w:rPr>
          <w:rFonts w:ascii="Times New Roman" w:hAnsi="Times New Roman" w:cs="Times New Roman"/>
        </w:rPr>
        <w:t xml:space="preserve"> </w:t>
      </w:r>
      <w:proofErr w:type="spellStart"/>
      <w:r w:rsidR="00CE4A81" w:rsidRPr="00705170">
        <w:rPr>
          <w:rFonts w:ascii="Times New Roman" w:hAnsi="Times New Roman" w:cs="Times New Roman"/>
        </w:rPr>
        <w:t>both</w:t>
      </w:r>
      <w:proofErr w:type="spellEnd"/>
      <w:r w:rsidR="00CE4A81" w:rsidRPr="00705170">
        <w:rPr>
          <w:rFonts w:ascii="Times New Roman" w:hAnsi="Times New Roman" w:cs="Times New Roman"/>
        </w:rPr>
        <w:t xml:space="preserve"> </w:t>
      </w:r>
      <w:proofErr w:type="spellStart"/>
      <w:r w:rsidR="00CE4A81" w:rsidRPr="00705170">
        <w:rPr>
          <w:rFonts w:ascii="Times New Roman" w:hAnsi="Times New Roman" w:cs="Times New Roman"/>
        </w:rPr>
        <w:t>the</w:t>
      </w:r>
      <w:proofErr w:type="spellEnd"/>
      <w:r w:rsidR="00CE4A81" w:rsidRPr="00705170">
        <w:rPr>
          <w:rFonts w:ascii="Times New Roman" w:hAnsi="Times New Roman" w:cs="Times New Roman"/>
        </w:rPr>
        <w:t xml:space="preserve"> </w:t>
      </w:r>
      <w:proofErr w:type="spellStart"/>
      <w:r w:rsidR="00CE4A81" w:rsidRPr="00705170">
        <w:rPr>
          <w:rFonts w:ascii="Times New Roman" w:hAnsi="Times New Roman" w:cs="Times New Roman"/>
        </w:rPr>
        <w:t>parties</w:t>
      </w:r>
      <w:proofErr w:type="spellEnd"/>
      <w:r w:rsidR="00CE4A81" w:rsidRPr="00705170">
        <w:rPr>
          <w:rFonts w:ascii="Times New Roman" w:hAnsi="Times New Roman" w:cs="Times New Roman"/>
        </w:rPr>
        <w:t xml:space="preserve"> </w:t>
      </w:r>
      <w:proofErr w:type="spellStart"/>
      <w:r w:rsidR="00CE4A81" w:rsidRPr="00705170">
        <w:rPr>
          <w:rFonts w:ascii="Times New Roman" w:hAnsi="Times New Roman" w:cs="Times New Roman"/>
        </w:rPr>
        <w:t>and</w:t>
      </w:r>
      <w:proofErr w:type="spellEnd"/>
      <w:r w:rsidR="00CE4A81" w:rsidRPr="00705170">
        <w:rPr>
          <w:rFonts w:ascii="Times New Roman" w:hAnsi="Times New Roman" w:cs="Times New Roman"/>
        </w:rPr>
        <w:t xml:space="preserve"> </w:t>
      </w:r>
      <w:proofErr w:type="spellStart"/>
      <w:r w:rsidR="00CE4A81" w:rsidRPr="00705170">
        <w:rPr>
          <w:rFonts w:ascii="Times New Roman" w:hAnsi="Times New Roman" w:cs="Times New Roman"/>
        </w:rPr>
        <w:t>the</w:t>
      </w:r>
      <w:proofErr w:type="spellEnd"/>
      <w:r w:rsidR="00CE4A81" w:rsidRPr="00705170">
        <w:rPr>
          <w:rFonts w:ascii="Times New Roman" w:hAnsi="Times New Roman" w:cs="Times New Roman"/>
        </w:rPr>
        <w:t xml:space="preserve"> </w:t>
      </w:r>
      <w:proofErr w:type="spellStart"/>
      <w:r w:rsidR="00CE4A81" w:rsidRPr="00705170">
        <w:rPr>
          <w:rFonts w:ascii="Times New Roman" w:hAnsi="Times New Roman" w:cs="Times New Roman"/>
        </w:rPr>
        <w:t>understanding</w:t>
      </w:r>
      <w:proofErr w:type="spellEnd"/>
      <w:r w:rsidR="00CE4A81" w:rsidRPr="00705170">
        <w:rPr>
          <w:rFonts w:ascii="Times New Roman" w:hAnsi="Times New Roman" w:cs="Times New Roman"/>
        </w:rPr>
        <w:t xml:space="preserve"> </w:t>
      </w:r>
      <w:proofErr w:type="spellStart"/>
      <w:r w:rsidR="00CE4A81" w:rsidRPr="00705170">
        <w:rPr>
          <w:rFonts w:ascii="Times New Roman" w:hAnsi="Times New Roman" w:cs="Times New Roman"/>
        </w:rPr>
        <w:t>between</w:t>
      </w:r>
      <w:proofErr w:type="spellEnd"/>
      <w:r w:rsidR="00CE4A81" w:rsidRPr="00705170">
        <w:rPr>
          <w:rFonts w:ascii="Times New Roman" w:hAnsi="Times New Roman" w:cs="Times New Roman"/>
        </w:rPr>
        <w:t xml:space="preserve"> </w:t>
      </w:r>
      <w:proofErr w:type="spellStart"/>
      <w:r w:rsidR="00CE4A81" w:rsidRPr="00705170">
        <w:rPr>
          <w:rFonts w:ascii="Times New Roman" w:hAnsi="Times New Roman" w:cs="Times New Roman"/>
        </w:rPr>
        <w:t>them</w:t>
      </w:r>
      <w:proofErr w:type="spellEnd"/>
      <w:r w:rsidR="00DF4BD7" w:rsidRPr="00705170">
        <w:rPr>
          <w:rFonts w:ascii="Times New Roman" w:hAnsi="Times New Roman" w:cs="Times New Roman"/>
        </w:rPr>
        <w:t xml:space="preserve"> </w:t>
      </w:r>
      <w:proofErr w:type="spellStart"/>
      <w:r w:rsidR="004F7A62" w:rsidRPr="00705170">
        <w:rPr>
          <w:rFonts w:ascii="Times New Roman" w:hAnsi="Times New Roman" w:cs="Times New Roman"/>
        </w:rPr>
        <w:t>generally</w:t>
      </w:r>
      <w:proofErr w:type="spellEnd"/>
      <w:r w:rsidR="004F7A62" w:rsidRPr="00705170">
        <w:rPr>
          <w:rFonts w:ascii="Times New Roman" w:hAnsi="Times New Roman" w:cs="Times New Roman"/>
        </w:rPr>
        <w:t xml:space="preserve"> </w:t>
      </w:r>
      <w:proofErr w:type="spellStart"/>
      <w:r w:rsidR="00DF4BD7" w:rsidRPr="00705170">
        <w:rPr>
          <w:rFonts w:ascii="Times New Roman" w:hAnsi="Times New Roman" w:cs="Times New Roman"/>
        </w:rPr>
        <w:t>remains</w:t>
      </w:r>
      <w:proofErr w:type="spellEnd"/>
      <w:r w:rsidR="00DF4BD7" w:rsidRPr="00705170">
        <w:rPr>
          <w:rFonts w:ascii="Times New Roman" w:hAnsi="Times New Roman" w:cs="Times New Roman"/>
        </w:rPr>
        <w:t xml:space="preserve"> </w:t>
      </w:r>
      <w:proofErr w:type="spellStart"/>
      <w:r w:rsidR="00DF4BD7" w:rsidRPr="00705170">
        <w:rPr>
          <w:rFonts w:ascii="Times New Roman" w:hAnsi="Times New Roman" w:cs="Times New Roman"/>
        </w:rPr>
        <w:t>unchanged</w:t>
      </w:r>
      <w:proofErr w:type="spellEnd"/>
      <w:r w:rsidR="00B5186E" w:rsidRPr="00705170">
        <w:rPr>
          <w:rFonts w:ascii="Times New Roman" w:hAnsi="Times New Roman" w:cs="Times New Roman"/>
        </w:rPr>
        <w:t xml:space="preserve"> </w:t>
      </w:r>
      <w:proofErr w:type="spellStart"/>
      <w:r w:rsidR="00520E78" w:rsidRPr="00705170">
        <w:rPr>
          <w:rFonts w:ascii="Times New Roman" w:hAnsi="Times New Roman" w:cs="Times New Roman"/>
        </w:rPr>
        <w:t>and</w:t>
      </w:r>
      <w:proofErr w:type="spellEnd"/>
      <w:r w:rsidR="00B5186E" w:rsidRPr="00705170">
        <w:rPr>
          <w:rFonts w:ascii="Times New Roman" w:hAnsi="Times New Roman" w:cs="Times New Roman"/>
        </w:rPr>
        <w:t xml:space="preserve"> </w:t>
      </w:r>
      <w:proofErr w:type="spellStart"/>
      <w:r w:rsidR="00B5186E" w:rsidRPr="00705170">
        <w:rPr>
          <w:rFonts w:ascii="Times New Roman" w:hAnsi="Times New Roman" w:cs="Times New Roman"/>
        </w:rPr>
        <w:t>the</w:t>
      </w:r>
      <w:proofErr w:type="spellEnd"/>
      <w:r w:rsidR="00B5186E" w:rsidRPr="00705170">
        <w:rPr>
          <w:rFonts w:ascii="Times New Roman" w:hAnsi="Times New Roman" w:cs="Times New Roman"/>
        </w:rPr>
        <w:t xml:space="preserve"> </w:t>
      </w:r>
      <w:proofErr w:type="spellStart"/>
      <w:r w:rsidR="00B5186E" w:rsidRPr="00705170">
        <w:rPr>
          <w:rFonts w:ascii="Times New Roman" w:hAnsi="Times New Roman" w:cs="Times New Roman"/>
        </w:rPr>
        <w:t>n</w:t>
      </w:r>
      <w:r w:rsidR="00520E78" w:rsidRPr="00705170">
        <w:rPr>
          <w:rFonts w:ascii="Times New Roman" w:hAnsi="Times New Roman" w:cs="Times New Roman"/>
        </w:rPr>
        <w:t>ewcomers</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purchase</w:t>
      </w:r>
      <w:proofErr w:type="spellEnd"/>
      <w:r w:rsidR="00ED4848" w:rsidRPr="00705170">
        <w:rPr>
          <w:rFonts w:ascii="Times New Roman" w:hAnsi="Times New Roman" w:cs="Times New Roman"/>
        </w:rPr>
        <w:t xml:space="preserve"> </w:t>
      </w:r>
      <w:proofErr w:type="spellStart"/>
      <w:r w:rsidR="00ED4848" w:rsidRPr="00705170">
        <w:rPr>
          <w:rFonts w:ascii="Times New Roman" w:hAnsi="Times New Roman" w:cs="Times New Roman"/>
        </w:rPr>
        <w:t>the</w:t>
      </w:r>
      <w:proofErr w:type="spellEnd"/>
      <w:r w:rsidR="00ED4848" w:rsidRPr="00705170">
        <w:rPr>
          <w:rFonts w:ascii="Times New Roman" w:hAnsi="Times New Roman" w:cs="Times New Roman"/>
        </w:rPr>
        <w:t xml:space="preserve"> </w:t>
      </w:r>
      <w:proofErr w:type="spellStart"/>
      <w:r w:rsidR="00ED4848" w:rsidRPr="00705170">
        <w:rPr>
          <w:rFonts w:ascii="Times New Roman" w:hAnsi="Times New Roman" w:cs="Times New Roman"/>
        </w:rPr>
        <w:t>shares</w:t>
      </w:r>
      <w:proofErr w:type="spellEnd"/>
      <w:r w:rsidR="00B5186E" w:rsidRPr="00705170">
        <w:rPr>
          <w:rFonts w:ascii="Times New Roman" w:hAnsi="Times New Roman" w:cs="Times New Roman"/>
        </w:rPr>
        <w:t xml:space="preserve"> </w:t>
      </w:r>
      <w:proofErr w:type="spellStart"/>
      <w:r w:rsidR="00B5186E" w:rsidRPr="00705170">
        <w:rPr>
          <w:rFonts w:ascii="Times New Roman" w:hAnsi="Times New Roman" w:cs="Times New Roman"/>
        </w:rPr>
        <w:t>by</w:t>
      </w:r>
      <w:proofErr w:type="spellEnd"/>
      <w:r w:rsidR="00B5186E" w:rsidRPr="00705170">
        <w:rPr>
          <w:rFonts w:ascii="Times New Roman" w:hAnsi="Times New Roman" w:cs="Times New Roman"/>
        </w:rPr>
        <w:t xml:space="preserve"> </w:t>
      </w:r>
      <w:proofErr w:type="spellStart"/>
      <w:r w:rsidR="00ED4848" w:rsidRPr="00705170">
        <w:rPr>
          <w:rFonts w:ascii="Times New Roman" w:hAnsi="Times New Roman" w:cs="Times New Roman"/>
        </w:rPr>
        <w:t>most</w:t>
      </w:r>
      <w:proofErr w:type="spellEnd"/>
      <w:r w:rsidR="00ED4848" w:rsidRPr="00705170">
        <w:rPr>
          <w:rFonts w:ascii="Times New Roman" w:hAnsi="Times New Roman" w:cs="Times New Roman"/>
        </w:rPr>
        <w:t xml:space="preserve"> </w:t>
      </w:r>
      <w:proofErr w:type="spellStart"/>
      <w:r w:rsidR="00ED4848" w:rsidRPr="00705170">
        <w:rPr>
          <w:rFonts w:ascii="Times New Roman" w:hAnsi="Times New Roman" w:cs="Times New Roman"/>
        </w:rPr>
        <w:t>likely</w:t>
      </w:r>
      <w:proofErr w:type="spellEnd"/>
      <w:r w:rsidR="00520E78" w:rsidRPr="00705170">
        <w:rPr>
          <w:rFonts w:ascii="Times New Roman" w:hAnsi="Times New Roman" w:cs="Times New Roman"/>
        </w:rPr>
        <w:t xml:space="preserve"> </w:t>
      </w:r>
      <w:proofErr w:type="spellStart"/>
      <w:r w:rsidR="00B5186E" w:rsidRPr="00705170">
        <w:rPr>
          <w:rFonts w:ascii="Times New Roman" w:hAnsi="Times New Roman" w:cs="Times New Roman"/>
        </w:rPr>
        <w:t>knowing</w:t>
      </w:r>
      <w:proofErr w:type="spellEnd"/>
      <w:r w:rsidR="00B5186E" w:rsidRPr="00705170">
        <w:rPr>
          <w:rFonts w:ascii="Times New Roman" w:hAnsi="Times New Roman" w:cs="Times New Roman"/>
        </w:rPr>
        <w:t xml:space="preserve"> </w:t>
      </w:r>
      <w:proofErr w:type="spellStart"/>
      <w:r w:rsidR="00B5186E" w:rsidRPr="00705170">
        <w:rPr>
          <w:rFonts w:ascii="Times New Roman" w:hAnsi="Times New Roman" w:cs="Times New Roman"/>
        </w:rPr>
        <w:t>both</w:t>
      </w:r>
      <w:proofErr w:type="spellEnd"/>
      <w:r w:rsidR="00B5186E" w:rsidRPr="00705170">
        <w:rPr>
          <w:rFonts w:ascii="Times New Roman" w:hAnsi="Times New Roman" w:cs="Times New Roman"/>
        </w:rPr>
        <w:t xml:space="preserve"> </w:t>
      </w:r>
      <w:proofErr w:type="spellStart"/>
      <w:r w:rsidR="00B5186E" w:rsidRPr="00705170">
        <w:rPr>
          <w:rFonts w:ascii="Times New Roman" w:hAnsi="Times New Roman" w:cs="Times New Roman"/>
        </w:rPr>
        <w:t>the</w:t>
      </w:r>
      <w:proofErr w:type="spellEnd"/>
      <w:r w:rsidR="00B5186E" w:rsidRPr="00705170">
        <w:rPr>
          <w:rFonts w:ascii="Times New Roman" w:hAnsi="Times New Roman" w:cs="Times New Roman"/>
        </w:rPr>
        <w:t xml:space="preserve"> </w:t>
      </w:r>
      <w:proofErr w:type="spellStart"/>
      <w:r w:rsidR="00B5186E" w:rsidRPr="00705170">
        <w:rPr>
          <w:rFonts w:ascii="Times New Roman" w:hAnsi="Times New Roman" w:cs="Times New Roman"/>
        </w:rPr>
        <w:t>implicit</w:t>
      </w:r>
      <w:proofErr w:type="spellEnd"/>
      <w:r w:rsidR="00B5186E" w:rsidRPr="00705170">
        <w:rPr>
          <w:rFonts w:ascii="Times New Roman" w:hAnsi="Times New Roman" w:cs="Times New Roman"/>
        </w:rPr>
        <w:t xml:space="preserve"> </w:t>
      </w:r>
      <w:proofErr w:type="spellStart"/>
      <w:r w:rsidR="00B5186E" w:rsidRPr="00705170">
        <w:rPr>
          <w:rFonts w:ascii="Times New Roman" w:hAnsi="Times New Roman" w:cs="Times New Roman"/>
        </w:rPr>
        <w:t>and</w:t>
      </w:r>
      <w:proofErr w:type="spellEnd"/>
      <w:r w:rsidR="00B5186E" w:rsidRPr="00705170">
        <w:rPr>
          <w:rFonts w:ascii="Times New Roman" w:hAnsi="Times New Roman" w:cs="Times New Roman"/>
        </w:rPr>
        <w:t xml:space="preserve"> </w:t>
      </w:r>
      <w:proofErr w:type="spellStart"/>
      <w:r w:rsidR="00B5186E" w:rsidRPr="00705170">
        <w:rPr>
          <w:rFonts w:ascii="Times New Roman" w:hAnsi="Times New Roman" w:cs="Times New Roman"/>
        </w:rPr>
        <w:t>explicit</w:t>
      </w:r>
      <w:proofErr w:type="spellEnd"/>
      <w:r w:rsidR="00B5186E" w:rsidRPr="00705170">
        <w:rPr>
          <w:rFonts w:ascii="Times New Roman" w:hAnsi="Times New Roman" w:cs="Times New Roman"/>
        </w:rPr>
        <w:t xml:space="preserve"> </w:t>
      </w:r>
      <w:proofErr w:type="spellStart"/>
      <w:r w:rsidR="00B5186E" w:rsidRPr="00705170">
        <w:rPr>
          <w:rFonts w:ascii="Times New Roman" w:hAnsi="Times New Roman" w:cs="Times New Roman"/>
        </w:rPr>
        <w:t>conditions</w:t>
      </w:r>
      <w:proofErr w:type="spellEnd"/>
      <w:r w:rsidR="00520E78" w:rsidRPr="00705170">
        <w:rPr>
          <w:rFonts w:ascii="Times New Roman" w:hAnsi="Times New Roman" w:cs="Times New Roman"/>
        </w:rPr>
        <w:t xml:space="preserve"> of </w:t>
      </w:r>
      <w:proofErr w:type="spellStart"/>
      <w:r w:rsidR="00520E78" w:rsidRPr="00705170">
        <w:rPr>
          <w:rFonts w:ascii="Times New Roman" w:hAnsi="Times New Roman" w:cs="Times New Roman"/>
        </w:rPr>
        <w:t>the</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membership</w:t>
      </w:r>
      <w:proofErr w:type="spellEnd"/>
      <w:r w:rsidR="00D871F8" w:rsidRPr="00705170">
        <w:rPr>
          <w:rStyle w:val="DipnotBavurusu"/>
          <w:rFonts w:ascii="Times New Roman" w:hAnsi="Times New Roman" w:cs="Times New Roman"/>
        </w:rPr>
        <w:footnoteReference w:id="411"/>
      </w:r>
      <w:r w:rsidR="00BA4CD8" w:rsidRPr="00705170">
        <w:rPr>
          <w:rFonts w:ascii="Times New Roman" w:hAnsi="Times New Roman" w:cs="Times New Roman"/>
        </w:rPr>
        <w:t>.</w:t>
      </w:r>
      <w:r w:rsidR="00775425" w:rsidRPr="00705170">
        <w:rPr>
          <w:rFonts w:ascii="Times New Roman" w:hAnsi="Times New Roman" w:cs="Times New Roman"/>
        </w:rPr>
        <w:t xml:space="preserve"> </w:t>
      </w:r>
      <w:proofErr w:type="spellStart"/>
      <w:r w:rsidR="00775425" w:rsidRPr="00705170">
        <w:rPr>
          <w:rFonts w:ascii="Times New Roman" w:hAnsi="Times New Roman" w:cs="Times New Roman"/>
        </w:rPr>
        <w:t>However</w:t>
      </w:r>
      <w:proofErr w:type="spellEnd"/>
      <w:r w:rsidR="00775425" w:rsidRPr="00705170">
        <w:rPr>
          <w:rFonts w:ascii="Times New Roman" w:hAnsi="Times New Roman" w:cs="Times New Roman"/>
        </w:rPr>
        <w:t xml:space="preserve">, </w:t>
      </w:r>
      <w:proofErr w:type="spellStart"/>
      <w:r w:rsidR="00775425" w:rsidRPr="00705170">
        <w:rPr>
          <w:rFonts w:ascii="Times New Roman" w:hAnsi="Times New Roman" w:cs="Times New Roman"/>
        </w:rPr>
        <w:t>once</w:t>
      </w:r>
      <w:proofErr w:type="spellEnd"/>
      <w:r w:rsidR="00775425" w:rsidRPr="00705170">
        <w:rPr>
          <w:rFonts w:ascii="Times New Roman" w:hAnsi="Times New Roman" w:cs="Times New Roman"/>
        </w:rPr>
        <w:t xml:space="preserve"> a </w:t>
      </w:r>
      <w:proofErr w:type="spellStart"/>
      <w:r w:rsidR="00775425" w:rsidRPr="00705170">
        <w:rPr>
          <w:rFonts w:ascii="Times New Roman" w:hAnsi="Times New Roman" w:cs="Times New Roman"/>
        </w:rPr>
        <w:t>corporation</w:t>
      </w:r>
      <w:proofErr w:type="spellEnd"/>
      <w:r w:rsidR="00775425" w:rsidRPr="00705170">
        <w:rPr>
          <w:rFonts w:ascii="Times New Roman" w:hAnsi="Times New Roman" w:cs="Times New Roman"/>
        </w:rPr>
        <w:t xml:space="preserve"> </w:t>
      </w:r>
      <w:proofErr w:type="spellStart"/>
      <w:r w:rsidR="00775425" w:rsidRPr="00705170">
        <w:rPr>
          <w:rFonts w:ascii="Times New Roman" w:hAnsi="Times New Roman" w:cs="Times New Roman"/>
        </w:rPr>
        <w:t>becomes</w:t>
      </w:r>
      <w:proofErr w:type="spellEnd"/>
      <w:r w:rsidR="00B263F2" w:rsidRPr="00705170">
        <w:rPr>
          <w:rFonts w:ascii="Times New Roman" w:hAnsi="Times New Roman" w:cs="Times New Roman"/>
        </w:rPr>
        <w:t xml:space="preserve"> a </w:t>
      </w:r>
      <w:proofErr w:type="spellStart"/>
      <w:r w:rsidR="00B263F2" w:rsidRPr="00705170">
        <w:rPr>
          <w:rFonts w:ascii="Times New Roman" w:hAnsi="Times New Roman" w:cs="Times New Roman"/>
        </w:rPr>
        <w:t>pu</w:t>
      </w:r>
      <w:r w:rsidR="00520E78" w:rsidRPr="00705170">
        <w:rPr>
          <w:rFonts w:ascii="Times New Roman" w:hAnsi="Times New Roman" w:cs="Times New Roman"/>
        </w:rPr>
        <w:t>blicly</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traded</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one</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newcomers</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purchase</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the</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shares</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from</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the</w:t>
      </w:r>
      <w:proofErr w:type="spellEnd"/>
      <w:r w:rsidR="00B263F2" w:rsidRPr="00705170">
        <w:rPr>
          <w:rFonts w:ascii="Times New Roman" w:hAnsi="Times New Roman" w:cs="Times New Roman"/>
        </w:rPr>
        <w:t xml:space="preserve"> market, </w:t>
      </w:r>
      <w:proofErr w:type="spellStart"/>
      <w:r w:rsidR="00B263F2" w:rsidRPr="00705170">
        <w:rPr>
          <w:rFonts w:ascii="Times New Roman" w:hAnsi="Times New Roman" w:cs="Times New Roman"/>
        </w:rPr>
        <w:t>and</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the</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dispersed</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natu</w:t>
      </w:r>
      <w:r w:rsidR="00520E78" w:rsidRPr="00705170">
        <w:rPr>
          <w:rFonts w:ascii="Times New Roman" w:hAnsi="Times New Roman" w:cs="Times New Roman"/>
        </w:rPr>
        <w:t>re</w:t>
      </w:r>
      <w:proofErr w:type="spellEnd"/>
      <w:r w:rsidR="00520E78" w:rsidRPr="00705170">
        <w:rPr>
          <w:rFonts w:ascii="Times New Roman" w:hAnsi="Times New Roman" w:cs="Times New Roman"/>
        </w:rPr>
        <w:t xml:space="preserve"> of </w:t>
      </w:r>
      <w:proofErr w:type="spellStart"/>
      <w:r w:rsidR="00520E78" w:rsidRPr="00705170">
        <w:rPr>
          <w:rFonts w:ascii="Times New Roman" w:hAnsi="Times New Roman" w:cs="Times New Roman"/>
        </w:rPr>
        <w:t>the</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shareholders</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makes</w:t>
      </w:r>
      <w:proofErr w:type="spellEnd"/>
      <w:r w:rsidR="00451D11" w:rsidRPr="00705170">
        <w:rPr>
          <w:rFonts w:ascii="Times New Roman" w:hAnsi="Times New Roman" w:cs="Times New Roman"/>
        </w:rPr>
        <w:t xml:space="preserve"> </w:t>
      </w:r>
      <w:proofErr w:type="spellStart"/>
      <w:r w:rsidR="00520E78" w:rsidRPr="00705170">
        <w:rPr>
          <w:rFonts w:ascii="Times New Roman" w:hAnsi="Times New Roman" w:cs="Times New Roman"/>
        </w:rPr>
        <w:t>im</w:t>
      </w:r>
      <w:r w:rsidR="00451D11" w:rsidRPr="00705170">
        <w:rPr>
          <w:rFonts w:ascii="Times New Roman" w:hAnsi="Times New Roman" w:cs="Times New Roman"/>
        </w:rPr>
        <w:t>possible</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for</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the</w:t>
      </w:r>
      <w:proofErr w:type="spellEnd"/>
      <w:r w:rsidR="00451D11" w:rsidRPr="00705170">
        <w:rPr>
          <w:rFonts w:ascii="Times New Roman" w:hAnsi="Times New Roman" w:cs="Times New Roman"/>
        </w:rPr>
        <w:t xml:space="preserve"> </w:t>
      </w:r>
      <w:proofErr w:type="spellStart"/>
      <w:r w:rsidR="00451D11" w:rsidRPr="00705170">
        <w:rPr>
          <w:rFonts w:ascii="Times New Roman" w:hAnsi="Times New Roman" w:cs="Times New Roman"/>
        </w:rPr>
        <w:t>member</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to</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know</w:t>
      </w:r>
      <w:proofErr w:type="spellEnd"/>
      <w:r w:rsidR="00B263F2" w:rsidRPr="00705170">
        <w:rPr>
          <w:rFonts w:ascii="Times New Roman" w:hAnsi="Times New Roman" w:cs="Times New Roman"/>
        </w:rPr>
        <w:t xml:space="preserve"> </w:t>
      </w:r>
      <w:proofErr w:type="spellStart"/>
      <w:r w:rsidR="00451D11" w:rsidRPr="00705170">
        <w:rPr>
          <w:rFonts w:ascii="Times New Roman" w:hAnsi="Times New Roman" w:cs="Times New Roman"/>
        </w:rPr>
        <w:t>the</w:t>
      </w:r>
      <w:proofErr w:type="spellEnd"/>
      <w:r w:rsidR="00451D11" w:rsidRPr="00705170">
        <w:rPr>
          <w:rFonts w:ascii="Times New Roman" w:hAnsi="Times New Roman" w:cs="Times New Roman"/>
        </w:rPr>
        <w:t xml:space="preserve"> </w:t>
      </w:r>
      <w:r w:rsidR="00520E78" w:rsidRPr="00705170">
        <w:rPr>
          <w:rFonts w:ascii="Times New Roman" w:hAnsi="Times New Roman" w:cs="Times New Roman"/>
        </w:rPr>
        <w:t>“</w:t>
      </w:r>
      <w:proofErr w:type="spellStart"/>
      <w:r w:rsidR="00520E78" w:rsidRPr="00705170">
        <w:rPr>
          <w:rFonts w:ascii="Times New Roman" w:hAnsi="Times New Roman" w:cs="Times New Roman"/>
        </w:rPr>
        <w:t>hidden</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terms</w:t>
      </w:r>
      <w:proofErr w:type="spellEnd"/>
      <w:r w:rsidR="00A604A5" w:rsidRPr="00705170">
        <w:rPr>
          <w:rFonts w:ascii="Times New Roman" w:hAnsi="Times New Roman" w:cs="Times New Roman"/>
        </w:rPr>
        <w:t xml:space="preserve"> (</w:t>
      </w:r>
      <w:proofErr w:type="spellStart"/>
      <w:r w:rsidR="00A604A5" w:rsidRPr="00705170">
        <w:rPr>
          <w:rFonts w:ascii="Times New Roman" w:hAnsi="Times New Roman" w:cs="Times New Roman"/>
        </w:rPr>
        <w:t>e.g</w:t>
      </w:r>
      <w:proofErr w:type="spellEnd"/>
      <w:r w:rsidR="00A604A5" w:rsidRPr="00705170">
        <w:rPr>
          <w:rFonts w:ascii="Times New Roman" w:hAnsi="Times New Roman" w:cs="Times New Roman"/>
        </w:rPr>
        <w:t xml:space="preserve">. </w:t>
      </w:r>
      <w:proofErr w:type="spellStart"/>
      <w:r w:rsidR="00A604A5" w:rsidRPr="00705170">
        <w:rPr>
          <w:rFonts w:ascii="Times New Roman" w:hAnsi="Times New Roman" w:cs="Times New Roman"/>
        </w:rPr>
        <w:t>terms</w:t>
      </w:r>
      <w:proofErr w:type="spellEnd"/>
      <w:r w:rsidR="00A604A5" w:rsidRPr="00705170">
        <w:rPr>
          <w:rFonts w:ascii="Times New Roman" w:hAnsi="Times New Roman" w:cs="Times New Roman"/>
        </w:rPr>
        <w:t xml:space="preserve"> </w:t>
      </w:r>
      <w:proofErr w:type="spellStart"/>
      <w:r w:rsidR="00A604A5" w:rsidRPr="00705170">
        <w:rPr>
          <w:rFonts w:ascii="Times New Roman" w:hAnsi="Times New Roman" w:cs="Times New Roman"/>
        </w:rPr>
        <w:t>arising</w:t>
      </w:r>
      <w:proofErr w:type="spellEnd"/>
      <w:r w:rsidR="00A604A5" w:rsidRPr="00705170">
        <w:rPr>
          <w:rFonts w:ascii="Times New Roman" w:hAnsi="Times New Roman" w:cs="Times New Roman"/>
        </w:rPr>
        <w:t xml:space="preserve"> </w:t>
      </w:r>
      <w:proofErr w:type="spellStart"/>
      <w:r w:rsidR="00A604A5" w:rsidRPr="00705170">
        <w:rPr>
          <w:rFonts w:ascii="Times New Roman" w:hAnsi="Times New Roman" w:cs="Times New Roman"/>
        </w:rPr>
        <w:t>from</w:t>
      </w:r>
      <w:proofErr w:type="spellEnd"/>
      <w:r w:rsidR="00A604A5" w:rsidRPr="00705170">
        <w:rPr>
          <w:rFonts w:ascii="Times New Roman" w:hAnsi="Times New Roman" w:cs="Times New Roman"/>
        </w:rPr>
        <w:t xml:space="preserve"> </w:t>
      </w:r>
      <w:proofErr w:type="spellStart"/>
      <w:r w:rsidR="00A604A5" w:rsidRPr="00705170">
        <w:rPr>
          <w:rFonts w:ascii="Times New Roman" w:hAnsi="Times New Roman" w:cs="Times New Roman"/>
        </w:rPr>
        <w:t>conduct</w:t>
      </w:r>
      <w:proofErr w:type="spellEnd"/>
      <w:r w:rsidR="00A604A5" w:rsidRPr="00705170">
        <w:rPr>
          <w:rFonts w:ascii="Times New Roman" w:hAnsi="Times New Roman" w:cs="Times New Roman"/>
        </w:rPr>
        <w:t xml:space="preserve"> </w:t>
      </w:r>
      <w:proofErr w:type="spellStart"/>
      <w:r w:rsidR="00A604A5" w:rsidRPr="00705170">
        <w:rPr>
          <w:rFonts w:ascii="Times New Roman" w:hAnsi="Times New Roman" w:cs="Times New Roman"/>
        </w:rPr>
        <w:t>or</w:t>
      </w:r>
      <w:proofErr w:type="spellEnd"/>
      <w:r w:rsidR="00A604A5" w:rsidRPr="00705170">
        <w:rPr>
          <w:rFonts w:ascii="Times New Roman" w:hAnsi="Times New Roman" w:cs="Times New Roman"/>
        </w:rPr>
        <w:t xml:space="preserve"> </w:t>
      </w:r>
      <w:proofErr w:type="spellStart"/>
      <w:r w:rsidR="00A604A5" w:rsidRPr="00705170">
        <w:rPr>
          <w:rFonts w:ascii="Times New Roman" w:hAnsi="Times New Roman" w:cs="Times New Roman"/>
        </w:rPr>
        <w:t>intent</w:t>
      </w:r>
      <w:proofErr w:type="spellEnd"/>
      <w:r w:rsidR="00A604A5" w:rsidRPr="00705170">
        <w:rPr>
          <w:rFonts w:ascii="Times New Roman" w:hAnsi="Times New Roman" w:cs="Times New Roman"/>
        </w:rPr>
        <w:t>)</w:t>
      </w:r>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unless</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they</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lastRenderedPageBreak/>
        <w:t>are</w:t>
      </w:r>
      <w:proofErr w:type="spellEnd"/>
      <w:r w:rsidR="00520E78" w:rsidRPr="00705170">
        <w:rPr>
          <w:rFonts w:ascii="Times New Roman" w:hAnsi="Times New Roman" w:cs="Times New Roman"/>
        </w:rPr>
        <w:t xml:space="preserve"> </w:t>
      </w:r>
      <w:proofErr w:type="spellStart"/>
      <w:r w:rsidR="00B263F2" w:rsidRPr="00705170">
        <w:rPr>
          <w:rFonts w:ascii="Times New Roman" w:hAnsi="Times New Roman" w:cs="Times New Roman"/>
        </w:rPr>
        <w:t>disclosed</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to</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the</w:t>
      </w:r>
      <w:proofErr w:type="spellEnd"/>
      <w:r w:rsidR="00520E78" w:rsidRPr="00705170">
        <w:rPr>
          <w:rFonts w:ascii="Times New Roman" w:hAnsi="Times New Roman" w:cs="Times New Roman"/>
        </w:rPr>
        <w:t xml:space="preserve"> </w:t>
      </w:r>
      <w:proofErr w:type="spellStart"/>
      <w:r w:rsidR="00520E78" w:rsidRPr="00705170">
        <w:rPr>
          <w:rFonts w:ascii="Times New Roman" w:hAnsi="Times New Roman" w:cs="Times New Roman"/>
        </w:rPr>
        <w:t>public</w:t>
      </w:r>
      <w:proofErr w:type="spellEnd"/>
      <w:r w:rsidR="00B263F2" w:rsidRPr="00705170">
        <w:rPr>
          <w:rFonts w:ascii="Times New Roman" w:hAnsi="Times New Roman" w:cs="Times New Roman"/>
        </w:rPr>
        <w:t xml:space="preserve">. </w:t>
      </w:r>
      <w:proofErr w:type="spellStart"/>
      <w:r w:rsidR="00296867" w:rsidRPr="00705170">
        <w:rPr>
          <w:rFonts w:ascii="Times New Roman" w:hAnsi="Times New Roman" w:cs="Times New Roman"/>
        </w:rPr>
        <w:t>While</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t</w:t>
      </w:r>
      <w:r w:rsidR="00B263F2" w:rsidRPr="00705170">
        <w:rPr>
          <w:rFonts w:ascii="Times New Roman" w:hAnsi="Times New Roman" w:cs="Times New Roman"/>
        </w:rPr>
        <w:t>his</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fact</w:t>
      </w:r>
      <w:proofErr w:type="spellEnd"/>
      <w:r w:rsidR="00B263F2" w:rsidRPr="00705170">
        <w:rPr>
          <w:rFonts w:ascii="Times New Roman" w:hAnsi="Times New Roman" w:cs="Times New Roman"/>
        </w:rPr>
        <w:t xml:space="preserve"> </w:t>
      </w:r>
      <w:proofErr w:type="spellStart"/>
      <w:r w:rsidR="00296867" w:rsidRPr="00705170">
        <w:rPr>
          <w:rFonts w:ascii="Times New Roman" w:hAnsi="Times New Roman" w:cs="Times New Roman"/>
        </w:rPr>
        <w:t>does</w:t>
      </w:r>
      <w:proofErr w:type="spellEnd"/>
      <w:r w:rsidR="00296867" w:rsidRPr="00705170">
        <w:rPr>
          <w:rFonts w:ascii="Times New Roman" w:hAnsi="Times New Roman" w:cs="Times New Roman"/>
        </w:rPr>
        <w:t xml:space="preserve"> not </w:t>
      </w:r>
      <w:proofErr w:type="spellStart"/>
      <w:r w:rsidR="00296867" w:rsidRPr="00705170">
        <w:rPr>
          <w:rFonts w:ascii="Times New Roman" w:hAnsi="Times New Roman" w:cs="Times New Roman"/>
        </w:rPr>
        <w:t>prohibit</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the</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application</w:t>
      </w:r>
      <w:proofErr w:type="spellEnd"/>
      <w:r w:rsidR="00296867" w:rsidRPr="00705170">
        <w:rPr>
          <w:rFonts w:ascii="Times New Roman" w:hAnsi="Times New Roman" w:cs="Times New Roman"/>
        </w:rPr>
        <w:t xml:space="preserve"> of </w:t>
      </w:r>
      <w:proofErr w:type="spellStart"/>
      <w:r w:rsidR="00296867" w:rsidRPr="00705170">
        <w:rPr>
          <w:rFonts w:ascii="Times New Roman" w:hAnsi="Times New Roman" w:cs="Times New Roman"/>
        </w:rPr>
        <w:t>the</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reasonable</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expectations</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theory</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for</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investors</w:t>
      </w:r>
      <w:proofErr w:type="spellEnd"/>
      <w:r w:rsidR="00296867" w:rsidRPr="00705170">
        <w:rPr>
          <w:rFonts w:ascii="Times New Roman" w:hAnsi="Times New Roman" w:cs="Times New Roman"/>
        </w:rPr>
        <w:t xml:space="preserve"> of </w:t>
      </w:r>
      <w:proofErr w:type="spellStart"/>
      <w:r w:rsidR="00296867" w:rsidRPr="00705170">
        <w:rPr>
          <w:rFonts w:ascii="Times New Roman" w:hAnsi="Times New Roman" w:cs="Times New Roman"/>
        </w:rPr>
        <w:t>public</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securities</w:t>
      </w:r>
      <w:proofErr w:type="spellEnd"/>
      <w:r w:rsidR="00296867" w:rsidRPr="00705170">
        <w:rPr>
          <w:rStyle w:val="DipnotBavurusu"/>
          <w:rFonts w:ascii="Times New Roman" w:hAnsi="Times New Roman" w:cs="Times New Roman"/>
        </w:rPr>
        <w:footnoteReference w:id="412"/>
      </w:r>
      <w:r w:rsidR="00296867" w:rsidRPr="00705170">
        <w:rPr>
          <w:rFonts w:ascii="Times New Roman" w:hAnsi="Times New Roman" w:cs="Times New Roman"/>
        </w:rPr>
        <w:t xml:space="preserve">, it </w:t>
      </w:r>
      <w:proofErr w:type="spellStart"/>
      <w:r w:rsidR="00B263F2" w:rsidRPr="00705170">
        <w:rPr>
          <w:rFonts w:ascii="Times New Roman" w:hAnsi="Times New Roman" w:cs="Times New Roman"/>
        </w:rPr>
        <w:t>requires</w:t>
      </w:r>
      <w:proofErr w:type="spellEnd"/>
      <w:r w:rsidR="00B263F2" w:rsidRPr="00705170">
        <w:rPr>
          <w:rFonts w:ascii="Times New Roman" w:hAnsi="Times New Roman" w:cs="Times New Roman"/>
        </w:rPr>
        <w:t xml:space="preserve"> a </w:t>
      </w:r>
      <w:proofErr w:type="spellStart"/>
      <w:r w:rsidR="00B263F2" w:rsidRPr="00705170">
        <w:rPr>
          <w:rFonts w:ascii="Times New Roman" w:hAnsi="Times New Roman" w:cs="Times New Roman"/>
        </w:rPr>
        <w:t>limitation</w:t>
      </w:r>
      <w:proofErr w:type="spellEnd"/>
      <w:r w:rsidR="00B263F2" w:rsidRPr="00705170">
        <w:rPr>
          <w:rFonts w:ascii="Times New Roman" w:hAnsi="Times New Roman" w:cs="Times New Roman"/>
        </w:rPr>
        <w:t xml:space="preserve"> on </w:t>
      </w:r>
      <w:proofErr w:type="spellStart"/>
      <w:r w:rsidR="00B263F2" w:rsidRPr="00705170">
        <w:rPr>
          <w:rFonts w:ascii="Times New Roman" w:hAnsi="Times New Roman" w:cs="Times New Roman"/>
        </w:rPr>
        <w:t>the</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sources</w:t>
      </w:r>
      <w:proofErr w:type="spellEnd"/>
      <w:r w:rsidR="00B263F2" w:rsidRPr="00705170">
        <w:rPr>
          <w:rFonts w:ascii="Times New Roman" w:hAnsi="Times New Roman" w:cs="Times New Roman"/>
        </w:rPr>
        <w:t xml:space="preserve"> of </w:t>
      </w:r>
      <w:proofErr w:type="spellStart"/>
      <w:r w:rsidR="00B263F2" w:rsidRPr="00705170">
        <w:rPr>
          <w:rFonts w:ascii="Times New Roman" w:hAnsi="Times New Roman" w:cs="Times New Roman"/>
        </w:rPr>
        <w:t>the</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reasonable</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expectations</w:t>
      </w:r>
      <w:proofErr w:type="spellEnd"/>
      <w:r w:rsidR="00B263F2" w:rsidRPr="00705170">
        <w:rPr>
          <w:rFonts w:ascii="Times New Roman" w:hAnsi="Times New Roman" w:cs="Times New Roman"/>
        </w:rPr>
        <w:t xml:space="preserve">” in </w:t>
      </w:r>
      <w:proofErr w:type="spellStart"/>
      <w:r w:rsidR="00B263F2" w:rsidRPr="00705170">
        <w:rPr>
          <w:rFonts w:ascii="Times New Roman" w:hAnsi="Times New Roman" w:cs="Times New Roman"/>
        </w:rPr>
        <w:t>the</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context</w:t>
      </w:r>
      <w:proofErr w:type="spellEnd"/>
      <w:r w:rsidR="00B263F2" w:rsidRPr="00705170">
        <w:rPr>
          <w:rFonts w:ascii="Times New Roman" w:hAnsi="Times New Roman" w:cs="Times New Roman"/>
        </w:rPr>
        <w:t xml:space="preserve"> of </w:t>
      </w:r>
      <w:proofErr w:type="spellStart"/>
      <w:r w:rsidR="00B263F2" w:rsidRPr="00705170">
        <w:rPr>
          <w:rFonts w:ascii="Times New Roman" w:hAnsi="Times New Roman" w:cs="Times New Roman"/>
        </w:rPr>
        <w:t>publicly</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traded</w:t>
      </w:r>
      <w:proofErr w:type="spellEnd"/>
      <w:r w:rsidR="00B263F2" w:rsidRPr="00705170">
        <w:rPr>
          <w:rFonts w:ascii="Times New Roman" w:hAnsi="Times New Roman" w:cs="Times New Roman"/>
        </w:rPr>
        <w:t xml:space="preserve"> </w:t>
      </w:r>
      <w:proofErr w:type="spellStart"/>
      <w:r w:rsidR="00B263F2" w:rsidRPr="00705170">
        <w:rPr>
          <w:rFonts w:ascii="Times New Roman" w:hAnsi="Times New Roman" w:cs="Times New Roman"/>
        </w:rPr>
        <w:t>corporation</w:t>
      </w:r>
      <w:proofErr w:type="spellEnd"/>
      <w:r w:rsidR="00EF1071" w:rsidRPr="00705170">
        <w:rPr>
          <w:rStyle w:val="DipnotBavurusu"/>
          <w:rFonts w:ascii="Times New Roman" w:hAnsi="Times New Roman" w:cs="Times New Roman"/>
        </w:rPr>
        <w:footnoteReference w:id="413"/>
      </w:r>
      <w:r w:rsidR="00B263F2" w:rsidRPr="00705170">
        <w:rPr>
          <w:rFonts w:ascii="Times New Roman" w:hAnsi="Times New Roman" w:cs="Times New Roman"/>
        </w:rPr>
        <w:t>.</w:t>
      </w:r>
      <w:r w:rsidR="009C5D22" w:rsidRPr="00705170">
        <w:rPr>
          <w:rFonts w:ascii="Times New Roman" w:hAnsi="Times New Roman" w:cs="Times New Roman"/>
        </w:rPr>
        <w:t xml:space="preserve"> </w:t>
      </w:r>
    </w:p>
    <w:p w14:paraId="142592A3" w14:textId="583F48C8" w:rsidR="00332086" w:rsidRPr="00705170" w:rsidRDefault="00FB1119" w:rsidP="00332086">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Then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what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are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551175" w:rsidRPr="00705170">
        <w:rPr>
          <w:rFonts w:ascii="Times New Roman" w:hAnsi="Times New Roman" w:cs="Times New Roman"/>
        </w:rPr>
        <w:t>basic</w:t>
      </w:r>
      <w:proofErr w:type="spellEnd"/>
      <w:r w:rsidR="00332086" w:rsidRPr="00705170">
        <w:rPr>
          <w:rFonts w:ascii="Times New Roman" w:hAnsi="Times New Roman" w:cs="Times New Roman"/>
        </w:rPr>
        <w:t xml:space="preserve"> </w:t>
      </w:r>
      <w:proofErr w:type="spellStart"/>
      <w:r w:rsidR="00332826" w:rsidRPr="00705170">
        <w:rPr>
          <w:rFonts w:ascii="Times New Roman" w:hAnsi="Times New Roman" w:cs="Times New Roman"/>
        </w:rPr>
        <w:t>reasonable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expectations</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shareholders</w:t>
      </w:r>
      <w:proofErr w:type="spellEnd"/>
      <w:r w:rsidR="00332826" w:rsidRPr="00705170">
        <w:rPr>
          <w:rFonts w:ascii="Times New Roman" w:hAnsi="Times New Roman" w:cs="Times New Roman"/>
        </w:rPr>
        <w:t xml:space="preserve"> in </w:t>
      </w:r>
      <w:proofErr w:type="spellStart"/>
      <w:r w:rsidR="00332826" w:rsidRPr="00705170">
        <w:rPr>
          <w:rFonts w:ascii="Times New Roman" w:hAnsi="Times New Roman" w:cs="Times New Roman"/>
        </w:rPr>
        <w:t>publicly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traded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corporations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Al</w:t>
      </w:r>
      <w:r w:rsidR="006E19C8" w:rsidRPr="00705170">
        <w:rPr>
          <w:rFonts w:ascii="Times New Roman" w:hAnsi="Times New Roman" w:cs="Times New Roman"/>
        </w:rPr>
        <w:t>though</w:t>
      </w:r>
      <w:proofErr w:type="spellEnd"/>
      <w:r w:rsidR="006E19C8" w:rsidRPr="00705170">
        <w:rPr>
          <w:rFonts w:ascii="Times New Roman" w:hAnsi="Times New Roman" w:cs="Times New Roman"/>
        </w:rPr>
        <w:t xml:space="preserve"> </w:t>
      </w:r>
      <w:proofErr w:type="spellStart"/>
      <w:r w:rsidR="006E19C8" w:rsidRPr="00705170">
        <w:rPr>
          <w:rFonts w:ascii="Times New Roman" w:hAnsi="Times New Roman" w:cs="Times New Roman"/>
        </w:rPr>
        <w:t>different</w:t>
      </w:r>
      <w:proofErr w:type="spellEnd"/>
      <w:r w:rsidR="006E19C8" w:rsidRPr="00705170">
        <w:rPr>
          <w:rFonts w:ascii="Times New Roman" w:hAnsi="Times New Roman" w:cs="Times New Roman"/>
        </w:rPr>
        <w:t xml:space="preserve"> </w:t>
      </w:r>
      <w:proofErr w:type="spellStart"/>
      <w:r w:rsidR="006E19C8" w:rsidRPr="00705170">
        <w:rPr>
          <w:rFonts w:ascii="Times New Roman" w:hAnsi="Times New Roman" w:cs="Times New Roman"/>
        </w:rPr>
        <w:t>types</w:t>
      </w:r>
      <w:proofErr w:type="spellEnd"/>
      <w:r w:rsidR="006E19C8" w:rsidRPr="00705170">
        <w:rPr>
          <w:rFonts w:ascii="Times New Roman" w:hAnsi="Times New Roman" w:cs="Times New Roman"/>
        </w:rPr>
        <w:t xml:space="preserve"> of </w:t>
      </w:r>
      <w:proofErr w:type="spellStart"/>
      <w:r w:rsidR="00332826" w:rsidRPr="00705170">
        <w:rPr>
          <w:rFonts w:ascii="Times New Roman" w:hAnsi="Times New Roman" w:cs="Times New Roman"/>
        </w:rPr>
        <w:t>investors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might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have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different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expectations</w:t>
      </w:r>
      <w:proofErr w:type="spellEnd"/>
      <w:r w:rsidR="00332826" w:rsidRPr="00705170">
        <w:rPr>
          <w:rStyle w:val="DipnotBavurusu"/>
          <w:rFonts w:ascii="Times New Roman" w:hAnsi="Times New Roman" w:cs="Times New Roman"/>
        </w:rPr>
        <w:footnoteReference w:id="414"/>
      </w:r>
      <w:r w:rsidR="00332826" w:rsidRPr="00705170">
        <w:rPr>
          <w:rFonts w:ascii="Times New Roman" w:hAnsi="Times New Roman" w:cs="Times New Roman"/>
        </w:rPr>
        <w:t xml:space="preserve">, it is </w:t>
      </w:r>
      <w:proofErr w:type="spellStart"/>
      <w:r w:rsidR="00332826" w:rsidRPr="00705170">
        <w:rPr>
          <w:rFonts w:ascii="Times New Roman" w:hAnsi="Times New Roman" w:cs="Times New Roman"/>
        </w:rPr>
        <w:t>accurate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state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that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majority</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investors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invest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their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capital</w:t>
      </w:r>
      <w:proofErr w:type="spellEnd"/>
      <w:r w:rsidR="00332826" w:rsidRPr="00705170">
        <w:rPr>
          <w:rFonts w:ascii="Times New Roman" w:hAnsi="Times New Roman" w:cs="Times New Roman"/>
        </w:rPr>
        <w:t xml:space="preserve"> in </w:t>
      </w:r>
      <w:proofErr w:type="spellStart"/>
      <w:r w:rsidR="00332826" w:rsidRPr="00705170">
        <w:rPr>
          <w:rFonts w:ascii="Times New Roman" w:hAnsi="Times New Roman" w:cs="Times New Roman"/>
        </w:rPr>
        <w:t>shares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with</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expectation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that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will</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realize</w:t>
      </w:r>
      <w:proofErr w:type="spellEnd"/>
      <w:r w:rsidR="00332826" w:rsidRPr="00705170">
        <w:rPr>
          <w:rFonts w:ascii="Times New Roman" w:hAnsi="Times New Roman" w:cs="Times New Roman"/>
        </w:rPr>
        <w:t xml:space="preserve"> a </w:t>
      </w:r>
      <w:proofErr w:type="spellStart"/>
      <w:r w:rsidR="00332826" w:rsidRPr="00705170">
        <w:rPr>
          <w:rFonts w:ascii="Times New Roman" w:hAnsi="Times New Roman" w:cs="Times New Roman"/>
        </w:rPr>
        <w:t>return</w:t>
      </w:r>
      <w:proofErr w:type="spellEnd"/>
      <w:r w:rsidR="00332826" w:rsidRPr="00705170">
        <w:rPr>
          <w:rFonts w:ascii="Times New Roman" w:hAnsi="Times New Roman" w:cs="Times New Roman"/>
        </w:rPr>
        <w:t xml:space="preserve"> in </w:t>
      </w:r>
      <w:proofErr w:type="spellStart"/>
      <w:r w:rsidR="00332826" w:rsidRPr="00705170">
        <w:rPr>
          <w:rFonts w:ascii="Times New Roman" w:hAnsi="Times New Roman" w:cs="Times New Roman"/>
        </w:rPr>
        <w:t>terms</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capital</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directly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dividends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or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indirectly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by</w:t>
      </w:r>
      <w:proofErr w:type="spellEnd"/>
      <w:r w:rsidR="00332826" w:rsidRPr="00705170">
        <w:rPr>
          <w:rFonts w:ascii="Times New Roman" w:hAnsi="Times New Roman" w:cs="Times New Roman"/>
        </w:rPr>
        <w:t xml:space="preserve"> an </w:t>
      </w:r>
      <w:proofErr w:type="spellStart"/>
      <w:r w:rsidR="00332826" w:rsidRPr="00705170">
        <w:rPr>
          <w:rFonts w:ascii="Times New Roman" w:hAnsi="Times New Roman" w:cs="Times New Roman"/>
        </w:rPr>
        <w:t>increase</w:t>
      </w:r>
      <w:proofErr w:type="spellEnd"/>
      <w:r w:rsidR="00332826" w:rsidRPr="00705170">
        <w:rPr>
          <w:rFonts w:ascii="Times New Roman" w:hAnsi="Times New Roman" w:cs="Times New Roman"/>
        </w:rPr>
        <w:t xml:space="preserve"> in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market </w:t>
      </w:r>
      <w:proofErr w:type="spellStart"/>
      <w:r w:rsidR="00332826" w:rsidRPr="00705170">
        <w:rPr>
          <w:rFonts w:ascii="Times New Roman" w:hAnsi="Times New Roman" w:cs="Times New Roman"/>
        </w:rPr>
        <w:t>value</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their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shares</w:t>
      </w:r>
      <w:proofErr w:type="spellEnd"/>
      <w:r w:rsidR="00332826" w:rsidRPr="00705170">
        <w:rPr>
          <w:rStyle w:val="DipnotBavurusu"/>
          <w:rFonts w:ascii="Times New Roman" w:hAnsi="Times New Roman" w:cs="Times New Roman"/>
        </w:rPr>
        <w:footnoteReference w:id="415"/>
      </w:r>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voluntarily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invest</w:t>
      </w:r>
      <w:proofErr w:type="spellEnd"/>
      <w:r w:rsidR="00332826" w:rsidRPr="00705170">
        <w:rPr>
          <w:rFonts w:ascii="Times New Roman" w:hAnsi="Times New Roman" w:cs="Times New Roman"/>
        </w:rPr>
        <w:t xml:space="preserve"> in </w:t>
      </w:r>
      <w:proofErr w:type="spellStart"/>
      <w:r w:rsidR="00332826" w:rsidRPr="00705170">
        <w:rPr>
          <w:rFonts w:ascii="Times New Roman" w:hAnsi="Times New Roman" w:cs="Times New Roman"/>
        </w:rPr>
        <w:t>corporations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rather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than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for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example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treasury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bonds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with</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belief</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that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will</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realize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more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money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from</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this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investment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taking</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their</w:t>
      </w:r>
      <w:proofErr w:type="spellEnd"/>
      <w:r w:rsidR="00332826" w:rsidRPr="00705170">
        <w:rPr>
          <w:rFonts w:ascii="Times New Roman" w:hAnsi="Times New Roman" w:cs="Times New Roman"/>
        </w:rPr>
        <w:t xml:space="preserve"> risk </w:t>
      </w:r>
      <w:proofErr w:type="spellStart"/>
      <w:r w:rsidR="00332826" w:rsidRPr="00705170">
        <w:rPr>
          <w:rFonts w:ascii="Times New Roman" w:hAnsi="Times New Roman" w:cs="Times New Roman"/>
        </w:rPr>
        <w:t>preferences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into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account</w:t>
      </w:r>
      <w:proofErr w:type="spellEnd"/>
      <w:r w:rsidR="00332826" w:rsidRPr="00705170">
        <w:rPr>
          <w:rStyle w:val="DipnotBavurusu"/>
          <w:rFonts w:ascii="Times New Roman" w:hAnsi="Times New Roman" w:cs="Times New Roman"/>
        </w:rPr>
        <w:footnoteReference w:id="416"/>
      </w:r>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have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no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expectation</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receiving</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pecuniary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benefits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through</w:t>
      </w:r>
      <w:proofErr w:type="spellEnd"/>
      <w:r w:rsidR="00332826" w:rsidRPr="00705170">
        <w:rPr>
          <w:rFonts w:ascii="Times New Roman" w:hAnsi="Times New Roman" w:cs="Times New Roman"/>
        </w:rPr>
        <w:t xml:space="preserve"> a </w:t>
      </w:r>
      <w:proofErr w:type="spellStart"/>
      <w:r w:rsidR="00332826" w:rsidRPr="00705170">
        <w:rPr>
          <w:rFonts w:ascii="Times New Roman" w:hAnsi="Times New Roman" w:cs="Times New Roman"/>
        </w:rPr>
        <w:t>side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contract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with</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corporations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such</w:t>
      </w:r>
      <w:proofErr w:type="spellEnd"/>
      <w:r w:rsidR="00332826" w:rsidRPr="00705170">
        <w:rPr>
          <w:rFonts w:ascii="Times New Roman" w:hAnsi="Times New Roman" w:cs="Times New Roman"/>
        </w:rPr>
        <w:t xml:space="preserve"> as an </w:t>
      </w:r>
      <w:proofErr w:type="spellStart"/>
      <w:r w:rsidR="00332826" w:rsidRPr="00705170">
        <w:rPr>
          <w:rFonts w:ascii="Times New Roman" w:hAnsi="Times New Roman" w:cs="Times New Roman"/>
        </w:rPr>
        <w:t>employment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or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property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lease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transaction</w:t>
      </w:r>
      <w:proofErr w:type="spellEnd"/>
      <w:r w:rsidR="00332826" w:rsidRPr="00705170">
        <w:rPr>
          <w:rStyle w:val="DipnotBavurusu"/>
          <w:rFonts w:ascii="Times New Roman" w:hAnsi="Times New Roman" w:cs="Times New Roman"/>
        </w:rPr>
        <w:footnoteReference w:id="417"/>
      </w:r>
      <w:r w:rsidR="00332826" w:rsidRPr="00705170">
        <w:rPr>
          <w:rFonts w:ascii="Times New Roman" w:hAnsi="Times New Roman" w:cs="Times New Roman"/>
        </w:rPr>
        <w:t xml:space="preserve">. </w:t>
      </w:r>
      <w:proofErr w:type="spellStart"/>
      <w:r w:rsidR="00966E53" w:rsidRPr="00705170">
        <w:rPr>
          <w:rFonts w:ascii="Times New Roman" w:hAnsi="Times New Roman" w:cs="Times New Roman"/>
        </w:rPr>
        <w:t>Secondly</w:t>
      </w:r>
      <w:proofErr w:type="spellEnd"/>
      <w:r w:rsidR="00966E53" w:rsidRPr="00705170">
        <w:rPr>
          <w:rFonts w:ascii="Times New Roman" w:hAnsi="Times New Roman" w:cs="Times New Roman"/>
        </w:rPr>
        <w:t xml:space="preserve">, </w:t>
      </w:r>
      <w:proofErr w:type="spellStart"/>
      <w:r w:rsidR="00966E53" w:rsidRPr="00705170">
        <w:rPr>
          <w:rFonts w:ascii="Times New Roman" w:hAnsi="Times New Roman" w:cs="Times New Roman"/>
        </w:rPr>
        <w:t>t</w:t>
      </w:r>
      <w:r w:rsidR="00332826" w:rsidRPr="00705170">
        <w:rPr>
          <w:rFonts w:ascii="Times New Roman" w:hAnsi="Times New Roman" w:cs="Times New Roman"/>
        </w:rPr>
        <w:t>hey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believe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that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managers</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corporation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possess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and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apply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their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professional</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managerial</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expertise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business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judgement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pursue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corporate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goals</w:t>
      </w:r>
      <w:proofErr w:type="spellEnd"/>
      <w:r w:rsidR="00332826" w:rsidRPr="00705170">
        <w:rPr>
          <w:rStyle w:val="DipnotBavurusu"/>
          <w:rFonts w:ascii="Times New Roman" w:hAnsi="Times New Roman" w:cs="Times New Roman"/>
        </w:rPr>
        <w:footnoteReference w:id="418"/>
      </w:r>
      <w:r w:rsidR="00332086" w:rsidRPr="00705170">
        <w:rPr>
          <w:rFonts w:ascii="Times New Roman" w:hAnsi="Times New Roman" w:cs="Times New Roman"/>
        </w:rPr>
        <w:t xml:space="preserve">. </w:t>
      </w:r>
      <w:proofErr w:type="spellStart"/>
      <w:r w:rsidR="00332086" w:rsidRPr="00705170">
        <w:rPr>
          <w:rFonts w:ascii="Times New Roman" w:hAnsi="Times New Roman" w:cs="Times New Roman"/>
        </w:rPr>
        <w:t>They</w:t>
      </w:r>
      <w:proofErr w:type="spellEnd"/>
      <w:r w:rsidR="00332086" w:rsidRPr="00705170">
        <w:rPr>
          <w:rFonts w:ascii="Times New Roman" w:hAnsi="Times New Roman" w:cs="Times New Roman"/>
        </w:rPr>
        <w:t xml:space="preserve"> </w:t>
      </w:r>
      <w:proofErr w:type="spellStart"/>
      <w:r w:rsidR="00332086" w:rsidRPr="00705170">
        <w:rPr>
          <w:rFonts w:ascii="Times New Roman" w:hAnsi="Times New Roman" w:cs="Times New Roman"/>
        </w:rPr>
        <w:t>assume</w:t>
      </w:r>
      <w:proofErr w:type="spellEnd"/>
      <w:r w:rsidR="00332086" w:rsidRPr="00705170">
        <w:rPr>
          <w:rFonts w:ascii="Times New Roman" w:hAnsi="Times New Roman" w:cs="Times New Roman"/>
        </w:rPr>
        <w:t xml:space="preserve"> </w:t>
      </w:r>
      <w:proofErr w:type="spellStart"/>
      <w:r w:rsidR="00332086" w:rsidRPr="00705170">
        <w:rPr>
          <w:rFonts w:ascii="Times New Roman" w:hAnsi="Times New Roman" w:cs="Times New Roman"/>
        </w:rPr>
        <w:t>that</w:t>
      </w:r>
      <w:proofErr w:type="spellEnd"/>
      <w:r w:rsidR="00332086" w:rsidRPr="00705170">
        <w:rPr>
          <w:rFonts w:ascii="Times New Roman" w:hAnsi="Times New Roman" w:cs="Times New Roman"/>
        </w:rPr>
        <w:t xml:space="preserve"> </w:t>
      </w:r>
      <w:proofErr w:type="spellStart"/>
      <w:r w:rsidR="00332086" w:rsidRPr="00705170">
        <w:rPr>
          <w:rFonts w:ascii="Times New Roman" w:hAnsi="Times New Roman" w:cs="Times New Roman"/>
        </w:rPr>
        <w:t>the</w:t>
      </w:r>
      <w:proofErr w:type="spellEnd"/>
      <w:r w:rsidR="005328ED" w:rsidRPr="00705170">
        <w:rPr>
          <w:rFonts w:ascii="Times New Roman" w:hAnsi="Times New Roman" w:cs="Times New Roman"/>
        </w:rPr>
        <w:t xml:space="preserve"> </w:t>
      </w:r>
      <w:proofErr w:type="spellStart"/>
      <w:r w:rsidR="005328ED" w:rsidRPr="00705170">
        <w:rPr>
          <w:rFonts w:ascii="Times New Roman" w:hAnsi="Times New Roman" w:cs="Times New Roman"/>
        </w:rPr>
        <w:t>c</w:t>
      </w:r>
      <w:r w:rsidR="00332086" w:rsidRPr="00705170">
        <w:rPr>
          <w:rFonts w:ascii="Times New Roman" w:hAnsi="Times New Roman" w:cs="Times New Roman"/>
        </w:rPr>
        <w:t>orporation</w:t>
      </w:r>
      <w:proofErr w:type="spellEnd"/>
      <w:r w:rsidR="00332086" w:rsidRPr="00705170">
        <w:rPr>
          <w:rFonts w:ascii="Times New Roman" w:hAnsi="Times New Roman" w:cs="Times New Roman"/>
        </w:rPr>
        <w:t xml:space="preserve"> </w:t>
      </w:r>
      <w:proofErr w:type="spellStart"/>
      <w:r w:rsidR="00332086" w:rsidRPr="00705170">
        <w:rPr>
          <w:rFonts w:ascii="Times New Roman" w:hAnsi="Times New Roman" w:cs="Times New Roman"/>
        </w:rPr>
        <w:t>will</w:t>
      </w:r>
      <w:proofErr w:type="spellEnd"/>
      <w:r w:rsidR="00332086" w:rsidRPr="00705170">
        <w:rPr>
          <w:rFonts w:ascii="Times New Roman" w:hAnsi="Times New Roman" w:cs="Times New Roman"/>
        </w:rPr>
        <w:t xml:space="preserve"> </w:t>
      </w:r>
      <w:proofErr w:type="spellStart"/>
      <w:r w:rsidR="00332086" w:rsidRPr="00705170">
        <w:rPr>
          <w:rFonts w:ascii="Times New Roman" w:hAnsi="Times New Roman" w:cs="Times New Roman"/>
        </w:rPr>
        <w:t>work</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reach</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goal</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providing</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economic</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benefits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and</w:t>
      </w:r>
      <w:proofErr w:type="spellEnd"/>
      <w:r w:rsidR="00332826" w:rsidRPr="00705170">
        <w:rPr>
          <w:rFonts w:ascii="Times New Roman" w:hAnsi="Times New Roman" w:cs="Times New Roman"/>
        </w:rPr>
        <w:t xml:space="preserve"> </w:t>
      </w:r>
      <w:proofErr w:type="spellStart"/>
      <w:r w:rsidR="00332086" w:rsidRPr="00705170">
        <w:rPr>
          <w:rFonts w:ascii="Times New Roman" w:hAnsi="Times New Roman" w:cs="Times New Roman"/>
        </w:rPr>
        <w:t>that</w:t>
      </w:r>
      <w:proofErr w:type="spellEnd"/>
      <w:r w:rsidR="00332086" w:rsidRPr="00705170">
        <w:rPr>
          <w:rFonts w:ascii="Times New Roman" w:hAnsi="Times New Roman" w:cs="Times New Roman"/>
        </w:rPr>
        <w:t xml:space="preserve"> </w:t>
      </w:r>
      <w:proofErr w:type="spellStart"/>
      <w:r w:rsidR="00332826" w:rsidRPr="00705170">
        <w:rPr>
          <w:rFonts w:ascii="Times New Roman" w:hAnsi="Times New Roman" w:cs="Times New Roman"/>
        </w:rPr>
        <w:t>their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investments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destiny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will</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depend</w:t>
      </w:r>
      <w:proofErr w:type="spellEnd"/>
      <w:r w:rsidR="00332826" w:rsidRPr="00705170">
        <w:rPr>
          <w:rFonts w:ascii="Times New Roman" w:hAnsi="Times New Roman" w:cs="Times New Roman"/>
        </w:rPr>
        <w:t xml:space="preserve"> on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economic</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variables</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marketplace</w:t>
      </w:r>
      <w:proofErr w:type="spellEnd"/>
      <w:r w:rsidR="00332826" w:rsidRPr="00705170">
        <w:rPr>
          <w:rFonts w:ascii="Times New Roman" w:hAnsi="Times New Roman" w:cs="Times New Roman"/>
        </w:rPr>
        <w:t xml:space="preserve">. </w:t>
      </w:r>
    </w:p>
    <w:p w14:paraId="51F7C3A0" w14:textId="1848A81F" w:rsidR="00332826" w:rsidRPr="00705170" w:rsidRDefault="00332086" w:rsidP="00332086">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lastRenderedPageBreak/>
        <w:t>Accordingly</w:t>
      </w:r>
      <w:proofErr w:type="spellEnd"/>
      <w:r w:rsidRPr="00705170">
        <w:rPr>
          <w:rFonts w:ascii="Times New Roman" w:hAnsi="Times New Roman" w:cs="Times New Roman"/>
        </w:rPr>
        <w:t xml:space="preserve">, it can be </w:t>
      </w:r>
      <w:proofErr w:type="spellStart"/>
      <w:r w:rsidRPr="00705170">
        <w:rPr>
          <w:rFonts w:ascii="Times New Roman" w:hAnsi="Times New Roman" w:cs="Times New Roman"/>
        </w:rPr>
        <w:t>stated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00332826" w:rsidRPr="00705170">
        <w:rPr>
          <w:rFonts w:ascii="Times New Roman" w:hAnsi="Times New Roman" w:cs="Times New Roman"/>
        </w:rPr>
        <w:t xml:space="preserve"> self- </w:t>
      </w:r>
      <w:proofErr w:type="spellStart"/>
      <w:r w:rsidR="00332826" w:rsidRPr="00705170">
        <w:rPr>
          <w:rFonts w:ascii="Times New Roman" w:hAnsi="Times New Roman" w:cs="Times New Roman"/>
        </w:rPr>
        <w:t>interest</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shareholders</w:t>
      </w:r>
      <w:proofErr w:type="spellEnd"/>
      <w:r w:rsidR="00332826" w:rsidRPr="00705170">
        <w:rPr>
          <w:rFonts w:ascii="Times New Roman" w:hAnsi="Times New Roman" w:cs="Times New Roman"/>
        </w:rPr>
        <w:t xml:space="preserve"> is </w:t>
      </w:r>
      <w:proofErr w:type="spellStart"/>
      <w:r w:rsidR="00332826" w:rsidRPr="00705170">
        <w:rPr>
          <w:rFonts w:ascii="Times New Roman" w:hAnsi="Times New Roman" w:cs="Times New Roman"/>
        </w:rPr>
        <w:t>predominating</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they</w:t>
      </w:r>
      <w:proofErr w:type="spellEnd"/>
      <w:r w:rsidR="00332826" w:rsidRPr="00705170">
        <w:rPr>
          <w:rFonts w:ascii="Times New Roman" w:hAnsi="Times New Roman" w:cs="Times New Roman"/>
        </w:rPr>
        <w:t xml:space="preserve"> do not </w:t>
      </w:r>
      <w:proofErr w:type="spellStart"/>
      <w:r w:rsidR="00332826" w:rsidRPr="00705170">
        <w:rPr>
          <w:rFonts w:ascii="Times New Roman" w:hAnsi="Times New Roman" w:cs="Times New Roman"/>
        </w:rPr>
        <w:t>feel</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be </w:t>
      </w:r>
      <w:proofErr w:type="spellStart"/>
      <w:r w:rsidR="00332826" w:rsidRPr="00705170">
        <w:rPr>
          <w:rFonts w:ascii="Times New Roman" w:hAnsi="Times New Roman" w:cs="Times New Roman"/>
        </w:rPr>
        <w:t>responsive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needs</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others</w:t>
      </w:r>
      <w:proofErr w:type="spellEnd"/>
      <w:r w:rsidR="00332826" w:rsidRPr="00705170">
        <w:rPr>
          <w:rFonts w:ascii="Times New Roman" w:hAnsi="Times New Roman" w:cs="Times New Roman"/>
        </w:rPr>
        <w:t xml:space="preserve">, but </w:t>
      </w:r>
      <w:proofErr w:type="spellStart"/>
      <w:r w:rsidR="00332826" w:rsidRPr="00705170">
        <w:rPr>
          <w:rFonts w:ascii="Times New Roman" w:hAnsi="Times New Roman" w:cs="Times New Roman"/>
        </w:rPr>
        <w:t>rather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stick</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their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personal</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commitment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contractual</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obligations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and</w:t>
      </w:r>
      <w:proofErr w:type="spellEnd"/>
      <w:r w:rsidR="00332826" w:rsidRPr="00705170">
        <w:rPr>
          <w:rFonts w:ascii="Times New Roman" w:hAnsi="Times New Roman" w:cs="Times New Roman"/>
        </w:rPr>
        <w:t xml:space="preserve"> can </w:t>
      </w:r>
      <w:proofErr w:type="spellStart"/>
      <w:r w:rsidRPr="00705170">
        <w:rPr>
          <w:rFonts w:ascii="Times New Roman" w:hAnsi="Times New Roman" w:cs="Times New Roman"/>
        </w:rPr>
        <w:t>choose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00332826" w:rsidRPr="00705170">
        <w:rPr>
          <w:rFonts w:ascii="Times New Roman" w:hAnsi="Times New Roman" w:cs="Times New Roman"/>
        </w:rPr>
        <w:t>leave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this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commitment</w:t>
      </w:r>
      <w:proofErr w:type="spellEnd"/>
      <w:r w:rsidR="00332826" w:rsidRPr="00705170">
        <w:rPr>
          <w:rFonts w:ascii="Times New Roman" w:hAnsi="Times New Roman" w:cs="Times New Roman"/>
        </w:rPr>
        <w:t xml:space="preserve"> </w:t>
      </w:r>
      <w:proofErr w:type="spellStart"/>
      <w:r w:rsidRPr="00705170">
        <w:rPr>
          <w:rFonts w:ascii="Times New Roman" w:hAnsi="Times New Roman" w:cs="Times New Roman"/>
        </w:rPr>
        <w:t>simply</w:t>
      </w:r>
      <w:proofErr w:type="spellEnd"/>
      <w:r w:rsidRPr="00705170">
        <w:rPr>
          <w:rFonts w:ascii="Times New Roman" w:hAnsi="Times New Roman" w:cs="Times New Roman"/>
        </w:rPr>
        <w:t xml:space="preserve"> </w:t>
      </w:r>
      <w:proofErr w:type="spellStart"/>
      <w:r w:rsidR="00332826" w:rsidRPr="00705170">
        <w:rPr>
          <w:rFonts w:ascii="Times New Roman" w:hAnsi="Times New Roman" w:cs="Times New Roman"/>
        </w:rPr>
        <w:t>by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selling</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their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stock</w:t>
      </w:r>
      <w:proofErr w:type="spellEnd"/>
      <w:r w:rsidR="00332826" w:rsidRPr="00705170">
        <w:rPr>
          <w:rStyle w:val="DipnotBavurusu"/>
          <w:rFonts w:ascii="Times New Roman" w:hAnsi="Times New Roman" w:cs="Times New Roman"/>
        </w:rPr>
        <w:footnoteReference w:id="419"/>
      </w:r>
      <w:r w:rsidR="00332826" w:rsidRPr="00705170">
        <w:rPr>
          <w:rFonts w:ascii="Times New Roman" w:hAnsi="Times New Roman" w:cs="Times New Roman"/>
        </w:rPr>
        <w:t xml:space="preserve">. </w:t>
      </w:r>
      <w:proofErr w:type="spellStart"/>
      <w:r w:rsidR="00551175" w:rsidRPr="00705170">
        <w:rPr>
          <w:rFonts w:ascii="Times New Roman" w:hAnsi="Times New Roman" w:cs="Times New Roman"/>
        </w:rPr>
        <w:t>Then</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shareholders</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expectations</w:t>
      </w:r>
      <w:proofErr w:type="spellEnd"/>
      <w:r w:rsidR="00551175" w:rsidRPr="00705170">
        <w:rPr>
          <w:rFonts w:ascii="Times New Roman" w:hAnsi="Times New Roman" w:cs="Times New Roman"/>
        </w:rPr>
        <w:t xml:space="preserve"> in </w:t>
      </w:r>
      <w:proofErr w:type="spellStart"/>
      <w:r w:rsidR="00551175" w:rsidRPr="00705170">
        <w:rPr>
          <w:rFonts w:ascii="Times New Roman" w:hAnsi="Times New Roman" w:cs="Times New Roman"/>
        </w:rPr>
        <w:t>publicly</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traded</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corporation</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represents</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the</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interests</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that</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the</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mere</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shareholder</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status</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entitles</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such</w:t>
      </w:r>
      <w:proofErr w:type="spellEnd"/>
      <w:r w:rsidR="00551175" w:rsidRPr="00705170">
        <w:rPr>
          <w:rFonts w:ascii="Times New Roman" w:hAnsi="Times New Roman" w:cs="Times New Roman"/>
        </w:rPr>
        <w:t xml:space="preserve"> as </w:t>
      </w:r>
      <w:proofErr w:type="spellStart"/>
      <w:r w:rsidR="00551175" w:rsidRPr="00705170">
        <w:rPr>
          <w:rFonts w:ascii="Times New Roman" w:hAnsi="Times New Roman" w:cs="Times New Roman"/>
        </w:rPr>
        <w:t>right</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to</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have</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proportionate</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stake</w:t>
      </w:r>
      <w:proofErr w:type="spellEnd"/>
      <w:r w:rsidR="00551175" w:rsidRPr="00705170">
        <w:rPr>
          <w:rFonts w:ascii="Times New Roman" w:hAnsi="Times New Roman" w:cs="Times New Roman"/>
        </w:rPr>
        <w:t xml:space="preserve"> in </w:t>
      </w:r>
      <w:proofErr w:type="spellStart"/>
      <w:r w:rsidR="00551175" w:rsidRPr="00705170">
        <w:rPr>
          <w:rFonts w:ascii="Times New Roman" w:hAnsi="Times New Roman" w:cs="Times New Roman"/>
        </w:rPr>
        <w:t>the</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corporation’s</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dividends</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and</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various</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other</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shareholder</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rights</w:t>
      </w:r>
      <w:proofErr w:type="spellEnd"/>
      <w:r w:rsidR="00551175" w:rsidRPr="00705170">
        <w:rPr>
          <w:rStyle w:val="DipnotBavurusu"/>
          <w:rFonts w:ascii="Times New Roman" w:hAnsi="Times New Roman" w:cs="Times New Roman"/>
        </w:rPr>
        <w:footnoteReference w:id="420"/>
      </w:r>
      <w:r w:rsidR="00551175" w:rsidRPr="00705170">
        <w:rPr>
          <w:rFonts w:ascii="Times New Roman" w:hAnsi="Times New Roman" w:cs="Times New Roman"/>
        </w:rPr>
        <w:t xml:space="preserve">. </w:t>
      </w:r>
      <w:proofErr w:type="spellStart"/>
      <w:r w:rsidR="00332826" w:rsidRPr="00705170">
        <w:rPr>
          <w:rFonts w:ascii="Times New Roman" w:hAnsi="Times New Roman" w:cs="Times New Roman"/>
        </w:rPr>
        <w:t>These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being</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said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there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are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investors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that</w:t>
      </w:r>
      <w:proofErr w:type="spellEnd"/>
      <w:r w:rsidR="00332826" w:rsidRPr="00705170">
        <w:rPr>
          <w:rFonts w:ascii="Times New Roman" w:hAnsi="Times New Roman" w:cs="Times New Roman"/>
        </w:rPr>
        <w:t xml:space="preserve"> do not fit </w:t>
      </w:r>
      <w:proofErr w:type="spellStart"/>
      <w:r w:rsidR="00332826" w:rsidRPr="00705170">
        <w:rPr>
          <w:rFonts w:ascii="Times New Roman" w:hAnsi="Times New Roman" w:cs="Times New Roman"/>
        </w:rPr>
        <w:t>into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this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pattern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some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investors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have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expectation</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influencing</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corporate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policies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e.g</w:t>
      </w:r>
      <w:proofErr w:type="spellEnd"/>
      <w:r w:rsidR="00332826" w:rsidRPr="00705170">
        <w:rPr>
          <w:rFonts w:ascii="Times New Roman" w:hAnsi="Times New Roman" w:cs="Times New Roman"/>
        </w:rPr>
        <w:t xml:space="preserve">., a </w:t>
      </w:r>
      <w:proofErr w:type="spellStart"/>
      <w:r w:rsidR="00332826" w:rsidRPr="00705170">
        <w:rPr>
          <w:rFonts w:ascii="Times New Roman" w:hAnsi="Times New Roman" w:cs="Times New Roman"/>
        </w:rPr>
        <w:t>climate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change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activist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investing</w:t>
      </w:r>
      <w:proofErr w:type="spellEnd"/>
      <w:r w:rsidR="00332826" w:rsidRPr="00705170">
        <w:rPr>
          <w:rFonts w:ascii="Times New Roman" w:hAnsi="Times New Roman" w:cs="Times New Roman"/>
        </w:rPr>
        <w:t xml:space="preserve"> in a </w:t>
      </w:r>
      <w:proofErr w:type="spellStart"/>
      <w:r w:rsidR="00332826" w:rsidRPr="00705170">
        <w:rPr>
          <w:rFonts w:ascii="Times New Roman" w:hAnsi="Times New Roman" w:cs="Times New Roman"/>
        </w:rPr>
        <w:t>petroleum</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company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or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personal</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feelings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attached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their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pecuniary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expectations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e.g</w:t>
      </w:r>
      <w:proofErr w:type="spellEnd"/>
      <w:r w:rsidR="00332826" w:rsidRPr="00705170">
        <w:rPr>
          <w:rFonts w:ascii="Times New Roman" w:hAnsi="Times New Roman" w:cs="Times New Roman"/>
        </w:rPr>
        <w:t xml:space="preserve">., a </w:t>
      </w:r>
      <w:proofErr w:type="spellStart"/>
      <w:r w:rsidR="00332826" w:rsidRPr="00705170">
        <w:rPr>
          <w:rFonts w:ascii="Times New Roman" w:hAnsi="Times New Roman" w:cs="Times New Roman"/>
        </w:rPr>
        <w:t>football</w:t>
      </w:r>
      <w:proofErr w:type="spellEnd"/>
      <w:r w:rsidR="00332826" w:rsidRPr="00705170">
        <w:rPr>
          <w:rFonts w:ascii="Times New Roman" w:hAnsi="Times New Roman" w:cs="Times New Roman"/>
        </w:rPr>
        <w:t xml:space="preserve"> fan </w:t>
      </w:r>
      <w:proofErr w:type="spellStart"/>
      <w:r w:rsidR="00332826" w:rsidRPr="00705170">
        <w:rPr>
          <w:rFonts w:ascii="Times New Roman" w:hAnsi="Times New Roman" w:cs="Times New Roman"/>
        </w:rPr>
        <w:t>investing</w:t>
      </w:r>
      <w:proofErr w:type="spellEnd"/>
      <w:r w:rsidR="00332826" w:rsidRPr="00705170">
        <w:rPr>
          <w:rFonts w:ascii="Times New Roman" w:hAnsi="Times New Roman" w:cs="Times New Roman"/>
        </w:rPr>
        <w:t xml:space="preserve"> in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club</w:t>
      </w:r>
      <w:proofErr w:type="spellEnd"/>
      <w:r w:rsidR="00332826" w:rsidRPr="00705170">
        <w:rPr>
          <w:rFonts w:ascii="Times New Roman" w:hAnsi="Times New Roman" w:cs="Times New Roman"/>
        </w:rPr>
        <w:t xml:space="preserve"> he </w:t>
      </w:r>
      <w:proofErr w:type="spellStart"/>
      <w:r w:rsidR="00332826" w:rsidRPr="00705170">
        <w:rPr>
          <w:rFonts w:ascii="Times New Roman" w:hAnsi="Times New Roman" w:cs="Times New Roman"/>
        </w:rPr>
        <w:t>supports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hence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face</w:t>
      </w:r>
      <w:proofErr w:type="spellEnd"/>
      <w:r w:rsidR="00732873">
        <w:rPr>
          <w:rFonts w:ascii="Times New Roman" w:hAnsi="Times New Roman" w:cs="Times New Roman"/>
        </w:rPr>
        <w:t xml:space="preserve"> </w:t>
      </w:r>
      <w:proofErr w:type="spellStart"/>
      <w:r w:rsidR="00732873">
        <w:rPr>
          <w:rFonts w:ascii="Times New Roman" w:hAnsi="Times New Roman" w:cs="Times New Roman"/>
        </w:rPr>
        <w:t>subjective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exit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difficulties</w:t>
      </w:r>
      <w:proofErr w:type="spellEnd"/>
      <w:r w:rsidR="00332826" w:rsidRPr="00705170">
        <w:rPr>
          <w:rStyle w:val="DipnotBavurusu"/>
          <w:rFonts w:ascii="Times New Roman" w:hAnsi="Times New Roman" w:cs="Times New Roman"/>
        </w:rPr>
        <w:footnoteReference w:id="421"/>
      </w:r>
      <w:r w:rsidRPr="00705170">
        <w:rPr>
          <w:rFonts w:ascii="Times New Roman" w:hAnsi="Times New Roman" w:cs="Times New Roman"/>
        </w:rPr>
        <w:t xml:space="preserve">. </w:t>
      </w:r>
      <w:proofErr w:type="spellStart"/>
      <w:r w:rsidRPr="00705170">
        <w:rPr>
          <w:rFonts w:ascii="Times New Roman" w:hAnsi="Times New Roman" w:cs="Times New Roman"/>
        </w:rPr>
        <w:t>Still</w:t>
      </w:r>
      <w:proofErr w:type="spellEnd"/>
      <w:r w:rsidRPr="00705170">
        <w:rPr>
          <w:rFonts w:ascii="Times New Roman" w:hAnsi="Times New Roman" w:cs="Times New Roman"/>
        </w:rPr>
        <w:t>,</w:t>
      </w:r>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just</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like</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expecting</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that</w:t>
      </w:r>
      <w:proofErr w:type="spellEnd"/>
      <w:r w:rsidR="00551175" w:rsidRPr="00705170">
        <w:rPr>
          <w:rFonts w:ascii="Times New Roman" w:hAnsi="Times New Roman" w:cs="Times New Roman"/>
        </w:rPr>
        <w:t xml:space="preserve"> a </w:t>
      </w:r>
      <w:proofErr w:type="spellStart"/>
      <w:r w:rsidR="00551175" w:rsidRPr="00705170">
        <w:rPr>
          <w:rFonts w:ascii="Times New Roman" w:hAnsi="Times New Roman" w:cs="Times New Roman"/>
        </w:rPr>
        <w:t>share</w:t>
      </w:r>
      <w:proofErr w:type="spellEnd"/>
      <w:r w:rsidR="00551175" w:rsidRPr="00705170">
        <w:rPr>
          <w:rFonts w:ascii="Times New Roman" w:hAnsi="Times New Roman" w:cs="Times New Roman"/>
        </w:rPr>
        <w:t xml:space="preserve"> in </w:t>
      </w:r>
      <w:proofErr w:type="spellStart"/>
      <w:r w:rsidR="00551175" w:rsidRPr="00705170">
        <w:rPr>
          <w:rFonts w:ascii="Times New Roman" w:hAnsi="Times New Roman" w:cs="Times New Roman"/>
        </w:rPr>
        <w:t>close</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corporation</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will</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hand</w:t>
      </w:r>
      <w:proofErr w:type="spellEnd"/>
      <w:r w:rsidR="00551175" w:rsidRPr="00705170">
        <w:rPr>
          <w:rFonts w:ascii="Times New Roman" w:hAnsi="Times New Roman" w:cs="Times New Roman"/>
        </w:rPr>
        <w:t xml:space="preserve"> in an </w:t>
      </w:r>
      <w:proofErr w:type="spellStart"/>
      <w:r w:rsidR="00551175" w:rsidRPr="00705170">
        <w:rPr>
          <w:rFonts w:ascii="Times New Roman" w:hAnsi="Times New Roman" w:cs="Times New Roman"/>
        </w:rPr>
        <w:t>employment</w:t>
      </w:r>
      <w:proofErr w:type="spellEnd"/>
      <w:r w:rsidR="00551175" w:rsidRPr="00705170">
        <w:rPr>
          <w:rFonts w:ascii="Times New Roman" w:hAnsi="Times New Roman" w:cs="Times New Roman"/>
        </w:rPr>
        <w:t xml:space="preserve"> in </w:t>
      </w:r>
      <w:proofErr w:type="spellStart"/>
      <w:r w:rsidR="00551175" w:rsidRPr="00705170">
        <w:rPr>
          <w:rFonts w:ascii="Times New Roman" w:hAnsi="Times New Roman" w:cs="Times New Roman"/>
        </w:rPr>
        <w:t>the</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same</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corporation</w:t>
      </w:r>
      <w:proofErr w:type="spellEnd"/>
      <w:r w:rsidR="00551175" w:rsidRPr="00705170">
        <w:rPr>
          <w:rFonts w:ascii="Times New Roman" w:hAnsi="Times New Roman" w:cs="Times New Roman"/>
        </w:rPr>
        <w:t xml:space="preserve"> is a </w:t>
      </w:r>
      <w:proofErr w:type="spellStart"/>
      <w:r w:rsidR="00551175" w:rsidRPr="00705170">
        <w:rPr>
          <w:rFonts w:ascii="Times New Roman" w:hAnsi="Times New Roman" w:cs="Times New Roman"/>
        </w:rPr>
        <w:t>specific</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expectation</w:t>
      </w:r>
      <w:proofErr w:type="spellEnd"/>
      <w:r w:rsidR="00551175" w:rsidRPr="00705170">
        <w:rPr>
          <w:rStyle w:val="DipnotBavurusu"/>
          <w:rFonts w:ascii="Times New Roman" w:hAnsi="Times New Roman" w:cs="Times New Roman"/>
        </w:rPr>
        <w:footnoteReference w:id="422"/>
      </w:r>
      <w:r w:rsidR="00551175" w:rsidRPr="00705170">
        <w:rPr>
          <w:rFonts w:ascii="Times New Roman" w:hAnsi="Times New Roman" w:cs="Times New Roman"/>
        </w:rPr>
        <w:t>;</w:t>
      </w:r>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00551175" w:rsidRPr="00705170">
        <w:rPr>
          <w:rFonts w:ascii="Times New Roman" w:hAnsi="Times New Roman" w:cs="Times New Roman"/>
        </w:rPr>
        <w:t>ones</w:t>
      </w:r>
      <w:proofErr w:type="spellEnd"/>
      <w:r w:rsidR="00551175"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specific</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expectations</w:t>
      </w:r>
      <w:proofErr w:type="spellEnd"/>
      <w:r w:rsidRPr="00705170">
        <w:rPr>
          <w:rFonts w:ascii="Times New Roman" w:hAnsi="Times New Roman" w:cs="Times New Roman"/>
        </w:rPr>
        <w:t>”</w:t>
      </w:r>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rather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than</w:t>
      </w:r>
      <w:proofErr w:type="spellEnd"/>
      <w:r w:rsidR="00332826" w:rsidRPr="00705170">
        <w:rPr>
          <w:rFonts w:ascii="Times New Roman" w:hAnsi="Times New Roman" w:cs="Times New Roman"/>
        </w:rPr>
        <w:t xml:space="preserve"> a </w:t>
      </w:r>
      <w:r w:rsidRPr="00705170">
        <w:rPr>
          <w:rFonts w:ascii="Times New Roman" w:hAnsi="Times New Roman" w:cs="Times New Roman"/>
        </w:rPr>
        <w:t>“</w:t>
      </w:r>
      <w:r w:rsidR="00332826" w:rsidRPr="00705170">
        <w:rPr>
          <w:rFonts w:ascii="Times New Roman" w:hAnsi="Times New Roman" w:cs="Times New Roman"/>
        </w:rPr>
        <w:t>general</w:t>
      </w:r>
      <w:r w:rsidRPr="00705170">
        <w:rPr>
          <w:rFonts w:ascii="Times New Roman" w:hAnsi="Times New Roman" w:cs="Times New Roman"/>
        </w:rPr>
        <w:t>”</w:t>
      </w:r>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one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and</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requires</w:t>
      </w:r>
      <w:proofErr w:type="spellEnd"/>
      <w:r w:rsidR="00551175" w:rsidRPr="00705170">
        <w:rPr>
          <w:rFonts w:ascii="Times New Roman" w:hAnsi="Times New Roman" w:cs="Times New Roman"/>
        </w:rPr>
        <w:t xml:space="preserve"> </w:t>
      </w:r>
      <w:proofErr w:type="spellStart"/>
      <w:r w:rsidR="00551175" w:rsidRPr="00705170">
        <w:rPr>
          <w:rFonts w:ascii="Times New Roman" w:hAnsi="Times New Roman" w:cs="Times New Roman"/>
        </w:rPr>
        <w:t>proof</w:t>
      </w:r>
      <w:proofErr w:type="spellEnd"/>
      <w:r w:rsidR="00551175" w:rsidRPr="00705170">
        <w:rPr>
          <w:rFonts w:ascii="Times New Roman" w:hAnsi="Times New Roman" w:cs="Times New Roman"/>
        </w:rPr>
        <w:t xml:space="preserve"> of </w:t>
      </w:r>
      <w:proofErr w:type="spellStart"/>
      <w:r w:rsidR="00551175" w:rsidRPr="00705170">
        <w:rPr>
          <w:rFonts w:ascii="Times New Roman" w:hAnsi="Times New Roman" w:cs="Times New Roman"/>
        </w:rPr>
        <w:t>this</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understanding</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and</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bargaining</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thus</w:t>
      </w:r>
      <w:proofErr w:type="spellEnd"/>
      <w:r w:rsidR="00723A7A" w:rsidRPr="00705170">
        <w:rPr>
          <w:rFonts w:ascii="Times New Roman" w:hAnsi="Times New Roman" w:cs="Times New Roman"/>
        </w:rPr>
        <w:t xml:space="preserve">, </w:t>
      </w:r>
      <w:r w:rsidRPr="00705170">
        <w:rPr>
          <w:rFonts w:ascii="Times New Roman" w:hAnsi="Times New Roman" w:cs="Times New Roman"/>
        </w:rPr>
        <w:t xml:space="preserve">it is </w:t>
      </w:r>
      <w:proofErr w:type="spellStart"/>
      <w:r w:rsidRPr="00705170">
        <w:rPr>
          <w:rFonts w:ascii="Times New Roman" w:hAnsi="Times New Roman" w:cs="Times New Roman"/>
        </w:rPr>
        <w:t>highly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unlikely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0047513D">
        <w:rPr>
          <w:rFonts w:ascii="Times New Roman" w:hAnsi="Times New Roman" w:cs="Times New Roman"/>
        </w:rPr>
        <w:t>these</w:t>
      </w:r>
      <w:proofErr w:type="spellEnd"/>
      <w:r w:rsidR="0047513D"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be</w:t>
      </w:r>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deemed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reasonable</w:t>
      </w:r>
      <w:proofErr w:type="spellEnd"/>
      <w:r w:rsidR="00332826" w:rsidRPr="00705170">
        <w:rPr>
          <w:rFonts w:ascii="Times New Roman" w:hAnsi="Times New Roman" w:cs="Times New Roman"/>
        </w:rPr>
        <w:t xml:space="preserve">” in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context</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publicly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traded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corporations</w:t>
      </w:r>
      <w:proofErr w:type="spellEnd"/>
      <w:r w:rsidR="00723A7A" w:rsidRPr="00705170">
        <w:rPr>
          <w:rFonts w:ascii="Times New Roman" w:hAnsi="Times New Roman" w:cs="Times New Roman"/>
        </w:rPr>
        <w:t xml:space="preserve">) </w:t>
      </w:r>
      <w:r w:rsidR="00C14374" w:rsidRPr="00705170">
        <w:rPr>
          <w:rStyle w:val="DipnotBavurusu"/>
          <w:rFonts w:ascii="Times New Roman" w:hAnsi="Times New Roman" w:cs="Times New Roman"/>
        </w:rPr>
        <w:footnoteReference w:id="423"/>
      </w:r>
      <w:r w:rsidR="00332826" w:rsidRPr="00705170">
        <w:rPr>
          <w:rFonts w:ascii="Times New Roman" w:hAnsi="Times New Roman" w:cs="Times New Roman"/>
        </w:rPr>
        <w:t xml:space="preserve">. </w:t>
      </w:r>
    </w:p>
    <w:p w14:paraId="355A1DD6" w14:textId="103B289A" w:rsidR="00A5133D" w:rsidRPr="00705170" w:rsidRDefault="00332826" w:rsidP="00A5133D">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lastRenderedPageBreak/>
        <w:t>Then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two</w:t>
      </w:r>
      <w:proofErr w:type="spellEnd"/>
      <w:r w:rsidRPr="00705170">
        <w:rPr>
          <w:rFonts w:ascii="Times New Roman" w:hAnsi="Times New Roman" w:cs="Times New Roman"/>
        </w:rPr>
        <w:t xml:space="preserve"> </w:t>
      </w:r>
      <w:r w:rsidR="005328ED" w:rsidRPr="00705170">
        <w:rPr>
          <w:rFonts w:ascii="Times New Roman" w:hAnsi="Times New Roman" w:cs="Times New Roman"/>
        </w:rPr>
        <w:t>“</w:t>
      </w:r>
      <w:proofErr w:type="spellStart"/>
      <w:r w:rsidRPr="00705170">
        <w:rPr>
          <w:rFonts w:ascii="Times New Roman" w:hAnsi="Times New Roman" w:cs="Times New Roman"/>
        </w:rPr>
        <w:t>basic</w:t>
      </w:r>
      <w:proofErr w:type="spellEnd"/>
      <w:r w:rsidR="00332086" w:rsidRPr="00705170">
        <w:rPr>
          <w:rFonts w:ascii="Times New Roman" w:hAnsi="Times New Roman" w:cs="Times New Roman"/>
        </w:rPr>
        <w:t xml:space="preserve"> </w:t>
      </w:r>
      <w:proofErr w:type="spellStart"/>
      <w:r w:rsidR="00332086"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00360248"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followings</w:t>
      </w:r>
      <w:proofErr w:type="spellEnd"/>
      <w:r w:rsidRPr="00705170">
        <w:rPr>
          <w:rFonts w:ascii="Times New Roman" w:hAnsi="Times New Roman" w:cs="Times New Roman"/>
        </w:rPr>
        <w:t xml:space="preserve">: (1)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run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pursue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economic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manner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formally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accepted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disclosed</w:t>
      </w:r>
      <w:proofErr w:type="spellEnd"/>
      <w:r w:rsidR="00173BBF" w:rsidRPr="00705170">
        <w:rPr>
          <w:rStyle w:val="DipnotBavurusu"/>
          <w:rFonts w:ascii="Times New Roman" w:hAnsi="Times New Roman" w:cs="Times New Roman"/>
        </w:rPr>
        <w:footnoteReference w:id="424"/>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(2)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success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primarily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depending</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own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judgement</w:t>
      </w:r>
      <w:proofErr w:type="spellEnd"/>
      <w:r w:rsidRPr="00705170">
        <w:rPr>
          <w:rStyle w:val="DipnotBavurusu"/>
          <w:rFonts w:ascii="Times New Roman" w:hAnsi="Times New Roman" w:cs="Times New Roman"/>
        </w:rPr>
        <w:footnoteReference w:id="425"/>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impact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be limited (</w:t>
      </w:r>
      <w:proofErr w:type="spellStart"/>
      <w:r w:rsidRPr="00705170">
        <w:rPr>
          <w:rFonts w:ascii="Times New Roman" w:hAnsi="Times New Roman" w:cs="Times New Roman"/>
        </w:rPr>
        <w:t>i.e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fundamental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changes</w:t>
      </w:r>
      <w:proofErr w:type="spellEnd"/>
      <w:r w:rsidRPr="00705170">
        <w:rPr>
          <w:rFonts w:ascii="Times New Roman" w:hAnsi="Times New Roman" w:cs="Times New Roman"/>
        </w:rPr>
        <w:t xml:space="preserve"> </w:t>
      </w:r>
      <w:proofErr w:type="spellStart"/>
      <w:r w:rsidR="0047513D">
        <w:rPr>
          <w:rFonts w:ascii="Times New Roman" w:hAnsi="Times New Roman" w:cs="Times New Roman"/>
        </w:rPr>
        <w:t>such</w:t>
      </w:r>
      <w:proofErr w:type="spellEnd"/>
      <w:r w:rsidR="0047513D">
        <w:rPr>
          <w:rFonts w:ascii="Times New Roman" w:hAnsi="Times New Roman" w:cs="Times New Roman"/>
        </w:rPr>
        <w:t xml:space="preserve"> as</w:t>
      </w:r>
      <w:r w:rsidRPr="00705170">
        <w:rPr>
          <w:rFonts w:ascii="Times New Roman" w:hAnsi="Times New Roman" w:cs="Times New Roman"/>
        </w:rPr>
        <w:t xml:space="preserve"> </w:t>
      </w:r>
      <w:proofErr w:type="spellStart"/>
      <w:r w:rsidR="00332086" w:rsidRPr="00705170">
        <w:rPr>
          <w:rFonts w:ascii="Times New Roman" w:hAnsi="Times New Roman" w:cs="Times New Roman"/>
        </w:rPr>
        <w:t>changes</w:t>
      </w:r>
      <w:proofErr w:type="spellEnd"/>
      <w:r w:rsidR="00332086" w:rsidRPr="00705170">
        <w:rPr>
          <w:rFonts w:ascii="Times New Roman" w:hAnsi="Times New Roman" w:cs="Times New Roman"/>
        </w:rPr>
        <w:t xml:space="preserve"> in </w:t>
      </w:r>
      <w:proofErr w:type="spellStart"/>
      <w:r w:rsidR="00332086" w:rsidRPr="00705170">
        <w:rPr>
          <w:rFonts w:ascii="Times New Roman" w:hAnsi="Times New Roman" w:cs="Times New Roman"/>
        </w:rPr>
        <w:t>articles</w:t>
      </w:r>
      <w:proofErr w:type="spellEnd"/>
      <w:r w:rsidR="00332086" w:rsidRPr="00705170">
        <w:rPr>
          <w:rFonts w:ascii="Times New Roman" w:hAnsi="Times New Roman" w:cs="Times New Roman"/>
        </w:rPr>
        <w:t xml:space="preserve">, </w:t>
      </w:r>
      <w:proofErr w:type="spellStart"/>
      <w:r w:rsidR="00332086" w:rsidRPr="00705170">
        <w:rPr>
          <w:rFonts w:ascii="Times New Roman" w:hAnsi="Times New Roman" w:cs="Times New Roman"/>
        </w:rPr>
        <w:t>approval</w:t>
      </w:r>
      <w:proofErr w:type="spellEnd"/>
      <w:r w:rsidR="00332086" w:rsidRPr="00705170">
        <w:rPr>
          <w:rFonts w:ascii="Times New Roman" w:hAnsi="Times New Roman" w:cs="Times New Roman"/>
        </w:rPr>
        <w:t xml:space="preserve"> of</w:t>
      </w:r>
      <w:r w:rsidRPr="00705170">
        <w:rPr>
          <w:rFonts w:ascii="Times New Roman" w:hAnsi="Times New Roman" w:cs="Times New Roman"/>
        </w:rPr>
        <w:t xml:space="preserve"> </w:t>
      </w:r>
      <w:proofErr w:type="spellStart"/>
      <w:r w:rsidRPr="00705170">
        <w:rPr>
          <w:rFonts w:ascii="Times New Roman" w:hAnsi="Times New Roman" w:cs="Times New Roman"/>
        </w:rPr>
        <w:t>major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Investment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carries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it an </w:t>
      </w:r>
      <w:proofErr w:type="spellStart"/>
      <w:r w:rsidRPr="00705170">
        <w:rPr>
          <w:rFonts w:ascii="Times New Roman" w:hAnsi="Times New Roman" w:cs="Times New Roman"/>
        </w:rPr>
        <w:t>implicit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consequential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grant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permitting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invested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money</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accordance</w:t>
      </w:r>
      <w:proofErr w:type="spellEnd"/>
      <w:r w:rsidRPr="00705170">
        <w:rPr>
          <w:rFonts w:ascii="Times New Roman" w:hAnsi="Times New Roman" w:cs="Times New Roman"/>
        </w:rPr>
        <w:t xml:space="preserve"> </w:t>
      </w:r>
      <w:proofErr w:type="spellStart"/>
      <w:r w:rsidR="00332086" w:rsidRPr="00705170">
        <w:rPr>
          <w:rFonts w:ascii="Times New Roman" w:hAnsi="Times New Roman" w:cs="Times New Roman"/>
        </w:rPr>
        <w:t>with</w:t>
      </w:r>
      <w:proofErr w:type="spellEnd"/>
      <w:r w:rsidR="00332086" w:rsidRPr="00705170">
        <w:rPr>
          <w:rFonts w:ascii="Times New Roman" w:hAnsi="Times New Roman" w:cs="Times New Roman"/>
        </w:rPr>
        <w:t xml:space="preserve"> </w:t>
      </w:r>
      <w:proofErr w:type="spellStart"/>
      <w:r w:rsidR="00332086" w:rsidRPr="00705170">
        <w:rPr>
          <w:rFonts w:ascii="Times New Roman" w:hAnsi="Times New Roman" w:cs="Times New Roman"/>
        </w:rPr>
        <w:t>these</w:t>
      </w:r>
      <w:proofErr w:type="spellEnd"/>
      <w:r w:rsidR="00332086" w:rsidRPr="00705170">
        <w:rPr>
          <w:rFonts w:ascii="Times New Roman" w:hAnsi="Times New Roman" w:cs="Times New Roman"/>
        </w:rPr>
        <w:t xml:space="preserve"> </w:t>
      </w:r>
      <w:proofErr w:type="spellStart"/>
      <w:r w:rsidR="00332086" w:rsidRPr="00705170">
        <w:rPr>
          <w:rFonts w:ascii="Times New Roman" w:hAnsi="Times New Roman" w:cs="Times New Roman"/>
        </w:rPr>
        <w:t>basic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w:t>
      </w:r>
      <w:r w:rsidR="00723A7A" w:rsidRPr="00705170">
        <w:rPr>
          <w:rFonts w:ascii="Times New Roman" w:hAnsi="Times New Roman" w:cs="Times New Roman"/>
        </w:rPr>
        <w:t>ectations</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Hence</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these</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basic</w:t>
      </w:r>
      <w:proofErr w:type="spellEnd"/>
      <w:r w:rsidR="005328ED" w:rsidRPr="00705170">
        <w:rPr>
          <w:rFonts w:ascii="Times New Roman" w:hAnsi="Times New Roman" w:cs="Times New Roman"/>
        </w:rPr>
        <w:t xml:space="preserve"> </w:t>
      </w:r>
      <w:r w:rsidRPr="00705170">
        <w:rPr>
          <w:rFonts w:ascii="Times New Roman" w:hAnsi="Times New Roman" w:cs="Times New Roman"/>
        </w:rPr>
        <w:t>“</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belong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absent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evidence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central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decision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426"/>
      </w:r>
      <w:r w:rsidR="00332086" w:rsidRPr="00705170">
        <w:rPr>
          <w:rFonts w:ascii="Times New Roman" w:hAnsi="Times New Roman" w:cs="Times New Roman"/>
        </w:rPr>
        <w:t xml:space="preserve">. </w:t>
      </w:r>
      <w:proofErr w:type="spellStart"/>
      <w:r w:rsidR="00723A7A" w:rsidRPr="00705170">
        <w:rPr>
          <w:rFonts w:ascii="Times New Roman" w:hAnsi="Times New Roman" w:cs="Times New Roman"/>
        </w:rPr>
        <w:t>In</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this</w:t>
      </w:r>
      <w:proofErr w:type="spellEnd"/>
      <w:r w:rsidR="00723A7A" w:rsidRPr="00705170">
        <w:rPr>
          <w:rFonts w:ascii="Times New Roman" w:hAnsi="Times New Roman" w:cs="Times New Roman"/>
        </w:rPr>
        <w:t xml:space="preserve"> sense, </w:t>
      </w:r>
      <w:proofErr w:type="spellStart"/>
      <w:r w:rsidR="00723A7A" w:rsidRPr="00705170">
        <w:rPr>
          <w:rFonts w:ascii="Times New Roman" w:hAnsi="Times New Roman" w:cs="Times New Roman"/>
        </w:rPr>
        <w:t>the</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conception</w:t>
      </w:r>
      <w:proofErr w:type="spellEnd"/>
      <w:r w:rsidR="00723A7A" w:rsidRPr="00705170">
        <w:rPr>
          <w:rFonts w:ascii="Times New Roman" w:hAnsi="Times New Roman" w:cs="Times New Roman"/>
        </w:rPr>
        <w:t xml:space="preserve"> of “</w:t>
      </w:r>
      <w:proofErr w:type="spellStart"/>
      <w:r w:rsidR="00723A7A" w:rsidRPr="00705170">
        <w:rPr>
          <w:rFonts w:ascii="Times New Roman" w:hAnsi="Times New Roman" w:cs="Times New Roman"/>
        </w:rPr>
        <w:t>basic</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reasonable</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expectations</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refer</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to</w:t>
      </w:r>
      <w:proofErr w:type="spellEnd"/>
      <w:r w:rsidR="00723A7A" w:rsidRPr="00705170">
        <w:rPr>
          <w:rFonts w:ascii="Times New Roman" w:hAnsi="Times New Roman" w:cs="Times New Roman"/>
        </w:rPr>
        <w:t xml:space="preserve"> a </w:t>
      </w:r>
      <w:proofErr w:type="spellStart"/>
      <w:r w:rsidR="00723A7A" w:rsidRPr="00705170">
        <w:rPr>
          <w:rFonts w:ascii="Times New Roman" w:hAnsi="Times New Roman" w:cs="Times New Roman"/>
        </w:rPr>
        <w:t>narrower</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scope</w:t>
      </w:r>
      <w:proofErr w:type="spellEnd"/>
      <w:r w:rsidR="00723A7A" w:rsidRPr="00705170">
        <w:rPr>
          <w:rFonts w:ascii="Times New Roman" w:hAnsi="Times New Roman" w:cs="Times New Roman"/>
        </w:rPr>
        <w:t xml:space="preserve"> of </w:t>
      </w:r>
      <w:proofErr w:type="spellStart"/>
      <w:r w:rsidR="00723A7A" w:rsidRPr="00705170">
        <w:rPr>
          <w:rFonts w:ascii="Times New Roman" w:hAnsi="Times New Roman" w:cs="Times New Roman"/>
        </w:rPr>
        <w:t>expectations</w:t>
      </w:r>
      <w:proofErr w:type="spellEnd"/>
      <w:r w:rsidR="00723A7A" w:rsidRPr="00705170">
        <w:rPr>
          <w:rFonts w:ascii="Times New Roman" w:hAnsi="Times New Roman" w:cs="Times New Roman"/>
        </w:rPr>
        <w:t xml:space="preserve"> (in </w:t>
      </w:r>
      <w:proofErr w:type="spellStart"/>
      <w:r w:rsidR="00723A7A" w:rsidRPr="00705170">
        <w:rPr>
          <w:rFonts w:ascii="Times New Roman" w:hAnsi="Times New Roman" w:cs="Times New Roman"/>
        </w:rPr>
        <w:t>fact</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just</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two</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and</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represents</w:t>
      </w:r>
      <w:proofErr w:type="spellEnd"/>
      <w:r w:rsidR="00723A7A" w:rsidRPr="00705170">
        <w:rPr>
          <w:rFonts w:ascii="Times New Roman" w:hAnsi="Times New Roman" w:cs="Times New Roman"/>
        </w:rPr>
        <w:t xml:space="preserve"> a </w:t>
      </w:r>
      <w:proofErr w:type="spellStart"/>
      <w:r w:rsidR="00723A7A" w:rsidRPr="00705170">
        <w:rPr>
          <w:rFonts w:ascii="Times New Roman" w:hAnsi="Times New Roman" w:cs="Times New Roman"/>
        </w:rPr>
        <w:t>subset</w:t>
      </w:r>
      <w:proofErr w:type="spellEnd"/>
      <w:r w:rsidR="00723A7A" w:rsidRPr="00705170">
        <w:rPr>
          <w:rFonts w:ascii="Times New Roman" w:hAnsi="Times New Roman" w:cs="Times New Roman"/>
        </w:rPr>
        <w:t xml:space="preserve"> of </w:t>
      </w:r>
      <w:proofErr w:type="spellStart"/>
      <w:r w:rsidR="00723A7A" w:rsidRPr="00705170">
        <w:rPr>
          <w:rFonts w:ascii="Times New Roman" w:hAnsi="Times New Roman" w:cs="Times New Roman"/>
        </w:rPr>
        <w:t>the</w:t>
      </w:r>
      <w:proofErr w:type="spellEnd"/>
      <w:r w:rsidR="00723A7A" w:rsidRPr="00705170">
        <w:rPr>
          <w:rFonts w:ascii="Times New Roman" w:hAnsi="Times New Roman" w:cs="Times New Roman"/>
        </w:rPr>
        <w:t xml:space="preserve"> “general </w:t>
      </w:r>
      <w:proofErr w:type="spellStart"/>
      <w:r w:rsidR="00723A7A" w:rsidRPr="00705170">
        <w:rPr>
          <w:rFonts w:ascii="Times New Roman" w:hAnsi="Times New Roman" w:cs="Times New Roman"/>
        </w:rPr>
        <w:t>reasonable</w:t>
      </w:r>
      <w:proofErr w:type="spellEnd"/>
      <w:r w:rsidR="00723A7A" w:rsidRPr="00705170">
        <w:rPr>
          <w:rFonts w:ascii="Times New Roman" w:hAnsi="Times New Roman" w:cs="Times New Roman"/>
        </w:rPr>
        <w:t xml:space="preserve"> </w:t>
      </w:r>
      <w:proofErr w:type="spellStart"/>
      <w:r w:rsidR="00723A7A" w:rsidRPr="00705170">
        <w:rPr>
          <w:rFonts w:ascii="Times New Roman" w:hAnsi="Times New Roman" w:cs="Times New Roman"/>
        </w:rPr>
        <w:t>expectations</w:t>
      </w:r>
      <w:proofErr w:type="spellEnd"/>
      <w:r w:rsidR="00723A7A" w:rsidRPr="00705170">
        <w:rPr>
          <w:rFonts w:ascii="Times New Roman" w:hAnsi="Times New Roman" w:cs="Times New Roman"/>
        </w:rPr>
        <w:t>”.</w:t>
      </w:r>
      <w:r w:rsidR="006A5FC5">
        <w:rPr>
          <w:rFonts w:ascii="Times New Roman" w:hAnsi="Times New Roman" w:cs="Times New Roman"/>
        </w:rPr>
        <w:t xml:space="preserve"> </w:t>
      </w:r>
      <w:proofErr w:type="spellStart"/>
      <w:r w:rsidR="006A5FC5">
        <w:rPr>
          <w:rFonts w:ascii="Times New Roman" w:hAnsi="Times New Roman" w:cs="Times New Roman"/>
        </w:rPr>
        <w:t>Likewise</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this</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categorization</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does</w:t>
      </w:r>
      <w:proofErr w:type="spellEnd"/>
      <w:r w:rsidR="006A5FC5">
        <w:rPr>
          <w:rFonts w:ascii="Times New Roman" w:hAnsi="Times New Roman" w:cs="Times New Roman"/>
        </w:rPr>
        <w:t xml:space="preserve"> not </w:t>
      </w:r>
      <w:proofErr w:type="spellStart"/>
      <w:r w:rsidR="006A5FC5">
        <w:rPr>
          <w:rFonts w:ascii="Times New Roman" w:hAnsi="Times New Roman" w:cs="Times New Roman"/>
        </w:rPr>
        <w:t>mean</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that</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shareholders</w:t>
      </w:r>
      <w:proofErr w:type="spellEnd"/>
      <w:r w:rsidR="006A5FC5">
        <w:rPr>
          <w:rFonts w:ascii="Times New Roman" w:hAnsi="Times New Roman" w:cs="Times New Roman"/>
        </w:rPr>
        <w:t xml:space="preserve"> do not </w:t>
      </w:r>
      <w:proofErr w:type="spellStart"/>
      <w:r w:rsidR="006A5FC5">
        <w:rPr>
          <w:rFonts w:ascii="Times New Roman" w:hAnsi="Times New Roman" w:cs="Times New Roman"/>
        </w:rPr>
        <w:t>have</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any</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other</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shareholder</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rights</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other</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than</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the</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ones</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corresponding</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to</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the</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basic</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reasonable</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expectations</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To</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the</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contrary</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other</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shareholder</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rights</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are</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categorized</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under</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the</w:t>
      </w:r>
      <w:proofErr w:type="spellEnd"/>
      <w:r w:rsidR="006A5FC5">
        <w:rPr>
          <w:rFonts w:ascii="Times New Roman" w:hAnsi="Times New Roman" w:cs="Times New Roman"/>
        </w:rPr>
        <w:t xml:space="preserve"> general </w:t>
      </w:r>
      <w:proofErr w:type="spellStart"/>
      <w:r w:rsidR="006A5FC5">
        <w:rPr>
          <w:rFonts w:ascii="Times New Roman" w:hAnsi="Times New Roman" w:cs="Times New Roman"/>
        </w:rPr>
        <w:t>reasonable</w:t>
      </w:r>
      <w:proofErr w:type="spellEnd"/>
      <w:r w:rsidR="006A5FC5">
        <w:rPr>
          <w:rFonts w:ascii="Times New Roman" w:hAnsi="Times New Roman" w:cs="Times New Roman"/>
        </w:rPr>
        <w:t xml:space="preserve"> </w:t>
      </w:r>
      <w:proofErr w:type="spellStart"/>
      <w:r w:rsidR="006A5FC5">
        <w:rPr>
          <w:rFonts w:ascii="Times New Roman" w:hAnsi="Times New Roman" w:cs="Times New Roman"/>
        </w:rPr>
        <w:t>expectations</w:t>
      </w:r>
      <w:proofErr w:type="spellEnd"/>
      <w:r w:rsidR="006A5FC5">
        <w:rPr>
          <w:rFonts w:ascii="Times New Roman" w:hAnsi="Times New Roman" w:cs="Times New Roman"/>
        </w:rPr>
        <w:t xml:space="preserve">.   </w:t>
      </w:r>
    </w:p>
    <w:p w14:paraId="4380C4FD" w14:textId="259698FD" w:rsidR="00FA279C" w:rsidRPr="00705170" w:rsidRDefault="00332086" w:rsidP="00332826">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implicit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consequential</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grant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interwoven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with</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these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basic</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expectations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are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arising</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from</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terms</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contract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between</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corporate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participants</w:t>
      </w:r>
      <w:proofErr w:type="spellEnd"/>
      <w:r w:rsidR="00B94F01" w:rsidRPr="00705170">
        <w:rPr>
          <w:rStyle w:val="DipnotBavurusu"/>
          <w:rFonts w:ascii="Times New Roman" w:hAnsi="Times New Roman" w:cs="Times New Roman"/>
        </w:rPr>
        <w:footnoteReference w:id="427"/>
      </w:r>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which</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are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mandatorily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added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lastRenderedPageBreak/>
        <w:t>co</w:t>
      </w:r>
      <w:r w:rsidRPr="00705170">
        <w:rPr>
          <w:rFonts w:ascii="Times New Roman" w:hAnsi="Times New Roman" w:cs="Times New Roman"/>
        </w:rPr>
        <w:t>ntract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mandatory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rules</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corporate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law</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for</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publicly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traded</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corporations</w:t>
      </w:r>
      <w:proofErr w:type="spellEnd"/>
      <w:r w:rsidR="00332826" w:rsidRPr="00705170">
        <w:rPr>
          <w:rFonts w:ascii="Times New Roman" w:hAnsi="Times New Roman" w:cs="Times New Roman"/>
        </w:rPr>
        <w:t xml:space="preserve"> in </w:t>
      </w:r>
      <w:proofErr w:type="spellStart"/>
      <w:r w:rsidR="00332826" w:rsidRPr="00705170">
        <w:rPr>
          <w:rFonts w:ascii="Times New Roman" w:hAnsi="Times New Roman" w:cs="Times New Roman"/>
        </w:rPr>
        <w:t>Turkey</w:t>
      </w:r>
      <w:proofErr w:type="spellEnd"/>
      <w:r w:rsidR="00332826" w:rsidRPr="00705170">
        <w:rPr>
          <w:rStyle w:val="DipnotBavurusu"/>
          <w:rFonts w:ascii="Times New Roman" w:hAnsi="Times New Roman" w:cs="Times New Roman"/>
        </w:rPr>
        <w:footnoteReference w:id="428"/>
      </w:r>
      <w:r w:rsidR="00F84442" w:rsidRPr="00705170">
        <w:rPr>
          <w:rFonts w:ascii="Times New Roman" w:hAnsi="Times New Roman" w:cs="Times New Roman"/>
        </w:rPr>
        <w:t xml:space="preserve"> </w:t>
      </w:r>
      <w:proofErr w:type="spellStart"/>
      <w:r w:rsidR="00F84442" w:rsidRPr="00705170">
        <w:rPr>
          <w:rFonts w:ascii="Times New Roman" w:hAnsi="Times New Roman" w:cs="Times New Roman"/>
        </w:rPr>
        <w:t>and</w:t>
      </w:r>
      <w:proofErr w:type="spellEnd"/>
      <w:r w:rsidR="00F84442" w:rsidRPr="00705170">
        <w:rPr>
          <w:rFonts w:ascii="Times New Roman" w:hAnsi="Times New Roman" w:cs="Times New Roman"/>
        </w:rPr>
        <w:t xml:space="preserve"> U.S.</w:t>
      </w:r>
      <w:r w:rsidR="00B8283E" w:rsidRPr="00705170">
        <w:rPr>
          <w:rStyle w:val="DipnotBavurusu"/>
          <w:rFonts w:ascii="Times New Roman" w:hAnsi="Times New Roman" w:cs="Times New Roman"/>
        </w:rPr>
        <w:footnoteReference w:id="429"/>
      </w:r>
      <w:r w:rsidR="00B8283E" w:rsidRPr="00705170">
        <w:rPr>
          <w:rFonts w:ascii="Times New Roman" w:hAnsi="Times New Roman" w:cs="Times New Roman"/>
        </w:rPr>
        <w:t>.</w:t>
      </w:r>
      <w:r w:rsidR="00332826" w:rsidRPr="00705170">
        <w:rPr>
          <w:rFonts w:ascii="Times New Roman" w:hAnsi="Times New Roman" w:cs="Times New Roman"/>
        </w:rPr>
        <w:t xml:space="preserve"> </w:t>
      </w:r>
      <w:proofErr w:type="spellStart"/>
      <w:r w:rsidR="000E199F" w:rsidRPr="00705170">
        <w:rPr>
          <w:rFonts w:ascii="Times New Roman" w:hAnsi="Times New Roman" w:cs="Times New Roman"/>
        </w:rPr>
        <w:t>In</w:t>
      </w:r>
      <w:proofErr w:type="spellEnd"/>
      <w:r w:rsidR="000E199F" w:rsidRPr="00705170">
        <w:rPr>
          <w:rFonts w:ascii="Times New Roman" w:hAnsi="Times New Roman" w:cs="Times New Roman"/>
        </w:rPr>
        <w:t xml:space="preserve"> </w:t>
      </w:r>
      <w:proofErr w:type="spellStart"/>
      <w:r w:rsidR="000E199F" w:rsidRPr="00705170">
        <w:rPr>
          <w:rFonts w:ascii="Times New Roman" w:hAnsi="Times New Roman" w:cs="Times New Roman"/>
        </w:rPr>
        <w:t>this</w:t>
      </w:r>
      <w:proofErr w:type="spellEnd"/>
      <w:r w:rsidR="000E199F" w:rsidRPr="00705170">
        <w:rPr>
          <w:rFonts w:ascii="Times New Roman" w:hAnsi="Times New Roman" w:cs="Times New Roman"/>
        </w:rPr>
        <w:t xml:space="preserve"> sense</w:t>
      </w:r>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these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expectations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aris</w:t>
      </w:r>
      <w:r w:rsidR="00FA279C" w:rsidRPr="00705170">
        <w:rPr>
          <w:rFonts w:ascii="Times New Roman" w:hAnsi="Times New Roman" w:cs="Times New Roman"/>
        </w:rPr>
        <w:t>e</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because</w:t>
      </w:r>
      <w:proofErr w:type="spellEnd"/>
      <w:r w:rsidR="00FA279C" w:rsidRPr="00705170">
        <w:rPr>
          <w:rFonts w:ascii="Times New Roman" w:hAnsi="Times New Roman" w:cs="Times New Roman"/>
        </w:rPr>
        <w:t xml:space="preserve"> of </w:t>
      </w:r>
      <w:proofErr w:type="spellStart"/>
      <w:r w:rsidR="00FA279C" w:rsidRPr="00705170">
        <w:rPr>
          <w:rFonts w:ascii="Times New Roman" w:hAnsi="Times New Roman" w:cs="Times New Roman"/>
        </w:rPr>
        <w:t>the</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statutory</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rules</w:t>
      </w:r>
      <w:proofErr w:type="spellEnd"/>
      <w:r w:rsidR="00332826" w:rsidRPr="00705170">
        <w:rPr>
          <w:rFonts w:ascii="Times New Roman" w:hAnsi="Times New Roman" w:cs="Times New Roman"/>
        </w:rPr>
        <w:t xml:space="preserve"> </w:t>
      </w:r>
      <w:proofErr w:type="spellStart"/>
      <w:r w:rsidR="00FA279C" w:rsidRPr="00705170">
        <w:rPr>
          <w:rFonts w:ascii="Times New Roman" w:hAnsi="Times New Roman" w:cs="Times New Roman"/>
        </w:rPr>
        <w:t>that</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forms</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the</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terms</w:t>
      </w:r>
      <w:proofErr w:type="spellEnd"/>
      <w:r w:rsidR="00FA279C" w:rsidRPr="00705170">
        <w:rPr>
          <w:rFonts w:ascii="Times New Roman" w:hAnsi="Times New Roman" w:cs="Times New Roman"/>
        </w:rPr>
        <w:t xml:space="preserve"> of </w:t>
      </w:r>
      <w:proofErr w:type="spellStart"/>
      <w:r w:rsidR="00FA279C" w:rsidRPr="00705170">
        <w:rPr>
          <w:rFonts w:ascii="Times New Roman" w:hAnsi="Times New Roman" w:cs="Times New Roman"/>
        </w:rPr>
        <w:t>the</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relationship</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between</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the</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parties</w:t>
      </w:r>
      <w:proofErr w:type="spellEnd"/>
      <w:r w:rsidR="00332826" w:rsidRPr="00705170">
        <w:rPr>
          <w:rStyle w:val="DipnotBavurusu"/>
          <w:rFonts w:ascii="Times New Roman" w:hAnsi="Times New Roman" w:cs="Times New Roman"/>
        </w:rPr>
        <w:footnoteReference w:id="430"/>
      </w:r>
      <w:r w:rsidR="00332826" w:rsidRPr="00705170">
        <w:rPr>
          <w:rFonts w:ascii="Times New Roman" w:hAnsi="Times New Roman" w:cs="Times New Roman"/>
        </w:rPr>
        <w:t xml:space="preserve">. Put </w:t>
      </w:r>
      <w:proofErr w:type="spellStart"/>
      <w:r w:rsidR="00332826" w:rsidRPr="00705170">
        <w:rPr>
          <w:rFonts w:ascii="Times New Roman" w:hAnsi="Times New Roman" w:cs="Times New Roman"/>
        </w:rPr>
        <w:t>differently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due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to</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statutory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provision</w:t>
      </w:r>
      <w:r w:rsidRPr="00705170">
        <w:rPr>
          <w:rFonts w:ascii="Times New Roman" w:hAnsi="Times New Roman" w:cs="Times New Roman"/>
        </w:rPr>
        <w:t>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shareholders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have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expectations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about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what</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their</w:t>
      </w:r>
      <w:proofErr w:type="spellEnd"/>
      <w:r w:rsidR="00332826" w:rsidRPr="00705170">
        <w:rPr>
          <w:rFonts w:ascii="Times New Roman" w:hAnsi="Times New Roman" w:cs="Times New Roman"/>
        </w:rPr>
        <w:t xml:space="preserve"> legal </w:t>
      </w:r>
      <w:proofErr w:type="spellStart"/>
      <w:r w:rsidR="00332826" w:rsidRPr="00705170">
        <w:rPr>
          <w:rFonts w:ascii="Times New Roman" w:hAnsi="Times New Roman" w:cs="Times New Roman"/>
        </w:rPr>
        <w:t>rights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are</w:t>
      </w:r>
      <w:proofErr w:type="spellEnd"/>
      <w:r w:rsidR="00332826" w:rsidRPr="00705170">
        <w:rPr>
          <w:rStyle w:val="DipnotBavurusu"/>
          <w:rFonts w:ascii="Times New Roman" w:hAnsi="Times New Roman" w:cs="Times New Roman"/>
        </w:rPr>
        <w:footnoteReference w:id="431"/>
      </w:r>
      <w:r w:rsidR="00332826" w:rsidRPr="00705170">
        <w:rPr>
          <w:rFonts w:ascii="Times New Roman" w:hAnsi="Times New Roman" w:cs="Times New Roman"/>
        </w:rPr>
        <w:t xml:space="preserve">. </w:t>
      </w:r>
      <w:proofErr w:type="spellStart"/>
      <w:r w:rsidR="00FA279C" w:rsidRPr="00705170">
        <w:rPr>
          <w:rFonts w:ascii="Times New Roman" w:hAnsi="Times New Roman" w:cs="Times New Roman"/>
        </w:rPr>
        <w:t>After</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all</w:t>
      </w:r>
      <w:proofErr w:type="spellEnd"/>
      <w:r w:rsidR="00FA279C" w:rsidRPr="00705170">
        <w:rPr>
          <w:rFonts w:ascii="Times New Roman" w:hAnsi="Times New Roman" w:cs="Times New Roman"/>
        </w:rPr>
        <w:t>, “</w:t>
      </w:r>
      <w:proofErr w:type="spellStart"/>
      <w:r w:rsidR="00FA279C" w:rsidRPr="00705170">
        <w:rPr>
          <w:rFonts w:ascii="Times New Roman" w:hAnsi="Times New Roman" w:cs="Times New Roman"/>
        </w:rPr>
        <w:t>the</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law</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and</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expectations</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are</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related</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by</w:t>
      </w:r>
      <w:proofErr w:type="spellEnd"/>
      <w:r w:rsidR="00FA279C" w:rsidRPr="00705170">
        <w:rPr>
          <w:rFonts w:ascii="Times New Roman" w:hAnsi="Times New Roman" w:cs="Times New Roman"/>
        </w:rPr>
        <w:t xml:space="preserve"> a </w:t>
      </w:r>
      <w:proofErr w:type="spellStart"/>
      <w:r w:rsidR="00FA279C" w:rsidRPr="00705170">
        <w:rPr>
          <w:rFonts w:ascii="Times New Roman" w:hAnsi="Times New Roman" w:cs="Times New Roman"/>
        </w:rPr>
        <w:t>mutual</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feedback</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mechanism</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and</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reasonable</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expectations</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affect</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the</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state</w:t>
      </w:r>
      <w:proofErr w:type="spellEnd"/>
      <w:r w:rsidR="00FA279C" w:rsidRPr="00705170">
        <w:rPr>
          <w:rFonts w:ascii="Times New Roman" w:hAnsi="Times New Roman" w:cs="Times New Roman"/>
        </w:rPr>
        <w:t xml:space="preserve"> of </w:t>
      </w:r>
      <w:proofErr w:type="spellStart"/>
      <w:r w:rsidR="00FA279C" w:rsidRPr="00705170">
        <w:rPr>
          <w:rFonts w:ascii="Times New Roman" w:hAnsi="Times New Roman" w:cs="Times New Roman"/>
        </w:rPr>
        <w:t>the</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law</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and</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the</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state</w:t>
      </w:r>
      <w:proofErr w:type="spellEnd"/>
      <w:r w:rsidR="00FA279C" w:rsidRPr="00705170">
        <w:rPr>
          <w:rFonts w:ascii="Times New Roman" w:hAnsi="Times New Roman" w:cs="Times New Roman"/>
        </w:rPr>
        <w:t xml:space="preserve"> of </w:t>
      </w:r>
      <w:proofErr w:type="spellStart"/>
      <w:r w:rsidR="00FA279C" w:rsidRPr="00705170">
        <w:rPr>
          <w:rFonts w:ascii="Times New Roman" w:hAnsi="Times New Roman" w:cs="Times New Roman"/>
        </w:rPr>
        <w:t>the</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law</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affects</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reasonable</w:t>
      </w:r>
      <w:proofErr w:type="spellEnd"/>
      <w:r w:rsidR="00FA279C" w:rsidRPr="00705170">
        <w:rPr>
          <w:rFonts w:ascii="Times New Roman" w:hAnsi="Times New Roman" w:cs="Times New Roman"/>
        </w:rPr>
        <w:t xml:space="preserve"> </w:t>
      </w:r>
      <w:proofErr w:type="spellStart"/>
      <w:r w:rsidR="00FA279C" w:rsidRPr="00705170">
        <w:rPr>
          <w:rFonts w:ascii="Times New Roman" w:hAnsi="Times New Roman" w:cs="Times New Roman"/>
        </w:rPr>
        <w:t>expectations</w:t>
      </w:r>
      <w:proofErr w:type="spellEnd"/>
      <w:r w:rsidR="00FA279C" w:rsidRPr="00705170">
        <w:rPr>
          <w:rFonts w:ascii="Times New Roman" w:hAnsi="Times New Roman" w:cs="Times New Roman"/>
        </w:rPr>
        <w:t>”</w:t>
      </w:r>
      <w:r w:rsidR="00FA279C" w:rsidRPr="00705170">
        <w:rPr>
          <w:rStyle w:val="DipnotBavurusu"/>
          <w:rFonts w:ascii="Times New Roman" w:hAnsi="Times New Roman" w:cs="Times New Roman"/>
        </w:rPr>
        <w:footnoteReference w:id="432"/>
      </w:r>
      <w:r w:rsidR="00FA279C" w:rsidRPr="00705170">
        <w:rPr>
          <w:rFonts w:ascii="Times New Roman" w:hAnsi="Times New Roman" w:cs="Times New Roman"/>
        </w:rPr>
        <w:t>.</w:t>
      </w:r>
      <w:r w:rsidR="005D7E1A" w:rsidRPr="00705170">
        <w:rPr>
          <w:rFonts w:ascii="Times New Roman" w:hAnsi="Times New Roman" w:cs="Times New Roman"/>
        </w:rPr>
        <w:t xml:space="preserve"> </w:t>
      </w:r>
      <w:proofErr w:type="spellStart"/>
      <w:r w:rsidR="000E199F" w:rsidRPr="00705170">
        <w:rPr>
          <w:rFonts w:ascii="Times New Roman" w:hAnsi="Times New Roman" w:cs="Times New Roman"/>
        </w:rPr>
        <w:t>The</w:t>
      </w:r>
      <w:proofErr w:type="spellEnd"/>
      <w:r w:rsidR="000E199F" w:rsidRPr="00705170">
        <w:rPr>
          <w:rFonts w:ascii="Times New Roman" w:hAnsi="Times New Roman" w:cs="Times New Roman"/>
        </w:rPr>
        <w:t xml:space="preserve"> </w:t>
      </w:r>
      <w:proofErr w:type="spellStart"/>
      <w:r w:rsidR="000E199F" w:rsidRPr="00705170">
        <w:rPr>
          <w:rFonts w:ascii="Times New Roman" w:hAnsi="Times New Roman" w:cs="Times New Roman"/>
        </w:rPr>
        <w:t>statutory</w:t>
      </w:r>
      <w:proofErr w:type="spellEnd"/>
      <w:r w:rsidR="000E199F" w:rsidRPr="00705170">
        <w:rPr>
          <w:rFonts w:ascii="Times New Roman" w:hAnsi="Times New Roman" w:cs="Times New Roman"/>
        </w:rPr>
        <w:t xml:space="preserve"> </w:t>
      </w:r>
      <w:proofErr w:type="spellStart"/>
      <w:r w:rsidR="000E199F" w:rsidRPr="00705170">
        <w:rPr>
          <w:rFonts w:ascii="Times New Roman" w:hAnsi="Times New Roman" w:cs="Times New Roman"/>
        </w:rPr>
        <w:t>norms</w:t>
      </w:r>
      <w:proofErr w:type="spellEnd"/>
      <w:r w:rsidR="000E199F" w:rsidRPr="00705170">
        <w:rPr>
          <w:rFonts w:ascii="Times New Roman" w:hAnsi="Times New Roman" w:cs="Times New Roman"/>
        </w:rPr>
        <w:t xml:space="preserve"> </w:t>
      </w:r>
      <w:proofErr w:type="spellStart"/>
      <w:r w:rsidR="000E199F" w:rsidRPr="00705170">
        <w:rPr>
          <w:rFonts w:ascii="Times New Roman" w:hAnsi="Times New Roman" w:cs="Times New Roman"/>
        </w:rPr>
        <w:t>reflect</w:t>
      </w:r>
      <w:proofErr w:type="spellEnd"/>
      <w:r w:rsidR="000E199F" w:rsidRPr="00705170">
        <w:rPr>
          <w:rFonts w:ascii="Times New Roman" w:hAnsi="Times New Roman" w:cs="Times New Roman"/>
        </w:rPr>
        <w:t xml:space="preserve"> </w:t>
      </w:r>
      <w:proofErr w:type="spellStart"/>
      <w:r w:rsidR="000E199F" w:rsidRPr="00705170">
        <w:rPr>
          <w:rFonts w:ascii="Times New Roman" w:hAnsi="Times New Roman" w:cs="Times New Roman"/>
        </w:rPr>
        <w:t>the</w:t>
      </w:r>
      <w:proofErr w:type="spellEnd"/>
      <w:r w:rsidR="000E199F" w:rsidRPr="00705170">
        <w:rPr>
          <w:rFonts w:ascii="Times New Roman" w:hAnsi="Times New Roman" w:cs="Times New Roman"/>
        </w:rPr>
        <w:t xml:space="preserve"> </w:t>
      </w:r>
      <w:proofErr w:type="spellStart"/>
      <w:r w:rsidR="000E199F" w:rsidRPr="00705170">
        <w:rPr>
          <w:rFonts w:ascii="Times New Roman" w:hAnsi="Times New Roman" w:cs="Times New Roman"/>
        </w:rPr>
        <w:t>shareholder</w:t>
      </w:r>
      <w:proofErr w:type="spellEnd"/>
      <w:r w:rsidR="000E199F" w:rsidRPr="00705170">
        <w:rPr>
          <w:rFonts w:ascii="Times New Roman" w:hAnsi="Times New Roman" w:cs="Times New Roman"/>
        </w:rPr>
        <w:t xml:space="preserve"> </w:t>
      </w:r>
      <w:proofErr w:type="spellStart"/>
      <w:r w:rsidR="000E199F" w:rsidRPr="00705170">
        <w:rPr>
          <w:rFonts w:ascii="Times New Roman" w:hAnsi="Times New Roman" w:cs="Times New Roman"/>
        </w:rPr>
        <w:t>expectations</w:t>
      </w:r>
      <w:proofErr w:type="spellEnd"/>
      <w:r w:rsidR="000E199F" w:rsidRPr="00705170">
        <w:rPr>
          <w:rFonts w:ascii="Times New Roman" w:hAnsi="Times New Roman" w:cs="Times New Roman"/>
        </w:rPr>
        <w:t xml:space="preserve"> </w:t>
      </w:r>
      <w:proofErr w:type="spellStart"/>
      <w:r w:rsidR="000E199F" w:rsidRPr="00705170">
        <w:rPr>
          <w:rFonts w:ascii="Times New Roman" w:hAnsi="Times New Roman" w:cs="Times New Roman"/>
        </w:rPr>
        <w:t>envisioned</w:t>
      </w:r>
      <w:proofErr w:type="spellEnd"/>
      <w:r w:rsidR="000E199F" w:rsidRPr="00705170">
        <w:rPr>
          <w:rFonts w:ascii="Times New Roman" w:hAnsi="Times New Roman" w:cs="Times New Roman"/>
        </w:rPr>
        <w:t xml:space="preserve"> </w:t>
      </w:r>
      <w:proofErr w:type="spellStart"/>
      <w:r w:rsidR="000E199F" w:rsidRPr="00705170">
        <w:rPr>
          <w:rFonts w:ascii="Times New Roman" w:hAnsi="Times New Roman" w:cs="Times New Roman"/>
        </w:rPr>
        <w:t>by</w:t>
      </w:r>
      <w:proofErr w:type="spellEnd"/>
      <w:r w:rsidR="000E199F" w:rsidRPr="00705170">
        <w:rPr>
          <w:rFonts w:ascii="Times New Roman" w:hAnsi="Times New Roman" w:cs="Times New Roman"/>
        </w:rPr>
        <w:t xml:space="preserve"> </w:t>
      </w:r>
      <w:proofErr w:type="spellStart"/>
      <w:r w:rsidR="000E199F" w:rsidRPr="00705170">
        <w:rPr>
          <w:rFonts w:ascii="Times New Roman" w:hAnsi="Times New Roman" w:cs="Times New Roman"/>
        </w:rPr>
        <w:t>the</w:t>
      </w:r>
      <w:proofErr w:type="spellEnd"/>
      <w:r w:rsidR="000E199F" w:rsidRPr="00705170">
        <w:rPr>
          <w:rFonts w:ascii="Times New Roman" w:hAnsi="Times New Roman" w:cs="Times New Roman"/>
        </w:rPr>
        <w:t xml:space="preserve"> </w:t>
      </w:r>
      <w:proofErr w:type="spellStart"/>
      <w:r w:rsidR="000E199F" w:rsidRPr="00705170">
        <w:rPr>
          <w:rFonts w:ascii="Times New Roman" w:hAnsi="Times New Roman" w:cs="Times New Roman"/>
        </w:rPr>
        <w:t>legislators</w:t>
      </w:r>
      <w:proofErr w:type="spellEnd"/>
      <w:r w:rsidR="000E199F" w:rsidRPr="00705170">
        <w:rPr>
          <w:rStyle w:val="DipnotBavurusu"/>
          <w:rFonts w:ascii="Times New Roman" w:hAnsi="Times New Roman" w:cs="Times New Roman"/>
        </w:rPr>
        <w:footnoteReference w:id="433"/>
      </w:r>
      <w:r w:rsidR="000E199F" w:rsidRPr="00705170">
        <w:rPr>
          <w:rFonts w:ascii="Times New Roman" w:hAnsi="Times New Roman" w:cs="Times New Roman"/>
        </w:rPr>
        <w:t xml:space="preserve">. </w:t>
      </w:r>
      <w:proofErr w:type="spellStart"/>
      <w:r w:rsidR="005D7E1A" w:rsidRPr="00705170">
        <w:rPr>
          <w:rFonts w:ascii="Times New Roman" w:hAnsi="Times New Roman" w:cs="Times New Roman"/>
        </w:rPr>
        <w:t>Then</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just</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like</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shareholder</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rights</w:t>
      </w:r>
      <w:proofErr w:type="spellEnd"/>
      <w:r w:rsidR="005D7E1A" w:rsidRPr="00705170">
        <w:rPr>
          <w:rFonts w:ascii="Times New Roman" w:hAnsi="Times New Roman" w:cs="Times New Roman"/>
        </w:rPr>
        <w:t xml:space="preserve"> is </w:t>
      </w:r>
      <w:proofErr w:type="spellStart"/>
      <w:r w:rsidR="005D7E1A" w:rsidRPr="00705170">
        <w:rPr>
          <w:rFonts w:ascii="Times New Roman" w:hAnsi="Times New Roman" w:cs="Times New Roman"/>
        </w:rPr>
        <w:t>primarily</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found</w:t>
      </w:r>
      <w:proofErr w:type="spellEnd"/>
      <w:r w:rsidR="005D7E1A" w:rsidRPr="00705170">
        <w:rPr>
          <w:rFonts w:ascii="Times New Roman" w:hAnsi="Times New Roman" w:cs="Times New Roman"/>
        </w:rPr>
        <w:t xml:space="preserve"> in </w:t>
      </w:r>
      <w:proofErr w:type="spellStart"/>
      <w:r w:rsidR="005D7E1A" w:rsidRPr="00705170">
        <w:rPr>
          <w:rFonts w:ascii="Times New Roman" w:hAnsi="Times New Roman" w:cs="Times New Roman"/>
        </w:rPr>
        <w:t>the</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statutory</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rules</w:t>
      </w:r>
      <w:proofErr w:type="spellEnd"/>
      <w:r w:rsidR="005D7E1A" w:rsidRPr="00705170">
        <w:rPr>
          <w:rFonts w:ascii="Times New Roman" w:hAnsi="Times New Roman" w:cs="Times New Roman"/>
        </w:rPr>
        <w:t xml:space="preserve"> of </w:t>
      </w:r>
      <w:proofErr w:type="spellStart"/>
      <w:r w:rsidR="005D7E1A" w:rsidRPr="00705170">
        <w:rPr>
          <w:rFonts w:ascii="Times New Roman" w:hAnsi="Times New Roman" w:cs="Times New Roman"/>
        </w:rPr>
        <w:t>corporate</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law</w:t>
      </w:r>
      <w:proofErr w:type="spellEnd"/>
      <w:r w:rsidR="005D7E1A" w:rsidRPr="00705170">
        <w:rPr>
          <w:rStyle w:val="DipnotBavurusu"/>
          <w:rFonts w:ascii="Times New Roman" w:hAnsi="Times New Roman" w:cs="Times New Roman"/>
        </w:rPr>
        <w:footnoteReference w:id="434"/>
      </w:r>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searching</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through</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the</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same</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source</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for</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detecting</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their</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basic</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reasonable</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expectations</w:t>
      </w:r>
      <w:proofErr w:type="spellEnd"/>
      <w:r w:rsidR="005D7E1A" w:rsidRPr="00705170">
        <w:rPr>
          <w:rFonts w:ascii="Times New Roman" w:hAnsi="Times New Roman" w:cs="Times New Roman"/>
        </w:rPr>
        <w:t xml:space="preserve"> is </w:t>
      </w:r>
      <w:proofErr w:type="spellStart"/>
      <w:r w:rsidR="005D7E1A" w:rsidRPr="00705170">
        <w:rPr>
          <w:rFonts w:ascii="Times New Roman" w:hAnsi="Times New Roman" w:cs="Times New Roman"/>
        </w:rPr>
        <w:t>logical</w:t>
      </w:r>
      <w:proofErr w:type="spellEnd"/>
      <w:r w:rsidR="0080586F" w:rsidRPr="00705170">
        <w:rPr>
          <w:rStyle w:val="DipnotBavurusu"/>
          <w:rFonts w:ascii="Times New Roman" w:hAnsi="Times New Roman" w:cs="Times New Roman"/>
        </w:rPr>
        <w:footnoteReference w:id="435"/>
      </w:r>
      <w:r w:rsidR="005D7E1A" w:rsidRPr="00705170">
        <w:rPr>
          <w:rFonts w:ascii="Times New Roman" w:hAnsi="Times New Roman" w:cs="Times New Roman"/>
        </w:rPr>
        <w:t>.</w:t>
      </w:r>
    </w:p>
    <w:p w14:paraId="2EFF8814" w14:textId="0CB1709B" w:rsidR="00205A80" w:rsidRPr="00705170" w:rsidRDefault="00596D47" w:rsidP="008D6752">
      <w:pPr>
        <w:spacing w:after="240" w:line="480" w:lineRule="auto"/>
        <w:ind w:firstLine="720"/>
        <w:jc w:val="both"/>
        <w:rPr>
          <w:rFonts w:ascii="Times New Roman" w:hAnsi="Times New Roman" w:cs="Times New Roman"/>
        </w:rPr>
      </w:pPr>
      <w:r w:rsidRPr="00705170">
        <w:rPr>
          <w:rFonts w:ascii="Times New Roman" w:hAnsi="Times New Roman" w:cs="Times New Roman"/>
        </w:rPr>
        <w:lastRenderedPageBreak/>
        <w:t xml:space="preserve">As </w:t>
      </w:r>
      <w:proofErr w:type="spellStart"/>
      <w:r w:rsidRPr="00705170">
        <w:rPr>
          <w:rFonts w:ascii="Times New Roman" w:hAnsi="Times New Roman" w:cs="Times New Roman"/>
        </w:rPr>
        <w:t>acknowledged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respected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commentator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knowledge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energies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used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maximize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profits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ultimate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purpose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increasing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wealth</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436"/>
      </w:r>
      <w:r w:rsidRPr="00705170">
        <w:rPr>
          <w:rFonts w:ascii="Times New Roman" w:hAnsi="Times New Roman" w:cs="Times New Roman"/>
        </w:rPr>
        <w:t xml:space="preserve">. </w:t>
      </w:r>
      <w:proofErr w:type="spellStart"/>
      <w:r w:rsidRPr="00705170">
        <w:rPr>
          <w:rFonts w:ascii="Times New Roman" w:hAnsi="Times New Roman" w:cs="Times New Roman"/>
        </w:rPr>
        <w:t>Accordingly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w:t>
      </w:r>
      <w:r w:rsidR="00A5133D" w:rsidRPr="00705170">
        <w:rPr>
          <w:rFonts w:ascii="Times New Roman" w:hAnsi="Times New Roman" w:cs="Times New Roman"/>
        </w:rPr>
        <w:t>hen</w:t>
      </w:r>
      <w:proofErr w:type="spellEnd"/>
      <w:r w:rsidR="00A5133D" w:rsidRPr="00705170">
        <w:rPr>
          <w:rFonts w:ascii="Times New Roman" w:hAnsi="Times New Roman" w:cs="Times New Roman"/>
        </w:rPr>
        <w:t xml:space="preserve"> a</w:t>
      </w:r>
      <w:r w:rsidR="0047513D">
        <w:rPr>
          <w:rFonts w:ascii="Times New Roman" w:hAnsi="Times New Roman" w:cs="Times New Roman"/>
        </w:rPr>
        <w:t>n</w:t>
      </w:r>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action</w:t>
      </w:r>
      <w:proofErr w:type="spellEnd"/>
      <w:r w:rsidR="00A5133D" w:rsidRPr="00705170">
        <w:rPr>
          <w:rFonts w:ascii="Times New Roman" w:hAnsi="Times New Roman" w:cs="Times New Roman"/>
        </w:rPr>
        <w:t xml:space="preserve"> is </w:t>
      </w:r>
      <w:proofErr w:type="spellStart"/>
      <w:r w:rsidR="00A5133D" w:rsidRPr="00705170">
        <w:rPr>
          <w:rFonts w:ascii="Times New Roman" w:hAnsi="Times New Roman" w:cs="Times New Roman"/>
        </w:rPr>
        <w:t>taken</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to</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realize</w:t>
      </w:r>
      <w:proofErr w:type="spellEnd"/>
      <w:r w:rsidR="00A5133D" w:rsidRPr="00705170">
        <w:rPr>
          <w:rFonts w:ascii="Times New Roman" w:hAnsi="Times New Roman" w:cs="Times New Roman"/>
        </w:rPr>
        <w:t xml:space="preserve"> an </w:t>
      </w:r>
      <w:proofErr w:type="spellStart"/>
      <w:r w:rsidR="00A5133D" w:rsidRPr="00705170">
        <w:rPr>
          <w:rFonts w:ascii="Times New Roman" w:hAnsi="Times New Roman" w:cs="Times New Roman"/>
        </w:rPr>
        <w:t>influencing</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shareholders</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non</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pecuniary</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benefits</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these</w:t>
      </w:r>
      <w:proofErr w:type="spellEnd"/>
      <w:r w:rsidR="00A5133D" w:rsidRPr="00705170">
        <w:rPr>
          <w:rFonts w:ascii="Times New Roman" w:hAnsi="Times New Roman" w:cs="Times New Roman"/>
        </w:rPr>
        <w:t xml:space="preserve"> </w:t>
      </w:r>
      <w:proofErr w:type="spellStart"/>
      <w:r w:rsidR="00B8283E" w:rsidRPr="00705170">
        <w:rPr>
          <w:rFonts w:ascii="Times New Roman" w:hAnsi="Times New Roman" w:cs="Times New Roman"/>
        </w:rPr>
        <w:t>basic</w:t>
      </w:r>
      <w:proofErr w:type="spellEnd"/>
      <w:r w:rsidR="00B8283E" w:rsidRPr="00705170">
        <w:rPr>
          <w:rFonts w:ascii="Times New Roman" w:hAnsi="Times New Roman" w:cs="Times New Roman"/>
        </w:rPr>
        <w:t xml:space="preserve"> </w:t>
      </w:r>
      <w:proofErr w:type="spellStart"/>
      <w:r w:rsidR="00B8283E" w:rsidRPr="00705170">
        <w:rPr>
          <w:rFonts w:ascii="Times New Roman" w:hAnsi="Times New Roman" w:cs="Times New Roman"/>
        </w:rPr>
        <w:t>reasonable</w:t>
      </w:r>
      <w:proofErr w:type="spellEnd"/>
      <w:r w:rsidR="00B8283E" w:rsidRPr="00705170">
        <w:rPr>
          <w:rFonts w:ascii="Times New Roman" w:hAnsi="Times New Roman" w:cs="Times New Roman"/>
        </w:rPr>
        <w:t xml:space="preserve"> </w:t>
      </w:r>
      <w:proofErr w:type="spellStart"/>
      <w:r w:rsidR="00A5133D" w:rsidRPr="00705170">
        <w:rPr>
          <w:rFonts w:ascii="Times New Roman" w:hAnsi="Times New Roman" w:cs="Times New Roman"/>
        </w:rPr>
        <w:t>expectations</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are</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being</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frustrated</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because</w:t>
      </w:r>
      <w:proofErr w:type="spellEnd"/>
      <w:r w:rsidR="005D7E1A" w:rsidRPr="00705170">
        <w:rPr>
          <w:rFonts w:ascii="Times New Roman" w:hAnsi="Times New Roman" w:cs="Times New Roman"/>
        </w:rPr>
        <w:t xml:space="preserve">; (1) </w:t>
      </w:r>
      <w:proofErr w:type="spellStart"/>
      <w:r w:rsidR="005D7E1A" w:rsidRPr="00705170">
        <w:rPr>
          <w:rFonts w:ascii="Times New Roman" w:hAnsi="Times New Roman" w:cs="Times New Roman"/>
        </w:rPr>
        <w:t>the</w:t>
      </w:r>
      <w:proofErr w:type="spellEnd"/>
      <w:r w:rsidR="005D7E1A" w:rsidRPr="00705170">
        <w:rPr>
          <w:rFonts w:ascii="Times New Roman" w:hAnsi="Times New Roman" w:cs="Times New Roman"/>
        </w:rPr>
        <w:t xml:space="preserve"> </w:t>
      </w:r>
      <w:proofErr w:type="spellStart"/>
      <w:r w:rsidR="005D7E1A" w:rsidRPr="00705170">
        <w:rPr>
          <w:rFonts w:ascii="Times New Roman" w:hAnsi="Times New Roman" w:cs="Times New Roman"/>
        </w:rPr>
        <w:t>corporation</w:t>
      </w:r>
      <w:proofErr w:type="spellEnd"/>
      <w:r w:rsidR="005D7E1A" w:rsidRPr="00705170">
        <w:rPr>
          <w:rFonts w:ascii="Times New Roman" w:hAnsi="Times New Roman" w:cs="Times New Roman"/>
        </w:rPr>
        <w:t xml:space="preserve"> is not</w:t>
      </w:r>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acting</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to</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pursue</w:t>
      </w:r>
      <w:proofErr w:type="spellEnd"/>
      <w:r w:rsidR="00A5133D" w:rsidRPr="00705170">
        <w:rPr>
          <w:rFonts w:ascii="Times New Roman" w:hAnsi="Times New Roman" w:cs="Times New Roman"/>
        </w:rPr>
        <w:t xml:space="preserve"> an </w:t>
      </w:r>
      <w:proofErr w:type="spellStart"/>
      <w:r w:rsidR="00A5133D" w:rsidRPr="00705170">
        <w:rPr>
          <w:rFonts w:ascii="Times New Roman" w:hAnsi="Times New Roman" w:cs="Times New Roman"/>
        </w:rPr>
        <w:t>economic</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benefit</w:t>
      </w:r>
      <w:proofErr w:type="spellEnd"/>
      <w:r w:rsidR="00A5133D" w:rsidRPr="00705170">
        <w:rPr>
          <w:rFonts w:ascii="Times New Roman" w:hAnsi="Times New Roman" w:cs="Times New Roman"/>
        </w:rPr>
        <w:t>,</w:t>
      </w:r>
      <w:r w:rsidR="0047513D">
        <w:rPr>
          <w:rFonts w:ascii="Times New Roman" w:hAnsi="Times New Roman" w:cs="Times New Roman"/>
        </w:rPr>
        <w:t xml:space="preserve"> </w:t>
      </w:r>
      <w:proofErr w:type="spellStart"/>
      <w:r w:rsidR="0047513D">
        <w:rPr>
          <w:rFonts w:ascii="Times New Roman" w:hAnsi="Times New Roman" w:cs="Times New Roman"/>
        </w:rPr>
        <w:t>or</w:t>
      </w:r>
      <w:proofErr w:type="spellEnd"/>
      <w:r w:rsidR="0047513D">
        <w:rPr>
          <w:rFonts w:ascii="Times New Roman" w:hAnsi="Times New Roman" w:cs="Times New Roman"/>
        </w:rPr>
        <w:t xml:space="preserve"> it is </w:t>
      </w:r>
      <w:proofErr w:type="spellStart"/>
      <w:r w:rsidR="0047513D">
        <w:rPr>
          <w:rFonts w:ascii="Times New Roman" w:hAnsi="Times New Roman" w:cs="Times New Roman"/>
        </w:rPr>
        <w:t>being</w:t>
      </w:r>
      <w:proofErr w:type="spellEnd"/>
      <w:r w:rsidR="0047513D">
        <w:rPr>
          <w:rFonts w:ascii="Times New Roman" w:hAnsi="Times New Roman" w:cs="Times New Roman"/>
        </w:rPr>
        <w:t xml:space="preserve"> </w:t>
      </w:r>
      <w:proofErr w:type="spellStart"/>
      <w:r w:rsidR="0047513D">
        <w:rPr>
          <w:rFonts w:ascii="Times New Roman" w:hAnsi="Times New Roman" w:cs="Times New Roman"/>
        </w:rPr>
        <w:t>drifted</w:t>
      </w:r>
      <w:proofErr w:type="spellEnd"/>
      <w:r w:rsidR="0047513D">
        <w:rPr>
          <w:rFonts w:ascii="Times New Roman" w:hAnsi="Times New Roman" w:cs="Times New Roman"/>
        </w:rPr>
        <w:t xml:space="preserve"> </w:t>
      </w:r>
      <w:proofErr w:type="spellStart"/>
      <w:r w:rsidR="0047513D">
        <w:rPr>
          <w:rFonts w:ascii="Times New Roman" w:hAnsi="Times New Roman" w:cs="Times New Roman"/>
        </w:rPr>
        <w:t>away</w:t>
      </w:r>
      <w:proofErr w:type="spellEnd"/>
      <w:r w:rsidR="0047513D">
        <w:rPr>
          <w:rFonts w:ascii="Times New Roman" w:hAnsi="Times New Roman" w:cs="Times New Roman"/>
        </w:rPr>
        <w:t xml:space="preserve"> </w:t>
      </w:r>
      <w:proofErr w:type="spellStart"/>
      <w:r w:rsidR="0047513D">
        <w:rPr>
          <w:rFonts w:ascii="Times New Roman" w:hAnsi="Times New Roman" w:cs="Times New Roman"/>
        </w:rPr>
        <w:t>from</w:t>
      </w:r>
      <w:proofErr w:type="spellEnd"/>
      <w:r w:rsidR="0047513D">
        <w:rPr>
          <w:rFonts w:ascii="Times New Roman" w:hAnsi="Times New Roman" w:cs="Times New Roman"/>
        </w:rPr>
        <w:t xml:space="preserve"> </w:t>
      </w:r>
      <w:proofErr w:type="spellStart"/>
      <w:r w:rsidR="0047513D">
        <w:rPr>
          <w:rFonts w:ascii="Times New Roman" w:hAnsi="Times New Roman" w:cs="Times New Roman"/>
        </w:rPr>
        <w:t>its</w:t>
      </w:r>
      <w:proofErr w:type="spellEnd"/>
      <w:r w:rsidR="0047513D">
        <w:rPr>
          <w:rFonts w:ascii="Times New Roman" w:hAnsi="Times New Roman" w:cs="Times New Roman"/>
        </w:rPr>
        <w:t xml:space="preserve"> </w:t>
      </w:r>
      <w:proofErr w:type="spellStart"/>
      <w:r w:rsidR="0047513D">
        <w:rPr>
          <w:rFonts w:ascii="Times New Roman" w:hAnsi="Times New Roman" w:cs="Times New Roman"/>
        </w:rPr>
        <w:t>purpose</w:t>
      </w:r>
      <w:proofErr w:type="spellEnd"/>
      <w:r w:rsidR="0047513D">
        <w:rPr>
          <w:rFonts w:ascii="Times New Roman" w:hAnsi="Times New Roman" w:cs="Times New Roman"/>
        </w:rPr>
        <w:t xml:space="preserve"> </w:t>
      </w:r>
      <w:proofErr w:type="spellStart"/>
      <w:r w:rsidR="0047513D">
        <w:rPr>
          <w:rFonts w:ascii="Times New Roman" w:hAnsi="Times New Roman" w:cs="Times New Roman"/>
        </w:rPr>
        <w:t>by</w:t>
      </w:r>
      <w:proofErr w:type="spellEnd"/>
      <w:r w:rsidR="0047513D">
        <w:rPr>
          <w:rFonts w:ascii="Times New Roman" w:hAnsi="Times New Roman" w:cs="Times New Roman"/>
        </w:rPr>
        <w:t xml:space="preserve"> </w:t>
      </w:r>
      <w:proofErr w:type="spellStart"/>
      <w:r w:rsidR="0047513D">
        <w:rPr>
          <w:rFonts w:ascii="Times New Roman" w:hAnsi="Times New Roman" w:cs="Times New Roman"/>
        </w:rPr>
        <w:t>way</w:t>
      </w:r>
      <w:proofErr w:type="spellEnd"/>
      <w:r w:rsidR="0047513D">
        <w:rPr>
          <w:rFonts w:ascii="Times New Roman" w:hAnsi="Times New Roman" w:cs="Times New Roman"/>
        </w:rPr>
        <w:t xml:space="preserve"> of </w:t>
      </w:r>
      <w:proofErr w:type="spellStart"/>
      <w:r w:rsidR="0047513D">
        <w:rPr>
          <w:rFonts w:ascii="Times New Roman" w:hAnsi="Times New Roman" w:cs="Times New Roman"/>
        </w:rPr>
        <w:t>external</w:t>
      </w:r>
      <w:proofErr w:type="spellEnd"/>
      <w:r w:rsidR="0047513D">
        <w:rPr>
          <w:rFonts w:ascii="Times New Roman" w:hAnsi="Times New Roman" w:cs="Times New Roman"/>
        </w:rPr>
        <w:t xml:space="preserve"> </w:t>
      </w:r>
      <w:proofErr w:type="spellStart"/>
      <w:r w:rsidR="0047513D">
        <w:rPr>
          <w:rFonts w:ascii="Times New Roman" w:hAnsi="Times New Roman" w:cs="Times New Roman"/>
        </w:rPr>
        <w:t>undertakings</w:t>
      </w:r>
      <w:proofErr w:type="spellEnd"/>
      <w:r w:rsidR="0047513D">
        <w:rPr>
          <w:rFonts w:ascii="Times New Roman" w:hAnsi="Times New Roman" w:cs="Times New Roman"/>
        </w:rPr>
        <w:t xml:space="preserve"> </w:t>
      </w:r>
      <w:proofErr w:type="spellStart"/>
      <w:r w:rsidR="0047513D">
        <w:rPr>
          <w:rFonts w:ascii="Times New Roman" w:hAnsi="Times New Roman" w:cs="Times New Roman"/>
        </w:rPr>
        <w:t>by</w:t>
      </w:r>
      <w:proofErr w:type="spellEnd"/>
      <w:r w:rsidR="0047513D">
        <w:rPr>
          <w:rFonts w:ascii="Times New Roman" w:hAnsi="Times New Roman" w:cs="Times New Roman"/>
        </w:rPr>
        <w:t xml:space="preserve"> </w:t>
      </w:r>
      <w:proofErr w:type="spellStart"/>
      <w:r w:rsidR="0047513D">
        <w:rPr>
          <w:rFonts w:ascii="Times New Roman" w:hAnsi="Times New Roman" w:cs="Times New Roman"/>
        </w:rPr>
        <w:t>influencing</w:t>
      </w:r>
      <w:proofErr w:type="spellEnd"/>
      <w:r w:rsidR="0047513D">
        <w:rPr>
          <w:rFonts w:ascii="Times New Roman" w:hAnsi="Times New Roman" w:cs="Times New Roman"/>
        </w:rPr>
        <w:t xml:space="preserve"> </w:t>
      </w:r>
      <w:proofErr w:type="spellStart"/>
      <w:r w:rsidR="0047513D">
        <w:rPr>
          <w:rFonts w:ascii="Times New Roman" w:hAnsi="Times New Roman" w:cs="Times New Roman"/>
        </w:rPr>
        <w:t>shareholders</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and</w:t>
      </w:r>
      <w:proofErr w:type="spellEnd"/>
      <w:r w:rsidR="00A5133D" w:rsidRPr="00705170">
        <w:rPr>
          <w:rFonts w:ascii="Times New Roman" w:hAnsi="Times New Roman" w:cs="Times New Roman"/>
        </w:rPr>
        <w:t xml:space="preserve"> (2) </w:t>
      </w:r>
      <w:proofErr w:type="spellStart"/>
      <w:r w:rsidR="00A5133D" w:rsidRPr="00705170">
        <w:rPr>
          <w:rFonts w:ascii="Times New Roman" w:hAnsi="Times New Roman" w:cs="Times New Roman"/>
        </w:rPr>
        <w:t>the</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management</w:t>
      </w:r>
      <w:proofErr w:type="spellEnd"/>
      <w:r w:rsidR="00A5133D" w:rsidRPr="00705170">
        <w:rPr>
          <w:rFonts w:ascii="Times New Roman" w:hAnsi="Times New Roman" w:cs="Times New Roman"/>
        </w:rPr>
        <w:t xml:space="preserve"> is</w:t>
      </w:r>
      <w:r w:rsidR="0047513D">
        <w:rPr>
          <w:rFonts w:ascii="Times New Roman" w:hAnsi="Times New Roman" w:cs="Times New Roman"/>
        </w:rPr>
        <w:t xml:space="preserve"> </w:t>
      </w:r>
      <w:proofErr w:type="spellStart"/>
      <w:r w:rsidR="0047513D">
        <w:rPr>
          <w:rFonts w:ascii="Times New Roman" w:hAnsi="Times New Roman" w:cs="Times New Roman"/>
        </w:rPr>
        <w:t>choosing</w:t>
      </w:r>
      <w:proofErr w:type="spellEnd"/>
      <w:r w:rsidR="0047513D">
        <w:rPr>
          <w:rFonts w:ascii="Times New Roman" w:hAnsi="Times New Roman" w:cs="Times New Roman"/>
        </w:rPr>
        <w:t xml:space="preserve"> </w:t>
      </w:r>
      <w:proofErr w:type="spellStart"/>
      <w:r w:rsidR="0047513D">
        <w:rPr>
          <w:rFonts w:ascii="Times New Roman" w:hAnsi="Times New Roman" w:cs="Times New Roman"/>
        </w:rPr>
        <w:t>to</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substitut</w:t>
      </w:r>
      <w:r w:rsidR="0047513D">
        <w:rPr>
          <w:rFonts w:ascii="Times New Roman" w:hAnsi="Times New Roman" w:cs="Times New Roman"/>
        </w:rPr>
        <w:t>e</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its</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own</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judgment</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with</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the</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infl</w:t>
      </w:r>
      <w:r w:rsidRPr="00705170">
        <w:rPr>
          <w:rFonts w:ascii="Times New Roman" w:hAnsi="Times New Roman" w:cs="Times New Roman"/>
        </w:rPr>
        <w:t>uencing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judgment</w:t>
      </w:r>
      <w:proofErr w:type="spellEnd"/>
      <w:r w:rsidRPr="00705170">
        <w:rPr>
          <w:rFonts w:ascii="Times New Roman" w:hAnsi="Times New Roman" w:cs="Times New Roman"/>
        </w:rPr>
        <w:t xml:space="preserve">. </w:t>
      </w:r>
      <w:proofErr w:type="spellStart"/>
      <w:r w:rsidR="00A5133D" w:rsidRPr="00705170">
        <w:rPr>
          <w:rFonts w:ascii="Times New Roman" w:hAnsi="Times New Roman" w:cs="Times New Roman"/>
        </w:rPr>
        <w:t>Moreover</w:t>
      </w:r>
      <w:proofErr w:type="spellEnd"/>
      <w:r w:rsidR="00332826" w:rsidRPr="00705170">
        <w:rPr>
          <w:rFonts w:ascii="Times New Roman" w:hAnsi="Times New Roman" w:cs="Times New Roman"/>
        </w:rPr>
        <w:t xml:space="preserve">, </w:t>
      </w:r>
      <w:proofErr w:type="spellStart"/>
      <w:r w:rsidR="00A5133D" w:rsidRPr="00705170">
        <w:rPr>
          <w:rFonts w:ascii="Times New Roman" w:hAnsi="Times New Roman" w:cs="Times New Roman"/>
        </w:rPr>
        <w:t>this</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conduct</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also</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breaches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mandatory</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rules</w:t>
      </w:r>
      <w:proofErr w:type="spellEnd"/>
      <w:r w:rsidR="00332826" w:rsidRPr="00705170">
        <w:rPr>
          <w:rFonts w:ascii="Times New Roman" w:hAnsi="Times New Roman" w:cs="Times New Roman"/>
        </w:rPr>
        <w:t xml:space="preserve"> of </w:t>
      </w:r>
      <w:proofErr w:type="spellStart"/>
      <w:r w:rsidR="00332826" w:rsidRPr="00705170">
        <w:rPr>
          <w:rFonts w:ascii="Times New Roman" w:hAnsi="Times New Roman" w:cs="Times New Roman"/>
        </w:rPr>
        <w:t>corporate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law</w:t>
      </w:r>
      <w:proofErr w:type="spellEnd"/>
      <w:r w:rsidR="009C0618" w:rsidRPr="00705170">
        <w:rPr>
          <w:rFonts w:ascii="Times New Roman" w:hAnsi="Times New Roman" w:cs="Times New Roman"/>
        </w:rPr>
        <w:t xml:space="preserve"> </w:t>
      </w:r>
      <w:proofErr w:type="spellStart"/>
      <w:r w:rsidR="009C0618" w:rsidRPr="00705170">
        <w:rPr>
          <w:rFonts w:ascii="Times New Roman" w:hAnsi="Times New Roman" w:cs="Times New Roman"/>
        </w:rPr>
        <w:t>due</w:t>
      </w:r>
      <w:proofErr w:type="spellEnd"/>
      <w:r w:rsidR="009C0618" w:rsidRPr="00705170">
        <w:rPr>
          <w:rFonts w:ascii="Times New Roman" w:hAnsi="Times New Roman" w:cs="Times New Roman"/>
        </w:rPr>
        <w:t xml:space="preserve"> </w:t>
      </w:r>
      <w:proofErr w:type="spellStart"/>
      <w:r w:rsidR="009C0618" w:rsidRPr="00705170">
        <w:rPr>
          <w:rFonts w:ascii="Times New Roman" w:hAnsi="Times New Roman" w:cs="Times New Roman"/>
        </w:rPr>
        <w:t>to</w:t>
      </w:r>
      <w:proofErr w:type="spellEnd"/>
      <w:r w:rsidR="009C0618" w:rsidRPr="00705170">
        <w:rPr>
          <w:rFonts w:ascii="Times New Roman" w:hAnsi="Times New Roman" w:cs="Times New Roman"/>
        </w:rPr>
        <w:t xml:space="preserve"> </w:t>
      </w:r>
      <w:proofErr w:type="spellStart"/>
      <w:r w:rsidR="009C0618" w:rsidRPr="00705170">
        <w:rPr>
          <w:rFonts w:ascii="Times New Roman" w:hAnsi="Times New Roman" w:cs="Times New Roman"/>
        </w:rPr>
        <w:t>the</w:t>
      </w:r>
      <w:proofErr w:type="spellEnd"/>
      <w:r w:rsidR="009C0618" w:rsidRPr="00705170">
        <w:rPr>
          <w:rFonts w:ascii="Times New Roman" w:hAnsi="Times New Roman" w:cs="Times New Roman"/>
        </w:rPr>
        <w:t xml:space="preserve"> </w:t>
      </w:r>
      <w:proofErr w:type="spellStart"/>
      <w:r w:rsidR="0062335C" w:rsidRPr="00705170">
        <w:rPr>
          <w:rFonts w:ascii="Times New Roman" w:hAnsi="Times New Roman" w:cs="Times New Roman"/>
        </w:rPr>
        <w:t>statutory</w:t>
      </w:r>
      <w:proofErr w:type="spellEnd"/>
      <w:r w:rsidR="0062335C" w:rsidRPr="00705170">
        <w:rPr>
          <w:rFonts w:ascii="Times New Roman" w:hAnsi="Times New Roman" w:cs="Times New Roman"/>
        </w:rPr>
        <w:t xml:space="preserve"> </w:t>
      </w:r>
      <w:proofErr w:type="spellStart"/>
      <w:r w:rsidR="0062335C" w:rsidRPr="00705170">
        <w:rPr>
          <w:rFonts w:ascii="Times New Roman" w:hAnsi="Times New Roman" w:cs="Times New Roman"/>
        </w:rPr>
        <w:t>source</w:t>
      </w:r>
      <w:proofErr w:type="spellEnd"/>
      <w:r w:rsidR="0062335C" w:rsidRPr="00705170">
        <w:rPr>
          <w:rFonts w:ascii="Times New Roman" w:hAnsi="Times New Roman" w:cs="Times New Roman"/>
        </w:rPr>
        <w:t xml:space="preserve"> of </w:t>
      </w:r>
      <w:proofErr w:type="spellStart"/>
      <w:r w:rsidR="0062335C" w:rsidRPr="00705170">
        <w:rPr>
          <w:rFonts w:ascii="Times New Roman" w:hAnsi="Times New Roman" w:cs="Times New Roman"/>
        </w:rPr>
        <w:t>these</w:t>
      </w:r>
      <w:proofErr w:type="spellEnd"/>
      <w:r w:rsidR="0062335C" w:rsidRPr="00705170">
        <w:rPr>
          <w:rFonts w:ascii="Times New Roman" w:hAnsi="Times New Roman" w:cs="Times New Roman"/>
        </w:rPr>
        <w:t xml:space="preserve"> </w:t>
      </w:r>
      <w:proofErr w:type="spellStart"/>
      <w:r w:rsidR="0062335C" w:rsidRPr="00705170">
        <w:rPr>
          <w:rFonts w:ascii="Times New Roman" w:hAnsi="Times New Roman" w:cs="Times New Roman"/>
        </w:rPr>
        <w:t>expectations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This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basis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theoretica</w:t>
      </w:r>
      <w:r w:rsidR="005328ED" w:rsidRPr="00705170">
        <w:rPr>
          <w:rFonts w:ascii="Times New Roman" w:hAnsi="Times New Roman" w:cs="Times New Roman"/>
        </w:rPr>
        <w:t>lly</w:t>
      </w:r>
      <w:proofErr w:type="spellEnd"/>
      <w:r w:rsidR="005328ED" w:rsidRPr="00705170">
        <w:rPr>
          <w:rFonts w:ascii="Times New Roman" w:hAnsi="Times New Roman" w:cs="Times New Roman"/>
        </w:rPr>
        <w:t xml:space="preserve"> </w:t>
      </w:r>
      <w:proofErr w:type="spellStart"/>
      <w:r w:rsidR="005328ED" w:rsidRPr="00705170">
        <w:rPr>
          <w:rFonts w:ascii="Times New Roman" w:hAnsi="Times New Roman" w:cs="Times New Roman"/>
        </w:rPr>
        <w:t>justifies</w:t>
      </w:r>
      <w:proofErr w:type="spellEnd"/>
      <w:r w:rsidR="005328ED" w:rsidRPr="00705170">
        <w:rPr>
          <w:rFonts w:ascii="Times New Roman" w:hAnsi="Times New Roman" w:cs="Times New Roman"/>
        </w:rPr>
        <w:t xml:space="preserve"> </w:t>
      </w:r>
      <w:proofErr w:type="spellStart"/>
      <w:r w:rsidR="005328ED" w:rsidRPr="00705170">
        <w:rPr>
          <w:rFonts w:ascii="Times New Roman" w:hAnsi="Times New Roman" w:cs="Times New Roman"/>
        </w:rPr>
        <w:t>why</w:t>
      </w:r>
      <w:proofErr w:type="spellEnd"/>
      <w:r w:rsidR="005328ED" w:rsidRPr="00705170">
        <w:rPr>
          <w:rFonts w:ascii="Times New Roman" w:hAnsi="Times New Roman" w:cs="Times New Roman"/>
        </w:rPr>
        <w:t xml:space="preserve"> </w:t>
      </w:r>
      <w:proofErr w:type="spellStart"/>
      <w:r w:rsidR="005328ED" w:rsidRPr="00705170">
        <w:rPr>
          <w:rFonts w:ascii="Times New Roman" w:hAnsi="Times New Roman" w:cs="Times New Roman"/>
        </w:rPr>
        <w:t>these</w:t>
      </w:r>
      <w:proofErr w:type="spellEnd"/>
      <w:r w:rsidR="005328ED" w:rsidRPr="00705170">
        <w:rPr>
          <w:rFonts w:ascii="Times New Roman" w:hAnsi="Times New Roman" w:cs="Times New Roman"/>
        </w:rPr>
        <w:t xml:space="preserve"> </w:t>
      </w:r>
      <w:proofErr w:type="spellStart"/>
      <w:r w:rsidR="005328ED" w:rsidRPr="00705170">
        <w:rPr>
          <w:rFonts w:ascii="Times New Roman" w:hAnsi="Times New Roman" w:cs="Times New Roman"/>
        </w:rPr>
        <w:t>basic</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reasonable</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expectations</w:t>
      </w:r>
      <w:proofErr w:type="spellEnd"/>
      <w:r w:rsidR="00332826" w:rsidRPr="00705170">
        <w:rPr>
          <w:rFonts w:ascii="Times New Roman" w:hAnsi="Times New Roman" w:cs="Times New Roman"/>
        </w:rPr>
        <w:t xml:space="preserve">” </w:t>
      </w:r>
      <w:proofErr w:type="spellStart"/>
      <w:r w:rsidR="00332826" w:rsidRPr="00705170">
        <w:rPr>
          <w:rFonts w:ascii="Times New Roman" w:hAnsi="Times New Roman" w:cs="Times New Roman"/>
        </w:rPr>
        <w:t>c</w:t>
      </w:r>
      <w:r w:rsidR="00A5133D" w:rsidRPr="00705170">
        <w:rPr>
          <w:rFonts w:ascii="Times New Roman" w:hAnsi="Times New Roman" w:cs="Times New Roman"/>
        </w:rPr>
        <w:t>ould</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provide</w:t>
      </w:r>
      <w:proofErr w:type="spellEnd"/>
      <w:r w:rsidR="00A5133D" w:rsidRPr="00705170">
        <w:rPr>
          <w:rFonts w:ascii="Times New Roman" w:hAnsi="Times New Roman" w:cs="Times New Roman"/>
        </w:rPr>
        <w:t xml:space="preserve"> a </w:t>
      </w:r>
      <w:proofErr w:type="spellStart"/>
      <w:r w:rsidR="00A5133D" w:rsidRPr="00705170">
        <w:rPr>
          <w:rFonts w:ascii="Times New Roman" w:hAnsi="Times New Roman" w:cs="Times New Roman"/>
        </w:rPr>
        <w:t>protection</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for</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non</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pecuniary</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private</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benefit</w:t>
      </w:r>
      <w:proofErr w:type="spellEnd"/>
      <w:r w:rsidR="00A5133D" w:rsidRPr="00705170">
        <w:rPr>
          <w:rFonts w:ascii="Times New Roman" w:hAnsi="Times New Roman" w:cs="Times New Roman"/>
        </w:rPr>
        <w:t xml:space="preserve"> </w:t>
      </w:r>
      <w:proofErr w:type="spellStart"/>
      <w:r w:rsidR="00A5133D" w:rsidRPr="00705170">
        <w:rPr>
          <w:rFonts w:ascii="Times New Roman" w:hAnsi="Times New Roman" w:cs="Times New Roman"/>
        </w:rPr>
        <w:t>extractions</w:t>
      </w:r>
      <w:proofErr w:type="spellEnd"/>
      <w:r w:rsidR="00332826" w:rsidRPr="00705170">
        <w:rPr>
          <w:rFonts w:ascii="Times New Roman" w:hAnsi="Times New Roman" w:cs="Times New Roman"/>
        </w:rPr>
        <w:t>.</w:t>
      </w:r>
      <w:r w:rsidR="00014790" w:rsidRPr="00705170">
        <w:rPr>
          <w:rFonts w:ascii="Times New Roman" w:hAnsi="Times New Roman" w:cs="Times New Roman"/>
        </w:rPr>
        <w:t xml:space="preserve"> </w:t>
      </w:r>
      <w:proofErr w:type="spellStart"/>
      <w:r w:rsidR="00014790" w:rsidRPr="00705170">
        <w:rPr>
          <w:rFonts w:ascii="Times New Roman" w:hAnsi="Times New Roman" w:cs="Times New Roman"/>
        </w:rPr>
        <w:t>However</w:t>
      </w:r>
      <w:proofErr w:type="spellEnd"/>
      <w:r w:rsidR="00014790" w:rsidRPr="00705170">
        <w:rPr>
          <w:rFonts w:ascii="Times New Roman" w:hAnsi="Times New Roman" w:cs="Times New Roman"/>
        </w:rPr>
        <w:t xml:space="preserve">, as </w:t>
      </w:r>
      <w:proofErr w:type="spellStart"/>
      <w:r w:rsidR="00014790" w:rsidRPr="00705170">
        <w:rPr>
          <w:rFonts w:ascii="Times New Roman" w:hAnsi="Times New Roman" w:cs="Times New Roman"/>
        </w:rPr>
        <w:t>these</w:t>
      </w:r>
      <w:proofErr w:type="spellEnd"/>
      <w:r w:rsidR="00014790" w:rsidRPr="00705170">
        <w:rPr>
          <w:rFonts w:ascii="Times New Roman" w:hAnsi="Times New Roman" w:cs="Times New Roman"/>
        </w:rPr>
        <w:t xml:space="preserve"> </w:t>
      </w:r>
      <w:proofErr w:type="spellStart"/>
      <w:r w:rsidR="00014790" w:rsidRPr="00705170">
        <w:rPr>
          <w:rFonts w:ascii="Times New Roman" w:hAnsi="Times New Roman" w:cs="Times New Roman"/>
        </w:rPr>
        <w:t>basic</w:t>
      </w:r>
      <w:proofErr w:type="spellEnd"/>
      <w:r w:rsidR="00014790" w:rsidRPr="00705170">
        <w:rPr>
          <w:rFonts w:ascii="Times New Roman" w:hAnsi="Times New Roman" w:cs="Times New Roman"/>
        </w:rPr>
        <w:t xml:space="preserve"> </w:t>
      </w:r>
      <w:proofErr w:type="spellStart"/>
      <w:r w:rsidR="00014790" w:rsidRPr="00705170">
        <w:rPr>
          <w:rFonts w:ascii="Times New Roman" w:hAnsi="Times New Roman" w:cs="Times New Roman"/>
        </w:rPr>
        <w:t>reasonable</w:t>
      </w:r>
      <w:proofErr w:type="spellEnd"/>
      <w:r w:rsidR="00014790" w:rsidRPr="00705170">
        <w:rPr>
          <w:rFonts w:ascii="Times New Roman" w:hAnsi="Times New Roman" w:cs="Times New Roman"/>
        </w:rPr>
        <w:t xml:space="preserve"> </w:t>
      </w:r>
      <w:proofErr w:type="spellStart"/>
      <w:r w:rsidR="00014790" w:rsidRPr="00705170">
        <w:rPr>
          <w:rFonts w:ascii="Times New Roman" w:hAnsi="Times New Roman" w:cs="Times New Roman"/>
        </w:rPr>
        <w:t>expectations</w:t>
      </w:r>
      <w:proofErr w:type="spellEnd"/>
      <w:r w:rsidR="00014790" w:rsidRPr="00705170">
        <w:rPr>
          <w:rFonts w:ascii="Times New Roman" w:hAnsi="Times New Roman" w:cs="Times New Roman"/>
        </w:rPr>
        <w:t xml:space="preserve"> </w:t>
      </w:r>
      <w:proofErr w:type="spellStart"/>
      <w:r w:rsidR="00014790" w:rsidRPr="00705170">
        <w:rPr>
          <w:rFonts w:ascii="Times New Roman" w:hAnsi="Times New Roman" w:cs="Times New Roman"/>
        </w:rPr>
        <w:t>generally</w:t>
      </w:r>
      <w:proofErr w:type="spellEnd"/>
      <w:r w:rsidR="00014790" w:rsidRPr="00705170">
        <w:rPr>
          <w:rFonts w:ascii="Times New Roman" w:hAnsi="Times New Roman" w:cs="Times New Roman"/>
        </w:rPr>
        <w:t xml:space="preserve"> </w:t>
      </w:r>
      <w:r w:rsidR="008D6752" w:rsidRPr="00705170">
        <w:rPr>
          <w:rFonts w:ascii="Times New Roman" w:hAnsi="Times New Roman" w:cs="Times New Roman"/>
        </w:rPr>
        <w:t>do</w:t>
      </w:r>
      <w:r w:rsidR="00014790" w:rsidRPr="00705170">
        <w:rPr>
          <w:rFonts w:ascii="Times New Roman" w:hAnsi="Times New Roman" w:cs="Times New Roman"/>
        </w:rPr>
        <w:t xml:space="preserve"> not </w:t>
      </w:r>
      <w:proofErr w:type="spellStart"/>
      <w:r w:rsidR="00014790" w:rsidRPr="00705170">
        <w:rPr>
          <w:rFonts w:ascii="Times New Roman" w:hAnsi="Times New Roman" w:cs="Times New Roman"/>
        </w:rPr>
        <w:t>provide</w:t>
      </w:r>
      <w:proofErr w:type="spellEnd"/>
      <w:r w:rsidR="00014790" w:rsidRPr="00705170">
        <w:rPr>
          <w:rFonts w:ascii="Times New Roman" w:hAnsi="Times New Roman" w:cs="Times New Roman"/>
        </w:rPr>
        <w:t xml:space="preserve"> a “</w:t>
      </w:r>
      <w:proofErr w:type="spellStart"/>
      <w:r w:rsidR="00014790" w:rsidRPr="00705170">
        <w:rPr>
          <w:rFonts w:ascii="Times New Roman" w:hAnsi="Times New Roman" w:cs="Times New Roman"/>
        </w:rPr>
        <w:t>right</w:t>
      </w:r>
      <w:proofErr w:type="spellEnd"/>
      <w:r w:rsidR="00014790" w:rsidRPr="00705170">
        <w:rPr>
          <w:rFonts w:ascii="Times New Roman" w:hAnsi="Times New Roman" w:cs="Times New Roman"/>
        </w:rPr>
        <w:t xml:space="preserve">” </w:t>
      </w:r>
      <w:proofErr w:type="spellStart"/>
      <w:r w:rsidR="00014790" w:rsidRPr="00705170">
        <w:rPr>
          <w:rFonts w:ascii="Times New Roman" w:hAnsi="Times New Roman" w:cs="Times New Roman"/>
        </w:rPr>
        <w:t>to</w:t>
      </w:r>
      <w:proofErr w:type="spellEnd"/>
      <w:r w:rsidR="00014790" w:rsidRPr="00705170">
        <w:rPr>
          <w:rFonts w:ascii="Times New Roman" w:hAnsi="Times New Roman" w:cs="Times New Roman"/>
        </w:rPr>
        <w:t xml:space="preserve"> </w:t>
      </w:r>
      <w:proofErr w:type="spellStart"/>
      <w:r w:rsidR="00014790" w:rsidRPr="00705170">
        <w:rPr>
          <w:rFonts w:ascii="Times New Roman" w:hAnsi="Times New Roman" w:cs="Times New Roman"/>
        </w:rPr>
        <w:t>the</w:t>
      </w:r>
      <w:proofErr w:type="spellEnd"/>
      <w:r w:rsidR="00014790" w:rsidRPr="00705170">
        <w:rPr>
          <w:rFonts w:ascii="Times New Roman" w:hAnsi="Times New Roman" w:cs="Times New Roman"/>
        </w:rPr>
        <w:t xml:space="preserve"> </w:t>
      </w:r>
      <w:proofErr w:type="spellStart"/>
      <w:r w:rsidR="00014790" w:rsidRPr="00705170">
        <w:rPr>
          <w:rFonts w:ascii="Times New Roman" w:hAnsi="Times New Roman" w:cs="Times New Roman"/>
        </w:rPr>
        <w:t>shareholders</w:t>
      </w:r>
      <w:proofErr w:type="spellEnd"/>
      <w:r w:rsidR="008D6752" w:rsidRPr="00705170">
        <w:rPr>
          <w:rStyle w:val="DipnotBavurusu"/>
          <w:rFonts w:ascii="Times New Roman" w:hAnsi="Times New Roman" w:cs="Times New Roman"/>
        </w:rPr>
        <w:footnoteReference w:id="437"/>
      </w:r>
      <w:r w:rsidR="00014790" w:rsidRPr="00705170">
        <w:rPr>
          <w:rFonts w:ascii="Times New Roman" w:hAnsi="Times New Roman" w:cs="Times New Roman"/>
        </w:rPr>
        <w:t xml:space="preserve">, </w:t>
      </w:r>
      <w:proofErr w:type="spellStart"/>
      <w:r w:rsidR="00014790" w:rsidRPr="00705170">
        <w:rPr>
          <w:rFonts w:ascii="Times New Roman" w:hAnsi="Times New Roman" w:cs="Times New Roman"/>
        </w:rPr>
        <w:t>the</w:t>
      </w:r>
      <w:proofErr w:type="spellEnd"/>
      <w:r w:rsidR="00014790" w:rsidRPr="00705170">
        <w:rPr>
          <w:rFonts w:ascii="Times New Roman" w:hAnsi="Times New Roman" w:cs="Times New Roman"/>
        </w:rPr>
        <w:t xml:space="preserve"> </w:t>
      </w:r>
      <w:proofErr w:type="spellStart"/>
      <w:r w:rsidR="00014790" w:rsidRPr="00705170">
        <w:rPr>
          <w:rFonts w:ascii="Times New Roman" w:hAnsi="Times New Roman" w:cs="Times New Roman"/>
        </w:rPr>
        <w:t>enforcement</w:t>
      </w:r>
      <w:proofErr w:type="spellEnd"/>
      <w:r w:rsidR="00014790" w:rsidRPr="00705170">
        <w:rPr>
          <w:rFonts w:ascii="Times New Roman" w:hAnsi="Times New Roman" w:cs="Times New Roman"/>
        </w:rPr>
        <w:t xml:space="preserve"> </w:t>
      </w:r>
      <w:r w:rsidR="008D6752" w:rsidRPr="00705170">
        <w:rPr>
          <w:rFonts w:ascii="Times New Roman" w:hAnsi="Times New Roman" w:cs="Times New Roman"/>
        </w:rPr>
        <w:t xml:space="preserve">of </w:t>
      </w:r>
      <w:proofErr w:type="spellStart"/>
      <w:r w:rsidR="008D6752" w:rsidRPr="00705170">
        <w:rPr>
          <w:rFonts w:ascii="Times New Roman" w:hAnsi="Times New Roman" w:cs="Times New Roman"/>
        </w:rPr>
        <w:t>these</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expectations</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would</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require</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specific</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statutory</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rules</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that</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protects</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their</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circumvention</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various</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provisons</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outlined</w:t>
      </w:r>
      <w:proofErr w:type="spellEnd"/>
      <w:r w:rsidR="008D6752" w:rsidRPr="00705170">
        <w:rPr>
          <w:rFonts w:ascii="Times New Roman" w:hAnsi="Times New Roman" w:cs="Times New Roman"/>
        </w:rPr>
        <w:t xml:space="preserve"> in </w:t>
      </w:r>
      <w:proofErr w:type="spellStart"/>
      <w:r w:rsidR="008D6752" w:rsidRPr="00705170">
        <w:rPr>
          <w:rFonts w:ascii="Times New Roman" w:hAnsi="Times New Roman" w:cs="Times New Roman"/>
        </w:rPr>
        <w:t>the</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next</w:t>
      </w:r>
      <w:proofErr w:type="spellEnd"/>
      <w:r w:rsidR="008D6752" w:rsidRPr="00705170">
        <w:rPr>
          <w:rFonts w:ascii="Times New Roman" w:hAnsi="Times New Roman" w:cs="Times New Roman"/>
        </w:rPr>
        <w:t xml:space="preserve"> </w:t>
      </w:r>
      <w:proofErr w:type="spellStart"/>
      <w:r w:rsidR="000421D1" w:rsidRPr="00705170">
        <w:rPr>
          <w:rFonts w:ascii="Times New Roman" w:hAnsi="Times New Roman" w:cs="Times New Roman"/>
        </w:rPr>
        <w:t>subchapter</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or</w:t>
      </w:r>
      <w:proofErr w:type="spellEnd"/>
      <w:r w:rsidR="008D6752" w:rsidRPr="00705170">
        <w:rPr>
          <w:rFonts w:ascii="Times New Roman" w:hAnsi="Times New Roman" w:cs="Times New Roman"/>
        </w:rPr>
        <w:t xml:space="preserve"> a </w:t>
      </w:r>
      <w:proofErr w:type="spellStart"/>
      <w:r w:rsidR="008D6752" w:rsidRPr="00705170">
        <w:rPr>
          <w:rFonts w:ascii="Times New Roman" w:hAnsi="Times New Roman" w:cs="Times New Roman"/>
        </w:rPr>
        <w:t>specific</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statutory</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shareholder</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right</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the</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judicial</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d</w:t>
      </w:r>
      <w:r w:rsidR="00270077" w:rsidRPr="00705170">
        <w:rPr>
          <w:rFonts w:ascii="Times New Roman" w:hAnsi="Times New Roman" w:cs="Times New Roman"/>
        </w:rPr>
        <w:t>issolution</w:t>
      </w:r>
      <w:proofErr w:type="spellEnd"/>
      <w:r w:rsidR="00270077" w:rsidRPr="00705170">
        <w:rPr>
          <w:rFonts w:ascii="Times New Roman" w:hAnsi="Times New Roman" w:cs="Times New Roman"/>
        </w:rPr>
        <w:t xml:space="preserve"> </w:t>
      </w:r>
      <w:proofErr w:type="spellStart"/>
      <w:r w:rsidR="00270077" w:rsidRPr="00705170">
        <w:rPr>
          <w:rFonts w:ascii="Times New Roman" w:hAnsi="Times New Roman" w:cs="Times New Roman"/>
        </w:rPr>
        <w:t>provision</w:t>
      </w:r>
      <w:proofErr w:type="spellEnd"/>
      <w:r w:rsidR="00270077" w:rsidRPr="00705170">
        <w:rPr>
          <w:rFonts w:ascii="Times New Roman" w:hAnsi="Times New Roman" w:cs="Times New Roman"/>
        </w:rPr>
        <w:t xml:space="preserve">) </w:t>
      </w:r>
      <w:proofErr w:type="spellStart"/>
      <w:r w:rsidR="00270077" w:rsidRPr="00705170">
        <w:rPr>
          <w:rFonts w:ascii="Times New Roman" w:hAnsi="Times New Roman" w:cs="Times New Roman"/>
        </w:rPr>
        <w:t>that</w:t>
      </w:r>
      <w:proofErr w:type="spellEnd"/>
      <w:r w:rsidR="00270077" w:rsidRPr="00705170">
        <w:rPr>
          <w:rFonts w:ascii="Times New Roman" w:hAnsi="Times New Roman" w:cs="Times New Roman"/>
        </w:rPr>
        <w:t xml:space="preserve"> </w:t>
      </w:r>
      <w:proofErr w:type="spellStart"/>
      <w:r w:rsidR="008D6752" w:rsidRPr="00705170">
        <w:rPr>
          <w:rFonts w:ascii="Times New Roman" w:hAnsi="Times New Roman" w:cs="Times New Roman"/>
        </w:rPr>
        <w:t>will</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call</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their</w:t>
      </w:r>
      <w:proofErr w:type="spellEnd"/>
      <w:r w:rsidR="008D6752" w:rsidRPr="00705170">
        <w:rPr>
          <w:rFonts w:ascii="Times New Roman" w:hAnsi="Times New Roman" w:cs="Times New Roman"/>
        </w:rPr>
        <w:t xml:space="preserve"> </w:t>
      </w:r>
      <w:proofErr w:type="spellStart"/>
      <w:r w:rsidR="008D6752" w:rsidRPr="00705170">
        <w:rPr>
          <w:rFonts w:ascii="Times New Roman" w:hAnsi="Times New Roman" w:cs="Times New Roman"/>
        </w:rPr>
        <w:t>consideration</w:t>
      </w:r>
      <w:proofErr w:type="spellEnd"/>
      <w:r w:rsidR="008D6752" w:rsidRPr="00705170">
        <w:rPr>
          <w:rFonts w:ascii="Times New Roman" w:hAnsi="Times New Roman" w:cs="Times New Roman"/>
        </w:rPr>
        <w:t xml:space="preserve">. </w:t>
      </w:r>
    </w:p>
    <w:p w14:paraId="3309E680" w14:textId="0E3990D3" w:rsidR="00683341" w:rsidRPr="00705170" w:rsidRDefault="00C01441" w:rsidP="005476BB">
      <w:pPr>
        <w:spacing w:after="240" w:line="480" w:lineRule="auto"/>
        <w:ind w:firstLine="708"/>
        <w:rPr>
          <w:rFonts w:ascii="Times New Roman" w:hAnsi="Times New Roman" w:cs="Times New Roman"/>
          <w:b/>
        </w:rPr>
      </w:pPr>
      <w:r>
        <w:rPr>
          <w:rFonts w:ascii="Times New Roman" w:hAnsi="Times New Roman" w:cs="Times New Roman"/>
          <w:b/>
        </w:rPr>
        <w:t>4</w:t>
      </w:r>
      <w:r w:rsidR="008A08CB" w:rsidRPr="00705170">
        <w:rPr>
          <w:rFonts w:ascii="Times New Roman" w:hAnsi="Times New Roman" w:cs="Times New Roman"/>
          <w:b/>
        </w:rPr>
        <w:t xml:space="preserve">.1.2. </w:t>
      </w:r>
      <w:r w:rsidR="008D06CA" w:rsidRPr="00705170">
        <w:rPr>
          <w:rFonts w:ascii="Times New Roman" w:hAnsi="Times New Roman" w:cs="Times New Roman"/>
          <w:b/>
        </w:rPr>
        <w:t xml:space="preserve">Basic </w:t>
      </w:r>
      <w:proofErr w:type="spellStart"/>
      <w:r w:rsidR="008A08CB" w:rsidRPr="00705170">
        <w:rPr>
          <w:rFonts w:ascii="Times New Roman" w:hAnsi="Times New Roman" w:cs="Times New Roman"/>
          <w:b/>
        </w:rPr>
        <w:t>Reasonable</w:t>
      </w:r>
      <w:proofErr w:type="spellEnd"/>
      <w:r w:rsidR="008A08CB" w:rsidRPr="00705170">
        <w:rPr>
          <w:rFonts w:ascii="Times New Roman" w:hAnsi="Times New Roman" w:cs="Times New Roman"/>
          <w:b/>
        </w:rPr>
        <w:t xml:space="preserve"> </w:t>
      </w:r>
      <w:proofErr w:type="spellStart"/>
      <w:r w:rsidR="008A08CB" w:rsidRPr="00705170">
        <w:rPr>
          <w:rFonts w:ascii="Times New Roman" w:hAnsi="Times New Roman" w:cs="Times New Roman"/>
          <w:b/>
        </w:rPr>
        <w:t>Expectations</w:t>
      </w:r>
      <w:proofErr w:type="spellEnd"/>
      <w:r w:rsidR="008A08CB" w:rsidRPr="00705170">
        <w:rPr>
          <w:rFonts w:ascii="Times New Roman" w:hAnsi="Times New Roman" w:cs="Times New Roman"/>
          <w:b/>
        </w:rPr>
        <w:t xml:space="preserve">’ </w:t>
      </w:r>
      <w:proofErr w:type="spellStart"/>
      <w:r w:rsidR="008A08CB" w:rsidRPr="00705170">
        <w:rPr>
          <w:rFonts w:ascii="Times New Roman" w:hAnsi="Times New Roman" w:cs="Times New Roman"/>
          <w:b/>
        </w:rPr>
        <w:t>Current</w:t>
      </w:r>
      <w:proofErr w:type="spellEnd"/>
      <w:r w:rsidR="008A08CB" w:rsidRPr="00705170">
        <w:rPr>
          <w:rFonts w:ascii="Times New Roman" w:hAnsi="Times New Roman" w:cs="Times New Roman"/>
          <w:b/>
        </w:rPr>
        <w:t xml:space="preserve"> </w:t>
      </w:r>
      <w:proofErr w:type="spellStart"/>
      <w:r w:rsidR="008A08CB" w:rsidRPr="00705170">
        <w:rPr>
          <w:rFonts w:ascii="Times New Roman" w:hAnsi="Times New Roman" w:cs="Times New Roman"/>
          <w:b/>
        </w:rPr>
        <w:t>Protection</w:t>
      </w:r>
      <w:proofErr w:type="spellEnd"/>
      <w:r w:rsidR="008A08CB" w:rsidRPr="00705170">
        <w:rPr>
          <w:rFonts w:ascii="Times New Roman" w:hAnsi="Times New Roman" w:cs="Times New Roman"/>
          <w:b/>
        </w:rPr>
        <w:t xml:space="preserve"> in </w:t>
      </w:r>
      <w:proofErr w:type="spellStart"/>
      <w:r w:rsidR="008A08CB" w:rsidRPr="00705170">
        <w:rPr>
          <w:rFonts w:ascii="Times New Roman" w:hAnsi="Times New Roman" w:cs="Times New Roman"/>
          <w:b/>
        </w:rPr>
        <w:t>Corporate</w:t>
      </w:r>
      <w:proofErr w:type="spellEnd"/>
      <w:r w:rsidR="008A08CB" w:rsidRPr="00705170">
        <w:rPr>
          <w:rFonts w:ascii="Times New Roman" w:hAnsi="Times New Roman" w:cs="Times New Roman"/>
          <w:b/>
        </w:rPr>
        <w:t xml:space="preserve"> </w:t>
      </w:r>
      <w:proofErr w:type="spellStart"/>
      <w:r w:rsidR="008A08CB" w:rsidRPr="00705170">
        <w:rPr>
          <w:rFonts w:ascii="Times New Roman" w:hAnsi="Times New Roman" w:cs="Times New Roman"/>
          <w:b/>
        </w:rPr>
        <w:t>Law</w:t>
      </w:r>
      <w:proofErr w:type="spellEnd"/>
    </w:p>
    <w:p w14:paraId="0686A110" w14:textId="09DBEF18" w:rsidR="00523B8E" w:rsidRPr="00705170" w:rsidRDefault="00683341" w:rsidP="004434AB">
      <w:pPr>
        <w:spacing w:after="240" w:line="480" w:lineRule="auto"/>
        <w:ind w:firstLine="720"/>
        <w:jc w:val="both"/>
        <w:rPr>
          <w:rFonts w:ascii="Times New Roman" w:hAnsi="Times New Roman" w:cs="Times New Roman"/>
        </w:rPr>
      </w:pPr>
      <w:r w:rsidRPr="00705170">
        <w:rPr>
          <w:rFonts w:ascii="Times New Roman" w:hAnsi="Times New Roman" w:cs="Times New Roman"/>
        </w:rPr>
        <w:lastRenderedPageBreak/>
        <w:t>“</w:t>
      </w:r>
      <w:proofErr w:type="spellStart"/>
      <w:r w:rsidRPr="00705170">
        <w:rPr>
          <w:rFonts w:ascii="Times New Roman" w:hAnsi="Times New Roman" w:cs="Times New Roman"/>
        </w:rPr>
        <w:t>Certain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investors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enforceable</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438"/>
      </w:r>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current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structure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separate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broader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provision</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related</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ones</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protects</w:t>
      </w:r>
      <w:proofErr w:type="spellEnd"/>
      <w:r w:rsidRPr="00705170">
        <w:rPr>
          <w:rFonts w:ascii="Times New Roman" w:hAnsi="Times New Roman" w:cs="Times New Roman"/>
        </w:rPr>
        <w:t xml:space="preserve">. </w:t>
      </w:r>
      <w:r w:rsidR="005A0865" w:rsidRPr="00705170">
        <w:rPr>
          <w:rFonts w:ascii="Times New Roman" w:hAnsi="Times New Roman" w:cs="Times New Roman"/>
        </w:rPr>
        <w:t xml:space="preserve">As it is </w:t>
      </w:r>
      <w:proofErr w:type="spellStart"/>
      <w:r w:rsidR="005A0865" w:rsidRPr="00705170">
        <w:rPr>
          <w:rFonts w:ascii="Times New Roman" w:hAnsi="Times New Roman" w:cs="Times New Roman"/>
        </w:rPr>
        <w:t>shown</w:t>
      </w:r>
      <w:proofErr w:type="spellEnd"/>
      <w:r w:rsidR="005A0865" w:rsidRPr="00705170">
        <w:rPr>
          <w:rFonts w:ascii="Times New Roman" w:hAnsi="Times New Roman" w:cs="Times New Roman"/>
        </w:rPr>
        <w:t xml:space="preserve"> in </w:t>
      </w:r>
      <w:proofErr w:type="spellStart"/>
      <w:r w:rsidR="005A0865" w:rsidRPr="00705170">
        <w:rPr>
          <w:rFonts w:ascii="Times New Roman" w:hAnsi="Times New Roman" w:cs="Times New Roman"/>
        </w:rPr>
        <w:t>this</w:t>
      </w:r>
      <w:proofErr w:type="spellEnd"/>
      <w:r w:rsidR="005A0865" w:rsidRPr="00705170">
        <w:rPr>
          <w:rFonts w:ascii="Times New Roman" w:hAnsi="Times New Roman" w:cs="Times New Roman"/>
        </w:rPr>
        <w:t xml:space="preserve"> </w:t>
      </w:r>
      <w:proofErr w:type="spellStart"/>
      <w:r w:rsidR="005A0865" w:rsidRPr="00705170">
        <w:rPr>
          <w:rFonts w:ascii="Times New Roman" w:hAnsi="Times New Roman" w:cs="Times New Roman"/>
        </w:rPr>
        <w:t>subchapter</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corporate</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laws</w:t>
      </w:r>
      <w:proofErr w:type="spellEnd"/>
      <w:r w:rsidR="00523B8E" w:rsidRPr="00705170">
        <w:rPr>
          <w:rFonts w:ascii="Times New Roman" w:hAnsi="Times New Roman" w:cs="Times New Roman"/>
        </w:rPr>
        <w:t xml:space="preserve"> of </w:t>
      </w:r>
      <w:proofErr w:type="spellStart"/>
      <w:r w:rsidR="00523B8E" w:rsidRPr="00705170">
        <w:rPr>
          <w:rFonts w:ascii="Times New Roman" w:hAnsi="Times New Roman" w:cs="Times New Roman"/>
        </w:rPr>
        <w:t>both</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Turkey</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and</w:t>
      </w:r>
      <w:proofErr w:type="spellEnd"/>
      <w:r w:rsidR="00523B8E" w:rsidRPr="00705170">
        <w:rPr>
          <w:rFonts w:ascii="Times New Roman" w:hAnsi="Times New Roman" w:cs="Times New Roman"/>
        </w:rPr>
        <w:t xml:space="preserve"> U.S. </w:t>
      </w:r>
      <w:proofErr w:type="spellStart"/>
      <w:r w:rsidR="00523B8E" w:rsidRPr="00705170">
        <w:rPr>
          <w:rFonts w:ascii="Times New Roman" w:hAnsi="Times New Roman" w:cs="Times New Roman"/>
        </w:rPr>
        <w:t>already</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provides</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protections</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for</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the</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basic</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reasonable</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expectations</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stated</w:t>
      </w:r>
      <w:proofErr w:type="spellEnd"/>
      <w:r w:rsidR="00523B8E" w:rsidRPr="00705170">
        <w:rPr>
          <w:rFonts w:ascii="Times New Roman" w:hAnsi="Times New Roman" w:cs="Times New Roman"/>
        </w:rPr>
        <w:t xml:space="preserve"> in </w:t>
      </w:r>
      <w:proofErr w:type="spellStart"/>
      <w:r w:rsidR="00523B8E" w:rsidRPr="00705170">
        <w:rPr>
          <w:rFonts w:ascii="Times New Roman" w:hAnsi="Times New Roman" w:cs="Times New Roman"/>
        </w:rPr>
        <w:t>this</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study</w:t>
      </w:r>
      <w:proofErr w:type="spellEnd"/>
      <w:r w:rsidR="00523B8E" w:rsidRPr="00705170">
        <w:rPr>
          <w:rFonts w:ascii="Times New Roman" w:hAnsi="Times New Roman" w:cs="Times New Roman"/>
        </w:rPr>
        <w:t xml:space="preserve">, but </w:t>
      </w:r>
      <w:proofErr w:type="spellStart"/>
      <w:r w:rsidR="00523B8E" w:rsidRPr="00705170">
        <w:rPr>
          <w:rFonts w:ascii="Times New Roman" w:hAnsi="Times New Roman" w:cs="Times New Roman"/>
        </w:rPr>
        <w:t>fails</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to</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provide</w:t>
      </w:r>
      <w:proofErr w:type="spellEnd"/>
      <w:r w:rsidR="00523B8E" w:rsidRPr="00705170">
        <w:rPr>
          <w:rFonts w:ascii="Times New Roman" w:hAnsi="Times New Roman" w:cs="Times New Roman"/>
        </w:rPr>
        <w:t xml:space="preserve"> a </w:t>
      </w:r>
      <w:proofErr w:type="spellStart"/>
      <w:r w:rsidR="00523B8E" w:rsidRPr="00705170">
        <w:rPr>
          <w:rFonts w:ascii="Times New Roman" w:hAnsi="Times New Roman" w:cs="Times New Roman"/>
        </w:rPr>
        <w:t>cause</w:t>
      </w:r>
      <w:proofErr w:type="spellEnd"/>
      <w:r w:rsidR="00523B8E" w:rsidRPr="00705170">
        <w:rPr>
          <w:rFonts w:ascii="Times New Roman" w:hAnsi="Times New Roman" w:cs="Times New Roman"/>
        </w:rPr>
        <w:t xml:space="preserve"> of </w:t>
      </w:r>
      <w:proofErr w:type="spellStart"/>
      <w:r w:rsidR="00523B8E" w:rsidRPr="00705170">
        <w:rPr>
          <w:rFonts w:ascii="Times New Roman" w:hAnsi="Times New Roman" w:cs="Times New Roman"/>
        </w:rPr>
        <w:t>action</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when</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these</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expectations</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are</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violated</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by</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the</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extraction</w:t>
      </w:r>
      <w:proofErr w:type="spellEnd"/>
      <w:r w:rsidR="00523B8E" w:rsidRPr="00705170">
        <w:rPr>
          <w:rFonts w:ascii="Times New Roman" w:hAnsi="Times New Roman" w:cs="Times New Roman"/>
        </w:rPr>
        <w:t xml:space="preserve"> of </w:t>
      </w:r>
      <w:proofErr w:type="spellStart"/>
      <w:r w:rsidR="00523B8E" w:rsidRPr="00705170">
        <w:rPr>
          <w:rFonts w:ascii="Times New Roman" w:hAnsi="Times New Roman" w:cs="Times New Roman"/>
        </w:rPr>
        <w:t>non</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pecuniary</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private</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benefits</w:t>
      </w:r>
      <w:proofErr w:type="spellEnd"/>
      <w:r w:rsidR="00523B8E" w:rsidRPr="00705170">
        <w:rPr>
          <w:rFonts w:ascii="Times New Roman" w:hAnsi="Times New Roman" w:cs="Times New Roman"/>
        </w:rPr>
        <w:t>.</w:t>
      </w:r>
    </w:p>
    <w:p w14:paraId="2C9BC032" w14:textId="6993A8F1" w:rsidR="004434AB" w:rsidRPr="00705170" w:rsidRDefault="00683341" w:rsidP="004434AB">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U.S.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“general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proportionate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participation</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earnings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stock</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appreciation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proper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purpose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inspect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records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vote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stock</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voting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439"/>
      </w:r>
      <w:r w:rsidRPr="00705170">
        <w:rPr>
          <w:rFonts w:ascii="Times New Roman" w:hAnsi="Times New Roman" w:cs="Times New Roman"/>
        </w:rPr>
        <w:t xml:space="preserve">. </w:t>
      </w:r>
      <w:proofErr w:type="spellStart"/>
      <w:r w:rsidRPr="00705170">
        <w:rPr>
          <w:rFonts w:ascii="Times New Roman" w:hAnsi="Times New Roman" w:cs="Times New Roman"/>
        </w:rPr>
        <w:t>Corollary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courts</w:t>
      </w:r>
      <w:proofErr w:type="spellEnd"/>
      <w:r w:rsidRPr="00705170">
        <w:rPr>
          <w:rFonts w:ascii="Times New Roman" w:hAnsi="Times New Roman" w:cs="Times New Roman"/>
        </w:rPr>
        <w:t xml:space="preserve"> </w:t>
      </w:r>
      <w:proofErr w:type="spellStart"/>
      <w:r w:rsidR="00706027" w:rsidRPr="00705170">
        <w:rPr>
          <w:rFonts w:ascii="Times New Roman" w:hAnsi="Times New Roman" w:cs="Times New Roman"/>
        </w:rPr>
        <w:t>constructed</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the</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argument</w:t>
      </w:r>
      <w:proofErr w:type="spellEnd"/>
      <w:r w:rsidR="00706027"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show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employed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company</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receiving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compensation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w:t>
      </w:r>
      <w:proofErr w:type="spellEnd"/>
      <w:r w:rsidRPr="00705170">
        <w:rPr>
          <w:rFonts w:ascii="Times New Roman" w:hAnsi="Times New Roman" w:cs="Times New Roman"/>
        </w:rPr>
        <w:t xml:space="preserve"> far in </w:t>
      </w:r>
      <w:proofErr w:type="spellStart"/>
      <w:r w:rsidRPr="00705170">
        <w:rPr>
          <w:rFonts w:ascii="Times New Roman" w:hAnsi="Times New Roman" w:cs="Times New Roman"/>
        </w:rPr>
        <w:t>excess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what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his </w:t>
      </w:r>
      <w:proofErr w:type="spellStart"/>
      <w:r w:rsidRPr="00705170">
        <w:rPr>
          <w:rFonts w:ascii="Times New Roman" w:hAnsi="Times New Roman" w:cs="Times New Roman"/>
        </w:rPr>
        <w:t>position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level</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responsibility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he is, in </w:t>
      </w:r>
      <w:proofErr w:type="spellStart"/>
      <w:r w:rsidRPr="00705170">
        <w:rPr>
          <w:rFonts w:ascii="Times New Roman" w:hAnsi="Times New Roman" w:cs="Times New Roman"/>
        </w:rPr>
        <w:t>actuality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receiving</w:t>
      </w:r>
      <w:proofErr w:type="spellEnd"/>
      <w:r w:rsidRPr="00705170">
        <w:rPr>
          <w:rFonts w:ascii="Times New Roman" w:hAnsi="Times New Roman" w:cs="Times New Roman"/>
        </w:rPr>
        <w:t xml:space="preserve"> de </w:t>
      </w:r>
      <w:proofErr w:type="spellStart"/>
      <w:r w:rsidRPr="00705170">
        <w:rPr>
          <w:rFonts w:ascii="Times New Roman" w:hAnsi="Times New Roman" w:cs="Times New Roman"/>
        </w:rPr>
        <w:t>fact</w:t>
      </w:r>
      <w:r w:rsidR="0047513D">
        <w:rPr>
          <w:rFonts w:ascii="Times New Roman" w:hAnsi="Times New Roman" w:cs="Times New Roman"/>
        </w:rPr>
        <w: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dividend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exclusion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support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finding</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440"/>
      </w:r>
      <w:r w:rsidRPr="00705170">
        <w:rPr>
          <w:rFonts w:ascii="Times New Roman" w:hAnsi="Times New Roman" w:cs="Times New Roman"/>
        </w:rPr>
        <w:t xml:space="preserve">. </w:t>
      </w:r>
      <w:proofErr w:type="spellStart"/>
      <w:r w:rsidR="00706027" w:rsidRPr="00705170">
        <w:rPr>
          <w:rFonts w:ascii="Times New Roman" w:hAnsi="Times New Roman" w:cs="Times New Roman"/>
        </w:rPr>
        <w:t>Similarly</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the</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statutory</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rule</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that</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the</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business</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and</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affairs</w:t>
      </w:r>
      <w:proofErr w:type="spellEnd"/>
      <w:r w:rsidR="00791C1F" w:rsidRPr="00705170">
        <w:rPr>
          <w:rFonts w:ascii="Times New Roman" w:hAnsi="Times New Roman" w:cs="Times New Roman"/>
        </w:rPr>
        <w:t xml:space="preserve"> of </w:t>
      </w:r>
      <w:proofErr w:type="spellStart"/>
      <w:r w:rsidR="00791C1F" w:rsidRPr="00705170">
        <w:rPr>
          <w:rFonts w:ascii="Times New Roman" w:hAnsi="Times New Roman" w:cs="Times New Roman"/>
        </w:rPr>
        <w:t>every</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corporation</w:t>
      </w:r>
      <w:proofErr w:type="spellEnd"/>
      <w:r w:rsidR="00791C1F" w:rsidRPr="00705170">
        <w:rPr>
          <w:rFonts w:ascii="Times New Roman" w:hAnsi="Times New Roman" w:cs="Times New Roman"/>
        </w:rPr>
        <w:t>…</w:t>
      </w:r>
      <w:proofErr w:type="spellStart"/>
      <w:r w:rsidR="00791C1F" w:rsidRPr="00705170">
        <w:rPr>
          <w:rFonts w:ascii="Times New Roman" w:hAnsi="Times New Roman" w:cs="Times New Roman"/>
        </w:rPr>
        <w:t>shall</w:t>
      </w:r>
      <w:proofErr w:type="spellEnd"/>
      <w:r w:rsidR="00791C1F" w:rsidRPr="00705170">
        <w:rPr>
          <w:rFonts w:ascii="Times New Roman" w:hAnsi="Times New Roman" w:cs="Times New Roman"/>
        </w:rPr>
        <w:t xml:space="preserve"> be </w:t>
      </w:r>
      <w:proofErr w:type="spellStart"/>
      <w:r w:rsidR="00791C1F" w:rsidRPr="00705170">
        <w:rPr>
          <w:rFonts w:ascii="Times New Roman" w:hAnsi="Times New Roman" w:cs="Times New Roman"/>
        </w:rPr>
        <w:t>managed</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by</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or</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under</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the</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direction</w:t>
      </w:r>
      <w:proofErr w:type="spellEnd"/>
      <w:r w:rsidR="00791C1F" w:rsidRPr="00705170">
        <w:rPr>
          <w:rFonts w:ascii="Times New Roman" w:hAnsi="Times New Roman" w:cs="Times New Roman"/>
        </w:rPr>
        <w:t xml:space="preserve"> of board of </w:t>
      </w:r>
      <w:proofErr w:type="spellStart"/>
      <w:r w:rsidR="00791C1F" w:rsidRPr="00705170">
        <w:rPr>
          <w:rFonts w:ascii="Times New Roman" w:hAnsi="Times New Roman" w:cs="Times New Roman"/>
        </w:rPr>
        <w:t>directors</w:t>
      </w:r>
      <w:proofErr w:type="spellEnd"/>
      <w:r w:rsidR="00791C1F" w:rsidRPr="00705170">
        <w:rPr>
          <w:rFonts w:ascii="Times New Roman" w:hAnsi="Times New Roman" w:cs="Times New Roman"/>
        </w:rPr>
        <w:t>…” (D</w:t>
      </w:r>
      <w:r w:rsidR="009C5EEB" w:rsidRPr="00705170">
        <w:rPr>
          <w:rFonts w:ascii="Times New Roman" w:hAnsi="Times New Roman" w:cs="Times New Roman"/>
        </w:rPr>
        <w:t>el. Gen.</w:t>
      </w:r>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Corp</w:t>
      </w:r>
      <w:proofErr w:type="spellEnd"/>
      <w:r w:rsidR="00706027" w:rsidRPr="00705170">
        <w:rPr>
          <w:rFonts w:ascii="Times New Roman" w:hAnsi="Times New Roman" w:cs="Times New Roman"/>
        </w:rPr>
        <w:t xml:space="preserve">. L. </w:t>
      </w:r>
      <w:proofErr w:type="spellStart"/>
      <w:r w:rsidR="00706027" w:rsidRPr="00705170">
        <w:rPr>
          <w:rFonts w:ascii="Times New Roman" w:hAnsi="Times New Roman" w:cs="Times New Roman"/>
        </w:rPr>
        <w:t>Sec</w:t>
      </w:r>
      <w:proofErr w:type="spellEnd"/>
      <w:r w:rsidR="00706027" w:rsidRPr="00705170">
        <w:rPr>
          <w:rFonts w:ascii="Times New Roman" w:hAnsi="Times New Roman" w:cs="Times New Roman"/>
        </w:rPr>
        <w:t xml:space="preserve">.  141(a)) </w:t>
      </w:r>
      <w:proofErr w:type="spellStart"/>
      <w:r w:rsidR="00706027" w:rsidRPr="00705170">
        <w:rPr>
          <w:rFonts w:ascii="Times New Roman" w:hAnsi="Times New Roman" w:cs="Times New Roman"/>
        </w:rPr>
        <w:t>required</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the</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courts</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to</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construct</w:t>
      </w:r>
      <w:proofErr w:type="spellEnd"/>
      <w:r w:rsidR="00791C1F" w:rsidRPr="00705170">
        <w:rPr>
          <w:rFonts w:ascii="Times New Roman" w:hAnsi="Times New Roman" w:cs="Times New Roman"/>
        </w:rPr>
        <w:t xml:space="preserve"> </w:t>
      </w:r>
      <w:proofErr w:type="spellStart"/>
      <w:r w:rsidR="009C5EEB"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r w:rsidR="00791C1F" w:rsidRPr="00705170">
        <w:rPr>
          <w:rFonts w:ascii="Times New Roman" w:hAnsi="Times New Roman" w:cs="Times New Roman"/>
        </w:rPr>
        <w:t xml:space="preserve">“board </w:t>
      </w:r>
      <w:proofErr w:type="spellStart"/>
      <w:r w:rsidR="00791C1F" w:rsidRPr="00705170">
        <w:rPr>
          <w:rFonts w:ascii="Times New Roman" w:hAnsi="Times New Roman" w:cs="Times New Roman"/>
        </w:rPr>
        <w:t>sterilization</w:t>
      </w:r>
      <w:proofErr w:type="spellEnd"/>
      <w:r w:rsidR="00791C1F" w:rsidRPr="00705170">
        <w:rPr>
          <w:rFonts w:ascii="Times New Roman" w:hAnsi="Times New Roman" w:cs="Times New Roman"/>
        </w:rPr>
        <w:t xml:space="preserve">” </w:t>
      </w:r>
      <w:proofErr w:type="spellStart"/>
      <w:r w:rsidR="00791C1F" w:rsidRPr="00705170">
        <w:rPr>
          <w:rFonts w:ascii="Times New Roman" w:hAnsi="Times New Roman" w:cs="Times New Roman"/>
        </w:rPr>
        <w:t>doctrine</w:t>
      </w:r>
      <w:proofErr w:type="spellEnd"/>
      <w:r w:rsidR="00706027"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r w:rsidR="00375CEC" w:rsidRPr="00705170">
        <w:rPr>
          <w:rFonts w:ascii="Times New Roman" w:hAnsi="Times New Roman" w:cs="Times New Roman"/>
        </w:rPr>
        <w:t>“</w:t>
      </w:r>
      <w:proofErr w:type="spellStart"/>
      <w:r w:rsidRPr="00705170">
        <w:rPr>
          <w:rFonts w:ascii="Times New Roman" w:hAnsi="Times New Roman" w:cs="Times New Roman"/>
        </w:rPr>
        <w:t>forbade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governance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structures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depriving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board of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authority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affairs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441"/>
      </w:r>
      <w:r w:rsidR="009C5EEB" w:rsidRPr="00705170">
        <w:rPr>
          <w:rFonts w:ascii="Times New Roman" w:hAnsi="Times New Roman" w:cs="Times New Roman"/>
        </w:rPr>
        <w:t>.</w:t>
      </w:r>
      <w:r w:rsidRPr="00705170">
        <w:rPr>
          <w:rFonts w:ascii="Times New Roman" w:hAnsi="Times New Roman" w:cs="Times New Roman"/>
        </w:rPr>
        <w:t xml:space="preserve"> </w:t>
      </w:r>
      <w:proofErr w:type="spellStart"/>
      <w:r w:rsidR="00354654" w:rsidRPr="00705170">
        <w:rPr>
          <w:rFonts w:ascii="Times New Roman" w:hAnsi="Times New Roman" w:cs="Times New Roman"/>
        </w:rPr>
        <w:t>These</w:t>
      </w:r>
      <w:proofErr w:type="spellEnd"/>
      <w:r w:rsidR="00354654" w:rsidRPr="00705170">
        <w:rPr>
          <w:rFonts w:ascii="Times New Roman" w:hAnsi="Times New Roman" w:cs="Times New Roman"/>
        </w:rPr>
        <w:t xml:space="preserve"> </w:t>
      </w:r>
      <w:proofErr w:type="spellStart"/>
      <w:r w:rsidR="00354654" w:rsidRPr="00705170">
        <w:rPr>
          <w:rFonts w:ascii="Times New Roman" w:hAnsi="Times New Roman" w:cs="Times New Roman"/>
        </w:rPr>
        <w:t>being</w:t>
      </w:r>
      <w:proofErr w:type="spellEnd"/>
      <w:r w:rsidR="00354654" w:rsidRPr="00705170">
        <w:rPr>
          <w:rFonts w:ascii="Times New Roman" w:hAnsi="Times New Roman" w:cs="Times New Roman"/>
        </w:rPr>
        <w:t xml:space="preserve"> </w:t>
      </w:r>
      <w:proofErr w:type="spellStart"/>
      <w:r w:rsidR="00354654" w:rsidRPr="00705170">
        <w:rPr>
          <w:rFonts w:ascii="Times New Roman" w:hAnsi="Times New Roman" w:cs="Times New Roman"/>
        </w:rPr>
        <w:t>said</w:t>
      </w:r>
      <w:proofErr w:type="spellEnd"/>
      <w:r w:rsidR="00354654" w:rsidRPr="00705170">
        <w:rPr>
          <w:rFonts w:ascii="Times New Roman" w:hAnsi="Times New Roman" w:cs="Times New Roman"/>
        </w:rPr>
        <w:t xml:space="preserve">, </w:t>
      </w:r>
      <w:proofErr w:type="spellStart"/>
      <w:r w:rsidR="00354654" w:rsidRPr="00705170">
        <w:rPr>
          <w:rFonts w:ascii="Times New Roman" w:hAnsi="Times New Roman" w:cs="Times New Roman"/>
        </w:rPr>
        <w:t>the</w:t>
      </w:r>
      <w:proofErr w:type="spellEnd"/>
      <w:r w:rsidR="00354654" w:rsidRPr="00705170">
        <w:rPr>
          <w:rFonts w:ascii="Times New Roman" w:hAnsi="Times New Roman" w:cs="Times New Roman"/>
        </w:rPr>
        <w:t xml:space="preserve"> </w:t>
      </w:r>
      <w:proofErr w:type="spellStart"/>
      <w:r w:rsidR="00354654" w:rsidRPr="00705170">
        <w:rPr>
          <w:rFonts w:ascii="Times New Roman" w:hAnsi="Times New Roman" w:cs="Times New Roman"/>
        </w:rPr>
        <w:t>same</w:t>
      </w:r>
      <w:proofErr w:type="spellEnd"/>
      <w:r w:rsidR="00354654" w:rsidRPr="00705170">
        <w:rPr>
          <w:rFonts w:ascii="Times New Roman" w:hAnsi="Times New Roman" w:cs="Times New Roman"/>
        </w:rPr>
        <w:t xml:space="preserve"> </w:t>
      </w:r>
      <w:proofErr w:type="spellStart"/>
      <w:r w:rsidR="00354654" w:rsidRPr="00705170">
        <w:rPr>
          <w:rFonts w:ascii="Times New Roman" w:hAnsi="Times New Roman" w:cs="Times New Roman"/>
        </w:rPr>
        <w:t>provision</w:t>
      </w:r>
      <w:proofErr w:type="spellEnd"/>
      <w:r w:rsidR="00354654" w:rsidRPr="00705170">
        <w:rPr>
          <w:rFonts w:ascii="Times New Roman" w:hAnsi="Times New Roman" w:cs="Times New Roman"/>
        </w:rPr>
        <w:t xml:space="preserve"> </w:t>
      </w:r>
      <w:proofErr w:type="spellStart"/>
      <w:r w:rsidR="00354654" w:rsidRPr="00705170">
        <w:rPr>
          <w:rFonts w:ascii="Times New Roman" w:hAnsi="Times New Roman" w:cs="Times New Roman"/>
        </w:rPr>
        <w:t>also</w:t>
      </w:r>
      <w:proofErr w:type="spellEnd"/>
      <w:r w:rsidR="00354654" w:rsidRPr="00705170">
        <w:rPr>
          <w:rFonts w:ascii="Times New Roman" w:hAnsi="Times New Roman" w:cs="Times New Roman"/>
        </w:rPr>
        <w:t xml:space="preserve"> </w:t>
      </w:r>
      <w:proofErr w:type="spellStart"/>
      <w:r w:rsidR="00354654" w:rsidRPr="00705170">
        <w:rPr>
          <w:rFonts w:ascii="Times New Roman" w:hAnsi="Times New Roman" w:cs="Times New Roman"/>
        </w:rPr>
        <w:t>expresses</w:t>
      </w:r>
      <w:proofErr w:type="spellEnd"/>
      <w:r w:rsidR="00354654" w:rsidRPr="00705170">
        <w:rPr>
          <w:rFonts w:ascii="Times New Roman" w:hAnsi="Times New Roman" w:cs="Times New Roman"/>
        </w:rPr>
        <w:t xml:space="preserve"> </w:t>
      </w:r>
      <w:proofErr w:type="spellStart"/>
      <w:r w:rsidR="00354654" w:rsidRPr="00705170">
        <w:rPr>
          <w:rFonts w:ascii="Times New Roman" w:hAnsi="Times New Roman" w:cs="Times New Roman"/>
        </w:rPr>
        <w:t>that</w:t>
      </w:r>
      <w:proofErr w:type="spellEnd"/>
      <w:r w:rsidR="00354654" w:rsidRPr="00705170">
        <w:rPr>
          <w:rFonts w:ascii="Times New Roman" w:hAnsi="Times New Roman" w:cs="Times New Roman"/>
        </w:rPr>
        <w:t xml:space="preserve"> </w:t>
      </w:r>
      <w:proofErr w:type="spellStart"/>
      <w:r w:rsidR="00354654" w:rsidRPr="00705170">
        <w:rPr>
          <w:rFonts w:ascii="Times New Roman" w:hAnsi="Times New Roman" w:cs="Times New Roman"/>
        </w:rPr>
        <w:t>the</w:t>
      </w:r>
      <w:proofErr w:type="spellEnd"/>
      <w:r w:rsidR="00354654" w:rsidRPr="00705170">
        <w:rPr>
          <w:rFonts w:ascii="Times New Roman" w:hAnsi="Times New Roman" w:cs="Times New Roman"/>
        </w:rPr>
        <w:t xml:space="preserve"> </w:t>
      </w:r>
      <w:proofErr w:type="spellStart"/>
      <w:r w:rsidR="00843867" w:rsidRPr="00705170">
        <w:rPr>
          <w:rFonts w:ascii="Times New Roman" w:hAnsi="Times New Roman" w:cs="Times New Roman"/>
        </w:rPr>
        <w:t>articles</w:t>
      </w:r>
      <w:proofErr w:type="spellEnd"/>
      <w:r w:rsidR="00843867" w:rsidRPr="00705170">
        <w:rPr>
          <w:rFonts w:ascii="Times New Roman" w:hAnsi="Times New Roman" w:cs="Times New Roman"/>
        </w:rPr>
        <w:t xml:space="preserve"> </w:t>
      </w:r>
      <w:r w:rsidR="00375CEC" w:rsidRPr="00705170">
        <w:rPr>
          <w:rFonts w:ascii="Times New Roman" w:hAnsi="Times New Roman" w:cs="Times New Roman"/>
        </w:rPr>
        <w:t xml:space="preserve">of </w:t>
      </w:r>
      <w:proofErr w:type="spellStart"/>
      <w:r w:rsidR="00375CEC" w:rsidRPr="00705170">
        <w:rPr>
          <w:rFonts w:ascii="Times New Roman" w:hAnsi="Times New Roman" w:cs="Times New Roman"/>
        </w:rPr>
        <w:t>incorporation</w:t>
      </w:r>
      <w:proofErr w:type="spellEnd"/>
      <w:r w:rsidR="00375CEC" w:rsidRPr="00705170">
        <w:rPr>
          <w:rFonts w:ascii="Times New Roman" w:hAnsi="Times New Roman" w:cs="Times New Roman"/>
        </w:rPr>
        <w:t xml:space="preserve"> can </w:t>
      </w:r>
      <w:proofErr w:type="spellStart"/>
      <w:r w:rsidR="00375CEC" w:rsidRPr="00705170">
        <w:rPr>
          <w:rFonts w:ascii="Times New Roman" w:hAnsi="Times New Roman" w:cs="Times New Roman"/>
        </w:rPr>
        <w:t>provide</w:t>
      </w:r>
      <w:proofErr w:type="spellEnd"/>
      <w:r w:rsidR="00843867" w:rsidRPr="00705170">
        <w:rPr>
          <w:rFonts w:ascii="Times New Roman" w:hAnsi="Times New Roman" w:cs="Times New Roman"/>
        </w:rPr>
        <w:t xml:space="preserve"> </w:t>
      </w:r>
      <w:proofErr w:type="spellStart"/>
      <w:r w:rsidR="00843867" w:rsidRPr="00705170">
        <w:rPr>
          <w:rFonts w:ascii="Times New Roman" w:hAnsi="Times New Roman" w:cs="Times New Roman"/>
        </w:rPr>
        <w:t>terms</w:t>
      </w:r>
      <w:proofErr w:type="spellEnd"/>
      <w:r w:rsidR="00843867" w:rsidRPr="00705170">
        <w:rPr>
          <w:rFonts w:ascii="Times New Roman" w:hAnsi="Times New Roman" w:cs="Times New Roman"/>
        </w:rPr>
        <w:t xml:space="preserve"> </w:t>
      </w:r>
      <w:proofErr w:type="spellStart"/>
      <w:r w:rsidR="00843867" w:rsidRPr="00705170">
        <w:rPr>
          <w:rFonts w:ascii="Times New Roman" w:hAnsi="Times New Roman" w:cs="Times New Roman"/>
        </w:rPr>
        <w:t>that</w:t>
      </w:r>
      <w:proofErr w:type="spellEnd"/>
      <w:r w:rsidR="00843867" w:rsidRPr="00705170">
        <w:rPr>
          <w:rFonts w:ascii="Times New Roman" w:hAnsi="Times New Roman" w:cs="Times New Roman"/>
        </w:rPr>
        <w:t xml:space="preserve"> </w:t>
      </w:r>
      <w:proofErr w:type="spellStart"/>
      <w:r w:rsidR="00843867" w:rsidRPr="00705170">
        <w:rPr>
          <w:rFonts w:ascii="Times New Roman" w:hAnsi="Times New Roman" w:cs="Times New Roman"/>
        </w:rPr>
        <w:t>alters</w:t>
      </w:r>
      <w:proofErr w:type="spellEnd"/>
      <w:r w:rsidR="00843867" w:rsidRPr="00705170">
        <w:rPr>
          <w:rFonts w:ascii="Times New Roman" w:hAnsi="Times New Roman" w:cs="Times New Roman"/>
        </w:rPr>
        <w:t xml:space="preserve"> </w:t>
      </w:r>
      <w:proofErr w:type="spellStart"/>
      <w:r w:rsidR="00843867" w:rsidRPr="00705170">
        <w:rPr>
          <w:rFonts w:ascii="Times New Roman" w:hAnsi="Times New Roman" w:cs="Times New Roman"/>
        </w:rPr>
        <w:t>the</w:t>
      </w:r>
      <w:proofErr w:type="spellEnd"/>
      <w:r w:rsidR="00843867" w:rsidRPr="00705170">
        <w:rPr>
          <w:rFonts w:ascii="Times New Roman" w:hAnsi="Times New Roman" w:cs="Times New Roman"/>
        </w:rPr>
        <w:t xml:space="preserve"> </w:t>
      </w:r>
      <w:proofErr w:type="spellStart"/>
      <w:r w:rsidR="00843867" w:rsidRPr="00705170">
        <w:rPr>
          <w:rFonts w:ascii="Times New Roman" w:hAnsi="Times New Roman" w:cs="Times New Roman"/>
        </w:rPr>
        <w:t>principle</w:t>
      </w:r>
      <w:proofErr w:type="spellEnd"/>
      <w:r w:rsidR="00843867" w:rsidRPr="00705170">
        <w:rPr>
          <w:rFonts w:ascii="Times New Roman" w:hAnsi="Times New Roman" w:cs="Times New Roman"/>
        </w:rPr>
        <w:t xml:space="preserve"> </w:t>
      </w:r>
      <w:proofErr w:type="spellStart"/>
      <w:r w:rsidR="00843867" w:rsidRPr="00705170">
        <w:rPr>
          <w:rFonts w:ascii="Times New Roman" w:hAnsi="Times New Roman" w:cs="Times New Roman"/>
        </w:rPr>
        <w:t>regarding</w:t>
      </w:r>
      <w:proofErr w:type="spellEnd"/>
      <w:r w:rsidR="00843867" w:rsidRPr="00705170">
        <w:rPr>
          <w:rFonts w:ascii="Times New Roman" w:hAnsi="Times New Roman" w:cs="Times New Roman"/>
        </w:rPr>
        <w:t xml:space="preserve"> </w:t>
      </w:r>
      <w:proofErr w:type="spellStart"/>
      <w:r w:rsidR="00843867" w:rsidRPr="00705170">
        <w:rPr>
          <w:rFonts w:ascii="Times New Roman" w:hAnsi="Times New Roman" w:cs="Times New Roman"/>
        </w:rPr>
        <w:t>the</w:t>
      </w:r>
      <w:proofErr w:type="spellEnd"/>
      <w:r w:rsidR="00843867" w:rsidRPr="00705170">
        <w:rPr>
          <w:rFonts w:ascii="Times New Roman" w:hAnsi="Times New Roman" w:cs="Times New Roman"/>
        </w:rPr>
        <w:t xml:space="preserve"> board </w:t>
      </w:r>
      <w:proofErr w:type="spellStart"/>
      <w:r w:rsidR="00843867" w:rsidRPr="00705170">
        <w:rPr>
          <w:rFonts w:ascii="Times New Roman" w:hAnsi="Times New Roman" w:cs="Times New Roman"/>
        </w:rPr>
        <w:t>sterilization</w:t>
      </w:r>
      <w:proofErr w:type="spellEnd"/>
      <w:r w:rsidR="00843867" w:rsidRPr="00705170">
        <w:rPr>
          <w:rStyle w:val="DipnotBavurusu"/>
          <w:rFonts w:ascii="Times New Roman" w:hAnsi="Times New Roman" w:cs="Times New Roman"/>
        </w:rPr>
        <w:footnoteReference w:id="442"/>
      </w:r>
      <w:r w:rsidR="00843867" w:rsidRPr="00705170">
        <w:rPr>
          <w:rFonts w:ascii="Times New Roman" w:hAnsi="Times New Roman" w:cs="Times New Roman"/>
        </w:rPr>
        <w:t xml:space="preserve">. As </w:t>
      </w:r>
      <w:proofErr w:type="spellStart"/>
      <w:r w:rsidR="00843867" w:rsidRPr="00705170">
        <w:rPr>
          <w:rFonts w:ascii="Times New Roman" w:hAnsi="Times New Roman" w:cs="Times New Roman"/>
        </w:rPr>
        <w:t>understood</w:t>
      </w:r>
      <w:proofErr w:type="spellEnd"/>
      <w:r w:rsidR="00843867" w:rsidRPr="00705170">
        <w:rPr>
          <w:rFonts w:ascii="Times New Roman" w:hAnsi="Times New Roman" w:cs="Times New Roman"/>
        </w:rPr>
        <w:t xml:space="preserve">, </w:t>
      </w:r>
      <w:r w:rsidR="00706027" w:rsidRPr="00705170">
        <w:rPr>
          <w:rFonts w:ascii="Times New Roman" w:hAnsi="Times New Roman" w:cs="Times New Roman"/>
        </w:rPr>
        <w:t xml:space="preserve">U.S. </w:t>
      </w:r>
      <w:proofErr w:type="spellStart"/>
      <w:r w:rsidR="00706027" w:rsidRPr="00705170">
        <w:rPr>
          <w:rFonts w:ascii="Times New Roman" w:hAnsi="Times New Roman" w:cs="Times New Roman"/>
        </w:rPr>
        <w:lastRenderedPageBreak/>
        <w:t>law</w:t>
      </w:r>
      <w:proofErr w:type="spellEnd"/>
      <w:r w:rsidR="00706027" w:rsidRPr="00705170">
        <w:rPr>
          <w:rFonts w:ascii="Times New Roman" w:hAnsi="Times New Roman" w:cs="Times New Roman"/>
        </w:rPr>
        <w:t xml:space="preserve"> </w:t>
      </w:r>
      <w:proofErr w:type="spellStart"/>
      <w:r w:rsidR="00354654" w:rsidRPr="00705170">
        <w:rPr>
          <w:rFonts w:ascii="Times New Roman" w:hAnsi="Times New Roman" w:cs="Times New Roman"/>
        </w:rPr>
        <w:t>generally</w:t>
      </w:r>
      <w:proofErr w:type="spellEnd"/>
      <w:r w:rsidR="00354654" w:rsidRPr="00705170">
        <w:rPr>
          <w:rFonts w:ascii="Times New Roman" w:hAnsi="Times New Roman" w:cs="Times New Roman"/>
        </w:rPr>
        <w:t xml:space="preserve"> </w:t>
      </w:r>
      <w:proofErr w:type="spellStart"/>
      <w:r w:rsidR="004434AB" w:rsidRPr="00705170">
        <w:rPr>
          <w:rFonts w:ascii="Times New Roman" w:hAnsi="Times New Roman" w:cs="Times New Roman"/>
        </w:rPr>
        <w:t>contains</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the</w:t>
      </w:r>
      <w:proofErr w:type="spellEnd"/>
      <w:r w:rsidR="004434AB" w:rsidRPr="00705170">
        <w:rPr>
          <w:rFonts w:ascii="Times New Roman" w:hAnsi="Times New Roman" w:cs="Times New Roman"/>
        </w:rPr>
        <w:t xml:space="preserve"> legal </w:t>
      </w:r>
      <w:proofErr w:type="spellStart"/>
      <w:r w:rsidR="004434AB" w:rsidRPr="00705170">
        <w:rPr>
          <w:rFonts w:ascii="Times New Roman" w:hAnsi="Times New Roman" w:cs="Times New Roman"/>
        </w:rPr>
        <w:t>standings</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that</w:t>
      </w:r>
      <w:proofErr w:type="spellEnd"/>
      <w:r w:rsidR="00523B8E" w:rsidRPr="00705170">
        <w:rPr>
          <w:rFonts w:ascii="Times New Roman" w:hAnsi="Times New Roman" w:cs="Times New Roman"/>
        </w:rPr>
        <w:t xml:space="preserve"> </w:t>
      </w:r>
      <w:proofErr w:type="spellStart"/>
      <w:r w:rsidR="00523B8E" w:rsidRPr="00705170">
        <w:rPr>
          <w:rFonts w:ascii="Times New Roman" w:hAnsi="Times New Roman" w:cs="Times New Roman"/>
        </w:rPr>
        <w:t>generally</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protect</w:t>
      </w:r>
      <w:r w:rsidR="004434AB" w:rsidRPr="00705170">
        <w:rPr>
          <w:rFonts w:ascii="Times New Roman" w:hAnsi="Times New Roman" w:cs="Times New Roman"/>
        </w:rPr>
        <w:t>s</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the</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basic</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reasonable</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expectations</w:t>
      </w:r>
      <w:proofErr w:type="spellEnd"/>
      <w:r w:rsidR="00706027" w:rsidRPr="00705170">
        <w:rPr>
          <w:rFonts w:ascii="Times New Roman" w:hAnsi="Times New Roman" w:cs="Times New Roman"/>
        </w:rPr>
        <w:t xml:space="preserve"> of </w:t>
      </w:r>
      <w:proofErr w:type="spellStart"/>
      <w:r w:rsidR="00706027" w:rsidRPr="00705170">
        <w:rPr>
          <w:rFonts w:ascii="Times New Roman" w:hAnsi="Times New Roman" w:cs="Times New Roman"/>
        </w:rPr>
        <w:t>the</w:t>
      </w:r>
      <w:proofErr w:type="spellEnd"/>
      <w:r w:rsidR="00706027" w:rsidRPr="00705170">
        <w:rPr>
          <w:rFonts w:ascii="Times New Roman" w:hAnsi="Times New Roman" w:cs="Times New Roman"/>
        </w:rPr>
        <w:t xml:space="preserve"> </w:t>
      </w:r>
      <w:proofErr w:type="spellStart"/>
      <w:r w:rsidR="00706027" w:rsidRPr="00705170">
        <w:rPr>
          <w:rFonts w:ascii="Times New Roman" w:hAnsi="Times New Roman" w:cs="Times New Roman"/>
        </w:rPr>
        <w:t>shareholders</w:t>
      </w:r>
      <w:proofErr w:type="spellEnd"/>
      <w:r w:rsidR="00F05D98">
        <w:rPr>
          <w:rStyle w:val="DipnotBavurusu"/>
          <w:rFonts w:ascii="Times New Roman" w:hAnsi="Times New Roman" w:cs="Times New Roman"/>
        </w:rPr>
        <w:footnoteReference w:id="443"/>
      </w:r>
      <w:r w:rsidR="00706027" w:rsidRPr="00705170">
        <w:rPr>
          <w:rFonts w:ascii="Times New Roman" w:hAnsi="Times New Roman" w:cs="Times New Roman"/>
        </w:rPr>
        <w:t>.</w:t>
      </w:r>
    </w:p>
    <w:p w14:paraId="2D4E444C" w14:textId="1B88E91E" w:rsidR="00A5133D" w:rsidRPr="00705170" w:rsidRDefault="00DB2027" w:rsidP="00F05D98">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color w:val="000000" w:themeColor="text1"/>
        </w:rPr>
        <w:t>In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Turkish</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law</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facts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tha</w:t>
      </w:r>
      <w:r w:rsidR="00523B8E" w:rsidRPr="00705170">
        <w:rPr>
          <w:rFonts w:ascii="Times New Roman" w:hAnsi="Times New Roman" w:cs="Times New Roman"/>
          <w:color w:val="000000" w:themeColor="text1"/>
        </w:rPr>
        <w:t>t</w:t>
      </w:r>
      <w:proofErr w:type="spellEnd"/>
      <w:r w:rsidRPr="00705170">
        <w:rPr>
          <w:rFonts w:ascii="Times New Roman" w:hAnsi="Times New Roman" w:cs="Times New Roman"/>
          <w:color w:val="000000" w:themeColor="text1"/>
        </w:rPr>
        <w:t xml:space="preserve"> a</w:t>
      </w:r>
      <w:r w:rsidR="00DE1D20" w:rsidRPr="00705170">
        <w:rPr>
          <w:rFonts w:ascii="Times New Roman" w:hAnsi="Times New Roman" w:cs="Times New Roman"/>
          <w:color w:val="000000" w:themeColor="text1"/>
        </w:rPr>
        <w:t xml:space="preserve"> </w:t>
      </w:r>
      <w:proofErr w:type="spellStart"/>
      <w:r w:rsidR="00DE1D20" w:rsidRPr="00705170">
        <w:rPr>
          <w:rFonts w:ascii="Times New Roman" w:hAnsi="Times New Roman" w:cs="Times New Roman"/>
          <w:color w:val="000000" w:themeColor="text1"/>
        </w:rPr>
        <w:t>publicly</w:t>
      </w:r>
      <w:proofErr w:type="spellEnd"/>
      <w:r w:rsidR="00DE1D20" w:rsidRPr="00705170">
        <w:rPr>
          <w:rFonts w:ascii="Times New Roman" w:hAnsi="Times New Roman" w:cs="Times New Roman"/>
          <w:color w:val="000000" w:themeColor="text1"/>
        </w:rPr>
        <w:t xml:space="preserve"> </w:t>
      </w:r>
      <w:proofErr w:type="spellStart"/>
      <w:r w:rsidR="00DE1D20" w:rsidRPr="00705170">
        <w:rPr>
          <w:rFonts w:ascii="Times New Roman" w:hAnsi="Times New Roman" w:cs="Times New Roman"/>
          <w:color w:val="000000" w:themeColor="text1"/>
        </w:rPr>
        <w:t>traded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corporation</w:t>
      </w:r>
      <w:proofErr w:type="spellEnd"/>
      <w:r w:rsidRPr="00705170">
        <w:rPr>
          <w:rFonts w:ascii="Times New Roman" w:hAnsi="Times New Roman" w:cs="Times New Roman"/>
          <w:color w:val="000000" w:themeColor="text1"/>
        </w:rPr>
        <w:t xml:space="preserve"> has a </w:t>
      </w:r>
      <w:proofErr w:type="spellStart"/>
      <w:r w:rsidRPr="00705170">
        <w:rPr>
          <w:rFonts w:ascii="Times New Roman" w:hAnsi="Times New Roman" w:cs="Times New Roman"/>
          <w:color w:val="000000" w:themeColor="text1"/>
        </w:rPr>
        <w:t>large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amount</w:t>
      </w:r>
      <w:proofErr w:type="spellEnd"/>
      <w:r w:rsidRPr="00705170">
        <w:rPr>
          <w:rFonts w:ascii="Times New Roman" w:hAnsi="Times New Roman" w:cs="Times New Roman"/>
          <w:color w:val="000000" w:themeColor="text1"/>
        </w:rPr>
        <w:t xml:space="preserve"> of </w:t>
      </w:r>
      <w:proofErr w:type="spellStart"/>
      <w:r w:rsidRPr="00705170">
        <w:rPr>
          <w:rFonts w:ascii="Times New Roman" w:hAnsi="Times New Roman" w:cs="Times New Roman"/>
          <w:color w:val="000000" w:themeColor="text1"/>
        </w:rPr>
        <w:t>surplus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or</w:t>
      </w:r>
      <w:proofErr w:type="spellEnd"/>
      <w:r w:rsidRPr="00705170">
        <w:rPr>
          <w:rFonts w:ascii="Times New Roman" w:hAnsi="Times New Roman" w:cs="Times New Roman"/>
          <w:color w:val="000000" w:themeColor="text1"/>
        </w:rPr>
        <w:t xml:space="preserve"> net </w:t>
      </w:r>
      <w:proofErr w:type="spellStart"/>
      <w:r w:rsidRPr="00705170">
        <w:rPr>
          <w:rFonts w:ascii="Times New Roman" w:hAnsi="Times New Roman" w:cs="Times New Roman"/>
          <w:color w:val="000000" w:themeColor="text1"/>
        </w:rPr>
        <w:t>profits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does</w:t>
      </w:r>
      <w:proofErr w:type="spellEnd"/>
      <w:r w:rsidRPr="00705170">
        <w:rPr>
          <w:rFonts w:ascii="Times New Roman" w:hAnsi="Times New Roman" w:cs="Times New Roman"/>
          <w:color w:val="000000" w:themeColor="text1"/>
        </w:rPr>
        <w:t xml:space="preserve"> not </w:t>
      </w:r>
      <w:proofErr w:type="spellStart"/>
      <w:r w:rsidR="0047513D">
        <w:rPr>
          <w:rFonts w:ascii="Times New Roman" w:hAnsi="Times New Roman" w:cs="Times New Roman"/>
          <w:color w:val="000000" w:themeColor="text1"/>
        </w:rPr>
        <w:t>automatically</w:t>
      </w:r>
      <w:proofErr w:type="spellEnd"/>
      <w:r w:rsidR="0047513D">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entitle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shareholders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to</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payment</w:t>
      </w:r>
      <w:proofErr w:type="spellEnd"/>
      <w:r w:rsidRPr="00705170">
        <w:rPr>
          <w:rFonts w:ascii="Times New Roman" w:hAnsi="Times New Roman" w:cs="Times New Roman"/>
          <w:color w:val="000000" w:themeColor="text1"/>
        </w:rPr>
        <w:t xml:space="preserve"> of </w:t>
      </w:r>
      <w:proofErr w:type="spellStart"/>
      <w:r w:rsidRPr="00705170">
        <w:rPr>
          <w:rFonts w:ascii="Times New Roman" w:hAnsi="Times New Roman" w:cs="Times New Roman"/>
          <w:color w:val="000000" w:themeColor="text1"/>
        </w:rPr>
        <w:t>dividen</w:t>
      </w:r>
      <w:r w:rsidR="003F76E7" w:rsidRPr="00705170">
        <w:rPr>
          <w:rFonts w:ascii="Times New Roman" w:hAnsi="Times New Roman" w:cs="Times New Roman"/>
          <w:color w:val="000000" w:themeColor="text1"/>
        </w:rPr>
        <w:t>d</w:t>
      </w:r>
      <w:r w:rsidRPr="00705170">
        <w:rPr>
          <w:rFonts w:ascii="Times New Roman" w:hAnsi="Times New Roman" w:cs="Times New Roman"/>
          <w:color w:val="000000" w:themeColor="text1"/>
        </w:rPr>
        <w:t>s</w:t>
      </w:r>
      <w:proofErr w:type="spellEnd"/>
      <w:r w:rsidR="003F76E7" w:rsidRPr="00705170">
        <w:rPr>
          <w:rFonts w:ascii="Times New Roman" w:hAnsi="Times New Roman" w:cs="Times New Roman"/>
          <w:color w:val="000000" w:themeColor="text1"/>
        </w:rPr>
        <w:t>,</w:t>
      </w:r>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and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general </w:t>
      </w:r>
      <w:proofErr w:type="spellStart"/>
      <w:r w:rsidRPr="00705170">
        <w:rPr>
          <w:rFonts w:ascii="Times New Roman" w:hAnsi="Times New Roman" w:cs="Times New Roman"/>
          <w:color w:val="000000" w:themeColor="text1"/>
        </w:rPr>
        <w:t>assembly</w:t>
      </w:r>
      <w:proofErr w:type="spellEnd"/>
      <w:r w:rsidR="002620A0" w:rsidRPr="00705170">
        <w:rPr>
          <w:rFonts w:ascii="Times New Roman" w:hAnsi="Times New Roman" w:cs="Times New Roman"/>
          <w:color w:val="000000" w:themeColor="text1"/>
        </w:rPr>
        <w:t xml:space="preserve"> (</w:t>
      </w:r>
      <w:proofErr w:type="spellStart"/>
      <w:r w:rsidR="002620A0" w:rsidRPr="00705170">
        <w:rPr>
          <w:rFonts w:ascii="Times New Roman" w:hAnsi="Times New Roman" w:cs="Times New Roman"/>
          <w:color w:val="000000" w:themeColor="text1"/>
        </w:rPr>
        <w:t>i.e</w:t>
      </w:r>
      <w:proofErr w:type="spellEnd"/>
      <w:r w:rsidR="002620A0" w:rsidRPr="00705170">
        <w:rPr>
          <w:rFonts w:ascii="Times New Roman" w:hAnsi="Times New Roman" w:cs="Times New Roman"/>
          <w:color w:val="000000" w:themeColor="text1"/>
        </w:rPr>
        <w:t xml:space="preserve">., general </w:t>
      </w:r>
      <w:proofErr w:type="spellStart"/>
      <w:r w:rsidR="002620A0" w:rsidRPr="00705170">
        <w:rPr>
          <w:rFonts w:ascii="Times New Roman" w:hAnsi="Times New Roman" w:cs="Times New Roman"/>
          <w:color w:val="000000" w:themeColor="text1"/>
        </w:rPr>
        <w:t>meeting</w:t>
      </w:r>
      <w:proofErr w:type="spellEnd"/>
      <w:r w:rsidR="002620A0" w:rsidRPr="00705170">
        <w:rPr>
          <w:rFonts w:ascii="Times New Roman" w:hAnsi="Times New Roman" w:cs="Times New Roman"/>
          <w:color w:val="000000" w:themeColor="text1"/>
        </w:rPr>
        <w:t xml:space="preserve"> of </w:t>
      </w:r>
      <w:proofErr w:type="spellStart"/>
      <w:r w:rsidR="002620A0" w:rsidRPr="00705170">
        <w:rPr>
          <w:rFonts w:ascii="Times New Roman" w:hAnsi="Times New Roman" w:cs="Times New Roman"/>
          <w:color w:val="000000" w:themeColor="text1"/>
        </w:rPr>
        <w:t>shareholders</w:t>
      </w:r>
      <w:proofErr w:type="spellEnd"/>
      <w:r w:rsidR="002620A0" w:rsidRPr="00705170">
        <w:rPr>
          <w:rFonts w:ascii="Times New Roman" w:hAnsi="Times New Roman" w:cs="Times New Roman"/>
          <w:color w:val="000000" w:themeColor="text1"/>
        </w:rPr>
        <w:t>)</w:t>
      </w:r>
      <w:r w:rsidR="001208B0" w:rsidRPr="00705170">
        <w:rPr>
          <w:rFonts w:ascii="Times New Roman" w:hAnsi="Times New Roman" w:cs="Times New Roman"/>
          <w:color w:val="000000" w:themeColor="text1"/>
        </w:rPr>
        <w:t xml:space="preserve"> has </w:t>
      </w:r>
      <w:proofErr w:type="spellStart"/>
      <w:r w:rsidR="001208B0" w:rsidRPr="00705170">
        <w:rPr>
          <w:rFonts w:ascii="Times New Roman" w:hAnsi="Times New Roman" w:cs="Times New Roman"/>
          <w:color w:val="000000" w:themeColor="text1"/>
        </w:rPr>
        <w:t>the</w:t>
      </w:r>
      <w:proofErr w:type="spellEnd"/>
      <w:r w:rsidR="001208B0" w:rsidRPr="00705170">
        <w:rPr>
          <w:rFonts w:ascii="Times New Roman" w:hAnsi="Times New Roman" w:cs="Times New Roman"/>
          <w:color w:val="000000" w:themeColor="text1"/>
        </w:rPr>
        <w:t xml:space="preserve"> </w:t>
      </w:r>
      <w:proofErr w:type="spellStart"/>
      <w:r w:rsidR="001208B0" w:rsidRPr="00705170">
        <w:rPr>
          <w:rFonts w:ascii="Times New Roman" w:hAnsi="Times New Roman" w:cs="Times New Roman"/>
          <w:color w:val="000000" w:themeColor="text1"/>
        </w:rPr>
        <w:t>authority</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to</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declare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dividends</w:t>
      </w:r>
      <w:proofErr w:type="spellEnd"/>
      <w:r w:rsidRPr="00705170">
        <w:rPr>
          <w:rFonts w:ascii="Times New Roman" w:hAnsi="Times New Roman" w:cs="Times New Roman"/>
          <w:color w:val="000000" w:themeColor="text1"/>
        </w:rPr>
        <w:t xml:space="preserve"> (TCC </w:t>
      </w:r>
      <w:proofErr w:type="spellStart"/>
      <w:r w:rsidRPr="00705170">
        <w:rPr>
          <w:rFonts w:ascii="Times New Roman" w:hAnsi="Times New Roman" w:cs="Times New Roman"/>
          <w:color w:val="000000" w:themeColor="text1"/>
        </w:rPr>
        <w:t>Article</w:t>
      </w:r>
      <w:proofErr w:type="spellEnd"/>
      <w:r w:rsidRPr="00705170">
        <w:rPr>
          <w:rFonts w:ascii="Times New Roman" w:hAnsi="Times New Roman" w:cs="Times New Roman"/>
          <w:color w:val="000000" w:themeColor="text1"/>
        </w:rPr>
        <w:t xml:space="preserve"> </w:t>
      </w:r>
      <w:r w:rsidR="009E36F9" w:rsidRPr="00705170">
        <w:rPr>
          <w:rFonts w:ascii="Times New Roman" w:hAnsi="Times New Roman" w:cs="Times New Roman"/>
          <w:color w:val="000000" w:themeColor="text1"/>
        </w:rPr>
        <w:t>408(2)(d)</w:t>
      </w:r>
      <w:r w:rsidRPr="00705170">
        <w:rPr>
          <w:rFonts w:ascii="Times New Roman" w:hAnsi="Times New Roman" w:cs="Times New Roman"/>
          <w:color w:val="000000" w:themeColor="text1"/>
        </w:rPr>
        <w:t>)</w:t>
      </w:r>
      <w:r w:rsidR="003F76E7" w:rsidRPr="00705170">
        <w:rPr>
          <w:rFonts w:ascii="Times New Roman" w:hAnsi="Times New Roman" w:cs="Times New Roman"/>
          <w:color w:val="000000" w:themeColor="text1"/>
        </w:rPr>
        <w:t xml:space="preserve"> </w:t>
      </w:r>
      <w:proofErr w:type="spellStart"/>
      <w:r w:rsidR="003F76E7" w:rsidRPr="00705170">
        <w:rPr>
          <w:rFonts w:ascii="Times New Roman" w:hAnsi="Times New Roman" w:cs="Times New Roman"/>
          <w:color w:val="000000" w:themeColor="text1"/>
        </w:rPr>
        <w:t>or</w:t>
      </w:r>
      <w:proofErr w:type="spellEnd"/>
      <w:r w:rsidR="003F76E7" w:rsidRPr="00705170">
        <w:rPr>
          <w:rFonts w:ascii="Times New Roman" w:hAnsi="Times New Roman" w:cs="Times New Roman"/>
          <w:color w:val="000000" w:themeColor="text1"/>
        </w:rPr>
        <w:t xml:space="preserve"> </w:t>
      </w:r>
      <w:proofErr w:type="spellStart"/>
      <w:r w:rsidR="003F76E7" w:rsidRPr="00705170">
        <w:rPr>
          <w:rFonts w:ascii="Times New Roman" w:hAnsi="Times New Roman" w:cs="Times New Roman"/>
          <w:color w:val="000000" w:themeColor="text1"/>
        </w:rPr>
        <w:t>reject</w:t>
      </w:r>
      <w:proofErr w:type="spellEnd"/>
      <w:r w:rsidR="003F76E7" w:rsidRPr="00705170">
        <w:rPr>
          <w:rFonts w:ascii="Times New Roman" w:hAnsi="Times New Roman" w:cs="Times New Roman"/>
          <w:color w:val="000000" w:themeColor="text1"/>
        </w:rPr>
        <w:t xml:space="preserve"> </w:t>
      </w:r>
      <w:proofErr w:type="spellStart"/>
      <w:r w:rsidR="003F76E7" w:rsidRPr="00705170">
        <w:rPr>
          <w:rFonts w:ascii="Times New Roman" w:hAnsi="Times New Roman" w:cs="Times New Roman"/>
          <w:color w:val="000000" w:themeColor="text1"/>
        </w:rPr>
        <w:t>to</w:t>
      </w:r>
      <w:proofErr w:type="spellEnd"/>
      <w:r w:rsidR="003F76E7" w:rsidRPr="00705170">
        <w:rPr>
          <w:rFonts w:ascii="Times New Roman" w:hAnsi="Times New Roman" w:cs="Times New Roman"/>
          <w:color w:val="000000" w:themeColor="text1"/>
        </w:rPr>
        <w:t xml:space="preserve"> </w:t>
      </w:r>
      <w:proofErr w:type="spellStart"/>
      <w:r w:rsidR="003F76E7" w:rsidRPr="00705170">
        <w:rPr>
          <w:rFonts w:ascii="Times New Roman" w:hAnsi="Times New Roman" w:cs="Times New Roman"/>
          <w:color w:val="000000" w:themeColor="text1"/>
        </w:rPr>
        <w:t>declare</w:t>
      </w:r>
      <w:proofErr w:type="spellEnd"/>
      <w:r w:rsidR="003F76E7" w:rsidRPr="00705170">
        <w:rPr>
          <w:rFonts w:ascii="Times New Roman" w:hAnsi="Times New Roman" w:cs="Times New Roman"/>
          <w:color w:val="000000" w:themeColor="text1"/>
        </w:rPr>
        <w:t xml:space="preserve"> </w:t>
      </w:r>
      <w:proofErr w:type="spellStart"/>
      <w:r w:rsidR="008752FF" w:rsidRPr="00705170">
        <w:rPr>
          <w:rFonts w:ascii="Times New Roman" w:hAnsi="Times New Roman" w:cs="Times New Roman"/>
          <w:color w:val="000000" w:themeColor="text1"/>
        </w:rPr>
        <w:t>to</w:t>
      </w:r>
      <w:proofErr w:type="spellEnd"/>
      <w:r w:rsidR="008752FF" w:rsidRPr="00705170">
        <w:rPr>
          <w:rFonts w:ascii="Times New Roman" w:hAnsi="Times New Roman" w:cs="Times New Roman"/>
          <w:color w:val="000000" w:themeColor="text1"/>
        </w:rPr>
        <w:t xml:space="preserve"> </w:t>
      </w:r>
      <w:proofErr w:type="spellStart"/>
      <w:r w:rsidR="008752FF" w:rsidRPr="00705170">
        <w:rPr>
          <w:rFonts w:ascii="Times New Roman" w:hAnsi="Times New Roman" w:cs="Times New Roman"/>
          <w:color w:val="000000" w:themeColor="text1"/>
        </w:rPr>
        <w:t>increase</w:t>
      </w:r>
      <w:proofErr w:type="spellEnd"/>
      <w:r w:rsidR="008752FF" w:rsidRPr="00705170">
        <w:rPr>
          <w:rFonts w:ascii="Times New Roman" w:hAnsi="Times New Roman" w:cs="Times New Roman"/>
          <w:color w:val="000000" w:themeColor="text1"/>
        </w:rPr>
        <w:t xml:space="preserve"> </w:t>
      </w:r>
      <w:proofErr w:type="spellStart"/>
      <w:r w:rsidR="008752FF" w:rsidRPr="00705170">
        <w:rPr>
          <w:rFonts w:ascii="Times New Roman" w:hAnsi="Times New Roman" w:cs="Times New Roman"/>
          <w:color w:val="000000" w:themeColor="text1"/>
        </w:rPr>
        <w:t>long</w:t>
      </w:r>
      <w:proofErr w:type="spellEnd"/>
      <w:r w:rsidR="008752FF" w:rsidRPr="00705170">
        <w:rPr>
          <w:rFonts w:ascii="Times New Roman" w:hAnsi="Times New Roman" w:cs="Times New Roman"/>
          <w:color w:val="000000" w:themeColor="text1"/>
        </w:rPr>
        <w:t xml:space="preserve">- </w:t>
      </w:r>
      <w:proofErr w:type="spellStart"/>
      <w:r w:rsidR="008752FF" w:rsidRPr="00705170">
        <w:rPr>
          <w:rFonts w:ascii="Times New Roman" w:hAnsi="Times New Roman" w:cs="Times New Roman"/>
          <w:color w:val="000000" w:themeColor="text1"/>
        </w:rPr>
        <w:t>term</w:t>
      </w:r>
      <w:proofErr w:type="spellEnd"/>
      <w:r w:rsidR="008752FF" w:rsidRPr="00705170">
        <w:rPr>
          <w:rFonts w:ascii="Times New Roman" w:hAnsi="Times New Roman" w:cs="Times New Roman"/>
          <w:color w:val="000000" w:themeColor="text1"/>
        </w:rPr>
        <w:t xml:space="preserve"> </w:t>
      </w:r>
      <w:proofErr w:type="spellStart"/>
      <w:r w:rsidR="008752FF" w:rsidRPr="00705170">
        <w:rPr>
          <w:rFonts w:ascii="Times New Roman" w:hAnsi="Times New Roman" w:cs="Times New Roman"/>
          <w:color w:val="000000" w:themeColor="text1"/>
        </w:rPr>
        <w:t>profitability</w:t>
      </w:r>
      <w:proofErr w:type="spellEnd"/>
      <w:r w:rsidR="008752FF" w:rsidRPr="00705170">
        <w:rPr>
          <w:rFonts w:ascii="Times New Roman" w:hAnsi="Times New Roman" w:cs="Times New Roman"/>
          <w:color w:val="000000" w:themeColor="text1"/>
        </w:rPr>
        <w:t xml:space="preserve"> </w:t>
      </w:r>
      <w:proofErr w:type="spellStart"/>
      <w:r w:rsidR="008752FF" w:rsidRPr="00705170">
        <w:rPr>
          <w:rFonts w:ascii="Times New Roman" w:hAnsi="Times New Roman" w:cs="Times New Roman"/>
          <w:color w:val="000000" w:themeColor="text1"/>
        </w:rPr>
        <w:t>and</w:t>
      </w:r>
      <w:proofErr w:type="spellEnd"/>
      <w:r w:rsidR="008752FF" w:rsidRPr="00705170">
        <w:rPr>
          <w:rFonts w:ascii="Times New Roman" w:hAnsi="Times New Roman" w:cs="Times New Roman"/>
          <w:color w:val="000000" w:themeColor="text1"/>
        </w:rPr>
        <w:t xml:space="preserve"> </w:t>
      </w:r>
      <w:proofErr w:type="spellStart"/>
      <w:r w:rsidR="008752FF" w:rsidRPr="00705170">
        <w:rPr>
          <w:rFonts w:ascii="Times New Roman" w:hAnsi="Times New Roman" w:cs="Times New Roman"/>
          <w:color w:val="000000" w:themeColor="text1"/>
        </w:rPr>
        <w:t>dividends</w:t>
      </w:r>
      <w:proofErr w:type="spellEnd"/>
      <w:r w:rsidR="008752FF" w:rsidRPr="00705170">
        <w:rPr>
          <w:rFonts w:ascii="Times New Roman" w:hAnsi="Times New Roman" w:cs="Times New Roman"/>
          <w:color w:val="000000" w:themeColor="text1"/>
        </w:rPr>
        <w:t xml:space="preserve"> </w:t>
      </w:r>
      <w:proofErr w:type="spellStart"/>
      <w:r w:rsidR="008752FF" w:rsidRPr="00705170">
        <w:rPr>
          <w:rFonts w:ascii="Times New Roman" w:hAnsi="Times New Roman" w:cs="Times New Roman"/>
          <w:color w:val="000000" w:themeColor="text1"/>
        </w:rPr>
        <w:t>thereof</w:t>
      </w:r>
      <w:proofErr w:type="spellEnd"/>
      <w:r w:rsidR="008752FF" w:rsidRPr="00705170">
        <w:rPr>
          <w:rFonts w:ascii="Times New Roman" w:hAnsi="Times New Roman" w:cs="Times New Roman"/>
          <w:color w:val="000000" w:themeColor="text1"/>
        </w:rPr>
        <w:t xml:space="preserve"> (TCC </w:t>
      </w:r>
      <w:proofErr w:type="spellStart"/>
      <w:r w:rsidR="008752FF" w:rsidRPr="00705170">
        <w:rPr>
          <w:rFonts w:ascii="Times New Roman" w:hAnsi="Times New Roman" w:cs="Times New Roman"/>
          <w:color w:val="000000" w:themeColor="text1"/>
        </w:rPr>
        <w:t>Article</w:t>
      </w:r>
      <w:proofErr w:type="spellEnd"/>
      <w:r w:rsidR="008752FF" w:rsidRPr="00705170">
        <w:rPr>
          <w:rFonts w:ascii="Times New Roman" w:hAnsi="Times New Roman" w:cs="Times New Roman"/>
          <w:color w:val="000000" w:themeColor="text1"/>
        </w:rPr>
        <w:t xml:space="preserve"> 523)</w:t>
      </w:r>
      <w:r w:rsidR="003F76E7" w:rsidRPr="00705170">
        <w:rPr>
          <w:rFonts w:ascii="Times New Roman" w:hAnsi="Times New Roman" w:cs="Times New Roman"/>
          <w:color w:val="000000" w:themeColor="text1"/>
        </w:rPr>
        <w:t>,</w:t>
      </w:r>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does</w:t>
      </w:r>
      <w:proofErr w:type="spellEnd"/>
      <w:r w:rsidRPr="00705170">
        <w:rPr>
          <w:rFonts w:ascii="Times New Roman" w:hAnsi="Times New Roman" w:cs="Times New Roman"/>
          <w:color w:val="000000" w:themeColor="text1"/>
        </w:rPr>
        <w:t xml:space="preserve"> not </w:t>
      </w:r>
      <w:proofErr w:type="spellStart"/>
      <w:r w:rsidRPr="00705170">
        <w:rPr>
          <w:rFonts w:ascii="Times New Roman" w:hAnsi="Times New Roman" w:cs="Times New Roman"/>
          <w:color w:val="000000" w:themeColor="text1"/>
        </w:rPr>
        <w:t>change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following</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principle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w:t>
      </w:r>
      <w:r w:rsidR="001E5E81" w:rsidRPr="00705170">
        <w:rPr>
          <w:rFonts w:ascii="Times New Roman" w:hAnsi="Times New Roman" w:cs="Times New Roman"/>
          <w:color w:val="000000" w:themeColor="text1"/>
        </w:rPr>
        <w:t>he</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right</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to</w:t>
      </w:r>
      <w:proofErr w:type="spellEnd"/>
      <w:r w:rsidR="00ED43D1" w:rsidRPr="00705170">
        <w:rPr>
          <w:rFonts w:ascii="Times New Roman" w:hAnsi="Times New Roman" w:cs="Times New Roman"/>
          <w:color w:val="000000" w:themeColor="text1"/>
        </w:rPr>
        <w:t xml:space="preserve"> </w:t>
      </w:r>
      <w:proofErr w:type="spellStart"/>
      <w:r w:rsidR="00ED43D1" w:rsidRPr="00705170">
        <w:rPr>
          <w:rFonts w:ascii="Times New Roman" w:hAnsi="Times New Roman" w:cs="Times New Roman"/>
          <w:color w:val="000000" w:themeColor="text1"/>
        </w:rPr>
        <w:t>proportionate</w:t>
      </w:r>
      <w:proofErr w:type="spellEnd"/>
      <w:r w:rsidR="00ED43D1" w:rsidRPr="00705170">
        <w:rPr>
          <w:rFonts w:ascii="Times New Roman" w:hAnsi="Times New Roman" w:cs="Times New Roman"/>
          <w:color w:val="000000" w:themeColor="text1"/>
        </w:rPr>
        <w:t xml:space="preserve"> </w:t>
      </w:r>
      <w:proofErr w:type="spellStart"/>
      <w:r w:rsidR="00ED43D1" w:rsidRPr="00705170">
        <w:rPr>
          <w:rFonts w:ascii="Times New Roman" w:hAnsi="Times New Roman" w:cs="Times New Roman"/>
          <w:color w:val="000000" w:themeColor="text1"/>
        </w:rPr>
        <w:t>participation</w:t>
      </w:r>
      <w:proofErr w:type="spellEnd"/>
      <w:r w:rsidR="00ED43D1" w:rsidRPr="00705170">
        <w:rPr>
          <w:rFonts w:ascii="Times New Roman" w:hAnsi="Times New Roman" w:cs="Times New Roman"/>
          <w:color w:val="000000" w:themeColor="text1"/>
        </w:rPr>
        <w:t xml:space="preserve"> in </w:t>
      </w:r>
      <w:proofErr w:type="spellStart"/>
      <w:r w:rsidR="00ED43D1" w:rsidRPr="00705170">
        <w:rPr>
          <w:rFonts w:ascii="Times New Roman" w:hAnsi="Times New Roman" w:cs="Times New Roman"/>
          <w:color w:val="000000" w:themeColor="text1"/>
        </w:rPr>
        <w:t>corporate</w:t>
      </w:r>
      <w:proofErr w:type="spellEnd"/>
      <w:r w:rsidR="00ED43D1" w:rsidRPr="00705170">
        <w:rPr>
          <w:rFonts w:ascii="Times New Roman" w:hAnsi="Times New Roman" w:cs="Times New Roman"/>
          <w:color w:val="000000" w:themeColor="text1"/>
        </w:rPr>
        <w:t xml:space="preserve"> </w:t>
      </w:r>
      <w:proofErr w:type="spellStart"/>
      <w:r w:rsidR="00ED43D1" w:rsidRPr="00705170">
        <w:rPr>
          <w:rFonts w:ascii="Times New Roman" w:hAnsi="Times New Roman" w:cs="Times New Roman"/>
          <w:color w:val="000000" w:themeColor="text1"/>
        </w:rPr>
        <w:t>earnings</w:t>
      </w:r>
      <w:proofErr w:type="spellEnd"/>
      <w:r w:rsidR="00AF7C3E" w:rsidRPr="00705170">
        <w:rPr>
          <w:rFonts w:ascii="Times New Roman" w:hAnsi="Times New Roman" w:cs="Times New Roman"/>
          <w:color w:val="000000" w:themeColor="text1"/>
        </w:rPr>
        <w:t xml:space="preserve"> (TCC </w:t>
      </w:r>
      <w:proofErr w:type="spellStart"/>
      <w:r w:rsidR="00AF7C3E" w:rsidRPr="00705170">
        <w:rPr>
          <w:rFonts w:ascii="Times New Roman" w:hAnsi="Times New Roman" w:cs="Times New Roman"/>
          <w:color w:val="000000" w:themeColor="text1"/>
        </w:rPr>
        <w:t>Article</w:t>
      </w:r>
      <w:proofErr w:type="spellEnd"/>
      <w:r w:rsidR="00AF7C3E" w:rsidRPr="00705170">
        <w:rPr>
          <w:rFonts w:ascii="Times New Roman" w:hAnsi="Times New Roman" w:cs="Times New Roman"/>
          <w:color w:val="000000" w:themeColor="text1"/>
        </w:rPr>
        <w:t xml:space="preserve"> 507(1))</w:t>
      </w:r>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represents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shareholder’s</w:t>
      </w:r>
      <w:proofErr w:type="spellEnd"/>
      <w:r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entitlement</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to</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have</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the</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property</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and</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business</w:t>
      </w:r>
      <w:proofErr w:type="spellEnd"/>
      <w:r w:rsidR="001E5E81" w:rsidRPr="00705170">
        <w:rPr>
          <w:rFonts w:ascii="Times New Roman" w:hAnsi="Times New Roman" w:cs="Times New Roman"/>
          <w:color w:val="000000" w:themeColor="text1"/>
        </w:rPr>
        <w:t xml:space="preserve"> of </w:t>
      </w:r>
      <w:proofErr w:type="spellStart"/>
      <w:r w:rsidR="001E5E81" w:rsidRPr="00705170">
        <w:rPr>
          <w:rFonts w:ascii="Times New Roman" w:hAnsi="Times New Roman" w:cs="Times New Roman"/>
          <w:color w:val="000000" w:themeColor="text1"/>
        </w:rPr>
        <w:t>the</w:t>
      </w:r>
      <w:proofErr w:type="spellEnd"/>
      <w:r w:rsidR="001E5E81" w:rsidRPr="00705170">
        <w:rPr>
          <w:rFonts w:ascii="Times New Roman" w:hAnsi="Times New Roman" w:cs="Times New Roman"/>
          <w:color w:val="000000" w:themeColor="text1"/>
        </w:rPr>
        <w:t xml:space="preserve"> </w:t>
      </w:r>
      <w:proofErr w:type="spellStart"/>
      <w:r w:rsidR="00ED43D1" w:rsidRPr="00705170">
        <w:rPr>
          <w:rFonts w:ascii="Times New Roman" w:hAnsi="Times New Roman" w:cs="Times New Roman"/>
          <w:color w:val="000000" w:themeColor="text1"/>
        </w:rPr>
        <w:t>c</w:t>
      </w:r>
      <w:r w:rsidR="001E5E81" w:rsidRPr="00705170">
        <w:rPr>
          <w:rFonts w:ascii="Times New Roman" w:hAnsi="Times New Roman" w:cs="Times New Roman"/>
          <w:color w:val="000000" w:themeColor="text1"/>
        </w:rPr>
        <w:t>orporation</w:t>
      </w:r>
      <w:proofErr w:type="spellEnd"/>
      <w:r w:rsidR="001E5E81" w:rsidRPr="00705170">
        <w:rPr>
          <w:rFonts w:ascii="Times New Roman" w:hAnsi="Times New Roman" w:cs="Times New Roman"/>
          <w:color w:val="000000" w:themeColor="text1"/>
        </w:rPr>
        <w:t xml:space="preserve"> </w:t>
      </w:r>
      <w:proofErr w:type="spellStart"/>
      <w:r w:rsidR="00ED43D1" w:rsidRPr="00705170">
        <w:rPr>
          <w:rFonts w:ascii="Times New Roman" w:hAnsi="Times New Roman" w:cs="Times New Roman"/>
          <w:color w:val="000000" w:themeColor="text1"/>
        </w:rPr>
        <w:t>d</w:t>
      </w:r>
      <w:r w:rsidR="001E5E81" w:rsidRPr="00705170">
        <w:rPr>
          <w:rFonts w:ascii="Times New Roman" w:hAnsi="Times New Roman" w:cs="Times New Roman"/>
          <w:color w:val="000000" w:themeColor="text1"/>
        </w:rPr>
        <w:t>evoted</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during</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the</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corporate</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existence</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to</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attainment</w:t>
      </w:r>
      <w:proofErr w:type="spellEnd"/>
      <w:r w:rsidR="001E5E81" w:rsidRPr="00705170">
        <w:rPr>
          <w:rFonts w:ascii="Times New Roman" w:hAnsi="Times New Roman" w:cs="Times New Roman"/>
          <w:color w:val="000000" w:themeColor="text1"/>
        </w:rPr>
        <w:t xml:space="preserve"> of </w:t>
      </w:r>
      <w:proofErr w:type="spellStart"/>
      <w:r w:rsidR="001E5E81" w:rsidRPr="00705170">
        <w:rPr>
          <w:rFonts w:ascii="Times New Roman" w:hAnsi="Times New Roman" w:cs="Times New Roman"/>
          <w:color w:val="000000" w:themeColor="text1"/>
        </w:rPr>
        <w:t>the</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common</w:t>
      </w:r>
      <w:proofErr w:type="spellEnd"/>
      <w:r w:rsidR="001E5E81" w:rsidRPr="00705170">
        <w:rPr>
          <w:rFonts w:ascii="Times New Roman" w:hAnsi="Times New Roman" w:cs="Times New Roman"/>
          <w:color w:val="000000" w:themeColor="text1"/>
        </w:rPr>
        <w:t xml:space="preserve"> </w:t>
      </w:r>
      <w:proofErr w:type="spellStart"/>
      <w:r w:rsidR="001E5E81" w:rsidRPr="00705170">
        <w:rPr>
          <w:rFonts w:ascii="Times New Roman" w:hAnsi="Times New Roman" w:cs="Times New Roman"/>
          <w:color w:val="000000" w:themeColor="text1"/>
        </w:rPr>
        <w:t>objects</w:t>
      </w:r>
      <w:proofErr w:type="spellEnd"/>
      <w:r w:rsidR="001E5E81" w:rsidRPr="00705170">
        <w:rPr>
          <w:rStyle w:val="DipnotBavurusu"/>
          <w:rFonts w:ascii="Times New Roman" w:hAnsi="Times New Roman" w:cs="Times New Roman"/>
          <w:color w:val="000000" w:themeColor="text1"/>
        </w:rPr>
        <w:footnoteReference w:id="444"/>
      </w:r>
      <w:r w:rsidR="001E5E81" w:rsidRPr="00705170">
        <w:rPr>
          <w:rFonts w:ascii="Times New Roman" w:hAnsi="Times New Roman" w:cs="Times New Roman"/>
          <w:color w:val="000000" w:themeColor="text1"/>
        </w:rPr>
        <w:t>.</w:t>
      </w:r>
      <w:r w:rsidRPr="00705170">
        <w:rPr>
          <w:rFonts w:ascii="Times New Roman" w:hAnsi="Times New Roman" w:cs="Times New Roman"/>
          <w:color w:val="000000" w:themeColor="text1"/>
        </w:rPr>
        <w:t xml:space="preserve"> </w:t>
      </w:r>
      <w:proofErr w:type="spellStart"/>
      <w:r w:rsidR="009076F9" w:rsidRPr="00705170">
        <w:rPr>
          <w:rFonts w:ascii="Times New Roman" w:hAnsi="Times New Roman" w:cs="Times New Roman"/>
          <w:color w:val="000000" w:themeColor="text1"/>
        </w:rPr>
        <w:t>W</w:t>
      </w:r>
      <w:r w:rsidRPr="00705170">
        <w:rPr>
          <w:rFonts w:ascii="Times New Roman" w:hAnsi="Times New Roman" w:cs="Times New Roman"/>
          <w:color w:val="000000" w:themeColor="text1"/>
        </w:rPr>
        <w:t>hile</w:t>
      </w:r>
      <w:proofErr w:type="spellEnd"/>
      <w:r w:rsidRPr="00705170">
        <w:rPr>
          <w:rFonts w:ascii="Times New Roman" w:hAnsi="Times New Roman" w:cs="Times New Roman"/>
          <w:color w:val="000000" w:themeColor="text1"/>
        </w:rPr>
        <w:t xml:space="preserve"> a </w:t>
      </w:r>
      <w:proofErr w:type="spellStart"/>
      <w:r w:rsidRPr="00705170">
        <w:rPr>
          <w:rFonts w:ascii="Times New Roman" w:hAnsi="Times New Roman" w:cs="Times New Roman"/>
          <w:color w:val="000000" w:themeColor="text1"/>
        </w:rPr>
        <w:t>shareholder’s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expectation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to</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receive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dividends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every</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term</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may</w:t>
      </w:r>
      <w:proofErr w:type="spellEnd"/>
      <w:r w:rsidRPr="00705170">
        <w:rPr>
          <w:rFonts w:ascii="Times New Roman" w:hAnsi="Times New Roman" w:cs="Times New Roman"/>
          <w:color w:val="000000" w:themeColor="text1"/>
        </w:rPr>
        <w:t xml:space="preserve"> be </w:t>
      </w:r>
      <w:proofErr w:type="spellStart"/>
      <w:r w:rsidRPr="00705170">
        <w:rPr>
          <w:rFonts w:ascii="Times New Roman" w:hAnsi="Times New Roman" w:cs="Times New Roman"/>
          <w:color w:val="000000" w:themeColor="text1"/>
        </w:rPr>
        <w:t>unreasonable</w:t>
      </w:r>
      <w:proofErr w:type="spellEnd"/>
      <w:r w:rsidRPr="00705170">
        <w:rPr>
          <w:rFonts w:ascii="Times New Roman" w:hAnsi="Times New Roman" w:cs="Times New Roman"/>
          <w:color w:val="000000" w:themeColor="text1"/>
        </w:rPr>
        <w:t xml:space="preserve">, his </w:t>
      </w:r>
      <w:proofErr w:type="spellStart"/>
      <w:r w:rsidRPr="00705170">
        <w:rPr>
          <w:rFonts w:ascii="Times New Roman" w:hAnsi="Times New Roman" w:cs="Times New Roman"/>
          <w:color w:val="000000" w:themeColor="text1"/>
        </w:rPr>
        <w:t>expectation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that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corporation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will</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pursue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objective</w:t>
      </w:r>
      <w:proofErr w:type="spellEnd"/>
      <w:r w:rsidRPr="00705170">
        <w:rPr>
          <w:rFonts w:ascii="Times New Roman" w:hAnsi="Times New Roman" w:cs="Times New Roman"/>
          <w:color w:val="000000" w:themeColor="text1"/>
        </w:rPr>
        <w:t xml:space="preserve"> of </w:t>
      </w:r>
      <w:proofErr w:type="spellStart"/>
      <w:r w:rsidRPr="00705170">
        <w:rPr>
          <w:rFonts w:ascii="Times New Roman" w:hAnsi="Times New Roman" w:cs="Times New Roman"/>
          <w:color w:val="000000" w:themeColor="text1"/>
        </w:rPr>
        <w:t>achieving</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economic</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benefit</w:t>
      </w:r>
      <w:proofErr w:type="spellEnd"/>
      <w:r w:rsidRPr="00705170">
        <w:rPr>
          <w:rFonts w:ascii="Times New Roman" w:hAnsi="Times New Roman" w:cs="Times New Roman"/>
          <w:color w:val="000000" w:themeColor="text1"/>
        </w:rPr>
        <w:t xml:space="preserve"> is a </w:t>
      </w:r>
      <w:proofErr w:type="spellStart"/>
      <w:r w:rsidRPr="00705170">
        <w:rPr>
          <w:rFonts w:ascii="Times New Roman" w:hAnsi="Times New Roman" w:cs="Times New Roman"/>
          <w:color w:val="000000" w:themeColor="text1"/>
        </w:rPr>
        <w:t>reasonable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one</w:t>
      </w:r>
      <w:proofErr w:type="spellEnd"/>
      <w:r w:rsidRPr="00705170">
        <w:rPr>
          <w:rFonts w:ascii="Times New Roman" w:hAnsi="Times New Roman" w:cs="Times New Roman"/>
          <w:color w:val="000000" w:themeColor="text1"/>
        </w:rPr>
        <w:t xml:space="preserve"> </w:t>
      </w:r>
      <w:proofErr w:type="spellStart"/>
      <w:r w:rsidR="00E917A9" w:rsidRPr="00705170">
        <w:rPr>
          <w:rFonts w:ascii="Times New Roman" w:hAnsi="Times New Roman" w:cs="Times New Roman"/>
          <w:color w:val="000000" w:themeColor="text1"/>
        </w:rPr>
        <w:t>and</w:t>
      </w:r>
      <w:proofErr w:type="spellEnd"/>
      <w:r w:rsidR="00E917A9"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should</w:t>
      </w:r>
      <w:proofErr w:type="spellEnd"/>
      <w:r w:rsidRPr="00705170">
        <w:rPr>
          <w:rFonts w:ascii="Times New Roman" w:hAnsi="Times New Roman" w:cs="Times New Roman"/>
          <w:color w:val="000000" w:themeColor="text1"/>
        </w:rPr>
        <w:t xml:space="preserve"> be </w:t>
      </w:r>
      <w:proofErr w:type="spellStart"/>
      <w:r w:rsidRPr="00705170">
        <w:rPr>
          <w:rFonts w:ascii="Times New Roman" w:hAnsi="Times New Roman" w:cs="Times New Roman"/>
          <w:color w:val="000000" w:themeColor="text1"/>
        </w:rPr>
        <w:t>enforceable</w:t>
      </w:r>
      <w:proofErr w:type="spellEnd"/>
      <w:r w:rsidRPr="00705170">
        <w:rPr>
          <w:rFonts w:ascii="Times New Roman" w:hAnsi="Times New Roman" w:cs="Times New Roman"/>
          <w:color w:val="000000" w:themeColor="text1"/>
        </w:rPr>
        <w:t xml:space="preserve"> in </w:t>
      </w:r>
      <w:proofErr w:type="spellStart"/>
      <w:r w:rsidRPr="00705170">
        <w:rPr>
          <w:rFonts w:ascii="Times New Roman" w:hAnsi="Times New Roman" w:cs="Times New Roman"/>
          <w:color w:val="000000" w:themeColor="text1"/>
        </w:rPr>
        <w:t>court</w:t>
      </w:r>
      <w:proofErr w:type="spellEnd"/>
      <w:r w:rsidRPr="00705170">
        <w:rPr>
          <w:rFonts w:ascii="Times New Roman" w:hAnsi="Times New Roman" w:cs="Times New Roman"/>
          <w:color w:val="000000" w:themeColor="text1"/>
        </w:rPr>
        <w:t xml:space="preserve">. </w:t>
      </w:r>
      <w:proofErr w:type="spellStart"/>
      <w:r w:rsidR="00A23441" w:rsidRPr="00705170">
        <w:rPr>
          <w:rFonts w:ascii="Times New Roman" w:hAnsi="Times New Roman" w:cs="Times New Roman"/>
          <w:color w:val="000000" w:themeColor="text1"/>
        </w:rPr>
        <w:t>In</w:t>
      </w:r>
      <w:proofErr w:type="spellEnd"/>
      <w:r w:rsidR="00A23441" w:rsidRPr="00705170">
        <w:rPr>
          <w:rFonts w:ascii="Times New Roman" w:hAnsi="Times New Roman" w:cs="Times New Roman"/>
          <w:color w:val="000000" w:themeColor="text1"/>
        </w:rPr>
        <w:t xml:space="preserve"> </w:t>
      </w:r>
      <w:proofErr w:type="spellStart"/>
      <w:r w:rsidR="00A23441" w:rsidRPr="00705170">
        <w:rPr>
          <w:rFonts w:ascii="Times New Roman" w:hAnsi="Times New Roman" w:cs="Times New Roman"/>
          <w:color w:val="000000" w:themeColor="text1"/>
        </w:rPr>
        <w:t>fact</w:t>
      </w:r>
      <w:proofErr w:type="spellEnd"/>
      <w:r w:rsidR="00A23441" w:rsidRPr="00705170">
        <w:rPr>
          <w:rFonts w:ascii="Times New Roman" w:hAnsi="Times New Roman" w:cs="Times New Roman"/>
          <w:color w:val="000000" w:themeColor="text1"/>
        </w:rPr>
        <w:t xml:space="preserve">, </w:t>
      </w:r>
      <w:r w:rsidR="0061359E" w:rsidRPr="00705170">
        <w:rPr>
          <w:rFonts w:ascii="Times New Roman" w:hAnsi="Times New Roman" w:cs="Times New Roman"/>
          <w:color w:val="000000" w:themeColor="text1"/>
        </w:rPr>
        <w:t>a</w:t>
      </w:r>
      <w:r w:rsidR="00625AC3" w:rsidRPr="00705170">
        <w:rPr>
          <w:rFonts w:ascii="Times New Roman" w:hAnsi="Times New Roman" w:cs="Times New Roman"/>
          <w:color w:val="000000" w:themeColor="text1"/>
        </w:rPr>
        <w:t xml:space="preserve"> general </w:t>
      </w:r>
      <w:proofErr w:type="spellStart"/>
      <w:r w:rsidR="00625AC3" w:rsidRPr="00705170">
        <w:rPr>
          <w:rFonts w:ascii="Times New Roman" w:hAnsi="Times New Roman" w:cs="Times New Roman"/>
          <w:color w:val="000000" w:themeColor="text1"/>
        </w:rPr>
        <w:t>assembly</w:t>
      </w:r>
      <w:proofErr w:type="spellEnd"/>
      <w:r w:rsidR="00625AC3" w:rsidRPr="00705170">
        <w:rPr>
          <w:rFonts w:ascii="Times New Roman" w:hAnsi="Times New Roman" w:cs="Times New Roman"/>
          <w:color w:val="000000" w:themeColor="text1"/>
        </w:rPr>
        <w:t xml:space="preserve"> </w:t>
      </w:r>
      <w:proofErr w:type="spellStart"/>
      <w:r w:rsidR="00625AC3" w:rsidRPr="00705170">
        <w:rPr>
          <w:rFonts w:ascii="Times New Roman" w:hAnsi="Times New Roman" w:cs="Times New Roman"/>
          <w:color w:val="000000" w:themeColor="text1"/>
        </w:rPr>
        <w:t>resolutions</w:t>
      </w:r>
      <w:proofErr w:type="spellEnd"/>
      <w:r w:rsidR="00625AC3" w:rsidRPr="00705170">
        <w:rPr>
          <w:rFonts w:ascii="Times New Roman" w:hAnsi="Times New Roman" w:cs="Times New Roman"/>
          <w:color w:val="000000" w:themeColor="text1"/>
        </w:rPr>
        <w:t xml:space="preserve"> </w:t>
      </w:r>
      <w:proofErr w:type="spellStart"/>
      <w:r w:rsidR="00625AC3" w:rsidRPr="00705170">
        <w:rPr>
          <w:rFonts w:ascii="Times New Roman" w:hAnsi="Times New Roman" w:cs="Times New Roman"/>
          <w:color w:val="000000" w:themeColor="text1"/>
        </w:rPr>
        <w:t>rejecting</w:t>
      </w:r>
      <w:proofErr w:type="spellEnd"/>
      <w:r w:rsidR="00625AC3" w:rsidRPr="00705170">
        <w:rPr>
          <w:rFonts w:ascii="Times New Roman" w:hAnsi="Times New Roman" w:cs="Times New Roman"/>
          <w:color w:val="000000" w:themeColor="text1"/>
        </w:rPr>
        <w:t xml:space="preserve"> </w:t>
      </w:r>
      <w:proofErr w:type="spellStart"/>
      <w:r w:rsidR="00625AC3" w:rsidRPr="00705170">
        <w:rPr>
          <w:rFonts w:ascii="Times New Roman" w:hAnsi="Times New Roman" w:cs="Times New Roman"/>
          <w:color w:val="000000" w:themeColor="text1"/>
        </w:rPr>
        <w:t>to</w:t>
      </w:r>
      <w:proofErr w:type="spellEnd"/>
      <w:r w:rsidR="00625AC3" w:rsidRPr="00705170">
        <w:rPr>
          <w:rFonts w:ascii="Times New Roman" w:hAnsi="Times New Roman" w:cs="Times New Roman"/>
          <w:color w:val="000000" w:themeColor="text1"/>
        </w:rPr>
        <w:t xml:space="preserve"> </w:t>
      </w:r>
      <w:proofErr w:type="spellStart"/>
      <w:r w:rsidR="0061359E" w:rsidRPr="00705170">
        <w:rPr>
          <w:rFonts w:ascii="Times New Roman" w:hAnsi="Times New Roman" w:cs="Times New Roman"/>
          <w:color w:val="000000" w:themeColor="text1"/>
        </w:rPr>
        <w:t>declare</w:t>
      </w:r>
      <w:proofErr w:type="spellEnd"/>
      <w:r w:rsidR="0061359E" w:rsidRPr="00705170">
        <w:rPr>
          <w:rFonts w:ascii="Times New Roman" w:hAnsi="Times New Roman" w:cs="Times New Roman"/>
          <w:color w:val="000000" w:themeColor="text1"/>
        </w:rPr>
        <w:t xml:space="preserve"> </w:t>
      </w:r>
      <w:proofErr w:type="spellStart"/>
      <w:r w:rsidR="0061359E" w:rsidRPr="00705170">
        <w:rPr>
          <w:rFonts w:ascii="Times New Roman" w:hAnsi="Times New Roman" w:cs="Times New Roman"/>
          <w:color w:val="000000" w:themeColor="text1"/>
        </w:rPr>
        <w:t>dividends</w:t>
      </w:r>
      <w:proofErr w:type="spellEnd"/>
      <w:r w:rsidR="0061359E" w:rsidRPr="00705170">
        <w:rPr>
          <w:rFonts w:ascii="Times New Roman" w:hAnsi="Times New Roman" w:cs="Times New Roman"/>
          <w:color w:val="000000" w:themeColor="text1"/>
        </w:rPr>
        <w:t xml:space="preserve"> </w:t>
      </w:r>
      <w:proofErr w:type="spellStart"/>
      <w:r w:rsidR="0061359E" w:rsidRPr="00705170">
        <w:rPr>
          <w:rFonts w:ascii="Times New Roman" w:hAnsi="Times New Roman" w:cs="Times New Roman"/>
          <w:color w:val="000000" w:themeColor="text1"/>
        </w:rPr>
        <w:t>while</w:t>
      </w:r>
      <w:proofErr w:type="spellEnd"/>
      <w:r w:rsidR="0061359E" w:rsidRPr="00705170">
        <w:rPr>
          <w:rFonts w:ascii="Times New Roman" w:hAnsi="Times New Roman" w:cs="Times New Roman"/>
          <w:color w:val="000000" w:themeColor="text1"/>
        </w:rPr>
        <w:t xml:space="preserve"> it is </w:t>
      </w:r>
      <w:proofErr w:type="spellStart"/>
      <w:r w:rsidR="0061359E" w:rsidRPr="00705170">
        <w:rPr>
          <w:rFonts w:ascii="Times New Roman" w:hAnsi="Times New Roman" w:cs="Times New Roman"/>
          <w:color w:val="000000" w:themeColor="text1"/>
        </w:rPr>
        <w:t>financial</w:t>
      </w:r>
      <w:proofErr w:type="spellEnd"/>
      <w:r w:rsidR="0061359E" w:rsidRPr="00705170">
        <w:rPr>
          <w:rFonts w:ascii="Times New Roman" w:hAnsi="Times New Roman" w:cs="Times New Roman"/>
          <w:color w:val="000000" w:themeColor="text1"/>
        </w:rPr>
        <w:t xml:space="preserve"> </w:t>
      </w:r>
      <w:proofErr w:type="spellStart"/>
      <w:r w:rsidR="0061359E" w:rsidRPr="00705170">
        <w:rPr>
          <w:rFonts w:ascii="Times New Roman" w:hAnsi="Times New Roman" w:cs="Times New Roman"/>
          <w:color w:val="000000" w:themeColor="text1"/>
        </w:rPr>
        <w:t>reasonable</w:t>
      </w:r>
      <w:proofErr w:type="spellEnd"/>
      <w:r w:rsidR="0061359E" w:rsidRPr="00705170">
        <w:rPr>
          <w:rFonts w:ascii="Times New Roman" w:hAnsi="Times New Roman" w:cs="Times New Roman"/>
          <w:color w:val="000000" w:themeColor="text1"/>
        </w:rPr>
        <w:t xml:space="preserve"> </w:t>
      </w:r>
      <w:proofErr w:type="spellStart"/>
      <w:r w:rsidR="0061359E" w:rsidRPr="00705170">
        <w:rPr>
          <w:rFonts w:ascii="Times New Roman" w:hAnsi="Times New Roman" w:cs="Times New Roman"/>
          <w:color w:val="000000" w:themeColor="text1"/>
        </w:rPr>
        <w:t>to</w:t>
      </w:r>
      <w:proofErr w:type="spellEnd"/>
      <w:r w:rsidR="0061359E" w:rsidRPr="00705170">
        <w:rPr>
          <w:rFonts w:ascii="Times New Roman" w:hAnsi="Times New Roman" w:cs="Times New Roman"/>
          <w:color w:val="000000" w:themeColor="text1"/>
        </w:rPr>
        <w:t xml:space="preserve"> do </w:t>
      </w:r>
      <w:proofErr w:type="spellStart"/>
      <w:r w:rsidR="0061359E" w:rsidRPr="00705170">
        <w:rPr>
          <w:rFonts w:ascii="Times New Roman" w:hAnsi="Times New Roman" w:cs="Times New Roman"/>
          <w:color w:val="000000" w:themeColor="text1"/>
        </w:rPr>
        <w:t>so</w:t>
      </w:r>
      <w:proofErr w:type="spellEnd"/>
      <w:r w:rsidR="0061359E" w:rsidRPr="00705170">
        <w:rPr>
          <w:rFonts w:ascii="Times New Roman" w:hAnsi="Times New Roman" w:cs="Times New Roman"/>
          <w:color w:val="000000" w:themeColor="text1"/>
        </w:rPr>
        <w:t xml:space="preserve"> </w:t>
      </w:r>
      <w:proofErr w:type="spellStart"/>
      <w:r w:rsidR="0061359E" w:rsidRPr="00705170">
        <w:rPr>
          <w:rFonts w:ascii="Times New Roman" w:hAnsi="Times New Roman" w:cs="Times New Roman"/>
          <w:color w:val="000000" w:themeColor="text1"/>
        </w:rPr>
        <w:t>might</w:t>
      </w:r>
      <w:proofErr w:type="spellEnd"/>
      <w:r w:rsidR="0061359E" w:rsidRPr="00705170">
        <w:rPr>
          <w:rFonts w:ascii="Times New Roman" w:hAnsi="Times New Roman" w:cs="Times New Roman"/>
          <w:color w:val="000000" w:themeColor="text1"/>
        </w:rPr>
        <w:t xml:space="preserve"> </w:t>
      </w:r>
      <w:proofErr w:type="spellStart"/>
      <w:r w:rsidR="0061359E" w:rsidRPr="00705170">
        <w:rPr>
          <w:rFonts w:ascii="Times New Roman" w:hAnsi="Times New Roman" w:cs="Times New Roman"/>
          <w:color w:val="000000" w:themeColor="text1"/>
        </w:rPr>
        <w:t>violate</w:t>
      </w:r>
      <w:proofErr w:type="spellEnd"/>
      <w:r w:rsidR="00625AC3" w:rsidRPr="00705170">
        <w:rPr>
          <w:rFonts w:ascii="Times New Roman" w:hAnsi="Times New Roman" w:cs="Times New Roman"/>
          <w:color w:val="000000" w:themeColor="text1"/>
        </w:rPr>
        <w:t xml:space="preserve"> </w:t>
      </w:r>
      <w:proofErr w:type="spellStart"/>
      <w:r w:rsidR="00625AC3" w:rsidRPr="00705170">
        <w:rPr>
          <w:rFonts w:ascii="Times New Roman" w:hAnsi="Times New Roman" w:cs="Times New Roman"/>
          <w:color w:val="000000" w:themeColor="text1"/>
        </w:rPr>
        <w:t>the</w:t>
      </w:r>
      <w:proofErr w:type="spellEnd"/>
      <w:r w:rsidR="00625AC3" w:rsidRPr="00705170">
        <w:rPr>
          <w:rFonts w:ascii="Times New Roman" w:hAnsi="Times New Roman" w:cs="Times New Roman"/>
          <w:color w:val="000000" w:themeColor="text1"/>
        </w:rPr>
        <w:t xml:space="preserve"> </w:t>
      </w:r>
      <w:proofErr w:type="spellStart"/>
      <w:r w:rsidR="00625AC3" w:rsidRPr="00705170">
        <w:rPr>
          <w:rFonts w:ascii="Times New Roman" w:hAnsi="Times New Roman" w:cs="Times New Roman"/>
          <w:color w:val="000000" w:themeColor="text1"/>
        </w:rPr>
        <w:t>fundamental</w:t>
      </w:r>
      <w:proofErr w:type="spellEnd"/>
      <w:r w:rsidR="00625AC3" w:rsidRPr="00705170">
        <w:rPr>
          <w:rFonts w:ascii="Times New Roman" w:hAnsi="Times New Roman" w:cs="Times New Roman"/>
          <w:color w:val="000000" w:themeColor="text1"/>
        </w:rPr>
        <w:t xml:space="preserve"> </w:t>
      </w:r>
      <w:proofErr w:type="spellStart"/>
      <w:r w:rsidR="00625AC3" w:rsidRPr="00705170">
        <w:rPr>
          <w:rFonts w:ascii="Times New Roman" w:hAnsi="Times New Roman" w:cs="Times New Roman"/>
          <w:color w:val="000000" w:themeColor="text1"/>
        </w:rPr>
        <w:t>structure</w:t>
      </w:r>
      <w:proofErr w:type="spellEnd"/>
      <w:r w:rsidR="00625AC3" w:rsidRPr="00705170">
        <w:rPr>
          <w:rFonts w:ascii="Times New Roman" w:hAnsi="Times New Roman" w:cs="Times New Roman"/>
          <w:color w:val="000000" w:themeColor="text1"/>
        </w:rPr>
        <w:t xml:space="preserve"> of </w:t>
      </w:r>
      <w:proofErr w:type="spellStart"/>
      <w:r w:rsidR="00625AC3" w:rsidRPr="00705170">
        <w:rPr>
          <w:rFonts w:ascii="Times New Roman" w:hAnsi="Times New Roman" w:cs="Times New Roman"/>
          <w:color w:val="000000" w:themeColor="text1"/>
        </w:rPr>
        <w:t>the</w:t>
      </w:r>
      <w:proofErr w:type="spellEnd"/>
      <w:r w:rsidR="00625AC3" w:rsidRPr="00705170">
        <w:rPr>
          <w:rFonts w:ascii="Times New Roman" w:hAnsi="Times New Roman" w:cs="Times New Roman"/>
          <w:color w:val="000000" w:themeColor="text1"/>
        </w:rPr>
        <w:t xml:space="preserve"> </w:t>
      </w:r>
      <w:proofErr w:type="spellStart"/>
      <w:r w:rsidR="004437EC" w:rsidRPr="00705170">
        <w:rPr>
          <w:rFonts w:ascii="Times New Roman" w:hAnsi="Times New Roman" w:cs="Times New Roman"/>
          <w:color w:val="000000" w:themeColor="text1"/>
        </w:rPr>
        <w:t>corporation</w:t>
      </w:r>
      <w:proofErr w:type="spellEnd"/>
      <w:r w:rsidR="004437EC" w:rsidRPr="00705170">
        <w:rPr>
          <w:rFonts w:ascii="Times New Roman" w:hAnsi="Times New Roman" w:cs="Times New Roman"/>
          <w:color w:val="000000" w:themeColor="text1"/>
        </w:rPr>
        <w:t>,</w:t>
      </w:r>
      <w:r w:rsidR="0061359E" w:rsidRPr="00705170">
        <w:rPr>
          <w:rFonts w:ascii="Times New Roman" w:hAnsi="Times New Roman" w:cs="Times New Roman"/>
          <w:color w:val="000000" w:themeColor="text1"/>
        </w:rPr>
        <w:t xml:space="preserve"> </w:t>
      </w:r>
      <w:proofErr w:type="spellStart"/>
      <w:r w:rsidR="0061359E" w:rsidRPr="00705170">
        <w:rPr>
          <w:rFonts w:ascii="Times New Roman" w:hAnsi="Times New Roman" w:cs="Times New Roman"/>
          <w:color w:val="000000" w:themeColor="text1"/>
        </w:rPr>
        <w:t>so</w:t>
      </w:r>
      <w:proofErr w:type="spellEnd"/>
      <w:r w:rsidR="0061359E" w:rsidRPr="00705170">
        <w:rPr>
          <w:rFonts w:ascii="Times New Roman" w:hAnsi="Times New Roman" w:cs="Times New Roman"/>
          <w:color w:val="000000" w:themeColor="text1"/>
        </w:rPr>
        <w:t xml:space="preserve"> be </w:t>
      </w:r>
      <w:proofErr w:type="spellStart"/>
      <w:r w:rsidR="0061359E" w:rsidRPr="00705170">
        <w:rPr>
          <w:rFonts w:ascii="Times New Roman" w:hAnsi="Times New Roman" w:cs="Times New Roman"/>
          <w:color w:val="000000" w:themeColor="text1"/>
        </w:rPr>
        <w:t>void</w:t>
      </w:r>
      <w:proofErr w:type="spellEnd"/>
      <w:r w:rsidR="0061359E" w:rsidRPr="00705170">
        <w:rPr>
          <w:rFonts w:ascii="Times New Roman" w:hAnsi="Times New Roman" w:cs="Times New Roman"/>
          <w:color w:val="000000" w:themeColor="text1"/>
        </w:rPr>
        <w:t xml:space="preserve"> </w:t>
      </w:r>
      <w:proofErr w:type="spellStart"/>
      <w:r w:rsidR="0061359E" w:rsidRPr="00705170">
        <w:rPr>
          <w:rFonts w:ascii="Times New Roman" w:hAnsi="Times New Roman" w:cs="Times New Roman"/>
          <w:color w:val="000000" w:themeColor="text1"/>
        </w:rPr>
        <w:t>under</w:t>
      </w:r>
      <w:proofErr w:type="spellEnd"/>
      <w:r w:rsidR="0061359E" w:rsidRPr="00705170">
        <w:rPr>
          <w:rFonts w:ascii="Times New Roman" w:hAnsi="Times New Roman" w:cs="Times New Roman"/>
          <w:color w:val="000000" w:themeColor="text1"/>
        </w:rPr>
        <w:t xml:space="preserve"> TCC </w:t>
      </w:r>
      <w:proofErr w:type="spellStart"/>
      <w:r w:rsidR="0061359E" w:rsidRPr="00705170">
        <w:rPr>
          <w:rFonts w:ascii="Times New Roman" w:hAnsi="Times New Roman" w:cs="Times New Roman"/>
          <w:color w:val="000000" w:themeColor="text1"/>
        </w:rPr>
        <w:t>Article</w:t>
      </w:r>
      <w:proofErr w:type="spellEnd"/>
      <w:r w:rsidR="0061359E" w:rsidRPr="00705170">
        <w:rPr>
          <w:rFonts w:ascii="Times New Roman" w:hAnsi="Times New Roman" w:cs="Times New Roman"/>
          <w:color w:val="000000" w:themeColor="text1"/>
        </w:rPr>
        <w:t xml:space="preserve"> 447(1)(c)</w:t>
      </w:r>
      <w:r w:rsidR="00A23441" w:rsidRPr="00705170">
        <w:rPr>
          <w:rStyle w:val="DipnotBavurusu"/>
          <w:rFonts w:ascii="Times New Roman" w:hAnsi="Times New Roman" w:cs="Times New Roman"/>
          <w:color w:val="000000" w:themeColor="text1"/>
        </w:rPr>
        <w:footnoteReference w:id="445"/>
      </w:r>
      <w:r w:rsidR="00A23441"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addition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00393383" w:rsidRPr="00705170">
        <w:rPr>
          <w:rFonts w:ascii="Times New Roman" w:hAnsi="Times New Roman" w:cs="Times New Roman"/>
        </w:rPr>
        <w:t xml:space="preserve">, </w:t>
      </w:r>
      <w:proofErr w:type="spellStart"/>
      <w:r w:rsidR="00393383" w:rsidRPr="00705170">
        <w:rPr>
          <w:rFonts w:ascii="Times New Roman" w:hAnsi="Times New Roman" w:cs="Times New Roman"/>
        </w:rPr>
        <w:t>the</w:t>
      </w:r>
      <w:proofErr w:type="spellEnd"/>
      <w:r w:rsidR="00393383" w:rsidRPr="00705170">
        <w:rPr>
          <w:rFonts w:ascii="Times New Roman" w:hAnsi="Times New Roman" w:cs="Times New Roman"/>
        </w:rPr>
        <w:t xml:space="preserve"> </w:t>
      </w:r>
      <w:proofErr w:type="spellStart"/>
      <w:r w:rsidR="00393383" w:rsidRPr="00705170">
        <w:rPr>
          <w:rFonts w:ascii="Times New Roman" w:hAnsi="Times New Roman" w:cs="Times New Roman"/>
        </w:rPr>
        <w:t>statute</w:t>
      </w:r>
      <w:proofErr w:type="spellEnd"/>
      <w:r w:rsidR="00393383" w:rsidRPr="00705170">
        <w:rPr>
          <w:rFonts w:ascii="Times New Roman" w:hAnsi="Times New Roman" w:cs="Times New Roman"/>
        </w:rPr>
        <w:t xml:space="preserve"> </w:t>
      </w:r>
      <w:proofErr w:type="spellStart"/>
      <w:r w:rsidR="00393383" w:rsidRPr="00705170">
        <w:rPr>
          <w:rFonts w:ascii="Times New Roman" w:hAnsi="Times New Roman" w:cs="Times New Roman"/>
        </w:rPr>
        <w:t>provides</w:t>
      </w:r>
      <w:proofErr w:type="spellEnd"/>
      <w:r w:rsidR="00393383" w:rsidRPr="00705170">
        <w:rPr>
          <w:rFonts w:ascii="Times New Roman" w:hAnsi="Times New Roman" w:cs="Times New Roman"/>
        </w:rPr>
        <w:t xml:space="preserve"> </w:t>
      </w:r>
      <w:proofErr w:type="spellStart"/>
      <w:r w:rsidR="00393383" w:rsidRPr="00705170">
        <w:rPr>
          <w:rFonts w:ascii="Times New Roman" w:hAnsi="Times New Roman" w:cs="Times New Roman"/>
        </w:rPr>
        <w:t>that</w:t>
      </w:r>
      <w:proofErr w:type="spellEnd"/>
      <w:r w:rsidR="00393383" w:rsidRPr="00705170">
        <w:rPr>
          <w:rFonts w:ascii="Times New Roman" w:hAnsi="Times New Roman" w:cs="Times New Roman"/>
        </w:rPr>
        <w:t xml:space="preserve"> a </w:t>
      </w:r>
      <w:proofErr w:type="spellStart"/>
      <w:r w:rsidR="00393383" w:rsidRPr="00705170">
        <w:rPr>
          <w:rFonts w:ascii="Times New Roman" w:hAnsi="Times New Roman" w:cs="Times New Roman"/>
        </w:rPr>
        <w:t>petititon</w:t>
      </w:r>
      <w:proofErr w:type="spellEnd"/>
      <w:r w:rsidR="00393383" w:rsidRPr="00705170">
        <w:rPr>
          <w:rFonts w:ascii="Times New Roman" w:hAnsi="Times New Roman" w:cs="Times New Roman"/>
        </w:rPr>
        <w:t xml:space="preserve"> can be </w:t>
      </w:r>
      <w:proofErr w:type="spellStart"/>
      <w:r w:rsidR="00393383" w:rsidRPr="00705170">
        <w:rPr>
          <w:rFonts w:ascii="Times New Roman" w:hAnsi="Times New Roman" w:cs="Times New Roman"/>
        </w:rPr>
        <w:t>filed</w:t>
      </w:r>
      <w:proofErr w:type="spellEnd"/>
      <w:r w:rsidR="00393383" w:rsidRPr="00705170">
        <w:rPr>
          <w:rFonts w:ascii="Times New Roman" w:hAnsi="Times New Roman" w:cs="Times New Roman"/>
        </w:rPr>
        <w:t xml:space="preserve"> </w:t>
      </w:r>
      <w:proofErr w:type="spellStart"/>
      <w:r w:rsidR="00393383" w:rsidRPr="00705170">
        <w:rPr>
          <w:rFonts w:ascii="Times New Roman" w:hAnsi="Times New Roman" w:cs="Times New Roman"/>
        </w:rPr>
        <w:t>to</w:t>
      </w:r>
      <w:proofErr w:type="spellEnd"/>
      <w:r w:rsidR="00393383" w:rsidRPr="00705170">
        <w:rPr>
          <w:rFonts w:ascii="Times New Roman" w:hAnsi="Times New Roman" w:cs="Times New Roman"/>
        </w:rPr>
        <w:t xml:space="preserve"> </w:t>
      </w:r>
      <w:proofErr w:type="spellStart"/>
      <w:r w:rsidR="00393383" w:rsidRPr="00705170">
        <w:rPr>
          <w:rFonts w:ascii="Times New Roman" w:hAnsi="Times New Roman" w:cs="Times New Roman"/>
        </w:rPr>
        <w:t>the</w:t>
      </w:r>
      <w:proofErr w:type="spellEnd"/>
      <w:r w:rsidR="00393383" w:rsidRPr="00705170">
        <w:rPr>
          <w:rFonts w:ascii="Times New Roman" w:hAnsi="Times New Roman" w:cs="Times New Roman"/>
        </w:rPr>
        <w:t xml:space="preserve"> </w:t>
      </w:r>
      <w:proofErr w:type="spellStart"/>
      <w:r w:rsidR="00393383" w:rsidRPr="00705170">
        <w:rPr>
          <w:rFonts w:ascii="Times New Roman" w:hAnsi="Times New Roman" w:cs="Times New Roman"/>
        </w:rPr>
        <w:t>court</w:t>
      </w:r>
      <w:proofErr w:type="spellEnd"/>
      <w:r w:rsidR="00393383" w:rsidRPr="00705170">
        <w:rPr>
          <w:rFonts w:ascii="Times New Roman" w:hAnsi="Times New Roman" w:cs="Times New Roman"/>
        </w:rPr>
        <w:t xml:space="preserve"> </w:t>
      </w:r>
      <w:proofErr w:type="spellStart"/>
      <w:r w:rsidR="00393383" w:rsidRPr="00705170">
        <w:rPr>
          <w:rFonts w:ascii="Times New Roman" w:hAnsi="Times New Roman" w:cs="Times New Roman"/>
        </w:rPr>
        <w:t>for</w:t>
      </w:r>
      <w:proofErr w:type="spellEnd"/>
      <w:r w:rsidR="00393383" w:rsidRPr="00705170">
        <w:rPr>
          <w:rFonts w:ascii="Times New Roman" w:hAnsi="Times New Roman" w:cs="Times New Roman"/>
        </w:rPr>
        <w:t xml:space="preserve"> </w:t>
      </w:r>
      <w:proofErr w:type="spellStart"/>
      <w:r w:rsidR="00393383" w:rsidRPr="00705170">
        <w:rPr>
          <w:rFonts w:ascii="Times New Roman" w:hAnsi="Times New Roman" w:cs="Times New Roman"/>
        </w:rPr>
        <w:t>the</w:t>
      </w:r>
      <w:proofErr w:type="spellEnd"/>
      <w:r w:rsidR="00393383" w:rsidRPr="00705170">
        <w:rPr>
          <w:rFonts w:ascii="Times New Roman" w:hAnsi="Times New Roman" w:cs="Times New Roman"/>
        </w:rPr>
        <w:t xml:space="preserve"> </w:t>
      </w:r>
      <w:proofErr w:type="spellStart"/>
      <w:r w:rsidR="009F097D" w:rsidRPr="00705170">
        <w:rPr>
          <w:rFonts w:ascii="Times New Roman" w:hAnsi="Times New Roman" w:cs="Times New Roman"/>
        </w:rPr>
        <w:t>determination</w:t>
      </w:r>
      <w:proofErr w:type="spellEnd"/>
      <w:r w:rsidR="009F097D" w:rsidRPr="00705170">
        <w:rPr>
          <w:rFonts w:ascii="Times New Roman" w:hAnsi="Times New Roman" w:cs="Times New Roman"/>
        </w:rPr>
        <w:t xml:space="preserve"> </w:t>
      </w:r>
      <w:proofErr w:type="spellStart"/>
      <w:r w:rsidR="009F097D" w:rsidRPr="00705170">
        <w:rPr>
          <w:rFonts w:ascii="Times New Roman" w:hAnsi="Times New Roman" w:cs="Times New Roman"/>
        </w:rPr>
        <w:t>that</w:t>
      </w:r>
      <w:proofErr w:type="spellEnd"/>
      <w:r w:rsidR="009F097D" w:rsidRPr="00705170">
        <w:rPr>
          <w:rFonts w:ascii="Times New Roman" w:hAnsi="Times New Roman" w:cs="Times New Roman"/>
        </w:rPr>
        <w:t xml:space="preserve"> </w:t>
      </w:r>
      <w:proofErr w:type="spellStart"/>
      <w:r w:rsidR="009F097D" w:rsidRPr="00705170">
        <w:rPr>
          <w:rFonts w:ascii="Times New Roman" w:hAnsi="Times New Roman" w:cs="Times New Roman"/>
        </w:rPr>
        <w:t>the</w:t>
      </w:r>
      <w:proofErr w:type="spellEnd"/>
      <w:r w:rsidR="009F097D" w:rsidRPr="00705170">
        <w:rPr>
          <w:rFonts w:ascii="Times New Roman" w:hAnsi="Times New Roman" w:cs="Times New Roman"/>
        </w:rPr>
        <w:t xml:space="preserve"> board </w:t>
      </w:r>
      <w:proofErr w:type="spellStart"/>
      <w:r w:rsidR="009F097D" w:rsidRPr="00705170">
        <w:rPr>
          <w:rFonts w:ascii="Times New Roman" w:hAnsi="Times New Roman" w:cs="Times New Roman"/>
        </w:rPr>
        <w:t>resolution</w:t>
      </w:r>
      <w:proofErr w:type="spellEnd"/>
      <w:r w:rsidR="00393383" w:rsidRPr="00705170">
        <w:rPr>
          <w:rFonts w:ascii="Times New Roman" w:hAnsi="Times New Roman" w:cs="Times New Roman"/>
        </w:rPr>
        <w:t xml:space="preserve"> </w:t>
      </w:r>
      <w:proofErr w:type="spellStart"/>
      <w:r w:rsidR="00393383" w:rsidRPr="00705170">
        <w:rPr>
          <w:rFonts w:ascii="Times New Roman" w:hAnsi="Times New Roman" w:cs="Times New Roman"/>
        </w:rPr>
        <w:t>that</w:t>
      </w:r>
      <w:proofErr w:type="spellEnd"/>
      <w:r w:rsidR="00785340" w:rsidRPr="00705170">
        <w:rPr>
          <w:rFonts w:ascii="Times New Roman" w:hAnsi="Times New Roman" w:cs="Times New Roman"/>
        </w:rPr>
        <w:t xml:space="preserve"> </w:t>
      </w:r>
      <w:proofErr w:type="spellStart"/>
      <w:r w:rsidR="00DF2F73" w:rsidRPr="00705170">
        <w:rPr>
          <w:rFonts w:ascii="Times New Roman" w:hAnsi="Times New Roman" w:cs="Times New Roman"/>
        </w:rPr>
        <w:t>contravenes</w:t>
      </w:r>
      <w:proofErr w:type="spellEnd"/>
      <w:r w:rsidR="00DF2F73" w:rsidRPr="00705170">
        <w:rPr>
          <w:rFonts w:ascii="Times New Roman" w:hAnsi="Times New Roman" w:cs="Times New Roman"/>
        </w:rPr>
        <w:t xml:space="preserve"> </w:t>
      </w:r>
      <w:proofErr w:type="spellStart"/>
      <w:r w:rsidR="00DF2F73" w:rsidRPr="00705170">
        <w:rPr>
          <w:rFonts w:ascii="Times New Roman" w:hAnsi="Times New Roman" w:cs="Times New Roman"/>
        </w:rPr>
        <w:t>with</w:t>
      </w:r>
      <w:proofErr w:type="spellEnd"/>
      <w:r w:rsidR="00785340" w:rsidRPr="00705170">
        <w:rPr>
          <w:rFonts w:ascii="Times New Roman" w:hAnsi="Times New Roman" w:cs="Times New Roman"/>
        </w:rPr>
        <w:t xml:space="preserve"> </w:t>
      </w:r>
      <w:proofErr w:type="spellStart"/>
      <w:r w:rsidR="00DF2F73" w:rsidRPr="00705170">
        <w:rPr>
          <w:rFonts w:ascii="Times New Roman" w:hAnsi="Times New Roman" w:cs="Times New Roman"/>
        </w:rPr>
        <w:t>the</w:t>
      </w:r>
      <w:proofErr w:type="spellEnd"/>
      <w:r w:rsidR="00DF2F73" w:rsidRPr="00705170">
        <w:rPr>
          <w:rFonts w:ascii="Times New Roman" w:hAnsi="Times New Roman" w:cs="Times New Roman"/>
        </w:rPr>
        <w:t xml:space="preserve"> </w:t>
      </w:r>
      <w:proofErr w:type="spellStart"/>
      <w:r w:rsidR="00DF2F73" w:rsidRPr="00705170">
        <w:rPr>
          <w:rFonts w:ascii="Times New Roman" w:hAnsi="Times New Roman" w:cs="Times New Roman"/>
        </w:rPr>
        <w:t>fundamental</w:t>
      </w:r>
      <w:proofErr w:type="spellEnd"/>
      <w:r w:rsidR="00DF2F73" w:rsidRPr="00705170">
        <w:rPr>
          <w:rFonts w:ascii="Times New Roman" w:hAnsi="Times New Roman" w:cs="Times New Roman"/>
        </w:rPr>
        <w:t xml:space="preserve"> </w:t>
      </w:r>
      <w:proofErr w:type="spellStart"/>
      <w:r w:rsidR="00DF2F73" w:rsidRPr="00705170">
        <w:rPr>
          <w:rFonts w:ascii="Times New Roman" w:hAnsi="Times New Roman" w:cs="Times New Roman"/>
        </w:rPr>
        <w:t>structure</w:t>
      </w:r>
      <w:proofErr w:type="spellEnd"/>
      <w:r w:rsidR="00DF2F73" w:rsidRPr="00705170">
        <w:rPr>
          <w:rFonts w:ascii="Times New Roman" w:hAnsi="Times New Roman" w:cs="Times New Roman"/>
        </w:rPr>
        <w:t xml:space="preserve"> of </w:t>
      </w:r>
      <w:proofErr w:type="spellStart"/>
      <w:r w:rsidR="00DF2F73" w:rsidRPr="00705170">
        <w:rPr>
          <w:rFonts w:ascii="Times New Roman" w:hAnsi="Times New Roman" w:cs="Times New Roman"/>
        </w:rPr>
        <w:t>the</w:t>
      </w:r>
      <w:proofErr w:type="spellEnd"/>
      <w:r w:rsidR="00DF2F73" w:rsidRPr="00705170">
        <w:rPr>
          <w:rFonts w:ascii="Times New Roman" w:hAnsi="Times New Roman" w:cs="Times New Roman"/>
        </w:rPr>
        <w:t xml:space="preserve"> </w:t>
      </w:r>
      <w:proofErr w:type="spellStart"/>
      <w:r w:rsidR="00DF2F73" w:rsidRPr="00705170">
        <w:rPr>
          <w:rFonts w:ascii="Times New Roman" w:hAnsi="Times New Roman" w:cs="Times New Roman"/>
        </w:rPr>
        <w:t>corporation</w:t>
      </w:r>
      <w:proofErr w:type="spellEnd"/>
      <w:r w:rsidR="00DF2F73" w:rsidRPr="00705170">
        <w:rPr>
          <w:rFonts w:ascii="Times New Roman" w:hAnsi="Times New Roman" w:cs="Times New Roman"/>
        </w:rPr>
        <w:t xml:space="preserve"> </w:t>
      </w:r>
      <w:proofErr w:type="spellStart"/>
      <w:r w:rsidR="00DF2F73" w:rsidRPr="00705170">
        <w:rPr>
          <w:rFonts w:ascii="Times New Roman" w:hAnsi="Times New Roman" w:cs="Times New Roman"/>
        </w:rPr>
        <w:t>or</w:t>
      </w:r>
      <w:proofErr w:type="spellEnd"/>
      <w:r w:rsidR="00DF2F73" w:rsidRPr="00705170">
        <w:rPr>
          <w:rFonts w:ascii="Times New Roman" w:hAnsi="Times New Roman" w:cs="Times New Roman"/>
        </w:rPr>
        <w:t xml:space="preserve"> </w:t>
      </w:r>
      <w:proofErr w:type="spellStart"/>
      <w:r w:rsidR="00DF2F73" w:rsidRPr="00705170">
        <w:rPr>
          <w:rFonts w:ascii="Times New Roman" w:hAnsi="Times New Roman" w:cs="Times New Roman"/>
        </w:rPr>
        <w:t>capital</w:t>
      </w:r>
      <w:proofErr w:type="spellEnd"/>
      <w:r w:rsidR="00DF2F73" w:rsidRPr="00705170">
        <w:rPr>
          <w:rFonts w:ascii="Times New Roman" w:hAnsi="Times New Roman" w:cs="Times New Roman"/>
        </w:rPr>
        <w:t xml:space="preserve"> </w:t>
      </w:r>
      <w:proofErr w:type="spellStart"/>
      <w:r w:rsidR="00DF2F73" w:rsidRPr="00705170">
        <w:rPr>
          <w:rFonts w:ascii="Times New Roman" w:hAnsi="Times New Roman" w:cs="Times New Roman"/>
        </w:rPr>
        <w:t>maintanence</w:t>
      </w:r>
      <w:proofErr w:type="spellEnd"/>
      <w:r w:rsidR="00DF2F73" w:rsidRPr="00705170">
        <w:rPr>
          <w:rFonts w:ascii="Times New Roman" w:hAnsi="Times New Roman" w:cs="Times New Roman"/>
        </w:rPr>
        <w:t xml:space="preserve"> </w:t>
      </w:r>
      <w:proofErr w:type="spellStart"/>
      <w:r w:rsidR="00DF2F73" w:rsidRPr="00705170">
        <w:rPr>
          <w:rFonts w:ascii="Times New Roman" w:hAnsi="Times New Roman" w:cs="Times New Roman"/>
        </w:rPr>
        <w:t>principle</w:t>
      </w:r>
      <w:proofErr w:type="spellEnd"/>
      <w:r w:rsidR="00DF2F73" w:rsidRPr="00705170">
        <w:rPr>
          <w:rFonts w:ascii="Times New Roman" w:hAnsi="Times New Roman" w:cs="Times New Roman"/>
        </w:rPr>
        <w:t xml:space="preserve">, </w:t>
      </w:r>
      <w:proofErr w:type="spellStart"/>
      <w:r w:rsidR="00DF2F73" w:rsidRPr="00705170">
        <w:rPr>
          <w:rFonts w:ascii="Times New Roman" w:hAnsi="Times New Roman" w:cs="Times New Roman"/>
        </w:rPr>
        <w:t>or</w:t>
      </w:r>
      <w:proofErr w:type="spellEnd"/>
      <w:r w:rsidR="00DF2F73" w:rsidRPr="00705170">
        <w:rPr>
          <w:rFonts w:ascii="Times New Roman" w:hAnsi="Times New Roman" w:cs="Times New Roman"/>
        </w:rPr>
        <w:t xml:space="preserve"> </w:t>
      </w:r>
      <w:proofErr w:type="spellStart"/>
      <w:r w:rsidR="00DF2F73" w:rsidRPr="00705170">
        <w:rPr>
          <w:rFonts w:ascii="Times New Roman" w:hAnsi="Times New Roman" w:cs="Times New Roman"/>
        </w:rPr>
        <w:t>violates</w:t>
      </w:r>
      <w:proofErr w:type="spellEnd"/>
      <w:r w:rsidR="00DF2F73" w:rsidRPr="00705170">
        <w:rPr>
          <w:rFonts w:ascii="Times New Roman" w:hAnsi="Times New Roman" w:cs="Times New Roman"/>
        </w:rPr>
        <w:t xml:space="preserve"> </w:t>
      </w:r>
      <w:proofErr w:type="spellStart"/>
      <w:r w:rsidR="00DF2F73" w:rsidRPr="00705170">
        <w:rPr>
          <w:rFonts w:ascii="Times New Roman" w:hAnsi="Times New Roman" w:cs="Times New Roman"/>
        </w:rPr>
        <w:t>or</w:t>
      </w:r>
      <w:proofErr w:type="spellEnd"/>
      <w:r w:rsidR="00DF2F73" w:rsidRPr="00705170">
        <w:rPr>
          <w:rFonts w:ascii="Times New Roman" w:hAnsi="Times New Roman" w:cs="Times New Roman"/>
        </w:rPr>
        <w:t xml:space="preserve"> </w:t>
      </w:r>
      <w:proofErr w:type="spellStart"/>
      <w:r w:rsidR="00DF2F73" w:rsidRPr="00705170">
        <w:rPr>
          <w:rFonts w:ascii="Times New Roman" w:hAnsi="Times New Roman" w:cs="Times New Roman"/>
        </w:rPr>
        <w:t>harms</w:t>
      </w:r>
      <w:proofErr w:type="spellEnd"/>
      <w:r w:rsidR="00DF2F73" w:rsidRPr="00705170">
        <w:rPr>
          <w:rFonts w:ascii="Times New Roman" w:hAnsi="Times New Roman" w:cs="Times New Roman"/>
        </w:rPr>
        <w:t xml:space="preserve"> </w:t>
      </w:r>
      <w:proofErr w:type="spellStart"/>
      <w:r w:rsidR="00623BC9" w:rsidRPr="00705170">
        <w:rPr>
          <w:rFonts w:ascii="Times New Roman" w:hAnsi="Times New Roman" w:cs="Times New Roman"/>
        </w:rPr>
        <w:t>especially</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the</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essential</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shareholder</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rights</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themselves</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or</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their</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exercise</w:t>
      </w:r>
      <w:proofErr w:type="spellEnd"/>
      <w:r w:rsidR="00623BC9" w:rsidRPr="00705170">
        <w:rPr>
          <w:rFonts w:ascii="Times New Roman" w:hAnsi="Times New Roman" w:cs="Times New Roman"/>
        </w:rPr>
        <w:t xml:space="preserve"> </w:t>
      </w:r>
      <w:r w:rsidR="00785340" w:rsidRPr="00705170">
        <w:rPr>
          <w:rFonts w:ascii="Times New Roman" w:hAnsi="Times New Roman" w:cs="Times New Roman"/>
        </w:rPr>
        <w:t xml:space="preserve">is </w:t>
      </w:r>
      <w:proofErr w:type="spellStart"/>
      <w:r w:rsidR="00785340" w:rsidRPr="00705170">
        <w:rPr>
          <w:rFonts w:ascii="Times New Roman" w:hAnsi="Times New Roman" w:cs="Times New Roman"/>
        </w:rPr>
        <w:t>viod</w:t>
      </w:r>
      <w:proofErr w:type="spellEnd"/>
      <w:r w:rsidR="00DF2F73" w:rsidRPr="00705170">
        <w:rPr>
          <w:rFonts w:ascii="Times New Roman" w:hAnsi="Times New Roman" w:cs="Times New Roman"/>
        </w:rPr>
        <w:t xml:space="preserve"> (TCC </w:t>
      </w:r>
      <w:proofErr w:type="spellStart"/>
      <w:r w:rsidR="00DF2F73" w:rsidRPr="00705170">
        <w:rPr>
          <w:rFonts w:ascii="Times New Roman" w:hAnsi="Times New Roman" w:cs="Times New Roman"/>
        </w:rPr>
        <w:t>Article</w:t>
      </w:r>
      <w:proofErr w:type="spellEnd"/>
      <w:r w:rsidR="00DF2F73" w:rsidRPr="00705170">
        <w:rPr>
          <w:rFonts w:ascii="Times New Roman" w:hAnsi="Times New Roman" w:cs="Times New Roman"/>
        </w:rPr>
        <w:t xml:space="preserve"> 391 (b), (c))</w:t>
      </w:r>
      <w:r w:rsidR="00785340" w:rsidRPr="00705170">
        <w:rPr>
          <w:rFonts w:ascii="Times New Roman" w:hAnsi="Times New Roman" w:cs="Times New Roman"/>
        </w:rPr>
        <w:t>.</w:t>
      </w:r>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Likewise</w:t>
      </w:r>
      <w:proofErr w:type="spellEnd"/>
      <w:r w:rsidR="00623BC9" w:rsidRPr="00705170">
        <w:rPr>
          <w:rFonts w:ascii="Times New Roman" w:hAnsi="Times New Roman" w:cs="Times New Roman"/>
        </w:rPr>
        <w:t xml:space="preserve">, a </w:t>
      </w:r>
      <w:proofErr w:type="spellStart"/>
      <w:r w:rsidR="00623BC9" w:rsidRPr="00705170">
        <w:rPr>
          <w:rFonts w:ascii="Times New Roman" w:hAnsi="Times New Roman" w:cs="Times New Roman"/>
        </w:rPr>
        <w:t>petition</w:t>
      </w:r>
      <w:proofErr w:type="spellEnd"/>
      <w:r w:rsidR="00623BC9" w:rsidRPr="00705170">
        <w:rPr>
          <w:rFonts w:ascii="Times New Roman" w:hAnsi="Times New Roman" w:cs="Times New Roman"/>
        </w:rPr>
        <w:t xml:space="preserve"> can be </w:t>
      </w:r>
      <w:proofErr w:type="spellStart"/>
      <w:r w:rsidR="00623BC9" w:rsidRPr="00705170">
        <w:rPr>
          <w:rFonts w:ascii="Times New Roman" w:hAnsi="Times New Roman" w:cs="Times New Roman"/>
        </w:rPr>
        <w:t>presented</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to</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the</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court</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for</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the</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annulment</w:t>
      </w:r>
      <w:proofErr w:type="spellEnd"/>
      <w:r w:rsidR="00DC646F" w:rsidRPr="00705170">
        <w:rPr>
          <w:rFonts w:ascii="Times New Roman" w:hAnsi="Times New Roman" w:cs="Times New Roman"/>
        </w:rPr>
        <w:t xml:space="preserve"> (</w:t>
      </w:r>
      <w:proofErr w:type="spellStart"/>
      <w:r w:rsidR="00DC646F" w:rsidRPr="00705170">
        <w:rPr>
          <w:rFonts w:ascii="Times New Roman" w:hAnsi="Times New Roman" w:cs="Times New Roman"/>
        </w:rPr>
        <w:t>i.e</w:t>
      </w:r>
      <w:proofErr w:type="spellEnd"/>
      <w:r w:rsidR="00DC646F" w:rsidRPr="00705170">
        <w:rPr>
          <w:rFonts w:ascii="Times New Roman" w:hAnsi="Times New Roman" w:cs="Times New Roman"/>
        </w:rPr>
        <w:t xml:space="preserve">., </w:t>
      </w:r>
      <w:proofErr w:type="spellStart"/>
      <w:r w:rsidR="00DC646F" w:rsidRPr="00705170">
        <w:rPr>
          <w:rFonts w:ascii="Times New Roman" w:hAnsi="Times New Roman" w:cs="Times New Roman"/>
        </w:rPr>
        <w:t>rescission</w:t>
      </w:r>
      <w:proofErr w:type="spellEnd"/>
      <w:r w:rsidR="00DC646F" w:rsidRPr="00705170">
        <w:rPr>
          <w:rFonts w:ascii="Times New Roman" w:hAnsi="Times New Roman" w:cs="Times New Roman"/>
        </w:rPr>
        <w:t>)</w:t>
      </w:r>
      <w:r w:rsidR="00623BC9" w:rsidRPr="00705170">
        <w:rPr>
          <w:rFonts w:ascii="Times New Roman" w:hAnsi="Times New Roman" w:cs="Times New Roman"/>
        </w:rPr>
        <w:t xml:space="preserve"> of </w:t>
      </w:r>
      <w:proofErr w:type="spellStart"/>
      <w:r w:rsidR="00623BC9" w:rsidRPr="00705170">
        <w:rPr>
          <w:rFonts w:ascii="Times New Roman" w:hAnsi="Times New Roman" w:cs="Times New Roman"/>
        </w:rPr>
        <w:t>the</w:t>
      </w:r>
      <w:proofErr w:type="spellEnd"/>
      <w:r w:rsidR="00623BC9" w:rsidRPr="00705170">
        <w:rPr>
          <w:rFonts w:ascii="Times New Roman" w:hAnsi="Times New Roman" w:cs="Times New Roman"/>
        </w:rPr>
        <w:t xml:space="preserve"> general </w:t>
      </w:r>
      <w:proofErr w:type="spellStart"/>
      <w:r w:rsidR="00623BC9" w:rsidRPr="00705170">
        <w:rPr>
          <w:rFonts w:ascii="Times New Roman" w:hAnsi="Times New Roman" w:cs="Times New Roman"/>
        </w:rPr>
        <w:t>assembly</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resolutions</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which</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violates</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the</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statute</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or</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articles</w:t>
      </w:r>
      <w:proofErr w:type="spellEnd"/>
      <w:r w:rsidR="00623BC9" w:rsidRPr="00705170">
        <w:rPr>
          <w:rFonts w:ascii="Times New Roman" w:hAnsi="Times New Roman" w:cs="Times New Roman"/>
        </w:rPr>
        <w:t xml:space="preserve"> of </w:t>
      </w:r>
      <w:proofErr w:type="spellStart"/>
      <w:r w:rsidR="00623BC9" w:rsidRPr="00705170">
        <w:rPr>
          <w:rFonts w:ascii="Times New Roman" w:hAnsi="Times New Roman" w:cs="Times New Roman"/>
        </w:rPr>
        <w:t>incorporation</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and</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especially</w:t>
      </w:r>
      <w:proofErr w:type="spellEnd"/>
      <w:r w:rsidR="00623BC9" w:rsidRPr="00705170">
        <w:rPr>
          <w:rFonts w:ascii="Times New Roman" w:hAnsi="Times New Roman" w:cs="Times New Roman"/>
        </w:rPr>
        <w:t xml:space="preserve"> </w:t>
      </w:r>
      <w:proofErr w:type="spellStart"/>
      <w:r w:rsidR="00623BC9"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0C28AA" w:rsidRPr="00705170">
        <w:rPr>
          <w:rFonts w:ascii="Times New Roman" w:hAnsi="Times New Roman" w:cs="Times New Roman"/>
        </w:rPr>
        <w:t>rule</w:t>
      </w:r>
      <w:proofErr w:type="spellEnd"/>
      <w:r w:rsidR="000C28AA" w:rsidRPr="00705170">
        <w:rPr>
          <w:rFonts w:ascii="Times New Roman" w:hAnsi="Times New Roman" w:cs="Times New Roman"/>
        </w:rPr>
        <w:t xml:space="preserve"> of </w:t>
      </w:r>
      <w:proofErr w:type="spellStart"/>
      <w:r w:rsidR="000C28AA" w:rsidRPr="00705170">
        <w:rPr>
          <w:rFonts w:ascii="Times New Roman" w:hAnsi="Times New Roman" w:cs="Times New Roman"/>
        </w:rPr>
        <w:t>good</w:t>
      </w:r>
      <w:proofErr w:type="spellEnd"/>
      <w:r w:rsidR="000C28AA" w:rsidRPr="00705170">
        <w:rPr>
          <w:rFonts w:ascii="Times New Roman" w:hAnsi="Times New Roman" w:cs="Times New Roman"/>
        </w:rPr>
        <w:t xml:space="preserve"> </w:t>
      </w:r>
      <w:proofErr w:type="spellStart"/>
      <w:r w:rsidR="000C28AA" w:rsidRPr="00705170">
        <w:rPr>
          <w:rFonts w:ascii="Times New Roman" w:hAnsi="Times New Roman" w:cs="Times New Roman"/>
        </w:rPr>
        <w:t>faith</w:t>
      </w:r>
      <w:proofErr w:type="spellEnd"/>
      <w:r w:rsidR="00623BC9" w:rsidRPr="00705170">
        <w:rPr>
          <w:rFonts w:ascii="Times New Roman" w:hAnsi="Times New Roman" w:cs="Times New Roman"/>
        </w:rPr>
        <w:t xml:space="preserve"> </w:t>
      </w:r>
      <w:r w:rsidR="00512F45" w:rsidRPr="00705170">
        <w:rPr>
          <w:rFonts w:ascii="Times New Roman" w:hAnsi="Times New Roman" w:cs="Times New Roman"/>
        </w:rPr>
        <w:t xml:space="preserve">(TCC </w:t>
      </w:r>
      <w:proofErr w:type="spellStart"/>
      <w:r w:rsidR="00512F45" w:rsidRPr="00705170">
        <w:rPr>
          <w:rFonts w:ascii="Times New Roman" w:hAnsi="Times New Roman" w:cs="Times New Roman"/>
        </w:rPr>
        <w:t>Article</w:t>
      </w:r>
      <w:proofErr w:type="spellEnd"/>
      <w:r w:rsidR="00512F45" w:rsidRPr="00705170">
        <w:rPr>
          <w:rFonts w:ascii="Times New Roman" w:hAnsi="Times New Roman" w:cs="Times New Roman"/>
        </w:rPr>
        <w:t xml:space="preserve"> 445(1))</w:t>
      </w:r>
      <w:r w:rsidR="005808E0" w:rsidRPr="00705170">
        <w:rPr>
          <w:rStyle w:val="DipnotBavurusu"/>
          <w:rFonts w:ascii="Times New Roman" w:hAnsi="Times New Roman" w:cs="Times New Roman"/>
        </w:rPr>
        <w:footnoteReference w:id="446"/>
      </w:r>
      <w:r w:rsidR="00512F45" w:rsidRPr="00705170">
        <w:rPr>
          <w:rFonts w:ascii="Times New Roman" w:hAnsi="Times New Roman" w:cs="Times New Roman"/>
        </w:rPr>
        <w:t xml:space="preserve">. </w:t>
      </w:r>
      <w:proofErr w:type="spellStart"/>
      <w:r w:rsidR="00623BC9" w:rsidRPr="00705170">
        <w:rPr>
          <w:rFonts w:ascii="Times New Roman" w:hAnsi="Times New Roman" w:cs="Times New Roman"/>
        </w:rPr>
        <w:t>Furthermore</w:t>
      </w:r>
      <w:proofErr w:type="spellEnd"/>
      <w:r w:rsidR="001C7A30" w:rsidRPr="00705170">
        <w:rPr>
          <w:rFonts w:ascii="Times New Roman" w:hAnsi="Times New Roman" w:cs="Times New Roman"/>
        </w:rPr>
        <w:t xml:space="preserve">, </w:t>
      </w:r>
      <w:proofErr w:type="spellStart"/>
      <w:r w:rsidR="00A82A76" w:rsidRPr="00705170">
        <w:rPr>
          <w:rFonts w:ascii="Times New Roman" w:hAnsi="Times New Roman" w:cs="Times New Roman"/>
        </w:rPr>
        <w:t>the</w:t>
      </w:r>
      <w:proofErr w:type="spellEnd"/>
      <w:r w:rsidR="00A82A76" w:rsidRPr="00705170">
        <w:rPr>
          <w:rFonts w:ascii="Times New Roman" w:hAnsi="Times New Roman" w:cs="Times New Roman"/>
        </w:rPr>
        <w:t xml:space="preserve"> general </w:t>
      </w:r>
      <w:proofErr w:type="spellStart"/>
      <w:r w:rsidR="00A82A76" w:rsidRPr="00705170">
        <w:rPr>
          <w:rFonts w:ascii="Times New Roman" w:hAnsi="Times New Roman" w:cs="Times New Roman"/>
        </w:rPr>
        <w:t>assembly</w:t>
      </w:r>
      <w:proofErr w:type="spellEnd"/>
      <w:r w:rsidR="00A82A76" w:rsidRPr="00705170">
        <w:rPr>
          <w:rFonts w:ascii="Times New Roman" w:hAnsi="Times New Roman" w:cs="Times New Roman"/>
        </w:rPr>
        <w:t xml:space="preserve"> </w:t>
      </w:r>
      <w:r w:rsidR="00542E39" w:rsidRPr="00705170">
        <w:rPr>
          <w:rFonts w:ascii="Times New Roman" w:hAnsi="Times New Roman" w:cs="Times New Roman"/>
        </w:rPr>
        <w:t xml:space="preserve">can </w:t>
      </w:r>
      <w:proofErr w:type="spellStart"/>
      <w:r w:rsidR="00542E39" w:rsidRPr="00705170">
        <w:rPr>
          <w:rFonts w:ascii="Times New Roman" w:hAnsi="Times New Roman" w:cs="Times New Roman"/>
        </w:rPr>
        <w:t>only</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act</w:t>
      </w:r>
      <w:proofErr w:type="spellEnd"/>
      <w:r w:rsidR="00542E39" w:rsidRPr="00705170">
        <w:rPr>
          <w:rFonts w:ascii="Times New Roman" w:hAnsi="Times New Roman" w:cs="Times New Roman"/>
        </w:rPr>
        <w:t xml:space="preserve"> on </w:t>
      </w:r>
      <w:proofErr w:type="spellStart"/>
      <w:r w:rsidR="00A82A76" w:rsidRPr="00705170">
        <w:rPr>
          <w:rFonts w:ascii="Times New Roman" w:hAnsi="Times New Roman" w:cs="Times New Roman"/>
        </w:rPr>
        <w:t>issues</w:t>
      </w:r>
      <w:proofErr w:type="spellEnd"/>
      <w:r w:rsidR="00A82A76" w:rsidRPr="00705170">
        <w:rPr>
          <w:rFonts w:ascii="Times New Roman" w:hAnsi="Times New Roman" w:cs="Times New Roman"/>
        </w:rPr>
        <w:t xml:space="preserve"> </w:t>
      </w:r>
      <w:proofErr w:type="spellStart"/>
      <w:r w:rsidR="00542E39" w:rsidRPr="00705170">
        <w:rPr>
          <w:rFonts w:ascii="Times New Roman" w:hAnsi="Times New Roman" w:cs="Times New Roman"/>
        </w:rPr>
        <w:t>explicity</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provided</w:t>
      </w:r>
      <w:proofErr w:type="spellEnd"/>
      <w:r w:rsidR="00542E39" w:rsidRPr="00705170">
        <w:rPr>
          <w:rFonts w:ascii="Times New Roman" w:hAnsi="Times New Roman" w:cs="Times New Roman"/>
        </w:rPr>
        <w:t xml:space="preserve"> in</w:t>
      </w:r>
      <w:r w:rsidR="00A82A76" w:rsidRPr="00705170">
        <w:rPr>
          <w:rFonts w:ascii="Times New Roman" w:hAnsi="Times New Roman" w:cs="Times New Roman"/>
        </w:rPr>
        <w:t xml:space="preserve"> </w:t>
      </w:r>
      <w:proofErr w:type="spellStart"/>
      <w:r w:rsidR="00A82A76" w:rsidRPr="00705170">
        <w:rPr>
          <w:rFonts w:ascii="Times New Roman" w:hAnsi="Times New Roman" w:cs="Times New Roman"/>
        </w:rPr>
        <w:t>the</w:t>
      </w:r>
      <w:proofErr w:type="spellEnd"/>
      <w:r w:rsidR="00A82A76" w:rsidRPr="00705170">
        <w:rPr>
          <w:rFonts w:ascii="Times New Roman" w:hAnsi="Times New Roman" w:cs="Times New Roman"/>
        </w:rPr>
        <w:t xml:space="preserve"> </w:t>
      </w:r>
      <w:proofErr w:type="spellStart"/>
      <w:r w:rsidR="00A82A76" w:rsidRPr="00705170">
        <w:rPr>
          <w:rFonts w:ascii="Times New Roman" w:hAnsi="Times New Roman" w:cs="Times New Roman"/>
        </w:rPr>
        <w:t>statute</w:t>
      </w:r>
      <w:proofErr w:type="spellEnd"/>
      <w:r w:rsidR="00A82A76" w:rsidRPr="00705170">
        <w:rPr>
          <w:rFonts w:ascii="Times New Roman" w:hAnsi="Times New Roman" w:cs="Times New Roman"/>
        </w:rPr>
        <w:t xml:space="preserve"> </w:t>
      </w:r>
      <w:proofErr w:type="spellStart"/>
      <w:r w:rsidR="00A82A76" w:rsidRPr="00705170">
        <w:rPr>
          <w:rFonts w:ascii="Times New Roman" w:hAnsi="Times New Roman" w:cs="Times New Roman"/>
        </w:rPr>
        <w:t>and</w:t>
      </w:r>
      <w:proofErr w:type="spellEnd"/>
      <w:r w:rsidR="00A82A76" w:rsidRPr="00705170">
        <w:rPr>
          <w:rFonts w:ascii="Times New Roman" w:hAnsi="Times New Roman" w:cs="Times New Roman"/>
        </w:rPr>
        <w:t xml:space="preserve"> </w:t>
      </w:r>
      <w:proofErr w:type="spellStart"/>
      <w:r w:rsidR="00A82A76" w:rsidRPr="00705170">
        <w:rPr>
          <w:rFonts w:ascii="Times New Roman" w:hAnsi="Times New Roman" w:cs="Times New Roman"/>
        </w:rPr>
        <w:t>articles</w:t>
      </w:r>
      <w:proofErr w:type="spellEnd"/>
      <w:r w:rsidR="00A82A76" w:rsidRPr="00705170">
        <w:rPr>
          <w:rFonts w:ascii="Times New Roman" w:hAnsi="Times New Roman" w:cs="Times New Roman"/>
        </w:rPr>
        <w:t xml:space="preserve"> of </w:t>
      </w:r>
      <w:proofErr w:type="spellStart"/>
      <w:r w:rsidR="00542E39" w:rsidRPr="00705170">
        <w:rPr>
          <w:rFonts w:ascii="Times New Roman" w:hAnsi="Times New Roman" w:cs="Times New Roman"/>
        </w:rPr>
        <w:t>incorporation</w:t>
      </w:r>
      <w:proofErr w:type="spellEnd"/>
      <w:r w:rsidR="003602E5" w:rsidRPr="00705170">
        <w:rPr>
          <w:rFonts w:ascii="Times New Roman" w:hAnsi="Times New Roman" w:cs="Times New Roman"/>
        </w:rPr>
        <w:t xml:space="preserve"> (TCC </w:t>
      </w:r>
      <w:proofErr w:type="spellStart"/>
      <w:r w:rsidR="003602E5" w:rsidRPr="00705170">
        <w:rPr>
          <w:rFonts w:ascii="Times New Roman" w:hAnsi="Times New Roman" w:cs="Times New Roman"/>
        </w:rPr>
        <w:t>Article</w:t>
      </w:r>
      <w:proofErr w:type="spellEnd"/>
      <w:r w:rsidR="003602E5" w:rsidRPr="00705170">
        <w:rPr>
          <w:rFonts w:ascii="Times New Roman" w:hAnsi="Times New Roman" w:cs="Times New Roman"/>
        </w:rPr>
        <w:t xml:space="preserve"> 408</w:t>
      </w:r>
      <w:r w:rsidR="00542E39" w:rsidRPr="00705170">
        <w:rPr>
          <w:rFonts w:ascii="Times New Roman" w:hAnsi="Times New Roman" w:cs="Times New Roman"/>
        </w:rPr>
        <w:t>(1))</w:t>
      </w:r>
      <w:r w:rsidR="00FF31C9">
        <w:rPr>
          <w:rStyle w:val="DipnotBavurusu"/>
          <w:rFonts w:ascii="Times New Roman" w:hAnsi="Times New Roman" w:cs="Times New Roman"/>
        </w:rPr>
        <w:footnoteReference w:id="447"/>
      </w:r>
      <w:r w:rsidR="00542E39" w:rsidRPr="00705170">
        <w:rPr>
          <w:rFonts w:ascii="Times New Roman" w:hAnsi="Times New Roman" w:cs="Times New Roman"/>
        </w:rPr>
        <w:t xml:space="preserve">. On </w:t>
      </w:r>
      <w:proofErr w:type="spellStart"/>
      <w:r w:rsidR="00542E39" w:rsidRPr="00705170">
        <w:rPr>
          <w:rFonts w:ascii="Times New Roman" w:hAnsi="Times New Roman" w:cs="Times New Roman"/>
        </w:rPr>
        <w:t>the</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other</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hand</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the</w:t>
      </w:r>
      <w:proofErr w:type="spellEnd"/>
      <w:r w:rsidR="00542E39" w:rsidRPr="00705170">
        <w:rPr>
          <w:rFonts w:ascii="Times New Roman" w:hAnsi="Times New Roman" w:cs="Times New Roman"/>
        </w:rPr>
        <w:t xml:space="preserve"> </w:t>
      </w:r>
      <w:r w:rsidR="007777EF" w:rsidRPr="00705170">
        <w:rPr>
          <w:rFonts w:ascii="Times New Roman" w:hAnsi="Times New Roman" w:cs="Times New Roman"/>
        </w:rPr>
        <w:t xml:space="preserve">board of </w:t>
      </w:r>
      <w:proofErr w:type="spellStart"/>
      <w:r w:rsidR="007777EF" w:rsidRPr="00705170">
        <w:rPr>
          <w:rFonts w:ascii="Times New Roman" w:hAnsi="Times New Roman" w:cs="Times New Roman"/>
        </w:rPr>
        <w:t>directors</w:t>
      </w:r>
      <w:proofErr w:type="spellEnd"/>
      <w:r w:rsidR="007777EF" w:rsidRPr="00705170">
        <w:rPr>
          <w:rFonts w:ascii="Times New Roman" w:hAnsi="Times New Roman" w:cs="Times New Roman"/>
        </w:rPr>
        <w:t xml:space="preserve"> has </w:t>
      </w:r>
      <w:proofErr w:type="spellStart"/>
      <w:r w:rsidR="007777EF" w:rsidRPr="00705170">
        <w:rPr>
          <w:rFonts w:ascii="Times New Roman" w:hAnsi="Times New Roman" w:cs="Times New Roman"/>
        </w:rPr>
        <w:t>the</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power</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to</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act</w:t>
      </w:r>
      <w:proofErr w:type="spellEnd"/>
      <w:r w:rsidR="00542E39" w:rsidRPr="00705170">
        <w:rPr>
          <w:rFonts w:ascii="Times New Roman" w:hAnsi="Times New Roman" w:cs="Times New Roman"/>
        </w:rPr>
        <w:t xml:space="preserve"> on </w:t>
      </w:r>
      <w:proofErr w:type="spellStart"/>
      <w:r w:rsidR="00542E39" w:rsidRPr="00705170">
        <w:rPr>
          <w:rFonts w:ascii="Times New Roman" w:hAnsi="Times New Roman" w:cs="Times New Roman"/>
        </w:rPr>
        <w:t>any</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issue</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necessary</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to</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pursue</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the</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corporate</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purpose</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unless</w:t>
      </w:r>
      <w:proofErr w:type="spellEnd"/>
      <w:r w:rsidR="00542E39" w:rsidRPr="00705170">
        <w:rPr>
          <w:rFonts w:ascii="Times New Roman" w:hAnsi="Times New Roman" w:cs="Times New Roman"/>
        </w:rPr>
        <w:t xml:space="preserve"> </w:t>
      </w:r>
      <w:proofErr w:type="spellStart"/>
      <w:r w:rsidR="003602E5" w:rsidRPr="00705170">
        <w:rPr>
          <w:rFonts w:ascii="Times New Roman" w:hAnsi="Times New Roman" w:cs="Times New Roman"/>
        </w:rPr>
        <w:t>the</w:t>
      </w:r>
      <w:proofErr w:type="spellEnd"/>
      <w:r w:rsidR="003602E5" w:rsidRPr="00705170">
        <w:rPr>
          <w:rFonts w:ascii="Times New Roman" w:hAnsi="Times New Roman" w:cs="Times New Roman"/>
        </w:rPr>
        <w:t xml:space="preserve"> </w:t>
      </w:r>
      <w:proofErr w:type="spellStart"/>
      <w:r w:rsidR="003602E5" w:rsidRPr="00705170">
        <w:rPr>
          <w:rFonts w:ascii="Times New Roman" w:hAnsi="Times New Roman" w:cs="Times New Roman"/>
        </w:rPr>
        <w:t>r</w:t>
      </w:r>
      <w:r w:rsidR="00542E39" w:rsidRPr="00705170">
        <w:rPr>
          <w:rFonts w:ascii="Times New Roman" w:hAnsi="Times New Roman" w:cs="Times New Roman"/>
        </w:rPr>
        <w:t>ight</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to</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act</w:t>
      </w:r>
      <w:proofErr w:type="spellEnd"/>
      <w:r w:rsidR="003602E5" w:rsidRPr="00705170">
        <w:rPr>
          <w:rFonts w:ascii="Times New Roman" w:hAnsi="Times New Roman" w:cs="Times New Roman"/>
        </w:rPr>
        <w:t xml:space="preserve"> on</w:t>
      </w:r>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the</w:t>
      </w:r>
      <w:proofErr w:type="spellEnd"/>
      <w:r w:rsidR="00542E39" w:rsidRPr="00705170">
        <w:rPr>
          <w:rFonts w:ascii="Times New Roman" w:hAnsi="Times New Roman" w:cs="Times New Roman"/>
        </w:rPr>
        <w:t xml:space="preserve"> </w:t>
      </w:r>
      <w:proofErr w:type="spellStart"/>
      <w:r w:rsidR="00542E39" w:rsidRPr="00705170">
        <w:rPr>
          <w:rFonts w:ascii="Times New Roman" w:hAnsi="Times New Roman" w:cs="Times New Roman"/>
        </w:rPr>
        <w:t>issue</w:t>
      </w:r>
      <w:proofErr w:type="spellEnd"/>
      <w:r w:rsidR="00542E39" w:rsidRPr="00705170">
        <w:rPr>
          <w:rFonts w:ascii="Times New Roman" w:hAnsi="Times New Roman" w:cs="Times New Roman"/>
        </w:rPr>
        <w:t xml:space="preserve"> is </w:t>
      </w:r>
      <w:proofErr w:type="spellStart"/>
      <w:r w:rsidR="00542E39" w:rsidRPr="00705170">
        <w:rPr>
          <w:rFonts w:ascii="Times New Roman" w:hAnsi="Times New Roman" w:cs="Times New Roman"/>
        </w:rPr>
        <w:t>left</w:t>
      </w:r>
      <w:proofErr w:type="spellEnd"/>
      <w:r w:rsidR="00542E39" w:rsidRPr="00705170">
        <w:rPr>
          <w:rFonts w:ascii="Times New Roman" w:hAnsi="Times New Roman" w:cs="Times New Roman"/>
        </w:rPr>
        <w:t xml:space="preserve"> </w:t>
      </w:r>
      <w:proofErr w:type="spellStart"/>
      <w:r w:rsidR="003602E5" w:rsidRPr="00705170">
        <w:rPr>
          <w:rFonts w:ascii="Times New Roman" w:hAnsi="Times New Roman" w:cs="Times New Roman"/>
        </w:rPr>
        <w:t>to</w:t>
      </w:r>
      <w:proofErr w:type="spellEnd"/>
      <w:r w:rsidR="003602E5" w:rsidRPr="00705170">
        <w:rPr>
          <w:rFonts w:ascii="Times New Roman" w:hAnsi="Times New Roman" w:cs="Times New Roman"/>
        </w:rPr>
        <w:t xml:space="preserve"> </w:t>
      </w:r>
      <w:proofErr w:type="spellStart"/>
      <w:r w:rsidR="003602E5" w:rsidRPr="00705170">
        <w:rPr>
          <w:rFonts w:ascii="Times New Roman" w:hAnsi="Times New Roman" w:cs="Times New Roman"/>
        </w:rPr>
        <w:t>the</w:t>
      </w:r>
      <w:proofErr w:type="spellEnd"/>
      <w:r w:rsidR="003602E5" w:rsidRPr="00705170">
        <w:rPr>
          <w:rFonts w:ascii="Times New Roman" w:hAnsi="Times New Roman" w:cs="Times New Roman"/>
        </w:rPr>
        <w:t xml:space="preserve"> general </w:t>
      </w:r>
      <w:proofErr w:type="spellStart"/>
      <w:r w:rsidR="003602E5" w:rsidRPr="00705170">
        <w:rPr>
          <w:rFonts w:ascii="Times New Roman" w:hAnsi="Times New Roman" w:cs="Times New Roman"/>
        </w:rPr>
        <w:t>assembly</w:t>
      </w:r>
      <w:proofErr w:type="spellEnd"/>
      <w:r w:rsidR="003602E5" w:rsidRPr="00705170">
        <w:rPr>
          <w:rFonts w:ascii="Times New Roman" w:hAnsi="Times New Roman" w:cs="Times New Roman"/>
        </w:rPr>
        <w:t xml:space="preserve"> </w:t>
      </w:r>
      <w:proofErr w:type="spellStart"/>
      <w:r w:rsidR="003602E5" w:rsidRPr="00705170">
        <w:rPr>
          <w:rFonts w:ascii="Times New Roman" w:hAnsi="Times New Roman" w:cs="Times New Roman"/>
        </w:rPr>
        <w:t>under</w:t>
      </w:r>
      <w:proofErr w:type="spellEnd"/>
      <w:r w:rsidR="003602E5" w:rsidRPr="00705170">
        <w:rPr>
          <w:rFonts w:ascii="Times New Roman" w:hAnsi="Times New Roman" w:cs="Times New Roman"/>
        </w:rPr>
        <w:t xml:space="preserve"> </w:t>
      </w:r>
      <w:proofErr w:type="spellStart"/>
      <w:r w:rsidR="003602E5" w:rsidRPr="00705170">
        <w:rPr>
          <w:rFonts w:ascii="Times New Roman" w:hAnsi="Times New Roman" w:cs="Times New Roman"/>
        </w:rPr>
        <w:t>the</w:t>
      </w:r>
      <w:proofErr w:type="spellEnd"/>
      <w:r w:rsidR="003602E5" w:rsidRPr="00705170">
        <w:rPr>
          <w:rFonts w:ascii="Times New Roman" w:hAnsi="Times New Roman" w:cs="Times New Roman"/>
        </w:rPr>
        <w:t xml:space="preserve"> </w:t>
      </w:r>
      <w:proofErr w:type="spellStart"/>
      <w:r w:rsidR="003602E5" w:rsidRPr="00705170">
        <w:rPr>
          <w:rFonts w:ascii="Times New Roman" w:hAnsi="Times New Roman" w:cs="Times New Roman"/>
        </w:rPr>
        <w:t>statute</w:t>
      </w:r>
      <w:proofErr w:type="spellEnd"/>
      <w:r w:rsidR="003602E5" w:rsidRPr="00705170">
        <w:rPr>
          <w:rFonts w:ascii="Times New Roman" w:hAnsi="Times New Roman" w:cs="Times New Roman"/>
        </w:rPr>
        <w:t xml:space="preserve"> </w:t>
      </w:r>
      <w:proofErr w:type="spellStart"/>
      <w:r w:rsidR="003602E5" w:rsidRPr="00705170">
        <w:rPr>
          <w:rFonts w:ascii="Times New Roman" w:hAnsi="Times New Roman" w:cs="Times New Roman"/>
        </w:rPr>
        <w:t>or</w:t>
      </w:r>
      <w:proofErr w:type="spellEnd"/>
      <w:r w:rsidR="003602E5" w:rsidRPr="00705170">
        <w:rPr>
          <w:rFonts w:ascii="Times New Roman" w:hAnsi="Times New Roman" w:cs="Times New Roman"/>
        </w:rPr>
        <w:t xml:space="preserve"> </w:t>
      </w:r>
      <w:proofErr w:type="spellStart"/>
      <w:r w:rsidR="003602E5" w:rsidRPr="00705170">
        <w:rPr>
          <w:rFonts w:ascii="Times New Roman" w:hAnsi="Times New Roman" w:cs="Times New Roman"/>
        </w:rPr>
        <w:t>the</w:t>
      </w:r>
      <w:proofErr w:type="spellEnd"/>
      <w:r w:rsidR="003602E5" w:rsidRPr="00705170">
        <w:rPr>
          <w:rFonts w:ascii="Times New Roman" w:hAnsi="Times New Roman" w:cs="Times New Roman"/>
        </w:rPr>
        <w:t xml:space="preserve"> </w:t>
      </w:r>
      <w:proofErr w:type="spellStart"/>
      <w:r w:rsidR="003602E5" w:rsidRPr="00705170">
        <w:rPr>
          <w:rFonts w:ascii="Times New Roman" w:hAnsi="Times New Roman" w:cs="Times New Roman"/>
        </w:rPr>
        <w:t>articles</w:t>
      </w:r>
      <w:proofErr w:type="spellEnd"/>
      <w:r w:rsidR="003602E5" w:rsidRPr="00705170">
        <w:rPr>
          <w:rFonts w:ascii="Times New Roman" w:hAnsi="Times New Roman" w:cs="Times New Roman"/>
        </w:rPr>
        <w:t xml:space="preserve"> of </w:t>
      </w:r>
      <w:proofErr w:type="spellStart"/>
      <w:r w:rsidR="003602E5" w:rsidRPr="00705170">
        <w:rPr>
          <w:rFonts w:ascii="Times New Roman" w:hAnsi="Times New Roman" w:cs="Times New Roman"/>
        </w:rPr>
        <w:t>incorporation</w:t>
      </w:r>
      <w:proofErr w:type="spellEnd"/>
      <w:r w:rsidR="003602E5" w:rsidRPr="00705170">
        <w:rPr>
          <w:rFonts w:ascii="Times New Roman" w:hAnsi="Times New Roman" w:cs="Times New Roman"/>
        </w:rPr>
        <w:t xml:space="preserve"> (TCC </w:t>
      </w:r>
      <w:proofErr w:type="spellStart"/>
      <w:r w:rsidR="003602E5" w:rsidRPr="00705170">
        <w:rPr>
          <w:rFonts w:ascii="Times New Roman" w:hAnsi="Times New Roman" w:cs="Times New Roman"/>
        </w:rPr>
        <w:t>Article</w:t>
      </w:r>
      <w:proofErr w:type="spellEnd"/>
      <w:r w:rsidR="003602E5" w:rsidRPr="00705170">
        <w:rPr>
          <w:rFonts w:ascii="Times New Roman" w:hAnsi="Times New Roman" w:cs="Times New Roman"/>
        </w:rPr>
        <w:t xml:space="preserve"> 374(1)). </w:t>
      </w:r>
      <w:proofErr w:type="spellStart"/>
      <w:r w:rsidR="007777EF" w:rsidRPr="00705170">
        <w:rPr>
          <w:rFonts w:ascii="Times New Roman" w:hAnsi="Times New Roman" w:cs="Times New Roman"/>
        </w:rPr>
        <w:t>To</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support</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this</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principle</w:t>
      </w:r>
      <w:proofErr w:type="spellEnd"/>
      <w:r w:rsidR="003602E5" w:rsidRPr="00705170">
        <w:rPr>
          <w:rFonts w:ascii="Times New Roman" w:hAnsi="Times New Roman" w:cs="Times New Roman"/>
        </w:rPr>
        <w:t xml:space="preserve">, TCC </w:t>
      </w:r>
      <w:proofErr w:type="spellStart"/>
      <w:r w:rsidR="007777EF" w:rsidRPr="00705170">
        <w:rPr>
          <w:rFonts w:ascii="Times New Roman" w:hAnsi="Times New Roman" w:cs="Times New Roman"/>
        </w:rPr>
        <w:t>Article</w:t>
      </w:r>
      <w:proofErr w:type="spellEnd"/>
      <w:r w:rsidR="007777EF" w:rsidRPr="00705170">
        <w:rPr>
          <w:rFonts w:ascii="Times New Roman" w:hAnsi="Times New Roman" w:cs="Times New Roman"/>
        </w:rPr>
        <w:t xml:space="preserve"> 375 </w:t>
      </w:r>
      <w:proofErr w:type="spellStart"/>
      <w:r w:rsidR="007777EF" w:rsidRPr="00705170">
        <w:rPr>
          <w:rFonts w:ascii="Times New Roman" w:hAnsi="Times New Roman" w:cs="Times New Roman"/>
        </w:rPr>
        <w:t>lists</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certain</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powers</w:t>
      </w:r>
      <w:proofErr w:type="spellEnd"/>
      <w:r w:rsidR="003602E5" w:rsidRPr="00705170">
        <w:rPr>
          <w:rFonts w:ascii="Times New Roman" w:hAnsi="Times New Roman" w:cs="Times New Roman"/>
        </w:rPr>
        <w:t xml:space="preserve"> </w:t>
      </w:r>
      <w:proofErr w:type="spellStart"/>
      <w:r w:rsidR="007777EF" w:rsidRPr="00705170">
        <w:rPr>
          <w:rFonts w:ascii="Times New Roman" w:hAnsi="Times New Roman" w:cs="Times New Roman"/>
        </w:rPr>
        <w:t>and</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duties</w:t>
      </w:r>
      <w:proofErr w:type="spellEnd"/>
      <w:r w:rsidR="007777EF" w:rsidRPr="00705170">
        <w:rPr>
          <w:rFonts w:ascii="Times New Roman" w:hAnsi="Times New Roman" w:cs="Times New Roman"/>
        </w:rPr>
        <w:t xml:space="preserve"> </w:t>
      </w:r>
      <w:proofErr w:type="spellStart"/>
      <w:r w:rsidR="003602E5" w:rsidRPr="00705170">
        <w:rPr>
          <w:rFonts w:ascii="Times New Roman" w:hAnsi="Times New Roman" w:cs="Times New Roman"/>
        </w:rPr>
        <w:t>that</w:t>
      </w:r>
      <w:proofErr w:type="spellEnd"/>
      <w:r w:rsidR="003602E5" w:rsidRPr="00705170">
        <w:rPr>
          <w:rFonts w:ascii="Times New Roman" w:hAnsi="Times New Roman" w:cs="Times New Roman"/>
        </w:rPr>
        <w:t xml:space="preserve"> </w:t>
      </w:r>
      <w:proofErr w:type="spellStart"/>
      <w:r w:rsidR="003602E5" w:rsidRPr="00705170">
        <w:rPr>
          <w:rFonts w:ascii="Times New Roman" w:hAnsi="Times New Roman" w:cs="Times New Roman"/>
        </w:rPr>
        <w:t>shall</w:t>
      </w:r>
      <w:proofErr w:type="spellEnd"/>
      <w:r w:rsidR="003602E5" w:rsidRPr="00705170">
        <w:rPr>
          <w:rFonts w:ascii="Times New Roman" w:hAnsi="Times New Roman" w:cs="Times New Roman"/>
        </w:rPr>
        <w:t xml:space="preserve"> be </w:t>
      </w:r>
      <w:proofErr w:type="spellStart"/>
      <w:r w:rsidR="003602E5" w:rsidRPr="00705170">
        <w:rPr>
          <w:rFonts w:ascii="Times New Roman" w:hAnsi="Times New Roman" w:cs="Times New Roman"/>
        </w:rPr>
        <w:t>exercised</w:t>
      </w:r>
      <w:proofErr w:type="spellEnd"/>
      <w:r w:rsidR="003602E5" w:rsidRPr="00705170">
        <w:rPr>
          <w:rFonts w:ascii="Times New Roman" w:hAnsi="Times New Roman" w:cs="Times New Roman"/>
        </w:rPr>
        <w:t xml:space="preserve"> </w:t>
      </w:r>
      <w:proofErr w:type="spellStart"/>
      <w:r w:rsidR="003602E5" w:rsidRPr="00705170">
        <w:rPr>
          <w:rFonts w:ascii="Times New Roman" w:hAnsi="Times New Roman" w:cs="Times New Roman"/>
        </w:rPr>
        <w:t>by</w:t>
      </w:r>
      <w:proofErr w:type="spellEnd"/>
      <w:r w:rsidR="003602E5" w:rsidRPr="00705170">
        <w:rPr>
          <w:rFonts w:ascii="Times New Roman" w:hAnsi="Times New Roman" w:cs="Times New Roman"/>
        </w:rPr>
        <w:t xml:space="preserve"> </w:t>
      </w:r>
      <w:proofErr w:type="spellStart"/>
      <w:r w:rsidR="003602E5" w:rsidRPr="00705170">
        <w:rPr>
          <w:rFonts w:ascii="Times New Roman" w:hAnsi="Times New Roman" w:cs="Times New Roman"/>
        </w:rPr>
        <w:t>the</w:t>
      </w:r>
      <w:proofErr w:type="spellEnd"/>
      <w:r w:rsidR="003602E5" w:rsidRPr="00705170">
        <w:rPr>
          <w:rFonts w:ascii="Times New Roman" w:hAnsi="Times New Roman" w:cs="Times New Roman"/>
        </w:rPr>
        <w:t xml:space="preserve"> board of </w:t>
      </w:r>
      <w:proofErr w:type="spellStart"/>
      <w:r w:rsidR="003602E5" w:rsidRPr="00705170">
        <w:rPr>
          <w:rFonts w:ascii="Times New Roman" w:hAnsi="Times New Roman" w:cs="Times New Roman"/>
        </w:rPr>
        <w:t>directors</w:t>
      </w:r>
      <w:proofErr w:type="spellEnd"/>
      <w:r w:rsidR="003602E5" w:rsidRPr="00705170">
        <w:rPr>
          <w:rFonts w:ascii="Times New Roman" w:hAnsi="Times New Roman" w:cs="Times New Roman"/>
        </w:rPr>
        <w:t>,</w:t>
      </w:r>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and</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states</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the</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power</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and</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duty</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to</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exercise</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the</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oversight</w:t>
      </w:r>
      <w:proofErr w:type="spellEnd"/>
      <w:r w:rsidR="009329A9" w:rsidRPr="00705170">
        <w:rPr>
          <w:rFonts w:ascii="Times New Roman" w:hAnsi="Times New Roman" w:cs="Times New Roman"/>
        </w:rPr>
        <w:t xml:space="preserve"> </w:t>
      </w:r>
      <w:proofErr w:type="spellStart"/>
      <w:r w:rsidR="009329A9" w:rsidRPr="00705170">
        <w:rPr>
          <w:rFonts w:ascii="Times New Roman" w:hAnsi="Times New Roman" w:cs="Times New Roman"/>
        </w:rPr>
        <w:t>and</w:t>
      </w:r>
      <w:proofErr w:type="spellEnd"/>
      <w:r w:rsidR="009329A9" w:rsidRPr="00705170">
        <w:rPr>
          <w:rFonts w:ascii="Times New Roman" w:hAnsi="Times New Roman" w:cs="Times New Roman"/>
        </w:rPr>
        <w:t xml:space="preserve"> </w:t>
      </w:r>
      <w:proofErr w:type="spellStart"/>
      <w:r w:rsidR="009329A9" w:rsidRPr="00705170">
        <w:rPr>
          <w:rFonts w:ascii="Times New Roman" w:hAnsi="Times New Roman" w:cs="Times New Roman"/>
        </w:rPr>
        <w:t>steering</w:t>
      </w:r>
      <w:proofErr w:type="spellEnd"/>
      <w:r w:rsidR="007777EF" w:rsidRPr="00705170">
        <w:rPr>
          <w:rFonts w:ascii="Times New Roman" w:hAnsi="Times New Roman" w:cs="Times New Roman"/>
        </w:rPr>
        <w:t xml:space="preserve"> </w:t>
      </w:r>
      <w:proofErr w:type="spellStart"/>
      <w:r w:rsidR="007777EF" w:rsidRPr="00705170">
        <w:rPr>
          <w:rFonts w:ascii="Times New Roman" w:hAnsi="Times New Roman" w:cs="Times New Roman"/>
        </w:rPr>
        <w:t>function</w:t>
      </w:r>
      <w:proofErr w:type="spellEnd"/>
      <w:r w:rsidR="007777EF" w:rsidRPr="00705170">
        <w:rPr>
          <w:rFonts w:ascii="Times New Roman" w:hAnsi="Times New Roman" w:cs="Times New Roman"/>
        </w:rPr>
        <w:t xml:space="preserve"> as </w:t>
      </w:r>
      <w:proofErr w:type="spellStart"/>
      <w:r w:rsidR="007777EF" w:rsidRPr="00705170">
        <w:rPr>
          <w:rFonts w:ascii="Times New Roman" w:hAnsi="Times New Roman" w:cs="Times New Roman"/>
        </w:rPr>
        <w:t>one</w:t>
      </w:r>
      <w:proofErr w:type="spellEnd"/>
      <w:r w:rsidR="007777EF" w:rsidRPr="00705170">
        <w:rPr>
          <w:rFonts w:ascii="Times New Roman" w:hAnsi="Times New Roman" w:cs="Times New Roman"/>
        </w:rPr>
        <w:t xml:space="preserve"> of </w:t>
      </w:r>
      <w:proofErr w:type="spellStart"/>
      <w:r w:rsidR="007777EF" w:rsidRPr="00705170">
        <w:rPr>
          <w:rFonts w:ascii="Times New Roman" w:hAnsi="Times New Roman" w:cs="Times New Roman"/>
        </w:rPr>
        <w:t>them</w:t>
      </w:r>
      <w:proofErr w:type="spellEnd"/>
      <w:r w:rsidR="007777EF" w:rsidRPr="00705170">
        <w:rPr>
          <w:rFonts w:ascii="Times New Roman" w:hAnsi="Times New Roman" w:cs="Times New Roman"/>
        </w:rPr>
        <w:t xml:space="preserve">. </w:t>
      </w:r>
      <w:proofErr w:type="spellStart"/>
      <w:r w:rsidR="00FF31C9">
        <w:rPr>
          <w:rFonts w:ascii="Times New Roman" w:hAnsi="Times New Roman" w:cs="Times New Roman"/>
        </w:rPr>
        <w:t>Lastly</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the</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notion</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that</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corporation’s</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capital</w:t>
      </w:r>
      <w:proofErr w:type="spellEnd"/>
      <w:r w:rsidR="00FF31C9">
        <w:rPr>
          <w:rFonts w:ascii="Times New Roman" w:hAnsi="Times New Roman" w:cs="Times New Roman"/>
        </w:rPr>
        <w:t xml:space="preserve"> is </w:t>
      </w:r>
      <w:proofErr w:type="spellStart"/>
      <w:r w:rsidR="00FF31C9">
        <w:rPr>
          <w:rFonts w:ascii="Times New Roman" w:hAnsi="Times New Roman" w:cs="Times New Roman"/>
        </w:rPr>
        <w:t>protected</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against</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unlawful</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distribution</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even</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to</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its</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own</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shareholders</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by</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explicitly</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stating</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that</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shareholders</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shall</w:t>
      </w:r>
      <w:proofErr w:type="spellEnd"/>
      <w:r w:rsidR="00FF31C9">
        <w:rPr>
          <w:rFonts w:ascii="Times New Roman" w:hAnsi="Times New Roman" w:cs="Times New Roman"/>
        </w:rPr>
        <w:t xml:space="preserve"> not </w:t>
      </w:r>
      <w:proofErr w:type="spellStart"/>
      <w:r w:rsidR="00FF31C9">
        <w:rPr>
          <w:rFonts w:ascii="Times New Roman" w:hAnsi="Times New Roman" w:cs="Times New Roman"/>
        </w:rPr>
        <w:t>have</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the</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right</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to</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request</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the</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return</w:t>
      </w:r>
      <w:proofErr w:type="spellEnd"/>
      <w:r w:rsidR="00FF31C9">
        <w:rPr>
          <w:rFonts w:ascii="Times New Roman" w:hAnsi="Times New Roman" w:cs="Times New Roman"/>
        </w:rPr>
        <w:t xml:space="preserve"> of </w:t>
      </w:r>
      <w:proofErr w:type="spellStart"/>
      <w:r w:rsidR="00FF31C9">
        <w:rPr>
          <w:rFonts w:ascii="Times New Roman" w:hAnsi="Times New Roman" w:cs="Times New Roman"/>
        </w:rPr>
        <w:t>the</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capital</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they</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provided</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their</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right</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to</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liquidation</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share</w:t>
      </w:r>
      <w:proofErr w:type="spellEnd"/>
      <w:r w:rsidR="00FF31C9">
        <w:rPr>
          <w:rFonts w:ascii="Times New Roman" w:hAnsi="Times New Roman" w:cs="Times New Roman"/>
        </w:rPr>
        <w:t xml:space="preserve"> is </w:t>
      </w:r>
      <w:proofErr w:type="spellStart"/>
      <w:r w:rsidR="00FF31C9">
        <w:rPr>
          <w:rFonts w:ascii="Times New Roman" w:hAnsi="Times New Roman" w:cs="Times New Roman"/>
        </w:rPr>
        <w:t>reserved</w:t>
      </w:r>
      <w:proofErr w:type="spellEnd"/>
      <w:r w:rsidR="00FF31C9">
        <w:rPr>
          <w:rFonts w:ascii="Times New Roman" w:hAnsi="Times New Roman" w:cs="Times New Roman"/>
        </w:rPr>
        <w:t xml:space="preserve">” (TCC </w:t>
      </w:r>
      <w:proofErr w:type="spellStart"/>
      <w:r w:rsidR="00FF31C9">
        <w:rPr>
          <w:rFonts w:ascii="Times New Roman" w:hAnsi="Times New Roman" w:cs="Times New Roman"/>
        </w:rPr>
        <w:t>Article</w:t>
      </w:r>
      <w:proofErr w:type="spellEnd"/>
      <w:r w:rsidR="00FF31C9">
        <w:rPr>
          <w:rFonts w:ascii="Times New Roman" w:hAnsi="Times New Roman" w:cs="Times New Roman"/>
        </w:rPr>
        <w:t xml:space="preserve"> 408(2)), </w:t>
      </w:r>
      <w:proofErr w:type="spellStart"/>
      <w:r w:rsidR="00FF31C9">
        <w:rPr>
          <w:rFonts w:ascii="Times New Roman" w:hAnsi="Times New Roman" w:cs="Times New Roman"/>
        </w:rPr>
        <w:t>shows</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that</w:t>
      </w:r>
      <w:proofErr w:type="spellEnd"/>
      <w:r w:rsidR="00FF31C9">
        <w:rPr>
          <w:rFonts w:ascii="Times New Roman" w:hAnsi="Times New Roman" w:cs="Times New Roman"/>
        </w:rPr>
        <w:t xml:space="preserve"> </w:t>
      </w:r>
      <w:proofErr w:type="spellStart"/>
      <w:r w:rsidR="0004392A" w:rsidRPr="00705170">
        <w:rPr>
          <w:rFonts w:ascii="Times New Roman" w:hAnsi="Times New Roman" w:cs="Times New Roman"/>
        </w:rPr>
        <w:t>the</w:t>
      </w:r>
      <w:proofErr w:type="spellEnd"/>
      <w:r w:rsidR="00393383" w:rsidRPr="00705170">
        <w:rPr>
          <w:rFonts w:ascii="Times New Roman" w:hAnsi="Times New Roman" w:cs="Times New Roman"/>
        </w:rPr>
        <w:t xml:space="preserve"> </w:t>
      </w:r>
      <w:proofErr w:type="spellStart"/>
      <w:r w:rsidR="00360248" w:rsidRPr="00705170">
        <w:rPr>
          <w:rFonts w:ascii="Times New Roman" w:hAnsi="Times New Roman" w:cs="Times New Roman"/>
        </w:rPr>
        <w:t>protection</w:t>
      </w:r>
      <w:proofErr w:type="spellEnd"/>
      <w:r w:rsidR="00360248" w:rsidRPr="00705170">
        <w:rPr>
          <w:rFonts w:ascii="Times New Roman" w:hAnsi="Times New Roman" w:cs="Times New Roman"/>
        </w:rPr>
        <w:t xml:space="preserve"> of </w:t>
      </w:r>
      <w:proofErr w:type="spellStart"/>
      <w:r w:rsidR="00393383" w:rsidRPr="00705170">
        <w:rPr>
          <w:rFonts w:ascii="Times New Roman" w:hAnsi="Times New Roman" w:cs="Times New Roman"/>
        </w:rPr>
        <w:t>the</w:t>
      </w:r>
      <w:proofErr w:type="spellEnd"/>
      <w:r w:rsidR="00393383" w:rsidRPr="00705170">
        <w:rPr>
          <w:rFonts w:ascii="Times New Roman" w:hAnsi="Times New Roman" w:cs="Times New Roman"/>
        </w:rPr>
        <w:t xml:space="preserve"> </w:t>
      </w:r>
      <w:proofErr w:type="spellStart"/>
      <w:r w:rsidR="008D06CA" w:rsidRPr="00705170">
        <w:rPr>
          <w:rFonts w:ascii="Times New Roman" w:hAnsi="Times New Roman" w:cs="Times New Roman"/>
        </w:rPr>
        <w:t>basic</w:t>
      </w:r>
      <w:proofErr w:type="spellEnd"/>
      <w:r w:rsidR="008D06CA" w:rsidRPr="00705170">
        <w:rPr>
          <w:rFonts w:ascii="Times New Roman" w:hAnsi="Times New Roman" w:cs="Times New Roman"/>
        </w:rPr>
        <w:t xml:space="preserve"> </w:t>
      </w:r>
      <w:proofErr w:type="spellStart"/>
      <w:r w:rsidR="00393383" w:rsidRPr="00705170">
        <w:rPr>
          <w:rFonts w:ascii="Times New Roman" w:hAnsi="Times New Roman" w:cs="Times New Roman"/>
        </w:rPr>
        <w:t>expectations</w:t>
      </w:r>
      <w:proofErr w:type="spellEnd"/>
      <w:r w:rsidR="00393383" w:rsidRPr="00705170">
        <w:rPr>
          <w:rFonts w:ascii="Times New Roman" w:hAnsi="Times New Roman" w:cs="Times New Roman"/>
        </w:rPr>
        <w:t xml:space="preserve"> of </w:t>
      </w:r>
      <w:proofErr w:type="spellStart"/>
      <w:r w:rsidR="00393383" w:rsidRPr="00705170">
        <w:rPr>
          <w:rFonts w:ascii="Times New Roman" w:hAnsi="Times New Roman" w:cs="Times New Roman"/>
        </w:rPr>
        <w:t>the</w:t>
      </w:r>
      <w:proofErr w:type="spellEnd"/>
      <w:r w:rsidR="00393383" w:rsidRPr="00705170">
        <w:rPr>
          <w:rFonts w:ascii="Times New Roman" w:hAnsi="Times New Roman" w:cs="Times New Roman"/>
        </w:rPr>
        <w:t xml:space="preserve"> </w:t>
      </w:r>
      <w:proofErr w:type="spellStart"/>
      <w:r w:rsidR="00393383" w:rsidRPr="00705170">
        <w:rPr>
          <w:rFonts w:ascii="Times New Roman" w:hAnsi="Times New Roman" w:cs="Times New Roman"/>
        </w:rPr>
        <w:t>shareholders</w:t>
      </w:r>
      <w:proofErr w:type="spellEnd"/>
      <w:r w:rsidR="00393383" w:rsidRPr="00705170">
        <w:rPr>
          <w:rFonts w:ascii="Times New Roman" w:hAnsi="Times New Roman" w:cs="Times New Roman"/>
        </w:rPr>
        <w:t xml:space="preserve"> </w:t>
      </w:r>
      <w:r w:rsidR="00360248" w:rsidRPr="00705170">
        <w:rPr>
          <w:rFonts w:ascii="Times New Roman" w:hAnsi="Times New Roman" w:cs="Times New Roman"/>
        </w:rPr>
        <w:t xml:space="preserve">is </w:t>
      </w:r>
      <w:proofErr w:type="spellStart"/>
      <w:r w:rsidR="000D09D5">
        <w:rPr>
          <w:rFonts w:ascii="Times New Roman" w:hAnsi="Times New Roman" w:cs="Times New Roman"/>
        </w:rPr>
        <w:t>statutorily</w:t>
      </w:r>
      <w:proofErr w:type="spellEnd"/>
      <w:r w:rsidR="000D09D5">
        <w:rPr>
          <w:rFonts w:ascii="Times New Roman" w:hAnsi="Times New Roman" w:cs="Times New Roman"/>
        </w:rPr>
        <w:t xml:space="preserve"> </w:t>
      </w:r>
      <w:proofErr w:type="spellStart"/>
      <w:r w:rsidR="00360248" w:rsidRPr="00705170">
        <w:rPr>
          <w:rFonts w:ascii="Times New Roman" w:hAnsi="Times New Roman" w:cs="Times New Roman"/>
        </w:rPr>
        <w:t>getting</w:t>
      </w:r>
      <w:proofErr w:type="spellEnd"/>
      <w:r w:rsidR="00360248" w:rsidRPr="00705170">
        <w:rPr>
          <w:rFonts w:ascii="Times New Roman" w:hAnsi="Times New Roman" w:cs="Times New Roman"/>
        </w:rPr>
        <w:t xml:space="preserve"> </w:t>
      </w:r>
      <w:proofErr w:type="spellStart"/>
      <w:r w:rsidR="00360248" w:rsidRPr="00705170">
        <w:rPr>
          <w:rFonts w:ascii="Times New Roman" w:hAnsi="Times New Roman" w:cs="Times New Roman"/>
        </w:rPr>
        <w:t>the</w:t>
      </w:r>
      <w:proofErr w:type="spellEnd"/>
      <w:r w:rsidR="00360248" w:rsidRPr="00705170">
        <w:rPr>
          <w:rFonts w:ascii="Times New Roman" w:hAnsi="Times New Roman" w:cs="Times New Roman"/>
        </w:rPr>
        <w:t xml:space="preserve"> </w:t>
      </w:r>
      <w:proofErr w:type="spellStart"/>
      <w:r w:rsidR="00360248" w:rsidRPr="00705170">
        <w:rPr>
          <w:rFonts w:ascii="Times New Roman" w:hAnsi="Times New Roman" w:cs="Times New Roman"/>
        </w:rPr>
        <w:t>support</w:t>
      </w:r>
      <w:proofErr w:type="spellEnd"/>
      <w:r w:rsidR="00360248" w:rsidRPr="00705170">
        <w:rPr>
          <w:rFonts w:ascii="Times New Roman" w:hAnsi="Times New Roman" w:cs="Times New Roman"/>
        </w:rPr>
        <w:t xml:space="preserve"> </w:t>
      </w:r>
      <w:proofErr w:type="spellStart"/>
      <w:r w:rsidR="00B919DA">
        <w:rPr>
          <w:rFonts w:ascii="Times New Roman" w:hAnsi="Times New Roman" w:cs="Times New Roman"/>
        </w:rPr>
        <w:t>from</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the</w:t>
      </w:r>
      <w:proofErr w:type="spellEnd"/>
      <w:r w:rsidR="00FF31C9">
        <w:rPr>
          <w:rFonts w:ascii="Times New Roman" w:hAnsi="Times New Roman" w:cs="Times New Roman"/>
        </w:rPr>
        <w:t xml:space="preserve"> </w:t>
      </w:r>
      <w:proofErr w:type="spellStart"/>
      <w:r w:rsidR="00FF31C9">
        <w:rPr>
          <w:rFonts w:ascii="Times New Roman" w:hAnsi="Times New Roman" w:cs="Times New Roman"/>
        </w:rPr>
        <w:t>shareholder</w:t>
      </w:r>
      <w:proofErr w:type="spellEnd"/>
      <w:r w:rsidR="00B919DA">
        <w:rPr>
          <w:rFonts w:ascii="Times New Roman" w:hAnsi="Times New Roman" w:cs="Times New Roman"/>
        </w:rPr>
        <w:t xml:space="preserve"> </w:t>
      </w:r>
      <w:proofErr w:type="spellStart"/>
      <w:r w:rsidR="00B919DA">
        <w:rPr>
          <w:rFonts w:ascii="Times New Roman" w:hAnsi="Times New Roman" w:cs="Times New Roman"/>
        </w:rPr>
        <w:t>rights</w:t>
      </w:r>
      <w:proofErr w:type="spellEnd"/>
      <w:r w:rsidR="00FF31C9">
        <w:rPr>
          <w:rFonts w:ascii="Times New Roman" w:hAnsi="Times New Roman" w:cs="Times New Roman"/>
        </w:rPr>
        <w:t>.</w:t>
      </w:r>
      <w:r w:rsidR="00F05D98">
        <w:rPr>
          <w:rFonts w:ascii="Times New Roman" w:hAnsi="Times New Roman" w:cs="Times New Roman"/>
        </w:rPr>
        <w:t xml:space="preserve"> </w:t>
      </w:r>
    </w:p>
    <w:p w14:paraId="66479BE2" w14:textId="6E63D892" w:rsidR="00AB471D" w:rsidRPr="00705170" w:rsidRDefault="00C01441" w:rsidP="00683341">
      <w:pPr>
        <w:spacing w:after="240" w:line="480" w:lineRule="auto"/>
        <w:ind w:firstLine="720"/>
        <w:jc w:val="both"/>
        <w:rPr>
          <w:rFonts w:ascii="Times New Roman" w:hAnsi="Times New Roman" w:cs="Times New Roman"/>
          <w:b/>
          <w:color w:val="000000" w:themeColor="text1"/>
        </w:rPr>
      </w:pPr>
      <w:r>
        <w:rPr>
          <w:rFonts w:ascii="Times New Roman" w:hAnsi="Times New Roman" w:cs="Times New Roman"/>
          <w:b/>
          <w:color w:val="000000" w:themeColor="text1"/>
        </w:rPr>
        <w:t>4</w:t>
      </w:r>
      <w:r w:rsidR="00AB471D" w:rsidRPr="00705170">
        <w:rPr>
          <w:rFonts w:ascii="Times New Roman" w:hAnsi="Times New Roman" w:cs="Times New Roman"/>
          <w:b/>
          <w:color w:val="000000" w:themeColor="text1"/>
        </w:rPr>
        <w:t xml:space="preserve">.1.3. </w:t>
      </w:r>
      <w:proofErr w:type="spellStart"/>
      <w:r w:rsidR="00AB471D" w:rsidRPr="00705170">
        <w:rPr>
          <w:rFonts w:ascii="Times New Roman" w:hAnsi="Times New Roman" w:cs="Times New Roman"/>
          <w:b/>
          <w:color w:val="000000" w:themeColor="text1"/>
        </w:rPr>
        <w:t>Purview</w:t>
      </w:r>
      <w:proofErr w:type="spellEnd"/>
      <w:r w:rsidR="00AB471D" w:rsidRPr="00705170">
        <w:rPr>
          <w:rFonts w:ascii="Times New Roman" w:hAnsi="Times New Roman" w:cs="Times New Roman"/>
          <w:b/>
          <w:color w:val="000000" w:themeColor="text1"/>
        </w:rPr>
        <w:t xml:space="preserve"> of </w:t>
      </w:r>
      <w:proofErr w:type="spellStart"/>
      <w:r w:rsidR="00AB471D" w:rsidRPr="00705170">
        <w:rPr>
          <w:rFonts w:ascii="Times New Roman" w:hAnsi="Times New Roman" w:cs="Times New Roman"/>
          <w:b/>
          <w:color w:val="000000" w:themeColor="text1"/>
        </w:rPr>
        <w:t>the</w:t>
      </w:r>
      <w:proofErr w:type="spellEnd"/>
      <w:r w:rsidR="00AB471D" w:rsidRPr="00705170">
        <w:rPr>
          <w:rFonts w:ascii="Times New Roman" w:hAnsi="Times New Roman" w:cs="Times New Roman"/>
          <w:b/>
          <w:color w:val="000000" w:themeColor="text1"/>
        </w:rPr>
        <w:t xml:space="preserve"> Basic </w:t>
      </w:r>
      <w:proofErr w:type="spellStart"/>
      <w:r w:rsidR="00AB471D" w:rsidRPr="00705170">
        <w:rPr>
          <w:rFonts w:ascii="Times New Roman" w:hAnsi="Times New Roman" w:cs="Times New Roman"/>
          <w:b/>
          <w:color w:val="000000" w:themeColor="text1"/>
        </w:rPr>
        <w:t>Reasonable</w:t>
      </w:r>
      <w:proofErr w:type="spellEnd"/>
      <w:r w:rsidR="00AB471D" w:rsidRPr="00705170">
        <w:rPr>
          <w:rFonts w:ascii="Times New Roman" w:hAnsi="Times New Roman" w:cs="Times New Roman"/>
          <w:b/>
          <w:color w:val="000000" w:themeColor="text1"/>
        </w:rPr>
        <w:t xml:space="preserve"> </w:t>
      </w:r>
      <w:proofErr w:type="spellStart"/>
      <w:r w:rsidR="00AB471D" w:rsidRPr="00705170">
        <w:rPr>
          <w:rFonts w:ascii="Times New Roman" w:hAnsi="Times New Roman" w:cs="Times New Roman"/>
          <w:b/>
          <w:color w:val="000000" w:themeColor="text1"/>
        </w:rPr>
        <w:t>Expectations</w:t>
      </w:r>
      <w:proofErr w:type="spellEnd"/>
    </w:p>
    <w:p w14:paraId="02A0ACC2" w14:textId="4AF237F7" w:rsidR="00010E4A" w:rsidRPr="00705170" w:rsidRDefault="00010E4A" w:rsidP="00683341">
      <w:pPr>
        <w:spacing w:after="240" w:line="480" w:lineRule="auto"/>
        <w:ind w:firstLine="720"/>
        <w:jc w:val="both"/>
        <w:rPr>
          <w:rFonts w:ascii="Times New Roman" w:hAnsi="Times New Roman" w:cs="Times New Roman"/>
          <w:b/>
        </w:rPr>
      </w:pPr>
      <w:r w:rsidRPr="00705170">
        <w:rPr>
          <w:rFonts w:ascii="Times New Roman" w:hAnsi="Times New Roman" w:cs="Times New Roman"/>
          <w:b/>
        </w:rPr>
        <w:lastRenderedPageBreak/>
        <w:t xml:space="preserve">1) </w:t>
      </w:r>
      <w:proofErr w:type="spellStart"/>
      <w:r w:rsidRPr="00705170">
        <w:rPr>
          <w:rFonts w:ascii="Times New Roman" w:hAnsi="Times New Roman" w:cs="Times New Roman"/>
          <w:b/>
        </w:rPr>
        <w:t>Expectations</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Regarding</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the</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Corporate</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Purpose</w:t>
      </w:r>
      <w:proofErr w:type="spellEnd"/>
    </w:p>
    <w:p w14:paraId="7EA02C6A" w14:textId="4EE2B3B2" w:rsidR="00B717A7" w:rsidRPr="00705170" w:rsidRDefault="00475324" w:rsidP="00B717A7">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Throughout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varied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history</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seen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body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been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seen</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community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particular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purpose</w:t>
      </w:r>
      <w:proofErr w:type="spellEnd"/>
      <w:r w:rsidRPr="00705170">
        <w:rPr>
          <w:rStyle w:val="DipnotBavurusu"/>
          <w:rFonts w:ascii="Times New Roman" w:hAnsi="Times New Roman" w:cs="Times New Roman"/>
        </w:rPr>
        <w:footnoteReference w:id="448"/>
      </w:r>
      <w:r w:rsidRPr="00705170">
        <w:rPr>
          <w:rFonts w:ascii="Times New Roman" w:hAnsi="Times New Roman" w:cs="Times New Roman"/>
        </w:rPr>
        <w:t xml:space="preserve">. </w:t>
      </w:r>
      <w:proofErr w:type="spellStart"/>
      <w:r w:rsidR="00CC3F46" w:rsidRPr="00705170">
        <w:rPr>
          <w:rFonts w:ascii="Times New Roman" w:hAnsi="Times New Roman" w:cs="Times New Roman"/>
        </w:rPr>
        <w:t>Corollary</w:t>
      </w:r>
      <w:proofErr w:type="spellEnd"/>
      <w:r w:rsidR="00CC3F46" w:rsidRPr="00705170">
        <w:rPr>
          <w:rFonts w:ascii="Times New Roman" w:hAnsi="Times New Roman" w:cs="Times New Roman"/>
        </w:rPr>
        <w:t xml:space="preserve">, </w:t>
      </w:r>
      <w:proofErr w:type="spellStart"/>
      <w:r w:rsidR="00227C4C" w:rsidRPr="00705170">
        <w:rPr>
          <w:rFonts w:ascii="Times New Roman" w:hAnsi="Times New Roman" w:cs="Times New Roman"/>
        </w:rPr>
        <w:t>the</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principle</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that</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there</w:t>
      </w:r>
      <w:proofErr w:type="spellEnd"/>
      <w:r w:rsidR="00227C4C" w:rsidRPr="00705170">
        <w:rPr>
          <w:rFonts w:ascii="Times New Roman" w:hAnsi="Times New Roman" w:cs="Times New Roman"/>
        </w:rPr>
        <w:t xml:space="preserve"> is an </w:t>
      </w:r>
      <w:proofErr w:type="spellStart"/>
      <w:r w:rsidR="00227C4C" w:rsidRPr="00705170">
        <w:rPr>
          <w:rFonts w:ascii="Times New Roman" w:hAnsi="Times New Roman" w:cs="Times New Roman"/>
        </w:rPr>
        <w:t>impl</w:t>
      </w:r>
      <w:r w:rsidR="0032664D">
        <w:rPr>
          <w:rFonts w:ascii="Times New Roman" w:hAnsi="Times New Roman" w:cs="Times New Roman"/>
        </w:rPr>
        <w:t>i</w:t>
      </w:r>
      <w:r w:rsidR="00227C4C" w:rsidRPr="00705170">
        <w:rPr>
          <w:rFonts w:ascii="Times New Roman" w:hAnsi="Times New Roman" w:cs="Times New Roman"/>
        </w:rPr>
        <w:t>ed</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contract</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among</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the</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shareholders</w:t>
      </w:r>
      <w:proofErr w:type="spellEnd"/>
      <w:r w:rsidR="00227C4C" w:rsidRPr="00705170">
        <w:rPr>
          <w:rFonts w:ascii="Times New Roman" w:hAnsi="Times New Roman" w:cs="Times New Roman"/>
        </w:rPr>
        <w:t xml:space="preserve"> of a </w:t>
      </w:r>
      <w:proofErr w:type="spellStart"/>
      <w:r w:rsidR="00227C4C" w:rsidRPr="00705170">
        <w:rPr>
          <w:rFonts w:ascii="Times New Roman" w:hAnsi="Times New Roman" w:cs="Times New Roman"/>
        </w:rPr>
        <w:t>corporation</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to</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pursue</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the</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purpose</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which</w:t>
      </w:r>
      <w:proofErr w:type="spellEnd"/>
      <w:r w:rsidR="00227C4C" w:rsidRPr="00705170">
        <w:rPr>
          <w:rFonts w:ascii="Times New Roman" w:hAnsi="Times New Roman" w:cs="Times New Roman"/>
        </w:rPr>
        <w:t xml:space="preserve"> it </w:t>
      </w:r>
      <w:proofErr w:type="spellStart"/>
      <w:r w:rsidR="00227C4C" w:rsidRPr="00705170">
        <w:rPr>
          <w:rFonts w:ascii="Times New Roman" w:hAnsi="Times New Roman" w:cs="Times New Roman"/>
        </w:rPr>
        <w:t>was</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chartered</w:t>
      </w:r>
      <w:proofErr w:type="spellEnd"/>
      <w:r w:rsidR="00227C4C" w:rsidRPr="00705170">
        <w:rPr>
          <w:rFonts w:ascii="Times New Roman" w:hAnsi="Times New Roman" w:cs="Times New Roman"/>
        </w:rPr>
        <w:t xml:space="preserve"> has </w:t>
      </w:r>
      <w:proofErr w:type="spellStart"/>
      <w:r w:rsidR="00227C4C" w:rsidRPr="00705170">
        <w:rPr>
          <w:rFonts w:ascii="Times New Roman" w:hAnsi="Times New Roman" w:cs="Times New Roman"/>
        </w:rPr>
        <w:t>long</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been</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recognized</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by</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the</w:t>
      </w:r>
      <w:proofErr w:type="spellEnd"/>
      <w:r w:rsidR="00227C4C" w:rsidRPr="00705170">
        <w:rPr>
          <w:rFonts w:ascii="Times New Roman" w:hAnsi="Times New Roman" w:cs="Times New Roman"/>
        </w:rPr>
        <w:t xml:space="preserve"> </w:t>
      </w:r>
      <w:proofErr w:type="spellStart"/>
      <w:r w:rsidR="00227C4C" w:rsidRPr="00705170">
        <w:rPr>
          <w:rFonts w:ascii="Times New Roman" w:hAnsi="Times New Roman" w:cs="Times New Roman"/>
        </w:rPr>
        <w:t>judiciary</w:t>
      </w:r>
      <w:proofErr w:type="spellEnd"/>
      <w:r w:rsidR="00227C4C" w:rsidRPr="00705170">
        <w:rPr>
          <w:rStyle w:val="DipnotBavurusu"/>
          <w:rFonts w:ascii="Times New Roman" w:hAnsi="Times New Roman" w:cs="Times New Roman"/>
        </w:rPr>
        <w:footnoteReference w:id="449"/>
      </w:r>
      <w:r w:rsidR="00CC3F46" w:rsidRPr="00705170">
        <w:rPr>
          <w:rFonts w:ascii="Times New Roman" w:hAnsi="Times New Roman" w:cs="Times New Roman"/>
        </w:rPr>
        <w:t xml:space="preserve">. </w:t>
      </w:r>
      <w:proofErr w:type="spellStart"/>
      <w:r w:rsidR="007659CF" w:rsidRPr="00705170">
        <w:rPr>
          <w:rFonts w:ascii="Times New Roman" w:hAnsi="Times New Roman" w:cs="Times New Roman"/>
        </w:rPr>
        <w:t>R</w:t>
      </w:r>
      <w:r w:rsidR="00D258BD" w:rsidRPr="00705170">
        <w:rPr>
          <w:rFonts w:ascii="Times New Roman" w:hAnsi="Times New Roman" w:cs="Times New Roman"/>
        </w:rPr>
        <w:t>ather</w:t>
      </w:r>
      <w:proofErr w:type="spellEnd"/>
      <w:r w:rsidR="00D258BD" w:rsidRPr="00705170">
        <w:rPr>
          <w:rFonts w:ascii="Times New Roman" w:hAnsi="Times New Roman" w:cs="Times New Roman"/>
        </w:rPr>
        <w:t xml:space="preserve"> </w:t>
      </w:r>
      <w:proofErr w:type="spellStart"/>
      <w:r w:rsidR="00D258BD" w:rsidRPr="00705170">
        <w:rPr>
          <w:rFonts w:ascii="Times New Roman" w:hAnsi="Times New Roman" w:cs="Times New Roman"/>
        </w:rPr>
        <w:t>than</w:t>
      </w:r>
      <w:proofErr w:type="spellEnd"/>
      <w:r w:rsidR="00D258BD" w:rsidRPr="00705170">
        <w:rPr>
          <w:rFonts w:ascii="Times New Roman" w:hAnsi="Times New Roman" w:cs="Times New Roman"/>
        </w:rPr>
        <w:t xml:space="preserve"> </w:t>
      </w:r>
      <w:proofErr w:type="spellStart"/>
      <w:r w:rsidR="00CB45EA" w:rsidRPr="00705170">
        <w:rPr>
          <w:rFonts w:ascii="Times New Roman" w:hAnsi="Times New Roman" w:cs="Times New Roman"/>
        </w:rPr>
        <w:t>endeavouring</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to</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determine</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which</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constituent’s</w:t>
      </w:r>
      <w:proofErr w:type="spellEnd"/>
      <w:r w:rsidR="00D258BD" w:rsidRPr="00705170">
        <w:rPr>
          <w:rFonts w:ascii="Times New Roman" w:hAnsi="Times New Roman" w:cs="Times New Roman"/>
        </w:rPr>
        <w:t xml:space="preserve"> </w:t>
      </w:r>
      <w:proofErr w:type="spellStart"/>
      <w:r w:rsidR="00D258BD" w:rsidRPr="00705170">
        <w:rPr>
          <w:rFonts w:ascii="Times New Roman" w:hAnsi="Times New Roman" w:cs="Times New Roman"/>
        </w:rPr>
        <w:t>benefit</w:t>
      </w:r>
      <w:r w:rsidR="00CB45EA" w:rsidRPr="00705170">
        <w:rPr>
          <w:rFonts w:ascii="Times New Roman" w:hAnsi="Times New Roman" w:cs="Times New Roman"/>
        </w:rPr>
        <w:t>s</w:t>
      </w:r>
      <w:proofErr w:type="spellEnd"/>
      <w:r w:rsidR="00D258BD" w:rsidRPr="00705170">
        <w:rPr>
          <w:rFonts w:ascii="Times New Roman" w:hAnsi="Times New Roman" w:cs="Times New Roman"/>
        </w:rPr>
        <w:t xml:space="preserve"> </w:t>
      </w:r>
      <w:proofErr w:type="spellStart"/>
      <w:r w:rsidR="00D258BD" w:rsidRPr="00705170">
        <w:rPr>
          <w:rFonts w:ascii="Times New Roman" w:hAnsi="Times New Roman" w:cs="Times New Roman"/>
        </w:rPr>
        <w:t>should</w:t>
      </w:r>
      <w:proofErr w:type="spellEnd"/>
      <w:r w:rsidR="00B35EA9" w:rsidRPr="00705170">
        <w:rPr>
          <w:rFonts w:ascii="Times New Roman" w:hAnsi="Times New Roman" w:cs="Times New Roman"/>
        </w:rPr>
        <w:t xml:space="preserve"> </w:t>
      </w:r>
      <w:r w:rsidR="00CB45EA" w:rsidRPr="00705170">
        <w:rPr>
          <w:rFonts w:ascii="Times New Roman" w:hAnsi="Times New Roman" w:cs="Times New Roman"/>
        </w:rPr>
        <w:t xml:space="preserve">be </w:t>
      </w:r>
      <w:proofErr w:type="spellStart"/>
      <w:r w:rsidR="00CB45EA" w:rsidRPr="00705170">
        <w:rPr>
          <w:rFonts w:ascii="Times New Roman" w:hAnsi="Times New Roman" w:cs="Times New Roman"/>
        </w:rPr>
        <w:t>the</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corporation’s</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primary</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concern</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this</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study</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focuses</w:t>
      </w:r>
      <w:proofErr w:type="spellEnd"/>
      <w:r w:rsidR="00B35EA9" w:rsidRPr="00705170">
        <w:rPr>
          <w:rFonts w:ascii="Times New Roman" w:hAnsi="Times New Roman" w:cs="Times New Roman"/>
        </w:rPr>
        <w:t xml:space="preserve"> on </w:t>
      </w:r>
      <w:proofErr w:type="spellStart"/>
      <w:r w:rsidR="00B35EA9" w:rsidRPr="00705170">
        <w:rPr>
          <w:rFonts w:ascii="Times New Roman" w:hAnsi="Times New Roman" w:cs="Times New Roman"/>
        </w:rPr>
        <w:t>the</w:t>
      </w:r>
      <w:proofErr w:type="spellEnd"/>
      <w:r w:rsidR="00B35EA9" w:rsidRPr="00705170">
        <w:rPr>
          <w:rFonts w:ascii="Times New Roman" w:hAnsi="Times New Roman" w:cs="Times New Roman"/>
        </w:rPr>
        <w:t xml:space="preserve"> </w:t>
      </w:r>
      <w:proofErr w:type="spellStart"/>
      <w:r w:rsidR="00B35EA9" w:rsidRPr="00705170">
        <w:rPr>
          <w:rFonts w:ascii="Times New Roman" w:hAnsi="Times New Roman" w:cs="Times New Roman"/>
        </w:rPr>
        <w:t>point</w:t>
      </w:r>
      <w:proofErr w:type="spellEnd"/>
      <w:r w:rsidR="00B35EA9" w:rsidRPr="00705170">
        <w:rPr>
          <w:rFonts w:ascii="Times New Roman" w:hAnsi="Times New Roman" w:cs="Times New Roman"/>
        </w:rPr>
        <w:t xml:space="preserve"> </w:t>
      </w:r>
      <w:proofErr w:type="spellStart"/>
      <w:r w:rsidR="00B35EA9" w:rsidRPr="00705170">
        <w:rPr>
          <w:rFonts w:ascii="Times New Roman" w:hAnsi="Times New Roman" w:cs="Times New Roman"/>
        </w:rPr>
        <w:t>that</w:t>
      </w:r>
      <w:proofErr w:type="spellEnd"/>
      <w:r w:rsidR="00B35EA9" w:rsidRPr="00705170">
        <w:rPr>
          <w:rFonts w:ascii="Times New Roman" w:hAnsi="Times New Roman" w:cs="Times New Roman"/>
        </w:rPr>
        <w:t xml:space="preserve"> </w:t>
      </w:r>
      <w:proofErr w:type="spellStart"/>
      <w:r w:rsidR="00E657A1" w:rsidRPr="00705170">
        <w:rPr>
          <w:rFonts w:ascii="Times New Roman" w:hAnsi="Times New Roman" w:cs="Times New Roman"/>
        </w:rPr>
        <w:t>the</w:t>
      </w:r>
      <w:proofErr w:type="spellEnd"/>
      <w:r w:rsidR="00E657A1" w:rsidRPr="00705170">
        <w:rPr>
          <w:rFonts w:ascii="Times New Roman" w:hAnsi="Times New Roman" w:cs="Times New Roman"/>
        </w:rPr>
        <w:t xml:space="preserve"> </w:t>
      </w:r>
      <w:proofErr w:type="spellStart"/>
      <w:r w:rsidR="00E657A1" w:rsidRPr="00705170">
        <w:rPr>
          <w:rFonts w:ascii="Times New Roman" w:hAnsi="Times New Roman" w:cs="Times New Roman"/>
        </w:rPr>
        <w:t>ultimate</w:t>
      </w:r>
      <w:proofErr w:type="spellEnd"/>
      <w:r w:rsidR="00E657A1" w:rsidRPr="00705170">
        <w:rPr>
          <w:rFonts w:ascii="Times New Roman" w:hAnsi="Times New Roman" w:cs="Times New Roman"/>
        </w:rPr>
        <w:t xml:space="preserve"> </w:t>
      </w:r>
      <w:proofErr w:type="spellStart"/>
      <w:r w:rsidR="00E657A1" w:rsidRPr="00705170">
        <w:rPr>
          <w:rFonts w:ascii="Times New Roman" w:hAnsi="Times New Roman" w:cs="Times New Roman"/>
        </w:rPr>
        <w:t>purpose</w:t>
      </w:r>
      <w:proofErr w:type="spellEnd"/>
      <w:r w:rsidR="00E657A1" w:rsidRPr="00705170">
        <w:rPr>
          <w:rFonts w:ascii="Times New Roman" w:hAnsi="Times New Roman" w:cs="Times New Roman"/>
        </w:rPr>
        <w:t xml:space="preserve"> of </w:t>
      </w:r>
      <w:proofErr w:type="spellStart"/>
      <w:r w:rsidR="00E657A1" w:rsidRPr="00705170">
        <w:rPr>
          <w:rFonts w:ascii="Times New Roman" w:hAnsi="Times New Roman" w:cs="Times New Roman"/>
        </w:rPr>
        <w:t>the</w:t>
      </w:r>
      <w:proofErr w:type="spellEnd"/>
      <w:r w:rsidR="00E657A1" w:rsidRPr="00705170">
        <w:rPr>
          <w:rFonts w:ascii="Times New Roman" w:hAnsi="Times New Roman" w:cs="Times New Roman"/>
        </w:rPr>
        <w:t xml:space="preserve"> </w:t>
      </w:r>
      <w:proofErr w:type="spellStart"/>
      <w:r w:rsidR="00E657A1" w:rsidRPr="00705170">
        <w:rPr>
          <w:rFonts w:ascii="Times New Roman" w:hAnsi="Times New Roman" w:cs="Times New Roman"/>
        </w:rPr>
        <w:t>for</w:t>
      </w:r>
      <w:proofErr w:type="spellEnd"/>
      <w:r w:rsidR="00E657A1" w:rsidRPr="00705170">
        <w:rPr>
          <w:rFonts w:ascii="Times New Roman" w:hAnsi="Times New Roman" w:cs="Times New Roman"/>
        </w:rPr>
        <w:t xml:space="preserve">- </w:t>
      </w:r>
      <w:proofErr w:type="spellStart"/>
      <w:r w:rsidR="00E657A1" w:rsidRPr="00705170">
        <w:rPr>
          <w:rFonts w:ascii="Times New Roman" w:hAnsi="Times New Roman" w:cs="Times New Roman"/>
        </w:rPr>
        <w:t>profit</w:t>
      </w:r>
      <w:proofErr w:type="spellEnd"/>
      <w:r w:rsidR="00E657A1" w:rsidRPr="00705170">
        <w:rPr>
          <w:rFonts w:ascii="Times New Roman" w:hAnsi="Times New Roman" w:cs="Times New Roman"/>
        </w:rPr>
        <w:t xml:space="preserve"> </w:t>
      </w:r>
      <w:proofErr w:type="spellStart"/>
      <w:r w:rsidR="00E657A1" w:rsidRPr="00705170">
        <w:rPr>
          <w:rFonts w:ascii="Times New Roman" w:hAnsi="Times New Roman" w:cs="Times New Roman"/>
        </w:rPr>
        <w:t>corporation</w:t>
      </w:r>
      <w:proofErr w:type="spellEnd"/>
      <w:r w:rsidR="00E657A1" w:rsidRPr="00705170">
        <w:rPr>
          <w:rFonts w:ascii="Times New Roman" w:hAnsi="Times New Roman" w:cs="Times New Roman"/>
        </w:rPr>
        <w:t xml:space="preserve"> is</w:t>
      </w:r>
      <w:r w:rsidR="008D006D" w:rsidRPr="00705170">
        <w:rPr>
          <w:rFonts w:ascii="Times New Roman" w:hAnsi="Times New Roman" w:cs="Times New Roman"/>
        </w:rPr>
        <w:t xml:space="preserve"> </w:t>
      </w:r>
      <w:proofErr w:type="spellStart"/>
      <w:r w:rsidR="008D006D" w:rsidRPr="00705170">
        <w:rPr>
          <w:rFonts w:ascii="Times New Roman" w:hAnsi="Times New Roman" w:cs="Times New Roman"/>
        </w:rPr>
        <w:t>to</w:t>
      </w:r>
      <w:proofErr w:type="spellEnd"/>
      <w:r w:rsidR="008D006D" w:rsidRPr="00705170">
        <w:rPr>
          <w:rFonts w:ascii="Times New Roman" w:hAnsi="Times New Roman" w:cs="Times New Roman"/>
        </w:rPr>
        <w:t xml:space="preserve"> </w:t>
      </w:r>
      <w:proofErr w:type="spellStart"/>
      <w:r w:rsidR="008D006D" w:rsidRPr="00705170">
        <w:rPr>
          <w:rFonts w:ascii="Times New Roman" w:hAnsi="Times New Roman" w:cs="Times New Roman"/>
        </w:rPr>
        <w:t>generally</w:t>
      </w:r>
      <w:proofErr w:type="spellEnd"/>
      <w:r w:rsidR="008D006D" w:rsidRPr="00705170">
        <w:rPr>
          <w:rFonts w:ascii="Times New Roman" w:hAnsi="Times New Roman" w:cs="Times New Roman"/>
        </w:rPr>
        <w:t xml:space="preserve"> </w:t>
      </w:r>
      <w:proofErr w:type="spellStart"/>
      <w:r w:rsidR="000D09D5">
        <w:rPr>
          <w:rFonts w:ascii="Times New Roman" w:hAnsi="Times New Roman" w:cs="Times New Roman"/>
        </w:rPr>
        <w:t>generate</w:t>
      </w:r>
      <w:proofErr w:type="spellEnd"/>
      <w:r w:rsidR="000D09D5" w:rsidRPr="00705170">
        <w:rPr>
          <w:rFonts w:ascii="Times New Roman" w:hAnsi="Times New Roman" w:cs="Times New Roman"/>
        </w:rPr>
        <w:t xml:space="preserve"> </w:t>
      </w:r>
      <w:proofErr w:type="spellStart"/>
      <w:r w:rsidR="008D006D" w:rsidRPr="00705170">
        <w:rPr>
          <w:rFonts w:ascii="Times New Roman" w:hAnsi="Times New Roman" w:cs="Times New Roman"/>
        </w:rPr>
        <w:t>or</w:t>
      </w:r>
      <w:proofErr w:type="spellEnd"/>
      <w:r w:rsidR="008D006D" w:rsidRPr="00705170">
        <w:rPr>
          <w:rFonts w:ascii="Times New Roman" w:hAnsi="Times New Roman" w:cs="Times New Roman"/>
        </w:rPr>
        <w:t xml:space="preserve"> </w:t>
      </w:r>
      <w:proofErr w:type="spellStart"/>
      <w:r w:rsidR="00E657A1" w:rsidRPr="00705170">
        <w:rPr>
          <w:rFonts w:ascii="Times New Roman" w:hAnsi="Times New Roman" w:cs="Times New Roman"/>
        </w:rPr>
        <w:t>return</w:t>
      </w:r>
      <w:proofErr w:type="spellEnd"/>
      <w:r w:rsidR="00B35EA9" w:rsidRPr="00705170">
        <w:rPr>
          <w:rFonts w:ascii="Times New Roman" w:hAnsi="Times New Roman" w:cs="Times New Roman"/>
        </w:rPr>
        <w:t xml:space="preserve"> </w:t>
      </w:r>
      <w:proofErr w:type="spellStart"/>
      <w:r w:rsidR="00B35EA9" w:rsidRPr="00705170">
        <w:rPr>
          <w:rFonts w:ascii="Times New Roman" w:hAnsi="Times New Roman" w:cs="Times New Roman"/>
        </w:rPr>
        <w:t>economic</w:t>
      </w:r>
      <w:proofErr w:type="spellEnd"/>
      <w:r w:rsidR="00B35EA9" w:rsidRPr="00705170">
        <w:rPr>
          <w:rFonts w:ascii="Times New Roman" w:hAnsi="Times New Roman" w:cs="Times New Roman"/>
        </w:rPr>
        <w:t xml:space="preserve"> </w:t>
      </w:r>
      <w:proofErr w:type="spellStart"/>
      <w:r w:rsidR="00B35EA9" w:rsidRPr="00705170">
        <w:rPr>
          <w:rFonts w:ascii="Times New Roman" w:hAnsi="Times New Roman" w:cs="Times New Roman"/>
        </w:rPr>
        <w:t>benefit</w:t>
      </w:r>
      <w:r w:rsidR="00CB45EA" w:rsidRPr="00705170">
        <w:rPr>
          <w:rFonts w:ascii="Times New Roman" w:hAnsi="Times New Roman" w:cs="Times New Roman"/>
        </w:rPr>
        <w:t>s</w:t>
      </w:r>
      <w:proofErr w:type="spellEnd"/>
      <w:r w:rsidR="00C72222" w:rsidRPr="00705170">
        <w:rPr>
          <w:rStyle w:val="DipnotBavurusu"/>
          <w:rFonts w:ascii="Times New Roman" w:hAnsi="Times New Roman" w:cs="Times New Roman"/>
        </w:rPr>
        <w:footnoteReference w:id="450"/>
      </w:r>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Herein</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shareholder</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wealth</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maximization</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or</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profit</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growth</w:t>
      </w:r>
      <w:proofErr w:type="spellEnd"/>
      <w:r w:rsidR="00CB45EA" w:rsidRPr="00705170">
        <w:rPr>
          <w:rFonts w:ascii="Times New Roman" w:hAnsi="Times New Roman" w:cs="Times New Roman"/>
        </w:rPr>
        <w:t xml:space="preserve"> </w:t>
      </w:r>
      <w:proofErr w:type="spellStart"/>
      <w:r w:rsidR="00CB45EA" w:rsidRPr="00705170">
        <w:rPr>
          <w:rFonts w:ascii="Times New Roman" w:hAnsi="Times New Roman" w:cs="Times New Roman"/>
        </w:rPr>
        <w:t>are</w:t>
      </w:r>
      <w:proofErr w:type="spellEnd"/>
      <w:r w:rsidR="00721D93" w:rsidRPr="00705170">
        <w:rPr>
          <w:rFonts w:ascii="Times New Roman" w:hAnsi="Times New Roman" w:cs="Times New Roman"/>
        </w:rPr>
        <w:t xml:space="preserve"> </w:t>
      </w:r>
      <w:proofErr w:type="spellStart"/>
      <w:r w:rsidR="00721D93" w:rsidRPr="00705170">
        <w:rPr>
          <w:rFonts w:ascii="Times New Roman" w:hAnsi="Times New Roman" w:cs="Times New Roman"/>
        </w:rPr>
        <w:t>merely</w:t>
      </w:r>
      <w:proofErr w:type="spellEnd"/>
      <w:r w:rsidR="00721D93" w:rsidRPr="00705170">
        <w:rPr>
          <w:rFonts w:ascii="Times New Roman" w:hAnsi="Times New Roman" w:cs="Times New Roman"/>
        </w:rPr>
        <w:t xml:space="preserve"> </w:t>
      </w:r>
      <w:proofErr w:type="spellStart"/>
      <w:r w:rsidR="00721D93" w:rsidRPr="00705170">
        <w:rPr>
          <w:rFonts w:ascii="Times New Roman" w:hAnsi="Times New Roman" w:cs="Times New Roman"/>
        </w:rPr>
        <w:t>means</w:t>
      </w:r>
      <w:proofErr w:type="spellEnd"/>
      <w:r w:rsidR="00721D93" w:rsidRPr="00705170">
        <w:rPr>
          <w:rFonts w:ascii="Times New Roman" w:hAnsi="Times New Roman" w:cs="Times New Roman"/>
        </w:rPr>
        <w:t xml:space="preserve"> </w:t>
      </w:r>
      <w:proofErr w:type="spellStart"/>
      <w:r w:rsidR="00721D93" w:rsidRPr="00705170">
        <w:rPr>
          <w:rFonts w:ascii="Times New Roman" w:hAnsi="Times New Roman" w:cs="Times New Roman"/>
        </w:rPr>
        <w:t>to</w:t>
      </w:r>
      <w:proofErr w:type="spellEnd"/>
      <w:r w:rsidR="00721D93" w:rsidRPr="00705170">
        <w:rPr>
          <w:rFonts w:ascii="Times New Roman" w:hAnsi="Times New Roman" w:cs="Times New Roman"/>
        </w:rPr>
        <w:t xml:space="preserve"> an </w:t>
      </w:r>
      <w:proofErr w:type="spellStart"/>
      <w:r w:rsidR="00721D93" w:rsidRPr="00705170">
        <w:rPr>
          <w:rFonts w:ascii="Times New Roman" w:hAnsi="Times New Roman" w:cs="Times New Roman"/>
        </w:rPr>
        <w:t>end</w:t>
      </w:r>
      <w:proofErr w:type="spellEnd"/>
      <w:r w:rsidR="00721D93" w:rsidRPr="00705170">
        <w:rPr>
          <w:rFonts w:ascii="Times New Roman" w:hAnsi="Times New Roman" w:cs="Times New Roman"/>
        </w:rPr>
        <w:t xml:space="preserve">, </w:t>
      </w:r>
      <w:proofErr w:type="spellStart"/>
      <w:r w:rsidR="00721D93" w:rsidRPr="00705170">
        <w:rPr>
          <w:rFonts w:ascii="Times New Roman" w:hAnsi="Times New Roman" w:cs="Times New Roman"/>
        </w:rPr>
        <w:t>or</w:t>
      </w:r>
      <w:proofErr w:type="spellEnd"/>
      <w:r w:rsidR="00721D93" w:rsidRPr="00705170">
        <w:rPr>
          <w:rFonts w:ascii="Times New Roman" w:hAnsi="Times New Roman" w:cs="Times New Roman"/>
        </w:rPr>
        <w:t xml:space="preserve"> an</w:t>
      </w:r>
      <w:r w:rsidR="00E657A1" w:rsidRPr="00705170">
        <w:rPr>
          <w:rFonts w:ascii="Times New Roman" w:hAnsi="Times New Roman" w:cs="Times New Roman"/>
        </w:rPr>
        <w:t xml:space="preserve"> </w:t>
      </w:r>
      <w:proofErr w:type="spellStart"/>
      <w:r w:rsidR="00E657A1" w:rsidRPr="00705170">
        <w:rPr>
          <w:rFonts w:ascii="Times New Roman" w:hAnsi="Times New Roman" w:cs="Times New Roman"/>
        </w:rPr>
        <w:t>instrumental</w:t>
      </w:r>
      <w:proofErr w:type="spellEnd"/>
      <w:r w:rsidR="00E657A1" w:rsidRPr="00705170">
        <w:rPr>
          <w:rFonts w:ascii="Times New Roman" w:hAnsi="Times New Roman" w:cs="Times New Roman"/>
        </w:rPr>
        <w:t xml:space="preserve"> </w:t>
      </w:r>
      <w:proofErr w:type="spellStart"/>
      <w:r w:rsidR="00E657A1" w:rsidRPr="00705170">
        <w:rPr>
          <w:rFonts w:ascii="Times New Roman" w:hAnsi="Times New Roman" w:cs="Times New Roman"/>
        </w:rPr>
        <w:t>good</w:t>
      </w:r>
      <w:proofErr w:type="spellEnd"/>
      <w:r w:rsidR="00E657A1" w:rsidRPr="00705170">
        <w:rPr>
          <w:rStyle w:val="DipnotBavurusu"/>
          <w:rFonts w:ascii="Times New Roman" w:hAnsi="Times New Roman" w:cs="Times New Roman"/>
        </w:rPr>
        <w:footnoteReference w:id="451"/>
      </w:r>
      <w:r w:rsidR="00E657A1" w:rsidRPr="00705170">
        <w:rPr>
          <w:rFonts w:ascii="Times New Roman" w:hAnsi="Times New Roman" w:cs="Times New Roman"/>
        </w:rPr>
        <w:t xml:space="preserve">. </w:t>
      </w:r>
      <w:proofErr w:type="spellStart"/>
      <w:r w:rsidR="00B717A7" w:rsidRPr="00705170">
        <w:rPr>
          <w:rFonts w:ascii="Times New Roman" w:hAnsi="Times New Roman" w:cs="Times New Roman"/>
        </w:rPr>
        <w:t>This</w:t>
      </w:r>
      <w:proofErr w:type="spellEnd"/>
      <w:r w:rsidR="00B717A7" w:rsidRPr="00705170">
        <w:rPr>
          <w:rFonts w:ascii="Times New Roman" w:hAnsi="Times New Roman" w:cs="Times New Roman"/>
        </w:rPr>
        <w:t xml:space="preserve"> </w:t>
      </w:r>
      <w:proofErr w:type="spellStart"/>
      <w:r w:rsidR="00B717A7" w:rsidRPr="00705170">
        <w:rPr>
          <w:rFonts w:ascii="Times New Roman" w:hAnsi="Times New Roman" w:cs="Times New Roman"/>
        </w:rPr>
        <w:t>notion</w:t>
      </w:r>
      <w:proofErr w:type="spellEnd"/>
      <w:r w:rsidR="00B717A7" w:rsidRPr="00705170">
        <w:rPr>
          <w:rFonts w:ascii="Times New Roman" w:hAnsi="Times New Roman" w:cs="Times New Roman"/>
        </w:rPr>
        <w:t xml:space="preserve"> is </w:t>
      </w:r>
      <w:proofErr w:type="spellStart"/>
      <w:r w:rsidR="00B717A7" w:rsidRPr="00705170">
        <w:rPr>
          <w:rFonts w:ascii="Times New Roman" w:hAnsi="Times New Roman" w:cs="Times New Roman"/>
        </w:rPr>
        <w:t>supported</w:t>
      </w:r>
      <w:proofErr w:type="spellEnd"/>
      <w:r w:rsidR="00B717A7" w:rsidRPr="00705170">
        <w:rPr>
          <w:rFonts w:ascii="Times New Roman" w:hAnsi="Times New Roman" w:cs="Times New Roman"/>
        </w:rPr>
        <w:t xml:space="preserve"> </w:t>
      </w:r>
      <w:proofErr w:type="spellStart"/>
      <w:r w:rsidR="00B717A7" w:rsidRPr="00705170">
        <w:rPr>
          <w:rFonts w:ascii="Times New Roman" w:hAnsi="Times New Roman" w:cs="Times New Roman"/>
        </w:rPr>
        <w:t>by</w:t>
      </w:r>
      <w:proofErr w:type="spellEnd"/>
      <w:r w:rsidR="00B717A7" w:rsidRPr="00705170">
        <w:rPr>
          <w:rFonts w:ascii="Times New Roman" w:hAnsi="Times New Roman" w:cs="Times New Roman"/>
        </w:rPr>
        <w:t xml:space="preserve"> </w:t>
      </w:r>
      <w:proofErr w:type="spellStart"/>
      <w:r w:rsidR="00B717A7" w:rsidRPr="00705170">
        <w:rPr>
          <w:rFonts w:ascii="Times New Roman" w:hAnsi="Times New Roman" w:cs="Times New Roman"/>
        </w:rPr>
        <w:t>the</w:t>
      </w:r>
      <w:proofErr w:type="spellEnd"/>
      <w:r w:rsidR="00B717A7" w:rsidRPr="00705170">
        <w:rPr>
          <w:rFonts w:ascii="Times New Roman" w:hAnsi="Times New Roman" w:cs="Times New Roman"/>
        </w:rPr>
        <w:t xml:space="preserve"> </w:t>
      </w:r>
      <w:proofErr w:type="spellStart"/>
      <w:r w:rsidR="00B717A7" w:rsidRPr="00705170">
        <w:rPr>
          <w:rFonts w:ascii="Times New Roman" w:hAnsi="Times New Roman" w:cs="Times New Roman"/>
        </w:rPr>
        <w:t>fact</w:t>
      </w:r>
      <w:proofErr w:type="spellEnd"/>
      <w:r w:rsidR="00B717A7" w:rsidRPr="00705170">
        <w:rPr>
          <w:rFonts w:ascii="Times New Roman" w:hAnsi="Times New Roman" w:cs="Times New Roman"/>
        </w:rPr>
        <w:t xml:space="preserve"> </w:t>
      </w:r>
      <w:proofErr w:type="spellStart"/>
      <w:r w:rsidR="001164E4" w:rsidRPr="00705170">
        <w:rPr>
          <w:rFonts w:ascii="Times New Roman" w:hAnsi="Times New Roman" w:cs="Times New Roman"/>
        </w:rPr>
        <w:t>that</w:t>
      </w:r>
      <w:proofErr w:type="spellEnd"/>
      <w:r w:rsidR="001164E4" w:rsidRPr="00705170">
        <w:rPr>
          <w:rFonts w:ascii="Times New Roman" w:hAnsi="Times New Roman" w:cs="Times New Roman"/>
        </w:rPr>
        <w:t xml:space="preserve"> </w:t>
      </w:r>
      <w:proofErr w:type="spellStart"/>
      <w:r w:rsidR="001164E4" w:rsidRPr="00705170">
        <w:rPr>
          <w:rFonts w:ascii="Times New Roman" w:hAnsi="Times New Roman" w:cs="Times New Roman"/>
        </w:rPr>
        <w:t>t</w:t>
      </w:r>
      <w:r w:rsidR="00AD3999" w:rsidRPr="00705170">
        <w:rPr>
          <w:rFonts w:ascii="Times New Roman" w:hAnsi="Times New Roman" w:cs="Times New Roman"/>
        </w:rPr>
        <w:t>he</w:t>
      </w:r>
      <w:proofErr w:type="spellEnd"/>
      <w:r w:rsidR="000C6CF3" w:rsidRPr="00705170">
        <w:rPr>
          <w:rFonts w:ascii="Times New Roman" w:hAnsi="Times New Roman" w:cs="Times New Roman"/>
        </w:rPr>
        <w:t xml:space="preserve"> </w:t>
      </w:r>
      <w:proofErr w:type="spellStart"/>
      <w:r w:rsidR="000C6CF3" w:rsidRPr="00705170">
        <w:rPr>
          <w:rFonts w:ascii="Times New Roman" w:hAnsi="Times New Roman" w:cs="Times New Roman"/>
        </w:rPr>
        <w:t>resources</w:t>
      </w:r>
      <w:proofErr w:type="spellEnd"/>
      <w:r w:rsidR="000C6CF3" w:rsidRPr="00705170">
        <w:rPr>
          <w:rFonts w:ascii="Times New Roman" w:hAnsi="Times New Roman" w:cs="Times New Roman"/>
        </w:rPr>
        <w:t xml:space="preserve"> in </w:t>
      </w:r>
      <w:proofErr w:type="spellStart"/>
      <w:r w:rsidR="000C6CF3" w:rsidRPr="00705170">
        <w:rPr>
          <w:rFonts w:ascii="Times New Roman" w:hAnsi="Times New Roman" w:cs="Times New Roman"/>
        </w:rPr>
        <w:t>the</w:t>
      </w:r>
      <w:proofErr w:type="spellEnd"/>
      <w:r w:rsidR="000C6CF3" w:rsidRPr="00705170">
        <w:rPr>
          <w:rFonts w:ascii="Times New Roman" w:hAnsi="Times New Roman" w:cs="Times New Roman"/>
        </w:rPr>
        <w:t xml:space="preserve"> </w:t>
      </w:r>
      <w:proofErr w:type="spellStart"/>
      <w:r w:rsidR="000C6CF3" w:rsidRPr="00705170">
        <w:rPr>
          <w:rFonts w:ascii="Times New Roman" w:hAnsi="Times New Roman" w:cs="Times New Roman"/>
        </w:rPr>
        <w:t>treasury</w:t>
      </w:r>
      <w:proofErr w:type="spellEnd"/>
      <w:r w:rsidR="000C6CF3" w:rsidRPr="00705170">
        <w:rPr>
          <w:rFonts w:ascii="Times New Roman" w:hAnsi="Times New Roman" w:cs="Times New Roman"/>
        </w:rPr>
        <w:t xml:space="preserve"> of a </w:t>
      </w:r>
      <w:proofErr w:type="spellStart"/>
      <w:r w:rsidR="000C6CF3" w:rsidRPr="00705170">
        <w:rPr>
          <w:rFonts w:ascii="Times New Roman" w:hAnsi="Times New Roman" w:cs="Times New Roman"/>
        </w:rPr>
        <w:t>for</w:t>
      </w:r>
      <w:proofErr w:type="spellEnd"/>
      <w:r w:rsidR="000C6CF3" w:rsidRPr="00705170">
        <w:rPr>
          <w:rFonts w:ascii="Times New Roman" w:hAnsi="Times New Roman" w:cs="Times New Roman"/>
        </w:rPr>
        <w:t xml:space="preserve">- </w:t>
      </w:r>
      <w:proofErr w:type="spellStart"/>
      <w:r w:rsidR="000C6CF3" w:rsidRPr="00705170">
        <w:rPr>
          <w:rFonts w:ascii="Times New Roman" w:hAnsi="Times New Roman" w:cs="Times New Roman"/>
        </w:rPr>
        <w:t>profit</w:t>
      </w:r>
      <w:proofErr w:type="spellEnd"/>
      <w:r w:rsidR="000C6CF3" w:rsidRPr="00705170">
        <w:rPr>
          <w:rFonts w:ascii="Times New Roman" w:hAnsi="Times New Roman" w:cs="Times New Roman"/>
        </w:rPr>
        <w:t xml:space="preserve"> </w:t>
      </w:r>
      <w:proofErr w:type="spellStart"/>
      <w:r w:rsidR="000C6CF3" w:rsidRPr="00705170">
        <w:rPr>
          <w:rFonts w:ascii="Times New Roman" w:hAnsi="Times New Roman" w:cs="Times New Roman"/>
        </w:rPr>
        <w:t>corporation</w:t>
      </w:r>
      <w:proofErr w:type="spellEnd"/>
      <w:r w:rsidR="00AD3999" w:rsidRPr="00705170">
        <w:rPr>
          <w:rFonts w:ascii="Times New Roman" w:hAnsi="Times New Roman" w:cs="Times New Roman"/>
        </w:rPr>
        <w:t xml:space="preserve"> </w:t>
      </w:r>
      <w:proofErr w:type="spellStart"/>
      <w:r w:rsidR="000C6CF3" w:rsidRPr="00705170">
        <w:rPr>
          <w:rFonts w:ascii="Times New Roman" w:hAnsi="Times New Roman" w:cs="Times New Roman"/>
        </w:rPr>
        <w:t>reflect</w:t>
      </w:r>
      <w:proofErr w:type="spellEnd"/>
      <w:r w:rsidR="000C6CF3" w:rsidRPr="00705170">
        <w:rPr>
          <w:rFonts w:ascii="Times New Roman" w:hAnsi="Times New Roman" w:cs="Times New Roman"/>
        </w:rPr>
        <w:t xml:space="preserve"> </w:t>
      </w:r>
      <w:proofErr w:type="spellStart"/>
      <w:r w:rsidR="000C6CF3" w:rsidRPr="00705170">
        <w:rPr>
          <w:rFonts w:ascii="Times New Roman" w:hAnsi="Times New Roman" w:cs="Times New Roman"/>
        </w:rPr>
        <w:t>the</w:t>
      </w:r>
      <w:proofErr w:type="spellEnd"/>
      <w:r w:rsidR="000C6CF3" w:rsidRPr="00705170">
        <w:rPr>
          <w:rFonts w:ascii="Times New Roman" w:hAnsi="Times New Roman" w:cs="Times New Roman"/>
        </w:rPr>
        <w:t xml:space="preserve"> </w:t>
      </w:r>
      <w:proofErr w:type="spellStart"/>
      <w:r w:rsidR="000C6CF3" w:rsidRPr="00705170">
        <w:rPr>
          <w:rFonts w:ascii="Times New Roman" w:hAnsi="Times New Roman" w:cs="Times New Roman"/>
        </w:rPr>
        <w:t>economically</w:t>
      </w:r>
      <w:proofErr w:type="spellEnd"/>
      <w:r w:rsidR="000C6CF3" w:rsidRPr="00705170">
        <w:rPr>
          <w:rFonts w:ascii="Times New Roman" w:hAnsi="Times New Roman" w:cs="Times New Roman"/>
        </w:rPr>
        <w:t xml:space="preserve"> </w:t>
      </w:r>
      <w:proofErr w:type="spellStart"/>
      <w:r w:rsidR="000C6CF3" w:rsidRPr="00705170">
        <w:rPr>
          <w:rFonts w:ascii="Times New Roman" w:hAnsi="Times New Roman" w:cs="Times New Roman"/>
        </w:rPr>
        <w:t>motivated</w:t>
      </w:r>
      <w:proofErr w:type="spellEnd"/>
      <w:r w:rsidR="000C6CF3" w:rsidRPr="00705170">
        <w:rPr>
          <w:rFonts w:ascii="Times New Roman" w:hAnsi="Times New Roman" w:cs="Times New Roman"/>
        </w:rPr>
        <w:t xml:space="preserve"> </w:t>
      </w:r>
      <w:proofErr w:type="spellStart"/>
      <w:r w:rsidR="000C6CF3" w:rsidRPr="00705170">
        <w:rPr>
          <w:rFonts w:ascii="Times New Roman" w:hAnsi="Times New Roman" w:cs="Times New Roman"/>
        </w:rPr>
        <w:t>decisions</w:t>
      </w:r>
      <w:proofErr w:type="spellEnd"/>
      <w:r w:rsidR="000C6CF3" w:rsidRPr="00705170">
        <w:rPr>
          <w:rFonts w:ascii="Times New Roman" w:hAnsi="Times New Roman" w:cs="Times New Roman"/>
        </w:rPr>
        <w:t xml:space="preserve"> of </w:t>
      </w:r>
      <w:proofErr w:type="spellStart"/>
      <w:r w:rsidR="000C6CF3" w:rsidRPr="00705170">
        <w:rPr>
          <w:rFonts w:ascii="Times New Roman" w:hAnsi="Times New Roman" w:cs="Times New Roman"/>
        </w:rPr>
        <w:t>investors</w:t>
      </w:r>
      <w:proofErr w:type="spellEnd"/>
      <w:r w:rsidR="000C6CF3" w:rsidRPr="00705170">
        <w:rPr>
          <w:rFonts w:ascii="Times New Roman" w:hAnsi="Times New Roman" w:cs="Times New Roman"/>
        </w:rPr>
        <w:t xml:space="preserve"> </w:t>
      </w:r>
      <w:proofErr w:type="spellStart"/>
      <w:r w:rsidR="000C6CF3" w:rsidRPr="00705170">
        <w:rPr>
          <w:rFonts w:ascii="Times New Roman" w:hAnsi="Times New Roman" w:cs="Times New Roman"/>
        </w:rPr>
        <w:t>and</w:t>
      </w:r>
      <w:proofErr w:type="spellEnd"/>
      <w:r w:rsidR="000C6CF3" w:rsidRPr="00705170">
        <w:rPr>
          <w:rFonts w:ascii="Times New Roman" w:hAnsi="Times New Roman" w:cs="Times New Roman"/>
        </w:rPr>
        <w:t xml:space="preserve"> </w:t>
      </w:r>
      <w:proofErr w:type="spellStart"/>
      <w:r w:rsidR="000C6CF3" w:rsidRPr="00705170">
        <w:rPr>
          <w:rFonts w:ascii="Times New Roman" w:hAnsi="Times New Roman" w:cs="Times New Roman"/>
        </w:rPr>
        <w:t>customers</w:t>
      </w:r>
      <w:proofErr w:type="spellEnd"/>
      <w:r w:rsidR="001164E4" w:rsidRPr="00705170">
        <w:rPr>
          <w:rStyle w:val="DipnotBavurusu"/>
          <w:rFonts w:ascii="Times New Roman" w:hAnsi="Times New Roman" w:cs="Times New Roman"/>
        </w:rPr>
        <w:footnoteReference w:id="452"/>
      </w:r>
      <w:r w:rsidR="000C6CF3" w:rsidRPr="00705170">
        <w:rPr>
          <w:rFonts w:ascii="Times New Roman" w:hAnsi="Times New Roman" w:cs="Times New Roman"/>
        </w:rPr>
        <w:t xml:space="preserve">, </w:t>
      </w:r>
      <w:proofErr w:type="spellStart"/>
      <w:r w:rsidR="001164E4" w:rsidRPr="00705170">
        <w:rPr>
          <w:rFonts w:ascii="Times New Roman" w:hAnsi="Times New Roman" w:cs="Times New Roman"/>
        </w:rPr>
        <w:t>thus</w:t>
      </w:r>
      <w:proofErr w:type="spellEnd"/>
      <w:r w:rsidR="001164E4" w:rsidRPr="00705170">
        <w:rPr>
          <w:rFonts w:ascii="Times New Roman" w:hAnsi="Times New Roman" w:cs="Times New Roman"/>
        </w:rPr>
        <w:t xml:space="preserve"> is an </w:t>
      </w:r>
      <w:proofErr w:type="spellStart"/>
      <w:r w:rsidR="001164E4" w:rsidRPr="00705170">
        <w:rPr>
          <w:rFonts w:ascii="Times New Roman" w:hAnsi="Times New Roman" w:cs="Times New Roman"/>
        </w:rPr>
        <w:t>indication</w:t>
      </w:r>
      <w:proofErr w:type="spellEnd"/>
      <w:r w:rsidR="001164E4" w:rsidRPr="00705170">
        <w:rPr>
          <w:rFonts w:ascii="Times New Roman" w:hAnsi="Times New Roman" w:cs="Times New Roman"/>
        </w:rPr>
        <w:t xml:space="preserve"> of </w:t>
      </w:r>
      <w:proofErr w:type="spellStart"/>
      <w:r w:rsidR="001164E4" w:rsidRPr="00705170">
        <w:rPr>
          <w:rFonts w:ascii="Times New Roman" w:hAnsi="Times New Roman" w:cs="Times New Roman"/>
        </w:rPr>
        <w:t>support</w:t>
      </w:r>
      <w:proofErr w:type="spellEnd"/>
      <w:r w:rsidR="001164E4" w:rsidRPr="00705170">
        <w:rPr>
          <w:rFonts w:ascii="Times New Roman" w:hAnsi="Times New Roman" w:cs="Times New Roman"/>
        </w:rPr>
        <w:t xml:space="preserve"> </w:t>
      </w:r>
      <w:proofErr w:type="spellStart"/>
      <w:r w:rsidR="001164E4" w:rsidRPr="00705170">
        <w:rPr>
          <w:rFonts w:ascii="Times New Roman" w:hAnsi="Times New Roman" w:cs="Times New Roman"/>
        </w:rPr>
        <w:t>to</w:t>
      </w:r>
      <w:proofErr w:type="spellEnd"/>
      <w:r w:rsidR="001164E4" w:rsidRPr="00705170">
        <w:rPr>
          <w:rFonts w:ascii="Times New Roman" w:hAnsi="Times New Roman" w:cs="Times New Roman"/>
        </w:rPr>
        <w:t xml:space="preserve"> </w:t>
      </w:r>
      <w:proofErr w:type="spellStart"/>
      <w:r w:rsidR="001164E4" w:rsidRPr="00705170">
        <w:rPr>
          <w:rFonts w:ascii="Times New Roman" w:hAnsi="Times New Roman" w:cs="Times New Roman"/>
        </w:rPr>
        <w:t>corporation’s</w:t>
      </w:r>
      <w:proofErr w:type="spellEnd"/>
      <w:r w:rsidR="001164E4" w:rsidRPr="00705170">
        <w:rPr>
          <w:rFonts w:ascii="Times New Roman" w:hAnsi="Times New Roman" w:cs="Times New Roman"/>
        </w:rPr>
        <w:t xml:space="preserve"> </w:t>
      </w:r>
      <w:proofErr w:type="spellStart"/>
      <w:r w:rsidR="001164E4" w:rsidRPr="00705170">
        <w:rPr>
          <w:rFonts w:ascii="Times New Roman" w:hAnsi="Times New Roman" w:cs="Times New Roman"/>
        </w:rPr>
        <w:t>business</w:t>
      </w:r>
      <w:proofErr w:type="spellEnd"/>
      <w:r w:rsidR="00721D93" w:rsidRPr="00705170">
        <w:rPr>
          <w:rFonts w:ascii="Times New Roman" w:hAnsi="Times New Roman" w:cs="Times New Roman"/>
        </w:rPr>
        <w:t xml:space="preserve"> (</w:t>
      </w:r>
      <w:proofErr w:type="spellStart"/>
      <w:r w:rsidR="00721D93" w:rsidRPr="00705170">
        <w:rPr>
          <w:rFonts w:ascii="Times New Roman" w:hAnsi="Times New Roman" w:cs="Times New Roman"/>
        </w:rPr>
        <w:t>economic</w:t>
      </w:r>
      <w:proofErr w:type="spellEnd"/>
      <w:r w:rsidR="00721D93" w:rsidRPr="00705170">
        <w:rPr>
          <w:rFonts w:ascii="Times New Roman" w:hAnsi="Times New Roman" w:cs="Times New Roman"/>
        </w:rPr>
        <w:t>)</w:t>
      </w:r>
      <w:r w:rsidR="001164E4" w:rsidRPr="00705170">
        <w:rPr>
          <w:rFonts w:ascii="Times New Roman" w:hAnsi="Times New Roman" w:cs="Times New Roman"/>
        </w:rPr>
        <w:t xml:space="preserve"> </w:t>
      </w:r>
      <w:proofErr w:type="spellStart"/>
      <w:r w:rsidR="001164E4" w:rsidRPr="00705170">
        <w:rPr>
          <w:rFonts w:ascii="Times New Roman" w:hAnsi="Times New Roman" w:cs="Times New Roman"/>
        </w:rPr>
        <w:t>ideas</w:t>
      </w:r>
      <w:proofErr w:type="spellEnd"/>
      <w:r w:rsidR="001164E4" w:rsidRPr="00705170">
        <w:rPr>
          <w:rFonts w:ascii="Times New Roman" w:hAnsi="Times New Roman" w:cs="Times New Roman"/>
        </w:rPr>
        <w:t xml:space="preserve"> </w:t>
      </w:r>
      <w:proofErr w:type="spellStart"/>
      <w:r w:rsidR="001164E4" w:rsidRPr="00705170">
        <w:rPr>
          <w:rFonts w:ascii="Times New Roman" w:hAnsi="Times New Roman" w:cs="Times New Roman"/>
        </w:rPr>
        <w:t>rather</w:t>
      </w:r>
      <w:proofErr w:type="spellEnd"/>
      <w:r w:rsidR="001164E4" w:rsidRPr="00705170">
        <w:rPr>
          <w:rFonts w:ascii="Times New Roman" w:hAnsi="Times New Roman" w:cs="Times New Roman"/>
        </w:rPr>
        <w:t xml:space="preserve"> </w:t>
      </w:r>
      <w:proofErr w:type="spellStart"/>
      <w:r w:rsidR="001164E4" w:rsidRPr="00705170">
        <w:rPr>
          <w:rFonts w:ascii="Times New Roman" w:hAnsi="Times New Roman" w:cs="Times New Roman"/>
        </w:rPr>
        <w:t>than</w:t>
      </w:r>
      <w:proofErr w:type="spellEnd"/>
      <w:r w:rsidR="001164E4" w:rsidRPr="00705170">
        <w:rPr>
          <w:rFonts w:ascii="Times New Roman" w:hAnsi="Times New Roman" w:cs="Times New Roman"/>
        </w:rPr>
        <w:t xml:space="preserve"> </w:t>
      </w:r>
      <w:proofErr w:type="spellStart"/>
      <w:r w:rsidR="001164E4" w:rsidRPr="00705170">
        <w:rPr>
          <w:rFonts w:ascii="Times New Roman" w:hAnsi="Times New Roman" w:cs="Times New Roman"/>
        </w:rPr>
        <w:t>non</w:t>
      </w:r>
      <w:proofErr w:type="spellEnd"/>
      <w:r w:rsidR="001164E4" w:rsidRPr="00705170">
        <w:rPr>
          <w:rFonts w:ascii="Times New Roman" w:hAnsi="Times New Roman" w:cs="Times New Roman"/>
        </w:rPr>
        <w:t xml:space="preserve">- </w:t>
      </w:r>
      <w:proofErr w:type="spellStart"/>
      <w:r w:rsidR="001164E4" w:rsidRPr="00705170">
        <w:rPr>
          <w:rFonts w:ascii="Times New Roman" w:hAnsi="Times New Roman" w:cs="Times New Roman"/>
        </w:rPr>
        <w:t>pecuniary</w:t>
      </w:r>
      <w:proofErr w:type="spellEnd"/>
      <w:r w:rsidR="001164E4" w:rsidRPr="00705170">
        <w:rPr>
          <w:rFonts w:ascii="Times New Roman" w:hAnsi="Times New Roman" w:cs="Times New Roman"/>
        </w:rPr>
        <w:t xml:space="preserve"> </w:t>
      </w:r>
      <w:proofErr w:type="spellStart"/>
      <w:r w:rsidR="001164E4" w:rsidRPr="00705170">
        <w:rPr>
          <w:rFonts w:ascii="Times New Roman" w:hAnsi="Times New Roman" w:cs="Times New Roman"/>
        </w:rPr>
        <w:t>policies</w:t>
      </w:r>
      <w:proofErr w:type="spellEnd"/>
      <w:r w:rsidR="00EB64EC" w:rsidRPr="00705170">
        <w:rPr>
          <w:rStyle w:val="DipnotBavurusu"/>
          <w:rFonts w:ascii="Times New Roman" w:hAnsi="Times New Roman" w:cs="Times New Roman"/>
        </w:rPr>
        <w:footnoteReference w:id="453"/>
      </w:r>
      <w:r w:rsidR="000C6CF3" w:rsidRPr="00705170">
        <w:rPr>
          <w:rFonts w:ascii="Times New Roman" w:hAnsi="Times New Roman" w:cs="Times New Roman"/>
        </w:rPr>
        <w:t xml:space="preserve">. </w:t>
      </w:r>
      <w:proofErr w:type="spellStart"/>
      <w:r w:rsidR="003C7226" w:rsidRPr="00705170">
        <w:rPr>
          <w:rFonts w:ascii="Times New Roman" w:hAnsi="Times New Roman" w:cs="Times New Roman"/>
        </w:rPr>
        <w:t>Likewise</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the</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duties</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and</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constraints</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brought</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to</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ensure</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that</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the</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directors</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are</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acting</w:t>
      </w:r>
      <w:proofErr w:type="spellEnd"/>
      <w:r w:rsidR="003C7226" w:rsidRPr="00705170">
        <w:rPr>
          <w:rFonts w:ascii="Times New Roman" w:hAnsi="Times New Roman" w:cs="Times New Roman"/>
        </w:rPr>
        <w:t xml:space="preserve"> in </w:t>
      </w:r>
      <w:proofErr w:type="spellStart"/>
      <w:r w:rsidR="003C7226" w:rsidRPr="00705170">
        <w:rPr>
          <w:rFonts w:ascii="Times New Roman" w:hAnsi="Times New Roman" w:cs="Times New Roman"/>
        </w:rPr>
        <w:t>the</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interest</w:t>
      </w:r>
      <w:proofErr w:type="spellEnd"/>
      <w:r w:rsidR="003C7226" w:rsidRPr="00705170">
        <w:rPr>
          <w:rFonts w:ascii="Times New Roman" w:hAnsi="Times New Roman" w:cs="Times New Roman"/>
        </w:rPr>
        <w:t xml:space="preserve"> of </w:t>
      </w:r>
      <w:proofErr w:type="spellStart"/>
      <w:r w:rsidR="003C7226" w:rsidRPr="00705170">
        <w:rPr>
          <w:rFonts w:ascii="Times New Roman" w:hAnsi="Times New Roman" w:cs="Times New Roman"/>
        </w:rPr>
        <w:t>the</w:t>
      </w:r>
      <w:proofErr w:type="spellEnd"/>
      <w:r w:rsidR="003C7226" w:rsidRPr="00705170">
        <w:rPr>
          <w:rFonts w:ascii="Times New Roman" w:hAnsi="Times New Roman" w:cs="Times New Roman"/>
        </w:rPr>
        <w:t xml:space="preserve"> </w:t>
      </w:r>
      <w:proofErr w:type="spellStart"/>
      <w:r w:rsidR="003C7226" w:rsidRPr="00705170">
        <w:rPr>
          <w:rFonts w:ascii="Times New Roman" w:hAnsi="Times New Roman" w:cs="Times New Roman"/>
        </w:rPr>
        <w:t>corporation</w:t>
      </w:r>
      <w:proofErr w:type="spellEnd"/>
      <w:r w:rsidR="00F86B3B" w:rsidRPr="00705170">
        <w:rPr>
          <w:rFonts w:ascii="Times New Roman" w:hAnsi="Times New Roman" w:cs="Times New Roman"/>
        </w:rPr>
        <w:t xml:space="preserve"> </w:t>
      </w:r>
      <w:proofErr w:type="spellStart"/>
      <w:r w:rsidR="00F86B3B" w:rsidRPr="00705170">
        <w:rPr>
          <w:rFonts w:ascii="Times New Roman" w:hAnsi="Times New Roman" w:cs="Times New Roman"/>
        </w:rPr>
        <w:t>ensures</w:t>
      </w:r>
      <w:proofErr w:type="spellEnd"/>
      <w:r w:rsidR="00F86B3B" w:rsidRPr="00705170">
        <w:rPr>
          <w:rFonts w:ascii="Times New Roman" w:hAnsi="Times New Roman" w:cs="Times New Roman"/>
        </w:rPr>
        <w:t xml:space="preserve"> </w:t>
      </w:r>
      <w:proofErr w:type="spellStart"/>
      <w:r w:rsidR="00F86B3B" w:rsidRPr="00705170">
        <w:rPr>
          <w:rFonts w:ascii="Times New Roman" w:hAnsi="Times New Roman" w:cs="Times New Roman"/>
        </w:rPr>
        <w:t>this</w:t>
      </w:r>
      <w:proofErr w:type="spellEnd"/>
      <w:r w:rsidR="00F86B3B" w:rsidRPr="00705170">
        <w:rPr>
          <w:rFonts w:ascii="Times New Roman" w:hAnsi="Times New Roman" w:cs="Times New Roman"/>
        </w:rPr>
        <w:t xml:space="preserve"> </w:t>
      </w:r>
      <w:proofErr w:type="spellStart"/>
      <w:r w:rsidR="00F86B3B" w:rsidRPr="00705170">
        <w:rPr>
          <w:rFonts w:ascii="Times New Roman" w:hAnsi="Times New Roman" w:cs="Times New Roman"/>
        </w:rPr>
        <w:t>notion</w:t>
      </w:r>
      <w:proofErr w:type="spellEnd"/>
      <w:r w:rsidR="00F86B3B" w:rsidRPr="00705170">
        <w:rPr>
          <w:rFonts w:ascii="Times New Roman" w:hAnsi="Times New Roman" w:cs="Times New Roman"/>
        </w:rPr>
        <w:t>.</w:t>
      </w:r>
    </w:p>
    <w:p w14:paraId="5BAF8377" w14:textId="6A1480EA" w:rsidR="00B717A7" w:rsidRPr="00705170" w:rsidRDefault="00B717A7" w:rsidP="00B717A7">
      <w:pPr>
        <w:spacing w:after="240" w:line="480" w:lineRule="auto"/>
        <w:ind w:firstLine="720"/>
        <w:jc w:val="both"/>
        <w:rPr>
          <w:rFonts w:ascii="Times New Roman" w:hAnsi="Times New Roman" w:cs="Times New Roman"/>
          <w:color w:val="000000"/>
        </w:rPr>
      </w:pPr>
      <w:proofErr w:type="spellStart"/>
      <w:r w:rsidRPr="00705170">
        <w:rPr>
          <w:rFonts w:ascii="Times New Roman" w:hAnsi="Times New Roman" w:cs="Times New Roman"/>
          <w:color w:val="000000"/>
        </w:rPr>
        <w:lastRenderedPageBreak/>
        <w:t>In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Turkey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statute</w:t>
      </w:r>
      <w:proofErr w:type="spellEnd"/>
      <w:r w:rsidRPr="00705170">
        <w:rPr>
          <w:rFonts w:ascii="Times New Roman" w:hAnsi="Times New Roman" w:cs="Times New Roman"/>
          <w:color w:val="000000"/>
        </w:rPr>
        <w:t xml:space="preserve"> say </w:t>
      </w:r>
      <w:proofErr w:type="spellStart"/>
      <w:r w:rsidRPr="00705170">
        <w:rPr>
          <w:rFonts w:ascii="Times New Roman" w:hAnsi="Times New Roman" w:cs="Times New Roman"/>
          <w:color w:val="000000"/>
        </w:rPr>
        <w:t>explicitly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purpose</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is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provide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economic</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benefit</w:t>
      </w:r>
      <w:proofErr w:type="spellEnd"/>
      <w:r w:rsidRPr="00705170">
        <w:rPr>
          <w:rFonts w:ascii="Times New Roman" w:hAnsi="Times New Roman" w:cs="Times New Roman"/>
          <w:color w:val="000000"/>
        </w:rPr>
        <w:t xml:space="preserve"> (TCC </w:t>
      </w:r>
      <w:proofErr w:type="spellStart"/>
      <w:r w:rsidRPr="00705170">
        <w:rPr>
          <w:rFonts w:ascii="Times New Roman" w:hAnsi="Times New Roman" w:cs="Times New Roman"/>
          <w:color w:val="000000"/>
        </w:rPr>
        <w:t>Article</w:t>
      </w:r>
      <w:proofErr w:type="spellEnd"/>
      <w:r w:rsidRPr="00705170">
        <w:rPr>
          <w:rFonts w:ascii="Times New Roman" w:hAnsi="Times New Roman" w:cs="Times New Roman"/>
          <w:color w:val="000000"/>
        </w:rPr>
        <w:t xml:space="preserve"> 331), </w:t>
      </w:r>
      <w:proofErr w:type="spellStart"/>
      <w:r w:rsidRPr="00705170">
        <w:rPr>
          <w:rFonts w:ascii="Times New Roman" w:hAnsi="Times New Roman" w:cs="Times New Roman"/>
          <w:color w:val="000000"/>
        </w:rPr>
        <w:t>and</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courts</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accept</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that</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the</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purpose</w:t>
      </w:r>
      <w:proofErr w:type="spellEnd"/>
      <w:r w:rsidR="00FB5FC3" w:rsidRPr="00705170">
        <w:rPr>
          <w:rFonts w:ascii="Times New Roman" w:hAnsi="Times New Roman" w:cs="Times New Roman"/>
          <w:color w:val="000000"/>
        </w:rPr>
        <w:t xml:space="preserve"> of </w:t>
      </w:r>
      <w:proofErr w:type="spellStart"/>
      <w:r w:rsidR="00FB5FC3" w:rsidRPr="00705170">
        <w:rPr>
          <w:rFonts w:ascii="Times New Roman" w:hAnsi="Times New Roman" w:cs="Times New Roman"/>
          <w:color w:val="000000"/>
        </w:rPr>
        <w:t>the</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corporation</w:t>
      </w:r>
      <w:proofErr w:type="spellEnd"/>
      <w:r w:rsidR="00FB5FC3" w:rsidRPr="00705170">
        <w:rPr>
          <w:rFonts w:ascii="Times New Roman" w:hAnsi="Times New Roman" w:cs="Times New Roman"/>
          <w:color w:val="000000"/>
        </w:rPr>
        <w:t xml:space="preserve"> is </w:t>
      </w:r>
      <w:proofErr w:type="spellStart"/>
      <w:r w:rsidR="00FB5FC3" w:rsidRPr="00705170">
        <w:rPr>
          <w:rFonts w:ascii="Times New Roman" w:hAnsi="Times New Roman" w:cs="Times New Roman"/>
          <w:color w:val="000000"/>
        </w:rPr>
        <w:t>to</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pursue</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the</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ultimate</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aim</w:t>
      </w:r>
      <w:proofErr w:type="spellEnd"/>
      <w:r w:rsidR="00FB5FC3" w:rsidRPr="00705170">
        <w:rPr>
          <w:rFonts w:ascii="Times New Roman" w:hAnsi="Times New Roman" w:cs="Times New Roman"/>
          <w:color w:val="000000"/>
        </w:rPr>
        <w:t xml:space="preserve"> of </w:t>
      </w:r>
      <w:proofErr w:type="spellStart"/>
      <w:r w:rsidR="00FB5FC3" w:rsidRPr="00705170">
        <w:rPr>
          <w:rFonts w:ascii="Times New Roman" w:hAnsi="Times New Roman" w:cs="Times New Roman"/>
          <w:color w:val="000000"/>
        </w:rPr>
        <w:t>generating</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profit</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and</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distributing</w:t>
      </w:r>
      <w:proofErr w:type="spellEnd"/>
      <w:r w:rsidR="00FB5FC3" w:rsidRPr="00705170">
        <w:rPr>
          <w:rFonts w:ascii="Times New Roman" w:hAnsi="Times New Roman" w:cs="Times New Roman"/>
          <w:color w:val="000000"/>
        </w:rPr>
        <w:t xml:space="preserve"> it</w:t>
      </w:r>
      <w:r w:rsidR="00FB5FC3" w:rsidRPr="00705170">
        <w:rPr>
          <w:rStyle w:val="DipnotBavurusu"/>
          <w:rFonts w:ascii="Times New Roman" w:hAnsi="Times New Roman" w:cs="Times New Roman"/>
          <w:color w:val="000000"/>
        </w:rPr>
        <w:footnoteReference w:id="454"/>
      </w:r>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In</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fact</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t</w:t>
      </w:r>
      <w:r w:rsidR="00721D93" w:rsidRPr="00705170">
        <w:rPr>
          <w:rFonts w:ascii="Times New Roman" w:hAnsi="Times New Roman" w:cs="Times New Roman"/>
          <w:color w:val="000000"/>
        </w:rPr>
        <w:t>his</w:t>
      </w:r>
      <w:proofErr w:type="spellEnd"/>
      <w:r w:rsidR="00FB5FC3" w:rsidRPr="00705170">
        <w:rPr>
          <w:rFonts w:ascii="Times New Roman" w:hAnsi="Times New Roman" w:cs="Times New Roman"/>
          <w:color w:val="000000"/>
        </w:rPr>
        <w:t xml:space="preserve"> </w:t>
      </w:r>
      <w:proofErr w:type="spellStart"/>
      <w:r w:rsidR="00FB5FC3" w:rsidRPr="00705170">
        <w:rPr>
          <w:rFonts w:ascii="Times New Roman" w:hAnsi="Times New Roman" w:cs="Times New Roman"/>
          <w:color w:val="000000"/>
        </w:rPr>
        <w:t>notion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imposes</w:t>
      </w:r>
      <w:proofErr w:type="spellEnd"/>
      <w:r w:rsidRPr="00705170">
        <w:rPr>
          <w:rFonts w:ascii="Times New Roman" w:hAnsi="Times New Roman" w:cs="Times New Roman"/>
          <w:color w:val="000000"/>
        </w:rPr>
        <w:t xml:space="preserve"> a </w:t>
      </w:r>
      <w:proofErr w:type="spellStart"/>
      <w:r w:rsidRPr="00705170">
        <w:rPr>
          <w:rFonts w:ascii="Times New Roman" w:hAnsi="Times New Roman" w:cs="Times New Roman"/>
          <w:color w:val="000000"/>
        </w:rPr>
        <w:t>special</w:t>
      </w:r>
      <w:proofErr w:type="spellEnd"/>
      <w:r w:rsidRPr="00705170">
        <w:rPr>
          <w:rFonts w:ascii="Times New Roman" w:hAnsi="Times New Roman" w:cs="Times New Roman"/>
          <w:color w:val="000000"/>
        </w:rPr>
        <w:t xml:space="preserve"> limit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capacity</w:t>
      </w:r>
      <w:proofErr w:type="spellEnd"/>
      <w:r w:rsidRPr="00705170">
        <w:rPr>
          <w:rFonts w:ascii="Times New Roman" w:hAnsi="Times New Roman" w:cs="Times New Roman"/>
          <w:color w:val="000000"/>
        </w:rPr>
        <w:t xml:space="preserve">. </w:t>
      </w:r>
      <w:r w:rsidR="00382377" w:rsidRPr="00705170">
        <w:rPr>
          <w:rFonts w:ascii="Times New Roman" w:hAnsi="Times New Roman" w:cs="Times New Roman"/>
        </w:rPr>
        <w:t xml:space="preserve">A </w:t>
      </w:r>
      <w:proofErr w:type="spellStart"/>
      <w:r w:rsidR="00382377" w:rsidRPr="00705170">
        <w:rPr>
          <w:rFonts w:ascii="Times New Roman" w:hAnsi="Times New Roman" w:cs="Times New Roman"/>
        </w:rPr>
        <w:t>corporation</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cannot</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quit</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from</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its</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statutory</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purpose</w:t>
      </w:r>
      <w:proofErr w:type="spellEnd"/>
      <w:r w:rsidR="00382377" w:rsidRPr="00705170">
        <w:rPr>
          <w:rFonts w:ascii="Times New Roman" w:hAnsi="Times New Roman" w:cs="Times New Roman"/>
        </w:rPr>
        <w:t xml:space="preserve"> of </w:t>
      </w:r>
      <w:proofErr w:type="spellStart"/>
      <w:r w:rsidR="00382377" w:rsidRPr="00705170">
        <w:rPr>
          <w:rFonts w:ascii="Times New Roman" w:hAnsi="Times New Roman" w:cs="Times New Roman"/>
        </w:rPr>
        <w:t>generating</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economic</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benefit</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even</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if</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all</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shareholders</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agree</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to</w:t>
      </w:r>
      <w:proofErr w:type="spellEnd"/>
      <w:r w:rsidR="00382377" w:rsidRPr="00705170">
        <w:rPr>
          <w:rFonts w:ascii="Times New Roman" w:hAnsi="Times New Roman" w:cs="Times New Roman"/>
        </w:rPr>
        <w:t xml:space="preserve"> do </w:t>
      </w:r>
      <w:proofErr w:type="spellStart"/>
      <w:r w:rsidR="00382377" w:rsidRPr="00705170">
        <w:rPr>
          <w:rFonts w:ascii="Times New Roman" w:hAnsi="Times New Roman" w:cs="Times New Roman"/>
        </w:rPr>
        <w:t>so</w:t>
      </w:r>
      <w:proofErr w:type="spellEnd"/>
      <w:r w:rsidR="00382377" w:rsidRPr="00705170">
        <w:rPr>
          <w:rStyle w:val="DipnotBavurusu"/>
          <w:rFonts w:ascii="Times New Roman" w:hAnsi="Times New Roman" w:cs="Times New Roman"/>
        </w:rPr>
        <w:footnoteReference w:id="455"/>
      </w:r>
      <w:r w:rsidR="00382377" w:rsidRPr="00705170">
        <w:rPr>
          <w:rFonts w:ascii="Times New Roman" w:hAnsi="Times New Roman" w:cs="Times New Roman"/>
        </w:rPr>
        <w:t xml:space="preserve">. </w:t>
      </w:r>
      <w:proofErr w:type="spellStart"/>
      <w:r w:rsidR="00096E48" w:rsidRPr="00705170">
        <w:rPr>
          <w:rFonts w:ascii="Times New Roman" w:hAnsi="Times New Roman" w:cs="Times New Roman"/>
          <w:color w:val="000000"/>
        </w:rPr>
        <w:t>T</w:t>
      </w:r>
      <w:r w:rsidRPr="00705170">
        <w:rPr>
          <w:rFonts w:ascii="Times New Roman" w:hAnsi="Times New Roman" w:cs="Times New Roman"/>
          <w:color w:val="000000"/>
        </w:rPr>
        <w:t>his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principle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was</w:t>
      </w:r>
      <w:proofErr w:type="spellEnd"/>
      <w:r w:rsidRPr="00705170">
        <w:rPr>
          <w:rFonts w:ascii="Times New Roman" w:hAnsi="Times New Roman" w:cs="Times New Roman"/>
          <w:color w:val="000000"/>
        </w:rPr>
        <w:t xml:space="preserve"> not </w:t>
      </w:r>
      <w:proofErr w:type="spellStart"/>
      <w:r w:rsidRPr="00705170">
        <w:rPr>
          <w:rFonts w:ascii="Times New Roman" w:hAnsi="Times New Roman" w:cs="Times New Roman"/>
          <w:color w:val="000000"/>
        </w:rPr>
        <w:t>accepted</w:t>
      </w:r>
      <w:proofErr w:type="spellEnd"/>
      <w:r w:rsidRPr="00705170">
        <w:rPr>
          <w:rFonts w:ascii="Times New Roman" w:hAnsi="Times New Roman" w:cs="Times New Roman"/>
          <w:color w:val="000000"/>
        </w:rPr>
        <w:t xml:space="preserve"> in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Swiss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statute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prior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Turkish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statute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took</w:t>
      </w:r>
      <w:proofErr w:type="spellEnd"/>
      <w:r w:rsidRPr="00705170">
        <w:rPr>
          <w:rFonts w:ascii="Times New Roman" w:hAnsi="Times New Roman" w:cs="Times New Roman"/>
          <w:color w:val="000000"/>
        </w:rPr>
        <w:t xml:space="preserve"> as a model, </w:t>
      </w:r>
      <w:proofErr w:type="spellStart"/>
      <w:r w:rsidRPr="00705170">
        <w:rPr>
          <w:rFonts w:ascii="Times New Roman" w:hAnsi="Times New Roman" w:cs="Times New Roman"/>
          <w:color w:val="000000"/>
        </w:rPr>
        <w:t>nevertheless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Turkish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legislators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changed</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the</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related</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Swiss</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provision</w:t>
      </w:r>
      <w:proofErr w:type="spellEnd"/>
      <w:r w:rsidR="00721D93"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purpose</w:t>
      </w:r>
      <w:r w:rsidR="00721D93" w:rsidRPr="00705170">
        <w:rPr>
          <w:rFonts w:ascii="Times New Roman" w:hAnsi="Times New Roman" w:cs="Times New Roman"/>
          <w:color w:val="000000"/>
        </w:rPr>
        <w:t>fully</w:t>
      </w:r>
      <w:proofErr w:type="spellEnd"/>
      <w:r w:rsidRPr="00705170">
        <w:rPr>
          <w:rStyle w:val="DipnotBavurusu"/>
          <w:rFonts w:ascii="Times New Roman" w:hAnsi="Times New Roman" w:cs="Times New Roman"/>
          <w:color w:val="000000"/>
        </w:rPr>
        <w:footnoteReference w:id="456"/>
      </w:r>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and</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devoted</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the</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corporation</w:t>
      </w:r>
      <w:proofErr w:type="spellEnd"/>
      <w:r w:rsidR="00721D93" w:rsidRPr="00705170">
        <w:rPr>
          <w:rFonts w:ascii="Times New Roman" w:hAnsi="Times New Roman" w:cs="Times New Roman"/>
          <w:color w:val="000000"/>
        </w:rPr>
        <w:t xml:space="preserve"> model </w:t>
      </w:r>
      <w:proofErr w:type="spellStart"/>
      <w:r w:rsidR="00721D93" w:rsidRPr="00705170">
        <w:rPr>
          <w:rFonts w:ascii="Times New Roman" w:hAnsi="Times New Roman" w:cs="Times New Roman"/>
          <w:color w:val="000000"/>
        </w:rPr>
        <w:t>to</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the</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pecuniary</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field</w:t>
      </w:r>
      <w:proofErr w:type="spellEnd"/>
      <w:r w:rsidR="00721D93" w:rsidRPr="00705170">
        <w:rPr>
          <w:rFonts w:ascii="Times New Roman" w:hAnsi="Times New Roman" w:cs="Times New Roman"/>
          <w:color w:val="000000"/>
        </w:rPr>
        <w:t xml:space="preserve"> of </w:t>
      </w:r>
      <w:proofErr w:type="spellStart"/>
      <w:r w:rsidR="00721D93" w:rsidRPr="00705170">
        <w:rPr>
          <w:rFonts w:ascii="Times New Roman" w:hAnsi="Times New Roman" w:cs="Times New Roman"/>
          <w:color w:val="000000"/>
        </w:rPr>
        <w:t>social</w:t>
      </w:r>
      <w:proofErr w:type="spellEnd"/>
      <w:r w:rsidR="00721D93" w:rsidRPr="00705170">
        <w:rPr>
          <w:rFonts w:ascii="Times New Roman" w:hAnsi="Times New Roman" w:cs="Times New Roman"/>
          <w:color w:val="000000"/>
        </w:rPr>
        <w:t xml:space="preserve"> life</w:t>
      </w:r>
      <w:r w:rsidR="000D09D5">
        <w:rPr>
          <w:rStyle w:val="DipnotBavurusu"/>
          <w:rFonts w:ascii="Times New Roman" w:hAnsi="Times New Roman" w:cs="Times New Roman"/>
          <w:color w:val="000000"/>
        </w:rPr>
        <w:footnoteReference w:id="457"/>
      </w:r>
      <w:r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The</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statute</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itself</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i</w:t>
      </w:r>
      <w:r w:rsidR="006F048D" w:rsidRPr="00705170">
        <w:rPr>
          <w:rFonts w:ascii="Times New Roman" w:hAnsi="Times New Roman" w:cs="Times New Roman"/>
          <w:color w:val="000000"/>
        </w:rPr>
        <w:t>ncludes</w:t>
      </w:r>
      <w:proofErr w:type="spellEnd"/>
      <w:r w:rsidR="006F048D" w:rsidRPr="00705170">
        <w:rPr>
          <w:rFonts w:ascii="Times New Roman" w:hAnsi="Times New Roman" w:cs="Times New Roman"/>
          <w:color w:val="000000"/>
        </w:rPr>
        <w:t xml:space="preserve"> an </w:t>
      </w:r>
      <w:proofErr w:type="spellStart"/>
      <w:r w:rsidR="006F048D" w:rsidRPr="00705170">
        <w:rPr>
          <w:rFonts w:ascii="Times New Roman" w:hAnsi="Times New Roman" w:cs="Times New Roman"/>
          <w:color w:val="000000"/>
        </w:rPr>
        <w:t>enforcement</w:t>
      </w:r>
      <w:proofErr w:type="spellEnd"/>
      <w:r w:rsidR="006F048D" w:rsidRPr="00705170">
        <w:rPr>
          <w:rFonts w:ascii="Times New Roman" w:hAnsi="Times New Roman" w:cs="Times New Roman"/>
          <w:color w:val="000000"/>
        </w:rPr>
        <w:t xml:space="preserve"> </w:t>
      </w:r>
      <w:proofErr w:type="spellStart"/>
      <w:r w:rsidR="006F048D" w:rsidRPr="00705170">
        <w:rPr>
          <w:rFonts w:ascii="Times New Roman" w:hAnsi="Times New Roman" w:cs="Times New Roman"/>
          <w:color w:val="000000"/>
        </w:rPr>
        <w:t>mechanism</w:t>
      </w:r>
      <w:proofErr w:type="spellEnd"/>
      <w:r w:rsidR="006F048D" w:rsidRPr="00705170">
        <w:rPr>
          <w:rFonts w:ascii="Times New Roman" w:hAnsi="Times New Roman" w:cs="Times New Roman"/>
          <w:color w:val="000000"/>
        </w:rPr>
        <w:t xml:space="preserve"> </w:t>
      </w:r>
      <w:proofErr w:type="spellStart"/>
      <w:r w:rsidR="006F048D" w:rsidRPr="00705170">
        <w:rPr>
          <w:rFonts w:ascii="Times New Roman" w:hAnsi="Times New Roman" w:cs="Times New Roman"/>
          <w:color w:val="000000"/>
        </w:rPr>
        <w:t>for</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this</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principle</w:t>
      </w:r>
      <w:proofErr w:type="spellEnd"/>
      <w:r w:rsidR="008C7FC7" w:rsidRPr="00705170">
        <w:rPr>
          <w:rFonts w:ascii="Times New Roman" w:hAnsi="Times New Roman" w:cs="Times New Roman"/>
          <w:color w:val="000000"/>
        </w:rPr>
        <w:t xml:space="preserve"> in </w:t>
      </w:r>
      <w:proofErr w:type="spellStart"/>
      <w:r w:rsidR="008C7FC7" w:rsidRPr="00705170">
        <w:rPr>
          <w:rFonts w:ascii="Times New Roman" w:hAnsi="Times New Roman" w:cs="Times New Roman"/>
          <w:color w:val="000000"/>
        </w:rPr>
        <w:t>relation</w:t>
      </w:r>
      <w:proofErr w:type="spellEnd"/>
      <w:r w:rsidR="008C7FC7" w:rsidRPr="00705170">
        <w:rPr>
          <w:rFonts w:ascii="Times New Roman" w:hAnsi="Times New Roman" w:cs="Times New Roman"/>
          <w:color w:val="000000"/>
        </w:rPr>
        <w:t xml:space="preserve"> </w:t>
      </w:r>
      <w:proofErr w:type="spellStart"/>
      <w:r w:rsidR="008C7FC7" w:rsidRPr="00705170">
        <w:rPr>
          <w:rFonts w:ascii="Times New Roman" w:hAnsi="Times New Roman" w:cs="Times New Roman"/>
          <w:color w:val="000000"/>
        </w:rPr>
        <w:t>with</w:t>
      </w:r>
      <w:proofErr w:type="spellEnd"/>
      <w:r w:rsidR="008C7FC7" w:rsidRPr="00705170">
        <w:rPr>
          <w:rFonts w:ascii="Times New Roman" w:hAnsi="Times New Roman" w:cs="Times New Roman"/>
          <w:color w:val="000000"/>
        </w:rPr>
        <w:t xml:space="preserve"> </w:t>
      </w:r>
      <w:proofErr w:type="spellStart"/>
      <w:r w:rsidR="008C7FC7" w:rsidRPr="00705170">
        <w:rPr>
          <w:rFonts w:ascii="Times New Roman" w:hAnsi="Times New Roman" w:cs="Times New Roman"/>
          <w:color w:val="000000"/>
        </w:rPr>
        <w:t>corporate</w:t>
      </w:r>
      <w:proofErr w:type="spellEnd"/>
      <w:r w:rsidR="008C7FC7" w:rsidRPr="00705170">
        <w:rPr>
          <w:rFonts w:ascii="Times New Roman" w:hAnsi="Times New Roman" w:cs="Times New Roman"/>
          <w:color w:val="000000"/>
        </w:rPr>
        <w:t xml:space="preserve"> </w:t>
      </w:r>
      <w:proofErr w:type="spellStart"/>
      <w:r w:rsidR="008C7FC7" w:rsidRPr="00705170">
        <w:rPr>
          <w:rFonts w:ascii="Times New Roman" w:hAnsi="Times New Roman" w:cs="Times New Roman"/>
          <w:color w:val="000000"/>
        </w:rPr>
        <w:t>dissolution</w:t>
      </w:r>
      <w:proofErr w:type="spellEnd"/>
      <w:r w:rsidR="00721D93" w:rsidRPr="00705170">
        <w:rPr>
          <w:rFonts w:ascii="Times New Roman" w:hAnsi="Times New Roman" w:cs="Times New Roman"/>
          <w:color w:val="000000"/>
        </w:rPr>
        <w:t>:</w:t>
      </w:r>
      <w:r w:rsidRPr="00705170">
        <w:rPr>
          <w:rFonts w:ascii="Times New Roman" w:hAnsi="Times New Roman" w:cs="Times New Roman"/>
          <w:color w:val="000000"/>
        </w:rPr>
        <w:t xml:space="preserve"> TCC </w:t>
      </w:r>
      <w:proofErr w:type="spellStart"/>
      <w:r w:rsidRPr="00705170">
        <w:rPr>
          <w:rFonts w:ascii="Times New Roman" w:hAnsi="Times New Roman" w:cs="Times New Roman"/>
          <w:color w:val="000000"/>
        </w:rPr>
        <w:t>Article</w:t>
      </w:r>
      <w:proofErr w:type="spellEnd"/>
      <w:r w:rsidRPr="00705170">
        <w:rPr>
          <w:rFonts w:ascii="Times New Roman" w:hAnsi="Times New Roman" w:cs="Times New Roman"/>
          <w:color w:val="000000"/>
        </w:rPr>
        <w:t xml:space="preserve"> 210(3) </w:t>
      </w:r>
      <w:proofErr w:type="spellStart"/>
      <w:r w:rsidRPr="00705170">
        <w:rPr>
          <w:rFonts w:ascii="Times New Roman" w:hAnsi="Times New Roman" w:cs="Times New Roman"/>
          <w:color w:val="000000"/>
        </w:rPr>
        <w:t>provides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Ministry</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Trade</w:t>
      </w:r>
      <w:proofErr w:type="spellEnd"/>
      <w:r w:rsidRPr="00705170">
        <w:rPr>
          <w:rFonts w:ascii="Times New Roman" w:hAnsi="Times New Roman" w:cs="Times New Roman"/>
          <w:color w:val="000000"/>
        </w:rPr>
        <w:t xml:space="preserve"> can </w:t>
      </w:r>
      <w:proofErr w:type="spellStart"/>
      <w:r w:rsidRPr="00705170">
        <w:rPr>
          <w:rFonts w:ascii="Times New Roman" w:hAnsi="Times New Roman" w:cs="Times New Roman"/>
          <w:color w:val="000000"/>
        </w:rPr>
        <w:t>demand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dissolution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which</w:t>
      </w:r>
      <w:proofErr w:type="spellEnd"/>
      <w:r w:rsidRPr="00705170">
        <w:rPr>
          <w:rFonts w:ascii="Times New Roman" w:hAnsi="Times New Roman" w:cs="Times New Roman"/>
          <w:color w:val="000000"/>
        </w:rPr>
        <w:t xml:space="preserve"> is in a </w:t>
      </w:r>
      <w:proofErr w:type="spellStart"/>
      <w:r w:rsidRPr="00705170">
        <w:rPr>
          <w:rFonts w:ascii="Times New Roman" w:hAnsi="Times New Roman" w:cs="Times New Roman"/>
          <w:color w:val="000000"/>
        </w:rPr>
        <w:t>continuous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course</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conduct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violating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public</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policy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such</w:t>
      </w:r>
      <w:proofErr w:type="spellEnd"/>
      <w:r w:rsidRPr="00705170">
        <w:rPr>
          <w:rFonts w:ascii="Times New Roman" w:hAnsi="Times New Roman" w:cs="Times New Roman"/>
          <w:color w:val="000000"/>
        </w:rPr>
        <w:t xml:space="preserve"> as </w:t>
      </w:r>
      <w:proofErr w:type="spellStart"/>
      <w:r w:rsidRPr="00705170">
        <w:rPr>
          <w:rFonts w:ascii="Times New Roman" w:hAnsi="Times New Roman" w:cs="Times New Roman"/>
          <w:color w:val="000000"/>
        </w:rPr>
        <w:t>using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carry</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out</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criminal</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activities</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h</w:t>
      </w:r>
      <w:r w:rsidRPr="00705170">
        <w:rPr>
          <w:rFonts w:ascii="Times New Roman" w:hAnsi="Times New Roman" w:cs="Times New Roman"/>
          <w:color w:val="000000"/>
        </w:rPr>
        <w:t>owever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this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provision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should</w:t>
      </w:r>
      <w:proofErr w:type="spellEnd"/>
      <w:r w:rsidRPr="00705170">
        <w:rPr>
          <w:rFonts w:ascii="Times New Roman" w:hAnsi="Times New Roman" w:cs="Times New Roman"/>
          <w:color w:val="000000"/>
        </w:rPr>
        <w:t xml:space="preserve"> not </w:t>
      </w:r>
      <w:proofErr w:type="spellStart"/>
      <w:r w:rsidRPr="00705170">
        <w:rPr>
          <w:rFonts w:ascii="Times New Roman" w:hAnsi="Times New Roman" w:cs="Times New Roman"/>
          <w:color w:val="000000"/>
        </w:rPr>
        <w:t>only</w:t>
      </w:r>
      <w:proofErr w:type="spellEnd"/>
      <w:r w:rsidRPr="00705170">
        <w:rPr>
          <w:rFonts w:ascii="Times New Roman" w:hAnsi="Times New Roman" w:cs="Times New Roman"/>
          <w:color w:val="000000"/>
        </w:rPr>
        <w:t xml:space="preserve"> be </w:t>
      </w:r>
      <w:proofErr w:type="spellStart"/>
      <w:r w:rsidRPr="00705170">
        <w:rPr>
          <w:rFonts w:ascii="Times New Roman" w:hAnsi="Times New Roman" w:cs="Times New Roman"/>
          <w:color w:val="000000"/>
        </w:rPr>
        <w:t>thought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from</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aspect</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criminal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activities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action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violate</w:t>
      </w:r>
      <w:r w:rsidR="00721D93" w:rsidRPr="00705170">
        <w:rPr>
          <w:rFonts w:ascii="Times New Roman" w:hAnsi="Times New Roman" w:cs="Times New Roman"/>
          <w:color w:val="000000"/>
        </w:rPr>
        <w:t>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statutory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rules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implemented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protect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further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public</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interest</w:t>
      </w:r>
      <w:proofErr w:type="spellEnd"/>
      <w:r w:rsidRPr="00705170">
        <w:rPr>
          <w:rFonts w:ascii="Times New Roman" w:hAnsi="Times New Roman" w:cs="Times New Roman"/>
          <w:color w:val="000000"/>
        </w:rPr>
        <w:t xml:space="preserve"> can be </w:t>
      </w:r>
      <w:proofErr w:type="spellStart"/>
      <w:r w:rsidRPr="00705170">
        <w:rPr>
          <w:rFonts w:ascii="Times New Roman" w:hAnsi="Times New Roman" w:cs="Times New Roman"/>
          <w:color w:val="000000"/>
        </w:rPr>
        <w:t>regarded</w:t>
      </w:r>
      <w:proofErr w:type="spellEnd"/>
      <w:r w:rsidRPr="00705170">
        <w:rPr>
          <w:rFonts w:ascii="Times New Roman" w:hAnsi="Times New Roman" w:cs="Times New Roman"/>
          <w:color w:val="000000"/>
        </w:rPr>
        <w:t xml:space="preserve"> as </w:t>
      </w:r>
      <w:proofErr w:type="spellStart"/>
      <w:r w:rsidRPr="00705170">
        <w:rPr>
          <w:rFonts w:ascii="Times New Roman" w:hAnsi="Times New Roman" w:cs="Times New Roman"/>
          <w:color w:val="000000"/>
        </w:rPr>
        <w:t>actions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violating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public</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policy</w:t>
      </w:r>
      <w:proofErr w:type="spellEnd"/>
      <w:r w:rsidRPr="00705170">
        <w:rPr>
          <w:rStyle w:val="DipnotBavurusu"/>
          <w:rFonts w:ascii="Times New Roman" w:hAnsi="Times New Roman" w:cs="Times New Roman"/>
          <w:color w:val="000000"/>
        </w:rPr>
        <w:footnoteReference w:id="458"/>
      </w:r>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Considering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importance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given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publicly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traded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corporations</w:t>
      </w:r>
      <w:proofErr w:type="spellEnd"/>
      <w:r w:rsidRPr="00705170">
        <w:rPr>
          <w:rFonts w:ascii="Times New Roman" w:hAnsi="Times New Roman" w:cs="Times New Roman"/>
          <w:color w:val="000000"/>
        </w:rPr>
        <w:t xml:space="preserve"> in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advancement</w:t>
      </w:r>
      <w:proofErr w:type="spellEnd"/>
      <w:r w:rsidRPr="00705170">
        <w:rPr>
          <w:rFonts w:ascii="Times New Roman" w:hAnsi="Times New Roman" w:cs="Times New Roman"/>
          <w:color w:val="000000"/>
        </w:rPr>
        <w:t xml:space="preserve"> of a </w:t>
      </w:r>
      <w:proofErr w:type="spellStart"/>
      <w:r w:rsidRPr="00705170">
        <w:rPr>
          <w:rFonts w:ascii="Times New Roman" w:hAnsi="Times New Roman" w:cs="Times New Roman"/>
          <w:color w:val="000000"/>
        </w:rPr>
        <w:t>country’s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economic</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progress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the</w:t>
      </w:r>
      <w:proofErr w:type="spellEnd"/>
      <w:r w:rsidR="00721D93"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explicit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Constitutional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provision</w:t>
      </w:r>
      <w:proofErr w:type="spellEnd"/>
      <w:r w:rsidRPr="00705170">
        <w:rPr>
          <w:rFonts w:ascii="Times New Roman" w:hAnsi="Times New Roman" w:cs="Times New Roman"/>
          <w:color w:val="000000"/>
        </w:rPr>
        <w:t xml:space="preserve"> </w:t>
      </w:r>
      <w:r w:rsidR="00721D93" w:rsidRPr="00705170">
        <w:rPr>
          <w:rFonts w:ascii="Times New Roman" w:hAnsi="Times New Roman" w:cs="Times New Roman"/>
          <w:color w:val="000000"/>
        </w:rPr>
        <w:t xml:space="preserve">in </w:t>
      </w:r>
      <w:proofErr w:type="spellStart"/>
      <w:r w:rsidR="00721D93" w:rsidRPr="00705170">
        <w:rPr>
          <w:rFonts w:ascii="Times New Roman" w:hAnsi="Times New Roman" w:cs="Times New Roman"/>
          <w:color w:val="000000"/>
        </w:rPr>
        <w:t>Turkey</w:t>
      </w:r>
      <w:proofErr w:type="spellEnd"/>
      <w:r w:rsidR="00721D93"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authorizing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state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implement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measures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make</w:t>
      </w:r>
      <w:proofErr w:type="spellEnd"/>
      <w:r w:rsidRPr="00705170">
        <w:rPr>
          <w:rFonts w:ascii="Times New Roman" w:hAnsi="Times New Roman" w:cs="Times New Roman"/>
          <w:color w:val="000000"/>
        </w:rPr>
        <w:t xml:space="preserve"> sure </w:t>
      </w:r>
      <w:proofErr w:type="spellStart"/>
      <w:r w:rsidRPr="00705170">
        <w:rPr>
          <w:rFonts w:ascii="Times New Roman" w:hAnsi="Times New Roman" w:cs="Times New Roman"/>
          <w:color w:val="000000"/>
        </w:rPr>
        <w:t>corporations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operating</w:t>
      </w:r>
      <w:proofErr w:type="spellEnd"/>
      <w:r w:rsidRPr="00705170">
        <w:rPr>
          <w:rFonts w:ascii="Times New Roman" w:hAnsi="Times New Roman" w:cs="Times New Roman"/>
          <w:color w:val="000000"/>
        </w:rPr>
        <w:t xml:space="preserve"> in </w:t>
      </w:r>
      <w:proofErr w:type="spellStart"/>
      <w:r w:rsidRPr="00705170">
        <w:rPr>
          <w:rFonts w:ascii="Times New Roman" w:hAnsi="Times New Roman" w:cs="Times New Roman"/>
          <w:color w:val="000000"/>
        </w:rPr>
        <w:t>accordance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with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economic</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neccessities</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country</w:t>
      </w:r>
      <w:proofErr w:type="spellEnd"/>
      <w:r w:rsidRPr="00705170">
        <w:rPr>
          <w:rStyle w:val="DipnotBavurusu"/>
          <w:rFonts w:ascii="Times New Roman" w:hAnsi="Times New Roman" w:cs="Times New Roman"/>
          <w:color w:val="000000"/>
        </w:rPr>
        <w:footnoteReference w:id="459"/>
      </w:r>
      <w:r w:rsidR="00721D93" w:rsidRPr="00705170">
        <w:rPr>
          <w:rFonts w:ascii="Times New Roman" w:hAnsi="Times New Roman" w:cs="Times New Roman"/>
          <w:color w:val="000000"/>
        </w:rPr>
        <w:t>;</w:t>
      </w:r>
      <w:r w:rsidRPr="00705170">
        <w:rPr>
          <w:rFonts w:ascii="Times New Roman" w:hAnsi="Times New Roman" w:cs="Times New Roman"/>
          <w:color w:val="000000"/>
        </w:rPr>
        <w:t xml:space="preserve"> it can be </w:t>
      </w:r>
      <w:proofErr w:type="spellStart"/>
      <w:r w:rsidRPr="00705170">
        <w:rPr>
          <w:rFonts w:ascii="Times New Roman" w:hAnsi="Times New Roman" w:cs="Times New Roman"/>
          <w:color w:val="000000"/>
        </w:rPr>
        <w:t>accepted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provision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requiring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have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economic</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purpose</w:t>
      </w:r>
      <w:proofErr w:type="spellEnd"/>
      <w:r w:rsidRPr="00705170">
        <w:rPr>
          <w:rFonts w:ascii="Times New Roman" w:hAnsi="Times New Roman" w:cs="Times New Roman"/>
          <w:color w:val="000000"/>
        </w:rPr>
        <w:t xml:space="preserve"> is </w:t>
      </w:r>
      <w:proofErr w:type="spellStart"/>
      <w:r w:rsidRPr="00705170">
        <w:rPr>
          <w:rFonts w:ascii="Times New Roman" w:hAnsi="Times New Roman" w:cs="Times New Roman"/>
          <w:color w:val="000000"/>
        </w:rPr>
        <w:t>one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is </w:t>
      </w:r>
      <w:proofErr w:type="spellStart"/>
      <w:r w:rsidRPr="00705170">
        <w:rPr>
          <w:rFonts w:ascii="Times New Roman" w:hAnsi="Times New Roman" w:cs="Times New Roman"/>
          <w:color w:val="000000"/>
        </w:rPr>
        <w:lastRenderedPageBreak/>
        <w:t>implemented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protect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further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public</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interest</w:t>
      </w:r>
      <w:proofErr w:type="spellEnd"/>
      <w:r w:rsidRPr="00705170">
        <w:rPr>
          <w:rStyle w:val="DipnotBavurusu"/>
          <w:rFonts w:ascii="Times New Roman" w:hAnsi="Times New Roman" w:cs="Times New Roman"/>
          <w:color w:val="000000"/>
        </w:rPr>
        <w:footnoteReference w:id="460"/>
      </w:r>
      <w:r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This</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interpretation</w:t>
      </w:r>
      <w:proofErr w:type="spellEnd"/>
      <w:r w:rsidR="00721D93" w:rsidRPr="00705170">
        <w:rPr>
          <w:rFonts w:ascii="Times New Roman" w:hAnsi="Times New Roman" w:cs="Times New Roman"/>
          <w:color w:val="000000"/>
        </w:rPr>
        <w:t xml:space="preserve"> </w:t>
      </w:r>
      <w:proofErr w:type="spellStart"/>
      <w:r w:rsidR="00F37DFD">
        <w:rPr>
          <w:rFonts w:ascii="Times New Roman" w:hAnsi="Times New Roman" w:cs="Times New Roman"/>
          <w:color w:val="000000"/>
        </w:rPr>
        <w:t>should</w:t>
      </w:r>
      <w:proofErr w:type="spellEnd"/>
      <w:r w:rsidR="00F37DFD">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bring</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the</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economic</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purpose</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principle</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within</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the</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scope</w:t>
      </w:r>
      <w:proofErr w:type="spellEnd"/>
      <w:r w:rsidR="00721D93" w:rsidRPr="00705170">
        <w:rPr>
          <w:rFonts w:ascii="Times New Roman" w:hAnsi="Times New Roman" w:cs="Times New Roman"/>
          <w:color w:val="000000"/>
        </w:rPr>
        <w:t xml:space="preserve"> of </w:t>
      </w:r>
      <w:proofErr w:type="spellStart"/>
      <w:r w:rsidR="00721D93" w:rsidRPr="00705170">
        <w:rPr>
          <w:rFonts w:ascii="Times New Roman" w:hAnsi="Times New Roman" w:cs="Times New Roman"/>
          <w:color w:val="000000"/>
        </w:rPr>
        <w:t>the</w:t>
      </w:r>
      <w:proofErr w:type="spellEnd"/>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Ministry’s</w:t>
      </w:r>
      <w:proofErr w:type="spellEnd"/>
      <w:r w:rsidR="00721D93" w:rsidRPr="00705170">
        <w:rPr>
          <w:rFonts w:ascii="Times New Roman" w:hAnsi="Times New Roman" w:cs="Times New Roman"/>
          <w:color w:val="000000"/>
        </w:rPr>
        <w:t xml:space="preserve"> TCC </w:t>
      </w:r>
      <w:proofErr w:type="spellStart"/>
      <w:r w:rsidR="00721D93" w:rsidRPr="00705170">
        <w:rPr>
          <w:rFonts w:ascii="Times New Roman" w:hAnsi="Times New Roman" w:cs="Times New Roman"/>
          <w:color w:val="000000"/>
        </w:rPr>
        <w:t>Article</w:t>
      </w:r>
      <w:proofErr w:type="spellEnd"/>
      <w:r w:rsidR="00721D93" w:rsidRPr="00705170">
        <w:rPr>
          <w:rFonts w:ascii="Times New Roman" w:hAnsi="Times New Roman" w:cs="Times New Roman"/>
          <w:color w:val="000000"/>
        </w:rPr>
        <w:t xml:space="preserve"> 210(3)</w:t>
      </w:r>
      <w:r w:rsidR="00F37DFD">
        <w:rPr>
          <w:rFonts w:ascii="Times New Roman" w:hAnsi="Times New Roman" w:cs="Times New Roman"/>
          <w:color w:val="000000"/>
        </w:rPr>
        <w:t xml:space="preserve"> </w:t>
      </w:r>
      <w:proofErr w:type="spellStart"/>
      <w:r w:rsidR="00F37DFD">
        <w:rPr>
          <w:rFonts w:ascii="Times New Roman" w:hAnsi="Times New Roman" w:cs="Times New Roman"/>
          <w:color w:val="000000"/>
        </w:rPr>
        <w:t>and</w:t>
      </w:r>
      <w:proofErr w:type="spellEnd"/>
      <w:r w:rsidR="00F37DFD">
        <w:rPr>
          <w:rFonts w:ascii="Times New Roman" w:hAnsi="Times New Roman" w:cs="Times New Roman"/>
          <w:color w:val="000000"/>
        </w:rPr>
        <w:t xml:space="preserve"> </w:t>
      </w:r>
      <w:proofErr w:type="spellStart"/>
      <w:r w:rsidR="00F37DFD">
        <w:rPr>
          <w:rFonts w:ascii="Times New Roman" w:hAnsi="Times New Roman" w:cs="Times New Roman"/>
          <w:color w:val="000000"/>
        </w:rPr>
        <w:t>Article</w:t>
      </w:r>
      <w:proofErr w:type="spellEnd"/>
      <w:r w:rsidR="00F37DFD">
        <w:rPr>
          <w:rFonts w:ascii="Times New Roman" w:hAnsi="Times New Roman" w:cs="Times New Roman"/>
          <w:color w:val="000000"/>
        </w:rPr>
        <w:t xml:space="preserve"> 353</w:t>
      </w:r>
      <w:r w:rsidR="009508AE">
        <w:rPr>
          <w:rFonts w:ascii="Times New Roman" w:hAnsi="Times New Roman" w:cs="Times New Roman"/>
          <w:color w:val="000000"/>
        </w:rPr>
        <w:t>(1)</w:t>
      </w:r>
      <w:r w:rsidR="00721D93" w:rsidRPr="00705170">
        <w:rPr>
          <w:rFonts w:ascii="Times New Roman" w:hAnsi="Times New Roman" w:cs="Times New Roman"/>
          <w:color w:val="000000"/>
        </w:rPr>
        <w:t xml:space="preserve"> </w:t>
      </w:r>
      <w:proofErr w:type="spellStart"/>
      <w:r w:rsidR="00721D93" w:rsidRPr="00705170">
        <w:rPr>
          <w:rFonts w:ascii="Times New Roman" w:hAnsi="Times New Roman" w:cs="Times New Roman"/>
          <w:color w:val="000000"/>
        </w:rPr>
        <w:t>authority</w:t>
      </w:r>
      <w:proofErr w:type="spellEnd"/>
      <w:r w:rsidR="000F5C7E">
        <w:rPr>
          <w:rStyle w:val="DipnotBavurusu"/>
          <w:rFonts w:ascii="Times New Roman" w:hAnsi="Times New Roman" w:cs="Times New Roman"/>
          <w:color w:val="000000"/>
        </w:rPr>
        <w:footnoteReference w:id="461"/>
      </w:r>
      <w:r w:rsidR="00721D93" w:rsidRPr="00705170">
        <w:rPr>
          <w:rFonts w:ascii="Times New Roman" w:hAnsi="Times New Roman" w:cs="Times New Roman"/>
          <w:color w:val="000000"/>
        </w:rPr>
        <w:t xml:space="preserve">. </w:t>
      </w:r>
    </w:p>
    <w:p w14:paraId="77535966" w14:textId="06796688" w:rsidR="00B717A7" w:rsidRPr="00705170" w:rsidRDefault="00CF0E63" w:rsidP="00B717A7">
      <w:pPr>
        <w:spacing w:after="240" w:line="480" w:lineRule="auto"/>
        <w:ind w:firstLine="720"/>
        <w:jc w:val="both"/>
        <w:rPr>
          <w:rFonts w:ascii="Times New Roman" w:hAnsi="Times New Roman" w:cs="Times New Roman"/>
          <w:color w:val="000000"/>
        </w:rPr>
      </w:pPr>
      <w:r w:rsidRPr="00705170">
        <w:rPr>
          <w:rFonts w:ascii="Times New Roman" w:hAnsi="Times New Roman" w:cs="Times New Roman"/>
          <w:color w:val="000000"/>
        </w:rPr>
        <w:t xml:space="preserve">On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other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hand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w:t>
      </w:r>
      <w:r w:rsidR="00B717A7" w:rsidRPr="00705170">
        <w:rPr>
          <w:rFonts w:ascii="Times New Roman" w:hAnsi="Times New Roman" w:cs="Times New Roman"/>
          <w:color w:val="000000"/>
        </w:rPr>
        <w:t>hile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ultimate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object</w:t>
      </w:r>
      <w:proofErr w:type="spellEnd"/>
      <w:r w:rsidR="00B717A7" w:rsidRPr="00705170">
        <w:rPr>
          <w:rFonts w:ascii="Times New Roman" w:hAnsi="Times New Roman" w:cs="Times New Roman"/>
          <w:color w:val="000000"/>
        </w:rPr>
        <w:t xml:space="preserve"> of </w:t>
      </w:r>
      <w:proofErr w:type="spellStart"/>
      <w:r w:rsidR="00B717A7" w:rsidRPr="00705170">
        <w:rPr>
          <w:rFonts w:ascii="Times New Roman" w:hAnsi="Times New Roman" w:cs="Times New Roman"/>
          <w:color w:val="000000"/>
        </w:rPr>
        <w:t>corporations</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was</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accepted</w:t>
      </w:r>
      <w:proofErr w:type="spellEnd"/>
      <w:r w:rsidR="00B717A7" w:rsidRPr="00705170">
        <w:rPr>
          <w:rFonts w:ascii="Times New Roman" w:hAnsi="Times New Roman" w:cs="Times New Roman"/>
          <w:color w:val="000000"/>
        </w:rPr>
        <w:t xml:space="preserve"> as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pecuniary</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gain</w:t>
      </w:r>
      <w:proofErr w:type="spellEnd"/>
      <w:r w:rsidR="00B717A7" w:rsidRPr="00705170">
        <w:rPr>
          <w:rFonts w:ascii="Times New Roman" w:hAnsi="Times New Roman" w:cs="Times New Roman"/>
          <w:color w:val="000000"/>
        </w:rPr>
        <w:t xml:space="preserve"> of </w:t>
      </w:r>
      <w:proofErr w:type="spellStart"/>
      <w:r w:rsidR="00B717A7" w:rsidRPr="00705170">
        <w:rPr>
          <w:rFonts w:ascii="Times New Roman" w:hAnsi="Times New Roman" w:cs="Times New Roman"/>
          <w:color w:val="000000"/>
        </w:rPr>
        <w:t>its</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shareholders</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long</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ago</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by</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some</w:t>
      </w:r>
      <w:proofErr w:type="spellEnd"/>
      <w:r w:rsidR="00B717A7" w:rsidRPr="00705170">
        <w:rPr>
          <w:rFonts w:ascii="Times New Roman" w:hAnsi="Times New Roman" w:cs="Times New Roman"/>
          <w:color w:val="000000"/>
        </w:rPr>
        <w:t xml:space="preserve"> U.S. </w:t>
      </w:r>
      <w:proofErr w:type="spellStart"/>
      <w:r w:rsidR="00B717A7" w:rsidRPr="00705170">
        <w:rPr>
          <w:rFonts w:ascii="Times New Roman" w:hAnsi="Times New Roman" w:cs="Times New Roman"/>
          <w:color w:val="000000"/>
        </w:rPr>
        <w:t>state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courts</w:t>
      </w:r>
      <w:proofErr w:type="spellEnd"/>
      <w:r w:rsidR="00B717A7" w:rsidRPr="00705170">
        <w:rPr>
          <w:rStyle w:val="DipnotBavurusu"/>
          <w:rFonts w:ascii="Times New Roman" w:hAnsi="Times New Roman" w:cs="Times New Roman"/>
          <w:color w:val="000000"/>
        </w:rPr>
        <w:footnoteReference w:id="462"/>
      </w:r>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corporation</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statutes</w:t>
      </w:r>
      <w:proofErr w:type="spellEnd"/>
      <w:r w:rsidR="00B717A7" w:rsidRPr="00705170">
        <w:rPr>
          <w:rFonts w:ascii="Times New Roman" w:hAnsi="Times New Roman" w:cs="Times New Roman"/>
          <w:color w:val="000000"/>
        </w:rPr>
        <w:t xml:space="preserve"> in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U.S., </w:t>
      </w:r>
      <w:proofErr w:type="spellStart"/>
      <w:r w:rsidR="00B717A7" w:rsidRPr="00705170">
        <w:rPr>
          <w:rFonts w:ascii="Times New Roman" w:hAnsi="Times New Roman" w:cs="Times New Roman"/>
          <w:color w:val="000000"/>
        </w:rPr>
        <w:t>including</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Delaware’s</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generally</w:t>
      </w:r>
      <w:proofErr w:type="spellEnd"/>
      <w:r w:rsidR="00B717A7" w:rsidRPr="00705170">
        <w:rPr>
          <w:rFonts w:ascii="Times New Roman" w:hAnsi="Times New Roman" w:cs="Times New Roman"/>
          <w:color w:val="000000"/>
        </w:rPr>
        <w:t xml:space="preserve"> do not say </w:t>
      </w:r>
      <w:proofErr w:type="spellStart"/>
      <w:r w:rsidR="00B717A7" w:rsidRPr="00705170">
        <w:rPr>
          <w:rFonts w:ascii="Times New Roman" w:hAnsi="Times New Roman" w:cs="Times New Roman"/>
          <w:color w:val="000000"/>
        </w:rPr>
        <w:t>explicitly</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that</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purpose</w:t>
      </w:r>
      <w:proofErr w:type="spellEnd"/>
      <w:r w:rsidR="00B717A7" w:rsidRPr="00705170">
        <w:rPr>
          <w:rFonts w:ascii="Times New Roman" w:hAnsi="Times New Roman" w:cs="Times New Roman"/>
          <w:color w:val="000000"/>
        </w:rPr>
        <w:t xml:space="preserve"> of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corporation</w:t>
      </w:r>
      <w:proofErr w:type="spellEnd"/>
      <w:r w:rsidR="00B717A7" w:rsidRPr="00705170">
        <w:rPr>
          <w:rFonts w:ascii="Times New Roman" w:hAnsi="Times New Roman" w:cs="Times New Roman"/>
          <w:color w:val="000000"/>
        </w:rPr>
        <w:t xml:space="preserve"> is </w:t>
      </w:r>
      <w:proofErr w:type="spellStart"/>
      <w:r w:rsidR="00B717A7" w:rsidRPr="00705170">
        <w:rPr>
          <w:rFonts w:ascii="Times New Roman" w:hAnsi="Times New Roman" w:cs="Times New Roman"/>
          <w:color w:val="000000"/>
        </w:rPr>
        <w:t>to</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make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or</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maximize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profits</w:t>
      </w:r>
      <w:proofErr w:type="spellEnd"/>
      <w:r w:rsidR="00B717A7" w:rsidRPr="00705170">
        <w:rPr>
          <w:rStyle w:val="DipnotBavurusu"/>
          <w:rFonts w:ascii="Times New Roman" w:hAnsi="Times New Roman" w:cs="Times New Roman"/>
          <w:color w:val="000000"/>
        </w:rPr>
        <w:footnoteReference w:id="463"/>
      </w:r>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Still</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economic</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purpose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or</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purpose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to</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make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profits</w:t>
      </w:r>
      <w:proofErr w:type="spellEnd"/>
      <w:r w:rsidR="00B717A7" w:rsidRPr="00705170">
        <w:rPr>
          <w:rFonts w:ascii="Times New Roman" w:hAnsi="Times New Roman" w:cs="Times New Roman"/>
          <w:color w:val="000000"/>
        </w:rPr>
        <w:t xml:space="preserve"> is </w:t>
      </w:r>
      <w:proofErr w:type="spellStart"/>
      <w:r w:rsidR="00B717A7" w:rsidRPr="00705170">
        <w:rPr>
          <w:rFonts w:ascii="Times New Roman" w:hAnsi="Times New Roman" w:cs="Times New Roman"/>
          <w:color w:val="000000"/>
        </w:rPr>
        <w:t>assumed</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by</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courts</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and</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commentators</w:t>
      </w:r>
      <w:proofErr w:type="spellEnd"/>
      <w:r w:rsidR="00B717A7" w:rsidRPr="00705170">
        <w:rPr>
          <w:rStyle w:val="DipnotBavurusu"/>
          <w:rFonts w:ascii="Times New Roman" w:hAnsi="Times New Roman" w:cs="Times New Roman"/>
          <w:color w:val="000000"/>
        </w:rPr>
        <w:footnoteReference w:id="464"/>
      </w:r>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It</w:t>
      </w:r>
      <w:proofErr w:type="spellEnd"/>
      <w:r w:rsidR="00B717A7" w:rsidRPr="00705170">
        <w:rPr>
          <w:rFonts w:ascii="Times New Roman" w:hAnsi="Times New Roman" w:cs="Times New Roman"/>
          <w:color w:val="000000"/>
        </w:rPr>
        <w:t xml:space="preserve"> is </w:t>
      </w:r>
      <w:proofErr w:type="spellStart"/>
      <w:r w:rsidR="00B717A7" w:rsidRPr="00705170">
        <w:rPr>
          <w:rFonts w:ascii="Times New Roman" w:hAnsi="Times New Roman" w:cs="Times New Roman"/>
          <w:color w:val="000000"/>
        </w:rPr>
        <w:t>said</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that</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statutory</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and</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case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law</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formulations</w:t>
      </w:r>
      <w:proofErr w:type="spellEnd"/>
      <w:r w:rsidR="00B717A7" w:rsidRPr="00705170">
        <w:rPr>
          <w:rFonts w:ascii="Times New Roman" w:hAnsi="Times New Roman" w:cs="Times New Roman"/>
          <w:color w:val="000000"/>
        </w:rPr>
        <w:t xml:space="preserve"> of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directors</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and</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officers</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duty</w:t>
      </w:r>
      <w:proofErr w:type="spellEnd"/>
      <w:r w:rsidR="00B717A7" w:rsidRPr="00705170">
        <w:rPr>
          <w:rFonts w:ascii="Times New Roman" w:hAnsi="Times New Roman" w:cs="Times New Roman"/>
          <w:color w:val="000000"/>
        </w:rPr>
        <w:t xml:space="preserve"> of </w:t>
      </w:r>
      <w:proofErr w:type="spellStart"/>
      <w:r w:rsidR="00B717A7" w:rsidRPr="00705170">
        <w:rPr>
          <w:rFonts w:ascii="Times New Roman" w:hAnsi="Times New Roman" w:cs="Times New Roman"/>
          <w:color w:val="000000"/>
        </w:rPr>
        <w:t>care</w:t>
      </w:r>
      <w:proofErr w:type="spellEnd"/>
      <w:r w:rsidR="00B717A7" w:rsidRPr="00705170">
        <w:rPr>
          <w:rFonts w:ascii="Times New Roman" w:hAnsi="Times New Roman" w:cs="Times New Roman"/>
          <w:color w:val="000000"/>
        </w:rPr>
        <w:t xml:space="preserve"> can </w:t>
      </w:r>
      <w:proofErr w:type="spellStart"/>
      <w:r w:rsidR="00B717A7" w:rsidRPr="00705170">
        <w:rPr>
          <w:rFonts w:ascii="Times New Roman" w:hAnsi="Times New Roman" w:cs="Times New Roman"/>
          <w:color w:val="000000"/>
        </w:rPr>
        <w:t>easily</w:t>
      </w:r>
      <w:proofErr w:type="spellEnd"/>
      <w:r w:rsidR="00B717A7" w:rsidRPr="00705170">
        <w:rPr>
          <w:rFonts w:ascii="Times New Roman" w:hAnsi="Times New Roman" w:cs="Times New Roman"/>
          <w:color w:val="000000"/>
        </w:rPr>
        <w:t xml:space="preserve"> be </w:t>
      </w:r>
      <w:proofErr w:type="spellStart"/>
      <w:r w:rsidR="00B717A7" w:rsidRPr="00705170">
        <w:rPr>
          <w:rFonts w:ascii="Times New Roman" w:hAnsi="Times New Roman" w:cs="Times New Roman"/>
          <w:color w:val="000000"/>
        </w:rPr>
        <w:t>read</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to</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imply</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profit</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maximization</w:t>
      </w:r>
      <w:proofErr w:type="spellEnd"/>
      <w:r w:rsidR="00B717A7" w:rsidRPr="00705170">
        <w:rPr>
          <w:rFonts w:ascii="Times New Roman" w:hAnsi="Times New Roman" w:cs="Times New Roman"/>
          <w:color w:val="000000"/>
        </w:rPr>
        <w:t xml:space="preserve"> as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ultimate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goal</w:t>
      </w:r>
      <w:proofErr w:type="spellEnd"/>
      <w:r w:rsidR="00B717A7" w:rsidRPr="00705170">
        <w:rPr>
          <w:rFonts w:ascii="Times New Roman" w:hAnsi="Times New Roman" w:cs="Times New Roman"/>
          <w:color w:val="000000"/>
        </w:rPr>
        <w:t>”</w:t>
      </w:r>
      <w:r w:rsidR="00B717A7" w:rsidRPr="00705170">
        <w:rPr>
          <w:rStyle w:val="DipnotBavurusu"/>
          <w:rFonts w:ascii="Times New Roman" w:hAnsi="Times New Roman" w:cs="Times New Roman"/>
          <w:color w:val="000000"/>
        </w:rPr>
        <w:footnoteReference w:id="465"/>
      </w:r>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It</w:t>
      </w:r>
      <w:proofErr w:type="spellEnd"/>
      <w:r w:rsidR="00B717A7" w:rsidRPr="00705170">
        <w:rPr>
          <w:rFonts w:ascii="Times New Roman" w:hAnsi="Times New Roman" w:cs="Times New Roman"/>
          <w:color w:val="000000"/>
        </w:rPr>
        <w:t xml:space="preserve"> is “</w:t>
      </w:r>
      <w:proofErr w:type="spellStart"/>
      <w:r w:rsidR="00B717A7" w:rsidRPr="00705170">
        <w:rPr>
          <w:rFonts w:ascii="Times New Roman" w:hAnsi="Times New Roman" w:cs="Times New Roman"/>
          <w:color w:val="000000"/>
        </w:rPr>
        <w:t>within</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law</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relating</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to</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fiduciary</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duties</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that</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shareholder</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primacy</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finds</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its</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most</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direct</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expression</w:t>
      </w:r>
      <w:proofErr w:type="spellEnd"/>
      <w:r w:rsidR="00B717A7" w:rsidRPr="00705170">
        <w:rPr>
          <w:rFonts w:ascii="Times New Roman" w:hAnsi="Times New Roman" w:cs="Times New Roman"/>
          <w:color w:val="000000"/>
        </w:rPr>
        <w:t>”</w:t>
      </w:r>
      <w:r w:rsidR="00B717A7" w:rsidRPr="00705170">
        <w:rPr>
          <w:rStyle w:val="DipnotBavurusu"/>
          <w:rFonts w:ascii="Times New Roman" w:hAnsi="Times New Roman" w:cs="Times New Roman"/>
          <w:color w:val="000000"/>
        </w:rPr>
        <w:footnoteReference w:id="466"/>
      </w:r>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rPr>
        <w:t>In</w:t>
      </w:r>
      <w:proofErr w:type="spellEnd"/>
      <w:r w:rsidR="00B717A7" w:rsidRPr="00705170">
        <w:rPr>
          <w:rFonts w:ascii="Times New Roman" w:hAnsi="Times New Roman" w:cs="Times New Roman"/>
        </w:rPr>
        <w:t xml:space="preserve"> </w:t>
      </w:r>
      <w:proofErr w:type="spellStart"/>
      <w:r w:rsidR="00B717A7" w:rsidRPr="00705170">
        <w:rPr>
          <w:rFonts w:ascii="Times New Roman" w:hAnsi="Times New Roman" w:cs="Times New Roman"/>
        </w:rPr>
        <w:t>this</w:t>
      </w:r>
      <w:proofErr w:type="spellEnd"/>
      <w:r w:rsidR="00B717A7" w:rsidRPr="00705170">
        <w:rPr>
          <w:rFonts w:ascii="Times New Roman" w:hAnsi="Times New Roman" w:cs="Times New Roman"/>
        </w:rPr>
        <w:t xml:space="preserve"> sense, in Delaware, </w:t>
      </w:r>
      <w:proofErr w:type="spellStart"/>
      <w:r w:rsidR="00B717A7" w:rsidRPr="00705170">
        <w:rPr>
          <w:rFonts w:ascii="Times New Roman" w:hAnsi="Times New Roman" w:cs="Times New Roman"/>
        </w:rPr>
        <w:t>the</w:t>
      </w:r>
      <w:proofErr w:type="spellEnd"/>
      <w:r w:rsidR="00B717A7" w:rsidRPr="00705170">
        <w:rPr>
          <w:rFonts w:ascii="Times New Roman" w:hAnsi="Times New Roman" w:cs="Times New Roman"/>
        </w:rPr>
        <w:t xml:space="preserve"> “</w:t>
      </w:r>
      <w:proofErr w:type="spellStart"/>
      <w:r w:rsidR="00B717A7" w:rsidRPr="00705170">
        <w:rPr>
          <w:rFonts w:ascii="Times New Roman" w:hAnsi="Times New Roman" w:cs="Times New Roman"/>
        </w:rPr>
        <w:t>wealth</w:t>
      </w:r>
      <w:proofErr w:type="spellEnd"/>
      <w:r w:rsidR="00B717A7" w:rsidRPr="00705170">
        <w:rPr>
          <w:rFonts w:ascii="Times New Roman" w:hAnsi="Times New Roman" w:cs="Times New Roman"/>
        </w:rPr>
        <w:t xml:space="preserve"> </w:t>
      </w:r>
      <w:proofErr w:type="spellStart"/>
      <w:r w:rsidR="00B717A7" w:rsidRPr="00705170">
        <w:rPr>
          <w:rFonts w:ascii="Times New Roman" w:hAnsi="Times New Roman" w:cs="Times New Roman"/>
        </w:rPr>
        <w:t>maximization</w:t>
      </w:r>
      <w:proofErr w:type="spellEnd"/>
      <w:r w:rsidR="00B717A7" w:rsidRPr="00705170">
        <w:rPr>
          <w:rFonts w:ascii="Times New Roman" w:hAnsi="Times New Roman" w:cs="Times New Roman"/>
        </w:rPr>
        <w:t xml:space="preserve"> </w:t>
      </w:r>
      <w:proofErr w:type="spellStart"/>
      <w:r w:rsidR="00B717A7" w:rsidRPr="00705170">
        <w:rPr>
          <w:rFonts w:ascii="Times New Roman" w:hAnsi="Times New Roman" w:cs="Times New Roman"/>
          <w:color w:val="000000"/>
        </w:rPr>
        <w:t>obligation</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derives</w:t>
      </w:r>
      <w:proofErr w:type="spellEnd"/>
      <w:r w:rsidR="00B717A7" w:rsidRPr="00705170">
        <w:rPr>
          <w:rFonts w:ascii="Times New Roman" w:hAnsi="Times New Roman" w:cs="Times New Roman"/>
          <w:color w:val="000000"/>
        </w:rPr>
        <w:t xml:space="preserve"> not </w:t>
      </w:r>
      <w:proofErr w:type="spellStart"/>
      <w:r w:rsidR="00B717A7" w:rsidRPr="00705170">
        <w:rPr>
          <w:rFonts w:ascii="Times New Roman" w:hAnsi="Times New Roman" w:cs="Times New Roman"/>
          <w:color w:val="000000"/>
        </w:rPr>
        <w:t>from</w:t>
      </w:r>
      <w:proofErr w:type="spellEnd"/>
      <w:r w:rsidR="00B717A7" w:rsidRPr="00705170">
        <w:rPr>
          <w:rFonts w:ascii="Times New Roman" w:hAnsi="Times New Roman" w:cs="Times New Roman"/>
          <w:color w:val="000000"/>
        </w:rPr>
        <w:t xml:space="preserve"> an </w:t>
      </w:r>
      <w:proofErr w:type="spellStart"/>
      <w:r w:rsidR="00B717A7" w:rsidRPr="00705170">
        <w:rPr>
          <w:rFonts w:ascii="Times New Roman" w:hAnsi="Times New Roman" w:cs="Times New Roman"/>
          <w:color w:val="000000"/>
        </w:rPr>
        <w:t>agency</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or</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trust</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relationship</w:t>
      </w:r>
      <w:proofErr w:type="spellEnd"/>
      <w:r w:rsidR="00B717A7" w:rsidRPr="00705170">
        <w:rPr>
          <w:rFonts w:ascii="Times New Roman" w:hAnsi="Times New Roman" w:cs="Times New Roman"/>
          <w:color w:val="000000"/>
        </w:rPr>
        <w:t xml:space="preserve">, but </w:t>
      </w:r>
      <w:proofErr w:type="spellStart"/>
      <w:r w:rsidR="00B717A7" w:rsidRPr="00705170">
        <w:rPr>
          <w:rFonts w:ascii="Times New Roman" w:hAnsi="Times New Roman" w:cs="Times New Roman"/>
          <w:color w:val="000000"/>
        </w:rPr>
        <w:t>merely</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because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that</w:t>
      </w:r>
      <w:proofErr w:type="spellEnd"/>
      <w:r w:rsidR="00B717A7" w:rsidRPr="00705170">
        <w:rPr>
          <w:rFonts w:ascii="Times New Roman" w:hAnsi="Times New Roman" w:cs="Times New Roman"/>
          <w:color w:val="000000"/>
        </w:rPr>
        <w:t xml:space="preserve"> is </w:t>
      </w:r>
      <w:proofErr w:type="spellStart"/>
      <w:r w:rsidR="00B717A7" w:rsidRPr="00705170">
        <w:rPr>
          <w:rFonts w:ascii="Times New Roman" w:hAnsi="Times New Roman" w:cs="Times New Roman"/>
          <w:color w:val="000000"/>
        </w:rPr>
        <w:t>what</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shareholders</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implicitly</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or</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explicitly</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1C1C1C"/>
        </w:rPr>
        <w:t>contracted</w:t>
      </w:r>
      <w:proofErr w:type="spellEnd"/>
      <w:r w:rsidR="00B717A7" w:rsidRPr="00705170">
        <w:rPr>
          <w:rFonts w:ascii="Times New Roman" w:hAnsi="Times New Roman" w:cs="Times New Roman"/>
          <w:color w:val="1C1C1C"/>
        </w:rPr>
        <w:t xml:space="preserve"> </w:t>
      </w:r>
      <w:proofErr w:type="spellStart"/>
      <w:r w:rsidR="00B717A7" w:rsidRPr="00705170">
        <w:rPr>
          <w:rFonts w:ascii="Times New Roman" w:hAnsi="Times New Roman" w:cs="Times New Roman"/>
          <w:color w:val="000000"/>
        </w:rPr>
        <w:t>for</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when</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they</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purchased</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their</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investment</w:t>
      </w:r>
      <w:proofErr w:type="spellEnd"/>
      <w:r w:rsidR="00B717A7" w:rsidRPr="00705170">
        <w:rPr>
          <w:rFonts w:ascii="Times New Roman" w:hAnsi="Times New Roman" w:cs="Times New Roman"/>
          <w:color w:val="000000"/>
        </w:rPr>
        <w:t>”</w:t>
      </w:r>
      <w:r w:rsidR="00B717A7" w:rsidRPr="00705170">
        <w:rPr>
          <w:rStyle w:val="DipnotBavurusu"/>
          <w:rFonts w:ascii="Times New Roman" w:hAnsi="Times New Roman" w:cs="Times New Roman"/>
          <w:color w:val="000000"/>
        </w:rPr>
        <w:footnoteReference w:id="467"/>
      </w:r>
      <w:r w:rsidR="00B717A7" w:rsidRPr="00705170">
        <w:rPr>
          <w:rFonts w:ascii="Times New Roman" w:hAnsi="Times New Roman" w:cs="Times New Roman"/>
          <w:color w:val="000000"/>
        </w:rPr>
        <w:t xml:space="preserve">. Delaware </w:t>
      </w:r>
      <w:proofErr w:type="spellStart"/>
      <w:r w:rsidR="00B717A7" w:rsidRPr="00705170">
        <w:rPr>
          <w:rFonts w:ascii="Times New Roman" w:hAnsi="Times New Roman" w:cs="Times New Roman"/>
          <w:color w:val="000000"/>
        </w:rPr>
        <w:t>courts</w:t>
      </w:r>
      <w:proofErr w:type="spellEnd"/>
      <w:r w:rsidR="002447EA">
        <w:rPr>
          <w:rFonts w:ascii="Times New Roman" w:hAnsi="Times New Roman" w:cs="Times New Roman"/>
          <w:color w:val="000000"/>
        </w:rPr>
        <w:t xml:space="preserve"> </w:t>
      </w:r>
      <w:proofErr w:type="spellStart"/>
      <w:r w:rsidR="002447EA">
        <w:rPr>
          <w:rFonts w:ascii="Times New Roman" w:hAnsi="Times New Roman" w:cs="Times New Roman"/>
          <w:color w:val="000000"/>
        </w:rPr>
        <w:t>continue</w:t>
      </w:r>
      <w:proofErr w:type="spellEnd"/>
      <w:r w:rsidR="002447EA">
        <w:rPr>
          <w:rFonts w:ascii="Times New Roman" w:hAnsi="Times New Roman" w:cs="Times New Roman"/>
          <w:color w:val="000000"/>
        </w:rPr>
        <w:t xml:space="preserve"> </w:t>
      </w:r>
      <w:proofErr w:type="spellStart"/>
      <w:r w:rsidR="002447EA">
        <w:rPr>
          <w:rFonts w:ascii="Times New Roman" w:hAnsi="Times New Roman" w:cs="Times New Roman"/>
          <w:color w:val="000000"/>
        </w:rPr>
        <w:t>to</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affirm</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notion</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that</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corporate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policies</w:t>
      </w:r>
      <w:proofErr w:type="spellEnd"/>
      <w:r w:rsidR="00B717A7" w:rsidRPr="00705170">
        <w:rPr>
          <w:rFonts w:ascii="Times New Roman" w:hAnsi="Times New Roman" w:cs="Times New Roman"/>
          <w:color w:val="000000"/>
        </w:rPr>
        <w:t xml:space="preserve"> has </w:t>
      </w:r>
      <w:proofErr w:type="spellStart"/>
      <w:r w:rsidR="00B717A7" w:rsidRPr="00705170">
        <w:rPr>
          <w:rFonts w:ascii="Times New Roman" w:hAnsi="Times New Roman" w:cs="Times New Roman"/>
          <w:color w:val="000000"/>
        </w:rPr>
        <w:t>to</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seek</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to</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maximize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economic</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value</w:t>
      </w:r>
      <w:proofErr w:type="spellEnd"/>
      <w:r w:rsidR="00B717A7" w:rsidRPr="00705170">
        <w:rPr>
          <w:rFonts w:ascii="Times New Roman" w:hAnsi="Times New Roman" w:cs="Times New Roman"/>
          <w:color w:val="000000"/>
        </w:rPr>
        <w:t xml:space="preserve"> of a </w:t>
      </w:r>
      <w:proofErr w:type="spellStart"/>
      <w:r w:rsidR="00B717A7" w:rsidRPr="00705170">
        <w:rPr>
          <w:rFonts w:ascii="Times New Roman" w:hAnsi="Times New Roman" w:cs="Times New Roman"/>
          <w:color w:val="000000"/>
        </w:rPr>
        <w:t>corporation</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for</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benefit</w:t>
      </w:r>
      <w:proofErr w:type="spellEnd"/>
      <w:r w:rsidR="00B717A7" w:rsidRPr="00705170">
        <w:rPr>
          <w:rFonts w:ascii="Times New Roman" w:hAnsi="Times New Roman" w:cs="Times New Roman"/>
          <w:color w:val="000000"/>
        </w:rPr>
        <w:t xml:space="preserve"> of </w:t>
      </w:r>
      <w:proofErr w:type="spellStart"/>
      <w:r w:rsidR="00B717A7" w:rsidRPr="00705170">
        <w:rPr>
          <w:rFonts w:ascii="Times New Roman" w:hAnsi="Times New Roman" w:cs="Times New Roman"/>
          <w:color w:val="000000"/>
        </w:rPr>
        <w:t>its</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shareholders</w:t>
      </w:r>
      <w:proofErr w:type="spellEnd"/>
      <w:r w:rsidR="00B717A7" w:rsidRPr="00705170">
        <w:rPr>
          <w:rStyle w:val="DipnotBavurusu"/>
          <w:rFonts w:ascii="Times New Roman" w:hAnsi="Times New Roman" w:cs="Times New Roman"/>
          <w:color w:val="000000"/>
        </w:rPr>
        <w:footnoteReference w:id="468"/>
      </w:r>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T</w:t>
      </w:r>
      <w:r w:rsidR="00B717A7" w:rsidRPr="00705170">
        <w:rPr>
          <w:rFonts w:ascii="Times New Roman" w:hAnsi="Times New Roman" w:cs="Times New Roman"/>
          <w:color w:val="000000"/>
        </w:rPr>
        <w: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enactment</w:t>
      </w:r>
      <w:proofErr w:type="spellEnd"/>
      <w:r w:rsidR="00B717A7" w:rsidRPr="00705170">
        <w:rPr>
          <w:rFonts w:ascii="Times New Roman" w:hAnsi="Times New Roman" w:cs="Times New Roman"/>
          <w:color w:val="000000"/>
        </w:rPr>
        <w:t xml:space="preserve"> of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public</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benefit</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corporation</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lastRenderedPageBreak/>
        <w:t>statute</w:t>
      </w:r>
      <w:proofErr w:type="spellEnd"/>
      <w:r w:rsidR="00B717A7" w:rsidRPr="00705170">
        <w:rPr>
          <w:rFonts w:ascii="Times New Roman" w:hAnsi="Times New Roman" w:cs="Times New Roman"/>
          <w:color w:val="000000"/>
        </w:rPr>
        <w:t>”</w:t>
      </w:r>
      <w:r w:rsidR="00B717A7" w:rsidRPr="00705170">
        <w:rPr>
          <w:rStyle w:val="DipnotBavurusu"/>
          <w:rFonts w:ascii="Times New Roman" w:hAnsi="Times New Roman" w:cs="Times New Roman"/>
          <w:color w:val="000000"/>
        </w:rPr>
        <w:footnoteReference w:id="469"/>
      </w:r>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should</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have</w:t>
      </w:r>
      <w:proofErr w:type="spellEnd"/>
      <w:r w:rsidR="00B717A7" w:rsidRPr="00705170">
        <w:rPr>
          <w:rFonts w:ascii="Times New Roman" w:hAnsi="Times New Roman" w:cs="Times New Roman"/>
          <w:color w:val="000000"/>
        </w:rPr>
        <w:t xml:space="preserve"> an </w:t>
      </w:r>
      <w:proofErr w:type="spellStart"/>
      <w:r w:rsidR="00B717A7" w:rsidRPr="00705170">
        <w:rPr>
          <w:rFonts w:ascii="Times New Roman" w:hAnsi="Times New Roman" w:cs="Times New Roman"/>
          <w:color w:val="000000"/>
        </w:rPr>
        <w:t>effect</w:t>
      </w:r>
      <w:proofErr w:type="spellEnd"/>
      <w:r w:rsidR="00B717A7" w:rsidRPr="00705170">
        <w:rPr>
          <w:rFonts w:ascii="Times New Roman" w:hAnsi="Times New Roman" w:cs="Times New Roman"/>
          <w:color w:val="000000"/>
        </w:rPr>
        <w:t xml:space="preserve"> on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evaluation</w:t>
      </w:r>
      <w:proofErr w:type="spellEnd"/>
      <w:r w:rsidR="00B717A7" w:rsidRPr="00705170">
        <w:rPr>
          <w:rFonts w:ascii="Times New Roman" w:hAnsi="Times New Roman" w:cs="Times New Roman"/>
          <w:color w:val="000000"/>
        </w:rPr>
        <w:t xml:space="preserve"> of </w:t>
      </w:r>
      <w:proofErr w:type="spellStart"/>
      <w:r w:rsidR="00B717A7" w:rsidRPr="00705170">
        <w:rPr>
          <w:rFonts w:ascii="Times New Roman" w:hAnsi="Times New Roman" w:cs="Times New Roman"/>
          <w:color w:val="000000"/>
        </w:rPr>
        <w:t>the</w:t>
      </w:r>
      <w:proofErr w:type="spellEnd"/>
      <w:r w:rsidR="00B717A7" w:rsidRPr="00705170">
        <w:rPr>
          <w:rFonts w:ascii="Times New Roman" w:hAnsi="Times New Roman" w:cs="Times New Roman"/>
          <w:color w:val="000000"/>
        </w:rPr>
        <w:t xml:space="preserve"> </w:t>
      </w:r>
      <w:proofErr w:type="spellStart"/>
      <w:r w:rsidR="00B717A7" w:rsidRPr="00705170">
        <w:rPr>
          <w:rFonts w:ascii="Times New Roman" w:hAnsi="Times New Roman" w:cs="Times New Roman"/>
          <w:color w:val="000000"/>
        </w:rPr>
        <w:t>corp</w:t>
      </w:r>
      <w:r w:rsidR="007B5693" w:rsidRPr="00705170">
        <w:rPr>
          <w:rFonts w:ascii="Times New Roman" w:hAnsi="Times New Roman" w:cs="Times New Roman"/>
          <w:color w:val="000000"/>
        </w:rPr>
        <w:t>orate</w:t>
      </w:r>
      <w:proofErr w:type="spellEnd"/>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purpose</w:t>
      </w:r>
      <w:proofErr w:type="spellEnd"/>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issue</w:t>
      </w:r>
      <w:proofErr w:type="spellEnd"/>
      <w:r w:rsidR="007B5693" w:rsidRPr="00705170">
        <w:rPr>
          <w:rFonts w:ascii="Times New Roman" w:hAnsi="Times New Roman" w:cs="Times New Roman"/>
          <w:color w:val="000000"/>
        </w:rPr>
        <w:t xml:space="preserve"> in Delaware in a </w:t>
      </w:r>
      <w:proofErr w:type="spellStart"/>
      <w:r w:rsidR="007B5693" w:rsidRPr="00705170">
        <w:rPr>
          <w:rFonts w:ascii="Times New Roman" w:hAnsi="Times New Roman" w:cs="Times New Roman"/>
          <w:color w:val="000000"/>
        </w:rPr>
        <w:t>way</w:t>
      </w:r>
      <w:proofErr w:type="spellEnd"/>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that</w:t>
      </w:r>
      <w:proofErr w:type="spellEnd"/>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confirms</w:t>
      </w:r>
      <w:proofErr w:type="spellEnd"/>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the</w:t>
      </w:r>
      <w:proofErr w:type="spellEnd"/>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for</w:t>
      </w:r>
      <w:proofErr w:type="spellEnd"/>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profit</w:t>
      </w:r>
      <w:proofErr w:type="spellEnd"/>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corporation’s</w:t>
      </w:r>
      <w:proofErr w:type="spellEnd"/>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devotion</w:t>
      </w:r>
      <w:proofErr w:type="spellEnd"/>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to</w:t>
      </w:r>
      <w:proofErr w:type="spellEnd"/>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the</w:t>
      </w:r>
      <w:proofErr w:type="spellEnd"/>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pecuniary</w:t>
      </w:r>
      <w:proofErr w:type="spellEnd"/>
      <w:r w:rsidR="007B5693" w:rsidRPr="00705170">
        <w:rPr>
          <w:rFonts w:ascii="Times New Roman" w:hAnsi="Times New Roman" w:cs="Times New Roman"/>
          <w:color w:val="000000"/>
        </w:rPr>
        <w:t xml:space="preserve"> </w:t>
      </w:r>
      <w:proofErr w:type="spellStart"/>
      <w:r w:rsidR="007B5693" w:rsidRPr="00705170">
        <w:rPr>
          <w:rFonts w:ascii="Times New Roman" w:hAnsi="Times New Roman" w:cs="Times New Roman"/>
          <w:color w:val="000000"/>
        </w:rPr>
        <w:t>field</w:t>
      </w:r>
      <w:proofErr w:type="spellEnd"/>
      <w:r w:rsidR="007B5693" w:rsidRPr="00705170">
        <w:rPr>
          <w:rFonts w:ascii="Times New Roman" w:hAnsi="Times New Roman" w:cs="Times New Roman"/>
          <w:color w:val="000000"/>
        </w:rPr>
        <w:t xml:space="preserve"> of </w:t>
      </w:r>
      <w:proofErr w:type="spellStart"/>
      <w:r w:rsidR="007B5693" w:rsidRPr="00705170">
        <w:rPr>
          <w:rFonts w:ascii="Times New Roman" w:hAnsi="Times New Roman" w:cs="Times New Roman"/>
          <w:color w:val="000000"/>
        </w:rPr>
        <w:t>social</w:t>
      </w:r>
      <w:proofErr w:type="spellEnd"/>
      <w:r w:rsidR="007B5693" w:rsidRPr="00705170">
        <w:rPr>
          <w:rFonts w:ascii="Times New Roman" w:hAnsi="Times New Roman" w:cs="Times New Roman"/>
          <w:color w:val="000000"/>
        </w:rPr>
        <w:t xml:space="preserve"> life.</w:t>
      </w:r>
    </w:p>
    <w:p w14:paraId="45B07D0D" w14:textId="2ED1C67C" w:rsidR="009B2E60" w:rsidRPr="00705170" w:rsidRDefault="007B5693" w:rsidP="00D82C8C">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w:t>
      </w:r>
      <w:r w:rsidR="008621B9" w:rsidRPr="00705170">
        <w:rPr>
          <w:rFonts w:ascii="Times New Roman" w:hAnsi="Times New Roman" w:cs="Times New Roman"/>
        </w:rPr>
        <w:t>he</w:t>
      </w:r>
      <w:proofErr w:type="spellEnd"/>
      <w:r w:rsidR="008621B9" w:rsidRPr="00705170">
        <w:rPr>
          <w:rFonts w:ascii="Times New Roman" w:hAnsi="Times New Roman" w:cs="Times New Roman"/>
        </w:rPr>
        <w:t xml:space="preserve"> </w:t>
      </w:r>
      <w:proofErr w:type="spellStart"/>
      <w:r w:rsidR="008621B9" w:rsidRPr="00705170">
        <w:rPr>
          <w:rFonts w:ascii="Times New Roman" w:hAnsi="Times New Roman" w:cs="Times New Roman"/>
        </w:rPr>
        <w:t>context</w:t>
      </w:r>
      <w:proofErr w:type="spellEnd"/>
      <w:r w:rsidR="008621B9" w:rsidRPr="00705170">
        <w:rPr>
          <w:rFonts w:ascii="Times New Roman" w:hAnsi="Times New Roman" w:cs="Times New Roman"/>
        </w:rPr>
        <w:t xml:space="preserve"> of </w:t>
      </w:r>
      <w:proofErr w:type="spellStart"/>
      <w:r w:rsidR="008621B9" w:rsidRPr="00705170">
        <w:rPr>
          <w:rFonts w:ascii="Times New Roman" w:hAnsi="Times New Roman" w:cs="Times New Roman"/>
        </w:rPr>
        <w:t>the</w:t>
      </w:r>
      <w:proofErr w:type="spellEnd"/>
      <w:r w:rsidR="008621B9" w:rsidRPr="00705170">
        <w:rPr>
          <w:rFonts w:ascii="Times New Roman" w:hAnsi="Times New Roman" w:cs="Times New Roman"/>
        </w:rPr>
        <w:t xml:space="preserve"> </w:t>
      </w:r>
      <w:proofErr w:type="spellStart"/>
      <w:r w:rsidR="008621B9" w:rsidRPr="00705170">
        <w:rPr>
          <w:rFonts w:ascii="Times New Roman" w:hAnsi="Times New Roman" w:cs="Times New Roman"/>
        </w:rPr>
        <w:t>corporate</w:t>
      </w:r>
      <w:proofErr w:type="spellEnd"/>
      <w:r w:rsidR="008621B9" w:rsidRPr="00705170">
        <w:rPr>
          <w:rFonts w:ascii="Times New Roman" w:hAnsi="Times New Roman" w:cs="Times New Roman"/>
        </w:rPr>
        <w:t xml:space="preserve"> </w:t>
      </w:r>
      <w:proofErr w:type="spellStart"/>
      <w:r w:rsidR="008621B9" w:rsidRPr="00705170">
        <w:rPr>
          <w:rFonts w:ascii="Times New Roman" w:hAnsi="Times New Roman" w:cs="Times New Roman"/>
        </w:rPr>
        <w:t>purpose</w:t>
      </w:r>
      <w:proofErr w:type="spellEnd"/>
      <w:r w:rsidR="008621B9" w:rsidRPr="00705170">
        <w:rPr>
          <w:rFonts w:ascii="Times New Roman" w:hAnsi="Times New Roman" w:cs="Times New Roman"/>
        </w:rPr>
        <w:t xml:space="preserve"> of “</w:t>
      </w:r>
      <w:proofErr w:type="spellStart"/>
      <w:r w:rsidR="008621B9" w:rsidRPr="00705170">
        <w:rPr>
          <w:rFonts w:ascii="Times New Roman" w:hAnsi="Times New Roman" w:cs="Times New Roman"/>
        </w:rPr>
        <w:t>returning</w:t>
      </w:r>
      <w:proofErr w:type="spellEnd"/>
      <w:r w:rsidR="008621B9" w:rsidRPr="00705170">
        <w:rPr>
          <w:rFonts w:ascii="Times New Roman" w:hAnsi="Times New Roman" w:cs="Times New Roman"/>
        </w:rPr>
        <w:t xml:space="preserve"> </w:t>
      </w:r>
      <w:proofErr w:type="spellStart"/>
      <w:r w:rsidR="008621B9" w:rsidRPr="00705170">
        <w:rPr>
          <w:rFonts w:ascii="Times New Roman" w:hAnsi="Times New Roman" w:cs="Times New Roman"/>
        </w:rPr>
        <w:t>economic</w:t>
      </w:r>
      <w:proofErr w:type="spellEnd"/>
      <w:r w:rsidR="008621B9" w:rsidRPr="00705170">
        <w:rPr>
          <w:rFonts w:ascii="Times New Roman" w:hAnsi="Times New Roman" w:cs="Times New Roman"/>
        </w:rPr>
        <w:t xml:space="preserve"> </w:t>
      </w:r>
      <w:proofErr w:type="spellStart"/>
      <w:r w:rsidR="008621B9" w:rsidRPr="00705170">
        <w:rPr>
          <w:rFonts w:ascii="Times New Roman" w:hAnsi="Times New Roman" w:cs="Times New Roman"/>
        </w:rPr>
        <w:t>benefits</w:t>
      </w:r>
      <w:proofErr w:type="spellEnd"/>
      <w:r w:rsidR="008621B9" w:rsidRPr="00705170">
        <w:rPr>
          <w:rFonts w:ascii="Times New Roman" w:hAnsi="Times New Roman" w:cs="Times New Roman"/>
        </w:rPr>
        <w:t>”</w:t>
      </w:r>
      <w:r w:rsidRPr="00705170">
        <w:rPr>
          <w:rFonts w:ascii="Times New Roman" w:hAnsi="Times New Roman" w:cs="Times New Roman"/>
        </w:rPr>
        <w:t xml:space="preserve"> can be </w:t>
      </w:r>
      <w:proofErr w:type="spellStart"/>
      <w:r w:rsidRPr="00705170">
        <w:rPr>
          <w:rFonts w:ascii="Times New Roman" w:hAnsi="Times New Roman" w:cs="Times New Roman"/>
        </w:rPr>
        <w:t>better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understood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donations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investigated</w:t>
      </w:r>
      <w:proofErr w:type="spellEnd"/>
      <w:r w:rsidR="00D82C8C" w:rsidRPr="00705170">
        <w:rPr>
          <w:rFonts w:ascii="Times New Roman" w:hAnsi="Times New Roman" w:cs="Times New Roman"/>
        </w:rPr>
        <w:t xml:space="preserve"> </w:t>
      </w:r>
      <w:proofErr w:type="spellStart"/>
      <w:r w:rsidR="00D82C8C" w:rsidRPr="00705170">
        <w:rPr>
          <w:rFonts w:ascii="Times New Roman" w:hAnsi="Times New Roman" w:cs="Times New Roman"/>
        </w:rPr>
        <w:t>from</w:t>
      </w:r>
      <w:proofErr w:type="spellEnd"/>
      <w:r w:rsidR="00D82C8C" w:rsidRPr="00705170">
        <w:rPr>
          <w:rFonts w:ascii="Times New Roman" w:hAnsi="Times New Roman" w:cs="Times New Roman"/>
        </w:rPr>
        <w:t xml:space="preserve"> </w:t>
      </w:r>
      <w:proofErr w:type="spellStart"/>
      <w:r w:rsidR="00D82C8C" w:rsidRPr="00705170">
        <w:rPr>
          <w:rFonts w:ascii="Times New Roman" w:hAnsi="Times New Roman" w:cs="Times New Roman"/>
        </w:rPr>
        <w:t>the</w:t>
      </w:r>
      <w:proofErr w:type="spellEnd"/>
      <w:r w:rsidR="00D82C8C" w:rsidRPr="00705170">
        <w:rPr>
          <w:rFonts w:ascii="Times New Roman" w:hAnsi="Times New Roman" w:cs="Times New Roman"/>
        </w:rPr>
        <w:t xml:space="preserve"> </w:t>
      </w:r>
      <w:proofErr w:type="spellStart"/>
      <w:r w:rsidR="00D82C8C" w:rsidRPr="00705170">
        <w:rPr>
          <w:rFonts w:ascii="Times New Roman" w:hAnsi="Times New Roman" w:cs="Times New Roman"/>
        </w:rPr>
        <w:t>aspect</w:t>
      </w:r>
      <w:proofErr w:type="spellEnd"/>
      <w:r w:rsidR="00D82C8C" w:rsidRPr="00705170">
        <w:rPr>
          <w:rFonts w:ascii="Times New Roman" w:hAnsi="Times New Roman" w:cs="Times New Roman"/>
        </w:rPr>
        <w:t xml:space="preserve"> of </w:t>
      </w:r>
      <w:proofErr w:type="spellStart"/>
      <w:r w:rsidR="00D82C8C" w:rsidRPr="00705170">
        <w:rPr>
          <w:rFonts w:ascii="Times New Roman" w:hAnsi="Times New Roman" w:cs="Times New Roman"/>
        </w:rPr>
        <w:t>corporate</w:t>
      </w:r>
      <w:proofErr w:type="spellEnd"/>
      <w:r w:rsidR="00D82C8C" w:rsidRPr="00705170">
        <w:rPr>
          <w:rFonts w:ascii="Times New Roman" w:hAnsi="Times New Roman" w:cs="Times New Roman"/>
        </w:rPr>
        <w:t xml:space="preserve"> </w:t>
      </w:r>
      <w:proofErr w:type="spellStart"/>
      <w:r w:rsidR="00D82C8C" w:rsidRPr="00705170">
        <w:rPr>
          <w:rFonts w:ascii="Times New Roman" w:hAnsi="Times New Roman" w:cs="Times New Roman"/>
        </w:rPr>
        <w:t>law</w:t>
      </w:r>
      <w:proofErr w:type="spellEnd"/>
      <w:r w:rsidR="008621B9" w:rsidRPr="00705170">
        <w:rPr>
          <w:rFonts w:ascii="Times New Roman" w:hAnsi="Times New Roman" w:cs="Times New Roman"/>
        </w:rPr>
        <w:t xml:space="preserve">. </w:t>
      </w:r>
      <w:proofErr w:type="spellStart"/>
      <w:r w:rsidR="008621B9" w:rsidRPr="00705170">
        <w:rPr>
          <w:rFonts w:ascii="Times New Roman" w:hAnsi="Times New Roman" w:cs="Times New Roman"/>
        </w:rPr>
        <w:t>Generally</w:t>
      </w:r>
      <w:proofErr w:type="spellEnd"/>
      <w:r w:rsidR="00B41E65" w:rsidRPr="00705170">
        <w:rPr>
          <w:rFonts w:ascii="Times New Roman" w:hAnsi="Times New Roman" w:cs="Times New Roman"/>
        </w:rPr>
        <w:t xml:space="preserve">, it is </w:t>
      </w:r>
      <w:proofErr w:type="spellStart"/>
      <w:r w:rsidR="00B41E65" w:rsidRPr="00705170">
        <w:rPr>
          <w:rFonts w:ascii="Times New Roman" w:hAnsi="Times New Roman" w:cs="Times New Roman"/>
        </w:rPr>
        <w:t>opined</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that</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corporations</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are</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allowed</w:t>
      </w:r>
      <w:proofErr w:type="spellEnd"/>
      <w:r w:rsidR="009073CF" w:rsidRPr="00705170">
        <w:rPr>
          <w:rFonts w:ascii="Times New Roman" w:hAnsi="Times New Roman" w:cs="Times New Roman"/>
        </w:rPr>
        <w:t xml:space="preserve"> </w:t>
      </w:r>
      <w:proofErr w:type="spellStart"/>
      <w:r w:rsidR="009073CF" w:rsidRPr="00705170">
        <w:rPr>
          <w:rFonts w:ascii="Times New Roman" w:hAnsi="Times New Roman" w:cs="Times New Roman"/>
        </w:rPr>
        <w:t>to</w:t>
      </w:r>
      <w:proofErr w:type="spellEnd"/>
      <w:r w:rsidR="009073CF" w:rsidRPr="00705170">
        <w:rPr>
          <w:rFonts w:ascii="Times New Roman" w:hAnsi="Times New Roman" w:cs="Times New Roman"/>
        </w:rPr>
        <w:t xml:space="preserve"> </w:t>
      </w:r>
      <w:proofErr w:type="spellStart"/>
      <w:r w:rsidR="009073CF" w:rsidRPr="00705170">
        <w:rPr>
          <w:rFonts w:ascii="Times New Roman" w:hAnsi="Times New Roman" w:cs="Times New Roman"/>
        </w:rPr>
        <w:t>make</w:t>
      </w:r>
      <w:proofErr w:type="spellEnd"/>
      <w:r w:rsidR="009073CF" w:rsidRPr="00705170">
        <w:rPr>
          <w:rFonts w:ascii="Times New Roman" w:hAnsi="Times New Roman" w:cs="Times New Roman"/>
        </w:rPr>
        <w:t xml:space="preserve"> </w:t>
      </w:r>
      <w:proofErr w:type="spellStart"/>
      <w:r w:rsidR="009073CF" w:rsidRPr="00705170">
        <w:rPr>
          <w:rFonts w:ascii="Times New Roman" w:hAnsi="Times New Roman" w:cs="Times New Roman"/>
        </w:rPr>
        <w:t>donations</w:t>
      </w:r>
      <w:proofErr w:type="spellEnd"/>
      <w:r w:rsidR="009073CF" w:rsidRPr="00705170">
        <w:rPr>
          <w:rFonts w:ascii="Times New Roman" w:hAnsi="Times New Roman" w:cs="Times New Roman"/>
        </w:rPr>
        <w:t xml:space="preserve"> as </w:t>
      </w:r>
      <w:proofErr w:type="spellStart"/>
      <w:r w:rsidR="009073CF" w:rsidRPr="00705170">
        <w:rPr>
          <w:rFonts w:ascii="Times New Roman" w:hAnsi="Times New Roman" w:cs="Times New Roman"/>
        </w:rPr>
        <w:t>long</w:t>
      </w:r>
      <w:proofErr w:type="spellEnd"/>
      <w:r w:rsidR="009073CF" w:rsidRPr="00705170">
        <w:rPr>
          <w:rFonts w:ascii="Times New Roman" w:hAnsi="Times New Roman" w:cs="Times New Roman"/>
        </w:rPr>
        <w:t xml:space="preserve"> as </w:t>
      </w:r>
      <w:proofErr w:type="spellStart"/>
      <w:r w:rsidR="009073CF" w:rsidRPr="00705170">
        <w:rPr>
          <w:rFonts w:ascii="Times New Roman" w:hAnsi="Times New Roman" w:cs="Times New Roman"/>
        </w:rPr>
        <w:t>this</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would</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aid</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the</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long</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term</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benefit</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alligned</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with</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that</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common</w:t>
      </w:r>
      <w:proofErr w:type="spellEnd"/>
      <w:r w:rsidR="00B41E65" w:rsidRPr="00705170">
        <w:rPr>
          <w:rFonts w:ascii="Times New Roman" w:hAnsi="Times New Roman" w:cs="Times New Roman"/>
        </w:rPr>
        <w:t xml:space="preserve"> </w:t>
      </w:r>
      <w:proofErr w:type="spellStart"/>
      <w:r w:rsidR="00B41E65" w:rsidRPr="00705170">
        <w:rPr>
          <w:rFonts w:ascii="Times New Roman" w:hAnsi="Times New Roman" w:cs="Times New Roman"/>
        </w:rPr>
        <w:t>end</w:t>
      </w:r>
      <w:proofErr w:type="spellEnd"/>
      <w:r w:rsidR="00B41E65" w:rsidRPr="00705170">
        <w:rPr>
          <w:rStyle w:val="DipnotBavurusu"/>
          <w:rFonts w:ascii="Times New Roman" w:hAnsi="Times New Roman" w:cs="Times New Roman"/>
        </w:rPr>
        <w:footnoteReference w:id="470"/>
      </w:r>
      <w:r w:rsidR="00B41E65" w:rsidRPr="00705170">
        <w:rPr>
          <w:rFonts w:ascii="Times New Roman" w:hAnsi="Times New Roman" w:cs="Times New Roman"/>
        </w:rPr>
        <w:t>.</w:t>
      </w:r>
      <w:r w:rsidR="008621B9" w:rsidRPr="00705170">
        <w:rPr>
          <w:rFonts w:ascii="Times New Roman" w:hAnsi="Times New Roman" w:cs="Times New Roman"/>
        </w:rPr>
        <w:t xml:space="preserve"> </w:t>
      </w:r>
      <w:proofErr w:type="spellStart"/>
      <w:r w:rsidR="005C0F11" w:rsidRPr="00705170">
        <w:rPr>
          <w:rFonts w:ascii="Times New Roman" w:hAnsi="Times New Roman" w:cs="Times New Roman"/>
        </w:rPr>
        <w:t>For</w:t>
      </w:r>
      <w:proofErr w:type="spellEnd"/>
      <w:r w:rsidR="005C0F11" w:rsidRPr="00705170">
        <w:rPr>
          <w:rFonts w:ascii="Times New Roman" w:hAnsi="Times New Roman" w:cs="Times New Roman"/>
        </w:rPr>
        <w:t xml:space="preserve"> </w:t>
      </w:r>
      <w:proofErr w:type="spellStart"/>
      <w:r w:rsidR="005C0F11" w:rsidRPr="00705170">
        <w:rPr>
          <w:rFonts w:ascii="Times New Roman" w:hAnsi="Times New Roman" w:cs="Times New Roman"/>
        </w:rPr>
        <w:t>example</w:t>
      </w:r>
      <w:proofErr w:type="spellEnd"/>
      <w:r w:rsidR="005C0F11" w:rsidRPr="00705170">
        <w:rPr>
          <w:rFonts w:ascii="Times New Roman" w:hAnsi="Times New Roman" w:cs="Times New Roman"/>
        </w:rPr>
        <w:t xml:space="preserve">, U.S. </w:t>
      </w:r>
      <w:proofErr w:type="spellStart"/>
      <w:r w:rsidR="005C0F11" w:rsidRPr="00705170">
        <w:rPr>
          <w:rFonts w:ascii="Times New Roman" w:hAnsi="Times New Roman" w:cs="Times New Roman"/>
        </w:rPr>
        <w:t>law</w:t>
      </w:r>
      <w:proofErr w:type="spellEnd"/>
      <w:r w:rsidR="005C0F11" w:rsidRPr="00705170">
        <w:rPr>
          <w:rFonts w:ascii="Times New Roman" w:hAnsi="Times New Roman" w:cs="Times New Roman"/>
        </w:rPr>
        <w:t xml:space="preserve"> </w:t>
      </w:r>
      <w:proofErr w:type="spellStart"/>
      <w:r w:rsidR="005C0F11" w:rsidRPr="00705170">
        <w:rPr>
          <w:rFonts w:ascii="Times New Roman" w:hAnsi="Times New Roman" w:cs="Times New Roman"/>
        </w:rPr>
        <w:t>accepts</w:t>
      </w:r>
      <w:proofErr w:type="spellEnd"/>
      <w:r w:rsidR="009B2E60" w:rsidRPr="00705170">
        <w:rPr>
          <w:rFonts w:ascii="Times New Roman" w:hAnsi="Times New Roman" w:cs="Times New Roman"/>
        </w:rPr>
        <w:t xml:space="preserve"> </w:t>
      </w:r>
      <w:proofErr w:type="spellStart"/>
      <w:r w:rsidR="005C0F11" w:rsidRPr="00705170">
        <w:rPr>
          <w:rFonts w:ascii="Times New Roman" w:hAnsi="Times New Roman" w:cs="Times New Roman"/>
        </w:rPr>
        <w:t>that</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corporate</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donations</w:t>
      </w:r>
      <w:proofErr w:type="spellEnd"/>
      <w:r w:rsidR="005C0F11" w:rsidRPr="00705170">
        <w:rPr>
          <w:rFonts w:ascii="Times New Roman" w:hAnsi="Times New Roman" w:cs="Times New Roman"/>
        </w:rPr>
        <w:t>,</w:t>
      </w:r>
      <w:r w:rsidR="009B2E60" w:rsidRPr="00705170">
        <w:rPr>
          <w:rFonts w:ascii="Times New Roman" w:hAnsi="Times New Roman" w:cs="Times New Roman"/>
        </w:rPr>
        <w:t xml:space="preserve"> </w:t>
      </w:r>
      <w:proofErr w:type="spellStart"/>
      <w:r w:rsidR="005C0F11" w:rsidRPr="00705170">
        <w:rPr>
          <w:rFonts w:ascii="Times New Roman" w:hAnsi="Times New Roman" w:cs="Times New Roman"/>
        </w:rPr>
        <w:t>including</w:t>
      </w:r>
      <w:proofErr w:type="spellEnd"/>
      <w:r w:rsidR="005C0F11" w:rsidRPr="00705170">
        <w:rPr>
          <w:rFonts w:ascii="Times New Roman" w:hAnsi="Times New Roman" w:cs="Times New Roman"/>
        </w:rPr>
        <w:t xml:space="preserve"> </w:t>
      </w:r>
      <w:proofErr w:type="spellStart"/>
      <w:r w:rsidR="005C0F11" w:rsidRPr="00705170">
        <w:rPr>
          <w:rFonts w:ascii="Times New Roman" w:hAnsi="Times New Roman" w:cs="Times New Roman"/>
        </w:rPr>
        <w:t>ones</w:t>
      </w:r>
      <w:proofErr w:type="spellEnd"/>
      <w:r w:rsidR="005C0F11" w:rsidRPr="00705170">
        <w:rPr>
          <w:rFonts w:ascii="Times New Roman" w:hAnsi="Times New Roman" w:cs="Times New Roman"/>
        </w:rPr>
        <w:t xml:space="preserve"> </w:t>
      </w:r>
      <w:proofErr w:type="spellStart"/>
      <w:r w:rsidR="005C0F11" w:rsidRPr="00705170">
        <w:rPr>
          <w:rFonts w:ascii="Times New Roman" w:hAnsi="Times New Roman" w:cs="Times New Roman"/>
        </w:rPr>
        <w:t>used</w:t>
      </w:r>
      <w:proofErr w:type="spellEnd"/>
      <w:r w:rsidR="005C0F11" w:rsidRPr="00705170">
        <w:rPr>
          <w:rFonts w:ascii="Times New Roman" w:hAnsi="Times New Roman" w:cs="Times New Roman"/>
        </w:rPr>
        <w:t xml:space="preserve"> </w:t>
      </w:r>
      <w:proofErr w:type="spellStart"/>
      <w:r w:rsidR="005C0F11" w:rsidRPr="00705170">
        <w:rPr>
          <w:rFonts w:ascii="Times New Roman" w:hAnsi="Times New Roman" w:cs="Times New Roman"/>
        </w:rPr>
        <w:t>for</w:t>
      </w:r>
      <w:proofErr w:type="spellEnd"/>
      <w:r w:rsidR="005C0F11" w:rsidRPr="00705170">
        <w:rPr>
          <w:rFonts w:ascii="Times New Roman" w:hAnsi="Times New Roman" w:cs="Times New Roman"/>
        </w:rPr>
        <w:t xml:space="preserve"> an</w:t>
      </w:r>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advancement</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or</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disadvanc</w:t>
      </w:r>
      <w:r w:rsidR="005C0F11" w:rsidRPr="00705170">
        <w:rPr>
          <w:rFonts w:ascii="Times New Roman" w:hAnsi="Times New Roman" w:cs="Times New Roman"/>
        </w:rPr>
        <w:t>ement</w:t>
      </w:r>
      <w:proofErr w:type="spellEnd"/>
      <w:r w:rsidR="005C0F11" w:rsidRPr="00705170">
        <w:rPr>
          <w:rFonts w:ascii="Times New Roman" w:hAnsi="Times New Roman" w:cs="Times New Roman"/>
        </w:rPr>
        <w:t xml:space="preserve"> of </w:t>
      </w:r>
      <w:proofErr w:type="spellStart"/>
      <w:r w:rsidR="005C0F11" w:rsidRPr="00705170">
        <w:rPr>
          <w:rFonts w:ascii="Times New Roman" w:hAnsi="Times New Roman" w:cs="Times New Roman"/>
        </w:rPr>
        <w:t>political</w:t>
      </w:r>
      <w:proofErr w:type="spellEnd"/>
      <w:r w:rsidR="005C0F11" w:rsidRPr="00705170">
        <w:rPr>
          <w:rFonts w:ascii="Times New Roman" w:hAnsi="Times New Roman" w:cs="Times New Roman"/>
        </w:rPr>
        <w:t xml:space="preserve"> </w:t>
      </w:r>
      <w:proofErr w:type="spellStart"/>
      <w:r w:rsidR="005C0F11" w:rsidRPr="00705170">
        <w:rPr>
          <w:rFonts w:ascii="Times New Roman" w:hAnsi="Times New Roman" w:cs="Times New Roman"/>
        </w:rPr>
        <w:t>agenda</w:t>
      </w:r>
      <w:proofErr w:type="spellEnd"/>
      <w:r w:rsidR="005C0F11" w:rsidRPr="00705170">
        <w:rPr>
          <w:rFonts w:ascii="Times New Roman" w:hAnsi="Times New Roman" w:cs="Times New Roman"/>
        </w:rPr>
        <w:t xml:space="preserve">, </w:t>
      </w:r>
      <w:r w:rsidR="009073CF" w:rsidRPr="00705170">
        <w:rPr>
          <w:rFonts w:ascii="Times New Roman" w:hAnsi="Times New Roman" w:cs="Times New Roman"/>
        </w:rPr>
        <w:t>can</w:t>
      </w:r>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benefit</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the</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corporation</w:t>
      </w:r>
      <w:proofErr w:type="spellEnd"/>
      <w:r w:rsidR="009B2E60" w:rsidRPr="00705170">
        <w:rPr>
          <w:rFonts w:ascii="Times New Roman" w:hAnsi="Times New Roman" w:cs="Times New Roman"/>
        </w:rPr>
        <w:t xml:space="preserve"> in </w:t>
      </w:r>
      <w:proofErr w:type="spellStart"/>
      <w:r w:rsidR="009B2E60" w:rsidRPr="00705170">
        <w:rPr>
          <w:rFonts w:ascii="Times New Roman" w:hAnsi="Times New Roman" w:cs="Times New Roman"/>
        </w:rPr>
        <w:t>the</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long</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run</w:t>
      </w:r>
      <w:proofErr w:type="spellEnd"/>
      <w:r w:rsidR="005C0F11" w:rsidRPr="00705170">
        <w:rPr>
          <w:rFonts w:ascii="Times New Roman" w:hAnsi="Times New Roman" w:cs="Times New Roman"/>
        </w:rPr>
        <w:t xml:space="preserve"> </w:t>
      </w:r>
      <w:proofErr w:type="spellStart"/>
      <w:r w:rsidR="005C0F11" w:rsidRPr="00705170">
        <w:rPr>
          <w:rFonts w:ascii="Times New Roman" w:hAnsi="Times New Roman" w:cs="Times New Roman"/>
        </w:rPr>
        <w:t>and</w:t>
      </w:r>
      <w:proofErr w:type="spellEnd"/>
      <w:r w:rsidR="005C0F11" w:rsidRPr="00705170">
        <w:rPr>
          <w:rFonts w:ascii="Times New Roman" w:hAnsi="Times New Roman" w:cs="Times New Roman"/>
        </w:rPr>
        <w:t xml:space="preserve"> </w:t>
      </w:r>
      <w:proofErr w:type="spellStart"/>
      <w:r w:rsidR="005C0F11" w:rsidRPr="00705170">
        <w:rPr>
          <w:rFonts w:ascii="Times New Roman" w:hAnsi="Times New Roman" w:cs="Times New Roman"/>
        </w:rPr>
        <w:t>does</w:t>
      </w:r>
      <w:proofErr w:type="spellEnd"/>
      <w:r w:rsidR="005C0F11" w:rsidRPr="00705170">
        <w:rPr>
          <w:rFonts w:ascii="Times New Roman" w:hAnsi="Times New Roman" w:cs="Times New Roman"/>
        </w:rPr>
        <w:t xml:space="preserve"> not </w:t>
      </w:r>
      <w:proofErr w:type="spellStart"/>
      <w:r w:rsidR="005C0F11" w:rsidRPr="00705170">
        <w:rPr>
          <w:rFonts w:ascii="Times New Roman" w:hAnsi="Times New Roman" w:cs="Times New Roman"/>
        </w:rPr>
        <w:t>prohibit</w:t>
      </w:r>
      <w:proofErr w:type="spellEnd"/>
      <w:r w:rsidR="005C0F11" w:rsidRPr="00705170">
        <w:rPr>
          <w:rFonts w:ascii="Times New Roman" w:hAnsi="Times New Roman" w:cs="Times New Roman"/>
        </w:rPr>
        <w:t xml:space="preserve"> it</w:t>
      </w:r>
      <w:r w:rsidR="009B2E60" w:rsidRPr="00705170">
        <w:rPr>
          <w:rStyle w:val="DipnotBavurusu"/>
          <w:rFonts w:ascii="Times New Roman" w:hAnsi="Times New Roman" w:cs="Times New Roman"/>
        </w:rPr>
        <w:footnoteReference w:id="471"/>
      </w:r>
      <w:r w:rsidR="00D82C8C" w:rsidRPr="00705170">
        <w:rPr>
          <w:rFonts w:ascii="Times New Roman" w:hAnsi="Times New Roman" w:cs="Times New Roman"/>
        </w:rPr>
        <w:t xml:space="preserve">. </w:t>
      </w:r>
      <w:proofErr w:type="spellStart"/>
      <w:r w:rsidR="009B2E60" w:rsidRPr="00705170">
        <w:rPr>
          <w:rFonts w:ascii="Times New Roman" w:hAnsi="Times New Roman" w:cs="Times New Roman"/>
        </w:rPr>
        <w:t>Similar</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to</w:t>
      </w:r>
      <w:proofErr w:type="spellEnd"/>
      <w:r w:rsidR="009B2E60" w:rsidRPr="00705170">
        <w:rPr>
          <w:rFonts w:ascii="Times New Roman" w:hAnsi="Times New Roman" w:cs="Times New Roman"/>
        </w:rPr>
        <w:t xml:space="preserve"> U.S. </w:t>
      </w:r>
      <w:proofErr w:type="spellStart"/>
      <w:r w:rsidR="009B2E60" w:rsidRPr="00705170">
        <w:rPr>
          <w:rFonts w:ascii="Times New Roman" w:hAnsi="Times New Roman" w:cs="Times New Roman"/>
        </w:rPr>
        <w:t>law</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Turkish</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corporate</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law</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does</w:t>
      </w:r>
      <w:proofErr w:type="spellEnd"/>
      <w:r w:rsidR="009B2E60" w:rsidRPr="00705170">
        <w:rPr>
          <w:rFonts w:ascii="Times New Roman" w:hAnsi="Times New Roman" w:cs="Times New Roman"/>
        </w:rPr>
        <w:t xml:space="preserve"> not</w:t>
      </w:r>
      <w:r w:rsidR="005C0F11" w:rsidRPr="00705170">
        <w:rPr>
          <w:rFonts w:ascii="Times New Roman" w:hAnsi="Times New Roman" w:cs="Times New Roman"/>
        </w:rPr>
        <w:t xml:space="preserve"> </w:t>
      </w:r>
      <w:proofErr w:type="spellStart"/>
      <w:r w:rsidR="005C0F11" w:rsidRPr="00705170">
        <w:rPr>
          <w:rFonts w:ascii="Times New Roman" w:hAnsi="Times New Roman" w:cs="Times New Roman"/>
        </w:rPr>
        <w:t>explicitly</w:t>
      </w:r>
      <w:proofErr w:type="spellEnd"/>
      <w:r w:rsidR="009B2E60" w:rsidRPr="00705170">
        <w:rPr>
          <w:rFonts w:ascii="Times New Roman" w:hAnsi="Times New Roman" w:cs="Times New Roman"/>
        </w:rPr>
        <w:t xml:space="preserve"> bar </w:t>
      </w:r>
      <w:proofErr w:type="spellStart"/>
      <w:r w:rsidR="009B2E60" w:rsidRPr="00705170">
        <w:rPr>
          <w:rFonts w:ascii="Times New Roman" w:hAnsi="Times New Roman" w:cs="Times New Roman"/>
        </w:rPr>
        <w:t>corporations</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from</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making</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donations</w:t>
      </w:r>
      <w:proofErr w:type="spellEnd"/>
      <w:r w:rsidR="005C0F11" w:rsidRPr="00705170">
        <w:rPr>
          <w:rStyle w:val="DipnotBavurusu"/>
          <w:rFonts w:ascii="Times New Roman" w:hAnsi="Times New Roman" w:cs="Times New Roman"/>
        </w:rPr>
        <w:footnoteReference w:id="472"/>
      </w:r>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and</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scholars</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opine</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that</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donations</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related</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to</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long</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term</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benefit</w:t>
      </w:r>
      <w:proofErr w:type="spellEnd"/>
      <w:r w:rsidR="009B2E60" w:rsidRPr="00705170">
        <w:rPr>
          <w:rFonts w:ascii="Times New Roman" w:hAnsi="Times New Roman" w:cs="Times New Roman"/>
        </w:rPr>
        <w:t xml:space="preserve"> of </w:t>
      </w:r>
      <w:proofErr w:type="spellStart"/>
      <w:r w:rsidR="009B2E60" w:rsidRPr="00705170">
        <w:rPr>
          <w:rFonts w:ascii="Times New Roman" w:hAnsi="Times New Roman" w:cs="Times New Roman"/>
        </w:rPr>
        <w:t>the</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corporation</w:t>
      </w:r>
      <w:proofErr w:type="spellEnd"/>
      <w:r w:rsidR="009B2E60" w:rsidRPr="00705170">
        <w:rPr>
          <w:rFonts w:ascii="Times New Roman" w:hAnsi="Times New Roman" w:cs="Times New Roman"/>
        </w:rPr>
        <w:t xml:space="preserve"> is not </w:t>
      </w:r>
      <w:proofErr w:type="spellStart"/>
      <w:r w:rsidR="009B2E60" w:rsidRPr="00705170">
        <w:rPr>
          <w:rFonts w:ascii="Times New Roman" w:hAnsi="Times New Roman" w:cs="Times New Roman"/>
        </w:rPr>
        <w:t>void</w:t>
      </w:r>
      <w:proofErr w:type="spellEnd"/>
      <w:r w:rsidR="009B2E60" w:rsidRPr="00705170">
        <w:rPr>
          <w:rStyle w:val="DipnotBavurusu"/>
          <w:rFonts w:ascii="Times New Roman" w:hAnsi="Times New Roman" w:cs="Times New Roman"/>
        </w:rPr>
        <w:footnoteReference w:id="473"/>
      </w:r>
      <w:r w:rsidR="00D82C8C" w:rsidRPr="00705170">
        <w:rPr>
          <w:rFonts w:ascii="Times New Roman" w:hAnsi="Times New Roman" w:cs="Times New Roman"/>
        </w:rPr>
        <w:t xml:space="preserve">. </w:t>
      </w:r>
      <w:proofErr w:type="spellStart"/>
      <w:r w:rsidR="00D82C8C" w:rsidRPr="00705170">
        <w:rPr>
          <w:rFonts w:ascii="Times New Roman" w:hAnsi="Times New Roman" w:cs="Times New Roman"/>
        </w:rPr>
        <w:t>This</w:t>
      </w:r>
      <w:proofErr w:type="spellEnd"/>
      <w:r w:rsidR="00D82C8C" w:rsidRPr="00705170">
        <w:rPr>
          <w:rFonts w:ascii="Times New Roman" w:hAnsi="Times New Roman" w:cs="Times New Roman"/>
        </w:rPr>
        <w:t xml:space="preserve"> </w:t>
      </w:r>
      <w:proofErr w:type="spellStart"/>
      <w:r w:rsidR="00D82C8C" w:rsidRPr="00705170">
        <w:rPr>
          <w:rFonts w:ascii="Times New Roman" w:hAnsi="Times New Roman" w:cs="Times New Roman"/>
        </w:rPr>
        <w:t>being</w:t>
      </w:r>
      <w:proofErr w:type="spellEnd"/>
      <w:r w:rsidR="00D82C8C" w:rsidRPr="00705170">
        <w:rPr>
          <w:rFonts w:ascii="Times New Roman" w:hAnsi="Times New Roman" w:cs="Times New Roman"/>
        </w:rPr>
        <w:t xml:space="preserve"> </w:t>
      </w:r>
      <w:proofErr w:type="spellStart"/>
      <w:r w:rsidR="00D82C8C" w:rsidRPr="00705170">
        <w:rPr>
          <w:rFonts w:ascii="Times New Roman" w:hAnsi="Times New Roman" w:cs="Times New Roman"/>
        </w:rPr>
        <w:t>said</w:t>
      </w:r>
      <w:proofErr w:type="spellEnd"/>
      <w:r w:rsidR="00D82C8C" w:rsidRPr="00705170">
        <w:rPr>
          <w:rFonts w:ascii="Times New Roman" w:hAnsi="Times New Roman" w:cs="Times New Roman"/>
        </w:rPr>
        <w:t xml:space="preserve">, it has </w:t>
      </w:r>
      <w:proofErr w:type="spellStart"/>
      <w:r w:rsidR="00D82C8C" w:rsidRPr="00705170">
        <w:rPr>
          <w:rFonts w:ascii="Times New Roman" w:hAnsi="Times New Roman" w:cs="Times New Roman"/>
        </w:rPr>
        <w:t>some</w:t>
      </w:r>
      <w:proofErr w:type="spellEnd"/>
      <w:r w:rsidR="00D82C8C" w:rsidRPr="00705170">
        <w:rPr>
          <w:rFonts w:ascii="Times New Roman" w:hAnsi="Times New Roman" w:cs="Times New Roman"/>
        </w:rPr>
        <w:t xml:space="preserve"> </w:t>
      </w:r>
      <w:proofErr w:type="spellStart"/>
      <w:r w:rsidR="00D82C8C" w:rsidRPr="00705170">
        <w:rPr>
          <w:rFonts w:ascii="Times New Roman" w:hAnsi="Times New Roman" w:cs="Times New Roman"/>
        </w:rPr>
        <w:t>important</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statutory</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limitations</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concerning</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donations</w:t>
      </w:r>
      <w:proofErr w:type="spellEnd"/>
      <w:r w:rsidR="005C0F11" w:rsidRPr="00705170">
        <w:rPr>
          <w:rFonts w:ascii="Times New Roman" w:hAnsi="Times New Roman" w:cs="Times New Roman"/>
        </w:rPr>
        <w:t xml:space="preserve"> of </w:t>
      </w:r>
      <w:proofErr w:type="spellStart"/>
      <w:r w:rsidR="005C0F11" w:rsidRPr="00705170">
        <w:rPr>
          <w:rFonts w:ascii="Times New Roman" w:hAnsi="Times New Roman" w:cs="Times New Roman"/>
        </w:rPr>
        <w:t>publicly</w:t>
      </w:r>
      <w:proofErr w:type="spellEnd"/>
      <w:r w:rsidR="005C0F11" w:rsidRPr="00705170">
        <w:rPr>
          <w:rFonts w:ascii="Times New Roman" w:hAnsi="Times New Roman" w:cs="Times New Roman"/>
        </w:rPr>
        <w:t xml:space="preserve"> </w:t>
      </w:r>
      <w:proofErr w:type="spellStart"/>
      <w:r w:rsidR="005C0F11" w:rsidRPr="00705170">
        <w:rPr>
          <w:rFonts w:ascii="Times New Roman" w:hAnsi="Times New Roman" w:cs="Times New Roman"/>
        </w:rPr>
        <w:t>traded</w:t>
      </w:r>
      <w:proofErr w:type="spellEnd"/>
      <w:r w:rsidR="005C0F11" w:rsidRPr="00705170">
        <w:rPr>
          <w:rFonts w:ascii="Times New Roman" w:hAnsi="Times New Roman" w:cs="Times New Roman"/>
        </w:rPr>
        <w:t xml:space="preserve"> </w:t>
      </w:r>
      <w:proofErr w:type="spellStart"/>
      <w:r w:rsidR="005C0F11" w:rsidRPr="00705170">
        <w:rPr>
          <w:rFonts w:ascii="Times New Roman" w:hAnsi="Times New Roman" w:cs="Times New Roman"/>
        </w:rPr>
        <w:t>corporations</w:t>
      </w:r>
      <w:proofErr w:type="spellEnd"/>
      <w:r w:rsidR="009B2E60" w:rsidRPr="00705170">
        <w:rPr>
          <w:rFonts w:ascii="Times New Roman" w:hAnsi="Times New Roman" w:cs="Times New Roman"/>
        </w:rPr>
        <w:t>.</w:t>
      </w:r>
      <w:r w:rsidR="005C0F11" w:rsidRPr="00705170">
        <w:rPr>
          <w:rFonts w:ascii="Times New Roman" w:hAnsi="Times New Roman" w:cs="Times New Roman"/>
        </w:rPr>
        <w:t xml:space="preserve"> </w:t>
      </w:r>
      <w:r w:rsidR="009B2E60" w:rsidRPr="00705170">
        <w:rPr>
          <w:rFonts w:ascii="Times New Roman" w:hAnsi="Times New Roman" w:cs="Times New Roman"/>
        </w:rPr>
        <w:t xml:space="preserve">CML </w:t>
      </w:r>
      <w:proofErr w:type="spellStart"/>
      <w:r w:rsidR="009B2E60" w:rsidRPr="00705170">
        <w:rPr>
          <w:rFonts w:ascii="Times New Roman" w:hAnsi="Times New Roman" w:cs="Times New Roman"/>
        </w:rPr>
        <w:t>Article</w:t>
      </w:r>
      <w:proofErr w:type="spellEnd"/>
      <w:r w:rsidR="009B2E60" w:rsidRPr="00705170">
        <w:rPr>
          <w:rFonts w:ascii="Times New Roman" w:hAnsi="Times New Roman" w:cs="Times New Roman"/>
        </w:rPr>
        <w:t xml:space="preserve"> </w:t>
      </w:r>
      <w:r w:rsidR="009B2E60" w:rsidRPr="00705170">
        <w:rPr>
          <w:rFonts w:ascii="Times New Roman" w:hAnsi="Times New Roman" w:cs="Times New Roman"/>
          <w:lang w:val="en-US"/>
        </w:rPr>
        <w:t xml:space="preserve">19 requires publicly traded corporations to have an explicit term in their articles of </w:t>
      </w:r>
      <w:r w:rsidR="009B2E60" w:rsidRPr="00705170">
        <w:rPr>
          <w:rFonts w:ascii="Times New Roman" w:hAnsi="Times New Roman" w:cs="Times New Roman"/>
          <w:lang w:val="en-US"/>
        </w:rPr>
        <w:lastRenderedPageBreak/>
        <w:t>incorporation authorizing them to make any donations and empowers both the general assembly and the CMB with the power to impose a monetary limit to the donations, and states that total sum of the donations of a given year shall be added to the sum of the distributable dividends.</w:t>
      </w:r>
      <w:r w:rsidR="009B2E60" w:rsidRPr="00705170">
        <w:rPr>
          <w:rFonts w:ascii="Times New Roman" w:hAnsi="Times New Roman" w:cs="Times New Roman"/>
        </w:rPr>
        <w:t xml:space="preserve"> </w:t>
      </w:r>
      <w:proofErr w:type="spellStart"/>
      <w:r w:rsidR="001B11A7" w:rsidRPr="00705170">
        <w:rPr>
          <w:rFonts w:ascii="Times New Roman" w:hAnsi="Times New Roman" w:cs="Times New Roman"/>
        </w:rPr>
        <w:t>Moreover</w:t>
      </w:r>
      <w:proofErr w:type="spellEnd"/>
      <w:r w:rsidR="001B11A7" w:rsidRPr="00705170">
        <w:rPr>
          <w:rFonts w:ascii="Times New Roman" w:hAnsi="Times New Roman" w:cs="Times New Roman"/>
        </w:rPr>
        <w:t xml:space="preserve">, in </w:t>
      </w:r>
      <w:proofErr w:type="spellStart"/>
      <w:r w:rsidR="001B11A7" w:rsidRPr="00705170">
        <w:rPr>
          <w:rFonts w:ascii="Times New Roman" w:hAnsi="Times New Roman" w:cs="Times New Roman"/>
        </w:rPr>
        <w:t>the</w:t>
      </w:r>
      <w:proofErr w:type="spellEnd"/>
      <w:r w:rsidR="001B11A7" w:rsidRPr="00705170">
        <w:rPr>
          <w:rFonts w:ascii="Times New Roman" w:hAnsi="Times New Roman" w:cs="Times New Roman"/>
        </w:rPr>
        <w:t xml:space="preserve"> </w:t>
      </w:r>
      <w:proofErr w:type="spellStart"/>
      <w:r w:rsidR="001B11A7" w:rsidRPr="00705170">
        <w:rPr>
          <w:rFonts w:ascii="Times New Roman" w:hAnsi="Times New Roman" w:cs="Times New Roman"/>
        </w:rPr>
        <w:t>secondary</w:t>
      </w:r>
      <w:proofErr w:type="spellEnd"/>
      <w:r w:rsidR="001B11A7" w:rsidRPr="00705170">
        <w:rPr>
          <w:rFonts w:ascii="Times New Roman" w:hAnsi="Times New Roman" w:cs="Times New Roman"/>
        </w:rPr>
        <w:t xml:space="preserve"> </w:t>
      </w:r>
      <w:proofErr w:type="spellStart"/>
      <w:r w:rsidR="005C0F11" w:rsidRPr="00705170">
        <w:rPr>
          <w:rFonts w:ascii="Times New Roman" w:hAnsi="Times New Roman" w:cs="Times New Roman"/>
        </w:rPr>
        <w:t>legislation</w:t>
      </w:r>
      <w:proofErr w:type="spellEnd"/>
      <w:r w:rsidR="005C0F11" w:rsidRPr="00705170">
        <w:rPr>
          <w:rFonts w:ascii="Times New Roman" w:hAnsi="Times New Roman" w:cs="Times New Roman"/>
        </w:rPr>
        <w:t xml:space="preserve"> </w:t>
      </w:r>
      <w:proofErr w:type="spellStart"/>
      <w:r w:rsidR="005C0F11" w:rsidRPr="00705170">
        <w:rPr>
          <w:rFonts w:ascii="Times New Roman" w:hAnsi="Times New Roman" w:cs="Times New Roman"/>
        </w:rPr>
        <w:t>about</w:t>
      </w:r>
      <w:proofErr w:type="spellEnd"/>
      <w:r w:rsidR="005C0F11" w:rsidRPr="00705170">
        <w:rPr>
          <w:rFonts w:ascii="Times New Roman" w:hAnsi="Times New Roman" w:cs="Times New Roman"/>
        </w:rPr>
        <w:t xml:space="preserve"> </w:t>
      </w:r>
      <w:proofErr w:type="spellStart"/>
      <w:r w:rsidR="005C0F11" w:rsidRPr="00705170">
        <w:rPr>
          <w:rFonts w:ascii="Times New Roman" w:hAnsi="Times New Roman" w:cs="Times New Roman"/>
        </w:rPr>
        <w:t>donations</w:t>
      </w:r>
      <w:proofErr w:type="spellEnd"/>
      <w:r w:rsidR="005C0F11" w:rsidRPr="00705170">
        <w:rPr>
          <w:rFonts w:ascii="Times New Roman" w:hAnsi="Times New Roman" w:cs="Times New Roman"/>
        </w:rPr>
        <w:t>,</w:t>
      </w:r>
      <w:r w:rsidR="001B11A7" w:rsidRPr="00705170">
        <w:rPr>
          <w:rFonts w:ascii="Times New Roman" w:hAnsi="Times New Roman" w:cs="Times New Roman"/>
        </w:rPr>
        <w:t xml:space="preserve"> it is</w:t>
      </w:r>
      <w:r w:rsidR="007A649F" w:rsidRPr="00705170">
        <w:rPr>
          <w:rFonts w:ascii="Times New Roman" w:hAnsi="Times New Roman" w:cs="Times New Roman"/>
        </w:rPr>
        <w:t xml:space="preserve"> </w:t>
      </w:r>
      <w:proofErr w:type="spellStart"/>
      <w:r w:rsidR="007A649F" w:rsidRPr="00705170">
        <w:rPr>
          <w:rFonts w:ascii="Times New Roman" w:hAnsi="Times New Roman" w:cs="Times New Roman"/>
        </w:rPr>
        <w:t>specifically</w:t>
      </w:r>
      <w:proofErr w:type="spellEnd"/>
      <w:r w:rsidR="001B11A7" w:rsidRPr="00705170">
        <w:rPr>
          <w:rFonts w:ascii="Times New Roman" w:hAnsi="Times New Roman" w:cs="Times New Roman"/>
        </w:rPr>
        <w:t xml:space="preserve"> </w:t>
      </w:r>
      <w:proofErr w:type="spellStart"/>
      <w:r w:rsidR="001B11A7" w:rsidRPr="00705170">
        <w:rPr>
          <w:rFonts w:ascii="Times New Roman" w:hAnsi="Times New Roman" w:cs="Times New Roman"/>
        </w:rPr>
        <w:t>stated</w:t>
      </w:r>
      <w:proofErr w:type="spellEnd"/>
      <w:r w:rsidR="001B11A7" w:rsidRPr="00705170">
        <w:rPr>
          <w:rFonts w:ascii="Times New Roman" w:hAnsi="Times New Roman" w:cs="Times New Roman"/>
        </w:rPr>
        <w:t xml:space="preserve"> </w:t>
      </w:r>
      <w:proofErr w:type="spellStart"/>
      <w:r w:rsidR="001B11A7" w:rsidRPr="00705170">
        <w:rPr>
          <w:rFonts w:ascii="Times New Roman" w:hAnsi="Times New Roman" w:cs="Times New Roman"/>
        </w:rPr>
        <w:t>that</w:t>
      </w:r>
      <w:proofErr w:type="spellEnd"/>
      <w:r w:rsidR="001B11A7" w:rsidRPr="00705170">
        <w:rPr>
          <w:rFonts w:ascii="Times New Roman" w:hAnsi="Times New Roman" w:cs="Times New Roman"/>
        </w:rPr>
        <w:t xml:space="preserve"> </w:t>
      </w:r>
      <w:proofErr w:type="spellStart"/>
      <w:r w:rsidR="001B11A7" w:rsidRPr="00705170">
        <w:rPr>
          <w:rFonts w:ascii="Times New Roman" w:hAnsi="Times New Roman" w:cs="Times New Roman"/>
        </w:rPr>
        <w:t>donations</w:t>
      </w:r>
      <w:proofErr w:type="spellEnd"/>
      <w:r w:rsidR="001B11A7" w:rsidRPr="00705170">
        <w:rPr>
          <w:rFonts w:ascii="Times New Roman" w:hAnsi="Times New Roman" w:cs="Times New Roman"/>
        </w:rPr>
        <w:t xml:space="preserve"> </w:t>
      </w:r>
      <w:proofErr w:type="spellStart"/>
      <w:r w:rsidR="001B11A7" w:rsidRPr="00705170">
        <w:rPr>
          <w:rFonts w:ascii="Times New Roman" w:hAnsi="Times New Roman" w:cs="Times New Roman"/>
        </w:rPr>
        <w:t>will</w:t>
      </w:r>
      <w:proofErr w:type="spellEnd"/>
      <w:r w:rsidR="001B11A7" w:rsidRPr="00705170">
        <w:rPr>
          <w:rFonts w:ascii="Times New Roman" w:hAnsi="Times New Roman" w:cs="Times New Roman"/>
        </w:rPr>
        <w:t xml:space="preserve"> be </w:t>
      </w:r>
      <w:proofErr w:type="spellStart"/>
      <w:r w:rsidR="001B11A7" w:rsidRPr="00705170">
        <w:rPr>
          <w:rFonts w:ascii="Times New Roman" w:hAnsi="Times New Roman" w:cs="Times New Roman"/>
        </w:rPr>
        <w:t>subject</w:t>
      </w:r>
      <w:proofErr w:type="spellEnd"/>
      <w:r w:rsidR="001B11A7" w:rsidRPr="00705170">
        <w:rPr>
          <w:rFonts w:ascii="Times New Roman" w:hAnsi="Times New Roman" w:cs="Times New Roman"/>
        </w:rPr>
        <w:t xml:space="preserve"> </w:t>
      </w:r>
      <w:proofErr w:type="spellStart"/>
      <w:r w:rsidR="001B11A7" w:rsidRPr="00705170">
        <w:rPr>
          <w:rFonts w:ascii="Times New Roman" w:hAnsi="Times New Roman" w:cs="Times New Roman"/>
        </w:rPr>
        <w:t>to</w:t>
      </w:r>
      <w:proofErr w:type="spellEnd"/>
      <w:r w:rsidR="001B11A7" w:rsidRPr="00705170">
        <w:rPr>
          <w:rFonts w:ascii="Times New Roman" w:hAnsi="Times New Roman" w:cs="Times New Roman"/>
        </w:rPr>
        <w:t xml:space="preserve"> </w:t>
      </w:r>
      <w:proofErr w:type="spellStart"/>
      <w:r w:rsidR="001B11A7" w:rsidRPr="00705170">
        <w:rPr>
          <w:rFonts w:ascii="Times New Roman" w:hAnsi="Times New Roman" w:cs="Times New Roman"/>
        </w:rPr>
        <w:t>provision</w:t>
      </w:r>
      <w:proofErr w:type="spellEnd"/>
      <w:r w:rsidR="001B11A7" w:rsidRPr="00705170">
        <w:rPr>
          <w:rFonts w:ascii="Times New Roman" w:hAnsi="Times New Roman" w:cs="Times New Roman"/>
        </w:rPr>
        <w:t xml:space="preserve"> </w:t>
      </w:r>
      <w:proofErr w:type="spellStart"/>
      <w:r w:rsidR="001B11A7" w:rsidRPr="00705170">
        <w:rPr>
          <w:rFonts w:ascii="Times New Roman" w:hAnsi="Times New Roman" w:cs="Times New Roman"/>
        </w:rPr>
        <w:t>concerning</w:t>
      </w:r>
      <w:proofErr w:type="spellEnd"/>
      <w:r w:rsidR="001B11A7" w:rsidRPr="00705170">
        <w:rPr>
          <w:rFonts w:ascii="Times New Roman" w:hAnsi="Times New Roman" w:cs="Times New Roman"/>
        </w:rPr>
        <w:t xml:space="preserve"> </w:t>
      </w:r>
      <w:proofErr w:type="spellStart"/>
      <w:r w:rsidR="001B11A7" w:rsidRPr="00705170">
        <w:rPr>
          <w:rFonts w:ascii="Times New Roman" w:hAnsi="Times New Roman" w:cs="Times New Roman"/>
        </w:rPr>
        <w:t>concealed</w:t>
      </w:r>
      <w:proofErr w:type="spellEnd"/>
      <w:r w:rsidR="001B11A7" w:rsidRPr="00705170">
        <w:rPr>
          <w:rFonts w:ascii="Times New Roman" w:hAnsi="Times New Roman" w:cs="Times New Roman"/>
        </w:rPr>
        <w:t xml:space="preserve"> </w:t>
      </w:r>
      <w:proofErr w:type="spellStart"/>
      <w:r w:rsidR="001B11A7" w:rsidRPr="00705170">
        <w:rPr>
          <w:rFonts w:ascii="Times New Roman" w:hAnsi="Times New Roman" w:cs="Times New Roman"/>
        </w:rPr>
        <w:t>distribution</w:t>
      </w:r>
      <w:proofErr w:type="spellEnd"/>
      <w:r w:rsidR="001B11A7" w:rsidRPr="00705170">
        <w:rPr>
          <w:rFonts w:ascii="Times New Roman" w:hAnsi="Times New Roman" w:cs="Times New Roman"/>
        </w:rPr>
        <w:t xml:space="preserve"> of </w:t>
      </w:r>
      <w:proofErr w:type="spellStart"/>
      <w:r w:rsidR="001B11A7" w:rsidRPr="00705170">
        <w:rPr>
          <w:rFonts w:ascii="Times New Roman" w:hAnsi="Times New Roman" w:cs="Times New Roman"/>
        </w:rPr>
        <w:t>capital</w:t>
      </w:r>
      <w:proofErr w:type="spellEnd"/>
      <w:r w:rsidR="001B11A7" w:rsidRPr="00705170">
        <w:rPr>
          <w:rStyle w:val="DipnotBavurusu"/>
          <w:rFonts w:ascii="Times New Roman" w:hAnsi="Times New Roman" w:cs="Times New Roman"/>
        </w:rPr>
        <w:footnoteReference w:id="474"/>
      </w:r>
      <w:r w:rsidR="001B11A7" w:rsidRPr="00705170">
        <w:rPr>
          <w:rFonts w:ascii="Times New Roman" w:hAnsi="Times New Roman" w:cs="Times New Roman"/>
        </w:rPr>
        <w:t xml:space="preserve">. </w:t>
      </w:r>
      <w:proofErr w:type="spellStart"/>
      <w:r w:rsidR="00380D27" w:rsidRPr="00705170">
        <w:rPr>
          <w:rFonts w:ascii="Times New Roman" w:hAnsi="Times New Roman" w:cs="Times New Roman"/>
        </w:rPr>
        <w:t>Thus</w:t>
      </w:r>
      <w:proofErr w:type="spellEnd"/>
      <w:r w:rsidR="00380D27" w:rsidRPr="00705170">
        <w:rPr>
          <w:rFonts w:ascii="Times New Roman" w:hAnsi="Times New Roman" w:cs="Times New Roman"/>
        </w:rPr>
        <w:t xml:space="preserve">, it can be </w:t>
      </w:r>
      <w:proofErr w:type="spellStart"/>
      <w:r w:rsidR="00380D27" w:rsidRPr="00705170">
        <w:rPr>
          <w:rFonts w:ascii="Times New Roman" w:hAnsi="Times New Roman" w:cs="Times New Roman"/>
        </w:rPr>
        <w:t>said</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that</w:t>
      </w:r>
      <w:proofErr w:type="spellEnd"/>
      <w:r w:rsidR="00380D27" w:rsidRPr="00705170">
        <w:rPr>
          <w:rFonts w:ascii="Times New Roman" w:hAnsi="Times New Roman" w:cs="Times New Roman"/>
        </w:rPr>
        <w:t xml:space="preserve"> in </w:t>
      </w:r>
      <w:proofErr w:type="spellStart"/>
      <w:r w:rsidR="00380D27" w:rsidRPr="00705170">
        <w:rPr>
          <w:rFonts w:ascii="Times New Roman" w:hAnsi="Times New Roman" w:cs="Times New Roman"/>
        </w:rPr>
        <w:t>the</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case</w:t>
      </w:r>
      <w:proofErr w:type="spellEnd"/>
      <w:r w:rsidR="00380D27" w:rsidRPr="00705170">
        <w:rPr>
          <w:rFonts w:ascii="Times New Roman" w:hAnsi="Times New Roman" w:cs="Times New Roman"/>
        </w:rPr>
        <w:t xml:space="preserve"> of </w:t>
      </w:r>
      <w:proofErr w:type="spellStart"/>
      <w:r w:rsidR="00380D27" w:rsidRPr="00705170">
        <w:rPr>
          <w:rFonts w:ascii="Times New Roman" w:hAnsi="Times New Roman" w:cs="Times New Roman"/>
        </w:rPr>
        <w:t>publicly</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traded</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corporations</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Turkish</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law</w:t>
      </w:r>
      <w:proofErr w:type="spellEnd"/>
      <w:r w:rsidR="00380D27" w:rsidRPr="00705170">
        <w:rPr>
          <w:rFonts w:ascii="Times New Roman" w:hAnsi="Times New Roman" w:cs="Times New Roman"/>
        </w:rPr>
        <w:t xml:space="preserve"> is </w:t>
      </w:r>
      <w:proofErr w:type="spellStart"/>
      <w:r w:rsidR="00380D27" w:rsidRPr="00705170">
        <w:rPr>
          <w:rFonts w:ascii="Times New Roman" w:hAnsi="Times New Roman" w:cs="Times New Roman"/>
        </w:rPr>
        <w:t>strict</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and</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does</w:t>
      </w:r>
      <w:proofErr w:type="spellEnd"/>
      <w:r w:rsidR="00380D27" w:rsidRPr="00705170">
        <w:rPr>
          <w:rFonts w:ascii="Times New Roman" w:hAnsi="Times New Roman" w:cs="Times New Roman"/>
        </w:rPr>
        <w:t xml:space="preserve"> not </w:t>
      </w:r>
      <w:proofErr w:type="spellStart"/>
      <w:r w:rsidR="00380D27" w:rsidRPr="00705170">
        <w:rPr>
          <w:rFonts w:ascii="Times New Roman" w:hAnsi="Times New Roman" w:cs="Times New Roman"/>
        </w:rPr>
        <w:t>want</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to</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leave</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any</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room</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for</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tunneling</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corporate</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funds</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concealed</w:t>
      </w:r>
      <w:proofErr w:type="spellEnd"/>
      <w:r w:rsidR="00380D27" w:rsidRPr="00705170">
        <w:rPr>
          <w:rFonts w:ascii="Times New Roman" w:hAnsi="Times New Roman" w:cs="Times New Roman"/>
        </w:rPr>
        <w:t xml:space="preserve"> as </w:t>
      </w:r>
      <w:proofErr w:type="spellStart"/>
      <w:r w:rsidR="00380D27" w:rsidRPr="00705170">
        <w:rPr>
          <w:rFonts w:ascii="Times New Roman" w:hAnsi="Times New Roman" w:cs="Times New Roman"/>
        </w:rPr>
        <w:t>donations</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even</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when</w:t>
      </w:r>
      <w:proofErr w:type="spellEnd"/>
      <w:r w:rsidR="00380D27" w:rsidRPr="00705170">
        <w:rPr>
          <w:rFonts w:ascii="Times New Roman" w:hAnsi="Times New Roman" w:cs="Times New Roman"/>
        </w:rPr>
        <w:t xml:space="preserve"> </w:t>
      </w:r>
      <w:proofErr w:type="spellStart"/>
      <w:r w:rsidR="00380D27" w:rsidRPr="00705170">
        <w:rPr>
          <w:rFonts w:ascii="Times New Roman" w:hAnsi="Times New Roman" w:cs="Times New Roman"/>
        </w:rPr>
        <w:t>the</w:t>
      </w:r>
      <w:proofErr w:type="spellEnd"/>
      <w:r w:rsidR="00380D27" w:rsidRPr="00705170">
        <w:rPr>
          <w:rFonts w:ascii="Times New Roman" w:hAnsi="Times New Roman" w:cs="Times New Roman"/>
        </w:rPr>
        <w:t xml:space="preserve"> general </w:t>
      </w:r>
      <w:proofErr w:type="spellStart"/>
      <w:r w:rsidR="00380D27" w:rsidRPr="00705170">
        <w:rPr>
          <w:rFonts w:ascii="Times New Roman" w:hAnsi="Times New Roman" w:cs="Times New Roman"/>
        </w:rPr>
        <w:t>assembly</w:t>
      </w:r>
      <w:proofErr w:type="spellEnd"/>
      <w:r w:rsidR="00380D27" w:rsidRPr="00705170">
        <w:rPr>
          <w:rFonts w:ascii="Times New Roman" w:hAnsi="Times New Roman" w:cs="Times New Roman"/>
        </w:rPr>
        <w:t xml:space="preserve"> </w:t>
      </w:r>
      <w:proofErr w:type="spellStart"/>
      <w:r w:rsidR="0084203A" w:rsidRPr="00705170">
        <w:rPr>
          <w:rFonts w:ascii="Times New Roman" w:hAnsi="Times New Roman" w:cs="Times New Roman"/>
        </w:rPr>
        <w:t>generally</w:t>
      </w:r>
      <w:proofErr w:type="spellEnd"/>
      <w:r w:rsidR="0084203A" w:rsidRPr="00705170">
        <w:rPr>
          <w:rFonts w:ascii="Times New Roman" w:hAnsi="Times New Roman" w:cs="Times New Roman"/>
        </w:rPr>
        <w:t xml:space="preserve"> </w:t>
      </w:r>
      <w:proofErr w:type="spellStart"/>
      <w:r w:rsidR="00380D27" w:rsidRPr="00705170">
        <w:rPr>
          <w:rFonts w:ascii="Times New Roman" w:hAnsi="Times New Roman" w:cs="Times New Roman"/>
        </w:rPr>
        <w:t>consents</w:t>
      </w:r>
      <w:proofErr w:type="spellEnd"/>
      <w:r w:rsidR="00380D27" w:rsidRPr="00705170">
        <w:rPr>
          <w:rFonts w:ascii="Times New Roman" w:hAnsi="Times New Roman" w:cs="Times New Roman"/>
        </w:rPr>
        <w:t xml:space="preserve">. </w:t>
      </w:r>
      <w:r w:rsidR="009B2E60" w:rsidRPr="00705170">
        <w:rPr>
          <w:rFonts w:ascii="Times New Roman" w:hAnsi="Times New Roman" w:cs="Times New Roman"/>
        </w:rPr>
        <w:t xml:space="preserve">As </w:t>
      </w:r>
      <w:proofErr w:type="spellStart"/>
      <w:r w:rsidR="009B2E60" w:rsidRPr="00705170">
        <w:rPr>
          <w:rFonts w:ascii="Times New Roman" w:hAnsi="Times New Roman" w:cs="Times New Roman"/>
        </w:rPr>
        <w:t>understood</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from</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these</w:t>
      </w:r>
      <w:proofErr w:type="spellEnd"/>
      <w:r w:rsidR="009B2E60" w:rsidRPr="00705170">
        <w:rPr>
          <w:rFonts w:ascii="Times New Roman" w:hAnsi="Times New Roman" w:cs="Times New Roman"/>
        </w:rPr>
        <w:t xml:space="preserve"> </w:t>
      </w:r>
      <w:proofErr w:type="spellStart"/>
      <w:r w:rsidR="009B2E60" w:rsidRPr="00705170">
        <w:rPr>
          <w:rFonts w:ascii="Times New Roman" w:hAnsi="Times New Roman" w:cs="Times New Roman"/>
        </w:rPr>
        <w:t>points</w:t>
      </w:r>
      <w:proofErr w:type="spellEnd"/>
      <w:r w:rsidR="009B2E60" w:rsidRPr="00705170">
        <w:rPr>
          <w:rFonts w:ascii="Times New Roman" w:hAnsi="Times New Roman" w:cs="Times New Roman"/>
        </w:rPr>
        <w:t xml:space="preserve">, </w:t>
      </w:r>
      <w:proofErr w:type="spellStart"/>
      <w:r w:rsidR="001B11A7" w:rsidRPr="00705170">
        <w:rPr>
          <w:rFonts w:ascii="Times New Roman" w:hAnsi="Times New Roman" w:cs="Times New Roman"/>
        </w:rPr>
        <w:t>the</w:t>
      </w:r>
      <w:proofErr w:type="spellEnd"/>
      <w:r w:rsidR="001B11A7" w:rsidRPr="00705170">
        <w:rPr>
          <w:rFonts w:ascii="Times New Roman" w:hAnsi="Times New Roman" w:cs="Times New Roman"/>
        </w:rPr>
        <w:t xml:space="preserve"> </w:t>
      </w:r>
      <w:proofErr w:type="spellStart"/>
      <w:r w:rsidR="009B2E60" w:rsidRPr="00705170">
        <w:rPr>
          <w:rFonts w:ascii="Times New Roman" w:hAnsi="Times New Roman" w:cs="Times New Roman"/>
        </w:rPr>
        <w:t>corporation’s</w:t>
      </w:r>
      <w:proofErr w:type="spellEnd"/>
      <w:r w:rsidR="009B2E60" w:rsidRPr="00705170">
        <w:rPr>
          <w:rFonts w:ascii="Times New Roman" w:hAnsi="Times New Roman" w:cs="Times New Roman"/>
        </w:rPr>
        <w:t xml:space="preserve"> </w:t>
      </w:r>
      <w:proofErr w:type="spellStart"/>
      <w:r w:rsidR="0054588E" w:rsidRPr="00705170">
        <w:rPr>
          <w:rFonts w:ascii="Times New Roman" w:hAnsi="Times New Roman" w:cs="Times New Roman"/>
        </w:rPr>
        <w:t>devotion</w:t>
      </w:r>
      <w:proofErr w:type="spellEnd"/>
      <w:r w:rsidR="0054588E" w:rsidRPr="00705170">
        <w:rPr>
          <w:rFonts w:ascii="Times New Roman" w:hAnsi="Times New Roman" w:cs="Times New Roman"/>
        </w:rPr>
        <w:t xml:space="preserve"> </w:t>
      </w:r>
      <w:proofErr w:type="spellStart"/>
      <w:r w:rsidR="0054588E" w:rsidRPr="00705170">
        <w:rPr>
          <w:rFonts w:ascii="Times New Roman" w:hAnsi="Times New Roman" w:cs="Times New Roman"/>
        </w:rPr>
        <w:t>to</w:t>
      </w:r>
      <w:proofErr w:type="spellEnd"/>
      <w:r w:rsidR="0054588E" w:rsidRPr="00705170">
        <w:rPr>
          <w:rFonts w:ascii="Times New Roman" w:hAnsi="Times New Roman" w:cs="Times New Roman"/>
        </w:rPr>
        <w:t xml:space="preserve"> </w:t>
      </w:r>
      <w:proofErr w:type="spellStart"/>
      <w:r w:rsidR="0054588E" w:rsidRPr="00705170">
        <w:rPr>
          <w:rFonts w:ascii="Times New Roman" w:hAnsi="Times New Roman" w:cs="Times New Roman"/>
        </w:rPr>
        <w:t>the</w:t>
      </w:r>
      <w:proofErr w:type="spellEnd"/>
      <w:r w:rsidR="0054588E" w:rsidRPr="00705170">
        <w:rPr>
          <w:rFonts w:ascii="Times New Roman" w:hAnsi="Times New Roman" w:cs="Times New Roman"/>
        </w:rPr>
        <w:t xml:space="preserve"> </w:t>
      </w:r>
      <w:proofErr w:type="spellStart"/>
      <w:r w:rsidR="0054588E" w:rsidRPr="00705170">
        <w:rPr>
          <w:rFonts w:ascii="Times New Roman" w:hAnsi="Times New Roman" w:cs="Times New Roman"/>
        </w:rPr>
        <w:t>pecuniary</w:t>
      </w:r>
      <w:proofErr w:type="spellEnd"/>
      <w:r w:rsidR="0054588E" w:rsidRPr="00705170">
        <w:rPr>
          <w:rFonts w:ascii="Times New Roman" w:hAnsi="Times New Roman" w:cs="Times New Roman"/>
        </w:rPr>
        <w:t xml:space="preserve"> </w:t>
      </w:r>
      <w:proofErr w:type="spellStart"/>
      <w:r w:rsidR="0054588E" w:rsidRPr="00705170">
        <w:rPr>
          <w:rFonts w:ascii="Times New Roman" w:hAnsi="Times New Roman" w:cs="Times New Roman"/>
        </w:rPr>
        <w:t>field</w:t>
      </w:r>
      <w:proofErr w:type="spellEnd"/>
      <w:r w:rsidR="0054588E" w:rsidRPr="00705170">
        <w:rPr>
          <w:rFonts w:ascii="Times New Roman" w:hAnsi="Times New Roman" w:cs="Times New Roman"/>
        </w:rPr>
        <w:t xml:space="preserve"> of </w:t>
      </w:r>
      <w:proofErr w:type="spellStart"/>
      <w:r w:rsidR="0054588E" w:rsidRPr="00705170">
        <w:rPr>
          <w:rFonts w:ascii="Times New Roman" w:hAnsi="Times New Roman" w:cs="Times New Roman"/>
        </w:rPr>
        <w:t>social</w:t>
      </w:r>
      <w:proofErr w:type="spellEnd"/>
      <w:r w:rsidR="0054588E" w:rsidRPr="00705170">
        <w:rPr>
          <w:rFonts w:ascii="Times New Roman" w:hAnsi="Times New Roman" w:cs="Times New Roman"/>
        </w:rPr>
        <w:t xml:space="preserve"> life </w:t>
      </w:r>
      <w:proofErr w:type="spellStart"/>
      <w:r w:rsidR="0054588E" w:rsidRPr="00705170">
        <w:rPr>
          <w:rFonts w:ascii="Times New Roman" w:hAnsi="Times New Roman" w:cs="Times New Roman"/>
        </w:rPr>
        <w:t>presents</w:t>
      </w:r>
      <w:proofErr w:type="spellEnd"/>
      <w:r w:rsidR="0054588E" w:rsidRPr="00705170">
        <w:rPr>
          <w:rFonts w:ascii="Times New Roman" w:hAnsi="Times New Roman" w:cs="Times New Roman"/>
        </w:rPr>
        <w:t xml:space="preserve"> a </w:t>
      </w:r>
      <w:proofErr w:type="spellStart"/>
      <w:r w:rsidR="0054588E" w:rsidRPr="00705170">
        <w:rPr>
          <w:rFonts w:ascii="Times New Roman" w:hAnsi="Times New Roman" w:cs="Times New Roman"/>
        </w:rPr>
        <w:t>much</w:t>
      </w:r>
      <w:proofErr w:type="spellEnd"/>
      <w:r w:rsidR="0054588E" w:rsidRPr="00705170">
        <w:rPr>
          <w:rFonts w:ascii="Times New Roman" w:hAnsi="Times New Roman" w:cs="Times New Roman"/>
        </w:rPr>
        <w:t xml:space="preserve"> </w:t>
      </w:r>
      <w:proofErr w:type="spellStart"/>
      <w:r w:rsidR="0054588E" w:rsidRPr="00705170">
        <w:rPr>
          <w:rFonts w:ascii="Times New Roman" w:hAnsi="Times New Roman" w:cs="Times New Roman"/>
        </w:rPr>
        <w:t>more</w:t>
      </w:r>
      <w:proofErr w:type="spellEnd"/>
      <w:r w:rsidR="0054588E" w:rsidRPr="00705170">
        <w:rPr>
          <w:rFonts w:ascii="Times New Roman" w:hAnsi="Times New Roman" w:cs="Times New Roman"/>
        </w:rPr>
        <w:t xml:space="preserve"> </w:t>
      </w:r>
      <w:proofErr w:type="spellStart"/>
      <w:r w:rsidR="0054588E" w:rsidRPr="00705170">
        <w:rPr>
          <w:rFonts w:ascii="Times New Roman" w:hAnsi="Times New Roman" w:cs="Times New Roman"/>
        </w:rPr>
        <w:t>solid</w:t>
      </w:r>
      <w:proofErr w:type="spellEnd"/>
      <w:r w:rsidR="0054588E" w:rsidRPr="00705170">
        <w:rPr>
          <w:rFonts w:ascii="Times New Roman" w:hAnsi="Times New Roman" w:cs="Times New Roman"/>
        </w:rPr>
        <w:t xml:space="preserve"> </w:t>
      </w:r>
      <w:proofErr w:type="spellStart"/>
      <w:r w:rsidR="0054588E" w:rsidRPr="00705170">
        <w:rPr>
          <w:rFonts w:ascii="Times New Roman" w:hAnsi="Times New Roman" w:cs="Times New Roman"/>
        </w:rPr>
        <w:t>image</w:t>
      </w:r>
      <w:proofErr w:type="spellEnd"/>
      <w:r w:rsidR="004E09C3" w:rsidRPr="00705170">
        <w:rPr>
          <w:rFonts w:ascii="Times New Roman" w:hAnsi="Times New Roman" w:cs="Times New Roman"/>
        </w:rPr>
        <w:t xml:space="preserve"> in </w:t>
      </w:r>
      <w:proofErr w:type="spellStart"/>
      <w:r w:rsidR="004E09C3" w:rsidRPr="00705170">
        <w:rPr>
          <w:rFonts w:ascii="Times New Roman" w:hAnsi="Times New Roman" w:cs="Times New Roman"/>
        </w:rPr>
        <w:t>Turkey</w:t>
      </w:r>
      <w:proofErr w:type="spellEnd"/>
      <w:r w:rsidR="004E09C3" w:rsidRPr="00705170">
        <w:rPr>
          <w:rFonts w:ascii="Times New Roman" w:hAnsi="Times New Roman" w:cs="Times New Roman"/>
        </w:rPr>
        <w:t xml:space="preserve"> </w:t>
      </w:r>
      <w:proofErr w:type="spellStart"/>
      <w:r w:rsidR="004E09C3" w:rsidRPr="00705170">
        <w:rPr>
          <w:rFonts w:ascii="Times New Roman" w:hAnsi="Times New Roman" w:cs="Times New Roman"/>
        </w:rPr>
        <w:t>than</w:t>
      </w:r>
      <w:proofErr w:type="spellEnd"/>
      <w:r w:rsidR="004E09C3" w:rsidRPr="00705170">
        <w:rPr>
          <w:rFonts w:ascii="Times New Roman" w:hAnsi="Times New Roman" w:cs="Times New Roman"/>
        </w:rPr>
        <w:t xml:space="preserve"> in </w:t>
      </w:r>
      <w:proofErr w:type="spellStart"/>
      <w:r w:rsidR="004E09C3" w:rsidRPr="00705170">
        <w:rPr>
          <w:rFonts w:ascii="Times New Roman" w:hAnsi="Times New Roman" w:cs="Times New Roman"/>
        </w:rPr>
        <w:t>the</w:t>
      </w:r>
      <w:proofErr w:type="spellEnd"/>
      <w:r w:rsidR="004E09C3" w:rsidRPr="00705170">
        <w:rPr>
          <w:rFonts w:ascii="Times New Roman" w:hAnsi="Times New Roman" w:cs="Times New Roman"/>
        </w:rPr>
        <w:t xml:space="preserve"> U.S</w:t>
      </w:r>
      <w:r w:rsidR="0054588E" w:rsidRPr="00705170">
        <w:rPr>
          <w:rFonts w:ascii="Times New Roman" w:hAnsi="Times New Roman" w:cs="Times New Roman"/>
        </w:rPr>
        <w:t xml:space="preserve">. </w:t>
      </w:r>
    </w:p>
    <w:p w14:paraId="0885D59A" w14:textId="5D45B723" w:rsidR="00010A08" w:rsidRPr="00705170" w:rsidRDefault="005C0778" w:rsidP="00B717A7">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perspective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a</w:t>
      </w:r>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corporation’s</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failure</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to</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fulfill</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its</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corporate</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purpose</w:t>
      </w:r>
      <w:proofErr w:type="spellEnd"/>
      <w:r w:rsidR="007D4847" w:rsidRPr="00705170">
        <w:rPr>
          <w:rFonts w:ascii="Times New Roman" w:hAnsi="Times New Roman" w:cs="Times New Roman"/>
        </w:rPr>
        <w:t xml:space="preserve"> of </w:t>
      </w:r>
      <w:proofErr w:type="spellStart"/>
      <w:r w:rsidRPr="00705170">
        <w:rPr>
          <w:rFonts w:ascii="Times New Roman" w:hAnsi="Times New Roman" w:cs="Times New Roman"/>
        </w:rPr>
        <w:t>providing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economic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will</w:t>
      </w:r>
      <w:proofErr w:type="spellEnd"/>
      <w:r w:rsidR="007D4847" w:rsidRPr="00705170">
        <w:rPr>
          <w:rFonts w:ascii="Times New Roman" w:hAnsi="Times New Roman" w:cs="Times New Roman"/>
        </w:rPr>
        <w:t xml:space="preserve"> be </w:t>
      </w:r>
      <w:proofErr w:type="spellStart"/>
      <w:r w:rsidR="007D4847" w:rsidRPr="00705170">
        <w:rPr>
          <w:rFonts w:ascii="Times New Roman" w:hAnsi="Times New Roman" w:cs="Times New Roman"/>
        </w:rPr>
        <w:t>violating</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shareholders</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right</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to</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dividend</w:t>
      </w:r>
      <w:proofErr w:type="spellEnd"/>
      <w:r w:rsidR="002447EA">
        <w:rPr>
          <w:rFonts w:ascii="Times New Roman" w:hAnsi="Times New Roman" w:cs="Times New Roman"/>
        </w:rPr>
        <w:t xml:space="preserve"> in </w:t>
      </w:r>
      <w:proofErr w:type="spellStart"/>
      <w:r w:rsidR="002447EA">
        <w:rPr>
          <w:rFonts w:ascii="Times New Roman" w:hAnsi="Times New Roman" w:cs="Times New Roman"/>
        </w:rPr>
        <w:t>Turkey</w:t>
      </w:r>
      <w:proofErr w:type="spellEnd"/>
      <w:r w:rsidR="00B37733" w:rsidRPr="00705170">
        <w:rPr>
          <w:rStyle w:val="DipnotBavurusu"/>
          <w:rFonts w:ascii="Times New Roman" w:hAnsi="Times New Roman" w:cs="Times New Roman"/>
        </w:rPr>
        <w:footnoteReference w:id="475"/>
      </w:r>
      <w:r w:rsidR="007D4847" w:rsidRPr="00705170">
        <w:rPr>
          <w:rFonts w:ascii="Times New Roman" w:hAnsi="Times New Roman" w:cs="Times New Roman"/>
        </w:rPr>
        <w:t xml:space="preserve">. </w:t>
      </w:r>
      <w:proofErr w:type="spellStart"/>
      <w:r w:rsidR="004B0BA6" w:rsidRPr="00705170">
        <w:rPr>
          <w:rFonts w:ascii="Times New Roman" w:hAnsi="Times New Roman" w:cs="Times New Roman"/>
        </w:rPr>
        <w:t>After</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all</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when</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the</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corporation</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shows</w:t>
      </w:r>
      <w:proofErr w:type="spellEnd"/>
      <w:r w:rsidR="004B0BA6" w:rsidRPr="00705170">
        <w:rPr>
          <w:rFonts w:ascii="Times New Roman" w:hAnsi="Times New Roman" w:cs="Times New Roman"/>
        </w:rPr>
        <w:t xml:space="preserve"> an </w:t>
      </w:r>
      <w:proofErr w:type="spellStart"/>
      <w:r w:rsidR="004B0BA6" w:rsidRPr="00705170">
        <w:rPr>
          <w:rFonts w:ascii="Times New Roman" w:hAnsi="Times New Roman" w:cs="Times New Roman"/>
        </w:rPr>
        <w:t>effort</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to</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provide</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economic</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benefits</w:t>
      </w:r>
      <w:proofErr w:type="spellEnd"/>
      <w:r w:rsidR="004B0BA6" w:rsidRPr="00705170">
        <w:rPr>
          <w:rFonts w:ascii="Times New Roman" w:hAnsi="Times New Roman" w:cs="Times New Roman"/>
        </w:rPr>
        <w:t xml:space="preserve">, it in </w:t>
      </w:r>
      <w:proofErr w:type="spellStart"/>
      <w:r w:rsidR="004B0BA6" w:rsidRPr="00705170">
        <w:rPr>
          <w:rFonts w:ascii="Times New Roman" w:hAnsi="Times New Roman" w:cs="Times New Roman"/>
        </w:rPr>
        <w:t>fact</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works</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to</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maximize</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the</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value</w:t>
      </w:r>
      <w:proofErr w:type="spellEnd"/>
      <w:r w:rsidR="004B0BA6" w:rsidRPr="00705170">
        <w:rPr>
          <w:rFonts w:ascii="Times New Roman" w:hAnsi="Times New Roman" w:cs="Times New Roman"/>
        </w:rPr>
        <w:t xml:space="preserve"> of </w:t>
      </w:r>
      <w:proofErr w:type="spellStart"/>
      <w:r w:rsidR="004B0BA6" w:rsidRPr="00705170">
        <w:rPr>
          <w:rFonts w:ascii="Times New Roman" w:hAnsi="Times New Roman" w:cs="Times New Roman"/>
        </w:rPr>
        <w:t>the</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coporation</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and</w:t>
      </w:r>
      <w:proofErr w:type="spellEnd"/>
      <w:r w:rsidR="004B0BA6" w:rsidRPr="00705170">
        <w:rPr>
          <w:rFonts w:ascii="Times New Roman" w:hAnsi="Times New Roman" w:cs="Times New Roman"/>
        </w:rPr>
        <w:t xml:space="preserve"> </w:t>
      </w:r>
      <w:proofErr w:type="spellStart"/>
      <w:r w:rsidR="009C6A64" w:rsidRPr="00705170">
        <w:rPr>
          <w:rFonts w:ascii="Times New Roman" w:hAnsi="Times New Roman" w:cs="Times New Roman"/>
        </w:rPr>
        <w:t>residual</w:t>
      </w:r>
      <w:proofErr w:type="spellEnd"/>
      <w:r w:rsidR="009C6A64" w:rsidRPr="00705170">
        <w:rPr>
          <w:rFonts w:ascii="Times New Roman" w:hAnsi="Times New Roman" w:cs="Times New Roman"/>
        </w:rPr>
        <w:t xml:space="preserve"> </w:t>
      </w:r>
      <w:proofErr w:type="spellStart"/>
      <w:r w:rsidR="009C6A64" w:rsidRPr="00705170">
        <w:rPr>
          <w:rFonts w:ascii="Times New Roman" w:hAnsi="Times New Roman" w:cs="Times New Roman"/>
        </w:rPr>
        <w:t>claimants</w:t>
      </w:r>
      <w:proofErr w:type="spellEnd"/>
      <w:r w:rsidR="009C6A64" w:rsidRPr="00705170">
        <w:rPr>
          <w:rFonts w:ascii="Times New Roman" w:hAnsi="Times New Roman" w:cs="Times New Roman"/>
        </w:rPr>
        <w:t xml:space="preserve"> (in </w:t>
      </w:r>
      <w:proofErr w:type="spellStart"/>
      <w:r w:rsidR="009C6A64" w:rsidRPr="00705170">
        <w:rPr>
          <w:rFonts w:ascii="Times New Roman" w:hAnsi="Times New Roman" w:cs="Times New Roman"/>
        </w:rPr>
        <w:t>the</w:t>
      </w:r>
      <w:proofErr w:type="spellEnd"/>
      <w:r w:rsidR="009C6A64" w:rsidRPr="00705170">
        <w:rPr>
          <w:rFonts w:ascii="Times New Roman" w:hAnsi="Times New Roman" w:cs="Times New Roman"/>
        </w:rPr>
        <w:t xml:space="preserve"> </w:t>
      </w:r>
      <w:proofErr w:type="spellStart"/>
      <w:r w:rsidR="009C6A64" w:rsidRPr="00705170">
        <w:rPr>
          <w:rFonts w:ascii="Times New Roman" w:hAnsi="Times New Roman" w:cs="Times New Roman"/>
        </w:rPr>
        <w:t>case</w:t>
      </w:r>
      <w:proofErr w:type="spellEnd"/>
      <w:r w:rsidR="009C6A64" w:rsidRPr="00705170">
        <w:rPr>
          <w:rFonts w:ascii="Times New Roman" w:hAnsi="Times New Roman" w:cs="Times New Roman"/>
        </w:rPr>
        <w:t xml:space="preserve"> of a </w:t>
      </w:r>
      <w:proofErr w:type="spellStart"/>
      <w:r w:rsidR="009C6A64" w:rsidRPr="00705170">
        <w:rPr>
          <w:rFonts w:ascii="Times New Roman" w:hAnsi="Times New Roman" w:cs="Times New Roman"/>
        </w:rPr>
        <w:t>solvent</w:t>
      </w:r>
      <w:proofErr w:type="spellEnd"/>
      <w:r w:rsidR="009C6A64" w:rsidRPr="00705170">
        <w:rPr>
          <w:rFonts w:ascii="Times New Roman" w:hAnsi="Times New Roman" w:cs="Times New Roman"/>
        </w:rPr>
        <w:t xml:space="preserve"> </w:t>
      </w:r>
      <w:proofErr w:type="spellStart"/>
      <w:r w:rsidR="009C6A64" w:rsidRPr="00705170">
        <w:rPr>
          <w:rFonts w:ascii="Times New Roman" w:hAnsi="Times New Roman" w:cs="Times New Roman"/>
        </w:rPr>
        <w:t>corporations</w:t>
      </w:r>
      <w:proofErr w:type="spellEnd"/>
      <w:r w:rsidR="009C6A64" w:rsidRPr="00705170">
        <w:rPr>
          <w:rFonts w:ascii="Times New Roman" w:hAnsi="Times New Roman" w:cs="Times New Roman"/>
        </w:rPr>
        <w:t xml:space="preserve">, </w:t>
      </w:r>
      <w:proofErr w:type="spellStart"/>
      <w:r w:rsidR="009C6A64" w:rsidRPr="00705170">
        <w:rPr>
          <w:rFonts w:ascii="Times New Roman" w:hAnsi="Times New Roman" w:cs="Times New Roman"/>
        </w:rPr>
        <w:t>this</w:t>
      </w:r>
      <w:proofErr w:type="spellEnd"/>
      <w:r w:rsidR="009C6A64" w:rsidRPr="00705170">
        <w:rPr>
          <w:rFonts w:ascii="Times New Roman" w:hAnsi="Times New Roman" w:cs="Times New Roman"/>
        </w:rPr>
        <w:t xml:space="preserve"> is </w:t>
      </w:r>
      <w:proofErr w:type="spellStart"/>
      <w:r w:rsidR="009C6A64" w:rsidRPr="00705170">
        <w:rPr>
          <w:rFonts w:ascii="Times New Roman" w:hAnsi="Times New Roman" w:cs="Times New Roman"/>
        </w:rPr>
        <w:t>the</w:t>
      </w:r>
      <w:proofErr w:type="spellEnd"/>
      <w:r w:rsidR="009C6A64" w:rsidRPr="00705170">
        <w:rPr>
          <w:rFonts w:ascii="Times New Roman" w:hAnsi="Times New Roman" w:cs="Times New Roman"/>
        </w:rPr>
        <w:t xml:space="preserve"> </w:t>
      </w:r>
      <w:proofErr w:type="spellStart"/>
      <w:r w:rsidR="004B0BA6" w:rsidRPr="00705170">
        <w:rPr>
          <w:rFonts w:ascii="Times New Roman" w:hAnsi="Times New Roman" w:cs="Times New Roman"/>
        </w:rPr>
        <w:t>shareholders</w:t>
      </w:r>
      <w:proofErr w:type="spellEnd"/>
      <w:r w:rsidR="009C6A64" w:rsidRPr="00705170">
        <w:rPr>
          <w:rFonts w:ascii="Times New Roman" w:hAnsi="Times New Roman" w:cs="Times New Roman"/>
        </w:rPr>
        <w:t>)</w:t>
      </w:r>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are</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the</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ultimate</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beneficiaries</w:t>
      </w:r>
      <w:proofErr w:type="spellEnd"/>
      <w:r w:rsidR="004B0BA6" w:rsidRPr="00705170">
        <w:rPr>
          <w:rFonts w:ascii="Times New Roman" w:hAnsi="Times New Roman" w:cs="Times New Roman"/>
        </w:rPr>
        <w:t xml:space="preserve"> of an </w:t>
      </w:r>
      <w:proofErr w:type="spellStart"/>
      <w:r w:rsidR="004B0BA6" w:rsidRPr="00705170">
        <w:rPr>
          <w:rFonts w:ascii="Times New Roman" w:hAnsi="Times New Roman" w:cs="Times New Roman"/>
        </w:rPr>
        <w:t>increase</w:t>
      </w:r>
      <w:proofErr w:type="spellEnd"/>
      <w:r w:rsidR="004B0BA6" w:rsidRPr="00705170">
        <w:rPr>
          <w:rFonts w:ascii="Times New Roman" w:hAnsi="Times New Roman" w:cs="Times New Roman"/>
        </w:rPr>
        <w:t xml:space="preserve"> in </w:t>
      </w:r>
      <w:proofErr w:type="spellStart"/>
      <w:r w:rsidR="004B0BA6" w:rsidRPr="00705170">
        <w:rPr>
          <w:rFonts w:ascii="Times New Roman" w:hAnsi="Times New Roman" w:cs="Times New Roman"/>
        </w:rPr>
        <w:t>the</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corporation’s</w:t>
      </w:r>
      <w:proofErr w:type="spellEnd"/>
      <w:r w:rsidR="004B0BA6" w:rsidRPr="00705170">
        <w:rPr>
          <w:rFonts w:ascii="Times New Roman" w:hAnsi="Times New Roman" w:cs="Times New Roman"/>
        </w:rPr>
        <w:t xml:space="preserve"> </w:t>
      </w:r>
      <w:proofErr w:type="spellStart"/>
      <w:r w:rsidR="004B0BA6" w:rsidRPr="00705170">
        <w:rPr>
          <w:rFonts w:ascii="Times New Roman" w:hAnsi="Times New Roman" w:cs="Times New Roman"/>
        </w:rPr>
        <w:t>value</w:t>
      </w:r>
      <w:proofErr w:type="spellEnd"/>
      <w:r w:rsidR="004B0BA6" w:rsidRPr="00705170">
        <w:rPr>
          <w:rStyle w:val="DipnotBavurusu"/>
          <w:rFonts w:ascii="Times New Roman" w:hAnsi="Times New Roman" w:cs="Times New Roman"/>
        </w:rPr>
        <w:footnoteReference w:id="476"/>
      </w:r>
      <w:r w:rsidR="004B0BA6" w:rsidRPr="00705170">
        <w:rPr>
          <w:rFonts w:ascii="Times New Roman" w:hAnsi="Times New Roman" w:cs="Times New Roman"/>
        </w:rPr>
        <w:t xml:space="preserve">. </w:t>
      </w:r>
      <w:proofErr w:type="spellStart"/>
      <w:r w:rsidR="008F51B7" w:rsidRPr="00705170">
        <w:rPr>
          <w:rFonts w:ascii="Times New Roman" w:hAnsi="Times New Roman" w:cs="Times New Roman"/>
        </w:rPr>
        <w:t>This</w:t>
      </w:r>
      <w:proofErr w:type="spellEnd"/>
      <w:r w:rsidR="008F51B7" w:rsidRPr="00705170">
        <w:rPr>
          <w:rFonts w:ascii="Times New Roman" w:hAnsi="Times New Roman" w:cs="Times New Roman"/>
        </w:rPr>
        <w:t xml:space="preserve"> </w:t>
      </w:r>
      <w:proofErr w:type="spellStart"/>
      <w:r w:rsidR="008F51B7" w:rsidRPr="00705170">
        <w:rPr>
          <w:rFonts w:ascii="Times New Roman" w:hAnsi="Times New Roman" w:cs="Times New Roman"/>
        </w:rPr>
        <w:t>notion</w:t>
      </w:r>
      <w:proofErr w:type="spellEnd"/>
      <w:r w:rsidR="008F51B7" w:rsidRPr="00705170">
        <w:rPr>
          <w:rFonts w:ascii="Times New Roman" w:hAnsi="Times New Roman" w:cs="Times New Roman"/>
        </w:rPr>
        <w:t xml:space="preserve"> </w:t>
      </w:r>
      <w:proofErr w:type="spellStart"/>
      <w:r w:rsidR="008F51B7" w:rsidRPr="00705170">
        <w:rPr>
          <w:rFonts w:ascii="Times New Roman" w:hAnsi="Times New Roman" w:cs="Times New Roman"/>
        </w:rPr>
        <w:t>links</w:t>
      </w:r>
      <w:proofErr w:type="spellEnd"/>
      <w:r w:rsidR="008F51B7" w:rsidRPr="00705170">
        <w:rPr>
          <w:rFonts w:ascii="Times New Roman" w:hAnsi="Times New Roman" w:cs="Times New Roman"/>
        </w:rPr>
        <w:t xml:space="preserve"> </w:t>
      </w:r>
      <w:proofErr w:type="spellStart"/>
      <w:r w:rsidR="008F51B7" w:rsidRPr="00705170">
        <w:rPr>
          <w:rFonts w:ascii="Times New Roman" w:hAnsi="Times New Roman" w:cs="Times New Roman"/>
        </w:rPr>
        <w:t>the</w:t>
      </w:r>
      <w:proofErr w:type="spellEnd"/>
      <w:r w:rsidR="008F51B7" w:rsidRPr="00705170">
        <w:rPr>
          <w:rFonts w:ascii="Times New Roman" w:hAnsi="Times New Roman" w:cs="Times New Roman"/>
        </w:rPr>
        <w:t xml:space="preserve"> </w:t>
      </w:r>
      <w:proofErr w:type="spellStart"/>
      <w:r w:rsidR="008F51B7" w:rsidRPr="00705170">
        <w:rPr>
          <w:rFonts w:ascii="Times New Roman" w:hAnsi="Times New Roman" w:cs="Times New Roman"/>
        </w:rPr>
        <w:t>economic</w:t>
      </w:r>
      <w:proofErr w:type="spellEnd"/>
      <w:r w:rsidR="008F51B7" w:rsidRPr="00705170">
        <w:rPr>
          <w:rFonts w:ascii="Times New Roman" w:hAnsi="Times New Roman" w:cs="Times New Roman"/>
        </w:rPr>
        <w:t xml:space="preserve"> </w:t>
      </w:r>
      <w:proofErr w:type="spellStart"/>
      <w:r w:rsidR="008F51B7" w:rsidRPr="00705170">
        <w:rPr>
          <w:rFonts w:ascii="Times New Roman" w:hAnsi="Times New Roman" w:cs="Times New Roman"/>
        </w:rPr>
        <w:t>purpose</w:t>
      </w:r>
      <w:proofErr w:type="spellEnd"/>
      <w:r w:rsidR="008F51B7" w:rsidRPr="00705170">
        <w:rPr>
          <w:rFonts w:ascii="Times New Roman" w:hAnsi="Times New Roman" w:cs="Times New Roman"/>
        </w:rPr>
        <w:t xml:space="preserve">, </w:t>
      </w:r>
      <w:proofErr w:type="spellStart"/>
      <w:r w:rsidR="008F51B7" w:rsidRPr="00705170">
        <w:rPr>
          <w:rFonts w:ascii="Times New Roman" w:hAnsi="Times New Roman" w:cs="Times New Roman"/>
        </w:rPr>
        <w:t>oppression</w:t>
      </w:r>
      <w:proofErr w:type="spellEnd"/>
      <w:r w:rsidR="008F51B7" w:rsidRPr="00705170">
        <w:rPr>
          <w:rFonts w:ascii="Times New Roman" w:hAnsi="Times New Roman" w:cs="Times New Roman"/>
        </w:rPr>
        <w:t xml:space="preserve"> </w:t>
      </w:r>
      <w:proofErr w:type="spellStart"/>
      <w:r w:rsidR="008F51B7" w:rsidRPr="00705170">
        <w:rPr>
          <w:rFonts w:ascii="Times New Roman" w:hAnsi="Times New Roman" w:cs="Times New Roman"/>
        </w:rPr>
        <w:t>and</w:t>
      </w:r>
      <w:proofErr w:type="spellEnd"/>
      <w:r w:rsidR="008F51B7" w:rsidRPr="00705170">
        <w:rPr>
          <w:rFonts w:ascii="Times New Roman" w:hAnsi="Times New Roman" w:cs="Times New Roman"/>
        </w:rPr>
        <w:t xml:space="preserve"> </w:t>
      </w:r>
      <w:proofErr w:type="spellStart"/>
      <w:r w:rsidR="008F51B7" w:rsidRPr="00705170">
        <w:rPr>
          <w:rFonts w:ascii="Times New Roman" w:hAnsi="Times New Roman" w:cs="Times New Roman"/>
        </w:rPr>
        <w:t>reasonab</w:t>
      </w:r>
      <w:r w:rsidR="00A358CB" w:rsidRPr="00705170">
        <w:rPr>
          <w:rFonts w:ascii="Times New Roman" w:hAnsi="Times New Roman" w:cs="Times New Roman"/>
        </w:rPr>
        <w:t>le</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expectations</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issues</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together</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because</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the</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right</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to</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dividend</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resembles</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shareholders</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right</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to</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demand</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corporation</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pursue</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the</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corporate</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purpose</w:t>
      </w:r>
      <w:proofErr w:type="spellEnd"/>
      <w:r w:rsidR="00A358CB" w:rsidRPr="00705170">
        <w:rPr>
          <w:rFonts w:ascii="Times New Roman" w:hAnsi="Times New Roman" w:cs="Times New Roman"/>
        </w:rPr>
        <w:t xml:space="preserve"> of </w:t>
      </w:r>
      <w:proofErr w:type="spellStart"/>
      <w:r w:rsidR="00A358CB" w:rsidRPr="00705170">
        <w:rPr>
          <w:rFonts w:ascii="Times New Roman" w:hAnsi="Times New Roman" w:cs="Times New Roman"/>
        </w:rPr>
        <w:t>providing</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economic</w:t>
      </w:r>
      <w:proofErr w:type="spellEnd"/>
      <w:r w:rsidR="00A358CB" w:rsidRPr="00705170">
        <w:rPr>
          <w:rFonts w:ascii="Times New Roman" w:hAnsi="Times New Roman" w:cs="Times New Roman"/>
        </w:rPr>
        <w:t xml:space="preserve"> </w:t>
      </w:r>
      <w:proofErr w:type="spellStart"/>
      <w:r w:rsidR="00A358CB" w:rsidRPr="00705170">
        <w:rPr>
          <w:rFonts w:ascii="Times New Roman" w:hAnsi="Times New Roman" w:cs="Times New Roman"/>
        </w:rPr>
        <w:t>benefit</w:t>
      </w:r>
      <w:proofErr w:type="spellEnd"/>
      <w:r w:rsidR="00A358CB" w:rsidRPr="00705170">
        <w:rPr>
          <w:rStyle w:val="DipnotBavurusu"/>
          <w:rFonts w:ascii="Times New Roman" w:hAnsi="Times New Roman" w:cs="Times New Roman"/>
        </w:rPr>
        <w:footnoteReference w:id="477"/>
      </w:r>
      <w:r w:rsidR="00A358CB" w:rsidRPr="00705170">
        <w:rPr>
          <w:rFonts w:ascii="Times New Roman" w:hAnsi="Times New Roman" w:cs="Times New Roman"/>
        </w:rPr>
        <w:t>.</w:t>
      </w:r>
      <w:r w:rsidR="008F51B7" w:rsidRPr="00705170">
        <w:rPr>
          <w:rFonts w:ascii="Times New Roman" w:hAnsi="Times New Roman" w:cs="Times New Roman"/>
        </w:rPr>
        <w:t xml:space="preserve"> </w:t>
      </w:r>
      <w:proofErr w:type="spellStart"/>
      <w:r w:rsidR="007D4847" w:rsidRPr="00705170">
        <w:rPr>
          <w:rFonts w:ascii="Times New Roman" w:hAnsi="Times New Roman" w:cs="Times New Roman"/>
        </w:rPr>
        <w:t>In</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this</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regards</w:t>
      </w:r>
      <w:proofErr w:type="spellEnd"/>
      <w:r w:rsidR="007D4847" w:rsidRPr="00705170">
        <w:rPr>
          <w:rFonts w:ascii="Times New Roman" w:hAnsi="Times New Roman" w:cs="Times New Roman"/>
        </w:rPr>
        <w:t xml:space="preserve">, a </w:t>
      </w:r>
      <w:proofErr w:type="spellStart"/>
      <w:r w:rsidR="007D4847" w:rsidRPr="00705170">
        <w:rPr>
          <w:rFonts w:ascii="Times New Roman" w:hAnsi="Times New Roman" w:cs="Times New Roman"/>
        </w:rPr>
        <w:t>Missouri</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court</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stated</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the</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following</w:t>
      </w:r>
      <w:proofErr w:type="spellEnd"/>
      <w:r w:rsidR="007D4847" w:rsidRPr="00705170">
        <w:rPr>
          <w:rFonts w:ascii="Times New Roman" w:hAnsi="Times New Roman" w:cs="Times New Roman"/>
        </w:rPr>
        <w:t xml:space="preserve">: </w:t>
      </w:r>
      <w:r w:rsidR="004446EB" w:rsidRPr="00705170">
        <w:rPr>
          <w:rFonts w:ascii="Times New Roman" w:hAnsi="Times New Roman" w:cs="Times New Roman"/>
        </w:rPr>
        <w:t>“</w:t>
      </w:r>
      <w:proofErr w:type="spellStart"/>
      <w:r w:rsidR="004446EB" w:rsidRPr="00705170">
        <w:rPr>
          <w:rFonts w:ascii="Times New Roman" w:hAnsi="Times New Roman" w:cs="Times New Roman"/>
        </w:rPr>
        <w:t>By</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advancing</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failure</w:t>
      </w:r>
      <w:proofErr w:type="spellEnd"/>
      <w:r w:rsidR="004446EB" w:rsidRPr="00705170">
        <w:rPr>
          <w:rFonts w:ascii="Times New Roman" w:hAnsi="Times New Roman" w:cs="Times New Roman"/>
        </w:rPr>
        <w:t xml:space="preserve"> of </w:t>
      </w:r>
      <w:proofErr w:type="spellStart"/>
      <w:r w:rsidR="004446EB" w:rsidRPr="00705170">
        <w:rPr>
          <w:rFonts w:ascii="Times New Roman" w:hAnsi="Times New Roman" w:cs="Times New Roman"/>
        </w:rPr>
        <w:t>the</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company</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to</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fulfill</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its</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corporate</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purpose</w:t>
      </w:r>
      <w:proofErr w:type="spellEnd"/>
      <w:r w:rsidR="004446EB" w:rsidRPr="00705170">
        <w:rPr>
          <w:rFonts w:ascii="Times New Roman" w:hAnsi="Times New Roman" w:cs="Times New Roman"/>
        </w:rPr>
        <w:t xml:space="preserve">’ as a </w:t>
      </w:r>
      <w:proofErr w:type="spellStart"/>
      <w:r w:rsidR="004446EB" w:rsidRPr="00705170">
        <w:rPr>
          <w:rFonts w:ascii="Times New Roman" w:hAnsi="Times New Roman" w:cs="Times New Roman"/>
        </w:rPr>
        <w:t>basis</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for</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liquidation</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lastRenderedPageBreak/>
        <w:t>independent</w:t>
      </w:r>
      <w:proofErr w:type="spellEnd"/>
      <w:r w:rsidR="004446EB" w:rsidRPr="00705170">
        <w:rPr>
          <w:rFonts w:ascii="Times New Roman" w:hAnsi="Times New Roman" w:cs="Times New Roman"/>
        </w:rPr>
        <w:t xml:space="preserve"> of </w:t>
      </w:r>
      <w:proofErr w:type="spellStart"/>
      <w:r w:rsidR="004446EB" w:rsidRPr="00705170">
        <w:rPr>
          <w:rFonts w:ascii="Times New Roman" w:hAnsi="Times New Roman" w:cs="Times New Roman"/>
        </w:rPr>
        <w:t>the</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statute</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plaintiff</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presents</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no</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claim</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upon</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which</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relief</w:t>
      </w:r>
      <w:proofErr w:type="spellEnd"/>
      <w:r w:rsidR="004446EB" w:rsidRPr="00705170">
        <w:rPr>
          <w:rFonts w:ascii="Times New Roman" w:hAnsi="Times New Roman" w:cs="Times New Roman"/>
        </w:rPr>
        <w:t xml:space="preserve"> can be </w:t>
      </w:r>
      <w:proofErr w:type="spellStart"/>
      <w:r w:rsidR="004446EB" w:rsidRPr="00705170">
        <w:rPr>
          <w:rFonts w:ascii="Times New Roman" w:hAnsi="Times New Roman" w:cs="Times New Roman"/>
        </w:rPr>
        <w:t>granted</w:t>
      </w:r>
      <w:proofErr w:type="spellEnd"/>
      <w:r w:rsidR="004446EB" w:rsidRPr="00705170">
        <w:rPr>
          <w:rFonts w:ascii="Times New Roman" w:hAnsi="Times New Roman" w:cs="Times New Roman"/>
        </w:rPr>
        <w:t xml:space="preserve">. </w:t>
      </w:r>
      <w:proofErr w:type="spellStart"/>
      <w:r w:rsidR="004446EB" w:rsidRPr="00705170">
        <w:rPr>
          <w:rFonts w:ascii="Times New Roman" w:hAnsi="Times New Roman" w:cs="Times New Roman"/>
        </w:rPr>
        <w:t>This</w:t>
      </w:r>
      <w:proofErr w:type="spellEnd"/>
      <w:r w:rsidR="004446EB" w:rsidRPr="00705170">
        <w:rPr>
          <w:rFonts w:ascii="Times New Roman" w:hAnsi="Times New Roman" w:cs="Times New Roman"/>
        </w:rPr>
        <w:t xml:space="preserve"> is not </w:t>
      </w:r>
      <w:proofErr w:type="spellStart"/>
      <w:r w:rsidR="007D4847" w:rsidRPr="00705170">
        <w:rPr>
          <w:rFonts w:ascii="Times New Roman" w:hAnsi="Times New Roman" w:cs="Times New Roman"/>
        </w:rPr>
        <w:t>to</w:t>
      </w:r>
      <w:proofErr w:type="spellEnd"/>
      <w:r w:rsidR="007D4847" w:rsidRPr="00705170">
        <w:rPr>
          <w:rFonts w:ascii="Times New Roman" w:hAnsi="Times New Roman" w:cs="Times New Roman"/>
        </w:rPr>
        <w:t xml:space="preserve"> say </w:t>
      </w:r>
      <w:proofErr w:type="spellStart"/>
      <w:r w:rsidR="007D4847" w:rsidRPr="00705170">
        <w:rPr>
          <w:rFonts w:ascii="Times New Roman" w:hAnsi="Times New Roman" w:cs="Times New Roman"/>
        </w:rPr>
        <w:t>that</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continued</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corporate</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e</w:t>
      </w:r>
      <w:r w:rsidR="00293937" w:rsidRPr="00705170">
        <w:rPr>
          <w:rFonts w:ascii="Times New Roman" w:hAnsi="Times New Roman" w:cs="Times New Roman"/>
        </w:rPr>
        <w:t>xistence</w:t>
      </w:r>
      <w:proofErr w:type="spellEnd"/>
      <w:r w:rsidR="00293937" w:rsidRPr="00705170">
        <w:rPr>
          <w:rFonts w:ascii="Times New Roman" w:hAnsi="Times New Roman" w:cs="Times New Roman"/>
        </w:rPr>
        <w:t xml:space="preserve"> </w:t>
      </w:r>
      <w:proofErr w:type="spellStart"/>
      <w:r w:rsidR="00293937" w:rsidRPr="00705170">
        <w:rPr>
          <w:rFonts w:ascii="Times New Roman" w:hAnsi="Times New Roman" w:cs="Times New Roman"/>
        </w:rPr>
        <w:t>without</w:t>
      </w:r>
      <w:proofErr w:type="spellEnd"/>
      <w:r w:rsidR="00293937" w:rsidRPr="00705170">
        <w:rPr>
          <w:rFonts w:ascii="Times New Roman" w:hAnsi="Times New Roman" w:cs="Times New Roman"/>
        </w:rPr>
        <w:t xml:space="preserve"> a </w:t>
      </w:r>
      <w:proofErr w:type="spellStart"/>
      <w:r w:rsidR="00293937" w:rsidRPr="00705170">
        <w:rPr>
          <w:rFonts w:ascii="Times New Roman" w:hAnsi="Times New Roman" w:cs="Times New Roman"/>
        </w:rPr>
        <w:t>reaso</w:t>
      </w:r>
      <w:r w:rsidR="007D4847" w:rsidRPr="00705170">
        <w:rPr>
          <w:rFonts w:ascii="Times New Roman" w:hAnsi="Times New Roman" w:cs="Times New Roman"/>
        </w:rPr>
        <w:t>n</w:t>
      </w:r>
      <w:r w:rsidR="00293937" w:rsidRPr="00705170">
        <w:rPr>
          <w:rFonts w:ascii="Times New Roman" w:hAnsi="Times New Roman" w:cs="Times New Roman"/>
        </w:rPr>
        <w:t>a</w:t>
      </w:r>
      <w:r w:rsidR="007D4847" w:rsidRPr="00705170">
        <w:rPr>
          <w:rFonts w:ascii="Times New Roman" w:hAnsi="Times New Roman" w:cs="Times New Roman"/>
        </w:rPr>
        <w:t>ble</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prospect</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for</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profitable</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operation</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might</w:t>
      </w:r>
      <w:proofErr w:type="spellEnd"/>
      <w:r w:rsidR="007D4847" w:rsidRPr="00705170">
        <w:rPr>
          <w:rFonts w:ascii="Times New Roman" w:hAnsi="Times New Roman" w:cs="Times New Roman"/>
        </w:rPr>
        <w:t xml:space="preserve"> not be a </w:t>
      </w:r>
      <w:proofErr w:type="spellStart"/>
      <w:r w:rsidR="007D4847" w:rsidRPr="00705170">
        <w:rPr>
          <w:rFonts w:ascii="Times New Roman" w:hAnsi="Times New Roman" w:cs="Times New Roman"/>
        </w:rPr>
        <w:t>circumstance</w:t>
      </w:r>
      <w:proofErr w:type="spellEnd"/>
      <w:r w:rsidR="007D4847" w:rsidRPr="00705170">
        <w:rPr>
          <w:rFonts w:ascii="Times New Roman" w:hAnsi="Times New Roman" w:cs="Times New Roman"/>
        </w:rPr>
        <w:t xml:space="preserve"> of </w:t>
      </w:r>
      <w:proofErr w:type="spellStart"/>
      <w:r w:rsidR="007D4847" w:rsidRPr="00705170">
        <w:rPr>
          <w:rFonts w:ascii="Times New Roman" w:hAnsi="Times New Roman" w:cs="Times New Roman"/>
        </w:rPr>
        <w:t>demonstrating</w:t>
      </w:r>
      <w:proofErr w:type="spellEnd"/>
      <w:r w:rsidR="007D4847" w:rsidRPr="00705170">
        <w:rPr>
          <w:rFonts w:ascii="Times New Roman" w:hAnsi="Times New Roman" w:cs="Times New Roman"/>
        </w:rPr>
        <w:t xml:space="preserve"> ‘</w:t>
      </w:r>
      <w:proofErr w:type="spellStart"/>
      <w:r w:rsidR="007D4847" w:rsidRPr="00705170">
        <w:rPr>
          <w:rFonts w:ascii="Times New Roman" w:hAnsi="Times New Roman" w:cs="Times New Roman"/>
        </w:rPr>
        <w:t>oppression</w:t>
      </w:r>
      <w:proofErr w:type="spellEnd"/>
      <w:r w:rsidR="007D4847" w:rsidRPr="00705170">
        <w:rPr>
          <w:rFonts w:ascii="Times New Roman" w:hAnsi="Times New Roman" w:cs="Times New Roman"/>
        </w:rPr>
        <w:t>’”</w:t>
      </w:r>
      <w:r w:rsidR="007D4847" w:rsidRPr="00705170">
        <w:rPr>
          <w:rStyle w:val="DipnotBavurusu"/>
          <w:rFonts w:ascii="Times New Roman" w:hAnsi="Times New Roman" w:cs="Times New Roman"/>
        </w:rPr>
        <w:footnoteReference w:id="478"/>
      </w:r>
      <w:r w:rsidR="007D4847" w:rsidRPr="00705170">
        <w:rPr>
          <w:rFonts w:ascii="Times New Roman" w:hAnsi="Times New Roman" w:cs="Times New Roman"/>
        </w:rPr>
        <w:t>.</w:t>
      </w:r>
    </w:p>
    <w:p w14:paraId="522F4D6D" w14:textId="15DFC93A" w:rsidR="00703D06" w:rsidRPr="00705170" w:rsidRDefault="00C72222" w:rsidP="00683341">
      <w:pPr>
        <w:spacing w:after="240" w:line="480" w:lineRule="auto"/>
        <w:ind w:firstLine="720"/>
        <w:jc w:val="both"/>
        <w:rPr>
          <w:rFonts w:ascii="Times New Roman" w:hAnsi="Times New Roman" w:cs="Times New Roman"/>
        </w:rPr>
      </w:pPr>
      <w:r w:rsidRPr="00705170">
        <w:rPr>
          <w:rFonts w:ascii="Times New Roman" w:hAnsi="Times New Roman" w:cs="Times New Roman"/>
        </w:rPr>
        <w:t xml:space="preserve">As </w:t>
      </w:r>
      <w:proofErr w:type="spellStart"/>
      <w:r w:rsidRPr="00705170">
        <w:rPr>
          <w:rFonts w:ascii="Times New Roman" w:hAnsi="Times New Roman" w:cs="Times New Roman"/>
        </w:rPr>
        <w:t>noted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before</w:t>
      </w:r>
      <w:proofErr w:type="spellEnd"/>
      <w:r w:rsidRPr="00705170">
        <w:rPr>
          <w:rFonts w:ascii="Times New Roman" w:hAnsi="Times New Roman" w:cs="Times New Roman"/>
        </w:rPr>
        <w:t>, a</w:t>
      </w:r>
      <w:r w:rsidR="00703D06" w:rsidRPr="00705170">
        <w:rPr>
          <w:rFonts w:ascii="Times New Roman" w:hAnsi="Times New Roman" w:cs="Times New Roman"/>
        </w:rPr>
        <w:t xml:space="preserve"> </w:t>
      </w:r>
      <w:proofErr w:type="spellStart"/>
      <w:r w:rsidR="00703D06" w:rsidRPr="00705170">
        <w:rPr>
          <w:rFonts w:ascii="Times New Roman" w:hAnsi="Times New Roman" w:cs="Times New Roman"/>
        </w:rPr>
        <w:t>dividend</w:t>
      </w:r>
      <w:proofErr w:type="spellEnd"/>
      <w:r w:rsidR="008E09D7" w:rsidRPr="00705170">
        <w:rPr>
          <w:rFonts w:ascii="Times New Roman" w:hAnsi="Times New Roman" w:cs="Times New Roman"/>
        </w:rPr>
        <w:t xml:space="preserve"> </w:t>
      </w:r>
      <w:r w:rsidR="00703D06" w:rsidRPr="00705170">
        <w:rPr>
          <w:rFonts w:ascii="Times New Roman" w:hAnsi="Times New Roman" w:cs="Times New Roman"/>
        </w:rPr>
        <w:t xml:space="preserve">is </w:t>
      </w:r>
      <w:proofErr w:type="spellStart"/>
      <w:r w:rsidR="00703D06" w:rsidRPr="00705170">
        <w:rPr>
          <w:rFonts w:ascii="Times New Roman" w:hAnsi="Times New Roman" w:cs="Times New Roman"/>
        </w:rPr>
        <w:t>the</w:t>
      </w:r>
      <w:proofErr w:type="spellEnd"/>
      <w:r w:rsidR="00703D06" w:rsidRPr="00705170">
        <w:rPr>
          <w:rFonts w:ascii="Times New Roman" w:hAnsi="Times New Roman" w:cs="Times New Roman"/>
        </w:rPr>
        <w:t xml:space="preserve"> </w:t>
      </w:r>
      <w:proofErr w:type="spellStart"/>
      <w:r w:rsidR="00703D06" w:rsidRPr="00705170">
        <w:rPr>
          <w:rFonts w:ascii="Times New Roman" w:hAnsi="Times New Roman" w:cs="Times New Roman"/>
        </w:rPr>
        <w:t>share</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received</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by</w:t>
      </w:r>
      <w:proofErr w:type="spellEnd"/>
      <w:r w:rsidR="008E09D7" w:rsidRPr="00705170">
        <w:rPr>
          <w:rFonts w:ascii="Times New Roman" w:hAnsi="Times New Roman" w:cs="Times New Roman"/>
        </w:rPr>
        <w:t xml:space="preserve"> a </w:t>
      </w:r>
      <w:proofErr w:type="spellStart"/>
      <w:r w:rsidR="008E09D7" w:rsidRPr="00705170">
        <w:rPr>
          <w:rFonts w:ascii="Times New Roman" w:hAnsi="Times New Roman" w:cs="Times New Roman"/>
        </w:rPr>
        <w:t>shareholder</w:t>
      </w:r>
      <w:proofErr w:type="spellEnd"/>
      <w:r w:rsidR="008E09D7" w:rsidRPr="00705170">
        <w:rPr>
          <w:rFonts w:ascii="Times New Roman" w:hAnsi="Times New Roman" w:cs="Times New Roman"/>
        </w:rPr>
        <w:t xml:space="preserve">, of </w:t>
      </w:r>
      <w:proofErr w:type="spellStart"/>
      <w:r w:rsidR="008E09D7" w:rsidRPr="00705170">
        <w:rPr>
          <w:rFonts w:ascii="Times New Roman" w:hAnsi="Times New Roman" w:cs="Times New Roman"/>
        </w:rPr>
        <w:t>the</w:t>
      </w:r>
      <w:proofErr w:type="spellEnd"/>
      <w:r w:rsidR="008E09D7" w:rsidRPr="00705170">
        <w:rPr>
          <w:rFonts w:ascii="Times New Roman" w:hAnsi="Times New Roman" w:cs="Times New Roman"/>
        </w:rPr>
        <w:t xml:space="preserve"> </w:t>
      </w:r>
      <w:proofErr w:type="spellStart"/>
      <w:r w:rsidR="008F3785" w:rsidRPr="00705170">
        <w:rPr>
          <w:rFonts w:ascii="Times New Roman" w:hAnsi="Times New Roman" w:cs="Times New Roman"/>
        </w:rPr>
        <w:t>publicly</w:t>
      </w:r>
      <w:proofErr w:type="spellEnd"/>
      <w:r w:rsidR="008F3785" w:rsidRPr="00705170">
        <w:rPr>
          <w:rFonts w:ascii="Times New Roman" w:hAnsi="Times New Roman" w:cs="Times New Roman"/>
        </w:rPr>
        <w:t xml:space="preserve"> </w:t>
      </w:r>
      <w:proofErr w:type="spellStart"/>
      <w:r w:rsidR="008F3785" w:rsidRPr="00705170">
        <w:rPr>
          <w:rFonts w:ascii="Times New Roman" w:hAnsi="Times New Roman" w:cs="Times New Roman"/>
        </w:rPr>
        <w:t>traded</w:t>
      </w:r>
      <w:proofErr w:type="spellEnd"/>
      <w:r w:rsidR="008F3785" w:rsidRPr="00705170">
        <w:rPr>
          <w:rFonts w:ascii="Times New Roman" w:hAnsi="Times New Roman" w:cs="Times New Roman"/>
        </w:rPr>
        <w:t xml:space="preserve"> </w:t>
      </w:r>
      <w:proofErr w:type="spellStart"/>
      <w:r w:rsidR="008E09D7" w:rsidRPr="00705170">
        <w:rPr>
          <w:rFonts w:ascii="Times New Roman" w:hAnsi="Times New Roman" w:cs="Times New Roman"/>
        </w:rPr>
        <w:t>corporation’s</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profits</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legally</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available</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for</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dividend</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i.e</w:t>
      </w:r>
      <w:proofErr w:type="spellEnd"/>
      <w:r w:rsidR="008E09D7" w:rsidRPr="00705170">
        <w:rPr>
          <w:rFonts w:ascii="Times New Roman" w:hAnsi="Times New Roman" w:cs="Times New Roman"/>
        </w:rPr>
        <w:t xml:space="preserve">., it </w:t>
      </w:r>
      <w:proofErr w:type="spellStart"/>
      <w:r w:rsidR="008E09D7" w:rsidRPr="00705170">
        <w:rPr>
          <w:rFonts w:ascii="Times New Roman" w:hAnsi="Times New Roman" w:cs="Times New Roman"/>
        </w:rPr>
        <w:t>cannot</w:t>
      </w:r>
      <w:proofErr w:type="spellEnd"/>
      <w:r w:rsidR="008E09D7" w:rsidRPr="00705170">
        <w:rPr>
          <w:rFonts w:ascii="Times New Roman" w:hAnsi="Times New Roman" w:cs="Times New Roman"/>
        </w:rPr>
        <w:t xml:space="preserve"> be </w:t>
      </w:r>
      <w:proofErr w:type="spellStart"/>
      <w:r w:rsidR="008E09D7" w:rsidRPr="00705170">
        <w:rPr>
          <w:rFonts w:ascii="Times New Roman" w:hAnsi="Times New Roman" w:cs="Times New Roman"/>
        </w:rPr>
        <w:t>declared</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out</w:t>
      </w:r>
      <w:proofErr w:type="spellEnd"/>
      <w:r w:rsidR="008E09D7" w:rsidRPr="00705170">
        <w:rPr>
          <w:rFonts w:ascii="Times New Roman" w:hAnsi="Times New Roman" w:cs="Times New Roman"/>
        </w:rPr>
        <w:t xml:space="preserve"> of </w:t>
      </w:r>
      <w:proofErr w:type="spellStart"/>
      <w:r w:rsidR="008E09D7" w:rsidRPr="00705170">
        <w:rPr>
          <w:rFonts w:ascii="Times New Roman" w:hAnsi="Times New Roman" w:cs="Times New Roman"/>
        </w:rPr>
        <w:t>the</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assets</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generally</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and</w:t>
      </w:r>
      <w:proofErr w:type="spellEnd"/>
      <w:r w:rsidR="008E09D7" w:rsidRPr="00705170">
        <w:rPr>
          <w:rFonts w:ascii="Times New Roman" w:hAnsi="Times New Roman" w:cs="Times New Roman"/>
        </w:rPr>
        <w:t xml:space="preserve"> it is not a </w:t>
      </w:r>
      <w:proofErr w:type="spellStart"/>
      <w:r w:rsidR="008E09D7" w:rsidRPr="00705170">
        <w:rPr>
          <w:rFonts w:ascii="Times New Roman" w:hAnsi="Times New Roman" w:cs="Times New Roman"/>
        </w:rPr>
        <w:t>debt</w:t>
      </w:r>
      <w:proofErr w:type="spellEnd"/>
      <w:r w:rsidR="008E09D7" w:rsidRPr="00705170">
        <w:rPr>
          <w:rFonts w:ascii="Times New Roman" w:hAnsi="Times New Roman" w:cs="Times New Roman"/>
        </w:rPr>
        <w:t xml:space="preserve"> </w:t>
      </w:r>
      <w:proofErr w:type="spellStart"/>
      <w:r w:rsidR="002447EA">
        <w:rPr>
          <w:rFonts w:ascii="Times New Roman" w:hAnsi="Times New Roman" w:cs="Times New Roman"/>
        </w:rPr>
        <w:t>for</w:t>
      </w:r>
      <w:proofErr w:type="spellEnd"/>
      <w:r w:rsidR="002447EA">
        <w:rPr>
          <w:rFonts w:ascii="Times New Roman" w:hAnsi="Times New Roman" w:cs="Times New Roman"/>
        </w:rPr>
        <w:t xml:space="preserve"> </w:t>
      </w:r>
      <w:proofErr w:type="spellStart"/>
      <w:r w:rsidR="002447EA">
        <w:rPr>
          <w:rFonts w:ascii="Times New Roman" w:hAnsi="Times New Roman" w:cs="Times New Roman"/>
        </w:rPr>
        <w:t>the</w:t>
      </w:r>
      <w:proofErr w:type="spellEnd"/>
      <w:r w:rsidR="002447EA">
        <w:rPr>
          <w:rFonts w:ascii="Times New Roman" w:hAnsi="Times New Roman" w:cs="Times New Roman"/>
        </w:rPr>
        <w:t xml:space="preserve"> </w:t>
      </w:r>
      <w:proofErr w:type="spellStart"/>
      <w:r w:rsidR="002447EA">
        <w:rPr>
          <w:rFonts w:ascii="Times New Roman" w:hAnsi="Times New Roman" w:cs="Times New Roman"/>
        </w:rPr>
        <w:t>corporation</w:t>
      </w:r>
      <w:proofErr w:type="spellEnd"/>
      <w:r w:rsidR="002447EA">
        <w:rPr>
          <w:rFonts w:ascii="Times New Roman" w:hAnsi="Times New Roman" w:cs="Times New Roman"/>
        </w:rPr>
        <w:t xml:space="preserve"> </w:t>
      </w:r>
      <w:proofErr w:type="spellStart"/>
      <w:r w:rsidR="008E09D7" w:rsidRPr="00705170">
        <w:rPr>
          <w:rFonts w:ascii="Times New Roman" w:hAnsi="Times New Roman" w:cs="Times New Roman"/>
        </w:rPr>
        <w:t>until</w:t>
      </w:r>
      <w:proofErr w:type="spellEnd"/>
      <w:r w:rsidR="008E09D7" w:rsidRPr="00705170">
        <w:rPr>
          <w:rFonts w:ascii="Times New Roman" w:hAnsi="Times New Roman" w:cs="Times New Roman"/>
        </w:rPr>
        <w:t xml:space="preserve"> it has </w:t>
      </w:r>
      <w:proofErr w:type="spellStart"/>
      <w:r w:rsidR="008E09D7" w:rsidRPr="00705170">
        <w:rPr>
          <w:rFonts w:ascii="Times New Roman" w:hAnsi="Times New Roman" w:cs="Times New Roman"/>
        </w:rPr>
        <w:t>been</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declared</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by</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the</w:t>
      </w:r>
      <w:proofErr w:type="spellEnd"/>
      <w:r w:rsidR="008E09D7" w:rsidRPr="00705170">
        <w:rPr>
          <w:rFonts w:ascii="Times New Roman" w:hAnsi="Times New Roman" w:cs="Times New Roman"/>
        </w:rPr>
        <w:t xml:space="preserve"> </w:t>
      </w:r>
      <w:proofErr w:type="spellStart"/>
      <w:r w:rsidR="008E09D7" w:rsidRPr="00705170">
        <w:rPr>
          <w:rFonts w:ascii="Times New Roman" w:hAnsi="Times New Roman" w:cs="Times New Roman"/>
        </w:rPr>
        <w:t>corporation</w:t>
      </w:r>
      <w:proofErr w:type="spellEnd"/>
      <w:r w:rsidR="008E09D7" w:rsidRPr="00705170">
        <w:rPr>
          <w:rStyle w:val="DipnotBavurusu"/>
          <w:rFonts w:ascii="Times New Roman" w:hAnsi="Times New Roman" w:cs="Times New Roman"/>
        </w:rPr>
        <w:footnoteReference w:id="479"/>
      </w:r>
      <w:r w:rsidR="008E09D7" w:rsidRPr="00705170">
        <w:rPr>
          <w:rFonts w:ascii="Times New Roman" w:hAnsi="Times New Roman" w:cs="Times New Roman"/>
        </w:rPr>
        <w:t>.</w:t>
      </w:r>
      <w:r w:rsidR="0074324D" w:rsidRPr="00705170">
        <w:rPr>
          <w:rFonts w:ascii="Times New Roman" w:hAnsi="Times New Roman" w:cs="Times New Roman"/>
        </w:rPr>
        <w:t xml:space="preserve"> </w:t>
      </w:r>
      <w:proofErr w:type="spellStart"/>
      <w:r w:rsidR="005424F5" w:rsidRPr="00705170">
        <w:rPr>
          <w:rFonts w:ascii="Times New Roman" w:hAnsi="Times New Roman" w:cs="Times New Roman"/>
        </w:rPr>
        <w:t>Statutes</w:t>
      </w:r>
      <w:proofErr w:type="spellEnd"/>
      <w:r w:rsidR="005424F5" w:rsidRPr="00705170">
        <w:rPr>
          <w:rFonts w:ascii="Times New Roman" w:hAnsi="Times New Roman" w:cs="Times New Roman"/>
        </w:rPr>
        <w:t xml:space="preserve"> </w:t>
      </w:r>
      <w:proofErr w:type="spellStart"/>
      <w:r w:rsidR="005424F5" w:rsidRPr="00705170">
        <w:rPr>
          <w:rFonts w:ascii="Times New Roman" w:hAnsi="Times New Roman" w:cs="Times New Roman"/>
        </w:rPr>
        <w:t>regulate</w:t>
      </w:r>
      <w:proofErr w:type="spellEnd"/>
      <w:r w:rsidR="005424F5" w:rsidRPr="00705170">
        <w:rPr>
          <w:rFonts w:ascii="Times New Roman" w:hAnsi="Times New Roman" w:cs="Times New Roman"/>
        </w:rPr>
        <w:t xml:space="preserve"> </w:t>
      </w:r>
      <w:proofErr w:type="spellStart"/>
      <w:r w:rsidR="005424F5" w:rsidRPr="00705170">
        <w:rPr>
          <w:rFonts w:ascii="Times New Roman" w:hAnsi="Times New Roman" w:cs="Times New Roman"/>
        </w:rPr>
        <w:t>dividends</w:t>
      </w:r>
      <w:proofErr w:type="spellEnd"/>
      <w:r w:rsidR="005424F5" w:rsidRPr="00705170">
        <w:rPr>
          <w:rFonts w:ascii="Times New Roman" w:hAnsi="Times New Roman" w:cs="Times New Roman"/>
        </w:rPr>
        <w:t xml:space="preserve"> </w:t>
      </w:r>
      <w:proofErr w:type="spellStart"/>
      <w:r w:rsidR="005424F5" w:rsidRPr="00705170">
        <w:rPr>
          <w:rFonts w:ascii="Times New Roman" w:hAnsi="Times New Roman" w:cs="Times New Roman"/>
        </w:rPr>
        <w:t>primarily</w:t>
      </w:r>
      <w:proofErr w:type="spellEnd"/>
      <w:r w:rsidR="005424F5" w:rsidRPr="00705170">
        <w:rPr>
          <w:rFonts w:ascii="Times New Roman" w:hAnsi="Times New Roman" w:cs="Times New Roman"/>
        </w:rPr>
        <w:t xml:space="preserve"> </w:t>
      </w:r>
      <w:proofErr w:type="spellStart"/>
      <w:r w:rsidR="005424F5" w:rsidRPr="00705170">
        <w:rPr>
          <w:rFonts w:ascii="Times New Roman" w:hAnsi="Times New Roman" w:cs="Times New Roman"/>
        </w:rPr>
        <w:t>for</w:t>
      </w:r>
      <w:proofErr w:type="spellEnd"/>
      <w:r w:rsidR="005424F5" w:rsidRPr="00705170">
        <w:rPr>
          <w:rFonts w:ascii="Times New Roman" w:hAnsi="Times New Roman" w:cs="Times New Roman"/>
        </w:rPr>
        <w:t xml:space="preserve"> </w:t>
      </w:r>
      <w:proofErr w:type="spellStart"/>
      <w:r w:rsidR="005424F5" w:rsidRPr="00705170">
        <w:rPr>
          <w:rFonts w:ascii="Times New Roman" w:hAnsi="Times New Roman" w:cs="Times New Roman"/>
        </w:rPr>
        <w:t>the</w:t>
      </w:r>
      <w:proofErr w:type="spellEnd"/>
      <w:r w:rsidR="005424F5" w:rsidRPr="00705170">
        <w:rPr>
          <w:rFonts w:ascii="Times New Roman" w:hAnsi="Times New Roman" w:cs="Times New Roman"/>
        </w:rPr>
        <w:t xml:space="preserve"> </w:t>
      </w:r>
      <w:proofErr w:type="spellStart"/>
      <w:r w:rsidR="005424F5" w:rsidRPr="00705170">
        <w:rPr>
          <w:rFonts w:ascii="Times New Roman" w:hAnsi="Times New Roman" w:cs="Times New Roman"/>
        </w:rPr>
        <w:t>protection</w:t>
      </w:r>
      <w:proofErr w:type="spellEnd"/>
      <w:r w:rsidR="005424F5" w:rsidRPr="00705170">
        <w:rPr>
          <w:rFonts w:ascii="Times New Roman" w:hAnsi="Times New Roman" w:cs="Times New Roman"/>
        </w:rPr>
        <w:t xml:space="preserve"> of </w:t>
      </w:r>
      <w:proofErr w:type="spellStart"/>
      <w:r w:rsidR="005424F5" w:rsidRPr="00705170">
        <w:rPr>
          <w:rFonts w:ascii="Times New Roman" w:hAnsi="Times New Roman" w:cs="Times New Roman"/>
        </w:rPr>
        <w:t>creditors</w:t>
      </w:r>
      <w:proofErr w:type="spellEnd"/>
      <w:r w:rsidR="005424F5" w:rsidRPr="00705170">
        <w:rPr>
          <w:rFonts w:ascii="Times New Roman" w:hAnsi="Times New Roman" w:cs="Times New Roman"/>
        </w:rPr>
        <w:t xml:space="preserve">, </w:t>
      </w:r>
      <w:proofErr w:type="spellStart"/>
      <w:r w:rsidR="005424F5" w:rsidRPr="00705170">
        <w:rPr>
          <w:rFonts w:ascii="Times New Roman" w:hAnsi="Times New Roman" w:cs="Times New Roman"/>
        </w:rPr>
        <w:t>so</w:t>
      </w:r>
      <w:proofErr w:type="spellEnd"/>
      <w:r w:rsidR="005424F5" w:rsidRPr="00705170">
        <w:rPr>
          <w:rFonts w:ascii="Times New Roman" w:hAnsi="Times New Roman" w:cs="Times New Roman"/>
        </w:rPr>
        <w:t xml:space="preserve"> </w:t>
      </w:r>
      <w:proofErr w:type="spellStart"/>
      <w:r w:rsidR="005424F5" w:rsidRPr="00705170">
        <w:rPr>
          <w:rFonts w:ascii="Times New Roman" w:hAnsi="Times New Roman" w:cs="Times New Roman"/>
        </w:rPr>
        <w:t>the</w:t>
      </w:r>
      <w:proofErr w:type="spellEnd"/>
      <w:r w:rsidR="005424F5" w:rsidRPr="00705170">
        <w:rPr>
          <w:rFonts w:ascii="Times New Roman" w:hAnsi="Times New Roman" w:cs="Times New Roman"/>
        </w:rPr>
        <w:t xml:space="preserve"> </w:t>
      </w:r>
      <w:proofErr w:type="spellStart"/>
      <w:r w:rsidR="005424F5" w:rsidRPr="00705170">
        <w:rPr>
          <w:rFonts w:ascii="Times New Roman" w:hAnsi="Times New Roman" w:cs="Times New Roman"/>
        </w:rPr>
        <w:t>corporation</w:t>
      </w:r>
      <w:proofErr w:type="spellEnd"/>
      <w:r w:rsidR="005424F5" w:rsidRPr="00705170">
        <w:rPr>
          <w:rFonts w:ascii="Times New Roman" w:hAnsi="Times New Roman" w:cs="Times New Roman"/>
        </w:rPr>
        <w:t xml:space="preserve"> has </w:t>
      </w:r>
      <w:proofErr w:type="spellStart"/>
      <w:r w:rsidR="005424F5" w:rsidRPr="00705170">
        <w:rPr>
          <w:rFonts w:ascii="Times New Roman" w:hAnsi="Times New Roman" w:cs="Times New Roman"/>
        </w:rPr>
        <w:t>freedom</w:t>
      </w:r>
      <w:proofErr w:type="spellEnd"/>
      <w:r w:rsidR="005424F5" w:rsidRPr="00705170">
        <w:rPr>
          <w:rFonts w:ascii="Times New Roman" w:hAnsi="Times New Roman" w:cs="Times New Roman"/>
        </w:rPr>
        <w:t xml:space="preserve"> not </w:t>
      </w:r>
      <w:proofErr w:type="spellStart"/>
      <w:r w:rsidR="005424F5" w:rsidRPr="00705170">
        <w:rPr>
          <w:rFonts w:ascii="Times New Roman" w:hAnsi="Times New Roman" w:cs="Times New Roman"/>
        </w:rPr>
        <w:t>to</w:t>
      </w:r>
      <w:proofErr w:type="spellEnd"/>
      <w:r w:rsidR="005424F5" w:rsidRPr="00705170">
        <w:rPr>
          <w:rFonts w:ascii="Times New Roman" w:hAnsi="Times New Roman" w:cs="Times New Roman"/>
        </w:rPr>
        <w:t xml:space="preserve"> pay </w:t>
      </w:r>
      <w:proofErr w:type="spellStart"/>
      <w:r w:rsidR="005424F5" w:rsidRPr="00705170">
        <w:rPr>
          <w:rFonts w:ascii="Times New Roman" w:hAnsi="Times New Roman" w:cs="Times New Roman"/>
        </w:rPr>
        <w:t>dividends</w:t>
      </w:r>
      <w:proofErr w:type="spellEnd"/>
      <w:r w:rsidR="000F5C7E">
        <w:rPr>
          <w:rFonts w:ascii="Times New Roman" w:hAnsi="Times New Roman" w:cs="Times New Roman"/>
        </w:rPr>
        <w:t xml:space="preserve"> </w:t>
      </w:r>
      <w:proofErr w:type="spellStart"/>
      <w:r w:rsidR="000F5C7E">
        <w:rPr>
          <w:rFonts w:ascii="Times New Roman" w:hAnsi="Times New Roman" w:cs="Times New Roman"/>
        </w:rPr>
        <w:t>unless</w:t>
      </w:r>
      <w:proofErr w:type="spellEnd"/>
      <w:r w:rsidR="000F5C7E">
        <w:rPr>
          <w:rFonts w:ascii="Times New Roman" w:hAnsi="Times New Roman" w:cs="Times New Roman"/>
        </w:rPr>
        <w:t xml:space="preserve"> </w:t>
      </w:r>
      <w:proofErr w:type="spellStart"/>
      <w:r w:rsidR="000F5C7E">
        <w:rPr>
          <w:rFonts w:ascii="Times New Roman" w:hAnsi="Times New Roman" w:cs="Times New Roman"/>
        </w:rPr>
        <w:t>there</w:t>
      </w:r>
      <w:proofErr w:type="spellEnd"/>
      <w:r w:rsidR="000F5C7E">
        <w:rPr>
          <w:rFonts w:ascii="Times New Roman" w:hAnsi="Times New Roman" w:cs="Times New Roman"/>
        </w:rPr>
        <w:t xml:space="preserve"> is a </w:t>
      </w:r>
      <w:proofErr w:type="spellStart"/>
      <w:r w:rsidR="000F5C7E">
        <w:rPr>
          <w:rFonts w:ascii="Times New Roman" w:hAnsi="Times New Roman" w:cs="Times New Roman"/>
        </w:rPr>
        <w:t>contrary</w:t>
      </w:r>
      <w:proofErr w:type="spellEnd"/>
      <w:r w:rsidR="000F5C7E">
        <w:rPr>
          <w:rFonts w:ascii="Times New Roman" w:hAnsi="Times New Roman" w:cs="Times New Roman"/>
        </w:rPr>
        <w:t xml:space="preserve"> </w:t>
      </w:r>
      <w:proofErr w:type="spellStart"/>
      <w:r w:rsidR="000F5C7E">
        <w:rPr>
          <w:rFonts w:ascii="Times New Roman" w:hAnsi="Times New Roman" w:cs="Times New Roman"/>
        </w:rPr>
        <w:t>statutory</w:t>
      </w:r>
      <w:proofErr w:type="spellEnd"/>
      <w:r w:rsidR="000F5C7E">
        <w:rPr>
          <w:rFonts w:ascii="Times New Roman" w:hAnsi="Times New Roman" w:cs="Times New Roman"/>
        </w:rPr>
        <w:t xml:space="preserve"> </w:t>
      </w:r>
      <w:proofErr w:type="spellStart"/>
      <w:r w:rsidR="000F5C7E">
        <w:rPr>
          <w:rFonts w:ascii="Times New Roman" w:hAnsi="Times New Roman" w:cs="Times New Roman"/>
        </w:rPr>
        <w:t>provision</w:t>
      </w:r>
      <w:proofErr w:type="spellEnd"/>
      <w:r w:rsidR="002447EA">
        <w:rPr>
          <w:rFonts w:ascii="Times New Roman" w:hAnsi="Times New Roman" w:cs="Times New Roman"/>
        </w:rPr>
        <w:t xml:space="preserve"> </w:t>
      </w:r>
      <w:proofErr w:type="spellStart"/>
      <w:r w:rsidR="002447EA">
        <w:rPr>
          <w:rFonts w:ascii="Times New Roman" w:hAnsi="Times New Roman" w:cs="Times New Roman"/>
        </w:rPr>
        <w:t>forcing</w:t>
      </w:r>
      <w:proofErr w:type="spellEnd"/>
      <w:r w:rsidR="002447EA">
        <w:rPr>
          <w:rFonts w:ascii="Times New Roman" w:hAnsi="Times New Roman" w:cs="Times New Roman"/>
        </w:rPr>
        <w:t xml:space="preserve"> </w:t>
      </w:r>
      <w:proofErr w:type="spellStart"/>
      <w:r w:rsidR="002447EA">
        <w:rPr>
          <w:rFonts w:ascii="Times New Roman" w:hAnsi="Times New Roman" w:cs="Times New Roman"/>
        </w:rPr>
        <w:t>its</w:t>
      </w:r>
      <w:proofErr w:type="spellEnd"/>
      <w:r w:rsidR="002447EA">
        <w:rPr>
          <w:rFonts w:ascii="Times New Roman" w:hAnsi="Times New Roman" w:cs="Times New Roman"/>
        </w:rPr>
        <w:t xml:space="preserve"> </w:t>
      </w:r>
      <w:proofErr w:type="spellStart"/>
      <w:r w:rsidR="002447EA">
        <w:rPr>
          <w:rFonts w:ascii="Times New Roman" w:hAnsi="Times New Roman" w:cs="Times New Roman"/>
        </w:rPr>
        <w:t>distribution</w:t>
      </w:r>
      <w:proofErr w:type="spellEnd"/>
      <w:r w:rsidR="00B1518F" w:rsidRPr="00705170">
        <w:rPr>
          <w:rStyle w:val="DipnotBavurusu"/>
          <w:rFonts w:ascii="Times New Roman" w:hAnsi="Times New Roman" w:cs="Times New Roman"/>
        </w:rPr>
        <w:footnoteReference w:id="480"/>
      </w:r>
      <w:r w:rsidR="005424F5" w:rsidRPr="00705170">
        <w:rPr>
          <w:rFonts w:ascii="Times New Roman" w:hAnsi="Times New Roman" w:cs="Times New Roman"/>
        </w:rPr>
        <w:t xml:space="preserve">. </w:t>
      </w:r>
      <w:proofErr w:type="spellStart"/>
      <w:r w:rsidR="005424F5" w:rsidRPr="00705170">
        <w:rPr>
          <w:rFonts w:ascii="Times New Roman" w:hAnsi="Times New Roman" w:cs="Times New Roman"/>
        </w:rPr>
        <w:t>These</w:t>
      </w:r>
      <w:proofErr w:type="spellEnd"/>
      <w:r w:rsidR="007D62F0" w:rsidRPr="00705170">
        <w:rPr>
          <w:rFonts w:ascii="Times New Roman" w:hAnsi="Times New Roman" w:cs="Times New Roman"/>
        </w:rPr>
        <w:t xml:space="preserve"> </w:t>
      </w:r>
      <w:proofErr w:type="spellStart"/>
      <w:r w:rsidR="007D62F0" w:rsidRPr="00705170">
        <w:rPr>
          <w:rFonts w:ascii="Times New Roman" w:hAnsi="Times New Roman" w:cs="Times New Roman"/>
        </w:rPr>
        <w:t>principle</w:t>
      </w:r>
      <w:r w:rsidR="005424F5" w:rsidRPr="00705170">
        <w:rPr>
          <w:rFonts w:ascii="Times New Roman" w:hAnsi="Times New Roman" w:cs="Times New Roman"/>
        </w:rPr>
        <w: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007D62F0" w:rsidRPr="00705170">
        <w:rPr>
          <w:rFonts w:ascii="Times New Roman" w:hAnsi="Times New Roman" w:cs="Times New Roman"/>
        </w:rPr>
        <w:t xml:space="preserve"> </w:t>
      </w:r>
      <w:proofErr w:type="spellStart"/>
      <w:r w:rsidR="007D62F0" w:rsidRPr="00705170">
        <w:rPr>
          <w:rFonts w:ascii="Times New Roman" w:hAnsi="Times New Roman" w:cs="Times New Roman"/>
        </w:rPr>
        <w:t>equally</w:t>
      </w:r>
      <w:proofErr w:type="spellEnd"/>
      <w:r w:rsidR="007D62F0" w:rsidRPr="00705170">
        <w:rPr>
          <w:rFonts w:ascii="Times New Roman" w:hAnsi="Times New Roman" w:cs="Times New Roman"/>
        </w:rPr>
        <w:t xml:space="preserve"> </w:t>
      </w:r>
      <w:proofErr w:type="spellStart"/>
      <w:r w:rsidR="007D62F0" w:rsidRPr="00705170">
        <w:rPr>
          <w:rFonts w:ascii="Times New Roman" w:hAnsi="Times New Roman" w:cs="Times New Roman"/>
        </w:rPr>
        <w:t>applicable</w:t>
      </w:r>
      <w:proofErr w:type="spellEnd"/>
      <w:r w:rsidR="007D62F0" w:rsidRPr="00705170">
        <w:rPr>
          <w:rFonts w:ascii="Times New Roman" w:hAnsi="Times New Roman" w:cs="Times New Roman"/>
        </w:rPr>
        <w:t xml:space="preserve"> </w:t>
      </w:r>
      <w:proofErr w:type="spellStart"/>
      <w:r w:rsidR="007D62F0" w:rsidRPr="00705170">
        <w:rPr>
          <w:rFonts w:ascii="Times New Roman" w:hAnsi="Times New Roman" w:cs="Times New Roman"/>
        </w:rPr>
        <w:t>to</w:t>
      </w:r>
      <w:proofErr w:type="spellEnd"/>
      <w:r w:rsidR="0074324D" w:rsidRPr="00705170">
        <w:rPr>
          <w:rFonts w:ascii="Times New Roman" w:hAnsi="Times New Roman" w:cs="Times New Roman"/>
        </w:rPr>
        <w:t xml:space="preserve"> Delaware</w:t>
      </w:r>
      <w:r w:rsidR="007D62F0" w:rsidRPr="00705170">
        <w:rPr>
          <w:rStyle w:val="DipnotBavurusu"/>
          <w:rFonts w:ascii="Times New Roman" w:hAnsi="Times New Roman" w:cs="Times New Roman"/>
        </w:rPr>
        <w:footnoteReference w:id="481"/>
      </w:r>
      <w:r w:rsidR="0074324D" w:rsidRPr="00705170">
        <w:rPr>
          <w:rFonts w:ascii="Times New Roman" w:hAnsi="Times New Roman" w:cs="Times New Roman"/>
        </w:rPr>
        <w:t>,</w:t>
      </w:r>
      <w:r w:rsidR="007D62F0" w:rsidRPr="00705170">
        <w:rPr>
          <w:rFonts w:ascii="Times New Roman" w:hAnsi="Times New Roman" w:cs="Times New Roman"/>
        </w:rPr>
        <w:t xml:space="preserve"> </w:t>
      </w:r>
      <w:proofErr w:type="spellStart"/>
      <w:r w:rsidR="007D62F0" w:rsidRPr="00705170">
        <w:rPr>
          <w:rFonts w:ascii="Times New Roman" w:hAnsi="Times New Roman" w:cs="Times New Roman"/>
        </w:rPr>
        <w:t>and</w:t>
      </w:r>
      <w:proofErr w:type="spellEnd"/>
      <w:r w:rsidR="007D62F0" w:rsidRPr="00705170">
        <w:rPr>
          <w:rFonts w:ascii="Times New Roman" w:hAnsi="Times New Roman" w:cs="Times New Roman"/>
        </w:rPr>
        <w:t xml:space="preserve"> Delaware </w:t>
      </w:r>
      <w:proofErr w:type="spellStart"/>
      <w:r w:rsidR="007D62F0" w:rsidRPr="00705170">
        <w:rPr>
          <w:rFonts w:ascii="Times New Roman" w:hAnsi="Times New Roman" w:cs="Times New Roman"/>
        </w:rPr>
        <w:t>law</w:t>
      </w:r>
      <w:proofErr w:type="spellEnd"/>
      <w:r w:rsidR="007D62F0" w:rsidRPr="00705170">
        <w:rPr>
          <w:rFonts w:ascii="Times New Roman" w:hAnsi="Times New Roman" w:cs="Times New Roman"/>
        </w:rPr>
        <w:t xml:space="preserve"> </w:t>
      </w:r>
      <w:proofErr w:type="spellStart"/>
      <w:r w:rsidR="007D62F0" w:rsidRPr="00705170">
        <w:rPr>
          <w:rFonts w:ascii="Times New Roman" w:hAnsi="Times New Roman" w:cs="Times New Roman"/>
        </w:rPr>
        <w:t>accepts</w:t>
      </w:r>
      <w:proofErr w:type="spellEnd"/>
      <w:r w:rsidR="007D62F0" w:rsidRPr="00705170">
        <w:rPr>
          <w:rFonts w:ascii="Times New Roman" w:hAnsi="Times New Roman" w:cs="Times New Roman"/>
        </w:rPr>
        <w:t xml:space="preserve"> </w:t>
      </w:r>
      <w:proofErr w:type="spellStart"/>
      <w:r w:rsidR="007D62F0" w:rsidRPr="00705170">
        <w:rPr>
          <w:rFonts w:ascii="Times New Roman" w:hAnsi="Times New Roman" w:cs="Times New Roman"/>
        </w:rPr>
        <w:t>that</w:t>
      </w:r>
      <w:proofErr w:type="spellEnd"/>
      <w:r w:rsidR="0074324D" w:rsidRPr="00705170">
        <w:rPr>
          <w:rFonts w:ascii="Times New Roman" w:hAnsi="Times New Roman" w:cs="Times New Roman"/>
        </w:rPr>
        <w:t xml:space="preserve"> “</w:t>
      </w:r>
      <w:proofErr w:type="spellStart"/>
      <w:r w:rsidR="0074324D" w:rsidRPr="00705170">
        <w:rPr>
          <w:rFonts w:ascii="Times New Roman" w:hAnsi="Times New Roman" w:cs="Times New Roman"/>
        </w:rPr>
        <w:t>the</w:t>
      </w:r>
      <w:proofErr w:type="spellEnd"/>
      <w:r w:rsidR="0074324D" w:rsidRPr="00705170">
        <w:rPr>
          <w:rFonts w:ascii="Times New Roman" w:hAnsi="Times New Roman" w:cs="Times New Roman"/>
        </w:rPr>
        <w:t xml:space="preserve"> </w:t>
      </w:r>
      <w:proofErr w:type="spellStart"/>
      <w:r w:rsidR="0074324D" w:rsidRPr="00705170">
        <w:rPr>
          <w:rFonts w:ascii="Times New Roman" w:hAnsi="Times New Roman" w:cs="Times New Roman"/>
        </w:rPr>
        <w:t>declaration</w:t>
      </w:r>
      <w:proofErr w:type="spellEnd"/>
      <w:r w:rsidR="0074324D" w:rsidRPr="00705170">
        <w:rPr>
          <w:rFonts w:ascii="Times New Roman" w:hAnsi="Times New Roman" w:cs="Times New Roman"/>
        </w:rPr>
        <w:t xml:space="preserve"> </w:t>
      </w:r>
      <w:proofErr w:type="spellStart"/>
      <w:r w:rsidR="0074324D" w:rsidRPr="00705170">
        <w:rPr>
          <w:rFonts w:ascii="Times New Roman" w:hAnsi="Times New Roman" w:cs="Times New Roman"/>
        </w:rPr>
        <w:t>and</w:t>
      </w:r>
      <w:proofErr w:type="spellEnd"/>
      <w:r w:rsidR="0074324D" w:rsidRPr="00705170">
        <w:rPr>
          <w:rFonts w:ascii="Times New Roman" w:hAnsi="Times New Roman" w:cs="Times New Roman"/>
        </w:rPr>
        <w:t xml:space="preserve"> </w:t>
      </w:r>
      <w:proofErr w:type="spellStart"/>
      <w:r w:rsidR="0074324D" w:rsidRPr="00705170">
        <w:rPr>
          <w:rFonts w:ascii="Times New Roman" w:hAnsi="Times New Roman" w:cs="Times New Roman"/>
        </w:rPr>
        <w:t>payment</w:t>
      </w:r>
      <w:proofErr w:type="spellEnd"/>
      <w:r w:rsidR="0074324D" w:rsidRPr="00705170">
        <w:rPr>
          <w:rFonts w:ascii="Times New Roman" w:hAnsi="Times New Roman" w:cs="Times New Roman"/>
        </w:rPr>
        <w:t xml:space="preserve"> of a </w:t>
      </w:r>
      <w:proofErr w:type="spellStart"/>
      <w:r w:rsidR="0074324D" w:rsidRPr="00705170">
        <w:rPr>
          <w:rFonts w:ascii="Times New Roman" w:hAnsi="Times New Roman" w:cs="Times New Roman"/>
        </w:rPr>
        <w:t>dividend</w:t>
      </w:r>
      <w:proofErr w:type="spellEnd"/>
      <w:r w:rsidR="0074324D" w:rsidRPr="00705170">
        <w:rPr>
          <w:rFonts w:ascii="Times New Roman" w:hAnsi="Times New Roman" w:cs="Times New Roman"/>
        </w:rPr>
        <w:t xml:space="preserve"> </w:t>
      </w:r>
      <w:proofErr w:type="spellStart"/>
      <w:r w:rsidR="0074324D" w:rsidRPr="00705170">
        <w:rPr>
          <w:rFonts w:ascii="Times New Roman" w:hAnsi="Times New Roman" w:cs="Times New Roman"/>
        </w:rPr>
        <w:t>rests</w:t>
      </w:r>
      <w:proofErr w:type="spellEnd"/>
      <w:r w:rsidR="0074324D" w:rsidRPr="00705170">
        <w:rPr>
          <w:rFonts w:ascii="Times New Roman" w:hAnsi="Times New Roman" w:cs="Times New Roman"/>
        </w:rPr>
        <w:t xml:space="preserve"> in </w:t>
      </w:r>
      <w:proofErr w:type="spellStart"/>
      <w:r w:rsidR="0074324D" w:rsidRPr="00705170">
        <w:rPr>
          <w:rFonts w:ascii="Times New Roman" w:hAnsi="Times New Roman" w:cs="Times New Roman"/>
        </w:rPr>
        <w:t>the</w:t>
      </w:r>
      <w:proofErr w:type="spellEnd"/>
      <w:r w:rsidR="0074324D" w:rsidRPr="00705170">
        <w:rPr>
          <w:rFonts w:ascii="Times New Roman" w:hAnsi="Times New Roman" w:cs="Times New Roman"/>
        </w:rPr>
        <w:t xml:space="preserve"> </w:t>
      </w:r>
      <w:proofErr w:type="spellStart"/>
      <w:r w:rsidR="0074324D" w:rsidRPr="00705170">
        <w:rPr>
          <w:rFonts w:ascii="Times New Roman" w:hAnsi="Times New Roman" w:cs="Times New Roman"/>
        </w:rPr>
        <w:t>discretion</w:t>
      </w:r>
      <w:proofErr w:type="spellEnd"/>
      <w:r w:rsidR="0074324D" w:rsidRPr="00705170">
        <w:rPr>
          <w:rFonts w:ascii="Times New Roman" w:hAnsi="Times New Roman" w:cs="Times New Roman"/>
        </w:rPr>
        <w:t xml:space="preserve"> of </w:t>
      </w:r>
      <w:proofErr w:type="spellStart"/>
      <w:r w:rsidR="0074324D" w:rsidRPr="00705170">
        <w:rPr>
          <w:rFonts w:ascii="Times New Roman" w:hAnsi="Times New Roman" w:cs="Times New Roman"/>
        </w:rPr>
        <w:t>the</w:t>
      </w:r>
      <w:proofErr w:type="spellEnd"/>
      <w:r w:rsidR="0074324D" w:rsidRPr="00705170">
        <w:rPr>
          <w:rFonts w:ascii="Times New Roman" w:hAnsi="Times New Roman" w:cs="Times New Roman"/>
        </w:rPr>
        <w:t xml:space="preserve"> </w:t>
      </w:r>
      <w:proofErr w:type="spellStart"/>
      <w:r w:rsidR="0074324D" w:rsidRPr="00705170">
        <w:rPr>
          <w:rFonts w:ascii="Times New Roman" w:hAnsi="Times New Roman" w:cs="Times New Roman"/>
        </w:rPr>
        <w:t>corporation’s</w:t>
      </w:r>
      <w:proofErr w:type="spellEnd"/>
      <w:r w:rsidR="0074324D" w:rsidRPr="00705170">
        <w:rPr>
          <w:rFonts w:ascii="Times New Roman" w:hAnsi="Times New Roman" w:cs="Times New Roman"/>
        </w:rPr>
        <w:t xml:space="preserve"> board of </w:t>
      </w:r>
      <w:proofErr w:type="spellStart"/>
      <w:r w:rsidR="0074324D" w:rsidRPr="00705170">
        <w:rPr>
          <w:rFonts w:ascii="Times New Roman" w:hAnsi="Times New Roman" w:cs="Times New Roman"/>
        </w:rPr>
        <w:t>directors</w:t>
      </w:r>
      <w:proofErr w:type="spellEnd"/>
      <w:r w:rsidR="0074324D" w:rsidRPr="00705170">
        <w:rPr>
          <w:rFonts w:ascii="Times New Roman" w:hAnsi="Times New Roman" w:cs="Times New Roman"/>
        </w:rPr>
        <w:t xml:space="preserve"> in </w:t>
      </w:r>
      <w:proofErr w:type="spellStart"/>
      <w:r w:rsidR="0074324D" w:rsidRPr="00705170">
        <w:rPr>
          <w:rFonts w:ascii="Times New Roman" w:hAnsi="Times New Roman" w:cs="Times New Roman"/>
        </w:rPr>
        <w:t>the</w:t>
      </w:r>
      <w:proofErr w:type="spellEnd"/>
      <w:r w:rsidR="0074324D" w:rsidRPr="00705170">
        <w:rPr>
          <w:rFonts w:ascii="Times New Roman" w:hAnsi="Times New Roman" w:cs="Times New Roman"/>
        </w:rPr>
        <w:t xml:space="preserve"> </w:t>
      </w:r>
      <w:proofErr w:type="spellStart"/>
      <w:r w:rsidR="0074324D" w:rsidRPr="00705170">
        <w:rPr>
          <w:rFonts w:ascii="Times New Roman" w:hAnsi="Times New Roman" w:cs="Times New Roman"/>
        </w:rPr>
        <w:t>exercse</w:t>
      </w:r>
      <w:proofErr w:type="spellEnd"/>
      <w:r w:rsidR="0074324D" w:rsidRPr="00705170">
        <w:rPr>
          <w:rFonts w:ascii="Times New Roman" w:hAnsi="Times New Roman" w:cs="Times New Roman"/>
        </w:rPr>
        <w:t xml:space="preserve"> of </w:t>
      </w:r>
      <w:proofErr w:type="spellStart"/>
      <w:r w:rsidR="0074324D" w:rsidRPr="00705170">
        <w:rPr>
          <w:rFonts w:ascii="Times New Roman" w:hAnsi="Times New Roman" w:cs="Times New Roman"/>
        </w:rPr>
        <w:t>its</w:t>
      </w:r>
      <w:proofErr w:type="spellEnd"/>
      <w:r w:rsidR="0074324D" w:rsidRPr="00705170">
        <w:rPr>
          <w:rFonts w:ascii="Times New Roman" w:hAnsi="Times New Roman" w:cs="Times New Roman"/>
        </w:rPr>
        <w:t xml:space="preserve"> </w:t>
      </w:r>
      <w:proofErr w:type="spellStart"/>
      <w:r w:rsidR="0074324D" w:rsidRPr="00705170">
        <w:rPr>
          <w:rFonts w:ascii="Times New Roman" w:hAnsi="Times New Roman" w:cs="Times New Roman"/>
        </w:rPr>
        <w:t>business</w:t>
      </w:r>
      <w:proofErr w:type="spellEnd"/>
      <w:r w:rsidR="0074324D" w:rsidRPr="00705170">
        <w:rPr>
          <w:rFonts w:ascii="Times New Roman" w:hAnsi="Times New Roman" w:cs="Times New Roman"/>
        </w:rPr>
        <w:t xml:space="preserve"> </w:t>
      </w:r>
      <w:proofErr w:type="spellStart"/>
      <w:r w:rsidR="0074324D" w:rsidRPr="00705170">
        <w:rPr>
          <w:rFonts w:ascii="Times New Roman" w:hAnsi="Times New Roman" w:cs="Times New Roman"/>
        </w:rPr>
        <w:t>judgment</w:t>
      </w:r>
      <w:proofErr w:type="spellEnd"/>
      <w:r w:rsidR="0074324D" w:rsidRPr="00705170">
        <w:rPr>
          <w:rFonts w:ascii="Times New Roman" w:hAnsi="Times New Roman" w:cs="Times New Roman"/>
        </w:rPr>
        <w:t>”</w:t>
      </w:r>
      <w:r w:rsidR="0074324D" w:rsidRPr="00705170">
        <w:rPr>
          <w:rStyle w:val="DipnotBavurusu"/>
          <w:rFonts w:ascii="Times New Roman" w:hAnsi="Times New Roman" w:cs="Times New Roman"/>
        </w:rPr>
        <w:footnoteReference w:id="482"/>
      </w:r>
      <w:r w:rsidR="00821712" w:rsidRPr="00705170">
        <w:rPr>
          <w:rFonts w:ascii="Times New Roman" w:hAnsi="Times New Roman" w:cs="Times New Roman"/>
        </w:rPr>
        <w:t xml:space="preserve">. </w:t>
      </w:r>
      <w:proofErr w:type="spellStart"/>
      <w:r w:rsidR="00821712" w:rsidRPr="00705170">
        <w:rPr>
          <w:rFonts w:ascii="Times New Roman" w:hAnsi="Times New Roman" w:cs="Times New Roman"/>
        </w:rPr>
        <w:t>Corollary</w:t>
      </w:r>
      <w:proofErr w:type="spellEnd"/>
      <w:r w:rsidR="00821712" w:rsidRPr="00705170">
        <w:rPr>
          <w:rFonts w:ascii="Times New Roman" w:hAnsi="Times New Roman" w:cs="Times New Roman"/>
        </w:rPr>
        <w:t xml:space="preserve">, </w:t>
      </w:r>
      <w:proofErr w:type="spellStart"/>
      <w:r w:rsidR="00821712" w:rsidRPr="00705170">
        <w:rPr>
          <w:rFonts w:ascii="Times New Roman" w:hAnsi="Times New Roman" w:cs="Times New Roman"/>
        </w:rPr>
        <w:t>some</w:t>
      </w:r>
      <w:proofErr w:type="spellEnd"/>
      <w:r w:rsidR="00821712" w:rsidRPr="00705170">
        <w:rPr>
          <w:rFonts w:ascii="Times New Roman" w:hAnsi="Times New Roman" w:cs="Times New Roman"/>
        </w:rPr>
        <w:t xml:space="preserve"> </w:t>
      </w:r>
      <w:proofErr w:type="spellStart"/>
      <w:r w:rsidR="00821712" w:rsidRPr="00705170">
        <w:rPr>
          <w:rFonts w:ascii="Times New Roman" w:hAnsi="Times New Roman" w:cs="Times New Roman"/>
        </w:rPr>
        <w:t>commentators</w:t>
      </w:r>
      <w:proofErr w:type="spellEnd"/>
      <w:r w:rsidR="00821712" w:rsidRPr="00705170">
        <w:rPr>
          <w:rFonts w:ascii="Times New Roman" w:hAnsi="Times New Roman" w:cs="Times New Roman"/>
        </w:rPr>
        <w:t xml:space="preserve"> </w:t>
      </w:r>
      <w:proofErr w:type="spellStart"/>
      <w:r w:rsidR="00821712" w:rsidRPr="00705170">
        <w:rPr>
          <w:rFonts w:ascii="Times New Roman" w:hAnsi="Times New Roman" w:cs="Times New Roman"/>
        </w:rPr>
        <w:t>argue</w:t>
      </w:r>
      <w:proofErr w:type="spellEnd"/>
      <w:r w:rsidR="00821712" w:rsidRPr="00705170">
        <w:rPr>
          <w:rFonts w:ascii="Times New Roman" w:hAnsi="Times New Roman" w:cs="Times New Roman"/>
        </w:rPr>
        <w:t xml:space="preserve"> </w:t>
      </w:r>
      <w:proofErr w:type="spellStart"/>
      <w:r w:rsidR="00821712" w:rsidRPr="00705170">
        <w:rPr>
          <w:rFonts w:ascii="Times New Roman" w:hAnsi="Times New Roman" w:cs="Times New Roman"/>
        </w:rPr>
        <w:t>that</w:t>
      </w:r>
      <w:proofErr w:type="spellEnd"/>
      <w:r w:rsidR="00821712" w:rsidRPr="00705170">
        <w:rPr>
          <w:rFonts w:ascii="Times New Roman" w:hAnsi="Times New Roman" w:cs="Times New Roman"/>
        </w:rPr>
        <w:t xml:space="preserve"> </w:t>
      </w:r>
      <w:proofErr w:type="spellStart"/>
      <w:r w:rsidR="00821712" w:rsidRPr="00705170">
        <w:rPr>
          <w:rFonts w:ascii="Times New Roman" w:hAnsi="Times New Roman" w:cs="Times New Roman"/>
        </w:rPr>
        <w:t>the</w:t>
      </w:r>
      <w:proofErr w:type="spellEnd"/>
      <w:r w:rsidR="00821712" w:rsidRPr="00705170">
        <w:rPr>
          <w:rFonts w:ascii="Times New Roman" w:hAnsi="Times New Roman" w:cs="Times New Roman"/>
        </w:rPr>
        <w:t xml:space="preserve"> </w:t>
      </w:r>
      <w:proofErr w:type="spellStart"/>
      <w:r w:rsidR="00821712" w:rsidRPr="00705170">
        <w:rPr>
          <w:rFonts w:ascii="Times New Roman" w:hAnsi="Times New Roman" w:cs="Times New Roman"/>
        </w:rPr>
        <w:t>right</w:t>
      </w:r>
      <w:proofErr w:type="spellEnd"/>
      <w:r w:rsidR="00821712" w:rsidRPr="00705170">
        <w:rPr>
          <w:rFonts w:ascii="Times New Roman" w:hAnsi="Times New Roman" w:cs="Times New Roman"/>
        </w:rPr>
        <w:t xml:space="preserve"> </w:t>
      </w:r>
      <w:proofErr w:type="spellStart"/>
      <w:r w:rsidR="00821712" w:rsidRPr="00705170">
        <w:rPr>
          <w:rFonts w:ascii="Times New Roman" w:hAnsi="Times New Roman" w:cs="Times New Roman"/>
        </w:rPr>
        <w:t>to</w:t>
      </w:r>
      <w:proofErr w:type="spellEnd"/>
      <w:r w:rsidR="00821712" w:rsidRPr="00705170">
        <w:rPr>
          <w:rFonts w:ascii="Times New Roman" w:hAnsi="Times New Roman" w:cs="Times New Roman"/>
        </w:rPr>
        <w:t xml:space="preserve"> </w:t>
      </w:r>
      <w:proofErr w:type="spellStart"/>
      <w:r w:rsidR="00821712" w:rsidRPr="00705170">
        <w:rPr>
          <w:rFonts w:ascii="Times New Roman" w:hAnsi="Times New Roman" w:cs="Times New Roman"/>
        </w:rPr>
        <w:t>dividends</w:t>
      </w:r>
      <w:proofErr w:type="spellEnd"/>
      <w:r w:rsidR="00821712" w:rsidRPr="00705170">
        <w:rPr>
          <w:rFonts w:ascii="Times New Roman" w:hAnsi="Times New Roman" w:cs="Times New Roman"/>
        </w:rPr>
        <w:t xml:space="preserve"> is </w:t>
      </w:r>
      <w:proofErr w:type="spellStart"/>
      <w:r w:rsidR="00821712" w:rsidRPr="00705170">
        <w:rPr>
          <w:rFonts w:ascii="Times New Roman" w:hAnsi="Times New Roman" w:cs="Times New Roman"/>
        </w:rPr>
        <w:t>illusory</w:t>
      </w:r>
      <w:proofErr w:type="spellEnd"/>
      <w:r w:rsidR="00821712" w:rsidRPr="00705170">
        <w:rPr>
          <w:rStyle w:val="DipnotBavurusu"/>
          <w:rFonts w:ascii="Times New Roman" w:hAnsi="Times New Roman" w:cs="Times New Roman"/>
        </w:rPr>
        <w:footnoteReference w:id="483"/>
      </w:r>
      <w:r w:rsidR="00821712" w:rsidRPr="00705170">
        <w:rPr>
          <w:rFonts w:ascii="Times New Roman" w:hAnsi="Times New Roman" w:cs="Times New Roman"/>
        </w:rPr>
        <w:t>.</w:t>
      </w:r>
      <w:r w:rsidR="007E5068" w:rsidRPr="00705170">
        <w:rPr>
          <w:rFonts w:ascii="Times New Roman" w:hAnsi="Times New Roman" w:cs="Times New Roman"/>
        </w:rPr>
        <w:t xml:space="preserve"> </w:t>
      </w:r>
      <w:r w:rsidR="000F5C7E">
        <w:rPr>
          <w:rFonts w:ascii="Times New Roman" w:hAnsi="Times New Roman" w:cs="Times New Roman"/>
        </w:rPr>
        <w:t xml:space="preserve">On </w:t>
      </w:r>
      <w:proofErr w:type="spellStart"/>
      <w:r w:rsidR="000F5C7E">
        <w:rPr>
          <w:rFonts w:ascii="Times New Roman" w:hAnsi="Times New Roman" w:cs="Times New Roman"/>
        </w:rPr>
        <w:t>the</w:t>
      </w:r>
      <w:proofErr w:type="spellEnd"/>
      <w:r w:rsidR="000F5C7E">
        <w:rPr>
          <w:rFonts w:ascii="Times New Roman" w:hAnsi="Times New Roman" w:cs="Times New Roman"/>
        </w:rPr>
        <w:t xml:space="preserve"> </w:t>
      </w:r>
      <w:proofErr w:type="spellStart"/>
      <w:r w:rsidR="000F5C7E">
        <w:rPr>
          <w:rFonts w:ascii="Times New Roman" w:hAnsi="Times New Roman" w:cs="Times New Roman"/>
        </w:rPr>
        <w:t>other</w:t>
      </w:r>
      <w:proofErr w:type="spellEnd"/>
      <w:r w:rsidR="000F5C7E">
        <w:rPr>
          <w:rFonts w:ascii="Times New Roman" w:hAnsi="Times New Roman" w:cs="Times New Roman"/>
        </w:rPr>
        <w:t xml:space="preserve"> </w:t>
      </w:r>
      <w:proofErr w:type="spellStart"/>
      <w:r w:rsidR="000F5C7E">
        <w:rPr>
          <w:rFonts w:ascii="Times New Roman" w:hAnsi="Times New Roman" w:cs="Times New Roman"/>
        </w:rPr>
        <w:t>hand</w:t>
      </w:r>
      <w:proofErr w:type="spellEnd"/>
      <w:r w:rsidR="000F5C7E">
        <w:rPr>
          <w:rFonts w:ascii="Times New Roman" w:hAnsi="Times New Roman" w:cs="Times New Roman"/>
        </w:rPr>
        <w:t>,</w:t>
      </w:r>
      <w:r w:rsidR="000F5C7E" w:rsidRPr="00705170">
        <w:rPr>
          <w:rFonts w:ascii="Times New Roman" w:hAnsi="Times New Roman" w:cs="Times New Roman"/>
        </w:rPr>
        <w:t xml:space="preserve"> </w:t>
      </w:r>
      <w:r w:rsidR="007E5068" w:rsidRPr="00705170">
        <w:rPr>
          <w:rFonts w:ascii="Times New Roman" w:hAnsi="Times New Roman" w:cs="Times New Roman"/>
        </w:rPr>
        <w:t xml:space="preserve">in </w:t>
      </w:r>
      <w:proofErr w:type="spellStart"/>
      <w:r w:rsidR="007E5068" w:rsidRPr="00705170">
        <w:rPr>
          <w:rFonts w:ascii="Times New Roman" w:hAnsi="Times New Roman" w:cs="Times New Roman"/>
        </w:rPr>
        <w:t>Turkey</w:t>
      </w:r>
      <w:proofErr w:type="spellEnd"/>
      <w:r w:rsidR="007E5068" w:rsidRPr="00705170">
        <w:rPr>
          <w:rFonts w:ascii="Times New Roman" w:hAnsi="Times New Roman" w:cs="Times New Roman"/>
        </w:rPr>
        <w:t xml:space="preserve">, </w:t>
      </w:r>
      <w:proofErr w:type="spellStart"/>
      <w:r w:rsidR="00875694" w:rsidRPr="00705170">
        <w:rPr>
          <w:rFonts w:ascii="Times New Roman" w:hAnsi="Times New Roman" w:cs="Times New Roman"/>
        </w:rPr>
        <w:t>the</w:t>
      </w:r>
      <w:proofErr w:type="spellEnd"/>
      <w:r w:rsidR="00875694" w:rsidRPr="00705170">
        <w:rPr>
          <w:rFonts w:ascii="Times New Roman" w:hAnsi="Times New Roman" w:cs="Times New Roman"/>
        </w:rPr>
        <w:t xml:space="preserve"> general </w:t>
      </w:r>
      <w:proofErr w:type="spellStart"/>
      <w:r w:rsidR="00875694" w:rsidRPr="00705170">
        <w:rPr>
          <w:rFonts w:ascii="Times New Roman" w:hAnsi="Times New Roman" w:cs="Times New Roman"/>
        </w:rPr>
        <w:t>assembly</w:t>
      </w:r>
      <w:proofErr w:type="spellEnd"/>
      <w:r w:rsidR="00875694" w:rsidRPr="00705170">
        <w:rPr>
          <w:rFonts w:ascii="Times New Roman" w:hAnsi="Times New Roman" w:cs="Times New Roman"/>
        </w:rPr>
        <w:t xml:space="preserve"> has </w:t>
      </w:r>
      <w:proofErr w:type="spellStart"/>
      <w:r w:rsidR="00875694" w:rsidRPr="00705170">
        <w:rPr>
          <w:rFonts w:ascii="Times New Roman" w:hAnsi="Times New Roman" w:cs="Times New Roman"/>
        </w:rPr>
        <w:t>the</w:t>
      </w:r>
      <w:proofErr w:type="spellEnd"/>
      <w:r w:rsidR="00875694" w:rsidRPr="00705170">
        <w:rPr>
          <w:rFonts w:ascii="Times New Roman" w:hAnsi="Times New Roman" w:cs="Times New Roman"/>
        </w:rPr>
        <w:t xml:space="preserve"> </w:t>
      </w:r>
      <w:proofErr w:type="spellStart"/>
      <w:r w:rsidR="00875694" w:rsidRPr="00705170">
        <w:rPr>
          <w:rFonts w:ascii="Times New Roman" w:hAnsi="Times New Roman" w:cs="Times New Roman"/>
        </w:rPr>
        <w:t>authority</w:t>
      </w:r>
      <w:proofErr w:type="spellEnd"/>
      <w:r w:rsidR="00875694" w:rsidRPr="00705170">
        <w:rPr>
          <w:rFonts w:ascii="Times New Roman" w:hAnsi="Times New Roman" w:cs="Times New Roman"/>
        </w:rPr>
        <w:t xml:space="preserve"> </w:t>
      </w:r>
      <w:proofErr w:type="spellStart"/>
      <w:r w:rsidR="00875694" w:rsidRPr="00705170">
        <w:rPr>
          <w:rFonts w:ascii="Times New Roman" w:hAnsi="Times New Roman" w:cs="Times New Roman"/>
        </w:rPr>
        <w:t>to</w:t>
      </w:r>
      <w:proofErr w:type="spellEnd"/>
      <w:r w:rsidR="00875694" w:rsidRPr="00705170">
        <w:rPr>
          <w:rFonts w:ascii="Times New Roman" w:hAnsi="Times New Roman" w:cs="Times New Roman"/>
        </w:rPr>
        <w:t xml:space="preserve"> not </w:t>
      </w:r>
      <w:proofErr w:type="spellStart"/>
      <w:r w:rsidR="00875694" w:rsidRPr="00705170">
        <w:rPr>
          <w:rFonts w:ascii="Times New Roman" w:hAnsi="Times New Roman" w:cs="Times New Roman"/>
        </w:rPr>
        <w:t>to</w:t>
      </w:r>
      <w:proofErr w:type="spellEnd"/>
      <w:r w:rsidR="00875694" w:rsidRPr="00705170">
        <w:rPr>
          <w:rFonts w:ascii="Times New Roman" w:hAnsi="Times New Roman" w:cs="Times New Roman"/>
        </w:rPr>
        <w:t xml:space="preserve"> </w:t>
      </w:r>
      <w:proofErr w:type="spellStart"/>
      <w:r w:rsidR="00875694" w:rsidRPr="00705170">
        <w:rPr>
          <w:rFonts w:ascii="Times New Roman" w:hAnsi="Times New Roman" w:cs="Times New Roman"/>
        </w:rPr>
        <w:t>de</w:t>
      </w:r>
      <w:r w:rsidR="00351627" w:rsidRPr="00705170">
        <w:rPr>
          <w:rFonts w:ascii="Times New Roman" w:hAnsi="Times New Roman" w:cs="Times New Roman"/>
        </w:rPr>
        <w:t>clare</w:t>
      </w:r>
      <w:proofErr w:type="spellEnd"/>
      <w:r w:rsidR="00351627" w:rsidRPr="00705170">
        <w:rPr>
          <w:rFonts w:ascii="Times New Roman" w:hAnsi="Times New Roman" w:cs="Times New Roman"/>
        </w:rPr>
        <w:t xml:space="preserve"> </w:t>
      </w:r>
      <w:proofErr w:type="spellStart"/>
      <w:r w:rsidR="00351627" w:rsidRPr="00705170">
        <w:rPr>
          <w:rFonts w:ascii="Times New Roman" w:hAnsi="Times New Roman" w:cs="Times New Roman"/>
        </w:rPr>
        <w:t>any</w:t>
      </w:r>
      <w:proofErr w:type="spellEnd"/>
      <w:r w:rsidR="00351627" w:rsidRPr="00705170">
        <w:rPr>
          <w:rFonts w:ascii="Times New Roman" w:hAnsi="Times New Roman" w:cs="Times New Roman"/>
        </w:rPr>
        <w:t xml:space="preserve"> </w:t>
      </w:r>
      <w:proofErr w:type="spellStart"/>
      <w:r w:rsidR="00351627" w:rsidRPr="00705170">
        <w:rPr>
          <w:rFonts w:ascii="Times New Roman" w:hAnsi="Times New Roman" w:cs="Times New Roman"/>
        </w:rPr>
        <w:t>dividends</w:t>
      </w:r>
      <w:proofErr w:type="spellEnd"/>
      <w:r w:rsidR="00F11064" w:rsidRPr="00705170">
        <w:rPr>
          <w:rStyle w:val="DipnotBavurusu"/>
          <w:rFonts w:ascii="Times New Roman" w:hAnsi="Times New Roman" w:cs="Times New Roman"/>
        </w:rPr>
        <w:footnoteReference w:id="484"/>
      </w:r>
      <w:r w:rsidR="00351627" w:rsidRPr="00705170">
        <w:rPr>
          <w:rFonts w:ascii="Times New Roman" w:hAnsi="Times New Roman" w:cs="Times New Roman"/>
        </w:rPr>
        <w:t>, but</w:t>
      </w:r>
      <w:r w:rsidR="003864FC" w:rsidRPr="00705170">
        <w:rPr>
          <w:rFonts w:ascii="Times New Roman" w:hAnsi="Times New Roman" w:cs="Times New Roman"/>
        </w:rPr>
        <w:t xml:space="preserve"> in </w:t>
      </w:r>
      <w:proofErr w:type="spellStart"/>
      <w:r w:rsidR="003864FC" w:rsidRPr="00705170">
        <w:rPr>
          <w:rFonts w:ascii="Times New Roman" w:hAnsi="Times New Roman" w:cs="Times New Roman"/>
        </w:rPr>
        <w:t>the</w:t>
      </w:r>
      <w:proofErr w:type="spellEnd"/>
      <w:r w:rsidR="003864FC" w:rsidRPr="00705170">
        <w:rPr>
          <w:rFonts w:ascii="Times New Roman" w:hAnsi="Times New Roman" w:cs="Times New Roman"/>
        </w:rPr>
        <w:t xml:space="preserve"> </w:t>
      </w:r>
      <w:proofErr w:type="spellStart"/>
      <w:r w:rsidR="003864FC" w:rsidRPr="00705170">
        <w:rPr>
          <w:rFonts w:ascii="Times New Roman" w:hAnsi="Times New Roman" w:cs="Times New Roman"/>
        </w:rPr>
        <w:t>absence</w:t>
      </w:r>
      <w:proofErr w:type="spellEnd"/>
      <w:r w:rsidR="003864FC" w:rsidRPr="00705170">
        <w:rPr>
          <w:rFonts w:ascii="Times New Roman" w:hAnsi="Times New Roman" w:cs="Times New Roman"/>
        </w:rPr>
        <w:t xml:space="preserve"> of </w:t>
      </w:r>
      <w:proofErr w:type="spellStart"/>
      <w:r w:rsidR="003864FC" w:rsidRPr="00705170">
        <w:rPr>
          <w:rFonts w:ascii="Times New Roman" w:hAnsi="Times New Roman" w:cs="Times New Roman"/>
        </w:rPr>
        <w:t>allocating</w:t>
      </w:r>
      <w:proofErr w:type="spellEnd"/>
      <w:r w:rsidR="003864FC" w:rsidRPr="00705170">
        <w:rPr>
          <w:rFonts w:ascii="Times New Roman" w:hAnsi="Times New Roman" w:cs="Times New Roman"/>
        </w:rPr>
        <w:t xml:space="preserve"> </w:t>
      </w:r>
      <w:proofErr w:type="spellStart"/>
      <w:r w:rsidR="003864FC" w:rsidRPr="00705170">
        <w:rPr>
          <w:rFonts w:ascii="Times New Roman" w:hAnsi="Times New Roman" w:cs="Times New Roman"/>
        </w:rPr>
        <w:t>funds</w:t>
      </w:r>
      <w:proofErr w:type="spellEnd"/>
      <w:r w:rsidR="003864FC" w:rsidRPr="00705170">
        <w:rPr>
          <w:rFonts w:ascii="Times New Roman" w:hAnsi="Times New Roman" w:cs="Times New Roman"/>
        </w:rPr>
        <w:t xml:space="preserve"> </w:t>
      </w:r>
      <w:proofErr w:type="spellStart"/>
      <w:r w:rsidR="003864FC" w:rsidRPr="00705170">
        <w:rPr>
          <w:rFonts w:ascii="Times New Roman" w:hAnsi="Times New Roman" w:cs="Times New Roman"/>
        </w:rPr>
        <w:t>for</w:t>
      </w:r>
      <w:proofErr w:type="spellEnd"/>
      <w:r w:rsidR="003864FC" w:rsidRPr="00705170">
        <w:rPr>
          <w:rFonts w:ascii="Times New Roman" w:hAnsi="Times New Roman" w:cs="Times New Roman"/>
        </w:rPr>
        <w:t xml:space="preserve"> </w:t>
      </w:r>
      <w:proofErr w:type="spellStart"/>
      <w:r w:rsidR="003864FC" w:rsidRPr="00705170">
        <w:rPr>
          <w:rFonts w:ascii="Times New Roman" w:hAnsi="Times New Roman" w:cs="Times New Roman"/>
        </w:rPr>
        <w:t>the</w:t>
      </w:r>
      <w:proofErr w:type="spellEnd"/>
      <w:r w:rsidR="003864FC" w:rsidRPr="00705170">
        <w:rPr>
          <w:rFonts w:ascii="Times New Roman" w:hAnsi="Times New Roman" w:cs="Times New Roman"/>
        </w:rPr>
        <w:t xml:space="preserve"> </w:t>
      </w:r>
      <w:proofErr w:type="spellStart"/>
      <w:r w:rsidR="003864FC" w:rsidRPr="00705170">
        <w:rPr>
          <w:rFonts w:ascii="Times New Roman" w:hAnsi="Times New Roman" w:cs="Times New Roman"/>
        </w:rPr>
        <w:t>statutory</w:t>
      </w:r>
      <w:proofErr w:type="spellEnd"/>
      <w:r w:rsidR="003864FC" w:rsidRPr="00705170">
        <w:rPr>
          <w:rFonts w:ascii="Times New Roman" w:hAnsi="Times New Roman" w:cs="Times New Roman"/>
        </w:rPr>
        <w:t xml:space="preserve"> </w:t>
      </w:r>
      <w:proofErr w:type="spellStart"/>
      <w:r w:rsidR="003864FC" w:rsidRPr="00705170">
        <w:rPr>
          <w:rFonts w:ascii="Times New Roman" w:hAnsi="Times New Roman" w:cs="Times New Roman"/>
        </w:rPr>
        <w:t>reserves</w:t>
      </w:r>
      <w:proofErr w:type="spellEnd"/>
      <w:r w:rsidR="003864FC" w:rsidRPr="00705170">
        <w:rPr>
          <w:rFonts w:ascii="Times New Roman" w:hAnsi="Times New Roman" w:cs="Times New Roman"/>
        </w:rPr>
        <w:t xml:space="preserve"> </w:t>
      </w:r>
      <w:proofErr w:type="spellStart"/>
      <w:r w:rsidR="003864FC" w:rsidRPr="00705170">
        <w:rPr>
          <w:rFonts w:ascii="Times New Roman" w:hAnsi="Times New Roman" w:cs="Times New Roman"/>
        </w:rPr>
        <w:t>or</w:t>
      </w:r>
      <w:proofErr w:type="spellEnd"/>
      <w:r w:rsidR="003864FC" w:rsidRPr="00705170">
        <w:rPr>
          <w:rFonts w:ascii="Times New Roman" w:hAnsi="Times New Roman" w:cs="Times New Roman"/>
        </w:rPr>
        <w:t xml:space="preserve"> </w:t>
      </w:r>
      <w:proofErr w:type="spellStart"/>
      <w:r w:rsidR="003864FC" w:rsidRPr="00705170">
        <w:rPr>
          <w:rFonts w:ascii="Times New Roman" w:hAnsi="Times New Roman" w:cs="Times New Roman"/>
        </w:rPr>
        <w:t>reserves</w:t>
      </w:r>
      <w:proofErr w:type="spellEnd"/>
      <w:r w:rsidR="003864FC" w:rsidRPr="00705170">
        <w:rPr>
          <w:rFonts w:ascii="Times New Roman" w:hAnsi="Times New Roman" w:cs="Times New Roman"/>
        </w:rPr>
        <w:t xml:space="preserve"> </w:t>
      </w:r>
      <w:proofErr w:type="spellStart"/>
      <w:r w:rsidR="003864FC" w:rsidRPr="00705170">
        <w:rPr>
          <w:rFonts w:ascii="Times New Roman" w:hAnsi="Times New Roman" w:cs="Times New Roman"/>
        </w:rPr>
        <w:t>promulgated</w:t>
      </w:r>
      <w:proofErr w:type="spellEnd"/>
      <w:r w:rsidR="003864FC" w:rsidRPr="00705170">
        <w:rPr>
          <w:rFonts w:ascii="Times New Roman" w:hAnsi="Times New Roman" w:cs="Times New Roman"/>
        </w:rPr>
        <w:t xml:space="preserve"> </w:t>
      </w:r>
      <w:proofErr w:type="spellStart"/>
      <w:r w:rsidR="003864FC" w:rsidRPr="00705170">
        <w:rPr>
          <w:rFonts w:ascii="Times New Roman" w:hAnsi="Times New Roman" w:cs="Times New Roman"/>
        </w:rPr>
        <w:t>by</w:t>
      </w:r>
      <w:proofErr w:type="spellEnd"/>
      <w:r w:rsidR="003864FC" w:rsidRPr="00705170">
        <w:rPr>
          <w:rFonts w:ascii="Times New Roman" w:hAnsi="Times New Roman" w:cs="Times New Roman"/>
        </w:rPr>
        <w:t xml:space="preserve"> </w:t>
      </w:r>
      <w:proofErr w:type="spellStart"/>
      <w:r w:rsidR="003864FC" w:rsidRPr="00705170">
        <w:rPr>
          <w:rFonts w:ascii="Times New Roman" w:hAnsi="Times New Roman" w:cs="Times New Roman"/>
        </w:rPr>
        <w:t>the</w:t>
      </w:r>
      <w:proofErr w:type="spellEnd"/>
      <w:r w:rsidR="003864FC" w:rsidRPr="00705170">
        <w:rPr>
          <w:rFonts w:ascii="Times New Roman" w:hAnsi="Times New Roman" w:cs="Times New Roman"/>
        </w:rPr>
        <w:t xml:space="preserve"> </w:t>
      </w:r>
      <w:proofErr w:type="spellStart"/>
      <w:r w:rsidR="003864FC" w:rsidRPr="00705170">
        <w:rPr>
          <w:rFonts w:ascii="Times New Roman" w:hAnsi="Times New Roman" w:cs="Times New Roman"/>
        </w:rPr>
        <w:t>articles</w:t>
      </w:r>
      <w:proofErr w:type="spellEnd"/>
      <w:r w:rsidR="003864FC" w:rsidRPr="00705170">
        <w:rPr>
          <w:rFonts w:ascii="Times New Roman" w:hAnsi="Times New Roman" w:cs="Times New Roman"/>
        </w:rPr>
        <w:t xml:space="preserve"> of </w:t>
      </w:r>
      <w:proofErr w:type="spellStart"/>
      <w:r w:rsidR="003864FC" w:rsidRPr="00705170">
        <w:rPr>
          <w:rFonts w:ascii="Times New Roman" w:hAnsi="Times New Roman" w:cs="Times New Roman"/>
        </w:rPr>
        <w:t>incorporation</w:t>
      </w:r>
      <w:proofErr w:type="spellEnd"/>
      <w:r w:rsidR="005A7213" w:rsidRPr="00705170">
        <w:rPr>
          <w:rStyle w:val="DipnotBavurusu"/>
          <w:rFonts w:ascii="Times New Roman" w:hAnsi="Times New Roman" w:cs="Times New Roman"/>
        </w:rPr>
        <w:footnoteReference w:id="485"/>
      </w:r>
      <w:r w:rsidR="003864FC" w:rsidRPr="00705170">
        <w:rPr>
          <w:rFonts w:ascii="Times New Roman" w:hAnsi="Times New Roman" w:cs="Times New Roman"/>
        </w:rPr>
        <w:t xml:space="preserve">, </w:t>
      </w:r>
      <w:proofErr w:type="spellStart"/>
      <w:r w:rsidR="00351627" w:rsidRPr="00705170">
        <w:rPr>
          <w:rFonts w:ascii="Times New Roman" w:hAnsi="Times New Roman" w:cs="Times New Roman"/>
        </w:rPr>
        <w:t>the</w:t>
      </w:r>
      <w:proofErr w:type="spellEnd"/>
      <w:r w:rsidR="00351627" w:rsidRPr="00705170">
        <w:rPr>
          <w:rFonts w:ascii="Times New Roman" w:hAnsi="Times New Roman" w:cs="Times New Roman"/>
        </w:rPr>
        <w:t xml:space="preserve"> </w:t>
      </w:r>
      <w:proofErr w:type="spellStart"/>
      <w:r w:rsidR="00351627" w:rsidRPr="00705170">
        <w:rPr>
          <w:rFonts w:ascii="Times New Roman" w:hAnsi="Times New Roman" w:cs="Times New Roman"/>
        </w:rPr>
        <w:t>resolution</w:t>
      </w:r>
      <w:proofErr w:type="spellEnd"/>
      <w:r w:rsidR="00351627" w:rsidRPr="00705170">
        <w:rPr>
          <w:rFonts w:ascii="Times New Roman" w:hAnsi="Times New Roman" w:cs="Times New Roman"/>
        </w:rPr>
        <w:t xml:space="preserve"> on not </w:t>
      </w:r>
      <w:proofErr w:type="spellStart"/>
      <w:r w:rsidR="00351627" w:rsidRPr="00705170">
        <w:rPr>
          <w:rFonts w:ascii="Times New Roman" w:hAnsi="Times New Roman" w:cs="Times New Roman"/>
        </w:rPr>
        <w:t>to</w:t>
      </w:r>
      <w:proofErr w:type="spellEnd"/>
      <w:r w:rsidR="00351627" w:rsidRPr="00705170">
        <w:rPr>
          <w:rFonts w:ascii="Times New Roman" w:hAnsi="Times New Roman" w:cs="Times New Roman"/>
        </w:rPr>
        <w:t xml:space="preserve"> </w:t>
      </w:r>
      <w:proofErr w:type="spellStart"/>
      <w:r w:rsidR="00351627" w:rsidRPr="00705170">
        <w:rPr>
          <w:rFonts w:ascii="Times New Roman" w:hAnsi="Times New Roman" w:cs="Times New Roman"/>
        </w:rPr>
        <w:t>declare</w:t>
      </w:r>
      <w:proofErr w:type="spellEnd"/>
      <w:r w:rsidR="00351627" w:rsidRPr="00705170">
        <w:rPr>
          <w:rFonts w:ascii="Times New Roman" w:hAnsi="Times New Roman" w:cs="Times New Roman"/>
        </w:rPr>
        <w:t xml:space="preserve"> </w:t>
      </w:r>
      <w:proofErr w:type="spellStart"/>
      <w:r w:rsidR="00351627" w:rsidRPr="00705170">
        <w:rPr>
          <w:rFonts w:ascii="Times New Roman" w:hAnsi="Times New Roman" w:cs="Times New Roman"/>
        </w:rPr>
        <w:t>dividen</w:t>
      </w:r>
      <w:r w:rsidR="003864FC" w:rsidRPr="00705170">
        <w:rPr>
          <w:rFonts w:ascii="Times New Roman" w:hAnsi="Times New Roman" w:cs="Times New Roman"/>
        </w:rPr>
        <w:t>d</w:t>
      </w:r>
      <w:r w:rsidR="00351627" w:rsidRPr="00705170">
        <w:rPr>
          <w:rFonts w:ascii="Times New Roman" w:hAnsi="Times New Roman" w:cs="Times New Roman"/>
        </w:rPr>
        <w:t>s</w:t>
      </w:r>
      <w:proofErr w:type="spellEnd"/>
      <w:r w:rsidR="00351627" w:rsidRPr="00705170">
        <w:rPr>
          <w:rFonts w:ascii="Times New Roman" w:hAnsi="Times New Roman" w:cs="Times New Roman"/>
        </w:rPr>
        <w:t xml:space="preserve"> </w:t>
      </w:r>
      <w:proofErr w:type="spellStart"/>
      <w:r w:rsidR="00875694" w:rsidRPr="00705170">
        <w:rPr>
          <w:rFonts w:ascii="Times New Roman" w:hAnsi="Times New Roman" w:cs="Times New Roman"/>
        </w:rPr>
        <w:lastRenderedPageBreak/>
        <w:t>out</w:t>
      </w:r>
      <w:proofErr w:type="spellEnd"/>
      <w:r w:rsidR="00875694" w:rsidRPr="00705170">
        <w:rPr>
          <w:rFonts w:ascii="Times New Roman" w:hAnsi="Times New Roman" w:cs="Times New Roman"/>
        </w:rPr>
        <w:t xml:space="preserve"> of </w:t>
      </w:r>
      <w:proofErr w:type="spellStart"/>
      <w:r w:rsidR="00875694" w:rsidRPr="00705170">
        <w:rPr>
          <w:rFonts w:ascii="Times New Roman" w:hAnsi="Times New Roman" w:cs="Times New Roman"/>
        </w:rPr>
        <w:t>any</w:t>
      </w:r>
      <w:proofErr w:type="spellEnd"/>
      <w:r w:rsidR="00875694" w:rsidRPr="00705170">
        <w:rPr>
          <w:rFonts w:ascii="Times New Roman" w:hAnsi="Times New Roman" w:cs="Times New Roman"/>
        </w:rPr>
        <w:t xml:space="preserve"> </w:t>
      </w:r>
      <w:proofErr w:type="spellStart"/>
      <w:r w:rsidR="00875694" w:rsidRPr="00705170">
        <w:rPr>
          <w:rFonts w:ascii="Times New Roman" w:hAnsi="Times New Roman" w:cs="Times New Roman"/>
        </w:rPr>
        <w:t>profits</w:t>
      </w:r>
      <w:proofErr w:type="spellEnd"/>
      <w:r w:rsidR="00875694" w:rsidRPr="00705170">
        <w:rPr>
          <w:rFonts w:ascii="Times New Roman" w:hAnsi="Times New Roman" w:cs="Times New Roman"/>
        </w:rPr>
        <w:t xml:space="preserve"> </w:t>
      </w:r>
      <w:proofErr w:type="spellStart"/>
      <w:r w:rsidR="00875694" w:rsidRPr="00705170">
        <w:rPr>
          <w:rFonts w:ascii="Times New Roman" w:hAnsi="Times New Roman" w:cs="Times New Roman"/>
        </w:rPr>
        <w:t>formed</w:t>
      </w:r>
      <w:proofErr w:type="spellEnd"/>
      <w:r w:rsidR="00875694" w:rsidRPr="00705170">
        <w:rPr>
          <w:rFonts w:ascii="Times New Roman" w:hAnsi="Times New Roman" w:cs="Times New Roman"/>
        </w:rPr>
        <w:t xml:space="preserve"> in </w:t>
      </w:r>
      <w:proofErr w:type="spellStart"/>
      <w:r w:rsidR="00875694" w:rsidRPr="00705170">
        <w:rPr>
          <w:rFonts w:ascii="Times New Roman" w:hAnsi="Times New Roman" w:cs="Times New Roman"/>
        </w:rPr>
        <w:t>the</w:t>
      </w:r>
      <w:proofErr w:type="spellEnd"/>
      <w:r w:rsidR="00875694" w:rsidRPr="00705170">
        <w:rPr>
          <w:rFonts w:ascii="Times New Roman" w:hAnsi="Times New Roman" w:cs="Times New Roman"/>
        </w:rPr>
        <w:t xml:space="preserve"> </w:t>
      </w:r>
      <w:proofErr w:type="spellStart"/>
      <w:r w:rsidR="00875694"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justified</w:t>
      </w:r>
      <w:proofErr w:type="spellEnd"/>
      <w:r w:rsidR="00351627" w:rsidRPr="00705170">
        <w:rPr>
          <w:rFonts w:ascii="Times New Roman" w:hAnsi="Times New Roman" w:cs="Times New Roman"/>
        </w:rPr>
        <w:t xml:space="preserve"> </w:t>
      </w:r>
      <w:proofErr w:type="spellStart"/>
      <w:r w:rsidR="00351627" w:rsidRPr="00705170">
        <w:rPr>
          <w:rFonts w:ascii="Times New Roman" w:hAnsi="Times New Roman" w:cs="Times New Roman"/>
        </w:rPr>
        <w:t>by</w:t>
      </w:r>
      <w:proofErr w:type="spellEnd"/>
      <w:r w:rsidR="00351627" w:rsidRPr="00705170">
        <w:rPr>
          <w:rFonts w:ascii="Times New Roman" w:hAnsi="Times New Roman" w:cs="Times New Roman"/>
        </w:rPr>
        <w:t xml:space="preserve"> </w:t>
      </w:r>
      <w:proofErr w:type="spellStart"/>
      <w:r w:rsidR="00351627" w:rsidRPr="00705170">
        <w:rPr>
          <w:rFonts w:ascii="Times New Roman" w:hAnsi="Times New Roman" w:cs="Times New Roman"/>
        </w:rPr>
        <w:t>relying</w:t>
      </w:r>
      <w:proofErr w:type="spellEnd"/>
      <w:r w:rsidR="00351627" w:rsidRPr="00705170">
        <w:rPr>
          <w:rFonts w:ascii="Times New Roman" w:hAnsi="Times New Roman" w:cs="Times New Roman"/>
        </w:rPr>
        <w:t xml:space="preserve"> </w:t>
      </w:r>
      <w:r w:rsidRPr="00705170">
        <w:rPr>
          <w:rFonts w:ascii="Times New Roman" w:hAnsi="Times New Roman" w:cs="Times New Roman"/>
        </w:rPr>
        <w:t xml:space="preserve">on </w:t>
      </w:r>
      <w:proofErr w:type="spellStart"/>
      <w:r w:rsidR="00351627" w:rsidRPr="00705170">
        <w:rPr>
          <w:rFonts w:ascii="Times New Roman" w:hAnsi="Times New Roman" w:cs="Times New Roman"/>
        </w:rPr>
        <w:t>the</w:t>
      </w:r>
      <w:proofErr w:type="spellEnd"/>
      <w:r w:rsidR="00351627" w:rsidRPr="00705170">
        <w:rPr>
          <w:rFonts w:ascii="Times New Roman" w:hAnsi="Times New Roman" w:cs="Times New Roman"/>
        </w:rPr>
        <w:t xml:space="preserve"> </w:t>
      </w:r>
      <w:proofErr w:type="spellStart"/>
      <w:r w:rsidR="00351627" w:rsidRPr="00705170">
        <w:rPr>
          <w:rFonts w:ascii="Times New Roman" w:hAnsi="Times New Roman" w:cs="Times New Roman"/>
        </w:rPr>
        <w:t>statutory</w:t>
      </w:r>
      <w:proofErr w:type="spellEnd"/>
      <w:r w:rsidR="00351627" w:rsidRPr="00705170">
        <w:rPr>
          <w:rFonts w:ascii="Times New Roman" w:hAnsi="Times New Roman" w:cs="Times New Roman"/>
        </w:rPr>
        <w:t xml:space="preserve"> </w:t>
      </w:r>
      <w:proofErr w:type="spellStart"/>
      <w:r w:rsidR="00351627" w:rsidRPr="00705170">
        <w:rPr>
          <w:rFonts w:ascii="Times New Roman" w:hAnsi="Times New Roman" w:cs="Times New Roman"/>
        </w:rPr>
        <w:t>grounds</w:t>
      </w:r>
      <w:proofErr w:type="spellEnd"/>
      <w:r w:rsidR="00351627" w:rsidRPr="00705170">
        <w:rPr>
          <w:rFonts w:ascii="Times New Roman" w:hAnsi="Times New Roman" w:cs="Times New Roman"/>
        </w:rPr>
        <w:t xml:space="preserve"> </w:t>
      </w:r>
      <w:proofErr w:type="spellStart"/>
      <w:r w:rsidR="00351627" w:rsidRPr="00705170">
        <w:rPr>
          <w:rFonts w:ascii="Times New Roman" w:hAnsi="Times New Roman" w:cs="Times New Roman"/>
        </w:rPr>
        <w:t>such</w:t>
      </w:r>
      <w:proofErr w:type="spellEnd"/>
      <w:r w:rsidR="00351627" w:rsidRPr="00705170">
        <w:rPr>
          <w:rFonts w:ascii="Times New Roman" w:hAnsi="Times New Roman" w:cs="Times New Roman"/>
        </w:rPr>
        <w:t xml:space="preserve"> </w:t>
      </w:r>
      <w:r w:rsidR="00F11064" w:rsidRPr="00705170">
        <w:rPr>
          <w:rFonts w:ascii="Times New Roman" w:hAnsi="Times New Roman" w:cs="Times New Roman"/>
        </w:rPr>
        <w:t>as</w:t>
      </w:r>
      <w:r w:rsidR="00F11064"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reasons</w:t>
      </w:r>
      <w:proofErr w:type="spellEnd"/>
      <w:r w:rsidRPr="00705170">
        <w:rPr>
          <w:rFonts w:ascii="Times New Roman" w:hAnsi="Times New Roman" w:cs="Times New Roman"/>
          <w:color w:val="000000" w:themeColor="text1"/>
        </w:rPr>
        <w:t xml:space="preserve"> </w:t>
      </w:r>
      <w:proofErr w:type="spellStart"/>
      <w:r w:rsidR="00F11064" w:rsidRPr="00705170">
        <w:rPr>
          <w:rFonts w:ascii="Times New Roman" w:hAnsi="Times New Roman" w:cs="Times New Roman"/>
          <w:color w:val="000000" w:themeColor="text1"/>
        </w:rPr>
        <w:t>to</w:t>
      </w:r>
      <w:proofErr w:type="spellEnd"/>
      <w:r w:rsidR="00F11064" w:rsidRPr="00705170">
        <w:rPr>
          <w:rFonts w:ascii="Times New Roman" w:hAnsi="Times New Roman" w:cs="Times New Roman"/>
          <w:color w:val="000000" w:themeColor="text1"/>
        </w:rPr>
        <w:t xml:space="preserve"> </w:t>
      </w:r>
      <w:proofErr w:type="spellStart"/>
      <w:r w:rsidR="00F11064" w:rsidRPr="00705170">
        <w:rPr>
          <w:rFonts w:ascii="Times New Roman" w:hAnsi="Times New Roman" w:cs="Times New Roman"/>
          <w:color w:val="000000" w:themeColor="text1"/>
        </w:rPr>
        <w:t>increase</w:t>
      </w:r>
      <w:proofErr w:type="spellEnd"/>
      <w:r w:rsidR="00F11064" w:rsidRPr="00705170">
        <w:rPr>
          <w:rFonts w:ascii="Times New Roman" w:hAnsi="Times New Roman" w:cs="Times New Roman"/>
          <w:color w:val="000000" w:themeColor="text1"/>
        </w:rPr>
        <w:t xml:space="preserve"> </w:t>
      </w:r>
      <w:proofErr w:type="spellStart"/>
      <w:r w:rsidR="00F11064" w:rsidRPr="00705170">
        <w:rPr>
          <w:rFonts w:ascii="Times New Roman" w:hAnsi="Times New Roman" w:cs="Times New Roman"/>
          <w:color w:val="000000" w:themeColor="text1"/>
        </w:rPr>
        <w:t>long</w:t>
      </w:r>
      <w:proofErr w:type="spellEnd"/>
      <w:r w:rsidR="00F11064" w:rsidRPr="00705170">
        <w:rPr>
          <w:rFonts w:ascii="Times New Roman" w:hAnsi="Times New Roman" w:cs="Times New Roman"/>
          <w:color w:val="000000" w:themeColor="text1"/>
        </w:rPr>
        <w:t xml:space="preserve">- </w:t>
      </w:r>
      <w:proofErr w:type="spellStart"/>
      <w:r w:rsidR="00F11064" w:rsidRPr="00705170">
        <w:rPr>
          <w:rFonts w:ascii="Times New Roman" w:hAnsi="Times New Roman" w:cs="Times New Roman"/>
          <w:color w:val="000000" w:themeColor="text1"/>
        </w:rPr>
        <w:t>term</w:t>
      </w:r>
      <w:proofErr w:type="spellEnd"/>
      <w:r w:rsidR="00F11064" w:rsidRPr="00705170">
        <w:rPr>
          <w:rFonts w:ascii="Times New Roman" w:hAnsi="Times New Roman" w:cs="Times New Roman"/>
          <w:color w:val="000000" w:themeColor="text1"/>
        </w:rPr>
        <w:t xml:space="preserve"> </w:t>
      </w:r>
      <w:proofErr w:type="spellStart"/>
      <w:r w:rsidR="00F11064" w:rsidRPr="00705170">
        <w:rPr>
          <w:rFonts w:ascii="Times New Roman" w:hAnsi="Times New Roman" w:cs="Times New Roman"/>
          <w:color w:val="000000" w:themeColor="text1"/>
        </w:rPr>
        <w:t>profitability</w:t>
      </w:r>
      <w:proofErr w:type="spellEnd"/>
      <w:r w:rsidR="00F11064" w:rsidRPr="00705170">
        <w:rPr>
          <w:rFonts w:ascii="Times New Roman" w:hAnsi="Times New Roman" w:cs="Times New Roman"/>
          <w:color w:val="000000" w:themeColor="text1"/>
        </w:rPr>
        <w:t xml:space="preserve"> </w:t>
      </w:r>
      <w:proofErr w:type="spellStart"/>
      <w:r w:rsidR="00F11064" w:rsidRPr="00705170">
        <w:rPr>
          <w:rFonts w:ascii="Times New Roman" w:hAnsi="Times New Roman" w:cs="Times New Roman"/>
          <w:color w:val="000000" w:themeColor="text1"/>
        </w:rPr>
        <w:t>and</w:t>
      </w:r>
      <w:proofErr w:type="spellEnd"/>
      <w:r w:rsidR="00F11064" w:rsidRPr="00705170">
        <w:rPr>
          <w:rFonts w:ascii="Times New Roman" w:hAnsi="Times New Roman" w:cs="Times New Roman"/>
          <w:color w:val="000000" w:themeColor="text1"/>
        </w:rPr>
        <w:t xml:space="preserve"> </w:t>
      </w:r>
      <w:proofErr w:type="spellStart"/>
      <w:r w:rsidR="00F11064" w:rsidRPr="00705170">
        <w:rPr>
          <w:rFonts w:ascii="Times New Roman" w:hAnsi="Times New Roman" w:cs="Times New Roman"/>
          <w:color w:val="000000" w:themeColor="text1"/>
        </w:rPr>
        <w:t>dividends</w:t>
      </w:r>
      <w:proofErr w:type="spellEnd"/>
      <w:r w:rsidR="00351627" w:rsidRPr="00705170">
        <w:rPr>
          <w:rFonts w:ascii="Times New Roman" w:hAnsi="Times New Roman" w:cs="Times New Roman"/>
        </w:rPr>
        <w:t xml:space="preserve"> (TCC </w:t>
      </w:r>
      <w:proofErr w:type="spellStart"/>
      <w:r w:rsidR="00351627" w:rsidRPr="00705170">
        <w:rPr>
          <w:rFonts w:ascii="Times New Roman" w:hAnsi="Times New Roman" w:cs="Times New Roman"/>
        </w:rPr>
        <w:t>Article</w:t>
      </w:r>
      <w:proofErr w:type="spellEnd"/>
      <w:r w:rsidR="00351627" w:rsidRPr="00705170">
        <w:rPr>
          <w:rFonts w:ascii="Times New Roman" w:hAnsi="Times New Roman" w:cs="Times New Roman"/>
        </w:rPr>
        <w:t xml:space="preserve"> 523)</w:t>
      </w:r>
      <w:r w:rsidR="003622AC" w:rsidRPr="00705170">
        <w:rPr>
          <w:rStyle w:val="DipnotBavurusu"/>
          <w:rFonts w:ascii="Times New Roman" w:hAnsi="Times New Roman" w:cs="Times New Roman"/>
        </w:rPr>
        <w:footnoteReference w:id="486"/>
      </w:r>
      <w:r w:rsidR="0058070B" w:rsidRPr="00705170">
        <w:rPr>
          <w:rFonts w:ascii="Times New Roman" w:hAnsi="Times New Roman" w:cs="Times New Roman"/>
        </w:rPr>
        <w:t xml:space="preserve">. </w:t>
      </w:r>
      <w:proofErr w:type="spellStart"/>
      <w:r w:rsidR="0058070B" w:rsidRPr="00705170">
        <w:rPr>
          <w:rFonts w:ascii="Times New Roman" w:hAnsi="Times New Roman" w:cs="Times New Roman"/>
        </w:rPr>
        <w:t>Then</w:t>
      </w:r>
      <w:proofErr w:type="spellEnd"/>
      <w:r w:rsidR="0058070B" w:rsidRPr="00705170">
        <w:rPr>
          <w:rFonts w:ascii="Times New Roman" w:hAnsi="Times New Roman" w:cs="Times New Roman"/>
        </w:rPr>
        <w:t xml:space="preserve">, </w:t>
      </w:r>
      <w:proofErr w:type="spellStart"/>
      <w:r w:rsidR="0058070B" w:rsidRPr="00705170">
        <w:rPr>
          <w:rFonts w:ascii="Times New Roman" w:hAnsi="Times New Roman" w:cs="Times New Roman"/>
        </w:rPr>
        <w:t>both</w:t>
      </w:r>
      <w:proofErr w:type="spellEnd"/>
      <w:r w:rsidR="0058070B" w:rsidRPr="00705170">
        <w:rPr>
          <w:rFonts w:ascii="Times New Roman" w:hAnsi="Times New Roman" w:cs="Times New Roman"/>
        </w:rPr>
        <w:t xml:space="preserve"> in </w:t>
      </w:r>
      <w:proofErr w:type="spellStart"/>
      <w:r w:rsidR="0058070B" w:rsidRPr="00705170">
        <w:rPr>
          <w:rFonts w:ascii="Times New Roman" w:hAnsi="Times New Roman" w:cs="Times New Roman"/>
        </w:rPr>
        <w:t>Turkey</w:t>
      </w:r>
      <w:proofErr w:type="spellEnd"/>
      <w:r w:rsidR="0058070B" w:rsidRPr="00705170">
        <w:rPr>
          <w:rFonts w:ascii="Times New Roman" w:hAnsi="Times New Roman" w:cs="Times New Roman"/>
        </w:rPr>
        <w:t xml:space="preserve"> </w:t>
      </w:r>
      <w:proofErr w:type="spellStart"/>
      <w:r w:rsidR="0058070B" w:rsidRPr="00705170">
        <w:rPr>
          <w:rFonts w:ascii="Times New Roman" w:hAnsi="Times New Roman" w:cs="Times New Roman"/>
        </w:rPr>
        <w:t>and</w:t>
      </w:r>
      <w:proofErr w:type="spellEnd"/>
      <w:r w:rsidR="0058070B" w:rsidRPr="00705170">
        <w:rPr>
          <w:rFonts w:ascii="Times New Roman" w:hAnsi="Times New Roman" w:cs="Times New Roman"/>
        </w:rPr>
        <w:t xml:space="preserve"> U.S.</w:t>
      </w:r>
      <w:r w:rsidR="007E5068" w:rsidRPr="00705170">
        <w:rPr>
          <w:rFonts w:ascii="Times New Roman" w:hAnsi="Times New Roman" w:cs="Times New Roman"/>
        </w:rPr>
        <w:t xml:space="preserve">, an </w:t>
      </w:r>
      <w:proofErr w:type="spellStart"/>
      <w:r w:rsidR="007E5068" w:rsidRPr="00705170">
        <w:rPr>
          <w:rFonts w:ascii="Times New Roman" w:hAnsi="Times New Roman" w:cs="Times New Roman"/>
        </w:rPr>
        <w:t>investor</w:t>
      </w:r>
      <w:proofErr w:type="spellEnd"/>
      <w:r w:rsidR="007E5068" w:rsidRPr="00705170">
        <w:rPr>
          <w:rFonts w:ascii="Times New Roman" w:hAnsi="Times New Roman" w:cs="Times New Roman"/>
        </w:rPr>
        <w:t xml:space="preserve"> </w:t>
      </w:r>
      <w:proofErr w:type="spellStart"/>
      <w:r w:rsidR="007E5068" w:rsidRPr="00705170">
        <w:rPr>
          <w:rFonts w:ascii="Times New Roman" w:hAnsi="Times New Roman" w:cs="Times New Roman"/>
        </w:rPr>
        <w:t>buying</w:t>
      </w:r>
      <w:proofErr w:type="spellEnd"/>
      <w:r w:rsidR="007E5068" w:rsidRPr="00705170">
        <w:rPr>
          <w:rFonts w:ascii="Times New Roman" w:hAnsi="Times New Roman" w:cs="Times New Roman"/>
        </w:rPr>
        <w:t xml:space="preserve"> </w:t>
      </w:r>
      <w:proofErr w:type="spellStart"/>
      <w:r w:rsidR="007E5068" w:rsidRPr="00705170">
        <w:rPr>
          <w:rFonts w:ascii="Times New Roman" w:hAnsi="Times New Roman" w:cs="Times New Roman"/>
        </w:rPr>
        <w:t>shares</w:t>
      </w:r>
      <w:proofErr w:type="spellEnd"/>
      <w:r w:rsidR="007E5068" w:rsidRPr="00705170">
        <w:rPr>
          <w:rFonts w:ascii="Times New Roman" w:hAnsi="Times New Roman" w:cs="Times New Roman"/>
        </w:rPr>
        <w:t xml:space="preserve"> </w:t>
      </w:r>
      <w:proofErr w:type="spellStart"/>
      <w:r w:rsidR="007E5068" w:rsidRPr="00705170">
        <w:rPr>
          <w:rFonts w:ascii="Times New Roman" w:hAnsi="Times New Roman" w:cs="Times New Roman"/>
        </w:rPr>
        <w:t>knows</w:t>
      </w:r>
      <w:proofErr w:type="spellEnd"/>
      <w:r w:rsidR="007E5068" w:rsidRPr="00705170">
        <w:rPr>
          <w:rFonts w:ascii="Times New Roman" w:hAnsi="Times New Roman" w:cs="Times New Roman"/>
        </w:rPr>
        <w:t xml:space="preserve"> </w:t>
      </w:r>
      <w:proofErr w:type="spellStart"/>
      <w:r w:rsidR="007E5068" w:rsidRPr="00705170">
        <w:rPr>
          <w:rFonts w:ascii="Times New Roman" w:hAnsi="Times New Roman" w:cs="Times New Roman"/>
        </w:rPr>
        <w:t>that</w:t>
      </w:r>
      <w:proofErr w:type="spellEnd"/>
      <w:r w:rsidR="007E5068" w:rsidRPr="00705170">
        <w:rPr>
          <w:rFonts w:ascii="Times New Roman" w:hAnsi="Times New Roman" w:cs="Times New Roman"/>
        </w:rPr>
        <w:t xml:space="preserve"> he </w:t>
      </w:r>
      <w:proofErr w:type="spellStart"/>
      <w:r w:rsidR="007E5068" w:rsidRPr="00705170">
        <w:rPr>
          <w:rFonts w:ascii="Times New Roman" w:hAnsi="Times New Roman" w:cs="Times New Roman"/>
        </w:rPr>
        <w:t>does</w:t>
      </w:r>
      <w:proofErr w:type="spellEnd"/>
      <w:r w:rsidR="007E5068" w:rsidRPr="00705170">
        <w:rPr>
          <w:rFonts w:ascii="Times New Roman" w:hAnsi="Times New Roman" w:cs="Times New Roman"/>
        </w:rPr>
        <w:t xml:space="preserve"> not </w:t>
      </w:r>
      <w:proofErr w:type="spellStart"/>
      <w:r w:rsidR="007E5068" w:rsidRPr="00705170">
        <w:rPr>
          <w:rFonts w:ascii="Times New Roman" w:hAnsi="Times New Roman" w:cs="Times New Roman"/>
        </w:rPr>
        <w:t>hav</w:t>
      </w:r>
      <w:r w:rsidRPr="00705170">
        <w:rPr>
          <w:rFonts w:ascii="Times New Roman" w:hAnsi="Times New Roman" w:cs="Times New Roman"/>
        </w:rPr>
        <w:t>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dividend</w:t>
      </w:r>
      <w:proofErr w:type="spellEnd"/>
      <w:r w:rsidR="007E5068" w:rsidRPr="00705170">
        <w:rPr>
          <w:rFonts w:ascii="Times New Roman" w:hAnsi="Times New Roman" w:cs="Times New Roman"/>
        </w:rPr>
        <w:t xml:space="preserve"> </w:t>
      </w:r>
      <w:proofErr w:type="spellStart"/>
      <w:r w:rsidR="007E5068" w:rsidRPr="00705170">
        <w:rPr>
          <w:rFonts w:ascii="Times New Roman" w:hAnsi="Times New Roman" w:cs="Times New Roman"/>
        </w:rPr>
        <w:t>unless</w:t>
      </w:r>
      <w:proofErr w:type="spellEnd"/>
      <w:r w:rsidR="007E5068" w:rsidRPr="00705170">
        <w:rPr>
          <w:rFonts w:ascii="Times New Roman" w:hAnsi="Times New Roman" w:cs="Times New Roman"/>
        </w:rPr>
        <w:t xml:space="preserve"> it is </w:t>
      </w:r>
      <w:proofErr w:type="spellStart"/>
      <w:r w:rsidR="007E5068" w:rsidRPr="00705170">
        <w:rPr>
          <w:rFonts w:ascii="Times New Roman" w:hAnsi="Times New Roman" w:cs="Times New Roman"/>
        </w:rPr>
        <w:t>declared</w:t>
      </w:r>
      <w:proofErr w:type="spellEnd"/>
      <w:r w:rsidR="007E5068" w:rsidRPr="00705170">
        <w:rPr>
          <w:rStyle w:val="DipnotBavurusu"/>
          <w:rFonts w:ascii="Times New Roman" w:hAnsi="Times New Roman" w:cs="Times New Roman"/>
        </w:rPr>
        <w:footnoteReference w:id="487"/>
      </w:r>
      <w:r w:rsidR="007E5068" w:rsidRPr="00705170">
        <w:rPr>
          <w:rFonts w:ascii="Times New Roman" w:hAnsi="Times New Roman" w:cs="Times New Roman"/>
        </w:rPr>
        <w:t>.</w:t>
      </w:r>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However</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the</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differing</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delegation</w:t>
      </w:r>
      <w:proofErr w:type="spellEnd"/>
      <w:r w:rsidR="00382327" w:rsidRPr="00705170">
        <w:rPr>
          <w:rFonts w:ascii="Times New Roman" w:hAnsi="Times New Roman" w:cs="Times New Roman"/>
        </w:rPr>
        <w:t xml:space="preserve"> of </w:t>
      </w:r>
      <w:proofErr w:type="spellStart"/>
      <w:r w:rsidR="00382327" w:rsidRPr="00705170">
        <w:rPr>
          <w:rFonts w:ascii="Times New Roman" w:hAnsi="Times New Roman" w:cs="Times New Roman"/>
        </w:rPr>
        <w:t>the</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power</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regarding</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the</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dividend</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declaration</w:t>
      </w:r>
      <w:proofErr w:type="spellEnd"/>
      <w:r w:rsidR="00382327" w:rsidRPr="00705170">
        <w:rPr>
          <w:rFonts w:ascii="Times New Roman" w:hAnsi="Times New Roman" w:cs="Times New Roman"/>
        </w:rPr>
        <w:t xml:space="preserve"> in Delaware (board of </w:t>
      </w:r>
      <w:proofErr w:type="spellStart"/>
      <w:r w:rsidR="00382327" w:rsidRPr="00705170">
        <w:rPr>
          <w:rFonts w:ascii="Times New Roman" w:hAnsi="Times New Roman" w:cs="Times New Roman"/>
        </w:rPr>
        <w:t>directors</w:t>
      </w:r>
      <w:proofErr w:type="spellEnd"/>
      <w:r w:rsidR="00382327"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Turkey</w:t>
      </w:r>
      <w:proofErr w:type="spellEnd"/>
      <w:r w:rsidRPr="00705170">
        <w:rPr>
          <w:rFonts w:ascii="Times New Roman" w:hAnsi="Times New Roman" w:cs="Times New Roman"/>
        </w:rPr>
        <w:t xml:space="preserve"> (</w:t>
      </w:r>
      <w:r w:rsidR="002B0602">
        <w:rPr>
          <w:rFonts w:ascii="Times New Roman" w:hAnsi="Times New Roman" w:cs="Times New Roman"/>
        </w:rPr>
        <w:t xml:space="preserve">general </w:t>
      </w:r>
      <w:proofErr w:type="spellStart"/>
      <w:r w:rsidR="002B0602">
        <w:rPr>
          <w:rFonts w:ascii="Times New Roman" w:hAnsi="Times New Roman" w:cs="Times New Roman"/>
        </w:rPr>
        <w:t>assembly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signals</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that</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economic</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benefit</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pursued</w:t>
      </w:r>
      <w:proofErr w:type="spellEnd"/>
      <w:r w:rsidR="00382327"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is </w:t>
      </w:r>
      <w:proofErr w:type="spellStart"/>
      <w:r w:rsidR="00382327" w:rsidRPr="00705170">
        <w:rPr>
          <w:rFonts w:ascii="Times New Roman" w:hAnsi="Times New Roman" w:cs="Times New Roman"/>
        </w:rPr>
        <w:t>aimed</w:t>
      </w:r>
      <w:proofErr w:type="spellEnd"/>
      <w:r w:rsidR="00382327" w:rsidRPr="00705170">
        <w:rPr>
          <w:rFonts w:ascii="Times New Roman" w:hAnsi="Times New Roman" w:cs="Times New Roman"/>
        </w:rPr>
        <w:t xml:space="preserve"> at </w:t>
      </w:r>
      <w:proofErr w:type="spellStart"/>
      <w:r w:rsidR="00382327" w:rsidRPr="00705170">
        <w:rPr>
          <w:rFonts w:ascii="Times New Roman" w:hAnsi="Times New Roman" w:cs="Times New Roman"/>
        </w:rPr>
        <w:t>returning</w:t>
      </w:r>
      <w:proofErr w:type="spellEnd"/>
      <w:r w:rsidR="00382327" w:rsidRPr="00705170">
        <w:rPr>
          <w:rFonts w:ascii="Times New Roman" w:hAnsi="Times New Roman" w:cs="Times New Roman"/>
        </w:rPr>
        <w:t xml:space="preserve"> </w:t>
      </w:r>
      <w:proofErr w:type="spellStart"/>
      <w:r w:rsidRPr="00705170">
        <w:rPr>
          <w:rFonts w:ascii="Times New Roman" w:hAnsi="Times New Roman" w:cs="Times New Roman"/>
        </w:rPr>
        <w:t>much</w:t>
      </w:r>
      <w:proofErr w:type="spellEnd"/>
      <w:r w:rsidRPr="00705170">
        <w:rPr>
          <w:rFonts w:ascii="Times New Roman" w:hAnsi="Times New Roman" w:cs="Times New Roman"/>
        </w:rPr>
        <w:t xml:space="preserve"> of </w:t>
      </w:r>
      <w:r w:rsidR="00382327" w:rsidRPr="00705170">
        <w:rPr>
          <w:rFonts w:ascii="Times New Roman" w:hAnsi="Times New Roman" w:cs="Times New Roman"/>
        </w:rPr>
        <w:t xml:space="preserve">it </w:t>
      </w:r>
      <w:proofErr w:type="spellStart"/>
      <w:r w:rsidR="00382327" w:rsidRPr="00705170">
        <w:rPr>
          <w:rFonts w:ascii="Times New Roman" w:hAnsi="Times New Roman" w:cs="Times New Roman"/>
        </w:rPr>
        <w:t>to</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the</w:t>
      </w:r>
      <w:proofErr w:type="spellEnd"/>
      <w:r w:rsidR="00382327" w:rsidRPr="00705170">
        <w:rPr>
          <w:rFonts w:ascii="Times New Roman" w:hAnsi="Times New Roman" w:cs="Times New Roman"/>
        </w:rPr>
        <w:t xml:space="preserve"> </w:t>
      </w:r>
      <w:proofErr w:type="spellStart"/>
      <w:r w:rsidR="00382327" w:rsidRPr="00705170">
        <w:rPr>
          <w:rFonts w:ascii="Times New Roman" w:hAnsi="Times New Roman" w:cs="Times New Roman"/>
        </w:rPr>
        <w:t>shareholders</w:t>
      </w:r>
      <w:proofErr w:type="spellEnd"/>
      <w:r w:rsidR="00382327" w:rsidRPr="00705170">
        <w:rPr>
          <w:rFonts w:ascii="Times New Roman" w:hAnsi="Times New Roman" w:cs="Times New Roman"/>
        </w:rPr>
        <w:t xml:space="preserve"> in </w:t>
      </w:r>
      <w:proofErr w:type="spellStart"/>
      <w:r w:rsidR="00382327" w:rsidRPr="00705170">
        <w:rPr>
          <w:rFonts w:ascii="Times New Roman" w:hAnsi="Times New Roman" w:cs="Times New Roman"/>
        </w:rPr>
        <w:t>Turkey</w:t>
      </w:r>
      <w:proofErr w:type="spellEnd"/>
      <w:r w:rsidR="00382327" w:rsidRPr="00705170">
        <w:rPr>
          <w:rFonts w:ascii="Times New Roman" w:hAnsi="Times New Roman" w:cs="Times New Roman"/>
        </w:rPr>
        <w:t>.</w:t>
      </w:r>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Corollary</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different</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than</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the</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share</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investors</w:t>
      </w:r>
      <w:proofErr w:type="spellEnd"/>
      <w:r w:rsidR="0061728D" w:rsidRPr="00705170">
        <w:rPr>
          <w:rFonts w:ascii="Times New Roman" w:hAnsi="Times New Roman" w:cs="Times New Roman"/>
        </w:rPr>
        <w:t xml:space="preserve"> of a Delaware </w:t>
      </w:r>
      <w:proofErr w:type="spellStart"/>
      <w:r w:rsidR="0061728D" w:rsidRPr="00705170">
        <w:rPr>
          <w:rFonts w:ascii="Times New Roman" w:hAnsi="Times New Roman" w:cs="Times New Roman"/>
        </w:rPr>
        <w:t>corporation</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investors</w:t>
      </w:r>
      <w:proofErr w:type="spellEnd"/>
      <w:r w:rsidR="0061728D" w:rsidRPr="00705170">
        <w:rPr>
          <w:rFonts w:ascii="Times New Roman" w:hAnsi="Times New Roman" w:cs="Times New Roman"/>
        </w:rPr>
        <w:t xml:space="preserve"> in </w:t>
      </w:r>
      <w:proofErr w:type="spellStart"/>
      <w:r w:rsidR="0061728D" w:rsidRPr="00705170">
        <w:rPr>
          <w:rFonts w:ascii="Times New Roman" w:hAnsi="Times New Roman" w:cs="Times New Roman"/>
        </w:rPr>
        <w:t>Turkish</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corporations</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know</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that</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the</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destiny</w:t>
      </w:r>
      <w:proofErr w:type="spellEnd"/>
      <w:r w:rsidR="0061728D" w:rsidRPr="00705170">
        <w:rPr>
          <w:rFonts w:ascii="Times New Roman" w:hAnsi="Times New Roman" w:cs="Times New Roman"/>
        </w:rPr>
        <w:t xml:space="preserve"> of </w:t>
      </w:r>
      <w:proofErr w:type="spellStart"/>
      <w:r w:rsidR="0061728D" w:rsidRPr="00705170">
        <w:rPr>
          <w:rFonts w:ascii="Times New Roman" w:hAnsi="Times New Roman" w:cs="Times New Roman"/>
        </w:rPr>
        <w:t>the</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economic</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benefit</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accrued</w:t>
      </w:r>
      <w:proofErr w:type="spellEnd"/>
      <w:r w:rsidR="0061728D" w:rsidRPr="00705170">
        <w:rPr>
          <w:rFonts w:ascii="Times New Roman" w:hAnsi="Times New Roman" w:cs="Times New Roman"/>
        </w:rPr>
        <w:t xml:space="preserve"> is in </w:t>
      </w:r>
      <w:proofErr w:type="spellStart"/>
      <w:r w:rsidR="0061728D" w:rsidRPr="00705170">
        <w:rPr>
          <w:rFonts w:ascii="Times New Roman" w:hAnsi="Times New Roman" w:cs="Times New Roman"/>
        </w:rPr>
        <w:t>their</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own</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hands</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and</w:t>
      </w:r>
      <w:proofErr w:type="spellEnd"/>
      <w:r w:rsidR="0061728D" w:rsidRPr="00705170">
        <w:rPr>
          <w:rFonts w:ascii="Times New Roman" w:hAnsi="Times New Roman" w:cs="Times New Roman"/>
        </w:rPr>
        <w:t xml:space="preserve"> it is </w:t>
      </w:r>
      <w:proofErr w:type="spellStart"/>
      <w:r w:rsidR="0061728D" w:rsidRPr="00705170">
        <w:rPr>
          <w:rFonts w:ascii="Times New Roman" w:hAnsi="Times New Roman" w:cs="Times New Roman"/>
        </w:rPr>
        <w:t>highly</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likely</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that</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they</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will</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decide</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to</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distribute</w:t>
      </w:r>
      <w:proofErr w:type="spellEnd"/>
      <w:r w:rsidR="0061728D" w:rsidRPr="00705170">
        <w:rPr>
          <w:rFonts w:ascii="Times New Roman" w:hAnsi="Times New Roman" w:cs="Times New Roman"/>
        </w:rPr>
        <w:t xml:space="preserve"> it </w:t>
      </w:r>
      <w:proofErr w:type="spellStart"/>
      <w:r w:rsidR="0061728D" w:rsidRPr="00705170">
        <w:rPr>
          <w:rFonts w:ascii="Times New Roman" w:hAnsi="Times New Roman" w:cs="Times New Roman"/>
        </w:rPr>
        <w:t>among</w:t>
      </w:r>
      <w:proofErr w:type="spellEnd"/>
      <w:r w:rsidR="0061728D" w:rsidRPr="00705170">
        <w:rPr>
          <w:rFonts w:ascii="Times New Roman" w:hAnsi="Times New Roman" w:cs="Times New Roman"/>
        </w:rPr>
        <w:t xml:space="preserve"> </w:t>
      </w:r>
      <w:proofErr w:type="spellStart"/>
      <w:r w:rsidR="0061728D" w:rsidRPr="00705170">
        <w:rPr>
          <w:rFonts w:ascii="Times New Roman" w:hAnsi="Times New Roman" w:cs="Times New Roman"/>
        </w:rPr>
        <w:t>themselves</w:t>
      </w:r>
      <w:proofErr w:type="spellEnd"/>
      <w:r w:rsidR="0061728D" w:rsidRPr="00705170">
        <w:rPr>
          <w:rFonts w:ascii="Times New Roman" w:hAnsi="Times New Roman" w:cs="Times New Roman"/>
        </w:rPr>
        <w:t>.</w:t>
      </w:r>
    </w:p>
    <w:p w14:paraId="235417C6" w14:textId="27F5ABF8" w:rsidR="000A48CA" w:rsidRPr="00705170" w:rsidRDefault="00B1670C" w:rsidP="00D62CBD">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Then</w:t>
      </w:r>
      <w:proofErr w:type="spellEnd"/>
      <w:r w:rsidRPr="00705170">
        <w:rPr>
          <w:rFonts w:ascii="Times New Roman" w:hAnsi="Times New Roman" w:cs="Times New Roman"/>
        </w:rPr>
        <w:t xml:space="preserve">, it can be </w:t>
      </w:r>
      <w:proofErr w:type="spellStart"/>
      <w:r w:rsidRPr="00705170">
        <w:rPr>
          <w:rFonts w:ascii="Times New Roman" w:hAnsi="Times New Roman" w:cs="Times New Roman"/>
        </w:rPr>
        <w:t>stated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align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purpose</w:t>
      </w:r>
      <w:proofErr w:type="spellEnd"/>
      <w:r w:rsidRPr="00705170">
        <w:rPr>
          <w:rFonts w:ascii="Times New Roman" w:hAnsi="Times New Roman" w:cs="Times New Roman"/>
        </w:rPr>
        <w:t xml:space="preserve"> of </w:t>
      </w:r>
      <w:proofErr w:type="spellStart"/>
      <w:r w:rsidR="005C0778" w:rsidRPr="00705170">
        <w:rPr>
          <w:rFonts w:ascii="Times New Roman" w:hAnsi="Times New Roman" w:cs="Times New Roman"/>
        </w:rPr>
        <w:t>providing</w:t>
      </w:r>
      <w:proofErr w:type="spellEnd"/>
      <w:r w:rsidR="005C0778" w:rsidRPr="00705170">
        <w:rPr>
          <w:rFonts w:ascii="Times New Roman" w:hAnsi="Times New Roman" w:cs="Times New Roman"/>
        </w:rPr>
        <w:t xml:space="preserve"> (</w:t>
      </w:r>
      <w:proofErr w:type="spellStart"/>
      <w:r w:rsidR="005C0778" w:rsidRPr="00705170">
        <w:rPr>
          <w:rFonts w:ascii="Times New Roman" w:hAnsi="Times New Roman" w:cs="Times New Roman"/>
        </w:rPr>
        <w:t>and</w:t>
      </w:r>
      <w:proofErr w:type="spellEnd"/>
      <w:r w:rsidR="005C0778" w:rsidRPr="00705170">
        <w:rPr>
          <w:rFonts w:ascii="Times New Roman" w:hAnsi="Times New Roman" w:cs="Times New Roman"/>
        </w:rPr>
        <w:t xml:space="preserve"> </w:t>
      </w:r>
      <w:proofErr w:type="spellStart"/>
      <w:r w:rsidR="005C0778" w:rsidRPr="00705170">
        <w:rPr>
          <w:rFonts w:ascii="Times New Roman" w:hAnsi="Times New Roman" w:cs="Times New Roman"/>
        </w:rPr>
        <w:t>maximizing</w:t>
      </w:r>
      <w:proofErr w:type="spellEnd"/>
      <w:r w:rsidR="005C0778"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economic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r w:rsidR="000B7E3C" w:rsidRPr="00705170">
        <w:rPr>
          <w:rFonts w:ascii="Times New Roman" w:hAnsi="Times New Roman" w:cs="Times New Roman"/>
        </w:rPr>
        <w:t xml:space="preserve">be </w:t>
      </w:r>
      <w:proofErr w:type="spellStart"/>
      <w:r w:rsidR="000B7E3C" w:rsidRPr="00705170">
        <w:rPr>
          <w:rFonts w:ascii="Times New Roman" w:hAnsi="Times New Roman" w:cs="Times New Roman"/>
        </w:rPr>
        <w:t>e</w:t>
      </w:r>
      <w:r w:rsidR="00C72222" w:rsidRPr="00705170">
        <w:rPr>
          <w:rFonts w:ascii="Times New Roman" w:hAnsi="Times New Roman" w:cs="Times New Roman"/>
        </w:rPr>
        <w:t>ffecting</w:t>
      </w:r>
      <w:proofErr w:type="spellEnd"/>
      <w:r w:rsidR="00C72222" w:rsidRPr="00705170">
        <w:rPr>
          <w:rFonts w:ascii="Times New Roman" w:hAnsi="Times New Roman" w:cs="Times New Roman"/>
        </w:rPr>
        <w:t xml:space="preserve"> </w:t>
      </w:r>
      <w:proofErr w:type="spellStart"/>
      <w:r w:rsidR="00C72222" w:rsidRPr="00705170">
        <w:rPr>
          <w:rFonts w:ascii="Times New Roman" w:hAnsi="Times New Roman" w:cs="Times New Roman"/>
        </w:rPr>
        <w:t>shareholders</w:t>
      </w:r>
      <w:proofErr w:type="spellEnd"/>
      <w:r w:rsidR="00C72222" w:rsidRPr="00705170">
        <w:rPr>
          <w:rFonts w:ascii="Times New Roman" w:hAnsi="Times New Roman" w:cs="Times New Roman"/>
        </w:rPr>
        <w:t xml:space="preserve"> </w:t>
      </w:r>
      <w:proofErr w:type="spellStart"/>
      <w:r w:rsidR="00C72222" w:rsidRPr="00705170">
        <w:rPr>
          <w:rFonts w:ascii="Times New Roman" w:hAnsi="Times New Roman" w:cs="Times New Roman"/>
        </w:rPr>
        <w:t>right</w:t>
      </w:r>
      <w:proofErr w:type="spellEnd"/>
      <w:r w:rsidR="00C72222" w:rsidRPr="00705170">
        <w:rPr>
          <w:rFonts w:ascii="Times New Roman" w:hAnsi="Times New Roman" w:cs="Times New Roman"/>
        </w:rPr>
        <w:t xml:space="preserve"> </w:t>
      </w:r>
      <w:proofErr w:type="spellStart"/>
      <w:r w:rsidR="00C72222" w:rsidRPr="00705170">
        <w:rPr>
          <w:rFonts w:ascii="Times New Roman" w:hAnsi="Times New Roman" w:cs="Times New Roman"/>
        </w:rPr>
        <w:t>to</w:t>
      </w:r>
      <w:proofErr w:type="spellEnd"/>
      <w:r w:rsidR="00C72222" w:rsidRPr="00705170">
        <w:rPr>
          <w:rFonts w:ascii="Times New Roman" w:hAnsi="Times New Roman" w:cs="Times New Roman"/>
        </w:rPr>
        <w:t xml:space="preserve"> </w:t>
      </w:r>
      <w:proofErr w:type="spellStart"/>
      <w:r w:rsidR="00C72222" w:rsidRPr="00705170">
        <w:rPr>
          <w:rFonts w:ascii="Times New Roman" w:hAnsi="Times New Roman" w:cs="Times New Roman"/>
        </w:rPr>
        <w:t>dividend</w:t>
      </w:r>
      <w:proofErr w:type="spellEnd"/>
      <w:r w:rsidR="00C72222" w:rsidRPr="00705170">
        <w:rPr>
          <w:rFonts w:ascii="Times New Roman" w:hAnsi="Times New Roman" w:cs="Times New Roman"/>
        </w:rPr>
        <w:t xml:space="preserve"> </w:t>
      </w:r>
      <w:proofErr w:type="spellStart"/>
      <w:r w:rsidR="00C72222" w:rsidRPr="00705170">
        <w:rPr>
          <w:rFonts w:ascii="Times New Roman" w:hAnsi="Times New Roman" w:cs="Times New Roman"/>
        </w:rPr>
        <w:t>and</w:t>
      </w:r>
      <w:proofErr w:type="spellEnd"/>
      <w:r w:rsidR="00C72222" w:rsidRPr="00705170">
        <w:rPr>
          <w:rFonts w:ascii="Times New Roman" w:hAnsi="Times New Roman" w:cs="Times New Roman"/>
        </w:rPr>
        <w:t xml:space="preserve"> </w:t>
      </w:r>
      <w:proofErr w:type="spellStart"/>
      <w:r w:rsidR="00C72222" w:rsidRPr="00705170">
        <w:rPr>
          <w:rFonts w:ascii="Times New Roman" w:hAnsi="Times New Roman" w:cs="Times New Roman"/>
        </w:rPr>
        <w:t>may</w:t>
      </w:r>
      <w:proofErr w:type="spellEnd"/>
      <w:r w:rsidR="00C72222" w:rsidRPr="00705170">
        <w:rPr>
          <w:rFonts w:ascii="Times New Roman" w:hAnsi="Times New Roman" w:cs="Times New Roman"/>
        </w:rPr>
        <w:t xml:space="preserve"> </w:t>
      </w:r>
      <w:proofErr w:type="spellStart"/>
      <w:r w:rsidR="00C72222" w:rsidRPr="00705170">
        <w:rPr>
          <w:rFonts w:ascii="Times New Roman" w:hAnsi="Times New Roman" w:cs="Times New Roman"/>
        </w:rPr>
        <w:t>oppress</w:t>
      </w:r>
      <w:proofErr w:type="spellEnd"/>
      <w:r w:rsidR="00C72222" w:rsidRPr="00705170">
        <w:rPr>
          <w:rFonts w:ascii="Times New Roman" w:hAnsi="Times New Roman" w:cs="Times New Roman"/>
        </w:rPr>
        <w:t xml:space="preserve"> </w:t>
      </w:r>
      <w:proofErr w:type="spellStart"/>
      <w:r w:rsidR="00C72222" w:rsidRPr="00705170">
        <w:rPr>
          <w:rFonts w:ascii="Times New Roman" w:hAnsi="Times New Roman" w:cs="Times New Roman"/>
        </w:rPr>
        <w:t>them</w:t>
      </w:r>
      <w:proofErr w:type="spellEnd"/>
      <w:r w:rsidR="00C72222" w:rsidRPr="00705170">
        <w:rPr>
          <w:rFonts w:ascii="Times New Roman" w:hAnsi="Times New Roman" w:cs="Times New Roman"/>
        </w:rPr>
        <w:t xml:space="preserve"> </w:t>
      </w:r>
      <w:proofErr w:type="spellStart"/>
      <w:r w:rsidR="00C72222" w:rsidRPr="00705170">
        <w:rPr>
          <w:rFonts w:ascii="Times New Roman" w:hAnsi="Times New Roman" w:cs="Times New Roman"/>
        </w:rPr>
        <w:t>by</w:t>
      </w:r>
      <w:proofErr w:type="spellEnd"/>
      <w:r w:rsidR="00C72222" w:rsidRPr="00705170">
        <w:rPr>
          <w:rFonts w:ascii="Times New Roman" w:hAnsi="Times New Roman" w:cs="Times New Roman"/>
        </w:rPr>
        <w:t xml:space="preserve"> </w:t>
      </w:r>
      <w:proofErr w:type="spellStart"/>
      <w:r w:rsidR="00C72222" w:rsidRPr="00705170">
        <w:rPr>
          <w:rFonts w:ascii="Times New Roman" w:hAnsi="Times New Roman" w:cs="Times New Roman"/>
        </w:rPr>
        <w:t>frustrating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r w:rsidR="00C72222" w:rsidRPr="00705170">
        <w:rPr>
          <w:rFonts w:ascii="Times New Roman" w:hAnsi="Times New Roman" w:cs="Times New Roman"/>
        </w:rPr>
        <w:t>ir</w:t>
      </w:r>
      <w:proofErr w:type="spellEnd"/>
      <w:r w:rsidR="00C72222" w:rsidRPr="00705170">
        <w:rPr>
          <w:rFonts w:ascii="Times New Roman" w:hAnsi="Times New Roman" w:cs="Times New Roman"/>
        </w:rPr>
        <w:t xml:space="preserve"> </w:t>
      </w:r>
      <w:proofErr w:type="spellStart"/>
      <w:r w:rsidR="00C72222" w:rsidRPr="00705170">
        <w:rPr>
          <w:rFonts w:ascii="Times New Roman" w:hAnsi="Times New Roman" w:cs="Times New Roman"/>
        </w:rPr>
        <w:t>basic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w:t>
      </w:r>
      <w:proofErr w:type="spellEnd"/>
      <w:r w:rsidR="00B508FC" w:rsidRPr="00705170">
        <w:rPr>
          <w:rStyle w:val="DipnotBavurusu"/>
          <w:rFonts w:ascii="Times New Roman" w:hAnsi="Times New Roman" w:cs="Times New Roman"/>
        </w:rPr>
        <w:footnoteReference w:id="488"/>
      </w:r>
      <w:r w:rsidRPr="00705170">
        <w:rPr>
          <w:rFonts w:ascii="Times New Roman" w:hAnsi="Times New Roman" w:cs="Times New Roman"/>
        </w:rPr>
        <w:t xml:space="preserve">. </w:t>
      </w:r>
      <w:proofErr w:type="spellStart"/>
      <w:r w:rsidR="00D11574" w:rsidRPr="00705170">
        <w:rPr>
          <w:rFonts w:ascii="Times New Roman" w:hAnsi="Times New Roman" w:cs="Times New Roman"/>
        </w:rPr>
        <w:t>Just</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like</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the</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expectation</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frustrating</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nature</w:t>
      </w:r>
      <w:proofErr w:type="spellEnd"/>
      <w:r w:rsidR="00D11574" w:rsidRPr="00705170">
        <w:rPr>
          <w:rFonts w:ascii="Times New Roman" w:hAnsi="Times New Roman" w:cs="Times New Roman"/>
        </w:rPr>
        <w:t xml:space="preserve"> of an </w:t>
      </w:r>
      <w:proofErr w:type="spellStart"/>
      <w:r w:rsidR="00D11574" w:rsidRPr="00705170">
        <w:rPr>
          <w:rFonts w:ascii="Times New Roman" w:hAnsi="Times New Roman" w:cs="Times New Roman"/>
        </w:rPr>
        <w:t>act</w:t>
      </w:r>
      <w:r w:rsidR="000B7E3C" w:rsidRPr="00705170">
        <w:rPr>
          <w:rFonts w:ascii="Times New Roman" w:hAnsi="Times New Roman" w:cs="Times New Roman"/>
        </w:rPr>
        <w:t>ion</w:t>
      </w:r>
      <w:proofErr w:type="spellEnd"/>
      <w:r w:rsidR="000B7E3C" w:rsidRPr="00705170">
        <w:rPr>
          <w:rFonts w:ascii="Times New Roman" w:hAnsi="Times New Roman" w:cs="Times New Roman"/>
        </w:rPr>
        <w:t xml:space="preserve"> </w:t>
      </w:r>
      <w:proofErr w:type="spellStart"/>
      <w:r w:rsidR="000B7E3C" w:rsidRPr="00705170">
        <w:rPr>
          <w:rFonts w:ascii="Times New Roman" w:hAnsi="Times New Roman" w:cs="Times New Roman"/>
        </w:rPr>
        <w:t>causing</w:t>
      </w:r>
      <w:proofErr w:type="spellEnd"/>
      <w:r w:rsidR="000B7E3C" w:rsidRPr="00705170">
        <w:rPr>
          <w:rFonts w:ascii="Times New Roman" w:hAnsi="Times New Roman" w:cs="Times New Roman"/>
        </w:rPr>
        <w:t xml:space="preserve"> </w:t>
      </w:r>
      <w:proofErr w:type="spellStart"/>
      <w:r w:rsidR="000B7E3C" w:rsidRPr="00705170">
        <w:rPr>
          <w:rFonts w:ascii="Times New Roman" w:hAnsi="Times New Roman" w:cs="Times New Roman"/>
        </w:rPr>
        <w:t>withholding</w:t>
      </w:r>
      <w:proofErr w:type="spellEnd"/>
      <w:r w:rsidR="000B7E3C" w:rsidRPr="00705170">
        <w:rPr>
          <w:rFonts w:ascii="Times New Roman" w:hAnsi="Times New Roman" w:cs="Times New Roman"/>
        </w:rPr>
        <w:t xml:space="preserve"> of </w:t>
      </w:r>
      <w:proofErr w:type="spellStart"/>
      <w:r w:rsidR="000B7E3C" w:rsidRPr="00705170">
        <w:rPr>
          <w:rFonts w:ascii="Times New Roman" w:hAnsi="Times New Roman" w:cs="Times New Roman"/>
        </w:rPr>
        <w:t>divi</w:t>
      </w:r>
      <w:r w:rsidR="00D11574" w:rsidRPr="00705170">
        <w:rPr>
          <w:rFonts w:ascii="Times New Roman" w:hAnsi="Times New Roman" w:cs="Times New Roman"/>
        </w:rPr>
        <w:t>dends</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or</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its</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suppressment</w:t>
      </w:r>
      <w:proofErr w:type="spellEnd"/>
      <w:r w:rsidR="00D11574" w:rsidRPr="00705170">
        <w:rPr>
          <w:rFonts w:ascii="Times New Roman" w:hAnsi="Times New Roman" w:cs="Times New Roman"/>
        </w:rPr>
        <w:t xml:space="preserve"> has </w:t>
      </w:r>
      <w:proofErr w:type="spellStart"/>
      <w:r w:rsidR="00D11574" w:rsidRPr="00705170">
        <w:rPr>
          <w:rFonts w:ascii="Times New Roman" w:hAnsi="Times New Roman" w:cs="Times New Roman"/>
        </w:rPr>
        <w:t>long</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been</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recognized</w:t>
      </w:r>
      <w:proofErr w:type="spellEnd"/>
      <w:r w:rsidR="00D11574" w:rsidRPr="00705170">
        <w:rPr>
          <w:rFonts w:ascii="Times New Roman" w:hAnsi="Times New Roman" w:cs="Times New Roman"/>
        </w:rPr>
        <w:t xml:space="preserve"> in </w:t>
      </w:r>
      <w:proofErr w:type="spellStart"/>
      <w:r w:rsidR="00D11574" w:rsidRPr="00705170">
        <w:rPr>
          <w:rFonts w:ascii="Times New Roman" w:hAnsi="Times New Roman" w:cs="Times New Roman"/>
        </w:rPr>
        <w:t>the</w:t>
      </w:r>
      <w:proofErr w:type="spellEnd"/>
      <w:r w:rsidR="00D11574" w:rsidRPr="00705170">
        <w:rPr>
          <w:rFonts w:ascii="Times New Roman" w:hAnsi="Times New Roman" w:cs="Times New Roman"/>
        </w:rPr>
        <w:t xml:space="preserve"> U.S.</w:t>
      </w:r>
      <w:r w:rsidR="00D11574" w:rsidRPr="00705170">
        <w:rPr>
          <w:rStyle w:val="DipnotBavurusu"/>
          <w:rFonts w:ascii="Times New Roman" w:hAnsi="Times New Roman" w:cs="Times New Roman"/>
        </w:rPr>
        <w:footnoteReference w:id="489"/>
      </w:r>
      <w:r w:rsidR="00D11574" w:rsidRPr="00705170">
        <w:rPr>
          <w:rFonts w:ascii="Times New Roman" w:hAnsi="Times New Roman" w:cs="Times New Roman"/>
        </w:rPr>
        <w:t xml:space="preserve">,  it is </w:t>
      </w:r>
      <w:proofErr w:type="spellStart"/>
      <w:r w:rsidR="00D11574" w:rsidRPr="00705170">
        <w:rPr>
          <w:rFonts w:ascii="Times New Roman" w:hAnsi="Times New Roman" w:cs="Times New Roman"/>
        </w:rPr>
        <w:t>equally</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recognized</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that</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the</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operation</w:t>
      </w:r>
      <w:proofErr w:type="spellEnd"/>
      <w:r w:rsidR="00D11574" w:rsidRPr="00705170">
        <w:rPr>
          <w:rFonts w:ascii="Times New Roman" w:hAnsi="Times New Roman" w:cs="Times New Roman"/>
        </w:rPr>
        <w:t xml:space="preserve"> of </w:t>
      </w:r>
      <w:proofErr w:type="spellStart"/>
      <w:r w:rsidR="00D11574" w:rsidRPr="00705170">
        <w:rPr>
          <w:rFonts w:ascii="Times New Roman" w:hAnsi="Times New Roman" w:cs="Times New Roman"/>
        </w:rPr>
        <w:t>the</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business</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for</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the</w:t>
      </w:r>
      <w:proofErr w:type="spellEnd"/>
      <w:r w:rsidR="00D11574" w:rsidRPr="00705170">
        <w:rPr>
          <w:rFonts w:ascii="Times New Roman" w:hAnsi="Times New Roman" w:cs="Times New Roman"/>
        </w:rPr>
        <w:t xml:space="preserve"> sole </w:t>
      </w:r>
      <w:proofErr w:type="spellStart"/>
      <w:r w:rsidR="00D11574" w:rsidRPr="00705170">
        <w:rPr>
          <w:rFonts w:ascii="Times New Roman" w:hAnsi="Times New Roman" w:cs="Times New Roman"/>
        </w:rPr>
        <w:t>benefit</w:t>
      </w:r>
      <w:proofErr w:type="spellEnd"/>
      <w:r w:rsidR="00D11574" w:rsidRPr="00705170">
        <w:rPr>
          <w:rFonts w:ascii="Times New Roman" w:hAnsi="Times New Roman" w:cs="Times New Roman"/>
        </w:rPr>
        <w:t xml:space="preserve"> of </w:t>
      </w:r>
      <w:proofErr w:type="spellStart"/>
      <w:r w:rsidR="00D11574" w:rsidRPr="00705170">
        <w:rPr>
          <w:rFonts w:ascii="Times New Roman" w:hAnsi="Times New Roman" w:cs="Times New Roman"/>
        </w:rPr>
        <w:t>the</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majority</w:t>
      </w:r>
      <w:proofErr w:type="spellEnd"/>
      <w:r w:rsidR="00D11574" w:rsidRPr="00705170">
        <w:rPr>
          <w:rFonts w:ascii="Times New Roman" w:hAnsi="Times New Roman" w:cs="Times New Roman"/>
        </w:rPr>
        <w:t xml:space="preserve"> of </w:t>
      </w:r>
      <w:proofErr w:type="spellStart"/>
      <w:r w:rsidR="00D11574" w:rsidRPr="00705170">
        <w:rPr>
          <w:rFonts w:ascii="Times New Roman" w:hAnsi="Times New Roman" w:cs="Times New Roman"/>
        </w:rPr>
        <w:t>the</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stockholders</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to</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the</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detriment</w:t>
      </w:r>
      <w:proofErr w:type="spellEnd"/>
      <w:r w:rsidR="00D11574" w:rsidRPr="00705170">
        <w:rPr>
          <w:rFonts w:ascii="Times New Roman" w:hAnsi="Times New Roman" w:cs="Times New Roman"/>
        </w:rPr>
        <w:t xml:space="preserve"> of </w:t>
      </w:r>
      <w:proofErr w:type="spellStart"/>
      <w:r w:rsidR="00D11574" w:rsidRPr="00705170">
        <w:rPr>
          <w:rFonts w:ascii="Times New Roman" w:hAnsi="Times New Roman" w:cs="Times New Roman"/>
        </w:rPr>
        <w:t>the</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minority</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stockholders</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lastRenderedPageBreak/>
        <w:t>would</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constitute</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such</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oppressive</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conduct</w:t>
      </w:r>
      <w:proofErr w:type="spellEnd"/>
      <w:r w:rsidR="00D11574" w:rsidRPr="00705170">
        <w:rPr>
          <w:rFonts w:ascii="Times New Roman" w:hAnsi="Times New Roman" w:cs="Times New Roman"/>
        </w:rPr>
        <w:t xml:space="preserve"> as </w:t>
      </w:r>
      <w:proofErr w:type="spellStart"/>
      <w:r w:rsidR="00D11574" w:rsidRPr="00705170">
        <w:rPr>
          <w:rFonts w:ascii="Times New Roman" w:hAnsi="Times New Roman" w:cs="Times New Roman"/>
        </w:rPr>
        <w:t>to</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authorize</w:t>
      </w:r>
      <w:proofErr w:type="spellEnd"/>
      <w:r w:rsidR="00D11574" w:rsidRPr="00705170">
        <w:rPr>
          <w:rFonts w:ascii="Times New Roman" w:hAnsi="Times New Roman" w:cs="Times New Roman"/>
        </w:rPr>
        <w:t xml:space="preserve"> a </w:t>
      </w:r>
      <w:proofErr w:type="spellStart"/>
      <w:r w:rsidR="00D11574" w:rsidRPr="00705170">
        <w:rPr>
          <w:rFonts w:ascii="Times New Roman" w:hAnsi="Times New Roman" w:cs="Times New Roman"/>
        </w:rPr>
        <w:t>dissolution</w:t>
      </w:r>
      <w:proofErr w:type="spellEnd"/>
      <w:r w:rsidR="00D11574" w:rsidRPr="00705170">
        <w:rPr>
          <w:rFonts w:ascii="Times New Roman" w:hAnsi="Times New Roman" w:cs="Times New Roman"/>
        </w:rPr>
        <w:t xml:space="preserve"> of </w:t>
      </w:r>
      <w:proofErr w:type="spellStart"/>
      <w:r w:rsidR="00D11574" w:rsidRPr="00705170">
        <w:rPr>
          <w:rFonts w:ascii="Times New Roman" w:hAnsi="Times New Roman" w:cs="Times New Roman"/>
        </w:rPr>
        <w:t>the</w:t>
      </w:r>
      <w:proofErr w:type="spellEnd"/>
      <w:r w:rsidR="00D11574" w:rsidRPr="00705170">
        <w:rPr>
          <w:rFonts w:ascii="Times New Roman" w:hAnsi="Times New Roman" w:cs="Times New Roman"/>
        </w:rPr>
        <w:t xml:space="preserve"> </w:t>
      </w:r>
      <w:proofErr w:type="spellStart"/>
      <w:r w:rsidR="00D11574" w:rsidRPr="00705170">
        <w:rPr>
          <w:rFonts w:ascii="Times New Roman" w:hAnsi="Times New Roman" w:cs="Times New Roman"/>
        </w:rPr>
        <w:t>corporation</w:t>
      </w:r>
      <w:proofErr w:type="spellEnd"/>
      <w:r w:rsidR="00D11574" w:rsidRPr="00705170">
        <w:rPr>
          <w:rFonts w:ascii="Times New Roman" w:hAnsi="Times New Roman" w:cs="Times New Roman"/>
        </w:rPr>
        <w:t>”</w:t>
      </w:r>
      <w:r w:rsidR="00D11574" w:rsidRPr="00705170">
        <w:rPr>
          <w:rStyle w:val="DipnotBavurusu"/>
          <w:rFonts w:ascii="Times New Roman" w:hAnsi="Times New Roman" w:cs="Times New Roman"/>
        </w:rPr>
        <w:footnoteReference w:id="490"/>
      </w:r>
      <w:r w:rsidR="00D11574" w:rsidRPr="00705170">
        <w:rPr>
          <w:rFonts w:ascii="Times New Roman" w:hAnsi="Times New Roman" w:cs="Times New Roman"/>
        </w:rPr>
        <w:t>.</w:t>
      </w:r>
      <w:r w:rsidRPr="00705170">
        <w:rPr>
          <w:rFonts w:ascii="Times New Roman" w:hAnsi="Times New Roman" w:cs="Times New Roman"/>
        </w:rPr>
        <w:t xml:space="preserve"> </w:t>
      </w:r>
      <w:proofErr w:type="spellStart"/>
      <w:r w:rsidR="002B0602">
        <w:rPr>
          <w:rFonts w:ascii="Times New Roman" w:hAnsi="Times New Roman" w:cs="Times New Roman"/>
        </w:rPr>
        <w:t>Likewise</w:t>
      </w:r>
      <w:proofErr w:type="spellEnd"/>
      <w:r w:rsidR="002B0602">
        <w:rPr>
          <w:rFonts w:ascii="Times New Roman" w:hAnsi="Times New Roman" w:cs="Times New Roman"/>
        </w:rPr>
        <w:t xml:space="preserve">, TCC Art. 531 </w:t>
      </w:r>
      <w:proofErr w:type="spellStart"/>
      <w:r w:rsidR="002B0602">
        <w:rPr>
          <w:rFonts w:ascii="Times New Roman" w:hAnsi="Times New Roman" w:cs="Times New Roman"/>
        </w:rPr>
        <w:t>may</w:t>
      </w:r>
      <w:proofErr w:type="spellEnd"/>
      <w:r w:rsidR="002B0602">
        <w:rPr>
          <w:rFonts w:ascii="Times New Roman" w:hAnsi="Times New Roman" w:cs="Times New Roman"/>
        </w:rPr>
        <w:t xml:space="preserve"> be </w:t>
      </w:r>
      <w:proofErr w:type="spellStart"/>
      <w:r w:rsidR="002B0602">
        <w:rPr>
          <w:rFonts w:ascii="Times New Roman" w:hAnsi="Times New Roman" w:cs="Times New Roman"/>
        </w:rPr>
        <w:t>used</w:t>
      </w:r>
      <w:proofErr w:type="spellEnd"/>
      <w:r w:rsidR="002B0602">
        <w:rPr>
          <w:rFonts w:ascii="Times New Roman" w:hAnsi="Times New Roman" w:cs="Times New Roman"/>
        </w:rPr>
        <w:t xml:space="preserve"> </w:t>
      </w:r>
      <w:proofErr w:type="spellStart"/>
      <w:r w:rsidR="002B0602">
        <w:rPr>
          <w:rFonts w:ascii="Times New Roman" w:hAnsi="Times New Roman" w:cs="Times New Roman"/>
        </w:rPr>
        <w:t>to</w:t>
      </w:r>
      <w:proofErr w:type="spellEnd"/>
      <w:r w:rsidR="002B0602">
        <w:rPr>
          <w:rFonts w:ascii="Times New Roman" w:hAnsi="Times New Roman" w:cs="Times New Roman"/>
        </w:rPr>
        <w:t xml:space="preserve"> </w:t>
      </w:r>
      <w:proofErr w:type="spellStart"/>
      <w:r w:rsidR="009508AE">
        <w:rPr>
          <w:rFonts w:ascii="Times New Roman" w:hAnsi="Times New Roman" w:cs="Times New Roman"/>
        </w:rPr>
        <w:t>judicially</w:t>
      </w:r>
      <w:proofErr w:type="spellEnd"/>
      <w:r w:rsidR="009508AE">
        <w:rPr>
          <w:rFonts w:ascii="Times New Roman" w:hAnsi="Times New Roman" w:cs="Times New Roman"/>
        </w:rPr>
        <w:t xml:space="preserve"> </w:t>
      </w:r>
      <w:proofErr w:type="spellStart"/>
      <w:r w:rsidR="002B0602">
        <w:rPr>
          <w:rFonts w:ascii="Times New Roman" w:hAnsi="Times New Roman" w:cs="Times New Roman"/>
        </w:rPr>
        <w:t>dissolve</w:t>
      </w:r>
      <w:proofErr w:type="spellEnd"/>
      <w:r w:rsidR="002B0602">
        <w:rPr>
          <w:rFonts w:ascii="Times New Roman" w:hAnsi="Times New Roman" w:cs="Times New Roman"/>
        </w:rPr>
        <w:t xml:space="preserve"> </w:t>
      </w:r>
      <w:proofErr w:type="spellStart"/>
      <w:r w:rsidR="002B0602">
        <w:rPr>
          <w:rFonts w:ascii="Times New Roman" w:hAnsi="Times New Roman" w:cs="Times New Roman"/>
        </w:rPr>
        <w:t>the</w:t>
      </w:r>
      <w:proofErr w:type="spellEnd"/>
      <w:r w:rsidR="002B0602">
        <w:rPr>
          <w:rFonts w:ascii="Times New Roman" w:hAnsi="Times New Roman" w:cs="Times New Roman"/>
        </w:rPr>
        <w:t xml:space="preserve"> </w:t>
      </w:r>
      <w:proofErr w:type="spellStart"/>
      <w:r w:rsidR="009508AE">
        <w:rPr>
          <w:rFonts w:ascii="Times New Roman" w:hAnsi="Times New Roman" w:cs="Times New Roman"/>
        </w:rPr>
        <w:t>corporation</w:t>
      </w:r>
      <w:proofErr w:type="spellEnd"/>
      <w:r w:rsidR="002B0602">
        <w:rPr>
          <w:rFonts w:ascii="Times New Roman" w:hAnsi="Times New Roman" w:cs="Times New Roman"/>
        </w:rPr>
        <w:t xml:space="preserve"> in </w:t>
      </w:r>
      <w:proofErr w:type="spellStart"/>
      <w:r w:rsidR="002B0602">
        <w:rPr>
          <w:rFonts w:ascii="Times New Roman" w:hAnsi="Times New Roman" w:cs="Times New Roman"/>
        </w:rPr>
        <w:t>case</w:t>
      </w:r>
      <w:proofErr w:type="spellEnd"/>
      <w:r w:rsidR="002B0602">
        <w:rPr>
          <w:rFonts w:ascii="Times New Roman" w:hAnsi="Times New Roman" w:cs="Times New Roman"/>
        </w:rPr>
        <w:t xml:space="preserve"> it </w:t>
      </w:r>
      <w:proofErr w:type="spellStart"/>
      <w:r w:rsidR="002B0602">
        <w:rPr>
          <w:rFonts w:ascii="Times New Roman" w:hAnsi="Times New Roman" w:cs="Times New Roman"/>
        </w:rPr>
        <w:t>fails</w:t>
      </w:r>
      <w:proofErr w:type="spellEnd"/>
      <w:r w:rsidR="002B0602">
        <w:rPr>
          <w:rFonts w:ascii="Times New Roman" w:hAnsi="Times New Roman" w:cs="Times New Roman"/>
        </w:rPr>
        <w:t xml:space="preserve"> </w:t>
      </w:r>
      <w:proofErr w:type="spellStart"/>
      <w:r w:rsidR="002B0602">
        <w:rPr>
          <w:rFonts w:ascii="Times New Roman" w:hAnsi="Times New Roman" w:cs="Times New Roman"/>
        </w:rPr>
        <w:t>to</w:t>
      </w:r>
      <w:proofErr w:type="spellEnd"/>
      <w:r w:rsidR="002B0602">
        <w:rPr>
          <w:rFonts w:ascii="Times New Roman" w:hAnsi="Times New Roman" w:cs="Times New Roman"/>
        </w:rPr>
        <w:t xml:space="preserve"> </w:t>
      </w:r>
      <w:proofErr w:type="spellStart"/>
      <w:r w:rsidR="002B0602">
        <w:rPr>
          <w:rFonts w:ascii="Times New Roman" w:hAnsi="Times New Roman" w:cs="Times New Roman"/>
        </w:rPr>
        <w:t>declare</w:t>
      </w:r>
      <w:proofErr w:type="spellEnd"/>
      <w:r w:rsidR="002B0602">
        <w:rPr>
          <w:rFonts w:ascii="Times New Roman" w:hAnsi="Times New Roman" w:cs="Times New Roman"/>
        </w:rPr>
        <w:t xml:space="preserve"> </w:t>
      </w:r>
      <w:proofErr w:type="spellStart"/>
      <w:r w:rsidR="002B0602">
        <w:rPr>
          <w:rFonts w:ascii="Times New Roman" w:hAnsi="Times New Roman" w:cs="Times New Roman"/>
        </w:rPr>
        <w:t>satisfactory</w:t>
      </w:r>
      <w:proofErr w:type="spellEnd"/>
      <w:r w:rsidR="002B0602">
        <w:rPr>
          <w:rFonts w:ascii="Times New Roman" w:hAnsi="Times New Roman" w:cs="Times New Roman"/>
        </w:rPr>
        <w:t xml:space="preserve"> </w:t>
      </w:r>
      <w:proofErr w:type="spellStart"/>
      <w:r w:rsidR="002B0602">
        <w:rPr>
          <w:rFonts w:ascii="Times New Roman" w:hAnsi="Times New Roman" w:cs="Times New Roman"/>
        </w:rPr>
        <w:t>dividends</w:t>
      </w:r>
      <w:proofErr w:type="spellEnd"/>
      <w:r w:rsidR="002B0602">
        <w:rPr>
          <w:rFonts w:ascii="Times New Roman" w:hAnsi="Times New Roman" w:cs="Times New Roman"/>
        </w:rPr>
        <w:t xml:space="preserve"> </w:t>
      </w:r>
      <w:proofErr w:type="spellStart"/>
      <w:r w:rsidR="002B0602">
        <w:rPr>
          <w:rFonts w:ascii="Times New Roman" w:hAnsi="Times New Roman" w:cs="Times New Roman"/>
        </w:rPr>
        <w:t>over</w:t>
      </w:r>
      <w:proofErr w:type="spellEnd"/>
      <w:r w:rsidR="002B0602">
        <w:rPr>
          <w:rFonts w:ascii="Times New Roman" w:hAnsi="Times New Roman" w:cs="Times New Roman"/>
        </w:rPr>
        <w:t xml:space="preserve"> </w:t>
      </w:r>
      <w:proofErr w:type="spellStart"/>
      <w:r w:rsidR="002B0602">
        <w:rPr>
          <w:rFonts w:ascii="Times New Roman" w:hAnsi="Times New Roman" w:cs="Times New Roman"/>
        </w:rPr>
        <w:t>the</w:t>
      </w:r>
      <w:proofErr w:type="spellEnd"/>
      <w:r w:rsidR="002B0602">
        <w:rPr>
          <w:rFonts w:ascii="Times New Roman" w:hAnsi="Times New Roman" w:cs="Times New Roman"/>
        </w:rPr>
        <w:t xml:space="preserve"> </w:t>
      </w:r>
      <w:proofErr w:type="spellStart"/>
      <w:r w:rsidR="002B0602">
        <w:rPr>
          <w:rFonts w:ascii="Times New Roman" w:hAnsi="Times New Roman" w:cs="Times New Roman"/>
        </w:rPr>
        <w:t>long</w:t>
      </w:r>
      <w:proofErr w:type="spellEnd"/>
      <w:r w:rsidR="002B0602">
        <w:rPr>
          <w:rFonts w:ascii="Times New Roman" w:hAnsi="Times New Roman" w:cs="Times New Roman"/>
        </w:rPr>
        <w:t xml:space="preserve"> </w:t>
      </w:r>
      <w:proofErr w:type="spellStart"/>
      <w:r w:rsidR="002B0602">
        <w:rPr>
          <w:rFonts w:ascii="Times New Roman" w:hAnsi="Times New Roman" w:cs="Times New Roman"/>
        </w:rPr>
        <w:t>run</w:t>
      </w:r>
      <w:proofErr w:type="spellEnd"/>
      <w:r w:rsidR="009508AE">
        <w:rPr>
          <w:rFonts w:ascii="Times New Roman" w:hAnsi="Times New Roman" w:cs="Times New Roman"/>
        </w:rPr>
        <w:t>,</w:t>
      </w:r>
      <w:r w:rsidR="00DD67FD">
        <w:rPr>
          <w:rFonts w:ascii="Times New Roman" w:hAnsi="Times New Roman" w:cs="Times New Roman"/>
        </w:rPr>
        <w:t xml:space="preserve"> </w:t>
      </w:r>
      <w:proofErr w:type="spellStart"/>
      <w:r w:rsidR="00DD67FD">
        <w:rPr>
          <w:rFonts w:ascii="Times New Roman" w:hAnsi="Times New Roman" w:cs="Times New Roman"/>
        </w:rPr>
        <w:t>with</w:t>
      </w:r>
      <w:proofErr w:type="spellEnd"/>
      <w:r w:rsidR="00DD67FD">
        <w:rPr>
          <w:rFonts w:ascii="Times New Roman" w:hAnsi="Times New Roman" w:cs="Times New Roman"/>
        </w:rPr>
        <w:t xml:space="preserve"> </w:t>
      </w:r>
      <w:proofErr w:type="spellStart"/>
      <w:r w:rsidR="00DD67FD">
        <w:rPr>
          <w:rFonts w:ascii="Times New Roman" w:hAnsi="Times New Roman" w:cs="Times New Roman"/>
        </w:rPr>
        <w:t>no</w:t>
      </w:r>
      <w:proofErr w:type="spellEnd"/>
      <w:r w:rsidR="00DD67FD">
        <w:rPr>
          <w:rFonts w:ascii="Times New Roman" w:hAnsi="Times New Roman" w:cs="Times New Roman"/>
        </w:rPr>
        <w:t xml:space="preserve"> </w:t>
      </w:r>
      <w:proofErr w:type="spellStart"/>
      <w:r w:rsidR="00DD67FD">
        <w:rPr>
          <w:rFonts w:ascii="Times New Roman" w:hAnsi="Times New Roman" w:cs="Times New Roman"/>
        </w:rPr>
        <w:t>sound</w:t>
      </w:r>
      <w:proofErr w:type="spellEnd"/>
      <w:r w:rsidR="009508AE">
        <w:rPr>
          <w:rFonts w:ascii="Times New Roman" w:hAnsi="Times New Roman" w:cs="Times New Roman"/>
        </w:rPr>
        <w:t xml:space="preserve"> </w:t>
      </w:r>
      <w:proofErr w:type="spellStart"/>
      <w:r w:rsidR="009508AE">
        <w:rPr>
          <w:rFonts w:ascii="Times New Roman" w:hAnsi="Times New Roman" w:cs="Times New Roman"/>
        </w:rPr>
        <w:t>reason</w:t>
      </w:r>
      <w:proofErr w:type="spellEnd"/>
      <w:r w:rsidR="00DD67FD">
        <w:rPr>
          <w:rFonts w:ascii="Times New Roman" w:hAnsi="Times New Roman" w:cs="Times New Roman"/>
        </w:rPr>
        <w:t xml:space="preserve"> </w:t>
      </w:r>
      <w:proofErr w:type="spellStart"/>
      <w:r w:rsidR="009508AE">
        <w:rPr>
          <w:rFonts w:ascii="Times New Roman" w:hAnsi="Times New Roman" w:cs="Times New Roman"/>
        </w:rPr>
        <w:t>to</w:t>
      </w:r>
      <w:proofErr w:type="spellEnd"/>
      <w:r w:rsidR="009508AE">
        <w:rPr>
          <w:rFonts w:ascii="Times New Roman" w:hAnsi="Times New Roman" w:cs="Times New Roman"/>
        </w:rPr>
        <w:t xml:space="preserve"> </w:t>
      </w:r>
      <w:proofErr w:type="spellStart"/>
      <w:r w:rsidR="009508AE">
        <w:rPr>
          <w:rFonts w:ascii="Times New Roman" w:hAnsi="Times New Roman" w:cs="Times New Roman"/>
        </w:rPr>
        <w:t>justify</w:t>
      </w:r>
      <w:proofErr w:type="spellEnd"/>
      <w:r w:rsidR="009508AE">
        <w:rPr>
          <w:rFonts w:ascii="Times New Roman" w:hAnsi="Times New Roman" w:cs="Times New Roman"/>
        </w:rPr>
        <w:t xml:space="preserve"> </w:t>
      </w:r>
      <w:proofErr w:type="spellStart"/>
      <w:r w:rsidR="009508AE">
        <w:rPr>
          <w:rFonts w:ascii="Times New Roman" w:hAnsi="Times New Roman" w:cs="Times New Roman"/>
        </w:rPr>
        <w:t>the</w:t>
      </w:r>
      <w:proofErr w:type="spellEnd"/>
      <w:r w:rsidR="009508AE">
        <w:rPr>
          <w:rFonts w:ascii="Times New Roman" w:hAnsi="Times New Roman" w:cs="Times New Roman"/>
        </w:rPr>
        <w:t xml:space="preserve"> </w:t>
      </w:r>
      <w:proofErr w:type="spellStart"/>
      <w:r w:rsidR="009508AE">
        <w:rPr>
          <w:rFonts w:ascii="Times New Roman" w:hAnsi="Times New Roman" w:cs="Times New Roman"/>
        </w:rPr>
        <w:t>denial</w:t>
      </w:r>
      <w:proofErr w:type="spellEnd"/>
      <w:r w:rsidR="002B0602">
        <w:rPr>
          <w:rStyle w:val="DipnotBavurusu"/>
          <w:rFonts w:ascii="Times New Roman" w:hAnsi="Times New Roman" w:cs="Times New Roman"/>
        </w:rPr>
        <w:footnoteReference w:id="491"/>
      </w:r>
      <w:r w:rsidR="002B0602">
        <w:rPr>
          <w:rFonts w:ascii="Times New Roman" w:hAnsi="Times New Roman" w:cs="Times New Roman"/>
        </w:rPr>
        <w:t xml:space="preserve">. </w:t>
      </w:r>
      <w:proofErr w:type="spellStart"/>
      <w:r w:rsidRPr="00705170">
        <w:rPr>
          <w:rFonts w:ascii="Times New Roman" w:hAnsi="Times New Roman" w:cs="Times New Roman"/>
        </w:rPr>
        <w:t>Corollary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conduct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align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purpose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maximizing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economic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benefits</w:t>
      </w:r>
      <w:proofErr w:type="spellEnd"/>
      <w:r w:rsidRPr="00705170">
        <w:rPr>
          <w:rFonts w:ascii="Times New Roman" w:hAnsi="Times New Roman" w:cs="Times New Roman"/>
        </w:rPr>
        <w:t xml:space="preserve"> but </w:t>
      </w:r>
      <w:proofErr w:type="spellStart"/>
      <w:r w:rsidRPr="00705170">
        <w:rPr>
          <w:rFonts w:ascii="Times New Roman" w:hAnsi="Times New Roman" w:cs="Times New Roman"/>
        </w:rPr>
        <w:t>meanwhile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advances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interests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can</w:t>
      </w:r>
      <w:r w:rsidR="002B0602">
        <w:rPr>
          <w:rFonts w:ascii="Times New Roman" w:hAnsi="Times New Roman" w:cs="Times New Roman"/>
        </w:rPr>
        <w:t xml:space="preserve"> </w:t>
      </w:r>
      <w:proofErr w:type="spellStart"/>
      <w:r w:rsidR="002B0602">
        <w:rPr>
          <w:rFonts w:ascii="Times New Roman" w:hAnsi="Times New Roman" w:cs="Times New Roman"/>
        </w:rPr>
        <w:t>also</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deemed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oppressive</w:t>
      </w:r>
      <w:proofErr w:type="spellEnd"/>
      <w:r w:rsidRPr="00705170">
        <w:rPr>
          <w:rFonts w:ascii="Times New Roman" w:hAnsi="Times New Roman" w:cs="Times New Roman"/>
        </w:rPr>
        <w:t>”</w:t>
      </w:r>
      <w:r w:rsidR="00AE759B" w:rsidRPr="00705170">
        <w:rPr>
          <w:rStyle w:val="DipnotBavurusu"/>
          <w:rFonts w:ascii="Times New Roman" w:hAnsi="Times New Roman" w:cs="Times New Roman"/>
        </w:rPr>
        <w:footnoteReference w:id="492"/>
      </w:r>
      <w:r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sense, </w:t>
      </w:r>
      <w:r w:rsidR="00D62CBD" w:rsidRPr="00705170">
        <w:rPr>
          <w:rFonts w:ascii="Times New Roman" w:hAnsi="Times New Roman" w:cs="Times New Roman"/>
        </w:rPr>
        <w:t xml:space="preserve">a </w:t>
      </w:r>
      <w:proofErr w:type="spellStart"/>
      <w:r w:rsidR="00D62CBD" w:rsidRPr="00705170">
        <w:rPr>
          <w:rFonts w:ascii="Times New Roman" w:hAnsi="Times New Roman" w:cs="Times New Roman"/>
        </w:rPr>
        <w:t>corporate</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action</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that</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enhances</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the</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non</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pecuniary</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private</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benefit</w:t>
      </w:r>
      <w:proofErr w:type="spellEnd"/>
      <w:r w:rsidR="00D62CBD" w:rsidRPr="00705170">
        <w:rPr>
          <w:rFonts w:ascii="Times New Roman" w:hAnsi="Times New Roman" w:cs="Times New Roman"/>
        </w:rPr>
        <w:t xml:space="preserve"> of a </w:t>
      </w:r>
      <w:proofErr w:type="spellStart"/>
      <w:r w:rsidR="00D62CBD" w:rsidRPr="00705170">
        <w:rPr>
          <w:rFonts w:ascii="Times New Roman" w:hAnsi="Times New Roman" w:cs="Times New Roman"/>
        </w:rPr>
        <w:t>shareholder</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would</w:t>
      </w:r>
      <w:proofErr w:type="spellEnd"/>
      <w:r w:rsidR="00D62CBD" w:rsidRPr="00705170">
        <w:rPr>
          <w:rFonts w:ascii="Times New Roman" w:hAnsi="Times New Roman" w:cs="Times New Roman"/>
        </w:rPr>
        <w:t xml:space="preserve"> be an </w:t>
      </w:r>
      <w:proofErr w:type="spellStart"/>
      <w:r w:rsidR="00D62CBD" w:rsidRPr="00705170">
        <w:rPr>
          <w:rFonts w:ascii="Times New Roman" w:hAnsi="Times New Roman" w:cs="Times New Roman"/>
        </w:rPr>
        <w:t>act</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that</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does</w:t>
      </w:r>
      <w:proofErr w:type="spellEnd"/>
      <w:r w:rsidR="00D62CBD" w:rsidRPr="00705170">
        <w:rPr>
          <w:rFonts w:ascii="Times New Roman" w:hAnsi="Times New Roman" w:cs="Times New Roman"/>
        </w:rPr>
        <w:t xml:space="preserve"> not </w:t>
      </w:r>
      <w:proofErr w:type="spellStart"/>
      <w:r w:rsidR="00D62CBD" w:rsidRPr="00705170">
        <w:rPr>
          <w:rFonts w:ascii="Times New Roman" w:hAnsi="Times New Roman" w:cs="Times New Roman"/>
        </w:rPr>
        <w:t>align</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with</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the</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corporate</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purpose</w:t>
      </w:r>
      <w:proofErr w:type="spellEnd"/>
      <w:r w:rsidR="00D62CBD" w:rsidRPr="00705170">
        <w:rPr>
          <w:rFonts w:ascii="Times New Roman" w:hAnsi="Times New Roman" w:cs="Times New Roman"/>
        </w:rPr>
        <w:t xml:space="preserve"> of </w:t>
      </w:r>
      <w:proofErr w:type="spellStart"/>
      <w:r w:rsidR="00D62CBD" w:rsidRPr="00705170">
        <w:rPr>
          <w:rFonts w:ascii="Times New Roman" w:hAnsi="Times New Roman" w:cs="Times New Roman"/>
        </w:rPr>
        <w:t>providing</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economic</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benefits</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and</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would</w:t>
      </w:r>
      <w:proofErr w:type="spellEnd"/>
      <w:r w:rsidR="00D62CBD" w:rsidRPr="00705170">
        <w:rPr>
          <w:rFonts w:ascii="Times New Roman" w:hAnsi="Times New Roman" w:cs="Times New Roman"/>
        </w:rPr>
        <w:t xml:space="preserve"> be </w:t>
      </w:r>
      <w:proofErr w:type="spellStart"/>
      <w:r w:rsidR="00D62CBD" w:rsidRPr="00705170">
        <w:rPr>
          <w:rFonts w:ascii="Times New Roman" w:hAnsi="Times New Roman" w:cs="Times New Roman"/>
        </w:rPr>
        <w:t>oppressive</w:t>
      </w:r>
      <w:proofErr w:type="spellEnd"/>
      <w:r w:rsidR="00D62CBD" w:rsidRPr="00705170">
        <w:rPr>
          <w:rFonts w:ascii="Times New Roman" w:hAnsi="Times New Roman" w:cs="Times New Roman"/>
        </w:rPr>
        <w:t xml:space="preserve"> as it </w:t>
      </w:r>
      <w:proofErr w:type="spellStart"/>
      <w:r w:rsidR="00D62CBD" w:rsidRPr="00705170">
        <w:rPr>
          <w:rFonts w:ascii="Times New Roman" w:hAnsi="Times New Roman" w:cs="Times New Roman"/>
        </w:rPr>
        <w:t>works</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only</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for</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the</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interest</w:t>
      </w:r>
      <w:proofErr w:type="spellEnd"/>
      <w:r w:rsidR="00D62CBD" w:rsidRPr="00705170">
        <w:rPr>
          <w:rFonts w:ascii="Times New Roman" w:hAnsi="Times New Roman" w:cs="Times New Roman"/>
        </w:rPr>
        <w:t xml:space="preserve"> of </w:t>
      </w:r>
      <w:proofErr w:type="spellStart"/>
      <w:r w:rsidR="00D62CBD" w:rsidRPr="00705170">
        <w:rPr>
          <w:rFonts w:ascii="Times New Roman" w:hAnsi="Times New Roman" w:cs="Times New Roman"/>
        </w:rPr>
        <w:t>one</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shareholder</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Consequently</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t</w:t>
      </w:r>
      <w:r w:rsidRPr="00705170">
        <w:rPr>
          <w:rFonts w:ascii="Times New Roman" w:hAnsi="Times New Roman" w:cs="Times New Roman"/>
        </w:rPr>
        <w: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regarding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economic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w:t>
      </w:r>
      <w:proofErr w:type="spellStart"/>
      <w:r w:rsidR="00D62CBD" w:rsidRPr="00705170">
        <w:rPr>
          <w:rFonts w:ascii="Times New Roman" w:hAnsi="Times New Roman" w:cs="Times New Roman"/>
        </w:rPr>
        <w:t>purpose</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will</w:t>
      </w:r>
      <w:proofErr w:type="spellEnd"/>
      <w:r w:rsidR="00D62CBD" w:rsidRPr="00705170">
        <w:rPr>
          <w:rFonts w:ascii="Times New Roman" w:hAnsi="Times New Roman" w:cs="Times New Roman"/>
        </w:rPr>
        <w:t xml:space="preserve"> be</w:t>
      </w:r>
      <w:r w:rsidRPr="00705170">
        <w:rPr>
          <w:rFonts w:ascii="Times New Roman" w:hAnsi="Times New Roman" w:cs="Times New Roman"/>
        </w:rPr>
        <w:t xml:space="preserve"> </w:t>
      </w:r>
      <w:proofErr w:type="spellStart"/>
      <w:r w:rsidR="00D62CBD" w:rsidRPr="00705170">
        <w:rPr>
          <w:rFonts w:ascii="Times New Roman" w:hAnsi="Times New Roman" w:cs="Times New Roman"/>
        </w:rPr>
        <w:t>bringing</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this</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action</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to</w:t>
      </w:r>
      <w:proofErr w:type="spellEnd"/>
      <w:r w:rsidR="00D62CBD" w:rsidRPr="00705170">
        <w:rPr>
          <w:rFonts w:ascii="Times New Roman" w:hAnsi="Times New Roman" w:cs="Times New Roman"/>
        </w:rPr>
        <w:t xml:space="preserve"> </w:t>
      </w:r>
      <w:proofErr w:type="spellStart"/>
      <w:r w:rsidR="00D62CBD"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purview</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002B0602">
        <w:rPr>
          <w:rStyle w:val="DipnotBavurusu"/>
          <w:rFonts w:ascii="Times New Roman" w:hAnsi="Times New Roman" w:cs="Times New Roman"/>
        </w:rPr>
        <w:footnoteReference w:id="493"/>
      </w:r>
      <w:r w:rsidRPr="00705170">
        <w:rPr>
          <w:rFonts w:ascii="Times New Roman" w:hAnsi="Times New Roman" w:cs="Times New Roman"/>
        </w:rPr>
        <w:t>.</w:t>
      </w:r>
    </w:p>
    <w:p w14:paraId="695B22D2" w14:textId="3242E259" w:rsidR="00010E4A" w:rsidRPr="00705170" w:rsidRDefault="00010E4A" w:rsidP="00683341">
      <w:pPr>
        <w:spacing w:after="240" w:line="480" w:lineRule="auto"/>
        <w:ind w:firstLine="720"/>
        <w:jc w:val="both"/>
        <w:rPr>
          <w:rFonts w:ascii="Times New Roman" w:hAnsi="Times New Roman" w:cs="Times New Roman"/>
          <w:b/>
        </w:rPr>
      </w:pPr>
      <w:r w:rsidRPr="00705170">
        <w:rPr>
          <w:rFonts w:ascii="Times New Roman" w:hAnsi="Times New Roman" w:cs="Times New Roman"/>
          <w:b/>
        </w:rPr>
        <w:t xml:space="preserve">2) </w:t>
      </w:r>
      <w:proofErr w:type="spellStart"/>
      <w:r w:rsidRPr="00705170">
        <w:rPr>
          <w:rFonts w:ascii="Times New Roman" w:hAnsi="Times New Roman" w:cs="Times New Roman"/>
          <w:b/>
        </w:rPr>
        <w:t>Expectations</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Regarding</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the</w:t>
      </w:r>
      <w:proofErr w:type="spellEnd"/>
      <w:r w:rsidRPr="00705170">
        <w:rPr>
          <w:rFonts w:ascii="Times New Roman" w:hAnsi="Times New Roman" w:cs="Times New Roman"/>
          <w:b/>
        </w:rPr>
        <w:t xml:space="preserve"> Management</w:t>
      </w:r>
    </w:p>
    <w:p w14:paraId="7073E5EE" w14:textId="645D8AB9" w:rsidR="00882BA5" w:rsidRPr="00705170" w:rsidRDefault="00882BA5" w:rsidP="00213B55">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lastRenderedPageBreak/>
        <w:t>It</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well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established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direc</w:t>
      </w:r>
      <w:r w:rsidR="00EA6781" w:rsidRPr="00705170">
        <w:rPr>
          <w:rFonts w:ascii="Times New Roman" w:hAnsi="Times New Roman" w:cs="Times New Roman"/>
        </w:rPr>
        <w:t>tly</w:t>
      </w:r>
      <w:proofErr w:type="spellEnd"/>
      <w:r w:rsidR="00EA6781" w:rsidRPr="00705170">
        <w:rPr>
          <w:rFonts w:ascii="Times New Roman" w:hAnsi="Times New Roman" w:cs="Times New Roman"/>
        </w:rPr>
        <w:t xml:space="preserve"> </w:t>
      </w:r>
      <w:proofErr w:type="spellStart"/>
      <w:r w:rsidR="00EA6781" w:rsidRPr="00705170">
        <w:rPr>
          <w:rFonts w:ascii="Times New Roman" w:hAnsi="Times New Roman" w:cs="Times New Roman"/>
        </w:rPr>
        <w:t>manage</w:t>
      </w:r>
      <w:proofErr w:type="spellEnd"/>
      <w:r w:rsidR="00EA6781" w:rsidRPr="00705170">
        <w:rPr>
          <w:rFonts w:ascii="Times New Roman" w:hAnsi="Times New Roman" w:cs="Times New Roman"/>
        </w:rPr>
        <w:t xml:space="preserve"> </w:t>
      </w:r>
      <w:proofErr w:type="spellStart"/>
      <w:r w:rsidR="00EA6781" w:rsidRPr="00705170">
        <w:rPr>
          <w:rFonts w:ascii="Times New Roman" w:hAnsi="Times New Roman" w:cs="Times New Roman"/>
        </w:rPr>
        <w:t>the</w:t>
      </w:r>
      <w:proofErr w:type="spellEnd"/>
      <w:r w:rsidR="00EA6781" w:rsidRPr="00705170">
        <w:rPr>
          <w:rFonts w:ascii="Times New Roman" w:hAnsi="Times New Roman" w:cs="Times New Roman"/>
        </w:rPr>
        <w:t xml:space="preserve"> </w:t>
      </w:r>
      <w:proofErr w:type="spellStart"/>
      <w:r w:rsidR="00EA6781" w:rsidRPr="00705170">
        <w:rPr>
          <w:rFonts w:ascii="Times New Roman" w:hAnsi="Times New Roman" w:cs="Times New Roman"/>
        </w:rPr>
        <w:t>business</w:t>
      </w:r>
      <w:proofErr w:type="spellEnd"/>
      <w:r w:rsidR="00EA6781" w:rsidRPr="00705170">
        <w:rPr>
          <w:rFonts w:ascii="Times New Roman" w:hAnsi="Times New Roman" w:cs="Times New Roman"/>
        </w:rPr>
        <w:t xml:space="preserve"> </w:t>
      </w:r>
      <w:proofErr w:type="spellStart"/>
      <w:r w:rsidR="00EA6781" w:rsidRPr="00705170">
        <w:rPr>
          <w:rFonts w:ascii="Times New Roman" w:hAnsi="Times New Roman" w:cs="Times New Roman"/>
        </w:rPr>
        <w:t>and</w:t>
      </w:r>
      <w:proofErr w:type="spellEnd"/>
      <w:r w:rsidR="00EA6781" w:rsidRPr="00705170">
        <w:rPr>
          <w:rFonts w:ascii="Times New Roman" w:hAnsi="Times New Roman" w:cs="Times New Roman"/>
        </w:rPr>
        <w:t xml:space="preserve"> </w:t>
      </w:r>
      <w:proofErr w:type="spellStart"/>
      <w:r w:rsidR="00EA6781" w:rsidRPr="00705170">
        <w:rPr>
          <w:rFonts w:ascii="Times New Roman" w:hAnsi="Times New Roman" w:cs="Times New Roman"/>
        </w:rPr>
        <w:t>aff</w:t>
      </w:r>
      <w:r w:rsidRPr="00705170">
        <w:rPr>
          <w:rFonts w:ascii="Times New Roman" w:hAnsi="Times New Roman" w:cs="Times New Roman"/>
        </w:rPr>
        <w:t>a</w:t>
      </w:r>
      <w:r w:rsidR="00EA6781" w:rsidRPr="00705170">
        <w:rPr>
          <w:rFonts w:ascii="Times New Roman" w:hAnsi="Times New Roman" w:cs="Times New Roman"/>
        </w:rPr>
        <w:t>i</w:t>
      </w:r>
      <w:r w:rsidRPr="00705170">
        <w:rPr>
          <w:rFonts w:ascii="Times New Roman" w:hAnsi="Times New Roman" w:cs="Times New Roman"/>
        </w:rPr>
        <w:t>rs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0090679D" w:rsidRPr="00705170">
        <w:rPr>
          <w:rStyle w:val="DipnotBavurusu"/>
          <w:rFonts w:ascii="Times New Roman" w:hAnsi="Times New Roman" w:cs="Times New Roman"/>
        </w:rPr>
        <w:footnoteReference w:id="494"/>
      </w:r>
      <w:r w:rsidRPr="00705170">
        <w:rPr>
          <w:rFonts w:ascii="Times New Roman" w:hAnsi="Times New Roman" w:cs="Times New Roman"/>
        </w:rPr>
        <w:t xml:space="preserve">, at </w:t>
      </w:r>
      <w:proofErr w:type="spellStart"/>
      <w:r w:rsidRPr="00705170">
        <w:rPr>
          <w:rFonts w:ascii="Times New Roman" w:hAnsi="Times New Roman" w:cs="Times New Roman"/>
        </w:rPr>
        <w:t>least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specific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authorization</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statute</w:t>
      </w:r>
      <w:proofErr w:type="spellEnd"/>
      <w:r w:rsidRPr="00705170">
        <w:rPr>
          <w:rStyle w:val="DipnotBavurusu"/>
          <w:rFonts w:ascii="Times New Roman" w:hAnsi="Times New Roman" w:cs="Times New Roman"/>
        </w:rPr>
        <w:footnoteReference w:id="495"/>
      </w:r>
      <w:r w:rsidRPr="00705170">
        <w:rPr>
          <w:rFonts w:ascii="Times New Roman" w:hAnsi="Times New Roman" w:cs="Times New Roman"/>
        </w:rPr>
        <w:t xml:space="preserve">. </w:t>
      </w:r>
      <w:proofErr w:type="spellStart"/>
      <w:r w:rsidR="00DB6064">
        <w:rPr>
          <w:rFonts w:ascii="Times New Roman" w:hAnsi="Times New Roman" w:cs="Times New Roman"/>
        </w:rPr>
        <w:t>This</w:t>
      </w:r>
      <w:proofErr w:type="spellEnd"/>
      <w:r w:rsidR="00DB6064">
        <w:rPr>
          <w:rFonts w:ascii="Times New Roman" w:hAnsi="Times New Roman" w:cs="Times New Roman"/>
        </w:rPr>
        <w:t xml:space="preserve"> </w:t>
      </w:r>
      <w:proofErr w:type="spellStart"/>
      <w:r w:rsidR="00DB6064">
        <w:rPr>
          <w:rFonts w:ascii="Times New Roman" w:hAnsi="Times New Roman" w:cs="Times New Roman"/>
        </w:rPr>
        <w:t>principle</w:t>
      </w:r>
      <w:proofErr w:type="spellEnd"/>
      <w:r w:rsidR="00DB6064">
        <w:rPr>
          <w:rFonts w:ascii="Times New Roman" w:hAnsi="Times New Roman" w:cs="Times New Roman"/>
        </w:rPr>
        <w:t xml:space="preserve"> </w:t>
      </w:r>
      <w:proofErr w:type="spellStart"/>
      <w:r w:rsidR="00DB6064">
        <w:rPr>
          <w:rFonts w:ascii="Times New Roman" w:hAnsi="Times New Roman" w:cs="Times New Roman"/>
        </w:rPr>
        <w:t>appears</w:t>
      </w:r>
      <w:proofErr w:type="spellEnd"/>
      <w:r w:rsidR="00DB6064">
        <w:rPr>
          <w:rFonts w:ascii="Times New Roman" w:hAnsi="Times New Roman" w:cs="Times New Roman"/>
        </w:rPr>
        <w:t xml:space="preserve"> as </w:t>
      </w:r>
      <w:proofErr w:type="spellStart"/>
      <w:r w:rsidR="00DB6064">
        <w:rPr>
          <w:rFonts w:ascii="Times New Roman" w:hAnsi="Times New Roman" w:cs="Times New Roman"/>
        </w:rPr>
        <w:t>one</w:t>
      </w:r>
      <w:proofErr w:type="spellEnd"/>
      <w:r w:rsidR="00DB6064">
        <w:rPr>
          <w:rFonts w:ascii="Times New Roman" w:hAnsi="Times New Roman" w:cs="Times New Roman"/>
        </w:rPr>
        <w:t xml:space="preserve"> of </w:t>
      </w:r>
      <w:proofErr w:type="spellStart"/>
      <w:r w:rsidR="00DB6064">
        <w:rPr>
          <w:rFonts w:ascii="Times New Roman" w:hAnsi="Times New Roman" w:cs="Times New Roman"/>
        </w:rPr>
        <w:t>the</w:t>
      </w:r>
      <w:proofErr w:type="spellEnd"/>
      <w:r w:rsidR="00DB6064">
        <w:rPr>
          <w:rFonts w:ascii="Times New Roman" w:hAnsi="Times New Roman" w:cs="Times New Roman"/>
        </w:rPr>
        <w:t xml:space="preserve"> </w:t>
      </w:r>
      <w:proofErr w:type="spellStart"/>
      <w:r w:rsidR="00DB6064">
        <w:rPr>
          <w:rFonts w:ascii="Times New Roman" w:hAnsi="Times New Roman" w:cs="Times New Roman"/>
        </w:rPr>
        <w:t>reflections</w:t>
      </w:r>
      <w:proofErr w:type="spellEnd"/>
      <w:r w:rsidR="00DB6064">
        <w:rPr>
          <w:rFonts w:ascii="Times New Roman" w:hAnsi="Times New Roman" w:cs="Times New Roman"/>
        </w:rPr>
        <w:t xml:space="preserve"> of </w:t>
      </w:r>
      <w:proofErr w:type="spellStart"/>
      <w:r w:rsidR="00DB6064">
        <w:rPr>
          <w:rFonts w:ascii="Times New Roman" w:hAnsi="Times New Roman" w:cs="Times New Roman"/>
        </w:rPr>
        <w:t>typ</w:t>
      </w:r>
      <w:r w:rsidR="00D17B7B">
        <w:rPr>
          <w:rFonts w:ascii="Times New Roman" w:hAnsi="Times New Roman" w:cs="Times New Roman"/>
        </w:rPr>
        <w:t>e</w:t>
      </w:r>
      <w:proofErr w:type="spellEnd"/>
      <w:r w:rsidR="00DB6064">
        <w:rPr>
          <w:rFonts w:ascii="Times New Roman" w:hAnsi="Times New Roman" w:cs="Times New Roman"/>
        </w:rPr>
        <w:t xml:space="preserve"> </w:t>
      </w:r>
      <w:proofErr w:type="spellStart"/>
      <w:r w:rsidR="00DB6064">
        <w:rPr>
          <w:rFonts w:ascii="Times New Roman" w:hAnsi="Times New Roman" w:cs="Times New Roman"/>
        </w:rPr>
        <w:t>strictness</w:t>
      </w:r>
      <w:proofErr w:type="spellEnd"/>
      <w:r w:rsidR="00DB6064">
        <w:rPr>
          <w:rFonts w:ascii="Times New Roman" w:hAnsi="Times New Roman" w:cs="Times New Roman"/>
        </w:rPr>
        <w:t xml:space="preserve"> in </w:t>
      </w:r>
      <w:proofErr w:type="spellStart"/>
      <w:r w:rsidR="00DB6064">
        <w:rPr>
          <w:rFonts w:ascii="Times New Roman" w:hAnsi="Times New Roman" w:cs="Times New Roman"/>
        </w:rPr>
        <w:t>corporations</w:t>
      </w:r>
      <w:proofErr w:type="spellEnd"/>
      <w:r w:rsidR="00DB6064">
        <w:rPr>
          <w:rStyle w:val="DipnotBavurusu"/>
          <w:rFonts w:ascii="Times New Roman" w:hAnsi="Times New Roman" w:cs="Times New Roman"/>
        </w:rPr>
        <w:footnoteReference w:id="496"/>
      </w:r>
      <w:r w:rsidR="00DB6064">
        <w:rPr>
          <w:rFonts w:ascii="Times New Roman" w:hAnsi="Times New Roman" w:cs="Times New Roman"/>
        </w:rPr>
        <w:t xml:space="preserve">. </w:t>
      </w: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control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enterprise’s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elect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directors</w:t>
      </w:r>
      <w:proofErr w:type="spellEnd"/>
      <w:r w:rsidRPr="00705170">
        <w:rPr>
          <w:rStyle w:val="DipnotBavurusu"/>
          <w:rFonts w:ascii="Times New Roman" w:hAnsi="Times New Roman" w:cs="Times New Roman"/>
        </w:rPr>
        <w:footnoteReference w:id="497"/>
      </w:r>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remaining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regarding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w:t>
      </w:r>
      <w:r w:rsidR="00EA6781" w:rsidRPr="00705170">
        <w:rPr>
          <w:rFonts w:ascii="Times New Roman" w:hAnsi="Times New Roman" w:cs="Times New Roman"/>
        </w:rPr>
        <w:t>tion’s</w:t>
      </w:r>
      <w:proofErr w:type="spellEnd"/>
      <w:r w:rsidR="00EA6781" w:rsidRPr="00705170">
        <w:rPr>
          <w:rFonts w:ascii="Times New Roman" w:hAnsi="Times New Roman" w:cs="Times New Roman"/>
        </w:rPr>
        <w:t xml:space="preserve"> </w:t>
      </w:r>
      <w:proofErr w:type="spellStart"/>
      <w:r w:rsidR="00EA6781" w:rsidRPr="00705170">
        <w:rPr>
          <w:rFonts w:ascii="Times New Roman" w:hAnsi="Times New Roman" w:cs="Times New Roman"/>
        </w:rPr>
        <w:t>management</w:t>
      </w:r>
      <w:proofErr w:type="spellEnd"/>
      <w:r w:rsidR="00EA6781" w:rsidRPr="00705170">
        <w:rPr>
          <w:rFonts w:ascii="Times New Roman" w:hAnsi="Times New Roman" w:cs="Times New Roman"/>
        </w:rPr>
        <w:t xml:space="preserve"> is </w:t>
      </w:r>
      <w:proofErr w:type="spellStart"/>
      <w:r w:rsidR="00EA6781" w:rsidRPr="00705170">
        <w:rPr>
          <w:rFonts w:ascii="Times New Roman" w:hAnsi="Times New Roman" w:cs="Times New Roman"/>
        </w:rPr>
        <w:t>restricted</w:t>
      </w:r>
      <w:proofErr w:type="spellEnd"/>
      <w:r w:rsidR="00EA6781"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vote</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fundamental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w:t>
      </w:r>
      <w:r w:rsidR="00EA6781" w:rsidRPr="00705170">
        <w:rPr>
          <w:rFonts w:ascii="Times New Roman" w:hAnsi="Times New Roman" w:cs="Times New Roman"/>
        </w:rPr>
        <w:t>hanges</w:t>
      </w:r>
      <w:proofErr w:type="spellEnd"/>
      <w:r w:rsidR="00EA6781" w:rsidRPr="00705170">
        <w:rPr>
          <w:rFonts w:ascii="Times New Roman" w:hAnsi="Times New Roman" w:cs="Times New Roman"/>
        </w:rPr>
        <w:t xml:space="preserve">, </w:t>
      </w:r>
      <w:proofErr w:type="spellStart"/>
      <w:r w:rsidR="00EA6781" w:rsidRPr="00705170">
        <w:rPr>
          <w:rFonts w:ascii="Times New Roman" w:hAnsi="Times New Roman" w:cs="Times New Roman"/>
        </w:rPr>
        <w:t>such</w:t>
      </w:r>
      <w:proofErr w:type="spellEnd"/>
      <w:r w:rsidR="00EA6781" w:rsidRPr="00705170">
        <w:rPr>
          <w:rFonts w:ascii="Times New Roman" w:hAnsi="Times New Roman" w:cs="Times New Roman"/>
        </w:rPr>
        <w:t xml:space="preserve"> as </w:t>
      </w:r>
      <w:proofErr w:type="spellStart"/>
      <w:r w:rsidR="00EA6781" w:rsidRPr="00705170">
        <w:rPr>
          <w:rFonts w:ascii="Times New Roman" w:hAnsi="Times New Roman" w:cs="Times New Roman"/>
        </w:rPr>
        <w:t>mergers</w:t>
      </w:r>
      <w:proofErr w:type="spellEnd"/>
      <w:r w:rsidR="00EA6781" w:rsidRPr="00705170">
        <w:rPr>
          <w:rFonts w:ascii="Times New Roman" w:hAnsi="Times New Roman" w:cs="Times New Roman"/>
        </w:rPr>
        <w:t xml:space="preserve">, </w:t>
      </w:r>
      <w:proofErr w:type="spellStart"/>
      <w:r w:rsidR="00DB6064">
        <w:rPr>
          <w:rFonts w:ascii="Times New Roman" w:hAnsi="Times New Roman" w:cs="Times New Roman"/>
        </w:rPr>
        <w:t>discharge</w:t>
      </w:r>
      <w:proofErr w:type="spellEnd"/>
      <w:r w:rsidR="00DB6064">
        <w:rPr>
          <w:rFonts w:ascii="Times New Roman" w:hAnsi="Times New Roman" w:cs="Times New Roman"/>
        </w:rPr>
        <w:t xml:space="preserve"> of </w:t>
      </w:r>
      <w:proofErr w:type="spellStart"/>
      <w:r w:rsidR="00DB6064">
        <w:rPr>
          <w:rFonts w:ascii="Times New Roman" w:hAnsi="Times New Roman" w:cs="Times New Roman"/>
        </w:rPr>
        <w:t>the</w:t>
      </w:r>
      <w:proofErr w:type="spellEnd"/>
      <w:r w:rsidR="00DB6064">
        <w:rPr>
          <w:rFonts w:ascii="Times New Roman" w:hAnsi="Times New Roman" w:cs="Times New Roman"/>
        </w:rPr>
        <w:t xml:space="preserve"> board of </w:t>
      </w:r>
      <w:proofErr w:type="spellStart"/>
      <w:r w:rsidR="00DB6064">
        <w:rPr>
          <w:rFonts w:ascii="Times New Roman" w:hAnsi="Times New Roman" w:cs="Times New Roman"/>
        </w:rPr>
        <w:t>directors</w:t>
      </w:r>
      <w:proofErr w:type="spellEnd"/>
      <w:r w:rsidR="00DB6064">
        <w:rPr>
          <w:rFonts w:ascii="Times New Roman" w:hAnsi="Times New Roman" w:cs="Times New Roman"/>
        </w:rPr>
        <w:t xml:space="preserve"> </w:t>
      </w:r>
      <w:proofErr w:type="spellStart"/>
      <w:r w:rsidR="00DB6064">
        <w:rPr>
          <w:rFonts w:ascii="Times New Roman" w:hAnsi="Times New Roman" w:cs="Times New Roman"/>
        </w:rPr>
        <w:t>from</w:t>
      </w:r>
      <w:proofErr w:type="spellEnd"/>
      <w:r w:rsidR="00DB6064">
        <w:rPr>
          <w:rFonts w:ascii="Times New Roman" w:hAnsi="Times New Roman" w:cs="Times New Roman"/>
        </w:rPr>
        <w:t xml:space="preserve"> </w:t>
      </w:r>
      <w:proofErr w:type="spellStart"/>
      <w:r w:rsidR="00DB6064">
        <w:rPr>
          <w:rFonts w:ascii="Times New Roman" w:hAnsi="Times New Roman" w:cs="Times New Roman"/>
        </w:rPr>
        <w:t>liability</w:t>
      </w:r>
      <w:proofErr w:type="spellEnd"/>
      <w:r w:rsidR="00DB6064">
        <w:rPr>
          <w:rFonts w:ascii="Times New Roman" w:hAnsi="Times New Roman" w:cs="Times New Roman"/>
        </w:rPr>
        <w:t xml:space="preserve">, </w:t>
      </w:r>
      <w:proofErr w:type="spellStart"/>
      <w:r w:rsidR="00EA6781" w:rsidRPr="00705170">
        <w:rPr>
          <w:rFonts w:ascii="Times New Roman" w:hAnsi="Times New Roman" w:cs="Times New Roman"/>
        </w:rPr>
        <w:t>articles</w:t>
      </w:r>
      <w:proofErr w:type="spellEnd"/>
      <w:r w:rsidR="00EA6781" w:rsidRPr="00705170">
        <w:rPr>
          <w:rFonts w:ascii="Times New Roman" w:hAnsi="Times New Roman" w:cs="Times New Roman"/>
        </w:rPr>
        <w:t xml:space="preserve"> of </w:t>
      </w:r>
      <w:proofErr w:type="spellStart"/>
      <w:r w:rsidR="00EA6781" w:rsidRPr="00705170">
        <w:rPr>
          <w:rFonts w:ascii="Times New Roman" w:hAnsi="Times New Roman" w:cs="Times New Roman"/>
        </w:rPr>
        <w:t>incorporation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amendments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sale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substantial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assets</w:t>
      </w:r>
      <w:proofErr w:type="spellEnd"/>
      <w:r w:rsidRPr="00705170">
        <w:rPr>
          <w:rStyle w:val="DipnotBavurusu"/>
          <w:rFonts w:ascii="Times New Roman" w:hAnsi="Times New Roman" w:cs="Times New Roman"/>
        </w:rPr>
        <w:footnoteReference w:id="498"/>
      </w:r>
      <w:r w:rsidR="00EA6781" w:rsidRPr="00705170">
        <w:rPr>
          <w:rFonts w:ascii="Times New Roman" w:hAnsi="Times New Roman" w:cs="Times New Roman"/>
        </w:rPr>
        <w:t>.</w:t>
      </w:r>
      <w:r w:rsidRPr="00705170">
        <w:rPr>
          <w:rFonts w:ascii="Times New Roman" w:hAnsi="Times New Roman" w:cs="Times New Roman"/>
        </w:rPr>
        <w:t xml:space="preserve"> </w:t>
      </w:r>
      <w:proofErr w:type="spellStart"/>
      <w:r w:rsidR="00EA6781" w:rsidRPr="00705170">
        <w:rPr>
          <w:rFonts w:ascii="Times New Roman" w:hAnsi="Times New Roman" w:cs="Times New Roman"/>
        </w:rPr>
        <w:t>Still</w:t>
      </w:r>
      <w:proofErr w:type="spellEnd"/>
      <w:r w:rsidR="00EA6781" w:rsidRPr="00705170">
        <w:rPr>
          <w:rFonts w:ascii="Times New Roman" w:hAnsi="Times New Roman" w:cs="Times New Roman"/>
        </w:rPr>
        <w:t xml:space="preserve">, </w:t>
      </w:r>
      <w:proofErr w:type="spellStart"/>
      <w:r w:rsidR="003567C7"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w:t>
      </w:r>
      <w:r w:rsidR="003567C7" w:rsidRPr="00705170">
        <w:rPr>
          <w:rFonts w:ascii="Times New Roman" w:hAnsi="Times New Roman" w:cs="Times New Roman"/>
        </w:rPr>
        <w:t>s</w:t>
      </w:r>
      <w:proofErr w:type="spellEnd"/>
      <w:r w:rsidR="003567C7" w:rsidRPr="00705170">
        <w:rPr>
          <w:rFonts w:ascii="Times New Roman" w:hAnsi="Times New Roman" w:cs="Times New Roman"/>
        </w:rPr>
        <w:t xml:space="preserve"> do</w:t>
      </w:r>
      <w:r w:rsidRPr="00705170">
        <w:rPr>
          <w:rFonts w:ascii="Times New Roman" w:hAnsi="Times New Roman" w:cs="Times New Roman"/>
        </w:rPr>
        <w:t xml:space="preserve"> not </w:t>
      </w:r>
      <w:proofErr w:type="spellStart"/>
      <w:r w:rsidRPr="00705170">
        <w:rPr>
          <w:rFonts w:ascii="Times New Roman" w:hAnsi="Times New Roman" w:cs="Times New Roman"/>
        </w:rPr>
        <w:t>give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utimate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control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fact</w:t>
      </w:r>
      <w:proofErr w:type="spellEnd"/>
      <w:r w:rsidRPr="00705170">
        <w:rPr>
          <w:rFonts w:ascii="Times New Roman" w:hAnsi="Times New Roman" w:cs="Times New Roman"/>
        </w:rPr>
        <w:t xml:space="preserve">, it can be </w:t>
      </w:r>
      <w:proofErr w:type="spellStart"/>
      <w:r w:rsidRPr="00705170">
        <w:rPr>
          <w:rFonts w:ascii="Times New Roman" w:hAnsi="Times New Roman" w:cs="Times New Roman"/>
        </w:rPr>
        <w:t>circumvented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depending</w:t>
      </w:r>
      <w:proofErr w:type="spellEnd"/>
      <w:r w:rsidRPr="00705170">
        <w:rPr>
          <w:rFonts w:ascii="Times New Roman" w:hAnsi="Times New Roman" w:cs="Times New Roman"/>
        </w:rPr>
        <w:t xml:space="preserve"> on how </w:t>
      </w:r>
      <w:proofErr w:type="spellStart"/>
      <w:r w:rsidRPr="00705170">
        <w:rPr>
          <w:rFonts w:ascii="Times New Roman" w:hAnsi="Times New Roman" w:cs="Times New Roman"/>
        </w:rPr>
        <w:t>wisely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directors</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structure</w:t>
      </w:r>
      <w:proofErr w:type="spellEnd"/>
      <w:r w:rsidRPr="00705170">
        <w:rPr>
          <w:rFonts w:ascii="Times New Roman" w:hAnsi="Times New Roman" w:cs="Times New Roman"/>
        </w:rPr>
        <w:t xml:space="preserve"> </w:t>
      </w:r>
      <w:proofErr w:type="spellStart"/>
      <w:r w:rsidR="00EA6781" w:rsidRPr="00705170">
        <w:rPr>
          <w:rFonts w:ascii="Times New Roman" w:hAnsi="Times New Roman" w:cs="Times New Roman"/>
        </w:rPr>
        <w:t>the</w:t>
      </w:r>
      <w:proofErr w:type="spellEnd"/>
      <w:r w:rsidR="003567C7" w:rsidRPr="00705170">
        <w:rPr>
          <w:rFonts w:ascii="Times New Roman" w:hAnsi="Times New Roman" w:cs="Times New Roman"/>
        </w:rPr>
        <w:t xml:space="preserve"> </w:t>
      </w:r>
      <w:proofErr w:type="spellStart"/>
      <w:r w:rsidR="003567C7" w:rsidRPr="00705170">
        <w:rPr>
          <w:rFonts w:ascii="Times New Roman" w:hAnsi="Times New Roman" w:cs="Times New Roman"/>
        </w:rPr>
        <w:t>business</w:t>
      </w:r>
      <w:proofErr w:type="spellEnd"/>
      <w:r w:rsidR="00EA6781" w:rsidRPr="00705170">
        <w:rPr>
          <w:rFonts w:ascii="Times New Roman" w:hAnsi="Times New Roman" w:cs="Times New Roman"/>
        </w:rPr>
        <w:t xml:space="preserve"> plan</w:t>
      </w:r>
      <w:r w:rsidRPr="00705170">
        <w:rPr>
          <w:rStyle w:val="DipnotBavurusu"/>
          <w:rFonts w:ascii="Times New Roman" w:hAnsi="Times New Roman" w:cs="Times New Roman"/>
        </w:rPr>
        <w:footnoteReference w:id="499"/>
      </w:r>
      <w:r w:rsidRPr="00705170">
        <w:rPr>
          <w:rFonts w:ascii="Times New Roman" w:hAnsi="Times New Roman" w:cs="Times New Roman"/>
        </w:rPr>
        <w:t xml:space="preserve">. Of </w:t>
      </w:r>
      <w:proofErr w:type="spellStart"/>
      <w:r w:rsidRPr="00705170">
        <w:rPr>
          <w:rFonts w:ascii="Times New Roman" w:hAnsi="Times New Roman" w:cs="Times New Roman"/>
        </w:rPr>
        <w:t>course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responsibility</w:t>
      </w:r>
      <w:proofErr w:type="spellEnd"/>
      <w:r w:rsidRPr="00705170">
        <w:rPr>
          <w:rFonts w:ascii="Times New Roman" w:hAnsi="Times New Roman" w:cs="Times New Roman"/>
        </w:rPr>
        <w:t xml:space="preserve">: </w:t>
      </w:r>
      <w:r w:rsidR="0090679D" w:rsidRPr="00705170">
        <w:rPr>
          <w:rFonts w:ascii="Times New Roman" w:hAnsi="Times New Roman" w:cs="Times New Roman"/>
          <w:color w:val="000000"/>
        </w:rPr>
        <w:t>D</w:t>
      </w:r>
      <w:r w:rsidRPr="00705170">
        <w:rPr>
          <w:rFonts w:ascii="Times New Roman" w:hAnsi="Times New Roman" w:cs="Times New Roman"/>
          <w:color w:val="000000"/>
        </w:rPr>
        <w:t xml:space="preserve">irectors </w:t>
      </w:r>
      <w:proofErr w:type="spellStart"/>
      <w:r w:rsidRPr="00705170">
        <w:rPr>
          <w:rFonts w:ascii="Times New Roman" w:hAnsi="Times New Roman" w:cs="Times New Roman"/>
          <w:color w:val="000000"/>
        </w:rPr>
        <w:t>generally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owe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duties</w:t>
      </w:r>
      <w:proofErr w:type="spellEnd"/>
      <w:r w:rsidRPr="00705170">
        <w:rPr>
          <w:rFonts w:ascii="Times New Roman" w:hAnsi="Times New Roman" w:cs="Times New Roman"/>
          <w:color w:val="000000"/>
        </w:rPr>
        <w:t xml:space="preserve"> in </w:t>
      </w:r>
      <w:proofErr w:type="spellStart"/>
      <w:r w:rsidRPr="00705170">
        <w:rPr>
          <w:rFonts w:ascii="Times New Roman" w:hAnsi="Times New Roman" w:cs="Times New Roman"/>
          <w:color w:val="000000"/>
        </w:rPr>
        <w:t>discharging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management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function</w:t>
      </w:r>
      <w:proofErr w:type="spellEnd"/>
      <w:r w:rsidRPr="00705170">
        <w:rPr>
          <w:rStyle w:val="DipnotBavurusu"/>
          <w:rFonts w:ascii="Times New Roman" w:hAnsi="Times New Roman" w:cs="Times New Roman"/>
          <w:color w:val="000000"/>
        </w:rPr>
        <w:footnoteReference w:id="500"/>
      </w:r>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and</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law</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protects</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this</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power</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and</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responsibility</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by</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invalidating</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schemes</w:t>
      </w:r>
      <w:proofErr w:type="spellEnd"/>
      <w:r w:rsidR="00F32CC9" w:rsidRPr="00705170">
        <w:rPr>
          <w:rFonts w:ascii="Times New Roman" w:hAnsi="Times New Roman" w:cs="Times New Roman"/>
          <w:color w:val="000000"/>
        </w:rPr>
        <w:t xml:space="preserve">- </w:t>
      </w:r>
      <w:proofErr w:type="spellStart"/>
      <w:r w:rsidR="00F32CC9" w:rsidRPr="00705170">
        <w:rPr>
          <w:rFonts w:ascii="Times New Roman" w:hAnsi="Times New Roman" w:cs="Times New Roman"/>
          <w:color w:val="000000"/>
        </w:rPr>
        <w:t>other</w:t>
      </w:r>
      <w:proofErr w:type="spellEnd"/>
      <w:r w:rsidR="00F32CC9" w:rsidRPr="00705170">
        <w:rPr>
          <w:rFonts w:ascii="Times New Roman" w:hAnsi="Times New Roman" w:cs="Times New Roman"/>
          <w:color w:val="000000"/>
        </w:rPr>
        <w:t xml:space="preserve"> </w:t>
      </w:r>
      <w:proofErr w:type="spellStart"/>
      <w:r w:rsidR="00F32CC9" w:rsidRPr="00705170">
        <w:rPr>
          <w:rFonts w:ascii="Times New Roman" w:hAnsi="Times New Roman" w:cs="Times New Roman"/>
          <w:color w:val="000000"/>
        </w:rPr>
        <w:t>than</w:t>
      </w:r>
      <w:proofErr w:type="spellEnd"/>
      <w:r w:rsidR="00F32CC9" w:rsidRPr="00705170">
        <w:rPr>
          <w:rFonts w:ascii="Times New Roman" w:hAnsi="Times New Roman" w:cs="Times New Roman"/>
          <w:color w:val="000000"/>
        </w:rPr>
        <w:t xml:space="preserve"> </w:t>
      </w:r>
      <w:proofErr w:type="spellStart"/>
      <w:r w:rsidR="00F32CC9" w:rsidRPr="00705170">
        <w:rPr>
          <w:rFonts w:ascii="Times New Roman" w:hAnsi="Times New Roman" w:cs="Times New Roman"/>
          <w:color w:val="000000"/>
        </w:rPr>
        <w:t>statutorily</w:t>
      </w:r>
      <w:proofErr w:type="spellEnd"/>
      <w:r w:rsidR="00F32CC9" w:rsidRPr="00705170">
        <w:rPr>
          <w:rFonts w:ascii="Times New Roman" w:hAnsi="Times New Roman" w:cs="Times New Roman"/>
          <w:color w:val="000000"/>
        </w:rPr>
        <w:t xml:space="preserve"> </w:t>
      </w:r>
      <w:proofErr w:type="spellStart"/>
      <w:r w:rsidR="00F32CC9" w:rsidRPr="00705170">
        <w:rPr>
          <w:rFonts w:ascii="Times New Roman" w:hAnsi="Times New Roman" w:cs="Times New Roman"/>
          <w:color w:val="000000"/>
        </w:rPr>
        <w:t>recognized</w:t>
      </w:r>
      <w:proofErr w:type="spellEnd"/>
      <w:r w:rsidR="00F32CC9" w:rsidRPr="00705170">
        <w:rPr>
          <w:rFonts w:ascii="Times New Roman" w:hAnsi="Times New Roman" w:cs="Times New Roman"/>
          <w:color w:val="000000"/>
        </w:rPr>
        <w:t xml:space="preserve"> </w:t>
      </w:r>
      <w:proofErr w:type="spellStart"/>
      <w:r w:rsidR="00F32CC9" w:rsidRPr="00705170">
        <w:rPr>
          <w:rFonts w:ascii="Times New Roman" w:hAnsi="Times New Roman" w:cs="Times New Roman"/>
          <w:color w:val="000000"/>
        </w:rPr>
        <w:t>exceptions</w:t>
      </w:r>
      <w:proofErr w:type="spellEnd"/>
      <w:r w:rsidR="00F32CC9" w:rsidRPr="00705170">
        <w:rPr>
          <w:rStyle w:val="DipnotBavurusu"/>
          <w:rFonts w:ascii="Times New Roman" w:hAnsi="Times New Roman" w:cs="Times New Roman"/>
          <w:color w:val="000000"/>
        </w:rPr>
        <w:footnoteReference w:id="501"/>
      </w:r>
      <w:r w:rsidR="00F32CC9" w:rsidRPr="00705170">
        <w:rPr>
          <w:rFonts w:ascii="Times New Roman" w:hAnsi="Times New Roman" w:cs="Times New Roman"/>
          <w:color w:val="000000"/>
        </w:rPr>
        <w:t>-</w:t>
      </w:r>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that</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prevent</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directors</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lastRenderedPageBreak/>
        <w:t>discharge</w:t>
      </w:r>
      <w:proofErr w:type="spellEnd"/>
      <w:r w:rsidR="005C4F17" w:rsidRPr="00705170">
        <w:rPr>
          <w:rFonts w:ascii="Times New Roman" w:hAnsi="Times New Roman" w:cs="Times New Roman"/>
          <w:color w:val="000000"/>
        </w:rPr>
        <w:t xml:space="preserve"> of </w:t>
      </w:r>
      <w:proofErr w:type="spellStart"/>
      <w:r w:rsidR="005C4F17" w:rsidRPr="00705170">
        <w:rPr>
          <w:rFonts w:ascii="Times New Roman" w:hAnsi="Times New Roman" w:cs="Times New Roman"/>
          <w:color w:val="000000"/>
        </w:rPr>
        <w:t>management</w:t>
      </w:r>
      <w:proofErr w:type="spellEnd"/>
      <w:r w:rsidR="005C4F17" w:rsidRPr="00705170">
        <w:rPr>
          <w:rFonts w:ascii="Times New Roman" w:hAnsi="Times New Roman" w:cs="Times New Roman"/>
          <w:color w:val="000000"/>
        </w:rPr>
        <w:t xml:space="preserve"> in </w:t>
      </w:r>
      <w:proofErr w:type="spellStart"/>
      <w:r w:rsidR="005C4F17" w:rsidRPr="00705170">
        <w:rPr>
          <w:rFonts w:ascii="Times New Roman" w:hAnsi="Times New Roman" w:cs="Times New Roman"/>
          <w:color w:val="000000"/>
        </w:rPr>
        <w:t>accordance</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with</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their</w:t>
      </w:r>
      <w:proofErr w:type="spellEnd"/>
      <w:r w:rsidR="005C4F17" w:rsidRPr="00705170">
        <w:rPr>
          <w:rFonts w:ascii="Times New Roman" w:hAnsi="Times New Roman" w:cs="Times New Roman"/>
          <w:color w:val="000000"/>
        </w:rPr>
        <w:t xml:space="preserve"> </w:t>
      </w:r>
      <w:proofErr w:type="spellStart"/>
      <w:r w:rsidR="005C4F17" w:rsidRPr="00705170">
        <w:rPr>
          <w:rFonts w:ascii="Times New Roman" w:hAnsi="Times New Roman" w:cs="Times New Roman"/>
          <w:color w:val="000000"/>
        </w:rPr>
        <w:t>duties</w:t>
      </w:r>
      <w:proofErr w:type="spellEnd"/>
      <w:r w:rsidR="00735653" w:rsidRPr="00705170">
        <w:rPr>
          <w:rFonts w:ascii="Times New Roman" w:hAnsi="Times New Roman" w:cs="Times New Roman"/>
          <w:color w:val="000000"/>
        </w:rPr>
        <w:t xml:space="preserve"> (</w:t>
      </w:r>
      <w:proofErr w:type="spellStart"/>
      <w:r w:rsidR="00735653" w:rsidRPr="00705170">
        <w:rPr>
          <w:rFonts w:ascii="Times New Roman" w:hAnsi="Times New Roman" w:cs="Times New Roman"/>
          <w:color w:val="000000"/>
        </w:rPr>
        <w:t>e.g</w:t>
      </w:r>
      <w:proofErr w:type="spellEnd"/>
      <w:r w:rsidR="00735653" w:rsidRPr="00705170">
        <w:rPr>
          <w:rFonts w:ascii="Times New Roman" w:hAnsi="Times New Roman" w:cs="Times New Roman"/>
          <w:color w:val="000000"/>
        </w:rPr>
        <w:t xml:space="preserve">., </w:t>
      </w:r>
      <w:proofErr w:type="spellStart"/>
      <w:r w:rsidR="00735653" w:rsidRPr="00705170">
        <w:rPr>
          <w:rFonts w:ascii="Times New Roman" w:hAnsi="Times New Roman" w:cs="Times New Roman"/>
          <w:color w:val="000000"/>
        </w:rPr>
        <w:t>fiduciary</w:t>
      </w:r>
      <w:proofErr w:type="spellEnd"/>
      <w:r w:rsidR="00735653" w:rsidRPr="00705170">
        <w:rPr>
          <w:rFonts w:ascii="Times New Roman" w:hAnsi="Times New Roman" w:cs="Times New Roman"/>
          <w:color w:val="000000"/>
        </w:rPr>
        <w:t xml:space="preserve"> </w:t>
      </w:r>
      <w:proofErr w:type="spellStart"/>
      <w:r w:rsidR="00735653" w:rsidRPr="00705170">
        <w:rPr>
          <w:rFonts w:ascii="Times New Roman" w:hAnsi="Times New Roman" w:cs="Times New Roman"/>
          <w:color w:val="000000"/>
        </w:rPr>
        <w:t>duties</w:t>
      </w:r>
      <w:proofErr w:type="spellEnd"/>
      <w:r w:rsidR="00735653" w:rsidRPr="00705170">
        <w:rPr>
          <w:rFonts w:ascii="Times New Roman" w:hAnsi="Times New Roman" w:cs="Times New Roman"/>
          <w:color w:val="000000"/>
        </w:rPr>
        <w:t>)</w:t>
      </w:r>
      <w:r w:rsidR="005C4F17" w:rsidRPr="00705170">
        <w:rPr>
          <w:rStyle w:val="DipnotBavurusu"/>
          <w:rFonts w:ascii="Times New Roman" w:hAnsi="Times New Roman" w:cs="Times New Roman"/>
          <w:color w:val="000000"/>
        </w:rPr>
        <w:footnoteReference w:id="502"/>
      </w:r>
      <w:r w:rsidR="005551D4" w:rsidRPr="00705170">
        <w:rPr>
          <w:rFonts w:ascii="Times New Roman" w:hAnsi="Times New Roman" w:cs="Times New Roman"/>
          <w:color w:val="000000"/>
        </w:rPr>
        <w:t>.</w:t>
      </w:r>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This</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statutory</w:t>
      </w:r>
      <w:proofErr w:type="spellEnd"/>
      <w:r w:rsidR="00213B55" w:rsidRPr="00705170">
        <w:rPr>
          <w:rFonts w:ascii="Times New Roman" w:hAnsi="Times New Roman" w:cs="Times New Roman"/>
        </w:rPr>
        <w:t xml:space="preserve"> norm on board </w:t>
      </w:r>
      <w:proofErr w:type="spellStart"/>
      <w:r w:rsidR="00213B55" w:rsidRPr="00705170">
        <w:rPr>
          <w:rFonts w:ascii="Times New Roman" w:hAnsi="Times New Roman" w:cs="Times New Roman"/>
        </w:rPr>
        <w:t>decision-making</w:t>
      </w:r>
      <w:proofErr w:type="spellEnd"/>
      <w:r w:rsidR="006D2FF8" w:rsidRPr="00705170">
        <w:rPr>
          <w:rStyle w:val="DipnotBavurusu"/>
          <w:rFonts w:ascii="Times New Roman" w:hAnsi="Times New Roman" w:cs="Times New Roman"/>
        </w:rPr>
        <w:footnoteReference w:id="503"/>
      </w:r>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constitutes</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one</w:t>
      </w:r>
      <w:proofErr w:type="spellEnd"/>
      <w:r w:rsidR="00213B55" w:rsidRPr="00705170">
        <w:rPr>
          <w:rFonts w:ascii="Times New Roman" w:hAnsi="Times New Roman" w:cs="Times New Roman"/>
        </w:rPr>
        <w:t xml:space="preserve"> of </w:t>
      </w:r>
      <w:proofErr w:type="spellStart"/>
      <w:r w:rsidR="00213B55" w:rsidRPr="00705170">
        <w:rPr>
          <w:rFonts w:ascii="Times New Roman" w:hAnsi="Times New Roman" w:cs="Times New Roman"/>
        </w:rPr>
        <w:t>the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basic</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reasonable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expectations</w:t>
      </w:r>
      <w:proofErr w:type="spellEnd"/>
      <w:r w:rsidR="00213B55" w:rsidRPr="00705170">
        <w:rPr>
          <w:rFonts w:ascii="Times New Roman" w:hAnsi="Times New Roman" w:cs="Times New Roman"/>
        </w:rPr>
        <w:t xml:space="preserve"> of </w:t>
      </w:r>
      <w:proofErr w:type="spellStart"/>
      <w:r w:rsidR="00213B55" w:rsidRPr="00705170">
        <w:rPr>
          <w:rFonts w:ascii="Times New Roman" w:hAnsi="Times New Roman" w:cs="Times New Roman"/>
        </w:rPr>
        <w:t>the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shareholders</w:t>
      </w:r>
      <w:proofErr w:type="spellEnd"/>
      <w:r w:rsidR="00213B55" w:rsidRPr="00705170">
        <w:rPr>
          <w:rFonts w:ascii="Times New Roman" w:hAnsi="Times New Roman" w:cs="Times New Roman"/>
        </w:rPr>
        <w:t xml:space="preserve"> in </w:t>
      </w:r>
      <w:proofErr w:type="spellStart"/>
      <w:r w:rsidR="00213B55" w:rsidRPr="00705170">
        <w:rPr>
          <w:rFonts w:ascii="Times New Roman" w:hAnsi="Times New Roman" w:cs="Times New Roman"/>
        </w:rPr>
        <w:t>publicly</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traded</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corporations</w:t>
      </w:r>
      <w:proofErr w:type="spellEnd"/>
      <w:r w:rsidR="00213B55" w:rsidRPr="00705170">
        <w:rPr>
          <w:rStyle w:val="DipnotBavurusu"/>
          <w:rFonts w:ascii="Times New Roman" w:hAnsi="Times New Roman" w:cs="Times New Roman"/>
        </w:rPr>
        <w:footnoteReference w:id="504"/>
      </w:r>
      <w:r w:rsidR="00102E5C" w:rsidRPr="00705170">
        <w:rPr>
          <w:rFonts w:ascii="Times New Roman" w:hAnsi="Times New Roman" w:cs="Times New Roman"/>
        </w:rPr>
        <w:t>.</w:t>
      </w:r>
    </w:p>
    <w:p w14:paraId="5DED4894" w14:textId="7006173D" w:rsidR="00213B55" w:rsidRPr="00705170" w:rsidRDefault="00010E4A" w:rsidP="00213B55">
      <w:pPr>
        <w:spacing w:after="240" w:line="480" w:lineRule="auto"/>
        <w:ind w:firstLine="720"/>
        <w:jc w:val="both"/>
        <w:rPr>
          <w:rFonts w:ascii="Times New Roman" w:hAnsi="Times New Roman" w:cs="Times New Roman"/>
        </w:rPr>
      </w:pPr>
      <w:r w:rsidRPr="00705170">
        <w:rPr>
          <w:rFonts w:ascii="Times New Roman" w:hAnsi="Times New Roman" w:cs="Times New Roman"/>
        </w:rPr>
        <w:t>“</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essential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attribute</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in a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he is </w:t>
      </w:r>
      <w:proofErr w:type="spellStart"/>
      <w:r w:rsidRPr="00705170">
        <w:rPr>
          <w:rFonts w:ascii="Times New Roman" w:hAnsi="Times New Roman" w:cs="Times New Roman"/>
        </w:rPr>
        <w:t>entitled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participate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according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amount</w:t>
      </w:r>
      <w:proofErr w:type="spellEnd"/>
      <w:r w:rsidRPr="00705170">
        <w:rPr>
          <w:rFonts w:ascii="Times New Roman" w:hAnsi="Times New Roman" w:cs="Times New Roman"/>
        </w:rPr>
        <w:t xml:space="preserve"> of his </w:t>
      </w:r>
      <w:proofErr w:type="spellStart"/>
      <w:r w:rsidRPr="00705170">
        <w:rPr>
          <w:rFonts w:ascii="Times New Roman" w:hAnsi="Times New Roman" w:cs="Times New Roman"/>
        </w:rPr>
        <w:t>stock</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selection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he </w:t>
      </w:r>
      <w:proofErr w:type="spellStart"/>
      <w:r w:rsidRPr="00705170">
        <w:rPr>
          <w:rFonts w:ascii="Times New Roman" w:hAnsi="Times New Roman" w:cs="Times New Roman"/>
        </w:rPr>
        <w:t>cannot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deprived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deprive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himself</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505"/>
      </w:r>
      <w:r w:rsidRPr="00705170">
        <w:rPr>
          <w:rFonts w:ascii="Times New Roman" w:hAnsi="Times New Roman" w:cs="Times New Roman"/>
        </w:rPr>
        <w:t xml:space="preserve">. </w:t>
      </w:r>
      <w:proofErr w:type="spellStart"/>
      <w:r w:rsidR="003C6988" w:rsidRPr="00705170">
        <w:rPr>
          <w:rFonts w:ascii="Times New Roman" w:hAnsi="Times New Roman" w:cs="Times New Roman"/>
        </w:rPr>
        <w:t>While</w:t>
      </w:r>
      <w:proofErr w:type="spellEnd"/>
      <w:r w:rsidR="003C6988" w:rsidRPr="00705170">
        <w:rPr>
          <w:rFonts w:ascii="Times New Roman" w:hAnsi="Times New Roman" w:cs="Times New Roman"/>
        </w:rPr>
        <w:t xml:space="preserve"> </w:t>
      </w:r>
      <w:proofErr w:type="spellStart"/>
      <w:r w:rsidR="003C6988" w:rsidRPr="00705170">
        <w:rPr>
          <w:rFonts w:ascii="Times New Roman" w:hAnsi="Times New Roman" w:cs="Times New Roman"/>
        </w:rPr>
        <w:t>this</w:t>
      </w:r>
      <w:proofErr w:type="spellEnd"/>
      <w:r w:rsidR="003C6988" w:rsidRPr="00705170">
        <w:rPr>
          <w:rFonts w:ascii="Times New Roman" w:hAnsi="Times New Roman" w:cs="Times New Roman"/>
        </w:rPr>
        <w:t xml:space="preserve"> “</w:t>
      </w:r>
      <w:proofErr w:type="spellStart"/>
      <w:r w:rsidR="003C6988" w:rsidRPr="00705170">
        <w:rPr>
          <w:rFonts w:ascii="Times New Roman" w:hAnsi="Times New Roman" w:cs="Times New Roman"/>
        </w:rPr>
        <w:t>essential</w:t>
      </w:r>
      <w:proofErr w:type="spellEnd"/>
      <w:r w:rsidR="003C6988" w:rsidRPr="00705170">
        <w:rPr>
          <w:rFonts w:ascii="Times New Roman" w:hAnsi="Times New Roman" w:cs="Times New Roman"/>
        </w:rPr>
        <w:t xml:space="preserve"> </w:t>
      </w:r>
      <w:proofErr w:type="spellStart"/>
      <w:r w:rsidR="003C6988" w:rsidRPr="00705170">
        <w:rPr>
          <w:rFonts w:ascii="Times New Roman" w:hAnsi="Times New Roman" w:cs="Times New Roman"/>
        </w:rPr>
        <w:t>attribute</w:t>
      </w:r>
      <w:proofErr w:type="spellEnd"/>
      <w:r w:rsidR="003C6988" w:rsidRPr="00705170">
        <w:rPr>
          <w:rFonts w:ascii="Times New Roman" w:hAnsi="Times New Roman" w:cs="Times New Roman"/>
        </w:rPr>
        <w:t>”</w:t>
      </w:r>
      <w:r w:rsidR="006A4E7A" w:rsidRPr="00705170">
        <w:rPr>
          <w:rFonts w:ascii="Times New Roman" w:hAnsi="Times New Roman" w:cs="Times New Roman"/>
        </w:rPr>
        <w:t xml:space="preserve"> </w:t>
      </w:r>
      <w:proofErr w:type="spellStart"/>
      <w:r w:rsidR="006A4E7A" w:rsidRPr="00705170">
        <w:rPr>
          <w:rFonts w:ascii="Times New Roman" w:hAnsi="Times New Roman" w:cs="Times New Roman"/>
        </w:rPr>
        <w:t>does</w:t>
      </w:r>
      <w:proofErr w:type="spellEnd"/>
      <w:r w:rsidR="006A4E7A" w:rsidRPr="00705170">
        <w:rPr>
          <w:rFonts w:ascii="Times New Roman" w:hAnsi="Times New Roman" w:cs="Times New Roman"/>
        </w:rPr>
        <w:t xml:space="preserve"> not </w:t>
      </w:r>
      <w:proofErr w:type="spellStart"/>
      <w:r w:rsidR="006A4E7A" w:rsidRPr="00705170">
        <w:rPr>
          <w:rFonts w:ascii="Times New Roman" w:hAnsi="Times New Roman" w:cs="Times New Roman"/>
        </w:rPr>
        <w:t>provide</w:t>
      </w:r>
      <w:proofErr w:type="spellEnd"/>
      <w:r w:rsidR="003C6988" w:rsidRPr="00705170">
        <w:rPr>
          <w:rFonts w:ascii="Times New Roman" w:hAnsi="Times New Roman" w:cs="Times New Roman"/>
        </w:rPr>
        <w:t xml:space="preserve"> a </w:t>
      </w:r>
      <w:proofErr w:type="spellStart"/>
      <w:r w:rsidR="003C6988" w:rsidRPr="00705170">
        <w:rPr>
          <w:rFonts w:ascii="Times New Roman" w:hAnsi="Times New Roman" w:cs="Times New Roman"/>
        </w:rPr>
        <w:t>vested</w:t>
      </w:r>
      <w:proofErr w:type="spellEnd"/>
      <w:r w:rsidR="003C6988" w:rsidRPr="00705170">
        <w:rPr>
          <w:rFonts w:ascii="Times New Roman" w:hAnsi="Times New Roman" w:cs="Times New Roman"/>
        </w:rPr>
        <w:t xml:space="preserve"> </w:t>
      </w:r>
      <w:proofErr w:type="spellStart"/>
      <w:r w:rsidR="003C6988" w:rsidRPr="00705170">
        <w:rPr>
          <w:rFonts w:ascii="Times New Roman" w:hAnsi="Times New Roman" w:cs="Times New Roman"/>
        </w:rPr>
        <w:t>right</w:t>
      </w:r>
      <w:proofErr w:type="spellEnd"/>
      <w:r w:rsidR="003C6988" w:rsidRPr="00705170">
        <w:rPr>
          <w:rFonts w:ascii="Times New Roman" w:hAnsi="Times New Roman" w:cs="Times New Roman"/>
        </w:rPr>
        <w:t xml:space="preserve"> </w:t>
      </w:r>
      <w:proofErr w:type="spellStart"/>
      <w:r w:rsidR="003C6988" w:rsidRPr="00705170">
        <w:rPr>
          <w:rFonts w:ascii="Times New Roman" w:hAnsi="Times New Roman" w:cs="Times New Roman"/>
        </w:rPr>
        <w:t>to</w:t>
      </w:r>
      <w:proofErr w:type="spellEnd"/>
      <w:r w:rsidR="003C6988" w:rsidRPr="00705170">
        <w:rPr>
          <w:rFonts w:ascii="Times New Roman" w:hAnsi="Times New Roman" w:cs="Times New Roman"/>
        </w:rPr>
        <w:t xml:space="preserve"> </w:t>
      </w:r>
      <w:proofErr w:type="spellStart"/>
      <w:r w:rsidR="003C6988" w:rsidRPr="00705170">
        <w:rPr>
          <w:rFonts w:ascii="Times New Roman" w:hAnsi="Times New Roman" w:cs="Times New Roman"/>
        </w:rPr>
        <w:t>become</w:t>
      </w:r>
      <w:proofErr w:type="spellEnd"/>
      <w:r w:rsidR="003C6988" w:rsidRPr="00705170">
        <w:rPr>
          <w:rFonts w:ascii="Times New Roman" w:hAnsi="Times New Roman" w:cs="Times New Roman"/>
        </w:rPr>
        <w:t xml:space="preserve"> a </w:t>
      </w:r>
      <w:proofErr w:type="spellStart"/>
      <w:r w:rsidR="003C6988" w:rsidRPr="00705170">
        <w:rPr>
          <w:rFonts w:ascii="Times New Roman" w:hAnsi="Times New Roman" w:cs="Times New Roman"/>
        </w:rPr>
        <w:t>directo</w:t>
      </w:r>
      <w:r w:rsidR="006A4E7A" w:rsidRPr="00705170">
        <w:rPr>
          <w:rFonts w:ascii="Times New Roman" w:hAnsi="Times New Roman" w:cs="Times New Roman"/>
        </w:rPr>
        <w:t>r</w:t>
      </w:r>
      <w:proofErr w:type="spellEnd"/>
      <w:r w:rsidR="006A4E7A" w:rsidRPr="00705170">
        <w:rPr>
          <w:rFonts w:ascii="Times New Roman" w:hAnsi="Times New Roman" w:cs="Times New Roman"/>
        </w:rPr>
        <w:t xml:space="preserve">- </w:t>
      </w:r>
      <w:proofErr w:type="spellStart"/>
      <w:r w:rsidR="006A4E7A" w:rsidRPr="00705170">
        <w:rPr>
          <w:rFonts w:ascii="Times New Roman" w:hAnsi="Times New Roman" w:cs="Times New Roman"/>
        </w:rPr>
        <w:t>shareholder</w:t>
      </w:r>
      <w:proofErr w:type="spellEnd"/>
      <w:r w:rsidR="003C6988" w:rsidRPr="00705170">
        <w:rPr>
          <w:rStyle w:val="DipnotBavurusu"/>
          <w:rFonts w:ascii="Times New Roman" w:hAnsi="Times New Roman" w:cs="Times New Roman"/>
        </w:rPr>
        <w:footnoteReference w:id="506"/>
      </w:r>
      <w:r w:rsidR="003C6988" w:rsidRPr="00705170">
        <w:rPr>
          <w:rFonts w:ascii="Times New Roman" w:hAnsi="Times New Roman" w:cs="Times New Roman"/>
        </w:rPr>
        <w:t xml:space="preserve">, it </w:t>
      </w:r>
      <w:proofErr w:type="spellStart"/>
      <w:r w:rsidR="003C6988" w:rsidRPr="00705170">
        <w:rPr>
          <w:rFonts w:ascii="Times New Roman" w:hAnsi="Times New Roman" w:cs="Times New Roman"/>
        </w:rPr>
        <w:t>provides</w:t>
      </w:r>
      <w:proofErr w:type="spellEnd"/>
      <w:r w:rsidR="003C6988" w:rsidRPr="00705170">
        <w:rPr>
          <w:rFonts w:ascii="Times New Roman" w:hAnsi="Times New Roman" w:cs="Times New Roman"/>
        </w:rPr>
        <w:t xml:space="preserve"> </w:t>
      </w:r>
      <w:proofErr w:type="spellStart"/>
      <w:r w:rsidR="003C6988"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handled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elected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006F604A" w:rsidRPr="00705170">
        <w:rPr>
          <w:rStyle w:val="DipnotBavurusu"/>
          <w:rFonts w:ascii="Times New Roman" w:hAnsi="Times New Roman" w:cs="Times New Roman"/>
        </w:rPr>
        <w:footnoteReference w:id="507"/>
      </w:r>
      <w:r w:rsidRPr="00705170">
        <w:rPr>
          <w:rFonts w:ascii="Times New Roman" w:hAnsi="Times New Roman" w:cs="Times New Roman"/>
        </w:rPr>
        <w:t xml:space="preserve">. </w:t>
      </w:r>
      <w:proofErr w:type="spellStart"/>
      <w:r w:rsidR="00213B55" w:rsidRPr="00705170">
        <w:rPr>
          <w:rFonts w:ascii="Times New Roman" w:hAnsi="Times New Roman" w:cs="Times New Roman"/>
        </w:rPr>
        <w:t>Corollary</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right</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to</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elect</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directors</w:t>
      </w:r>
      <w:proofErr w:type="spellEnd"/>
      <w:r w:rsidR="00213B55" w:rsidRPr="00705170">
        <w:rPr>
          <w:rFonts w:ascii="Times New Roman" w:hAnsi="Times New Roman" w:cs="Times New Roman"/>
        </w:rPr>
        <w:t xml:space="preserve"> is </w:t>
      </w:r>
      <w:proofErr w:type="spellStart"/>
      <w:r w:rsidR="00213B55" w:rsidRPr="00705170">
        <w:rPr>
          <w:rFonts w:ascii="Times New Roman" w:hAnsi="Times New Roman" w:cs="Times New Roman"/>
        </w:rPr>
        <w:t>considered</w:t>
      </w:r>
      <w:proofErr w:type="spellEnd"/>
      <w:r w:rsidR="00213B55" w:rsidRPr="00705170">
        <w:rPr>
          <w:rFonts w:ascii="Times New Roman" w:hAnsi="Times New Roman" w:cs="Times New Roman"/>
        </w:rPr>
        <w:t xml:space="preserve"> as </w:t>
      </w:r>
      <w:proofErr w:type="spellStart"/>
      <w:r w:rsidR="00213B55" w:rsidRPr="00705170">
        <w:rPr>
          <w:rFonts w:ascii="Times New Roman" w:hAnsi="Times New Roman" w:cs="Times New Roman"/>
        </w:rPr>
        <w:t>one</w:t>
      </w:r>
      <w:proofErr w:type="spellEnd"/>
      <w:r w:rsidR="00213B55" w:rsidRPr="00705170">
        <w:rPr>
          <w:rFonts w:ascii="Times New Roman" w:hAnsi="Times New Roman" w:cs="Times New Roman"/>
        </w:rPr>
        <w:t xml:space="preserve"> of </w:t>
      </w:r>
      <w:proofErr w:type="spellStart"/>
      <w:r w:rsidR="00213B55" w:rsidRPr="00705170">
        <w:rPr>
          <w:rFonts w:ascii="Times New Roman" w:hAnsi="Times New Roman" w:cs="Times New Roman"/>
        </w:rPr>
        <w:t>the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fundamental</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rights</w:t>
      </w:r>
      <w:proofErr w:type="spellEnd"/>
      <w:r w:rsidR="00213B55" w:rsidRPr="00705170">
        <w:rPr>
          <w:rFonts w:ascii="Times New Roman" w:hAnsi="Times New Roman" w:cs="Times New Roman"/>
        </w:rPr>
        <w:t xml:space="preserve"> of </w:t>
      </w:r>
      <w:proofErr w:type="spellStart"/>
      <w:r w:rsidR="00213B55" w:rsidRPr="00705170">
        <w:rPr>
          <w:rFonts w:ascii="Times New Roman" w:hAnsi="Times New Roman" w:cs="Times New Roman"/>
        </w:rPr>
        <w:t>the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shareholders</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so</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deserve</w:t>
      </w:r>
      <w:proofErr w:type="spellEnd"/>
      <w:r w:rsidR="00213B55" w:rsidRPr="00705170">
        <w:rPr>
          <w:rFonts w:ascii="Times New Roman" w:hAnsi="Times New Roman" w:cs="Times New Roman"/>
        </w:rPr>
        <w:t xml:space="preserve"> a </w:t>
      </w:r>
      <w:proofErr w:type="spellStart"/>
      <w:r w:rsidR="00213B55" w:rsidRPr="00705170">
        <w:rPr>
          <w:rFonts w:ascii="Times New Roman" w:hAnsi="Times New Roman" w:cs="Times New Roman"/>
        </w:rPr>
        <w:t>great</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deal</w:t>
      </w:r>
      <w:proofErr w:type="spellEnd"/>
      <w:r w:rsidR="00213B55" w:rsidRPr="00705170">
        <w:rPr>
          <w:rFonts w:ascii="Times New Roman" w:hAnsi="Times New Roman" w:cs="Times New Roman"/>
        </w:rPr>
        <w:t xml:space="preserve"> of </w:t>
      </w:r>
      <w:proofErr w:type="spellStart"/>
      <w:r w:rsidR="00213B55" w:rsidRPr="00705170">
        <w:rPr>
          <w:rFonts w:ascii="Times New Roman" w:hAnsi="Times New Roman" w:cs="Times New Roman"/>
        </w:rPr>
        <w:t>protection</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by</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law</w:t>
      </w:r>
      <w:proofErr w:type="spellEnd"/>
      <w:r w:rsidR="00213B55" w:rsidRPr="00705170">
        <w:rPr>
          <w:rStyle w:val="DipnotBavurusu"/>
          <w:rFonts w:ascii="Times New Roman" w:hAnsi="Times New Roman" w:cs="Times New Roman"/>
        </w:rPr>
        <w:footnoteReference w:id="508"/>
      </w:r>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This</w:t>
      </w:r>
      <w:proofErr w:type="spellEnd"/>
      <w:r w:rsidR="00213B55" w:rsidRPr="00705170">
        <w:rPr>
          <w:rFonts w:ascii="Times New Roman" w:hAnsi="Times New Roman" w:cs="Times New Roman"/>
        </w:rPr>
        <w:t xml:space="preserve"> is not </w:t>
      </w:r>
      <w:proofErr w:type="spellStart"/>
      <w:r w:rsidR="00213B55" w:rsidRPr="00705170">
        <w:rPr>
          <w:rFonts w:ascii="Times New Roman" w:hAnsi="Times New Roman" w:cs="Times New Roman"/>
        </w:rPr>
        <w:t>for</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nothing</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The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representation</w:t>
      </w:r>
      <w:proofErr w:type="spellEnd"/>
      <w:r w:rsidR="00213B55" w:rsidRPr="00705170">
        <w:rPr>
          <w:rFonts w:ascii="Times New Roman" w:hAnsi="Times New Roman" w:cs="Times New Roman"/>
        </w:rPr>
        <w:t xml:space="preserve"> of </w:t>
      </w:r>
      <w:proofErr w:type="spellStart"/>
      <w:r w:rsidR="00213B55" w:rsidRPr="00705170">
        <w:rPr>
          <w:rFonts w:ascii="Times New Roman" w:hAnsi="Times New Roman" w:cs="Times New Roman"/>
        </w:rPr>
        <w:t>the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collective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interests</w:t>
      </w:r>
      <w:proofErr w:type="spellEnd"/>
      <w:r w:rsidR="00213B55" w:rsidRPr="00705170">
        <w:rPr>
          <w:rFonts w:ascii="Times New Roman" w:hAnsi="Times New Roman" w:cs="Times New Roman"/>
        </w:rPr>
        <w:t xml:space="preserve"> of </w:t>
      </w:r>
      <w:proofErr w:type="spellStart"/>
      <w:r w:rsidR="00213B55" w:rsidRPr="00705170">
        <w:rPr>
          <w:rFonts w:ascii="Times New Roman" w:hAnsi="Times New Roman" w:cs="Times New Roman"/>
        </w:rPr>
        <w:t>shareholders</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by</w:t>
      </w:r>
      <w:proofErr w:type="spellEnd"/>
      <w:r w:rsidR="00213B55" w:rsidRPr="00705170">
        <w:rPr>
          <w:rFonts w:ascii="Times New Roman" w:hAnsi="Times New Roman" w:cs="Times New Roman"/>
        </w:rPr>
        <w:t xml:space="preserve"> a </w:t>
      </w:r>
      <w:proofErr w:type="spellStart"/>
      <w:r w:rsidR="00213B55" w:rsidRPr="00705170">
        <w:rPr>
          <w:rFonts w:ascii="Times New Roman" w:hAnsi="Times New Roman" w:cs="Times New Roman"/>
        </w:rPr>
        <w:t>centralized</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management</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by</w:t>
      </w:r>
      <w:proofErr w:type="spellEnd"/>
      <w:r w:rsidR="00213B55" w:rsidRPr="00705170">
        <w:rPr>
          <w:rFonts w:ascii="Times New Roman" w:hAnsi="Times New Roman" w:cs="Times New Roman"/>
        </w:rPr>
        <w:t xml:space="preserve"> a board of </w:t>
      </w:r>
      <w:proofErr w:type="spellStart"/>
      <w:r w:rsidR="00213B55" w:rsidRPr="00705170">
        <w:rPr>
          <w:rFonts w:ascii="Times New Roman" w:hAnsi="Times New Roman" w:cs="Times New Roman"/>
        </w:rPr>
        <w:t>directors</w:t>
      </w:r>
      <w:proofErr w:type="spellEnd"/>
      <w:r w:rsidR="00213B55" w:rsidRPr="00705170">
        <w:rPr>
          <w:rFonts w:ascii="Times New Roman" w:hAnsi="Times New Roman" w:cs="Times New Roman"/>
        </w:rPr>
        <w:t xml:space="preserve"> is </w:t>
      </w:r>
      <w:proofErr w:type="spellStart"/>
      <w:r w:rsidR="00213B55" w:rsidRPr="00705170">
        <w:rPr>
          <w:rFonts w:ascii="Times New Roman" w:hAnsi="Times New Roman" w:cs="Times New Roman"/>
        </w:rPr>
        <w:t>accepted</w:t>
      </w:r>
      <w:proofErr w:type="spellEnd"/>
      <w:r w:rsidR="00213B55" w:rsidRPr="00705170">
        <w:rPr>
          <w:rFonts w:ascii="Times New Roman" w:hAnsi="Times New Roman" w:cs="Times New Roman"/>
        </w:rPr>
        <w:t xml:space="preserve"> </w:t>
      </w:r>
      <w:r w:rsidR="00213B55" w:rsidRPr="00705170">
        <w:rPr>
          <w:rFonts w:ascii="Times New Roman" w:hAnsi="Times New Roman" w:cs="Times New Roman"/>
        </w:rPr>
        <w:lastRenderedPageBreak/>
        <w:t xml:space="preserve">as a </w:t>
      </w:r>
      <w:proofErr w:type="spellStart"/>
      <w:r w:rsidR="00213B55" w:rsidRPr="00705170">
        <w:rPr>
          <w:rFonts w:ascii="Times New Roman" w:hAnsi="Times New Roman" w:cs="Times New Roman"/>
        </w:rPr>
        <w:t>necessary</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concomitant</w:t>
      </w:r>
      <w:proofErr w:type="spellEnd"/>
      <w:r w:rsidR="00213B55" w:rsidRPr="00705170">
        <w:rPr>
          <w:rFonts w:ascii="Times New Roman" w:hAnsi="Times New Roman" w:cs="Times New Roman"/>
        </w:rPr>
        <w:t xml:space="preserve"> of </w:t>
      </w:r>
      <w:proofErr w:type="spellStart"/>
      <w:r w:rsidR="00213B55" w:rsidRPr="00705170">
        <w:rPr>
          <w:rFonts w:ascii="Times New Roman" w:hAnsi="Times New Roman" w:cs="Times New Roman"/>
        </w:rPr>
        <w:t>the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corporation</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and</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its</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most</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distinctive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attribute</w:t>
      </w:r>
      <w:proofErr w:type="spellEnd"/>
      <w:r w:rsidR="00213B55" w:rsidRPr="00705170">
        <w:rPr>
          <w:rStyle w:val="DipnotBavurusu"/>
          <w:rFonts w:ascii="Times New Roman" w:hAnsi="Times New Roman" w:cs="Times New Roman"/>
        </w:rPr>
        <w:footnoteReference w:id="509"/>
      </w:r>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After</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all</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centralized</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authority</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enhances</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organizational</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efficiency</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because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the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centralization</w:t>
      </w:r>
      <w:proofErr w:type="spellEnd"/>
      <w:r w:rsidR="00213B55" w:rsidRPr="00705170">
        <w:rPr>
          <w:rFonts w:ascii="Times New Roman" w:hAnsi="Times New Roman" w:cs="Times New Roman"/>
        </w:rPr>
        <w:t xml:space="preserve"> of </w:t>
      </w:r>
      <w:proofErr w:type="spellStart"/>
      <w:r w:rsidR="00213B55" w:rsidRPr="00705170">
        <w:rPr>
          <w:rFonts w:ascii="Times New Roman" w:hAnsi="Times New Roman" w:cs="Times New Roman"/>
        </w:rPr>
        <w:t>decision</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making</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serves</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to</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economize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transmission</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and</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handling</w:t>
      </w:r>
      <w:proofErr w:type="spellEnd"/>
      <w:r w:rsidR="00213B55" w:rsidRPr="00705170">
        <w:rPr>
          <w:rFonts w:ascii="Times New Roman" w:hAnsi="Times New Roman" w:cs="Times New Roman"/>
        </w:rPr>
        <w:t xml:space="preserve"> of </w:t>
      </w:r>
      <w:proofErr w:type="spellStart"/>
      <w:r w:rsidR="00213B55" w:rsidRPr="00705170">
        <w:rPr>
          <w:rFonts w:ascii="Times New Roman" w:hAnsi="Times New Roman" w:cs="Times New Roman"/>
        </w:rPr>
        <w:t>information</w:t>
      </w:r>
      <w:proofErr w:type="spellEnd"/>
      <w:r w:rsidR="00213B55" w:rsidRPr="00705170">
        <w:rPr>
          <w:rStyle w:val="DipnotBavurusu"/>
          <w:rFonts w:ascii="Times New Roman" w:hAnsi="Times New Roman" w:cs="Times New Roman"/>
        </w:rPr>
        <w:footnoteReference w:id="510"/>
      </w:r>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and</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groups</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make</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better</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decisions</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than</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individuals</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and</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group</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decisionmaking</w:t>
      </w:r>
      <w:proofErr w:type="spellEnd"/>
      <w:r w:rsidR="00213B55" w:rsidRPr="00705170">
        <w:rPr>
          <w:rFonts w:ascii="Times New Roman" w:hAnsi="Times New Roman" w:cs="Times New Roman"/>
        </w:rPr>
        <w:t xml:space="preserve"> is an </w:t>
      </w:r>
      <w:proofErr w:type="spellStart"/>
      <w:r w:rsidR="00213B55" w:rsidRPr="00705170">
        <w:rPr>
          <w:rFonts w:ascii="Times New Roman" w:hAnsi="Times New Roman" w:cs="Times New Roman"/>
        </w:rPr>
        <w:t>important</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constraint</w:t>
      </w:r>
      <w:proofErr w:type="spellEnd"/>
      <w:r w:rsidR="00213B55" w:rsidRPr="00705170">
        <w:rPr>
          <w:rFonts w:ascii="Times New Roman" w:hAnsi="Times New Roman" w:cs="Times New Roman"/>
        </w:rPr>
        <w:t xml:space="preserve"> on </w:t>
      </w:r>
      <w:proofErr w:type="spellStart"/>
      <w:r w:rsidR="00213B55" w:rsidRPr="00705170">
        <w:rPr>
          <w:rFonts w:ascii="Times New Roman" w:hAnsi="Times New Roman" w:cs="Times New Roman"/>
        </w:rPr>
        <w:t>agency</w:t>
      </w:r>
      <w:proofErr w:type="spellEnd"/>
      <w:r w:rsidR="00213B55" w:rsidRPr="00705170">
        <w:rPr>
          <w:rFonts w:ascii="Times New Roman" w:hAnsi="Times New Roman" w:cs="Times New Roman"/>
        </w:rPr>
        <w:t xml:space="preserve"> </w:t>
      </w:r>
      <w:proofErr w:type="spellStart"/>
      <w:r w:rsidR="00213B55" w:rsidRPr="00705170">
        <w:rPr>
          <w:rFonts w:ascii="Times New Roman" w:hAnsi="Times New Roman" w:cs="Times New Roman"/>
        </w:rPr>
        <w:t>costs</w:t>
      </w:r>
      <w:proofErr w:type="spellEnd"/>
      <w:r w:rsidR="00213B55" w:rsidRPr="00705170">
        <w:rPr>
          <w:rStyle w:val="DipnotBavurusu"/>
          <w:rFonts w:ascii="Times New Roman" w:hAnsi="Times New Roman" w:cs="Times New Roman"/>
        </w:rPr>
        <w:footnoteReference w:id="511"/>
      </w:r>
      <w:r w:rsidR="00213B55" w:rsidRPr="00705170">
        <w:rPr>
          <w:rFonts w:ascii="Times New Roman" w:hAnsi="Times New Roman" w:cs="Times New Roman"/>
        </w:rPr>
        <w:t>.</w:t>
      </w:r>
    </w:p>
    <w:p w14:paraId="6EE0E1DA" w14:textId="7AC786CB" w:rsidR="00494F77" w:rsidRPr="00705170" w:rsidRDefault="00830D99" w:rsidP="00494F77">
      <w:pPr>
        <w:spacing w:after="240" w:line="480" w:lineRule="auto"/>
        <w:ind w:firstLine="720"/>
        <w:jc w:val="both"/>
        <w:rPr>
          <w:rFonts w:ascii="Times New Roman" w:hAnsi="Times New Roman" w:cs="Times New Roman"/>
          <w:color w:val="000000"/>
        </w:rPr>
      </w:pPr>
      <w:proofErr w:type="spellStart"/>
      <w:r w:rsidRPr="00705170">
        <w:rPr>
          <w:rFonts w:ascii="Times New Roman" w:hAnsi="Times New Roman" w:cs="Times New Roman"/>
        </w:rPr>
        <w:t>T</w:t>
      </w:r>
      <w:r w:rsidR="002B5849" w:rsidRPr="00705170">
        <w:rPr>
          <w:rFonts w:ascii="Times New Roman" w:hAnsi="Times New Roman" w:cs="Times New Roman"/>
        </w:rPr>
        <w:t>he</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right</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to</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have</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the</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affairs</w:t>
      </w:r>
      <w:proofErr w:type="spellEnd"/>
      <w:r w:rsidR="002B5849" w:rsidRPr="00705170">
        <w:rPr>
          <w:rFonts w:ascii="Times New Roman" w:hAnsi="Times New Roman" w:cs="Times New Roman"/>
        </w:rPr>
        <w:t xml:space="preserve"> of </w:t>
      </w:r>
      <w:proofErr w:type="spellStart"/>
      <w:r w:rsidR="002B5849" w:rsidRPr="00705170">
        <w:rPr>
          <w:rFonts w:ascii="Times New Roman" w:hAnsi="Times New Roman" w:cs="Times New Roman"/>
        </w:rPr>
        <w:t>the</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corporation</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managed</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by</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the</w:t>
      </w:r>
      <w:proofErr w:type="spellEnd"/>
      <w:r w:rsidR="002B5849" w:rsidRPr="00705170">
        <w:rPr>
          <w:rFonts w:ascii="Times New Roman" w:hAnsi="Times New Roman" w:cs="Times New Roman"/>
        </w:rPr>
        <w:t xml:space="preserve"> board of</w:t>
      </w:r>
      <w:r w:rsidR="0090545F" w:rsidRPr="00705170">
        <w:rPr>
          <w:rFonts w:ascii="Times New Roman" w:hAnsi="Times New Roman" w:cs="Times New Roman"/>
        </w:rPr>
        <w:t xml:space="preserve"> </w:t>
      </w:r>
      <w:proofErr w:type="spellStart"/>
      <w:r w:rsidR="0090545F" w:rsidRPr="00705170">
        <w:rPr>
          <w:rFonts w:ascii="Times New Roman" w:hAnsi="Times New Roman" w:cs="Times New Roman"/>
        </w:rPr>
        <w:t>directors</w:t>
      </w:r>
      <w:proofErr w:type="spellEnd"/>
      <w:r w:rsidR="0090545F" w:rsidRPr="00705170">
        <w:rPr>
          <w:rFonts w:ascii="Times New Roman" w:hAnsi="Times New Roman" w:cs="Times New Roman"/>
        </w:rPr>
        <w:t xml:space="preserve"> is a </w:t>
      </w:r>
      <w:proofErr w:type="spellStart"/>
      <w:r w:rsidR="0090545F" w:rsidRPr="00705170">
        <w:rPr>
          <w:rFonts w:ascii="Times New Roman" w:hAnsi="Times New Roman" w:cs="Times New Roman"/>
        </w:rPr>
        <w:t>right</w:t>
      </w:r>
      <w:proofErr w:type="spellEnd"/>
      <w:r w:rsidR="0090545F" w:rsidRPr="00705170">
        <w:rPr>
          <w:rFonts w:ascii="Times New Roman" w:hAnsi="Times New Roman" w:cs="Times New Roman"/>
        </w:rPr>
        <w:t xml:space="preserve"> of </w:t>
      </w:r>
      <w:proofErr w:type="spellStart"/>
      <w:r w:rsidR="0090545F" w:rsidRPr="00705170">
        <w:rPr>
          <w:rFonts w:ascii="Times New Roman" w:hAnsi="Times New Roman" w:cs="Times New Roman"/>
        </w:rPr>
        <w:t>each</w:t>
      </w:r>
      <w:proofErr w:type="spellEnd"/>
      <w:r w:rsidR="0090545F" w:rsidRPr="00705170">
        <w:rPr>
          <w:rFonts w:ascii="Times New Roman" w:hAnsi="Times New Roman" w:cs="Times New Roman"/>
        </w:rPr>
        <w:t xml:space="preserve"> </w:t>
      </w:r>
      <w:proofErr w:type="spellStart"/>
      <w:r w:rsidR="0090545F" w:rsidRPr="00705170">
        <w:rPr>
          <w:rFonts w:ascii="Times New Roman" w:hAnsi="Times New Roman" w:cs="Times New Roman"/>
        </w:rPr>
        <w:t>s</w:t>
      </w:r>
      <w:r w:rsidR="002B5849" w:rsidRPr="00705170">
        <w:rPr>
          <w:rFonts w:ascii="Times New Roman" w:hAnsi="Times New Roman" w:cs="Times New Roman"/>
        </w:rPr>
        <w:t>h</w:t>
      </w:r>
      <w:r w:rsidR="0090545F" w:rsidRPr="00705170">
        <w:rPr>
          <w:rFonts w:ascii="Times New Roman" w:hAnsi="Times New Roman" w:cs="Times New Roman"/>
        </w:rPr>
        <w:t>a</w:t>
      </w:r>
      <w:r w:rsidR="002B5849" w:rsidRPr="00705170">
        <w:rPr>
          <w:rFonts w:ascii="Times New Roman" w:hAnsi="Times New Roman" w:cs="Times New Roman"/>
        </w:rPr>
        <w:t>reholder</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derived</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from</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the</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statute</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under</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which</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the</w:t>
      </w:r>
      <w:proofErr w:type="spellEnd"/>
      <w:r w:rsidR="002B5849" w:rsidRPr="00705170">
        <w:rPr>
          <w:rFonts w:ascii="Times New Roman" w:hAnsi="Times New Roman" w:cs="Times New Roman"/>
        </w:rPr>
        <w:t xml:space="preserve"> </w:t>
      </w:r>
      <w:proofErr w:type="spellStart"/>
      <w:r w:rsidR="002B5849" w:rsidRPr="00705170">
        <w:rPr>
          <w:rFonts w:ascii="Times New Roman" w:hAnsi="Times New Roman" w:cs="Times New Roman"/>
        </w:rPr>
        <w:t>company</w:t>
      </w:r>
      <w:proofErr w:type="spellEnd"/>
      <w:r w:rsidR="002B5849" w:rsidRPr="00705170">
        <w:rPr>
          <w:rFonts w:ascii="Times New Roman" w:hAnsi="Times New Roman" w:cs="Times New Roman"/>
        </w:rPr>
        <w:t xml:space="preserve"> is </w:t>
      </w:r>
      <w:proofErr w:type="spellStart"/>
      <w:r w:rsidR="002B5849" w:rsidRPr="00705170">
        <w:rPr>
          <w:rFonts w:ascii="Times New Roman" w:hAnsi="Times New Roman" w:cs="Times New Roman"/>
        </w:rPr>
        <w:t>formed</w:t>
      </w:r>
      <w:proofErr w:type="spellEnd"/>
      <w:r w:rsidR="002B5849" w:rsidRPr="00705170">
        <w:rPr>
          <w:rFonts w:ascii="Times New Roman" w:hAnsi="Times New Roman" w:cs="Times New Roman"/>
        </w:rPr>
        <w:t>”</w:t>
      </w:r>
      <w:r w:rsidR="002B5849" w:rsidRPr="00705170">
        <w:rPr>
          <w:rStyle w:val="DipnotBavurusu"/>
          <w:rFonts w:ascii="Times New Roman" w:hAnsi="Times New Roman" w:cs="Times New Roman"/>
        </w:rPr>
        <w:footnoteReference w:id="512"/>
      </w:r>
      <w:r w:rsidR="002B5849" w:rsidRPr="00705170">
        <w:rPr>
          <w:rFonts w:ascii="Times New Roman" w:hAnsi="Times New Roman" w:cs="Times New Roman"/>
        </w:rPr>
        <w:t xml:space="preserve">. </w:t>
      </w:r>
      <w:proofErr w:type="spellStart"/>
      <w:r w:rsidR="00CB708D" w:rsidRPr="00705170">
        <w:rPr>
          <w:rFonts w:ascii="Times New Roman" w:hAnsi="Times New Roman" w:cs="Times New Roman"/>
        </w:rPr>
        <w:t>After</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all</w:t>
      </w:r>
      <w:proofErr w:type="spellEnd"/>
      <w:r w:rsidR="00CB708D" w:rsidRPr="00705170">
        <w:rPr>
          <w:rFonts w:ascii="Times New Roman" w:hAnsi="Times New Roman" w:cs="Times New Roman"/>
        </w:rPr>
        <w:t xml:space="preserve">, </w:t>
      </w:r>
      <w:r w:rsidR="00A12696" w:rsidRPr="00705170">
        <w:rPr>
          <w:rFonts w:ascii="Times New Roman" w:hAnsi="Times New Roman" w:cs="Times New Roman"/>
        </w:rPr>
        <w:t xml:space="preserve">as </w:t>
      </w:r>
      <w:proofErr w:type="spellStart"/>
      <w:r w:rsidR="00A12696" w:rsidRPr="00705170">
        <w:rPr>
          <w:rFonts w:ascii="Times New Roman" w:hAnsi="Times New Roman" w:cs="Times New Roman"/>
        </w:rPr>
        <w:t>underlined</w:t>
      </w:r>
      <w:proofErr w:type="spellEnd"/>
      <w:r w:rsidR="00A12696" w:rsidRPr="00705170">
        <w:rPr>
          <w:rFonts w:ascii="Times New Roman" w:hAnsi="Times New Roman" w:cs="Times New Roman"/>
        </w:rPr>
        <w:t xml:space="preserve"> in Delaware, </w:t>
      </w:r>
      <w:proofErr w:type="spellStart"/>
      <w:r w:rsidR="00CB708D" w:rsidRPr="00705170">
        <w:rPr>
          <w:rFonts w:ascii="Times New Roman" w:hAnsi="Times New Roman" w:cs="Times New Roman"/>
        </w:rPr>
        <w:t>the</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powers</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and</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duties</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conferred</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or</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imposed</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upon</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the</w:t>
      </w:r>
      <w:proofErr w:type="spellEnd"/>
      <w:r w:rsidR="00CB708D" w:rsidRPr="00705170">
        <w:rPr>
          <w:rFonts w:ascii="Times New Roman" w:hAnsi="Times New Roman" w:cs="Times New Roman"/>
        </w:rPr>
        <w:t xml:space="preserve"> board of </w:t>
      </w:r>
      <w:proofErr w:type="spellStart"/>
      <w:r w:rsidR="00CB708D" w:rsidRPr="00705170">
        <w:rPr>
          <w:rFonts w:ascii="Times New Roman" w:hAnsi="Times New Roman" w:cs="Times New Roman"/>
        </w:rPr>
        <w:t>directors</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are</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by</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the</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statute</w:t>
      </w:r>
      <w:proofErr w:type="spellEnd"/>
      <w:r w:rsidR="00CB708D" w:rsidRPr="00705170">
        <w:rPr>
          <w:rStyle w:val="DipnotBavurusu"/>
          <w:rFonts w:ascii="Times New Roman" w:hAnsi="Times New Roman" w:cs="Times New Roman"/>
        </w:rPr>
        <w:footnoteReference w:id="513"/>
      </w:r>
      <w:r w:rsidR="00CB708D" w:rsidRPr="00705170">
        <w:rPr>
          <w:rFonts w:ascii="Times New Roman" w:hAnsi="Times New Roman" w:cs="Times New Roman"/>
        </w:rPr>
        <w:t xml:space="preserve">, not </w:t>
      </w:r>
      <w:proofErr w:type="spellStart"/>
      <w:r w:rsidR="00CB708D" w:rsidRPr="00705170">
        <w:rPr>
          <w:rFonts w:ascii="Times New Roman" w:hAnsi="Times New Roman" w:cs="Times New Roman"/>
        </w:rPr>
        <w:t>merely</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by</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the</w:t>
      </w:r>
      <w:proofErr w:type="spellEnd"/>
      <w:r w:rsidR="00CB708D" w:rsidRPr="00705170">
        <w:rPr>
          <w:rFonts w:ascii="Times New Roman" w:hAnsi="Times New Roman" w:cs="Times New Roman"/>
        </w:rPr>
        <w:t xml:space="preserve"> </w:t>
      </w:r>
      <w:proofErr w:type="spellStart"/>
      <w:r w:rsidR="00CB708D" w:rsidRPr="00705170">
        <w:rPr>
          <w:rFonts w:ascii="Times New Roman" w:hAnsi="Times New Roman" w:cs="Times New Roman"/>
        </w:rPr>
        <w:t>shareholders</w:t>
      </w:r>
      <w:proofErr w:type="spellEnd"/>
      <w:r w:rsidR="00CB708D" w:rsidRPr="00705170">
        <w:rPr>
          <w:rStyle w:val="DipnotBavurusu"/>
          <w:rFonts w:ascii="Times New Roman" w:hAnsi="Times New Roman" w:cs="Times New Roman"/>
        </w:rPr>
        <w:footnoteReference w:id="514"/>
      </w:r>
      <w:r w:rsidR="00CB708D" w:rsidRPr="00705170">
        <w:rPr>
          <w:rFonts w:ascii="Times New Roman" w:hAnsi="Times New Roman" w:cs="Times New Roman"/>
        </w:rPr>
        <w:t>.</w:t>
      </w:r>
      <w:r w:rsidR="002B5849" w:rsidRPr="00705170">
        <w:rPr>
          <w:rFonts w:ascii="Times New Roman" w:hAnsi="Times New Roman" w:cs="Times New Roman"/>
        </w:rPr>
        <w:t xml:space="preserve"> </w:t>
      </w:r>
      <w:proofErr w:type="spellStart"/>
      <w:r w:rsidRPr="00705170">
        <w:rPr>
          <w:rFonts w:ascii="Times New Roman" w:hAnsi="Times New Roman" w:cs="Times New Roman"/>
        </w:rPr>
        <w:t>Consequently</w:t>
      </w:r>
      <w:proofErr w:type="spellEnd"/>
      <w:r w:rsidRPr="00705170">
        <w:rPr>
          <w:rFonts w:ascii="Times New Roman" w:hAnsi="Times New Roman" w:cs="Times New Roman"/>
        </w:rPr>
        <w:t xml:space="preserve">, </w:t>
      </w:r>
      <w:r w:rsidRPr="00705170">
        <w:rPr>
          <w:rFonts w:ascii="Times New Roman" w:hAnsi="Times New Roman" w:cs="Times New Roman"/>
          <w:color w:val="000000"/>
        </w:rPr>
        <w:t xml:space="preserve">it is </w:t>
      </w:r>
      <w:proofErr w:type="spellStart"/>
      <w:r w:rsidRPr="00705170">
        <w:rPr>
          <w:rFonts w:ascii="Times New Roman" w:hAnsi="Times New Roman" w:cs="Times New Roman"/>
          <w:color w:val="000000"/>
        </w:rPr>
        <w:t>held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courts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that</w:t>
      </w:r>
      <w:proofErr w:type="spellEnd"/>
      <w:r w:rsidR="005C78AE"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w:t>
      </w:r>
      <w:r w:rsidR="00934993" w:rsidRPr="00705170">
        <w:rPr>
          <w:rFonts w:ascii="Times New Roman" w:hAnsi="Times New Roman" w:cs="Times New Roman"/>
          <w:color w:val="000000"/>
        </w:rPr>
        <w:t>he</w:t>
      </w:r>
      <w:proofErr w:type="spellEnd"/>
      <w:r w:rsidR="00934993" w:rsidRPr="00705170">
        <w:rPr>
          <w:rFonts w:ascii="Times New Roman" w:hAnsi="Times New Roman" w:cs="Times New Roman"/>
          <w:color w:val="000000"/>
        </w:rPr>
        <w:t xml:space="preserve"> </w:t>
      </w:r>
      <w:r w:rsidRPr="00705170">
        <w:rPr>
          <w:rFonts w:ascii="Times New Roman" w:hAnsi="Times New Roman" w:cs="Times New Roman"/>
          <w:color w:val="000000"/>
        </w:rPr>
        <w:t>“</w:t>
      </w:r>
      <w:proofErr w:type="spellStart"/>
      <w:r w:rsidR="00934993" w:rsidRPr="00705170">
        <w:rPr>
          <w:rFonts w:ascii="Times New Roman" w:hAnsi="Times New Roman" w:cs="Times New Roman"/>
          <w:color w:val="000000"/>
        </w:rPr>
        <w:t>individual</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directors</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are</w:t>
      </w:r>
      <w:proofErr w:type="spellEnd"/>
      <w:r w:rsidR="00934993" w:rsidRPr="00705170">
        <w:rPr>
          <w:rFonts w:ascii="Times New Roman" w:hAnsi="Times New Roman" w:cs="Times New Roman"/>
          <w:color w:val="000000"/>
        </w:rPr>
        <w:t xml:space="preserve"> in </w:t>
      </w:r>
      <w:proofErr w:type="spellStart"/>
      <w:r w:rsidR="00934993" w:rsidRPr="00705170">
        <w:rPr>
          <w:rFonts w:ascii="Times New Roman" w:hAnsi="Times New Roman" w:cs="Times New Roman"/>
          <w:color w:val="000000"/>
        </w:rPr>
        <w:t>no</w:t>
      </w:r>
      <w:proofErr w:type="spellEnd"/>
      <w:r w:rsidR="00934993" w:rsidRPr="00705170">
        <w:rPr>
          <w:rFonts w:ascii="Times New Roman" w:hAnsi="Times New Roman" w:cs="Times New Roman"/>
          <w:color w:val="000000"/>
        </w:rPr>
        <w:t xml:space="preserve"> sense </w:t>
      </w:r>
      <w:proofErr w:type="spellStart"/>
      <w:r w:rsidR="00934993" w:rsidRPr="00705170">
        <w:rPr>
          <w:rFonts w:ascii="Times New Roman" w:hAnsi="Times New Roman" w:cs="Times New Roman"/>
          <w:color w:val="000000"/>
        </w:rPr>
        <w:t>the</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personal</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representatives</w:t>
      </w:r>
      <w:proofErr w:type="spellEnd"/>
      <w:r w:rsidR="00934993" w:rsidRPr="00705170">
        <w:rPr>
          <w:rFonts w:ascii="Times New Roman" w:hAnsi="Times New Roman" w:cs="Times New Roman"/>
          <w:color w:val="000000"/>
        </w:rPr>
        <w:t xml:space="preserve"> of </w:t>
      </w:r>
      <w:proofErr w:type="spellStart"/>
      <w:r w:rsidR="00934993" w:rsidRPr="00705170">
        <w:rPr>
          <w:rFonts w:ascii="Times New Roman" w:hAnsi="Times New Roman" w:cs="Times New Roman"/>
          <w:color w:val="000000"/>
        </w:rPr>
        <w:t>the</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stockholders</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by</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whose</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suffrage</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they</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hold</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office</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However</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much</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they</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might</w:t>
      </w:r>
      <w:proofErr w:type="spellEnd"/>
      <w:r w:rsidR="00934993" w:rsidRPr="00705170">
        <w:rPr>
          <w:rFonts w:ascii="Times New Roman" w:hAnsi="Times New Roman" w:cs="Times New Roman"/>
          <w:color w:val="000000"/>
        </w:rPr>
        <w:t xml:space="preserve"> be </w:t>
      </w:r>
      <w:proofErr w:type="spellStart"/>
      <w:r w:rsidR="00934993" w:rsidRPr="00705170">
        <w:rPr>
          <w:rFonts w:ascii="Times New Roman" w:hAnsi="Times New Roman" w:cs="Times New Roman"/>
          <w:color w:val="000000"/>
        </w:rPr>
        <w:t>influenced</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by</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the</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wisdom</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and</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wishes</w:t>
      </w:r>
      <w:proofErr w:type="spellEnd"/>
      <w:r w:rsidR="00934993" w:rsidRPr="00705170">
        <w:rPr>
          <w:rFonts w:ascii="Times New Roman" w:hAnsi="Times New Roman" w:cs="Times New Roman"/>
          <w:color w:val="000000"/>
        </w:rPr>
        <w:t xml:space="preserve"> of </w:t>
      </w:r>
      <w:proofErr w:type="spellStart"/>
      <w:r w:rsidR="00934993" w:rsidRPr="00705170">
        <w:rPr>
          <w:rFonts w:ascii="Times New Roman" w:hAnsi="Times New Roman" w:cs="Times New Roman"/>
          <w:color w:val="000000"/>
        </w:rPr>
        <w:t>the</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stockholders</w:t>
      </w:r>
      <w:proofErr w:type="spellEnd"/>
      <w:r w:rsidR="00934993" w:rsidRPr="00705170">
        <w:rPr>
          <w:rFonts w:ascii="Times New Roman" w:hAnsi="Times New Roman" w:cs="Times New Roman"/>
          <w:color w:val="000000"/>
        </w:rPr>
        <w:t xml:space="preserve">, it </w:t>
      </w:r>
      <w:proofErr w:type="spellStart"/>
      <w:r w:rsidR="00934993" w:rsidRPr="00705170">
        <w:rPr>
          <w:rFonts w:ascii="Times New Roman" w:hAnsi="Times New Roman" w:cs="Times New Roman"/>
          <w:color w:val="000000"/>
        </w:rPr>
        <w:t>remains</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their</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duty</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to</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exercise</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their</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own</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judgment</w:t>
      </w:r>
      <w:proofErr w:type="spellEnd"/>
      <w:r w:rsidR="00934993" w:rsidRPr="00705170">
        <w:rPr>
          <w:rFonts w:ascii="Times New Roman" w:hAnsi="Times New Roman" w:cs="Times New Roman"/>
          <w:color w:val="000000"/>
        </w:rPr>
        <w:t xml:space="preserve"> in </w:t>
      </w:r>
      <w:proofErr w:type="spellStart"/>
      <w:r w:rsidR="00934993" w:rsidRPr="00705170">
        <w:rPr>
          <w:rFonts w:ascii="Times New Roman" w:hAnsi="Times New Roman" w:cs="Times New Roman"/>
          <w:color w:val="000000"/>
        </w:rPr>
        <w:t>all</w:t>
      </w:r>
      <w:proofErr w:type="spellEnd"/>
      <w:r w:rsidR="00934993" w:rsidRPr="00705170">
        <w:rPr>
          <w:rFonts w:ascii="Times New Roman" w:hAnsi="Times New Roman" w:cs="Times New Roman"/>
          <w:color w:val="000000"/>
        </w:rPr>
        <w:t xml:space="preserve"> final </w:t>
      </w:r>
      <w:proofErr w:type="spellStart"/>
      <w:r w:rsidR="00934993" w:rsidRPr="00705170">
        <w:rPr>
          <w:rFonts w:ascii="Times New Roman" w:hAnsi="Times New Roman" w:cs="Times New Roman"/>
          <w:color w:val="000000"/>
        </w:rPr>
        <w:t>corporate</w:t>
      </w:r>
      <w:proofErr w:type="spellEnd"/>
      <w:r w:rsidR="00934993" w:rsidRPr="00705170">
        <w:rPr>
          <w:rFonts w:ascii="Times New Roman" w:hAnsi="Times New Roman" w:cs="Times New Roman"/>
          <w:color w:val="000000"/>
        </w:rPr>
        <w:t xml:space="preserve"> </w:t>
      </w:r>
      <w:proofErr w:type="spellStart"/>
      <w:r w:rsidR="00934993" w:rsidRPr="00705170">
        <w:rPr>
          <w:rFonts w:ascii="Times New Roman" w:hAnsi="Times New Roman" w:cs="Times New Roman"/>
          <w:color w:val="000000"/>
        </w:rPr>
        <w:t>action</w:t>
      </w:r>
      <w:proofErr w:type="spellEnd"/>
      <w:r w:rsidR="00934993" w:rsidRPr="00705170">
        <w:rPr>
          <w:rFonts w:ascii="Times New Roman" w:hAnsi="Times New Roman" w:cs="Times New Roman"/>
          <w:color w:val="000000"/>
        </w:rPr>
        <w:t>.</w:t>
      </w:r>
      <w:r w:rsidR="005C78AE" w:rsidRPr="00705170">
        <w:rPr>
          <w:rFonts w:ascii="Times New Roman" w:hAnsi="Times New Roman" w:cs="Times New Roman"/>
          <w:color w:val="000000"/>
        </w:rPr>
        <w:t>”</w:t>
      </w:r>
      <w:r w:rsidR="005C78AE" w:rsidRPr="00705170">
        <w:rPr>
          <w:rStyle w:val="DipnotBavurusu"/>
          <w:rFonts w:ascii="Times New Roman" w:hAnsi="Times New Roman" w:cs="Times New Roman"/>
          <w:color w:val="000000"/>
        </w:rPr>
        <w:footnoteReference w:id="515"/>
      </w:r>
      <w:r w:rsidR="00934993"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While</w:t>
      </w:r>
      <w:proofErr w:type="spellEnd"/>
      <w:r w:rsidR="0021549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t</w:t>
      </w:r>
      <w:r w:rsidR="00494F77" w:rsidRPr="00705170">
        <w:rPr>
          <w:rFonts w:ascii="Times New Roman" w:hAnsi="Times New Roman" w:cs="Times New Roman"/>
          <w:color w:val="000000"/>
        </w:rPr>
        <w:t>he</w:t>
      </w:r>
      <w:proofErr w:type="spellEnd"/>
      <w:r w:rsidR="00494F77" w:rsidRPr="00705170">
        <w:rPr>
          <w:rFonts w:ascii="Times New Roman" w:hAnsi="Times New Roman" w:cs="Times New Roman"/>
          <w:color w:val="000000"/>
        </w:rPr>
        <w:t xml:space="preserve"> </w:t>
      </w:r>
      <w:r w:rsidR="00215497" w:rsidRPr="00705170">
        <w:rPr>
          <w:rFonts w:ascii="Times New Roman" w:hAnsi="Times New Roman" w:cs="Times New Roman"/>
          <w:color w:val="000000"/>
        </w:rPr>
        <w:t>“</w:t>
      </w:r>
      <w:proofErr w:type="spellStart"/>
      <w:r w:rsidR="00494F77" w:rsidRPr="00705170">
        <w:rPr>
          <w:rFonts w:ascii="Times New Roman" w:hAnsi="Times New Roman" w:cs="Times New Roman"/>
          <w:color w:val="000000"/>
        </w:rPr>
        <w:t>shareholders</w:t>
      </w:r>
      <w:proofErr w:type="spellEnd"/>
      <w:r w:rsidR="00494F77" w:rsidRPr="00705170">
        <w:rPr>
          <w:rFonts w:ascii="Times New Roman" w:hAnsi="Times New Roman" w:cs="Times New Roman"/>
          <w:color w:val="000000"/>
        </w:rPr>
        <w:t xml:space="preserve"> in </w:t>
      </w:r>
      <w:proofErr w:type="spellStart"/>
      <w:r w:rsidR="00494F77" w:rsidRPr="00705170">
        <w:rPr>
          <w:rFonts w:ascii="Times New Roman" w:hAnsi="Times New Roman" w:cs="Times New Roman"/>
          <w:color w:val="000000"/>
        </w:rPr>
        <w:t>the</w:t>
      </w:r>
      <w:proofErr w:type="spellEnd"/>
      <w:r w:rsidR="00494F77" w:rsidRPr="00705170">
        <w:rPr>
          <w:rFonts w:ascii="Times New Roman" w:hAnsi="Times New Roman" w:cs="Times New Roman"/>
          <w:color w:val="000000"/>
        </w:rPr>
        <w:t xml:space="preserve"> </w:t>
      </w:r>
      <w:proofErr w:type="spellStart"/>
      <w:r w:rsidR="00494F77" w:rsidRPr="00705170">
        <w:rPr>
          <w:rFonts w:ascii="Times New Roman" w:hAnsi="Times New Roman" w:cs="Times New Roman"/>
          <w:color w:val="000000"/>
        </w:rPr>
        <w:t>corporation</w:t>
      </w:r>
      <w:proofErr w:type="spellEnd"/>
      <w:r w:rsidR="00494F77" w:rsidRPr="00705170">
        <w:rPr>
          <w:rFonts w:ascii="Times New Roman" w:hAnsi="Times New Roman" w:cs="Times New Roman"/>
          <w:color w:val="000000"/>
        </w:rPr>
        <w:t xml:space="preserve"> </w:t>
      </w:r>
      <w:proofErr w:type="spellStart"/>
      <w:r w:rsidR="00494F77" w:rsidRPr="00705170">
        <w:rPr>
          <w:rFonts w:ascii="Times New Roman" w:hAnsi="Times New Roman" w:cs="Times New Roman"/>
          <w:color w:val="000000"/>
        </w:rPr>
        <w:t>are</w:t>
      </w:r>
      <w:proofErr w:type="spellEnd"/>
      <w:r w:rsidR="00494F77" w:rsidRPr="00705170">
        <w:rPr>
          <w:rFonts w:ascii="Times New Roman" w:hAnsi="Times New Roman" w:cs="Times New Roman"/>
          <w:color w:val="000000"/>
        </w:rPr>
        <w:t xml:space="preserve"> </w:t>
      </w:r>
      <w:proofErr w:type="spellStart"/>
      <w:r w:rsidR="00494F77" w:rsidRPr="00705170">
        <w:rPr>
          <w:rFonts w:ascii="Times New Roman" w:hAnsi="Times New Roman" w:cs="Times New Roman"/>
          <w:color w:val="000000"/>
        </w:rPr>
        <w:t>entitled</w:t>
      </w:r>
      <w:proofErr w:type="spellEnd"/>
      <w:r w:rsidR="00494F77" w:rsidRPr="00705170">
        <w:rPr>
          <w:rFonts w:ascii="Times New Roman" w:hAnsi="Times New Roman" w:cs="Times New Roman"/>
          <w:color w:val="000000"/>
        </w:rPr>
        <w:t xml:space="preserve"> </w:t>
      </w:r>
      <w:proofErr w:type="spellStart"/>
      <w:r w:rsidR="00494F77" w:rsidRPr="00705170">
        <w:rPr>
          <w:rFonts w:ascii="Times New Roman" w:hAnsi="Times New Roman" w:cs="Times New Roman"/>
          <w:color w:val="000000"/>
        </w:rPr>
        <w:t>to</w:t>
      </w:r>
      <w:proofErr w:type="spellEnd"/>
      <w:r w:rsidR="00494F77" w:rsidRPr="00705170">
        <w:rPr>
          <w:rFonts w:ascii="Times New Roman" w:hAnsi="Times New Roman" w:cs="Times New Roman"/>
          <w:color w:val="000000"/>
        </w:rPr>
        <w:t xml:space="preserve"> </w:t>
      </w:r>
      <w:proofErr w:type="spellStart"/>
      <w:r w:rsidR="00494F77" w:rsidRPr="00705170">
        <w:rPr>
          <w:rFonts w:ascii="Times New Roman" w:hAnsi="Times New Roman" w:cs="Times New Roman"/>
          <w:color w:val="000000"/>
        </w:rPr>
        <w:t>the</w:t>
      </w:r>
      <w:proofErr w:type="spellEnd"/>
      <w:r w:rsidR="00494F77" w:rsidRPr="00705170">
        <w:rPr>
          <w:rFonts w:ascii="Times New Roman" w:hAnsi="Times New Roman" w:cs="Times New Roman"/>
          <w:color w:val="000000"/>
        </w:rPr>
        <w:t xml:space="preserve"> </w:t>
      </w:r>
      <w:proofErr w:type="spellStart"/>
      <w:r w:rsidR="00494F77" w:rsidRPr="00705170">
        <w:rPr>
          <w:rFonts w:ascii="Times New Roman" w:hAnsi="Times New Roman" w:cs="Times New Roman"/>
          <w:color w:val="000000"/>
        </w:rPr>
        <w:t>influence</w:t>
      </w:r>
      <w:proofErr w:type="spellEnd"/>
      <w:r w:rsidR="00494F77" w:rsidRPr="00705170">
        <w:rPr>
          <w:rFonts w:ascii="Times New Roman" w:hAnsi="Times New Roman" w:cs="Times New Roman"/>
          <w:color w:val="000000"/>
        </w:rPr>
        <w:t xml:space="preserve"> </w:t>
      </w:r>
      <w:proofErr w:type="spellStart"/>
      <w:r w:rsidR="00494F77" w:rsidRPr="00705170">
        <w:rPr>
          <w:rFonts w:ascii="Times New Roman" w:hAnsi="Times New Roman" w:cs="Times New Roman"/>
          <w:color w:val="000000"/>
        </w:rPr>
        <w:t>and</w:t>
      </w:r>
      <w:proofErr w:type="spellEnd"/>
      <w:r w:rsidR="00494F77" w:rsidRPr="00705170">
        <w:rPr>
          <w:rFonts w:ascii="Times New Roman" w:hAnsi="Times New Roman" w:cs="Times New Roman"/>
          <w:color w:val="000000"/>
        </w:rPr>
        <w:t xml:space="preserve"> </w:t>
      </w:r>
      <w:proofErr w:type="spellStart"/>
      <w:r w:rsidR="00494F77" w:rsidRPr="00705170">
        <w:rPr>
          <w:rFonts w:ascii="Times New Roman" w:hAnsi="Times New Roman" w:cs="Times New Roman"/>
          <w:color w:val="000000"/>
        </w:rPr>
        <w:t>advice</w:t>
      </w:r>
      <w:proofErr w:type="spellEnd"/>
      <w:r w:rsidR="00494F77" w:rsidRPr="00705170">
        <w:rPr>
          <w:rFonts w:ascii="Times New Roman" w:hAnsi="Times New Roman" w:cs="Times New Roman"/>
          <w:color w:val="000000"/>
        </w:rPr>
        <w:t xml:space="preserve"> of </w:t>
      </w:r>
      <w:proofErr w:type="spellStart"/>
      <w:r w:rsidR="00494F77" w:rsidRPr="00705170">
        <w:rPr>
          <w:rFonts w:ascii="Times New Roman" w:hAnsi="Times New Roman" w:cs="Times New Roman"/>
          <w:color w:val="000000"/>
        </w:rPr>
        <w:t>every</w:t>
      </w:r>
      <w:proofErr w:type="spellEnd"/>
      <w:r w:rsidR="00494F77" w:rsidRPr="00705170">
        <w:rPr>
          <w:rFonts w:ascii="Times New Roman" w:hAnsi="Times New Roman" w:cs="Times New Roman"/>
          <w:color w:val="000000"/>
        </w:rPr>
        <w:t xml:space="preserve"> </w:t>
      </w:r>
      <w:proofErr w:type="spellStart"/>
      <w:r w:rsidR="00494F77" w:rsidRPr="00705170">
        <w:rPr>
          <w:rFonts w:ascii="Times New Roman" w:hAnsi="Times New Roman" w:cs="Times New Roman"/>
          <w:color w:val="000000"/>
        </w:rPr>
        <w:t>director</w:t>
      </w:r>
      <w:proofErr w:type="spellEnd"/>
      <w:r w:rsidR="00494F77" w:rsidRPr="00705170">
        <w:rPr>
          <w:rFonts w:ascii="Times New Roman" w:hAnsi="Times New Roman" w:cs="Times New Roman"/>
          <w:color w:val="000000"/>
        </w:rPr>
        <w:t xml:space="preserve"> in </w:t>
      </w:r>
      <w:proofErr w:type="spellStart"/>
      <w:r w:rsidR="00494F77" w:rsidRPr="00705170">
        <w:rPr>
          <w:rFonts w:ascii="Times New Roman" w:hAnsi="Times New Roman" w:cs="Times New Roman"/>
          <w:color w:val="000000"/>
        </w:rPr>
        <w:t>the</w:t>
      </w:r>
      <w:proofErr w:type="spellEnd"/>
      <w:r w:rsidR="00494F77" w:rsidRPr="00705170">
        <w:rPr>
          <w:rFonts w:ascii="Times New Roman" w:hAnsi="Times New Roman" w:cs="Times New Roman"/>
          <w:color w:val="000000"/>
        </w:rPr>
        <w:t xml:space="preserve"> </w:t>
      </w:r>
      <w:proofErr w:type="spellStart"/>
      <w:r w:rsidR="00494F77" w:rsidRPr="00705170">
        <w:rPr>
          <w:rFonts w:ascii="Times New Roman" w:hAnsi="Times New Roman" w:cs="Times New Roman"/>
          <w:color w:val="000000"/>
        </w:rPr>
        <w:t>management</w:t>
      </w:r>
      <w:proofErr w:type="spellEnd"/>
      <w:r w:rsidR="00494F77" w:rsidRPr="00705170">
        <w:rPr>
          <w:rFonts w:ascii="Times New Roman" w:hAnsi="Times New Roman" w:cs="Times New Roman"/>
          <w:color w:val="000000"/>
        </w:rPr>
        <w:t xml:space="preserve"> of </w:t>
      </w:r>
      <w:proofErr w:type="spellStart"/>
      <w:r w:rsidR="00494F77" w:rsidRPr="00705170">
        <w:rPr>
          <w:rFonts w:ascii="Times New Roman" w:hAnsi="Times New Roman" w:cs="Times New Roman"/>
          <w:color w:val="000000"/>
        </w:rPr>
        <w:t>their</w:t>
      </w:r>
      <w:proofErr w:type="spellEnd"/>
      <w:r w:rsidR="00494F77" w:rsidRPr="00705170">
        <w:rPr>
          <w:rFonts w:ascii="Times New Roman" w:hAnsi="Times New Roman" w:cs="Times New Roman"/>
          <w:color w:val="000000"/>
        </w:rPr>
        <w:t xml:space="preserve"> </w:t>
      </w:r>
      <w:proofErr w:type="spellStart"/>
      <w:r w:rsidR="00494F77" w:rsidRPr="00705170">
        <w:rPr>
          <w:rFonts w:ascii="Times New Roman" w:hAnsi="Times New Roman" w:cs="Times New Roman"/>
          <w:color w:val="000000"/>
        </w:rPr>
        <w:t>affairs</w:t>
      </w:r>
      <w:proofErr w:type="spellEnd"/>
      <w:r w:rsidR="00494F77" w:rsidRPr="00705170">
        <w:rPr>
          <w:rFonts w:ascii="Times New Roman" w:hAnsi="Times New Roman" w:cs="Times New Roman"/>
          <w:color w:val="000000"/>
        </w:rPr>
        <w:t>”</w:t>
      </w:r>
      <w:r w:rsidR="00215497" w:rsidRPr="00705170">
        <w:rPr>
          <w:rStyle w:val="DipnotBavurusu"/>
          <w:rFonts w:ascii="Times New Roman" w:hAnsi="Times New Roman" w:cs="Times New Roman"/>
          <w:color w:val="000000"/>
        </w:rPr>
        <w:t xml:space="preserve"> </w:t>
      </w:r>
      <w:r w:rsidR="00215497" w:rsidRPr="00705170">
        <w:rPr>
          <w:rStyle w:val="DipnotBavurusu"/>
          <w:rFonts w:ascii="Times New Roman" w:hAnsi="Times New Roman" w:cs="Times New Roman"/>
          <w:color w:val="000000"/>
        </w:rPr>
        <w:footnoteReference w:id="516"/>
      </w:r>
      <w:r w:rsidR="00494F7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d</w:t>
      </w:r>
      <w:r w:rsidR="00237F60" w:rsidRPr="00705170">
        <w:rPr>
          <w:rFonts w:ascii="Times New Roman" w:hAnsi="Times New Roman" w:cs="Times New Roman"/>
          <w:color w:val="000000"/>
        </w:rPr>
        <w:t>irectors</w:t>
      </w:r>
      <w:proofErr w:type="spellEnd"/>
      <w:r w:rsidR="00237F60"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are</w:t>
      </w:r>
      <w:proofErr w:type="spellEnd"/>
      <w:r w:rsidR="0021549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the</w:t>
      </w:r>
      <w:proofErr w:type="spellEnd"/>
      <w:r w:rsidR="0021549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ones</w:t>
      </w:r>
      <w:proofErr w:type="spellEnd"/>
      <w:r w:rsidR="0021549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owing</w:t>
      </w:r>
      <w:proofErr w:type="spellEnd"/>
      <w:r w:rsidR="00237F60" w:rsidRPr="00705170">
        <w:rPr>
          <w:rFonts w:ascii="Times New Roman" w:hAnsi="Times New Roman" w:cs="Times New Roman"/>
          <w:color w:val="000000"/>
        </w:rPr>
        <w:t xml:space="preserve"> </w:t>
      </w:r>
      <w:proofErr w:type="spellStart"/>
      <w:r w:rsidR="00237F60" w:rsidRPr="00705170">
        <w:rPr>
          <w:rFonts w:ascii="Times New Roman" w:hAnsi="Times New Roman" w:cs="Times New Roman"/>
          <w:color w:val="000000"/>
        </w:rPr>
        <w:t>certain</w:t>
      </w:r>
      <w:proofErr w:type="spellEnd"/>
      <w:r w:rsidR="00237F60" w:rsidRPr="00705170">
        <w:rPr>
          <w:rFonts w:ascii="Times New Roman" w:hAnsi="Times New Roman" w:cs="Times New Roman"/>
          <w:color w:val="000000"/>
        </w:rPr>
        <w:t xml:space="preserve"> </w:t>
      </w:r>
      <w:proofErr w:type="spellStart"/>
      <w:r w:rsidR="00237F60" w:rsidRPr="00705170">
        <w:rPr>
          <w:rFonts w:ascii="Times New Roman" w:hAnsi="Times New Roman" w:cs="Times New Roman"/>
          <w:color w:val="000000"/>
        </w:rPr>
        <w:t>duties</w:t>
      </w:r>
      <w:proofErr w:type="spellEnd"/>
      <w:r w:rsidR="00237F60" w:rsidRPr="00705170">
        <w:rPr>
          <w:rFonts w:ascii="Times New Roman" w:hAnsi="Times New Roman" w:cs="Times New Roman"/>
          <w:color w:val="000000"/>
        </w:rPr>
        <w:t xml:space="preserve"> </w:t>
      </w:r>
      <w:proofErr w:type="spellStart"/>
      <w:r w:rsidR="00237F60" w:rsidRPr="00705170">
        <w:rPr>
          <w:rFonts w:ascii="Times New Roman" w:hAnsi="Times New Roman" w:cs="Times New Roman"/>
          <w:color w:val="000000"/>
        </w:rPr>
        <w:t>and</w:t>
      </w:r>
      <w:proofErr w:type="spellEnd"/>
      <w:r w:rsidR="00237F60" w:rsidRPr="00705170">
        <w:rPr>
          <w:rFonts w:ascii="Times New Roman" w:hAnsi="Times New Roman" w:cs="Times New Roman"/>
          <w:color w:val="000000"/>
        </w:rPr>
        <w:t xml:space="preserve"> </w:t>
      </w:r>
      <w:proofErr w:type="spellStart"/>
      <w:r w:rsidR="00237F60" w:rsidRPr="00705170">
        <w:rPr>
          <w:rFonts w:ascii="Times New Roman" w:hAnsi="Times New Roman" w:cs="Times New Roman"/>
          <w:color w:val="000000"/>
        </w:rPr>
        <w:t>resp</w:t>
      </w:r>
      <w:r w:rsidR="00215497" w:rsidRPr="00705170">
        <w:rPr>
          <w:rFonts w:ascii="Times New Roman" w:hAnsi="Times New Roman" w:cs="Times New Roman"/>
          <w:color w:val="000000"/>
        </w:rPr>
        <w:t>onsibilities</w:t>
      </w:r>
      <w:proofErr w:type="spellEnd"/>
      <w:r w:rsidR="0021549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arising</w:t>
      </w:r>
      <w:proofErr w:type="spellEnd"/>
      <w:r w:rsidR="0021549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from</w:t>
      </w:r>
      <w:proofErr w:type="spellEnd"/>
      <w:r w:rsidR="0021549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their</w:t>
      </w:r>
      <w:proofErr w:type="spellEnd"/>
      <w:r w:rsidR="0021549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management</w:t>
      </w:r>
      <w:proofErr w:type="spellEnd"/>
      <w:r w:rsidR="0021549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power</w:t>
      </w:r>
      <w:proofErr w:type="spellEnd"/>
      <w:r w:rsidR="00215497" w:rsidRPr="00705170">
        <w:rPr>
          <w:rFonts w:ascii="Times New Roman" w:hAnsi="Times New Roman" w:cs="Times New Roman"/>
          <w:color w:val="000000"/>
        </w:rPr>
        <w:t xml:space="preserve"> </w:t>
      </w:r>
      <w:r w:rsidR="00237F60" w:rsidRPr="00705170">
        <w:rPr>
          <w:rFonts w:ascii="Times New Roman" w:hAnsi="Times New Roman" w:cs="Times New Roman"/>
          <w:color w:val="000000"/>
        </w:rPr>
        <w:t>(</w:t>
      </w:r>
      <w:proofErr w:type="spellStart"/>
      <w:r w:rsidR="00237F60" w:rsidRPr="00705170">
        <w:rPr>
          <w:rFonts w:ascii="Times New Roman" w:hAnsi="Times New Roman" w:cs="Times New Roman"/>
          <w:color w:val="000000"/>
        </w:rPr>
        <w:t>standar</w:t>
      </w:r>
      <w:r w:rsidR="00AB794C" w:rsidRPr="00705170">
        <w:rPr>
          <w:rFonts w:ascii="Times New Roman" w:hAnsi="Times New Roman" w:cs="Times New Roman"/>
          <w:color w:val="000000"/>
        </w:rPr>
        <w:t>d</w:t>
      </w:r>
      <w:proofErr w:type="spellEnd"/>
      <w:r w:rsidR="00AB794C" w:rsidRPr="00705170">
        <w:rPr>
          <w:rFonts w:ascii="Times New Roman" w:hAnsi="Times New Roman" w:cs="Times New Roman"/>
          <w:color w:val="000000"/>
        </w:rPr>
        <w:t xml:space="preserve"> of </w:t>
      </w:r>
      <w:proofErr w:type="spellStart"/>
      <w:r w:rsidR="00AB794C" w:rsidRPr="00705170">
        <w:rPr>
          <w:rFonts w:ascii="Times New Roman" w:hAnsi="Times New Roman" w:cs="Times New Roman"/>
          <w:color w:val="000000"/>
        </w:rPr>
        <w:t>conduct</w:t>
      </w:r>
      <w:proofErr w:type="spellEnd"/>
      <w:r w:rsidR="00AB794C" w:rsidRPr="00705170">
        <w:rPr>
          <w:rFonts w:ascii="Times New Roman" w:hAnsi="Times New Roman" w:cs="Times New Roman"/>
          <w:color w:val="000000"/>
        </w:rPr>
        <w:t xml:space="preserve">). </w:t>
      </w:r>
      <w:proofErr w:type="spellStart"/>
      <w:r w:rsidR="00AB794C" w:rsidRPr="00705170">
        <w:rPr>
          <w:rFonts w:ascii="Times New Roman" w:hAnsi="Times New Roman" w:cs="Times New Roman"/>
          <w:color w:val="000000"/>
        </w:rPr>
        <w:t>They</w:t>
      </w:r>
      <w:proofErr w:type="spellEnd"/>
      <w:r w:rsidR="00AB794C" w:rsidRPr="00705170">
        <w:rPr>
          <w:rFonts w:ascii="Times New Roman" w:hAnsi="Times New Roman" w:cs="Times New Roman"/>
          <w:color w:val="000000"/>
        </w:rPr>
        <w:t xml:space="preserve"> </w:t>
      </w:r>
      <w:proofErr w:type="spellStart"/>
      <w:r w:rsidR="00AB794C" w:rsidRPr="00705170">
        <w:rPr>
          <w:rFonts w:ascii="Times New Roman" w:hAnsi="Times New Roman" w:cs="Times New Roman"/>
          <w:color w:val="000000"/>
        </w:rPr>
        <w:t>are</w:t>
      </w:r>
      <w:proofErr w:type="spellEnd"/>
      <w:r w:rsidR="0021549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the</w:t>
      </w:r>
      <w:proofErr w:type="spellEnd"/>
      <w:r w:rsidR="0021549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ones</w:t>
      </w:r>
      <w:proofErr w:type="spellEnd"/>
      <w:r w:rsidR="0021549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who</w:t>
      </w:r>
      <w:proofErr w:type="spellEnd"/>
      <w:r w:rsidR="00215497" w:rsidRPr="00705170">
        <w:rPr>
          <w:rFonts w:ascii="Times New Roman" w:hAnsi="Times New Roman" w:cs="Times New Roman"/>
          <w:color w:val="000000"/>
        </w:rPr>
        <w:t xml:space="preserve"> </w:t>
      </w:r>
      <w:proofErr w:type="spellStart"/>
      <w:r w:rsidR="00215497" w:rsidRPr="00705170">
        <w:rPr>
          <w:rFonts w:ascii="Times New Roman" w:hAnsi="Times New Roman" w:cs="Times New Roman"/>
          <w:color w:val="000000"/>
        </w:rPr>
        <w:t>are</w:t>
      </w:r>
      <w:proofErr w:type="spellEnd"/>
      <w:r w:rsidR="00AB794C" w:rsidRPr="00705170">
        <w:rPr>
          <w:rFonts w:ascii="Times New Roman" w:hAnsi="Times New Roman" w:cs="Times New Roman"/>
          <w:color w:val="000000"/>
        </w:rPr>
        <w:t xml:space="preserve"> </w:t>
      </w:r>
      <w:proofErr w:type="spellStart"/>
      <w:r w:rsidR="00AB794C" w:rsidRPr="00705170">
        <w:rPr>
          <w:rFonts w:ascii="Times New Roman" w:hAnsi="Times New Roman" w:cs="Times New Roman"/>
          <w:color w:val="000000"/>
        </w:rPr>
        <w:t>expected</w:t>
      </w:r>
      <w:proofErr w:type="spellEnd"/>
      <w:r w:rsidR="00AB794C" w:rsidRPr="00705170">
        <w:rPr>
          <w:rFonts w:ascii="Times New Roman" w:hAnsi="Times New Roman" w:cs="Times New Roman"/>
          <w:color w:val="000000"/>
        </w:rPr>
        <w:t xml:space="preserve"> </w:t>
      </w:r>
      <w:proofErr w:type="spellStart"/>
      <w:r w:rsidR="00AB794C" w:rsidRPr="00705170">
        <w:rPr>
          <w:rFonts w:ascii="Times New Roman" w:hAnsi="Times New Roman" w:cs="Times New Roman"/>
          <w:color w:val="000000"/>
        </w:rPr>
        <w:t>to</w:t>
      </w:r>
      <w:proofErr w:type="spellEnd"/>
      <w:r w:rsidR="00AB794C" w:rsidRPr="00705170">
        <w:rPr>
          <w:rFonts w:ascii="Times New Roman" w:hAnsi="Times New Roman" w:cs="Times New Roman"/>
          <w:color w:val="000000"/>
        </w:rPr>
        <w:t xml:space="preserve"> </w:t>
      </w:r>
      <w:proofErr w:type="spellStart"/>
      <w:r w:rsidR="00AB794C" w:rsidRPr="00705170">
        <w:rPr>
          <w:rFonts w:ascii="Times New Roman" w:hAnsi="Times New Roman" w:cs="Times New Roman"/>
          <w:color w:val="000000"/>
        </w:rPr>
        <w:t>use</w:t>
      </w:r>
      <w:proofErr w:type="spellEnd"/>
      <w:r w:rsidR="00AB794C" w:rsidRPr="00705170">
        <w:rPr>
          <w:rFonts w:ascii="Times New Roman" w:hAnsi="Times New Roman" w:cs="Times New Roman"/>
          <w:color w:val="000000"/>
        </w:rPr>
        <w:t xml:space="preserve"> </w:t>
      </w:r>
      <w:proofErr w:type="spellStart"/>
      <w:r w:rsidR="00AB794C" w:rsidRPr="00705170">
        <w:rPr>
          <w:rFonts w:ascii="Times New Roman" w:hAnsi="Times New Roman" w:cs="Times New Roman"/>
          <w:color w:val="000000"/>
        </w:rPr>
        <w:t>their</w:t>
      </w:r>
      <w:proofErr w:type="spellEnd"/>
      <w:r w:rsidR="00AB794C" w:rsidRPr="00705170">
        <w:rPr>
          <w:rFonts w:ascii="Times New Roman" w:hAnsi="Times New Roman" w:cs="Times New Roman"/>
          <w:color w:val="000000"/>
        </w:rPr>
        <w:t xml:space="preserve"> </w:t>
      </w:r>
      <w:proofErr w:type="spellStart"/>
      <w:r w:rsidR="00AB794C" w:rsidRPr="00705170">
        <w:rPr>
          <w:rFonts w:ascii="Times New Roman" w:hAnsi="Times New Roman" w:cs="Times New Roman"/>
          <w:color w:val="000000"/>
        </w:rPr>
        <w:t>independent</w:t>
      </w:r>
      <w:proofErr w:type="spellEnd"/>
      <w:r w:rsidR="00AB794C" w:rsidRPr="00705170">
        <w:rPr>
          <w:rFonts w:ascii="Times New Roman" w:hAnsi="Times New Roman" w:cs="Times New Roman"/>
          <w:color w:val="000000"/>
        </w:rPr>
        <w:t xml:space="preserve"> </w:t>
      </w:r>
      <w:proofErr w:type="spellStart"/>
      <w:r w:rsidR="00AB794C" w:rsidRPr="00705170">
        <w:rPr>
          <w:rFonts w:ascii="Times New Roman" w:hAnsi="Times New Roman" w:cs="Times New Roman"/>
          <w:color w:val="000000"/>
        </w:rPr>
        <w:t>judgment</w:t>
      </w:r>
      <w:proofErr w:type="spellEnd"/>
      <w:r w:rsidR="00AB794C"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to</w:t>
      </w:r>
      <w:proofErr w:type="spellEnd"/>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pursue</w:t>
      </w:r>
      <w:proofErr w:type="spellEnd"/>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the</w:t>
      </w:r>
      <w:proofErr w:type="spellEnd"/>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corporate</w:t>
      </w:r>
      <w:proofErr w:type="spellEnd"/>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purpose</w:t>
      </w:r>
      <w:proofErr w:type="spellEnd"/>
      <w:r w:rsidR="00B64B20" w:rsidRPr="00705170">
        <w:rPr>
          <w:rFonts w:ascii="Times New Roman" w:hAnsi="Times New Roman" w:cs="Times New Roman"/>
          <w:color w:val="000000"/>
        </w:rPr>
        <w:t xml:space="preserve"> of </w:t>
      </w:r>
      <w:proofErr w:type="spellStart"/>
      <w:r w:rsidR="00B64B20" w:rsidRPr="00705170">
        <w:rPr>
          <w:rFonts w:ascii="Times New Roman" w:hAnsi="Times New Roman" w:cs="Times New Roman"/>
          <w:color w:val="000000"/>
        </w:rPr>
        <w:t>maximizing</w:t>
      </w:r>
      <w:proofErr w:type="spellEnd"/>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lastRenderedPageBreak/>
        <w:t>economic</w:t>
      </w:r>
      <w:proofErr w:type="spellEnd"/>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benefits</w:t>
      </w:r>
      <w:proofErr w:type="spellEnd"/>
      <w:r w:rsidR="0029101A" w:rsidRPr="00705170">
        <w:rPr>
          <w:rStyle w:val="DipnotBavurusu"/>
          <w:rFonts w:ascii="Times New Roman" w:hAnsi="Times New Roman" w:cs="Times New Roman"/>
          <w:color w:val="000000"/>
        </w:rPr>
        <w:footnoteReference w:id="517"/>
      </w:r>
      <w:r w:rsidR="00C06AFB" w:rsidRPr="00705170">
        <w:rPr>
          <w:rFonts w:ascii="Times New Roman" w:hAnsi="Times New Roman" w:cs="Times New Roman"/>
          <w:color w:val="000000"/>
        </w:rPr>
        <w:t>.</w:t>
      </w:r>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Herein</w:t>
      </w:r>
      <w:proofErr w:type="spellEnd"/>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the</w:t>
      </w:r>
      <w:proofErr w:type="spellEnd"/>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c</w:t>
      </w:r>
      <w:r w:rsidR="00C06AFB" w:rsidRPr="00705170">
        <w:rPr>
          <w:rFonts w:ascii="Times New Roman" w:hAnsi="Times New Roman" w:cs="Times New Roman"/>
          <w:color w:val="000000"/>
        </w:rPr>
        <w:t>autious</w:t>
      </w:r>
      <w:proofErr w:type="spellEnd"/>
      <w:r w:rsidR="00C06AFB" w:rsidRPr="00705170">
        <w:rPr>
          <w:rFonts w:ascii="Times New Roman" w:hAnsi="Times New Roman" w:cs="Times New Roman"/>
          <w:color w:val="000000"/>
        </w:rPr>
        <w:t xml:space="preserve"> </w:t>
      </w:r>
      <w:proofErr w:type="spellStart"/>
      <w:r w:rsidR="00C06AFB" w:rsidRPr="00705170">
        <w:rPr>
          <w:rFonts w:ascii="Times New Roman" w:hAnsi="Times New Roman" w:cs="Times New Roman"/>
          <w:color w:val="000000"/>
        </w:rPr>
        <w:t>manager</w:t>
      </w:r>
      <w:proofErr w:type="spellEnd"/>
      <w:r w:rsidR="00C06AFB" w:rsidRPr="00705170">
        <w:rPr>
          <w:rFonts w:ascii="Times New Roman" w:hAnsi="Times New Roman" w:cs="Times New Roman"/>
          <w:color w:val="000000"/>
        </w:rPr>
        <w:t xml:space="preserve">” </w:t>
      </w:r>
      <w:proofErr w:type="spellStart"/>
      <w:r w:rsidR="00C06AFB" w:rsidRPr="00705170">
        <w:rPr>
          <w:rFonts w:ascii="Times New Roman" w:hAnsi="Times New Roman" w:cs="Times New Roman"/>
          <w:color w:val="000000"/>
        </w:rPr>
        <w:t>standard</w:t>
      </w:r>
      <w:proofErr w:type="spellEnd"/>
      <w:r w:rsidR="00C06AFB" w:rsidRPr="00705170">
        <w:rPr>
          <w:rFonts w:ascii="Times New Roman" w:hAnsi="Times New Roman" w:cs="Times New Roman"/>
          <w:color w:val="000000"/>
        </w:rPr>
        <w:t xml:space="preserve"> in </w:t>
      </w:r>
      <w:proofErr w:type="spellStart"/>
      <w:r w:rsidR="00C06AFB" w:rsidRPr="00705170">
        <w:rPr>
          <w:rFonts w:ascii="Times New Roman" w:hAnsi="Times New Roman" w:cs="Times New Roman"/>
          <w:color w:val="000000"/>
        </w:rPr>
        <w:t>Turkey</w:t>
      </w:r>
      <w:proofErr w:type="spellEnd"/>
      <w:r w:rsidR="00AB794C" w:rsidRPr="00705170">
        <w:rPr>
          <w:rStyle w:val="DipnotBavurusu"/>
          <w:rFonts w:ascii="Times New Roman" w:hAnsi="Times New Roman" w:cs="Times New Roman"/>
          <w:color w:val="000000"/>
        </w:rPr>
        <w:footnoteReference w:id="518"/>
      </w:r>
      <w:r w:rsidR="00C06AFB" w:rsidRPr="00705170">
        <w:rPr>
          <w:rFonts w:ascii="Times New Roman" w:hAnsi="Times New Roman" w:cs="Times New Roman"/>
          <w:color w:val="000000"/>
        </w:rPr>
        <w:t xml:space="preserve"> </w:t>
      </w:r>
      <w:proofErr w:type="spellStart"/>
      <w:r w:rsidR="00C06AFB" w:rsidRPr="00705170">
        <w:rPr>
          <w:rFonts w:ascii="Times New Roman" w:hAnsi="Times New Roman" w:cs="Times New Roman"/>
          <w:color w:val="000000"/>
        </w:rPr>
        <w:t>and</w:t>
      </w:r>
      <w:proofErr w:type="spellEnd"/>
      <w:r w:rsidR="00C06AFB" w:rsidRPr="00705170">
        <w:rPr>
          <w:rFonts w:ascii="Times New Roman" w:hAnsi="Times New Roman" w:cs="Times New Roman"/>
          <w:color w:val="000000"/>
        </w:rPr>
        <w:t xml:space="preserve"> </w:t>
      </w:r>
      <w:proofErr w:type="spellStart"/>
      <w:r w:rsidR="00C06AFB" w:rsidRPr="00705170">
        <w:rPr>
          <w:rFonts w:ascii="Times New Roman" w:hAnsi="Times New Roman" w:cs="Times New Roman"/>
          <w:color w:val="000000"/>
        </w:rPr>
        <w:t>the</w:t>
      </w:r>
      <w:proofErr w:type="spellEnd"/>
      <w:r w:rsidR="00C06AFB" w:rsidRPr="00705170">
        <w:rPr>
          <w:rFonts w:ascii="Times New Roman" w:hAnsi="Times New Roman" w:cs="Times New Roman"/>
          <w:color w:val="000000"/>
        </w:rPr>
        <w:t xml:space="preserve"> “</w:t>
      </w:r>
      <w:proofErr w:type="spellStart"/>
      <w:r w:rsidR="00C06AFB" w:rsidRPr="00705170">
        <w:rPr>
          <w:rFonts w:ascii="Times New Roman" w:hAnsi="Times New Roman" w:cs="Times New Roman"/>
          <w:color w:val="000000"/>
        </w:rPr>
        <w:t>business</w:t>
      </w:r>
      <w:proofErr w:type="spellEnd"/>
      <w:r w:rsidR="00C06AFB" w:rsidRPr="00705170">
        <w:rPr>
          <w:rFonts w:ascii="Times New Roman" w:hAnsi="Times New Roman" w:cs="Times New Roman"/>
          <w:color w:val="000000"/>
        </w:rPr>
        <w:t xml:space="preserve"> </w:t>
      </w:r>
      <w:proofErr w:type="spellStart"/>
      <w:r w:rsidR="00C06AFB" w:rsidRPr="00705170">
        <w:rPr>
          <w:rFonts w:ascii="Times New Roman" w:hAnsi="Times New Roman" w:cs="Times New Roman"/>
          <w:color w:val="000000"/>
        </w:rPr>
        <w:t>judgment</w:t>
      </w:r>
      <w:proofErr w:type="spellEnd"/>
      <w:r w:rsidR="00C06AFB" w:rsidRPr="00705170">
        <w:rPr>
          <w:rFonts w:ascii="Times New Roman" w:hAnsi="Times New Roman" w:cs="Times New Roman"/>
          <w:color w:val="000000"/>
        </w:rPr>
        <w:t xml:space="preserve"> </w:t>
      </w:r>
      <w:proofErr w:type="spellStart"/>
      <w:r w:rsidR="00C06AFB" w:rsidRPr="00705170">
        <w:rPr>
          <w:rFonts w:ascii="Times New Roman" w:hAnsi="Times New Roman" w:cs="Times New Roman"/>
          <w:color w:val="000000"/>
        </w:rPr>
        <w:t>rule</w:t>
      </w:r>
      <w:proofErr w:type="spellEnd"/>
      <w:r w:rsidR="00237F60" w:rsidRPr="00705170">
        <w:rPr>
          <w:rFonts w:ascii="Times New Roman" w:hAnsi="Times New Roman" w:cs="Times New Roman"/>
          <w:color w:val="000000"/>
        </w:rPr>
        <w:t>”</w:t>
      </w:r>
      <w:r w:rsidR="00C06AFB" w:rsidRPr="00705170">
        <w:rPr>
          <w:rFonts w:ascii="Times New Roman" w:hAnsi="Times New Roman" w:cs="Times New Roman"/>
          <w:color w:val="000000"/>
        </w:rPr>
        <w:t xml:space="preserve"> in Delaware</w:t>
      </w:r>
      <w:r w:rsidR="007A052F" w:rsidRPr="00705170">
        <w:rPr>
          <w:rStyle w:val="DipnotBavurusu"/>
          <w:rFonts w:ascii="Times New Roman" w:hAnsi="Times New Roman" w:cs="Times New Roman"/>
          <w:color w:val="000000"/>
        </w:rPr>
        <w:footnoteReference w:id="519"/>
      </w:r>
      <w:r w:rsidR="00237F60" w:rsidRPr="00705170">
        <w:rPr>
          <w:rFonts w:ascii="Times New Roman" w:hAnsi="Times New Roman" w:cs="Times New Roman"/>
          <w:color w:val="000000"/>
        </w:rPr>
        <w:t xml:space="preserve"> </w:t>
      </w:r>
      <w:proofErr w:type="spellStart"/>
      <w:r w:rsidR="00237F60" w:rsidRPr="00705170">
        <w:rPr>
          <w:rFonts w:ascii="Times New Roman" w:hAnsi="Times New Roman" w:cs="Times New Roman"/>
          <w:color w:val="000000"/>
        </w:rPr>
        <w:t>are</w:t>
      </w:r>
      <w:proofErr w:type="spellEnd"/>
      <w:r w:rsidR="00237F60" w:rsidRPr="00705170">
        <w:rPr>
          <w:rFonts w:ascii="Times New Roman" w:hAnsi="Times New Roman" w:cs="Times New Roman"/>
          <w:color w:val="000000"/>
        </w:rPr>
        <w:t xml:space="preserve"> </w:t>
      </w:r>
      <w:proofErr w:type="spellStart"/>
      <w:r w:rsidR="00237F60" w:rsidRPr="00705170">
        <w:rPr>
          <w:rFonts w:ascii="Times New Roman" w:hAnsi="Times New Roman" w:cs="Times New Roman"/>
          <w:color w:val="000000"/>
        </w:rPr>
        <w:t>the</w:t>
      </w:r>
      <w:proofErr w:type="spellEnd"/>
      <w:r w:rsidR="00237F60" w:rsidRPr="00705170">
        <w:rPr>
          <w:rFonts w:ascii="Times New Roman" w:hAnsi="Times New Roman" w:cs="Times New Roman"/>
          <w:color w:val="000000"/>
        </w:rPr>
        <w:t xml:space="preserve"> </w:t>
      </w:r>
      <w:r w:rsidR="00215497" w:rsidRPr="00705170">
        <w:rPr>
          <w:rFonts w:ascii="Times New Roman" w:hAnsi="Times New Roman" w:cs="Times New Roman"/>
          <w:color w:val="000000"/>
        </w:rPr>
        <w:t>“</w:t>
      </w:r>
      <w:proofErr w:type="spellStart"/>
      <w:r w:rsidR="00237F60" w:rsidRPr="00705170">
        <w:rPr>
          <w:rFonts w:ascii="Times New Roman" w:hAnsi="Times New Roman" w:cs="Times New Roman"/>
          <w:color w:val="000000"/>
        </w:rPr>
        <w:t>standards</w:t>
      </w:r>
      <w:proofErr w:type="spellEnd"/>
      <w:r w:rsidR="00237F60" w:rsidRPr="00705170">
        <w:rPr>
          <w:rFonts w:ascii="Times New Roman" w:hAnsi="Times New Roman" w:cs="Times New Roman"/>
          <w:color w:val="000000"/>
        </w:rPr>
        <w:t xml:space="preserve"> of </w:t>
      </w:r>
      <w:proofErr w:type="spellStart"/>
      <w:r w:rsidR="00237F60" w:rsidRPr="00705170">
        <w:rPr>
          <w:rFonts w:ascii="Times New Roman" w:hAnsi="Times New Roman" w:cs="Times New Roman"/>
          <w:color w:val="000000"/>
        </w:rPr>
        <w:t>review</w:t>
      </w:r>
      <w:proofErr w:type="spellEnd"/>
      <w:r w:rsidR="00215497" w:rsidRPr="00705170">
        <w:rPr>
          <w:rFonts w:ascii="Times New Roman" w:hAnsi="Times New Roman" w:cs="Times New Roman"/>
          <w:color w:val="000000"/>
        </w:rPr>
        <w:t>”</w:t>
      </w:r>
      <w:r w:rsidR="00237F60" w:rsidRPr="00705170">
        <w:rPr>
          <w:rFonts w:ascii="Times New Roman" w:hAnsi="Times New Roman" w:cs="Times New Roman"/>
          <w:color w:val="000000"/>
        </w:rPr>
        <w:t xml:space="preserve"> </w:t>
      </w:r>
      <w:proofErr w:type="spellStart"/>
      <w:r w:rsidR="00237F60" w:rsidRPr="00705170">
        <w:rPr>
          <w:rFonts w:ascii="Times New Roman" w:hAnsi="Times New Roman" w:cs="Times New Roman"/>
          <w:color w:val="000000"/>
        </w:rPr>
        <w:t>that</w:t>
      </w:r>
      <w:proofErr w:type="spellEnd"/>
      <w:r w:rsidR="00237F60" w:rsidRPr="00705170">
        <w:rPr>
          <w:rFonts w:ascii="Times New Roman" w:hAnsi="Times New Roman" w:cs="Times New Roman"/>
          <w:color w:val="000000"/>
        </w:rPr>
        <w:t xml:space="preserve"> </w:t>
      </w:r>
      <w:proofErr w:type="spellStart"/>
      <w:r w:rsidR="00237F60" w:rsidRPr="00705170">
        <w:rPr>
          <w:rFonts w:ascii="Times New Roman" w:hAnsi="Times New Roman" w:cs="Times New Roman"/>
          <w:color w:val="000000"/>
        </w:rPr>
        <w:t>determines</w:t>
      </w:r>
      <w:proofErr w:type="spellEnd"/>
      <w:r w:rsidR="00237F60" w:rsidRPr="00705170">
        <w:rPr>
          <w:rFonts w:ascii="Times New Roman" w:hAnsi="Times New Roman" w:cs="Times New Roman"/>
          <w:color w:val="000000"/>
        </w:rPr>
        <w:t xml:space="preserve"> </w:t>
      </w:r>
      <w:proofErr w:type="spellStart"/>
      <w:r w:rsidR="00237F60" w:rsidRPr="00705170">
        <w:rPr>
          <w:rFonts w:ascii="Times New Roman" w:hAnsi="Times New Roman" w:cs="Times New Roman"/>
          <w:color w:val="000000"/>
        </w:rPr>
        <w:t>whether</w:t>
      </w:r>
      <w:proofErr w:type="spellEnd"/>
      <w:r w:rsidR="00237F60" w:rsidRPr="00705170">
        <w:rPr>
          <w:rFonts w:ascii="Times New Roman" w:hAnsi="Times New Roman" w:cs="Times New Roman"/>
          <w:color w:val="000000"/>
        </w:rPr>
        <w:t xml:space="preserve"> a </w:t>
      </w:r>
      <w:proofErr w:type="spellStart"/>
      <w:r w:rsidR="00237F60" w:rsidRPr="00705170">
        <w:rPr>
          <w:rFonts w:ascii="Times New Roman" w:hAnsi="Times New Roman" w:cs="Times New Roman"/>
          <w:color w:val="000000"/>
        </w:rPr>
        <w:t>director</w:t>
      </w:r>
      <w:proofErr w:type="spellEnd"/>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does</w:t>
      </w:r>
      <w:proofErr w:type="spellEnd"/>
      <w:r w:rsidR="00B64B20" w:rsidRPr="00705170">
        <w:rPr>
          <w:rFonts w:ascii="Times New Roman" w:hAnsi="Times New Roman" w:cs="Times New Roman"/>
          <w:color w:val="000000"/>
        </w:rPr>
        <w:t xml:space="preserve"> his </w:t>
      </w:r>
      <w:proofErr w:type="spellStart"/>
      <w:r w:rsidR="00B64B20" w:rsidRPr="00705170">
        <w:rPr>
          <w:rFonts w:ascii="Times New Roman" w:hAnsi="Times New Roman" w:cs="Times New Roman"/>
          <w:color w:val="000000"/>
        </w:rPr>
        <w:t>job</w:t>
      </w:r>
      <w:proofErr w:type="spellEnd"/>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correctly</w:t>
      </w:r>
      <w:proofErr w:type="spellEnd"/>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or</w:t>
      </w:r>
      <w:proofErr w:type="spellEnd"/>
      <w:r w:rsidR="00B64B20" w:rsidRPr="00705170">
        <w:rPr>
          <w:rFonts w:ascii="Times New Roman" w:hAnsi="Times New Roman" w:cs="Times New Roman"/>
          <w:color w:val="000000"/>
        </w:rPr>
        <w:t xml:space="preserve"> in </w:t>
      </w:r>
      <w:proofErr w:type="spellStart"/>
      <w:r w:rsidR="00B64B20" w:rsidRPr="00705170">
        <w:rPr>
          <w:rFonts w:ascii="Times New Roman" w:hAnsi="Times New Roman" w:cs="Times New Roman"/>
          <w:color w:val="000000"/>
        </w:rPr>
        <w:t>other</w:t>
      </w:r>
      <w:proofErr w:type="spellEnd"/>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words</w:t>
      </w:r>
      <w:proofErr w:type="spellEnd"/>
      <w:r w:rsidR="00B64B20" w:rsidRPr="00705170">
        <w:rPr>
          <w:rFonts w:ascii="Times New Roman" w:hAnsi="Times New Roman" w:cs="Times New Roman"/>
          <w:color w:val="000000"/>
        </w:rPr>
        <w:t xml:space="preserve">, </w:t>
      </w:r>
      <w:proofErr w:type="spellStart"/>
      <w:r w:rsidR="00B64B20" w:rsidRPr="00705170">
        <w:rPr>
          <w:rFonts w:ascii="Times New Roman" w:hAnsi="Times New Roman" w:cs="Times New Roman"/>
          <w:color w:val="000000"/>
        </w:rPr>
        <w:t>whether</w:t>
      </w:r>
      <w:proofErr w:type="spellEnd"/>
      <w:r w:rsidR="00B64B20" w:rsidRPr="00705170">
        <w:rPr>
          <w:rFonts w:ascii="Times New Roman" w:hAnsi="Times New Roman" w:cs="Times New Roman"/>
          <w:color w:val="000000"/>
        </w:rPr>
        <w:t xml:space="preserve"> he</w:t>
      </w:r>
      <w:r w:rsidR="00237F60" w:rsidRPr="00705170">
        <w:rPr>
          <w:rFonts w:ascii="Times New Roman" w:hAnsi="Times New Roman" w:cs="Times New Roman"/>
          <w:color w:val="000000"/>
        </w:rPr>
        <w:t xml:space="preserve"> </w:t>
      </w:r>
      <w:proofErr w:type="spellStart"/>
      <w:r w:rsidR="00237F60" w:rsidRPr="00705170">
        <w:rPr>
          <w:rFonts w:ascii="Times New Roman" w:hAnsi="Times New Roman" w:cs="Times New Roman"/>
          <w:color w:val="000000"/>
        </w:rPr>
        <w:t>may</w:t>
      </w:r>
      <w:proofErr w:type="spellEnd"/>
      <w:r w:rsidR="00237F60" w:rsidRPr="00705170">
        <w:rPr>
          <w:rFonts w:ascii="Times New Roman" w:hAnsi="Times New Roman" w:cs="Times New Roman"/>
          <w:color w:val="000000"/>
        </w:rPr>
        <w:t xml:space="preserve"> be </w:t>
      </w:r>
      <w:proofErr w:type="spellStart"/>
      <w:r w:rsidR="00237F60" w:rsidRPr="00705170">
        <w:rPr>
          <w:rFonts w:ascii="Times New Roman" w:hAnsi="Times New Roman" w:cs="Times New Roman"/>
          <w:color w:val="000000"/>
        </w:rPr>
        <w:t>held</w:t>
      </w:r>
      <w:proofErr w:type="spellEnd"/>
      <w:r w:rsidR="00237F60" w:rsidRPr="00705170">
        <w:rPr>
          <w:rFonts w:ascii="Times New Roman" w:hAnsi="Times New Roman" w:cs="Times New Roman"/>
          <w:color w:val="000000"/>
        </w:rPr>
        <w:t xml:space="preserve"> </w:t>
      </w:r>
      <w:proofErr w:type="spellStart"/>
      <w:r w:rsidR="00237F60" w:rsidRPr="00705170">
        <w:rPr>
          <w:rFonts w:ascii="Times New Roman" w:hAnsi="Times New Roman" w:cs="Times New Roman"/>
          <w:color w:val="000000"/>
        </w:rPr>
        <w:t>liable</w:t>
      </w:r>
      <w:proofErr w:type="spellEnd"/>
      <w:r w:rsidR="00237F60" w:rsidRPr="00705170">
        <w:rPr>
          <w:rFonts w:ascii="Times New Roman" w:hAnsi="Times New Roman" w:cs="Times New Roman"/>
          <w:color w:val="000000"/>
        </w:rPr>
        <w:t>.</w:t>
      </w:r>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Still</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the</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notion</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that</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the</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shareholders</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expectations</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regarding</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the</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management</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should</w:t>
      </w:r>
      <w:proofErr w:type="spellEnd"/>
      <w:r w:rsidR="008F7FBB" w:rsidRPr="00705170">
        <w:rPr>
          <w:rFonts w:ascii="Times New Roman" w:hAnsi="Times New Roman" w:cs="Times New Roman"/>
          <w:color w:val="000000"/>
        </w:rPr>
        <w:t xml:space="preserve"> be </w:t>
      </w:r>
      <w:proofErr w:type="spellStart"/>
      <w:r w:rsidR="008F7FBB" w:rsidRPr="00705170">
        <w:rPr>
          <w:rFonts w:ascii="Times New Roman" w:hAnsi="Times New Roman" w:cs="Times New Roman"/>
          <w:color w:val="000000"/>
        </w:rPr>
        <w:t>protected</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unless</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the</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abrogation</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regarding</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directors</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duties</w:t>
      </w:r>
      <w:proofErr w:type="spellEnd"/>
      <w:r w:rsidR="008F7FBB" w:rsidRPr="00705170">
        <w:rPr>
          <w:rFonts w:ascii="Times New Roman" w:hAnsi="Times New Roman" w:cs="Times New Roman"/>
          <w:color w:val="000000"/>
        </w:rPr>
        <w:t xml:space="preserve"> is </w:t>
      </w:r>
      <w:proofErr w:type="spellStart"/>
      <w:r w:rsidR="008F7FBB" w:rsidRPr="00705170">
        <w:rPr>
          <w:rFonts w:ascii="Times New Roman" w:hAnsi="Times New Roman" w:cs="Times New Roman"/>
          <w:color w:val="000000"/>
        </w:rPr>
        <w:t>provided</w:t>
      </w:r>
      <w:proofErr w:type="spellEnd"/>
      <w:r w:rsidR="008F7FBB" w:rsidRPr="00705170">
        <w:rPr>
          <w:rFonts w:ascii="Times New Roman" w:hAnsi="Times New Roman" w:cs="Times New Roman"/>
          <w:color w:val="000000"/>
        </w:rPr>
        <w:t xml:space="preserve"> in </w:t>
      </w:r>
      <w:proofErr w:type="spellStart"/>
      <w:r w:rsidR="008F7FBB" w:rsidRPr="00705170">
        <w:rPr>
          <w:rFonts w:ascii="Times New Roman" w:hAnsi="Times New Roman" w:cs="Times New Roman"/>
          <w:color w:val="000000"/>
        </w:rPr>
        <w:t>the</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statutorily</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defined</w:t>
      </w:r>
      <w:proofErr w:type="spellEnd"/>
      <w:r w:rsidR="008F7FBB" w:rsidRPr="00705170">
        <w:rPr>
          <w:rFonts w:ascii="Times New Roman" w:hAnsi="Times New Roman" w:cs="Times New Roman"/>
          <w:color w:val="000000"/>
        </w:rPr>
        <w:t xml:space="preserve"> legal </w:t>
      </w:r>
      <w:proofErr w:type="spellStart"/>
      <w:r w:rsidR="008F7FBB" w:rsidRPr="00705170">
        <w:rPr>
          <w:rFonts w:ascii="Times New Roman" w:hAnsi="Times New Roman" w:cs="Times New Roman"/>
          <w:color w:val="000000"/>
        </w:rPr>
        <w:t>arrangements</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e.g</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articles</w:t>
      </w:r>
      <w:proofErr w:type="spellEnd"/>
      <w:r w:rsidR="008F7FBB" w:rsidRPr="00705170">
        <w:rPr>
          <w:rFonts w:ascii="Times New Roman" w:hAnsi="Times New Roman" w:cs="Times New Roman"/>
          <w:color w:val="000000"/>
        </w:rPr>
        <w:t xml:space="preserve"> of </w:t>
      </w:r>
      <w:proofErr w:type="spellStart"/>
      <w:r w:rsidR="008F7FBB" w:rsidRPr="00705170">
        <w:rPr>
          <w:rFonts w:ascii="Times New Roman" w:hAnsi="Times New Roman" w:cs="Times New Roman"/>
          <w:color w:val="000000"/>
        </w:rPr>
        <w:t>incorporation</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require</w:t>
      </w:r>
      <w:r w:rsidR="00243B5C">
        <w:rPr>
          <w:rFonts w:ascii="Times New Roman" w:hAnsi="Times New Roman" w:cs="Times New Roman"/>
          <w:color w:val="000000"/>
        </w:rPr>
        <w:t>s</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courts</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to</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opine</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that</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the</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validity</w:t>
      </w:r>
      <w:proofErr w:type="spellEnd"/>
      <w:r w:rsidR="008F7FBB" w:rsidRPr="00705170">
        <w:rPr>
          <w:rFonts w:ascii="Times New Roman" w:hAnsi="Times New Roman" w:cs="Times New Roman"/>
          <w:color w:val="000000"/>
        </w:rPr>
        <w:t xml:space="preserve"> of </w:t>
      </w:r>
      <w:proofErr w:type="spellStart"/>
      <w:r w:rsidR="008F7FBB" w:rsidRPr="00705170">
        <w:rPr>
          <w:rFonts w:ascii="Times New Roman" w:hAnsi="Times New Roman" w:cs="Times New Roman"/>
          <w:color w:val="000000"/>
        </w:rPr>
        <w:t>boards</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decision</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or</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contracts</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to</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delegate</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powers</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and</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duties</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to</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others</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which</w:t>
      </w:r>
      <w:proofErr w:type="spellEnd"/>
      <w:r w:rsidR="008F7FBB" w:rsidRPr="00705170">
        <w:rPr>
          <w:rFonts w:ascii="Times New Roman" w:hAnsi="Times New Roman" w:cs="Times New Roman"/>
          <w:color w:val="000000"/>
        </w:rPr>
        <w:t xml:space="preserve"> is </w:t>
      </w:r>
      <w:proofErr w:type="spellStart"/>
      <w:r w:rsidR="008F7FBB" w:rsidRPr="00705170">
        <w:rPr>
          <w:rFonts w:ascii="Times New Roman" w:hAnsi="Times New Roman" w:cs="Times New Roman"/>
          <w:color w:val="000000"/>
        </w:rPr>
        <w:t>generally</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seen</w:t>
      </w:r>
      <w:proofErr w:type="spellEnd"/>
      <w:r w:rsidR="008F7FBB" w:rsidRPr="00705170">
        <w:rPr>
          <w:rFonts w:ascii="Times New Roman" w:hAnsi="Times New Roman" w:cs="Times New Roman"/>
          <w:color w:val="000000"/>
        </w:rPr>
        <w:t xml:space="preserve"> as a </w:t>
      </w:r>
      <w:proofErr w:type="spellStart"/>
      <w:r w:rsidR="008F7FBB" w:rsidRPr="00705170">
        <w:rPr>
          <w:rFonts w:ascii="Times New Roman" w:hAnsi="Times New Roman" w:cs="Times New Roman"/>
          <w:color w:val="000000"/>
        </w:rPr>
        <w:t>decision</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given</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under</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the</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business</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judgment</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rule</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would</w:t>
      </w:r>
      <w:proofErr w:type="spellEnd"/>
      <w:r w:rsidR="008F7FBB" w:rsidRPr="00705170">
        <w:rPr>
          <w:rFonts w:ascii="Times New Roman" w:hAnsi="Times New Roman" w:cs="Times New Roman"/>
          <w:color w:val="000000"/>
        </w:rPr>
        <w:t xml:space="preserve"> </w:t>
      </w:r>
      <w:r w:rsidR="00E511EF" w:rsidRPr="00705170">
        <w:rPr>
          <w:rFonts w:ascii="Times New Roman" w:hAnsi="Times New Roman" w:cs="Times New Roman"/>
          <w:color w:val="000000"/>
        </w:rPr>
        <w:t xml:space="preserve">be </w:t>
      </w:r>
      <w:proofErr w:type="spellStart"/>
      <w:r w:rsidR="00E511EF" w:rsidRPr="00705170">
        <w:rPr>
          <w:rFonts w:ascii="Times New Roman" w:hAnsi="Times New Roman" w:cs="Times New Roman"/>
          <w:color w:val="000000"/>
        </w:rPr>
        <w:t>subject</w:t>
      </w:r>
      <w:proofErr w:type="spellEnd"/>
      <w:r w:rsidR="00E511EF" w:rsidRPr="00705170">
        <w:rPr>
          <w:rFonts w:ascii="Times New Roman" w:hAnsi="Times New Roman" w:cs="Times New Roman"/>
          <w:color w:val="000000"/>
        </w:rPr>
        <w:t xml:space="preserve"> </w:t>
      </w:r>
      <w:proofErr w:type="spellStart"/>
      <w:r w:rsidR="00E511EF" w:rsidRPr="00705170">
        <w:rPr>
          <w:rFonts w:ascii="Times New Roman" w:hAnsi="Times New Roman" w:cs="Times New Roman"/>
          <w:color w:val="000000"/>
        </w:rPr>
        <w:t>to</w:t>
      </w:r>
      <w:proofErr w:type="spellEnd"/>
      <w:r w:rsidR="008F7FBB" w:rsidRPr="00705170">
        <w:rPr>
          <w:rFonts w:ascii="Times New Roman" w:hAnsi="Times New Roman" w:cs="Times New Roman"/>
          <w:color w:val="000000"/>
        </w:rPr>
        <w:t xml:space="preserve"> </w:t>
      </w:r>
      <w:proofErr w:type="spellStart"/>
      <w:r w:rsidR="00E511EF" w:rsidRPr="00705170">
        <w:rPr>
          <w:rFonts w:ascii="Times New Roman" w:hAnsi="Times New Roman" w:cs="Times New Roman"/>
          <w:color w:val="000000"/>
        </w:rPr>
        <w:t>additional</w:t>
      </w:r>
      <w:proofErr w:type="spellEnd"/>
      <w:r w:rsidR="00E511EF"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judicial</w:t>
      </w:r>
      <w:proofErr w:type="spellEnd"/>
      <w:r w:rsidR="008F7FBB" w:rsidRPr="00705170">
        <w:rPr>
          <w:rFonts w:ascii="Times New Roman" w:hAnsi="Times New Roman" w:cs="Times New Roman"/>
          <w:color w:val="000000"/>
        </w:rPr>
        <w:t xml:space="preserve"> </w:t>
      </w:r>
      <w:proofErr w:type="spellStart"/>
      <w:r w:rsidR="008F7FBB" w:rsidRPr="00705170">
        <w:rPr>
          <w:rFonts w:ascii="Times New Roman" w:hAnsi="Times New Roman" w:cs="Times New Roman"/>
          <w:color w:val="000000"/>
        </w:rPr>
        <w:t>scrutiny</w:t>
      </w:r>
      <w:proofErr w:type="spellEnd"/>
      <w:r w:rsidR="008F7FBB" w:rsidRPr="00705170">
        <w:rPr>
          <w:rStyle w:val="DipnotBavurusu"/>
          <w:rFonts w:ascii="Times New Roman" w:hAnsi="Times New Roman" w:cs="Times New Roman"/>
          <w:color w:val="000000"/>
        </w:rPr>
        <w:footnoteReference w:id="520"/>
      </w:r>
      <w:r w:rsidR="008F7FBB" w:rsidRPr="00705170">
        <w:rPr>
          <w:rFonts w:ascii="Times New Roman" w:hAnsi="Times New Roman" w:cs="Times New Roman"/>
          <w:color w:val="000000"/>
        </w:rPr>
        <w:t>.</w:t>
      </w:r>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Sterilizing</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the</w:t>
      </w:r>
      <w:proofErr w:type="spellEnd"/>
      <w:r w:rsidR="00243B5C">
        <w:rPr>
          <w:rFonts w:ascii="Times New Roman" w:hAnsi="Times New Roman" w:cs="Times New Roman"/>
          <w:color w:val="000000"/>
        </w:rPr>
        <w:t xml:space="preserve"> board of </w:t>
      </w:r>
      <w:proofErr w:type="spellStart"/>
      <w:r w:rsidR="00243B5C">
        <w:rPr>
          <w:rFonts w:ascii="Times New Roman" w:hAnsi="Times New Roman" w:cs="Times New Roman"/>
          <w:color w:val="000000"/>
        </w:rPr>
        <w:t>directors</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out</w:t>
      </w:r>
      <w:proofErr w:type="spellEnd"/>
      <w:r w:rsidR="00243B5C">
        <w:rPr>
          <w:rFonts w:ascii="Times New Roman" w:hAnsi="Times New Roman" w:cs="Times New Roman"/>
          <w:color w:val="000000"/>
        </w:rPr>
        <w:t xml:space="preserve"> of </w:t>
      </w:r>
      <w:proofErr w:type="spellStart"/>
      <w:r w:rsidR="00243B5C">
        <w:rPr>
          <w:rFonts w:ascii="Times New Roman" w:hAnsi="Times New Roman" w:cs="Times New Roman"/>
          <w:color w:val="000000"/>
        </w:rPr>
        <w:t>their</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powers</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by</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delegating</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them</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to</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the</w:t>
      </w:r>
      <w:proofErr w:type="spellEnd"/>
      <w:r w:rsidR="00243B5C">
        <w:rPr>
          <w:rFonts w:ascii="Times New Roman" w:hAnsi="Times New Roman" w:cs="Times New Roman"/>
          <w:color w:val="000000"/>
        </w:rPr>
        <w:t xml:space="preserve"> general </w:t>
      </w:r>
      <w:proofErr w:type="spellStart"/>
      <w:r w:rsidR="00243B5C">
        <w:rPr>
          <w:rFonts w:ascii="Times New Roman" w:hAnsi="Times New Roman" w:cs="Times New Roman"/>
          <w:color w:val="000000"/>
        </w:rPr>
        <w:t>assembly</w:t>
      </w:r>
      <w:proofErr w:type="spellEnd"/>
      <w:r w:rsidR="00243B5C">
        <w:rPr>
          <w:rFonts w:ascii="Times New Roman" w:hAnsi="Times New Roman" w:cs="Times New Roman"/>
          <w:color w:val="000000"/>
        </w:rPr>
        <w:t xml:space="preserve"> is </w:t>
      </w:r>
      <w:proofErr w:type="spellStart"/>
      <w:r w:rsidR="00243B5C">
        <w:rPr>
          <w:rFonts w:ascii="Times New Roman" w:hAnsi="Times New Roman" w:cs="Times New Roman"/>
          <w:color w:val="000000"/>
        </w:rPr>
        <w:t>even</w:t>
      </w:r>
      <w:proofErr w:type="spellEnd"/>
      <w:r w:rsidR="00243B5C">
        <w:rPr>
          <w:rFonts w:ascii="Times New Roman" w:hAnsi="Times New Roman" w:cs="Times New Roman"/>
          <w:color w:val="000000"/>
        </w:rPr>
        <w:t xml:space="preserve"> not </w:t>
      </w:r>
      <w:proofErr w:type="spellStart"/>
      <w:r w:rsidR="00243B5C">
        <w:rPr>
          <w:rFonts w:ascii="Times New Roman" w:hAnsi="Times New Roman" w:cs="Times New Roman"/>
          <w:color w:val="000000"/>
        </w:rPr>
        <w:t>likely</w:t>
      </w:r>
      <w:proofErr w:type="spellEnd"/>
      <w:r w:rsidR="00243B5C">
        <w:rPr>
          <w:rFonts w:ascii="Times New Roman" w:hAnsi="Times New Roman" w:cs="Times New Roman"/>
          <w:color w:val="000000"/>
        </w:rPr>
        <w:t xml:space="preserve"> in </w:t>
      </w:r>
      <w:proofErr w:type="spellStart"/>
      <w:r w:rsidR="00243B5C">
        <w:rPr>
          <w:rFonts w:ascii="Times New Roman" w:hAnsi="Times New Roman" w:cs="Times New Roman"/>
          <w:color w:val="000000"/>
        </w:rPr>
        <w:t>jurisdictions</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where</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the</w:t>
      </w:r>
      <w:proofErr w:type="spellEnd"/>
      <w:r w:rsidR="00243B5C">
        <w:rPr>
          <w:rFonts w:ascii="Times New Roman" w:hAnsi="Times New Roman" w:cs="Times New Roman"/>
          <w:color w:val="000000"/>
        </w:rPr>
        <w:t xml:space="preserve"> general </w:t>
      </w:r>
      <w:proofErr w:type="spellStart"/>
      <w:r w:rsidR="00243B5C">
        <w:rPr>
          <w:rFonts w:ascii="Times New Roman" w:hAnsi="Times New Roman" w:cs="Times New Roman"/>
          <w:color w:val="000000"/>
        </w:rPr>
        <w:t>assembly’s</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power</w:t>
      </w:r>
      <w:proofErr w:type="spellEnd"/>
      <w:r w:rsidR="00243B5C">
        <w:rPr>
          <w:rFonts w:ascii="Times New Roman" w:hAnsi="Times New Roman" w:cs="Times New Roman"/>
          <w:color w:val="000000"/>
        </w:rPr>
        <w:t xml:space="preserve"> is </w:t>
      </w:r>
      <w:proofErr w:type="spellStart"/>
      <w:r w:rsidR="00243B5C">
        <w:rPr>
          <w:rFonts w:ascii="Times New Roman" w:hAnsi="Times New Roman" w:cs="Times New Roman"/>
          <w:color w:val="000000"/>
        </w:rPr>
        <w:t>statutorily</w:t>
      </w:r>
      <w:proofErr w:type="spellEnd"/>
      <w:r w:rsidR="00243B5C">
        <w:rPr>
          <w:rFonts w:ascii="Times New Roman" w:hAnsi="Times New Roman" w:cs="Times New Roman"/>
          <w:color w:val="000000"/>
        </w:rPr>
        <w:t xml:space="preserve"> limited </w:t>
      </w:r>
      <w:proofErr w:type="spellStart"/>
      <w:r w:rsidR="00243B5C">
        <w:rPr>
          <w:rFonts w:ascii="Times New Roman" w:hAnsi="Times New Roman" w:cs="Times New Roman"/>
          <w:color w:val="000000"/>
        </w:rPr>
        <w:t>and</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the</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articles</w:t>
      </w:r>
      <w:proofErr w:type="spellEnd"/>
      <w:r w:rsidR="00243B5C">
        <w:rPr>
          <w:rFonts w:ascii="Times New Roman" w:hAnsi="Times New Roman" w:cs="Times New Roman"/>
          <w:color w:val="000000"/>
        </w:rPr>
        <w:t xml:space="preserve"> of </w:t>
      </w:r>
      <w:proofErr w:type="spellStart"/>
      <w:r w:rsidR="00243B5C">
        <w:rPr>
          <w:rFonts w:ascii="Times New Roman" w:hAnsi="Times New Roman" w:cs="Times New Roman"/>
          <w:color w:val="000000"/>
        </w:rPr>
        <w:t>incorporation</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may</w:t>
      </w:r>
      <w:proofErr w:type="spellEnd"/>
      <w:r w:rsidR="00243B5C">
        <w:rPr>
          <w:rFonts w:ascii="Times New Roman" w:hAnsi="Times New Roman" w:cs="Times New Roman"/>
          <w:color w:val="000000"/>
        </w:rPr>
        <w:t xml:space="preserve"> not </w:t>
      </w:r>
      <w:proofErr w:type="spellStart"/>
      <w:r w:rsidR="00243B5C">
        <w:rPr>
          <w:rFonts w:ascii="Times New Roman" w:hAnsi="Times New Roman" w:cs="Times New Roman"/>
          <w:color w:val="000000"/>
        </w:rPr>
        <w:t>deviate</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from</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its</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statutorily</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defined</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content</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unless</w:t>
      </w:r>
      <w:proofErr w:type="spellEnd"/>
      <w:r w:rsidR="00243B5C">
        <w:rPr>
          <w:rFonts w:ascii="Times New Roman" w:hAnsi="Times New Roman" w:cs="Times New Roman"/>
          <w:color w:val="000000"/>
        </w:rPr>
        <w:t xml:space="preserve"> it is </w:t>
      </w:r>
      <w:proofErr w:type="spellStart"/>
      <w:r w:rsidR="00243B5C">
        <w:rPr>
          <w:rFonts w:ascii="Times New Roman" w:hAnsi="Times New Roman" w:cs="Times New Roman"/>
          <w:color w:val="000000"/>
        </w:rPr>
        <w:t>explicitly</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allowed</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by</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the</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statute</w:t>
      </w:r>
      <w:proofErr w:type="spellEnd"/>
      <w:r w:rsidR="00243B5C">
        <w:rPr>
          <w:rFonts w:ascii="Times New Roman" w:hAnsi="Times New Roman" w:cs="Times New Roman"/>
          <w:color w:val="000000"/>
        </w:rPr>
        <w:t xml:space="preserve"> </w:t>
      </w:r>
      <w:proofErr w:type="spellStart"/>
      <w:r w:rsidR="00243B5C">
        <w:rPr>
          <w:rFonts w:ascii="Times New Roman" w:hAnsi="Times New Roman" w:cs="Times New Roman"/>
          <w:color w:val="000000"/>
        </w:rPr>
        <w:t>itself</w:t>
      </w:r>
      <w:proofErr w:type="spellEnd"/>
      <w:r w:rsidR="00CE4684">
        <w:rPr>
          <w:rFonts w:ascii="Times New Roman" w:hAnsi="Times New Roman" w:cs="Times New Roman"/>
          <w:color w:val="000000"/>
        </w:rPr>
        <w:t xml:space="preserve"> (TCC </w:t>
      </w:r>
      <w:proofErr w:type="spellStart"/>
      <w:r w:rsidR="00CE4684">
        <w:rPr>
          <w:rFonts w:ascii="Times New Roman" w:hAnsi="Times New Roman" w:cs="Times New Roman"/>
          <w:color w:val="000000"/>
        </w:rPr>
        <w:t>Article</w:t>
      </w:r>
      <w:proofErr w:type="spellEnd"/>
      <w:r w:rsidR="00CE4684">
        <w:rPr>
          <w:rFonts w:ascii="Times New Roman" w:hAnsi="Times New Roman" w:cs="Times New Roman"/>
          <w:color w:val="000000"/>
        </w:rPr>
        <w:t xml:space="preserve"> 340)</w:t>
      </w:r>
      <w:r w:rsidR="00243B5C">
        <w:rPr>
          <w:rFonts w:ascii="Times New Roman" w:hAnsi="Times New Roman" w:cs="Times New Roman"/>
          <w:color w:val="000000"/>
        </w:rPr>
        <w:t>.</w:t>
      </w:r>
    </w:p>
    <w:p w14:paraId="35371B4A" w14:textId="57015324" w:rsidR="00540294" w:rsidRPr="00705170" w:rsidRDefault="00A12696" w:rsidP="00540294">
      <w:pPr>
        <w:spacing w:after="240" w:line="480" w:lineRule="auto"/>
        <w:ind w:firstLine="720"/>
        <w:jc w:val="both"/>
        <w:rPr>
          <w:rFonts w:ascii="Times New Roman" w:hAnsi="Times New Roman" w:cs="Times New Roman"/>
          <w:color w:val="000000"/>
        </w:rPr>
      </w:pPr>
      <w:r w:rsidRPr="00705170">
        <w:rPr>
          <w:rFonts w:ascii="Times New Roman" w:hAnsi="Times New Roman" w:cs="Times New Roman"/>
          <w:color w:val="000000"/>
        </w:rPr>
        <w:t xml:space="preserve">A </w:t>
      </w:r>
      <w:proofErr w:type="spellStart"/>
      <w:r w:rsidRPr="00705170">
        <w:rPr>
          <w:rFonts w:ascii="Times New Roman" w:hAnsi="Times New Roman" w:cs="Times New Roman"/>
          <w:color w:val="000000"/>
        </w:rPr>
        <w:t>director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who</w:t>
      </w:r>
      <w:proofErr w:type="spellEnd"/>
      <w:r w:rsidRPr="00705170">
        <w:rPr>
          <w:rFonts w:ascii="Times New Roman" w:hAnsi="Times New Roman" w:cs="Times New Roman"/>
          <w:color w:val="000000"/>
        </w:rPr>
        <w:t xml:space="preserve"> is </w:t>
      </w:r>
      <w:proofErr w:type="spellStart"/>
      <w:r w:rsidRPr="00705170">
        <w:rPr>
          <w:rFonts w:ascii="Times New Roman" w:hAnsi="Times New Roman" w:cs="Times New Roman"/>
          <w:color w:val="000000"/>
        </w:rPr>
        <w:t>acting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under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influence</w:t>
      </w:r>
      <w:proofErr w:type="spellEnd"/>
      <w:r w:rsidRPr="00705170">
        <w:rPr>
          <w:rFonts w:ascii="Times New Roman" w:hAnsi="Times New Roman" w:cs="Times New Roman"/>
          <w:color w:val="000000"/>
        </w:rPr>
        <w:t xml:space="preserve"> of a </w:t>
      </w:r>
      <w:proofErr w:type="spellStart"/>
      <w:r w:rsidRPr="00705170">
        <w:rPr>
          <w:rFonts w:ascii="Times New Roman" w:hAnsi="Times New Roman" w:cs="Times New Roman"/>
          <w:color w:val="000000"/>
        </w:rPr>
        <w:t>shareholder</w:t>
      </w:r>
      <w:proofErr w:type="spellEnd"/>
      <w:r w:rsidRPr="00705170">
        <w:rPr>
          <w:rFonts w:ascii="Times New Roman" w:hAnsi="Times New Roman" w:cs="Times New Roman"/>
          <w:color w:val="000000"/>
        </w:rPr>
        <w:t xml:space="preserve">, as </w:t>
      </w:r>
      <w:proofErr w:type="spellStart"/>
      <w:r w:rsidRPr="00705170">
        <w:rPr>
          <w:rFonts w:ascii="Times New Roman" w:hAnsi="Times New Roman" w:cs="Times New Roman"/>
          <w:color w:val="000000"/>
        </w:rPr>
        <w:t>well</w:t>
      </w:r>
      <w:proofErr w:type="spellEnd"/>
      <w:r w:rsidRPr="00705170">
        <w:rPr>
          <w:rFonts w:ascii="Times New Roman" w:hAnsi="Times New Roman" w:cs="Times New Roman"/>
          <w:color w:val="000000"/>
        </w:rPr>
        <w:t xml:space="preserve"> as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influencer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would</w:t>
      </w:r>
      <w:proofErr w:type="spellEnd"/>
      <w:r w:rsidRPr="00705170">
        <w:rPr>
          <w:rFonts w:ascii="Times New Roman" w:hAnsi="Times New Roman" w:cs="Times New Roman"/>
          <w:color w:val="000000"/>
        </w:rPr>
        <w:t xml:space="preserve"> be </w:t>
      </w:r>
      <w:proofErr w:type="spellStart"/>
      <w:r w:rsidRPr="00705170">
        <w:rPr>
          <w:rFonts w:ascii="Times New Roman" w:hAnsi="Times New Roman" w:cs="Times New Roman"/>
          <w:color w:val="000000"/>
        </w:rPr>
        <w:t>violating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inalienable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rights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duties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conferred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upon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him</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statute</w:t>
      </w:r>
      <w:proofErr w:type="spellEnd"/>
      <w:r w:rsidRPr="00705170">
        <w:rPr>
          <w:rStyle w:val="DipnotBavurusu"/>
          <w:rFonts w:ascii="Times New Roman" w:hAnsi="Times New Roman" w:cs="Times New Roman"/>
          <w:color w:val="000000"/>
        </w:rPr>
        <w:footnoteReference w:id="521"/>
      </w:r>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After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all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lastRenderedPageBreak/>
        <w:t>t</w:t>
      </w:r>
      <w:r w:rsidR="00830D99" w:rsidRPr="00705170">
        <w:rPr>
          <w:rFonts w:ascii="Times New Roman" w:hAnsi="Times New Roman" w:cs="Times New Roman"/>
          <w:color w:val="000000"/>
        </w:rPr>
        <w:t>he</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effect</w:t>
      </w:r>
      <w:proofErr w:type="spellEnd"/>
      <w:r w:rsidR="00830D99" w:rsidRPr="00705170">
        <w:rPr>
          <w:rFonts w:ascii="Times New Roman" w:hAnsi="Times New Roman" w:cs="Times New Roman"/>
          <w:color w:val="000000"/>
        </w:rPr>
        <w:t xml:space="preserve"> of </w:t>
      </w:r>
      <w:proofErr w:type="spellStart"/>
      <w:r w:rsidR="00830D99" w:rsidRPr="00705170">
        <w:rPr>
          <w:rFonts w:ascii="Times New Roman" w:hAnsi="Times New Roman" w:cs="Times New Roman"/>
          <w:color w:val="000000"/>
        </w:rPr>
        <w:t>any</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sch</w:t>
      </w:r>
      <w:r w:rsidR="003D2D31" w:rsidRPr="00705170">
        <w:rPr>
          <w:rFonts w:ascii="Times New Roman" w:hAnsi="Times New Roman" w:cs="Times New Roman"/>
          <w:color w:val="000000"/>
        </w:rPr>
        <w:t>eme</w:t>
      </w:r>
      <w:proofErr w:type="spellEnd"/>
      <w:r w:rsidR="003D2D31" w:rsidRPr="00705170">
        <w:rPr>
          <w:rFonts w:ascii="Times New Roman" w:hAnsi="Times New Roman" w:cs="Times New Roman"/>
          <w:color w:val="000000"/>
        </w:rPr>
        <w:t xml:space="preserve"> </w:t>
      </w:r>
      <w:proofErr w:type="spellStart"/>
      <w:r w:rsidR="003D2D31" w:rsidRPr="00705170">
        <w:rPr>
          <w:rFonts w:ascii="Times New Roman" w:hAnsi="Times New Roman" w:cs="Times New Roman"/>
          <w:color w:val="000000"/>
        </w:rPr>
        <w:t>or</w:t>
      </w:r>
      <w:proofErr w:type="spellEnd"/>
      <w:r w:rsidR="003D2D31" w:rsidRPr="00705170">
        <w:rPr>
          <w:rFonts w:ascii="Times New Roman" w:hAnsi="Times New Roman" w:cs="Times New Roman"/>
          <w:color w:val="000000"/>
        </w:rPr>
        <w:t xml:space="preserve"> </w:t>
      </w:r>
      <w:proofErr w:type="spellStart"/>
      <w:r w:rsidR="003D2D31" w:rsidRPr="00705170">
        <w:rPr>
          <w:rFonts w:ascii="Times New Roman" w:hAnsi="Times New Roman" w:cs="Times New Roman"/>
          <w:color w:val="000000"/>
        </w:rPr>
        <w:t>action</w:t>
      </w:r>
      <w:proofErr w:type="spellEnd"/>
      <w:r w:rsidR="003D2D31" w:rsidRPr="00705170">
        <w:rPr>
          <w:rFonts w:ascii="Times New Roman" w:hAnsi="Times New Roman" w:cs="Times New Roman"/>
          <w:color w:val="000000"/>
        </w:rPr>
        <w:t xml:space="preserve"> </w:t>
      </w:r>
      <w:proofErr w:type="spellStart"/>
      <w:r w:rsidR="003D2D31" w:rsidRPr="00705170">
        <w:rPr>
          <w:rFonts w:ascii="Times New Roman" w:hAnsi="Times New Roman" w:cs="Times New Roman"/>
          <w:color w:val="000000"/>
        </w:rPr>
        <w:t>circumventing</w:t>
      </w:r>
      <w:proofErr w:type="spellEnd"/>
      <w:r w:rsidR="003D2D31" w:rsidRPr="00705170">
        <w:rPr>
          <w:rFonts w:ascii="Times New Roman" w:hAnsi="Times New Roman" w:cs="Times New Roman"/>
          <w:color w:val="000000"/>
        </w:rPr>
        <w:t xml:space="preserve"> </w:t>
      </w:r>
      <w:proofErr w:type="spellStart"/>
      <w:r w:rsidR="003D2D31" w:rsidRPr="00705170">
        <w:rPr>
          <w:rFonts w:ascii="Times New Roman" w:hAnsi="Times New Roman" w:cs="Times New Roman"/>
          <w:color w:val="000000"/>
        </w:rPr>
        <w:t>these</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principle</w:t>
      </w:r>
      <w:r w:rsidR="003D2D31" w:rsidRPr="00705170">
        <w:rPr>
          <w:rFonts w:ascii="Times New Roman" w:hAnsi="Times New Roman" w:cs="Times New Roman"/>
          <w:color w:val="000000"/>
        </w:rPr>
        <w:t>s</w:t>
      </w:r>
      <w:proofErr w:type="spellEnd"/>
      <w:r w:rsidR="00830D99" w:rsidRPr="00705170">
        <w:rPr>
          <w:rFonts w:ascii="Times New Roman" w:hAnsi="Times New Roman" w:cs="Times New Roman"/>
          <w:color w:val="000000"/>
        </w:rPr>
        <w:t xml:space="preserve"> “is </w:t>
      </w:r>
      <w:proofErr w:type="spellStart"/>
      <w:r w:rsidR="00830D99" w:rsidRPr="00705170">
        <w:rPr>
          <w:rFonts w:ascii="Times New Roman" w:hAnsi="Times New Roman" w:cs="Times New Roman"/>
          <w:color w:val="000000"/>
        </w:rPr>
        <w:t>to</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deprive</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the</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other</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shareholders</w:t>
      </w:r>
      <w:proofErr w:type="spellEnd"/>
      <w:r w:rsidR="00830D99" w:rsidRPr="00705170">
        <w:rPr>
          <w:rFonts w:ascii="Times New Roman" w:hAnsi="Times New Roman" w:cs="Times New Roman"/>
          <w:color w:val="000000"/>
        </w:rPr>
        <w:t xml:space="preserve"> of </w:t>
      </w:r>
      <w:proofErr w:type="spellStart"/>
      <w:r w:rsidR="00830D99" w:rsidRPr="00705170">
        <w:rPr>
          <w:rFonts w:ascii="Times New Roman" w:hAnsi="Times New Roman" w:cs="Times New Roman"/>
          <w:color w:val="000000"/>
        </w:rPr>
        <w:t>the</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benefits</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and</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protections</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which</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law</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perce</w:t>
      </w:r>
      <w:r w:rsidR="00006385" w:rsidRPr="00705170">
        <w:rPr>
          <w:rFonts w:ascii="Times New Roman" w:hAnsi="Times New Roman" w:cs="Times New Roman"/>
          <w:color w:val="000000"/>
        </w:rPr>
        <w:t>ives</w:t>
      </w:r>
      <w:proofErr w:type="spellEnd"/>
      <w:r w:rsidR="00006385" w:rsidRPr="00705170">
        <w:rPr>
          <w:rFonts w:ascii="Times New Roman" w:hAnsi="Times New Roman" w:cs="Times New Roman"/>
          <w:color w:val="000000"/>
        </w:rPr>
        <w:t xml:space="preserve"> </w:t>
      </w:r>
      <w:proofErr w:type="spellStart"/>
      <w:r w:rsidR="00006385" w:rsidRPr="00705170">
        <w:rPr>
          <w:rFonts w:ascii="Times New Roman" w:hAnsi="Times New Roman" w:cs="Times New Roman"/>
          <w:color w:val="000000"/>
        </w:rPr>
        <w:t>to</w:t>
      </w:r>
      <w:proofErr w:type="spellEnd"/>
      <w:r w:rsidR="00006385" w:rsidRPr="00705170">
        <w:rPr>
          <w:rFonts w:ascii="Times New Roman" w:hAnsi="Times New Roman" w:cs="Times New Roman"/>
          <w:color w:val="000000"/>
        </w:rPr>
        <w:t xml:space="preserve"> </w:t>
      </w:r>
      <w:proofErr w:type="spellStart"/>
      <w:r w:rsidR="00006385" w:rsidRPr="00705170">
        <w:rPr>
          <w:rFonts w:ascii="Times New Roman" w:hAnsi="Times New Roman" w:cs="Times New Roman"/>
          <w:color w:val="000000"/>
        </w:rPr>
        <w:t>exist</w:t>
      </w:r>
      <w:proofErr w:type="spellEnd"/>
      <w:r w:rsidR="00006385" w:rsidRPr="00705170">
        <w:rPr>
          <w:rFonts w:ascii="Times New Roman" w:hAnsi="Times New Roman" w:cs="Times New Roman"/>
          <w:color w:val="000000"/>
        </w:rPr>
        <w:t xml:space="preserve"> </w:t>
      </w:r>
      <w:proofErr w:type="spellStart"/>
      <w:r w:rsidR="00006385" w:rsidRPr="00705170">
        <w:rPr>
          <w:rFonts w:ascii="Times New Roman" w:hAnsi="Times New Roman" w:cs="Times New Roman"/>
          <w:color w:val="000000"/>
        </w:rPr>
        <w:t>when</w:t>
      </w:r>
      <w:proofErr w:type="spellEnd"/>
      <w:r w:rsidR="00006385" w:rsidRPr="00705170">
        <w:rPr>
          <w:rFonts w:ascii="Times New Roman" w:hAnsi="Times New Roman" w:cs="Times New Roman"/>
          <w:color w:val="000000"/>
        </w:rPr>
        <w:t xml:space="preserve"> </w:t>
      </w:r>
      <w:proofErr w:type="spellStart"/>
      <w:r w:rsidR="00006385" w:rsidRPr="00705170">
        <w:rPr>
          <w:rFonts w:ascii="Times New Roman" w:hAnsi="Times New Roman" w:cs="Times New Roman"/>
          <w:color w:val="000000"/>
        </w:rPr>
        <w:t>the</w:t>
      </w:r>
      <w:proofErr w:type="spellEnd"/>
      <w:r w:rsidR="00006385" w:rsidRPr="00705170">
        <w:rPr>
          <w:rFonts w:ascii="Times New Roman" w:hAnsi="Times New Roman" w:cs="Times New Roman"/>
          <w:color w:val="000000"/>
        </w:rPr>
        <w:t xml:space="preserve"> </w:t>
      </w:r>
      <w:proofErr w:type="spellStart"/>
      <w:r w:rsidR="00006385" w:rsidRPr="00705170">
        <w:rPr>
          <w:rFonts w:ascii="Times New Roman" w:hAnsi="Times New Roman" w:cs="Times New Roman"/>
          <w:color w:val="000000"/>
        </w:rPr>
        <w:t>corporati</w:t>
      </w:r>
      <w:r w:rsidR="00830D99" w:rsidRPr="00705170">
        <w:rPr>
          <w:rFonts w:ascii="Times New Roman" w:hAnsi="Times New Roman" w:cs="Times New Roman"/>
          <w:color w:val="000000"/>
        </w:rPr>
        <w:t>on</w:t>
      </w:r>
      <w:proofErr w:type="spellEnd"/>
      <w:r w:rsidR="00830D99" w:rsidRPr="00705170">
        <w:rPr>
          <w:rFonts w:ascii="Times New Roman" w:hAnsi="Times New Roman" w:cs="Times New Roman"/>
          <w:color w:val="000000"/>
        </w:rPr>
        <w:t xml:space="preserve"> is </w:t>
      </w:r>
      <w:proofErr w:type="spellStart"/>
      <w:r w:rsidR="00830D99" w:rsidRPr="00705170">
        <w:rPr>
          <w:rFonts w:ascii="Times New Roman" w:hAnsi="Times New Roman" w:cs="Times New Roman"/>
          <w:color w:val="000000"/>
        </w:rPr>
        <w:t>managed</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by</w:t>
      </w:r>
      <w:proofErr w:type="spellEnd"/>
      <w:r w:rsidR="00830D99" w:rsidRPr="00705170">
        <w:rPr>
          <w:rFonts w:ascii="Times New Roman" w:hAnsi="Times New Roman" w:cs="Times New Roman"/>
          <w:color w:val="000000"/>
        </w:rPr>
        <w:t xml:space="preserve"> an </w:t>
      </w:r>
      <w:proofErr w:type="spellStart"/>
      <w:r w:rsidR="00830D99" w:rsidRPr="00705170">
        <w:rPr>
          <w:rFonts w:ascii="Times New Roman" w:hAnsi="Times New Roman" w:cs="Times New Roman"/>
          <w:color w:val="000000"/>
        </w:rPr>
        <w:t>independent</w:t>
      </w:r>
      <w:proofErr w:type="spellEnd"/>
      <w:r w:rsidR="00830D99" w:rsidRPr="00705170">
        <w:rPr>
          <w:rFonts w:ascii="Times New Roman" w:hAnsi="Times New Roman" w:cs="Times New Roman"/>
          <w:color w:val="000000"/>
        </w:rPr>
        <w:t xml:space="preserve"> board of </w:t>
      </w:r>
      <w:proofErr w:type="spellStart"/>
      <w:r w:rsidR="00830D99" w:rsidRPr="00705170">
        <w:rPr>
          <w:rFonts w:ascii="Times New Roman" w:hAnsi="Times New Roman" w:cs="Times New Roman"/>
          <w:color w:val="000000"/>
        </w:rPr>
        <w:t>directors</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free</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to</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use</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its</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own</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business</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judgment</w:t>
      </w:r>
      <w:proofErr w:type="spellEnd"/>
      <w:r w:rsidR="00830D99" w:rsidRPr="00705170">
        <w:rPr>
          <w:rFonts w:ascii="Times New Roman" w:hAnsi="Times New Roman" w:cs="Times New Roman"/>
          <w:color w:val="000000"/>
        </w:rPr>
        <w:t xml:space="preserve"> in </w:t>
      </w:r>
      <w:proofErr w:type="spellStart"/>
      <w:r w:rsidR="00830D99" w:rsidRPr="00705170">
        <w:rPr>
          <w:rFonts w:ascii="Times New Roman" w:hAnsi="Times New Roman" w:cs="Times New Roman"/>
          <w:color w:val="000000"/>
        </w:rPr>
        <w:t>the</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best</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interest</w:t>
      </w:r>
      <w:proofErr w:type="spellEnd"/>
      <w:r w:rsidR="00830D99" w:rsidRPr="00705170">
        <w:rPr>
          <w:rFonts w:ascii="Times New Roman" w:hAnsi="Times New Roman" w:cs="Times New Roman"/>
          <w:color w:val="000000"/>
        </w:rPr>
        <w:t xml:space="preserve"> of </w:t>
      </w:r>
      <w:proofErr w:type="spellStart"/>
      <w:r w:rsidR="00830D99" w:rsidRPr="00705170">
        <w:rPr>
          <w:rFonts w:ascii="Times New Roman" w:hAnsi="Times New Roman" w:cs="Times New Roman"/>
          <w:color w:val="000000"/>
        </w:rPr>
        <w:t>the</w:t>
      </w:r>
      <w:proofErr w:type="spellEnd"/>
      <w:r w:rsidR="00830D99" w:rsidRPr="00705170">
        <w:rPr>
          <w:rFonts w:ascii="Times New Roman" w:hAnsi="Times New Roman" w:cs="Times New Roman"/>
          <w:color w:val="000000"/>
        </w:rPr>
        <w:t xml:space="preserve"> </w:t>
      </w:r>
      <w:proofErr w:type="spellStart"/>
      <w:r w:rsidR="00830D99" w:rsidRPr="00705170">
        <w:rPr>
          <w:rFonts w:ascii="Times New Roman" w:hAnsi="Times New Roman" w:cs="Times New Roman"/>
          <w:color w:val="000000"/>
        </w:rPr>
        <w:t>corporation</w:t>
      </w:r>
      <w:proofErr w:type="spellEnd"/>
      <w:r w:rsidR="00830D99" w:rsidRPr="00705170">
        <w:rPr>
          <w:rFonts w:ascii="Times New Roman" w:hAnsi="Times New Roman" w:cs="Times New Roman"/>
          <w:color w:val="000000"/>
        </w:rPr>
        <w:t>”</w:t>
      </w:r>
      <w:r w:rsidR="00830D99" w:rsidRPr="00705170">
        <w:rPr>
          <w:rStyle w:val="DipnotBavurusu"/>
          <w:rFonts w:ascii="Times New Roman" w:hAnsi="Times New Roman" w:cs="Times New Roman"/>
          <w:color w:val="000000"/>
        </w:rPr>
        <w:footnoteReference w:id="522"/>
      </w:r>
      <w:r w:rsidR="00830D99" w:rsidRPr="00705170">
        <w:rPr>
          <w:rFonts w:ascii="Times New Roman" w:hAnsi="Times New Roman" w:cs="Times New Roman"/>
          <w:color w:val="000000"/>
        </w:rPr>
        <w:t>.</w:t>
      </w:r>
      <w:r w:rsidR="00494F77"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Th</w:t>
      </w:r>
      <w:r w:rsidR="00F240F2" w:rsidRPr="00705170">
        <w:rPr>
          <w:rFonts w:ascii="Times New Roman" w:hAnsi="Times New Roman" w:cs="Times New Roman"/>
          <w:color w:val="000000"/>
        </w:rPr>
        <w:t>is</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statutory</w:t>
      </w:r>
      <w:proofErr w:type="spellEnd"/>
      <w:r w:rsidR="00E909DC" w:rsidRPr="00705170">
        <w:rPr>
          <w:rFonts w:ascii="Times New Roman" w:hAnsi="Times New Roman" w:cs="Times New Roman"/>
          <w:color w:val="000000"/>
        </w:rPr>
        <w:t xml:space="preserve"> norm </w:t>
      </w:r>
      <w:proofErr w:type="spellStart"/>
      <w:r w:rsidR="00E909DC" w:rsidRPr="00705170">
        <w:rPr>
          <w:rFonts w:ascii="Times New Roman" w:hAnsi="Times New Roman" w:cs="Times New Roman"/>
          <w:color w:val="000000"/>
        </w:rPr>
        <w:t>about</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the</w:t>
      </w:r>
      <w:proofErr w:type="spellEnd"/>
      <w:r w:rsidR="00E909DC" w:rsidRPr="00705170">
        <w:rPr>
          <w:rFonts w:ascii="Times New Roman" w:hAnsi="Times New Roman" w:cs="Times New Roman"/>
          <w:color w:val="000000"/>
        </w:rPr>
        <w:t xml:space="preserve"> board of </w:t>
      </w:r>
      <w:proofErr w:type="spellStart"/>
      <w:r w:rsidR="00E909DC" w:rsidRPr="00705170">
        <w:rPr>
          <w:rFonts w:ascii="Times New Roman" w:hAnsi="Times New Roman" w:cs="Times New Roman"/>
          <w:color w:val="000000"/>
        </w:rPr>
        <w:t>directors</w:t>
      </w:r>
      <w:proofErr w:type="spellEnd"/>
      <w:r w:rsidR="00E909DC" w:rsidRPr="00705170">
        <w:rPr>
          <w:rFonts w:ascii="Times New Roman" w:hAnsi="Times New Roman" w:cs="Times New Roman"/>
          <w:color w:val="000000"/>
        </w:rPr>
        <w:t xml:space="preserve"> </w:t>
      </w:r>
      <w:proofErr w:type="spellStart"/>
      <w:r w:rsidR="00F240F2" w:rsidRPr="00705170">
        <w:rPr>
          <w:rFonts w:ascii="Times New Roman" w:hAnsi="Times New Roman" w:cs="Times New Roman"/>
          <w:color w:val="000000"/>
        </w:rPr>
        <w:t>does</w:t>
      </w:r>
      <w:proofErr w:type="spellEnd"/>
      <w:r w:rsidR="00F240F2" w:rsidRPr="00705170">
        <w:rPr>
          <w:rFonts w:ascii="Times New Roman" w:hAnsi="Times New Roman" w:cs="Times New Roman"/>
          <w:color w:val="000000"/>
        </w:rPr>
        <w:t xml:space="preserve"> not </w:t>
      </w:r>
      <w:proofErr w:type="spellStart"/>
      <w:r w:rsidR="00F240F2" w:rsidRPr="00705170">
        <w:rPr>
          <w:rFonts w:ascii="Times New Roman" w:hAnsi="Times New Roman" w:cs="Times New Roman"/>
          <w:color w:val="000000"/>
        </w:rPr>
        <w:t>only</w:t>
      </w:r>
      <w:proofErr w:type="spellEnd"/>
      <w:r w:rsidR="00F240F2" w:rsidRPr="00705170">
        <w:rPr>
          <w:rFonts w:ascii="Times New Roman" w:hAnsi="Times New Roman" w:cs="Times New Roman"/>
          <w:color w:val="000000"/>
        </w:rPr>
        <w:t xml:space="preserve"> </w:t>
      </w:r>
      <w:proofErr w:type="spellStart"/>
      <w:r w:rsidR="00F240F2" w:rsidRPr="00705170">
        <w:rPr>
          <w:rFonts w:ascii="Times New Roman" w:hAnsi="Times New Roman" w:cs="Times New Roman"/>
          <w:color w:val="000000"/>
        </w:rPr>
        <w:t>protect</w:t>
      </w:r>
      <w:proofErr w:type="spellEnd"/>
      <w:r w:rsidR="00F240F2" w:rsidRPr="00705170">
        <w:rPr>
          <w:rFonts w:ascii="Times New Roman" w:hAnsi="Times New Roman" w:cs="Times New Roman"/>
          <w:color w:val="000000"/>
        </w:rPr>
        <w:t xml:space="preserve"> </w:t>
      </w:r>
      <w:proofErr w:type="spellStart"/>
      <w:r w:rsidR="00F240F2" w:rsidRPr="00705170">
        <w:rPr>
          <w:rFonts w:ascii="Times New Roman" w:hAnsi="Times New Roman" w:cs="Times New Roman"/>
          <w:color w:val="000000"/>
        </w:rPr>
        <w:t>the</w:t>
      </w:r>
      <w:proofErr w:type="spellEnd"/>
      <w:r w:rsidR="00F240F2" w:rsidRPr="00705170">
        <w:rPr>
          <w:rFonts w:ascii="Times New Roman" w:hAnsi="Times New Roman" w:cs="Times New Roman"/>
          <w:color w:val="000000"/>
        </w:rPr>
        <w:t xml:space="preserve"> </w:t>
      </w:r>
      <w:proofErr w:type="spellStart"/>
      <w:r w:rsidR="00F240F2" w:rsidRPr="00705170">
        <w:rPr>
          <w:rFonts w:ascii="Times New Roman" w:hAnsi="Times New Roman" w:cs="Times New Roman"/>
          <w:color w:val="000000"/>
        </w:rPr>
        <w:t>shareholders</w:t>
      </w:r>
      <w:proofErr w:type="spellEnd"/>
      <w:r w:rsidR="00F240F2" w:rsidRPr="00705170">
        <w:rPr>
          <w:rFonts w:ascii="Times New Roman" w:hAnsi="Times New Roman" w:cs="Times New Roman"/>
          <w:color w:val="000000"/>
        </w:rPr>
        <w:t xml:space="preserve"> but </w:t>
      </w:r>
      <w:proofErr w:type="spellStart"/>
      <w:r w:rsidR="00F240F2" w:rsidRPr="00705170">
        <w:rPr>
          <w:rFonts w:ascii="Times New Roman" w:hAnsi="Times New Roman" w:cs="Times New Roman"/>
          <w:color w:val="000000"/>
        </w:rPr>
        <w:t>also</w:t>
      </w:r>
      <w:proofErr w:type="spellEnd"/>
      <w:r w:rsidR="00F240F2" w:rsidRPr="00705170">
        <w:rPr>
          <w:rFonts w:ascii="Times New Roman" w:hAnsi="Times New Roman" w:cs="Times New Roman"/>
          <w:color w:val="000000"/>
        </w:rPr>
        <w:t xml:space="preserve"> </w:t>
      </w:r>
      <w:proofErr w:type="spellStart"/>
      <w:r w:rsidR="00F240F2" w:rsidRPr="00705170">
        <w:rPr>
          <w:rFonts w:ascii="Times New Roman" w:hAnsi="Times New Roman" w:cs="Times New Roman"/>
          <w:color w:val="000000"/>
        </w:rPr>
        <w:t>other</w:t>
      </w:r>
      <w:proofErr w:type="spellEnd"/>
      <w:r w:rsidR="00F240F2" w:rsidRPr="00705170">
        <w:rPr>
          <w:rFonts w:ascii="Times New Roman" w:hAnsi="Times New Roman" w:cs="Times New Roman"/>
          <w:color w:val="000000"/>
        </w:rPr>
        <w:t xml:space="preserve"> </w:t>
      </w:r>
      <w:proofErr w:type="spellStart"/>
      <w:r w:rsidR="00F240F2" w:rsidRPr="00705170">
        <w:rPr>
          <w:rFonts w:ascii="Times New Roman" w:hAnsi="Times New Roman" w:cs="Times New Roman"/>
          <w:color w:val="000000"/>
        </w:rPr>
        <w:t>corporate</w:t>
      </w:r>
      <w:proofErr w:type="spellEnd"/>
      <w:r w:rsidR="00F240F2" w:rsidRPr="00705170">
        <w:rPr>
          <w:rFonts w:ascii="Times New Roman" w:hAnsi="Times New Roman" w:cs="Times New Roman"/>
          <w:color w:val="000000"/>
        </w:rPr>
        <w:t xml:space="preserve"> </w:t>
      </w:r>
      <w:proofErr w:type="spellStart"/>
      <w:r w:rsidR="00F240F2" w:rsidRPr="00705170">
        <w:rPr>
          <w:rFonts w:ascii="Times New Roman" w:hAnsi="Times New Roman" w:cs="Times New Roman"/>
          <w:color w:val="000000"/>
        </w:rPr>
        <w:t>constituents</w:t>
      </w:r>
      <w:proofErr w:type="spellEnd"/>
      <w:r w:rsidR="00F240F2" w:rsidRPr="00705170">
        <w:rPr>
          <w:rFonts w:ascii="Times New Roman" w:hAnsi="Times New Roman" w:cs="Times New Roman"/>
          <w:color w:val="000000"/>
        </w:rPr>
        <w:t xml:space="preserve"> </w:t>
      </w:r>
      <w:proofErr w:type="spellStart"/>
      <w:r w:rsidR="00F240F2" w:rsidRPr="00705170">
        <w:rPr>
          <w:rFonts w:ascii="Times New Roman" w:hAnsi="Times New Roman" w:cs="Times New Roman"/>
          <w:color w:val="000000"/>
        </w:rPr>
        <w:t>such</w:t>
      </w:r>
      <w:proofErr w:type="spellEnd"/>
      <w:r w:rsidR="00F240F2" w:rsidRPr="00705170">
        <w:rPr>
          <w:rFonts w:ascii="Times New Roman" w:hAnsi="Times New Roman" w:cs="Times New Roman"/>
          <w:color w:val="000000"/>
        </w:rPr>
        <w:t xml:space="preserve"> as </w:t>
      </w:r>
      <w:proofErr w:type="spellStart"/>
      <w:r w:rsidR="00F240F2" w:rsidRPr="00705170">
        <w:rPr>
          <w:rFonts w:ascii="Times New Roman" w:hAnsi="Times New Roman" w:cs="Times New Roman"/>
          <w:color w:val="000000"/>
        </w:rPr>
        <w:t>creditors</w:t>
      </w:r>
      <w:proofErr w:type="spellEnd"/>
      <w:r w:rsidR="00F240F2" w:rsidRPr="00705170">
        <w:rPr>
          <w:rFonts w:ascii="Times New Roman" w:hAnsi="Times New Roman" w:cs="Times New Roman"/>
          <w:color w:val="000000"/>
        </w:rPr>
        <w:t xml:space="preserve">, </w:t>
      </w:r>
      <w:proofErr w:type="spellStart"/>
      <w:r w:rsidR="00F240F2" w:rsidRPr="00705170">
        <w:rPr>
          <w:rFonts w:ascii="Times New Roman" w:hAnsi="Times New Roman" w:cs="Times New Roman"/>
          <w:color w:val="000000"/>
        </w:rPr>
        <w:t>thus</w:t>
      </w:r>
      <w:proofErr w:type="spellEnd"/>
      <w:r w:rsidR="00F240F2" w:rsidRPr="00705170">
        <w:rPr>
          <w:rFonts w:ascii="Times New Roman" w:hAnsi="Times New Roman" w:cs="Times New Roman"/>
          <w:color w:val="000000"/>
        </w:rPr>
        <w:t xml:space="preserve"> it </w:t>
      </w:r>
      <w:proofErr w:type="spellStart"/>
      <w:r w:rsidR="00E909DC" w:rsidRPr="00705170">
        <w:rPr>
          <w:rFonts w:ascii="Times New Roman" w:hAnsi="Times New Roman" w:cs="Times New Roman"/>
          <w:color w:val="000000"/>
        </w:rPr>
        <w:t>cannot</w:t>
      </w:r>
      <w:proofErr w:type="spellEnd"/>
      <w:r w:rsidR="00E909DC" w:rsidRPr="00705170">
        <w:rPr>
          <w:rFonts w:ascii="Times New Roman" w:hAnsi="Times New Roman" w:cs="Times New Roman"/>
          <w:color w:val="000000"/>
        </w:rPr>
        <w:t xml:space="preserve"> be </w:t>
      </w:r>
      <w:proofErr w:type="spellStart"/>
      <w:r w:rsidR="00E909DC" w:rsidRPr="00705170">
        <w:rPr>
          <w:rFonts w:ascii="Times New Roman" w:hAnsi="Times New Roman" w:cs="Times New Roman"/>
          <w:color w:val="000000"/>
        </w:rPr>
        <w:t>changed</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where</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the</w:t>
      </w:r>
      <w:proofErr w:type="spellEnd"/>
      <w:r w:rsidR="00E909DC" w:rsidRPr="00705170">
        <w:rPr>
          <w:rFonts w:ascii="Times New Roman" w:hAnsi="Times New Roman" w:cs="Times New Roman"/>
          <w:color w:val="000000"/>
        </w:rPr>
        <w:t xml:space="preserve"> </w:t>
      </w:r>
      <w:r w:rsidR="00F240F2" w:rsidRPr="00705170">
        <w:rPr>
          <w:rFonts w:ascii="Times New Roman" w:hAnsi="Times New Roman" w:cs="Times New Roman"/>
          <w:color w:val="000000"/>
        </w:rPr>
        <w:t>“</w:t>
      </w:r>
      <w:proofErr w:type="spellStart"/>
      <w:r w:rsidR="00E909DC" w:rsidRPr="00705170">
        <w:rPr>
          <w:rFonts w:ascii="Times New Roman" w:hAnsi="Times New Roman" w:cs="Times New Roman"/>
          <w:color w:val="000000"/>
        </w:rPr>
        <w:t>public</w:t>
      </w:r>
      <w:proofErr w:type="spellEnd"/>
      <w:r w:rsidR="00F240F2" w:rsidRPr="00705170">
        <w:rPr>
          <w:rFonts w:ascii="Times New Roman" w:hAnsi="Times New Roman" w:cs="Times New Roman"/>
          <w:color w:val="000000"/>
        </w:rPr>
        <w:t>”</w:t>
      </w:r>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might</w:t>
      </w:r>
      <w:proofErr w:type="spellEnd"/>
      <w:r w:rsidR="00E909DC" w:rsidRPr="00705170">
        <w:rPr>
          <w:rFonts w:ascii="Times New Roman" w:hAnsi="Times New Roman" w:cs="Times New Roman"/>
          <w:color w:val="000000"/>
        </w:rPr>
        <w:t xml:space="preserve"> be </w:t>
      </w:r>
      <w:proofErr w:type="spellStart"/>
      <w:r w:rsidR="00E909DC" w:rsidRPr="00705170">
        <w:rPr>
          <w:rFonts w:ascii="Times New Roman" w:hAnsi="Times New Roman" w:cs="Times New Roman"/>
          <w:color w:val="000000"/>
        </w:rPr>
        <w:t>affected</w:t>
      </w:r>
      <w:proofErr w:type="spellEnd"/>
      <w:r w:rsidR="00F240F2" w:rsidRPr="00705170">
        <w:rPr>
          <w:rStyle w:val="DipnotBavurusu"/>
          <w:rFonts w:ascii="Times New Roman" w:hAnsi="Times New Roman" w:cs="Times New Roman"/>
          <w:color w:val="000000"/>
        </w:rPr>
        <w:footnoteReference w:id="523"/>
      </w:r>
      <w:r w:rsidR="003C7532" w:rsidRPr="00705170">
        <w:rPr>
          <w:rFonts w:ascii="Times New Roman" w:hAnsi="Times New Roman" w:cs="Times New Roman"/>
          <w:color w:val="000000"/>
        </w:rPr>
        <w:t xml:space="preserve">. </w:t>
      </w:r>
      <w:proofErr w:type="spellStart"/>
      <w:r w:rsidR="003C7532" w:rsidRPr="00705170">
        <w:rPr>
          <w:rFonts w:ascii="Times New Roman" w:hAnsi="Times New Roman" w:cs="Times New Roman"/>
          <w:color w:val="000000"/>
        </w:rPr>
        <w:t>T</w:t>
      </w:r>
      <w:r w:rsidR="00E909DC" w:rsidRPr="00705170">
        <w:rPr>
          <w:rFonts w:ascii="Times New Roman" w:hAnsi="Times New Roman" w:cs="Times New Roman"/>
          <w:color w:val="000000"/>
        </w:rPr>
        <w:t>he</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wide</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range</w:t>
      </w:r>
      <w:proofErr w:type="spellEnd"/>
      <w:r w:rsidR="00E909DC" w:rsidRPr="00705170">
        <w:rPr>
          <w:rFonts w:ascii="Times New Roman" w:hAnsi="Times New Roman" w:cs="Times New Roman"/>
          <w:color w:val="000000"/>
        </w:rPr>
        <w:t xml:space="preserve"> of </w:t>
      </w:r>
      <w:proofErr w:type="spellStart"/>
      <w:r w:rsidR="00E909DC" w:rsidRPr="00705170">
        <w:rPr>
          <w:rFonts w:ascii="Times New Roman" w:hAnsi="Times New Roman" w:cs="Times New Roman"/>
          <w:color w:val="000000"/>
        </w:rPr>
        <w:t>constituents</w:t>
      </w:r>
      <w:proofErr w:type="spellEnd"/>
      <w:r w:rsidR="00E909DC" w:rsidRPr="00705170">
        <w:rPr>
          <w:rFonts w:ascii="Times New Roman" w:hAnsi="Times New Roman" w:cs="Times New Roman"/>
          <w:color w:val="000000"/>
        </w:rPr>
        <w:t xml:space="preserve"> in </w:t>
      </w:r>
      <w:proofErr w:type="spellStart"/>
      <w:r w:rsidR="00E909DC" w:rsidRPr="00705170">
        <w:rPr>
          <w:rFonts w:ascii="Times New Roman" w:hAnsi="Times New Roman" w:cs="Times New Roman"/>
          <w:color w:val="000000"/>
        </w:rPr>
        <w:t>the</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context</w:t>
      </w:r>
      <w:proofErr w:type="spellEnd"/>
      <w:r w:rsidR="00E909DC" w:rsidRPr="00705170">
        <w:rPr>
          <w:rFonts w:ascii="Times New Roman" w:hAnsi="Times New Roman" w:cs="Times New Roman"/>
          <w:color w:val="000000"/>
        </w:rPr>
        <w:t xml:space="preserve"> of </w:t>
      </w:r>
      <w:proofErr w:type="spellStart"/>
      <w:r w:rsidR="00E909DC" w:rsidRPr="00705170">
        <w:rPr>
          <w:rFonts w:ascii="Times New Roman" w:hAnsi="Times New Roman" w:cs="Times New Roman"/>
          <w:color w:val="000000"/>
        </w:rPr>
        <w:t>publicly</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traded</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corporations</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indisputably</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require</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that</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this</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statutory</w:t>
      </w:r>
      <w:proofErr w:type="spellEnd"/>
      <w:r w:rsidR="00E909DC" w:rsidRPr="00705170">
        <w:rPr>
          <w:rFonts w:ascii="Times New Roman" w:hAnsi="Times New Roman" w:cs="Times New Roman"/>
          <w:color w:val="000000"/>
        </w:rPr>
        <w:t xml:space="preserve"> norm </w:t>
      </w:r>
      <w:proofErr w:type="spellStart"/>
      <w:r w:rsidR="00E909DC" w:rsidRPr="00705170">
        <w:rPr>
          <w:rFonts w:ascii="Times New Roman" w:hAnsi="Times New Roman" w:cs="Times New Roman"/>
          <w:color w:val="000000"/>
        </w:rPr>
        <w:t>continue</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its</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unstinted</w:t>
      </w:r>
      <w:proofErr w:type="spellEnd"/>
      <w:r w:rsidR="00E909DC" w:rsidRPr="00705170">
        <w:rPr>
          <w:rFonts w:ascii="Times New Roman" w:hAnsi="Times New Roman" w:cs="Times New Roman"/>
          <w:color w:val="000000"/>
        </w:rPr>
        <w:t xml:space="preserve"> </w:t>
      </w:r>
      <w:proofErr w:type="spellStart"/>
      <w:r w:rsidR="00E909DC" w:rsidRPr="00705170">
        <w:rPr>
          <w:rFonts w:ascii="Times New Roman" w:hAnsi="Times New Roman" w:cs="Times New Roman"/>
          <w:color w:val="000000"/>
        </w:rPr>
        <w:t>effect</w:t>
      </w:r>
      <w:proofErr w:type="spellEnd"/>
      <w:r w:rsidR="00AB28FD" w:rsidRPr="00705170">
        <w:rPr>
          <w:rStyle w:val="DipnotBavurusu"/>
          <w:rFonts w:ascii="Times New Roman" w:hAnsi="Times New Roman" w:cs="Times New Roman"/>
          <w:color w:val="000000"/>
        </w:rPr>
        <w:footnoteReference w:id="524"/>
      </w:r>
      <w:r w:rsidR="00E909DC" w:rsidRPr="00705170">
        <w:rPr>
          <w:rFonts w:ascii="Times New Roman" w:hAnsi="Times New Roman" w:cs="Times New Roman"/>
          <w:color w:val="000000"/>
        </w:rPr>
        <w:t>.</w:t>
      </w:r>
      <w:r w:rsidR="00435D15" w:rsidRPr="00705170">
        <w:rPr>
          <w:rFonts w:ascii="Times New Roman" w:hAnsi="Times New Roman" w:cs="Times New Roman"/>
          <w:color w:val="000000"/>
        </w:rPr>
        <w:t xml:space="preserve"> </w:t>
      </w:r>
      <w:r w:rsidR="00013F9E" w:rsidRPr="00705170">
        <w:rPr>
          <w:rFonts w:ascii="Times New Roman" w:hAnsi="Times New Roman" w:cs="Times New Roman"/>
          <w:color w:val="000000"/>
        </w:rPr>
        <w:t xml:space="preserve"> </w:t>
      </w:r>
    </w:p>
    <w:p w14:paraId="5C5C2742" w14:textId="622565A5" w:rsidR="00055779" w:rsidRPr="00705170" w:rsidRDefault="00B9125F" w:rsidP="008855F1">
      <w:pPr>
        <w:spacing w:after="240" w:line="480" w:lineRule="auto"/>
        <w:ind w:firstLine="720"/>
        <w:jc w:val="both"/>
        <w:rPr>
          <w:rFonts w:ascii="Times New Roman" w:hAnsi="Times New Roman" w:cs="Times New Roman"/>
          <w:color w:val="000000"/>
        </w:rPr>
      </w:pPr>
      <w:proofErr w:type="spellStart"/>
      <w:r w:rsidRPr="00705170">
        <w:rPr>
          <w:rFonts w:ascii="Times New Roman" w:hAnsi="Times New Roman" w:cs="Times New Roman"/>
          <w:color w:val="000000"/>
        </w:rPr>
        <w:t>Turkish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law</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implemented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explicit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provisions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prevent</w:t>
      </w:r>
      <w:proofErr w:type="spellEnd"/>
      <w:r w:rsidR="00540294" w:rsidRPr="00705170">
        <w:rPr>
          <w:rFonts w:ascii="Times New Roman" w:hAnsi="Times New Roman" w:cs="Times New Roman"/>
          <w:color w:val="000000"/>
        </w:rPr>
        <w:t xml:space="preserve"> </w:t>
      </w:r>
      <w:proofErr w:type="spellStart"/>
      <w:r w:rsidR="00540294" w:rsidRPr="00705170">
        <w:rPr>
          <w:rFonts w:ascii="Times New Roman" w:hAnsi="Times New Roman" w:cs="Times New Roman"/>
          <w:color w:val="000000"/>
        </w:rPr>
        <w:t>the</w:t>
      </w:r>
      <w:proofErr w:type="spellEnd"/>
      <w:r w:rsidR="00540294" w:rsidRPr="00705170">
        <w:rPr>
          <w:rFonts w:ascii="Times New Roman" w:hAnsi="Times New Roman" w:cs="Times New Roman"/>
          <w:color w:val="000000"/>
        </w:rPr>
        <w:t xml:space="preserve"> </w:t>
      </w:r>
      <w:proofErr w:type="spellStart"/>
      <w:r w:rsidR="00540294" w:rsidRPr="00705170">
        <w:rPr>
          <w:rFonts w:ascii="Times New Roman" w:hAnsi="Times New Roman" w:cs="Times New Roman"/>
          <w:color w:val="000000"/>
        </w:rPr>
        <w:t>abolishment</w:t>
      </w:r>
      <w:proofErr w:type="spellEnd"/>
      <w:r w:rsidR="00540294" w:rsidRPr="00705170">
        <w:rPr>
          <w:rFonts w:ascii="Times New Roman" w:hAnsi="Times New Roman" w:cs="Times New Roman"/>
          <w:color w:val="000000"/>
        </w:rPr>
        <w:t xml:space="preserve"> </w:t>
      </w:r>
      <w:proofErr w:type="spellStart"/>
      <w:r w:rsidR="00540294" w:rsidRPr="00705170">
        <w:rPr>
          <w:rFonts w:ascii="Times New Roman" w:hAnsi="Times New Roman" w:cs="Times New Roman"/>
          <w:color w:val="000000"/>
        </w:rPr>
        <w:t>and</w:t>
      </w:r>
      <w:proofErr w:type="spellEnd"/>
      <w:r w:rsidR="00540294"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provide</w:t>
      </w:r>
      <w:proofErr w:type="spellEnd"/>
      <w:r w:rsidRPr="00705170">
        <w:rPr>
          <w:rFonts w:ascii="Times New Roman" w:hAnsi="Times New Roman" w:cs="Times New Roman"/>
          <w:color w:val="000000"/>
        </w:rPr>
        <w:t xml:space="preserve"> </w:t>
      </w:r>
      <w:proofErr w:type="spellStart"/>
      <w:r w:rsidR="00540294" w:rsidRPr="00705170">
        <w:rPr>
          <w:rFonts w:ascii="Times New Roman" w:hAnsi="Times New Roman" w:cs="Times New Roman"/>
          <w:color w:val="000000"/>
        </w:rPr>
        <w:t>effective</w:t>
      </w:r>
      <w:proofErr w:type="spellEnd"/>
      <w:r w:rsidR="00540294" w:rsidRPr="00705170">
        <w:rPr>
          <w:rFonts w:ascii="Times New Roman" w:hAnsi="Times New Roman" w:cs="Times New Roman"/>
          <w:color w:val="000000"/>
        </w:rPr>
        <w:t xml:space="preserve"> </w:t>
      </w:r>
      <w:proofErr w:type="spellStart"/>
      <w:r w:rsidR="00540294" w:rsidRPr="00705170">
        <w:rPr>
          <w:rFonts w:ascii="Times New Roman" w:hAnsi="Times New Roman" w:cs="Times New Roman"/>
          <w:color w:val="000000"/>
        </w:rPr>
        <w:t>functioning</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board of </w:t>
      </w:r>
      <w:proofErr w:type="spellStart"/>
      <w:r w:rsidRPr="00705170">
        <w:rPr>
          <w:rFonts w:ascii="Times New Roman" w:hAnsi="Times New Roman" w:cs="Times New Roman"/>
          <w:color w:val="000000"/>
        </w:rPr>
        <w:t>directors</w:t>
      </w:r>
      <w:proofErr w:type="spellEnd"/>
      <w:r w:rsidRPr="00705170">
        <w:rPr>
          <w:rFonts w:ascii="Times New Roman" w:hAnsi="Times New Roman" w:cs="Times New Roman"/>
          <w:color w:val="000000"/>
        </w:rPr>
        <w:t>.</w:t>
      </w:r>
      <w:r w:rsidR="00540294" w:rsidRPr="00705170">
        <w:rPr>
          <w:rFonts w:ascii="Times New Roman" w:hAnsi="Times New Roman" w:cs="Times New Roman"/>
          <w:color w:val="000000"/>
        </w:rPr>
        <w:t xml:space="preserve"> TCC </w:t>
      </w:r>
      <w:proofErr w:type="spellStart"/>
      <w:r w:rsidR="002C1FF9" w:rsidRPr="00705170">
        <w:rPr>
          <w:rFonts w:ascii="Times New Roman" w:hAnsi="Times New Roman" w:cs="Times New Roman"/>
          <w:color w:val="000000"/>
        </w:rPr>
        <w:t>Article</w:t>
      </w:r>
      <w:proofErr w:type="spellEnd"/>
      <w:r w:rsidR="002C1FF9" w:rsidRPr="00705170">
        <w:rPr>
          <w:rFonts w:ascii="Times New Roman" w:hAnsi="Times New Roman" w:cs="Times New Roman"/>
          <w:color w:val="000000"/>
        </w:rPr>
        <w:t xml:space="preserve"> 530 </w:t>
      </w:r>
      <w:proofErr w:type="spellStart"/>
      <w:r w:rsidR="00540294" w:rsidRPr="00705170">
        <w:rPr>
          <w:rFonts w:ascii="Times New Roman" w:hAnsi="Times New Roman" w:cs="Times New Roman"/>
          <w:color w:val="000000"/>
        </w:rPr>
        <w:t>provi</w:t>
      </w:r>
      <w:r w:rsidR="002C1FF9" w:rsidRPr="00705170">
        <w:rPr>
          <w:rFonts w:ascii="Times New Roman" w:hAnsi="Times New Roman" w:cs="Times New Roman"/>
          <w:color w:val="000000"/>
        </w:rPr>
        <w:t>des</w:t>
      </w:r>
      <w:proofErr w:type="spellEnd"/>
      <w:r w:rsidR="002C1FF9" w:rsidRPr="00705170">
        <w:rPr>
          <w:rFonts w:ascii="Times New Roman" w:hAnsi="Times New Roman" w:cs="Times New Roman"/>
          <w:color w:val="000000"/>
        </w:rPr>
        <w:t xml:space="preserve"> </w:t>
      </w:r>
      <w:proofErr w:type="spellStart"/>
      <w:r w:rsidR="002C1FF9" w:rsidRPr="00705170">
        <w:rPr>
          <w:rFonts w:ascii="Times New Roman" w:hAnsi="Times New Roman" w:cs="Times New Roman"/>
          <w:color w:val="000000"/>
        </w:rPr>
        <w:t>that</w:t>
      </w:r>
      <w:proofErr w:type="spellEnd"/>
      <w:r w:rsidR="00540294" w:rsidRPr="00705170">
        <w:rPr>
          <w:rFonts w:ascii="Times New Roman" w:hAnsi="Times New Roman" w:cs="Times New Roman"/>
          <w:color w:val="000000"/>
        </w:rPr>
        <w:t xml:space="preserve"> </w:t>
      </w:r>
      <w:r w:rsidRPr="00705170">
        <w:rPr>
          <w:rFonts w:ascii="Times New Roman" w:hAnsi="Times New Roman" w:cs="Times New Roman"/>
          <w:color w:val="000000"/>
        </w:rPr>
        <w:t xml:space="preserve">a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can be </w:t>
      </w:r>
      <w:proofErr w:type="spellStart"/>
      <w:r w:rsidRPr="00705170">
        <w:rPr>
          <w:rFonts w:ascii="Times New Roman" w:hAnsi="Times New Roman" w:cs="Times New Roman"/>
          <w:color w:val="000000"/>
        </w:rPr>
        <w:t>dissolved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through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petition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shareholders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cre</w:t>
      </w:r>
      <w:r w:rsidR="008A1F36" w:rsidRPr="00705170">
        <w:rPr>
          <w:rFonts w:ascii="Times New Roman" w:hAnsi="Times New Roman" w:cs="Times New Roman"/>
          <w:color w:val="000000"/>
        </w:rPr>
        <w:t>ditors</w:t>
      </w:r>
      <w:proofErr w:type="spellEnd"/>
      <w:r w:rsidR="008A1F36" w:rsidRPr="00705170">
        <w:rPr>
          <w:rFonts w:ascii="Times New Roman" w:hAnsi="Times New Roman" w:cs="Times New Roman"/>
          <w:color w:val="000000"/>
        </w:rPr>
        <w:t xml:space="preserve"> </w:t>
      </w:r>
      <w:proofErr w:type="spellStart"/>
      <w:r w:rsidR="008A1F36" w:rsidRPr="00705170">
        <w:rPr>
          <w:rFonts w:ascii="Times New Roman" w:hAnsi="Times New Roman" w:cs="Times New Roman"/>
          <w:color w:val="000000"/>
        </w:rPr>
        <w:t>or</w:t>
      </w:r>
      <w:proofErr w:type="spellEnd"/>
      <w:r w:rsidR="008A1F36" w:rsidRPr="00705170">
        <w:rPr>
          <w:rFonts w:ascii="Times New Roman" w:hAnsi="Times New Roman" w:cs="Times New Roman"/>
          <w:color w:val="000000"/>
        </w:rPr>
        <w:t xml:space="preserve"> </w:t>
      </w:r>
      <w:proofErr w:type="spellStart"/>
      <w:r w:rsidR="008A1F36" w:rsidRPr="00705170">
        <w:rPr>
          <w:rFonts w:ascii="Times New Roman" w:hAnsi="Times New Roman" w:cs="Times New Roman"/>
          <w:color w:val="000000"/>
        </w:rPr>
        <w:t>the</w:t>
      </w:r>
      <w:proofErr w:type="spellEnd"/>
      <w:r w:rsidR="008A1F36" w:rsidRPr="00705170">
        <w:rPr>
          <w:rFonts w:ascii="Times New Roman" w:hAnsi="Times New Roman" w:cs="Times New Roman"/>
          <w:color w:val="000000"/>
        </w:rPr>
        <w:t xml:space="preserve"> </w:t>
      </w:r>
      <w:proofErr w:type="spellStart"/>
      <w:r w:rsidR="008A1F36" w:rsidRPr="00705170">
        <w:rPr>
          <w:rFonts w:ascii="Times New Roman" w:hAnsi="Times New Roman" w:cs="Times New Roman"/>
          <w:color w:val="000000"/>
        </w:rPr>
        <w:t>Ministry</w:t>
      </w:r>
      <w:proofErr w:type="spellEnd"/>
      <w:r w:rsidR="008A1F36" w:rsidRPr="00705170">
        <w:rPr>
          <w:rFonts w:ascii="Times New Roman" w:hAnsi="Times New Roman" w:cs="Times New Roman"/>
          <w:color w:val="000000"/>
        </w:rPr>
        <w:t xml:space="preserve"> of </w:t>
      </w:r>
      <w:proofErr w:type="spellStart"/>
      <w:r w:rsidR="008A1F36" w:rsidRPr="00705170">
        <w:rPr>
          <w:rFonts w:ascii="Times New Roman" w:hAnsi="Times New Roman" w:cs="Times New Roman"/>
          <w:color w:val="000000"/>
        </w:rPr>
        <w:t>Trade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if</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one</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r w:rsidR="009773FD" w:rsidRPr="00705170">
        <w:rPr>
          <w:rFonts w:ascii="Times New Roman" w:hAnsi="Times New Roman" w:cs="Times New Roman"/>
          <w:color w:val="000000"/>
        </w:rPr>
        <w:t>“</w:t>
      </w:r>
      <w:proofErr w:type="spellStart"/>
      <w:r w:rsidRPr="00705170">
        <w:rPr>
          <w:rFonts w:ascii="Times New Roman" w:hAnsi="Times New Roman" w:cs="Times New Roman"/>
          <w:color w:val="000000"/>
        </w:rPr>
        <w:t>statutory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organs</w:t>
      </w:r>
      <w:proofErr w:type="spellEnd"/>
      <w:r w:rsidR="009773FD" w:rsidRPr="00705170">
        <w:rPr>
          <w:rFonts w:ascii="Times New Roman" w:hAnsi="Times New Roman" w:cs="Times New Roman"/>
          <w:color w:val="000000"/>
        </w:rPr>
        <w:t>”</w:t>
      </w:r>
      <w:r w:rsidRPr="00705170">
        <w:rPr>
          <w:rFonts w:ascii="Times New Roman" w:hAnsi="Times New Roman" w:cs="Times New Roman"/>
          <w:color w:val="000000"/>
        </w:rPr>
        <w:t xml:space="preserve"> is not </w:t>
      </w:r>
      <w:proofErr w:type="spellStart"/>
      <w:r w:rsidRPr="00705170">
        <w:rPr>
          <w:rFonts w:ascii="Times New Roman" w:hAnsi="Times New Roman" w:cs="Times New Roman"/>
          <w:color w:val="000000"/>
        </w:rPr>
        <w:t>available</w:t>
      </w:r>
      <w:proofErr w:type="spellEnd"/>
      <w:r w:rsidR="000D0933" w:rsidRPr="00705170">
        <w:rPr>
          <w:rFonts w:ascii="Times New Roman" w:hAnsi="Times New Roman" w:cs="Times New Roman"/>
          <w:color w:val="000000"/>
        </w:rPr>
        <w:t xml:space="preserve">, </w:t>
      </w:r>
      <w:proofErr w:type="spellStart"/>
      <w:r w:rsidR="000D0933" w:rsidRPr="00705170">
        <w:rPr>
          <w:rFonts w:ascii="Times New Roman" w:hAnsi="Times New Roman" w:cs="Times New Roman"/>
          <w:color w:val="000000"/>
        </w:rPr>
        <w:t>and</w:t>
      </w:r>
      <w:proofErr w:type="spellEnd"/>
      <w:r w:rsidR="000D0933" w:rsidRPr="00705170">
        <w:rPr>
          <w:rFonts w:ascii="Times New Roman" w:hAnsi="Times New Roman" w:cs="Times New Roman"/>
          <w:color w:val="000000"/>
        </w:rPr>
        <w:t xml:space="preserve"> board of </w:t>
      </w:r>
      <w:proofErr w:type="spellStart"/>
      <w:r w:rsidR="000D0933" w:rsidRPr="00705170">
        <w:rPr>
          <w:rFonts w:ascii="Times New Roman" w:hAnsi="Times New Roman" w:cs="Times New Roman"/>
          <w:color w:val="000000"/>
        </w:rPr>
        <w:t>directors</w:t>
      </w:r>
      <w:proofErr w:type="spellEnd"/>
      <w:r w:rsidR="000D0933" w:rsidRPr="00705170">
        <w:rPr>
          <w:rFonts w:ascii="Times New Roman" w:hAnsi="Times New Roman" w:cs="Times New Roman"/>
          <w:color w:val="000000"/>
        </w:rPr>
        <w:t xml:space="preserve"> is </w:t>
      </w:r>
      <w:proofErr w:type="spellStart"/>
      <w:r w:rsidR="000D0933" w:rsidRPr="00705170">
        <w:rPr>
          <w:rFonts w:ascii="Times New Roman" w:hAnsi="Times New Roman" w:cs="Times New Roman"/>
          <w:color w:val="000000"/>
        </w:rPr>
        <w:t>accepted</w:t>
      </w:r>
      <w:proofErr w:type="spellEnd"/>
      <w:r w:rsidR="000D0933" w:rsidRPr="00705170">
        <w:rPr>
          <w:rFonts w:ascii="Times New Roman" w:hAnsi="Times New Roman" w:cs="Times New Roman"/>
          <w:color w:val="000000"/>
        </w:rPr>
        <w:t xml:space="preserve"> as </w:t>
      </w:r>
      <w:proofErr w:type="spellStart"/>
      <w:r w:rsidR="000D0933" w:rsidRPr="00705170">
        <w:rPr>
          <w:rFonts w:ascii="Times New Roman" w:hAnsi="Times New Roman" w:cs="Times New Roman"/>
          <w:color w:val="000000"/>
        </w:rPr>
        <w:t>one</w:t>
      </w:r>
      <w:proofErr w:type="spellEnd"/>
      <w:r w:rsidR="000D0933" w:rsidRPr="00705170">
        <w:rPr>
          <w:rFonts w:ascii="Times New Roman" w:hAnsi="Times New Roman" w:cs="Times New Roman"/>
          <w:color w:val="000000"/>
        </w:rPr>
        <w:t xml:space="preserve"> of </w:t>
      </w:r>
      <w:proofErr w:type="spellStart"/>
      <w:r w:rsidR="000D0933" w:rsidRPr="00705170">
        <w:rPr>
          <w:rFonts w:ascii="Times New Roman" w:hAnsi="Times New Roman" w:cs="Times New Roman"/>
          <w:color w:val="000000"/>
        </w:rPr>
        <w:t>these</w:t>
      </w:r>
      <w:proofErr w:type="spellEnd"/>
      <w:r w:rsidR="000D0933" w:rsidRPr="00705170">
        <w:rPr>
          <w:rFonts w:ascii="Times New Roman" w:hAnsi="Times New Roman" w:cs="Times New Roman"/>
          <w:color w:val="000000"/>
        </w:rPr>
        <w:t xml:space="preserve"> </w:t>
      </w:r>
      <w:proofErr w:type="spellStart"/>
      <w:r w:rsidR="000D0933" w:rsidRPr="00705170">
        <w:rPr>
          <w:rFonts w:ascii="Times New Roman" w:hAnsi="Times New Roman" w:cs="Times New Roman"/>
          <w:color w:val="000000"/>
        </w:rPr>
        <w:t>organs</w:t>
      </w:r>
      <w:proofErr w:type="spellEnd"/>
      <w:r w:rsidR="000D0933" w:rsidRPr="00705170">
        <w:rPr>
          <w:rStyle w:val="DipnotBavurusu"/>
          <w:rFonts w:ascii="Times New Roman" w:hAnsi="Times New Roman" w:cs="Times New Roman"/>
          <w:color w:val="000000"/>
        </w:rPr>
        <w:footnoteReference w:id="525"/>
      </w:r>
      <w:r w:rsidR="000D0933" w:rsidRPr="00705170">
        <w:rPr>
          <w:rFonts w:ascii="Times New Roman" w:hAnsi="Times New Roman" w:cs="Times New Roman"/>
          <w:color w:val="000000"/>
        </w:rPr>
        <w:t>.</w:t>
      </w:r>
      <w:r w:rsidR="00D5450D" w:rsidRPr="00705170">
        <w:rPr>
          <w:rFonts w:ascii="Times New Roman" w:hAnsi="Times New Roman" w:cs="Times New Roman"/>
          <w:color w:val="000000"/>
        </w:rPr>
        <w:t xml:space="preserve"> </w:t>
      </w:r>
      <w:r w:rsidRPr="00705170">
        <w:rPr>
          <w:rFonts w:ascii="Times New Roman" w:hAnsi="Times New Roman" w:cs="Times New Roman"/>
          <w:color w:val="000000"/>
        </w:rPr>
        <w:t>A</w:t>
      </w:r>
      <w:r w:rsidR="005E3E5D" w:rsidRPr="00705170">
        <w:rPr>
          <w:rFonts w:ascii="Times New Roman" w:hAnsi="Times New Roman" w:cs="Times New Roman"/>
          <w:color w:val="000000"/>
        </w:rPr>
        <w:t>s</w:t>
      </w:r>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the</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articles</w:t>
      </w:r>
      <w:proofErr w:type="spellEnd"/>
      <w:r w:rsidR="00D5450D" w:rsidRPr="00705170">
        <w:rPr>
          <w:rFonts w:ascii="Times New Roman" w:hAnsi="Times New Roman" w:cs="Times New Roman"/>
          <w:color w:val="000000"/>
        </w:rPr>
        <w:t xml:space="preserve"> of </w:t>
      </w:r>
      <w:proofErr w:type="spellStart"/>
      <w:r w:rsidR="00D5450D" w:rsidRPr="00705170">
        <w:rPr>
          <w:rFonts w:ascii="Times New Roman" w:hAnsi="Times New Roman" w:cs="Times New Roman"/>
          <w:color w:val="000000"/>
        </w:rPr>
        <w:t>incorporation</w:t>
      </w:r>
      <w:proofErr w:type="spellEnd"/>
      <w:r w:rsidR="00D5450D" w:rsidRPr="00705170">
        <w:rPr>
          <w:rFonts w:ascii="Times New Roman" w:hAnsi="Times New Roman" w:cs="Times New Roman"/>
          <w:color w:val="000000"/>
        </w:rPr>
        <w:t xml:space="preserve"> can </w:t>
      </w:r>
      <w:proofErr w:type="spellStart"/>
      <w:r w:rsidR="00D5450D" w:rsidRPr="00705170">
        <w:rPr>
          <w:rFonts w:ascii="Times New Roman" w:hAnsi="Times New Roman" w:cs="Times New Roman"/>
          <w:color w:val="000000"/>
        </w:rPr>
        <w:t>only</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deviate</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if</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the</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statute</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permits</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the</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deviation</w:t>
      </w:r>
      <w:proofErr w:type="spellEnd"/>
      <w:r w:rsidR="00664EAA" w:rsidRPr="00705170">
        <w:rPr>
          <w:rFonts w:ascii="Times New Roman" w:hAnsi="Times New Roman" w:cs="Times New Roman"/>
          <w:color w:val="000000"/>
        </w:rPr>
        <w:t xml:space="preserve"> (</w:t>
      </w:r>
      <w:proofErr w:type="spellStart"/>
      <w:r w:rsidR="00664EAA" w:rsidRPr="00705170">
        <w:rPr>
          <w:rFonts w:ascii="Times New Roman" w:hAnsi="Times New Roman" w:cs="Times New Roman"/>
          <w:color w:val="000000"/>
        </w:rPr>
        <w:t>Article</w:t>
      </w:r>
      <w:proofErr w:type="spellEnd"/>
      <w:r w:rsidR="00664EAA" w:rsidRPr="00705170">
        <w:rPr>
          <w:rFonts w:ascii="Times New Roman" w:hAnsi="Times New Roman" w:cs="Times New Roman"/>
          <w:color w:val="000000"/>
        </w:rPr>
        <w:t xml:space="preserve"> 340)</w:t>
      </w:r>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the</w:t>
      </w:r>
      <w:proofErr w:type="spellEnd"/>
      <w:r w:rsidR="00D5450D" w:rsidRPr="00705170">
        <w:rPr>
          <w:rFonts w:ascii="Times New Roman" w:hAnsi="Times New Roman" w:cs="Times New Roman"/>
          <w:color w:val="000000"/>
        </w:rPr>
        <w:t xml:space="preserve"> general </w:t>
      </w:r>
      <w:proofErr w:type="spellStart"/>
      <w:r w:rsidR="00D5450D" w:rsidRPr="00705170">
        <w:rPr>
          <w:rFonts w:ascii="Times New Roman" w:hAnsi="Times New Roman" w:cs="Times New Roman"/>
          <w:color w:val="000000"/>
        </w:rPr>
        <w:t>assembly</w:t>
      </w:r>
      <w:proofErr w:type="spellEnd"/>
      <w:r w:rsidR="00D5450D" w:rsidRPr="00705170">
        <w:rPr>
          <w:rFonts w:ascii="Times New Roman" w:hAnsi="Times New Roman" w:cs="Times New Roman"/>
          <w:color w:val="000000"/>
        </w:rPr>
        <w:t xml:space="preserve"> of </w:t>
      </w:r>
      <w:proofErr w:type="spellStart"/>
      <w:r w:rsidR="00D5450D" w:rsidRPr="00705170">
        <w:rPr>
          <w:rFonts w:ascii="Times New Roman" w:hAnsi="Times New Roman" w:cs="Times New Roman"/>
          <w:color w:val="000000"/>
        </w:rPr>
        <w:t>shareholders</w:t>
      </w:r>
      <w:proofErr w:type="spellEnd"/>
      <w:r w:rsidR="00D5450D" w:rsidRPr="00705170">
        <w:rPr>
          <w:rFonts w:ascii="Times New Roman" w:hAnsi="Times New Roman" w:cs="Times New Roman"/>
          <w:color w:val="000000"/>
        </w:rPr>
        <w:t xml:space="preserve"> can </w:t>
      </w:r>
      <w:proofErr w:type="spellStart"/>
      <w:r w:rsidR="00D5450D" w:rsidRPr="00705170">
        <w:rPr>
          <w:rFonts w:ascii="Times New Roman" w:hAnsi="Times New Roman" w:cs="Times New Roman"/>
          <w:color w:val="000000"/>
        </w:rPr>
        <w:t>only</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act</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if</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the</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statute</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or</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the</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articles</w:t>
      </w:r>
      <w:proofErr w:type="spellEnd"/>
      <w:r w:rsidR="00D5450D" w:rsidRPr="00705170">
        <w:rPr>
          <w:rFonts w:ascii="Times New Roman" w:hAnsi="Times New Roman" w:cs="Times New Roman"/>
          <w:color w:val="000000"/>
        </w:rPr>
        <w:t xml:space="preserve"> of </w:t>
      </w:r>
      <w:proofErr w:type="spellStart"/>
      <w:r w:rsidR="00D5450D" w:rsidRPr="00705170">
        <w:rPr>
          <w:rFonts w:ascii="Times New Roman" w:hAnsi="Times New Roman" w:cs="Times New Roman"/>
          <w:color w:val="000000"/>
        </w:rPr>
        <w:t>incorporation</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conferred</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or</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imposed</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upon</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them</w:t>
      </w:r>
      <w:proofErr w:type="spellEnd"/>
      <w:r w:rsidR="00D5450D" w:rsidRPr="00705170">
        <w:rPr>
          <w:rFonts w:ascii="Times New Roman" w:hAnsi="Times New Roman" w:cs="Times New Roman"/>
          <w:color w:val="000000"/>
        </w:rPr>
        <w:t xml:space="preserve"> </w:t>
      </w:r>
      <w:proofErr w:type="spellStart"/>
      <w:r w:rsidR="00A12696" w:rsidRPr="00705170">
        <w:rPr>
          <w:rFonts w:ascii="Times New Roman" w:hAnsi="Times New Roman" w:cs="Times New Roman"/>
          <w:color w:val="000000"/>
        </w:rPr>
        <w:t>the</w:t>
      </w:r>
      <w:proofErr w:type="spellEnd"/>
      <w:r w:rsidR="00A12696" w:rsidRPr="00705170">
        <w:rPr>
          <w:rFonts w:ascii="Times New Roman" w:hAnsi="Times New Roman" w:cs="Times New Roman"/>
          <w:color w:val="000000"/>
        </w:rPr>
        <w:t xml:space="preserve"> </w:t>
      </w:r>
      <w:proofErr w:type="spellStart"/>
      <w:r w:rsidR="00A12696" w:rsidRPr="00705170">
        <w:rPr>
          <w:rFonts w:ascii="Times New Roman" w:hAnsi="Times New Roman" w:cs="Times New Roman"/>
          <w:color w:val="000000"/>
        </w:rPr>
        <w:t>right</w:t>
      </w:r>
      <w:proofErr w:type="spellEnd"/>
      <w:r w:rsidR="00A12696" w:rsidRPr="00705170">
        <w:rPr>
          <w:rFonts w:ascii="Times New Roman" w:hAnsi="Times New Roman" w:cs="Times New Roman"/>
          <w:color w:val="000000"/>
        </w:rPr>
        <w:t xml:space="preserve"> </w:t>
      </w:r>
      <w:r w:rsidR="00D5450D" w:rsidRPr="00705170">
        <w:rPr>
          <w:rFonts w:ascii="Times New Roman" w:hAnsi="Times New Roman" w:cs="Times New Roman"/>
          <w:color w:val="000000"/>
        </w:rPr>
        <w:t xml:space="preserve">(TCC </w:t>
      </w:r>
      <w:proofErr w:type="spellStart"/>
      <w:r w:rsidR="00D5450D" w:rsidRPr="00705170">
        <w:rPr>
          <w:rFonts w:ascii="Times New Roman" w:hAnsi="Times New Roman" w:cs="Times New Roman"/>
          <w:color w:val="000000"/>
        </w:rPr>
        <w:t>Article</w:t>
      </w:r>
      <w:proofErr w:type="spellEnd"/>
      <w:r w:rsidR="00D5450D" w:rsidRPr="00705170">
        <w:rPr>
          <w:rFonts w:ascii="Times New Roman" w:hAnsi="Times New Roman" w:cs="Times New Roman"/>
          <w:color w:val="000000"/>
        </w:rPr>
        <w:t xml:space="preserve"> 408(1)); </w:t>
      </w:r>
      <w:proofErr w:type="spellStart"/>
      <w:r w:rsidR="00664EAA" w:rsidRPr="00705170">
        <w:rPr>
          <w:rFonts w:ascii="Times New Roman" w:hAnsi="Times New Roman" w:cs="Times New Roman"/>
          <w:color w:val="000000"/>
        </w:rPr>
        <w:t>the</w:t>
      </w:r>
      <w:proofErr w:type="spellEnd"/>
      <w:r w:rsidR="00664EAA" w:rsidRPr="00705170">
        <w:rPr>
          <w:rFonts w:ascii="Times New Roman" w:hAnsi="Times New Roman" w:cs="Times New Roman"/>
          <w:color w:val="000000"/>
        </w:rPr>
        <w:t xml:space="preserve"> board </w:t>
      </w:r>
      <w:proofErr w:type="spellStart"/>
      <w:r w:rsidR="00664EAA" w:rsidRPr="00705170">
        <w:rPr>
          <w:rFonts w:ascii="Times New Roman" w:hAnsi="Times New Roman" w:cs="Times New Roman"/>
          <w:color w:val="000000"/>
        </w:rPr>
        <w:t>resolutions</w:t>
      </w:r>
      <w:proofErr w:type="spellEnd"/>
      <w:r w:rsidR="00664EAA" w:rsidRPr="00705170">
        <w:rPr>
          <w:rFonts w:ascii="Times New Roman" w:hAnsi="Times New Roman" w:cs="Times New Roman"/>
          <w:color w:val="000000"/>
        </w:rPr>
        <w:t xml:space="preserve"> </w:t>
      </w:r>
      <w:proofErr w:type="spellStart"/>
      <w:r w:rsidR="00664EAA" w:rsidRPr="00705170">
        <w:rPr>
          <w:rFonts w:ascii="Times New Roman" w:hAnsi="Times New Roman" w:cs="Times New Roman"/>
          <w:color w:val="000000"/>
        </w:rPr>
        <w:t>concerning</w:t>
      </w:r>
      <w:proofErr w:type="spellEnd"/>
      <w:r w:rsidR="00664EAA" w:rsidRPr="00705170">
        <w:rPr>
          <w:rFonts w:ascii="Times New Roman" w:hAnsi="Times New Roman" w:cs="Times New Roman"/>
          <w:color w:val="000000"/>
        </w:rPr>
        <w:t xml:space="preserve"> </w:t>
      </w:r>
      <w:proofErr w:type="spellStart"/>
      <w:r w:rsidR="00664EAA" w:rsidRPr="00705170">
        <w:rPr>
          <w:rFonts w:ascii="Times New Roman" w:hAnsi="Times New Roman" w:cs="Times New Roman"/>
          <w:color w:val="000000"/>
        </w:rPr>
        <w:t>delegation</w:t>
      </w:r>
      <w:proofErr w:type="spellEnd"/>
      <w:r w:rsidR="00664EAA" w:rsidRPr="00705170">
        <w:rPr>
          <w:rFonts w:ascii="Times New Roman" w:hAnsi="Times New Roman" w:cs="Times New Roman"/>
          <w:color w:val="000000"/>
        </w:rPr>
        <w:t xml:space="preserve"> of </w:t>
      </w:r>
      <w:proofErr w:type="spellStart"/>
      <w:r w:rsidR="00664EAA" w:rsidRPr="00705170">
        <w:rPr>
          <w:rFonts w:ascii="Times New Roman" w:hAnsi="Times New Roman" w:cs="Times New Roman"/>
          <w:color w:val="000000"/>
        </w:rPr>
        <w:t>inalienable</w:t>
      </w:r>
      <w:proofErr w:type="spellEnd"/>
      <w:r w:rsidR="00664EAA" w:rsidRPr="00705170">
        <w:rPr>
          <w:rFonts w:ascii="Times New Roman" w:hAnsi="Times New Roman" w:cs="Times New Roman"/>
          <w:color w:val="000000"/>
        </w:rPr>
        <w:t xml:space="preserve"> </w:t>
      </w:r>
      <w:proofErr w:type="spellStart"/>
      <w:r w:rsidR="00664EAA" w:rsidRPr="00705170">
        <w:rPr>
          <w:rFonts w:ascii="Times New Roman" w:hAnsi="Times New Roman" w:cs="Times New Roman"/>
          <w:color w:val="000000"/>
        </w:rPr>
        <w:t>powers</w:t>
      </w:r>
      <w:proofErr w:type="spellEnd"/>
      <w:r w:rsidR="00664EAA" w:rsidRPr="00705170">
        <w:rPr>
          <w:rFonts w:ascii="Times New Roman" w:hAnsi="Times New Roman" w:cs="Times New Roman"/>
          <w:color w:val="000000"/>
        </w:rPr>
        <w:t xml:space="preserve"> of </w:t>
      </w:r>
      <w:proofErr w:type="spellStart"/>
      <w:r w:rsidR="00664EAA" w:rsidRPr="00705170">
        <w:rPr>
          <w:rFonts w:ascii="Times New Roman" w:hAnsi="Times New Roman" w:cs="Times New Roman"/>
          <w:color w:val="000000"/>
        </w:rPr>
        <w:t>corporate</w:t>
      </w:r>
      <w:proofErr w:type="spellEnd"/>
      <w:r w:rsidR="00664EAA" w:rsidRPr="00705170">
        <w:rPr>
          <w:rFonts w:ascii="Times New Roman" w:hAnsi="Times New Roman" w:cs="Times New Roman"/>
          <w:color w:val="000000"/>
        </w:rPr>
        <w:t xml:space="preserve"> </w:t>
      </w:r>
      <w:proofErr w:type="spellStart"/>
      <w:r w:rsidR="00664EAA" w:rsidRPr="00705170">
        <w:rPr>
          <w:rFonts w:ascii="Times New Roman" w:hAnsi="Times New Roman" w:cs="Times New Roman"/>
          <w:color w:val="000000"/>
        </w:rPr>
        <w:t>organs</w:t>
      </w:r>
      <w:proofErr w:type="spellEnd"/>
      <w:r w:rsidR="00664EAA" w:rsidRPr="00705170">
        <w:rPr>
          <w:rFonts w:ascii="Times New Roman" w:hAnsi="Times New Roman" w:cs="Times New Roman"/>
          <w:color w:val="000000"/>
        </w:rPr>
        <w:t xml:space="preserve"> </w:t>
      </w:r>
      <w:proofErr w:type="spellStart"/>
      <w:r w:rsidR="00664EAA" w:rsidRPr="00705170">
        <w:rPr>
          <w:rFonts w:ascii="Times New Roman" w:hAnsi="Times New Roman" w:cs="Times New Roman"/>
          <w:color w:val="000000"/>
        </w:rPr>
        <w:t>are</w:t>
      </w:r>
      <w:proofErr w:type="spellEnd"/>
      <w:r w:rsidR="00664EAA" w:rsidRPr="00705170">
        <w:rPr>
          <w:rFonts w:ascii="Times New Roman" w:hAnsi="Times New Roman" w:cs="Times New Roman"/>
          <w:color w:val="000000"/>
        </w:rPr>
        <w:t xml:space="preserve"> </w:t>
      </w:r>
      <w:proofErr w:type="spellStart"/>
      <w:r w:rsidR="00664EAA" w:rsidRPr="00705170">
        <w:rPr>
          <w:rFonts w:ascii="Times New Roman" w:hAnsi="Times New Roman" w:cs="Times New Roman"/>
          <w:color w:val="000000"/>
        </w:rPr>
        <w:t>void</w:t>
      </w:r>
      <w:proofErr w:type="spellEnd"/>
      <w:r w:rsidR="00664EAA" w:rsidRPr="00705170">
        <w:rPr>
          <w:rFonts w:ascii="Times New Roman" w:hAnsi="Times New Roman" w:cs="Times New Roman"/>
          <w:color w:val="000000"/>
        </w:rPr>
        <w:t xml:space="preserve"> (TCC </w:t>
      </w:r>
      <w:proofErr w:type="spellStart"/>
      <w:r w:rsidR="00664EAA" w:rsidRPr="00705170">
        <w:rPr>
          <w:rFonts w:ascii="Times New Roman" w:hAnsi="Times New Roman" w:cs="Times New Roman"/>
          <w:color w:val="000000"/>
        </w:rPr>
        <w:t>Article</w:t>
      </w:r>
      <w:proofErr w:type="spellEnd"/>
      <w:r w:rsidR="00664EAA" w:rsidRPr="00705170">
        <w:rPr>
          <w:rFonts w:ascii="Times New Roman" w:hAnsi="Times New Roman" w:cs="Times New Roman"/>
          <w:color w:val="000000"/>
        </w:rPr>
        <w:t xml:space="preserve"> 391(1)(d)); </w:t>
      </w:r>
      <w:proofErr w:type="spellStart"/>
      <w:r w:rsidR="00D5450D" w:rsidRPr="00705170">
        <w:rPr>
          <w:rFonts w:ascii="Times New Roman" w:hAnsi="Times New Roman" w:cs="Times New Roman"/>
          <w:color w:val="000000"/>
        </w:rPr>
        <w:t>and</w:t>
      </w:r>
      <w:proofErr w:type="spellEnd"/>
      <w:r w:rsidR="00D5450D" w:rsidRPr="00705170">
        <w:rPr>
          <w:rFonts w:ascii="Times New Roman" w:hAnsi="Times New Roman" w:cs="Times New Roman"/>
          <w:color w:val="000000"/>
        </w:rPr>
        <w:t xml:space="preserve"> </w:t>
      </w:r>
      <w:proofErr w:type="spellStart"/>
      <w:r w:rsidR="00DD7532" w:rsidRPr="00705170">
        <w:rPr>
          <w:rFonts w:ascii="Times New Roman" w:hAnsi="Times New Roman" w:cs="Times New Roman"/>
          <w:color w:val="000000"/>
        </w:rPr>
        <w:t>some</w:t>
      </w:r>
      <w:proofErr w:type="spellEnd"/>
      <w:r w:rsidR="00DD7532" w:rsidRPr="00705170">
        <w:rPr>
          <w:rFonts w:ascii="Times New Roman" w:hAnsi="Times New Roman" w:cs="Times New Roman"/>
          <w:color w:val="000000"/>
        </w:rPr>
        <w:t xml:space="preserve"> of </w:t>
      </w:r>
      <w:proofErr w:type="spellStart"/>
      <w:r w:rsidR="00D5450D" w:rsidRPr="00705170">
        <w:rPr>
          <w:rFonts w:ascii="Times New Roman" w:hAnsi="Times New Roman" w:cs="Times New Roman"/>
          <w:color w:val="000000"/>
        </w:rPr>
        <w:t>the</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lastRenderedPageBreak/>
        <w:t>statutory</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powers</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and</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duties</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conferred</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or</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imposed</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upon</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the</w:t>
      </w:r>
      <w:proofErr w:type="spellEnd"/>
      <w:r w:rsidR="00D5450D" w:rsidRPr="00705170">
        <w:rPr>
          <w:rFonts w:ascii="Times New Roman" w:hAnsi="Times New Roman" w:cs="Times New Roman"/>
          <w:color w:val="000000"/>
        </w:rPr>
        <w:t xml:space="preserve"> board of </w:t>
      </w:r>
      <w:proofErr w:type="spellStart"/>
      <w:r w:rsidR="00D5450D" w:rsidRPr="00705170">
        <w:rPr>
          <w:rFonts w:ascii="Times New Roman" w:hAnsi="Times New Roman" w:cs="Times New Roman"/>
          <w:color w:val="000000"/>
        </w:rPr>
        <w:t>directors</w:t>
      </w:r>
      <w:proofErr w:type="spellEnd"/>
      <w:r w:rsidR="00D5450D" w:rsidRPr="00705170">
        <w:rPr>
          <w:rFonts w:ascii="Times New Roman" w:hAnsi="Times New Roman" w:cs="Times New Roman"/>
          <w:color w:val="000000"/>
        </w:rPr>
        <w:t xml:space="preserve"> </w:t>
      </w:r>
      <w:proofErr w:type="spellStart"/>
      <w:r w:rsidR="005E3E5D" w:rsidRPr="00705170">
        <w:rPr>
          <w:rFonts w:ascii="Times New Roman" w:hAnsi="Times New Roman" w:cs="Times New Roman"/>
          <w:color w:val="000000"/>
        </w:rPr>
        <w:t>are</w:t>
      </w:r>
      <w:proofErr w:type="spellEnd"/>
      <w:r w:rsidR="00D5450D" w:rsidRPr="00705170">
        <w:rPr>
          <w:rFonts w:ascii="Times New Roman" w:hAnsi="Times New Roman" w:cs="Times New Roman"/>
          <w:color w:val="000000"/>
        </w:rPr>
        <w:t xml:space="preserve"> </w:t>
      </w:r>
      <w:proofErr w:type="spellStart"/>
      <w:r w:rsidR="005D7D05" w:rsidRPr="00705170">
        <w:rPr>
          <w:rFonts w:ascii="Times New Roman" w:hAnsi="Times New Roman" w:cs="Times New Roman"/>
          <w:color w:val="000000"/>
        </w:rPr>
        <w:t>generally</w:t>
      </w:r>
      <w:proofErr w:type="spellEnd"/>
      <w:r w:rsidR="005D7D05" w:rsidRPr="00705170">
        <w:rPr>
          <w:rFonts w:ascii="Times New Roman" w:hAnsi="Times New Roman" w:cs="Times New Roman"/>
          <w:color w:val="000000"/>
        </w:rPr>
        <w:t xml:space="preserve"> </w:t>
      </w:r>
      <w:proofErr w:type="spellStart"/>
      <w:r w:rsidR="005E3E5D" w:rsidRPr="00705170">
        <w:rPr>
          <w:rFonts w:ascii="Times New Roman" w:hAnsi="Times New Roman" w:cs="Times New Roman"/>
          <w:color w:val="000000"/>
        </w:rPr>
        <w:t>nondelegable</w:t>
      </w:r>
      <w:proofErr w:type="spellEnd"/>
      <w:r w:rsidR="00D5450D" w:rsidRPr="00705170">
        <w:rPr>
          <w:rFonts w:ascii="Times New Roman" w:hAnsi="Times New Roman" w:cs="Times New Roman"/>
          <w:color w:val="000000"/>
        </w:rPr>
        <w:t xml:space="preserve"> </w:t>
      </w:r>
      <w:proofErr w:type="spellStart"/>
      <w:r w:rsidR="00D5450D" w:rsidRPr="00705170">
        <w:rPr>
          <w:rFonts w:ascii="Times New Roman" w:hAnsi="Times New Roman" w:cs="Times New Roman"/>
          <w:color w:val="000000"/>
        </w:rPr>
        <w:t>or</w:t>
      </w:r>
      <w:proofErr w:type="spellEnd"/>
      <w:r w:rsidR="005E3E5D" w:rsidRPr="00705170">
        <w:rPr>
          <w:rFonts w:ascii="Times New Roman" w:hAnsi="Times New Roman" w:cs="Times New Roman"/>
          <w:color w:val="000000"/>
        </w:rPr>
        <w:t xml:space="preserve"> </w:t>
      </w:r>
      <w:proofErr w:type="spellStart"/>
      <w:r w:rsidR="005E3E5D" w:rsidRPr="00705170">
        <w:rPr>
          <w:rFonts w:ascii="Times New Roman" w:hAnsi="Times New Roman" w:cs="Times New Roman"/>
          <w:color w:val="000000"/>
        </w:rPr>
        <w:t>inalienable</w:t>
      </w:r>
      <w:proofErr w:type="spellEnd"/>
      <w:r w:rsidR="00D5450D" w:rsidRPr="00705170">
        <w:rPr>
          <w:rFonts w:ascii="Times New Roman" w:hAnsi="Times New Roman" w:cs="Times New Roman"/>
          <w:color w:val="000000"/>
        </w:rPr>
        <w:t xml:space="preserve"> (TCC </w:t>
      </w:r>
      <w:proofErr w:type="spellStart"/>
      <w:r w:rsidR="00D5450D" w:rsidRPr="00705170">
        <w:rPr>
          <w:rFonts w:ascii="Times New Roman" w:hAnsi="Times New Roman" w:cs="Times New Roman"/>
          <w:color w:val="000000"/>
        </w:rPr>
        <w:t>Article</w:t>
      </w:r>
      <w:proofErr w:type="spellEnd"/>
      <w:r w:rsidR="00D5450D" w:rsidRPr="00705170">
        <w:rPr>
          <w:rFonts w:ascii="Times New Roman" w:hAnsi="Times New Roman" w:cs="Times New Roman"/>
          <w:color w:val="000000"/>
        </w:rPr>
        <w:t xml:space="preserve"> 375)</w:t>
      </w:r>
      <w:r w:rsidR="005E3E5D" w:rsidRPr="00705170">
        <w:rPr>
          <w:rFonts w:ascii="Times New Roman" w:hAnsi="Times New Roman" w:cs="Times New Roman"/>
          <w:color w:val="000000"/>
        </w:rPr>
        <w:t xml:space="preserve">, </w:t>
      </w:r>
      <w:proofErr w:type="spellStart"/>
      <w:r w:rsidR="005E3E5D" w:rsidRPr="00705170">
        <w:rPr>
          <w:rFonts w:ascii="Times New Roman" w:hAnsi="Times New Roman" w:cs="Times New Roman"/>
          <w:color w:val="000000"/>
        </w:rPr>
        <w:t>the</w:t>
      </w:r>
      <w:proofErr w:type="spellEnd"/>
      <w:r w:rsidR="005E3E5D" w:rsidRPr="00705170">
        <w:rPr>
          <w:rFonts w:ascii="Times New Roman" w:hAnsi="Times New Roman" w:cs="Times New Roman"/>
          <w:color w:val="000000"/>
        </w:rPr>
        <w:t xml:space="preserve"> board of </w:t>
      </w:r>
      <w:proofErr w:type="spellStart"/>
      <w:r w:rsidR="005E3E5D" w:rsidRPr="00705170">
        <w:rPr>
          <w:rFonts w:ascii="Times New Roman" w:hAnsi="Times New Roman" w:cs="Times New Roman"/>
          <w:color w:val="000000"/>
        </w:rPr>
        <w:t>directors</w:t>
      </w:r>
      <w:proofErr w:type="spellEnd"/>
      <w:r w:rsidR="005E3E5D" w:rsidRPr="00705170">
        <w:rPr>
          <w:rFonts w:ascii="Times New Roman" w:hAnsi="Times New Roman" w:cs="Times New Roman"/>
          <w:color w:val="000000"/>
        </w:rPr>
        <w:t xml:space="preserve"> </w:t>
      </w:r>
      <w:r w:rsidRPr="00705170">
        <w:rPr>
          <w:rFonts w:ascii="Times New Roman" w:hAnsi="Times New Roman" w:cs="Times New Roman"/>
          <w:color w:val="000000"/>
        </w:rPr>
        <w:t xml:space="preserve">can be </w:t>
      </w:r>
      <w:proofErr w:type="spellStart"/>
      <w:r w:rsidRPr="00705170">
        <w:rPr>
          <w:rFonts w:ascii="Times New Roman" w:hAnsi="Times New Roman" w:cs="Times New Roman"/>
          <w:color w:val="000000"/>
        </w:rPr>
        <w:t>accepted</w:t>
      </w:r>
      <w:proofErr w:type="spellEnd"/>
      <w:r w:rsidRPr="00705170">
        <w:rPr>
          <w:rFonts w:ascii="Times New Roman" w:hAnsi="Times New Roman" w:cs="Times New Roman"/>
          <w:color w:val="000000"/>
        </w:rPr>
        <w:t xml:space="preserve"> as a “</w:t>
      </w:r>
      <w:proofErr w:type="spellStart"/>
      <w:r w:rsidRPr="00705170">
        <w:rPr>
          <w:rFonts w:ascii="Times New Roman" w:hAnsi="Times New Roman" w:cs="Times New Roman"/>
          <w:color w:val="000000"/>
        </w:rPr>
        <w:t>statutory</w:t>
      </w:r>
      <w:proofErr w:type="spellEnd"/>
      <w:r w:rsidRPr="00705170">
        <w:rPr>
          <w:rFonts w:ascii="Times New Roman" w:hAnsi="Times New Roman" w:cs="Times New Roman"/>
          <w:color w:val="000000"/>
        </w:rPr>
        <w:t xml:space="preserve"> organ”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it </w:t>
      </w:r>
      <w:proofErr w:type="spellStart"/>
      <w:r w:rsidR="005E3E5D" w:rsidRPr="00705170">
        <w:rPr>
          <w:rFonts w:ascii="Times New Roman" w:hAnsi="Times New Roman" w:cs="Times New Roman"/>
          <w:color w:val="000000"/>
        </w:rPr>
        <w:t>cannot</w:t>
      </w:r>
      <w:proofErr w:type="spellEnd"/>
      <w:r w:rsidR="005E3E5D" w:rsidRPr="00705170">
        <w:rPr>
          <w:rFonts w:ascii="Times New Roman" w:hAnsi="Times New Roman" w:cs="Times New Roman"/>
          <w:color w:val="000000"/>
        </w:rPr>
        <w:t xml:space="preserve"> be </w:t>
      </w:r>
      <w:proofErr w:type="spellStart"/>
      <w:r w:rsidR="005E3E5D" w:rsidRPr="00705170">
        <w:rPr>
          <w:rFonts w:ascii="Times New Roman" w:hAnsi="Times New Roman" w:cs="Times New Roman"/>
          <w:color w:val="000000"/>
        </w:rPr>
        <w:t>abolished</w:t>
      </w:r>
      <w:proofErr w:type="spellEnd"/>
      <w:r w:rsidR="005E3E5D" w:rsidRPr="00705170">
        <w:rPr>
          <w:rFonts w:ascii="Times New Roman" w:hAnsi="Times New Roman" w:cs="Times New Roman"/>
          <w:color w:val="000000"/>
        </w:rPr>
        <w:t xml:space="preserve"> </w:t>
      </w:r>
      <w:proofErr w:type="spellStart"/>
      <w:r w:rsidR="005E3E5D" w:rsidRPr="00705170">
        <w:rPr>
          <w:rFonts w:ascii="Times New Roman" w:hAnsi="Times New Roman" w:cs="Times New Roman"/>
          <w:color w:val="000000"/>
        </w:rPr>
        <w:t>or</w:t>
      </w:r>
      <w:proofErr w:type="spellEnd"/>
      <w:r w:rsidR="005E3E5D" w:rsidRPr="00705170">
        <w:rPr>
          <w:rFonts w:ascii="Times New Roman" w:hAnsi="Times New Roman" w:cs="Times New Roman"/>
          <w:color w:val="000000"/>
        </w:rPr>
        <w:t xml:space="preserve"> </w:t>
      </w:r>
      <w:proofErr w:type="spellStart"/>
      <w:r w:rsidR="005E3E5D" w:rsidRPr="00705170">
        <w:rPr>
          <w:rFonts w:ascii="Times New Roman" w:hAnsi="Times New Roman" w:cs="Times New Roman"/>
          <w:color w:val="000000"/>
        </w:rPr>
        <w:t>sterilized</w:t>
      </w:r>
      <w:proofErr w:type="spellEnd"/>
      <w:r w:rsidR="005D7D05" w:rsidRPr="00705170">
        <w:rPr>
          <w:rStyle w:val="DipnotBavurusu"/>
          <w:rFonts w:ascii="Times New Roman" w:hAnsi="Times New Roman" w:cs="Times New Roman"/>
          <w:color w:val="000000"/>
        </w:rPr>
        <w:footnoteReference w:id="526"/>
      </w:r>
      <w:r w:rsidR="005E3E5D" w:rsidRPr="00705170">
        <w:rPr>
          <w:rFonts w:ascii="Times New Roman" w:hAnsi="Times New Roman" w:cs="Times New Roman"/>
          <w:color w:val="000000"/>
        </w:rPr>
        <w:t xml:space="preserve">. </w:t>
      </w:r>
      <w:proofErr w:type="spellStart"/>
      <w:r w:rsidR="006962B6" w:rsidRPr="00265641">
        <w:rPr>
          <w:rFonts w:ascii="Times New Roman" w:hAnsi="Times New Roman" w:cs="Times New Roman"/>
          <w:color w:val="000000"/>
        </w:rPr>
        <w:t>Likewise</w:t>
      </w:r>
      <w:proofErr w:type="spellEnd"/>
      <w:r w:rsidR="006962B6" w:rsidRPr="00265641">
        <w:rPr>
          <w:rFonts w:ascii="Times New Roman" w:hAnsi="Times New Roman" w:cs="Times New Roman"/>
          <w:color w:val="000000"/>
        </w:rPr>
        <w:t xml:space="preserve">, general </w:t>
      </w:r>
      <w:proofErr w:type="spellStart"/>
      <w:r w:rsidR="006962B6" w:rsidRPr="00265641">
        <w:rPr>
          <w:rFonts w:ascii="Times New Roman" w:hAnsi="Times New Roman" w:cs="Times New Roman"/>
          <w:color w:val="000000"/>
        </w:rPr>
        <w:t>principles</w:t>
      </w:r>
      <w:proofErr w:type="spellEnd"/>
      <w:r w:rsidR="00C1587F" w:rsidRPr="00265641">
        <w:rPr>
          <w:rFonts w:ascii="Times New Roman" w:hAnsi="Times New Roman" w:cs="Times New Roman"/>
          <w:color w:val="000000"/>
        </w:rPr>
        <w:t xml:space="preserve"> </w:t>
      </w:r>
      <w:proofErr w:type="spellStart"/>
      <w:r w:rsidR="00C1587F" w:rsidRPr="00265641">
        <w:rPr>
          <w:rFonts w:ascii="Times New Roman" w:hAnsi="Times New Roman" w:cs="Times New Roman"/>
          <w:color w:val="000000"/>
        </w:rPr>
        <w:t>deriving</w:t>
      </w:r>
      <w:proofErr w:type="spellEnd"/>
      <w:r w:rsidR="00C1587F" w:rsidRPr="00265641">
        <w:rPr>
          <w:rFonts w:ascii="Times New Roman" w:hAnsi="Times New Roman" w:cs="Times New Roman"/>
          <w:color w:val="000000"/>
        </w:rPr>
        <w:t xml:space="preserve"> </w:t>
      </w:r>
      <w:proofErr w:type="spellStart"/>
      <w:r w:rsidR="00C1587F" w:rsidRPr="00265641">
        <w:rPr>
          <w:rFonts w:ascii="Times New Roman" w:hAnsi="Times New Roman" w:cs="Times New Roman"/>
          <w:color w:val="000000"/>
        </w:rPr>
        <w:t>from</w:t>
      </w:r>
      <w:proofErr w:type="spellEnd"/>
      <w:r w:rsidR="00C1587F" w:rsidRPr="00265641">
        <w:rPr>
          <w:rFonts w:ascii="Times New Roman" w:hAnsi="Times New Roman" w:cs="Times New Roman"/>
          <w:color w:val="000000"/>
        </w:rPr>
        <w:t xml:space="preserve"> </w:t>
      </w:r>
      <w:proofErr w:type="spellStart"/>
      <w:r w:rsidR="00C1587F" w:rsidRPr="00265641">
        <w:rPr>
          <w:rFonts w:ascii="Times New Roman" w:hAnsi="Times New Roman" w:cs="Times New Roman"/>
          <w:color w:val="000000"/>
        </w:rPr>
        <w:t>contract</w:t>
      </w:r>
      <w:proofErr w:type="spellEnd"/>
      <w:r w:rsidR="00C1587F" w:rsidRPr="00265641">
        <w:rPr>
          <w:rFonts w:ascii="Times New Roman" w:hAnsi="Times New Roman" w:cs="Times New Roman"/>
          <w:color w:val="000000"/>
        </w:rPr>
        <w:t xml:space="preserve"> </w:t>
      </w:r>
      <w:proofErr w:type="spellStart"/>
      <w:r w:rsidR="00C1587F" w:rsidRPr="00265641">
        <w:rPr>
          <w:rFonts w:ascii="Times New Roman" w:hAnsi="Times New Roman" w:cs="Times New Roman"/>
          <w:color w:val="000000"/>
        </w:rPr>
        <w:t>law</w:t>
      </w:r>
      <w:proofErr w:type="spellEnd"/>
      <w:r w:rsidR="006962B6" w:rsidRPr="00265641">
        <w:rPr>
          <w:rFonts w:ascii="Times New Roman" w:hAnsi="Times New Roman" w:cs="Times New Roman"/>
          <w:color w:val="000000"/>
        </w:rPr>
        <w:t xml:space="preserve"> can be </w:t>
      </w:r>
      <w:proofErr w:type="spellStart"/>
      <w:r w:rsidR="006962B6" w:rsidRPr="00265641">
        <w:rPr>
          <w:rFonts w:ascii="Times New Roman" w:hAnsi="Times New Roman" w:cs="Times New Roman"/>
          <w:color w:val="000000"/>
        </w:rPr>
        <w:t>used</w:t>
      </w:r>
      <w:proofErr w:type="spellEnd"/>
      <w:r w:rsidR="006962B6" w:rsidRPr="00265641">
        <w:rPr>
          <w:rFonts w:ascii="Times New Roman" w:hAnsi="Times New Roman" w:cs="Times New Roman"/>
          <w:color w:val="000000"/>
        </w:rPr>
        <w:t xml:space="preserve"> </w:t>
      </w:r>
      <w:proofErr w:type="spellStart"/>
      <w:r w:rsidR="009B1F21" w:rsidRPr="00265641">
        <w:rPr>
          <w:rFonts w:ascii="Times New Roman" w:hAnsi="Times New Roman" w:cs="Times New Roman"/>
          <w:color w:val="000000"/>
        </w:rPr>
        <w:t>to</w:t>
      </w:r>
      <w:proofErr w:type="spellEnd"/>
      <w:r w:rsidR="009B1F21" w:rsidRPr="00265641">
        <w:rPr>
          <w:rFonts w:ascii="Times New Roman" w:hAnsi="Times New Roman" w:cs="Times New Roman"/>
          <w:color w:val="000000"/>
        </w:rPr>
        <w:t xml:space="preserve"> </w:t>
      </w:r>
      <w:proofErr w:type="spellStart"/>
      <w:r w:rsidR="009B1F21" w:rsidRPr="00265641">
        <w:rPr>
          <w:rFonts w:ascii="Times New Roman" w:hAnsi="Times New Roman" w:cs="Times New Roman"/>
          <w:color w:val="000000"/>
        </w:rPr>
        <w:t>hold</w:t>
      </w:r>
      <w:proofErr w:type="spellEnd"/>
      <w:r w:rsidR="009B1F21" w:rsidRPr="00265641">
        <w:rPr>
          <w:rFonts w:ascii="Times New Roman" w:hAnsi="Times New Roman" w:cs="Times New Roman"/>
          <w:color w:val="000000"/>
        </w:rPr>
        <w:t xml:space="preserve"> </w:t>
      </w:r>
      <w:proofErr w:type="spellStart"/>
      <w:r w:rsidR="009B1F21" w:rsidRPr="00265641">
        <w:rPr>
          <w:rFonts w:ascii="Times New Roman" w:hAnsi="Times New Roman" w:cs="Times New Roman"/>
          <w:color w:val="000000"/>
        </w:rPr>
        <w:t>directors</w:t>
      </w:r>
      <w:proofErr w:type="spellEnd"/>
      <w:r w:rsidR="009B1F21" w:rsidRPr="00265641">
        <w:rPr>
          <w:rFonts w:ascii="Times New Roman" w:hAnsi="Times New Roman" w:cs="Times New Roman"/>
          <w:color w:val="000000"/>
        </w:rPr>
        <w:t xml:space="preserve"> </w:t>
      </w:r>
      <w:proofErr w:type="spellStart"/>
      <w:r w:rsidR="009B1F21" w:rsidRPr="00265641">
        <w:rPr>
          <w:rFonts w:ascii="Times New Roman" w:hAnsi="Times New Roman" w:cs="Times New Roman"/>
          <w:color w:val="000000"/>
        </w:rPr>
        <w:t>who</w:t>
      </w:r>
      <w:proofErr w:type="spellEnd"/>
      <w:r w:rsidR="009B1F21" w:rsidRPr="00265641">
        <w:rPr>
          <w:rFonts w:ascii="Times New Roman" w:hAnsi="Times New Roman" w:cs="Times New Roman"/>
          <w:color w:val="000000"/>
        </w:rPr>
        <w:t xml:space="preserve"> </w:t>
      </w:r>
      <w:proofErr w:type="spellStart"/>
      <w:r w:rsidR="009B1F21" w:rsidRPr="00265641">
        <w:rPr>
          <w:rFonts w:ascii="Times New Roman" w:hAnsi="Times New Roman" w:cs="Times New Roman"/>
          <w:color w:val="000000"/>
        </w:rPr>
        <w:t>act</w:t>
      </w:r>
      <w:proofErr w:type="spellEnd"/>
      <w:r w:rsidR="009B1F21" w:rsidRPr="00265641">
        <w:rPr>
          <w:rFonts w:ascii="Times New Roman" w:hAnsi="Times New Roman" w:cs="Times New Roman"/>
          <w:color w:val="000000"/>
        </w:rPr>
        <w:t xml:space="preserve"> </w:t>
      </w:r>
      <w:proofErr w:type="spellStart"/>
      <w:r w:rsidR="009B1F21" w:rsidRPr="00265641">
        <w:rPr>
          <w:rFonts w:ascii="Times New Roman" w:hAnsi="Times New Roman" w:cs="Times New Roman"/>
          <w:color w:val="000000"/>
        </w:rPr>
        <w:t>like</w:t>
      </w:r>
      <w:proofErr w:type="spellEnd"/>
      <w:r w:rsidR="009B1F21" w:rsidRPr="00265641">
        <w:rPr>
          <w:rFonts w:ascii="Times New Roman" w:hAnsi="Times New Roman" w:cs="Times New Roman"/>
          <w:color w:val="000000"/>
        </w:rPr>
        <w:t xml:space="preserve"> </w:t>
      </w:r>
      <w:proofErr w:type="spellStart"/>
      <w:r w:rsidR="009B1F21" w:rsidRPr="00265641">
        <w:rPr>
          <w:rFonts w:ascii="Times New Roman" w:hAnsi="Times New Roman" w:cs="Times New Roman"/>
          <w:color w:val="000000"/>
        </w:rPr>
        <w:t>agents</w:t>
      </w:r>
      <w:proofErr w:type="spellEnd"/>
      <w:r w:rsidR="009B1F21" w:rsidRPr="00265641">
        <w:rPr>
          <w:rFonts w:ascii="Times New Roman" w:hAnsi="Times New Roman" w:cs="Times New Roman"/>
          <w:color w:val="000000"/>
        </w:rPr>
        <w:t xml:space="preserve"> of </w:t>
      </w:r>
      <w:proofErr w:type="spellStart"/>
      <w:r w:rsidR="009B1F21" w:rsidRPr="00265641">
        <w:rPr>
          <w:rFonts w:ascii="Times New Roman" w:hAnsi="Times New Roman" w:cs="Times New Roman"/>
          <w:color w:val="000000"/>
        </w:rPr>
        <w:t>particular</w:t>
      </w:r>
      <w:proofErr w:type="spellEnd"/>
      <w:r w:rsidR="009B1F21" w:rsidRPr="00265641">
        <w:rPr>
          <w:rFonts w:ascii="Times New Roman" w:hAnsi="Times New Roman" w:cs="Times New Roman"/>
          <w:color w:val="000000"/>
        </w:rPr>
        <w:t xml:space="preserve"> </w:t>
      </w:r>
      <w:proofErr w:type="spellStart"/>
      <w:r w:rsidR="009B1F21" w:rsidRPr="00265641">
        <w:rPr>
          <w:rFonts w:ascii="Times New Roman" w:hAnsi="Times New Roman" w:cs="Times New Roman"/>
          <w:color w:val="000000"/>
        </w:rPr>
        <w:t>shareholders</w:t>
      </w:r>
      <w:proofErr w:type="spellEnd"/>
      <w:r w:rsidR="009B1F21" w:rsidRPr="00265641">
        <w:rPr>
          <w:rFonts w:ascii="Times New Roman" w:hAnsi="Times New Roman" w:cs="Times New Roman"/>
          <w:color w:val="000000"/>
        </w:rPr>
        <w:t xml:space="preserve"> </w:t>
      </w:r>
      <w:proofErr w:type="spellStart"/>
      <w:r w:rsidR="009B1F21" w:rsidRPr="00265641">
        <w:rPr>
          <w:rFonts w:ascii="Times New Roman" w:hAnsi="Times New Roman" w:cs="Times New Roman"/>
          <w:color w:val="000000"/>
        </w:rPr>
        <w:t>responsible</w:t>
      </w:r>
      <w:proofErr w:type="spellEnd"/>
      <w:r w:rsidR="009B1F21" w:rsidRPr="00265641">
        <w:rPr>
          <w:rFonts w:ascii="Times New Roman" w:hAnsi="Times New Roman" w:cs="Times New Roman"/>
          <w:color w:val="000000"/>
        </w:rPr>
        <w:t xml:space="preserve"> </w:t>
      </w:r>
      <w:proofErr w:type="spellStart"/>
      <w:r w:rsidR="009B1F21" w:rsidRPr="00265641">
        <w:rPr>
          <w:rFonts w:ascii="Times New Roman" w:hAnsi="Times New Roman" w:cs="Times New Roman"/>
          <w:color w:val="000000"/>
        </w:rPr>
        <w:t>for</w:t>
      </w:r>
      <w:proofErr w:type="spellEnd"/>
      <w:r w:rsidR="009B1F21" w:rsidRPr="00265641">
        <w:rPr>
          <w:rFonts w:ascii="Times New Roman" w:hAnsi="Times New Roman" w:cs="Times New Roman"/>
          <w:color w:val="000000"/>
        </w:rPr>
        <w:t xml:space="preserve"> </w:t>
      </w:r>
      <w:proofErr w:type="spellStart"/>
      <w:r w:rsidR="00F013E4" w:rsidRPr="00265641">
        <w:rPr>
          <w:rFonts w:ascii="Times New Roman" w:hAnsi="Times New Roman" w:cs="Times New Roman"/>
          <w:color w:val="000000"/>
        </w:rPr>
        <w:t>corporate</w:t>
      </w:r>
      <w:proofErr w:type="spellEnd"/>
      <w:r w:rsidR="00F013E4" w:rsidRPr="00265641">
        <w:rPr>
          <w:rFonts w:ascii="Times New Roman" w:hAnsi="Times New Roman" w:cs="Times New Roman"/>
          <w:color w:val="000000"/>
        </w:rPr>
        <w:t xml:space="preserve"> </w:t>
      </w:r>
      <w:proofErr w:type="spellStart"/>
      <w:r w:rsidR="00F013E4" w:rsidRPr="00265641">
        <w:rPr>
          <w:rFonts w:ascii="Times New Roman" w:hAnsi="Times New Roman" w:cs="Times New Roman"/>
          <w:color w:val="000000"/>
        </w:rPr>
        <w:t>losses</w:t>
      </w:r>
      <w:proofErr w:type="spellEnd"/>
      <w:r w:rsidR="00F013E4" w:rsidRPr="00265641">
        <w:rPr>
          <w:rFonts w:ascii="Times New Roman" w:hAnsi="Times New Roman" w:cs="Times New Roman"/>
          <w:color w:val="000000"/>
        </w:rPr>
        <w:t xml:space="preserve"> </w:t>
      </w:r>
      <w:proofErr w:type="spellStart"/>
      <w:r w:rsidR="00F013E4" w:rsidRPr="00265641">
        <w:rPr>
          <w:rFonts w:ascii="Times New Roman" w:hAnsi="Times New Roman" w:cs="Times New Roman"/>
          <w:color w:val="000000"/>
        </w:rPr>
        <w:t>caused</w:t>
      </w:r>
      <w:proofErr w:type="spellEnd"/>
      <w:r w:rsidR="00F013E4" w:rsidRPr="00265641">
        <w:rPr>
          <w:rFonts w:ascii="Times New Roman" w:hAnsi="Times New Roman" w:cs="Times New Roman"/>
          <w:color w:val="000000"/>
        </w:rPr>
        <w:t xml:space="preserve"> of </w:t>
      </w:r>
      <w:proofErr w:type="spellStart"/>
      <w:r w:rsidR="00F013E4" w:rsidRPr="00265641">
        <w:rPr>
          <w:rFonts w:ascii="Times New Roman" w:hAnsi="Times New Roman" w:cs="Times New Roman"/>
          <w:color w:val="000000"/>
        </w:rPr>
        <w:t>this</w:t>
      </w:r>
      <w:proofErr w:type="spellEnd"/>
      <w:r w:rsidR="00F013E4" w:rsidRPr="00265641">
        <w:rPr>
          <w:rFonts w:ascii="Times New Roman" w:hAnsi="Times New Roman" w:cs="Times New Roman"/>
          <w:color w:val="000000"/>
        </w:rPr>
        <w:t xml:space="preserve"> </w:t>
      </w:r>
      <w:proofErr w:type="spellStart"/>
      <w:r w:rsidR="00F013E4" w:rsidRPr="00265641">
        <w:rPr>
          <w:rFonts w:ascii="Times New Roman" w:hAnsi="Times New Roman" w:cs="Times New Roman"/>
          <w:color w:val="000000"/>
        </w:rPr>
        <w:t>agency</w:t>
      </w:r>
      <w:proofErr w:type="spellEnd"/>
      <w:r w:rsidR="00F013E4" w:rsidRPr="00265641">
        <w:rPr>
          <w:rFonts w:ascii="Times New Roman" w:hAnsi="Times New Roman" w:cs="Times New Roman"/>
          <w:color w:val="000000"/>
        </w:rPr>
        <w:t xml:space="preserve">; </w:t>
      </w:r>
      <w:proofErr w:type="spellStart"/>
      <w:r w:rsidR="00F013E4" w:rsidRPr="00265641">
        <w:rPr>
          <w:rFonts w:ascii="Times New Roman" w:hAnsi="Times New Roman" w:cs="Times New Roman"/>
          <w:color w:val="000000"/>
        </w:rPr>
        <w:t>and</w:t>
      </w:r>
      <w:proofErr w:type="spellEnd"/>
      <w:r w:rsidR="00F013E4" w:rsidRPr="00265641">
        <w:rPr>
          <w:rFonts w:ascii="Times New Roman" w:hAnsi="Times New Roman" w:cs="Times New Roman"/>
          <w:color w:val="000000"/>
        </w:rPr>
        <w:t xml:space="preserve"> </w:t>
      </w:r>
      <w:proofErr w:type="spellStart"/>
      <w:r w:rsidR="00F013E4" w:rsidRPr="00265641">
        <w:rPr>
          <w:rFonts w:ascii="Times New Roman" w:hAnsi="Times New Roman" w:cs="Times New Roman"/>
          <w:color w:val="000000"/>
        </w:rPr>
        <w:t>this</w:t>
      </w:r>
      <w:proofErr w:type="spellEnd"/>
      <w:r w:rsidR="00F013E4" w:rsidRPr="00265641">
        <w:rPr>
          <w:rFonts w:ascii="Times New Roman" w:hAnsi="Times New Roman" w:cs="Times New Roman"/>
          <w:color w:val="000000"/>
        </w:rPr>
        <w:t xml:space="preserve"> </w:t>
      </w:r>
      <w:proofErr w:type="spellStart"/>
      <w:r w:rsidR="00F013E4" w:rsidRPr="00265641">
        <w:rPr>
          <w:rFonts w:ascii="Times New Roman" w:hAnsi="Times New Roman" w:cs="Times New Roman"/>
          <w:color w:val="000000"/>
        </w:rPr>
        <w:t>discourages</w:t>
      </w:r>
      <w:proofErr w:type="spellEnd"/>
      <w:r w:rsidR="00F013E4" w:rsidRPr="00265641">
        <w:rPr>
          <w:rFonts w:ascii="Times New Roman" w:hAnsi="Times New Roman" w:cs="Times New Roman"/>
          <w:color w:val="000000"/>
        </w:rPr>
        <w:t xml:space="preserve"> </w:t>
      </w:r>
      <w:proofErr w:type="spellStart"/>
      <w:r w:rsidR="00F013E4" w:rsidRPr="00265641">
        <w:rPr>
          <w:rFonts w:ascii="Times New Roman" w:hAnsi="Times New Roman" w:cs="Times New Roman"/>
          <w:color w:val="000000"/>
        </w:rPr>
        <w:t>participation</w:t>
      </w:r>
      <w:proofErr w:type="spellEnd"/>
      <w:r w:rsidR="00F013E4" w:rsidRPr="00265641">
        <w:rPr>
          <w:rFonts w:ascii="Times New Roman" w:hAnsi="Times New Roman" w:cs="Times New Roman"/>
          <w:color w:val="000000"/>
        </w:rPr>
        <w:t xml:space="preserve"> in </w:t>
      </w:r>
      <w:proofErr w:type="spellStart"/>
      <w:r w:rsidR="00F013E4" w:rsidRPr="00265641">
        <w:rPr>
          <w:rFonts w:ascii="Times New Roman" w:hAnsi="Times New Roman" w:cs="Times New Roman"/>
          <w:color w:val="000000"/>
        </w:rPr>
        <w:t>any</w:t>
      </w:r>
      <w:proofErr w:type="spellEnd"/>
      <w:r w:rsidR="00F013E4" w:rsidRPr="00265641">
        <w:rPr>
          <w:rFonts w:ascii="Times New Roman" w:hAnsi="Times New Roman" w:cs="Times New Roman"/>
          <w:color w:val="000000"/>
        </w:rPr>
        <w:t xml:space="preserve"> </w:t>
      </w:r>
      <w:proofErr w:type="spellStart"/>
      <w:r w:rsidR="00F013E4" w:rsidRPr="00265641">
        <w:rPr>
          <w:rFonts w:ascii="Times New Roman" w:hAnsi="Times New Roman" w:cs="Times New Roman"/>
          <w:color w:val="000000"/>
        </w:rPr>
        <w:t>kind</w:t>
      </w:r>
      <w:proofErr w:type="spellEnd"/>
      <w:r w:rsidR="00F013E4" w:rsidRPr="00265641">
        <w:rPr>
          <w:rFonts w:ascii="Times New Roman" w:hAnsi="Times New Roman" w:cs="Times New Roman"/>
          <w:color w:val="000000"/>
        </w:rPr>
        <w:t xml:space="preserve"> of </w:t>
      </w:r>
      <w:proofErr w:type="spellStart"/>
      <w:r w:rsidR="00F013E4" w:rsidRPr="00265641">
        <w:rPr>
          <w:rFonts w:ascii="Times New Roman" w:hAnsi="Times New Roman" w:cs="Times New Roman"/>
          <w:color w:val="000000"/>
        </w:rPr>
        <w:t>circumvention</w:t>
      </w:r>
      <w:proofErr w:type="spellEnd"/>
      <w:r w:rsidR="00F013E4" w:rsidRPr="00705170">
        <w:rPr>
          <w:rStyle w:val="DipnotBavurusu"/>
          <w:rFonts w:ascii="Times New Roman" w:hAnsi="Times New Roman" w:cs="Times New Roman"/>
          <w:color w:val="000000"/>
        </w:rPr>
        <w:footnoteReference w:id="527"/>
      </w:r>
      <w:r w:rsidR="00F013E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rPr>
        <w:t>Same</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principles</w:t>
      </w:r>
      <w:proofErr w:type="spellEnd"/>
      <w:r w:rsidR="00095E34" w:rsidRPr="00705170">
        <w:rPr>
          <w:rFonts w:ascii="Times New Roman" w:hAnsi="Times New Roman" w:cs="Times New Roman"/>
        </w:rPr>
        <w:t xml:space="preserve"> can be </w:t>
      </w:r>
      <w:proofErr w:type="spellStart"/>
      <w:r w:rsidR="00095E34" w:rsidRPr="00705170">
        <w:rPr>
          <w:rFonts w:ascii="Times New Roman" w:hAnsi="Times New Roman" w:cs="Times New Roman"/>
        </w:rPr>
        <w:t>summarized</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much</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easily</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for</w:t>
      </w:r>
      <w:proofErr w:type="spellEnd"/>
      <w:r w:rsidR="00095E34" w:rsidRPr="00705170">
        <w:rPr>
          <w:rFonts w:ascii="Times New Roman" w:hAnsi="Times New Roman" w:cs="Times New Roman"/>
        </w:rPr>
        <w:t xml:space="preserve"> Delaware: </w:t>
      </w:r>
      <w:proofErr w:type="spellStart"/>
      <w:r w:rsidR="00095E34" w:rsidRPr="00705170">
        <w:rPr>
          <w:rFonts w:ascii="Times New Roman" w:hAnsi="Times New Roman" w:cs="Times New Roman"/>
        </w:rPr>
        <w:t>There</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the</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statutory</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rule</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that</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the</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business</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and</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affairs</w:t>
      </w:r>
      <w:proofErr w:type="spellEnd"/>
      <w:r w:rsidR="00095E34" w:rsidRPr="00705170">
        <w:rPr>
          <w:rFonts w:ascii="Times New Roman" w:hAnsi="Times New Roman" w:cs="Times New Roman"/>
        </w:rPr>
        <w:t xml:space="preserve"> of </w:t>
      </w:r>
      <w:proofErr w:type="spellStart"/>
      <w:r w:rsidR="00095E34" w:rsidRPr="00705170">
        <w:rPr>
          <w:rFonts w:ascii="Times New Roman" w:hAnsi="Times New Roman" w:cs="Times New Roman"/>
        </w:rPr>
        <w:t>every</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corporation</w:t>
      </w:r>
      <w:proofErr w:type="spellEnd"/>
      <w:r w:rsidR="00095E34" w:rsidRPr="00705170">
        <w:rPr>
          <w:rFonts w:ascii="Times New Roman" w:hAnsi="Times New Roman" w:cs="Times New Roman"/>
        </w:rPr>
        <w:t>…</w:t>
      </w:r>
      <w:proofErr w:type="spellStart"/>
      <w:r w:rsidR="00095E34" w:rsidRPr="00705170">
        <w:rPr>
          <w:rFonts w:ascii="Times New Roman" w:hAnsi="Times New Roman" w:cs="Times New Roman"/>
        </w:rPr>
        <w:t>shall</w:t>
      </w:r>
      <w:proofErr w:type="spellEnd"/>
      <w:r w:rsidR="00095E34" w:rsidRPr="00705170">
        <w:rPr>
          <w:rFonts w:ascii="Times New Roman" w:hAnsi="Times New Roman" w:cs="Times New Roman"/>
        </w:rPr>
        <w:t xml:space="preserve"> be </w:t>
      </w:r>
      <w:proofErr w:type="spellStart"/>
      <w:r w:rsidR="00095E34" w:rsidRPr="00705170">
        <w:rPr>
          <w:rFonts w:ascii="Times New Roman" w:hAnsi="Times New Roman" w:cs="Times New Roman"/>
        </w:rPr>
        <w:t>managed</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by</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or</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under</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the</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direction</w:t>
      </w:r>
      <w:proofErr w:type="spellEnd"/>
      <w:r w:rsidR="00095E34" w:rsidRPr="00705170">
        <w:rPr>
          <w:rFonts w:ascii="Times New Roman" w:hAnsi="Times New Roman" w:cs="Times New Roman"/>
        </w:rPr>
        <w:t xml:space="preserve"> of board of </w:t>
      </w:r>
      <w:proofErr w:type="spellStart"/>
      <w:r w:rsidR="00095E34" w:rsidRPr="00705170">
        <w:rPr>
          <w:rFonts w:ascii="Times New Roman" w:hAnsi="Times New Roman" w:cs="Times New Roman"/>
        </w:rPr>
        <w:t>directors</w:t>
      </w:r>
      <w:proofErr w:type="spellEnd"/>
      <w:r w:rsidR="00095E34" w:rsidRPr="00705170">
        <w:rPr>
          <w:rFonts w:ascii="Times New Roman" w:hAnsi="Times New Roman" w:cs="Times New Roman"/>
        </w:rPr>
        <w:t xml:space="preserve">…” (Del. Gen. </w:t>
      </w:r>
      <w:proofErr w:type="spellStart"/>
      <w:r w:rsidR="00095E34" w:rsidRPr="00705170">
        <w:rPr>
          <w:rFonts w:ascii="Times New Roman" w:hAnsi="Times New Roman" w:cs="Times New Roman"/>
        </w:rPr>
        <w:t>Corp</w:t>
      </w:r>
      <w:proofErr w:type="spellEnd"/>
      <w:r w:rsidR="00095E34" w:rsidRPr="00705170">
        <w:rPr>
          <w:rFonts w:ascii="Times New Roman" w:hAnsi="Times New Roman" w:cs="Times New Roman"/>
        </w:rPr>
        <w:t xml:space="preserve">. L. </w:t>
      </w:r>
      <w:proofErr w:type="spellStart"/>
      <w:r w:rsidR="00095E34" w:rsidRPr="00705170">
        <w:rPr>
          <w:rFonts w:ascii="Times New Roman" w:hAnsi="Times New Roman" w:cs="Times New Roman"/>
        </w:rPr>
        <w:t>Sec</w:t>
      </w:r>
      <w:proofErr w:type="spellEnd"/>
      <w:r w:rsidR="00095E34" w:rsidRPr="00705170">
        <w:rPr>
          <w:rFonts w:ascii="Times New Roman" w:hAnsi="Times New Roman" w:cs="Times New Roman"/>
        </w:rPr>
        <w:t xml:space="preserve">.  141(a)) </w:t>
      </w:r>
      <w:proofErr w:type="spellStart"/>
      <w:r w:rsidR="00095E34" w:rsidRPr="00705170">
        <w:rPr>
          <w:rFonts w:ascii="Times New Roman" w:hAnsi="Times New Roman" w:cs="Times New Roman"/>
        </w:rPr>
        <w:t>required</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the</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courts</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to</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construct</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the</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the</w:t>
      </w:r>
      <w:proofErr w:type="spellEnd"/>
      <w:r w:rsidR="00095E34" w:rsidRPr="00705170">
        <w:rPr>
          <w:rFonts w:ascii="Times New Roman" w:hAnsi="Times New Roman" w:cs="Times New Roman"/>
        </w:rPr>
        <w:t xml:space="preserve"> “board </w:t>
      </w:r>
      <w:proofErr w:type="spellStart"/>
      <w:r w:rsidR="00095E34" w:rsidRPr="00705170">
        <w:rPr>
          <w:rFonts w:ascii="Times New Roman" w:hAnsi="Times New Roman" w:cs="Times New Roman"/>
        </w:rPr>
        <w:t>sterilization</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doctrine</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which</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forbade</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governance</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structures</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depriving</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the</w:t>
      </w:r>
      <w:proofErr w:type="spellEnd"/>
      <w:r w:rsidR="00095E34" w:rsidRPr="00705170">
        <w:rPr>
          <w:rFonts w:ascii="Times New Roman" w:hAnsi="Times New Roman" w:cs="Times New Roman"/>
        </w:rPr>
        <w:t xml:space="preserve"> board of </w:t>
      </w:r>
      <w:proofErr w:type="spellStart"/>
      <w:r w:rsidR="00095E34" w:rsidRPr="00705170">
        <w:rPr>
          <w:rFonts w:ascii="Times New Roman" w:hAnsi="Times New Roman" w:cs="Times New Roman"/>
        </w:rPr>
        <w:t>its</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statutory</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authority</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to</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manage</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corporate</w:t>
      </w:r>
      <w:proofErr w:type="spellEnd"/>
      <w:r w:rsidR="00095E34" w:rsidRPr="00705170">
        <w:rPr>
          <w:rFonts w:ascii="Times New Roman" w:hAnsi="Times New Roman" w:cs="Times New Roman"/>
        </w:rPr>
        <w:t xml:space="preserve"> </w:t>
      </w:r>
      <w:proofErr w:type="spellStart"/>
      <w:r w:rsidR="00095E34" w:rsidRPr="00705170">
        <w:rPr>
          <w:rFonts w:ascii="Times New Roman" w:hAnsi="Times New Roman" w:cs="Times New Roman"/>
        </w:rPr>
        <w:t>affairs</w:t>
      </w:r>
      <w:proofErr w:type="spellEnd"/>
      <w:r w:rsidR="00095E34" w:rsidRPr="00705170">
        <w:rPr>
          <w:rFonts w:ascii="Times New Roman" w:hAnsi="Times New Roman" w:cs="Times New Roman"/>
        </w:rPr>
        <w:t>”</w:t>
      </w:r>
      <w:r w:rsidR="00095E34" w:rsidRPr="00705170">
        <w:rPr>
          <w:rStyle w:val="DipnotBavurusu"/>
          <w:rFonts w:ascii="Times New Roman" w:hAnsi="Times New Roman" w:cs="Times New Roman"/>
        </w:rPr>
        <w:footnoteReference w:id="528"/>
      </w:r>
      <w:r w:rsidR="00095E34" w:rsidRPr="00705170">
        <w:rPr>
          <w:rFonts w:ascii="Times New Roman" w:hAnsi="Times New Roman" w:cs="Times New Roman"/>
        </w:rPr>
        <w:t>.</w:t>
      </w:r>
      <w:r w:rsidR="00995B19" w:rsidRPr="00705170">
        <w:rPr>
          <w:rFonts w:ascii="Times New Roman" w:hAnsi="Times New Roman" w:cs="Times New Roman"/>
        </w:rPr>
        <w:t xml:space="preserve"> </w:t>
      </w:r>
    </w:p>
    <w:p w14:paraId="4C3AB374" w14:textId="4E5354C5" w:rsidR="00431341" w:rsidRPr="00705170" w:rsidRDefault="00995B19" w:rsidP="00000402">
      <w:pPr>
        <w:spacing w:after="240" w:line="480" w:lineRule="auto"/>
        <w:ind w:firstLine="720"/>
        <w:jc w:val="both"/>
        <w:rPr>
          <w:rFonts w:ascii="Times New Roman" w:hAnsi="Times New Roman" w:cs="Times New Roman"/>
          <w:color w:val="000000"/>
        </w:rPr>
      </w:pPr>
      <w:proofErr w:type="spellStart"/>
      <w:r w:rsidRPr="00705170">
        <w:rPr>
          <w:rFonts w:ascii="Times New Roman" w:hAnsi="Times New Roman" w:cs="Times New Roman"/>
          <w:color w:val="000000"/>
        </w:rPr>
        <w:t>These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being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said</w:t>
      </w:r>
      <w:proofErr w:type="spellEnd"/>
      <w:r w:rsidRPr="00705170">
        <w:rPr>
          <w:rFonts w:ascii="Times New Roman" w:hAnsi="Times New Roman" w:cs="Times New Roman"/>
          <w:color w:val="000000"/>
        </w:rPr>
        <w:t xml:space="preserve">, </w:t>
      </w:r>
      <w:r w:rsidR="00F63669" w:rsidRPr="00705170">
        <w:rPr>
          <w:rFonts w:ascii="Times New Roman" w:hAnsi="Times New Roman" w:cs="Times New Roman"/>
          <w:color w:val="000000"/>
        </w:rPr>
        <w:t xml:space="preserve">as </w:t>
      </w:r>
      <w:proofErr w:type="spellStart"/>
      <w:r w:rsidR="00F63669" w:rsidRPr="00705170">
        <w:rPr>
          <w:rFonts w:ascii="Times New Roman" w:hAnsi="Times New Roman" w:cs="Times New Roman"/>
          <w:color w:val="000000"/>
        </w:rPr>
        <w:t>repeatedly</w:t>
      </w:r>
      <w:proofErr w:type="spellEnd"/>
      <w:r w:rsidR="00F63669" w:rsidRPr="00705170">
        <w:rPr>
          <w:rFonts w:ascii="Times New Roman" w:hAnsi="Times New Roman" w:cs="Times New Roman"/>
          <w:color w:val="000000"/>
        </w:rPr>
        <w:t xml:space="preserve"> </w:t>
      </w:r>
      <w:proofErr w:type="spellStart"/>
      <w:r w:rsidR="00F63669" w:rsidRPr="00705170">
        <w:rPr>
          <w:rFonts w:ascii="Times New Roman" w:hAnsi="Times New Roman" w:cs="Times New Roman"/>
          <w:color w:val="000000"/>
        </w:rPr>
        <w:t>signaled</w:t>
      </w:r>
      <w:proofErr w:type="spellEnd"/>
      <w:r w:rsidR="00F63669" w:rsidRPr="00705170">
        <w:rPr>
          <w:rFonts w:ascii="Times New Roman" w:hAnsi="Times New Roman" w:cs="Times New Roman"/>
          <w:color w:val="000000"/>
        </w:rPr>
        <w:t xml:space="preserve"> </w:t>
      </w:r>
      <w:proofErr w:type="spellStart"/>
      <w:r w:rsidR="00F63669" w:rsidRPr="00705170">
        <w:rPr>
          <w:rFonts w:ascii="Times New Roman" w:hAnsi="Times New Roman" w:cs="Times New Roman"/>
          <w:color w:val="000000"/>
        </w:rPr>
        <w:t>above</w:t>
      </w:r>
      <w:proofErr w:type="spellEnd"/>
      <w:r w:rsidR="00F63669"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there</w:t>
      </w:r>
      <w:proofErr w:type="spellEnd"/>
      <w:r w:rsidRPr="00705170">
        <w:rPr>
          <w:rFonts w:ascii="Times New Roman" w:hAnsi="Times New Roman" w:cs="Times New Roman"/>
          <w:color w:val="000000"/>
        </w:rPr>
        <w:t xml:space="preserve"> is </w:t>
      </w:r>
      <w:proofErr w:type="spellStart"/>
      <w:r w:rsidRPr="00705170">
        <w:rPr>
          <w:rFonts w:ascii="Times New Roman" w:hAnsi="Times New Roman" w:cs="Times New Roman"/>
          <w:color w:val="000000"/>
        </w:rPr>
        <w:t>one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specific</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case</w:t>
      </w:r>
      <w:proofErr w:type="spellEnd"/>
      <w:r w:rsidR="00055779" w:rsidRPr="00705170">
        <w:rPr>
          <w:rFonts w:ascii="Times New Roman" w:hAnsi="Times New Roman" w:cs="Times New Roman"/>
          <w:color w:val="000000"/>
        </w:rPr>
        <w:t xml:space="preserve"> </w:t>
      </w:r>
      <w:proofErr w:type="spellStart"/>
      <w:r w:rsidR="00055779" w:rsidRPr="00705170">
        <w:rPr>
          <w:rFonts w:ascii="Times New Roman" w:hAnsi="Times New Roman" w:cs="Times New Roman"/>
          <w:color w:val="000000"/>
        </w:rPr>
        <w:t>that</w:t>
      </w:r>
      <w:proofErr w:type="spellEnd"/>
      <w:r w:rsidR="00055779" w:rsidRPr="00705170">
        <w:rPr>
          <w:rFonts w:ascii="Times New Roman" w:hAnsi="Times New Roman" w:cs="Times New Roman"/>
          <w:color w:val="000000"/>
        </w:rPr>
        <w:t xml:space="preserve"> </w:t>
      </w:r>
      <w:proofErr w:type="spellStart"/>
      <w:r w:rsidR="00055779" w:rsidRPr="00705170">
        <w:rPr>
          <w:rFonts w:ascii="Times New Roman" w:hAnsi="Times New Roman" w:cs="Times New Roman"/>
          <w:color w:val="000000"/>
        </w:rPr>
        <w:t>may</w:t>
      </w:r>
      <w:proofErr w:type="spellEnd"/>
      <w:r w:rsidR="00055779" w:rsidRPr="00705170">
        <w:rPr>
          <w:rFonts w:ascii="Times New Roman" w:hAnsi="Times New Roman" w:cs="Times New Roman"/>
          <w:color w:val="000000"/>
        </w:rPr>
        <w:t xml:space="preserve"> </w:t>
      </w:r>
      <w:proofErr w:type="spellStart"/>
      <w:r w:rsidR="00055779" w:rsidRPr="00705170">
        <w:rPr>
          <w:rFonts w:ascii="Times New Roman" w:hAnsi="Times New Roman" w:cs="Times New Roman"/>
          <w:color w:val="000000"/>
        </w:rPr>
        <w:t>deem</w:t>
      </w:r>
      <w:proofErr w:type="spellEnd"/>
      <w:r w:rsidR="00055779" w:rsidRPr="00705170">
        <w:rPr>
          <w:rFonts w:ascii="Times New Roman" w:hAnsi="Times New Roman" w:cs="Times New Roman"/>
          <w:color w:val="000000"/>
        </w:rPr>
        <w:t xml:space="preserve"> a </w:t>
      </w:r>
      <w:proofErr w:type="spellStart"/>
      <w:r w:rsidR="00055779" w:rsidRPr="00705170">
        <w:rPr>
          <w:rFonts w:ascii="Times New Roman" w:hAnsi="Times New Roman" w:cs="Times New Roman"/>
          <w:color w:val="000000"/>
        </w:rPr>
        <w:t>shareholder’s</w:t>
      </w:r>
      <w:proofErr w:type="spellEnd"/>
      <w:r w:rsidR="00055779" w:rsidRPr="00705170">
        <w:rPr>
          <w:rFonts w:ascii="Times New Roman" w:hAnsi="Times New Roman" w:cs="Times New Roman"/>
          <w:color w:val="000000"/>
        </w:rPr>
        <w:t xml:space="preserve"> </w:t>
      </w:r>
      <w:proofErr w:type="spellStart"/>
      <w:r w:rsidR="00055779" w:rsidRPr="00705170">
        <w:rPr>
          <w:rFonts w:ascii="Times New Roman" w:hAnsi="Times New Roman" w:cs="Times New Roman"/>
          <w:color w:val="000000"/>
        </w:rPr>
        <w:t>expectation</w:t>
      </w:r>
      <w:proofErr w:type="spellEnd"/>
      <w:r w:rsidR="00055779" w:rsidRPr="00705170">
        <w:rPr>
          <w:rFonts w:ascii="Times New Roman" w:hAnsi="Times New Roman" w:cs="Times New Roman"/>
          <w:color w:val="000000"/>
        </w:rPr>
        <w:t xml:space="preserve"> </w:t>
      </w:r>
      <w:proofErr w:type="spellStart"/>
      <w:r w:rsidR="00055779" w:rsidRPr="00705170">
        <w:rPr>
          <w:rFonts w:ascii="Times New Roman" w:hAnsi="Times New Roman" w:cs="Times New Roman"/>
          <w:color w:val="000000"/>
        </w:rPr>
        <w:t>rega</w:t>
      </w:r>
      <w:r w:rsidRPr="00705170">
        <w:rPr>
          <w:rFonts w:ascii="Times New Roman" w:hAnsi="Times New Roman" w:cs="Times New Roman"/>
          <w:color w:val="000000"/>
        </w:rPr>
        <w:t>rding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management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unreasonable</w:t>
      </w:r>
      <w:proofErr w:type="spellEnd"/>
      <w:r w:rsidRPr="00705170">
        <w:rPr>
          <w:rFonts w:ascii="Times New Roman" w:hAnsi="Times New Roman" w:cs="Times New Roman"/>
          <w:color w:val="000000"/>
        </w:rPr>
        <w:t xml:space="preserve">”: A </w:t>
      </w:r>
      <w:proofErr w:type="spellStart"/>
      <w:r w:rsidRPr="00705170">
        <w:rPr>
          <w:rFonts w:ascii="Times New Roman" w:hAnsi="Times New Roman" w:cs="Times New Roman"/>
          <w:color w:val="000000"/>
        </w:rPr>
        <w:t>statutory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authorization</w:t>
      </w:r>
      <w:proofErr w:type="spellEnd"/>
      <w:r w:rsidRPr="00705170">
        <w:rPr>
          <w:rFonts w:ascii="Times New Roman" w:hAnsi="Times New Roman" w:cs="Times New Roman"/>
          <w:color w:val="000000"/>
        </w:rPr>
        <w:t>.</w:t>
      </w:r>
      <w:r w:rsidR="00055779"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instance</w:t>
      </w:r>
      <w:proofErr w:type="spellEnd"/>
      <w:r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if</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the</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statute</w:t>
      </w:r>
      <w:proofErr w:type="spellEnd"/>
      <w:r w:rsidR="00095E34" w:rsidRPr="00705170">
        <w:rPr>
          <w:rFonts w:ascii="Times New Roman" w:hAnsi="Times New Roman" w:cs="Times New Roman"/>
          <w:color w:val="000000"/>
        </w:rPr>
        <w:t xml:space="preserve"> has a </w:t>
      </w:r>
      <w:proofErr w:type="spellStart"/>
      <w:r w:rsidR="00095E34" w:rsidRPr="00705170">
        <w:rPr>
          <w:rFonts w:ascii="Times New Roman" w:hAnsi="Times New Roman" w:cs="Times New Roman"/>
          <w:color w:val="000000"/>
        </w:rPr>
        <w:t>provision</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that</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gives</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the</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corporation</w:t>
      </w:r>
      <w:proofErr w:type="spellEnd"/>
      <w:r w:rsidR="00095E34" w:rsidRPr="00705170">
        <w:rPr>
          <w:rFonts w:ascii="Times New Roman" w:hAnsi="Times New Roman" w:cs="Times New Roman"/>
          <w:color w:val="000000"/>
        </w:rPr>
        <w:t xml:space="preserve"> </w:t>
      </w:r>
      <w:r w:rsidR="00597FC5" w:rsidRPr="00705170">
        <w:rPr>
          <w:rFonts w:ascii="Times New Roman" w:hAnsi="Times New Roman" w:cs="Times New Roman"/>
          <w:color w:val="000000"/>
        </w:rPr>
        <w:t xml:space="preserve">an </w:t>
      </w:r>
      <w:proofErr w:type="spellStart"/>
      <w:r w:rsidR="00597FC5" w:rsidRPr="00705170">
        <w:rPr>
          <w:rFonts w:ascii="Times New Roman" w:hAnsi="Times New Roman" w:cs="Times New Roman"/>
          <w:color w:val="000000"/>
        </w:rPr>
        <w:t>option</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to</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elect</w:t>
      </w:r>
      <w:proofErr w:type="spellEnd"/>
      <w:r w:rsidR="00597FC5" w:rsidRPr="00705170">
        <w:rPr>
          <w:rFonts w:ascii="Times New Roman" w:hAnsi="Times New Roman" w:cs="Times New Roman"/>
          <w:color w:val="000000"/>
        </w:rPr>
        <w:t xml:space="preserve"> a </w:t>
      </w:r>
      <w:proofErr w:type="spellStart"/>
      <w:r w:rsidR="00597FC5" w:rsidRPr="00705170">
        <w:rPr>
          <w:rFonts w:ascii="Times New Roman" w:hAnsi="Times New Roman" w:cs="Times New Roman"/>
          <w:color w:val="000000"/>
        </w:rPr>
        <w:t>special</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regime</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that</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would</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permit</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its</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management</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by</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other</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parties</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such</w:t>
      </w:r>
      <w:proofErr w:type="spellEnd"/>
      <w:r w:rsidR="00095E34" w:rsidRPr="00705170">
        <w:rPr>
          <w:rFonts w:ascii="Times New Roman" w:hAnsi="Times New Roman" w:cs="Times New Roman"/>
          <w:color w:val="000000"/>
        </w:rPr>
        <w:t xml:space="preserve"> as </w:t>
      </w:r>
      <w:proofErr w:type="spellStart"/>
      <w:r w:rsidR="00095E34" w:rsidRPr="00705170">
        <w:rPr>
          <w:rFonts w:ascii="Times New Roman" w:hAnsi="Times New Roman" w:cs="Times New Roman"/>
          <w:color w:val="000000"/>
        </w:rPr>
        <w:t>Delaware’s</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management</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by</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stockholder</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provision</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for</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close</w:t>
      </w:r>
      <w:proofErr w:type="spellEnd"/>
      <w:r w:rsidR="00095E34" w:rsidRPr="00705170">
        <w:rPr>
          <w:rFonts w:ascii="Times New Roman" w:hAnsi="Times New Roman" w:cs="Times New Roman"/>
          <w:color w:val="000000"/>
        </w:rPr>
        <w:t xml:space="preserve"> </w:t>
      </w:r>
      <w:proofErr w:type="spellStart"/>
      <w:r w:rsidR="00095E34" w:rsidRPr="00705170">
        <w:rPr>
          <w:rFonts w:ascii="Times New Roman" w:hAnsi="Times New Roman" w:cs="Times New Roman"/>
          <w:color w:val="000000"/>
        </w:rPr>
        <w:t>corporation</w:t>
      </w:r>
      <w:r w:rsidR="00597FC5" w:rsidRPr="00705170">
        <w:rPr>
          <w:rFonts w:ascii="Times New Roman" w:hAnsi="Times New Roman" w:cs="Times New Roman"/>
          <w:color w:val="000000"/>
        </w:rPr>
        <w:t>s</w:t>
      </w:r>
      <w:proofErr w:type="spellEnd"/>
      <w:r w:rsidR="00095E34" w:rsidRPr="00705170">
        <w:rPr>
          <w:rStyle w:val="DipnotBavurusu"/>
          <w:rFonts w:ascii="Times New Roman" w:hAnsi="Times New Roman" w:cs="Times New Roman"/>
          <w:color w:val="000000"/>
        </w:rPr>
        <w:footnoteReference w:id="529"/>
      </w:r>
      <w:r w:rsidR="00095E34" w:rsidRPr="00705170">
        <w:rPr>
          <w:rFonts w:ascii="Times New Roman" w:hAnsi="Times New Roman" w:cs="Times New Roman"/>
          <w:color w:val="000000"/>
        </w:rPr>
        <w:t>,</w:t>
      </w:r>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and</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if</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that</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regime</w:t>
      </w:r>
      <w:proofErr w:type="spellEnd"/>
      <w:r w:rsidR="00597FC5" w:rsidRPr="00705170">
        <w:rPr>
          <w:rFonts w:ascii="Times New Roman" w:hAnsi="Times New Roman" w:cs="Times New Roman"/>
          <w:color w:val="000000"/>
        </w:rPr>
        <w:t xml:space="preserve"> is </w:t>
      </w:r>
      <w:proofErr w:type="spellStart"/>
      <w:r w:rsidR="00597FC5" w:rsidRPr="00705170">
        <w:rPr>
          <w:rFonts w:ascii="Times New Roman" w:hAnsi="Times New Roman" w:cs="Times New Roman"/>
          <w:color w:val="000000"/>
        </w:rPr>
        <w:t>elected</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then</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shareholders</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expectation</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regarding</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the</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management</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would</w:t>
      </w:r>
      <w:proofErr w:type="spellEnd"/>
      <w:r w:rsidR="00597FC5" w:rsidRPr="00705170">
        <w:rPr>
          <w:rFonts w:ascii="Times New Roman" w:hAnsi="Times New Roman" w:cs="Times New Roman"/>
          <w:color w:val="000000"/>
        </w:rPr>
        <w:t xml:space="preserve"> not be </w:t>
      </w:r>
      <w:proofErr w:type="spellStart"/>
      <w:r w:rsidR="00597FC5" w:rsidRPr="00705170">
        <w:rPr>
          <w:rFonts w:ascii="Times New Roman" w:hAnsi="Times New Roman" w:cs="Times New Roman"/>
          <w:color w:val="000000"/>
        </w:rPr>
        <w:t>reasonable</w:t>
      </w:r>
      <w:proofErr w:type="spellEnd"/>
      <w:r w:rsidR="00597FC5" w:rsidRPr="00705170">
        <w:rPr>
          <w:rFonts w:ascii="Times New Roman" w:hAnsi="Times New Roman" w:cs="Times New Roman"/>
          <w:color w:val="000000"/>
        </w:rPr>
        <w:t xml:space="preserve">. </w:t>
      </w:r>
      <w:proofErr w:type="spellStart"/>
      <w:r w:rsidR="006B318C" w:rsidRPr="00705170">
        <w:rPr>
          <w:rFonts w:ascii="Times New Roman" w:hAnsi="Times New Roman" w:cs="Times New Roman"/>
          <w:color w:val="000000"/>
        </w:rPr>
        <w:t>Similarly</w:t>
      </w:r>
      <w:proofErr w:type="spellEnd"/>
      <w:r w:rsidR="006B318C" w:rsidRPr="00705170">
        <w:rPr>
          <w:rFonts w:ascii="Times New Roman" w:hAnsi="Times New Roman" w:cs="Times New Roman"/>
          <w:color w:val="000000"/>
        </w:rPr>
        <w:t>,</w:t>
      </w:r>
      <w:r w:rsidR="004B223F" w:rsidRPr="00705170">
        <w:rPr>
          <w:rFonts w:ascii="Times New Roman" w:hAnsi="Times New Roman" w:cs="Times New Roman"/>
          <w:color w:val="000000"/>
        </w:rPr>
        <w:t xml:space="preserve"> </w:t>
      </w:r>
      <w:r w:rsidR="006B318C" w:rsidRPr="00705170">
        <w:rPr>
          <w:rFonts w:ascii="Times New Roman" w:hAnsi="Times New Roman" w:cs="Times New Roman"/>
          <w:color w:val="000000"/>
        </w:rPr>
        <w:t xml:space="preserve">a </w:t>
      </w:r>
      <w:proofErr w:type="spellStart"/>
      <w:r w:rsidR="006B318C" w:rsidRPr="00705170">
        <w:rPr>
          <w:rFonts w:ascii="Times New Roman" w:hAnsi="Times New Roman" w:cs="Times New Roman"/>
          <w:color w:val="000000"/>
        </w:rPr>
        <w:t>statute</w:t>
      </w:r>
      <w:proofErr w:type="spellEnd"/>
      <w:r w:rsidR="006B318C" w:rsidRPr="00705170">
        <w:rPr>
          <w:rFonts w:ascii="Times New Roman" w:hAnsi="Times New Roman" w:cs="Times New Roman"/>
          <w:color w:val="000000"/>
        </w:rPr>
        <w:t xml:space="preserve"> </w:t>
      </w:r>
      <w:proofErr w:type="spellStart"/>
      <w:r w:rsidR="006B318C" w:rsidRPr="00705170">
        <w:rPr>
          <w:rFonts w:ascii="Times New Roman" w:hAnsi="Times New Roman" w:cs="Times New Roman"/>
          <w:color w:val="000000"/>
        </w:rPr>
        <w:t>may</w:t>
      </w:r>
      <w:proofErr w:type="spellEnd"/>
      <w:r w:rsidR="006B318C" w:rsidRPr="00705170">
        <w:rPr>
          <w:rFonts w:ascii="Times New Roman" w:hAnsi="Times New Roman" w:cs="Times New Roman"/>
          <w:color w:val="000000"/>
        </w:rPr>
        <w:t xml:space="preserve"> </w:t>
      </w:r>
      <w:proofErr w:type="spellStart"/>
      <w:r w:rsidR="006B318C" w:rsidRPr="00705170">
        <w:rPr>
          <w:rFonts w:ascii="Times New Roman" w:hAnsi="Times New Roman" w:cs="Times New Roman"/>
          <w:color w:val="000000"/>
        </w:rPr>
        <w:t>itself</w:t>
      </w:r>
      <w:proofErr w:type="spellEnd"/>
      <w:r w:rsidR="006B318C" w:rsidRPr="00705170">
        <w:rPr>
          <w:rFonts w:ascii="Times New Roman" w:hAnsi="Times New Roman" w:cs="Times New Roman"/>
          <w:color w:val="000000"/>
        </w:rPr>
        <w:t xml:space="preserve"> </w:t>
      </w:r>
      <w:proofErr w:type="spellStart"/>
      <w:r w:rsidR="006B318C" w:rsidRPr="00705170">
        <w:rPr>
          <w:rFonts w:ascii="Times New Roman" w:hAnsi="Times New Roman" w:cs="Times New Roman"/>
          <w:color w:val="000000"/>
        </w:rPr>
        <w:t>authorize</w:t>
      </w:r>
      <w:proofErr w:type="spellEnd"/>
      <w:r w:rsidR="006B318C" w:rsidRPr="00705170">
        <w:rPr>
          <w:rFonts w:ascii="Times New Roman" w:hAnsi="Times New Roman" w:cs="Times New Roman"/>
          <w:color w:val="000000"/>
        </w:rPr>
        <w:t xml:space="preserve"> a </w:t>
      </w:r>
      <w:proofErr w:type="spellStart"/>
      <w:r w:rsidR="006B318C" w:rsidRPr="00705170">
        <w:rPr>
          <w:rFonts w:ascii="Times New Roman" w:hAnsi="Times New Roman" w:cs="Times New Roman"/>
          <w:color w:val="000000"/>
        </w:rPr>
        <w:t>delegation</w:t>
      </w:r>
      <w:proofErr w:type="spellEnd"/>
      <w:r w:rsidR="006B318C" w:rsidRPr="00705170">
        <w:rPr>
          <w:rFonts w:ascii="Times New Roman" w:hAnsi="Times New Roman" w:cs="Times New Roman"/>
          <w:color w:val="000000"/>
        </w:rPr>
        <w:t xml:space="preserve"> of </w:t>
      </w:r>
      <w:proofErr w:type="spellStart"/>
      <w:r w:rsidR="006B318C" w:rsidRPr="00705170">
        <w:rPr>
          <w:rFonts w:ascii="Times New Roman" w:hAnsi="Times New Roman" w:cs="Times New Roman"/>
          <w:color w:val="000000"/>
        </w:rPr>
        <w:t>duties</w:t>
      </w:r>
      <w:proofErr w:type="spellEnd"/>
      <w:r w:rsidR="006B318C" w:rsidRPr="00705170">
        <w:rPr>
          <w:rFonts w:ascii="Times New Roman" w:hAnsi="Times New Roman" w:cs="Times New Roman"/>
          <w:color w:val="000000"/>
        </w:rPr>
        <w:t xml:space="preserve">, </w:t>
      </w:r>
      <w:proofErr w:type="spellStart"/>
      <w:r w:rsidR="006B318C" w:rsidRPr="00705170">
        <w:rPr>
          <w:rFonts w:ascii="Times New Roman" w:hAnsi="Times New Roman" w:cs="Times New Roman"/>
          <w:color w:val="000000"/>
        </w:rPr>
        <w:t>including</w:t>
      </w:r>
      <w:proofErr w:type="spellEnd"/>
      <w:r w:rsidR="006B318C" w:rsidRPr="00705170">
        <w:rPr>
          <w:rFonts w:ascii="Times New Roman" w:hAnsi="Times New Roman" w:cs="Times New Roman"/>
          <w:color w:val="000000"/>
        </w:rPr>
        <w:t xml:space="preserve"> </w:t>
      </w:r>
      <w:proofErr w:type="spellStart"/>
      <w:r w:rsidR="006B318C" w:rsidRPr="00705170">
        <w:rPr>
          <w:rFonts w:ascii="Times New Roman" w:hAnsi="Times New Roman" w:cs="Times New Roman"/>
          <w:color w:val="000000"/>
        </w:rPr>
        <w:t>any</w:t>
      </w:r>
      <w:proofErr w:type="spellEnd"/>
      <w:r w:rsidR="006B318C" w:rsidRPr="00705170">
        <w:rPr>
          <w:rFonts w:ascii="Times New Roman" w:hAnsi="Times New Roman" w:cs="Times New Roman"/>
          <w:color w:val="000000"/>
        </w:rPr>
        <w:t xml:space="preserve"> </w:t>
      </w:r>
      <w:proofErr w:type="spellStart"/>
      <w:r w:rsidR="006B318C" w:rsidRPr="00705170">
        <w:rPr>
          <w:rFonts w:ascii="Times New Roman" w:hAnsi="Times New Roman" w:cs="Times New Roman"/>
          <w:color w:val="000000"/>
        </w:rPr>
        <w:t>non</w:t>
      </w:r>
      <w:r w:rsidR="0010743E" w:rsidRPr="00705170">
        <w:rPr>
          <w:rFonts w:ascii="Times New Roman" w:hAnsi="Times New Roman" w:cs="Times New Roman"/>
          <w:color w:val="000000"/>
        </w:rPr>
        <w:t>delegable</w:t>
      </w:r>
      <w:proofErr w:type="spellEnd"/>
      <w:r w:rsidR="0010743E" w:rsidRPr="00705170">
        <w:rPr>
          <w:rFonts w:ascii="Times New Roman" w:hAnsi="Times New Roman" w:cs="Times New Roman"/>
          <w:color w:val="000000"/>
        </w:rPr>
        <w:t xml:space="preserve"> </w:t>
      </w:r>
      <w:proofErr w:type="spellStart"/>
      <w:r w:rsidR="0010743E" w:rsidRPr="00705170">
        <w:rPr>
          <w:rFonts w:ascii="Times New Roman" w:hAnsi="Times New Roman" w:cs="Times New Roman"/>
          <w:color w:val="000000"/>
        </w:rPr>
        <w:t>and</w:t>
      </w:r>
      <w:proofErr w:type="spellEnd"/>
      <w:r w:rsidR="0010743E" w:rsidRPr="00705170">
        <w:rPr>
          <w:rFonts w:ascii="Times New Roman" w:hAnsi="Times New Roman" w:cs="Times New Roman"/>
          <w:color w:val="000000"/>
        </w:rPr>
        <w:t xml:space="preserve"> </w:t>
      </w:r>
      <w:proofErr w:type="spellStart"/>
      <w:r w:rsidR="0010743E" w:rsidRPr="00705170">
        <w:rPr>
          <w:rFonts w:ascii="Times New Roman" w:hAnsi="Times New Roman" w:cs="Times New Roman"/>
          <w:color w:val="000000"/>
        </w:rPr>
        <w:t>unalienable</w:t>
      </w:r>
      <w:proofErr w:type="spellEnd"/>
      <w:r w:rsidR="0010743E" w:rsidRPr="00705170">
        <w:rPr>
          <w:rFonts w:ascii="Times New Roman" w:hAnsi="Times New Roman" w:cs="Times New Roman"/>
          <w:color w:val="000000"/>
        </w:rPr>
        <w:t xml:space="preserve"> </w:t>
      </w:r>
      <w:proofErr w:type="spellStart"/>
      <w:r w:rsidR="0010743E" w:rsidRPr="00705170">
        <w:rPr>
          <w:rFonts w:ascii="Times New Roman" w:hAnsi="Times New Roman" w:cs="Times New Roman"/>
          <w:color w:val="000000"/>
        </w:rPr>
        <w:t>ones</w:t>
      </w:r>
      <w:proofErr w:type="spellEnd"/>
      <w:r w:rsidR="0010743E" w:rsidRPr="00705170">
        <w:rPr>
          <w:rFonts w:ascii="Times New Roman" w:hAnsi="Times New Roman" w:cs="Times New Roman"/>
          <w:color w:val="000000"/>
        </w:rPr>
        <w:t xml:space="preserve"> (</w:t>
      </w:r>
      <w:r w:rsidR="006B318C" w:rsidRPr="00705170">
        <w:rPr>
          <w:rFonts w:ascii="Times New Roman" w:hAnsi="Times New Roman" w:cs="Times New Roman"/>
          <w:color w:val="000000"/>
        </w:rPr>
        <w:t xml:space="preserve">as </w:t>
      </w:r>
      <w:proofErr w:type="spellStart"/>
      <w:r w:rsidR="006B318C" w:rsidRPr="00705170">
        <w:rPr>
          <w:rFonts w:ascii="Times New Roman" w:hAnsi="Times New Roman" w:cs="Times New Roman"/>
          <w:color w:val="000000"/>
        </w:rPr>
        <w:t>the</w:t>
      </w:r>
      <w:proofErr w:type="spellEnd"/>
      <w:r w:rsidR="006B318C" w:rsidRPr="00705170">
        <w:rPr>
          <w:rFonts w:ascii="Times New Roman" w:hAnsi="Times New Roman" w:cs="Times New Roman"/>
          <w:color w:val="000000"/>
        </w:rPr>
        <w:t xml:space="preserve"> </w:t>
      </w:r>
      <w:proofErr w:type="spellStart"/>
      <w:r w:rsidR="006B318C" w:rsidRPr="00705170">
        <w:rPr>
          <w:rFonts w:ascii="Times New Roman" w:hAnsi="Times New Roman" w:cs="Times New Roman"/>
          <w:color w:val="000000"/>
        </w:rPr>
        <w:t>voting</w:t>
      </w:r>
      <w:proofErr w:type="spellEnd"/>
      <w:r w:rsidR="006B318C" w:rsidRPr="00705170">
        <w:rPr>
          <w:rFonts w:ascii="Times New Roman" w:hAnsi="Times New Roman" w:cs="Times New Roman"/>
          <w:color w:val="000000"/>
        </w:rPr>
        <w:t xml:space="preserve"> </w:t>
      </w:r>
      <w:proofErr w:type="spellStart"/>
      <w:r w:rsidR="006B318C" w:rsidRPr="00705170">
        <w:rPr>
          <w:rFonts w:ascii="Times New Roman" w:hAnsi="Times New Roman" w:cs="Times New Roman"/>
          <w:color w:val="000000"/>
        </w:rPr>
        <w:t>trust</w:t>
      </w:r>
      <w:proofErr w:type="spellEnd"/>
      <w:r w:rsidR="006B318C" w:rsidRPr="00705170">
        <w:rPr>
          <w:rFonts w:ascii="Times New Roman" w:hAnsi="Times New Roman" w:cs="Times New Roman"/>
          <w:color w:val="000000"/>
        </w:rPr>
        <w:t xml:space="preserve"> </w:t>
      </w:r>
      <w:proofErr w:type="spellStart"/>
      <w:r w:rsidR="006B318C" w:rsidRPr="00705170">
        <w:rPr>
          <w:rFonts w:ascii="Times New Roman" w:hAnsi="Times New Roman" w:cs="Times New Roman"/>
          <w:color w:val="000000"/>
        </w:rPr>
        <w:t>statute</w:t>
      </w:r>
      <w:proofErr w:type="spellEnd"/>
      <w:r w:rsidR="006B318C" w:rsidRPr="00705170">
        <w:rPr>
          <w:rFonts w:ascii="Times New Roman" w:hAnsi="Times New Roman" w:cs="Times New Roman"/>
          <w:color w:val="000000"/>
        </w:rPr>
        <w:t xml:space="preserve"> </w:t>
      </w:r>
      <w:proofErr w:type="spellStart"/>
      <w:r w:rsidR="00000402" w:rsidRPr="00705170">
        <w:rPr>
          <w:rFonts w:ascii="Times New Roman" w:hAnsi="Times New Roman" w:cs="Times New Roman"/>
          <w:color w:val="000000"/>
        </w:rPr>
        <w:t>and</w:t>
      </w:r>
      <w:proofErr w:type="spellEnd"/>
      <w:r w:rsidR="00000402" w:rsidRPr="00705170">
        <w:rPr>
          <w:rFonts w:ascii="Times New Roman" w:hAnsi="Times New Roman" w:cs="Times New Roman"/>
          <w:color w:val="000000"/>
        </w:rPr>
        <w:t xml:space="preserve"> </w:t>
      </w:r>
      <w:proofErr w:type="spellStart"/>
      <w:r w:rsidR="00000402" w:rsidRPr="00705170">
        <w:rPr>
          <w:rFonts w:ascii="Times New Roman" w:hAnsi="Times New Roman" w:cs="Times New Roman"/>
        </w:rPr>
        <w:t>the</w:t>
      </w:r>
      <w:proofErr w:type="spellEnd"/>
      <w:r w:rsidR="00000402" w:rsidRPr="00705170">
        <w:rPr>
          <w:rFonts w:ascii="Times New Roman" w:hAnsi="Times New Roman" w:cs="Times New Roman"/>
        </w:rPr>
        <w:t xml:space="preserve"> </w:t>
      </w:r>
      <w:proofErr w:type="spellStart"/>
      <w:r w:rsidR="00000402" w:rsidRPr="00705170">
        <w:rPr>
          <w:rFonts w:ascii="Times New Roman" w:hAnsi="Times New Roman" w:cs="Times New Roman"/>
        </w:rPr>
        <w:t>provision</w:t>
      </w:r>
      <w:proofErr w:type="spellEnd"/>
      <w:r w:rsidR="00000402" w:rsidRPr="00705170">
        <w:rPr>
          <w:rFonts w:ascii="Times New Roman" w:hAnsi="Times New Roman" w:cs="Times New Roman"/>
        </w:rPr>
        <w:t xml:space="preserve"> </w:t>
      </w:r>
      <w:proofErr w:type="spellStart"/>
      <w:r w:rsidR="00000402" w:rsidRPr="00705170">
        <w:rPr>
          <w:rFonts w:ascii="Times New Roman" w:hAnsi="Times New Roman" w:cs="Times New Roman"/>
        </w:rPr>
        <w:t>expressing</w:t>
      </w:r>
      <w:proofErr w:type="spellEnd"/>
      <w:r w:rsidR="00000402" w:rsidRPr="00705170">
        <w:rPr>
          <w:rFonts w:ascii="Times New Roman" w:hAnsi="Times New Roman" w:cs="Times New Roman"/>
        </w:rPr>
        <w:t xml:space="preserve"> </w:t>
      </w:r>
      <w:proofErr w:type="spellStart"/>
      <w:r w:rsidR="00000402" w:rsidRPr="00705170">
        <w:rPr>
          <w:rFonts w:ascii="Times New Roman" w:hAnsi="Times New Roman" w:cs="Times New Roman"/>
        </w:rPr>
        <w:t>that</w:t>
      </w:r>
      <w:proofErr w:type="spellEnd"/>
      <w:r w:rsidR="00000402" w:rsidRPr="00705170">
        <w:rPr>
          <w:rFonts w:ascii="Times New Roman" w:hAnsi="Times New Roman" w:cs="Times New Roman"/>
        </w:rPr>
        <w:t xml:space="preserve"> </w:t>
      </w:r>
      <w:proofErr w:type="spellStart"/>
      <w:r w:rsidR="00000402" w:rsidRPr="00705170">
        <w:rPr>
          <w:rFonts w:ascii="Times New Roman" w:hAnsi="Times New Roman" w:cs="Times New Roman"/>
        </w:rPr>
        <w:t>the</w:t>
      </w:r>
      <w:proofErr w:type="spellEnd"/>
      <w:r w:rsidR="00000402" w:rsidRPr="00705170">
        <w:rPr>
          <w:rFonts w:ascii="Times New Roman" w:hAnsi="Times New Roman" w:cs="Times New Roman"/>
        </w:rPr>
        <w:t xml:space="preserve"> </w:t>
      </w:r>
      <w:proofErr w:type="spellStart"/>
      <w:r w:rsidR="00000402" w:rsidRPr="00705170">
        <w:rPr>
          <w:rFonts w:ascii="Times New Roman" w:hAnsi="Times New Roman" w:cs="Times New Roman"/>
        </w:rPr>
        <w:t>articles</w:t>
      </w:r>
      <w:proofErr w:type="spellEnd"/>
      <w:r w:rsidR="00000402" w:rsidRPr="00705170">
        <w:rPr>
          <w:rFonts w:ascii="Times New Roman" w:hAnsi="Times New Roman" w:cs="Times New Roman"/>
        </w:rPr>
        <w:t xml:space="preserve"> of </w:t>
      </w:r>
      <w:proofErr w:type="spellStart"/>
      <w:r w:rsidR="00000402" w:rsidRPr="00705170">
        <w:rPr>
          <w:rFonts w:ascii="Times New Roman" w:hAnsi="Times New Roman" w:cs="Times New Roman"/>
        </w:rPr>
        <w:t>incorporation</w:t>
      </w:r>
      <w:proofErr w:type="spellEnd"/>
      <w:r w:rsidR="00000402" w:rsidRPr="00705170">
        <w:rPr>
          <w:rFonts w:ascii="Times New Roman" w:hAnsi="Times New Roman" w:cs="Times New Roman"/>
        </w:rPr>
        <w:t xml:space="preserve"> can </w:t>
      </w:r>
      <w:proofErr w:type="spellStart"/>
      <w:r w:rsidR="00000402" w:rsidRPr="00705170">
        <w:rPr>
          <w:rFonts w:ascii="Times New Roman" w:hAnsi="Times New Roman" w:cs="Times New Roman"/>
        </w:rPr>
        <w:t>provide</w:t>
      </w:r>
      <w:proofErr w:type="spellEnd"/>
      <w:r w:rsidR="00000402" w:rsidRPr="00705170">
        <w:rPr>
          <w:rFonts w:ascii="Times New Roman" w:hAnsi="Times New Roman" w:cs="Times New Roman"/>
        </w:rPr>
        <w:t xml:space="preserve"> </w:t>
      </w:r>
      <w:proofErr w:type="spellStart"/>
      <w:r w:rsidR="00000402" w:rsidRPr="00705170">
        <w:rPr>
          <w:rFonts w:ascii="Times New Roman" w:hAnsi="Times New Roman" w:cs="Times New Roman"/>
        </w:rPr>
        <w:t>terms</w:t>
      </w:r>
      <w:proofErr w:type="spellEnd"/>
      <w:r w:rsidR="00000402" w:rsidRPr="00705170">
        <w:rPr>
          <w:rFonts w:ascii="Times New Roman" w:hAnsi="Times New Roman" w:cs="Times New Roman"/>
        </w:rPr>
        <w:t xml:space="preserve"> </w:t>
      </w:r>
      <w:proofErr w:type="spellStart"/>
      <w:r w:rsidR="00000402" w:rsidRPr="00705170">
        <w:rPr>
          <w:rFonts w:ascii="Times New Roman" w:hAnsi="Times New Roman" w:cs="Times New Roman"/>
        </w:rPr>
        <w:t>that</w:t>
      </w:r>
      <w:proofErr w:type="spellEnd"/>
      <w:r w:rsidR="00000402" w:rsidRPr="00705170">
        <w:rPr>
          <w:rFonts w:ascii="Times New Roman" w:hAnsi="Times New Roman" w:cs="Times New Roman"/>
        </w:rPr>
        <w:t xml:space="preserve"> </w:t>
      </w:r>
      <w:proofErr w:type="spellStart"/>
      <w:r w:rsidR="00000402" w:rsidRPr="00705170">
        <w:rPr>
          <w:rFonts w:ascii="Times New Roman" w:hAnsi="Times New Roman" w:cs="Times New Roman"/>
        </w:rPr>
        <w:lastRenderedPageBreak/>
        <w:t>alters</w:t>
      </w:r>
      <w:proofErr w:type="spellEnd"/>
      <w:r w:rsidR="00000402" w:rsidRPr="00705170">
        <w:rPr>
          <w:rFonts w:ascii="Times New Roman" w:hAnsi="Times New Roman" w:cs="Times New Roman"/>
        </w:rPr>
        <w:t xml:space="preserve"> </w:t>
      </w:r>
      <w:proofErr w:type="spellStart"/>
      <w:r w:rsidR="00000402" w:rsidRPr="00705170">
        <w:rPr>
          <w:rFonts w:ascii="Times New Roman" w:hAnsi="Times New Roman" w:cs="Times New Roman"/>
        </w:rPr>
        <w:t>the</w:t>
      </w:r>
      <w:proofErr w:type="spellEnd"/>
      <w:r w:rsidR="00000402" w:rsidRPr="00705170">
        <w:rPr>
          <w:rFonts w:ascii="Times New Roman" w:hAnsi="Times New Roman" w:cs="Times New Roman"/>
        </w:rPr>
        <w:t xml:space="preserve"> </w:t>
      </w:r>
      <w:proofErr w:type="spellStart"/>
      <w:r w:rsidR="00000402" w:rsidRPr="00705170">
        <w:rPr>
          <w:rFonts w:ascii="Times New Roman" w:hAnsi="Times New Roman" w:cs="Times New Roman"/>
        </w:rPr>
        <w:t>principle</w:t>
      </w:r>
      <w:proofErr w:type="spellEnd"/>
      <w:r w:rsidR="00000402" w:rsidRPr="00705170">
        <w:rPr>
          <w:rFonts w:ascii="Times New Roman" w:hAnsi="Times New Roman" w:cs="Times New Roman"/>
        </w:rPr>
        <w:t xml:space="preserve"> </w:t>
      </w:r>
      <w:proofErr w:type="spellStart"/>
      <w:r w:rsidR="00000402" w:rsidRPr="00705170">
        <w:rPr>
          <w:rFonts w:ascii="Times New Roman" w:hAnsi="Times New Roman" w:cs="Times New Roman"/>
        </w:rPr>
        <w:t>regarding</w:t>
      </w:r>
      <w:proofErr w:type="spellEnd"/>
      <w:r w:rsidR="00000402" w:rsidRPr="00705170">
        <w:rPr>
          <w:rFonts w:ascii="Times New Roman" w:hAnsi="Times New Roman" w:cs="Times New Roman"/>
        </w:rPr>
        <w:t xml:space="preserve"> </w:t>
      </w:r>
      <w:proofErr w:type="spellStart"/>
      <w:r w:rsidR="00000402" w:rsidRPr="00705170">
        <w:rPr>
          <w:rFonts w:ascii="Times New Roman" w:hAnsi="Times New Roman" w:cs="Times New Roman"/>
        </w:rPr>
        <w:t>the</w:t>
      </w:r>
      <w:proofErr w:type="spellEnd"/>
      <w:r w:rsidR="00000402" w:rsidRPr="00705170">
        <w:rPr>
          <w:rFonts w:ascii="Times New Roman" w:hAnsi="Times New Roman" w:cs="Times New Roman"/>
        </w:rPr>
        <w:t xml:space="preserve"> board </w:t>
      </w:r>
      <w:proofErr w:type="spellStart"/>
      <w:r w:rsidR="00000402" w:rsidRPr="00705170">
        <w:rPr>
          <w:rFonts w:ascii="Times New Roman" w:hAnsi="Times New Roman" w:cs="Times New Roman"/>
        </w:rPr>
        <w:t>sterilization</w:t>
      </w:r>
      <w:proofErr w:type="spellEnd"/>
      <w:r w:rsidR="00000402" w:rsidRPr="00705170">
        <w:rPr>
          <w:rStyle w:val="DipnotBavurusu"/>
          <w:rFonts w:ascii="Times New Roman" w:hAnsi="Times New Roman" w:cs="Times New Roman"/>
        </w:rPr>
        <w:footnoteReference w:id="530"/>
      </w:r>
      <w:r w:rsidR="00000402" w:rsidRPr="00705170">
        <w:rPr>
          <w:rFonts w:ascii="Times New Roman" w:hAnsi="Times New Roman" w:cs="Times New Roman"/>
        </w:rPr>
        <w:t xml:space="preserve"> </w:t>
      </w:r>
      <w:r w:rsidR="006B318C" w:rsidRPr="00705170">
        <w:rPr>
          <w:rFonts w:ascii="Times New Roman" w:hAnsi="Times New Roman" w:cs="Times New Roman"/>
          <w:color w:val="000000"/>
        </w:rPr>
        <w:t xml:space="preserve">in Delaware </w:t>
      </w:r>
      <w:proofErr w:type="spellStart"/>
      <w:r w:rsidR="006B318C" w:rsidRPr="00705170">
        <w:rPr>
          <w:rFonts w:ascii="Times New Roman" w:hAnsi="Times New Roman" w:cs="Times New Roman"/>
          <w:color w:val="000000"/>
        </w:rPr>
        <w:t>does</w:t>
      </w:r>
      <w:proofErr w:type="spellEnd"/>
      <w:r w:rsidR="004B223F" w:rsidRPr="00705170">
        <w:rPr>
          <w:rStyle w:val="DipnotBavurusu"/>
          <w:rFonts w:ascii="Times New Roman" w:hAnsi="Times New Roman" w:cs="Times New Roman"/>
          <w:color w:val="000000"/>
        </w:rPr>
        <w:footnoteReference w:id="531"/>
      </w:r>
      <w:r w:rsidR="0010743E" w:rsidRPr="00705170">
        <w:rPr>
          <w:rFonts w:ascii="Times New Roman" w:hAnsi="Times New Roman" w:cs="Times New Roman"/>
          <w:color w:val="000000"/>
        </w:rPr>
        <w:t>)</w:t>
      </w:r>
      <w:r w:rsidR="004B223F" w:rsidRPr="00705170">
        <w:rPr>
          <w:rFonts w:ascii="Times New Roman" w:hAnsi="Times New Roman" w:cs="Times New Roman"/>
          <w:color w:val="000000"/>
        </w:rPr>
        <w:t xml:space="preserve">. </w:t>
      </w:r>
      <w:proofErr w:type="spellStart"/>
      <w:r w:rsidR="004B223F" w:rsidRPr="00705170">
        <w:rPr>
          <w:rFonts w:ascii="Times New Roman" w:hAnsi="Times New Roman" w:cs="Times New Roman"/>
          <w:color w:val="000000"/>
        </w:rPr>
        <w:t>While</w:t>
      </w:r>
      <w:proofErr w:type="spellEnd"/>
      <w:r w:rsidR="004B223F" w:rsidRPr="00705170">
        <w:rPr>
          <w:rFonts w:ascii="Times New Roman" w:hAnsi="Times New Roman" w:cs="Times New Roman"/>
          <w:color w:val="000000"/>
        </w:rPr>
        <w:t xml:space="preserve"> </w:t>
      </w:r>
      <w:proofErr w:type="spellStart"/>
      <w:r w:rsidR="004B223F" w:rsidRPr="00705170">
        <w:rPr>
          <w:rFonts w:ascii="Times New Roman" w:hAnsi="Times New Roman" w:cs="Times New Roman"/>
          <w:color w:val="000000"/>
        </w:rPr>
        <w:t>these</w:t>
      </w:r>
      <w:proofErr w:type="spellEnd"/>
      <w:r w:rsidR="00597FC5"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kind</w:t>
      </w:r>
      <w:r w:rsidR="004B223F" w:rsidRPr="00705170">
        <w:rPr>
          <w:rFonts w:ascii="Times New Roman" w:hAnsi="Times New Roman" w:cs="Times New Roman"/>
          <w:color w:val="000000"/>
        </w:rPr>
        <w:t>s</w:t>
      </w:r>
      <w:proofErr w:type="spellEnd"/>
      <w:r w:rsidR="00597FC5" w:rsidRPr="00705170">
        <w:rPr>
          <w:rFonts w:ascii="Times New Roman" w:hAnsi="Times New Roman" w:cs="Times New Roman"/>
          <w:color w:val="000000"/>
        </w:rPr>
        <w:t xml:space="preserve"> of </w:t>
      </w:r>
      <w:proofErr w:type="spellStart"/>
      <w:r w:rsidR="00597FC5" w:rsidRPr="00705170">
        <w:rPr>
          <w:rFonts w:ascii="Times New Roman" w:hAnsi="Times New Roman" w:cs="Times New Roman"/>
          <w:color w:val="000000"/>
        </w:rPr>
        <w:t>provision</w:t>
      </w:r>
      <w:r w:rsidR="004B223F" w:rsidRPr="00705170">
        <w:rPr>
          <w:rFonts w:ascii="Times New Roman" w:hAnsi="Times New Roman" w:cs="Times New Roman"/>
          <w:color w:val="000000"/>
        </w:rPr>
        <w:t>s</w:t>
      </w:r>
      <w:proofErr w:type="spellEnd"/>
      <w:r w:rsidR="00597FC5" w:rsidRPr="00705170">
        <w:rPr>
          <w:rFonts w:ascii="Times New Roman" w:hAnsi="Times New Roman" w:cs="Times New Roman"/>
          <w:color w:val="000000"/>
        </w:rPr>
        <w:t xml:space="preserve"> </w:t>
      </w:r>
      <w:proofErr w:type="spellStart"/>
      <w:r w:rsidR="0010743E" w:rsidRPr="00705170">
        <w:rPr>
          <w:rFonts w:ascii="Times New Roman" w:hAnsi="Times New Roman" w:cs="Times New Roman"/>
          <w:color w:val="000000"/>
        </w:rPr>
        <w:t>generally</w:t>
      </w:r>
      <w:proofErr w:type="spellEnd"/>
      <w:r w:rsidR="0010743E" w:rsidRPr="00705170">
        <w:rPr>
          <w:rFonts w:ascii="Times New Roman" w:hAnsi="Times New Roman" w:cs="Times New Roman"/>
          <w:color w:val="000000"/>
        </w:rPr>
        <w:t xml:space="preserve"> do</w:t>
      </w:r>
      <w:r w:rsidR="00597FC5" w:rsidRPr="00705170">
        <w:rPr>
          <w:rFonts w:ascii="Times New Roman" w:hAnsi="Times New Roman" w:cs="Times New Roman"/>
          <w:color w:val="000000"/>
        </w:rPr>
        <w:t xml:space="preserve"> not </w:t>
      </w:r>
      <w:proofErr w:type="spellStart"/>
      <w:r w:rsidR="00597FC5" w:rsidRPr="00705170">
        <w:rPr>
          <w:rFonts w:ascii="Times New Roman" w:hAnsi="Times New Roman" w:cs="Times New Roman"/>
          <w:color w:val="000000"/>
        </w:rPr>
        <w:t>exist</w:t>
      </w:r>
      <w:proofErr w:type="spellEnd"/>
      <w:r w:rsidR="00597FC5" w:rsidRPr="00705170">
        <w:rPr>
          <w:rFonts w:ascii="Times New Roman" w:hAnsi="Times New Roman" w:cs="Times New Roman"/>
          <w:color w:val="000000"/>
        </w:rPr>
        <w:t xml:space="preserve"> in </w:t>
      </w:r>
      <w:proofErr w:type="spellStart"/>
      <w:r w:rsidR="00597FC5" w:rsidRPr="00705170">
        <w:rPr>
          <w:rFonts w:ascii="Times New Roman" w:hAnsi="Times New Roman" w:cs="Times New Roman"/>
          <w:color w:val="000000"/>
        </w:rPr>
        <w:t>Turkish</w:t>
      </w:r>
      <w:proofErr w:type="spellEnd"/>
      <w:r w:rsidR="00597FC5" w:rsidRPr="00705170">
        <w:rPr>
          <w:rFonts w:ascii="Times New Roman" w:hAnsi="Times New Roman" w:cs="Times New Roman"/>
          <w:color w:val="000000"/>
        </w:rPr>
        <w:t xml:space="preserve"> </w:t>
      </w:r>
      <w:proofErr w:type="spellStart"/>
      <w:r w:rsidR="0010743E" w:rsidRPr="00705170">
        <w:rPr>
          <w:rFonts w:ascii="Times New Roman" w:hAnsi="Times New Roman" w:cs="Times New Roman"/>
          <w:color w:val="000000"/>
        </w:rPr>
        <w:t>corporate</w:t>
      </w:r>
      <w:proofErr w:type="spellEnd"/>
      <w:r w:rsidR="0010743E" w:rsidRPr="00705170">
        <w:rPr>
          <w:rFonts w:ascii="Times New Roman" w:hAnsi="Times New Roman" w:cs="Times New Roman"/>
          <w:color w:val="000000"/>
        </w:rPr>
        <w:t xml:space="preserve"> </w:t>
      </w:r>
      <w:proofErr w:type="spellStart"/>
      <w:r w:rsidR="00597FC5" w:rsidRPr="00705170">
        <w:rPr>
          <w:rFonts w:ascii="Times New Roman" w:hAnsi="Times New Roman" w:cs="Times New Roman"/>
          <w:color w:val="000000"/>
        </w:rPr>
        <w:t>law</w:t>
      </w:r>
      <w:proofErr w:type="spellEnd"/>
      <w:r w:rsidR="00597FC5" w:rsidRPr="00705170">
        <w:rPr>
          <w:rFonts w:ascii="Times New Roman" w:hAnsi="Times New Roman" w:cs="Times New Roman"/>
          <w:color w:val="000000"/>
        </w:rPr>
        <w:t xml:space="preserve">, </w:t>
      </w:r>
      <w:r w:rsidR="004B223F" w:rsidRPr="00705170">
        <w:rPr>
          <w:rFonts w:ascii="Times New Roman" w:hAnsi="Times New Roman" w:cs="Times New Roman"/>
          <w:color w:val="000000"/>
        </w:rPr>
        <w:t xml:space="preserve">in </w:t>
      </w:r>
      <w:proofErr w:type="spellStart"/>
      <w:r w:rsidR="005E3E5D" w:rsidRPr="00705170">
        <w:rPr>
          <w:rFonts w:ascii="Times New Roman" w:hAnsi="Times New Roman" w:cs="Times New Roman"/>
          <w:color w:val="000000" w:themeColor="text1"/>
        </w:rPr>
        <w:t>the</w:t>
      </w:r>
      <w:proofErr w:type="spellEnd"/>
      <w:r w:rsidR="005E3E5D" w:rsidRPr="00705170">
        <w:rPr>
          <w:rFonts w:ascii="Times New Roman" w:hAnsi="Times New Roman" w:cs="Times New Roman"/>
          <w:color w:val="000000" w:themeColor="text1"/>
        </w:rPr>
        <w:t xml:space="preserve"> </w:t>
      </w:r>
      <w:proofErr w:type="spellStart"/>
      <w:r w:rsidR="006566C7" w:rsidRPr="00705170">
        <w:rPr>
          <w:rFonts w:ascii="Times New Roman" w:hAnsi="Times New Roman" w:cs="Times New Roman"/>
          <w:color w:val="000000" w:themeColor="text1"/>
        </w:rPr>
        <w:t>situations</w:t>
      </w:r>
      <w:proofErr w:type="spellEnd"/>
      <w:r w:rsidR="006566C7" w:rsidRPr="00705170">
        <w:rPr>
          <w:rFonts w:ascii="Times New Roman" w:hAnsi="Times New Roman" w:cs="Times New Roman"/>
          <w:color w:val="000000" w:themeColor="text1"/>
        </w:rPr>
        <w:t xml:space="preserve"> </w:t>
      </w:r>
      <w:proofErr w:type="spellStart"/>
      <w:r w:rsidR="006566C7" w:rsidRPr="00705170">
        <w:rPr>
          <w:rFonts w:ascii="Times New Roman" w:hAnsi="Times New Roman" w:cs="Times New Roman"/>
          <w:color w:val="000000" w:themeColor="text1"/>
        </w:rPr>
        <w:t>that</w:t>
      </w:r>
      <w:proofErr w:type="spellEnd"/>
      <w:r w:rsidR="006566C7" w:rsidRPr="00705170">
        <w:rPr>
          <w:rFonts w:ascii="Times New Roman" w:hAnsi="Times New Roman" w:cs="Times New Roman"/>
          <w:color w:val="000000" w:themeColor="text1"/>
        </w:rPr>
        <w:t xml:space="preserve"> </w:t>
      </w:r>
      <w:proofErr w:type="spellStart"/>
      <w:r w:rsidR="005E3E5D" w:rsidRPr="00705170">
        <w:rPr>
          <w:rFonts w:ascii="Times New Roman" w:hAnsi="Times New Roman" w:cs="Times New Roman"/>
          <w:color w:val="000000" w:themeColor="text1"/>
        </w:rPr>
        <w:t>the</w:t>
      </w:r>
      <w:proofErr w:type="spellEnd"/>
      <w:r w:rsidR="005E3E5D" w:rsidRPr="00705170">
        <w:rPr>
          <w:rFonts w:ascii="Times New Roman" w:hAnsi="Times New Roman" w:cs="Times New Roman"/>
          <w:color w:val="000000" w:themeColor="text1"/>
        </w:rPr>
        <w:t xml:space="preserve"> </w:t>
      </w:r>
      <w:proofErr w:type="spellStart"/>
      <w:r w:rsidR="005E3E5D" w:rsidRPr="00705170">
        <w:rPr>
          <w:rFonts w:ascii="Times New Roman" w:hAnsi="Times New Roman" w:cs="Times New Roman"/>
          <w:color w:val="000000" w:themeColor="text1"/>
        </w:rPr>
        <w:t>statutory</w:t>
      </w:r>
      <w:proofErr w:type="spellEnd"/>
      <w:r w:rsidR="005E3E5D" w:rsidRPr="00705170">
        <w:rPr>
          <w:rFonts w:ascii="Times New Roman" w:hAnsi="Times New Roman" w:cs="Times New Roman"/>
          <w:color w:val="000000" w:themeColor="text1"/>
        </w:rPr>
        <w:t xml:space="preserve"> </w:t>
      </w:r>
      <w:proofErr w:type="spellStart"/>
      <w:r w:rsidR="005E3E5D" w:rsidRPr="00705170">
        <w:rPr>
          <w:rFonts w:ascii="Times New Roman" w:hAnsi="Times New Roman" w:cs="Times New Roman"/>
          <w:color w:val="000000" w:themeColor="text1"/>
        </w:rPr>
        <w:t>rules</w:t>
      </w:r>
      <w:proofErr w:type="spellEnd"/>
      <w:r w:rsidR="005E3E5D" w:rsidRPr="00705170">
        <w:rPr>
          <w:rFonts w:ascii="Times New Roman" w:hAnsi="Times New Roman" w:cs="Times New Roman"/>
          <w:color w:val="000000" w:themeColor="text1"/>
        </w:rPr>
        <w:t xml:space="preserve"> on </w:t>
      </w:r>
      <w:proofErr w:type="spellStart"/>
      <w:r w:rsidR="005E3E5D" w:rsidRPr="00705170">
        <w:rPr>
          <w:rFonts w:ascii="Times New Roman" w:hAnsi="Times New Roman" w:cs="Times New Roman"/>
          <w:color w:val="000000" w:themeColor="text1"/>
        </w:rPr>
        <w:t>corporate</w:t>
      </w:r>
      <w:proofErr w:type="spellEnd"/>
      <w:r w:rsidR="005E3E5D" w:rsidRPr="00705170">
        <w:rPr>
          <w:rFonts w:ascii="Times New Roman" w:hAnsi="Times New Roman" w:cs="Times New Roman"/>
          <w:color w:val="000000" w:themeColor="text1"/>
        </w:rPr>
        <w:t xml:space="preserve"> </w:t>
      </w:r>
      <w:proofErr w:type="spellStart"/>
      <w:r w:rsidR="005E3E5D" w:rsidRPr="00705170">
        <w:rPr>
          <w:rFonts w:ascii="Times New Roman" w:hAnsi="Times New Roman" w:cs="Times New Roman"/>
          <w:color w:val="000000" w:themeColor="text1"/>
        </w:rPr>
        <w:t>groups</w:t>
      </w:r>
      <w:proofErr w:type="spellEnd"/>
      <w:r w:rsidR="006566C7" w:rsidRPr="00705170">
        <w:rPr>
          <w:rFonts w:ascii="Times New Roman" w:hAnsi="Times New Roman" w:cs="Times New Roman"/>
          <w:color w:val="000000" w:themeColor="text1"/>
        </w:rPr>
        <w:t xml:space="preserve"> </w:t>
      </w:r>
      <w:proofErr w:type="spellStart"/>
      <w:r w:rsidR="006566C7" w:rsidRPr="00705170">
        <w:rPr>
          <w:rFonts w:ascii="Times New Roman" w:hAnsi="Times New Roman" w:cs="Times New Roman"/>
          <w:color w:val="000000" w:themeColor="text1"/>
        </w:rPr>
        <w:t>applies</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boards</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decision</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making</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power’s</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sterilization</w:t>
      </w:r>
      <w:proofErr w:type="spellEnd"/>
      <w:r w:rsidR="00055779" w:rsidRPr="00705170">
        <w:rPr>
          <w:rFonts w:ascii="Times New Roman" w:hAnsi="Times New Roman" w:cs="Times New Roman"/>
          <w:color w:val="000000" w:themeColor="text1"/>
        </w:rPr>
        <w:t xml:space="preserve"> </w:t>
      </w:r>
      <w:r w:rsidR="00597FC5" w:rsidRPr="00705170">
        <w:rPr>
          <w:rFonts w:ascii="Times New Roman" w:hAnsi="Times New Roman" w:cs="Times New Roman"/>
          <w:color w:val="000000" w:themeColor="text1"/>
        </w:rPr>
        <w:t xml:space="preserve">is </w:t>
      </w:r>
      <w:proofErr w:type="spellStart"/>
      <w:r w:rsidR="00597FC5" w:rsidRPr="00705170">
        <w:rPr>
          <w:rFonts w:ascii="Times New Roman" w:hAnsi="Times New Roman" w:cs="Times New Roman"/>
          <w:color w:val="000000" w:themeColor="text1"/>
        </w:rPr>
        <w:t>permitt</w:t>
      </w:r>
      <w:r w:rsidR="00055779" w:rsidRPr="00705170">
        <w:rPr>
          <w:rFonts w:ascii="Times New Roman" w:hAnsi="Times New Roman" w:cs="Times New Roman"/>
          <w:color w:val="000000" w:themeColor="text1"/>
        </w:rPr>
        <w:t>ed</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by</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the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statute</w:t>
      </w:r>
      <w:proofErr w:type="spellEnd"/>
      <w:r w:rsidR="006566C7" w:rsidRPr="00705170">
        <w:rPr>
          <w:rStyle w:val="DipnotBavurusu"/>
          <w:rFonts w:ascii="Times New Roman" w:hAnsi="Times New Roman" w:cs="Times New Roman"/>
          <w:color w:val="000000" w:themeColor="text1"/>
        </w:rPr>
        <w:footnoteReference w:id="532"/>
      </w:r>
      <w:r w:rsidR="000735BA" w:rsidRPr="00705170">
        <w:rPr>
          <w:rFonts w:ascii="Times New Roman" w:hAnsi="Times New Roman" w:cs="Times New Roman"/>
          <w:color w:val="000000" w:themeColor="text1"/>
        </w:rPr>
        <w:t>.</w:t>
      </w:r>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However</w:t>
      </w:r>
      <w:proofErr w:type="spellEnd"/>
      <w:r w:rsidR="00055779" w:rsidRPr="00705170">
        <w:rPr>
          <w:rFonts w:ascii="Times New Roman" w:hAnsi="Times New Roman" w:cs="Times New Roman"/>
          <w:color w:val="000000" w:themeColor="text1"/>
        </w:rPr>
        <w:t xml:space="preserve">, apart </w:t>
      </w:r>
      <w:proofErr w:type="spellStart"/>
      <w:r w:rsidR="00055779" w:rsidRPr="00705170">
        <w:rPr>
          <w:rFonts w:ascii="Times New Roman" w:hAnsi="Times New Roman" w:cs="Times New Roman"/>
          <w:color w:val="000000" w:themeColor="text1"/>
        </w:rPr>
        <w:t>from</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this</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specific</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case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even</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the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circumstances</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that</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cause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the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election</w:t>
      </w:r>
      <w:proofErr w:type="spellEnd"/>
      <w:r w:rsidR="00055779" w:rsidRPr="00705170">
        <w:rPr>
          <w:rFonts w:ascii="Times New Roman" w:hAnsi="Times New Roman" w:cs="Times New Roman"/>
          <w:color w:val="000000" w:themeColor="text1"/>
        </w:rPr>
        <w:t xml:space="preserve"> of </w:t>
      </w:r>
      <w:proofErr w:type="spellStart"/>
      <w:r w:rsidR="00055779" w:rsidRPr="00705170">
        <w:rPr>
          <w:rFonts w:ascii="Times New Roman" w:hAnsi="Times New Roman" w:cs="Times New Roman"/>
          <w:color w:val="000000" w:themeColor="text1"/>
        </w:rPr>
        <w:t>the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directors</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does</w:t>
      </w:r>
      <w:proofErr w:type="spellEnd"/>
      <w:r w:rsidR="00055779" w:rsidRPr="00705170">
        <w:rPr>
          <w:rFonts w:ascii="Times New Roman" w:hAnsi="Times New Roman" w:cs="Times New Roman"/>
          <w:color w:val="000000" w:themeColor="text1"/>
        </w:rPr>
        <w:t xml:space="preserve"> not </w:t>
      </w:r>
      <w:proofErr w:type="spellStart"/>
      <w:r w:rsidR="00055779" w:rsidRPr="00705170">
        <w:rPr>
          <w:rFonts w:ascii="Times New Roman" w:hAnsi="Times New Roman" w:cs="Times New Roman"/>
          <w:color w:val="000000" w:themeColor="text1"/>
        </w:rPr>
        <w:t>change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their</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power</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and</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duties</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so</w:t>
      </w:r>
      <w:proofErr w:type="spellEnd"/>
      <w:r w:rsidR="00055779" w:rsidRPr="00705170">
        <w:rPr>
          <w:rFonts w:ascii="Times New Roman" w:hAnsi="Times New Roman" w:cs="Times New Roman"/>
          <w:color w:val="000000" w:themeColor="text1"/>
        </w:rPr>
        <w:t xml:space="preserve"> a </w:t>
      </w:r>
      <w:proofErr w:type="spellStart"/>
      <w:r w:rsidR="00055779" w:rsidRPr="00705170">
        <w:rPr>
          <w:rFonts w:ascii="Times New Roman" w:hAnsi="Times New Roman" w:cs="Times New Roman"/>
          <w:color w:val="000000" w:themeColor="text1"/>
        </w:rPr>
        <w:t>shareholder’s</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expectation</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regard</w:t>
      </w:r>
      <w:r w:rsidR="00FF200A" w:rsidRPr="00705170">
        <w:rPr>
          <w:rFonts w:ascii="Times New Roman" w:hAnsi="Times New Roman" w:cs="Times New Roman"/>
          <w:color w:val="000000" w:themeColor="text1"/>
        </w:rPr>
        <w:t>ing</w:t>
      </w:r>
      <w:proofErr w:type="spellEnd"/>
      <w:r w:rsidR="00FF200A" w:rsidRPr="00705170">
        <w:rPr>
          <w:rFonts w:ascii="Times New Roman" w:hAnsi="Times New Roman" w:cs="Times New Roman"/>
          <w:color w:val="000000" w:themeColor="text1"/>
        </w:rPr>
        <w:t xml:space="preserve"> </w:t>
      </w:r>
      <w:proofErr w:type="spellStart"/>
      <w:r w:rsidR="00FF200A" w:rsidRPr="00705170">
        <w:rPr>
          <w:rFonts w:ascii="Times New Roman" w:hAnsi="Times New Roman" w:cs="Times New Roman"/>
          <w:color w:val="000000" w:themeColor="text1"/>
        </w:rPr>
        <w:t>the</w:t>
      </w:r>
      <w:proofErr w:type="spellEnd"/>
      <w:r w:rsidR="00FF200A" w:rsidRPr="00705170">
        <w:rPr>
          <w:rFonts w:ascii="Times New Roman" w:hAnsi="Times New Roman" w:cs="Times New Roman"/>
          <w:color w:val="000000" w:themeColor="text1"/>
        </w:rPr>
        <w:t xml:space="preserve"> </w:t>
      </w:r>
      <w:proofErr w:type="spellStart"/>
      <w:r w:rsidR="00FF200A" w:rsidRPr="00705170">
        <w:rPr>
          <w:rFonts w:ascii="Times New Roman" w:hAnsi="Times New Roman" w:cs="Times New Roman"/>
          <w:color w:val="000000" w:themeColor="text1"/>
        </w:rPr>
        <w:t>management</w:t>
      </w:r>
      <w:proofErr w:type="spellEnd"/>
      <w:r w:rsidR="00FF200A" w:rsidRPr="00705170">
        <w:rPr>
          <w:rFonts w:ascii="Times New Roman" w:hAnsi="Times New Roman" w:cs="Times New Roman"/>
          <w:color w:val="000000" w:themeColor="text1"/>
        </w:rPr>
        <w:t xml:space="preserve"> </w:t>
      </w:r>
      <w:proofErr w:type="spellStart"/>
      <w:r w:rsidR="00FF200A" w:rsidRPr="00705170">
        <w:rPr>
          <w:rFonts w:ascii="Times New Roman" w:hAnsi="Times New Roman" w:cs="Times New Roman"/>
          <w:color w:val="000000" w:themeColor="text1"/>
        </w:rPr>
        <w:t>will</w:t>
      </w:r>
      <w:proofErr w:type="spellEnd"/>
      <w:r w:rsidR="00FF200A" w:rsidRPr="00705170">
        <w:rPr>
          <w:rFonts w:ascii="Times New Roman" w:hAnsi="Times New Roman" w:cs="Times New Roman"/>
          <w:color w:val="000000" w:themeColor="text1"/>
        </w:rPr>
        <w:t xml:space="preserve"> </w:t>
      </w:r>
      <w:proofErr w:type="spellStart"/>
      <w:r w:rsidR="00FF200A" w:rsidRPr="00705170">
        <w:rPr>
          <w:rFonts w:ascii="Times New Roman" w:hAnsi="Times New Roman" w:cs="Times New Roman"/>
          <w:color w:val="000000" w:themeColor="text1"/>
        </w:rPr>
        <w:t>continue</w:t>
      </w:r>
      <w:proofErr w:type="spellEnd"/>
      <w:r w:rsidR="00FF200A" w:rsidRPr="00705170">
        <w:rPr>
          <w:rFonts w:ascii="Times New Roman" w:hAnsi="Times New Roman" w:cs="Times New Roman"/>
          <w:color w:val="000000" w:themeColor="text1"/>
        </w:rPr>
        <w:t xml:space="preserve"> </w:t>
      </w:r>
      <w:proofErr w:type="spellStart"/>
      <w:r w:rsidR="00FF200A" w:rsidRPr="00705170">
        <w:rPr>
          <w:rFonts w:ascii="Times New Roman" w:hAnsi="Times New Roman" w:cs="Times New Roman"/>
          <w:color w:val="000000" w:themeColor="text1"/>
        </w:rPr>
        <w:t>to</w:t>
      </w:r>
      <w:proofErr w:type="spellEnd"/>
      <w:r w:rsidR="00FF200A" w:rsidRPr="00705170">
        <w:rPr>
          <w:rFonts w:ascii="Times New Roman" w:hAnsi="Times New Roman" w:cs="Times New Roman"/>
          <w:color w:val="000000" w:themeColor="text1"/>
        </w:rPr>
        <w:t xml:space="preserve"> be</w:t>
      </w:r>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reasonable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For</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example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while</w:t>
      </w:r>
      <w:proofErr w:type="spellEnd"/>
      <w:r w:rsidR="00055779" w:rsidRPr="00705170">
        <w:rPr>
          <w:rFonts w:ascii="Times New Roman" w:hAnsi="Times New Roman" w:cs="Times New Roman"/>
          <w:color w:val="000000" w:themeColor="text1"/>
        </w:rPr>
        <w:t xml:space="preserve"> TCC </w:t>
      </w:r>
      <w:proofErr w:type="spellStart"/>
      <w:r w:rsidR="00055779" w:rsidRPr="00705170">
        <w:rPr>
          <w:rFonts w:ascii="Times New Roman" w:hAnsi="Times New Roman" w:cs="Times New Roman"/>
          <w:color w:val="000000" w:themeColor="text1"/>
        </w:rPr>
        <w:t>Article</w:t>
      </w:r>
      <w:proofErr w:type="spellEnd"/>
      <w:r w:rsidR="00055779" w:rsidRPr="00705170">
        <w:rPr>
          <w:rFonts w:ascii="Times New Roman" w:hAnsi="Times New Roman" w:cs="Times New Roman"/>
          <w:color w:val="000000" w:themeColor="text1"/>
        </w:rPr>
        <w:t xml:space="preserve"> 334(1)</w:t>
      </w:r>
      <w:r w:rsidR="00FB1653" w:rsidRPr="00705170">
        <w:rPr>
          <w:rFonts w:ascii="Times New Roman" w:hAnsi="Times New Roman" w:cs="Times New Roman"/>
          <w:color w:val="000000" w:themeColor="text1"/>
        </w:rPr>
        <w:t xml:space="preserve"> </w:t>
      </w:r>
      <w:proofErr w:type="spellStart"/>
      <w:r w:rsidR="00FB1653" w:rsidRPr="00705170">
        <w:rPr>
          <w:rFonts w:ascii="Times New Roman" w:hAnsi="Times New Roman" w:cs="Times New Roman"/>
          <w:color w:val="000000" w:themeColor="text1"/>
        </w:rPr>
        <w:t>permits</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public</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entities</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to</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have</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representitives</w:t>
      </w:r>
      <w:proofErr w:type="spellEnd"/>
      <w:r w:rsidR="00A0317A" w:rsidRPr="00705170">
        <w:rPr>
          <w:rFonts w:ascii="Times New Roman" w:hAnsi="Times New Roman" w:cs="Times New Roman"/>
          <w:color w:val="000000" w:themeColor="text1"/>
        </w:rPr>
        <w:t xml:space="preserve"> on </w:t>
      </w:r>
      <w:proofErr w:type="spellStart"/>
      <w:r w:rsidR="00A0317A" w:rsidRPr="00705170">
        <w:rPr>
          <w:rFonts w:ascii="Times New Roman" w:hAnsi="Times New Roman" w:cs="Times New Roman"/>
          <w:color w:val="000000" w:themeColor="text1"/>
        </w:rPr>
        <w:t>the</w:t>
      </w:r>
      <w:proofErr w:type="spellEnd"/>
      <w:r w:rsidR="00A0317A" w:rsidRPr="00705170">
        <w:rPr>
          <w:rFonts w:ascii="Times New Roman" w:hAnsi="Times New Roman" w:cs="Times New Roman"/>
          <w:color w:val="000000" w:themeColor="text1"/>
        </w:rPr>
        <w:t xml:space="preserve"> board of </w:t>
      </w:r>
      <w:proofErr w:type="spellStart"/>
      <w:r w:rsidR="00A0317A" w:rsidRPr="00705170">
        <w:rPr>
          <w:rFonts w:ascii="Times New Roman" w:hAnsi="Times New Roman" w:cs="Times New Roman"/>
          <w:color w:val="000000" w:themeColor="text1"/>
        </w:rPr>
        <w:t>directors</w:t>
      </w:r>
      <w:proofErr w:type="spellEnd"/>
      <w:r w:rsidR="00A0317A" w:rsidRPr="00705170">
        <w:rPr>
          <w:rFonts w:ascii="Times New Roman" w:hAnsi="Times New Roman" w:cs="Times New Roman"/>
          <w:color w:val="000000" w:themeColor="text1"/>
        </w:rPr>
        <w:t xml:space="preserve"> of </w:t>
      </w:r>
      <w:proofErr w:type="spellStart"/>
      <w:r w:rsidR="00A0317A" w:rsidRPr="00705170">
        <w:rPr>
          <w:rFonts w:ascii="Times New Roman" w:hAnsi="Times New Roman" w:cs="Times New Roman"/>
          <w:color w:val="000000" w:themeColor="text1"/>
        </w:rPr>
        <w:t>certain</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corporations</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if</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there</w:t>
      </w:r>
      <w:proofErr w:type="spellEnd"/>
      <w:r w:rsidR="00A0317A" w:rsidRPr="00705170">
        <w:rPr>
          <w:rFonts w:ascii="Times New Roman" w:hAnsi="Times New Roman" w:cs="Times New Roman"/>
          <w:color w:val="000000" w:themeColor="text1"/>
        </w:rPr>
        <w:t xml:space="preserve"> is a </w:t>
      </w:r>
      <w:proofErr w:type="spellStart"/>
      <w:r w:rsidR="00FF200A" w:rsidRPr="00705170">
        <w:rPr>
          <w:rFonts w:ascii="Times New Roman" w:hAnsi="Times New Roman" w:cs="Times New Roman"/>
          <w:color w:val="000000" w:themeColor="text1"/>
        </w:rPr>
        <w:t>specific</w:t>
      </w:r>
      <w:proofErr w:type="spellEnd"/>
      <w:r w:rsidR="00FF200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term</w:t>
      </w:r>
      <w:proofErr w:type="spellEnd"/>
      <w:r w:rsidR="00A0317A" w:rsidRPr="00705170">
        <w:rPr>
          <w:rFonts w:ascii="Times New Roman" w:hAnsi="Times New Roman" w:cs="Times New Roman"/>
          <w:color w:val="000000" w:themeColor="text1"/>
        </w:rPr>
        <w:t xml:space="preserve"> in </w:t>
      </w:r>
      <w:proofErr w:type="spellStart"/>
      <w:r w:rsidR="00A0317A" w:rsidRPr="00705170">
        <w:rPr>
          <w:rFonts w:ascii="Times New Roman" w:hAnsi="Times New Roman" w:cs="Times New Roman"/>
          <w:color w:val="000000" w:themeColor="text1"/>
        </w:rPr>
        <w:t>the</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articles</w:t>
      </w:r>
      <w:proofErr w:type="spellEnd"/>
      <w:r w:rsidR="00A0317A" w:rsidRPr="00705170">
        <w:rPr>
          <w:rFonts w:ascii="Times New Roman" w:hAnsi="Times New Roman" w:cs="Times New Roman"/>
          <w:color w:val="000000" w:themeColor="text1"/>
        </w:rPr>
        <w:t xml:space="preserve"> of </w:t>
      </w:r>
      <w:proofErr w:type="spellStart"/>
      <w:r w:rsidR="00A0317A" w:rsidRPr="00705170">
        <w:rPr>
          <w:rFonts w:ascii="Times New Roman" w:hAnsi="Times New Roman" w:cs="Times New Roman"/>
          <w:color w:val="000000" w:themeColor="text1"/>
        </w:rPr>
        <w:t>incorporation</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Article</w:t>
      </w:r>
      <w:proofErr w:type="spellEnd"/>
      <w:r w:rsidR="00055779" w:rsidRPr="00705170">
        <w:rPr>
          <w:rFonts w:ascii="Times New Roman" w:hAnsi="Times New Roman" w:cs="Times New Roman"/>
          <w:color w:val="000000" w:themeColor="text1"/>
        </w:rPr>
        <w:t xml:space="preserve"> 334(3) </w:t>
      </w:r>
      <w:proofErr w:type="spellStart"/>
      <w:r w:rsidR="00055779" w:rsidRPr="00705170">
        <w:rPr>
          <w:rFonts w:ascii="Times New Roman" w:hAnsi="Times New Roman" w:cs="Times New Roman"/>
          <w:color w:val="000000" w:themeColor="text1"/>
        </w:rPr>
        <w:t>states</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that</w:t>
      </w:r>
      <w:proofErr w:type="spellEnd"/>
      <w:r w:rsidR="00055779"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these</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representatives</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have</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the</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same</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rights</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and</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duties</w:t>
      </w:r>
      <w:proofErr w:type="spellEnd"/>
      <w:r w:rsidR="00A0317A" w:rsidRPr="00705170">
        <w:rPr>
          <w:rFonts w:ascii="Times New Roman" w:hAnsi="Times New Roman" w:cs="Times New Roman"/>
          <w:color w:val="000000" w:themeColor="text1"/>
        </w:rPr>
        <w:t xml:space="preserve"> as </w:t>
      </w:r>
      <w:proofErr w:type="spellStart"/>
      <w:r w:rsidR="00A0317A" w:rsidRPr="00705170">
        <w:rPr>
          <w:rFonts w:ascii="Times New Roman" w:hAnsi="Times New Roman" w:cs="Times New Roman"/>
          <w:color w:val="000000" w:themeColor="text1"/>
        </w:rPr>
        <w:t>directors</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elected</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by</w:t>
      </w:r>
      <w:proofErr w:type="spellEnd"/>
      <w:r w:rsidR="00A0317A" w:rsidRPr="00705170">
        <w:rPr>
          <w:rFonts w:ascii="Times New Roman" w:hAnsi="Times New Roman" w:cs="Times New Roman"/>
          <w:color w:val="000000" w:themeColor="text1"/>
        </w:rPr>
        <w:t xml:space="preserve"> </w:t>
      </w:r>
      <w:proofErr w:type="spellStart"/>
      <w:r w:rsidR="00A0317A" w:rsidRPr="00705170">
        <w:rPr>
          <w:rFonts w:ascii="Times New Roman" w:hAnsi="Times New Roman" w:cs="Times New Roman"/>
          <w:color w:val="000000" w:themeColor="text1"/>
        </w:rPr>
        <w:t>the</w:t>
      </w:r>
      <w:proofErr w:type="spellEnd"/>
      <w:r w:rsidR="00A0317A" w:rsidRPr="00705170">
        <w:rPr>
          <w:rFonts w:ascii="Times New Roman" w:hAnsi="Times New Roman" w:cs="Times New Roman"/>
          <w:color w:val="000000" w:themeColor="text1"/>
        </w:rPr>
        <w:t xml:space="preserve"> general </w:t>
      </w:r>
      <w:proofErr w:type="spellStart"/>
      <w:r w:rsidR="00A0317A" w:rsidRPr="00705170">
        <w:rPr>
          <w:rFonts w:ascii="Times New Roman" w:hAnsi="Times New Roman" w:cs="Times New Roman"/>
          <w:color w:val="000000" w:themeColor="text1"/>
        </w:rPr>
        <w:t>assembly</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Similarly</w:t>
      </w:r>
      <w:proofErr w:type="spellEnd"/>
      <w:r w:rsidR="00055779" w:rsidRPr="00705170">
        <w:rPr>
          <w:rFonts w:ascii="Times New Roman" w:hAnsi="Times New Roman" w:cs="Times New Roman"/>
          <w:color w:val="000000" w:themeColor="text1"/>
        </w:rPr>
        <w:t xml:space="preserve">, TCC </w:t>
      </w:r>
      <w:proofErr w:type="spellStart"/>
      <w:r w:rsidR="00055779" w:rsidRPr="00705170">
        <w:rPr>
          <w:rFonts w:ascii="Times New Roman" w:hAnsi="Times New Roman" w:cs="Times New Roman"/>
          <w:color w:val="000000" w:themeColor="text1"/>
        </w:rPr>
        <w:t>Article</w:t>
      </w:r>
      <w:proofErr w:type="spellEnd"/>
      <w:r w:rsidR="00055779" w:rsidRPr="00705170">
        <w:rPr>
          <w:rFonts w:ascii="Times New Roman" w:hAnsi="Times New Roman" w:cs="Times New Roman"/>
          <w:color w:val="000000" w:themeColor="text1"/>
        </w:rPr>
        <w:t xml:space="preserve"> 360 </w:t>
      </w:r>
      <w:proofErr w:type="spellStart"/>
      <w:r w:rsidR="00055779" w:rsidRPr="00705170">
        <w:rPr>
          <w:rFonts w:ascii="Times New Roman" w:hAnsi="Times New Roman" w:cs="Times New Roman"/>
          <w:color w:val="000000" w:themeColor="text1"/>
        </w:rPr>
        <w:t>and</w:t>
      </w:r>
      <w:proofErr w:type="spellEnd"/>
      <w:r w:rsidR="00055779" w:rsidRPr="00705170">
        <w:rPr>
          <w:rFonts w:ascii="Times New Roman" w:hAnsi="Times New Roman" w:cs="Times New Roman"/>
          <w:color w:val="000000" w:themeColor="text1"/>
        </w:rPr>
        <w:t xml:space="preserve"> CML </w:t>
      </w:r>
      <w:proofErr w:type="spellStart"/>
      <w:r w:rsidR="00055779" w:rsidRPr="00705170">
        <w:rPr>
          <w:rFonts w:ascii="Times New Roman" w:hAnsi="Times New Roman" w:cs="Times New Roman"/>
          <w:color w:val="000000" w:themeColor="text1"/>
        </w:rPr>
        <w:t>Article</w:t>
      </w:r>
      <w:proofErr w:type="spellEnd"/>
      <w:r w:rsidR="001B11A7" w:rsidRPr="00705170">
        <w:rPr>
          <w:rFonts w:ascii="Times New Roman" w:hAnsi="Times New Roman" w:cs="Times New Roman"/>
          <w:color w:val="000000" w:themeColor="text1"/>
        </w:rPr>
        <w:t xml:space="preserve"> 28</w:t>
      </w:r>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permits</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the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corporation</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to</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have</w:t>
      </w:r>
      <w:proofErr w:type="spellEnd"/>
      <w:r w:rsidR="003257C7" w:rsidRPr="00705170">
        <w:rPr>
          <w:rFonts w:ascii="Times New Roman" w:hAnsi="Times New Roman" w:cs="Times New Roman"/>
          <w:color w:val="000000" w:themeColor="text1"/>
        </w:rPr>
        <w:t xml:space="preserve"> </w:t>
      </w:r>
      <w:proofErr w:type="spellStart"/>
      <w:r w:rsidR="003257C7" w:rsidRPr="00705170">
        <w:rPr>
          <w:rFonts w:ascii="Times New Roman" w:hAnsi="Times New Roman" w:cs="Times New Roman"/>
          <w:color w:val="000000" w:themeColor="text1"/>
        </w:rPr>
        <w:t>certain</w:t>
      </w:r>
      <w:proofErr w:type="spellEnd"/>
      <w:r w:rsidR="00055779" w:rsidRPr="00705170">
        <w:rPr>
          <w:rFonts w:ascii="Times New Roman" w:hAnsi="Times New Roman" w:cs="Times New Roman"/>
          <w:color w:val="000000" w:themeColor="text1"/>
        </w:rPr>
        <w:t xml:space="preserve"> </w:t>
      </w:r>
      <w:proofErr w:type="spellStart"/>
      <w:r w:rsidR="003257C7" w:rsidRPr="00705170">
        <w:rPr>
          <w:rFonts w:ascii="Times New Roman" w:hAnsi="Times New Roman" w:cs="Times New Roman"/>
          <w:color w:val="000000" w:themeColor="text1"/>
        </w:rPr>
        <w:t>share</w:t>
      </w:r>
      <w:proofErr w:type="spellEnd"/>
      <w:r w:rsidR="003257C7" w:rsidRPr="00705170">
        <w:rPr>
          <w:rFonts w:ascii="Times New Roman" w:hAnsi="Times New Roman" w:cs="Times New Roman"/>
          <w:color w:val="000000" w:themeColor="text1"/>
        </w:rPr>
        <w:t xml:space="preserve"> </w:t>
      </w:r>
      <w:proofErr w:type="spellStart"/>
      <w:r w:rsidR="003257C7" w:rsidRPr="00705170">
        <w:rPr>
          <w:rFonts w:ascii="Times New Roman" w:hAnsi="Times New Roman" w:cs="Times New Roman"/>
          <w:color w:val="000000" w:themeColor="text1"/>
        </w:rPr>
        <w:t>groups</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that</w:t>
      </w:r>
      <w:proofErr w:type="spellEnd"/>
      <w:r w:rsidR="00055779" w:rsidRPr="00705170">
        <w:rPr>
          <w:rFonts w:ascii="Times New Roman" w:hAnsi="Times New Roman" w:cs="Times New Roman"/>
          <w:color w:val="000000" w:themeColor="text1"/>
        </w:rPr>
        <w:t xml:space="preserve"> has </w:t>
      </w:r>
      <w:proofErr w:type="spellStart"/>
      <w:r w:rsidR="00055779" w:rsidRPr="00705170">
        <w:rPr>
          <w:rFonts w:ascii="Times New Roman" w:hAnsi="Times New Roman" w:cs="Times New Roman"/>
          <w:color w:val="000000" w:themeColor="text1"/>
        </w:rPr>
        <w:t>some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privileges</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regarding</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the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corporate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management</w:t>
      </w:r>
      <w:proofErr w:type="spellEnd"/>
      <w:r w:rsidR="008E7320" w:rsidRPr="00705170">
        <w:rPr>
          <w:rFonts w:ascii="Times New Roman" w:hAnsi="Times New Roman" w:cs="Times New Roman"/>
          <w:color w:val="000000" w:themeColor="text1"/>
        </w:rPr>
        <w:t xml:space="preserve"> </w:t>
      </w:r>
      <w:proofErr w:type="spellStart"/>
      <w:r w:rsidR="008E7320" w:rsidRPr="00705170">
        <w:rPr>
          <w:rFonts w:ascii="Times New Roman" w:hAnsi="Times New Roman" w:cs="Times New Roman"/>
          <w:color w:val="000000" w:themeColor="text1"/>
        </w:rPr>
        <w:t>by</w:t>
      </w:r>
      <w:proofErr w:type="spellEnd"/>
      <w:r w:rsidR="008E7320" w:rsidRPr="00705170">
        <w:rPr>
          <w:rFonts w:ascii="Times New Roman" w:hAnsi="Times New Roman" w:cs="Times New Roman"/>
          <w:color w:val="000000" w:themeColor="text1"/>
        </w:rPr>
        <w:t xml:space="preserve"> </w:t>
      </w:r>
      <w:proofErr w:type="spellStart"/>
      <w:r w:rsidR="008E7320" w:rsidRPr="00705170">
        <w:rPr>
          <w:rFonts w:ascii="Times New Roman" w:hAnsi="Times New Roman" w:cs="Times New Roman"/>
          <w:color w:val="000000" w:themeColor="text1"/>
        </w:rPr>
        <w:t>granting</w:t>
      </w:r>
      <w:proofErr w:type="spellEnd"/>
      <w:r w:rsidR="008E7320" w:rsidRPr="00705170">
        <w:rPr>
          <w:rFonts w:ascii="Times New Roman" w:hAnsi="Times New Roman" w:cs="Times New Roman"/>
          <w:color w:val="000000" w:themeColor="text1"/>
        </w:rPr>
        <w:t xml:space="preserve"> </w:t>
      </w:r>
      <w:proofErr w:type="spellStart"/>
      <w:r w:rsidR="008E7320" w:rsidRPr="00705170">
        <w:rPr>
          <w:rFonts w:ascii="Times New Roman" w:hAnsi="Times New Roman" w:cs="Times New Roman"/>
          <w:color w:val="000000" w:themeColor="text1"/>
        </w:rPr>
        <w:t>them</w:t>
      </w:r>
      <w:proofErr w:type="spellEnd"/>
      <w:r w:rsidR="008E7320" w:rsidRPr="00705170">
        <w:rPr>
          <w:rFonts w:ascii="Times New Roman" w:hAnsi="Times New Roman" w:cs="Times New Roman"/>
          <w:color w:val="000000" w:themeColor="text1"/>
        </w:rPr>
        <w:t xml:space="preserve"> </w:t>
      </w:r>
      <w:proofErr w:type="spellStart"/>
      <w:r w:rsidR="008E7320" w:rsidRPr="00705170">
        <w:rPr>
          <w:rFonts w:ascii="Times New Roman" w:hAnsi="Times New Roman" w:cs="Times New Roman"/>
          <w:color w:val="000000" w:themeColor="text1"/>
        </w:rPr>
        <w:t>the</w:t>
      </w:r>
      <w:proofErr w:type="spellEnd"/>
      <w:r w:rsidR="008E7320" w:rsidRPr="00705170">
        <w:rPr>
          <w:rFonts w:ascii="Times New Roman" w:hAnsi="Times New Roman" w:cs="Times New Roman"/>
          <w:color w:val="000000" w:themeColor="text1"/>
        </w:rPr>
        <w:t xml:space="preserve"> </w:t>
      </w:r>
      <w:proofErr w:type="spellStart"/>
      <w:r w:rsidR="008E7320" w:rsidRPr="00705170">
        <w:rPr>
          <w:rFonts w:ascii="Times New Roman" w:hAnsi="Times New Roman" w:cs="Times New Roman"/>
          <w:color w:val="000000" w:themeColor="text1"/>
        </w:rPr>
        <w:t>right</w:t>
      </w:r>
      <w:proofErr w:type="spellEnd"/>
      <w:r w:rsidR="008E7320" w:rsidRPr="00705170">
        <w:rPr>
          <w:rFonts w:ascii="Times New Roman" w:hAnsi="Times New Roman" w:cs="Times New Roman"/>
          <w:color w:val="000000" w:themeColor="text1"/>
        </w:rPr>
        <w:t xml:space="preserve"> </w:t>
      </w:r>
      <w:proofErr w:type="spellStart"/>
      <w:r w:rsidR="008E7320" w:rsidRPr="00705170">
        <w:rPr>
          <w:rFonts w:ascii="Times New Roman" w:hAnsi="Times New Roman" w:cs="Times New Roman"/>
          <w:color w:val="000000" w:themeColor="text1"/>
        </w:rPr>
        <w:t>to</w:t>
      </w:r>
      <w:proofErr w:type="spellEnd"/>
      <w:r w:rsidR="008E7320" w:rsidRPr="00705170">
        <w:rPr>
          <w:rFonts w:ascii="Times New Roman" w:hAnsi="Times New Roman" w:cs="Times New Roman"/>
          <w:color w:val="000000" w:themeColor="text1"/>
        </w:rPr>
        <w:t xml:space="preserve"> be </w:t>
      </w:r>
      <w:proofErr w:type="spellStart"/>
      <w:r w:rsidR="008E7320" w:rsidRPr="00705170">
        <w:rPr>
          <w:rFonts w:ascii="Times New Roman" w:hAnsi="Times New Roman" w:cs="Times New Roman"/>
          <w:color w:val="000000" w:themeColor="text1"/>
        </w:rPr>
        <w:t>represented</w:t>
      </w:r>
      <w:proofErr w:type="spellEnd"/>
      <w:r w:rsidR="008E7320" w:rsidRPr="00705170">
        <w:rPr>
          <w:rFonts w:ascii="Times New Roman" w:hAnsi="Times New Roman" w:cs="Times New Roman"/>
          <w:color w:val="000000" w:themeColor="text1"/>
        </w:rPr>
        <w:t xml:space="preserve"> in </w:t>
      </w:r>
      <w:proofErr w:type="spellStart"/>
      <w:r w:rsidR="008E7320" w:rsidRPr="00705170">
        <w:rPr>
          <w:rFonts w:ascii="Times New Roman" w:hAnsi="Times New Roman" w:cs="Times New Roman"/>
          <w:color w:val="000000" w:themeColor="text1"/>
        </w:rPr>
        <w:t>the</w:t>
      </w:r>
      <w:proofErr w:type="spellEnd"/>
      <w:r w:rsidR="008E7320" w:rsidRPr="00705170">
        <w:rPr>
          <w:rFonts w:ascii="Times New Roman" w:hAnsi="Times New Roman" w:cs="Times New Roman"/>
          <w:color w:val="000000" w:themeColor="text1"/>
        </w:rPr>
        <w:t xml:space="preserve"> board of </w:t>
      </w:r>
      <w:proofErr w:type="spellStart"/>
      <w:r w:rsidR="008E7320" w:rsidRPr="00705170">
        <w:rPr>
          <w:rFonts w:ascii="Times New Roman" w:hAnsi="Times New Roman" w:cs="Times New Roman"/>
          <w:color w:val="000000" w:themeColor="text1"/>
        </w:rPr>
        <w:t>directors</w:t>
      </w:r>
      <w:proofErr w:type="spellEnd"/>
      <w:r w:rsidR="00FF200A" w:rsidRPr="00705170">
        <w:rPr>
          <w:rFonts w:ascii="Times New Roman" w:hAnsi="Times New Roman" w:cs="Times New Roman"/>
          <w:color w:val="000000" w:themeColor="text1"/>
        </w:rPr>
        <w:t xml:space="preserve">: </w:t>
      </w:r>
      <w:proofErr w:type="spellStart"/>
      <w:r w:rsidR="00FF200A" w:rsidRPr="00705170">
        <w:rPr>
          <w:rFonts w:ascii="Times New Roman" w:hAnsi="Times New Roman" w:cs="Times New Roman"/>
          <w:color w:val="000000" w:themeColor="text1"/>
        </w:rPr>
        <w:t>Moreover</w:t>
      </w:r>
      <w:proofErr w:type="spellEnd"/>
      <w:r w:rsidR="00FF200A" w:rsidRPr="00705170">
        <w:rPr>
          <w:rFonts w:ascii="Times New Roman" w:hAnsi="Times New Roman" w:cs="Times New Roman"/>
          <w:color w:val="000000" w:themeColor="text1"/>
        </w:rPr>
        <w:t xml:space="preserve">, </w:t>
      </w:r>
      <w:r w:rsidR="00100D0E" w:rsidRPr="00705170">
        <w:rPr>
          <w:rFonts w:ascii="Times New Roman" w:hAnsi="Times New Roman" w:cs="Times New Roman"/>
          <w:color w:val="000000" w:themeColor="text1"/>
        </w:rPr>
        <w:t xml:space="preserve">CML </w:t>
      </w:r>
      <w:proofErr w:type="spellStart"/>
      <w:r w:rsidR="00100D0E" w:rsidRPr="00705170">
        <w:rPr>
          <w:rFonts w:ascii="Times New Roman" w:hAnsi="Times New Roman" w:cs="Times New Roman"/>
          <w:color w:val="000000" w:themeColor="text1"/>
        </w:rPr>
        <w:t>Article</w:t>
      </w:r>
      <w:proofErr w:type="spellEnd"/>
      <w:r w:rsidR="00100D0E" w:rsidRPr="00705170">
        <w:rPr>
          <w:rFonts w:ascii="Times New Roman" w:hAnsi="Times New Roman" w:cs="Times New Roman"/>
          <w:color w:val="000000" w:themeColor="text1"/>
        </w:rPr>
        <w:t xml:space="preserve"> 28 </w:t>
      </w:r>
      <w:proofErr w:type="spellStart"/>
      <w:r w:rsidR="00100D0E" w:rsidRPr="00705170">
        <w:rPr>
          <w:rFonts w:ascii="Times New Roman" w:hAnsi="Times New Roman" w:cs="Times New Roman"/>
          <w:color w:val="000000" w:themeColor="text1"/>
        </w:rPr>
        <w:t>states</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that</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except</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cases</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which</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render</w:t>
      </w:r>
      <w:proofErr w:type="spellEnd"/>
      <w:r w:rsidR="00100D0E" w:rsidRPr="00705170">
        <w:rPr>
          <w:rFonts w:ascii="Times New Roman" w:hAnsi="Times New Roman" w:cs="Times New Roman"/>
          <w:color w:val="000000" w:themeColor="text1"/>
        </w:rPr>
        <w:t xml:space="preserve"> it </w:t>
      </w:r>
      <w:proofErr w:type="spellStart"/>
      <w:r w:rsidR="00100D0E" w:rsidRPr="00705170">
        <w:rPr>
          <w:rFonts w:ascii="Times New Roman" w:hAnsi="Times New Roman" w:cs="Times New Roman"/>
          <w:color w:val="000000" w:themeColor="text1"/>
        </w:rPr>
        <w:t>reasonable</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and</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compulsory</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the</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privilige</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to</w:t>
      </w:r>
      <w:proofErr w:type="spellEnd"/>
      <w:r w:rsidR="00100D0E" w:rsidRPr="00705170">
        <w:rPr>
          <w:rFonts w:ascii="Times New Roman" w:hAnsi="Times New Roman" w:cs="Times New Roman"/>
          <w:color w:val="000000" w:themeColor="text1"/>
        </w:rPr>
        <w:t xml:space="preserve"> be </w:t>
      </w:r>
      <w:proofErr w:type="spellStart"/>
      <w:r w:rsidR="00100D0E" w:rsidRPr="00705170">
        <w:rPr>
          <w:rFonts w:ascii="Times New Roman" w:hAnsi="Times New Roman" w:cs="Times New Roman"/>
          <w:color w:val="000000" w:themeColor="text1"/>
        </w:rPr>
        <w:t>represented</w:t>
      </w:r>
      <w:proofErr w:type="spellEnd"/>
      <w:r w:rsidR="00100D0E" w:rsidRPr="00705170">
        <w:rPr>
          <w:rFonts w:ascii="Times New Roman" w:hAnsi="Times New Roman" w:cs="Times New Roman"/>
          <w:color w:val="000000" w:themeColor="text1"/>
        </w:rPr>
        <w:t xml:space="preserve"> in </w:t>
      </w:r>
      <w:proofErr w:type="spellStart"/>
      <w:r w:rsidR="00100D0E" w:rsidRPr="00705170">
        <w:rPr>
          <w:rFonts w:ascii="Times New Roman" w:hAnsi="Times New Roman" w:cs="Times New Roman"/>
          <w:color w:val="000000" w:themeColor="text1"/>
        </w:rPr>
        <w:t>the</w:t>
      </w:r>
      <w:proofErr w:type="spellEnd"/>
      <w:r w:rsidR="00100D0E" w:rsidRPr="00705170">
        <w:rPr>
          <w:rFonts w:ascii="Times New Roman" w:hAnsi="Times New Roman" w:cs="Times New Roman"/>
          <w:color w:val="000000" w:themeColor="text1"/>
        </w:rPr>
        <w:t xml:space="preserve"> board </w:t>
      </w:r>
      <w:proofErr w:type="spellStart"/>
      <w:r w:rsidR="00100D0E" w:rsidRPr="00705170">
        <w:rPr>
          <w:rFonts w:ascii="Times New Roman" w:hAnsi="Times New Roman" w:cs="Times New Roman"/>
          <w:color w:val="000000" w:themeColor="text1"/>
        </w:rPr>
        <w:t>will</w:t>
      </w:r>
      <w:proofErr w:type="spellEnd"/>
      <w:r w:rsidR="00100D0E" w:rsidRPr="00705170">
        <w:rPr>
          <w:rFonts w:ascii="Times New Roman" w:hAnsi="Times New Roman" w:cs="Times New Roman"/>
          <w:color w:val="000000" w:themeColor="text1"/>
        </w:rPr>
        <w:t xml:space="preserve"> be </w:t>
      </w:r>
      <w:proofErr w:type="spellStart"/>
      <w:r w:rsidR="00100D0E" w:rsidRPr="00705170">
        <w:rPr>
          <w:rFonts w:ascii="Times New Roman" w:hAnsi="Times New Roman" w:cs="Times New Roman"/>
          <w:color w:val="000000" w:themeColor="text1"/>
        </w:rPr>
        <w:t>removed</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by</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the</w:t>
      </w:r>
      <w:proofErr w:type="spellEnd"/>
      <w:r w:rsidR="00100D0E" w:rsidRPr="00705170">
        <w:rPr>
          <w:rFonts w:ascii="Times New Roman" w:hAnsi="Times New Roman" w:cs="Times New Roman"/>
          <w:color w:val="000000" w:themeColor="text1"/>
        </w:rPr>
        <w:t xml:space="preserve"> CMB </w:t>
      </w:r>
      <w:proofErr w:type="spellStart"/>
      <w:r w:rsidR="00100D0E" w:rsidRPr="00705170">
        <w:rPr>
          <w:rFonts w:ascii="Times New Roman" w:hAnsi="Times New Roman" w:cs="Times New Roman"/>
          <w:color w:val="000000" w:themeColor="text1"/>
        </w:rPr>
        <w:t>if</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the</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corporation</w:t>
      </w:r>
      <w:proofErr w:type="spellEnd"/>
      <w:r w:rsidR="00100D0E" w:rsidRPr="00705170">
        <w:rPr>
          <w:rFonts w:ascii="Times New Roman" w:hAnsi="Times New Roman" w:cs="Times New Roman"/>
          <w:color w:val="000000" w:themeColor="text1"/>
        </w:rPr>
        <w:t xml:space="preserve"> has </w:t>
      </w:r>
      <w:proofErr w:type="spellStart"/>
      <w:r w:rsidR="00100D0E" w:rsidRPr="00705170">
        <w:rPr>
          <w:rFonts w:ascii="Times New Roman" w:hAnsi="Times New Roman" w:cs="Times New Roman"/>
          <w:color w:val="000000" w:themeColor="text1"/>
        </w:rPr>
        <w:t>loss</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consecutively</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for</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five</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years</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The</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official</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comment</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to</w:t>
      </w:r>
      <w:proofErr w:type="spellEnd"/>
      <w:r w:rsidR="00100D0E" w:rsidRPr="00705170">
        <w:rPr>
          <w:rFonts w:ascii="Times New Roman" w:hAnsi="Times New Roman" w:cs="Times New Roman"/>
          <w:color w:val="000000" w:themeColor="text1"/>
        </w:rPr>
        <w:t xml:space="preserve"> CML </w:t>
      </w:r>
      <w:proofErr w:type="spellStart"/>
      <w:r w:rsidR="00100D0E" w:rsidRPr="00705170">
        <w:rPr>
          <w:rFonts w:ascii="Times New Roman" w:hAnsi="Times New Roman" w:cs="Times New Roman"/>
          <w:color w:val="000000" w:themeColor="text1"/>
        </w:rPr>
        <w:t>expresses</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that</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this</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provision</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will</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push</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priviliged</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groups</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to</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act</w:t>
      </w:r>
      <w:proofErr w:type="spellEnd"/>
      <w:r w:rsidR="00100D0E" w:rsidRPr="00705170">
        <w:rPr>
          <w:rFonts w:ascii="Times New Roman" w:hAnsi="Times New Roman" w:cs="Times New Roman"/>
          <w:color w:val="000000" w:themeColor="text1"/>
        </w:rPr>
        <w:t xml:space="preserve"> in </w:t>
      </w:r>
      <w:proofErr w:type="spellStart"/>
      <w:r w:rsidR="00100D0E" w:rsidRPr="00705170">
        <w:rPr>
          <w:rFonts w:ascii="Times New Roman" w:hAnsi="Times New Roman" w:cs="Times New Roman"/>
          <w:color w:val="000000" w:themeColor="text1"/>
        </w:rPr>
        <w:t>the</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best</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interest</w:t>
      </w:r>
      <w:proofErr w:type="spellEnd"/>
      <w:r w:rsidR="00100D0E" w:rsidRPr="00705170">
        <w:rPr>
          <w:rFonts w:ascii="Times New Roman" w:hAnsi="Times New Roman" w:cs="Times New Roman"/>
          <w:color w:val="000000" w:themeColor="text1"/>
        </w:rPr>
        <w:t xml:space="preserve"> of </w:t>
      </w:r>
      <w:proofErr w:type="spellStart"/>
      <w:r w:rsidR="00100D0E" w:rsidRPr="00705170">
        <w:rPr>
          <w:rFonts w:ascii="Times New Roman" w:hAnsi="Times New Roman" w:cs="Times New Roman"/>
          <w:color w:val="000000" w:themeColor="text1"/>
        </w:rPr>
        <w:t>the</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remaining</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groups</w:t>
      </w:r>
      <w:proofErr w:type="spellEnd"/>
      <w:r w:rsidR="005B0FD7" w:rsidRPr="00705170">
        <w:rPr>
          <w:rStyle w:val="DipnotBavurusu"/>
          <w:rFonts w:ascii="Times New Roman" w:hAnsi="Times New Roman" w:cs="Times New Roman"/>
          <w:color w:val="000000" w:themeColor="text1"/>
        </w:rPr>
        <w:footnoteReference w:id="533"/>
      </w:r>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Still</w:t>
      </w:r>
      <w:proofErr w:type="spellEnd"/>
      <w:r w:rsidR="00100D0E" w:rsidRPr="00705170">
        <w:rPr>
          <w:rFonts w:ascii="Times New Roman" w:hAnsi="Times New Roman" w:cs="Times New Roman"/>
          <w:color w:val="000000" w:themeColor="text1"/>
        </w:rPr>
        <w:t xml:space="preserve">, </w:t>
      </w:r>
      <w:proofErr w:type="spellStart"/>
      <w:r w:rsidR="00100D0E" w:rsidRPr="00705170">
        <w:rPr>
          <w:rFonts w:ascii="Times New Roman" w:hAnsi="Times New Roman" w:cs="Times New Roman"/>
          <w:color w:val="000000" w:themeColor="text1"/>
        </w:rPr>
        <w:t>these</w:t>
      </w:r>
      <w:proofErr w:type="spellEnd"/>
      <w:r w:rsidR="00FF200A" w:rsidRPr="00705170">
        <w:rPr>
          <w:rFonts w:ascii="Times New Roman" w:hAnsi="Times New Roman" w:cs="Times New Roman"/>
          <w:color w:val="000000" w:themeColor="text1"/>
        </w:rPr>
        <w:t xml:space="preserve"> </w:t>
      </w:r>
      <w:proofErr w:type="spellStart"/>
      <w:r w:rsidR="00FF200A" w:rsidRPr="00705170">
        <w:rPr>
          <w:rFonts w:ascii="Times New Roman" w:hAnsi="Times New Roman" w:cs="Times New Roman"/>
          <w:color w:val="000000" w:themeColor="text1"/>
        </w:rPr>
        <w:t>provisions</w:t>
      </w:r>
      <w:proofErr w:type="spellEnd"/>
      <w:r w:rsidR="00100D0E"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does</w:t>
      </w:r>
      <w:proofErr w:type="spellEnd"/>
      <w:r w:rsidR="00055779" w:rsidRPr="00705170">
        <w:rPr>
          <w:rFonts w:ascii="Times New Roman" w:hAnsi="Times New Roman" w:cs="Times New Roman"/>
          <w:color w:val="000000" w:themeColor="text1"/>
        </w:rPr>
        <w:t xml:space="preserve"> </w:t>
      </w:r>
      <w:r w:rsidR="00055779" w:rsidRPr="00705170">
        <w:rPr>
          <w:rFonts w:ascii="Times New Roman" w:hAnsi="Times New Roman" w:cs="Times New Roman"/>
          <w:color w:val="000000" w:themeColor="text1"/>
        </w:rPr>
        <w:lastRenderedPageBreak/>
        <w:t xml:space="preserve">not </w:t>
      </w:r>
      <w:proofErr w:type="spellStart"/>
      <w:r w:rsidR="00055779" w:rsidRPr="00705170">
        <w:rPr>
          <w:rFonts w:ascii="Times New Roman" w:hAnsi="Times New Roman" w:cs="Times New Roman"/>
          <w:color w:val="000000" w:themeColor="text1"/>
        </w:rPr>
        <w:t>explicitly</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rebut</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the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rule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that</w:t>
      </w:r>
      <w:proofErr w:type="spellEnd"/>
      <w:r w:rsidR="00055779" w:rsidRPr="00705170">
        <w:rPr>
          <w:rFonts w:ascii="Times New Roman" w:hAnsi="Times New Roman" w:cs="Times New Roman"/>
          <w:color w:val="000000" w:themeColor="text1"/>
        </w:rPr>
        <w:t xml:space="preserve"> </w:t>
      </w:r>
      <w:proofErr w:type="spellStart"/>
      <w:r w:rsidR="001B11A7" w:rsidRPr="00705170">
        <w:rPr>
          <w:rFonts w:ascii="Times New Roman" w:hAnsi="Times New Roman" w:cs="Times New Roman"/>
          <w:color w:val="000000" w:themeColor="text1"/>
        </w:rPr>
        <w:t>the</w:t>
      </w:r>
      <w:proofErr w:type="spellEnd"/>
      <w:r w:rsidR="001B11A7"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directors</w:t>
      </w:r>
      <w:proofErr w:type="spellEnd"/>
      <w:r w:rsidR="001B11A7" w:rsidRPr="00705170">
        <w:rPr>
          <w:rFonts w:ascii="Times New Roman" w:hAnsi="Times New Roman" w:cs="Times New Roman"/>
          <w:color w:val="000000" w:themeColor="text1"/>
        </w:rPr>
        <w:t xml:space="preserve"> </w:t>
      </w:r>
      <w:proofErr w:type="spellStart"/>
      <w:r w:rsidR="001B11A7" w:rsidRPr="00705170">
        <w:rPr>
          <w:rFonts w:ascii="Times New Roman" w:hAnsi="Times New Roman" w:cs="Times New Roman"/>
          <w:color w:val="000000" w:themeColor="text1"/>
        </w:rPr>
        <w:t>elected</w:t>
      </w:r>
      <w:proofErr w:type="spellEnd"/>
      <w:r w:rsidR="001B11A7" w:rsidRPr="00705170">
        <w:rPr>
          <w:rFonts w:ascii="Times New Roman" w:hAnsi="Times New Roman" w:cs="Times New Roman"/>
          <w:color w:val="000000" w:themeColor="text1"/>
        </w:rPr>
        <w:t xml:space="preserve"> </w:t>
      </w:r>
      <w:proofErr w:type="spellStart"/>
      <w:r w:rsidR="001B11A7" w:rsidRPr="00705170">
        <w:rPr>
          <w:rFonts w:ascii="Times New Roman" w:hAnsi="Times New Roman" w:cs="Times New Roman"/>
          <w:color w:val="000000" w:themeColor="text1"/>
        </w:rPr>
        <w:t>by</w:t>
      </w:r>
      <w:proofErr w:type="spellEnd"/>
      <w:r w:rsidR="001B11A7" w:rsidRPr="00705170">
        <w:rPr>
          <w:rFonts w:ascii="Times New Roman" w:hAnsi="Times New Roman" w:cs="Times New Roman"/>
          <w:color w:val="000000" w:themeColor="text1"/>
        </w:rPr>
        <w:t xml:space="preserve"> </w:t>
      </w:r>
      <w:proofErr w:type="spellStart"/>
      <w:r w:rsidR="001B11A7" w:rsidRPr="00705170">
        <w:rPr>
          <w:rFonts w:ascii="Times New Roman" w:hAnsi="Times New Roman" w:cs="Times New Roman"/>
          <w:color w:val="000000" w:themeColor="text1"/>
        </w:rPr>
        <w:t>the</w:t>
      </w:r>
      <w:proofErr w:type="spellEnd"/>
      <w:r w:rsidR="001B11A7" w:rsidRPr="00705170">
        <w:rPr>
          <w:rFonts w:ascii="Times New Roman" w:hAnsi="Times New Roman" w:cs="Times New Roman"/>
          <w:color w:val="000000" w:themeColor="text1"/>
        </w:rPr>
        <w:t xml:space="preserve"> </w:t>
      </w:r>
      <w:proofErr w:type="spellStart"/>
      <w:r w:rsidR="001B11A7" w:rsidRPr="00705170">
        <w:rPr>
          <w:rFonts w:ascii="Times New Roman" w:hAnsi="Times New Roman" w:cs="Times New Roman"/>
          <w:color w:val="000000" w:themeColor="text1"/>
        </w:rPr>
        <w:t>priviliged</w:t>
      </w:r>
      <w:proofErr w:type="spellEnd"/>
      <w:r w:rsidR="001B11A7" w:rsidRPr="00705170">
        <w:rPr>
          <w:rFonts w:ascii="Times New Roman" w:hAnsi="Times New Roman" w:cs="Times New Roman"/>
          <w:color w:val="000000" w:themeColor="text1"/>
        </w:rPr>
        <w:t xml:space="preserve"> </w:t>
      </w:r>
      <w:proofErr w:type="spellStart"/>
      <w:r w:rsidR="001B11A7" w:rsidRPr="00705170">
        <w:rPr>
          <w:rFonts w:ascii="Times New Roman" w:hAnsi="Times New Roman" w:cs="Times New Roman"/>
          <w:color w:val="000000" w:themeColor="text1"/>
        </w:rPr>
        <w:t>shares</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should</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exercise</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independent</w:t>
      </w:r>
      <w:proofErr w:type="spellEnd"/>
      <w:r w:rsidR="00055779" w:rsidRPr="00705170">
        <w:rPr>
          <w:rFonts w:ascii="Times New Roman" w:hAnsi="Times New Roman" w:cs="Times New Roman"/>
          <w:color w:val="000000" w:themeColor="text1"/>
        </w:rPr>
        <w:t xml:space="preserve"> </w:t>
      </w:r>
      <w:proofErr w:type="spellStart"/>
      <w:r w:rsidR="00055779" w:rsidRPr="00705170">
        <w:rPr>
          <w:rFonts w:ascii="Times New Roman" w:hAnsi="Times New Roman" w:cs="Times New Roman"/>
          <w:color w:val="000000" w:themeColor="text1"/>
        </w:rPr>
        <w:t>judgment</w:t>
      </w:r>
      <w:proofErr w:type="spellEnd"/>
      <w:r w:rsidR="00FF200A" w:rsidRPr="00705170">
        <w:rPr>
          <w:rFonts w:ascii="Times New Roman" w:hAnsi="Times New Roman" w:cs="Times New Roman"/>
          <w:color w:val="000000" w:themeColor="text1"/>
        </w:rPr>
        <w:t xml:space="preserve"> </w:t>
      </w:r>
      <w:proofErr w:type="spellStart"/>
      <w:r w:rsidR="00FF200A" w:rsidRPr="00705170">
        <w:rPr>
          <w:rFonts w:ascii="Times New Roman" w:hAnsi="Times New Roman" w:cs="Times New Roman"/>
          <w:color w:val="000000" w:themeColor="text1"/>
        </w:rPr>
        <w:t>for</w:t>
      </w:r>
      <w:proofErr w:type="spellEnd"/>
      <w:r w:rsidR="00FF200A" w:rsidRPr="00705170">
        <w:rPr>
          <w:rFonts w:ascii="Times New Roman" w:hAnsi="Times New Roman" w:cs="Times New Roman"/>
          <w:color w:val="000000" w:themeColor="text1"/>
        </w:rPr>
        <w:t xml:space="preserve"> </w:t>
      </w:r>
      <w:proofErr w:type="spellStart"/>
      <w:r w:rsidR="00FF200A" w:rsidRPr="00705170">
        <w:rPr>
          <w:rFonts w:ascii="Times New Roman" w:hAnsi="Times New Roman" w:cs="Times New Roman"/>
          <w:color w:val="000000" w:themeColor="text1"/>
        </w:rPr>
        <w:t>the</w:t>
      </w:r>
      <w:proofErr w:type="spellEnd"/>
      <w:r w:rsidR="00FF200A" w:rsidRPr="00705170">
        <w:rPr>
          <w:rFonts w:ascii="Times New Roman" w:hAnsi="Times New Roman" w:cs="Times New Roman"/>
          <w:color w:val="000000" w:themeColor="text1"/>
        </w:rPr>
        <w:t xml:space="preserve"> </w:t>
      </w:r>
      <w:proofErr w:type="spellStart"/>
      <w:r w:rsidR="00FF200A" w:rsidRPr="00705170">
        <w:rPr>
          <w:rFonts w:ascii="Times New Roman" w:hAnsi="Times New Roman" w:cs="Times New Roman"/>
          <w:color w:val="000000" w:themeColor="text1"/>
        </w:rPr>
        <w:t>advancement</w:t>
      </w:r>
      <w:proofErr w:type="spellEnd"/>
      <w:r w:rsidR="00FF200A" w:rsidRPr="00705170">
        <w:rPr>
          <w:rFonts w:ascii="Times New Roman" w:hAnsi="Times New Roman" w:cs="Times New Roman"/>
          <w:color w:val="000000" w:themeColor="text1"/>
        </w:rPr>
        <w:t xml:space="preserve"> of </w:t>
      </w:r>
      <w:proofErr w:type="spellStart"/>
      <w:r w:rsidR="00FF200A" w:rsidRPr="00705170">
        <w:rPr>
          <w:rFonts w:ascii="Times New Roman" w:hAnsi="Times New Roman" w:cs="Times New Roman"/>
          <w:color w:val="000000" w:themeColor="text1"/>
        </w:rPr>
        <w:t>the</w:t>
      </w:r>
      <w:proofErr w:type="spellEnd"/>
      <w:r w:rsidR="00FF200A" w:rsidRPr="00705170">
        <w:rPr>
          <w:rFonts w:ascii="Times New Roman" w:hAnsi="Times New Roman" w:cs="Times New Roman"/>
          <w:color w:val="000000" w:themeColor="text1"/>
        </w:rPr>
        <w:t xml:space="preserve"> </w:t>
      </w:r>
      <w:proofErr w:type="spellStart"/>
      <w:r w:rsidR="00FF200A" w:rsidRPr="00705170">
        <w:rPr>
          <w:rFonts w:ascii="Times New Roman" w:hAnsi="Times New Roman" w:cs="Times New Roman"/>
          <w:color w:val="000000" w:themeColor="text1"/>
        </w:rPr>
        <w:t>corporate</w:t>
      </w:r>
      <w:proofErr w:type="spellEnd"/>
      <w:r w:rsidR="00FF200A" w:rsidRPr="00705170">
        <w:rPr>
          <w:rFonts w:ascii="Times New Roman" w:hAnsi="Times New Roman" w:cs="Times New Roman"/>
          <w:color w:val="000000" w:themeColor="text1"/>
        </w:rPr>
        <w:t xml:space="preserve"> </w:t>
      </w:r>
      <w:proofErr w:type="spellStart"/>
      <w:r w:rsidR="00FF200A" w:rsidRPr="00705170">
        <w:rPr>
          <w:rFonts w:ascii="Times New Roman" w:hAnsi="Times New Roman" w:cs="Times New Roman"/>
          <w:color w:val="000000" w:themeColor="text1"/>
        </w:rPr>
        <w:t>purpose</w:t>
      </w:r>
      <w:proofErr w:type="spellEnd"/>
      <w:r w:rsidR="00C71E2F" w:rsidRPr="00705170">
        <w:rPr>
          <w:rFonts w:ascii="Times New Roman" w:hAnsi="Times New Roman" w:cs="Times New Roman"/>
          <w:color w:val="000000" w:themeColor="text1"/>
        </w:rPr>
        <w:t xml:space="preserve">, </w:t>
      </w:r>
      <w:proofErr w:type="spellStart"/>
      <w:r w:rsidR="00C71E2F" w:rsidRPr="00705170">
        <w:rPr>
          <w:rFonts w:ascii="Times New Roman" w:hAnsi="Times New Roman" w:cs="Times New Roman"/>
          <w:color w:val="000000" w:themeColor="text1"/>
        </w:rPr>
        <w:t>or</w:t>
      </w:r>
      <w:proofErr w:type="spellEnd"/>
      <w:r w:rsidR="00C71E2F" w:rsidRPr="00705170">
        <w:rPr>
          <w:rFonts w:ascii="Times New Roman" w:hAnsi="Times New Roman" w:cs="Times New Roman"/>
          <w:color w:val="000000" w:themeColor="text1"/>
        </w:rPr>
        <w:t xml:space="preserve"> </w:t>
      </w:r>
      <w:proofErr w:type="spellStart"/>
      <w:r w:rsidR="00C71E2F" w:rsidRPr="00705170">
        <w:rPr>
          <w:rFonts w:ascii="Times New Roman" w:hAnsi="Times New Roman" w:cs="Times New Roman"/>
          <w:color w:val="000000" w:themeColor="text1"/>
        </w:rPr>
        <w:t>treated</w:t>
      </w:r>
      <w:proofErr w:type="spellEnd"/>
      <w:r w:rsidR="00C71E2F" w:rsidRPr="00705170">
        <w:rPr>
          <w:rFonts w:ascii="Times New Roman" w:hAnsi="Times New Roman" w:cs="Times New Roman"/>
          <w:color w:val="000000" w:themeColor="text1"/>
        </w:rPr>
        <w:t xml:space="preserve"> </w:t>
      </w:r>
      <w:proofErr w:type="spellStart"/>
      <w:r w:rsidR="00C71E2F" w:rsidRPr="00705170">
        <w:rPr>
          <w:rFonts w:ascii="Times New Roman" w:hAnsi="Times New Roman" w:cs="Times New Roman"/>
          <w:color w:val="000000" w:themeColor="text1"/>
        </w:rPr>
        <w:t>differently</w:t>
      </w:r>
      <w:proofErr w:type="spellEnd"/>
      <w:r w:rsidR="00C71E2F" w:rsidRPr="00705170">
        <w:rPr>
          <w:rFonts w:ascii="Times New Roman" w:hAnsi="Times New Roman" w:cs="Times New Roman"/>
          <w:color w:val="000000" w:themeColor="text1"/>
        </w:rPr>
        <w:t xml:space="preserve"> </w:t>
      </w:r>
      <w:proofErr w:type="spellStart"/>
      <w:r w:rsidR="00C71E2F" w:rsidRPr="00705170">
        <w:rPr>
          <w:rFonts w:ascii="Times New Roman" w:hAnsi="Times New Roman" w:cs="Times New Roman"/>
          <w:color w:val="000000" w:themeColor="text1"/>
        </w:rPr>
        <w:t>than</w:t>
      </w:r>
      <w:proofErr w:type="spellEnd"/>
      <w:r w:rsidR="00C71E2F" w:rsidRPr="00705170">
        <w:rPr>
          <w:rFonts w:ascii="Times New Roman" w:hAnsi="Times New Roman" w:cs="Times New Roman"/>
          <w:color w:val="000000" w:themeColor="text1"/>
        </w:rPr>
        <w:t xml:space="preserve"> </w:t>
      </w:r>
      <w:proofErr w:type="spellStart"/>
      <w:r w:rsidR="00C71E2F" w:rsidRPr="00705170">
        <w:rPr>
          <w:rFonts w:ascii="Times New Roman" w:hAnsi="Times New Roman" w:cs="Times New Roman"/>
          <w:color w:val="000000" w:themeColor="text1"/>
        </w:rPr>
        <w:t>normally</w:t>
      </w:r>
      <w:proofErr w:type="spellEnd"/>
      <w:r w:rsidR="00C71E2F" w:rsidRPr="00705170">
        <w:rPr>
          <w:rFonts w:ascii="Times New Roman" w:hAnsi="Times New Roman" w:cs="Times New Roman"/>
          <w:color w:val="000000" w:themeColor="text1"/>
        </w:rPr>
        <w:t xml:space="preserve"> </w:t>
      </w:r>
      <w:proofErr w:type="spellStart"/>
      <w:r w:rsidR="00C71E2F" w:rsidRPr="00705170">
        <w:rPr>
          <w:rFonts w:ascii="Times New Roman" w:hAnsi="Times New Roman" w:cs="Times New Roman"/>
          <w:color w:val="000000" w:themeColor="text1"/>
        </w:rPr>
        <w:t>elected</w:t>
      </w:r>
      <w:proofErr w:type="spellEnd"/>
      <w:r w:rsidR="00C71E2F" w:rsidRPr="00705170">
        <w:rPr>
          <w:rFonts w:ascii="Times New Roman" w:hAnsi="Times New Roman" w:cs="Times New Roman"/>
          <w:color w:val="000000" w:themeColor="text1"/>
        </w:rPr>
        <w:t xml:space="preserve"> </w:t>
      </w:r>
      <w:proofErr w:type="spellStart"/>
      <w:r w:rsidR="00C71E2F" w:rsidRPr="00705170">
        <w:rPr>
          <w:rFonts w:ascii="Times New Roman" w:hAnsi="Times New Roman" w:cs="Times New Roman"/>
          <w:color w:val="000000" w:themeColor="text1"/>
        </w:rPr>
        <w:t>directors</w:t>
      </w:r>
      <w:proofErr w:type="spellEnd"/>
      <w:r w:rsidR="00C71E2F" w:rsidRPr="00705170">
        <w:rPr>
          <w:rStyle w:val="DipnotBavurusu"/>
          <w:rFonts w:ascii="Times New Roman" w:hAnsi="Times New Roman" w:cs="Times New Roman"/>
          <w:color w:val="000000" w:themeColor="text1"/>
        </w:rPr>
        <w:footnoteReference w:id="534"/>
      </w:r>
      <w:r w:rsidR="00FF200A" w:rsidRPr="00705170">
        <w:rPr>
          <w:rFonts w:ascii="Times New Roman" w:hAnsi="Times New Roman" w:cs="Times New Roman"/>
          <w:color w:val="000000" w:themeColor="text1"/>
        </w:rPr>
        <w:t xml:space="preserve">. </w:t>
      </w:r>
      <w:proofErr w:type="spellStart"/>
      <w:r w:rsidR="00FF200A" w:rsidRPr="00705170">
        <w:rPr>
          <w:rFonts w:ascii="Times New Roman" w:hAnsi="Times New Roman" w:cs="Times New Roman"/>
          <w:color w:val="000000" w:themeColor="text1"/>
        </w:rPr>
        <w:t>I</w:t>
      </w:r>
      <w:r w:rsidR="00FB1DB1" w:rsidRPr="00705170">
        <w:rPr>
          <w:rFonts w:ascii="Times New Roman" w:hAnsi="Times New Roman" w:cs="Times New Roman"/>
          <w:color w:val="000000" w:themeColor="text1"/>
        </w:rPr>
        <w:t>f</w:t>
      </w:r>
      <w:proofErr w:type="spellEnd"/>
      <w:r w:rsidR="00FB1DB1" w:rsidRPr="00705170">
        <w:rPr>
          <w:rFonts w:ascii="Times New Roman" w:hAnsi="Times New Roman" w:cs="Times New Roman"/>
          <w:color w:val="000000" w:themeColor="text1"/>
        </w:rPr>
        <w:t xml:space="preserve"> </w:t>
      </w:r>
      <w:proofErr w:type="spellStart"/>
      <w:r w:rsidR="00FB1DB1" w:rsidRPr="00705170">
        <w:rPr>
          <w:rFonts w:ascii="Times New Roman" w:hAnsi="Times New Roman" w:cs="Times New Roman"/>
          <w:color w:val="000000" w:themeColor="text1"/>
        </w:rPr>
        <w:t>the</w:t>
      </w:r>
      <w:proofErr w:type="spellEnd"/>
      <w:r w:rsidR="00FB1DB1" w:rsidRPr="00705170">
        <w:rPr>
          <w:rFonts w:ascii="Times New Roman" w:hAnsi="Times New Roman" w:cs="Times New Roman"/>
          <w:color w:val="000000" w:themeColor="text1"/>
        </w:rPr>
        <w:t xml:space="preserve"> </w:t>
      </w:r>
      <w:proofErr w:type="spellStart"/>
      <w:r w:rsidR="00FB1DB1" w:rsidRPr="00705170">
        <w:rPr>
          <w:rFonts w:ascii="Times New Roman" w:hAnsi="Times New Roman" w:cs="Times New Roman"/>
          <w:color w:val="000000" w:themeColor="text1"/>
        </w:rPr>
        <w:t>statute</w:t>
      </w:r>
      <w:proofErr w:type="spellEnd"/>
      <w:r w:rsidR="00FB1DB1" w:rsidRPr="00705170">
        <w:rPr>
          <w:rFonts w:ascii="Times New Roman" w:hAnsi="Times New Roman" w:cs="Times New Roman"/>
          <w:color w:val="000000" w:themeColor="text1"/>
        </w:rPr>
        <w:t xml:space="preserve"> </w:t>
      </w:r>
      <w:r w:rsidR="00BA5707" w:rsidRPr="00705170">
        <w:rPr>
          <w:rFonts w:ascii="Times New Roman" w:hAnsi="Times New Roman" w:cs="Times New Roman"/>
          <w:color w:val="000000" w:themeColor="text1"/>
        </w:rPr>
        <w:t xml:space="preserve">had </w:t>
      </w:r>
      <w:proofErr w:type="spellStart"/>
      <w:r w:rsidR="00BA5707" w:rsidRPr="00705170">
        <w:rPr>
          <w:rFonts w:ascii="Times New Roman" w:hAnsi="Times New Roman" w:cs="Times New Roman"/>
          <w:color w:val="000000" w:themeColor="text1"/>
        </w:rPr>
        <w:t>presumed</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these</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directors</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would</w:t>
      </w:r>
      <w:proofErr w:type="spellEnd"/>
      <w:r w:rsidR="00BA5707" w:rsidRPr="00705170">
        <w:rPr>
          <w:rFonts w:ascii="Times New Roman" w:hAnsi="Times New Roman" w:cs="Times New Roman"/>
          <w:color w:val="000000" w:themeColor="text1"/>
        </w:rPr>
        <w:t xml:space="preserve"> be </w:t>
      </w:r>
      <w:proofErr w:type="spellStart"/>
      <w:r w:rsidR="00BA5707" w:rsidRPr="00705170">
        <w:rPr>
          <w:rFonts w:ascii="Times New Roman" w:hAnsi="Times New Roman" w:cs="Times New Roman"/>
          <w:color w:val="000000" w:themeColor="text1"/>
        </w:rPr>
        <w:t>subservient</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to</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the</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members</w:t>
      </w:r>
      <w:proofErr w:type="spellEnd"/>
      <w:r w:rsidR="00BA5707" w:rsidRPr="00705170">
        <w:rPr>
          <w:rFonts w:ascii="Times New Roman" w:hAnsi="Times New Roman" w:cs="Times New Roman"/>
          <w:color w:val="000000" w:themeColor="text1"/>
        </w:rPr>
        <w:t xml:space="preserve"> of </w:t>
      </w:r>
      <w:proofErr w:type="spellStart"/>
      <w:r w:rsidR="00BA5707" w:rsidRPr="00705170">
        <w:rPr>
          <w:rFonts w:ascii="Times New Roman" w:hAnsi="Times New Roman" w:cs="Times New Roman"/>
          <w:color w:val="000000" w:themeColor="text1"/>
        </w:rPr>
        <w:t>the</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priviliged</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group</w:t>
      </w:r>
      <w:proofErr w:type="spellEnd"/>
      <w:r w:rsidR="00BA5707" w:rsidRPr="00705170">
        <w:rPr>
          <w:rFonts w:ascii="Times New Roman" w:hAnsi="Times New Roman" w:cs="Times New Roman"/>
          <w:color w:val="000000" w:themeColor="text1"/>
        </w:rPr>
        <w:t xml:space="preserve">, it </w:t>
      </w:r>
      <w:proofErr w:type="spellStart"/>
      <w:r w:rsidR="00BA5707" w:rsidRPr="00705170">
        <w:rPr>
          <w:rFonts w:ascii="Times New Roman" w:hAnsi="Times New Roman" w:cs="Times New Roman"/>
          <w:color w:val="000000" w:themeColor="text1"/>
        </w:rPr>
        <w:t>would</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have</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granted</w:t>
      </w:r>
      <w:proofErr w:type="spellEnd"/>
      <w:r w:rsidR="00BA5707" w:rsidRPr="00705170">
        <w:rPr>
          <w:rFonts w:ascii="Times New Roman" w:hAnsi="Times New Roman" w:cs="Times New Roman"/>
          <w:color w:val="000000" w:themeColor="text1"/>
        </w:rPr>
        <w:t xml:space="preserve"> an </w:t>
      </w:r>
      <w:proofErr w:type="spellStart"/>
      <w:r w:rsidR="00BA5707" w:rsidRPr="00705170">
        <w:rPr>
          <w:rFonts w:ascii="Times New Roman" w:hAnsi="Times New Roman" w:cs="Times New Roman"/>
          <w:color w:val="000000" w:themeColor="text1"/>
        </w:rPr>
        <w:t>immunity</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for</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these</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directors</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just</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like</w:t>
      </w:r>
      <w:proofErr w:type="spellEnd"/>
      <w:r w:rsidR="00BA5707" w:rsidRPr="00705170">
        <w:rPr>
          <w:rFonts w:ascii="Times New Roman" w:hAnsi="Times New Roman" w:cs="Times New Roman"/>
          <w:color w:val="000000" w:themeColor="text1"/>
        </w:rPr>
        <w:t xml:space="preserve"> it </w:t>
      </w:r>
      <w:proofErr w:type="spellStart"/>
      <w:r w:rsidR="00BA5707" w:rsidRPr="00705170">
        <w:rPr>
          <w:rFonts w:ascii="Times New Roman" w:hAnsi="Times New Roman" w:cs="Times New Roman"/>
          <w:color w:val="000000" w:themeColor="text1"/>
        </w:rPr>
        <w:t>did</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for</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the</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ones</w:t>
      </w:r>
      <w:proofErr w:type="spellEnd"/>
      <w:r w:rsidR="00BA5707" w:rsidRPr="00705170">
        <w:rPr>
          <w:rFonts w:ascii="Times New Roman" w:hAnsi="Times New Roman" w:cs="Times New Roman"/>
          <w:color w:val="000000" w:themeColor="text1"/>
        </w:rPr>
        <w:t xml:space="preserve"> in </w:t>
      </w:r>
      <w:proofErr w:type="spellStart"/>
      <w:r w:rsidR="00BA5707" w:rsidRPr="00705170">
        <w:rPr>
          <w:rFonts w:ascii="Times New Roman" w:hAnsi="Times New Roman" w:cs="Times New Roman"/>
          <w:color w:val="000000" w:themeColor="text1"/>
        </w:rPr>
        <w:t>corporate</w:t>
      </w:r>
      <w:proofErr w:type="spellEnd"/>
      <w:r w:rsidR="00BA5707" w:rsidRPr="00705170">
        <w:rPr>
          <w:rFonts w:ascii="Times New Roman" w:hAnsi="Times New Roman" w:cs="Times New Roman"/>
          <w:color w:val="000000" w:themeColor="text1"/>
        </w:rPr>
        <w:t xml:space="preserve"> </w:t>
      </w:r>
      <w:proofErr w:type="spellStart"/>
      <w:r w:rsidR="00BA5707" w:rsidRPr="00705170">
        <w:rPr>
          <w:rFonts w:ascii="Times New Roman" w:hAnsi="Times New Roman" w:cs="Times New Roman"/>
          <w:color w:val="000000" w:themeColor="text1"/>
        </w:rPr>
        <w:t>groups</w:t>
      </w:r>
      <w:proofErr w:type="spellEnd"/>
      <w:r w:rsidR="00BA5707" w:rsidRPr="00705170">
        <w:rPr>
          <w:rStyle w:val="DipnotBavurusu"/>
          <w:rFonts w:ascii="Times New Roman" w:hAnsi="Times New Roman" w:cs="Times New Roman"/>
          <w:color w:val="000000" w:themeColor="text1"/>
        </w:rPr>
        <w:footnoteReference w:id="535"/>
      </w:r>
      <w:r w:rsidR="00055779"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Consequently</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the</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following</w:t>
      </w:r>
      <w:proofErr w:type="spellEnd"/>
      <w:r w:rsidR="00D62CBD" w:rsidRPr="00705170">
        <w:rPr>
          <w:rFonts w:ascii="Times New Roman" w:hAnsi="Times New Roman" w:cs="Times New Roman"/>
          <w:color w:val="000000" w:themeColor="text1"/>
        </w:rPr>
        <w:t xml:space="preserve"> </w:t>
      </w:r>
      <w:proofErr w:type="spellStart"/>
      <w:r w:rsidR="00FC41BB">
        <w:rPr>
          <w:rFonts w:ascii="Times New Roman" w:hAnsi="Times New Roman" w:cs="Times New Roman"/>
          <w:color w:val="000000" w:themeColor="text1"/>
        </w:rPr>
        <w:t>principle</w:t>
      </w:r>
      <w:proofErr w:type="spellEnd"/>
      <w:r w:rsidR="00FC41BB" w:rsidRPr="00705170">
        <w:rPr>
          <w:rFonts w:ascii="Times New Roman" w:hAnsi="Times New Roman" w:cs="Times New Roman"/>
          <w:color w:val="000000" w:themeColor="text1"/>
        </w:rPr>
        <w:t xml:space="preserve"> </w:t>
      </w:r>
      <w:r w:rsidR="00D62CBD" w:rsidRPr="00705170">
        <w:rPr>
          <w:rFonts w:ascii="Times New Roman" w:hAnsi="Times New Roman" w:cs="Times New Roman"/>
          <w:color w:val="000000" w:themeColor="text1"/>
        </w:rPr>
        <w:t xml:space="preserve">can be </w:t>
      </w:r>
      <w:proofErr w:type="spellStart"/>
      <w:r w:rsidR="00D62CBD" w:rsidRPr="00705170">
        <w:rPr>
          <w:rFonts w:ascii="Times New Roman" w:hAnsi="Times New Roman" w:cs="Times New Roman"/>
          <w:color w:val="000000" w:themeColor="text1"/>
        </w:rPr>
        <w:t>be</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accepted</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If</w:t>
      </w:r>
      <w:proofErr w:type="spellEnd"/>
      <w:r w:rsidR="00D62CBD" w:rsidRPr="00705170">
        <w:rPr>
          <w:rFonts w:ascii="Times New Roman" w:hAnsi="Times New Roman" w:cs="Times New Roman"/>
          <w:color w:val="000000" w:themeColor="text1"/>
        </w:rPr>
        <w:t xml:space="preserve"> a board of </w:t>
      </w:r>
      <w:proofErr w:type="spellStart"/>
      <w:r w:rsidR="00D62CBD" w:rsidRPr="00705170">
        <w:rPr>
          <w:rFonts w:ascii="Times New Roman" w:hAnsi="Times New Roman" w:cs="Times New Roman"/>
          <w:color w:val="000000" w:themeColor="text1"/>
        </w:rPr>
        <w:t>directors</w:t>
      </w:r>
      <w:proofErr w:type="spellEnd"/>
      <w:r w:rsidR="00D62CBD" w:rsidRPr="00705170">
        <w:rPr>
          <w:rFonts w:ascii="Times New Roman" w:hAnsi="Times New Roman" w:cs="Times New Roman"/>
          <w:color w:val="000000" w:themeColor="text1"/>
        </w:rPr>
        <w:t xml:space="preserve"> of a </w:t>
      </w:r>
      <w:proofErr w:type="spellStart"/>
      <w:r w:rsidR="00D62CBD" w:rsidRPr="00705170">
        <w:rPr>
          <w:rFonts w:ascii="Times New Roman" w:hAnsi="Times New Roman" w:cs="Times New Roman"/>
          <w:color w:val="000000" w:themeColor="text1"/>
        </w:rPr>
        <w:t>corporation</w:t>
      </w:r>
      <w:proofErr w:type="spellEnd"/>
      <w:r w:rsidR="00D62CBD" w:rsidRPr="00705170">
        <w:rPr>
          <w:rFonts w:ascii="Times New Roman" w:hAnsi="Times New Roman" w:cs="Times New Roman"/>
          <w:color w:val="000000" w:themeColor="text1"/>
        </w:rPr>
        <w:t xml:space="preserve"> is </w:t>
      </w:r>
      <w:proofErr w:type="spellStart"/>
      <w:r w:rsidR="00D62CBD" w:rsidRPr="00705170">
        <w:rPr>
          <w:rFonts w:ascii="Times New Roman" w:hAnsi="Times New Roman" w:cs="Times New Roman"/>
          <w:color w:val="000000" w:themeColor="text1"/>
        </w:rPr>
        <w:t>acting</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under</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the</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influence</w:t>
      </w:r>
      <w:proofErr w:type="spellEnd"/>
      <w:r w:rsidR="00D62CBD" w:rsidRPr="00705170">
        <w:rPr>
          <w:rFonts w:ascii="Times New Roman" w:hAnsi="Times New Roman" w:cs="Times New Roman"/>
          <w:color w:val="000000" w:themeColor="text1"/>
        </w:rPr>
        <w:t xml:space="preserve"> of a </w:t>
      </w:r>
      <w:proofErr w:type="spellStart"/>
      <w:r w:rsidR="00D62CBD" w:rsidRPr="00705170">
        <w:rPr>
          <w:rFonts w:ascii="Times New Roman" w:hAnsi="Times New Roman" w:cs="Times New Roman"/>
          <w:color w:val="000000" w:themeColor="text1"/>
        </w:rPr>
        <w:t>shareholder</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and</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giving</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decisions</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accordingly</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shareholders</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basic</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reasonable</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expectation</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regarding</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the</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management</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will</w:t>
      </w:r>
      <w:proofErr w:type="spellEnd"/>
      <w:r w:rsidR="00D62CBD" w:rsidRPr="00705170">
        <w:rPr>
          <w:rFonts w:ascii="Times New Roman" w:hAnsi="Times New Roman" w:cs="Times New Roman"/>
          <w:color w:val="000000" w:themeColor="text1"/>
        </w:rPr>
        <w:t xml:space="preserve"> be </w:t>
      </w:r>
      <w:proofErr w:type="spellStart"/>
      <w:r w:rsidR="00D62CBD" w:rsidRPr="00705170">
        <w:rPr>
          <w:rFonts w:ascii="Times New Roman" w:hAnsi="Times New Roman" w:cs="Times New Roman"/>
          <w:color w:val="000000" w:themeColor="text1"/>
        </w:rPr>
        <w:t>frustrated</w:t>
      </w:r>
      <w:proofErr w:type="spellEnd"/>
      <w:r w:rsidR="001C0E79" w:rsidRPr="00705170">
        <w:rPr>
          <w:rStyle w:val="DipnotBavurusu"/>
          <w:rFonts w:ascii="Times New Roman" w:hAnsi="Times New Roman" w:cs="Times New Roman"/>
          <w:color w:val="000000" w:themeColor="text1"/>
        </w:rPr>
        <w:footnoteReference w:id="536"/>
      </w:r>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and</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this</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frustration</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will</w:t>
      </w:r>
      <w:proofErr w:type="spellEnd"/>
      <w:r w:rsidR="00D62CBD" w:rsidRPr="00705170">
        <w:rPr>
          <w:rFonts w:ascii="Times New Roman" w:hAnsi="Times New Roman" w:cs="Times New Roman"/>
          <w:color w:val="000000" w:themeColor="text1"/>
        </w:rPr>
        <w:t xml:space="preserve"> be </w:t>
      </w:r>
      <w:proofErr w:type="spellStart"/>
      <w:r w:rsidR="00D62CBD" w:rsidRPr="00705170">
        <w:rPr>
          <w:rFonts w:ascii="Times New Roman" w:hAnsi="Times New Roman" w:cs="Times New Roman"/>
          <w:color w:val="000000" w:themeColor="text1"/>
        </w:rPr>
        <w:t>bringing</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the</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issue</w:t>
      </w:r>
      <w:proofErr w:type="spellEnd"/>
      <w:r w:rsidR="00D62CBD" w:rsidRPr="00705170">
        <w:rPr>
          <w:rFonts w:ascii="Times New Roman" w:hAnsi="Times New Roman" w:cs="Times New Roman"/>
          <w:color w:val="000000" w:themeColor="text1"/>
        </w:rPr>
        <w:t xml:space="preserve"> inside </w:t>
      </w:r>
      <w:proofErr w:type="spellStart"/>
      <w:r w:rsidR="00D62CBD" w:rsidRPr="00705170">
        <w:rPr>
          <w:rFonts w:ascii="Times New Roman" w:hAnsi="Times New Roman" w:cs="Times New Roman"/>
          <w:color w:val="000000" w:themeColor="text1"/>
        </w:rPr>
        <w:t>the</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purview</w:t>
      </w:r>
      <w:proofErr w:type="spellEnd"/>
      <w:r w:rsidR="00D62CBD" w:rsidRPr="00705170">
        <w:rPr>
          <w:rFonts w:ascii="Times New Roman" w:hAnsi="Times New Roman" w:cs="Times New Roman"/>
          <w:color w:val="000000" w:themeColor="text1"/>
        </w:rPr>
        <w:t xml:space="preserve"> of </w:t>
      </w:r>
      <w:proofErr w:type="spellStart"/>
      <w:r w:rsidR="00D62CBD" w:rsidRPr="00705170">
        <w:rPr>
          <w:rFonts w:ascii="Times New Roman" w:hAnsi="Times New Roman" w:cs="Times New Roman"/>
          <w:color w:val="000000" w:themeColor="text1"/>
        </w:rPr>
        <w:t>judicial</w:t>
      </w:r>
      <w:proofErr w:type="spellEnd"/>
      <w:r w:rsidR="00D62CBD" w:rsidRPr="00705170">
        <w:rPr>
          <w:rFonts w:ascii="Times New Roman" w:hAnsi="Times New Roman" w:cs="Times New Roman"/>
          <w:color w:val="000000" w:themeColor="text1"/>
        </w:rPr>
        <w:t xml:space="preserve"> </w:t>
      </w:r>
      <w:proofErr w:type="spellStart"/>
      <w:r w:rsidR="00D62CBD" w:rsidRPr="00705170">
        <w:rPr>
          <w:rFonts w:ascii="Times New Roman" w:hAnsi="Times New Roman" w:cs="Times New Roman"/>
          <w:color w:val="000000" w:themeColor="text1"/>
        </w:rPr>
        <w:t>dissolution</w:t>
      </w:r>
      <w:proofErr w:type="spellEnd"/>
      <w:r w:rsidR="00D62CBD" w:rsidRPr="00705170">
        <w:rPr>
          <w:rFonts w:ascii="Times New Roman" w:hAnsi="Times New Roman" w:cs="Times New Roman"/>
          <w:color w:val="000000" w:themeColor="text1"/>
        </w:rPr>
        <w:t>.</w:t>
      </w:r>
    </w:p>
    <w:p w14:paraId="37EB5B8F" w14:textId="6DE7D5EA" w:rsidR="00683341" w:rsidRPr="00705170" w:rsidRDefault="00C01441" w:rsidP="00544548">
      <w:pPr>
        <w:tabs>
          <w:tab w:val="left" w:pos="7414"/>
        </w:tabs>
        <w:spacing w:after="240" w:line="480" w:lineRule="auto"/>
        <w:ind w:firstLine="708"/>
        <w:rPr>
          <w:rFonts w:ascii="Times New Roman" w:hAnsi="Times New Roman" w:cs="Times New Roman"/>
          <w:b/>
        </w:rPr>
      </w:pPr>
      <w:r>
        <w:rPr>
          <w:rFonts w:ascii="Times New Roman" w:hAnsi="Times New Roman" w:cs="Times New Roman"/>
          <w:b/>
        </w:rPr>
        <w:t>4</w:t>
      </w:r>
      <w:r w:rsidR="005E4903" w:rsidRPr="00705170">
        <w:rPr>
          <w:rFonts w:ascii="Times New Roman" w:hAnsi="Times New Roman" w:cs="Times New Roman"/>
          <w:b/>
        </w:rPr>
        <w:t xml:space="preserve">.2. </w:t>
      </w:r>
      <w:proofErr w:type="spellStart"/>
      <w:r w:rsidR="005E4903" w:rsidRPr="00705170">
        <w:rPr>
          <w:rFonts w:ascii="Times New Roman" w:hAnsi="Times New Roman" w:cs="Times New Roman"/>
          <w:b/>
        </w:rPr>
        <w:t>Shareholder</w:t>
      </w:r>
      <w:proofErr w:type="spellEnd"/>
      <w:r w:rsidR="005E4903" w:rsidRPr="00705170">
        <w:rPr>
          <w:rFonts w:ascii="Times New Roman" w:hAnsi="Times New Roman" w:cs="Times New Roman"/>
          <w:b/>
        </w:rPr>
        <w:t xml:space="preserve"> </w:t>
      </w:r>
      <w:proofErr w:type="spellStart"/>
      <w:r w:rsidR="005E4903" w:rsidRPr="00705170">
        <w:rPr>
          <w:rFonts w:ascii="Times New Roman" w:hAnsi="Times New Roman" w:cs="Times New Roman"/>
          <w:b/>
        </w:rPr>
        <w:t>Oppression</w:t>
      </w:r>
      <w:proofErr w:type="spellEnd"/>
      <w:r w:rsidR="005E4903" w:rsidRPr="00705170">
        <w:rPr>
          <w:rFonts w:ascii="Times New Roman" w:hAnsi="Times New Roman" w:cs="Times New Roman"/>
          <w:b/>
        </w:rPr>
        <w:t xml:space="preserve"> </w:t>
      </w:r>
      <w:proofErr w:type="spellStart"/>
      <w:r w:rsidR="005E4903" w:rsidRPr="00705170">
        <w:rPr>
          <w:rFonts w:ascii="Times New Roman" w:hAnsi="Times New Roman" w:cs="Times New Roman"/>
          <w:b/>
        </w:rPr>
        <w:t>Law</w:t>
      </w:r>
      <w:proofErr w:type="spellEnd"/>
      <w:r w:rsidR="005E4903" w:rsidRPr="00705170">
        <w:rPr>
          <w:rFonts w:ascii="Times New Roman" w:hAnsi="Times New Roman" w:cs="Times New Roman"/>
          <w:b/>
        </w:rPr>
        <w:t xml:space="preserve"> in </w:t>
      </w:r>
      <w:proofErr w:type="spellStart"/>
      <w:r w:rsidR="005E4903" w:rsidRPr="00705170">
        <w:rPr>
          <w:rFonts w:ascii="Times New Roman" w:hAnsi="Times New Roman" w:cs="Times New Roman"/>
          <w:b/>
        </w:rPr>
        <w:t>the</w:t>
      </w:r>
      <w:proofErr w:type="spellEnd"/>
      <w:r w:rsidR="005E4903" w:rsidRPr="00705170">
        <w:rPr>
          <w:rFonts w:ascii="Times New Roman" w:hAnsi="Times New Roman" w:cs="Times New Roman"/>
          <w:b/>
        </w:rPr>
        <w:t xml:space="preserve"> U.S.</w:t>
      </w:r>
      <w:r w:rsidR="00544548" w:rsidRPr="00705170">
        <w:rPr>
          <w:rFonts w:ascii="Times New Roman" w:hAnsi="Times New Roman" w:cs="Times New Roman"/>
          <w:b/>
        </w:rPr>
        <w:tab/>
      </w:r>
    </w:p>
    <w:p w14:paraId="30115E49" w14:textId="720675BB" w:rsidR="005E4903" w:rsidRPr="00705170" w:rsidRDefault="00C01441" w:rsidP="008A08CB">
      <w:pPr>
        <w:spacing w:after="240" w:line="480" w:lineRule="auto"/>
        <w:ind w:firstLine="708"/>
        <w:rPr>
          <w:rFonts w:ascii="Times New Roman" w:hAnsi="Times New Roman" w:cs="Times New Roman"/>
          <w:b/>
          <w:color w:val="000000" w:themeColor="text1"/>
        </w:rPr>
      </w:pPr>
      <w:r>
        <w:rPr>
          <w:rFonts w:ascii="Times New Roman" w:hAnsi="Times New Roman" w:cs="Times New Roman"/>
          <w:b/>
          <w:color w:val="000000" w:themeColor="text1"/>
        </w:rPr>
        <w:t>4</w:t>
      </w:r>
      <w:r w:rsidR="005E4903" w:rsidRPr="00705170">
        <w:rPr>
          <w:rFonts w:ascii="Times New Roman" w:hAnsi="Times New Roman" w:cs="Times New Roman"/>
          <w:b/>
          <w:color w:val="000000" w:themeColor="text1"/>
        </w:rPr>
        <w:t xml:space="preserve">.2.1. </w:t>
      </w:r>
      <w:proofErr w:type="spellStart"/>
      <w:r w:rsidR="005E4903" w:rsidRPr="00705170">
        <w:rPr>
          <w:rFonts w:ascii="Times New Roman" w:hAnsi="Times New Roman" w:cs="Times New Roman"/>
          <w:b/>
          <w:color w:val="000000" w:themeColor="text1"/>
        </w:rPr>
        <w:t>Generally</w:t>
      </w:r>
      <w:proofErr w:type="spellEnd"/>
    </w:p>
    <w:p w14:paraId="2AC2C656" w14:textId="36C31BFD" w:rsidR="00956910" w:rsidRPr="00705170" w:rsidRDefault="0058456E" w:rsidP="00EC0031">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of U.S.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evolved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application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003D7888" w:rsidRPr="00705170">
        <w:rPr>
          <w:rFonts w:ascii="Times New Roman" w:hAnsi="Times New Roman" w:cs="Times New Roman"/>
        </w:rPr>
        <w:t>In</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the</w:t>
      </w:r>
      <w:proofErr w:type="spellEnd"/>
      <w:r w:rsidR="003D7888" w:rsidRPr="00705170">
        <w:rPr>
          <w:rFonts w:ascii="Times New Roman" w:hAnsi="Times New Roman" w:cs="Times New Roman"/>
        </w:rPr>
        <w:t xml:space="preserve"> U.S., “</w:t>
      </w:r>
      <w:proofErr w:type="spellStart"/>
      <w:r w:rsidR="003D7888" w:rsidRPr="00705170">
        <w:rPr>
          <w:rFonts w:ascii="Times New Roman" w:hAnsi="Times New Roman" w:cs="Times New Roman"/>
        </w:rPr>
        <w:t>oppression</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appears</w:t>
      </w:r>
      <w:proofErr w:type="spellEnd"/>
      <w:r w:rsidR="003D7888" w:rsidRPr="00705170">
        <w:rPr>
          <w:rFonts w:ascii="Times New Roman" w:hAnsi="Times New Roman" w:cs="Times New Roman"/>
        </w:rPr>
        <w:t xml:space="preserve"> as </w:t>
      </w:r>
      <w:proofErr w:type="spellStart"/>
      <w:r w:rsidR="003D7888" w:rsidRPr="00705170">
        <w:rPr>
          <w:rFonts w:ascii="Times New Roman" w:hAnsi="Times New Roman" w:cs="Times New Roman"/>
        </w:rPr>
        <w:t>one</w:t>
      </w:r>
      <w:proofErr w:type="spellEnd"/>
      <w:r w:rsidR="003D7888" w:rsidRPr="00705170">
        <w:rPr>
          <w:rFonts w:ascii="Times New Roman" w:hAnsi="Times New Roman" w:cs="Times New Roman"/>
        </w:rPr>
        <w:t xml:space="preserve"> of </w:t>
      </w:r>
      <w:proofErr w:type="spellStart"/>
      <w:r w:rsidR="003D7888" w:rsidRPr="00705170">
        <w:rPr>
          <w:rFonts w:ascii="Times New Roman" w:hAnsi="Times New Roman" w:cs="Times New Roman"/>
        </w:rPr>
        <w:t>the</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several</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grounds</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for</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involuntary</w:t>
      </w:r>
      <w:proofErr w:type="spellEnd"/>
      <w:r w:rsidR="00681D4E" w:rsidRPr="00705170">
        <w:rPr>
          <w:rFonts w:ascii="Times New Roman" w:hAnsi="Times New Roman" w:cs="Times New Roman"/>
        </w:rPr>
        <w:t xml:space="preserve"> </w:t>
      </w:r>
      <w:proofErr w:type="spellStart"/>
      <w:r w:rsidR="00681D4E" w:rsidRPr="00705170">
        <w:rPr>
          <w:rFonts w:ascii="Times New Roman" w:hAnsi="Times New Roman" w:cs="Times New Roman"/>
        </w:rPr>
        <w:t>or</w:t>
      </w:r>
      <w:proofErr w:type="spellEnd"/>
      <w:r w:rsidR="00681D4E" w:rsidRPr="00705170">
        <w:rPr>
          <w:rFonts w:ascii="Times New Roman" w:hAnsi="Times New Roman" w:cs="Times New Roman"/>
        </w:rPr>
        <w:t xml:space="preserve"> </w:t>
      </w:r>
      <w:proofErr w:type="spellStart"/>
      <w:r w:rsidR="00681D4E" w:rsidRPr="00705170">
        <w:rPr>
          <w:rFonts w:ascii="Times New Roman" w:hAnsi="Times New Roman" w:cs="Times New Roman"/>
        </w:rPr>
        <w:t>judicial</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dissolution</w:t>
      </w:r>
      <w:proofErr w:type="spellEnd"/>
      <w:r w:rsidR="0090435E" w:rsidRPr="00705170">
        <w:rPr>
          <w:rStyle w:val="DipnotBavurusu"/>
          <w:rFonts w:ascii="Times New Roman" w:hAnsi="Times New Roman" w:cs="Times New Roman"/>
        </w:rPr>
        <w:footnoteReference w:id="537"/>
      </w:r>
      <w:r w:rsidR="00CB2C4A" w:rsidRPr="00705170">
        <w:rPr>
          <w:rFonts w:ascii="Times New Roman" w:hAnsi="Times New Roman" w:cs="Times New Roman"/>
        </w:rPr>
        <w:t xml:space="preserve">, </w:t>
      </w:r>
      <w:proofErr w:type="spellStart"/>
      <w:r w:rsidR="00CB2C4A" w:rsidRPr="00705170">
        <w:rPr>
          <w:rFonts w:ascii="Times New Roman" w:hAnsi="Times New Roman" w:cs="Times New Roman"/>
        </w:rPr>
        <w:t>and</w:t>
      </w:r>
      <w:proofErr w:type="spellEnd"/>
      <w:r w:rsidR="00CB2C4A" w:rsidRPr="00705170">
        <w:rPr>
          <w:rFonts w:ascii="Times New Roman" w:hAnsi="Times New Roman" w:cs="Times New Roman"/>
        </w:rPr>
        <w:t xml:space="preserve"> in </w:t>
      </w:r>
      <w:proofErr w:type="spellStart"/>
      <w:r w:rsidR="00CB2C4A" w:rsidRPr="00705170">
        <w:rPr>
          <w:rFonts w:ascii="Times New Roman" w:hAnsi="Times New Roman" w:cs="Times New Roman"/>
        </w:rPr>
        <w:t>fact</w:t>
      </w:r>
      <w:proofErr w:type="spellEnd"/>
      <w:r w:rsidR="00CB2C4A" w:rsidRPr="00705170">
        <w:rPr>
          <w:rFonts w:ascii="Times New Roman" w:hAnsi="Times New Roman" w:cs="Times New Roman"/>
        </w:rPr>
        <w:t xml:space="preserve"> </w:t>
      </w:r>
      <w:proofErr w:type="spellStart"/>
      <w:r w:rsidR="00CB2C4A" w:rsidRPr="00705170">
        <w:rPr>
          <w:rFonts w:ascii="Times New Roman" w:hAnsi="Times New Roman" w:cs="Times New Roman"/>
        </w:rPr>
        <w:t>the</w:t>
      </w:r>
      <w:proofErr w:type="spellEnd"/>
      <w:r w:rsidR="00CB2C4A" w:rsidRPr="00705170">
        <w:rPr>
          <w:rFonts w:ascii="Times New Roman" w:hAnsi="Times New Roman" w:cs="Times New Roman"/>
        </w:rPr>
        <w:t xml:space="preserve"> </w:t>
      </w:r>
      <w:proofErr w:type="spellStart"/>
      <w:r w:rsidR="00CB2C4A" w:rsidRPr="00705170">
        <w:rPr>
          <w:rFonts w:ascii="Times New Roman" w:hAnsi="Times New Roman" w:cs="Times New Roman"/>
        </w:rPr>
        <w:t>most</w:t>
      </w:r>
      <w:proofErr w:type="spellEnd"/>
      <w:r w:rsidR="00CB2C4A" w:rsidRPr="00705170">
        <w:rPr>
          <w:rFonts w:ascii="Times New Roman" w:hAnsi="Times New Roman" w:cs="Times New Roman"/>
        </w:rPr>
        <w:t xml:space="preserve"> </w:t>
      </w:r>
      <w:proofErr w:type="spellStart"/>
      <w:r w:rsidR="00CB2C4A" w:rsidRPr="00705170">
        <w:rPr>
          <w:rFonts w:ascii="Times New Roman" w:hAnsi="Times New Roman" w:cs="Times New Roman"/>
        </w:rPr>
        <w:t>common</w:t>
      </w:r>
      <w:proofErr w:type="spellEnd"/>
      <w:r w:rsidR="00CB2C4A" w:rsidRPr="00705170">
        <w:rPr>
          <w:rFonts w:ascii="Times New Roman" w:hAnsi="Times New Roman" w:cs="Times New Roman"/>
        </w:rPr>
        <w:t xml:space="preserve"> </w:t>
      </w:r>
      <w:proofErr w:type="spellStart"/>
      <w:r w:rsidR="00CB2C4A" w:rsidRPr="00705170">
        <w:rPr>
          <w:rFonts w:ascii="Times New Roman" w:hAnsi="Times New Roman" w:cs="Times New Roman"/>
        </w:rPr>
        <w:t>ground</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implemented</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by</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state</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legislatures</w:t>
      </w:r>
      <w:proofErr w:type="spellEnd"/>
      <w:r w:rsidR="003D7888" w:rsidRPr="00705170">
        <w:rPr>
          <w:rStyle w:val="DipnotBavurusu"/>
          <w:rFonts w:ascii="Times New Roman" w:hAnsi="Times New Roman" w:cs="Times New Roman"/>
        </w:rPr>
        <w:footnoteReference w:id="538"/>
      </w:r>
      <w:r w:rsidR="003D7888" w:rsidRPr="00705170">
        <w:rPr>
          <w:rFonts w:ascii="Times New Roman" w:hAnsi="Times New Roman" w:cs="Times New Roman"/>
        </w:rPr>
        <w:t>.</w:t>
      </w:r>
      <w:r w:rsidR="00E54266" w:rsidRPr="00705170">
        <w:rPr>
          <w:rFonts w:ascii="Times New Roman" w:hAnsi="Times New Roman" w:cs="Times New Roman"/>
        </w:rPr>
        <w:t xml:space="preserve"> </w:t>
      </w:r>
      <w:proofErr w:type="spellStart"/>
      <w:r w:rsidR="00DF5927" w:rsidRPr="00705170">
        <w:rPr>
          <w:rFonts w:ascii="Times New Roman" w:hAnsi="Times New Roman" w:cs="Times New Roman"/>
        </w:rPr>
        <w:t>The</w:t>
      </w:r>
      <w:proofErr w:type="spellEnd"/>
      <w:r w:rsidR="00DF5927" w:rsidRPr="00705170">
        <w:rPr>
          <w:rFonts w:ascii="Times New Roman" w:hAnsi="Times New Roman" w:cs="Times New Roman"/>
        </w:rPr>
        <w:t xml:space="preserve"> MB</w:t>
      </w:r>
      <w:r w:rsidR="00204980" w:rsidRPr="00705170">
        <w:rPr>
          <w:rFonts w:ascii="Times New Roman" w:hAnsi="Times New Roman" w:cs="Times New Roman"/>
        </w:rPr>
        <w:t xml:space="preserve">CA, </w:t>
      </w:r>
      <w:proofErr w:type="spellStart"/>
      <w:r w:rsidR="00204980" w:rsidRPr="00705170">
        <w:rPr>
          <w:rFonts w:ascii="Times New Roman" w:hAnsi="Times New Roman" w:cs="Times New Roman"/>
        </w:rPr>
        <w:t>whose</w:t>
      </w:r>
      <w:proofErr w:type="spellEnd"/>
      <w:r w:rsidR="00204980" w:rsidRPr="00705170">
        <w:rPr>
          <w:rFonts w:ascii="Times New Roman" w:hAnsi="Times New Roman" w:cs="Times New Roman"/>
        </w:rPr>
        <w:t xml:space="preserve"> model </w:t>
      </w:r>
      <w:proofErr w:type="spellStart"/>
      <w:r w:rsidR="00204980" w:rsidRPr="00705170">
        <w:rPr>
          <w:rFonts w:ascii="Times New Roman" w:hAnsi="Times New Roman" w:cs="Times New Roman"/>
        </w:rPr>
        <w:t>acts</w:t>
      </w:r>
      <w:proofErr w:type="spellEnd"/>
      <w:r w:rsidR="00204980" w:rsidRPr="00705170">
        <w:rPr>
          <w:rFonts w:ascii="Times New Roman" w:hAnsi="Times New Roman" w:cs="Times New Roman"/>
        </w:rPr>
        <w:t xml:space="preserve"> </w:t>
      </w:r>
      <w:proofErr w:type="spellStart"/>
      <w:r w:rsidR="00204980" w:rsidRPr="00705170">
        <w:rPr>
          <w:rFonts w:ascii="Times New Roman" w:hAnsi="Times New Roman" w:cs="Times New Roman"/>
        </w:rPr>
        <w:t>are</w:t>
      </w:r>
      <w:proofErr w:type="spellEnd"/>
      <w:r w:rsidR="00204980" w:rsidRPr="00705170">
        <w:rPr>
          <w:rFonts w:ascii="Times New Roman" w:hAnsi="Times New Roman" w:cs="Times New Roman"/>
        </w:rPr>
        <w:t xml:space="preserve"> </w:t>
      </w:r>
      <w:proofErr w:type="spellStart"/>
      <w:r w:rsidR="00204980" w:rsidRPr="00705170">
        <w:rPr>
          <w:rFonts w:ascii="Times New Roman" w:hAnsi="Times New Roman" w:cs="Times New Roman"/>
        </w:rPr>
        <w:t>adopted</w:t>
      </w:r>
      <w:proofErr w:type="spellEnd"/>
      <w:r w:rsidR="00204980" w:rsidRPr="00705170">
        <w:rPr>
          <w:rFonts w:ascii="Times New Roman" w:hAnsi="Times New Roman" w:cs="Times New Roman"/>
        </w:rPr>
        <w:t xml:space="preserve"> in </w:t>
      </w:r>
      <w:proofErr w:type="spellStart"/>
      <w:r w:rsidR="00204980" w:rsidRPr="00705170">
        <w:rPr>
          <w:rFonts w:ascii="Times New Roman" w:hAnsi="Times New Roman" w:cs="Times New Roman"/>
        </w:rPr>
        <w:t>all</w:t>
      </w:r>
      <w:proofErr w:type="spellEnd"/>
      <w:r w:rsidR="00204980" w:rsidRPr="00705170">
        <w:rPr>
          <w:rFonts w:ascii="Times New Roman" w:hAnsi="Times New Roman" w:cs="Times New Roman"/>
        </w:rPr>
        <w:t xml:space="preserve"> </w:t>
      </w:r>
      <w:proofErr w:type="spellStart"/>
      <w:r w:rsidR="00204980" w:rsidRPr="00705170">
        <w:rPr>
          <w:rFonts w:ascii="Times New Roman" w:hAnsi="Times New Roman" w:cs="Times New Roman"/>
        </w:rPr>
        <w:t>or</w:t>
      </w:r>
      <w:proofErr w:type="spellEnd"/>
      <w:r w:rsidR="00204980" w:rsidRPr="00705170">
        <w:rPr>
          <w:rFonts w:ascii="Times New Roman" w:hAnsi="Times New Roman" w:cs="Times New Roman"/>
        </w:rPr>
        <w:t xml:space="preserve"> </w:t>
      </w:r>
      <w:proofErr w:type="spellStart"/>
      <w:r w:rsidR="00204980" w:rsidRPr="00705170">
        <w:rPr>
          <w:rFonts w:ascii="Times New Roman" w:hAnsi="Times New Roman" w:cs="Times New Roman"/>
        </w:rPr>
        <w:lastRenderedPageBreak/>
        <w:t>substantially</w:t>
      </w:r>
      <w:proofErr w:type="spellEnd"/>
      <w:r w:rsidR="00204980" w:rsidRPr="00705170">
        <w:rPr>
          <w:rFonts w:ascii="Times New Roman" w:hAnsi="Times New Roman" w:cs="Times New Roman"/>
        </w:rPr>
        <w:t xml:space="preserve"> </w:t>
      </w:r>
      <w:proofErr w:type="spellStart"/>
      <w:r w:rsidR="00204980" w:rsidRPr="00705170">
        <w:rPr>
          <w:rFonts w:ascii="Times New Roman" w:hAnsi="Times New Roman" w:cs="Times New Roman"/>
        </w:rPr>
        <w:t>by</w:t>
      </w:r>
      <w:proofErr w:type="spellEnd"/>
      <w:r w:rsidR="00204980" w:rsidRPr="00705170">
        <w:rPr>
          <w:rFonts w:ascii="Times New Roman" w:hAnsi="Times New Roman" w:cs="Times New Roman"/>
        </w:rPr>
        <w:t xml:space="preserve"> 29 </w:t>
      </w:r>
      <w:proofErr w:type="spellStart"/>
      <w:r w:rsidR="00204980" w:rsidRPr="00705170">
        <w:rPr>
          <w:rFonts w:ascii="Times New Roman" w:hAnsi="Times New Roman" w:cs="Times New Roman"/>
        </w:rPr>
        <w:t>states</w:t>
      </w:r>
      <w:proofErr w:type="spellEnd"/>
      <w:r w:rsidR="00204980" w:rsidRPr="00705170">
        <w:rPr>
          <w:rFonts w:ascii="Times New Roman" w:hAnsi="Times New Roman" w:cs="Times New Roman"/>
        </w:rPr>
        <w:t xml:space="preserve"> </w:t>
      </w:r>
      <w:proofErr w:type="spellStart"/>
      <w:r w:rsidR="00204980" w:rsidRPr="00705170">
        <w:rPr>
          <w:rFonts w:ascii="Times New Roman" w:hAnsi="Times New Roman" w:cs="Times New Roman"/>
        </w:rPr>
        <w:t>and</w:t>
      </w:r>
      <w:proofErr w:type="spellEnd"/>
      <w:r w:rsidR="00204980" w:rsidRPr="00705170">
        <w:rPr>
          <w:rFonts w:ascii="Times New Roman" w:hAnsi="Times New Roman" w:cs="Times New Roman"/>
        </w:rPr>
        <w:t xml:space="preserve"> </w:t>
      </w:r>
      <w:proofErr w:type="spellStart"/>
      <w:r w:rsidR="00204980" w:rsidRPr="00705170">
        <w:rPr>
          <w:rFonts w:ascii="Times New Roman" w:hAnsi="Times New Roman" w:cs="Times New Roman"/>
        </w:rPr>
        <w:t>its</w:t>
      </w:r>
      <w:proofErr w:type="spellEnd"/>
      <w:r w:rsidR="00204980" w:rsidRPr="00705170">
        <w:rPr>
          <w:rFonts w:ascii="Times New Roman" w:hAnsi="Times New Roman" w:cs="Times New Roman"/>
        </w:rPr>
        <w:t xml:space="preserve"> 1969 </w:t>
      </w:r>
      <w:proofErr w:type="spellStart"/>
      <w:r w:rsidR="00204980" w:rsidRPr="00705170">
        <w:rPr>
          <w:rFonts w:ascii="Times New Roman" w:hAnsi="Times New Roman" w:cs="Times New Roman"/>
        </w:rPr>
        <w:t>version</w:t>
      </w:r>
      <w:proofErr w:type="spellEnd"/>
      <w:r w:rsidR="00204980" w:rsidRPr="00705170">
        <w:rPr>
          <w:rFonts w:ascii="Times New Roman" w:hAnsi="Times New Roman" w:cs="Times New Roman"/>
        </w:rPr>
        <w:t xml:space="preserve"> </w:t>
      </w:r>
      <w:proofErr w:type="spellStart"/>
      <w:r w:rsidR="00204980" w:rsidRPr="00705170">
        <w:rPr>
          <w:rFonts w:ascii="Times New Roman" w:hAnsi="Times New Roman" w:cs="Times New Roman"/>
        </w:rPr>
        <w:t>by</w:t>
      </w:r>
      <w:proofErr w:type="spellEnd"/>
      <w:r w:rsidR="00204980" w:rsidRPr="00705170">
        <w:rPr>
          <w:rFonts w:ascii="Times New Roman" w:hAnsi="Times New Roman" w:cs="Times New Roman"/>
        </w:rPr>
        <w:t xml:space="preserve"> 4 </w:t>
      </w:r>
      <w:proofErr w:type="spellStart"/>
      <w:r w:rsidR="00204980" w:rsidRPr="00705170">
        <w:rPr>
          <w:rFonts w:ascii="Times New Roman" w:hAnsi="Times New Roman" w:cs="Times New Roman"/>
        </w:rPr>
        <w:t>states</w:t>
      </w:r>
      <w:proofErr w:type="spellEnd"/>
      <w:r w:rsidR="00EC0031" w:rsidRPr="00705170">
        <w:rPr>
          <w:rStyle w:val="DipnotBavurusu"/>
          <w:rFonts w:ascii="Times New Roman" w:hAnsi="Times New Roman" w:cs="Times New Roman"/>
        </w:rPr>
        <w:footnoteReference w:id="539"/>
      </w:r>
      <w:r w:rsidR="00204980" w:rsidRPr="00705170">
        <w:rPr>
          <w:rFonts w:ascii="Times New Roman" w:hAnsi="Times New Roman" w:cs="Times New Roman"/>
        </w:rPr>
        <w:t xml:space="preserve">, </w:t>
      </w:r>
      <w:proofErr w:type="spellStart"/>
      <w:r w:rsidR="00204980" w:rsidRPr="00705170">
        <w:rPr>
          <w:rFonts w:ascii="Times New Roman" w:hAnsi="Times New Roman" w:cs="Times New Roman"/>
        </w:rPr>
        <w:t>includes</w:t>
      </w:r>
      <w:proofErr w:type="spellEnd"/>
      <w:r w:rsidR="00204980" w:rsidRPr="00705170">
        <w:rPr>
          <w:rFonts w:ascii="Times New Roman" w:hAnsi="Times New Roman" w:cs="Times New Roman"/>
        </w:rPr>
        <w:t xml:space="preserve"> a </w:t>
      </w:r>
      <w:proofErr w:type="spellStart"/>
      <w:r w:rsidR="00204980" w:rsidRPr="00705170">
        <w:rPr>
          <w:rFonts w:ascii="Times New Roman" w:hAnsi="Times New Roman" w:cs="Times New Roman"/>
        </w:rPr>
        <w:t>provision</w:t>
      </w:r>
      <w:proofErr w:type="spellEnd"/>
      <w:r w:rsidR="00204980" w:rsidRPr="00705170">
        <w:rPr>
          <w:rFonts w:ascii="Times New Roman" w:hAnsi="Times New Roman" w:cs="Times New Roman"/>
        </w:rPr>
        <w:t xml:space="preserve"> on </w:t>
      </w:r>
      <w:proofErr w:type="spellStart"/>
      <w:r w:rsidR="00204980" w:rsidRPr="00705170">
        <w:rPr>
          <w:rFonts w:ascii="Times New Roman" w:hAnsi="Times New Roman" w:cs="Times New Roman"/>
        </w:rPr>
        <w:t>dissolution</w:t>
      </w:r>
      <w:proofErr w:type="spellEnd"/>
      <w:r w:rsidR="00204980" w:rsidRPr="00705170">
        <w:rPr>
          <w:rFonts w:ascii="Times New Roman" w:hAnsi="Times New Roman" w:cs="Times New Roman"/>
        </w:rPr>
        <w:t xml:space="preserve"> </w:t>
      </w:r>
      <w:proofErr w:type="spellStart"/>
      <w:r w:rsidR="00204980" w:rsidRPr="00705170">
        <w:rPr>
          <w:rFonts w:ascii="Times New Roman" w:hAnsi="Times New Roman" w:cs="Times New Roman"/>
        </w:rPr>
        <w:t>based</w:t>
      </w:r>
      <w:proofErr w:type="spellEnd"/>
      <w:r w:rsidR="00204980" w:rsidRPr="00705170">
        <w:rPr>
          <w:rFonts w:ascii="Times New Roman" w:hAnsi="Times New Roman" w:cs="Times New Roman"/>
        </w:rPr>
        <w:t xml:space="preserve"> on </w:t>
      </w:r>
      <w:proofErr w:type="spellStart"/>
      <w:r w:rsidR="00204980" w:rsidRPr="00705170">
        <w:rPr>
          <w:rFonts w:ascii="Times New Roman" w:hAnsi="Times New Roman" w:cs="Times New Roman"/>
        </w:rPr>
        <w:t>oppression</w:t>
      </w:r>
      <w:proofErr w:type="spellEnd"/>
      <w:r w:rsidR="00EC0031" w:rsidRPr="00705170">
        <w:rPr>
          <w:rStyle w:val="DipnotBavurusu"/>
          <w:rFonts w:ascii="Times New Roman" w:hAnsi="Times New Roman" w:cs="Times New Roman"/>
        </w:rPr>
        <w:footnoteReference w:id="540"/>
      </w:r>
      <w:r w:rsidR="00EC0031" w:rsidRPr="00705170">
        <w:rPr>
          <w:rFonts w:ascii="Times New Roman" w:hAnsi="Times New Roman" w:cs="Times New Roman"/>
        </w:rPr>
        <w:t>.</w:t>
      </w:r>
      <w:r w:rsidR="00204980" w:rsidRPr="00705170">
        <w:rPr>
          <w:rFonts w:ascii="Times New Roman" w:hAnsi="Times New Roman" w:cs="Times New Roman"/>
        </w:rPr>
        <w:t xml:space="preserve"> </w:t>
      </w:r>
      <w:proofErr w:type="spellStart"/>
      <w:r w:rsidR="00EC0031" w:rsidRPr="00705170">
        <w:rPr>
          <w:rFonts w:ascii="Times New Roman" w:hAnsi="Times New Roman" w:cs="Times New Roman"/>
        </w:rPr>
        <w:t>Historically</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o</w:t>
      </w:r>
      <w:r w:rsidR="00681D4E" w:rsidRPr="00705170">
        <w:rPr>
          <w:rFonts w:ascii="Times New Roman" w:hAnsi="Times New Roman" w:cs="Times New Roman"/>
        </w:rPr>
        <w:t>ppression</w:t>
      </w:r>
      <w:proofErr w:type="spellEnd"/>
      <w:r w:rsidR="00E54266" w:rsidRPr="00705170">
        <w:rPr>
          <w:rFonts w:ascii="Times New Roman" w:hAnsi="Times New Roman" w:cs="Times New Roman"/>
        </w:rPr>
        <w:t xml:space="preserve"> a </w:t>
      </w:r>
      <w:proofErr w:type="spellStart"/>
      <w:r w:rsidR="00E54266" w:rsidRPr="00705170">
        <w:rPr>
          <w:rFonts w:ascii="Times New Roman" w:hAnsi="Times New Roman" w:cs="Times New Roman"/>
        </w:rPr>
        <w:t>topic</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spoken</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by</w:t>
      </w:r>
      <w:proofErr w:type="spellEnd"/>
      <w:r w:rsidR="00E54266" w:rsidRPr="00705170">
        <w:rPr>
          <w:rFonts w:ascii="Times New Roman" w:hAnsi="Times New Roman" w:cs="Times New Roman"/>
        </w:rPr>
        <w:t xml:space="preserve"> U.S. </w:t>
      </w:r>
      <w:proofErr w:type="spellStart"/>
      <w:r w:rsidR="00E54266" w:rsidRPr="00705170">
        <w:rPr>
          <w:rFonts w:ascii="Times New Roman" w:hAnsi="Times New Roman" w:cs="Times New Roman"/>
        </w:rPr>
        <w:t>scholars</w:t>
      </w:r>
      <w:proofErr w:type="spellEnd"/>
      <w:r w:rsidR="00E54266" w:rsidRPr="00705170">
        <w:rPr>
          <w:rFonts w:ascii="Times New Roman" w:hAnsi="Times New Roman" w:cs="Times New Roman"/>
        </w:rPr>
        <w:t xml:space="preserve"> </w:t>
      </w:r>
      <w:proofErr w:type="spellStart"/>
      <w:r w:rsidR="00CB61EF" w:rsidRPr="00705170">
        <w:rPr>
          <w:rFonts w:ascii="Times New Roman" w:hAnsi="Times New Roman" w:cs="Times New Roman"/>
        </w:rPr>
        <w:t>and</w:t>
      </w:r>
      <w:proofErr w:type="spellEnd"/>
      <w:r w:rsidR="00CB61EF" w:rsidRPr="00705170">
        <w:rPr>
          <w:rFonts w:ascii="Times New Roman" w:hAnsi="Times New Roman" w:cs="Times New Roman"/>
        </w:rPr>
        <w:t xml:space="preserve"> </w:t>
      </w:r>
      <w:proofErr w:type="spellStart"/>
      <w:r w:rsidR="00CB61EF" w:rsidRPr="00705170">
        <w:rPr>
          <w:rFonts w:ascii="Times New Roman" w:hAnsi="Times New Roman" w:cs="Times New Roman"/>
        </w:rPr>
        <w:t>courts</w:t>
      </w:r>
      <w:proofErr w:type="spellEnd"/>
      <w:r w:rsidR="00CB61EF" w:rsidRPr="00705170">
        <w:rPr>
          <w:rFonts w:ascii="Times New Roman" w:hAnsi="Times New Roman" w:cs="Times New Roman"/>
        </w:rPr>
        <w:t xml:space="preserve"> </w:t>
      </w:r>
      <w:r w:rsidR="00E54266" w:rsidRPr="00705170">
        <w:rPr>
          <w:rFonts w:ascii="Times New Roman" w:hAnsi="Times New Roman" w:cs="Times New Roman"/>
        </w:rPr>
        <w:t>since 19</w:t>
      </w:r>
      <w:r w:rsidR="00E54266" w:rsidRPr="00705170">
        <w:rPr>
          <w:rFonts w:ascii="Times New Roman" w:hAnsi="Times New Roman" w:cs="Times New Roman"/>
          <w:vertAlign w:val="superscript"/>
        </w:rPr>
        <w:t>th</w:t>
      </w:r>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century</w:t>
      </w:r>
      <w:proofErr w:type="spellEnd"/>
      <w:r w:rsidR="00E54266" w:rsidRPr="00705170">
        <w:rPr>
          <w:rStyle w:val="DipnotBavurusu"/>
          <w:rFonts w:ascii="Times New Roman" w:hAnsi="Times New Roman" w:cs="Times New Roman"/>
        </w:rPr>
        <w:footnoteReference w:id="541"/>
      </w:r>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Probab</w:t>
      </w:r>
      <w:r w:rsidR="00956910" w:rsidRPr="00705170">
        <w:rPr>
          <w:rFonts w:ascii="Times New Roman" w:hAnsi="Times New Roman" w:cs="Times New Roman"/>
        </w:rPr>
        <w:t>ly</w:t>
      </w:r>
      <w:proofErr w:type="spellEnd"/>
      <w:r w:rsidR="00956910" w:rsidRPr="00705170">
        <w:rPr>
          <w:rFonts w:ascii="Times New Roman" w:hAnsi="Times New Roman" w:cs="Times New Roman"/>
        </w:rPr>
        <w:t xml:space="preserve">, </w:t>
      </w:r>
      <w:proofErr w:type="spellStart"/>
      <w:r w:rsidR="00956910" w:rsidRPr="00705170">
        <w:rPr>
          <w:rFonts w:ascii="Times New Roman" w:hAnsi="Times New Roman" w:cs="Times New Roman"/>
        </w:rPr>
        <w:t>this</w:t>
      </w:r>
      <w:proofErr w:type="spellEnd"/>
      <w:r w:rsidR="00956910" w:rsidRPr="00705170">
        <w:rPr>
          <w:rFonts w:ascii="Times New Roman" w:hAnsi="Times New Roman" w:cs="Times New Roman"/>
        </w:rPr>
        <w:t xml:space="preserve"> is not </w:t>
      </w:r>
      <w:proofErr w:type="spellStart"/>
      <w:r w:rsidR="00956910" w:rsidRPr="00705170">
        <w:rPr>
          <w:rFonts w:ascii="Times New Roman" w:hAnsi="Times New Roman" w:cs="Times New Roman"/>
        </w:rPr>
        <w:t>only</w:t>
      </w:r>
      <w:proofErr w:type="spellEnd"/>
      <w:r w:rsidR="00956910" w:rsidRPr="00705170">
        <w:rPr>
          <w:rFonts w:ascii="Times New Roman" w:hAnsi="Times New Roman" w:cs="Times New Roman"/>
        </w:rPr>
        <w:t xml:space="preserve"> </w:t>
      </w:r>
      <w:proofErr w:type="spellStart"/>
      <w:r w:rsidR="00956910" w:rsidRPr="00705170">
        <w:rPr>
          <w:rFonts w:ascii="Times New Roman" w:hAnsi="Times New Roman" w:cs="Times New Roman"/>
        </w:rPr>
        <w:t>because</w:t>
      </w:r>
      <w:proofErr w:type="spellEnd"/>
      <w:r w:rsidR="00956910" w:rsidRPr="00705170">
        <w:rPr>
          <w:rFonts w:ascii="Times New Roman" w:hAnsi="Times New Roman" w:cs="Times New Roman"/>
        </w:rPr>
        <w:t xml:space="preserve"> </w:t>
      </w:r>
      <w:proofErr w:type="spellStart"/>
      <w:r w:rsidR="00E54266" w:rsidRPr="00705170">
        <w:rPr>
          <w:rFonts w:ascii="Times New Roman" w:hAnsi="Times New Roman" w:cs="Times New Roman"/>
        </w:rPr>
        <w:t>the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cases</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grow</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out</w:t>
      </w:r>
      <w:proofErr w:type="spellEnd"/>
      <w:r w:rsidR="00E54266" w:rsidRPr="00705170">
        <w:rPr>
          <w:rFonts w:ascii="Times New Roman" w:hAnsi="Times New Roman" w:cs="Times New Roman"/>
        </w:rPr>
        <w:t xml:space="preserve"> of </w:t>
      </w:r>
      <w:proofErr w:type="spellStart"/>
      <w:r w:rsidR="00E54266" w:rsidRPr="00705170">
        <w:rPr>
          <w:rFonts w:ascii="Times New Roman" w:hAnsi="Times New Roman" w:cs="Times New Roman"/>
        </w:rPr>
        <w:t>the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business</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environment</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present</w:t>
      </w:r>
      <w:proofErr w:type="spellEnd"/>
      <w:r w:rsidR="00E54266" w:rsidRPr="00705170">
        <w:rPr>
          <w:rFonts w:ascii="Times New Roman" w:hAnsi="Times New Roman" w:cs="Times New Roman"/>
        </w:rPr>
        <w:t xml:space="preserve"> in </w:t>
      </w:r>
      <w:proofErr w:type="spellStart"/>
      <w:r w:rsidR="00E54266" w:rsidRPr="00705170">
        <w:rPr>
          <w:rFonts w:ascii="Times New Roman" w:hAnsi="Times New Roman" w:cs="Times New Roman"/>
        </w:rPr>
        <w:t>the</w:t>
      </w:r>
      <w:proofErr w:type="spellEnd"/>
      <w:r w:rsidR="00E54266" w:rsidRPr="00705170">
        <w:rPr>
          <w:rFonts w:ascii="Times New Roman" w:hAnsi="Times New Roman" w:cs="Times New Roman"/>
        </w:rPr>
        <w:t xml:space="preserve"> U.S.</w:t>
      </w:r>
      <w:r w:rsidR="00956910" w:rsidRPr="00705170">
        <w:rPr>
          <w:rFonts w:ascii="Times New Roman" w:hAnsi="Times New Roman" w:cs="Times New Roman"/>
        </w:rPr>
        <w:t>,</w:t>
      </w:r>
      <w:r w:rsidR="00E54266" w:rsidRPr="00705170">
        <w:rPr>
          <w:rFonts w:ascii="Times New Roman" w:hAnsi="Times New Roman" w:cs="Times New Roman"/>
        </w:rPr>
        <w:t xml:space="preserve"> but </w:t>
      </w:r>
      <w:proofErr w:type="spellStart"/>
      <w:r w:rsidR="00E54266" w:rsidRPr="00705170">
        <w:rPr>
          <w:rFonts w:ascii="Times New Roman" w:hAnsi="Times New Roman" w:cs="Times New Roman"/>
        </w:rPr>
        <w:t>also</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due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to</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the</w:t>
      </w:r>
      <w:proofErr w:type="spellEnd"/>
      <w:r w:rsidR="00E54266" w:rsidRPr="00705170">
        <w:rPr>
          <w:rFonts w:ascii="Times New Roman" w:hAnsi="Times New Roman" w:cs="Times New Roman"/>
        </w:rPr>
        <w:t xml:space="preserve"> legal </w:t>
      </w:r>
      <w:proofErr w:type="spellStart"/>
      <w:r w:rsidR="00E54266" w:rsidRPr="00705170">
        <w:rPr>
          <w:rFonts w:ascii="Times New Roman" w:hAnsi="Times New Roman" w:cs="Times New Roman"/>
        </w:rPr>
        <w:t>environment</w:t>
      </w:r>
      <w:proofErr w:type="spellEnd"/>
      <w:r w:rsidR="00E54266" w:rsidRPr="00705170">
        <w:rPr>
          <w:rFonts w:ascii="Times New Roman" w:hAnsi="Times New Roman" w:cs="Times New Roman"/>
        </w:rPr>
        <w:t xml:space="preserve"> in </w:t>
      </w:r>
      <w:proofErr w:type="spellStart"/>
      <w:r w:rsidR="00E54266" w:rsidRPr="00705170">
        <w:rPr>
          <w:rFonts w:ascii="Times New Roman" w:hAnsi="Times New Roman" w:cs="Times New Roman"/>
        </w:rPr>
        <w:t>the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country</w:t>
      </w:r>
      <w:proofErr w:type="spellEnd"/>
      <w:r w:rsidR="00E54266" w:rsidRPr="00705170">
        <w:rPr>
          <w:rFonts w:ascii="Times New Roman" w:hAnsi="Times New Roman" w:cs="Times New Roman"/>
        </w:rPr>
        <w:t xml:space="preserve">. As </w:t>
      </w:r>
      <w:proofErr w:type="spellStart"/>
      <w:r w:rsidR="00E54266" w:rsidRPr="00705170">
        <w:rPr>
          <w:rFonts w:ascii="Times New Roman" w:hAnsi="Times New Roman" w:cs="Times New Roman"/>
        </w:rPr>
        <w:t>Coffee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opines</w:t>
      </w:r>
      <w:proofErr w:type="spellEnd"/>
      <w:r w:rsidR="00E54266" w:rsidRPr="00705170">
        <w:rPr>
          <w:rFonts w:ascii="Times New Roman" w:hAnsi="Times New Roman" w:cs="Times New Roman"/>
        </w:rPr>
        <w:t>, “</w:t>
      </w:r>
      <w:proofErr w:type="spellStart"/>
      <w:r w:rsidR="00E54266" w:rsidRPr="00705170">
        <w:rPr>
          <w:rFonts w:ascii="Times New Roman" w:hAnsi="Times New Roman" w:cs="Times New Roman"/>
        </w:rPr>
        <w:t>to</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the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extent</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that</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American</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courts</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have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permitted</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greater</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contractual</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freedom</w:t>
      </w:r>
      <w:proofErr w:type="spellEnd"/>
      <w:r w:rsidR="00E54266" w:rsidRPr="00705170">
        <w:rPr>
          <w:rFonts w:ascii="Times New Roman" w:hAnsi="Times New Roman" w:cs="Times New Roman"/>
        </w:rPr>
        <w:t xml:space="preserve"> in </w:t>
      </w:r>
      <w:proofErr w:type="spellStart"/>
      <w:r w:rsidR="00E54266" w:rsidRPr="00705170">
        <w:rPr>
          <w:rFonts w:ascii="Times New Roman" w:hAnsi="Times New Roman" w:cs="Times New Roman"/>
        </w:rPr>
        <w:t>corporate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law</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their</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relative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tolerance</w:t>
      </w:r>
      <w:proofErr w:type="spellEnd"/>
      <w:r w:rsidR="00E54266" w:rsidRPr="00705170">
        <w:rPr>
          <w:rFonts w:ascii="Times New Roman" w:hAnsi="Times New Roman" w:cs="Times New Roman"/>
        </w:rPr>
        <w:t xml:space="preserve"> has </w:t>
      </w:r>
      <w:proofErr w:type="spellStart"/>
      <w:r w:rsidR="00E54266" w:rsidRPr="00705170">
        <w:rPr>
          <w:rFonts w:ascii="Times New Roman" w:hAnsi="Times New Roman" w:cs="Times New Roman"/>
        </w:rPr>
        <w:t>been</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coupled</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with</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greater</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judicial</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activism</w:t>
      </w:r>
      <w:proofErr w:type="spellEnd"/>
      <w:r w:rsidR="00E54266" w:rsidRPr="00705170">
        <w:rPr>
          <w:rFonts w:ascii="Times New Roman" w:hAnsi="Times New Roman" w:cs="Times New Roman"/>
        </w:rPr>
        <w:t xml:space="preserve"> in </w:t>
      </w:r>
      <w:proofErr w:type="spellStart"/>
      <w:r w:rsidR="00E54266" w:rsidRPr="00705170">
        <w:rPr>
          <w:rFonts w:ascii="Times New Roman" w:hAnsi="Times New Roman" w:cs="Times New Roman"/>
        </w:rPr>
        <w:t>reading</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implied</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terms</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into</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the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co</w:t>
      </w:r>
      <w:r w:rsidR="00956910" w:rsidRPr="00705170">
        <w:rPr>
          <w:rFonts w:ascii="Times New Roman" w:hAnsi="Times New Roman" w:cs="Times New Roman"/>
        </w:rPr>
        <w:t>rporate</w:t>
      </w:r>
      <w:proofErr w:type="spellEnd"/>
      <w:r w:rsidR="00956910" w:rsidRPr="00705170">
        <w:rPr>
          <w:rFonts w:ascii="Times New Roman" w:hAnsi="Times New Roman" w:cs="Times New Roman"/>
        </w:rPr>
        <w:t xml:space="preserve"> </w:t>
      </w:r>
      <w:proofErr w:type="spellStart"/>
      <w:r w:rsidR="00956910" w:rsidRPr="00705170">
        <w:rPr>
          <w:rFonts w:ascii="Times New Roman" w:hAnsi="Times New Roman" w:cs="Times New Roman"/>
        </w:rPr>
        <w:t>contract</w:t>
      </w:r>
      <w:proofErr w:type="spellEnd"/>
      <w:r w:rsidR="00956910" w:rsidRPr="00705170">
        <w:rPr>
          <w:rFonts w:ascii="Times New Roman" w:hAnsi="Times New Roman" w:cs="Times New Roman"/>
        </w:rPr>
        <w:t xml:space="preserve"> </w:t>
      </w:r>
      <w:proofErr w:type="spellStart"/>
      <w:r w:rsidR="00956910" w:rsidRPr="00705170">
        <w:rPr>
          <w:rFonts w:ascii="Times New Roman" w:hAnsi="Times New Roman" w:cs="Times New Roman"/>
        </w:rPr>
        <w:t>and</w:t>
      </w:r>
      <w:proofErr w:type="spellEnd"/>
      <w:r w:rsidR="00956910" w:rsidRPr="00705170">
        <w:rPr>
          <w:rFonts w:ascii="Times New Roman" w:hAnsi="Times New Roman" w:cs="Times New Roman"/>
        </w:rPr>
        <w:t xml:space="preserve"> in </w:t>
      </w:r>
      <w:proofErr w:type="spellStart"/>
      <w:r w:rsidR="00956910" w:rsidRPr="00705170">
        <w:rPr>
          <w:rFonts w:ascii="Times New Roman" w:hAnsi="Times New Roman" w:cs="Times New Roman"/>
        </w:rPr>
        <w:t>monitori</w:t>
      </w:r>
      <w:r w:rsidR="00E54266" w:rsidRPr="00705170">
        <w:rPr>
          <w:rFonts w:ascii="Times New Roman" w:hAnsi="Times New Roman" w:cs="Times New Roman"/>
        </w:rPr>
        <w:t>ng</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for</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opportunism</w:t>
      </w:r>
      <w:proofErr w:type="spellEnd"/>
      <w:r w:rsidR="00E54266" w:rsidRPr="00705170">
        <w:rPr>
          <w:rFonts w:ascii="Times New Roman" w:hAnsi="Times New Roman" w:cs="Times New Roman"/>
        </w:rPr>
        <w:t>”</w:t>
      </w:r>
      <w:r w:rsidR="00E54266" w:rsidRPr="00705170">
        <w:rPr>
          <w:rStyle w:val="DipnotBavurusu"/>
          <w:rFonts w:ascii="Times New Roman" w:hAnsi="Times New Roman" w:cs="Times New Roman"/>
        </w:rPr>
        <w:footnoteReference w:id="542"/>
      </w:r>
      <w:r w:rsidR="00E54266" w:rsidRPr="00705170">
        <w:rPr>
          <w:rFonts w:ascii="Times New Roman" w:hAnsi="Times New Roman" w:cs="Times New Roman"/>
        </w:rPr>
        <w:t xml:space="preserve">. </w:t>
      </w:r>
    </w:p>
    <w:p w14:paraId="7DFC025E" w14:textId="091DC92C" w:rsidR="005105AB" w:rsidRPr="00705170" w:rsidRDefault="00956910" w:rsidP="00E54266">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w:t>
      </w:r>
      <w:r w:rsidR="00E54266" w:rsidRPr="00705170">
        <w:rPr>
          <w:rFonts w:ascii="Times New Roman" w:hAnsi="Times New Roman" w:cs="Times New Roman"/>
        </w:rPr>
        <w:t>he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statutory</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provisions</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remed</w:t>
      </w:r>
      <w:r w:rsidR="00EC0031" w:rsidRPr="00705170">
        <w:rPr>
          <w:rFonts w:ascii="Times New Roman" w:hAnsi="Times New Roman" w:cs="Times New Roman"/>
        </w:rPr>
        <w:t>ying</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shareholder</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oppression</w:t>
      </w:r>
      <w:proofErr w:type="spellEnd"/>
      <w:r w:rsidR="00E54266" w:rsidRPr="00705170">
        <w:rPr>
          <w:rFonts w:ascii="Times New Roman" w:hAnsi="Times New Roman" w:cs="Times New Roman"/>
        </w:rPr>
        <w:t xml:space="preserve"> has a </w:t>
      </w:r>
      <w:proofErr w:type="spellStart"/>
      <w:r w:rsidR="00E54266" w:rsidRPr="00705170">
        <w:rPr>
          <w:rFonts w:ascii="Times New Roman" w:hAnsi="Times New Roman" w:cs="Times New Roman"/>
        </w:rPr>
        <w:t>long</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history</w:t>
      </w:r>
      <w:proofErr w:type="spellEnd"/>
      <w:r w:rsidR="00B43CE5" w:rsidRPr="00705170">
        <w:rPr>
          <w:rStyle w:val="DipnotBavurusu"/>
          <w:rFonts w:ascii="Times New Roman" w:hAnsi="Times New Roman" w:cs="Times New Roman"/>
        </w:rPr>
        <w:footnoteReference w:id="543"/>
      </w:r>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Although</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Illionis</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and</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Pennsylvania’s</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are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often</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noted</w:t>
      </w:r>
      <w:proofErr w:type="spellEnd"/>
      <w:r w:rsidR="00E54266" w:rsidRPr="00705170">
        <w:rPr>
          <w:rFonts w:ascii="Times New Roman" w:hAnsi="Times New Roman" w:cs="Times New Roman"/>
        </w:rPr>
        <w:t xml:space="preserve"> as </w:t>
      </w:r>
      <w:proofErr w:type="spellStart"/>
      <w:r w:rsidR="00E54266" w:rsidRPr="00705170">
        <w:rPr>
          <w:rFonts w:ascii="Times New Roman" w:hAnsi="Times New Roman" w:cs="Times New Roman"/>
        </w:rPr>
        <w:t>the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first</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states</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to</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include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oppression</w:t>
      </w:r>
      <w:proofErr w:type="spellEnd"/>
      <w:r w:rsidR="00E54266" w:rsidRPr="00705170">
        <w:rPr>
          <w:rFonts w:ascii="Times New Roman" w:hAnsi="Times New Roman" w:cs="Times New Roman"/>
        </w:rPr>
        <w:t xml:space="preserve">” as a </w:t>
      </w:r>
      <w:proofErr w:type="spellStart"/>
      <w:r w:rsidR="00E54266" w:rsidRPr="00705170">
        <w:rPr>
          <w:rFonts w:ascii="Times New Roman" w:hAnsi="Times New Roman" w:cs="Times New Roman"/>
        </w:rPr>
        <w:t>ground</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for</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dissolution</w:t>
      </w:r>
      <w:proofErr w:type="spellEnd"/>
      <w:r w:rsidR="00E54266" w:rsidRPr="00705170">
        <w:rPr>
          <w:rFonts w:ascii="Times New Roman" w:hAnsi="Times New Roman" w:cs="Times New Roman"/>
        </w:rPr>
        <w:t xml:space="preserve"> in </w:t>
      </w:r>
      <w:proofErr w:type="spellStart"/>
      <w:r w:rsidR="00E54266" w:rsidRPr="00705170">
        <w:rPr>
          <w:rFonts w:ascii="Times New Roman" w:hAnsi="Times New Roman" w:cs="Times New Roman"/>
        </w:rPr>
        <w:t>their</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statutes</w:t>
      </w:r>
      <w:proofErr w:type="spellEnd"/>
      <w:r w:rsidR="00E54266" w:rsidRPr="00705170">
        <w:rPr>
          <w:rFonts w:ascii="Times New Roman" w:hAnsi="Times New Roman" w:cs="Times New Roman"/>
        </w:rPr>
        <w:t xml:space="preserve"> in 1933, a California </w:t>
      </w:r>
      <w:proofErr w:type="spellStart"/>
      <w:r w:rsidR="00E54266" w:rsidRPr="00705170">
        <w:rPr>
          <w:rFonts w:ascii="Times New Roman" w:hAnsi="Times New Roman" w:cs="Times New Roman"/>
        </w:rPr>
        <w:t>statute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authorized</w:t>
      </w:r>
      <w:proofErr w:type="spellEnd"/>
      <w:r w:rsidR="00E54266" w:rsidRPr="00705170">
        <w:rPr>
          <w:rFonts w:ascii="Times New Roman" w:hAnsi="Times New Roman" w:cs="Times New Roman"/>
        </w:rPr>
        <w:t xml:space="preserve"> a </w:t>
      </w:r>
      <w:proofErr w:type="spellStart"/>
      <w:r w:rsidR="00E54266" w:rsidRPr="00705170">
        <w:rPr>
          <w:rFonts w:ascii="Times New Roman" w:hAnsi="Times New Roman" w:cs="Times New Roman"/>
        </w:rPr>
        <w:t>petition</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for</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dissolution</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if</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the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directors</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or</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those</w:t>
      </w:r>
      <w:proofErr w:type="spellEnd"/>
      <w:r w:rsidR="00E54266" w:rsidRPr="00705170">
        <w:rPr>
          <w:rFonts w:ascii="Times New Roman" w:hAnsi="Times New Roman" w:cs="Times New Roman"/>
        </w:rPr>
        <w:t xml:space="preserve"> in </w:t>
      </w:r>
      <w:proofErr w:type="spellStart"/>
      <w:r w:rsidR="00E54266" w:rsidRPr="00705170">
        <w:rPr>
          <w:rFonts w:ascii="Times New Roman" w:hAnsi="Times New Roman" w:cs="Times New Roman"/>
        </w:rPr>
        <w:t>control</w:t>
      </w:r>
      <w:proofErr w:type="spellEnd"/>
      <w:r w:rsidR="00E54266" w:rsidRPr="00705170">
        <w:rPr>
          <w:rFonts w:ascii="Times New Roman" w:hAnsi="Times New Roman" w:cs="Times New Roman"/>
        </w:rPr>
        <w:t xml:space="preserve"> of </w:t>
      </w:r>
      <w:proofErr w:type="spellStart"/>
      <w:r w:rsidR="00E54266" w:rsidRPr="00705170">
        <w:rPr>
          <w:rFonts w:ascii="Times New Roman" w:hAnsi="Times New Roman" w:cs="Times New Roman"/>
        </w:rPr>
        <w:t>the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corporation</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have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been</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guilty</w:t>
      </w:r>
      <w:proofErr w:type="spellEnd"/>
      <w:r w:rsidR="00E54266" w:rsidRPr="00705170">
        <w:rPr>
          <w:rFonts w:ascii="Times New Roman" w:hAnsi="Times New Roman" w:cs="Times New Roman"/>
        </w:rPr>
        <w:t xml:space="preserve"> of </w:t>
      </w:r>
      <w:r w:rsidR="00315293" w:rsidRPr="00705170">
        <w:rPr>
          <w:rFonts w:ascii="Times New Roman" w:hAnsi="Times New Roman" w:cs="Times New Roman"/>
        </w:rPr>
        <w:t>“</w:t>
      </w:r>
      <w:proofErr w:type="spellStart"/>
      <w:r w:rsidR="00E54266" w:rsidRPr="00705170">
        <w:rPr>
          <w:rFonts w:ascii="Times New Roman" w:hAnsi="Times New Roman" w:cs="Times New Roman"/>
        </w:rPr>
        <w:t>persistent</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unfairness</w:t>
      </w:r>
      <w:proofErr w:type="spellEnd"/>
      <w:r w:rsidR="00315293" w:rsidRPr="00705170">
        <w:rPr>
          <w:rFonts w:ascii="Times New Roman" w:hAnsi="Times New Roman" w:cs="Times New Roman"/>
        </w:rPr>
        <w:t>”</w:t>
      </w:r>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towards</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minority</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shareholders</w:t>
      </w:r>
      <w:proofErr w:type="spellEnd"/>
      <w:r w:rsidR="00E54266" w:rsidRPr="00705170">
        <w:rPr>
          <w:rFonts w:ascii="Times New Roman" w:hAnsi="Times New Roman" w:cs="Times New Roman"/>
        </w:rPr>
        <w:t xml:space="preserve"> in 1931</w:t>
      </w:r>
      <w:r w:rsidR="00E54266" w:rsidRPr="00705170">
        <w:rPr>
          <w:rStyle w:val="DipnotBavurusu"/>
          <w:rFonts w:ascii="Times New Roman" w:hAnsi="Times New Roman" w:cs="Times New Roman"/>
        </w:rPr>
        <w:footnoteReference w:id="544"/>
      </w:r>
      <w:r w:rsidR="00E54266" w:rsidRPr="00705170">
        <w:rPr>
          <w:rFonts w:ascii="Times New Roman" w:hAnsi="Times New Roman" w:cs="Times New Roman"/>
        </w:rPr>
        <w:t xml:space="preserve">. </w:t>
      </w:r>
      <w:r w:rsidR="00851C4F" w:rsidRPr="00705170">
        <w:rPr>
          <w:rFonts w:ascii="Times New Roman" w:hAnsi="Times New Roman" w:cs="Times New Roman"/>
        </w:rPr>
        <w:t xml:space="preserve">On </w:t>
      </w:r>
      <w:proofErr w:type="spellStart"/>
      <w:r w:rsidR="00851C4F" w:rsidRPr="00705170">
        <w:rPr>
          <w:rFonts w:ascii="Times New Roman" w:hAnsi="Times New Roman" w:cs="Times New Roman"/>
        </w:rPr>
        <w:t>the</w:t>
      </w:r>
      <w:proofErr w:type="spellEnd"/>
      <w:r w:rsidR="00851C4F" w:rsidRPr="00705170">
        <w:rPr>
          <w:rFonts w:ascii="Times New Roman" w:hAnsi="Times New Roman" w:cs="Times New Roman"/>
        </w:rPr>
        <w:t xml:space="preserve"> </w:t>
      </w:r>
      <w:proofErr w:type="spellStart"/>
      <w:r w:rsidR="00851C4F" w:rsidRPr="00705170">
        <w:rPr>
          <w:rFonts w:ascii="Times New Roman" w:hAnsi="Times New Roman" w:cs="Times New Roman"/>
        </w:rPr>
        <w:t>other</w:t>
      </w:r>
      <w:proofErr w:type="spellEnd"/>
      <w:r w:rsidR="00851C4F" w:rsidRPr="00705170">
        <w:rPr>
          <w:rFonts w:ascii="Times New Roman" w:hAnsi="Times New Roman" w:cs="Times New Roman"/>
        </w:rPr>
        <w:t xml:space="preserve"> </w:t>
      </w:r>
      <w:proofErr w:type="spellStart"/>
      <w:r w:rsidR="00851C4F" w:rsidRPr="00705170">
        <w:rPr>
          <w:rFonts w:ascii="Times New Roman" w:hAnsi="Times New Roman" w:cs="Times New Roman"/>
        </w:rPr>
        <w:t>hand</w:t>
      </w:r>
      <w:proofErr w:type="spellEnd"/>
      <w:r w:rsidR="00851C4F" w:rsidRPr="00705170">
        <w:rPr>
          <w:rFonts w:ascii="Times New Roman" w:hAnsi="Times New Roman" w:cs="Times New Roman"/>
        </w:rPr>
        <w:t xml:space="preserve">, </w:t>
      </w:r>
      <w:proofErr w:type="spellStart"/>
      <w:r w:rsidR="00851C4F" w:rsidRPr="00705170">
        <w:rPr>
          <w:rFonts w:ascii="Times New Roman" w:hAnsi="Times New Roman" w:cs="Times New Roman"/>
        </w:rPr>
        <w:t>the</w:t>
      </w:r>
      <w:proofErr w:type="spellEnd"/>
      <w:r w:rsidR="00851C4F" w:rsidRPr="00705170">
        <w:rPr>
          <w:rFonts w:ascii="Times New Roman" w:hAnsi="Times New Roman" w:cs="Times New Roman"/>
        </w:rPr>
        <w:t xml:space="preserve"> Model Business Corporation </w:t>
      </w:r>
      <w:proofErr w:type="spellStart"/>
      <w:r w:rsidR="00851C4F" w:rsidRPr="00705170">
        <w:rPr>
          <w:rFonts w:ascii="Times New Roman" w:hAnsi="Times New Roman" w:cs="Times New Roman"/>
        </w:rPr>
        <w:t>Act</w:t>
      </w:r>
      <w:proofErr w:type="spellEnd"/>
      <w:r w:rsidR="00851C4F" w:rsidRPr="00705170">
        <w:rPr>
          <w:rFonts w:ascii="Times New Roman" w:hAnsi="Times New Roman" w:cs="Times New Roman"/>
        </w:rPr>
        <w:t xml:space="preserve"> </w:t>
      </w:r>
      <w:proofErr w:type="spellStart"/>
      <w:r w:rsidR="00851C4F" w:rsidRPr="00705170">
        <w:rPr>
          <w:rFonts w:ascii="Times New Roman" w:hAnsi="Times New Roman" w:cs="Times New Roman"/>
        </w:rPr>
        <w:t>included</w:t>
      </w:r>
      <w:proofErr w:type="spellEnd"/>
      <w:r w:rsidR="00851C4F" w:rsidRPr="00705170">
        <w:rPr>
          <w:rFonts w:ascii="Times New Roman" w:hAnsi="Times New Roman" w:cs="Times New Roman"/>
        </w:rPr>
        <w:t xml:space="preserve"> </w:t>
      </w:r>
      <w:proofErr w:type="spellStart"/>
      <w:r w:rsidR="00851C4F" w:rsidRPr="00705170">
        <w:rPr>
          <w:rFonts w:ascii="Times New Roman" w:hAnsi="Times New Roman" w:cs="Times New Roman"/>
        </w:rPr>
        <w:t>oppression</w:t>
      </w:r>
      <w:proofErr w:type="spellEnd"/>
      <w:r w:rsidR="00851C4F" w:rsidRPr="00705170">
        <w:rPr>
          <w:rFonts w:ascii="Times New Roman" w:hAnsi="Times New Roman" w:cs="Times New Roman"/>
        </w:rPr>
        <w:t xml:space="preserve"> as a </w:t>
      </w:r>
      <w:proofErr w:type="spellStart"/>
      <w:r w:rsidR="00851C4F" w:rsidRPr="00705170">
        <w:rPr>
          <w:rFonts w:ascii="Times New Roman" w:hAnsi="Times New Roman" w:cs="Times New Roman"/>
        </w:rPr>
        <w:t>ground</w:t>
      </w:r>
      <w:proofErr w:type="spellEnd"/>
      <w:r w:rsidR="00851C4F" w:rsidRPr="00705170">
        <w:rPr>
          <w:rFonts w:ascii="Times New Roman" w:hAnsi="Times New Roman" w:cs="Times New Roman"/>
        </w:rPr>
        <w:t xml:space="preserve"> </w:t>
      </w:r>
      <w:proofErr w:type="spellStart"/>
      <w:r w:rsidR="00851C4F" w:rsidRPr="00705170">
        <w:rPr>
          <w:rFonts w:ascii="Times New Roman" w:hAnsi="Times New Roman" w:cs="Times New Roman"/>
        </w:rPr>
        <w:t>by</w:t>
      </w:r>
      <w:proofErr w:type="spellEnd"/>
      <w:r w:rsidR="00851C4F" w:rsidRPr="00705170">
        <w:rPr>
          <w:rFonts w:ascii="Times New Roman" w:hAnsi="Times New Roman" w:cs="Times New Roman"/>
        </w:rPr>
        <w:t xml:space="preserve"> 1950</w:t>
      </w:r>
      <w:r w:rsidR="00851C4F" w:rsidRPr="00705170">
        <w:rPr>
          <w:rStyle w:val="DipnotBavurusu"/>
          <w:rFonts w:ascii="Times New Roman" w:hAnsi="Times New Roman" w:cs="Times New Roman"/>
        </w:rPr>
        <w:footnoteReference w:id="545"/>
      </w:r>
      <w:r w:rsidR="00851C4F" w:rsidRPr="00705170">
        <w:rPr>
          <w:rFonts w:ascii="Times New Roman" w:hAnsi="Times New Roman" w:cs="Times New Roman"/>
        </w:rPr>
        <w:t xml:space="preserve">. </w:t>
      </w:r>
      <w:proofErr w:type="spellStart"/>
      <w:r w:rsidR="00851C4F" w:rsidRPr="00705170">
        <w:rPr>
          <w:rFonts w:ascii="Times New Roman" w:hAnsi="Times New Roman" w:cs="Times New Roman"/>
        </w:rPr>
        <w:t>These</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being</w:t>
      </w:r>
      <w:proofErr w:type="spellEnd"/>
      <w:r w:rsidR="00E54266" w:rsidRPr="00705170">
        <w:rPr>
          <w:rFonts w:ascii="Times New Roman" w:hAnsi="Times New Roman" w:cs="Times New Roman"/>
        </w:rPr>
        <w:t xml:space="preserve"> </w:t>
      </w:r>
      <w:proofErr w:type="spellStart"/>
      <w:r w:rsidR="00E54266" w:rsidRPr="00705170">
        <w:rPr>
          <w:rFonts w:ascii="Times New Roman" w:hAnsi="Times New Roman" w:cs="Times New Roman"/>
        </w:rPr>
        <w:t>said</w:t>
      </w:r>
      <w:proofErr w:type="spellEnd"/>
      <w:r w:rsidR="00E54266" w:rsidRPr="00705170">
        <w:rPr>
          <w:rFonts w:ascii="Times New Roman" w:hAnsi="Times New Roman" w:cs="Times New Roman"/>
        </w:rPr>
        <w:t xml:space="preserve">, Illinois </w:t>
      </w:r>
      <w:proofErr w:type="spellStart"/>
      <w:r w:rsidR="003D7888" w:rsidRPr="00705170">
        <w:rPr>
          <w:rFonts w:ascii="Times New Roman" w:hAnsi="Times New Roman" w:cs="Times New Roman"/>
        </w:rPr>
        <w:t>led</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the</w:t>
      </w:r>
      <w:proofErr w:type="spellEnd"/>
      <w:r w:rsidR="003D7888" w:rsidRPr="00705170">
        <w:rPr>
          <w:rFonts w:ascii="Times New Roman" w:hAnsi="Times New Roman" w:cs="Times New Roman"/>
        </w:rPr>
        <w:t xml:space="preserve"> U.S. in </w:t>
      </w:r>
      <w:proofErr w:type="spellStart"/>
      <w:r w:rsidR="003D7888" w:rsidRPr="00705170">
        <w:rPr>
          <w:rFonts w:ascii="Times New Roman" w:hAnsi="Times New Roman" w:cs="Times New Roman"/>
        </w:rPr>
        <w:t>developing</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the</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conception</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until</w:t>
      </w:r>
      <w:proofErr w:type="spellEnd"/>
      <w:r w:rsidR="003D7888" w:rsidRPr="00705170">
        <w:rPr>
          <w:rFonts w:ascii="Times New Roman" w:hAnsi="Times New Roman" w:cs="Times New Roman"/>
        </w:rPr>
        <w:t xml:space="preserve"> 1980s, </w:t>
      </w:r>
      <w:proofErr w:type="spellStart"/>
      <w:r w:rsidR="003D7888" w:rsidRPr="00705170">
        <w:rPr>
          <w:rFonts w:ascii="Times New Roman" w:hAnsi="Times New Roman" w:cs="Times New Roman"/>
        </w:rPr>
        <w:t>and</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then</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handed</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over</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the</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reins</w:t>
      </w:r>
      <w:proofErr w:type="spellEnd"/>
      <w:r w:rsidR="003D7888" w:rsidRPr="00705170">
        <w:rPr>
          <w:rFonts w:ascii="Times New Roman" w:hAnsi="Times New Roman" w:cs="Times New Roman"/>
        </w:rPr>
        <w:t xml:space="preserve"> </w:t>
      </w:r>
      <w:proofErr w:type="spellStart"/>
      <w:r w:rsidR="003D7888" w:rsidRPr="00705170">
        <w:rPr>
          <w:rFonts w:ascii="Times New Roman" w:hAnsi="Times New Roman" w:cs="Times New Roman"/>
        </w:rPr>
        <w:t>to</w:t>
      </w:r>
      <w:proofErr w:type="spellEnd"/>
      <w:r w:rsidR="003D7888" w:rsidRPr="00705170">
        <w:rPr>
          <w:rFonts w:ascii="Times New Roman" w:hAnsi="Times New Roman" w:cs="Times New Roman"/>
        </w:rPr>
        <w:t xml:space="preserve"> New York</w:t>
      </w:r>
      <w:r w:rsidR="003D7888" w:rsidRPr="00705170">
        <w:rPr>
          <w:rStyle w:val="DipnotBavurusu"/>
          <w:rFonts w:ascii="Times New Roman" w:hAnsi="Times New Roman" w:cs="Times New Roman"/>
        </w:rPr>
        <w:footnoteReference w:id="546"/>
      </w:r>
      <w:r w:rsidR="003D7888" w:rsidRPr="00705170">
        <w:rPr>
          <w:rFonts w:ascii="Times New Roman" w:hAnsi="Times New Roman" w:cs="Times New Roman"/>
        </w:rPr>
        <w:t>.</w:t>
      </w:r>
      <w:r w:rsidR="00BB4E91" w:rsidRPr="00705170">
        <w:rPr>
          <w:rFonts w:ascii="Times New Roman" w:hAnsi="Times New Roman" w:cs="Times New Roman"/>
        </w:rPr>
        <w:t xml:space="preserve"> </w:t>
      </w:r>
      <w:proofErr w:type="spellStart"/>
      <w:r w:rsidR="00EC0031" w:rsidRPr="00705170">
        <w:rPr>
          <w:rFonts w:ascii="Times New Roman" w:hAnsi="Times New Roman" w:cs="Times New Roman"/>
        </w:rPr>
        <w:t>Corollary</w:t>
      </w:r>
      <w:proofErr w:type="spellEnd"/>
      <w:r w:rsidR="00EC0031" w:rsidRPr="00705170">
        <w:rPr>
          <w:rFonts w:ascii="Times New Roman" w:hAnsi="Times New Roman" w:cs="Times New Roman"/>
        </w:rPr>
        <w:t xml:space="preserve">, it is not </w:t>
      </w:r>
      <w:proofErr w:type="spellStart"/>
      <w:r w:rsidR="00EC0031" w:rsidRPr="00705170">
        <w:rPr>
          <w:rFonts w:ascii="Times New Roman" w:hAnsi="Times New Roman" w:cs="Times New Roman"/>
        </w:rPr>
        <w:lastRenderedPageBreak/>
        <w:t>surprising</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to</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see</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that</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courts</w:t>
      </w:r>
      <w:proofErr w:type="spellEnd"/>
      <w:r w:rsidR="00EC0031" w:rsidRPr="00705170">
        <w:rPr>
          <w:rFonts w:ascii="Times New Roman" w:hAnsi="Times New Roman" w:cs="Times New Roman"/>
        </w:rPr>
        <w:t xml:space="preserve"> of </w:t>
      </w:r>
      <w:proofErr w:type="spellStart"/>
      <w:r w:rsidR="00EC0031" w:rsidRPr="00705170">
        <w:rPr>
          <w:rFonts w:ascii="Times New Roman" w:hAnsi="Times New Roman" w:cs="Times New Roman"/>
        </w:rPr>
        <w:t>states</w:t>
      </w:r>
      <w:proofErr w:type="spellEnd"/>
      <w:r w:rsidR="00EC0031" w:rsidRPr="00705170">
        <w:rPr>
          <w:rFonts w:ascii="Times New Roman" w:hAnsi="Times New Roman" w:cs="Times New Roman"/>
        </w:rPr>
        <w:t xml:space="preserve"> in </w:t>
      </w:r>
      <w:proofErr w:type="spellStart"/>
      <w:r w:rsidR="00EC0031" w:rsidRPr="00705170">
        <w:rPr>
          <w:rFonts w:ascii="Times New Roman" w:hAnsi="Times New Roman" w:cs="Times New Roman"/>
        </w:rPr>
        <w:t>which</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MBCA’s</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oppression</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provision</w:t>
      </w:r>
      <w:proofErr w:type="spellEnd"/>
      <w:r w:rsidR="00EC0031" w:rsidRPr="00705170">
        <w:rPr>
          <w:rFonts w:ascii="Times New Roman" w:hAnsi="Times New Roman" w:cs="Times New Roman"/>
        </w:rPr>
        <w:t xml:space="preserve"> is </w:t>
      </w:r>
      <w:proofErr w:type="spellStart"/>
      <w:r w:rsidR="00EC0031" w:rsidRPr="00705170">
        <w:rPr>
          <w:rFonts w:ascii="Times New Roman" w:hAnsi="Times New Roman" w:cs="Times New Roman"/>
        </w:rPr>
        <w:t>adopted</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are</w:t>
      </w:r>
      <w:proofErr w:type="spellEnd"/>
      <w:r w:rsidR="00EC0031" w:rsidRPr="00705170">
        <w:rPr>
          <w:rFonts w:ascii="Times New Roman" w:hAnsi="Times New Roman" w:cs="Times New Roman"/>
        </w:rPr>
        <w:t xml:space="preserve"> </w:t>
      </w:r>
      <w:proofErr w:type="spellStart"/>
      <w:r w:rsidR="007E3EA2" w:rsidRPr="00705170">
        <w:rPr>
          <w:rFonts w:ascii="Times New Roman" w:hAnsi="Times New Roman" w:cs="Times New Roman"/>
        </w:rPr>
        <w:t>referring</w:t>
      </w:r>
      <w:proofErr w:type="spellEnd"/>
      <w:r w:rsidR="007E3EA2" w:rsidRPr="00705170">
        <w:rPr>
          <w:rFonts w:ascii="Times New Roman" w:hAnsi="Times New Roman" w:cs="Times New Roman"/>
        </w:rPr>
        <w:t xml:space="preserve"> </w:t>
      </w:r>
      <w:proofErr w:type="spellStart"/>
      <w:r w:rsidR="007E3EA2" w:rsidRPr="00705170">
        <w:rPr>
          <w:rFonts w:ascii="Times New Roman" w:hAnsi="Times New Roman" w:cs="Times New Roman"/>
        </w:rPr>
        <w:t>to</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the</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standards</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that</w:t>
      </w:r>
      <w:proofErr w:type="spellEnd"/>
      <w:r w:rsidR="00EC0031" w:rsidRPr="00705170">
        <w:rPr>
          <w:rFonts w:ascii="Times New Roman" w:hAnsi="Times New Roman" w:cs="Times New Roman"/>
        </w:rPr>
        <w:t xml:space="preserve"> New York </w:t>
      </w:r>
      <w:proofErr w:type="spellStart"/>
      <w:r w:rsidR="00EC0031" w:rsidRPr="00705170">
        <w:rPr>
          <w:rFonts w:ascii="Times New Roman" w:hAnsi="Times New Roman" w:cs="Times New Roman"/>
        </w:rPr>
        <w:t>courts</w:t>
      </w:r>
      <w:proofErr w:type="spellEnd"/>
      <w:r w:rsidR="00EC0031" w:rsidRPr="00705170">
        <w:rPr>
          <w:rFonts w:ascii="Times New Roman" w:hAnsi="Times New Roman" w:cs="Times New Roman"/>
        </w:rPr>
        <w:t xml:space="preserve"> “</w:t>
      </w:r>
      <w:proofErr w:type="spellStart"/>
      <w:r w:rsidR="00EC0031" w:rsidRPr="00705170">
        <w:rPr>
          <w:rFonts w:ascii="Times New Roman" w:hAnsi="Times New Roman" w:cs="Times New Roman"/>
        </w:rPr>
        <w:t>popularized</w:t>
      </w:r>
      <w:proofErr w:type="spellEnd"/>
      <w:r w:rsidR="00EC0031" w:rsidRPr="00705170">
        <w:rPr>
          <w:rFonts w:ascii="Times New Roman" w:hAnsi="Times New Roman" w:cs="Times New Roman"/>
        </w:rPr>
        <w:t>”</w:t>
      </w:r>
      <w:r w:rsidR="00EC0031" w:rsidRPr="00705170">
        <w:rPr>
          <w:rStyle w:val="DipnotBavurusu"/>
          <w:rFonts w:ascii="Times New Roman" w:hAnsi="Times New Roman" w:cs="Times New Roman"/>
        </w:rPr>
        <w:footnoteReference w:id="547"/>
      </w:r>
      <w:r w:rsidR="00EC0031" w:rsidRPr="00705170">
        <w:rPr>
          <w:rFonts w:ascii="Times New Roman" w:hAnsi="Times New Roman" w:cs="Times New Roman"/>
        </w:rPr>
        <w:t xml:space="preserve">. </w:t>
      </w:r>
    </w:p>
    <w:p w14:paraId="19CA4E54" w14:textId="78D688D1" w:rsidR="00365184" w:rsidRPr="00705170" w:rsidRDefault="00BE4DF6" w:rsidP="00903FC6">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development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required</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d</w:t>
      </w:r>
      <w:r w:rsidR="00D91CE8" w:rsidRPr="00705170">
        <w:rPr>
          <w:rFonts w:ascii="Times New Roman" w:hAnsi="Times New Roman" w:cs="Times New Roman"/>
        </w:rPr>
        <w:t>efinition</w:t>
      </w:r>
      <w:proofErr w:type="spellEnd"/>
      <w:r w:rsidR="00D91CE8" w:rsidRPr="00705170">
        <w:rPr>
          <w:rFonts w:ascii="Times New Roman" w:hAnsi="Times New Roman" w:cs="Times New Roman"/>
        </w:rPr>
        <w:t xml:space="preserve"> of </w:t>
      </w:r>
      <w:proofErr w:type="spellStart"/>
      <w:r w:rsidR="00D91CE8" w:rsidRPr="00705170">
        <w:rPr>
          <w:rFonts w:ascii="Times New Roman" w:hAnsi="Times New Roman" w:cs="Times New Roman"/>
        </w:rPr>
        <w:t>oppressive</w:t>
      </w:r>
      <w:proofErr w:type="spellEnd"/>
      <w:r w:rsidR="00D91CE8" w:rsidRPr="00705170">
        <w:rPr>
          <w:rFonts w:ascii="Times New Roman" w:hAnsi="Times New Roman" w:cs="Times New Roman"/>
        </w:rPr>
        <w:t xml:space="preserve"> </w:t>
      </w:r>
      <w:proofErr w:type="spellStart"/>
      <w:r w:rsidR="00D91CE8" w:rsidRPr="00705170">
        <w:rPr>
          <w:rFonts w:ascii="Times New Roman" w:hAnsi="Times New Roman" w:cs="Times New Roman"/>
        </w:rPr>
        <w:t>conduct</w:t>
      </w:r>
      <w:proofErr w:type="spellEnd"/>
      <w:r w:rsidR="00D91CE8" w:rsidRPr="00705170">
        <w:rPr>
          <w:rFonts w:ascii="Times New Roman" w:hAnsi="Times New Roman" w:cs="Times New Roman"/>
        </w:rPr>
        <w:t xml:space="preserve">, as an </w:t>
      </w:r>
      <w:proofErr w:type="spellStart"/>
      <w:r w:rsidR="00D91CE8" w:rsidRPr="00705170">
        <w:rPr>
          <w:rFonts w:ascii="Times New Roman" w:hAnsi="Times New Roman" w:cs="Times New Roman"/>
        </w:rPr>
        <w:t>allegation</w:t>
      </w:r>
      <w:proofErr w:type="spellEnd"/>
      <w:r w:rsidR="00D91CE8" w:rsidRPr="00705170">
        <w:rPr>
          <w:rFonts w:ascii="Times New Roman" w:hAnsi="Times New Roman" w:cs="Times New Roman"/>
        </w:rPr>
        <w:t xml:space="preserve"> of </w:t>
      </w:r>
      <w:proofErr w:type="spellStart"/>
      <w:r w:rsidR="00D91CE8" w:rsidRPr="00705170">
        <w:rPr>
          <w:rFonts w:ascii="Times New Roman" w:hAnsi="Times New Roman" w:cs="Times New Roman"/>
        </w:rPr>
        <w:t>oppression</w:t>
      </w:r>
      <w:proofErr w:type="spellEnd"/>
      <w:r w:rsidR="00D91CE8" w:rsidRPr="00705170">
        <w:rPr>
          <w:rFonts w:ascii="Times New Roman" w:hAnsi="Times New Roman" w:cs="Times New Roman"/>
        </w:rPr>
        <w:t xml:space="preserve"> is not a </w:t>
      </w:r>
      <w:proofErr w:type="spellStart"/>
      <w:r w:rsidR="00D91CE8" w:rsidRPr="00705170">
        <w:rPr>
          <w:rFonts w:ascii="Times New Roman" w:hAnsi="Times New Roman" w:cs="Times New Roman"/>
        </w:rPr>
        <w:t>claim</w:t>
      </w:r>
      <w:proofErr w:type="spellEnd"/>
      <w:r w:rsidR="00D91CE8" w:rsidRPr="00705170">
        <w:rPr>
          <w:rFonts w:ascii="Times New Roman" w:hAnsi="Times New Roman" w:cs="Times New Roman"/>
        </w:rPr>
        <w:t xml:space="preserve"> </w:t>
      </w:r>
      <w:proofErr w:type="spellStart"/>
      <w:r w:rsidR="00D91CE8" w:rsidRPr="00705170">
        <w:rPr>
          <w:rFonts w:ascii="Times New Roman" w:hAnsi="Times New Roman" w:cs="Times New Roman"/>
        </w:rPr>
        <w:t>for</w:t>
      </w:r>
      <w:proofErr w:type="spellEnd"/>
      <w:r w:rsidR="00D91CE8" w:rsidRPr="00705170">
        <w:rPr>
          <w:rFonts w:ascii="Times New Roman" w:hAnsi="Times New Roman" w:cs="Times New Roman"/>
        </w:rPr>
        <w:t xml:space="preserve"> </w:t>
      </w:r>
      <w:proofErr w:type="spellStart"/>
      <w:r w:rsidR="00D91CE8" w:rsidRPr="00705170">
        <w:rPr>
          <w:rFonts w:ascii="Times New Roman" w:hAnsi="Times New Roman" w:cs="Times New Roman"/>
        </w:rPr>
        <w:t>relief</w:t>
      </w:r>
      <w:proofErr w:type="spellEnd"/>
      <w:r w:rsidR="00D91CE8" w:rsidRPr="00705170">
        <w:rPr>
          <w:rFonts w:ascii="Times New Roman" w:hAnsi="Times New Roman" w:cs="Times New Roman"/>
        </w:rPr>
        <w:t xml:space="preserve">, but </w:t>
      </w:r>
      <w:proofErr w:type="spellStart"/>
      <w:r w:rsidR="00D91CE8" w:rsidRPr="00705170">
        <w:rPr>
          <w:rFonts w:ascii="Times New Roman" w:hAnsi="Times New Roman" w:cs="Times New Roman"/>
        </w:rPr>
        <w:t>rather</w:t>
      </w:r>
      <w:proofErr w:type="spellEnd"/>
      <w:r w:rsidR="00D91CE8" w:rsidRPr="00705170">
        <w:rPr>
          <w:rFonts w:ascii="Times New Roman" w:hAnsi="Times New Roman" w:cs="Times New Roman"/>
        </w:rPr>
        <w:t xml:space="preserve">, a legal </w:t>
      </w:r>
      <w:proofErr w:type="spellStart"/>
      <w:r w:rsidR="00D91CE8" w:rsidRPr="00705170">
        <w:rPr>
          <w:rFonts w:ascii="Times New Roman" w:hAnsi="Times New Roman" w:cs="Times New Roman"/>
        </w:rPr>
        <w:t>standard</w:t>
      </w:r>
      <w:proofErr w:type="spellEnd"/>
      <w:r w:rsidR="00D91CE8" w:rsidRPr="00705170">
        <w:rPr>
          <w:rFonts w:ascii="Times New Roman" w:hAnsi="Times New Roman" w:cs="Times New Roman"/>
        </w:rPr>
        <w:t xml:space="preserve"> </w:t>
      </w:r>
      <w:proofErr w:type="spellStart"/>
      <w:r w:rsidR="00D91CE8" w:rsidRPr="00705170">
        <w:rPr>
          <w:rFonts w:ascii="Times New Roman" w:hAnsi="Times New Roman" w:cs="Times New Roman"/>
        </w:rPr>
        <w:t>to</w:t>
      </w:r>
      <w:proofErr w:type="spellEnd"/>
      <w:r w:rsidR="00D91CE8" w:rsidRPr="00705170">
        <w:rPr>
          <w:rFonts w:ascii="Times New Roman" w:hAnsi="Times New Roman" w:cs="Times New Roman"/>
        </w:rPr>
        <w:t xml:space="preserve"> be </w:t>
      </w:r>
      <w:proofErr w:type="spellStart"/>
      <w:r w:rsidR="00D91CE8" w:rsidRPr="00705170">
        <w:rPr>
          <w:rFonts w:ascii="Times New Roman" w:hAnsi="Times New Roman" w:cs="Times New Roman"/>
        </w:rPr>
        <w:t>fulfilled</w:t>
      </w:r>
      <w:proofErr w:type="spellEnd"/>
      <w:r w:rsidR="00D91CE8" w:rsidRPr="00705170">
        <w:rPr>
          <w:rFonts w:ascii="Times New Roman" w:hAnsi="Times New Roman" w:cs="Times New Roman"/>
        </w:rPr>
        <w:t xml:space="preserve"> </w:t>
      </w:r>
      <w:proofErr w:type="spellStart"/>
      <w:r w:rsidR="00D91CE8" w:rsidRPr="00705170">
        <w:rPr>
          <w:rFonts w:ascii="Times New Roman" w:hAnsi="Times New Roman" w:cs="Times New Roman"/>
        </w:rPr>
        <w:t>before</w:t>
      </w:r>
      <w:proofErr w:type="spellEnd"/>
      <w:r w:rsidR="00D91CE8" w:rsidRPr="00705170">
        <w:rPr>
          <w:rFonts w:ascii="Times New Roman" w:hAnsi="Times New Roman" w:cs="Times New Roman"/>
        </w:rPr>
        <w:t xml:space="preserve"> a </w:t>
      </w:r>
      <w:proofErr w:type="spellStart"/>
      <w:r w:rsidR="00D91CE8" w:rsidRPr="00705170">
        <w:rPr>
          <w:rFonts w:ascii="Times New Roman" w:hAnsi="Times New Roman" w:cs="Times New Roman"/>
        </w:rPr>
        <w:t>court</w:t>
      </w:r>
      <w:proofErr w:type="spellEnd"/>
      <w:r w:rsidR="00D91CE8" w:rsidRPr="00705170">
        <w:rPr>
          <w:rFonts w:ascii="Times New Roman" w:hAnsi="Times New Roman" w:cs="Times New Roman"/>
        </w:rPr>
        <w:t xml:space="preserve"> </w:t>
      </w:r>
      <w:proofErr w:type="spellStart"/>
      <w:r w:rsidR="00D91CE8" w:rsidRPr="00705170">
        <w:rPr>
          <w:rFonts w:ascii="Times New Roman" w:hAnsi="Times New Roman" w:cs="Times New Roman"/>
        </w:rPr>
        <w:t>may</w:t>
      </w:r>
      <w:proofErr w:type="spellEnd"/>
      <w:r w:rsidR="00D91CE8" w:rsidRPr="00705170">
        <w:rPr>
          <w:rFonts w:ascii="Times New Roman" w:hAnsi="Times New Roman" w:cs="Times New Roman"/>
        </w:rPr>
        <w:t xml:space="preserve"> </w:t>
      </w:r>
      <w:proofErr w:type="spellStart"/>
      <w:r w:rsidR="00D91CE8" w:rsidRPr="00705170">
        <w:rPr>
          <w:rFonts w:ascii="Times New Roman" w:hAnsi="Times New Roman" w:cs="Times New Roman"/>
        </w:rPr>
        <w:t>order</w:t>
      </w:r>
      <w:proofErr w:type="spellEnd"/>
      <w:r w:rsidRPr="00705170">
        <w:rPr>
          <w:rFonts w:ascii="Times New Roman" w:hAnsi="Times New Roman" w:cs="Times New Roman"/>
        </w:rPr>
        <w:t xml:space="preserve"> </w:t>
      </w:r>
      <w:proofErr w:type="spellStart"/>
      <w:r w:rsidR="00D91CE8" w:rsidRPr="00705170">
        <w:rPr>
          <w:rFonts w:ascii="Times New Roman" w:hAnsi="Times New Roman" w:cs="Times New Roman"/>
        </w:rPr>
        <w:t>liquidation</w:t>
      </w:r>
      <w:proofErr w:type="spellEnd"/>
      <w:r w:rsidR="00D91CE8" w:rsidRPr="00705170">
        <w:rPr>
          <w:rFonts w:ascii="Times New Roman" w:hAnsi="Times New Roman" w:cs="Times New Roman"/>
        </w:rPr>
        <w:t xml:space="preserve"> of a </w:t>
      </w:r>
      <w:proofErr w:type="spellStart"/>
      <w:r w:rsidR="00D91CE8" w:rsidRPr="00705170">
        <w:rPr>
          <w:rFonts w:ascii="Times New Roman" w:hAnsi="Times New Roman" w:cs="Times New Roman"/>
        </w:rPr>
        <w:t>corporation</w:t>
      </w:r>
      <w:proofErr w:type="spellEnd"/>
      <w:r w:rsidR="00D91CE8" w:rsidRPr="00705170">
        <w:rPr>
          <w:rStyle w:val="DipnotBavurusu"/>
          <w:rFonts w:ascii="Times New Roman" w:hAnsi="Times New Roman" w:cs="Times New Roman"/>
        </w:rPr>
        <w:footnoteReference w:id="548"/>
      </w:r>
      <w:r w:rsidR="00D91CE8" w:rsidRPr="00705170">
        <w:rPr>
          <w:rFonts w:ascii="Times New Roman" w:hAnsi="Times New Roman" w:cs="Times New Roman"/>
        </w:rPr>
        <w:t xml:space="preserve">. </w:t>
      </w:r>
      <w:r w:rsidR="00683AE2" w:rsidRPr="00705170">
        <w:rPr>
          <w:rFonts w:ascii="Times New Roman" w:hAnsi="Times New Roman" w:cs="Times New Roman"/>
        </w:rPr>
        <w:t xml:space="preserve">“Dictionary </w:t>
      </w:r>
      <w:proofErr w:type="spellStart"/>
      <w:r w:rsidR="00683AE2" w:rsidRPr="00705170">
        <w:rPr>
          <w:rFonts w:ascii="Times New Roman" w:hAnsi="Times New Roman" w:cs="Times New Roman"/>
        </w:rPr>
        <w:t>definitions</w:t>
      </w:r>
      <w:proofErr w:type="spellEnd"/>
      <w:r w:rsidR="00683AE2" w:rsidRPr="00705170">
        <w:rPr>
          <w:rFonts w:ascii="Times New Roman" w:hAnsi="Times New Roman" w:cs="Times New Roman"/>
        </w:rPr>
        <w:t xml:space="preserve"> of ‘</w:t>
      </w:r>
      <w:proofErr w:type="spellStart"/>
      <w:r w:rsidR="00683AE2" w:rsidRPr="00705170">
        <w:rPr>
          <w:rFonts w:ascii="Times New Roman" w:hAnsi="Times New Roman" w:cs="Times New Roman"/>
        </w:rPr>
        <w:t>oppression</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include</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the</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act</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or</w:t>
      </w:r>
      <w:proofErr w:type="spellEnd"/>
      <w:r w:rsidR="00683AE2" w:rsidRPr="00705170">
        <w:rPr>
          <w:rFonts w:ascii="Times New Roman" w:hAnsi="Times New Roman" w:cs="Times New Roman"/>
        </w:rPr>
        <w:t xml:space="preserve"> an </w:t>
      </w:r>
      <w:proofErr w:type="spellStart"/>
      <w:r w:rsidR="00683AE2" w:rsidRPr="00705170">
        <w:rPr>
          <w:rFonts w:ascii="Times New Roman" w:hAnsi="Times New Roman" w:cs="Times New Roman"/>
        </w:rPr>
        <w:t>instance</w:t>
      </w:r>
      <w:proofErr w:type="spellEnd"/>
      <w:r w:rsidR="00683AE2" w:rsidRPr="00705170">
        <w:rPr>
          <w:rFonts w:ascii="Times New Roman" w:hAnsi="Times New Roman" w:cs="Times New Roman"/>
        </w:rPr>
        <w:t xml:space="preserve"> of </w:t>
      </w:r>
      <w:proofErr w:type="spellStart"/>
      <w:r w:rsidR="00683AE2" w:rsidRPr="00705170">
        <w:rPr>
          <w:rFonts w:ascii="Times New Roman" w:hAnsi="Times New Roman" w:cs="Times New Roman"/>
        </w:rPr>
        <w:t>unjustly</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exercising</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authority</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or</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power</w:t>
      </w:r>
      <w:proofErr w:type="spellEnd"/>
      <w:r w:rsidR="00683AE2" w:rsidRPr="00705170">
        <w:rPr>
          <w:rFonts w:ascii="Times New Roman" w:hAnsi="Times New Roman" w:cs="Times New Roman"/>
        </w:rPr>
        <w:t>’, ‘</w:t>
      </w:r>
      <w:proofErr w:type="spellStart"/>
      <w:r w:rsidR="00683AE2" w:rsidRPr="00705170">
        <w:rPr>
          <w:rFonts w:ascii="Times New Roman" w:hAnsi="Times New Roman" w:cs="Times New Roman"/>
        </w:rPr>
        <w:t>coercion</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to</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enter</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into</w:t>
      </w:r>
      <w:proofErr w:type="spellEnd"/>
      <w:r w:rsidR="00683AE2" w:rsidRPr="00705170">
        <w:rPr>
          <w:rFonts w:ascii="Times New Roman" w:hAnsi="Times New Roman" w:cs="Times New Roman"/>
        </w:rPr>
        <w:t xml:space="preserve"> an illegal </w:t>
      </w:r>
      <w:proofErr w:type="spellStart"/>
      <w:r w:rsidR="00683AE2" w:rsidRPr="00705170">
        <w:rPr>
          <w:rFonts w:ascii="Times New Roman" w:hAnsi="Times New Roman" w:cs="Times New Roman"/>
        </w:rPr>
        <w:t>contract</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and</w:t>
      </w:r>
      <w:proofErr w:type="spellEnd"/>
      <w:r w:rsidR="00683AE2" w:rsidRPr="00705170">
        <w:rPr>
          <w:rFonts w:ascii="Times New Roman" w:hAnsi="Times New Roman" w:cs="Times New Roman"/>
        </w:rPr>
        <w:t>…’</w:t>
      </w:r>
      <w:proofErr w:type="spellStart"/>
      <w:r w:rsidR="00683AE2" w:rsidRPr="00705170">
        <w:rPr>
          <w:rFonts w:ascii="Times New Roman" w:hAnsi="Times New Roman" w:cs="Times New Roman"/>
        </w:rPr>
        <w:t>unfair</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treatment</w:t>
      </w:r>
      <w:proofErr w:type="spellEnd"/>
      <w:r w:rsidR="00683AE2" w:rsidRPr="00705170">
        <w:rPr>
          <w:rFonts w:ascii="Times New Roman" w:hAnsi="Times New Roman" w:cs="Times New Roman"/>
        </w:rPr>
        <w:t xml:space="preserve"> of </w:t>
      </w:r>
      <w:proofErr w:type="spellStart"/>
      <w:r w:rsidR="00683AE2" w:rsidRPr="00705170">
        <w:rPr>
          <w:rFonts w:ascii="Times New Roman" w:hAnsi="Times New Roman" w:cs="Times New Roman"/>
        </w:rPr>
        <w:t>minority</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shareholders</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esp</w:t>
      </w:r>
      <w:proofErr w:type="spellEnd"/>
      <w:r w:rsidR="00683AE2" w:rsidRPr="00705170">
        <w:rPr>
          <w:rFonts w:ascii="Times New Roman" w:hAnsi="Times New Roman" w:cs="Times New Roman"/>
        </w:rPr>
        <w:t xml:space="preserve">. in </w:t>
      </w:r>
      <w:proofErr w:type="spellStart"/>
      <w:r w:rsidR="00683AE2" w:rsidRPr="00705170">
        <w:rPr>
          <w:rFonts w:ascii="Times New Roman" w:hAnsi="Times New Roman" w:cs="Times New Roman"/>
        </w:rPr>
        <w:t>close</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corporation</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by</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the</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directors</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or</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those</w:t>
      </w:r>
      <w:proofErr w:type="spellEnd"/>
      <w:r w:rsidR="00683AE2" w:rsidRPr="00705170">
        <w:rPr>
          <w:rFonts w:ascii="Times New Roman" w:hAnsi="Times New Roman" w:cs="Times New Roman"/>
        </w:rPr>
        <w:t xml:space="preserve"> in </w:t>
      </w:r>
      <w:proofErr w:type="spellStart"/>
      <w:r w:rsidR="00683AE2" w:rsidRPr="00705170">
        <w:rPr>
          <w:rFonts w:ascii="Times New Roman" w:hAnsi="Times New Roman" w:cs="Times New Roman"/>
        </w:rPr>
        <w:t>control</w:t>
      </w:r>
      <w:proofErr w:type="spellEnd"/>
      <w:r w:rsidR="00683AE2" w:rsidRPr="00705170">
        <w:rPr>
          <w:rFonts w:ascii="Times New Roman" w:hAnsi="Times New Roman" w:cs="Times New Roman"/>
        </w:rPr>
        <w:t xml:space="preserve"> of </w:t>
      </w:r>
      <w:proofErr w:type="spellStart"/>
      <w:r w:rsidR="00683AE2" w:rsidRPr="00705170">
        <w:rPr>
          <w:rFonts w:ascii="Times New Roman" w:hAnsi="Times New Roman" w:cs="Times New Roman"/>
        </w:rPr>
        <w:t>the</w:t>
      </w:r>
      <w:proofErr w:type="spellEnd"/>
      <w:r w:rsidR="00683AE2" w:rsidRPr="00705170">
        <w:rPr>
          <w:rFonts w:ascii="Times New Roman" w:hAnsi="Times New Roman" w:cs="Times New Roman"/>
        </w:rPr>
        <w:t xml:space="preserve"> </w:t>
      </w:r>
      <w:proofErr w:type="spellStart"/>
      <w:r w:rsidR="00683AE2" w:rsidRPr="00705170">
        <w:rPr>
          <w:rFonts w:ascii="Times New Roman" w:hAnsi="Times New Roman" w:cs="Times New Roman"/>
        </w:rPr>
        <w:t>corporation</w:t>
      </w:r>
      <w:proofErr w:type="spellEnd"/>
      <w:r w:rsidR="00683AE2" w:rsidRPr="00705170">
        <w:rPr>
          <w:rFonts w:ascii="Times New Roman" w:hAnsi="Times New Roman" w:cs="Times New Roman"/>
        </w:rPr>
        <w:t>”</w:t>
      </w:r>
      <w:r w:rsidR="00903FC6" w:rsidRPr="00705170">
        <w:rPr>
          <w:rStyle w:val="DipnotBavurusu"/>
          <w:rFonts w:ascii="Times New Roman" w:hAnsi="Times New Roman" w:cs="Times New Roman"/>
        </w:rPr>
        <w:footnoteReference w:id="549"/>
      </w:r>
      <w:r w:rsidR="00683AE2" w:rsidRPr="00705170">
        <w:rPr>
          <w:rFonts w:ascii="Times New Roman" w:hAnsi="Times New Roman" w:cs="Times New Roman"/>
        </w:rPr>
        <w:t>.</w:t>
      </w:r>
      <w:r w:rsidR="00903FC6" w:rsidRPr="00705170">
        <w:rPr>
          <w:rFonts w:ascii="Times New Roman" w:hAnsi="Times New Roman" w:cs="Times New Roman"/>
        </w:rPr>
        <w:t xml:space="preserve"> </w:t>
      </w:r>
      <w:proofErr w:type="spellStart"/>
      <w:r w:rsidR="00F57BD8" w:rsidRPr="00705170">
        <w:rPr>
          <w:rFonts w:ascii="Times New Roman" w:hAnsi="Times New Roman" w:cs="Times New Roman"/>
        </w:rPr>
        <w:t>Logically</w:t>
      </w:r>
      <w:proofErr w:type="spellEnd"/>
      <w:r w:rsidR="00F57BD8" w:rsidRPr="00705170">
        <w:rPr>
          <w:rFonts w:ascii="Times New Roman" w:hAnsi="Times New Roman" w:cs="Times New Roman"/>
        </w:rPr>
        <w:t xml:space="preserve">, it is </w:t>
      </w:r>
      <w:proofErr w:type="spellStart"/>
      <w:r w:rsidR="00F57BD8" w:rsidRPr="00705170">
        <w:rPr>
          <w:rFonts w:ascii="Times New Roman" w:hAnsi="Times New Roman" w:cs="Times New Roman"/>
        </w:rPr>
        <w:t>expected</w:t>
      </w:r>
      <w:proofErr w:type="spellEnd"/>
      <w:r w:rsidR="00F57BD8" w:rsidRPr="00705170">
        <w:rPr>
          <w:rFonts w:ascii="Times New Roman" w:hAnsi="Times New Roman" w:cs="Times New Roman"/>
        </w:rPr>
        <w:t xml:space="preserve"> </w:t>
      </w:r>
      <w:proofErr w:type="spellStart"/>
      <w:r w:rsidR="00F57BD8" w:rsidRPr="00705170">
        <w:rPr>
          <w:rFonts w:ascii="Times New Roman" w:hAnsi="Times New Roman" w:cs="Times New Roman"/>
        </w:rPr>
        <w:t>that</w:t>
      </w:r>
      <w:proofErr w:type="spellEnd"/>
      <w:r w:rsidR="00F57BD8" w:rsidRPr="00705170">
        <w:rPr>
          <w:rFonts w:ascii="Times New Roman" w:hAnsi="Times New Roman" w:cs="Times New Roman"/>
        </w:rPr>
        <w:t xml:space="preserve"> </w:t>
      </w:r>
      <w:proofErr w:type="spellStart"/>
      <w:r w:rsidR="00F57BD8" w:rsidRPr="00705170">
        <w:rPr>
          <w:rFonts w:ascii="Times New Roman" w:hAnsi="Times New Roman" w:cs="Times New Roman"/>
        </w:rPr>
        <w:t>the</w:t>
      </w:r>
      <w:proofErr w:type="spellEnd"/>
      <w:r w:rsidR="00F57BD8" w:rsidRPr="00705170">
        <w:rPr>
          <w:rFonts w:ascii="Times New Roman" w:hAnsi="Times New Roman" w:cs="Times New Roman"/>
        </w:rPr>
        <w:t xml:space="preserve"> </w:t>
      </w:r>
      <w:proofErr w:type="spellStart"/>
      <w:r w:rsidR="00F57BD8" w:rsidRPr="00705170">
        <w:rPr>
          <w:rFonts w:ascii="Times New Roman" w:hAnsi="Times New Roman" w:cs="Times New Roman"/>
        </w:rPr>
        <w:t>corporate</w:t>
      </w:r>
      <w:proofErr w:type="spellEnd"/>
      <w:r w:rsidR="00F57BD8" w:rsidRPr="00705170">
        <w:rPr>
          <w:rFonts w:ascii="Times New Roman" w:hAnsi="Times New Roman" w:cs="Times New Roman"/>
        </w:rPr>
        <w:t xml:space="preserve"> </w:t>
      </w:r>
      <w:proofErr w:type="spellStart"/>
      <w:r w:rsidR="00F57BD8" w:rsidRPr="00705170">
        <w:rPr>
          <w:rFonts w:ascii="Times New Roman" w:hAnsi="Times New Roman" w:cs="Times New Roman"/>
        </w:rPr>
        <w:t>codes</w:t>
      </w:r>
      <w:proofErr w:type="spellEnd"/>
      <w:r w:rsidR="00F57BD8" w:rsidRPr="00705170">
        <w:rPr>
          <w:rFonts w:ascii="Times New Roman" w:hAnsi="Times New Roman" w:cs="Times New Roman"/>
        </w:rPr>
        <w:t xml:space="preserve"> </w:t>
      </w:r>
      <w:proofErr w:type="spellStart"/>
      <w:r w:rsidR="00F57BD8" w:rsidRPr="00705170">
        <w:rPr>
          <w:rFonts w:ascii="Times New Roman" w:hAnsi="Times New Roman" w:cs="Times New Roman"/>
        </w:rPr>
        <w:t>would</w:t>
      </w:r>
      <w:proofErr w:type="spellEnd"/>
      <w:r w:rsidR="00F57BD8" w:rsidRPr="00705170">
        <w:rPr>
          <w:rFonts w:ascii="Times New Roman" w:hAnsi="Times New Roman" w:cs="Times New Roman"/>
        </w:rPr>
        <w:t xml:space="preserve"> </w:t>
      </w:r>
      <w:proofErr w:type="spellStart"/>
      <w:r w:rsidR="00F57BD8" w:rsidRPr="00705170">
        <w:rPr>
          <w:rFonts w:ascii="Times New Roman" w:hAnsi="Times New Roman" w:cs="Times New Roman"/>
        </w:rPr>
        <w:t>establish</w:t>
      </w:r>
      <w:proofErr w:type="spellEnd"/>
      <w:r w:rsidR="00F57BD8" w:rsidRPr="00705170">
        <w:rPr>
          <w:rFonts w:ascii="Times New Roman" w:hAnsi="Times New Roman" w:cs="Times New Roman"/>
        </w:rPr>
        <w:t xml:space="preserve"> a </w:t>
      </w:r>
      <w:proofErr w:type="spellStart"/>
      <w:r w:rsidR="00F57BD8" w:rsidRPr="00705170">
        <w:rPr>
          <w:rFonts w:ascii="Times New Roman" w:hAnsi="Times New Roman" w:cs="Times New Roman"/>
        </w:rPr>
        <w:t>definition</w:t>
      </w:r>
      <w:proofErr w:type="spellEnd"/>
      <w:r w:rsidR="00F57BD8" w:rsidRPr="00705170">
        <w:rPr>
          <w:rFonts w:ascii="Times New Roman" w:hAnsi="Times New Roman" w:cs="Times New Roman"/>
        </w:rPr>
        <w:t xml:space="preserve"> </w:t>
      </w:r>
      <w:proofErr w:type="spellStart"/>
      <w:r w:rsidR="00F57BD8" w:rsidRPr="00705170">
        <w:rPr>
          <w:rFonts w:ascii="Times New Roman" w:hAnsi="Times New Roman" w:cs="Times New Roman"/>
        </w:rPr>
        <w:t>or</w:t>
      </w:r>
      <w:proofErr w:type="spellEnd"/>
      <w:r w:rsidR="00F57BD8" w:rsidRPr="00705170">
        <w:rPr>
          <w:rFonts w:ascii="Times New Roman" w:hAnsi="Times New Roman" w:cs="Times New Roman"/>
        </w:rPr>
        <w:t xml:space="preserve"> </w:t>
      </w:r>
      <w:proofErr w:type="spellStart"/>
      <w:r w:rsidR="00F57BD8" w:rsidRPr="00705170">
        <w:rPr>
          <w:rFonts w:ascii="Times New Roman" w:hAnsi="Times New Roman" w:cs="Times New Roman"/>
        </w:rPr>
        <w:t>principles</w:t>
      </w:r>
      <w:proofErr w:type="spellEnd"/>
      <w:r w:rsidR="00F57BD8" w:rsidRPr="00705170">
        <w:rPr>
          <w:rFonts w:ascii="Times New Roman" w:hAnsi="Times New Roman" w:cs="Times New Roman"/>
        </w:rPr>
        <w:t xml:space="preserve"> </w:t>
      </w:r>
      <w:proofErr w:type="spellStart"/>
      <w:r w:rsidR="00F57BD8" w:rsidRPr="00705170">
        <w:rPr>
          <w:rFonts w:ascii="Times New Roman" w:hAnsi="Times New Roman" w:cs="Times New Roman"/>
        </w:rPr>
        <w:t>determining</w:t>
      </w:r>
      <w:proofErr w:type="spellEnd"/>
      <w:r w:rsidR="00F57BD8" w:rsidRPr="00705170">
        <w:rPr>
          <w:rFonts w:ascii="Times New Roman" w:hAnsi="Times New Roman" w:cs="Times New Roman"/>
        </w:rPr>
        <w:t xml:space="preserve"> </w:t>
      </w:r>
      <w:proofErr w:type="spellStart"/>
      <w:r w:rsidR="00F57BD8" w:rsidRPr="00705170">
        <w:rPr>
          <w:rFonts w:ascii="Times New Roman" w:hAnsi="Times New Roman" w:cs="Times New Roman"/>
        </w:rPr>
        <w:t>the</w:t>
      </w:r>
      <w:proofErr w:type="spellEnd"/>
      <w:r w:rsidR="00F57BD8" w:rsidRPr="00705170">
        <w:rPr>
          <w:rFonts w:ascii="Times New Roman" w:hAnsi="Times New Roman" w:cs="Times New Roman"/>
        </w:rPr>
        <w:t xml:space="preserve"> </w:t>
      </w:r>
      <w:proofErr w:type="spellStart"/>
      <w:r w:rsidR="00F57BD8" w:rsidRPr="00705170">
        <w:rPr>
          <w:rFonts w:ascii="Times New Roman" w:hAnsi="Times New Roman" w:cs="Times New Roman"/>
        </w:rPr>
        <w:t>concept</w:t>
      </w:r>
      <w:proofErr w:type="spellEnd"/>
      <w:r w:rsidR="00F57BD8" w:rsidRPr="00705170">
        <w:rPr>
          <w:rFonts w:ascii="Times New Roman" w:hAnsi="Times New Roman" w:cs="Times New Roman"/>
        </w:rPr>
        <w:t xml:space="preserve">, but </w:t>
      </w:r>
      <w:proofErr w:type="spellStart"/>
      <w:r w:rsidR="00F57BD8" w:rsidRPr="00705170">
        <w:rPr>
          <w:rFonts w:ascii="Times New Roman" w:hAnsi="Times New Roman" w:cs="Times New Roman"/>
        </w:rPr>
        <w:t>the</w:t>
      </w:r>
      <w:proofErr w:type="spellEnd"/>
      <w:r w:rsidR="00F57BD8" w:rsidRPr="00705170">
        <w:rPr>
          <w:rFonts w:ascii="Times New Roman" w:hAnsi="Times New Roman" w:cs="Times New Roman"/>
        </w:rPr>
        <w:t xml:space="preserve"> </w:t>
      </w:r>
      <w:proofErr w:type="spellStart"/>
      <w:r w:rsidR="00F57BD8" w:rsidRPr="00705170">
        <w:rPr>
          <w:rFonts w:ascii="Times New Roman" w:hAnsi="Times New Roman" w:cs="Times New Roman"/>
        </w:rPr>
        <w:t>reality</w:t>
      </w:r>
      <w:proofErr w:type="spellEnd"/>
      <w:r w:rsidR="00F57BD8" w:rsidRPr="00705170">
        <w:rPr>
          <w:rFonts w:ascii="Times New Roman" w:hAnsi="Times New Roman" w:cs="Times New Roman"/>
        </w:rPr>
        <w:t xml:space="preserve"> is </w:t>
      </w:r>
      <w:proofErr w:type="spellStart"/>
      <w:r w:rsidR="00F57BD8" w:rsidRPr="00705170">
        <w:rPr>
          <w:rFonts w:ascii="Times New Roman" w:hAnsi="Times New Roman" w:cs="Times New Roman"/>
        </w:rPr>
        <w:t>otherwise</w:t>
      </w:r>
      <w:proofErr w:type="spellEnd"/>
      <w:r w:rsidR="00F57BD8" w:rsidRPr="00705170">
        <w:rPr>
          <w:rStyle w:val="DipnotBavurusu"/>
          <w:rFonts w:ascii="Times New Roman" w:hAnsi="Times New Roman" w:cs="Times New Roman"/>
        </w:rPr>
        <w:footnoteReference w:id="550"/>
      </w:r>
      <w:r w:rsidR="00F57BD8" w:rsidRPr="00705170">
        <w:rPr>
          <w:rFonts w:ascii="Times New Roman" w:hAnsi="Times New Roman" w:cs="Times New Roman"/>
        </w:rPr>
        <w:t xml:space="preserve">. </w:t>
      </w:r>
      <w:proofErr w:type="spellStart"/>
      <w:r w:rsidR="00365184" w:rsidRPr="00705170">
        <w:rPr>
          <w:rFonts w:ascii="Times New Roman" w:hAnsi="Times New Roman" w:cs="Times New Roman"/>
        </w:rPr>
        <w:t>Legislatures</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generally</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made</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no</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attempt</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to</w:t>
      </w:r>
      <w:proofErr w:type="spellEnd"/>
      <w:r w:rsidR="00365184" w:rsidRPr="00705170">
        <w:rPr>
          <w:rFonts w:ascii="Times New Roman" w:hAnsi="Times New Roman" w:cs="Times New Roman"/>
        </w:rPr>
        <w:t xml:space="preserve"> define </w:t>
      </w:r>
      <w:proofErr w:type="spellStart"/>
      <w:r w:rsidR="00365184" w:rsidRPr="00705170">
        <w:rPr>
          <w:rFonts w:ascii="Times New Roman" w:hAnsi="Times New Roman" w:cs="Times New Roman"/>
        </w:rPr>
        <w:t>oppression</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and</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equipped</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the</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statute</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with</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this</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elastic</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term</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whose</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meaning</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varies</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with</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the</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circumstances</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presented</w:t>
      </w:r>
      <w:proofErr w:type="spellEnd"/>
      <w:r w:rsidR="00365184" w:rsidRPr="00705170">
        <w:rPr>
          <w:rFonts w:ascii="Times New Roman" w:hAnsi="Times New Roman" w:cs="Times New Roman"/>
        </w:rPr>
        <w:t xml:space="preserve"> in a </w:t>
      </w:r>
      <w:proofErr w:type="spellStart"/>
      <w:r w:rsidR="00365184" w:rsidRPr="00705170">
        <w:rPr>
          <w:rFonts w:ascii="Times New Roman" w:hAnsi="Times New Roman" w:cs="Times New Roman"/>
        </w:rPr>
        <w:t>particular</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case</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and</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felt</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the</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existing</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case</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law</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would</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provide</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sufficient</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guidelines</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for</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courts</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and</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litigants</w:t>
      </w:r>
      <w:proofErr w:type="spellEnd"/>
      <w:r w:rsidR="00365184" w:rsidRPr="00705170">
        <w:rPr>
          <w:rStyle w:val="DipnotBavurusu"/>
          <w:rFonts w:ascii="Times New Roman" w:hAnsi="Times New Roman" w:cs="Times New Roman"/>
        </w:rPr>
        <w:footnoteReference w:id="551"/>
      </w:r>
      <w:r w:rsidR="00365184" w:rsidRPr="00705170">
        <w:rPr>
          <w:rFonts w:ascii="Times New Roman" w:hAnsi="Times New Roman" w:cs="Times New Roman"/>
        </w:rPr>
        <w:t xml:space="preserve">. </w:t>
      </w:r>
    </w:p>
    <w:p w14:paraId="4D861437" w14:textId="6B6496EE" w:rsidR="0090540D" w:rsidRPr="00705170" w:rsidRDefault="00BE4DF6" w:rsidP="0090540D">
      <w:pPr>
        <w:spacing w:after="240" w:line="480" w:lineRule="auto"/>
        <w:ind w:firstLine="708"/>
        <w:jc w:val="both"/>
        <w:rPr>
          <w:rFonts w:ascii="Times New Roman" w:hAnsi="Times New Roman" w:cs="Times New Roman"/>
        </w:rPr>
      </w:pPr>
      <w:r w:rsidRPr="00705170">
        <w:rPr>
          <w:rFonts w:ascii="Times New Roman" w:hAnsi="Times New Roman" w:cs="Times New Roman"/>
        </w:rPr>
        <w:t xml:space="preserve">As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definition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has not </w:t>
      </w:r>
      <w:proofErr w:type="spellStart"/>
      <w:r w:rsidRPr="00705170">
        <w:rPr>
          <w:rFonts w:ascii="Times New Roman" w:hAnsi="Times New Roman" w:cs="Times New Roman"/>
        </w:rPr>
        <w:t>necessarily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been</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codified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embraced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definitions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Style w:val="DipnotBavurusu"/>
          <w:rFonts w:ascii="Times New Roman" w:hAnsi="Times New Roman" w:cs="Times New Roman"/>
        </w:rPr>
        <w:footnoteReference w:id="552"/>
      </w:r>
      <w:r w:rsidRPr="00705170">
        <w:rPr>
          <w:rFonts w:ascii="Times New Roman" w:hAnsi="Times New Roman" w:cs="Times New Roman"/>
        </w:rPr>
        <w:t xml:space="preserve">. </w:t>
      </w:r>
      <w:proofErr w:type="spellStart"/>
      <w:r w:rsidRPr="00705170">
        <w:rPr>
          <w:rFonts w:ascii="Times New Roman" w:hAnsi="Times New Roman" w:cs="Times New Roman"/>
        </w:rPr>
        <w:t>Accordingly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three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approaches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devel</w:t>
      </w:r>
      <w:r w:rsidR="00C84421" w:rsidRPr="00705170">
        <w:rPr>
          <w:rFonts w:ascii="Times New Roman" w:hAnsi="Times New Roman" w:cs="Times New Roman"/>
        </w:rPr>
        <w:t>op</w:t>
      </w:r>
      <w:r w:rsidR="007803A4" w:rsidRPr="00705170">
        <w:rPr>
          <w:rFonts w:ascii="Times New Roman" w:hAnsi="Times New Roman" w:cs="Times New Roman"/>
        </w:rPr>
        <w:t>ed</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to</w:t>
      </w:r>
      <w:proofErr w:type="spellEnd"/>
      <w:r w:rsidR="007803A4" w:rsidRPr="00705170">
        <w:rPr>
          <w:rFonts w:ascii="Times New Roman" w:hAnsi="Times New Roman" w:cs="Times New Roman"/>
        </w:rPr>
        <w:t xml:space="preserve"> define </w:t>
      </w:r>
      <w:proofErr w:type="spellStart"/>
      <w:r w:rsidR="007803A4" w:rsidRPr="00705170">
        <w:rPr>
          <w:rFonts w:ascii="Times New Roman" w:hAnsi="Times New Roman" w:cs="Times New Roman"/>
        </w:rPr>
        <w:t>oppression</w:t>
      </w:r>
      <w:proofErr w:type="spellEnd"/>
      <w:r w:rsidR="007803A4" w:rsidRPr="00705170">
        <w:rPr>
          <w:rStyle w:val="DipnotBavurusu"/>
          <w:rFonts w:ascii="Times New Roman" w:hAnsi="Times New Roman" w:cs="Times New Roman"/>
        </w:rPr>
        <w:footnoteReference w:id="553"/>
      </w:r>
      <w:r w:rsidR="007803A4" w:rsidRPr="00705170">
        <w:rPr>
          <w:rFonts w:ascii="Times New Roman" w:hAnsi="Times New Roman" w:cs="Times New Roman"/>
        </w:rPr>
        <w:t xml:space="preserve">: (1) A </w:t>
      </w:r>
      <w:proofErr w:type="spellStart"/>
      <w:r w:rsidR="00C84421" w:rsidRPr="00705170">
        <w:rPr>
          <w:rFonts w:ascii="Times New Roman" w:hAnsi="Times New Roman" w:cs="Times New Roman"/>
        </w:rPr>
        <w:t>burdens</w:t>
      </w:r>
      <w:r w:rsidR="005F0436" w:rsidRPr="00705170">
        <w:rPr>
          <w:rFonts w:ascii="Times New Roman" w:hAnsi="Times New Roman" w:cs="Times New Roman"/>
        </w:rPr>
        <w:t>ome</w:t>
      </w:r>
      <w:proofErr w:type="spellEnd"/>
      <w:r w:rsidR="005F0436" w:rsidRPr="00705170">
        <w:rPr>
          <w:rFonts w:ascii="Times New Roman" w:hAnsi="Times New Roman" w:cs="Times New Roman"/>
        </w:rPr>
        <w:t xml:space="preserve">, </w:t>
      </w:r>
      <w:proofErr w:type="spellStart"/>
      <w:r w:rsidR="005F0436" w:rsidRPr="00705170">
        <w:rPr>
          <w:rFonts w:ascii="Times New Roman" w:hAnsi="Times New Roman" w:cs="Times New Roman"/>
        </w:rPr>
        <w:t>harsh</w:t>
      </w:r>
      <w:proofErr w:type="spellEnd"/>
      <w:r w:rsidR="005F0436" w:rsidRPr="00705170">
        <w:rPr>
          <w:rFonts w:ascii="Times New Roman" w:hAnsi="Times New Roman" w:cs="Times New Roman"/>
        </w:rPr>
        <w:t xml:space="preserve"> </w:t>
      </w:r>
      <w:proofErr w:type="spellStart"/>
      <w:r w:rsidR="005F0436" w:rsidRPr="00705170">
        <w:rPr>
          <w:rFonts w:ascii="Times New Roman" w:hAnsi="Times New Roman" w:cs="Times New Roman"/>
        </w:rPr>
        <w:t>and</w:t>
      </w:r>
      <w:proofErr w:type="spellEnd"/>
      <w:r w:rsidR="005F0436" w:rsidRPr="00705170">
        <w:rPr>
          <w:rFonts w:ascii="Times New Roman" w:hAnsi="Times New Roman" w:cs="Times New Roman"/>
        </w:rPr>
        <w:t xml:space="preserve"> </w:t>
      </w:r>
      <w:proofErr w:type="spellStart"/>
      <w:r w:rsidR="005F0436" w:rsidRPr="00705170">
        <w:rPr>
          <w:rFonts w:ascii="Times New Roman" w:hAnsi="Times New Roman" w:cs="Times New Roman"/>
        </w:rPr>
        <w:t>wrongful</w:t>
      </w:r>
      <w:proofErr w:type="spellEnd"/>
      <w:r w:rsidR="005F0436" w:rsidRPr="00705170">
        <w:rPr>
          <w:rFonts w:ascii="Times New Roman" w:hAnsi="Times New Roman" w:cs="Times New Roman"/>
        </w:rPr>
        <w:t xml:space="preserve"> </w:t>
      </w:r>
      <w:proofErr w:type="spellStart"/>
      <w:r w:rsidR="005F0436" w:rsidRPr="00705170">
        <w:rPr>
          <w:rFonts w:ascii="Times New Roman" w:hAnsi="Times New Roman" w:cs="Times New Roman"/>
        </w:rPr>
        <w:t>conduct</w:t>
      </w:r>
      <w:proofErr w:type="spellEnd"/>
      <w:r w:rsidR="005F0436" w:rsidRPr="00705170">
        <w:rPr>
          <w:rFonts w:ascii="Times New Roman" w:hAnsi="Times New Roman" w:cs="Times New Roman"/>
        </w:rPr>
        <w:t xml:space="preserve">, </w:t>
      </w:r>
      <w:r w:rsidR="00C84421" w:rsidRPr="00705170">
        <w:rPr>
          <w:rFonts w:ascii="Times New Roman" w:hAnsi="Times New Roman" w:cs="Times New Roman"/>
        </w:rPr>
        <w:t xml:space="preserve">a </w:t>
      </w:r>
      <w:proofErr w:type="spellStart"/>
      <w:r w:rsidR="00C84421" w:rsidRPr="00705170">
        <w:rPr>
          <w:rFonts w:ascii="Times New Roman" w:hAnsi="Times New Roman" w:cs="Times New Roman"/>
        </w:rPr>
        <w:t>visible</w:t>
      </w:r>
      <w:proofErr w:type="spellEnd"/>
      <w:r w:rsidR="00C84421" w:rsidRPr="00705170">
        <w:rPr>
          <w:rFonts w:ascii="Times New Roman" w:hAnsi="Times New Roman" w:cs="Times New Roman"/>
        </w:rPr>
        <w:t xml:space="preserve"> </w:t>
      </w:r>
      <w:proofErr w:type="spellStart"/>
      <w:r w:rsidR="00C84421" w:rsidRPr="00705170">
        <w:rPr>
          <w:rFonts w:ascii="Times New Roman" w:hAnsi="Times New Roman" w:cs="Times New Roman"/>
        </w:rPr>
        <w:lastRenderedPageBreak/>
        <w:t>departure</w:t>
      </w:r>
      <w:proofErr w:type="spellEnd"/>
      <w:r w:rsidR="00C84421" w:rsidRPr="00705170">
        <w:rPr>
          <w:rFonts w:ascii="Times New Roman" w:hAnsi="Times New Roman" w:cs="Times New Roman"/>
        </w:rPr>
        <w:t xml:space="preserve"> of </w:t>
      </w:r>
      <w:proofErr w:type="spellStart"/>
      <w:r w:rsidR="00C84421" w:rsidRPr="00705170">
        <w:rPr>
          <w:rFonts w:ascii="Times New Roman" w:hAnsi="Times New Roman" w:cs="Times New Roman"/>
        </w:rPr>
        <w:t>fair</w:t>
      </w:r>
      <w:proofErr w:type="spellEnd"/>
      <w:r w:rsidR="00C84421" w:rsidRPr="00705170">
        <w:rPr>
          <w:rFonts w:ascii="Times New Roman" w:hAnsi="Times New Roman" w:cs="Times New Roman"/>
        </w:rPr>
        <w:t xml:space="preserve"> </w:t>
      </w:r>
      <w:proofErr w:type="spellStart"/>
      <w:r w:rsidR="00C84421" w:rsidRPr="00705170">
        <w:rPr>
          <w:rFonts w:ascii="Times New Roman" w:hAnsi="Times New Roman" w:cs="Times New Roman"/>
        </w:rPr>
        <w:t>dealing</w:t>
      </w:r>
      <w:proofErr w:type="spellEnd"/>
      <w:r w:rsidR="007803A4" w:rsidRPr="00705170">
        <w:rPr>
          <w:rFonts w:ascii="Times New Roman" w:hAnsi="Times New Roman" w:cs="Times New Roman"/>
        </w:rPr>
        <w:t>,</w:t>
      </w:r>
      <w:r w:rsidR="00C84421" w:rsidRPr="00705170">
        <w:rPr>
          <w:rFonts w:ascii="Times New Roman" w:hAnsi="Times New Roman" w:cs="Times New Roman"/>
        </w:rPr>
        <w:t xml:space="preserve"> </w:t>
      </w:r>
      <w:proofErr w:type="spellStart"/>
      <w:r w:rsidR="00C84421" w:rsidRPr="00705170">
        <w:rPr>
          <w:rFonts w:ascii="Times New Roman" w:hAnsi="Times New Roman" w:cs="Times New Roman"/>
        </w:rPr>
        <w:t>and</w:t>
      </w:r>
      <w:proofErr w:type="spellEnd"/>
      <w:r w:rsidR="00C84421" w:rsidRPr="00705170">
        <w:rPr>
          <w:rFonts w:ascii="Times New Roman" w:hAnsi="Times New Roman" w:cs="Times New Roman"/>
        </w:rPr>
        <w:t xml:space="preserve"> </w:t>
      </w:r>
      <w:proofErr w:type="spellStart"/>
      <w:r w:rsidR="00C84421" w:rsidRPr="00705170">
        <w:rPr>
          <w:rFonts w:ascii="Times New Roman" w:hAnsi="Times New Roman" w:cs="Times New Roman"/>
        </w:rPr>
        <w:t>violation</w:t>
      </w:r>
      <w:proofErr w:type="spellEnd"/>
      <w:r w:rsidR="00C84421" w:rsidRPr="00705170">
        <w:rPr>
          <w:rFonts w:ascii="Times New Roman" w:hAnsi="Times New Roman" w:cs="Times New Roman"/>
        </w:rPr>
        <w:t xml:space="preserve"> of </w:t>
      </w:r>
      <w:proofErr w:type="spellStart"/>
      <w:r w:rsidR="00C84421" w:rsidRPr="00705170">
        <w:rPr>
          <w:rFonts w:ascii="Times New Roman" w:hAnsi="Times New Roman" w:cs="Times New Roman"/>
        </w:rPr>
        <w:t>fair</w:t>
      </w:r>
      <w:proofErr w:type="spellEnd"/>
      <w:r w:rsidR="00C84421" w:rsidRPr="00705170">
        <w:rPr>
          <w:rFonts w:ascii="Times New Roman" w:hAnsi="Times New Roman" w:cs="Times New Roman"/>
        </w:rPr>
        <w:t xml:space="preserve"> </w:t>
      </w:r>
      <w:proofErr w:type="spellStart"/>
      <w:r w:rsidR="00C84421" w:rsidRPr="00705170">
        <w:rPr>
          <w:rFonts w:ascii="Times New Roman" w:hAnsi="Times New Roman" w:cs="Times New Roman"/>
        </w:rPr>
        <w:t>play</w:t>
      </w:r>
      <w:proofErr w:type="spellEnd"/>
      <w:r w:rsidR="00C84421" w:rsidRPr="00705170">
        <w:rPr>
          <w:rFonts w:ascii="Times New Roman" w:hAnsi="Times New Roman" w:cs="Times New Roman"/>
        </w:rPr>
        <w:t xml:space="preserve"> on </w:t>
      </w:r>
      <w:proofErr w:type="spellStart"/>
      <w:r w:rsidR="00C84421" w:rsidRPr="00705170">
        <w:rPr>
          <w:rFonts w:ascii="Times New Roman" w:hAnsi="Times New Roman" w:cs="Times New Roman"/>
        </w:rPr>
        <w:t>which</w:t>
      </w:r>
      <w:proofErr w:type="spellEnd"/>
      <w:r w:rsidR="00C84421" w:rsidRPr="00705170">
        <w:rPr>
          <w:rFonts w:ascii="Times New Roman" w:hAnsi="Times New Roman" w:cs="Times New Roman"/>
        </w:rPr>
        <w:t xml:space="preserve"> </w:t>
      </w:r>
      <w:proofErr w:type="spellStart"/>
      <w:r w:rsidR="00C84421" w:rsidRPr="00705170">
        <w:rPr>
          <w:rFonts w:ascii="Times New Roman" w:hAnsi="Times New Roman" w:cs="Times New Roman"/>
        </w:rPr>
        <w:t>every</w:t>
      </w:r>
      <w:proofErr w:type="spellEnd"/>
      <w:r w:rsidR="00C84421" w:rsidRPr="00705170">
        <w:rPr>
          <w:rFonts w:ascii="Times New Roman" w:hAnsi="Times New Roman" w:cs="Times New Roman"/>
        </w:rPr>
        <w:t xml:space="preserve"> </w:t>
      </w:r>
      <w:proofErr w:type="spellStart"/>
      <w:r w:rsidR="00C84421" w:rsidRPr="00705170">
        <w:rPr>
          <w:rFonts w:ascii="Times New Roman" w:hAnsi="Times New Roman" w:cs="Times New Roman"/>
        </w:rPr>
        <w:t>shareholder</w:t>
      </w:r>
      <w:proofErr w:type="spellEnd"/>
      <w:r w:rsidR="00C84421" w:rsidRPr="00705170">
        <w:rPr>
          <w:rFonts w:ascii="Times New Roman" w:hAnsi="Times New Roman" w:cs="Times New Roman"/>
        </w:rPr>
        <w:t xml:space="preserve"> </w:t>
      </w:r>
      <w:proofErr w:type="spellStart"/>
      <w:r w:rsidR="00C84421" w:rsidRPr="00705170">
        <w:rPr>
          <w:rFonts w:ascii="Times New Roman" w:hAnsi="Times New Roman" w:cs="Times New Roman"/>
        </w:rPr>
        <w:t>who</w:t>
      </w:r>
      <w:proofErr w:type="spellEnd"/>
      <w:r w:rsidR="00C84421" w:rsidRPr="00705170">
        <w:rPr>
          <w:rFonts w:ascii="Times New Roman" w:hAnsi="Times New Roman" w:cs="Times New Roman"/>
        </w:rPr>
        <w:t xml:space="preserve"> </w:t>
      </w:r>
      <w:proofErr w:type="spellStart"/>
      <w:r w:rsidR="00C84421" w:rsidRPr="00705170">
        <w:rPr>
          <w:rFonts w:ascii="Times New Roman" w:hAnsi="Times New Roman" w:cs="Times New Roman"/>
        </w:rPr>
        <w:t>entrusts</w:t>
      </w:r>
      <w:proofErr w:type="spellEnd"/>
      <w:r w:rsidR="00C84421" w:rsidRPr="00705170">
        <w:rPr>
          <w:rFonts w:ascii="Times New Roman" w:hAnsi="Times New Roman" w:cs="Times New Roman"/>
        </w:rPr>
        <w:t xml:space="preserve"> his </w:t>
      </w:r>
      <w:proofErr w:type="spellStart"/>
      <w:r w:rsidR="00C84421" w:rsidRPr="00705170">
        <w:rPr>
          <w:rFonts w:ascii="Times New Roman" w:hAnsi="Times New Roman" w:cs="Times New Roman"/>
        </w:rPr>
        <w:t>money</w:t>
      </w:r>
      <w:proofErr w:type="spellEnd"/>
      <w:r w:rsidR="00C84421" w:rsidRPr="00705170">
        <w:rPr>
          <w:rFonts w:ascii="Times New Roman" w:hAnsi="Times New Roman" w:cs="Times New Roman"/>
        </w:rPr>
        <w:t xml:space="preserve"> </w:t>
      </w:r>
      <w:proofErr w:type="spellStart"/>
      <w:r w:rsidR="00C84421" w:rsidRPr="00705170">
        <w:rPr>
          <w:rFonts w:ascii="Times New Roman" w:hAnsi="Times New Roman" w:cs="Times New Roman"/>
        </w:rPr>
        <w:t>to</w:t>
      </w:r>
      <w:proofErr w:type="spellEnd"/>
      <w:r w:rsidR="00C84421" w:rsidRPr="00705170">
        <w:rPr>
          <w:rFonts w:ascii="Times New Roman" w:hAnsi="Times New Roman" w:cs="Times New Roman"/>
        </w:rPr>
        <w:t xml:space="preserve"> </w:t>
      </w:r>
      <w:proofErr w:type="spellStart"/>
      <w:r w:rsidR="00C84421" w:rsidRPr="00705170">
        <w:rPr>
          <w:rFonts w:ascii="Times New Roman" w:hAnsi="Times New Roman" w:cs="Times New Roman"/>
        </w:rPr>
        <w:t>corporation</w:t>
      </w:r>
      <w:proofErr w:type="spellEnd"/>
      <w:r w:rsidR="00C84421" w:rsidRPr="00705170">
        <w:rPr>
          <w:rFonts w:ascii="Times New Roman" w:hAnsi="Times New Roman" w:cs="Times New Roman"/>
        </w:rPr>
        <w:t xml:space="preserve"> is </w:t>
      </w:r>
      <w:proofErr w:type="spellStart"/>
      <w:r w:rsidR="00C84421" w:rsidRPr="00705170">
        <w:rPr>
          <w:rFonts w:ascii="Times New Roman" w:hAnsi="Times New Roman" w:cs="Times New Roman"/>
        </w:rPr>
        <w:t>entitled</w:t>
      </w:r>
      <w:proofErr w:type="spellEnd"/>
      <w:r w:rsidR="00C84421" w:rsidRPr="00705170">
        <w:rPr>
          <w:rFonts w:ascii="Times New Roman" w:hAnsi="Times New Roman" w:cs="Times New Roman"/>
        </w:rPr>
        <w:t xml:space="preserve"> </w:t>
      </w:r>
      <w:proofErr w:type="spellStart"/>
      <w:r w:rsidR="00C84421" w:rsidRPr="00705170">
        <w:rPr>
          <w:rFonts w:ascii="Times New Roman" w:hAnsi="Times New Roman" w:cs="Times New Roman"/>
        </w:rPr>
        <w:t>to</w:t>
      </w:r>
      <w:proofErr w:type="spellEnd"/>
      <w:r w:rsidR="00C84421" w:rsidRPr="00705170">
        <w:rPr>
          <w:rFonts w:ascii="Times New Roman" w:hAnsi="Times New Roman" w:cs="Times New Roman"/>
        </w:rPr>
        <w:t xml:space="preserve"> </w:t>
      </w:r>
      <w:proofErr w:type="spellStart"/>
      <w:r w:rsidR="00C84421" w:rsidRPr="00705170">
        <w:rPr>
          <w:rFonts w:ascii="Times New Roman" w:hAnsi="Times New Roman" w:cs="Times New Roman"/>
        </w:rPr>
        <w:t>rely</w:t>
      </w:r>
      <w:proofErr w:type="spellEnd"/>
      <w:r w:rsidR="005F0436" w:rsidRPr="00705170">
        <w:rPr>
          <w:rFonts w:ascii="Times New Roman" w:hAnsi="Times New Roman" w:cs="Times New Roman"/>
        </w:rPr>
        <w:t xml:space="preserve"> (a </w:t>
      </w:r>
      <w:proofErr w:type="spellStart"/>
      <w:r w:rsidR="005F0436" w:rsidRPr="00705170">
        <w:rPr>
          <w:rFonts w:ascii="Times New Roman" w:hAnsi="Times New Roman" w:cs="Times New Roman"/>
        </w:rPr>
        <w:t>definition</w:t>
      </w:r>
      <w:proofErr w:type="spellEnd"/>
      <w:r w:rsidR="005F0436" w:rsidRPr="00705170">
        <w:rPr>
          <w:rFonts w:ascii="Times New Roman" w:hAnsi="Times New Roman" w:cs="Times New Roman"/>
        </w:rPr>
        <w:t xml:space="preserve"> </w:t>
      </w:r>
      <w:proofErr w:type="spellStart"/>
      <w:r w:rsidR="005F0436" w:rsidRPr="00705170">
        <w:rPr>
          <w:rFonts w:ascii="Times New Roman" w:hAnsi="Times New Roman" w:cs="Times New Roman"/>
        </w:rPr>
        <w:t>derived</w:t>
      </w:r>
      <w:proofErr w:type="spellEnd"/>
      <w:r w:rsidR="005F0436" w:rsidRPr="00705170">
        <w:rPr>
          <w:rFonts w:ascii="Times New Roman" w:hAnsi="Times New Roman" w:cs="Times New Roman"/>
        </w:rPr>
        <w:t xml:space="preserve"> </w:t>
      </w:r>
      <w:proofErr w:type="spellStart"/>
      <w:r w:rsidR="005F0436" w:rsidRPr="00705170">
        <w:rPr>
          <w:rFonts w:ascii="Times New Roman" w:hAnsi="Times New Roman" w:cs="Times New Roman"/>
        </w:rPr>
        <w:t>from</w:t>
      </w:r>
      <w:proofErr w:type="spellEnd"/>
      <w:r w:rsidR="005F0436" w:rsidRPr="00705170">
        <w:rPr>
          <w:rFonts w:ascii="Times New Roman" w:hAnsi="Times New Roman" w:cs="Times New Roman"/>
        </w:rPr>
        <w:t xml:space="preserve"> British </w:t>
      </w:r>
      <w:proofErr w:type="spellStart"/>
      <w:r w:rsidR="005F0436" w:rsidRPr="00705170">
        <w:rPr>
          <w:rFonts w:ascii="Times New Roman" w:hAnsi="Times New Roman" w:cs="Times New Roman"/>
        </w:rPr>
        <w:t>law</w:t>
      </w:r>
      <w:proofErr w:type="spellEnd"/>
      <w:r w:rsidR="005F0436" w:rsidRPr="00705170">
        <w:rPr>
          <w:rStyle w:val="DipnotBavurusu"/>
          <w:rFonts w:ascii="Times New Roman" w:hAnsi="Times New Roman" w:cs="Times New Roman"/>
        </w:rPr>
        <w:footnoteReference w:id="554"/>
      </w:r>
      <w:r w:rsidR="005F0436" w:rsidRPr="00705170">
        <w:rPr>
          <w:rFonts w:ascii="Times New Roman" w:hAnsi="Times New Roman" w:cs="Times New Roman"/>
        </w:rPr>
        <w:t>)</w:t>
      </w:r>
      <w:r w:rsidR="007803A4" w:rsidRPr="00705170">
        <w:rPr>
          <w:rFonts w:ascii="Times New Roman" w:hAnsi="Times New Roman" w:cs="Times New Roman"/>
        </w:rPr>
        <w:t xml:space="preserve">, (2) a </w:t>
      </w:r>
      <w:proofErr w:type="spellStart"/>
      <w:r w:rsidR="007803A4" w:rsidRPr="00705170">
        <w:rPr>
          <w:rFonts w:ascii="Times New Roman" w:hAnsi="Times New Roman" w:cs="Times New Roman"/>
        </w:rPr>
        <w:t>conduct</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closely</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related</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to</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the</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violation</w:t>
      </w:r>
      <w:proofErr w:type="spellEnd"/>
      <w:r w:rsidR="007803A4" w:rsidRPr="00705170">
        <w:rPr>
          <w:rFonts w:ascii="Times New Roman" w:hAnsi="Times New Roman" w:cs="Times New Roman"/>
        </w:rPr>
        <w:t xml:space="preserve"> of </w:t>
      </w:r>
      <w:proofErr w:type="spellStart"/>
      <w:r w:rsidR="007803A4" w:rsidRPr="00705170">
        <w:rPr>
          <w:rFonts w:ascii="Times New Roman" w:hAnsi="Times New Roman" w:cs="Times New Roman"/>
        </w:rPr>
        <w:t>the</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fiduciary</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duty</w:t>
      </w:r>
      <w:proofErr w:type="spellEnd"/>
      <w:r w:rsidR="007803A4" w:rsidRPr="00705170">
        <w:rPr>
          <w:rFonts w:ascii="Times New Roman" w:hAnsi="Times New Roman" w:cs="Times New Roman"/>
        </w:rPr>
        <w:t xml:space="preserve"> of </w:t>
      </w:r>
      <w:proofErr w:type="spellStart"/>
      <w:r w:rsidR="007803A4" w:rsidRPr="00705170">
        <w:rPr>
          <w:rFonts w:ascii="Times New Roman" w:hAnsi="Times New Roman" w:cs="Times New Roman"/>
        </w:rPr>
        <w:t>good</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faith</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and</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fair</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dealing</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owed</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by</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the</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majority</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to</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the</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minority</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shareholders</w:t>
      </w:r>
      <w:proofErr w:type="spellEnd"/>
      <w:r w:rsidR="00DB4113" w:rsidRPr="00705170">
        <w:rPr>
          <w:rFonts w:ascii="Times New Roman" w:hAnsi="Times New Roman" w:cs="Times New Roman"/>
        </w:rPr>
        <w:t xml:space="preserve"> (</w:t>
      </w:r>
      <w:proofErr w:type="spellStart"/>
      <w:r w:rsidR="00DB4113" w:rsidRPr="00705170">
        <w:rPr>
          <w:rFonts w:ascii="Times New Roman" w:hAnsi="Times New Roman" w:cs="Times New Roman"/>
        </w:rPr>
        <w:t>based</w:t>
      </w:r>
      <w:proofErr w:type="spellEnd"/>
      <w:r w:rsidR="00DB4113" w:rsidRPr="00705170">
        <w:rPr>
          <w:rFonts w:ascii="Times New Roman" w:hAnsi="Times New Roman" w:cs="Times New Roman"/>
        </w:rPr>
        <w:t xml:space="preserve"> on a </w:t>
      </w:r>
      <w:proofErr w:type="spellStart"/>
      <w:r w:rsidR="00DB4113" w:rsidRPr="00705170">
        <w:rPr>
          <w:rFonts w:ascii="Times New Roman" w:hAnsi="Times New Roman" w:cs="Times New Roman"/>
        </w:rPr>
        <w:t>partnership</w:t>
      </w:r>
      <w:proofErr w:type="spellEnd"/>
      <w:r w:rsidR="00DB4113" w:rsidRPr="00705170">
        <w:rPr>
          <w:rFonts w:ascii="Times New Roman" w:hAnsi="Times New Roman" w:cs="Times New Roman"/>
        </w:rPr>
        <w:t xml:space="preserve"> </w:t>
      </w:r>
      <w:proofErr w:type="spellStart"/>
      <w:r w:rsidR="00DB4113" w:rsidRPr="00705170">
        <w:rPr>
          <w:rFonts w:ascii="Times New Roman" w:hAnsi="Times New Roman" w:cs="Times New Roman"/>
        </w:rPr>
        <w:t>analogy</w:t>
      </w:r>
      <w:proofErr w:type="spellEnd"/>
      <w:r w:rsidR="00DB4113" w:rsidRPr="00705170">
        <w:rPr>
          <w:rStyle w:val="DipnotBavurusu"/>
          <w:rFonts w:ascii="Times New Roman" w:hAnsi="Times New Roman" w:cs="Times New Roman"/>
        </w:rPr>
        <w:footnoteReference w:id="555"/>
      </w:r>
      <w:r w:rsidR="00DB4113" w:rsidRPr="00705170">
        <w:rPr>
          <w:rFonts w:ascii="Times New Roman" w:hAnsi="Times New Roman" w:cs="Times New Roman"/>
        </w:rPr>
        <w:t>)</w:t>
      </w:r>
      <w:r w:rsidR="00F96FAE" w:rsidRPr="00705170">
        <w:rPr>
          <w:rFonts w:ascii="Times New Roman" w:hAnsi="Times New Roman" w:cs="Times New Roman"/>
        </w:rPr>
        <w:t xml:space="preserve">, (3) a </w:t>
      </w:r>
      <w:proofErr w:type="spellStart"/>
      <w:r w:rsidR="00F96FAE" w:rsidRPr="00705170">
        <w:rPr>
          <w:rFonts w:ascii="Times New Roman" w:hAnsi="Times New Roman" w:cs="Times New Roman"/>
        </w:rPr>
        <w:t>violation</w:t>
      </w:r>
      <w:proofErr w:type="spellEnd"/>
      <w:r w:rsidR="007803A4" w:rsidRPr="00705170">
        <w:rPr>
          <w:rFonts w:ascii="Times New Roman" w:hAnsi="Times New Roman" w:cs="Times New Roman"/>
        </w:rPr>
        <w:t xml:space="preserve"> of </w:t>
      </w:r>
      <w:proofErr w:type="spellStart"/>
      <w:r w:rsidR="007803A4" w:rsidRPr="00705170">
        <w:rPr>
          <w:rFonts w:ascii="Times New Roman" w:hAnsi="Times New Roman" w:cs="Times New Roman"/>
        </w:rPr>
        <w:t>the</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reasonable</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expectations</w:t>
      </w:r>
      <w:proofErr w:type="spellEnd"/>
      <w:r w:rsidR="007803A4" w:rsidRPr="00705170">
        <w:rPr>
          <w:rFonts w:ascii="Times New Roman" w:hAnsi="Times New Roman" w:cs="Times New Roman"/>
        </w:rPr>
        <w:t xml:space="preserve"> of </w:t>
      </w:r>
      <w:proofErr w:type="spellStart"/>
      <w:r w:rsidR="007803A4" w:rsidRPr="00705170">
        <w:rPr>
          <w:rFonts w:ascii="Times New Roman" w:hAnsi="Times New Roman" w:cs="Times New Roman"/>
        </w:rPr>
        <w:t>the</w:t>
      </w:r>
      <w:proofErr w:type="spellEnd"/>
      <w:r w:rsidR="007803A4" w:rsidRPr="00705170">
        <w:rPr>
          <w:rFonts w:ascii="Times New Roman" w:hAnsi="Times New Roman" w:cs="Times New Roman"/>
        </w:rPr>
        <w:t xml:space="preserve"> </w:t>
      </w:r>
      <w:proofErr w:type="spellStart"/>
      <w:r w:rsidR="007803A4" w:rsidRPr="00705170">
        <w:rPr>
          <w:rFonts w:ascii="Times New Roman" w:hAnsi="Times New Roman" w:cs="Times New Roman"/>
        </w:rPr>
        <w:t>minority</w:t>
      </w:r>
      <w:proofErr w:type="spellEnd"/>
      <w:r w:rsidR="000E5754" w:rsidRPr="00705170">
        <w:rPr>
          <w:rFonts w:ascii="Times New Roman" w:hAnsi="Times New Roman" w:cs="Times New Roman"/>
        </w:rPr>
        <w:t xml:space="preserve"> (a </w:t>
      </w:r>
      <w:proofErr w:type="spellStart"/>
      <w:r w:rsidR="000E5754" w:rsidRPr="00705170">
        <w:rPr>
          <w:rFonts w:ascii="Times New Roman" w:hAnsi="Times New Roman" w:cs="Times New Roman"/>
        </w:rPr>
        <w:t>definition</w:t>
      </w:r>
      <w:proofErr w:type="spellEnd"/>
      <w:r w:rsidR="000E5754" w:rsidRPr="00705170">
        <w:rPr>
          <w:rFonts w:ascii="Times New Roman" w:hAnsi="Times New Roman" w:cs="Times New Roman"/>
        </w:rPr>
        <w:t xml:space="preserve"> </w:t>
      </w:r>
      <w:proofErr w:type="spellStart"/>
      <w:r w:rsidR="000E5754" w:rsidRPr="00705170">
        <w:rPr>
          <w:rFonts w:ascii="Times New Roman" w:hAnsi="Times New Roman" w:cs="Times New Roman"/>
        </w:rPr>
        <w:t>judicially</w:t>
      </w:r>
      <w:proofErr w:type="spellEnd"/>
      <w:r w:rsidR="000E5754" w:rsidRPr="00705170">
        <w:rPr>
          <w:rFonts w:ascii="Times New Roman" w:hAnsi="Times New Roman" w:cs="Times New Roman"/>
        </w:rPr>
        <w:t xml:space="preserve"> </w:t>
      </w:r>
      <w:proofErr w:type="spellStart"/>
      <w:r w:rsidR="000E5754" w:rsidRPr="00705170">
        <w:rPr>
          <w:rFonts w:ascii="Times New Roman" w:hAnsi="Times New Roman" w:cs="Times New Roman"/>
        </w:rPr>
        <w:t>used</w:t>
      </w:r>
      <w:proofErr w:type="spellEnd"/>
      <w:r w:rsidR="000E5754" w:rsidRPr="00705170">
        <w:rPr>
          <w:rFonts w:ascii="Times New Roman" w:hAnsi="Times New Roman" w:cs="Times New Roman"/>
        </w:rPr>
        <w:t xml:space="preserve"> </w:t>
      </w:r>
      <w:proofErr w:type="spellStart"/>
      <w:r w:rsidR="000E5754" w:rsidRPr="00705170">
        <w:rPr>
          <w:rFonts w:ascii="Times New Roman" w:hAnsi="Times New Roman" w:cs="Times New Roman"/>
        </w:rPr>
        <w:t>for</w:t>
      </w:r>
      <w:proofErr w:type="spellEnd"/>
      <w:r w:rsidR="000E5754" w:rsidRPr="00705170">
        <w:rPr>
          <w:rFonts w:ascii="Times New Roman" w:hAnsi="Times New Roman" w:cs="Times New Roman"/>
        </w:rPr>
        <w:t xml:space="preserve"> </w:t>
      </w:r>
      <w:proofErr w:type="spellStart"/>
      <w:r w:rsidR="000E5754" w:rsidRPr="00705170">
        <w:rPr>
          <w:rFonts w:ascii="Times New Roman" w:hAnsi="Times New Roman" w:cs="Times New Roman"/>
        </w:rPr>
        <w:t>the</w:t>
      </w:r>
      <w:proofErr w:type="spellEnd"/>
      <w:r w:rsidR="000E5754" w:rsidRPr="00705170">
        <w:rPr>
          <w:rFonts w:ascii="Times New Roman" w:hAnsi="Times New Roman" w:cs="Times New Roman"/>
        </w:rPr>
        <w:t xml:space="preserve"> </w:t>
      </w:r>
      <w:proofErr w:type="spellStart"/>
      <w:r w:rsidR="000E5754" w:rsidRPr="00705170">
        <w:rPr>
          <w:rFonts w:ascii="Times New Roman" w:hAnsi="Times New Roman" w:cs="Times New Roman"/>
        </w:rPr>
        <w:t>first</w:t>
      </w:r>
      <w:proofErr w:type="spellEnd"/>
      <w:r w:rsidR="000E5754" w:rsidRPr="00705170">
        <w:rPr>
          <w:rFonts w:ascii="Times New Roman" w:hAnsi="Times New Roman" w:cs="Times New Roman"/>
        </w:rPr>
        <w:t xml:space="preserve"> time </w:t>
      </w:r>
      <w:proofErr w:type="spellStart"/>
      <w:r w:rsidR="000E5754" w:rsidRPr="00705170">
        <w:rPr>
          <w:rFonts w:ascii="Times New Roman" w:hAnsi="Times New Roman" w:cs="Times New Roman"/>
        </w:rPr>
        <w:t>by</w:t>
      </w:r>
      <w:proofErr w:type="spellEnd"/>
      <w:r w:rsidR="000E5754" w:rsidRPr="00705170">
        <w:rPr>
          <w:rFonts w:ascii="Times New Roman" w:hAnsi="Times New Roman" w:cs="Times New Roman"/>
        </w:rPr>
        <w:t xml:space="preserve"> a British </w:t>
      </w:r>
      <w:proofErr w:type="spellStart"/>
      <w:r w:rsidR="000E5754" w:rsidRPr="00705170">
        <w:rPr>
          <w:rFonts w:ascii="Times New Roman" w:hAnsi="Times New Roman" w:cs="Times New Roman"/>
        </w:rPr>
        <w:t>court</w:t>
      </w:r>
      <w:proofErr w:type="spellEnd"/>
      <w:r w:rsidR="000E5754" w:rsidRPr="00705170">
        <w:rPr>
          <w:rFonts w:ascii="Times New Roman" w:hAnsi="Times New Roman" w:cs="Times New Roman"/>
        </w:rPr>
        <w:t>)</w:t>
      </w:r>
      <w:r w:rsidR="007803A4" w:rsidRPr="00705170">
        <w:rPr>
          <w:rFonts w:ascii="Times New Roman" w:hAnsi="Times New Roman" w:cs="Times New Roman"/>
        </w:rPr>
        <w:t xml:space="preserve">. </w:t>
      </w:r>
      <w:proofErr w:type="spellStart"/>
      <w:r w:rsidR="00AD2A1F" w:rsidRPr="00705170">
        <w:rPr>
          <w:rFonts w:ascii="Times New Roman" w:hAnsi="Times New Roman" w:cs="Times New Roman"/>
        </w:rPr>
        <w:t>The</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sufficiency</w:t>
      </w:r>
      <w:proofErr w:type="spellEnd"/>
      <w:r w:rsidR="00AD2A1F" w:rsidRPr="00705170">
        <w:rPr>
          <w:rFonts w:ascii="Times New Roman" w:hAnsi="Times New Roman" w:cs="Times New Roman"/>
        </w:rPr>
        <w:t xml:space="preserve"> of </w:t>
      </w:r>
      <w:proofErr w:type="spellStart"/>
      <w:r w:rsidR="00AD2A1F" w:rsidRPr="00705170">
        <w:rPr>
          <w:rFonts w:ascii="Times New Roman" w:hAnsi="Times New Roman" w:cs="Times New Roman"/>
        </w:rPr>
        <w:t>the</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conduct</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justifying</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relief</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based</w:t>
      </w:r>
      <w:proofErr w:type="spellEnd"/>
      <w:r w:rsidR="00AD2A1F" w:rsidRPr="00705170">
        <w:rPr>
          <w:rFonts w:ascii="Times New Roman" w:hAnsi="Times New Roman" w:cs="Times New Roman"/>
        </w:rPr>
        <w:t xml:space="preserve"> on </w:t>
      </w:r>
      <w:proofErr w:type="spellStart"/>
      <w:r w:rsidR="00AD2A1F" w:rsidRPr="00705170">
        <w:rPr>
          <w:rFonts w:ascii="Times New Roman" w:hAnsi="Times New Roman" w:cs="Times New Roman"/>
        </w:rPr>
        <w:t>oppression</w:t>
      </w:r>
      <w:proofErr w:type="spellEnd"/>
      <w:r w:rsidR="00AD2A1F" w:rsidRPr="00705170">
        <w:rPr>
          <w:rFonts w:ascii="Times New Roman" w:hAnsi="Times New Roman" w:cs="Times New Roman"/>
        </w:rPr>
        <w:t xml:space="preserve"> is </w:t>
      </w:r>
      <w:proofErr w:type="spellStart"/>
      <w:r w:rsidR="00AD2A1F" w:rsidRPr="00705170">
        <w:rPr>
          <w:rFonts w:ascii="Times New Roman" w:hAnsi="Times New Roman" w:cs="Times New Roman"/>
        </w:rPr>
        <w:t>determined</w:t>
      </w:r>
      <w:proofErr w:type="spellEnd"/>
      <w:r w:rsidR="00AD2A1F" w:rsidRPr="00705170">
        <w:rPr>
          <w:rFonts w:ascii="Times New Roman" w:hAnsi="Times New Roman" w:cs="Times New Roman"/>
        </w:rPr>
        <w:t xml:space="preserve"> in </w:t>
      </w:r>
      <w:proofErr w:type="spellStart"/>
      <w:r w:rsidR="00AD2A1F" w:rsidRPr="00705170">
        <w:rPr>
          <w:rFonts w:ascii="Times New Roman" w:hAnsi="Times New Roman" w:cs="Times New Roman"/>
        </w:rPr>
        <w:t>accordance</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with</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the</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definition</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that</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oppression</w:t>
      </w:r>
      <w:proofErr w:type="spellEnd"/>
      <w:r w:rsidR="00AD2A1F" w:rsidRPr="00705170">
        <w:rPr>
          <w:rFonts w:ascii="Times New Roman" w:hAnsi="Times New Roman" w:cs="Times New Roman"/>
        </w:rPr>
        <w:t xml:space="preserve"> has</w:t>
      </w:r>
      <w:r w:rsidR="00AD2A1F" w:rsidRPr="00705170">
        <w:rPr>
          <w:rStyle w:val="DipnotBavurusu"/>
          <w:rFonts w:ascii="Times New Roman" w:hAnsi="Times New Roman" w:cs="Times New Roman"/>
        </w:rPr>
        <w:footnoteReference w:id="556"/>
      </w:r>
      <w:r w:rsidR="00AD2A1F" w:rsidRPr="00705170">
        <w:rPr>
          <w:rFonts w:ascii="Times New Roman" w:hAnsi="Times New Roman" w:cs="Times New Roman"/>
        </w:rPr>
        <w:t xml:space="preserve">. </w:t>
      </w:r>
      <w:r w:rsidR="00DF7A79" w:rsidRPr="00705170">
        <w:rPr>
          <w:rFonts w:ascii="Times New Roman" w:hAnsi="Times New Roman" w:cs="Times New Roman"/>
        </w:rPr>
        <w:t xml:space="preserve">Of </w:t>
      </w:r>
      <w:proofErr w:type="spellStart"/>
      <w:r w:rsidR="00DF7A79" w:rsidRPr="00705170">
        <w:rPr>
          <w:rFonts w:ascii="Times New Roman" w:hAnsi="Times New Roman" w:cs="Times New Roman"/>
        </w:rPr>
        <w:t>course</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different</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definitions</w:t>
      </w:r>
      <w:proofErr w:type="spellEnd"/>
      <w:r w:rsidR="00DF7A79" w:rsidRPr="00705170">
        <w:rPr>
          <w:rFonts w:ascii="Times New Roman" w:hAnsi="Times New Roman" w:cs="Times New Roman"/>
        </w:rPr>
        <w:t xml:space="preserve"> of </w:t>
      </w:r>
      <w:proofErr w:type="spellStart"/>
      <w:r w:rsidR="00DF7A79" w:rsidRPr="00705170">
        <w:rPr>
          <w:rFonts w:ascii="Times New Roman" w:hAnsi="Times New Roman" w:cs="Times New Roman"/>
        </w:rPr>
        <w:t>oppression</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provide</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different</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outcomes</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The</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conclusion</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r</w:t>
      </w:r>
      <w:r w:rsidR="00E7337F" w:rsidRPr="00705170">
        <w:rPr>
          <w:rFonts w:ascii="Times New Roman" w:hAnsi="Times New Roman" w:cs="Times New Roman"/>
        </w:rPr>
        <w:t>eached</w:t>
      </w:r>
      <w:proofErr w:type="spellEnd"/>
      <w:r w:rsidR="00E7337F" w:rsidRPr="00705170">
        <w:rPr>
          <w:rFonts w:ascii="Times New Roman" w:hAnsi="Times New Roman" w:cs="Times New Roman"/>
        </w:rPr>
        <w:t xml:space="preserve"> </w:t>
      </w:r>
      <w:proofErr w:type="spellStart"/>
      <w:r w:rsidR="00E7337F" w:rsidRPr="00705170">
        <w:rPr>
          <w:rFonts w:ascii="Times New Roman" w:hAnsi="Times New Roman" w:cs="Times New Roman"/>
        </w:rPr>
        <w:t>when</w:t>
      </w:r>
      <w:proofErr w:type="spellEnd"/>
      <w:r w:rsidR="00E7337F" w:rsidRPr="00705170">
        <w:rPr>
          <w:rFonts w:ascii="Times New Roman" w:hAnsi="Times New Roman" w:cs="Times New Roman"/>
        </w:rPr>
        <w:t xml:space="preserve"> a </w:t>
      </w:r>
      <w:proofErr w:type="spellStart"/>
      <w:r w:rsidR="00E7337F" w:rsidRPr="00705170">
        <w:rPr>
          <w:rFonts w:ascii="Times New Roman" w:hAnsi="Times New Roman" w:cs="Times New Roman"/>
        </w:rPr>
        <w:t>situation</w:t>
      </w:r>
      <w:proofErr w:type="spellEnd"/>
      <w:r w:rsidR="00E7337F" w:rsidRPr="00705170">
        <w:rPr>
          <w:rFonts w:ascii="Times New Roman" w:hAnsi="Times New Roman" w:cs="Times New Roman"/>
        </w:rPr>
        <w:t xml:space="preserve"> is </w:t>
      </w:r>
      <w:proofErr w:type="spellStart"/>
      <w:r w:rsidR="00E7337F" w:rsidRPr="00705170">
        <w:rPr>
          <w:rFonts w:ascii="Times New Roman" w:hAnsi="Times New Roman" w:cs="Times New Roman"/>
        </w:rPr>
        <w:t>eval</w:t>
      </w:r>
      <w:r w:rsidR="00DF7A79" w:rsidRPr="00705170">
        <w:rPr>
          <w:rFonts w:ascii="Times New Roman" w:hAnsi="Times New Roman" w:cs="Times New Roman"/>
        </w:rPr>
        <w:t>u</w:t>
      </w:r>
      <w:r w:rsidR="00E7337F" w:rsidRPr="00705170">
        <w:rPr>
          <w:rFonts w:ascii="Times New Roman" w:hAnsi="Times New Roman" w:cs="Times New Roman"/>
        </w:rPr>
        <w:t>a</w:t>
      </w:r>
      <w:r w:rsidR="00DF7A79" w:rsidRPr="00705170">
        <w:rPr>
          <w:rFonts w:ascii="Times New Roman" w:hAnsi="Times New Roman" w:cs="Times New Roman"/>
        </w:rPr>
        <w:t>ted</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by</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asking</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whether</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the</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conduct</w:t>
      </w:r>
      <w:proofErr w:type="spellEnd"/>
      <w:r w:rsidR="00DF7A79" w:rsidRPr="00705170">
        <w:rPr>
          <w:rFonts w:ascii="Times New Roman" w:hAnsi="Times New Roman" w:cs="Times New Roman"/>
        </w:rPr>
        <w:t xml:space="preserve"> is a “</w:t>
      </w:r>
      <w:proofErr w:type="spellStart"/>
      <w:r w:rsidR="00DF7A79" w:rsidRPr="00705170">
        <w:rPr>
          <w:rFonts w:ascii="Times New Roman" w:hAnsi="Times New Roman" w:cs="Times New Roman"/>
        </w:rPr>
        <w:t>misconduct</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may</w:t>
      </w:r>
      <w:proofErr w:type="spellEnd"/>
      <w:r w:rsidR="00DF7A79" w:rsidRPr="00705170">
        <w:rPr>
          <w:rFonts w:ascii="Times New Roman" w:hAnsi="Times New Roman" w:cs="Times New Roman"/>
        </w:rPr>
        <w:t xml:space="preserve"> be </w:t>
      </w:r>
      <w:proofErr w:type="spellStart"/>
      <w:r w:rsidR="00DF7A79" w:rsidRPr="00705170">
        <w:rPr>
          <w:rFonts w:ascii="Times New Roman" w:hAnsi="Times New Roman" w:cs="Times New Roman"/>
        </w:rPr>
        <w:t>different</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from</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the</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one</w:t>
      </w:r>
      <w:proofErr w:type="spellEnd"/>
      <w:r w:rsidR="00DF7A79" w:rsidRPr="00705170">
        <w:rPr>
          <w:rFonts w:ascii="Times New Roman" w:hAnsi="Times New Roman" w:cs="Times New Roman"/>
        </w:rPr>
        <w:t xml:space="preserve"> in </w:t>
      </w:r>
      <w:proofErr w:type="spellStart"/>
      <w:r w:rsidR="00DF7A79" w:rsidRPr="00705170">
        <w:rPr>
          <w:rFonts w:ascii="Times New Roman" w:hAnsi="Times New Roman" w:cs="Times New Roman"/>
        </w:rPr>
        <w:t>which</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whether</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the</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conduct</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without</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considering</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if</w:t>
      </w:r>
      <w:proofErr w:type="spellEnd"/>
      <w:r w:rsidR="00DF7A79" w:rsidRPr="00705170">
        <w:rPr>
          <w:rFonts w:ascii="Times New Roman" w:hAnsi="Times New Roman" w:cs="Times New Roman"/>
        </w:rPr>
        <w:t xml:space="preserve"> it is a “</w:t>
      </w:r>
      <w:proofErr w:type="spellStart"/>
      <w:r w:rsidR="00DF7A79" w:rsidRPr="00705170">
        <w:rPr>
          <w:rFonts w:ascii="Times New Roman" w:hAnsi="Times New Roman" w:cs="Times New Roman"/>
        </w:rPr>
        <w:t>misconduct</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or</w:t>
      </w:r>
      <w:proofErr w:type="spellEnd"/>
      <w:r w:rsidR="00DF7A79" w:rsidRPr="00705170">
        <w:rPr>
          <w:rFonts w:ascii="Times New Roman" w:hAnsi="Times New Roman" w:cs="Times New Roman"/>
        </w:rPr>
        <w:t xml:space="preserve"> not, </w:t>
      </w:r>
      <w:proofErr w:type="spellStart"/>
      <w:r w:rsidR="00DF7A79" w:rsidRPr="00705170">
        <w:rPr>
          <w:rFonts w:ascii="Times New Roman" w:hAnsi="Times New Roman" w:cs="Times New Roman"/>
        </w:rPr>
        <w:t>harms</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shareholders</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interests</w:t>
      </w:r>
      <w:proofErr w:type="spellEnd"/>
      <w:r w:rsidR="00DF7A79" w:rsidRPr="00705170">
        <w:rPr>
          <w:rFonts w:ascii="Times New Roman" w:hAnsi="Times New Roman" w:cs="Times New Roman"/>
        </w:rPr>
        <w:t xml:space="preserve"> is </w:t>
      </w:r>
      <w:proofErr w:type="spellStart"/>
      <w:r w:rsidR="00DF7A79" w:rsidRPr="00705170">
        <w:rPr>
          <w:rFonts w:ascii="Times New Roman" w:hAnsi="Times New Roman" w:cs="Times New Roman"/>
        </w:rPr>
        <w:t>evaluated</w:t>
      </w:r>
      <w:proofErr w:type="spellEnd"/>
      <w:r w:rsidR="00DF7A79" w:rsidRPr="00705170">
        <w:rPr>
          <w:rStyle w:val="DipnotBavurusu"/>
          <w:rFonts w:ascii="Times New Roman" w:hAnsi="Times New Roman" w:cs="Times New Roman"/>
        </w:rPr>
        <w:footnoteReference w:id="557"/>
      </w:r>
      <w:r w:rsidR="003F19C5" w:rsidRPr="00705170">
        <w:rPr>
          <w:rFonts w:ascii="Times New Roman" w:hAnsi="Times New Roman" w:cs="Times New Roman"/>
        </w:rPr>
        <w:t xml:space="preserve"> (</w:t>
      </w:r>
      <w:proofErr w:type="spellStart"/>
      <w:r w:rsidR="003F19C5" w:rsidRPr="00705170">
        <w:rPr>
          <w:rFonts w:ascii="Times New Roman" w:hAnsi="Times New Roman" w:cs="Times New Roman"/>
        </w:rPr>
        <w:t>f</w:t>
      </w:r>
      <w:r w:rsidR="0059037C" w:rsidRPr="00705170">
        <w:rPr>
          <w:rFonts w:ascii="Times New Roman" w:hAnsi="Times New Roman" w:cs="Times New Roman"/>
        </w:rPr>
        <w:t>or</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example</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the</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reasonable</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expectations</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definition</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for</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oppression</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lead</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the</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courts</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to</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measure</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the</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oppression</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from</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the</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minority’s</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perspective</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and</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primarily</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look</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whether</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the</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minority</w:t>
      </w:r>
      <w:proofErr w:type="spellEnd"/>
      <w:r w:rsidR="0059037C" w:rsidRPr="00705170">
        <w:rPr>
          <w:rFonts w:ascii="Times New Roman" w:hAnsi="Times New Roman" w:cs="Times New Roman"/>
        </w:rPr>
        <w:t xml:space="preserve"> is </w:t>
      </w:r>
      <w:proofErr w:type="spellStart"/>
      <w:r w:rsidR="0059037C" w:rsidRPr="00705170">
        <w:rPr>
          <w:rFonts w:ascii="Times New Roman" w:hAnsi="Times New Roman" w:cs="Times New Roman"/>
        </w:rPr>
        <w:t>denied</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something</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for</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which</w:t>
      </w:r>
      <w:proofErr w:type="spellEnd"/>
      <w:r w:rsidR="0059037C" w:rsidRPr="00705170">
        <w:rPr>
          <w:rFonts w:ascii="Times New Roman" w:hAnsi="Times New Roman" w:cs="Times New Roman"/>
        </w:rPr>
        <w:t xml:space="preserve"> he </w:t>
      </w:r>
      <w:proofErr w:type="spellStart"/>
      <w:r w:rsidR="0059037C" w:rsidRPr="00705170">
        <w:rPr>
          <w:rFonts w:ascii="Times New Roman" w:hAnsi="Times New Roman" w:cs="Times New Roman"/>
        </w:rPr>
        <w:t>bargained</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irrelevant</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from</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the</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majority</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shareholder’s</w:t>
      </w:r>
      <w:proofErr w:type="spellEnd"/>
      <w:r w:rsidR="0059037C" w:rsidRPr="00705170">
        <w:rPr>
          <w:rFonts w:ascii="Times New Roman" w:hAnsi="Times New Roman" w:cs="Times New Roman"/>
        </w:rPr>
        <w:t xml:space="preserve"> </w:t>
      </w:r>
      <w:proofErr w:type="spellStart"/>
      <w:r w:rsidR="0059037C" w:rsidRPr="00705170">
        <w:rPr>
          <w:rFonts w:ascii="Times New Roman" w:hAnsi="Times New Roman" w:cs="Times New Roman"/>
        </w:rPr>
        <w:t>purpose</w:t>
      </w:r>
      <w:proofErr w:type="spellEnd"/>
      <w:r w:rsidR="0059037C" w:rsidRPr="00705170">
        <w:rPr>
          <w:rStyle w:val="DipnotBavurusu"/>
          <w:rFonts w:ascii="Times New Roman" w:hAnsi="Times New Roman" w:cs="Times New Roman"/>
        </w:rPr>
        <w:footnoteReference w:id="558"/>
      </w:r>
      <w:r w:rsidR="003F19C5" w:rsidRPr="00705170">
        <w:rPr>
          <w:rFonts w:ascii="Times New Roman" w:hAnsi="Times New Roman" w:cs="Times New Roman"/>
        </w:rPr>
        <w:t>)</w:t>
      </w:r>
      <w:r w:rsidR="0059037C" w:rsidRPr="00705170">
        <w:rPr>
          <w:rFonts w:ascii="Times New Roman" w:hAnsi="Times New Roman" w:cs="Times New Roman"/>
        </w:rPr>
        <w:t xml:space="preserve">. </w:t>
      </w:r>
      <w:proofErr w:type="spellStart"/>
      <w:r w:rsidR="00C55E34" w:rsidRPr="00705170">
        <w:rPr>
          <w:rFonts w:ascii="Times New Roman" w:hAnsi="Times New Roman" w:cs="Times New Roman"/>
        </w:rPr>
        <w:t>T</w:t>
      </w:r>
      <w:r w:rsidR="00DF7A79" w:rsidRPr="00705170">
        <w:rPr>
          <w:rFonts w:ascii="Times New Roman" w:hAnsi="Times New Roman" w:cs="Times New Roman"/>
        </w:rPr>
        <w:t>oday</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the</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mainstream</w:t>
      </w:r>
      <w:proofErr w:type="spellEnd"/>
      <w:r w:rsidR="00DF7A79" w:rsidRPr="00705170">
        <w:rPr>
          <w:rFonts w:ascii="Times New Roman" w:hAnsi="Times New Roman" w:cs="Times New Roman"/>
        </w:rPr>
        <w:t xml:space="preserve"> of U.S. </w:t>
      </w:r>
      <w:proofErr w:type="spellStart"/>
      <w:r w:rsidR="00DF7A79" w:rsidRPr="00705170">
        <w:rPr>
          <w:rFonts w:ascii="Times New Roman" w:hAnsi="Times New Roman" w:cs="Times New Roman"/>
        </w:rPr>
        <w:t>corporate</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law</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evaluates</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oppression</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from</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the</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majority’s</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side</w:t>
      </w:r>
      <w:proofErr w:type="spellEnd"/>
      <w:r w:rsidR="00DF7A79" w:rsidRPr="00705170">
        <w:rPr>
          <w:rStyle w:val="DipnotBavurusu"/>
          <w:rFonts w:ascii="Times New Roman" w:hAnsi="Times New Roman" w:cs="Times New Roman"/>
        </w:rPr>
        <w:footnoteReference w:id="559"/>
      </w:r>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hence</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look</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whether</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the</w:t>
      </w:r>
      <w:proofErr w:type="spellEnd"/>
      <w:r w:rsidR="00DF7A79" w:rsidRPr="00705170">
        <w:rPr>
          <w:rFonts w:ascii="Times New Roman" w:hAnsi="Times New Roman" w:cs="Times New Roman"/>
        </w:rPr>
        <w:t xml:space="preserve"> </w:t>
      </w:r>
      <w:proofErr w:type="spellStart"/>
      <w:r w:rsidR="00DF7A79" w:rsidRPr="00705170">
        <w:rPr>
          <w:rFonts w:ascii="Times New Roman" w:hAnsi="Times New Roman" w:cs="Times New Roman"/>
        </w:rPr>
        <w:t>majority</w:t>
      </w:r>
      <w:r w:rsidR="00365184" w:rsidRPr="00705170">
        <w:rPr>
          <w:rFonts w:ascii="Times New Roman" w:hAnsi="Times New Roman" w:cs="Times New Roman"/>
        </w:rPr>
        <w:t>’s</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conduct</w:t>
      </w:r>
      <w:proofErr w:type="spellEnd"/>
      <w:r w:rsidR="00365184" w:rsidRPr="00705170">
        <w:rPr>
          <w:rFonts w:ascii="Times New Roman" w:hAnsi="Times New Roman" w:cs="Times New Roman"/>
        </w:rPr>
        <w:t xml:space="preserve"> is </w:t>
      </w:r>
      <w:proofErr w:type="spellStart"/>
      <w:r w:rsidR="00365184" w:rsidRPr="00705170">
        <w:rPr>
          <w:rFonts w:ascii="Times New Roman" w:hAnsi="Times New Roman" w:cs="Times New Roman"/>
        </w:rPr>
        <w:t>oppressive</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or</w:t>
      </w:r>
      <w:proofErr w:type="spellEnd"/>
      <w:r w:rsidR="00365184" w:rsidRPr="00705170">
        <w:rPr>
          <w:rFonts w:ascii="Times New Roman" w:hAnsi="Times New Roman" w:cs="Times New Roman"/>
        </w:rPr>
        <w:t xml:space="preserve"> not, </w:t>
      </w:r>
      <w:proofErr w:type="spellStart"/>
      <w:r w:rsidR="00365184" w:rsidRPr="00705170">
        <w:rPr>
          <w:rFonts w:ascii="Times New Roman" w:hAnsi="Times New Roman" w:cs="Times New Roman"/>
        </w:rPr>
        <w:t>rather</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than</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focusing</w:t>
      </w:r>
      <w:proofErr w:type="spellEnd"/>
      <w:r w:rsidR="00365184" w:rsidRPr="00705170">
        <w:rPr>
          <w:rFonts w:ascii="Times New Roman" w:hAnsi="Times New Roman" w:cs="Times New Roman"/>
        </w:rPr>
        <w:t xml:space="preserve"> on </w:t>
      </w:r>
      <w:proofErr w:type="spellStart"/>
      <w:r w:rsidR="00365184" w:rsidRPr="00705170">
        <w:rPr>
          <w:rFonts w:ascii="Times New Roman" w:hAnsi="Times New Roman" w:cs="Times New Roman"/>
        </w:rPr>
        <w:t>the</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minority’s</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interests</w:t>
      </w:r>
      <w:proofErr w:type="spellEnd"/>
      <w:r w:rsidR="00C55E34" w:rsidRPr="00705170">
        <w:rPr>
          <w:rStyle w:val="DipnotBavurusu"/>
          <w:rFonts w:ascii="Times New Roman" w:hAnsi="Times New Roman" w:cs="Times New Roman"/>
        </w:rPr>
        <w:footnoteReference w:id="560"/>
      </w:r>
      <w:r w:rsidR="00365184" w:rsidRPr="00705170">
        <w:rPr>
          <w:rFonts w:ascii="Times New Roman" w:hAnsi="Times New Roman" w:cs="Times New Roman"/>
        </w:rPr>
        <w:t>.</w:t>
      </w:r>
    </w:p>
    <w:p w14:paraId="01D3573C" w14:textId="3A32DC3F" w:rsidR="007247C0" w:rsidRPr="00705170" w:rsidRDefault="00396B09" w:rsidP="007247C0">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lastRenderedPageBreak/>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U.S., </w:t>
      </w:r>
      <w:proofErr w:type="spellStart"/>
      <w:r w:rsidRPr="00705170">
        <w:rPr>
          <w:rFonts w:ascii="Times New Roman" w:hAnsi="Times New Roman" w:cs="Times New Roman"/>
        </w:rPr>
        <w:t>sharehol</w:t>
      </w:r>
      <w:r w:rsidR="00DE5A30" w:rsidRPr="00705170">
        <w:rPr>
          <w:rFonts w:ascii="Times New Roman" w:hAnsi="Times New Roman" w:cs="Times New Roman"/>
        </w:rPr>
        <w:t>der</w:t>
      </w:r>
      <w:proofErr w:type="spellEnd"/>
      <w:r w:rsidR="00DE5A30" w:rsidRPr="00705170">
        <w:rPr>
          <w:rFonts w:ascii="Times New Roman" w:hAnsi="Times New Roman" w:cs="Times New Roman"/>
        </w:rPr>
        <w:t xml:space="preserve"> </w:t>
      </w:r>
      <w:proofErr w:type="spellStart"/>
      <w:r w:rsidR="00DE5A30" w:rsidRPr="00705170">
        <w:rPr>
          <w:rFonts w:ascii="Times New Roman" w:hAnsi="Times New Roman" w:cs="Times New Roman"/>
        </w:rPr>
        <w:t>oppression</w:t>
      </w:r>
      <w:proofErr w:type="spellEnd"/>
      <w:r w:rsidR="00DE5A30" w:rsidRPr="00705170">
        <w:rPr>
          <w:rFonts w:ascii="Times New Roman" w:hAnsi="Times New Roman" w:cs="Times New Roman"/>
        </w:rPr>
        <w:t xml:space="preserve"> </w:t>
      </w:r>
      <w:proofErr w:type="spellStart"/>
      <w:r w:rsidR="00DE5A30" w:rsidRPr="00705170">
        <w:rPr>
          <w:rFonts w:ascii="Times New Roman" w:hAnsi="Times New Roman" w:cs="Times New Roman"/>
        </w:rPr>
        <w:t>doctrine</w:t>
      </w:r>
      <w:proofErr w:type="spellEnd"/>
      <w:r w:rsidR="00DE5A30" w:rsidRPr="00705170">
        <w:rPr>
          <w:rFonts w:ascii="Times New Roman" w:hAnsi="Times New Roman" w:cs="Times New Roman"/>
        </w:rPr>
        <w:t xml:space="preserve"> is </w:t>
      </w:r>
      <w:proofErr w:type="spellStart"/>
      <w:r w:rsidR="00EB75B6" w:rsidRPr="00705170">
        <w:rPr>
          <w:rFonts w:ascii="Times New Roman" w:hAnsi="Times New Roman" w:cs="Times New Roman"/>
        </w:rPr>
        <w:t>generally</w:t>
      </w:r>
      <w:proofErr w:type="spellEnd"/>
      <w:r w:rsidR="00EB75B6" w:rsidRPr="00705170">
        <w:rPr>
          <w:rFonts w:ascii="Times New Roman" w:hAnsi="Times New Roman" w:cs="Times New Roman"/>
        </w:rPr>
        <w:t xml:space="preserve"> </w:t>
      </w:r>
      <w:proofErr w:type="spellStart"/>
      <w:r w:rsidR="00DE5A30" w:rsidRPr="00705170">
        <w:rPr>
          <w:rFonts w:ascii="Times New Roman" w:hAnsi="Times New Roman" w:cs="Times New Roman"/>
        </w:rPr>
        <w:t>eval</w:t>
      </w:r>
      <w:r w:rsidRPr="00705170">
        <w:rPr>
          <w:rFonts w:ascii="Times New Roman" w:hAnsi="Times New Roman" w:cs="Times New Roman"/>
        </w:rPr>
        <w:t>u</w:t>
      </w:r>
      <w:r w:rsidR="00DE5A30" w:rsidRPr="00705170">
        <w:rPr>
          <w:rFonts w:ascii="Times New Roman" w:hAnsi="Times New Roman" w:cs="Times New Roman"/>
        </w:rPr>
        <w:t>a</w:t>
      </w:r>
      <w:r w:rsidRPr="00705170">
        <w:rPr>
          <w:rFonts w:ascii="Times New Roman" w:hAnsi="Times New Roman" w:cs="Times New Roman"/>
        </w:rPr>
        <w:t>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lens of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00016A2F">
        <w:rPr>
          <w:rStyle w:val="DipnotBavurusu"/>
          <w:rFonts w:ascii="Times New Roman" w:hAnsi="Times New Roman" w:cs="Times New Roman"/>
        </w:rPr>
        <w:footnoteReference w:id="561"/>
      </w:r>
      <w:r w:rsidRPr="00705170">
        <w:rPr>
          <w:rFonts w:ascii="Times New Roman" w:hAnsi="Times New Roman" w:cs="Times New Roman"/>
        </w:rPr>
        <w:t xml:space="preserve">. </w:t>
      </w:r>
      <w:proofErr w:type="spellStart"/>
      <w:r w:rsidR="0001211A" w:rsidRPr="00705170">
        <w:rPr>
          <w:rFonts w:ascii="Times New Roman" w:hAnsi="Times New Roman" w:cs="Times New Roman"/>
        </w:rPr>
        <w:t>It</w:t>
      </w:r>
      <w:proofErr w:type="spellEnd"/>
      <w:r w:rsidR="0001211A" w:rsidRPr="00705170">
        <w:rPr>
          <w:rFonts w:ascii="Times New Roman" w:hAnsi="Times New Roman" w:cs="Times New Roman"/>
        </w:rPr>
        <w:t xml:space="preserve"> is </w:t>
      </w:r>
      <w:proofErr w:type="spellStart"/>
      <w:r w:rsidR="0001211A" w:rsidRPr="00705170">
        <w:rPr>
          <w:rFonts w:ascii="Times New Roman" w:hAnsi="Times New Roman" w:cs="Times New Roman"/>
        </w:rPr>
        <w:t>explained</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that</w:t>
      </w:r>
      <w:proofErr w:type="spellEnd"/>
      <w:r w:rsidR="0001211A"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purpose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freeze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squeeze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t>
      </w:r>
      <w:r w:rsidR="0001211A" w:rsidRPr="00705170">
        <w:rPr>
          <w:rFonts w:ascii="Times New Roman" w:hAnsi="Times New Roman" w:cs="Times New Roman"/>
        </w:rPr>
        <w: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minority</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shareholders</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bring</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forward</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oppression</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issue</w:t>
      </w:r>
      <w:proofErr w:type="spellEnd"/>
      <w:r w:rsidRPr="00705170">
        <w:rPr>
          <w:rStyle w:val="DipnotBavurusu"/>
          <w:rFonts w:ascii="Times New Roman" w:hAnsi="Times New Roman" w:cs="Times New Roman"/>
        </w:rPr>
        <w:footnoteReference w:id="562"/>
      </w:r>
      <w:r w:rsidRPr="00705170">
        <w:rPr>
          <w:rFonts w:ascii="Times New Roman" w:hAnsi="Times New Roman" w:cs="Times New Roman"/>
        </w:rPr>
        <w:t xml:space="preserve">. </w:t>
      </w:r>
      <w:proofErr w:type="spellStart"/>
      <w:r w:rsidR="00F66393" w:rsidRPr="00705170">
        <w:rPr>
          <w:rFonts w:ascii="Times New Roman" w:hAnsi="Times New Roman" w:cs="Times New Roman"/>
        </w:rPr>
        <w:t>Oppression</w:t>
      </w:r>
      <w:proofErr w:type="spellEnd"/>
      <w:r w:rsidR="00F66393" w:rsidRPr="00705170">
        <w:rPr>
          <w:rFonts w:ascii="Times New Roman" w:hAnsi="Times New Roman" w:cs="Times New Roman"/>
        </w:rPr>
        <w:t xml:space="preserve"> “is </w:t>
      </w:r>
      <w:proofErr w:type="spellStart"/>
      <w:r w:rsidR="00F66393" w:rsidRPr="00705170">
        <w:rPr>
          <w:rFonts w:ascii="Times New Roman" w:hAnsi="Times New Roman" w:cs="Times New Roman"/>
        </w:rPr>
        <w:t>usually</w:t>
      </w:r>
      <w:proofErr w:type="spellEnd"/>
      <w:r w:rsidR="00F66393" w:rsidRPr="00705170">
        <w:rPr>
          <w:rFonts w:ascii="Times New Roman" w:hAnsi="Times New Roman" w:cs="Times New Roman"/>
        </w:rPr>
        <w:t xml:space="preserve"> </w:t>
      </w:r>
      <w:proofErr w:type="spellStart"/>
      <w:r w:rsidR="00F66393" w:rsidRPr="00705170">
        <w:rPr>
          <w:rFonts w:ascii="Times New Roman" w:hAnsi="Times New Roman" w:cs="Times New Roman"/>
        </w:rPr>
        <w:t>directed</w:t>
      </w:r>
      <w:proofErr w:type="spellEnd"/>
      <w:r w:rsidR="00F66393" w:rsidRPr="00705170">
        <w:rPr>
          <w:rFonts w:ascii="Times New Roman" w:hAnsi="Times New Roman" w:cs="Times New Roman"/>
        </w:rPr>
        <w:t xml:space="preserve"> at a </w:t>
      </w:r>
      <w:proofErr w:type="spellStart"/>
      <w:r w:rsidR="00F66393" w:rsidRPr="00705170">
        <w:rPr>
          <w:rFonts w:ascii="Times New Roman" w:hAnsi="Times New Roman" w:cs="Times New Roman"/>
        </w:rPr>
        <w:t>minority</w:t>
      </w:r>
      <w:proofErr w:type="spellEnd"/>
      <w:r w:rsidR="00F66393" w:rsidRPr="00705170">
        <w:rPr>
          <w:rFonts w:ascii="Times New Roman" w:hAnsi="Times New Roman" w:cs="Times New Roman"/>
        </w:rPr>
        <w:t xml:space="preserve"> </w:t>
      </w:r>
      <w:proofErr w:type="spellStart"/>
      <w:r w:rsidR="00F66393" w:rsidRPr="00705170">
        <w:rPr>
          <w:rFonts w:ascii="Times New Roman" w:hAnsi="Times New Roman" w:cs="Times New Roman"/>
        </w:rPr>
        <w:t>shareholder</w:t>
      </w:r>
      <w:proofErr w:type="spellEnd"/>
      <w:r w:rsidR="00F66393" w:rsidRPr="00705170">
        <w:rPr>
          <w:rFonts w:ascii="Times New Roman" w:hAnsi="Times New Roman" w:cs="Times New Roman"/>
        </w:rPr>
        <w:t xml:space="preserve"> </w:t>
      </w:r>
      <w:proofErr w:type="spellStart"/>
      <w:r w:rsidR="00F66393" w:rsidRPr="00705170">
        <w:rPr>
          <w:rFonts w:ascii="Times New Roman" w:hAnsi="Times New Roman" w:cs="Times New Roman"/>
        </w:rPr>
        <w:t>personally</w:t>
      </w:r>
      <w:proofErr w:type="spellEnd"/>
      <w:r w:rsidR="00F66393" w:rsidRPr="00705170">
        <w:rPr>
          <w:rFonts w:ascii="Times New Roman" w:hAnsi="Times New Roman" w:cs="Times New Roman"/>
        </w:rPr>
        <w:t xml:space="preserve">, </w:t>
      </w:r>
      <w:proofErr w:type="spellStart"/>
      <w:r w:rsidR="00F66393" w:rsidRPr="00705170">
        <w:rPr>
          <w:rFonts w:ascii="Times New Roman" w:hAnsi="Times New Roman" w:cs="Times New Roman"/>
        </w:rPr>
        <w:t>whereas</w:t>
      </w:r>
      <w:proofErr w:type="spellEnd"/>
      <w:r w:rsidR="00F66393" w:rsidRPr="00705170">
        <w:rPr>
          <w:rFonts w:ascii="Times New Roman" w:hAnsi="Times New Roman" w:cs="Times New Roman"/>
        </w:rPr>
        <w:t xml:space="preserve"> </w:t>
      </w:r>
      <w:proofErr w:type="spellStart"/>
      <w:r w:rsidR="00F66393" w:rsidRPr="00705170">
        <w:rPr>
          <w:rFonts w:ascii="Times New Roman" w:hAnsi="Times New Roman" w:cs="Times New Roman"/>
        </w:rPr>
        <w:t>fraudulent</w:t>
      </w:r>
      <w:proofErr w:type="spellEnd"/>
      <w:r w:rsidR="00F66393" w:rsidRPr="00705170">
        <w:rPr>
          <w:rFonts w:ascii="Times New Roman" w:hAnsi="Times New Roman" w:cs="Times New Roman"/>
        </w:rPr>
        <w:t xml:space="preserve"> </w:t>
      </w:r>
      <w:proofErr w:type="spellStart"/>
      <w:r w:rsidR="00F66393" w:rsidRPr="00705170">
        <w:rPr>
          <w:rFonts w:ascii="Times New Roman" w:hAnsi="Times New Roman" w:cs="Times New Roman"/>
        </w:rPr>
        <w:t>or</w:t>
      </w:r>
      <w:proofErr w:type="spellEnd"/>
      <w:r w:rsidR="00F66393" w:rsidRPr="00705170">
        <w:rPr>
          <w:rFonts w:ascii="Times New Roman" w:hAnsi="Times New Roman" w:cs="Times New Roman"/>
        </w:rPr>
        <w:t xml:space="preserve"> illegal </w:t>
      </w:r>
      <w:proofErr w:type="spellStart"/>
      <w:r w:rsidR="00F66393" w:rsidRPr="00705170">
        <w:rPr>
          <w:rFonts w:ascii="Times New Roman" w:hAnsi="Times New Roman" w:cs="Times New Roman"/>
        </w:rPr>
        <w:t>conduct</w:t>
      </w:r>
      <w:proofErr w:type="spellEnd"/>
      <w:r w:rsidR="00F66393" w:rsidRPr="00705170">
        <w:rPr>
          <w:rFonts w:ascii="Times New Roman" w:hAnsi="Times New Roman" w:cs="Times New Roman"/>
        </w:rPr>
        <w:t xml:space="preserve"> can </w:t>
      </w:r>
      <w:proofErr w:type="spellStart"/>
      <w:r w:rsidR="00F66393" w:rsidRPr="00705170">
        <w:rPr>
          <w:rFonts w:ascii="Times New Roman" w:hAnsi="Times New Roman" w:cs="Times New Roman"/>
        </w:rPr>
        <w:t>instead</w:t>
      </w:r>
      <w:proofErr w:type="spellEnd"/>
      <w:r w:rsidR="00F66393" w:rsidRPr="00705170">
        <w:rPr>
          <w:rFonts w:ascii="Times New Roman" w:hAnsi="Times New Roman" w:cs="Times New Roman"/>
        </w:rPr>
        <w:t xml:space="preserve"> be </w:t>
      </w:r>
      <w:proofErr w:type="spellStart"/>
      <w:r w:rsidR="00F66393" w:rsidRPr="00705170">
        <w:rPr>
          <w:rFonts w:ascii="Times New Roman" w:hAnsi="Times New Roman" w:cs="Times New Roman"/>
        </w:rPr>
        <w:t>directed</w:t>
      </w:r>
      <w:proofErr w:type="spellEnd"/>
      <w:r w:rsidR="00F66393" w:rsidRPr="00705170">
        <w:rPr>
          <w:rFonts w:ascii="Times New Roman" w:hAnsi="Times New Roman" w:cs="Times New Roman"/>
        </w:rPr>
        <w:t xml:space="preserve"> at </w:t>
      </w:r>
      <w:proofErr w:type="spellStart"/>
      <w:r w:rsidR="00F66393" w:rsidRPr="00705170">
        <w:rPr>
          <w:rFonts w:ascii="Times New Roman" w:hAnsi="Times New Roman" w:cs="Times New Roman"/>
        </w:rPr>
        <w:t>solely</w:t>
      </w:r>
      <w:proofErr w:type="spellEnd"/>
      <w:r w:rsidR="00F66393" w:rsidRPr="00705170">
        <w:rPr>
          <w:rFonts w:ascii="Times New Roman" w:hAnsi="Times New Roman" w:cs="Times New Roman"/>
        </w:rPr>
        <w:t xml:space="preserve"> </w:t>
      </w:r>
      <w:proofErr w:type="spellStart"/>
      <w:r w:rsidR="00F66393" w:rsidRPr="00705170">
        <w:rPr>
          <w:rFonts w:ascii="Times New Roman" w:hAnsi="Times New Roman" w:cs="Times New Roman"/>
        </w:rPr>
        <w:t>the</w:t>
      </w:r>
      <w:proofErr w:type="spellEnd"/>
      <w:r w:rsidR="00F66393" w:rsidRPr="00705170">
        <w:rPr>
          <w:rFonts w:ascii="Times New Roman" w:hAnsi="Times New Roman" w:cs="Times New Roman"/>
        </w:rPr>
        <w:t xml:space="preserve"> </w:t>
      </w:r>
      <w:proofErr w:type="spellStart"/>
      <w:r w:rsidR="00F66393" w:rsidRPr="00705170">
        <w:rPr>
          <w:rFonts w:ascii="Times New Roman" w:hAnsi="Times New Roman" w:cs="Times New Roman"/>
        </w:rPr>
        <w:t>shareholder’s</w:t>
      </w:r>
      <w:proofErr w:type="spellEnd"/>
      <w:r w:rsidR="00F66393" w:rsidRPr="00705170">
        <w:rPr>
          <w:rFonts w:ascii="Times New Roman" w:hAnsi="Times New Roman" w:cs="Times New Roman"/>
        </w:rPr>
        <w:t xml:space="preserve"> </w:t>
      </w:r>
      <w:proofErr w:type="spellStart"/>
      <w:r w:rsidR="00F66393" w:rsidRPr="00705170">
        <w:rPr>
          <w:rFonts w:ascii="Times New Roman" w:hAnsi="Times New Roman" w:cs="Times New Roman"/>
        </w:rPr>
        <w:t>investment</w:t>
      </w:r>
      <w:proofErr w:type="spellEnd"/>
      <w:r w:rsidR="00F66393" w:rsidRPr="00705170">
        <w:rPr>
          <w:rFonts w:ascii="Times New Roman" w:hAnsi="Times New Roman" w:cs="Times New Roman"/>
        </w:rPr>
        <w:t xml:space="preserve"> in </w:t>
      </w:r>
      <w:proofErr w:type="spellStart"/>
      <w:r w:rsidR="00F66393" w:rsidRPr="00705170">
        <w:rPr>
          <w:rFonts w:ascii="Times New Roman" w:hAnsi="Times New Roman" w:cs="Times New Roman"/>
        </w:rPr>
        <w:t>the</w:t>
      </w:r>
      <w:proofErr w:type="spellEnd"/>
      <w:r w:rsidR="00F66393" w:rsidRPr="00705170">
        <w:rPr>
          <w:rFonts w:ascii="Times New Roman" w:hAnsi="Times New Roman" w:cs="Times New Roman"/>
        </w:rPr>
        <w:t xml:space="preserve"> </w:t>
      </w:r>
      <w:proofErr w:type="spellStart"/>
      <w:r w:rsidR="00F66393" w:rsidRPr="00705170">
        <w:rPr>
          <w:rFonts w:ascii="Times New Roman" w:hAnsi="Times New Roman" w:cs="Times New Roman"/>
        </w:rPr>
        <w:t>corporation</w:t>
      </w:r>
      <w:proofErr w:type="spellEnd"/>
      <w:r w:rsidR="00F66393" w:rsidRPr="00705170">
        <w:rPr>
          <w:rFonts w:ascii="Times New Roman" w:hAnsi="Times New Roman" w:cs="Times New Roman"/>
        </w:rPr>
        <w:t>”</w:t>
      </w:r>
      <w:r w:rsidR="0036792D" w:rsidRPr="00705170">
        <w:rPr>
          <w:rStyle w:val="DipnotBavurusu"/>
          <w:rFonts w:ascii="Times New Roman" w:hAnsi="Times New Roman" w:cs="Times New Roman"/>
        </w:rPr>
        <w:footnoteReference w:id="563"/>
      </w:r>
      <w:r w:rsidR="00F66393" w:rsidRPr="00705170">
        <w:rPr>
          <w:rFonts w:ascii="Times New Roman" w:hAnsi="Times New Roman" w:cs="Times New Roman"/>
        </w:rPr>
        <w:t xml:space="preserve">. </w:t>
      </w:r>
      <w:proofErr w:type="spellStart"/>
      <w:r w:rsidR="00EB5CA9" w:rsidRPr="00705170">
        <w:rPr>
          <w:rFonts w:ascii="Times New Roman" w:hAnsi="Times New Roman" w:cs="Times New Roman"/>
        </w:rPr>
        <w:t>While</w:t>
      </w:r>
      <w:proofErr w:type="spellEnd"/>
      <w:r w:rsidR="00EB5CA9" w:rsidRPr="00705170">
        <w:rPr>
          <w:rFonts w:ascii="Times New Roman" w:hAnsi="Times New Roman" w:cs="Times New Roman"/>
        </w:rPr>
        <w:t xml:space="preserve"> a </w:t>
      </w:r>
      <w:proofErr w:type="spellStart"/>
      <w:r w:rsidR="00EB5CA9" w:rsidRPr="00705170">
        <w:rPr>
          <w:rFonts w:ascii="Times New Roman" w:hAnsi="Times New Roman" w:cs="Times New Roman"/>
        </w:rPr>
        <w:t>minority</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shareholder</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need</w:t>
      </w:r>
      <w:proofErr w:type="spellEnd"/>
      <w:r w:rsidR="006A6AF5" w:rsidRPr="00705170">
        <w:rPr>
          <w:rFonts w:ascii="Times New Roman" w:hAnsi="Times New Roman" w:cs="Times New Roman"/>
        </w:rPr>
        <w:t xml:space="preserve"> </w:t>
      </w:r>
      <w:r w:rsidR="00EB5CA9" w:rsidRPr="00705170">
        <w:rPr>
          <w:rFonts w:ascii="Times New Roman" w:hAnsi="Times New Roman" w:cs="Times New Roman"/>
        </w:rPr>
        <w:t xml:space="preserve">not </w:t>
      </w:r>
      <w:proofErr w:type="spellStart"/>
      <w:r w:rsidR="00EB5CA9" w:rsidRPr="00705170">
        <w:rPr>
          <w:rFonts w:ascii="Times New Roman" w:hAnsi="Times New Roman" w:cs="Times New Roman"/>
        </w:rPr>
        <w:t>to</w:t>
      </w:r>
      <w:proofErr w:type="spellEnd"/>
      <w:r w:rsidR="00EB5CA9" w:rsidRPr="00705170">
        <w:rPr>
          <w:rFonts w:ascii="Times New Roman" w:hAnsi="Times New Roman" w:cs="Times New Roman"/>
        </w:rPr>
        <w:t xml:space="preserve"> be </w:t>
      </w:r>
      <w:proofErr w:type="spellStart"/>
      <w:r w:rsidR="00EB5CA9" w:rsidRPr="00705170">
        <w:rPr>
          <w:rFonts w:ascii="Times New Roman" w:hAnsi="Times New Roman" w:cs="Times New Roman"/>
        </w:rPr>
        <w:t>deprived</w:t>
      </w:r>
      <w:proofErr w:type="spellEnd"/>
      <w:r w:rsidR="00EB5CA9" w:rsidRPr="00705170">
        <w:rPr>
          <w:rFonts w:ascii="Times New Roman" w:hAnsi="Times New Roman" w:cs="Times New Roman"/>
        </w:rPr>
        <w:t xml:space="preserve"> of his </w:t>
      </w:r>
      <w:proofErr w:type="spellStart"/>
      <w:r w:rsidR="00EB5CA9" w:rsidRPr="00705170">
        <w:rPr>
          <w:rFonts w:ascii="Times New Roman" w:hAnsi="Times New Roman" w:cs="Times New Roman"/>
        </w:rPr>
        <w:t>shares</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to</w:t>
      </w:r>
      <w:proofErr w:type="spellEnd"/>
      <w:r w:rsidR="00EB5CA9" w:rsidRPr="00705170">
        <w:rPr>
          <w:rFonts w:ascii="Times New Roman" w:hAnsi="Times New Roman" w:cs="Times New Roman"/>
        </w:rPr>
        <w:t xml:space="preserve"> be </w:t>
      </w:r>
      <w:proofErr w:type="spellStart"/>
      <w:r w:rsidR="00EB5CA9" w:rsidRPr="00705170">
        <w:rPr>
          <w:rFonts w:ascii="Times New Roman" w:hAnsi="Times New Roman" w:cs="Times New Roman"/>
        </w:rPr>
        <w:t>squeezed</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out</w:t>
      </w:r>
      <w:proofErr w:type="spellEnd"/>
      <w:r w:rsidR="00EB5CA9" w:rsidRPr="00705170">
        <w:rPr>
          <w:rFonts w:ascii="Times New Roman" w:hAnsi="Times New Roman" w:cs="Times New Roman"/>
        </w:rPr>
        <w:t xml:space="preserve">, “he can be </w:t>
      </w:r>
      <w:proofErr w:type="spellStart"/>
      <w:r w:rsidR="00EB5CA9" w:rsidRPr="00705170">
        <w:rPr>
          <w:rFonts w:ascii="Times New Roman" w:hAnsi="Times New Roman" w:cs="Times New Roman"/>
        </w:rPr>
        <w:t>oppressed</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by</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actions</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which</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reduces</w:t>
      </w:r>
      <w:proofErr w:type="spellEnd"/>
      <w:r w:rsidR="00EB5CA9" w:rsidRPr="00705170">
        <w:rPr>
          <w:rFonts w:ascii="Times New Roman" w:hAnsi="Times New Roman" w:cs="Times New Roman"/>
        </w:rPr>
        <w:t xml:space="preserve"> his </w:t>
      </w:r>
      <w:proofErr w:type="spellStart"/>
      <w:r w:rsidR="00EB5CA9" w:rsidRPr="00705170">
        <w:rPr>
          <w:rFonts w:ascii="Times New Roman" w:hAnsi="Times New Roman" w:cs="Times New Roman"/>
        </w:rPr>
        <w:t>claim</w:t>
      </w:r>
      <w:proofErr w:type="spellEnd"/>
      <w:r w:rsidR="00EB5CA9" w:rsidRPr="00705170">
        <w:rPr>
          <w:rFonts w:ascii="Times New Roman" w:hAnsi="Times New Roman" w:cs="Times New Roman"/>
        </w:rPr>
        <w:t xml:space="preserve"> on </w:t>
      </w:r>
      <w:proofErr w:type="spellStart"/>
      <w:r w:rsidR="00EB5CA9" w:rsidRPr="00705170">
        <w:rPr>
          <w:rFonts w:ascii="Times New Roman" w:hAnsi="Times New Roman" w:cs="Times New Roman"/>
        </w:rPr>
        <w:t>the</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corporation’s</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assets</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or</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deprives</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him</w:t>
      </w:r>
      <w:proofErr w:type="spellEnd"/>
      <w:r w:rsidR="00EB5CA9" w:rsidRPr="00705170">
        <w:rPr>
          <w:rFonts w:ascii="Times New Roman" w:hAnsi="Times New Roman" w:cs="Times New Roman"/>
        </w:rPr>
        <w:t xml:space="preserve"> of </w:t>
      </w:r>
      <w:proofErr w:type="spellStart"/>
      <w:r w:rsidR="00EB5CA9" w:rsidRPr="00705170">
        <w:rPr>
          <w:rFonts w:ascii="Times New Roman" w:hAnsi="Times New Roman" w:cs="Times New Roman"/>
        </w:rPr>
        <w:t>the</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return</w:t>
      </w:r>
      <w:proofErr w:type="spellEnd"/>
      <w:r w:rsidR="00EB5CA9" w:rsidRPr="00705170">
        <w:rPr>
          <w:rFonts w:ascii="Times New Roman" w:hAnsi="Times New Roman" w:cs="Times New Roman"/>
        </w:rPr>
        <w:t xml:space="preserve"> on his </w:t>
      </w:r>
      <w:proofErr w:type="spellStart"/>
      <w:r w:rsidR="00EB5CA9" w:rsidRPr="00705170">
        <w:rPr>
          <w:rFonts w:ascii="Times New Roman" w:hAnsi="Times New Roman" w:cs="Times New Roman"/>
        </w:rPr>
        <w:t>investment</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to</w:t>
      </w:r>
      <w:proofErr w:type="spellEnd"/>
      <w:r w:rsidR="00EB5CA9" w:rsidRPr="00705170">
        <w:rPr>
          <w:rFonts w:ascii="Times New Roman" w:hAnsi="Times New Roman" w:cs="Times New Roman"/>
        </w:rPr>
        <w:t xml:space="preserve"> </w:t>
      </w:r>
      <w:proofErr w:type="spellStart"/>
      <w:r w:rsidR="00EB5CA9" w:rsidRPr="00705170">
        <w:rPr>
          <w:rFonts w:ascii="Times New Roman" w:hAnsi="Times New Roman" w:cs="Times New Roman"/>
        </w:rPr>
        <w:t>which</w:t>
      </w:r>
      <w:proofErr w:type="spellEnd"/>
      <w:r w:rsidR="00EB5CA9" w:rsidRPr="00705170">
        <w:rPr>
          <w:rFonts w:ascii="Times New Roman" w:hAnsi="Times New Roman" w:cs="Times New Roman"/>
        </w:rPr>
        <w:t xml:space="preserve"> he is </w:t>
      </w:r>
      <w:proofErr w:type="spellStart"/>
      <w:r w:rsidR="00EB5CA9" w:rsidRPr="00705170">
        <w:rPr>
          <w:rFonts w:ascii="Times New Roman" w:hAnsi="Times New Roman" w:cs="Times New Roman"/>
        </w:rPr>
        <w:t>entitled</w:t>
      </w:r>
      <w:proofErr w:type="spellEnd"/>
      <w:r w:rsidR="00EB5CA9" w:rsidRPr="00705170">
        <w:rPr>
          <w:rFonts w:ascii="Times New Roman" w:hAnsi="Times New Roman" w:cs="Times New Roman"/>
        </w:rPr>
        <w:t>”</w:t>
      </w:r>
      <w:r w:rsidR="00EB5CA9" w:rsidRPr="00705170">
        <w:rPr>
          <w:rStyle w:val="DipnotBavurusu"/>
          <w:rFonts w:ascii="Times New Roman" w:hAnsi="Times New Roman" w:cs="Times New Roman"/>
        </w:rPr>
        <w:footnoteReference w:id="564"/>
      </w:r>
      <w:r w:rsidR="00EB5CA9" w:rsidRPr="00705170">
        <w:rPr>
          <w:rFonts w:ascii="Times New Roman" w:hAnsi="Times New Roman" w:cs="Times New Roman"/>
        </w:rPr>
        <w:t xml:space="preserve">. </w:t>
      </w:r>
      <w:proofErr w:type="spellStart"/>
      <w:r w:rsidR="009551F5" w:rsidRPr="00705170">
        <w:rPr>
          <w:rFonts w:ascii="Times New Roman" w:hAnsi="Times New Roman" w:cs="Times New Roman"/>
        </w:rPr>
        <w:t>Hence</w:t>
      </w:r>
      <w:proofErr w:type="spellEnd"/>
      <w:r w:rsidR="009551F5" w:rsidRPr="00705170">
        <w:rPr>
          <w:rFonts w:ascii="Times New Roman" w:hAnsi="Times New Roman" w:cs="Times New Roman"/>
        </w:rPr>
        <w:t>, i</w:t>
      </w:r>
      <w:r w:rsidR="0001211A" w:rsidRPr="00705170">
        <w:rPr>
          <w:rFonts w:ascii="Times New Roman" w:hAnsi="Times New Roman" w:cs="Times New Roman"/>
        </w:rPr>
        <w:t xml:space="preserve">t is </w:t>
      </w:r>
      <w:proofErr w:type="spellStart"/>
      <w:r w:rsidR="0001211A" w:rsidRPr="00705170">
        <w:rPr>
          <w:rFonts w:ascii="Times New Roman" w:hAnsi="Times New Roman" w:cs="Times New Roman"/>
        </w:rPr>
        <w:t>said</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that</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primary</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purpose</w:t>
      </w:r>
      <w:proofErr w:type="spellEnd"/>
      <w:r w:rsidR="0001211A" w:rsidRPr="00705170">
        <w:rPr>
          <w:rFonts w:ascii="Times New Roman" w:hAnsi="Times New Roman" w:cs="Times New Roman"/>
        </w:rPr>
        <w:t xml:space="preserve"> of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shareholder</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oppression</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law</w:t>
      </w:r>
      <w:proofErr w:type="spellEnd"/>
      <w:r w:rsidR="0001211A" w:rsidRPr="00705170">
        <w:rPr>
          <w:rFonts w:ascii="Times New Roman" w:hAnsi="Times New Roman" w:cs="Times New Roman"/>
        </w:rPr>
        <w:t xml:space="preserve"> is </w:t>
      </w:r>
      <w:proofErr w:type="spellStart"/>
      <w:r w:rsidR="0001211A" w:rsidRPr="00705170">
        <w:rPr>
          <w:rFonts w:ascii="Times New Roman" w:hAnsi="Times New Roman" w:cs="Times New Roman"/>
        </w:rPr>
        <w:t>to</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protect</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shareholders</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investmen</w:t>
      </w:r>
      <w:r w:rsidR="009551F5" w:rsidRPr="00705170">
        <w:rPr>
          <w:rFonts w:ascii="Times New Roman" w:hAnsi="Times New Roman" w:cs="Times New Roman"/>
        </w:rPr>
        <w:t>t</w:t>
      </w:r>
      <w:proofErr w:type="spellEnd"/>
      <w:r w:rsidR="009551F5" w:rsidRPr="00705170">
        <w:rPr>
          <w:rFonts w:ascii="Times New Roman" w:hAnsi="Times New Roman" w:cs="Times New Roman"/>
        </w:rPr>
        <w:t xml:space="preserve">, </w:t>
      </w:r>
      <w:proofErr w:type="spellStart"/>
      <w:r w:rsidR="009551F5" w:rsidRPr="00705170">
        <w:rPr>
          <w:rFonts w:ascii="Times New Roman" w:hAnsi="Times New Roman" w:cs="Times New Roman"/>
        </w:rPr>
        <w:t>because</w:t>
      </w:r>
      <w:proofErr w:type="spellEnd"/>
      <w:r w:rsidR="009551F5" w:rsidRPr="00705170">
        <w:rPr>
          <w:rFonts w:ascii="Times New Roman" w:hAnsi="Times New Roman" w:cs="Times New Roman"/>
        </w:rPr>
        <w:t xml:space="preserve"> </w:t>
      </w:r>
      <w:proofErr w:type="spellStart"/>
      <w:r w:rsidR="0001211A" w:rsidRPr="00705170">
        <w:rPr>
          <w:rFonts w:ascii="Times New Roman" w:hAnsi="Times New Roman" w:cs="Times New Roman"/>
        </w:rPr>
        <w:t>the</w:t>
      </w:r>
      <w:proofErr w:type="spellEnd"/>
      <w:r w:rsidR="009551F5" w:rsidRPr="00705170">
        <w:rPr>
          <w:rFonts w:ascii="Times New Roman" w:hAnsi="Times New Roman" w:cs="Times New Roman"/>
        </w:rPr>
        <w:t xml:space="preserve"> </w:t>
      </w:r>
      <w:proofErr w:type="spellStart"/>
      <w:r w:rsidR="009551F5" w:rsidRPr="00705170">
        <w:rPr>
          <w:rFonts w:ascii="Times New Roman" w:hAnsi="Times New Roman" w:cs="Times New Roman"/>
        </w:rPr>
        <w:t>oppressive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conduct</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that</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frustrates</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reasonable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expectations</w:t>
      </w:r>
      <w:proofErr w:type="spellEnd"/>
      <w:r w:rsidR="0001211A" w:rsidRPr="00705170">
        <w:rPr>
          <w:rFonts w:ascii="Times New Roman" w:hAnsi="Times New Roman" w:cs="Times New Roman"/>
        </w:rPr>
        <w:t xml:space="preserve"> of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shareholder</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leaves</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shareholder</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without</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any</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adequate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means</w:t>
      </w:r>
      <w:proofErr w:type="spellEnd"/>
      <w:r w:rsidR="0001211A" w:rsidRPr="00705170">
        <w:rPr>
          <w:rFonts w:ascii="Times New Roman" w:hAnsi="Times New Roman" w:cs="Times New Roman"/>
        </w:rPr>
        <w:t xml:space="preserve"> of </w:t>
      </w:r>
      <w:proofErr w:type="spellStart"/>
      <w:r w:rsidR="0001211A" w:rsidRPr="00705170">
        <w:rPr>
          <w:rFonts w:ascii="Times New Roman" w:hAnsi="Times New Roman" w:cs="Times New Roman"/>
        </w:rPr>
        <w:t>recovering</w:t>
      </w:r>
      <w:proofErr w:type="spellEnd"/>
      <w:r w:rsidR="0001211A" w:rsidRPr="00705170">
        <w:rPr>
          <w:rFonts w:ascii="Times New Roman" w:hAnsi="Times New Roman" w:cs="Times New Roman"/>
        </w:rPr>
        <w:t xml:space="preserve"> his </w:t>
      </w:r>
      <w:proofErr w:type="spellStart"/>
      <w:r w:rsidR="0001211A" w:rsidRPr="00705170">
        <w:rPr>
          <w:rFonts w:ascii="Times New Roman" w:hAnsi="Times New Roman" w:cs="Times New Roman"/>
        </w:rPr>
        <w:t>investment</w:t>
      </w:r>
      <w:proofErr w:type="spellEnd"/>
      <w:r w:rsidR="0001211A" w:rsidRPr="00705170">
        <w:rPr>
          <w:rStyle w:val="DipnotBavurusu"/>
          <w:rFonts w:ascii="Times New Roman" w:hAnsi="Times New Roman" w:cs="Times New Roman"/>
        </w:rPr>
        <w:footnoteReference w:id="565"/>
      </w:r>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This</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argument</w:t>
      </w:r>
      <w:proofErr w:type="spellEnd"/>
      <w:r w:rsidR="0001211A" w:rsidRPr="00705170">
        <w:rPr>
          <w:rFonts w:ascii="Times New Roman" w:hAnsi="Times New Roman" w:cs="Times New Roman"/>
        </w:rPr>
        <w:t xml:space="preserve"> is </w:t>
      </w:r>
      <w:proofErr w:type="spellStart"/>
      <w:r w:rsidR="0001211A" w:rsidRPr="00705170">
        <w:rPr>
          <w:rFonts w:ascii="Times New Roman" w:hAnsi="Times New Roman" w:cs="Times New Roman"/>
        </w:rPr>
        <w:t>supported</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by</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fact</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that</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statutes</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generally</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provide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less</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drastic</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remedies</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than</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dissolution</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and</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most</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common</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alternative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remedy</w:t>
      </w:r>
      <w:proofErr w:type="spellEnd"/>
      <w:r w:rsidR="0001211A" w:rsidRPr="00705170">
        <w:rPr>
          <w:rFonts w:ascii="Times New Roman" w:hAnsi="Times New Roman" w:cs="Times New Roman"/>
        </w:rPr>
        <w:t xml:space="preserve"> is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buyout</w:t>
      </w:r>
      <w:proofErr w:type="spellEnd"/>
      <w:r w:rsidR="0001211A" w:rsidRPr="00705170">
        <w:rPr>
          <w:rFonts w:ascii="Times New Roman" w:hAnsi="Times New Roman" w:cs="Times New Roman"/>
        </w:rPr>
        <w:t xml:space="preserve"> of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oppressed</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investor’s</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holdings</w:t>
      </w:r>
      <w:proofErr w:type="spellEnd"/>
      <w:r w:rsidR="0001211A" w:rsidRPr="00705170">
        <w:rPr>
          <w:rStyle w:val="DipnotBavurusu"/>
          <w:rFonts w:ascii="Times New Roman" w:hAnsi="Times New Roman" w:cs="Times New Roman"/>
        </w:rPr>
        <w:footnoteReference w:id="566"/>
      </w:r>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logical</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implication</w:t>
      </w:r>
      <w:proofErr w:type="spellEnd"/>
      <w:r w:rsidR="0001211A" w:rsidRPr="00705170">
        <w:rPr>
          <w:rFonts w:ascii="Times New Roman" w:hAnsi="Times New Roman" w:cs="Times New Roman"/>
        </w:rPr>
        <w:t xml:space="preserve"> of </w:t>
      </w:r>
      <w:proofErr w:type="spellStart"/>
      <w:r w:rsidR="0001211A" w:rsidRPr="00705170">
        <w:rPr>
          <w:rFonts w:ascii="Times New Roman" w:hAnsi="Times New Roman" w:cs="Times New Roman"/>
        </w:rPr>
        <w:t>this</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view</w:t>
      </w:r>
      <w:proofErr w:type="spellEnd"/>
      <w:r w:rsidR="0001211A" w:rsidRPr="00705170">
        <w:rPr>
          <w:rFonts w:ascii="Times New Roman" w:hAnsi="Times New Roman" w:cs="Times New Roman"/>
        </w:rPr>
        <w:t xml:space="preserve"> is </w:t>
      </w:r>
      <w:proofErr w:type="spellStart"/>
      <w:r w:rsidR="0001211A" w:rsidRPr="00705170">
        <w:rPr>
          <w:rFonts w:ascii="Times New Roman" w:hAnsi="Times New Roman" w:cs="Times New Roman"/>
        </w:rPr>
        <w:t>that</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oppression</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liability</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arises</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when</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value</w:t>
      </w:r>
      <w:proofErr w:type="spellEnd"/>
      <w:r w:rsidR="0001211A" w:rsidRPr="00705170">
        <w:rPr>
          <w:rFonts w:ascii="Times New Roman" w:hAnsi="Times New Roman" w:cs="Times New Roman"/>
        </w:rPr>
        <w:t xml:space="preserve"> of a </w:t>
      </w:r>
      <w:proofErr w:type="spellStart"/>
      <w:r w:rsidR="0001211A" w:rsidRPr="00705170">
        <w:rPr>
          <w:rFonts w:ascii="Times New Roman" w:hAnsi="Times New Roman" w:cs="Times New Roman"/>
        </w:rPr>
        <w:t>shareholder’s</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investment</w:t>
      </w:r>
      <w:proofErr w:type="spellEnd"/>
      <w:r w:rsidR="0001211A" w:rsidRPr="00705170">
        <w:rPr>
          <w:rFonts w:ascii="Times New Roman" w:hAnsi="Times New Roman" w:cs="Times New Roman"/>
        </w:rPr>
        <w:t xml:space="preserve"> is </w:t>
      </w:r>
      <w:proofErr w:type="spellStart"/>
      <w:r w:rsidR="0001211A" w:rsidRPr="00705170">
        <w:rPr>
          <w:rFonts w:ascii="Times New Roman" w:hAnsi="Times New Roman" w:cs="Times New Roman"/>
        </w:rPr>
        <w:t>harmed</w:t>
      </w:r>
      <w:proofErr w:type="spellEnd"/>
      <w:r w:rsidR="0001211A" w:rsidRPr="00705170">
        <w:rPr>
          <w:rStyle w:val="DipnotBavurusu"/>
          <w:rFonts w:ascii="Times New Roman" w:hAnsi="Times New Roman" w:cs="Times New Roman"/>
        </w:rPr>
        <w:footnoteReference w:id="567"/>
      </w:r>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Herein</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function</w:t>
      </w:r>
      <w:proofErr w:type="spellEnd"/>
      <w:r w:rsidR="0001211A" w:rsidRPr="00705170">
        <w:rPr>
          <w:rFonts w:ascii="Times New Roman" w:hAnsi="Times New Roman" w:cs="Times New Roman"/>
        </w:rPr>
        <w:t xml:space="preserve"> of </w:t>
      </w:r>
      <w:proofErr w:type="spellStart"/>
      <w:r w:rsidR="0001211A" w:rsidRPr="00705170">
        <w:rPr>
          <w:rFonts w:ascii="Times New Roman" w:hAnsi="Times New Roman" w:cs="Times New Roman"/>
        </w:rPr>
        <w:t>the</w:t>
      </w:r>
      <w:proofErr w:type="spellEnd"/>
      <w:r w:rsidR="00B07FEF" w:rsidRPr="00705170">
        <w:rPr>
          <w:rFonts w:ascii="Times New Roman" w:hAnsi="Times New Roman" w:cs="Times New Roman"/>
        </w:rPr>
        <w:t xml:space="preserve"> </w:t>
      </w:r>
      <w:proofErr w:type="spellStart"/>
      <w:r w:rsidR="00B07FEF" w:rsidRPr="00705170">
        <w:rPr>
          <w:rFonts w:ascii="Times New Roman" w:hAnsi="Times New Roman" w:cs="Times New Roman"/>
        </w:rPr>
        <w:t>standards</w:t>
      </w:r>
      <w:proofErr w:type="spellEnd"/>
      <w:r w:rsidR="00B07FEF" w:rsidRPr="00705170">
        <w:rPr>
          <w:rFonts w:ascii="Times New Roman" w:hAnsi="Times New Roman" w:cs="Times New Roman"/>
        </w:rPr>
        <w:t xml:space="preserve"> </w:t>
      </w:r>
      <w:proofErr w:type="spellStart"/>
      <w:r w:rsidR="00365184" w:rsidRPr="00705170">
        <w:rPr>
          <w:rFonts w:ascii="Times New Roman" w:hAnsi="Times New Roman" w:cs="Times New Roman"/>
        </w:rPr>
        <w:t>that</w:t>
      </w:r>
      <w:proofErr w:type="spellEnd"/>
      <w:r w:rsidR="00365184" w:rsidRPr="00705170">
        <w:rPr>
          <w:rFonts w:ascii="Times New Roman" w:hAnsi="Times New Roman" w:cs="Times New Roman"/>
        </w:rPr>
        <w:t xml:space="preserve"> define </w:t>
      </w:r>
      <w:proofErr w:type="spellStart"/>
      <w:r w:rsidR="00365184" w:rsidRPr="00705170">
        <w:rPr>
          <w:rFonts w:ascii="Times New Roman" w:hAnsi="Times New Roman" w:cs="Times New Roman"/>
        </w:rPr>
        <w:t>oppression</w:t>
      </w:r>
      <w:proofErr w:type="spellEnd"/>
      <w:r w:rsidR="00365184" w:rsidRPr="00705170">
        <w:rPr>
          <w:rFonts w:ascii="Times New Roman" w:hAnsi="Times New Roman" w:cs="Times New Roman"/>
        </w:rPr>
        <w:t xml:space="preserve">, </w:t>
      </w:r>
      <w:proofErr w:type="spellStart"/>
      <w:r w:rsidR="00B07FEF" w:rsidRPr="00705170">
        <w:rPr>
          <w:rFonts w:ascii="Times New Roman" w:hAnsi="Times New Roman" w:cs="Times New Roman"/>
        </w:rPr>
        <w:t>such</w:t>
      </w:r>
      <w:proofErr w:type="spellEnd"/>
      <w:r w:rsidR="00B07FEF" w:rsidRPr="00705170">
        <w:rPr>
          <w:rFonts w:ascii="Times New Roman" w:hAnsi="Times New Roman" w:cs="Times New Roman"/>
        </w:rPr>
        <w:t xml:space="preserve"> as </w:t>
      </w:r>
      <w:proofErr w:type="spellStart"/>
      <w:r w:rsidR="00B07FEF"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reasonable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expectations</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analysis</w:t>
      </w:r>
      <w:proofErr w:type="spellEnd"/>
      <w:r w:rsidR="00365184" w:rsidRPr="00705170">
        <w:rPr>
          <w:rFonts w:ascii="Times New Roman" w:hAnsi="Times New Roman" w:cs="Times New Roman"/>
        </w:rPr>
        <w:t>,</w:t>
      </w:r>
      <w:r w:rsidR="0001211A" w:rsidRPr="00705170">
        <w:rPr>
          <w:rFonts w:ascii="Times New Roman" w:hAnsi="Times New Roman" w:cs="Times New Roman"/>
        </w:rPr>
        <w:t xml:space="preserve"> is </w:t>
      </w:r>
      <w:proofErr w:type="spellStart"/>
      <w:r w:rsidR="0001211A" w:rsidRPr="00705170">
        <w:rPr>
          <w:rFonts w:ascii="Times New Roman" w:hAnsi="Times New Roman" w:cs="Times New Roman"/>
        </w:rPr>
        <w:t>seen</w:t>
      </w:r>
      <w:proofErr w:type="spellEnd"/>
      <w:r w:rsidR="0001211A" w:rsidRPr="00705170">
        <w:rPr>
          <w:rFonts w:ascii="Times New Roman" w:hAnsi="Times New Roman" w:cs="Times New Roman"/>
        </w:rPr>
        <w:t xml:space="preserve"> </w:t>
      </w:r>
      <w:r w:rsidR="00365184" w:rsidRPr="00705170">
        <w:rPr>
          <w:rFonts w:ascii="Times New Roman" w:hAnsi="Times New Roman" w:cs="Times New Roman"/>
        </w:rPr>
        <w:t xml:space="preserve">as a </w:t>
      </w:r>
      <w:proofErr w:type="spellStart"/>
      <w:r w:rsidR="00365184" w:rsidRPr="00705170">
        <w:rPr>
          <w:rFonts w:ascii="Times New Roman" w:hAnsi="Times New Roman" w:cs="Times New Roman"/>
        </w:rPr>
        <w:t>key</w:t>
      </w:r>
      <w:proofErr w:type="spellEnd"/>
      <w:r w:rsidR="00365184" w:rsidRPr="00705170">
        <w:rPr>
          <w:rFonts w:ascii="Times New Roman" w:hAnsi="Times New Roman" w:cs="Times New Roman"/>
        </w:rPr>
        <w:t xml:space="preserve"> </w:t>
      </w:r>
      <w:proofErr w:type="spellStart"/>
      <w:r w:rsidR="0001211A" w:rsidRPr="00705170">
        <w:rPr>
          <w:rFonts w:ascii="Times New Roman" w:hAnsi="Times New Roman" w:cs="Times New Roman"/>
        </w:rPr>
        <w:t>to</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identify</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whether</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the</w:t>
      </w:r>
      <w:proofErr w:type="spellEnd"/>
      <w:r w:rsidR="0001211A" w:rsidRPr="00705170">
        <w:rPr>
          <w:rFonts w:ascii="Times New Roman" w:hAnsi="Times New Roman" w:cs="Times New Roman"/>
        </w:rPr>
        <w:t xml:space="preserve"> </w:t>
      </w:r>
      <w:proofErr w:type="spellStart"/>
      <w:r w:rsidR="0001211A" w:rsidRPr="00705170">
        <w:rPr>
          <w:rFonts w:ascii="Times New Roman" w:hAnsi="Times New Roman" w:cs="Times New Roman"/>
        </w:rPr>
        <w:t>investment</w:t>
      </w:r>
      <w:proofErr w:type="spellEnd"/>
      <w:r w:rsidR="0001211A" w:rsidRPr="00705170">
        <w:rPr>
          <w:rFonts w:ascii="Times New Roman" w:hAnsi="Times New Roman" w:cs="Times New Roman"/>
        </w:rPr>
        <w:t xml:space="preserve"> is </w:t>
      </w:r>
      <w:proofErr w:type="spellStart"/>
      <w:r w:rsidR="0001211A" w:rsidRPr="00705170">
        <w:rPr>
          <w:rFonts w:ascii="Times New Roman" w:hAnsi="Times New Roman" w:cs="Times New Roman"/>
        </w:rPr>
        <w:t>harmed</w:t>
      </w:r>
      <w:proofErr w:type="spellEnd"/>
      <w:r w:rsidR="0001211A" w:rsidRPr="00705170">
        <w:rPr>
          <w:rStyle w:val="DipnotBavurusu"/>
          <w:rFonts w:ascii="Times New Roman" w:hAnsi="Times New Roman" w:cs="Times New Roman"/>
        </w:rPr>
        <w:footnoteReference w:id="568"/>
      </w:r>
      <w:r w:rsidR="0001211A" w:rsidRPr="00705170">
        <w:rPr>
          <w:rFonts w:ascii="Times New Roman" w:hAnsi="Times New Roman" w:cs="Times New Roman"/>
        </w:rPr>
        <w:t>.</w:t>
      </w:r>
    </w:p>
    <w:p w14:paraId="044D56FF" w14:textId="65EAF43D" w:rsidR="007247C0" w:rsidRPr="00705170" w:rsidRDefault="00396B09" w:rsidP="00FD2851">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lastRenderedPageBreak/>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squeeze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w:t>
      </w:r>
      <w:proofErr w:type="spellEnd"/>
      <w:r w:rsidRPr="00705170">
        <w:rPr>
          <w:rFonts w:ascii="Times New Roman" w:hAnsi="Times New Roman" w:cs="Times New Roman"/>
        </w:rPr>
        <w:t xml:space="preserve">” </w:t>
      </w:r>
      <w:r w:rsidR="00EF2CCC" w:rsidRPr="00705170">
        <w:rPr>
          <w:rFonts w:ascii="Times New Roman" w:hAnsi="Times New Roman" w:cs="Times New Roman"/>
        </w:rPr>
        <w:t>(</w:t>
      </w:r>
      <w:proofErr w:type="spellStart"/>
      <w:r w:rsidR="00EF2CCC" w:rsidRPr="00705170">
        <w:rPr>
          <w:rFonts w:ascii="Times New Roman" w:hAnsi="Times New Roman" w:cs="Times New Roman"/>
        </w:rPr>
        <w:t>or</w:t>
      </w:r>
      <w:proofErr w:type="spellEnd"/>
      <w:r w:rsidR="00EF2CCC" w:rsidRPr="00705170">
        <w:rPr>
          <w:rFonts w:ascii="Times New Roman" w:hAnsi="Times New Roman" w:cs="Times New Roman"/>
        </w:rPr>
        <w:t xml:space="preserve"> </w:t>
      </w:r>
      <w:proofErr w:type="spellStart"/>
      <w:r w:rsidR="00EF2CCC" w:rsidRPr="00705170">
        <w:rPr>
          <w:rFonts w:ascii="Times New Roman" w:hAnsi="Times New Roman" w:cs="Times New Roman"/>
        </w:rPr>
        <w:t>freeze</w:t>
      </w:r>
      <w:proofErr w:type="spellEnd"/>
      <w:r w:rsidR="00EF2CCC" w:rsidRPr="00705170">
        <w:rPr>
          <w:rFonts w:ascii="Times New Roman" w:hAnsi="Times New Roman" w:cs="Times New Roman"/>
        </w:rPr>
        <w:t xml:space="preserve">- </w:t>
      </w:r>
      <w:proofErr w:type="spellStart"/>
      <w:r w:rsidR="00EF2CCC" w:rsidRPr="00705170">
        <w:rPr>
          <w:rFonts w:ascii="Times New Roman" w:hAnsi="Times New Roman" w:cs="Times New Roman"/>
        </w:rPr>
        <w:t>out</w:t>
      </w:r>
      <w:proofErr w:type="spellEnd"/>
      <w:r w:rsidR="00EF2CCC" w:rsidRPr="00705170">
        <w:rPr>
          <w:rFonts w:ascii="Times New Roman" w:hAnsi="Times New Roman" w:cs="Times New Roman"/>
        </w:rPr>
        <w:t xml:space="preserve">) </w:t>
      </w:r>
      <w:proofErr w:type="spellStart"/>
      <w:r w:rsidRPr="00705170">
        <w:rPr>
          <w:rFonts w:ascii="Times New Roman" w:hAnsi="Times New Roman" w:cs="Times New Roman"/>
        </w:rPr>
        <w:t>means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owners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participants</w:t>
      </w:r>
      <w:proofErr w:type="spellEnd"/>
      <w:r w:rsidRPr="00705170">
        <w:rPr>
          <w:rFonts w:ascii="Times New Roman" w:hAnsi="Times New Roman" w:cs="Times New Roman"/>
        </w:rPr>
        <w:t xml:space="preserve"> in a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strategic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position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eliminate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owners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participants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Style w:val="DipnotBavurusu"/>
          <w:rFonts w:ascii="Times New Roman" w:hAnsi="Times New Roman" w:cs="Times New Roman"/>
        </w:rPr>
        <w:footnoteReference w:id="569"/>
      </w:r>
      <w:r w:rsidRPr="00705170">
        <w:rPr>
          <w:rFonts w:ascii="Times New Roman" w:hAnsi="Times New Roman" w:cs="Times New Roman"/>
        </w:rPr>
        <w:t xml:space="preserve">. </w:t>
      </w:r>
      <w:proofErr w:type="spellStart"/>
      <w:r w:rsidRPr="00705170">
        <w:rPr>
          <w:rFonts w:ascii="Times New Roman" w:hAnsi="Times New Roman" w:cs="Times New Roman"/>
        </w:rPr>
        <w:t>Common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freeze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techniques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include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termination</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employment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refusal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declare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dividen</w:t>
      </w:r>
      <w:r w:rsidR="00577A9A" w:rsidRPr="00705170">
        <w:rPr>
          <w:rFonts w:ascii="Times New Roman" w:hAnsi="Times New Roman" w:cs="Times New Roman"/>
        </w:rPr>
        <w:t>d</w:t>
      </w:r>
      <w:r w:rsidRPr="00705170">
        <w:rPr>
          <w:rFonts w:ascii="Times New Roman" w:hAnsi="Times New Roman" w:cs="Times New Roman"/>
        </w:rPr>
        <w: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inadequate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dividends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removal</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position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siphoning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off</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earnings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high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compensation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Style w:val="DipnotBavurusu"/>
          <w:rFonts w:ascii="Times New Roman" w:hAnsi="Times New Roman" w:cs="Times New Roman"/>
        </w:rPr>
        <w:footnoteReference w:id="570"/>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misapplication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waste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funds</w:t>
      </w:r>
      <w:proofErr w:type="spellEnd"/>
      <w:r w:rsidRPr="00705170">
        <w:rPr>
          <w:rStyle w:val="DipnotBavurusu"/>
          <w:rFonts w:ascii="Times New Roman" w:hAnsi="Times New Roman" w:cs="Times New Roman"/>
        </w:rPr>
        <w:footnoteReference w:id="571"/>
      </w:r>
      <w:r w:rsidRPr="00705170">
        <w:rPr>
          <w:rFonts w:ascii="Times New Roman" w:hAnsi="Times New Roman" w:cs="Times New Roman"/>
        </w:rPr>
        <w:t xml:space="preserve">. </w:t>
      </w:r>
      <w:proofErr w:type="spellStart"/>
      <w:r w:rsidR="006766D8" w:rsidRPr="00705170">
        <w:rPr>
          <w:rFonts w:ascii="Times New Roman" w:hAnsi="Times New Roman" w:cs="Times New Roman"/>
        </w:rPr>
        <w:t>Relat</w:t>
      </w:r>
      <w:r w:rsidR="00E62DE6" w:rsidRPr="00705170">
        <w:rPr>
          <w:rFonts w:ascii="Times New Roman" w:hAnsi="Times New Roman" w:cs="Times New Roman"/>
        </w:rPr>
        <w:t>ed</w:t>
      </w:r>
      <w:proofErr w:type="spellEnd"/>
      <w:r w:rsidR="00E62DE6" w:rsidRPr="00705170">
        <w:rPr>
          <w:rFonts w:ascii="Times New Roman" w:hAnsi="Times New Roman" w:cs="Times New Roman"/>
        </w:rPr>
        <w:t xml:space="preserve">- </w:t>
      </w:r>
      <w:proofErr w:type="spellStart"/>
      <w:r w:rsidR="00E62DE6" w:rsidRPr="00705170">
        <w:rPr>
          <w:rFonts w:ascii="Times New Roman" w:hAnsi="Times New Roman" w:cs="Times New Roman"/>
        </w:rPr>
        <w:t>party</w:t>
      </w:r>
      <w:proofErr w:type="spellEnd"/>
      <w:r w:rsidR="00E62DE6" w:rsidRPr="00705170">
        <w:rPr>
          <w:rFonts w:ascii="Times New Roman" w:hAnsi="Times New Roman" w:cs="Times New Roman"/>
        </w:rPr>
        <w:t xml:space="preserve"> </w:t>
      </w:r>
      <w:proofErr w:type="spellStart"/>
      <w:r w:rsidR="00E62DE6" w:rsidRPr="00705170">
        <w:rPr>
          <w:rFonts w:ascii="Times New Roman" w:hAnsi="Times New Roman" w:cs="Times New Roman"/>
        </w:rPr>
        <w:t>transactions</w:t>
      </w:r>
      <w:proofErr w:type="spellEnd"/>
      <w:r w:rsidR="00E62DE6" w:rsidRPr="00705170">
        <w:rPr>
          <w:rFonts w:ascii="Times New Roman" w:hAnsi="Times New Roman" w:cs="Times New Roman"/>
        </w:rPr>
        <w:t xml:space="preserve"> </w:t>
      </w:r>
      <w:proofErr w:type="spellStart"/>
      <w:r w:rsidR="00380449" w:rsidRPr="00705170">
        <w:rPr>
          <w:rFonts w:ascii="Times New Roman" w:hAnsi="Times New Roman" w:cs="Times New Roman"/>
        </w:rPr>
        <w:t>violating</w:t>
      </w:r>
      <w:proofErr w:type="spellEnd"/>
      <w:r w:rsidR="00380449" w:rsidRPr="00705170">
        <w:rPr>
          <w:rFonts w:ascii="Times New Roman" w:hAnsi="Times New Roman" w:cs="Times New Roman"/>
        </w:rPr>
        <w:t xml:space="preserve"> </w:t>
      </w:r>
      <w:proofErr w:type="spellStart"/>
      <w:r w:rsidR="00380449" w:rsidRPr="00705170">
        <w:rPr>
          <w:rFonts w:ascii="Times New Roman" w:hAnsi="Times New Roman" w:cs="Times New Roman"/>
        </w:rPr>
        <w:t>arms</w:t>
      </w:r>
      <w:proofErr w:type="spellEnd"/>
      <w:r w:rsidR="00380449" w:rsidRPr="00705170">
        <w:rPr>
          <w:rFonts w:ascii="Times New Roman" w:hAnsi="Times New Roman" w:cs="Times New Roman"/>
        </w:rPr>
        <w:t xml:space="preserve">- </w:t>
      </w:r>
      <w:proofErr w:type="spellStart"/>
      <w:r w:rsidR="00380449" w:rsidRPr="00705170">
        <w:rPr>
          <w:rFonts w:ascii="Times New Roman" w:hAnsi="Times New Roman" w:cs="Times New Roman"/>
        </w:rPr>
        <w:t>lenght</w:t>
      </w:r>
      <w:proofErr w:type="spellEnd"/>
      <w:r w:rsidR="00380449" w:rsidRPr="00705170">
        <w:rPr>
          <w:rFonts w:ascii="Times New Roman" w:hAnsi="Times New Roman" w:cs="Times New Roman"/>
        </w:rPr>
        <w:t xml:space="preserve"> </w:t>
      </w:r>
      <w:proofErr w:type="spellStart"/>
      <w:r w:rsidR="00380449" w:rsidRPr="00705170">
        <w:rPr>
          <w:rFonts w:ascii="Times New Roman" w:hAnsi="Times New Roman" w:cs="Times New Roman"/>
        </w:rPr>
        <w:t>principle</w:t>
      </w:r>
      <w:proofErr w:type="spellEnd"/>
      <w:r w:rsidR="00093B63" w:rsidRPr="00705170">
        <w:rPr>
          <w:rStyle w:val="DipnotBavurusu"/>
          <w:rFonts w:ascii="Times New Roman" w:hAnsi="Times New Roman" w:cs="Times New Roman"/>
        </w:rPr>
        <w:footnoteReference w:id="572"/>
      </w:r>
      <w:r w:rsidR="00EF2CCC" w:rsidRPr="00705170">
        <w:rPr>
          <w:rFonts w:ascii="Times New Roman" w:hAnsi="Times New Roman" w:cs="Times New Roman"/>
        </w:rPr>
        <w:t xml:space="preserve">, </w:t>
      </w:r>
      <w:proofErr w:type="spellStart"/>
      <w:r w:rsidR="00093B63" w:rsidRPr="00705170">
        <w:rPr>
          <w:rFonts w:ascii="Times New Roman" w:hAnsi="Times New Roman" w:cs="Times New Roman"/>
        </w:rPr>
        <w:t>diverting</w:t>
      </w:r>
      <w:proofErr w:type="spellEnd"/>
      <w:r w:rsidR="00093B63" w:rsidRPr="00705170">
        <w:rPr>
          <w:rFonts w:ascii="Times New Roman" w:hAnsi="Times New Roman" w:cs="Times New Roman"/>
        </w:rPr>
        <w:t xml:space="preserve"> </w:t>
      </w:r>
      <w:proofErr w:type="spellStart"/>
      <w:r w:rsidR="00093B63" w:rsidRPr="00705170">
        <w:rPr>
          <w:rFonts w:ascii="Times New Roman" w:hAnsi="Times New Roman" w:cs="Times New Roman"/>
        </w:rPr>
        <w:t>corporate</w:t>
      </w:r>
      <w:proofErr w:type="spellEnd"/>
      <w:r w:rsidR="00093B63" w:rsidRPr="00705170">
        <w:rPr>
          <w:rFonts w:ascii="Times New Roman" w:hAnsi="Times New Roman" w:cs="Times New Roman"/>
        </w:rPr>
        <w:t xml:space="preserve"> </w:t>
      </w:r>
      <w:proofErr w:type="spellStart"/>
      <w:r w:rsidR="00093B63" w:rsidRPr="00705170">
        <w:rPr>
          <w:rFonts w:ascii="Times New Roman" w:hAnsi="Times New Roman" w:cs="Times New Roman"/>
        </w:rPr>
        <w:t>funds</w:t>
      </w:r>
      <w:proofErr w:type="spellEnd"/>
      <w:r w:rsidR="00093B63" w:rsidRPr="00705170">
        <w:rPr>
          <w:rFonts w:ascii="Times New Roman" w:hAnsi="Times New Roman" w:cs="Times New Roman"/>
        </w:rPr>
        <w:t xml:space="preserve"> </w:t>
      </w:r>
      <w:proofErr w:type="spellStart"/>
      <w:r w:rsidR="00093B63" w:rsidRPr="00705170">
        <w:rPr>
          <w:rFonts w:ascii="Times New Roman" w:hAnsi="Times New Roman" w:cs="Times New Roman"/>
        </w:rPr>
        <w:t>for</w:t>
      </w:r>
      <w:proofErr w:type="spellEnd"/>
      <w:r w:rsidR="00093B63" w:rsidRPr="00705170">
        <w:rPr>
          <w:rFonts w:ascii="Times New Roman" w:hAnsi="Times New Roman" w:cs="Times New Roman"/>
        </w:rPr>
        <w:t xml:space="preserve"> </w:t>
      </w:r>
      <w:proofErr w:type="spellStart"/>
      <w:r w:rsidR="00093B63" w:rsidRPr="00705170">
        <w:rPr>
          <w:rFonts w:ascii="Times New Roman" w:hAnsi="Times New Roman" w:cs="Times New Roman"/>
        </w:rPr>
        <w:t>personal</w:t>
      </w:r>
      <w:proofErr w:type="spellEnd"/>
      <w:r w:rsidR="00093B63" w:rsidRPr="00705170">
        <w:rPr>
          <w:rFonts w:ascii="Times New Roman" w:hAnsi="Times New Roman" w:cs="Times New Roman"/>
        </w:rPr>
        <w:t xml:space="preserve"> </w:t>
      </w:r>
      <w:proofErr w:type="spellStart"/>
      <w:r w:rsidR="00093B63" w:rsidRPr="00705170">
        <w:rPr>
          <w:rFonts w:ascii="Times New Roman" w:hAnsi="Times New Roman" w:cs="Times New Roman"/>
        </w:rPr>
        <w:t>use</w:t>
      </w:r>
      <w:proofErr w:type="spellEnd"/>
      <w:r w:rsidR="00093B63" w:rsidRPr="00705170">
        <w:rPr>
          <w:rFonts w:ascii="Times New Roman" w:hAnsi="Times New Roman" w:cs="Times New Roman"/>
        </w:rPr>
        <w:t xml:space="preserve"> </w:t>
      </w:r>
      <w:r w:rsidR="009938F9" w:rsidRPr="00705170">
        <w:rPr>
          <w:rFonts w:ascii="Times New Roman" w:hAnsi="Times New Roman" w:cs="Times New Roman"/>
        </w:rPr>
        <w:t xml:space="preserve">of </w:t>
      </w:r>
      <w:proofErr w:type="spellStart"/>
      <w:r w:rsidR="009938F9" w:rsidRPr="00705170">
        <w:rPr>
          <w:rFonts w:ascii="Times New Roman" w:hAnsi="Times New Roman" w:cs="Times New Roman"/>
        </w:rPr>
        <w:t>shareholders</w:t>
      </w:r>
      <w:proofErr w:type="spellEnd"/>
      <w:r w:rsidR="009938F9" w:rsidRPr="00705170">
        <w:rPr>
          <w:rFonts w:ascii="Times New Roman" w:hAnsi="Times New Roman" w:cs="Times New Roman"/>
        </w:rPr>
        <w:t xml:space="preserve"> </w:t>
      </w:r>
      <w:proofErr w:type="spellStart"/>
      <w:r w:rsidR="009938F9" w:rsidRPr="00705170">
        <w:rPr>
          <w:rFonts w:ascii="Times New Roman" w:hAnsi="Times New Roman" w:cs="Times New Roman"/>
        </w:rPr>
        <w:t>or</w:t>
      </w:r>
      <w:proofErr w:type="spellEnd"/>
      <w:r w:rsidR="009938F9" w:rsidRPr="00705170">
        <w:rPr>
          <w:rFonts w:ascii="Times New Roman" w:hAnsi="Times New Roman" w:cs="Times New Roman"/>
        </w:rPr>
        <w:t xml:space="preserve"> </w:t>
      </w:r>
      <w:proofErr w:type="spellStart"/>
      <w:r w:rsidR="009938F9" w:rsidRPr="00705170">
        <w:rPr>
          <w:rFonts w:ascii="Times New Roman" w:hAnsi="Times New Roman" w:cs="Times New Roman"/>
        </w:rPr>
        <w:t>directors</w:t>
      </w:r>
      <w:proofErr w:type="spellEnd"/>
      <w:r w:rsidR="009938F9" w:rsidRPr="00705170">
        <w:rPr>
          <w:rStyle w:val="DipnotBavurusu"/>
          <w:rFonts w:ascii="Times New Roman" w:hAnsi="Times New Roman" w:cs="Times New Roman"/>
        </w:rPr>
        <w:footnoteReference w:id="573"/>
      </w:r>
      <w:r w:rsidR="00EF2CCC" w:rsidRPr="00705170">
        <w:rPr>
          <w:rFonts w:ascii="Times New Roman" w:hAnsi="Times New Roman" w:cs="Times New Roman"/>
        </w:rPr>
        <w:t xml:space="preserve">, </w:t>
      </w:r>
      <w:proofErr w:type="spellStart"/>
      <w:r w:rsidR="00EF2CCC" w:rsidRPr="00705170">
        <w:rPr>
          <w:rFonts w:ascii="Times New Roman" w:hAnsi="Times New Roman" w:cs="Times New Roman"/>
        </w:rPr>
        <w:t>and</w:t>
      </w:r>
      <w:proofErr w:type="spellEnd"/>
      <w:r w:rsidR="00EF2CCC" w:rsidRPr="00705170">
        <w:rPr>
          <w:rFonts w:ascii="Times New Roman" w:hAnsi="Times New Roman" w:cs="Times New Roman"/>
        </w:rPr>
        <w:t xml:space="preserve"> </w:t>
      </w:r>
      <w:proofErr w:type="spellStart"/>
      <w:r w:rsidR="008A7369" w:rsidRPr="00705170">
        <w:rPr>
          <w:rFonts w:ascii="Times New Roman" w:hAnsi="Times New Roman" w:cs="Times New Roman"/>
        </w:rPr>
        <w:t>mergers</w:t>
      </w:r>
      <w:proofErr w:type="spellEnd"/>
      <w:r w:rsidR="008A7369" w:rsidRPr="00705170">
        <w:rPr>
          <w:rStyle w:val="DipnotBavurusu"/>
          <w:rFonts w:ascii="Times New Roman" w:hAnsi="Times New Roman" w:cs="Times New Roman"/>
        </w:rPr>
        <w:footnoteReference w:id="574"/>
      </w:r>
      <w:r w:rsidR="00EF2CCC" w:rsidRPr="00705170">
        <w:rPr>
          <w:rFonts w:ascii="Times New Roman" w:hAnsi="Times New Roman" w:cs="Times New Roman"/>
        </w:rPr>
        <w:t xml:space="preserve"> </w:t>
      </w:r>
      <w:proofErr w:type="spellStart"/>
      <w:r w:rsidR="00E62DE6" w:rsidRPr="00705170">
        <w:rPr>
          <w:rFonts w:ascii="Times New Roman" w:hAnsi="Times New Roman" w:cs="Times New Roman"/>
        </w:rPr>
        <w:t>are</w:t>
      </w:r>
      <w:proofErr w:type="spellEnd"/>
      <w:r w:rsidR="00E62DE6" w:rsidRPr="00705170">
        <w:rPr>
          <w:rFonts w:ascii="Times New Roman" w:hAnsi="Times New Roman" w:cs="Times New Roman"/>
        </w:rPr>
        <w:t xml:space="preserve"> </w:t>
      </w:r>
      <w:proofErr w:type="spellStart"/>
      <w:r w:rsidR="00E62DE6" w:rsidRPr="00705170">
        <w:rPr>
          <w:rFonts w:ascii="Times New Roman" w:hAnsi="Times New Roman" w:cs="Times New Roman"/>
        </w:rPr>
        <w:t>also</w:t>
      </w:r>
      <w:proofErr w:type="spellEnd"/>
      <w:r w:rsidR="00E62DE6" w:rsidRPr="00705170">
        <w:rPr>
          <w:rFonts w:ascii="Times New Roman" w:hAnsi="Times New Roman" w:cs="Times New Roman"/>
        </w:rPr>
        <w:t xml:space="preserve"> </w:t>
      </w:r>
      <w:proofErr w:type="spellStart"/>
      <w:r w:rsidR="00E62DE6" w:rsidRPr="00705170">
        <w:rPr>
          <w:rFonts w:ascii="Times New Roman" w:hAnsi="Times New Roman" w:cs="Times New Roman"/>
        </w:rPr>
        <w:t>among</w:t>
      </w:r>
      <w:proofErr w:type="spellEnd"/>
      <w:r w:rsidR="00E62DE6" w:rsidRPr="00705170">
        <w:rPr>
          <w:rFonts w:ascii="Times New Roman" w:hAnsi="Times New Roman" w:cs="Times New Roman"/>
        </w:rPr>
        <w:t xml:space="preserve"> </w:t>
      </w:r>
      <w:proofErr w:type="spellStart"/>
      <w:r w:rsidR="00E62DE6" w:rsidRPr="00705170">
        <w:rPr>
          <w:rFonts w:ascii="Times New Roman" w:hAnsi="Times New Roman" w:cs="Times New Roman"/>
        </w:rPr>
        <w:t>the</w:t>
      </w:r>
      <w:proofErr w:type="spellEnd"/>
      <w:r w:rsidR="00E62DE6" w:rsidRPr="00705170">
        <w:rPr>
          <w:rFonts w:ascii="Times New Roman" w:hAnsi="Times New Roman" w:cs="Times New Roman"/>
        </w:rPr>
        <w:t xml:space="preserve"> </w:t>
      </w:r>
      <w:proofErr w:type="spellStart"/>
      <w:r w:rsidR="00E62DE6" w:rsidRPr="00705170">
        <w:rPr>
          <w:rFonts w:ascii="Times New Roman" w:hAnsi="Times New Roman" w:cs="Times New Roman"/>
        </w:rPr>
        <w:t>techniques</w:t>
      </w:r>
      <w:proofErr w:type="spellEnd"/>
      <w:r w:rsidR="00E62DE6" w:rsidRPr="00705170">
        <w:rPr>
          <w:rFonts w:ascii="Times New Roman" w:hAnsi="Times New Roman" w:cs="Times New Roman"/>
        </w:rPr>
        <w:t xml:space="preserve"> </w:t>
      </w:r>
      <w:proofErr w:type="spellStart"/>
      <w:r w:rsidR="00E62DE6" w:rsidRPr="00705170">
        <w:rPr>
          <w:rFonts w:ascii="Times New Roman" w:hAnsi="Times New Roman" w:cs="Times New Roman"/>
        </w:rPr>
        <w:t>used</w:t>
      </w:r>
      <w:proofErr w:type="spellEnd"/>
      <w:r w:rsidR="00E62DE6" w:rsidRPr="00705170">
        <w:rPr>
          <w:rFonts w:ascii="Times New Roman" w:hAnsi="Times New Roman" w:cs="Times New Roman"/>
        </w:rPr>
        <w:t xml:space="preserve"> </w:t>
      </w:r>
      <w:proofErr w:type="spellStart"/>
      <w:r w:rsidR="00E62DE6" w:rsidRPr="00705170">
        <w:rPr>
          <w:rFonts w:ascii="Times New Roman" w:hAnsi="Times New Roman" w:cs="Times New Roman"/>
        </w:rPr>
        <w:t>to</w:t>
      </w:r>
      <w:proofErr w:type="spellEnd"/>
      <w:r w:rsidR="00E62DE6" w:rsidRPr="00705170">
        <w:rPr>
          <w:rFonts w:ascii="Times New Roman" w:hAnsi="Times New Roman" w:cs="Times New Roman"/>
        </w:rPr>
        <w:t xml:space="preserve"> </w:t>
      </w:r>
      <w:proofErr w:type="spellStart"/>
      <w:r w:rsidR="00E62DE6" w:rsidRPr="00705170">
        <w:rPr>
          <w:rFonts w:ascii="Times New Roman" w:hAnsi="Times New Roman" w:cs="Times New Roman"/>
        </w:rPr>
        <w:t>siphon</w:t>
      </w:r>
      <w:proofErr w:type="spellEnd"/>
      <w:r w:rsidR="00E62DE6" w:rsidRPr="00705170">
        <w:rPr>
          <w:rFonts w:ascii="Times New Roman" w:hAnsi="Times New Roman" w:cs="Times New Roman"/>
        </w:rPr>
        <w:t xml:space="preserve"> </w:t>
      </w:r>
      <w:proofErr w:type="spellStart"/>
      <w:r w:rsidR="00E62DE6" w:rsidRPr="00705170">
        <w:rPr>
          <w:rFonts w:ascii="Times New Roman" w:hAnsi="Times New Roman" w:cs="Times New Roman"/>
        </w:rPr>
        <w:t>off</w:t>
      </w:r>
      <w:proofErr w:type="spellEnd"/>
      <w:r w:rsidR="00E62DE6" w:rsidRPr="00705170">
        <w:rPr>
          <w:rFonts w:ascii="Times New Roman" w:hAnsi="Times New Roman" w:cs="Times New Roman"/>
        </w:rPr>
        <w:t xml:space="preserve"> </w:t>
      </w:r>
      <w:proofErr w:type="spellStart"/>
      <w:r w:rsidR="00E62DE6" w:rsidRPr="00705170">
        <w:rPr>
          <w:rFonts w:ascii="Times New Roman" w:hAnsi="Times New Roman" w:cs="Times New Roman"/>
        </w:rPr>
        <w:t>corporate</w:t>
      </w:r>
      <w:proofErr w:type="spellEnd"/>
      <w:r w:rsidR="00E62DE6" w:rsidRPr="00705170">
        <w:rPr>
          <w:rFonts w:ascii="Times New Roman" w:hAnsi="Times New Roman" w:cs="Times New Roman"/>
        </w:rPr>
        <w:t xml:space="preserve"> </w:t>
      </w:r>
      <w:proofErr w:type="spellStart"/>
      <w:r w:rsidR="00E62DE6" w:rsidRPr="00705170">
        <w:rPr>
          <w:rFonts w:ascii="Times New Roman" w:hAnsi="Times New Roman" w:cs="Times New Roman"/>
        </w:rPr>
        <w:t>earnings</w:t>
      </w:r>
      <w:proofErr w:type="spellEnd"/>
      <w:r w:rsidR="00E62DE6" w:rsidRPr="00705170">
        <w:rPr>
          <w:rFonts w:ascii="Times New Roman" w:hAnsi="Times New Roman" w:cs="Times New Roman"/>
        </w:rPr>
        <w:t xml:space="preserve"> </w:t>
      </w:r>
      <w:proofErr w:type="spellStart"/>
      <w:r w:rsidR="00E62DE6" w:rsidRPr="00705170">
        <w:rPr>
          <w:rFonts w:ascii="Times New Roman" w:hAnsi="Times New Roman" w:cs="Times New Roman"/>
        </w:rPr>
        <w:t>and</w:t>
      </w:r>
      <w:proofErr w:type="spellEnd"/>
      <w:r w:rsidR="00E62DE6" w:rsidRPr="00705170">
        <w:rPr>
          <w:rFonts w:ascii="Times New Roman" w:hAnsi="Times New Roman" w:cs="Times New Roman"/>
        </w:rPr>
        <w:t xml:space="preserve"> </w:t>
      </w:r>
      <w:proofErr w:type="spellStart"/>
      <w:r w:rsidR="00380449" w:rsidRPr="00705170">
        <w:rPr>
          <w:rFonts w:ascii="Times New Roman" w:hAnsi="Times New Roman" w:cs="Times New Roman"/>
        </w:rPr>
        <w:t>oppress</w:t>
      </w:r>
      <w:proofErr w:type="spellEnd"/>
      <w:r w:rsidR="00380449" w:rsidRPr="00705170">
        <w:rPr>
          <w:rFonts w:ascii="Times New Roman" w:hAnsi="Times New Roman" w:cs="Times New Roman"/>
        </w:rPr>
        <w:t xml:space="preserve"> </w:t>
      </w:r>
      <w:proofErr w:type="spellStart"/>
      <w:r w:rsidR="00380449" w:rsidRPr="00705170">
        <w:rPr>
          <w:rFonts w:ascii="Times New Roman" w:hAnsi="Times New Roman" w:cs="Times New Roman"/>
        </w:rPr>
        <w:t>the</w:t>
      </w:r>
      <w:proofErr w:type="spellEnd"/>
      <w:r w:rsidR="00380449" w:rsidRPr="00705170">
        <w:rPr>
          <w:rFonts w:ascii="Times New Roman" w:hAnsi="Times New Roman" w:cs="Times New Roman"/>
        </w:rPr>
        <w:t xml:space="preserve"> </w:t>
      </w:r>
      <w:proofErr w:type="spellStart"/>
      <w:r w:rsidR="00380449" w:rsidRPr="00705170">
        <w:rPr>
          <w:rFonts w:ascii="Times New Roman" w:hAnsi="Times New Roman" w:cs="Times New Roman"/>
        </w:rPr>
        <w:t>minority</w:t>
      </w:r>
      <w:proofErr w:type="spellEnd"/>
      <w:r w:rsidR="00380449" w:rsidRPr="00705170">
        <w:rPr>
          <w:rFonts w:ascii="Times New Roman" w:hAnsi="Times New Roman" w:cs="Times New Roman"/>
        </w:rPr>
        <w:t xml:space="preserve">. </w:t>
      </w:r>
      <w:proofErr w:type="spellStart"/>
      <w:r w:rsidR="00A902DC" w:rsidRPr="00705170">
        <w:rPr>
          <w:rFonts w:ascii="Times New Roman" w:hAnsi="Times New Roman" w:cs="Times New Roman"/>
        </w:rPr>
        <w:t>When</w:t>
      </w:r>
      <w:proofErr w:type="spellEnd"/>
      <w:r w:rsidR="00A902DC" w:rsidRPr="00705170">
        <w:rPr>
          <w:rFonts w:ascii="Times New Roman" w:hAnsi="Times New Roman" w:cs="Times New Roman"/>
        </w:rPr>
        <w:t xml:space="preserve"> </w:t>
      </w:r>
      <w:proofErr w:type="spellStart"/>
      <w:r w:rsidR="00A902DC" w:rsidRPr="00705170">
        <w:rPr>
          <w:rFonts w:ascii="Times New Roman" w:hAnsi="Times New Roman" w:cs="Times New Roman"/>
        </w:rPr>
        <w:t>these</w:t>
      </w:r>
      <w:proofErr w:type="spellEnd"/>
      <w:r w:rsidR="00A902DC" w:rsidRPr="00705170">
        <w:rPr>
          <w:rFonts w:ascii="Times New Roman" w:hAnsi="Times New Roman" w:cs="Times New Roman"/>
        </w:rPr>
        <w:t xml:space="preserve"> </w:t>
      </w:r>
      <w:proofErr w:type="spellStart"/>
      <w:r w:rsidR="00A902DC"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ready</w:t>
      </w:r>
      <w:proofErr w:type="spellEnd"/>
      <w:r w:rsidRPr="00705170">
        <w:rPr>
          <w:rFonts w:ascii="Times New Roman" w:hAnsi="Times New Roman" w:cs="Times New Roman"/>
        </w:rPr>
        <w:t xml:space="preserve"> market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stock</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can be “</w:t>
      </w:r>
      <w:proofErr w:type="spellStart"/>
      <w:r w:rsidRPr="00705170">
        <w:rPr>
          <w:rFonts w:ascii="Times New Roman" w:hAnsi="Times New Roman" w:cs="Times New Roman"/>
        </w:rPr>
        <w:t>locked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yet “</w:t>
      </w:r>
      <w:proofErr w:type="spellStart"/>
      <w:r w:rsidRPr="00705170">
        <w:rPr>
          <w:rFonts w:ascii="Times New Roman" w:hAnsi="Times New Roman" w:cs="Times New Roman"/>
        </w:rPr>
        <w:t>frozen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business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returns</w:t>
      </w:r>
      <w:proofErr w:type="spellEnd"/>
      <w:r w:rsidRPr="00705170">
        <w:rPr>
          <w:rStyle w:val="DipnotBavurusu"/>
          <w:rFonts w:ascii="Times New Roman" w:hAnsi="Times New Roman" w:cs="Times New Roman"/>
        </w:rPr>
        <w:footnoteReference w:id="575"/>
      </w:r>
      <w:r w:rsidRPr="00705170">
        <w:rPr>
          <w:rFonts w:ascii="Times New Roman" w:hAnsi="Times New Roman" w:cs="Times New Roman"/>
        </w:rPr>
        <w:t xml:space="preserve">. </w:t>
      </w:r>
      <w:r w:rsidR="007247C0" w:rsidRPr="00705170">
        <w:rPr>
          <w:rFonts w:ascii="Times New Roman" w:hAnsi="Times New Roman" w:cs="Times New Roman"/>
        </w:rPr>
        <w:t xml:space="preserve">On </w:t>
      </w:r>
      <w:proofErr w:type="spellStart"/>
      <w:r w:rsidR="007247C0" w:rsidRPr="00705170">
        <w:rPr>
          <w:rFonts w:ascii="Times New Roman" w:hAnsi="Times New Roman" w:cs="Times New Roman"/>
        </w:rPr>
        <w:t>the</w:t>
      </w:r>
      <w:proofErr w:type="spellEnd"/>
      <w:r w:rsidR="007247C0" w:rsidRPr="00705170">
        <w:rPr>
          <w:rFonts w:ascii="Times New Roman" w:hAnsi="Times New Roman" w:cs="Times New Roman"/>
        </w:rPr>
        <w:t xml:space="preserve"> </w:t>
      </w:r>
      <w:proofErr w:type="spellStart"/>
      <w:r w:rsidR="007247C0" w:rsidRPr="00705170">
        <w:rPr>
          <w:rFonts w:ascii="Times New Roman" w:hAnsi="Times New Roman" w:cs="Times New Roman"/>
        </w:rPr>
        <w:t>other</w:t>
      </w:r>
      <w:proofErr w:type="spellEnd"/>
      <w:r w:rsidR="007247C0" w:rsidRPr="00705170">
        <w:rPr>
          <w:rFonts w:ascii="Times New Roman" w:hAnsi="Times New Roman" w:cs="Times New Roman"/>
        </w:rPr>
        <w:t xml:space="preserve"> </w:t>
      </w:r>
      <w:proofErr w:type="spellStart"/>
      <w:r w:rsidR="007247C0" w:rsidRPr="00705170">
        <w:rPr>
          <w:rFonts w:ascii="Times New Roman" w:hAnsi="Times New Roman" w:cs="Times New Roman"/>
        </w:rPr>
        <w:t>hand</w:t>
      </w:r>
      <w:proofErr w:type="spellEnd"/>
      <w:r w:rsidR="007247C0" w:rsidRPr="00705170">
        <w:rPr>
          <w:rFonts w:ascii="Times New Roman" w:hAnsi="Times New Roman" w:cs="Times New Roman"/>
        </w:rPr>
        <w:t xml:space="preserve">, </w:t>
      </w:r>
      <w:proofErr w:type="spellStart"/>
      <w:r w:rsidR="007247C0" w:rsidRPr="00705170">
        <w:rPr>
          <w:rFonts w:ascii="Times New Roman" w:hAnsi="Times New Roman" w:cs="Times New Roman"/>
        </w:rPr>
        <w:t>there</w:t>
      </w:r>
      <w:proofErr w:type="spellEnd"/>
      <w:r w:rsidR="007247C0" w:rsidRPr="00705170">
        <w:rPr>
          <w:rFonts w:ascii="Times New Roman" w:hAnsi="Times New Roman" w:cs="Times New Roman"/>
        </w:rPr>
        <w:t xml:space="preserve"> can</w:t>
      </w:r>
      <w:r w:rsidR="00577A9A" w:rsidRPr="00705170">
        <w:rPr>
          <w:rFonts w:ascii="Times New Roman" w:hAnsi="Times New Roman" w:cs="Times New Roman"/>
        </w:rPr>
        <w:t xml:space="preserve"> </w:t>
      </w:r>
      <w:proofErr w:type="spellStart"/>
      <w:r w:rsidR="00577A9A" w:rsidRPr="00705170">
        <w:rPr>
          <w:rFonts w:ascii="Times New Roman" w:hAnsi="Times New Roman" w:cs="Times New Roman"/>
        </w:rPr>
        <w:t>also</w:t>
      </w:r>
      <w:proofErr w:type="spellEnd"/>
      <w:r w:rsidR="007247C0" w:rsidRPr="00705170">
        <w:rPr>
          <w:rFonts w:ascii="Times New Roman" w:hAnsi="Times New Roman" w:cs="Times New Roman"/>
        </w:rPr>
        <w:t xml:space="preserve"> be </w:t>
      </w:r>
      <w:proofErr w:type="spellStart"/>
      <w:r w:rsidR="007247C0" w:rsidRPr="00705170">
        <w:rPr>
          <w:rFonts w:ascii="Times New Roman" w:hAnsi="Times New Roman" w:cs="Times New Roman"/>
        </w:rPr>
        <w:t>uncommon</w:t>
      </w:r>
      <w:proofErr w:type="spellEnd"/>
      <w:r w:rsidR="007247C0" w:rsidRPr="00705170">
        <w:rPr>
          <w:rFonts w:ascii="Times New Roman" w:hAnsi="Times New Roman" w:cs="Times New Roman"/>
        </w:rPr>
        <w:t xml:space="preserve"> </w:t>
      </w:r>
      <w:proofErr w:type="spellStart"/>
      <w:r w:rsidR="007247C0" w:rsidRPr="00705170">
        <w:rPr>
          <w:rFonts w:ascii="Times New Roman" w:hAnsi="Times New Roman" w:cs="Times New Roman"/>
        </w:rPr>
        <w:t>freeze-out</w:t>
      </w:r>
      <w:proofErr w:type="spellEnd"/>
      <w:r w:rsidR="007247C0" w:rsidRPr="00705170">
        <w:rPr>
          <w:rFonts w:ascii="Times New Roman" w:hAnsi="Times New Roman" w:cs="Times New Roman"/>
        </w:rPr>
        <w:t xml:space="preserve"> </w:t>
      </w:r>
      <w:proofErr w:type="spellStart"/>
      <w:r w:rsidR="007247C0" w:rsidRPr="00705170">
        <w:rPr>
          <w:rFonts w:ascii="Times New Roman" w:hAnsi="Times New Roman" w:cs="Times New Roman"/>
        </w:rPr>
        <w:t>techniques</w:t>
      </w:r>
      <w:proofErr w:type="spellEnd"/>
      <w:r w:rsidR="007247C0" w:rsidRPr="00705170">
        <w:rPr>
          <w:rFonts w:ascii="Times New Roman" w:hAnsi="Times New Roman" w:cs="Times New Roman"/>
        </w:rPr>
        <w:t xml:space="preserve"> as </w:t>
      </w:r>
      <w:proofErr w:type="spellStart"/>
      <w:r w:rsidR="007247C0" w:rsidRPr="00705170">
        <w:rPr>
          <w:rFonts w:ascii="Times New Roman" w:hAnsi="Times New Roman" w:cs="Times New Roman"/>
        </w:rPr>
        <w:t>well</w:t>
      </w:r>
      <w:proofErr w:type="spellEnd"/>
      <w:r w:rsidR="007247C0" w:rsidRPr="00705170">
        <w:rPr>
          <w:rFonts w:ascii="Times New Roman" w:hAnsi="Times New Roman" w:cs="Times New Roman"/>
        </w:rPr>
        <w:t xml:space="preserve"> </w:t>
      </w:r>
      <w:proofErr w:type="spellStart"/>
      <w:r w:rsidR="007247C0" w:rsidRPr="00705170">
        <w:rPr>
          <w:rFonts w:ascii="Times New Roman" w:hAnsi="Times New Roman" w:cs="Times New Roman"/>
        </w:rPr>
        <w:t>such</w:t>
      </w:r>
      <w:proofErr w:type="spellEnd"/>
      <w:r w:rsidR="007247C0" w:rsidRPr="00705170">
        <w:rPr>
          <w:rFonts w:ascii="Times New Roman" w:hAnsi="Times New Roman" w:cs="Times New Roman"/>
        </w:rPr>
        <w:t xml:space="preserve"> as “</w:t>
      </w:r>
      <w:proofErr w:type="spellStart"/>
      <w:r w:rsidR="007247C0" w:rsidRPr="00705170">
        <w:rPr>
          <w:rFonts w:ascii="Times New Roman" w:hAnsi="Times New Roman" w:cs="Times New Roman"/>
        </w:rPr>
        <w:t>conspiracy</w:t>
      </w:r>
      <w:proofErr w:type="spellEnd"/>
      <w:r w:rsidR="007247C0" w:rsidRPr="00705170">
        <w:rPr>
          <w:rFonts w:ascii="Times New Roman" w:hAnsi="Times New Roman" w:cs="Times New Roman"/>
        </w:rPr>
        <w:t xml:space="preserve"> </w:t>
      </w:r>
      <w:proofErr w:type="spellStart"/>
      <w:r w:rsidR="007247C0" w:rsidRPr="00705170">
        <w:rPr>
          <w:rFonts w:ascii="Times New Roman" w:hAnsi="Times New Roman" w:cs="Times New Roman"/>
        </w:rPr>
        <w:t>to</w:t>
      </w:r>
      <w:proofErr w:type="spellEnd"/>
      <w:r w:rsidR="007247C0" w:rsidRPr="00705170">
        <w:rPr>
          <w:rFonts w:ascii="Times New Roman" w:hAnsi="Times New Roman" w:cs="Times New Roman"/>
        </w:rPr>
        <w:t xml:space="preserve"> </w:t>
      </w:r>
      <w:proofErr w:type="spellStart"/>
      <w:r w:rsidR="007247C0" w:rsidRPr="00705170">
        <w:rPr>
          <w:rFonts w:ascii="Times New Roman" w:hAnsi="Times New Roman" w:cs="Times New Roman"/>
        </w:rPr>
        <w:t>deprive</w:t>
      </w:r>
      <w:proofErr w:type="spellEnd"/>
      <w:r w:rsidR="007247C0" w:rsidRPr="00705170">
        <w:rPr>
          <w:rFonts w:ascii="Times New Roman" w:hAnsi="Times New Roman" w:cs="Times New Roman"/>
        </w:rPr>
        <w:t xml:space="preserve"> </w:t>
      </w:r>
      <w:proofErr w:type="spellStart"/>
      <w:r w:rsidR="007247C0" w:rsidRPr="00705170">
        <w:rPr>
          <w:rFonts w:ascii="Times New Roman" w:hAnsi="Times New Roman" w:cs="Times New Roman"/>
        </w:rPr>
        <w:t>shareholder</w:t>
      </w:r>
      <w:proofErr w:type="spellEnd"/>
      <w:r w:rsidR="007247C0" w:rsidRPr="00705170">
        <w:rPr>
          <w:rFonts w:ascii="Times New Roman" w:hAnsi="Times New Roman" w:cs="Times New Roman"/>
        </w:rPr>
        <w:t xml:space="preserve"> of his </w:t>
      </w:r>
      <w:proofErr w:type="spellStart"/>
      <w:r w:rsidR="007247C0" w:rsidRPr="00705170">
        <w:rPr>
          <w:rFonts w:ascii="Times New Roman" w:hAnsi="Times New Roman" w:cs="Times New Roman"/>
        </w:rPr>
        <w:t>interest</w:t>
      </w:r>
      <w:proofErr w:type="spellEnd"/>
      <w:r w:rsidR="007247C0" w:rsidRPr="00705170">
        <w:rPr>
          <w:rFonts w:ascii="Times New Roman" w:hAnsi="Times New Roman" w:cs="Times New Roman"/>
        </w:rPr>
        <w:t xml:space="preserve"> in </w:t>
      </w:r>
      <w:proofErr w:type="spellStart"/>
      <w:r w:rsidR="007247C0" w:rsidRPr="00705170">
        <w:rPr>
          <w:rFonts w:ascii="Times New Roman" w:hAnsi="Times New Roman" w:cs="Times New Roman"/>
        </w:rPr>
        <w:t>the</w:t>
      </w:r>
      <w:proofErr w:type="spellEnd"/>
      <w:r w:rsidR="007247C0" w:rsidRPr="00705170">
        <w:rPr>
          <w:rFonts w:ascii="Times New Roman" w:hAnsi="Times New Roman" w:cs="Times New Roman"/>
        </w:rPr>
        <w:t xml:space="preserve"> </w:t>
      </w:r>
      <w:proofErr w:type="spellStart"/>
      <w:r w:rsidR="007247C0" w:rsidRPr="00705170">
        <w:rPr>
          <w:rFonts w:ascii="Times New Roman" w:hAnsi="Times New Roman" w:cs="Times New Roman"/>
        </w:rPr>
        <w:t>corporation</w:t>
      </w:r>
      <w:proofErr w:type="spellEnd"/>
      <w:r w:rsidR="007247C0" w:rsidRPr="00705170">
        <w:rPr>
          <w:rFonts w:ascii="Times New Roman" w:hAnsi="Times New Roman" w:cs="Times New Roman"/>
        </w:rPr>
        <w:t xml:space="preserve">”, as </w:t>
      </w:r>
      <w:proofErr w:type="spellStart"/>
      <w:r w:rsidR="007247C0" w:rsidRPr="00705170">
        <w:rPr>
          <w:rFonts w:ascii="Times New Roman" w:hAnsi="Times New Roman" w:cs="Times New Roman"/>
        </w:rPr>
        <w:t>noted</w:t>
      </w:r>
      <w:proofErr w:type="spellEnd"/>
      <w:r w:rsidR="007247C0" w:rsidRPr="00705170">
        <w:rPr>
          <w:rFonts w:ascii="Times New Roman" w:hAnsi="Times New Roman" w:cs="Times New Roman"/>
        </w:rPr>
        <w:t xml:space="preserve"> in </w:t>
      </w:r>
      <w:proofErr w:type="spellStart"/>
      <w:r w:rsidR="007247C0" w:rsidRPr="00705170">
        <w:rPr>
          <w:rFonts w:ascii="Times New Roman" w:hAnsi="Times New Roman" w:cs="Times New Roman"/>
        </w:rPr>
        <w:t>the</w:t>
      </w:r>
      <w:proofErr w:type="spellEnd"/>
      <w:r w:rsidR="007247C0" w:rsidRPr="00705170">
        <w:rPr>
          <w:rFonts w:ascii="Times New Roman" w:hAnsi="Times New Roman" w:cs="Times New Roman"/>
        </w:rPr>
        <w:t xml:space="preserve"> </w:t>
      </w:r>
      <w:proofErr w:type="spellStart"/>
      <w:r w:rsidR="007247C0" w:rsidRPr="00705170">
        <w:rPr>
          <w:rFonts w:ascii="Times New Roman" w:hAnsi="Times New Roman" w:cs="Times New Roman"/>
        </w:rPr>
        <w:t>Davis</w:t>
      </w:r>
      <w:proofErr w:type="spellEnd"/>
      <w:r w:rsidR="007247C0" w:rsidRPr="00705170">
        <w:rPr>
          <w:rFonts w:ascii="Times New Roman" w:hAnsi="Times New Roman" w:cs="Times New Roman"/>
        </w:rPr>
        <w:t xml:space="preserve"> v. </w:t>
      </w:r>
      <w:proofErr w:type="spellStart"/>
      <w:r w:rsidR="007247C0" w:rsidRPr="00705170">
        <w:rPr>
          <w:rFonts w:ascii="Times New Roman" w:hAnsi="Times New Roman" w:cs="Times New Roman"/>
        </w:rPr>
        <w:t>Sheerin</w:t>
      </w:r>
      <w:proofErr w:type="spellEnd"/>
      <w:r w:rsidR="007247C0" w:rsidRPr="00705170">
        <w:rPr>
          <w:rStyle w:val="DipnotBavurusu"/>
          <w:rFonts w:ascii="Times New Roman" w:hAnsi="Times New Roman" w:cs="Times New Roman"/>
        </w:rPr>
        <w:footnoteReference w:id="576"/>
      </w:r>
      <w:r w:rsidR="007247C0" w:rsidRPr="00705170">
        <w:rPr>
          <w:rFonts w:ascii="Times New Roman" w:hAnsi="Times New Roman" w:cs="Times New Roman"/>
        </w:rPr>
        <w:t xml:space="preserve"> </w:t>
      </w:r>
      <w:proofErr w:type="spellStart"/>
      <w:r w:rsidR="007247C0" w:rsidRPr="00705170">
        <w:rPr>
          <w:rFonts w:ascii="Times New Roman" w:hAnsi="Times New Roman" w:cs="Times New Roman"/>
        </w:rPr>
        <w:t>decision</w:t>
      </w:r>
      <w:proofErr w:type="spellEnd"/>
      <w:r w:rsidR="007247C0" w:rsidRPr="00705170">
        <w:rPr>
          <w:rFonts w:ascii="Times New Roman" w:hAnsi="Times New Roman" w:cs="Times New Roman"/>
        </w:rPr>
        <w:t>: “</w:t>
      </w:r>
      <w:proofErr w:type="spellStart"/>
      <w:r w:rsidR="007247C0" w:rsidRPr="00705170">
        <w:rPr>
          <w:rFonts w:ascii="Times New Roman" w:hAnsi="Times New Roman" w:cs="Times New Roman"/>
          <w:color w:val="000000"/>
        </w:rPr>
        <w:t>Even</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though</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there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were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findings</w:t>
      </w:r>
      <w:proofErr w:type="spellEnd"/>
      <w:r w:rsidR="007247C0" w:rsidRPr="00705170">
        <w:rPr>
          <w:rFonts w:ascii="Times New Roman" w:hAnsi="Times New Roman" w:cs="Times New Roman"/>
          <w:color w:val="000000"/>
        </w:rPr>
        <w:t xml:space="preserve"> of </w:t>
      </w:r>
      <w:proofErr w:type="spellStart"/>
      <w:r w:rsidR="007247C0" w:rsidRPr="00705170">
        <w:rPr>
          <w:rFonts w:ascii="Times New Roman" w:hAnsi="Times New Roman" w:cs="Times New Roman"/>
          <w:color w:val="000000"/>
        </w:rPr>
        <w:t>the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absence</w:t>
      </w:r>
      <w:proofErr w:type="spellEnd"/>
      <w:r w:rsidR="007247C0" w:rsidRPr="00705170">
        <w:rPr>
          <w:rFonts w:ascii="Times New Roman" w:hAnsi="Times New Roman" w:cs="Times New Roman"/>
          <w:color w:val="000000"/>
        </w:rPr>
        <w:t xml:space="preserve"> of </w:t>
      </w:r>
      <w:proofErr w:type="spellStart"/>
      <w:r w:rsidR="007247C0" w:rsidRPr="00705170">
        <w:rPr>
          <w:rFonts w:ascii="Times New Roman" w:hAnsi="Times New Roman" w:cs="Times New Roman"/>
          <w:color w:val="000000"/>
        </w:rPr>
        <w:t>some</w:t>
      </w:r>
      <w:proofErr w:type="spellEnd"/>
      <w:r w:rsidR="007247C0" w:rsidRPr="00705170">
        <w:rPr>
          <w:rFonts w:ascii="Times New Roman" w:hAnsi="Times New Roman" w:cs="Times New Roman"/>
          <w:color w:val="000000"/>
        </w:rPr>
        <w:t xml:space="preserve"> of </w:t>
      </w:r>
      <w:proofErr w:type="spellStart"/>
      <w:r w:rsidR="007247C0" w:rsidRPr="00705170">
        <w:rPr>
          <w:rFonts w:ascii="Times New Roman" w:hAnsi="Times New Roman" w:cs="Times New Roman"/>
          <w:color w:val="000000"/>
        </w:rPr>
        <w:t>the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typical</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squeeze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out</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techniques</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used</w:t>
      </w:r>
      <w:proofErr w:type="spellEnd"/>
      <w:r w:rsidR="007247C0" w:rsidRPr="00705170">
        <w:rPr>
          <w:rFonts w:ascii="Times New Roman" w:hAnsi="Times New Roman" w:cs="Times New Roman"/>
          <w:color w:val="000000"/>
        </w:rPr>
        <w:t xml:space="preserve"> in </w:t>
      </w:r>
      <w:proofErr w:type="spellStart"/>
      <w:r w:rsidR="007247C0" w:rsidRPr="00705170">
        <w:rPr>
          <w:rFonts w:ascii="Times New Roman" w:hAnsi="Times New Roman" w:cs="Times New Roman"/>
          <w:color w:val="000000"/>
        </w:rPr>
        <w:t>closely</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held</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corporations</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e.g</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no</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malicious</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suppression</w:t>
      </w:r>
      <w:proofErr w:type="spellEnd"/>
      <w:r w:rsidR="007247C0" w:rsidRPr="00705170">
        <w:rPr>
          <w:rFonts w:ascii="Times New Roman" w:hAnsi="Times New Roman" w:cs="Times New Roman"/>
          <w:color w:val="000000"/>
        </w:rPr>
        <w:t xml:space="preserve"> of </w:t>
      </w:r>
      <w:proofErr w:type="spellStart"/>
      <w:r w:rsidR="007247C0" w:rsidRPr="00705170">
        <w:rPr>
          <w:rFonts w:ascii="Times New Roman" w:hAnsi="Times New Roman" w:cs="Times New Roman"/>
          <w:color w:val="000000"/>
        </w:rPr>
        <w:t>dividends</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or</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excessive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salaries</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we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find</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that</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conspiring</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to</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deprive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one</w:t>
      </w:r>
      <w:proofErr w:type="spellEnd"/>
      <w:r w:rsidR="007247C0" w:rsidRPr="00705170">
        <w:rPr>
          <w:rFonts w:ascii="Times New Roman" w:hAnsi="Times New Roman" w:cs="Times New Roman"/>
          <w:color w:val="000000"/>
        </w:rPr>
        <w:t xml:space="preserve"> of his </w:t>
      </w:r>
      <w:proofErr w:type="spellStart"/>
      <w:r w:rsidR="007247C0" w:rsidRPr="00705170">
        <w:rPr>
          <w:rFonts w:ascii="Times New Roman" w:hAnsi="Times New Roman" w:cs="Times New Roman"/>
          <w:color w:val="000000"/>
        </w:rPr>
        <w:t>ownership</w:t>
      </w:r>
      <w:proofErr w:type="spellEnd"/>
      <w:r w:rsidR="007247C0" w:rsidRPr="00705170">
        <w:rPr>
          <w:rFonts w:ascii="Times New Roman" w:hAnsi="Times New Roman" w:cs="Times New Roman"/>
          <w:color w:val="000000"/>
        </w:rPr>
        <w:t xml:space="preserve"> of </w:t>
      </w:r>
      <w:proofErr w:type="spellStart"/>
      <w:r w:rsidR="007247C0" w:rsidRPr="00705170">
        <w:rPr>
          <w:rFonts w:ascii="Times New Roman" w:hAnsi="Times New Roman" w:cs="Times New Roman"/>
          <w:color w:val="000000"/>
        </w:rPr>
        <w:t>stock</w:t>
      </w:r>
      <w:proofErr w:type="spellEnd"/>
      <w:r w:rsidR="007247C0" w:rsidRPr="00705170">
        <w:rPr>
          <w:rFonts w:ascii="Times New Roman" w:hAnsi="Times New Roman" w:cs="Times New Roman"/>
          <w:color w:val="000000"/>
        </w:rPr>
        <w:t xml:space="preserve"> in a </w:t>
      </w:r>
      <w:proofErr w:type="spellStart"/>
      <w:r w:rsidR="007247C0" w:rsidRPr="00705170">
        <w:rPr>
          <w:rFonts w:ascii="Times New Roman" w:hAnsi="Times New Roman" w:cs="Times New Roman"/>
          <w:color w:val="000000"/>
        </w:rPr>
        <w:t>corporation</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especially</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when</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the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lastRenderedPageBreak/>
        <w:t>corporate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records</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clearly</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indicate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such</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ownership</w:t>
      </w:r>
      <w:proofErr w:type="spellEnd"/>
      <w:r w:rsidR="007247C0" w:rsidRPr="00705170">
        <w:rPr>
          <w:rFonts w:ascii="Times New Roman" w:hAnsi="Times New Roman" w:cs="Times New Roman"/>
          <w:color w:val="000000"/>
        </w:rPr>
        <w:t xml:space="preserve">, is </w:t>
      </w:r>
      <w:proofErr w:type="spellStart"/>
      <w:r w:rsidR="007247C0" w:rsidRPr="00705170">
        <w:rPr>
          <w:rFonts w:ascii="Times New Roman" w:hAnsi="Times New Roman" w:cs="Times New Roman"/>
          <w:color w:val="000000"/>
        </w:rPr>
        <w:t>more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oppressive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than</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either</w:t>
      </w:r>
      <w:proofErr w:type="spellEnd"/>
      <w:r w:rsidR="007247C0" w:rsidRPr="00705170">
        <w:rPr>
          <w:rFonts w:ascii="Times New Roman" w:hAnsi="Times New Roman" w:cs="Times New Roman"/>
          <w:color w:val="000000"/>
        </w:rPr>
        <w:t xml:space="preserve"> of </w:t>
      </w:r>
      <w:proofErr w:type="spellStart"/>
      <w:r w:rsidR="007247C0" w:rsidRPr="00705170">
        <w:rPr>
          <w:rFonts w:ascii="Times New Roman" w:hAnsi="Times New Roman" w:cs="Times New Roman"/>
          <w:color w:val="000000"/>
        </w:rPr>
        <w:t>those</w:t>
      </w:r>
      <w:proofErr w:type="spellEnd"/>
      <w:r w:rsidR="007247C0" w:rsidRPr="00705170">
        <w:rPr>
          <w:rFonts w:ascii="Times New Roman" w:hAnsi="Times New Roman" w:cs="Times New Roman"/>
          <w:color w:val="000000"/>
        </w:rPr>
        <w:t xml:space="preserve"> </w:t>
      </w:r>
      <w:proofErr w:type="spellStart"/>
      <w:r w:rsidR="007247C0" w:rsidRPr="00705170">
        <w:rPr>
          <w:rFonts w:ascii="Times New Roman" w:hAnsi="Times New Roman" w:cs="Times New Roman"/>
          <w:color w:val="000000"/>
        </w:rPr>
        <w:t>techniques</w:t>
      </w:r>
      <w:proofErr w:type="spellEnd"/>
      <w:r w:rsidR="007247C0" w:rsidRPr="00705170">
        <w:rPr>
          <w:rFonts w:ascii="Times New Roman" w:hAnsi="Times New Roman" w:cs="Times New Roman"/>
          <w:color w:val="000000"/>
        </w:rPr>
        <w:t xml:space="preserve">.” </w:t>
      </w:r>
    </w:p>
    <w:p w14:paraId="5677F8FA" w14:textId="2C2CCD1C" w:rsidR="007247C0" w:rsidRPr="00705170" w:rsidRDefault="005C64B4" w:rsidP="007247C0">
      <w:pPr>
        <w:spacing w:after="240" w:line="480" w:lineRule="auto"/>
        <w:ind w:firstLine="720"/>
        <w:jc w:val="both"/>
        <w:rPr>
          <w:rFonts w:ascii="Times New Roman" w:hAnsi="Times New Roman" w:cs="Times New Roman"/>
          <w:color w:val="000000"/>
        </w:rPr>
      </w:pPr>
      <w:r w:rsidRPr="00705170">
        <w:rPr>
          <w:rFonts w:ascii="Times New Roman" w:hAnsi="Times New Roman" w:cs="Times New Roman"/>
        </w:rPr>
        <w:t>“</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example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close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investor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generally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looks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salary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more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dividends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for</w:t>
      </w:r>
      <w:proofErr w:type="spellEnd"/>
      <w:r w:rsidRPr="00705170">
        <w:rPr>
          <w:rFonts w:ascii="Times New Roman" w:hAnsi="Times New Roman" w:cs="Times New Roman"/>
          <w:color w:val="000000"/>
        </w:rPr>
        <w:t xml:space="preserve"> a </w:t>
      </w:r>
      <w:proofErr w:type="spellStart"/>
      <w:r w:rsidRPr="00705170">
        <w:rPr>
          <w:rFonts w:ascii="Times New Roman" w:hAnsi="Times New Roman" w:cs="Times New Roman"/>
          <w:color w:val="000000"/>
        </w:rPr>
        <w:t>share</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business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returns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because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earnings</w:t>
      </w:r>
      <w:proofErr w:type="spellEnd"/>
      <w:r w:rsidRPr="00705170">
        <w:rPr>
          <w:rFonts w:ascii="Times New Roman" w:hAnsi="Times New Roman" w:cs="Times New Roman"/>
          <w:color w:val="000000"/>
        </w:rPr>
        <w:t xml:space="preserve"> of a </w:t>
      </w:r>
      <w:proofErr w:type="spellStart"/>
      <w:r w:rsidRPr="00705170">
        <w:rPr>
          <w:rFonts w:ascii="Times New Roman" w:hAnsi="Times New Roman" w:cs="Times New Roman"/>
          <w:color w:val="000000"/>
        </w:rPr>
        <w:t>close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often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distributed</w:t>
      </w:r>
      <w:proofErr w:type="spellEnd"/>
      <w:r w:rsidRPr="00705170">
        <w:rPr>
          <w:rFonts w:ascii="Times New Roman" w:hAnsi="Times New Roman" w:cs="Times New Roman"/>
          <w:color w:val="000000"/>
        </w:rPr>
        <w:t xml:space="preserve"> in </w:t>
      </w:r>
      <w:proofErr w:type="spellStart"/>
      <w:r w:rsidRPr="00705170">
        <w:rPr>
          <w:rFonts w:ascii="Times New Roman" w:hAnsi="Times New Roman" w:cs="Times New Roman"/>
          <w:color w:val="000000"/>
        </w:rPr>
        <w:t>major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part</w:t>
      </w:r>
      <w:proofErr w:type="spellEnd"/>
      <w:r w:rsidRPr="00705170">
        <w:rPr>
          <w:rFonts w:ascii="Times New Roman" w:hAnsi="Times New Roman" w:cs="Times New Roman"/>
          <w:color w:val="000000"/>
        </w:rPr>
        <w:t xml:space="preserve"> in </w:t>
      </w:r>
      <w:proofErr w:type="spellStart"/>
      <w:r w:rsidRPr="00705170">
        <w:rPr>
          <w:rFonts w:ascii="Times New Roman" w:hAnsi="Times New Roman" w:cs="Times New Roman"/>
          <w:color w:val="000000"/>
        </w:rPr>
        <w:t>salaries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bonuses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retirement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benefits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When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actual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dividends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are</w:t>
      </w:r>
      <w:proofErr w:type="spellEnd"/>
      <w:r w:rsidRPr="00705170">
        <w:rPr>
          <w:rFonts w:ascii="Times New Roman" w:hAnsi="Times New Roman" w:cs="Times New Roman"/>
          <w:color w:val="000000"/>
        </w:rPr>
        <w:t xml:space="preserve"> not </w:t>
      </w:r>
      <w:proofErr w:type="spellStart"/>
      <w:r w:rsidRPr="00705170">
        <w:rPr>
          <w:rFonts w:ascii="Times New Roman" w:hAnsi="Times New Roman" w:cs="Times New Roman"/>
          <w:color w:val="000000"/>
        </w:rPr>
        <w:t>paid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therefore</w:t>
      </w:r>
      <w:proofErr w:type="spellEnd"/>
      <w:r w:rsidRPr="00705170">
        <w:rPr>
          <w:rFonts w:ascii="Times New Roman" w:hAnsi="Times New Roman" w:cs="Times New Roman"/>
          <w:color w:val="000000"/>
        </w:rPr>
        <w:t xml:space="preserve">, a </w:t>
      </w:r>
      <w:proofErr w:type="spellStart"/>
      <w:r w:rsidRPr="00705170">
        <w:rPr>
          <w:rFonts w:ascii="Times New Roman" w:hAnsi="Times New Roman" w:cs="Times New Roman"/>
          <w:color w:val="000000"/>
        </w:rPr>
        <w:t>minority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shareholder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who</w:t>
      </w:r>
      <w:proofErr w:type="spellEnd"/>
      <w:r w:rsidRPr="00705170">
        <w:rPr>
          <w:rFonts w:ascii="Times New Roman" w:hAnsi="Times New Roman" w:cs="Times New Roman"/>
          <w:color w:val="000000"/>
        </w:rPr>
        <w:t xml:space="preserve"> is </w:t>
      </w:r>
      <w:proofErr w:type="spellStart"/>
      <w:r w:rsidRPr="00705170">
        <w:rPr>
          <w:rFonts w:ascii="Times New Roman" w:hAnsi="Times New Roman" w:cs="Times New Roman"/>
          <w:color w:val="000000"/>
        </w:rPr>
        <w:t>discharged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from</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employment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removed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from</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board of </w:t>
      </w:r>
      <w:proofErr w:type="spellStart"/>
      <w:r w:rsidRPr="00705170">
        <w:rPr>
          <w:rFonts w:ascii="Times New Roman" w:hAnsi="Times New Roman" w:cs="Times New Roman"/>
          <w:color w:val="000000"/>
        </w:rPr>
        <w:t>directors</w:t>
      </w:r>
      <w:proofErr w:type="spellEnd"/>
      <w:r w:rsidRPr="00705170">
        <w:rPr>
          <w:rFonts w:ascii="Times New Roman" w:hAnsi="Times New Roman" w:cs="Times New Roman"/>
          <w:color w:val="000000"/>
        </w:rPr>
        <w:t xml:space="preserve"> is </w:t>
      </w:r>
      <w:proofErr w:type="spellStart"/>
      <w:r w:rsidRPr="00705170">
        <w:rPr>
          <w:rFonts w:ascii="Times New Roman" w:hAnsi="Times New Roman" w:cs="Times New Roman"/>
          <w:color w:val="000000"/>
        </w:rPr>
        <w:t>effectively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denied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return</w:t>
      </w:r>
      <w:proofErr w:type="spellEnd"/>
      <w:r w:rsidRPr="00705170">
        <w:rPr>
          <w:rFonts w:ascii="Times New Roman" w:hAnsi="Times New Roman" w:cs="Times New Roman"/>
          <w:color w:val="000000"/>
        </w:rPr>
        <w:t xml:space="preserve"> on his </w:t>
      </w:r>
      <w:proofErr w:type="spellStart"/>
      <w:r w:rsidRPr="00705170">
        <w:rPr>
          <w:rFonts w:ascii="Times New Roman" w:hAnsi="Times New Roman" w:cs="Times New Roman"/>
          <w:color w:val="000000"/>
        </w:rPr>
        <w:t>investment</w:t>
      </w:r>
      <w:proofErr w:type="spellEnd"/>
      <w:r w:rsidRPr="00705170">
        <w:rPr>
          <w:rFonts w:ascii="Times New Roman" w:hAnsi="Times New Roman" w:cs="Times New Roman"/>
          <w:color w:val="000000"/>
        </w:rPr>
        <w:t xml:space="preserve"> as </w:t>
      </w:r>
      <w:proofErr w:type="spellStart"/>
      <w:r w:rsidRPr="00705170">
        <w:rPr>
          <w:rFonts w:ascii="Times New Roman" w:hAnsi="Times New Roman" w:cs="Times New Roman"/>
          <w:color w:val="000000"/>
        </w:rPr>
        <w:t>well</w:t>
      </w:r>
      <w:proofErr w:type="spellEnd"/>
      <w:r w:rsidRPr="00705170">
        <w:rPr>
          <w:rFonts w:ascii="Times New Roman" w:hAnsi="Times New Roman" w:cs="Times New Roman"/>
          <w:color w:val="000000"/>
        </w:rPr>
        <w:t xml:space="preserve"> as </w:t>
      </w:r>
      <w:proofErr w:type="spellStart"/>
      <w:r w:rsidRPr="00705170">
        <w:rPr>
          <w:rFonts w:ascii="Times New Roman" w:hAnsi="Times New Roman" w:cs="Times New Roman"/>
          <w:color w:val="000000"/>
        </w:rPr>
        <w:t>any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input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management</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business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Once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minority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shareholder</w:t>
      </w:r>
      <w:proofErr w:type="spellEnd"/>
      <w:r w:rsidRPr="00705170">
        <w:rPr>
          <w:rFonts w:ascii="Times New Roman" w:hAnsi="Times New Roman" w:cs="Times New Roman"/>
          <w:color w:val="000000"/>
        </w:rPr>
        <w:t xml:space="preserve"> is </w:t>
      </w:r>
      <w:proofErr w:type="spellStart"/>
      <w:r w:rsidRPr="00705170">
        <w:rPr>
          <w:rFonts w:ascii="Times New Roman" w:hAnsi="Times New Roman" w:cs="Times New Roman"/>
          <w:color w:val="000000"/>
        </w:rPr>
        <w:t>faced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with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this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indefinite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future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with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no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return</w:t>
      </w:r>
      <w:proofErr w:type="spellEnd"/>
      <w:r w:rsidRPr="00705170">
        <w:rPr>
          <w:rFonts w:ascii="Times New Roman" w:hAnsi="Times New Roman" w:cs="Times New Roman"/>
          <w:color w:val="000000"/>
        </w:rPr>
        <w:t xml:space="preserve"> on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capital</w:t>
      </w:r>
      <w:proofErr w:type="spellEnd"/>
      <w:r w:rsidRPr="00705170">
        <w:rPr>
          <w:rFonts w:ascii="Times New Roman" w:hAnsi="Times New Roman" w:cs="Times New Roman"/>
          <w:color w:val="000000"/>
        </w:rPr>
        <w:t xml:space="preserve"> he </w:t>
      </w:r>
      <w:proofErr w:type="spellStart"/>
      <w:r w:rsidRPr="00705170">
        <w:rPr>
          <w:rFonts w:ascii="Times New Roman" w:hAnsi="Times New Roman" w:cs="Times New Roman"/>
          <w:color w:val="000000"/>
        </w:rPr>
        <w:t>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contributed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enterprise</w:t>
      </w:r>
      <w:proofErr w:type="spellEnd"/>
      <w:r w:rsidRPr="00705170">
        <w:rPr>
          <w:rFonts w:ascii="Times New Roman" w:hAnsi="Times New Roman" w:cs="Times New Roman"/>
          <w:color w:val="000000"/>
        </w:rPr>
        <w:t>,’</w:t>
      </w:r>
      <w:r w:rsidRPr="00705170">
        <w:rPr>
          <w:rFonts w:ascii="Times New Roman" w:hAnsi="Times New Roman" w:cs="Times New Roman"/>
          <w:color w:val="000000"/>
          <w:position w:val="13"/>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majority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often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proposes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purchase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shares</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minority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shareholder</w:t>
      </w:r>
      <w:proofErr w:type="spellEnd"/>
      <w:r w:rsidRPr="00705170">
        <w:rPr>
          <w:rFonts w:ascii="Times New Roman" w:hAnsi="Times New Roman" w:cs="Times New Roman"/>
          <w:color w:val="000000"/>
        </w:rPr>
        <w:t xml:space="preserve"> at an </w:t>
      </w:r>
      <w:proofErr w:type="spellStart"/>
      <w:r w:rsidRPr="00705170">
        <w:rPr>
          <w:rFonts w:ascii="Times New Roman" w:hAnsi="Times New Roman" w:cs="Times New Roman"/>
          <w:color w:val="000000"/>
        </w:rPr>
        <w:t>unfairly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low</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price</w:t>
      </w:r>
      <w:proofErr w:type="spellEnd"/>
      <w:r w:rsidRPr="00705170">
        <w:rPr>
          <w:rFonts w:ascii="Times New Roman" w:hAnsi="Times New Roman" w:cs="Times New Roman"/>
          <w:color w:val="000000"/>
        </w:rPr>
        <w:t>.”</w:t>
      </w:r>
      <w:r w:rsidRPr="00705170">
        <w:rPr>
          <w:rStyle w:val="DipnotBavurusu"/>
          <w:rFonts w:ascii="Times New Roman" w:hAnsi="Times New Roman" w:cs="Times New Roman"/>
          <w:color w:val="000000"/>
        </w:rPr>
        <w:footnoteReference w:id="577"/>
      </w:r>
    </w:p>
    <w:p w14:paraId="258619F7" w14:textId="6DE36D72" w:rsidR="00F6321B" w:rsidRPr="00705170" w:rsidRDefault="00395F6E" w:rsidP="00C11378">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claim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based</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plaintiff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demonstrate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conduct</w:t>
      </w:r>
      <w:proofErr w:type="spellEnd"/>
      <w:r w:rsidR="00810DCD" w:rsidRPr="00705170">
        <w:rPr>
          <w:rStyle w:val="DipnotBavurusu"/>
          <w:rFonts w:ascii="Times New Roman" w:hAnsi="Times New Roman" w:cs="Times New Roman"/>
        </w:rPr>
        <w:footnoteReference w:id="578"/>
      </w:r>
      <w:r w:rsidR="00810DCD"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nexus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between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misconduct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his </w:t>
      </w:r>
      <w:proofErr w:type="spellStart"/>
      <w:r w:rsidRPr="00705170">
        <w:rPr>
          <w:rFonts w:ascii="Times New Roman" w:hAnsi="Times New Roman" w:cs="Times New Roman"/>
        </w:rPr>
        <w:t>interest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depend</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harm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petitioner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interest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Style w:val="DipnotBavurusu"/>
          <w:rFonts w:ascii="Times New Roman" w:hAnsi="Times New Roman" w:cs="Times New Roman"/>
        </w:rPr>
        <w:footnoteReference w:id="579"/>
      </w:r>
      <w:r w:rsidR="00D82F57" w:rsidRPr="00705170">
        <w:rPr>
          <w:rFonts w:ascii="Times New Roman" w:hAnsi="Times New Roman" w:cs="Times New Roman"/>
        </w:rPr>
        <w:t xml:space="preserve">. </w:t>
      </w:r>
      <w:proofErr w:type="spellStart"/>
      <w:r w:rsidR="00E54F6B" w:rsidRPr="00705170">
        <w:rPr>
          <w:rFonts w:ascii="Times New Roman" w:hAnsi="Times New Roman" w:cs="Times New Roman"/>
        </w:rPr>
        <w:t>While</w:t>
      </w:r>
      <w:proofErr w:type="spellEnd"/>
      <w:r w:rsidR="00C11378" w:rsidRPr="00705170">
        <w:rPr>
          <w:rFonts w:ascii="Times New Roman" w:hAnsi="Times New Roman" w:cs="Times New Roman"/>
        </w:rPr>
        <w:t xml:space="preserve">, in </w:t>
      </w:r>
      <w:proofErr w:type="spellStart"/>
      <w:r w:rsidR="00C11378" w:rsidRPr="00705170">
        <w:rPr>
          <w:rFonts w:ascii="Times New Roman" w:hAnsi="Times New Roman" w:cs="Times New Roman"/>
        </w:rPr>
        <w:t>absence</w:t>
      </w:r>
      <w:proofErr w:type="spellEnd"/>
      <w:r w:rsidR="00C11378" w:rsidRPr="00705170">
        <w:rPr>
          <w:rFonts w:ascii="Times New Roman" w:hAnsi="Times New Roman" w:cs="Times New Roman"/>
        </w:rPr>
        <w:t xml:space="preserve"> of a </w:t>
      </w:r>
      <w:proofErr w:type="spellStart"/>
      <w:r w:rsidR="00C11378" w:rsidRPr="00705170">
        <w:rPr>
          <w:rFonts w:ascii="Times New Roman" w:hAnsi="Times New Roman" w:cs="Times New Roman"/>
        </w:rPr>
        <w:t>statutory</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limitation</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majority</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shareholers</w:t>
      </w:r>
      <w:proofErr w:type="spellEnd"/>
      <w:r w:rsidR="00C11378" w:rsidRPr="00705170">
        <w:rPr>
          <w:rFonts w:ascii="Times New Roman" w:hAnsi="Times New Roman" w:cs="Times New Roman"/>
        </w:rPr>
        <w:t xml:space="preserve"> can </w:t>
      </w:r>
      <w:proofErr w:type="spellStart"/>
      <w:r w:rsidR="00C11378" w:rsidRPr="00705170">
        <w:rPr>
          <w:rFonts w:ascii="Times New Roman" w:hAnsi="Times New Roman" w:cs="Times New Roman"/>
        </w:rPr>
        <w:t>also</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initiate</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this</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action</w:t>
      </w:r>
      <w:proofErr w:type="spellEnd"/>
      <w:r w:rsidR="00C11378" w:rsidRPr="00705170">
        <w:rPr>
          <w:rFonts w:ascii="Times New Roman" w:hAnsi="Times New Roman" w:cs="Times New Roman"/>
        </w:rPr>
        <w:t xml:space="preserve">, </w:t>
      </w:r>
      <w:proofErr w:type="spellStart"/>
      <w:r w:rsidR="00E54F6B" w:rsidRPr="00705170">
        <w:rPr>
          <w:rFonts w:ascii="Times New Roman" w:hAnsi="Times New Roman" w:cs="Times New Roman"/>
        </w:rPr>
        <w:t>the</w:t>
      </w:r>
      <w:proofErr w:type="spellEnd"/>
      <w:r w:rsidR="00E54F6B" w:rsidRPr="00705170">
        <w:rPr>
          <w:rFonts w:ascii="Times New Roman" w:hAnsi="Times New Roman" w:cs="Times New Roman"/>
        </w:rPr>
        <w:t xml:space="preserve"> </w:t>
      </w:r>
      <w:proofErr w:type="spellStart"/>
      <w:r w:rsidR="00E54F6B" w:rsidRPr="00705170">
        <w:rPr>
          <w:rFonts w:ascii="Times New Roman" w:hAnsi="Times New Roman" w:cs="Times New Roman"/>
        </w:rPr>
        <w:lastRenderedPageBreak/>
        <w:t>facts</w:t>
      </w:r>
      <w:proofErr w:type="spellEnd"/>
      <w:r w:rsidR="00E54F6B" w:rsidRPr="00705170">
        <w:rPr>
          <w:rFonts w:ascii="Times New Roman" w:hAnsi="Times New Roman" w:cs="Times New Roman"/>
        </w:rPr>
        <w:t xml:space="preserve"> </w:t>
      </w:r>
      <w:proofErr w:type="spellStart"/>
      <w:r w:rsidR="00E54F6B" w:rsidRPr="00705170">
        <w:rPr>
          <w:rFonts w:ascii="Times New Roman" w:hAnsi="Times New Roman" w:cs="Times New Roman"/>
        </w:rPr>
        <w:t>that</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the</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stat</w:t>
      </w:r>
      <w:r w:rsidR="00E54F6B" w:rsidRPr="00705170">
        <w:rPr>
          <w:rFonts w:ascii="Times New Roman" w:hAnsi="Times New Roman" w:cs="Times New Roman"/>
        </w:rPr>
        <w:t>utes</w:t>
      </w:r>
      <w:proofErr w:type="spellEnd"/>
      <w:r w:rsidR="00E54F6B" w:rsidRPr="00705170">
        <w:rPr>
          <w:rFonts w:ascii="Times New Roman" w:hAnsi="Times New Roman" w:cs="Times New Roman"/>
        </w:rPr>
        <w:t xml:space="preserve"> </w:t>
      </w:r>
      <w:proofErr w:type="spellStart"/>
      <w:r w:rsidR="00E54F6B" w:rsidRPr="00705170">
        <w:rPr>
          <w:rFonts w:ascii="Times New Roman" w:hAnsi="Times New Roman" w:cs="Times New Roman"/>
        </w:rPr>
        <w:t>generally</w:t>
      </w:r>
      <w:proofErr w:type="spellEnd"/>
      <w:r w:rsidR="00E54F6B" w:rsidRPr="00705170">
        <w:rPr>
          <w:rFonts w:ascii="Times New Roman" w:hAnsi="Times New Roman" w:cs="Times New Roman"/>
        </w:rPr>
        <w:t xml:space="preserve"> </w:t>
      </w:r>
      <w:proofErr w:type="spellStart"/>
      <w:r w:rsidR="00E54F6B" w:rsidRPr="00705170">
        <w:rPr>
          <w:rFonts w:ascii="Times New Roman" w:hAnsi="Times New Roman" w:cs="Times New Roman"/>
        </w:rPr>
        <w:t>only</w:t>
      </w:r>
      <w:proofErr w:type="spellEnd"/>
      <w:r w:rsidR="00E54F6B" w:rsidRPr="00705170">
        <w:rPr>
          <w:rFonts w:ascii="Times New Roman" w:hAnsi="Times New Roman" w:cs="Times New Roman"/>
        </w:rPr>
        <w:t xml:space="preserve"> </w:t>
      </w:r>
      <w:proofErr w:type="spellStart"/>
      <w:r w:rsidR="00E54F6B" w:rsidRPr="00705170">
        <w:rPr>
          <w:rFonts w:ascii="Times New Roman" w:hAnsi="Times New Roman" w:cs="Times New Roman"/>
        </w:rPr>
        <w:t>consider</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oppressive</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acts</w:t>
      </w:r>
      <w:proofErr w:type="spellEnd"/>
      <w:r w:rsidR="00C11378" w:rsidRPr="00705170">
        <w:rPr>
          <w:rFonts w:ascii="Times New Roman" w:hAnsi="Times New Roman" w:cs="Times New Roman"/>
        </w:rPr>
        <w:t xml:space="preserve"> of </w:t>
      </w:r>
      <w:proofErr w:type="spellStart"/>
      <w:r w:rsidR="00C11378" w:rsidRPr="00705170">
        <w:rPr>
          <w:rFonts w:ascii="Times New Roman" w:hAnsi="Times New Roman" w:cs="Times New Roman"/>
        </w:rPr>
        <w:t>shareholders</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who</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are</w:t>
      </w:r>
      <w:proofErr w:type="spellEnd"/>
      <w:r w:rsidR="00C11378" w:rsidRPr="00705170">
        <w:rPr>
          <w:rFonts w:ascii="Times New Roman" w:hAnsi="Times New Roman" w:cs="Times New Roman"/>
        </w:rPr>
        <w:t xml:space="preserve"> i</w:t>
      </w:r>
      <w:r w:rsidR="00E54F6B" w:rsidRPr="00705170">
        <w:rPr>
          <w:rFonts w:ascii="Times New Roman" w:hAnsi="Times New Roman" w:cs="Times New Roman"/>
        </w:rPr>
        <w:t xml:space="preserve">n </w:t>
      </w:r>
      <w:proofErr w:type="spellStart"/>
      <w:r w:rsidR="00E54F6B" w:rsidRPr="00705170">
        <w:rPr>
          <w:rFonts w:ascii="Times New Roman" w:hAnsi="Times New Roman" w:cs="Times New Roman"/>
        </w:rPr>
        <w:t>control</w:t>
      </w:r>
      <w:proofErr w:type="spellEnd"/>
      <w:r w:rsidR="00E54F6B" w:rsidRPr="00705170">
        <w:rPr>
          <w:rFonts w:ascii="Times New Roman" w:hAnsi="Times New Roman" w:cs="Times New Roman"/>
        </w:rPr>
        <w:t xml:space="preserve"> of </w:t>
      </w:r>
      <w:proofErr w:type="spellStart"/>
      <w:r w:rsidR="00E54F6B" w:rsidRPr="00705170">
        <w:rPr>
          <w:rFonts w:ascii="Times New Roman" w:hAnsi="Times New Roman" w:cs="Times New Roman"/>
        </w:rPr>
        <w:t>the</w:t>
      </w:r>
      <w:proofErr w:type="spellEnd"/>
      <w:r w:rsidR="00E54F6B" w:rsidRPr="00705170">
        <w:rPr>
          <w:rFonts w:ascii="Times New Roman" w:hAnsi="Times New Roman" w:cs="Times New Roman"/>
        </w:rPr>
        <w:t xml:space="preserve"> </w:t>
      </w:r>
      <w:proofErr w:type="spellStart"/>
      <w:r w:rsidR="00E54F6B" w:rsidRPr="00705170">
        <w:rPr>
          <w:rFonts w:ascii="Times New Roman" w:hAnsi="Times New Roman" w:cs="Times New Roman"/>
        </w:rPr>
        <w:t>corporation</w:t>
      </w:r>
      <w:proofErr w:type="spellEnd"/>
      <w:r w:rsidR="00E54F6B" w:rsidRPr="00705170">
        <w:rPr>
          <w:rFonts w:ascii="Times New Roman" w:hAnsi="Times New Roman" w:cs="Times New Roman"/>
        </w:rPr>
        <w:t xml:space="preserve"> (</w:t>
      </w:r>
      <w:proofErr w:type="spellStart"/>
      <w:r w:rsidR="00E54F6B" w:rsidRPr="00705170">
        <w:rPr>
          <w:rFonts w:ascii="Times New Roman" w:hAnsi="Times New Roman" w:cs="Times New Roman"/>
        </w:rPr>
        <w:t>then</w:t>
      </w:r>
      <w:proofErr w:type="spellEnd"/>
      <w:r w:rsidR="00E54F6B" w:rsidRPr="00705170">
        <w:rPr>
          <w:rFonts w:ascii="Times New Roman" w:hAnsi="Times New Roman" w:cs="Times New Roman"/>
        </w:rPr>
        <w:t>,</w:t>
      </w:r>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the</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majority</w:t>
      </w:r>
      <w:proofErr w:type="spellEnd"/>
      <w:r w:rsidR="00C11378" w:rsidRPr="00705170">
        <w:rPr>
          <w:rFonts w:ascii="Times New Roman" w:hAnsi="Times New Roman" w:cs="Times New Roman"/>
        </w:rPr>
        <w:t xml:space="preserve"> has </w:t>
      </w:r>
      <w:proofErr w:type="spellStart"/>
      <w:r w:rsidR="00C11378" w:rsidRPr="00705170">
        <w:rPr>
          <w:rFonts w:ascii="Times New Roman" w:hAnsi="Times New Roman" w:cs="Times New Roman"/>
        </w:rPr>
        <w:t>to</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establish</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that</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the</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minority</w:t>
      </w:r>
      <w:proofErr w:type="spellEnd"/>
      <w:r w:rsidR="00C11378" w:rsidRPr="00705170">
        <w:rPr>
          <w:rFonts w:ascii="Times New Roman" w:hAnsi="Times New Roman" w:cs="Times New Roman"/>
        </w:rPr>
        <w:t xml:space="preserve"> is in </w:t>
      </w:r>
      <w:proofErr w:type="spellStart"/>
      <w:r w:rsidR="00C11378" w:rsidRPr="00705170">
        <w:rPr>
          <w:rFonts w:ascii="Times New Roman" w:hAnsi="Times New Roman" w:cs="Times New Roman"/>
        </w:rPr>
        <w:t>control</w:t>
      </w:r>
      <w:proofErr w:type="spellEnd"/>
      <w:r w:rsidR="00C11378" w:rsidRPr="00705170">
        <w:rPr>
          <w:rFonts w:ascii="Times New Roman" w:hAnsi="Times New Roman" w:cs="Times New Roman"/>
        </w:rPr>
        <w:t>)</w:t>
      </w:r>
      <w:r w:rsidR="00C11378" w:rsidRPr="00705170">
        <w:rPr>
          <w:rStyle w:val="DipnotBavurusu"/>
          <w:rFonts w:ascii="Times New Roman" w:hAnsi="Times New Roman" w:cs="Times New Roman"/>
        </w:rPr>
        <w:footnoteReference w:id="580"/>
      </w:r>
      <w:r w:rsidR="00E54F6B" w:rsidRPr="00705170">
        <w:rPr>
          <w:rFonts w:ascii="Times New Roman" w:hAnsi="Times New Roman" w:cs="Times New Roman"/>
        </w:rPr>
        <w:t xml:space="preserve"> </w:t>
      </w:r>
      <w:proofErr w:type="spellStart"/>
      <w:r w:rsidR="00E54F6B" w:rsidRPr="00705170">
        <w:rPr>
          <w:rFonts w:ascii="Times New Roman" w:hAnsi="Times New Roman" w:cs="Times New Roman"/>
        </w:rPr>
        <w:t>and</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harm</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to</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the</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majority’s</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interest</w:t>
      </w:r>
      <w:proofErr w:type="spellEnd"/>
      <w:r w:rsidR="00C11378" w:rsidRPr="00705170">
        <w:rPr>
          <w:rFonts w:ascii="Times New Roman" w:hAnsi="Times New Roman" w:cs="Times New Roman"/>
        </w:rPr>
        <w:t xml:space="preserve"> in </w:t>
      </w:r>
      <w:proofErr w:type="spellStart"/>
      <w:r w:rsidR="00C11378" w:rsidRPr="00705170">
        <w:rPr>
          <w:rFonts w:ascii="Times New Roman" w:hAnsi="Times New Roman" w:cs="Times New Roman"/>
        </w:rPr>
        <w:t>the</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corporation</w:t>
      </w:r>
      <w:proofErr w:type="spellEnd"/>
      <w:r w:rsidR="00C11378" w:rsidRPr="00705170">
        <w:rPr>
          <w:rFonts w:ascii="Times New Roman" w:hAnsi="Times New Roman" w:cs="Times New Roman"/>
        </w:rPr>
        <w:t xml:space="preserve"> </w:t>
      </w:r>
      <w:proofErr w:type="spellStart"/>
      <w:r w:rsidR="00E54F6B" w:rsidRPr="00705170">
        <w:rPr>
          <w:rFonts w:ascii="Times New Roman" w:hAnsi="Times New Roman" w:cs="Times New Roman"/>
        </w:rPr>
        <w:t>should</w:t>
      </w:r>
      <w:proofErr w:type="spellEnd"/>
      <w:r w:rsidR="00E54F6B" w:rsidRPr="00705170">
        <w:rPr>
          <w:rFonts w:ascii="Times New Roman" w:hAnsi="Times New Roman" w:cs="Times New Roman"/>
        </w:rPr>
        <w:t xml:space="preserve"> be </w:t>
      </w:r>
      <w:proofErr w:type="spellStart"/>
      <w:r w:rsidR="00E54F6B" w:rsidRPr="00705170">
        <w:rPr>
          <w:rFonts w:ascii="Times New Roman" w:hAnsi="Times New Roman" w:cs="Times New Roman"/>
        </w:rPr>
        <w:t>shown</w:t>
      </w:r>
      <w:proofErr w:type="spellEnd"/>
      <w:r w:rsidR="00E54F6B" w:rsidRPr="00705170">
        <w:rPr>
          <w:rFonts w:ascii="Times New Roman" w:hAnsi="Times New Roman" w:cs="Times New Roman"/>
        </w:rPr>
        <w:t xml:space="preserve"> </w:t>
      </w:r>
      <w:proofErr w:type="spellStart"/>
      <w:r w:rsidR="00E54F6B" w:rsidRPr="00705170">
        <w:rPr>
          <w:rFonts w:ascii="Times New Roman" w:hAnsi="Times New Roman" w:cs="Times New Roman"/>
        </w:rPr>
        <w:t>would</w:t>
      </w:r>
      <w:proofErr w:type="spellEnd"/>
      <w:r w:rsidR="00C11378" w:rsidRPr="00705170">
        <w:rPr>
          <w:rFonts w:ascii="Times New Roman" w:hAnsi="Times New Roman" w:cs="Times New Roman"/>
        </w:rPr>
        <w:t xml:space="preserve"> </w:t>
      </w:r>
      <w:proofErr w:type="spellStart"/>
      <w:r w:rsidR="00E54F6B" w:rsidRPr="00705170">
        <w:rPr>
          <w:rFonts w:ascii="Times New Roman" w:hAnsi="Times New Roman" w:cs="Times New Roman"/>
        </w:rPr>
        <w:t>dimish</w:t>
      </w:r>
      <w:proofErr w:type="spellEnd"/>
      <w:r w:rsidR="00E54F6B" w:rsidRPr="00705170">
        <w:rPr>
          <w:rFonts w:ascii="Times New Roman" w:hAnsi="Times New Roman" w:cs="Times New Roman"/>
        </w:rPr>
        <w:t xml:space="preserve"> </w:t>
      </w:r>
      <w:proofErr w:type="spellStart"/>
      <w:r w:rsidR="00E54F6B" w:rsidRPr="00705170">
        <w:rPr>
          <w:rFonts w:ascii="Times New Roman" w:hAnsi="Times New Roman" w:cs="Times New Roman"/>
        </w:rPr>
        <w:t>their</w:t>
      </w:r>
      <w:proofErr w:type="spellEnd"/>
      <w:r w:rsidR="00E54F6B" w:rsidRPr="00705170">
        <w:rPr>
          <w:rFonts w:ascii="Times New Roman" w:hAnsi="Times New Roman" w:cs="Times New Roman"/>
        </w:rPr>
        <w:t xml:space="preserve"> </w:t>
      </w:r>
      <w:proofErr w:type="spellStart"/>
      <w:r w:rsidR="00E54F6B" w:rsidRPr="00705170">
        <w:rPr>
          <w:rFonts w:ascii="Times New Roman" w:hAnsi="Times New Roman" w:cs="Times New Roman"/>
        </w:rPr>
        <w:t>chances</w:t>
      </w:r>
      <w:proofErr w:type="spellEnd"/>
      <w:r w:rsidR="00E54F6B" w:rsidRPr="00705170">
        <w:rPr>
          <w:rFonts w:ascii="Times New Roman" w:hAnsi="Times New Roman" w:cs="Times New Roman"/>
        </w:rPr>
        <w:t xml:space="preserve"> of </w:t>
      </w:r>
      <w:proofErr w:type="spellStart"/>
      <w:r w:rsidR="00E54F6B" w:rsidRPr="00705170">
        <w:rPr>
          <w:rFonts w:ascii="Times New Roman" w:hAnsi="Times New Roman" w:cs="Times New Roman"/>
        </w:rPr>
        <w:t>success</w:t>
      </w:r>
      <w:proofErr w:type="spellEnd"/>
      <w:r w:rsidR="00C11378" w:rsidRPr="00705170">
        <w:rPr>
          <w:rStyle w:val="DipnotBavurusu"/>
          <w:rFonts w:ascii="Times New Roman" w:hAnsi="Times New Roman" w:cs="Times New Roman"/>
        </w:rPr>
        <w:footnoteReference w:id="581"/>
      </w:r>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Furthermore</w:t>
      </w:r>
      <w:proofErr w:type="spellEnd"/>
      <w:r w:rsidR="00C11378" w:rsidRPr="00705170">
        <w:rPr>
          <w:rFonts w:ascii="Times New Roman" w:hAnsi="Times New Roman" w:cs="Times New Roman"/>
        </w:rPr>
        <w:t xml:space="preserve">, </w:t>
      </w:r>
      <w:proofErr w:type="spellStart"/>
      <w:r w:rsidR="00C11378" w:rsidRPr="00705170">
        <w:rPr>
          <w:rFonts w:ascii="Times New Roman" w:hAnsi="Times New Roman" w:cs="Times New Roman"/>
        </w:rPr>
        <w:t>w</w:t>
      </w:r>
      <w:r w:rsidR="00D82F57" w:rsidRPr="00705170">
        <w:rPr>
          <w:rFonts w:ascii="Times New Roman" w:hAnsi="Times New Roman" w:cs="Times New Roman"/>
        </w:rPr>
        <w:t>hile</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there</w:t>
      </w:r>
      <w:proofErr w:type="spellEnd"/>
      <w:r w:rsidR="00D82F57" w:rsidRPr="00705170">
        <w:rPr>
          <w:rFonts w:ascii="Times New Roman" w:hAnsi="Times New Roman" w:cs="Times New Roman"/>
        </w:rPr>
        <w:t xml:space="preserve"> is </w:t>
      </w:r>
      <w:proofErr w:type="spellStart"/>
      <w:r w:rsidR="00D82F57" w:rsidRPr="00705170">
        <w:rPr>
          <w:rFonts w:ascii="Times New Roman" w:hAnsi="Times New Roman" w:cs="Times New Roman"/>
        </w:rPr>
        <w:t>generally</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no</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requirement</w:t>
      </w:r>
      <w:proofErr w:type="spellEnd"/>
      <w:r w:rsidR="00D82F57" w:rsidRPr="00705170">
        <w:rPr>
          <w:rFonts w:ascii="Times New Roman" w:hAnsi="Times New Roman" w:cs="Times New Roman"/>
        </w:rPr>
        <w:t xml:space="preserve"> of </w:t>
      </w:r>
      <w:proofErr w:type="spellStart"/>
      <w:r w:rsidR="00D82F57" w:rsidRPr="00705170">
        <w:rPr>
          <w:rFonts w:ascii="Times New Roman" w:hAnsi="Times New Roman" w:cs="Times New Roman"/>
        </w:rPr>
        <w:t>showing</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the</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intent</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to</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oppress</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or</w:t>
      </w:r>
      <w:proofErr w:type="spellEnd"/>
      <w:r w:rsidR="00D82F57" w:rsidRPr="00705170">
        <w:rPr>
          <w:rFonts w:ascii="Times New Roman" w:hAnsi="Times New Roman" w:cs="Times New Roman"/>
        </w:rPr>
        <w:t xml:space="preserve"> </w:t>
      </w:r>
      <w:r w:rsidR="00365184" w:rsidRPr="00705170">
        <w:rPr>
          <w:rFonts w:ascii="Times New Roman" w:hAnsi="Times New Roman" w:cs="Times New Roman"/>
        </w:rPr>
        <w:t>“</w:t>
      </w:r>
      <w:proofErr w:type="spellStart"/>
      <w:r w:rsidR="00365184" w:rsidRPr="00705170">
        <w:rPr>
          <w:rFonts w:ascii="Times New Roman" w:hAnsi="Times New Roman" w:cs="Times New Roman"/>
        </w:rPr>
        <w:t>bad</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faith</w:t>
      </w:r>
      <w:proofErr w:type="spellEnd"/>
      <w:r w:rsidR="00365184" w:rsidRPr="00705170">
        <w:rPr>
          <w:rFonts w:ascii="Times New Roman" w:hAnsi="Times New Roman" w:cs="Times New Roman"/>
        </w:rPr>
        <w:t>”</w:t>
      </w:r>
      <w:r w:rsidR="00C42A4B" w:rsidRPr="00705170">
        <w:rPr>
          <w:rStyle w:val="DipnotBavurusu"/>
          <w:rFonts w:ascii="Times New Roman" w:hAnsi="Times New Roman" w:cs="Times New Roman"/>
        </w:rPr>
        <w:footnoteReference w:id="582"/>
      </w:r>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establishing</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that</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those</w:t>
      </w:r>
      <w:proofErr w:type="spellEnd"/>
      <w:r w:rsidR="00D82F57" w:rsidRPr="00705170">
        <w:rPr>
          <w:rFonts w:ascii="Times New Roman" w:hAnsi="Times New Roman" w:cs="Times New Roman"/>
        </w:rPr>
        <w:t xml:space="preserve"> in </w:t>
      </w:r>
      <w:proofErr w:type="spellStart"/>
      <w:r w:rsidR="00D82F57" w:rsidRPr="00705170">
        <w:rPr>
          <w:rFonts w:ascii="Times New Roman" w:hAnsi="Times New Roman" w:cs="Times New Roman"/>
        </w:rPr>
        <w:t>control</w:t>
      </w:r>
      <w:proofErr w:type="spellEnd"/>
      <w:r w:rsidR="00D82F57" w:rsidRPr="00705170">
        <w:rPr>
          <w:rFonts w:ascii="Times New Roman" w:hAnsi="Times New Roman" w:cs="Times New Roman"/>
        </w:rPr>
        <w:t xml:space="preserve"> of </w:t>
      </w:r>
      <w:proofErr w:type="spellStart"/>
      <w:r w:rsidR="00D82F57" w:rsidRPr="00705170">
        <w:rPr>
          <w:rFonts w:ascii="Times New Roman" w:hAnsi="Times New Roman" w:cs="Times New Roman"/>
        </w:rPr>
        <w:t>the</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corporation</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willfully</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treated</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the</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minority</w:t>
      </w:r>
      <w:proofErr w:type="spellEnd"/>
      <w:r w:rsidR="00D82F57" w:rsidRPr="00705170">
        <w:rPr>
          <w:rFonts w:ascii="Times New Roman" w:hAnsi="Times New Roman" w:cs="Times New Roman"/>
        </w:rPr>
        <w:t xml:space="preserve"> in a </w:t>
      </w:r>
      <w:proofErr w:type="spellStart"/>
      <w:r w:rsidR="00D82F57" w:rsidRPr="00705170">
        <w:rPr>
          <w:rFonts w:ascii="Times New Roman" w:hAnsi="Times New Roman" w:cs="Times New Roman"/>
        </w:rPr>
        <w:t>manner</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to</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which</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other</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sharehold</w:t>
      </w:r>
      <w:r w:rsidR="00C42A4B" w:rsidRPr="00705170">
        <w:rPr>
          <w:rFonts w:ascii="Times New Roman" w:hAnsi="Times New Roman" w:cs="Times New Roman"/>
        </w:rPr>
        <w:t>ers</w:t>
      </w:r>
      <w:proofErr w:type="spellEnd"/>
      <w:r w:rsidR="00C42A4B" w:rsidRPr="00705170">
        <w:rPr>
          <w:rFonts w:ascii="Times New Roman" w:hAnsi="Times New Roman" w:cs="Times New Roman"/>
        </w:rPr>
        <w:t xml:space="preserve"> </w:t>
      </w:r>
      <w:proofErr w:type="spellStart"/>
      <w:r w:rsidR="00C42A4B" w:rsidRPr="00705170">
        <w:rPr>
          <w:rFonts w:ascii="Times New Roman" w:hAnsi="Times New Roman" w:cs="Times New Roman"/>
        </w:rPr>
        <w:t>were</w:t>
      </w:r>
      <w:proofErr w:type="spellEnd"/>
      <w:r w:rsidR="00C42A4B" w:rsidRPr="00705170">
        <w:rPr>
          <w:rFonts w:ascii="Times New Roman" w:hAnsi="Times New Roman" w:cs="Times New Roman"/>
        </w:rPr>
        <w:t xml:space="preserve"> not </w:t>
      </w:r>
      <w:proofErr w:type="spellStart"/>
      <w:r w:rsidR="00C42A4B" w:rsidRPr="00705170">
        <w:rPr>
          <w:rFonts w:ascii="Times New Roman" w:hAnsi="Times New Roman" w:cs="Times New Roman"/>
        </w:rPr>
        <w:t>subjected</w:t>
      </w:r>
      <w:proofErr w:type="spellEnd"/>
      <w:r w:rsidR="00C42A4B" w:rsidRPr="00705170">
        <w:rPr>
          <w:rFonts w:ascii="Times New Roman" w:hAnsi="Times New Roman" w:cs="Times New Roman"/>
        </w:rPr>
        <w:t xml:space="preserve"> </w:t>
      </w:r>
      <w:proofErr w:type="spellStart"/>
      <w:r w:rsidR="00C42A4B" w:rsidRPr="00705170">
        <w:rPr>
          <w:rFonts w:ascii="Times New Roman" w:hAnsi="Times New Roman" w:cs="Times New Roman"/>
        </w:rPr>
        <w:t>would</w:t>
      </w:r>
      <w:proofErr w:type="spellEnd"/>
      <w:r w:rsidR="00C42A4B" w:rsidRPr="00705170">
        <w:rPr>
          <w:rFonts w:ascii="Times New Roman" w:hAnsi="Times New Roman" w:cs="Times New Roman"/>
        </w:rPr>
        <w:t xml:space="preserve"> </w:t>
      </w:r>
      <w:proofErr w:type="spellStart"/>
      <w:r w:rsidR="00C42A4B" w:rsidRPr="00705170">
        <w:rPr>
          <w:rFonts w:ascii="Times New Roman" w:hAnsi="Times New Roman" w:cs="Times New Roman"/>
        </w:rPr>
        <w:t>help</w:t>
      </w:r>
      <w:proofErr w:type="spellEnd"/>
      <w:r w:rsidR="00C42A4B" w:rsidRPr="00705170">
        <w:rPr>
          <w:rFonts w:ascii="Times New Roman" w:hAnsi="Times New Roman" w:cs="Times New Roman"/>
        </w:rPr>
        <w:t xml:space="preserve"> in </w:t>
      </w:r>
      <w:proofErr w:type="spellStart"/>
      <w:r w:rsidR="00C42A4B" w:rsidRPr="00705170">
        <w:rPr>
          <w:rFonts w:ascii="Times New Roman" w:hAnsi="Times New Roman" w:cs="Times New Roman"/>
        </w:rPr>
        <w:t>proving</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this</w:t>
      </w:r>
      <w:proofErr w:type="spellEnd"/>
      <w:r w:rsidR="00D82F57" w:rsidRPr="00705170">
        <w:rPr>
          <w:rFonts w:ascii="Times New Roman" w:hAnsi="Times New Roman" w:cs="Times New Roman"/>
        </w:rPr>
        <w:t xml:space="preserve"> </w:t>
      </w:r>
      <w:proofErr w:type="spellStart"/>
      <w:r w:rsidR="00D82F57" w:rsidRPr="00705170">
        <w:rPr>
          <w:rFonts w:ascii="Times New Roman" w:hAnsi="Times New Roman" w:cs="Times New Roman"/>
        </w:rPr>
        <w:t>nexus</w:t>
      </w:r>
      <w:proofErr w:type="spellEnd"/>
      <w:r w:rsidR="00D82F57" w:rsidRPr="00705170">
        <w:rPr>
          <w:rStyle w:val="DipnotBavurusu"/>
          <w:rFonts w:ascii="Times New Roman" w:hAnsi="Times New Roman" w:cs="Times New Roman"/>
        </w:rPr>
        <w:footnoteReference w:id="583"/>
      </w:r>
      <w:r w:rsidR="00D82F57" w:rsidRPr="00705170">
        <w:rPr>
          <w:rFonts w:ascii="Times New Roman" w:hAnsi="Times New Roman" w:cs="Times New Roman"/>
        </w:rPr>
        <w:t xml:space="preserve">. </w:t>
      </w:r>
      <w:proofErr w:type="spellStart"/>
      <w:r w:rsidR="0052172D" w:rsidRPr="00705170">
        <w:rPr>
          <w:rFonts w:ascii="Times New Roman" w:hAnsi="Times New Roman" w:cs="Times New Roman"/>
        </w:rPr>
        <w:t>Similarly</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while</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there</w:t>
      </w:r>
      <w:proofErr w:type="spellEnd"/>
      <w:r w:rsidR="0052172D" w:rsidRPr="00705170">
        <w:rPr>
          <w:rFonts w:ascii="Times New Roman" w:hAnsi="Times New Roman" w:cs="Times New Roman"/>
        </w:rPr>
        <w:t xml:space="preserve"> is </w:t>
      </w:r>
      <w:proofErr w:type="spellStart"/>
      <w:r w:rsidR="0052172D" w:rsidRPr="00705170">
        <w:rPr>
          <w:rFonts w:ascii="Times New Roman" w:hAnsi="Times New Roman" w:cs="Times New Roman"/>
        </w:rPr>
        <w:t>no</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requirement</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for</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the</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petitioner</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minority</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shareholder</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to</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show</w:t>
      </w:r>
      <w:proofErr w:type="spellEnd"/>
      <w:r w:rsidR="0052172D" w:rsidRPr="00705170">
        <w:rPr>
          <w:rFonts w:ascii="Times New Roman" w:hAnsi="Times New Roman" w:cs="Times New Roman"/>
        </w:rPr>
        <w:t xml:space="preserve"> he has “</w:t>
      </w:r>
      <w:proofErr w:type="spellStart"/>
      <w:r w:rsidR="0052172D" w:rsidRPr="00705170">
        <w:rPr>
          <w:rFonts w:ascii="Times New Roman" w:hAnsi="Times New Roman" w:cs="Times New Roman"/>
        </w:rPr>
        <w:t>no</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fault</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the</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petitioners</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bad</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faith</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would</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potentially</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undermine</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this</w:t>
      </w:r>
      <w:proofErr w:type="spellEnd"/>
      <w:r w:rsidR="0052172D" w:rsidRPr="00705170">
        <w:rPr>
          <w:rFonts w:ascii="Times New Roman" w:hAnsi="Times New Roman" w:cs="Times New Roman"/>
        </w:rPr>
        <w:t xml:space="preserve"> </w:t>
      </w:r>
      <w:proofErr w:type="spellStart"/>
      <w:r w:rsidR="0052172D" w:rsidRPr="00705170">
        <w:rPr>
          <w:rFonts w:ascii="Times New Roman" w:hAnsi="Times New Roman" w:cs="Times New Roman"/>
        </w:rPr>
        <w:t>nexus</w:t>
      </w:r>
      <w:proofErr w:type="spellEnd"/>
      <w:r w:rsidR="0052172D" w:rsidRPr="00705170">
        <w:rPr>
          <w:rStyle w:val="DipnotBavurusu"/>
          <w:rFonts w:ascii="Times New Roman" w:hAnsi="Times New Roman" w:cs="Times New Roman"/>
        </w:rPr>
        <w:footnoteReference w:id="584"/>
      </w:r>
      <w:r w:rsidR="0052172D" w:rsidRPr="00705170">
        <w:rPr>
          <w:rFonts w:ascii="Times New Roman" w:hAnsi="Times New Roman" w:cs="Times New Roman"/>
        </w:rPr>
        <w:t xml:space="preserve">. </w:t>
      </w:r>
      <w:proofErr w:type="spellStart"/>
      <w:r w:rsidR="00365184" w:rsidRPr="00705170">
        <w:rPr>
          <w:rFonts w:ascii="Times New Roman" w:hAnsi="Times New Roman" w:cs="Times New Roman"/>
        </w:rPr>
        <w:t>Furthermore</w:t>
      </w:r>
      <w:proofErr w:type="spellEnd"/>
      <w:r w:rsidR="00365184" w:rsidRPr="00705170">
        <w:rPr>
          <w:rFonts w:ascii="Times New Roman" w:hAnsi="Times New Roman" w:cs="Times New Roman"/>
        </w:rPr>
        <w:t xml:space="preserve">, </w:t>
      </w:r>
      <w:proofErr w:type="spellStart"/>
      <w:r w:rsidR="00365184" w:rsidRPr="00705170">
        <w:rPr>
          <w:rFonts w:ascii="Times New Roman" w:hAnsi="Times New Roman" w:cs="Times New Roman"/>
        </w:rPr>
        <w:t>o</w:t>
      </w:r>
      <w:r w:rsidR="00F6321B" w:rsidRPr="00705170">
        <w:rPr>
          <w:rFonts w:ascii="Times New Roman" w:hAnsi="Times New Roman" w:cs="Times New Roman"/>
        </w:rPr>
        <w:t>ppression</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statutes</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generally</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intend</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the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courts</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proceed</w:t>
      </w:r>
      <w:proofErr w:type="spellEnd"/>
      <w:r w:rsidR="00F6321B" w:rsidRPr="00705170">
        <w:rPr>
          <w:rFonts w:ascii="Times New Roman" w:hAnsi="Times New Roman" w:cs="Times New Roman"/>
        </w:rPr>
        <w:t xml:space="preserve"> on </w:t>
      </w:r>
      <w:proofErr w:type="spellStart"/>
      <w:r w:rsidR="00F6321B" w:rsidRPr="00705170">
        <w:rPr>
          <w:rFonts w:ascii="Times New Roman" w:hAnsi="Times New Roman" w:cs="Times New Roman"/>
        </w:rPr>
        <w:t>case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by</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case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basis</w:t>
      </w:r>
      <w:proofErr w:type="spellEnd"/>
      <w:r w:rsidR="00F6321B" w:rsidRPr="00705170">
        <w:rPr>
          <w:rStyle w:val="DipnotBavurusu"/>
          <w:rFonts w:ascii="Times New Roman" w:hAnsi="Times New Roman" w:cs="Times New Roman"/>
        </w:rPr>
        <w:footnoteReference w:id="585"/>
      </w:r>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because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actions</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which</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might</w:t>
      </w:r>
      <w:proofErr w:type="spellEnd"/>
      <w:r w:rsidR="00F6321B" w:rsidRPr="00705170">
        <w:rPr>
          <w:rFonts w:ascii="Times New Roman" w:hAnsi="Times New Roman" w:cs="Times New Roman"/>
        </w:rPr>
        <w:t xml:space="preserve"> be </w:t>
      </w:r>
      <w:proofErr w:type="spellStart"/>
      <w:r w:rsidR="00F6321B" w:rsidRPr="00705170">
        <w:rPr>
          <w:rFonts w:ascii="Times New Roman" w:hAnsi="Times New Roman" w:cs="Times New Roman"/>
        </w:rPr>
        <w:t>oppressive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under</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one</w:t>
      </w:r>
      <w:proofErr w:type="spellEnd"/>
      <w:r w:rsidR="00F6321B" w:rsidRPr="00705170">
        <w:rPr>
          <w:rFonts w:ascii="Times New Roman" w:hAnsi="Times New Roman" w:cs="Times New Roman"/>
        </w:rPr>
        <w:t xml:space="preserve"> set of </w:t>
      </w:r>
      <w:proofErr w:type="spellStart"/>
      <w:r w:rsidR="00F6321B" w:rsidRPr="00705170">
        <w:rPr>
          <w:rFonts w:ascii="Times New Roman" w:hAnsi="Times New Roman" w:cs="Times New Roman"/>
        </w:rPr>
        <w:t>circumstances</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would</w:t>
      </w:r>
      <w:proofErr w:type="spellEnd"/>
      <w:r w:rsidR="00F6321B" w:rsidRPr="00705170">
        <w:rPr>
          <w:rFonts w:ascii="Times New Roman" w:hAnsi="Times New Roman" w:cs="Times New Roman"/>
        </w:rPr>
        <w:t xml:space="preserve"> not be </w:t>
      </w:r>
      <w:proofErr w:type="spellStart"/>
      <w:r w:rsidR="00F6321B" w:rsidRPr="00705170">
        <w:rPr>
          <w:rFonts w:ascii="Times New Roman" w:hAnsi="Times New Roman" w:cs="Times New Roman"/>
        </w:rPr>
        <w:t>oppressive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under</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others</w:t>
      </w:r>
      <w:proofErr w:type="spellEnd"/>
      <w:r w:rsidR="00F6321B" w:rsidRPr="00705170">
        <w:rPr>
          <w:rFonts w:ascii="Times New Roman" w:hAnsi="Times New Roman" w:cs="Times New Roman"/>
        </w:rPr>
        <w:t>”</w:t>
      </w:r>
      <w:r w:rsidR="00F6321B" w:rsidRPr="00705170">
        <w:rPr>
          <w:rStyle w:val="DipnotBavurusu"/>
          <w:rFonts w:ascii="Times New Roman" w:hAnsi="Times New Roman" w:cs="Times New Roman"/>
        </w:rPr>
        <w:footnoteReference w:id="586"/>
      </w:r>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While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lastRenderedPageBreak/>
        <w:t>claim</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for</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oppressive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conduct</w:t>
      </w:r>
      <w:proofErr w:type="spellEnd"/>
      <w:r w:rsidR="00F6321B" w:rsidRPr="00705170">
        <w:rPr>
          <w:rFonts w:ascii="Times New Roman" w:hAnsi="Times New Roman" w:cs="Times New Roman"/>
        </w:rPr>
        <w:t xml:space="preserve"> can be </w:t>
      </w:r>
      <w:proofErr w:type="spellStart"/>
      <w:r w:rsidR="00F6321B" w:rsidRPr="00705170">
        <w:rPr>
          <w:rFonts w:ascii="Times New Roman" w:hAnsi="Times New Roman" w:cs="Times New Roman"/>
        </w:rPr>
        <w:t>independently</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supported</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by</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evidence</w:t>
      </w:r>
      <w:proofErr w:type="spellEnd"/>
      <w:r w:rsidR="00F6321B" w:rsidRPr="00705170">
        <w:rPr>
          <w:rFonts w:ascii="Times New Roman" w:hAnsi="Times New Roman" w:cs="Times New Roman"/>
        </w:rPr>
        <w:t xml:space="preserve"> of </w:t>
      </w:r>
      <w:proofErr w:type="spellStart"/>
      <w:r w:rsidR="00F6321B" w:rsidRPr="00705170">
        <w:rPr>
          <w:rFonts w:ascii="Times New Roman" w:hAnsi="Times New Roman" w:cs="Times New Roman"/>
        </w:rPr>
        <w:t>variety</w:t>
      </w:r>
      <w:proofErr w:type="spellEnd"/>
      <w:r w:rsidR="00F6321B" w:rsidRPr="00705170">
        <w:rPr>
          <w:rFonts w:ascii="Times New Roman" w:hAnsi="Times New Roman" w:cs="Times New Roman"/>
        </w:rPr>
        <w:t xml:space="preserve"> of </w:t>
      </w:r>
      <w:proofErr w:type="spellStart"/>
      <w:r w:rsidR="00F6321B" w:rsidRPr="00705170">
        <w:rPr>
          <w:rFonts w:ascii="Times New Roman" w:hAnsi="Times New Roman" w:cs="Times New Roman"/>
        </w:rPr>
        <w:t>conduct</w:t>
      </w:r>
      <w:proofErr w:type="spellEnd"/>
      <w:r w:rsidR="00F6321B" w:rsidRPr="00705170">
        <w:rPr>
          <w:rFonts w:ascii="Times New Roman" w:hAnsi="Times New Roman" w:cs="Times New Roman"/>
        </w:rPr>
        <w:t xml:space="preserve">, a </w:t>
      </w:r>
      <w:proofErr w:type="spellStart"/>
      <w:r w:rsidR="00F6321B" w:rsidRPr="00705170">
        <w:rPr>
          <w:rFonts w:ascii="Times New Roman" w:hAnsi="Times New Roman" w:cs="Times New Roman"/>
        </w:rPr>
        <w:t>finding</w:t>
      </w:r>
      <w:proofErr w:type="spellEnd"/>
      <w:r w:rsidR="00F6321B" w:rsidRPr="00705170">
        <w:rPr>
          <w:rFonts w:ascii="Times New Roman" w:hAnsi="Times New Roman" w:cs="Times New Roman"/>
        </w:rPr>
        <w:t xml:space="preserve"> of </w:t>
      </w:r>
      <w:proofErr w:type="spellStart"/>
      <w:r w:rsidR="00F6321B" w:rsidRPr="00705170">
        <w:rPr>
          <w:rFonts w:ascii="Times New Roman" w:hAnsi="Times New Roman" w:cs="Times New Roman"/>
        </w:rPr>
        <w:t>oppression</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will</w:t>
      </w:r>
      <w:proofErr w:type="spellEnd"/>
      <w:r w:rsidR="00F6321B" w:rsidRPr="00705170">
        <w:rPr>
          <w:rFonts w:ascii="Times New Roman" w:hAnsi="Times New Roman" w:cs="Times New Roman"/>
        </w:rPr>
        <w:t xml:space="preserve"> not be </w:t>
      </w:r>
      <w:proofErr w:type="spellStart"/>
      <w:r w:rsidR="00F6321B" w:rsidRPr="00705170">
        <w:rPr>
          <w:rFonts w:ascii="Times New Roman" w:hAnsi="Times New Roman" w:cs="Times New Roman"/>
        </w:rPr>
        <w:t>based</w:t>
      </w:r>
      <w:proofErr w:type="spellEnd"/>
      <w:r w:rsidR="00F6321B" w:rsidRPr="00705170">
        <w:rPr>
          <w:rFonts w:ascii="Times New Roman" w:hAnsi="Times New Roman" w:cs="Times New Roman"/>
        </w:rPr>
        <w:t xml:space="preserve"> on a </w:t>
      </w:r>
      <w:proofErr w:type="spellStart"/>
      <w:r w:rsidR="00F6321B" w:rsidRPr="00705170">
        <w:rPr>
          <w:rFonts w:ascii="Times New Roman" w:hAnsi="Times New Roman" w:cs="Times New Roman"/>
        </w:rPr>
        <w:t>single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act</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and</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the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focus</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will</w:t>
      </w:r>
      <w:proofErr w:type="spellEnd"/>
      <w:r w:rsidR="00F6321B" w:rsidRPr="00705170">
        <w:rPr>
          <w:rFonts w:ascii="Times New Roman" w:hAnsi="Times New Roman" w:cs="Times New Roman"/>
        </w:rPr>
        <w:t xml:space="preserve"> be on a </w:t>
      </w:r>
      <w:proofErr w:type="spellStart"/>
      <w:r w:rsidR="00F6321B" w:rsidRPr="00705170">
        <w:rPr>
          <w:rFonts w:ascii="Times New Roman" w:hAnsi="Times New Roman" w:cs="Times New Roman"/>
        </w:rPr>
        <w:t>pattern</w:t>
      </w:r>
      <w:proofErr w:type="spellEnd"/>
      <w:r w:rsidR="00F6321B" w:rsidRPr="00705170">
        <w:rPr>
          <w:rFonts w:ascii="Times New Roman" w:hAnsi="Times New Roman" w:cs="Times New Roman"/>
        </w:rPr>
        <w:t xml:space="preserve"> of </w:t>
      </w:r>
      <w:proofErr w:type="spellStart"/>
      <w:r w:rsidR="00F6321B" w:rsidRPr="00705170">
        <w:rPr>
          <w:rFonts w:ascii="Times New Roman" w:hAnsi="Times New Roman" w:cs="Times New Roman"/>
        </w:rPr>
        <w:t>conduct</w:t>
      </w:r>
      <w:proofErr w:type="spellEnd"/>
      <w:r w:rsidR="00F6321B" w:rsidRPr="00705170">
        <w:rPr>
          <w:rStyle w:val="DipnotBavurusu"/>
          <w:rFonts w:ascii="Times New Roman" w:hAnsi="Times New Roman" w:cs="Times New Roman"/>
        </w:rPr>
        <w:footnoteReference w:id="587"/>
      </w:r>
      <w:r w:rsidR="00F6321B" w:rsidRPr="00705170">
        <w:rPr>
          <w:rFonts w:ascii="Times New Roman" w:hAnsi="Times New Roman" w:cs="Times New Roman"/>
        </w:rPr>
        <w:t xml:space="preserve">. </w:t>
      </w:r>
      <w:r w:rsidRPr="00705170">
        <w:rPr>
          <w:rFonts w:ascii="Times New Roman" w:hAnsi="Times New Roman" w:cs="Times New Roman"/>
        </w:rPr>
        <w:t>Here</w:t>
      </w:r>
      <w:r w:rsidR="00F6321B" w:rsidRPr="00705170">
        <w:rPr>
          <w:rFonts w:ascii="Times New Roman" w:hAnsi="Times New Roman" w:cs="Times New Roman"/>
        </w:rPr>
        <w:t xml:space="preserve">, “as </w:t>
      </w:r>
      <w:proofErr w:type="spellStart"/>
      <w:r w:rsidR="00F6321B" w:rsidRPr="00705170">
        <w:rPr>
          <w:rFonts w:ascii="Times New Roman" w:hAnsi="Times New Roman" w:cs="Times New Roman"/>
        </w:rPr>
        <w:t>the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parties</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full</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understanding</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may</w:t>
      </w:r>
      <w:proofErr w:type="spellEnd"/>
      <w:r w:rsidR="00F6321B" w:rsidRPr="00705170">
        <w:rPr>
          <w:rFonts w:ascii="Times New Roman" w:hAnsi="Times New Roman" w:cs="Times New Roman"/>
        </w:rPr>
        <w:t xml:space="preserve"> not </w:t>
      </w:r>
      <w:proofErr w:type="spellStart"/>
      <w:r w:rsidR="00F6321B" w:rsidRPr="00705170">
        <w:rPr>
          <w:rFonts w:ascii="Times New Roman" w:hAnsi="Times New Roman" w:cs="Times New Roman"/>
        </w:rPr>
        <w:t>even</w:t>
      </w:r>
      <w:proofErr w:type="spellEnd"/>
      <w:r w:rsidR="00F6321B" w:rsidRPr="00705170">
        <w:rPr>
          <w:rFonts w:ascii="Times New Roman" w:hAnsi="Times New Roman" w:cs="Times New Roman"/>
        </w:rPr>
        <w:t xml:space="preserve"> be in </w:t>
      </w:r>
      <w:proofErr w:type="spellStart"/>
      <w:r w:rsidR="00F6321B" w:rsidRPr="00705170">
        <w:rPr>
          <w:rFonts w:ascii="Times New Roman" w:hAnsi="Times New Roman" w:cs="Times New Roman"/>
        </w:rPr>
        <w:t>writing</w:t>
      </w:r>
      <w:proofErr w:type="spellEnd"/>
      <w:r w:rsidR="00F6321B" w:rsidRPr="00705170">
        <w:rPr>
          <w:rFonts w:ascii="Times New Roman" w:hAnsi="Times New Roman" w:cs="Times New Roman"/>
        </w:rPr>
        <w:t xml:space="preserve"> but </w:t>
      </w:r>
      <w:proofErr w:type="spellStart"/>
      <w:r w:rsidR="00F6321B" w:rsidRPr="00705170">
        <w:rPr>
          <w:rFonts w:ascii="Times New Roman" w:hAnsi="Times New Roman" w:cs="Times New Roman"/>
        </w:rPr>
        <w:t>may</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have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to</w:t>
      </w:r>
      <w:proofErr w:type="spellEnd"/>
      <w:r w:rsidR="00F6321B" w:rsidRPr="00705170">
        <w:rPr>
          <w:rFonts w:ascii="Times New Roman" w:hAnsi="Times New Roman" w:cs="Times New Roman"/>
        </w:rPr>
        <w:t xml:space="preserve"> be </w:t>
      </w:r>
      <w:proofErr w:type="spellStart"/>
      <w:r w:rsidR="00F6321B" w:rsidRPr="00705170">
        <w:rPr>
          <w:rFonts w:ascii="Times New Roman" w:hAnsi="Times New Roman" w:cs="Times New Roman"/>
        </w:rPr>
        <w:t>construed</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from</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their</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actions</w:t>
      </w:r>
      <w:proofErr w:type="spellEnd"/>
      <w:r w:rsidR="00F6321B" w:rsidRPr="00705170">
        <w:rPr>
          <w:rFonts w:ascii="Times New Roman" w:hAnsi="Times New Roman" w:cs="Times New Roman"/>
        </w:rPr>
        <w:t>”</w:t>
      </w:r>
      <w:r w:rsidR="00F6321B" w:rsidRPr="00705170">
        <w:rPr>
          <w:rStyle w:val="DipnotBavurusu"/>
          <w:rFonts w:ascii="Times New Roman" w:hAnsi="Times New Roman" w:cs="Times New Roman"/>
        </w:rPr>
        <w:footnoteReference w:id="588"/>
      </w:r>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the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conduct</w:t>
      </w:r>
      <w:proofErr w:type="spellEnd"/>
      <w:r w:rsidR="00F6321B" w:rsidRPr="00705170">
        <w:rPr>
          <w:rFonts w:ascii="Times New Roman" w:hAnsi="Times New Roman" w:cs="Times New Roman"/>
        </w:rPr>
        <w:t xml:space="preserve"> can be </w:t>
      </w:r>
      <w:proofErr w:type="spellStart"/>
      <w:r w:rsidR="00F6321B" w:rsidRPr="00705170">
        <w:rPr>
          <w:rFonts w:ascii="Times New Roman" w:hAnsi="Times New Roman" w:cs="Times New Roman"/>
        </w:rPr>
        <w:t>evidenced</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by</w:t>
      </w:r>
      <w:proofErr w:type="spellEnd"/>
      <w:r w:rsidR="00F6321B" w:rsidRPr="00705170">
        <w:rPr>
          <w:rFonts w:ascii="Times New Roman" w:hAnsi="Times New Roman" w:cs="Times New Roman"/>
        </w:rPr>
        <w:t xml:space="preserve"> a </w:t>
      </w:r>
      <w:proofErr w:type="spellStart"/>
      <w:r w:rsidR="00F6321B" w:rsidRPr="00705170">
        <w:rPr>
          <w:rFonts w:ascii="Times New Roman" w:hAnsi="Times New Roman" w:cs="Times New Roman"/>
        </w:rPr>
        <w:t>wide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range</w:t>
      </w:r>
      <w:proofErr w:type="spellEnd"/>
      <w:r w:rsidR="00F6321B" w:rsidRPr="00705170">
        <w:rPr>
          <w:rFonts w:ascii="Times New Roman" w:hAnsi="Times New Roman" w:cs="Times New Roman"/>
        </w:rPr>
        <w:t xml:space="preserve"> of </w:t>
      </w:r>
      <w:proofErr w:type="spellStart"/>
      <w:r w:rsidR="00F6321B" w:rsidRPr="00705170">
        <w:rPr>
          <w:rFonts w:ascii="Times New Roman" w:hAnsi="Times New Roman" w:cs="Times New Roman"/>
        </w:rPr>
        <w:t>evidence</w:t>
      </w:r>
      <w:proofErr w:type="spellEnd"/>
      <w:r w:rsidR="00F6321B" w:rsidRPr="00705170">
        <w:rPr>
          <w:rStyle w:val="DipnotBavurusu"/>
          <w:rFonts w:ascii="Times New Roman" w:hAnsi="Times New Roman" w:cs="Times New Roman"/>
        </w:rPr>
        <w:footnoteReference w:id="589"/>
      </w:r>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including</w:t>
      </w:r>
      <w:proofErr w:type="spellEnd"/>
      <w:r w:rsidR="009A01E7" w:rsidRPr="00705170">
        <w:rPr>
          <w:rFonts w:ascii="Times New Roman" w:hAnsi="Times New Roman" w:cs="Times New Roman"/>
        </w:rPr>
        <w:t xml:space="preserve"> </w:t>
      </w:r>
      <w:proofErr w:type="spellStart"/>
      <w:r w:rsidR="009A01E7" w:rsidRPr="00705170">
        <w:rPr>
          <w:rFonts w:ascii="Times New Roman" w:hAnsi="Times New Roman" w:cs="Times New Roman"/>
        </w:rPr>
        <w:t>tax</w:t>
      </w:r>
      <w:proofErr w:type="spellEnd"/>
      <w:r w:rsidR="009A01E7" w:rsidRPr="00705170">
        <w:rPr>
          <w:rFonts w:ascii="Times New Roman" w:hAnsi="Times New Roman" w:cs="Times New Roman"/>
        </w:rPr>
        <w:t xml:space="preserve"> </w:t>
      </w:r>
      <w:proofErr w:type="spellStart"/>
      <w:r w:rsidR="009A01E7" w:rsidRPr="00705170">
        <w:rPr>
          <w:rFonts w:ascii="Times New Roman" w:hAnsi="Times New Roman" w:cs="Times New Roman"/>
        </w:rPr>
        <w:t>returns</w:t>
      </w:r>
      <w:proofErr w:type="spellEnd"/>
      <w:r w:rsidR="009A01E7" w:rsidRPr="00705170">
        <w:rPr>
          <w:rStyle w:val="DipnotBavurusu"/>
          <w:rFonts w:ascii="Times New Roman" w:hAnsi="Times New Roman" w:cs="Times New Roman"/>
        </w:rPr>
        <w:footnoteReference w:id="590"/>
      </w:r>
      <w:r w:rsidR="009A01E7" w:rsidRPr="00705170">
        <w:rPr>
          <w:rFonts w:ascii="Times New Roman" w:hAnsi="Times New Roman" w:cs="Times New Roman"/>
        </w:rPr>
        <w:t xml:space="preserve"> </w:t>
      </w:r>
      <w:proofErr w:type="spellStart"/>
      <w:r w:rsidR="009A01E7" w:rsidRPr="00705170">
        <w:rPr>
          <w:rFonts w:ascii="Times New Roman" w:hAnsi="Times New Roman" w:cs="Times New Roman"/>
        </w:rPr>
        <w:t>or</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documents</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such</w:t>
      </w:r>
      <w:proofErr w:type="spellEnd"/>
      <w:r w:rsidR="00F6321B" w:rsidRPr="00705170">
        <w:rPr>
          <w:rFonts w:ascii="Times New Roman" w:hAnsi="Times New Roman" w:cs="Times New Roman"/>
        </w:rPr>
        <w:t xml:space="preserve"> as </w:t>
      </w:r>
      <w:proofErr w:type="spellStart"/>
      <w:r w:rsidR="00F6321B" w:rsidRPr="00705170">
        <w:rPr>
          <w:rFonts w:ascii="Times New Roman" w:hAnsi="Times New Roman" w:cs="Times New Roman"/>
        </w:rPr>
        <w:t>corporate</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minutes</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and</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financial</w:t>
      </w:r>
      <w:proofErr w:type="spellEnd"/>
      <w:r w:rsidR="00F6321B" w:rsidRPr="00705170">
        <w:rPr>
          <w:rFonts w:ascii="Times New Roman" w:hAnsi="Times New Roman" w:cs="Times New Roman"/>
        </w:rPr>
        <w:t xml:space="preserve"> </w:t>
      </w:r>
      <w:proofErr w:type="spellStart"/>
      <w:r w:rsidR="00F6321B" w:rsidRPr="00705170">
        <w:rPr>
          <w:rFonts w:ascii="Times New Roman" w:hAnsi="Times New Roman" w:cs="Times New Roman"/>
        </w:rPr>
        <w:t>statements</w:t>
      </w:r>
      <w:proofErr w:type="spellEnd"/>
      <w:r w:rsidR="00F6321B" w:rsidRPr="00705170">
        <w:rPr>
          <w:rStyle w:val="DipnotBavurusu"/>
          <w:rFonts w:ascii="Times New Roman" w:hAnsi="Times New Roman" w:cs="Times New Roman"/>
        </w:rPr>
        <w:footnoteReference w:id="591"/>
      </w:r>
      <w:r w:rsidR="00F6321B" w:rsidRPr="00705170">
        <w:rPr>
          <w:rFonts w:ascii="Times New Roman" w:hAnsi="Times New Roman" w:cs="Times New Roman"/>
        </w:rPr>
        <w:t>.</w:t>
      </w:r>
      <w:r w:rsidR="009A634B" w:rsidRPr="00705170">
        <w:rPr>
          <w:rFonts w:ascii="Times New Roman" w:hAnsi="Times New Roman" w:cs="Times New Roman"/>
        </w:rPr>
        <w:t xml:space="preserve"> </w:t>
      </w:r>
      <w:proofErr w:type="spellStart"/>
      <w:r w:rsidR="009A01E7" w:rsidRPr="00705170">
        <w:rPr>
          <w:rFonts w:ascii="Times New Roman" w:hAnsi="Times New Roman" w:cs="Times New Roman"/>
        </w:rPr>
        <w:t>Acknowledging</w:t>
      </w:r>
      <w:proofErr w:type="spellEnd"/>
      <w:r w:rsidR="009A01E7" w:rsidRPr="00705170">
        <w:rPr>
          <w:rFonts w:ascii="Times New Roman" w:hAnsi="Times New Roman" w:cs="Times New Roman"/>
        </w:rPr>
        <w:t xml:space="preserve"> </w:t>
      </w:r>
      <w:proofErr w:type="spellStart"/>
      <w:r w:rsidR="009A01E7" w:rsidRPr="00705170">
        <w:rPr>
          <w:rFonts w:ascii="Times New Roman" w:hAnsi="Times New Roman" w:cs="Times New Roman"/>
        </w:rPr>
        <w:t>the</w:t>
      </w:r>
      <w:proofErr w:type="spellEnd"/>
      <w:r w:rsidR="009A01E7" w:rsidRPr="00705170">
        <w:rPr>
          <w:rFonts w:ascii="Times New Roman" w:hAnsi="Times New Roman" w:cs="Times New Roman"/>
        </w:rPr>
        <w:t xml:space="preserve"> </w:t>
      </w:r>
      <w:proofErr w:type="spellStart"/>
      <w:r w:rsidR="009A01E7" w:rsidRPr="00705170">
        <w:rPr>
          <w:rFonts w:ascii="Times New Roman" w:hAnsi="Times New Roman" w:cs="Times New Roman"/>
        </w:rPr>
        <w:t>challenges</w:t>
      </w:r>
      <w:proofErr w:type="spellEnd"/>
      <w:r w:rsidR="009A01E7" w:rsidRPr="00705170">
        <w:rPr>
          <w:rFonts w:ascii="Times New Roman" w:hAnsi="Times New Roman" w:cs="Times New Roman"/>
        </w:rPr>
        <w:t xml:space="preserve"> in </w:t>
      </w:r>
      <w:proofErr w:type="spellStart"/>
      <w:r w:rsidR="009A01E7" w:rsidRPr="00705170">
        <w:rPr>
          <w:rFonts w:ascii="Times New Roman" w:hAnsi="Times New Roman" w:cs="Times New Roman"/>
        </w:rPr>
        <w:t>evidencing</w:t>
      </w:r>
      <w:proofErr w:type="spellEnd"/>
      <w:r w:rsidR="009A01E7" w:rsidRPr="00705170">
        <w:rPr>
          <w:rFonts w:ascii="Times New Roman" w:hAnsi="Times New Roman" w:cs="Times New Roman"/>
        </w:rPr>
        <w:t xml:space="preserve"> </w:t>
      </w:r>
      <w:proofErr w:type="spellStart"/>
      <w:r w:rsidR="009A01E7" w:rsidRPr="00705170">
        <w:rPr>
          <w:rFonts w:ascii="Times New Roman" w:hAnsi="Times New Roman" w:cs="Times New Roman"/>
        </w:rPr>
        <w:t>these</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issues</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states</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enacted</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provisions</w:t>
      </w:r>
      <w:proofErr w:type="spellEnd"/>
      <w:r w:rsidR="00FA26B9" w:rsidRPr="00705170">
        <w:rPr>
          <w:rFonts w:ascii="Times New Roman" w:hAnsi="Times New Roman" w:cs="Times New Roman"/>
        </w:rPr>
        <w:t xml:space="preserve"> in </w:t>
      </w:r>
      <w:proofErr w:type="spellStart"/>
      <w:r w:rsidR="00FA26B9" w:rsidRPr="00705170">
        <w:rPr>
          <w:rFonts w:ascii="Times New Roman" w:hAnsi="Times New Roman" w:cs="Times New Roman"/>
        </w:rPr>
        <w:t>their</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judicial</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dissolution</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statutes</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which</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requires</w:t>
      </w:r>
      <w:proofErr w:type="spellEnd"/>
      <w:r w:rsidR="00FA26B9" w:rsidRPr="00705170">
        <w:rPr>
          <w:rFonts w:ascii="Times New Roman" w:hAnsi="Times New Roman" w:cs="Times New Roman"/>
        </w:rPr>
        <w:t xml:space="preserve">, in </w:t>
      </w:r>
      <w:proofErr w:type="spellStart"/>
      <w:r w:rsidR="00FA26B9" w:rsidRPr="00705170">
        <w:rPr>
          <w:rFonts w:ascii="Times New Roman" w:hAnsi="Times New Roman" w:cs="Times New Roman"/>
        </w:rPr>
        <w:t>addition</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to</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all</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other</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disclosure</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requirements</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the</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corporation</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make</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available</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all</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the</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books</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and</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records</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under</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reasonable</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working</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conditions</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for</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the</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necessary</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preceding</w:t>
      </w:r>
      <w:proofErr w:type="spellEnd"/>
      <w:r w:rsidR="00FA26B9" w:rsidRPr="00705170">
        <w:rPr>
          <w:rFonts w:ascii="Times New Roman" w:hAnsi="Times New Roman" w:cs="Times New Roman"/>
        </w:rPr>
        <w:t xml:space="preserve"> </w:t>
      </w:r>
      <w:proofErr w:type="spellStart"/>
      <w:r w:rsidR="00FA26B9" w:rsidRPr="00705170">
        <w:rPr>
          <w:rFonts w:ascii="Times New Roman" w:hAnsi="Times New Roman" w:cs="Times New Roman"/>
        </w:rPr>
        <w:t>years</w:t>
      </w:r>
      <w:proofErr w:type="spellEnd"/>
      <w:r w:rsidR="009A01E7" w:rsidRPr="00705170">
        <w:rPr>
          <w:rStyle w:val="DipnotBavurusu"/>
          <w:rFonts w:ascii="Times New Roman" w:hAnsi="Times New Roman" w:cs="Times New Roman"/>
        </w:rPr>
        <w:footnoteReference w:id="592"/>
      </w:r>
      <w:r w:rsidR="009A01E7" w:rsidRPr="00705170">
        <w:rPr>
          <w:rFonts w:ascii="Times New Roman" w:hAnsi="Times New Roman" w:cs="Times New Roman"/>
        </w:rPr>
        <w:t xml:space="preserve">. </w:t>
      </w:r>
    </w:p>
    <w:p w14:paraId="5BF9429C" w14:textId="7CDF6D5B" w:rsidR="00F6321B" w:rsidRPr="00705170" w:rsidRDefault="00C01441" w:rsidP="00F6321B">
      <w:pPr>
        <w:tabs>
          <w:tab w:val="right" w:pos="9406"/>
        </w:tabs>
        <w:spacing w:after="240" w:line="480" w:lineRule="auto"/>
        <w:ind w:firstLine="708"/>
        <w:rPr>
          <w:rFonts w:ascii="Times New Roman" w:hAnsi="Times New Roman" w:cs="Times New Roman"/>
          <w:b/>
        </w:rPr>
      </w:pPr>
      <w:r>
        <w:rPr>
          <w:rFonts w:ascii="Times New Roman" w:hAnsi="Times New Roman" w:cs="Times New Roman"/>
          <w:b/>
        </w:rPr>
        <w:t>4</w:t>
      </w:r>
      <w:r w:rsidR="005E4903" w:rsidRPr="00705170">
        <w:rPr>
          <w:rFonts w:ascii="Times New Roman" w:hAnsi="Times New Roman" w:cs="Times New Roman"/>
          <w:b/>
        </w:rPr>
        <w:t xml:space="preserve">.2.2. Legal Nature of </w:t>
      </w:r>
      <w:proofErr w:type="spellStart"/>
      <w:r w:rsidR="005E4903" w:rsidRPr="00705170">
        <w:rPr>
          <w:rFonts w:ascii="Times New Roman" w:hAnsi="Times New Roman" w:cs="Times New Roman"/>
          <w:b/>
        </w:rPr>
        <w:t>the</w:t>
      </w:r>
      <w:proofErr w:type="spellEnd"/>
      <w:r w:rsidR="005E4903" w:rsidRPr="00705170">
        <w:rPr>
          <w:rFonts w:ascii="Times New Roman" w:hAnsi="Times New Roman" w:cs="Times New Roman"/>
          <w:b/>
        </w:rPr>
        <w:t xml:space="preserve"> Action</w:t>
      </w:r>
      <w:r w:rsidR="001653E3" w:rsidRPr="00705170">
        <w:rPr>
          <w:rFonts w:ascii="Times New Roman" w:hAnsi="Times New Roman" w:cs="Times New Roman"/>
          <w:b/>
        </w:rPr>
        <w:tab/>
      </w:r>
    </w:p>
    <w:p w14:paraId="4A4F36E1" w14:textId="012B26C0" w:rsidR="00F6321B" w:rsidRPr="00705170" w:rsidRDefault="00F6321B" w:rsidP="00F6321B">
      <w:pPr>
        <w:spacing w:after="240" w:line="480" w:lineRule="auto"/>
        <w:ind w:firstLine="720"/>
        <w:jc w:val="both"/>
        <w:rPr>
          <w:rFonts w:ascii="Times New Roman" w:hAnsi="Times New Roman" w:cs="Times New Roman"/>
        </w:rPr>
      </w:pPr>
      <w:r w:rsidRPr="00705170">
        <w:rPr>
          <w:rFonts w:ascii="Times New Roman" w:hAnsi="Times New Roman" w:cs="Times New Roman"/>
        </w:rPr>
        <w:t xml:space="preserve">U.S. </w:t>
      </w:r>
      <w:proofErr w:type="spellStart"/>
      <w:r w:rsidRPr="00705170">
        <w:rPr>
          <w:rFonts w:ascii="Times New Roman" w:hAnsi="Times New Roman" w:cs="Times New Roman"/>
        </w:rPr>
        <w:t>state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legislatures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developed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ways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relief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first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amend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include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r w:rsidR="00F80510" w:rsidRPr="00705170">
        <w:rPr>
          <w:rFonts w:ascii="Times New Roman" w:hAnsi="Times New Roman" w:cs="Times New Roman"/>
        </w:rPr>
        <w:t>(</w:t>
      </w:r>
      <w:proofErr w:type="spellStart"/>
      <w:r w:rsidR="00F80510" w:rsidRPr="00705170">
        <w:rPr>
          <w:rFonts w:ascii="Times New Roman" w:hAnsi="Times New Roman" w:cs="Times New Roman"/>
        </w:rPr>
        <w:t>or</w:t>
      </w:r>
      <w:proofErr w:type="spellEnd"/>
      <w:r w:rsidR="00F80510" w:rsidRPr="00705170">
        <w:rPr>
          <w:rFonts w:ascii="Times New Roman" w:hAnsi="Times New Roman" w:cs="Times New Roman"/>
        </w:rPr>
        <w:t xml:space="preserve"> a </w:t>
      </w:r>
      <w:proofErr w:type="spellStart"/>
      <w:r w:rsidR="00F80510" w:rsidRPr="00705170">
        <w:rPr>
          <w:rFonts w:ascii="Times New Roman" w:hAnsi="Times New Roman" w:cs="Times New Roman"/>
        </w:rPr>
        <w:t>similar</w:t>
      </w:r>
      <w:proofErr w:type="spellEnd"/>
      <w:r w:rsidR="00F80510" w:rsidRPr="00705170">
        <w:rPr>
          <w:rFonts w:ascii="Times New Roman" w:hAnsi="Times New Roman" w:cs="Times New Roman"/>
        </w:rPr>
        <w:t xml:space="preserve"> </w:t>
      </w:r>
      <w:proofErr w:type="spellStart"/>
      <w:r w:rsidR="00F80510" w:rsidRPr="00705170">
        <w:rPr>
          <w:rFonts w:ascii="Times New Roman" w:hAnsi="Times New Roman" w:cs="Times New Roman"/>
        </w:rPr>
        <w:t>term</w:t>
      </w:r>
      <w:proofErr w:type="spellEnd"/>
      <w:r w:rsidR="00F80510" w:rsidRPr="00705170">
        <w:rPr>
          <w:rFonts w:ascii="Times New Roman" w:hAnsi="Times New Roman" w:cs="Times New Roman"/>
        </w:rPr>
        <w:t>)</w:t>
      </w:r>
      <w:r w:rsidR="00F80510" w:rsidRPr="00705170">
        <w:rPr>
          <w:rStyle w:val="DipnotBavurusu"/>
          <w:rFonts w:ascii="Times New Roman" w:hAnsi="Times New Roman" w:cs="Times New Roman"/>
        </w:rPr>
        <w:footnoteReference w:id="593"/>
      </w:r>
      <w:r w:rsidR="00F80510"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ground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r w:rsidRPr="00705170">
        <w:rPr>
          <w:rFonts w:ascii="Times New Roman" w:hAnsi="Times New Roman" w:cs="Times New Roman"/>
        </w:rPr>
        <w:lastRenderedPageBreak/>
        <w:t xml:space="preserve">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second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impose</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enhanced</w:t>
      </w:r>
      <w:proofErr w:type="spellEnd"/>
      <w:r w:rsidR="00933E78" w:rsidRPr="00705170">
        <w:rPr>
          <w:rFonts w:ascii="Times New Roman" w:hAnsi="Times New Roman" w:cs="Times New Roman"/>
        </w:rPr>
        <w:t xml:space="preserve"> (</w:t>
      </w:r>
      <w:proofErr w:type="spellStart"/>
      <w:r w:rsidR="00933E78" w:rsidRPr="00705170">
        <w:rPr>
          <w:rFonts w:ascii="Times New Roman" w:hAnsi="Times New Roman" w:cs="Times New Roman"/>
        </w:rPr>
        <w:t>i.e</w:t>
      </w:r>
      <w:proofErr w:type="spellEnd"/>
      <w:r w:rsidR="00933E78" w:rsidRPr="00705170">
        <w:rPr>
          <w:rFonts w:ascii="Times New Roman" w:hAnsi="Times New Roman" w:cs="Times New Roman"/>
        </w:rPr>
        <w:t xml:space="preserve">., </w:t>
      </w:r>
      <w:proofErr w:type="spellStart"/>
      <w:r w:rsidR="00933E78" w:rsidRPr="00705170">
        <w:rPr>
          <w:rFonts w:ascii="Times New Roman" w:hAnsi="Times New Roman" w:cs="Times New Roman"/>
        </w:rPr>
        <w:t>heighthened</w:t>
      </w:r>
      <w:proofErr w:type="spellEnd"/>
      <w:r w:rsidR="00933E78"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fiduciary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duty</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00BE4DF6" w:rsidRPr="00705170">
        <w:rPr>
          <w:rStyle w:val="DipnotBavurusu"/>
          <w:rFonts w:ascii="Times New Roman" w:hAnsi="Times New Roman" w:cs="Times New Roman"/>
        </w:rPr>
        <w:footnoteReference w:id="594"/>
      </w:r>
      <w:r w:rsidR="00BE4DF6"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allow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breach</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duty</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states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without</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triggered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Style w:val="DipnotBavurusu"/>
          <w:rFonts w:ascii="Times New Roman" w:hAnsi="Times New Roman" w:cs="Times New Roman"/>
        </w:rPr>
        <w:footnoteReference w:id="595"/>
      </w:r>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accepted</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different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separate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claim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breach</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fiduciary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states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triggered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provisions</w:t>
      </w:r>
      <w:proofErr w:type="spellEnd"/>
      <w:r w:rsidRPr="00705170">
        <w:rPr>
          <w:rStyle w:val="DipnotBavurusu"/>
          <w:rFonts w:ascii="Times New Roman" w:hAnsi="Times New Roman" w:cs="Times New Roman"/>
        </w:rPr>
        <w:footnoteReference w:id="596"/>
      </w:r>
      <w:r w:rsidR="004E558D" w:rsidRPr="00705170">
        <w:rPr>
          <w:rFonts w:ascii="Times New Roman" w:hAnsi="Times New Roman" w:cs="Times New Roman"/>
        </w:rPr>
        <w:t xml:space="preserve">, </w:t>
      </w:r>
      <w:proofErr w:type="spellStart"/>
      <w:r w:rsidR="004E558D" w:rsidRPr="00705170">
        <w:rPr>
          <w:rFonts w:ascii="Times New Roman" w:hAnsi="Times New Roman" w:cs="Times New Roman"/>
        </w:rPr>
        <w:t>and</w:t>
      </w:r>
      <w:proofErr w:type="spellEnd"/>
      <w:r w:rsidR="004E558D" w:rsidRPr="00705170">
        <w:rPr>
          <w:rFonts w:ascii="Times New Roman" w:hAnsi="Times New Roman" w:cs="Times New Roman"/>
        </w:rPr>
        <w:t xml:space="preserve"> </w:t>
      </w:r>
      <w:proofErr w:type="spellStart"/>
      <w:r w:rsidR="00184BE6" w:rsidRPr="00705170">
        <w:rPr>
          <w:rFonts w:ascii="Times New Roman" w:hAnsi="Times New Roman" w:cs="Times New Roman"/>
        </w:rPr>
        <w:t>bears</w:t>
      </w:r>
      <w:proofErr w:type="spellEnd"/>
      <w:r w:rsidR="00184BE6" w:rsidRPr="00705170">
        <w:rPr>
          <w:rFonts w:ascii="Times New Roman" w:hAnsi="Times New Roman" w:cs="Times New Roman"/>
        </w:rPr>
        <w:t xml:space="preserve"> </w:t>
      </w:r>
      <w:proofErr w:type="spellStart"/>
      <w:r w:rsidR="00184BE6" w:rsidRPr="00705170">
        <w:rPr>
          <w:rFonts w:ascii="Times New Roman" w:hAnsi="Times New Roman" w:cs="Times New Roman"/>
        </w:rPr>
        <w:t>the</w:t>
      </w:r>
      <w:proofErr w:type="spellEnd"/>
      <w:r w:rsidR="00184BE6" w:rsidRPr="00705170">
        <w:rPr>
          <w:rFonts w:ascii="Times New Roman" w:hAnsi="Times New Roman" w:cs="Times New Roman"/>
        </w:rPr>
        <w:t xml:space="preserve"> </w:t>
      </w:r>
      <w:proofErr w:type="spellStart"/>
      <w:r w:rsidR="00184BE6" w:rsidRPr="00705170">
        <w:rPr>
          <w:rFonts w:ascii="Times New Roman" w:hAnsi="Times New Roman" w:cs="Times New Roman"/>
        </w:rPr>
        <w:t>characteristics</w:t>
      </w:r>
      <w:proofErr w:type="spellEnd"/>
      <w:r w:rsidR="00184BE6" w:rsidRPr="00705170">
        <w:rPr>
          <w:rFonts w:ascii="Times New Roman" w:hAnsi="Times New Roman" w:cs="Times New Roman"/>
        </w:rPr>
        <w:t xml:space="preserve"> of</w:t>
      </w:r>
      <w:r w:rsidR="009B0671" w:rsidRPr="00705170">
        <w:rPr>
          <w:rFonts w:ascii="Times New Roman" w:hAnsi="Times New Roman" w:cs="Times New Roman"/>
        </w:rPr>
        <w:t xml:space="preserve"> </w:t>
      </w:r>
      <w:r w:rsidR="004E558D" w:rsidRPr="00705170">
        <w:rPr>
          <w:rFonts w:ascii="Times New Roman" w:hAnsi="Times New Roman" w:cs="Times New Roman"/>
        </w:rPr>
        <w:t xml:space="preserve">a </w:t>
      </w:r>
      <w:proofErr w:type="spellStart"/>
      <w:r w:rsidR="004E558D" w:rsidRPr="00705170">
        <w:rPr>
          <w:rFonts w:ascii="Times New Roman" w:hAnsi="Times New Roman" w:cs="Times New Roman"/>
        </w:rPr>
        <w:t>direct</w:t>
      </w:r>
      <w:proofErr w:type="spellEnd"/>
      <w:r w:rsidR="004E558D" w:rsidRPr="00705170">
        <w:rPr>
          <w:rFonts w:ascii="Times New Roman" w:hAnsi="Times New Roman" w:cs="Times New Roman"/>
        </w:rPr>
        <w:t xml:space="preserve"> </w:t>
      </w:r>
      <w:proofErr w:type="spellStart"/>
      <w:r w:rsidR="004E558D" w:rsidRPr="00705170">
        <w:rPr>
          <w:rFonts w:ascii="Times New Roman" w:hAnsi="Times New Roman" w:cs="Times New Roman"/>
        </w:rPr>
        <w:t>action</w:t>
      </w:r>
      <w:proofErr w:type="spellEnd"/>
      <w:r w:rsidR="004E558D" w:rsidRPr="00705170">
        <w:rPr>
          <w:rFonts w:ascii="Times New Roman" w:hAnsi="Times New Roman" w:cs="Times New Roman"/>
        </w:rPr>
        <w:t xml:space="preserve"> </w:t>
      </w:r>
      <w:proofErr w:type="spellStart"/>
      <w:r w:rsidR="004E558D" w:rsidRPr="00705170">
        <w:rPr>
          <w:rFonts w:ascii="Times New Roman" w:hAnsi="Times New Roman" w:cs="Times New Roman"/>
        </w:rPr>
        <w:t>rather</w:t>
      </w:r>
      <w:proofErr w:type="spellEnd"/>
      <w:r w:rsidR="004E558D" w:rsidRPr="00705170">
        <w:rPr>
          <w:rFonts w:ascii="Times New Roman" w:hAnsi="Times New Roman" w:cs="Times New Roman"/>
        </w:rPr>
        <w:t xml:space="preserve"> </w:t>
      </w:r>
      <w:proofErr w:type="spellStart"/>
      <w:r w:rsidR="004E558D" w:rsidRPr="00705170">
        <w:rPr>
          <w:rFonts w:ascii="Times New Roman" w:hAnsi="Times New Roman" w:cs="Times New Roman"/>
        </w:rPr>
        <w:t>than</w:t>
      </w:r>
      <w:proofErr w:type="spellEnd"/>
      <w:r w:rsidR="004E558D" w:rsidRPr="00705170">
        <w:rPr>
          <w:rFonts w:ascii="Times New Roman" w:hAnsi="Times New Roman" w:cs="Times New Roman"/>
        </w:rPr>
        <w:t xml:space="preserve"> a </w:t>
      </w:r>
      <w:proofErr w:type="spellStart"/>
      <w:r w:rsidR="004E558D" w:rsidRPr="00705170">
        <w:rPr>
          <w:rFonts w:ascii="Times New Roman" w:hAnsi="Times New Roman" w:cs="Times New Roman"/>
        </w:rPr>
        <w:t>derivative</w:t>
      </w:r>
      <w:proofErr w:type="spellEnd"/>
      <w:r w:rsidR="004E558D" w:rsidRPr="00705170">
        <w:rPr>
          <w:rFonts w:ascii="Times New Roman" w:hAnsi="Times New Roman" w:cs="Times New Roman"/>
        </w:rPr>
        <w:t xml:space="preserve"> </w:t>
      </w:r>
      <w:proofErr w:type="spellStart"/>
      <w:r w:rsidR="004E558D" w:rsidRPr="00705170">
        <w:rPr>
          <w:rFonts w:ascii="Times New Roman" w:hAnsi="Times New Roman" w:cs="Times New Roman"/>
        </w:rPr>
        <w:t>one</w:t>
      </w:r>
      <w:proofErr w:type="spellEnd"/>
      <w:r w:rsidR="009B0671" w:rsidRPr="00705170">
        <w:rPr>
          <w:rStyle w:val="DipnotBavurusu"/>
          <w:rFonts w:ascii="Times New Roman" w:hAnsi="Times New Roman" w:cs="Times New Roman"/>
        </w:rPr>
        <w:footnoteReference w:id="597"/>
      </w:r>
      <w:r w:rsidRPr="00705170">
        <w:rPr>
          <w:rFonts w:ascii="Times New Roman" w:hAnsi="Times New Roman" w:cs="Times New Roman"/>
        </w:rPr>
        <w:t>.</w:t>
      </w:r>
      <w:r w:rsidR="002A11FE" w:rsidRPr="00705170">
        <w:rPr>
          <w:rFonts w:ascii="Times New Roman" w:hAnsi="Times New Roman" w:cs="Times New Roman"/>
        </w:rPr>
        <w:t xml:space="preserve"> </w:t>
      </w:r>
      <w:proofErr w:type="spellStart"/>
      <w:r w:rsidR="002A11FE" w:rsidRPr="00705170">
        <w:rPr>
          <w:rFonts w:ascii="Times New Roman" w:hAnsi="Times New Roman" w:cs="Times New Roman"/>
        </w:rPr>
        <w:t>Accordingly</w:t>
      </w:r>
      <w:proofErr w:type="spellEnd"/>
      <w:r w:rsidR="002A11FE" w:rsidRPr="00705170">
        <w:rPr>
          <w:rFonts w:ascii="Times New Roman" w:hAnsi="Times New Roman" w:cs="Times New Roman"/>
        </w:rPr>
        <w:t xml:space="preserve">, </w:t>
      </w:r>
      <w:proofErr w:type="spellStart"/>
      <w:r w:rsidR="002A11FE" w:rsidRPr="00705170">
        <w:rPr>
          <w:rFonts w:ascii="Times New Roman" w:hAnsi="Times New Roman" w:cs="Times New Roman"/>
        </w:rPr>
        <w:t>when</w:t>
      </w:r>
      <w:proofErr w:type="spellEnd"/>
      <w:r w:rsidR="002A11FE" w:rsidRPr="00705170">
        <w:rPr>
          <w:rFonts w:ascii="Times New Roman" w:hAnsi="Times New Roman" w:cs="Times New Roman"/>
        </w:rPr>
        <w:t xml:space="preserve"> a </w:t>
      </w:r>
      <w:proofErr w:type="spellStart"/>
      <w:r w:rsidR="002A11FE" w:rsidRPr="00705170">
        <w:rPr>
          <w:rFonts w:ascii="Times New Roman" w:hAnsi="Times New Roman" w:cs="Times New Roman"/>
        </w:rPr>
        <w:t>court</w:t>
      </w:r>
      <w:proofErr w:type="spellEnd"/>
      <w:r w:rsidR="002A11FE" w:rsidRPr="00705170">
        <w:rPr>
          <w:rFonts w:ascii="Times New Roman" w:hAnsi="Times New Roman" w:cs="Times New Roman"/>
        </w:rPr>
        <w:t xml:space="preserve"> </w:t>
      </w:r>
      <w:proofErr w:type="spellStart"/>
      <w:r w:rsidR="002A11FE" w:rsidRPr="00705170">
        <w:rPr>
          <w:rFonts w:ascii="Times New Roman" w:hAnsi="Times New Roman" w:cs="Times New Roman"/>
        </w:rPr>
        <w:t>wishes</w:t>
      </w:r>
      <w:proofErr w:type="spellEnd"/>
      <w:r w:rsidR="002A11FE" w:rsidRPr="00705170">
        <w:rPr>
          <w:rFonts w:ascii="Times New Roman" w:hAnsi="Times New Roman" w:cs="Times New Roman"/>
        </w:rPr>
        <w:t xml:space="preserve"> </w:t>
      </w:r>
      <w:proofErr w:type="spellStart"/>
      <w:r w:rsidR="002A11FE" w:rsidRPr="00705170">
        <w:rPr>
          <w:rFonts w:ascii="Times New Roman" w:hAnsi="Times New Roman" w:cs="Times New Roman"/>
        </w:rPr>
        <w:t>to</w:t>
      </w:r>
      <w:proofErr w:type="spellEnd"/>
      <w:r w:rsidR="002A11FE" w:rsidRPr="00705170">
        <w:rPr>
          <w:rFonts w:ascii="Times New Roman" w:hAnsi="Times New Roman" w:cs="Times New Roman"/>
        </w:rPr>
        <w:t xml:space="preserve"> </w:t>
      </w:r>
      <w:proofErr w:type="spellStart"/>
      <w:r w:rsidR="002A11FE" w:rsidRPr="00705170">
        <w:rPr>
          <w:rFonts w:ascii="Times New Roman" w:hAnsi="Times New Roman" w:cs="Times New Roman"/>
        </w:rPr>
        <w:t>protect</w:t>
      </w:r>
      <w:proofErr w:type="spellEnd"/>
      <w:r w:rsidR="002A11FE" w:rsidRPr="00705170">
        <w:rPr>
          <w:rFonts w:ascii="Times New Roman" w:hAnsi="Times New Roman" w:cs="Times New Roman"/>
        </w:rPr>
        <w:t xml:space="preserve"> </w:t>
      </w:r>
      <w:proofErr w:type="spellStart"/>
      <w:r w:rsidR="002A11FE" w:rsidRPr="00705170">
        <w:rPr>
          <w:rFonts w:ascii="Times New Roman" w:hAnsi="Times New Roman" w:cs="Times New Roman"/>
        </w:rPr>
        <w:t>the</w:t>
      </w:r>
      <w:proofErr w:type="spellEnd"/>
      <w:r w:rsidR="002A11FE" w:rsidRPr="00705170">
        <w:rPr>
          <w:rFonts w:ascii="Times New Roman" w:hAnsi="Times New Roman" w:cs="Times New Roman"/>
        </w:rPr>
        <w:t xml:space="preserve"> </w:t>
      </w:r>
      <w:proofErr w:type="spellStart"/>
      <w:r w:rsidR="002A11FE" w:rsidRPr="00705170">
        <w:rPr>
          <w:rFonts w:ascii="Times New Roman" w:hAnsi="Times New Roman" w:cs="Times New Roman"/>
        </w:rPr>
        <w:t>minority</w:t>
      </w:r>
      <w:proofErr w:type="spellEnd"/>
      <w:r w:rsidR="002A11FE" w:rsidRPr="00705170">
        <w:rPr>
          <w:rFonts w:ascii="Times New Roman" w:hAnsi="Times New Roman" w:cs="Times New Roman"/>
        </w:rPr>
        <w:t xml:space="preserve"> </w:t>
      </w:r>
      <w:proofErr w:type="spellStart"/>
      <w:r w:rsidR="002A11FE" w:rsidRPr="00705170">
        <w:rPr>
          <w:rFonts w:ascii="Times New Roman" w:hAnsi="Times New Roman" w:cs="Times New Roman"/>
        </w:rPr>
        <w:t>shareholder</w:t>
      </w:r>
      <w:r w:rsidR="00AD2A1F" w:rsidRPr="00705170">
        <w:rPr>
          <w:rFonts w:ascii="Times New Roman" w:hAnsi="Times New Roman" w:cs="Times New Roman"/>
        </w:rPr>
        <w:t>s</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the</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court</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should</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characterize</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the</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acts</w:t>
      </w:r>
      <w:proofErr w:type="spellEnd"/>
      <w:r w:rsidR="00AD2A1F" w:rsidRPr="00705170">
        <w:rPr>
          <w:rFonts w:ascii="Times New Roman" w:hAnsi="Times New Roman" w:cs="Times New Roman"/>
        </w:rPr>
        <w:t xml:space="preserve"> of </w:t>
      </w:r>
      <w:proofErr w:type="spellStart"/>
      <w:r w:rsidR="00AD2A1F" w:rsidRPr="00705170">
        <w:rPr>
          <w:rFonts w:ascii="Times New Roman" w:hAnsi="Times New Roman" w:cs="Times New Roman"/>
        </w:rPr>
        <w:t>the</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defendant</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shareholders</w:t>
      </w:r>
      <w:proofErr w:type="spellEnd"/>
      <w:r w:rsidR="00AD2A1F" w:rsidRPr="00705170">
        <w:rPr>
          <w:rFonts w:ascii="Times New Roman" w:hAnsi="Times New Roman" w:cs="Times New Roman"/>
        </w:rPr>
        <w:t xml:space="preserve"> in </w:t>
      </w:r>
      <w:proofErr w:type="spellStart"/>
      <w:r w:rsidR="00AD2A1F" w:rsidRPr="00705170">
        <w:rPr>
          <w:rFonts w:ascii="Times New Roman" w:hAnsi="Times New Roman" w:cs="Times New Roman"/>
        </w:rPr>
        <w:t>such</w:t>
      </w:r>
      <w:proofErr w:type="spellEnd"/>
      <w:r w:rsidR="00AD2A1F" w:rsidRPr="00705170">
        <w:rPr>
          <w:rFonts w:ascii="Times New Roman" w:hAnsi="Times New Roman" w:cs="Times New Roman"/>
        </w:rPr>
        <w:t xml:space="preserve"> a </w:t>
      </w:r>
      <w:proofErr w:type="spellStart"/>
      <w:r w:rsidR="00AD2A1F" w:rsidRPr="00705170">
        <w:rPr>
          <w:rFonts w:ascii="Times New Roman" w:hAnsi="Times New Roman" w:cs="Times New Roman"/>
        </w:rPr>
        <w:t>manner</w:t>
      </w:r>
      <w:proofErr w:type="spellEnd"/>
      <w:r w:rsidR="00AD2A1F" w:rsidRPr="00705170">
        <w:rPr>
          <w:rFonts w:ascii="Times New Roman" w:hAnsi="Times New Roman" w:cs="Times New Roman"/>
        </w:rPr>
        <w:t xml:space="preserve"> as </w:t>
      </w:r>
      <w:proofErr w:type="spellStart"/>
      <w:r w:rsidR="00AD2A1F" w:rsidRPr="00705170">
        <w:rPr>
          <w:rFonts w:ascii="Times New Roman" w:hAnsi="Times New Roman" w:cs="Times New Roman"/>
        </w:rPr>
        <w:t>to</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bring</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the</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acts</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within</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the</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definition</w:t>
      </w:r>
      <w:proofErr w:type="spellEnd"/>
      <w:r w:rsidR="00AD2A1F" w:rsidRPr="00705170">
        <w:rPr>
          <w:rFonts w:ascii="Times New Roman" w:hAnsi="Times New Roman" w:cs="Times New Roman"/>
        </w:rPr>
        <w:t xml:space="preserve"> of </w:t>
      </w:r>
      <w:proofErr w:type="spellStart"/>
      <w:r w:rsidR="00AD2A1F" w:rsidRPr="00705170">
        <w:rPr>
          <w:rFonts w:ascii="Times New Roman" w:hAnsi="Times New Roman" w:cs="Times New Roman"/>
        </w:rPr>
        <w:t>oppression</w:t>
      </w:r>
      <w:proofErr w:type="spellEnd"/>
      <w:r w:rsidR="00AD2A1F" w:rsidRPr="00705170">
        <w:rPr>
          <w:rStyle w:val="DipnotBavurusu"/>
          <w:rFonts w:ascii="Times New Roman" w:hAnsi="Times New Roman" w:cs="Times New Roman"/>
        </w:rPr>
        <w:footnoteReference w:id="598"/>
      </w:r>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or</w:t>
      </w:r>
      <w:proofErr w:type="spellEnd"/>
      <w:r w:rsidR="00AD2A1F" w:rsidRPr="00705170">
        <w:rPr>
          <w:rFonts w:ascii="Times New Roman" w:hAnsi="Times New Roman" w:cs="Times New Roman"/>
        </w:rPr>
        <w:t xml:space="preserve"> a </w:t>
      </w:r>
      <w:proofErr w:type="spellStart"/>
      <w:r w:rsidR="00AD2A1F" w:rsidRPr="00705170">
        <w:rPr>
          <w:rFonts w:ascii="Times New Roman" w:hAnsi="Times New Roman" w:cs="Times New Roman"/>
        </w:rPr>
        <w:t>violation</w:t>
      </w:r>
      <w:proofErr w:type="spellEnd"/>
      <w:r w:rsidR="00AD2A1F" w:rsidRPr="00705170">
        <w:rPr>
          <w:rFonts w:ascii="Times New Roman" w:hAnsi="Times New Roman" w:cs="Times New Roman"/>
        </w:rPr>
        <w:t xml:space="preserve"> of </w:t>
      </w:r>
      <w:proofErr w:type="spellStart"/>
      <w:r w:rsidR="00AD2A1F" w:rsidRPr="00705170">
        <w:rPr>
          <w:rFonts w:ascii="Times New Roman" w:hAnsi="Times New Roman" w:cs="Times New Roman"/>
        </w:rPr>
        <w:t>fiduciary</w:t>
      </w:r>
      <w:proofErr w:type="spellEnd"/>
      <w:r w:rsidR="00AD2A1F" w:rsidRPr="00705170">
        <w:rPr>
          <w:rFonts w:ascii="Times New Roman" w:hAnsi="Times New Roman" w:cs="Times New Roman"/>
        </w:rPr>
        <w:t xml:space="preserve"> </w:t>
      </w:r>
      <w:proofErr w:type="spellStart"/>
      <w:r w:rsidR="00AD2A1F" w:rsidRPr="00705170">
        <w:rPr>
          <w:rFonts w:ascii="Times New Roman" w:hAnsi="Times New Roman" w:cs="Times New Roman"/>
        </w:rPr>
        <w:t>duty</w:t>
      </w:r>
      <w:proofErr w:type="spellEnd"/>
      <w:r w:rsidR="00804CB9" w:rsidRPr="00705170">
        <w:rPr>
          <w:rStyle w:val="DipnotBavurusu"/>
          <w:rFonts w:ascii="Times New Roman" w:hAnsi="Times New Roman" w:cs="Times New Roman"/>
        </w:rPr>
        <w:footnoteReference w:id="599"/>
      </w:r>
      <w:r w:rsidR="00AD2A1F" w:rsidRPr="00705170">
        <w:rPr>
          <w:rFonts w:ascii="Times New Roman" w:hAnsi="Times New Roman" w:cs="Times New Roman"/>
        </w:rPr>
        <w:t>.</w:t>
      </w:r>
      <w:r w:rsidR="00EE0F6B" w:rsidRPr="00705170">
        <w:rPr>
          <w:rFonts w:ascii="Times New Roman" w:hAnsi="Times New Roman" w:cs="Times New Roman"/>
        </w:rPr>
        <w:t xml:space="preserve"> A </w:t>
      </w:r>
      <w:proofErr w:type="spellStart"/>
      <w:r w:rsidR="00EE0F6B" w:rsidRPr="00705170">
        <w:rPr>
          <w:rFonts w:ascii="Times New Roman" w:hAnsi="Times New Roman" w:cs="Times New Roman"/>
        </w:rPr>
        <w:t>good</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example</w:t>
      </w:r>
      <w:proofErr w:type="spellEnd"/>
      <w:r w:rsidR="00EE0F6B" w:rsidRPr="00705170">
        <w:rPr>
          <w:rFonts w:ascii="Times New Roman" w:hAnsi="Times New Roman" w:cs="Times New Roman"/>
        </w:rPr>
        <w:t xml:space="preserve"> of </w:t>
      </w:r>
      <w:proofErr w:type="spellStart"/>
      <w:r w:rsidR="00EE0F6B" w:rsidRPr="00705170">
        <w:rPr>
          <w:rFonts w:ascii="Times New Roman" w:hAnsi="Times New Roman" w:cs="Times New Roman"/>
        </w:rPr>
        <w:t>these</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two</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camps</w:t>
      </w:r>
      <w:proofErr w:type="spellEnd"/>
      <w:r w:rsidR="00EE0F6B" w:rsidRPr="00705170">
        <w:rPr>
          <w:rFonts w:ascii="Times New Roman" w:hAnsi="Times New Roman" w:cs="Times New Roman"/>
        </w:rPr>
        <w:t>, Delaware (</w:t>
      </w:r>
      <w:proofErr w:type="spellStart"/>
      <w:r w:rsidR="00EE0F6B" w:rsidRPr="00705170">
        <w:rPr>
          <w:rFonts w:ascii="Times New Roman" w:hAnsi="Times New Roman" w:cs="Times New Roman"/>
        </w:rPr>
        <w:t>through</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fiduciary</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duty</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doctrine</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and</w:t>
      </w:r>
      <w:proofErr w:type="spellEnd"/>
      <w:r w:rsidR="00EE0F6B" w:rsidRPr="00705170">
        <w:rPr>
          <w:rFonts w:ascii="Times New Roman" w:hAnsi="Times New Roman" w:cs="Times New Roman"/>
        </w:rPr>
        <w:t xml:space="preserve"> New York (</w:t>
      </w:r>
      <w:proofErr w:type="spellStart"/>
      <w:r w:rsidR="00EE0F6B" w:rsidRPr="00705170">
        <w:rPr>
          <w:rFonts w:ascii="Times New Roman" w:hAnsi="Times New Roman" w:cs="Times New Roman"/>
        </w:rPr>
        <w:t>through</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the</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oppression</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sta</w:t>
      </w:r>
      <w:r w:rsidR="00E54100" w:rsidRPr="00705170">
        <w:rPr>
          <w:rFonts w:ascii="Times New Roman" w:hAnsi="Times New Roman" w:cs="Times New Roman"/>
        </w:rPr>
        <w:t>tute</w:t>
      </w:r>
      <w:proofErr w:type="spellEnd"/>
      <w:r w:rsidR="00E54100" w:rsidRPr="00705170">
        <w:rPr>
          <w:rFonts w:ascii="Times New Roman" w:hAnsi="Times New Roman" w:cs="Times New Roman"/>
        </w:rPr>
        <w:t xml:space="preserve">) </w:t>
      </w:r>
      <w:proofErr w:type="spellStart"/>
      <w:r w:rsidR="00E54100" w:rsidRPr="00705170">
        <w:rPr>
          <w:rFonts w:ascii="Times New Roman" w:hAnsi="Times New Roman" w:cs="Times New Roman"/>
        </w:rPr>
        <w:t>law</w:t>
      </w:r>
      <w:proofErr w:type="spellEnd"/>
      <w:r w:rsidR="00E54100" w:rsidRPr="00705170">
        <w:rPr>
          <w:rFonts w:ascii="Times New Roman" w:hAnsi="Times New Roman" w:cs="Times New Roman"/>
        </w:rPr>
        <w:t xml:space="preserve"> </w:t>
      </w:r>
      <w:proofErr w:type="spellStart"/>
      <w:r w:rsidR="00E54100" w:rsidRPr="00705170">
        <w:rPr>
          <w:rFonts w:ascii="Times New Roman" w:hAnsi="Times New Roman" w:cs="Times New Roman"/>
        </w:rPr>
        <w:t>are</w:t>
      </w:r>
      <w:proofErr w:type="spellEnd"/>
      <w:r w:rsidR="00E54100" w:rsidRPr="00705170">
        <w:rPr>
          <w:rFonts w:ascii="Times New Roman" w:hAnsi="Times New Roman" w:cs="Times New Roman"/>
        </w:rPr>
        <w:t xml:space="preserve"> </w:t>
      </w:r>
      <w:proofErr w:type="spellStart"/>
      <w:r w:rsidR="00E54100" w:rsidRPr="00705170">
        <w:rPr>
          <w:rFonts w:ascii="Times New Roman" w:hAnsi="Times New Roman" w:cs="Times New Roman"/>
        </w:rPr>
        <w:t>evaluated</w:t>
      </w:r>
      <w:proofErr w:type="spellEnd"/>
      <w:r w:rsidR="00E54100" w:rsidRPr="00705170">
        <w:rPr>
          <w:rFonts w:ascii="Times New Roman" w:hAnsi="Times New Roman" w:cs="Times New Roman"/>
        </w:rPr>
        <w:t xml:space="preserve"> in </w:t>
      </w:r>
      <w:proofErr w:type="spellStart"/>
      <w:r w:rsidR="00E54100" w:rsidRPr="00705170">
        <w:rPr>
          <w:rFonts w:ascii="Times New Roman" w:hAnsi="Times New Roman" w:cs="Times New Roman"/>
        </w:rPr>
        <w:t>the</w:t>
      </w:r>
      <w:proofErr w:type="spellEnd"/>
      <w:r w:rsidR="00E54100" w:rsidRPr="00705170">
        <w:rPr>
          <w:rFonts w:ascii="Times New Roman" w:hAnsi="Times New Roman" w:cs="Times New Roman"/>
        </w:rPr>
        <w:t xml:space="preserve"> </w:t>
      </w:r>
      <w:proofErr w:type="spellStart"/>
      <w:r w:rsidR="00E54100" w:rsidRPr="00705170">
        <w:rPr>
          <w:rFonts w:ascii="Times New Roman" w:hAnsi="Times New Roman" w:cs="Times New Roman"/>
        </w:rPr>
        <w:t>next</w:t>
      </w:r>
      <w:proofErr w:type="spellEnd"/>
      <w:r w:rsidR="00E54100" w:rsidRPr="00705170">
        <w:rPr>
          <w:rFonts w:ascii="Times New Roman" w:hAnsi="Times New Roman" w:cs="Times New Roman"/>
        </w:rPr>
        <w:t xml:space="preserve"> </w:t>
      </w:r>
      <w:proofErr w:type="spellStart"/>
      <w:r w:rsidR="00E54100" w:rsidRPr="00705170">
        <w:rPr>
          <w:rFonts w:ascii="Times New Roman" w:hAnsi="Times New Roman" w:cs="Times New Roman"/>
        </w:rPr>
        <w:t>subc</w:t>
      </w:r>
      <w:r w:rsidR="00EE0F6B" w:rsidRPr="00705170">
        <w:rPr>
          <w:rFonts w:ascii="Times New Roman" w:hAnsi="Times New Roman" w:cs="Times New Roman"/>
        </w:rPr>
        <w:t>hapter</w:t>
      </w:r>
      <w:r w:rsidR="00E54100" w:rsidRPr="00705170">
        <w:rPr>
          <w:rFonts w:ascii="Times New Roman" w:hAnsi="Times New Roman" w:cs="Times New Roman"/>
        </w:rPr>
        <w:t>s</w:t>
      </w:r>
      <w:proofErr w:type="spellEnd"/>
      <w:r w:rsidR="00E54100" w:rsidRPr="00705170">
        <w:rPr>
          <w:rFonts w:ascii="Times New Roman" w:hAnsi="Times New Roman" w:cs="Times New Roman"/>
        </w:rPr>
        <w:t xml:space="preserve"> of </w:t>
      </w:r>
      <w:proofErr w:type="spellStart"/>
      <w:r w:rsidR="00E54100" w:rsidRPr="00705170">
        <w:rPr>
          <w:rFonts w:ascii="Times New Roman" w:hAnsi="Times New Roman" w:cs="Times New Roman"/>
        </w:rPr>
        <w:t>this</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study</w:t>
      </w:r>
      <w:proofErr w:type="spellEnd"/>
      <w:r w:rsidR="00EE0F6B" w:rsidRPr="00705170">
        <w:rPr>
          <w:rFonts w:ascii="Times New Roman" w:hAnsi="Times New Roman" w:cs="Times New Roman"/>
        </w:rPr>
        <w:t>.</w:t>
      </w:r>
    </w:p>
    <w:p w14:paraId="008C6C1F" w14:textId="1E9B418D" w:rsidR="00A741FC" w:rsidRPr="00705170" w:rsidRDefault="00A741FC" w:rsidP="006D5428">
      <w:pPr>
        <w:spacing w:after="240" w:line="480" w:lineRule="auto"/>
        <w:ind w:firstLine="708"/>
        <w:jc w:val="both"/>
        <w:rPr>
          <w:rFonts w:ascii="Times New Roman" w:hAnsi="Times New Roman" w:cs="Times New Roman"/>
          <w:color w:val="000000" w:themeColor="text1"/>
        </w:rPr>
      </w:pPr>
      <w:r w:rsidRPr="00705170">
        <w:rPr>
          <w:rFonts w:ascii="Times New Roman" w:hAnsi="Times New Roman" w:cs="Times New Roman"/>
        </w:rPr>
        <w:t xml:space="preserve">An </w:t>
      </w:r>
      <w:proofErr w:type="spellStart"/>
      <w:r w:rsidRPr="00705170">
        <w:rPr>
          <w:rFonts w:ascii="Times New Roman" w:hAnsi="Times New Roman" w:cs="Times New Roman"/>
        </w:rPr>
        <w:t>obvious</w:t>
      </w:r>
      <w:proofErr w:type="spellEnd"/>
      <w:r w:rsidRPr="00705170">
        <w:rPr>
          <w:rFonts w:ascii="Times New Roman" w:hAnsi="Times New Roman" w:cs="Times New Roman"/>
        </w:rPr>
        <w:t xml:space="preserve"> but </w:t>
      </w:r>
      <w:proofErr w:type="spellStart"/>
      <w:r w:rsidRPr="00705170">
        <w:rPr>
          <w:rFonts w:ascii="Times New Roman" w:hAnsi="Times New Roman" w:cs="Times New Roman"/>
        </w:rPr>
        <w:t>important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aspect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taken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consideration</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determining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legal </w:t>
      </w:r>
      <w:proofErr w:type="spellStart"/>
      <w:r w:rsidRPr="00705170">
        <w:rPr>
          <w:rFonts w:ascii="Times New Roman" w:hAnsi="Times New Roman" w:cs="Times New Roman"/>
        </w:rPr>
        <w:t>nature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color w:val="000000" w:themeColor="text1"/>
        </w:rPr>
        <w:t>that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courts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have</w:t>
      </w:r>
      <w:proofErr w:type="spellEnd"/>
      <w:r w:rsidRPr="00705170">
        <w:rPr>
          <w:rFonts w:ascii="Times New Roman" w:hAnsi="Times New Roman" w:cs="Times New Roman"/>
          <w:color w:val="000000" w:themeColor="text1"/>
        </w:rPr>
        <w:t xml:space="preserve"> limited </w:t>
      </w:r>
      <w:proofErr w:type="spellStart"/>
      <w:r w:rsidRPr="00705170">
        <w:rPr>
          <w:rFonts w:ascii="Times New Roman" w:hAnsi="Times New Roman" w:cs="Times New Roman"/>
          <w:color w:val="000000" w:themeColor="text1"/>
        </w:rPr>
        <w:t>relief</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to</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instances</w:t>
      </w:r>
      <w:proofErr w:type="spellEnd"/>
      <w:r w:rsidRPr="00705170">
        <w:rPr>
          <w:rFonts w:ascii="Times New Roman" w:hAnsi="Times New Roman" w:cs="Times New Roman"/>
          <w:color w:val="000000" w:themeColor="text1"/>
        </w:rPr>
        <w:t xml:space="preserve"> in </w:t>
      </w:r>
      <w:proofErr w:type="spellStart"/>
      <w:r w:rsidRPr="00705170">
        <w:rPr>
          <w:rFonts w:ascii="Times New Roman" w:hAnsi="Times New Roman" w:cs="Times New Roman"/>
          <w:color w:val="000000" w:themeColor="text1"/>
        </w:rPr>
        <w:t>which</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shareholder</w:t>
      </w:r>
      <w:proofErr w:type="spellEnd"/>
      <w:r w:rsidRPr="00705170">
        <w:rPr>
          <w:rFonts w:ascii="Times New Roman" w:hAnsi="Times New Roman" w:cs="Times New Roman"/>
          <w:color w:val="000000" w:themeColor="text1"/>
        </w:rPr>
        <w:t xml:space="preserve"> has </w:t>
      </w:r>
      <w:proofErr w:type="spellStart"/>
      <w:r w:rsidRPr="00705170">
        <w:rPr>
          <w:rFonts w:ascii="Times New Roman" w:hAnsi="Times New Roman" w:cs="Times New Roman"/>
          <w:color w:val="000000" w:themeColor="text1"/>
        </w:rPr>
        <w:t>been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harmed</w:t>
      </w:r>
      <w:proofErr w:type="spellEnd"/>
      <w:r w:rsidRPr="00705170">
        <w:rPr>
          <w:rFonts w:ascii="Times New Roman" w:hAnsi="Times New Roman" w:cs="Times New Roman"/>
          <w:color w:val="000000" w:themeColor="text1"/>
        </w:rPr>
        <w:t xml:space="preserve"> as a </w:t>
      </w:r>
      <w:proofErr w:type="spellStart"/>
      <w:r w:rsidRPr="00705170">
        <w:rPr>
          <w:rFonts w:ascii="Times New Roman" w:hAnsi="Times New Roman" w:cs="Times New Roman"/>
          <w:color w:val="000000" w:themeColor="text1"/>
        </w:rPr>
        <w:t>shareholder</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and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doctrine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does</w:t>
      </w:r>
      <w:proofErr w:type="spellEnd"/>
      <w:r w:rsidRPr="00705170">
        <w:rPr>
          <w:rFonts w:ascii="Times New Roman" w:hAnsi="Times New Roman" w:cs="Times New Roman"/>
          <w:color w:val="000000" w:themeColor="text1"/>
        </w:rPr>
        <w:t xml:space="preserve"> not </w:t>
      </w:r>
      <w:proofErr w:type="spellStart"/>
      <w:r w:rsidRPr="00705170">
        <w:rPr>
          <w:rFonts w:ascii="Times New Roman" w:hAnsi="Times New Roman" w:cs="Times New Roman"/>
          <w:color w:val="000000" w:themeColor="text1"/>
        </w:rPr>
        <w:t>interfere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with</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other</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doctrines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or</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rights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lastRenderedPageBreak/>
        <w:t>arising</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from</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other</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relationships</w:t>
      </w:r>
      <w:proofErr w:type="spellEnd"/>
      <w:r w:rsidRPr="00705170">
        <w:rPr>
          <w:rStyle w:val="DipnotBavurusu"/>
          <w:rFonts w:ascii="Times New Roman" w:hAnsi="Times New Roman" w:cs="Times New Roman"/>
          <w:color w:val="000000" w:themeColor="text1"/>
        </w:rPr>
        <w:footnoteReference w:id="600"/>
      </w:r>
      <w:r w:rsidRPr="00705170">
        <w:rPr>
          <w:rFonts w:ascii="Times New Roman" w:hAnsi="Times New Roman" w:cs="Times New Roman"/>
          <w:color w:val="000000" w:themeColor="text1"/>
        </w:rPr>
        <w:t>.</w:t>
      </w:r>
      <w:r w:rsidR="00006E82" w:rsidRPr="00705170">
        <w:rPr>
          <w:rFonts w:ascii="Times New Roman" w:hAnsi="Times New Roman" w:cs="Times New Roman"/>
          <w:color w:val="000000" w:themeColor="text1"/>
        </w:rPr>
        <w:t xml:space="preserve"> </w:t>
      </w:r>
      <w:proofErr w:type="spellStart"/>
      <w:r w:rsidR="00006E82" w:rsidRPr="00705170">
        <w:rPr>
          <w:rFonts w:ascii="Times New Roman" w:hAnsi="Times New Roman" w:cs="Times New Roman"/>
          <w:color w:val="000000" w:themeColor="text1"/>
        </w:rPr>
        <w:t>However</w:t>
      </w:r>
      <w:proofErr w:type="spellEnd"/>
      <w:r w:rsidR="00006E82" w:rsidRPr="00705170">
        <w:rPr>
          <w:rFonts w:ascii="Times New Roman" w:hAnsi="Times New Roman" w:cs="Times New Roman"/>
          <w:color w:val="000000" w:themeColor="text1"/>
        </w:rPr>
        <w:t xml:space="preserve">, </w:t>
      </w:r>
      <w:proofErr w:type="spellStart"/>
      <w:r w:rsidR="00006E82" w:rsidRPr="00705170">
        <w:rPr>
          <w:rFonts w:ascii="Times New Roman" w:hAnsi="Times New Roman" w:cs="Times New Roman"/>
          <w:color w:val="000000" w:themeColor="text1"/>
        </w:rPr>
        <w:t>this</w:t>
      </w:r>
      <w:proofErr w:type="spellEnd"/>
      <w:r w:rsidR="00006E82" w:rsidRPr="00705170">
        <w:rPr>
          <w:rFonts w:ascii="Times New Roman" w:hAnsi="Times New Roman" w:cs="Times New Roman"/>
          <w:color w:val="000000" w:themeColor="text1"/>
        </w:rPr>
        <w:t xml:space="preserve"> </w:t>
      </w:r>
      <w:proofErr w:type="spellStart"/>
      <w:r w:rsidR="00006E82" w:rsidRPr="00705170">
        <w:rPr>
          <w:rFonts w:ascii="Times New Roman" w:hAnsi="Times New Roman" w:cs="Times New Roman"/>
          <w:color w:val="000000" w:themeColor="text1"/>
        </w:rPr>
        <w:t>does</w:t>
      </w:r>
      <w:proofErr w:type="spellEnd"/>
      <w:r w:rsidR="00006E82" w:rsidRPr="00705170">
        <w:rPr>
          <w:rFonts w:ascii="Times New Roman" w:hAnsi="Times New Roman" w:cs="Times New Roman"/>
          <w:color w:val="000000" w:themeColor="text1"/>
        </w:rPr>
        <w:t xml:space="preserve"> not </w:t>
      </w:r>
      <w:proofErr w:type="spellStart"/>
      <w:r w:rsidR="00006E82" w:rsidRPr="00705170">
        <w:rPr>
          <w:rFonts w:ascii="Times New Roman" w:hAnsi="Times New Roman" w:cs="Times New Roman"/>
          <w:color w:val="000000" w:themeColor="text1"/>
        </w:rPr>
        <w:t>mean</w:t>
      </w:r>
      <w:proofErr w:type="spellEnd"/>
      <w:r w:rsidR="00006E82" w:rsidRPr="00705170">
        <w:rPr>
          <w:rFonts w:ascii="Times New Roman" w:hAnsi="Times New Roman" w:cs="Times New Roman"/>
          <w:color w:val="000000" w:themeColor="text1"/>
        </w:rPr>
        <w:t xml:space="preserve"> </w:t>
      </w:r>
      <w:proofErr w:type="spellStart"/>
      <w:r w:rsidR="00006E82" w:rsidRPr="00705170">
        <w:rPr>
          <w:rFonts w:ascii="Times New Roman" w:hAnsi="Times New Roman" w:cs="Times New Roman"/>
          <w:color w:val="000000" w:themeColor="text1"/>
        </w:rPr>
        <w:t>that</w:t>
      </w:r>
      <w:proofErr w:type="spellEnd"/>
      <w:r w:rsidR="00006E82" w:rsidRPr="00705170">
        <w:rPr>
          <w:rFonts w:ascii="Times New Roman" w:hAnsi="Times New Roman" w:cs="Times New Roman"/>
          <w:color w:val="000000" w:themeColor="text1"/>
        </w:rPr>
        <w:t xml:space="preserve"> </w:t>
      </w:r>
      <w:proofErr w:type="spellStart"/>
      <w:r w:rsidR="005E6784" w:rsidRPr="00705170">
        <w:rPr>
          <w:rFonts w:ascii="Times New Roman" w:hAnsi="Times New Roman" w:cs="Times New Roman"/>
          <w:color w:val="000000" w:themeColor="text1"/>
        </w:rPr>
        <w:t>the</w:t>
      </w:r>
      <w:proofErr w:type="spellEnd"/>
      <w:r w:rsidR="005E6784" w:rsidRPr="00705170">
        <w:rPr>
          <w:rFonts w:ascii="Times New Roman" w:hAnsi="Times New Roman" w:cs="Times New Roman"/>
          <w:color w:val="000000" w:themeColor="text1"/>
        </w:rPr>
        <w:t xml:space="preserve"> </w:t>
      </w:r>
      <w:proofErr w:type="spellStart"/>
      <w:r w:rsidR="00006E82" w:rsidRPr="00705170">
        <w:rPr>
          <w:rFonts w:ascii="Times New Roman" w:hAnsi="Times New Roman" w:cs="Times New Roman"/>
          <w:color w:val="000000" w:themeColor="text1"/>
        </w:rPr>
        <w:t>shareholder</w:t>
      </w:r>
      <w:r w:rsidR="005E6784" w:rsidRPr="00705170">
        <w:rPr>
          <w:rFonts w:ascii="Times New Roman" w:hAnsi="Times New Roman" w:cs="Times New Roman"/>
          <w:color w:val="000000" w:themeColor="text1"/>
        </w:rPr>
        <w:t>’s</w:t>
      </w:r>
      <w:proofErr w:type="spellEnd"/>
      <w:r w:rsidR="005E6784" w:rsidRPr="00705170">
        <w:rPr>
          <w:rFonts w:ascii="Times New Roman" w:hAnsi="Times New Roman" w:cs="Times New Roman"/>
          <w:color w:val="000000" w:themeColor="text1"/>
        </w:rPr>
        <w:t xml:space="preserve"> </w:t>
      </w:r>
      <w:proofErr w:type="spellStart"/>
      <w:r w:rsidR="005E6784" w:rsidRPr="00705170">
        <w:rPr>
          <w:rFonts w:ascii="Times New Roman" w:hAnsi="Times New Roman" w:cs="Times New Roman"/>
          <w:color w:val="000000" w:themeColor="text1"/>
        </w:rPr>
        <w:t>position</w:t>
      </w:r>
      <w:proofErr w:type="spellEnd"/>
      <w:r w:rsidR="005E6784" w:rsidRPr="00705170">
        <w:rPr>
          <w:rFonts w:ascii="Times New Roman" w:hAnsi="Times New Roman" w:cs="Times New Roman"/>
          <w:color w:val="000000" w:themeColor="text1"/>
        </w:rPr>
        <w:t xml:space="preserve"> as a </w:t>
      </w:r>
      <w:proofErr w:type="spellStart"/>
      <w:r w:rsidR="005E6784" w:rsidRPr="00705170">
        <w:rPr>
          <w:rFonts w:ascii="Times New Roman" w:hAnsi="Times New Roman" w:cs="Times New Roman"/>
          <w:color w:val="000000" w:themeColor="text1"/>
        </w:rPr>
        <w:t>shareholder</w:t>
      </w:r>
      <w:proofErr w:type="spellEnd"/>
      <w:r w:rsidR="005E6784" w:rsidRPr="00705170">
        <w:rPr>
          <w:rFonts w:ascii="Times New Roman" w:hAnsi="Times New Roman" w:cs="Times New Roman"/>
          <w:color w:val="000000" w:themeColor="text1"/>
        </w:rPr>
        <w:t xml:space="preserve"> </w:t>
      </w:r>
      <w:proofErr w:type="spellStart"/>
      <w:r w:rsidR="005E6784" w:rsidRPr="00705170">
        <w:rPr>
          <w:rFonts w:ascii="Times New Roman" w:hAnsi="Times New Roman" w:cs="Times New Roman"/>
          <w:color w:val="000000" w:themeColor="text1"/>
        </w:rPr>
        <w:t>should</w:t>
      </w:r>
      <w:proofErr w:type="spellEnd"/>
      <w:r w:rsidR="005E6784" w:rsidRPr="00705170">
        <w:rPr>
          <w:rFonts w:ascii="Times New Roman" w:hAnsi="Times New Roman" w:cs="Times New Roman"/>
          <w:color w:val="000000" w:themeColor="text1"/>
        </w:rPr>
        <w:t xml:space="preserve"> </w:t>
      </w:r>
      <w:proofErr w:type="spellStart"/>
      <w:r w:rsidR="005E6784" w:rsidRPr="00705170">
        <w:rPr>
          <w:rFonts w:ascii="Times New Roman" w:hAnsi="Times New Roman" w:cs="Times New Roman"/>
          <w:color w:val="000000" w:themeColor="text1"/>
        </w:rPr>
        <w:t>bring</w:t>
      </w:r>
      <w:proofErr w:type="spellEnd"/>
      <w:r w:rsidR="005E6784" w:rsidRPr="00705170">
        <w:rPr>
          <w:rFonts w:ascii="Times New Roman" w:hAnsi="Times New Roman" w:cs="Times New Roman"/>
          <w:color w:val="000000" w:themeColor="text1"/>
        </w:rPr>
        <w:t xml:space="preserve"> </w:t>
      </w:r>
      <w:proofErr w:type="spellStart"/>
      <w:r w:rsidR="005E6784" w:rsidRPr="00705170">
        <w:rPr>
          <w:rFonts w:ascii="Times New Roman" w:hAnsi="Times New Roman" w:cs="Times New Roman"/>
          <w:color w:val="000000" w:themeColor="text1"/>
        </w:rPr>
        <w:t>the</w:t>
      </w:r>
      <w:proofErr w:type="spellEnd"/>
      <w:r w:rsidR="005E6784" w:rsidRPr="00705170">
        <w:rPr>
          <w:rFonts w:ascii="Times New Roman" w:hAnsi="Times New Roman" w:cs="Times New Roman"/>
          <w:color w:val="000000" w:themeColor="text1"/>
        </w:rPr>
        <w:t xml:space="preserve"> </w:t>
      </w:r>
      <w:proofErr w:type="spellStart"/>
      <w:r w:rsidR="005E6784" w:rsidRPr="00705170">
        <w:rPr>
          <w:rFonts w:ascii="Times New Roman" w:hAnsi="Times New Roman" w:cs="Times New Roman"/>
          <w:color w:val="000000" w:themeColor="text1"/>
        </w:rPr>
        <w:t>harm</w:t>
      </w:r>
      <w:proofErr w:type="spellEnd"/>
      <w:r w:rsidR="005E6784" w:rsidRPr="00705170">
        <w:rPr>
          <w:rFonts w:ascii="Times New Roman" w:hAnsi="Times New Roman" w:cs="Times New Roman"/>
          <w:color w:val="000000" w:themeColor="text1"/>
        </w:rPr>
        <w:t xml:space="preserve"> </w:t>
      </w:r>
      <w:proofErr w:type="spellStart"/>
      <w:r w:rsidR="005E6784" w:rsidRPr="00705170">
        <w:rPr>
          <w:rFonts w:ascii="Times New Roman" w:hAnsi="Times New Roman" w:cs="Times New Roman"/>
          <w:color w:val="000000" w:themeColor="text1"/>
        </w:rPr>
        <w:t>to</w:t>
      </w:r>
      <w:proofErr w:type="spellEnd"/>
      <w:r w:rsidR="005E6784" w:rsidRPr="00705170">
        <w:rPr>
          <w:rFonts w:ascii="Times New Roman" w:hAnsi="Times New Roman" w:cs="Times New Roman"/>
          <w:color w:val="000000" w:themeColor="text1"/>
        </w:rPr>
        <w:t xml:space="preserve"> </w:t>
      </w:r>
      <w:proofErr w:type="spellStart"/>
      <w:r w:rsidR="005E6784" w:rsidRPr="00705170">
        <w:rPr>
          <w:rFonts w:ascii="Times New Roman" w:hAnsi="Times New Roman" w:cs="Times New Roman"/>
          <w:color w:val="000000" w:themeColor="text1"/>
        </w:rPr>
        <w:t>him</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oppression</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doctrine</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recognizes</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that</w:t>
      </w:r>
      <w:proofErr w:type="spellEnd"/>
      <w:r w:rsidR="00B57E8A" w:rsidRPr="00705170">
        <w:rPr>
          <w:rFonts w:ascii="Times New Roman" w:hAnsi="Times New Roman" w:cs="Times New Roman"/>
          <w:color w:val="000000" w:themeColor="text1"/>
        </w:rPr>
        <w:t xml:space="preserve"> a </w:t>
      </w:r>
      <w:proofErr w:type="spellStart"/>
      <w:r w:rsidR="00B57E8A" w:rsidRPr="00705170">
        <w:rPr>
          <w:rFonts w:ascii="Times New Roman" w:hAnsi="Times New Roman" w:cs="Times New Roman"/>
          <w:color w:val="000000" w:themeColor="text1"/>
        </w:rPr>
        <w:t>shareholder’s</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share</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investment</w:t>
      </w:r>
      <w:proofErr w:type="spellEnd"/>
      <w:r w:rsidR="00B57E8A" w:rsidRPr="00705170">
        <w:rPr>
          <w:rFonts w:ascii="Times New Roman" w:hAnsi="Times New Roman" w:cs="Times New Roman"/>
          <w:color w:val="000000" w:themeColor="text1"/>
        </w:rPr>
        <w:t xml:space="preserve"> can be </w:t>
      </w:r>
      <w:proofErr w:type="spellStart"/>
      <w:r w:rsidR="00B57E8A" w:rsidRPr="00705170">
        <w:rPr>
          <w:rFonts w:ascii="Times New Roman" w:hAnsi="Times New Roman" w:cs="Times New Roman"/>
          <w:color w:val="000000" w:themeColor="text1"/>
        </w:rPr>
        <w:t>harmed</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through</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oppressive</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corporate</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conduct</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towards</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the</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shareholder</w:t>
      </w:r>
      <w:proofErr w:type="spellEnd"/>
      <w:r w:rsidR="00B57E8A" w:rsidRPr="00705170">
        <w:rPr>
          <w:rFonts w:ascii="Times New Roman" w:hAnsi="Times New Roman" w:cs="Times New Roman"/>
          <w:color w:val="000000" w:themeColor="text1"/>
        </w:rPr>
        <w:t xml:space="preserve"> in </w:t>
      </w:r>
      <w:proofErr w:type="spellStart"/>
      <w:r w:rsidR="00B57E8A" w:rsidRPr="00705170">
        <w:rPr>
          <w:rFonts w:ascii="Times New Roman" w:hAnsi="Times New Roman" w:cs="Times New Roman"/>
          <w:color w:val="000000" w:themeColor="text1"/>
        </w:rPr>
        <w:t>the</w:t>
      </w:r>
      <w:proofErr w:type="spellEnd"/>
      <w:r w:rsidR="00B57E8A" w:rsidRPr="00705170">
        <w:rPr>
          <w:rFonts w:ascii="Times New Roman" w:hAnsi="Times New Roman" w:cs="Times New Roman"/>
          <w:color w:val="000000" w:themeColor="text1"/>
        </w:rPr>
        <w:t xml:space="preserve"> role of </w:t>
      </w:r>
      <w:proofErr w:type="spellStart"/>
      <w:r w:rsidR="00B57E8A" w:rsidRPr="00705170">
        <w:rPr>
          <w:rFonts w:ascii="Times New Roman" w:hAnsi="Times New Roman" w:cs="Times New Roman"/>
          <w:color w:val="000000" w:themeColor="text1"/>
        </w:rPr>
        <w:t>shareholder</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director</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officer</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or</w:t>
      </w:r>
      <w:proofErr w:type="spellEnd"/>
      <w:r w:rsidR="00B57E8A" w:rsidRPr="00705170">
        <w:rPr>
          <w:rFonts w:ascii="Times New Roman" w:hAnsi="Times New Roman" w:cs="Times New Roman"/>
          <w:color w:val="000000" w:themeColor="text1"/>
        </w:rPr>
        <w:t xml:space="preserve"> </w:t>
      </w:r>
      <w:proofErr w:type="spellStart"/>
      <w:r w:rsidR="00B57E8A" w:rsidRPr="00705170">
        <w:rPr>
          <w:rFonts w:ascii="Times New Roman" w:hAnsi="Times New Roman" w:cs="Times New Roman"/>
          <w:color w:val="000000" w:themeColor="text1"/>
        </w:rPr>
        <w:t>employee</w:t>
      </w:r>
      <w:proofErr w:type="spellEnd"/>
      <w:r w:rsidR="00B57E8A" w:rsidRPr="00705170">
        <w:rPr>
          <w:rStyle w:val="DipnotBavurusu"/>
          <w:rFonts w:ascii="Times New Roman" w:hAnsi="Times New Roman" w:cs="Times New Roman"/>
          <w:color w:val="000000" w:themeColor="text1"/>
        </w:rPr>
        <w:footnoteReference w:id="601"/>
      </w:r>
      <w:r w:rsidR="00B57E8A" w:rsidRPr="00705170">
        <w:rPr>
          <w:rFonts w:ascii="Times New Roman" w:hAnsi="Times New Roman" w:cs="Times New Roman"/>
          <w:color w:val="000000" w:themeColor="text1"/>
        </w:rPr>
        <w:t xml:space="preserve">. </w:t>
      </w:r>
      <w:proofErr w:type="spellStart"/>
      <w:r w:rsidR="0029127D" w:rsidRPr="00705170">
        <w:rPr>
          <w:rFonts w:ascii="Times New Roman" w:hAnsi="Times New Roman" w:cs="Times New Roman"/>
          <w:color w:val="000000" w:themeColor="text1"/>
        </w:rPr>
        <w:t>In</w:t>
      </w:r>
      <w:proofErr w:type="spellEnd"/>
      <w:r w:rsidR="0029127D" w:rsidRPr="00705170">
        <w:rPr>
          <w:rFonts w:ascii="Times New Roman" w:hAnsi="Times New Roman" w:cs="Times New Roman"/>
          <w:color w:val="000000" w:themeColor="text1"/>
        </w:rPr>
        <w:t xml:space="preserve"> </w:t>
      </w:r>
      <w:proofErr w:type="spellStart"/>
      <w:r w:rsidR="0029127D" w:rsidRPr="00705170">
        <w:rPr>
          <w:rFonts w:ascii="Times New Roman" w:hAnsi="Times New Roman" w:cs="Times New Roman"/>
          <w:color w:val="000000" w:themeColor="text1"/>
        </w:rPr>
        <w:t>this</w:t>
      </w:r>
      <w:proofErr w:type="spellEnd"/>
      <w:r w:rsidR="0029127D" w:rsidRPr="00705170">
        <w:rPr>
          <w:rFonts w:ascii="Times New Roman" w:hAnsi="Times New Roman" w:cs="Times New Roman"/>
          <w:color w:val="000000" w:themeColor="text1"/>
        </w:rPr>
        <w:t xml:space="preserve"> </w:t>
      </w:r>
      <w:proofErr w:type="spellStart"/>
      <w:r w:rsidR="0029127D" w:rsidRPr="00705170">
        <w:rPr>
          <w:rFonts w:ascii="Times New Roman" w:hAnsi="Times New Roman" w:cs="Times New Roman"/>
          <w:color w:val="000000" w:themeColor="text1"/>
        </w:rPr>
        <w:t>regards</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the</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oppressive</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conduct</w:t>
      </w:r>
      <w:proofErr w:type="spellEnd"/>
      <w:r w:rsidR="006D5428" w:rsidRPr="00705170">
        <w:rPr>
          <w:rFonts w:ascii="Times New Roman" w:hAnsi="Times New Roman" w:cs="Times New Roman"/>
          <w:color w:val="000000" w:themeColor="text1"/>
        </w:rPr>
        <w:t xml:space="preserve"> is </w:t>
      </w:r>
      <w:proofErr w:type="spellStart"/>
      <w:r w:rsidR="006D5428" w:rsidRPr="00705170">
        <w:rPr>
          <w:rFonts w:ascii="Times New Roman" w:hAnsi="Times New Roman" w:cs="Times New Roman"/>
          <w:color w:val="000000" w:themeColor="text1"/>
        </w:rPr>
        <w:t>searched</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relating</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to</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the</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affairs</w:t>
      </w:r>
      <w:proofErr w:type="spellEnd"/>
      <w:r w:rsidR="006D5428" w:rsidRPr="00705170">
        <w:rPr>
          <w:rFonts w:ascii="Times New Roman" w:hAnsi="Times New Roman" w:cs="Times New Roman"/>
          <w:color w:val="000000" w:themeColor="text1"/>
        </w:rPr>
        <w:t xml:space="preserve"> of </w:t>
      </w:r>
      <w:proofErr w:type="spellStart"/>
      <w:r w:rsidR="006D5428" w:rsidRPr="00705170">
        <w:rPr>
          <w:rFonts w:ascii="Times New Roman" w:hAnsi="Times New Roman" w:cs="Times New Roman"/>
          <w:color w:val="000000" w:themeColor="text1"/>
        </w:rPr>
        <w:t>the</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corporation</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and</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shareholders</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relationship</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due</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to</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this</w:t>
      </w:r>
      <w:proofErr w:type="spellEnd"/>
      <w:r w:rsidR="006D5428" w:rsidRPr="00705170">
        <w:rPr>
          <w:rFonts w:ascii="Times New Roman" w:hAnsi="Times New Roman" w:cs="Times New Roman"/>
          <w:color w:val="000000" w:themeColor="text1"/>
        </w:rPr>
        <w:t xml:space="preserve"> </w:t>
      </w:r>
      <w:proofErr w:type="spellStart"/>
      <w:r w:rsidR="006D5428" w:rsidRPr="00705170">
        <w:rPr>
          <w:rFonts w:ascii="Times New Roman" w:hAnsi="Times New Roman" w:cs="Times New Roman"/>
          <w:color w:val="000000" w:themeColor="text1"/>
        </w:rPr>
        <w:t>relation</w:t>
      </w:r>
      <w:proofErr w:type="spellEnd"/>
      <w:r w:rsidR="006D5428" w:rsidRPr="00705170">
        <w:rPr>
          <w:rStyle w:val="DipnotBavurusu"/>
          <w:rFonts w:ascii="Times New Roman" w:hAnsi="Times New Roman" w:cs="Times New Roman"/>
          <w:color w:val="000000" w:themeColor="text1"/>
        </w:rPr>
        <w:footnoteReference w:id="602"/>
      </w:r>
      <w:r w:rsidR="006D5428" w:rsidRPr="00705170">
        <w:rPr>
          <w:rFonts w:ascii="Times New Roman" w:hAnsi="Times New Roman" w:cs="Times New Roman"/>
          <w:color w:val="000000" w:themeColor="text1"/>
        </w:rPr>
        <w:t>.</w:t>
      </w:r>
    </w:p>
    <w:p w14:paraId="19863FFD" w14:textId="3197D851" w:rsidR="007E1A32" w:rsidRPr="00C5035D" w:rsidRDefault="00511842" w:rsidP="00C5035D">
      <w:pPr>
        <w:spacing w:after="240" w:line="480" w:lineRule="auto"/>
        <w:ind w:firstLine="708"/>
        <w:jc w:val="both"/>
        <w:rPr>
          <w:rFonts w:ascii="Times New Roman" w:eastAsia="MS Mincho" w:hAnsi="Times New Roman" w:cs="Times New Roman"/>
          <w:color w:val="000000"/>
        </w:rPr>
      </w:pPr>
      <w:proofErr w:type="spellStart"/>
      <w:r w:rsidRPr="00705170">
        <w:rPr>
          <w:rFonts w:ascii="Times New Roman" w:hAnsi="Times New Roman" w:cs="Times New Roman"/>
        </w:rPr>
        <w:t>Thought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t>
      </w:r>
      <w:r w:rsidR="000631FA" w:rsidRPr="00705170">
        <w:rPr>
          <w:rFonts w:ascii="Times New Roman" w:hAnsi="Times New Roman" w:cs="Times New Roman"/>
        </w:rPr>
        <w: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nature</w:t>
      </w:r>
      <w:proofErr w:type="spellEnd"/>
      <w:r w:rsidR="000631FA" w:rsidRPr="00705170">
        <w:rPr>
          <w:rFonts w:ascii="Times New Roman" w:hAnsi="Times New Roman" w:cs="Times New Roman"/>
        </w:rPr>
        <w:t xml:space="preserve"> of </w:t>
      </w:r>
      <w:proofErr w:type="spellStart"/>
      <w:r w:rsidR="000631FA" w:rsidRPr="00705170">
        <w:rPr>
          <w:rFonts w:ascii="Times New Roman" w:hAnsi="Times New Roman" w:cs="Times New Roman"/>
        </w:rPr>
        <w:t>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shareholder</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oppression</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cause</w:t>
      </w:r>
      <w:proofErr w:type="spellEnd"/>
      <w:r w:rsidR="000631FA" w:rsidRPr="00705170">
        <w:rPr>
          <w:rFonts w:ascii="Times New Roman" w:hAnsi="Times New Roman" w:cs="Times New Roman"/>
        </w:rPr>
        <w:t xml:space="preserve"> of </w:t>
      </w:r>
      <w:proofErr w:type="spellStart"/>
      <w:r w:rsidR="000631FA" w:rsidRPr="00705170">
        <w:rPr>
          <w:rFonts w:ascii="Times New Roman" w:hAnsi="Times New Roman" w:cs="Times New Roman"/>
        </w:rPr>
        <w:t>action</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or</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duty</w:t>
      </w:r>
      <w:proofErr w:type="spellEnd"/>
      <w:r w:rsidR="000631FA" w:rsidRPr="00705170">
        <w:rPr>
          <w:rFonts w:ascii="Times New Roman" w:hAnsi="Times New Roman" w:cs="Times New Roman"/>
        </w:rPr>
        <w:t xml:space="preserve"> not </w:t>
      </w:r>
      <w:proofErr w:type="spellStart"/>
      <w:r w:rsidR="000631FA" w:rsidRPr="00705170">
        <w:rPr>
          <w:rFonts w:ascii="Times New Roman" w:hAnsi="Times New Roman" w:cs="Times New Roman"/>
        </w:rPr>
        <w:t>to</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oppress</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minority</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shareholders</w:t>
      </w:r>
      <w:proofErr w:type="spellEnd"/>
      <w:r w:rsidR="000631FA" w:rsidRPr="00705170">
        <w:rPr>
          <w:rFonts w:ascii="Times New Roman" w:hAnsi="Times New Roman" w:cs="Times New Roman"/>
        </w:rPr>
        <w:t xml:space="preserve">” is </w:t>
      </w:r>
      <w:proofErr w:type="spellStart"/>
      <w:r w:rsidR="000631FA" w:rsidRPr="00705170">
        <w:rPr>
          <w:rFonts w:ascii="Times New Roman" w:hAnsi="Times New Roman" w:cs="Times New Roman"/>
        </w:rPr>
        <w:t>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subject</w:t>
      </w:r>
      <w:proofErr w:type="spellEnd"/>
      <w:r w:rsidR="000631FA" w:rsidRPr="00705170">
        <w:rPr>
          <w:rFonts w:ascii="Times New Roman" w:hAnsi="Times New Roman" w:cs="Times New Roman"/>
        </w:rPr>
        <w:t xml:space="preserve"> of </w:t>
      </w:r>
      <w:proofErr w:type="spellStart"/>
      <w:r w:rsidR="000631FA" w:rsidRPr="00705170">
        <w:rPr>
          <w:rFonts w:ascii="Times New Roman" w:hAnsi="Times New Roman" w:cs="Times New Roman"/>
        </w:rPr>
        <w:t>great</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debate</w:t>
      </w:r>
      <w:proofErr w:type="spellEnd"/>
      <w:r w:rsidR="000631FA" w:rsidRPr="00705170">
        <w:rPr>
          <w:rStyle w:val="DipnotBavurusu"/>
          <w:rFonts w:ascii="Times New Roman" w:hAnsi="Times New Roman" w:cs="Times New Roman"/>
        </w:rPr>
        <w:footnoteReference w:id="603"/>
      </w:r>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This</w:t>
      </w:r>
      <w:proofErr w:type="spellEnd"/>
      <w:r w:rsidR="004434AB" w:rsidRPr="00705170">
        <w:rPr>
          <w:rFonts w:ascii="Times New Roman" w:hAnsi="Times New Roman" w:cs="Times New Roman"/>
        </w:rPr>
        <w:t xml:space="preserve"> is </w:t>
      </w:r>
      <w:proofErr w:type="spellStart"/>
      <w:r w:rsidR="004434AB" w:rsidRPr="00705170">
        <w:rPr>
          <w:rFonts w:ascii="Times New Roman" w:hAnsi="Times New Roman" w:cs="Times New Roman"/>
        </w:rPr>
        <w:t>because</w:t>
      </w:r>
      <w:proofErr w:type="spellEnd"/>
      <w:r w:rsidR="004434AB" w:rsidRPr="00705170">
        <w:rPr>
          <w:rFonts w:ascii="Times New Roman" w:hAnsi="Times New Roman" w:cs="Times New Roman"/>
        </w:rPr>
        <w:t xml:space="preserve"> i</w:t>
      </w:r>
      <w:r w:rsidR="000631FA" w:rsidRPr="00705170">
        <w:rPr>
          <w:rFonts w:ascii="Times New Roman" w:hAnsi="Times New Roman" w:cs="Times New Roman"/>
        </w:rPr>
        <w:t xml:space="preserve">t has </w:t>
      </w:r>
      <w:proofErr w:type="spellStart"/>
      <w:r w:rsidR="000631FA" w:rsidRPr="00705170">
        <w:rPr>
          <w:rFonts w:ascii="Times New Roman" w:hAnsi="Times New Roman" w:cs="Times New Roman"/>
        </w:rPr>
        <w:t>both</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contract</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and</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tort</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law</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aspects</w:t>
      </w:r>
      <w:proofErr w:type="spellEnd"/>
      <w:r w:rsidR="000631FA" w:rsidRPr="00705170">
        <w:rPr>
          <w:rStyle w:val="DipnotBavurusu"/>
          <w:rFonts w:ascii="Times New Roman" w:hAnsi="Times New Roman" w:cs="Times New Roman"/>
        </w:rPr>
        <w:footnoteReference w:id="604"/>
      </w:r>
      <w:r w:rsidR="000631FA" w:rsidRPr="00705170">
        <w:rPr>
          <w:rFonts w:ascii="Times New Roman" w:hAnsi="Times New Roman" w:cs="Times New Roman"/>
        </w:rPr>
        <w:t xml:space="preserve">. As </w:t>
      </w:r>
      <w:proofErr w:type="spellStart"/>
      <w:r w:rsidR="000631FA" w:rsidRPr="00705170">
        <w:rPr>
          <w:rFonts w:ascii="Times New Roman" w:hAnsi="Times New Roman" w:cs="Times New Roman"/>
        </w:rPr>
        <w:t>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oppression</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takes</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place</w:t>
      </w:r>
      <w:proofErr w:type="spellEnd"/>
      <w:r w:rsidR="000631FA" w:rsidRPr="00705170">
        <w:rPr>
          <w:rFonts w:ascii="Times New Roman" w:hAnsi="Times New Roman" w:cs="Times New Roman"/>
        </w:rPr>
        <w:t xml:space="preserve"> in </w:t>
      </w:r>
      <w:proofErr w:type="spellStart"/>
      <w:r w:rsidR="000631FA" w:rsidRPr="00705170">
        <w:rPr>
          <w:rFonts w:ascii="Times New Roman" w:hAnsi="Times New Roman" w:cs="Times New Roman"/>
        </w:rPr>
        <w:t>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relationship</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between</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shareholders</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and</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within</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int</w:t>
      </w:r>
      <w:r w:rsidR="00F75C45" w:rsidRPr="00705170">
        <w:rPr>
          <w:rFonts w:ascii="Times New Roman" w:hAnsi="Times New Roman" w:cs="Times New Roman"/>
        </w:rPr>
        <w:t>ernal</w:t>
      </w:r>
      <w:proofErr w:type="spellEnd"/>
      <w:r w:rsidR="00F75C45" w:rsidRPr="00705170">
        <w:rPr>
          <w:rFonts w:ascii="Times New Roman" w:hAnsi="Times New Roman" w:cs="Times New Roman"/>
        </w:rPr>
        <w:t xml:space="preserve"> </w:t>
      </w:r>
      <w:proofErr w:type="spellStart"/>
      <w:r w:rsidR="00F75C45" w:rsidRPr="00705170">
        <w:rPr>
          <w:rFonts w:ascii="Times New Roman" w:hAnsi="Times New Roman" w:cs="Times New Roman"/>
        </w:rPr>
        <w:t>affai</w:t>
      </w:r>
      <w:r w:rsidR="000631FA" w:rsidRPr="00705170">
        <w:rPr>
          <w:rFonts w:ascii="Times New Roman" w:hAnsi="Times New Roman" w:cs="Times New Roman"/>
        </w:rPr>
        <w:t>rs</w:t>
      </w:r>
      <w:proofErr w:type="spellEnd"/>
      <w:r w:rsidR="000631FA" w:rsidRPr="00705170">
        <w:rPr>
          <w:rFonts w:ascii="Times New Roman" w:hAnsi="Times New Roman" w:cs="Times New Roman"/>
        </w:rPr>
        <w:t xml:space="preserve"> of </w:t>
      </w:r>
      <w:proofErr w:type="spellStart"/>
      <w:r w:rsidR="000631FA" w:rsidRPr="00705170">
        <w:rPr>
          <w:rFonts w:ascii="Times New Roman" w:hAnsi="Times New Roman" w:cs="Times New Roman"/>
        </w:rPr>
        <w:t>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corporation</w:t>
      </w:r>
      <w:proofErr w:type="spellEnd"/>
      <w:r w:rsidR="000631FA" w:rsidRPr="00705170">
        <w:rPr>
          <w:rFonts w:ascii="Times New Roman" w:hAnsi="Times New Roman" w:cs="Times New Roman"/>
        </w:rPr>
        <w:t xml:space="preserve">, it </w:t>
      </w:r>
      <w:proofErr w:type="spellStart"/>
      <w:r w:rsidR="000631FA" w:rsidRPr="00705170">
        <w:rPr>
          <w:rFonts w:ascii="Times New Roman" w:hAnsi="Times New Roman" w:cs="Times New Roman"/>
        </w:rPr>
        <w:t>might</w:t>
      </w:r>
      <w:proofErr w:type="spellEnd"/>
      <w:r w:rsidR="000631FA" w:rsidRPr="00705170">
        <w:rPr>
          <w:rFonts w:ascii="Times New Roman" w:hAnsi="Times New Roman" w:cs="Times New Roman"/>
        </w:rPr>
        <w:t xml:space="preserve"> be </w:t>
      </w:r>
      <w:proofErr w:type="spellStart"/>
      <w:r w:rsidR="000631FA" w:rsidRPr="00705170">
        <w:rPr>
          <w:rFonts w:ascii="Times New Roman" w:hAnsi="Times New Roman" w:cs="Times New Roman"/>
        </w:rPr>
        <w:t>seen</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contractual</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due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to</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contractual</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nature</w:t>
      </w:r>
      <w:proofErr w:type="spellEnd"/>
      <w:r w:rsidR="000631FA" w:rsidRPr="00705170">
        <w:rPr>
          <w:rFonts w:ascii="Times New Roman" w:hAnsi="Times New Roman" w:cs="Times New Roman"/>
        </w:rPr>
        <w:t xml:space="preserve"> of </w:t>
      </w:r>
      <w:proofErr w:type="spellStart"/>
      <w:r w:rsidR="000631FA" w:rsidRPr="00705170">
        <w:rPr>
          <w:rFonts w:ascii="Times New Roman" w:hAnsi="Times New Roman" w:cs="Times New Roman"/>
        </w:rPr>
        <w:t>corporations</w:t>
      </w:r>
      <w:proofErr w:type="spellEnd"/>
      <w:r w:rsidR="000631FA" w:rsidRPr="00705170">
        <w:rPr>
          <w:rStyle w:val="DipnotBavurusu"/>
          <w:rFonts w:ascii="Times New Roman" w:hAnsi="Times New Roman" w:cs="Times New Roman"/>
        </w:rPr>
        <w:footnoteReference w:id="605"/>
      </w:r>
      <w:r w:rsidR="00395CE1" w:rsidRPr="00705170">
        <w:rPr>
          <w:rFonts w:ascii="Times New Roman" w:hAnsi="Times New Roman" w:cs="Times New Roman"/>
        </w:rPr>
        <w:t xml:space="preserve">. </w:t>
      </w:r>
      <w:proofErr w:type="spellStart"/>
      <w:r w:rsidR="0075247C" w:rsidRPr="00705170">
        <w:rPr>
          <w:rFonts w:ascii="Times New Roman" w:hAnsi="Times New Roman" w:cs="Times New Roman"/>
        </w:rPr>
        <w:t>In</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this</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regards</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for</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instance</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California’s</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long</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arm</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statute</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does</w:t>
      </w:r>
      <w:proofErr w:type="spellEnd"/>
      <w:r w:rsidR="0075247C" w:rsidRPr="00705170">
        <w:rPr>
          <w:rFonts w:ascii="Times New Roman" w:hAnsi="Times New Roman" w:cs="Times New Roman"/>
        </w:rPr>
        <w:t xml:space="preserve"> not </w:t>
      </w:r>
      <w:proofErr w:type="spellStart"/>
      <w:r w:rsidR="0075247C" w:rsidRPr="00705170">
        <w:rPr>
          <w:rFonts w:ascii="Times New Roman" w:hAnsi="Times New Roman" w:cs="Times New Roman"/>
        </w:rPr>
        <w:t>apply</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the</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involuntary</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dissolution</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provision</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to</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corporation’s</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incorporated</w:t>
      </w:r>
      <w:proofErr w:type="spellEnd"/>
      <w:r w:rsidR="0075247C" w:rsidRPr="00705170">
        <w:rPr>
          <w:rFonts w:ascii="Times New Roman" w:hAnsi="Times New Roman" w:cs="Times New Roman"/>
        </w:rPr>
        <w:t xml:space="preserve"> in </w:t>
      </w:r>
      <w:proofErr w:type="spellStart"/>
      <w:r w:rsidR="0075247C" w:rsidRPr="00705170">
        <w:rPr>
          <w:rFonts w:ascii="Times New Roman" w:hAnsi="Times New Roman" w:cs="Times New Roman"/>
        </w:rPr>
        <w:t>different</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states</w:t>
      </w:r>
      <w:proofErr w:type="spellEnd"/>
      <w:r w:rsidR="0075247C" w:rsidRPr="00705170">
        <w:rPr>
          <w:rFonts w:ascii="Times New Roman" w:hAnsi="Times New Roman" w:cs="Times New Roman"/>
        </w:rPr>
        <w:t xml:space="preserve">, </w:t>
      </w:r>
      <w:proofErr w:type="spellStart"/>
      <w:r w:rsidR="00C41F5C" w:rsidRPr="00705170">
        <w:rPr>
          <w:rFonts w:ascii="Times New Roman" w:hAnsi="Times New Roman" w:cs="Times New Roman"/>
        </w:rPr>
        <w:t>which</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shows</w:t>
      </w:r>
      <w:proofErr w:type="spellEnd"/>
      <w:r w:rsidR="00C41F5C" w:rsidRPr="00705170">
        <w:rPr>
          <w:rFonts w:ascii="Times New Roman" w:hAnsi="Times New Roman" w:cs="Times New Roman"/>
        </w:rPr>
        <w:t xml:space="preserve"> </w:t>
      </w:r>
      <w:proofErr w:type="spellStart"/>
      <w:r w:rsidR="00C41F5C" w:rsidRPr="00705170">
        <w:rPr>
          <w:rFonts w:ascii="Times New Roman" w:hAnsi="Times New Roman" w:cs="Times New Roman"/>
        </w:rPr>
        <w:t>that</w:t>
      </w:r>
      <w:proofErr w:type="spellEnd"/>
      <w:r w:rsidR="0075247C" w:rsidRPr="00705170">
        <w:rPr>
          <w:rFonts w:ascii="Times New Roman" w:hAnsi="Times New Roman" w:cs="Times New Roman"/>
        </w:rPr>
        <w:t xml:space="preserve"> California </w:t>
      </w:r>
      <w:proofErr w:type="spellStart"/>
      <w:r w:rsidR="00C41F5C" w:rsidRPr="00705170">
        <w:rPr>
          <w:rFonts w:ascii="Times New Roman" w:hAnsi="Times New Roman" w:cs="Times New Roman"/>
        </w:rPr>
        <w:t>sees</w:t>
      </w:r>
      <w:proofErr w:type="spellEnd"/>
      <w:r w:rsidR="00C41F5C" w:rsidRPr="00705170">
        <w:rPr>
          <w:rFonts w:ascii="Times New Roman" w:hAnsi="Times New Roman" w:cs="Times New Roman"/>
        </w:rPr>
        <w:t xml:space="preserve"> </w:t>
      </w:r>
      <w:proofErr w:type="spellStart"/>
      <w:r w:rsidR="00C41F5C" w:rsidRPr="00705170">
        <w:rPr>
          <w:rFonts w:ascii="Times New Roman" w:hAnsi="Times New Roman" w:cs="Times New Roman"/>
        </w:rPr>
        <w:t>this</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issue</w:t>
      </w:r>
      <w:proofErr w:type="spellEnd"/>
      <w:r w:rsidR="0075247C" w:rsidRPr="00705170">
        <w:rPr>
          <w:rFonts w:ascii="Times New Roman" w:hAnsi="Times New Roman" w:cs="Times New Roman"/>
        </w:rPr>
        <w:t xml:space="preserve"> as </w:t>
      </w:r>
      <w:proofErr w:type="spellStart"/>
      <w:r w:rsidR="0075247C" w:rsidRPr="00705170">
        <w:rPr>
          <w:rFonts w:ascii="Times New Roman" w:hAnsi="Times New Roman" w:cs="Times New Roman"/>
        </w:rPr>
        <w:t>one</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within</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the</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internal</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affairs</w:t>
      </w:r>
      <w:proofErr w:type="spellEnd"/>
      <w:r w:rsidR="0075247C" w:rsidRPr="00705170">
        <w:rPr>
          <w:rFonts w:ascii="Times New Roman" w:hAnsi="Times New Roman" w:cs="Times New Roman"/>
        </w:rPr>
        <w:t xml:space="preserve"> of </w:t>
      </w:r>
      <w:proofErr w:type="spellStart"/>
      <w:r w:rsidR="0075247C" w:rsidRPr="00705170">
        <w:rPr>
          <w:rFonts w:ascii="Times New Roman" w:hAnsi="Times New Roman" w:cs="Times New Roman"/>
        </w:rPr>
        <w:t>the</w:t>
      </w:r>
      <w:proofErr w:type="spellEnd"/>
      <w:r w:rsidR="0075247C" w:rsidRPr="00705170">
        <w:rPr>
          <w:rFonts w:ascii="Times New Roman" w:hAnsi="Times New Roman" w:cs="Times New Roman"/>
        </w:rPr>
        <w:t xml:space="preserve"> </w:t>
      </w:r>
      <w:proofErr w:type="spellStart"/>
      <w:r w:rsidR="0075247C" w:rsidRPr="00705170">
        <w:rPr>
          <w:rFonts w:ascii="Times New Roman" w:hAnsi="Times New Roman" w:cs="Times New Roman"/>
        </w:rPr>
        <w:t>corporation</w:t>
      </w:r>
      <w:proofErr w:type="spellEnd"/>
      <w:r w:rsidR="0075247C" w:rsidRPr="00705170">
        <w:rPr>
          <w:rStyle w:val="DipnotBavurusu"/>
          <w:rFonts w:ascii="Times New Roman" w:hAnsi="Times New Roman" w:cs="Times New Roman"/>
        </w:rPr>
        <w:footnoteReference w:id="606"/>
      </w:r>
      <w:r w:rsidR="00395CE1" w:rsidRPr="00705170">
        <w:rPr>
          <w:rFonts w:ascii="Times New Roman" w:hAnsi="Times New Roman" w:cs="Times New Roman"/>
        </w:rPr>
        <w:t>.</w:t>
      </w:r>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lastRenderedPageBreak/>
        <w:t>Moreover</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the</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usage</w:t>
      </w:r>
      <w:proofErr w:type="spellEnd"/>
      <w:r w:rsidR="007E1A32" w:rsidRPr="00705170">
        <w:rPr>
          <w:rFonts w:ascii="Times New Roman" w:hAnsi="Times New Roman" w:cs="Times New Roman"/>
        </w:rPr>
        <w:t xml:space="preserve"> of </w:t>
      </w:r>
      <w:proofErr w:type="spellStart"/>
      <w:r w:rsidR="007E1A32" w:rsidRPr="00705170">
        <w:rPr>
          <w:rFonts w:ascii="Times New Roman" w:hAnsi="Times New Roman" w:cs="Times New Roman"/>
        </w:rPr>
        <w:t>the</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reasonable</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expectations</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standard</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for</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the</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interpretation</w:t>
      </w:r>
      <w:proofErr w:type="spellEnd"/>
      <w:r w:rsidR="007E1A32" w:rsidRPr="00705170">
        <w:rPr>
          <w:rFonts w:ascii="Times New Roman" w:hAnsi="Times New Roman" w:cs="Times New Roman"/>
        </w:rPr>
        <w:t xml:space="preserve"> of </w:t>
      </w:r>
      <w:proofErr w:type="spellStart"/>
      <w:r w:rsidR="007E1A32" w:rsidRPr="00705170">
        <w:rPr>
          <w:rFonts w:ascii="Times New Roman" w:hAnsi="Times New Roman" w:cs="Times New Roman"/>
        </w:rPr>
        <w:t>oppression</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and</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the</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contractual</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analogy</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shows</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that</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all</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the</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values</w:t>
      </w:r>
      <w:proofErr w:type="spellEnd"/>
      <w:r w:rsidR="007E1A32" w:rsidRPr="00705170">
        <w:rPr>
          <w:rFonts w:ascii="Times New Roman" w:hAnsi="Times New Roman" w:cs="Times New Roman"/>
        </w:rPr>
        <w:t xml:space="preserve"> at </w:t>
      </w:r>
      <w:proofErr w:type="spellStart"/>
      <w:r w:rsidR="007E1A32" w:rsidRPr="00705170">
        <w:rPr>
          <w:rFonts w:ascii="Times New Roman" w:hAnsi="Times New Roman" w:cs="Times New Roman"/>
        </w:rPr>
        <w:t>stake</w:t>
      </w:r>
      <w:proofErr w:type="spellEnd"/>
      <w:r w:rsidR="007E1A32" w:rsidRPr="00705170">
        <w:rPr>
          <w:rFonts w:ascii="Times New Roman" w:hAnsi="Times New Roman" w:cs="Times New Roman"/>
        </w:rPr>
        <w:t xml:space="preserve"> in a </w:t>
      </w:r>
      <w:proofErr w:type="spellStart"/>
      <w:r w:rsidR="007E1A32" w:rsidRPr="00705170">
        <w:rPr>
          <w:rFonts w:ascii="Times New Roman" w:hAnsi="Times New Roman" w:cs="Times New Roman"/>
        </w:rPr>
        <w:t>claim</w:t>
      </w:r>
      <w:proofErr w:type="spellEnd"/>
      <w:r w:rsidR="007E1A32" w:rsidRPr="00705170">
        <w:rPr>
          <w:rFonts w:ascii="Times New Roman" w:hAnsi="Times New Roman" w:cs="Times New Roman"/>
        </w:rPr>
        <w:t xml:space="preserve"> of </w:t>
      </w:r>
      <w:proofErr w:type="spellStart"/>
      <w:r w:rsidR="007E1A32" w:rsidRPr="00705170">
        <w:rPr>
          <w:rFonts w:ascii="Times New Roman" w:hAnsi="Times New Roman" w:cs="Times New Roman"/>
        </w:rPr>
        <w:t>shareholder</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oppression</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are</w:t>
      </w:r>
      <w:proofErr w:type="spellEnd"/>
      <w:r w:rsidR="007E1A32" w:rsidRPr="00705170">
        <w:rPr>
          <w:rFonts w:ascii="Times New Roman" w:hAnsi="Times New Roman" w:cs="Times New Roman"/>
        </w:rPr>
        <w:t xml:space="preserve">, at </w:t>
      </w:r>
      <w:proofErr w:type="spellStart"/>
      <w:r w:rsidR="007E1A32" w:rsidRPr="00705170">
        <w:rPr>
          <w:rFonts w:ascii="Times New Roman" w:hAnsi="Times New Roman" w:cs="Times New Roman"/>
        </w:rPr>
        <w:t>bottom</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contractual</w:t>
      </w:r>
      <w:proofErr w:type="spellEnd"/>
      <w:r w:rsidR="007E1A32" w:rsidRPr="00705170">
        <w:rPr>
          <w:rFonts w:ascii="Times New Roman" w:hAnsi="Times New Roman" w:cs="Times New Roman"/>
        </w:rPr>
        <w:t xml:space="preserve"> </w:t>
      </w:r>
      <w:proofErr w:type="spellStart"/>
      <w:r w:rsidR="007E1A32" w:rsidRPr="00705170">
        <w:rPr>
          <w:rFonts w:ascii="Times New Roman" w:hAnsi="Times New Roman" w:cs="Times New Roman"/>
        </w:rPr>
        <w:t>values</w:t>
      </w:r>
      <w:proofErr w:type="spellEnd"/>
      <w:r w:rsidR="007E1A32" w:rsidRPr="00705170">
        <w:rPr>
          <w:rFonts w:ascii="Times New Roman" w:hAnsi="Times New Roman" w:cs="Times New Roman"/>
        </w:rPr>
        <w:t>”</w:t>
      </w:r>
      <w:r w:rsidR="007E1A32" w:rsidRPr="00705170">
        <w:rPr>
          <w:rStyle w:val="DipnotBavurusu"/>
          <w:rFonts w:ascii="Times New Roman" w:hAnsi="Times New Roman" w:cs="Times New Roman"/>
        </w:rPr>
        <w:footnoteReference w:id="607"/>
      </w:r>
      <w:r w:rsidR="007E1A32" w:rsidRPr="00705170">
        <w:rPr>
          <w:rFonts w:ascii="Times New Roman" w:hAnsi="Times New Roman" w:cs="Times New Roman"/>
        </w:rPr>
        <w:t>.</w:t>
      </w:r>
      <w:r w:rsidR="00C5035D">
        <w:rPr>
          <w:rFonts w:ascii="Times New Roman" w:hAnsi="Times New Roman" w:cs="Times New Roman"/>
        </w:rPr>
        <w:t xml:space="preserve"> </w:t>
      </w:r>
      <w:proofErr w:type="spellStart"/>
      <w:r w:rsidR="00C5035D">
        <w:rPr>
          <w:rFonts w:ascii="Times New Roman" w:hAnsi="Times New Roman" w:cs="Times New Roman"/>
          <w:color w:val="000000"/>
        </w:rPr>
        <w:t>In</w:t>
      </w:r>
      <w:proofErr w:type="spellEnd"/>
      <w:r w:rsidR="00C5035D">
        <w:rPr>
          <w:rFonts w:ascii="Times New Roman" w:hAnsi="Times New Roman" w:cs="Times New Roman"/>
          <w:color w:val="000000"/>
        </w:rPr>
        <w:t xml:space="preserve"> </w:t>
      </w:r>
      <w:proofErr w:type="spellStart"/>
      <w:r w:rsidR="00C5035D">
        <w:rPr>
          <w:rFonts w:ascii="Times New Roman" w:hAnsi="Times New Roman" w:cs="Times New Roman"/>
          <w:color w:val="000000"/>
        </w:rPr>
        <w:t>this</w:t>
      </w:r>
      <w:proofErr w:type="spellEnd"/>
      <w:r w:rsidR="00C5035D">
        <w:rPr>
          <w:rFonts w:ascii="Times New Roman" w:hAnsi="Times New Roman" w:cs="Times New Roman"/>
          <w:color w:val="000000"/>
        </w:rPr>
        <w:t xml:space="preserve"> </w:t>
      </w:r>
      <w:proofErr w:type="spellStart"/>
      <w:r w:rsidR="00C5035D">
        <w:rPr>
          <w:rFonts w:ascii="Times New Roman" w:hAnsi="Times New Roman" w:cs="Times New Roman"/>
          <w:color w:val="000000"/>
        </w:rPr>
        <w:t>regards</w:t>
      </w:r>
      <w:proofErr w:type="spellEnd"/>
      <w:r w:rsidR="00C5035D">
        <w:rPr>
          <w:rFonts w:ascii="Times New Roman" w:hAnsi="Times New Roman" w:cs="Times New Roman"/>
          <w:color w:val="000000"/>
        </w:rPr>
        <w:t xml:space="preserve">, </w:t>
      </w:r>
      <w:proofErr w:type="spellStart"/>
      <w:r w:rsidR="00C5035D">
        <w:rPr>
          <w:rFonts w:ascii="Times New Roman" w:hAnsi="Times New Roman" w:cs="Times New Roman"/>
          <w:color w:val="000000"/>
        </w:rPr>
        <w:t>for</w:t>
      </w:r>
      <w:proofErr w:type="spellEnd"/>
      <w:r w:rsidR="00C5035D">
        <w:rPr>
          <w:rFonts w:ascii="Times New Roman" w:hAnsi="Times New Roman" w:cs="Times New Roman"/>
          <w:color w:val="000000"/>
        </w:rPr>
        <w:t xml:space="preserve"> </w:t>
      </w:r>
      <w:proofErr w:type="spellStart"/>
      <w:r w:rsidR="00C5035D">
        <w:rPr>
          <w:rFonts w:ascii="Times New Roman" w:hAnsi="Times New Roman" w:cs="Times New Roman"/>
          <w:color w:val="000000"/>
        </w:rPr>
        <w:t>instance</w:t>
      </w:r>
      <w:proofErr w:type="spellEnd"/>
      <w:r w:rsidR="00C5035D">
        <w:rPr>
          <w:rFonts w:ascii="Times New Roman" w:hAnsi="Times New Roman" w:cs="Times New Roman"/>
          <w:color w:val="000000"/>
        </w:rPr>
        <w:t xml:space="preserve">, it can be </w:t>
      </w:r>
      <w:proofErr w:type="spellStart"/>
      <w:r w:rsidR="00C5035D">
        <w:rPr>
          <w:rFonts w:ascii="Times New Roman" w:hAnsi="Times New Roman" w:cs="Times New Roman"/>
          <w:color w:val="000000"/>
        </w:rPr>
        <w:t>said</w:t>
      </w:r>
      <w:proofErr w:type="spellEnd"/>
      <w:r w:rsidR="00C5035D">
        <w:rPr>
          <w:rFonts w:ascii="Times New Roman" w:hAnsi="Times New Roman" w:cs="Times New Roman"/>
          <w:color w:val="000000"/>
        </w:rPr>
        <w:t xml:space="preserve"> </w:t>
      </w:r>
      <w:proofErr w:type="spellStart"/>
      <w:r w:rsidR="00C5035D">
        <w:rPr>
          <w:rFonts w:ascii="Times New Roman" w:hAnsi="Times New Roman" w:cs="Times New Roman"/>
          <w:color w:val="000000"/>
        </w:rPr>
        <w:t>that</w:t>
      </w:r>
      <w:proofErr w:type="spellEnd"/>
      <w:r w:rsidR="00C5035D">
        <w:rPr>
          <w:rFonts w:ascii="Times New Roman" w:hAnsi="Times New Roman" w:cs="Times New Roman"/>
          <w:color w:val="000000"/>
        </w:rPr>
        <w:t xml:space="preserve">, </w:t>
      </w:r>
      <w:r w:rsidR="00C5035D" w:rsidRPr="00705170">
        <w:rPr>
          <w:rFonts w:ascii="Times New Roman" w:hAnsi="Times New Roman" w:cs="Times New Roman"/>
          <w:color w:val="000000"/>
        </w:rPr>
        <w:t xml:space="preserve">Delaware </w:t>
      </w:r>
      <w:proofErr w:type="spellStart"/>
      <w:r w:rsidR="00C5035D" w:rsidRPr="00705170">
        <w:rPr>
          <w:rFonts w:ascii="Times New Roman" w:hAnsi="Times New Roman" w:cs="Times New Roman"/>
          <w:color w:val="000000"/>
        </w:rPr>
        <w:t>courts</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refusal</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to</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recognize</w:t>
      </w:r>
      <w:proofErr w:type="spellEnd"/>
      <w:r w:rsidR="00C5035D" w:rsidRPr="00705170">
        <w:rPr>
          <w:rFonts w:ascii="Times New Roman" w:hAnsi="Times New Roman" w:cs="Times New Roman"/>
          <w:color w:val="000000"/>
        </w:rPr>
        <w:t xml:space="preserve"> a </w:t>
      </w:r>
      <w:proofErr w:type="spellStart"/>
      <w:r w:rsidR="00C5035D" w:rsidRPr="00705170">
        <w:rPr>
          <w:rFonts w:ascii="Times New Roman" w:hAnsi="Times New Roman" w:cs="Times New Roman"/>
          <w:color w:val="000000"/>
        </w:rPr>
        <w:t>judicially</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created</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cause</w:t>
      </w:r>
      <w:proofErr w:type="spellEnd"/>
      <w:r w:rsidR="00C5035D" w:rsidRPr="00705170">
        <w:rPr>
          <w:rFonts w:ascii="Times New Roman" w:hAnsi="Times New Roman" w:cs="Times New Roman"/>
          <w:color w:val="000000"/>
        </w:rPr>
        <w:t xml:space="preserve"> of </w:t>
      </w:r>
      <w:proofErr w:type="spellStart"/>
      <w:r w:rsidR="00C5035D" w:rsidRPr="00705170">
        <w:rPr>
          <w:rFonts w:ascii="Times New Roman" w:hAnsi="Times New Roman" w:cs="Times New Roman"/>
          <w:color w:val="000000"/>
        </w:rPr>
        <w:t>action</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where</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ther</w:t>
      </w:r>
      <w:r w:rsidR="00C5035D">
        <w:rPr>
          <w:rFonts w:ascii="Times New Roman" w:hAnsi="Times New Roman" w:cs="Times New Roman"/>
          <w:color w:val="000000"/>
        </w:rPr>
        <w:t>e</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are</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no</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special</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provisions</w:t>
      </w:r>
      <w:proofErr w:type="spellEnd"/>
      <w:r w:rsidR="00C5035D" w:rsidRPr="00705170">
        <w:rPr>
          <w:rFonts w:ascii="Times New Roman" w:hAnsi="Times New Roman" w:cs="Times New Roman"/>
          <w:color w:val="000000"/>
        </w:rPr>
        <w:t xml:space="preserve"> in </w:t>
      </w:r>
      <w:proofErr w:type="spellStart"/>
      <w:r w:rsidR="00C5035D" w:rsidRPr="00705170">
        <w:rPr>
          <w:rFonts w:ascii="Times New Roman" w:hAnsi="Times New Roman" w:cs="Times New Roman"/>
          <w:color w:val="000000"/>
        </w:rPr>
        <w:t>the</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articles</w:t>
      </w:r>
      <w:proofErr w:type="spellEnd"/>
      <w:r w:rsidR="00C5035D" w:rsidRPr="00705170">
        <w:rPr>
          <w:rFonts w:ascii="Times New Roman" w:hAnsi="Times New Roman" w:cs="Times New Roman"/>
          <w:color w:val="000000"/>
        </w:rPr>
        <w:t xml:space="preserve"> of </w:t>
      </w:r>
      <w:proofErr w:type="spellStart"/>
      <w:r w:rsidR="00C5035D" w:rsidRPr="00705170">
        <w:rPr>
          <w:rFonts w:ascii="Times New Roman" w:hAnsi="Times New Roman" w:cs="Times New Roman"/>
          <w:color w:val="000000"/>
        </w:rPr>
        <w:t>incorporation</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by</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laws</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or</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shareholders</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agreements</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shows</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that</w:t>
      </w:r>
      <w:proofErr w:type="spellEnd"/>
      <w:r w:rsidR="00C5035D" w:rsidRPr="00705170">
        <w:rPr>
          <w:rFonts w:ascii="Times New Roman" w:hAnsi="Times New Roman" w:cs="Times New Roman"/>
          <w:color w:val="000000"/>
        </w:rPr>
        <w:t xml:space="preserve"> Delaware </w:t>
      </w:r>
      <w:proofErr w:type="spellStart"/>
      <w:r w:rsidR="00C5035D" w:rsidRPr="00705170">
        <w:rPr>
          <w:rFonts w:ascii="Times New Roman" w:hAnsi="Times New Roman" w:cs="Times New Roman"/>
          <w:color w:val="000000"/>
        </w:rPr>
        <w:t>places</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the</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issue</w:t>
      </w:r>
      <w:proofErr w:type="spellEnd"/>
      <w:r w:rsidR="00C5035D" w:rsidRPr="00705170">
        <w:rPr>
          <w:rFonts w:ascii="Times New Roman" w:hAnsi="Times New Roman" w:cs="Times New Roman"/>
          <w:color w:val="000000"/>
        </w:rPr>
        <w:t xml:space="preserve"> in </w:t>
      </w:r>
      <w:proofErr w:type="spellStart"/>
      <w:r w:rsidR="00C5035D" w:rsidRPr="00705170">
        <w:rPr>
          <w:rFonts w:ascii="Times New Roman" w:hAnsi="Times New Roman" w:cs="Times New Roman"/>
          <w:color w:val="000000"/>
        </w:rPr>
        <w:t>the</w:t>
      </w:r>
      <w:proofErr w:type="spellEnd"/>
      <w:r w:rsidR="00C5035D" w:rsidRPr="00705170">
        <w:rPr>
          <w:rFonts w:ascii="Times New Roman" w:hAnsi="Times New Roman" w:cs="Times New Roman"/>
          <w:color w:val="000000"/>
        </w:rPr>
        <w:t xml:space="preserve"> </w:t>
      </w:r>
      <w:proofErr w:type="spellStart"/>
      <w:r w:rsidR="00C5035D" w:rsidRPr="00705170">
        <w:rPr>
          <w:rFonts w:ascii="Times New Roman" w:hAnsi="Times New Roman" w:cs="Times New Roman"/>
          <w:color w:val="000000"/>
        </w:rPr>
        <w:t>realm</w:t>
      </w:r>
      <w:proofErr w:type="spellEnd"/>
      <w:r w:rsidR="00C5035D" w:rsidRPr="00705170">
        <w:rPr>
          <w:rFonts w:ascii="Times New Roman" w:hAnsi="Times New Roman" w:cs="Times New Roman"/>
          <w:color w:val="000000"/>
        </w:rPr>
        <w:t xml:space="preserve"> of </w:t>
      </w:r>
      <w:proofErr w:type="spellStart"/>
      <w:r w:rsidR="00C5035D" w:rsidRPr="00705170">
        <w:rPr>
          <w:rFonts w:ascii="Times New Roman" w:hAnsi="Times New Roman" w:cs="Times New Roman"/>
          <w:color w:val="000000"/>
        </w:rPr>
        <w:t>contract</w:t>
      </w:r>
      <w:proofErr w:type="spellEnd"/>
      <w:r w:rsidR="00C5035D" w:rsidRPr="00705170">
        <w:rPr>
          <w:rStyle w:val="DipnotBavurusu"/>
          <w:rFonts w:ascii="Times New Roman" w:hAnsi="Times New Roman" w:cs="Times New Roman"/>
          <w:color w:val="000000"/>
        </w:rPr>
        <w:footnoteReference w:id="608"/>
      </w:r>
      <w:r w:rsidR="00C5035D" w:rsidRPr="00705170">
        <w:rPr>
          <w:rFonts w:ascii="Times New Roman" w:hAnsi="Times New Roman" w:cs="Times New Roman"/>
          <w:color w:val="000000"/>
        </w:rPr>
        <w:t xml:space="preserve">. </w:t>
      </w:r>
    </w:p>
    <w:p w14:paraId="78B7D0D4" w14:textId="104EF9C7" w:rsidR="009C400D" w:rsidRPr="00705170" w:rsidRDefault="007E1A32" w:rsidP="007E1A32">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S</w:t>
      </w:r>
      <w:r w:rsidR="009F23D1" w:rsidRPr="00705170">
        <w:rPr>
          <w:rFonts w:ascii="Times New Roman" w:hAnsi="Times New Roman" w:cs="Times New Roman"/>
        </w:rPr>
        <w:t>ome</w:t>
      </w:r>
      <w:proofErr w:type="spellEnd"/>
      <w:r w:rsidR="009F23D1" w:rsidRPr="00705170">
        <w:rPr>
          <w:rFonts w:ascii="Times New Roman" w:hAnsi="Times New Roman" w:cs="Times New Roman"/>
        </w:rPr>
        <w:t xml:space="preserve"> </w:t>
      </w:r>
      <w:proofErr w:type="spellStart"/>
      <w:r w:rsidR="009F23D1" w:rsidRPr="00705170">
        <w:rPr>
          <w:rFonts w:ascii="Times New Roman" w:hAnsi="Times New Roman" w:cs="Times New Roman"/>
        </w:rPr>
        <w:t>authorities</w:t>
      </w:r>
      <w:proofErr w:type="spellEnd"/>
      <w:r w:rsidR="009F23D1" w:rsidRPr="00705170">
        <w:rPr>
          <w:rFonts w:ascii="Times New Roman" w:hAnsi="Times New Roman" w:cs="Times New Roman"/>
        </w:rPr>
        <w:t xml:space="preserve"> </w:t>
      </w:r>
      <w:proofErr w:type="spellStart"/>
      <w:r w:rsidR="004434AB" w:rsidRPr="00705170">
        <w:rPr>
          <w:rFonts w:ascii="Times New Roman" w:hAnsi="Times New Roman" w:cs="Times New Roman"/>
        </w:rPr>
        <w:t>state</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that</w:t>
      </w:r>
      <w:proofErr w:type="spellEnd"/>
      <w:r w:rsidR="004434AB" w:rsidRPr="00705170">
        <w:rPr>
          <w:rFonts w:ascii="Times New Roman" w:hAnsi="Times New Roman" w:cs="Times New Roman"/>
        </w:rPr>
        <w:t xml:space="preserve"> a </w:t>
      </w:r>
      <w:proofErr w:type="spellStart"/>
      <w:r w:rsidR="004434AB" w:rsidRPr="00705170">
        <w:rPr>
          <w:rFonts w:ascii="Times New Roman" w:hAnsi="Times New Roman" w:cs="Times New Roman"/>
        </w:rPr>
        <w:t>corporate</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oppression</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claim</w:t>
      </w:r>
      <w:proofErr w:type="spellEnd"/>
      <w:r w:rsidR="004434AB" w:rsidRPr="00705170">
        <w:rPr>
          <w:rFonts w:ascii="Times New Roman" w:hAnsi="Times New Roman" w:cs="Times New Roman"/>
        </w:rPr>
        <w:t xml:space="preserve"> has </w:t>
      </w:r>
      <w:proofErr w:type="spellStart"/>
      <w:r w:rsidR="004434AB" w:rsidRPr="00705170">
        <w:rPr>
          <w:rFonts w:ascii="Times New Roman" w:hAnsi="Times New Roman" w:cs="Times New Roman"/>
        </w:rPr>
        <w:t>more</w:t>
      </w:r>
      <w:proofErr w:type="spellEnd"/>
      <w:r w:rsidR="004434AB" w:rsidRPr="00705170">
        <w:rPr>
          <w:rFonts w:ascii="Times New Roman" w:hAnsi="Times New Roman" w:cs="Times New Roman"/>
        </w:rPr>
        <w:t xml:space="preserve"> of </w:t>
      </w:r>
      <w:proofErr w:type="spellStart"/>
      <w:r w:rsidR="004434AB" w:rsidRPr="00705170">
        <w:rPr>
          <w:rFonts w:ascii="Times New Roman" w:hAnsi="Times New Roman" w:cs="Times New Roman"/>
        </w:rPr>
        <w:t>the</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characteristics</w:t>
      </w:r>
      <w:proofErr w:type="spellEnd"/>
      <w:r w:rsidR="004434AB" w:rsidRPr="00705170">
        <w:rPr>
          <w:rFonts w:ascii="Times New Roman" w:hAnsi="Times New Roman" w:cs="Times New Roman"/>
        </w:rPr>
        <w:t xml:space="preserve"> of a </w:t>
      </w:r>
      <w:proofErr w:type="spellStart"/>
      <w:r w:rsidR="004434AB" w:rsidRPr="00705170">
        <w:rPr>
          <w:rFonts w:ascii="Times New Roman" w:hAnsi="Times New Roman" w:cs="Times New Roman"/>
        </w:rPr>
        <w:t>tort</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claim</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than</w:t>
      </w:r>
      <w:proofErr w:type="spellEnd"/>
      <w:r w:rsidR="004434AB" w:rsidRPr="00705170">
        <w:rPr>
          <w:rFonts w:ascii="Times New Roman" w:hAnsi="Times New Roman" w:cs="Times New Roman"/>
        </w:rPr>
        <w:t xml:space="preserve"> of a </w:t>
      </w:r>
      <w:proofErr w:type="spellStart"/>
      <w:r w:rsidR="004434AB" w:rsidRPr="00705170">
        <w:rPr>
          <w:rFonts w:ascii="Times New Roman" w:hAnsi="Times New Roman" w:cs="Times New Roman"/>
        </w:rPr>
        <w:t>contract</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claim</w:t>
      </w:r>
      <w:proofErr w:type="spellEnd"/>
      <w:r w:rsidR="004434AB" w:rsidRPr="00705170">
        <w:rPr>
          <w:rStyle w:val="DipnotBavurusu"/>
          <w:rFonts w:ascii="Times New Roman" w:hAnsi="Times New Roman" w:cs="Times New Roman"/>
        </w:rPr>
        <w:footnoteReference w:id="609"/>
      </w:r>
      <w:r w:rsidR="009F23D1" w:rsidRPr="00705170">
        <w:rPr>
          <w:rFonts w:ascii="Times New Roman" w:hAnsi="Times New Roman" w:cs="Times New Roman"/>
        </w:rPr>
        <w:t>.</w:t>
      </w:r>
      <w:r w:rsidR="004434AB" w:rsidRPr="00705170">
        <w:rPr>
          <w:rFonts w:ascii="Times New Roman" w:hAnsi="Times New Roman" w:cs="Times New Roman"/>
        </w:rPr>
        <w:t xml:space="preserve"> </w:t>
      </w:r>
      <w:proofErr w:type="spellStart"/>
      <w:r w:rsidR="009F23D1" w:rsidRPr="00705170">
        <w:rPr>
          <w:rFonts w:ascii="Times New Roman" w:hAnsi="Times New Roman" w:cs="Times New Roman"/>
        </w:rPr>
        <w:t>It</w:t>
      </w:r>
      <w:proofErr w:type="spellEnd"/>
      <w:r w:rsidR="009F23D1" w:rsidRPr="00705170">
        <w:rPr>
          <w:rFonts w:ascii="Times New Roman" w:hAnsi="Times New Roman" w:cs="Times New Roman"/>
        </w:rPr>
        <w:t xml:space="preserve"> is</w:t>
      </w:r>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said</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that</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the</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tort</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law</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aspect</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predominates</w:t>
      </w:r>
      <w:proofErr w:type="spellEnd"/>
      <w:r w:rsidR="007B52D2" w:rsidRPr="00705170">
        <w:rPr>
          <w:rStyle w:val="DipnotBavurusu"/>
          <w:rFonts w:ascii="Times New Roman" w:hAnsi="Times New Roman" w:cs="Times New Roman"/>
        </w:rPr>
        <w:footnoteReference w:id="610"/>
      </w:r>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because</w:t>
      </w:r>
      <w:proofErr w:type="spellEnd"/>
      <w:r w:rsidR="000631FA" w:rsidRPr="00705170">
        <w:rPr>
          <w:rFonts w:ascii="Times New Roman" w:hAnsi="Times New Roman" w:cs="Times New Roman"/>
        </w:rPr>
        <w:t xml:space="preserve"> a </w:t>
      </w:r>
      <w:proofErr w:type="spellStart"/>
      <w:r w:rsidR="000631FA" w:rsidRPr="00705170">
        <w:rPr>
          <w:rFonts w:ascii="Times New Roman" w:hAnsi="Times New Roman" w:cs="Times New Roman"/>
        </w:rPr>
        <w:t>situation</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giving</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rise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to</w:t>
      </w:r>
      <w:proofErr w:type="spellEnd"/>
      <w:r w:rsidR="000631FA" w:rsidRPr="00705170">
        <w:rPr>
          <w:rFonts w:ascii="Times New Roman" w:hAnsi="Times New Roman" w:cs="Times New Roman"/>
        </w:rPr>
        <w:t xml:space="preserve"> an </w:t>
      </w:r>
      <w:proofErr w:type="spellStart"/>
      <w:r w:rsidR="000631FA" w:rsidRPr="00705170">
        <w:rPr>
          <w:rFonts w:ascii="Times New Roman" w:hAnsi="Times New Roman" w:cs="Times New Roman"/>
        </w:rPr>
        <w:t>oppression</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claim</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often</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does</w:t>
      </w:r>
      <w:proofErr w:type="spellEnd"/>
      <w:r w:rsidR="000631FA" w:rsidRPr="00705170">
        <w:rPr>
          <w:rFonts w:ascii="Times New Roman" w:hAnsi="Times New Roman" w:cs="Times New Roman"/>
        </w:rPr>
        <w:t xml:space="preserve"> not </w:t>
      </w:r>
      <w:proofErr w:type="spellStart"/>
      <w:r w:rsidR="000631FA" w:rsidRPr="00705170">
        <w:rPr>
          <w:rFonts w:ascii="Times New Roman" w:hAnsi="Times New Roman" w:cs="Times New Roman"/>
        </w:rPr>
        <w:t>include</w:t>
      </w:r>
      <w:proofErr w:type="spellEnd"/>
      <w:r w:rsidR="000631FA" w:rsidRPr="00705170">
        <w:rPr>
          <w:rFonts w:ascii="Times New Roman" w:hAnsi="Times New Roman" w:cs="Times New Roman"/>
        </w:rPr>
        <w:t xml:space="preserve"> a </w:t>
      </w:r>
      <w:proofErr w:type="spellStart"/>
      <w:r w:rsidR="000631FA" w:rsidRPr="00705170">
        <w:rPr>
          <w:rFonts w:ascii="Times New Roman" w:hAnsi="Times New Roman" w:cs="Times New Roman"/>
        </w:rPr>
        <w:t>promise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to</w:t>
      </w:r>
      <w:proofErr w:type="spellEnd"/>
      <w:r w:rsidR="000631FA" w:rsidRPr="00705170">
        <w:rPr>
          <w:rFonts w:ascii="Times New Roman" w:hAnsi="Times New Roman" w:cs="Times New Roman"/>
        </w:rPr>
        <w:t xml:space="preserve"> be </w:t>
      </w:r>
      <w:proofErr w:type="spellStart"/>
      <w:r w:rsidR="000631FA" w:rsidRPr="00705170">
        <w:rPr>
          <w:rFonts w:ascii="Times New Roman" w:hAnsi="Times New Roman" w:cs="Times New Roman"/>
        </w:rPr>
        <w:t>enforced</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and</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duty</w:t>
      </w:r>
      <w:proofErr w:type="spellEnd"/>
      <w:r w:rsidR="000631FA" w:rsidRPr="00705170">
        <w:rPr>
          <w:rFonts w:ascii="Times New Roman" w:hAnsi="Times New Roman" w:cs="Times New Roman"/>
        </w:rPr>
        <w:t xml:space="preserve"> is </w:t>
      </w:r>
      <w:proofErr w:type="spellStart"/>
      <w:r w:rsidR="000631FA" w:rsidRPr="00705170">
        <w:rPr>
          <w:rFonts w:ascii="Times New Roman" w:hAnsi="Times New Roman" w:cs="Times New Roman"/>
        </w:rPr>
        <w:t>one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imposed</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by</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law</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because</w:t>
      </w:r>
      <w:proofErr w:type="spellEnd"/>
      <w:r w:rsidR="000631FA" w:rsidRPr="00705170">
        <w:rPr>
          <w:rFonts w:ascii="Times New Roman" w:hAnsi="Times New Roman" w:cs="Times New Roman"/>
        </w:rPr>
        <w:t xml:space="preserve"> of </w:t>
      </w:r>
      <w:proofErr w:type="spellStart"/>
      <w:r w:rsidR="000631FA" w:rsidRPr="00705170">
        <w:rPr>
          <w:rFonts w:ascii="Times New Roman" w:hAnsi="Times New Roman" w:cs="Times New Roman"/>
        </w:rPr>
        <w:t>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nature</w:t>
      </w:r>
      <w:proofErr w:type="spellEnd"/>
      <w:r w:rsidR="000631FA" w:rsidRPr="00705170">
        <w:rPr>
          <w:rFonts w:ascii="Times New Roman" w:hAnsi="Times New Roman" w:cs="Times New Roman"/>
        </w:rPr>
        <w:t xml:space="preserve"> of </w:t>
      </w:r>
      <w:proofErr w:type="spellStart"/>
      <w:r w:rsidR="000631FA" w:rsidRPr="00705170">
        <w:rPr>
          <w:rFonts w:ascii="Times New Roman" w:hAnsi="Times New Roman" w:cs="Times New Roman"/>
        </w:rPr>
        <w:t>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relationship</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and</w:t>
      </w:r>
      <w:proofErr w:type="spellEnd"/>
      <w:r w:rsidR="000631FA" w:rsidRPr="00705170">
        <w:rPr>
          <w:rFonts w:ascii="Times New Roman" w:hAnsi="Times New Roman" w:cs="Times New Roman"/>
        </w:rPr>
        <w:t xml:space="preserve"> not </w:t>
      </w:r>
      <w:proofErr w:type="spellStart"/>
      <w:r w:rsidR="000631FA" w:rsidRPr="00705170">
        <w:rPr>
          <w:rFonts w:ascii="Times New Roman" w:hAnsi="Times New Roman" w:cs="Times New Roman"/>
        </w:rPr>
        <w:t>because</w:t>
      </w:r>
      <w:proofErr w:type="spellEnd"/>
      <w:r w:rsidR="000631FA" w:rsidRPr="00705170">
        <w:rPr>
          <w:rFonts w:ascii="Times New Roman" w:hAnsi="Times New Roman" w:cs="Times New Roman"/>
        </w:rPr>
        <w:t xml:space="preserve"> of an </w:t>
      </w:r>
      <w:proofErr w:type="spellStart"/>
      <w:r w:rsidR="000631FA" w:rsidRPr="00705170">
        <w:rPr>
          <w:rFonts w:ascii="Times New Roman" w:hAnsi="Times New Roman" w:cs="Times New Roman"/>
        </w:rPr>
        <w:t>agreement</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between</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parties</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and</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the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claim</w:t>
      </w:r>
      <w:proofErr w:type="spellEnd"/>
      <w:r w:rsidR="000631FA" w:rsidRPr="00705170">
        <w:rPr>
          <w:rFonts w:ascii="Times New Roman" w:hAnsi="Times New Roman" w:cs="Times New Roman"/>
        </w:rPr>
        <w:t xml:space="preserve"> is </w:t>
      </w:r>
      <w:proofErr w:type="spellStart"/>
      <w:r w:rsidR="000631FA" w:rsidRPr="00705170">
        <w:rPr>
          <w:rFonts w:ascii="Times New Roman" w:hAnsi="Times New Roman" w:cs="Times New Roman"/>
        </w:rPr>
        <w:t>based</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upon</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intentional</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conduct</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designed</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to</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inflict</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injury</w:t>
      </w:r>
      <w:proofErr w:type="spellEnd"/>
      <w:r w:rsidR="000631FA" w:rsidRPr="00705170">
        <w:rPr>
          <w:rFonts w:ascii="Times New Roman" w:hAnsi="Times New Roman" w:cs="Times New Roman"/>
        </w:rPr>
        <w:t xml:space="preserve"> on </w:t>
      </w:r>
      <w:proofErr w:type="spellStart"/>
      <w:r w:rsidR="000631FA" w:rsidRPr="00705170">
        <w:rPr>
          <w:rFonts w:ascii="Times New Roman" w:hAnsi="Times New Roman" w:cs="Times New Roman"/>
        </w:rPr>
        <w:t>other</w:t>
      </w:r>
      <w:proofErr w:type="spellEnd"/>
      <w:r w:rsidR="000631FA" w:rsidRPr="00705170">
        <w:rPr>
          <w:rFonts w:ascii="Times New Roman" w:hAnsi="Times New Roman" w:cs="Times New Roman"/>
        </w:rPr>
        <w:t>”</w:t>
      </w:r>
      <w:r w:rsidR="000631FA" w:rsidRPr="00705170">
        <w:rPr>
          <w:rStyle w:val="DipnotBavurusu"/>
          <w:rFonts w:ascii="Times New Roman" w:hAnsi="Times New Roman" w:cs="Times New Roman"/>
        </w:rPr>
        <w:footnoteReference w:id="611"/>
      </w:r>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Corollary</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this</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outcome</w:t>
      </w:r>
      <w:proofErr w:type="spellEnd"/>
      <w:r w:rsidR="004434AB" w:rsidRPr="00705170">
        <w:rPr>
          <w:rFonts w:ascii="Times New Roman" w:hAnsi="Times New Roman" w:cs="Times New Roman"/>
        </w:rPr>
        <w:t xml:space="preserve"> </w:t>
      </w:r>
      <w:proofErr w:type="spellStart"/>
      <w:r w:rsidR="004434AB" w:rsidRPr="00705170">
        <w:rPr>
          <w:rFonts w:ascii="Times New Roman" w:hAnsi="Times New Roman" w:cs="Times New Roman"/>
        </w:rPr>
        <w:t>stands</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even</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if</w:t>
      </w:r>
      <w:proofErr w:type="spellEnd"/>
      <w:r w:rsidR="000631FA" w:rsidRPr="00705170">
        <w:rPr>
          <w:rFonts w:ascii="Times New Roman" w:hAnsi="Times New Roman" w:cs="Times New Roman"/>
        </w:rPr>
        <w:t xml:space="preserve"> it </w:t>
      </w:r>
      <w:proofErr w:type="spellStart"/>
      <w:r w:rsidR="000631FA" w:rsidRPr="00705170">
        <w:rPr>
          <w:rFonts w:ascii="Times New Roman" w:hAnsi="Times New Roman" w:cs="Times New Roman"/>
        </w:rPr>
        <w:t>might</w:t>
      </w:r>
      <w:proofErr w:type="spellEnd"/>
      <w:r w:rsidR="000631FA" w:rsidRPr="00705170">
        <w:rPr>
          <w:rFonts w:ascii="Times New Roman" w:hAnsi="Times New Roman" w:cs="Times New Roman"/>
        </w:rPr>
        <w:t xml:space="preserve"> be </w:t>
      </w:r>
      <w:proofErr w:type="spellStart"/>
      <w:r w:rsidR="000631FA" w:rsidRPr="00705170">
        <w:rPr>
          <w:rFonts w:ascii="Times New Roman" w:hAnsi="Times New Roman" w:cs="Times New Roman"/>
        </w:rPr>
        <w:t>said</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that</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contractual</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agreement</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gives</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rise</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to</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that</w:t>
      </w:r>
      <w:proofErr w:type="spellEnd"/>
      <w:r w:rsidR="000631FA" w:rsidRPr="00705170">
        <w:rPr>
          <w:rFonts w:ascii="Times New Roman" w:hAnsi="Times New Roman" w:cs="Times New Roman"/>
        </w:rPr>
        <w:t xml:space="preserve"> </w:t>
      </w:r>
      <w:proofErr w:type="spellStart"/>
      <w:r w:rsidR="000631FA" w:rsidRPr="00705170">
        <w:rPr>
          <w:rFonts w:ascii="Times New Roman" w:hAnsi="Times New Roman" w:cs="Times New Roman"/>
        </w:rPr>
        <w:t>relationship</w:t>
      </w:r>
      <w:proofErr w:type="spellEnd"/>
      <w:r w:rsidR="000631FA" w:rsidRPr="00705170">
        <w:rPr>
          <w:rFonts w:ascii="Times New Roman" w:hAnsi="Times New Roman" w:cs="Times New Roman"/>
        </w:rPr>
        <w:t>”</w:t>
      </w:r>
      <w:r w:rsidR="000631FA" w:rsidRPr="00705170">
        <w:rPr>
          <w:rStyle w:val="DipnotBavurusu"/>
          <w:rFonts w:ascii="Times New Roman" w:hAnsi="Times New Roman" w:cs="Times New Roman"/>
        </w:rPr>
        <w:footnoteReference w:id="612"/>
      </w:r>
      <w:r w:rsidR="000631FA" w:rsidRPr="00705170">
        <w:rPr>
          <w:rFonts w:ascii="Times New Roman" w:hAnsi="Times New Roman" w:cs="Times New Roman"/>
        </w:rPr>
        <w:t>.</w:t>
      </w:r>
      <w:r w:rsidR="003024FF" w:rsidRPr="00705170">
        <w:rPr>
          <w:rFonts w:ascii="Times New Roman" w:hAnsi="Times New Roman" w:cs="Times New Roman"/>
        </w:rPr>
        <w:t xml:space="preserve"> </w:t>
      </w:r>
      <w:proofErr w:type="spellStart"/>
      <w:r w:rsidR="003024FF" w:rsidRPr="00705170">
        <w:rPr>
          <w:rFonts w:ascii="Times New Roman" w:hAnsi="Times New Roman" w:cs="Times New Roman"/>
        </w:rPr>
        <w:t>Moreover</w:t>
      </w:r>
      <w:proofErr w:type="spellEnd"/>
      <w:r w:rsidR="003024FF" w:rsidRPr="00705170">
        <w:rPr>
          <w:rFonts w:ascii="Times New Roman" w:hAnsi="Times New Roman" w:cs="Times New Roman"/>
        </w:rPr>
        <w:t xml:space="preserve">, </w:t>
      </w:r>
      <w:r w:rsidR="004A5A81" w:rsidRPr="00705170">
        <w:rPr>
          <w:rFonts w:ascii="Times New Roman" w:hAnsi="Times New Roman" w:cs="Times New Roman"/>
        </w:rPr>
        <w:t xml:space="preserve">holding </w:t>
      </w:r>
      <w:proofErr w:type="spellStart"/>
      <w:r w:rsidR="004A5A81" w:rsidRPr="00705170">
        <w:rPr>
          <w:rFonts w:ascii="Times New Roman" w:hAnsi="Times New Roman" w:cs="Times New Roman"/>
        </w:rPr>
        <w:t>the</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view</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that</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the</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relationship</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between</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the</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corporation</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and</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the</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shareholders</w:t>
      </w:r>
      <w:proofErr w:type="spellEnd"/>
      <w:r w:rsidR="004A5A81" w:rsidRPr="00705170">
        <w:rPr>
          <w:rFonts w:ascii="Times New Roman" w:hAnsi="Times New Roman" w:cs="Times New Roman"/>
        </w:rPr>
        <w:t xml:space="preserve"> is </w:t>
      </w:r>
      <w:proofErr w:type="spellStart"/>
      <w:r w:rsidR="004A5A81" w:rsidRPr="00705170">
        <w:rPr>
          <w:rFonts w:ascii="Times New Roman" w:hAnsi="Times New Roman" w:cs="Times New Roman"/>
        </w:rPr>
        <w:t>contractual</w:t>
      </w:r>
      <w:proofErr w:type="spellEnd"/>
      <w:r w:rsidR="004A5A81" w:rsidRPr="00705170">
        <w:rPr>
          <w:rFonts w:ascii="Times New Roman" w:hAnsi="Times New Roman" w:cs="Times New Roman"/>
        </w:rPr>
        <w:t xml:space="preserve">; it can be </w:t>
      </w:r>
      <w:proofErr w:type="spellStart"/>
      <w:r w:rsidR="004A5A81" w:rsidRPr="00705170">
        <w:rPr>
          <w:rFonts w:ascii="Times New Roman" w:hAnsi="Times New Roman" w:cs="Times New Roman"/>
        </w:rPr>
        <w:t>said</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that</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influencing</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shareholder’s</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interference</w:t>
      </w:r>
      <w:proofErr w:type="spellEnd"/>
      <w:r w:rsidR="004A5A81" w:rsidRPr="00705170">
        <w:rPr>
          <w:rFonts w:ascii="Times New Roman" w:hAnsi="Times New Roman" w:cs="Times New Roman"/>
        </w:rPr>
        <w:t xml:space="preserve"> in </w:t>
      </w:r>
      <w:proofErr w:type="spellStart"/>
      <w:r w:rsidR="004A5A81" w:rsidRPr="00705170">
        <w:rPr>
          <w:rFonts w:ascii="Times New Roman" w:hAnsi="Times New Roman" w:cs="Times New Roman"/>
        </w:rPr>
        <w:t>the</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minority</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shareholder</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corporation</w:t>
      </w:r>
      <w:proofErr w:type="spellEnd"/>
      <w:r w:rsidR="004A5A81" w:rsidRPr="00705170">
        <w:rPr>
          <w:rFonts w:ascii="Times New Roman" w:hAnsi="Times New Roman" w:cs="Times New Roman"/>
        </w:rPr>
        <w:t xml:space="preserve"> </w:t>
      </w:r>
      <w:proofErr w:type="spellStart"/>
      <w:r w:rsidR="004A5A81" w:rsidRPr="00705170">
        <w:rPr>
          <w:rFonts w:ascii="Times New Roman" w:hAnsi="Times New Roman" w:cs="Times New Roman"/>
        </w:rPr>
        <w:t>relationship</w:t>
      </w:r>
      <w:proofErr w:type="spellEnd"/>
      <w:r w:rsidR="009A376D" w:rsidRPr="00705170">
        <w:rPr>
          <w:rFonts w:ascii="Times New Roman" w:hAnsi="Times New Roman" w:cs="Times New Roman"/>
        </w:rPr>
        <w:t>,</w:t>
      </w:r>
      <w:r w:rsidR="004A5A81" w:rsidRPr="00705170">
        <w:rPr>
          <w:rFonts w:ascii="Times New Roman" w:hAnsi="Times New Roman" w:cs="Times New Roman"/>
        </w:rPr>
        <w:t xml:space="preserve"> </w:t>
      </w:r>
      <w:proofErr w:type="spellStart"/>
      <w:r w:rsidR="009A376D" w:rsidRPr="00705170">
        <w:rPr>
          <w:rFonts w:ascii="Times New Roman" w:hAnsi="Times New Roman" w:cs="Times New Roman"/>
        </w:rPr>
        <w:t>who</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will</w:t>
      </w:r>
      <w:proofErr w:type="spellEnd"/>
      <w:r w:rsidR="009A376D" w:rsidRPr="00705170">
        <w:rPr>
          <w:rFonts w:ascii="Times New Roman" w:hAnsi="Times New Roman" w:cs="Times New Roman"/>
        </w:rPr>
        <w:t xml:space="preserve"> be</w:t>
      </w:r>
      <w:r w:rsidR="00EF48A1" w:rsidRPr="00705170">
        <w:rPr>
          <w:rFonts w:ascii="Times New Roman" w:hAnsi="Times New Roman" w:cs="Times New Roman"/>
        </w:rPr>
        <w:t xml:space="preserve"> </w:t>
      </w:r>
      <w:proofErr w:type="spellStart"/>
      <w:r w:rsidR="00EF48A1" w:rsidRPr="00705170">
        <w:rPr>
          <w:rFonts w:ascii="Times New Roman" w:hAnsi="Times New Roman" w:cs="Times New Roman"/>
        </w:rPr>
        <w:t>regarded</w:t>
      </w:r>
      <w:proofErr w:type="spellEnd"/>
      <w:r w:rsidR="00EF48A1" w:rsidRPr="00705170">
        <w:rPr>
          <w:rFonts w:ascii="Times New Roman" w:hAnsi="Times New Roman" w:cs="Times New Roman"/>
        </w:rPr>
        <w:t xml:space="preserve"> as</w:t>
      </w:r>
      <w:r w:rsidR="009A376D" w:rsidRPr="00705170">
        <w:rPr>
          <w:rFonts w:ascii="Times New Roman" w:hAnsi="Times New Roman" w:cs="Times New Roman"/>
        </w:rPr>
        <w:t xml:space="preserve"> a </w:t>
      </w:r>
      <w:proofErr w:type="spellStart"/>
      <w:r w:rsidR="009A376D" w:rsidRPr="00705170">
        <w:rPr>
          <w:rFonts w:ascii="Times New Roman" w:hAnsi="Times New Roman" w:cs="Times New Roman"/>
        </w:rPr>
        <w:t>third</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party</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for</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that</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specific</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relationship</w:t>
      </w:r>
      <w:proofErr w:type="spellEnd"/>
      <w:r w:rsidR="009A376D" w:rsidRPr="00705170">
        <w:rPr>
          <w:rFonts w:ascii="Times New Roman" w:hAnsi="Times New Roman" w:cs="Times New Roman"/>
        </w:rPr>
        <w:t xml:space="preserve">, can be </w:t>
      </w:r>
      <w:proofErr w:type="spellStart"/>
      <w:r w:rsidR="009A376D" w:rsidRPr="00705170">
        <w:rPr>
          <w:rFonts w:ascii="Times New Roman" w:hAnsi="Times New Roman" w:cs="Times New Roman"/>
        </w:rPr>
        <w:t>subject</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to</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the</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tort</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claim</w:t>
      </w:r>
      <w:proofErr w:type="spellEnd"/>
      <w:r w:rsidR="009A376D" w:rsidRPr="00705170">
        <w:rPr>
          <w:rFonts w:ascii="Times New Roman" w:hAnsi="Times New Roman" w:cs="Times New Roman"/>
        </w:rPr>
        <w:t xml:space="preserve"> of “</w:t>
      </w:r>
      <w:proofErr w:type="spellStart"/>
      <w:r w:rsidR="009A376D" w:rsidRPr="00705170">
        <w:rPr>
          <w:rFonts w:ascii="Times New Roman" w:hAnsi="Times New Roman" w:cs="Times New Roman"/>
        </w:rPr>
        <w:t>interference</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with</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contractual</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rights</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when</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the</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influencing</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shareholder</w:t>
      </w:r>
      <w:proofErr w:type="spellEnd"/>
      <w:r w:rsidR="00EF48A1" w:rsidRPr="00705170">
        <w:rPr>
          <w:rFonts w:ascii="Times New Roman" w:hAnsi="Times New Roman" w:cs="Times New Roman"/>
        </w:rPr>
        <w:t xml:space="preserve"> is</w:t>
      </w:r>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conspiring</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the</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lastRenderedPageBreak/>
        <w:t>corporation</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breach</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its</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contract</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with</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the</w:t>
      </w:r>
      <w:proofErr w:type="spellEnd"/>
      <w:r w:rsidR="009A376D" w:rsidRPr="00705170">
        <w:rPr>
          <w:rFonts w:ascii="Times New Roman" w:hAnsi="Times New Roman" w:cs="Times New Roman"/>
        </w:rPr>
        <w:t xml:space="preserve"> </w:t>
      </w:r>
      <w:proofErr w:type="spellStart"/>
      <w:r w:rsidR="009A376D" w:rsidRPr="00705170">
        <w:rPr>
          <w:rFonts w:ascii="Times New Roman" w:hAnsi="Times New Roman" w:cs="Times New Roman"/>
        </w:rPr>
        <w:t>minority</w:t>
      </w:r>
      <w:proofErr w:type="spellEnd"/>
      <w:r w:rsidR="009A376D" w:rsidRPr="00705170">
        <w:rPr>
          <w:rFonts w:ascii="Times New Roman" w:hAnsi="Times New Roman" w:cs="Times New Roman"/>
        </w:rPr>
        <w:t xml:space="preserve"> </w:t>
      </w:r>
      <w:proofErr w:type="spellStart"/>
      <w:r w:rsidR="00EF48A1" w:rsidRPr="00705170">
        <w:rPr>
          <w:rFonts w:ascii="Times New Roman" w:hAnsi="Times New Roman" w:cs="Times New Roman"/>
        </w:rPr>
        <w:t>by</w:t>
      </w:r>
      <w:proofErr w:type="spellEnd"/>
      <w:r w:rsidR="00EF48A1" w:rsidRPr="00705170">
        <w:rPr>
          <w:rFonts w:ascii="Times New Roman" w:hAnsi="Times New Roman" w:cs="Times New Roman"/>
        </w:rPr>
        <w:t xml:space="preserve"> </w:t>
      </w:r>
      <w:proofErr w:type="spellStart"/>
      <w:r w:rsidR="00EF48A1" w:rsidRPr="00705170">
        <w:rPr>
          <w:rFonts w:ascii="Times New Roman" w:hAnsi="Times New Roman" w:cs="Times New Roman"/>
        </w:rPr>
        <w:t>oppressing</w:t>
      </w:r>
      <w:proofErr w:type="spellEnd"/>
      <w:r w:rsidR="00EF48A1" w:rsidRPr="00705170">
        <w:rPr>
          <w:rFonts w:ascii="Times New Roman" w:hAnsi="Times New Roman" w:cs="Times New Roman"/>
        </w:rPr>
        <w:t xml:space="preserve"> </w:t>
      </w:r>
      <w:proofErr w:type="spellStart"/>
      <w:r w:rsidR="00EF48A1" w:rsidRPr="00705170">
        <w:rPr>
          <w:rFonts w:ascii="Times New Roman" w:hAnsi="Times New Roman" w:cs="Times New Roman"/>
        </w:rPr>
        <w:t>them</w:t>
      </w:r>
      <w:proofErr w:type="spellEnd"/>
      <w:r w:rsidR="009A376D" w:rsidRPr="00705170">
        <w:rPr>
          <w:rStyle w:val="DipnotBavurusu"/>
          <w:rFonts w:ascii="Times New Roman" w:hAnsi="Times New Roman" w:cs="Times New Roman"/>
        </w:rPr>
        <w:footnoteReference w:id="613"/>
      </w:r>
      <w:r w:rsidR="009A376D" w:rsidRPr="00705170">
        <w:rPr>
          <w:rFonts w:ascii="Times New Roman" w:hAnsi="Times New Roman" w:cs="Times New Roman"/>
        </w:rPr>
        <w:t xml:space="preserve">. </w:t>
      </w:r>
      <w:proofErr w:type="spellStart"/>
      <w:r w:rsidR="00385A8B" w:rsidRPr="00705170">
        <w:rPr>
          <w:rFonts w:ascii="Times New Roman" w:hAnsi="Times New Roman" w:cs="Times New Roman"/>
        </w:rPr>
        <w:t>Thus</w:t>
      </w:r>
      <w:proofErr w:type="spellEnd"/>
      <w:r w:rsidR="00385A8B" w:rsidRPr="00705170">
        <w:rPr>
          <w:rFonts w:ascii="Times New Roman" w:hAnsi="Times New Roman" w:cs="Times New Roman"/>
        </w:rPr>
        <w:t xml:space="preserve">, it is </w:t>
      </w:r>
      <w:proofErr w:type="spellStart"/>
      <w:r w:rsidR="00385A8B" w:rsidRPr="00705170">
        <w:rPr>
          <w:rFonts w:ascii="Times New Roman" w:hAnsi="Times New Roman" w:cs="Times New Roman"/>
        </w:rPr>
        <w:t>no</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surprise</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that</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some</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jurisdictions</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such</w:t>
      </w:r>
      <w:proofErr w:type="spellEnd"/>
      <w:r w:rsidR="00385A8B" w:rsidRPr="00705170">
        <w:rPr>
          <w:rFonts w:ascii="Times New Roman" w:hAnsi="Times New Roman" w:cs="Times New Roman"/>
        </w:rPr>
        <w:t xml:space="preserve"> as </w:t>
      </w:r>
      <w:proofErr w:type="spellStart"/>
      <w:r w:rsidR="00385A8B" w:rsidRPr="00705170">
        <w:rPr>
          <w:rFonts w:ascii="Times New Roman" w:hAnsi="Times New Roman" w:cs="Times New Roman"/>
        </w:rPr>
        <w:t>Mississippi</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directly</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apply</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the</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elements</w:t>
      </w:r>
      <w:proofErr w:type="spellEnd"/>
      <w:r w:rsidR="00385A8B" w:rsidRPr="00705170">
        <w:rPr>
          <w:rFonts w:ascii="Times New Roman" w:hAnsi="Times New Roman" w:cs="Times New Roman"/>
        </w:rPr>
        <w:t xml:space="preserve"> of </w:t>
      </w:r>
      <w:proofErr w:type="spellStart"/>
      <w:r w:rsidR="00385A8B" w:rsidRPr="00705170">
        <w:rPr>
          <w:rFonts w:ascii="Times New Roman" w:hAnsi="Times New Roman" w:cs="Times New Roman"/>
        </w:rPr>
        <w:t>the</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intentional</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tort</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to</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this</w:t>
      </w:r>
      <w:proofErr w:type="spellEnd"/>
      <w:r w:rsidR="00385A8B" w:rsidRPr="00705170">
        <w:rPr>
          <w:rFonts w:ascii="Times New Roman" w:hAnsi="Times New Roman" w:cs="Times New Roman"/>
        </w:rPr>
        <w:t xml:space="preserve"> </w:t>
      </w:r>
      <w:proofErr w:type="spellStart"/>
      <w:r w:rsidR="00385A8B" w:rsidRPr="00705170">
        <w:rPr>
          <w:rFonts w:ascii="Times New Roman" w:hAnsi="Times New Roman" w:cs="Times New Roman"/>
        </w:rPr>
        <w:t>cause</w:t>
      </w:r>
      <w:proofErr w:type="spellEnd"/>
      <w:r w:rsidR="00385A8B" w:rsidRPr="00705170">
        <w:rPr>
          <w:rFonts w:ascii="Times New Roman" w:hAnsi="Times New Roman" w:cs="Times New Roman"/>
        </w:rPr>
        <w:t xml:space="preserve"> of </w:t>
      </w:r>
      <w:proofErr w:type="spellStart"/>
      <w:r w:rsidR="00385A8B" w:rsidRPr="00705170">
        <w:rPr>
          <w:rFonts w:ascii="Times New Roman" w:hAnsi="Times New Roman" w:cs="Times New Roman"/>
        </w:rPr>
        <w:t>action</w:t>
      </w:r>
      <w:proofErr w:type="spellEnd"/>
      <w:r w:rsidR="00385A8B" w:rsidRPr="00705170">
        <w:rPr>
          <w:rStyle w:val="DipnotBavurusu"/>
          <w:rFonts w:ascii="Times New Roman" w:hAnsi="Times New Roman" w:cs="Times New Roman"/>
        </w:rPr>
        <w:footnoteReference w:id="614"/>
      </w:r>
      <w:r w:rsidR="00385A8B" w:rsidRPr="00705170">
        <w:rPr>
          <w:rFonts w:ascii="Times New Roman" w:hAnsi="Times New Roman" w:cs="Times New Roman"/>
        </w:rPr>
        <w:t xml:space="preserve">. </w:t>
      </w:r>
    </w:p>
    <w:p w14:paraId="01AF9C33" w14:textId="227347F4" w:rsidR="005279EB" w:rsidRPr="00705170" w:rsidRDefault="00C01441" w:rsidP="005279EB">
      <w:pPr>
        <w:spacing w:after="240" w:line="480" w:lineRule="auto"/>
        <w:ind w:firstLine="708"/>
        <w:rPr>
          <w:rFonts w:ascii="Times New Roman" w:hAnsi="Times New Roman" w:cs="Times New Roman"/>
          <w:b/>
          <w:color w:val="000000" w:themeColor="text1"/>
        </w:rPr>
      </w:pPr>
      <w:r>
        <w:rPr>
          <w:rFonts w:ascii="Times New Roman" w:hAnsi="Times New Roman" w:cs="Times New Roman"/>
          <w:b/>
          <w:color w:val="000000" w:themeColor="text1"/>
        </w:rPr>
        <w:t>4</w:t>
      </w:r>
      <w:r w:rsidR="005E4903" w:rsidRPr="00705170">
        <w:rPr>
          <w:rFonts w:ascii="Times New Roman" w:hAnsi="Times New Roman" w:cs="Times New Roman"/>
          <w:b/>
          <w:color w:val="000000" w:themeColor="text1"/>
        </w:rPr>
        <w:t xml:space="preserve">.2.3. Delaware </w:t>
      </w:r>
      <w:proofErr w:type="spellStart"/>
      <w:r w:rsidR="005E4903" w:rsidRPr="00705170">
        <w:rPr>
          <w:rFonts w:ascii="Times New Roman" w:hAnsi="Times New Roman" w:cs="Times New Roman"/>
          <w:b/>
          <w:color w:val="000000" w:themeColor="text1"/>
        </w:rPr>
        <w:t>Law</w:t>
      </w:r>
      <w:proofErr w:type="spellEnd"/>
    </w:p>
    <w:p w14:paraId="7D98F317" w14:textId="49BC2B93" w:rsidR="00C66929" w:rsidRPr="00705170" w:rsidRDefault="00C66929" w:rsidP="00C66929">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Although</w:t>
      </w:r>
      <w:proofErr w:type="spellEnd"/>
      <w:r w:rsidRPr="00705170">
        <w:rPr>
          <w:rFonts w:ascii="Times New Roman" w:hAnsi="Times New Roman" w:cs="Times New Roman"/>
        </w:rPr>
        <w:t xml:space="preserve"> Delaware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general </w:t>
      </w:r>
      <w:proofErr w:type="spellStart"/>
      <w:r w:rsidRPr="00705170">
        <w:rPr>
          <w:rFonts w:ascii="Times New Roman" w:hAnsi="Times New Roman" w:cs="Times New Roman"/>
        </w:rPr>
        <w:t>involutary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Style w:val="DipnotBavurusu"/>
          <w:rFonts w:ascii="Times New Roman" w:hAnsi="Times New Roman" w:cs="Times New Roman"/>
        </w:rPr>
        <w:footnoteReference w:id="615"/>
      </w:r>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sections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similarities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proceedings</w:t>
      </w:r>
      <w:proofErr w:type="spellEnd"/>
      <w:r w:rsidR="00CF730A" w:rsidRPr="00705170">
        <w:rPr>
          <w:rFonts w:ascii="Times New Roman" w:hAnsi="Times New Roman" w:cs="Times New Roman"/>
        </w:rPr>
        <w:t xml:space="preserve"> of </w:t>
      </w:r>
      <w:proofErr w:type="spellStart"/>
      <w:r w:rsidR="00CF730A" w:rsidRPr="00705170">
        <w:rPr>
          <w:rFonts w:ascii="Times New Roman" w:hAnsi="Times New Roman" w:cs="Times New Roman"/>
        </w:rPr>
        <w:t>other</w:t>
      </w:r>
      <w:proofErr w:type="spellEnd"/>
      <w:r w:rsidR="00CF730A" w:rsidRPr="00705170">
        <w:rPr>
          <w:rFonts w:ascii="Times New Roman" w:hAnsi="Times New Roman" w:cs="Times New Roman"/>
        </w:rPr>
        <w:t xml:space="preserve"> U.S. </w:t>
      </w:r>
      <w:proofErr w:type="spellStart"/>
      <w:r w:rsidR="00CF730A" w:rsidRPr="00705170">
        <w:rPr>
          <w:rFonts w:ascii="Times New Roman" w:hAnsi="Times New Roman" w:cs="Times New Roman"/>
        </w:rPr>
        <w:t>states</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under</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shareholder</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oppression</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law</w:t>
      </w:r>
      <w:proofErr w:type="spellEnd"/>
      <w:r w:rsidR="00CF730A" w:rsidRPr="00705170">
        <w:rPr>
          <w:rFonts w:ascii="Times New Roman" w:hAnsi="Times New Roman" w:cs="Times New Roman"/>
        </w:rPr>
        <w:t xml:space="preserve">. </w:t>
      </w:r>
      <w:proofErr w:type="spellStart"/>
      <w:r w:rsidR="00CF730A" w:rsidRPr="00705170">
        <w:rPr>
          <w:rFonts w:ascii="Times New Roman" w:hAnsi="Times New Roman" w:cs="Times New Roman"/>
        </w:rPr>
        <w:t>For</w:t>
      </w:r>
      <w:proofErr w:type="spellEnd"/>
      <w:r w:rsidR="00CF730A" w:rsidRPr="00705170">
        <w:rPr>
          <w:rFonts w:ascii="Times New Roman" w:hAnsi="Times New Roman" w:cs="Times New Roman"/>
        </w:rPr>
        <w:t xml:space="preserve"> </w:t>
      </w:r>
      <w:proofErr w:type="spellStart"/>
      <w:r w:rsidR="00CF730A" w:rsidRPr="00705170">
        <w:rPr>
          <w:rFonts w:ascii="Times New Roman" w:hAnsi="Times New Roman" w:cs="Times New Roman"/>
        </w:rPr>
        <w:t>example</w:t>
      </w:r>
      <w:proofErr w:type="spellEnd"/>
      <w:r w:rsidR="00CF730A" w:rsidRPr="00705170">
        <w:rPr>
          <w:rFonts w:ascii="Times New Roman" w:hAnsi="Times New Roman" w:cs="Times New Roman"/>
        </w:rPr>
        <w:t xml:space="preserve">, </w:t>
      </w:r>
      <w:proofErr w:type="spellStart"/>
      <w:r w:rsidR="00CF730A" w:rsidRPr="00705170">
        <w:rPr>
          <w:rFonts w:ascii="Times New Roman" w:hAnsi="Times New Roman" w:cs="Times New Roman"/>
        </w:rPr>
        <w:t>Sec</w:t>
      </w:r>
      <w:proofErr w:type="spellEnd"/>
      <w:r w:rsidR="00CF730A" w:rsidRPr="00705170">
        <w:rPr>
          <w:rFonts w:ascii="Times New Roman" w:hAnsi="Times New Roman" w:cs="Times New Roman"/>
        </w:rPr>
        <w:t xml:space="preserve">. </w:t>
      </w:r>
      <w:r w:rsidR="00D84985" w:rsidRPr="00705170">
        <w:rPr>
          <w:rFonts w:ascii="Times New Roman" w:hAnsi="Times New Roman" w:cs="Times New Roman"/>
        </w:rPr>
        <w:t>226</w:t>
      </w:r>
      <w:r w:rsidR="00CF730A" w:rsidRPr="00705170">
        <w:rPr>
          <w:rFonts w:ascii="Times New Roman" w:hAnsi="Times New Roman" w:cs="Times New Roman"/>
        </w:rPr>
        <w:t xml:space="preserve"> of </w:t>
      </w:r>
      <w:proofErr w:type="spellStart"/>
      <w:r w:rsidR="00CF730A" w:rsidRPr="00705170">
        <w:rPr>
          <w:rFonts w:ascii="Times New Roman" w:hAnsi="Times New Roman" w:cs="Times New Roman"/>
        </w:rPr>
        <w:t>the</w:t>
      </w:r>
      <w:proofErr w:type="spellEnd"/>
      <w:r w:rsidR="00CF730A" w:rsidRPr="00705170">
        <w:rPr>
          <w:rFonts w:ascii="Times New Roman" w:hAnsi="Times New Roman" w:cs="Times New Roman"/>
        </w:rPr>
        <w:t xml:space="preserve"> Del. </w:t>
      </w:r>
      <w:proofErr w:type="spellStart"/>
      <w:r w:rsidR="00CF730A" w:rsidRPr="00705170">
        <w:rPr>
          <w:rFonts w:ascii="Times New Roman" w:hAnsi="Times New Roman" w:cs="Times New Roman"/>
        </w:rPr>
        <w:t>Code</w:t>
      </w:r>
      <w:proofErr w:type="spellEnd"/>
      <w:r w:rsidR="00CF730A" w:rsidRPr="00705170">
        <w:rPr>
          <w:rFonts w:ascii="Times New Roman" w:hAnsi="Times New Roman" w:cs="Times New Roman"/>
        </w:rPr>
        <w:t xml:space="preserve"> </w:t>
      </w:r>
      <w:proofErr w:type="spellStart"/>
      <w:r w:rsidR="00CF730A" w:rsidRPr="00705170">
        <w:rPr>
          <w:rFonts w:ascii="Times New Roman" w:hAnsi="Times New Roman" w:cs="Times New Roman"/>
        </w:rPr>
        <w:t>Ch</w:t>
      </w:r>
      <w:proofErr w:type="spellEnd"/>
      <w:r w:rsidR="00CF730A" w:rsidRPr="00705170">
        <w:rPr>
          <w:rFonts w:ascii="Times New Roman" w:hAnsi="Times New Roman" w:cs="Times New Roman"/>
        </w:rPr>
        <w:t xml:space="preserve">. 1 </w:t>
      </w:r>
      <w:proofErr w:type="spellStart"/>
      <w:r w:rsidR="00CF730A" w:rsidRPr="00705170">
        <w:rPr>
          <w:rFonts w:ascii="Times New Roman" w:hAnsi="Times New Roman" w:cs="Times New Roman"/>
        </w:rPr>
        <w:t>Title</w:t>
      </w:r>
      <w:proofErr w:type="spellEnd"/>
      <w:r w:rsidR="00CF730A" w:rsidRPr="00705170">
        <w:rPr>
          <w:rFonts w:ascii="Times New Roman" w:hAnsi="Times New Roman" w:cs="Times New Roman"/>
        </w:rPr>
        <w:t xml:space="preserve"> 8 </w:t>
      </w:r>
      <w:proofErr w:type="spellStart"/>
      <w:r w:rsidR="00D84985" w:rsidRPr="00705170">
        <w:rPr>
          <w:rFonts w:ascii="Times New Roman" w:hAnsi="Times New Roman" w:cs="Times New Roman"/>
        </w:rPr>
        <w:t>provides</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that</w:t>
      </w:r>
      <w:proofErr w:type="spellEnd"/>
      <w:r w:rsidR="00D84985" w:rsidRPr="00705170">
        <w:rPr>
          <w:rFonts w:ascii="Times New Roman" w:hAnsi="Times New Roman" w:cs="Times New Roman"/>
        </w:rPr>
        <w:t xml:space="preserve"> a </w:t>
      </w:r>
      <w:proofErr w:type="spellStart"/>
      <w:r w:rsidR="00D84985" w:rsidRPr="00705170">
        <w:rPr>
          <w:rFonts w:ascii="Times New Roman" w:hAnsi="Times New Roman" w:cs="Times New Roman"/>
        </w:rPr>
        <w:t>custodian</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who</w:t>
      </w:r>
      <w:proofErr w:type="spellEnd"/>
      <w:r w:rsidR="00D84985" w:rsidRPr="00705170">
        <w:rPr>
          <w:rFonts w:ascii="Times New Roman" w:hAnsi="Times New Roman" w:cs="Times New Roman"/>
        </w:rPr>
        <w:t xml:space="preserve"> is not </w:t>
      </w:r>
      <w:proofErr w:type="spellStart"/>
      <w:r w:rsidR="00D84985" w:rsidRPr="00705170">
        <w:rPr>
          <w:rFonts w:ascii="Times New Roman" w:hAnsi="Times New Roman" w:cs="Times New Roman"/>
        </w:rPr>
        <w:t>charged</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with</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dissolving</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the</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corporation</w:t>
      </w:r>
      <w:proofErr w:type="spellEnd"/>
      <w:r w:rsidR="00D84985" w:rsidRPr="00705170">
        <w:rPr>
          <w:rFonts w:ascii="Times New Roman" w:hAnsi="Times New Roman" w:cs="Times New Roman"/>
        </w:rPr>
        <w:t xml:space="preserve">, can be </w:t>
      </w:r>
      <w:proofErr w:type="spellStart"/>
      <w:r w:rsidR="00D84985" w:rsidRPr="00705170">
        <w:rPr>
          <w:rFonts w:ascii="Times New Roman" w:hAnsi="Times New Roman" w:cs="Times New Roman"/>
        </w:rPr>
        <w:t>appointed</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when</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the</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shareholders</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are</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deadlocked</w:t>
      </w:r>
      <w:proofErr w:type="spellEnd"/>
      <w:r w:rsidR="00D84985" w:rsidRPr="00705170">
        <w:rPr>
          <w:rFonts w:ascii="Times New Roman" w:hAnsi="Times New Roman" w:cs="Times New Roman"/>
        </w:rPr>
        <w:t xml:space="preserve"> on </w:t>
      </w:r>
      <w:proofErr w:type="spellStart"/>
      <w:r w:rsidR="00D84985" w:rsidRPr="00705170">
        <w:rPr>
          <w:rFonts w:ascii="Times New Roman" w:hAnsi="Times New Roman" w:cs="Times New Roman"/>
        </w:rPr>
        <w:t>the</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election</w:t>
      </w:r>
      <w:proofErr w:type="spellEnd"/>
      <w:r w:rsidR="00D84985" w:rsidRPr="00705170">
        <w:rPr>
          <w:rFonts w:ascii="Times New Roman" w:hAnsi="Times New Roman" w:cs="Times New Roman"/>
        </w:rPr>
        <w:t xml:space="preserve"> of </w:t>
      </w:r>
      <w:proofErr w:type="spellStart"/>
      <w:r w:rsidR="00D84985" w:rsidRPr="00705170">
        <w:rPr>
          <w:rFonts w:ascii="Times New Roman" w:hAnsi="Times New Roman" w:cs="Times New Roman"/>
        </w:rPr>
        <w:t>directors</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the</w:t>
      </w:r>
      <w:proofErr w:type="spellEnd"/>
      <w:r w:rsidR="00D84985" w:rsidRPr="00705170">
        <w:rPr>
          <w:rFonts w:ascii="Times New Roman" w:hAnsi="Times New Roman" w:cs="Times New Roman"/>
        </w:rPr>
        <w:t xml:space="preserve"> board is </w:t>
      </w:r>
      <w:proofErr w:type="spellStart"/>
      <w:r w:rsidR="00D84985" w:rsidRPr="00705170">
        <w:rPr>
          <w:rFonts w:ascii="Times New Roman" w:hAnsi="Times New Roman" w:cs="Times New Roman"/>
        </w:rPr>
        <w:t>deadlocked</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or</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the</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corporation’s</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business</w:t>
      </w:r>
      <w:proofErr w:type="spellEnd"/>
      <w:r w:rsidR="00D84985" w:rsidRPr="00705170">
        <w:rPr>
          <w:rFonts w:ascii="Times New Roman" w:hAnsi="Times New Roman" w:cs="Times New Roman"/>
        </w:rPr>
        <w:t xml:space="preserve"> has </w:t>
      </w:r>
      <w:proofErr w:type="spellStart"/>
      <w:r w:rsidR="00D84985" w:rsidRPr="00705170">
        <w:rPr>
          <w:rFonts w:ascii="Times New Roman" w:hAnsi="Times New Roman" w:cs="Times New Roman"/>
        </w:rPr>
        <w:t>been</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abandoned</w:t>
      </w:r>
      <w:proofErr w:type="spellEnd"/>
      <w:r w:rsidR="00D84985" w:rsidRPr="00705170">
        <w:rPr>
          <w:rFonts w:ascii="Times New Roman" w:hAnsi="Times New Roman" w:cs="Times New Roman"/>
        </w:rPr>
        <w:t xml:space="preserve"> but it has not </w:t>
      </w:r>
      <w:proofErr w:type="spellStart"/>
      <w:r w:rsidR="00D84985" w:rsidRPr="00705170">
        <w:rPr>
          <w:rFonts w:ascii="Times New Roman" w:hAnsi="Times New Roman" w:cs="Times New Roman"/>
        </w:rPr>
        <w:t>dissolved</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or</w:t>
      </w:r>
      <w:proofErr w:type="spellEnd"/>
      <w:r w:rsidR="00D84985" w:rsidRPr="00705170">
        <w:rPr>
          <w:rFonts w:ascii="Times New Roman" w:hAnsi="Times New Roman" w:cs="Times New Roman"/>
        </w:rPr>
        <w:t xml:space="preserve"> </w:t>
      </w:r>
      <w:proofErr w:type="spellStart"/>
      <w:r w:rsidR="00D84985" w:rsidRPr="00705170">
        <w:rPr>
          <w:rFonts w:ascii="Times New Roman" w:hAnsi="Times New Roman" w:cs="Times New Roman"/>
        </w:rPr>
        <w:t>liquaidated</w:t>
      </w:r>
      <w:proofErr w:type="spellEnd"/>
      <w:r w:rsidR="00D84985" w:rsidRPr="00705170">
        <w:rPr>
          <w:rFonts w:ascii="Times New Roman" w:hAnsi="Times New Roman" w:cs="Times New Roman"/>
        </w:rPr>
        <w:t>.</w:t>
      </w:r>
      <w:r w:rsidR="00D8396F" w:rsidRPr="00705170">
        <w:rPr>
          <w:rFonts w:ascii="Times New Roman" w:hAnsi="Times New Roman" w:cs="Times New Roman"/>
        </w:rPr>
        <w:t xml:space="preserve"> </w:t>
      </w:r>
      <w:proofErr w:type="spellStart"/>
      <w:r w:rsidR="00D8396F" w:rsidRPr="00705170">
        <w:rPr>
          <w:rFonts w:ascii="Times New Roman" w:hAnsi="Times New Roman" w:cs="Times New Roman"/>
        </w:rPr>
        <w:t>Likewise</w:t>
      </w:r>
      <w:proofErr w:type="spellEnd"/>
      <w:r w:rsidR="00D8396F" w:rsidRPr="00705170">
        <w:rPr>
          <w:rFonts w:ascii="Times New Roman" w:hAnsi="Times New Roman" w:cs="Times New Roman"/>
        </w:rPr>
        <w:t xml:space="preserve">, </w:t>
      </w:r>
      <w:proofErr w:type="spellStart"/>
      <w:r w:rsidR="00D8396F" w:rsidRPr="00705170">
        <w:rPr>
          <w:rFonts w:ascii="Times New Roman" w:hAnsi="Times New Roman" w:cs="Times New Roman"/>
        </w:rPr>
        <w:t>Sec</w:t>
      </w:r>
      <w:proofErr w:type="spellEnd"/>
      <w:r w:rsidR="00D8396F" w:rsidRPr="00705170">
        <w:rPr>
          <w:rFonts w:ascii="Times New Roman" w:hAnsi="Times New Roman" w:cs="Times New Roman"/>
        </w:rPr>
        <w:t>. 273</w:t>
      </w:r>
      <w:r w:rsidR="00005A4F" w:rsidRPr="00705170">
        <w:rPr>
          <w:rFonts w:ascii="Times New Roman" w:hAnsi="Times New Roman" w:cs="Times New Roman"/>
        </w:rPr>
        <w:t xml:space="preserve">, </w:t>
      </w:r>
      <w:proofErr w:type="spellStart"/>
      <w:r w:rsidR="00005A4F" w:rsidRPr="00705170">
        <w:rPr>
          <w:rFonts w:ascii="Times New Roman" w:hAnsi="Times New Roman" w:cs="Times New Roman"/>
        </w:rPr>
        <w:t>which</w:t>
      </w:r>
      <w:proofErr w:type="spellEnd"/>
      <w:r w:rsidR="00005A4F" w:rsidRPr="00705170">
        <w:rPr>
          <w:rFonts w:ascii="Times New Roman" w:hAnsi="Times New Roman" w:cs="Times New Roman"/>
        </w:rPr>
        <w:t xml:space="preserve"> is </w:t>
      </w:r>
      <w:proofErr w:type="spellStart"/>
      <w:r w:rsidR="00005A4F" w:rsidRPr="00705170">
        <w:rPr>
          <w:rFonts w:ascii="Times New Roman" w:hAnsi="Times New Roman" w:cs="Times New Roman"/>
        </w:rPr>
        <w:t>plainly</w:t>
      </w:r>
      <w:proofErr w:type="spellEnd"/>
      <w:r w:rsidR="00005A4F" w:rsidRPr="00705170">
        <w:rPr>
          <w:rFonts w:ascii="Times New Roman" w:hAnsi="Times New Roman" w:cs="Times New Roman"/>
        </w:rPr>
        <w:t xml:space="preserve"> </w:t>
      </w:r>
      <w:proofErr w:type="spellStart"/>
      <w:r w:rsidR="00005A4F" w:rsidRPr="00705170">
        <w:rPr>
          <w:rFonts w:ascii="Times New Roman" w:hAnsi="Times New Roman" w:cs="Times New Roman"/>
        </w:rPr>
        <w:t>based</w:t>
      </w:r>
      <w:proofErr w:type="spellEnd"/>
      <w:r w:rsidR="00005A4F" w:rsidRPr="00705170">
        <w:rPr>
          <w:rFonts w:ascii="Times New Roman" w:hAnsi="Times New Roman" w:cs="Times New Roman"/>
        </w:rPr>
        <w:t xml:space="preserve"> on a </w:t>
      </w:r>
      <w:proofErr w:type="spellStart"/>
      <w:r w:rsidR="00005A4F" w:rsidRPr="00705170">
        <w:rPr>
          <w:rFonts w:ascii="Times New Roman" w:hAnsi="Times New Roman" w:cs="Times New Roman"/>
        </w:rPr>
        <w:t>partnership</w:t>
      </w:r>
      <w:proofErr w:type="spellEnd"/>
      <w:r w:rsidR="00005A4F" w:rsidRPr="00705170">
        <w:rPr>
          <w:rFonts w:ascii="Times New Roman" w:hAnsi="Times New Roman" w:cs="Times New Roman"/>
        </w:rPr>
        <w:t xml:space="preserve"> </w:t>
      </w:r>
      <w:proofErr w:type="spellStart"/>
      <w:r w:rsidR="00005A4F" w:rsidRPr="00705170">
        <w:rPr>
          <w:rFonts w:ascii="Times New Roman" w:hAnsi="Times New Roman" w:cs="Times New Roman"/>
        </w:rPr>
        <w:t>analogy</w:t>
      </w:r>
      <w:proofErr w:type="spellEnd"/>
      <w:r w:rsidR="00005A4F" w:rsidRPr="00705170">
        <w:rPr>
          <w:rStyle w:val="DipnotBavurusu"/>
          <w:rFonts w:ascii="Times New Roman" w:hAnsi="Times New Roman" w:cs="Times New Roman"/>
        </w:rPr>
        <w:footnoteReference w:id="616"/>
      </w:r>
      <w:r w:rsidR="00005A4F" w:rsidRPr="00705170">
        <w:rPr>
          <w:rFonts w:ascii="Times New Roman" w:hAnsi="Times New Roman" w:cs="Times New Roman"/>
        </w:rPr>
        <w:t>,</w:t>
      </w:r>
      <w:r w:rsidR="00D8396F" w:rsidRPr="00705170">
        <w:rPr>
          <w:rFonts w:ascii="Times New Roman" w:hAnsi="Times New Roman" w:cs="Times New Roman"/>
        </w:rPr>
        <w:t xml:space="preserve"> </w:t>
      </w:r>
      <w:proofErr w:type="spellStart"/>
      <w:r w:rsidR="008331C8" w:rsidRPr="00705170">
        <w:rPr>
          <w:rFonts w:ascii="Times New Roman" w:hAnsi="Times New Roman" w:cs="Times New Roman"/>
        </w:rPr>
        <w:t>permits</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the</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judicial</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dissolution</w:t>
      </w:r>
      <w:proofErr w:type="spellEnd"/>
      <w:r w:rsidR="008331C8" w:rsidRPr="00705170">
        <w:rPr>
          <w:rFonts w:ascii="Times New Roman" w:hAnsi="Times New Roman" w:cs="Times New Roman"/>
        </w:rPr>
        <w:t xml:space="preserve"> of a </w:t>
      </w:r>
      <w:proofErr w:type="spellStart"/>
      <w:r w:rsidR="008331C8" w:rsidRPr="00705170">
        <w:rPr>
          <w:rFonts w:ascii="Times New Roman" w:hAnsi="Times New Roman" w:cs="Times New Roman"/>
        </w:rPr>
        <w:t>two</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stockholder</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joint</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venture</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corporation</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if</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such</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stockholders</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are</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unable</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to</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agree</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upon</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the</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desirability</w:t>
      </w:r>
      <w:proofErr w:type="spellEnd"/>
      <w:r w:rsidR="008331C8" w:rsidRPr="00705170">
        <w:rPr>
          <w:rFonts w:ascii="Times New Roman" w:hAnsi="Times New Roman" w:cs="Times New Roman"/>
        </w:rPr>
        <w:t xml:space="preserve"> of </w:t>
      </w:r>
      <w:proofErr w:type="spellStart"/>
      <w:r w:rsidR="008331C8" w:rsidRPr="00705170">
        <w:rPr>
          <w:rFonts w:ascii="Times New Roman" w:hAnsi="Times New Roman" w:cs="Times New Roman"/>
        </w:rPr>
        <w:t>discountinuing</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such</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joint</w:t>
      </w:r>
      <w:proofErr w:type="spellEnd"/>
      <w:r w:rsidR="008331C8" w:rsidRPr="00705170">
        <w:rPr>
          <w:rFonts w:ascii="Times New Roman" w:hAnsi="Times New Roman" w:cs="Times New Roman"/>
        </w:rPr>
        <w:t xml:space="preserve"> </w:t>
      </w:r>
      <w:proofErr w:type="spellStart"/>
      <w:r w:rsidR="008331C8" w:rsidRPr="00705170">
        <w:rPr>
          <w:rFonts w:ascii="Times New Roman" w:hAnsi="Times New Roman" w:cs="Times New Roman"/>
        </w:rPr>
        <w:t>venture</w:t>
      </w:r>
      <w:proofErr w:type="spellEnd"/>
      <w:r w:rsidR="008331C8" w:rsidRPr="00705170">
        <w:rPr>
          <w:rFonts w:ascii="Times New Roman" w:hAnsi="Times New Roman" w:cs="Times New Roman"/>
        </w:rPr>
        <w:t>.</w:t>
      </w:r>
      <w:r w:rsidR="0039617A" w:rsidRPr="00705170">
        <w:rPr>
          <w:rFonts w:ascii="Times New Roman" w:hAnsi="Times New Roman" w:cs="Times New Roman"/>
        </w:rPr>
        <w:t xml:space="preserve"> </w:t>
      </w:r>
      <w:proofErr w:type="spellStart"/>
      <w:r w:rsidR="00005A4F" w:rsidRPr="00705170">
        <w:rPr>
          <w:rFonts w:ascii="Times New Roman" w:hAnsi="Times New Roman" w:cs="Times New Roman"/>
        </w:rPr>
        <w:t>Additionally</w:t>
      </w:r>
      <w:proofErr w:type="spellEnd"/>
      <w:r w:rsidR="00E41B7B" w:rsidRPr="00705170">
        <w:rPr>
          <w:rFonts w:ascii="Times New Roman" w:hAnsi="Times New Roman" w:cs="Times New Roman"/>
        </w:rPr>
        <w:t xml:space="preserve">, </w:t>
      </w:r>
      <w:proofErr w:type="spellStart"/>
      <w:r w:rsidR="00E41B7B" w:rsidRPr="00705170">
        <w:rPr>
          <w:rFonts w:ascii="Times New Roman" w:hAnsi="Times New Roman" w:cs="Times New Roman"/>
        </w:rPr>
        <w:t>Sec</w:t>
      </w:r>
      <w:proofErr w:type="spellEnd"/>
      <w:r w:rsidR="00E41B7B" w:rsidRPr="00705170">
        <w:rPr>
          <w:rFonts w:ascii="Times New Roman" w:hAnsi="Times New Roman" w:cs="Times New Roman"/>
        </w:rPr>
        <w:t xml:space="preserve">. 355 </w:t>
      </w:r>
      <w:proofErr w:type="spellStart"/>
      <w:r w:rsidR="00E41B7B" w:rsidRPr="00705170">
        <w:rPr>
          <w:rFonts w:ascii="Times New Roman" w:hAnsi="Times New Roman" w:cs="Times New Roman"/>
        </w:rPr>
        <w:t>states</w:t>
      </w:r>
      <w:proofErr w:type="spellEnd"/>
      <w:r w:rsidR="00E41B7B" w:rsidRPr="00705170">
        <w:rPr>
          <w:rFonts w:ascii="Times New Roman" w:hAnsi="Times New Roman" w:cs="Times New Roman"/>
        </w:rPr>
        <w:t xml:space="preserve"> </w:t>
      </w:r>
      <w:proofErr w:type="spellStart"/>
      <w:r w:rsidR="00E41B7B" w:rsidRPr="00705170">
        <w:rPr>
          <w:rFonts w:ascii="Times New Roman" w:hAnsi="Times New Roman" w:cs="Times New Roman"/>
        </w:rPr>
        <w:t>that</w:t>
      </w:r>
      <w:proofErr w:type="spellEnd"/>
      <w:r w:rsidR="00E41B7B" w:rsidRPr="00705170">
        <w:rPr>
          <w:rFonts w:ascii="Times New Roman" w:hAnsi="Times New Roman" w:cs="Times New Roman"/>
        </w:rPr>
        <w:t xml:space="preserve"> </w:t>
      </w:r>
      <w:proofErr w:type="spellStart"/>
      <w:r w:rsidR="006733A1" w:rsidRPr="00705170">
        <w:rPr>
          <w:rFonts w:ascii="Times New Roman" w:hAnsi="Times New Roman" w:cs="Times New Roman"/>
        </w:rPr>
        <w:t>the</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statutory</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close</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corporations</w:t>
      </w:r>
      <w:proofErr w:type="spellEnd"/>
      <w:r w:rsidR="006733A1" w:rsidRPr="00705170">
        <w:rPr>
          <w:rFonts w:ascii="Times New Roman" w:hAnsi="Times New Roman" w:cs="Times New Roman"/>
        </w:rPr>
        <w:t xml:space="preserve"> can </w:t>
      </w:r>
      <w:proofErr w:type="spellStart"/>
      <w:r w:rsidR="006733A1" w:rsidRPr="00705170">
        <w:rPr>
          <w:rFonts w:ascii="Times New Roman" w:hAnsi="Times New Roman" w:cs="Times New Roman"/>
        </w:rPr>
        <w:t>grant</w:t>
      </w:r>
      <w:proofErr w:type="spellEnd"/>
      <w:r w:rsidR="006733A1" w:rsidRPr="00705170">
        <w:rPr>
          <w:rFonts w:ascii="Times New Roman" w:hAnsi="Times New Roman" w:cs="Times New Roman"/>
        </w:rPr>
        <w:t xml:space="preserve"> an </w:t>
      </w:r>
      <w:proofErr w:type="spellStart"/>
      <w:r w:rsidR="006733A1" w:rsidRPr="00705170">
        <w:rPr>
          <w:rFonts w:ascii="Times New Roman" w:hAnsi="Times New Roman" w:cs="Times New Roman"/>
        </w:rPr>
        <w:t>option</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to</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initiate</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the</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right</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to</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dissolve</w:t>
      </w:r>
      <w:proofErr w:type="spellEnd"/>
      <w:r w:rsidR="00E41B7B" w:rsidRPr="00705170">
        <w:rPr>
          <w:rFonts w:ascii="Times New Roman" w:hAnsi="Times New Roman" w:cs="Times New Roman"/>
        </w:rPr>
        <w:t xml:space="preserve"> </w:t>
      </w:r>
      <w:proofErr w:type="spellStart"/>
      <w:r w:rsidR="00E41B7B" w:rsidRPr="00705170">
        <w:rPr>
          <w:rFonts w:ascii="Times New Roman" w:hAnsi="Times New Roman" w:cs="Times New Roman"/>
        </w:rPr>
        <w:t>the</w:t>
      </w:r>
      <w:proofErr w:type="spellEnd"/>
      <w:r w:rsidR="00E41B7B" w:rsidRPr="00705170">
        <w:rPr>
          <w:rFonts w:ascii="Times New Roman" w:hAnsi="Times New Roman" w:cs="Times New Roman"/>
        </w:rPr>
        <w:t xml:space="preserve"> </w:t>
      </w:r>
      <w:proofErr w:type="spellStart"/>
      <w:r w:rsidR="00E41B7B" w:rsidRPr="00705170">
        <w:rPr>
          <w:rFonts w:ascii="Times New Roman" w:hAnsi="Times New Roman" w:cs="Times New Roman"/>
        </w:rPr>
        <w:t>corporation</w:t>
      </w:r>
      <w:proofErr w:type="spellEnd"/>
      <w:r w:rsidR="00E41B7B" w:rsidRPr="00705170">
        <w:rPr>
          <w:rFonts w:ascii="Times New Roman" w:hAnsi="Times New Roman" w:cs="Times New Roman"/>
        </w:rPr>
        <w:t xml:space="preserve"> </w:t>
      </w:r>
      <w:proofErr w:type="spellStart"/>
      <w:r w:rsidR="00E41B7B" w:rsidRPr="00705170">
        <w:rPr>
          <w:rFonts w:ascii="Times New Roman" w:hAnsi="Times New Roman" w:cs="Times New Roman"/>
        </w:rPr>
        <w:t>to</w:t>
      </w:r>
      <w:proofErr w:type="spellEnd"/>
      <w:r w:rsidR="00E41B7B" w:rsidRPr="00705170">
        <w:rPr>
          <w:rFonts w:ascii="Times New Roman" w:hAnsi="Times New Roman" w:cs="Times New Roman"/>
        </w:rPr>
        <w:t xml:space="preserve"> </w:t>
      </w:r>
      <w:proofErr w:type="spellStart"/>
      <w:r w:rsidR="00E41B7B" w:rsidRPr="00705170">
        <w:rPr>
          <w:rFonts w:ascii="Times New Roman" w:hAnsi="Times New Roman" w:cs="Times New Roman"/>
        </w:rPr>
        <w:t>any</w:t>
      </w:r>
      <w:proofErr w:type="spellEnd"/>
      <w:r w:rsidR="00E41B7B" w:rsidRPr="00705170">
        <w:rPr>
          <w:rFonts w:ascii="Times New Roman" w:hAnsi="Times New Roman" w:cs="Times New Roman"/>
        </w:rPr>
        <w:t xml:space="preserve"> </w:t>
      </w:r>
      <w:proofErr w:type="spellStart"/>
      <w:r w:rsidR="00E41B7B" w:rsidRPr="00705170">
        <w:rPr>
          <w:rFonts w:ascii="Times New Roman" w:hAnsi="Times New Roman" w:cs="Times New Roman"/>
        </w:rPr>
        <w:t>sthareholder</w:t>
      </w:r>
      <w:proofErr w:type="spellEnd"/>
      <w:r w:rsidR="00E41B7B" w:rsidRPr="00705170">
        <w:rPr>
          <w:rFonts w:ascii="Times New Roman" w:hAnsi="Times New Roman" w:cs="Times New Roman"/>
        </w:rPr>
        <w:t xml:space="preserve"> </w:t>
      </w:r>
      <w:proofErr w:type="spellStart"/>
      <w:r w:rsidR="00E41B7B" w:rsidRPr="00705170">
        <w:rPr>
          <w:rFonts w:ascii="Times New Roman" w:hAnsi="Times New Roman" w:cs="Times New Roman"/>
        </w:rPr>
        <w:t>under</w:t>
      </w:r>
      <w:proofErr w:type="spellEnd"/>
      <w:r w:rsidR="00E41B7B" w:rsidRPr="00705170">
        <w:rPr>
          <w:rFonts w:ascii="Times New Roman" w:hAnsi="Times New Roman" w:cs="Times New Roman"/>
        </w:rPr>
        <w:t xml:space="preserve"> </w:t>
      </w:r>
      <w:proofErr w:type="spellStart"/>
      <w:r w:rsidR="00E41B7B" w:rsidRPr="00705170">
        <w:rPr>
          <w:rFonts w:ascii="Times New Roman" w:hAnsi="Times New Roman" w:cs="Times New Roman"/>
        </w:rPr>
        <w:t>the</w:t>
      </w:r>
      <w:proofErr w:type="spellEnd"/>
      <w:r w:rsidR="00E41B7B" w:rsidRPr="00705170">
        <w:rPr>
          <w:rFonts w:ascii="Times New Roman" w:hAnsi="Times New Roman" w:cs="Times New Roman"/>
        </w:rPr>
        <w:t xml:space="preserve"> </w:t>
      </w:r>
      <w:proofErr w:type="spellStart"/>
      <w:r w:rsidR="00E41B7B" w:rsidRPr="00705170">
        <w:rPr>
          <w:rFonts w:ascii="Times New Roman" w:hAnsi="Times New Roman" w:cs="Times New Roman"/>
        </w:rPr>
        <w:t>articles</w:t>
      </w:r>
      <w:proofErr w:type="spellEnd"/>
      <w:r w:rsidR="00E41B7B" w:rsidRPr="00705170">
        <w:rPr>
          <w:rFonts w:ascii="Times New Roman" w:hAnsi="Times New Roman" w:cs="Times New Roman"/>
        </w:rPr>
        <w:t xml:space="preserve"> of </w:t>
      </w:r>
      <w:proofErr w:type="spellStart"/>
      <w:r w:rsidR="00E41B7B" w:rsidRPr="00705170">
        <w:rPr>
          <w:rFonts w:ascii="Times New Roman" w:hAnsi="Times New Roman" w:cs="Times New Roman"/>
        </w:rPr>
        <w:t>incorporation</w:t>
      </w:r>
      <w:proofErr w:type="spellEnd"/>
      <w:r w:rsidR="00E41B7B" w:rsidRPr="00705170">
        <w:rPr>
          <w:rFonts w:ascii="Times New Roman" w:hAnsi="Times New Roman" w:cs="Times New Roman"/>
        </w:rPr>
        <w:t xml:space="preserve"> of </w:t>
      </w:r>
      <w:proofErr w:type="spellStart"/>
      <w:r w:rsidR="00E41B7B" w:rsidRPr="00705170">
        <w:rPr>
          <w:rFonts w:ascii="Times New Roman" w:hAnsi="Times New Roman" w:cs="Times New Roman"/>
        </w:rPr>
        <w:t>the</w:t>
      </w:r>
      <w:proofErr w:type="spellEnd"/>
      <w:r w:rsidR="00E41B7B" w:rsidRPr="00705170">
        <w:rPr>
          <w:rFonts w:ascii="Times New Roman" w:hAnsi="Times New Roman" w:cs="Times New Roman"/>
        </w:rPr>
        <w:t xml:space="preserve"> </w:t>
      </w:r>
      <w:proofErr w:type="spellStart"/>
      <w:r w:rsidR="00E41B7B" w:rsidRPr="00705170">
        <w:rPr>
          <w:rFonts w:ascii="Times New Roman" w:hAnsi="Times New Roman" w:cs="Times New Roman"/>
        </w:rPr>
        <w:t>close</w:t>
      </w:r>
      <w:proofErr w:type="spellEnd"/>
      <w:r w:rsidR="00E41B7B" w:rsidRPr="00705170">
        <w:rPr>
          <w:rFonts w:ascii="Times New Roman" w:hAnsi="Times New Roman" w:cs="Times New Roman"/>
        </w:rPr>
        <w:t xml:space="preserve"> </w:t>
      </w:r>
      <w:proofErr w:type="spellStart"/>
      <w:r w:rsidR="00E41B7B" w:rsidRPr="00705170">
        <w:rPr>
          <w:rFonts w:ascii="Times New Roman" w:hAnsi="Times New Roman" w:cs="Times New Roman"/>
        </w:rPr>
        <w:t>corporation</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upon</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occurance</w:t>
      </w:r>
      <w:proofErr w:type="spellEnd"/>
      <w:r w:rsidR="006733A1" w:rsidRPr="00705170">
        <w:rPr>
          <w:rFonts w:ascii="Times New Roman" w:hAnsi="Times New Roman" w:cs="Times New Roman"/>
        </w:rPr>
        <w:t xml:space="preserve"> of </w:t>
      </w:r>
      <w:proofErr w:type="spellStart"/>
      <w:r w:rsidR="006733A1" w:rsidRPr="00705170">
        <w:rPr>
          <w:rFonts w:ascii="Times New Roman" w:hAnsi="Times New Roman" w:cs="Times New Roman"/>
        </w:rPr>
        <w:t>any</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specified</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event</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or</w:t>
      </w:r>
      <w:proofErr w:type="spellEnd"/>
      <w:r w:rsidR="006733A1" w:rsidRPr="00705170">
        <w:rPr>
          <w:rFonts w:ascii="Times New Roman" w:hAnsi="Times New Roman" w:cs="Times New Roman"/>
        </w:rPr>
        <w:t xml:space="preserve"> </w:t>
      </w:r>
      <w:proofErr w:type="spellStart"/>
      <w:r w:rsidR="006733A1" w:rsidRPr="00705170">
        <w:rPr>
          <w:rFonts w:ascii="Times New Roman" w:hAnsi="Times New Roman" w:cs="Times New Roman"/>
        </w:rPr>
        <w:t>contingency</w:t>
      </w:r>
      <w:proofErr w:type="spellEnd"/>
      <w:r w:rsidR="00E41B7B" w:rsidRPr="00705170">
        <w:rPr>
          <w:rFonts w:ascii="Times New Roman" w:hAnsi="Times New Roman" w:cs="Times New Roman"/>
        </w:rPr>
        <w:t xml:space="preserve">. </w:t>
      </w:r>
      <w:proofErr w:type="spellStart"/>
      <w:r w:rsidR="00607377" w:rsidRPr="00705170">
        <w:rPr>
          <w:rFonts w:ascii="Times New Roman" w:hAnsi="Times New Roman" w:cs="Times New Roman"/>
        </w:rPr>
        <w:t>Accordingly</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even</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when</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the</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corporation</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formally</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becomes</w:t>
      </w:r>
      <w:proofErr w:type="spellEnd"/>
      <w:r w:rsidR="00607377" w:rsidRPr="00705170">
        <w:rPr>
          <w:rFonts w:ascii="Times New Roman" w:hAnsi="Times New Roman" w:cs="Times New Roman"/>
        </w:rPr>
        <w:t xml:space="preserve"> a </w:t>
      </w:r>
      <w:proofErr w:type="spellStart"/>
      <w:r w:rsidR="00607377" w:rsidRPr="00705170">
        <w:rPr>
          <w:rFonts w:ascii="Times New Roman" w:hAnsi="Times New Roman" w:cs="Times New Roman"/>
        </w:rPr>
        <w:t>statutory</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close</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corporation</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shareholders</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receive</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no</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additional</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protection</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unless</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they</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foresee</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their</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needs</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and</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provide</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this</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dissolution</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option</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explicitly</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by</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using</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this</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provision</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or</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another</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private</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contract</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such</w:t>
      </w:r>
      <w:proofErr w:type="spellEnd"/>
      <w:r w:rsidR="00607377" w:rsidRPr="00705170">
        <w:rPr>
          <w:rFonts w:ascii="Times New Roman" w:hAnsi="Times New Roman" w:cs="Times New Roman"/>
        </w:rPr>
        <w:t xml:space="preserve"> </w:t>
      </w:r>
      <w:r w:rsidR="00607377" w:rsidRPr="00705170">
        <w:rPr>
          <w:rFonts w:ascii="Times New Roman" w:hAnsi="Times New Roman" w:cs="Times New Roman"/>
        </w:rPr>
        <w:lastRenderedPageBreak/>
        <w:t xml:space="preserve">as </w:t>
      </w:r>
      <w:proofErr w:type="spellStart"/>
      <w:r w:rsidR="00607377" w:rsidRPr="00705170">
        <w:rPr>
          <w:rFonts w:ascii="Times New Roman" w:hAnsi="Times New Roman" w:cs="Times New Roman"/>
        </w:rPr>
        <w:t>shareholders</w:t>
      </w:r>
      <w:proofErr w:type="spellEnd"/>
      <w:r w:rsidR="00607377" w:rsidRPr="00705170">
        <w:rPr>
          <w:rFonts w:ascii="Times New Roman" w:hAnsi="Times New Roman" w:cs="Times New Roman"/>
        </w:rPr>
        <w:t xml:space="preserve">’ </w:t>
      </w:r>
      <w:proofErr w:type="spellStart"/>
      <w:r w:rsidR="00607377" w:rsidRPr="00705170">
        <w:rPr>
          <w:rFonts w:ascii="Times New Roman" w:hAnsi="Times New Roman" w:cs="Times New Roman"/>
        </w:rPr>
        <w:t>agreement</w:t>
      </w:r>
      <w:proofErr w:type="spellEnd"/>
      <w:r w:rsidR="00607377" w:rsidRPr="00705170">
        <w:rPr>
          <w:rStyle w:val="DipnotBavurusu"/>
          <w:rFonts w:ascii="Times New Roman" w:hAnsi="Times New Roman" w:cs="Times New Roman"/>
        </w:rPr>
        <w:footnoteReference w:id="617"/>
      </w:r>
      <w:r w:rsidR="00607377" w:rsidRPr="00705170">
        <w:rPr>
          <w:rFonts w:ascii="Times New Roman" w:hAnsi="Times New Roman" w:cs="Times New Roman"/>
        </w:rPr>
        <w:t xml:space="preserve">. </w:t>
      </w:r>
      <w:proofErr w:type="spellStart"/>
      <w:r w:rsidR="00091120" w:rsidRPr="00705170">
        <w:rPr>
          <w:rFonts w:ascii="Times New Roman" w:hAnsi="Times New Roman" w:cs="Times New Roman"/>
        </w:rPr>
        <w:t>Still</w:t>
      </w:r>
      <w:proofErr w:type="spellEnd"/>
      <w:r w:rsidR="00091120" w:rsidRPr="00705170">
        <w:rPr>
          <w:rFonts w:ascii="Times New Roman" w:hAnsi="Times New Roman" w:cs="Times New Roman"/>
        </w:rPr>
        <w:t>,</w:t>
      </w:r>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these</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measures</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are</w:t>
      </w:r>
      <w:proofErr w:type="spellEnd"/>
      <w:r w:rsidR="0039617A" w:rsidRPr="00705170">
        <w:rPr>
          <w:rFonts w:ascii="Times New Roman" w:hAnsi="Times New Roman" w:cs="Times New Roman"/>
        </w:rPr>
        <w:t xml:space="preserve"> not </w:t>
      </w:r>
      <w:proofErr w:type="spellStart"/>
      <w:r w:rsidR="0039617A" w:rsidRPr="00705170">
        <w:rPr>
          <w:rFonts w:ascii="Times New Roman" w:hAnsi="Times New Roman" w:cs="Times New Roman"/>
        </w:rPr>
        <w:t>intending</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or</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remedying</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issues</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which</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the</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shareholder</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oppression</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law</w:t>
      </w:r>
      <w:proofErr w:type="spellEnd"/>
      <w:r w:rsidR="0039617A" w:rsidRPr="00705170">
        <w:rPr>
          <w:rFonts w:ascii="Times New Roman" w:hAnsi="Times New Roman" w:cs="Times New Roman"/>
        </w:rPr>
        <w:t xml:space="preserve"> is </w:t>
      </w:r>
      <w:proofErr w:type="spellStart"/>
      <w:r w:rsidR="0039617A" w:rsidRPr="00705170">
        <w:rPr>
          <w:rFonts w:ascii="Times New Roman" w:hAnsi="Times New Roman" w:cs="Times New Roman"/>
        </w:rPr>
        <w:t>dealing</w:t>
      </w:r>
      <w:proofErr w:type="spellEnd"/>
      <w:r w:rsidR="0039617A" w:rsidRPr="00705170">
        <w:rPr>
          <w:rFonts w:ascii="Times New Roman" w:hAnsi="Times New Roman" w:cs="Times New Roman"/>
        </w:rPr>
        <w:t xml:space="preserve"> </w:t>
      </w:r>
      <w:proofErr w:type="spellStart"/>
      <w:r w:rsidR="0039617A" w:rsidRPr="00705170">
        <w:rPr>
          <w:rFonts w:ascii="Times New Roman" w:hAnsi="Times New Roman" w:cs="Times New Roman"/>
        </w:rPr>
        <w:t>with</w:t>
      </w:r>
      <w:proofErr w:type="spellEnd"/>
      <w:r w:rsidR="0039617A" w:rsidRPr="00705170">
        <w:rPr>
          <w:rFonts w:ascii="Times New Roman" w:hAnsi="Times New Roman" w:cs="Times New Roman"/>
        </w:rPr>
        <w:t>.</w:t>
      </w:r>
      <w:r w:rsidR="00C94061" w:rsidRPr="00705170">
        <w:rPr>
          <w:rFonts w:ascii="Times New Roman" w:hAnsi="Times New Roman" w:cs="Times New Roman"/>
        </w:rPr>
        <w:t xml:space="preserve"> </w:t>
      </w:r>
    </w:p>
    <w:p w14:paraId="0F1473F2" w14:textId="539BF208" w:rsidR="00C66929" w:rsidRPr="00705170" w:rsidRDefault="00114108" w:rsidP="00C66929">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Despite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w:t>
      </w:r>
      <w:r w:rsidR="005279EB" w:rsidRPr="00705170">
        <w:rPr>
          <w:rFonts w:ascii="Times New Roman" w:hAnsi="Times New Roman" w:cs="Times New Roman"/>
        </w:rPr>
        <w:t>hether</w:t>
      </w:r>
      <w:proofErr w:type="spellEnd"/>
      <w:r w:rsidR="005279EB" w:rsidRPr="00705170">
        <w:rPr>
          <w:rFonts w:ascii="Times New Roman" w:hAnsi="Times New Roman" w:cs="Times New Roman"/>
        </w:rPr>
        <w:t xml:space="preserve"> a </w:t>
      </w:r>
      <w:proofErr w:type="spellStart"/>
      <w:r w:rsidR="005279EB" w:rsidRPr="00705170">
        <w:rPr>
          <w:rFonts w:ascii="Times New Roman" w:hAnsi="Times New Roman" w:cs="Times New Roman"/>
        </w:rPr>
        <w:t>cause</w:t>
      </w:r>
      <w:proofErr w:type="spellEnd"/>
      <w:r w:rsidR="005279EB" w:rsidRPr="00705170">
        <w:rPr>
          <w:rFonts w:ascii="Times New Roman" w:hAnsi="Times New Roman" w:cs="Times New Roman"/>
        </w:rPr>
        <w:t xml:space="preserve"> of </w:t>
      </w:r>
      <w:proofErr w:type="spellStart"/>
      <w:r w:rsidR="005279EB" w:rsidRPr="00705170">
        <w:rPr>
          <w:rFonts w:ascii="Times New Roman" w:hAnsi="Times New Roman" w:cs="Times New Roman"/>
        </w:rPr>
        <w:t>action</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for</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shareholder</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oppression</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exis</w:t>
      </w:r>
      <w:r w:rsidR="0039617A" w:rsidRPr="00705170">
        <w:rPr>
          <w:rFonts w:ascii="Times New Roman" w:hAnsi="Times New Roman" w:cs="Times New Roman"/>
        </w:rPr>
        <w:t>ts</w:t>
      </w:r>
      <w:proofErr w:type="spellEnd"/>
      <w:r w:rsidR="0039617A" w:rsidRPr="00705170">
        <w:rPr>
          <w:rFonts w:ascii="Times New Roman" w:hAnsi="Times New Roman" w:cs="Times New Roman"/>
        </w:rPr>
        <w:t xml:space="preserve"> in Delaware </w:t>
      </w:r>
      <w:proofErr w:type="spellStart"/>
      <w:r w:rsidR="0039617A" w:rsidRPr="00705170">
        <w:rPr>
          <w:rFonts w:ascii="Times New Roman" w:hAnsi="Times New Roman" w:cs="Times New Roman"/>
        </w:rPr>
        <w:t>remains</w:t>
      </w:r>
      <w:proofErr w:type="spellEnd"/>
      <w:r w:rsidR="0039617A" w:rsidRPr="00705170">
        <w:rPr>
          <w:rFonts w:ascii="Times New Roman" w:hAnsi="Times New Roman" w:cs="Times New Roman"/>
        </w:rPr>
        <w:t xml:space="preserve"> an </w:t>
      </w:r>
      <w:proofErr w:type="spellStart"/>
      <w:r w:rsidR="0039617A" w:rsidRPr="00705170">
        <w:rPr>
          <w:rFonts w:ascii="Times New Roman" w:hAnsi="Times New Roman" w:cs="Times New Roman"/>
        </w:rPr>
        <w:t>unsett</w:t>
      </w:r>
      <w:r w:rsidR="005279EB" w:rsidRPr="00705170">
        <w:rPr>
          <w:rFonts w:ascii="Times New Roman" w:hAnsi="Times New Roman" w:cs="Times New Roman"/>
        </w:rPr>
        <w:t>led</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question</w:t>
      </w:r>
      <w:proofErr w:type="spellEnd"/>
      <w:r w:rsidR="005279EB" w:rsidRPr="00705170">
        <w:rPr>
          <w:rStyle w:val="DipnotBavurusu"/>
          <w:rFonts w:ascii="Times New Roman" w:hAnsi="Times New Roman" w:cs="Times New Roman"/>
        </w:rPr>
        <w:footnoteReference w:id="618"/>
      </w:r>
      <w:r w:rsidR="005279EB" w:rsidRPr="00705170">
        <w:rPr>
          <w:rFonts w:ascii="Times New Roman" w:hAnsi="Times New Roman" w:cs="Times New Roman"/>
        </w:rPr>
        <w:t xml:space="preserve">. As </w:t>
      </w:r>
      <w:proofErr w:type="spellStart"/>
      <w:r w:rsidR="005279EB" w:rsidRPr="00705170">
        <w:rPr>
          <w:rFonts w:ascii="Times New Roman" w:hAnsi="Times New Roman" w:cs="Times New Roman"/>
        </w:rPr>
        <w:t>Delaware’s</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corporate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statute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does</w:t>
      </w:r>
      <w:proofErr w:type="spellEnd"/>
      <w:r w:rsidR="005279EB" w:rsidRPr="00705170">
        <w:rPr>
          <w:rFonts w:ascii="Times New Roman" w:hAnsi="Times New Roman" w:cs="Times New Roman"/>
        </w:rPr>
        <w:t xml:space="preserve"> not </w:t>
      </w:r>
      <w:proofErr w:type="spellStart"/>
      <w:r w:rsidR="005279EB" w:rsidRPr="00705170">
        <w:rPr>
          <w:rFonts w:ascii="Times New Roman" w:hAnsi="Times New Roman" w:cs="Times New Roman"/>
        </w:rPr>
        <w:t>address</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to</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this</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issue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and</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the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Courts</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reject</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to</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create</w:t>
      </w:r>
      <w:proofErr w:type="spellEnd"/>
      <w:r w:rsidR="005279EB" w:rsidRPr="00705170">
        <w:rPr>
          <w:rFonts w:ascii="Times New Roman" w:hAnsi="Times New Roman" w:cs="Times New Roman"/>
        </w:rPr>
        <w:t xml:space="preserve"> a </w:t>
      </w:r>
      <w:proofErr w:type="spellStart"/>
      <w:r w:rsidR="005279EB" w:rsidRPr="00705170">
        <w:rPr>
          <w:rFonts w:ascii="Times New Roman" w:hAnsi="Times New Roman" w:cs="Times New Roman"/>
        </w:rPr>
        <w:t>specific</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judicial</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standard</w:t>
      </w:r>
      <w:proofErr w:type="spellEnd"/>
      <w:r w:rsidR="005279EB" w:rsidRPr="00705170">
        <w:rPr>
          <w:rStyle w:val="DipnotBavurusu"/>
          <w:rFonts w:ascii="Times New Roman" w:hAnsi="Times New Roman" w:cs="Times New Roman"/>
        </w:rPr>
        <w:footnoteReference w:id="619"/>
      </w:r>
      <w:r w:rsidR="005279EB" w:rsidRPr="00705170">
        <w:rPr>
          <w:rFonts w:ascii="Times New Roman" w:hAnsi="Times New Roman" w:cs="Times New Roman"/>
        </w:rPr>
        <w:t xml:space="preserve">, it is </w:t>
      </w:r>
      <w:proofErr w:type="spellStart"/>
      <w:r w:rsidR="005279EB" w:rsidRPr="00705170">
        <w:rPr>
          <w:rFonts w:ascii="Times New Roman" w:hAnsi="Times New Roman" w:cs="Times New Roman"/>
        </w:rPr>
        <w:t>claimed</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that</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the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shareholder</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oppression</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doctrine</w:t>
      </w:r>
      <w:proofErr w:type="spellEnd"/>
      <w:r w:rsidR="005279EB" w:rsidRPr="00705170">
        <w:rPr>
          <w:rFonts w:ascii="Times New Roman" w:hAnsi="Times New Roman" w:cs="Times New Roman"/>
        </w:rPr>
        <w:t xml:space="preserve"> is not in </w:t>
      </w:r>
      <w:proofErr w:type="spellStart"/>
      <w:r w:rsidR="005279EB" w:rsidRPr="00705170">
        <w:rPr>
          <w:rFonts w:ascii="Times New Roman" w:hAnsi="Times New Roman" w:cs="Times New Roman"/>
        </w:rPr>
        <w:t>effect</w:t>
      </w:r>
      <w:proofErr w:type="spellEnd"/>
      <w:r w:rsidR="005279EB" w:rsidRPr="00705170">
        <w:rPr>
          <w:rFonts w:ascii="Times New Roman" w:hAnsi="Times New Roman" w:cs="Times New Roman"/>
        </w:rPr>
        <w:t xml:space="preserve"> in Delaware</w:t>
      </w:r>
      <w:r w:rsidR="005279EB" w:rsidRPr="00705170">
        <w:rPr>
          <w:rStyle w:val="DipnotBavurusu"/>
          <w:rFonts w:ascii="Times New Roman" w:hAnsi="Times New Roman" w:cs="Times New Roman"/>
        </w:rPr>
        <w:footnoteReference w:id="620"/>
      </w:r>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Corollary</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some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commentators</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state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that</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the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lack</w:t>
      </w:r>
      <w:proofErr w:type="spellEnd"/>
      <w:r w:rsidR="005279EB" w:rsidRPr="00705170">
        <w:rPr>
          <w:rFonts w:ascii="Times New Roman" w:hAnsi="Times New Roman" w:cs="Times New Roman"/>
        </w:rPr>
        <w:t xml:space="preserve"> of an </w:t>
      </w:r>
      <w:proofErr w:type="spellStart"/>
      <w:r w:rsidR="005279EB" w:rsidRPr="00705170">
        <w:rPr>
          <w:rFonts w:ascii="Times New Roman" w:hAnsi="Times New Roman" w:cs="Times New Roman"/>
        </w:rPr>
        <w:t>oppression</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remedy</w:t>
      </w:r>
      <w:proofErr w:type="spellEnd"/>
      <w:r w:rsidR="005279EB" w:rsidRPr="00705170">
        <w:rPr>
          <w:rFonts w:ascii="Times New Roman" w:hAnsi="Times New Roman" w:cs="Times New Roman"/>
        </w:rPr>
        <w:t xml:space="preserve"> in Delaware </w:t>
      </w:r>
      <w:proofErr w:type="spellStart"/>
      <w:r w:rsidR="005279EB" w:rsidRPr="00705170">
        <w:rPr>
          <w:rFonts w:ascii="Times New Roman" w:hAnsi="Times New Roman" w:cs="Times New Roman"/>
        </w:rPr>
        <w:t>could</w:t>
      </w:r>
      <w:proofErr w:type="spellEnd"/>
      <w:r w:rsidR="005279EB" w:rsidRPr="00705170">
        <w:rPr>
          <w:rFonts w:ascii="Times New Roman" w:hAnsi="Times New Roman" w:cs="Times New Roman"/>
        </w:rPr>
        <w:t>…</w:t>
      </w:r>
      <w:proofErr w:type="spellStart"/>
      <w:r w:rsidR="005279EB" w:rsidRPr="00705170">
        <w:rPr>
          <w:rFonts w:ascii="Times New Roman" w:hAnsi="Times New Roman" w:cs="Times New Roman"/>
        </w:rPr>
        <w:t>simply</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affirm</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the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notion</w:t>
      </w:r>
      <w:proofErr w:type="spellEnd"/>
      <w:r w:rsidR="005279EB" w:rsidRPr="00705170">
        <w:rPr>
          <w:rFonts w:ascii="Times New Roman" w:hAnsi="Times New Roman" w:cs="Times New Roman"/>
        </w:rPr>
        <w:t xml:space="preserve"> of </w:t>
      </w:r>
      <w:proofErr w:type="spellStart"/>
      <w:r w:rsidR="005279EB" w:rsidRPr="00705170">
        <w:rPr>
          <w:rFonts w:ascii="Times New Roman" w:hAnsi="Times New Roman" w:cs="Times New Roman"/>
        </w:rPr>
        <w:t>the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race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to</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the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bottom</w:t>
      </w:r>
      <w:proofErr w:type="spellEnd"/>
      <w:r w:rsidR="005279EB" w:rsidRPr="00705170">
        <w:rPr>
          <w:rFonts w:ascii="Times New Roman" w:hAnsi="Times New Roman" w:cs="Times New Roman"/>
        </w:rPr>
        <w:t>’”</w:t>
      </w:r>
      <w:r w:rsidR="005279EB" w:rsidRPr="00705170">
        <w:rPr>
          <w:rStyle w:val="DipnotBavurusu"/>
          <w:rFonts w:ascii="Times New Roman" w:hAnsi="Times New Roman" w:cs="Times New Roman"/>
        </w:rPr>
        <w:footnoteReference w:id="621"/>
      </w:r>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and</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suggest</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that</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states</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will</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gradually</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follow</w:t>
      </w:r>
      <w:proofErr w:type="spellEnd"/>
      <w:r w:rsidR="005279EB" w:rsidRPr="00705170">
        <w:rPr>
          <w:rFonts w:ascii="Times New Roman" w:hAnsi="Times New Roman" w:cs="Times New Roman"/>
        </w:rPr>
        <w:t xml:space="preserve"> Delaware in </w:t>
      </w:r>
      <w:proofErr w:type="spellStart"/>
      <w:r w:rsidR="005279EB" w:rsidRPr="00705170">
        <w:rPr>
          <w:rFonts w:ascii="Times New Roman" w:hAnsi="Times New Roman" w:cs="Times New Roman"/>
        </w:rPr>
        <w:t>this</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issue</w:t>
      </w:r>
      <w:proofErr w:type="spellEnd"/>
      <w:r w:rsidR="005279EB" w:rsidRPr="00705170">
        <w:rPr>
          <w:rFonts w:ascii="Times New Roman" w:hAnsi="Times New Roman" w:cs="Times New Roman"/>
        </w:rPr>
        <w:t xml:space="preserve"> as </w:t>
      </w:r>
      <w:proofErr w:type="spellStart"/>
      <w:r w:rsidR="005279EB" w:rsidRPr="00705170">
        <w:rPr>
          <w:rFonts w:ascii="Times New Roman" w:hAnsi="Times New Roman" w:cs="Times New Roman"/>
        </w:rPr>
        <w:t>well</w:t>
      </w:r>
      <w:proofErr w:type="spellEnd"/>
      <w:r w:rsidR="005279EB" w:rsidRPr="00705170">
        <w:rPr>
          <w:rStyle w:val="DipnotBavurusu"/>
          <w:rFonts w:ascii="Times New Roman" w:hAnsi="Times New Roman" w:cs="Times New Roman"/>
        </w:rPr>
        <w:footnoteReference w:id="622"/>
      </w:r>
      <w:r w:rsidR="005279EB" w:rsidRPr="00705170">
        <w:rPr>
          <w:rFonts w:ascii="Times New Roman" w:hAnsi="Times New Roman" w:cs="Times New Roman"/>
        </w:rPr>
        <w:t xml:space="preserve">. </w:t>
      </w:r>
      <w:proofErr w:type="spellStart"/>
      <w:r w:rsidR="002A5F57" w:rsidRPr="00705170">
        <w:rPr>
          <w:rFonts w:ascii="Times New Roman" w:hAnsi="Times New Roman" w:cs="Times New Roman"/>
        </w:rPr>
        <w:t>Some</w:t>
      </w:r>
      <w:proofErr w:type="spellEnd"/>
      <w:r w:rsidR="002A5F57" w:rsidRPr="00705170">
        <w:rPr>
          <w:rFonts w:ascii="Times New Roman" w:hAnsi="Times New Roman" w:cs="Times New Roman"/>
        </w:rPr>
        <w:t xml:space="preserve"> </w:t>
      </w:r>
      <w:proofErr w:type="spellStart"/>
      <w:r w:rsidR="002A5F57" w:rsidRPr="00705170">
        <w:rPr>
          <w:rFonts w:ascii="Times New Roman" w:hAnsi="Times New Roman" w:cs="Times New Roman"/>
        </w:rPr>
        <w:t>others</w:t>
      </w:r>
      <w:proofErr w:type="spellEnd"/>
      <w:r w:rsidR="002A5F57" w:rsidRPr="00705170">
        <w:rPr>
          <w:rFonts w:ascii="Times New Roman" w:hAnsi="Times New Roman" w:cs="Times New Roman"/>
        </w:rPr>
        <w:t xml:space="preserve"> </w:t>
      </w:r>
      <w:proofErr w:type="spellStart"/>
      <w:r w:rsidR="002A5F57" w:rsidRPr="00705170">
        <w:rPr>
          <w:rFonts w:ascii="Times New Roman" w:hAnsi="Times New Roman" w:cs="Times New Roman"/>
        </w:rPr>
        <w:t>claim</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that</w:t>
      </w:r>
      <w:proofErr w:type="spellEnd"/>
      <w:r w:rsidR="005279EB" w:rsidRPr="00705170">
        <w:rPr>
          <w:rFonts w:ascii="Times New Roman" w:hAnsi="Times New Roman" w:cs="Times New Roman"/>
        </w:rPr>
        <w:t xml:space="preserve"> Delaware </w:t>
      </w:r>
      <w:proofErr w:type="spellStart"/>
      <w:r w:rsidR="005279EB" w:rsidRPr="00705170">
        <w:rPr>
          <w:rFonts w:ascii="Times New Roman" w:hAnsi="Times New Roman" w:cs="Times New Roman"/>
        </w:rPr>
        <w:t>should</w:t>
      </w:r>
      <w:proofErr w:type="spellEnd"/>
      <w:r w:rsidR="005279EB" w:rsidRPr="00705170">
        <w:rPr>
          <w:rFonts w:ascii="Times New Roman" w:hAnsi="Times New Roman" w:cs="Times New Roman"/>
        </w:rPr>
        <w:t xml:space="preserve"> be </w:t>
      </w:r>
      <w:proofErr w:type="spellStart"/>
      <w:r w:rsidR="005279EB" w:rsidRPr="00705170">
        <w:rPr>
          <w:rFonts w:ascii="Times New Roman" w:hAnsi="Times New Roman" w:cs="Times New Roman"/>
        </w:rPr>
        <w:t>considered</w:t>
      </w:r>
      <w:proofErr w:type="spellEnd"/>
      <w:r w:rsidR="005279EB" w:rsidRPr="00705170">
        <w:rPr>
          <w:rFonts w:ascii="Times New Roman" w:hAnsi="Times New Roman" w:cs="Times New Roman"/>
        </w:rPr>
        <w:t xml:space="preserve"> a </w:t>
      </w:r>
      <w:proofErr w:type="spellStart"/>
      <w:r w:rsidR="005279EB" w:rsidRPr="00705170">
        <w:rPr>
          <w:rFonts w:ascii="Times New Roman" w:hAnsi="Times New Roman" w:cs="Times New Roman"/>
        </w:rPr>
        <w:t>special</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case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given</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that</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any</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special</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rules</w:t>
      </w:r>
      <w:proofErr w:type="spellEnd"/>
      <w:r w:rsidR="005279EB" w:rsidRPr="00705170">
        <w:rPr>
          <w:rFonts w:ascii="Times New Roman" w:hAnsi="Times New Roman" w:cs="Times New Roman"/>
        </w:rPr>
        <w:t xml:space="preserve"> on </w:t>
      </w:r>
      <w:proofErr w:type="spellStart"/>
      <w:r w:rsidR="005279EB" w:rsidRPr="00705170">
        <w:rPr>
          <w:rFonts w:ascii="Times New Roman" w:hAnsi="Times New Roman" w:cs="Times New Roman"/>
        </w:rPr>
        <w:t>oppression</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will</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have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the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potential</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to</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create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uncertainty</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among</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public</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corporations</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that</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provide</w:t>
      </w:r>
      <w:proofErr w:type="spellEnd"/>
      <w:r w:rsidR="005279EB" w:rsidRPr="00705170">
        <w:rPr>
          <w:rFonts w:ascii="Times New Roman" w:hAnsi="Times New Roman" w:cs="Times New Roman"/>
        </w:rPr>
        <w:t xml:space="preserve"> a </w:t>
      </w:r>
      <w:proofErr w:type="spellStart"/>
      <w:r w:rsidR="005279EB" w:rsidRPr="00705170">
        <w:rPr>
          <w:rFonts w:ascii="Times New Roman" w:hAnsi="Times New Roman" w:cs="Times New Roman"/>
        </w:rPr>
        <w:t>significant</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share</w:t>
      </w:r>
      <w:proofErr w:type="spellEnd"/>
      <w:r w:rsidR="005279EB" w:rsidRPr="00705170">
        <w:rPr>
          <w:rFonts w:ascii="Times New Roman" w:hAnsi="Times New Roman" w:cs="Times New Roman"/>
        </w:rPr>
        <w:t xml:space="preserve"> of </w:t>
      </w:r>
      <w:proofErr w:type="spellStart"/>
      <w:r w:rsidR="005279EB" w:rsidRPr="00705170">
        <w:rPr>
          <w:rFonts w:ascii="Times New Roman" w:hAnsi="Times New Roman" w:cs="Times New Roman"/>
        </w:rPr>
        <w:t>the</w:t>
      </w:r>
      <w:proofErr w:type="spellEnd"/>
      <w:r w:rsidR="005279EB" w:rsidRPr="00705170">
        <w:rPr>
          <w:rFonts w:ascii="Times New Roman" w:hAnsi="Times New Roman" w:cs="Times New Roman"/>
        </w:rPr>
        <w:t xml:space="preserve"> Delaware </w:t>
      </w:r>
      <w:proofErr w:type="spellStart"/>
      <w:r w:rsidR="005279EB" w:rsidRPr="00705170">
        <w:rPr>
          <w:rFonts w:ascii="Times New Roman" w:hAnsi="Times New Roman" w:cs="Times New Roman"/>
        </w:rPr>
        <w:t>state</w:t>
      </w:r>
      <w:proofErr w:type="spellEnd"/>
      <w:r w:rsidR="005279EB" w:rsidRPr="00705170">
        <w:rPr>
          <w:rFonts w:ascii="Times New Roman" w:hAnsi="Times New Roman" w:cs="Times New Roman"/>
        </w:rPr>
        <w:t xml:space="preserve"> </w:t>
      </w:r>
      <w:proofErr w:type="spellStart"/>
      <w:r w:rsidR="005279EB" w:rsidRPr="00705170">
        <w:rPr>
          <w:rFonts w:ascii="Times New Roman" w:hAnsi="Times New Roman" w:cs="Times New Roman"/>
        </w:rPr>
        <w:t>revenues</w:t>
      </w:r>
      <w:proofErr w:type="spellEnd"/>
      <w:r w:rsidR="005279EB" w:rsidRPr="00705170">
        <w:rPr>
          <w:rFonts w:ascii="Times New Roman" w:hAnsi="Times New Roman" w:cs="Times New Roman"/>
        </w:rPr>
        <w:t>.</w:t>
      </w:r>
      <w:r w:rsidR="005279EB" w:rsidRPr="00705170">
        <w:rPr>
          <w:rStyle w:val="DipnotBavurusu"/>
          <w:rFonts w:ascii="Times New Roman" w:hAnsi="Times New Roman" w:cs="Times New Roman"/>
        </w:rPr>
        <w:footnoteReference w:id="623"/>
      </w:r>
    </w:p>
    <w:p w14:paraId="478D9DB9" w14:textId="566E5D68" w:rsidR="005279EB" w:rsidRPr="00705170" w:rsidRDefault="005279EB" w:rsidP="005279EB">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opining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Delaware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has a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remarks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Delaware </w:t>
      </w:r>
      <w:proofErr w:type="spellStart"/>
      <w:r w:rsidRPr="00705170">
        <w:rPr>
          <w:rFonts w:ascii="Times New Roman" w:hAnsi="Times New Roman" w:cs="Times New Roman"/>
          <w:color w:val="000000"/>
        </w:rPr>
        <w:t>analyzes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facts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oppression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using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reasonable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expectations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standard</w:t>
      </w:r>
      <w:proofErr w:type="spellEnd"/>
      <w:r w:rsidRPr="00705170">
        <w:rPr>
          <w:rFonts w:ascii="Times New Roman" w:hAnsi="Times New Roman" w:cs="Times New Roman"/>
          <w:color w:val="000000"/>
        </w:rPr>
        <w:t xml:space="preserve"> as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primary</w:t>
      </w:r>
      <w:proofErr w:type="spellEnd"/>
      <w:r w:rsidRPr="00705170">
        <w:rPr>
          <w:rFonts w:ascii="Times New Roman" w:hAnsi="Times New Roman" w:cs="Times New Roman"/>
          <w:color w:val="000000"/>
        </w:rPr>
        <w:t xml:space="preserve"> test</w:t>
      </w:r>
      <w:r w:rsidRPr="00705170">
        <w:rPr>
          <w:rStyle w:val="DipnotBavurusu"/>
          <w:rFonts w:ascii="Times New Roman" w:hAnsi="Times New Roman" w:cs="Times New Roman"/>
          <w:color w:val="000000"/>
        </w:rPr>
        <w:footnoteReference w:id="624"/>
      </w:r>
      <w:r w:rsidRPr="00705170">
        <w:rPr>
          <w:rFonts w:ascii="Times New Roman" w:hAnsi="Times New Roman" w:cs="Times New Roman"/>
          <w:color w:val="000000"/>
        </w:rPr>
        <w:t xml:space="preserve">. </w:t>
      </w:r>
      <w:proofErr w:type="spellStart"/>
      <w:r w:rsidRPr="00705170">
        <w:rPr>
          <w:rFonts w:ascii="Times New Roman" w:hAnsi="Times New Roman" w:cs="Times New Roman"/>
        </w:rPr>
        <w:t>Others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assert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application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rejected</w:t>
      </w:r>
      <w:proofErr w:type="spellEnd"/>
      <w:r w:rsidR="009700CA" w:rsidRPr="00705170">
        <w:rPr>
          <w:rStyle w:val="DipnotBavurusu"/>
          <w:rFonts w:ascii="Times New Roman" w:hAnsi="Times New Roman" w:cs="Times New Roman"/>
        </w:rPr>
        <w:footnoteReference w:id="625"/>
      </w:r>
      <w:r w:rsidRPr="00705170">
        <w:rPr>
          <w:rFonts w:ascii="Times New Roman" w:hAnsi="Times New Roman" w:cs="Times New Roman"/>
        </w:rPr>
        <w:t xml:space="preserve">, Delaware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preclude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freezout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but </w:t>
      </w:r>
      <w:proofErr w:type="spellStart"/>
      <w:r w:rsidRPr="00705170">
        <w:rPr>
          <w:rFonts w:ascii="Times New Roman" w:hAnsi="Times New Roman" w:cs="Times New Roman"/>
        </w:rPr>
        <w:t>simply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thinks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entire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fairness</w:t>
      </w:r>
      <w:proofErr w:type="spellEnd"/>
      <w:r w:rsidRPr="00705170">
        <w:rPr>
          <w:rFonts w:ascii="Times New Roman" w:hAnsi="Times New Roman" w:cs="Times New Roman"/>
        </w:rPr>
        <w:t xml:space="preserve"> test” is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proper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approach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applied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actions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freezeout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Style w:val="DipnotBavurusu"/>
          <w:rFonts w:ascii="Times New Roman" w:hAnsi="Times New Roman" w:cs="Times New Roman"/>
        </w:rPr>
        <w:footnoteReference w:id="626"/>
      </w:r>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hand</w:t>
      </w:r>
      <w:proofErr w:type="spellEnd"/>
      <w:r w:rsidRPr="00705170">
        <w:rPr>
          <w:rFonts w:ascii="Times New Roman" w:hAnsi="Times New Roman" w:cs="Times New Roman"/>
        </w:rPr>
        <w:t xml:space="preserve">, Delaware </w:t>
      </w:r>
      <w:proofErr w:type="spellStart"/>
      <w:r w:rsidRPr="00705170">
        <w:rPr>
          <w:rFonts w:ascii="Times New Roman" w:hAnsi="Times New Roman" w:cs="Times New Roman"/>
        </w:rPr>
        <w:t>courts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rejected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adopt</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enhanced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fiduciary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approach</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same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fiduciary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types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00D86386" w:rsidRPr="00705170">
        <w:rPr>
          <w:rFonts w:ascii="Times New Roman" w:hAnsi="Times New Roman" w:cs="Times New Roman"/>
        </w:rPr>
        <w:t>and</w:t>
      </w:r>
      <w:proofErr w:type="spellEnd"/>
      <w:r w:rsidR="00D86386" w:rsidRPr="00705170">
        <w:rPr>
          <w:rFonts w:ascii="Times New Roman" w:hAnsi="Times New Roman" w:cs="Times New Roman"/>
        </w:rPr>
        <w:t xml:space="preserve"> </w:t>
      </w:r>
      <w:proofErr w:type="spellStart"/>
      <w:r w:rsidR="00D86386"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effects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jurisdictions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handling</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cases</w:t>
      </w:r>
      <w:proofErr w:type="spellEnd"/>
      <w:r w:rsidRPr="00705170">
        <w:rPr>
          <w:rStyle w:val="DipnotBavurusu"/>
          <w:rFonts w:ascii="Times New Roman" w:hAnsi="Times New Roman" w:cs="Times New Roman"/>
        </w:rPr>
        <w:footnoteReference w:id="627"/>
      </w:r>
      <w:r w:rsidRPr="00705170">
        <w:rPr>
          <w:rFonts w:ascii="Times New Roman" w:hAnsi="Times New Roman" w:cs="Times New Roman"/>
        </w:rPr>
        <w:t>.</w:t>
      </w:r>
    </w:p>
    <w:p w14:paraId="3C71491B" w14:textId="67291E98" w:rsidR="00F317C2" w:rsidRPr="00705170" w:rsidRDefault="006814F9" w:rsidP="00F317C2">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Due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t>
      </w:r>
      <w:r w:rsidR="00CD0791" w:rsidRPr="00705170">
        <w:rPr>
          <w:rFonts w:ascii="Times New Roman" w:hAnsi="Times New Roman" w:cs="Times New Roman"/>
        </w:rPr>
        <w:t>he</w:t>
      </w:r>
      <w:proofErr w:type="spellEnd"/>
      <w:r w:rsidR="00CD0791" w:rsidRPr="00705170">
        <w:rPr>
          <w:rFonts w:ascii="Times New Roman" w:hAnsi="Times New Roman" w:cs="Times New Roman"/>
        </w:rPr>
        <w:t xml:space="preserve"> </w:t>
      </w:r>
      <w:proofErr w:type="spellStart"/>
      <w:r w:rsidR="00CD0791" w:rsidRPr="00705170">
        <w:rPr>
          <w:rFonts w:ascii="Times New Roman" w:hAnsi="Times New Roman" w:cs="Times New Roman"/>
        </w:rPr>
        <w:t>lack</w:t>
      </w:r>
      <w:proofErr w:type="spellEnd"/>
      <w:r w:rsidR="00CD0791" w:rsidRPr="00705170">
        <w:rPr>
          <w:rFonts w:ascii="Times New Roman" w:hAnsi="Times New Roman" w:cs="Times New Roman"/>
        </w:rPr>
        <w:t xml:space="preserve"> of a </w:t>
      </w:r>
      <w:proofErr w:type="spellStart"/>
      <w:r w:rsidR="00CD0791" w:rsidRPr="00705170">
        <w:rPr>
          <w:rFonts w:ascii="Times New Roman" w:hAnsi="Times New Roman" w:cs="Times New Roman"/>
        </w:rPr>
        <w:t>special</w:t>
      </w:r>
      <w:proofErr w:type="spellEnd"/>
      <w:r w:rsidR="00CD0791" w:rsidRPr="00705170">
        <w:rPr>
          <w:rFonts w:ascii="Times New Roman" w:hAnsi="Times New Roman" w:cs="Times New Roman"/>
        </w:rPr>
        <w:t xml:space="preserve"> </w:t>
      </w:r>
      <w:proofErr w:type="spellStart"/>
      <w:r w:rsidR="00CD0791" w:rsidRPr="00705170">
        <w:rPr>
          <w:rFonts w:ascii="Times New Roman" w:hAnsi="Times New Roman" w:cs="Times New Roman"/>
        </w:rPr>
        <w:t>statutory</w:t>
      </w:r>
      <w:proofErr w:type="spellEnd"/>
      <w:r w:rsidR="00CD0791" w:rsidRPr="00705170">
        <w:rPr>
          <w:rFonts w:ascii="Times New Roman" w:hAnsi="Times New Roman" w:cs="Times New Roman"/>
        </w:rPr>
        <w:t xml:space="preserve"> </w:t>
      </w:r>
      <w:proofErr w:type="spellStart"/>
      <w:r w:rsidR="00CD0791" w:rsidRPr="00705170">
        <w:rPr>
          <w:rFonts w:ascii="Times New Roman" w:hAnsi="Times New Roman" w:cs="Times New Roman"/>
        </w:rPr>
        <w:t>provision</w:t>
      </w:r>
      <w:proofErr w:type="spellEnd"/>
      <w:r w:rsidR="00CD0791" w:rsidRPr="00705170">
        <w:rPr>
          <w:rFonts w:ascii="Times New Roman" w:hAnsi="Times New Roman" w:cs="Times New Roman"/>
        </w:rPr>
        <w:t xml:space="preserve"> on </w:t>
      </w:r>
      <w:proofErr w:type="spellStart"/>
      <w:r w:rsidR="00CD0791" w:rsidRPr="00705170">
        <w:rPr>
          <w:rFonts w:ascii="Times New Roman" w:hAnsi="Times New Roman" w:cs="Times New Roman"/>
        </w:rPr>
        <w:t>shareholder</w:t>
      </w:r>
      <w:proofErr w:type="spellEnd"/>
      <w:r w:rsidR="00CD0791" w:rsidRPr="00705170">
        <w:rPr>
          <w:rFonts w:ascii="Times New Roman" w:hAnsi="Times New Roman" w:cs="Times New Roman"/>
        </w:rPr>
        <w:t xml:space="preserve"> </w:t>
      </w:r>
      <w:proofErr w:type="spellStart"/>
      <w:r w:rsidR="00CD0791" w:rsidRPr="00705170">
        <w:rPr>
          <w:rFonts w:ascii="Times New Roman" w:hAnsi="Times New Roman" w:cs="Times New Roman"/>
        </w:rPr>
        <w:t>oppression</w:t>
      </w:r>
      <w:proofErr w:type="spellEnd"/>
      <w:r w:rsidR="00057DB5" w:rsidRPr="00705170">
        <w:rPr>
          <w:rFonts w:ascii="Times New Roman" w:hAnsi="Times New Roman" w:cs="Times New Roman"/>
        </w:rPr>
        <w:t xml:space="preserve"> in Delaware</w:t>
      </w:r>
      <w:r w:rsidR="00E647B8" w:rsidRPr="00705170">
        <w:rPr>
          <w:rFonts w:ascii="Times New Roman" w:hAnsi="Times New Roman" w:cs="Times New Roman"/>
        </w:rPr>
        <w:t xml:space="preserve">, a </w:t>
      </w:r>
      <w:proofErr w:type="spellStart"/>
      <w:r w:rsidR="00E647B8" w:rsidRPr="00705170">
        <w:rPr>
          <w:rFonts w:ascii="Times New Roman" w:hAnsi="Times New Roman" w:cs="Times New Roman"/>
        </w:rPr>
        <w:t>court</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would</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have</w:t>
      </w:r>
      <w:proofErr w:type="spellEnd"/>
      <w:r w:rsidR="00E647B8" w:rsidRPr="00705170">
        <w:rPr>
          <w:rFonts w:ascii="Times New Roman" w:hAnsi="Times New Roman" w:cs="Times New Roman"/>
        </w:rPr>
        <w:t xml:space="preserve"> a hard time in </w:t>
      </w:r>
      <w:proofErr w:type="spellStart"/>
      <w:r w:rsidR="00E647B8" w:rsidRPr="00705170">
        <w:rPr>
          <w:rFonts w:ascii="Times New Roman" w:hAnsi="Times New Roman" w:cs="Times New Roman"/>
        </w:rPr>
        <w:t>accepting</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to</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recognize</w:t>
      </w:r>
      <w:proofErr w:type="spellEnd"/>
      <w:r w:rsidR="00E647B8" w:rsidRPr="00705170">
        <w:rPr>
          <w:rFonts w:ascii="Times New Roman" w:hAnsi="Times New Roman" w:cs="Times New Roman"/>
        </w:rPr>
        <w:t xml:space="preserve"> a </w:t>
      </w:r>
      <w:proofErr w:type="spellStart"/>
      <w:r w:rsidR="00E647B8" w:rsidRPr="00705170">
        <w:rPr>
          <w:rFonts w:ascii="Times New Roman" w:hAnsi="Times New Roman" w:cs="Times New Roman"/>
        </w:rPr>
        <w:t>special</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rule</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for</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close</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corporations</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for</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shareho</w:t>
      </w:r>
      <w:r w:rsidR="00AE4BD6" w:rsidRPr="00705170">
        <w:rPr>
          <w:rFonts w:ascii="Times New Roman" w:hAnsi="Times New Roman" w:cs="Times New Roman"/>
        </w:rPr>
        <w:t>lder</w:t>
      </w:r>
      <w:proofErr w:type="spellEnd"/>
      <w:r w:rsidR="00AE4BD6" w:rsidRPr="00705170">
        <w:rPr>
          <w:rFonts w:ascii="Times New Roman" w:hAnsi="Times New Roman" w:cs="Times New Roman"/>
        </w:rPr>
        <w:t xml:space="preserve"> </w:t>
      </w:r>
      <w:proofErr w:type="spellStart"/>
      <w:r w:rsidR="00AE4BD6" w:rsidRPr="00705170">
        <w:rPr>
          <w:rFonts w:ascii="Times New Roman" w:hAnsi="Times New Roman" w:cs="Times New Roman"/>
        </w:rPr>
        <w:t>oppression</w:t>
      </w:r>
      <w:proofErr w:type="spellEnd"/>
      <w:r w:rsidR="00AE4BD6" w:rsidRPr="00705170">
        <w:rPr>
          <w:rFonts w:ascii="Times New Roman" w:hAnsi="Times New Roman" w:cs="Times New Roman"/>
        </w:rPr>
        <w:t xml:space="preserve">: </w:t>
      </w:r>
      <w:proofErr w:type="spellStart"/>
      <w:r w:rsidR="00AE4BD6" w:rsidRPr="00705170">
        <w:rPr>
          <w:rFonts w:ascii="Times New Roman" w:hAnsi="Times New Roman" w:cs="Times New Roman"/>
        </w:rPr>
        <w:t>T</w:t>
      </w:r>
      <w:r w:rsidR="00E647B8" w:rsidRPr="00705170">
        <w:rPr>
          <w:rFonts w:ascii="Times New Roman" w:hAnsi="Times New Roman" w:cs="Times New Roman"/>
        </w:rPr>
        <w:t>he</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court</w:t>
      </w:r>
      <w:proofErr w:type="spellEnd"/>
      <w:r w:rsidR="00E647B8" w:rsidRPr="00705170">
        <w:rPr>
          <w:rFonts w:ascii="Times New Roman" w:hAnsi="Times New Roman" w:cs="Times New Roman"/>
        </w:rPr>
        <w:t xml:space="preserve"> has </w:t>
      </w:r>
      <w:proofErr w:type="spellStart"/>
      <w:r w:rsidR="00E647B8" w:rsidRPr="00705170">
        <w:rPr>
          <w:rFonts w:ascii="Times New Roman" w:hAnsi="Times New Roman" w:cs="Times New Roman"/>
        </w:rPr>
        <w:t>to</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either</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conclude</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that</w:t>
      </w:r>
      <w:proofErr w:type="spellEnd"/>
      <w:r w:rsidR="00E647B8" w:rsidRPr="00705170">
        <w:rPr>
          <w:rFonts w:ascii="Times New Roman" w:hAnsi="Times New Roman" w:cs="Times New Roman"/>
        </w:rPr>
        <w:t xml:space="preserve"> a </w:t>
      </w:r>
      <w:proofErr w:type="spellStart"/>
      <w:r w:rsidR="00E647B8" w:rsidRPr="00705170">
        <w:rPr>
          <w:rFonts w:ascii="Times New Roman" w:hAnsi="Times New Roman" w:cs="Times New Roman"/>
        </w:rPr>
        <w:t>cause</w:t>
      </w:r>
      <w:proofErr w:type="spellEnd"/>
      <w:r w:rsidR="00E647B8" w:rsidRPr="00705170">
        <w:rPr>
          <w:rFonts w:ascii="Times New Roman" w:hAnsi="Times New Roman" w:cs="Times New Roman"/>
        </w:rPr>
        <w:t xml:space="preserve"> of </w:t>
      </w:r>
      <w:proofErr w:type="spellStart"/>
      <w:r w:rsidR="00E647B8" w:rsidRPr="00705170">
        <w:rPr>
          <w:rFonts w:ascii="Times New Roman" w:hAnsi="Times New Roman" w:cs="Times New Roman"/>
        </w:rPr>
        <w:t>action</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for</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oppression</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exists</w:t>
      </w:r>
      <w:proofErr w:type="spellEnd"/>
      <w:r w:rsidR="00E647B8" w:rsidRPr="00705170">
        <w:rPr>
          <w:rFonts w:ascii="Times New Roman" w:hAnsi="Times New Roman" w:cs="Times New Roman"/>
        </w:rPr>
        <w:t xml:space="preserve"> in </w:t>
      </w:r>
      <w:proofErr w:type="spellStart"/>
      <w:r w:rsidR="00E647B8" w:rsidRPr="00705170">
        <w:rPr>
          <w:rFonts w:ascii="Times New Roman" w:hAnsi="Times New Roman" w:cs="Times New Roman"/>
        </w:rPr>
        <w:t>common</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law</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and</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this</w:t>
      </w:r>
      <w:proofErr w:type="spellEnd"/>
      <w:r w:rsidR="00D86386" w:rsidRPr="00705170">
        <w:rPr>
          <w:rFonts w:ascii="Times New Roman" w:hAnsi="Times New Roman" w:cs="Times New Roman"/>
        </w:rPr>
        <w:t xml:space="preserve"> </w:t>
      </w:r>
      <w:proofErr w:type="spellStart"/>
      <w:r w:rsidR="00D86386" w:rsidRPr="00705170">
        <w:rPr>
          <w:rFonts w:ascii="Times New Roman" w:hAnsi="Times New Roman" w:cs="Times New Roman"/>
        </w:rPr>
        <w:t>common</w:t>
      </w:r>
      <w:proofErr w:type="spellEnd"/>
      <w:r w:rsidR="00D86386" w:rsidRPr="00705170">
        <w:rPr>
          <w:rFonts w:ascii="Times New Roman" w:hAnsi="Times New Roman" w:cs="Times New Roman"/>
        </w:rPr>
        <w:t xml:space="preserve"> </w:t>
      </w:r>
      <w:proofErr w:type="spellStart"/>
      <w:r w:rsidR="00D86386" w:rsidRPr="00705170">
        <w:rPr>
          <w:rFonts w:ascii="Times New Roman" w:hAnsi="Times New Roman" w:cs="Times New Roman"/>
        </w:rPr>
        <w:t>law</w:t>
      </w:r>
      <w:proofErr w:type="spellEnd"/>
      <w:r w:rsidR="00D86386" w:rsidRPr="00705170">
        <w:rPr>
          <w:rFonts w:ascii="Times New Roman" w:hAnsi="Times New Roman" w:cs="Times New Roman"/>
        </w:rPr>
        <w:t xml:space="preserve"> </w:t>
      </w:r>
      <w:proofErr w:type="spellStart"/>
      <w:r w:rsidR="00D86386" w:rsidRPr="00705170">
        <w:rPr>
          <w:rFonts w:ascii="Times New Roman" w:hAnsi="Times New Roman" w:cs="Times New Roman"/>
        </w:rPr>
        <w:t>claim</w:t>
      </w:r>
      <w:proofErr w:type="spellEnd"/>
      <w:r w:rsidR="00D86386" w:rsidRPr="00705170">
        <w:rPr>
          <w:rFonts w:ascii="Times New Roman" w:hAnsi="Times New Roman" w:cs="Times New Roman"/>
        </w:rPr>
        <w:t xml:space="preserve"> is not </w:t>
      </w:r>
      <w:proofErr w:type="spellStart"/>
      <w:r w:rsidR="00D86386" w:rsidRPr="00705170">
        <w:rPr>
          <w:rFonts w:ascii="Times New Roman" w:hAnsi="Times New Roman" w:cs="Times New Roman"/>
        </w:rPr>
        <w:t>preemep</w:t>
      </w:r>
      <w:r w:rsidR="00E647B8" w:rsidRPr="00705170">
        <w:rPr>
          <w:rFonts w:ascii="Times New Roman" w:hAnsi="Times New Roman" w:cs="Times New Roman"/>
        </w:rPr>
        <w:t>ted</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by</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the</w:t>
      </w:r>
      <w:proofErr w:type="spellEnd"/>
      <w:r w:rsidR="00E647B8" w:rsidRPr="00705170">
        <w:rPr>
          <w:rFonts w:ascii="Times New Roman" w:hAnsi="Times New Roman" w:cs="Times New Roman"/>
        </w:rPr>
        <w:t xml:space="preserve"> </w:t>
      </w:r>
      <w:proofErr w:type="spellStart"/>
      <w:r w:rsidR="00E647B8" w:rsidRPr="00705170">
        <w:rPr>
          <w:rFonts w:ascii="Times New Roman" w:hAnsi="Times New Roman" w:cs="Times New Roman"/>
        </w:rPr>
        <w:t>Subchapter</w:t>
      </w:r>
      <w:proofErr w:type="spellEnd"/>
      <w:r w:rsidR="00E647B8" w:rsidRPr="00705170">
        <w:rPr>
          <w:rFonts w:ascii="Times New Roman" w:hAnsi="Times New Roman" w:cs="Times New Roman"/>
        </w:rPr>
        <w:t xml:space="preserve"> XIV of </w:t>
      </w:r>
      <w:proofErr w:type="spellStart"/>
      <w:r w:rsidR="00E647B8" w:rsidRPr="00705170">
        <w:rPr>
          <w:rFonts w:ascii="Times New Roman" w:hAnsi="Times New Roman" w:cs="Times New Roman"/>
        </w:rPr>
        <w:t>the</w:t>
      </w:r>
      <w:proofErr w:type="spellEnd"/>
      <w:r w:rsidR="00E647B8" w:rsidRPr="00705170">
        <w:rPr>
          <w:rFonts w:ascii="Times New Roman" w:hAnsi="Times New Roman" w:cs="Times New Roman"/>
        </w:rPr>
        <w:t xml:space="preserve"> Delaware General Corporation </w:t>
      </w:r>
      <w:proofErr w:type="spellStart"/>
      <w:r w:rsidR="00E647B8" w:rsidRPr="00705170">
        <w:rPr>
          <w:rFonts w:ascii="Times New Roman" w:hAnsi="Times New Roman" w:cs="Times New Roman"/>
        </w:rPr>
        <w:t>Law</w:t>
      </w:r>
      <w:proofErr w:type="spellEnd"/>
      <w:r w:rsidR="00E647B8" w:rsidRPr="00705170">
        <w:rPr>
          <w:rStyle w:val="DipnotBavurusu"/>
          <w:rFonts w:ascii="Times New Roman" w:hAnsi="Times New Roman" w:cs="Times New Roman"/>
        </w:rPr>
        <w:footnoteReference w:id="628"/>
      </w:r>
      <w:r w:rsidR="00E647B8" w:rsidRPr="00705170">
        <w:rPr>
          <w:rFonts w:ascii="Times New Roman" w:hAnsi="Times New Roman" w:cs="Times New Roman"/>
        </w:rPr>
        <w:t>.</w:t>
      </w:r>
      <w:r w:rsidR="00057DB5" w:rsidRPr="00705170">
        <w:rPr>
          <w:rFonts w:ascii="Times New Roman" w:hAnsi="Times New Roman" w:cs="Times New Roman"/>
        </w:rPr>
        <w:t xml:space="preserve"> </w:t>
      </w:r>
      <w:proofErr w:type="spellStart"/>
      <w:r w:rsidR="00F317C2" w:rsidRPr="00705170">
        <w:rPr>
          <w:rFonts w:ascii="Times New Roman" w:hAnsi="Times New Roman" w:cs="Times New Roman"/>
        </w:rPr>
        <w:t>Corollary</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relying</w:t>
      </w:r>
      <w:proofErr w:type="spellEnd"/>
      <w:r w:rsidR="00F317C2" w:rsidRPr="00705170">
        <w:rPr>
          <w:rFonts w:ascii="Times New Roman" w:hAnsi="Times New Roman" w:cs="Times New Roman"/>
        </w:rPr>
        <w:t xml:space="preserve"> on </w:t>
      </w:r>
      <w:proofErr w:type="spellStart"/>
      <w:r w:rsidR="00F317C2" w:rsidRPr="00705170">
        <w:rPr>
          <w:rFonts w:ascii="Times New Roman" w:hAnsi="Times New Roman" w:cs="Times New Roman"/>
        </w:rPr>
        <w:t>the</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influential</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Nixon</w:t>
      </w:r>
      <w:proofErr w:type="spellEnd"/>
      <w:r w:rsidR="00F317C2" w:rsidRPr="00705170">
        <w:rPr>
          <w:rFonts w:ascii="Times New Roman" w:hAnsi="Times New Roman" w:cs="Times New Roman"/>
        </w:rPr>
        <w:t xml:space="preserve"> v. </w:t>
      </w:r>
      <w:proofErr w:type="spellStart"/>
      <w:r w:rsidR="00F317C2" w:rsidRPr="00705170">
        <w:rPr>
          <w:rFonts w:ascii="Times New Roman" w:hAnsi="Times New Roman" w:cs="Times New Roman"/>
        </w:rPr>
        <w:t>Blackwell</w:t>
      </w:r>
      <w:proofErr w:type="spellEnd"/>
      <w:r w:rsidR="00F317C2" w:rsidRPr="00705170">
        <w:rPr>
          <w:rStyle w:val="DipnotBavurusu"/>
          <w:rFonts w:ascii="Times New Roman" w:hAnsi="Times New Roman" w:cs="Times New Roman"/>
        </w:rPr>
        <w:footnoteReference w:id="629"/>
      </w:r>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decision</w:t>
      </w:r>
      <w:proofErr w:type="spellEnd"/>
      <w:r w:rsidR="00F317C2" w:rsidRPr="00705170">
        <w:rPr>
          <w:rFonts w:ascii="Times New Roman" w:hAnsi="Times New Roman" w:cs="Times New Roman"/>
        </w:rPr>
        <w:t xml:space="preserve">, it is </w:t>
      </w:r>
      <w:proofErr w:type="spellStart"/>
      <w:r w:rsidR="00F317C2" w:rsidRPr="00705170">
        <w:rPr>
          <w:rFonts w:ascii="Times New Roman" w:hAnsi="Times New Roman" w:cs="Times New Roman"/>
        </w:rPr>
        <w:t>said</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that</w:t>
      </w:r>
      <w:proofErr w:type="spellEnd"/>
      <w:r w:rsidR="00F317C2" w:rsidRPr="00705170">
        <w:rPr>
          <w:rFonts w:ascii="Times New Roman" w:hAnsi="Times New Roman" w:cs="Times New Roman"/>
        </w:rPr>
        <w:t xml:space="preserve"> Delaware </w:t>
      </w:r>
      <w:proofErr w:type="spellStart"/>
      <w:r w:rsidR="00F317C2" w:rsidRPr="00705170">
        <w:rPr>
          <w:rFonts w:ascii="Times New Roman" w:hAnsi="Times New Roman" w:cs="Times New Roman"/>
        </w:rPr>
        <w:t>law</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uses</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corporate</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monitors</w:t>
      </w:r>
      <w:proofErr w:type="spellEnd"/>
      <w:r w:rsidR="00F317C2" w:rsidRPr="00705170">
        <w:rPr>
          <w:rFonts w:ascii="Times New Roman" w:hAnsi="Times New Roman" w:cs="Times New Roman"/>
        </w:rPr>
        <w:t xml:space="preserve"> of </w:t>
      </w:r>
      <w:proofErr w:type="spellStart"/>
      <w:r w:rsidR="00F317C2" w:rsidRPr="00705170">
        <w:rPr>
          <w:rFonts w:ascii="Times New Roman" w:hAnsi="Times New Roman" w:cs="Times New Roman"/>
        </w:rPr>
        <w:t>fiduciary</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duties</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the</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business</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judgment</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rule</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and</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entire</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fairness</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standard</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when</w:t>
      </w:r>
      <w:proofErr w:type="spellEnd"/>
      <w:r w:rsidR="00F317C2" w:rsidRPr="00705170">
        <w:rPr>
          <w:rFonts w:ascii="Times New Roman" w:hAnsi="Times New Roman" w:cs="Times New Roman"/>
        </w:rPr>
        <w:t xml:space="preserve"> a </w:t>
      </w:r>
      <w:proofErr w:type="spellStart"/>
      <w:r w:rsidR="00F317C2" w:rsidRPr="00705170">
        <w:rPr>
          <w:rFonts w:ascii="Times New Roman" w:hAnsi="Times New Roman" w:cs="Times New Roman"/>
        </w:rPr>
        <w:t>case</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involves</w:t>
      </w:r>
      <w:proofErr w:type="spellEnd"/>
      <w:r w:rsidR="00F317C2" w:rsidRPr="00705170">
        <w:rPr>
          <w:rFonts w:ascii="Times New Roman" w:hAnsi="Times New Roman" w:cs="Times New Roman"/>
        </w:rPr>
        <w:t xml:space="preserve"> a </w:t>
      </w:r>
      <w:proofErr w:type="spellStart"/>
      <w:r w:rsidR="00F317C2" w:rsidRPr="00705170">
        <w:rPr>
          <w:rFonts w:ascii="Times New Roman" w:hAnsi="Times New Roman" w:cs="Times New Roman"/>
        </w:rPr>
        <w:t>corporation</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and</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rejects</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using</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another</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or</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enhanced</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monitor</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similar</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to</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partnership</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fiduciary</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law</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when</w:t>
      </w:r>
      <w:proofErr w:type="spellEnd"/>
      <w:r w:rsidR="00F317C2" w:rsidRPr="00705170">
        <w:rPr>
          <w:rFonts w:ascii="Times New Roman" w:hAnsi="Times New Roman" w:cs="Times New Roman"/>
        </w:rPr>
        <w:t xml:space="preserve"> a </w:t>
      </w:r>
      <w:proofErr w:type="spellStart"/>
      <w:r w:rsidR="00F317C2" w:rsidRPr="00705170">
        <w:rPr>
          <w:rFonts w:ascii="Times New Roman" w:hAnsi="Times New Roman" w:cs="Times New Roman"/>
        </w:rPr>
        <w:t>close</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corporation</w:t>
      </w:r>
      <w:proofErr w:type="spellEnd"/>
      <w:r w:rsidR="00F317C2" w:rsidRPr="00705170">
        <w:rPr>
          <w:rFonts w:ascii="Times New Roman" w:hAnsi="Times New Roman" w:cs="Times New Roman"/>
        </w:rPr>
        <w:t xml:space="preserve"> is </w:t>
      </w:r>
      <w:proofErr w:type="spellStart"/>
      <w:r w:rsidR="00F317C2" w:rsidRPr="00705170">
        <w:rPr>
          <w:rFonts w:ascii="Times New Roman" w:hAnsi="Times New Roman" w:cs="Times New Roman"/>
        </w:rPr>
        <w:t>the</w:t>
      </w:r>
      <w:proofErr w:type="spellEnd"/>
      <w:r w:rsidR="00F317C2" w:rsidRPr="00705170">
        <w:rPr>
          <w:rFonts w:ascii="Times New Roman" w:hAnsi="Times New Roman" w:cs="Times New Roman"/>
        </w:rPr>
        <w:t xml:space="preserve"> </w:t>
      </w:r>
      <w:proofErr w:type="spellStart"/>
      <w:r w:rsidR="00F317C2" w:rsidRPr="00705170">
        <w:rPr>
          <w:rFonts w:ascii="Times New Roman" w:hAnsi="Times New Roman" w:cs="Times New Roman"/>
        </w:rPr>
        <w:t>subject</w:t>
      </w:r>
      <w:proofErr w:type="spellEnd"/>
      <w:r w:rsidR="00F317C2" w:rsidRPr="00705170">
        <w:rPr>
          <w:rStyle w:val="DipnotBavurusu"/>
          <w:rFonts w:ascii="Times New Roman" w:hAnsi="Times New Roman" w:cs="Times New Roman"/>
        </w:rPr>
        <w:footnoteReference w:id="630"/>
      </w:r>
      <w:r w:rsidR="00F317C2" w:rsidRPr="00705170">
        <w:rPr>
          <w:rFonts w:ascii="Times New Roman" w:hAnsi="Times New Roman" w:cs="Times New Roman"/>
        </w:rPr>
        <w:t xml:space="preserve">. </w:t>
      </w:r>
    </w:p>
    <w:p w14:paraId="281A89A3" w14:textId="69A4EF2F" w:rsidR="00F35D8C" w:rsidRPr="00705170" w:rsidRDefault="00F317C2" w:rsidP="00F317C2">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Delaware </w:t>
      </w:r>
      <w:proofErr w:type="spellStart"/>
      <w:r w:rsidRPr="00705170">
        <w:rPr>
          <w:rFonts w:ascii="Times New Roman" w:hAnsi="Times New Roman" w:cs="Times New Roman"/>
        </w:rPr>
        <w:t>Supreme</w:t>
      </w:r>
      <w:proofErr w:type="spellEnd"/>
      <w:r w:rsidRPr="00705170">
        <w:rPr>
          <w:rFonts w:ascii="Times New Roman" w:hAnsi="Times New Roman" w:cs="Times New Roman"/>
        </w:rPr>
        <w:t xml:space="preserve"> Court </w:t>
      </w:r>
      <w:proofErr w:type="spellStart"/>
      <w:r w:rsidRPr="00705170">
        <w:rPr>
          <w:rFonts w:ascii="Times New Roman" w:hAnsi="Times New Roman" w:cs="Times New Roman"/>
        </w:rPr>
        <w:t>considered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DA7C6A" w:rsidRPr="00705170">
        <w:rPr>
          <w:rFonts w:ascii="Times New Roman" w:hAnsi="Times New Roman" w:cs="Times New Roman"/>
        </w:rPr>
        <w:t>special</w:t>
      </w:r>
      <w:proofErr w:type="spellEnd"/>
      <w:r w:rsidR="00DA7C6A" w:rsidRPr="00705170">
        <w:rPr>
          <w:rFonts w:ascii="Times New Roman" w:hAnsi="Times New Roman" w:cs="Times New Roman"/>
        </w:rPr>
        <w:t xml:space="preserve"> </w:t>
      </w:r>
      <w:proofErr w:type="spellStart"/>
      <w:r w:rsidR="00DA7C6A" w:rsidRPr="00705170">
        <w:rPr>
          <w:rFonts w:ascii="Times New Roman" w:hAnsi="Times New Roman" w:cs="Times New Roman"/>
        </w:rPr>
        <w:t>problems</w:t>
      </w:r>
      <w:proofErr w:type="spellEnd"/>
      <w:r w:rsidR="00DA7C6A" w:rsidRPr="00705170">
        <w:rPr>
          <w:rFonts w:ascii="Times New Roman" w:hAnsi="Times New Roman" w:cs="Times New Roman"/>
        </w:rPr>
        <w:t xml:space="preserve"> </w:t>
      </w:r>
      <w:proofErr w:type="spellStart"/>
      <w:r w:rsidR="00DA7C6A" w:rsidRPr="00705170">
        <w:rPr>
          <w:rFonts w:ascii="Times New Roman" w:hAnsi="Times New Roman" w:cs="Times New Roman"/>
        </w:rPr>
        <w:t>regarding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closely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held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Nixon</w:t>
      </w:r>
      <w:proofErr w:type="spellEnd"/>
      <w:r w:rsidRPr="00705170">
        <w:rPr>
          <w:rFonts w:ascii="Times New Roman" w:hAnsi="Times New Roman" w:cs="Times New Roman"/>
        </w:rPr>
        <w:t xml:space="preserve"> v. </w:t>
      </w:r>
      <w:proofErr w:type="spellStart"/>
      <w:r w:rsidRPr="00705170">
        <w:rPr>
          <w:rFonts w:ascii="Times New Roman" w:hAnsi="Times New Roman" w:cs="Times New Roman"/>
        </w:rPr>
        <w:t>Blackwell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first</w:t>
      </w:r>
      <w:proofErr w:type="spellEnd"/>
      <w:r w:rsidRPr="00705170">
        <w:rPr>
          <w:rFonts w:ascii="Times New Roman" w:hAnsi="Times New Roman" w:cs="Times New Roman"/>
        </w:rPr>
        <w:t xml:space="preserve"> time,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entire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fairness</w:t>
      </w:r>
      <w:proofErr w:type="spellEnd"/>
      <w:r w:rsidRPr="00705170">
        <w:rPr>
          <w:rFonts w:ascii="Times New Roman" w:hAnsi="Times New Roman" w:cs="Times New Roman"/>
        </w:rPr>
        <w:t xml:space="preserve"> test</w:t>
      </w:r>
      <w:r w:rsidR="000A24D9" w:rsidRPr="00705170">
        <w:rPr>
          <w:rStyle w:val="DipnotBavurusu"/>
          <w:rFonts w:ascii="Times New Roman" w:hAnsi="Times New Roman" w:cs="Times New Roman"/>
        </w:rPr>
        <w:footnoteReference w:id="631"/>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held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directors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controlling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sustained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burden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proving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entire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fairness</w:t>
      </w:r>
      <w:proofErr w:type="spellEnd"/>
      <w:r w:rsidRPr="00705170">
        <w:rPr>
          <w:rStyle w:val="DipnotBavurusu"/>
          <w:rFonts w:ascii="Times New Roman" w:hAnsi="Times New Roman" w:cs="Times New Roman"/>
        </w:rPr>
        <w:footnoteReference w:id="632"/>
      </w:r>
      <w:r w:rsidRPr="00705170">
        <w:rPr>
          <w:rFonts w:ascii="Times New Roman" w:hAnsi="Times New Roman" w:cs="Times New Roman"/>
        </w:rPr>
        <w:t xml:space="preserve">. Court </w:t>
      </w:r>
      <w:proofErr w:type="spellStart"/>
      <w:r w:rsidR="00DA7C6A" w:rsidRPr="00705170">
        <w:rPr>
          <w:rFonts w:ascii="Times New Roman" w:hAnsi="Times New Roman" w:cs="Times New Roman"/>
        </w:rPr>
        <w:t>rejected</w:t>
      </w:r>
      <w:proofErr w:type="spellEnd"/>
      <w:r w:rsidR="00DA7C6A" w:rsidRPr="00705170">
        <w:rPr>
          <w:rFonts w:ascii="Times New Roman" w:hAnsi="Times New Roman" w:cs="Times New Roman"/>
        </w:rPr>
        <w:t xml:space="preserve"> </w:t>
      </w:r>
      <w:proofErr w:type="spellStart"/>
      <w:r w:rsidR="00DA7C6A" w:rsidRPr="00705170">
        <w:rPr>
          <w:rFonts w:ascii="Times New Roman" w:hAnsi="Times New Roman" w:cs="Times New Roman"/>
        </w:rPr>
        <w:t>to</w:t>
      </w:r>
      <w:proofErr w:type="spellEnd"/>
      <w:r w:rsidR="00DA7C6A" w:rsidRPr="00705170">
        <w:rPr>
          <w:rFonts w:ascii="Times New Roman" w:hAnsi="Times New Roman" w:cs="Times New Roman"/>
        </w:rPr>
        <w:t xml:space="preserve"> </w:t>
      </w:r>
      <w:proofErr w:type="spellStart"/>
      <w:r w:rsidR="00DA7C6A" w:rsidRPr="00705170">
        <w:rPr>
          <w:rFonts w:ascii="Times New Roman" w:hAnsi="Times New Roman" w:cs="Times New Roman"/>
        </w:rPr>
        <w:t>recognize</w:t>
      </w:r>
      <w:proofErr w:type="spellEnd"/>
      <w:r w:rsidR="00DA7C6A" w:rsidRPr="00705170">
        <w:rPr>
          <w:rFonts w:ascii="Times New Roman" w:hAnsi="Times New Roman" w:cs="Times New Roman"/>
        </w:rPr>
        <w:t xml:space="preserve"> </w:t>
      </w:r>
      <w:proofErr w:type="spellStart"/>
      <w:r w:rsidR="00DA7C6A" w:rsidRPr="00705170">
        <w:rPr>
          <w:rFonts w:ascii="Times New Roman" w:hAnsi="Times New Roman" w:cs="Times New Roman"/>
        </w:rPr>
        <w:t>any</w:t>
      </w:r>
      <w:proofErr w:type="spellEnd"/>
      <w:r w:rsidR="00DA7C6A" w:rsidRPr="00705170">
        <w:rPr>
          <w:rFonts w:ascii="Times New Roman" w:hAnsi="Times New Roman" w:cs="Times New Roman"/>
        </w:rPr>
        <w:t xml:space="preserve"> </w:t>
      </w:r>
      <w:proofErr w:type="spellStart"/>
      <w:r w:rsidR="00DA7C6A" w:rsidRPr="00705170">
        <w:rPr>
          <w:rFonts w:ascii="Times New Roman" w:hAnsi="Times New Roman" w:cs="Times New Roman"/>
        </w:rPr>
        <w:t>further</w:t>
      </w:r>
      <w:proofErr w:type="spellEnd"/>
      <w:r w:rsidR="00DA7C6A" w:rsidRPr="00705170">
        <w:rPr>
          <w:rFonts w:ascii="Times New Roman" w:hAnsi="Times New Roman" w:cs="Times New Roman"/>
        </w:rPr>
        <w:t xml:space="preserve"> </w:t>
      </w:r>
      <w:proofErr w:type="spellStart"/>
      <w:r w:rsidR="00DA7C6A" w:rsidRPr="00705170">
        <w:rPr>
          <w:rFonts w:ascii="Times New Roman" w:hAnsi="Times New Roman" w:cs="Times New Roman"/>
        </w:rPr>
        <w:t>common</w:t>
      </w:r>
      <w:proofErr w:type="spellEnd"/>
      <w:r w:rsidR="00DA7C6A" w:rsidRPr="00705170">
        <w:rPr>
          <w:rFonts w:ascii="Times New Roman" w:hAnsi="Times New Roman" w:cs="Times New Roman"/>
        </w:rPr>
        <w:t xml:space="preserve"> </w:t>
      </w:r>
      <w:proofErr w:type="spellStart"/>
      <w:r w:rsidR="00DA7C6A" w:rsidRPr="00705170">
        <w:rPr>
          <w:rFonts w:ascii="Times New Roman" w:hAnsi="Times New Roman" w:cs="Times New Roman"/>
        </w:rPr>
        <w:t>law</w:t>
      </w:r>
      <w:proofErr w:type="spellEnd"/>
      <w:r w:rsidR="00DA7C6A" w:rsidRPr="00705170">
        <w:rPr>
          <w:rFonts w:ascii="Times New Roman" w:hAnsi="Times New Roman" w:cs="Times New Roman"/>
        </w:rPr>
        <w:t xml:space="preserve"> </w:t>
      </w:r>
      <w:proofErr w:type="spellStart"/>
      <w:r w:rsidR="00DA7C6A" w:rsidRPr="00705170">
        <w:rPr>
          <w:rFonts w:ascii="Times New Roman" w:hAnsi="Times New Roman" w:cs="Times New Roman"/>
        </w:rPr>
        <w:t>protections</w:t>
      </w:r>
      <w:proofErr w:type="spellEnd"/>
      <w:r w:rsidR="00DA7C6A" w:rsidRPr="00705170">
        <w:rPr>
          <w:rStyle w:val="DipnotBavurusu"/>
          <w:rFonts w:ascii="Times New Roman" w:hAnsi="Times New Roman" w:cs="Times New Roman"/>
        </w:rPr>
        <w:footnoteReference w:id="633"/>
      </w:r>
      <w:r w:rsidR="00DA7C6A" w:rsidRPr="00705170">
        <w:rPr>
          <w:rFonts w:ascii="Times New Roman" w:hAnsi="Times New Roman" w:cs="Times New Roman"/>
        </w:rPr>
        <w:t xml:space="preserve">, </w:t>
      </w:r>
      <w:proofErr w:type="spellStart"/>
      <w:r w:rsidR="00DA7C6A" w:rsidRPr="00705170">
        <w:rPr>
          <w:rFonts w:ascii="Times New Roman" w:hAnsi="Times New Roman" w:cs="Times New Roman"/>
        </w:rPr>
        <w:t>and</w:t>
      </w:r>
      <w:proofErr w:type="spellEnd"/>
      <w:r w:rsidR="00DA7C6A" w:rsidRPr="00705170">
        <w:rPr>
          <w:rFonts w:ascii="Times New Roman" w:hAnsi="Times New Roman" w:cs="Times New Roman"/>
        </w:rPr>
        <w:t xml:space="preserve"> </w:t>
      </w:r>
      <w:proofErr w:type="spellStart"/>
      <w:r w:rsidRPr="00705170">
        <w:rPr>
          <w:rFonts w:ascii="Times New Roman" w:hAnsi="Times New Roman" w:cs="Times New Roman"/>
        </w:rPr>
        <w:t>suggested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Delaware </w:t>
      </w:r>
      <w:proofErr w:type="spellStart"/>
      <w:r w:rsidRPr="00705170">
        <w:rPr>
          <w:rFonts w:ascii="Times New Roman" w:hAnsi="Times New Roman" w:cs="Times New Roman"/>
        </w:rPr>
        <w:t>Code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includes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elective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closely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held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modify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relationships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fact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reduces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protection</w:t>
      </w:r>
      <w:proofErr w:type="spellEnd"/>
      <w:r w:rsidR="00FE08A4" w:rsidRPr="00705170">
        <w:rPr>
          <w:rStyle w:val="DipnotBavurusu"/>
          <w:rFonts w:ascii="Times New Roman" w:hAnsi="Times New Roman" w:cs="Times New Roman"/>
        </w:rPr>
        <w:footnoteReference w:id="634"/>
      </w:r>
      <w:r w:rsidRPr="00705170">
        <w:rPr>
          <w:rFonts w:ascii="Times New Roman" w:hAnsi="Times New Roman" w:cs="Times New Roman"/>
        </w:rPr>
        <w:t xml:space="preserve">. </w:t>
      </w:r>
      <w:r w:rsidR="00D86386" w:rsidRPr="00705170">
        <w:rPr>
          <w:rFonts w:ascii="Times New Roman" w:hAnsi="Times New Roman" w:cs="Times New Roman"/>
        </w:rPr>
        <w:t xml:space="preserve">Of </w:t>
      </w:r>
      <w:proofErr w:type="spellStart"/>
      <w:r w:rsidR="00D86386" w:rsidRPr="00705170">
        <w:rPr>
          <w:rFonts w:ascii="Times New Roman" w:hAnsi="Times New Roman" w:cs="Times New Roman"/>
        </w:rPr>
        <w:t>course</w:t>
      </w:r>
      <w:proofErr w:type="spellEnd"/>
      <w:r w:rsidR="00D86386" w:rsidRPr="00705170">
        <w:rPr>
          <w:rFonts w:ascii="Times New Roman" w:hAnsi="Times New Roman" w:cs="Times New Roman"/>
        </w:rPr>
        <w:t xml:space="preserve">, </w:t>
      </w:r>
      <w:proofErr w:type="spellStart"/>
      <w:r w:rsidR="00D86386" w:rsidRPr="00705170">
        <w:rPr>
          <w:rFonts w:ascii="Times New Roman" w:hAnsi="Times New Roman" w:cs="Times New Roman"/>
        </w:rPr>
        <w:t>w</w:t>
      </w:r>
      <w:r w:rsidRPr="00705170">
        <w:rPr>
          <w:rFonts w:ascii="Times New Roman" w:hAnsi="Times New Roman" w:cs="Times New Roman"/>
        </w:rPr>
        <w:t>hile</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true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bargain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do not </w:t>
      </w:r>
      <w:proofErr w:type="spellStart"/>
      <w:r w:rsidRPr="00705170">
        <w:rPr>
          <w:rFonts w:ascii="Times New Roman" w:hAnsi="Times New Roman" w:cs="Times New Roman"/>
        </w:rPr>
        <w:t>agree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buy </w:t>
      </w:r>
      <w:proofErr w:type="spellStart"/>
      <w:r w:rsidRPr="00705170">
        <w:rPr>
          <w:rFonts w:ascii="Times New Roman" w:hAnsi="Times New Roman" w:cs="Times New Roman"/>
        </w:rPr>
        <w:t>shares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contracts</w:t>
      </w:r>
      <w:proofErr w:type="spellEnd"/>
      <w:r w:rsidRPr="00705170">
        <w:rPr>
          <w:rFonts w:ascii="Times New Roman" w:hAnsi="Times New Roman" w:cs="Times New Roman"/>
        </w:rPr>
        <w:t xml:space="preserve"> do not </w:t>
      </w:r>
      <w:proofErr w:type="spellStart"/>
      <w:r w:rsidRPr="00705170">
        <w:rPr>
          <w:rFonts w:ascii="Times New Roman" w:hAnsi="Times New Roman" w:cs="Times New Roman"/>
        </w:rPr>
        <w:t>include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against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future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rationale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contingency</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cannot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always</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foreseen</w:t>
      </w:r>
      <w:proofErr w:type="spellEnd"/>
      <w:r w:rsidRPr="00705170">
        <w:rPr>
          <w:rFonts w:ascii="Times New Roman" w:hAnsi="Times New Roman" w:cs="Times New Roman"/>
        </w:rPr>
        <w:t xml:space="preserve"> at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time of </w:t>
      </w:r>
      <w:proofErr w:type="spellStart"/>
      <w:r w:rsidRPr="00705170">
        <w:rPr>
          <w:rFonts w:ascii="Times New Roman" w:hAnsi="Times New Roman" w:cs="Times New Roman"/>
        </w:rPr>
        <w:t>contracting</w:t>
      </w:r>
      <w:proofErr w:type="spellEnd"/>
      <w:r w:rsidR="00F21E1B" w:rsidRPr="00705170">
        <w:rPr>
          <w:rStyle w:val="DipnotBavurusu"/>
          <w:rFonts w:ascii="Times New Roman" w:hAnsi="Times New Roman" w:cs="Times New Roman"/>
        </w:rPr>
        <w:footnoteReference w:id="635"/>
      </w:r>
      <w:r w:rsidRPr="00705170">
        <w:rPr>
          <w:rFonts w:ascii="Times New Roman" w:hAnsi="Times New Roman" w:cs="Times New Roman"/>
        </w:rPr>
        <w:t>.</w:t>
      </w:r>
    </w:p>
    <w:p w14:paraId="38EF9B70" w14:textId="7778CA0C" w:rsidR="006360DD" w:rsidRPr="00705170" w:rsidRDefault="002C6AC6" w:rsidP="00BC2497">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Apperantly</w:t>
      </w:r>
      <w:proofErr w:type="spellEnd"/>
      <w:r w:rsidR="006814F9" w:rsidRPr="00705170">
        <w:rPr>
          <w:rFonts w:ascii="Times New Roman" w:hAnsi="Times New Roman" w:cs="Times New Roman"/>
        </w:rPr>
        <w:t xml:space="preserve">, </w:t>
      </w:r>
      <w:proofErr w:type="spellStart"/>
      <w:r w:rsidR="00D86386" w:rsidRPr="00705170">
        <w:rPr>
          <w:rFonts w:ascii="Times New Roman" w:hAnsi="Times New Roman" w:cs="Times New Roman"/>
        </w:rPr>
        <w:t>currently</w:t>
      </w:r>
      <w:proofErr w:type="spellEnd"/>
      <w:r w:rsidR="00D86386" w:rsidRPr="00705170">
        <w:rPr>
          <w:rFonts w:ascii="Times New Roman" w:hAnsi="Times New Roman" w:cs="Times New Roman"/>
        </w:rPr>
        <w:t xml:space="preserve">, </w:t>
      </w:r>
      <w:proofErr w:type="spellStart"/>
      <w:r w:rsidR="00057DB5" w:rsidRPr="00705170">
        <w:rPr>
          <w:rFonts w:ascii="Times New Roman" w:hAnsi="Times New Roman" w:cs="Times New Roman"/>
        </w:rPr>
        <w:t>the</w:t>
      </w:r>
      <w:proofErr w:type="spellEnd"/>
      <w:r w:rsidR="00057DB5" w:rsidRPr="00705170">
        <w:rPr>
          <w:rFonts w:ascii="Times New Roman" w:hAnsi="Times New Roman" w:cs="Times New Roman"/>
        </w:rPr>
        <w:t xml:space="preserve"> </w:t>
      </w:r>
      <w:proofErr w:type="spellStart"/>
      <w:r w:rsidR="006814F9" w:rsidRPr="00705170">
        <w:rPr>
          <w:rFonts w:ascii="Times New Roman" w:hAnsi="Times New Roman" w:cs="Times New Roman"/>
        </w:rPr>
        <w:t>viable</w:t>
      </w:r>
      <w:proofErr w:type="spellEnd"/>
      <w:r w:rsidR="006814F9" w:rsidRPr="00705170">
        <w:rPr>
          <w:rFonts w:ascii="Times New Roman" w:hAnsi="Times New Roman" w:cs="Times New Roman"/>
        </w:rPr>
        <w:t xml:space="preserve"> </w:t>
      </w:r>
      <w:proofErr w:type="spellStart"/>
      <w:r w:rsidR="006814F9" w:rsidRPr="00705170">
        <w:rPr>
          <w:rFonts w:ascii="Times New Roman" w:hAnsi="Times New Roman" w:cs="Times New Roman"/>
        </w:rPr>
        <w:t>option</w:t>
      </w:r>
      <w:proofErr w:type="spellEnd"/>
      <w:r w:rsidR="006814F9" w:rsidRPr="00705170">
        <w:rPr>
          <w:rFonts w:ascii="Times New Roman" w:hAnsi="Times New Roman" w:cs="Times New Roman"/>
        </w:rPr>
        <w:t xml:space="preserve"> </w:t>
      </w:r>
      <w:proofErr w:type="spellStart"/>
      <w:r w:rsidR="006814F9" w:rsidRPr="00705170">
        <w:rPr>
          <w:rFonts w:ascii="Times New Roman" w:hAnsi="Times New Roman" w:cs="Times New Roman"/>
        </w:rPr>
        <w:t>for</w:t>
      </w:r>
      <w:proofErr w:type="spellEnd"/>
      <w:r w:rsidR="006814F9" w:rsidRPr="00705170">
        <w:rPr>
          <w:rFonts w:ascii="Times New Roman" w:hAnsi="Times New Roman" w:cs="Times New Roman"/>
        </w:rPr>
        <w:t xml:space="preserve"> </w:t>
      </w:r>
      <w:proofErr w:type="spellStart"/>
      <w:r w:rsidR="006814F9" w:rsidRPr="00705170">
        <w:rPr>
          <w:rFonts w:ascii="Times New Roman" w:hAnsi="Times New Roman" w:cs="Times New Roman"/>
        </w:rPr>
        <w:t>the</w:t>
      </w:r>
      <w:proofErr w:type="spellEnd"/>
      <w:r w:rsidR="006814F9" w:rsidRPr="00705170">
        <w:rPr>
          <w:rFonts w:ascii="Times New Roman" w:hAnsi="Times New Roman" w:cs="Times New Roman"/>
        </w:rPr>
        <w:t xml:space="preserve"> </w:t>
      </w:r>
      <w:proofErr w:type="spellStart"/>
      <w:r w:rsidR="00057DB5" w:rsidRPr="00705170">
        <w:rPr>
          <w:rFonts w:ascii="Times New Roman" w:hAnsi="Times New Roman" w:cs="Times New Roman"/>
        </w:rPr>
        <w:t>complaining</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shareholder</w:t>
      </w:r>
      <w:proofErr w:type="spellEnd"/>
      <w:r w:rsidR="00057DB5" w:rsidRPr="00705170">
        <w:rPr>
          <w:rFonts w:ascii="Times New Roman" w:hAnsi="Times New Roman" w:cs="Times New Roman"/>
        </w:rPr>
        <w:t xml:space="preserve"> </w:t>
      </w:r>
      <w:r w:rsidR="006814F9" w:rsidRPr="00705170">
        <w:rPr>
          <w:rFonts w:ascii="Times New Roman" w:hAnsi="Times New Roman" w:cs="Times New Roman"/>
        </w:rPr>
        <w:t xml:space="preserve">is </w:t>
      </w:r>
      <w:proofErr w:type="spellStart"/>
      <w:r w:rsidR="00057DB5" w:rsidRPr="00705170">
        <w:rPr>
          <w:rFonts w:ascii="Times New Roman" w:hAnsi="Times New Roman" w:cs="Times New Roman"/>
        </w:rPr>
        <w:t>to</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bring</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the</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oppression</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claim</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under</w:t>
      </w:r>
      <w:proofErr w:type="spellEnd"/>
      <w:r w:rsidR="00CD0791" w:rsidRPr="00705170">
        <w:rPr>
          <w:rFonts w:ascii="Times New Roman" w:hAnsi="Times New Roman" w:cs="Times New Roman"/>
        </w:rPr>
        <w:t xml:space="preserve"> </w:t>
      </w:r>
      <w:proofErr w:type="spellStart"/>
      <w:r w:rsidR="00CD0791" w:rsidRPr="00705170">
        <w:rPr>
          <w:rFonts w:ascii="Times New Roman" w:hAnsi="Times New Roman" w:cs="Times New Roman"/>
        </w:rPr>
        <w:t>the</w:t>
      </w:r>
      <w:proofErr w:type="spellEnd"/>
      <w:r w:rsidR="00CD0791" w:rsidRPr="00705170">
        <w:rPr>
          <w:rFonts w:ascii="Times New Roman" w:hAnsi="Times New Roman" w:cs="Times New Roman"/>
        </w:rPr>
        <w:t xml:space="preserve"> </w:t>
      </w:r>
      <w:proofErr w:type="spellStart"/>
      <w:r w:rsidR="00057DB5" w:rsidRPr="00705170">
        <w:rPr>
          <w:rFonts w:ascii="Times New Roman" w:hAnsi="Times New Roman" w:cs="Times New Roman"/>
        </w:rPr>
        <w:t>fiduciary</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duties</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doctrine</w:t>
      </w:r>
      <w:proofErr w:type="spellEnd"/>
      <w:r w:rsidR="009B1973" w:rsidRPr="00705170">
        <w:rPr>
          <w:rFonts w:ascii="Times New Roman" w:hAnsi="Times New Roman" w:cs="Times New Roman"/>
        </w:rPr>
        <w:t xml:space="preserve"> of Delaware</w:t>
      </w:r>
      <w:r w:rsidR="00CD0791" w:rsidRPr="00705170">
        <w:rPr>
          <w:rStyle w:val="DipnotBavurusu"/>
          <w:rFonts w:ascii="Times New Roman" w:hAnsi="Times New Roman" w:cs="Times New Roman"/>
        </w:rPr>
        <w:footnoteReference w:id="636"/>
      </w:r>
      <w:r w:rsidR="00901663" w:rsidRPr="00705170">
        <w:rPr>
          <w:rFonts w:ascii="Times New Roman" w:hAnsi="Times New Roman" w:cs="Times New Roman"/>
        </w:rPr>
        <w:t xml:space="preserve">, </w:t>
      </w:r>
      <w:proofErr w:type="spellStart"/>
      <w:r w:rsidR="00901663" w:rsidRPr="00705170">
        <w:rPr>
          <w:rFonts w:ascii="Times New Roman" w:hAnsi="Times New Roman" w:cs="Times New Roman"/>
        </w:rPr>
        <w:t>which</w:t>
      </w:r>
      <w:proofErr w:type="spellEnd"/>
      <w:r w:rsidR="00901663" w:rsidRPr="00705170">
        <w:rPr>
          <w:rFonts w:ascii="Times New Roman" w:hAnsi="Times New Roman" w:cs="Times New Roman"/>
        </w:rPr>
        <w:t xml:space="preserve"> </w:t>
      </w:r>
      <w:proofErr w:type="spellStart"/>
      <w:r w:rsidR="00901663" w:rsidRPr="00705170">
        <w:rPr>
          <w:rFonts w:ascii="Times New Roman" w:hAnsi="Times New Roman" w:cs="Times New Roman"/>
        </w:rPr>
        <w:t>provides</w:t>
      </w:r>
      <w:proofErr w:type="spellEnd"/>
      <w:r w:rsidR="00901663" w:rsidRPr="00705170">
        <w:rPr>
          <w:rFonts w:ascii="Times New Roman" w:hAnsi="Times New Roman" w:cs="Times New Roman"/>
        </w:rPr>
        <w:t xml:space="preserve"> </w:t>
      </w:r>
      <w:proofErr w:type="spellStart"/>
      <w:r w:rsidR="00901663" w:rsidRPr="00705170">
        <w:rPr>
          <w:rFonts w:ascii="Times New Roman" w:hAnsi="Times New Roman" w:cs="Times New Roman"/>
        </w:rPr>
        <w:t>that</w:t>
      </w:r>
      <w:proofErr w:type="spellEnd"/>
      <w:r w:rsidR="00901663" w:rsidRPr="00705170">
        <w:rPr>
          <w:rFonts w:ascii="Times New Roman" w:hAnsi="Times New Roman" w:cs="Times New Roman"/>
        </w:rPr>
        <w:t xml:space="preserve"> </w:t>
      </w:r>
      <w:proofErr w:type="spellStart"/>
      <w:r w:rsidR="00901663" w:rsidRPr="00705170">
        <w:rPr>
          <w:rFonts w:ascii="Times New Roman" w:hAnsi="Times New Roman" w:cs="Times New Roman"/>
        </w:rPr>
        <w:t>shareholders</w:t>
      </w:r>
      <w:proofErr w:type="spellEnd"/>
      <w:r w:rsidR="00901663" w:rsidRPr="00705170">
        <w:rPr>
          <w:rFonts w:ascii="Times New Roman" w:hAnsi="Times New Roman" w:cs="Times New Roman"/>
        </w:rPr>
        <w:t xml:space="preserve"> </w:t>
      </w:r>
      <w:proofErr w:type="spellStart"/>
      <w:r w:rsidR="00901663" w:rsidRPr="00705170">
        <w:rPr>
          <w:rFonts w:ascii="Times New Roman" w:hAnsi="Times New Roman" w:cs="Times New Roman"/>
        </w:rPr>
        <w:t>owe</w:t>
      </w:r>
      <w:proofErr w:type="spellEnd"/>
      <w:r w:rsidR="00901663" w:rsidRPr="00705170">
        <w:rPr>
          <w:rFonts w:ascii="Times New Roman" w:hAnsi="Times New Roman" w:cs="Times New Roman"/>
        </w:rPr>
        <w:t xml:space="preserve"> </w:t>
      </w:r>
      <w:proofErr w:type="spellStart"/>
      <w:r w:rsidR="00901663" w:rsidRPr="00705170">
        <w:rPr>
          <w:rFonts w:ascii="Times New Roman" w:hAnsi="Times New Roman" w:cs="Times New Roman"/>
        </w:rPr>
        <w:t>duties</w:t>
      </w:r>
      <w:proofErr w:type="spellEnd"/>
      <w:r w:rsidR="00901663" w:rsidRPr="00705170">
        <w:rPr>
          <w:rFonts w:ascii="Times New Roman" w:hAnsi="Times New Roman" w:cs="Times New Roman"/>
        </w:rPr>
        <w:t xml:space="preserve"> </w:t>
      </w:r>
      <w:proofErr w:type="spellStart"/>
      <w:r w:rsidR="00901663" w:rsidRPr="00705170">
        <w:rPr>
          <w:rFonts w:ascii="Times New Roman" w:hAnsi="Times New Roman" w:cs="Times New Roman"/>
        </w:rPr>
        <w:t>to</w:t>
      </w:r>
      <w:proofErr w:type="spellEnd"/>
      <w:r w:rsidR="00901663" w:rsidRPr="00705170">
        <w:rPr>
          <w:rFonts w:ascii="Times New Roman" w:hAnsi="Times New Roman" w:cs="Times New Roman"/>
        </w:rPr>
        <w:t xml:space="preserve"> </w:t>
      </w:r>
      <w:proofErr w:type="spellStart"/>
      <w:r w:rsidR="00901663" w:rsidRPr="00705170">
        <w:rPr>
          <w:rFonts w:ascii="Times New Roman" w:hAnsi="Times New Roman" w:cs="Times New Roman"/>
        </w:rPr>
        <w:t>each</w:t>
      </w:r>
      <w:proofErr w:type="spellEnd"/>
      <w:r w:rsidR="00901663" w:rsidRPr="00705170">
        <w:rPr>
          <w:rFonts w:ascii="Times New Roman" w:hAnsi="Times New Roman" w:cs="Times New Roman"/>
        </w:rPr>
        <w:t xml:space="preserve"> </w:t>
      </w:r>
      <w:proofErr w:type="spellStart"/>
      <w:r w:rsidR="00901663" w:rsidRPr="00705170">
        <w:rPr>
          <w:rFonts w:ascii="Times New Roman" w:hAnsi="Times New Roman" w:cs="Times New Roman"/>
        </w:rPr>
        <w:t>other</w:t>
      </w:r>
      <w:proofErr w:type="spellEnd"/>
      <w:r w:rsidR="00901663" w:rsidRPr="00705170">
        <w:rPr>
          <w:rFonts w:ascii="Times New Roman" w:hAnsi="Times New Roman" w:cs="Times New Roman"/>
        </w:rPr>
        <w:t xml:space="preserve"> </w:t>
      </w:r>
      <w:proofErr w:type="spellStart"/>
      <w:r w:rsidR="00901663" w:rsidRPr="00705170">
        <w:rPr>
          <w:rFonts w:ascii="Times New Roman" w:hAnsi="Times New Roman" w:cs="Times New Roman"/>
        </w:rPr>
        <w:t>under</w:t>
      </w:r>
      <w:proofErr w:type="spellEnd"/>
      <w:r w:rsidR="00901663" w:rsidRPr="00705170">
        <w:rPr>
          <w:rFonts w:ascii="Times New Roman" w:hAnsi="Times New Roman" w:cs="Times New Roman"/>
        </w:rPr>
        <w:t xml:space="preserve"> </w:t>
      </w:r>
      <w:proofErr w:type="spellStart"/>
      <w:r w:rsidR="00901663" w:rsidRPr="00705170">
        <w:rPr>
          <w:rFonts w:ascii="Times New Roman" w:hAnsi="Times New Roman" w:cs="Times New Roman"/>
        </w:rPr>
        <w:t>certain</w:t>
      </w:r>
      <w:proofErr w:type="spellEnd"/>
      <w:r w:rsidR="00901663" w:rsidRPr="00705170">
        <w:rPr>
          <w:rFonts w:ascii="Times New Roman" w:hAnsi="Times New Roman" w:cs="Times New Roman"/>
        </w:rPr>
        <w:t xml:space="preserve"> </w:t>
      </w:r>
      <w:proofErr w:type="spellStart"/>
      <w:r w:rsidR="00901663" w:rsidRPr="00705170">
        <w:rPr>
          <w:rFonts w:ascii="Times New Roman" w:hAnsi="Times New Roman" w:cs="Times New Roman"/>
        </w:rPr>
        <w:t>circumstances</w:t>
      </w:r>
      <w:proofErr w:type="spellEnd"/>
      <w:r w:rsidR="00901663" w:rsidRPr="00705170">
        <w:rPr>
          <w:rStyle w:val="DipnotBavurusu"/>
          <w:rFonts w:ascii="Times New Roman" w:hAnsi="Times New Roman" w:cs="Times New Roman"/>
        </w:rPr>
        <w:footnoteReference w:id="637"/>
      </w:r>
      <w:r w:rsidR="00CD0791" w:rsidRPr="00705170">
        <w:rPr>
          <w:rFonts w:ascii="Times New Roman" w:hAnsi="Times New Roman" w:cs="Times New Roman"/>
        </w:rPr>
        <w:t>.</w:t>
      </w:r>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The</w:t>
      </w:r>
      <w:proofErr w:type="spellEnd"/>
      <w:r w:rsidR="003473C3" w:rsidRPr="00705170">
        <w:rPr>
          <w:rFonts w:ascii="Times New Roman" w:hAnsi="Times New Roman" w:cs="Times New Roman"/>
        </w:rPr>
        <w:t xml:space="preserve"> </w:t>
      </w:r>
      <w:proofErr w:type="spellStart"/>
      <w:r w:rsidR="003473C3" w:rsidRPr="00705170">
        <w:rPr>
          <w:rFonts w:ascii="Times New Roman" w:hAnsi="Times New Roman" w:cs="Times New Roman"/>
        </w:rPr>
        <w:t>Gagliardi</w:t>
      </w:r>
      <w:proofErr w:type="spellEnd"/>
      <w:r w:rsidR="003473C3" w:rsidRPr="00705170">
        <w:rPr>
          <w:rFonts w:ascii="Times New Roman" w:hAnsi="Times New Roman" w:cs="Times New Roman"/>
        </w:rPr>
        <w:t xml:space="preserve"> v. </w:t>
      </w:r>
      <w:proofErr w:type="spellStart"/>
      <w:r w:rsidR="003473C3" w:rsidRPr="00705170">
        <w:rPr>
          <w:rFonts w:ascii="Times New Roman" w:hAnsi="Times New Roman" w:cs="Times New Roman"/>
        </w:rPr>
        <w:t>TriFoods</w:t>
      </w:r>
      <w:proofErr w:type="spellEnd"/>
      <w:r w:rsidR="003473C3" w:rsidRPr="00705170">
        <w:rPr>
          <w:rFonts w:ascii="Times New Roman" w:hAnsi="Times New Roman" w:cs="Times New Roman"/>
        </w:rPr>
        <w:t xml:space="preserve"> </w:t>
      </w:r>
      <w:proofErr w:type="spellStart"/>
      <w:r w:rsidR="003473C3" w:rsidRPr="00705170">
        <w:rPr>
          <w:rFonts w:ascii="Times New Roman" w:hAnsi="Times New Roman" w:cs="Times New Roman"/>
        </w:rPr>
        <w:t>Intern</w:t>
      </w:r>
      <w:proofErr w:type="spellEnd"/>
      <w:r w:rsidR="003473C3" w:rsidRPr="00705170">
        <w:rPr>
          <w:rFonts w:ascii="Times New Roman" w:hAnsi="Times New Roman" w:cs="Times New Roman"/>
        </w:rPr>
        <w:t xml:space="preserve">, </w:t>
      </w:r>
      <w:proofErr w:type="spellStart"/>
      <w:r w:rsidR="003473C3" w:rsidRPr="00705170">
        <w:rPr>
          <w:rFonts w:ascii="Times New Roman" w:hAnsi="Times New Roman" w:cs="Times New Roman"/>
        </w:rPr>
        <w:t>Inc</w:t>
      </w:r>
      <w:proofErr w:type="spellEnd"/>
      <w:r w:rsidR="003473C3" w:rsidRPr="00705170">
        <w:rPr>
          <w:rFonts w:ascii="Times New Roman" w:hAnsi="Times New Roman" w:cs="Times New Roman"/>
        </w:rPr>
        <w:t>.</w:t>
      </w:r>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court</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stated</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this</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point</w:t>
      </w:r>
      <w:proofErr w:type="spellEnd"/>
      <w:r w:rsidR="00E74BD1" w:rsidRPr="00705170">
        <w:rPr>
          <w:rFonts w:ascii="Times New Roman" w:hAnsi="Times New Roman" w:cs="Times New Roman"/>
        </w:rPr>
        <w:t xml:space="preserve"> as </w:t>
      </w:r>
      <w:proofErr w:type="spellStart"/>
      <w:r w:rsidR="00E74BD1" w:rsidRPr="00705170">
        <w:rPr>
          <w:rFonts w:ascii="Times New Roman" w:hAnsi="Times New Roman" w:cs="Times New Roman"/>
        </w:rPr>
        <w:t>follows</w:t>
      </w:r>
      <w:proofErr w:type="spellEnd"/>
      <w:r w:rsidR="00E74BD1" w:rsidRPr="00705170">
        <w:rPr>
          <w:rFonts w:ascii="Times New Roman" w:hAnsi="Times New Roman" w:cs="Times New Roman"/>
        </w:rPr>
        <w:t xml:space="preserve">: “I </w:t>
      </w:r>
      <w:proofErr w:type="spellStart"/>
      <w:r w:rsidR="00E74BD1" w:rsidRPr="00705170">
        <w:rPr>
          <w:rFonts w:ascii="Times New Roman" w:hAnsi="Times New Roman" w:cs="Times New Roman"/>
        </w:rPr>
        <w:t>need</w:t>
      </w:r>
      <w:proofErr w:type="spellEnd"/>
      <w:r w:rsidR="00E74BD1" w:rsidRPr="00705170">
        <w:rPr>
          <w:rFonts w:ascii="Times New Roman" w:hAnsi="Times New Roman" w:cs="Times New Roman"/>
        </w:rPr>
        <w:t xml:space="preserve"> not </w:t>
      </w:r>
      <w:proofErr w:type="spellStart"/>
      <w:r w:rsidR="00E74BD1" w:rsidRPr="00705170">
        <w:rPr>
          <w:rFonts w:ascii="Times New Roman" w:hAnsi="Times New Roman" w:cs="Times New Roman"/>
        </w:rPr>
        <w:t>to</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address</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the</w:t>
      </w:r>
      <w:proofErr w:type="spellEnd"/>
      <w:r w:rsidR="00E74BD1" w:rsidRPr="00705170">
        <w:rPr>
          <w:rFonts w:ascii="Times New Roman" w:hAnsi="Times New Roman" w:cs="Times New Roman"/>
        </w:rPr>
        <w:t xml:space="preserve"> general </w:t>
      </w:r>
      <w:proofErr w:type="spellStart"/>
      <w:r w:rsidR="00E74BD1" w:rsidRPr="00705170">
        <w:rPr>
          <w:rFonts w:ascii="Times New Roman" w:hAnsi="Times New Roman" w:cs="Times New Roman"/>
        </w:rPr>
        <w:t>question</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whether</w:t>
      </w:r>
      <w:proofErr w:type="spellEnd"/>
      <w:r w:rsidR="00E74BD1" w:rsidRPr="00705170">
        <w:rPr>
          <w:rFonts w:ascii="Times New Roman" w:hAnsi="Times New Roman" w:cs="Times New Roman"/>
        </w:rPr>
        <w:t xml:space="preserve"> Delaware </w:t>
      </w:r>
      <w:proofErr w:type="spellStart"/>
      <w:r w:rsidR="00E74BD1" w:rsidRPr="00705170">
        <w:rPr>
          <w:rFonts w:ascii="Times New Roman" w:hAnsi="Times New Roman" w:cs="Times New Roman"/>
        </w:rPr>
        <w:t>fiduciary</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duty</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law</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recognizes</w:t>
      </w:r>
      <w:proofErr w:type="spellEnd"/>
      <w:r w:rsidR="00E74BD1" w:rsidRPr="00705170">
        <w:rPr>
          <w:rFonts w:ascii="Times New Roman" w:hAnsi="Times New Roman" w:cs="Times New Roman"/>
        </w:rPr>
        <w:t xml:space="preserve"> a </w:t>
      </w:r>
      <w:proofErr w:type="spellStart"/>
      <w:r w:rsidR="00E74BD1" w:rsidRPr="00705170">
        <w:rPr>
          <w:rFonts w:ascii="Times New Roman" w:hAnsi="Times New Roman" w:cs="Times New Roman"/>
        </w:rPr>
        <w:t>cause</w:t>
      </w:r>
      <w:proofErr w:type="spellEnd"/>
      <w:r w:rsidR="00E74BD1" w:rsidRPr="00705170">
        <w:rPr>
          <w:rFonts w:ascii="Times New Roman" w:hAnsi="Times New Roman" w:cs="Times New Roman"/>
        </w:rPr>
        <w:t xml:space="preserve"> of </w:t>
      </w:r>
      <w:proofErr w:type="spellStart"/>
      <w:r w:rsidR="00E74BD1" w:rsidRPr="00705170">
        <w:rPr>
          <w:rFonts w:ascii="Times New Roman" w:hAnsi="Times New Roman" w:cs="Times New Roman"/>
        </w:rPr>
        <w:t>action</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for</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oppression</w:t>
      </w:r>
      <w:proofErr w:type="spellEnd"/>
      <w:r w:rsidR="00E74BD1" w:rsidRPr="00705170">
        <w:rPr>
          <w:rFonts w:ascii="Times New Roman" w:hAnsi="Times New Roman" w:cs="Times New Roman"/>
        </w:rPr>
        <w:t xml:space="preserve"> of </w:t>
      </w:r>
      <w:proofErr w:type="spellStart"/>
      <w:r w:rsidR="00E74BD1" w:rsidRPr="00705170">
        <w:rPr>
          <w:rFonts w:ascii="Times New Roman" w:hAnsi="Times New Roman" w:cs="Times New Roman"/>
        </w:rPr>
        <w:t>minority</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shareholders</w:t>
      </w:r>
      <w:proofErr w:type="spellEnd"/>
      <w:r w:rsidR="00E74BD1" w:rsidRPr="00705170">
        <w:rPr>
          <w:rFonts w:ascii="Times New Roman" w:hAnsi="Times New Roman" w:cs="Times New Roman"/>
        </w:rPr>
        <w:t xml:space="preserve">; </w:t>
      </w:r>
      <w:r w:rsidR="00E74BD1" w:rsidRPr="00705170">
        <w:rPr>
          <w:rFonts w:ascii="Times New Roman" w:hAnsi="Times New Roman" w:cs="Times New Roman"/>
        </w:rPr>
        <w:lastRenderedPageBreak/>
        <w:t xml:space="preserve">I </w:t>
      </w:r>
      <w:proofErr w:type="spellStart"/>
      <w:r w:rsidR="00E74BD1" w:rsidRPr="00705170">
        <w:rPr>
          <w:rFonts w:ascii="Times New Roman" w:hAnsi="Times New Roman" w:cs="Times New Roman"/>
        </w:rPr>
        <w:t>assume</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for</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purposes</w:t>
      </w:r>
      <w:proofErr w:type="spellEnd"/>
      <w:r w:rsidR="00E74BD1" w:rsidRPr="00705170">
        <w:rPr>
          <w:rFonts w:ascii="Times New Roman" w:hAnsi="Times New Roman" w:cs="Times New Roman"/>
        </w:rPr>
        <w:t xml:space="preserve"> of </w:t>
      </w:r>
      <w:proofErr w:type="spellStart"/>
      <w:r w:rsidR="00E74BD1" w:rsidRPr="00705170">
        <w:rPr>
          <w:rFonts w:ascii="Times New Roman" w:hAnsi="Times New Roman" w:cs="Times New Roman"/>
        </w:rPr>
        <w:t>this</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motion</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without</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deciding</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that</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under</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some</w:t>
      </w:r>
      <w:proofErr w:type="spellEnd"/>
      <w:r w:rsidR="00E74BD1" w:rsidRPr="00705170">
        <w:rPr>
          <w:rFonts w:ascii="Times New Roman" w:hAnsi="Times New Roman" w:cs="Times New Roman"/>
        </w:rPr>
        <w:t xml:space="preserve"> </w:t>
      </w:r>
      <w:proofErr w:type="spellStart"/>
      <w:r w:rsidR="00E74BD1" w:rsidRPr="00705170">
        <w:rPr>
          <w:rFonts w:ascii="Times New Roman" w:hAnsi="Times New Roman" w:cs="Times New Roman"/>
        </w:rPr>
        <w:t>circumstances</w:t>
      </w:r>
      <w:proofErr w:type="spellEnd"/>
      <w:r w:rsidR="00E74BD1" w:rsidRPr="00705170">
        <w:rPr>
          <w:rFonts w:ascii="Times New Roman" w:hAnsi="Times New Roman" w:cs="Times New Roman"/>
        </w:rPr>
        <w:t xml:space="preserve"> it </w:t>
      </w:r>
      <w:proofErr w:type="spellStart"/>
      <w:r w:rsidR="00E74BD1" w:rsidRPr="00705170">
        <w:rPr>
          <w:rFonts w:ascii="Times New Roman" w:hAnsi="Times New Roman" w:cs="Times New Roman"/>
        </w:rPr>
        <w:t>may</w:t>
      </w:r>
      <w:proofErr w:type="spellEnd"/>
      <w:r w:rsidR="00E74BD1" w:rsidRPr="00705170">
        <w:rPr>
          <w:rFonts w:ascii="Times New Roman" w:hAnsi="Times New Roman" w:cs="Times New Roman"/>
        </w:rPr>
        <w:t>”</w:t>
      </w:r>
      <w:r w:rsidR="00E74BD1" w:rsidRPr="00705170">
        <w:rPr>
          <w:rStyle w:val="DipnotBavurusu"/>
          <w:rFonts w:ascii="Times New Roman" w:hAnsi="Times New Roman" w:cs="Times New Roman"/>
        </w:rPr>
        <w:footnoteReference w:id="638"/>
      </w:r>
      <w:r w:rsidR="00E74BD1" w:rsidRPr="00705170">
        <w:rPr>
          <w:rFonts w:ascii="Times New Roman" w:hAnsi="Times New Roman" w:cs="Times New Roman"/>
        </w:rPr>
        <w:t xml:space="preserve">. </w:t>
      </w:r>
      <w:proofErr w:type="spellStart"/>
      <w:r w:rsidR="00057DB5" w:rsidRPr="00705170">
        <w:rPr>
          <w:rFonts w:ascii="Times New Roman" w:hAnsi="Times New Roman" w:cs="Times New Roman"/>
        </w:rPr>
        <w:t>Plaintiffs</w:t>
      </w:r>
      <w:proofErr w:type="spellEnd"/>
      <w:r w:rsidR="007D57F6" w:rsidRPr="00705170">
        <w:rPr>
          <w:rFonts w:ascii="Times New Roman" w:hAnsi="Times New Roman" w:cs="Times New Roman"/>
        </w:rPr>
        <w:t xml:space="preserve"> </w:t>
      </w:r>
      <w:proofErr w:type="spellStart"/>
      <w:r w:rsidR="007D57F6" w:rsidRPr="00705170">
        <w:rPr>
          <w:rFonts w:ascii="Times New Roman" w:hAnsi="Times New Roman" w:cs="Times New Roman"/>
        </w:rPr>
        <w:t>should</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allege</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claims</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for</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breach</w:t>
      </w:r>
      <w:proofErr w:type="spellEnd"/>
      <w:r w:rsidR="00057DB5" w:rsidRPr="00705170">
        <w:rPr>
          <w:rFonts w:ascii="Times New Roman" w:hAnsi="Times New Roman" w:cs="Times New Roman"/>
        </w:rPr>
        <w:t xml:space="preserve"> of </w:t>
      </w:r>
      <w:proofErr w:type="spellStart"/>
      <w:r w:rsidR="00057DB5" w:rsidRPr="00705170">
        <w:rPr>
          <w:rFonts w:ascii="Times New Roman" w:hAnsi="Times New Roman" w:cs="Times New Roman"/>
        </w:rPr>
        <w:t>fiduciary</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duties</w:t>
      </w:r>
      <w:proofErr w:type="spellEnd"/>
      <w:r w:rsidR="00057DB5" w:rsidRPr="00705170">
        <w:rPr>
          <w:rFonts w:ascii="Times New Roman" w:hAnsi="Times New Roman" w:cs="Times New Roman"/>
        </w:rPr>
        <w:t xml:space="preserve"> in </w:t>
      </w:r>
      <w:proofErr w:type="spellStart"/>
      <w:r w:rsidR="00057DB5" w:rsidRPr="00705170">
        <w:rPr>
          <w:rFonts w:ascii="Times New Roman" w:hAnsi="Times New Roman" w:cs="Times New Roman"/>
        </w:rPr>
        <w:t>efforts</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to</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secure</w:t>
      </w:r>
      <w:proofErr w:type="spellEnd"/>
      <w:r w:rsidR="00057DB5" w:rsidRPr="00705170">
        <w:rPr>
          <w:rFonts w:ascii="Times New Roman" w:hAnsi="Times New Roman" w:cs="Times New Roman"/>
        </w:rPr>
        <w:t xml:space="preserve"> a </w:t>
      </w:r>
      <w:proofErr w:type="spellStart"/>
      <w:r w:rsidR="00057DB5" w:rsidRPr="00705170">
        <w:rPr>
          <w:rFonts w:ascii="Times New Roman" w:hAnsi="Times New Roman" w:cs="Times New Roman"/>
        </w:rPr>
        <w:t>review</w:t>
      </w:r>
      <w:proofErr w:type="spellEnd"/>
      <w:r w:rsidR="00057DB5" w:rsidRPr="00705170">
        <w:rPr>
          <w:rFonts w:ascii="Times New Roman" w:hAnsi="Times New Roman" w:cs="Times New Roman"/>
        </w:rPr>
        <w:t xml:space="preserve"> of </w:t>
      </w:r>
      <w:proofErr w:type="spellStart"/>
      <w:r w:rsidR="00057DB5" w:rsidRPr="00705170">
        <w:rPr>
          <w:rFonts w:ascii="Times New Roman" w:hAnsi="Times New Roman" w:cs="Times New Roman"/>
        </w:rPr>
        <w:t>their</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claims</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under</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the</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entire</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fairness</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doctrine</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which</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requires</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majority</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shareholder</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to</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demonstrate</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the</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fairness</w:t>
      </w:r>
      <w:proofErr w:type="spellEnd"/>
      <w:r w:rsidR="00057DB5" w:rsidRPr="00705170">
        <w:rPr>
          <w:rFonts w:ascii="Times New Roman" w:hAnsi="Times New Roman" w:cs="Times New Roman"/>
        </w:rPr>
        <w:t xml:space="preserve">- in </w:t>
      </w:r>
      <w:proofErr w:type="spellStart"/>
      <w:r w:rsidR="00057DB5" w:rsidRPr="00705170">
        <w:rPr>
          <w:rFonts w:ascii="Times New Roman" w:hAnsi="Times New Roman" w:cs="Times New Roman"/>
        </w:rPr>
        <w:t>terms</w:t>
      </w:r>
      <w:proofErr w:type="spellEnd"/>
      <w:r w:rsidR="00057DB5" w:rsidRPr="00705170">
        <w:rPr>
          <w:rFonts w:ascii="Times New Roman" w:hAnsi="Times New Roman" w:cs="Times New Roman"/>
        </w:rPr>
        <w:t xml:space="preserve"> of </w:t>
      </w:r>
      <w:proofErr w:type="spellStart"/>
      <w:r w:rsidR="00057DB5" w:rsidRPr="00705170">
        <w:rPr>
          <w:rFonts w:ascii="Times New Roman" w:hAnsi="Times New Roman" w:cs="Times New Roman"/>
        </w:rPr>
        <w:t>price</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and</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dealing</w:t>
      </w:r>
      <w:proofErr w:type="spellEnd"/>
      <w:r w:rsidR="00057DB5" w:rsidRPr="00705170">
        <w:rPr>
          <w:rFonts w:ascii="Times New Roman" w:hAnsi="Times New Roman" w:cs="Times New Roman"/>
        </w:rPr>
        <w:t xml:space="preserve">- of </w:t>
      </w:r>
      <w:proofErr w:type="spellStart"/>
      <w:r w:rsidR="00057DB5" w:rsidRPr="00705170">
        <w:rPr>
          <w:rFonts w:ascii="Times New Roman" w:hAnsi="Times New Roman" w:cs="Times New Roman"/>
        </w:rPr>
        <w:t>their</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conduct</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rather</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than</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under</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the</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business</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judgment</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rule</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which</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gives</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the</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majority</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shareholders</w:t>
      </w:r>
      <w:proofErr w:type="spellEnd"/>
      <w:r w:rsidR="00057DB5" w:rsidRPr="00705170">
        <w:rPr>
          <w:rFonts w:ascii="Times New Roman" w:hAnsi="Times New Roman" w:cs="Times New Roman"/>
        </w:rPr>
        <w:t xml:space="preserve"> far </w:t>
      </w:r>
      <w:proofErr w:type="spellStart"/>
      <w:r w:rsidR="00057DB5" w:rsidRPr="00705170">
        <w:rPr>
          <w:rFonts w:ascii="Times New Roman" w:hAnsi="Times New Roman" w:cs="Times New Roman"/>
        </w:rPr>
        <w:t>more</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latitude</w:t>
      </w:r>
      <w:proofErr w:type="spellEnd"/>
      <w:r w:rsidR="00057DB5" w:rsidRPr="00705170">
        <w:rPr>
          <w:rFonts w:ascii="Times New Roman" w:hAnsi="Times New Roman" w:cs="Times New Roman"/>
        </w:rPr>
        <w:t xml:space="preserve"> in </w:t>
      </w:r>
      <w:proofErr w:type="spellStart"/>
      <w:r w:rsidR="00057DB5" w:rsidRPr="00705170">
        <w:rPr>
          <w:rFonts w:ascii="Times New Roman" w:hAnsi="Times New Roman" w:cs="Times New Roman"/>
        </w:rPr>
        <w:t>their</w:t>
      </w:r>
      <w:proofErr w:type="spellEnd"/>
      <w:r w:rsidR="00057DB5" w:rsidRPr="00705170">
        <w:rPr>
          <w:rFonts w:ascii="Times New Roman" w:hAnsi="Times New Roman" w:cs="Times New Roman"/>
        </w:rPr>
        <w:t xml:space="preserve"> </w:t>
      </w:r>
      <w:proofErr w:type="spellStart"/>
      <w:r w:rsidR="00057DB5" w:rsidRPr="00705170">
        <w:rPr>
          <w:rFonts w:ascii="Times New Roman" w:hAnsi="Times New Roman" w:cs="Times New Roman"/>
        </w:rPr>
        <w:t>decision-making</w:t>
      </w:r>
      <w:proofErr w:type="spellEnd"/>
      <w:r w:rsidR="00057DB5" w:rsidRPr="00705170">
        <w:rPr>
          <w:rFonts w:ascii="Times New Roman" w:hAnsi="Times New Roman" w:cs="Times New Roman"/>
        </w:rPr>
        <w:t>”</w:t>
      </w:r>
      <w:r w:rsidR="00057DB5" w:rsidRPr="00705170">
        <w:rPr>
          <w:rStyle w:val="DipnotBavurusu"/>
          <w:rFonts w:ascii="Times New Roman" w:hAnsi="Times New Roman" w:cs="Times New Roman"/>
        </w:rPr>
        <w:footnoteReference w:id="639"/>
      </w:r>
      <w:r w:rsidR="00057DB5" w:rsidRPr="00705170">
        <w:rPr>
          <w:rFonts w:ascii="Times New Roman" w:hAnsi="Times New Roman" w:cs="Times New Roman"/>
        </w:rPr>
        <w:t>.</w:t>
      </w:r>
      <w:r w:rsidR="00343C3A"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obstacle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prevents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application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entire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fairness</w:t>
      </w:r>
      <w:proofErr w:type="spellEnd"/>
      <w:r w:rsidRPr="00705170">
        <w:rPr>
          <w:rFonts w:ascii="Times New Roman" w:hAnsi="Times New Roman" w:cs="Times New Roman"/>
        </w:rPr>
        <w:t xml:space="preserve"> test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freezeout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definition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elements</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freezeout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discharge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failure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pay </w:t>
      </w:r>
      <w:proofErr w:type="spellStart"/>
      <w:r w:rsidRPr="00705170">
        <w:rPr>
          <w:rFonts w:ascii="Times New Roman" w:hAnsi="Times New Roman" w:cs="Times New Roman"/>
        </w:rPr>
        <w:t>dividends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precluding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participation</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board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enterprise</w:t>
      </w:r>
      <w:proofErr w:type="spellEnd"/>
      <w:r w:rsidRPr="00705170">
        <w:rPr>
          <w:rFonts w:ascii="Times New Roman" w:hAnsi="Times New Roman" w:cs="Times New Roman"/>
        </w:rPr>
        <w:t xml:space="preserve">) as a form of self- </w:t>
      </w:r>
      <w:proofErr w:type="spellStart"/>
      <w:r w:rsidRPr="00705170">
        <w:rPr>
          <w:rFonts w:ascii="Times New Roman" w:hAnsi="Times New Roman" w:cs="Times New Roman"/>
        </w:rPr>
        <w:t>dealing</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640"/>
      </w:r>
      <w:r w:rsidRPr="00705170">
        <w:rPr>
          <w:rFonts w:ascii="Times New Roman" w:hAnsi="Times New Roman" w:cs="Times New Roman"/>
        </w:rPr>
        <w:t>.</w:t>
      </w:r>
      <w:r w:rsidR="00F00FE3" w:rsidRPr="00705170">
        <w:rPr>
          <w:rFonts w:ascii="Times New Roman" w:hAnsi="Times New Roman" w:cs="Times New Roman"/>
        </w:rPr>
        <w:t xml:space="preserve"> </w:t>
      </w:r>
      <w:proofErr w:type="spellStart"/>
      <w:r w:rsidR="000E7902" w:rsidRPr="00705170">
        <w:rPr>
          <w:rFonts w:ascii="Times New Roman" w:hAnsi="Times New Roman" w:cs="Times New Roman"/>
        </w:rPr>
        <w:t>The</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remedies</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available</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to</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complaning</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shareholders</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would</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change</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depending</w:t>
      </w:r>
      <w:proofErr w:type="spellEnd"/>
      <w:r w:rsidR="000E7902" w:rsidRPr="00705170">
        <w:rPr>
          <w:rFonts w:ascii="Times New Roman" w:hAnsi="Times New Roman" w:cs="Times New Roman"/>
        </w:rPr>
        <w:t xml:space="preserve"> on </w:t>
      </w:r>
      <w:proofErr w:type="spellStart"/>
      <w:r w:rsidR="000E7902" w:rsidRPr="00705170">
        <w:rPr>
          <w:rFonts w:ascii="Times New Roman" w:hAnsi="Times New Roman" w:cs="Times New Roman"/>
        </w:rPr>
        <w:t>the</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case</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For</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example</w:t>
      </w:r>
      <w:proofErr w:type="spellEnd"/>
      <w:r w:rsidR="000E7902" w:rsidRPr="00705170">
        <w:rPr>
          <w:rFonts w:ascii="Times New Roman" w:hAnsi="Times New Roman" w:cs="Times New Roman"/>
        </w:rPr>
        <w:t xml:space="preserve">, in an </w:t>
      </w:r>
      <w:proofErr w:type="spellStart"/>
      <w:r w:rsidR="000E7902" w:rsidRPr="00705170">
        <w:rPr>
          <w:rFonts w:ascii="Times New Roman" w:hAnsi="Times New Roman" w:cs="Times New Roman"/>
        </w:rPr>
        <w:t>explicit</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freezeout</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merger</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case</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appraisal</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or</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rescissory</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damages</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would</w:t>
      </w:r>
      <w:proofErr w:type="spellEnd"/>
      <w:r w:rsidR="000E7902" w:rsidRPr="00705170">
        <w:rPr>
          <w:rFonts w:ascii="Times New Roman" w:hAnsi="Times New Roman" w:cs="Times New Roman"/>
        </w:rPr>
        <w:t xml:space="preserve"> be </w:t>
      </w:r>
      <w:proofErr w:type="spellStart"/>
      <w:r w:rsidR="000E7902" w:rsidRPr="00705170">
        <w:rPr>
          <w:rFonts w:ascii="Times New Roman" w:hAnsi="Times New Roman" w:cs="Times New Roman"/>
        </w:rPr>
        <w:t>available</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for</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other</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kinds</w:t>
      </w:r>
      <w:proofErr w:type="spellEnd"/>
      <w:r w:rsidR="000E7902" w:rsidRPr="00705170">
        <w:rPr>
          <w:rFonts w:ascii="Times New Roman" w:hAnsi="Times New Roman" w:cs="Times New Roman"/>
        </w:rPr>
        <w:t xml:space="preserve"> of </w:t>
      </w:r>
      <w:proofErr w:type="spellStart"/>
      <w:r w:rsidR="000E7902" w:rsidRPr="00705170">
        <w:rPr>
          <w:rFonts w:ascii="Times New Roman" w:hAnsi="Times New Roman" w:cs="Times New Roman"/>
        </w:rPr>
        <w:t>oppression</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schemes</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compensatory</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and</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equitable</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reliefs</w:t>
      </w:r>
      <w:proofErr w:type="spellEnd"/>
      <w:r w:rsidR="000E7902" w:rsidRPr="00705170">
        <w:rPr>
          <w:rFonts w:ascii="Times New Roman" w:hAnsi="Times New Roman" w:cs="Times New Roman"/>
        </w:rPr>
        <w:t xml:space="preserve"> can be in </w:t>
      </w:r>
      <w:proofErr w:type="spellStart"/>
      <w:r w:rsidR="000E7902" w:rsidRPr="00705170">
        <w:rPr>
          <w:rFonts w:ascii="Times New Roman" w:hAnsi="Times New Roman" w:cs="Times New Roman"/>
        </w:rPr>
        <w:t>play</w:t>
      </w:r>
      <w:proofErr w:type="spellEnd"/>
      <w:r w:rsidR="000E7902" w:rsidRPr="00705170">
        <w:rPr>
          <w:rFonts w:ascii="Times New Roman" w:hAnsi="Times New Roman" w:cs="Times New Roman"/>
        </w:rPr>
        <w:t xml:space="preserve">, but </w:t>
      </w:r>
      <w:proofErr w:type="spellStart"/>
      <w:r w:rsidR="000E7902" w:rsidRPr="00705170">
        <w:rPr>
          <w:rFonts w:ascii="Times New Roman" w:hAnsi="Times New Roman" w:cs="Times New Roman"/>
        </w:rPr>
        <w:t>the</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dissolution</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and</w:t>
      </w:r>
      <w:proofErr w:type="spellEnd"/>
      <w:r w:rsidR="000E7902" w:rsidRPr="00705170">
        <w:rPr>
          <w:rFonts w:ascii="Times New Roman" w:hAnsi="Times New Roman" w:cs="Times New Roman"/>
        </w:rPr>
        <w:t xml:space="preserve"> a </w:t>
      </w:r>
      <w:proofErr w:type="spellStart"/>
      <w:r w:rsidR="000E7902" w:rsidRPr="00705170">
        <w:rPr>
          <w:rFonts w:ascii="Times New Roman" w:hAnsi="Times New Roman" w:cs="Times New Roman"/>
        </w:rPr>
        <w:t>buyout</w:t>
      </w:r>
      <w:proofErr w:type="spellEnd"/>
      <w:r w:rsidR="000E7902" w:rsidRPr="00705170">
        <w:rPr>
          <w:rFonts w:ascii="Times New Roman" w:hAnsi="Times New Roman" w:cs="Times New Roman"/>
        </w:rPr>
        <w:t xml:space="preserve"> of </w:t>
      </w:r>
      <w:proofErr w:type="spellStart"/>
      <w:r w:rsidR="000E7902" w:rsidRPr="00705170">
        <w:rPr>
          <w:rFonts w:ascii="Times New Roman" w:hAnsi="Times New Roman" w:cs="Times New Roman"/>
        </w:rPr>
        <w:t>the</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minority</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shares</w:t>
      </w:r>
      <w:proofErr w:type="spellEnd"/>
      <w:r w:rsidR="000E7902" w:rsidRPr="00705170">
        <w:rPr>
          <w:rFonts w:ascii="Times New Roman" w:hAnsi="Times New Roman" w:cs="Times New Roman"/>
        </w:rPr>
        <w:t xml:space="preserve"> in </w:t>
      </w:r>
      <w:proofErr w:type="spellStart"/>
      <w:r w:rsidR="000E7902" w:rsidRPr="00705170">
        <w:rPr>
          <w:rFonts w:ascii="Times New Roman" w:hAnsi="Times New Roman" w:cs="Times New Roman"/>
        </w:rPr>
        <w:t>lieu</w:t>
      </w:r>
      <w:proofErr w:type="spellEnd"/>
      <w:r w:rsidR="000E7902" w:rsidRPr="00705170">
        <w:rPr>
          <w:rFonts w:ascii="Times New Roman" w:hAnsi="Times New Roman" w:cs="Times New Roman"/>
        </w:rPr>
        <w:t xml:space="preserve"> of </w:t>
      </w:r>
      <w:proofErr w:type="spellStart"/>
      <w:r w:rsidR="000E7902" w:rsidRPr="00705170">
        <w:rPr>
          <w:rFonts w:ascii="Times New Roman" w:hAnsi="Times New Roman" w:cs="Times New Roman"/>
        </w:rPr>
        <w:t>dissolution</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would</w:t>
      </w:r>
      <w:proofErr w:type="spellEnd"/>
      <w:r w:rsidR="000E7902" w:rsidRPr="00705170">
        <w:rPr>
          <w:rFonts w:ascii="Times New Roman" w:hAnsi="Times New Roman" w:cs="Times New Roman"/>
        </w:rPr>
        <w:t xml:space="preserve"> be </w:t>
      </w:r>
      <w:proofErr w:type="spellStart"/>
      <w:r w:rsidR="000E7902" w:rsidRPr="00705170">
        <w:rPr>
          <w:rFonts w:ascii="Times New Roman" w:hAnsi="Times New Roman" w:cs="Times New Roman"/>
        </w:rPr>
        <w:t>more</w:t>
      </w:r>
      <w:proofErr w:type="spellEnd"/>
      <w:r w:rsidR="000E7902" w:rsidRPr="00705170">
        <w:rPr>
          <w:rFonts w:ascii="Times New Roman" w:hAnsi="Times New Roman" w:cs="Times New Roman"/>
        </w:rPr>
        <w:t xml:space="preserve"> </w:t>
      </w:r>
      <w:proofErr w:type="spellStart"/>
      <w:r w:rsidR="000E7902" w:rsidRPr="00705170">
        <w:rPr>
          <w:rFonts w:ascii="Times New Roman" w:hAnsi="Times New Roman" w:cs="Times New Roman"/>
        </w:rPr>
        <w:t>questionable</w:t>
      </w:r>
      <w:proofErr w:type="spellEnd"/>
      <w:r w:rsidR="000E7902" w:rsidRPr="00705170">
        <w:rPr>
          <w:rStyle w:val="DipnotBavurusu"/>
          <w:rFonts w:ascii="Times New Roman" w:hAnsi="Times New Roman" w:cs="Times New Roman"/>
        </w:rPr>
        <w:footnoteReference w:id="641"/>
      </w:r>
      <w:r w:rsidR="000E7902" w:rsidRPr="00705170">
        <w:rPr>
          <w:rFonts w:ascii="Times New Roman" w:hAnsi="Times New Roman" w:cs="Times New Roman"/>
        </w:rPr>
        <w:t>.</w:t>
      </w:r>
    </w:p>
    <w:p w14:paraId="5B8D326E" w14:textId="3B9C13EA" w:rsidR="005E4903" w:rsidRPr="00705170" w:rsidRDefault="00C01441" w:rsidP="005E4903">
      <w:pPr>
        <w:spacing w:after="240" w:line="480" w:lineRule="auto"/>
        <w:ind w:firstLine="708"/>
        <w:rPr>
          <w:rFonts w:ascii="Times New Roman" w:hAnsi="Times New Roman" w:cs="Times New Roman"/>
          <w:b/>
          <w:color w:val="000000" w:themeColor="text1"/>
        </w:rPr>
      </w:pPr>
      <w:r>
        <w:rPr>
          <w:rFonts w:ascii="Times New Roman" w:hAnsi="Times New Roman" w:cs="Times New Roman"/>
          <w:b/>
          <w:color w:val="000000" w:themeColor="text1"/>
        </w:rPr>
        <w:t>4</w:t>
      </w:r>
      <w:r w:rsidR="005E4903" w:rsidRPr="00705170">
        <w:rPr>
          <w:rFonts w:ascii="Times New Roman" w:hAnsi="Times New Roman" w:cs="Times New Roman"/>
          <w:b/>
          <w:color w:val="000000" w:themeColor="text1"/>
        </w:rPr>
        <w:t xml:space="preserve">.2.4. New York </w:t>
      </w:r>
      <w:proofErr w:type="spellStart"/>
      <w:r w:rsidR="005E4903" w:rsidRPr="00705170">
        <w:rPr>
          <w:rFonts w:ascii="Times New Roman" w:hAnsi="Times New Roman" w:cs="Times New Roman"/>
          <w:b/>
          <w:color w:val="000000" w:themeColor="text1"/>
        </w:rPr>
        <w:t>Law</w:t>
      </w:r>
      <w:proofErr w:type="spellEnd"/>
    </w:p>
    <w:p w14:paraId="2F2CCA36" w14:textId="756E5E5F" w:rsidR="00606F9A" w:rsidRPr="00705170" w:rsidRDefault="00931C47" w:rsidP="00931C47">
      <w:pPr>
        <w:spacing w:after="240" w:line="480" w:lineRule="auto"/>
        <w:ind w:firstLine="708"/>
        <w:jc w:val="both"/>
        <w:rPr>
          <w:rFonts w:ascii="Times New Roman" w:hAnsi="Times New Roman" w:cs="Times New Roman"/>
          <w:color w:val="000000" w:themeColor="text1"/>
        </w:rPr>
      </w:pPr>
      <w:proofErr w:type="spellStart"/>
      <w:r w:rsidRPr="00705170">
        <w:rPr>
          <w:rFonts w:ascii="Times New Roman" w:hAnsi="Times New Roman" w:cs="Times New Roman"/>
          <w:color w:val="000000" w:themeColor="text1"/>
        </w:rPr>
        <w:t>Before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enactment</w:t>
      </w:r>
      <w:proofErr w:type="spellEnd"/>
      <w:r w:rsidRPr="00705170">
        <w:rPr>
          <w:rFonts w:ascii="Times New Roman" w:hAnsi="Times New Roman" w:cs="Times New Roman"/>
          <w:color w:val="000000" w:themeColor="text1"/>
        </w:rPr>
        <w:t xml:space="preserve"> of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002E47DC" w:rsidRPr="00705170">
        <w:rPr>
          <w:rFonts w:ascii="Times New Roman" w:hAnsi="Times New Roman" w:cs="Times New Roman"/>
          <w:color w:val="000000" w:themeColor="text1"/>
        </w:rPr>
        <w:t>specific</w:t>
      </w:r>
      <w:proofErr w:type="spellEnd"/>
      <w:r w:rsidR="002E47DC"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statutory</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provision</w:t>
      </w:r>
      <w:proofErr w:type="spellEnd"/>
      <w:r w:rsidRPr="00705170">
        <w:rPr>
          <w:rFonts w:ascii="Times New Roman" w:hAnsi="Times New Roman" w:cs="Times New Roman"/>
          <w:color w:val="000000" w:themeColor="text1"/>
        </w:rPr>
        <w:t xml:space="preserve"> in 1979, </w:t>
      </w:r>
      <w:proofErr w:type="spellStart"/>
      <w:r w:rsidRPr="00705170">
        <w:rPr>
          <w:rFonts w:ascii="Times New Roman" w:hAnsi="Times New Roman" w:cs="Times New Roman"/>
          <w:color w:val="000000" w:themeColor="text1"/>
        </w:rPr>
        <w:t>statutory</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scheme</w:t>
      </w:r>
      <w:proofErr w:type="spellEnd"/>
      <w:r w:rsidRPr="00705170">
        <w:rPr>
          <w:rFonts w:ascii="Times New Roman" w:hAnsi="Times New Roman" w:cs="Times New Roman"/>
          <w:color w:val="000000" w:themeColor="text1"/>
        </w:rPr>
        <w:t xml:space="preserve"> of New York </w:t>
      </w:r>
      <w:proofErr w:type="spellStart"/>
      <w:r w:rsidRPr="00705170">
        <w:rPr>
          <w:rFonts w:ascii="Times New Roman" w:hAnsi="Times New Roman" w:cs="Times New Roman"/>
          <w:color w:val="000000" w:themeColor="text1"/>
        </w:rPr>
        <w:t>placed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substantial</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obstacles</w:t>
      </w:r>
      <w:proofErr w:type="spellEnd"/>
      <w:r w:rsidRPr="00705170">
        <w:rPr>
          <w:rFonts w:ascii="Times New Roman" w:hAnsi="Times New Roman" w:cs="Times New Roman"/>
          <w:color w:val="000000" w:themeColor="text1"/>
        </w:rPr>
        <w:t xml:space="preserve"> in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path</w:t>
      </w:r>
      <w:proofErr w:type="spellEnd"/>
      <w:r w:rsidRPr="00705170">
        <w:rPr>
          <w:rFonts w:ascii="Times New Roman" w:hAnsi="Times New Roman" w:cs="Times New Roman"/>
          <w:color w:val="000000" w:themeColor="text1"/>
        </w:rPr>
        <w:t xml:space="preserve"> of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petitioners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seeking</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dissolution</w:t>
      </w:r>
      <w:proofErr w:type="spellEnd"/>
      <w:r w:rsidRPr="00705170">
        <w:rPr>
          <w:rFonts w:ascii="Times New Roman" w:hAnsi="Times New Roman" w:cs="Times New Roman"/>
          <w:color w:val="000000" w:themeColor="text1"/>
        </w:rPr>
        <w:t xml:space="preserve"> of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lastRenderedPageBreak/>
        <w:t>corporation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and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judiciary</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was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reluctant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to</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order</w:t>
      </w:r>
      <w:proofErr w:type="spellEnd"/>
      <w:r w:rsidRPr="00705170">
        <w:rPr>
          <w:rFonts w:ascii="Times New Roman" w:hAnsi="Times New Roman" w:cs="Times New Roman"/>
          <w:color w:val="000000" w:themeColor="text1"/>
        </w:rPr>
        <w:t xml:space="preserve"> </w:t>
      </w:r>
      <w:r w:rsidR="002E47DC" w:rsidRPr="00705170">
        <w:rPr>
          <w:rFonts w:ascii="Times New Roman" w:hAnsi="Times New Roman" w:cs="Times New Roman"/>
          <w:color w:val="000000" w:themeColor="text1"/>
        </w:rPr>
        <w:t>it</w:t>
      </w:r>
      <w:r w:rsidRPr="00705170">
        <w:rPr>
          <w:rStyle w:val="DipnotBavurusu"/>
          <w:rFonts w:ascii="Times New Roman" w:hAnsi="Times New Roman" w:cs="Times New Roman"/>
          <w:color w:val="000000" w:themeColor="text1"/>
        </w:rPr>
        <w:footnoteReference w:id="642"/>
      </w:r>
      <w:r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In</w:t>
      </w:r>
      <w:proofErr w:type="spellEnd"/>
      <w:r w:rsidR="00303BC5" w:rsidRPr="00705170">
        <w:rPr>
          <w:rFonts w:ascii="Times New Roman" w:hAnsi="Times New Roman" w:cs="Times New Roman"/>
          <w:color w:val="000000" w:themeColor="text1"/>
        </w:rPr>
        <w:t xml:space="preserve"> 1979, New York </w:t>
      </w:r>
      <w:proofErr w:type="spellStart"/>
      <w:r w:rsidR="00303BC5" w:rsidRPr="00705170">
        <w:rPr>
          <w:rFonts w:ascii="Times New Roman" w:hAnsi="Times New Roman" w:cs="Times New Roman"/>
          <w:color w:val="000000" w:themeColor="text1"/>
        </w:rPr>
        <w:t>legislature</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added</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sections</w:t>
      </w:r>
      <w:proofErr w:type="spellEnd"/>
      <w:r w:rsidR="00303BC5" w:rsidRPr="00705170">
        <w:rPr>
          <w:rFonts w:ascii="Times New Roman" w:hAnsi="Times New Roman" w:cs="Times New Roman"/>
          <w:color w:val="000000" w:themeColor="text1"/>
        </w:rPr>
        <w:t xml:space="preserve"> 1104-a </w:t>
      </w:r>
      <w:proofErr w:type="spellStart"/>
      <w:r w:rsidR="00303BC5" w:rsidRPr="00705170">
        <w:rPr>
          <w:rFonts w:ascii="Times New Roman" w:hAnsi="Times New Roman" w:cs="Times New Roman"/>
          <w:color w:val="000000" w:themeColor="text1"/>
        </w:rPr>
        <w:t>and</w:t>
      </w:r>
      <w:proofErr w:type="spellEnd"/>
      <w:r w:rsidR="00303BC5" w:rsidRPr="00705170">
        <w:rPr>
          <w:rFonts w:ascii="Times New Roman" w:hAnsi="Times New Roman" w:cs="Times New Roman"/>
          <w:color w:val="000000" w:themeColor="text1"/>
        </w:rPr>
        <w:t xml:space="preserve"> 1118 </w:t>
      </w:r>
      <w:proofErr w:type="spellStart"/>
      <w:r w:rsidR="00303BC5" w:rsidRPr="00705170">
        <w:rPr>
          <w:rFonts w:ascii="Times New Roman" w:hAnsi="Times New Roman" w:cs="Times New Roman"/>
          <w:color w:val="000000" w:themeColor="text1"/>
        </w:rPr>
        <w:t>to</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the</w:t>
      </w:r>
      <w:proofErr w:type="spellEnd"/>
      <w:r w:rsidR="00303BC5" w:rsidRPr="00705170">
        <w:rPr>
          <w:rFonts w:ascii="Times New Roman" w:hAnsi="Times New Roman" w:cs="Times New Roman"/>
          <w:color w:val="000000" w:themeColor="text1"/>
        </w:rPr>
        <w:t xml:space="preserve"> New </w:t>
      </w:r>
      <w:proofErr w:type="spellStart"/>
      <w:r w:rsidR="00303BC5" w:rsidRPr="00705170">
        <w:rPr>
          <w:rFonts w:ascii="Times New Roman" w:hAnsi="Times New Roman" w:cs="Times New Roman"/>
          <w:color w:val="000000" w:themeColor="text1"/>
        </w:rPr>
        <w:t>York’s</w:t>
      </w:r>
      <w:proofErr w:type="spellEnd"/>
      <w:r w:rsidR="00303BC5" w:rsidRPr="00705170">
        <w:rPr>
          <w:rFonts w:ascii="Times New Roman" w:hAnsi="Times New Roman" w:cs="Times New Roman"/>
          <w:color w:val="000000" w:themeColor="text1"/>
        </w:rPr>
        <w:t xml:space="preserve"> Business Corporation </w:t>
      </w:r>
      <w:proofErr w:type="spellStart"/>
      <w:r w:rsidR="00303BC5" w:rsidRPr="00705170">
        <w:rPr>
          <w:rFonts w:ascii="Times New Roman" w:hAnsi="Times New Roman" w:cs="Times New Roman"/>
          <w:color w:val="000000" w:themeColor="text1"/>
        </w:rPr>
        <w:t>Law</w:t>
      </w:r>
      <w:proofErr w:type="spellEnd"/>
      <w:r w:rsidR="00303BC5" w:rsidRPr="00705170">
        <w:rPr>
          <w:rFonts w:ascii="Times New Roman" w:hAnsi="Times New Roman" w:cs="Times New Roman"/>
          <w:color w:val="000000" w:themeColor="text1"/>
        </w:rPr>
        <w:t xml:space="preserve"> (BCL) </w:t>
      </w:r>
      <w:proofErr w:type="spellStart"/>
      <w:r w:rsidR="00303BC5" w:rsidRPr="00705170">
        <w:rPr>
          <w:rFonts w:ascii="Times New Roman" w:hAnsi="Times New Roman" w:cs="Times New Roman"/>
          <w:color w:val="000000" w:themeColor="text1"/>
        </w:rPr>
        <w:t>to</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provide</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aggrieved</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shareholders</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relief</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against</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oppression</w:t>
      </w:r>
      <w:proofErr w:type="spellEnd"/>
      <w:r w:rsidR="00303BC5" w:rsidRPr="00705170">
        <w:rPr>
          <w:rStyle w:val="DipnotBavurusu"/>
          <w:rFonts w:ascii="Times New Roman" w:hAnsi="Times New Roman" w:cs="Times New Roman"/>
          <w:color w:val="000000" w:themeColor="text1"/>
        </w:rPr>
        <w:footnoteReference w:id="643"/>
      </w:r>
      <w:r w:rsidR="00303BC5"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00303BC5"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enacted</w:t>
      </w:r>
      <w:proofErr w:type="spellEnd"/>
      <w:r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provisions</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permit</w:t>
      </w:r>
      <w:proofErr w:type="spellEnd"/>
      <w:r w:rsidR="00303BC5" w:rsidRPr="00705170">
        <w:rPr>
          <w:rFonts w:ascii="Times New Roman" w:hAnsi="Times New Roman" w:cs="Times New Roman"/>
          <w:color w:val="000000" w:themeColor="text1"/>
        </w:rPr>
        <w:t xml:space="preserve"> </w:t>
      </w:r>
      <w:proofErr w:type="spellStart"/>
      <w:r w:rsidR="00E14C37" w:rsidRPr="00705170">
        <w:rPr>
          <w:rFonts w:ascii="Times New Roman" w:hAnsi="Times New Roman" w:cs="Times New Roman"/>
          <w:color w:val="000000" w:themeColor="text1"/>
        </w:rPr>
        <w:t>shareholders</w:t>
      </w:r>
      <w:proofErr w:type="spellEnd"/>
      <w:r w:rsidR="00E14C37" w:rsidRPr="00705170">
        <w:rPr>
          <w:rFonts w:ascii="Times New Roman" w:hAnsi="Times New Roman" w:cs="Times New Roman"/>
          <w:color w:val="000000" w:themeColor="text1"/>
        </w:rPr>
        <w:t xml:space="preserve"> of </w:t>
      </w:r>
      <w:proofErr w:type="spellStart"/>
      <w:r w:rsidR="00303BC5" w:rsidRPr="00705170">
        <w:rPr>
          <w:rFonts w:ascii="Times New Roman" w:hAnsi="Times New Roman" w:cs="Times New Roman"/>
          <w:color w:val="000000" w:themeColor="text1"/>
        </w:rPr>
        <w:t>the</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corporation</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to</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petition</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for</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judicial</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dissolution</w:t>
      </w:r>
      <w:proofErr w:type="spellEnd"/>
      <w:r w:rsidR="00303BC5" w:rsidRPr="00705170">
        <w:rPr>
          <w:rFonts w:ascii="Times New Roman" w:hAnsi="Times New Roman" w:cs="Times New Roman"/>
          <w:color w:val="000000" w:themeColor="text1"/>
        </w:rPr>
        <w:t xml:space="preserve"> of </w:t>
      </w:r>
      <w:proofErr w:type="spellStart"/>
      <w:r w:rsidR="00303BC5" w:rsidRPr="00705170">
        <w:rPr>
          <w:rFonts w:ascii="Times New Roman" w:hAnsi="Times New Roman" w:cs="Times New Roman"/>
          <w:color w:val="000000" w:themeColor="text1"/>
        </w:rPr>
        <w:t>the</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corporation</w:t>
      </w:r>
      <w:proofErr w:type="spellEnd"/>
      <w:r w:rsidR="00303BC5" w:rsidRPr="00705170">
        <w:rPr>
          <w:rFonts w:ascii="Times New Roman" w:hAnsi="Times New Roman" w:cs="Times New Roman"/>
          <w:color w:val="000000" w:themeColor="text1"/>
        </w:rPr>
        <w:t xml:space="preserve"> on </w:t>
      </w:r>
      <w:proofErr w:type="spellStart"/>
      <w:r w:rsidR="00303BC5" w:rsidRPr="00705170">
        <w:rPr>
          <w:rFonts w:ascii="Times New Roman" w:hAnsi="Times New Roman" w:cs="Times New Roman"/>
          <w:color w:val="000000" w:themeColor="text1"/>
        </w:rPr>
        <w:t>the</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grounds</w:t>
      </w:r>
      <w:proofErr w:type="spellEnd"/>
      <w:r w:rsidR="00303BC5" w:rsidRPr="00705170">
        <w:rPr>
          <w:rFonts w:ascii="Times New Roman" w:hAnsi="Times New Roman" w:cs="Times New Roman"/>
          <w:color w:val="000000" w:themeColor="text1"/>
        </w:rPr>
        <w:t xml:space="preserve"> of </w:t>
      </w:r>
      <w:proofErr w:type="spellStart"/>
      <w:r w:rsidR="00303BC5" w:rsidRPr="00705170">
        <w:rPr>
          <w:rFonts w:ascii="Times New Roman" w:hAnsi="Times New Roman" w:cs="Times New Roman"/>
          <w:color w:val="000000" w:themeColor="text1"/>
        </w:rPr>
        <w:t>oppressive</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actions</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exercised</w:t>
      </w:r>
      <w:proofErr w:type="spellEnd"/>
      <w:r w:rsidR="00303BC5" w:rsidRPr="00705170">
        <w:rPr>
          <w:rFonts w:ascii="Times New Roman" w:hAnsi="Times New Roman" w:cs="Times New Roman"/>
          <w:color w:val="000000" w:themeColor="text1"/>
        </w:rPr>
        <w:t xml:space="preserve"> </w:t>
      </w:r>
      <w:proofErr w:type="spellStart"/>
      <w:r w:rsidR="00E14C37" w:rsidRPr="00705170">
        <w:rPr>
          <w:rFonts w:ascii="Times New Roman" w:hAnsi="Times New Roman" w:cs="Times New Roman"/>
          <w:color w:val="000000" w:themeColor="text1"/>
        </w:rPr>
        <w:t>upon</w:t>
      </w:r>
      <w:proofErr w:type="spellEnd"/>
      <w:r w:rsidR="00E14C37" w:rsidRPr="00705170">
        <w:rPr>
          <w:rFonts w:ascii="Times New Roman" w:hAnsi="Times New Roman" w:cs="Times New Roman"/>
          <w:color w:val="000000" w:themeColor="text1"/>
        </w:rPr>
        <w:t xml:space="preserve"> </w:t>
      </w:r>
      <w:proofErr w:type="spellStart"/>
      <w:r w:rsidR="00E14C37" w:rsidRPr="00705170">
        <w:rPr>
          <w:rFonts w:ascii="Times New Roman" w:hAnsi="Times New Roman" w:cs="Times New Roman"/>
          <w:color w:val="000000" w:themeColor="text1"/>
        </w:rPr>
        <w:t>the</w:t>
      </w:r>
      <w:proofErr w:type="spellEnd"/>
      <w:r w:rsidR="00E14C37" w:rsidRPr="00705170">
        <w:rPr>
          <w:rFonts w:ascii="Times New Roman" w:hAnsi="Times New Roman" w:cs="Times New Roman"/>
          <w:color w:val="000000" w:themeColor="text1"/>
        </w:rPr>
        <w:t xml:space="preserve"> </w:t>
      </w:r>
      <w:proofErr w:type="spellStart"/>
      <w:r w:rsidR="00E14C37" w:rsidRPr="00705170">
        <w:rPr>
          <w:rFonts w:ascii="Times New Roman" w:hAnsi="Times New Roman" w:cs="Times New Roman"/>
          <w:color w:val="000000" w:themeColor="text1"/>
        </w:rPr>
        <w:t>petitioning</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shareholder</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by</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directors</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or</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t>those</w:t>
      </w:r>
      <w:proofErr w:type="spellEnd"/>
      <w:r w:rsidR="00303BC5" w:rsidRPr="00705170">
        <w:rPr>
          <w:rFonts w:ascii="Times New Roman" w:hAnsi="Times New Roman" w:cs="Times New Roman"/>
          <w:color w:val="000000" w:themeColor="text1"/>
        </w:rPr>
        <w:t xml:space="preserve"> in </w:t>
      </w:r>
      <w:proofErr w:type="spellStart"/>
      <w:r w:rsidR="00303BC5" w:rsidRPr="00705170">
        <w:rPr>
          <w:rFonts w:ascii="Times New Roman" w:hAnsi="Times New Roman" w:cs="Times New Roman"/>
          <w:color w:val="000000" w:themeColor="text1"/>
        </w:rPr>
        <w:t>control</w:t>
      </w:r>
      <w:proofErr w:type="spellEnd"/>
      <w:r w:rsidR="00303BC5" w:rsidRPr="00705170">
        <w:rPr>
          <w:rFonts w:ascii="Times New Roman" w:hAnsi="Times New Roman" w:cs="Times New Roman"/>
          <w:color w:val="000000" w:themeColor="text1"/>
        </w:rPr>
        <w:t xml:space="preserve"> of </w:t>
      </w:r>
      <w:proofErr w:type="spellStart"/>
      <w:r w:rsidR="00303BC5" w:rsidRPr="00705170">
        <w:rPr>
          <w:rFonts w:ascii="Times New Roman" w:hAnsi="Times New Roman" w:cs="Times New Roman"/>
          <w:color w:val="000000" w:themeColor="text1"/>
        </w:rPr>
        <w:t>the</w:t>
      </w:r>
      <w:proofErr w:type="spellEnd"/>
      <w:r w:rsidR="00303BC5" w:rsidRPr="00705170">
        <w:rPr>
          <w:rFonts w:ascii="Times New Roman" w:hAnsi="Times New Roman" w:cs="Times New Roman"/>
          <w:color w:val="000000" w:themeColor="text1"/>
        </w:rPr>
        <w:t xml:space="preserve"> </w:t>
      </w:r>
      <w:proofErr w:type="spellStart"/>
      <w:r w:rsidR="00303BC5" w:rsidRPr="00705170">
        <w:rPr>
          <w:rFonts w:ascii="Times New Roman" w:hAnsi="Times New Roman" w:cs="Times New Roman"/>
          <w:color w:val="000000" w:themeColor="text1"/>
        </w:rPr>
        <w:lastRenderedPageBreak/>
        <w:t>corporation</w:t>
      </w:r>
      <w:proofErr w:type="spellEnd"/>
      <w:r w:rsidR="00303BC5" w:rsidRPr="00705170">
        <w:rPr>
          <w:rStyle w:val="DipnotBavurusu"/>
          <w:rFonts w:ascii="Times New Roman" w:hAnsi="Times New Roman" w:cs="Times New Roman"/>
          <w:color w:val="000000" w:themeColor="text1"/>
        </w:rPr>
        <w:footnoteReference w:id="644"/>
      </w:r>
      <w:r w:rsidR="00303BC5" w:rsidRPr="00705170">
        <w:rPr>
          <w:rFonts w:ascii="Times New Roman" w:hAnsi="Times New Roman" w:cs="Times New Roman"/>
          <w:color w:val="000000" w:themeColor="text1"/>
        </w:rPr>
        <w:t xml:space="preserve">. </w:t>
      </w:r>
      <w:proofErr w:type="spellStart"/>
      <w:r w:rsidR="005C139A" w:rsidRPr="00705170">
        <w:rPr>
          <w:rFonts w:ascii="Times New Roman" w:hAnsi="Times New Roman" w:cs="Times New Roman"/>
          <w:color w:val="000000" w:themeColor="text1"/>
        </w:rPr>
        <w:t>Sec</w:t>
      </w:r>
      <w:proofErr w:type="spellEnd"/>
      <w:r w:rsidR="005C139A" w:rsidRPr="00705170">
        <w:rPr>
          <w:rFonts w:ascii="Times New Roman" w:hAnsi="Times New Roman" w:cs="Times New Roman"/>
          <w:color w:val="000000" w:themeColor="text1"/>
        </w:rPr>
        <w:t xml:space="preserve">. 1104-a </w:t>
      </w:r>
      <w:proofErr w:type="spellStart"/>
      <w:r w:rsidR="005C139A" w:rsidRPr="00705170">
        <w:rPr>
          <w:rFonts w:ascii="Times New Roman" w:hAnsi="Times New Roman" w:cs="Times New Roman"/>
          <w:color w:val="000000" w:themeColor="text1"/>
        </w:rPr>
        <w:t>provides</w:t>
      </w:r>
      <w:proofErr w:type="spellEnd"/>
      <w:r w:rsidR="005C139A" w:rsidRPr="00705170">
        <w:rPr>
          <w:rFonts w:ascii="Times New Roman" w:hAnsi="Times New Roman" w:cs="Times New Roman"/>
          <w:color w:val="000000" w:themeColor="text1"/>
        </w:rPr>
        <w:t xml:space="preserve"> a </w:t>
      </w:r>
      <w:proofErr w:type="spellStart"/>
      <w:r w:rsidR="005C139A" w:rsidRPr="00705170">
        <w:rPr>
          <w:rFonts w:ascii="Times New Roman" w:hAnsi="Times New Roman" w:cs="Times New Roman"/>
          <w:color w:val="000000" w:themeColor="text1"/>
        </w:rPr>
        <w:t>different</w:t>
      </w:r>
      <w:proofErr w:type="spellEnd"/>
      <w:r w:rsidR="005C139A" w:rsidRPr="00705170">
        <w:rPr>
          <w:rFonts w:ascii="Times New Roman" w:hAnsi="Times New Roman" w:cs="Times New Roman"/>
          <w:color w:val="000000" w:themeColor="text1"/>
        </w:rPr>
        <w:t xml:space="preserve"> </w:t>
      </w:r>
      <w:proofErr w:type="spellStart"/>
      <w:r w:rsidR="005C139A" w:rsidRPr="00705170">
        <w:rPr>
          <w:rFonts w:ascii="Times New Roman" w:hAnsi="Times New Roman" w:cs="Times New Roman"/>
          <w:color w:val="000000" w:themeColor="text1"/>
        </w:rPr>
        <w:t>ground</w:t>
      </w:r>
      <w:proofErr w:type="spellEnd"/>
      <w:r w:rsidR="005C139A" w:rsidRPr="00705170">
        <w:rPr>
          <w:rFonts w:ascii="Times New Roman" w:hAnsi="Times New Roman" w:cs="Times New Roman"/>
          <w:color w:val="000000" w:themeColor="text1"/>
        </w:rPr>
        <w:t xml:space="preserve"> </w:t>
      </w:r>
      <w:proofErr w:type="spellStart"/>
      <w:r w:rsidR="009927A7" w:rsidRPr="00705170">
        <w:rPr>
          <w:rFonts w:ascii="Times New Roman" w:hAnsi="Times New Roman" w:cs="Times New Roman"/>
          <w:color w:val="000000" w:themeColor="text1"/>
        </w:rPr>
        <w:t>and</w:t>
      </w:r>
      <w:proofErr w:type="spellEnd"/>
      <w:r w:rsidR="009927A7" w:rsidRPr="00705170">
        <w:rPr>
          <w:rFonts w:ascii="Times New Roman" w:hAnsi="Times New Roman" w:cs="Times New Roman"/>
          <w:color w:val="000000" w:themeColor="text1"/>
        </w:rPr>
        <w:t xml:space="preserve"> </w:t>
      </w:r>
      <w:proofErr w:type="spellStart"/>
      <w:r w:rsidR="009927A7" w:rsidRPr="00705170">
        <w:rPr>
          <w:rFonts w:ascii="Times New Roman" w:hAnsi="Times New Roman" w:cs="Times New Roman"/>
          <w:color w:val="000000" w:themeColor="text1"/>
        </w:rPr>
        <w:t>conditions</w:t>
      </w:r>
      <w:proofErr w:type="spellEnd"/>
      <w:r w:rsidR="009927A7" w:rsidRPr="00705170">
        <w:rPr>
          <w:rFonts w:ascii="Times New Roman" w:hAnsi="Times New Roman" w:cs="Times New Roman"/>
          <w:color w:val="000000" w:themeColor="text1"/>
        </w:rPr>
        <w:t xml:space="preserve"> </w:t>
      </w:r>
      <w:proofErr w:type="spellStart"/>
      <w:r w:rsidR="005C139A" w:rsidRPr="00705170">
        <w:rPr>
          <w:rFonts w:ascii="Times New Roman" w:hAnsi="Times New Roman" w:cs="Times New Roman"/>
          <w:color w:val="000000" w:themeColor="text1"/>
        </w:rPr>
        <w:t>from</w:t>
      </w:r>
      <w:proofErr w:type="spellEnd"/>
      <w:r w:rsidR="00606F9A" w:rsidRPr="00705170">
        <w:rPr>
          <w:rFonts w:ascii="Times New Roman" w:hAnsi="Times New Roman" w:cs="Times New Roman"/>
          <w:color w:val="000000" w:themeColor="text1"/>
        </w:rPr>
        <w:t xml:space="preserve"> </w:t>
      </w:r>
      <w:r w:rsidR="00CF670D" w:rsidRPr="00705170">
        <w:rPr>
          <w:rFonts w:ascii="Times New Roman" w:hAnsi="Times New Roman" w:cs="Times New Roman"/>
          <w:color w:val="000000" w:themeColor="text1"/>
        </w:rPr>
        <w:t xml:space="preserve">(1) </w:t>
      </w:r>
      <w:proofErr w:type="spellStart"/>
      <w:r w:rsidR="00606F9A" w:rsidRPr="00705170">
        <w:rPr>
          <w:rFonts w:ascii="Times New Roman" w:hAnsi="Times New Roman" w:cs="Times New Roman"/>
          <w:color w:val="000000" w:themeColor="text1"/>
        </w:rPr>
        <w:t>Sec</w:t>
      </w:r>
      <w:proofErr w:type="spellEnd"/>
      <w:r w:rsidR="00606F9A" w:rsidRPr="00705170">
        <w:rPr>
          <w:rFonts w:ascii="Times New Roman" w:hAnsi="Times New Roman" w:cs="Times New Roman"/>
          <w:color w:val="000000" w:themeColor="text1"/>
        </w:rPr>
        <w:t>. 1104</w:t>
      </w:r>
      <w:r w:rsidR="005C139A" w:rsidRPr="00705170">
        <w:rPr>
          <w:rStyle w:val="DipnotBavurusu"/>
          <w:rFonts w:ascii="Times New Roman" w:hAnsi="Times New Roman" w:cs="Times New Roman"/>
          <w:color w:val="000000" w:themeColor="text1"/>
        </w:rPr>
        <w:footnoteReference w:id="645"/>
      </w:r>
      <w:r w:rsidR="005C139A" w:rsidRPr="00705170">
        <w:rPr>
          <w:rFonts w:ascii="Times New Roman" w:hAnsi="Times New Roman" w:cs="Times New Roman"/>
          <w:color w:val="000000" w:themeColor="text1"/>
        </w:rPr>
        <w:t xml:space="preserve"> </w:t>
      </w:r>
      <w:proofErr w:type="spellStart"/>
      <w:r w:rsidR="005C139A" w:rsidRPr="00705170">
        <w:rPr>
          <w:rFonts w:ascii="Times New Roman" w:hAnsi="Times New Roman" w:cs="Times New Roman"/>
          <w:color w:val="000000" w:themeColor="text1"/>
        </w:rPr>
        <w:t>which</w:t>
      </w:r>
      <w:proofErr w:type="spellEnd"/>
      <w:r w:rsidR="005C13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permits</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judicial</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dissolution</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where</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shareholders</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are</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so</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divided</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that</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the</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votes</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required</w:t>
      </w:r>
      <w:proofErr w:type="spellEnd"/>
      <w:r w:rsidR="00606F9A" w:rsidRPr="00705170">
        <w:rPr>
          <w:rFonts w:ascii="Times New Roman" w:hAnsi="Times New Roman" w:cs="Times New Roman"/>
          <w:color w:val="000000" w:themeColor="text1"/>
        </w:rPr>
        <w:t xml:space="preserve"> </w:t>
      </w:r>
      <w:proofErr w:type="spellStart"/>
      <w:r w:rsidR="005C139A" w:rsidRPr="00705170">
        <w:rPr>
          <w:rFonts w:ascii="Times New Roman" w:hAnsi="Times New Roman" w:cs="Times New Roman"/>
          <w:color w:val="000000" w:themeColor="text1"/>
        </w:rPr>
        <w:t>for</w:t>
      </w:r>
      <w:proofErr w:type="spellEnd"/>
      <w:r w:rsidR="005C139A" w:rsidRPr="00705170">
        <w:rPr>
          <w:rFonts w:ascii="Times New Roman" w:hAnsi="Times New Roman" w:cs="Times New Roman"/>
          <w:color w:val="000000" w:themeColor="text1"/>
        </w:rPr>
        <w:t xml:space="preserve"> </w:t>
      </w:r>
      <w:proofErr w:type="spellStart"/>
      <w:r w:rsidR="005C139A" w:rsidRPr="00705170">
        <w:rPr>
          <w:rFonts w:ascii="Times New Roman" w:hAnsi="Times New Roman" w:cs="Times New Roman"/>
          <w:color w:val="000000" w:themeColor="text1"/>
        </w:rPr>
        <w:t>t</w:t>
      </w:r>
      <w:r w:rsidR="00606F9A" w:rsidRPr="00705170">
        <w:rPr>
          <w:rFonts w:ascii="Times New Roman" w:hAnsi="Times New Roman" w:cs="Times New Roman"/>
          <w:color w:val="000000" w:themeColor="text1"/>
        </w:rPr>
        <w:t>he</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election</w:t>
      </w:r>
      <w:proofErr w:type="spellEnd"/>
      <w:r w:rsidR="00606F9A" w:rsidRPr="00705170">
        <w:rPr>
          <w:rFonts w:ascii="Times New Roman" w:hAnsi="Times New Roman" w:cs="Times New Roman"/>
          <w:color w:val="000000" w:themeColor="text1"/>
        </w:rPr>
        <w:t xml:space="preserve"> of </w:t>
      </w:r>
      <w:proofErr w:type="spellStart"/>
      <w:r w:rsidR="00606F9A" w:rsidRPr="00705170">
        <w:rPr>
          <w:rFonts w:ascii="Times New Roman" w:hAnsi="Times New Roman" w:cs="Times New Roman"/>
          <w:color w:val="000000" w:themeColor="text1"/>
        </w:rPr>
        <w:t>directors</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cannot</w:t>
      </w:r>
      <w:proofErr w:type="spellEnd"/>
      <w:r w:rsidR="00606F9A" w:rsidRPr="00705170">
        <w:rPr>
          <w:rFonts w:ascii="Times New Roman" w:hAnsi="Times New Roman" w:cs="Times New Roman"/>
          <w:color w:val="000000" w:themeColor="text1"/>
        </w:rPr>
        <w:t xml:space="preserve"> be </w:t>
      </w:r>
      <w:proofErr w:type="spellStart"/>
      <w:r w:rsidR="00606F9A" w:rsidRPr="00705170">
        <w:rPr>
          <w:rFonts w:ascii="Times New Roman" w:hAnsi="Times New Roman" w:cs="Times New Roman"/>
          <w:color w:val="000000" w:themeColor="text1"/>
        </w:rPr>
        <w:t>obtained</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or</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when</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there</w:t>
      </w:r>
      <w:proofErr w:type="spellEnd"/>
      <w:r w:rsidR="00606F9A" w:rsidRPr="00705170">
        <w:rPr>
          <w:rFonts w:ascii="Times New Roman" w:hAnsi="Times New Roman" w:cs="Times New Roman"/>
          <w:color w:val="000000" w:themeColor="text1"/>
        </w:rPr>
        <w:t xml:space="preserve"> is </w:t>
      </w:r>
      <w:proofErr w:type="spellStart"/>
      <w:r w:rsidR="00606F9A" w:rsidRPr="00705170">
        <w:rPr>
          <w:rFonts w:ascii="Times New Roman" w:hAnsi="Times New Roman" w:cs="Times New Roman"/>
          <w:color w:val="000000" w:themeColor="text1"/>
        </w:rPr>
        <w:t>internal</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dissension</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such</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that</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dissolution</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would</w:t>
      </w:r>
      <w:proofErr w:type="spellEnd"/>
      <w:r w:rsidR="00606F9A" w:rsidRPr="00705170">
        <w:rPr>
          <w:rFonts w:ascii="Times New Roman" w:hAnsi="Times New Roman" w:cs="Times New Roman"/>
          <w:color w:val="000000" w:themeColor="text1"/>
        </w:rPr>
        <w:t xml:space="preserve"> be </w:t>
      </w:r>
      <w:proofErr w:type="spellStart"/>
      <w:r w:rsidR="00606F9A" w:rsidRPr="00705170">
        <w:rPr>
          <w:rFonts w:ascii="Times New Roman" w:hAnsi="Times New Roman" w:cs="Times New Roman"/>
          <w:color w:val="000000" w:themeColor="text1"/>
        </w:rPr>
        <w:t>beneficial</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to</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the</w:t>
      </w:r>
      <w:proofErr w:type="spellEnd"/>
      <w:r w:rsidR="00606F9A" w:rsidRPr="00705170">
        <w:rPr>
          <w:rFonts w:ascii="Times New Roman" w:hAnsi="Times New Roman" w:cs="Times New Roman"/>
          <w:color w:val="000000" w:themeColor="text1"/>
        </w:rPr>
        <w:t xml:space="preserve"> </w:t>
      </w:r>
      <w:proofErr w:type="spellStart"/>
      <w:r w:rsidR="00606F9A" w:rsidRPr="00705170">
        <w:rPr>
          <w:rFonts w:ascii="Times New Roman" w:hAnsi="Times New Roman" w:cs="Times New Roman"/>
          <w:color w:val="000000" w:themeColor="text1"/>
        </w:rPr>
        <w:t>shareholders</w:t>
      </w:r>
      <w:proofErr w:type="spellEnd"/>
      <w:r w:rsidR="00606F9A" w:rsidRPr="00705170">
        <w:rPr>
          <w:rStyle w:val="DipnotBavurusu"/>
          <w:rFonts w:ascii="Times New Roman" w:hAnsi="Times New Roman" w:cs="Times New Roman"/>
          <w:color w:val="000000" w:themeColor="text1"/>
        </w:rPr>
        <w:footnoteReference w:id="646"/>
      </w:r>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and</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from</w:t>
      </w:r>
      <w:proofErr w:type="spellEnd"/>
      <w:r w:rsidR="00D77668" w:rsidRPr="00705170">
        <w:rPr>
          <w:rFonts w:ascii="Times New Roman" w:hAnsi="Times New Roman" w:cs="Times New Roman"/>
          <w:color w:val="000000" w:themeColor="text1"/>
        </w:rPr>
        <w:t xml:space="preserve"> </w:t>
      </w:r>
      <w:r w:rsidR="00CF670D" w:rsidRPr="00705170">
        <w:rPr>
          <w:rFonts w:ascii="Times New Roman" w:hAnsi="Times New Roman" w:cs="Times New Roman"/>
          <w:color w:val="000000" w:themeColor="text1"/>
        </w:rPr>
        <w:t xml:space="preserve">(2) </w:t>
      </w:r>
      <w:proofErr w:type="spellStart"/>
      <w:r w:rsidR="00D77668" w:rsidRPr="00705170">
        <w:rPr>
          <w:rFonts w:ascii="Times New Roman" w:hAnsi="Times New Roman" w:cs="Times New Roman"/>
          <w:color w:val="000000" w:themeColor="text1"/>
        </w:rPr>
        <w:t>the</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common</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law</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right</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to</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dissolution</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where</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lastRenderedPageBreak/>
        <w:t>management</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breaches</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its</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fiduciary</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duty</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to</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its</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shareholders</w:t>
      </w:r>
      <w:proofErr w:type="spellEnd"/>
      <w:r w:rsidR="00D77668" w:rsidRPr="00705170">
        <w:rPr>
          <w:rStyle w:val="DipnotBavurusu"/>
          <w:rFonts w:ascii="Times New Roman" w:hAnsi="Times New Roman" w:cs="Times New Roman"/>
          <w:color w:val="000000" w:themeColor="text1"/>
        </w:rPr>
        <w:footnoteReference w:id="647"/>
      </w:r>
      <w:r w:rsidR="00D77668" w:rsidRPr="00705170">
        <w:rPr>
          <w:rFonts w:ascii="Times New Roman" w:hAnsi="Times New Roman" w:cs="Times New Roman"/>
          <w:color w:val="000000" w:themeColor="text1"/>
        </w:rPr>
        <w:t>.</w:t>
      </w:r>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Corollary</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Sec</w:t>
      </w:r>
      <w:proofErr w:type="spellEnd"/>
      <w:r w:rsidR="004F4058" w:rsidRPr="00705170">
        <w:rPr>
          <w:rFonts w:ascii="Times New Roman" w:hAnsi="Times New Roman" w:cs="Times New Roman"/>
          <w:color w:val="000000" w:themeColor="text1"/>
        </w:rPr>
        <w:t xml:space="preserve">. 1104-a is </w:t>
      </w:r>
      <w:proofErr w:type="spellStart"/>
      <w:r w:rsidR="004F4058" w:rsidRPr="00705170">
        <w:rPr>
          <w:rFonts w:ascii="Times New Roman" w:hAnsi="Times New Roman" w:cs="Times New Roman"/>
          <w:color w:val="000000" w:themeColor="text1"/>
        </w:rPr>
        <w:t>seen</w:t>
      </w:r>
      <w:proofErr w:type="spellEnd"/>
      <w:r w:rsidR="004F4058" w:rsidRPr="00705170">
        <w:rPr>
          <w:rFonts w:ascii="Times New Roman" w:hAnsi="Times New Roman" w:cs="Times New Roman"/>
          <w:color w:val="000000" w:themeColor="text1"/>
        </w:rPr>
        <w:t xml:space="preserve"> as “</w:t>
      </w:r>
      <w:proofErr w:type="spellStart"/>
      <w:r w:rsidR="004F4058" w:rsidRPr="00705170">
        <w:rPr>
          <w:rFonts w:ascii="Times New Roman" w:hAnsi="Times New Roman" w:cs="Times New Roman"/>
          <w:color w:val="000000" w:themeColor="text1"/>
        </w:rPr>
        <w:t>the</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kind</w:t>
      </w:r>
      <w:proofErr w:type="spellEnd"/>
      <w:r w:rsidR="004F4058" w:rsidRPr="00705170">
        <w:rPr>
          <w:rFonts w:ascii="Times New Roman" w:hAnsi="Times New Roman" w:cs="Times New Roman"/>
          <w:color w:val="000000" w:themeColor="text1"/>
        </w:rPr>
        <w:t xml:space="preserve"> of </w:t>
      </w:r>
      <w:proofErr w:type="spellStart"/>
      <w:r w:rsidR="004F4058" w:rsidRPr="00705170">
        <w:rPr>
          <w:rFonts w:ascii="Times New Roman" w:hAnsi="Times New Roman" w:cs="Times New Roman"/>
          <w:color w:val="000000" w:themeColor="text1"/>
        </w:rPr>
        <w:t>relief</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available</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to</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allegedly</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oppressed</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minority</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shareholders</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when</w:t>
      </w:r>
      <w:proofErr w:type="spellEnd"/>
      <w:r w:rsidR="004F4058" w:rsidRPr="00705170">
        <w:rPr>
          <w:rFonts w:ascii="Times New Roman" w:hAnsi="Times New Roman" w:cs="Times New Roman"/>
          <w:color w:val="000000" w:themeColor="text1"/>
        </w:rPr>
        <w:t xml:space="preserve"> a </w:t>
      </w:r>
      <w:proofErr w:type="spellStart"/>
      <w:r w:rsidR="004F4058" w:rsidRPr="00705170">
        <w:rPr>
          <w:rFonts w:ascii="Times New Roman" w:hAnsi="Times New Roman" w:cs="Times New Roman"/>
          <w:color w:val="000000" w:themeColor="text1"/>
        </w:rPr>
        <w:t>derivative</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claim</w:t>
      </w:r>
      <w:proofErr w:type="spellEnd"/>
      <w:r w:rsidR="004F4058" w:rsidRPr="00705170">
        <w:rPr>
          <w:rFonts w:ascii="Times New Roman" w:hAnsi="Times New Roman" w:cs="Times New Roman"/>
          <w:color w:val="000000" w:themeColor="text1"/>
        </w:rPr>
        <w:t xml:space="preserve"> is </w:t>
      </w:r>
      <w:proofErr w:type="spellStart"/>
      <w:r w:rsidR="004F4058" w:rsidRPr="00705170">
        <w:rPr>
          <w:rFonts w:ascii="Times New Roman" w:hAnsi="Times New Roman" w:cs="Times New Roman"/>
          <w:color w:val="000000" w:themeColor="text1"/>
        </w:rPr>
        <w:t>unavailable</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for</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whatever</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reason</w:t>
      </w:r>
      <w:proofErr w:type="spellEnd"/>
      <w:r w:rsidR="004F4058" w:rsidRPr="00705170">
        <w:rPr>
          <w:rFonts w:ascii="Times New Roman" w:hAnsi="Times New Roman" w:cs="Times New Roman"/>
          <w:color w:val="000000" w:themeColor="text1"/>
        </w:rPr>
        <w:t>”</w:t>
      </w:r>
      <w:r w:rsidR="004F4058" w:rsidRPr="00705170">
        <w:rPr>
          <w:rStyle w:val="DipnotBavurusu"/>
          <w:rFonts w:ascii="Times New Roman" w:hAnsi="Times New Roman" w:cs="Times New Roman"/>
          <w:color w:val="000000" w:themeColor="text1"/>
        </w:rPr>
        <w:footnoteReference w:id="648"/>
      </w:r>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and</w:t>
      </w:r>
      <w:proofErr w:type="spellEnd"/>
      <w:r w:rsidR="004F4058" w:rsidRPr="00705170">
        <w:rPr>
          <w:rFonts w:ascii="Times New Roman" w:hAnsi="Times New Roman" w:cs="Times New Roman"/>
          <w:color w:val="000000" w:themeColor="text1"/>
        </w:rPr>
        <w:t xml:space="preserve"> a </w:t>
      </w:r>
      <w:proofErr w:type="spellStart"/>
      <w:r w:rsidR="004F4058" w:rsidRPr="00705170">
        <w:rPr>
          <w:rFonts w:ascii="Times New Roman" w:hAnsi="Times New Roman" w:cs="Times New Roman"/>
          <w:color w:val="000000" w:themeColor="text1"/>
        </w:rPr>
        <w:t>present</w:t>
      </w:r>
      <w:proofErr w:type="spellEnd"/>
      <w:r w:rsidR="004F4058" w:rsidRPr="00705170">
        <w:rPr>
          <w:rFonts w:ascii="Times New Roman" w:hAnsi="Times New Roman" w:cs="Times New Roman"/>
          <w:color w:val="000000" w:themeColor="text1"/>
        </w:rPr>
        <w:t xml:space="preserve"> but </w:t>
      </w:r>
      <w:proofErr w:type="spellStart"/>
      <w:r w:rsidR="004F4058" w:rsidRPr="00705170">
        <w:rPr>
          <w:rFonts w:ascii="Times New Roman" w:hAnsi="Times New Roman" w:cs="Times New Roman"/>
          <w:color w:val="000000" w:themeColor="text1"/>
        </w:rPr>
        <w:t>inadequate</w:t>
      </w:r>
      <w:proofErr w:type="spellEnd"/>
      <w:r w:rsidR="004F4058" w:rsidRPr="00705170">
        <w:rPr>
          <w:rFonts w:ascii="Times New Roman" w:hAnsi="Times New Roman" w:cs="Times New Roman"/>
          <w:color w:val="000000" w:themeColor="text1"/>
        </w:rPr>
        <w:t xml:space="preserve"> legal </w:t>
      </w:r>
      <w:proofErr w:type="spellStart"/>
      <w:r w:rsidR="004F4058" w:rsidRPr="00705170">
        <w:rPr>
          <w:rFonts w:ascii="Times New Roman" w:hAnsi="Times New Roman" w:cs="Times New Roman"/>
          <w:color w:val="000000" w:themeColor="text1"/>
        </w:rPr>
        <w:t>action</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alternative</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does</w:t>
      </w:r>
      <w:proofErr w:type="spellEnd"/>
      <w:r w:rsidR="004F4058" w:rsidRPr="00705170">
        <w:rPr>
          <w:rFonts w:ascii="Times New Roman" w:hAnsi="Times New Roman" w:cs="Times New Roman"/>
          <w:color w:val="000000" w:themeColor="text1"/>
        </w:rPr>
        <w:t xml:space="preserve"> not </w:t>
      </w:r>
      <w:proofErr w:type="spellStart"/>
      <w:r w:rsidR="004F4058" w:rsidRPr="00705170">
        <w:rPr>
          <w:rFonts w:ascii="Times New Roman" w:hAnsi="Times New Roman" w:cs="Times New Roman"/>
          <w:color w:val="000000" w:themeColor="text1"/>
        </w:rPr>
        <w:t>preclude</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this</w:t>
      </w:r>
      <w:proofErr w:type="spellEnd"/>
      <w:r w:rsidR="004F4058" w:rsidRPr="00705170">
        <w:rPr>
          <w:rFonts w:ascii="Times New Roman" w:hAnsi="Times New Roman" w:cs="Times New Roman"/>
          <w:color w:val="000000" w:themeColor="text1"/>
        </w:rPr>
        <w:t xml:space="preserve"> </w:t>
      </w:r>
      <w:proofErr w:type="spellStart"/>
      <w:r w:rsidR="004F4058" w:rsidRPr="00705170">
        <w:rPr>
          <w:rFonts w:ascii="Times New Roman" w:hAnsi="Times New Roman" w:cs="Times New Roman"/>
          <w:color w:val="000000" w:themeColor="text1"/>
        </w:rPr>
        <w:t>action</w:t>
      </w:r>
      <w:proofErr w:type="spellEnd"/>
      <w:r w:rsidR="004F4058" w:rsidRPr="00705170">
        <w:rPr>
          <w:rStyle w:val="DipnotBavurusu"/>
          <w:rFonts w:ascii="Times New Roman" w:hAnsi="Times New Roman" w:cs="Times New Roman"/>
          <w:color w:val="000000" w:themeColor="text1"/>
        </w:rPr>
        <w:footnoteReference w:id="649"/>
      </w:r>
      <w:r w:rsidR="004F4058" w:rsidRPr="00705170">
        <w:rPr>
          <w:rFonts w:ascii="Times New Roman" w:hAnsi="Times New Roman" w:cs="Times New Roman"/>
          <w:color w:val="000000" w:themeColor="text1"/>
        </w:rPr>
        <w:t>.</w:t>
      </w:r>
    </w:p>
    <w:p w14:paraId="341D7E4A" w14:textId="75BE9E47" w:rsidR="00E14C37" w:rsidRPr="00705170" w:rsidRDefault="006020EE" w:rsidP="006020EE">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It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said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enactment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w:t>
      </w:r>
      <w:proofErr w:type="spellEnd"/>
      <w:r w:rsidRPr="00705170">
        <w:rPr>
          <w:rFonts w:ascii="Times New Roman" w:hAnsi="Times New Roman" w:cs="Times New Roman"/>
        </w:rPr>
        <w:t>. 1104-a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considered</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legislative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recognition</w:t>
      </w:r>
      <w:proofErr w:type="spellEnd"/>
      <w:r w:rsidRPr="00705170">
        <w:rPr>
          <w:rFonts w:ascii="Times New Roman" w:hAnsi="Times New Roman" w:cs="Times New Roman"/>
        </w:rPr>
        <w:t xml:space="preserve"> </w:t>
      </w:r>
      <w:r w:rsidR="00480784" w:rsidRPr="00705170">
        <w:rPr>
          <w:rFonts w:ascii="Times New Roman" w:hAnsi="Times New Roman" w:cs="Times New Roman"/>
        </w:rPr>
        <w:t xml:space="preserve">of </w:t>
      </w:r>
      <w:proofErr w:type="spellStart"/>
      <w:r w:rsidR="00480784" w:rsidRPr="00705170">
        <w:rPr>
          <w:rFonts w:ascii="Times New Roman" w:hAnsi="Times New Roman" w:cs="Times New Roman"/>
        </w:rPr>
        <w:t>the</w:t>
      </w:r>
      <w:proofErr w:type="spellEnd"/>
      <w:r w:rsidR="00480784" w:rsidRPr="00705170">
        <w:rPr>
          <w:rFonts w:ascii="Times New Roman" w:hAnsi="Times New Roman" w:cs="Times New Roman"/>
        </w:rPr>
        <w:t xml:space="preserve"> </w:t>
      </w:r>
      <w:proofErr w:type="spellStart"/>
      <w:r w:rsidR="00480784" w:rsidRPr="00705170">
        <w:rPr>
          <w:rFonts w:ascii="Times New Roman" w:hAnsi="Times New Roman" w:cs="Times New Roman"/>
        </w:rPr>
        <w:t>fact</w:t>
      </w:r>
      <w:proofErr w:type="spellEnd"/>
      <w:r w:rsidR="00480784" w:rsidRPr="00705170">
        <w:rPr>
          <w:rFonts w:ascii="Times New Roman" w:hAnsi="Times New Roman" w:cs="Times New Roman"/>
        </w:rPr>
        <w:t xml:space="preserve"> </w:t>
      </w:r>
      <w:proofErr w:type="spellStart"/>
      <w:r w:rsidR="00480784" w:rsidRPr="00705170">
        <w:rPr>
          <w:rFonts w:ascii="Times New Roman" w:hAnsi="Times New Roman" w:cs="Times New Roman"/>
        </w:rPr>
        <w:t>that</w:t>
      </w:r>
      <w:proofErr w:type="spellEnd"/>
      <w:r w:rsidR="00480784" w:rsidRPr="00705170">
        <w:rPr>
          <w:rFonts w:ascii="Times New Roman" w:hAnsi="Times New Roman" w:cs="Times New Roman"/>
        </w:rPr>
        <w:t xml:space="preserve"> </w:t>
      </w:r>
      <w:proofErr w:type="spellStart"/>
      <w:r w:rsidR="00480784" w:rsidRPr="00705170">
        <w:rPr>
          <w:rFonts w:ascii="Times New Roman" w:hAnsi="Times New Roman" w:cs="Times New Roman"/>
        </w:rPr>
        <w:t>the</w:t>
      </w:r>
      <w:proofErr w:type="spellEnd"/>
      <w:r w:rsidR="00480784" w:rsidRPr="00705170">
        <w:rPr>
          <w:rFonts w:ascii="Times New Roman" w:hAnsi="Times New Roman" w:cs="Times New Roman"/>
        </w:rPr>
        <w:t xml:space="preserve"> </w:t>
      </w:r>
      <w:proofErr w:type="spellStart"/>
      <w:r w:rsidR="00480784" w:rsidRPr="00705170">
        <w:rPr>
          <w:rFonts w:ascii="Times New Roman" w:hAnsi="Times New Roman" w:cs="Times New Roman"/>
        </w:rPr>
        <w:t>relationshi</w:t>
      </w:r>
      <w:r w:rsidRPr="00705170">
        <w:rPr>
          <w:rFonts w:ascii="Times New Roman" w:hAnsi="Times New Roman" w:cs="Times New Roman"/>
        </w:rPr>
        <w:t>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among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closely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approximates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among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partners</w:t>
      </w:r>
      <w:proofErr w:type="spellEnd"/>
      <w:r w:rsidRPr="00705170">
        <w:rPr>
          <w:rFonts w:ascii="Times New Roman" w:hAnsi="Times New Roman" w:cs="Times New Roman"/>
        </w:rPr>
        <w:t>…</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dissolve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more</w:t>
      </w:r>
      <w:proofErr w:type="spellEnd"/>
      <w:r w:rsidR="007C31DF" w:rsidRPr="00705170">
        <w:rPr>
          <w:rFonts w:ascii="Times New Roman" w:hAnsi="Times New Roman" w:cs="Times New Roman"/>
        </w:rPr>
        <w:t xml:space="preserve"> </w:t>
      </w:r>
      <w:r w:rsidRPr="00705170">
        <w:rPr>
          <w:rFonts w:ascii="Times New Roman" w:hAnsi="Times New Roman" w:cs="Times New Roman"/>
        </w:rPr>
        <w:t xml:space="preserve">is </w:t>
      </w:r>
      <w:proofErr w:type="spellStart"/>
      <w:r w:rsidRPr="00705170">
        <w:rPr>
          <w:rFonts w:ascii="Times New Roman" w:hAnsi="Times New Roman" w:cs="Times New Roman"/>
        </w:rPr>
        <w:t>necessary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desire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get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w:t>
      </w:r>
      <w:proofErr w:type="spellEnd"/>
      <w:r w:rsidRPr="00705170">
        <w:rPr>
          <w:rFonts w:ascii="Times New Roman" w:hAnsi="Times New Roman" w:cs="Times New Roman"/>
        </w:rPr>
        <w:t>’”</w:t>
      </w:r>
      <w:r w:rsidR="00A16252" w:rsidRPr="00705170">
        <w:rPr>
          <w:rStyle w:val="DipnotBavurusu"/>
          <w:rFonts w:ascii="Times New Roman" w:hAnsi="Times New Roman" w:cs="Times New Roman"/>
        </w:rPr>
        <w:footnoteReference w:id="650"/>
      </w:r>
      <w:r w:rsidRPr="00705170">
        <w:rPr>
          <w:rFonts w:ascii="Times New Roman" w:hAnsi="Times New Roman" w:cs="Times New Roman"/>
        </w:rPr>
        <w:t xml:space="preserve">. </w:t>
      </w:r>
      <w:r w:rsidR="006D1F56" w:rsidRPr="00705170">
        <w:rPr>
          <w:rFonts w:ascii="Times New Roman" w:hAnsi="Times New Roman" w:cs="Times New Roman"/>
        </w:rPr>
        <w:t xml:space="preserve">BCL </w:t>
      </w:r>
      <w:proofErr w:type="spellStart"/>
      <w:r w:rsidR="006D1F56" w:rsidRPr="00705170">
        <w:rPr>
          <w:rFonts w:ascii="Times New Roman" w:hAnsi="Times New Roman" w:cs="Times New Roman"/>
        </w:rPr>
        <w:t>Sec</w:t>
      </w:r>
      <w:proofErr w:type="spellEnd"/>
      <w:r w:rsidR="006D1F56" w:rsidRPr="00705170">
        <w:rPr>
          <w:rFonts w:ascii="Times New Roman" w:hAnsi="Times New Roman" w:cs="Times New Roman"/>
        </w:rPr>
        <w:t xml:space="preserve">. 1104-a </w:t>
      </w:r>
      <w:proofErr w:type="spellStart"/>
      <w:r w:rsidR="006D1F56" w:rsidRPr="00705170">
        <w:rPr>
          <w:rFonts w:ascii="Times New Roman" w:hAnsi="Times New Roman" w:cs="Times New Roman"/>
        </w:rPr>
        <w:t>limits</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the</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judicial</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dissolution</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avenue</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for</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shareholders</w:t>
      </w:r>
      <w:proofErr w:type="spellEnd"/>
      <w:r w:rsidR="006D1F56" w:rsidRPr="00705170">
        <w:rPr>
          <w:rFonts w:ascii="Times New Roman" w:hAnsi="Times New Roman" w:cs="Times New Roman"/>
        </w:rPr>
        <w:t xml:space="preserve"> in </w:t>
      </w:r>
      <w:proofErr w:type="spellStart"/>
      <w:r w:rsidR="006D1F56" w:rsidRPr="00705170">
        <w:rPr>
          <w:rFonts w:ascii="Times New Roman" w:hAnsi="Times New Roman" w:cs="Times New Roman"/>
        </w:rPr>
        <w:t>three</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ways</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The</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first</w:t>
      </w:r>
      <w:proofErr w:type="spellEnd"/>
      <w:r w:rsidR="006D1F56" w:rsidRPr="00705170">
        <w:rPr>
          <w:rFonts w:ascii="Times New Roman" w:hAnsi="Times New Roman" w:cs="Times New Roman"/>
        </w:rPr>
        <w:t xml:space="preserve"> limit it </w:t>
      </w:r>
      <w:proofErr w:type="spellStart"/>
      <w:r w:rsidR="006D1F56" w:rsidRPr="00705170">
        <w:rPr>
          <w:rFonts w:ascii="Times New Roman" w:hAnsi="Times New Roman" w:cs="Times New Roman"/>
        </w:rPr>
        <w:t>puts</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forward</w:t>
      </w:r>
      <w:proofErr w:type="spellEnd"/>
      <w:r w:rsidR="006D1F56" w:rsidRPr="00705170">
        <w:rPr>
          <w:rFonts w:ascii="Times New Roman" w:hAnsi="Times New Roman" w:cs="Times New Roman"/>
        </w:rPr>
        <w:t xml:space="preserve"> is </w:t>
      </w:r>
      <w:proofErr w:type="spellStart"/>
      <w:r w:rsidR="006D1F56" w:rsidRPr="00705170">
        <w:rPr>
          <w:rFonts w:ascii="Times New Roman" w:hAnsi="Times New Roman" w:cs="Times New Roman"/>
        </w:rPr>
        <w:t>that</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only</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holders</w:t>
      </w:r>
      <w:proofErr w:type="spellEnd"/>
      <w:r w:rsidR="006D1F56" w:rsidRPr="00705170">
        <w:rPr>
          <w:rFonts w:ascii="Times New Roman" w:hAnsi="Times New Roman" w:cs="Times New Roman"/>
        </w:rPr>
        <w:t xml:space="preserve"> of </w:t>
      </w:r>
      <w:proofErr w:type="spellStart"/>
      <w:r w:rsidR="006D1F56" w:rsidRPr="00705170">
        <w:rPr>
          <w:rFonts w:ascii="Times New Roman" w:hAnsi="Times New Roman" w:cs="Times New Roman"/>
        </w:rPr>
        <w:t>shares</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representing</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twenty</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percent</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or</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more</w:t>
      </w:r>
      <w:proofErr w:type="spellEnd"/>
      <w:r w:rsidR="006D1F56" w:rsidRPr="00705170">
        <w:rPr>
          <w:rFonts w:ascii="Times New Roman" w:hAnsi="Times New Roman" w:cs="Times New Roman"/>
        </w:rPr>
        <w:t xml:space="preserve"> of </w:t>
      </w:r>
      <w:proofErr w:type="spellStart"/>
      <w:r w:rsidR="006D1F56" w:rsidRPr="00705170">
        <w:rPr>
          <w:rFonts w:ascii="Times New Roman" w:hAnsi="Times New Roman" w:cs="Times New Roman"/>
        </w:rPr>
        <w:t>the</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votes</w:t>
      </w:r>
      <w:proofErr w:type="spellEnd"/>
      <w:r w:rsidR="006D1F56" w:rsidRPr="00705170">
        <w:rPr>
          <w:rFonts w:ascii="Times New Roman" w:hAnsi="Times New Roman" w:cs="Times New Roman"/>
        </w:rPr>
        <w:t xml:space="preserve"> of </w:t>
      </w:r>
      <w:proofErr w:type="spellStart"/>
      <w:r w:rsidR="006D1F56" w:rsidRPr="00705170">
        <w:rPr>
          <w:rFonts w:ascii="Times New Roman" w:hAnsi="Times New Roman" w:cs="Times New Roman"/>
        </w:rPr>
        <w:t>all</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outstanding</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shares</w:t>
      </w:r>
      <w:proofErr w:type="spellEnd"/>
      <w:r w:rsidR="006D1F56" w:rsidRPr="00705170">
        <w:rPr>
          <w:rFonts w:ascii="Times New Roman" w:hAnsi="Times New Roman" w:cs="Times New Roman"/>
        </w:rPr>
        <w:t xml:space="preserve"> of a </w:t>
      </w:r>
      <w:proofErr w:type="spellStart"/>
      <w:r w:rsidR="006D1F56" w:rsidRPr="00705170">
        <w:rPr>
          <w:rFonts w:ascii="Times New Roman" w:hAnsi="Times New Roman" w:cs="Times New Roman"/>
        </w:rPr>
        <w:t>corporation</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entitled</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to</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vote</w:t>
      </w:r>
      <w:proofErr w:type="spellEnd"/>
      <w:r w:rsidR="006D1F56" w:rsidRPr="00705170">
        <w:rPr>
          <w:rFonts w:ascii="Times New Roman" w:hAnsi="Times New Roman" w:cs="Times New Roman"/>
        </w:rPr>
        <w:t xml:space="preserve"> in an </w:t>
      </w:r>
      <w:proofErr w:type="spellStart"/>
      <w:r w:rsidR="006D1F56" w:rsidRPr="00705170">
        <w:rPr>
          <w:rFonts w:ascii="Times New Roman" w:hAnsi="Times New Roman" w:cs="Times New Roman"/>
        </w:rPr>
        <w:t>election</w:t>
      </w:r>
      <w:proofErr w:type="spellEnd"/>
      <w:r w:rsidR="006D1F56" w:rsidRPr="00705170">
        <w:rPr>
          <w:rFonts w:ascii="Times New Roman" w:hAnsi="Times New Roman" w:cs="Times New Roman"/>
        </w:rPr>
        <w:t xml:space="preserve"> of </w:t>
      </w:r>
      <w:proofErr w:type="spellStart"/>
      <w:r w:rsidR="006D1F56" w:rsidRPr="00705170">
        <w:rPr>
          <w:rFonts w:ascii="Times New Roman" w:hAnsi="Times New Roman" w:cs="Times New Roman"/>
        </w:rPr>
        <w:t>directors</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may</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present</w:t>
      </w:r>
      <w:proofErr w:type="spellEnd"/>
      <w:r w:rsidR="006D1F56" w:rsidRPr="00705170">
        <w:rPr>
          <w:rFonts w:ascii="Times New Roman" w:hAnsi="Times New Roman" w:cs="Times New Roman"/>
        </w:rPr>
        <w:t xml:space="preserve"> a </w:t>
      </w:r>
      <w:proofErr w:type="spellStart"/>
      <w:r w:rsidR="006D1F56" w:rsidRPr="00705170">
        <w:rPr>
          <w:rFonts w:ascii="Times New Roman" w:hAnsi="Times New Roman" w:cs="Times New Roman"/>
        </w:rPr>
        <w:t>petition</w:t>
      </w:r>
      <w:proofErr w:type="spellEnd"/>
      <w:r w:rsidR="006D1F56" w:rsidRPr="00705170">
        <w:rPr>
          <w:rFonts w:ascii="Times New Roman" w:hAnsi="Times New Roman" w:cs="Times New Roman"/>
        </w:rPr>
        <w:t xml:space="preserve"> of </w:t>
      </w:r>
      <w:proofErr w:type="spellStart"/>
      <w:r w:rsidR="006D1F56" w:rsidRPr="00705170">
        <w:rPr>
          <w:rFonts w:ascii="Times New Roman" w:hAnsi="Times New Roman" w:cs="Times New Roman"/>
        </w:rPr>
        <w:t>dissolution</w:t>
      </w:r>
      <w:proofErr w:type="spellEnd"/>
      <w:r w:rsidR="006D1F56" w:rsidRPr="00705170">
        <w:rPr>
          <w:rFonts w:ascii="Times New Roman" w:hAnsi="Times New Roman" w:cs="Times New Roman"/>
        </w:rPr>
        <w:t xml:space="preserve">. </w:t>
      </w:r>
      <w:proofErr w:type="spellStart"/>
      <w:r w:rsidR="00EE0F6B" w:rsidRPr="00705170">
        <w:rPr>
          <w:rFonts w:ascii="Times New Roman" w:hAnsi="Times New Roman" w:cs="Times New Roman"/>
        </w:rPr>
        <w:t>In</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this</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respect</w:t>
      </w:r>
      <w:proofErr w:type="spellEnd"/>
      <w:r w:rsidR="00EE0F6B" w:rsidRPr="00705170">
        <w:rPr>
          <w:rFonts w:ascii="Times New Roman" w:hAnsi="Times New Roman" w:cs="Times New Roman"/>
        </w:rPr>
        <w:t xml:space="preserve">, New York </w:t>
      </w:r>
      <w:proofErr w:type="spellStart"/>
      <w:r w:rsidR="00EE0F6B" w:rsidRPr="00705170">
        <w:rPr>
          <w:rFonts w:ascii="Times New Roman" w:hAnsi="Times New Roman" w:cs="Times New Roman"/>
        </w:rPr>
        <w:t>statutory</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law</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precludes</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lastRenderedPageBreak/>
        <w:t>the</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claims</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brought</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by</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small</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minority</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interests</w:t>
      </w:r>
      <w:proofErr w:type="spellEnd"/>
      <w:r w:rsidR="00EE0F6B" w:rsidRPr="00705170">
        <w:rPr>
          <w:rFonts w:ascii="Times New Roman" w:hAnsi="Times New Roman" w:cs="Times New Roman"/>
        </w:rPr>
        <w:t>, “</w:t>
      </w:r>
      <w:proofErr w:type="spellStart"/>
      <w:r w:rsidR="00EE0F6B" w:rsidRPr="00705170">
        <w:rPr>
          <w:rFonts w:ascii="Times New Roman" w:hAnsi="Times New Roman" w:cs="Times New Roman"/>
        </w:rPr>
        <w:t>possibly</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because</w:t>
      </w:r>
      <w:proofErr w:type="spellEnd"/>
      <w:r w:rsidR="00EE0F6B" w:rsidRPr="00705170">
        <w:rPr>
          <w:rFonts w:ascii="Times New Roman" w:hAnsi="Times New Roman" w:cs="Times New Roman"/>
        </w:rPr>
        <w:t xml:space="preserve"> of a </w:t>
      </w:r>
      <w:proofErr w:type="spellStart"/>
      <w:r w:rsidR="00EE0F6B" w:rsidRPr="00705170">
        <w:rPr>
          <w:rFonts w:ascii="Times New Roman" w:hAnsi="Times New Roman" w:cs="Times New Roman"/>
        </w:rPr>
        <w:t>perceived</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tendency</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for</w:t>
      </w:r>
      <w:proofErr w:type="spellEnd"/>
      <w:r w:rsidR="00EE0F6B" w:rsidRPr="00705170">
        <w:rPr>
          <w:rFonts w:ascii="Times New Roman" w:hAnsi="Times New Roman" w:cs="Times New Roman"/>
        </w:rPr>
        <w:t xml:space="preserve"> </w:t>
      </w:r>
      <w:proofErr w:type="spellStart"/>
      <w:r w:rsidR="00202440" w:rsidRPr="00705170">
        <w:rPr>
          <w:rFonts w:ascii="Times New Roman" w:hAnsi="Times New Roman" w:cs="Times New Roman"/>
        </w:rPr>
        <w:t>small</w:t>
      </w:r>
      <w:proofErr w:type="spellEnd"/>
      <w:r w:rsidR="00202440" w:rsidRPr="00705170">
        <w:rPr>
          <w:rFonts w:ascii="Times New Roman" w:hAnsi="Times New Roman" w:cs="Times New Roman"/>
        </w:rPr>
        <w:t xml:space="preserve"> </w:t>
      </w:r>
      <w:proofErr w:type="spellStart"/>
      <w:r w:rsidR="00202440" w:rsidRPr="00705170">
        <w:rPr>
          <w:rFonts w:ascii="Times New Roman" w:hAnsi="Times New Roman" w:cs="Times New Roman"/>
        </w:rPr>
        <w:t>shareholders</w:t>
      </w:r>
      <w:proofErr w:type="spellEnd"/>
      <w:r w:rsidR="00202440" w:rsidRPr="00705170">
        <w:rPr>
          <w:rFonts w:ascii="Times New Roman" w:hAnsi="Times New Roman" w:cs="Times New Roman"/>
        </w:rPr>
        <w:t xml:space="preserve"> </w:t>
      </w:r>
      <w:proofErr w:type="spellStart"/>
      <w:r w:rsidR="00202440" w:rsidRPr="00705170">
        <w:rPr>
          <w:rFonts w:ascii="Times New Roman" w:hAnsi="Times New Roman" w:cs="Times New Roman"/>
        </w:rPr>
        <w:t>to</w:t>
      </w:r>
      <w:proofErr w:type="spellEnd"/>
      <w:r w:rsidR="00202440" w:rsidRPr="00705170">
        <w:rPr>
          <w:rFonts w:ascii="Times New Roman" w:hAnsi="Times New Roman" w:cs="Times New Roman"/>
        </w:rPr>
        <w:t xml:space="preserve"> </w:t>
      </w:r>
      <w:proofErr w:type="spellStart"/>
      <w:r w:rsidR="00202440" w:rsidRPr="00705170">
        <w:rPr>
          <w:rFonts w:ascii="Times New Roman" w:hAnsi="Times New Roman" w:cs="Times New Roman"/>
        </w:rPr>
        <w:t>bring</w:t>
      </w:r>
      <w:proofErr w:type="spellEnd"/>
      <w:r w:rsidR="00202440" w:rsidRPr="00705170">
        <w:rPr>
          <w:rFonts w:ascii="Times New Roman" w:hAnsi="Times New Roman" w:cs="Times New Roman"/>
        </w:rPr>
        <w:t xml:space="preserve"> </w:t>
      </w:r>
      <w:proofErr w:type="spellStart"/>
      <w:r w:rsidR="00202440" w:rsidRPr="00705170">
        <w:rPr>
          <w:rFonts w:ascii="Times New Roman" w:hAnsi="Times New Roman" w:cs="Times New Roman"/>
        </w:rPr>
        <w:t>friv</w:t>
      </w:r>
      <w:r w:rsidR="00EE0F6B" w:rsidRPr="00705170">
        <w:rPr>
          <w:rFonts w:ascii="Times New Roman" w:hAnsi="Times New Roman" w:cs="Times New Roman"/>
        </w:rPr>
        <w:t>olous</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claims</w:t>
      </w:r>
      <w:proofErr w:type="spellEnd"/>
      <w:r w:rsidR="00EE0F6B" w:rsidRPr="00705170">
        <w:rPr>
          <w:rFonts w:ascii="Times New Roman" w:hAnsi="Times New Roman" w:cs="Times New Roman"/>
        </w:rPr>
        <w:t>”</w:t>
      </w:r>
      <w:r w:rsidR="00EE0F6B" w:rsidRPr="00705170">
        <w:rPr>
          <w:rStyle w:val="DipnotBavurusu"/>
          <w:rFonts w:ascii="Times New Roman" w:hAnsi="Times New Roman" w:cs="Times New Roman"/>
        </w:rPr>
        <w:footnoteReference w:id="651"/>
      </w:r>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Still</w:t>
      </w:r>
      <w:proofErr w:type="spellEnd"/>
      <w:r w:rsidR="00EE0F6B" w:rsidRPr="00705170">
        <w:rPr>
          <w:rFonts w:ascii="Times New Roman" w:hAnsi="Times New Roman" w:cs="Times New Roman"/>
        </w:rPr>
        <w:t xml:space="preserve">, in </w:t>
      </w:r>
      <w:proofErr w:type="spellStart"/>
      <w:r w:rsidR="00EE0F6B" w:rsidRPr="00705170">
        <w:rPr>
          <w:rFonts w:ascii="Times New Roman" w:hAnsi="Times New Roman" w:cs="Times New Roman"/>
        </w:rPr>
        <w:t>some</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instances</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relying</w:t>
      </w:r>
      <w:proofErr w:type="spellEnd"/>
      <w:r w:rsidR="00EE0F6B" w:rsidRPr="00705170">
        <w:rPr>
          <w:rFonts w:ascii="Times New Roman" w:hAnsi="Times New Roman" w:cs="Times New Roman"/>
        </w:rPr>
        <w:t xml:space="preserve"> on </w:t>
      </w:r>
      <w:proofErr w:type="spellStart"/>
      <w:r w:rsidR="00EE0F6B" w:rsidRPr="00705170">
        <w:rPr>
          <w:rFonts w:ascii="Times New Roman" w:hAnsi="Times New Roman" w:cs="Times New Roman"/>
        </w:rPr>
        <w:t>the</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common</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law</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right</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to</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dissolution</w:t>
      </w:r>
      <w:proofErr w:type="spellEnd"/>
      <w:r w:rsidR="00EE0F6B" w:rsidRPr="00705170">
        <w:rPr>
          <w:rFonts w:ascii="Times New Roman" w:hAnsi="Times New Roman" w:cs="Times New Roman"/>
        </w:rPr>
        <w:t xml:space="preserve">”, New York </w:t>
      </w:r>
      <w:proofErr w:type="spellStart"/>
      <w:r w:rsidR="00EE0F6B" w:rsidRPr="00705170">
        <w:rPr>
          <w:rFonts w:ascii="Times New Roman" w:hAnsi="Times New Roman" w:cs="Times New Roman"/>
        </w:rPr>
        <w:t>courts</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have</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expanded</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the</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remedy</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beyond</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this</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legislative</w:t>
      </w:r>
      <w:proofErr w:type="spellEnd"/>
      <w:r w:rsidR="00EE0F6B" w:rsidRPr="00705170">
        <w:rPr>
          <w:rFonts w:ascii="Times New Roman" w:hAnsi="Times New Roman" w:cs="Times New Roman"/>
        </w:rPr>
        <w:t xml:space="preserve"> </w:t>
      </w:r>
      <w:proofErr w:type="spellStart"/>
      <w:r w:rsidR="00EE0F6B" w:rsidRPr="00705170">
        <w:rPr>
          <w:rFonts w:ascii="Times New Roman" w:hAnsi="Times New Roman" w:cs="Times New Roman"/>
        </w:rPr>
        <w:t>limitation</w:t>
      </w:r>
      <w:proofErr w:type="spellEnd"/>
      <w:r w:rsidR="00EE0F6B" w:rsidRPr="00705170">
        <w:rPr>
          <w:rStyle w:val="DipnotBavurusu"/>
          <w:rFonts w:ascii="Times New Roman" w:hAnsi="Times New Roman" w:cs="Times New Roman"/>
        </w:rPr>
        <w:footnoteReference w:id="652"/>
      </w:r>
      <w:r w:rsidR="00EE0F6B" w:rsidRPr="00705170">
        <w:rPr>
          <w:rFonts w:ascii="Times New Roman" w:hAnsi="Times New Roman" w:cs="Times New Roman"/>
        </w:rPr>
        <w:t>.</w:t>
      </w:r>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The</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second</w:t>
      </w:r>
      <w:proofErr w:type="spellEnd"/>
      <w:r w:rsidR="006D1F56" w:rsidRPr="00705170">
        <w:rPr>
          <w:rFonts w:ascii="Times New Roman" w:hAnsi="Times New Roman" w:cs="Times New Roman"/>
        </w:rPr>
        <w:t xml:space="preserve"> limit </w:t>
      </w:r>
      <w:proofErr w:type="spellStart"/>
      <w:r w:rsidR="006D1F56" w:rsidRPr="00705170">
        <w:rPr>
          <w:rFonts w:ascii="Times New Roman" w:hAnsi="Times New Roman" w:cs="Times New Roman"/>
        </w:rPr>
        <w:t>the</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provisions</w:t>
      </w:r>
      <w:proofErr w:type="spellEnd"/>
      <w:r w:rsidR="006D1F56" w:rsidRPr="00705170">
        <w:rPr>
          <w:rFonts w:ascii="Times New Roman" w:hAnsi="Times New Roman" w:cs="Times New Roman"/>
        </w:rPr>
        <w:t xml:space="preserve"> has is </w:t>
      </w:r>
      <w:proofErr w:type="spellStart"/>
      <w:r w:rsidR="006D1F56" w:rsidRPr="00705170">
        <w:rPr>
          <w:rFonts w:ascii="Times New Roman" w:hAnsi="Times New Roman" w:cs="Times New Roman"/>
        </w:rPr>
        <w:t>that</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this</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avenue</w:t>
      </w:r>
      <w:proofErr w:type="spellEnd"/>
      <w:r w:rsidR="006D1F56" w:rsidRPr="00705170">
        <w:rPr>
          <w:rFonts w:ascii="Times New Roman" w:hAnsi="Times New Roman" w:cs="Times New Roman"/>
        </w:rPr>
        <w:t xml:space="preserve"> is not </w:t>
      </w:r>
      <w:proofErr w:type="spellStart"/>
      <w:r w:rsidR="006D1F56" w:rsidRPr="00705170">
        <w:rPr>
          <w:rFonts w:ascii="Times New Roman" w:hAnsi="Times New Roman" w:cs="Times New Roman"/>
        </w:rPr>
        <w:t>available</w:t>
      </w:r>
      <w:proofErr w:type="spellEnd"/>
      <w:r w:rsidR="006D1F56" w:rsidRPr="00705170">
        <w:rPr>
          <w:rFonts w:ascii="Times New Roman" w:hAnsi="Times New Roman" w:cs="Times New Roman"/>
        </w:rPr>
        <w:t xml:space="preserve"> in </w:t>
      </w:r>
      <w:proofErr w:type="spellStart"/>
      <w:r w:rsidR="006D1F56" w:rsidRPr="00705170">
        <w:rPr>
          <w:rFonts w:ascii="Times New Roman" w:hAnsi="Times New Roman" w:cs="Times New Roman"/>
        </w:rPr>
        <w:t>corporations</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registered</w:t>
      </w:r>
      <w:proofErr w:type="spellEnd"/>
      <w:r w:rsidR="006D1F56" w:rsidRPr="00705170">
        <w:rPr>
          <w:rFonts w:ascii="Times New Roman" w:hAnsi="Times New Roman" w:cs="Times New Roman"/>
        </w:rPr>
        <w:t xml:space="preserve"> as an </w:t>
      </w:r>
      <w:proofErr w:type="spellStart"/>
      <w:r w:rsidR="006D1F56" w:rsidRPr="00705170">
        <w:rPr>
          <w:rFonts w:ascii="Times New Roman" w:hAnsi="Times New Roman" w:cs="Times New Roman"/>
        </w:rPr>
        <w:t>investment</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company</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under</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the</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Investment</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Company</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Act</w:t>
      </w:r>
      <w:proofErr w:type="spellEnd"/>
      <w:r w:rsidR="006D1F56" w:rsidRPr="00705170">
        <w:rPr>
          <w:rFonts w:ascii="Times New Roman" w:hAnsi="Times New Roman" w:cs="Times New Roman"/>
        </w:rPr>
        <w:t xml:space="preserve"> of 1940 </w:t>
      </w:r>
      <w:proofErr w:type="spellStart"/>
      <w:r w:rsidR="006D1F56" w:rsidRPr="00705170">
        <w:rPr>
          <w:rFonts w:ascii="Times New Roman" w:hAnsi="Times New Roman" w:cs="Times New Roman"/>
        </w:rPr>
        <w:t>and</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for</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corporations</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whose</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shares</w:t>
      </w:r>
      <w:proofErr w:type="spellEnd"/>
      <w:r w:rsidR="00E14C37" w:rsidRPr="00705170">
        <w:rPr>
          <w:rFonts w:ascii="Times New Roman" w:hAnsi="Times New Roman" w:cs="Times New Roman"/>
        </w:rPr>
        <w:t xml:space="preserve"> </w:t>
      </w:r>
      <w:proofErr w:type="spellStart"/>
      <w:r w:rsidR="006D1F56" w:rsidRPr="00705170">
        <w:rPr>
          <w:rFonts w:ascii="Times New Roman" w:hAnsi="Times New Roman" w:cs="Times New Roman"/>
        </w:rPr>
        <w:t>are</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listed</w:t>
      </w:r>
      <w:proofErr w:type="spellEnd"/>
      <w:r w:rsidR="006D1F56" w:rsidRPr="00705170">
        <w:rPr>
          <w:rFonts w:ascii="Times New Roman" w:hAnsi="Times New Roman" w:cs="Times New Roman"/>
        </w:rPr>
        <w:t xml:space="preserve"> on a </w:t>
      </w:r>
      <w:proofErr w:type="spellStart"/>
      <w:r w:rsidR="006D1F56" w:rsidRPr="00705170">
        <w:rPr>
          <w:rFonts w:ascii="Times New Roman" w:hAnsi="Times New Roman" w:cs="Times New Roman"/>
        </w:rPr>
        <w:t>national</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securities</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exchange</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or</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regularly</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quoted</w:t>
      </w:r>
      <w:proofErr w:type="spellEnd"/>
      <w:r w:rsidR="006D1F56" w:rsidRPr="00705170">
        <w:rPr>
          <w:rFonts w:ascii="Times New Roman" w:hAnsi="Times New Roman" w:cs="Times New Roman"/>
        </w:rPr>
        <w:t xml:space="preserve"> in an </w:t>
      </w:r>
      <w:proofErr w:type="spellStart"/>
      <w:r w:rsidR="006D1F56" w:rsidRPr="00705170">
        <w:rPr>
          <w:rFonts w:ascii="Times New Roman" w:hAnsi="Times New Roman" w:cs="Times New Roman"/>
        </w:rPr>
        <w:t>over-the</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counter</w:t>
      </w:r>
      <w:proofErr w:type="spellEnd"/>
      <w:r w:rsidR="006D1F56" w:rsidRPr="00705170">
        <w:rPr>
          <w:rFonts w:ascii="Times New Roman" w:hAnsi="Times New Roman" w:cs="Times New Roman"/>
        </w:rPr>
        <w:t xml:space="preserve"> market </w:t>
      </w:r>
      <w:proofErr w:type="spellStart"/>
      <w:r w:rsidR="006D1F56" w:rsidRPr="00705170">
        <w:rPr>
          <w:rFonts w:ascii="Times New Roman" w:hAnsi="Times New Roman" w:cs="Times New Roman"/>
        </w:rPr>
        <w:t>by</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one</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or</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more</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members</w:t>
      </w:r>
      <w:proofErr w:type="spellEnd"/>
      <w:r w:rsidR="006D1F56" w:rsidRPr="00705170">
        <w:rPr>
          <w:rFonts w:ascii="Times New Roman" w:hAnsi="Times New Roman" w:cs="Times New Roman"/>
        </w:rPr>
        <w:t xml:space="preserve"> of a </w:t>
      </w:r>
      <w:proofErr w:type="spellStart"/>
      <w:r w:rsidR="006D1F56" w:rsidRPr="00705170">
        <w:rPr>
          <w:rFonts w:ascii="Times New Roman" w:hAnsi="Times New Roman" w:cs="Times New Roman"/>
        </w:rPr>
        <w:t>national</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or</w:t>
      </w:r>
      <w:proofErr w:type="spellEnd"/>
      <w:r w:rsidR="006D1F56" w:rsidRPr="00705170">
        <w:rPr>
          <w:rFonts w:ascii="Times New Roman" w:hAnsi="Times New Roman" w:cs="Times New Roman"/>
        </w:rPr>
        <w:t xml:space="preserve"> an </w:t>
      </w:r>
      <w:proofErr w:type="spellStart"/>
      <w:r w:rsidR="006D1F56" w:rsidRPr="00705170">
        <w:rPr>
          <w:rFonts w:ascii="Times New Roman" w:hAnsi="Times New Roman" w:cs="Times New Roman"/>
        </w:rPr>
        <w:t>affiliated</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securities</w:t>
      </w:r>
      <w:proofErr w:type="spellEnd"/>
      <w:r w:rsidR="006D1F56" w:rsidRPr="00705170">
        <w:rPr>
          <w:rFonts w:ascii="Times New Roman" w:hAnsi="Times New Roman" w:cs="Times New Roman"/>
        </w:rPr>
        <w:t xml:space="preserve"> </w:t>
      </w:r>
      <w:proofErr w:type="spellStart"/>
      <w:r w:rsidR="006D1F56" w:rsidRPr="00705170">
        <w:rPr>
          <w:rFonts w:ascii="Times New Roman" w:hAnsi="Times New Roman" w:cs="Times New Roman"/>
        </w:rPr>
        <w:t>association</w:t>
      </w:r>
      <w:proofErr w:type="spellEnd"/>
      <w:r w:rsidR="006D1F56" w:rsidRPr="00705170">
        <w:rPr>
          <w:rFonts w:ascii="Times New Roman" w:hAnsi="Times New Roman" w:cs="Times New Roman"/>
        </w:rPr>
        <w:t>.</w:t>
      </w:r>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Thus</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this</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cause</w:t>
      </w:r>
      <w:proofErr w:type="spellEnd"/>
      <w:r w:rsidR="00E14C37" w:rsidRPr="00705170">
        <w:rPr>
          <w:rFonts w:ascii="Times New Roman" w:hAnsi="Times New Roman" w:cs="Times New Roman"/>
        </w:rPr>
        <w:t xml:space="preserve"> of </w:t>
      </w:r>
      <w:proofErr w:type="spellStart"/>
      <w:r w:rsidR="00E14C37" w:rsidRPr="00705170">
        <w:rPr>
          <w:rFonts w:ascii="Times New Roman" w:hAnsi="Times New Roman" w:cs="Times New Roman"/>
        </w:rPr>
        <w:t>action</w:t>
      </w:r>
      <w:proofErr w:type="spellEnd"/>
      <w:r w:rsidR="00E14C37" w:rsidRPr="00705170">
        <w:rPr>
          <w:rFonts w:ascii="Times New Roman" w:hAnsi="Times New Roman" w:cs="Times New Roman"/>
        </w:rPr>
        <w:t xml:space="preserve"> is not </w:t>
      </w:r>
      <w:proofErr w:type="spellStart"/>
      <w:r w:rsidR="00E14C37" w:rsidRPr="00705170">
        <w:rPr>
          <w:rFonts w:ascii="Times New Roman" w:hAnsi="Times New Roman" w:cs="Times New Roman"/>
        </w:rPr>
        <w:t>available</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for</w:t>
      </w:r>
      <w:proofErr w:type="spellEnd"/>
      <w:r w:rsidR="00E14C37" w:rsidRPr="00705170">
        <w:rPr>
          <w:rFonts w:ascii="Times New Roman" w:hAnsi="Times New Roman" w:cs="Times New Roman"/>
        </w:rPr>
        <w:t xml:space="preserve"> New York </w:t>
      </w:r>
      <w:proofErr w:type="spellStart"/>
      <w:r w:rsidR="00E14C37" w:rsidRPr="00705170">
        <w:rPr>
          <w:rFonts w:ascii="Times New Roman" w:hAnsi="Times New Roman" w:cs="Times New Roman"/>
        </w:rPr>
        <w:t>publicly</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traded</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corporations</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The</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third</w:t>
      </w:r>
      <w:proofErr w:type="spellEnd"/>
      <w:r w:rsidR="00E14C37" w:rsidRPr="00705170">
        <w:rPr>
          <w:rFonts w:ascii="Times New Roman" w:hAnsi="Times New Roman" w:cs="Times New Roman"/>
        </w:rPr>
        <w:t xml:space="preserve"> limit </w:t>
      </w:r>
      <w:proofErr w:type="spellStart"/>
      <w:r w:rsidR="00E14C37" w:rsidRPr="00705170">
        <w:rPr>
          <w:rFonts w:ascii="Times New Roman" w:hAnsi="Times New Roman" w:cs="Times New Roman"/>
        </w:rPr>
        <w:t>the</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provision</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includes</w:t>
      </w:r>
      <w:proofErr w:type="spellEnd"/>
      <w:r w:rsidR="00E14C37" w:rsidRPr="00705170">
        <w:rPr>
          <w:rFonts w:ascii="Times New Roman" w:hAnsi="Times New Roman" w:cs="Times New Roman"/>
        </w:rPr>
        <w:t xml:space="preserve"> is </w:t>
      </w:r>
      <w:proofErr w:type="spellStart"/>
      <w:r w:rsidR="00E14C37" w:rsidRPr="00705170">
        <w:rPr>
          <w:rFonts w:ascii="Times New Roman" w:hAnsi="Times New Roman" w:cs="Times New Roman"/>
        </w:rPr>
        <w:t>that</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the</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dissolution</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petition</w:t>
      </w:r>
      <w:proofErr w:type="spellEnd"/>
      <w:r w:rsidR="00E14C37" w:rsidRPr="00705170">
        <w:rPr>
          <w:rFonts w:ascii="Times New Roman" w:hAnsi="Times New Roman" w:cs="Times New Roman"/>
        </w:rPr>
        <w:t xml:space="preserve"> has </w:t>
      </w:r>
      <w:proofErr w:type="spellStart"/>
      <w:r w:rsidR="00E14C37" w:rsidRPr="00705170">
        <w:rPr>
          <w:rFonts w:ascii="Times New Roman" w:hAnsi="Times New Roman" w:cs="Times New Roman"/>
        </w:rPr>
        <w:t>to</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rely</w:t>
      </w:r>
      <w:proofErr w:type="spellEnd"/>
      <w:r w:rsidR="00E14C37" w:rsidRPr="00705170">
        <w:rPr>
          <w:rFonts w:ascii="Times New Roman" w:hAnsi="Times New Roman" w:cs="Times New Roman"/>
        </w:rPr>
        <w:t xml:space="preserve"> on </w:t>
      </w:r>
      <w:proofErr w:type="spellStart"/>
      <w:r w:rsidR="00E14C37" w:rsidRPr="00705170">
        <w:rPr>
          <w:rFonts w:ascii="Times New Roman" w:hAnsi="Times New Roman" w:cs="Times New Roman"/>
        </w:rPr>
        <w:t>one</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or</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more</w:t>
      </w:r>
      <w:proofErr w:type="spellEnd"/>
      <w:r w:rsidR="00E14C37" w:rsidRPr="00705170">
        <w:rPr>
          <w:rFonts w:ascii="Times New Roman" w:hAnsi="Times New Roman" w:cs="Times New Roman"/>
        </w:rPr>
        <w:t xml:space="preserve"> of </w:t>
      </w:r>
      <w:proofErr w:type="spellStart"/>
      <w:r w:rsidR="00E14C37" w:rsidRPr="00705170">
        <w:rPr>
          <w:rFonts w:ascii="Times New Roman" w:hAnsi="Times New Roman" w:cs="Times New Roman"/>
        </w:rPr>
        <w:t>the</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statutory</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grounds</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The</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statutory</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grounds</w:t>
      </w:r>
      <w:proofErr w:type="spellEnd"/>
      <w:r w:rsidR="00E14C37" w:rsidRPr="00705170">
        <w:rPr>
          <w:rFonts w:ascii="Times New Roman" w:hAnsi="Times New Roman" w:cs="Times New Roman"/>
        </w:rPr>
        <w:t xml:space="preserve"> </w:t>
      </w:r>
      <w:proofErr w:type="spellStart"/>
      <w:r w:rsidR="00E14C37" w:rsidRPr="00705170">
        <w:rPr>
          <w:rFonts w:ascii="Times New Roman" w:hAnsi="Times New Roman" w:cs="Times New Roman"/>
        </w:rPr>
        <w:t>are</w:t>
      </w:r>
      <w:proofErr w:type="spellEnd"/>
      <w:r w:rsidR="00E14C37" w:rsidRPr="00705170">
        <w:rPr>
          <w:rFonts w:ascii="Times New Roman" w:hAnsi="Times New Roman" w:cs="Times New Roman"/>
        </w:rPr>
        <w:t xml:space="preserve"> as </w:t>
      </w:r>
      <w:proofErr w:type="spellStart"/>
      <w:r w:rsidR="00E14C37" w:rsidRPr="00705170">
        <w:rPr>
          <w:rFonts w:ascii="Times New Roman" w:hAnsi="Times New Roman" w:cs="Times New Roman"/>
        </w:rPr>
        <w:t>follows</w:t>
      </w:r>
      <w:proofErr w:type="spellEnd"/>
      <w:r w:rsidR="00E14C37" w:rsidRPr="00705170">
        <w:rPr>
          <w:rFonts w:ascii="Times New Roman" w:hAnsi="Times New Roman" w:cs="Times New Roman"/>
        </w:rPr>
        <w:t>: “</w:t>
      </w:r>
      <w:r w:rsidR="00E14C37" w:rsidRPr="00705170">
        <w:rPr>
          <w:rFonts w:ascii="Times New Roman" w:hAnsi="Times New Roman" w:cs="Times New Roman"/>
          <w:color w:val="000000"/>
        </w:rPr>
        <w:t xml:space="preserve">(1) </w:t>
      </w:r>
      <w:proofErr w:type="spellStart"/>
      <w:r w:rsidR="00E14C37" w:rsidRPr="00705170">
        <w:rPr>
          <w:rFonts w:ascii="Times New Roman" w:hAnsi="Times New Roman" w:cs="Times New Roman"/>
          <w:color w:val="000000"/>
        </w:rPr>
        <w:t>The</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directors</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or</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those</w:t>
      </w:r>
      <w:proofErr w:type="spellEnd"/>
      <w:r w:rsidR="00E14C37" w:rsidRPr="00705170">
        <w:rPr>
          <w:rFonts w:ascii="Times New Roman" w:hAnsi="Times New Roman" w:cs="Times New Roman"/>
          <w:color w:val="000000"/>
        </w:rPr>
        <w:t xml:space="preserve"> in </w:t>
      </w:r>
      <w:proofErr w:type="spellStart"/>
      <w:r w:rsidR="00E14C37" w:rsidRPr="00705170">
        <w:rPr>
          <w:rFonts w:ascii="Times New Roman" w:hAnsi="Times New Roman" w:cs="Times New Roman"/>
          <w:color w:val="000000"/>
        </w:rPr>
        <w:t>control</w:t>
      </w:r>
      <w:proofErr w:type="spellEnd"/>
      <w:r w:rsidR="00E14C37" w:rsidRPr="00705170">
        <w:rPr>
          <w:rFonts w:ascii="Times New Roman" w:hAnsi="Times New Roman" w:cs="Times New Roman"/>
          <w:color w:val="000000"/>
        </w:rPr>
        <w:t xml:space="preserve"> of </w:t>
      </w:r>
      <w:proofErr w:type="spellStart"/>
      <w:r w:rsidR="00E14C37" w:rsidRPr="00705170">
        <w:rPr>
          <w:rFonts w:ascii="Times New Roman" w:hAnsi="Times New Roman" w:cs="Times New Roman"/>
          <w:color w:val="000000"/>
        </w:rPr>
        <w:t>the</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corporation</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have</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been</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guilty</w:t>
      </w:r>
      <w:proofErr w:type="spellEnd"/>
      <w:r w:rsidR="00E14C37" w:rsidRPr="00705170">
        <w:rPr>
          <w:rFonts w:ascii="Times New Roman" w:hAnsi="Times New Roman" w:cs="Times New Roman"/>
          <w:color w:val="000000"/>
        </w:rPr>
        <w:t xml:space="preserve"> of illegal, </w:t>
      </w:r>
      <w:proofErr w:type="spellStart"/>
      <w:r w:rsidR="00E14C37" w:rsidRPr="00705170">
        <w:rPr>
          <w:rFonts w:ascii="Times New Roman" w:hAnsi="Times New Roman" w:cs="Times New Roman"/>
          <w:color w:val="000000"/>
        </w:rPr>
        <w:t>fraudulent</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or</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oppressive</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actions</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toward</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the</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complaining</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shareholders</w:t>
      </w:r>
      <w:proofErr w:type="spellEnd"/>
      <w:r w:rsidR="00E14C37" w:rsidRPr="00705170">
        <w:rPr>
          <w:rFonts w:ascii="Times New Roman" w:hAnsi="Times New Roman" w:cs="Times New Roman"/>
          <w:color w:val="000000"/>
        </w:rPr>
        <w:t xml:space="preserve">; (2) </w:t>
      </w:r>
      <w:proofErr w:type="spellStart"/>
      <w:r w:rsidR="00E14C37" w:rsidRPr="00705170">
        <w:rPr>
          <w:rFonts w:ascii="Times New Roman" w:hAnsi="Times New Roman" w:cs="Times New Roman"/>
          <w:color w:val="000000"/>
        </w:rPr>
        <w:t>The</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property</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or</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assets</w:t>
      </w:r>
      <w:proofErr w:type="spellEnd"/>
      <w:r w:rsidR="00E14C37" w:rsidRPr="00705170">
        <w:rPr>
          <w:rFonts w:ascii="Times New Roman" w:hAnsi="Times New Roman" w:cs="Times New Roman"/>
          <w:color w:val="000000"/>
        </w:rPr>
        <w:t xml:space="preserve"> of </w:t>
      </w:r>
      <w:proofErr w:type="spellStart"/>
      <w:r w:rsidR="00E14C37" w:rsidRPr="00705170">
        <w:rPr>
          <w:rFonts w:ascii="Times New Roman" w:hAnsi="Times New Roman" w:cs="Times New Roman"/>
          <w:color w:val="000000"/>
        </w:rPr>
        <w:t>the</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corporation</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are</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being</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looted</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wasted</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or</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diverted</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for</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non-corporate</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purposes</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by</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its</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directors</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officers</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or</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those</w:t>
      </w:r>
      <w:proofErr w:type="spellEnd"/>
      <w:r w:rsidR="00E14C37" w:rsidRPr="00705170">
        <w:rPr>
          <w:rFonts w:ascii="Times New Roman" w:hAnsi="Times New Roman" w:cs="Times New Roman"/>
          <w:color w:val="000000"/>
        </w:rPr>
        <w:t xml:space="preserve"> in </w:t>
      </w:r>
      <w:proofErr w:type="spellStart"/>
      <w:r w:rsidR="00E14C37" w:rsidRPr="00705170">
        <w:rPr>
          <w:rFonts w:ascii="Times New Roman" w:hAnsi="Times New Roman" w:cs="Times New Roman"/>
          <w:color w:val="000000"/>
        </w:rPr>
        <w:t>control</w:t>
      </w:r>
      <w:proofErr w:type="spellEnd"/>
      <w:r w:rsidR="00E14C37" w:rsidRPr="00705170">
        <w:rPr>
          <w:rFonts w:ascii="Times New Roman" w:hAnsi="Times New Roman" w:cs="Times New Roman"/>
          <w:color w:val="000000"/>
        </w:rPr>
        <w:t xml:space="preserve"> of </w:t>
      </w:r>
      <w:proofErr w:type="spellStart"/>
      <w:r w:rsidR="00E14C37" w:rsidRPr="00705170">
        <w:rPr>
          <w:rFonts w:ascii="Times New Roman" w:hAnsi="Times New Roman" w:cs="Times New Roman"/>
          <w:color w:val="000000"/>
        </w:rPr>
        <w:t>the</w:t>
      </w:r>
      <w:proofErr w:type="spellEnd"/>
      <w:r w:rsidR="00E14C37" w:rsidRPr="00705170">
        <w:rPr>
          <w:rFonts w:ascii="Times New Roman" w:hAnsi="Times New Roman" w:cs="Times New Roman"/>
          <w:color w:val="000000"/>
        </w:rPr>
        <w:t xml:space="preserve"> </w:t>
      </w:r>
      <w:proofErr w:type="spellStart"/>
      <w:r w:rsidR="00E14C37" w:rsidRPr="00705170">
        <w:rPr>
          <w:rFonts w:ascii="Times New Roman" w:hAnsi="Times New Roman" w:cs="Times New Roman"/>
          <w:color w:val="000000"/>
        </w:rPr>
        <w:t>corporation</w:t>
      </w:r>
      <w:proofErr w:type="spellEnd"/>
      <w:r w:rsidR="00E14C37" w:rsidRPr="00705170">
        <w:rPr>
          <w:rFonts w:ascii="Times New Roman" w:hAnsi="Times New Roman" w:cs="Times New Roman"/>
          <w:color w:val="000000"/>
        </w:rPr>
        <w:t>”</w:t>
      </w:r>
      <w:r w:rsidR="00E14C37" w:rsidRPr="00705170">
        <w:rPr>
          <w:rStyle w:val="DipnotBavurusu"/>
          <w:rFonts w:ascii="Times New Roman" w:hAnsi="Times New Roman" w:cs="Times New Roman"/>
          <w:color w:val="000000"/>
        </w:rPr>
        <w:footnoteReference w:id="653"/>
      </w:r>
      <w:r w:rsidR="00E14C37" w:rsidRPr="00705170">
        <w:rPr>
          <w:rFonts w:ascii="Times New Roman" w:hAnsi="Times New Roman" w:cs="Times New Roman"/>
          <w:color w:val="000000"/>
        </w:rPr>
        <w:t>.</w:t>
      </w:r>
      <w:r w:rsidR="007C31DF" w:rsidRPr="00705170">
        <w:rPr>
          <w:rFonts w:ascii="Times New Roman" w:hAnsi="Times New Roman" w:cs="Times New Roman"/>
          <w:color w:val="000000"/>
        </w:rPr>
        <w:t xml:space="preserve"> </w:t>
      </w:r>
    </w:p>
    <w:p w14:paraId="23BE9F9E" w14:textId="00B3C6A6" w:rsidR="003B1479" w:rsidRPr="00705170" w:rsidRDefault="00F01A07" w:rsidP="00F01A07">
      <w:pPr>
        <w:spacing w:after="240" w:line="480" w:lineRule="auto"/>
        <w:ind w:firstLine="720"/>
        <w:jc w:val="both"/>
        <w:rPr>
          <w:rFonts w:ascii="Times New Roman" w:hAnsi="Times New Roman" w:cs="Times New Roman"/>
          <w:color w:val="000000"/>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discretion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grant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w:t>
      </w:r>
      <w:r w:rsidR="00444359" w:rsidRPr="00705170">
        <w:rPr>
          <w:rFonts w:ascii="Times New Roman" w:hAnsi="Times New Roman" w:cs="Times New Roman"/>
        </w:rPr>
        <w:t>ution</w:t>
      </w:r>
      <w:proofErr w:type="spellEnd"/>
      <w:r w:rsidR="00444359" w:rsidRPr="00705170">
        <w:rPr>
          <w:rFonts w:ascii="Times New Roman" w:hAnsi="Times New Roman" w:cs="Times New Roman"/>
        </w:rPr>
        <w:t xml:space="preserve"> </w:t>
      </w:r>
      <w:proofErr w:type="spellStart"/>
      <w:r w:rsidR="00444359" w:rsidRPr="00705170">
        <w:rPr>
          <w:rFonts w:ascii="Times New Roman" w:hAnsi="Times New Roman" w:cs="Times New Roman"/>
        </w:rPr>
        <w:t>or</w:t>
      </w:r>
      <w:proofErr w:type="spellEnd"/>
      <w:r w:rsidR="00444359" w:rsidRPr="00705170">
        <w:rPr>
          <w:rFonts w:ascii="Times New Roman" w:hAnsi="Times New Roman" w:cs="Times New Roman"/>
        </w:rPr>
        <w:t xml:space="preserve"> not. </w:t>
      </w:r>
      <w:proofErr w:type="spellStart"/>
      <w:r w:rsidR="00444359" w:rsidRPr="00705170">
        <w:rPr>
          <w:rFonts w:ascii="Times New Roman" w:hAnsi="Times New Roman" w:cs="Times New Roman"/>
        </w:rPr>
        <w:t>It</w:t>
      </w:r>
      <w:proofErr w:type="spellEnd"/>
      <w:r w:rsidR="00444359" w:rsidRPr="00705170">
        <w:rPr>
          <w:rFonts w:ascii="Times New Roman" w:hAnsi="Times New Roman" w:cs="Times New Roman"/>
        </w:rPr>
        <w:t xml:space="preserve"> </w:t>
      </w:r>
      <w:proofErr w:type="spellStart"/>
      <w:r w:rsidR="00444359" w:rsidRPr="00705170">
        <w:rPr>
          <w:rFonts w:ascii="Times New Roman" w:hAnsi="Times New Roman" w:cs="Times New Roman"/>
        </w:rPr>
        <w:t>indicates</w:t>
      </w:r>
      <w:proofErr w:type="spellEnd"/>
      <w:r w:rsidR="00444359" w:rsidRPr="00705170">
        <w:rPr>
          <w:rFonts w:ascii="Times New Roman" w:hAnsi="Times New Roman" w:cs="Times New Roman"/>
        </w:rPr>
        <w:t xml:space="preserve"> </w:t>
      </w:r>
      <w:proofErr w:type="spellStart"/>
      <w:r w:rsidR="00444359"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take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account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following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points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determining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proceed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w:t>
      </w:r>
      <w:r w:rsidRPr="00705170">
        <w:rPr>
          <w:rFonts w:ascii="Times New Roman" w:hAnsi="Times New Roman" w:cs="Times New Roman"/>
          <w:color w:val="000000"/>
        </w:rPr>
        <w:t xml:space="preserve">(1) </w:t>
      </w:r>
      <w:proofErr w:type="spellStart"/>
      <w:r w:rsidRPr="00705170">
        <w:rPr>
          <w:rFonts w:ascii="Times New Roman" w:hAnsi="Times New Roman" w:cs="Times New Roman"/>
          <w:color w:val="000000"/>
        </w:rPr>
        <w:t>Whether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liquidation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is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only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feasible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means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whereby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petitioners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may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reasonably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expect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obtain</w:t>
      </w:r>
      <w:proofErr w:type="spellEnd"/>
      <w:r w:rsidRPr="00705170">
        <w:rPr>
          <w:rFonts w:ascii="Times New Roman" w:hAnsi="Times New Roman" w:cs="Times New Roman"/>
          <w:color w:val="000000"/>
        </w:rPr>
        <w:t xml:space="preserve"> a </w:t>
      </w:r>
      <w:proofErr w:type="spellStart"/>
      <w:r w:rsidRPr="00705170">
        <w:rPr>
          <w:rFonts w:ascii="Times New Roman" w:hAnsi="Times New Roman" w:cs="Times New Roman"/>
          <w:color w:val="000000"/>
        </w:rPr>
        <w:t>fair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return</w:t>
      </w:r>
      <w:proofErr w:type="spellEnd"/>
      <w:r w:rsidRPr="00705170">
        <w:rPr>
          <w:rFonts w:ascii="Times New Roman" w:hAnsi="Times New Roman" w:cs="Times New Roman"/>
          <w:color w:val="000000"/>
        </w:rPr>
        <w:t xml:space="preserve"> on </w:t>
      </w:r>
      <w:proofErr w:type="spellStart"/>
      <w:r w:rsidRPr="00705170">
        <w:rPr>
          <w:rFonts w:ascii="Times New Roman" w:hAnsi="Times New Roman" w:cs="Times New Roman"/>
          <w:color w:val="000000"/>
        </w:rPr>
        <w:t>their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investment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(2) </w:t>
      </w:r>
      <w:proofErr w:type="spellStart"/>
      <w:r w:rsidRPr="00705170">
        <w:rPr>
          <w:rFonts w:ascii="Times New Roman" w:hAnsi="Times New Roman" w:cs="Times New Roman"/>
          <w:color w:val="000000"/>
        </w:rPr>
        <w:t>Whether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liquidation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is </w:t>
      </w:r>
      <w:proofErr w:type="spellStart"/>
      <w:r w:rsidRPr="00705170">
        <w:rPr>
          <w:rFonts w:ascii="Times New Roman" w:hAnsi="Times New Roman" w:cs="Times New Roman"/>
          <w:color w:val="000000"/>
        </w:rPr>
        <w:t>reasonably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necessary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protection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rights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interests</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any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substantial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number</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shareholders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lastRenderedPageBreak/>
        <w:t>petitioners</w:t>
      </w:r>
      <w:proofErr w:type="spellEnd"/>
      <w:r w:rsidRPr="00705170">
        <w:rPr>
          <w:rFonts w:ascii="Times New Roman" w:hAnsi="Times New Roman" w:cs="Times New Roman"/>
          <w:color w:val="000000"/>
        </w:rPr>
        <w:t>”</w:t>
      </w:r>
      <w:r w:rsidRPr="00705170">
        <w:rPr>
          <w:rStyle w:val="DipnotBavurusu"/>
          <w:rFonts w:ascii="Times New Roman" w:hAnsi="Times New Roman" w:cs="Times New Roman"/>
          <w:color w:val="000000"/>
        </w:rPr>
        <w:footnoteReference w:id="654"/>
      </w:r>
      <w:r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Accordingly</w:t>
      </w:r>
      <w:proofErr w:type="spellEnd"/>
      <w:r w:rsidR="00670268" w:rsidRPr="00705170">
        <w:rPr>
          <w:rFonts w:ascii="Times New Roman" w:hAnsi="Times New Roman" w:cs="Times New Roman"/>
          <w:color w:val="000000"/>
        </w:rPr>
        <w:t>, a “</w:t>
      </w:r>
      <w:proofErr w:type="spellStart"/>
      <w:r w:rsidR="00670268" w:rsidRPr="00705170">
        <w:rPr>
          <w:rFonts w:ascii="Times New Roman" w:hAnsi="Times New Roman" w:cs="Times New Roman"/>
          <w:color w:val="000000"/>
        </w:rPr>
        <w:t>court</w:t>
      </w:r>
      <w:proofErr w:type="spellEnd"/>
      <w:r w:rsidR="00670268" w:rsidRPr="00705170">
        <w:rPr>
          <w:rFonts w:ascii="Times New Roman" w:hAnsi="Times New Roman" w:cs="Times New Roman"/>
          <w:color w:val="000000"/>
        </w:rPr>
        <w:t xml:space="preserve"> has </w:t>
      </w:r>
      <w:proofErr w:type="spellStart"/>
      <w:r w:rsidR="00FA04A1" w:rsidRPr="00705170">
        <w:rPr>
          <w:rFonts w:ascii="Times New Roman" w:hAnsi="Times New Roman" w:cs="Times New Roman"/>
          <w:color w:val="000000"/>
        </w:rPr>
        <w:t>broad</w:t>
      </w:r>
      <w:proofErr w:type="spellEnd"/>
      <w:r w:rsidR="00FA04A1" w:rsidRPr="00705170">
        <w:rPr>
          <w:rFonts w:ascii="Times New Roman" w:hAnsi="Times New Roman" w:cs="Times New Roman"/>
          <w:color w:val="000000"/>
        </w:rPr>
        <w:t xml:space="preserve"> </w:t>
      </w:r>
      <w:proofErr w:type="spellStart"/>
      <w:r w:rsidR="00FA04A1" w:rsidRPr="00705170">
        <w:rPr>
          <w:rFonts w:ascii="Times New Roman" w:hAnsi="Times New Roman" w:cs="Times New Roman"/>
          <w:color w:val="000000"/>
        </w:rPr>
        <w:t>latitu</w:t>
      </w:r>
      <w:r w:rsidR="00670268" w:rsidRPr="00705170">
        <w:rPr>
          <w:rFonts w:ascii="Times New Roman" w:hAnsi="Times New Roman" w:cs="Times New Roman"/>
          <w:color w:val="000000"/>
        </w:rPr>
        <w:t>de</w:t>
      </w:r>
      <w:proofErr w:type="spellEnd"/>
      <w:r w:rsidR="00670268" w:rsidRPr="00705170">
        <w:rPr>
          <w:rFonts w:ascii="Times New Roman" w:hAnsi="Times New Roman" w:cs="Times New Roman"/>
          <w:color w:val="000000"/>
        </w:rPr>
        <w:t xml:space="preserve"> in </w:t>
      </w:r>
      <w:proofErr w:type="spellStart"/>
      <w:r w:rsidR="00670268" w:rsidRPr="00705170">
        <w:rPr>
          <w:rFonts w:ascii="Times New Roman" w:hAnsi="Times New Roman" w:cs="Times New Roman"/>
          <w:color w:val="000000"/>
        </w:rPr>
        <w:t>fashioning</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alternative</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relief</w:t>
      </w:r>
      <w:proofErr w:type="spellEnd"/>
      <w:r w:rsidR="00670268" w:rsidRPr="00705170">
        <w:rPr>
          <w:rFonts w:ascii="Times New Roman" w:hAnsi="Times New Roman" w:cs="Times New Roman"/>
          <w:color w:val="000000"/>
        </w:rPr>
        <w:t xml:space="preserve">, but </w:t>
      </w:r>
      <w:proofErr w:type="spellStart"/>
      <w:r w:rsidR="00670268" w:rsidRPr="00705170">
        <w:rPr>
          <w:rFonts w:ascii="Times New Roman" w:hAnsi="Times New Roman" w:cs="Times New Roman"/>
          <w:color w:val="000000"/>
        </w:rPr>
        <w:t>when</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fulfillment</w:t>
      </w:r>
      <w:proofErr w:type="spellEnd"/>
      <w:r w:rsidR="00670268" w:rsidRPr="00705170">
        <w:rPr>
          <w:rFonts w:ascii="Times New Roman" w:hAnsi="Times New Roman" w:cs="Times New Roman"/>
          <w:color w:val="000000"/>
        </w:rPr>
        <w:t xml:space="preserve"> of </w:t>
      </w:r>
      <w:proofErr w:type="spellStart"/>
      <w:r w:rsidR="00670268" w:rsidRPr="00705170">
        <w:rPr>
          <w:rFonts w:ascii="Times New Roman" w:hAnsi="Times New Roman" w:cs="Times New Roman"/>
          <w:color w:val="000000"/>
        </w:rPr>
        <w:t>the</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oppressed</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petitioner’s</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expectations</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by</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these</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means</w:t>
      </w:r>
      <w:proofErr w:type="spellEnd"/>
      <w:r w:rsidR="00670268" w:rsidRPr="00705170">
        <w:rPr>
          <w:rFonts w:ascii="Times New Roman" w:hAnsi="Times New Roman" w:cs="Times New Roman"/>
          <w:color w:val="000000"/>
        </w:rPr>
        <w:t xml:space="preserve"> is </w:t>
      </w:r>
      <w:proofErr w:type="spellStart"/>
      <w:r w:rsidR="00670268" w:rsidRPr="00705170">
        <w:rPr>
          <w:rFonts w:ascii="Times New Roman" w:hAnsi="Times New Roman" w:cs="Times New Roman"/>
          <w:color w:val="000000"/>
        </w:rPr>
        <w:t>doubtful</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such</w:t>
      </w:r>
      <w:proofErr w:type="spellEnd"/>
      <w:r w:rsidR="00670268" w:rsidRPr="00705170">
        <w:rPr>
          <w:rFonts w:ascii="Times New Roman" w:hAnsi="Times New Roman" w:cs="Times New Roman"/>
          <w:color w:val="000000"/>
        </w:rPr>
        <w:t xml:space="preserve"> as </w:t>
      </w:r>
      <w:proofErr w:type="spellStart"/>
      <w:r w:rsidR="00670268" w:rsidRPr="00705170">
        <w:rPr>
          <w:rFonts w:ascii="Times New Roman" w:hAnsi="Times New Roman" w:cs="Times New Roman"/>
          <w:color w:val="000000"/>
        </w:rPr>
        <w:t>when</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there</w:t>
      </w:r>
      <w:proofErr w:type="spellEnd"/>
      <w:r w:rsidR="00670268" w:rsidRPr="00705170">
        <w:rPr>
          <w:rFonts w:ascii="Times New Roman" w:hAnsi="Times New Roman" w:cs="Times New Roman"/>
          <w:color w:val="000000"/>
        </w:rPr>
        <w:t xml:space="preserve"> has </w:t>
      </w:r>
      <w:proofErr w:type="spellStart"/>
      <w:r w:rsidR="00670268" w:rsidRPr="00705170">
        <w:rPr>
          <w:rFonts w:ascii="Times New Roman" w:hAnsi="Times New Roman" w:cs="Times New Roman"/>
          <w:color w:val="000000"/>
        </w:rPr>
        <w:t>been</w:t>
      </w:r>
      <w:proofErr w:type="spellEnd"/>
      <w:r w:rsidR="00670268" w:rsidRPr="00705170">
        <w:rPr>
          <w:rFonts w:ascii="Times New Roman" w:hAnsi="Times New Roman" w:cs="Times New Roman"/>
          <w:color w:val="000000"/>
        </w:rPr>
        <w:t xml:space="preserve"> a </w:t>
      </w:r>
      <w:proofErr w:type="spellStart"/>
      <w:r w:rsidR="00670268" w:rsidRPr="00705170">
        <w:rPr>
          <w:rFonts w:ascii="Times New Roman" w:hAnsi="Times New Roman" w:cs="Times New Roman"/>
          <w:color w:val="000000"/>
        </w:rPr>
        <w:t>complete</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deterioration</w:t>
      </w:r>
      <w:proofErr w:type="spellEnd"/>
      <w:r w:rsidR="00670268" w:rsidRPr="00705170">
        <w:rPr>
          <w:rFonts w:ascii="Times New Roman" w:hAnsi="Times New Roman" w:cs="Times New Roman"/>
          <w:color w:val="000000"/>
        </w:rPr>
        <w:t xml:space="preserve"> of </w:t>
      </w:r>
      <w:proofErr w:type="spellStart"/>
      <w:r w:rsidR="00670268" w:rsidRPr="00705170">
        <w:rPr>
          <w:rFonts w:ascii="Times New Roman" w:hAnsi="Times New Roman" w:cs="Times New Roman"/>
          <w:color w:val="000000"/>
        </w:rPr>
        <w:t>relations</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between</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the</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parties</w:t>
      </w:r>
      <w:proofErr w:type="spellEnd"/>
      <w:r w:rsidR="00670268" w:rsidRPr="00705170">
        <w:rPr>
          <w:rFonts w:ascii="Times New Roman" w:hAnsi="Times New Roman" w:cs="Times New Roman"/>
          <w:color w:val="000000"/>
        </w:rPr>
        <w:t xml:space="preserve">, a </w:t>
      </w:r>
      <w:proofErr w:type="spellStart"/>
      <w:r w:rsidR="00670268" w:rsidRPr="00705170">
        <w:rPr>
          <w:rFonts w:ascii="Times New Roman" w:hAnsi="Times New Roman" w:cs="Times New Roman"/>
          <w:color w:val="000000"/>
        </w:rPr>
        <w:t>court</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should</w:t>
      </w:r>
      <w:proofErr w:type="spellEnd"/>
      <w:r w:rsidR="00670268" w:rsidRPr="00705170">
        <w:rPr>
          <w:rFonts w:ascii="Times New Roman" w:hAnsi="Times New Roman" w:cs="Times New Roman"/>
          <w:color w:val="000000"/>
        </w:rPr>
        <w:t xml:space="preserve"> not </w:t>
      </w:r>
      <w:proofErr w:type="spellStart"/>
      <w:r w:rsidR="00670268" w:rsidRPr="00705170">
        <w:rPr>
          <w:rFonts w:ascii="Times New Roman" w:hAnsi="Times New Roman" w:cs="Times New Roman"/>
          <w:color w:val="000000"/>
        </w:rPr>
        <w:t>hesistate</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to</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order</w:t>
      </w:r>
      <w:proofErr w:type="spellEnd"/>
      <w:r w:rsidR="00670268" w:rsidRPr="00705170">
        <w:rPr>
          <w:rFonts w:ascii="Times New Roman" w:hAnsi="Times New Roman" w:cs="Times New Roman"/>
          <w:color w:val="000000"/>
        </w:rPr>
        <w:t xml:space="preserve"> </w:t>
      </w:r>
      <w:proofErr w:type="spellStart"/>
      <w:r w:rsidR="00670268" w:rsidRPr="00705170">
        <w:rPr>
          <w:rFonts w:ascii="Times New Roman" w:hAnsi="Times New Roman" w:cs="Times New Roman"/>
          <w:color w:val="000000"/>
        </w:rPr>
        <w:t>dissolution</w:t>
      </w:r>
      <w:proofErr w:type="spellEnd"/>
      <w:r w:rsidR="00670268" w:rsidRPr="00705170">
        <w:rPr>
          <w:rFonts w:ascii="Times New Roman" w:hAnsi="Times New Roman" w:cs="Times New Roman"/>
          <w:color w:val="000000"/>
        </w:rPr>
        <w:t>”</w:t>
      </w:r>
      <w:r w:rsidR="00670268" w:rsidRPr="00705170">
        <w:rPr>
          <w:rStyle w:val="DipnotBavurusu"/>
          <w:rFonts w:ascii="Times New Roman" w:hAnsi="Times New Roman" w:cs="Times New Roman"/>
          <w:color w:val="000000"/>
        </w:rPr>
        <w:footnoteReference w:id="655"/>
      </w:r>
      <w:r w:rsidR="00670268" w:rsidRPr="00705170">
        <w:rPr>
          <w:rFonts w:ascii="Times New Roman" w:hAnsi="Times New Roman" w:cs="Times New Roman"/>
          <w:color w:val="000000"/>
        </w:rPr>
        <w:t xml:space="preserve">. </w:t>
      </w:r>
      <w:proofErr w:type="spellStart"/>
      <w:r w:rsidR="00112DE5" w:rsidRPr="00705170">
        <w:rPr>
          <w:rFonts w:ascii="Times New Roman" w:hAnsi="Times New Roman" w:cs="Times New Roman"/>
          <w:color w:val="000000"/>
        </w:rPr>
        <w:t>In</w:t>
      </w:r>
      <w:proofErr w:type="spellEnd"/>
      <w:r w:rsidR="00112DE5" w:rsidRPr="00705170">
        <w:rPr>
          <w:rFonts w:ascii="Times New Roman" w:hAnsi="Times New Roman" w:cs="Times New Roman"/>
          <w:color w:val="000000"/>
        </w:rPr>
        <w:t xml:space="preserve"> </w:t>
      </w:r>
      <w:proofErr w:type="spellStart"/>
      <w:r w:rsidR="00112DE5" w:rsidRPr="00705170">
        <w:rPr>
          <w:rFonts w:ascii="Times New Roman" w:hAnsi="Times New Roman" w:cs="Times New Roman"/>
          <w:color w:val="000000"/>
        </w:rPr>
        <w:t>addition</w:t>
      </w:r>
      <w:proofErr w:type="spellEnd"/>
      <w:r w:rsidR="00112DE5" w:rsidRPr="00705170">
        <w:rPr>
          <w:rFonts w:ascii="Times New Roman" w:hAnsi="Times New Roman" w:cs="Times New Roman"/>
          <w:color w:val="000000"/>
        </w:rPr>
        <w:t xml:space="preserve"> </w:t>
      </w:r>
      <w:proofErr w:type="spellStart"/>
      <w:r w:rsidR="00112DE5" w:rsidRPr="00705170">
        <w:rPr>
          <w:rFonts w:ascii="Times New Roman" w:hAnsi="Times New Roman" w:cs="Times New Roman"/>
          <w:color w:val="000000"/>
        </w:rPr>
        <w:t>to</w:t>
      </w:r>
      <w:proofErr w:type="spellEnd"/>
      <w:r w:rsidR="00112DE5" w:rsidRPr="00705170">
        <w:rPr>
          <w:rFonts w:ascii="Times New Roman" w:hAnsi="Times New Roman" w:cs="Times New Roman"/>
          <w:color w:val="000000"/>
        </w:rPr>
        <w:t xml:space="preserve"> </w:t>
      </w:r>
      <w:proofErr w:type="spellStart"/>
      <w:r w:rsidR="00112DE5" w:rsidRPr="00705170">
        <w:rPr>
          <w:rFonts w:ascii="Times New Roman" w:hAnsi="Times New Roman" w:cs="Times New Roman"/>
          <w:color w:val="000000"/>
        </w:rPr>
        <w:t>these</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Sec</w:t>
      </w:r>
      <w:proofErr w:type="spellEnd"/>
      <w:r w:rsidR="00C6722D" w:rsidRPr="00705170">
        <w:rPr>
          <w:rFonts w:ascii="Times New Roman" w:hAnsi="Times New Roman" w:cs="Times New Roman"/>
          <w:color w:val="000000"/>
        </w:rPr>
        <w:t xml:space="preserve">. 1111(b)(3) </w:t>
      </w:r>
      <w:proofErr w:type="spellStart"/>
      <w:r w:rsidR="00C6722D" w:rsidRPr="00705170">
        <w:rPr>
          <w:rFonts w:ascii="Times New Roman" w:hAnsi="Times New Roman" w:cs="Times New Roman"/>
          <w:color w:val="000000"/>
        </w:rPr>
        <w:t>states</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that</w:t>
      </w:r>
      <w:proofErr w:type="spellEnd"/>
      <w:r w:rsidR="00C6722D" w:rsidRPr="00705170">
        <w:rPr>
          <w:rFonts w:ascii="Times New Roman" w:hAnsi="Times New Roman" w:cs="Times New Roman"/>
          <w:color w:val="000000"/>
        </w:rPr>
        <w:t xml:space="preserve"> a </w:t>
      </w:r>
      <w:proofErr w:type="spellStart"/>
      <w:r w:rsidR="00C6722D" w:rsidRPr="00705170">
        <w:rPr>
          <w:rFonts w:ascii="Times New Roman" w:hAnsi="Times New Roman" w:cs="Times New Roman"/>
          <w:color w:val="000000"/>
        </w:rPr>
        <w:t>dissolution</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proceeding</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pursuant</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to</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Sec</w:t>
      </w:r>
      <w:proofErr w:type="spellEnd"/>
      <w:r w:rsidR="00C6722D" w:rsidRPr="00705170">
        <w:rPr>
          <w:rFonts w:ascii="Times New Roman" w:hAnsi="Times New Roman" w:cs="Times New Roman"/>
          <w:color w:val="000000"/>
        </w:rPr>
        <w:t xml:space="preserve">. 1104-a </w:t>
      </w:r>
      <w:proofErr w:type="spellStart"/>
      <w:r w:rsidR="00C6722D" w:rsidRPr="00705170">
        <w:rPr>
          <w:rFonts w:ascii="Times New Roman" w:hAnsi="Times New Roman" w:cs="Times New Roman"/>
          <w:color w:val="000000"/>
        </w:rPr>
        <w:t>should</w:t>
      </w:r>
      <w:proofErr w:type="spellEnd"/>
      <w:r w:rsidR="00C6722D" w:rsidRPr="00705170">
        <w:rPr>
          <w:rFonts w:ascii="Times New Roman" w:hAnsi="Times New Roman" w:cs="Times New Roman"/>
          <w:color w:val="000000"/>
        </w:rPr>
        <w:t xml:space="preserve"> not be </w:t>
      </w:r>
      <w:proofErr w:type="spellStart"/>
      <w:r w:rsidR="00C6722D" w:rsidRPr="00705170">
        <w:rPr>
          <w:rFonts w:ascii="Times New Roman" w:hAnsi="Times New Roman" w:cs="Times New Roman"/>
          <w:color w:val="000000"/>
        </w:rPr>
        <w:t>denied</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merely</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because</w:t>
      </w:r>
      <w:proofErr w:type="spellEnd"/>
      <w:r w:rsidR="00C6722D" w:rsidRPr="00705170">
        <w:rPr>
          <w:rFonts w:ascii="Times New Roman" w:hAnsi="Times New Roman" w:cs="Times New Roman"/>
          <w:color w:val="000000"/>
        </w:rPr>
        <w:t xml:space="preserve"> it is </w:t>
      </w:r>
      <w:proofErr w:type="spellStart"/>
      <w:r w:rsidR="00C6722D" w:rsidRPr="00705170">
        <w:rPr>
          <w:rFonts w:ascii="Times New Roman" w:hAnsi="Times New Roman" w:cs="Times New Roman"/>
          <w:color w:val="000000"/>
        </w:rPr>
        <w:t>found</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that</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the</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corporate</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business</w:t>
      </w:r>
      <w:proofErr w:type="spellEnd"/>
      <w:r w:rsidR="00C6722D" w:rsidRPr="00705170">
        <w:rPr>
          <w:rFonts w:ascii="Times New Roman" w:hAnsi="Times New Roman" w:cs="Times New Roman"/>
          <w:color w:val="000000"/>
        </w:rPr>
        <w:t xml:space="preserve"> has </w:t>
      </w:r>
      <w:proofErr w:type="spellStart"/>
      <w:r w:rsidR="00C6722D" w:rsidRPr="00705170">
        <w:rPr>
          <w:rFonts w:ascii="Times New Roman" w:hAnsi="Times New Roman" w:cs="Times New Roman"/>
          <w:color w:val="000000"/>
        </w:rPr>
        <w:t>been</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or</w:t>
      </w:r>
      <w:proofErr w:type="spellEnd"/>
      <w:r w:rsidR="00C6722D" w:rsidRPr="00705170">
        <w:rPr>
          <w:rFonts w:ascii="Times New Roman" w:hAnsi="Times New Roman" w:cs="Times New Roman"/>
          <w:color w:val="000000"/>
        </w:rPr>
        <w:t xml:space="preserve"> </w:t>
      </w:r>
      <w:proofErr w:type="spellStart"/>
      <w:r w:rsidR="00C6722D" w:rsidRPr="00705170">
        <w:rPr>
          <w:rFonts w:ascii="Times New Roman" w:hAnsi="Times New Roman" w:cs="Times New Roman"/>
          <w:color w:val="000000"/>
        </w:rPr>
        <w:t>could</w:t>
      </w:r>
      <w:proofErr w:type="spellEnd"/>
      <w:r w:rsidR="00C6722D" w:rsidRPr="00705170">
        <w:rPr>
          <w:rFonts w:ascii="Times New Roman" w:hAnsi="Times New Roman" w:cs="Times New Roman"/>
          <w:color w:val="000000"/>
        </w:rPr>
        <w:t xml:space="preserve"> be </w:t>
      </w:r>
      <w:proofErr w:type="spellStart"/>
      <w:r w:rsidR="00C6722D" w:rsidRPr="00705170">
        <w:rPr>
          <w:rFonts w:ascii="Times New Roman" w:hAnsi="Times New Roman" w:cs="Times New Roman"/>
          <w:color w:val="000000"/>
        </w:rPr>
        <w:t>conducted</w:t>
      </w:r>
      <w:proofErr w:type="spellEnd"/>
      <w:r w:rsidR="00C6722D" w:rsidRPr="00705170">
        <w:rPr>
          <w:rFonts w:ascii="Times New Roman" w:hAnsi="Times New Roman" w:cs="Times New Roman"/>
          <w:color w:val="000000"/>
        </w:rPr>
        <w:t xml:space="preserve"> at a </w:t>
      </w:r>
      <w:proofErr w:type="spellStart"/>
      <w:r w:rsidR="00C6722D" w:rsidRPr="00705170">
        <w:rPr>
          <w:rFonts w:ascii="Times New Roman" w:hAnsi="Times New Roman" w:cs="Times New Roman"/>
          <w:color w:val="000000"/>
        </w:rPr>
        <w:t>profit</w:t>
      </w:r>
      <w:proofErr w:type="spellEnd"/>
      <w:r w:rsidR="00C6722D" w:rsidRPr="00705170">
        <w:rPr>
          <w:rFonts w:ascii="Times New Roman" w:hAnsi="Times New Roman" w:cs="Times New Roman"/>
          <w:color w:val="000000"/>
        </w:rPr>
        <w:t>.</w:t>
      </w:r>
      <w:r w:rsidR="00D6534A" w:rsidRPr="00705170">
        <w:rPr>
          <w:rFonts w:ascii="Times New Roman" w:hAnsi="Times New Roman" w:cs="Times New Roman"/>
          <w:color w:val="000000"/>
        </w:rPr>
        <w:t xml:space="preserve"> </w:t>
      </w:r>
      <w:proofErr w:type="spellStart"/>
      <w:r w:rsidR="007C31DF" w:rsidRPr="00705170">
        <w:rPr>
          <w:rFonts w:ascii="Times New Roman" w:hAnsi="Times New Roman" w:cs="Times New Roman"/>
          <w:color w:val="000000"/>
        </w:rPr>
        <w:t>In</w:t>
      </w:r>
      <w:proofErr w:type="spellEnd"/>
      <w:r w:rsidR="007C31DF" w:rsidRPr="00705170">
        <w:rPr>
          <w:rFonts w:ascii="Times New Roman" w:hAnsi="Times New Roman" w:cs="Times New Roman"/>
          <w:color w:val="000000"/>
        </w:rPr>
        <w:t xml:space="preserve"> </w:t>
      </w:r>
      <w:proofErr w:type="spellStart"/>
      <w:r w:rsidR="007C31DF" w:rsidRPr="00705170">
        <w:rPr>
          <w:rFonts w:ascii="Times New Roman" w:hAnsi="Times New Roman" w:cs="Times New Roman"/>
          <w:color w:val="000000"/>
        </w:rPr>
        <w:t>addition</w:t>
      </w:r>
      <w:proofErr w:type="spellEnd"/>
      <w:r w:rsidR="007C31DF" w:rsidRPr="00705170">
        <w:rPr>
          <w:rFonts w:ascii="Times New Roman" w:hAnsi="Times New Roman" w:cs="Times New Roman"/>
          <w:color w:val="000000"/>
        </w:rPr>
        <w:t xml:space="preserve"> </w:t>
      </w:r>
      <w:proofErr w:type="spellStart"/>
      <w:r w:rsidR="007C31DF" w:rsidRPr="00705170">
        <w:rPr>
          <w:rFonts w:ascii="Times New Roman" w:hAnsi="Times New Roman" w:cs="Times New Roman"/>
          <w:color w:val="000000"/>
        </w:rPr>
        <w:t>to</w:t>
      </w:r>
      <w:proofErr w:type="spellEnd"/>
      <w:r w:rsidR="007C31DF" w:rsidRPr="00705170">
        <w:rPr>
          <w:rFonts w:ascii="Times New Roman" w:hAnsi="Times New Roman" w:cs="Times New Roman"/>
          <w:color w:val="000000"/>
        </w:rPr>
        <w:t xml:space="preserve"> </w:t>
      </w:r>
      <w:proofErr w:type="spellStart"/>
      <w:r w:rsidR="007C31DF" w:rsidRPr="00705170">
        <w:rPr>
          <w:rFonts w:ascii="Times New Roman" w:hAnsi="Times New Roman" w:cs="Times New Roman"/>
          <w:color w:val="000000"/>
        </w:rPr>
        <w:t>this</w:t>
      </w:r>
      <w:proofErr w:type="spellEnd"/>
      <w:r w:rsidR="00C746D3" w:rsidRPr="00705170">
        <w:rPr>
          <w:rFonts w:ascii="Times New Roman" w:hAnsi="Times New Roman" w:cs="Times New Roman"/>
          <w:color w:val="000000"/>
        </w:rPr>
        <w:t xml:space="preserve">, </w:t>
      </w:r>
      <w:r w:rsidR="005342D7" w:rsidRPr="00705170">
        <w:rPr>
          <w:rFonts w:ascii="Times New Roman" w:hAnsi="Times New Roman" w:cs="Times New Roman"/>
          <w:color w:val="000000"/>
        </w:rPr>
        <w:t xml:space="preserve">it </w:t>
      </w:r>
      <w:proofErr w:type="spellStart"/>
      <w:r w:rsidR="005342D7" w:rsidRPr="00705170">
        <w:rPr>
          <w:rFonts w:ascii="Times New Roman" w:hAnsi="Times New Roman" w:cs="Times New Roman"/>
          <w:color w:val="000000"/>
        </w:rPr>
        <w:t>should</w:t>
      </w:r>
      <w:proofErr w:type="spellEnd"/>
      <w:r w:rsidR="005342D7" w:rsidRPr="00705170">
        <w:rPr>
          <w:rFonts w:ascii="Times New Roman" w:hAnsi="Times New Roman" w:cs="Times New Roman"/>
          <w:color w:val="000000"/>
        </w:rPr>
        <w:t xml:space="preserve"> be </w:t>
      </w:r>
      <w:proofErr w:type="spellStart"/>
      <w:r w:rsidR="005342D7" w:rsidRPr="00705170">
        <w:rPr>
          <w:rFonts w:ascii="Times New Roman" w:hAnsi="Times New Roman" w:cs="Times New Roman"/>
          <w:color w:val="000000"/>
        </w:rPr>
        <w:t>noted</w:t>
      </w:r>
      <w:proofErr w:type="spellEnd"/>
      <w:r w:rsidR="005342D7" w:rsidRPr="00705170">
        <w:rPr>
          <w:rFonts w:ascii="Times New Roman" w:hAnsi="Times New Roman" w:cs="Times New Roman"/>
          <w:color w:val="000000"/>
        </w:rPr>
        <w:t xml:space="preserve"> </w:t>
      </w:r>
      <w:proofErr w:type="spellStart"/>
      <w:r w:rsidR="005342D7" w:rsidRPr="00705170">
        <w:rPr>
          <w:rFonts w:ascii="Times New Roman" w:hAnsi="Times New Roman" w:cs="Times New Roman"/>
          <w:color w:val="000000"/>
        </w:rPr>
        <w:t>that</w:t>
      </w:r>
      <w:proofErr w:type="spellEnd"/>
      <w:r w:rsidR="005342D7" w:rsidRPr="00705170">
        <w:rPr>
          <w:rFonts w:ascii="Times New Roman" w:hAnsi="Times New Roman" w:cs="Times New Roman"/>
          <w:color w:val="000000"/>
        </w:rPr>
        <w:t xml:space="preserve"> </w:t>
      </w:r>
      <w:proofErr w:type="spellStart"/>
      <w:r w:rsidR="00C746D3" w:rsidRPr="00705170">
        <w:rPr>
          <w:rFonts w:ascii="Times New Roman" w:hAnsi="Times New Roman" w:cs="Times New Roman"/>
          <w:color w:val="000000"/>
        </w:rPr>
        <w:t>while</w:t>
      </w:r>
      <w:proofErr w:type="spellEnd"/>
      <w:r w:rsidR="00C746D3" w:rsidRPr="00705170">
        <w:rPr>
          <w:rFonts w:ascii="Times New Roman" w:hAnsi="Times New Roman" w:cs="Times New Roman"/>
          <w:color w:val="000000"/>
        </w:rPr>
        <w:t xml:space="preserve"> </w:t>
      </w:r>
      <w:proofErr w:type="spellStart"/>
      <w:r w:rsidR="00C746D3" w:rsidRPr="00705170">
        <w:rPr>
          <w:rFonts w:ascii="Times New Roman" w:hAnsi="Times New Roman" w:cs="Times New Roman"/>
          <w:color w:val="000000"/>
        </w:rPr>
        <w:t>t</w:t>
      </w:r>
      <w:r w:rsidR="007C31DF" w:rsidRPr="00705170">
        <w:rPr>
          <w:rFonts w:ascii="Times New Roman" w:hAnsi="Times New Roman" w:cs="Times New Roman"/>
          <w:color w:val="000000"/>
        </w:rPr>
        <w:t>he</w:t>
      </w:r>
      <w:proofErr w:type="spellEnd"/>
      <w:r w:rsidR="007C31DF" w:rsidRPr="00705170">
        <w:rPr>
          <w:rFonts w:ascii="Times New Roman" w:hAnsi="Times New Roman" w:cs="Times New Roman"/>
          <w:color w:val="000000"/>
        </w:rPr>
        <w:t xml:space="preserve"> New York </w:t>
      </w:r>
      <w:proofErr w:type="spellStart"/>
      <w:r w:rsidR="007C31DF" w:rsidRPr="00705170">
        <w:rPr>
          <w:rFonts w:ascii="Times New Roman" w:hAnsi="Times New Roman" w:cs="Times New Roman"/>
          <w:color w:val="000000"/>
        </w:rPr>
        <w:t>State</w:t>
      </w:r>
      <w:proofErr w:type="spellEnd"/>
      <w:r w:rsidR="007C31DF" w:rsidRPr="00705170">
        <w:rPr>
          <w:rFonts w:ascii="Times New Roman" w:hAnsi="Times New Roman" w:cs="Times New Roman"/>
          <w:color w:val="000000"/>
        </w:rPr>
        <w:t xml:space="preserve"> </w:t>
      </w:r>
      <w:proofErr w:type="spellStart"/>
      <w:r w:rsidR="007C31DF" w:rsidRPr="00705170">
        <w:rPr>
          <w:rFonts w:ascii="Times New Roman" w:hAnsi="Times New Roman" w:cs="Times New Roman"/>
          <w:color w:val="000000"/>
        </w:rPr>
        <w:t>Legislature</w:t>
      </w:r>
      <w:proofErr w:type="spellEnd"/>
      <w:r w:rsidR="007C31DF" w:rsidRPr="00705170">
        <w:rPr>
          <w:rFonts w:ascii="Times New Roman" w:hAnsi="Times New Roman" w:cs="Times New Roman"/>
          <w:color w:val="000000"/>
        </w:rPr>
        <w:t xml:space="preserve"> had </w:t>
      </w:r>
      <w:proofErr w:type="spellStart"/>
      <w:r w:rsidR="007C31DF" w:rsidRPr="00705170">
        <w:rPr>
          <w:rFonts w:ascii="Times New Roman" w:hAnsi="Times New Roman" w:cs="Times New Roman"/>
          <w:color w:val="000000"/>
        </w:rPr>
        <w:t>the</w:t>
      </w:r>
      <w:proofErr w:type="spellEnd"/>
      <w:r w:rsidR="007C31DF" w:rsidRPr="00705170">
        <w:rPr>
          <w:rFonts w:ascii="Times New Roman" w:hAnsi="Times New Roman" w:cs="Times New Roman"/>
          <w:color w:val="000000"/>
        </w:rPr>
        <w:t xml:space="preserve"> </w:t>
      </w:r>
      <w:proofErr w:type="spellStart"/>
      <w:r w:rsidR="007C31DF" w:rsidRPr="00705170">
        <w:rPr>
          <w:rFonts w:ascii="Times New Roman" w:hAnsi="Times New Roman" w:cs="Times New Roman"/>
          <w:color w:val="000000"/>
        </w:rPr>
        <w:t>option</w:t>
      </w:r>
      <w:proofErr w:type="spellEnd"/>
      <w:r w:rsidR="007C31DF" w:rsidRPr="00705170">
        <w:rPr>
          <w:rFonts w:ascii="Times New Roman" w:hAnsi="Times New Roman" w:cs="Times New Roman"/>
          <w:color w:val="000000"/>
        </w:rPr>
        <w:t xml:space="preserve"> </w:t>
      </w:r>
      <w:proofErr w:type="spellStart"/>
      <w:r w:rsidR="007C31DF" w:rsidRPr="00705170">
        <w:rPr>
          <w:rFonts w:ascii="Times New Roman" w:hAnsi="Times New Roman" w:cs="Times New Roman"/>
          <w:color w:val="000000"/>
        </w:rPr>
        <w:t>to</w:t>
      </w:r>
      <w:proofErr w:type="spellEnd"/>
      <w:r w:rsidR="007C31DF" w:rsidRPr="00705170">
        <w:rPr>
          <w:rFonts w:ascii="Times New Roman" w:hAnsi="Times New Roman" w:cs="Times New Roman"/>
          <w:color w:val="000000"/>
        </w:rPr>
        <w:t xml:space="preserve"> </w:t>
      </w:r>
      <w:proofErr w:type="spellStart"/>
      <w:r w:rsidR="007C31DF" w:rsidRPr="00705170">
        <w:rPr>
          <w:rFonts w:ascii="Times New Roman" w:hAnsi="Times New Roman" w:cs="Times New Roman"/>
          <w:color w:val="000000"/>
        </w:rPr>
        <w:t>provide</w:t>
      </w:r>
      <w:proofErr w:type="spellEnd"/>
      <w:r w:rsidR="00C746D3" w:rsidRPr="00705170">
        <w:rPr>
          <w:rFonts w:ascii="Times New Roman" w:hAnsi="Times New Roman" w:cs="Times New Roman"/>
          <w:color w:val="000000"/>
        </w:rPr>
        <w:t xml:space="preserve"> a “</w:t>
      </w:r>
      <w:proofErr w:type="spellStart"/>
      <w:r w:rsidR="00C746D3" w:rsidRPr="00705170">
        <w:rPr>
          <w:rFonts w:ascii="Times New Roman" w:hAnsi="Times New Roman" w:cs="Times New Roman"/>
          <w:color w:val="000000"/>
        </w:rPr>
        <w:t>no</w:t>
      </w:r>
      <w:proofErr w:type="spellEnd"/>
      <w:r w:rsidR="00C746D3" w:rsidRPr="00705170">
        <w:rPr>
          <w:rFonts w:ascii="Times New Roman" w:hAnsi="Times New Roman" w:cs="Times New Roman"/>
          <w:color w:val="000000"/>
        </w:rPr>
        <w:t xml:space="preserve"> </w:t>
      </w:r>
      <w:proofErr w:type="spellStart"/>
      <w:r w:rsidR="00C746D3" w:rsidRPr="00705170">
        <w:rPr>
          <w:rFonts w:ascii="Times New Roman" w:hAnsi="Times New Roman" w:cs="Times New Roman"/>
          <w:color w:val="000000"/>
        </w:rPr>
        <w:t>fault</w:t>
      </w:r>
      <w:proofErr w:type="spellEnd"/>
      <w:r w:rsidR="00C746D3" w:rsidRPr="00705170">
        <w:rPr>
          <w:rFonts w:ascii="Times New Roman" w:hAnsi="Times New Roman" w:cs="Times New Roman"/>
          <w:color w:val="000000"/>
        </w:rPr>
        <w:t>” (</w:t>
      </w:r>
      <w:proofErr w:type="spellStart"/>
      <w:r w:rsidR="00C746D3" w:rsidRPr="00705170">
        <w:rPr>
          <w:rFonts w:ascii="Times New Roman" w:hAnsi="Times New Roman" w:cs="Times New Roman"/>
          <w:color w:val="000000"/>
        </w:rPr>
        <w:t>i.e</w:t>
      </w:r>
      <w:proofErr w:type="spellEnd"/>
      <w:r w:rsidR="00C746D3" w:rsidRPr="00705170">
        <w:rPr>
          <w:rFonts w:ascii="Times New Roman" w:hAnsi="Times New Roman" w:cs="Times New Roman"/>
          <w:color w:val="000000"/>
        </w:rPr>
        <w:t xml:space="preserve">., </w:t>
      </w:r>
      <w:proofErr w:type="spellStart"/>
      <w:r w:rsidR="00C746D3" w:rsidRPr="00705170">
        <w:rPr>
          <w:rFonts w:ascii="Times New Roman" w:hAnsi="Times New Roman" w:cs="Times New Roman"/>
          <w:color w:val="000000"/>
        </w:rPr>
        <w:t>establishment</w:t>
      </w:r>
      <w:proofErr w:type="spellEnd"/>
      <w:r w:rsidR="00C746D3" w:rsidRPr="00705170">
        <w:rPr>
          <w:rFonts w:ascii="Times New Roman" w:hAnsi="Times New Roman" w:cs="Times New Roman"/>
          <w:color w:val="000000"/>
        </w:rPr>
        <w:t xml:space="preserve"> of </w:t>
      </w:r>
      <w:proofErr w:type="spellStart"/>
      <w:r w:rsidR="00C746D3" w:rsidRPr="00705170">
        <w:rPr>
          <w:rFonts w:ascii="Times New Roman" w:hAnsi="Times New Roman" w:cs="Times New Roman"/>
          <w:color w:val="000000"/>
        </w:rPr>
        <w:t>bad</w:t>
      </w:r>
      <w:proofErr w:type="spellEnd"/>
      <w:r w:rsidR="00C746D3" w:rsidRPr="00705170">
        <w:rPr>
          <w:rFonts w:ascii="Times New Roman" w:hAnsi="Times New Roman" w:cs="Times New Roman"/>
          <w:color w:val="000000"/>
        </w:rPr>
        <w:t xml:space="preserve"> </w:t>
      </w:r>
      <w:proofErr w:type="spellStart"/>
      <w:r w:rsidR="00C746D3" w:rsidRPr="00705170">
        <w:rPr>
          <w:rFonts w:ascii="Times New Roman" w:hAnsi="Times New Roman" w:cs="Times New Roman"/>
          <w:color w:val="000000"/>
        </w:rPr>
        <w:t>faith</w:t>
      </w:r>
      <w:proofErr w:type="spellEnd"/>
      <w:r w:rsidR="00C746D3" w:rsidRPr="00705170">
        <w:rPr>
          <w:rFonts w:ascii="Times New Roman" w:hAnsi="Times New Roman" w:cs="Times New Roman"/>
          <w:color w:val="000000"/>
        </w:rPr>
        <w:t xml:space="preserve"> of </w:t>
      </w:r>
      <w:proofErr w:type="spellStart"/>
      <w:r w:rsidR="00C746D3" w:rsidRPr="00705170">
        <w:rPr>
          <w:rFonts w:ascii="Times New Roman" w:hAnsi="Times New Roman" w:cs="Times New Roman"/>
          <w:color w:val="000000"/>
        </w:rPr>
        <w:t>the</w:t>
      </w:r>
      <w:proofErr w:type="spellEnd"/>
      <w:r w:rsidR="00C746D3" w:rsidRPr="00705170">
        <w:rPr>
          <w:rFonts w:ascii="Times New Roman" w:hAnsi="Times New Roman" w:cs="Times New Roman"/>
          <w:color w:val="000000"/>
        </w:rPr>
        <w:t xml:space="preserve"> </w:t>
      </w:r>
      <w:proofErr w:type="spellStart"/>
      <w:r w:rsidR="00C746D3" w:rsidRPr="00705170">
        <w:rPr>
          <w:rFonts w:ascii="Times New Roman" w:hAnsi="Times New Roman" w:cs="Times New Roman"/>
          <w:color w:val="000000"/>
        </w:rPr>
        <w:t>defendant</w:t>
      </w:r>
      <w:proofErr w:type="spellEnd"/>
      <w:r w:rsidR="00C746D3" w:rsidRPr="00705170">
        <w:rPr>
          <w:rFonts w:ascii="Times New Roman" w:hAnsi="Times New Roman" w:cs="Times New Roman"/>
          <w:color w:val="000000"/>
        </w:rPr>
        <w:t xml:space="preserve"> </w:t>
      </w:r>
      <w:proofErr w:type="spellStart"/>
      <w:r w:rsidR="00C746D3" w:rsidRPr="00705170">
        <w:rPr>
          <w:rFonts w:ascii="Times New Roman" w:hAnsi="Times New Roman" w:cs="Times New Roman"/>
          <w:color w:val="000000"/>
        </w:rPr>
        <w:t>or</w:t>
      </w:r>
      <w:proofErr w:type="spellEnd"/>
      <w:r w:rsidR="00C746D3" w:rsidRPr="00705170">
        <w:rPr>
          <w:rFonts w:ascii="Times New Roman" w:hAnsi="Times New Roman" w:cs="Times New Roman"/>
          <w:color w:val="000000"/>
        </w:rPr>
        <w:t xml:space="preserve"> </w:t>
      </w:r>
      <w:proofErr w:type="spellStart"/>
      <w:r w:rsidR="00C746D3" w:rsidRPr="00705170">
        <w:rPr>
          <w:rFonts w:ascii="Times New Roman" w:hAnsi="Times New Roman" w:cs="Times New Roman"/>
          <w:color w:val="000000"/>
        </w:rPr>
        <w:t>that</w:t>
      </w:r>
      <w:proofErr w:type="spellEnd"/>
      <w:r w:rsidR="00C746D3" w:rsidRPr="00705170">
        <w:rPr>
          <w:rFonts w:ascii="Times New Roman" w:hAnsi="Times New Roman" w:cs="Times New Roman"/>
          <w:color w:val="000000"/>
        </w:rPr>
        <w:t xml:space="preserve"> </w:t>
      </w:r>
      <w:proofErr w:type="spellStart"/>
      <w:r w:rsidR="00C746D3" w:rsidRPr="00705170">
        <w:rPr>
          <w:rFonts w:ascii="Times New Roman" w:hAnsi="Times New Roman" w:cs="Times New Roman"/>
          <w:color w:val="000000"/>
        </w:rPr>
        <w:t>the</w:t>
      </w:r>
      <w:proofErr w:type="spellEnd"/>
      <w:r w:rsidR="00C746D3" w:rsidRPr="00705170">
        <w:rPr>
          <w:rFonts w:ascii="Times New Roman" w:hAnsi="Times New Roman" w:cs="Times New Roman"/>
          <w:color w:val="000000"/>
        </w:rPr>
        <w:t xml:space="preserve"> </w:t>
      </w:r>
      <w:proofErr w:type="spellStart"/>
      <w:r w:rsidR="00C746D3" w:rsidRPr="00705170">
        <w:rPr>
          <w:rFonts w:ascii="Times New Roman" w:hAnsi="Times New Roman" w:cs="Times New Roman"/>
          <w:color w:val="000000"/>
        </w:rPr>
        <w:t>plaintiff</w:t>
      </w:r>
      <w:proofErr w:type="spellEnd"/>
      <w:r w:rsidR="00C746D3" w:rsidRPr="00705170">
        <w:rPr>
          <w:rFonts w:ascii="Times New Roman" w:hAnsi="Times New Roman" w:cs="Times New Roman"/>
          <w:color w:val="000000"/>
        </w:rPr>
        <w:t xml:space="preserve"> has </w:t>
      </w:r>
      <w:proofErr w:type="spellStart"/>
      <w:r w:rsidR="00C746D3" w:rsidRPr="00705170">
        <w:rPr>
          <w:rFonts w:ascii="Times New Roman" w:hAnsi="Times New Roman" w:cs="Times New Roman"/>
          <w:color w:val="000000"/>
        </w:rPr>
        <w:t>no</w:t>
      </w:r>
      <w:proofErr w:type="spellEnd"/>
      <w:r w:rsidR="00C746D3" w:rsidRPr="00705170">
        <w:rPr>
          <w:rFonts w:ascii="Times New Roman" w:hAnsi="Times New Roman" w:cs="Times New Roman"/>
          <w:color w:val="000000"/>
        </w:rPr>
        <w:t xml:space="preserve"> </w:t>
      </w:r>
      <w:proofErr w:type="spellStart"/>
      <w:r w:rsidR="00C746D3" w:rsidRPr="00705170">
        <w:rPr>
          <w:rFonts w:ascii="Times New Roman" w:hAnsi="Times New Roman" w:cs="Times New Roman"/>
          <w:color w:val="000000"/>
        </w:rPr>
        <w:t>fault</w:t>
      </w:r>
      <w:proofErr w:type="spellEnd"/>
      <w:r w:rsidR="00C746D3" w:rsidRPr="00705170">
        <w:rPr>
          <w:rFonts w:ascii="Times New Roman" w:hAnsi="Times New Roman" w:cs="Times New Roman"/>
          <w:color w:val="000000"/>
        </w:rPr>
        <w:t xml:space="preserve">) </w:t>
      </w:r>
      <w:proofErr w:type="spellStart"/>
      <w:r w:rsidR="00C746D3" w:rsidRPr="00705170">
        <w:rPr>
          <w:rFonts w:ascii="Times New Roman" w:hAnsi="Times New Roman" w:cs="Times New Roman"/>
          <w:color w:val="000000"/>
        </w:rPr>
        <w:t>requirement</w:t>
      </w:r>
      <w:proofErr w:type="spellEnd"/>
      <w:r w:rsidR="00C746D3" w:rsidRPr="00705170">
        <w:rPr>
          <w:rFonts w:ascii="Times New Roman" w:hAnsi="Times New Roman" w:cs="Times New Roman"/>
          <w:color w:val="000000"/>
        </w:rPr>
        <w:t xml:space="preserve"> as an ele</w:t>
      </w:r>
      <w:r w:rsidR="007C31DF" w:rsidRPr="00705170">
        <w:rPr>
          <w:rFonts w:ascii="Times New Roman" w:hAnsi="Times New Roman" w:cs="Times New Roman"/>
          <w:color w:val="000000"/>
        </w:rPr>
        <w:t xml:space="preserve">ment of </w:t>
      </w:r>
      <w:proofErr w:type="spellStart"/>
      <w:r w:rsidR="007C31DF" w:rsidRPr="00705170">
        <w:rPr>
          <w:rFonts w:ascii="Times New Roman" w:hAnsi="Times New Roman" w:cs="Times New Roman"/>
          <w:color w:val="000000"/>
        </w:rPr>
        <w:t>the</w:t>
      </w:r>
      <w:proofErr w:type="spellEnd"/>
      <w:r w:rsidR="007C31DF" w:rsidRPr="00705170">
        <w:rPr>
          <w:rFonts w:ascii="Times New Roman" w:hAnsi="Times New Roman" w:cs="Times New Roman"/>
          <w:color w:val="000000"/>
        </w:rPr>
        <w:t xml:space="preserve"> </w:t>
      </w:r>
      <w:proofErr w:type="spellStart"/>
      <w:r w:rsidR="007C31DF" w:rsidRPr="00705170">
        <w:rPr>
          <w:rFonts w:ascii="Times New Roman" w:hAnsi="Times New Roman" w:cs="Times New Roman"/>
          <w:color w:val="000000"/>
        </w:rPr>
        <w:t>lawsuit</w:t>
      </w:r>
      <w:proofErr w:type="spellEnd"/>
      <w:r w:rsidR="007C31DF" w:rsidRPr="00705170">
        <w:rPr>
          <w:rFonts w:ascii="Times New Roman" w:hAnsi="Times New Roman" w:cs="Times New Roman"/>
          <w:color w:val="000000"/>
        </w:rPr>
        <w:t xml:space="preserve">, it </w:t>
      </w:r>
      <w:proofErr w:type="spellStart"/>
      <w:r w:rsidR="007C31DF" w:rsidRPr="00705170">
        <w:rPr>
          <w:rFonts w:ascii="Times New Roman" w:hAnsi="Times New Roman" w:cs="Times New Roman"/>
          <w:color w:val="000000"/>
        </w:rPr>
        <w:t>rejected</w:t>
      </w:r>
      <w:proofErr w:type="spellEnd"/>
      <w:r w:rsidR="007C31DF" w:rsidRPr="00705170">
        <w:rPr>
          <w:rFonts w:ascii="Times New Roman" w:hAnsi="Times New Roman" w:cs="Times New Roman"/>
          <w:color w:val="000000"/>
        </w:rPr>
        <w:t xml:space="preserve"> it in </w:t>
      </w:r>
      <w:proofErr w:type="spellStart"/>
      <w:r w:rsidR="007C31DF" w:rsidRPr="00705170">
        <w:rPr>
          <w:rFonts w:ascii="Times New Roman" w:hAnsi="Times New Roman" w:cs="Times New Roman"/>
          <w:color w:val="000000"/>
        </w:rPr>
        <w:t>favor</w:t>
      </w:r>
      <w:proofErr w:type="spellEnd"/>
      <w:r w:rsidR="007C31DF" w:rsidRPr="00705170">
        <w:rPr>
          <w:rFonts w:ascii="Times New Roman" w:hAnsi="Times New Roman" w:cs="Times New Roman"/>
          <w:color w:val="000000"/>
        </w:rPr>
        <w:t xml:space="preserve"> of a </w:t>
      </w:r>
      <w:proofErr w:type="spellStart"/>
      <w:r w:rsidR="007C31DF" w:rsidRPr="00705170">
        <w:rPr>
          <w:rFonts w:ascii="Times New Roman" w:hAnsi="Times New Roman" w:cs="Times New Roman"/>
          <w:color w:val="000000"/>
        </w:rPr>
        <w:t>procedure</w:t>
      </w:r>
      <w:proofErr w:type="spellEnd"/>
      <w:r w:rsidR="007C31DF" w:rsidRPr="00705170">
        <w:rPr>
          <w:rFonts w:ascii="Times New Roman" w:hAnsi="Times New Roman" w:cs="Times New Roman"/>
          <w:color w:val="000000"/>
        </w:rPr>
        <w:t xml:space="preserve"> </w:t>
      </w:r>
      <w:proofErr w:type="spellStart"/>
      <w:r w:rsidR="007C31DF" w:rsidRPr="00705170">
        <w:rPr>
          <w:rFonts w:ascii="Times New Roman" w:hAnsi="Times New Roman" w:cs="Times New Roman"/>
          <w:color w:val="000000"/>
        </w:rPr>
        <w:t>that</w:t>
      </w:r>
      <w:proofErr w:type="spellEnd"/>
      <w:r w:rsidR="007C31DF" w:rsidRPr="00705170">
        <w:rPr>
          <w:rFonts w:ascii="Times New Roman" w:hAnsi="Times New Roman" w:cs="Times New Roman"/>
          <w:color w:val="000000"/>
        </w:rPr>
        <w:t xml:space="preserve"> </w:t>
      </w:r>
      <w:proofErr w:type="spellStart"/>
      <w:r w:rsidR="007C31DF" w:rsidRPr="00705170">
        <w:rPr>
          <w:rFonts w:ascii="Times New Roman" w:hAnsi="Times New Roman" w:cs="Times New Roman"/>
          <w:color w:val="000000"/>
        </w:rPr>
        <w:t>requires</w:t>
      </w:r>
      <w:proofErr w:type="spellEnd"/>
      <w:r w:rsidR="007C31DF" w:rsidRPr="00705170">
        <w:rPr>
          <w:rFonts w:ascii="Times New Roman" w:hAnsi="Times New Roman" w:cs="Times New Roman"/>
          <w:color w:val="000000"/>
        </w:rPr>
        <w:t xml:space="preserve"> a </w:t>
      </w:r>
      <w:proofErr w:type="spellStart"/>
      <w:r w:rsidR="007C31DF" w:rsidRPr="00705170">
        <w:rPr>
          <w:rFonts w:ascii="Times New Roman" w:hAnsi="Times New Roman" w:cs="Times New Roman"/>
          <w:color w:val="000000"/>
        </w:rPr>
        <w:t>showing</w:t>
      </w:r>
      <w:proofErr w:type="spellEnd"/>
      <w:r w:rsidR="007C31DF" w:rsidRPr="00705170">
        <w:rPr>
          <w:rFonts w:ascii="Times New Roman" w:hAnsi="Times New Roman" w:cs="Times New Roman"/>
          <w:color w:val="000000"/>
        </w:rPr>
        <w:t xml:space="preserve"> of “</w:t>
      </w:r>
      <w:proofErr w:type="spellStart"/>
      <w:r w:rsidR="007C31DF" w:rsidRPr="00705170">
        <w:rPr>
          <w:rFonts w:ascii="Times New Roman" w:hAnsi="Times New Roman" w:cs="Times New Roman"/>
          <w:color w:val="000000"/>
        </w:rPr>
        <w:t>oppressive</w:t>
      </w:r>
      <w:proofErr w:type="spellEnd"/>
      <w:r w:rsidR="007C31DF" w:rsidRPr="00705170">
        <w:rPr>
          <w:rFonts w:ascii="Times New Roman" w:hAnsi="Times New Roman" w:cs="Times New Roman"/>
          <w:color w:val="000000"/>
        </w:rPr>
        <w:t xml:space="preserve">” </w:t>
      </w:r>
      <w:proofErr w:type="spellStart"/>
      <w:r w:rsidR="007C31DF" w:rsidRPr="00705170">
        <w:rPr>
          <w:rFonts w:ascii="Times New Roman" w:hAnsi="Times New Roman" w:cs="Times New Roman"/>
          <w:color w:val="000000"/>
        </w:rPr>
        <w:t>behaviour</w:t>
      </w:r>
      <w:proofErr w:type="spellEnd"/>
      <w:r w:rsidR="007C31DF" w:rsidRPr="00705170">
        <w:rPr>
          <w:rStyle w:val="DipnotBavurusu"/>
          <w:rFonts w:ascii="Times New Roman" w:hAnsi="Times New Roman" w:cs="Times New Roman"/>
          <w:color w:val="000000"/>
        </w:rPr>
        <w:footnoteReference w:id="656"/>
      </w:r>
      <w:r w:rsidR="007C31DF" w:rsidRPr="00705170">
        <w:rPr>
          <w:rFonts w:ascii="Times New Roman" w:hAnsi="Times New Roman" w:cs="Times New Roman"/>
          <w:color w:val="000000"/>
        </w:rPr>
        <w:t>.</w:t>
      </w:r>
      <w:r w:rsidR="00C746D3" w:rsidRPr="00705170">
        <w:rPr>
          <w:rFonts w:ascii="Times New Roman" w:hAnsi="Times New Roman" w:cs="Times New Roman"/>
          <w:color w:val="000000"/>
        </w:rPr>
        <w:t xml:space="preserve"> </w:t>
      </w:r>
      <w:proofErr w:type="spellStart"/>
      <w:r w:rsidR="002C0ED5" w:rsidRPr="00705170">
        <w:rPr>
          <w:rFonts w:ascii="Times New Roman" w:hAnsi="Times New Roman" w:cs="Times New Roman"/>
          <w:color w:val="000000"/>
        </w:rPr>
        <w:t>However</w:t>
      </w:r>
      <w:proofErr w:type="spellEnd"/>
      <w:r w:rsidR="002C0ED5" w:rsidRPr="00705170">
        <w:rPr>
          <w:rFonts w:ascii="Times New Roman" w:hAnsi="Times New Roman" w:cs="Times New Roman"/>
          <w:color w:val="000000"/>
        </w:rPr>
        <w:t xml:space="preserve">, </w:t>
      </w:r>
      <w:proofErr w:type="spellStart"/>
      <w:r w:rsidR="00926BD9" w:rsidRPr="00705170">
        <w:rPr>
          <w:rFonts w:ascii="Times New Roman" w:hAnsi="Times New Roman" w:cs="Times New Roman"/>
          <w:color w:val="000000"/>
        </w:rPr>
        <w:t>keeping</w:t>
      </w:r>
      <w:proofErr w:type="spellEnd"/>
      <w:r w:rsidR="00926BD9" w:rsidRPr="00705170">
        <w:rPr>
          <w:rFonts w:ascii="Times New Roman" w:hAnsi="Times New Roman" w:cs="Times New Roman"/>
          <w:color w:val="000000"/>
        </w:rPr>
        <w:t xml:space="preserve"> </w:t>
      </w:r>
      <w:proofErr w:type="spellStart"/>
      <w:r w:rsidR="00926BD9" w:rsidRPr="00705170">
        <w:rPr>
          <w:rFonts w:ascii="Times New Roman" w:hAnsi="Times New Roman" w:cs="Times New Roman"/>
          <w:color w:val="000000"/>
        </w:rPr>
        <w:t>the</w:t>
      </w:r>
      <w:proofErr w:type="spellEnd"/>
      <w:r w:rsidR="00926BD9" w:rsidRPr="00705170">
        <w:rPr>
          <w:rFonts w:ascii="Times New Roman" w:hAnsi="Times New Roman" w:cs="Times New Roman"/>
          <w:color w:val="000000"/>
        </w:rPr>
        <w:t xml:space="preserve"> general </w:t>
      </w:r>
      <w:proofErr w:type="spellStart"/>
      <w:r w:rsidR="00926BD9" w:rsidRPr="00705170">
        <w:rPr>
          <w:rFonts w:ascii="Times New Roman" w:hAnsi="Times New Roman" w:cs="Times New Roman"/>
          <w:color w:val="000000"/>
        </w:rPr>
        <w:t>principles</w:t>
      </w:r>
      <w:proofErr w:type="spellEnd"/>
      <w:r w:rsidR="00926BD9" w:rsidRPr="00705170">
        <w:rPr>
          <w:rFonts w:ascii="Times New Roman" w:hAnsi="Times New Roman" w:cs="Times New Roman"/>
          <w:color w:val="000000"/>
        </w:rPr>
        <w:t xml:space="preserve"> of </w:t>
      </w:r>
      <w:proofErr w:type="spellStart"/>
      <w:r w:rsidR="00926BD9" w:rsidRPr="00705170">
        <w:rPr>
          <w:rFonts w:ascii="Times New Roman" w:hAnsi="Times New Roman" w:cs="Times New Roman"/>
          <w:color w:val="000000"/>
        </w:rPr>
        <w:t>law</w:t>
      </w:r>
      <w:proofErr w:type="spellEnd"/>
      <w:r w:rsidR="00926BD9" w:rsidRPr="00705170">
        <w:rPr>
          <w:rFonts w:ascii="Times New Roman" w:hAnsi="Times New Roman" w:cs="Times New Roman"/>
          <w:color w:val="000000"/>
        </w:rPr>
        <w:t xml:space="preserve"> in </w:t>
      </w:r>
      <w:proofErr w:type="spellStart"/>
      <w:r w:rsidR="00926BD9" w:rsidRPr="00705170">
        <w:rPr>
          <w:rFonts w:ascii="Times New Roman" w:hAnsi="Times New Roman" w:cs="Times New Roman"/>
          <w:color w:val="000000"/>
        </w:rPr>
        <w:t>mind</w:t>
      </w:r>
      <w:proofErr w:type="spellEnd"/>
      <w:r w:rsidR="00926BD9" w:rsidRPr="00705170">
        <w:rPr>
          <w:rFonts w:ascii="Times New Roman" w:hAnsi="Times New Roman" w:cs="Times New Roman"/>
          <w:color w:val="000000"/>
        </w:rPr>
        <w:t xml:space="preserve"> (</w:t>
      </w:r>
      <w:proofErr w:type="spellStart"/>
      <w:r w:rsidR="00561B15" w:rsidRPr="00705170">
        <w:rPr>
          <w:rFonts w:ascii="Times New Roman" w:hAnsi="Times New Roman" w:cs="Times New Roman"/>
          <w:color w:val="000000"/>
        </w:rPr>
        <w:t>the</w:t>
      </w:r>
      <w:proofErr w:type="spellEnd"/>
      <w:r w:rsidR="00561B15" w:rsidRPr="00705170">
        <w:rPr>
          <w:rFonts w:ascii="Times New Roman" w:hAnsi="Times New Roman" w:cs="Times New Roman"/>
          <w:color w:val="000000"/>
        </w:rPr>
        <w:t xml:space="preserve"> </w:t>
      </w:r>
      <w:r w:rsidR="00926BD9" w:rsidRPr="00705170">
        <w:rPr>
          <w:rFonts w:ascii="Times New Roman" w:hAnsi="Times New Roman" w:cs="Times New Roman"/>
          <w:color w:val="000000"/>
        </w:rPr>
        <w:t xml:space="preserve">general </w:t>
      </w:r>
      <w:proofErr w:type="spellStart"/>
      <w:r w:rsidR="00926BD9" w:rsidRPr="00705170">
        <w:rPr>
          <w:rFonts w:ascii="Times New Roman" w:hAnsi="Times New Roman" w:cs="Times New Roman"/>
          <w:color w:val="000000"/>
        </w:rPr>
        <w:t>principle</w:t>
      </w:r>
      <w:proofErr w:type="spellEnd"/>
      <w:r w:rsidR="00561B15" w:rsidRPr="00705170">
        <w:rPr>
          <w:rFonts w:ascii="Times New Roman" w:hAnsi="Times New Roman" w:cs="Times New Roman"/>
          <w:color w:val="000000"/>
        </w:rPr>
        <w:t xml:space="preserve"> </w:t>
      </w:r>
      <w:proofErr w:type="spellStart"/>
      <w:r w:rsidR="00561B15" w:rsidRPr="00705170">
        <w:rPr>
          <w:rFonts w:ascii="Times New Roman" w:hAnsi="Times New Roman" w:cs="Times New Roman"/>
          <w:color w:val="000000"/>
        </w:rPr>
        <w:t>applied</w:t>
      </w:r>
      <w:proofErr w:type="spellEnd"/>
      <w:r w:rsidR="00561B15" w:rsidRPr="00705170">
        <w:rPr>
          <w:rFonts w:ascii="Times New Roman" w:hAnsi="Times New Roman" w:cs="Times New Roman"/>
          <w:color w:val="000000"/>
        </w:rPr>
        <w:t xml:space="preserve"> here</w:t>
      </w:r>
      <w:r w:rsidR="00926BD9" w:rsidRPr="00705170">
        <w:rPr>
          <w:rFonts w:ascii="Times New Roman" w:hAnsi="Times New Roman" w:cs="Times New Roman"/>
          <w:color w:val="000000"/>
        </w:rPr>
        <w:t xml:space="preserve"> is </w:t>
      </w:r>
      <w:proofErr w:type="spellStart"/>
      <w:r w:rsidR="00926BD9" w:rsidRPr="00705170">
        <w:rPr>
          <w:rFonts w:ascii="Times New Roman" w:hAnsi="Times New Roman" w:cs="Times New Roman"/>
          <w:color w:val="000000"/>
        </w:rPr>
        <w:t>the</w:t>
      </w:r>
      <w:proofErr w:type="spellEnd"/>
      <w:r w:rsidR="00926BD9" w:rsidRPr="00705170">
        <w:rPr>
          <w:rFonts w:ascii="Times New Roman" w:hAnsi="Times New Roman" w:cs="Times New Roman"/>
          <w:color w:val="000000"/>
        </w:rPr>
        <w:t xml:space="preserve"> </w:t>
      </w:r>
      <w:proofErr w:type="spellStart"/>
      <w:r w:rsidR="00926BD9" w:rsidRPr="00705170">
        <w:rPr>
          <w:rFonts w:ascii="Times New Roman" w:hAnsi="Times New Roman" w:cs="Times New Roman"/>
          <w:color w:val="000000"/>
        </w:rPr>
        <w:t>doctrine</w:t>
      </w:r>
      <w:proofErr w:type="spellEnd"/>
      <w:r w:rsidR="00926BD9" w:rsidRPr="00705170">
        <w:rPr>
          <w:rFonts w:ascii="Times New Roman" w:hAnsi="Times New Roman" w:cs="Times New Roman"/>
          <w:color w:val="000000"/>
        </w:rPr>
        <w:t xml:space="preserve"> of “</w:t>
      </w:r>
      <w:proofErr w:type="spellStart"/>
      <w:r w:rsidR="00926BD9" w:rsidRPr="00705170">
        <w:rPr>
          <w:rFonts w:ascii="Times New Roman" w:hAnsi="Times New Roman" w:cs="Times New Roman"/>
          <w:color w:val="000000"/>
        </w:rPr>
        <w:t>unclean</w:t>
      </w:r>
      <w:proofErr w:type="spellEnd"/>
      <w:r w:rsidR="00926BD9" w:rsidRPr="00705170">
        <w:rPr>
          <w:rFonts w:ascii="Times New Roman" w:hAnsi="Times New Roman" w:cs="Times New Roman"/>
          <w:color w:val="000000"/>
        </w:rPr>
        <w:t xml:space="preserve"> </w:t>
      </w:r>
      <w:proofErr w:type="spellStart"/>
      <w:r w:rsidR="00926BD9" w:rsidRPr="00705170">
        <w:rPr>
          <w:rFonts w:ascii="Times New Roman" w:hAnsi="Times New Roman" w:cs="Times New Roman"/>
          <w:color w:val="000000"/>
        </w:rPr>
        <w:t>hands</w:t>
      </w:r>
      <w:proofErr w:type="spellEnd"/>
      <w:r w:rsidR="00926BD9" w:rsidRPr="00705170">
        <w:rPr>
          <w:rFonts w:ascii="Times New Roman" w:hAnsi="Times New Roman" w:cs="Times New Roman"/>
          <w:color w:val="000000"/>
        </w:rPr>
        <w:t>”)</w:t>
      </w:r>
      <w:r w:rsidR="00561B15" w:rsidRPr="00705170">
        <w:rPr>
          <w:rStyle w:val="DipnotBavurusu"/>
          <w:rFonts w:ascii="Times New Roman" w:hAnsi="Times New Roman" w:cs="Times New Roman"/>
          <w:color w:val="000000"/>
        </w:rPr>
        <w:footnoteReference w:id="657"/>
      </w:r>
      <w:r w:rsidR="00926BD9" w:rsidRPr="00705170">
        <w:rPr>
          <w:rFonts w:ascii="Times New Roman" w:hAnsi="Times New Roman" w:cs="Times New Roman"/>
          <w:color w:val="000000"/>
        </w:rPr>
        <w:t xml:space="preserve">, </w:t>
      </w:r>
      <w:proofErr w:type="spellStart"/>
      <w:r w:rsidR="00594EFB" w:rsidRPr="00705170">
        <w:rPr>
          <w:rFonts w:ascii="Times New Roman" w:hAnsi="Times New Roman" w:cs="Times New Roman"/>
          <w:color w:val="000000"/>
        </w:rPr>
        <w:t>courts</w:t>
      </w:r>
      <w:proofErr w:type="spellEnd"/>
      <w:r w:rsidR="00594EFB" w:rsidRPr="00705170">
        <w:rPr>
          <w:rFonts w:ascii="Times New Roman" w:hAnsi="Times New Roman" w:cs="Times New Roman"/>
          <w:color w:val="000000"/>
        </w:rPr>
        <w:t xml:space="preserve"> </w:t>
      </w:r>
      <w:proofErr w:type="spellStart"/>
      <w:r w:rsidR="00594EFB" w:rsidRPr="00705170">
        <w:rPr>
          <w:rFonts w:ascii="Times New Roman" w:hAnsi="Times New Roman" w:cs="Times New Roman"/>
          <w:color w:val="000000"/>
        </w:rPr>
        <w:t>stress</w:t>
      </w:r>
      <w:proofErr w:type="spellEnd"/>
      <w:r w:rsidR="00594EFB" w:rsidRPr="00705170">
        <w:rPr>
          <w:rFonts w:ascii="Times New Roman" w:hAnsi="Times New Roman" w:cs="Times New Roman"/>
          <w:color w:val="000000"/>
        </w:rPr>
        <w:t xml:space="preserve"> </w:t>
      </w:r>
      <w:proofErr w:type="spellStart"/>
      <w:r w:rsidR="00594EFB" w:rsidRPr="00705170">
        <w:rPr>
          <w:rFonts w:ascii="Times New Roman" w:hAnsi="Times New Roman" w:cs="Times New Roman"/>
          <w:color w:val="000000"/>
        </w:rPr>
        <w:t>that</w:t>
      </w:r>
      <w:proofErr w:type="spellEnd"/>
      <w:r w:rsidR="00594EFB" w:rsidRPr="00705170">
        <w:rPr>
          <w:rFonts w:ascii="Times New Roman" w:hAnsi="Times New Roman" w:cs="Times New Roman"/>
          <w:color w:val="000000"/>
        </w:rPr>
        <w:t xml:space="preserve"> </w:t>
      </w:r>
      <w:r w:rsidR="00FF5649" w:rsidRPr="00705170">
        <w:rPr>
          <w:rFonts w:ascii="Times New Roman" w:hAnsi="Times New Roman" w:cs="Times New Roman"/>
          <w:color w:val="000000"/>
        </w:rPr>
        <w:t>“</w:t>
      </w:r>
      <w:proofErr w:type="spellStart"/>
      <w:r w:rsidR="00FF5649" w:rsidRPr="00705170">
        <w:rPr>
          <w:rFonts w:ascii="Times New Roman" w:hAnsi="Times New Roman" w:cs="Times New Roman"/>
          <w:color w:val="000000"/>
        </w:rPr>
        <w:t>when</w:t>
      </w:r>
      <w:proofErr w:type="spellEnd"/>
      <w:r w:rsidR="00FF5649" w:rsidRPr="00705170">
        <w:rPr>
          <w:rFonts w:ascii="Times New Roman" w:hAnsi="Times New Roman" w:cs="Times New Roman"/>
          <w:color w:val="000000"/>
        </w:rPr>
        <w:t xml:space="preserve"> a </w:t>
      </w:r>
      <w:proofErr w:type="spellStart"/>
      <w:r w:rsidR="00FF5649" w:rsidRPr="00705170">
        <w:rPr>
          <w:rFonts w:ascii="Times New Roman" w:hAnsi="Times New Roman" w:cs="Times New Roman"/>
          <w:color w:val="000000"/>
        </w:rPr>
        <w:t>minority</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shareholder</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whose</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own</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acts</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made</w:t>
      </w:r>
      <w:proofErr w:type="spellEnd"/>
      <w:r w:rsidR="00FF5649" w:rsidRPr="00705170">
        <w:rPr>
          <w:rFonts w:ascii="Times New Roman" w:hAnsi="Times New Roman" w:cs="Times New Roman"/>
          <w:color w:val="000000"/>
        </w:rPr>
        <w:t xml:space="preserve"> in </w:t>
      </w:r>
      <w:proofErr w:type="spellStart"/>
      <w:r w:rsidR="00FF5649" w:rsidRPr="00705170">
        <w:rPr>
          <w:rFonts w:ascii="Times New Roman" w:hAnsi="Times New Roman" w:cs="Times New Roman"/>
          <w:color w:val="000000"/>
        </w:rPr>
        <w:t>bad</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faith</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and</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undertaken</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with</w:t>
      </w:r>
      <w:proofErr w:type="spellEnd"/>
      <w:r w:rsidR="00FF5649" w:rsidRPr="00705170">
        <w:rPr>
          <w:rFonts w:ascii="Times New Roman" w:hAnsi="Times New Roman" w:cs="Times New Roman"/>
          <w:color w:val="000000"/>
        </w:rPr>
        <w:t xml:space="preserve"> a </w:t>
      </w:r>
      <w:proofErr w:type="spellStart"/>
      <w:r w:rsidR="00FF5649" w:rsidRPr="00705170">
        <w:rPr>
          <w:rFonts w:ascii="Times New Roman" w:hAnsi="Times New Roman" w:cs="Times New Roman"/>
          <w:color w:val="000000"/>
        </w:rPr>
        <w:t>view</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toward</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forcing</w:t>
      </w:r>
      <w:proofErr w:type="spellEnd"/>
      <w:r w:rsidR="00FF5649" w:rsidRPr="00705170">
        <w:rPr>
          <w:rFonts w:ascii="Times New Roman" w:hAnsi="Times New Roman" w:cs="Times New Roman"/>
          <w:color w:val="000000"/>
        </w:rPr>
        <w:t xml:space="preserve"> an </w:t>
      </w:r>
      <w:proofErr w:type="spellStart"/>
      <w:r w:rsidR="00FF5649" w:rsidRPr="00705170">
        <w:rPr>
          <w:rFonts w:ascii="Times New Roman" w:hAnsi="Times New Roman" w:cs="Times New Roman"/>
          <w:color w:val="000000"/>
        </w:rPr>
        <w:t>involuntary</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dissolution</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give</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rise</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to</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the</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complaint</w:t>
      </w:r>
      <w:proofErr w:type="spellEnd"/>
      <w:r w:rsidR="00FF5649" w:rsidRPr="00705170">
        <w:rPr>
          <w:rFonts w:ascii="Times New Roman" w:hAnsi="Times New Roman" w:cs="Times New Roman"/>
          <w:color w:val="000000"/>
        </w:rPr>
        <w:t xml:space="preserve"> of </w:t>
      </w:r>
      <w:proofErr w:type="spellStart"/>
      <w:r w:rsidR="00FF5649" w:rsidRPr="00705170">
        <w:rPr>
          <w:rFonts w:ascii="Times New Roman" w:hAnsi="Times New Roman" w:cs="Times New Roman"/>
          <w:color w:val="000000"/>
        </w:rPr>
        <w:t>oppression</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should</w:t>
      </w:r>
      <w:proofErr w:type="spellEnd"/>
      <w:r w:rsidR="00FF5649" w:rsidRPr="00705170">
        <w:rPr>
          <w:rFonts w:ascii="Times New Roman" w:hAnsi="Times New Roman" w:cs="Times New Roman"/>
          <w:color w:val="000000"/>
        </w:rPr>
        <w:t xml:space="preserve"> </w:t>
      </w:r>
      <w:proofErr w:type="spellStart"/>
      <w:r w:rsidR="00FF5649" w:rsidRPr="00705170">
        <w:rPr>
          <w:rFonts w:ascii="Times New Roman" w:hAnsi="Times New Roman" w:cs="Times New Roman"/>
          <w:color w:val="000000"/>
        </w:rPr>
        <w:t>relief</w:t>
      </w:r>
      <w:proofErr w:type="spellEnd"/>
      <w:r w:rsidR="00FF5649" w:rsidRPr="00705170">
        <w:rPr>
          <w:rFonts w:ascii="Times New Roman" w:hAnsi="Times New Roman" w:cs="Times New Roman"/>
          <w:color w:val="000000"/>
        </w:rPr>
        <w:t xml:space="preserve"> be </w:t>
      </w:r>
      <w:proofErr w:type="spellStart"/>
      <w:r w:rsidR="00FF5649" w:rsidRPr="00705170">
        <w:rPr>
          <w:rFonts w:ascii="Times New Roman" w:hAnsi="Times New Roman" w:cs="Times New Roman"/>
          <w:color w:val="000000"/>
        </w:rPr>
        <w:t>barred</w:t>
      </w:r>
      <w:proofErr w:type="spellEnd"/>
      <w:r w:rsidR="00FF5649" w:rsidRPr="00705170">
        <w:rPr>
          <w:rFonts w:ascii="Times New Roman" w:hAnsi="Times New Roman" w:cs="Times New Roman"/>
          <w:color w:val="000000"/>
        </w:rPr>
        <w:t>”</w:t>
      </w:r>
      <w:r w:rsidR="00040390" w:rsidRPr="00705170">
        <w:rPr>
          <w:rStyle w:val="DipnotBavurusu"/>
          <w:rFonts w:ascii="Times New Roman" w:hAnsi="Times New Roman" w:cs="Times New Roman"/>
          <w:color w:val="000000"/>
        </w:rPr>
        <w:footnoteReference w:id="658"/>
      </w:r>
      <w:r w:rsidR="00FF5649" w:rsidRPr="00705170">
        <w:rPr>
          <w:rFonts w:ascii="Times New Roman" w:hAnsi="Times New Roman" w:cs="Times New Roman"/>
          <w:color w:val="000000"/>
        </w:rPr>
        <w:t>.</w:t>
      </w:r>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Moreover</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exercising</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their</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discretion</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courts</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may</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reject</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to</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order</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the</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involuntary</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dissolution</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even</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if</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the</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petitioner</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have</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been</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able</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to</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demonstrate</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grounds</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for</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dissolution</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provided</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that</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the</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petitioner</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may</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obtain</w:t>
      </w:r>
      <w:proofErr w:type="spellEnd"/>
      <w:r w:rsidR="00F018FF" w:rsidRPr="00705170">
        <w:rPr>
          <w:rFonts w:ascii="Times New Roman" w:hAnsi="Times New Roman" w:cs="Times New Roman"/>
          <w:color w:val="000000"/>
        </w:rPr>
        <w:t xml:space="preserve"> a </w:t>
      </w:r>
      <w:proofErr w:type="spellStart"/>
      <w:r w:rsidR="00F018FF" w:rsidRPr="00705170">
        <w:rPr>
          <w:rFonts w:ascii="Times New Roman" w:hAnsi="Times New Roman" w:cs="Times New Roman"/>
          <w:color w:val="000000"/>
        </w:rPr>
        <w:t>fair</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return</w:t>
      </w:r>
      <w:proofErr w:type="spellEnd"/>
      <w:r w:rsidR="00F018FF" w:rsidRPr="00705170">
        <w:rPr>
          <w:rFonts w:ascii="Times New Roman" w:hAnsi="Times New Roman" w:cs="Times New Roman"/>
          <w:color w:val="000000"/>
        </w:rPr>
        <w:t xml:space="preserve"> on his </w:t>
      </w:r>
      <w:proofErr w:type="spellStart"/>
      <w:r w:rsidR="00F018FF" w:rsidRPr="00705170">
        <w:rPr>
          <w:rFonts w:ascii="Times New Roman" w:hAnsi="Times New Roman" w:cs="Times New Roman"/>
          <w:color w:val="000000"/>
        </w:rPr>
        <w:t>investment</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pursuant</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to</w:t>
      </w:r>
      <w:proofErr w:type="spellEnd"/>
      <w:r w:rsidR="00F018FF" w:rsidRPr="00705170">
        <w:rPr>
          <w:rFonts w:ascii="Times New Roman" w:hAnsi="Times New Roman" w:cs="Times New Roman"/>
          <w:color w:val="000000"/>
        </w:rPr>
        <w:t xml:space="preserve"> a buy- </w:t>
      </w:r>
      <w:proofErr w:type="spellStart"/>
      <w:r w:rsidR="00F018FF" w:rsidRPr="00705170">
        <w:rPr>
          <w:rFonts w:ascii="Times New Roman" w:hAnsi="Times New Roman" w:cs="Times New Roman"/>
          <w:color w:val="000000"/>
        </w:rPr>
        <w:t>out</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provision</w:t>
      </w:r>
      <w:proofErr w:type="spellEnd"/>
      <w:r w:rsidR="00F018FF" w:rsidRPr="00705170">
        <w:rPr>
          <w:rFonts w:ascii="Times New Roman" w:hAnsi="Times New Roman" w:cs="Times New Roman"/>
          <w:color w:val="000000"/>
        </w:rPr>
        <w:t xml:space="preserve"> of a </w:t>
      </w:r>
      <w:proofErr w:type="spellStart"/>
      <w:r w:rsidR="00F018FF" w:rsidRPr="00705170">
        <w:rPr>
          <w:rFonts w:ascii="Times New Roman" w:hAnsi="Times New Roman" w:cs="Times New Roman"/>
          <w:color w:val="000000"/>
        </w:rPr>
        <w:t>shareholders</w:t>
      </w:r>
      <w:proofErr w:type="spellEnd"/>
      <w:r w:rsidR="00F018FF" w:rsidRPr="00705170">
        <w:rPr>
          <w:rFonts w:ascii="Times New Roman" w:hAnsi="Times New Roman" w:cs="Times New Roman"/>
          <w:color w:val="000000"/>
        </w:rPr>
        <w:t xml:space="preserve">’ </w:t>
      </w:r>
      <w:proofErr w:type="spellStart"/>
      <w:r w:rsidR="00F018FF" w:rsidRPr="00705170">
        <w:rPr>
          <w:rFonts w:ascii="Times New Roman" w:hAnsi="Times New Roman" w:cs="Times New Roman"/>
          <w:color w:val="000000"/>
        </w:rPr>
        <w:t>agreement</w:t>
      </w:r>
      <w:proofErr w:type="spellEnd"/>
      <w:r w:rsidR="00F018FF" w:rsidRPr="00705170">
        <w:rPr>
          <w:rStyle w:val="DipnotBavurusu"/>
          <w:rFonts w:ascii="Times New Roman" w:hAnsi="Times New Roman" w:cs="Times New Roman"/>
          <w:color w:val="000000"/>
        </w:rPr>
        <w:footnoteReference w:id="659"/>
      </w:r>
      <w:r w:rsidR="00F018FF" w:rsidRPr="00705170">
        <w:rPr>
          <w:rFonts w:ascii="Times New Roman" w:hAnsi="Times New Roman" w:cs="Times New Roman"/>
          <w:color w:val="000000"/>
        </w:rPr>
        <w:t xml:space="preserve">.  </w:t>
      </w:r>
    </w:p>
    <w:p w14:paraId="2A98046A" w14:textId="0993E268" w:rsidR="0099153E" w:rsidRPr="00705170" w:rsidRDefault="00D6534A" w:rsidP="00F01A07">
      <w:pPr>
        <w:spacing w:after="240" w:line="480" w:lineRule="auto"/>
        <w:ind w:firstLine="720"/>
        <w:jc w:val="both"/>
        <w:rPr>
          <w:rFonts w:ascii="Times New Roman" w:hAnsi="Times New Roman" w:cs="Times New Roman"/>
          <w:color w:val="000000"/>
        </w:rPr>
      </w:pPr>
      <w:proofErr w:type="spellStart"/>
      <w:r w:rsidRPr="00705170">
        <w:rPr>
          <w:rFonts w:ascii="Times New Roman" w:hAnsi="Times New Roman" w:cs="Times New Roman"/>
          <w:color w:val="000000"/>
        </w:rPr>
        <w:lastRenderedPageBreak/>
        <w:t>While</w:t>
      </w:r>
      <w:proofErr w:type="spellEnd"/>
      <w:r w:rsidRPr="00705170">
        <w:rPr>
          <w:rFonts w:ascii="Times New Roman" w:hAnsi="Times New Roman" w:cs="Times New Roman"/>
          <w:color w:val="000000"/>
        </w:rPr>
        <w:t xml:space="preserve"> </w:t>
      </w:r>
      <w:r w:rsidR="003B1479" w:rsidRPr="00705170">
        <w:rPr>
          <w:rFonts w:ascii="Times New Roman" w:hAnsi="Times New Roman" w:cs="Times New Roman"/>
          <w:color w:val="000000"/>
        </w:rPr>
        <w:t xml:space="preserve">New York </w:t>
      </w:r>
      <w:proofErr w:type="spellStart"/>
      <w:r w:rsidR="003B1479" w:rsidRPr="00705170">
        <w:rPr>
          <w:rFonts w:ascii="Times New Roman" w:hAnsi="Times New Roman" w:cs="Times New Roman"/>
          <w:color w:val="000000"/>
        </w:rPr>
        <w:t>legislature</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enacted</w:t>
      </w:r>
      <w:proofErr w:type="spellEnd"/>
      <w:r w:rsidR="003B1479" w:rsidRPr="00705170">
        <w:rPr>
          <w:rFonts w:ascii="Times New Roman" w:hAnsi="Times New Roman" w:cs="Times New Roman"/>
          <w:color w:val="000000"/>
        </w:rPr>
        <w:t xml:space="preserve"> an “buy- </w:t>
      </w:r>
      <w:proofErr w:type="spellStart"/>
      <w:r w:rsidR="003B1479" w:rsidRPr="00705170">
        <w:rPr>
          <w:rFonts w:ascii="Times New Roman" w:hAnsi="Times New Roman" w:cs="Times New Roman"/>
          <w:color w:val="000000"/>
        </w:rPr>
        <w:t>out</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alternative</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to</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dissolution</w:t>
      </w:r>
      <w:proofErr w:type="spellEnd"/>
      <w:r w:rsidR="009927A7" w:rsidRPr="00705170">
        <w:rPr>
          <w:rFonts w:ascii="Times New Roman" w:hAnsi="Times New Roman" w:cs="Times New Roman"/>
          <w:color w:val="000000"/>
        </w:rPr>
        <w:t xml:space="preserve"> </w:t>
      </w:r>
      <w:proofErr w:type="spellStart"/>
      <w:r w:rsidR="009927A7" w:rsidRPr="00705170">
        <w:rPr>
          <w:rFonts w:ascii="Times New Roman" w:hAnsi="Times New Roman" w:cs="Times New Roman"/>
          <w:color w:val="000000"/>
        </w:rPr>
        <w:t>under</w:t>
      </w:r>
      <w:proofErr w:type="spellEnd"/>
      <w:r w:rsidR="009927A7" w:rsidRPr="00705170">
        <w:rPr>
          <w:rFonts w:ascii="Times New Roman" w:hAnsi="Times New Roman" w:cs="Times New Roman"/>
          <w:color w:val="000000"/>
        </w:rPr>
        <w:t xml:space="preserve"> </w:t>
      </w:r>
      <w:proofErr w:type="spellStart"/>
      <w:r w:rsidR="009927A7" w:rsidRPr="00705170">
        <w:rPr>
          <w:rFonts w:ascii="Times New Roman" w:hAnsi="Times New Roman" w:cs="Times New Roman"/>
          <w:color w:val="000000"/>
        </w:rPr>
        <w:t>Sec</w:t>
      </w:r>
      <w:proofErr w:type="spellEnd"/>
      <w:r w:rsidR="009927A7" w:rsidRPr="00705170">
        <w:rPr>
          <w:rFonts w:ascii="Times New Roman" w:hAnsi="Times New Roman" w:cs="Times New Roman"/>
          <w:color w:val="000000"/>
        </w:rPr>
        <w:t xml:space="preserve">. 1104-a </w:t>
      </w:r>
      <w:proofErr w:type="spellStart"/>
      <w:r w:rsidR="009927A7" w:rsidRPr="00705170">
        <w:rPr>
          <w:rFonts w:ascii="Times New Roman" w:hAnsi="Times New Roman" w:cs="Times New Roman"/>
          <w:color w:val="000000"/>
        </w:rPr>
        <w:t>by</w:t>
      </w:r>
      <w:proofErr w:type="spellEnd"/>
      <w:r w:rsidR="009927A7" w:rsidRPr="00705170">
        <w:rPr>
          <w:rFonts w:ascii="Times New Roman" w:hAnsi="Times New Roman" w:cs="Times New Roman"/>
          <w:color w:val="000000"/>
        </w:rPr>
        <w:t xml:space="preserve"> </w:t>
      </w:r>
      <w:proofErr w:type="spellStart"/>
      <w:r w:rsidR="009927A7" w:rsidRPr="00705170">
        <w:rPr>
          <w:rFonts w:ascii="Times New Roman" w:hAnsi="Times New Roman" w:cs="Times New Roman"/>
          <w:color w:val="000000"/>
        </w:rPr>
        <w:t>S</w:t>
      </w:r>
      <w:r w:rsidR="003B1479" w:rsidRPr="00705170">
        <w:rPr>
          <w:rFonts w:ascii="Times New Roman" w:hAnsi="Times New Roman" w:cs="Times New Roman"/>
          <w:color w:val="000000"/>
        </w:rPr>
        <w:t>ec</w:t>
      </w:r>
      <w:proofErr w:type="spellEnd"/>
      <w:r w:rsidR="003B1479" w:rsidRPr="00705170">
        <w:rPr>
          <w:rFonts w:ascii="Times New Roman" w:hAnsi="Times New Roman" w:cs="Times New Roman"/>
          <w:color w:val="000000"/>
        </w:rPr>
        <w:t>. 111</w:t>
      </w:r>
      <w:r w:rsidR="009927A7" w:rsidRPr="00705170">
        <w:rPr>
          <w:rFonts w:ascii="Times New Roman" w:hAnsi="Times New Roman" w:cs="Times New Roman"/>
          <w:color w:val="000000"/>
        </w:rPr>
        <w:t>8</w:t>
      </w:r>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conditioned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every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order</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dissolution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upon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permitting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buy- </w:t>
      </w:r>
      <w:proofErr w:type="spellStart"/>
      <w:r w:rsidRPr="00705170">
        <w:rPr>
          <w:rFonts w:ascii="Times New Roman" w:hAnsi="Times New Roman" w:cs="Times New Roman"/>
          <w:color w:val="000000"/>
        </w:rPr>
        <w:t>out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election</w:t>
      </w:r>
      <w:proofErr w:type="spellEnd"/>
      <w:r w:rsidR="009927A7" w:rsidRPr="00705170">
        <w:rPr>
          <w:rFonts w:ascii="Times New Roman" w:hAnsi="Times New Roman" w:cs="Times New Roman"/>
          <w:color w:val="000000"/>
        </w:rPr>
        <w:t xml:space="preserve">, but </w:t>
      </w:r>
      <w:proofErr w:type="spellStart"/>
      <w:r w:rsidR="009927A7" w:rsidRPr="00705170">
        <w:rPr>
          <w:rFonts w:ascii="Times New Roman" w:hAnsi="Times New Roman" w:cs="Times New Roman"/>
          <w:color w:val="000000"/>
        </w:rPr>
        <w:t>did</w:t>
      </w:r>
      <w:proofErr w:type="spellEnd"/>
      <w:r w:rsidR="009927A7" w:rsidRPr="00705170">
        <w:rPr>
          <w:rFonts w:ascii="Times New Roman" w:hAnsi="Times New Roman" w:cs="Times New Roman"/>
          <w:color w:val="000000"/>
        </w:rPr>
        <w:t xml:space="preserve"> not </w:t>
      </w:r>
      <w:proofErr w:type="spellStart"/>
      <w:r w:rsidR="009927A7" w:rsidRPr="00705170">
        <w:rPr>
          <w:rFonts w:ascii="Times New Roman" w:hAnsi="Times New Roman" w:cs="Times New Roman"/>
          <w:color w:val="000000"/>
        </w:rPr>
        <w:t>provide</w:t>
      </w:r>
      <w:proofErr w:type="spellEnd"/>
      <w:r w:rsidR="009927A7" w:rsidRPr="00705170">
        <w:rPr>
          <w:rFonts w:ascii="Times New Roman" w:hAnsi="Times New Roman" w:cs="Times New Roman"/>
          <w:color w:val="000000"/>
        </w:rPr>
        <w:t xml:space="preserve"> </w:t>
      </w:r>
      <w:proofErr w:type="spellStart"/>
      <w:r w:rsidR="009927A7" w:rsidRPr="00705170">
        <w:rPr>
          <w:rFonts w:ascii="Times New Roman" w:hAnsi="Times New Roman" w:cs="Times New Roman"/>
          <w:color w:val="000000"/>
        </w:rPr>
        <w:t>the</w:t>
      </w:r>
      <w:proofErr w:type="spellEnd"/>
      <w:r w:rsidR="009927A7" w:rsidRPr="00705170">
        <w:rPr>
          <w:rFonts w:ascii="Times New Roman" w:hAnsi="Times New Roman" w:cs="Times New Roman"/>
          <w:color w:val="000000"/>
        </w:rPr>
        <w:t xml:space="preserve"> </w:t>
      </w:r>
      <w:proofErr w:type="spellStart"/>
      <w:r w:rsidR="009927A7" w:rsidRPr="00705170">
        <w:rPr>
          <w:rFonts w:ascii="Times New Roman" w:hAnsi="Times New Roman" w:cs="Times New Roman"/>
          <w:color w:val="000000"/>
        </w:rPr>
        <w:t>same</w:t>
      </w:r>
      <w:proofErr w:type="spellEnd"/>
      <w:r w:rsidR="009927A7" w:rsidRPr="00705170">
        <w:rPr>
          <w:rFonts w:ascii="Times New Roman" w:hAnsi="Times New Roman" w:cs="Times New Roman"/>
          <w:color w:val="000000"/>
        </w:rPr>
        <w:t xml:space="preserve"> </w:t>
      </w:r>
      <w:proofErr w:type="spellStart"/>
      <w:r w:rsidR="009927A7" w:rsidRPr="00705170">
        <w:rPr>
          <w:rFonts w:ascii="Times New Roman" w:hAnsi="Times New Roman" w:cs="Times New Roman"/>
          <w:color w:val="000000"/>
        </w:rPr>
        <w:t>alternative</w:t>
      </w:r>
      <w:proofErr w:type="spellEnd"/>
      <w:r w:rsidR="009927A7" w:rsidRPr="00705170">
        <w:rPr>
          <w:rFonts w:ascii="Times New Roman" w:hAnsi="Times New Roman" w:cs="Times New Roman"/>
          <w:color w:val="000000"/>
        </w:rPr>
        <w:t xml:space="preserve"> </w:t>
      </w:r>
      <w:proofErr w:type="spellStart"/>
      <w:r w:rsidR="009927A7" w:rsidRPr="00705170">
        <w:rPr>
          <w:rFonts w:ascii="Times New Roman" w:hAnsi="Times New Roman" w:cs="Times New Roman"/>
          <w:color w:val="000000"/>
        </w:rPr>
        <w:t>for</w:t>
      </w:r>
      <w:proofErr w:type="spellEnd"/>
      <w:r w:rsidR="009927A7" w:rsidRPr="00705170">
        <w:rPr>
          <w:rFonts w:ascii="Times New Roman" w:hAnsi="Times New Roman" w:cs="Times New Roman"/>
          <w:color w:val="000000"/>
        </w:rPr>
        <w:t xml:space="preserve"> </w:t>
      </w:r>
      <w:proofErr w:type="spellStart"/>
      <w:r w:rsidR="009927A7" w:rsidRPr="00705170">
        <w:rPr>
          <w:rFonts w:ascii="Times New Roman" w:hAnsi="Times New Roman" w:cs="Times New Roman"/>
          <w:color w:val="000000"/>
        </w:rPr>
        <w:t>the</w:t>
      </w:r>
      <w:proofErr w:type="spellEnd"/>
      <w:r w:rsidR="009927A7" w:rsidRPr="00705170">
        <w:rPr>
          <w:rFonts w:ascii="Times New Roman" w:hAnsi="Times New Roman" w:cs="Times New Roman"/>
          <w:color w:val="000000"/>
        </w:rPr>
        <w:t xml:space="preserve"> </w:t>
      </w:r>
      <w:proofErr w:type="spellStart"/>
      <w:r w:rsidR="009927A7" w:rsidRPr="00705170">
        <w:rPr>
          <w:rFonts w:ascii="Times New Roman" w:hAnsi="Times New Roman" w:cs="Times New Roman"/>
          <w:color w:val="000000"/>
        </w:rPr>
        <w:t>proceedings</w:t>
      </w:r>
      <w:proofErr w:type="spellEnd"/>
      <w:r w:rsidR="009927A7" w:rsidRPr="00705170">
        <w:rPr>
          <w:rFonts w:ascii="Times New Roman" w:hAnsi="Times New Roman" w:cs="Times New Roman"/>
          <w:color w:val="000000"/>
        </w:rPr>
        <w:t xml:space="preserve"> </w:t>
      </w:r>
      <w:proofErr w:type="spellStart"/>
      <w:r w:rsidR="009927A7" w:rsidRPr="00705170">
        <w:rPr>
          <w:rFonts w:ascii="Times New Roman" w:hAnsi="Times New Roman" w:cs="Times New Roman"/>
          <w:color w:val="000000"/>
        </w:rPr>
        <w:t>under</w:t>
      </w:r>
      <w:proofErr w:type="spellEnd"/>
      <w:r w:rsidR="009927A7" w:rsidRPr="00705170">
        <w:rPr>
          <w:rFonts w:ascii="Times New Roman" w:hAnsi="Times New Roman" w:cs="Times New Roman"/>
          <w:color w:val="000000"/>
        </w:rPr>
        <w:t xml:space="preserve"> Sec.1104</w:t>
      </w:r>
      <w:r w:rsidR="009927A7" w:rsidRPr="00705170">
        <w:rPr>
          <w:rStyle w:val="DipnotBavurusu"/>
          <w:rFonts w:ascii="Times New Roman" w:hAnsi="Times New Roman" w:cs="Times New Roman"/>
          <w:color w:val="000000"/>
        </w:rPr>
        <w:footnoteReference w:id="660"/>
      </w:r>
      <w:r w:rsidR="00C973EC" w:rsidRPr="00705170">
        <w:rPr>
          <w:rFonts w:ascii="Times New Roman" w:hAnsi="Times New Roman" w:cs="Times New Roman"/>
          <w:color w:val="000000"/>
        </w:rPr>
        <w:t>.</w:t>
      </w:r>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Pursuant</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to</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this</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section</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upon</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the</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commencement</w:t>
      </w:r>
      <w:proofErr w:type="spellEnd"/>
      <w:r w:rsidR="003B1479" w:rsidRPr="00705170">
        <w:rPr>
          <w:rFonts w:ascii="Times New Roman" w:hAnsi="Times New Roman" w:cs="Times New Roman"/>
          <w:color w:val="000000"/>
        </w:rPr>
        <w:t xml:space="preserve"> of a </w:t>
      </w:r>
      <w:proofErr w:type="spellStart"/>
      <w:r w:rsidR="003B1479" w:rsidRPr="00705170">
        <w:rPr>
          <w:rFonts w:ascii="Times New Roman" w:hAnsi="Times New Roman" w:cs="Times New Roman"/>
          <w:color w:val="000000"/>
        </w:rPr>
        <w:t>dissolution</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proceeding</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under</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section</w:t>
      </w:r>
      <w:proofErr w:type="spellEnd"/>
      <w:r w:rsidR="003B1479" w:rsidRPr="00705170">
        <w:rPr>
          <w:rFonts w:ascii="Times New Roman" w:hAnsi="Times New Roman" w:cs="Times New Roman"/>
          <w:color w:val="000000"/>
        </w:rPr>
        <w:t xml:space="preserve"> 1104-a, </w:t>
      </w:r>
      <w:proofErr w:type="spellStart"/>
      <w:r w:rsidR="003B1479" w:rsidRPr="00705170">
        <w:rPr>
          <w:rFonts w:ascii="Times New Roman" w:hAnsi="Times New Roman" w:cs="Times New Roman"/>
          <w:color w:val="000000"/>
        </w:rPr>
        <w:t>any</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nonpetitioning</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shareholder</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or</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the</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corporation</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may</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elect</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to</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purchase</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the</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shares</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owned</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by</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the</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petitioning</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shareholders</w:t>
      </w:r>
      <w:proofErr w:type="spellEnd"/>
      <w:r w:rsidR="003B1479" w:rsidRPr="00705170">
        <w:rPr>
          <w:rFonts w:ascii="Times New Roman" w:hAnsi="Times New Roman" w:cs="Times New Roman"/>
          <w:color w:val="000000"/>
        </w:rPr>
        <w:t xml:space="preserve"> at </w:t>
      </w:r>
      <w:proofErr w:type="spellStart"/>
      <w:r w:rsidR="003B1479" w:rsidRPr="00705170">
        <w:rPr>
          <w:rFonts w:ascii="Times New Roman" w:hAnsi="Times New Roman" w:cs="Times New Roman"/>
          <w:color w:val="000000"/>
        </w:rPr>
        <w:t>fair</w:t>
      </w:r>
      <w:proofErr w:type="spellEnd"/>
      <w:r w:rsidR="003B1479" w:rsidRPr="00705170">
        <w:rPr>
          <w:rFonts w:ascii="Times New Roman" w:hAnsi="Times New Roman" w:cs="Times New Roman"/>
          <w:color w:val="000000"/>
        </w:rPr>
        <w:t xml:space="preserve"> </w:t>
      </w:r>
      <w:proofErr w:type="spellStart"/>
      <w:r w:rsidR="003B1479" w:rsidRPr="00705170">
        <w:rPr>
          <w:rFonts w:ascii="Times New Roman" w:hAnsi="Times New Roman" w:cs="Times New Roman"/>
          <w:color w:val="000000"/>
        </w:rPr>
        <w:t>value</w:t>
      </w:r>
      <w:proofErr w:type="spellEnd"/>
      <w:r w:rsidR="00A241E5" w:rsidRPr="00705170">
        <w:rPr>
          <w:rFonts w:ascii="Times New Roman" w:hAnsi="Times New Roman" w:cs="Times New Roman"/>
          <w:color w:val="000000"/>
        </w:rPr>
        <w:t xml:space="preserve"> at </w:t>
      </w:r>
      <w:proofErr w:type="spellStart"/>
      <w:r w:rsidR="00A241E5" w:rsidRPr="00705170">
        <w:rPr>
          <w:rFonts w:ascii="Times New Roman" w:hAnsi="Times New Roman" w:cs="Times New Roman"/>
          <w:color w:val="000000"/>
        </w:rPr>
        <w:t>any</w:t>
      </w:r>
      <w:proofErr w:type="spellEnd"/>
      <w:r w:rsidR="00A241E5" w:rsidRPr="00705170">
        <w:rPr>
          <w:rFonts w:ascii="Times New Roman" w:hAnsi="Times New Roman" w:cs="Times New Roman"/>
          <w:color w:val="000000"/>
        </w:rPr>
        <w:t xml:space="preserve"> time </w:t>
      </w:r>
      <w:proofErr w:type="spellStart"/>
      <w:r w:rsidR="00A241E5" w:rsidRPr="00705170">
        <w:rPr>
          <w:rFonts w:ascii="Times New Roman" w:hAnsi="Times New Roman" w:cs="Times New Roman"/>
          <w:color w:val="000000"/>
        </w:rPr>
        <w:t>within</w:t>
      </w:r>
      <w:proofErr w:type="spellEnd"/>
      <w:r w:rsidR="00A241E5" w:rsidRPr="00705170">
        <w:rPr>
          <w:rFonts w:ascii="Times New Roman" w:hAnsi="Times New Roman" w:cs="Times New Roman"/>
          <w:color w:val="000000"/>
        </w:rPr>
        <w:t xml:space="preserve"> </w:t>
      </w:r>
      <w:proofErr w:type="spellStart"/>
      <w:r w:rsidR="00A241E5" w:rsidRPr="00705170">
        <w:rPr>
          <w:rFonts w:ascii="Times New Roman" w:hAnsi="Times New Roman" w:cs="Times New Roman"/>
          <w:color w:val="000000"/>
        </w:rPr>
        <w:t>ninenty</w:t>
      </w:r>
      <w:proofErr w:type="spellEnd"/>
      <w:r w:rsidR="00A241E5" w:rsidRPr="00705170">
        <w:rPr>
          <w:rFonts w:ascii="Times New Roman" w:hAnsi="Times New Roman" w:cs="Times New Roman"/>
          <w:color w:val="000000"/>
        </w:rPr>
        <w:t xml:space="preserve"> </w:t>
      </w:r>
      <w:proofErr w:type="spellStart"/>
      <w:r w:rsidR="00A241E5" w:rsidRPr="00705170">
        <w:rPr>
          <w:rFonts w:ascii="Times New Roman" w:hAnsi="Times New Roman" w:cs="Times New Roman"/>
          <w:color w:val="000000"/>
        </w:rPr>
        <w:t>days</w:t>
      </w:r>
      <w:proofErr w:type="spellEnd"/>
      <w:r w:rsidR="00A241E5" w:rsidRPr="00705170">
        <w:rPr>
          <w:rFonts w:ascii="Times New Roman" w:hAnsi="Times New Roman" w:cs="Times New Roman"/>
          <w:color w:val="000000"/>
        </w:rPr>
        <w:t xml:space="preserve"> </w:t>
      </w:r>
      <w:proofErr w:type="spellStart"/>
      <w:r w:rsidR="00A241E5" w:rsidRPr="00705170">
        <w:rPr>
          <w:rFonts w:ascii="Times New Roman" w:hAnsi="Times New Roman" w:cs="Times New Roman"/>
          <w:color w:val="000000"/>
        </w:rPr>
        <w:t>after</w:t>
      </w:r>
      <w:proofErr w:type="spellEnd"/>
      <w:r w:rsidR="00A241E5" w:rsidRPr="00705170">
        <w:rPr>
          <w:rFonts w:ascii="Times New Roman" w:hAnsi="Times New Roman" w:cs="Times New Roman"/>
          <w:color w:val="000000"/>
        </w:rPr>
        <w:t xml:space="preserve"> </w:t>
      </w:r>
      <w:proofErr w:type="spellStart"/>
      <w:r w:rsidR="00A241E5" w:rsidRPr="00705170">
        <w:rPr>
          <w:rFonts w:ascii="Times New Roman" w:hAnsi="Times New Roman" w:cs="Times New Roman"/>
          <w:color w:val="000000"/>
        </w:rPr>
        <w:t>the</w:t>
      </w:r>
      <w:proofErr w:type="spellEnd"/>
      <w:r w:rsidR="00A241E5" w:rsidRPr="00705170">
        <w:rPr>
          <w:rFonts w:ascii="Times New Roman" w:hAnsi="Times New Roman" w:cs="Times New Roman"/>
          <w:color w:val="000000"/>
        </w:rPr>
        <w:t xml:space="preserve"> </w:t>
      </w:r>
      <w:proofErr w:type="spellStart"/>
      <w:r w:rsidR="00A241E5" w:rsidRPr="00705170">
        <w:rPr>
          <w:rFonts w:ascii="Times New Roman" w:hAnsi="Times New Roman" w:cs="Times New Roman"/>
          <w:color w:val="000000"/>
        </w:rPr>
        <w:t>filing</w:t>
      </w:r>
      <w:proofErr w:type="spellEnd"/>
      <w:r w:rsidR="00A241E5" w:rsidRPr="00705170">
        <w:rPr>
          <w:rFonts w:ascii="Times New Roman" w:hAnsi="Times New Roman" w:cs="Times New Roman"/>
          <w:color w:val="000000"/>
        </w:rPr>
        <w:t xml:space="preserve"> of </w:t>
      </w:r>
      <w:proofErr w:type="spellStart"/>
      <w:r w:rsidR="00A241E5" w:rsidRPr="00705170">
        <w:rPr>
          <w:rFonts w:ascii="Times New Roman" w:hAnsi="Times New Roman" w:cs="Times New Roman"/>
          <w:color w:val="000000"/>
        </w:rPr>
        <w:t>such</w:t>
      </w:r>
      <w:proofErr w:type="spellEnd"/>
      <w:r w:rsidR="00A241E5" w:rsidRPr="00705170">
        <w:rPr>
          <w:rFonts w:ascii="Times New Roman" w:hAnsi="Times New Roman" w:cs="Times New Roman"/>
          <w:color w:val="000000"/>
        </w:rPr>
        <w:t xml:space="preserve"> </w:t>
      </w:r>
      <w:proofErr w:type="spellStart"/>
      <w:r w:rsidR="00A241E5" w:rsidRPr="00705170">
        <w:rPr>
          <w:rFonts w:ascii="Times New Roman" w:hAnsi="Times New Roman" w:cs="Times New Roman"/>
          <w:color w:val="000000"/>
        </w:rPr>
        <w:t>petition</w:t>
      </w:r>
      <w:proofErr w:type="spellEnd"/>
      <w:r w:rsidR="00A241E5" w:rsidRPr="00705170">
        <w:rPr>
          <w:rFonts w:ascii="Times New Roman" w:hAnsi="Times New Roman" w:cs="Times New Roman"/>
          <w:color w:val="000000"/>
        </w:rPr>
        <w:t xml:space="preserve"> </w:t>
      </w:r>
      <w:proofErr w:type="spellStart"/>
      <w:r w:rsidR="00A241E5" w:rsidRPr="00705170">
        <w:rPr>
          <w:rFonts w:ascii="Times New Roman" w:hAnsi="Times New Roman" w:cs="Times New Roman"/>
          <w:color w:val="000000"/>
        </w:rPr>
        <w:t>or</w:t>
      </w:r>
      <w:proofErr w:type="spellEnd"/>
      <w:r w:rsidR="00A241E5" w:rsidRPr="00705170">
        <w:rPr>
          <w:rFonts w:ascii="Times New Roman" w:hAnsi="Times New Roman" w:cs="Times New Roman"/>
          <w:color w:val="000000"/>
        </w:rPr>
        <w:t xml:space="preserve"> at </w:t>
      </w:r>
      <w:proofErr w:type="spellStart"/>
      <w:r w:rsidR="00A241E5" w:rsidRPr="00705170">
        <w:rPr>
          <w:rFonts w:ascii="Times New Roman" w:hAnsi="Times New Roman" w:cs="Times New Roman"/>
          <w:color w:val="000000"/>
        </w:rPr>
        <w:t>such</w:t>
      </w:r>
      <w:proofErr w:type="spellEnd"/>
      <w:r w:rsidR="00A241E5" w:rsidRPr="00705170">
        <w:rPr>
          <w:rFonts w:ascii="Times New Roman" w:hAnsi="Times New Roman" w:cs="Times New Roman"/>
          <w:color w:val="000000"/>
        </w:rPr>
        <w:t xml:space="preserve"> </w:t>
      </w:r>
      <w:proofErr w:type="spellStart"/>
      <w:r w:rsidR="00A241E5" w:rsidRPr="00705170">
        <w:rPr>
          <w:rFonts w:ascii="Times New Roman" w:hAnsi="Times New Roman" w:cs="Times New Roman"/>
          <w:color w:val="000000"/>
        </w:rPr>
        <w:t>later</w:t>
      </w:r>
      <w:proofErr w:type="spellEnd"/>
      <w:r w:rsidR="00A241E5" w:rsidRPr="00705170">
        <w:rPr>
          <w:rFonts w:ascii="Times New Roman" w:hAnsi="Times New Roman" w:cs="Times New Roman"/>
          <w:color w:val="000000"/>
        </w:rPr>
        <w:t xml:space="preserve"> time as </w:t>
      </w:r>
      <w:proofErr w:type="spellStart"/>
      <w:r w:rsidR="00A241E5" w:rsidRPr="00705170">
        <w:rPr>
          <w:rFonts w:ascii="Times New Roman" w:hAnsi="Times New Roman" w:cs="Times New Roman"/>
          <w:color w:val="000000"/>
        </w:rPr>
        <w:t>the</w:t>
      </w:r>
      <w:proofErr w:type="spellEnd"/>
      <w:r w:rsidR="00A241E5" w:rsidRPr="00705170">
        <w:rPr>
          <w:rFonts w:ascii="Times New Roman" w:hAnsi="Times New Roman" w:cs="Times New Roman"/>
          <w:color w:val="000000"/>
        </w:rPr>
        <w:t xml:space="preserve"> </w:t>
      </w:r>
      <w:proofErr w:type="spellStart"/>
      <w:r w:rsidR="00A241E5" w:rsidRPr="00705170">
        <w:rPr>
          <w:rFonts w:ascii="Times New Roman" w:hAnsi="Times New Roman" w:cs="Times New Roman"/>
          <w:color w:val="000000"/>
        </w:rPr>
        <w:t>court</w:t>
      </w:r>
      <w:proofErr w:type="spellEnd"/>
      <w:r w:rsidR="00A241E5" w:rsidRPr="00705170">
        <w:rPr>
          <w:rFonts w:ascii="Times New Roman" w:hAnsi="Times New Roman" w:cs="Times New Roman"/>
          <w:color w:val="000000"/>
        </w:rPr>
        <w:t xml:space="preserve"> in </w:t>
      </w:r>
      <w:proofErr w:type="spellStart"/>
      <w:r w:rsidR="00A241E5" w:rsidRPr="00705170">
        <w:rPr>
          <w:rFonts w:ascii="Times New Roman" w:hAnsi="Times New Roman" w:cs="Times New Roman"/>
          <w:color w:val="000000"/>
        </w:rPr>
        <w:t>its</w:t>
      </w:r>
      <w:proofErr w:type="spellEnd"/>
      <w:r w:rsidR="00A241E5" w:rsidRPr="00705170">
        <w:rPr>
          <w:rFonts w:ascii="Times New Roman" w:hAnsi="Times New Roman" w:cs="Times New Roman"/>
          <w:color w:val="000000"/>
        </w:rPr>
        <w:t xml:space="preserve"> </w:t>
      </w:r>
      <w:proofErr w:type="spellStart"/>
      <w:r w:rsidR="00A241E5" w:rsidRPr="00705170">
        <w:rPr>
          <w:rFonts w:ascii="Times New Roman" w:hAnsi="Times New Roman" w:cs="Times New Roman"/>
          <w:color w:val="000000"/>
        </w:rPr>
        <w:t>discretion</w:t>
      </w:r>
      <w:proofErr w:type="spellEnd"/>
      <w:r w:rsidR="00A241E5" w:rsidRPr="00705170">
        <w:rPr>
          <w:rFonts w:ascii="Times New Roman" w:hAnsi="Times New Roman" w:cs="Times New Roman"/>
          <w:color w:val="000000"/>
        </w:rPr>
        <w:t xml:space="preserve"> </w:t>
      </w:r>
      <w:proofErr w:type="spellStart"/>
      <w:r w:rsidR="00A241E5" w:rsidRPr="00705170">
        <w:rPr>
          <w:rFonts w:ascii="Times New Roman" w:hAnsi="Times New Roman" w:cs="Times New Roman"/>
          <w:color w:val="000000"/>
        </w:rPr>
        <w:t>may</w:t>
      </w:r>
      <w:proofErr w:type="spellEnd"/>
      <w:r w:rsidR="00A241E5" w:rsidRPr="00705170">
        <w:rPr>
          <w:rFonts w:ascii="Times New Roman" w:hAnsi="Times New Roman" w:cs="Times New Roman"/>
          <w:color w:val="000000"/>
        </w:rPr>
        <w:t xml:space="preserve"> </w:t>
      </w:r>
      <w:proofErr w:type="spellStart"/>
      <w:r w:rsidR="00A241E5" w:rsidRPr="00705170">
        <w:rPr>
          <w:rFonts w:ascii="Times New Roman" w:hAnsi="Times New Roman" w:cs="Times New Roman"/>
          <w:color w:val="000000"/>
        </w:rPr>
        <w:t>allow</w:t>
      </w:r>
      <w:proofErr w:type="spellEnd"/>
      <w:r w:rsidR="003B1479" w:rsidRPr="00705170">
        <w:rPr>
          <w:rStyle w:val="DipnotBavurusu"/>
          <w:rFonts w:ascii="Times New Roman" w:hAnsi="Times New Roman" w:cs="Times New Roman"/>
          <w:color w:val="000000"/>
        </w:rPr>
        <w:footnoteReference w:id="661"/>
      </w:r>
      <w:r w:rsidR="003B1479" w:rsidRPr="00705170">
        <w:rPr>
          <w:rFonts w:ascii="Times New Roman" w:hAnsi="Times New Roman" w:cs="Times New Roman"/>
          <w:color w:val="000000"/>
        </w:rPr>
        <w:t>.</w:t>
      </w:r>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If</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electing</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shareholders</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or</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corporation</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are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unable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to</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agree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with</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petitioner</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upon</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fair</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value</w:t>
      </w:r>
      <w:proofErr w:type="spellEnd"/>
      <w:r w:rsidR="00FF7572" w:rsidRPr="00705170">
        <w:rPr>
          <w:rFonts w:ascii="Times New Roman" w:hAnsi="Times New Roman" w:cs="Times New Roman"/>
          <w:color w:val="000000"/>
        </w:rPr>
        <w:t xml:space="preserve"> of </w:t>
      </w:r>
      <w:proofErr w:type="spellStart"/>
      <w:r w:rsidR="00FF7572" w:rsidRPr="00705170">
        <w:rPr>
          <w:rFonts w:ascii="Times New Roman" w:hAnsi="Times New Roman" w:cs="Times New Roman"/>
          <w:color w:val="000000"/>
        </w:rPr>
        <w:t>such</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shares</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court</w:t>
      </w:r>
      <w:proofErr w:type="spellEnd"/>
      <w:r w:rsidR="00FF7572" w:rsidRPr="00705170">
        <w:rPr>
          <w:rFonts w:ascii="Times New Roman" w:hAnsi="Times New Roman" w:cs="Times New Roman"/>
          <w:color w:val="000000"/>
        </w:rPr>
        <w:t xml:space="preserve"> can </w:t>
      </w:r>
      <w:proofErr w:type="spellStart"/>
      <w:r w:rsidR="00FF7572" w:rsidRPr="00705170">
        <w:rPr>
          <w:rFonts w:ascii="Times New Roman" w:hAnsi="Times New Roman" w:cs="Times New Roman"/>
          <w:color w:val="000000"/>
        </w:rPr>
        <w:t>determine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fair</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value</w:t>
      </w:r>
      <w:proofErr w:type="spellEnd"/>
      <w:r w:rsidR="00FF7572" w:rsidRPr="00705170">
        <w:rPr>
          <w:rFonts w:ascii="Times New Roman" w:hAnsi="Times New Roman" w:cs="Times New Roman"/>
          <w:color w:val="000000"/>
        </w:rPr>
        <w:t xml:space="preserve"> of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shares</w:t>
      </w:r>
      <w:proofErr w:type="spellEnd"/>
      <w:r w:rsidR="00FF7572" w:rsidRPr="00705170">
        <w:rPr>
          <w:rFonts w:ascii="Times New Roman" w:hAnsi="Times New Roman" w:cs="Times New Roman"/>
          <w:color w:val="000000"/>
        </w:rPr>
        <w:t xml:space="preserve"> as of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day</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prior</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to</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date</w:t>
      </w:r>
      <w:proofErr w:type="spellEnd"/>
      <w:r w:rsidR="00FF7572" w:rsidRPr="00705170">
        <w:rPr>
          <w:rFonts w:ascii="Times New Roman" w:hAnsi="Times New Roman" w:cs="Times New Roman"/>
          <w:color w:val="000000"/>
        </w:rPr>
        <w:t xml:space="preserve"> on </w:t>
      </w:r>
      <w:proofErr w:type="spellStart"/>
      <w:r w:rsidR="00FF7572" w:rsidRPr="00705170">
        <w:rPr>
          <w:rFonts w:ascii="Times New Roman" w:hAnsi="Times New Roman" w:cs="Times New Roman"/>
          <w:color w:val="000000"/>
        </w:rPr>
        <w:t>which</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such</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petition</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was</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filed</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and</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may</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award</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interest</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from</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date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petition</w:t>
      </w:r>
      <w:proofErr w:type="spellEnd"/>
      <w:r w:rsidR="00FF7572" w:rsidRPr="00705170">
        <w:rPr>
          <w:rFonts w:ascii="Times New Roman" w:hAnsi="Times New Roman" w:cs="Times New Roman"/>
          <w:color w:val="000000"/>
        </w:rPr>
        <w:t xml:space="preserve"> is </w:t>
      </w:r>
      <w:proofErr w:type="spellStart"/>
      <w:r w:rsidR="00FF7572" w:rsidRPr="00705170">
        <w:rPr>
          <w:rFonts w:ascii="Times New Roman" w:hAnsi="Times New Roman" w:cs="Times New Roman"/>
          <w:color w:val="000000"/>
        </w:rPr>
        <w:t>filed</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to</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date</w:t>
      </w:r>
      <w:proofErr w:type="spellEnd"/>
      <w:r w:rsidR="00FF7572" w:rsidRPr="00705170">
        <w:rPr>
          <w:rFonts w:ascii="Times New Roman" w:hAnsi="Times New Roman" w:cs="Times New Roman"/>
          <w:color w:val="000000"/>
        </w:rPr>
        <w:t xml:space="preserve"> of </w:t>
      </w:r>
      <w:proofErr w:type="spellStart"/>
      <w:r w:rsidR="00FF7572" w:rsidRPr="00705170">
        <w:rPr>
          <w:rFonts w:ascii="Times New Roman" w:hAnsi="Times New Roman" w:cs="Times New Roman"/>
          <w:color w:val="000000"/>
        </w:rPr>
        <w:t>payment</w:t>
      </w:r>
      <w:proofErr w:type="spellEnd"/>
      <w:r w:rsidR="00FF7572" w:rsidRPr="00705170">
        <w:rPr>
          <w:rFonts w:ascii="Times New Roman" w:hAnsi="Times New Roman" w:cs="Times New Roman"/>
          <w:color w:val="000000"/>
        </w:rPr>
        <w:t xml:space="preserve"> fort he </w:t>
      </w:r>
      <w:proofErr w:type="spellStart"/>
      <w:r w:rsidR="00FF7572" w:rsidRPr="00705170">
        <w:rPr>
          <w:rFonts w:ascii="Times New Roman" w:hAnsi="Times New Roman" w:cs="Times New Roman"/>
          <w:color w:val="000000"/>
        </w:rPr>
        <w:t>petitioner’s</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share</w:t>
      </w:r>
      <w:proofErr w:type="spellEnd"/>
      <w:r w:rsidR="00FF7572" w:rsidRPr="00705170">
        <w:rPr>
          <w:rFonts w:ascii="Times New Roman" w:hAnsi="Times New Roman" w:cs="Times New Roman"/>
          <w:color w:val="000000"/>
        </w:rPr>
        <w:t xml:space="preserve"> at an </w:t>
      </w:r>
      <w:proofErr w:type="spellStart"/>
      <w:r w:rsidR="00FF7572" w:rsidRPr="00705170">
        <w:rPr>
          <w:rFonts w:ascii="Times New Roman" w:hAnsi="Times New Roman" w:cs="Times New Roman"/>
          <w:color w:val="000000"/>
        </w:rPr>
        <w:t>equitable</w:t>
      </w:r>
      <w:proofErr w:type="spellEnd"/>
      <w:r w:rsidR="00FF7572" w:rsidRPr="00705170">
        <w:rPr>
          <w:rFonts w:ascii="Times New Roman" w:hAnsi="Times New Roman" w:cs="Times New Roman"/>
          <w:color w:val="000000"/>
        </w:rPr>
        <w:t xml:space="preserve"> rate </w:t>
      </w:r>
      <w:proofErr w:type="spellStart"/>
      <w:r w:rsidR="00FF7572" w:rsidRPr="00705170">
        <w:rPr>
          <w:rFonts w:ascii="Times New Roman" w:hAnsi="Times New Roman" w:cs="Times New Roman"/>
          <w:color w:val="000000"/>
        </w:rPr>
        <w:t>upon</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judicially</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determined</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fair</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value</w:t>
      </w:r>
      <w:proofErr w:type="spellEnd"/>
      <w:r w:rsidR="00FF7572" w:rsidRPr="00705170">
        <w:rPr>
          <w:rFonts w:ascii="Times New Roman" w:hAnsi="Times New Roman" w:cs="Times New Roman"/>
          <w:color w:val="000000"/>
        </w:rPr>
        <w:t xml:space="preserve"> of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shares</w:t>
      </w:r>
      <w:proofErr w:type="spellEnd"/>
      <w:r w:rsidR="00FF7572" w:rsidRPr="00705170">
        <w:rPr>
          <w:rStyle w:val="DipnotBavurusu"/>
          <w:rFonts w:ascii="Times New Roman" w:hAnsi="Times New Roman" w:cs="Times New Roman"/>
          <w:color w:val="000000"/>
        </w:rPr>
        <w:footnoteReference w:id="662"/>
      </w:r>
      <w:r w:rsidR="00FF7572" w:rsidRPr="00705170">
        <w:rPr>
          <w:rFonts w:ascii="Times New Roman" w:hAnsi="Times New Roman" w:cs="Times New Roman"/>
          <w:color w:val="000000"/>
        </w:rPr>
        <w:t>.</w:t>
      </w:r>
      <w:r w:rsidR="00D930C5" w:rsidRPr="00705170">
        <w:rPr>
          <w:rFonts w:ascii="Times New Roman" w:hAnsi="Times New Roman" w:cs="Times New Roman"/>
          <w:color w:val="000000"/>
        </w:rPr>
        <w:t xml:space="preserve"> </w:t>
      </w:r>
      <w:r w:rsidR="00255742" w:rsidRPr="00705170">
        <w:rPr>
          <w:rFonts w:ascii="Times New Roman" w:hAnsi="Times New Roman" w:cs="Times New Roman"/>
          <w:color w:val="000000"/>
        </w:rPr>
        <w:t xml:space="preserve">As </w:t>
      </w:r>
      <w:proofErr w:type="spellStart"/>
      <w:r w:rsidR="00255742" w:rsidRPr="00705170">
        <w:rPr>
          <w:rFonts w:ascii="Times New Roman" w:hAnsi="Times New Roman" w:cs="Times New Roman"/>
          <w:color w:val="000000"/>
        </w:rPr>
        <w:t>noted</w:t>
      </w:r>
      <w:proofErr w:type="spellEnd"/>
      <w:r w:rsidR="00255742" w:rsidRPr="00705170">
        <w:rPr>
          <w:rFonts w:ascii="Times New Roman" w:hAnsi="Times New Roman" w:cs="Times New Roman"/>
          <w:color w:val="000000"/>
        </w:rPr>
        <w:t xml:space="preserve"> </w:t>
      </w:r>
      <w:proofErr w:type="spellStart"/>
      <w:r w:rsidR="00255742" w:rsidRPr="00705170">
        <w:rPr>
          <w:rFonts w:ascii="Times New Roman" w:hAnsi="Times New Roman" w:cs="Times New Roman"/>
          <w:color w:val="000000"/>
        </w:rPr>
        <w:t>by</w:t>
      </w:r>
      <w:proofErr w:type="spellEnd"/>
      <w:r w:rsidR="00255742" w:rsidRPr="00705170">
        <w:rPr>
          <w:rFonts w:ascii="Times New Roman" w:hAnsi="Times New Roman" w:cs="Times New Roman"/>
          <w:color w:val="000000"/>
        </w:rPr>
        <w:t xml:space="preserve"> a New York </w:t>
      </w:r>
      <w:proofErr w:type="spellStart"/>
      <w:r w:rsidR="00255742" w:rsidRPr="00705170">
        <w:rPr>
          <w:rFonts w:ascii="Times New Roman" w:hAnsi="Times New Roman" w:cs="Times New Roman"/>
          <w:color w:val="000000"/>
        </w:rPr>
        <w:t>court</w:t>
      </w:r>
      <w:proofErr w:type="spellEnd"/>
      <w:r w:rsidR="00255742" w:rsidRPr="00705170">
        <w:rPr>
          <w:rFonts w:ascii="Times New Roman" w:hAnsi="Times New Roman" w:cs="Times New Roman"/>
          <w:color w:val="000000"/>
        </w:rPr>
        <w:t xml:space="preserve">, </w:t>
      </w:r>
      <w:proofErr w:type="spellStart"/>
      <w:r w:rsidR="00255742" w:rsidRPr="00705170">
        <w:rPr>
          <w:rFonts w:ascii="Times New Roman" w:hAnsi="Times New Roman" w:cs="Times New Roman"/>
          <w:color w:val="000000"/>
        </w:rPr>
        <w:t>value</w:t>
      </w:r>
      <w:proofErr w:type="spellEnd"/>
      <w:r w:rsidR="00255742" w:rsidRPr="00705170">
        <w:rPr>
          <w:rFonts w:ascii="Times New Roman" w:hAnsi="Times New Roman" w:cs="Times New Roman"/>
          <w:color w:val="000000"/>
        </w:rPr>
        <w:t xml:space="preserve"> “</w:t>
      </w:r>
      <w:proofErr w:type="spellStart"/>
      <w:r w:rsidR="00255742" w:rsidRPr="00705170">
        <w:rPr>
          <w:rFonts w:ascii="Times New Roman" w:hAnsi="Times New Roman" w:cs="Times New Roman"/>
          <w:color w:val="000000"/>
        </w:rPr>
        <w:t>should</w:t>
      </w:r>
      <w:proofErr w:type="spellEnd"/>
      <w:r w:rsidR="00255742" w:rsidRPr="00705170">
        <w:rPr>
          <w:rFonts w:ascii="Times New Roman" w:hAnsi="Times New Roman" w:cs="Times New Roman"/>
          <w:color w:val="000000"/>
        </w:rPr>
        <w:t xml:space="preserve"> be </w:t>
      </w:r>
      <w:proofErr w:type="spellStart"/>
      <w:r w:rsidR="00255742" w:rsidRPr="00705170">
        <w:rPr>
          <w:rFonts w:ascii="Times New Roman" w:hAnsi="Times New Roman" w:cs="Times New Roman"/>
          <w:color w:val="000000"/>
        </w:rPr>
        <w:t>determined</w:t>
      </w:r>
      <w:proofErr w:type="spellEnd"/>
      <w:r w:rsidR="00255742" w:rsidRPr="00705170">
        <w:rPr>
          <w:rFonts w:ascii="Times New Roman" w:hAnsi="Times New Roman" w:cs="Times New Roman"/>
          <w:color w:val="000000"/>
        </w:rPr>
        <w:t xml:space="preserve"> on </w:t>
      </w:r>
      <w:proofErr w:type="spellStart"/>
      <w:r w:rsidR="00255742" w:rsidRPr="00705170">
        <w:rPr>
          <w:rFonts w:ascii="Times New Roman" w:hAnsi="Times New Roman" w:cs="Times New Roman"/>
          <w:color w:val="000000"/>
        </w:rPr>
        <w:t>the</w:t>
      </w:r>
      <w:proofErr w:type="spellEnd"/>
      <w:r w:rsidR="00255742" w:rsidRPr="00705170">
        <w:rPr>
          <w:rFonts w:ascii="Times New Roman" w:hAnsi="Times New Roman" w:cs="Times New Roman"/>
          <w:color w:val="000000"/>
        </w:rPr>
        <w:t xml:space="preserve"> </w:t>
      </w:r>
      <w:proofErr w:type="spellStart"/>
      <w:r w:rsidR="00255742" w:rsidRPr="00705170">
        <w:rPr>
          <w:rFonts w:ascii="Times New Roman" w:hAnsi="Times New Roman" w:cs="Times New Roman"/>
          <w:color w:val="000000"/>
        </w:rPr>
        <w:t>basis</w:t>
      </w:r>
      <w:proofErr w:type="spellEnd"/>
      <w:r w:rsidR="00255742" w:rsidRPr="00705170">
        <w:rPr>
          <w:rFonts w:ascii="Times New Roman" w:hAnsi="Times New Roman" w:cs="Times New Roman"/>
          <w:color w:val="000000"/>
        </w:rPr>
        <w:t xml:space="preserve"> of </w:t>
      </w:r>
      <w:proofErr w:type="spellStart"/>
      <w:r w:rsidR="00255742" w:rsidRPr="00705170">
        <w:rPr>
          <w:rFonts w:ascii="Times New Roman" w:hAnsi="Times New Roman" w:cs="Times New Roman"/>
          <w:color w:val="000000"/>
        </w:rPr>
        <w:t>what</w:t>
      </w:r>
      <w:proofErr w:type="spellEnd"/>
      <w:r w:rsidR="00255742" w:rsidRPr="00705170">
        <w:rPr>
          <w:rFonts w:ascii="Times New Roman" w:hAnsi="Times New Roman" w:cs="Times New Roman"/>
          <w:color w:val="000000"/>
        </w:rPr>
        <w:t xml:space="preserve"> a </w:t>
      </w:r>
      <w:proofErr w:type="spellStart"/>
      <w:r w:rsidR="00255742" w:rsidRPr="00705170">
        <w:rPr>
          <w:rFonts w:ascii="Times New Roman" w:hAnsi="Times New Roman" w:cs="Times New Roman"/>
          <w:color w:val="000000"/>
        </w:rPr>
        <w:t>willing</w:t>
      </w:r>
      <w:proofErr w:type="spellEnd"/>
      <w:r w:rsidR="00255742" w:rsidRPr="00705170">
        <w:rPr>
          <w:rFonts w:ascii="Times New Roman" w:hAnsi="Times New Roman" w:cs="Times New Roman"/>
          <w:color w:val="000000"/>
        </w:rPr>
        <w:t xml:space="preserve"> </w:t>
      </w:r>
      <w:proofErr w:type="spellStart"/>
      <w:r w:rsidR="00255742" w:rsidRPr="00705170">
        <w:rPr>
          <w:rFonts w:ascii="Times New Roman" w:hAnsi="Times New Roman" w:cs="Times New Roman"/>
          <w:color w:val="000000"/>
        </w:rPr>
        <w:t>purchaser</w:t>
      </w:r>
      <w:proofErr w:type="spellEnd"/>
      <w:r w:rsidR="00255742" w:rsidRPr="00705170">
        <w:rPr>
          <w:rFonts w:ascii="Times New Roman" w:hAnsi="Times New Roman" w:cs="Times New Roman"/>
          <w:color w:val="000000"/>
        </w:rPr>
        <w:t xml:space="preserve">, in an </w:t>
      </w:r>
      <w:proofErr w:type="spellStart"/>
      <w:r w:rsidR="00255742" w:rsidRPr="00705170">
        <w:rPr>
          <w:rFonts w:ascii="Times New Roman" w:hAnsi="Times New Roman" w:cs="Times New Roman"/>
          <w:color w:val="000000"/>
        </w:rPr>
        <w:t>arm’s</w:t>
      </w:r>
      <w:proofErr w:type="spellEnd"/>
      <w:r w:rsidR="00255742" w:rsidRPr="00705170">
        <w:rPr>
          <w:rFonts w:ascii="Times New Roman" w:hAnsi="Times New Roman" w:cs="Times New Roman"/>
          <w:color w:val="000000"/>
        </w:rPr>
        <w:t xml:space="preserve"> </w:t>
      </w:r>
      <w:proofErr w:type="spellStart"/>
      <w:r w:rsidR="00255742" w:rsidRPr="00705170">
        <w:rPr>
          <w:rFonts w:ascii="Times New Roman" w:hAnsi="Times New Roman" w:cs="Times New Roman"/>
          <w:color w:val="000000"/>
        </w:rPr>
        <w:t>lenght</w:t>
      </w:r>
      <w:proofErr w:type="spellEnd"/>
      <w:r w:rsidR="00255742" w:rsidRPr="00705170">
        <w:rPr>
          <w:rFonts w:ascii="Times New Roman" w:hAnsi="Times New Roman" w:cs="Times New Roman"/>
          <w:color w:val="000000"/>
        </w:rPr>
        <w:t xml:space="preserve"> </w:t>
      </w:r>
      <w:proofErr w:type="spellStart"/>
      <w:r w:rsidR="00255742" w:rsidRPr="00705170">
        <w:rPr>
          <w:rFonts w:ascii="Times New Roman" w:hAnsi="Times New Roman" w:cs="Times New Roman"/>
          <w:color w:val="000000"/>
        </w:rPr>
        <w:t>transaction</w:t>
      </w:r>
      <w:proofErr w:type="spellEnd"/>
      <w:r w:rsidR="00255742" w:rsidRPr="00705170">
        <w:rPr>
          <w:rFonts w:ascii="Times New Roman" w:hAnsi="Times New Roman" w:cs="Times New Roman"/>
          <w:color w:val="000000"/>
        </w:rPr>
        <w:t xml:space="preserve">, </w:t>
      </w:r>
      <w:proofErr w:type="spellStart"/>
      <w:r w:rsidR="00255742" w:rsidRPr="00705170">
        <w:rPr>
          <w:rFonts w:ascii="Times New Roman" w:hAnsi="Times New Roman" w:cs="Times New Roman"/>
          <w:color w:val="000000"/>
        </w:rPr>
        <w:t>would</w:t>
      </w:r>
      <w:proofErr w:type="spellEnd"/>
      <w:r w:rsidR="00255742" w:rsidRPr="00705170">
        <w:rPr>
          <w:rFonts w:ascii="Times New Roman" w:hAnsi="Times New Roman" w:cs="Times New Roman"/>
          <w:color w:val="000000"/>
        </w:rPr>
        <w:t xml:space="preserve"> </w:t>
      </w:r>
      <w:proofErr w:type="spellStart"/>
      <w:r w:rsidR="00255742" w:rsidRPr="00705170">
        <w:rPr>
          <w:rFonts w:ascii="Times New Roman" w:hAnsi="Times New Roman" w:cs="Times New Roman"/>
          <w:color w:val="000000"/>
        </w:rPr>
        <w:t>offer</w:t>
      </w:r>
      <w:proofErr w:type="spellEnd"/>
      <w:r w:rsidR="00255742" w:rsidRPr="00705170">
        <w:rPr>
          <w:rFonts w:ascii="Times New Roman" w:hAnsi="Times New Roman" w:cs="Times New Roman"/>
          <w:color w:val="000000"/>
        </w:rPr>
        <w:t xml:space="preserve"> </w:t>
      </w:r>
      <w:proofErr w:type="spellStart"/>
      <w:r w:rsidR="00255742" w:rsidRPr="00705170">
        <w:rPr>
          <w:rFonts w:ascii="Times New Roman" w:hAnsi="Times New Roman" w:cs="Times New Roman"/>
          <w:color w:val="000000"/>
        </w:rPr>
        <w:t>for</w:t>
      </w:r>
      <w:proofErr w:type="spellEnd"/>
      <w:r w:rsidR="00255742" w:rsidRPr="00705170">
        <w:rPr>
          <w:rFonts w:ascii="Times New Roman" w:hAnsi="Times New Roman" w:cs="Times New Roman"/>
          <w:color w:val="000000"/>
        </w:rPr>
        <w:t xml:space="preserve"> </w:t>
      </w:r>
      <w:proofErr w:type="spellStart"/>
      <w:r w:rsidR="008E59CE" w:rsidRPr="00705170">
        <w:rPr>
          <w:rFonts w:ascii="Times New Roman" w:hAnsi="Times New Roman" w:cs="Times New Roman"/>
          <w:color w:val="000000"/>
        </w:rPr>
        <w:t>the</w:t>
      </w:r>
      <w:proofErr w:type="spellEnd"/>
      <w:r w:rsidR="008E59CE" w:rsidRPr="00705170">
        <w:rPr>
          <w:rFonts w:ascii="Times New Roman" w:hAnsi="Times New Roman" w:cs="Times New Roman"/>
          <w:color w:val="000000"/>
        </w:rPr>
        <w:t xml:space="preserve"> </w:t>
      </w:r>
      <w:proofErr w:type="spellStart"/>
      <w:r w:rsidR="008E59CE" w:rsidRPr="00705170">
        <w:rPr>
          <w:rFonts w:ascii="Times New Roman" w:hAnsi="Times New Roman" w:cs="Times New Roman"/>
          <w:color w:val="000000"/>
        </w:rPr>
        <w:t>coporation</w:t>
      </w:r>
      <w:proofErr w:type="spellEnd"/>
      <w:r w:rsidR="008E59CE" w:rsidRPr="00705170">
        <w:rPr>
          <w:rFonts w:ascii="Times New Roman" w:hAnsi="Times New Roman" w:cs="Times New Roman"/>
          <w:color w:val="000000"/>
        </w:rPr>
        <w:t xml:space="preserve"> as an </w:t>
      </w:r>
      <w:proofErr w:type="spellStart"/>
      <w:r w:rsidR="008E59CE" w:rsidRPr="00705170">
        <w:rPr>
          <w:rFonts w:ascii="Times New Roman" w:hAnsi="Times New Roman" w:cs="Times New Roman"/>
          <w:color w:val="000000"/>
        </w:rPr>
        <w:t>operating</w:t>
      </w:r>
      <w:proofErr w:type="spellEnd"/>
      <w:r w:rsidR="008E59CE" w:rsidRPr="00705170">
        <w:rPr>
          <w:rFonts w:ascii="Times New Roman" w:hAnsi="Times New Roman" w:cs="Times New Roman"/>
          <w:color w:val="000000"/>
        </w:rPr>
        <w:t xml:space="preserve"> </w:t>
      </w:r>
      <w:proofErr w:type="spellStart"/>
      <w:r w:rsidR="008E59CE" w:rsidRPr="00705170">
        <w:rPr>
          <w:rFonts w:ascii="Times New Roman" w:hAnsi="Times New Roman" w:cs="Times New Roman"/>
          <w:color w:val="000000"/>
        </w:rPr>
        <w:t>b</w:t>
      </w:r>
      <w:r w:rsidR="00255742" w:rsidRPr="00705170">
        <w:rPr>
          <w:rFonts w:ascii="Times New Roman" w:hAnsi="Times New Roman" w:cs="Times New Roman"/>
          <w:color w:val="000000"/>
        </w:rPr>
        <w:t>usiness</w:t>
      </w:r>
      <w:proofErr w:type="spellEnd"/>
      <w:r w:rsidR="00255742" w:rsidRPr="00705170">
        <w:rPr>
          <w:rFonts w:ascii="Times New Roman" w:hAnsi="Times New Roman" w:cs="Times New Roman"/>
          <w:color w:val="000000"/>
        </w:rPr>
        <w:t xml:space="preserve">, </w:t>
      </w:r>
      <w:proofErr w:type="spellStart"/>
      <w:r w:rsidR="00255742" w:rsidRPr="00705170">
        <w:rPr>
          <w:rFonts w:ascii="Times New Roman" w:hAnsi="Times New Roman" w:cs="Times New Roman"/>
          <w:color w:val="000000"/>
        </w:rPr>
        <w:t>rather</w:t>
      </w:r>
      <w:proofErr w:type="spellEnd"/>
      <w:r w:rsidR="00255742" w:rsidRPr="00705170">
        <w:rPr>
          <w:rFonts w:ascii="Times New Roman" w:hAnsi="Times New Roman" w:cs="Times New Roman"/>
          <w:color w:val="000000"/>
        </w:rPr>
        <w:t xml:space="preserve"> </w:t>
      </w:r>
      <w:proofErr w:type="spellStart"/>
      <w:r w:rsidR="00255742" w:rsidRPr="00705170">
        <w:rPr>
          <w:rFonts w:ascii="Times New Roman" w:hAnsi="Times New Roman" w:cs="Times New Roman"/>
          <w:color w:val="000000"/>
        </w:rPr>
        <w:t>than</w:t>
      </w:r>
      <w:proofErr w:type="spellEnd"/>
      <w:r w:rsidR="00255742" w:rsidRPr="00705170">
        <w:rPr>
          <w:rFonts w:ascii="Times New Roman" w:hAnsi="Times New Roman" w:cs="Times New Roman"/>
          <w:color w:val="000000"/>
        </w:rPr>
        <w:t xml:space="preserve"> as a </w:t>
      </w:r>
      <w:proofErr w:type="spellStart"/>
      <w:r w:rsidR="00255742" w:rsidRPr="00705170">
        <w:rPr>
          <w:rFonts w:ascii="Times New Roman" w:hAnsi="Times New Roman" w:cs="Times New Roman"/>
          <w:color w:val="000000"/>
        </w:rPr>
        <w:t>business</w:t>
      </w:r>
      <w:proofErr w:type="spellEnd"/>
      <w:r w:rsidR="00255742" w:rsidRPr="00705170">
        <w:rPr>
          <w:rFonts w:ascii="Times New Roman" w:hAnsi="Times New Roman" w:cs="Times New Roman"/>
          <w:color w:val="000000"/>
        </w:rPr>
        <w:t xml:space="preserve"> in </w:t>
      </w:r>
      <w:proofErr w:type="spellStart"/>
      <w:r w:rsidR="00255742" w:rsidRPr="00705170">
        <w:rPr>
          <w:rFonts w:ascii="Times New Roman" w:hAnsi="Times New Roman" w:cs="Times New Roman"/>
          <w:color w:val="000000"/>
        </w:rPr>
        <w:t>process</w:t>
      </w:r>
      <w:proofErr w:type="spellEnd"/>
      <w:r w:rsidR="00255742" w:rsidRPr="00705170">
        <w:rPr>
          <w:rFonts w:ascii="Times New Roman" w:hAnsi="Times New Roman" w:cs="Times New Roman"/>
          <w:color w:val="000000"/>
        </w:rPr>
        <w:t xml:space="preserve"> of </w:t>
      </w:r>
      <w:proofErr w:type="spellStart"/>
      <w:r w:rsidR="00255742" w:rsidRPr="00705170">
        <w:rPr>
          <w:rFonts w:ascii="Times New Roman" w:hAnsi="Times New Roman" w:cs="Times New Roman"/>
          <w:color w:val="000000"/>
        </w:rPr>
        <w:t>liquidation</w:t>
      </w:r>
      <w:proofErr w:type="spellEnd"/>
      <w:r w:rsidR="00255742" w:rsidRPr="00705170">
        <w:rPr>
          <w:rFonts w:ascii="Times New Roman" w:hAnsi="Times New Roman" w:cs="Times New Roman"/>
          <w:color w:val="000000"/>
        </w:rPr>
        <w:t>”</w:t>
      </w:r>
      <w:r w:rsidR="00255742" w:rsidRPr="00705170">
        <w:rPr>
          <w:rStyle w:val="DipnotBavurusu"/>
          <w:rFonts w:ascii="Times New Roman" w:hAnsi="Times New Roman" w:cs="Times New Roman"/>
          <w:color w:val="000000"/>
        </w:rPr>
        <w:footnoteReference w:id="663"/>
      </w:r>
      <w:r w:rsidR="00255742"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Moreover</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shareholders</w:t>
      </w:r>
      <w:proofErr w:type="spellEnd"/>
      <w:r w:rsidR="00D930C5" w:rsidRPr="00705170">
        <w:rPr>
          <w:rFonts w:ascii="Times New Roman" w:hAnsi="Times New Roman" w:cs="Times New Roman"/>
          <w:color w:val="000000"/>
        </w:rPr>
        <w:t xml:space="preserve"> can </w:t>
      </w:r>
      <w:proofErr w:type="spellStart"/>
      <w:r w:rsidR="00D930C5" w:rsidRPr="00705170">
        <w:rPr>
          <w:rFonts w:ascii="Times New Roman" w:hAnsi="Times New Roman" w:cs="Times New Roman"/>
          <w:color w:val="000000"/>
        </w:rPr>
        <w:t>also</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explicitly</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agree</w:t>
      </w:r>
      <w:proofErr w:type="spellEnd"/>
      <w:r w:rsidR="00D930C5" w:rsidRPr="00705170">
        <w:rPr>
          <w:rFonts w:ascii="Times New Roman" w:hAnsi="Times New Roman" w:cs="Times New Roman"/>
          <w:color w:val="000000"/>
        </w:rPr>
        <w:t xml:space="preserve"> in </w:t>
      </w:r>
      <w:proofErr w:type="spellStart"/>
      <w:r w:rsidR="00D930C5" w:rsidRPr="00705170">
        <w:rPr>
          <w:rFonts w:ascii="Times New Roman" w:hAnsi="Times New Roman" w:cs="Times New Roman"/>
          <w:color w:val="000000"/>
        </w:rPr>
        <w:t>advance</w:t>
      </w:r>
      <w:proofErr w:type="spellEnd"/>
      <w:r w:rsidR="00D930C5" w:rsidRPr="00705170">
        <w:rPr>
          <w:rFonts w:ascii="Times New Roman" w:hAnsi="Times New Roman" w:cs="Times New Roman"/>
          <w:color w:val="000000"/>
        </w:rPr>
        <w:t xml:space="preserve"> in a </w:t>
      </w:r>
      <w:proofErr w:type="spellStart"/>
      <w:r w:rsidR="00D930C5" w:rsidRPr="00705170">
        <w:rPr>
          <w:rFonts w:ascii="Times New Roman" w:hAnsi="Times New Roman" w:cs="Times New Roman"/>
          <w:color w:val="000000"/>
        </w:rPr>
        <w:t>shareholders</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agreement</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that</w:t>
      </w:r>
      <w:proofErr w:type="spellEnd"/>
      <w:r w:rsidR="00D930C5" w:rsidRPr="00705170">
        <w:rPr>
          <w:rFonts w:ascii="Times New Roman" w:hAnsi="Times New Roman" w:cs="Times New Roman"/>
          <w:color w:val="000000"/>
        </w:rPr>
        <w:t xml:space="preserve"> “an 1104-a </w:t>
      </w:r>
      <w:proofErr w:type="spellStart"/>
      <w:r w:rsidR="00D930C5" w:rsidRPr="00705170">
        <w:rPr>
          <w:rFonts w:ascii="Times New Roman" w:hAnsi="Times New Roman" w:cs="Times New Roman"/>
          <w:color w:val="000000"/>
        </w:rPr>
        <w:t>dissolution</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proceeding</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will</w:t>
      </w:r>
      <w:proofErr w:type="spellEnd"/>
      <w:r w:rsidR="00D930C5" w:rsidRPr="00705170">
        <w:rPr>
          <w:rFonts w:ascii="Times New Roman" w:hAnsi="Times New Roman" w:cs="Times New Roman"/>
          <w:color w:val="000000"/>
        </w:rPr>
        <w:t xml:space="preserve"> be </w:t>
      </w:r>
      <w:proofErr w:type="spellStart"/>
      <w:r w:rsidR="00D930C5" w:rsidRPr="00705170">
        <w:rPr>
          <w:rFonts w:ascii="Times New Roman" w:hAnsi="Times New Roman" w:cs="Times New Roman"/>
          <w:color w:val="000000"/>
        </w:rPr>
        <w:t>deemed</w:t>
      </w:r>
      <w:proofErr w:type="spellEnd"/>
      <w:r w:rsidR="00D930C5" w:rsidRPr="00705170">
        <w:rPr>
          <w:rFonts w:ascii="Times New Roman" w:hAnsi="Times New Roman" w:cs="Times New Roman"/>
          <w:color w:val="000000"/>
        </w:rPr>
        <w:t xml:space="preserve"> a </w:t>
      </w:r>
      <w:proofErr w:type="spellStart"/>
      <w:r w:rsidR="00D930C5" w:rsidRPr="00705170">
        <w:rPr>
          <w:rFonts w:ascii="Times New Roman" w:hAnsi="Times New Roman" w:cs="Times New Roman"/>
          <w:color w:val="000000"/>
        </w:rPr>
        <w:t>voluntary</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offer</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to</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sell</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or</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fix</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fair</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value</w:t>
      </w:r>
      <w:proofErr w:type="spellEnd"/>
      <w:r w:rsidR="00D930C5" w:rsidRPr="00705170">
        <w:rPr>
          <w:rFonts w:ascii="Times New Roman" w:hAnsi="Times New Roman" w:cs="Times New Roman"/>
          <w:color w:val="000000"/>
        </w:rPr>
        <w:t xml:space="preserve">” in </w:t>
      </w:r>
      <w:proofErr w:type="spellStart"/>
      <w:r w:rsidR="00D930C5" w:rsidRPr="00705170">
        <w:rPr>
          <w:rFonts w:ascii="Times New Roman" w:hAnsi="Times New Roman" w:cs="Times New Roman"/>
          <w:color w:val="000000"/>
        </w:rPr>
        <w:t>the</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event</w:t>
      </w:r>
      <w:proofErr w:type="spellEnd"/>
      <w:r w:rsidR="00D930C5" w:rsidRPr="00705170">
        <w:rPr>
          <w:rFonts w:ascii="Times New Roman" w:hAnsi="Times New Roman" w:cs="Times New Roman"/>
          <w:color w:val="000000"/>
        </w:rPr>
        <w:t xml:space="preserve"> of </w:t>
      </w:r>
      <w:proofErr w:type="spellStart"/>
      <w:r w:rsidR="00D930C5" w:rsidRPr="00705170">
        <w:rPr>
          <w:rFonts w:ascii="Times New Roman" w:hAnsi="Times New Roman" w:cs="Times New Roman"/>
          <w:color w:val="000000"/>
        </w:rPr>
        <w:t>judicial</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dissolution</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and</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that</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their</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agreement</w:t>
      </w:r>
      <w:proofErr w:type="spellEnd"/>
      <w:r w:rsidR="00D930C5" w:rsidRPr="00705170">
        <w:rPr>
          <w:rFonts w:ascii="Times New Roman" w:hAnsi="Times New Roman" w:cs="Times New Roman"/>
          <w:color w:val="000000"/>
        </w:rPr>
        <w:t xml:space="preserve"> </w:t>
      </w:r>
      <w:proofErr w:type="spellStart"/>
      <w:r w:rsidR="00D930C5" w:rsidRPr="00705170">
        <w:rPr>
          <w:rFonts w:ascii="Times New Roman" w:hAnsi="Times New Roman" w:cs="Times New Roman"/>
          <w:color w:val="000000"/>
        </w:rPr>
        <w:t>would</w:t>
      </w:r>
      <w:proofErr w:type="spellEnd"/>
      <w:r w:rsidR="00D930C5" w:rsidRPr="00705170">
        <w:rPr>
          <w:rFonts w:ascii="Times New Roman" w:hAnsi="Times New Roman" w:cs="Times New Roman"/>
          <w:color w:val="000000"/>
        </w:rPr>
        <w:t xml:space="preserve"> be </w:t>
      </w:r>
      <w:proofErr w:type="spellStart"/>
      <w:r w:rsidR="00D930C5" w:rsidRPr="00705170">
        <w:rPr>
          <w:rFonts w:ascii="Times New Roman" w:hAnsi="Times New Roman" w:cs="Times New Roman"/>
          <w:color w:val="000000"/>
        </w:rPr>
        <w:t>enforced</w:t>
      </w:r>
      <w:proofErr w:type="spellEnd"/>
      <w:r w:rsidR="00D930C5" w:rsidRPr="00705170">
        <w:rPr>
          <w:rFonts w:ascii="Times New Roman" w:hAnsi="Times New Roman" w:cs="Times New Roman"/>
          <w:color w:val="000000"/>
        </w:rPr>
        <w:t>”</w:t>
      </w:r>
      <w:r w:rsidR="00D930C5" w:rsidRPr="00705170">
        <w:rPr>
          <w:rStyle w:val="DipnotBavurusu"/>
          <w:rFonts w:ascii="Times New Roman" w:hAnsi="Times New Roman" w:cs="Times New Roman"/>
          <w:color w:val="000000"/>
        </w:rPr>
        <w:footnoteReference w:id="664"/>
      </w:r>
      <w:r w:rsidR="00D930C5" w:rsidRPr="00705170">
        <w:rPr>
          <w:rFonts w:ascii="Times New Roman" w:hAnsi="Times New Roman" w:cs="Times New Roman"/>
          <w:color w:val="000000"/>
        </w:rPr>
        <w:t xml:space="preserve">. </w:t>
      </w:r>
    </w:p>
    <w:p w14:paraId="0BB1C8A2" w14:textId="573AE769" w:rsidR="0044524B" w:rsidRPr="00705170" w:rsidRDefault="0099153E" w:rsidP="0099153E">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color w:val="000000"/>
        </w:rPr>
        <w:lastRenderedPageBreak/>
        <w:t>While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w:t>
      </w:r>
      <w:r w:rsidR="00FF7572" w:rsidRPr="00705170">
        <w:rPr>
          <w:rFonts w:ascii="Times New Roman" w:hAnsi="Times New Roman" w:cs="Times New Roman"/>
          <w:color w:val="000000"/>
        </w:rPr>
        <w:t>his</w:t>
      </w:r>
      <w:proofErr w:type="spellEnd"/>
      <w:r w:rsidR="00FF7572" w:rsidRPr="00705170">
        <w:rPr>
          <w:rFonts w:ascii="Times New Roman" w:hAnsi="Times New Roman" w:cs="Times New Roman"/>
          <w:color w:val="000000"/>
        </w:rPr>
        <w:t xml:space="preserve"> “buy- </w:t>
      </w:r>
      <w:proofErr w:type="spellStart"/>
      <w:r w:rsidR="00FF7572" w:rsidRPr="00705170">
        <w:rPr>
          <w:rFonts w:ascii="Times New Roman" w:hAnsi="Times New Roman" w:cs="Times New Roman"/>
          <w:color w:val="000000"/>
        </w:rPr>
        <w:t>out</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alternative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to</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dissolution</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provides</w:t>
      </w:r>
      <w:proofErr w:type="spellEnd"/>
      <w:r w:rsidR="00FF7572" w:rsidRPr="00705170">
        <w:rPr>
          <w:rFonts w:ascii="Times New Roman" w:hAnsi="Times New Roman" w:cs="Times New Roman"/>
          <w:color w:val="000000"/>
        </w:rPr>
        <w:t xml:space="preserve"> a </w:t>
      </w:r>
      <w:proofErr w:type="spellStart"/>
      <w:r w:rsidR="00FF7572" w:rsidRPr="00705170">
        <w:rPr>
          <w:rFonts w:ascii="Times New Roman" w:hAnsi="Times New Roman" w:cs="Times New Roman"/>
          <w:color w:val="000000"/>
        </w:rPr>
        <w:t>mechanism</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analogous</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to</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the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appraisal</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remedy</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given</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to</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shareholders</w:t>
      </w:r>
      <w:proofErr w:type="spellEnd"/>
      <w:r w:rsidR="00FF7572" w:rsidRPr="00705170">
        <w:rPr>
          <w:rFonts w:ascii="Times New Roman" w:hAnsi="Times New Roman" w:cs="Times New Roman"/>
          <w:color w:val="000000"/>
        </w:rPr>
        <w:t xml:space="preserve"> in </w:t>
      </w:r>
      <w:proofErr w:type="spellStart"/>
      <w:r w:rsidR="00FF7572" w:rsidRPr="00705170">
        <w:rPr>
          <w:rFonts w:ascii="Times New Roman" w:hAnsi="Times New Roman" w:cs="Times New Roman"/>
          <w:color w:val="000000"/>
        </w:rPr>
        <w:t>certain</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cases</w:t>
      </w:r>
      <w:proofErr w:type="spellEnd"/>
      <w:r w:rsidR="00FF7572" w:rsidRPr="00705170">
        <w:rPr>
          <w:rFonts w:ascii="Times New Roman" w:hAnsi="Times New Roman" w:cs="Times New Roman"/>
          <w:color w:val="000000"/>
        </w:rPr>
        <w:t xml:space="preserve"> of </w:t>
      </w:r>
      <w:proofErr w:type="spellStart"/>
      <w:r w:rsidR="00FF7572" w:rsidRPr="00705170">
        <w:rPr>
          <w:rFonts w:ascii="Times New Roman" w:hAnsi="Times New Roman" w:cs="Times New Roman"/>
          <w:color w:val="000000"/>
        </w:rPr>
        <w:t>fundamental</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corporate</w:t>
      </w:r>
      <w:proofErr w:type="spellEnd"/>
      <w:r w:rsidR="00FF7572" w:rsidRPr="00705170">
        <w:rPr>
          <w:rFonts w:ascii="Times New Roman" w:hAnsi="Times New Roman" w:cs="Times New Roman"/>
          <w:color w:val="000000"/>
        </w:rPr>
        <w:t xml:space="preserve"> </w:t>
      </w:r>
      <w:proofErr w:type="spellStart"/>
      <w:r w:rsidR="00FF7572" w:rsidRPr="00705170">
        <w:rPr>
          <w:rFonts w:ascii="Times New Roman" w:hAnsi="Times New Roman" w:cs="Times New Roman"/>
          <w:color w:val="000000"/>
        </w:rPr>
        <w:t>changes</w:t>
      </w:r>
      <w:proofErr w:type="spellEnd"/>
      <w:r w:rsidR="00FF7572" w:rsidRPr="00705170">
        <w:rPr>
          <w:rStyle w:val="DipnotBavurusu"/>
          <w:rFonts w:ascii="Times New Roman" w:hAnsi="Times New Roman" w:cs="Times New Roman"/>
          <w:color w:val="000000"/>
        </w:rPr>
        <w:footnoteReference w:id="665"/>
      </w:r>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some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concerns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about</w:t>
      </w:r>
      <w:proofErr w:type="spellEnd"/>
      <w:r w:rsidRPr="00705170">
        <w:rPr>
          <w:rFonts w:ascii="Times New Roman" w:hAnsi="Times New Roman" w:cs="Times New Roman"/>
          <w:color w:val="000000"/>
        </w:rPr>
        <w:t xml:space="preserve"> it.</w:t>
      </w:r>
      <w:r w:rsidRPr="00705170">
        <w:rPr>
          <w:rFonts w:ascii="Times New Roman" w:hAnsi="Times New Roman" w:cs="Times New Roman"/>
        </w:rPr>
        <w:t xml:space="preserve"> </w:t>
      </w:r>
      <w:proofErr w:type="spellStart"/>
      <w:r w:rsidR="00E56F65" w:rsidRPr="00705170">
        <w:rPr>
          <w:rFonts w:ascii="Times New Roman" w:hAnsi="Times New Roman" w:cs="Times New Roman"/>
        </w:rPr>
        <w:t>Some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commentators</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state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that</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the</w:t>
      </w:r>
      <w:proofErr w:type="spellEnd"/>
      <w:r w:rsidR="00E56F65" w:rsidRPr="00705170">
        <w:rPr>
          <w:rFonts w:ascii="Times New Roman" w:hAnsi="Times New Roman" w:cs="Times New Roman"/>
        </w:rPr>
        <w:t xml:space="preserve"> “buy- </w:t>
      </w:r>
      <w:proofErr w:type="spellStart"/>
      <w:r w:rsidR="00E56F65" w:rsidRPr="00705170">
        <w:rPr>
          <w:rFonts w:ascii="Times New Roman" w:hAnsi="Times New Roman" w:cs="Times New Roman"/>
        </w:rPr>
        <w:t>out</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alternative</w:t>
      </w:r>
      <w:proofErr w:type="spellEnd"/>
      <w:r w:rsidR="00E56F65" w:rsidRPr="00705170">
        <w:rPr>
          <w:rFonts w:ascii="Times New Roman" w:hAnsi="Times New Roman" w:cs="Times New Roman"/>
        </w:rPr>
        <w:t xml:space="preserve"> has </w:t>
      </w:r>
      <w:proofErr w:type="spellStart"/>
      <w:r w:rsidR="00E56F65" w:rsidRPr="00705170">
        <w:rPr>
          <w:rFonts w:ascii="Times New Roman" w:hAnsi="Times New Roman" w:cs="Times New Roman"/>
        </w:rPr>
        <w:t>nullified</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the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effects</w:t>
      </w:r>
      <w:proofErr w:type="spellEnd"/>
      <w:r w:rsidR="00E56F65" w:rsidRPr="00705170">
        <w:rPr>
          <w:rFonts w:ascii="Times New Roman" w:hAnsi="Times New Roman" w:cs="Times New Roman"/>
        </w:rPr>
        <w:t xml:space="preserve"> of </w:t>
      </w:r>
      <w:proofErr w:type="spellStart"/>
      <w:r w:rsidR="00E56F65" w:rsidRPr="00705170">
        <w:rPr>
          <w:rFonts w:ascii="Times New Roman" w:hAnsi="Times New Roman" w:cs="Times New Roman"/>
        </w:rPr>
        <w:t>sec</w:t>
      </w:r>
      <w:proofErr w:type="spellEnd"/>
      <w:r w:rsidR="00E56F65" w:rsidRPr="00705170">
        <w:rPr>
          <w:rFonts w:ascii="Times New Roman" w:hAnsi="Times New Roman" w:cs="Times New Roman"/>
        </w:rPr>
        <w:t xml:space="preserve">. 1104-a </w:t>
      </w:r>
      <w:proofErr w:type="spellStart"/>
      <w:r w:rsidR="00E56F65" w:rsidRPr="00705170">
        <w:rPr>
          <w:rFonts w:ascii="Times New Roman" w:hAnsi="Times New Roman" w:cs="Times New Roman"/>
        </w:rPr>
        <w:t>and</w:t>
      </w:r>
      <w:proofErr w:type="spellEnd"/>
      <w:r w:rsidR="00E56F65" w:rsidRPr="00705170">
        <w:rPr>
          <w:rFonts w:ascii="Times New Roman" w:hAnsi="Times New Roman" w:cs="Times New Roman"/>
        </w:rPr>
        <w:t xml:space="preserve"> an </w:t>
      </w:r>
      <w:proofErr w:type="spellStart"/>
      <w:r w:rsidR="00E56F65" w:rsidRPr="00705170">
        <w:rPr>
          <w:rFonts w:ascii="Times New Roman" w:hAnsi="Times New Roman" w:cs="Times New Roman"/>
        </w:rPr>
        <w:t>oppressed</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shareholder</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who</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seeks</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remedy</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other</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than</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appraisal</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will</w:t>
      </w:r>
      <w:proofErr w:type="spellEnd"/>
      <w:r w:rsidR="00E56F65" w:rsidRPr="00705170">
        <w:rPr>
          <w:rFonts w:ascii="Times New Roman" w:hAnsi="Times New Roman" w:cs="Times New Roman"/>
        </w:rPr>
        <w:t xml:space="preserve"> not </w:t>
      </w:r>
      <w:proofErr w:type="spellStart"/>
      <w:r w:rsidR="00E56F65" w:rsidRPr="00705170">
        <w:rPr>
          <w:rFonts w:ascii="Times New Roman" w:hAnsi="Times New Roman" w:cs="Times New Roman"/>
        </w:rPr>
        <w:t>petition</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for</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dissolution</w:t>
      </w:r>
      <w:proofErr w:type="spellEnd"/>
      <w:r w:rsidR="00E56F65" w:rsidRPr="00705170">
        <w:rPr>
          <w:rStyle w:val="DipnotBavurusu"/>
          <w:rFonts w:ascii="Times New Roman" w:hAnsi="Times New Roman" w:cs="Times New Roman"/>
        </w:rPr>
        <w:footnoteReference w:id="666"/>
      </w:r>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This</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opinion</w:t>
      </w:r>
      <w:proofErr w:type="spellEnd"/>
      <w:r w:rsidR="00E56F65" w:rsidRPr="00705170">
        <w:rPr>
          <w:rFonts w:ascii="Times New Roman" w:hAnsi="Times New Roman" w:cs="Times New Roman"/>
        </w:rPr>
        <w:t xml:space="preserve"> is </w:t>
      </w:r>
      <w:proofErr w:type="spellStart"/>
      <w:r w:rsidR="00E56F65" w:rsidRPr="00705170">
        <w:rPr>
          <w:rFonts w:ascii="Times New Roman" w:hAnsi="Times New Roman" w:cs="Times New Roman"/>
        </w:rPr>
        <w:t>seems</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reasonable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If</w:t>
      </w:r>
      <w:proofErr w:type="spellEnd"/>
      <w:r w:rsidR="00E56F65" w:rsidRPr="00705170">
        <w:rPr>
          <w:rFonts w:ascii="Times New Roman" w:hAnsi="Times New Roman" w:cs="Times New Roman"/>
        </w:rPr>
        <w:t xml:space="preserve"> a </w:t>
      </w:r>
      <w:proofErr w:type="spellStart"/>
      <w:r w:rsidR="00E56F65" w:rsidRPr="00705170">
        <w:rPr>
          <w:rFonts w:ascii="Times New Roman" w:hAnsi="Times New Roman" w:cs="Times New Roman"/>
        </w:rPr>
        <w:t>complaining</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shareholder</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does</w:t>
      </w:r>
      <w:proofErr w:type="spellEnd"/>
      <w:r w:rsidR="00E56F65" w:rsidRPr="00705170">
        <w:rPr>
          <w:rFonts w:ascii="Times New Roman" w:hAnsi="Times New Roman" w:cs="Times New Roman"/>
        </w:rPr>
        <w:t xml:space="preserve"> not </w:t>
      </w:r>
      <w:proofErr w:type="spellStart"/>
      <w:r w:rsidR="00E56F65" w:rsidRPr="00705170">
        <w:rPr>
          <w:rFonts w:ascii="Times New Roman" w:hAnsi="Times New Roman" w:cs="Times New Roman"/>
        </w:rPr>
        <w:t>want</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to</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withdraw</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from</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the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corporation</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by</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recovering</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the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value</w:t>
      </w:r>
      <w:proofErr w:type="spellEnd"/>
      <w:r w:rsidR="00E56F65" w:rsidRPr="00705170">
        <w:rPr>
          <w:rFonts w:ascii="Times New Roman" w:hAnsi="Times New Roman" w:cs="Times New Roman"/>
        </w:rPr>
        <w:t xml:space="preserve"> of his </w:t>
      </w:r>
      <w:proofErr w:type="spellStart"/>
      <w:r w:rsidR="00E56F65" w:rsidRPr="00705170">
        <w:rPr>
          <w:rFonts w:ascii="Times New Roman" w:hAnsi="Times New Roman" w:cs="Times New Roman"/>
        </w:rPr>
        <w:t>investment</w:t>
      </w:r>
      <w:proofErr w:type="spellEnd"/>
      <w:r w:rsidR="00E56F65" w:rsidRPr="00705170">
        <w:rPr>
          <w:rFonts w:ascii="Times New Roman" w:hAnsi="Times New Roman" w:cs="Times New Roman"/>
        </w:rPr>
        <w:t xml:space="preserve"> but </w:t>
      </w:r>
      <w:proofErr w:type="spellStart"/>
      <w:r w:rsidR="00E56F65" w:rsidRPr="00705170">
        <w:rPr>
          <w:rFonts w:ascii="Times New Roman" w:hAnsi="Times New Roman" w:cs="Times New Roman"/>
        </w:rPr>
        <w:t>wants</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to</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induce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those</w:t>
      </w:r>
      <w:proofErr w:type="spellEnd"/>
      <w:r w:rsidR="00E56F65" w:rsidRPr="00705170">
        <w:rPr>
          <w:rFonts w:ascii="Times New Roman" w:hAnsi="Times New Roman" w:cs="Times New Roman"/>
        </w:rPr>
        <w:t xml:space="preserve"> in </w:t>
      </w:r>
      <w:proofErr w:type="spellStart"/>
      <w:r w:rsidR="00E56F65" w:rsidRPr="00705170">
        <w:rPr>
          <w:rFonts w:ascii="Times New Roman" w:hAnsi="Times New Roman" w:cs="Times New Roman"/>
        </w:rPr>
        <w:t>control</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to</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agree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to</w:t>
      </w:r>
      <w:proofErr w:type="spellEnd"/>
      <w:r w:rsidR="00E56F65" w:rsidRPr="00705170">
        <w:rPr>
          <w:rFonts w:ascii="Times New Roman" w:hAnsi="Times New Roman" w:cs="Times New Roman"/>
        </w:rPr>
        <w:t xml:space="preserve"> a </w:t>
      </w:r>
      <w:proofErr w:type="spellStart"/>
      <w:r w:rsidR="00E56F65" w:rsidRPr="00705170">
        <w:rPr>
          <w:rFonts w:ascii="Times New Roman" w:hAnsi="Times New Roman" w:cs="Times New Roman"/>
        </w:rPr>
        <w:t>change</w:t>
      </w:r>
      <w:proofErr w:type="spellEnd"/>
      <w:r w:rsidR="00E56F65" w:rsidRPr="00705170">
        <w:rPr>
          <w:rFonts w:ascii="Times New Roman" w:hAnsi="Times New Roman" w:cs="Times New Roman"/>
        </w:rPr>
        <w:t xml:space="preserve"> in </w:t>
      </w:r>
      <w:proofErr w:type="spellStart"/>
      <w:r w:rsidR="00E56F65" w:rsidRPr="00705170">
        <w:rPr>
          <w:rFonts w:ascii="Times New Roman" w:hAnsi="Times New Roman" w:cs="Times New Roman"/>
        </w:rPr>
        <w:t>corporate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policies</w:t>
      </w:r>
      <w:proofErr w:type="spellEnd"/>
      <w:r w:rsidR="00E56F65" w:rsidRPr="00705170">
        <w:rPr>
          <w:rFonts w:ascii="Times New Roman" w:hAnsi="Times New Roman" w:cs="Times New Roman"/>
        </w:rPr>
        <w:t xml:space="preserve">, he </w:t>
      </w:r>
      <w:proofErr w:type="spellStart"/>
      <w:r w:rsidR="00E56F65" w:rsidRPr="00705170">
        <w:rPr>
          <w:rFonts w:ascii="Times New Roman" w:hAnsi="Times New Roman" w:cs="Times New Roman"/>
        </w:rPr>
        <w:t>will</w:t>
      </w:r>
      <w:proofErr w:type="spellEnd"/>
      <w:r w:rsidR="00E56F65" w:rsidRPr="00705170">
        <w:rPr>
          <w:rFonts w:ascii="Times New Roman" w:hAnsi="Times New Roman" w:cs="Times New Roman"/>
        </w:rPr>
        <w:t xml:space="preserve"> not be </w:t>
      </w:r>
      <w:proofErr w:type="spellStart"/>
      <w:r w:rsidR="00E56F65" w:rsidRPr="00705170">
        <w:rPr>
          <w:rFonts w:ascii="Times New Roman" w:hAnsi="Times New Roman" w:cs="Times New Roman"/>
        </w:rPr>
        <w:t>able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to</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use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this</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provision</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because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the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nonpetitioning</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shareholders</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or</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corporation</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whose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aim</w:t>
      </w:r>
      <w:proofErr w:type="spellEnd"/>
      <w:r w:rsidR="00E56F65" w:rsidRPr="00705170">
        <w:rPr>
          <w:rFonts w:ascii="Times New Roman" w:hAnsi="Times New Roman" w:cs="Times New Roman"/>
        </w:rPr>
        <w:t xml:space="preserve"> is </w:t>
      </w:r>
      <w:proofErr w:type="spellStart"/>
      <w:r w:rsidR="00E56F65" w:rsidRPr="00705170">
        <w:rPr>
          <w:rFonts w:ascii="Times New Roman" w:hAnsi="Times New Roman" w:cs="Times New Roman"/>
        </w:rPr>
        <w:t>to</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squeeze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out</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the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petitioner</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will</w:t>
      </w:r>
      <w:proofErr w:type="spellEnd"/>
      <w:r w:rsidR="00E56F65" w:rsidRPr="00705170">
        <w:rPr>
          <w:rFonts w:ascii="Times New Roman" w:hAnsi="Times New Roman" w:cs="Times New Roman"/>
        </w:rPr>
        <w:t xml:space="preserve"> be </w:t>
      </w:r>
      <w:proofErr w:type="spellStart"/>
      <w:r w:rsidR="00E56F65" w:rsidRPr="00705170">
        <w:rPr>
          <w:rFonts w:ascii="Times New Roman" w:hAnsi="Times New Roman" w:cs="Times New Roman"/>
        </w:rPr>
        <w:t>more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than</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happy</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to</w:t>
      </w:r>
      <w:proofErr w:type="spellEnd"/>
      <w:r w:rsidR="00E56F65" w:rsidRPr="00705170">
        <w:rPr>
          <w:rFonts w:ascii="Times New Roman" w:hAnsi="Times New Roman" w:cs="Times New Roman"/>
        </w:rPr>
        <w:t xml:space="preserve"> buy- </w:t>
      </w:r>
      <w:proofErr w:type="spellStart"/>
      <w:r w:rsidR="00E56F65" w:rsidRPr="00705170">
        <w:rPr>
          <w:rFonts w:ascii="Times New Roman" w:hAnsi="Times New Roman" w:cs="Times New Roman"/>
        </w:rPr>
        <w:t>out</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the</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complaining</w:t>
      </w:r>
      <w:proofErr w:type="spellEnd"/>
      <w:r w:rsidR="00E56F65" w:rsidRPr="00705170">
        <w:rPr>
          <w:rFonts w:ascii="Times New Roman" w:hAnsi="Times New Roman" w:cs="Times New Roman"/>
        </w:rPr>
        <w:t xml:space="preserve"> </w:t>
      </w:r>
      <w:proofErr w:type="spellStart"/>
      <w:r w:rsidR="00E56F65" w:rsidRPr="00705170">
        <w:rPr>
          <w:rFonts w:ascii="Times New Roman" w:hAnsi="Times New Roman" w:cs="Times New Roman"/>
        </w:rPr>
        <w:t>shareholder</w:t>
      </w:r>
      <w:proofErr w:type="spellEnd"/>
      <w:r w:rsidR="00E56F65" w:rsidRPr="00705170">
        <w:rPr>
          <w:rFonts w:ascii="Times New Roman" w:hAnsi="Times New Roman" w:cs="Times New Roman"/>
        </w:rPr>
        <w:t>.</w:t>
      </w:r>
      <w:r w:rsidR="0044524B" w:rsidRPr="00705170">
        <w:rPr>
          <w:rFonts w:ascii="Times New Roman" w:hAnsi="Times New Roman" w:cs="Times New Roman"/>
        </w:rPr>
        <w:t xml:space="preserve"> </w:t>
      </w:r>
      <w:proofErr w:type="spellStart"/>
      <w:r w:rsidR="0044524B" w:rsidRPr="00705170">
        <w:rPr>
          <w:rFonts w:ascii="Times New Roman" w:hAnsi="Times New Roman" w:cs="Times New Roman"/>
        </w:rPr>
        <w:t>In</w:t>
      </w:r>
      <w:proofErr w:type="spellEnd"/>
      <w:r w:rsidR="0044524B" w:rsidRPr="00705170">
        <w:rPr>
          <w:rFonts w:ascii="Times New Roman" w:hAnsi="Times New Roman" w:cs="Times New Roman"/>
        </w:rPr>
        <w:t xml:space="preserve"> </w:t>
      </w:r>
      <w:proofErr w:type="spellStart"/>
      <w:r w:rsidR="0044524B" w:rsidRPr="00705170">
        <w:rPr>
          <w:rFonts w:ascii="Times New Roman" w:hAnsi="Times New Roman" w:cs="Times New Roman"/>
        </w:rPr>
        <w:t>this</w:t>
      </w:r>
      <w:proofErr w:type="spellEnd"/>
      <w:r w:rsidR="0044524B" w:rsidRPr="00705170">
        <w:rPr>
          <w:rFonts w:ascii="Times New Roman" w:hAnsi="Times New Roman" w:cs="Times New Roman"/>
        </w:rPr>
        <w:t xml:space="preserve"> </w:t>
      </w:r>
      <w:proofErr w:type="spellStart"/>
      <w:r w:rsidR="0044524B" w:rsidRPr="00705170">
        <w:rPr>
          <w:rFonts w:ascii="Times New Roman" w:hAnsi="Times New Roman" w:cs="Times New Roman"/>
        </w:rPr>
        <w:t>regards</w:t>
      </w:r>
      <w:proofErr w:type="spellEnd"/>
      <w:r w:rsidR="0044524B" w:rsidRPr="00705170">
        <w:rPr>
          <w:rFonts w:ascii="Times New Roman" w:hAnsi="Times New Roman" w:cs="Times New Roman"/>
        </w:rPr>
        <w:t xml:space="preserve">, a </w:t>
      </w:r>
      <w:proofErr w:type="spellStart"/>
      <w:r w:rsidR="0044524B" w:rsidRPr="00705170">
        <w:rPr>
          <w:rFonts w:ascii="Times New Roman" w:hAnsi="Times New Roman" w:cs="Times New Roman"/>
        </w:rPr>
        <w:t>respected</w:t>
      </w:r>
      <w:proofErr w:type="spellEnd"/>
      <w:r w:rsidR="0044524B" w:rsidRPr="00705170">
        <w:rPr>
          <w:rFonts w:ascii="Times New Roman" w:hAnsi="Times New Roman" w:cs="Times New Roman"/>
        </w:rPr>
        <w:t xml:space="preserve"> </w:t>
      </w:r>
      <w:proofErr w:type="spellStart"/>
      <w:r w:rsidR="0044524B" w:rsidRPr="00705170">
        <w:rPr>
          <w:rFonts w:ascii="Times New Roman" w:hAnsi="Times New Roman" w:cs="Times New Roman"/>
        </w:rPr>
        <w:t>commentator</w:t>
      </w:r>
      <w:proofErr w:type="spellEnd"/>
      <w:r w:rsidR="0044524B" w:rsidRPr="00705170">
        <w:rPr>
          <w:rFonts w:ascii="Times New Roman" w:hAnsi="Times New Roman" w:cs="Times New Roman"/>
        </w:rPr>
        <w:t xml:space="preserve"> </w:t>
      </w:r>
      <w:proofErr w:type="spellStart"/>
      <w:r w:rsidR="0044524B" w:rsidRPr="00705170">
        <w:rPr>
          <w:rFonts w:ascii="Times New Roman" w:hAnsi="Times New Roman" w:cs="Times New Roman"/>
        </w:rPr>
        <w:t>states</w:t>
      </w:r>
      <w:proofErr w:type="spellEnd"/>
      <w:r w:rsidR="0044524B" w:rsidRPr="00705170">
        <w:rPr>
          <w:rFonts w:ascii="Times New Roman" w:hAnsi="Times New Roman" w:cs="Times New Roman"/>
        </w:rPr>
        <w:t xml:space="preserve"> </w:t>
      </w:r>
      <w:proofErr w:type="spellStart"/>
      <w:r w:rsidR="0044524B" w:rsidRPr="00705170">
        <w:rPr>
          <w:rFonts w:ascii="Times New Roman" w:hAnsi="Times New Roman" w:cs="Times New Roman"/>
        </w:rPr>
        <w:t>the</w:t>
      </w:r>
      <w:proofErr w:type="spellEnd"/>
      <w:r w:rsidR="0044524B" w:rsidRPr="00705170">
        <w:rPr>
          <w:rFonts w:ascii="Times New Roman" w:hAnsi="Times New Roman" w:cs="Times New Roman"/>
        </w:rPr>
        <w:t xml:space="preserve"> </w:t>
      </w:r>
      <w:proofErr w:type="spellStart"/>
      <w:r w:rsidR="0044524B" w:rsidRPr="00705170">
        <w:rPr>
          <w:rFonts w:ascii="Times New Roman" w:hAnsi="Times New Roman" w:cs="Times New Roman"/>
        </w:rPr>
        <w:t>following</w:t>
      </w:r>
      <w:proofErr w:type="spellEnd"/>
      <w:r w:rsidR="0044524B" w:rsidRPr="00705170">
        <w:rPr>
          <w:rFonts w:ascii="Times New Roman" w:hAnsi="Times New Roman" w:cs="Times New Roman"/>
        </w:rPr>
        <w:t>: “</w:t>
      </w:r>
      <w:r w:rsidR="0044524B" w:rsidRPr="00705170">
        <w:rPr>
          <w:rFonts w:ascii="Times New Roman" w:hAnsi="Times New Roman" w:cs="Times New Roman"/>
          <w:color w:val="000000"/>
        </w:rPr>
        <w:t xml:space="preserve">A </w:t>
      </w:r>
      <w:proofErr w:type="spellStart"/>
      <w:r w:rsidR="0044524B" w:rsidRPr="00705170">
        <w:rPr>
          <w:rFonts w:ascii="Times New Roman" w:hAnsi="Times New Roman" w:cs="Times New Roman"/>
          <w:color w:val="000000"/>
        </w:rPr>
        <w:t>buyout</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award</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however</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does</w:t>
      </w:r>
      <w:proofErr w:type="spellEnd"/>
      <w:r w:rsidR="0044524B" w:rsidRPr="00705170">
        <w:rPr>
          <w:rFonts w:ascii="Times New Roman" w:hAnsi="Times New Roman" w:cs="Times New Roman"/>
          <w:color w:val="000000"/>
        </w:rPr>
        <w:t xml:space="preserve"> not </w:t>
      </w:r>
      <w:proofErr w:type="spellStart"/>
      <w:r w:rsidR="0044524B" w:rsidRPr="00705170">
        <w:rPr>
          <w:rFonts w:ascii="Times New Roman" w:hAnsi="Times New Roman" w:cs="Times New Roman"/>
          <w:color w:val="000000"/>
        </w:rPr>
        <w:t>provide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the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aggrieved</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minority</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shareholder</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with</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compensation</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for</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the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past</w:t>
      </w:r>
      <w:proofErr w:type="spellEnd"/>
      <w:r w:rsidR="0044524B" w:rsidRPr="00705170">
        <w:rPr>
          <w:rFonts w:ascii="Times New Roman" w:hAnsi="Times New Roman" w:cs="Times New Roman"/>
          <w:color w:val="000000"/>
        </w:rPr>
        <w:t xml:space="preserve"> de </w:t>
      </w:r>
      <w:proofErr w:type="spellStart"/>
      <w:r w:rsidR="0044524B" w:rsidRPr="00705170">
        <w:rPr>
          <w:rFonts w:ascii="Times New Roman" w:hAnsi="Times New Roman" w:cs="Times New Roman"/>
          <w:color w:val="000000"/>
        </w:rPr>
        <w:t>facto</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dividends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that</w:t>
      </w:r>
      <w:proofErr w:type="spellEnd"/>
      <w:r w:rsidR="0044524B" w:rsidRPr="00705170">
        <w:rPr>
          <w:rFonts w:ascii="Times New Roman" w:hAnsi="Times New Roman" w:cs="Times New Roman"/>
          <w:color w:val="000000"/>
        </w:rPr>
        <w:t xml:space="preserve"> it </w:t>
      </w:r>
      <w:proofErr w:type="spellStart"/>
      <w:r w:rsidR="0044524B" w:rsidRPr="00705170">
        <w:rPr>
          <w:rFonts w:ascii="Times New Roman" w:hAnsi="Times New Roman" w:cs="Times New Roman"/>
          <w:color w:val="000000"/>
        </w:rPr>
        <w:t>failed</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to</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receive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Although</w:t>
      </w:r>
      <w:proofErr w:type="spellEnd"/>
      <w:r w:rsidR="0044524B" w:rsidRPr="00705170">
        <w:rPr>
          <w:rFonts w:ascii="Times New Roman" w:hAnsi="Times New Roman" w:cs="Times New Roman"/>
          <w:color w:val="000000"/>
        </w:rPr>
        <w:t xml:space="preserve"> a </w:t>
      </w:r>
      <w:proofErr w:type="spellStart"/>
      <w:r w:rsidR="0044524B" w:rsidRPr="00705170">
        <w:rPr>
          <w:rFonts w:ascii="Times New Roman" w:hAnsi="Times New Roman" w:cs="Times New Roman"/>
          <w:color w:val="000000"/>
        </w:rPr>
        <w:t>proper</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company</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valuation</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for</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buyout</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purposes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adds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the</w:t>
      </w:r>
      <w:proofErr w:type="spellEnd"/>
      <w:r w:rsidR="0044524B" w:rsidRPr="00705170">
        <w:rPr>
          <w:rFonts w:ascii="Times New Roman" w:hAnsi="Times New Roman" w:cs="Times New Roman"/>
          <w:color w:val="000000"/>
        </w:rPr>
        <w:t xml:space="preserve"> de </w:t>
      </w:r>
      <w:proofErr w:type="spellStart"/>
      <w:r w:rsidR="0044524B" w:rsidRPr="00705170">
        <w:rPr>
          <w:rFonts w:ascii="Times New Roman" w:hAnsi="Times New Roman" w:cs="Times New Roman"/>
          <w:color w:val="000000"/>
        </w:rPr>
        <w:t>facto</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dividend</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amounts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back</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into</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the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corporation’s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income</w:t>
      </w:r>
      <w:proofErr w:type="spellEnd"/>
      <w:r w:rsidR="0044524B" w:rsidRPr="00705170">
        <w:rPr>
          <w:rFonts w:ascii="Times New Roman" w:hAnsi="Times New Roman" w:cs="Times New Roman"/>
          <w:color w:val="000000"/>
        </w:rPr>
        <w:t>,</w:t>
      </w:r>
      <w:r w:rsidR="0044524B" w:rsidRPr="00705170">
        <w:rPr>
          <w:rFonts w:ascii="Times New Roman" w:hAnsi="Times New Roman" w:cs="Times New Roman"/>
          <w:color w:val="000000"/>
          <w:position w:val="13"/>
        </w:rPr>
        <w:t xml:space="preserve"> </w:t>
      </w:r>
      <w:proofErr w:type="spellStart"/>
      <w:r w:rsidR="0044524B" w:rsidRPr="00705170">
        <w:rPr>
          <w:rFonts w:ascii="Times New Roman" w:hAnsi="Times New Roman" w:cs="Times New Roman"/>
          <w:color w:val="000000"/>
        </w:rPr>
        <w:t>that</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adjustment</w:t>
      </w:r>
      <w:proofErr w:type="spellEnd"/>
      <w:r w:rsidR="0044524B" w:rsidRPr="00705170">
        <w:rPr>
          <w:rFonts w:ascii="Times New Roman" w:hAnsi="Times New Roman" w:cs="Times New Roman"/>
          <w:color w:val="000000"/>
        </w:rPr>
        <w:t xml:space="preserve"> is </w:t>
      </w:r>
      <w:proofErr w:type="spellStart"/>
      <w:r w:rsidR="0044524B" w:rsidRPr="00705170">
        <w:rPr>
          <w:rFonts w:ascii="Times New Roman" w:hAnsi="Times New Roman" w:cs="Times New Roman"/>
          <w:color w:val="000000"/>
        </w:rPr>
        <w:t>because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the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valuation</w:t>
      </w:r>
      <w:proofErr w:type="spellEnd"/>
      <w:r w:rsidR="0044524B" w:rsidRPr="00705170">
        <w:rPr>
          <w:rFonts w:ascii="Times New Roman" w:hAnsi="Times New Roman" w:cs="Times New Roman"/>
          <w:color w:val="000000"/>
        </w:rPr>
        <w:t xml:space="preserve"> is </w:t>
      </w:r>
      <w:proofErr w:type="spellStart"/>
      <w:r w:rsidR="0044524B" w:rsidRPr="00705170">
        <w:rPr>
          <w:rFonts w:ascii="Times New Roman" w:hAnsi="Times New Roman" w:cs="Times New Roman"/>
          <w:color w:val="000000"/>
        </w:rPr>
        <w:t>typically</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based</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upon</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the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company’s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earnings</w:t>
      </w:r>
      <w:proofErr w:type="spellEnd"/>
      <w:r w:rsidR="0044524B" w:rsidRPr="00705170">
        <w:rPr>
          <w:rFonts w:ascii="Times New Roman" w:hAnsi="Times New Roman" w:cs="Times New Roman"/>
          <w:color w:val="000000"/>
        </w:rPr>
        <w:t xml:space="preserve">. </w:t>
      </w:r>
      <w:r w:rsidR="0044524B" w:rsidRPr="00705170">
        <w:rPr>
          <w:rFonts w:ascii="Times New Roman" w:hAnsi="Times New Roman" w:cs="Times New Roman"/>
          <w:color w:val="000000"/>
          <w:position w:val="13"/>
        </w:rPr>
        <w:t xml:space="preserve"> </w:t>
      </w:r>
      <w:proofErr w:type="spellStart"/>
      <w:r w:rsidR="0044524B" w:rsidRPr="00705170">
        <w:rPr>
          <w:rFonts w:ascii="Times New Roman" w:hAnsi="Times New Roman" w:cs="Times New Roman"/>
          <w:color w:val="000000"/>
        </w:rPr>
        <w:t>In</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other</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words</w:t>
      </w:r>
      <w:proofErr w:type="spellEnd"/>
      <w:r w:rsidR="0044524B" w:rsidRPr="00705170">
        <w:rPr>
          <w:rFonts w:ascii="Times New Roman" w:hAnsi="Times New Roman" w:cs="Times New Roman"/>
          <w:color w:val="000000"/>
        </w:rPr>
        <w:t xml:space="preserve">, de </w:t>
      </w:r>
      <w:proofErr w:type="spellStart"/>
      <w:r w:rsidR="0044524B" w:rsidRPr="00705170">
        <w:rPr>
          <w:rFonts w:ascii="Times New Roman" w:hAnsi="Times New Roman" w:cs="Times New Roman"/>
          <w:color w:val="000000"/>
        </w:rPr>
        <w:t>facto</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dividends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are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profits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that</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have</w:t>
      </w:r>
      <w:proofErr w:type="spellEnd"/>
      <w:r w:rsidR="0044524B" w:rsidRPr="00705170">
        <w:rPr>
          <w:rFonts w:ascii="Times New Roman" w:hAnsi="Times New Roman" w:cs="Times New Roman"/>
          <w:color w:val="000000"/>
        </w:rPr>
        <w:t xml:space="preserve"> not </w:t>
      </w:r>
      <w:proofErr w:type="spellStart"/>
      <w:r w:rsidR="0044524B" w:rsidRPr="00705170">
        <w:rPr>
          <w:rFonts w:ascii="Times New Roman" w:hAnsi="Times New Roman" w:cs="Times New Roman"/>
          <w:color w:val="000000"/>
        </w:rPr>
        <w:t>been</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recorded</w:t>
      </w:r>
      <w:proofErr w:type="spellEnd"/>
      <w:r w:rsidR="0044524B" w:rsidRPr="00705170">
        <w:rPr>
          <w:rFonts w:ascii="Times New Roman" w:hAnsi="Times New Roman" w:cs="Times New Roman"/>
          <w:color w:val="000000"/>
        </w:rPr>
        <w:t xml:space="preserve"> as </w:t>
      </w:r>
      <w:proofErr w:type="spellStart"/>
      <w:r w:rsidR="0044524B" w:rsidRPr="00705170">
        <w:rPr>
          <w:rFonts w:ascii="Times New Roman" w:hAnsi="Times New Roman" w:cs="Times New Roman"/>
          <w:color w:val="000000"/>
        </w:rPr>
        <w:t>such</w:t>
      </w:r>
      <w:proofErr w:type="spellEnd"/>
      <w:r w:rsidR="0044524B" w:rsidRPr="00705170">
        <w:rPr>
          <w:rFonts w:ascii="Times New Roman" w:hAnsi="Times New Roman" w:cs="Times New Roman"/>
          <w:color w:val="000000"/>
        </w:rPr>
        <w:t xml:space="preserve"> on </w:t>
      </w:r>
      <w:proofErr w:type="spellStart"/>
      <w:r w:rsidR="0044524B" w:rsidRPr="00705170">
        <w:rPr>
          <w:rFonts w:ascii="Times New Roman" w:hAnsi="Times New Roman" w:cs="Times New Roman"/>
          <w:color w:val="000000"/>
        </w:rPr>
        <w:t>the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company’s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books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typically</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for</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tax</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reasons</w:t>
      </w:r>
      <w:proofErr w:type="spellEnd"/>
      <w:r w:rsidR="0044524B" w:rsidRPr="00705170">
        <w:rPr>
          <w:rFonts w:ascii="Times New Roman" w:hAnsi="Times New Roman" w:cs="Times New Roman"/>
          <w:color w:val="000000"/>
        </w:rPr>
        <w:t>.</w:t>
      </w:r>
      <w:r w:rsidR="0044524B" w:rsidRPr="00705170">
        <w:rPr>
          <w:rFonts w:ascii="Times New Roman" w:hAnsi="Times New Roman" w:cs="Times New Roman"/>
          <w:color w:val="000000"/>
          <w:position w:val="13"/>
        </w:rPr>
        <w:t xml:space="preserve"> </w:t>
      </w:r>
      <w:proofErr w:type="spellStart"/>
      <w:r w:rsidR="0044524B" w:rsidRPr="00705170">
        <w:rPr>
          <w:rFonts w:ascii="Times New Roman" w:hAnsi="Times New Roman" w:cs="Times New Roman"/>
          <w:color w:val="000000"/>
        </w:rPr>
        <w:t>Before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performing</w:t>
      </w:r>
      <w:proofErr w:type="spellEnd"/>
      <w:r w:rsidR="0044524B" w:rsidRPr="00705170">
        <w:rPr>
          <w:rFonts w:ascii="Times New Roman" w:hAnsi="Times New Roman" w:cs="Times New Roman"/>
          <w:color w:val="000000"/>
        </w:rPr>
        <w:t xml:space="preserve"> a </w:t>
      </w:r>
      <w:proofErr w:type="spellStart"/>
      <w:r w:rsidR="0044524B" w:rsidRPr="00705170">
        <w:rPr>
          <w:rFonts w:ascii="Times New Roman" w:hAnsi="Times New Roman" w:cs="Times New Roman"/>
          <w:color w:val="000000"/>
        </w:rPr>
        <w:t>valuation</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that</w:t>
      </w:r>
      <w:proofErr w:type="spellEnd"/>
      <w:r w:rsidR="0044524B" w:rsidRPr="00705170">
        <w:rPr>
          <w:rFonts w:ascii="Times New Roman" w:hAnsi="Times New Roman" w:cs="Times New Roman"/>
          <w:color w:val="000000"/>
        </w:rPr>
        <w:t xml:space="preserve"> is </w:t>
      </w:r>
      <w:proofErr w:type="spellStart"/>
      <w:r w:rsidR="0044524B" w:rsidRPr="00705170">
        <w:rPr>
          <w:rFonts w:ascii="Times New Roman" w:hAnsi="Times New Roman" w:cs="Times New Roman"/>
          <w:color w:val="000000"/>
        </w:rPr>
        <w:t>based</w:t>
      </w:r>
      <w:proofErr w:type="spellEnd"/>
      <w:r w:rsidR="0044524B" w:rsidRPr="00705170">
        <w:rPr>
          <w:rFonts w:ascii="Times New Roman" w:hAnsi="Times New Roman" w:cs="Times New Roman"/>
          <w:color w:val="000000"/>
        </w:rPr>
        <w:t xml:space="preserve"> on </w:t>
      </w:r>
      <w:proofErr w:type="spellStart"/>
      <w:r w:rsidR="0044524B" w:rsidRPr="00705170">
        <w:rPr>
          <w:rFonts w:ascii="Times New Roman" w:hAnsi="Times New Roman" w:cs="Times New Roman"/>
          <w:color w:val="000000"/>
        </w:rPr>
        <w:t>the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amount</w:t>
      </w:r>
      <w:proofErr w:type="spellEnd"/>
      <w:r w:rsidR="0044524B" w:rsidRPr="00705170">
        <w:rPr>
          <w:rFonts w:ascii="Times New Roman" w:hAnsi="Times New Roman" w:cs="Times New Roman"/>
          <w:color w:val="000000"/>
        </w:rPr>
        <w:t xml:space="preserve"> of </w:t>
      </w:r>
      <w:proofErr w:type="spellStart"/>
      <w:r w:rsidR="0044524B" w:rsidRPr="00705170">
        <w:rPr>
          <w:rFonts w:ascii="Times New Roman" w:hAnsi="Times New Roman" w:cs="Times New Roman"/>
          <w:color w:val="000000"/>
        </w:rPr>
        <w:t>profits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that</w:t>
      </w:r>
      <w:proofErr w:type="spellEnd"/>
      <w:r w:rsidR="0044524B" w:rsidRPr="00705170">
        <w:rPr>
          <w:rFonts w:ascii="Times New Roman" w:hAnsi="Times New Roman" w:cs="Times New Roman"/>
          <w:color w:val="000000"/>
        </w:rPr>
        <w:t xml:space="preserve"> a </w:t>
      </w:r>
      <w:proofErr w:type="spellStart"/>
      <w:r w:rsidR="0044524B" w:rsidRPr="00705170">
        <w:rPr>
          <w:rFonts w:ascii="Times New Roman" w:hAnsi="Times New Roman" w:cs="Times New Roman"/>
          <w:color w:val="000000"/>
        </w:rPr>
        <w:t>company</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generates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the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company’s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books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must</w:t>
      </w:r>
      <w:proofErr w:type="spellEnd"/>
      <w:r w:rsidR="0044524B" w:rsidRPr="00705170">
        <w:rPr>
          <w:rFonts w:ascii="Times New Roman" w:hAnsi="Times New Roman" w:cs="Times New Roman"/>
          <w:color w:val="000000"/>
        </w:rPr>
        <w:t xml:space="preserve"> be </w:t>
      </w:r>
      <w:proofErr w:type="spellStart"/>
      <w:r w:rsidR="0044524B" w:rsidRPr="00705170">
        <w:rPr>
          <w:rFonts w:ascii="Times New Roman" w:hAnsi="Times New Roman" w:cs="Times New Roman"/>
          <w:color w:val="000000"/>
        </w:rPr>
        <w:t>adjusted</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to</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account</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for</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these</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mischaracterized</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profits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that</w:t>
      </w:r>
      <w:proofErr w:type="spellEnd"/>
      <w:r w:rsidR="0044524B" w:rsidRPr="00705170">
        <w:rPr>
          <w:rFonts w:ascii="Times New Roman" w:hAnsi="Times New Roman" w:cs="Times New Roman"/>
          <w:color w:val="000000"/>
        </w:rPr>
        <w:t xml:space="preserve"> is, </w:t>
      </w:r>
      <w:proofErr w:type="spellStart"/>
      <w:r w:rsidR="0044524B" w:rsidRPr="00705170">
        <w:rPr>
          <w:rFonts w:ascii="Times New Roman" w:hAnsi="Times New Roman" w:cs="Times New Roman"/>
          <w:color w:val="000000"/>
        </w:rPr>
        <w:t>the</w:t>
      </w:r>
      <w:proofErr w:type="spellEnd"/>
      <w:r w:rsidR="0044524B" w:rsidRPr="00705170">
        <w:rPr>
          <w:rFonts w:ascii="Times New Roman" w:hAnsi="Times New Roman" w:cs="Times New Roman"/>
          <w:color w:val="000000"/>
        </w:rPr>
        <w:t xml:space="preserve"> de </w:t>
      </w:r>
      <w:proofErr w:type="spellStart"/>
      <w:r w:rsidR="0044524B" w:rsidRPr="00705170">
        <w:rPr>
          <w:rFonts w:ascii="Times New Roman" w:hAnsi="Times New Roman" w:cs="Times New Roman"/>
          <w:color w:val="000000"/>
        </w:rPr>
        <w:t>facto</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dividends</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must</w:t>
      </w:r>
      <w:proofErr w:type="spellEnd"/>
      <w:r w:rsidR="0044524B" w:rsidRPr="00705170">
        <w:rPr>
          <w:rFonts w:ascii="Times New Roman" w:hAnsi="Times New Roman" w:cs="Times New Roman"/>
          <w:color w:val="000000"/>
        </w:rPr>
        <w:t xml:space="preserve"> be </w:t>
      </w:r>
      <w:proofErr w:type="spellStart"/>
      <w:r w:rsidR="0044524B" w:rsidRPr="00705170">
        <w:rPr>
          <w:rFonts w:ascii="Times New Roman" w:hAnsi="Times New Roman" w:cs="Times New Roman"/>
          <w:color w:val="000000"/>
        </w:rPr>
        <w:t>added</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back</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into</w:t>
      </w:r>
      <w:proofErr w:type="spellEnd"/>
      <w:r w:rsidR="0044524B" w:rsidRPr="00705170">
        <w:rPr>
          <w:rFonts w:ascii="Times New Roman" w:hAnsi="Times New Roman" w:cs="Times New Roman"/>
          <w:color w:val="000000"/>
        </w:rPr>
        <w:t xml:space="preserve"> </w:t>
      </w:r>
      <w:proofErr w:type="spellStart"/>
      <w:r w:rsidR="0044524B" w:rsidRPr="00705170">
        <w:rPr>
          <w:rFonts w:ascii="Times New Roman" w:hAnsi="Times New Roman" w:cs="Times New Roman"/>
          <w:color w:val="000000"/>
        </w:rPr>
        <w:t>earnings</w:t>
      </w:r>
      <w:proofErr w:type="spellEnd"/>
      <w:r w:rsidR="0044524B" w:rsidRPr="00705170">
        <w:rPr>
          <w:rFonts w:ascii="Times New Roman" w:hAnsi="Times New Roman" w:cs="Times New Roman"/>
          <w:color w:val="000000"/>
        </w:rPr>
        <w:t>)”</w:t>
      </w:r>
      <w:r w:rsidR="0044524B" w:rsidRPr="00705170">
        <w:rPr>
          <w:rStyle w:val="DipnotBavurusu"/>
          <w:rFonts w:ascii="Times New Roman" w:hAnsi="Times New Roman" w:cs="Times New Roman"/>
          <w:color w:val="000000"/>
        </w:rPr>
        <w:footnoteReference w:id="667"/>
      </w:r>
      <w:r w:rsidR="0044524B" w:rsidRPr="00705170">
        <w:rPr>
          <w:rFonts w:ascii="Times New Roman" w:hAnsi="Times New Roman" w:cs="Times New Roman"/>
          <w:color w:val="000000"/>
        </w:rPr>
        <w:t xml:space="preserve">. </w:t>
      </w:r>
    </w:p>
    <w:p w14:paraId="7A5234C9" w14:textId="26F9FB0D" w:rsidR="00FA487D" w:rsidRPr="00705170" w:rsidRDefault="007C31DF" w:rsidP="00FA487D">
      <w:pPr>
        <w:spacing w:after="240" w:line="480" w:lineRule="auto"/>
        <w:ind w:firstLine="708"/>
        <w:jc w:val="both"/>
        <w:rPr>
          <w:rFonts w:ascii="Times New Roman" w:hAnsi="Times New Roman" w:cs="Times New Roman"/>
          <w:color w:val="000000" w:themeColor="text1"/>
        </w:rPr>
      </w:pPr>
      <w:r w:rsidRPr="00705170">
        <w:rPr>
          <w:rFonts w:ascii="Times New Roman" w:hAnsi="Times New Roman" w:cs="Times New Roman"/>
        </w:rPr>
        <w:t xml:space="preserve">As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w:t>
      </w:r>
      <w:proofErr w:type="spellEnd"/>
      <w:r w:rsidRPr="00705170">
        <w:rPr>
          <w:rFonts w:ascii="Times New Roman" w:hAnsi="Times New Roman" w:cs="Times New Roman"/>
        </w:rPr>
        <w:t xml:space="preserve">. 1104-a </w:t>
      </w:r>
      <w:proofErr w:type="spellStart"/>
      <w:r w:rsidRPr="00705170">
        <w:rPr>
          <w:rFonts w:ascii="Times New Roman" w:hAnsi="Times New Roman" w:cs="Times New Roman"/>
        </w:rPr>
        <w:t>differed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w:t>
      </w:r>
      <w:proofErr w:type="spellEnd"/>
      <w:r w:rsidRPr="00705170">
        <w:rPr>
          <w:rFonts w:ascii="Times New Roman" w:hAnsi="Times New Roman" w:cs="Times New Roman"/>
        </w:rPr>
        <w:t xml:space="preserve">. 1104 on </w:t>
      </w:r>
      <w:proofErr w:type="spellStart"/>
      <w:r w:rsidRPr="00705170">
        <w:rPr>
          <w:rFonts w:ascii="Times New Roman" w:hAnsi="Times New Roman" w:cs="Times New Roman"/>
        </w:rPr>
        <w:t>st</w:t>
      </w:r>
      <w:r w:rsidR="00DD0104" w:rsidRPr="00705170">
        <w:rPr>
          <w:rFonts w:ascii="Times New Roman" w:hAnsi="Times New Roman" w:cs="Times New Roman"/>
        </w:rPr>
        <w:t>atutory</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grounds</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for</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dissolution</w:t>
      </w:r>
      <w:proofErr w:type="spellEnd"/>
      <w:r w:rsidR="00DD0104"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co</w:t>
      </w:r>
      <w:r w:rsidR="00DD0104" w:rsidRPr="00705170">
        <w:rPr>
          <w:rFonts w:ascii="Times New Roman" w:hAnsi="Times New Roman" w:cs="Times New Roman"/>
        </w:rPr>
        <w:t>urts</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rejected</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to</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treat</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cases</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under</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Sec</w:t>
      </w:r>
      <w:proofErr w:type="spellEnd"/>
      <w:r w:rsidR="00DD0104" w:rsidRPr="00705170">
        <w:rPr>
          <w:rFonts w:ascii="Times New Roman" w:hAnsi="Times New Roman" w:cs="Times New Roman"/>
        </w:rPr>
        <w:t xml:space="preserve">. 1104 as </w:t>
      </w:r>
      <w:proofErr w:type="spellStart"/>
      <w:r w:rsidR="00DD0104" w:rsidRPr="00705170">
        <w:rPr>
          <w:rFonts w:ascii="Times New Roman" w:hAnsi="Times New Roman" w:cs="Times New Roman"/>
        </w:rPr>
        <w:t>guidelines</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for</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Sec</w:t>
      </w:r>
      <w:proofErr w:type="spellEnd"/>
      <w:r w:rsidR="00DD0104" w:rsidRPr="00705170">
        <w:rPr>
          <w:rFonts w:ascii="Times New Roman" w:hAnsi="Times New Roman" w:cs="Times New Roman"/>
        </w:rPr>
        <w:t xml:space="preserve">. 1104-a </w:t>
      </w:r>
      <w:proofErr w:type="spellStart"/>
      <w:r w:rsidR="00DD0104" w:rsidRPr="00705170">
        <w:rPr>
          <w:rFonts w:ascii="Times New Roman" w:hAnsi="Times New Roman" w:cs="Times New Roman"/>
        </w:rPr>
        <w:t>and</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the</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courts</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have</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developed</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lastRenderedPageBreak/>
        <w:t>another</w:t>
      </w:r>
      <w:proofErr w:type="spellEnd"/>
      <w:r w:rsidR="00DD0104" w:rsidRPr="00705170">
        <w:rPr>
          <w:rFonts w:ascii="Times New Roman" w:hAnsi="Times New Roman" w:cs="Times New Roman"/>
        </w:rPr>
        <w:t xml:space="preserve"> set of </w:t>
      </w:r>
      <w:proofErr w:type="spellStart"/>
      <w:r w:rsidR="00DD0104" w:rsidRPr="00705170">
        <w:rPr>
          <w:rFonts w:ascii="Times New Roman" w:hAnsi="Times New Roman" w:cs="Times New Roman"/>
        </w:rPr>
        <w:t>judicial</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guidelines</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for</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the</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oppression</w:t>
      </w:r>
      <w:proofErr w:type="spellEnd"/>
      <w:r w:rsidR="00DD0104" w:rsidRPr="00705170">
        <w:rPr>
          <w:rFonts w:ascii="Times New Roman" w:hAnsi="Times New Roman" w:cs="Times New Roman"/>
        </w:rPr>
        <w:t xml:space="preserve">” </w:t>
      </w:r>
      <w:proofErr w:type="spellStart"/>
      <w:r w:rsidR="00DD0104" w:rsidRPr="00705170">
        <w:rPr>
          <w:rFonts w:ascii="Times New Roman" w:hAnsi="Times New Roman" w:cs="Times New Roman"/>
        </w:rPr>
        <w:t>provision</w:t>
      </w:r>
      <w:proofErr w:type="spellEnd"/>
      <w:r w:rsidR="00DD0104" w:rsidRPr="00705170">
        <w:rPr>
          <w:rStyle w:val="DipnotBavurusu"/>
          <w:rFonts w:ascii="Times New Roman" w:hAnsi="Times New Roman" w:cs="Times New Roman"/>
        </w:rPr>
        <w:footnoteReference w:id="668"/>
      </w:r>
      <w:r w:rsidR="00DD0104" w:rsidRPr="00705170">
        <w:rPr>
          <w:rFonts w:ascii="Times New Roman" w:hAnsi="Times New Roman" w:cs="Times New Roman"/>
        </w:rPr>
        <w:t xml:space="preserve">. </w:t>
      </w:r>
      <w:proofErr w:type="spellStart"/>
      <w:r w:rsidR="007734BD" w:rsidRPr="00705170">
        <w:rPr>
          <w:rFonts w:ascii="Times New Roman" w:hAnsi="Times New Roman" w:cs="Times New Roman"/>
        </w:rPr>
        <w:t>Although</w:t>
      </w:r>
      <w:proofErr w:type="spellEnd"/>
      <w:r w:rsidR="000D0C27" w:rsidRPr="00705170">
        <w:rPr>
          <w:rFonts w:ascii="Times New Roman" w:hAnsi="Times New Roman" w:cs="Times New Roman"/>
        </w:rPr>
        <w:t xml:space="preserve"> </w:t>
      </w:r>
      <w:proofErr w:type="spellStart"/>
      <w:r w:rsidR="000D0C27" w:rsidRPr="00705170">
        <w:rPr>
          <w:rFonts w:ascii="Times New Roman" w:hAnsi="Times New Roman" w:cs="Times New Roman"/>
        </w:rPr>
        <w:t>the</w:t>
      </w:r>
      <w:proofErr w:type="spellEnd"/>
      <w:r w:rsidR="000D0C27" w:rsidRPr="00705170">
        <w:rPr>
          <w:rFonts w:ascii="Times New Roman" w:hAnsi="Times New Roman" w:cs="Times New Roman"/>
        </w:rPr>
        <w:t xml:space="preserve"> </w:t>
      </w:r>
      <w:proofErr w:type="spellStart"/>
      <w:r w:rsidR="000D0C27" w:rsidRPr="00705170">
        <w:rPr>
          <w:rFonts w:ascii="Times New Roman" w:hAnsi="Times New Roman" w:cs="Times New Roman"/>
        </w:rPr>
        <w:t>term</w:t>
      </w:r>
      <w:proofErr w:type="spellEnd"/>
      <w:r w:rsidR="000D0C27" w:rsidRPr="00705170">
        <w:rPr>
          <w:rFonts w:ascii="Times New Roman" w:hAnsi="Times New Roman" w:cs="Times New Roman"/>
        </w:rPr>
        <w:t xml:space="preserve"> “</w:t>
      </w:r>
      <w:proofErr w:type="spellStart"/>
      <w:r w:rsidR="000D0C27" w:rsidRPr="00705170">
        <w:rPr>
          <w:rFonts w:ascii="Times New Roman" w:hAnsi="Times New Roman" w:cs="Times New Roman"/>
        </w:rPr>
        <w:t>oppressive</w:t>
      </w:r>
      <w:proofErr w:type="spellEnd"/>
      <w:r w:rsidR="000D0C27" w:rsidRPr="00705170">
        <w:rPr>
          <w:rFonts w:ascii="Times New Roman" w:hAnsi="Times New Roman" w:cs="Times New Roman"/>
        </w:rPr>
        <w:t xml:space="preserve"> </w:t>
      </w:r>
      <w:proofErr w:type="spellStart"/>
      <w:r w:rsidR="000D0C27" w:rsidRPr="00705170">
        <w:rPr>
          <w:rFonts w:ascii="Times New Roman" w:hAnsi="Times New Roman" w:cs="Times New Roman"/>
        </w:rPr>
        <w:t>actions</w:t>
      </w:r>
      <w:proofErr w:type="spellEnd"/>
      <w:r w:rsidR="000D0C27" w:rsidRPr="00705170">
        <w:rPr>
          <w:rFonts w:ascii="Times New Roman" w:hAnsi="Times New Roman" w:cs="Times New Roman"/>
        </w:rPr>
        <w:t xml:space="preserve">” is not </w:t>
      </w:r>
      <w:proofErr w:type="spellStart"/>
      <w:r w:rsidR="000D0C27" w:rsidRPr="00705170">
        <w:rPr>
          <w:rFonts w:ascii="Times New Roman" w:hAnsi="Times New Roman" w:cs="Times New Roman"/>
        </w:rPr>
        <w:t>statutorily</w:t>
      </w:r>
      <w:proofErr w:type="spellEnd"/>
      <w:r w:rsidR="000D0C27" w:rsidRPr="00705170">
        <w:rPr>
          <w:rFonts w:ascii="Times New Roman" w:hAnsi="Times New Roman" w:cs="Times New Roman"/>
        </w:rPr>
        <w:t xml:space="preserve"> </w:t>
      </w:r>
      <w:proofErr w:type="spellStart"/>
      <w:r w:rsidR="000D0C27" w:rsidRPr="00705170">
        <w:rPr>
          <w:rFonts w:ascii="Times New Roman" w:hAnsi="Times New Roman" w:cs="Times New Roman"/>
        </w:rPr>
        <w:t>defined</w:t>
      </w:r>
      <w:proofErr w:type="spellEnd"/>
      <w:r w:rsidR="000D0C27" w:rsidRPr="00705170">
        <w:rPr>
          <w:rFonts w:ascii="Times New Roman" w:hAnsi="Times New Roman" w:cs="Times New Roman"/>
        </w:rPr>
        <w:t xml:space="preserve">, </w:t>
      </w:r>
      <w:proofErr w:type="spellStart"/>
      <w:r w:rsidR="000D0C27" w:rsidRPr="00705170">
        <w:rPr>
          <w:rFonts w:ascii="Times New Roman" w:hAnsi="Times New Roman" w:cs="Times New Roman"/>
        </w:rPr>
        <w:t>the</w:t>
      </w:r>
      <w:proofErr w:type="spellEnd"/>
      <w:r w:rsidR="000D0C27" w:rsidRPr="00705170">
        <w:rPr>
          <w:rFonts w:ascii="Times New Roman" w:hAnsi="Times New Roman" w:cs="Times New Roman"/>
        </w:rPr>
        <w:t xml:space="preserve"> “</w:t>
      </w:r>
      <w:proofErr w:type="spellStart"/>
      <w:r w:rsidR="000D0C27" w:rsidRPr="00705170">
        <w:rPr>
          <w:rFonts w:ascii="Times New Roman" w:hAnsi="Times New Roman" w:cs="Times New Roman"/>
        </w:rPr>
        <w:t>reasonable</w:t>
      </w:r>
      <w:proofErr w:type="spellEnd"/>
      <w:r w:rsidR="000D0C27" w:rsidRPr="00705170">
        <w:rPr>
          <w:rFonts w:ascii="Times New Roman" w:hAnsi="Times New Roman" w:cs="Times New Roman"/>
        </w:rPr>
        <w:t xml:space="preserve"> </w:t>
      </w:r>
      <w:proofErr w:type="spellStart"/>
      <w:r w:rsidR="000D0C27" w:rsidRPr="00705170">
        <w:rPr>
          <w:rFonts w:ascii="Times New Roman" w:hAnsi="Times New Roman" w:cs="Times New Roman"/>
        </w:rPr>
        <w:t>expectations</w:t>
      </w:r>
      <w:proofErr w:type="spellEnd"/>
      <w:r w:rsidR="000D0C27" w:rsidRPr="00705170">
        <w:rPr>
          <w:rFonts w:ascii="Times New Roman" w:hAnsi="Times New Roman" w:cs="Times New Roman"/>
        </w:rPr>
        <w:t xml:space="preserve">” </w:t>
      </w:r>
      <w:proofErr w:type="spellStart"/>
      <w:r w:rsidR="000D0C27" w:rsidRPr="00705170">
        <w:rPr>
          <w:rFonts w:ascii="Times New Roman" w:hAnsi="Times New Roman" w:cs="Times New Roman"/>
        </w:rPr>
        <w:t>standard</w:t>
      </w:r>
      <w:proofErr w:type="spellEnd"/>
      <w:r w:rsidR="000D0C27" w:rsidRPr="00705170">
        <w:rPr>
          <w:rFonts w:ascii="Times New Roman" w:hAnsi="Times New Roman" w:cs="Times New Roman"/>
        </w:rPr>
        <w:t xml:space="preserve"> is </w:t>
      </w:r>
      <w:proofErr w:type="spellStart"/>
      <w:r w:rsidR="000D0C27" w:rsidRPr="00705170">
        <w:rPr>
          <w:rFonts w:ascii="Times New Roman" w:hAnsi="Times New Roman" w:cs="Times New Roman"/>
        </w:rPr>
        <w:t>used</w:t>
      </w:r>
      <w:proofErr w:type="spellEnd"/>
      <w:r w:rsidR="000D0C27" w:rsidRPr="00705170">
        <w:rPr>
          <w:rFonts w:ascii="Times New Roman" w:hAnsi="Times New Roman" w:cs="Times New Roman"/>
        </w:rPr>
        <w:t xml:space="preserve"> </w:t>
      </w:r>
      <w:proofErr w:type="spellStart"/>
      <w:r w:rsidR="000D0C27" w:rsidRPr="00705170">
        <w:rPr>
          <w:rFonts w:ascii="Times New Roman" w:hAnsi="Times New Roman" w:cs="Times New Roman"/>
        </w:rPr>
        <w:t>to</w:t>
      </w:r>
      <w:proofErr w:type="spellEnd"/>
      <w:r w:rsidR="000D0C27" w:rsidRPr="00705170">
        <w:rPr>
          <w:rFonts w:ascii="Times New Roman" w:hAnsi="Times New Roman" w:cs="Times New Roman"/>
        </w:rPr>
        <w:t xml:space="preserve"> define </w:t>
      </w:r>
      <w:proofErr w:type="spellStart"/>
      <w:r w:rsidR="000D0C27" w:rsidRPr="00705170">
        <w:rPr>
          <w:rFonts w:ascii="Times New Roman" w:hAnsi="Times New Roman" w:cs="Times New Roman"/>
        </w:rPr>
        <w:t>the</w:t>
      </w:r>
      <w:proofErr w:type="spellEnd"/>
      <w:r w:rsidR="000D0C27" w:rsidRPr="00705170">
        <w:rPr>
          <w:rFonts w:ascii="Times New Roman" w:hAnsi="Times New Roman" w:cs="Times New Roman"/>
        </w:rPr>
        <w:t xml:space="preserve"> </w:t>
      </w:r>
      <w:proofErr w:type="spellStart"/>
      <w:r w:rsidR="000D0C27" w:rsidRPr="00705170">
        <w:rPr>
          <w:rFonts w:ascii="Times New Roman" w:hAnsi="Times New Roman" w:cs="Times New Roman"/>
        </w:rPr>
        <w:t>term</w:t>
      </w:r>
      <w:proofErr w:type="spellEnd"/>
      <w:r w:rsidR="000D0C27" w:rsidRPr="00705170">
        <w:rPr>
          <w:rFonts w:ascii="Times New Roman" w:hAnsi="Times New Roman" w:cs="Times New Roman"/>
        </w:rPr>
        <w:t xml:space="preserve"> since 1980s in New York</w:t>
      </w:r>
      <w:r w:rsidR="000D0C27" w:rsidRPr="00705170">
        <w:rPr>
          <w:rStyle w:val="DipnotBavurusu"/>
          <w:rFonts w:ascii="Times New Roman" w:hAnsi="Times New Roman" w:cs="Times New Roman"/>
        </w:rPr>
        <w:footnoteReference w:id="669"/>
      </w:r>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This</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standard</w:t>
      </w:r>
      <w:proofErr w:type="spellEnd"/>
      <w:r w:rsidR="00606F9A" w:rsidRPr="00705170">
        <w:rPr>
          <w:rFonts w:ascii="Times New Roman" w:hAnsi="Times New Roman" w:cs="Times New Roman"/>
        </w:rPr>
        <w:t xml:space="preserve">, as </w:t>
      </w:r>
      <w:proofErr w:type="spellStart"/>
      <w:r w:rsidR="00606F9A" w:rsidRPr="00705170">
        <w:rPr>
          <w:rFonts w:ascii="Times New Roman" w:hAnsi="Times New Roman" w:cs="Times New Roman"/>
        </w:rPr>
        <w:t>used</w:t>
      </w:r>
      <w:proofErr w:type="spellEnd"/>
      <w:r w:rsidR="00606F9A" w:rsidRPr="00705170">
        <w:rPr>
          <w:rFonts w:ascii="Times New Roman" w:hAnsi="Times New Roman" w:cs="Times New Roman"/>
        </w:rPr>
        <w:t xml:space="preserve"> in </w:t>
      </w:r>
      <w:proofErr w:type="spellStart"/>
      <w:r w:rsidR="00606F9A" w:rsidRPr="00705170">
        <w:rPr>
          <w:rFonts w:ascii="Times New Roman" w:hAnsi="Times New Roman" w:cs="Times New Roman"/>
        </w:rPr>
        <w:t>the</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state’s</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In</w:t>
      </w:r>
      <w:proofErr w:type="spellEnd"/>
      <w:r w:rsidR="00606F9A" w:rsidRPr="00705170">
        <w:rPr>
          <w:rFonts w:ascii="Times New Roman" w:hAnsi="Times New Roman" w:cs="Times New Roman"/>
        </w:rPr>
        <w:t xml:space="preserve"> Re </w:t>
      </w:r>
      <w:proofErr w:type="spellStart"/>
      <w:r w:rsidR="00606F9A" w:rsidRPr="00705170">
        <w:rPr>
          <w:rFonts w:ascii="Times New Roman" w:hAnsi="Times New Roman" w:cs="Times New Roman"/>
        </w:rPr>
        <w:t>Topper</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decision</w:t>
      </w:r>
      <w:proofErr w:type="spellEnd"/>
      <w:r w:rsidR="00606F9A" w:rsidRPr="00705170">
        <w:rPr>
          <w:rFonts w:ascii="Times New Roman" w:hAnsi="Times New Roman" w:cs="Times New Roman"/>
        </w:rPr>
        <w:t xml:space="preserve"> a </w:t>
      </w:r>
      <w:proofErr w:type="spellStart"/>
      <w:r w:rsidR="00606F9A" w:rsidRPr="00705170">
        <w:rPr>
          <w:rFonts w:ascii="Times New Roman" w:hAnsi="Times New Roman" w:cs="Times New Roman"/>
        </w:rPr>
        <w:t>year</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after</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the</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enactment</w:t>
      </w:r>
      <w:proofErr w:type="spellEnd"/>
      <w:r w:rsidR="00606F9A" w:rsidRPr="00705170">
        <w:rPr>
          <w:rFonts w:ascii="Times New Roman" w:hAnsi="Times New Roman" w:cs="Times New Roman"/>
        </w:rPr>
        <w:t xml:space="preserve"> of </w:t>
      </w:r>
      <w:proofErr w:type="spellStart"/>
      <w:r w:rsidR="00606F9A" w:rsidRPr="00705170">
        <w:rPr>
          <w:rFonts w:ascii="Times New Roman" w:hAnsi="Times New Roman" w:cs="Times New Roman"/>
        </w:rPr>
        <w:t>the</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provision</w:t>
      </w:r>
      <w:proofErr w:type="spellEnd"/>
      <w:r w:rsidR="00606F9A" w:rsidRPr="00705170">
        <w:rPr>
          <w:rFonts w:ascii="Times New Roman" w:hAnsi="Times New Roman" w:cs="Times New Roman"/>
        </w:rPr>
        <w:t xml:space="preserve"> in 1979, has </w:t>
      </w:r>
      <w:proofErr w:type="spellStart"/>
      <w:r w:rsidR="00606F9A" w:rsidRPr="00705170">
        <w:rPr>
          <w:rFonts w:ascii="Times New Roman" w:hAnsi="Times New Roman" w:cs="Times New Roman"/>
        </w:rPr>
        <w:t>become</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the</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touchstone</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for</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evaluating</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oppressive</w:t>
      </w:r>
      <w:proofErr w:type="spellEnd"/>
      <w:r w:rsidR="00606F9A" w:rsidRPr="00705170">
        <w:rPr>
          <w:rFonts w:ascii="Times New Roman" w:hAnsi="Times New Roman" w:cs="Times New Roman"/>
        </w:rPr>
        <w:t xml:space="preserve"> </w:t>
      </w:r>
      <w:proofErr w:type="spellStart"/>
      <w:r w:rsidR="00606F9A" w:rsidRPr="00705170">
        <w:rPr>
          <w:rFonts w:ascii="Times New Roman" w:hAnsi="Times New Roman" w:cs="Times New Roman"/>
        </w:rPr>
        <w:t>conduct</w:t>
      </w:r>
      <w:proofErr w:type="spellEnd"/>
      <w:r w:rsidR="00606F9A" w:rsidRPr="00705170">
        <w:rPr>
          <w:rStyle w:val="DipnotBavurusu"/>
          <w:rFonts w:ascii="Times New Roman" w:hAnsi="Times New Roman" w:cs="Times New Roman"/>
          <w:color w:val="000000" w:themeColor="text1"/>
        </w:rPr>
        <w:footnoteReference w:id="670"/>
      </w:r>
      <w:r w:rsidR="00606F9A" w:rsidRPr="00705170">
        <w:rPr>
          <w:rFonts w:ascii="Times New Roman" w:hAnsi="Times New Roman" w:cs="Times New Roman"/>
        </w:rPr>
        <w:t>.</w:t>
      </w:r>
      <w:r w:rsidR="00606F9A"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In</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In</w:t>
      </w:r>
      <w:proofErr w:type="spellEnd"/>
      <w:r w:rsidR="00ED7BDC" w:rsidRPr="00705170">
        <w:rPr>
          <w:rFonts w:ascii="Times New Roman" w:hAnsi="Times New Roman" w:cs="Times New Roman"/>
          <w:color w:val="000000" w:themeColor="text1"/>
        </w:rPr>
        <w:t xml:space="preserve"> Re </w:t>
      </w:r>
      <w:proofErr w:type="spellStart"/>
      <w:r w:rsidR="00ED7BDC" w:rsidRPr="00705170">
        <w:rPr>
          <w:rFonts w:ascii="Times New Roman" w:hAnsi="Times New Roman" w:cs="Times New Roman"/>
          <w:color w:val="000000" w:themeColor="text1"/>
        </w:rPr>
        <w:t>Topper</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the</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court</w:t>
      </w:r>
      <w:proofErr w:type="spellEnd"/>
      <w:r w:rsidR="00ED7BDC"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first</w:t>
      </w:r>
      <w:proofErr w:type="spellEnd"/>
      <w:r w:rsidR="00E214D2"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reviewed</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the</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legislati</w:t>
      </w:r>
      <w:r w:rsidR="00E214D2" w:rsidRPr="00705170">
        <w:rPr>
          <w:rFonts w:ascii="Times New Roman" w:hAnsi="Times New Roman" w:cs="Times New Roman"/>
          <w:color w:val="000000" w:themeColor="text1"/>
        </w:rPr>
        <w:t>v</w:t>
      </w:r>
      <w:r w:rsidR="00ED7BDC" w:rsidRPr="00705170">
        <w:rPr>
          <w:rFonts w:ascii="Times New Roman" w:hAnsi="Times New Roman" w:cs="Times New Roman"/>
          <w:color w:val="000000" w:themeColor="text1"/>
        </w:rPr>
        <w:t>e</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context</w:t>
      </w:r>
      <w:proofErr w:type="spellEnd"/>
      <w:r w:rsidR="00ED7BDC" w:rsidRPr="00705170">
        <w:rPr>
          <w:rFonts w:ascii="Times New Roman" w:hAnsi="Times New Roman" w:cs="Times New Roman"/>
          <w:color w:val="000000" w:themeColor="text1"/>
        </w:rPr>
        <w:t xml:space="preserve"> in </w:t>
      </w:r>
      <w:proofErr w:type="spellStart"/>
      <w:r w:rsidR="00ED7BDC" w:rsidRPr="00705170">
        <w:rPr>
          <w:rFonts w:ascii="Times New Roman" w:hAnsi="Times New Roman" w:cs="Times New Roman"/>
          <w:color w:val="000000" w:themeColor="text1"/>
        </w:rPr>
        <w:t>which</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the</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statute</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was</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enacted</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and</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showed</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that</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the</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reasonable</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expectations</w:t>
      </w:r>
      <w:proofErr w:type="spellEnd"/>
      <w:r w:rsidR="00ED7BDC" w:rsidRPr="00705170">
        <w:rPr>
          <w:rFonts w:ascii="Times New Roman" w:hAnsi="Times New Roman" w:cs="Times New Roman"/>
          <w:color w:val="000000" w:themeColor="text1"/>
        </w:rPr>
        <w:t xml:space="preserve"> test </w:t>
      </w:r>
      <w:proofErr w:type="spellStart"/>
      <w:r w:rsidR="00ED7BDC" w:rsidRPr="00705170">
        <w:rPr>
          <w:rFonts w:ascii="Times New Roman" w:hAnsi="Times New Roman" w:cs="Times New Roman"/>
          <w:color w:val="000000" w:themeColor="text1"/>
        </w:rPr>
        <w:t>for</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oppression</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influenced</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the</w:t>
      </w:r>
      <w:proofErr w:type="spellEnd"/>
      <w:r w:rsidR="00ED7BDC" w:rsidRPr="00705170">
        <w:rPr>
          <w:rFonts w:ascii="Times New Roman" w:hAnsi="Times New Roman" w:cs="Times New Roman"/>
          <w:color w:val="000000" w:themeColor="text1"/>
        </w:rPr>
        <w:t xml:space="preserve"> </w:t>
      </w:r>
      <w:proofErr w:type="spellStart"/>
      <w:r w:rsidR="00ED7BDC" w:rsidRPr="00705170">
        <w:rPr>
          <w:rFonts w:ascii="Times New Roman" w:hAnsi="Times New Roman" w:cs="Times New Roman"/>
          <w:color w:val="000000" w:themeColor="text1"/>
        </w:rPr>
        <w:t>legislators</w:t>
      </w:r>
      <w:proofErr w:type="spellEnd"/>
      <w:r w:rsidR="00ED7BDC" w:rsidRPr="00705170">
        <w:rPr>
          <w:rStyle w:val="DipnotBavurusu"/>
          <w:rFonts w:ascii="Times New Roman" w:hAnsi="Times New Roman" w:cs="Times New Roman"/>
          <w:color w:val="000000" w:themeColor="text1"/>
        </w:rPr>
        <w:footnoteReference w:id="671"/>
      </w:r>
      <w:r w:rsidR="00ED7BDC"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The</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court</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opined</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that</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the</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language</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and</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intent</w:t>
      </w:r>
      <w:proofErr w:type="spellEnd"/>
      <w:r w:rsidR="00E214D2" w:rsidRPr="00705170">
        <w:rPr>
          <w:rFonts w:ascii="Times New Roman" w:hAnsi="Times New Roman" w:cs="Times New Roman"/>
          <w:color w:val="000000" w:themeColor="text1"/>
        </w:rPr>
        <w:t xml:space="preserve"> of </w:t>
      </w:r>
      <w:proofErr w:type="spellStart"/>
      <w:r w:rsidR="00E214D2" w:rsidRPr="00705170">
        <w:rPr>
          <w:rFonts w:ascii="Times New Roman" w:hAnsi="Times New Roman" w:cs="Times New Roman"/>
          <w:color w:val="000000" w:themeColor="text1"/>
        </w:rPr>
        <w:t>the</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statute</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means</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that</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the</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court’s</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examination</w:t>
      </w:r>
      <w:proofErr w:type="spellEnd"/>
      <w:r w:rsidR="00E214D2" w:rsidRPr="00705170">
        <w:rPr>
          <w:rFonts w:ascii="Times New Roman" w:hAnsi="Times New Roman" w:cs="Times New Roman"/>
          <w:color w:val="000000" w:themeColor="text1"/>
        </w:rPr>
        <w:t xml:space="preserve"> of </w:t>
      </w:r>
      <w:proofErr w:type="spellStart"/>
      <w:r w:rsidR="00E214D2" w:rsidRPr="00705170">
        <w:rPr>
          <w:rFonts w:ascii="Times New Roman" w:hAnsi="Times New Roman" w:cs="Times New Roman"/>
          <w:color w:val="000000" w:themeColor="text1"/>
        </w:rPr>
        <w:t>oppressive</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conduct</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need</w:t>
      </w:r>
      <w:proofErr w:type="spellEnd"/>
      <w:r w:rsidR="00E214D2" w:rsidRPr="00705170">
        <w:rPr>
          <w:rFonts w:ascii="Times New Roman" w:hAnsi="Times New Roman" w:cs="Times New Roman"/>
          <w:color w:val="000000" w:themeColor="text1"/>
        </w:rPr>
        <w:t xml:space="preserve"> not be </w:t>
      </w:r>
      <w:proofErr w:type="spellStart"/>
      <w:r w:rsidR="00E214D2" w:rsidRPr="00705170">
        <w:rPr>
          <w:rFonts w:ascii="Times New Roman" w:hAnsi="Times New Roman" w:cs="Times New Roman"/>
          <w:color w:val="000000" w:themeColor="text1"/>
        </w:rPr>
        <w:t>confined</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merely</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to</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effect</w:t>
      </w:r>
      <w:proofErr w:type="spellEnd"/>
      <w:r w:rsidR="00E214D2" w:rsidRPr="00705170">
        <w:rPr>
          <w:rFonts w:ascii="Times New Roman" w:hAnsi="Times New Roman" w:cs="Times New Roman"/>
          <w:color w:val="000000" w:themeColor="text1"/>
        </w:rPr>
        <w:t xml:space="preserve"> on </w:t>
      </w:r>
      <w:proofErr w:type="spellStart"/>
      <w:r w:rsidR="00E214D2" w:rsidRPr="00705170">
        <w:rPr>
          <w:rFonts w:ascii="Times New Roman" w:hAnsi="Times New Roman" w:cs="Times New Roman"/>
          <w:color w:val="000000" w:themeColor="text1"/>
        </w:rPr>
        <w:t>the</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shareholder</w:t>
      </w:r>
      <w:proofErr w:type="spellEnd"/>
      <w:r w:rsidR="00E214D2" w:rsidRPr="00705170">
        <w:rPr>
          <w:rFonts w:ascii="Times New Roman" w:hAnsi="Times New Roman" w:cs="Times New Roman"/>
          <w:color w:val="000000" w:themeColor="text1"/>
        </w:rPr>
        <w:t xml:space="preserve"> in his sole role as </w:t>
      </w:r>
      <w:proofErr w:type="spellStart"/>
      <w:r w:rsidR="00E214D2" w:rsidRPr="00705170">
        <w:rPr>
          <w:rFonts w:ascii="Times New Roman" w:hAnsi="Times New Roman" w:cs="Times New Roman"/>
          <w:color w:val="000000" w:themeColor="text1"/>
        </w:rPr>
        <w:t>shareholder</w:t>
      </w:r>
      <w:proofErr w:type="spellEnd"/>
      <w:r w:rsidR="00BE0DFB" w:rsidRPr="00705170">
        <w:rPr>
          <w:rFonts w:ascii="Times New Roman" w:hAnsi="Times New Roman" w:cs="Times New Roman"/>
          <w:color w:val="000000" w:themeColor="text1"/>
        </w:rPr>
        <w:t xml:space="preserve">, </w:t>
      </w:r>
      <w:r w:rsidR="00B514C2" w:rsidRPr="00705170">
        <w:rPr>
          <w:rFonts w:ascii="Times New Roman" w:hAnsi="Times New Roman" w:cs="Times New Roman"/>
          <w:color w:val="000000" w:themeColor="text1"/>
        </w:rPr>
        <w:t xml:space="preserve">as </w:t>
      </w:r>
      <w:proofErr w:type="spellStart"/>
      <w:r w:rsidR="00B514C2" w:rsidRPr="00705170">
        <w:rPr>
          <w:rFonts w:ascii="Times New Roman" w:hAnsi="Times New Roman" w:cs="Times New Roman"/>
          <w:color w:val="000000" w:themeColor="text1"/>
        </w:rPr>
        <w:t>the</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provision</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directs</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the</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court</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to</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consider</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more</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than</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fair</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return</w:t>
      </w:r>
      <w:proofErr w:type="spellEnd"/>
      <w:r w:rsidR="00B514C2" w:rsidRPr="00705170">
        <w:rPr>
          <w:rFonts w:ascii="Times New Roman" w:hAnsi="Times New Roman" w:cs="Times New Roman"/>
          <w:color w:val="000000" w:themeColor="text1"/>
        </w:rPr>
        <w:t xml:space="preserve"> on </w:t>
      </w:r>
      <w:proofErr w:type="spellStart"/>
      <w:r w:rsidR="00B514C2" w:rsidRPr="00705170">
        <w:rPr>
          <w:rFonts w:ascii="Times New Roman" w:hAnsi="Times New Roman" w:cs="Times New Roman"/>
          <w:color w:val="000000" w:themeColor="text1"/>
        </w:rPr>
        <w:t>investment</w:t>
      </w:r>
      <w:proofErr w:type="spellEnd"/>
      <w:r w:rsidR="00B514C2" w:rsidRPr="00705170">
        <w:rPr>
          <w:rFonts w:ascii="Times New Roman" w:hAnsi="Times New Roman" w:cs="Times New Roman"/>
          <w:color w:val="000000" w:themeColor="text1"/>
        </w:rPr>
        <w:t>” (</w:t>
      </w:r>
      <w:proofErr w:type="spellStart"/>
      <w:r w:rsidR="00B514C2" w:rsidRPr="00705170">
        <w:rPr>
          <w:rFonts w:ascii="Times New Roman" w:hAnsi="Times New Roman" w:cs="Times New Roman"/>
          <w:color w:val="000000" w:themeColor="text1"/>
        </w:rPr>
        <w:t>Sec</w:t>
      </w:r>
      <w:proofErr w:type="spellEnd"/>
      <w:r w:rsidR="00B514C2" w:rsidRPr="00705170">
        <w:rPr>
          <w:rFonts w:ascii="Times New Roman" w:hAnsi="Times New Roman" w:cs="Times New Roman"/>
          <w:color w:val="000000" w:themeColor="text1"/>
        </w:rPr>
        <w:t>. 1104</w:t>
      </w:r>
      <w:r w:rsidR="00FA487D" w:rsidRPr="00705170">
        <w:rPr>
          <w:rFonts w:ascii="Times New Roman" w:hAnsi="Times New Roman" w:cs="Times New Roman"/>
          <w:color w:val="000000" w:themeColor="text1"/>
        </w:rPr>
        <w:t xml:space="preserve">-a(b)(1)) </w:t>
      </w:r>
      <w:proofErr w:type="spellStart"/>
      <w:r w:rsidR="00FA487D" w:rsidRPr="00705170">
        <w:rPr>
          <w:rFonts w:ascii="Times New Roman" w:hAnsi="Times New Roman" w:cs="Times New Roman"/>
          <w:color w:val="000000" w:themeColor="text1"/>
        </w:rPr>
        <w:t>and</w:t>
      </w:r>
      <w:proofErr w:type="spellEnd"/>
      <w:r w:rsidR="00FA487D" w:rsidRPr="00705170">
        <w:rPr>
          <w:rFonts w:ascii="Times New Roman" w:hAnsi="Times New Roman" w:cs="Times New Roman"/>
          <w:color w:val="000000" w:themeColor="text1"/>
        </w:rPr>
        <w:t xml:space="preserve"> </w:t>
      </w:r>
      <w:proofErr w:type="spellStart"/>
      <w:r w:rsidR="00FA487D" w:rsidRPr="00705170">
        <w:rPr>
          <w:rFonts w:ascii="Times New Roman" w:hAnsi="Times New Roman" w:cs="Times New Roman"/>
          <w:color w:val="000000" w:themeColor="text1"/>
        </w:rPr>
        <w:t>also</w:t>
      </w:r>
      <w:proofErr w:type="spellEnd"/>
      <w:r w:rsidR="00FA487D" w:rsidRPr="00705170">
        <w:rPr>
          <w:rFonts w:ascii="Times New Roman" w:hAnsi="Times New Roman" w:cs="Times New Roman"/>
          <w:color w:val="000000" w:themeColor="text1"/>
        </w:rPr>
        <w:t xml:space="preserve"> </w:t>
      </w:r>
      <w:proofErr w:type="spellStart"/>
      <w:r w:rsidR="00FA487D" w:rsidRPr="00705170">
        <w:rPr>
          <w:rFonts w:ascii="Times New Roman" w:hAnsi="Times New Roman" w:cs="Times New Roman"/>
          <w:color w:val="000000" w:themeColor="text1"/>
        </w:rPr>
        <w:t>to</w:t>
      </w:r>
      <w:proofErr w:type="spellEnd"/>
      <w:r w:rsidR="00FA487D"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p</w:t>
      </w:r>
      <w:r w:rsidR="00FA487D" w:rsidRPr="00705170">
        <w:rPr>
          <w:rFonts w:ascii="Times New Roman" w:hAnsi="Times New Roman" w:cs="Times New Roman"/>
          <w:color w:val="000000" w:themeColor="text1"/>
        </w:rPr>
        <w:t>r</w:t>
      </w:r>
      <w:r w:rsidR="00B514C2" w:rsidRPr="00705170">
        <w:rPr>
          <w:rFonts w:ascii="Times New Roman" w:hAnsi="Times New Roman" w:cs="Times New Roman"/>
          <w:color w:val="000000" w:themeColor="text1"/>
        </w:rPr>
        <w:t>obe</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protection</w:t>
      </w:r>
      <w:proofErr w:type="spellEnd"/>
      <w:r w:rsidR="00B514C2" w:rsidRPr="00705170">
        <w:rPr>
          <w:rFonts w:ascii="Times New Roman" w:hAnsi="Times New Roman" w:cs="Times New Roman"/>
          <w:color w:val="000000" w:themeColor="text1"/>
        </w:rPr>
        <w:t xml:space="preserve"> of </w:t>
      </w:r>
      <w:proofErr w:type="spellStart"/>
      <w:r w:rsidR="00B514C2" w:rsidRPr="00705170">
        <w:rPr>
          <w:rFonts w:ascii="Times New Roman" w:hAnsi="Times New Roman" w:cs="Times New Roman"/>
          <w:color w:val="000000" w:themeColor="text1"/>
        </w:rPr>
        <w:t>the</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rights</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and</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interests</w:t>
      </w:r>
      <w:proofErr w:type="spellEnd"/>
      <w:r w:rsidR="006141AF" w:rsidRPr="00705170">
        <w:rPr>
          <w:rFonts w:ascii="Times New Roman" w:hAnsi="Times New Roman" w:cs="Times New Roman"/>
          <w:color w:val="000000" w:themeColor="text1"/>
        </w:rPr>
        <w:t>”</w:t>
      </w:r>
      <w:r w:rsidR="006141AF" w:rsidRPr="00705170">
        <w:rPr>
          <w:rStyle w:val="DipnotBavurusu"/>
          <w:rFonts w:ascii="Times New Roman" w:hAnsi="Times New Roman" w:cs="Times New Roman"/>
          <w:color w:val="000000" w:themeColor="text1"/>
        </w:rPr>
        <w:footnoteReference w:id="672"/>
      </w:r>
      <w:r w:rsidR="00B514C2" w:rsidRPr="00705170">
        <w:rPr>
          <w:rFonts w:ascii="Times New Roman" w:hAnsi="Times New Roman" w:cs="Times New Roman"/>
          <w:color w:val="000000" w:themeColor="text1"/>
        </w:rPr>
        <w:t xml:space="preserve"> of </w:t>
      </w:r>
      <w:proofErr w:type="spellStart"/>
      <w:r w:rsidR="00B514C2" w:rsidRPr="00705170">
        <w:rPr>
          <w:rFonts w:ascii="Times New Roman" w:hAnsi="Times New Roman" w:cs="Times New Roman"/>
          <w:color w:val="000000" w:themeColor="text1"/>
        </w:rPr>
        <w:t>the</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petitioners</w:t>
      </w:r>
      <w:proofErr w:type="spellEnd"/>
      <w:r w:rsidR="00B514C2" w:rsidRPr="00705170">
        <w:rPr>
          <w:rFonts w:ascii="Times New Roman" w:hAnsi="Times New Roman" w:cs="Times New Roman"/>
          <w:color w:val="000000" w:themeColor="text1"/>
        </w:rPr>
        <w:t xml:space="preserve"> (</w:t>
      </w:r>
      <w:proofErr w:type="spellStart"/>
      <w:r w:rsidR="00B514C2" w:rsidRPr="00705170">
        <w:rPr>
          <w:rFonts w:ascii="Times New Roman" w:hAnsi="Times New Roman" w:cs="Times New Roman"/>
          <w:color w:val="000000" w:themeColor="text1"/>
        </w:rPr>
        <w:t>Sec</w:t>
      </w:r>
      <w:proofErr w:type="spellEnd"/>
      <w:r w:rsidR="00B514C2" w:rsidRPr="00705170">
        <w:rPr>
          <w:rFonts w:ascii="Times New Roman" w:hAnsi="Times New Roman" w:cs="Times New Roman"/>
          <w:color w:val="000000" w:themeColor="text1"/>
        </w:rPr>
        <w:t>. 1104-a(b)(2))</w:t>
      </w:r>
      <w:r w:rsidR="00BE0DFB" w:rsidRPr="00705170">
        <w:rPr>
          <w:rStyle w:val="DipnotBavurusu"/>
          <w:rFonts w:ascii="Times New Roman" w:hAnsi="Times New Roman" w:cs="Times New Roman"/>
          <w:color w:val="000000" w:themeColor="text1"/>
        </w:rPr>
        <w:footnoteReference w:id="673"/>
      </w:r>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In</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doing</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so</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the</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court</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took</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the</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nature</w:t>
      </w:r>
      <w:proofErr w:type="spellEnd"/>
      <w:r w:rsidR="00E214D2" w:rsidRPr="00705170">
        <w:rPr>
          <w:rFonts w:ascii="Times New Roman" w:hAnsi="Times New Roman" w:cs="Times New Roman"/>
          <w:color w:val="000000" w:themeColor="text1"/>
        </w:rPr>
        <w:t xml:space="preserve"> of </w:t>
      </w:r>
      <w:proofErr w:type="spellStart"/>
      <w:r w:rsidR="00E214D2" w:rsidRPr="00705170">
        <w:rPr>
          <w:rFonts w:ascii="Times New Roman" w:hAnsi="Times New Roman" w:cs="Times New Roman"/>
          <w:color w:val="000000" w:themeColor="text1"/>
        </w:rPr>
        <w:t>the</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close</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corporations</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into</w:t>
      </w:r>
      <w:proofErr w:type="spellEnd"/>
      <w:r w:rsidR="00E214D2" w:rsidRPr="00705170">
        <w:rPr>
          <w:rFonts w:ascii="Times New Roman" w:hAnsi="Times New Roman" w:cs="Times New Roman"/>
          <w:color w:val="000000" w:themeColor="text1"/>
        </w:rPr>
        <w:t xml:space="preserve"> </w:t>
      </w:r>
      <w:proofErr w:type="spellStart"/>
      <w:r w:rsidR="00E214D2" w:rsidRPr="00705170">
        <w:rPr>
          <w:rFonts w:ascii="Times New Roman" w:hAnsi="Times New Roman" w:cs="Times New Roman"/>
          <w:color w:val="000000" w:themeColor="text1"/>
        </w:rPr>
        <w:t>consideration</w:t>
      </w:r>
      <w:proofErr w:type="spellEnd"/>
      <w:r w:rsidR="00E214D2" w:rsidRPr="00705170">
        <w:rPr>
          <w:rStyle w:val="DipnotBavurusu"/>
          <w:rFonts w:ascii="Times New Roman" w:hAnsi="Times New Roman" w:cs="Times New Roman"/>
          <w:color w:val="000000" w:themeColor="text1"/>
        </w:rPr>
        <w:footnoteReference w:id="674"/>
      </w:r>
      <w:r w:rsidR="00FA487D" w:rsidRPr="00705170">
        <w:rPr>
          <w:rFonts w:ascii="Times New Roman" w:hAnsi="Times New Roman" w:cs="Times New Roman"/>
          <w:color w:val="000000" w:themeColor="text1"/>
        </w:rPr>
        <w:t xml:space="preserve">, </w:t>
      </w:r>
      <w:proofErr w:type="spellStart"/>
      <w:r w:rsidR="00FA487D" w:rsidRPr="00705170">
        <w:rPr>
          <w:rFonts w:ascii="Times New Roman" w:hAnsi="Times New Roman" w:cs="Times New Roman"/>
          <w:color w:val="000000" w:themeColor="text1"/>
        </w:rPr>
        <w:t>and</w:t>
      </w:r>
      <w:proofErr w:type="spellEnd"/>
      <w:r w:rsidR="00FA487D" w:rsidRPr="00705170">
        <w:rPr>
          <w:rFonts w:ascii="Times New Roman" w:hAnsi="Times New Roman" w:cs="Times New Roman"/>
          <w:color w:val="000000" w:themeColor="text1"/>
        </w:rPr>
        <w:t xml:space="preserve"> </w:t>
      </w:r>
      <w:proofErr w:type="spellStart"/>
      <w:r w:rsidR="00C62A3D" w:rsidRPr="00705170">
        <w:rPr>
          <w:rFonts w:ascii="Times New Roman" w:hAnsi="Times New Roman" w:cs="Times New Roman"/>
          <w:color w:val="000000" w:themeColor="text1"/>
        </w:rPr>
        <w:t>concluded</w:t>
      </w:r>
      <w:proofErr w:type="spellEnd"/>
      <w:r w:rsidR="00C62A3D" w:rsidRPr="00705170">
        <w:rPr>
          <w:rFonts w:ascii="Times New Roman" w:hAnsi="Times New Roman" w:cs="Times New Roman"/>
          <w:color w:val="000000" w:themeColor="text1"/>
        </w:rPr>
        <w:t xml:space="preserve"> as </w:t>
      </w:r>
      <w:proofErr w:type="spellStart"/>
      <w:r w:rsidR="00C62A3D" w:rsidRPr="00705170">
        <w:rPr>
          <w:rFonts w:ascii="Times New Roman" w:hAnsi="Times New Roman" w:cs="Times New Roman"/>
          <w:color w:val="000000" w:themeColor="text1"/>
        </w:rPr>
        <w:t>follows</w:t>
      </w:r>
      <w:proofErr w:type="spellEnd"/>
      <w:r w:rsidR="00FA487D" w:rsidRPr="00705170">
        <w:rPr>
          <w:rFonts w:ascii="Times New Roman" w:hAnsi="Times New Roman" w:cs="Times New Roman"/>
          <w:color w:val="000000" w:themeColor="text1"/>
        </w:rPr>
        <w:t>: “</w:t>
      </w:r>
      <w:proofErr w:type="spellStart"/>
      <w:r w:rsidR="00FA487D" w:rsidRPr="00705170">
        <w:rPr>
          <w:rFonts w:ascii="Times New Roman" w:hAnsi="Times New Roman" w:cs="Times New Roman"/>
          <w:color w:val="000000"/>
        </w:rPr>
        <w:t>Clearly</w:t>
      </w:r>
      <w:proofErr w:type="spellEnd"/>
      <w:r w:rsidR="00FA487D" w:rsidRPr="00705170">
        <w:rPr>
          <w:rFonts w:ascii="Times New Roman" w:hAnsi="Times New Roman" w:cs="Times New Roman"/>
          <w:color w:val="000000"/>
        </w:rPr>
        <w:t xml:space="preserve">, BCL 1104-a </w:t>
      </w:r>
      <w:proofErr w:type="spellStart"/>
      <w:r w:rsidR="00FA487D" w:rsidRPr="00705170">
        <w:rPr>
          <w:rFonts w:ascii="Times New Roman" w:hAnsi="Times New Roman" w:cs="Times New Roman"/>
          <w:color w:val="000000"/>
        </w:rPr>
        <w:t>determines</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that</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oppression</w:t>
      </w:r>
      <w:proofErr w:type="spellEnd"/>
      <w:r w:rsidR="00FA487D" w:rsidRPr="00705170">
        <w:rPr>
          <w:rFonts w:ascii="Times New Roman" w:hAnsi="Times New Roman" w:cs="Times New Roman"/>
          <w:color w:val="000000"/>
        </w:rPr>
        <w:t xml:space="preserve"> of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rights</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and</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interests</w:t>
      </w:r>
      <w:proofErr w:type="spellEnd"/>
      <w:r w:rsidR="00FA487D" w:rsidRPr="00705170">
        <w:rPr>
          <w:rFonts w:ascii="Times New Roman" w:hAnsi="Times New Roman" w:cs="Times New Roman"/>
          <w:color w:val="000000"/>
        </w:rPr>
        <w:t xml:space="preserve">” of </w:t>
      </w:r>
      <w:proofErr w:type="spellStart"/>
      <w:r w:rsidR="00FA487D" w:rsidRPr="00705170">
        <w:rPr>
          <w:rFonts w:ascii="Times New Roman" w:hAnsi="Times New Roman" w:cs="Times New Roman"/>
          <w:color w:val="000000"/>
        </w:rPr>
        <w:t>minority</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shareholders</w:t>
      </w:r>
      <w:proofErr w:type="spellEnd"/>
      <w:r w:rsidR="00FA487D" w:rsidRPr="00705170">
        <w:rPr>
          <w:rFonts w:ascii="Times New Roman" w:hAnsi="Times New Roman" w:cs="Times New Roman"/>
          <w:color w:val="000000"/>
        </w:rPr>
        <w:t xml:space="preserve"> in a </w:t>
      </w:r>
      <w:proofErr w:type="spellStart"/>
      <w:r w:rsidR="00FA487D" w:rsidRPr="00705170">
        <w:rPr>
          <w:rFonts w:ascii="Times New Roman" w:hAnsi="Times New Roman" w:cs="Times New Roman"/>
          <w:color w:val="000000"/>
        </w:rPr>
        <w:t>close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corporation</w:t>
      </w:r>
      <w:proofErr w:type="spellEnd"/>
      <w:r w:rsidR="00FA487D" w:rsidRPr="00705170">
        <w:rPr>
          <w:rFonts w:ascii="Times New Roman" w:hAnsi="Times New Roman" w:cs="Times New Roman"/>
          <w:color w:val="000000"/>
        </w:rPr>
        <w:t xml:space="preserve"> is an </w:t>
      </w:r>
      <w:proofErr w:type="spellStart"/>
      <w:r w:rsidR="00FA487D" w:rsidRPr="00705170">
        <w:rPr>
          <w:rFonts w:ascii="Times New Roman" w:hAnsi="Times New Roman" w:cs="Times New Roman"/>
          <w:color w:val="000000"/>
        </w:rPr>
        <w:t>abuse</w:t>
      </w:r>
      <w:proofErr w:type="spellEnd"/>
      <w:r w:rsidR="00FA487D" w:rsidRPr="00705170">
        <w:rPr>
          <w:rFonts w:ascii="Times New Roman" w:hAnsi="Times New Roman" w:cs="Times New Roman"/>
          <w:color w:val="000000"/>
        </w:rPr>
        <w:t xml:space="preserve"> of </w:t>
      </w:r>
      <w:proofErr w:type="spellStart"/>
      <w:r w:rsidR="00FA487D" w:rsidRPr="00705170">
        <w:rPr>
          <w:rFonts w:ascii="Times New Roman" w:hAnsi="Times New Roman" w:cs="Times New Roman"/>
          <w:color w:val="000000"/>
        </w:rPr>
        <w:t>corporate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power</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These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rights</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and</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interests</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derive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from</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expectations</w:t>
      </w:r>
      <w:proofErr w:type="spellEnd"/>
      <w:r w:rsidR="00FA487D" w:rsidRPr="00705170">
        <w:rPr>
          <w:rFonts w:ascii="Times New Roman" w:hAnsi="Times New Roman" w:cs="Times New Roman"/>
          <w:color w:val="000000"/>
        </w:rPr>
        <w:t xml:space="preserve"> of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parties</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and</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special</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circumstances</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that</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underlie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formation</w:t>
      </w:r>
      <w:proofErr w:type="spellEnd"/>
      <w:r w:rsidR="00FA487D" w:rsidRPr="00705170">
        <w:rPr>
          <w:rFonts w:ascii="Times New Roman" w:hAnsi="Times New Roman" w:cs="Times New Roman"/>
          <w:color w:val="000000"/>
        </w:rPr>
        <w:t xml:space="preserve"> of </w:t>
      </w:r>
      <w:proofErr w:type="spellStart"/>
      <w:r w:rsidR="00FA487D" w:rsidRPr="00705170">
        <w:rPr>
          <w:rFonts w:ascii="Times New Roman" w:hAnsi="Times New Roman" w:cs="Times New Roman"/>
          <w:color w:val="000000"/>
        </w:rPr>
        <w:t>close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corporations</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Court </w:t>
      </w:r>
      <w:proofErr w:type="spellStart"/>
      <w:r w:rsidR="00FA487D" w:rsidRPr="00705170">
        <w:rPr>
          <w:rFonts w:ascii="Times New Roman" w:hAnsi="Times New Roman" w:cs="Times New Roman"/>
          <w:color w:val="000000"/>
        </w:rPr>
        <w:t>may</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determine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lastRenderedPageBreak/>
        <w:t>understanding</w:t>
      </w:r>
      <w:proofErr w:type="spellEnd"/>
      <w:r w:rsidR="00FA487D" w:rsidRPr="00705170">
        <w:rPr>
          <w:rFonts w:ascii="Times New Roman" w:hAnsi="Times New Roman" w:cs="Times New Roman"/>
          <w:color w:val="000000"/>
        </w:rPr>
        <w:t xml:space="preserve"> of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parties</w:t>
      </w:r>
      <w:proofErr w:type="spellEnd"/>
      <w:r w:rsidR="00FA487D" w:rsidRPr="00705170">
        <w:rPr>
          <w:rFonts w:ascii="Times New Roman" w:hAnsi="Times New Roman" w:cs="Times New Roman"/>
          <w:color w:val="000000"/>
        </w:rPr>
        <w:t xml:space="preserve"> as </w:t>
      </w:r>
      <w:proofErr w:type="spellStart"/>
      <w:r w:rsidR="00FA487D" w:rsidRPr="00705170">
        <w:rPr>
          <w:rFonts w:ascii="Times New Roman" w:hAnsi="Times New Roman" w:cs="Times New Roman"/>
          <w:color w:val="000000"/>
        </w:rPr>
        <w:t>to</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role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complaining</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shareholder</w:t>
      </w:r>
      <w:proofErr w:type="spellEnd"/>
      <w:r w:rsidR="00FA487D" w:rsidRPr="00705170">
        <w:rPr>
          <w:rFonts w:ascii="Times New Roman" w:hAnsi="Times New Roman" w:cs="Times New Roman"/>
          <w:color w:val="000000"/>
        </w:rPr>
        <w:t xml:space="preserve"> is </w:t>
      </w:r>
      <w:proofErr w:type="spellStart"/>
      <w:r w:rsidR="00FA487D" w:rsidRPr="00705170">
        <w:rPr>
          <w:rFonts w:ascii="Times New Roman" w:hAnsi="Times New Roman" w:cs="Times New Roman"/>
          <w:color w:val="000000"/>
        </w:rPr>
        <w:t>expected</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to</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play</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from</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agreements</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and</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evidence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submitted</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Court can </w:t>
      </w:r>
      <w:proofErr w:type="spellStart"/>
      <w:r w:rsidR="00FA487D" w:rsidRPr="00705170">
        <w:rPr>
          <w:rFonts w:ascii="Times New Roman" w:hAnsi="Times New Roman" w:cs="Times New Roman"/>
          <w:color w:val="000000"/>
        </w:rPr>
        <w:t>then</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decide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whether</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controlling</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shareholders</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have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acted</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contrary</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to</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that</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understanding</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or</w:t>
      </w:r>
      <w:proofErr w:type="spellEnd"/>
      <w:r w:rsidR="00FA487D" w:rsidRPr="00705170">
        <w:rPr>
          <w:rFonts w:ascii="Times New Roman" w:hAnsi="Times New Roman" w:cs="Times New Roman"/>
          <w:color w:val="000000"/>
        </w:rPr>
        <w:t xml:space="preserve">, in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language</w:t>
      </w:r>
      <w:proofErr w:type="spellEnd"/>
      <w:r w:rsidR="00FA487D" w:rsidRPr="00705170">
        <w:rPr>
          <w:rFonts w:ascii="Times New Roman" w:hAnsi="Times New Roman" w:cs="Times New Roman"/>
          <w:color w:val="000000"/>
        </w:rPr>
        <w:t xml:space="preserve"> of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statute</w:t>
      </w:r>
      <w:proofErr w:type="spellEnd"/>
      <w:r w:rsidR="00FA487D" w:rsidRPr="00705170">
        <w:rPr>
          <w:rFonts w:ascii="Times New Roman" w:hAnsi="Times New Roman" w:cs="Times New Roman"/>
          <w:color w:val="000000"/>
        </w:rPr>
        <w:t>, ‘</w:t>
      </w:r>
      <w:proofErr w:type="spellStart"/>
      <w:r w:rsidR="00FA487D" w:rsidRPr="00705170">
        <w:rPr>
          <w:rFonts w:ascii="Times New Roman" w:hAnsi="Times New Roman" w:cs="Times New Roman"/>
          <w:color w:val="000000"/>
        </w:rPr>
        <w:t>have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been</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guilty</w:t>
      </w:r>
      <w:proofErr w:type="spellEnd"/>
      <w:r w:rsidR="00FA487D" w:rsidRPr="00705170">
        <w:rPr>
          <w:rFonts w:ascii="Times New Roman" w:hAnsi="Times New Roman" w:cs="Times New Roman"/>
          <w:color w:val="000000"/>
        </w:rPr>
        <w:t xml:space="preserve"> of </w:t>
      </w:r>
      <w:proofErr w:type="spellStart"/>
      <w:r w:rsidR="00FA487D" w:rsidRPr="00705170">
        <w:rPr>
          <w:rFonts w:ascii="Times New Roman" w:hAnsi="Times New Roman" w:cs="Times New Roman"/>
          <w:color w:val="000000"/>
        </w:rPr>
        <w:t>oppressive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actions</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toward</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the</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complaining</w:t>
      </w:r>
      <w:proofErr w:type="spellEnd"/>
      <w:r w:rsidR="00FA487D" w:rsidRPr="00705170">
        <w:rPr>
          <w:rFonts w:ascii="Times New Roman" w:hAnsi="Times New Roman" w:cs="Times New Roman"/>
          <w:color w:val="000000"/>
        </w:rPr>
        <w:t xml:space="preserve"> </w:t>
      </w:r>
      <w:proofErr w:type="spellStart"/>
      <w:r w:rsidR="00FA487D" w:rsidRPr="00705170">
        <w:rPr>
          <w:rFonts w:ascii="Times New Roman" w:hAnsi="Times New Roman" w:cs="Times New Roman"/>
          <w:color w:val="000000"/>
        </w:rPr>
        <w:t>shareholders</w:t>
      </w:r>
      <w:proofErr w:type="spellEnd"/>
      <w:r w:rsidR="00FA487D" w:rsidRPr="00705170">
        <w:rPr>
          <w:rFonts w:ascii="Times New Roman" w:hAnsi="Times New Roman" w:cs="Times New Roman"/>
          <w:color w:val="000000"/>
        </w:rPr>
        <w:t>.’”</w:t>
      </w:r>
      <w:r w:rsidR="00FA487D" w:rsidRPr="00705170">
        <w:rPr>
          <w:rStyle w:val="DipnotBavurusu"/>
          <w:rFonts w:ascii="Times New Roman" w:hAnsi="Times New Roman" w:cs="Times New Roman"/>
          <w:color w:val="000000"/>
        </w:rPr>
        <w:footnoteReference w:id="675"/>
      </w:r>
      <w:r w:rsidR="008249DC" w:rsidRPr="00705170">
        <w:rPr>
          <w:rFonts w:ascii="Times New Roman" w:hAnsi="Times New Roman" w:cs="Times New Roman"/>
          <w:color w:val="000000"/>
        </w:rPr>
        <w:t xml:space="preserve"> As </w:t>
      </w:r>
      <w:proofErr w:type="spellStart"/>
      <w:r w:rsidR="008249DC" w:rsidRPr="00705170">
        <w:rPr>
          <w:rFonts w:ascii="Times New Roman" w:hAnsi="Times New Roman" w:cs="Times New Roman"/>
          <w:color w:val="000000"/>
        </w:rPr>
        <w:t>the</w:t>
      </w:r>
      <w:proofErr w:type="spellEnd"/>
      <w:r w:rsidR="008249DC" w:rsidRPr="00705170">
        <w:rPr>
          <w:rFonts w:ascii="Times New Roman" w:hAnsi="Times New Roman" w:cs="Times New Roman"/>
          <w:color w:val="000000"/>
        </w:rPr>
        <w:t xml:space="preserve"> </w:t>
      </w:r>
      <w:proofErr w:type="spellStart"/>
      <w:r w:rsidR="008249DC" w:rsidRPr="00705170">
        <w:rPr>
          <w:rFonts w:ascii="Times New Roman" w:hAnsi="Times New Roman" w:cs="Times New Roman"/>
          <w:color w:val="000000"/>
        </w:rPr>
        <w:t>details</w:t>
      </w:r>
      <w:proofErr w:type="spellEnd"/>
      <w:r w:rsidR="008249DC" w:rsidRPr="00705170">
        <w:rPr>
          <w:rFonts w:ascii="Times New Roman" w:hAnsi="Times New Roman" w:cs="Times New Roman"/>
          <w:color w:val="000000"/>
        </w:rPr>
        <w:t xml:space="preserve"> of </w:t>
      </w:r>
      <w:proofErr w:type="spellStart"/>
      <w:r w:rsidR="008249DC" w:rsidRPr="00705170">
        <w:rPr>
          <w:rFonts w:ascii="Times New Roman" w:hAnsi="Times New Roman" w:cs="Times New Roman"/>
          <w:color w:val="000000"/>
        </w:rPr>
        <w:t>the</w:t>
      </w:r>
      <w:proofErr w:type="spellEnd"/>
      <w:r w:rsidR="008249DC" w:rsidRPr="00705170">
        <w:rPr>
          <w:rFonts w:ascii="Times New Roman" w:hAnsi="Times New Roman" w:cs="Times New Roman"/>
          <w:color w:val="000000"/>
        </w:rPr>
        <w:t xml:space="preserve"> </w:t>
      </w:r>
      <w:proofErr w:type="spellStart"/>
      <w:r w:rsidR="008249DC" w:rsidRPr="00705170">
        <w:rPr>
          <w:rFonts w:ascii="Times New Roman" w:hAnsi="Times New Roman" w:cs="Times New Roman"/>
          <w:color w:val="000000"/>
        </w:rPr>
        <w:t>reasonable</w:t>
      </w:r>
      <w:proofErr w:type="spellEnd"/>
      <w:r w:rsidR="008249DC" w:rsidRPr="00705170">
        <w:rPr>
          <w:rFonts w:ascii="Times New Roman" w:hAnsi="Times New Roman" w:cs="Times New Roman"/>
          <w:color w:val="000000"/>
        </w:rPr>
        <w:t xml:space="preserve"> </w:t>
      </w:r>
      <w:proofErr w:type="spellStart"/>
      <w:r w:rsidR="008249DC" w:rsidRPr="00705170">
        <w:rPr>
          <w:rFonts w:ascii="Times New Roman" w:hAnsi="Times New Roman" w:cs="Times New Roman"/>
          <w:color w:val="000000"/>
        </w:rPr>
        <w:t>expectations</w:t>
      </w:r>
      <w:proofErr w:type="spellEnd"/>
      <w:r w:rsidR="008249DC" w:rsidRPr="00705170">
        <w:rPr>
          <w:rFonts w:ascii="Times New Roman" w:hAnsi="Times New Roman" w:cs="Times New Roman"/>
          <w:color w:val="000000"/>
        </w:rPr>
        <w:t xml:space="preserve"> </w:t>
      </w:r>
      <w:proofErr w:type="spellStart"/>
      <w:r w:rsidR="008249DC" w:rsidRPr="00705170">
        <w:rPr>
          <w:rFonts w:ascii="Times New Roman" w:hAnsi="Times New Roman" w:cs="Times New Roman"/>
          <w:color w:val="000000"/>
        </w:rPr>
        <w:t>standard</w:t>
      </w:r>
      <w:proofErr w:type="spellEnd"/>
      <w:r w:rsidR="008249DC" w:rsidRPr="00705170">
        <w:rPr>
          <w:rFonts w:ascii="Times New Roman" w:hAnsi="Times New Roman" w:cs="Times New Roman"/>
          <w:color w:val="000000"/>
        </w:rPr>
        <w:t xml:space="preserve"> is </w:t>
      </w:r>
      <w:proofErr w:type="spellStart"/>
      <w:r w:rsidR="008249DC" w:rsidRPr="00705170">
        <w:rPr>
          <w:rFonts w:ascii="Times New Roman" w:hAnsi="Times New Roman" w:cs="Times New Roman"/>
          <w:color w:val="000000"/>
        </w:rPr>
        <w:t>explained</w:t>
      </w:r>
      <w:proofErr w:type="spellEnd"/>
      <w:r w:rsidR="008249DC" w:rsidRPr="00705170">
        <w:rPr>
          <w:rFonts w:ascii="Times New Roman" w:hAnsi="Times New Roman" w:cs="Times New Roman"/>
          <w:color w:val="000000"/>
        </w:rPr>
        <w:t xml:space="preserve"> </w:t>
      </w:r>
      <w:proofErr w:type="spellStart"/>
      <w:r w:rsidR="0085756D">
        <w:rPr>
          <w:rFonts w:ascii="Times New Roman" w:hAnsi="Times New Roman" w:cs="Times New Roman"/>
          <w:color w:val="000000"/>
        </w:rPr>
        <w:t>later</w:t>
      </w:r>
      <w:proofErr w:type="spellEnd"/>
      <w:r w:rsidR="008249DC" w:rsidRPr="00705170">
        <w:rPr>
          <w:rFonts w:ascii="Times New Roman" w:hAnsi="Times New Roman" w:cs="Times New Roman"/>
          <w:color w:val="000000"/>
        </w:rPr>
        <w:t xml:space="preserve">, </w:t>
      </w:r>
      <w:proofErr w:type="spellStart"/>
      <w:r w:rsidR="008249DC" w:rsidRPr="00705170">
        <w:rPr>
          <w:rFonts w:ascii="Times New Roman" w:hAnsi="Times New Roman" w:cs="Times New Roman"/>
          <w:color w:val="000000"/>
        </w:rPr>
        <w:t>no</w:t>
      </w:r>
      <w:proofErr w:type="spellEnd"/>
      <w:r w:rsidR="008249DC" w:rsidRPr="00705170">
        <w:rPr>
          <w:rFonts w:ascii="Times New Roman" w:hAnsi="Times New Roman" w:cs="Times New Roman"/>
          <w:color w:val="000000"/>
        </w:rPr>
        <w:t xml:space="preserve"> </w:t>
      </w:r>
      <w:proofErr w:type="spellStart"/>
      <w:r w:rsidR="008249DC" w:rsidRPr="00705170">
        <w:rPr>
          <w:rFonts w:ascii="Times New Roman" w:hAnsi="Times New Roman" w:cs="Times New Roman"/>
          <w:color w:val="000000"/>
        </w:rPr>
        <w:t>further</w:t>
      </w:r>
      <w:proofErr w:type="spellEnd"/>
      <w:r w:rsidR="008249DC" w:rsidRPr="00705170">
        <w:rPr>
          <w:rFonts w:ascii="Times New Roman" w:hAnsi="Times New Roman" w:cs="Times New Roman"/>
          <w:color w:val="000000"/>
        </w:rPr>
        <w:t xml:space="preserve"> </w:t>
      </w:r>
      <w:proofErr w:type="spellStart"/>
      <w:r w:rsidR="008249DC" w:rsidRPr="00705170">
        <w:rPr>
          <w:rFonts w:ascii="Times New Roman" w:hAnsi="Times New Roman" w:cs="Times New Roman"/>
          <w:color w:val="000000"/>
        </w:rPr>
        <w:t>analysis</w:t>
      </w:r>
      <w:proofErr w:type="spellEnd"/>
      <w:r w:rsidR="008249DC" w:rsidRPr="00705170">
        <w:rPr>
          <w:rFonts w:ascii="Times New Roman" w:hAnsi="Times New Roman" w:cs="Times New Roman"/>
          <w:color w:val="000000"/>
        </w:rPr>
        <w:t xml:space="preserve"> </w:t>
      </w:r>
      <w:proofErr w:type="spellStart"/>
      <w:r w:rsidR="008249DC" w:rsidRPr="00705170">
        <w:rPr>
          <w:rFonts w:ascii="Times New Roman" w:hAnsi="Times New Roman" w:cs="Times New Roman"/>
          <w:color w:val="000000"/>
        </w:rPr>
        <w:t>will</w:t>
      </w:r>
      <w:proofErr w:type="spellEnd"/>
      <w:r w:rsidR="008249DC" w:rsidRPr="00705170">
        <w:rPr>
          <w:rFonts w:ascii="Times New Roman" w:hAnsi="Times New Roman" w:cs="Times New Roman"/>
          <w:color w:val="000000"/>
        </w:rPr>
        <w:t xml:space="preserve"> be put </w:t>
      </w:r>
      <w:proofErr w:type="spellStart"/>
      <w:r w:rsidR="008249DC" w:rsidRPr="00705170">
        <w:rPr>
          <w:rFonts w:ascii="Times New Roman" w:hAnsi="Times New Roman" w:cs="Times New Roman"/>
          <w:color w:val="000000"/>
        </w:rPr>
        <w:t>forward</w:t>
      </w:r>
      <w:proofErr w:type="spellEnd"/>
      <w:r w:rsidR="008249DC" w:rsidRPr="00705170">
        <w:rPr>
          <w:rFonts w:ascii="Times New Roman" w:hAnsi="Times New Roman" w:cs="Times New Roman"/>
          <w:color w:val="000000"/>
        </w:rPr>
        <w:t xml:space="preserve"> in </w:t>
      </w:r>
      <w:proofErr w:type="spellStart"/>
      <w:r w:rsidR="008249DC" w:rsidRPr="00705170">
        <w:rPr>
          <w:rFonts w:ascii="Times New Roman" w:hAnsi="Times New Roman" w:cs="Times New Roman"/>
          <w:color w:val="000000"/>
        </w:rPr>
        <w:t>this</w:t>
      </w:r>
      <w:proofErr w:type="spellEnd"/>
      <w:r w:rsidR="008249DC" w:rsidRPr="00705170">
        <w:rPr>
          <w:rFonts w:ascii="Times New Roman" w:hAnsi="Times New Roman" w:cs="Times New Roman"/>
          <w:color w:val="000000"/>
        </w:rPr>
        <w:t xml:space="preserve"> </w:t>
      </w:r>
      <w:proofErr w:type="spellStart"/>
      <w:r w:rsidR="008249DC" w:rsidRPr="00705170">
        <w:rPr>
          <w:rFonts w:ascii="Times New Roman" w:hAnsi="Times New Roman" w:cs="Times New Roman"/>
          <w:color w:val="000000"/>
        </w:rPr>
        <w:t>section</w:t>
      </w:r>
      <w:proofErr w:type="spellEnd"/>
      <w:r w:rsidR="008249DC" w:rsidRPr="00705170">
        <w:rPr>
          <w:rFonts w:ascii="Times New Roman" w:hAnsi="Times New Roman" w:cs="Times New Roman"/>
          <w:color w:val="000000"/>
        </w:rPr>
        <w:t>.</w:t>
      </w:r>
    </w:p>
    <w:p w14:paraId="3F233708" w14:textId="6DB4BB4A" w:rsidR="005E4903" w:rsidRPr="00705170" w:rsidRDefault="00C01441" w:rsidP="005E4903">
      <w:pPr>
        <w:spacing w:after="240" w:line="480" w:lineRule="auto"/>
        <w:ind w:firstLine="708"/>
        <w:rPr>
          <w:rFonts w:ascii="Times New Roman" w:hAnsi="Times New Roman" w:cs="Times New Roman"/>
          <w:b/>
          <w:color w:val="000000" w:themeColor="text1"/>
        </w:rPr>
      </w:pPr>
      <w:r>
        <w:rPr>
          <w:rFonts w:ascii="Times New Roman" w:hAnsi="Times New Roman" w:cs="Times New Roman"/>
          <w:b/>
          <w:color w:val="000000" w:themeColor="text1"/>
        </w:rPr>
        <w:t>4</w:t>
      </w:r>
      <w:r w:rsidR="005E4903" w:rsidRPr="00705170">
        <w:rPr>
          <w:rFonts w:ascii="Times New Roman" w:hAnsi="Times New Roman" w:cs="Times New Roman"/>
          <w:b/>
          <w:color w:val="000000" w:themeColor="text1"/>
        </w:rPr>
        <w:t xml:space="preserve">.2.5. </w:t>
      </w:r>
      <w:proofErr w:type="spellStart"/>
      <w:r w:rsidR="005E4903" w:rsidRPr="00705170">
        <w:rPr>
          <w:rFonts w:ascii="Times New Roman" w:hAnsi="Times New Roman" w:cs="Times New Roman"/>
          <w:b/>
          <w:color w:val="000000" w:themeColor="text1"/>
        </w:rPr>
        <w:t>Remedies</w:t>
      </w:r>
      <w:proofErr w:type="spellEnd"/>
    </w:p>
    <w:p w14:paraId="7DEE8678" w14:textId="39044B91" w:rsidR="00236F95" w:rsidRPr="00705170" w:rsidRDefault="00DD505A" w:rsidP="00A73195">
      <w:pPr>
        <w:spacing w:after="240" w:line="480" w:lineRule="auto"/>
        <w:ind w:firstLine="708"/>
        <w:jc w:val="both"/>
        <w:rPr>
          <w:rFonts w:ascii="Times New Roman" w:hAnsi="Times New Roman" w:cs="Times New Roman"/>
          <w:color w:val="000000" w:themeColor="text1"/>
        </w:rPr>
      </w:pPr>
      <w:proofErr w:type="spellStart"/>
      <w:r w:rsidRPr="00705170">
        <w:rPr>
          <w:rFonts w:ascii="Times New Roman" w:hAnsi="Times New Roman" w:cs="Times New Roman"/>
          <w:color w:val="000000" w:themeColor="text1"/>
        </w:rPr>
        <w:t>In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U.S., </w:t>
      </w:r>
      <w:proofErr w:type="spellStart"/>
      <w:r w:rsidRPr="00705170">
        <w:rPr>
          <w:rFonts w:ascii="Times New Roman" w:hAnsi="Times New Roman" w:cs="Times New Roman"/>
          <w:color w:val="000000" w:themeColor="text1"/>
        </w:rPr>
        <w:t>generally</w:t>
      </w:r>
      <w:proofErr w:type="spellEnd"/>
      <w:r w:rsidR="00236F95" w:rsidRPr="00705170">
        <w:rPr>
          <w:rFonts w:ascii="Times New Roman" w:hAnsi="Times New Roman" w:cs="Times New Roman"/>
          <w:color w:val="000000" w:themeColor="text1"/>
        </w:rPr>
        <w:t>,</w:t>
      </w:r>
      <w:r w:rsidRPr="00705170">
        <w:rPr>
          <w:rFonts w:ascii="Times New Roman" w:hAnsi="Times New Roman" w:cs="Times New Roman"/>
          <w:color w:val="000000" w:themeColor="text1"/>
        </w:rPr>
        <w:t xml:space="preserve"> an </w:t>
      </w:r>
      <w:proofErr w:type="spellStart"/>
      <w:r w:rsidRPr="00705170">
        <w:rPr>
          <w:rFonts w:ascii="Times New Roman" w:hAnsi="Times New Roman" w:cs="Times New Roman"/>
          <w:color w:val="000000" w:themeColor="text1"/>
        </w:rPr>
        <w:t>actual</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dissolution</w:t>
      </w:r>
      <w:proofErr w:type="spellEnd"/>
      <w:r w:rsidRPr="00705170">
        <w:rPr>
          <w:rFonts w:ascii="Times New Roman" w:hAnsi="Times New Roman" w:cs="Times New Roman"/>
          <w:color w:val="000000" w:themeColor="text1"/>
        </w:rPr>
        <w:t xml:space="preserve"> is not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only</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remedy</w:t>
      </w:r>
      <w:proofErr w:type="spellEnd"/>
      <w:r w:rsidRPr="00705170">
        <w:rPr>
          <w:rFonts w:ascii="Times New Roman" w:hAnsi="Times New Roman" w:cs="Times New Roman"/>
          <w:color w:val="000000" w:themeColor="text1"/>
        </w:rPr>
        <w:t xml:space="preserve"> at </w:t>
      </w:r>
      <w:proofErr w:type="spellStart"/>
      <w:r w:rsidRPr="00705170">
        <w:rPr>
          <w:rFonts w:ascii="Times New Roman" w:hAnsi="Times New Roman" w:cs="Times New Roman"/>
          <w:color w:val="000000" w:themeColor="text1"/>
        </w:rPr>
        <w:t>court’s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disposal</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when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oppressive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conduct</w:t>
      </w:r>
      <w:proofErr w:type="spellEnd"/>
      <w:r w:rsidRPr="00705170">
        <w:rPr>
          <w:rFonts w:ascii="Times New Roman" w:hAnsi="Times New Roman" w:cs="Times New Roman"/>
          <w:color w:val="000000" w:themeColor="text1"/>
        </w:rPr>
        <w:t xml:space="preserve"> has </w:t>
      </w:r>
      <w:proofErr w:type="spellStart"/>
      <w:r w:rsidRPr="00705170">
        <w:rPr>
          <w:rFonts w:ascii="Times New Roman" w:hAnsi="Times New Roman" w:cs="Times New Roman"/>
          <w:color w:val="000000" w:themeColor="text1"/>
        </w:rPr>
        <w:t>occurred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and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both</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state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statutes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and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courts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have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authorized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alternative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remedies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less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drastic</w:t>
      </w:r>
      <w:proofErr w:type="spellEnd"/>
      <w:r w:rsidRPr="00705170">
        <w:rPr>
          <w:rStyle w:val="DipnotBavurusu"/>
          <w:rFonts w:ascii="Times New Roman" w:hAnsi="Times New Roman" w:cs="Times New Roman"/>
          <w:color w:val="000000" w:themeColor="text1"/>
        </w:rPr>
        <w:footnoteReference w:id="676"/>
      </w:r>
      <w:r w:rsidRPr="00705170">
        <w:rPr>
          <w:rFonts w:ascii="Times New Roman" w:hAnsi="Times New Roman" w:cs="Times New Roman"/>
          <w:color w:val="000000" w:themeColor="text1"/>
        </w:rPr>
        <w:t>.</w:t>
      </w:r>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Although</w:t>
      </w:r>
      <w:proofErr w:type="spellEnd"/>
      <w:r w:rsidR="00236F95" w:rsidRPr="00705170">
        <w:rPr>
          <w:rFonts w:ascii="Times New Roman" w:hAnsi="Times New Roman" w:cs="Times New Roman"/>
          <w:color w:val="000000" w:themeColor="text1"/>
        </w:rPr>
        <w:t xml:space="preserve"> it is </w:t>
      </w:r>
      <w:proofErr w:type="spellStart"/>
      <w:r w:rsidR="00236F95" w:rsidRPr="00705170">
        <w:rPr>
          <w:rFonts w:ascii="Times New Roman" w:hAnsi="Times New Roman" w:cs="Times New Roman"/>
          <w:color w:val="000000" w:themeColor="text1"/>
        </w:rPr>
        <w:t>thought</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that</w:t>
      </w:r>
      <w:proofErr w:type="spellEnd"/>
      <w:r w:rsidR="00236F95" w:rsidRPr="00705170">
        <w:rPr>
          <w:rFonts w:ascii="Times New Roman" w:hAnsi="Times New Roman" w:cs="Times New Roman"/>
          <w:color w:val="000000" w:themeColor="text1"/>
        </w:rPr>
        <w:t xml:space="preserve"> a </w:t>
      </w:r>
      <w:proofErr w:type="spellStart"/>
      <w:r w:rsidR="00236F95" w:rsidRPr="00705170">
        <w:rPr>
          <w:rFonts w:ascii="Times New Roman" w:hAnsi="Times New Roman" w:cs="Times New Roman"/>
          <w:color w:val="000000" w:themeColor="text1"/>
        </w:rPr>
        <w:t>profitable</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corporation</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will</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find</w:t>
      </w:r>
      <w:proofErr w:type="spellEnd"/>
      <w:r w:rsidR="00236F95" w:rsidRPr="00705170">
        <w:rPr>
          <w:rFonts w:ascii="Times New Roman" w:hAnsi="Times New Roman" w:cs="Times New Roman"/>
          <w:color w:val="000000" w:themeColor="text1"/>
        </w:rPr>
        <w:t xml:space="preserve"> a </w:t>
      </w:r>
      <w:proofErr w:type="spellStart"/>
      <w:r w:rsidR="00236F95" w:rsidRPr="00705170">
        <w:rPr>
          <w:rFonts w:ascii="Times New Roman" w:hAnsi="Times New Roman" w:cs="Times New Roman"/>
          <w:color w:val="000000" w:themeColor="text1"/>
        </w:rPr>
        <w:t>purchaser</w:t>
      </w:r>
      <w:proofErr w:type="spellEnd"/>
      <w:r w:rsidR="00236F95" w:rsidRPr="00705170">
        <w:rPr>
          <w:rFonts w:ascii="Times New Roman" w:hAnsi="Times New Roman" w:cs="Times New Roman"/>
          <w:color w:val="000000" w:themeColor="text1"/>
        </w:rPr>
        <w:t xml:space="preserve"> at a </w:t>
      </w:r>
      <w:proofErr w:type="spellStart"/>
      <w:r w:rsidR="00236F95" w:rsidRPr="00705170">
        <w:rPr>
          <w:rFonts w:ascii="Times New Roman" w:hAnsi="Times New Roman" w:cs="Times New Roman"/>
          <w:color w:val="000000" w:themeColor="text1"/>
        </w:rPr>
        <w:t>dissolution</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sale</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so</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the</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resources</w:t>
      </w:r>
      <w:proofErr w:type="spellEnd"/>
      <w:r w:rsidR="00236F95" w:rsidRPr="00705170">
        <w:rPr>
          <w:rFonts w:ascii="Times New Roman" w:hAnsi="Times New Roman" w:cs="Times New Roman"/>
          <w:color w:val="000000" w:themeColor="text1"/>
        </w:rPr>
        <w:t xml:space="preserve"> of </w:t>
      </w:r>
      <w:proofErr w:type="spellStart"/>
      <w:r w:rsidR="00236F95" w:rsidRPr="00705170">
        <w:rPr>
          <w:rFonts w:ascii="Times New Roman" w:hAnsi="Times New Roman" w:cs="Times New Roman"/>
          <w:color w:val="000000" w:themeColor="text1"/>
        </w:rPr>
        <w:t>the</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corporation</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will</w:t>
      </w:r>
      <w:proofErr w:type="spellEnd"/>
      <w:r w:rsidR="00236F95" w:rsidRPr="00705170">
        <w:rPr>
          <w:rFonts w:ascii="Times New Roman" w:hAnsi="Times New Roman" w:cs="Times New Roman"/>
          <w:color w:val="000000" w:themeColor="text1"/>
        </w:rPr>
        <w:t xml:space="preserve"> not be </w:t>
      </w:r>
      <w:proofErr w:type="spellStart"/>
      <w:r w:rsidR="00236F95" w:rsidRPr="00705170">
        <w:rPr>
          <w:rFonts w:ascii="Times New Roman" w:hAnsi="Times New Roman" w:cs="Times New Roman"/>
          <w:color w:val="000000" w:themeColor="text1"/>
        </w:rPr>
        <w:t>removed</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from</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public</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intercourse</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and</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the</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detrimental</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affects</w:t>
      </w:r>
      <w:proofErr w:type="spellEnd"/>
      <w:r w:rsidR="00236F95" w:rsidRPr="00705170">
        <w:rPr>
          <w:rFonts w:ascii="Times New Roman" w:hAnsi="Times New Roman" w:cs="Times New Roman"/>
          <w:color w:val="000000" w:themeColor="text1"/>
        </w:rPr>
        <w:t xml:space="preserve"> of </w:t>
      </w:r>
      <w:proofErr w:type="spellStart"/>
      <w:r w:rsidR="00236F95" w:rsidRPr="00705170">
        <w:rPr>
          <w:rFonts w:ascii="Times New Roman" w:hAnsi="Times New Roman" w:cs="Times New Roman"/>
          <w:color w:val="000000" w:themeColor="text1"/>
        </w:rPr>
        <w:t>the</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dissolution</w:t>
      </w:r>
      <w:proofErr w:type="spellEnd"/>
      <w:r w:rsidR="00236F95" w:rsidRPr="00705170">
        <w:rPr>
          <w:rFonts w:ascii="Times New Roman" w:hAnsi="Times New Roman" w:cs="Times New Roman"/>
          <w:color w:val="000000" w:themeColor="text1"/>
        </w:rPr>
        <w:t xml:space="preserve"> </w:t>
      </w:r>
      <w:proofErr w:type="spellStart"/>
      <w:r w:rsidR="00125C5E" w:rsidRPr="00705170">
        <w:rPr>
          <w:rFonts w:ascii="Times New Roman" w:hAnsi="Times New Roman" w:cs="Times New Roman"/>
          <w:color w:val="000000" w:themeColor="text1"/>
        </w:rPr>
        <w:t>to</w:t>
      </w:r>
      <w:proofErr w:type="spellEnd"/>
      <w:r w:rsidR="00125C5E" w:rsidRPr="00705170">
        <w:rPr>
          <w:rFonts w:ascii="Times New Roman" w:hAnsi="Times New Roman" w:cs="Times New Roman"/>
          <w:color w:val="000000" w:themeColor="text1"/>
        </w:rPr>
        <w:t xml:space="preserve"> </w:t>
      </w:r>
      <w:proofErr w:type="spellStart"/>
      <w:r w:rsidR="00125C5E" w:rsidRPr="00705170">
        <w:rPr>
          <w:rFonts w:ascii="Times New Roman" w:hAnsi="Times New Roman" w:cs="Times New Roman"/>
          <w:color w:val="000000" w:themeColor="text1"/>
        </w:rPr>
        <w:t>the</w:t>
      </w:r>
      <w:proofErr w:type="spellEnd"/>
      <w:r w:rsidR="00125C5E" w:rsidRPr="00705170">
        <w:rPr>
          <w:rFonts w:ascii="Times New Roman" w:hAnsi="Times New Roman" w:cs="Times New Roman"/>
          <w:color w:val="000000" w:themeColor="text1"/>
        </w:rPr>
        <w:t xml:space="preserve"> </w:t>
      </w:r>
      <w:proofErr w:type="spellStart"/>
      <w:r w:rsidR="00125C5E" w:rsidRPr="00705170">
        <w:rPr>
          <w:rFonts w:ascii="Times New Roman" w:hAnsi="Times New Roman" w:cs="Times New Roman"/>
          <w:color w:val="000000" w:themeColor="text1"/>
        </w:rPr>
        <w:t>society</w:t>
      </w:r>
      <w:proofErr w:type="spellEnd"/>
      <w:r w:rsidR="00125C5E" w:rsidRPr="00705170">
        <w:rPr>
          <w:rFonts w:ascii="Times New Roman" w:hAnsi="Times New Roman" w:cs="Times New Roman"/>
          <w:color w:val="000000" w:themeColor="text1"/>
        </w:rPr>
        <w:t xml:space="preserve"> </w:t>
      </w:r>
      <w:proofErr w:type="spellStart"/>
      <w:r w:rsidR="00125C5E" w:rsidRPr="00705170">
        <w:rPr>
          <w:rFonts w:ascii="Times New Roman" w:hAnsi="Times New Roman" w:cs="Times New Roman"/>
          <w:color w:val="000000" w:themeColor="text1"/>
        </w:rPr>
        <w:t>will</w:t>
      </w:r>
      <w:proofErr w:type="spellEnd"/>
      <w:r w:rsidR="00125C5E" w:rsidRPr="00705170">
        <w:rPr>
          <w:rFonts w:ascii="Times New Roman" w:hAnsi="Times New Roman" w:cs="Times New Roman"/>
          <w:color w:val="000000" w:themeColor="text1"/>
        </w:rPr>
        <w:t xml:space="preserve"> be </w:t>
      </w:r>
      <w:proofErr w:type="spellStart"/>
      <w:r w:rsidR="00236F95" w:rsidRPr="00705170">
        <w:rPr>
          <w:rFonts w:ascii="Times New Roman" w:hAnsi="Times New Roman" w:cs="Times New Roman"/>
          <w:color w:val="000000" w:themeColor="text1"/>
        </w:rPr>
        <w:t>less</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alternative</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remedies</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are</w:t>
      </w:r>
      <w:proofErr w:type="spellEnd"/>
      <w:r w:rsidR="00236F95" w:rsidRPr="00705170">
        <w:rPr>
          <w:rFonts w:ascii="Times New Roman" w:hAnsi="Times New Roman" w:cs="Times New Roman"/>
          <w:color w:val="000000" w:themeColor="text1"/>
        </w:rPr>
        <w:t xml:space="preserve"> </w:t>
      </w:r>
      <w:proofErr w:type="spellStart"/>
      <w:r w:rsidR="00125C5E" w:rsidRPr="00705170">
        <w:rPr>
          <w:rFonts w:ascii="Times New Roman" w:hAnsi="Times New Roman" w:cs="Times New Roman"/>
          <w:color w:val="000000" w:themeColor="text1"/>
        </w:rPr>
        <w:t>still</w:t>
      </w:r>
      <w:proofErr w:type="spellEnd"/>
      <w:r w:rsidR="00125C5E" w:rsidRPr="00705170">
        <w:rPr>
          <w:rFonts w:ascii="Times New Roman" w:hAnsi="Times New Roman" w:cs="Times New Roman"/>
          <w:color w:val="000000" w:themeColor="text1"/>
        </w:rPr>
        <w:t xml:space="preserve"> </w:t>
      </w:r>
      <w:r w:rsidR="00236F95" w:rsidRPr="00705170">
        <w:rPr>
          <w:rFonts w:ascii="Times New Roman" w:hAnsi="Times New Roman" w:cs="Times New Roman"/>
          <w:color w:val="000000" w:themeColor="text1"/>
        </w:rPr>
        <w:t xml:space="preserve">at </w:t>
      </w:r>
      <w:proofErr w:type="spellStart"/>
      <w:r w:rsidR="00236F95" w:rsidRPr="00705170">
        <w:rPr>
          <w:rFonts w:ascii="Times New Roman" w:hAnsi="Times New Roman" w:cs="Times New Roman"/>
          <w:color w:val="000000" w:themeColor="text1"/>
        </w:rPr>
        <w:t>play</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to</w:t>
      </w:r>
      <w:proofErr w:type="spellEnd"/>
      <w:r w:rsidR="00236F95" w:rsidRPr="00705170">
        <w:rPr>
          <w:rFonts w:ascii="Times New Roman" w:hAnsi="Times New Roman" w:cs="Times New Roman"/>
          <w:color w:val="000000" w:themeColor="text1"/>
        </w:rPr>
        <w:t xml:space="preserve"> </w:t>
      </w:r>
      <w:proofErr w:type="spellStart"/>
      <w:r w:rsidR="00125C5E" w:rsidRPr="00705170">
        <w:rPr>
          <w:rFonts w:ascii="Times New Roman" w:hAnsi="Times New Roman" w:cs="Times New Roman"/>
          <w:color w:val="000000" w:themeColor="text1"/>
        </w:rPr>
        <w:t>give</w:t>
      </w:r>
      <w:proofErr w:type="spellEnd"/>
      <w:r w:rsidR="00125C5E" w:rsidRPr="00705170">
        <w:rPr>
          <w:rFonts w:ascii="Times New Roman" w:hAnsi="Times New Roman" w:cs="Times New Roman"/>
          <w:color w:val="000000" w:themeColor="text1"/>
        </w:rPr>
        <w:t xml:space="preserve"> </w:t>
      </w:r>
      <w:proofErr w:type="spellStart"/>
      <w:r w:rsidR="00125C5E" w:rsidRPr="00705170">
        <w:rPr>
          <w:rFonts w:ascii="Times New Roman" w:hAnsi="Times New Roman" w:cs="Times New Roman"/>
          <w:color w:val="000000" w:themeColor="text1"/>
        </w:rPr>
        <w:t>the</w:t>
      </w:r>
      <w:proofErr w:type="spellEnd"/>
      <w:r w:rsidR="00125C5E" w:rsidRPr="00705170">
        <w:rPr>
          <w:rFonts w:ascii="Times New Roman" w:hAnsi="Times New Roman" w:cs="Times New Roman"/>
          <w:color w:val="000000" w:themeColor="text1"/>
        </w:rPr>
        <w:t xml:space="preserve"> </w:t>
      </w:r>
      <w:proofErr w:type="spellStart"/>
      <w:r w:rsidR="00125C5E" w:rsidRPr="00705170">
        <w:rPr>
          <w:rFonts w:ascii="Times New Roman" w:hAnsi="Times New Roman" w:cs="Times New Roman"/>
          <w:color w:val="000000" w:themeColor="text1"/>
        </w:rPr>
        <w:t>parties</w:t>
      </w:r>
      <w:proofErr w:type="spellEnd"/>
      <w:r w:rsidR="00125C5E" w:rsidRPr="00705170">
        <w:rPr>
          <w:rFonts w:ascii="Times New Roman" w:hAnsi="Times New Roman" w:cs="Times New Roman"/>
          <w:color w:val="000000" w:themeColor="text1"/>
        </w:rPr>
        <w:t xml:space="preserve"> </w:t>
      </w:r>
      <w:proofErr w:type="spellStart"/>
      <w:r w:rsidR="00125C5E" w:rsidRPr="00705170">
        <w:rPr>
          <w:rFonts w:ascii="Times New Roman" w:hAnsi="Times New Roman" w:cs="Times New Roman"/>
          <w:color w:val="000000" w:themeColor="text1"/>
        </w:rPr>
        <w:t>what</w:t>
      </w:r>
      <w:proofErr w:type="spellEnd"/>
      <w:r w:rsidR="00125C5E" w:rsidRPr="00705170">
        <w:rPr>
          <w:rFonts w:ascii="Times New Roman" w:hAnsi="Times New Roman" w:cs="Times New Roman"/>
          <w:color w:val="000000" w:themeColor="text1"/>
        </w:rPr>
        <w:t xml:space="preserve"> </w:t>
      </w:r>
      <w:proofErr w:type="spellStart"/>
      <w:r w:rsidR="00125C5E" w:rsidRPr="00705170">
        <w:rPr>
          <w:rFonts w:ascii="Times New Roman" w:hAnsi="Times New Roman" w:cs="Times New Roman"/>
          <w:color w:val="000000" w:themeColor="text1"/>
        </w:rPr>
        <w:t>they</w:t>
      </w:r>
      <w:proofErr w:type="spellEnd"/>
      <w:r w:rsidR="00236F95" w:rsidRPr="00705170">
        <w:rPr>
          <w:rFonts w:ascii="Times New Roman" w:hAnsi="Times New Roman" w:cs="Times New Roman"/>
          <w:color w:val="000000" w:themeColor="text1"/>
        </w:rPr>
        <w:t xml:space="preserve"> </w:t>
      </w:r>
      <w:proofErr w:type="spellStart"/>
      <w:r w:rsidR="00236F95" w:rsidRPr="00705170">
        <w:rPr>
          <w:rFonts w:ascii="Times New Roman" w:hAnsi="Times New Roman" w:cs="Times New Roman"/>
          <w:color w:val="000000" w:themeColor="text1"/>
        </w:rPr>
        <w:t>want</w:t>
      </w:r>
      <w:proofErr w:type="spellEnd"/>
      <w:r w:rsidR="00125C5E" w:rsidRPr="00705170">
        <w:rPr>
          <w:rFonts w:ascii="Times New Roman" w:hAnsi="Times New Roman" w:cs="Times New Roman"/>
          <w:color w:val="000000" w:themeColor="text1"/>
        </w:rPr>
        <w:t xml:space="preserve"> </w:t>
      </w:r>
      <w:proofErr w:type="spellStart"/>
      <w:r w:rsidR="00125C5E" w:rsidRPr="00705170">
        <w:rPr>
          <w:rFonts w:ascii="Times New Roman" w:hAnsi="Times New Roman" w:cs="Times New Roman"/>
          <w:color w:val="000000" w:themeColor="text1"/>
        </w:rPr>
        <w:t>most</w:t>
      </w:r>
      <w:proofErr w:type="spellEnd"/>
      <w:r w:rsidR="00236F95" w:rsidRPr="00705170">
        <w:rPr>
          <w:rStyle w:val="DipnotBavurusu"/>
          <w:rFonts w:ascii="Times New Roman" w:hAnsi="Times New Roman" w:cs="Times New Roman"/>
          <w:color w:val="000000" w:themeColor="text1"/>
        </w:rPr>
        <w:footnoteReference w:id="677"/>
      </w:r>
      <w:r w:rsidR="00236F95" w:rsidRPr="00705170">
        <w:rPr>
          <w:rFonts w:ascii="Times New Roman" w:hAnsi="Times New Roman" w:cs="Times New Roman"/>
          <w:color w:val="000000" w:themeColor="text1"/>
        </w:rPr>
        <w:t>.</w:t>
      </w:r>
      <w:r w:rsidR="000240C1" w:rsidRPr="00705170">
        <w:rPr>
          <w:rFonts w:ascii="Times New Roman" w:hAnsi="Times New Roman" w:cs="Times New Roman"/>
          <w:color w:val="000000" w:themeColor="text1"/>
        </w:rPr>
        <w:t xml:space="preserve"> </w:t>
      </w:r>
      <w:proofErr w:type="spellStart"/>
      <w:r w:rsidR="000240C1" w:rsidRPr="00705170">
        <w:rPr>
          <w:rFonts w:ascii="Times New Roman" w:hAnsi="Times New Roman" w:cs="Times New Roman"/>
          <w:color w:val="000000" w:themeColor="text1"/>
        </w:rPr>
        <w:t>After</w:t>
      </w:r>
      <w:proofErr w:type="spellEnd"/>
      <w:r w:rsidR="000240C1" w:rsidRPr="00705170">
        <w:rPr>
          <w:rFonts w:ascii="Times New Roman" w:hAnsi="Times New Roman" w:cs="Times New Roman"/>
          <w:color w:val="000000" w:themeColor="text1"/>
        </w:rPr>
        <w:t xml:space="preserve"> </w:t>
      </w:r>
      <w:proofErr w:type="spellStart"/>
      <w:r w:rsidR="000240C1" w:rsidRPr="00705170">
        <w:rPr>
          <w:rFonts w:ascii="Times New Roman" w:hAnsi="Times New Roman" w:cs="Times New Roman"/>
          <w:color w:val="000000" w:themeColor="text1"/>
        </w:rPr>
        <w:t>all</w:t>
      </w:r>
      <w:proofErr w:type="spellEnd"/>
      <w:r w:rsidR="000240C1" w:rsidRPr="00705170">
        <w:rPr>
          <w:rFonts w:ascii="Times New Roman" w:hAnsi="Times New Roman" w:cs="Times New Roman"/>
          <w:color w:val="000000" w:themeColor="text1"/>
        </w:rPr>
        <w:t xml:space="preserve">, in an </w:t>
      </w:r>
      <w:proofErr w:type="spellStart"/>
      <w:r w:rsidR="000240C1" w:rsidRPr="00705170">
        <w:rPr>
          <w:rFonts w:ascii="Times New Roman" w:hAnsi="Times New Roman" w:cs="Times New Roman"/>
          <w:color w:val="000000" w:themeColor="text1"/>
        </w:rPr>
        <w:t>oppression</w:t>
      </w:r>
      <w:proofErr w:type="spellEnd"/>
      <w:r w:rsidR="000240C1" w:rsidRPr="00705170">
        <w:rPr>
          <w:rFonts w:ascii="Times New Roman" w:hAnsi="Times New Roman" w:cs="Times New Roman"/>
          <w:color w:val="000000" w:themeColor="text1"/>
        </w:rPr>
        <w:t xml:space="preserve"> </w:t>
      </w:r>
      <w:proofErr w:type="spellStart"/>
      <w:r w:rsidR="000240C1" w:rsidRPr="00705170">
        <w:rPr>
          <w:rFonts w:ascii="Times New Roman" w:hAnsi="Times New Roman" w:cs="Times New Roman"/>
          <w:color w:val="000000" w:themeColor="text1"/>
        </w:rPr>
        <w:t>suit</w:t>
      </w:r>
      <w:proofErr w:type="spellEnd"/>
      <w:r w:rsidR="000240C1" w:rsidRPr="00705170">
        <w:rPr>
          <w:rFonts w:ascii="Times New Roman" w:hAnsi="Times New Roman" w:cs="Times New Roman"/>
          <w:color w:val="000000" w:themeColor="text1"/>
        </w:rPr>
        <w:t xml:space="preserve">, </w:t>
      </w:r>
      <w:proofErr w:type="spellStart"/>
      <w:r w:rsidR="000240C1" w:rsidRPr="00705170">
        <w:rPr>
          <w:rFonts w:ascii="Times New Roman" w:hAnsi="Times New Roman" w:cs="Times New Roman"/>
          <w:color w:val="000000" w:themeColor="text1"/>
        </w:rPr>
        <w:t>the</w:t>
      </w:r>
      <w:proofErr w:type="spellEnd"/>
      <w:r w:rsidR="000240C1" w:rsidRPr="00705170">
        <w:rPr>
          <w:rFonts w:ascii="Times New Roman" w:hAnsi="Times New Roman" w:cs="Times New Roman"/>
          <w:color w:val="000000" w:themeColor="text1"/>
        </w:rPr>
        <w:t xml:space="preserve"> </w:t>
      </w:r>
      <w:proofErr w:type="spellStart"/>
      <w:r w:rsidR="000240C1" w:rsidRPr="00705170">
        <w:rPr>
          <w:rFonts w:ascii="Times New Roman" w:hAnsi="Times New Roman" w:cs="Times New Roman"/>
          <w:color w:val="000000" w:themeColor="text1"/>
        </w:rPr>
        <w:t>shareholder</w:t>
      </w:r>
      <w:proofErr w:type="spellEnd"/>
      <w:r w:rsidR="000240C1" w:rsidRPr="00705170">
        <w:rPr>
          <w:rFonts w:ascii="Times New Roman" w:hAnsi="Times New Roman" w:cs="Times New Roman"/>
          <w:color w:val="000000" w:themeColor="text1"/>
        </w:rPr>
        <w:t xml:space="preserve"> is </w:t>
      </w:r>
      <w:proofErr w:type="spellStart"/>
      <w:r w:rsidR="000240C1" w:rsidRPr="00705170">
        <w:rPr>
          <w:rFonts w:ascii="Times New Roman" w:hAnsi="Times New Roman" w:cs="Times New Roman"/>
          <w:color w:val="000000" w:themeColor="text1"/>
        </w:rPr>
        <w:t>ordinarily</w:t>
      </w:r>
      <w:proofErr w:type="spellEnd"/>
      <w:r w:rsidR="000240C1" w:rsidRPr="00705170">
        <w:rPr>
          <w:rFonts w:ascii="Times New Roman" w:hAnsi="Times New Roman" w:cs="Times New Roman"/>
          <w:color w:val="000000" w:themeColor="text1"/>
        </w:rPr>
        <w:t xml:space="preserve"> </w:t>
      </w:r>
      <w:proofErr w:type="spellStart"/>
      <w:r w:rsidR="000240C1" w:rsidRPr="00705170">
        <w:rPr>
          <w:rFonts w:ascii="Times New Roman" w:hAnsi="Times New Roman" w:cs="Times New Roman"/>
          <w:color w:val="000000" w:themeColor="text1"/>
        </w:rPr>
        <w:t>seeking</w:t>
      </w:r>
      <w:proofErr w:type="spellEnd"/>
      <w:r w:rsidR="000240C1" w:rsidRPr="00705170">
        <w:rPr>
          <w:rFonts w:ascii="Times New Roman" w:hAnsi="Times New Roman" w:cs="Times New Roman"/>
          <w:color w:val="000000" w:themeColor="text1"/>
        </w:rPr>
        <w:t xml:space="preserve"> </w:t>
      </w:r>
      <w:proofErr w:type="spellStart"/>
      <w:r w:rsidR="000240C1" w:rsidRPr="00705170">
        <w:rPr>
          <w:rFonts w:ascii="Times New Roman" w:hAnsi="Times New Roman" w:cs="Times New Roman"/>
          <w:color w:val="000000" w:themeColor="text1"/>
        </w:rPr>
        <w:t>some</w:t>
      </w:r>
      <w:proofErr w:type="spellEnd"/>
      <w:r w:rsidR="000240C1" w:rsidRPr="00705170">
        <w:rPr>
          <w:rFonts w:ascii="Times New Roman" w:hAnsi="Times New Roman" w:cs="Times New Roman"/>
          <w:color w:val="000000" w:themeColor="text1"/>
        </w:rPr>
        <w:t xml:space="preserve"> </w:t>
      </w:r>
      <w:proofErr w:type="spellStart"/>
      <w:r w:rsidR="000240C1" w:rsidRPr="00705170">
        <w:rPr>
          <w:rFonts w:ascii="Times New Roman" w:hAnsi="Times New Roman" w:cs="Times New Roman"/>
          <w:color w:val="000000" w:themeColor="text1"/>
        </w:rPr>
        <w:t>type</w:t>
      </w:r>
      <w:proofErr w:type="spellEnd"/>
      <w:r w:rsidR="000240C1" w:rsidRPr="00705170">
        <w:rPr>
          <w:rFonts w:ascii="Times New Roman" w:hAnsi="Times New Roman" w:cs="Times New Roman"/>
          <w:color w:val="000000" w:themeColor="text1"/>
        </w:rPr>
        <w:t xml:space="preserve"> of </w:t>
      </w:r>
      <w:proofErr w:type="spellStart"/>
      <w:r w:rsidR="000240C1" w:rsidRPr="00705170">
        <w:rPr>
          <w:rFonts w:ascii="Times New Roman" w:hAnsi="Times New Roman" w:cs="Times New Roman"/>
          <w:color w:val="000000" w:themeColor="text1"/>
        </w:rPr>
        <w:t>individual</w:t>
      </w:r>
      <w:proofErr w:type="spellEnd"/>
      <w:r w:rsidR="000240C1" w:rsidRPr="00705170">
        <w:rPr>
          <w:rFonts w:ascii="Times New Roman" w:hAnsi="Times New Roman" w:cs="Times New Roman"/>
          <w:color w:val="000000" w:themeColor="text1"/>
        </w:rPr>
        <w:t xml:space="preserve"> </w:t>
      </w:r>
      <w:proofErr w:type="spellStart"/>
      <w:r w:rsidR="000240C1" w:rsidRPr="00705170">
        <w:rPr>
          <w:rFonts w:ascii="Times New Roman" w:hAnsi="Times New Roman" w:cs="Times New Roman"/>
          <w:color w:val="000000" w:themeColor="text1"/>
        </w:rPr>
        <w:t>relief</w:t>
      </w:r>
      <w:proofErr w:type="spellEnd"/>
      <w:r w:rsidR="000240C1" w:rsidRPr="00705170">
        <w:rPr>
          <w:rStyle w:val="DipnotBavurusu"/>
          <w:rFonts w:ascii="Times New Roman" w:hAnsi="Times New Roman" w:cs="Times New Roman"/>
          <w:color w:val="000000" w:themeColor="text1"/>
        </w:rPr>
        <w:footnoteReference w:id="678"/>
      </w:r>
      <w:r w:rsidR="000240C1" w:rsidRPr="00705170">
        <w:rPr>
          <w:rFonts w:ascii="Times New Roman" w:hAnsi="Times New Roman" w:cs="Times New Roman"/>
          <w:color w:val="000000" w:themeColor="text1"/>
        </w:rPr>
        <w:t>.</w:t>
      </w:r>
      <w:r w:rsidR="00D10593"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Thus</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the</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most</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adequate</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remedy</w:t>
      </w:r>
      <w:proofErr w:type="spellEnd"/>
      <w:r w:rsidR="00FA0FAC" w:rsidRPr="00705170">
        <w:rPr>
          <w:rFonts w:ascii="Times New Roman" w:hAnsi="Times New Roman" w:cs="Times New Roman"/>
          <w:color w:val="000000" w:themeColor="text1"/>
        </w:rPr>
        <w:t xml:space="preserve"> is </w:t>
      </w:r>
      <w:proofErr w:type="spellStart"/>
      <w:r w:rsidR="00FA0FAC" w:rsidRPr="00705170">
        <w:rPr>
          <w:rFonts w:ascii="Times New Roman" w:hAnsi="Times New Roman" w:cs="Times New Roman"/>
          <w:color w:val="000000" w:themeColor="text1"/>
        </w:rPr>
        <w:t>to</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award</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to</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the</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oppressed</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shareholder</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those</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benefits</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which</w:t>
      </w:r>
      <w:proofErr w:type="spellEnd"/>
      <w:r w:rsidR="00FA0FAC" w:rsidRPr="00705170">
        <w:rPr>
          <w:rFonts w:ascii="Times New Roman" w:hAnsi="Times New Roman" w:cs="Times New Roman"/>
          <w:color w:val="000000" w:themeColor="text1"/>
        </w:rPr>
        <w:t xml:space="preserve"> he </w:t>
      </w:r>
      <w:proofErr w:type="spellStart"/>
      <w:r w:rsidR="00FA0FAC" w:rsidRPr="00705170">
        <w:rPr>
          <w:rFonts w:ascii="Times New Roman" w:hAnsi="Times New Roman" w:cs="Times New Roman"/>
          <w:color w:val="000000" w:themeColor="text1"/>
        </w:rPr>
        <w:t>reasonably</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expected</w:t>
      </w:r>
      <w:proofErr w:type="spellEnd"/>
      <w:r w:rsidR="00FA0FAC" w:rsidRPr="00705170">
        <w:rPr>
          <w:rFonts w:ascii="Times New Roman" w:hAnsi="Times New Roman" w:cs="Times New Roman"/>
          <w:color w:val="000000" w:themeColor="text1"/>
        </w:rPr>
        <w:t xml:space="preserve"> but has not </w:t>
      </w:r>
      <w:proofErr w:type="spellStart"/>
      <w:r w:rsidR="00FA0FAC" w:rsidRPr="00705170">
        <w:rPr>
          <w:rFonts w:ascii="Times New Roman" w:hAnsi="Times New Roman" w:cs="Times New Roman"/>
          <w:color w:val="000000" w:themeColor="text1"/>
        </w:rPr>
        <w:t>received</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because</w:t>
      </w:r>
      <w:proofErr w:type="spellEnd"/>
      <w:r w:rsidR="00FA0FAC" w:rsidRPr="00705170">
        <w:rPr>
          <w:rFonts w:ascii="Times New Roman" w:hAnsi="Times New Roman" w:cs="Times New Roman"/>
          <w:color w:val="000000" w:themeColor="text1"/>
        </w:rPr>
        <w:t xml:space="preserve"> of </w:t>
      </w:r>
      <w:proofErr w:type="spellStart"/>
      <w:r w:rsidR="00FA0FAC" w:rsidRPr="00705170">
        <w:rPr>
          <w:rFonts w:ascii="Times New Roman" w:hAnsi="Times New Roman" w:cs="Times New Roman"/>
          <w:color w:val="000000" w:themeColor="text1"/>
        </w:rPr>
        <w:t>the</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oppressor’s</w:t>
      </w:r>
      <w:proofErr w:type="spellEnd"/>
      <w:r w:rsidR="00FA0FAC" w:rsidRPr="00705170">
        <w:rPr>
          <w:rFonts w:ascii="Times New Roman" w:hAnsi="Times New Roman" w:cs="Times New Roman"/>
          <w:color w:val="000000" w:themeColor="text1"/>
        </w:rPr>
        <w:t xml:space="preserve"> </w:t>
      </w:r>
      <w:proofErr w:type="spellStart"/>
      <w:r w:rsidR="00FA0FAC" w:rsidRPr="00705170">
        <w:rPr>
          <w:rFonts w:ascii="Times New Roman" w:hAnsi="Times New Roman" w:cs="Times New Roman"/>
          <w:color w:val="000000" w:themeColor="text1"/>
        </w:rPr>
        <w:t>conduct</w:t>
      </w:r>
      <w:proofErr w:type="spellEnd"/>
      <w:r w:rsidR="00FA0FAC" w:rsidRPr="00705170">
        <w:rPr>
          <w:rStyle w:val="DipnotBavurusu"/>
          <w:rFonts w:ascii="Times New Roman" w:hAnsi="Times New Roman" w:cs="Times New Roman"/>
          <w:color w:val="000000" w:themeColor="text1"/>
        </w:rPr>
        <w:footnoteReference w:id="679"/>
      </w:r>
      <w:r w:rsidR="00FA0FAC" w:rsidRPr="00705170">
        <w:rPr>
          <w:rFonts w:ascii="Times New Roman" w:hAnsi="Times New Roman" w:cs="Times New Roman"/>
          <w:color w:val="000000" w:themeColor="text1"/>
        </w:rPr>
        <w:t>.</w:t>
      </w:r>
    </w:p>
    <w:p w14:paraId="70D3E7E0" w14:textId="03B4F258" w:rsidR="00C14A90" w:rsidRPr="00705170" w:rsidRDefault="00945C8E" w:rsidP="00A73195">
      <w:pPr>
        <w:spacing w:after="240" w:line="480" w:lineRule="auto"/>
        <w:ind w:firstLine="708"/>
        <w:jc w:val="both"/>
        <w:rPr>
          <w:rFonts w:ascii="Times New Roman" w:hAnsi="Times New Roman" w:cs="Times New Roman"/>
          <w:color w:val="000000"/>
        </w:rPr>
      </w:pPr>
      <w:proofErr w:type="spellStart"/>
      <w:r w:rsidRPr="00705170">
        <w:rPr>
          <w:rFonts w:ascii="Times New Roman" w:hAnsi="Times New Roman" w:cs="Times New Roman"/>
          <w:color w:val="000000" w:themeColor="text1"/>
        </w:rPr>
        <w:t>It</w:t>
      </w:r>
      <w:proofErr w:type="spellEnd"/>
      <w:r w:rsidRPr="00705170">
        <w:rPr>
          <w:rFonts w:ascii="Times New Roman" w:hAnsi="Times New Roman" w:cs="Times New Roman"/>
          <w:color w:val="000000" w:themeColor="text1"/>
        </w:rPr>
        <w:t xml:space="preserve"> is </w:t>
      </w:r>
      <w:proofErr w:type="spellStart"/>
      <w:r w:rsidRPr="00705170">
        <w:rPr>
          <w:rFonts w:ascii="Times New Roman" w:hAnsi="Times New Roman" w:cs="Times New Roman"/>
          <w:color w:val="000000" w:themeColor="text1"/>
        </w:rPr>
        <w:t>accepted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that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judicial</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dissolution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statute</w:t>
      </w:r>
      <w:proofErr w:type="spellEnd"/>
      <w:r w:rsidRPr="00705170">
        <w:rPr>
          <w:rFonts w:ascii="Times New Roman" w:hAnsi="Times New Roman" w:cs="Times New Roman"/>
          <w:color w:val="000000" w:themeColor="text1"/>
        </w:rPr>
        <w:t xml:space="preserve"> is </w:t>
      </w:r>
      <w:proofErr w:type="spellStart"/>
      <w:r w:rsidRPr="00705170">
        <w:rPr>
          <w:rFonts w:ascii="Times New Roman" w:hAnsi="Times New Roman" w:cs="Times New Roman"/>
          <w:color w:val="000000" w:themeColor="text1"/>
        </w:rPr>
        <w:t>remedial</w:t>
      </w:r>
      <w:proofErr w:type="spellEnd"/>
      <w:r w:rsidRPr="00705170">
        <w:rPr>
          <w:rFonts w:ascii="Times New Roman" w:hAnsi="Times New Roman" w:cs="Times New Roman"/>
          <w:color w:val="000000" w:themeColor="text1"/>
        </w:rPr>
        <w:t xml:space="preserve"> in </w:t>
      </w:r>
      <w:proofErr w:type="spellStart"/>
      <w:r w:rsidRPr="00705170">
        <w:rPr>
          <w:rFonts w:ascii="Times New Roman" w:hAnsi="Times New Roman" w:cs="Times New Roman"/>
          <w:color w:val="000000" w:themeColor="text1"/>
        </w:rPr>
        <w:t>nature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and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should</w:t>
      </w:r>
      <w:proofErr w:type="spellEnd"/>
      <w:r w:rsidRPr="00705170">
        <w:rPr>
          <w:rFonts w:ascii="Times New Roman" w:hAnsi="Times New Roman" w:cs="Times New Roman"/>
          <w:color w:val="000000" w:themeColor="text1"/>
        </w:rPr>
        <w:t xml:space="preserve"> be </w:t>
      </w:r>
      <w:proofErr w:type="spellStart"/>
      <w:r w:rsidRPr="00705170">
        <w:rPr>
          <w:rFonts w:ascii="Times New Roman" w:hAnsi="Times New Roman" w:cs="Times New Roman"/>
          <w:color w:val="000000" w:themeColor="text1"/>
        </w:rPr>
        <w:t>liberally</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construed</w:t>
      </w:r>
      <w:proofErr w:type="spellEnd"/>
      <w:r w:rsidRPr="00705170">
        <w:rPr>
          <w:rFonts w:ascii="Times New Roman" w:hAnsi="Times New Roman" w:cs="Times New Roman"/>
          <w:color w:val="000000" w:themeColor="text1"/>
        </w:rPr>
        <w:t>”</w:t>
      </w:r>
      <w:r w:rsidRPr="00705170">
        <w:rPr>
          <w:rStyle w:val="DipnotBavurusu"/>
          <w:rFonts w:ascii="Times New Roman" w:hAnsi="Times New Roman" w:cs="Times New Roman"/>
          <w:color w:val="000000" w:themeColor="text1"/>
        </w:rPr>
        <w:footnoteReference w:id="680"/>
      </w:r>
      <w:r w:rsidRPr="00705170">
        <w:rPr>
          <w:rFonts w:ascii="Times New Roman" w:hAnsi="Times New Roman" w:cs="Times New Roman"/>
          <w:color w:val="000000" w:themeColor="text1"/>
        </w:rPr>
        <w:t>.</w:t>
      </w:r>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In</w:t>
      </w:r>
      <w:proofErr w:type="spellEnd"/>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fact</w:t>
      </w:r>
      <w:proofErr w:type="spellEnd"/>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alternative</w:t>
      </w:r>
      <w:proofErr w:type="spellEnd"/>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remedies</w:t>
      </w:r>
      <w:proofErr w:type="spellEnd"/>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broadening</w:t>
      </w:r>
      <w:proofErr w:type="spellEnd"/>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list</w:t>
      </w:r>
      <w:proofErr w:type="spellEnd"/>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have</w:t>
      </w:r>
      <w:proofErr w:type="spellEnd"/>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decreased</w:t>
      </w:r>
      <w:proofErr w:type="spellEnd"/>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the</w:t>
      </w:r>
      <w:proofErr w:type="spellEnd"/>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number</w:t>
      </w:r>
      <w:proofErr w:type="spellEnd"/>
      <w:r w:rsidR="00DD505A" w:rsidRPr="00705170">
        <w:rPr>
          <w:rFonts w:ascii="Times New Roman" w:hAnsi="Times New Roman" w:cs="Times New Roman"/>
          <w:color w:val="000000" w:themeColor="text1"/>
        </w:rPr>
        <w:t xml:space="preserve"> of </w:t>
      </w:r>
      <w:proofErr w:type="spellStart"/>
      <w:r w:rsidR="00DD505A" w:rsidRPr="00705170">
        <w:rPr>
          <w:rFonts w:ascii="Times New Roman" w:hAnsi="Times New Roman" w:cs="Times New Roman"/>
          <w:color w:val="000000" w:themeColor="text1"/>
        </w:rPr>
        <w:lastRenderedPageBreak/>
        <w:t>orders</w:t>
      </w:r>
      <w:proofErr w:type="spellEnd"/>
      <w:r w:rsidR="00DD505A" w:rsidRPr="00705170">
        <w:rPr>
          <w:rFonts w:ascii="Times New Roman" w:hAnsi="Times New Roman" w:cs="Times New Roman"/>
          <w:color w:val="000000" w:themeColor="text1"/>
        </w:rPr>
        <w:t xml:space="preserve"> of </w:t>
      </w:r>
      <w:proofErr w:type="spellStart"/>
      <w:r w:rsidR="00DD505A" w:rsidRPr="00705170">
        <w:rPr>
          <w:rFonts w:ascii="Times New Roman" w:hAnsi="Times New Roman" w:cs="Times New Roman"/>
          <w:color w:val="000000" w:themeColor="text1"/>
        </w:rPr>
        <w:t>actual</w:t>
      </w:r>
      <w:proofErr w:type="spellEnd"/>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dissolution</w:t>
      </w:r>
      <w:proofErr w:type="spellEnd"/>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over</w:t>
      </w:r>
      <w:proofErr w:type="spellEnd"/>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the</w:t>
      </w:r>
      <w:proofErr w:type="spellEnd"/>
      <w:r w:rsidR="00DD505A" w:rsidRPr="00705170">
        <w:rPr>
          <w:rFonts w:ascii="Times New Roman" w:hAnsi="Times New Roman" w:cs="Times New Roman"/>
          <w:color w:val="000000" w:themeColor="text1"/>
        </w:rPr>
        <w:t xml:space="preserve"> </w:t>
      </w:r>
      <w:proofErr w:type="spellStart"/>
      <w:r w:rsidR="00DD505A" w:rsidRPr="00705170">
        <w:rPr>
          <w:rFonts w:ascii="Times New Roman" w:hAnsi="Times New Roman" w:cs="Times New Roman"/>
          <w:color w:val="000000" w:themeColor="text1"/>
        </w:rPr>
        <w:t>years</w:t>
      </w:r>
      <w:proofErr w:type="spellEnd"/>
      <w:r w:rsidR="00DD505A" w:rsidRPr="00705170">
        <w:rPr>
          <w:rStyle w:val="DipnotBavurusu"/>
          <w:rFonts w:ascii="Times New Roman" w:hAnsi="Times New Roman" w:cs="Times New Roman"/>
          <w:color w:val="000000" w:themeColor="text1"/>
        </w:rPr>
        <w:footnoteReference w:id="681"/>
      </w:r>
      <w:r w:rsidR="00DD505A" w:rsidRPr="00705170">
        <w:rPr>
          <w:rFonts w:ascii="Times New Roman" w:hAnsi="Times New Roman" w:cs="Times New Roman"/>
          <w:color w:val="000000" w:themeColor="text1"/>
        </w:rPr>
        <w:t>.</w:t>
      </w:r>
      <w:r w:rsidR="00C14A90" w:rsidRPr="00705170">
        <w:rPr>
          <w:rFonts w:ascii="Times New Roman" w:hAnsi="Times New Roman" w:cs="Times New Roman"/>
          <w:color w:val="000000" w:themeColor="text1"/>
        </w:rPr>
        <w:t xml:space="preserve"> “</w:t>
      </w:r>
      <w:proofErr w:type="spellStart"/>
      <w:r w:rsidR="00C14A90" w:rsidRPr="00705170">
        <w:rPr>
          <w:rFonts w:ascii="Times New Roman" w:hAnsi="Times New Roman" w:cs="Times New Roman"/>
          <w:color w:val="000000"/>
        </w:rPr>
        <w:t>Alternative</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1C1C1C"/>
        </w:rPr>
        <w:t>remedies</w:t>
      </w:r>
      <w:proofErr w:type="spellEnd"/>
      <w:r w:rsidR="00C14A90" w:rsidRPr="00705170">
        <w:rPr>
          <w:rFonts w:ascii="Times New Roman" w:hAnsi="Times New Roman" w:cs="Times New Roman"/>
          <w:color w:val="1C1C1C"/>
        </w:rPr>
        <w:t xml:space="preserve"> </w:t>
      </w:r>
      <w:proofErr w:type="spellStart"/>
      <w:r w:rsidR="00C14A90" w:rsidRPr="00705170">
        <w:rPr>
          <w:rFonts w:ascii="Times New Roman" w:hAnsi="Times New Roman" w:cs="Times New Roman"/>
          <w:color w:val="000000"/>
        </w:rPr>
        <w:t>adopted</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by</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legislatures</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and</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courts</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include</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Appointment</w:t>
      </w:r>
      <w:proofErr w:type="spellEnd"/>
      <w:r w:rsidR="00C14A90" w:rsidRPr="00705170">
        <w:rPr>
          <w:rFonts w:ascii="Times New Roman" w:hAnsi="Times New Roman" w:cs="Times New Roman"/>
          <w:color w:val="000000"/>
        </w:rPr>
        <w:t xml:space="preserve"> of a </w:t>
      </w:r>
      <w:proofErr w:type="spellStart"/>
      <w:r w:rsidR="00C14A90" w:rsidRPr="00705170">
        <w:rPr>
          <w:rFonts w:ascii="Times New Roman" w:hAnsi="Times New Roman" w:cs="Times New Roman"/>
          <w:color w:val="000000"/>
        </w:rPr>
        <w:t>provisional</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director</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appointment</w:t>
      </w:r>
      <w:proofErr w:type="spellEnd"/>
      <w:r w:rsidR="00C14A90" w:rsidRPr="00705170">
        <w:rPr>
          <w:rFonts w:ascii="Times New Roman" w:hAnsi="Times New Roman" w:cs="Times New Roman"/>
          <w:color w:val="000000"/>
        </w:rPr>
        <w:t xml:space="preserve"> of a </w:t>
      </w:r>
      <w:proofErr w:type="spellStart"/>
      <w:r w:rsidR="00C14A90" w:rsidRPr="00705170">
        <w:rPr>
          <w:rFonts w:ascii="Times New Roman" w:hAnsi="Times New Roman" w:cs="Times New Roman"/>
          <w:color w:val="000000"/>
        </w:rPr>
        <w:t>custodian</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ordering</w:t>
      </w:r>
      <w:proofErr w:type="spellEnd"/>
      <w:r w:rsidR="00C14A90" w:rsidRPr="00705170">
        <w:rPr>
          <w:rFonts w:ascii="Times New Roman" w:hAnsi="Times New Roman" w:cs="Times New Roman"/>
          <w:color w:val="000000"/>
        </w:rPr>
        <w:t xml:space="preserve"> a </w:t>
      </w:r>
      <w:proofErr w:type="spellStart"/>
      <w:r w:rsidR="00C14A90" w:rsidRPr="00705170">
        <w:rPr>
          <w:rFonts w:ascii="Times New Roman" w:hAnsi="Times New Roman" w:cs="Times New Roman"/>
          <w:color w:val="000000"/>
        </w:rPr>
        <w:t>buyout</w:t>
      </w:r>
      <w:proofErr w:type="spellEnd"/>
      <w:r w:rsidR="00C14A90" w:rsidRPr="00705170">
        <w:rPr>
          <w:rFonts w:ascii="Times New Roman" w:hAnsi="Times New Roman" w:cs="Times New Roman"/>
          <w:color w:val="000000"/>
        </w:rPr>
        <w:t xml:space="preserve"> of </w:t>
      </w:r>
      <w:proofErr w:type="spellStart"/>
      <w:r w:rsidR="00C14A90" w:rsidRPr="00705170">
        <w:rPr>
          <w:rFonts w:ascii="Times New Roman" w:hAnsi="Times New Roman" w:cs="Times New Roman"/>
          <w:color w:val="000000"/>
        </w:rPr>
        <w:t>one</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shareholder</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or</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some</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other</w:t>
      </w:r>
      <w:proofErr w:type="spellEnd"/>
      <w:r w:rsidR="00C14A90" w:rsidRPr="00705170">
        <w:rPr>
          <w:rFonts w:ascii="Times New Roman" w:hAnsi="Times New Roman" w:cs="Times New Roman"/>
          <w:color w:val="000000"/>
        </w:rPr>
        <w:t xml:space="preserve"> form of </w:t>
      </w:r>
      <w:proofErr w:type="spellStart"/>
      <w:r w:rsidR="00C14A90" w:rsidRPr="00705170">
        <w:rPr>
          <w:rFonts w:ascii="Times New Roman" w:hAnsi="Times New Roman" w:cs="Times New Roman"/>
          <w:color w:val="000000"/>
        </w:rPr>
        <w:t>relief</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such</w:t>
      </w:r>
      <w:proofErr w:type="spellEnd"/>
      <w:r w:rsidR="00C14A90" w:rsidRPr="00705170">
        <w:rPr>
          <w:rFonts w:ascii="Times New Roman" w:hAnsi="Times New Roman" w:cs="Times New Roman"/>
          <w:color w:val="000000"/>
        </w:rPr>
        <w:t xml:space="preserve"> as </w:t>
      </w:r>
      <w:proofErr w:type="spellStart"/>
      <w:r w:rsidR="00C14A90" w:rsidRPr="00705170">
        <w:rPr>
          <w:rFonts w:ascii="Times New Roman" w:hAnsi="Times New Roman" w:cs="Times New Roman"/>
          <w:color w:val="000000"/>
        </w:rPr>
        <w:t>ordering</w:t>
      </w:r>
      <w:proofErr w:type="spellEnd"/>
      <w:r w:rsidR="00C14A90" w:rsidRPr="00705170">
        <w:rPr>
          <w:rFonts w:ascii="Times New Roman" w:hAnsi="Times New Roman" w:cs="Times New Roman"/>
          <w:color w:val="000000"/>
        </w:rPr>
        <w:t xml:space="preserve"> a </w:t>
      </w:r>
      <w:proofErr w:type="spellStart"/>
      <w:r w:rsidR="00C14A90" w:rsidRPr="00705170">
        <w:rPr>
          <w:rFonts w:ascii="Times New Roman" w:hAnsi="Times New Roman" w:cs="Times New Roman"/>
          <w:color w:val="000000"/>
        </w:rPr>
        <w:t>change</w:t>
      </w:r>
      <w:proofErr w:type="spellEnd"/>
      <w:r w:rsidR="00C14A90" w:rsidRPr="00705170">
        <w:rPr>
          <w:rFonts w:ascii="Times New Roman" w:hAnsi="Times New Roman" w:cs="Times New Roman"/>
          <w:color w:val="000000"/>
        </w:rPr>
        <w:t xml:space="preserve"> in </w:t>
      </w:r>
      <w:proofErr w:type="spellStart"/>
      <w:r w:rsidR="00C14A90" w:rsidRPr="00705170">
        <w:rPr>
          <w:rFonts w:ascii="Times New Roman" w:hAnsi="Times New Roman" w:cs="Times New Roman"/>
          <w:color w:val="000000"/>
        </w:rPr>
        <w:t>the</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corporation's</w:t>
      </w:r>
      <w:proofErr w:type="spellEnd"/>
      <w:r w:rsidR="00C14A90" w:rsidRPr="00705170">
        <w:rPr>
          <w:rFonts w:ascii="Times New Roman" w:hAnsi="Times New Roman" w:cs="Times New Roman"/>
          <w:color w:val="000000"/>
        </w:rPr>
        <w:t xml:space="preserve"> </w:t>
      </w:r>
      <w:proofErr w:type="gramStart"/>
      <w:r w:rsidR="00C14A90" w:rsidRPr="00705170">
        <w:rPr>
          <w:rFonts w:ascii="Times New Roman" w:hAnsi="Times New Roman" w:cs="Times New Roman"/>
          <w:color w:val="000000"/>
        </w:rPr>
        <w:t>charter</w:t>
      </w:r>
      <w:proofErr w:type="gram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or</w:t>
      </w:r>
      <w:proofErr w:type="spellEnd"/>
      <w:r w:rsidR="00C14A90" w:rsidRPr="00705170">
        <w:rPr>
          <w:rFonts w:ascii="Times New Roman" w:hAnsi="Times New Roman" w:cs="Times New Roman"/>
          <w:color w:val="000000"/>
        </w:rPr>
        <w:t xml:space="preserve"> </w:t>
      </w:r>
      <w:proofErr w:type="spellStart"/>
      <w:r w:rsidR="00C14A90" w:rsidRPr="00705170">
        <w:rPr>
          <w:rFonts w:ascii="Times New Roman" w:hAnsi="Times New Roman" w:cs="Times New Roman"/>
          <w:color w:val="000000"/>
        </w:rPr>
        <w:t>bylaws</w:t>
      </w:r>
      <w:proofErr w:type="spellEnd"/>
      <w:r w:rsidR="00C14A90" w:rsidRPr="00705170">
        <w:rPr>
          <w:rFonts w:ascii="Times New Roman" w:hAnsi="Times New Roman" w:cs="Times New Roman"/>
          <w:color w:val="000000"/>
        </w:rPr>
        <w:t>”</w:t>
      </w:r>
      <w:r w:rsidR="00C14A90" w:rsidRPr="00705170">
        <w:rPr>
          <w:rStyle w:val="DipnotBavurusu"/>
          <w:rFonts w:ascii="Times New Roman" w:hAnsi="Times New Roman" w:cs="Times New Roman"/>
          <w:color w:val="000000"/>
        </w:rPr>
        <w:footnoteReference w:id="682"/>
      </w:r>
      <w:r w:rsidR="007117ED" w:rsidRPr="00705170">
        <w:rPr>
          <w:rFonts w:ascii="Times New Roman" w:hAnsi="Times New Roman" w:cs="Times New Roman"/>
          <w:color w:val="000000"/>
        </w:rPr>
        <w:t xml:space="preserve"> </w:t>
      </w:r>
      <w:proofErr w:type="spellStart"/>
      <w:r w:rsidR="007117ED" w:rsidRPr="00705170">
        <w:rPr>
          <w:rFonts w:ascii="Times New Roman" w:hAnsi="Times New Roman" w:cs="Times New Roman"/>
          <w:color w:val="000000"/>
        </w:rPr>
        <w:t>or</w:t>
      </w:r>
      <w:proofErr w:type="spellEnd"/>
      <w:r w:rsidR="007117ED" w:rsidRPr="00705170">
        <w:rPr>
          <w:rFonts w:ascii="Times New Roman" w:hAnsi="Times New Roman" w:cs="Times New Roman"/>
          <w:color w:val="000000"/>
        </w:rPr>
        <w:t xml:space="preserve"> “</w:t>
      </w:r>
      <w:proofErr w:type="spellStart"/>
      <w:r w:rsidR="007117ED" w:rsidRPr="00705170">
        <w:rPr>
          <w:rFonts w:ascii="Times New Roman" w:hAnsi="Times New Roman" w:cs="Times New Roman"/>
          <w:color w:val="000000"/>
        </w:rPr>
        <w:t>treating</w:t>
      </w:r>
      <w:proofErr w:type="spellEnd"/>
      <w:r w:rsidR="007117ED" w:rsidRPr="00705170">
        <w:rPr>
          <w:rFonts w:ascii="Times New Roman" w:hAnsi="Times New Roman" w:cs="Times New Roman"/>
          <w:color w:val="000000"/>
        </w:rPr>
        <w:t xml:space="preserve"> a </w:t>
      </w:r>
      <w:proofErr w:type="spellStart"/>
      <w:r w:rsidR="007117ED" w:rsidRPr="00705170">
        <w:rPr>
          <w:rFonts w:ascii="Times New Roman" w:hAnsi="Times New Roman" w:cs="Times New Roman"/>
          <w:color w:val="000000"/>
        </w:rPr>
        <w:t>group</w:t>
      </w:r>
      <w:proofErr w:type="spellEnd"/>
      <w:r w:rsidR="007117ED" w:rsidRPr="00705170">
        <w:rPr>
          <w:rFonts w:ascii="Times New Roman" w:hAnsi="Times New Roman" w:cs="Times New Roman"/>
          <w:color w:val="000000"/>
        </w:rPr>
        <w:t xml:space="preserve"> of </w:t>
      </w:r>
      <w:proofErr w:type="spellStart"/>
      <w:r w:rsidR="007117ED" w:rsidRPr="00705170">
        <w:rPr>
          <w:rFonts w:ascii="Times New Roman" w:hAnsi="Times New Roman" w:cs="Times New Roman"/>
          <w:color w:val="000000"/>
        </w:rPr>
        <w:t>related</w:t>
      </w:r>
      <w:proofErr w:type="spellEnd"/>
      <w:r w:rsidR="007117ED" w:rsidRPr="00705170">
        <w:rPr>
          <w:rFonts w:ascii="Times New Roman" w:hAnsi="Times New Roman" w:cs="Times New Roman"/>
          <w:color w:val="000000"/>
        </w:rPr>
        <w:t xml:space="preserve"> </w:t>
      </w:r>
      <w:proofErr w:type="spellStart"/>
      <w:r w:rsidR="007117ED" w:rsidRPr="00705170">
        <w:rPr>
          <w:rFonts w:ascii="Times New Roman" w:hAnsi="Times New Roman" w:cs="Times New Roman"/>
          <w:color w:val="000000"/>
        </w:rPr>
        <w:t>corporations</w:t>
      </w:r>
      <w:proofErr w:type="spellEnd"/>
      <w:r w:rsidR="007117ED" w:rsidRPr="00705170">
        <w:rPr>
          <w:rFonts w:ascii="Times New Roman" w:hAnsi="Times New Roman" w:cs="Times New Roman"/>
          <w:color w:val="000000"/>
        </w:rPr>
        <w:t xml:space="preserve"> as a </w:t>
      </w:r>
      <w:proofErr w:type="spellStart"/>
      <w:r w:rsidR="007117ED" w:rsidRPr="00705170">
        <w:rPr>
          <w:rFonts w:ascii="Times New Roman" w:hAnsi="Times New Roman" w:cs="Times New Roman"/>
          <w:color w:val="000000"/>
        </w:rPr>
        <w:t>single</w:t>
      </w:r>
      <w:proofErr w:type="spellEnd"/>
      <w:r w:rsidR="007117ED" w:rsidRPr="00705170">
        <w:rPr>
          <w:rFonts w:ascii="Times New Roman" w:hAnsi="Times New Roman" w:cs="Times New Roman"/>
          <w:color w:val="000000"/>
        </w:rPr>
        <w:t xml:space="preserve"> </w:t>
      </w:r>
      <w:proofErr w:type="spellStart"/>
      <w:r w:rsidR="007117ED" w:rsidRPr="00705170">
        <w:rPr>
          <w:rFonts w:ascii="Times New Roman" w:hAnsi="Times New Roman" w:cs="Times New Roman"/>
          <w:color w:val="000000"/>
        </w:rPr>
        <w:t>entity</w:t>
      </w:r>
      <w:proofErr w:type="spellEnd"/>
      <w:r w:rsidR="007117ED" w:rsidRPr="00705170">
        <w:rPr>
          <w:rFonts w:ascii="Times New Roman" w:hAnsi="Times New Roman" w:cs="Times New Roman"/>
          <w:color w:val="000000"/>
        </w:rPr>
        <w:t xml:space="preserve"> </w:t>
      </w:r>
      <w:proofErr w:type="spellStart"/>
      <w:r w:rsidR="007117ED" w:rsidRPr="00705170">
        <w:rPr>
          <w:rFonts w:ascii="Times New Roman" w:hAnsi="Times New Roman" w:cs="Times New Roman"/>
          <w:color w:val="000000"/>
        </w:rPr>
        <w:t>for</w:t>
      </w:r>
      <w:proofErr w:type="spellEnd"/>
      <w:r w:rsidR="007117ED" w:rsidRPr="00705170">
        <w:rPr>
          <w:rFonts w:ascii="Times New Roman" w:hAnsi="Times New Roman" w:cs="Times New Roman"/>
          <w:color w:val="000000"/>
        </w:rPr>
        <w:t xml:space="preserve"> </w:t>
      </w:r>
      <w:proofErr w:type="spellStart"/>
      <w:r w:rsidR="007117ED" w:rsidRPr="00705170">
        <w:rPr>
          <w:rFonts w:ascii="Times New Roman" w:hAnsi="Times New Roman" w:cs="Times New Roman"/>
          <w:color w:val="000000"/>
        </w:rPr>
        <w:t>the</w:t>
      </w:r>
      <w:proofErr w:type="spellEnd"/>
      <w:r w:rsidR="007117ED" w:rsidRPr="00705170">
        <w:rPr>
          <w:rFonts w:ascii="Times New Roman" w:hAnsi="Times New Roman" w:cs="Times New Roman"/>
          <w:color w:val="000000"/>
        </w:rPr>
        <w:t xml:space="preserve"> </w:t>
      </w:r>
      <w:proofErr w:type="spellStart"/>
      <w:r w:rsidR="007117ED" w:rsidRPr="00705170">
        <w:rPr>
          <w:rFonts w:ascii="Times New Roman" w:hAnsi="Times New Roman" w:cs="Times New Roman"/>
          <w:color w:val="000000"/>
        </w:rPr>
        <w:t>purpose</w:t>
      </w:r>
      <w:proofErr w:type="spellEnd"/>
      <w:r w:rsidR="007117ED" w:rsidRPr="00705170">
        <w:rPr>
          <w:rFonts w:ascii="Times New Roman" w:hAnsi="Times New Roman" w:cs="Times New Roman"/>
          <w:color w:val="000000"/>
        </w:rPr>
        <w:t xml:space="preserve"> of </w:t>
      </w:r>
      <w:proofErr w:type="spellStart"/>
      <w:r w:rsidR="007117ED" w:rsidRPr="00705170">
        <w:rPr>
          <w:rFonts w:ascii="Times New Roman" w:hAnsi="Times New Roman" w:cs="Times New Roman"/>
          <w:color w:val="000000"/>
        </w:rPr>
        <w:t>determining</w:t>
      </w:r>
      <w:proofErr w:type="spellEnd"/>
      <w:r w:rsidR="007117ED" w:rsidRPr="00705170">
        <w:rPr>
          <w:rFonts w:ascii="Times New Roman" w:hAnsi="Times New Roman" w:cs="Times New Roman"/>
          <w:color w:val="000000"/>
        </w:rPr>
        <w:t xml:space="preserve"> </w:t>
      </w:r>
      <w:proofErr w:type="spellStart"/>
      <w:r w:rsidR="007117ED" w:rsidRPr="00705170">
        <w:rPr>
          <w:rFonts w:ascii="Times New Roman" w:hAnsi="Times New Roman" w:cs="Times New Roman"/>
          <w:color w:val="000000"/>
        </w:rPr>
        <w:t>appropriate</w:t>
      </w:r>
      <w:proofErr w:type="spellEnd"/>
      <w:r w:rsidR="007117ED" w:rsidRPr="00705170">
        <w:rPr>
          <w:rFonts w:ascii="Times New Roman" w:hAnsi="Times New Roman" w:cs="Times New Roman"/>
          <w:color w:val="000000"/>
        </w:rPr>
        <w:t xml:space="preserve"> </w:t>
      </w:r>
      <w:proofErr w:type="spellStart"/>
      <w:r w:rsidR="007117ED" w:rsidRPr="00705170">
        <w:rPr>
          <w:rFonts w:ascii="Times New Roman" w:hAnsi="Times New Roman" w:cs="Times New Roman"/>
          <w:color w:val="000000"/>
        </w:rPr>
        <w:t>relief</w:t>
      </w:r>
      <w:proofErr w:type="spellEnd"/>
      <w:r w:rsidR="007117ED" w:rsidRPr="00705170">
        <w:rPr>
          <w:rFonts w:ascii="Times New Roman" w:hAnsi="Times New Roman" w:cs="Times New Roman"/>
          <w:color w:val="000000"/>
        </w:rPr>
        <w:t>”</w:t>
      </w:r>
      <w:r w:rsidR="007117ED" w:rsidRPr="00705170">
        <w:rPr>
          <w:rStyle w:val="DipnotBavurusu"/>
          <w:rFonts w:ascii="Times New Roman" w:hAnsi="Times New Roman" w:cs="Times New Roman"/>
          <w:color w:val="000000"/>
        </w:rPr>
        <w:footnoteReference w:id="683"/>
      </w:r>
      <w:r w:rsidR="007117ED" w:rsidRPr="00705170">
        <w:rPr>
          <w:rFonts w:ascii="Times New Roman" w:hAnsi="Times New Roman" w:cs="Times New Roman"/>
          <w:color w:val="000000"/>
        </w:rPr>
        <w:t>.</w:t>
      </w:r>
      <w:r w:rsidR="0087467B" w:rsidRPr="00705170">
        <w:rPr>
          <w:rFonts w:ascii="Times New Roman" w:hAnsi="Times New Roman" w:cs="Times New Roman"/>
          <w:color w:val="000000"/>
        </w:rPr>
        <w:t xml:space="preserve"> </w:t>
      </w:r>
      <w:proofErr w:type="spellStart"/>
      <w:r w:rsidR="002F2324" w:rsidRPr="00705170">
        <w:rPr>
          <w:rFonts w:ascii="Times New Roman" w:hAnsi="Times New Roman" w:cs="Times New Roman"/>
          <w:color w:val="000000"/>
        </w:rPr>
        <w:t>C</w:t>
      </w:r>
      <w:r w:rsidR="0087467B" w:rsidRPr="00705170">
        <w:rPr>
          <w:rFonts w:ascii="Times New Roman" w:hAnsi="Times New Roman" w:cs="Times New Roman"/>
          <w:color w:val="000000"/>
        </w:rPr>
        <w:t>ourts</w:t>
      </w:r>
      <w:proofErr w:type="spellEnd"/>
      <w:r w:rsidR="0087467B" w:rsidRPr="00705170">
        <w:rPr>
          <w:rFonts w:ascii="Times New Roman" w:hAnsi="Times New Roman" w:cs="Times New Roman"/>
          <w:color w:val="000000"/>
        </w:rPr>
        <w:t xml:space="preserve"> </w:t>
      </w:r>
      <w:r w:rsidR="00E15EAD" w:rsidRPr="00705170">
        <w:rPr>
          <w:rFonts w:ascii="Times New Roman" w:hAnsi="Times New Roman" w:cs="Times New Roman"/>
          <w:color w:val="000000"/>
        </w:rPr>
        <w:t xml:space="preserve">do not </w:t>
      </w:r>
      <w:proofErr w:type="spellStart"/>
      <w:r w:rsidR="00E15EAD" w:rsidRPr="00705170">
        <w:rPr>
          <w:rFonts w:ascii="Times New Roman" w:hAnsi="Times New Roman" w:cs="Times New Roman"/>
          <w:color w:val="000000"/>
        </w:rPr>
        <w:t>hesi</w:t>
      </w:r>
      <w:r w:rsidR="002F2324" w:rsidRPr="00705170">
        <w:rPr>
          <w:rFonts w:ascii="Times New Roman" w:hAnsi="Times New Roman" w:cs="Times New Roman"/>
          <w:color w:val="000000"/>
        </w:rPr>
        <w:t>tate</w:t>
      </w:r>
      <w:proofErr w:type="spellEnd"/>
      <w:r w:rsidR="002F2324" w:rsidRPr="00705170">
        <w:rPr>
          <w:rFonts w:ascii="Times New Roman" w:hAnsi="Times New Roman" w:cs="Times New Roman"/>
          <w:color w:val="000000"/>
        </w:rPr>
        <w:t xml:space="preserve"> </w:t>
      </w:r>
      <w:proofErr w:type="spellStart"/>
      <w:r w:rsidR="002F2324" w:rsidRPr="00705170">
        <w:rPr>
          <w:rFonts w:ascii="Times New Roman" w:hAnsi="Times New Roman" w:cs="Times New Roman"/>
          <w:color w:val="000000"/>
        </w:rPr>
        <w:t>to</w:t>
      </w:r>
      <w:proofErr w:type="spellEnd"/>
      <w:r w:rsidR="002F2324" w:rsidRPr="00705170">
        <w:rPr>
          <w:rFonts w:ascii="Times New Roman" w:hAnsi="Times New Roman" w:cs="Times New Roman"/>
          <w:color w:val="000000"/>
        </w:rPr>
        <w:t xml:space="preserve"> </w:t>
      </w:r>
      <w:proofErr w:type="spellStart"/>
      <w:r w:rsidR="002F2324" w:rsidRPr="00705170">
        <w:rPr>
          <w:rFonts w:ascii="Times New Roman" w:hAnsi="Times New Roman" w:cs="Times New Roman"/>
          <w:color w:val="000000"/>
        </w:rPr>
        <w:t>provide</w:t>
      </w:r>
      <w:proofErr w:type="spellEnd"/>
      <w:r w:rsidR="0087467B" w:rsidRPr="00705170">
        <w:rPr>
          <w:rFonts w:ascii="Times New Roman" w:hAnsi="Times New Roman" w:cs="Times New Roman"/>
          <w:color w:val="000000"/>
        </w:rPr>
        <w:t xml:space="preserve"> </w:t>
      </w:r>
      <w:proofErr w:type="spellStart"/>
      <w:r w:rsidR="0087467B" w:rsidRPr="00705170">
        <w:rPr>
          <w:rFonts w:ascii="Times New Roman" w:hAnsi="Times New Roman" w:cs="Times New Roman"/>
          <w:color w:val="000000"/>
        </w:rPr>
        <w:t>unconventional</w:t>
      </w:r>
      <w:proofErr w:type="spellEnd"/>
      <w:r w:rsidR="0087467B" w:rsidRPr="00705170">
        <w:rPr>
          <w:rFonts w:ascii="Times New Roman" w:hAnsi="Times New Roman" w:cs="Times New Roman"/>
          <w:color w:val="000000"/>
        </w:rPr>
        <w:t xml:space="preserve"> </w:t>
      </w:r>
      <w:proofErr w:type="spellStart"/>
      <w:r w:rsidR="0087467B" w:rsidRPr="00705170">
        <w:rPr>
          <w:rFonts w:ascii="Times New Roman" w:hAnsi="Times New Roman" w:cs="Times New Roman"/>
          <w:color w:val="000000"/>
        </w:rPr>
        <w:t>remedies</w:t>
      </w:r>
      <w:proofErr w:type="spellEnd"/>
      <w:r w:rsidR="0087467B" w:rsidRPr="00705170">
        <w:rPr>
          <w:rFonts w:ascii="Times New Roman" w:hAnsi="Times New Roman" w:cs="Times New Roman"/>
          <w:color w:val="000000"/>
        </w:rPr>
        <w:t xml:space="preserve">, </w:t>
      </w:r>
      <w:proofErr w:type="spellStart"/>
      <w:r w:rsidR="0087467B" w:rsidRPr="00705170">
        <w:rPr>
          <w:rFonts w:ascii="Times New Roman" w:hAnsi="Times New Roman" w:cs="Times New Roman"/>
          <w:color w:val="000000"/>
        </w:rPr>
        <w:t>such</w:t>
      </w:r>
      <w:proofErr w:type="spellEnd"/>
      <w:r w:rsidR="0087467B" w:rsidRPr="00705170">
        <w:rPr>
          <w:rFonts w:ascii="Times New Roman" w:hAnsi="Times New Roman" w:cs="Times New Roman"/>
          <w:color w:val="000000"/>
        </w:rPr>
        <w:t xml:space="preserve"> as </w:t>
      </w:r>
      <w:r w:rsidR="002F2324" w:rsidRPr="00705170">
        <w:rPr>
          <w:rFonts w:ascii="Times New Roman" w:hAnsi="Times New Roman" w:cs="Times New Roman"/>
          <w:color w:val="000000"/>
        </w:rPr>
        <w:t xml:space="preserve">a </w:t>
      </w:r>
      <w:proofErr w:type="spellStart"/>
      <w:r w:rsidR="002F2324" w:rsidRPr="00705170">
        <w:rPr>
          <w:rFonts w:ascii="Times New Roman" w:hAnsi="Times New Roman" w:cs="Times New Roman"/>
          <w:color w:val="000000"/>
        </w:rPr>
        <w:t>minority</w:t>
      </w:r>
      <w:proofErr w:type="spellEnd"/>
      <w:r w:rsidR="002F2324" w:rsidRPr="00705170">
        <w:rPr>
          <w:rFonts w:ascii="Times New Roman" w:hAnsi="Times New Roman" w:cs="Times New Roman"/>
          <w:color w:val="000000"/>
        </w:rPr>
        <w:t xml:space="preserve"> buy-</w:t>
      </w:r>
      <w:proofErr w:type="spellStart"/>
      <w:r w:rsidR="002F2324" w:rsidRPr="00705170">
        <w:rPr>
          <w:rFonts w:ascii="Times New Roman" w:hAnsi="Times New Roman" w:cs="Times New Roman"/>
          <w:color w:val="000000"/>
        </w:rPr>
        <w:t>out</w:t>
      </w:r>
      <w:proofErr w:type="spellEnd"/>
      <w:r w:rsidR="002F2324" w:rsidRPr="00705170">
        <w:rPr>
          <w:rFonts w:ascii="Times New Roman" w:hAnsi="Times New Roman" w:cs="Times New Roman"/>
          <w:color w:val="000000"/>
        </w:rPr>
        <w:t xml:space="preserve"> of </w:t>
      </w:r>
      <w:proofErr w:type="spellStart"/>
      <w:r w:rsidR="002F2324" w:rsidRPr="00705170">
        <w:rPr>
          <w:rFonts w:ascii="Times New Roman" w:hAnsi="Times New Roman" w:cs="Times New Roman"/>
          <w:color w:val="000000"/>
        </w:rPr>
        <w:t>the</w:t>
      </w:r>
      <w:proofErr w:type="spellEnd"/>
      <w:r w:rsidR="002F2324" w:rsidRPr="00705170">
        <w:rPr>
          <w:rFonts w:ascii="Times New Roman" w:hAnsi="Times New Roman" w:cs="Times New Roman"/>
          <w:color w:val="000000"/>
        </w:rPr>
        <w:t xml:space="preserve"> </w:t>
      </w:r>
      <w:proofErr w:type="spellStart"/>
      <w:r w:rsidR="002F2324" w:rsidRPr="00705170">
        <w:rPr>
          <w:rFonts w:ascii="Times New Roman" w:hAnsi="Times New Roman" w:cs="Times New Roman"/>
          <w:color w:val="000000"/>
        </w:rPr>
        <w:t>majority</w:t>
      </w:r>
      <w:proofErr w:type="spellEnd"/>
      <w:r w:rsidR="002F2324" w:rsidRPr="00705170">
        <w:rPr>
          <w:rStyle w:val="DipnotBavurusu"/>
          <w:rFonts w:ascii="Times New Roman" w:hAnsi="Times New Roman" w:cs="Times New Roman"/>
          <w:color w:val="000000"/>
        </w:rPr>
        <w:footnoteReference w:id="684"/>
      </w:r>
      <w:r w:rsidR="002F2324" w:rsidRPr="00705170">
        <w:rPr>
          <w:rFonts w:ascii="Times New Roman" w:hAnsi="Times New Roman" w:cs="Times New Roman"/>
          <w:color w:val="000000"/>
        </w:rPr>
        <w:t>.</w:t>
      </w:r>
    </w:p>
    <w:p w14:paraId="4FF5AE31" w14:textId="37733AD5" w:rsidR="00B6445E" w:rsidRPr="00705170" w:rsidRDefault="00B6445E" w:rsidP="00B6445E">
      <w:pPr>
        <w:spacing w:after="240" w:line="480" w:lineRule="auto"/>
        <w:ind w:firstLine="708"/>
        <w:jc w:val="both"/>
        <w:rPr>
          <w:rFonts w:ascii="Times New Roman" w:hAnsi="Times New Roman" w:cs="Times New Roman"/>
          <w:color w:val="000000"/>
        </w:rPr>
      </w:pPr>
      <w:proofErr w:type="spellStart"/>
      <w:r w:rsidRPr="00705170">
        <w:rPr>
          <w:rFonts w:ascii="Times New Roman" w:hAnsi="Times New Roman" w:cs="Times New Roman"/>
          <w:color w:val="000000"/>
        </w:rPr>
        <w:t>In</w:t>
      </w:r>
      <w:proofErr w:type="spellEnd"/>
      <w:r w:rsidRPr="00705170">
        <w:rPr>
          <w:rFonts w:ascii="Times New Roman" w:hAnsi="Times New Roman" w:cs="Times New Roman"/>
          <w:color w:val="000000"/>
        </w:rPr>
        <w:t xml:space="preserve"> Baker v. Commercial Body </w:t>
      </w:r>
      <w:proofErr w:type="spellStart"/>
      <w:r w:rsidRPr="00705170">
        <w:rPr>
          <w:rFonts w:ascii="Times New Roman" w:hAnsi="Times New Roman" w:cs="Times New Roman"/>
          <w:color w:val="000000"/>
        </w:rPr>
        <w:t>Builders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Inc</w:t>
      </w:r>
      <w:proofErr w:type="spellEnd"/>
      <w:r w:rsidRPr="00705170">
        <w:rPr>
          <w:rFonts w:ascii="Times New Roman" w:hAnsi="Times New Roman" w:cs="Times New Roman"/>
          <w:color w:val="000000"/>
        </w:rPr>
        <w:t xml:space="preserve">., 264 Or. 614 (1973),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court</w:t>
      </w:r>
      <w:proofErr w:type="spellEnd"/>
      <w:r w:rsidR="00954058" w:rsidRPr="00705170">
        <w:rPr>
          <w:rFonts w:ascii="Times New Roman" w:hAnsi="Times New Roman" w:cs="Times New Roman"/>
          <w:color w:val="000000"/>
        </w:rPr>
        <w:t xml:space="preserve"> </w:t>
      </w:r>
      <w:proofErr w:type="spellStart"/>
      <w:r w:rsidR="00954058" w:rsidRPr="00705170">
        <w:rPr>
          <w:rFonts w:ascii="Times New Roman" w:hAnsi="Times New Roman" w:cs="Times New Roman"/>
          <w:color w:val="000000"/>
        </w:rPr>
        <w:t>thoroughly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listed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suggested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alternative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remedies</w:t>
      </w:r>
      <w:proofErr w:type="spellEnd"/>
      <w:r w:rsidRPr="00705170">
        <w:rPr>
          <w:rFonts w:ascii="Times New Roman" w:hAnsi="Times New Roman" w:cs="Times New Roman"/>
          <w:color w:val="000000"/>
        </w:rPr>
        <w:t xml:space="preserve"> in U.S. </w:t>
      </w:r>
      <w:proofErr w:type="spellStart"/>
      <w:r w:rsidRPr="00705170">
        <w:rPr>
          <w:rFonts w:ascii="Times New Roman" w:hAnsi="Times New Roman" w:cs="Times New Roman"/>
          <w:color w:val="000000"/>
        </w:rPr>
        <w:t>law</w:t>
      </w:r>
      <w:proofErr w:type="spellEnd"/>
      <w:r w:rsidRPr="00705170">
        <w:rPr>
          <w:rFonts w:ascii="Times New Roman" w:hAnsi="Times New Roman" w:cs="Times New Roman"/>
          <w:color w:val="000000"/>
        </w:rPr>
        <w:t xml:space="preserve"> as </w:t>
      </w:r>
      <w:proofErr w:type="spellStart"/>
      <w:r w:rsidRPr="00705170">
        <w:rPr>
          <w:rFonts w:ascii="Times New Roman" w:hAnsi="Times New Roman" w:cs="Times New Roman"/>
          <w:color w:val="000000"/>
        </w:rPr>
        <w:t>follows</w:t>
      </w:r>
      <w:proofErr w:type="spellEnd"/>
      <w:r w:rsidRPr="00705170">
        <w:rPr>
          <w:rFonts w:ascii="Times New Roman" w:hAnsi="Times New Roman" w:cs="Times New Roman"/>
          <w:color w:val="000000"/>
        </w:rPr>
        <w:t xml:space="preserve">: “(a)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entry</w:t>
      </w:r>
      <w:proofErr w:type="spellEnd"/>
      <w:r w:rsidRPr="00705170">
        <w:rPr>
          <w:rFonts w:ascii="Times New Roman" w:hAnsi="Times New Roman" w:cs="Times New Roman"/>
          <w:color w:val="000000"/>
        </w:rPr>
        <w:t xml:space="preserve"> of an </w:t>
      </w:r>
      <w:proofErr w:type="spellStart"/>
      <w:r w:rsidRPr="00705170">
        <w:rPr>
          <w:rFonts w:ascii="Times New Roman" w:hAnsi="Times New Roman" w:cs="Times New Roman"/>
          <w:color w:val="000000"/>
        </w:rPr>
        <w:t>order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requiring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dissolution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at a </w:t>
      </w:r>
      <w:proofErr w:type="spellStart"/>
      <w:r w:rsidRPr="00705170">
        <w:rPr>
          <w:rFonts w:ascii="Times New Roman" w:hAnsi="Times New Roman" w:cs="Times New Roman"/>
          <w:color w:val="000000"/>
        </w:rPr>
        <w:t>specified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future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date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become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effective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only</w:t>
      </w:r>
      <w:proofErr w:type="spellEnd"/>
      <w:r w:rsidRPr="00705170">
        <w:rPr>
          <w:rFonts w:ascii="Times New Roman" w:hAnsi="Times New Roman" w:cs="Times New Roman"/>
          <w:color w:val="000000"/>
        </w:rPr>
        <w:t xml:space="preserve"> in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event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stockholders</w:t>
      </w:r>
      <w:proofErr w:type="spellEnd"/>
      <w:r w:rsidRPr="00705170">
        <w:rPr>
          <w:rFonts w:ascii="Times New Roman" w:hAnsi="Times New Roman" w:cs="Times New Roman"/>
          <w:color w:val="000000"/>
        </w:rPr>
        <w:t xml:space="preserve"> fail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resolve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their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differences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prior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date</w:t>
      </w:r>
      <w:proofErr w:type="spellEnd"/>
      <w:r w:rsidRPr="00705170">
        <w:rPr>
          <w:rFonts w:ascii="Times New Roman" w:hAnsi="Times New Roman" w:cs="Times New Roman"/>
          <w:color w:val="000000"/>
        </w:rPr>
        <w:t xml:space="preserve">; (b)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appointment</w:t>
      </w:r>
      <w:proofErr w:type="spellEnd"/>
      <w:r w:rsidRPr="00705170">
        <w:rPr>
          <w:rFonts w:ascii="Times New Roman" w:hAnsi="Times New Roman" w:cs="Times New Roman"/>
          <w:color w:val="000000"/>
        </w:rPr>
        <w:t xml:space="preserve"> of a </w:t>
      </w:r>
      <w:proofErr w:type="spellStart"/>
      <w:r w:rsidRPr="00705170">
        <w:rPr>
          <w:rFonts w:ascii="Times New Roman" w:hAnsi="Times New Roman" w:cs="Times New Roman"/>
          <w:color w:val="000000"/>
        </w:rPr>
        <w:t>receiver</w:t>
      </w:r>
      <w:proofErr w:type="spellEnd"/>
      <w:r w:rsidRPr="00705170">
        <w:rPr>
          <w:rFonts w:ascii="Times New Roman" w:hAnsi="Times New Roman" w:cs="Times New Roman"/>
          <w:color w:val="000000"/>
        </w:rPr>
        <w:t xml:space="preserve">, not </w:t>
      </w:r>
      <w:proofErr w:type="spellStart"/>
      <w:r w:rsidRPr="00705170">
        <w:rPr>
          <w:rFonts w:ascii="Times New Roman" w:hAnsi="Times New Roman" w:cs="Times New Roman"/>
          <w:color w:val="000000"/>
        </w:rPr>
        <w:t>for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purposes</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dissolution</w:t>
      </w:r>
      <w:proofErr w:type="spellEnd"/>
      <w:r w:rsidRPr="00705170">
        <w:rPr>
          <w:rFonts w:ascii="Times New Roman" w:hAnsi="Times New Roman" w:cs="Times New Roman"/>
          <w:color w:val="000000"/>
        </w:rPr>
        <w:t xml:space="preserve">, but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continue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operation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benefit</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all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stockholders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both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majority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minority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until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differences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resolved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oppressive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conduct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ceases</w:t>
      </w:r>
      <w:proofErr w:type="spellEnd"/>
      <w:r w:rsidRPr="00705170">
        <w:rPr>
          <w:rFonts w:ascii="Times New Roman" w:hAnsi="Times New Roman" w:cs="Times New Roman"/>
          <w:color w:val="000000"/>
        </w:rPr>
        <w:t xml:space="preserve">; (c)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appointment</w:t>
      </w:r>
      <w:proofErr w:type="spellEnd"/>
      <w:r w:rsidRPr="00705170">
        <w:rPr>
          <w:rFonts w:ascii="Times New Roman" w:hAnsi="Times New Roman" w:cs="Times New Roman"/>
          <w:color w:val="000000"/>
        </w:rPr>
        <w:t xml:space="preserve"> of a ‘</w:t>
      </w:r>
      <w:proofErr w:type="spellStart"/>
      <w:r w:rsidRPr="00705170">
        <w:rPr>
          <w:rFonts w:ascii="Times New Roman" w:hAnsi="Times New Roman" w:cs="Times New Roman"/>
          <w:color w:val="000000"/>
        </w:rPr>
        <w:t>special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fiscal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agent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report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court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relating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continued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operation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as a </w:t>
      </w:r>
      <w:proofErr w:type="spellStart"/>
      <w:r w:rsidRPr="00705170">
        <w:rPr>
          <w:rFonts w:ascii="Times New Roman" w:hAnsi="Times New Roman" w:cs="Times New Roman"/>
          <w:color w:val="000000"/>
        </w:rPr>
        <w:t>protection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its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minority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stockholders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retention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jurisdiction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case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court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that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purpose</w:t>
      </w:r>
      <w:proofErr w:type="spellEnd"/>
      <w:r w:rsidRPr="00705170">
        <w:rPr>
          <w:rFonts w:ascii="Times New Roman" w:hAnsi="Times New Roman" w:cs="Times New Roman"/>
          <w:color w:val="000000"/>
        </w:rPr>
        <w:t xml:space="preserve">; (d)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retention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jurisdiction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case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court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protection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minority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stockholders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without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appointment</w:t>
      </w:r>
      <w:proofErr w:type="spellEnd"/>
      <w:r w:rsidRPr="00705170">
        <w:rPr>
          <w:rFonts w:ascii="Times New Roman" w:hAnsi="Times New Roman" w:cs="Times New Roman"/>
          <w:color w:val="000000"/>
        </w:rPr>
        <w:t xml:space="preserve"> of a </w:t>
      </w:r>
      <w:proofErr w:type="spellStart"/>
      <w:r w:rsidRPr="00705170">
        <w:rPr>
          <w:rFonts w:ascii="Times New Roman" w:hAnsi="Times New Roman" w:cs="Times New Roman"/>
          <w:color w:val="000000"/>
        </w:rPr>
        <w:t>receiver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special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fiscal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agent</w:t>
      </w:r>
      <w:proofErr w:type="spellEnd"/>
      <w:r w:rsidRPr="00705170">
        <w:rPr>
          <w:rFonts w:ascii="Times New Roman" w:hAnsi="Times New Roman" w:cs="Times New Roman"/>
          <w:color w:val="000000"/>
        </w:rPr>
        <w:t xml:space="preserve">’; (e)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ordering</w:t>
      </w:r>
      <w:proofErr w:type="spellEnd"/>
      <w:r w:rsidRPr="00705170">
        <w:rPr>
          <w:rFonts w:ascii="Times New Roman" w:hAnsi="Times New Roman" w:cs="Times New Roman"/>
          <w:color w:val="000000"/>
        </w:rPr>
        <w:t xml:space="preserve"> of an </w:t>
      </w:r>
      <w:proofErr w:type="spellStart"/>
      <w:r w:rsidRPr="00705170">
        <w:rPr>
          <w:rFonts w:ascii="Times New Roman" w:hAnsi="Times New Roman" w:cs="Times New Roman"/>
          <w:color w:val="000000"/>
        </w:rPr>
        <w:t>accounting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majority</w:t>
      </w:r>
      <w:proofErr w:type="spellEnd"/>
      <w:r w:rsidRPr="00705170">
        <w:rPr>
          <w:rFonts w:ascii="Times New Roman" w:hAnsi="Times New Roman" w:cs="Times New Roman"/>
          <w:color w:val="000000"/>
        </w:rPr>
        <w:t xml:space="preserve"> in </w:t>
      </w:r>
      <w:proofErr w:type="spellStart"/>
      <w:r w:rsidRPr="00705170">
        <w:rPr>
          <w:rFonts w:ascii="Times New Roman" w:hAnsi="Times New Roman" w:cs="Times New Roman"/>
          <w:color w:val="000000"/>
        </w:rPr>
        <w:t>control</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funds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alleged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have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been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misappropriated</w:t>
      </w:r>
      <w:proofErr w:type="spellEnd"/>
      <w:r w:rsidRPr="00705170">
        <w:rPr>
          <w:rFonts w:ascii="Times New Roman" w:hAnsi="Times New Roman" w:cs="Times New Roman"/>
          <w:color w:val="000000"/>
        </w:rPr>
        <w:t xml:space="preserve">; (f)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issuance</w:t>
      </w:r>
      <w:proofErr w:type="spellEnd"/>
      <w:r w:rsidRPr="00705170">
        <w:rPr>
          <w:rFonts w:ascii="Times New Roman" w:hAnsi="Times New Roman" w:cs="Times New Roman"/>
          <w:color w:val="000000"/>
        </w:rPr>
        <w:t xml:space="preserve"> of an </w:t>
      </w:r>
      <w:proofErr w:type="spellStart"/>
      <w:r w:rsidRPr="00705170">
        <w:rPr>
          <w:rFonts w:ascii="Times New Roman" w:hAnsi="Times New Roman" w:cs="Times New Roman"/>
          <w:color w:val="000000"/>
        </w:rPr>
        <w:t>injunction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lastRenderedPageBreak/>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prohibit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continuing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acts</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oppressive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conduct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which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may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include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reduction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salaries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bonus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payments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found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be </w:t>
      </w:r>
      <w:proofErr w:type="spellStart"/>
      <w:r w:rsidRPr="00705170">
        <w:rPr>
          <w:rFonts w:ascii="Times New Roman" w:hAnsi="Times New Roman" w:cs="Times New Roman"/>
          <w:color w:val="000000"/>
        </w:rPr>
        <w:t>unjustified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excessive</w:t>
      </w:r>
      <w:proofErr w:type="spellEnd"/>
      <w:r w:rsidRPr="00705170">
        <w:rPr>
          <w:rFonts w:ascii="Times New Roman" w:hAnsi="Times New Roman" w:cs="Times New Roman"/>
          <w:color w:val="000000"/>
        </w:rPr>
        <w:t xml:space="preserve">; (g)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ordering</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affirmative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relief</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required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declaration</w:t>
      </w:r>
      <w:proofErr w:type="spellEnd"/>
      <w:r w:rsidRPr="00705170">
        <w:rPr>
          <w:rFonts w:ascii="Times New Roman" w:hAnsi="Times New Roman" w:cs="Times New Roman"/>
          <w:color w:val="000000"/>
        </w:rPr>
        <w:t xml:space="preserve"> of a </w:t>
      </w:r>
      <w:proofErr w:type="spellStart"/>
      <w:r w:rsidRPr="00705170">
        <w:rPr>
          <w:rFonts w:ascii="Times New Roman" w:hAnsi="Times New Roman" w:cs="Times New Roman"/>
          <w:color w:val="000000"/>
        </w:rPr>
        <w:t>dividend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w:t>
      </w:r>
      <w:proofErr w:type="spellEnd"/>
      <w:r w:rsidRPr="00705170">
        <w:rPr>
          <w:rFonts w:ascii="Times New Roman" w:hAnsi="Times New Roman" w:cs="Times New Roman"/>
          <w:color w:val="000000"/>
        </w:rPr>
        <w:t xml:space="preserve"> a </w:t>
      </w:r>
      <w:proofErr w:type="spellStart"/>
      <w:r w:rsidRPr="00705170">
        <w:rPr>
          <w:rFonts w:ascii="Times New Roman" w:hAnsi="Times New Roman" w:cs="Times New Roman"/>
          <w:color w:val="000000"/>
        </w:rPr>
        <w:t>reduction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distribution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capital</w:t>
      </w:r>
      <w:proofErr w:type="spellEnd"/>
      <w:r w:rsidRPr="00705170">
        <w:rPr>
          <w:rFonts w:ascii="Times New Roman" w:hAnsi="Times New Roman" w:cs="Times New Roman"/>
          <w:color w:val="000000"/>
        </w:rPr>
        <w:t xml:space="preserve">; (h)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ordering</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affirmative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relief</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entry</w:t>
      </w:r>
      <w:proofErr w:type="spellEnd"/>
      <w:r w:rsidRPr="00705170">
        <w:rPr>
          <w:rFonts w:ascii="Times New Roman" w:hAnsi="Times New Roman" w:cs="Times New Roman"/>
          <w:color w:val="000000"/>
        </w:rPr>
        <w:t xml:space="preserve"> of an </w:t>
      </w:r>
      <w:proofErr w:type="spellStart"/>
      <w:r w:rsidRPr="00705170">
        <w:rPr>
          <w:rFonts w:ascii="Times New Roman" w:hAnsi="Times New Roman" w:cs="Times New Roman"/>
          <w:color w:val="000000"/>
        </w:rPr>
        <w:t>order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requiring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w:t>
      </w:r>
      <w:proofErr w:type="spellEnd"/>
      <w:r w:rsidRPr="00705170">
        <w:rPr>
          <w:rFonts w:ascii="Times New Roman" w:hAnsi="Times New Roman" w:cs="Times New Roman"/>
          <w:color w:val="000000"/>
        </w:rPr>
        <w:t xml:space="preserve"> a </w:t>
      </w:r>
      <w:proofErr w:type="spellStart"/>
      <w:r w:rsidRPr="00705170">
        <w:rPr>
          <w:rFonts w:ascii="Times New Roman" w:hAnsi="Times New Roman" w:cs="Times New Roman"/>
          <w:color w:val="000000"/>
        </w:rPr>
        <w:t>majority</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its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stockholders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purchase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stock</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minority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stockholders</w:t>
      </w:r>
      <w:proofErr w:type="spellEnd"/>
      <w:r w:rsidRPr="00705170">
        <w:rPr>
          <w:rFonts w:ascii="Times New Roman" w:hAnsi="Times New Roman" w:cs="Times New Roman"/>
          <w:color w:val="000000"/>
        </w:rPr>
        <w:t xml:space="preserve"> at a </w:t>
      </w:r>
      <w:proofErr w:type="spellStart"/>
      <w:r w:rsidRPr="00705170">
        <w:rPr>
          <w:rFonts w:ascii="Times New Roman" w:hAnsi="Times New Roman" w:cs="Times New Roman"/>
          <w:color w:val="000000"/>
        </w:rPr>
        <w:t>price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be </w:t>
      </w:r>
      <w:proofErr w:type="spellStart"/>
      <w:r w:rsidRPr="00705170">
        <w:rPr>
          <w:rFonts w:ascii="Times New Roman" w:hAnsi="Times New Roman" w:cs="Times New Roman"/>
          <w:color w:val="000000"/>
        </w:rPr>
        <w:t>determined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according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a </w:t>
      </w:r>
      <w:proofErr w:type="spellStart"/>
      <w:r w:rsidRPr="00705170">
        <w:rPr>
          <w:rFonts w:ascii="Times New Roman" w:hAnsi="Times New Roman" w:cs="Times New Roman"/>
          <w:color w:val="000000"/>
        </w:rPr>
        <w:t>specified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formula</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w:t>
      </w:r>
      <w:proofErr w:type="spellEnd"/>
      <w:r w:rsidRPr="00705170">
        <w:rPr>
          <w:rFonts w:ascii="Times New Roman" w:hAnsi="Times New Roman" w:cs="Times New Roman"/>
          <w:color w:val="000000"/>
        </w:rPr>
        <w:t xml:space="preserve"> at a </w:t>
      </w:r>
      <w:proofErr w:type="spellStart"/>
      <w:r w:rsidRPr="00705170">
        <w:rPr>
          <w:rFonts w:ascii="Times New Roman" w:hAnsi="Times New Roman" w:cs="Times New Roman"/>
          <w:color w:val="000000"/>
        </w:rPr>
        <w:t>price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determined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court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be a </w:t>
      </w:r>
      <w:proofErr w:type="spellStart"/>
      <w:r w:rsidRPr="00705170">
        <w:rPr>
          <w:rFonts w:ascii="Times New Roman" w:hAnsi="Times New Roman" w:cs="Times New Roman"/>
          <w:color w:val="000000"/>
        </w:rPr>
        <w:t>fair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reasonable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price</w:t>
      </w:r>
      <w:proofErr w:type="spellEnd"/>
      <w:r w:rsidRPr="00705170">
        <w:rPr>
          <w:rFonts w:ascii="Times New Roman" w:hAnsi="Times New Roman" w:cs="Times New Roman"/>
          <w:color w:val="000000"/>
        </w:rPr>
        <w:t xml:space="preserve">; (i)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ordering</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affirmative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relief</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entry</w:t>
      </w:r>
      <w:proofErr w:type="spellEnd"/>
      <w:r w:rsidRPr="00705170">
        <w:rPr>
          <w:rFonts w:ascii="Times New Roman" w:hAnsi="Times New Roman" w:cs="Times New Roman"/>
          <w:color w:val="000000"/>
        </w:rPr>
        <w:t xml:space="preserve"> of an </w:t>
      </w:r>
      <w:proofErr w:type="spellStart"/>
      <w:r w:rsidRPr="00705170">
        <w:rPr>
          <w:rFonts w:ascii="Times New Roman" w:hAnsi="Times New Roman" w:cs="Times New Roman"/>
          <w:color w:val="000000"/>
        </w:rPr>
        <w:t>order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permitting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minority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stockholders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purchase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additional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stock</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under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conditions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specified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court</w:t>
      </w:r>
      <w:proofErr w:type="spellEnd"/>
      <w:r w:rsidRPr="00705170">
        <w:rPr>
          <w:rFonts w:ascii="Times New Roman" w:hAnsi="Times New Roman" w:cs="Times New Roman"/>
          <w:color w:val="000000"/>
        </w:rPr>
        <w:t xml:space="preserve">; (j) An </w:t>
      </w:r>
      <w:proofErr w:type="spellStart"/>
      <w:r w:rsidRPr="00705170">
        <w:rPr>
          <w:rFonts w:ascii="Times New Roman" w:hAnsi="Times New Roman" w:cs="Times New Roman"/>
          <w:color w:val="000000"/>
        </w:rPr>
        <w:t>award</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damages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minority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stockholders</w:t>
      </w:r>
      <w:proofErr w:type="spellEnd"/>
      <w:r w:rsidRPr="00705170">
        <w:rPr>
          <w:rFonts w:ascii="Times New Roman" w:hAnsi="Times New Roman" w:cs="Times New Roman"/>
          <w:color w:val="000000"/>
        </w:rPr>
        <w:t xml:space="preserve"> as </w:t>
      </w:r>
      <w:proofErr w:type="spellStart"/>
      <w:r w:rsidRPr="00705170">
        <w:rPr>
          <w:rFonts w:ascii="Times New Roman" w:hAnsi="Times New Roman" w:cs="Times New Roman"/>
          <w:color w:val="000000"/>
        </w:rPr>
        <w:t>compensation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injury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suffered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them</w:t>
      </w:r>
      <w:proofErr w:type="spellEnd"/>
      <w:r w:rsidRPr="00705170">
        <w:rPr>
          <w:rFonts w:ascii="Times New Roman" w:hAnsi="Times New Roman" w:cs="Times New Roman"/>
          <w:color w:val="000000"/>
        </w:rPr>
        <w:t xml:space="preserve"> as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result</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oppressive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conduct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majority</w:t>
      </w:r>
      <w:proofErr w:type="spellEnd"/>
      <w:r w:rsidRPr="00705170">
        <w:rPr>
          <w:rFonts w:ascii="Times New Roman" w:hAnsi="Times New Roman" w:cs="Times New Roman"/>
          <w:color w:val="000000"/>
        </w:rPr>
        <w:t xml:space="preserve"> in </w:t>
      </w:r>
      <w:proofErr w:type="spellStart"/>
      <w:r w:rsidRPr="00705170">
        <w:rPr>
          <w:rFonts w:ascii="Times New Roman" w:hAnsi="Times New Roman" w:cs="Times New Roman"/>
          <w:color w:val="000000"/>
        </w:rPr>
        <w:t>control</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corporation</w:t>
      </w:r>
      <w:proofErr w:type="spellEnd"/>
      <w:r w:rsidRPr="00705170">
        <w:rPr>
          <w:rFonts w:ascii="Times New Roman" w:hAnsi="Times New Roman" w:cs="Times New Roman"/>
          <w:color w:val="000000"/>
        </w:rPr>
        <w:t xml:space="preserve">.” </w:t>
      </w:r>
      <w:r w:rsidRPr="00705170">
        <w:rPr>
          <w:rFonts w:ascii="MS Mincho" w:eastAsia="MS Mincho" w:hAnsi="MS Mincho" w:cs="MS Mincho"/>
          <w:color w:val="000000"/>
        </w:rPr>
        <w:t> </w:t>
      </w:r>
    </w:p>
    <w:p w14:paraId="17A67FFA" w14:textId="49820A6E" w:rsidR="001D732B" w:rsidRPr="00705170" w:rsidRDefault="00C01441" w:rsidP="00D84D31">
      <w:pPr>
        <w:spacing w:after="240" w:line="480" w:lineRule="auto"/>
        <w:ind w:firstLine="708"/>
        <w:rPr>
          <w:rFonts w:ascii="Times New Roman" w:hAnsi="Times New Roman" w:cs="Times New Roman"/>
          <w:b/>
          <w:color w:val="000000" w:themeColor="text1"/>
        </w:rPr>
      </w:pPr>
      <w:r>
        <w:rPr>
          <w:rFonts w:ascii="Times New Roman" w:hAnsi="Times New Roman" w:cs="Times New Roman"/>
          <w:b/>
          <w:color w:val="000000" w:themeColor="text1"/>
        </w:rPr>
        <w:t>4</w:t>
      </w:r>
      <w:r w:rsidR="005E4903" w:rsidRPr="00705170">
        <w:rPr>
          <w:rFonts w:ascii="Times New Roman" w:hAnsi="Times New Roman" w:cs="Times New Roman"/>
          <w:b/>
          <w:color w:val="000000" w:themeColor="text1"/>
        </w:rPr>
        <w:t xml:space="preserve">.3. Components of </w:t>
      </w:r>
      <w:proofErr w:type="spellStart"/>
      <w:r w:rsidR="005E4903" w:rsidRPr="00705170">
        <w:rPr>
          <w:rFonts w:ascii="Times New Roman" w:hAnsi="Times New Roman" w:cs="Times New Roman"/>
          <w:b/>
          <w:color w:val="000000" w:themeColor="text1"/>
        </w:rPr>
        <w:t>the</w:t>
      </w:r>
      <w:proofErr w:type="spellEnd"/>
      <w:r w:rsidR="005E4903" w:rsidRPr="00705170">
        <w:rPr>
          <w:rFonts w:ascii="Times New Roman" w:hAnsi="Times New Roman" w:cs="Times New Roman"/>
          <w:b/>
          <w:color w:val="000000" w:themeColor="text1"/>
        </w:rPr>
        <w:t xml:space="preserve"> “</w:t>
      </w:r>
      <w:proofErr w:type="spellStart"/>
      <w:r w:rsidR="005E4903" w:rsidRPr="00705170">
        <w:rPr>
          <w:rFonts w:ascii="Times New Roman" w:hAnsi="Times New Roman" w:cs="Times New Roman"/>
          <w:b/>
          <w:color w:val="000000" w:themeColor="text1"/>
        </w:rPr>
        <w:t>Reasonable</w:t>
      </w:r>
      <w:proofErr w:type="spellEnd"/>
      <w:r w:rsidR="005E4903" w:rsidRPr="00705170">
        <w:rPr>
          <w:rFonts w:ascii="Times New Roman" w:hAnsi="Times New Roman" w:cs="Times New Roman"/>
          <w:b/>
          <w:color w:val="000000" w:themeColor="text1"/>
        </w:rPr>
        <w:t xml:space="preserve"> </w:t>
      </w:r>
      <w:proofErr w:type="spellStart"/>
      <w:r w:rsidR="005E4903" w:rsidRPr="00705170">
        <w:rPr>
          <w:rFonts w:ascii="Times New Roman" w:hAnsi="Times New Roman" w:cs="Times New Roman"/>
          <w:b/>
          <w:color w:val="000000" w:themeColor="text1"/>
        </w:rPr>
        <w:t>Expectations</w:t>
      </w:r>
      <w:proofErr w:type="spellEnd"/>
      <w:r w:rsidR="005E4903" w:rsidRPr="00705170">
        <w:rPr>
          <w:rFonts w:ascii="Times New Roman" w:hAnsi="Times New Roman" w:cs="Times New Roman"/>
          <w:b/>
          <w:color w:val="000000" w:themeColor="text1"/>
        </w:rPr>
        <w:t xml:space="preserve">” </w:t>
      </w:r>
      <w:proofErr w:type="spellStart"/>
      <w:r w:rsidR="005E4903" w:rsidRPr="00705170">
        <w:rPr>
          <w:rFonts w:ascii="Times New Roman" w:hAnsi="Times New Roman" w:cs="Times New Roman"/>
          <w:b/>
          <w:color w:val="000000" w:themeColor="text1"/>
        </w:rPr>
        <w:t>Standard</w:t>
      </w:r>
      <w:proofErr w:type="spellEnd"/>
    </w:p>
    <w:p w14:paraId="28AD318D" w14:textId="1CD7043E" w:rsidR="0098065D" w:rsidRPr="00705170" w:rsidRDefault="00DE0C7D" w:rsidP="008249DC">
      <w:pPr>
        <w:spacing w:after="240" w:line="480" w:lineRule="auto"/>
        <w:ind w:firstLine="720"/>
        <w:jc w:val="both"/>
        <w:rPr>
          <w:rFonts w:ascii="Times New Roman" w:hAnsi="Times New Roman" w:cs="Times New Roman"/>
          <w:color w:val="000000" w:themeColor="text1"/>
          <w:lang w:val="en-US"/>
        </w:rPr>
      </w:pPr>
      <w:r w:rsidRPr="00705170">
        <w:rPr>
          <w:rFonts w:ascii="Times New Roman" w:hAnsi="Times New Roman" w:cs="Times New Roman"/>
          <w:color w:val="000000" w:themeColor="text1"/>
        </w:rPr>
        <w:t xml:space="preserve">As it is </w:t>
      </w:r>
      <w:proofErr w:type="spellStart"/>
      <w:r w:rsidRPr="00705170">
        <w:rPr>
          <w:rFonts w:ascii="Times New Roman" w:hAnsi="Times New Roman" w:cs="Times New Roman"/>
          <w:color w:val="000000" w:themeColor="text1"/>
        </w:rPr>
        <w:t>expressed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above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reasonable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expectations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standard</w:t>
      </w:r>
      <w:proofErr w:type="spellEnd"/>
      <w:r w:rsidRPr="00705170">
        <w:rPr>
          <w:rFonts w:ascii="Times New Roman" w:hAnsi="Times New Roman" w:cs="Times New Roman"/>
          <w:color w:val="000000" w:themeColor="text1"/>
        </w:rPr>
        <w:t xml:space="preserve"> is an </w:t>
      </w:r>
      <w:proofErr w:type="spellStart"/>
      <w:r w:rsidRPr="00705170">
        <w:rPr>
          <w:rFonts w:ascii="Times New Roman" w:hAnsi="Times New Roman" w:cs="Times New Roman"/>
          <w:color w:val="000000" w:themeColor="text1"/>
        </w:rPr>
        <w:t>important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concomitant</w:t>
      </w:r>
      <w:proofErr w:type="spellEnd"/>
      <w:r w:rsidRPr="00705170">
        <w:rPr>
          <w:rFonts w:ascii="Times New Roman" w:hAnsi="Times New Roman" w:cs="Times New Roman"/>
          <w:color w:val="000000" w:themeColor="text1"/>
        </w:rPr>
        <w:t xml:space="preserve"> of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U.S. </w:t>
      </w:r>
      <w:proofErr w:type="spellStart"/>
      <w:r w:rsidRPr="00705170">
        <w:rPr>
          <w:rFonts w:ascii="Times New Roman" w:hAnsi="Times New Roman" w:cs="Times New Roman"/>
          <w:color w:val="000000" w:themeColor="text1"/>
        </w:rPr>
        <w:t>judicial</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dissolution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law</w:t>
      </w:r>
      <w:proofErr w:type="spellEnd"/>
      <w:r w:rsidRPr="00705170">
        <w:rPr>
          <w:rFonts w:ascii="Times New Roman" w:hAnsi="Times New Roman" w:cs="Times New Roman"/>
          <w:color w:val="000000" w:themeColor="text1"/>
        </w:rPr>
        <w:t xml:space="preserve">. </w:t>
      </w:r>
      <w:proofErr w:type="spellStart"/>
      <w:r w:rsidR="00A46F0C" w:rsidRPr="00705170">
        <w:rPr>
          <w:rFonts w:ascii="Times New Roman" w:hAnsi="Times New Roman" w:cs="Times New Roman"/>
          <w:color w:val="000000" w:themeColor="text1"/>
        </w:rPr>
        <w:t>While</w:t>
      </w:r>
      <w:proofErr w:type="spellEnd"/>
      <w:r w:rsidR="00A46F0C" w:rsidRPr="00705170">
        <w:rPr>
          <w:rFonts w:ascii="Times New Roman" w:hAnsi="Times New Roman" w:cs="Times New Roman"/>
          <w:color w:val="000000" w:themeColor="text1"/>
        </w:rPr>
        <w:t xml:space="preserve"> </w:t>
      </w:r>
      <w:r w:rsidR="00F428D6" w:rsidRPr="00705170">
        <w:rPr>
          <w:rFonts w:ascii="Times New Roman" w:hAnsi="Times New Roman" w:cs="Times New Roman"/>
          <w:color w:val="000000" w:themeColor="text1"/>
          <w:lang w:val="en-US"/>
        </w:rPr>
        <w:t>the rea</w:t>
      </w:r>
      <w:r w:rsidR="00ED464F" w:rsidRPr="00705170">
        <w:rPr>
          <w:rFonts w:ascii="Times New Roman" w:hAnsi="Times New Roman" w:cs="Times New Roman"/>
          <w:color w:val="000000" w:themeColor="text1"/>
          <w:lang w:val="en-US"/>
        </w:rPr>
        <w:t>sonable expectations standard had become</w:t>
      </w:r>
      <w:r w:rsidR="00F428D6" w:rsidRPr="00705170">
        <w:rPr>
          <w:rFonts w:ascii="Times New Roman" w:hAnsi="Times New Roman" w:cs="Times New Roman"/>
          <w:color w:val="000000" w:themeColor="text1"/>
          <w:lang w:val="en-US"/>
        </w:rPr>
        <w:t xml:space="preserve"> a codified standard </w:t>
      </w:r>
      <w:r w:rsidR="0043225D" w:rsidRPr="00705170">
        <w:rPr>
          <w:rFonts w:ascii="Times New Roman" w:hAnsi="Times New Roman" w:cs="Times New Roman"/>
          <w:color w:val="000000" w:themeColor="text1"/>
          <w:lang w:val="en-US"/>
        </w:rPr>
        <w:t>in some</w:t>
      </w:r>
      <w:r w:rsidR="00ED464F" w:rsidRPr="00705170">
        <w:rPr>
          <w:rFonts w:ascii="Times New Roman" w:hAnsi="Times New Roman" w:cs="Times New Roman"/>
          <w:color w:val="000000" w:themeColor="text1"/>
          <w:lang w:val="en-US"/>
        </w:rPr>
        <w:t xml:space="preserve"> states such as Minnesota</w:t>
      </w:r>
      <w:r w:rsidR="00ED464F" w:rsidRPr="00705170">
        <w:rPr>
          <w:rStyle w:val="DipnotBavurusu"/>
          <w:rFonts w:ascii="Times New Roman" w:hAnsi="Times New Roman" w:cs="Times New Roman"/>
          <w:color w:val="000000" w:themeColor="text1"/>
          <w:lang w:val="en-US"/>
        </w:rPr>
        <w:footnoteReference w:id="685"/>
      </w:r>
      <w:r w:rsidR="00ED464F" w:rsidRPr="00705170">
        <w:rPr>
          <w:rFonts w:ascii="Times New Roman" w:hAnsi="Times New Roman" w:cs="Times New Roman"/>
          <w:color w:val="000000" w:themeColor="text1"/>
          <w:lang w:val="en-US"/>
        </w:rPr>
        <w:t xml:space="preserve"> and North Dakota</w:t>
      </w:r>
      <w:r w:rsidR="00F24726" w:rsidRPr="00705170">
        <w:rPr>
          <w:rStyle w:val="DipnotBavurusu"/>
          <w:rFonts w:ascii="Times New Roman" w:hAnsi="Times New Roman" w:cs="Times New Roman"/>
          <w:color w:val="000000" w:themeColor="text1"/>
          <w:lang w:val="en-US"/>
        </w:rPr>
        <w:footnoteReference w:id="686"/>
      </w:r>
      <w:r w:rsidR="008249DC" w:rsidRPr="00705170">
        <w:rPr>
          <w:rFonts w:ascii="Times New Roman" w:hAnsi="Times New Roman" w:cs="Times New Roman"/>
          <w:color w:val="000000" w:themeColor="text1"/>
          <w:lang w:val="en-US"/>
        </w:rPr>
        <w:t>, it was primarily developed by</w:t>
      </w:r>
      <w:r w:rsidR="00D75A44" w:rsidRPr="00705170">
        <w:rPr>
          <w:rFonts w:ascii="Times New Roman" w:hAnsi="Times New Roman" w:cs="Times New Roman"/>
          <w:color w:val="000000" w:themeColor="text1"/>
          <w:lang w:val="en-US"/>
        </w:rPr>
        <w:t xml:space="preserve"> case law. These</w:t>
      </w:r>
      <w:r w:rsidR="008249DC" w:rsidRPr="00705170">
        <w:rPr>
          <w:rFonts w:ascii="Times New Roman" w:hAnsi="Times New Roman" w:cs="Times New Roman"/>
          <w:color w:val="000000" w:themeColor="text1"/>
          <w:lang w:val="en-US"/>
        </w:rPr>
        <w:t xml:space="preserve"> being said, courts have generally applied this standard by justifying its imposition through a statutory language that the involuntary dissolution statute provides</w:t>
      </w:r>
      <w:r w:rsidR="00432CA5" w:rsidRPr="00705170">
        <w:rPr>
          <w:rStyle w:val="DipnotBavurusu"/>
          <w:rFonts w:ascii="Times New Roman" w:hAnsi="Times New Roman" w:cs="Times New Roman"/>
          <w:color w:val="000000" w:themeColor="text1"/>
          <w:lang w:val="en-US"/>
        </w:rPr>
        <w:footnoteReference w:id="687"/>
      </w:r>
      <w:r w:rsidR="008249DC" w:rsidRPr="00705170">
        <w:rPr>
          <w:rFonts w:ascii="Times New Roman" w:hAnsi="Times New Roman" w:cs="Times New Roman"/>
          <w:color w:val="000000" w:themeColor="text1"/>
          <w:lang w:val="en-US"/>
        </w:rPr>
        <w:t>. Accordingly, some courts have refrained from using the standard, claiming that the approach would be simply inconsistent with their statute</w:t>
      </w:r>
      <w:r w:rsidR="008249DC" w:rsidRPr="00705170">
        <w:rPr>
          <w:rStyle w:val="DipnotBavurusu"/>
          <w:rFonts w:ascii="Times New Roman" w:hAnsi="Times New Roman" w:cs="Times New Roman"/>
          <w:color w:val="000000" w:themeColor="text1"/>
          <w:lang w:val="en-US"/>
        </w:rPr>
        <w:footnoteReference w:id="688"/>
      </w:r>
      <w:r w:rsidR="008249DC" w:rsidRPr="00705170">
        <w:rPr>
          <w:rFonts w:ascii="Times New Roman" w:hAnsi="Times New Roman" w:cs="Times New Roman"/>
          <w:color w:val="000000" w:themeColor="text1"/>
          <w:lang w:val="en-US"/>
        </w:rPr>
        <w:t>. Still, the standard</w:t>
      </w:r>
      <w:r w:rsidR="00FE4C8D" w:rsidRPr="00705170">
        <w:rPr>
          <w:rFonts w:ascii="Times New Roman" w:hAnsi="Times New Roman" w:cs="Times New Roman"/>
          <w:color w:val="000000" w:themeColor="text1"/>
          <w:lang w:val="en-US"/>
        </w:rPr>
        <w:t>’</w:t>
      </w:r>
      <w:r w:rsidR="008249DC" w:rsidRPr="00705170">
        <w:rPr>
          <w:rFonts w:ascii="Times New Roman" w:hAnsi="Times New Roman" w:cs="Times New Roman"/>
          <w:color w:val="000000" w:themeColor="text1"/>
          <w:lang w:val="en-US"/>
        </w:rPr>
        <w:t xml:space="preserve">s </w:t>
      </w:r>
      <w:r w:rsidR="00ED464F" w:rsidRPr="00705170">
        <w:rPr>
          <w:rFonts w:ascii="Times New Roman" w:hAnsi="Times New Roman" w:cs="Times New Roman"/>
          <w:color w:val="000000" w:themeColor="text1"/>
          <w:lang w:val="en-US"/>
        </w:rPr>
        <w:t xml:space="preserve">historic origin requires the </w:t>
      </w:r>
      <w:r w:rsidR="00ED464F" w:rsidRPr="00705170">
        <w:rPr>
          <w:rFonts w:ascii="Times New Roman" w:hAnsi="Times New Roman" w:cs="Times New Roman"/>
          <w:color w:val="000000" w:themeColor="text1"/>
          <w:lang w:val="en-US"/>
        </w:rPr>
        <w:lastRenderedPageBreak/>
        <w:t>evaluation of the case law</w:t>
      </w:r>
      <w:r w:rsidR="008249DC" w:rsidRPr="00705170">
        <w:rPr>
          <w:rFonts w:ascii="Times New Roman" w:hAnsi="Times New Roman" w:cs="Times New Roman"/>
          <w:color w:val="000000" w:themeColor="text1"/>
          <w:lang w:val="en-US"/>
        </w:rPr>
        <w:t>, as well as</w:t>
      </w:r>
      <w:r w:rsidR="00ED464F" w:rsidRPr="00705170">
        <w:rPr>
          <w:rFonts w:ascii="Times New Roman" w:hAnsi="Times New Roman" w:cs="Times New Roman"/>
          <w:color w:val="000000" w:themeColor="text1"/>
          <w:lang w:val="en-US"/>
        </w:rPr>
        <w:t xml:space="preserve"> scholarship</w:t>
      </w:r>
      <w:r w:rsidR="008249DC" w:rsidRPr="00705170">
        <w:rPr>
          <w:rFonts w:ascii="Times New Roman" w:hAnsi="Times New Roman" w:cs="Times New Roman"/>
          <w:color w:val="000000" w:themeColor="text1"/>
          <w:lang w:val="en-US"/>
        </w:rPr>
        <w:t>,</w:t>
      </w:r>
      <w:r w:rsidR="00ED464F" w:rsidRPr="00705170">
        <w:rPr>
          <w:rFonts w:ascii="Times New Roman" w:hAnsi="Times New Roman" w:cs="Times New Roman"/>
          <w:color w:val="000000" w:themeColor="text1"/>
          <w:lang w:val="en-US"/>
        </w:rPr>
        <w:t xml:space="preserve"> for determining its character traits and components</w:t>
      </w:r>
      <w:r w:rsidR="005D3C90" w:rsidRPr="00705170">
        <w:rPr>
          <w:rFonts w:ascii="Times New Roman" w:hAnsi="Times New Roman" w:cs="Times New Roman"/>
          <w:color w:val="000000" w:themeColor="text1"/>
          <w:lang w:val="en-US"/>
        </w:rPr>
        <w:t xml:space="preserve"> of the standard</w:t>
      </w:r>
      <w:r w:rsidR="00FE4C8D" w:rsidRPr="00705170">
        <w:rPr>
          <w:rFonts w:ascii="Times New Roman" w:hAnsi="Times New Roman" w:cs="Times New Roman"/>
          <w:color w:val="000000" w:themeColor="text1"/>
          <w:lang w:val="en-US"/>
        </w:rPr>
        <w:t xml:space="preserve">, rather than </w:t>
      </w:r>
      <w:r w:rsidR="005D3C90" w:rsidRPr="00705170">
        <w:rPr>
          <w:rFonts w:ascii="Times New Roman" w:hAnsi="Times New Roman" w:cs="Times New Roman"/>
          <w:color w:val="000000" w:themeColor="text1"/>
          <w:lang w:val="en-US"/>
        </w:rPr>
        <w:t xml:space="preserve">through </w:t>
      </w:r>
      <w:r w:rsidR="00FE4C8D" w:rsidRPr="00705170">
        <w:rPr>
          <w:rFonts w:ascii="Times New Roman" w:hAnsi="Times New Roman" w:cs="Times New Roman"/>
          <w:color w:val="000000" w:themeColor="text1"/>
          <w:lang w:val="en-US"/>
        </w:rPr>
        <w:t>the statutes’ investigation</w:t>
      </w:r>
      <w:r w:rsidR="00ED464F" w:rsidRPr="00705170">
        <w:rPr>
          <w:rFonts w:ascii="Times New Roman" w:hAnsi="Times New Roman" w:cs="Times New Roman"/>
          <w:color w:val="000000" w:themeColor="text1"/>
          <w:lang w:val="en-US"/>
        </w:rPr>
        <w:t xml:space="preserve">. </w:t>
      </w:r>
      <w:r w:rsidR="00FE4C8D" w:rsidRPr="00705170">
        <w:rPr>
          <w:rFonts w:ascii="Times New Roman" w:hAnsi="Times New Roman" w:cs="Times New Roman"/>
          <w:color w:val="000000" w:themeColor="text1"/>
          <w:lang w:val="en-US"/>
        </w:rPr>
        <w:t>Both the case law and scholarship reveal that t</w:t>
      </w:r>
      <w:r w:rsidR="008249DC" w:rsidRPr="00705170">
        <w:rPr>
          <w:rFonts w:ascii="Times New Roman" w:hAnsi="Times New Roman" w:cs="Times New Roman"/>
          <w:color w:val="000000" w:themeColor="text1"/>
          <w:lang w:val="en-US"/>
        </w:rPr>
        <w:t>here are t</w:t>
      </w:r>
      <w:proofErr w:type="spellStart"/>
      <w:r w:rsidR="0098065D" w:rsidRPr="00705170">
        <w:rPr>
          <w:rFonts w:ascii="Times New Roman" w:hAnsi="Times New Roman" w:cs="Times New Roman"/>
          <w:color w:val="000000" w:themeColor="text1"/>
        </w:rPr>
        <w:t>hree</w:t>
      </w:r>
      <w:proofErr w:type="spellEnd"/>
      <w:r w:rsidR="0098065D" w:rsidRPr="00705170">
        <w:rPr>
          <w:rFonts w:ascii="Times New Roman" w:hAnsi="Times New Roman" w:cs="Times New Roman"/>
          <w:color w:val="000000" w:themeColor="text1"/>
        </w:rPr>
        <w:t xml:space="preserve"> </w:t>
      </w:r>
      <w:proofErr w:type="spellStart"/>
      <w:r w:rsidR="00AE3C10" w:rsidRPr="00705170">
        <w:rPr>
          <w:rFonts w:ascii="Times New Roman" w:hAnsi="Times New Roman" w:cs="Times New Roman"/>
          <w:color w:val="000000" w:themeColor="text1"/>
        </w:rPr>
        <w:t>primary</w:t>
      </w:r>
      <w:proofErr w:type="spellEnd"/>
      <w:r w:rsidR="00AE3C10" w:rsidRPr="00705170">
        <w:rPr>
          <w:rFonts w:ascii="Times New Roman" w:hAnsi="Times New Roman" w:cs="Times New Roman"/>
          <w:color w:val="000000" w:themeColor="text1"/>
        </w:rPr>
        <w:t xml:space="preserve"> </w:t>
      </w:r>
      <w:proofErr w:type="spellStart"/>
      <w:r w:rsidR="00345D39" w:rsidRPr="00705170">
        <w:rPr>
          <w:rFonts w:ascii="Times New Roman" w:hAnsi="Times New Roman" w:cs="Times New Roman"/>
          <w:color w:val="000000" w:themeColor="text1"/>
        </w:rPr>
        <w:t>traits</w:t>
      </w:r>
      <w:proofErr w:type="spellEnd"/>
      <w:r w:rsidR="00345D39" w:rsidRPr="00705170">
        <w:rPr>
          <w:rFonts w:ascii="Times New Roman" w:hAnsi="Times New Roman" w:cs="Times New Roman"/>
          <w:color w:val="000000" w:themeColor="text1"/>
        </w:rPr>
        <w:t xml:space="preserve"> of </w:t>
      </w:r>
      <w:proofErr w:type="spellStart"/>
      <w:r w:rsidR="00345D39" w:rsidRPr="00705170">
        <w:rPr>
          <w:rFonts w:ascii="Times New Roman" w:hAnsi="Times New Roman" w:cs="Times New Roman"/>
          <w:color w:val="000000" w:themeColor="text1"/>
        </w:rPr>
        <w:t>the</w:t>
      </w:r>
      <w:proofErr w:type="spellEnd"/>
      <w:r w:rsidR="00345D39" w:rsidRPr="00705170">
        <w:rPr>
          <w:rFonts w:ascii="Times New Roman" w:hAnsi="Times New Roman" w:cs="Times New Roman"/>
          <w:color w:val="000000" w:themeColor="text1"/>
        </w:rPr>
        <w:t xml:space="preserve"> </w:t>
      </w:r>
      <w:proofErr w:type="spellStart"/>
      <w:r w:rsidR="00345D39" w:rsidRPr="00705170">
        <w:rPr>
          <w:rFonts w:ascii="Times New Roman" w:hAnsi="Times New Roman" w:cs="Times New Roman"/>
          <w:color w:val="000000" w:themeColor="text1"/>
        </w:rPr>
        <w:t>reasonable</w:t>
      </w:r>
      <w:proofErr w:type="spellEnd"/>
      <w:r w:rsidR="00345D39" w:rsidRPr="00705170">
        <w:rPr>
          <w:rFonts w:ascii="Times New Roman" w:hAnsi="Times New Roman" w:cs="Times New Roman"/>
          <w:color w:val="000000" w:themeColor="text1"/>
        </w:rPr>
        <w:t xml:space="preserve"> </w:t>
      </w:r>
      <w:proofErr w:type="spellStart"/>
      <w:r w:rsidR="00345D39" w:rsidRPr="00705170">
        <w:rPr>
          <w:rFonts w:ascii="Times New Roman" w:hAnsi="Times New Roman" w:cs="Times New Roman"/>
          <w:color w:val="000000" w:themeColor="text1"/>
        </w:rPr>
        <w:t>expectations</w:t>
      </w:r>
      <w:proofErr w:type="spellEnd"/>
      <w:r w:rsidR="00345D39" w:rsidRPr="00705170">
        <w:rPr>
          <w:rFonts w:ascii="Times New Roman" w:hAnsi="Times New Roman" w:cs="Times New Roman"/>
          <w:color w:val="000000" w:themeColor="text1"/>
        </w:rPr>
        <w:t xml:space="preserve"> </w:t>
      </w:r>
      <w:proofErr w:type="spellStart"/>
      <w:r w:rsidR="00345D39" w:rsidRPr="00705170">
        <w:rPr>
          <w:rFonts w:ascii="Times New Roman" w:hAnsi="Times New Roman" w:cs="Times New Roman"/>
          <w:color w:val="000000" w:themeColor="text1"/>
        </w:rPr>
        <w:t>standard</w:t>
      </w:r>
      <w:proofErr w:type="spellEnd"/>
      <w:r w:rsidR="00345D39" w:rsidRPr="00705170">
        <w:rPr>
          <w:rFonts w:ascii="Times New Roman" w:hAnsi="Times New Roman" w:cs="Times New Roman"/>
          <w:color w:val="000000" w:themeColor="text1"/>
        </w:rPr>
        <w:t xml:space="preserve"> </w:t>
      </w:r>
      <w:proofErr w:type="spellStart"/>
      <w:r w:rsidR="00345D39" w:rsidRPr="00705170">
        <w:rPr>
          <w:rFonts w:ascii="Times New Roman" w:hAnsi="Times New Roman" w:cs="Times New Roman"/>
          <w:color w:val="000000" w:themeColor="text1"/>
        </w:rPr>
        <w:t>bears</w:t>
      </w:r>
      <w:proofErr w:type="spellEnd"/>
      <w:r w:rsidR="00345D39" w:rsidRPr="00705170">
        <w:rPr>
          <w:rFonts w:ascii="Times New Roman" w:hAnsi="Times New Roman" w:cs="Times New Roman"/>
          <w:color w:val="000000" w:themeColor="text1"/>
        </w:rPr>
        <w:t xml:space="preserve"> </w:t>
      </w:r>
      <w:proofErr w:type="spellStart"/>
      <w:r w:rsidR="00345D39" w:rsidRPr="00705170">
        <w:rPr>
          <w:rFonts w:ascii="Times New Roman" w:hAnsi="Times New Roman" w:cs="Times New Roman"/>
          <w:color w:val="000000" w:themeColor="text1"/>
        </w:rPr>
        <w:t>importance</w:t>
      </w:r>
      <w:proofErr w:type="spellEnd"/>
      <w:r w:rsidR="00345D39" w:rsidRPr="00705170">
        <w:rPr>
          <w:rFonts w:ascii="Times New Roman" w:hAnsi="Times New Roman" w:cs="Times New Roman"/>
          <w:color w:val="000000" w:themeColor="text1"/>
        </w:rPr>
        <w:t xml:space="preserve"> </w:t>
      </w:r>
      <w:proofErr w:type="spellStart"/>
      <w:r w:rsidR="00345D39" w:rsidRPr="00705170">
        <w:rPr>
          <w:rFonts w:ascii="Times New Roman" w:hAnsi="Times New Roman" w:cs="Times New Roman"/>
          <w:color w:val="000000" w:themeColor="text1"/>
        </w:rPr>
        <w:t>for</w:t>
      </w:r>
      <w:proofErr w:type="spellEnd"/>
      <w:r w:rsidR="00345D39" w:rsidRPr="00705170">
        <w:rPr>
          <w:rFonts w:ascii="Times New Roman" w:hAnsi="Times New Roman" w:cs="Times New Roman"/>
          <w:color w:val="000000" w:themeColor="text1"/>
        </w:rPr>
        <w:t xml:space="preserve"> </w:t>
      </w:r>
      <w:proofErr w:type="spellStart"/>
      <w:r w:rsidR="00345D39" w:rsidRPr="00705170">
        <w:rPr>
          <w:rFonts w:ascii="Times New Roman" w:hAnsi="Times New Roman" w:cs="Times New Roman"/>
          <w:color w:val="000000" w:themeColor="text1"/>
        </w:rPr>
        <w:t>the</w:t>
      </w:r>
      <w:proofErr w:type="spellEnd"/>
      <w:r w:rsidR="00345D39" w:rsidRPr="00705170">
        <w:rPr>
          <w:rFonts w:ascii="Times New Roman" w:hAnsi="Times New Roman" w:cs="Times New Roman"/>
          <w:color w:val="000000" w:themeColor="text1"/>
        </w:rPr>
        <w:t xml:space="preserve"> </w:t>
      </w:r>
      <w:proofErr w:type="spellStart"/>
      <w:r w:rsidR="00345D39" w:rsidRPr="00705170">
        <w:rPr>
          <w:rFonts w:ascii="Times New Roman" w:hAnsi="Times New Roman" w:cs="Times New Roman"/>
          <w:color w:val="000000" w:themeColor="text1"/>
        </w:rPr>
        <w:t>evaluation</w:t>
      </w:r>
      <w:proofErr w:type="spellEnd"/>
      <w:r w:rsidR="00345D39" w:rsidRPr="00705170">
        <w:rPr>
          <w:rFonts w:ascii="Times New Roman" w:hAnsi="Times New Roman" w:cs="Times New Roman"/>
          <w:color w:val="000000" w:themeColor="text1"/>
        </w:rPr>
        <w:t xml:space="preserve"> of </w:t>
      </w:r>
      <w:proofErr w:type="spellStart"/>
      <w:r w:rsidR="00345D39" w:rsidRPr="00705170">
        <w:rPr>
          <w:rFonts w:ascii="Times New Roman" w:hAnsi="Times New Roman" w:cs="Times New Roman"/>
          <w:color w:val="000000" w:themeColor="text1"/>
        </w:rPr>
        <w:t>the</w:t>
      </w:r>
      <w:proofErr w:type="spellEnd"/>
      <w:r w:rsidR="00345D39" w:rsidRPr="00705170">
        <w:rPr>
          <w:rFonts w:ascii="Times New Roman" w:hAnsi="Times New Roman" w:cs="Times New Roman"/>
          <w:color w:val="000000" w:themeColor="text1"/>
        </w:rPr>
        <w:t xml:space="preserve"> </w:t>
      </w:r>
      <w:proofErr w:type="spellStart"/>
      <w:r w:rsidR="00345D39" w:rsidRPr="00705170">
        <w:rPr>
          <w:rFonts w:ascii="Times New Roman" w:hAnsi="Times New Roman" w:cs="Times New Roman"/>
          <w:color w:val="000000" w:themeColor="text1"/>
        </w:rPr>
        <w:t>components</w:t>
      </w:r>
      <w:proofErr w:type="spellEnd"/>
      <w:r w:rsidR="00345D39" w:rsidRPr="00705170">
        <w:rPr>
          <w:rFonts w:ascii="Times New Roman" w:hAnsi="Times New Roman" w:cs="Times New Roman"/>
          <w:color w:val="000000" w:themeColor="text1"/>
        </w:rPr>
        <w:t xml:space="preserve"> of </w:t>
      </w:r>
      <w:proofErr w:type="spellStart"/>
      <w:r w:rsidR="00345D39" w:rsidRPr="00705170">
        <w:rPr>
          <w:rFonts w:ascii="Times New Roman" w:hAnsi="Times New Roman" w:cs="Times New Roman"/>
          <w:color w:val="000000" w:themeColor="text1"/>
        </w:rPr>
        <w:t>the</w:t>
      </w:r>
      <w:proofErr w:type="spellEnd"/>
      <w:r w:rsidR="00345D39" w:rsidRPr="00705170">
        <w:rPr>
          <w:rFonts w:ascii="Times New Roman" w:hAnsi="Times New Roman" w:cs="Times New Roman"/>
          <w:color w:val="000000" w:themeColor="text1"/>
        </w:rPr>
        <w:t xml:space="preserve"> </w:t>
      </w:r>
      <w:proofErr w:type="spellStart"/>
      <w:r w:rsidR="00345D39" w:rsidRPr="00705170">
        <w:rPr>
          <w:rFonts w:ascii="Times New Roman" w:hAnsi="Times New Roman" w:cs="Times New Roman"/>
          <w:color w:val="000000" w:themeColor="text1"/>
        </w:rPr>
        <w:t>standard</w:t>
      </w:r>
      <w:proofErr w:type="spellEnd"/>
      <w:r w:rsidR="00345D39" w:rsidRPr="00705170">
        <w:rPr>
          <w:rFonts w:ascii="Times New Roman" w:hAnsi="Times New Roman" w:cs="Times New Roman"/>
          <w:color w:val="000000" w:themeColor="text1"/>
        </w:rPr>
        <w:t xml:space="preserve">. </w:t>
      </w:r>
    </w:p>
    <w:p w14:paraId="37D807F0" w14:textId="23958B73" w:rsidR="002C10E5" w:rsidRPr="00705170" w:rsidRDefault="00345D39" w:rsidP="002C10E5">
      <w:pPr>
        <w:spacing w:after="240" w:line="480" w:lineRule="auto"/>
        <w:ind w:firstLine="720"/>
        <w:jc w:val="both"/>
        <w:rPr>
          <w:rFonts w:ascii="Times New Roman" w:hAnsi="Times New Roman" w:cs="Times New Roman"/>
          <w:color w:val="000000" w:themeColor="text1"/>
        </w:rPr>
      </w:pP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first</w:t>
      </w:r>
      <w:proofErr w:type="spellEnd"/>
      <w:r w:rsidRPr="00705170">
        <w:rPr>
          <w:rFonts w:ascii="Times New Roman" w:hAnsi="Times New Roman" w:cs="Times New Roman"/>
          <w:color w:val="000000" w:themeColor="text1"/>
        </w:rPr>
        <w:t xml:space="preserve"> </w:t>
      </w:r>
      <w:proofErr w:type="spellStart"/>
      <w:r w:rsidR="008C06BD" w:rsidRPr="00705170">
        <w:rPr>
          <w:rFonts w:ascii="Times New Roman" w:hAnsi="Times New Roman" w:cs="Times New Roman"/>
          <w:color w:val="000000" w:themeColor="text1"/>
        </w:rPr>
        <w:t>trait</w:t>
      </w:r>
      <w:proofErr w:type="spellEnd"/>
      <w:r w:rsidR="00AE3C10" w:rsidRPr="00705170">
        <w:rPr>
          <w:rFonts w:ascii="Times New Roman" w:hAnsi="Times New Roman" w:cs="Times New Roman"/>
          <w:color w:val="000000" w:themeColor="text1"/>
        </w:rPr>
        <w:t xml:space="preserve"> of </w:t>
      </w:r>
      <w:proofErr w:type="spellStart"/>
      <w:r w:rsidR="00AE3C10" w:rsidRPr="00705170">
        <w:rPr>
          <w:rFonts w:ascii="Times New Roman" w:hAnsi="Times New Roman" w:cs="Times New Roman"/>
          <w:color w:val="000000" w:themeColor="text1"/>
        </w:rPr>
        <w:t>the</w:t>
      </w:r>
      <w:proofErr w:type="spellEnd"/>
      <w:r w:rsidR="00AE3C10" w:rsidRPr="00705170">
        <w:rPr>
          <w:rFonts w:ascii="Times New Roman" w:hAnsi="Times New Roman" w:cs="Times New Roman"/>
          <w:color w:val="000000" w:themeColor="text1"/>
        </w:rPr>
        <w:t xml:space="preserve"> </w:t>
      </w:r>
      <w:proofErr w:type="spellStart"/>
      <w:r w:rsidR="00AE3C10" w:rsidRPr="00705170">
        <w:rPr>
          <w:rFonts w:ascii="Times New Roman" w:hAnsi="Times New Roman" w:cs="Times New Roman"/>
          <w:color w:val="000000" w:themeColor="text1"/>
        </w:rPr>
        <w:t>rea</w:t>
      </w:r>
      <w:r w:rsidR="001D0EB1" w:rsidRPr="00705170">
        <w:rPr>
          <w:rFonts w:ascii="Times New Roman" w:hAnsi="Times New Roman" w:cs="Times New Roman"/>
          <w:color w:val="000000" w:themeColor="text1"/>
        </w:rPr>
        <w:t>sonable</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expectations</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standard</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comes</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from</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the</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oppression</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doctrine’s</w:t>
      </w:r>
      <w:proofErr w:type="spellEnd"/>
      <w:r w:rsidR="00AE3C10" w:rsidRPr="00705170">
        <w:rPr>
          <w:rFonts w:ascii="Times New Roman" w:hAnsi="Times New Roman" w:cs="Times New Roman"/>
          <w:color w:val="000000" w:themeColor="text1"/>
        </w:rPr>
        <w:t xml:space="preserve"> </w:t>
      </w:r>
      <w:proofErr w:type="spellStart"/>
      <w:r w:rsidR="00AE3C10" w:rsidRPr="00705170">
        <w:rPr>
          <w:rFonts w:ascii="Times New Roman" w:hAnsi="Times New Roman" w:cs="Times New Roman"/>
          <w:color w:val="000000" w:themeColor="text1"/>
        </w:rPr>
        <w:t>the</w:t>
      </w:r>
      <w:proofErr w:type="spellEnd"/>
      <w:r w:rsidR="00AE3C10" w:rsidRPr="00705170">
        <w:rPr>
          <w:rFonts w:ascii="Times New Roman" w:hAnsi="Times New Roman" w:cs="Times New Roman"/>
          <w:color w:val="000000" w:themeColor="text1"/>
        </w:rPr>
        <w:t xml:space="preserve"> legal </w:t>
      </w:r>
      <w:proofErr w:type="spellStart"/>
      <w:r w:rsidR="00AE3C10" w:rsidRPr="00705170">
        <w:rPr>
          <w:rFonts w:ascii="Times New Roman" w:hAnsi="Times New Roman" w:cs="Times New Roman"/>
          <w:color w:val="000000" w:themeColor="text1"/>
        </w:rPr>
        <w:t>thrust</w:t>
      </w:r>
      <w:proofErr w:type="spellEnd"/>
      <w:r w:rsidR="00AE3C10" w:rsidRPr="00705170">
        <w:rPr>
          <w:rFonts w:ascii="Times New Roman" w:hAnsi="Times New Roman" w:cs="Times New Roman"/>
          <w:color w:val="000000" w:themeColor="text1"/>
        </w:rPr>
        <w:t xml:space="preserve"> in </w:t>
      </w:r>
      <w:proofErr w:type="spellStart"/>
      <w:r w:rsidR="00AE3C10" w:rsidRPr="00705170">
        <w:rPr>
          <w:rFonts w:ascii="Times New Roman" w:hAnsi="Times New Roman" w:cs="Times New Roman"/>
          <w:color w:val="000000" w:themeColor="text1"/>
        </w:rPr>
        <w:t>rebut</w:t>
      </w:r>
      <w:r w:rsidR="00473F42" w:rsidRPr="00705170">
        <w:rPr>
          <w:rFonts w:ascii="Times New Roman" w:hAnsi="Times New Roman" w:cs="Times New Roman"/>
          <w:color w:val="000000" w:themeColor="text1"/>
        </w:rPr>
        <w:t>ing</w:t>
      </w:r>
      <w:proofErr w:type="spellEnd"/>
      <w:r w:rsidR="00473F42" w:rsidRPr="00705170">
        <w:rPr>
          <w:rFonts w:ascii="Times New Roman" w:hAnsi="Times New Roman" w:cs="Times New Roman"/>
          <w:color w:val="000000" w:themeColor="text1"/>
        </w:rPr>
        <w:t xml:space="preserve"> </w:t>
      </w:r>
      <w:proofErr w:type="spellStart"/>
      <w:r w:rsidR="00473F42" w:rsidRPr="00705170">
        <w:rPr>
          <w:rFonts w:ascii="Times New Roman" w:hAnsi="Times New Roman" w:cs="Times New Roman"/>
          <w:color w:val="000000" w:themeColor="text1"/>
        </w:rPr>
        <w:t>or</w:t>
      </w:r>
      <w:proofErr w:type="spellEnd"/>
      <w:r w:rsidR="00473F42" w:rsidRPr="00705170">
        <w:rPr>
          <w:rFonts w:ascii="Times New Roman" w:hAnsi="Times New Roman" w:cs="Times New Roman"/>
          <w:color w:val="000000" w:themeColor="text1"/>
        </w:rPr>
        <w:t xml:space="preserve"> </w:t>
      </w:r>
      <w:proofErr w:type="spellStart"/>
      <w:r w:rsidR="008A19F7" w:rsidRPr="00705170">
        <w:rPr>
          <w:rFonts w:ascii="Times New Roman" w:hAnsi="Times New Roman" w:cs="Times New Roman"/>
          <w:color w:val="000000" w:themeColor="text1"/>
        </w:rPr>
        <w:t>diactivating</w:t>
      </w:r>
      <w:proofErr w:type="spellEnd"/>
      <w:r w:rsidR="008A19F7" w:rsidRPr="00705170">
        <w:rPr>
          <w:rFonts w:ascii="Times New Roman" w:hAnsi="Times New Roman" w:cs="Times New Roman"/>
          <w:color w:val="000000" w:themeColor="text1"/>
        </w:rPr>
        <w:t xml:space="preserve"> </w:t>
      </w:r>
      <w:proofErr w:type="spellStart"/>
      <w:r w:rsidR="008A19F7" w:rsidRPr="00705170">
        <w:rPr>
          <w:rFonts w:ascii="Times New Roman" w:hAnsi="Times New Roman" w:cs="Times New Roman"/>
          <w:color w:val="000000" w:themeColor="text1"/>
        </w:rPr>
        <w:t>the</w:t>
      </w:r>
      <w:proofErr w:type="spellEnd"/>
      <w:r w:rsidR="008A19F7" w:rsidRPr="00705170">
        <w:rPr>
          <w:rFonts w:ascii="Times New Roman" w:hAnsi="Times New Roman" w:cs="Times New Roman"/>
          <w:color w:val="000000" w:themeColor="text1"/>
        </w:rPr>
        <w:t xml:space="preserve"> </w:t>
      </w:r>
      <w:proofErr w:type="spellStart"/>
      <w:r w:rsidR="00472621" w:rsidRPr="00705170">
        <w:rPr>
          <w:rFonts w:ascii="Times New Roman" w:hAnsi="Times New Roman" w:cs="Times New Roman"/>
          <w:color w:val="000000" w:themeColor="text1"/>
        </w:rPr>
        <w:t>protection</w:t>
      </w:r>
      <w:proofErr w:type="spellEnd"/>
      <w:r w:rsidR="00472621" w:rsidRPr="00705170">
        <w:rPr>
          <w:rFonts w:ascii="Times New Roman" w:hAnsi="Times New Roman" w:cs="Times New Roman"/>
          <w:color w:val="000000" w:themeColor="text1"/>
        </w:rPr>
        <w:t xml:space="preserve"> of </w:t>
      </w:r>
      <w:proofErr w:type="spellStart"/>
      <w:r w:rsidR="00472621" w:rsidRPr="00705170">
        <w:rPr>
          <w:rFonts w:ascii="Times New Roman" w:hAnsi="Times New Roman" w:cs="Times New Roman"/>
          <w:color w:val="000000" w:themeColor="text1"/>
        </w:rPr>
        <w:t>the</w:t>
      </w:r>
      <w:proofErr w:type="spellEnd"/>
      <w:r w:rsidR="00472621" w:rsidRPr="00705170">
        <w:rPr>
          <w:rFonts w:ascii="Times New Roman" w:hAnsi="Times New Roman" w:cs="Times New Roman"/>
          <w:color w:val="000000" w:themeColor="text1"/>
        </w:rPr>
        <w:t xml:space="preserve"> </w:t>
      </w:r>
      <w:proofErr w:type="spellStart"/>
      <w:r w:rsidR="00472621" w:rsidRPr="00705170">
        <w:rPr>
          <w:rFonts w:ascii="Times New Roman" w:hAnsi="Times New Roman" w:cs="Times New Roman"/>
          <w:color w:val="000000" w:themeColor="text1"/>
        </w:rPr>
        <w:t>business</w:t>
      </w:r>
      <w:proofErr w:type="spellEnd"/>
      <w:r w:rsidR="00472621" w:rsidRPr="00705170">
        <w:rPr>
          <w:rFonts w:ascii="Times New Roman" w:hAnsi="Times New Roman" w:cs="Times New Roman"/>
          <w:color w:val="000000" w:themeColor="text1"/>
        </w:rPr>
        <w:t xml:space="preserve"> </w:t>
      </w:r>
      <w:proofErr w:type="spellStart"/>
      <w:r w:rsidR="00472621" w:rsidRPr="00705170">
        <w:rPr>
          <w:rFonts w:ascii="Times New Roman" w:hAnsi="Times New Roman" w:cs="Times New Roman"/>
          <w:color w:val="000000" w:themeColor="text1"/>
        </w:rPr>
        <w:t>judgment</w:t>
      </w:r>
      <w:proofErr w:type="spellEnd"/>
      <w:r w:rsidR="00017F3A" w:rsidRPr="00705170">
        <w:rPr>
          <w:rFonts w:ascii="Times New Roman" w:hAnsi="Times New Roman" w:cs="Times New Roman"/>
          <w:color w:val="000000" w:themeColor="text1"/>
        </w:rPr>
        <w:t xml:space="preserve"> </w:t>
      </w:r>
      <w:proofErr w:type="spellStart"/>
      <w:r w:rsidR="00017F3A" w:rsidRPr="00705170">
        <w:rPr>
          <w:rFonts w:ascii="Times New Roman" w:hAnsi="Times New Roman" w:cs="Times New Roman"/>
          <w:color w:val="000000" w:themeColor="text1"/>
        </w:rPr>
        <w:t>rule</w:t>
      </w:r>
      <w:proofErr w:type="spellEnd"/>
      <w:r w:rsidR="0076446C" w:rsidRPr="00705170">
        <w:rPr>
          <w:rFonts w:ascii="Times New Roman" w:hAnsi="Times New Roman" w:cs="Times New Roman"/>
          <w:color w:val="000000" w:themeColor="text1"/>
        </w:rPr>
        <w:t xml:space="preserve"> </w:t>
      </w:r>
      <w:proofErr w:type="spellStart"/>
      <w:r w:rsidR="0076446C" w:rsidRPr="00705170">
        <w:rPr>
          <w:rFonts w:ascii="Times New Roman" w:hAnsi="Times New Roman" w:cs="Times New Roman"/>
          <w:color w:val="000000" w:themeColor="text1"/>
        </w:rPr>
        <w:t>provides</w:t>
      </w:r>
      <w:proofErr w:type="spellEnd"/>
      <w:r w:rsidR="0076446C" w:rsidRPr="00705170">
        <w:rPr>
          <w:rFonts w:ascii="Times New Roman" w:hAnsi="Times New Roman" w:cs="Times New Roman"/>
          <w:color w:val="000000" w:themeColor="text1"/>
        </w:rPr>
        <w:t xml:space="preserve"> </w:t>
      </w:r>
      <w:proofErr w:type="spellStart"/>
      <w:r w:rsidR="0076446C" w:rsidRPr="00705170">
        <w:rPr>
          <w:rFonts w:ascii="Times New Roman" w:hAnsi="Times New Roman" w:cs="Times New Roman"/>
          <w:color w:val="000000" w:themeColor="text1"/>
        </w:rPr>
        <w:t>for</w:t>
      </w:r>
      <w:proofErr w:type="spellEnd"/>
      <w:r w:rsidR="0076446C" w:rsidRPr="00705170">
        <w:rPr>
          <w:rFonts w:ascii="Times New Roman" w:hAnsi="Times New Roman" w:cs="Times New Roman"/>
          <w:color w:val="000000" w:themeColor="text1"/>
        </w:rPr>
        <w:t xml:space="preserve"> a </w:t>
      </w:r>
      <w:proofErr w:type="spellStart"/>
      <w:r w:rsidR="0076446C" w:rsidRPr="00705170">
        <w:rPr>
          <w:rFonts w:ascii="Times New Roman" w:hAnsi="Times New Roman" w:cs="Times New Roman"/>
          <w:color w:val="000000" w:themeColor="text1"/>
        </w:rPr>
        <w:t>corporate</w:t>
      </w:r>
      <w:proofErr w:type="spellEnd"/>
      <w:r w:rsidR="0076446C" w:rsidRPr="00705170">
        <w:rPr>
          <w:rFonts w:ascii="Times New Roman" w:hAnsi="Times New Roman" w:cs="Times New Roman"/>
          <w:color w:val="000000" w:themeColor="text1"/>
        </w:rPr>
        <w:t xml:space="preserve"> </w:t>
      </w:r>
      <w:proofErr w:type="spellStart"/>
      <w:r w:rsidR="0076446C" w:rsidRPr="00705170">
        <w:rPr>
          <w:rFonts w:ascii="Times New Roman" w:hAnsi="Times New Roman" w:cs="Times New Roman"/>
          <w:color w:val="000000" w:themeColor="text1"/>
        </w:rPr>
        <w:t>decision</w:t>
      </w:r>
      <w:proofErr w:type="spellEnd"/>
      <w:r w:rsidR="00B076AB" w:rsidRPr="00705170">
        <w:rPr>
          <w:rStyle w:val="DipnotBavurusu"/>
          <w:rFonts w:ascii="Times New Roman" w:hAnsi="Times New Roman" w:cs="Times New Roman"/>
          <w:color w:val="000000" w:themeColor="text1"/>
        </w:rPr>
        <w:footnoteReference w:id="689"/>
      </w:r>
      <w:r w:rsidR="0076446C" w:rsidRPr="00705170">
        <w:rPr>
          <w:rFonts w:ascii="Times New Roman" w:hAnsi="Times New Roman" w:cs="Times New Roman"/>
          <w:color w:val="000000" w:themeColor="text1"/>
        </w:rPr>
        <w:t>.</w:t>
      </w:r>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While</w:t>
      </w:r>
      <w:proofErr w:type="spellEnd"/>
      <w:r w:rsidR="009355A0" w:rsidRPr="00705170">
        <w:rPr>
          <w:rFonts w:ascii="Times New Roman" w:hAnsi="Times New Roman" w:cs="Times New Roman"/>
          <w:color w:val="000000" w:themeColor="text1"/>
        </w:rPr>
        <w:t xml:space="preserve"> “it is a </w:t>
      </w:r>
      <w:proofErr w:type="spellStart"/>
      <w:r w:rsidR="009355A0" w:rsidRPr="00705170">
        <w:rPr>
          <w:rFonts w:ascii="Times New Roman" w:hAnsi="Times New Roman" w:cs="Times New Roman"/>
          <w:color w:val="000000" w:themeColor="text1"/>
        </w:rPr>
        <w:t>fundamental</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principle</w:t>
      </w:r>
      <w:proofErr w:type="spellEnd"/>
      <w:r w:rsidR="009355A0" w:rsidRPr="00705170">
        <w:rPr>
          <w:rFonts w:ascii="Times New Roman" w:hAnsi="Times New Roman" w:cs="Times New Roman"/>
          <w:color w:val="000000" w:themeColor="text1"/>
        </w:rPr>
        <w:t xml:space="preserve"> of </w:t>
      </w:r>
      <w:proofErr w:type="spellStart"/>
      <w:r w:rsidR="009355A0" w:rsidRPr="00705170">
        <w:rPr>
          <w:rFonts w:ascii="Times New Roman" w:hAnsi="Times New Roman" w:cs="Times New Roman"/>
          <w:color w:val="000000" w:themeColor="text1"/>
        </w:rPr>
        <w:t>corporate</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law</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that</w:t>
      </w:r>
      <w:proofErr w:type="spellEnd"/>
      <w:r w:rsidR="009355A0" w:rsidRPr="00705170">
        <w:rPr>
          <w:rFonts w:ascii="Times New Roman" w:hAnsi="Times New Roman" w:cs="Times New Roman"/>
          <w:color w:val="000000" w:themeColor="text1"/>
        </w:rPr>
        <w:t xml:space="preserve"> a </w:t>
      </w:r>
      <w:proofErr w:type="spellStart"/>
      <w:r w:rsidR="009355A0" w:rsidRPr="00705170">
        <w:rPr>
          <w:rFonts w:ascii="Times New Roman" w:hAnsi="Times New Roman" w:cs="Times New Roman"/>
          <w:color w:val="000000" w:themeColor="text1"/>
        </w:rPr>
        <w:t>dec</w:t>
      </w:r>
      <w:r w:rsidR="00CA41B7" w:rsidRPr="00705170">
        <w:rPr>
          <w:rFonts w:ascii="Times New Roman" w:hAnsi="Times New Roman" w:cs="Times New Roman"/>
          <w:color w:val="000000" w:themeColor="text1"/>
        </w:rPr>
        <w:t>i</w:t>
      </w:r>
      <w:r w:rsidR="009355A0" w:rsidRPr="00705170">
        <w:rPr>
          <w:rFonts w:ascii="Times New Roman" w:hAnsi="Times New Roman" w:cs="Times New Roman"/>
          <w:color w:val="000000" w:themeColor="text1"/>
        </w:rPr>
        <w:t>sion</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does</w:t>
      </w:r>
      <w:proofErr w:type="spellEnd"/>
      <w:r w:rsidR="009355A0" w:rsidRPr="00705170">
        <w:rPr>
          <w:rFonts w:ascii="Times New Roman" w:hAnsi="Times New Roman" w:cs="Times New Roman"/>
          <w:color w:val="000000" w:themeColor="text1"/>
        </w:rPr>
        <w:t xml:space="preserve"> not </w:t>
      </w:r>
      <w:proofErr w:type="spellStart"/>
      <w:r w:rsidR="009355A0" w:rsidRPr="00705170">
        <w:rPr>
          <w:rFonts w:ascii="Times New Roman" w:hAnsi="Times New Roman" w:cs="Times New Roman"/>
          <w:color w:val="000000" w:themeColor="text1"/>
        </w:rPr>
        <w:t>receive</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the</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protection</w:t>
      </w:r>
      <w:proofErr w:type="spellEnd"/>
      <w:r w:rsidR="009355A0" w:rsidRPr="00705170">
        <w:rPr>
          <w:rFonts w:ascii="Times New Roman" w:hAnsi="Times New Roman" w:cs="Times New Roman"/>
          <w:color w:val="000000" w:themeColor="text1"/>
        </w:rPr>
        <w:t xml:space="preserve"> of </w:t>
      </w:r>
      <w:proofErr w:type="spellStart"/>
      <w:r w:rsidR="009355A0" w:rsidRPr="00705170">
        <w:rPr>
          <w:rFonts w:ascii="Times New Roman" w:hAnsi="Times New Roman" w:cs="Times New Roman"/>
          <w:color w:val="000000" w:themeColor="text1"/>
        </w:rPr>
        <w:t>the</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business</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judgment</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rule</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if</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the</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decisionmaker</w:t>
      </w:r>
      <w:proofErr w:type="spellEnd"/>
      <w:r w:rsidR="009355A0" w:rsidRPr="00705170">
        <w:rPr>
          <w:rFonts w:ascii="Times New Roman" w:hAnsi="Times New Roman" w:cs="Times New Roman"/>
          <w:color w:val="000000" w:themeColor="text1"/>
        </w:rPr>
        <w:t xml:space="preserve"> is ‘</w:t>
      </w:r>
      <w:proofErr w:type="spellStart"/>
      <w:r w:rsidR="009355A0" w:rsidRPr="00705170">
        <w:rPr>
          <w:rFonts w:ascii="Times New Roman" w:hAnsi="Times New Roman" w:cs="Times New Roman"/>
          <w:color w:val="000000" w:themeColor="text1"/>
        </w:rPr>
        <w:t>tainted</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by</w:t>
      </w:r>
      <w:proofErr w:type="spellEnd"/>
      <w:r w:rsidR="009355A0" w:rsidRPr="00705170">
        <w:rPr>
          <w:rFonts w:ascii="Times New Roman" w:hAnsi="Times New Roman" w:cs="Times New Roman"/>
          <w:color w:val="000000" w:themeColor="text1"/>
        </w:rPr>
        <w:t xml:space="preserve"> a </w:t>
      </w:r>
      <w:proofErr w:type="spellStart"/>
      <w:r w:rsidR="009355A0" w:rsidRPr="00705170">
        <w:rPr>
          <w:rFonts w:ascii="Times New Roman" w:hAnsi="Times New Roman" w:cs="Times New Roman"/>
          <w:color w:val="000000" w:themeColor="text1"/>
        </w:rPr>
        <w:t>conflict</w:t>
      </w:r>
      <w:proofErr w:type="spellEnd"/>
      <w:r w:rsidR="009355A0" w:rsidRPr="00705170">
        <w:rPr>
          <w:rFonts w:ascii="Times New Roman" w:hAnsi="Times New Roman" w:cs="Times New Roman"/>
          <w:color w:val="000000" w:themeColor="text1"/>
        </w:rPr>
        <w:t xml:space="preserve"> of </w:t>
      </w:r>
      <w:proofErr w:type="spellStart"/>
      <w:r w:rsidR="009355A0" w:rsidRPr="00705170">
        <w:rPr>
          <w:rFonts w:ascii="Times New Roman" w:hAnsi="Times New Roman" w:cs="Times New Roman"/>
          <w:color w:val="000000" w:themeColor="text1"/>
        </w:rPr>
        <w:t>interest</w:t>
      </w:r>
      <w:proofErr w:type="spellEnd"/>
      <w:r w:rsidR="009355A0" w:rsidRPr="00705170">
        <w:rPr>
          <w:rFonts w:ascii="Times New Roman" w:hAnsi="Times New Roman" w:cs="Times New Roman"/>
          <w:color w:val="000000" w:themeColor="text1"/>
        </w:rPr>
        <w:t xml:space="preserve"> in </w:t>
      </w:r>
      <w:proofErr w:type="spellStart"/>
      <w:r w:rsidR="009355A0" w:rsidRPr="00705170">
        <w:rPr>
          <w:rFonts w:ascii="Times New Roman" w:hAnsi="Times New Roman" w:cs="Times New Roman"/>
          <w:color w:val="000000" w:themeColor="text1"/>
        </w:rPr>
        <w:t>the</w:t>
      </w:r>
      <w:proofErr w:type="spellEnd"/>
      <w:r w:rsidR="009355A0" w:rsidRPr="00705170">
        <w:rPr>
          <w:rFonts w:ascii="Times New Roman" w:hAnsi="Times New Roman" w:cs="Times New Roman"/>
          <w:color w:val="000000" w:themeColor="text1"/>
        </w:rPr>
        <w:t xml:space="preserve"> </w:t>
      </w:r>
      <w:proofErr w:type="spellStart"/>
      <w:r w:rsidR="009355A0" w:rsidRPr="00705170">
        <w:rPr>
          <w:rFonts w:ascii="Times New Roman" w:hAnsi="Times New Roman" w:cs="Times New Roman"/>
          <w:color w:val="000000" w:themeColor="text1"/>
        </w:rPr>
        <w:t>transaction</w:t>
      </w:r>
      <w:proofErr w:type="spellEnd"/>
      <w:r w:rsidR="009355A0" w:rsidRPr="00705170">
        <w:rPr>
          <w:rFonts w:ascii="Times New Roman" w:hAnsi="Times New Roman" w:cs="Times New Roman"/>
          <w:color w:val="000000" w:themeColor="text1"/>
        </w:rPr>
        <w:t>”</w:t>
      </w:r>
      <w:r w:rsidR="006C1CA1" w:rsidRPr="00705170">
        <w:rPr>
          <w:rStyle w:val="DipnotBavurusu"/>
          <w:rFonts w:ascii="Times New Roman" w:hAnsi="Times New Roman" w:cs="Times New Roman"/>
          <w:color w:val="000000" w:themeColor="text1"/>
        </w:rPr>
        <w:footnoteReference w:id="690"/>
      </w:r>
      <w:r w:rsidR="00B46708" w:rsidRPr="00705170">
        <w:rPr>
          <w:rFonts w:ascii="Times New Roman" w:hAnsi="Times New Roman" w:cs="Times New Roman"/>
          <w:color w:val="000000" w:themeColor="text1"/>
        </w:rPr>
        <w:t>,</w:t>
      </w:r>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the</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oppression</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doctrine</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conveys</w:t>
      </w:r>
      <w:proofErr w:type="spellEnd"/>
      <w:r w:rsidR="001D0EB1" w:rsidRPr="00705170">
        <w:rPr>
          <w:rFonts w:ascii="Times New Roman" w:hAnsi="Times New Roman" w:cs="Times New Roman"/>
          <w:color w:val="000000" w:themeColor="text1"/>
        </w:rPr>
        <w:t>…</w:t>
      </w:r>
      <w:proofErr w:type="spellStart"/>
      <w:r w:rsidR="001D0EB1" w:rsidRPr="00705170">
        <w:rPr>
          <w:rFonts w:ascii="Times New Roman" w:hAnsi="Times New Roman" w:cs="Times New Roman"/>
          <w:color w:val="000000" w:themeColor="text1"/>
        </w:rPr>
        <w:t>that</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such</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decisions</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require</w:t>
      </w:r>
      <w:proofErr w:type="spellEnd"/>
      <w:r w:rsidR="001D0EB1" w:rsidRPr="00705170">
        <w:rPr>
          <w:rFonts w:ascii="Times New Roman" w:hAnsi="Times New Roman" w:cs="Times New Roman"/>
          <w:color w:val="000000" w:themeColor="text1"/>
        </w:rPr>
        <w:t xml:space="preserve"> a </w:t>
      </w:r>
      <w:proofErr w:type="spellStart"/>
      <w:r w:rsidR="001D0EB1" w:rsidRPr="00705170">
        <w:rPr>
          <w:rFonts w:ascii="Times New Roman" w:hAnsi="Times New Roman" w:cs="Times New Roman"/>
          <w:color w:val="000000" w:themeColor="text1"/>
        </w:rPr>
        <w:t>more</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probing</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judicial</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review</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than</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the</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conventional</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business</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judgment</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rule</w:t>
      </w:r>
      <w:proofErr w:type="spellEnd"/>
      <w:r w:rsidR="001D0EB1" w:rsidRPr="00705170">
        <w:rPr>
          <w:rFonts w:ascii="Times New Roman" w:hAnsi="Times New Roman" w:cs="Times New Roman"/>
          <w:color w:val="000000" w:themeColor="text1"/>
        </w:rPr>
        <w:t xml:space="preserve"> </w:t>
      </w:r>
      <w:proofErr w:type="spellStart"/>
      <w:r w:rsidR="001D0EB1" w:rsidRPr="00705170">
        <w:rPr>
          <w:rFonts w:ascii="Times New Roman" w:hAnsi="Times New Roman" w:cs="Times New Roman"/>
          <w:color w:val="000000" w:themeColor="text1"/>
        </w:rPr>
        <w:t>allows</w:t>
      </w:r>
      <w:proofErr w:type="spellEnd"/>
      <w:r w:rsidR="001D0EB1" w:rsidRPr="00705170">
        <w:rPr>
          <w:rFonts w:ascii="Times New Roman" w:hAnsi="Times New Roman" w:cs="Times New Roman"/>
          <w:color w:val="000000" w:themeColor="text1"/>
        </w:rPr>
        <w:t>”</w:t>
      </w:r>
      <w:r w:rsidR="001D0EB1" w:rsidRPr="00705170">
        <w:rPr>
          <w:rStyle w:val="DipnotBavurusu"/>
          <w:rFonts w:ascii="Times New Roman" w:hAnsi="Times New Roman" w:cs="Times New Roman"/>
          <w:color w:val="000000" w:themeColor="text1"/>
        </w:rPr>
        <w:footnoteReference w:id="691"/>
      </w:r>
      <w:r w:rsidR="001D0EB1" w:rsidRPr="00705170">
        <w:rPr>
          <w:rFonts w:ascii="Times New Roman" w:hAnsi="Times New Roman" w:cs="Times New Roman"/>
          <w:color w:val="000000" w:themeColor="text1"/>
        </w:rPr>
        <w:t>.</w:t>
      </w:r>
      <w:r w:rsidR="00B076AB" w:rsidRPr="00705170">
        <w:rPr>
          <w:rFonts w:ascii="Times New Roman" w:hAnsi="Times New Roman" w:cs="Times New Roman"/>
          <w:color w:val="000000" w:themeColor="text1"/>
        </w:rPr>
        <w:t xml:space="preserve"> </w:t>
      </w:r>
      <w:r w:rsidR="008606E3" w:rsidRPr="00705170">
        <w:rPr>
          <w:rFonts w:ascii="Times New Roman" w:hAnsi="Times New Roman" w:cs="Times New Roman"/>
          <w:color w:val="000000" w:themeColor="text1"/>
        </w:rPr>
        <w:t>“</w:t>
      </w:r>
      <w:proofErr w:type="spellStart"/>
      <w:r w:rsidR="008606E3" w:rsidRPr="00705170">
        <w:rPr>
          <w:rFonts w:ascii="Times New Roman" w:hAnsi="Times New Roman" w:cs="Times New Roman"/>
          <w:color w:val="000000" w:themeColor="text1"/>
        </w:rPr>
        <w:t>After</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all</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t</w:t>
      </w:r>
      <w:r w:rsidR="00832272" w:rsidRPr="00705170">
        <w:rPr>
          <w:rFonts w:ascii="Times New Roman" w:hAnsi="Times New Roman" w:cs="Times New Roman"/>
          <w:color w:val="000000" w:themeColor="text1"/>
        </w:rPr>
        <w:t>he</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oppression</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doctrine</w:t>
      </w:r>
      <w:proofErr w:type="spellEnd"/>
      <w:r w:rsidR="00832272" w:rsidRPr="00705170">
        <w:rPr>
          <w:rFonts w:ascii="Times New Roman" w:hAnsi="Times New Roman" w:cs="Times New Roman"/>
          <w:color w:val="000000" w:themeColor="text1"/>
        </w:rPr>
        <w:t xml:space="preserve"> is </w:t>
      </w:r>
      <w:proofErr w:type="spellStart"/>
      <w:r w:rsidR="00832272" w:rsidRPr="00705170">
        <w:rPr>
          <w:rFonts w:ascii="Times New Roman" w:hAnsi="Times New Roman" w:cs="Times New Roman"/>
          <w:color w:val="000000" w:themeColor="text1"/>
        </w:rPr>
        <w:t>pre</w:t>
      </w:r>
      <w:r w:rsidR="008606E3" w:rsidRPr="00705170">
        <w:rPr>
          <w:rFonts w:ascii="Times New Roman" w:hAnsi="Times New Roman" w:cs="Times New Roman"/>
          <w:color w:val="000000" w:themeColor="text1"/>
        </w:rPr>
        <w:t>mised</w:t>
      </w:r>
      <w:proofErr w:type="spellEnd"/>
      <w:r w:rsidR="008606E3" w:rsidRPr="00705170">
        <w:rPr>
          <w:rFonts w:ascii="Times New Roman" w:hAnsi="Times New Roman" w:cs="Times New Roman"/>
          <w:color w:val="000000" w:themeColor="text1"/>
        </w:rPr>
        <w:t xml:space="preserve"> on </w:t>
      </w:r>
      <w:proofErr w:type="spellStart"/>
      <w:r w:rsidR="008606E3" w:rsidRPr="00705170">
        <w:rPr>
          <w:rFonts w:ascii="Times New Roman" w:hAnsi="Times New Roman" w:cs="Times New Roman"/>
          <w:color w:val="000000" w:themeColor="text1"/>
        </w:rPr>
        <w:t>the</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notion</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that</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decisions</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about</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seemingly</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routine</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matters</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e.g</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employment</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management</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dividends</w:t>
      </w:r>
      <w:proofErr w:type="spellEnd"/>
      <w:r w:rsidR="008606E3" w:rsidRPr="00705170">
        <w:rPr>
          <w:rFonts w:ascii="Times New Roman" w:hAnsi="Times New Roman" w:cs="Times New Roman"/>
          <w:color w:val="000000" w:themeColor="text1"/>
        </w:rPr>
        <w:t xml:space="preserve">) can be </w:t>
      </w:r>
      <w:proofErr w:type="spellStart"/>
      <w:r w:rsidR="008606E3" w:rsidRPr="00705170">
        <w:rPr>
          <w:rFonts w:ascii="Times New Roman" w:hAnsi="Times New Roman" w:cs="Times New Roman"/>
          <w:color w:val="000000" w:themeColor="text1"/>
        </w:rPr>
        <w:t>part</w:t>
      </w:r>
      <w:proofErr w:type="spellEnd"/>
      <w:r w:rsidR="008606E3" w:rsidRPr="00705170">
        <w:rPr>
          <w:rFonts w:ascii="Times New Roman" w:hAnsi="Times New Roman" w:cs="Times New Roman"/>
          <w:color w:val="000000" w:themeColor="text1"/>
        </w:rPr>
        <w:t xml:space="preserve"> of a </w:t>
      </w:r>
      <w:proofErr w:type="spellStart"/>
      <w:r w:rsidR="008606E3" w:rsidRPr="00705170">
        <w:rPr>
          <w:rFonts w:ascii="Times New Roman" w:hAnsi="Times New Roman" w:cs="Times New Roman"/>
          <w:color w:val="000000" w:themeColor="text1"/>
        </w:rPr>
        <w:t>minority</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shareholder</w:t>
      </w:r>
      <w:proofErr w:type="spellEnd"/>
      <w:r w:rsidR="008606E3" w:rsidRPr="00705170">
        <w:rPr>
          <w:rFonts w:ascii="Times New Roman" w:hAnsi="Times New Roman" w:cs="Times New Roman"/>
          <w:color w:val="000000" w:themeColor="text1"/>
        </w:rPr>
        <w:t xml:space="preserve"> </w:t>
      </w:r>
      <w:proofErr w:type="spellStart"/>
      <w:r w:rsidR="008606E3" w:rsidRPr="00705170">
        <w:rPr>
          <w:rFonts w:ascii="Times New Roman" w:hAnsi="Times New Roman" w:cs="Times New Roman"/>
          <w:color w:val="000000" w:themeColor="text1"/>
        </w:rPr>
        <w:t>freezout</w:t>
      </w:r>
      <w:proofErr w:type="spellEnd"/>
      <w:r w:rsidR="008606E3" w:rsidRPr="00705170">
        <w:rPr>
          <w:rFonts w:ascii="Times New Roman" w:hAnsi="Times New Roman" w:cs="Times New Roman"/>
          <w:color w:val="000000" w:themeColor="text1"/>
        </w:rPr>
        <w:t>”</w:t>
      </w:r>
      <w:r w:rsidR="008606E3" w:rsidRPr="00705170">
        <w:rPr>
          <w:rStyle w:val="DipnotBavurusu"/>
          <w:rFonts w:ascii="Times New Roman" w:hAnsi="Times New Roman" w:cs="Times New Roman"/>
          <w:color w:val="000000" w:themeColor="text1"/>
        </w:rPr>
        <w:footnoteReference w:id="692"/>
      </w:r>
      <w:r w:rsidR="008606E3" w:rsidRPr="00705170">
        <w:rPr>
          <w:rFonts w:ascii="Times New Roman" w:hAnsi="Times New Roman" w:cs="Times New Roman"/>
          <w:color w:val="000000" w:themeColor="text1"/>
        </w:rPr>
        <w:t xml:space="preserve">. </w:t>
      </w:r>
      <w:r w:rsidR="00832272" w:rsidRPr="00705170">
        <w:rPr>
          <w:rFonts w:ascii="Times New Roman" w:hAnsi="Times New Roman" w:cs="Times New Roman"/>
          <w:color w:val="000000" w:themeColor="text1"/>
        </w:rPr>
        <w:t>“</w:t>
      </w:r>
      <w:proofErr w:type="spellStart"/>
      <w:r w:rsidR="00832272" w:rsidRPr="00705170">
        <w:rPr>
          <w:rFonts w:ascii="Times New Roman" w:hAnsi="Times New Roman" w:cs="Times New Roman"/>
          <w:color w:val="000000" w:themeColor="text1"/>
        </w:rPr>
        <w:t>Courts</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must</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evaluate</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the</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majority’s</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actions</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keeping</w:t>
      </w:r>
      <w:proofErr w:type="spellEnd"/>
      <w:r w:rsidR="00832272" w:rsidRPr="00705170">
        <w:rPr>
          <w:rFonts w:ascii="Times New Roman" w:hAnsi="Times New Roman" w:cs="Times New Roman"/>
          <w:color w:val="000000" w:themeColor="text1"/>
        </w:rPr>
        <w:t xml:space="preserve"> in </w:t>
      </w:r>
      <w:proofErr w:type="spellStart"/>
      <w:r w:rsidR="00832272" w:rsidRPr="00705170">
        <w:rPr>
          <w:rFonts w:ascii="Times New Roman" w:hAnsi="Times New Roman" w:cs="Times New Roman"/>
          <w:color w:val="000000" w:themeColor="text1"/>
        </w:rPr>
        <w:t>mind</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that</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even</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if</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some</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actions</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may</w:t>
      </w:r>
      <w:proofErr w:type="spellEnd"/>
      <w:r w:rsidR="00832272" w:rsidRPr="00705170">
        <w:rPr>
          <w:rFonts w:ascii="Times New Roman" w:hAnsi="Times New Roman" w:cs="Times New Roman"/>
          <w:color w:val="000000" w:themeColor="text1"/>
        </w:rPr>
        <w:t xml:space="preserve"> be </w:t>
      </w:r>
      <w:proofErr w:type="spellStart"/>
      <w:r w:rsidR="00832272" w:rsidRPr="00705170">
        <w:rPr>
          <w:rFonts w:ascii="Times New Roman" w:hAnsi="Times New Roman" w:cs="Times New Roman"/>
          <w:color w:val="000000" w:themeColor="text1"/>
        </w:rPr>
        <w:t>individually</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justifiable</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the</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actions</w:t>
      </w:r>
      <w:proofErr w:type="spellEnd"/>
      <w:r w:rsidR="00832272" w:rsidRPr="00705170">
        <w:rPr>
          <w:rFonts w:ascii="Times New Roman" w:hAnsi="Times New Roman" w:cs="Times New Roman"/>
          <w:color w:val="000000" w:themeColor="text1"/>
        </w:rPr>
        <w:t xml:space="preserve"> in total </w:t>
      </w:r>
      <w:proofErr w:type="spellStart"/>
      <w:r w:rsidR="00832272" w:rsidRPr="00705170">
        <w:rPr>
          <w:rFonts w:ascii="Times New Roman" w:hAnsi="Times New Roman" w:cs="Times New Roman"/>
          <w:color w:val="000000" w:themeColor="text1"/>
        </w:rPr>
        <w:t>may</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show</w:t>
      </w:r>
      <w:proofErr w:type="spellEnd"/>
      <w:r w:rsidR="00832272" w:rsidRPr="00705170">
        <w:rPr>
          <w:rFonts w:ascii="Times New Roman" w:hAnsi="Times New Roman" w:cs="Times New Roman"/>
          <w:color w:val="000000" w:themeColor="text1"/>
        </w:rPr>
        <w:t xml:space="preserve"> a </w:t>
      </w:r>
      <w:proofErr w:type="spellStart"/>
      <w:r w:rsidR="00832272" w:rsidRPr="00705170">
        <w:rPr>
          <w:rFonts w:ascii="Times New Roman" w:hAnsi="Times New Roman" w:cs="Times New Roman"/>
          <w:color w:val="000000" w:themeColor="text1"/>
        </w:rPr>
        <w:t>pattern</w:t>
      </w:r>
      <w:proofErr w:type="spellEnd"/>
      <w:r w:rsidR="00832272" w:rsidRPr="00705170">
        <w:rPr>
          <w:rFonts w:ascii="Times New Roman" w:hAnsi="Times New Roman" w:cs="Times New Roman"/>
          <w:color w:val="000000" w:themeColor="text1"/>
        </w:rPr>
        <w:t xml:space="preserve"> of </w:t>
      </w:r>
      <w:proofErr w:type="spellStart"/>
      <w:r w:rsidR="00832272" w:rsidRPr="00705170">
        <w:rPr>
          <w:rFonts w:ascii="Times New Roman" w:hAnsi="Times New Roman" w:cs="Times New Roman"/>
          <w:color w:val="000000" w:themeColor="text1"/>
        </w:rPr>
        <w:t>oppression</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that</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requires</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the</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court</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to</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provide</w:t>
      </w:r>
      <w:proofErr w:type="spellEnd"/>
      <w:r w:rsidR="00832272" w:rsidRPr="00705170">
        <w:rPr>
          <w:rFonts w:ascii="Times New Roman" w:hAnsi="Times New Roman" w:cs="Times New Roman"/>
          <w:color w:val="000000" w:themeColor="text1"/>
        </w:rPr>
        <w:t xml:space="preserve"> a </w:t>
      </w:r>
      <w:proofErr w:type="spellStart"/>
      <w:r w:rsidR="00832272" w:rsidRPr="00705170">
        <w:rPr>
          <w:rFonts w:ascii="Times New Roman" w:hAnsi="Times New Roman" w:cs="Times New Roman"/>
          <w:color w:val="000000" w:themeColor="text1"/>
        </w:rPr>
        <w:t>remedy</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to</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the</w:t>
      </w:r>
      <w:proofErr w:type="spellEnd"/>
      <w:r w:rsidR="00832272" w:rsidRPr="00705170">
        <w:rPr>
          <w:rFonts w:ascii="Times New Roman" w:hAnsi="Times New Roman" w:cs="Times New Roman"/>
          <w:color w:val="000000" w:themeColor="text1"/>
        </w:rPr>
        <w:t xml:space="preserve"> </w:t>
      </w:r>
      <w:proofErr w:type="spellStart"/>
      <w:r w:rsidR="00832272" w:rsidRPr="00705170">
        <w:rPr>
          <w:rFonts w:ascii="Times New Roman" w:hAnsi="Times New Roman" w:cs="Times New Roman"/>
          <w:color w:val="000000" w:themeColor="text1"/>
        </w:rPr>
        <w:t>minority</w:t>
      </w:r>
      <w:proofErr w:type="spellEnd"/>
      <w:r w:rsidR="00832272" w:rsidRPr="00705170">
        <w:rPr>
          <w:rFonts w:ascii="Times New Roman" w:hAnsi="Times New Roman" w:cs="Times New Roman"/>
          <w:color w:val="000000" w:themeColor="text1"/>
        </w:rPr>
        <w:t>”</w:t>
      </w:r>
      <w:r w:rsidR="00832272" w:rsidRPr="00705170">
        <w:rPr>
          <w:rStyle w:val="DipnotBavurusu"/>
          <w:rFonts w:ascii="Times New Roman" w:hAnsi="Times New Roman" w:cs="Times New Roman"/>
          <w:color w:val="000000" w:themeColor="text1"/>
        </w:rPr>
        <w:footnoteReference w:id="693"/>
      </w:r>
      <w:r w:rsidR="00832272"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In</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this</w:t>
      </w:r>
      <w:proofErr w:type="spellEnd"/>
      <w:r w:rsidR="00B076AB" w:rsidRPr="00705170">
        <w:rPr>
          <w:rFonts w:ascii="Times New Roman" w:hAnsi="Times New Roman" w:cs="Times New Roman"/>
          <w:color w:val="000000" w:themeColor="text1"/>
        </w:rPr>
        <w:t xml:space="preserve"> sense, in </w:t>
      </w:r>
      <w:proofErr w:type="spellStart"/>
      <w:r w:rsidR="00B076AB" w:rsidRPr="00705170">
        <w:rPr>
          <w:rFonts w:ascii="Times New Roman" w:hAnsi="Times New Roman" w:cs="Times New Roman"/>
          <w:color w:val="000000" w:themeColor="text1"/>
        </w:rPr>
        <w:t>jurisdictions</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that</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adopted</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the</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shareholder</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oppression</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doctrine</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the</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reasonable</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expectation</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standard</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acts</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like</w:t>
      </w:r>
      <w:proofErr w:type="spellEnd"/>
      <w:r w:rsidR="00B076AB" w:rsidRPr="00705170">
        <w:rPr>
          <w:rFonts w:ascii="Times New Roman" w:hAnsi="Times New Roman" w:cs="Times New Roman"/>
          <w:color w:val="000000" w:themeColor="text1"/>
        </w:rPr>
        <w:t xml:space="preserve"> a </w:t>
      </w:r>
      <w:proofErr w:type="spellStart"/>
      <w:r w:rsidR="00B076AB" w:rsidRPr="00705170">
        <w:rPr>
          <w:rFonts w:ascii="Times New Roman" w:hAnsi="Times New Roman" w:cs="Times New Roman"/>
          <w:color w:val="000000" w:themeColor="text1"/>
        </w:rPr>
        <w:t>standard</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such</w:t>
      </w:r>
      <w:proofErr w:type="spellEnd"/>
      <w:r w:rsidR="00B076AB" w:rsidRPr="00705170">
        <w:rPr>
          <w:rFonts w:ascii="Times New Roman" w:hAnsi="Times New Roman" w:cs="Times New Roman"/>
          <w:color w:val="000000" w:themeColor="text1"/>
        </w:rPr>
        <w:t xml:space="preserve"> </w:t>
      </w:r>
      <w:r w:rsidR="00B076AB" w:rsidRPr="00705170">
        <w:rPr>
          <w:rFonts w:ascii="Times New Roman" w:hAnsi="Times New Roman" w:cs="Times New Roman"/>
          <w:color w:val="000000" w:themeColor="text1"/>
        </w:rPr>
        <w:lastRenderedPageBreak/>
        <w:t xml:space="preserve">as </w:t>
      </w:r>
      <w:proofErr w:type="spellStart"/>
      <w:r w:rsidR="00B076AB" w:rsidRPr="00705170">
        <w:rPr>
          <w:rFonts w:ascii="Times New Roman" w:hAnsi="Times New Roman" w:cs="Times New Roman"/>
          <w:color w:val="000000" w:themeColor="text1"/>
        </w:rPr>
        <w:t>the</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business</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judgment</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rule</w:t>
      </w:r>
      <w:proofErr w:type="spellEnd"/>
      <w:r w:rsidR="004104F3" w:rsidRPr="00705170">
        <w:rPr>
          <w:rStyle w:val="DipnotBavurusu"/>
          <w:rFonts w:ascii="Times New Roman" w:hAnsi="Times New Roman" w:cs="Times New Roman"/>
          <w:color w:val="000000" w:themeColor="text1"/>
        </w:rPr>
        <w:footnoteReference w:id="694"/>
      </w:r>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and</w:t>
      </w:r>
      <w:proofErr w:type="spellEnd"/>
      <w:r w:rsidR="00B076AB" w:rsidRPr="00705170">
        <w:rPr>
          <w:rFonts w:ascii="Times New Roman" w:hAnsi="Times New Roman" w:cs="Times New Roman"/>
          <w:color w:val="000000" w:themeColor="text1"/>
        </w:rPr>
        <w:t xml:space="preserve"> is </w:t>
      </w:r>
      <w:proofErr w:type="spellStart"/>
      <w:r w:rsidR="00B076AB" w:rsidRPr="00705170">
        <w:rPr>
          <w:rFonts w:ascii="Times New Roman" w:hAnsi="Times New Roman" w:cs="Times New Roman"/>
          <w:color w:val="000000" w:themeColor="text1"/>
        </w:rPr>
        <w:t>adopted</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by</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the</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courts</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instead</w:t>
      </w:r>
      <w:proofErr w:type="spellEnd"/>
      <w:r w:rsidR="00B076AB" w:rsidRPr="00705170">
        <w:rPr>
          <w:rFonts w:ascii="Times New Roman" w:hAnsi="Times New Roman" w:cs="Times New Roman"/>
          <w:color w:val="000000" w:themeColor="text1"/>
        </w:rPr>
        <w:t xml:space="preserve"> of </w:t>
      </w:r>
      <w:proofErr w:type="spellStart"/>
      <w:r w:rsidR="00B076AB" w:rsidRPr="00705170">
        <w:rPr>
          <w:rFonts w:ascii="Times New Roman" w:hAnsi="Times New Roman" w:cs="Times New Roman"/>
          <w:color w:val="000000" w:themeColor="text1"/>
        </w:rPr>
        <w:t>the</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business</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judgment</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standard</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when</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oppresive</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conduct</w:t>
      </w:r>
      <w:proofErr w:type="spellEnd"/>
      <w:r w:rsidR="00B076AB" w:rsidRPr="00705170">
        <w:rPr>
          <w:rFonts w:ascii="Times New Roman" w:hAnsi="Times New Roman" w:cs="Times New Roman"/>
          <w:color w:val="000000" w:themeColor="text1"/>
        </w:rPr>
        <w:t xml:space="preserve"> is </w:t>
      </w:r>
      <w:proofErr w:type="spellStart"/>
      <w:r w:rsidR="00B076AB" w:rsidRPr="00705170">
        <w:rPr>
          <w:rFonts w:ascii="Times New Roman" w:hAnsi="Times New Roman" w:cs="Times New Roman"/>
          <w:color w:val="000000" w:themeColor="text1"/>
        </w:rPr>
        <w:t>shown</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by</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the</w:t>
      </w:r>
      <w:proofErr w:type="spellEnd"/>
      <w:r w:rsidR="00B076AB" w:rsidRPr="00705170">
        <w:rPr>
          <w:rFonts w:ascii="Times New Roman" w:hAnsi="Times New Roman" w:cs="Times New Roman"/>
          <w:color w:val="000000" w:themeColor="text1"/>
        </w:rPr>
        <w:t xml:space="preserve"> </w:t>
      </w:r>
      <w:proofErr w:type="spellStart"/>
      <w:r w:rsidR="00B076AB" w:rsidRPr="00705170">
        <w:rPr>
          <w:rFonts w:ascii="Times New Roman" w:hAnsi="Times New Roman" w:cs="Times New Roman"/>
          <w:color w:val="000000" w:themeColor="text1"/>
        </w:rPr>
        <w:t>petitioner</w:t>
      </w:r>
      <w:proofErr w:type="spellEnd"/>
      <w:r w:rsidR="00B076AB" w:rsidRPr="00705170">
        <w:rPr>
          <w:rStyle w:val="DipnotBavurusu"/>
          <w:rFonts w:ascii="Times New Roman" w:hAnsi="Times New Roman" w:cs="Times New Roman"/>
          <w:color w:val="000000" w:themeColor="text1"/>
        </w:rPr>
        <w:footnoteReference w:id="695"/>
      </w:r>
      <w:r w:rsidR="00B076AB" w:rsidRPr="00705170">
        <w:rPr>
          <w:rFonts w:ascii="Times New Roman" w:hAnsi="Times New Roman" w:cs="Times New Roman"/>
          <w:color w:val="000000" w:themeColor="text1"/>
        </w:rPr>
        <w:t>.</w:t>
      </w:r>
      <w:r w:rsidR="0098065D" w:rsidRPr="00705170">
        <w:rPr>
          <w:rFonts w:ascii="Times New Roman" w:hAnsi="Times New Roman" w:cs="Times New Roman"/>
          <w:color w:val="000000" w:themeColor="text1"/>
        </w:rPr>
        <w:t xml:space="preserve"> </w:t>
      </w:r>
    </w:p>
    <w:p w14:paraId="6416C807" w14:textId="3C7791B9" w:rsidR="004C2083" w:rsidRPr="00705170" w:rsidRDefault="00345D39" w:rsidP="002C10E5">
      <w:pPr>
        <w:spacing w:after="240" w:line="480" w:lineRule="auto"/>
        <w:ind w:firstLine="720"/>
        <w:jc w:val="both"/>
        <w:rPr>
          <w:rFonts w:ascii="Times New Roman" w:hAnsi="Times New Roman" w:cs="Times New Roman"/>
          <w:color w:val="000000" w:themeColor="text1"/>
        </w:rPr>
      </w:pP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second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trait</w:t>
      </w:r>
      <w:proofErr w:type="spellEnd"/>
      <w:r w:rsidRPr="00705170">
        <w:rPr>
          <w:rFonts w:ascii="Times New Roman" w:hAnsi="Times New Roman" w:cs="Times New Roman"/>
          <w:color w:val="000000" w:themeColor="text1"/>
        </w:rPr>
        <w:t xml:space="preserve"> of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reasonable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expectations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standard</w:t>
      </w:r>
      <w:proofErr w:type="spellEnd"/>
      <w:r w:rsidRPr="00705170">
        <w:rPr>
          <w:rFonts w:ascii="Times New Roman" w:hAnsi="Times New Roman" w:cs="Times New Roman"/>
          <w:color w:val="000000" w:themeColor="text1"/>
        </w:rPr>
        <w:t xml:space="preserve"> is </w:t>
      </w:r>
      <w:proofErr w:type="spellStart"/>
      <w:r w:rsidRPr="00705170">
        <w:rPr>
          <w:rFonts w:ascii="Times New Roman" w:hAnsi="Times New Roman" w:cs="Times New Roman"/>
          <w:color w:val="000000" w:themeColor="text1"/>
        </w:rPr>
        <w:t>that</w:t>
      </w:r>
      <w:proofErr w:type="spellEnd"/>
      <w:r w:rsidR="00CB3AB0" w:rsidRPr="00705170">
        <w:rPr>
          <w:rFonts w:ascii="Times New Roman" w:hAnsi="Times New Roman" w:cs="Times New Roman"/>
          <w:color w:val="000000" w:themeColor="text1"/>
        </w:rPr>
        <w:t xml:space="preserve"> </w:t>
      </w:r>
      <w:r w:rsidR="00BC44D2" w:rsidRPr="00705170">
        <w:rPr>
          <w:rFonts w:ascii="Times New Roman" w:hAnsi="Times New Roman" w:cs="Times New Roman"/>
          <w:color w:val="000000" w:themeColor="text1"/>
        </w:rPr>
        <w:t xml:space="preserve">it </w:t>
      </w:r>
      <w:proofErr w:type="spellStart"/>
      <w:r w:rsidR="00DF79D0" w:rsidRPr="00705170">
        <w:rPr>
          <w:rFonts w:ascii="Times New Roman" w:hAnsi="Times New Roman" w:cs="Times New Roman"/>
          <w:color w:val="000000" w:themeColor="text1"/>
        </w:rPr>
        <w:t>permits</w:t>
      </w:r>
      <w:proofErr w:type="spellEnd"/>
      <w:r w:rsidR="00DF79D0" w:rsidRPr="00705170">
        <w:rPr>
          <w:rFonts w:ascii="Times New Roman" w:hAnsi="Times New Roman" w:cs="Times New Roman"/>
          <w:color w:val="000000" w:themeColor="text1"/>
        </w:rPr>
        <w:t xml:space="preserve"> </w:t>
      </w:r>
      <w:proofErr w:type="spellStart"/>
      <w:r w:rsidR="00DF79D0" w:rsidRPr="00705170">
        <w:rPr>
          <w:rFonts w:ascii="Times New Roman" w:hAnsi="Times New Roman" w:cs="Times New Roman"/>
          <w:color w:val="000000" w:themeColor="text1"/>
        </w:rPr>
        <w:t>the</w:t>
      </w:r>
      <w:proofErr w:type="spellEnd"/>
      <w:r w:rsidR="00DF79D0" w:rsidRPr="00705170">
        <w:rPr>
          <w:rFonts w:ascii="Times New Roman" w:hAnsi="Times New Roman" w:cs="Times New Roman"/>
          <w:color w:val="000000" w:themeColor="text1"/>
        </w:rPr>
        <w:t xml:space="preserve"> </w:t>
      </w:r>
      <w:proofErr w:type="spellStart"/>
      <w:r w:rsidR="00DF79D0" w:rsidRPr="00705170">
        <w:rPr>
          <w:rFonts w:ascii="Times New Roman" w:hAnsi="Times New Roman" w:cs="Times New Roman"/>
          <w:color w:val="000000" w:themeColor="text1"/>
        </w:rPr>
        <w:t>usage</w:t>
      </w:r>
      <w:proofErr w:type="spellEnd"/>
      <w:r w:rsidR="00DF79D0" w:rsidRPr="00705170">
        <w:rPr>
          <w:rFonts w:ascii="Times New Roman" w:hAnsi="Times New Roman" w:cs="Times New Roman"/>
          <w:color w:val="000000" w:themeColor="text1"/>
        </w:rPr>
        <w:t xml:space="preserve"> of </w:t>
      </w:r>
      <w:proofErr w:type="spellStart"/>
      <w:r w:rsidR="00DF79D0" w:rsidRPr="00705170">
        <w:rPr>
          <w:rFonts w:ascii="Times New Roman" w:hAnsi="Times New Roman" w:cs="Times New Roman"/>
          <w:color w:val="000000" w:themeColor="text1"/>
        </w:rPr>
        <w:t>hypothetical</w:t>
      </w:r>
      <w:proofErr w:type="spellEnd"/>
      <w:r w:rsidR="00DF79D0" w:rsidRPr="00705170">
        <w:rPr>
          <w:rFonts w:ascii="Times New Roman" w:hAnsi="Times New Roman" w:cs="Times New Roman"/>
          <w:color w:val="000000" w:themeColor="text1"/>
        </w:rPr>
        <w:t xml:space="preserve"> </w:t>
      </w:r>
      <w:proofErr w:type="spellStart"/>
      <w:r w:rsidR="00DF79D0" w:rsidRPr="00705170">
        <w:rPr>
          <w:rFonts w:ascii="Times New Roman" w:hAnsi="Times New Roman" w:cs="Times New Roman"/>
          <w:color w:val="000000" w:themeColor="text1"/>
        </w:rPr>
        <w:t>bargaining</w:t>
      </w:r>
      <w:proofErr w:type="spellEnd"/>
      <w:r w:rsidR="00D266D3" w:rsidRPr="00705170">
        <w:rPr>
          <w:rStyle w:val="DipnotBavurusu"/>
          <w:rFonts w:ascii="Times New Roman" w:hAnsi="Times New Roman" w:cs="Times New Roman"/>
          <w:color w:val="000000" w:themeColor="text1"/>
        </w:rPr>
        <w:footnoteReference w:id="696"/>
      </w:r>
      <w:r w:rsidR="00681F35" w:rsidRPr="00705170">
        <w:rPr>
          <w:rFonts w:ascii="Times New Roman" w:hAnsi="Times New Roman" w:cs="Times New Roman"/>
          <w:color w:val="000000" w:themeColor="text1"/>
        </w:rPr>
        <w:t>.</w:t>
      </w:r>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In</w:t>
      </w:r>
      <w:proofErr w:type="spellEnd"/>
      <w:r w:rsidR="00DE3CC7" w:rsidRPr="00705170">
        <w:rPr>
          <w:rFonts w:ascii="Times New Roman" w:hAnsi="Times New Roman" w:cs="Times New Roman"/>
          <w:color w:val="000000" w:themeColor="text1"/>
        </w:rPr>
        <w:t xml:space="preserve"> a sense, ‘</w:t>
      </w:r>
      <w:proofErr w:type="spellStart"/>
      <w:r w:rsidR="00DE3CC7" w:rsidRPr="00705170">
        <w:rPr>
          <w:rFonts w:ascii="Times New Roman" w:hAnsi="Times New Roman" w:cs="Times New Roman"/>
          <w:color w:val="000000" w:themeColor="text1"/>
        </w:rPr>
        <w:t>reasonable</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expectations</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describes</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all</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the</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conditions</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and</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premises</w:t>
      </w:r>
      <w:proofErr w:type="spellEnd"/>
      <w:r w:rsidR="00DE3CC7" w:rsidRPr="00705170">
        <w:rPr>
          <w:rFonts w:ascii="Times New Roman" w:hAnsi="Times New Roman" w:cs="Times New Roman"/>
          <w:color w:val="000000" w:themeColor="text1"/>
        </w:rPr>
        <w:t xml:space="preserve"> a </w:t>
      </w:r>
      <w:proofErr w:type="spellStart"/>
      <w:r w:rsidR="00DE3CC7" w:rsidRPr="00705170">
        <w:rPr>
          <w:rFonts w:ascii="Times New Roman" w:hAnsi="Times New Roman" w:cs="Times New Roman"/>
          <w:color w:val="000000" w:themeColor="text1"/>
        </w:rPr>
        <w:t>highly</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comprehensive</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shareholde</w:t>
      </w:r>
      <w:r w:rsidR="009113DB" w:rsidRPr="00705170">
        <w:rPr>
          <w:rFonts w:ascii="Times New Roman" w:hAnsi="Times New Roman" w:cs="Times New Roman"/>
          <w:color w:val="000000" w:themeColor="text1"/>
        </w:rPr>
        <w:t>r</w:t>
      </w:r>
      <w:r w:rsidR="00DE3CC7" w:rsidRPr="00705170">
        <w:rPr>
          <w:rFonts w:ascii="Times New Roman" w:hAnsi="Times New Roman" w:cs="Times New Roman"/>
          <w:color w:val="000000" w:themeColor="text1"/>
        </w:rPr>
        <w:t>s</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agreement</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might</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contain</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The</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parties</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reasonable</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expectations</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could</w:t>
      </w:r>
      <w:proofErr w:type="spellEnd"/>
      <w:r w:rsidR="00DE3CC7" w:rsidRPr="00705170">
        <w:rPr>
          <w:rFonts w:ascii="Times New Roman" w:hAnsi="Times New Roman" w:cs="Times New Roman"/>
          <w:color w:val="000000" w:themeColor="text1"/>
        </w:rPr>
        <w:t xml:space="preserve"> be </w:t>
      </w:r>
      <w:proofErr w:type="spellStart"/>
      <w:r w:rsidR="00DE3CC7" w:rsidRPr="00705170">
        <w:rPr>
          <w:rFonts w:ascii="Times New Roman" w:hAnsi="Times New Roman" w:cs="Times New Roman"/>
          <w:color w:val="000000" w:themeColor="text1"/>
        </w:rPr>
        <w:t>described</w:t>
      </w:r>
      <w:proofErr w:type="spellEnd"/>
      <w:r w:rsidR="00DE3CC7" w:rsidRPr="00705170">
        <w:rPr>
          <w:rFonts w:ascii="Times New Roman" w:hAnsi="Times New Roman" w:cs="Times New Roman"/>
          <w:color w:val="000000" w:themeColor="text1"/>
        </w:rPr>
        <w:t xml:space="preserve"> as an </w:t>
      </w:r>
      <w:proofErr w:type="spellStart"/>
      <w:r w:rsidR="00DE3CC7" w:rsidRPr="00705170">
        <w:rPr>
          <w:rFonts w:ascii="Times New Roman" w:hAnsi="Times New Roman" w:cs="Times New Roman"/>
          <w:color w:val="000000" w:themeColor="text1"/>
        </w:rPr>
        <w:t>implied</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multilateral</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contract</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among</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the</w:t>
      </w:r>
      <w:proofErr w:type="spellEnd"/>
      <w:r w:rsidR="00DE3CC7" w:rsidRPr="00705170">
        <w:rPr>
          <w:rFonts w:ascii="Times New Roman" w:hAnsi="Times New Roman" w:cs="Times New Roman"/>
          <w:color w:val="000000" w:themeColor="text1"/>
        </w:rPr>
        <w:t xml:space="preserve"> </w:t>
      </w:r>
      <w:proofErr w:type="spellStart"/>
      <w:r w:rsidR="00DE3CC7" w:rsidRPr="00705170">
        <w:rPr>
          <w:rFonts w:ascii="Times New Roman" w:hAnsi="Times New Roman" w:cs="Times New Roman"/>
          <w:color w:val="000000" w:themeColor="text1"/>
        </w:rPr>
        <w:t>shareholders</w:t>
      </w:r>
      <w:proofErr w:type="spellEnd"/>
      <w:r w:rsidR="00DE3CC7" w:rsidRPr="00705170">
        <w:rPr>
          <w:rFonts w:ascii="Times New Roman" w:hAnsi="Times New Roman" w:cs="Times New Roman"/>
          <w:color w:val="000000" w:themeColor="text1"/>
        </w:rPr>
        <w:t>”</w:t>
      </w:r>
      <w:r w:rsidR="00DE3CC7" w:rsidRPr="00705170">
        <w:rPr>
          <w:rStyle w:val="DipnotBavurusu"/>
          <w:rFonts w:ascii="Times New Roman" w:hAnsi="Times New Roman" w:cs="Times New Roman"/>
          <w:color w:val="000000" w:themeColor="text1"/>
        </w:rPr>
        <w:footnoteReference w:id="697"/>
      </w:r>
      <w:r w:rsidR="00DE3CC7" w:rsidRPr="00705170">
        <w:rPr>
          <w:rFonts w:ascii="Times New Roman" w:hAnsi="Times New Roman" w:cs="Times New Roman"/>
          <w:color w:val="000000" w:themeColor="text1"/>
        </w:rPr>
        <w:t>.</w:t>
      </w:r>
      <w:r w:rsidR="00681F35"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Courts</w:t>
      </w:r>
      <w:proofErr w:type="spellEnd"/>
      <w:r w:rsidR="003640BC"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accept</w:t>
      </w:r>
      <w:proofErr w:type="spellEnd"/>
      <w:r w:rsidR="003640BC"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that</w:t>
      </w:r>
      <w:proofErr w:type="spellEnd"/>
      <w:r w:rsidR="003640BC"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the</w:t>
      </w:r>
      <w:proofErr w:type="spellEnd"/>
      <w:r w:rsidR="003640BC"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expectations</w:t>
      </w:r>
      <w:proofErr w:type="spellEnd"/>
      <w:r w:rsidR="003640BC" w:rsidRPr="00705170">
        <w:rPr>
          <w:rFonts w:ascii="Times New Roman" w:hAnsi="Times New Roman" w:cs="Times New Roman"/>
          <w:color w:val="000000" w:themeColor="text1"/>
        </w:rPr>
        <w:t xml:space="preserve"> of </w:t>
      </w:r>
      <w:proofErr w:type="spellStart"/>
      <w:r w:rsidR="003640BC" w:rsidRPr="00705170">
        <w:rPr>
          <w:rFonts w:ascii="Times New Roman" w:hAnsi="Times New Roman" w:cs="Times New Roman"/>
          <w:color w:val="000000" w:themeColor="text1"/>
        </w:rPr>
        <w:t>shareholders</w:t>
      </w:r>
      <w:proofErr w:type="spellEnd"/>
      <w:r w:rsidR="003640BC"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are</w:t>
      </w:r>
      <w:proofErr w:type="spellEnd"/>
      <w:r w:rsidR="003640BC" w:rsidRPr="00705170">
        <w:rPr>
          <w:rFonts w:ascii="Times New Roman" w:hAnsi="Times New Roman" w:cs="Times New Roman"/>
          <w:color w:val="000000" w:themeColor="text1"/>
        </w:rPr>
        <w:t xml:space="preserve"> not </w:t>
      </w:r>
      <w:proofErr w:type="spellStart"/>
      <w:r w:rsidR="003640BC" w:rsidRPr="00705170">
        <w:rPr>
          <w:rFonts w:ascii="Times New Roman" w:hAnsi="Times New Roman" w:cs="Times New Roman"/>
          <w:color w:val="000000" w:themeColor="text1"/>
        </w:rPr>
        <w:t>always</w:t>
      </w:r>
      <w:proofErr w:type="spellEnd"/>
      <w:r w:rsidR="003640BC"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encompassed</w:t>
      </w:r>
      <w:proofErr w:type="spellEnd"/>
      <w:r w:rsidR="003640BC" w:rsidRPr="00705170">
        <w:rPr>
          <w:rFonts w:ascii="Times New Roman" w:hAnsi="Times New Roman" w:cs="Times New Roman"/>
          <w:color w:val="000000" w:themeColor="text1"/>
        </w:rPr>
        <w:t xml:space="preserve"> in </w:t>
      </w:r>
      <w:proofErr w:type="spellStart"/>
      <w:r w:rsidR="003640BC" w:rsidRPr="00705170">
        <w:rPr>
          <w:rFonts w:ascii="Times New Roman" w:hAnsi="Times New Roman" w:cs="Times New Roman"/>
          <w:color w:val="000000" w:themeColor="text1"/>
        </w:rPr>
        <w:t>written</w:t>
      </w:r>
      <w:proofErr w:type="spellEnd"/>
      <w:r w:rsidR="003640BC"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agreements</w:t>
      </w:r>
      <w:proofErr w:type="spellEnd"/>
      <w:r w:rsidR="003640BC"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and</w:t>
      </w:r>
      <w:proofErr w:type="spellEnd"/>
      <w:r w:rsidR="003640BC"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written</w:t>
      </w:r>
      <w:proofErr w:type="spellEnd"/>
      <w:r w:rsidR="003640BC"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agreements</w:t>
      </w:r>
      <w:proofErr w:type="spellEnd"/>
      <w:r w:rsidR="003640BC"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are</w:t>
      </w:r>
      <w:proofErr w:type="spellEnd"/>
      <w:r w:rsidR="003640BC" w:rsidRPr="00705170">
        <w:rPr>
          <w:rFonts w:ascii="Times New Roman" w:hAnsi="Times New Roman" w:cs="Times New Roman"/>
          <w:color w:val="000000" w:themeColor="text1"/>
        </w:rPr>
        <w:t xml:space="preserve"> not </w:t>
      </w:r>
      <w:proofErr w:type="spellStart"/>
      <w:r w:rsidR="003640BC" w:rsidRPr="00705170">
        <w:rPr>
          <w:rFonts w:ascii="Times New Roman" w:hAnsi="Times New Roman" w:cs="Times New Roman"/>
          <w:color w:val="000000" w:themeColor="text1"/>
        </w:rPr>
        <w:t>always</w:t>
      </w:r>
      <w:proofErr w:type="spellEnd"/>
      <w:r w:rsidR="003640BC"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dispositive</w:t>
      </w:r>
      <w:proofErr w:type="spellEnd"/>
      <w:r w:rsidR="003640BC" w:rsidRPr="00705170">
        <w:rPr>
          <w:rFonts w:ascii="Times New Roman" w:hAnsi="Times New Roman" w:cs="Times New Roman"/>
          <w:color w:val="000000" w:themeColor="text1"/>
        </w:rPr>
        <w:t xml:space="preserve"> of </w:t>
      </w:r>
      <w:proofErr w:type="spellStart"/>
      <w:r w:rsidR="003640BC" w:rsidRPr="00705170">
        <w:rPr>
          <w:rFonts w:ascii="Times New Roman" w:hAnsi="Times New Roman" w:cs="Times New Roman"/>
          <w:color w:val="000000" w:themeColor="text1"/>
        </w:rPr>
        <w:t>shareholder</w:t>
      </w:r>
      <w:proofErr w:type="spellEnd"/>
      <w:r w:rsidR="003640BC" w:rsidRPr="00705170">
        <w:rPr>
          <w:rFonts w:ascii="Times New Roman" w:hAnsi="Times New Roman" w:cs="Times New Roman"/>
          <w:color w:val="000000" w:themeColor="text1"/>
        </w:rPr>
        <w:t xml:space="preserve"> </w:t>
      </w:r>
      <w:proofErr w:type="spellStart"/>
      <w:r w:rsidR="003640BC" w:rsidRPr="00705170">
        <w:rPr>
          <w:rFonts w:ascii="Times New Roman" w:hAnsi="Times New Roman" w:cs="Times New Roman"/>
          <w:color w:val="000000" w:themeColor="text1"/>
        </w:rPr>
        <w:t>expectations</w:t>
      </w:r>
      <w:proofErr w:type="spellEnd"/>
      <w:r w:rsidR="003640BC" w:rsidRPr="00705170">
        <w:rPr>
          <w:rFonts w:ascii="Times New Roman" w:hAnsi="Times New Roman" w:cs="Times New Roman"/>
          <w:color w:val="000000" w:themeColor="text1"/>
        </w:rPr>
        <w:t>”</w:t>
      </w:r>
      <w:r w:rsidR="003640BC" w:rsidRPr="00705170">
        <w:rPr>
          <w:rStyle w:val="DipnotBavurusu"/>
          <w:rFonts w:ascii="Times New Roman" w:hAnsi="Times New Roman" w:cs="Times New Roman"/>
          <w:color w:val="000000" w:themeColor="text1"/>
        </w:rPr>
        <w:footnoteReference w:id="698"/>
      </w:r>
      <w:r w:rsidR="003640BC" w:rsidRPr="00705170">
        <w:rPr>
          <w:rFonts w:ascii="Times New Roman" w:hAnsi="Times New Roman" w:cs="Times New Roman"/>
          <w:color w:val="000000" w:themeColor="text1"/>
        </w:rPr>
        <w:t xml:space="preserve">. </w:t>
      </w:r>
      <w:r w:rsidR="00ED7BDC" w:rsidRPr="00705170">
        <w:rPr>
          <w:rFonts w:ascii="Times New Roman" w:hAnsi="Times New Roman" w:cs="Times New Roman"/>
          <w:color w:val="000000" w:themeColor="text1"/>
        </w:rPr>
        <w:t>“</w:t>
      </w:r>
      <w:proofErr w:type="spellStart"/>
      <w:r w:rsidR="00ED7BDC" w:rsidRPr="00705170">
        <w:rPr>
          <w:rFonts w:ascii="Times New Roman" w:hAnsi="Times New Roman" w:cs="Times New Roman"/>
        </w:rPr>
        <w:t>The</w:t>
      </w:r>
      <w:proofErr w:type="spellEnd"/>
      <w:r w:rsidR="00ED7BDC" w:rsidRPr="00705170">
        <w:rPr>
          <w:rFonts w:ascii="Times New Roman" w:hAnsi="Times New Roman" w:cs="Times New Roman"/>
        </w:rPr>
        <w:t xml:space="preserve"> </w:t>
      </w:r>
      <w:proofErr w:type="spellStart"/>
      <w:r w:rsidR="00ED7BDC" w:rsidRPr="00705170">
        <w:rPr>
          <w:rFonts w:ascii="Times New Roman" w:hAnsi="Times New Roman" w:cs="Times New Roman"/>
        </w:rPr>
        <w:t>parties</w:t>
      </w:r>
      <w:proofErr w:type="spellEnd"/>
      <w:r w:rsidR="00ED7BDC" w:rsidRPr="00705170">
        <w:rPr>
          <w:rFonts w:ascii="Times New Roman" w:hAnsi="Times New Roman" w:cs="Times New Roman"/>
        </w:rPr>
        <w:t xml:space="preserve">’ </w:t>
      </w:r>
      <w:proofErr w:type="spellStart"/>
      <w:r w:rsidR="00ED7BDC" w:rsidRPr="00705170">
        <w:rPr>
          <w:rFonts w:ascii="Times New Roman" w:hAnsi="Times New Roman" w:cs="Times New Roman"/>
        </w:rPr>
        <w:t>full</w:t>
      </w:r>
      <w:proofErr w:type="spellEnd"/>
      <w:r w:rsidR="00ED7BDC" w:rsidRPr="00705170">
        <w:rPr>
          <w:rFonts w:ascii="Times New Roman" w:hAnsi="Times New Roman" w:cs="Times New Roman"/>
        </w:rPr>
        <w:t xml:space="preserve"> </w:t>
      </w:r>
      <w:proofErr w:type="spellStart"/>
      <w:r w:rsidR="00ED7BDC" w:rsidRPr="00705170">
        <w:rPr>
          <w:rFonts w:ascii="Times New Roman" w:hAnsi="Times New Roman" w:cs="Times New Roman"/>
        </w:rPr>
        <w:t>understanding</w:t>
      </w:r>
      <w:proofErr w:type="spellEnd"/>
      <w:r w:rsidR="00ED7BDC" w:rsidRPr="00705170">
        <w:rPr>
          <w:rFonts w:ascii="Times New Roman" w:hAnsi="Times New Roman" w:cs="Times New Roman"/>
        </w:rPr>
        <w:t xml:space="preserve"> </w:t>
      </w:r>
      <w:proofErr w:type="spellStart"/>
      <w:r w:rsidR="00ED7BDC" w:rsidRPr="00705170">
        <w:rPr>
          <w:rFonts w:ascii="Times New Roman" w:hAnsi="Times New Roman" w:cs="Times New Roman"/>
        </w:rPr>
        <w:t>may</w:t>
      </w:r>
      <w:proofErr w:type="spellEnd"/>
      <w:r w:rsidR="00ED7BDC" w:rsidRPr="00705170">
        <w:rPr>
          <w:rFonts w:ascii="Times New Roman" w:hAnsi="Times New Roman" w:cs="Times New Roman"/>
        </w:rPr>
        <w:t xml:space="preserve"> not </w:t>
      </w:r>
      <w:proofErr w:type="spellStart"/>
      <w:r w:rsidR="00ED7BDC" w:rsidRPr="00705170">
        <w:rPr>
          <w:rFonts w:ascii="Times New Roman" w:hAnsi="Times New Roman" w:cs="Times New Roman"/>
        </w:rPr>
        <w:t>even</w:t>
      </w:r>
      <w:proofErr w:type="spellEnd"/>
      <w:r w:rsidR="00ED7BDC" w:rsidRPr="00705170">
        <w:rPr>
          <w:rFonts w:ascii="Times New Roman" w:hAnsi="Times New Roman" w:cs="Times New Roman"/>
        </w:rPr>
        <w:t xml:space="preserve"> be in </w:t>
      </w:r>
      <w:proofErr w:type="spellStart"/>
      <w:r w:rsidR="00ED7BDC" w:rsidRPr="00705170">
        <w:rPr>
          <w:rFonts w:ascii="Times New Roman" w:hAnsi="Times New Roman" w:cs="Times New Roman"/>
        </w:rPr>
        <w:t>writing</w:t>
      </w:r>
      <w:proofErr w:type="spellEnd"/>
      <w:r w:rsidR="00ED7BDC" w:rsidRPr="00705170">
        <w:rPr>
          <w:rFonts w:ascii="Times New Roman" w:hAnsi="Times New Roman" w:cs="Times New Roman"/>
        </w:rPr>
        <w:t xml:space="preserve"> but </w:t>
      </w:r>
      <w:proofErr w:type="spellStart"/>
      <w:r w:rsidR="00ED7BDC" w:rsidRPr="00705170">
        <w:rPr>
          <w:rFonts w:ascii="Times New Roman" w:hAnsi="Times New Roman" w:cs="Times New Roman"/>
        </w:rPr>
        <w:t>may</w:t>
      </w:r>
      <w:proofErr w:type="spellEnd"/>
      <w:r w:rsidR="00ED7BDC" w:rsidRPr="00705170">
        <w:rPr>
          <w:rFonts w:ascii="Times New Roman" w:hAnsi="Times New Roman" w:cs="Times New Roman"/>
        </w:rPr>
        <w:t xml:space="preserve"> </w:t>
      </w:r>
      <w:proofErr w:type="spellStart"/>
      <w:r w:rsidR="00ED7BDC" w:rsidRPr="00705170">
        <w:rPr>
          <w:rFonts w:ascii="Times New Roman" w:hAnsi="Times New Roman" w:cs="Times New Roman"/>
        </w:rPr>
        <w:t>have</w:t>
      </w:r>
      <w:proofErr w:type="spellEnd"/>
      <w:r w:rsidR="00ED7BDC" w:rsidRPr="00705170">
        <w:rPr>
          <w:rFonts w:ascii="Times New Roman" w:hAnsi="Times New Roman" w:cs="Times New Roman"/>
        </w:rPr>
        <w:t xml:space="preserve"> </w:t>
      </w:r>
      <w:proofErr w:type="spellStart"/>
      <w:r w:rsidR="00ED7BDC" w:rsidRPr="00705170">
        <w:rPr>
          <w:rFonts w:ascii="Times New Roman" w:hAnsi="Times New Roman" w:cs="Times New Roman"/>
        </w:rPr>
        <w:t>to</w:t>
      </w:r>
      <w:proofErr w:type="spellEnd"/>
      <w:r w:rsidR="00ED7BDC" w:rsidRPr="00705170">
        <w:rPr>
          <w:rFonts w:ascii="Times New Roman" w:hAnsi="Times New Roman" w:cs="Times New Roman"/>
        </w:rPr>
        <w:t xml:space="preserve"> be </w:t>
      </w:r>
      <w:proofErr w:type="spellStart"/>
      <w:r w:rsidR="00ED7BDC" w:rsidRPr="00705170">
        <w:rPr>
          <w:rFonts w:ascii="Times New Roman" w:hAnsi="Times New Roman" w:cs="Times New Roman"/>
        </w:rPr>
        <w:t>construed</w:t>
      </w:r>
      <w:proofErr w:type="spellEnd"/>
      <w:r w:rsidR="00ED7BDC" w:rsidRPr="00705170">
        <w:rPr>
          <w:rFonts w:ascii="Times New Roman" w:hAnsi="Times New Roman" w:cs="Times New Roman"/>
        </w:rPr>
        <w:t xml:space="preserve"> </w:t>
      </w:r>
      <w:proofErr w:type="spellStart"/>
      <w:r w:rsidR="00ED7BDC" w:rsidRPr="00705170">
        <w:rPr>
          <w:rFonts w:ascii="Times New Roman" w:hAnsi="Times New Roman" w:cs="Times New Roman"/>
        </w:rPr>
        <w:t>from</w:t>
      </w:r>
      <w:proofErr w:type="spellEnd"/>
      <w:r w:rsidR="00ED7BDC" w:rsidRPr="00705170">
        <w:rPr>
          <w:rFonts w:ascii="Times New Roman" w:hAnsi="Times New Roman" w:cs="Times New Roman"/>
        </w:rPr>
        <w:t xml:space="preserve"> </w:t>
      </w:r>
      <w:proofErr w:type="spellStart"/>
      <w:r w:rsidR="00ED7BDC" w:rsidRPr="00705170">
        <w:rPr>
          <w:rFonts w:ascii="Times New Roman" w:hAnsi="Times New Roman" w:cs="Times New Roman"/>
        </w:rPr>
        <w:t>their</w:t>
      </w:r>
      <w:proofErr w:type="spellEnd"/>
      <w:r w:rsidR="00ED7BDC" w:rsidRPr="00705170">
        <w:rPr>
          <w:rFonts w:ascii="Times New Roman" w:hAnsi="Times New Roman" w:cs="Times New Roman"/>
        </w:rPr>
        <w:t xml:space="preserve"> </w:t>
      </w:r>
      <w:proofErr w:type="spellStart"/>
      <w:r w:rsidR="00ED7BDC" w:rsidRPr="00705170">
        <w:rPr>
          <w:rFonts w:ascii="Times New Roman" w:hAnsi="Times New Roman" w:cs="Times New Roman"/>
        </w:rPr>
        <w:t>actions</w:t>
      </w:r>
      <w:proofErr w:type="spellEnd"/>
      <w:r w:rsidR="00ED7BDC" w:rsidRPr="00705170">
        <w:rPr>
          <w:rFonts w:ascii="Times New Roman" w:hAnsi="Times New Roman" w:cs="Times New Roman"/>
        </w:rPr>
        <w:t>”</w:t>
      </w:r>
      <w:r w:rsidR="00ED7BDC" w:rsidRPr="00705170">
        <w:rPr>
          <w:rStyle w:val="DipnotBavurusu"/>
          <w:rFonts w:ascii="Times New Roman" w:hAnsi="Times New Roman" w:cs="Times New Roman"/>
        </w:rPr>
        <w:footnoteReference w:id="699"/>
      </w:r>
      <w:r w:rsidR="00ED7BDC" w:rsidRPr="00705170">
        <w:rPr>
          <w:rFonts w:ascii="Times New Roman" w:hAnsi="Times New Roman" w:cs="Times New Roman"/>
        </w:rPr>
        <w:t xml:space="preserve">. </w:t>
      </w:r>
      <w:proofErr w:type="spellStart"/>
      <w:r w:rsidR="005D7E1A" w:rsidRPr="00705170">
        <w:rPr>
          <w:rFonts w:ascii="Times New Roman" w:hAnsi="Times New Roman" w:cs="Times New Roman"/>
          <w:color w:val="000000" w:themeColor="text1"/>
        </w:rPr>
        <w:t>That</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being</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said</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the</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expectations</w:t>
      </w:r>
      <w:proofErr w:type="spellEnd"/>
      <w:r w:rsidR="005D7E1A" w:rsidRPr="00705170">
        <w:rPr>
          <w:rFonts w:ascii="Times New Roman" w:hAnsi="Times New Roman" w:cs="Times New Roman"/>
          <w:color w:val="000000" w:themeColor="text1"/>
        </w:rPr>
        <w:t xml:space="preserve"> of </w:t>
      </w:r>
      <w:proofErr w:type="spellStart"/>
      <w:r w:rsidR="005D7E1A" w:rsidRPr="00705170">
        <w:rPr>
          <w:rFonts w:ascii="Times New Roman" w:hAnsi="Times New Roman" w:cs="Times New Roman"/>
          <w:color w:val="000000" w:themeColor="text1"/>
        </w:rPr>
        <w:t>the</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shareholder</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should</w:t>
      </w:r>
      <w:proofErr w:type="spellEnd"/>
      <w:r w:rsidR="005D7E1A" w:rsidRPr="00705170">
        <w:rPr>
          <w:rFonts w:ascii="Times New Roman" w:hAnsi="Times New Roman" w:cs="Times New Roman"/>
          <w:color w:val="000000" w:themeColor="text1"/>
        </w:rPr>
        <w:t xml:space="preserve"> be </w:t>
      </w:r>
      <w:proofErr w:type="spellStart"/>
      <w:r w:rsidR="005D7E1A" w:rsidRPr="00705170">
        <w:rPr>
          <w:rFonts w:ascii="Times New Roman" w:hAnsi="Times New Roman" w:cs="Times New Roman"/>
          <w:color w:val="000000" w:themeColor="text1"/>
        </w:rPr>
        <w:t>first</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searched</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lastRenderedPageBreak/>
        <w:t>th</w:t>
      </w:r>
      <w:r w:rsidR="003927BF" w:rsidRPr="00705170">
        <w:rPr>
          <w:rFonts w:ascii="Times New Roman" w:hAnsi="Times New Roman" w:cs="Times New Roman"/>
          <w:color w:val="000000" w:themeColor="text1"/>
        </w:rPr>
        <w:t>rough</w:t>
      </w:r>
      <w:proofErr w:type="spellEnd"/>
      <w:r w:rsidR="003927BF" w:rsidRPr="00705170">
        <w:rPr>
          <w:rFonts w:ascii="Times New Roman" w:hAnsi="Times New Roman" w:cs="Times New Roman"/>
          <w:color w:val="000000" w:themeColor="text1"/>
        </w:rPr>
        <w:t xml:space="preserve"> </w:t>
      </w:r>
      <w:proofErr w:type="spellStart"/>
      <w:r w:rsidR="003927BF" w:rsidRPr="00705170">
        <w:rPr>
          <w:rFonts w:ascii="Times New Roman" w:hAnsi="Times New Roman" w:cs="Times New Roman"/>
          <w:color w:val="000000" w:themeColor="text1"/>
        </w:rPr>
        <w:t>the</w:t>
      </w:r>
      <w:proofErr w:type="spellEnd"/>
      <w:r w:rsidR="003927BF" w:rsidRPr="00705170">
        <w:rPr>
          <w:rFonts w:ascii="Times New Roman" w:hAnsi="Times New Roman" w:cs="Times New Roman"/>
          <w:color w:val="000000" w:themeColor="text1"/>
        </w:rPr>
        <w:t xml:space="preserve"> </w:t>
      </w:r>
      <w:proofErr w:type="spellStart"/>
      <w:r w:rsidR="003927BF" w:rsidRPr="00705170">
        <w:rPr>
          <w:rFonts w:ascii="Times New Roman" w:hAnsi="Times New Roman" w:cs="Times New Roman"/>
          <w:color w:val="000000" w:themeColor="text1"/>
        </w:rPr>
        <w:t>following</w:t>
      </w:r>
      <w:proofErr w:type="spellEnd"/>
      <w:r w:rsidR="003927BF" w:rsidRPr="00705170">
        <w:rPr>
          <w:rFonts w:ascii="Times New Roman" w:hAnsi="Times New Roman" w:cs="Times New Roman"/>
          <w:color w:val="000000" w:themeColor="text1"/>
        </w:rPr>
        <w:t xml:space="preserve"> </w:t>
      </w:r>
      <w:proofErr w:type="spellStart"/>
      <w:r w:rsidR="003927BF" w:rsidRPr="00705170">
        <w:rPr>
          <w:rFonts w:ascii="Times New Roman" w:hAnsi="Times New Roman" w:cs="Times New Roman"/>
          <w:color w:val="000000" w:themeColor="text1"/>
        </w:rPr>
        <w:t>sources</w:t>
      </w:r>
      <w:proofErr w:type="spellEnd"/>
      <w:r w:rsidR="003927BF" w:rsidRPr="00705170">
        <w:rPr>
          <w:rFonts w:ascii="Times New Roman" w:hAnsi="Times New Roman" w:cs="Times New Roman"/>
          <w:color w:val="000000" w:themeColor="text1"/>
        </w:rPr>
        <w:t xml:space="preserve"> </w:t>
      </w:r>
      <w:proofErr w:type="spellStart"/>
      <w:r w:rsidR="003927BF" w:rsidRPr="00705170">
        <w:rPr>
          <w:rFonts w:ascii="Times New Roman" w:hAnsi="Times New Roman" w:cs="Times New Roman"/>
          <w:color w:val="000000" w:themeColor="text1"/>
        </w:rPr>
        <w:t>that</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shareholder</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rights</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may</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spring</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from</w:t>
      </w:r>
      <w:proofErr w:type="spellEnd"/>
      <w:r w:rsidR="005D7E1A" w:rsidRPr="00705170">
        <w:rPr>
          <w:rFonts w:ascii="Times New Roman" w:hAnsi="Times New Roman" w:cs="Times New Roman"/>
          <w:color w:val="000000" w:themeColor="text1"/>
        </w:rPr>
        <w:t xml:space="preserve">; “(1) </w:t>
      </w:r>
      <w:proofErr w:type="spellStart"/>
      <w:r w:rsidR="005D7E1A" w:rsidRPr="00705170">
        <w:rPr>
          <w:rFonts w:ascii="Times New Roman" w:hAnsi="Times New Roman" w:cs="Times New Roman"/>
          <w:color w:val="000000" w:themeColor="text1"/>
        </w:rPr>
        <w:t>the</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corporations</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organic</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documents</w:t>
      </w:r>
      <w:proofErr w:type="spellEnd"/>
      <w:r w:rsidR="005D7E1A" w:rsidRPr="00705170">
        <w:rPr>
          <w:rFonts w:ascii="Times New Roman" w:hAnsi="Times New Roman" w:cs="Times New Roman"/>
          <w:color w:val="000000" w:themeColor="text1"/>
        </w:rPr>
        <w:t xml:space="preserve">, (2) </w:t>
      </w:r>
      <w:proofErr w:type="spellStart"/>
      <w:r w:rsidR="005D7E1A" w:rsidRPr="00705170">
        <w:rPr>
          <w:rFonts w:ascii="Times New Roman" w:hAnsi="Times New Roman" w:cs="Times New Roman"/>
          <w:color w:val="000000" w:themeColor="text1"/>
        </w:rPr>
        <w:t>agreeme</w:t>
      </w:r>
      <w:r w:rsidR="00A86BE4" w:rsidRPr="00705170">
        <w:rPr>
          <w:rFonts w:ascii="Times New Roman" w:hAnsi="Times New Roman" w:cs="Times New Roman"/>
          <w:color w:val="000000" w:themeColor="text1"/>
        </w:rPr>
        <w:t>nts</w:t>
      </w:r>
      <w:proofErr w:type="spellEnd"/>
      <w:r w:rsidR="00A86BE4" w:rsidRPr="00705170">
        <w:rPr>
          <w:rFonts w:ascii="Times New Roman" w:hAnsi="Times New Roman" w:cs="Times New Roman"/>
          <w:color w:val="000000" w:themeColor="text1"/>
        </w:rPr>
        <w:t xml:space="preserve"> </w:t>
      </w:r>
      <w:proofErr w:type="spellStart"/>
      <w:r w:rsidR="00A86BE4" w:rsidRPr="00705170">
        <w:rPr>
          <w:rFonts w:ascii="Times New Roman" w:hAnsi="Times New Roman" w:cs="Times New Roman"/>
          <w:color w:val="000000" w:themeColor="text1"/>
        </w:rPr>
        <w:t>between</w:t>
      </w:r>
      <w:proofErr w:type="spellEnd"/>
      <w:r w:rsidR="00A86BE4" w:rsidRPr="00705170">
        <w:rPr>
          <w:rFonts w:ascii="Times New Roman" w:hAnsi="Times New Roman" w:cs="Times New Roman"/>
          <w:color w:val="000000" w:themeColor="text1"/>
        </w:rPr>
        <w:t xml:space="preserve"> </w:t>
      </w:r>
      <w:proofErr w:type="spellStart"/>
      <w:r w:rsidR="00A86BE4" w:rsidRPr="00705170">
        <w:rPr>
          <w:rFonts w:ascii="Times New Roman" w:hAnsi="Times New Roman" w:cs="Times New Roman"/>
          <w:color w:val="000000" w:themeColor="text1"/>
        </w:rPr>
        <w:t>shareholders</w:t>
      </w:r>
      <w:proofErr w:type="spellEnd"/>
      <w:r w:rsidR="00A86BE4" w:rsidRPr="00705170">
        <w:rPr>
          <w:rFonts w:ascii="Times New Roman" w:hAnsi="Times New Roman" w:cs="Times New Roman"/>
          <w:color w:val="000000" w:themeColor="text1"/>
        </w:rPr>
        <w:t xml:space="preserve"> </w:t>
      </w:r>
      <w:proofErr w:type="spellStart"/>
      <w:r w:rsidR="00A86BE4" w:rsidRPr="00705170">
        <w:rPr>
          <w:rFonts w:ascii="Times New Roman" w:hAnsi="Times New Roman" w:cs="Times New Roman"/>
          <w:color w:val="000000" w:themeColor="text1"/>
        </w:rPr>
        <w:t>or</w:t>
      </w:r>
      <w:proofErr w:type="spellEnd"/>
      <w:r w:rsidR="00A86BE4" w:rsidRPr="00705170">
        <w:rPr>
          <w:rFonts w:ascii="Times New Roman" w:hAnsi="Times New Roman" w:cs="Times New Roman"/>
          <w:color w:val="000000" w:themeColor="text1"/>
        </w:rPr>
        <w:t xml:space="preserve"> </w:t>
      </w:r>
      <w:proofErr w:type="spellStart"/>
      <w:r w:rsidR="00A86BE4" w:rsidRPr="00705170">
        <w:rPr>
          <w:rFonts w:ascii="Times New Roman" w:hAnsi="Times New Roman" w:cs="Times New Roman"/>
          <w:color w:val="000000" w:themeColor="text1"/>
        </w:rPr>
        <w:t>bet</w:t>
      </w:r>
      <w:r w:rsidR="005D7E1A" w:rsidRPr="00705170">
        <w:rPr>
          <w:rFonts w:ascii="Times New Roman" w:hAnsi="Times New Roman" w:cs="Times New Roman"/>
          <w:color w:val="000000" w:themeColor="text1"/>
        </w:rPr>
        <w:t>ween</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the</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corporation</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and</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shareholders</w:t>
      </w:r>
      <w:proofErr w:type="spellEnd"/>
      <w:r w:rsidR="005D7E1A" w:rsidRPr="00705170">
        <w:rPr>
          <w:rFonts w:ascii="Times New Roman" w:hAnsi="Times New Roman" w:cs="Times New Roman"/>
          <w:color w:val="000000" w:themeColor="text1"/>
        </w:rPr>
        <w:t xml:space="preserve">, (3) </w:t>
      </w:r>
      <w:proofErr w:type="spellStart"/>
      <w:r w:rsidR="005D7E1A" w:rsidRPr="00705170">
        <w:rPr>
          <w:rFonts w:ascii="Times New Roman" w:hAnsi="Times New Roman" w:cs="Times New Roman"/>
          <w:color w:val="000000" w:themeColor="text1"/>
        </w:rPr>
        <w:t>statutory</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corporation</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law</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and</w:t>
      </w:r>
      <w:proofErr w:type="spellEnd"/>
      <w:r w:rsidR="005D7E1A" w:rsidRPr="00705170">
        <w:rPr>
          <w:rFonts w:ascii="Times New Roman" w:hAnsi="Times New Roman" w:cs="Times New Roman"/>
          <w:color w:val="000000" w:themeColor="text1"/>
        </w:rPr>
        <w:t xml:space="preserve"> (4) </w:t>
      </w:r>
      <w:proofErr w:type="spellStart"/>
      <w:r w:rsidR="005D7E1A" w:rsidRPr="00705170">
        <w:rPr>
          <w:rFonts w:ascii="Times New Roman" w:hAnsi="Times New Roman" w:cs="Times New Roman"/>
          <w:color w:val="000000" w:themeColor="text1"/>
        </w:rPr>
        <w:t>decisional</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law</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governing</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the</w:t>
      </w:r>
      <w:proofErr w:type="spellEnd"/>
      <w:r w:rsidR="005D7E1A" w:rsidRPr="00705170">
        <w:rPr>
          <w:rFonts w:ascii="Times New Roman" w:hAnsi="Times New Roman" w:cs="Times New Roman"/>
          <w:color w:val="000000" w:themeColor="text1"/>
        </w:rPr>
        <w:t xml:space="preserve"> </w:t>
      </w:r>
      <w:proofErr w:type="spellStart"/>
      <w:r w:rsidR="005D7E1A" w:rsidRPr="00705170">
        <w:rPr>
          <w:rFonts w:ascii="Times New Roman" w:hAnsi="Times New Roman" w:cs="Times New Roman"/>
          <w:color w:val="000000" w:themeColor="text1"/>
        </w:rPr>
        <w:t>operation</w:t>
      </w:r>
      <w:proofErr w:type="spellEnd"/>
      <w:r w:rsidR="005D7E1A" w:rsidRPr="00705170">
        <w:rPr>
          <w:rFonts w:ascii="Times New Roman" w:hAnsi="Times New Roman" w:cs="Times New Roman"/>
          <w:color w:val="000000" w:themeColor="text1"/>
        </w:rPr>
        <w:t xml:space="preserve"> of </w:t>
      </w:r>
      <w:proofErr w:type="spellStart"/>
      <w:r w:rsidR="005D7E1A" w:rsidRPr="00705170">
        <w:rPr>
          <w:rFonts w:ascii="Times New Roman" w:hAnsi="Times New Roman" w:cs="Times New Roman"/>
          <w:color w:val="000000" w:themeColor="text1"/>
        </w:rPr>
        <w:t>corporations</w:t>
      </w:r>
      <w:proofErr w:type="spellEnd"/>
      <w:r w:rsidR="005D7E1A" w:rsidRPr="00705170">
        <w:rPr>
          <w:rFonts w:ascii="Times New Roman" w:hAnsi="Times New Roman" w:cs="Times New Roman"/>
          <w:color w:val="000000" w:themeColor="text1"/>
        </w:rPr>
        <w:t>”</w:t>
      </w:r>
      <w:r w:rsidR="005D7E1A" w:rsidRPr="00705170">
        <w:rPr>
          <w:rStyle w:val="DipnotBavurusu"/>
          <w:rFonts w:ascii="Times New Roman" w:hAnsi="Times New Roman" w:cs="Times New Roman"/>
          <w:color w:val="000000" w:themeColor="text1"/>
        </w:rPr>
        <w:footnoteReference w:id="700"/>
      </w:r>
      <w:r w:rsidR="005D7E1A"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In</w:t>
      </w:r>
      <w:proofErr w:type="spellEnd"/>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this</w:t>
      </w:r>
      <w:proofErr w:type="spellEnd"/>
      <w:r w:rsidR="007247C0" w:rsidRPr="00705170">
        <w:rPr>
          <w:rFonts w:ascii="Times New Roman" w:hAnsi="Times New Roman" w:cs="Times New Roman"/>
          <w:color w:val="000000" w:themeColor="text1"/>
        </w:rPr>
        <w:t xml:space="preserve"> </w:t>
      </w:r>
      <w:proofErr w:type="spellStart"/>
      <w:r w:rsidR="007247C0" w:rsidRPr="00705170">
        <w:rPr>
          <w:rFonts w:ascii="Times New Roman" w:hAnsi="Times New Roman" w:cs="Times New Roman"/>
          <w:color w:val="000000" w:themeColor="text1"/>
        </w:rPr>
        <w:t>regards</w:t>
      </w:r>
      <w:proofErr w:type="spellEnd"/>
      <w:r w:rsidR="007247C0" w:rsidRPr="00705170">
        <w:rPr>
          <w:rFonts w:ascii="Times New Roman" w:hAnsi="Times New Roman" w:cs="Times New Roman"/>
          <w:color w:val="000000" w:themeColor="text1"/>
        </w:rPr>
        <w:t xml:space="preserve">, in </w:t>
      </w:r>
      <w:proofErr w:type="spellStart"/>
      <w:r w:rsidR="007247C0" w:rsidRPr="00705170">
        <w:rPr>
          <w:rFonts w:ascii="Times New Roman" w:hAnsi="Times New Roman" w:cs="Times New Roman"/>
          <w:color w:val="000000" w:themeColor="text1"/>
        </w:rPr>
        <w:t>jurisdictions</w:t>
      </w:r>
      <w:proofErr w:type="spellEnd"/>
      <w:r w:rsidR="007247C0" w:rsidRPr="00705170">
        <w:rPr>
          <w:rFonts w:ascii="Times New Roman" w:hAnsi="Times New Roman" w:cs="Times New Roman"/>
          <w:color w:val="000000" w:themeColor="text1"/>
        </w:rPr>
        <w:t xml:space="preserve"> </w:t>
      </w:r>
      <w:proofErr w:type="spellStart"/>
      <w:r w:rsidR="007247C0" w:rsidRPr="00705170">
        <w:rPr>
          <w:rFonts w:ascii="Times New Roman" w:hAnsi="Times New Roman" w:cs="Times New Roman"/>
          <w:color w:val="000000" w:themeColor="text1"/>
        </w:rPr>
        <w:t>which</w:t>
      </w:r>
      <w:proofErr w:type="spellEnd"/>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gives</w:t>
      </w:r>
      <w:proofErr w:type="spellEnd"/>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fu</w:t>
      </w:r>
      <w:r w:rsidR="009C4D25" w:rsidRPr="00705170">
        <w:rPr>
          <w:rFonts w:ascii="Times New Roman" w:hAnsi="Times New Roman" w:cs="Times New Roman"/>
          <w:color w:val="000000" w:themeColor="text1"/>
        </w:rPr>
        <w:t>ll</w:t>
      </w:r>
      <w:proofErr w:type="spellEnd"/>
      <w:r w:rsidR="009C4D25" w:rsidRPr="00705170">
        <w:rPr>
          <w:rFonts w:ascii="Times New Roman" w:hAnsi="Times New Roman" w:cs="Times New Roman"/>
          <w:color w:val="000000" w:themeColor="text1"/>
        </w:rPr>
        <w:t xml:space="preserve"> </w:t>
      </w:r>
      <w:proofErr w:type="spellStart"/>
      <w:r w:rsidR="009C4D25" w:rsidRPr="00705170">
        <w:rPr>
          <w:rFonts w:ascii="Times New Roman" w:hAnsi="Times New Roman" w:cs="Times New Roman"/>
          <w:color w:val="000000" w:themeColor="text1"/>
        </w:rPr>
        <w:t>effect</w:t>
      </w:r>
      <w:proofErr w:type="spellEnd"/>
      <w:r w:rsidR="009C4D25" w:rsidRPr="00705170">
        <w:rPr>
          <w:rFonts w:ascii="Times New Roman" w:hAnsi="Times New Roman" w:cs="Times New Roman"/>
          <w:color w:val="000000" w:themeColor="text1"/>
        </w:rPr>
        <w:t xml:space="preserve"> </w:t>
      </w:r>
      <w:proofErr w:type="spellStart"/>
      <w:r w:rsidR="009C4D25" w:rsidRPr="00705170">
        <w:rPr>
          <w:rFonts w:ascii="Times New Roman" w:hAnsi="Times New Roman" w:cs="Times New Roman"/>
          <w:color w:val="000000" w:themeColor="text1"/>
        </w:rPr>
        <w:t>to</w:t>
      </w:r>
      <w:proofErr w:type="spellEnd"/>
      <w:r w:rsidR="009C4D25" w:rsidRPr="00705170">
        <w:rPr>
          <w:rFonts w:ascii="Times New Roman" w:hAnsi="Times New Roman" w:cs="Times New Roman"/>
          <w:color w:val="000000" w:themeColor="text1"/>
        </w:rPr>
        <w:t xml:space="preserve"> </w:t>
      </w:r>
      <w:proofErr w:type="spellStart"/>
      <w:r w:rsidR="009C4D25" w:rsidRPr="00705170">
        <w:rPr>
          <w:rFonts w:ascii="Times New Roman" w:hAnsi="Times New Roman" w:cs="Times New Roman"/>
          <w:color w:val="000000" w:themeColor="text1"/>
        </w:rPr>
        <w:t>shareholder</w:t>
      </w:r>
      <w:r w:rsidR="002578FF" w:rsidRPr="00705170">
        <w:rPr>
          <w:rFonts w:ascii="Times New Roman" w:hAnsi="Times New Roman" w:cs="Times New Roman"/>
          <w:color w:val="000000" w:themeColor="text1"/>
        </w:rPr>
        <w:t>s</w:t>
      </w:r>
      <w:proofErr w:type="spellEnd"/>
      <w:r w:rsidR="009C4D25" w:rsidRPr="00705170">
        <w:rPr>
          <w:rFonts w:ascii="Times New Roman" w:hAnsi="Times New Roman" w:cs="Times New Roman"/>
          <w:color w:val="000000" w:themeColor="text1"/>
        </w:rPr>
        <w:t>’</w:t>
      </w:r>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agreement</w:t>
      </w:r>
      <w:proofErr w:type="spellEnd"/>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which</w:t>
      </w:r>
      <w:proofErr w:type="spellEnd"/>
      <w:r w:rsidR="002578FF" w:rsidRPr="00705170">
        <w:rPr>
          <w:rFonts w:ascii="Times New Roman" w:hAnsi="Times New Roman" w:cs="Times New Roman"/>
          <w:color w:val="000000" w:themeColor="text1"/>
        </w:rPr>
        <w:t xml:space="preserve"> is a </w:t>
      </w:r>
      <w:proofErr w:type="spellStart"/>
      <w:r w:rsidR="002578FF" w:rsidRPr="00705170">
        <w:rPr>
          <w:rFonts w:ascii="Times New Roman" w:hAnsi="Times New Roman" w:cs="Times New Roman"/>
          <w:color w:val="000000" w:themeColor="text1"/>
        </w:rPr>
        <w:t>private</w:t>
      </w:r>
      <w:proofErr w:type="spellEnd"/>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contractual</w:t>
      </w:r>
      <w:proofErr w:type="spellEnd"/>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agreement</w:t>
      </w:r>
      <w:proofErr w:type="spellEnd"/>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or</w:t>
      </w:r>
      <w:proofErr w:type="spellEnd"/>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lets</w:t>
      </w:r>
      <w:proofErr w:type="spellEnd"/>
      <w:r w:rsidR="002578FF" w:rsidRPr="00705170">
        <w:rPr>
          <w:rFonts w:ascii="Times New Roman" w:hAnsi="Times New Roman" w:cs="Times New Roman"/>
          <w:color w:val="000000" w:themeColor="text1"/>
        </w:rPr>
        <w:t xml:space="preserve"> it </w:t>
      </w:r>
      <w:proofErr w:type="spellStart"/>
      <w:r w:rsidR="002578FF" w:rsidRPr="00705170">
        <w:rPr>
          <w:rFonts w:ascii="Times New Roman" w:hAnsi="Times New Roman" w:cs="Times New Roman"/>
          <w:color w:val="000000" w:themeColor="text1"/>
        </w:rPr>
        <w:t>modify</w:t>
      </w:r>
      <w:proofErr w:type="spellEnd"/>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several</w:t>
      </w:r>
      <w:proofErr w:type="spellEnd"/>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statutory</w:t>
      </w:r>
      <w:proofErr w:type="spellEnd"/>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shareholder</w:t>
      </w:r>
      <w:proofErr w:type="spellEnd"/>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rights</w:t>
      </w:r>
      <w:proofErr w:type="spellEnd"/>
      <w:r w:rsidR="002578FF" w:rsidRPr="00705170">
        <w:rPr>
          <w:rFonts w:ascii="Times New Roman" w:hAnsi="Times New Roman" w:cs="Times New Roman"/>
          <w:color w:val="000000" w:themeColor="text1"/>
        </w:rPr>
        <w:t>,</w:t>
      </w:r>
      <w:r w:rsidR="003927BF" w:rsidRPr="00705170">
        <w:rPr>
          <w:rFonts w:ascii="Times New Roman" w:hAnsi="Times New Roman" w:cs="Times New Roman"/>
          <w:color w:val="000000" w:themeColor="text1"/>
        </w:rPr>
        <w:t xml:space="preserve"> </w:t>
      </w:r>
      <w:proofErr w:type="spellStart"/>
      <w:r w:rsidR="003927BF" w:rsidRPr="00705170">
        <w:rPr>
          <w:rFonts w:ascii="Times New Roman" w:hAnsi="Times New Roman" w:cs="Times New Roman"/>
          <w:color w:val="000000" w:themeColor="text1"/>
        </w:rPr>
        <w:t>evidence</w:t>
      </w:r>
      <w:proofErr w:type="spellEnd"/>
      <w:r w:rsidR="003927BF" w:rsidRPr="00705170">
        <w:rPr>
          <w:rFonts w:ascii="Times New Roman" w:hAnsi="Times New Roman" w:cs="Times New Roman"/>
          <w:color w:val="000000" w:themeColor="text1"/>
        </w:rPr>
        <w:t xml:space="preserve"> of </w:t>
      </w:r>
      <w:proofErr w:type="spellStart"/>
      <w:r w:rsidR="003927BF" w:rsidRPr="00705170">
        <w:rPr>
          <w:rFonts w:ascii="Times New Roman" w:hAnsi="Times New Roman" w:cs="Times New Roman"/>
          <w:color w:val="000000" w:themeColor="text1"/>
        </w:rPr>
        <w:t>breach</w:t>
      </w:r>
      <w:proofErr w:type="spellEnd"/>
      <w:r w:rsidR="003927BF" w:rsidRPr="00705170">
        <w:rPr>
          <w:rFonts w:ascii="Times New Roman" w:hAnsi="Times New Roman" w:cs="Times New Roman"/>
          <w:color w:val="000000" w:themeColor="text1"/>
        </w:rPr>
        <w:t xml:space="preserve"> of a </w:t>
      </w:r>
      <w:proofErr w:type="spellStart"/>
      <w:r w:rsidR="003927BF" w:rsidRPr="00705170">
        <w:rPr>
          <w:rFonts w:ascii="Times New Roman" w:hAnsi="Times New Roman" w:cs="Times New Roman"/>
          <w:color w:val="000000" w:themeColor="text1"/>
        </w:rPr>
        <w:t>shareholder’s</w:t>
      </w:r>
      <w:proofErr w:type="spellEnd"/>
      <w:r w:rsidR="003927BF" w:rsidRPr="00705170">
        <w:rPr>
          <w:rFonts w:ascii="Times New Roman" w:hAnsi="Times New Roman" w:cs="Times New Roman"/>
          <w:color w:val="000000" w:themeColor="text1"/>
        </w:rPr>
        <w:t xml:space="preserve"> </w:t>
      </w:r>
      <w:proofErr w:type="spellStart"/>
      <w:r w:rsidR="003927BF" w:rsidRPr="00705170">
        <w:rPr>
          <w:rFonts w:ascii="Times New Roman" w:hAnsi="Times New Roman" w:cs="Times New Roman"/>
          <w:color w:val="000000" w:themeColor="text1"/>
        </w:rPr>
        <w:t>agreement</w:t>
      </w:r>
      <w:proofErr w:type="spellEnd"/>
      <w:r w:rsidR="003927BF" w:rsidRPr="00705170">
        <w:rPr>
          <w:rFonts w:ascii="Times New Roman" w:hAnsi="Times New Roman" w:cs="Times New Roman"/>
          <w:color w:val="000000" w:themeColor="text1"/>
        </w:rPr>
        <w:t xml:space="preserve"> is </w:t>
      </w:r>
      <w:proofErr w:type="spellStart"/>
      <w:r w:rsidR="003927BF" w:rsidRPr="00705170">
        <w:rPr>
          <w:rFonts w:ascii="Times New Roman" w:hAnsi="Times New Roman" w:cs="Times New Roman"/>
          <w:color w:val="000000" w:themeColor="text1"/>
        </w:rPr>
        <w:t>also</w:t>
      </w:r>
      <w:proofErr w:type="spellEnd"/>
      <w:r w:rsidR="002578FF" w:rsidRPr="00705170">
        <w:rPr>
          <w:rFonts w:ascii="Times New Roman" w:hAnsi="Times New Roman" w:cs="Times New Roman"/>
          <w:color w:val="000000" w:themeColor="text1"/>
        </w:rPr>
        <w:t xml:space="preserve"> </w:t>
      </w:r>
      <w:proofErr w:type="spellStart"/>
      <w:r w:rsidR="002578FF" w:rsidRPr="00705170">
        <w:rPr>
          <w:rFonts w:ascii="Times New Roman" w:hAnsi="Times New Roman" w:cs="Times New Roman"/>
          <w:color w:val="000000" w:themeColor="text1"/>
        </w:rPr>
        <w:t>considered</w:t>
      </w:r>
      <w:proofErr w:type="spellEnd"/>
      <w:r w:rsidR="002578FF" w:rsidRPr="00705170">
        <w:rPr>
          <w:rFonts w:ascii="Times New Roman" w:hAnsi="Times New Roman" w:cs="Times New Roman"/>
          <w:color w:val="000000" w:themeColor="text1"/>
        </w:rPr>
        <w:t xml:space="preserve"> in </w:t>
      </w:r>
      <w:proofErr w:type="spellStart"/>
      <w:r w:rsidR="002578FF" w:rsidRPr="00705170">
        <w:rPr>
          <w:rFonts w:ascii="Times New Roman" w:hAnsi="Times New Roman" w:cs="Times New Roman"/>
          <w:color w:val="000000" w:themeColor="text1"/>
        </w:rPr>
        <w:t>establishment</w:t>
      </w:r>
      <w:proofErr w:type="spellEnd"/>
      <w:r w:rsidR="002578FF" w:rsidRPr="00705170">
        <w:rPr>
          <w:rFonts w:ascii="Times New Roman" w:hAnsi="Times New Roman" w:cs="Times New Roman"/>
          <w:color w:val="000000" w:themeColor="text1"/>
        </w:rPr>
        <w:t xml:space="preserve"> of </w:t>
      </w:r>
      <w:proofErr w:type="spellStart"/>
      <w:r w:rsidR="002578FF" w:rsidRPr="00705170">
        <w:rPr>
          <w:rFonts w:ascii="Times New Roman" w:hAnsi="Times New Roman" w:cs="Times New Roman"/>
          <w:color w:val="000000" w:themeColor="text1"/>
        </w:rPr>
        <w:t>oppression</w:t>
      </w:r>
      <w:proofErr w:type="spellEnd"/>
      <w:r w:rsidR="002578FF" w:rsidRPr="00705170">
        <w:rPr>
          <w:rStyle w:val="DipnotBavurusu"/>
          <w:rFonts w:ascii="Times New Roman" w:hAnsi="Times New Roman" w:cs="Times New Roman"/>
          <w:color w:val="000000" w:themeColor="text1"/>
        </w:rPr>
        <w:footnoteReference w:id="701"/>
      </w:r>
      <w:r w:rsidR="002578FF" w:rsidRPr="00705170">
        <w:rPr>
          <w:rFonts w:ascii="Times New Roman" w:hAnsi="Times New Roman" w:cs="Times New Roman"/>
          <w:color w:val="000000" w:themeColor="text1"/>
        </w:rPr>
        <w:t>.</w:t>
      </w:r>
      <w:r w:rsidR="003927BF" w:rsidRPr="00705170">
        <w:rPr>
          <w:rFonts w:ascii="Times New Roman" w:hAnsi="Times New Roman" w:cs="Times New Roman"/>
          <w:color w:val="000000" w:themeColor="text1"/>
        </w:rPr>
        <w:t xml:space="preserve"> </w:t>
      </w:r>
      <w:proofErr w:type="spellStart"/>
      <w:r w:rsidR="0098065D" w:rsidRPr="00705170">
        <w:rPr>
          <w:rFonts w:ascii="Times New Roman" w:hAnsi="Times New Roman" w:cs="Times New Roman"/>
          <w:color w:val="000000" w:themeColor="text1"/>
        </w:rPr>
        <w:t>I</w:t>
      </w:r>
      <w:r w:rsidR="00403296" w:rsidRPr="00705170">
        <w:rPr>
          <w:rFonts w:ascii="Times New Roman" w:hAnsi="Times New Roman" w:cs="Times New Roman"/>
          <w:color w:val="000000" w:themeColor="text1"/>
        </w:rPr>
        <w:t>f</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explicit</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evidence</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exists</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indicating</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that</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minority</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agreed</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to</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defer</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certain</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rights</w:t>
      </w:r>
      <w:proofErr w:type="spellEnd"/>
      <w:r w:rsidR="00403296" w:rsidRPr="00705170">
        <w:rPr>
          <w:rFonts w:ascii="Times New Roman" w:hAnsi="Times New Roman" w:cs="Times New Roman"/>
          <w:color w:val="000000" w:themeColor="text1"/>
        </w:rPr>
        <w:t xml:space="preserve"> in </w:t>
      </w:r>
      <w:proofErr w:type="spellStart"/>
      <w:r w:rsidR="00403296" w:rsidRPr="00705170">
        <w:rPr>
          <w:rFonts w:ascii="Times New Roman" w:hAnsi="Times New Roman" w:cs="Times New Roman"/>
          <w:color w:val="000000" w:themeColor="text1"/>
        </w:rPr>
        <w:t>certain</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circumtances</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the</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court</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should</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rely</w:t>
      </w:r>
      <w:proofErr w:type="spellEnd"/>
      <w:r w:rsidR="00403296" w:rsidRPr="00705170">
        <w:rPr>
          <w:rFonts w:ascii="Times New Roman" w:hAnsi="Times New Roman" w:cs="Times New Roman"/>
          <w:color w:val="000000" w:themeColor="text1"/>
        </w:rPr>
        <w:t xml:space="preserve"> on </w:t>
      </w:r>
      <w:proofErr w:type="spellStart"/>
      <w:r w:rsidR="00403296" w:rsidRPr="00705170">
        <w:rPr>
          <w:rFonts w:ascii="Times New Roman" w:hAnsi="Times New Roman" w:cs="Times New Roman"/>
          <w:color w:val="000000" w:themeColor="text1"/>
        </w:rPr>
        <w:t>that</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evidence</w:t>
      </w:r>
      <w:proofErr w:type="spellEnd"/>
      <w:r w:rsidR="00403296" w:rsidRPr="00705170">
        <w:rPr>
          <w:rFonts w:ascii="Times New Roman" w:hAnsi="Times New Roman" w:cs="Times New Roman"/>
          <w:color w:val="000000" w:themeColor="text1"/>
        </w:rPr>
        <w:t xml:space="preserve"> in </w:t>
      </w:r>
      <w:proofErr w:type="spellStart"/>
      <w:r w:rsidR="00403296" w:rsidRPr="00705170">
        <w:rPr>
          <w:rFonts w:ascii="Times New Roman" w:hAnsi="Times New Roman" w:cs="Times New Roman"/>
          <w:color w:val="000000" w:themeColor="text1"/>
        </w:rPr>
        <w:t>assessing</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the</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reasonableness</w:t>
      </w:r>
      <w:proofErr w:type="spellEnd"/>
      <w:r w:rsidR="00403296" w:rsidRPr="00705170">
        <w:rPr>
          <w:rFonts w:ascii="Times New Roman" w:hAnsi="Times New Roman" w:cs="Times New Roman"/>
          <w:color w:val="000000" w:themeColor="text1"/>
        </w:rPr>
        <w:t xml:space="preserve"> of </w:t>
      </w:r>
      <w:proofErr w:type="spellStart"/>
      <w:r w:rsidR="00403296" w:rsidRPr="00705170">
        <w:rPr>
          <w:rFonts w:ascii="Times New Roman" w:hAnsi="Times New Roman" w:cs="Times New Roman"/>
          <w:color w:val="000000" w:themeColor="text1"/>
        </w:rPr>
        <w:t>the</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minority’s</w:t>
      </w:r>
      <w:proofErr w:type="spellEnd"/>
      <w:r w:rsidR="00403296" w:rsidRPr="00705170">
        <w:rPr>
          <w:rFonts w:ascii="Times New Roman" w:hAnsi="Times New Roman" w:cs="Times New Roman"/>
          <w:color w:val="000000" w:themeColor="text1"/>
        </w:rPr>
        <w:t xml:space="preserve"> </w:t>
      </w:r>
      <w:proofErr w:type="spellStart"/>
      <w:r w:rsidR="00403296" w:rsidRPr="00705170">
        <w:rPr>
          <w:rFonts w:ascii="Times New Roman" w:hAnsi="Times New Roman" w:cs="Times New Roman"/>
          <w:color w:val="000000" w:themeColor="text1"/>
        </w:rPr>
        <w:t>expectation</w:t>
      </w:r>
      <w:proofErr w:type="spellEnd"/>
      <w:r w:rsidR="00403296" w:rsidRPr="00705170">
        <w:rPr>
          <w:rStyle w:val="DipnotBavurusu"/>
          <w:rFonts w:ascii="Times New Roman" w:hAnsi="Times New Roman" w:cs="Times New Roman"/>
          <w:color w:val="000000" w:themeColor="text1"/>
        </w:rPr>
        <w:footnoteReference w:id="702"/>
      </w:r>
      <w:r w:rsidR="00403296" w:rsidRPr="00705170">
        <w:rPr>
          <w:rFonts w:ascii="Times New Roman" w:hAnsi="Times New Roman" w:cs="Times New Roman"/>
          <w:color w:val="000000" w:themeColor="text1"/>
        </w:rPr>
        <w:t xml:space="preserve">. </w:t>
      </w:r>
      <w:proofErr w:type="spellStart"/>
      <w:r w:rsidR="00DF79D0" w:rsidRPr="00705170">
        <w:rPr>
          <w:rFonts w:ascii="Times New Roman" w:hAnsi="Times New Roman" w:cs="Times New Roman"/>
          <w:color w:val="000000" w:themeColor="text1"/>
        </w:rPr>
        <w:t>Still</w:t>
      </w:r>
      <w:proofErr w:type="spellEnd"/>
      <w:r w:rsidR="00DF79D0" w:rsidRPr="00705170">
        <w:rPr>
          <w:rFonts w:ascii="Times New Roman" w:hAnsi="Times New Roman" w:cs="Times New Roman"/>
          <w:color w:val="000000" w:themeColor="text1"/>
        </w:rPr>
        <w:t xml:space="preserve">, </w:t>
      </w:r>
      <w:proofErr w:type="spellStart"/>
      <w:r w:rsidR="00DF79D0" w:rsidRPr="00705170">
        <w:rPr>
          <w:rFonts w:ascii="Times New Roman" w:hAnsi="Times New Roman" w:cs="Times New Roman"/>
          <w:color w:val="000000" w:themeColor="text1"/>
        </w:rPr>
        <w:t>f</w:t>
      </w:r>
      <w:r w:rsidR="00681F35" w:rsidRPr="00705170">
        <w:rPr>
          <w:rFonts w:ascii="Times New Roman" w:hAnsi="Times New Roman" w:cs="Times New Roman"/>
          <w:color w:val="000000" w:themeColor="text1"/>
        </w:rPr>
        <w:t>rom</w:t>
      </w:r>
      <w:proofErr w:type="spellEnd"/>
      <w:r w:rsidR="00681F35" w:rsidRPr="00705170">
        <w:rPr>
          <w:rFonts w:ascii="Times New Roman" w:hAnsi="Times New Roman" w:cs="Times New Roman"/>
          <w:color w:val="000000" w:themeColor="text1"/>
        </w:rPr>
        <w:t xml:space="preserve"> </w:t>
      </w:r>
      <w:proofErr w:type="spellStart"/>
      <w:r w:rsidR="00681F35" w:rsidRPr="00705170">
        <w:rPr>
          <w:rFonts w:ascii="Times New Roman" w:hAnsi="Times New Roman" w:cs="Times New Roman"/>
          <w:color w:val="000000" w:themeColor="text1"/>
        </w:rPr>
        <w:t>the</w:t>
      </w:r>
      <w:proofErr w:type="spellEnd"/>
      <w:r w:rsidR="00681F35" w:rsidRPr="00705170">
        <w:rPr>
          <w:rFonts w:ascii="Times New Roman" w:hAnsi="Times New Roman" w:cs="Times New Roman"/>
          <w:color w:val="000000" w:themeColor="text1"/>
        </w:rPr>
        <w:t xml:space="preserve"> </w:t>
      </w:r>
      <w:proofErr w:type="spellStart"/>
      <w:r w:rsidR="00681F35" w:rsidRPr="00705170">
        <w:rPr>
          <w:rFonts w:ascii="Times New Roman" w:hAnsi="Times New Roman" w:cs="Times New Roman"/>
          <w:color w:val="000000" w:themeColor="text1"/>
        </w:rPr>
        <w:t>hypothetical</w:t>
      </w:r>
      <w:proofErr w:type="spellEnd"/>
      <w:r w:rsidR="00681F35" w:rsidRPr="00705170">
        <w:rPr>
          <w:rFonts w:ascii="Times New Roman" w:hAnsi="Times New Roman" w:cs="Times New Roman"/>
          <w:color w:val="000000" w:themeColor="text1"/>
        </w:rPr>
        <w:t xml:space="preserve"> </w:t>
      </w:r>
      <w:proofErr w:type="spellStart"/>
      <w:r w:rsidR="00681F35" w:rsidRPr="00705170">
        <w:rPr>
          <w:rFonts w:ascii="Times New Roman" w:hAnsi="Times New Roman" w:cs="Times New Roman"/>
          <w:color w:val="000000" w:themeColor="text1"/>
        </w:rPr>
        <w:t>bargaining</w:t>
      </w:r>
      <w:proofErr w:type="spellEnd"/>
      <w:r w:rsidR="00681F35" w:rsidRPr="00705170">
        <w:rPr>
          <w:rFonts w:ascii="Times New Roman" w:hAnsi="Times New Roman" w:cs="Times New Roman"/>
          <w:color w:val="000000" w:themeColor="text1"/>
        </w:rPr>
        <w:t xml:space="preserve"> </w:t>
      </w:r>
      <w:proofErr w:type="spellStart"/>
      <w:r w:rsidR="00681F35" w:rsidRPr="00705170">
        <w:rPr>
          <w:rFonts w:ascii="Times New Roman" w:hAnsi="Times New Roman" w:cs="Times New Roman"/>
          <w:color w:val="000000" w:themeColor="text1"/>
        </w:rPr>
        <w:t>standpoint</w:t>
      </w:r>
      <w:proofErr w:type="spellEnd"/>
      <w:r w:rsidR="00681F35" w:rsidRPr="00705170">
        <w:rPr>
          <w:rFonts w:ascii="Times New Roman" w:hAnsi="Times New Roman" w:cs="Times New Roman"/>
          <w:color w:val="000000" w:themeColor="text1"/>
        </w:rPr>
        <w:t>, “</w:t>
      </w:r>
      <w:proofErr w:type="spellStart"/>
      <w:r w:rsidR="00681F35" w:rsidRPr="00705170">
        <w:rPr>
          <w:rFonts w:ascii="Times New Roman" w:hAnsi="Times New Roman" w:cs="Times New Roman"/>
          <w:color w:val="000000" w:themeColor="text1"/>
        </w:rPr>
        <w:t>never</w:t>
      </w:r>
      <w:proofErr w:type="spellEnd"/>
      <w:r w:rsidR="00681F35" w:rsidRPr="00705170">
        <w:rPr>
          <w:rFonts w:ascii="Times New Roman" w:hAnsi="Times New Roman" w:cs="Times New Roman"/>
          <w:color w:val="000000" w:themeColor="text1"/>
        </w:rPr>
        <w:t xml:space="preserve"> </w:t>
      </w:r>
      <w:proofErr w:type="spellStart"/>
      <w:r w:rsidR="00681F35" w:rsidRPr="00705170">
        <w:rPr>
          <w:rFonts w:ascii="Times New Roman" w:hAnsi="Times New Roman" w:cs="Times New Roman"/>
          <w:color w:val="000000" w:themeColor="text1"/>
        </w:rPr>
        <w:t>should</w:t>
      </w:r>
      <w:proofErr w:type="spellEnd"/>
      <w:r w:rsidR="00681F35" w:rsidRPr="00705170">
        <w:rPr>
          <w:rFonts w:ascii="Times New Roman" w:hAnsi="Times New Roman" w:cs="Times New Roman"/>
          <w:color w:val="000000" w:themeColor="text1"/>
        </w:rPr>
        <w:t xml:space="preserve"> </w:t>
      </w:r>
      <w:proofErr w:type="spellStart"/>
      <w:r w:rsidR="00681F35" w:rsidRPr="00705170">
        <w:rPr>
          <w:rFonts w:ascii="Times New Roman" w:hAnsi="Times New Roman" w:cs="Times New Roman"/>
          <w:color w:val="000000" w:themeColor="text1"/>
        </w:rPr>
        <w:t>the</w:t>
      </w:r>
      <w:proofErr w:type="spellEnd"/>
      <w:r w:rsidR="00681F35" w:rsidRPr="00705170">
        <w:rPr>
          <w:rFonts w:ascii="Times New Roman" w:hAnsi="Times New Roman" w:cs="Times New Roman"/>
          <w:color w:val="000000" w:themeColor="text1"/>
        </w:rPr>
        <w:t xml:space="preserve"> </w:t>
      </w:r>
      <w:proofErr w:type="spellStart"/>
      <w:r w:rsidR="00681F35" w:rsidRPr="00705170">
        <w:rPr>
          <w:rFonts w:ascii="Times New Roman" w:hAnsi="Times New Roman" w:cs="Times New Roman"/>
          <w:color w:val="000000" w:themeColor="text1"/>
        </w:rPr>
        <w:t>minority</w:t>
      </w:r>
      <w:proofErr w:type="spellEnd"/>
      <w:r w:rsidR="00681F35" w:rsidRPr="00705170">
        <w:rPr>
          <w:rFonts w:ascii="Times New Roman" w:hAnsi="Times New Roman" w:cs="Times New Roman"/>
          <w:color w:val="000000" w:themeColor="text1"/>
        </w:rPr>
        <w:t xml:space="preserve"> </w:t>
      </w:r>
      <w:proofErr w:type="spellStart"/>
      <w:r w:rsidR="00681F35" w:rsidRPr="00705170">
        <w:rPr>
          <w:rFonts w:ascii="Times New Roman" w:hAnsi="Times New Roman" w:cs="Times New Roman"/>
          <w:color w:val="000000" w:themeColor="text1"/>
        </w:rPr>
        <w:t>participant</w:t>
      </w:r>
      <w:proofErr w:type="spellEnd"/>
      <w:r w:rsidR="00681F35" w:rsidRPr="00705170">
        <w:rPr>
          <w:rFonts w:ascii="Times New Roman" w:hAnsi="Times New Roman" w:cs="Times New Roman"/>
          <w:color w:val="000000" w:themeColor="text1"/>
        </w:rPr>
        <w:t xml:space="preserve"> be </w:t>
      </w:r>
      <w:proofErr w:type="spellStart"/>
      <w:r w:rsidR="00681F35" w:rsidRPr="00705170">
        <w:rPr>
          <w:rFonts w:ascii="Times New Roman" w:hAnsi="Times New Roman" w:cs="Times New Roman"/>
          <w:color w:val="000000" w:themeColor="text1"/>
        </w:rPr>
        <w:t>understood</w:t>
      </w:r>
      <w:proofErr w:type="spellEnd"/>
      <w:r w:rsidR="00681F35" w:rsidRPr="00705170">
        <w:rPr>
          <w:rFonts w:ascii="Times New Roman" w:hAnsi="Times New Roman" w:cs="Times New Roman"/>
          <w:color w:val="000000" w:themeColor="text1"/>
        </w:rPr>
        <w:t xml:space="preserve"> as </w:t>
      </w:r>
      <w:proofErr w:type="spellStart"/>
      <w:r w:rsidR="00681F35" w:rsidRPr="00705170">
        <w:rPr>
          <w:rFonts w:ascii="Times New Roman" w:hAnsi="Times New Roman" w:cs="Times New Roman"/>
          <w:color w:val="000000" w:themeColor="text1"/>
        </w:rPr>
        <w:t>assenting</w:t>
      </w:r>
      <w:proofErr w:type="spellEnd"/>
      <w:r w:rsidR="00681F35" w:rsidRPr="00705170">
        <w:rPr>
          <w:rFonts w:ascii="Times New Roman" w:hAnsi="Times New Roman" w:cs="Times New Roman"/>
          <w:color w:val="000000" w:themeColor="text1"/>
        </w:rPr>
        <w:t xml:space="preserve"> </w:t>
      </w:r>
      <w:proofErr w:type="spellStart"/>
      <w:r w:rsidR="00681F35" w:rsidRPr="00705170">
        <w:rPr>
          <w:rFonts w:ascii="Times New Roman" w:hAnsi="Times New Roman" w:cs="Times New Roman"/>
          <w:color w:val="000000" w:themeColor="text1"/>
        </w:rPr>
        <w:t>to</w:t>
      </w:r>
      <w:proofErr w:type="spellEnd"/>
      <w:r w:rsidR="00681F35" w:rsidRPr="00705170">
        <w:rPr>
          <w:rFonts w:ascii="Times New Roman" w:hAnsi="Times New Roman" w:cs="Times New Roman"/>
          <w:color w:val="000000" w:themeColor="text1"/>
        </w:rPr>
        <w:t xml:space="preserve"> </w:t>
      </w:r>
      <w:proofErr w:type="spellStart"/>
      <w:r w:rsidR="00681F35" w:rsidRPr="00705170">
        <w:rPr>
          <w:rFonts w:ascii="Times New Roman" w:hAnsi="Times New Roman" w:cs="Times New Roman"/>
          <w:color w:val="000000" w:themeColor="text1"/>
        </w:rPr>
        <w:t>the</w:t>
      </w:r>
      <w:proofErr w:type="spellEnd"/>
      <w:r w:rsidR="00681F35" w:rsidRPr="00705170">
        <w:rPr>
          <w:rFonts w:ascii="Times New Roman" w:hAnsi="Times New Roman" w:cs="Times New Roman"/>
          <w:color w:val="000000" w:themeColor="text1"/>
        </w:rPr>
        <w:t xml:space="preserve"> </w:t>
      </w:r>
      <w:proofErr w:type="spellStart"/>
      <w:r w:rsidR="00681F35" w:rsidRPr="00705170">
        <w:rPr>
          <w:rFonts w:ascii="Times New Roman" w:hAnsi="Times New Roman" w:cs="Times New Roman"/>
          <w:color w:val="000000" w:themeColor="text1"/>
        </w:rPr>
        <w:t>effective</w:t>
      </w:r>
      <w:proofErr w:type="spellEnd"/>
      <w:r w:rsidR="00681F35" w:rsidRPr="00705170">
        <w:rPr>
          <w:rFonts w:ascii="Times New Roman" w:hAnsi="Times New Roman" w:cs="Times New Roman"/>
          <w:color w:val="000000" w:themeColor="text1"/>
        </w:rPr>
        <w:t xml:space="preserve"> </w:t>
      </w:r>
      <w:proofErr w:type="spellStart"/>
      <w:r w:rsidR="00681F35" w:rsidRPr="00705170">
        <w:rPr>
          <w:rFonts w:ascii="Times New Roman" w:hAnsi="Times New Roman" w:cs="Times New Roman"/>
          <w:color w:val="000000" w:themeColor="text1"/>
        </w:rPr>
        <w:t>confiscation</w:t>
      </w:r>
      <w:proofErr w:type="spellEnd"/>
      <w:r w:rsidR="00681F35" w:rsidRPr="00705170">
        <w:rPr>
          <w:rFonts w:ascii="Times New Roman" w:hAnsi="Times New Roman" w:cs="Times New Roman"/>
          <w:color w:val="000000" w:themeColor="text1"/>
        </w:rPr>
        <w:t xml:space="preserve"> of his </w:t>
      </w:r>
      <w:proofErr w:type="spellStart"/>
      <w:r w:rsidR="00681F35" w:rsidRPr="00705170">
        <w:rPr>
          <w:rFonts w:ascii="Times New Roman" w:hAnsi="Times New Roman" w:cs="Times New Roman"/>
          <w:color w:val="000000" w:themeColor="text1"/>
        </w:rPr>
        <w:t>or</w:t>
      </w:r>
      <w:proofErr w:type="spellEnd"/>
      <w:r w:rsidR="00681F35" w:rsidRPr="00705170">
        <w:rPr>
          <w:rFonts w:ascii="Times New Roman" w:hAnsi="Times New Roman" w:cs="Times New Roman"/>
          <w:color w:val="000000" w:themeColor="text1"/>
        </w:rPr>
        <w:t xml:space="preserve"> her </w:t>
      </w:r>
      <w:proofErr w:type="spellStart"/>
      <w:r w:rsidR="00681F35" w:rsidRPr="00705170">
        <w:rPr>
          <w:rFonts w:ascii="Times New Roman" w:hAnsi="Times New Roman" w:cs="Times New Roman"/>
          <w:color w:val="000000" w:themeColor="text1"/>
        </w:rPr>
        <w:t>investment</w:t>
      </w:r>
      <w:proofErr w:type="spellEnd"/>
      <w:r w:rsidR="00681F35" w:rsidRPr="00705170">
        <w:rPr>
          <w:rFonts w:ascii="Times New Roman" w:hAnsi="Times New Roman" w:cs="Times New Roman"/>
          <w:color w:val="000000" w:themeColor="text1"/>
        </w:rPr>
        <w:t>”</w:t>
      </w:r>
      <w:r w:rsidR="00A64553" w:rsidRPr="00705170">
        <w:rPr>
          <w:rStyle w:val="DipnotBavurusu"/>
          <w:rFonts w:ascii="Times New Roman" w:hAnsi="Times New Roman" w:cs="Times New Roman"/>
          <w:color w:val="000000" w:themeColor="text1"/>
        </w:rPr>
        <w:footnoteReference w:id="703"/>
      </w:r>
      <w:r w:rsidR="00170C40" w:rsidRPr="00705170">
        <w:rPr>
          <w:rFonts w:ascii="Times New Roman" w:hAnsi="Times New Roman" w:cs="Times New Roman"/>
          <w:color w:val="000000" w:themeColor="text1"/>
        </w:rPr>
        <w:t xml:space="preserve"> </w:t>
      </w:r>
      <w:proofErr w:type="spellStart"/>
      <w:r w:rsidR="00170C40" w:rsidRPr="00705170">
        <w:rPr>
          <w:rFonts w:ascii="Times New Roman" w:hAnsi="Times New Roman" w:cs="Times New Roman"/>
          <w:color w:val="000000" w:themeColor="text1"/>
        </w:rPr>
        <w:t>without</w:t>
      </w:r>
      <w:proofErr w:type="spellEnd"/>
      <w:r w:rsidR="00170C40" w:rsidRPr="00705170">
        <w:rPr>
          <w:rFonts w:ascii="Times New Roman" w:hAnsi="Times New Roman" w:cs="Times New Roman"/>
          <w:color w:val="000000" w:themeColor="text1"/>
        </w:rPr>
        <w:t xml:space="preserve"> </w:t>
      </w:r>
      <w:proofErr w:type="spellStart"/>
      <w:r w:rsidR="00170C40" w:rsidRPr="00705170">
        <w:rPr>
          <w:rFonts w:ascii="Times New Roman" w:hAnsi="Times New Roman" w:cs="Times New Roman"/>
          <w:color w:val="000000" w:themeColor="text1"/>
        </w:rPr>
        <w:t>any</w:t>
      </w:r>
      <w:proofErr w:type="spellEnd"/>
      <w:r w:rsidR="00170C40" w:rsidRPr="00705170">
        <w:rPr>
          <w:rFonts w:ascii="Times New Roman" w:hAnsi="Times New Roman" w:cs="Times New Roman"/>
          <w:color w:val="000000" w:themeColor="text1"/>
        </w:rPr>
        <w:t xml:space="preserve"> </w:t>
      </w:r>
      <w:proofErr w:type="spellStart"/>
      <w:r w:rsidR="00170C40" w:rsidRPr="00705170">
        <w:rPr>
          <w:rFonts w:ascii="Times New Roman" w:hAnsi="Times New Roman" w:cs="Times New Roman"/>
          <w:color w:val="000000" w:themeColor="text1"/>
        </w:rPr>
        <w:t>valid</w:t>
      </w:r>
      <w:proofErr w:type="spellEnd"/>
      <w:r w:rsidR="00170C40" w:rsidRPr="00705170">
        <w:rPr>
          <w:rFonts w:ascii="Times New Roman" w:hAnsi="Times New Roman" w:cs="Times New Roman"/>
          <w:color w:val="000000" w:themeColor="text1"/>
        </w:rPr>
        <w:t xml:space="preserve"> </w:t>
      </w:r>
      <w:proofErr w:type="spellStart"/>
      <w:r w:rsidR="00170C40" w:rsidRPr="00705170">
        <w:rPr>
          <w:rFonts w:ascii="Times New Roman" w:hAnsi="Times New Roman" w:cs="Times New Roman"/>
          <w:color w:val="000000" w:themeColor="text1"/>
        </w:rPr>
        <w:t>reason</w:t>
      </w:r>
      <w:proofErr w:type="spellEnd"/>
      <w:r w:rsidR="00170C40" w:rsidRPr="00705170">
        <w:rPr>
          <w:rStyle w:val="DipnotBavurusu"/>
          <w:rFonts w:ascii="Times New Roman" w:hAnsi="Times New Roman" w:cs="Times New Roman"/>
          <w:color w:val="000000" w:themeColor="text1"/>
        </w:rPr>
        <w:footnoteReference w:id="704"/>
      </w:r>
      <w:r w:rsidR="00170C40" w:rsidRPr="00705170">
        <w:rPr>
          <w:rFonts w:ascii="Times New Roman" w:hAnsi="Times New Roman" w:cs="Times New Roman"/>
          <w:color w:val="000000" w:themeColor="text1"/>
        </w:rPr>
        <w:t>.</w:t>
      </w:r>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In</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the</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abs</w:t>
      </w:r>
      <w:r w:rsidR="008275EA" w:rsidRPr="00705170">
        <w:rPr>
          <w:rFonts w:ascii="Times New Roman" w:hAnsi="Times New Roman" w:cs="Times New Roman"/>
          <w:color w:val="000000" w:themeColor="text1"/>
        </w:rPr>
        <w:t>e</w:t>
      </w:r>
      <w:r w:rsidR="005B24E1" w:rsidRPr="00705170">
        <w:rPr>
          <w:rFonts w:ascii="Times New Roman" w:hAnsi="Times New Roman" w:cs="Times New Roman"/>
          <w:color w:val="000000" w:themeColor="text1"/>
        </w:rPr>
        <w:t>nce</w:t>
      </w:r>
      <w:proofErr w:type="spellEnd"/>
      <w:r w:rsidR="005B24E1" w:rsidRPr="00705170">
        <w:rPr>
          <w:rFonts w:ascii="Times New Roman" w:hAnsi="Times New Roman" w:cs="Times New Roman"/>
          <w:color w:val="000000" w:themeColor="text1"/>
        </w:rPr>
        <w:t xml:space="preserve"> of </w:t>
      </w:r>
      <w:proofErr w:type="spellStart"/>
      <w:r w:rsidR="005B24E1" w:rsidRPr="00705170">
        <w:rPr>
          <w:rFonts w:ascii="Times New Roman" w:hAnsi="Times New Roman" w:cs="Times New Roman"/>
          <w:color w:val="000000" w:themeColor="text1"/>
        </w:rPr>
        <w:t>evidence</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indicating</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that</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the</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parties</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reached</w:t>
      </w:r>
      <w:proofErr w:type="spellEnd"/>
      <w:r w:rsidR="005B24E1" w:rsidRPr="00705170">
        <w:rPr>
          <w:rFonts w:ascii="Times New Roman" w:hAnsi="Times New Roman" w:cs="Times New Roman"/>
          <w:color w:val="000000" w:themeColor="text1"/>
        </w:rPr>
        <w:t xml:space="preserve"> a </w:t>
      </w:r>
      <w:proofErr w:type="spellStart"/>
      <w:r w:rsidR="005B24E1" w:rsidRPr="00705170">
        <w:rPr>
          <w:rFonts w:ascii="Times New Roman" w:hAnsi="Times New Roman" w:cs="Times New Roman"/>
          <w:color w:val="000000" w:themeColor="text1"/>
        </w:rPr>
        <w:t>consensus</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contrary</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to</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these</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understandings</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the</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majority’s</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violation</w:t>
      </w:r>
      <w:proofErr w:type="spellEnd"/>
      <w:r w:rsidR="005B24E1" w:rsidRPr="00705170">
        <w:rPr>
          <w:rFonts w:ascii="Times New Roman" w:hAnsi="Times New Roman" w:cs="Times New Roman"/>
          <w:color w:val="000000" w:themeColor="text1"/>
        </w:rPr>
        <w:t xml:space="preserve"> of </w:t>
      </w:r>
      <w:proofErr w:type="spellStart"/>
      <w:r w:rsidR="005B24E1" w:rsidRPr="00705170">
        <w:rPr>
          <w:rFonts w:ascii="Times New Roman" w:hAnsi="Times New Roman" w:cs="Times New Roman"/>
          <w:color w:val="000000" w:themeColor="text1"/>
        </w:rPr>
        <w:t>the</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hypothetical</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understanding</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should</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give</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rise</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to</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oppression</w:t>
      </w:r>
      <w:proofErr w:type="spellEnd"/>
      <w:r w:rsidR="005B24E1" w:rsidRPr="00705170">
        <w:rPr>
          <w:rFonts w:ascii="Times New Roman" w:hAnsi="Times New Roman" w:cs="Times New Roman"/>
          <w:color w:val="000000" w:themeColor="text1"/>
        </w:rPr>
        <w:t xml:space="preserve"> </w:t>
      </w:r>
      <w:proofErr w:type="spellStart"/>
      <w:r w:rsidR="005B24E1" w:rsidRPr="00705170">
        <w:rPr>
          <w:rFonts w:ascii="Times New Roman" w:hAnsi="Times New Roman" w:cs="Times New Roman"/>
          <w:color w:val="000000" w:themeColor="text1"/>
        </w:rPr>
        <w:t>liability</w:t>
      </w:r>
      <w:proofErr w:type="spellEnd"/>
      <w:r w:rsidR="005B24E1" w:rsidRPr="00705170">
        <w:rPr>
          <w:rFonts w:ascii="Times New Roman" w:hAnsi="Times New Roman" w:cs="Times New Roman"/>
          <w:color w:val="000000" w:themeColor="text1"/>
        </w:rPr>
        <w:t>”</w:t>
      </w:r>
      <w:r w:rsidR="005B24E1" w:rsidRPr="00705170">
        <w:rPr>
          <w:rStyle w:val="DipnotBavurusu"/>
          <w:rFonts w:ascii="Times New Roman" w:hAnsi="Times New Roman" w:cs="Times New Roman"/>
          <w:color w:val="000000" w:themeColor="text1"/>
        </w:rPr>
        <w:footnoteReference w:id="705"/>
      </w:r>
      <w:r w:rsidR="005B24E1" w:rsidRPr="00705170">
        <w:rPr>
          <w:rFonts w:ascii="Times New Roman" w:hAnsi="Times New Roman" w:cs="Times New Roman"/>
          <w:color w:val="000000" w:themeColor="text1"/>
        </w:rPr>
        <w:t>.</w:t>
      </w:r>
      <w:r w:rsidR="002A49DF" w:rsidRPr="00705170">
        <w:rPr>
          <w:rFonts w:ascii="Times New Roman" w:hAnsi="Times New Roman" w:cs="Times New Roman"/>
          <w:color w:val="000000" w:themeColor="text1"/>
        </w:rPr>
        <w:t xml:space="preserve"> </w:t>
      </w:r>
    </w:p>
    <w:p w14:paraId="4CE4F308" w14:textId="4B1FC03D" w:rsidR="0098065D" w:rsidRPr="00705170" w:rsidRDefault="004C2083" w:rsidP="004C2083">
      <w:pPr>
        <w:spacing w:after="240" w:line="480" w:lineRule="auto"/>
        <w:ind w:firstLine="720"/>
        <w:jc w:val="both"/>
        <w:rPr>
          <w:rFonts w:ascii="Times New Roman" w:hAnsi="Times New Roman" w:cs="Times New Roman"/>
          <w:color w:val="000000" w:themeColor="text1"/>
        </w:rPr>
      </w:pPr>
      <w:proofErr w:type="spellStart"/>
      <w:r w:rsidRPr="00705170">
        <w:rPr>
          <w:rFonts w:ascii="Times New Roman" w:hAnsi="Times New Roman" w:cs="Times New Roman"/>
          <w:color w:val="000000" w:themeColor="text1"/>
        </w:rPr>
        <w:t>T</w:t>
      </w:r>
      <w:r w:rsidR="002C10E5" w:rsidRPr="00705170">
        <w:rPr>
          <w:rFonts w:ascii="Times New Roman" w:hAnsi="Times New Roman" w:cs="Times New Roman"/>
          <w:color w:val="000000" w:themeColor="text1"/>
        </w:rPr>
        <w:t>he</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hypothetical</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bargain</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rhe</w:t>
      </w:r>
      <w:r w:rsidR="008B389E" w:rsidRPr="00705170">
        <w:rPr>
          <w:rFonts w:ascii="Times New Roman" w:hAnsi="Times New Roman" w:cs="Times New Roman"/>
          <w:color w:val="000000" w:themeColor="text1"/>
        </w:rPr>
        <w:t>toric</w:t>
      </w:r>
      <w:proofErr w:type="spellEnd"/>
      <w:r w:rsidR="008B389E"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requires</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the</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consideration</w:t>
      </w:r>
      <w:proofErr w:type="spellEnd"/>
      <w:r w:rsidR="002C10E5" w:rsidRPr="00705170">
        <w:rPr>
          <w:rFonts w:ascii="Times New Roman" w:hAnsi="Times New Roman" w:cs="Times New Roman"/>
          <w:color w:val="000000" w:themeColor="text1"/>
        </w:rPr>
        <w:t xml:space="preserve"> of </w:t>
      </w:r>
      <w:proofErr w:type="spellStart"/>
      <w:r w:rsidR="002C10E5" w:rsidRPr="00705170">
        <w:rPr>
          <w:rFonts w:ascii="Times New Roman" w:hAnsi="Times New Roman" w:cs="Times New Roman"/>
          <w:color w:val="000000" w:themeColor="text1"/>
        </w:rPr>
        <w:t>all</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sides</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expectations</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and</w:t>
      </w:r>
      <w:proofErr w:type="spellEnd"/>
      <w:r w:rsidR="002C10E5" w:rsidRPr="00705170">
        <w:rPr>
          <w:rFonts w:ascii="Times New Roman" w:hAnsi="Times New Roman" w:cs="Times New Roman"/>
          <w:color w:val="000000" w:themeColor="text1"/>
        </w:rPr>
        <w:t xml:space="preserve"> not </w:t>
      </w:r>
      <w:proofErr w:type="spellStart"/>
      <w:r w:rsidR="002C10E5" w:rsidRPr="00705170">
        <w:rPr>
          <w:rFonts w:ascii="Times New Roman" w:hAnsi="Times New Roman" w:cs="Times New Roman"/>
          <w:color w:val="000000" w:themeColor="text1"/>
        </w:rPr>
        <w:t>only</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the</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minorities</w:t>
      </w:r>
      <w:proofErr w:type="spellEnd"/>
      <w:r w:rsidR="002C10E5"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In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this</w:t>
      </w:r>
      <w:proofErr w:type="spellEnd"/>
      <w:r w:rsidRPr="00705170">
        <w:rPr>
          <w:rFonts w:ascii="Times New Roman" w:hAnsi="Times New Roman" w:cs="Times New Roman"/>
          <w:color w:val="000000" w:themeColor="text1"/>
        </w:rPr>
        <w:t xml:space="preserve"> sense,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court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must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also</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consider</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majority’s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expectation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regarding</w:t>
      </w:r>
      <w:proofErr w:type="spellEnd"/>
      <w:r w:rsidRPr="00705170">
        <w:rPr>
          <w:rFonts w:ascii="Times New Roman" w:hAnsi="Times New Roman" w:cs="Times New Roman"/>
          <w:color w:val="000000" w:themeColor="text1"/>
        </w:rPr>
        <w:t xml:space="preserve"> his </w:t>
      </w:r>
      <w:proofErr w:type="spellStart"/>
      <w:r w:rsidRPr="00705170">
        <w:rPr>
          <w:rFonts w:ascii="Times New Roman" w:hAnsi="Times New Roman" w:cs="Times New Roman"/>
          <w:color w:val="000000" w:themeColor="text1"/>
        </w:rPr>
        <w:t>right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to</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control</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business</w:t>
      </w:r>
      <w:proofErr w:type="spellEnd"/>
      <w:r w:rsidRPr="00705170">
        <w:rPr>
          <w:rStyle w:val="DipnotBavurusu"/>
          <w:rFonts w:ascii="Times New Roman" w:hAnsi="Times New Roman" w:cs="Times New Roman"/>
          <w:color w:val="000000" w:themeColor="text1"/>
        </w:rPr>
        <w:footnoteReference w:id="706"/>
      </w:r>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and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majority’s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legitimate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right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to</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make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business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lastRenderedPageBreak/>
        <w:t>decision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for</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corporation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to</w:t>
      </w:r>
      <w:proofErr w:type="spellEnd"/>
      <w:r w:rsidRPr="00705170">
        <w:rPr>
          <w:rFonts w:ascii="Times New Roman" w:hAnsi="Times New Roman" w:cs="Times New Roman"/>
          <w:color w:val="000000" w:themeColor="text1"/>
        </w:rPr>
        <w:t xml:space="preserve"> be </w:t>
      </w:r>
      <w:proofErr w:type="spellStart"/>
      <w:r w:rsidRPr="00705170">
        <w:rPr>
          <w:rFonts w:ascii="Times New Roman" w:hAnsi="Times New Roman" w:cs="Times New Roman"/>
          <w:color w:val="000000" w:themeColor="text1"/>
        </w:rPr>
        <w:t>balanced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against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minority’s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certain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interests</w:t>
      </w:r>
      <w:proofErr w:type="spellEnd"/>
      <w:r w:rsidRPr="00705170">
        <w:rPr>
          <w:rStyle w:val="DipnotBavurusu"/>
          <w:rFonts w:ascii="Times New Roman" w:hAnsi="Times New Roman" w:cs="Times New Roman"/>
          <w:color w:val="000000" w:themeColor="text1"/>
        </w:rPr>
        <w:footnoteReference w:id="707"/>
      </w:r>
      <w:r w:rsidRPr="00705170">
        <w:rPr>
          <w:rFonts w:ascii="Times New Roman" w:hAnsi="Times New Roman" w:cs="Times New Roman"/>
          <w:color w:val="000000" w:themeColor="text1"/>
        </w:rPr>
        <w:t xml:space="preserve">. </w:t>
      </w:r>
      <w:proofErr w:type="spellStart"/>
      <w:r w:rsidR="009F2AB5" w:rsidRPr="00705170">
        <w:rPr>
          <w:rFonts w:ascii="Times New Roman" w:hAnsi="Times New Roman" w:cs="Times New Roman"/>
          <w:color w:val="000000" w:themeColor="text1"/>
        </w:rPr>
        <w:t>However</w:t>
      </w:r>
      <w:proofErr w:type="spellEnd"/>
      <w:r w:rsidR="009F2AB5" w:rsidRPr="00705170">
        <w:rPr>
          <w:rFonts w:ascii="Times New Roman" w:hAnsi="Times New Roman" w:cs="Times New Roman"/>
          <w:color w:val="000000" w:themeColor="text1"/>
        </w:rPr>
        <w:t xml:space="preserve">, </w:t>
      </w:r>
      <w:proofErr w:type="spellStart"/>
      <w:r w:rsidR="009F2AB5" w:rsidRPr="00705170">
        <w:rPr>
          <w:rFonts w:ascii="Times New Roman" w:hAnsi="Times New Roman" w:cs="Times New Roman"/>
          <w:color w:val="000000" w:themeColor="text1"/>
        </w:rPr>
        <w:t>this</w:t>
      </w:r>
      <w:proofErr w:type="spellEnd"/>
      <w:r w:rsidR="009F2AB5" w:rsidRPr="00705170">
        <w:rPr>
          <w:rFonts w:ascii="Times New Roman" w:hAnsi="Times New Roman" w:cs="Times New Roman"/>
          <w:color w:val="000000" w:themeColor="text1"/>
        </w:rPr>
        <w:t xml:space="preserve"> “</w:t>
      </w:r>
      <w:proofErr w:type="spellStart"/>
      <w:r w:rsidR="009F2AB5" w:rsidRPr="00705170">
        <w:rPr>
          <w:rFonts w:ascii="Times New Roman" w:hAnsi="Times New Roman" w:cs="Times New Roman"/>
          <w:color w:val="000000" w:themeColor="text1"/>
        </w:rPr>
        <w:t>balancing</w:t>
      </w:r>
      <w:proofErr w:type="spellEnd"/>
      <w:r w:rsidR="009F2AB5" w:rsidRPr="00705170">
        <w:rPr>
          <w:rFonts w:ascii="Times New Roman" w:hAnsi="Times New Roman" w:cs="Times New Roman"/>
          <w:color w:val="000000" w:themeColor="text1"/>
        </w:rPr>
        <w:t xml:space="preserve">” </w:t>
      </w:r>
      <w:proofErr w:type="spellStart"/>
      <w:r w:rsidR="009F2AB5" w:rsidRPr="00705170">
        <w:rPr>
          <w:rFonts w:ascii="Times New Roman" w:hAnsi="Times New Roman" w:cs="Times New Roman"/>
          <w:color w:val="000000" w:themeColor="text1"/>
        </w:rPr>
        <w:t>does</w:t>
      </w:r>
      <w:proofErr w:type="spellEnd"/>
      <w:r w:rsidR="009F2AB5" w:rsidRPr="00705170">
        <w:rPr>
          <w:rFonts w:ascii="Times New Roman" w:hAnsi="Times New Roman" w:cs="Times New Roman"/>
          <w:color w:val="000000" w:themeColor="text1"/>
        </w:rPr>
        <w:t xml:space="preserve"> not </w:t>
      </w:r>
      <w:proofErr w:type="spellStart"/>
      <w:r w:rsidR="009F2AB5" w:rsidRPr="00705170">
        <w:rPr>
          <w:rFonts w:ascii="Times New Roman" w:hAnsi="Times New Roman" w:cs="Times New Roman"/>
          <w:color w:val="000000" w:themeColor="text1"/>
        </w:rPr>
        <w:t>require</w:t>
      </w:r>
      <w:proofErr w:type="spellEnd"/>
      <w:r w:rsidR="009F2AB5" w:rsidRPr="00705170">
        <w:rPr>
          <w:rFonts w:ascii="Times New Roman" w:hAnsi="Times New Roman" w:cs="Times New Roman"/>
          <w:color w:val="000000" w:themeColor="text1"/>
        </w:rPr>
        <w:t xml:space="preserve"> a </w:t>
      </w:r>
      <w:proofErr w:type="spellStart"/>
      <w:r w:rsidR="009F2AB5" w:rsidRPr="00705170">
        <w:rPr>
          <w:rFonts w:ascii="Times New Roman" w:hAnsi="Times New Roman" w:cs="Times New Roman"/>
          <w:color w:val="000000" w:themeColor="text1"/>
        </w:rPr>
        <w:t>reference</w:t>
      </w:r>
      <w:proofErr w:type="spellEnd"/>
      <w:r w:rsidR="009F2AB5" w:rsidRPr="00705170">
        <w:rPr>
          <w:rFonts w:ascii="Times New Roman" w:hAnsi="Times New Roman" w:cs="Times New Roman"/>
          <w:color w:val="000000" w:themeColor="text1"/>
        </w:rPr>
        <w:t xml:space="preserve"> </w:t>
      </w:r>
      <w:proofErr w:type="spellStart"/>
      <w:r w:rsidR="009F2AB5" w:rsidRPr="00705170">
        <w:rPr>
          <w:rFonts w:ascii="Times New Roman" w:hAnsi="Times New Roman" w:cs="Times New Roman"/>
          <w:color w:val="000000" w:themeColor="text1"/>
        </w:rPr>
        <w:t>to</w:t>
      </w:r>
      <w:proofErr w:type="spellEnd"/>
      <w:r w:rsidR="009F2AB5" w:rsidRPr="00705170">
        <w:rPr>
          <w:rFonts w:ascii="Times New Roman" w:hAnsi="Times New Roman" w:cs="Times New Roman"/>
          <w:color w:val="000000" w:themeColor="text1"/>
        </w:rPr>
        <w:t xml:space="preserve"> </w:t>
      </w:r>
      <w:proofErr w:type="spellStart"/>
      <w:r w:rsidR="009F2AB5" w:rsidRPr="00705170">
        <w:rPr>
          <w:rFonts w:ascii="Times New Roman" w:hAnsi="Times New Roman" w:cs="Times New Roman"/>
          <w:color w:val="000000" w:themeColor="text1"/>
        </w:rPr>
        <w:t>the</w:t>
      </w:r>
      <w:proofErr w:type="spellEnd"/>
      <w:r w:rsidR="009F2AB5" w:rsidRPr="00705170">
        <w:rPr>
          <w:rFonts w:ascii="Times New Roman" w:hAnsi="Times New Roman" w:cs="Times New Roman"/>
          <w:color w:val="000000" w:themeColor="text1"/>
        </w:rPr>
        <w:t xml:space="preserve"> </w:t>
      </w:r>
      <w:proofErr w:type="spellStart"/>
      <w:r w:rsidR="009F2AB5" w:rsidRPr="00705170">
        <w:rPr>
          <w:rFonts w:ascii="Times New Roman" w:hAnsi="Times New Roman" w:cs="Times New Roman"/>
          <w:color w:val="000000" w:themeColor="text1"/>
        </w:rPr>
        <w:t>business</w:t>
      </w:r>
      <w:proofErr w:type="spellEnd"/>
      <w:r w:rsidR="009F2AB5" w:rsidRPr="00705170">
        <w:rPr>
          <w:rFonts w:ascii="Times New Roman" w:hAnsi="Times New Roman" w:cs="Times New Roman"/>
          <w:color w:val="000000" w:themeColor="text1"/>
        </w:rPr>
        <w:t xml:space="preserve"> </w:t>
      </w:r>
      <w:proofErr w:type="spellStart"/>
      <w:r w:rsidR="009F2AB5" w:rsidRPr="00705170">
        <w:rPr>
          <w:rFonts w:ascii="Times New Roman" w:hAnsi="Times New Roman" w:cs="Times New Roman"/>
          <w:color w:val="000000" w:themeColor="text1"/>
        </w:rPr>
        <w:t>judgment</w:t>
      </w:r>
      <w:proofErr w:type="spellEnd"/>
      <w:r w:rsidR="009F2AB5" w:rsidRPr="00705170">
        <w:rPr>
          <w:rFonts w:ascii="Times New Roman" w:hAnsi="Times New Roman" w:cs="Times New Roman"/>
          <w:color w:val="000000" w:themeColor="text1"/>
        </w:rPr>
        <w:t xml:space="preserve"> </w:t>
      </w:r>
      <w:proofErr w:type="spellStart"/>
      <w:r w:rsidR="009F2AB5" w:rsidRPr="00705170">
        <w:rPr>
          <w:rFonts w:ascii="Times New Roman" w:hAnsi="Times New Roman" w:cs="Times New Roman"/>
          <w:color w:val="000000" w:themeColor="text1"/>
        </w:rPr>
        <w:t>rule</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which</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traditionally</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does</w:t>
      </w:r>
      <w:proofErr w:type="spellEnd"/>
      <w:r w:rsidR="00E4162B" w:rsidRPr="00705170">
        <w:rPr>
          <w:rFonts w:ascii="Times New Roman" w:hAnsi="Times New Roman" w:cs="Times New Roman"/>
          <w:color w:val="000000" w:themeColor="text1"/>
        </w:rPr>
        <w:t xml:space="preserve"> not </w:t>
      </w:r>
      <w:proofErr w:type="spellStart"/>
      <w:r w:rsidR="00E4162B" w:rsidRPr="00705170">
        <w:rPr>
          <w:rFonts w:ascii="Times New Roman" w:hAnsi="Times New Roman" w:cs="Times New Roman"/>
          <w:color w:val="000000" w:themeColor="text1"/>
        </w:rPr>
        <w:t>balance</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anything</w:t>
      </w:r>
      <w:proofErr w:type="spellEnd"/>
      <w:r w:rsidR="00E4162B" w:rsidRPr="00705170">
        <w:rPr>
          <w:rFonts w:ascii="Times New Roman" w:hAnsi="Times New Roman" w:cs="Times New Roman"/>
          <w:color w:val="000000" w:themeColor="text1"/>
        </w:rPr>
        <w:t xml:space="preserve">), but it </w:t>
      </w:r>
      <w:proofErr w:type="spellStart"/>
      <w:r w:rsidR="00E4162B" w:rsidRPr="00705170">
        <w:rPr>
          <w:rFonts w:ascii="Times New Roman" w:hAnsi="Times New Roman" w:cs="Times New Roman"/>
          <w:color w:val="000000" w:themeColor="text1"/>
        </w:rPr>
        <w:t>simply</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requires</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cour</w:t>
      </w:r>
      <w:r w:rsidR="001D6E93" w:rsidRPr="00705170">
        <w:rPr>
          <w:rFonts w:ascii="Times New Roman" w:hAnsi="Times New Roman" w:cs="Times New Roman"/>
          <w:color w:val="000000" w:themeColor="text1"/>
        </w:rPr>
        <w:t>t</w:t>
      </w:r>
      <w:r w:rsidR="00E4162B" w:rsidRPr="00705170">
        <w:rPr>
          <w:rFonts w:ascii="Times New Roman" w:hAnsi="Times New Roman" w:cs="Times New Roman"/>
          <w:color w:val="000000" w:themeColor="text1"/>
        </w:rPr>
        <w:t>s</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to</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base</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their</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analysis</w:t>
      </w:r>
      <w:proofErr w:type="spellEnd"/>
      <w:r w:rsidR="00E4162B" w:rsidRPr="00705170">
        <w:rPr>
          <w:rFonts w:ascii="Times New Roman" w:hAnsi="Times New Roman" w:cs="Times New Roman"/>
          <w:color w:val="000000" w:themeColor="text1"/>
        </w:rPr>
        <w:t xml:space="preserve"> not </w:t>
      </w:r>
      <w:proofErr w:type="spellStart"/>
      <w:r w:rsidR="00E4162B" w:rsidRPr="00705170">
        <w:rPr>
          <w:rFonts w:ascii="Times New Roman" w:hAnsi="Times New Roman" w:cs="Times New Roman"/>
          <w:color w:val="000000" w:themeColor="text1"/>
        </w:rPr>
        <w:t>solely</w:t>
      </w:r>
      <w:proofErr w:type="spellEnd"/>
      <w:r w:rsidR="00E4162B" w:rsidRPr="00705170">
        <w:rPr>
          <w:rFonts w:ascii="Times New Roman" w:hAnsi="Times New Roman" w:cs="Times New Roman"/>
          <w:color w:val="000000" w:themeColor="text1"/>
        </w:rPr>
        <w:t xml:space="preserve"> on an </w:t>
      </w:r>
      <w:proofErr w:type="spellStart"/>
      <w:r w:rsidR="00E4162B" w:rsidRPr="00705170">
        <w:rPr>
          <w:rFonts w:ascii="Times New Roman" w:hAnsi="Times New Roman" w:cs="Times New Roman"/>
          <w:color w:val="000000" w:themeColor="text1"/>
        </w:rPr>
        <w:t>inquiry</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into</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the</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petitioner’s</w:t>
      </w:r>
      <w:proofErr w:type="spellEnd"/>
      <w:r w:rsidR="00E4162B"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expectations</w:t>
      </w:r>
      <w:proofErr w:type="spellEnd"/>
      <w:r w:rsidR="00E4162B" w:rsidRPr="00705170">
        <w:rPr>
          <w:rStyle w:val="DipnotBavurusu"/>
          <w:rFonts w:ascii="Times New Roman" w:hAnsi="Times New Roman" w:cs="Times New Roman"/>
          <w:color w:val="000000" w:themeColor="text1"/>
        </w:rPr>
        <w:footnoteReference w:id="708"/>
      </w:r>
      <w:r w:rsidR="009300E6" w:rsidRPr="00705170">
        <w:rPr>
          <w:rFonts w:ascii="Times New Roman" w:hAnsi="Times New Roman" w:cs="Times New Roman"/>
          <w:color w:val="000000" w:themeColor="text1"/>
        </w:rPr>
        <w:t xml:space="preserve">. A </w:t>
      </w:r>
      <w:proofErr w:type="spellStart"/>
      <w:r w:rsidR="009300E6" w:rsidRPr="00705170">
        <w:rPr>
          <w:rFonts w:ascii="Times New Roman" w:hAnsi="Times New Roman" w:cs="Times New Roman"/>
          <w:color w:val="000000" w:themeColor="text1"/>
        </w:rPr>
        <w:t>court</w:t>
      </w:r>
      <w:proofErr w:type="spellEnd"/>
      <w:r w:rsidR="009300E6" w:rsidRPr="00705170">
        <w:rPr>
          <w:rFonts w:ascii="Times New Roman" w:hAnsi="Times New Roman" w:cs="Times New Roman"/>
          <w:color w:val="000000" w:themeColor="text1"/>
        </w:rPr>
        <w:t xml:space="preserve"> can </w:t>
      </w:r>
      <w:proofErr w:type="spellStart"/>
      <w:r w:rsidR="009300E6" w:rsidRPr="00705170">
        <w:rPr>
          <w:rFonts w:ascii="Times New Roman" w:hAnsi="Times New Roman" w:cs="Times New Roman"/>
          <w:color w:val="000000" w:themeColor="text1"/>
        </w:rPr>
        <w:t>reasonably</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determine</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that</w:t>
      </w:r>
      <w:proofErr w:type="spellEnd"/>
      <w:r w:rsidR="009300E6" w:rsidRPr="00705170">
        <w:rPr>
          <w:rFonts w:ascii="Times New Roman" w:hAnsi="Times New Roman" w:cs="Times New Roman"/>
          <w:color w:val="000000" w:themeColor="text1"/>
        </w:rPr>
        <w:t xml:space="preserve"> in a </w:t>
      </w:r>
      <w:proofErr w:type="spellStart"/>
      <w:r w:rsidR="009300E6" w:rsidRPr="00705170">
        <w:rPr>
          <w:rFonts w:ascii="Times New Roman" w:hAnsi="Times New Roman" w:cs="Times New Roman"/>
          <w:color w:val="000000" w:themeColor="text1"/>
        </w:rPr>
        <w:t>case</w:t>
      </w:r>
      <w:proofErr w:type="spellEnd"/>
      <w:r w:rsidR="009300E6" w:rsidRPr="00705170">
        <w:rPr>
          <w:rFonts w:ascii="Times New Roman" w:hAnsi="Times New Roman" w:cs="Times New Roman"/>
          <w:color w:val="000000" w:themeColor="text1"/>
        </w:rPr>
        <w:t xml:space="preserve"> in </w:t>
      </w:r>
      <w:proofErr w:type="spellStart"/>
      <w:r w:rsidR="009300E6" w:rsidRPr="00705170">
        <w:rPr>
          <w:rFonts w:ascii="Times New Roman" w:hAnsi="Times New Roman" w:cs="Times New Roman"/>
          <w:color w:val="000000" w:themeColor="text1"/>
        </w:rPr>
        <w:t>which</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the</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minority</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shareholder</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was</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aware</w:t>
      </w:r>
      <w:proofErr w:type="spellEnd"/>
      <w:r w:rsidR="009300E6" w:rsidRPr="00705170">
        <w:rPr>
          <w:rFonts w:ascii="Times New Roman" w:hAnsi="Times New Roman" w:cs="Times New Roman"/>
          <w:color w:val="000000" w:themeColor="text1"/>
        </w:rPr>
        <w:t xml:space="preserve"> of </w:t>
      </w:r>
      <w:proofErr w:type="spellStart"/>
      <w:r w:rsidR="009300E6" w:rsidRPr="00705170">
        <w:rPr>
          <w:rFonts w:ascii="Times New Roman" w:hAnsi="Times New Roman" w:cs="Times New Roman"/>
          <w:color w:val="000000" w:themeColor="text1"/>
        </w:rPr>
        <w:t>the</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misconduct</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and</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participated</w:t>
      </w:r>
      <w:proofErr w:type="spellEnd"/>
      <w:r w:rsidR="009300E6" w:rsidRPr="00705170">
        <w:rPr>
          <w:rFonts w:ascii="Times New Roman" w:hAnsi="Times New Roman" w:cs="Times New Roman"/>
          <w:color w:val="000000" w:themeColor="text1"/>
        </w:rPr>
        <w:t xml:space="preserve"> in it, </w:t>
      </w:r>
      <w:proofErr w:type="spellStart"/>
      <w:r w:rsidR="009300E6" w:rsidRPr="00705170">
        <w:rPr>
          <w:rFonts w:ascii="Times New Roman" w:hAnsi="Times New Roman" w:cs="Times New Roman"/>
          <w:color w:val="000000" w:themeColor="text1"/>
        </w:rPr>
        <w:t>unfairness</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would</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result</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if</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the</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minority</w:t>
      </w:r>
      <w:proofErr w:type="spellEnd"/>
      <w:r w:rsidR="009300E6" w:rsidRPr="00705170">
        <w:rPr>
          <w:rFonts w:ascii="Times New Roman" w:hAnsi="Times New Roman" w:cs="Times New Roman"/>
          <w:color w:val="000000" w:themeColor="text1"/>
        </w:rPr>
        <w:t xml:space="preserve"> is </w:t>
      </w:r>
      <w:proofErr w:type="spellStart"/>
      <w:r w:rsidR="009300E6" w:rsidRPr="00705170">
        <w:rPr>
          <w:rFonts w:ascii="Times New Roman" w:hAnsi="Times New Roman" w:cs="Times New Roman"/>
          <w:color w:val="000000" w:themeColor="text1"/>
        </w:rPr>
        <w:t>permitted</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to</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seek</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judicial</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intervention</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after</w:t>
      </w:r>
      <w:proofErr w:type="spellEnd"/>
      <w:r w:rsidR="009300E6" w:rsidRPr="00705170">
        <w:rPr>
          <w:rFonts w:ascii="Times New Roman" w:hAnsi="Times New Roman" w:cs="Times New Roman"/>
          <w:color w:val="000000" w:themeColor="text1"/>
        </w:rPr>
        <w:t xml:space="preserve"> ten </w:t>
      </w:r>
      <w:proofErr w:type="spellStart"/>
      <w:r w:rsidR="009300E6" w:rsidRPr="00705170">
        <w:rPr>
          <w:rFonts w:ascii="Times New Roman" w:hAnsi="Times New Roman" w:cs="Times New Roman"/>
          <w:color w:val="000000" w:themeColor="text1"/>
        </w:rPr>
        <w:t>years</w:t>
      </w:r>
      <w:proofErr w:type="spellEnd"/>
      <w:r w:rsidR="009300E6" w:rsidRPr="00705170">
        <w:rPr>
          <w:rFonts w:ascii="Times New Roman" w:hAnsi="Times New Roman" w:cs="Times New Roman"/>
          <w:color w:val="000000" w:themeColor="text1"/>
        </w:rPr>
        <w:t xml:space="preserve"> of </w:t>
      </w:r>
      <w:proofErr w:type="spellStart"/>
      <w:r w:rsidR="009300E6" w:rsidRPr="00705170">
        <w:rPr>
          <w:rFonts w:ascii="Times New Roman" w:hAnsi="Times New Roman" w:cs="Times New Roman"/>
          <w:color w:val="000000" w:themeColor="text1"/>
        </w:rPr>
        <w:t>acquiescence</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or</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participation</w:t>
      </w:r>
      <w:proofErr w:type="spellEnd"/>
      <w:r w:rsidR="009300E6" w:rsidRPr="00705170">
        <w:rPr>
          <w:rFonts w:ascii="Times New Roman" w:hAnsi="Times New Roman" w:cs="Times New Roman"/>
          <w:color w:val="000000" w:themeColor="text1"/>
        </w:rPr>
        <w:t xml:space="preserve"> in </w:t>
      </w:r>
      <w:proofErr w:type="spellStart"/>
      <w:r w:rsidR="009300E6" w:rsidRPr="00705170">
        <w:rPr>
          <w:rFonts w:ascii="Times New Roman" w:hAnsi="Times New Roman" w:cs="Times New Roman"/>
          <w:color w:val="000000" w:themeColor="text1"/>
        </w:rPr>
        <w:t>the</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alleged</w:t>
      </w:r>
      <w:proofErr w:type="spellEnd"/>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misconduct</w:t>
      </w:r>
      <w:proofErr w:type="spellEnd"/>
      <w:r w:rsidR="009300E6" w:rsidRPr="00705170">
        <w:rPr>
          <w:rStyle w:val="DipnotBavurusu"/>
          <w:rFonts w:ascii="Times New Roman" w:hAnsi="Times New Roman" w:cs="Times New Roman"/>
          <w:color w:val="000000" w:themeColor="text1"/>
        </w:rPr>
        <w:footnoteReference w:id="709"/>
      </w:r>
      <w:r w:rsidR="009300E6" w:rsidRPr="00705170">
        <w:rPr>
          <w:rFonts w:ascii="Times New Roman" w:hAnsi="Times New Roman" w:cs="Times New Roman"/>
          <w:color w:val="000000" w:themeColor="text1"/>
        </w:rPr>
        <w:t xml:space="preserve">. </w:t>
      </w:r>
      <w:proofErr w:type="spellStart"/>
      <w:r w:rsidR="009300E6" w:rsidRPr="00705170">
        <w:rPr>
          <w:rFonts w:ascii="Times New Roman" w:hAnsi="Times New Roman" w:cs="Times New Roman"/>
          <w:color w:val="000000" w:themeColor="text1"/>
        </w:rPr>
        <w:t>Likewise</w:t>
      </w:r>
      <w:proofErr w:type="spellEnd"/>
      <w:r w:rsidR="009300E6" w:rsidRPr="00705170">
        <w:rPr>
          <w:rFonts w:ascii="Times New Roman" w:hAnsi="Times New Roman" w:cs="Times New Roman"/>
          <w:color w:val="000000" w:themeColor="text1"/>
        </w:rPr>
        <w:t xml:space="preserve">, </w:t>
      </w:r>
      <w:proofErr w:type="spellStart"/>
      <w:r w:rsidR="00E4162B" w:rsidRPr="00705170">
        <w:rPr>
          <w:rFonts w:ascii="Times New Roman" w:hAnsi="Times New Roman" w:cs="Times New Roman"/>
          <w:color w:val="000000" w:themeColor="text1"/>
        </w:rPr>
        <w:t>t</w:t>
      </w:r>
      <w:r w:rsidRPr="00705170">
        <w:rPr>
          <w:rFonts w:ascii="Times New Roman" w:hAnsi="Times New Roman" w:cs="Times New Roman"/>
          <w:color w:val="000000" w:themeColor="text1"/>
        </w:rPr>
        <w: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side</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either</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the</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complaining</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shareholder</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or</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the</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oppressor</w:t>
      </w:r>
      <w:proofErr w:type="spellEnd"/>
      <w:r w:rsidR="00773F1F" w:rsidRPr="00705170">
        <w:rPr>
          <w:rFonts w:ascii="Times New Roman" w:hAnsi="Times New Roman" w:cs="Times New Roman"/>
          <w:color w:val="000000" w:themeColor="text1"/>
        </w:rPr>
        <w:t>)</w:t>
      </w:r>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who</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broke</w:t>
      </w:r>
      <w:proofErr w:type="spellEnd"/>
      <w:r w:rsidRPr="00705170">
        <w:rPr>
          <w:rFonts w:ascii="Times New Roman" w:hAnsi="Times New Roman" w:cs="Times New Roman"/>
          <w:color w:val="000000" w:themeColor="text1"/>
        </w:rPr>
        <w:t xml:space="preserve"> his </w:t>
      </w:r>
      <w:proofErr w:type="spellStart"/>
      <w:r w:rsidRPr="00705170">
        <w:rPr>
          <w:rFonts w:ascii="Times New Roman" w:hAnsi="Times New Roman" w:cs="Times New Roman"/>
          <w:color w:val="000000" w:themeColor="text1"/>
        </w:rPr>
        <w:t>promises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arising</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from</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understanding</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between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parties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will</w:t>
      </w:r>
      <w:proofErr w:type="spellEnd"/>
      <w:r w:rsidRPr="00705170">
        <w:rPr>
          <w:rFonts w:ascii="Times New Roman" w:hAnsi="Times New Roman" w:cs="Times New Roman"/>
          <w:color w:val="000000" w:themeColor="text1"/>
        </w:rPr>
        <w:t xml:space="preserve"> not be </w:t>
      </w:r>
      <w:proofErr w:type="spellStart"/>
      <w:r w:rsidRPr="00705170">
        <w:rPr>
          <w:rFonts w:ascii="Times New Roman" w:hAnsi="Times New Roman" w:cs="Times New Roman"/>
          <w:color w:val="000000" w:themeColor="text1"/>
        </w:rPr>
        <w:t>able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to</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enforce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promises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made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by</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other</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side</w:t>
      </w:r>
      <w:proofErr w:type="spellEnd"/>
      <w:r w:rsidRPr="00705170">
        <w:rPr>
          <w:rFonts w:ascii="Times New Roman" w:hAnsi="Times New Roman" w:cs="Times New Roman"/>
          <w:color w:val="000000" w:themeColor="text1"/>
        </w:rPr>
        <w:t xml:space="preserve"> of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agreement</w:t>
      </w:r>
      <w:proofErr w:type="spellEnd"/>
      <w:r w:rsidR="00773F1F" w:rsidRPr="00705170">
        <w:rPr>
          <w:rStyle w:val="DipnotBavurusu"/>
          <w:rFonts w:ascii="Times New Roman" w:hAnsi="Times New Roman" w:cs="Times New Roman"/>
          <w:color w:val="000000" w:themeColor="text1"/>
        </w:rPr>
        <w:footnoteReference w:id="710"/>
      </w:r>
      <w:r w:rsidRPr="00705170">
        <w:rPr>
          <w:rFonts w:ascii="Times New Roman" w:hAnsi="Times New Roman" w:cs="Times New Roman"/>
          <w:color w:val="000000" w:themeColor="text1"/>
        </w:rPr>
        <w:t xml:space="preserve">; </w:t>
      </w:r>
      <w:r w:rsidR="00773F1F" w:rsidRPr="00705170">
        <w:rPr>
          <w:rFonts w:ascii="Times New Roman" w:hAnsi="Times New Roman" w:cs="Times New Roman"/>
          <w:color w:val="000000" w:themeColor="text1"/>
        </w:rPr>
        <w:t xml:space="preserve">in </w:t>
      </w:r>
      <w:proofErr w:type="spellStart"/>
      <w:r w:rsidR="00773F1F" w:rsidRPr="00705170">
        <w:rPr>
          <w:rFonts w:ascii="Times New Roman" w:hAnsi="Times New Roman" w:cs="Times New Roman"/>
          <w:color w:val="000000" w:themeColor="text1"/>
        </w:rPr>
        <w:t>this</w:t>
      </w:r>
      <w:proofErr w:type="spellEnd"/>
      <w:r w:rsidR="00773F1F" w:rsidRPr="00705170">
        <w:rPr>
          <w:rFonts w:ascii="Times New Roman" w:hAnsi="Times New Roman" w:cs="Times New Roman"/>
          <w:color w:val="000000" w:themeColor="text1"/>
        </w:rPr>
        <w:t xml:space="preserve"> sense, </w:t>
      </w:r>
      <w:proofErr w:type="spellStart"/>
      <w:r w:rsidRPr="00705170">
        <w:rPr>
          <w:rFonts w:ascii="Times New Roman" w:hAnsi="Times New Roman" w:cs="Times New Roman"/>
          <w:color w:val="000000" w:themeColor="text1"/>
        </w:rPr>
        <w:t>satisfying</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expectations</w:t>
      </w:r>
      <w:proofErr w:type="spellEnd"/>
      <w:r w:rsidRPr="00705170">
        <w:rPr>
          <w:rFonts w:ascii="Times New Roman" w:hAnsi="Times New Roman" w:cs="Times New Roman"/>
          <w:color w:val="000000" w:themeColor="text1"/>
        </w:rPr>
        <w:t xml:space="preserve"> of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other</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party</w:t>
      </w:r>
      <w:proofErr w:type="spellEnd"/>
      <w:r w:rsidR="00E82AEC" w:rsidRPr="00705170">
        <w:rPr>
          <w:rFonts w:ascii="Times New Roman" w:hAnsi="Times New Roman" w:cs="Times New Roman"/>
          <w:color w:val="000000" w:themeColor="text1"/>
        </w:rPr>
        <w:t xml:space="preserve"> in a </w:t>
      </w:r>
      <w:proofErr w:type="spellStart"/>
      <w:r w:rsidR="00E82AEC" w:rsidRPr="00705170">
        <w:rPr>
          <w:rFonts w:ascii="Times New Roman" w:hAnsi="Times New Roman" w:cs="Times New Roman"/>
          <w:color w:val="000000" w:themeColor="text1"/>
        </w:rPr>
        <w:t>particular</w:t>
      </w:r>
      <w:proofErr w:type="spellEnd"/>
      <w:r w:rsidR="00E82AEC" w:rsidRPr="00705170">
        <w:rPr>
          <w:rFonts w:ascii="Times New Roman" w:hAnsi="Times New Roman" w:cs="Times New Roman"/>
          <w:color w:val="000000" w:themeColor="text1"/>
        </w:rPr>
        <w:t xml:space="preserve"> </w:t>
      </w:r>
      <w:proofErr w:type="spellStart"/>
      <w:r w:rsidR="00E82AEC" w:rsidRPr="00705170">
        <w:rPr>
          <w:rFonts w:ascii="Times New Roman" w:hAnsi="Times New Roman" w:cs="Times New Roman"/>
          <w:color w:val="000000" w:themeColor="text1"/>
        </w:rPr>
        <w:t>course</w:t>
      </w:r>
      <w:proofErr w:type="spellEnd"/>
      <w:r w:rsidR="00E82AEC" w:rsidRPr="00705170">
        <w:rPr>
          <w:rFonts w:ascii="Times New Roman" w:hAnsi="Times New Roman" w:cs="Times New Roman"/>
          <w:color w:val="000000" w:themeColor="text1"/>
        </w:rPr>
        <w:t xml:space="preserve"> of </w:t>
      </w:r>
      <w:proofErr w:type="spellStart"/>
      <w:r w:rsidR="00E82AEC" w:rsidRPr="00705170">
        <w:rPr>
          <w:rFonts w:ascii="Times New Roman" w:hAnsi="Times New Roman" w:cs="Times New Roman"/>
          <w:color w:val="000000" w:themeColor="text1"/>
        </w:rPr>
        <w:t>action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will</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give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party</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right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to</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have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its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own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expectations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entertained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In</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this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regards</w:t>
      </w:r>
      <w:proofErr w:type="spellEnd"/>
      <w:r w:rsidRPr="00705170">
        <w:rPr>
          <w:rFonts w:ascii="Times New Roman" w:hAnsi="Times New Roman" w:cs="Times New Roman"/>
          <w:color w:val="000000" w:themeColor="text1"/>
        </w:rPr>
        <w:t xml:space="preserve">, a </w:t>
      </w:r>
      <w:proofErr w:type="spellStart"/>
      <w:r w:rsidRPr="00705170">
        <w:rPr>
          <w:rFonts w:ascii="Times New Roman" w:hAnsi="Times New Roman" w:cs="Times New Roman"/>
          <w:color w:val="000000" w:themeColor="text1"/>
        </w:rPr>
        <w:t>majority</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shareholder’s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right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to</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control</w:t>
      </w:r>
      <w:proofErr w:type="spellEnd"/>
      <w:r w:rsidRPr="00705170">
        <w:rPr>
          <w:rFonts w:ascii="Times New Roman" w:hAnsi="Times New Roman" w:cs="Times New Roman"/>
          <w:color w:val="000000" w:themeColor="text1"/>
        </w:rPr>
        <w:t xml:space="preserve"> his </w:t>
      </w:r>
      <w:proofErr w:type="spellStart"/>
      <w:r w:rsidRPr="00705170">
        <w:rPr>
          <w:rFonts w:ascii="Times New Roman" w:hAnsi="Times New Roman" w:cs="Times New Roman"/>
          <w:color w:val="000000" w:themeColor="text1"/>
        </w:rPr>
        <w:t>business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will</w:t>
      </w:r>
      <w:proofErr w:type="spellEnd"/>
      <w:r w:rsidRPr="00705170">
        <w:rPr>
          <w:rFonts w:ascii="Times New Roman" w:hAnsi="Times New Roman" w:cs="Times New Roman"/>
          <w:color w:val="000000" w:themeColor="text1"/>
        </w:rPr>
        <w:t xml:space="preserve"> be </w:t>
      </w:r>
      <w:proofErr w:type="spellStart"/>
      <w:r w:rsidRPr="00705170">
        <w:rPr>
          <w:rFonts w:ascii="Times New Roman" w:hAnsi="Times New Roman" w:cs="Times New Roman"/>
          <w:color w:val="000000" w:themeColor="text1"/>
        </w:rPr>
        <w:t>kept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alive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so</w:t>
      </w:r>
      <w:proofErr w:type="spellEnd"/>
      <w:r w:rsidRPr="00705170">
        <w:rPr>
          <w:rFonts w:ascii="Times New Roman" w:hAnsi="Times New Roman" w:cs="Times New Roman"/>
          <w:color w:val="000000" w:themeColor="text1"/>
        </w:rPr>
        <w:t xml:space="preserve"> as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business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judgment</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rule</w:t>
      </w:r>
      <w:proofErr w:type="spellEnd"/>
      <w:r w:rsidRPr="00705170">
        <w:rPr>
          <w:rFonts w:ascii="Times New Roman" w:hAnsi="Times New Roman" w:cs="Times New Roman"/>
          <w:color w:val="000000" w:themeColor="text1"/>
        </w:rPr>
        <w:t xml:space="preserve">) as </w:t>
      </w:r>
      <w:proofErr w:type="spellStart"/>
      <w:r w:rsidRPr="00705170">
        <w:rPr>
          <w:rFonts w:ascii="Times New Roman" w:hAnsi="Times New Roman" w:cs="Times New Roman"/>
          <w:color w:val="000000" w:themeColor="text1"/>
        </w:rPr>
        <w:t>long</w:t>
      </w:r>
      <w:proofErr w:type="spellEnd"/>
      <w:r w:rsidRPr="00705170">
        <w:rPr>
          <w:rFonts w:ascii="Times New Roman" w:hAnsi="Times New Roman" w:cs="Times New Roman"/>
          <w:color w:val="000000" w:themeColor="text1"/>
        </w:rPr>
        <w:t xml:space="preserve"> as </w:t>
      </w:r>
      <w:r w:rsidR="00B65121" w:rsidRPr="00705170">
        <w:rPr>
          <w:rFonts w:ascii="Times New Roman" w:hAnsi="Times New Roman" w:cs="Times New Roman"/>
          <w:color w:val="000000" w:themeColor="text1"/>
        </w:rPr>
        <w:t xml:space="preserve">he </w:t>
      </w:r>
      <w:proofErr w:type="spellStart"/>
      <w:r w:rsidR="00B65121" w:rsidRPr="00705170">
        <w:rPr>
          <w:rFonts w:ascii="Times New Roman" w:hAnsi="Times New Roman" w:cs="Times New Roman"/>
          <w:color w:val="000000" w:themeColor="text1"/>
        </w:rPr>
        <w:t>looks</w:t>
      </w:r>
      <w:proofErr w:type="spellEnd"/>
      <w:r w:rsidR="00B65121" w:rsidRPr="00705170">
        <w:rPr>
          <w:rFonts w:ascii="Times New Roman" w:hAnsi="Times New Roman" w:cs="Times New Roman"/>
          <w:color w:val="000000" w:themeColor="text1"/>
        </w:rPr>
        <w:t xml:space="preserve"> </w:t>
      </w:r>
      <w:proofErr w:type="spellStart"/>
      <w:r w:rsidR="00B65121" w:rsidRPr="00705170">
        <w:rPr>
          <w:rFonts w:ascii="Times New Roman" w:hAnsi="Times New Roman" w:cs="Times New Roman"/>
          <w:color w:val="000000" w:themeColor="text1"/>
        </w:rPr>
        <w:t>after</w:t>
      </w:r>
      <w:proofErr w:type="spellEnd"/>
      <w:r w:rsidR="00B65121" w:rsidRPr="00705170">
        <w:rPr>
          <w:rFonts w:ascii="Times New Roman" w:hAnsi="Times New Roman" w:cs="Times New Roman"/>
          <w:color w:val="000000" w:themeColor="text1"/>
        </w:rPr>
        <w:t xml:space="preserve"> </w:t>
      </w:r>
      <w:proofErr w:type="spellStart"/>
      <w:r w:rsidR="00B65121" w:rsidRPr="00705170">
        <w:rPr>
          <w:rFonts w:ascii="Times New Roman" w:hAnsi="Times New Roman" w:cs="Times New Roman"/>
          <w:color w:val="000000" w:themeColor="text1"/>
        </w:rPr>
        <w:t>the</w:t>
      </w:r>
      <w:proofErr w:type="spellEnd"/>
      <w:r w:rsidR="00B65121" w:rsidRPr="00705170">
        <w:rPr>
          <w:rFonts w:ascii="Times New Roman" w:hAnsi="Times New Roman" w:cs="Times New Roman"/>
          <w:color w:val="000000" w:themeColor="text1"/>
        </w:rPr>
        <w:t xml:space="preserve"> </w:t>
      </w:r>
      <w:proofErr w:type="spellStart"/>
      <w:r w:rsidR="00B65121" w:rsidRPr="00705170">
        <w:rPr>
          <w:rFonts w:ascii="Times New Roman" w:hAnsi="Times New Roman" w:cs="Times New Roman"/>
          <w:color w:val="000000" w:themeColor="text1"/>
        </w:rPr>
        <w:t>minority’s</w:t>
      </w:r>
      <w:proofErr w:type="spellEnd"/>
      <w:r w:rsidR="00B65121" w:rsidRPr="00705170">
        <w:rPr>
          <w:rFonts w:ascii="Times New Roman" w:hAnsi="Times New Roman" w:cs="Times New Roman"/>
          <w:color w:val="000000" w:themeColor="text1"/>
        </w:rPr>
        <w:t xml:space="preserve"> </w:t>
      </w:r>
      <w:proofErr w:type="spellStart"/>
      <w:r w:rsidR="00B65121" w:rsidRPr="00705170">
        <w:rPr>
          <w:rFonts w:ascii="Times New Roman" w:hAnsi="Times New Roman" w:cs="Times New Roman"/>
          <w:color w:val="000000" w:themeColor="text1"/>
        </w:rPr>
        <w:t>expectations</w:t>
      </w:r>
      <w:proofErr w:type="spellEnd"/>
      <w:r w:rsidR="00B65121"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Accordingly</w:t>
      </w:r>
      <w:proofErr w:type="spellEnd"/>
      <w:r w:rsidR="002C10E5" w:rsidRPr="00705170">
        <w:rPr>
          <w:rFonts w:ascii="Times New Roman" w:hAnsi="Times New Roman" w:cs="Times New Roman"/>
          <w:color w:val="000000" w:themeColor="text1"/>
        </w:rPr>
        <w:t xml:space="preserve">, in </w:t>
      </w:r>
      <w:proofErr w:type="spellStart"/>
      <w:r w:rsidR="002C10E5" w:rsidRPr="00705170">
        <w:rPr>
          <w:rFonts w:ascii="Times New Roman" w:hAnsi="Times New Roman" w:cs="Times New Roman"/>
          <w:color w:val="000000" w:themeColor="text1"/>
        </w:rPr>
        <w:t>Gimpel</w:t>
      </w:r>
      <w:proofErr w:type="spellEnd"/>
      <w:r w:rsidR="002C10E5" w:rsidRPr="00705170">
        <w:rPr>
          <w:rFonts w:ascii="Times New Roman" w:hAnsi="Times New Roman" w:cs="Times New Roman"/>
          <w:color w:val="000000" w:themeColor="text1"/>
        </w:rPr>
        <w:t xml:space="preserve"> v. </w:t>
      </w:r>
      <w:proofErr w:type="spellStart"/>
      <w:r w:rsidR="002C10E5" w:rsidRPr="00705170">
        <w:rPr>
          <w:rFonts w:ascii="Times New Roman" w:hAnsi="Times New Roman" w:cs="Times New Roman"/>
          <w:color w:val="000000" w:themeColor="text1"/>
        </w:rPr>
        <w:t>Bolstein</w:t>
      </w:r>
      <w:proofErr w:type="spellEnd"/>
      <w:r w:rsidR="002C10E5" w:rsidRPr="00705170">
        <w:rPr>
          <w:rFonts w:ascii="Times New Roman" w:hAnsi="Times New Roman" w:cs="Times New Roman"/>
          <w:color w:val="000000" w:themeColor="text1"/>
        </w:rPr>
        <w:t xml:space="preserve"> 477 N.Y.S.2d 1014 (1984), </w:t>
      </w:r>
      <w:proofErr w:type="spellStart"/>
      <w:r w:rsidR="002C10E5" w:rsidRPr="00705170">
        <w:rPr>
          <w:rFonts w:ascii="Times New Roman" w:hAnsi="Times New Roman" w:cs="Times New Roman"/>
          <w:color w:val="000000" w:themeColor="text1"/>
        </w:rPr>
        <w:t>court</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underlined</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that</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the</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petitioner</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shareholder</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who</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frustrated</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the</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defendant</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shareholders</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reasonable</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expectations</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would</w:t>
      </w:r>
      <w:proofErr w:type="spellEnd"/>
      <w:r w:rsidR="002C10E5" w:rsidRPr="00705170">
        <w:rPr>
          <w:rFonts w:ascii="Times New Roman" w:hAnsi="Times New Roman" w:cs="Times New Roman"/>
          <w:color w:val="000000" w:themeColor="text1"/>
        </w:rPr>
        <w:t xml:space="preserve"> not be </w:t>
      </w:r>
      <w:proofErr w:type="spellStart"/>
      <w:r w:rsidR="002C10E5" w:rsidRPr="00705170">
        <w:rPr>
          <w:rFonts w:ascii="Times New Roman" w:hAnsi="Times New Roman" w:cs="Times New Roman"/>
          <w:color w:val="000000" w:themeColor="text1"/>
        </w:rPr>
        <w:t>able</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to</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have</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entertained</w:t>
      </w:r>
      <w:proofErr w:type="spellEnd"/>
      <w:r w:rsidR="002C10E5" w:rsidRPr="00705170">
        <w:rPr>
          <w:rFonts w:ascii="Times New Roman" w:hAnsi="Times New Roman" w:cs="Times New Roman"/>
          <w:color w:val="000000" w:themeColor="text1"/>
        </w:rPr>
        <w:t xml:space="preserve"> his </w:t>
      </w:r>
      <w:proofErr w:type="spellStart"/>
      <w:r w:rsidR="002C10E5" w:rsidRPr="00705170">
        <w:rPr>
          <w:rFonts w:ascii="Times New Roman" w:hAnsi="Times New Roman" w:cs="Times New Roman"/>
          <w:color w:val="000000" w:themeColor="text1"/>
        </w:rPr>
        <w:t>own</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reasonable</w:t>
      </w:r>
      <w:proofErr w:type="spellEnd"/>
      <w:r w:rsidR="002C10E5" w:rsidRPr="00705170">
        <w:rPr>
          <w:rFonts w:ascii="Times New Roman" w:hAnsi="Times New Roman" w:cs="Times New Roman"/>
          <w:color w:val="000000" w:themeColor="text1"/>
        </w:rPr>
        <w:t xml:space="preserve"> </w:t>
      </w:r>
      <w:proofErr w:type="spellStart"/>
      <w:r w:rsidR="002C10E5" w:rsidRPr="00705170">
        <w:rPr>
          <w:rFonts w:ascii="Times New Roman" w:hAnsi="Times New Roman" w:cs="Times New Roman"/>
          <w:color w:val="000000" w:themeColor="text1"/>
        </w:rPr>
        <w:t>expectations</w:t>
      </w:r>
      <w:proofErr w:type="spellEnd"/>
      <w:r w:rsidR="002C10E5" w:rsidRPr="00705170">
        <w:rPr>
          <w:rFonts w:ascii="Times New Roman" w:hAnsi="Times New Roman" w:cs="Times New Roman"/>
          <w:color w:val="000000" w:themeColor="text1"/>
        </w:rPr>
        <w:t xml:space="preserve"> as </w:t>
      </w:r>
      <w:proofErr w:type="spellStart"/>
      <w:r w:rsidR="002C10E5" w:rsidRPr="00705170">
        <w:rPr>
          <w:rFonts w:ascii="Times New Roman" w:hAnsi="Times New Roman" w:cs="Times New Roman"/>
          <w:color w:val="000000" w:themeColor="text1"/>
        </w:rPr>
        <w:t>follows</w:t>
      </w:r>
      <w:proofErr w:type="spellEnd"/>
      <w:r w:rsidR="002C10E5" w:rsidRPr="00705170">
        <w:rPr>
          <w:rFonts w:ascii="Times New Roman" w:hAnsi="Times New Roman" w:cs="Times New Roman"/>
          <w:color w:val="000000" w:themeColor="text1"/>
        </w:rPr>
        <w:t xml:space="preserve">: </w:t>
      </w:r>
      <w:r w:rsidR="002C10E5" w:rsidRPr="00705170">
        <w:rPr>
          <w:rFonts w:ascii="Times New Roman" w:hAnsi="Times New Roman" w:cs="Times New Roman"/>
          <w:color w:val="000000" w:themeColor="text1"/>
        </w:rPr>
        <w:lastRenderedPageBreak/>
        <w:t>“</w:t>
      </w:r>
      <w:proofErr w:type="spellStart"/>
      <w:r w:rsidR="002C10E5" w:rsidRPr="00705170">
        <w:rPr>
          <w:rFonts w:ascii="Times New Roman" w:hAnsi="Times New Roman" w:cs="Times New Roman"/>
          <w:color w:val="000000"/>
        </w:rPr>
        <w:t>Also</w:t>
      </w:r>
      <w:proofErr w:type="spellEnd"/>
      <w:r w:rsidR="002C10E5" w:rsidRPr="00705170">
        <w:rPr>
          <w:rFonts w:ascii="Times New Roman" w:hAnsi="Times New Roman" w:cs="Times New Roman"/>
          <w:color w:val="000000"/>
        </w:rPr>
        <w:t xml:space="preserve">, it </w:t>
      </w:r>
      <w:proofErr w:type="spellStart"/>
      <w:r w:rsidR="002C10E5" w:rsidRPr="00705170">
        <w:rPr>
          <w:rFonts w:ascii="Times New Roman" w:hAnsi="Times New Roman" w:cs="Times New Roman"/>
          <w:color w:val="000000"/>
        </w:rPr>
        <w:t>must</w:t>
      </w:r>
      <w:proofErr w:type="spellEnd"/>
      <w:r w:rsidR="002C10E5" w:rsidRPr="00705170">
        <w:rPr>
          <w:rFonts w:ascii="Times New Roman" w:hAnsi="Times New Roman" w:cs="Times New Roman"/>
          <w:color w:val="000000"/>
        </w:rPr>
        <w:t xml:space="preserve"> be </w:t>
      </w:r>
      <w:proofErr w:type="spellStart"/>
      <w:r w:rsidR="002C10E5" w:rsidRPr="00705170">
        <w:rPr>
          <w:rFonts w:ascii="Times New Roman" w:hAnsi="Times New Roman" w:cs="Times New Roman"/>
          <w:color w:val="000000"/>
        </w:rPr>
        <w:t>recognized</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that</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reasonable</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expectations</w:t>
      </w:r>
      <w:proofErr w:type="spellEnd"/>
      <w:r w:rsidR="002C10E5" w:rsidRPr="00705170">
        <w:rPr>
          <w:rFonts w:ascii="Times New Roman" w:hAnsi="Times New Roman" w:cs="Times New Roman"/>
          <w:color w:val="000000"/>
        </w:rPr>
        <w:t xml:space="preserve">” do not </w:t>
      </w:r>
      <w:proofErr w:type="spellStart"/>
      <w:r w:rsidR="002C10E5" w:rsidRPr="00705170">
        <w:rPr>
          <w:rFonts w:ascii="Times New Roman" w:hAnsi="Times New Roman" w:cs="Times New Roman"/>
          <w:color w:val="000000"/>
        </w:rPr>
        <w:t>run</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only</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one</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way</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To</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the</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extent</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that</w:t>
      </w:r>
      <w:proofErr w:type="spellEnd"/>
      <w:r w:rsidR="002C10E5" w:rsidRPr="00705170">
        <w:rPr>
          <w:rFonts w:ascii="Times New Roman" w:hAnsi="Times New Roman" w:cs="Times New Roman"/>
          <w:color w:val="000000"/>
        </w:rPr>
        <w:t xml:space="preserve"> Robert </w:t>
      </w:r>
      <w:proofErr w:type="spellStart"/>
      <w:r w:rsidR="002C10E5" w:rsidRPr="00705170">
        <w:rPr>
          <w:rFonts w:ascii="Times New Roman" w:hAnsi="Times New Roman" w:cs="Times New Roman"/>
          <w:color w:val="000000"/>
        </w:rPr>
        <w:t>may</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have</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entertained</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reasonable</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expectations</w:t>
      </w:r>
      <w:proofErr w:type="spellEnd"/>
      <w:r w:rsidR="002C10E5" w:rsidRPr="00705170">
        <w:rPr>
          <w:rFonts w:ascii="Times New Roman" w:hAnsi="Times New Roman" w:cs="Times New Roman"/>
          <w:color w:val="000000"/>
        </w:rPr>
        <w:t xml:space="preserve">” of </w:t>
      </w:r>
      <w:proofErr w:type="spellStart"/>
      <w:r w:rsidR="002C10E5" w:rsidRPr="00705170">
        <w:rPr>
          <w:rFonts w:ascii="Times New Roman" w:hAnsi="Times New Roman" w:cs="Times New Roman"/>
          <w:color w:val="000000"/>
        </w:rPr>
        <w:t>profit</w:t>
      </w:r>
      <w:proofErr w:type="spellEnd"/>
      <w:r w:rsidR="002C10E5" w:rsidRPr="00705170">
        <w:rPr>
          <w:rFonts w:ascii="Times New Roman" w:hAnsi="Times New Roman" w:cs="Times New Roman"/>
          <w:color w:val="000000"/>
        </w:rPr>
        <w:t xml:space="preserve"> in 1975, </w:t>
      </w:r>
      <w:proofErr w:type="spellStart"/>
      <w:r w:rsidR="002C10E5" w:rsidRPr="00705170">
        <w:rPr>
          <w:rFonts w:ascii="Times New Roman" w:hAnsi="Times New Roman" w:cs="Times New Roman"/>
          <w:color w:val="000000"/>
        </w:rPr>
        <w:t>the</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other</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shareholders</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also</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entertained</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reasonable</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expectations</w:t>
      </w:r>
      <w:proofErr w:type="spellEnd"/>
      <w:r w:rsidR="002C10E5" w:rsidRPr="00705170">
        <w:rPr>
          <w:rFonts w:ascii="Times New Roman" w:hAnsi="Times New Roman" w:cs="Times New Roman"/>
          <w:color w:val="000000"/>
        </w:rPr>
        <w:t xml:space="preserve">” of </w:t>
      </w:r>
      <w:proofErr w:type="spellStart"/>
      <w:r w:rsidR="002C10E5" w:rsidRPr="00705170">
        <w:rPr>
          <w:rFonts w:ascii="Times New Roman" w:hAnsi="Times New Roman" w:cs="Times New Roman"/>
          <w:color w:val="000000"/>
        </w:rPr>
        <w:t>fidelity</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and</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honesty</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from</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him</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All</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such</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expectations</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were</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shattered</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when</w:t>
      </w:r>
      <w:proofErr w:type="spellEnd"/>
      <w:r w:rsidR="002C10E5" w:rsidRPr="00705170">
        <w:rPr>
          <w:rFonts w:ascii="Times New Roman" w:hAnsi="Times New Roman" w:cs="Times New Roman"/>
          <w:color w:val="000000"/>
        </w:rPr>
        <w:t xml:space="preserve"> Robert </w:t>
      </w:r>
      <w:proofErr w:type="spellStart"/>
      <w:r w:rsidR="002C10E5" w:rsidRPr="00705170">
        <w:rPr>
          <w:rFonts w:ascii="Times New Roman" w:hAnsi="Times New Roman" w:cs="Times New Roman"/>
          <w:color w:val="000000"/>
        </w:rPr>
        <w:t>stole</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from</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the</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corporation</w:t>
      </w:r>
      <w:proofErr w:type="spellEnd"/>
      <w:r w:rsidR="002C10E5" w:rsidRPr="00705170">
        <w:rPr>
          <w:rFonts w:ascii="Times New Roman" w:hAnsi="Times New Roman" w:cs="Times New Roman"/>
          <w:color w:val="000000"/>
        </w:rPr>
        <w:t xml:space="preserve">. His </w:t>
      </w:r>
      <w:proofErr w:type="spellStart"/>
      <w:r w:rsidR="002C10E5" w:rsidRPr="00705170">
        <w:rPr>
          <w:rFonts w:ascii="Times New Roman" w:hAnsi="Times New Roman" w:cs="Times New Roman"/>
          <w:color w:val="000000"/>
        </w:rPr>
        <w:t>own</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acts</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broke</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all</w:t>
      </w:r>
      <w:proofErr w:type="spellEnd"/>
      <w:r w:rsidR="002C10E5" w:rsidRPr="00705170">
        <w:rPr>
          <w:rFonts w:ascii="Times New Roman" w:hAnsi="Times New Roman" w:cs="Times New Roman"/>
          <w:color w:val="000000"/>
        </w:rPr>
        <w:t xml:space="preserve"> </w:t>
      </w:r>
      <w:proofErr w:type="spellStart"/>
      <w:r w:rsidR="002C10E5" w:rsidRPr="00705170">
        <w:rPr>
          <w:rFonts w:ascii="Times New Roman" w:hAnsi="Times New Roman" w:cs="Times New Roman"/>
          <w:color w:val="000000"/>
        </w:rPr>
        <w:t>bargains</w:t>
      </w:r>
      <w:proofErr w:type="spellEnd"/>
      <w:r w:rsidR="002C10E5" w:rsidRPr="00705170">
        <w:rPr>
          <w:rFonts w:ascii="Times New Roman" w:hAnsi="Times New Roman" w:cs="Times New Roman"/>
          <w:color w:val="000000" w:themeColor="text1"/>
        </w:rPr>
        <w:t>.”</w:t>
      </w:r>
      <w:r w:rsidRPr="00705170">
        <w:rPr>
          <w:rFonts w:ascii="Times New Roman" w:hAnsi="Times New Roman" w:cs="Times New Roman"/>
          <w:color w:val="000000" w:themeColor="text1"/>
        </w:rPr>
        <w:t xml:space="preserve"> </w:t>
      </w:r>
    </w:p>
    <w:p w14:paraId="0CA7E1E6" w14:textId="70B404B0" w:rsidR="00611CB9" w:rsidRPr="00705170" w:rsidRDefault="0098065D" w:rsidP="00D62F1C">
      <w:pPr>
        <w:spacing w:after="240" w:line="480" w:lineRule="auto"/>
        <w:ind w:firstLine="720"/>
        <w:jc w:val="both"/>
        <w:rPr>
          <w:rFonts w:ascii="Times New Roman" w:hAnsi="Times New Roman" w:cs="Times New Roman"/>
          <w:color w:val="000000" w:themeColor="text1"/>
        </w:rPr>
      </w:pPr>
      <w:r w:rsidRPr="00705170">
        <w:rPr>
          <w:rFonts w:ascii="Times New Roman" w:hAnsi="Times New Roman" w:cs="Times New Roman"/>
          <w:color w:val="000000" w:themeColor="text1"/>
        </w:rPr>
        <w:t xml:space="preserve">A </w:t>
      </w:r>
      <w:proofErr w:type="spellStart"/>
      <w:r w:rsidRPr="00705170">
        <w:rPr>
          <w:rFonts w:ascii="Times New Roman" w:hAnsi="Times New Roman" w:cs="Times New Roman"/>
          <w:color w:val="000000" w:themeColor="text1"/>
        </w:rPr>
        <w:t>third</w:t>
      </w:r>
      <w:proofErr w:type="spellEnd"/>
      <w:r w:rsidR="00C93961"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trait</w:t>
      </w:r>
      <w:proofErr w:type="spellEnd"/>
      <w:r w:rsidR="00C93961" w:rsidRPr="00705170">
        <w:rPr>
          <w:rFonts w:ascii="Times New Roman" w:hAnsi="Times New Roman" w:cs="Times New Roman"/>
          <w:color w:val="000000" w:themeColor="text1"/>
        </w:rPr>
        <w:t xml:space="preserve"> of </w:t>
      </w:r>
      <w:proofErr w:type="spellStart"/>
      <w:r w:rsidR="00C93961" w:rsidRPr="00705170">
        <w:rPr>
          <w:rFonts w:ascii="Times New Roman" w:hAnsi="Times New Roman" w:cs="Times New Roman"/>
          <w:color w:val="000000" w:themeColor="text1"/>
        </w:rPr>
        <w:t>the</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standard</w:t>
      </w:r>
      <w:proofErr w:type="spellEnd"/>
      <w:r w:rsidR="00C93961" w:rsidRPr="00705170">
        <w:rPr>
          <w:rFonts w:ascii="Times New Roman" w:hAnsi="Times New Roman" w:cs="Times New Roman"/>
          <w:color w:val="000000" w:themeColor="text1"/>
        </w:rPr>
        <w:t xml:space="preserve"> is </w:t>
      </w:r>
      <w:proofErr w:type="spellStart"/>
      <w:r w:rsidR="00C93961" w:rsidRPr="00705170">
        <w:rPr>
          <w:rFonts w:ascii="Times New Roman" w:hAnsi="Times New Roman" w:cs="Times New Roman"/>
          <w:color w:val="000000" w:themeColor="text1"/>
        </w:rPr>
        <w:t>that</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for</w:t>
      </w:r>
      <w:proofErr w:type="spellEnd"/>
      <w:r w:rsidR="00C93961" w:rsidRPr="00705170">
        <w:rPr>
          <w:rFonts w:ascii="Times New Roman" w:hAnsi="Times New Roman" w:cs="Times New Roman"/>
          <w:color w:val="000000" w:themeColor="text1"/>
        </w:rPr>
        <w:t xml:space="preserve"> a </w:t>
      </w:r>
      <w:proofErr w:type="spellStart"/>
      <w:r w:rsidR="00C93961" w:rsidRPr="00705170">
        <w:rPr>
          <w:rFonts w:ascii="Times New Roman" w:hAnsi="Times New Roman" w:cs="Times New Roman"/>
          <w:color w:val="000000" w:themeColor="text1"/>
        </w:rPr>
        <w:t>relief</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to</w:t>
      </w:r>
      <w:proofErr w:type="spellEnd"/>
      <w:r w:rsidR="00C93961" w:rsidRPr="00705170">
        <w:rPr>
          <w:rFonts w:ascii="Times New Roman" w:hAnsi="Times New Roman" w:cs="Times New Roman"/>
          <w:color w:val="000000" w:themeColor="text1"/>
        </w:rPr>
        <w:t xml:space="preserve"> be </w:t>
      </w:r>
      <w:proofErr w:type="spellStart"/>
      <w:r w:rsidR="00C93961" w:rsidRPr="00705170">
        <w:rPr>
          <w:rFonts w:ascii="Times New Roman" w:hAnsi="Times New Roman" w:cs="Times New Roman"/>
          <w:color w:val="000000" w:themeColor="text1"/>
        </w:rPr>
        <w:t>available</w:t>
      </w:r>
      <w:proofErr w:type="spellEnd"/>
      <w:r w:rsidR="00C93961" w:rsidRPr="00705170">
        <w:rPr>
          <w:rFonts w:ascii="Times New Roman" w:hAnsi="Times New Roman" w:cs="Times New Roman"/>
          <w:color w:val="000000" w:themeColor="text1"/>
        </w:rPr>
        <w:t xml:space="preserve">, it has </w:t>
      </w:r>
      <w:proofErr w:type="spellStart"/>
      <w:r w:rsidR="00C93961" w:rsidRPr="00705170">
        <w:rPr>
          <w:rFonts w:ascii="Times New Roman" w:hAnsi="Times New Roman" w:cs="Times New Roman"/>
          <w:color w:val="000000" w:themeColor="text1"/>
        </w:rPr>
        <w:t>to</w:t>
      </w:r>
      <w:proofErr w:type="spellEnd"/>
      <w:r w:rsidR="00C93961" w:rsidRPr="00705170">
        <w:rPr>
          <w:rFonts w:ascii="Times New Roman" w:hAnsi="Times New Roman" w:cs="Times New Roman"/>
          <w:color w:val="000000" w:themeColor="text1"/>
        </w:rPr>
        <w:t xml:space="preserve"> be “</w:t>
      </w:r>
      <w:proofErr w:type="spellStart"/>
      <w:r w:rsidR="00C93961" w:rsidRPr="00705170">
        <w:rPr>
          <w:rFonts w:ascii="Times New Roman" w:hAnsi="Times New Roman" w:cs="Times New Roman"/>
          <w:color w:val="000000" w:themeColor="text1"/>
        </w:rPr>
        <w:t>frustrated</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or</w:t>
      </w:r>
      <w:proofErr w:type="spellEnd"/>
      <w:r w:rsidR="00C93961" w:rsidRPr="00705170">
        <w:rPr>
          <w:rFonts w:ascii="Times New Roman" w:hAnsi="Times New Roman" w:cs="Times New Roman"/>
          <w:color w:val="000000" w:themeColor="text1"/>
        </w:rPr>
        <w:t xml:space="preserve"> in </w:t>
      </w:r>
      <w:proofErr w:type="spellStart"/>
      <w:r w:rsidR="00C93961" w:rsidRPr="00705170">
        <w:rPr>
          <w:rFonts w:ascii="Times New Roman" w:hAnsi="Times New Roman" w:cs="Times New Roman"/>
          <w:color w:val="000000" w:themeColor="text1"/>
        </w:rPr>
        <w:t>other</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words</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the</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allegedly</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oppresive</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conduct</w:t>
      </w:r>
      <w:proofErr w:type="spellEnd"/>
      <w:r w:rsidR="00C93961" w:rsidRPr="00705170">
        <w:rPr>
          <w:rFonts w:ascii="Times New Roman" w:hAnsi="Times New Roman" w:cs="Times New Roman"/>
          <w:color w:val="000000" w:themeColor="text1"/>
        </w:rPr>
        <w:t xml:space="preserve"> has </w:t>
      </w:r>
      <w:proofErr w:type="spellStart"/>
      <w:r w:rsidR="00C93961" w:rsidRPr="00705170">
        <w:rPr>
          <w:rFonts w:ascii="Times New Roman" w:hAnsi="Times New Roman" w:cs="Times New Roman"/>
          <w:color w:val="000000" w:themeColor="text1"/>
        </w:rPr>
        <w:t>to</w:t>
      </w:r>
      <w:proofErr w:type="spellEnd"/>
      <w:r w:rsidR="00C93961" w:rsidRPr="00705170">
        <w:rPr>
          <w:rFonts w:ascii="Times New Roman" w:hAnsi="Times New Roman" w:cs="Times New Roman"/>
          <w:color w:val="000000" w:themeColor="text1"/>
        </w:rPr>
        <w:t xml:space="preserve"> be </w:t>
      </w:r>
      <w:proofErr w:type="spellStart"/>
      <w:r w:rsidR="00C93961" w:rsidRPr="00705170">
        <w:rPr>
          <w:rFonts w:ascii="Times New Roman" w:hAnsi="Times New Roman" w:cs="Times New Roman"/>
          <w:color w:val="000000" w:themeColor="text1"/>
        </w:rPr>
        <w:t>one</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that</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frustrates</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the</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reasonable</w:t>
      </w:r>
      <w:proofErr w:type="spellEnd"/>
      <w:r w:rsidR="00C93961" w:rsidRPr="00705170">
        <w:rPr>
          <w:rFonts w:ascii="Times New Roman" w:hAnsi="Times New Roman" w:cs="Times New Roman"/>
          <w:color w:val="000000" w:themeColor="text1"/>
        </w:rPr>
        <w:t xml:space="preserve"> </w:t>
      </w:r>
      <w:proofErr w:type="spellStart"/>
      <w:r w:rsidR="00C93961" w:rsidRPr="00705170">
        <w:rPr>
          <w:rFonts w:ascii="Times New Roman" w:hAnsi="Times New Roman" w:cs="Times New Roman"/>
          <w:color w:val="000000" w:themeColor="text1"/>
        </w:rPr>
        <w:t>expectations</w:t>
      </w:r>
      <w:proofErr w:type="spellEnd"/>
      <w:r w:rsidR="00F835A9" w:rsidRPr="00705170">
        <w:rPr>
          <w:rStyle w:val="DipnotBavurusu"/>
          <w:rFonts w:ascii="Times New Roman" w:hAnsi="Times New Roman" w:cs="Times New Roman"/>
          <w:color w:val="000000" w:themeColor="text1"/>
        </w:rPr>
        <w:footnoteReference w:id="711"/>
      </w:r>
      <w:r w:rsidR="00D179B4"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In</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Brenner</w:t>
      </w:r>
      <w:proofErr w:type="spellEnd"/>
      <w:r w:rsidR="00757411" w:rsidRPr="00705170">
        <w:rPr>
          <w:rFonts w:ascii="Times New Roman" w:hAnsi="Times New Roman" w:cs="Times New Roman"/>
          <w:color w:val="000000" w:themeColor="text1"/>
        </w:rPr>
        <w:t xml:space="preserve"> v. </w:t>
      </w:r>
      <w:proofErr w:type="spellStart"/>
      <w:r w:rsidR="00757411" w:rsidRPr="00705170">
        <w:rPr>
          <w:rFonts w:ascii="Times New Roman" w:hAnsi="Times New Roman" w:cs="Times New Roman"/>
          <w:color w:val="000000" w:themeColor="text1"/>
        </w:rPr>
        <w:t>Berkowitz</w:t>
      </w:r>
      <w:proofErr w:type="spellEnd"/>
      <w:r w:rsidR="00757411" w:rsidRPr="00705170">
        <w:rPr>
          <w:rFonts w:ascii="Times New Roman" w:hAnsi="Times New Roman" w:cs="Times New Roman"/>
          <w:color w:val="000000" w:themeColor="text1"/>
        </w:rPr>
        <w:t xml:space="preserve">, 134 N.J. 488 (1993), </w:t>
      </w:r>
      <w:proofErr w:type="spellStart"/>
      <w:r w:rsidR="00757411" w:rsidRPr="00705170">
        <w:rPr>
          <w:rFonts w:ascii="Times New Roman" w:hAnsi="Times New Roman" w:cs="Times New Roman"/>
          <w:color w:val="000000" w:themeColor="text1"/>
        </w:rPr>
        <w:t>the</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court</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stated</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that</w:t>
      </w:r>
      <w:proofErr w:type="spellEnd"/>
      <w:r w:rsidR="00757411" w:rsidRPr="00705170">
        <w:rPr>
          <w:rFonts w:ascii="Times New Roman" w:hAnsi="Times New Roman" w:cs="Times New Roman"/>
          <w:color w:val="000000" w:themeColor="text1"/>
        </w:rPr>
        <w:t xml:space="preserve"> “a </w:t>
      </w:r>
      <w:proofErr w:type="spellStart"/>
      <w:r w:rsidR="00757411" w:rsidRPr="00705170">
        <w:rPr>
          <w:rFonts w:ascii="Times New Roman" w:hAnsi="Times New Roman" w:cs="Times New Roman"/>
          <w:color w:val="000000" w:themeColor="text1"/>
        </w:rPr>
        <w:t>court</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should</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consider</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the</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seriousness</w:t>
      </w:r>
      <w:proofErr w:type="spellEnd"/>
      <w:r w:rsidR="00757411" w:rsidRPr="00705170">
        <w:rPr>
          <w:rFonts w:ascii="Times New Roman" w:hAnsi="Times New Roman" w:cs="Times New Roman"/>
          <w:color w:val="000000" w:themeColor="text1"/>
        </w:rPr>
        <w:t xml:space="preserve"> of </w:t>
      </w:r>
      <w:proofErr w:type="spellStart"/>
      <w:r w:rsidR="00757411" w:rsidRPr="00705170">
        <w:rPr>
          <w:rFonts w:ascii="Times New Roman" w:hAnsi="Times New Roman" w:cs="Times New Roman"/>
          <w:color w:val="000000" w:themeColor="text1"/>
        </w:rPr>
        <w:t>the</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violation</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and</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whether</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the</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misconduct</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places</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the</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minority</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shareholder’s</w:t>
      </w:r>
      <w:proofErr w:type="spellEnd"/>
      <w:r w:rsidR="00757411" w:rsidRPr="00705170">
        <w:rPr>
          <w:rFonts w:ascii="Times New Roman" w:hAnsi="Times New Roman" w:cs="Times New Roman"/>
          <w:color w:val="000000" w:themeColor="text1"/>
        </w:rPr>
        <w:t xml:space="preserve"> </w:t>
      </w:r>
      <w:proofErr w:type="spellStart"/>
      <w:r w:rsidR="00757411" w:rsidRPr="00705170">
        <w:rPr>
          <w:rFonts w:ascii="Times New Roman" w:hAnsi="Times New Roman" w:cs="Times New Roman"/>
          <w:color w:val="000000" w:themeColor="text1"/>
        </w:rPr>
        <w:t>investment</w:t>
      </w:r>
      <w:proofErr w:type="spellEnd"/>
      <w:r w:rsidR="00757411" w:rsidRPr="00705170">
        <w:rPr>
          <w:rFonts w:ascii="Times New Roman" w:hAnsi="Times New Roman" w:cs="Times New Roman"/>
          <w:color w:val="000000" w:themeColor="text1"/>
        </w:rPr>
        <w:t xml:space="preserve"> at risk”. </w:t>
      </w:r>
      <w:proofErr w:type="spellStart"/>
      <w:r w:rsidR="00A46F9A" w:rsidRPr="00705170">
        <w:rPr>
          <w:rFonts w:ascii="Times New Roman" w:hAnsi="Times New Roman" w:cs="Times New Roman"/>
          <w:color w:val="000000" w:themeColor="text1"/>
        </w:rPr>
        <w:t>I</w:t>
      </w:r>
      <w:r w:rsidR="00D179B4" w:rsidRPr="00705170">
        <w:rPr>
          <w:rFonts w:ascii="Times New Roman" w:hAnsi="Times New Roman" w:cs="Times New Roman"/>
          <w:color w:val="000000" w:themeColor="text1"/>
        </w:rPr>
        <w:t>n</w:t>
      </w:r>
      <w:proofErr w:type="spellEnd"/>
      <w:r w:rsidR="00D179B4" w:rsidRPr="00705170">
        <w:rPr>
          <w:rFonts w:ascii="Times New Roman" w:hAnsi="Times New Roman" w:cs="Times New Roman"/>
          <w:color w:val="000000" w:themeColor="text1"/>
        </w:rPr>
        <w:t xml:space="preserve"> Baker v. Commercial Body </w:t>
      </w:r>
      <w:proofErr w:type="spellStart"/>
      <w:r w:rsidR="00D179B4" w:rsidRPr="00705170">
        <w:rPr>
          <w:rFonts w:ascii="Times New Roman" w:hAnsi="Times New Roman" w:cs="Times New Roman"/>
          <w:color w:val="000000" w:themeColor="text1"/>
        </w:rPr>
        <w:t>Builders</w:t>
      </w:r>
      <w:proofErr w:type="spellEnd"/>
      <w:r w:rsidR="00D179B4" w:rsidRPr="00705170">
        <w:rPr>
          <w:rFonts w:ascii="Times New Roman" w:hAnsi="Times New Roman" w:cs="Times New Roman"/>
          <w:color w:val="000000" w:themeColor="text1"/>
        </w:rPr>
        <w:t xml:space="preserve">, </w:t>
      </w:r>
      <w:proofErr w:type="spellStart"/>
      <w:r w:rsidR="00D179B4" w:rsidRPr="00705170">
        <w:rPr>
          <w:rFonts w:ascii="Times New Roman" w:hAnsi="Times New Roman" w:cs="Times New Roman"/>
          <w:color w:val="000000" w:themeColor="text1"/>
        </w:rPr>
        <w:t>Inc</w:t>
      </w:r>
      <w:proofErr w:type="spellEnd"/>
      <w:r w:rsidR="00D179B4" w:rsidRPr="00705170">
        <w:rPr>
          <w:rFonts w:ascii="Times New Roman" w:hAnsi="Times New Roman" w:cs="Times New Roman"/>
          <w:color w:val="000000" w:themeColor="text1"/>
        </w:rPr>
        <w:t xml:space="preserve">. 264 Or. 614 (1973) </w:t>
      </w:r>
      <w:proofErr w:type="spellStart"/>
      <w:r w:rsidR="00A46F9A" w:rsidRPr="00705170">
        <w:rPr>
          <w:rFonts w:ascii="Times New Roman" w:hAnsi="Times New Roman" w:cs="Times New Roman"/>
          <w:color w:val="000000" w:themeColor="text1"/>
        </w:rPr>
        <w:t>court</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stated</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the</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following</w:t>
      </w:r>
      <w:proofErr w:type="spellEnd"/>
      <w:r w:rsidR="00A46F9A" w:rsidRPr="00705170">
        <w:rPr>
          <w:rFonts w:ascii="Times New Roman" w:hAnsi="Times New Roman" w:cs="Times New Roman"/>
          <w:color w:val="000000" w:themeColor="text1"/>
        </w:rPr>
        <w:t xml:space="preserve">: </w:t>
      </w:r>
      <w:r w:rsidR="000810A1" w:rsidRPr="00705170">
        <w:rPr>
          <w:rFonts w:ascii="Times New Roman" w:hAnsi="Times New Roman" w:cs="Times New Roman"/>
          <w:color w:val="000000" w:themeColor="text1"/>
        </w:rPr>
        <w:t>“</w:t>
      </w:r>
      <w:r w:rsidR="000810A1" w:rsidRPr="00705170">
        <w:rPr>
          <w:rFonts w:ascii="Times New Roman" w:hAnsi="Times New Roman" w:cs="Times New Roman"/>
          <w:color w:val="000000"/>
        </w:rPr>
        <w:t xml:space="preserve">On </w:t>
      </w:r>
      <w:proofErr w:type="spellStart"/>
      <w:r w:rsidR="000810A1" w:rsidRPr="00705170">
        <w:rPr>
          <w:rFonts w:ascii="Times New Roman" w:hAnsi="Times New Roman" w:cs="Times New Roman"/>
          <w:color w:val="000000"/>
        </w:rPr>
        <w:t>the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other</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hand</w:t>
      </w:r>
      <w:proofErr w:type="spellEnd"/>
      <w:r w:rsidR="000810A1" w:rsidRPr="00705170">
        <w:rPr>
          <w:rFonts w:ascii="Times New Roman" w:hAnsi="Times New Roman" w:cs="Times New Roman"/>
          <w:color w:val="000000"/>
        </w:rPr>
        <w:t xml:space="preserve">, it has </w:t>
      </w:r>
      <w:proofErr w:type="spellStart"/>
      <w:r w:rsidR="000810A1" w:rsidRPr="00705170">
        <w:rPr>
          <w:rFonts w:ascii="Times New Roman" w:hAnsi="Times New Roman" w:cs="Times New Roman"/>
          <w:color w:val="000000"/>
        </w:rPr>
        <w:t>been</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said</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that</w:t>
      </w:r>
      <w:proofErr w:type="spellEnd"/>
      <w:r w:rsidR="000810A1" w:rsidRPr="00705170">
        <w:rPr>
          <w:rFonts w:ascii="Times New Roman" w:hAnsi="Times New Roman" w:cs="Times New Roman"/>
          <w:color w:val="000000"/>
        </w:rPr>
        <w:t xml:space="preserve"> a </w:t>
      </w:r>
      <w:proofErr w:type="spellStart"/>
      <w:r w:rsidR="000810A1" w:rsidRPr="00705170">
        <w:rPr>
          <w:rFonts w:ascii="Times New Roman" w:hAnsi="Times New Roman" w:cs="Times New Roman"/>
          <w:color w:val="000000"/>
        </w:rPr>
        <w:t>single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act</w:t>
      </w:r>
      <w:proofErr w:type="spellEnd"/>
      <w:r w:rsidR="000810A1" w:rsidRPr="00705170">
        <w:rPr>
          <w:rFonts w:ascii="Times New Roman" w:hAnsi="Times New Roman" w:cs="Times New Roman"/>
          <w:color w:val="000000"/>
        </w:rPr>
        <w:t xml:space="preserve"> in </w:t>
      </w:r>
      <w:proofErr w:type="spellStart"/>
      <w:r w:rsidR="000810A1" w:rsidRPr="00705170">
        <w:rPr>
          <w:rFonts w:ascii="Times New Roman" w:hAnsi="Times New Roman" w:cs="Times New Roman"/>
          <w:color w:val="000000"/>
        </w:rPr>
        <w:t>breach</w:t>
      </w:r>
      <w:proofErr w:type="spellEnd"/>
      <w:r w:rsidR="000810A1" w:rsidRPr="00705170">
        <w:rPr>
          <w:rFonts w:ascii="Times New Roman" w:hAnsi="Times New Roman" w:cs="Times New Roman"/>
          <w:color w:val="000000"/>
        </w:rPr>
        <w:t xml:space="preserve"> of </w:t>
      </w:r>
      <w:proofErr w:type="spellStart"/>
      <w:r w:rsidR="000810A1" w:rsidRPr="00705170">
        <w:rPr>
          <w:rFonts w:ascii="Times New Roman" w:hAnsi="Times New Roman" w:cs="Times New Roman"/>
          <w:color w:val="000000"/>
        </w:rPr>
        <w:t>such</w:t>
      </w:r>
      <w:proofErr w:type="spellEnd"/>
      <w:r w:rsidR="000810A1" w:rsidRPr="00705170">
        <w:rPr>
          <w:rFonts w:ascii="Times New Roman" w:hAnsi="Times New Roman" w:cs="Times New Roman"/>
          <w:color w:val="000000"/>
        </w:rPr>
        <w:t xml:space="preserve"> a </w:t>
      </w:r>
      <w:proofErr w:type="spellStart"/>
      <w:r w:rsidR="000810A1" w:rsidRPr="00705170">
        <w:rPr>
          <w:rFonts w:ascii="Times New Roman" w:hAnsi="Times New Roman" w:cs="Times New Roman"/>
          <w:color w:val="000000"/>
        </w:rPr>
        <w:t>fiduciary</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duty</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may</w:t>
      </w:r>
      <w:proofErr w:type="spellEnd"/>
      <w:r w:rsidR="000810A1" w:rsidRPr="00705170">
        <w:rPr>
          <w:rFonts w:ascii="Times New Roman" w:hAnsi="Times New Roman" w:cs="Times New Roman"/>
          <w:color w:val="000000"/>
        </w:rPr>
        <w:t xml:space="preserve"> not </w:t>
      </w:r>
      <w:proofErr w:type="spellStart"/>
      <w:r w:rsidR="000810A1" w:rsidRPr="00705170">
        <w:rPr>
          <w:rFonts w:ascii="Times New Roman" w:hAnsi="Times New Roman" w:cs="Times New Roman"/>
          <w:color w:val="000000"/>
        </w:rPr>
        <w:t>constitute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such</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oppressive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conduct</w:t>
      </w:r>
      <w:proofErr w:type="spellEnd"/>
      <w:r w:rsidR="000810A1" w:rsidRPr="00705170">
        <w:rPr>
          <w:rFonts w:ascii="Times New Roman" w:hAnsi="Times New Roman" w:cs="Times New Roman"/>
          <w:color w:val="000000"/>
        </w:rPr>
        <w:t xml:space="preserve"> as </w:t>
      </w:r>
      <w:proofErr w:type="spellStart"/>
      <w:r w:rsidR="000810A1" w:rsidRPr="00705170">
        <w:rPr>
          <w:rFonts w:ascii="Times New Roman" w:hAnsi="Times New Roman" w:cs="Times New Roman"/>
          <w:color w:val="000000"/>
        </w:rPr>
        <w:t>to</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authorize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the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dissolution</w:t>
      </w:r>
      <w:proofErr w:type="spellEnd"/>
      <w:r w:rsidR="000810A1" w:rsidRPr="00705170">
        <w:rPr>
          <w:rFonts w:ascii="Times New Roman" w:hAnsi="Times New Roman" w:cs="Times New Roman"/>
          <w:color w:val="000000"/>
        </w:rPr>
        <w:t xml:space="preserve"> of a </w:t>
      </w:r>
      <w:proofErr w:type="spellStart"/>
      <w:r w:rsidR="000810A1" w:rsidRPr="00705170">
        <w:rPr>
          <w:rFonts w:ascii="Times New Roman" w:hAnsi="Times New Roman" w:cs="Times New Roman"/>
          <w:color w:val="000000"/>
        </w:rPr>
        <w:t>corporation</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unless</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extremely</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serious</w:t>
      </w:r>
      <w:proofErr w:type="spellEnd"/>
      <w:r w:rsidR="000810A1" w:rsidRPr="00705170">
        <w:rPr>
          <w:rFonts w:ascii="Times New Roman" w:hAnsi="Times New Roman" w:cs="Times New Roman"/>
          <w:color w:val="000000"/>
        </w:rPr>
        <w:t xml:space="preserve"> in </w:t>
      </w:r>
      <w:proofErr w:type="spellStart"/>
      <w:r w:rsidR="000810A1" w:rsidRPr="00705170">
        <w:rPr>
          <w:rFonts w:ascii="Times New Roman" w:hAnsi="Times New Roman" w:cs="Times New Roman"/>
          <w:color w:val="000000"/>
        </w:rPr>
        <w:t>nature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and</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that</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even</w:t>
      </w:r>
      <w:proofErr w:type="spellEnd"/>
      <w:r w:rsidR="000810A1" w:rsidRPr="00705170">
        <w:rPr>
          <w:rFonts w:ascii="Times New Roman" w:hAnsi="Times New Roman" w:cs="Times New Roman"/>
          <w:color w:val="000000"/>
        </w:rPr>
        <w:t xml:space="preserve"> a </w:t>
      </w:r>
      <w:proofErr w:type="spellStart"/>
      <w:r w:rsidR="000810A1" w:rsidRPr="00705170">
        <w:rPr>
          <w:rFonts w:ascii="Times New Roman" w:hAnsi="Times New Roman" w:cs="Times New Roman"/>
          <w:color w:val="000000"/>
        </w:rPr>
        <w:t>continuing</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course</w:t>
      </w:r>
      <w:proofErr w:type="spellEnd"/>
      <w:r w:rsidR="000810A1" w:rsidRPr="00705170">
        <w:rPr>
          <w:rFonts w:ascii="Times New Roman" w:hAnsi="Times New Roman" w:cs="Times New Roman"/>
          <w:color w:val="000000"/>
        </w:rPr>
        <w:t xml:space="preserve"> of ‘</w:t>
      </w:r>
      <w:proofErr w:type="spellStart"/>
      <w:r w:rsidR="000810A1" w:rsidRPr="00705170">
        <w:rPr>
          <w:rFonts w:ascii="Times New Roman" w:hAnsi="Times New Roman" w:cs="Times New Roman"/>
          <w:color w:val="000000"/>
        </w:rPr>
        <w:t>oppressive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conduct</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may</w:t>
      </w:r>
      <w:proofErr w:type="spellEnd"/>
      <w:r w:rsidR="000810A1" w:rsidRPr="00705170">
        <w:rPr>
          <w:rFonts w:ascii="Times New Roman" w:hAnsi="Times New Roman" w:cs="Times New Roman"/>
          <w:color w:val="000000"/>
        </w:rPr>
        <w:t xml:space="preserve"> not be </w:t>
      </w:r>
      <w:proofErr w:type="spellStart"/>
      <w:r w:rsidR="000810A1" w:rsidRPr="00705170">
        <w:rPr>
          <w:rFonts w:ascii="Times New Roman" w:hAnsi="Times New Roman" w:cs="Times New Roman"/>
          <w:color w:val="000000"/>
        </w:rPr>
        <w:t>sufficient</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for</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that</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purpose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unless</w:t>
      </w:r>
      <w:proofErr w:type="spellEnd"/>
      <w:r w:rsidR="000810A1" w:rsidRPr="00705170">
        <w:rPr>
          <w:rFonts w:ascii="Times New Roman" w:hAnsi="Times New Roman" w:cs="Times New Roman"/>
          <w:color w:val="000000"/>
        </w:rPr>
        <w:t xml:space="preserve"> it </w:t>
      </w:r>
      <w:proofErr w:type="spellStart"/>
      <w:r w:rsidR="000810A1" w:rsidRPr="00705170">
        <w:rPr>
          <w:rFonts w:ascii="Times New Roman" w:hAnsi="Times New Roman" w:cs="Times New Roman"/>
          <w:color w:val="000000"/>
        </w:rPr>
        <w:t>appears</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that</w:t>
      </w:r>
      <w:proofErr w:type="spellEnd"/>
      <w:r w:rsidR="000810A1" w:rsidRPr="00705170">
        <w:rPr>
          <w:rFonts w:ascii="Times New Roman" w:hAnsi="Times New Roman" w:cs="Times New Roman"/>
          <w:color w:val="000000"/>
        </w:rPr>
        <w:t xml:space="preserve">, as a </w:t>
      </w:r>
      <w:proofErr w:type="spellStart"/>
      <w:r w:rsidR="000810A1" w:rsidRPr="00705170">
        <w:rPr>
          <w:rFonts w:ascii="Times New Roman" w:hAnsi="Times New Roman" w:cs="Times New Roman"/>
          <w:color w:val="000000"/>
        </w:rPr>
        <w:t>result</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there</w:t>
      </w:r>
      <w:proofErr w:type="spellEnd"/>
      <w:r w:rsidR="000810A1" w:rsidRPr="00705170">
        <w:rPr>
          <w:rFonts w:ascii="Times New Roman" w:hAnsi="Times New Roman" w:cs="Times New Roman"/>
          <w:color w:val="000000"/>
        </w:rPr>
        <w:t xml:space="preserve"> has </w:t>
      </w:r>
      <w:proofErr w:type="spellStart"/>
      <w:r w:rsidR="000810A1" w:rsidRPr="00705170">
        <w:rPr>
          <w:rFonts w:ascii="Times New Roman" w:hAnsi="Times New Roman" w:cs="Times New Roman"/>
          <w:color w:val="000000"/>
        </w:rPr>
        <w:t>been</w:t>
      </w:r>
      <w:proofErr w:type="spellEnd"/>
      <w:r w:rsidR="000810A1" w:rsidRPr="00705170">
        <w:rPr>
          <w:rFonts w:ascii="Times New Roman" w:hAnsi="Times New Roman" w:cs="Times New Roman"/>
          <w:color w:val="000000"/>
        </w:rPr>
        <w:t xml:space="preserve"> a </w:t>
      </w:r>
      <w:proofErr w:type="spellStart"/>
      <w:r w:rsidR="000810A1" w:rsidRPr="00705170">
        <w:rPr>
          <w:rFonts w:ascii="Times New Roman" w:hAnsi="Times New Roman" w:cs="Times New Roman"/>
          <w:color w:val="000000"/>
        </w:rPr>
        <w:t>disproportionate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loss</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to</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the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minority</w:t>
      </w:r>
      <w:proofErr w:type="spellEnd"/>
      <w:r w:rsidR="000810A1" w:rsidRPr="00705170">
        <w:rPr>
          <w:rFonts w:ascii="Times New Roman" w:hAnsi="Times New Roman" w:cs="Times New Roman"/>
          <w:color w:val="0000FF"/>
          <w:position w:val="13"/>
        </w:rPr>
        <w:t xml:space="preserve"> </w:t>
      </w:r>
      <w:proofErr w:type="spellStart"/>
      <w:r w:rsidR="000810A1" w:rsidRPr="00705170">
        <w:rPr>
          <w:rFonts w:ascii="Times New Roman" w:hAnsi="Times New Roman" w:cs="Times New Roman"/>
          <w:color w:val="000000"/>
        </w:rPr>
        <w:t>or</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that</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those</w:t>
      </w:r>
      <w:proofErr w:type="spellEnd"/>
      <w:r w:rsidR="000810A1" w:rsidRPr="00705170">
        <w:rPr>
          <w:rFonts w:ascii="Times New Roman" w:hAnsi="Times New Roman" w:cs="Times New Roman"/>
          <w:color w:val="000000"/>
        </w:rPr>
        <w:t xml:space="preserve"> in </w:t>
      </w:r>
      <w:proofErr w:type="spellStart"/>
      <w:r w:rsidR="000810A1" w:rsidRPr="00705170">
        <w:rPr>
          <w:rFonts w:ascii="Times New Roman" w:hAnsi="Times New Roman" w:cs="Times New Roman"/>
          <w:color w:val="000000"/>
        </w:rPr>
        <w:t>control</w:t>
      </w:r>
      <w:proofErr w:type="spellEnd"/>
      <w:r w:rsidR="000810A1" w:rsidRPr="00705170">
        <w:rPr>
          <w:rFonts w:ascii="Times New Roman" w:hAnsi="Times New Roman" w:cs="Times New Roman"/>
          <w:color w:val="000000"/>
        </w:rPr>
        <w:t xml:space="preserve"> of </w:t>
      </w:r>
      <w:proofErr w:type="spellStart"/>
      <w:r w:rsidR="000810A1" w:rsidRPr="00705170">
        <w:rPr>
          <w:rFonts w:ascii="Times New Roman" w:hAnsi="Times New Roman" w:cs="Times New Roman"/>
          <w:color w:val="000000"/>
        </w:rPr>
        <w:t>the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corporation</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are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so</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incorrigible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that</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they</w:t>
      </w:r>
      <w:proofErr w:type="spellEnd"/>
      <w:r w:rsidR="000810A1" w:rsidRPr="00705170">
        <w:rPr>
          <w:rFonts w:ascii="Times New Roman" w:hAnsi="Times New Roman" w:cs="Times New Roman"/>
          <w:color w:val="000000"/>
        </w:rPr>
        <w:t xml:space="preserve"> can </w:t>
      </w:r>
      <w:proofErr w:type="spellStart"/>
      <w:r w:rsidR="000810A1" w:rsidRPr="00705170">
        <w:rPr>
          <w:rFonts w:ascii="Times New Roman" w:hAnsi="Times New Roman" w:cs="Times New Roman"/>
          <w:color w:val="000000"/>
        </w:rPr>
        <w:t>no</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longer</w:t>
      </w:r>
      <w:proofErr w:type="spellEnd"/>
      <w:r w:rsidR="000810A1" w:rsidRPr="00705170">
        <w:rPr>
          <w:rFonts w:ascii="Times New Roman" w:hAnsi="Times New Roman" w:cs="Times New Roman"/>
          <w:color w:val="000000"/>
        </w:rPr>
        <w:t xml:space="preserve"> be </w:t>
      </w:r>
      <w:proofErr w:type="spellStart"/>
      <w:r w:rsidR="000810A1" w:rsidRPr="00705170">
        <w:rPr>
          <w:rFonts w:ascii="Times New Roman" w:hAnsi="Times New Roman" w:cs="Times New Roman"/>
          <w:color w:val="000000"/>
        </w:rPr>
        <w:t>trusted</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to</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manage</w:t>
      </w:r>
      <w:proofErr w:type="spellEnd"/>
      <w:r w:rsidR="000810A1" w:rsidRPr="00705170">
        <w:rPr>
          <w:rFonts w:ascii="Times New Roman" w:hAnsi="Times New Roman" w:cs="Times New Roman"/>
          <w:color w:val="000000"/>
        </w:rPr>
        <w:t xml:space="preserve"> it </w:t>
      </w:r>
      <w:proofErr w:type="spellStart"/>
      <w:r w:rsidR="000810A1" w:rsidRPr="00705170">
        <w:rPr>
          <w:rFonts w:ascii="Times New Roman" w:hAnsi="Times New Roman" w:cs="Times New Roman"/>
          <w:color w:val="000000"/>
        </w:rPr>
        <w:t>fairly</w:t>
      </w:r>
      <w:proofErr w:type="spellEnd"/>
      <w:r w:rsidR="000810A1" w:rsidRPr="00705170">
        <w:rPr>
          <w:rFonts w:ascii="Times New Roman" w:hAnsi="Times New Roman" w:cs="Times New Roman"/>
          <w:color w:val="000000"/>
        </w:rPr>
        <w:t xml:space="preserve"> in </w:t>
      </w:r>
      <w:proofErr w:type="spellStart"/>
      <w:r w:rsidR="000810A1" w:rsidRPr="00705170">
        <w:rPr>
          <w:rFonts w:ascii="Times New Roman" w:hAnsi="Times New Roman" w:cs="Times New Roman"/>
          <w:color w:val="000000"/>
        </w:rPr>
        <w:t>the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interests</w:t>
      </w:r>
      <w:proofErr w:type="spellEnd"/>
      <w:r w:rsidR="000810A1" w:rsidRPr="00705170">
        <w:rPr>
          <w:rFonts w:ascii="Times New Roman" w:hAnsi="Times New Roman" w:cs="Times New Roman"/>
          <w:color w:val="000000"/>
        </w:rPr>
        <w:t xml:space="preserve"> of </w:t>
      </w:r>
      <w:proofErr w:type="spellStart"/>
      <w:r w:rsidR="000810A1" w:rsidRPr="00705170">
        <w:rPr>
          <w:rFonts w:ascii="Times New Roman" w:hAnsi="Times New Roman" w:cs="Times New Roman"/>
          <w:color w:val="000000"/>
        </w:rPr>
        <w:t>its</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stockholders</w:t>
      </w:r>
      <w:proofErr w:type="spellEnd"/>
      <w:r w:rsidR="00A46F9A" w:rsidRPr="00705170">
        <w:rPr>
          <w:rFonts w:ascii="Times New Roman" w:hAnsi="Times New Roman" w:cs="Times New Roman"/>
          <w:color w:val="000000" w:themeColor="text1"/>
        </w:rPr>
        <w:t>…</w:t>
      </w:r>
      <w:proofErr w:type="spellStart"/>
      <w:r w:rsidR="00D179B4" w:rsidRPr="00705170">
        <w:rPr>
          <w:rFonts w:ascii="Times New Roman" w:hAnsi="Times New Roman" w:cs="Times New Roman"/>
          <w:color w:val="000000" w:themeColor="text1"/>
        </w:rPr>
        <w:t>although</w:t>
      </w:r>
      <w:proofErr w:type="spellEnd"/>
      <w:r w:rsidR="00D179B4" w:rsidRPr="00705170">
        <w:rPr>
          <w:rFonts w:ascii="Times New Roman" w:hAnsi="Times New Roman" w:cs="Times New Roman"/>
          <w:color w:val="000000" w:themeColor="text1"/>
        </w:rPr>
        <w:t xml:space="preserve"> a </w:t>
      </w:r>
      <w:proofErr w:type="spellStart"/>
      <w:r w:rsidR="00D179B4" w:rsidRPr="00705170">
        <w:rPr>
          <w:rFonts w:ascii="Times New Roman" w:hAnsi="Times New Roman" w:cs="Times New Roman"/>
          <w:color w:val="000000" w:themeColor="text1"/>
        </w:rPr>
        <w:t>showing</w:t>
      </w:r>
      <w:proofErr w:type="spellEnd"/>
      <w:r w:rsidR="00D179B4" w:rsidRPr="00705170">
        <w:rPr>
          <w:rFonts w:ascii="Times New Roman" w:hAnsi="Times New Roman" w:cs="Times New Roman"/>
          <w:color w:val="000000" w:themeColor="text1"/>
        </w:rPr>
        <w:t xml:space="preserve"> of ‘</w:t>
      </w:r>
      <w:proofErr w:type="spellStart"/>
      <w:r w:rsidR="00D179B4" w:rsidRPr="00705170">
        <w:rPr>
          <w:rFonts w:ascii="Times New Roman" w:hAnsi="Times New Roman" w:cs="Times New Roman"/>
          <w:color w:val="000000" w:themeColor="text1"/>
        </w:rPr>
        <w:t>imminent</w:t>
      </w:r>
      <w:proofErr w:type="spellEnd"/>
      <w:r w:rsidR="00D179B4" w:rsidRPr="00705170">
        <w:rPr>
          <w:rFonts w:ascii="Times New Roman" w:hAnsi="Times New Roman" w:cs="Times New Roman"/>
          <w:color w:val="000000" w:themeColor="text1"/>
        </w:rPr>
        <w:t xml:space="preserve">’ </w:t>
      </w:r>
      <w:proofErr w:type="spellStart"/>
      <w:r w:rsidR="00D179B4" w:rsidRPr="00705170">
        <w:rPr>
          <w:rFonts w:ascii="Times New Roman" w:hAnsi="Times New Roman" w:cs="Times New Roman"/>
          <w:color w:val="000000" w:themeColor="text1"/>
        </w:rPr>
        <w:t>disaster</w:t>
      </w:r>
      <w:proofErr w:type="spellEnd"/>
      <w:r w:rsidR="00D179B4" w:rsidRPr="00705170">
        <w:rPr>
          <w:rFonts w:ascii="Times New Roman" w:hAnsi="Times New Roman" w:cs="Times New Roman"/>
          <w:color w:val="000000" w:themeColor="text1"/>
        </w:rPr>
        <w:t xml:space="preserve"> is not </w:t>
      </w:r>
      <w:proofErr w:type="spellStart"/>
      <w:r w:rsidR="00D179B4" w:rsidRPr="00705170">
        <w:rPr>
          <w:rFonts w:ascii="Times New Roman" w:hAnsi="Times New Roman" w:cs="Times New Roman"/>
          <w:color w:val="000000" w:themeColor="text1"/>
        </w:rPr>
        <w:t>required</w:t>
      </w:r>
      <w:proofErr w:type="spellEnd"/>
      <w:r w:rsidR="00D179B4" w:rsidRPr="00705170">
        <w:rPr>
          <w:rFonts w:ascii="Times New Roman" w:hAnsi="Times New Roman" w:cs="Times New Roman"/>
          <w:color w:val="000000" w:themeColor="text1"/>
        </w:rPr>
        <w:t xml:space="preserve">, </w:t>
      </w:r>
      <w:proofErr w:type="spellStart"/>
      <w:r w:rsidR="00D179B4" w:rsidRPr="00705170">
        <w:rPr>
          <w:rFonts w:ascii="Times New Roman" w:hAnsi="Times New Roman" w:cs="Times New Roman"/>
          <w:color w:val="000000" w:themeColor="text1"/>
        </w:rPr>
        <w:t>liquidation</w:t>
      </w:r>
      <w:proofErr w:type="spellEnd"/>
      <w:r w:rsidR="00D179B4" w:rsidRPr="00705170">
        <w:rPr>
          <w:rFonts w:ascii="Times New Roman" w:hAnsi="Times New Roman" w:cs="Times New Roman"/>
          <w:color w:val="000000" w:themeColor="text1"/>
        </w:rPr>
        <w:t xml:space="preserve"> is not </w:t>
      </w:r>
      <w:proofErr w:type="spellStart"/>
      <w:r w:rsidR="00D179B4" w:rsidRPr="00705170">
        <w:rPr>
          <w:rFonts w:ascii="Times New Roman" w:hAnsi="Times New Roman" w:cs="Times New Roman"/>
          <w:color w:val="000000" w:themeColor="text1"/>
        </w:rPr>
        <w:t>available</w:t>
      </w:r>
      <w:proofErr w:type="spellEnd"/>
      <w:r w:rsidR="00D179B4" w:rsidRPr="00705170">
        <w:rPr>
          <w:rFonts w:ascii="Times New Roman" w:hAnsi="Times New Roman" w:cs="Times New Roman"/>
          <w:color w:val="000000" w:themeColor="text1"/>
        </w:rPr>
        <w:t xml:space="preserve"> </w:t>
      </w:r>
      <w:proofErr w:type="spellStart"/>
      <w:r w:rsidR="00D179B4" w:rsidRPr="00705170">
        <w:rPr>
          <w:rFonts w:ascii="Times New Roman" w:hAnsi="Times New Roman" w:cs="Times New Roman"/>
          <w:color w:val="000000" w:themeColor="text1"/>
        </w:rPr>
        <w:t>upon</w:t>
      </w:r>
      <w:proofErr w:type="spellEnd"/>
      <w:r w:rsidR="00D179B4" w:rsidRPr="00705170">
        <w:rPr>
          <w:rFonts w:ascii="Times New Roman" w:hAnsi="Times New Roman" w:cs="Times New Roman"/>
          <w:color w:val="000000" w:themeColor="text1"/>
        </w:rPr>
        <w:t xml:space="preserve"> </w:t>
      </w:r>
      <w:proofErr w:type="spellStart"/>
      <w:r w:rsidR="00D179B4" w:rsidRPr="00705170">
        <w:rPr>
          <w:rFonts w:ascii="Times New Roman" w:hAnsi="Times New Roman" w:cs="Times New Roman"/>
          <w:color w:val="000000" w:themeColor="text1"/>
        </w:rPr>
        <w:t>showing</w:t>
      </w:r>
      <w:proofErr w:type="spellEnd"/>
      <w:r w:rsidR="00D179B4" w:rsidRPr="00705170">
        <w:rPr>
          <w:rFonts w:ascii="Times New Roman" w:hAnsi="Times New Roman" w:cs="Times New Roman"/>
          <w:color w:val="000000" w:themeColor="text1"/>
        </w:rPr>
        <w:t xml:space="preserve"> of </w:t>
      </w:r>
      <w:proofErr w:type="spellStart"/>
      <w:r w:rsidR="00D179B4" w:rsidRPr="00705170">
        <w:rPr>
          <w:rFonts w:ascii="Times New Roman" w:hAnsi="Times New Roman" w:cs="Times New Roman"/>
          <w:color w:val="000000" w:themeColor="text1"/>
        </w:rPr>
        <w:t>mere</w:t>
      </w:r>
      <w:proofErr w:type="spellEnd"/>
      <w:r w:rsidR="00D179B4" w:rsidRPr="00705170">
        <w:rPr>
          <w:rFonts w:ascii="Times New Roman" w:hAnsi="Times New Roman" w:cs="Times New Roman"/>
          <w:color w:val="000000" w:themeColor="text1"/>
        </w:rPr>
        <w:t xml:space="preserve"> </w:t>
      </w:r>
      <w:proofErr w:type="spellStart"/>
      <w:r w:rsidR="00D179B4" w:rsidRPr="00705170">
        <w:rPr>
          <w:rFonts w:ascii="Times New Roman" w:hAnsi="Times New Roman" w:cs="Times New Roman"/>
          <w:color w:val="000000" w:themeColor="text1"/>
        </w:rPr>
        <w:t>vague</w:t>
      </w:r>
      <w:proofErr w:type="spellEnd"/>
      <w:r w:rsidR="00D179B4" w:rsidRPr="00705170">
        <w:rPr>
          <w:rFonts w:ascii="Times New Roman" w:hAnsi="Times New Roman" w:cs="Times New Roman"/>
          <w:color w:val="000000" w:themeColor="text1"/>
        </w:rPr>
        <w:t xml:space="preserve"> </w:t>
      </w:r>
      <w:proofErr w:type="spellStart"/>
      <w:r w:rsidR="00D179B4" w:rsidRPr="00705170">
        <w:rPr>
          <w:rFonts w:ascii="Times New Roman" w:hAnsi="Times New Roman" w:cs="Times New Roman"/>
          <w:color w:val="000000" w:themeColor="text1"/>
        </w:rPr>
        <w:t>apprehensions</w:t>
      </w:r>
      <w:proofErr w:type="spellEnd"/>
      <w:r w:rsidR="00D179B4" w:rsidRPr="00705170">
        <w:rPr>
          <w:rFonts w:ascii="Times New Roman" w:hAnsi="Times New Roman" w:cs="Times New Roman"/>
          <w:color w:val="000000" w:themeColor="text1"/>
        </w:rPr>
        <w:t xml:space="preserve"> of </w:t>
      </w:r>
      <w:proofErr w:type="spellStart"/>
      <w:r w:rsidR="00D179B4" w:rsidRPr="00705170">
        <w:rPr>
          <w:rFonts w:ascii="Times New Roman" w:hAnsi="Times New Roman" w:cs="Times New Roman"/>
          <w:color w:val="000000" w:themeColor="text1"/>
        </w:rPr>
        <w:t>possible</w:t>
      </w:r>
      <w:proofErr w:type="spellEnd"/>
      <w:r w:rsidR="00D179B4" w:rsidRPr="00705170">
        <w:rPr>
          <w:rFonts w:ascii="Times New Roman" w:hAnsi="Times New Roman" w:cs="Times New Roman"/>
          <w:color w:val="000000" w:themeColor="text1"/>
        </w:rPr>
        <w:t xml:space="preserve"> </w:t>
      </w:r>
      <w:proofErr w:type="spellStart"/>
      <w:r w:rsidR="00D179B4" w:rsidRPr="00705170">
        <w:rPr>
          <w:rFonts w:ascii="Times New Roman" w:hAnsi="Times New Roman" w:cs="Times New Roman"/>
          <w:color w:val="000000" w:themeColor="text1"/>
        </w:rPr>
        <w:t>future</w:t>
      </w:r>
      <w:proofErr w:type="spellEnd"/>
      <w:r w:rsidR="00D179B4" w:rsidRPr="00705170">
        <w:rPr>
          <w:rFonts w:ascii="Times New Roman" w:hAnsi="Times New Roman" w:cs="Times New Roman"/>
          <w:color w:val="000000" w:themeColor="text1"/>
        </w:rPr>
        <w:t xml:space="preserve"> </w:t>
      </w:r>
      <w:proofErr w:type="spellStart"/>
      <w:r w:rsidR="00D179B4" w:rsidRPr="00705170">
        <w:rPr>
          <w:rFonts w:ascii="Times New Roman" w:hAnsi="Times New Roman" w:cs="Times New Roman"/>
          <w:color w:val="000000" w:themeColor="text1"/>
        </w:rPr>
        <w:t>mischief</w:t>
      </w:r>
      <w:proofErr w:type="spellEnd"/>
      <w:r w:rsidR="00D179B4" w:rsidRPr="00705170">
        <w:rPr>
          <w:rFonts w:ascii="Times New Roman" w:hAnsi="Times New Roman" w:cs="Times New Roman"/>
          <w:color w:val="000000" w:themeColor="text1"/>
        </w:rPr>
        <w:t xml:space="preserve"> </w:t>
      </w:r>
      <w:proofErr w:type="spellStart"/>
      <w:r w:rsidR="00D179B4" w:rsidRPr="00705170">
        <w:rPr>
          <w:rFonts w:ascii="Times New Roman" w:hAnsi="Times New Roman" w:cs="Times New Roman"/>
          <w:color w:val="000000" w:themeColor="text1"/>
        </w:rPr>
        <w:t>or</w:t>
      </w:r>
      <w:proofErr w:type="spellEnd"/>
      <w:r w:rsidR="00D179B4" w:rsidRPr="00705170">
        <w:rPr>
          <w:rFonts w:ascii="Times New Roman" w:hAnsi="Times New Roman" w:cs="Times New Roman"/>
          <w:color w:val="000000" w:themeColor="text1"/>
        </w:rPr>
        <w:t xml:space="preserve"> </w:t>
      </w:r>
      <w:proofErr w:type="spellStart"/>
      <w:r w:rsidR="00D179B4" w:rsidRPr="00705170">
        <w:rPr>
          <w:rFonts w:ascii="Times New Roman" w:hAnsi="Times New Roman" w:cs="Times New Roman"/>
          <w:color w:val="000000" w:themeColor="text1"/>
        </w:rPr>
        <w:t>injury</w:t>
      </w:r>
      <w:proofErr w:type="spellEnd"/>
      <w:r w:rsidR="000810A1" w:rsidRPr="00705170">
        <w:rPr>
          <w:rFonts w:ascii="Times New Roman" w:hAnsi="Times New Roman" w:cs="Times New Roman"/>
          <w:color w:val="000000" w:themeColor="text1"/>
        </w:rPr>
        <w:t xml:space="preserve"> </w:t>
      </w:r>
      <w:proofErr w:type="spellStart"/>
      <w:r w:rsidR="000810A1" w:rsidRPr="00705170">
        <w:rPr>
          <w:rFonts w:ascii="Times New Roman" w:hAnsi="Times New Roman" w:cs="Times New Roman"/>
          <w:color w:val="000000"/>
        </w:rPr>
        <w:t>or</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to</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extricate</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minority</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stockholders</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from</w:t>
      </w:r>
      <w:proofErr w:type="spellEnd"/>
      <w:r w:rsidR="000810A1" w:rsidRPr="00705170">
        <w:rPr>
          <w:rFonts w:ascii="Times New Roman" w:hAnsi="Times New Roman" w:cs="Times New Roman"/>
          <w:color w:val="000000"/>
        </w:rPr>
        <w:t xml:space="preserve"> an </w:t>
      </w:r>
      <w:proofErr w:type="spellStart"/>
      <w:r w:rsidR="000810A1" w:rsidRPr="00705170">
        <w:rPr>
          <w:rFonts w:ascii="Times New Roman" w:hAnsi="Times New Roman" w:cs="Times New Roman"/>
          <w:color w:val="000000"/>
        </w:rPr>
        <w:t>investment</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that</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turns</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out</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to</w:t>
      </w:r>
      <w:proofErr w:type="spellEnd"/>
      <w:r w:rsidR="000810A1" w:rsidRPr="00705170">
        <w:rPr>
          <w:rFonts w:ascii="Times New Roman" w:hAnsi="Times New Roman" w:cs="Times New Roman"/>
          <w:color w:val="000000"/>
        </w:rPr>
        <w:t xml:space="preserve"> be a </w:t>
      </w:r>
      <w:proofErr w:type="spellStart"/>
      <w:r w:rsidR="000810A1" w:rsidRPr="00705170">
        <w:rPr>
          <w:rFonts w:ascii="Times New Roman" w:hAnsi="Times New Roman" w:cs="Times New Roman"/>
          <w:color w:val="000000"/>
        </w:rPr>
        <w:t>bad</w:t>
      </w:r>
      <w:proofErr w:type="spellEnd"/>
      <w:r w:rsidR="000810A1" w:rsidRPr="00705170">
        <w:rPr>
          <w:rFonts w:ascii="Times New Roman" w:hAnsi="Times New Roman" w:cs="Times New Roman"/>
          <w:color w:val="000000"/>
        </w:rPr>
        <w:t xml:space="preserve"> </w:t>
      </w:r>
      <w:proofErr w:type="spellStart"/>
      <w:r w:rsidR="000810A1" w:rsidRPr="00705170">
        <w:rPr>
          <w:rFonts w:ascii="Times New Roman" w:hAnsi="Times New Roman" w:cs="Times New Roman"/>
          <w:color w:val="000000"/>
        </w:rPr>
        <w:t>bargain</w:t>
      </w:r>
      <w:proofErr w:type="spellEnd"/>
      <w:r w:rsidR="00D179B4"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In</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this</w:t>
      </w:r>
      <w:proofErr w:type="spellEnd"/>
      <w:r w:rsidR="00A46F9A" w:rsidRPr="00705170">
        <w:rPr>
          <w:rFonts w:ascii="Times New Roman" w:hAnsi="Times New Roman" w:cs="Times New Roman"/>
          <w:color w:val="000000" w:themeColor="text1"/>
        </w:rPr>
        <w:t xml:space="preserve"> sense, “a </w:t>
      </w:r>
      <w:proofErr w:type="spellStart"/>
      <w:r w:rsidR="00A46F9A" w:rsidRPr="00705170">
        <w:rPr>
          <w:rFonts w:ascii="Times New Roman" w:hAnsi="Times New Roman" w:cs="Times New Roman"/>
          <w:color w:val="000000" w:themeColor="text1"/>
        </w:rPr>
        <w:t>continuing</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course</w:t>
      </w:r>
      <w:proofErr w:type="spellEnd"/>
      <w:r w:rsidR="00A46F9A" w:rsidRPr="00705170">
        <w:rPr>
          <w:rFonts w:ascii="Times New Roman" w:hAnsi="Times New Roman" w:cs="Times New Roman"/>
          <w:color w:val="000000" w:themeColor="text1"/>
        </w:rPr>
        <w:t xml:space="preserve"> of </w:t>
      </w:r>
      <w:proofErr w:type="spellStart"/>
      <w:r w:rsidR="00A46F9A" w:rsidRPr="00705170">
        <w:rPr>
          <w:rFonts w:ascii="Times New Roman" w:hAnsi="Times New Roman" w:cs="Times New Roman"/>
          <w:color w:val="000000" w:themeColor="text1"/>
        </w:rPr>
        <w:t>oppressive</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conduct</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for</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which</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the</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future</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holds</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little</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or</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no</w:t>
      </w:r>
      <w:proofErr w:type="spellEnd"/>
      <w:r w:rsidR="00A46F9A" w:rsidRPr="00705170">
        <w:rPr>
          <w:rFonts w:ascii="Times New Roman" w:hAnsi="Times New Roman" w:cs="Times New Roman"/>
          <w:color w:val="000000" w:themeColor="text1"/>
        </w:rPr>
        <w:t xml:space="preserve"> </w:t>
      </w:r>
      <w:proofErr w:type="spellStart"/>
      <w:r w:rsidR="00A46F9A" w:rsidRPr="00705170">
        <w:rPr>
          <w:rFonts w:ascii="Times New Roman" w:hAnsi="Times New Roman" w:cs="Times New Roman"/>
          <w:color w:val="000000" w:themeColor="text1"/>
        </w:rPr>
        <w:t>hope</w:t>
      </w:r>
      <w:proofErr w:type="spellEnd"/>
      <w:r w:rsidR="00A46F9A" w:rsidRPr="00705170">
        <w:rPr>
          <w:rFonts w:ascii="Times New Roman" w:hAnsi="Times New Roman" w:cs="Times New Roman"/>
          <w:color w:val="000000" w:themeColor="text1"/>
        </w:rPr>
        <w:t xml:space="preserve"> of </w:t>
      </w:r>
      <w:proofErr w:type="spellStart"/>
      <w:r w:rsidR="00A46F9A" w:rsidRPr="00705170">
        <w:rPr>
          <w:rFonts w:ascii="Times New Roman" w:hAnsi="Times New Roman" w:cs="Times New Roman"/>
          <w:color w:val="000000" w:themeColor="text1"/>
        </w:rPr>
        <w:t>abatement</w:t>
      </w:r>
      <w:proofErr w:type="spellEnd"/>
      <w:r w:rsidR="00A46F9A" w:rsidRPr="00705170">
        <w:rPr>
          <w:rFonts w:ascii="Times New Roman" w:hAnsi="Times New Roman" w:cs="Times New Roman"/>
          <w:color w:val="000000" w:themeColor="text1"/>
        </w:rPr>
        <w:t>”</w:t>
      </w:r>
      <w:r w:rsidR="00A46F9A" w:rsidRPr="00705170">
        <w:rPr>
          <w:rStyle w:val="DipnotBavurusu"/>
          <w:rFonts w:ascii="Times New Roman" w:hAnsi="Times New Roman" w:cs="Times New Roman"/>
          <w:color w:val="000000" w:themeColor="text1"/>
        </w:rPr>
        <w:footnoteReference w:id="712"/>
      </w:r>
      <w:r w:rsidR="000810A1" w:rsidRPr="00705170">
        <w:rPr>
          <w:rFonts w:ascii="Times New Roman" w:hAnsi="Times New Roman" w:cs="Times New Roman"/>
          <w:color w:val="000000" w:themeColor="text1"/>
        </w:rPr>
        <w:t xml:space="preserve"> </w:t>
      </w:r>
      <w:proofErr w:type="spellStart"/>
      <w:r w:rsidR="000810A1" w:rsidRPr="00705170">
        <w:rPr>
          <w:rFonts w:ascii="Times New Roman" w:hAnsi="Times New Roman" w:cs="Times New Roman"/>
          <w:color w:val="000000" w:themeColor="text1"/>
        </w:rPr>
        <w:t>would</w:t>
      </w:r>
      <w:proofErr w:type="spellEnd"/>
      <w:r w:rsidR="000810A1" w:rsidRPr="00705170">
        <w:rPr>
          <w:rFonts w:ascii="Times New Roman" w:hAnsi="Times New Roman" w:cs="Times New Roman"/>
          <w:color w:val="000000" w:themeColor="text1"/>
        </w:rPr>
        <w:t xml:space="preserve"> be </w:t>
      </w:r>
      <w:proofErr w:type="spellStart"/>
      <w:r w:rsidR="000810A1" w:rsidRPr="00705170">
        <w:rPr>
          <w:rFonts w:ascii="Times New Roman" w:hAnsi="Times New Roman" w:cs="Times New Roman"/>
          <w:color w:val="000000" w:themeColor="text1"/>
        </w:rPr>
        <w:t>important</w:t>
      </w:r>
      <w:proofErr w:type="spellEnd"/>
      <w:r w:rsidR="000810A1" w:rsidRPr="00705170">
        <w:rPr>
          <w:rFonts w:ascii="Times New Roman" w:hAnsi="Times New Roman" w:cs="Times New Roman"/>
          <w:color w:val="000000" w:themeColor="text1"/>
        </w:rPr>
        <w:t xml:space="preserve"> </w:t>
      </w:r>
      <w:r w:rsidR="000810A1" w:rsidRPr="00705170">
        <w:rPr>
          <w:rFonts w:ascii="Times New Roman" w:hAnsi="Times New Roman" w:cs="Times New Roman"/>
          <w:color w:val="000000" w:themeColor="text1"/>
        </w:rPr>
        <w:lastRenderedPageBreak/>
        <w:t xml:space="preserve">in </w:t>
      </w:r>
      <w:proofErr w:type="spellStart"/>
      <w:r w:rsidR="000810A1" w:rsidRPr="00705170">
        <w:rPr>
          <w:rFonts w:ascii="Times New Roman" w:hAnsi="Times New Roman" w:cs="Times New Roman"/>
          <w:color w:val="000000" w:themeColor="text1"/>
        </w:rPr>
        <w:t>the</w:t>
      </w:r>
      <w:proofErr w:type="spellEnd"/>
      <w:r w:rsidR="000810A1" w:rsidRPr="00705170">
        <w:rPr>
          <w:rFonts w:ascii="Times New Roman" w:hAnsi="Times New Roman" w:cs="Times New Roman"/>
          <w:color w:val="000000" w:themeColor="text1"/>
        </w:rPr>
        <w:t xml:space="preserve"> </w:t>
      </w:r>
      <w:proofErr w:type="spellStart"/>
      <w:r w:rsidR="000810A1" w:rsidRPr="00705170">
        <w:rPr>
          <w:rFonts w:ascii="Times New Roman" w:hAnsi="Times New Roman" w:cs="Times New Roman"/>
          <w:color w:val="000000" w:themeColor="text1"/>
        </w:rPr>
        <w:t>determination</w:t>
      </w:r>
      <w:proofErr w:type="spellEnd"/>
      <w:r w:rsidR="000810A1" w:rsidRPr="00705170">
        <w:rPr>
          <w:rFonts w:ascii="Times New Roman" w:hAnsi="Times New Roman" w:cs="Times New Roman"/>
          <w:color w:val="000000" w:themeColor="text1"/>
        </w:rPr>
        <w:t xml:space="preserve"> of </w:t>
      </w:r>
      <w:proofErr w:type="spellStart"/>
      <w:r w:rsidR="000810A1" w:rsidRPr="00705170">
        <w:rPr>
          <w:rFonts w:ascii="Times New Roman" w:hAnsi="Times New Roman" w:cs="Times New Roman"/>
          <w:color w:val="000000" w:themeColor="text1"/>
        </w:rPr>
        <w:t>whether</w:t>
      </w:r>
      <w:proofErr w:type="spellEnd"/>
      <w:r w:rsidR="000810A1" w:rsidRPr="00705170">
        <w:rPr>
          <w:rFonts w:ascii="Times New Roman" w:hAnsi="Times New Roman" w:cs="Times New Roman"/>
          <w:color w:val="000000" w:themeColor="text1"/>
        </w:rPr>
        <w:t xml:space="preserve"> a </w:t>
      </w:r>
      <w:proofErr w:type="spellStart"/>
      <w:r w:rsidR="000810A1" w:rsidRPr="00705170">
        <w:rPr>
          <w:rFonts w:ascii="Times New Roman" w:hAnsi="Times New Roman" w:cs="Times New Roman"/>
          <w:color w:val="000000" w:themeColor="text1"/>
        </w:rPr>
        <w:t>conduct</w:t>
      </w:r>
      <w:proofErr w:type="spellEnd"/>
      <w:r w:rsidR="000810A1" w:rsidRPr="00705170">
        <w:rPr>
          <w:rFonts w:ascii="Times New Roman" w:hAnsi="Times New Roman" w:cs="Times New Roman"/>
          <w:color w:val="000000" w:themeColor="text1"/>
        </w:rPr>
        <w:t xml:space="preserve"> is </w:t>
      </w:r>
      <w:proofErr w:type="spellStart"/>
      <w:r w:rsidR="000810A1" w:rsidRPr="00705170">
        <w:rPr>
          <w:rFonts w:ascii="Times New Roman" w:hAnsi="Times New Roman" w:cs="Times New Roman"/>
          <w:color w:val="000000" w:themeColor="text1"/>
        </w:rPr>
        <w:t>oppressive</w:t>
      </w:r>
      <w:proofErr w:type="spellEnd"/>
      <w:r w:rsidR="000810A1" w:rsidRPr="00705170">
        <w:rPr>
          <w:rFonts w:ascii="Times New Roman" w:hAnsi="Times New Roman" w:cs="Times New Roman"/>
          <w:color w:val="000000" w:themeColor="text1"/>
        </w:rPr>
        <w:t xml:space="preserve"> </w:t>
      </w:r>
      <w:proofErr w:type="spellStart"/>
      <w:r w:rsidR="000810A1" w:rsidRPr="00705170">
        <w:rPr>
          <w:rFonts w:ascii="Times New Roman" w:hAnsi="Times New Roman" w:cs="Times New Roman"/>
          <w:color w:val="000000" w:themeColor="text1"/>
        </w:rPr>
        <w:t>and</w:t>
      </w:r>
      <w:proofErr w:type="spellEnd"/>
      <w:r w:rsidR="000810A1" w:rsidRPr="00705170">
        <w:rPr>
          <w:rFonts w:ascii="Times New Roman" w:hAnsi="Times New Roman" w:cs="Times New Roman"/>
          <w:color w:val="000000" w:themeColor="text1"/>
        </w:rPr>
        <w:t xml:space="preserve"> has </w:t>
      </w:r>
      <w:proofErr w:type="spellStart"/>
      <w:r w:rsidR="000810A1" w:rsidRPr="00705170">
        <w:rPr>
          <w:rFonts w:ascii="Times New Roman" w:hAnsi="Times New Roman" w:cs="Times New Roman"/>
          <w:color w:val="000000" w:themeColor="text1"/>
        </w:rPr>
        <w:t>the</w:t>
      </w:r>
      <w:proofErr w:type="spellEnd"/>
      <w:r w:rsidR="000810A1" w:rsidRPr="00705170">
        <w:rPr>
          <w:rFonts w:ascii="Times New Roman" w:hAnsi="Times New Roman" w:cs="Times New Roman"/>
          <w:color w:val="000000" w:themeColor="text1"/>
        </w:rPr>
        <w:t xml:space="preserve"> </w:t>
      </w:r>
      <w:proofErr w:type="spellStart"/>
      <w:r w:rsidR="000810A1" w:rsidRPr="00705170">
        <w:rPr>
          <w:rFonts w:ascii="Times New Roman" w:hAnsi="Times New Roman" w:cs="Times New Roman"/>
          <w:color w:val="000000" w:themeColor="text1"/>
        </w:rPr>
        <w:t>force</w:t>
      </w:r>
      <w:proofErr w:type="spellEnd"/>
      <w:r w:rsidR="000810A1" w:rsidRPr="00705170">
        <w:rPr>
          <w:rFonts w:ascii="Times New Roman" w:hAnsi="Times New Roman" w:cs="Times New Roman"/>
          <w:color w:val="000000" w:themeColor="text1"/>
        </w:rPr>
        <w:t xml:space="preserve"> </w:t>
      </w:r>
      <w:proofErr w:type="spellStart"/>
      <w:r w:rsidR="000810A1" w:rsidRPr="00705170">
        <w:rPr>
          <w:rFonts w:ascii="Times New Roman" w:hAnsi="Times New Roman" w:cs="Times New Roman"/>
          <w:color w:val="000000" w:themeColor="text1"/>
        </w:rPr>
        <w:t>to</w:t>
      </w:r>
      <w:proofErr w:type="spellEnd"/>
      <w:r w:rsidR="000810A1" w:rsidRPr="00705170">
        <w:rPr>
          <w:rFonts w:ascii="Times New Roman" w:hAnsi="Times New Roman" w:cs="Times New Roman"/>
          <w:color w:val="000000" w:themeColor="text1"/>
        </w:rPr>
        <w:t xml:space="preserve"> </w:t>
      </w:r>
      <w:proofErr w:type="spellStart"/>
      <w:r w:rsidR="000810A1" w:rsidRPr="00705170">
        <w:rPr>
          <w:rFonts w:ascii="Times New Roman" w:hAnsi="Times New Roman" w:cs="Times New Roman"/>
          <w:color w:val="000000" w:themeColor="text1"/>
        </w:rPr>
        <w:t>frustrate</w:t>
      </w:r>
      <w:proofErr w:type="spellEnd"/>
      <w:r w:rsidR="000810A1" w:rsidRPr="00705170">
        <w:rPr>
          <w:rFonts w:ascii="Times New Roman" w:hAnsi="Times New Roman" w:cs="Times New Roman"/>
          <w:color w:val="000000" w:themeColor="text1"/>
        </w:rPr>
        <w:t xml:space="preserve"> </w:t>
      </w:r>
      <w:proofErr w:type="spellStart"/>
      <w:r w:rsidR="000810A1" w:rsidRPr="00705170">
        <w:rPr>
          <w:rFonts w:ascii="Times New Roman" w:hAnsi="Times New Roman" w:cs="Times New Roman"/>
          <w:color w:val="000000" w:themeColor="text1"/>
        </w:rPr>
        <w:t>reasonable</w:t>
      </w:r>
      <w:proofErr w:type="spellEnd"/>
      <w:r w:rsidR="000810A1" w:rsidRPr="00705170">
        <w:rPr>
          <w:rFonts w:ascii="Times New Roman" w:hAnsi="Times New Roman" w:cs="Times New Roman"/>
          <w:color w:val="000000" w:themeColor="text1"/>
        </w:rPr>
        <w:t xml:space="preserve"> </w:t>
      </w:r>
      <w:proofErr w:type="spellStart"/>
      <w:r w:rsidR="000810A1" w:rsidRPr="00705170">
        <w:rPr>
          <w:rFonts w:ascii="Times New Roman" w:hAnsi="Times New Roman" w:cs="Times New Roman"/>
          <w:color w:val="000000" w:themeColor="text1"/>
        </w:rPr>
        <w:t>expectations</w:t>
      </w:r>
      <w:proofErr w:type="spellEnd"/>
      <w:r w:rsidR="00D20419" w:rsidRPr="00705170">
        <w:rPr>
          <w:rStyle w:val="DipnotBavurusu"/>
          <w:rFonts w:ascii="Times New Roman" w:hAnsi="Times New Roman" w:cs="Times New Roman"/>
          <w:color w:val="000000" w:themeColor="text1"/>
        </w:rPr>
        <w:footnoteReference w:id="713"/>
      </w:r>
      <w:r w:rsidR="000810A1" w:rsidRPr="00705170">
        <w:rPr>
          <w:rFonts w:ascii="Times New Roman" w:hAnsi="Times New Roman" w:cs="Times New Roman"/>
          <w:color w:val="000000" w:themeColor="text1"/>
        </w:rPr>
        <w:t>.</w:t>
      </w:r>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Likewise</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the</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fact</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that</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the</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complaining</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shareholder</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was</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offered</w:t>
      </w:r>
      <w:proofErr w:type="spellEnd"/>
      <w:r w:rsidR="00D77668" w:rsidRPr="00705170">
        <w:rPr>
          <w:rFonts w:ascii="Times New Roman" w:hAnsi="Times New Roman" w:cs="Times New Roman"/>
          <w:color w:val="000000" w:themeColor="text1"/>
        </w:rPr>
        <w:t xml:space="preserve"> a </w:t>
      </w:r>
      <w:proofErr w:type="spellStart"/>
      <w:r w:rsidR="00D77668" w:rsidRPr="00705170">
        <w:rPr>
          <w:rFonts w:ascii="Times New Roman" w:hAnsi="Times New Roman" w:cs="Times New Roman"/>
          <w:color w:val="000000" w:themeColor="text1"/>
        </w:rPr>
        <w:t>fair</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opportunity</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to</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avoid</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the</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allegedly</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oppressive</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conduct</w:t>
      </w:r>
      <w:proofErr w:type="spellEnd"/>
      <w:r w:rsidR="00D77668" w:rsidRPr="00705170">
        <w:rPr>
          <w:rFonts w:ascii="Times New Roman" w:hAnsi="Times New Roman" w:cs="Times New Roman"/>
          <w:color w:val="000000" w:themeColor="text1"/>
        </w:rPr>
        <w:t xml:space="preserve"> but </w:t>
      </w:r>
      <w:proofErr w:type="spellStart"/>
      <w:r w:rsidR="00D77668" w:rsidRPr="00705170">
        <w:rPr>
          <w:rFonts w:ascii="Times New Roman" w:hAnsi="Times New Roman" w:cs="Times New Roman"/>
          <w:color w:val="000000" w:themeColor="text1"/>
        </w:rPr>
        <w:t>rejected</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to</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take</w:t>
      </w:r>
      <w:proofErr w:type="spellEnd"/>
      <w:r w:rsidR="00D77668" w:rsidRPr="00705170">
        <w:rPr>
          <w:rFonts w:ascii="Times New Roman" w:hAnsi="Times New Roman" w:cs="Times New Roman"/>
          <w:color w:val="000000" w:themeColor="text1"/>
        </w:rPr>
        <w:t xml:space="preserve"> it can </w:t>
      </w:r>
      <w:proofErr w:type="spellStart"/>
      <w:r w:rsidR="00D77668" w:rsidRPr="00705170">
        <w:rPr>
          <w:rFonts w:ascii="Times New Roman" w:hAnsi="Times New Roman" w:cs="Times New Roman"/>
          <w:color w:val="000000" w:themeColor="text1"/>
        </w:rPr>
        <w:t>deem</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the</w:t>
      </w:r>
      <w:proofErr w:type="spellEnd"/>
      <w:r w:rsidR="00D77668" w:rsidRPr="00705170">
        <w:rPr>
          <w:rFonts w:ascii="Times New Roman" w:hAnsi="Times New Roman" w:cs="Times New Roman"/>
          <w:color w:val="000000" w:themeColor="text1"/>
        </w:rPr>
        <w:t xml:space="preserve"> </w:t>
      </w:r>
      <w:proofErr w:type="spellStart"/>
      <w:r w:rsidR="00D77668" w:rsidRPr="00705170">
        <w:rPr>
          <w:rFonts w:ascii="Times New Roman" w:hAnsi="Times New Roman" w:cs="Times New Roman"/>
          <w:color w:val="000000" w:themeColor="text1"/>
        </w:rPr>
        <w:t>conduct</w:t>
      </w:r>
      <w:proofErr w:type="spellEnd"/>
      <w:r w:rsidR="00D77668" w:rsidRPr="00705170">
        <w:rPr>
          <w:rFonts w:ascii="Times New Roman" w:hAnsi="Times New Roman" w:cs="Times New Roman"/>
          <w:color w:val="000000" w:themeColor="text1"/>
        </w:rPr>
        <w:t xml:space="preserve"> not </w:t>
      </w:r>
      <w:proofErr w:type="spellStart"/>
      <w:r w:rsidR="00D77668" w:rsidRPr="00705170">
        <w:rPr>
          <w:rFonts w:ascii="Times New Roman" w:hAnsi="Times New Roman" w:cs="Times New Roman"/>
          <w:color w:val="000000" w:themeColor="text1"/>
        </w:rPr>
        <w:t>oppressive</w:t>
      </w:r>
      <w:proofErr w:type="spellEnd"/>
      <w:r w:rsidR="00D77668" w:rsidRPr="00705170">
        <w:rPr>
          <w:rStyle w:val="DipnotBavurusu"/>
          <w:rFonts w:ascii="Times New Roman" w:hAnsi="Times New Roman" w:cs="Times New Roman"/>
          <w:color w:val="000000" w:themeColor="text1"/>
        </w:rPr>
        <w:footnoteReference w:id="714"/>
      </w:r>
      <w:r w:rsidR="00D77668" w:rsidRPr="00705170">
        <w:rPr>
          <w:rFonts w:ascii="Times New Roman" w:hAnsi="Times New Roman" w:cs="Times New Roman"/>
          <w:color w:val="000000" w:themeColor="text1"/>
        </w:rPr>
        <w:t xml:space="preserve">.  </w:t>
      </w:r>
    </w:p>
    <w:p w14:paraId="568F3B2E" w14:textId="33D7A24A" w:rsidR="00790336" w:rsidRPr="00705170" w:rsidRDefault="005C776C" w:rsidP="00790336">
      <w:pPr>
        <w:spacing w:after="240" w:line="480" w:lineRule="auto"/>
        <w:ind w:firstLine="708"/>
        <w:jc w:val="both"/>
        <w:rPr>
          <w:rFonts w:ascii="Times New Roman" w:hAnsi="Times New Roman" w:cs="Times New Roman"/>
          <w:color w:val="000000" w:themeColor="text1"/>
        </w:rPr>
      </w:pP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influential</w:t>
      </w:r>
      <w:proofErr w:type="spellEnd"/>
      <w:r w:rsidRPr="00705170">
        <w:rPr>
          <w:rFonts w:ascii="Times New Roman" w:hAnsi="Times New Roman" w:cs="Times New Roman"/>
          <w:color w:val="000000" w:themeColor="text1"/>
        </w:rPr>
        <w:t xml:space="preserve"> New York </w:t>
      </w:r>
      <w:proofErr w:type="spellStart"/>
      <w:r w:rsidRPr="00705170">
        <w:rPr>
          <w:rFonts w:ascii="Times New Roman" w:hAnsi="Times New Roman" w:cs="Times New Roman"/>
          <w:color w:val="000000" w:themeColor="text1"/>
        </w:rPr>
        <w:t>decis</w:t>
      </w:r>
      <w:r w:rsidR="00790336" w:rsidRPr="00705170">
        <w:rPr>
          <w:rFonts w:ascii="Times New Roman" w:hAnsi="Times New Roman" w:cs="Times New Roman"/>
          <w:color w:val="000000" w:themeColor="text1"/>
        </w:rPr>
        <w:t>ion</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Matter</w:t>
      </w:r>
      <w:proofErr w:type="spellEnd"/>
      <w:r w:rsidR="00790336" w:rsidRPr="00705170">
        <w:rPr>
          <w:rFonts w:ascii="Times New Roman" w:hAnsi="Times New Roman" w:cs="Times New Roman"/>
          <w:color w:val="000000" w:themeColor="text1"/>
        </w:rPr>
        <w:t xml:space="preserve"> of</w:t>
      </w:r>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Kemp</w:t>
      </w:r>
      <w:proofErr w:type="spellEnd"/>
      <w:r w:rsidRPr="00705170">
        <w:rPr>
          <w:rFonts w:ascii="Times New Roman" w:hAnsi="Times New Roman" w:cs="Times New Roman"/>
          <w:color w:val="000000" w:themeColor="text1"/>
        </w:rPr>
        <w:t xml:space="preserve"> &amp; </w:t>
      </w:r>
      <w:proofErr w:type="spellStart"/>
      <w:r w:rsidRPr="00705170">
        <w:rPr>
          <w:rFonts w:ascii="Times New Roman" w:hAnsi="Times New Roman" w:cs="Times New Roman"/>
          <w:color w:val="000000" w:themeColor="text1"/>
        </w:rPr>
        <w:t>Beatley</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Inc</w:t>
      </w:r>
      <w:proofErr w:type="spellEnd"/>
      <w:r w:rsidRPr="00705170">
        <w:rPr>
          <w:rFonts w:ascii="Times New Roman" w:hAnsi="Times New Roman" w:cs="Times New Roman"/>
          <w:color w:val="000000" w:themeColor="text1"/>
        </w:rPr>
        <w:t xml:space="preserve">., </w:t>
      </w:r>
      <w:r w:rsidR="00790336" w:rsidRPr="00705170">
        <w:rPr>
          <w:rFonts w:ascii="Times New Roman" w:hAnsi="Times New Roman" w:cs="Times New Roman"/>
          <w:color w:val="000000" w:themeColor="text1"/>
        </w:rPr>
        <w:t>64 N.Y</w:t>
      </w:r>
      <w:r w:rsidRPr="00705170">
        <w:rPr>
          <w:rFonts w:ascii="Times New Roman" w:hAnsi="Times New Roman" w:cs="Times New Roman"/>
          <w:color w:val="000000" w:themeColor="text1"/>
        </w:rPr>
        <w:t xml:space="preserve">.2d </w:t>
      </w:r>
      <w:r w:rsidR="00790336" w:rsidRPr="00705170">
        <w:rPr>
          <w:rFonts w:ascii="Times New Roman" w:hAnsi="Times New Roman" w:cs="Times New Roman"/>
          <w:color w:val="000000" w:themeColor="text1"/>
        </w:rPr>
        <w:t>64 (</w:t>
      </w:r>
      <w:r w:rsidRPr="00705170">
        <w:rPr>
          <w:rFonts w:ascii="Times New Roman" w:hAnsi="Times New Roman" w:cs="Times New Roman"/>
          <w:color w:val="000000" w:themeColor="text1"/>
        </w:rPr>
        <w:t xml:space="preserve">1984) </w:t>
      </w:r>
      <w:proofErr w:type="spellStart"/>
      <w:r w:rsidRPr="00705170">
        <w:rPr>
          <w:rFonts w:ascii="Times New Roman" w:hAnsi="Times New Roman" w:cs="Times New Roman"/>
          <w:color w:val="000000" w:themeColor="text1"/>
        </w:rPr>
        <w:t>outlined</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components</w:t>
      </w:r>
      <w:proofErr w:type="spellEnd"/>
      <w:r w:rsidRPr="00705170">
        <w:rPr>
          <w:rFonts w:ascii="Times New Roman" w:hAnsi="Times New Roman" w:cs="Times New Roman"/>
          <w:color w:val="000000" w:themeColor="text1"/>
        </w:rPr>
        <w:t xml:space="preserve"> of </w:t>
      </w:r>
      <w:proofErr w:type="spellStart"/>
      <w:r w:rsidRPr="00705170">
        <w:rPr>
          <w:rFonts w:ascii="Times New Roman" w:hAnsi="Times New Roman" w:cs="Times New Roman"/>
          <w:color w:val="000000" w:themeColor="text1"/>
        </w:rPr>
        <w:t>the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reasonable</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expectations</w:t>
      </w:r>
      <w:proofErr w:type="spellEnd"/>
      <w:r w:rsidRPr="00705170">
        <w:rPr>
          <w:rFonts w:ascii="Times New Roman" w:hAnsi="Times New Roman" w:cs="Times New Roman"/>
          <w:color w:val="000000" w:themeColor="text1"/>
        </w:rPr>
        <w:t xml:space="preserve">” </w:t>
      </w:r>
      <w:proofErr w:type="spellStart"/>
      <w:r w:rsidRPr="00705170">
        <w:rPr>
          <w:rFonts w:ascii="Times New Roman" w:hAnsi="Times New Roman" w:cs="Times New Roman"/>
          <w:color w:val="000000" w:themeColor="text1"/>
        </w:rPr>
        <w:t>conception</w:t>
      </w:r>
      <w:proofErr w:type="spellEnd"/>
      <w:r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The</w:t>
      </w:r>
      <w:proofErr w:type="spellEnd"/>
      <w:r w:rsidR="00790336" w:rsidRPr="00705170">
        <w:rPr>
          <w:rFonts w:ascii="Times New Roman" w:hAnsi="Times New Roman" w:cs="Times New Roman"/>
          <w:color w:val="000000" w:themeColor="text1"/>
        </w:rPr>
        <w:t xml:space="preserve"> Court </w:t>
      </w:r>
      <w:proofErr w:type="spellStart"/>
      <w:r w:rsidR="00790336" w:rsidRPr="00705170">
        <w:rPr>
          <w:rFonts w:ascii="Times New Roman" w:hAnsi="Times New Roman" w:cs="Times New Roman"/>
          <w:color w:val="000000" w:themeColor="text1"/>
        </w:rPr>
        <w:t>stated</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oppressive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actions</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refer</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to</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conduct</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that</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substantially</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defeats</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the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reasonable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expectations</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held</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by</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minority</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shareholders</w:t>
      </w:r>
      <w:proofErr w:type="spellEnd"/>
      <w:r w:rsidR="00790336" w:rsidRPr="00705170">
        <w:rPr>
          <w:rFonts w:ascii="Times New Roman" w:hAnsi="Times New Roman" w:cs="Times New Roman"/>
          <w:color w:val="000000" w:themeColor="text1"/>
        </w:rPr>
        <w:t xml:space="preserve"> in </w:t>
      </w:r>
      <w:proofErr w:type="spellStart"/>
      <w:r w:rsidR="00790336" w:rsidRPr="00705170">
        <w:rPr>
          <w:rFonts w:ascii="Times New Roman" w:hAnsi="Times New Roman" w:cs="Times New Roman"/>
          <w:color w:val="000000" w:themeColor="text1"/>
        </w:rPr>
        <w:t>committing</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their</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capital</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to</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the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particular</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enterprise</w:t>
      </w:r>
      <w:proofErr w:type="spellEnd"/>
      <w:r w:rsidR="00790336" w:rsidRPr="00705170">
        <w:rPr>
          <w:rFonts w:ascii="Times New Roman" w:hAnsi="Times New Roman" w:cs="Times New Roman"/>
          <w:color w:val="000000" w:themeColor="text1"/>
        </w:rPr>
        <w:t>”</w:t>
      </w:r>
      <w:r w:rsidR="00790336" w:rsidRPr="00705170">
        <w:rPr>
          <w:rStyle w:val="DipnotBavurusu"/>
          <w:rFonts w:ascii="Times New Roman" w:hAnsi="Times New Roman" w:cs="Times New Roman"/>
          <w:color w:val="000000" w:themeColor="text1"/>
        </w:rPr>
        <w:footnoteReference w:id="715"/>
      </w:r>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The</w:t>
      </w:r>
      <w:proofErr w:type="spellEnd"/>
      <w:r w:rsidR="00C27459" w:rsidRPr="00705170">
        <w:rPr>
          <w:rFonts w:ascii="Times New Roman" w:hAnsi="Times New Roman" w:cs="Times New Roman"/>
          <w:color w:val="000000" w:themeColor="text1"/>
        </w:rPr>
        <w:t xml:space="preserve"> Court </w:t>
      </w:r>
      <w:proofErr w:type="spellStart"/>
      <w:r w:rsidR="00C27459" w:rsidRPr="00705170">
        <w:rPr>
          <w:rFonts w:ascii="Times New Roman" w:hAnsi="Times New Roman" w:cs="Times New Roman"/>
          <w:color w:val="000000" w:themeColor="text1"/>
        </w:rPr>
        <w:t>added</w:t>
      </w:r>
      <w:proofErr w:type="spellEnd"/>
      <w:r w:rsidR="00C27459" w:rsidRPr="00705170">
        <w:rPr>
          <w:rFonts w:ascii="Times New Roman" w:hAnsi="Times New Roman" w:cs="Times New Roman"/>
          <w:color w:val="000000" w:themeColor="text1"/>
        </w:rPr>
        <w:t xml:space="preserve"> </w:t>
      </w:r>
      <w:proofErr w:type="spellStart"/>
      <w:r w:rsidR="00C27459" w:rsidRPr="00705170">
        <w:rPr>
          <w:rFonts w:ascii="Times New Roman" w:hAnsi="Times New Roman" w:cs="Times New Roman"/>
          <w:color w:val="000000" w:themeColor="text1"/>
        </w:rPr>
        <w:t>that</w:t>
      </w:r>
      <w:proofErr w:type="spellEnd"/>
      <w:r w:rsidR="00C27459" w:rsidRPr="00705170">
        <w:rPr>
          <w:rFonts w:ascii="Times New Roman" w:hAnsi="Times New Roman" w:cs="Times New Roman"/>
          <w:color w:val="000000" w:themeColor="text1"/>
        </w:rPr>
        <w:t xml:space="preserve"> “A </w:t>
      </w:r>
      <w:proofErr w:type="spellStart"/>
      <w:r w:rsidR="00C27459" w:rsidRPr="00705170">
        <w:rPr>
          <w:rFonts w:ascii="Times New Roman" w:hAnsi="Times New Roman" w:cs="Times New Roman"/>
          <w:color w:val="000000" w:themeColor="text1"/>
        </w:rPr>
        <w:t>court</w:t>
      </w:r>
      <w:proofErr w:type="spellEnd"/>
      <w:r w:rsidR="00C27459" w:rsidRPr="00705170">
        <w:rPr>
          <w:rFonts w:ascii="Times New Roman" w:hAnsi="Times New Roman" w:cs="Times New Roman"/>
          <w:color w:val="000000" w:themeColor="text1"/>
        </w:rPr>
        <w:t xml:space="preserve"> </w:t>
      </w:r>
      <w:proofErr w:type="spellStart"/>
      <w:r w:rsidR="00C27459" w:rsidRPr="00705170">
        <w:rPr>
          <w:rFonts w:ascii="Times New Roman" w:hAnsi="Times New Roman" w:cs="Times New Roman"/>
          <w:color w:val="000000" w:themeColor="text1"/>
        </w:rPr>
        <w:t>consi</w:t>
      </w:r>
      <w:r w:rsidR="00790336" w:rsidRPr="00705170">
        <w:rPr>
          <w:rFonts w:ascii="Times New Roman" w:hAnsi="Times New Roman" w:cs="Times New Roman"/>
          <w:color w:val="000000" w:themeColor="text1"/>
        </w:rPr>
        <w:t>dering</w:t>
      </w:r>
      <w:proofErr w:type="spellEnd"/>
      <w:r w:rsidR="00790336" w:rsidRPr="00705170">
        <w:rPr>
          <w:rFonts w:ascii="Times New Roman" w:hAnsi="Times New Roman" w:cs="Times New Roman"/>
          <w:color w:val="000000" w:themeColor="text1"/>
        </w:rPr>
        <w:t xml:space="preserve"> a </w:t>
      </w:r>
      <w:proofErr w:type="spellStart"/>
      <w:r w:rsidR="00790336" w:rsidRPr="00705170">
        <w:rPr>
          <w:rFonts w:ascii="Times New Roman" w:hAnsi="Times New Roman" w:cs="Times New Roman"/>
          <w:color w:val="000000" w:themeColor="text1"/>
        </w:rPr>
        <w:t>petition</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alleging</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oppressive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conductmust</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investigate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what</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the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majority</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shareholders</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knew</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or</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should</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have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known</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to</w:t>
      </w:r>
      <w:proofErr w:type="spellEnd"/>
      <w:r w:rsidR="00790336" w:rsidRPr="00705170">
        <w:rPr>
          <w:rFonts w:ascii="Times New Roman" w:hAnsi="Times New Roman" w:cs="Times New Roman"/>
          <w:color w:val="000000" w:themeColor="text1"/>
        </w:rPr>
        <w:t xml:space="preserve"> be </w:t>
      </w:r>
      <w:proofErr w:type="spellStart"/>
      <w:r w:rsidR="00790336" w:rsidRPr="00705170">
        <w:rPr>
          <w:rFonts w:ascii="Times New Roman" w:hAnsi="Times New Roman" w:cs="Times New Roman"/>
          <w:color w:val="000000" w:themeColor="text1"/>
        </w:rPr>
        <w:t>the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petitioner’s</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expectations</w:t>
      </w:r>
      <w:proofErr w:type="spellEnd"/>
      <w:r w:rsidR="00790336" w:rsidRPr="00705170">
        <w:rPr>
          <w:rFonts w:ascii="Times New Roman" w:hAnsi="Times New Roman" w:cs="Times New Roman"/>
          <w:color w:val="000000" w:themeColor="text1"/>
        </w:rPr>
        <w:t xml:space="preserve"> in </w:t>
      </w:r>
      <w:proofErr w:type="spellStart"/>
      <w:r w:rsidR="00790336" w:rsidRPr="00705170">
        <w:rPr>
          <w:rFonts w:ascii="Times New Roman" w:hAnsi="Times New Roman" w:cs="Times New Roman"/>
          <w:color w:val="000000" w:themeColor="text1"/>
        </w:rPr>
        <w:t>entering</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the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particular</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enterprise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Majority</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conduct</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should</w:t>
      </w:r>
      <w:proofErr w:type="spellEnd"/>
      <w:r w:rsidR="00790336" w:rsidRPr="00705170">
        <w:rPr>
          <w:rFonts w:ascii="Times New Roman" w:hAnsi="Times New Roman" w:cs="Times New Roman"/>
          <w:color w:val="000000" w:themeColor="text1"/>
        </w:rPr>
        <w:t xml:space="preserve"> not be </w:t>
      </w:r>
      <w:proofErr w:type="spellStart"/>
      <w:r w:rsidR="00790336" w:rsidRPr="00705170">
        <w:rPr>
          <w:rFonts w:ascii="Times New Roman" w:hAnsi="Times New Roman" w:cs="Times New Roman"/>
          <w:color w:val="000000" w:themeColor="text1"/>
        </w:rPr>
        <w:t>deemed</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oppressive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simply</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because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the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petititoner’s</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subjective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hopes</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and</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desires</w:t>
      </w:r>
      <w:proofErr w:type="spellEnd"/>
      <w:r w:rsidR="00790336" w:rsidRPr="00705170">
        <w:rPr>
          <w:rFonts w:ascii="Times New Roman" w:hAnsi="Times New Roman" w:cs="Times New Roman"/>
          <w:color w:val="000000" w:themeColor="text1"/>
        </w:rPr>
        <w:t xml:space="preserve"> in </w:t>
      </w:r>
      <w:proofErr w:type="spellStart"/>
      <w:r w:rsidR="00790336" w:rsidRPr="00705170">
        <w:rPr>
          <w:rFonts w:ascii="Times New Roman" w:hAnsi="Times New Roman" w:cs="Times New Roman"/>
          <w:color w:val="000000" w:themeColor="text1"/>
        </w:rPr>
        <w:t>joining</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the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venture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are</w:t>
      </w:r>
      <w:proofErr w:type="spellEnd"/>
      <w:r w:rsidR="00790336" w:rsidRPr="00705170">
        <w:rPr>
          <w:rFonts w:ascii="Times New Roman" w:hAnsi="Times New Roman" w:cs="Times New Roman"/>
          <w:color w:val="000000" w:themeColor="text1"/>
        </w:rPr>
        <w:t xml:space="preserve"> not </w:t>
      </w:r>
      <w:proofErr w:type="spellStart"/>
      <w:r w:rsidR="00790336" w:rsidRPr="00705170">
        <w:rPr>
          <w:rFonts w:ascii="Times New Roman" w:hAnsi="Times New Roman" w:cs="Times New Roman"/>
          <w:color w:val="000000" w:themeColor="text1"/>
        </w:rPr>
        <w:t>fulfilled</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Disappointment</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alone</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should</w:t>
      </w:r>
      <w:proofErr w:type="spellEnd"/>
      <w:r w:rsidR="00790336" w:rsidRPr="00705170">
        <w:rPr>
          <w:rFonts w:ascii="Times New Roman" w:hAnsi="Times New Roman" w:cs="Times New Roman"/>
          <w:color w:val="000000" w:themeColor="text1"/>
        </w:rPr>
        <w:t xml:space="preserve"> not </w:t>
      </w:r>
      <w:proofErr w:type="spellStart"/>
      <w:r w:rsidR="00790336" w:rsidRPr="00705170">
        <w:rPr>
          <w:rFonts w:ascii="Times New Roman" w:hAnsi="Times New Roman" w:cs="Times New Roman"/>
          <w:color w:val="000000" w:themeColor="text1"/>
        </w:rPr>
        <w:t>necessarily</w:t>
      </w:r>
      <w:proofErr w:type="spellEnd"/>
      <w:r w:rsidR="00790336" w:rsidRPr="00705170">
        <w:rPr>
          <w:rFonts w:ascii="Times New Roman" w:hAnsi="Times New Roman" w:cs="Times New Roman"/>
          <w:color w:val="000000" w:themeColor="text1"/>
        </w:rPr>
        <w:t xml:space="preserve"> be </w:t>
      </w:r>
      <w:proofErr w:type="spellStart"/>
      <w:r w:rsidR="00790336" w:rsidRPr="00705170">
        <w:rPr>
          <w:rFonts w:ascii="Times New Roman" w:hAnsi="Times New Roman" w:cs="Times New Roman"/>
          <w:color w:val="000000" w:themeColor="text1"/>
        </w:rPr>
        <w:t>equiated</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with</w:t>
      </w:r>
      <w:proofErr w:type="spellEnd"/>
      <w:r w:rsidR="00790336" w:rsidRPr="00705170">
        <w:rPr>
          <w:rFonts w:ascii="Times New Roman" w:hAnsi="Times New Roman" w:cs="Times New Roman"/>
          <w:color w:val="000000" w:themeColor="text1"/>
        </w:rPr>
        <w:t xml:space="preserve"> </w:t>
      </w:r>
      <w:proofErr w:type="spellStart"/>
      <w:r w:rsidR="00790336" w:rsidRPr="00705170">
        <w:rPr>
          <w:rFonts w:ascii="Times New Roman" w:hAnsi="Times New Roman" w:cs="Times New Roman"/>
          <w:color w:val="000000" w:themeColor="text1"/>
        </w:rPr>
        <w:t>oppression</w:t>
      </w:r>
      <w:proofErr w:type="spellEnd"/>
      <w:r w:rsidR="00790336" w:rsidRPr="00705170">
        <w:rPr>
          <w:rFonts w:ascii="Times New Roman" w:hAnsi="Times New Roman" w:cs="Times New Roman"/>
          <w:color w:val="000000"/>
        </w:rPr>
        <w:t>…</w:t>
      </w:r>
      <w:proofErr w:type="spellStart"/>
      <w:r w:rsidR="00790336" w:rsidRPr="00705170">
        <w:rPr>
          <w:rFonts w:ascii="Times New Roman" w:hAnsi="Times New Roman" w:cs="Times New Roman"/>
          <w:color w:val="000000"/>
        </w:rPr>
        <w:t>Rather</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oppression</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should</w:t>
      </w:r>
      <w:proofErr w:type="spellEnd"/>
      <w:r w:rsidR="00790336" w:rsidRPr="00705170">
        <w:rPr>
          <w:rFonts w:ascii="Times New Roman" w:hAnsi="Times New Roman" w:cs="Times New Roman"/>
          <w:color w:val="000000"/>
        </w:rPr>
        <w:t xml:space="preserve"> be </w:t>
      </w:r>
      <w:proofErr w:type="spellStart"/>
      <w:r w:rsidR="00790336" w:rsidRPr="00705170">
        <w:rPr>
          <w:rFonts w:ascii="Times New Roman" w:hAnsi="Times New Roman" w:cs="Times New Roman"/>
          <w:color w:val="000000"/>
        </w:rPr>
        <w:t>deemed</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to</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arise</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only</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when</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the</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majority</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conduct</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substantially</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defeats</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expectations</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that</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objectively</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viewed</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were</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both</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reasonable</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under</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the</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circumstances</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and</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were</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central</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to</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the</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petitioner's</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decision</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to</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join</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the</w:t>
      </w:r>
      <w:proofErr w:type="spellEnd"/>
      <w:r w:rsidR="00790336" w:rsidRPr="00705170">
        <w:rPr>
          <w:rFonts w:ascii="Times New Roman" w:hAnsi="Times New Roman" w:cs="Times New Roman"/>
          <w:color w:val="000000"/>
        </w:rPr>
        <w:t xml:space="preserve"> </w:t>
      </w:r>
      <w:proofErr w:type="spellStart"/>
      <w:r w:rsidR="00790336" w:rsidRPr="00705170">
        <w:rPr>
          <w:rFonts w:ascii="Times New Roman" w:hAnsi="Times New Roman" w:cs="Times New Roman"/>
          <w:color w:val="000000"/>
        </w:rPr>
        <w:t>venture</w:t>
      </w:r>
      <w:proofErr w:type="spellEnd"/>
      <w:r w:rsidR="00790336" w:rsidRPr="00705170">
        <w:rPr>
          <w:rFonts w:ascii="Times New Roman" w:hAnsi="Times New Roman" w:cs="Times New Roman"/>
          <w:color w:val="000000"/>
        </w:rPr>
        <w:t xml:space="preserve">. </w:t>
      </w:r>
      <w:r w:rsidR="00790336" w:rsidRPr="00705170">
        <w:rPr>
          <w:rFonts w:ascii="Times New Roman" w:hAnsi="Times New Roman" w:cs="Times New Roman"/>
          <w:color w:val="000000" w:themeColor="text1"/>
        </w:rPr>
        <w:t>”</w:t>
      </w:r>
      <w:r w:rsidR="00790336" w:rsidRPr="00705170">
        <w:rPr>
          <w:rStyle w:val="DipnotBavurusu"/>
          <w:rFonts w:ascii="Times New Roman" w:hAnsi="Times New Roman" w:cs="Times New Roman"/>
          <w:color w:val="000000" w:themeColor="text1"/>
        </w:rPr>
        <w:footnoteReference w:id="716"/>
      </w:r>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Four</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primary</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components</w:t>
      </w:r>
      <w:proofErr w:type="spellEnd"/>
      <w:r w:rsidR="0018570A" w:rsidRPr="00705170">
        <w:rPr>
          <w:rFonts w:ascii="Times New Roman" w:hAnsi="Times New Roman" w:cs="Times New Roman"/>
          <w:color w:val="000000" w:themeColor="text1"/>
        </w:rPr>
        <w:t xml:space="preserve"> of </w:t>
      </w:r>
      <w:proofErr w:type="spellStart"/>
      <w:r w:rsidR="0018570A" w:rsidRPr="00705170">
        <w:rPr>
          <w:rFonts w:ascii="Times New Roman" w:hAnsi="Times New Roman" w:cs="Times New Roman"/>
          <w:color w:val="000000" w:themeColor="text1"/>
        </w:rPr>
        <w:t>the</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reasonable</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expectation</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conception</w:t>
      </w:r>
      <w:proofErr w:type="spellEnd"/>
      <w:r w:rsidR="0018570A" w:rsidRPr="00705170">
        <w:rPr>
          <w:rFonts w:ascii="Times New Roman" w:hAnsi="Times New Roman" w:cs="Times New Roman"/>
          <w:color w:val="000000" w:themeColor="text1"/>
        </w:rPr>
        <w:t xml:space="preserve"> can be </w:t>
      </w:r>
      <w:proofErr w:type="spellStart"/>
      <w:r w:rsidR="0018570A" w:rsidRPr="00705170">
        <w:rPr>
          <w:rFonts w:ascii="Times New Roman" w:hAnsi="Times New Roman" w:cs="Times New Roman"/>
          <w:color w:val="000000" w:themeColor="text1"/>
        </w:rPr>
        <w:t>taken</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from</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the</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decision</w:t>
      </w:r>
      <w:proofErr w:type="spellEnd"/>
      <w:r w:rsidR="0018570A" w:rsidRPr="00705170">
        <w:rPr>
          <w:rFonts w:ascii="Times New Roman" w:hAnsi="Times New Roman" w:cs="Times New Roman"/>
          <w:color w:val="000000" w:themeColor="text1"/>
        </w:rPr>
        <w:t xml:space="preserve">: (1) </w:t>
      </w:r>
      <w:proofErr w:type="spellStart"/>
      <w:r w:rsidR="0018570A" w:rsidRPr="00705170">
        <w:rPr>
          <w:rFonts w:ascii="Times New Roman" w:hAnsi="Times New Roman" w:cs="Times New Roman"/>
          <w:color w:val="000000" w:themeColor="text1"/>
        </w:rPr>
        <w:t>The</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expectations</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should</w:t>
      </w:r>
      <w:proofErr w:type="spellEnd"/>
      <w:r w:rsidR="0018570A" w:rsidRPr="00705170">
        <w:rPr>
          <w:rFonts w:ascii="Times New Roman" w:hAnsi="Times New Roman" w:cs="Times New Roman"/>
          <w:color w:val="000000" w:themeColor="text1"/>
        </w:rPr>
        <w:t xml:space="preserve"> be </w:t>
      </w:r>
      <w:proofErr w:type="spellStart"/>
      <w:r w:rsidR="0018570A" w:rsidRPr="00705170">
        <w:rPr>
          <w:rFonts w:ascii="Times New Roman" w:hAnsi="Times New Roman" w:cs="Times New Roman"/>
          <w:color w:val="000000" w:themeColor="text1"/>
        </w:rPr>
        <w:t>defeated</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substantially</w:t>
      </w:r>
      <w:proofErr w:type="spellEnd"/>
      <w:r w:rsidR="0018570A" w:rsidRPr="00705170">
        <w:rPr>
          <w:rFonts w:ascii="Times New Roman" w:hAnsi="Times New Roman" w:cs="Times New Roman"/>
          <w:color w:val="000000" w:themeColor="text1"/>
        </w:rPr>
        <w:t xml:space="preserve">, (2) </w:t>
      </w:r>
      <w:proofErr w:type="spellStart"/>
      <w:r w:rsidR="0018570A" w:rsidRPr="00705170">
        <w:rPr>
          <w:rFonts w:ascii="Times New Roman" w:hAnsi="Times New Roman" w:cs="Times New Roman"/>
          <w:color w:val="000000" w:themeColor="text1"/>
        </w:rPr>
        <w:t>the</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expectations</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which</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were</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central</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to</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the</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minority’s</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decision</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to</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join</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the</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venture</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should</w:t>
      </w:r>
      <w:proofErr w:type="spellEnd"/>
      <w:r w:rsidR="0018570A" w:rsidRPr="00705170">
        <w:rPr>
          <w:rFonts w:ascii="Times New Roman" w:hAnsi="Times New Roman" w:cs="Times New Roman"/>
          <w:color w:val="000000" w:themeColor="text1"/>
        </w:rPr>
        <w:t xml:space="preserve"> be </w:t>
      </w:r>
      <w:proofErr w:type="spellStart"/>
      <w:r w:rsidR="0018570A" w:rsidRPr="00705170">
        <w:rPr>
          <w:rFonts w:ascii="Times New Roman" w:hAnsi="Times New Roman" w:cs="Times New Roman"/>
          <w:color w:val="000000" w:themeColor="text1"/>
        </w:rPr>
        <w:t>taken</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to</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consideration</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note</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that</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the</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codified</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version</w:t>
      </w:r>
      <w:proofErr w:type="spellEnd"/>
      <w:r w:rsidR="006B36D0" w:rsidRPr="00705170">
        <w:rPr>
          <w:rFonts w:ascii="Times New Roman" w:hAnsi="Times New Roman" w:cs="Times New Roman"/>
          <w:color w:val="000000" w:themeColor="text1"/>
        </w:rPr>
        <w:t xml:space="preserve"> of </w:t>
      </w:r>
      <w:proofErr w:type="spellStart"/>
      <w:r w:rsidR="006B36D0" w:rsidRPr="00705170">
        <w:rPr>
          <w:rFonts w:ascii="Times New Roman" w:hAnsi="Times New Roman" w:cs="Times New Roman"/>
          <w:color w:val="000000" w:themeColor="text1"/>
        </w:rPr>
        <w:t>the</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standard</w:t>
      </w:r>
      <w:proofErr w:type="spellEnd"/>
      <w:r w:rsidR="006B36D0" w:rsidRPr="00705170">
        <w:rPr>
          <w:rFonts w:ascii="Times New Roman" w:hAnsi="Times New Roman" w:cs="Times New Roman"/>
          <w:color w:val="000000" w:themeColor="text1"/>
        </w:rPr>
        <w:t xml:space="preserve"> in </w:t>
      </w:r>
      <w:proofErr w:type="spellStart"/>
      <w:r w:rsidR="006B36D0" w:rsidRPr="00705170">
        <w:rPr>
          <w:rFonts w:ascii="Times New Roman" w:hAnsi="Times New Roman" w:cs="Times New Roman"/>
          <w:color w:val="000000" w:themeColor="text1"/>
        </w:rPr>
        <w:t>some</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states</w:t>
      </w:r>
      <w:proofErr w:type="spellEnd"/>
      <w:r w:rsidR="006B36D0" w:rsidRPr="00705170">
        <w:rPr>
          <w:rStyle w:val="DipnotBavurusu"/>
          <w:rFonts w:ascii="Times New Roman" w:hAnsi="Times New Roman" w:cs="Times New Roman"/>
          <w:color w:val="000000" w:themeColor="text1"/>
        </w:rPr>
        <w:footnoteReference w:id="717"/>
      </w:r>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shows</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that</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the</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Court’s</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understanding</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that</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lastRenderedPageBreak/>
        <w:t>the</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expectations</w:t>
      </w:r>
      <w:proofErr w:type="spellEnd"/>
      <w:r w:rsidR="006B36D0" w:rsidRPr="00705170">
        <w:rPr>
          <w:rFonts w:ascii="Times New Roman" w:hAnsi="Times New Roman" w:cs="Times New Roman"/>
          <w:color w:val="000000" w:themeColor="text1"/>
        </w:rPr>
        <w:t xml:space="preserve"> at </w:t>
      </w:r>
      <w:proofErr w:type="spellStart"/>
      <w:r w:rsidR="006B36D0" w:rsidRPr="00705170">
        <w:rPr>
          <w:rFonts w:ascii="Times New Roman" w:hAnsi="Times New Roman" w:cs="Times New Roman"/>
          <w:color w:val="000000" w:themeColor="text1"/>
        </w:rPr>
        <w:t>the</w:t>
      </w:r>
      <w:proofErr w:type="spellEnd"/>
      <w:r w:rsidR="006B36D0" w:rsidRPr="00705170">
        <w:rPr>
          <w:rFonts w:ascii="Times New Roman" w:hAnsi="Times New Roman" w:cs="Times New Roman"/>
          <w:color w:val="000000" w:themeColor="text1"/>
        </w:rPr>
        <w:t xml:space="preserve"> time </w:t>
      </w:r>
      <w:proofErr w:type="spellStart"/>
      <w:r w:rsidR="006B36D0" w:rsidRPr="00705170">
        <w:rPr>
          <w:rFonts w:ascii="Times New Roman" w:hAnsi="Times New Roman" w:cs="Times New Roman"/>
          <w:color w:val="000000" w:themeColor="text1"/>
        </w:rPr>
        <w:t>when</w:t>
      </w:r>
      <w:proofErr w:type="spellEnd"/>
      <w:r w:rsidR="006B36D0" w:rsidRPr="00705170">
        <w:rPr>
          <w:rFonts w:ascii="Times New Roman" w:hAnsi="Times New Roman" w:cs="Times New Roman"/>
          <w:color w:val="000000" w:themeColor="text1"/>
        </w:rPr>
        <w:t xml:space="preserve"> he </w:t>
      </w:r>
      <w:proofErr w:type="spellStart"/>
      <w:r w:rsidR="006B36D0" w:rsidRPr="00705170">
        <w:rPr>
          <w:rFonts w:ascii="Times New Roman" w:hAnsi="Times New Roman" w:cs="Times New Roman"/>
          <w:color w:val="000000" w:themeColor="text1"/>
        </w:rPr>
        <w:t>joins</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the</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venture</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should</w:t>
      </w:r>
      <w:proofErr w:type="spellEnd"/>
      <w:r w:rsidR="006B36D0" w:rsidRPr="00705170">
        <w:rPr>
          <w:rFonts w:ascii="Times New Roman" w:hAnsi="Times New Roman" w:cs="Times New Roman"/>
          <w:color w:val="000000" w:themeColor="text1"/>
        </w:rPr>
        <w:t xml:space="preserve"> be </w:t>
      </w:r>
      <w:proofErr w:type="spellStart"/>
      <w:r w:rsidR="006B36D0" w:rsidRPr="00705170">
        <w:rPr>
          <w:rFonts w:ascii="Times New Roman" w:hAnsi="Times New Roman" w:cs="Times New Roman"/>
          <w:color w:val="000000" w:themeColor="text1"/>
        </w:rPr>
        <w:t>taken</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to</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consideration</w:t>
      </w:r>
      <w:proofErr w:type="spellEnd"/>
      <w:r w:rsidR="006B36D0" w:rsidRPr="00705170">
        <w:rPr>
          <w:rFonts w:ascii="Times New Roman" w:hAnsi="Times New Roman" w:cs="Times New Roman"/>
          <w:color w:val="000000" w:themeColor="text1"/>
        </w:rPr>
        <w:t xml:space="preserve">” is not </w:t>
      </w:r>
      <w:proofErr w:type="spellStart"/>
      <w:r w:rsidR="006B36D0" w:rsidRPr="00705170">
        <w:rPr>
          <w:rFonts w:ascii="Times New Roman" w:hAnsi="Times New Roman" w:cs="Times New Roman"/>
          <w:color w:val="000000" w:themeColor="text1"/>
        </w:rPr>
        <w:t>sufficient</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and</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the</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expectations</w:t>
      </w:r>
      <w:proofErr w:type="spellEnd"/>
      <w:r w:rsidR="006B36D0" w:rsidRPr="00705170">
        <w:rPr>
          <w:rFonts w:ascii="Times New Roman" w:hAnsi="Times New Roman" w:cs="Times New Roman"/>
          <w:color w:val="000000" w:themeColor="text1"/>
        </w:rPr>
        <w:t xml:space="preserve"> as </w:t>
      </w:r>
      <w:proofErr w:type="spellStart"/>
      <w:r w:rsidR="006B36D0" w:rsidRPr="00705170">
        <w:rPr>
          <w:rFonts w:ascii="Times New Roman" w:hAnsi="Times New Roman" w:cs="Times New Roman"/>
          <w:color w:val="000000" w:themeColor="text1"/>
        </w:rPr>
        <w:t>they</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develop</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during</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the</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course</w:t>
      </w:r>
      <w:proofErr w:type="spellEnd"/>
      <w:r w:rsidR="006B36D0" w:rsidRPr="00705170">
        <w:rPr>
          <w:rFonts w:ascii="Times New Roman" w:hAnsi="Times New Roman" w:cs="Times New Roman"/>
          <w:color w:val="000000" w:themeColor="text1"/>
        </w:rPr>
        <w:t xml:space="preserve"> of </w:t>
      </w:r>
      <w:proofErr w:type="spellStart"/>
      <w:r w:rsidR="006B36D0" w:rsidRPr="00705170">
        <w:rPr>
          <w:rFonts w:ascii="Times New Roman" w:hAnsi="Times New Roman" w:cs="Times New Roman"/>
          <w:color w:val="000000" w:themeColor="text1"/>
        </w:rPr>
        <w:t>the</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shareholders</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relationship</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with</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the</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corporation</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and</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with</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each</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other</w:t>
      </w:r>
      <w:proofErr w:type="spellEnd"/>
      <w:r w:rsidR="006B36D0" w:rsidRPr="00705170">
        <w:rPr>
          <w:rFonts w:ascii="Times New Roman" w:hAnsi="Times New Roman" w:cs="Times New Roman"/>
          <w:color w:val="000000" w:themeColor="text1"/>
        </w:rPr>
        <w:t xml:space="preserve">” can </w:t>
      </w:r>
      <w:proofErr w:type="spellStart"/>
      <w:r w:rsidR="006B36D0" w:rsidRPr="00705170">
        <w:rPr>
          <w:rFonts w:ascii="Times New Roman" w:hAnsi="Times New Roman" w:cs="Times New Roman"/>
          <w:color w:val="000000" w:themeColor="text1"/>
        </w:rPr>
        <w:t>also</w:t>
      </w:r>
      <w:proofErr w:type="spellEnd"/>
      <w:r w:rsidR="006B36D0" w:rsidRPr="00705170">
        <w:rPr>
          <w:rFonts w:ascii="Times New Roman" w:hAnsi="Times New Roman" w:cs="Times New Roman"/>
          <w:color w:val="000000" w:themeColor="text1"/>
        </w:rPr>
        <w:t xml:space="preserve"> be </w:t>
      </w:r>
      <w:proofErr w:type="spellStart"/>
      <w:r w:rsidR="006B36D0" w:rsidRPr="00705170">
        <w:rPr>
          <w:rFonts w:ascii="Times New Roman" w:hAnsi="Times New Roman" w:cs="Times New Roman"/>
          <w:color w:val="000000" w:themeColor="text1"/>
        </w:rPr>
        <w:t>taken</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to</w:t>
      </w:r>
      <w:proofErr w:type="spellEnd"/>
      <w:r w:rsidR="006B36D0" w:rsidRPr="00705170">
        <w:rPr>
          <w:rFonts w:ascii="Times New Roman" w:hAnsi="Times New Roman" w:cs="Times New Roman"/>
          <w:color w:val="000000" w:themeColor="text1"/>
        </w:rPr>
        <w:t xml:space="preserve"> </w:t>
      </w:r>
      <w:proofErr w:type="spellStart"/>
      <w:r w:rsidR="006B36D0" w:rsidRPr="00705170">
        <w:rPr>
          <w:rFonts w:ascii="Times New Roman" w:hAnsi="Times New Roman" w:cs="Times New Roman"/>
          <w:color w:val="000000" w:themeColor="text1"/>
        </w:rPr>
        <w:t>consideration</w:t>
      </w:r>
      <w:proofErr w:type="spellEnd"/>
      <w:r w:rsidR="006B36D0" w:rsidRPr="00705170">
        <w:rPr>
          <w:rFonts w:ascii="Times New Roman" w:hAnsi="Times New Roman" w:cs="Times New Roman"/>
          <w:color w:val="000000" w:themeColor="text1"/>
        </w:rPr>
        <w:t>)</w:t>
      </w:r>
      <w:r w:rsidR="006B36D0" w:rsidRPr="00705170">
        <w:rPr>
          <w:rStyle w:val="DipnotBavurusu"/>
          <w:rFonts w:ascii="Times New Roman" w:hAnsi="Times New Roman" w:cs="Times New Roman"/>
          <w:color w:val="000000" w:themeColor="text1"/>
        </w:rPr>
        <w:t xml:space="preserve"> </w:t>
      </w:r>
      <w:r w:rsidR="006B36D0" w:rsidRPr="00705170">
        <w:rPr>
          <w:rStyle w:val="DipnotBavurusu"/>
          <w:rFonts w:ascii="Times New Roman" w:hAnsi="Times New Roman" w:cs="Times New Roman"/>
          <w:color w:val="000000" w:themeColor="text1"/>
        </w:rPr>
        <w:footnoteReference w:id="718"/>
      </w:r>
      <w:r w:rsidR="0018570A" w:rsidRPr="00705170">
        <w:rPr>
          <w:rFonts w:ascii="Times New Roman" w:hAnsi="Times New Roman" w:cs="Times New Roman"/>
          <w:color w:val="000000" w:themeColor="text1"/>
        </w:rPr>
        <w:t xml:space="preserve">, (3) </w:t>
      </w:r>
      <w:proofErr w:type="spellStart"/>
      <w:r w:rsidR="0018570A" w:rsidRPr="00705170">
        <w:rPr>
          <w:rFonts w:ascii="Times New Roman" w:hAnsi="Times New Roman" w:cs="Times New Roman"/>
          <w:color w:val="000000" w:themeColor="text1"/>
        </w:rPr>
        <w:t>the</w:t>
      </w:r>
      <w:proofErr w:type="spellEnd"/>
      <w:r w:rsidR="0018570A"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oppressive</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conduct</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will</w:t>
      </w:r>
      <w:proofErr w:type="spellEnd"/>
      <w:r w:rsidR="00773F1F" w:rsidRPr="00705170">
        <w:rPr>
          <w:rFonts w:ascii="Times New Roman" w:hAnsi="Times New Roman" w:cs="Times New Roman"/>
          <w:color w:val="000000" w:themeColor="text1"/>
        </w:rPr>
        <w:t xml:space="preserve"> be </w:t>
      </w:r>
      <w:proofErr w:type="spellStart"/>
      <w:r w:rsidR="00773F1F" w:rsidRPr="00705170">
        <w:rPr>
          <w:rFonts w:ascii="Times New Roman" w:hAnsi="Times New Roman" w:cs="Times New Roman"/>
          <w:color w:val="000000" w:themeColor="text1"/>
        </w:rPr>
        <w:t>evaluated</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with</w:t>
      </w:r>
      <w:proofErr w:type="spellEnd"/>
      <w:r w:rsidR="00773F1F" w:rsidRPr="00705170">
        <w:rPr>
          <w:rFonts w:ascii="Times New Roman" w:hAnsi="Times New Roman" w:cs="Times New Roman"/>
          <w:color w:val="000000" w:themeColor="text1"/>
        </w:rPr>
        <w:t xml:space="preserve"> a </w:t>
      </w:r>
      <w:proofErr w:type="spellStart"/>
      <w:r w:rsidR="00773F1F" w:rsidRPr="00705170">
        <w:rPr>
          <w:rFonts w:ascii="Times New Roman" w:hAnsi="Times New Roman" w:cs="Times New Roman"/>
          <w:color w:val="000000" w:themeColor="text1"/>
        </w:rPr>
        <w:t>focus</w:t>
      </w:r>
      <w:proofErr w:type="spellEnd"/>
      <w:r w:rsidR="00773F1F" w:rsidRPr="00705170">
        <w:rPr>
          <w:rFonts w:ascii="Times New Roman" w:hAnsi="Times New Roman" w:cs="Times New Roman"/>
          <w:color w:val="000000" w:themeColor="text1"/>
        </w:rPr>
        <w:t xml:space="preserve"> on </w:t>
      </w:r>
      <w:proofErr w:type="spellStart"/>
      <w:r w:rsidR="00773F1F" w:rsidRPr="00705170">
        <w:rPr>
          <w:rFonts w:ascii="Times New Roman" w:hAnsi="Times New Roman" w:cs="Times New Roman"/>
          <w:color w:val="000000" w:themeColor="text1"/>
        </w:rPr>
        <w:t>the</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minority’s</w:t>
      </w:r>
      <w:proofErr w:type="spellEnd"/>
      <w:r w:rsidR="00773F1F"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expectations</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i.e</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perspective</w:t>
      </w:r>
      <w:proofErr w:type="spellEnd"/>
      <w:r w:rsidR="00773F1F" w:rsidRPr="00705170">
        <w:rPr>
          <w:rFonts w:ascii="Times New Roman" w:hAnsi="Times New Roman" w:cs="Times New Roman"/>
          <w:color w:val="000000" w:themeColor="text1"/>
        </w:rPr>
        <w:t>)</w:t>
      </w:r>
      <w:r w:rsidR="0018570A" w:rsidRPr="00705170">
        <w:rPr>
          <w:rFonts w:ascii="Times New Roman" w:hAnsi="Times New Roman" w:cs="Times New Roman"/>
          <w:color w:val="000000" w:themeColor="text1"/>
        </w:rPr>
        <w:t xml:space="preserve">, (4) </w:t>
      </w:r>
      <w:proofErr w:type="spellStart"/>
      <w:r w:rsidR="0018570A" w:rsidRPr="00705170">
        <w:rPr>
          <w:rFonts w:ascii="Times New Roman" w:hAnsi="Times New Roman" w:cs="Times New Roman"/>
          <w:color w:val="000000" w:themeColor="text1"/>
        </w:rPr>
        <w:t>the</w:t>
      </w:r>
      <w:proofErr w:type="spellEnd"/>
      <w:r w:rsidR="0018570A"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expectations</w:t>
      </w:r>
      <w:proofErr w:type="spellEnd"/>
      <w:r w:rsidR="00907C28" w:rsidRPr="00705170">
        <w:rPr>
          <w:rFonts w:ascii="Times New Roman" w:hAnsi="Times New Roman" w:cs="Times New Roman"/>
          <w:color w:val="000000" w:themeColor="text1"/>
        </w:rPr>
        <w:t xml:space="preserve"> </w:t>
      </w:r>
      <w:proofErr w:type="spellStart"/>
      <w:r w:rsidR="00907C28" w:rsidRPr="00705170">
        <w:rPr>
          <w:rFonts w:ascii="Times New Roman" w:hAnsi="Times New Roman" w:cs="Times New Roman"/>
          <w:color w:val="000000" w:themeColor="text1"/>
        </w:rPr>
        <w:t>should</w:t>
      </w:r>
      <w:proofErr w:type="spellEnd"/>
      <w:r w:rsidR="00907C28" w:rsidRPr="00705170">
        <w:rPr>
          <w:rFonts w:ascii="Times New Roman" w:hAnsi="Times New Roman" w:cs="Times New Roman"/>
          <w:color w:val="000000" w:themeColor="text1"/>
        </w:rPr>
        <w:t xml:space="preserve"> be </w:t>
      </w:r>
      <w:proofErr w:type="spellStart"/>
      <w:r w:rsidR="0018570A" w:rsidRPr="00705170">
        <w:rPr>
          <w:rFonts w:ascii="Times New Roman" w:hAnsi="Times New Roman" w:cs="Times New Roman"/>
          <w:color w:val="000000" w:themeColor="text1"/>
        </w:rPr>
        <w:t>objective</w:t>
      </w:r>
      <w:r w:rsidR="00907C28" w:rsidRPr="00705170">
        <w:rPr>
          <w:rFonts w:ascii="Times New Roman" w:hAnsi="Times New Roman" w:cs="Times New Roman"/>
          <w:color w:val="000000" w:themeColor="text1"/>
        </w:rPr>
        <w:t>ly</w:t>
      </w:r>
      <w:proofErr w:type="spellEnd"/>
      <w:r w:rsidR="00907C28" w:rsidRPr="00705170">
        <w:rPr>
          <w:rFonts w:ascii="Times New Roman" w:hAnsi="Times New Roman" w:cs="Times New Roman"/>
          <w:color w:val="000000" w:themeColor="text1"/>
        </w:rPr>
        <w:t xml:space="preserve"> </w:t>
      </w:r>
      <w:proofErr w:type="spellStart"/>
      <w:r w:rsidR="00907C28" w:rsidRPr="00705170">
        <w:rPr>
          <w:rFonts w:ascii="Times New Roman" w:hAnsi="Times New Roman" w:cs="Times New Roman"/>
          <w:color w:val="000000" w:themeColor="text1"/>
        </w:rPr>
        <w:t>present</w:t>
      </w:r>
      <w:proofErr w:type="spellEnd"/>
      <w:r w:rsidR="00907C28" w:rsidRPr="00705170">
        <w:rPr>
          <w:rFonts w:ascii="Times New Roman" w:hAnsi="Times New Roman" w:cs="Times New Roman"/>
          <w:color w:val="000000" w:themeColor="text1"/>
        </w:rPr>
        <w:t xml:space="preserve"> (</w:t>
      </w:r>
      <w:proofErr w:type="spellStart"/>
      <w:r w:rsidR="00907C28" w:rsidRPr="00705170">
        <w:rPr>
          <w:rFonts w:ascii="Times New Roman" w:hAnsi="Times New Roman" w:cs="Times New Roman"/>
          <w:color w:val="000000" w:themeColor="text1"/>
        </w:rPr>
        <w:t>i.e</w:t>
      </w:r>
      <w:proofErr w:type="spellEnd"/>
      <w:r w:rsidR="00907C28" w:rsidRPr="00705170">
        <w:rPr>
          <w:rFonts w:ascii="Times New Roman" w:hAnsi="Times New Roman" w:cs="Times New Roman"/>
          <w:color w:val="000000" w:themeColor="text1"/>
        </w:rPr>
        <w:t xml:space="preserve">., </w:t>
      </w:r>
      <w:proofErr w:type="spellStart"/>
      <w:r w:rsidR="0018570A" w:rsidRPr="00705170">
        <w:rPr>
          <w:rFonts w:ascii="Times New Roman" w:hAnsi="Times New Roman" w:cs="Times New Roman"/>
          <w:color w:val="000000" w:themeColor="text1"/>
        </w:rPr>
        <w:t>should</w:t>
      </w:r>
      <w:proofErr w:type="spellEnd"/>
      <w:r w:rsidR="0018570A" w:rsidRPr="00705170">
        <w:rPr>
          <w:rFonts w:ascii="Times New Roman" w:hAnsi="Times New Roman" w:cs="Times New Roman"/>
          <w:color w:val="000000" w:themeColor="text1"/>
        </w:rPr>
        <w:t xml:space="preserve"> </w:t>
      </w:r>
      <w:r w:rsidR="00907C28" w:rsidRPr="00705170">
        <w:rPr>
          <w:rFonts w:ascii="Times New Roman" w:hAnsi="Times New Roman" w:cs="Times New Roman"/>
          <w:color w:val="000000" w:themeColor="text1"/>
        </w:rPr>
        <w:t xml:space="preserve">not be </w:t>
      </w:r>
      <w:proofErr w:type="spellStart"/>
      <w:r w:rsidR="00907C28" w:rsidRPr="00705170">
        <w:rPr>
          <w:rFonts w:ascii="Times New Roman" w:hAnsi="Times New Roman" w:cs="Times New Roman"/>
          <w:color w:val="000000" w:themeColor="text1"/>
        </w:rPr>
        <w:t>hidden</w:t>
      </w:r>
      <w:proofErr w:type="spellEnd"/>
      <w:r w:rsidR="00907C28" w:rsidRPr="00705170">
        <w:rPr>
          <w:rFonts w:ascii="Times New Roman" w:hAnsi="Times New Roman" w:cs="Times New Roman"/>
          <w:color w:val="000000" w:themeColor="text1"/>
        </w:rPr>
        <w:t xml:space="preserve"> </w:t>
      </w:r>
      <w:proofErr w:type="spellStart"/>
      <w:r w:rsidR="00907C28" w:rsidRPr="00705170">
        <w:rPr>
          <w:rFonts w:ascii="Times New Roman" w:hAnsi="Times New Roman" w:cs="Times New Roman"/>
          <w:color w:val="000000" w:themeColor="text1"/>
        </w:rPr>
        <w:t>and</w:t>
      </w:r>
      <w:proofErr w:type="spellEnd"/>
      <w:r w:rsidR="00907C28" w:rsidRPr="00705170">
        <w:rPr>
          <w:rFonts w:ascii="Times New Roman" w:hAnsi="Times New Roman" w:cs="Times New Roman"/>
          <w:color w:val="000000" w:themeColor="text1"/>
        </w:rPr>
        <w:t xml:space="preserve"> </w:t>
      </w:r>
      <w:proofErr w:type="spellStart"/>
      <w:r w:rsidR="00907C28" w:rsidRPr="00705170">
        <w:rPr>
          <w:rFonts w:ascii="Times New Roman" w:hAnsi="Times New Roman" w:cs="Times New Roman"/>
          <w:color w:val="000000" w:themeColor="text1"/>
        </w:rPr>
        <w:t>unrealistic</w:t>
      </w:r>
      <w:proofErr w:type="spellEnd"/>
      <w:r w:rsidR="00907C28" w:rsidRPr="00705170">
        <w:rPr>
          <w:rFonts w:ascii="Times New Roman" w:hAnsi="Times New Roman" w:cs="Times New Roman"/>
          <w:color w:val="000000" w:themeColor="text1"/>
        </w:rPr>
        <w:t xml:space="preserve"> </w:t>
      </w:r>
      <w:proofErr w:type="spellStart"/>
      <w:r w:rsidR="00907C28" w:rsidRPr="00705170">
        <w:rPr>
          <w:rFonts w:ascii="Times New Roman" w:hAnsi="Times New Roman" w:cs="Times New Roman"/>
          <w:color w:val="000000" w:themeColor="text1"/>
        </w:rPr>
        <w:t>hopes</w:t>
      </w:r>
      <w:proofErr w:type="spellEnd"/>
      <w:r w:rsidR="00907C28" w:rsidRPr="00705170">
        <w:rPr>
          <w:rFonts w:ascii="Times New Roman" w:hAnsi="Times New Roman" w:cs="Times New Roman"/>
          <w:color w:val="000000" w:themeColor="text1"/>
        </w:rPr>
        <w:t xml:space="preserve"> </w:t>
      </w:r>
      <w:proofErr w:type="spellStart"/>
      <w:r w:rsidR="00907C28" w:rsidRPr="00705170">
        <w:rPr>
          <w:rFonts w:ascii="Times New Roman" w:hAnsi="Times New Roman" w:cs="Times New Roman"/>
          <w:color w:val="000000" w:themeColor="text1"/>
        </w:rPr>
        <w:t>unknown</w:t>
      </w:r>
      <w:proofErr w:type="spellEnd"/>
      <w:r w:rsidR="00907C28" w:rsidRPr="00705170">
        <w:rPr>
          <w:rFonts w:ascii="Times New Roman" w:hAnsi="Times New Roman" w:cs="Times New Roman"/>
          <w:color w:val="000000" w:themeColor="text1"/>
        </w:rPr>
        <w:t xml:space="preserve"> </w:t>
      </w:r>
      <w:proofErr w:type="spellStart"/>
      <w:r w:rsidR="00907C28" w:rsidRPr="00705170">
        <w:rPr>
          <w:rFonts w:ascii="Times New Roman" w:hAnsi="Times New Roman" w:cs="Times New Roman"/>
          <w:color w:val="000000" w:themeColor="text1"/>
        </w:rPr>
        <w:t>by</w:t>
      </w:r>
      <w:proofErr w:type="spellEnd"/>
      <w:r w:rsidR="00907C28" w:rsidRPr="00705170">
        <w:rPr>
          <w:rFonts w:ascii="Times New Roman" w:hAnsi="Times New Roman" w:cs="Times New Roman"/>
          <w:color w:val="000000" w:themeColor="text1"/>
        </w:rPr>
        <w:t xml:space="preserve"> </w:t>
      </w:r>
      <w:proofErr w:type="spellStart"/>
      <w:r w:rsidR="00907C28" w:rsidRPr="00705170">
        <w:rPr>
          <w:rFonts w:ascii="Times New Roman" w:hAnsi="Times New Roman" w:cs="Times New Roman"/>
          <w:color w:val="000000" w:themeColor="text1"/>
        </w:rPr>
        <w:t>anyone</w:t>
      </w:r>
      <w:proofErr w:type="spellEnd"/>
      <w:r w:rsidR="00907C28" w:rsidRPr="00705170">
        <w:rPr>
          <w:rFonts w:ascii="Times New Roman" w:hAnsi="Times New Roman" w:cs="Times New Roman"/>
          <w:color w:val="000000" w:themeColor="text1"/>
        </w:rPr>
        <w:t>)</w:t>
      </w:r>
      <w:r w:rsidR="00706C6F" w:rsidRPr="00705170">
        <w:rPr>
          <w:rStyle w:val="DipnotBavurusu"/>
          <w:rFonts w:ascii="Times New Roman" w:hAnsi="Times New Roman" w:cs="Times New Roman"/>
          <w:color w:val="000000" w:themeColor="text1"/>
        </w:rPr>
        <w:footnoteReference w:id="719"/>
      </w:r>
      <w:r w:rsidR="00907C28"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Corollary</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these</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four</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components</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also</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represent</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the</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four</w:t>
      </w:r>
      <w:proofErr w:type="spellEnd"/>
      <w:r w:rsidR="00773F1F" w:rsidRPr="00705170">
        <w:rPr>
          <w:rFonts w:ascii="Times New Roman" w:hAnsi="Times New Roman" w:cs="Times New Roman"/>
          <w:color w:val="000000" w:themeColor="text1"/>
        </w:rPr>
        <w:t xml:space="preserve">- step </w:t>
      </w:r>
      <w:proofErr w:type="spellStart"/>
      <w:r w:rsidR="00773F1F" w:rsidRPr="00705170">
        <w:rPr>
          <w:rFonts w:ascii="Times New Roman" w:hAnsi="Times New Roman" w:cs="Times New Roman"/>
          <w:color w:val="000000" w:themeColor="text1"/>
        </w:rPr>
        <w:t>requirement</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for</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relief</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under</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the</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reasonable</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expectations</w:t>
      </w:r>
      <w:proofErr w:type="spellEnd"/>
      <w:r w:rsidR="00773F1F" w:rsidRPr="00705170">
        <w:rPr>
          <w:rFonts w:ascii="Times New Roman" w:hAnsi="Times New Roman" w:cs="Times New Roman"/>
          <w:color w:val="000000" w:themeColor="text1"/>
        </w:rPr>
        <w:t xml:space="preserve"> </w:t>
      </w:r>
      <w:proofErr w:type="spellStart"/>
      <w:r w:rsidR="00773F1F" w:rsidRPr="00705170">
        <w:rPr>
          <w:rFonts w:ascii="Times New Roman" w:hAnsi="Times New Roman" w:cs="Times New Roman"/>
          <w:color w:val="000000" w:themeColor="text1"/>
        </w:rPr>
        <w:t>analysis</w:t>
      </w:r>
      <w:proofErr w:type="spellEnd"/>
      <w:r w:rsidR="00773F1F" w:rsidRPr="00705170">
        <w:rPr>
          <w:rStyle w:val="DipnotBavurusu"/>
          <w:rFonts w:ascii="Times New Roman" w:hAnsi="Times New Roman" w:cs="Times New Roman"/>
          <w:color w:val="000000" w:themeColor="text1"/>
        </w:rPr>
        <w:footnoteReference w:id="720"/>
      </w:r>
      <w:r w:rsidR="00773F1F" w:rsidRPr="00705170">
        <w:rPr>
          <w:rFonts w:ascii="Times New Roman" w:hAnsi="Times New Roman" w:cs="Times New Roman"/>
          <w:color w:val="000000" w:themeColor="text1"/>
        </w:rPr>
        <w:t>.</w:t>
      </w:r>
    </w:p>
    <w:p w14:paraId="0C493E3E" w14:textId="7BC3791E" w:rsidR="00AC3AFD" w:rsidRPr="00705170" w:rsidRDefault="00AC3AFD" w:rsidP="009D2708">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approach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allows</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apply</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reference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actions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886122" w:rsidRPr="00705170">
        <w:rPr>
          <w:rFonts w:ascii="Times New Roman" w:hAnsi="Times New Roman" w:cs="Times New Roman"/>
        </w:rPr>
        <w:t>abuser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Style w:val="DipnotBavurusu"/>
          <w:rFonts w:ascii="Times New Roman" w:hAnsi="Times New Roman" w:cs="Times New Roman"/>
        </w:rPr>
        <w:footnoteReference w:id="721"/>
      </w:r>
      <w:r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sense,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886122" w:rsidRPr="00705170">
        <w:rPr>
          <w:rFonts w:ascii="Times New Roman" w:hAnsi="Times New Roman" w:cs="Times New Roman"/>
        </w:rPr>
        <w:t>oppressor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made</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good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faith</w:t>
      </w:r>
      <w:proofErr w:type="spellEnd"/>
      <w:r w:rsidRPr="00705170">
        <w:rPr>
          <w:rFonts w:ascii="Times New Roman" w:hAnsi="Times New Roman" w:cs="Times New Roman"/>
        </w:rPr>
        <w:t xml:space="preserve">, but can </w:t>
      </w:r>
      <w:proofErr w:type="spellStart"/>
      <w:r w:rsidRPr="00705170">
        <w:rPr>
          <w:rFonts w:ascii="Times New Roman" w:hAnsi="Times New Roman" w:cs="Times New Roman"/>
        </w:rPr>
        <w:t>still</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oppressive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frustrates</w:t>
      </w:r>
      <w:proofErr w:type="spellEnd"/>
      <w:r w:rsidRPr="00705170">
        <w:rPr>
          <w:rFonts w:ascii="Times New Roman" w:hAnsi="Times New Roman" w:cs="Times New Roman"/>
        </w:rPr>
        <w:t xml:space="preserve"> a </w:t>
      </w:r>
      <w:proofErr w:type="spellStart"/>
      <w:r w:rsidR="00886122" w:rsidRPr="00705170">
        <w:rPr>
          <w:rFonts w:ascii="Times New Roman" w:hAnsi="Times New Roman" w:cs="Times New Roman"/>
        </w:rPr>
        <w:t>minority</w:t>
      </w:r>
      <w:proofErr w:type="spellEnd"/>
      <w:r w:rsidR="00886122"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Style w:val="DipnotBavurusu"/>
          <w:rFonts w:ascii="Times New Roman" w:hAnsi="Times New Roman" w:cs="Times New Roman"/>
        </w:rPr>
        <w:footnoteReference w:id="722"/>
      </w:r>
      <w:r w:rsidRPr="00705170">
        <w:rPr>
          <w:rFonts w:ascii="Times New Roman" w:hAnsi="Times New Roman" w:cs="Times New Roman"/>
        </w:rPr>
        <w:t xml:space="preserve">. </w:t>
      </w:r>
      <w:proofErr w:type="spellStart"/>
      <w:r w:rsidR="00DD48E1" w:rsidRPr="00705170">
        <w:rPr>
          <w:rFonts w:ascii="Times New Roman" w:hAnsi="Times New Roman" w:cs="Times New Roman"/>
        </w:rPr>
        <w:t>The</w:t>
      </w:r>
      <w:proofErr w:type="spellEnd"/>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focus</w:t>
      </w:r>
      <w:proofErr w:type="spellEnd"/>
      <w:r w:rsidR="00DD48E1" w:rsidRPr="00705170">
        <w:rPr>
          <w:rFonts w:ascii="Times New Roman" w:hAnsi="Times New Roman" w:cs="Times New Roman"/>
        </w:rPr>
        <w:t xml:space="preserve"> of </w:t>
      </w:r>
      <w:proofErr w:type="spellStart"/>
      <w:r w:rsidR="00DD48E1" w:rsidRPr="00705170">
        <w:rPr>
          <w:rFonts w:ascii="Times New Roman" w:hAnsi="Times New Roman" w:cs="Times New Roman"/>
        </w:rPr>
        <w:t>the</w:t>
      </w:r>
      <w:proofErr w:type="spellEnd"/>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standard</w:t>
      </w:r>
      <w:proofErr w:type="spellEnd"/>
      <w:r w:rsidR="00DD48E1" w:rsidRPr="00705170">
        <w:rPr>
          <w:rFonts w:ascii="Times New Roman" w:hAnsi="Times New Roman" w:cs="Times New Roman"/>
        </w:rPr>
        <w:t xml:space="preserve"> is on </w:t>
      </w:r>
      <w:proofErr w:type="spellStart"/>
      <w:r w:rsidR="00DD48E1" w:rsidRPr="00705170">
        <w:rPr>
          <w:rFonts w:ascii="Times New Roman" w:hAnsi="Times New Roman" w:cs="Times New Roman"/>
        </w:rPr>
        <w:t>the</w:t>
      </w:r>
      <w:proofErr w:type="spellEnd"/>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expectations</w:t>
      </w:r>
      <w:proofErr w:type="spellEnd"/>
      <w:r w:rsidR="00DD48E1" w:rsidRPr="00705170">
        <w:rPr>
          <w:rFonts w:ascii="Times New Roman" w:hAnsi="Times New Roman" w:cs="Times New Roman"/>
        </w:rPr>
        <w:t xml:space="preserve"> of </w:t>
      </w:r>
      <w:proofErr w:type="spellStart"/>
      <w:r w:rsidR="00DD48E1" w:rsidRPr="00705170">
        <w:rPr>
          <w:rFonts w:ascii="Times New Roman" w:hAnsi="Times New Roman" w:cs="Times New Roman"/>
        </w:rPr>
        <w:t>the</w:t>
      </w:r>
      <w:proofErr w:type="spellEnd"/>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minority</w:t>
      </w:r>
      <w:proofErr w:type="spellEnd"/>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and</w:t>
      </w:r>
      <w:proofErr w:type="spellEnd"/>
      <w:r w:rsidR="00DD48E1" w:rsidRPr="00705170">
        <w:rPr>
          <w:rFonts w:ascii="Times New Roman" w:hAnsi="Times New Roman" w:cs="Times New Roman"/>
        </w:rPr>
        <w:t xml:space="preserve"> not on </w:t>
      </w:r>
      <w:proofErr w:type="spellStart"/>
      <w:r w:rsidR="00DD48E1" w:rsidRPr="00705170">
        <w:rPr>
          <w:rFonts w:ascii="Times New Roman" w:hAnsi="Times New Roman" w:cs="Times New Roman"/>
        </w:rPr>
        <w:t>the</w:t>
      </w:r>
      <w:proofErr w:type="spellEnd"/>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conduct</w:t>
      </w:r>
      <w:proofErr w:type="spellEnd"/>
      <w:r w:rsidR="00DD48E1" w:rsidRPr="00705170">
        <w:rPr>
          <w:rFonts w:ascii="Times New Roman" w:hAnsi="Times New Roman" w:cs="Times New Roman"/>
        </w:rPr>
        <w:t xml:space="preserve"> of </w:t>
      </w:r>
      <w:proofErr w:type="spellStart"/>
      <w:r w:rsidR="00DD48E1" w:rsidRPr="00705170">
        <w:rPr>
          <w:rFonts w:ascii="Times New Roman" w:hAnsi="Times New Roman" w:cs="Times New Roman"/>
        </w:rPr>
        <w:t>the</w:t>
      </w:r>
      <w:proofErr w:type="spellEnd"/>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those</w:t>
      </w:r>
      <w:proofErr w:type="spellEnd"/>
      <w:r w:rsidR="00DD48E1" w:rsidRPr="00705170">
        <w:rPr>
          <w:rFonts w:ascii="Times New Roman" w:hAnsi="Times New Roman" w:cs="Times New Roman"/>
        </w:rPr>
        <w:t xml:space="preserve"> in </w:t>
      </w:r>
      <w:proofErr w:type="spellStart"/>
      <w:r w:rsidR="00DD48E1" w:rsidRPr="00705170">
        <w:rPr>
          <w:rFonts w:ascii="Times New Roman" w:hAnsi="Times New Roman" w:cs="Times New Roman"/>
        </w:rPr>
        <w:t>control</w:t>
      </w:r>
      <w:proofErr w:type="spellEnd"/>
      <w:r w:rsidR="00DD48E1" w:rsidRPr="00705170">
        <w:rPr>
          <w:rStyle w:val="DipnotBavurusu"/>
          <w:rFonts w:ascii="Times New Roman" w:hAnsi="Times New Roman" w:cs="Times New Roman"/>
        </w:rPr>
        <w:footnoteReference w:id="723"/>
      </w:r>
      <w:r w:rsidR="00DD48E1" w:rsidRPr="00705170">
        <w:rPr>
          <w:rFonts w:ascii="Times New Roman" w:hAnsi="Times New Roman" w:cs="Times New Roman"/>
        </w:rPr>
        <w:t xml:space="preserve">. </w:t>
      </w:r>
      <w:proofErr w:type="spellStart"/>
      <w:r w:rsidR="00DF1C7B" w:rsidRPr="00705170">
        <w:rPr>
          <w:rFonts w:ascii="Times New Roman" w:hAnsi="Times New Roman" w:cs="Times New Roman"/>
        </w:rPr>
        <w:t>This</w:t>
      </w:r>
      <w:proofErr w:type="spellEnd"/>
      <w:r w:rsidR="00DF1C7B" w:rsidRPr="00705170">
        <w:rPr>
          <w:rFonts w:ascii="Times New Roman" w:hAnsi="Times New Roman" w:cs="Times New Roman"/>
        </w:rPr>
        <w:t xml:space="preserve"> is </w:t>
      </w:r>
      <w:proofErr w:type="spellStart"/>
      <w:r w:rsidR="00DD48E1" w:rsidRPr="00705170">
        <w:rPr>
          <w:rFonts w:ascii="Times New Roman" w:hAnsi="Times New Roman" w:cs="Times New Roman"/>
        </w:rPr>
        <w:t>why</w:t>
      </w:r>
      <w:proofErr w:type="spellEnd"/>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the</w:t>
      </w:r>
      <w:proofErr w:type="spellEnd"/>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standard</w:t>
      </w:r>
      <w:proofErr w:type="spellEnd"/>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does</w:t>
      </w:r>
      <w:proofErr w:type="spellEnd"/>
      <w:r w:rsidR="00DD48E1" w:rsidRPr="00705170">
        <w:rPr>
          <w:rFonts w:ascii="Times New Roman" w:hAnsi="Times New Roman" w:cs="Times New Roman"/>
        </w:rPr>
        <w:t xml:space="preserve"> not </w:t>
      </w:r>
      <w:proofErr w:type="spellStart"/>
      <w:r w:rsidR="00DD48E1" w:rsidRPr="00705170">
        <w:rPr>
          <w:rFonts w:ascii="Times New Roman" w:hAnsi="Times New Roman" w:cs="Times New Roman"/>
        </w:rPr>
        <w:t>require</w:t>
      </w:r>
      <w:proofErr w:type="spellEnd"/>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the</w:t>
      </w:r>
      <w:proofErr w:type="spellEnd"/>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establishment</w:t>
      </w:r>
      <w:proofErr w:type="spellEnd"/>
      <w:r w:rsidR="00DD48E1" w:rsidRPr="00705170">
        <w:rPr>
          <w:rFonts w:ascii="Times New Roman" w:hAnsi="Times New Roman" w:cs="Times New Roman"/>
        </w:rPr>
        <w:t xml:space="preserve"> of “</w:t>
      </w:r>
      <w:proofErr w:type="spellStart"/>
      <w:r w:rsidR="00DD48E1" w:rsidRPr="00705170">
        <w:rPr>
          <w:rFonts w:ascii="Times New Roman" w:hAnsi="Times New Roman" w:cs="Times New Roman"/>
        </w:rPr>
        <w:t>bad</w:t>
      </w:r>
      <w:proofErr w:type="spellEnd"/>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faith</w:t>
      </w:r>
      <w:proofErr w:type="spellEnd"/>
      <w:r w:rsidR="00DD48E1" w:rsidRPr="00705170">
        <w:rPr>
          <w:rFonts w:ascii="Times New Roman" w:hAnsi="Times New Roman" w:cs="Times New Roman"/>
        </w:rPr>
        <w:t>”</w:t>
      </w:r>
      <w:r w:rsidR="00773F1F" w:rsidRPr="00705170">
        <w:rPr>
          <w:rFonts w:ascii="Times New Roman" w:hAnsi="Times New Roman" w:cs="Times New Roman"/>
        </w:rPr>
        <w:t xml:space="preserve"> of </w:t>
      </w:r>
      <w:proofErr w:type="spellStart"/>
      <w:r w:rsidR="00773F1F" w:rsidRPr="00705170">
        <w:rPr>
          <w:rFonts w:ascii="Times New Roman" w:hAnsi="Times New Roman" w:cs="Times New Roman"/>
        </w:rPr>
        <w:t>the</w:t>
      </w:r>
      <w:proofErr w:type="spellEnd"/>
      <w:r w:rsidR="00773F1F" w:rsidRPr="00705170">
        <w:rPr>
          <w:rFonts w:ascii="Times New Roman" w:hAnsi="Times New Roman" w:cs="Times New Roman"/>
        </w:rPr>
        <w:t xml:space="preserve"> </w:t>
      </w:r>
      <w:proofErr w:type="spellStart"/>
      <w:r w:rsidR="00773F1F" w:rsidRPr="00705170">
        <w:rPr>
          <w:rFonts w:ascii="Times New Roman" w:hAnsi="Times New Roman" w:cs="Times New Roman"/>
        </w:rPr>
        <w:t>oppresso</w:t>
      </w:r>
      <w:r w:rsidR="00DD48E1" w:rsidRPr="00705170">
        <w:rPr>
          <w:rFonts w:ascii="Times New Roman" w:hAnsi="Times New Roman" w:cs="Times New Roman"/>
        </w:rPr>
        <w:t>r</w:t>
      </w:r>
      <w:proofErr w:type="spellEnd"/>
      <w:r w:rsidR="00DF1C7B" w:rsidRPr="00705170">
        <w:rPr>
          <w:rFonts w:ascii="Times New Roman" w:hAnsi="Times New Roman" w:cs="Times New Roman"/>
        </w:rPr>
        <w:t xml:space="preserve"> </w:t>
      </w:r>
      <w:proofErr w:type="spellStart"/>
      <w:r w:rsidR="00DF1C7B" w:rsidRPr="00705170">
        <w:rPr>
          <w:rFonts w:ascii="Times New Roman" w:hAnsi="Times New Roman" w:cs="Times New Roman"/>
        </w:rPr>
        <w:t>by</w:t>
      </w:r>
      <w:proofErr w:type="spellEnd"/>
      <w:r w:rsidR="00DF1C7B" w:rsidRPr="00705170">
        <w:rPr>
          <w:rFonts w:ascii="Times New Roman" w:hAnsi="Times New Roman" w:cs="Times New Roman"/>
        </w:rPr>
        <w:t xml:space="preserve"> </w:t>
      </w:r>
      <w:proofErr w:type="spellStart"/>
      <w:r w:rsidR="00DF1C7B" w:rsidRPr="00705170">
        <w:rPr>
          <w:rFonts w:ascii="Times New Roman" w:hAnsi="Times New Roman" w:cs="Times New Roman"/>
        </w:rPr>
        <w:t>the</w:t>
      </w:r>
      <w:proofErr w:type="spellEnd"/>
      <w:r w:rsidR="00DF1C7B" w:rsidRPr="00705170">
        <w:rPr>
          <w:rFonts w:ascii="Times New Roman" w:hAnsi="Times New Roman" w:cs="Times New Roman"/>
        </w:rPr>
        <w:t xml:space="preserve"> </w:t>
      </w:r>
      <w:proofErr w:type="spellStart"/>
      <w:r w:rsidR="00DF1C7B" w:rsidRPr="00705170">
        <w:rPr>
          <w:rFonts w:ascii="Times New Roman" w:hAnsi="Times New Roman" w:cs="Times New Roman"/>
        </w:rPr>
        <w:t>complaining</w:t>
      </w:r>
      <w:proofErr w:type="spellEnd"/>
      <w:r w:rsidR="00DF1C7B" w:rsidRPr="00705170">
        <w:rPr>
          <w:rFonts w:ascii="Times New Roman" w:hAnsi="Times New Roman" w:cs="Times New Roman"/>
        </w:rPr>
        <w:t xml:space="preserve"> </w:t>
      </w:r>
      <w:proofErr w:type="spellStart"/>
      <w:r w:rsidR="00DF1C7B" w:rsidRPr="00705170">
        <w:rPr>
          <w:rFonts w:ascii="Times New Roman" w:hAnsi="Times New Roman" w:cs="Times New Roman"/>
        </w:rPr>
        <w:lastRenderedPageBreak/>
        <w:t>shareholder</w:t>
      </w:r>
      <w:proofErr w:type="spellEnd"/>
      <w:r w:rsidR="00DF1C7B" w:rsidRPr="00705170">
        <w:rPr>
          <w:rStyle w:val="DipnotBavurusu"/>
          <w:rFonts w:ascii="Times New Roman" w:hAnsi="Times New Roman" w:cs="Times New Roman"/>
        </w:rPr>
        <w:footnoteReference w:id="724"/>
      </w:r>
      <w:r w:rsidR="00DD48E1" w:rsidRPr="00705170">
        <w:rPr>
          <w:rFonts w:ascii="Times New Roman" w:hAnsi="Times New Roman" w:cs="Times New Roman"/>
        </w:rPr>
        <w:t xml:space="preserve">. </w:t>
      </w:r>
      <w:proofErr w:type="spellStart"/>
      <w:r w:rsidR="00DD48E1" w:rsidRPr="00705170">
        <w:rPr>
          <w:rFonts w:ascii="Times New Roman" w:hAnsi="Times New Roman" w:cs="Times New Roman"/>
        </w:rPr>
        <w:t>Accordingly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courts</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look</w:t>
      </w:r>
      <w:proofErr w:type="spellEnd"/>
      <w:r w:rsidRPr="00705170">
        <w:rPr>
          <w:rFonts w:ascii="Times New Roman" w:hAnsi="Times New Roman" w:cs="Times New Roman"/>
        </w:rPr>
        <w:t xml:space="preserve"> at how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662847" w:rsidRPr="00705170">
        <w:rPr>
          <w:rFonts w:ascii="Times New Roman" w:hAnsi="Times New Roman" w:cs="Times New Roman"/>
        </w:rPr>
        <w:t>oppressor</w:t>
      </w:r>
      <w:proofErr w:type="spellEnd"/>
      <w:r w:rsidR="00662847" w:rsidRPr="00705170">
        <w:rPr>
          <w:rFonts w:ascii="Times New Roman" w:hAnsi="Times New Roman" w:cs="Times New Roman"/>
        </w:rPr>
        <w:t xml:space="preserve"> </w:t>
      </w:r>
      <w:proofErr w:type="spellStart"/>
      <w:r w:rsidR="00662847" w:rsidRPr="00705170">
        <w:rPr>
          <w:rFonts w:ascii="Times New Roman" w:hAnsi="Times New Roman" w:cs="Times New Roman"/>
        </w:rPr>
        <w:t>shareholders</w:t>
      </w:r>
      <w:proofErr w:type="spellEnd"/>
      <w:r w:rsidR="00662847" w:rsidRPr="00705170">
        <w:rPr>
          <w:rFonts w:ascii="Times New Roman" w:hAnsi="Times New Roman" w:cs="Times New Roman"/>
        </w:rPr>
        <w:t xml:space="preserve"> </w:t>
      </w:r>
      <w:proofErr w:type="spellStart"/>
      <w:r w:rsidR="00662847" w:rsidRPr="00705170">
        <w:rPr>
          <w:rFonts w:ascii="Times New Roman" w:hAnsi="Times New Roman" w:cs="Times New Roman"/>
        </w:rPr>
        <w:t>e</w:t>
      </w:r>
      <w:r w:rsidRPr="00705170">
        <w:rPr>
          <w:rFonts w:ascii="Times New Roman" w:hAnsi="Times New Roman" w:cs="Times New Roman"/>
        </w:rPr>
        <w:t>ffect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looking</w:t>
      </w:r>
      <w:proofErr w:type="spellEnd"/>
      <w:r w:rsidRPr="00705170">
        <w:rPr>
          <w:rFonts w:ascii="Times New Roman" w:hAnsi="Times New Roman" w:cs="Times New Roman"/>
        </w:rPr>
        <w:t xml:space="preserve"> at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themselves</w:t>
      </w:r>
      <w:proofErr w:type="spellEnd"/>
      <w:r w:rsidRPr="00705170">
        <w:rPr>
          <w:rStyle w:val="DipnotBavurusu"/>
          <w:rFonts w:ascii="Times New Roman" w:hAnsi="Times New Roman" w:cs="Times New Roman"/>
        </w:rPr>
        <w:footnoteReference w:id="725"/>
      </w:r>
      <w:r w:rsidRPr="00705170">
        <w:rPr>
          <w:rFonts w:ascii="Times New Roman" w:hAnsi="Times New Roman" w:cs="Times New Roman"/>
        </w:rPr>
        <w:t>.</w:t>
      </w:r>
      <w:r w:rsidR="009D2708" w:rsidRPr="00705170">
        <w:rPr>
          <w:rFonts w:ascii="Times New Roman" w:hAnsi="Times New Roman" w:cs="Times New Roman"/>
        </w:rPr>
        <w:t xml:space="preserve"> </w:t>
      </w:r>
      <w:proofErr w:type="spellStart"/>
      <w:r w:rsidR="0031187B" w:rsidRPr="00705170">
        <w:rPr>
          <w:rFonts w:ascii="Times New Roman" w:hAnsi="Times New Roman" w:cs="Times New Roman"/>
        </w:rPr>
        <w:t>Herein</w:t>
      </w:r>
      <w:proofErr w:type="spellEnd"/>
      <w:r w:rsidR="0031187B" w:rsidRPr="00705170">
        <w:rPr>
          <w:rFonts w:ascii="Times New Roman" w:hAnsi="Times New Roman" w:cs="Times New Roman"/>
        </w:rPr>
        <w:t>, “</w:t>
      </w:r>
      <w:proofErr w:type="spellStart"/>
      <w:r w:rsidR="0031187B" w:rsidRPr="00705170">
        <w:rPr>
          <w:rFonts w:ascii="Times New Roman" w:hAnsi="Times New Roman" w:cs="Times New Roman"/>
        </w:rPr>
        <w:t>from</w:t>
      </w:r>
      <w:proofErr w:type="spellEnd"/>
      <w:r w:rsidR="0031187B" w:rsidRPr="00705170">
        <w:rPr>
          <w:rFonts w:ascii="Times New Roman" w:hAnsi="Times New Roman" w:cs="Times New Roman"/>
        </w:rPr>
        <w:t xml:space="preserve"> an </w:t>
      </w:r>
      <w:proofErr w:type="spellStart"/>
      <w:r w:rsidR="0031187B" w:rsidRPr="00705170">
        <w:rPr>
          <w:rFonts w:ascii="Times New Roman" w:hAnsi="Times New Roman" w:cs="Times New Roman"/>
        </w:rPr>
        <w:t>evidentiary</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standpoint</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the</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courts</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analyses</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seem</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to</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require</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to</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types</w:t>
      </w:r>
      <w:proofErr w:type="spellEnd"/>
      <w:r w:rsidR="0031187B" w:rsidRPr="00705170">
        <w:rPr>
          <w:rFonts w:ascii="Times New Roman" w:hAnsi="Times New Roman" w:cs="Times New Roman"/>
        </w:rPr>
        <w:t xml:space="preserve"> of </w:t>
      </w:r>
      <w:proofErr w:type="spellStart"/>
      <w:r w:rsidR="0031187B" w:rsidRPr="00705170">
        <w:rPr>
          <w:rFonts w:ascii="Times New Roman" w:hAnsi="Times New Roman" w:cs="Times New Roman"/>
        </w:rPr>
        <w:t>pattern</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related</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evidence</w:t>
      </w:r>
      <w:proofErr w:type="spellEnd"/>
      <w:r w:rsidR="0031187B" w:rsidRPr="00705170">
        <w:rPr>
          <w:rFonts w:ascii="Times New Roman" w:hAnsi="Times New Roman" w:cs="Times New Roman"/>
        </w:rPr>
        <w:t xml:space="preserve">: (1) general </w:t>
      </w:r>
      <w:proofErr w:type="spellStart"/>
      <w:r w:rsidR="0031187B" w:rsidRPr="00705170">
        <w:rPr>
          <w:rFonts w:ascii="Times New Roman" w:hAnsi="Times New Roman" w:cs="Times New Roman"/>
        </w:rPr>
        <w:t>evidence</w:t>
      </w:r>
      <w:proofErr w:type="spellEnd"/>
      <w:r w:rsidR="0031187B" w:rsidRPr="00705170">
        <w:rPr>
          <w:rFonts w:ascii="Times New Roman" w:hAnsi="Times New Roman" w:cs="Times New Roman"/>
        </w:rPr>
        <w:t xml:space="preserve"> of a </w:t>
      </w:r>
      <w:proofErr w:type="spellStart"/>
      <w:r w:rsidR="0031187B" w:rsidRPr="00705170">
        <w:rPr>
          <w:rFonts w:ascii="Times New Roman" w:hAnsi="Times New Roman" w:cs="Times New Roman"/>
        </w:rPr>
        <w:t>behavioral</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pattern</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that</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appears</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typical</w:t>
      </w:r>
      <w:proofErr w:type="spellEnd"/>
      <w:r w:rsidR="0031187B" w:rsidRPr="00705170">
        <w:rPr>
          <w:rFonts w:ascii="Times New Roman" w:hAnsi="Times New Roman" w:cs="Times New Roman"/>
        </w:rPr>
        <w:t xml:space="preserve"> in </w:t>
      </w:r>
      <w:proofErr w:type="spellStart"/>
      <w:r w:rsidR="0031187B" w:rsidRPr="00705170">
        <w:rPr>
          <w:rFonts w:ascii="Times New Roman" w:hAnsi="Times New Roman" w:cs="Times New Roman"/>
        </w:rPr>
        <w:t>close</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corporations</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and</w:t>
      </w:r>
      <w:proofErr w:type="spellEnd"/>
      <w:r w:rsidR="0031187B" w:rsidRPr="00705170">
        <w:rPr>
          <w:rFonts w:ascii="Times New Roman" w:hAnsi="Times New Roman" w:cs="Times New Roman"/>
        </w:rPr>
        <w:t xml:space="preserve"> (2) </w:t>
      </w:r>
      <w:proofErr w:type="spellStart"/>
      <w:r w:rsidR="0031187B" w:rsidRPr="00705170">
        <w:rPr>
          <w:rFonts w:ascii="Times New Roman" w:hAnsi="Times New Roman" w:cs="Times New Roman"/>
        </w:rPr>
        <w:t>specific</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evidence</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that</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the</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shareholders</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actual</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course</w:t>
      </w:r>
      <w:proofErr w:type="spellEnd"/>
      <w:r w:rsidR="0031187B" w:rsidRPr="00705170">
        <w:rPr>
          <w:rFonts w:ascii="Times New Roman" w:hAnsi="Times New Roman" w:cs="Times New Roman"/>
        </w:rPr>
        <w:t xml:space="preserve"> of </w:t>
      </w:r>
      <w:proofErr w:type="spellStart"/>
      <w:r w:rsidR="0031187B" w:rsidRPr="00705170">
        <w:rPr>
          <w:rFonts w:ascii="Times New Roman" w:hAnsi="Times New Roman" w:cs="Times New Roman"/>
        </w:rPr>
        <w:t>conduct</w:t>
      </w:r>
      <w:proofErr w:type="spellEnd"/>
      <w:r w:rsidR="0031187B" w:rsidRPr="00705170">
        <w:rPr>
          <w:rFonts w:ascii="Times New Roman" w:hAnsi="Times New Roman" w:cs="Times New Roman"/>
        </w:rPr>
        <w:t xml:space="preserve"> in </w:t>
      </w:r>
      <w:proofErr w:type="spellStart"/>
      <w:r w:rsidR="0031187B" w:rsidRPr="00705170">
        <w:rPr>
          <w:rFonts w:ascii="Times New Roman" w:hAnsi="Times New Roman" w:cs="Times New Roman"/>
        </w:rPr>
        <w:t>the</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company</w:t>
      </w:r>
      <w:proofErr w:type="spellEnd"/>
      <w:r w:rsidR="0031187B" w:rsidRPr="00705170">
        <w:rPr>
          <w:rFonts w:ascii="Times New Roman" w:hAnsi="Times New Roman" w:cs="Times New Roman"/>
        </w:rPr>
        <w:t xml:space="preserve"> at </w:t>
      </w:r>
      <w:proofErr w:type="spellStart"/>
      <w:r w:rsidR="0031187B" w:rsidRPr="00705170">
        <w:rPr>
          <w:rFonts w:ascii="Times New Roman" w:hAnsi="Times New Roman" w:cs="Times New Roman"/>
        </w:rPr>
        <w:t>issue</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fits</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within</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the</w:t>
      </w:r>
      <w:proofErr w:type="spellEnd"/>
      <w:r w:rsidR="0031187B" w:rsidRPr="00705170">
        <w:rPr>
          <w:rFonts w:ascii="Times New Roman" w:hAnsi="Times New Roman" w:cs="Times New Roman"/>
        </w:rPr>
        <w:t xml:space="preserve"> </w:t>
      </w:r>
      <w:proofErr w:type="spellStart"/>
      <w:r w:rsidR="0031187B" w:rsidRPr="00705170">
        <w:rPr>
          <w:rFonts w:ascii="Times New Roman" w:hAnsi="Times New Roman" w:cs="Times New Roman"/>
        </w:rPr>
        <w:t>pattern</w:t>
      </w:r>
      <w:proofErr w:type="spellEnd"/>
      <w:r w:rsidR="0031187B" w:rsidRPr="00705170">
        <w:rPr>
          <w:rFonts w:ascii="Times New Roman" w:hAnsi="Times New Roman" w:cs="Times New Roman"/>
        </w:rPr>
        <w:t>”</w:t>
      </w:r>
      <w:r w:rsidR="0031187B" w:rsidRPr="00705170">
        <w:rPr>
          <w:rStyle w:val="DipnotBavurusu"/>
          <w:rFonts w:ascii="Times New Roman" w:hAnsi="Times New Roman" w:cs="Times New Roman"/>
        </w:rPr>
        <w:footnoteReference w:id="726"/>
      </w:r>
      <w:r w:rsidR="0031187B" w:rsidRPr="00705170">
        <w:rPr>
          <w:rFonts w:ascii="Times New Roman" w:hAnsi="Times New Roman" w:cs="Times New Roman"/>
        </w:rPr>
        <w:t>.</w:t>
      </w:r>
      <w:r w:rsidR="00645671" w:rsidRPr="00705170">
        <w:rPr>
          <w:rFonts w:ascii="Times New Roman" w:hAnsi="Times New Roman" w:cs="Times New Roman"/>
        </w:rPr>
        <w:t xml:space="preserve"> </w:t>
      </w:r>
      <w:proofErr w:type="spellStart"/>
      <w:r w:rsidR="00645671" w:rsidRPr="00705170">
        <w:rPr>
          <w:rFonts w:ascii="Times New Roman" w:hAnsi="Times New Roman" w:cs="Times New Roman"/>
        </w:rPr>
        <w:t>The</w:t>
      </w:r>
      <w:proofErr w:type="spellEnd"/>
      <w:r w:rsidR="00645671" w:rsidRPr="00705170">
        <w:rPr>
          <w:rFonts w:ascii="Times New Roman" w:hAnsi="Times New Roman" w:cs="Times New Roman"/>
        </w:rPr>
        <w:t xml:space="preserve"> </w:t>
      </w:r>
      <w:proofErr w:type="spellStart"/>
      <w:r w:rsidR="00645671" w:rsidRPr="00705170">
        <w:rPr>
          <w:rFonts w:ascii="Times New Roman" w:hAnsi="Times New Roman" w:cs="Times New Roman"/>
        </w:rPr>
        <w:t>behavioral</w:t>
      </w:r>
      <w:proofErr w:type="spellEnd"/>
      <w:r w:rsidR="00645671" w:rsidRPr="00705170">
        <w:rPr>
          <w:rFonts w:ascii="Times New Roman" w:hAnsi="Times New Roman" w:cs="Times New Roman"/>
        </w:rPr>
        <w:t xml:space="preserve"> </w:t>
      </w:r>
      <w:proofErr w:type="spellStart"/>
      <w:r w:rsidR="00645671" w:rsidRPr="00705170">
        <w:rPr>
          <w:rFonts w:ascii="Times New Roman" w:hAnsi="Times New Roman" w:cs="Times New Roman"/>
        </w:rPr>
        <w:t>pattern</w:t>
      </w:r>
      <w:proofErr w:type="spellEnd"/>
      <w:r w:rsidR="00645671" w:rsidRPr="00705170">
        <w:rPr>
          <w:rFonts w:ascii="Times New Roman" w:hAnsi="Times New Roman" w:cs="Times New Roman"/>
        </w:rPr>
        <w:t xml:space="preserve"> </w:t>
      </w:r>
      <w:proofErr w:type="spellStart"/>
      <w:r w:rsidR="00645671" w:rsidRPr="00705170">
        <w:rPr>
          <w:rFonts w:ascii="Times New Roman" w:hAnsi="Times New Roman" w:cs="Times New Roman"/>
        </w:rPr>
        <w:t>typical</w:t>
      </w:r>
      <w:proofErr w:type="spellEnd"/>
      <w:r w:rsidR="00645671" w:rsidRPr="00705170">
        <w:rPr>
          <w:rFonts w:ascii="Times New Roman" w:hAnsi="Times New Roman" w:cs="Times New Roman"/>
        </w:rPr>
        <w:t xml:space="preserve"> in </w:t>
      </w:r>
      <w:proofErr w:type="spellStart"/>
      <w:r w:rsidR="00645671" w:rsidRPr="00705170">
        <w:rPr>
          <w:rFonts w:ascii="Times New Roman" w:hAnsi="Times New Roman" w:cs="Times New Roman"/>
        </w:rPr>
        <w:t>close</w:t>
      </w:r>
      <w:proofErr w:type="spellEnd"/>
      <w:r w:rsidR="00645671" w:rsidRPr="00705170">
        <w:rPr>
          <w:rFonts w:ascii="Times New Roman" w:hAnsi="Times New Roman" w:cs="Times New Roman"/>
        </w:rPr>
        <w:t xml:space="preserve"> </w:t>
      </w:r>
      <w:proofErr w:type="spellStart"/>
      <w:r w:rsidR="00645671" w:rsidRPr="00705170">
        <w:rPr>
          <w:rFonts w:ascii="Times New Roman" w:hAnsi="Times New Roman" w:cs="Times New Roman"/>
        </w:rPr>
        <w:t>corporations</w:t>
      </w:r>
      <w:proofErr w:type="spellEnd"/>
      <w:r w:rsidR="00645671" w:rsidRPr="00705170">
        <w:rPr>
          <w:rFonts w:ascii="Times New Roman" w:hAnsi="Times New Roman" w:cs="Times New Roman"/>
        </w:rPr>
        <w:t xml:space="preserve"> is </w:t>
      </w:r>
      <w:proofErr w:type="spellStart"/>
      <w:r w:rsidR="00645671" w:rsidRPr="00705170">
        <w:rPr>
          <w:rFonts w:ascii="Times New Roman" w:hAnsi="Times New Roman" w:cs="Times New Roman"/>
        </w:rPr>
        <w:t>treated</w:t>
      </w:r>
      <w:proofErr w:type="spellEnd"/>
      <w:r w:rsidR="00645671" w:rsidRPr="00705170">
        <w:rPr>
          <w:rFonts w:ascii="Times New Roman" w:hAnsi="Times New Roman" w:cs="Times New Roman"/>
        </w:rPr>
        <w:t xml:space="preserve"> as </w:t>
      </w:r>
      <w:proofErr w:type="spellStart"/>
      <w:r w:rsidR="00645671" w:rsidRPr="00705170">
        <w:rPr>
          <w:rFonts w:ascii="Times New Roman" w:hAnsi="Times New Roman" w:cs="Times New Roman"/>
        </w:rPr>
        <w:t>the</w:t>
      </w:r>
      <w:proofErr w:type="spellEnd"/>
      <w:r w:rsidR="00645671" w:rsidRPr="00705170">
        <w:rPr>
          <w:rFonts w:ascii="Times New Roman" w:hAnsi="Times New Roman" w:cs="Times New Roman"/>
        </w:rPr>
        <w:t xml:space="preserve"> </w:t>
      </w:r>
      <w:proofErr w:type="spellStart"/>
      <w:r w:rsidR="00645671" w:rsidRPr="00705170">
        <w:rPr>
          <w:rFonts w:ascii="Times New Roman" w:hAnsi="Times New Roman" w:cs="Times New Roman"/>
        </w:rPr>
        <w:t>evidence</w:t>
      </w:r>
      <w:proofErr w:type="spellEnd"/>
      <w:r w:rsidR="00645671" w:rsidRPr="00705170">
        <w:rPr>
          <w:rFonts w:ascii="Times New Roman" w:hAnsi="Times New Roman" w:cs="Times New Roman"/>
        </w:rPr>
        <w:t xml:space="preserve"> </w:t>
      </w:r>
      <w:proofErr w:type="spellStart"/>
      <w:r w:rsidR="00645671" w:rsidRPr="00705170">
        <w:rPr>
          <w:rFonts w:ascii="Times New Roman" w:hAnsi="Times New Roman" w:cs="Times New Roman"/>
        </w:rPr>
        <w:t>that</w:t>
      </w:r>
      <w:proofErr w:type="spellEnd"/>
      <w:r w:rsidR="00645671" w:rsidRPr="00705170">
        <w:rPr>
          <w:rFonts w:ascii="Times New Roman" w:hAnsi="Times New Roman" w:cs="Times New Roman"/>
        </w:rPr>
        <w:t xml:space="preserve"> </w:t>
      </w:r>
      <w:proofErr w:type="spellStart"/>
      <w:r w:rsidR="00645671" w:rsidRPr="00705170">
        <w:rPr>
          <w:rFonts w:ascii="Times New Roman" w:hAnsi="Times New Roman" w:cs="Times New Roman"/>
        </w:rPr>
        <w:t>shows</w:t>
      </w:r>
      <w:proofErr w:type="spellEnd"/>
      <w:r w:rsidR="00645671" w:rsidRPr="00705170">
        <w:rPr>
          <w:rFonts w:ascii="Times New Roman" w:hAnsi="Times New Roman" w:cs="Times New Roman"/>
        </w:rPr>
        <w:t xml:space="preserve"> a </w:t>
      </w:r>
      <w:proofErr w:type="spellStart"/>
      <w:r w:rsidR="00645671" w:rsidRPr="00705170">
        <w:rPr>
          <w:rFonts w:ascii="Times New Roman" w:hAnsi="Times New Roman" w:cs="Times New Roman"/>
        </w:rPr>
        <w:t>reasonable</w:t>
      </w:r>
      <w:proofErr w:type="spellEnd"/>
      <w:r w:rsidR="00645671" w:rsidRPr="00705170">
        <w:rPr>
          <w:rFonts w:ascii="Times New Roman" w:hAnsi="Times New Roman" w:cs="Times New Roman"/>
        </w:rPr>
        <w:t xml:space="preserve"> </w:t>
      </w:r>
      <w:proofErr w:type="spellStart"/>
      <w:r w:rsidR="00645671" w:rsidRPr="00705170">
        <w:rPr>
          <w:rFonts w:ascii="Times New Roman" w:hAnsi="Times New Roman" w:cs="Times New Roman"/>
        </w:rPr>
        <w:t>expectation</w:t>
      </w:r>
      <w:proofErr w:type="spellEnd"/>
      <w:r w:rsidR="00645671" w:rsidRPr="00705170">
        <w:rPr>
          <w:rFonts w:ascii="Times New Roman" w:hAnsi="Times New Roman" w:cs="Times New Roman"/>
        </w:rPr>
        <w:t xml:space="preserve"> is </w:t>
      </w:r>
      <w:proofErr w:type="spellStart"/>
      <w:r w:rsidR="00645671" w:rsidRPr="00705170">
        <w:rPr>
          <w:rFonts w:ascii="Times New Roman" w:hAnsi="Times New Roman" w:cs="Times New Roman"/>
        </w:rPr>
        <w:t>present</w:t>
      </w:r>
      <w:proofErr w:type="spellEnd"/>
      <w:r w:rsidR="00645671" w:rsidRPr="00705170">
        <w:rPr>
          <w:rStyle w:val="DipnotBavurusu"/>
          <w:rFonts w:ascii="Times New Roman" w:hAnsi="Times New Roman" w:cs="Times New Roman"/>
        </w:rPr>
        <w:footnoteReference w:id="727"/>
      </w:r>
      <w:r w:rsidR="00645671" w:rsidRPr="00705170">
        <w:rPr>
          <w:rFonts w:ascii="Times New Roman" w:hAnsi="Times New Roman" w:cs="Times New Roman"/>
        </w:rPr>
        <w:t xml:space="preserve">, </w:t>
      </w:r>
      <w:proofErr w:type="spellStart"/>
      <w:r w:rsidR="00645671" w:rsidRPr="00705170">
        <w:rPr>
          <w:rFonts w:ascii="Times New Roman" w:hAnsi="Times New Roman" w:cs="Times New Roman"/>
        </w:rPr>
        <w:t>and</w:t>
      </w:r>
      <w:proofErr w:type="spellEnd"/>
      <w:r w:rsidR="00645671" w:rsidRPr="00705170">
        <w:rPr>
          <w:rFonts w:ascii="Times New Roman" w:hAnsi="Times New Roman" w:cs="Times New Roman"/>
        </w:rPr>
        <w:t xml:space="preserve"> </w:t>
      </w:r>
      <w:proofErr w:type="spellStart"/>
      <w:r w:rsidR="00B10E43" w:rsidRPr="00705170">
        <w:rPr>
          <w:rFonts w:ascii="Times New Roman" w:hAnsi="Times New Roman" w:cs="Times New Roman"/>
        </w:rPr>
        <w:t>specific</w:t>
      </w:r>
      <w:proofErr w:type="spellEnd"/>
      <w:r w:rsidR="00B10E43" w:rsidRPr="00705170">
        <w:rPr>
          <w:rFonts w:ascii="Times New Roman" w:hAnsi="Times New Roman" w:cs="Times New Roman"/>
        </w:rPr>
        <w:t xml:space="preserve"> </w:t>
      </w:r>
      <w:proofErr w:type="spellStart"/>
      <w:r w:rsidR="00B10E43" w:rsidRPr="00705170">
        <w:rPr>
          <w:rFonts w:ascii="Times New Roman" w:hAnsi="Times New Roman" w:cs="Times New Roman"/>
        </w:rPr>
        <w:t>evidence</w:t>
      </w:r>
      <w:proofErr w:type="spellEnd"/>
      <w:r w:rsidR="00B10E43" w:rsidRPr="00705170">
        <w:rPr>
          <w:rFonts w:ascii="Times New Roman" w:hAnsi="Times New Roman" w:cs="Times New Roman"/>
        </w:rPr>
        <w:t xml:space="preserve"> </w:t>
      </w:r>
      <w:proofErr w:type="spellStart"/>
      <w:r w:rsidR="00B10E43" w:rsidRPr="00705170">
        <w:rPr>
          <w:rFonts w:ascii="Times New Roman" w:hAnsi="Times New Roman" w:cs="Times New Roman"/>
        </w:rPr>
        <w:t>proves</w:t>
      </w:r>
      <w:proofErr w:type="spellEnd"/>
      <w:r w:rsidR="00B10E43" w:rsidRPr="00705170">
        <w:rPr>
          <w:rFonts w:ascii="Times New Roman" w:hAnsi="Times New Roman" w:cs="Times New Roman"/>
        </w:rPr>
        <w:t xml:space="preserve"> </w:t>
      </w:r>
      <w:proofErr w:type="spellStart"/>
      <w:r w:rsidR="00B10E43" w:rsidRPr="00705170">
        <w:rPr>
          <w:rFonts w:ascii="Times New Roman" w:hAnsi="Times New Roman" w:cs="Times New Roman"/>
        </w:rPr>
        <w:t>that</w:t>
      </w:r>
      <w:proofErr w:type="spellEnd"/>
      <w:r w:rsidR="00B10E43" w:rsidRPr="00705170">
        <w:rPr>
          <w:rFonts w:ascii="Times New Roman" w:hAnsi="Times New Roman" w:cs="Times New Roman"/>
        </w:rPr>
        <w:t xml:space="preserve"> </w:t>
      </w:r>
      <w:proofErr w:type="spellStart"/>
      <w:r w:rsidR="00B10E43" w:rsidRPr="00705170">
        <w:rPr>
          <w:rFonts w:ascii="Times New Roman" w:hAnsi="Times New Roman" w:cs="Times New Roman"/>
        </w:rPr>
        <w:t>these</w:t>
      </w:r>
      <w:proofErr w:type="spellEnd"/>
      <w:r w:rsidR="00B10E43" w:rsidRPr="00705170">
        <w:rPr>
          <w:rFonts w:ascii="Times New Roman" w:hAnsi="Times New Roman" w:cs="Times New Roman"/>
        </w:rPr>
        <w:t xml:space="preserve"> </w:t>
      </w:r>
      <w:proofErr w:type="spellStart"/>
      <w:r w:rsidR="00B10E43" w:rsidRPr="00705170">
        <w:rPr>
          <w:rFonts w:ascii="Times New Roman" w:hAnsi="Times New Roman" w:cs="Times New Roman"/>
        </w:rPr>
        <w:t>expectations</w:t>
      </w:r>
      <w:proofErr w:type="spellEnd"/>
      <w:r w:rsidR="00B10E43" w:rsidRPr="00705170">
        <w:rPr>
          <w:rFonts w:ascii="Times New Roman" w:hAnsi="Times New Roman" w:cs="Times New Roman"/>
        </w:rPr>
        <w:t xml:space="preserve"> </w:t>
      </w:r>
      <w:proofErr w:type="spellStart"/>
      <w:r w:rsidR="00B10E43" w:rsidRPr="00705170">
        <w:rPr>
          <w:rFonts w:ascii="Times New Roman" w:hAnsi="Times New Roman" w:cs="Times New Roman"/>
        </w:rPr>
        <w:t>are</w:t>
      </w:r>
      <w:proofErr w:type="spellEnd"/>
      <w:r w:rsidR="00B10E43" w:rsidRPr="00705170">
        <w:rPr>
          <w:rFonts w:ascii="Times New Roman" w:hAnsi="Times New Roman" w:cs="Times New Roman"/>
        </w:rPr>
        <w:t xml:space="preserve"> </w:t>
      </w:r>
      <w:proofErr w:type="spellStart"/>
      <w:r w:rsidR="00B10E43" w:rsidRPr="00705170">
        <w:rPr>
          <w:rFonts w:ascii="Times New Roman" w:hAnsi="Times New Roman" w:cs="Times New Roman"/>
        </w:rPr>
        <w:t>real</w:t>
      </w:r>
      <w:proofErr w:type="spellEnd"/>
      <w:r w:rsidR="00B10E43" w:rsidRPr="00705170">
        <w:rPr>
          <w:rFonts w:ascii="Times New Roman" w:hAnsi="Times New Roman" w:cs="Times New Roman"/>
        </w:rPr>
        <w:t xml:space="preserve"> </w:t>
      </w:r>
      <w:proofErr w:type="spellStart"/>
      <w:r w:rsidR="00B10E43" w:rsidRPr="00705170">
        <w:rPr>
          <w:rFonts w:ascii="Times New Roman" w:hAnsi="Times New Roman" w:cs="Times New Roman"/>
        </w:rPr>
        <w:t>and</w:t>
      </w:r>
      <w:proofErr w:type="spellEnd"/>
      <w:r w:rsidR="00B10E43" w:rsidRPr="00705170">
        <w:rPr>
          <w:rFonts w:ascii="Times New Roman" w:hAnsi="Times New Roman" w:cs="Times New Roman"/>
        </w:rPr>
        <w:t xml:space="preserve"> </w:t>
      </w:r>
      <w:proofErr w:type="spellStart"/>
      <w:r w:rsidR="00B10E43" w:rsidRPr="00705170">
        <w:rPr>
          <w:rFonts w:ascii="Times New Roman" w:hAnsi="Times New Roman" w:cs="Times New Roman"/>
        </w:rPr>
        <w:t>frustrated</w:t>
      </w:r>
      <w:proofErr w:type="spellEnd"/>
      <w:r w:rsidR="00B668FE" w:rsidRPr="00705170">
        <w:rPr>
          <w:rStyle w:val="DipnotBavurusu"/>
          <w:rFonts w:ascii="Times New Roman" w:hAnsi="Times New Roman" w:cs="Times New Roman"/>
        </w:rPr>
        <w:footnoteReference w:id="728"/>
      </w:r>
      <w:r w:rsidR="00B10E43" w:rsidRPr="00705170">
        <w:rPr>
          <w:rFonts w:ascii="Times New Roman" w:hAnsi="Times New Roman" w:cs="Times New Roman"/>
        </w:rPr>
        <w:t>.</w:t>
      </w:r>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However</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if</w:t>
      </w:r>
      <w:proofErr w:type="spellEnd"/>
      <w:r w:rsidR="001C74F9" w:rsidRPr="00705170">
        <w:rPr>
          <w:rFonts w:ascii="Times New Roman" w:hAnsi="Times New Roman" w:cs="Times New Roman"/>
        </w:rPr>
        <w:t xml:space="preserve"> a </w:t>
      </w:r>
      <w:proofErr w:type="spellStart"/>
      <w:r w:rsidR="001C74F9" w:rsidRPr="00705170">
        <w:rPr>
          <w:rFonts w:ascii="Times New Roman" w:hAnsi="Times New Roman" w:cs="Times New Roman"/>
        </w:rPr>
        <w:t>specific</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conduct</w:t>
      </w:r>
      <w:proofErr w:type="spellEnd"/>
      <w:r w:rsidR="001C74F9" w:rsidRPr="00705170">
        <w:rPr>
          <w:rFonts w:ascii="Times New Roman" w:hAnsi="Times New Roman" w:cs="Times New Roman"/>
        </w:rPr>
        <w:t xml:space="preserve"> is </w:t>
      </w:r>
      <w:proofErr w:type="spellStart"/>
      <w:r w:rsidR="001C74F9" w:rsidRPr="00705170">
        <w:rPr>
          <w:rFonts w:ascii="Times New Roman" w:hAnsi="Times New Roman" w:cs="Times New Roman"/>
        </w:rPr>
        <w:t>explicitly</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permitted</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by</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the</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corporate</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contract</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between</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corporate</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consituents</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that</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conduct</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does</w:t>
      </w:r>
      <w:proofErr w:type="spellEnd"/>
      <w:r w:rsidR="001C74F9" w:rsidRPr="00705170">
        <w:rPr>
          <w:rFonts w:ascii="Times New Roman" w:hAnsi="Times New Roman" w:cs="Times New Roman"/>
        </w:rPr>
        <w:t xml:space="preserve"> not </w:t>
      </w:r>
      <w:proofErr w:type="spellStart"/>
      <w:r w:rsidR="001C74F9" w:rsidRPr="00705170">
        <w:rPr>
          <w:rFonts w:ascii="Times New Roman" w:hAnsi="Times New Roman" w:cs="Times New Roman"/>
        </w:rPr>
        <w:t>give</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rise</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to</w:t>
      </w:r>
      <w:proofErr w:type="spellEnd"/>
      <w:r w:rsidR="001C74F9" w:rsidRPr="00705170">
        <w:rPr>
          <w:rFonts w:ascii="Times New Roman" w:hAnsi="Times New Roman" w:cs="Times New Roman"/>
        </w:rPr>
        <w:t xml:space="preserve"> </w:t>
      </w:r>
      <w:proofErr w:type="spellStart"/>
      <w:r w:rsidR="001C74F9" w:rsidRPr="00705170">
        <w:rPr>
          <w:rFonts w:ascii="Times New Roman" w:hAnsi="Times New Roman" w:cs="Times New Roman"/>
        </w:rPr>
        <w:t>oppression</w:t>
      </w:r>
      <w:proofErr w:type="spellEnd"/>
      <w:r w:rsidR="001C74F9" w:rsidRPr="00705170">
        <w:rPr>
          <w:rStyle w:val="DipnotBavurusu"/>
          <w:rFonts w:ascii="Times New Roman" w:hAnsi="Times New Roman" w:cs="Times New Roman"/>
        </w:rPr>
        <w:footnoteReference w:id="729"/>
      </w:r>
      <w:r w:rsidR="001C74F9" w:rsidRPr="00705170">
        <w:rPr>
          <w:rFonts w:ascii="Times New Roman" w:hAnsi="Times New Roman" w:cs="Times New Roman"/>
        </w:rPr>
        <w:t>.</w:t>
      </w:r>
    </w:p>
    <w:p w14:paraId="420A7E17" w14:textId="7FCA6FAC" w:rsidR="005E4903" w:rsidRPr="00705170" w:rsidRDefault="00C01441" w:rsidP="005E4903">
      <w:pPr>
        <w:spacing w:after="240" w:line="480" w:lineRule="auto"/>
        <w:ind w:firstLine="708"/>
        <w:rPr>
          <w:rFonts w:ascii="Times New Roman" w:hAnsi="Times New Roman" w:cs="Times New Roman"/>
          <w:b/>
        </w:rPr>
      </w:pPr>
      <w:r>
        <w:rPr>
          <w:rFonts w:ascii="Times New Roman" w:hAnsi="Times New Roman" w:cs="Times New Roman"/>
          <w:b/>
        </w:rPr>
        <w:t>4</w:t>
      </w:r>
      <w:r w:rsidR="005E4903" w:rsidRPr="00705170">
        <w:rPr>
          <w:rFonts w:ascii="Times New Roman" w:hAnsi="Times New Roman" w:cs="Times New Roman"/>
          <w:b/>
        </w:rPr>
        <w:t xml:space="preserve">.4. </w:t>
      </w:r>
      <w:proofErr w:type="spellStart"/>
      <w:r w:rsidR="005E4903" w:rsidRPr="00705170">
        <w:rPr>
          <w:rFonts w:ascii="Times New Roman" w:hAnsi="Times New Roman" w:cs="Times New Roman"/>
          <w:b/>
        </w:rPr>
        <w:t>Justifications</w:t>
      </w:r>
      <w:proofErr w:type="spellEnd"/>
      <w:r w:rsidR="005E4903" w:rsidRPr="00705170">
        <w:rPr>
          <w:rFonts w:ascii="Times New Roman" w:hAnsi="Times New Roman" w:cs="Times New Roman"/>
          <w:b/>
        </w:rPr>
        <w:t xml:space="preserve"> </w:t>
      </w:r>
      <w:proofErr w:type="spellStart"/>
      <w:r w:rsidR="005E4903" w:rsidRPr="00705170">
        <w:rPr>
          <w:rFonts w:ascii="Times New Roman" w:hAnsi="Times New Roman" w:cs="Times New Roman"/>
          <w:b/>
        </w:rPr>
        <w:t>for</w:t>
      </w:r>
      <w:proofErr w:type="spellEnd"/>
      <w:r w:rsidR="005E4903" w:rsidRPr="00705170">
        <w:rPr>
          <w:rFonts w:ascii="Times New Roman" w:hAnsi="Times New Roman" w:cs="Times New Roman"/>
          <w:b/>
        </w:rPr>
        <w:t xml:space="preserve"> Application </w:t>
      </w:r>
      <w:proofErr w:type="spellStart"/>
      <w:r w:rsidR="005E4903" w:rsidRPr="00705170">
        <w:rPr>
          <w:rFonts w:ascii="Times New Roman" w:hAnsi="Times New Roman" w:cs="Times New Roman"/>
          <w:b/>
        </w:rPr>
        <w:t>to</w:t>
      </w:r>
      <w:proofErr w:type="spellEnd"/>
      <w:r w:rsidR="005E4903" w:rsidRPr="00705170">
        <w:rPr>
          <w:rFonts w:ascii="Times New Roman" w:hAnsi="Times New Roman" w:cs="Times New Roman"/>
          <w:b/>
        </w:rPr>
        <w:t xml:space="preserve"> </w:t>
      </w:r>
      <w:proofErr w:type="spellStart"/>
      <w:r w:rsidR="005E4903" w:rsidRPr="00705170">
        <w:rPr>
          <w:rFonts w:ascii="Times New Roman" w:hAnsi="Times New Roman" w:cs="Times New Roman"/>
          <w:b/>
        </w:rPr>
        <w:t>the</w:t>
      </w:r>
      <w:proofErr w:type="spellEnd"/>
      <w:r w:rsidR="005E4903" w:rsidRPr="00705170">
        <w:rPr>
          <w:rFonts w:ascii="Times New Roman" w:hAnsi="Times New Roman" w:cs="Times New Roman"/>
          <w:b/>
        </w:rPr>
        <w:t xml:space="preserve"> </w:t>
      </w:r>
      <w:proofErr w:type="spellStart"/>
      <w:r w:rsidR="005E4903" w:rsidRPr="00705170">
        <w:rPr>
          <w:rFonts w:ascii="Times New Roman" w:hAnsi="Times New Roman" w:cs="Times New Roman"/>
          <w:b/>
        </w:rPr>
        <w:t>Publicly</w:t>
      </w:r>
      <w:proofErr w:type="spellEnd"/>
      <w:r w:rsidR="005E4903" w:rsidRPr="00705170">
        <w:rPr>
          <w:rFonts w:ascii="Times New Roman" w:hAnsi="Times New Roman" w:cs="Times New Roman"/>
          <w:b/>
        </w:rPr>
        <w:t xml:space="preserve"> </w:t>
      </w:r>
      <w:proofErr w:type="spellStart"/>
      <w:r w:rsidR="005E4903" w:rsidRPr="00705170">
        <w:rPr>
          <w:rFonts w:ascii="Times New Roman" w:hAnsi="Times New Roman" w:cs="Times New Roman"/>
          <w:b/>
        </w:rPr>
        <w:t>Traded</w:t>
      </w:r>
      <w:proofErr w:type="spellEnd"/>
      <w:r w:rsidR="005E4903" w:rsidRPr="00705170">
        <w:rPr>
          <w:rFonts w:ascii="Times New Roman" w:hAnsi="Times New Roman" w:cs="Times New Roman"/>
          <w:b/>
        </w:rPr>
        <w:t xml:space="preserve"> Corporation</w:t>
      </w:r>
    </w:p>
    <w:p w14:paraId="7D6910B4" w14:textId="142B1FAF" w:rsidR="005E4903" w:rsidRPr="00705170" w:rsidRDefault="00C01441" w:rsidP="005E4903">
      <w:pPr>
        <w:spacing w:after="240" w:line="480" w:lineRule="auto"/>
        <w:ind w:firstLine="708"/>
        <w:rPr>
          <w:rFonts w:ascii="Times New Roman" w:hAnsi="Times New Roman" w:cs="Times New Roman"/>
          <w:b/>
        </w:rPr>
      </w:pPr>
      <w:r>
        <w:rPr>
          <w:rFonts w:ascii="Times New Roman" w:hAnsi="Times New Roman" w:cs="Times New Roman"/>
          <w:b/>
        </w:rPr>
        <w:t>4</w:t>
      </w:r>
      <w:r w:rsidR="005E4903" w:rsidRPr="00705170">
        <w:rPr>
          <w:rFonts w:ascii="Times New Roman" w:hAnsi="Times New Roman" w:cs="Times New Roman"/>
          <w:b/>
        </w:rPr>
        <w:t xml:space="preserve">.4.1. </w:t>
      </w:r>
      <w:proofErr w:type="spellStart"/>
      <w:r w:rsidR="005E4903" w:rsidRPr="00705170">
        <w:rPr>
          <w:rFonts w:ascii="Times New Roman" w:hAnsi="Times New Roman" w:cs="Times New Roman"/>
          <w:b/>
        </w:rPr>
        <w:t>Generally</w:t>
      </w:r>
      <w:proofErr w:type="spellEnd"/>
    </w:p>
    <w:p w14:paraId="7826CD0A" w14:textId="50BB5E03" w:rsidR="00F27AC8" w:rsidRPr="00705170" w:rsidRDefault="00F27AC8" w:rsidP="00F27AC8">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study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acknowledges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availability</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lawsuit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basis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highly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controversial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more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easily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found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closely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held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family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than</w:t>
      </w:r>
      <w:proofErr w:type="spellEnd"/>
      <w:r w:rsidRPr="00705170">
        <w:rPr>
          <w:rFonts w:ascii="Times New Roman" w:hAnsi="Times New Roman" w:cs="Times New Roman"/>
        </w:rPr>
        <w:t xml:space="preserve"> in a </w:t>
      </w:r>
      <w:proofErr w:type="spellStart"/>
      <w:r w:rsidRPr="00705170">
        <w:rPr>
          <w:rFonts w:ascii="Times New Roman" w:hAnsi="Times New Roman" w:cs="Times New Roman"/>
        </w:rPr>
        <w:t>larger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730"/>
      </w:r>
      <w:r w:rsidRPr="00705170">
        <w:rPr>
          <w:rFonts w:ascii="Times New Roman" w:hAnsi="Times New Roman" w:cs="Times New Roman"/>
        </w:rPr>
        <w:t xml:space="preserve">, </w:t>
      </w:r>
      <w:proofErr w:type="spellStart"/>
      <w:r w:rsidR="008E5D0C" w:rsidRPr="00705170">
        <w:rPr>
          <w:rFonts w:ascii="Times New Roman" w:hAnsi="Times New Roman" w:cs="Times New Roman"/>
        </w:rPr>
        <w:t>the</w:t>
      </w:r>
      <w:proofErr w:type="spellEnd"/>
      <w:r w:rsidR="008E5D0C" w:rsidRPr="00705170">
        <w:rPr>
          <w:rFonts w:ascii="Times New Roman" w:hAnsi="Times New Roman" w:cs="Times New Roman"/>
        </w:rPr>
        <w:t xml:space="preserve"> </w:t>
      </w:r>
      <w:proofErr w:type="spellStart"/>
      <w:r w:rsidR="008E5D0C" w:rsidRPr="00705170">
        <w:rPr>
          <w:rFonts w:ascii="Times New Roman" w:hAnsi="Times New Roman" w:cs="Times New Roman"/>
        </w:rPr>
        <w:t>close</w:t>
      </w:r>
      <w:proofErr w:type="spellEnd"/>
      <w:r w:rsidR="008E5D0C" w:rsidRPr="00705170">
        <w:rPr>
          <w:rFonts w:ascii="Times New Roman" w:hAnsi="Times New Roman" w:cs="Times New Roman"/>
        </w:rPr>
        <w:t xml:space="preserve"> </w:t>
      </w:r>
      <w:proofErr w:type="spellStart"/>
      <w:r w:rsidR="008E5D0C" w:rsidRPr="00705170">
        <w:rPr>
          <w:rFonts w:ascii="Times New Roman" w:hAnsi="Times New Roman" w:cs="Times New Roman"/>
        </w:rPr>
        <w:t>corporotion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hold</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monopoly</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oppressive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conduct</w:t>
      </w:r>
      <w:proofErr w:type="spellEnd"/>
      <w:r w:rsidRPr="00705170">
        <w:rPr>
          <w:rStyle w:val="DipnotBavurusu"/>
          <w:rFonts w:ascii="Times New Roman" w:hAnsi="Times New Roman" w:cs="Times New Roman"/>
        </w:rPr>
        <w:footnoteReference w:id="731"/>
      </w:r>
      <w:r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fact</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underlined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009F687E" w:rsidRPr="00705170">
        <w:rPr>
          <w:rFonts w:ascii="Times New Roman" w:hAnsi="Times New Roman" w:cs="Times New Roman"/>
        </w:rPr>
        <w:t>commentators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statutes</w:t>
      </w:r>
      <w:proofErr w:type="spellEnd"/>
      <w:r w:rsidRPr="00705170">
        <w:rPr>
          <w:rFonts w:ascii="Times New Roman" w:hAnsi="Times New Roman" w:cs="Times New Roman"/>
        </w:rPr>
        <w:t xml:space="preserve"> in U.S.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hence</w:t>
      </w:r>
      <w:proofErr w:type="spellEnd"/>
      <w:r w:rsidRPr="00705170">
        <w:rPr>
          <w:rFonts w:ascii="Times New Roman" w:hAnsi="Times New Roman" w:cs="Times New Roman"/>
        </w:rPr>
        <w:t xml:space="preserve"> </w:t>
      </w:r>
      <w:proofErr w:type="spellStart"/>
      <w:r w:rsidR="007C6F24" w:rsidRPr="00705170">
        <w:rPr>
          <w:rFonts w:ascii="Times New Roman" w:hAnsi="Times New Roman" w:cs="Times New Roman"/>
        </w:rPr>
        <w:t>building</w:t>
      </w:r>
      <w:proofErr w:type="spellEnd"/>
      <w:r w:rsidR="007C6F24" w:rsidRPr="00705170">
        <w:rPr>
          <w:rFonts w:ascii="Times New Roman" w:hAnsi="Times New Roman" w:cs="Times New Roman"/>
        </w:rPr>
        <w:t xml:space="preserve"> a </w:t>
      </w:r>
      <w:proofErr w:type="spellStart"/>
      <w:r w:rsidR="007C6F24" w:rsidRPr="00705170">
        <w:rPr>
          <w:rFonts w:ascii="Times New Roman" w:hAnsi="Times New Roman" w:cs="Times New Roman"/>
        </w:rPr>
        <w:t>case</w:t>
      </w:r>
      <w:proofErr w:type="spellEnd"/>
      <w:r w:rsidR="007C6F24"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analysis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theoretically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possible</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groun</w:t>
      </w:r>
      <w:r w:rsidR="009F687E" w:rsidRPr="00705170">
        <w:rPr>
          <w:rFonts w:ascii="Times New Roman" w:hAnsi="Times New Roman" w:cs="Times New Roman"/>
        </w:rPr>
        <w:t>d</w:t>
      </w:r>
      <w:proofErr w:type="spellEnd"/>
      <w:r w:rsidR="009F687E" w:rsidRPr="00705170">
        <w:rPr>
          <w:rFonts w:ascii="Times New Roman" w:hAnsi="Times New Roman" w:cs="Times New Roman"/>
        </w:rPr>
        <w:t xml:space="preserve"> </w:t>
      </w:r>
      <w:proofErr w:type="spellStart"/>
      <w:r w:rsidR="009F687E" w:rsidRPr="00705170">
        <w:rPr>
          <w:rFonts w:ascii="Times New Roman" w:hAnsi="Times New Roman" w:cs="Times New Roman"/>
        </w:rPr>
        <w:t>for</w:t>
      </w:r>
      <w:proofErr w:type="spellEnd"/>
      <w:r w:rsidR="009F687E" w:rsidRPr="00705170">
        <w:rPr>
          <w:rFonts w:ascii="Times New Roman" w:hAnsi="Times New Roman" w:cs="Times New Roman"/>
        </w:rPr>
        <w:t xml:space="preserve"> </w:t>
      </w:r>
      <w:proofErr w:type="spellStart"/>
      <w:r w:rsidR="009F687E" w:rsidRPr="00705170">
        <w:rPr>
          <w:rFonts w:ascii="Times New Roman" w:hAnsi="Times New Roman" w:cs="Times New Roman"/>
        </w:rPr>
        <w:t>involuntary</w:t>
      </w:r>
      <w:proofErr w:type="spellEnd"/>
      <w:r w:rsidR="009F687E" w:rsidRPr="00705170">
        <w:rPr>
          <w:rFonts w:ascii="Times New Roman" w:hAnsi="Times New Roman" w:cs="Times New Roman"/>
        </w:rPr>
        <w:t xml:space="preserve"> </w:t>
      </w:r>
      <w:proofErr w:type="spellStart"/>
      <w:r w:rsidR="009F687E" w:rsidRPr="00705170">
        <w:rPr>
          <w:rFonts w:ascii="Times New Roman" w:hAnsi="Times New Roman" w:cs="Times New Roman"/>
        </w:rPr>
        <w:t>dissolution</w:t>
      </w:r>
      <w:proofErr w:type="spellEnd"/>
      <w:r w:rsidR="009F687E" w:rsidRPr="00705170">
        <w:rPr>
          <w:rFonts w:ascii="Times New Roman" w:hAnsi="Times New Roman" w:cs="Times New Roman"/>
        </w:rPr>
        <w:t xml:space="preserve"> </w:t>
      </w:r>
      <w:proofErr w:type="spellStart"/>
      <w:r w:rsidR="009F687E" w:rsidRPr="00705170">
        <w:rPr>
          <w:rFonts w:ascii="Times New Roman" w:hAnsi="Times New Roman" w:cs="Times New Roman"/>
        </w:rPr>
        <w:t>wer</w:t>
      </w:r>
      <w:r w:rsidRPr="00705170">
        <w:rPr>
          <w:rFonts w:ascii="Times New Roman" w:hAnsi="Times New Roman" w:cs="Times New Roman"/>
        </w:rPr>
        <w: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late</w:t>
      </w:r>
      <w:proofErr w:type="spellEnd"/>
      <w:r w:rsidRPr="00705170">
        <w:rPr>
          <w:rFonts w:ascii="Times New Roman" w:hAnsi="Times New Roman" w:cs="Times New Roman"/>
        </w:rPr>
        <w:t xml:space="preserve"> 1980’s</w:t>
      </w:r>
      <w:r w:rsidRPr="00705170">
        <w:rPr>
          <w:rStyle w:val="DipnotBavurusu"/>
          <w:rFonts w:ascii="Times New Roman" w:hAnsi="Times New Roman" w:cs="Times New Roman"/>
        </w:rPr>
        <w:footnoteReference w:id="732"/>
      </w:r>
      <w:r w:rsidRPr="00705170">
        <w:rPr>
          <w:rFonts w:ascii="Times New Roman" w:hAnsi="Times New Roman" w:cs="Times New Roman"/>
        </w:rPr>
        <w:t xml:space="preserve">. </w:t>
      </w:r>
    </w:p>
    <w:p w14:paraId="5FE50E17" w14:textId="352C583A" w:rsidR="00F27AC8" w:rsidRPr="00705170" w:rsidRDefault="00F27AC8" w:rsidP="00012D36">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After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origination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conception</w:t>
      </w:r>
      <w:proofErr w:type="spellEnd"/>
      <w:r w:rsidRPr="00705170">
        <w:rPr>
          <w:rFonts w:ascii="Times New Roman" w:hAnsi="Times New Roman" w:cs="Times New Roman"/>
        </w:rPr>
        <w:t xml:space="preserve"> in English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Style w:val="DipnotBavurusu"/>
          <w:rFonts w:ascii="Times New Roman" w:hAnsi="Times New Roman" w:cs="Times New Roman"/>
        </w:rPr>
        <w:footnoteReference w:id="733"/>
      </w:r>
      <w:r w:rsidRPr="00705170">
        <w:rPr>
          <w:rFonts w:ascii="Times New Roman" w:hAnsi="Times New Roman" w:cs="Times New Roman"/>
        </w:rPr>
        <w:t xml:space="preserve">, </w:t>
      </w:r>
      <w:proofErr w:type="spellStart"/>
      <w:r w:rsidR="007C6F24" w:rsidRPr="00705170">
        <w:rPr>
          <w:rFonts w:ascii="Times New Roman" w:hAnsi="Times New Roman" w:cs="Times New Roman"/>
        </w:rPr>
        <w:t>involuntary</w:t>
      </w:r>
      <w:proofErr w:type="spellEnd"/>
      <w:r w:rsidR="007C6F24" w:rsidRPr="00705170">
        <w:rPr>
          <w:rFonts w:ascii="Times New Roman" w:hAnsi="Times New Roman" w:cs="Times New Roman"/>
        </w:rPr>
        <w:t xml:space="preserve"> </w:t>
      </w:r>
      <w:proofErr w:type="spellStart"/>
      <w:r w:rsidR="00B45643" w:rsidRPr="00705170">
        <w:rPr>
          <w:rFonts w:ascii="Times New Roman" w:hAnsi="Times New Roman" w:cs="Times New Roman"/>
        </w:rPr>
        <w:t>dissolution</w:t>
      </w:r>
      <w:proofErr w:type="spellEnd"/>
      <w:r w:rsidR="00B45643" w:rsidRPr="00705170">
        <w:rPr>
          <w:rFonts w:ascii="Times New Roman" w:hAnsi="Times New Roman" w:cs="Times New Roman"/>
        </w:rPr>
        <w:t xml:space="preserve"> </w:t>
      </w:r>
      <w:proofErr w:type="spellStart"/>
      <w:r w:rsidR="00B45643" w:rsidRPr="00705170">
        <w:rPr>
          <w:rFonts w:ascii="Times New Roman" w:hAnsi="Times New Roman" w:cs="Times New Roman"/>
        </w:rPr>
        <w:t>actions</w:t>
      </w:r>
      <w:proofErr w:type="spellEnd"/>
      <w:r w:rsidR="00B45643" w:rsidRPr="00705170">
        <w:rPr>
          <w:rFonts w:ascii="Times New Roman" w:hAnsi="Times New Roman" w:cs="Times New Roman"/>
        </w:rPr>
        <w:t xml:space="preserve">, in </w:t>
      </w:r>
      <w:proofErr w:type="spellStart"/>
      <w:r w:rsidR="00B45643" w:rsidRPr="00705170">
        <w:rPr>
          <w:rFonts w:ascii="Times New Roman" w:hAnsi="Times New Roman" w:cs="Times New Roman"/>
        </w:rPr>
        <w:t>connection</w:t>
      </w:r>
      <w:proofErr w:type="spellEnd"/>
      <w:r w:rsidR="00B45643" w:rsidRPr="00705170">
        <w:rPr>
          <w:rFonts w:ascii="Times New Roman" w:hAnsi="Times New Roman" w:cs="Times New Roman"/>
        </w:rPr>
        <w:t xml:space="preserve"> </w:t>
      </w:r>
      <w:proofErr w:type="spellStart"/>
      <w:r w:rsidR="00B45643" w:rsidRPr="00705170">
        <w:rPr>
          <w:rFonts w:ascii="Times New Roman" w:hAnsi="Times New Roman" w:cs="Times New Roman"/>
        </w:rPr>
        <w:t>with</w:t>
      </w:r>
      <w:proofErr w:type="spellEnd"/>
      <w:r w:rsidR="00B45643" w:rsidRPr="00705170">
        <w:rPr>
          <w:rFonts w:ascii="Times New Roman" w:hAnsi="Times New Roman" w:cs="Times New Roman"/>
        </w:rPr>
        <w:t xml:space="preserve"> </w:t>
      </w:r>
      <w:proofErr w:type="spellStart"/>
      <w:r w:rsidR="00B45643" w:rsidRPr="00705170">
        <w:rPr>
          <w:rFonts w:ascii="Times New Roman" w:hAnsi="Times New Roman" w:cs="Times New Roman"/>
        </w:rPr>
        <w:t>the</w:t>
      </w:r>
      <w:proofErr w:type="spellEnd"/>
      <w:r w:rsidR="00B45643" w:rsidRPr="00705170">
        <w:rPr>
          <w:rFonts w:ascii="Times New Roman" w:hAnsi="Times New Roman" w:cs="Times New Roman"/>
        </w:rPr>
        <w:t xml:space="preserve"> </w:t>
      </w:r>
      <w:proofErr w:type="spellStart"/>
      <w:r w:rsidR="00B45643" w:rsidRPr="00705170">
        <w:rPr>
          <w:rFonts w:ascii="Times New Roman" w:hAnsi="Times New Roman" w:cs="Times New Roman"/>
        </w:rPr>
        <w:t>reasonable</w:t>
      </w:r>
      <w:proofErr w:type="spellEnd"/>
      <w:r w:rsidR="00B45643" w:rsidRPr="00705170">
        <w:rPr>
          <w:rFonts w:ascii="Times New Roman" w:hAnsi="Times New Roman" w:cs="Times New Roman"/>
        </w:rPr>
        <w:t xml:space="preserve"> </w:t>
      </w:r>
      <w:proofErr w:type="spellStart"/>
      <w:r w:rsidR="00B45643" w:rsidRPr="00705170">
        <w:rPr>
          <w:rFonts w:ascii="Times New Roman" w:hAnsi="Times New Roman" w:cs="Times New Roman"/>
        </w:rPr>
        <w:t>expectations</w:t>
      </w:r>
      <w:proofErr w:type="spellEnd"/>
      <w:r w:rsidR="00B45643" w:rsidRPr="00705170">
        <w:rPr>
          <w:rFonts w:ascii="Times New Roman" w:hAnsi="Times New Roman" w:cs="Times New Roman"/>
        </w:rPr>
        <w:t xml:space="preserve"> </w:t>
      </w:r>
      <w:proofErr w:type="spellStart"/>
      <w:r w:rsidR="00B45643" w:rsidRPr="00705170">
        <w:rPr>
          <w:rFonts w:ascii="Times New Roman" w:hAnsi="Times New Roman" w:cs="Times New Roman"/>
        </w:rPr>
        <w:t>standard</w:t>
      </w:r>
      <w:proofErr w:type="spellEnd"/>
      <w:r w:rsidR="00B45643" w:rsidRPr="00705170">
        <w:rPr>
          <w:rFonts w:ascii="Times New Roman" w:hAnsi="Times New Roman" w:cs="Times New Roman"/>
        </w:rPr>
        <w:t xml:space="preserve">, </w:t>
      </w:r>
      <w:proofErr w:type="spellStart"/>
      <w:r w:rsidR="007C6F24" w:rsidRPr="00705170">
        <w:rPr>
          <w:rFonts w:ascii="Times New Roman" w:hAnsi="Times New Roman" w:cs="Times New Roman"/>
        </w:rPr>
        <w:t>concerning</w:t>
      </w:r>
      <w:proofErr w:type="spellEnd"/>
      <w:r w:rsidR="007C6F24" w:rsidRPr="00705170">
        <w:rPr>
          <w:rFonts w:ascii="Times New Roman" w:hAnsi="Times New Roman" w:cs="Times New Roman"/>
        </w:rPr>
        <w:t xml:space="preserve"> </w:t>
      </w:r>
      <w:proofErr w:type="spellStart"/>
      <w:r w:rsidR="007C6F24" w:rsidRPr="00705170">
        <w:rPr>
          <w:rFonts w:ascii="Times New Roman" w:hAnsi="Times New Roman" w:cs="Times New Roman"/>
        </w:rPr>
        <w:t>publicly</w:t>
      </w:r>
      <w:proofErr w:type="spellEnd"/>
      <w:r w:rsidR="007C6F24" w:rsidRPr="00705170">
        <w:rPr>
          <w:rFonts w:ascii="Times New Roman" w:hAnsi="Times New Roman" w:cs="Times New Roman"/>
        </w:rPr>
        <w:t xml:space="preserve"> </w:t>
      </w:r>
      <w:proofErr w:type="spellStart"/>
      <w:r w:rsidR="007C6F24" w:rsidRPr="00705170">
        <w:rPr>
          <w:rFonts w:ascii="Times New Roman" w:hAnsi="Times New Roman" w:cs="Times New Roman"/>
        </w:rPr>
        <w:t>traded</w:t>
      </w:r>
      <w:proofErr w:type="spellEnd"/>
      <w:r w:rsidR="007C6F24" w:rsidRPr="00705170">
        <w:rPr>
          <w:rFonts w:ascii="Times New Roman" w:hAnsi="Times New Roman" w:cs="Times New Roman"/>
        </w:rPr>
        <w:t xml:space="preserve"> </w:t>
      </w:r>
      <w:proofErr w:type="spellStart"/>
      <w:r w:rsidR="007C6F24" w:rsidRPr="00705170">
        <w:rPr>
          <w:rFonts w:ascii="Times New Roman" w:hAnsi="Times New Roman" w:cs="Times New Roman"/>
        </w:rPr>
        <w:t>corporations</w:t>
      </w:r>
      <w:proofErr w:type="spellEnd"/>
      <w:r w:rsidR="007C6F24" w:rsidRPr="00705170">
        <w:rPr>
          <w:rFonts w:ascii="Times New Roman" w:hAnsi="Times New Roman" w:cs="Times New Roman"/>
        </w:rPr>
        <w:t xml:space="preserve"> </w:t>
      </w:r>
      <w:proofErr w:type="spellStart"/>
      <w:r w:rsidRPr="00705170">
        <w:rPr>
          <w:rFonts w:ascii="Times New Roman" w:hAnsi="Times New Roman" w:cs="Times New Roman"/>
        </w:rPr>
        <w:t>became</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possible</w:t>
      </w:r>
      <w:proofErr w:type="spellEnd"/>
      <w:r w:rsidRPr="00705170">
        <w:rPr>
          <w:rFonts w:ascii="Times New Roman" w:hAnsi="Times New Roman" w:cs="Times New Roman"/>
        </w:rPr>
        <w:t xml:space="preserve"> but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been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assessed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jurisdictions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U.S. </w:t>
      </w:r>
      <w:proofErr w:type="spellStart"/>
      <w:r w:rsidRPr="00705170">
        <w:rPr>
          <w:rFonts w:ascii="Times New Roman" w:hAnsi="Times New Roman" w:cs="Times New Roman"/>
        </w:rPr>
        <w:t>states</w:t>
      </w:r>
      <w:proofErr w:type="spellEnd"/>
      <w:r w:rsidRPr="00705170">
        <w:rPr>
          <w:rFonts w:ascii="Times New Roman" w:hAnsi="Times New Roman" w:cs="Times New Roman"/>
        </w:rPr>
        <w:t xml:space="preserve"> Maine</w:t>
      </w:r>
      <w:r w:rsidRPr="00705170">
        <w:rPr>
          <w:rStyle w:val="DipnotBavurusu"/>
          <w:rFonts w:ascii="Times New Roman" w:hAnsi="Times New Roman" w:cs="Times New Roman"/>
        </w:rPr>
        <w:footnoteReference w:id="734"/>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Maryland</w:t>
      </w:r>
      <w:r w:rsidRPr="00705170">
        <w:rPr>
          <w:rStyle w:val="DipnotBavurusu"/>
          <w:rFonts w:ascii="Times New Roman" w:hAnsi="Times New Roman" w:cs="Times New Roman"/>
        </w:rPr>
        <w:footnoteReference w:id="735"/>
      </w:r>
      <w:r w:rsidRPr="00705170">
        <w:rPr>
          <w:rFonts w:ascii="Times New Roman" w:hAnsi="Times New Roman" w:cs="Times New Roman"/>
        </w:rPr>
        <w:t xml:space="preserve">, </w:t>
      </w:r>
      <w:proofErr w:type="spellStart"/>
      <w:r w:rsidRPr="00705170">
        <w:rPr>
          <w:rFonts w:ascii="Times New Roman" w:hAnsi="Times New Roman" w:cs="Times New Roman"/>
        </w:rPr>
        <w:t>Canada</w:t>
      </w:r>
      <w:proofErr w:type="spellEnd"/>
      <w:r w:rsidRPr="00705170">
        <w:rPr>
          <w:rStyle w:val="DipnotBavurusu"/>
          <w:rFonts w:ascii="Times New Roman" w:hAnsi="Times New Roman" w:cs="Times New Roman"/>
        </w:rPr>
        <w:footnoteReference w:id="736"/>
      </w:r>
      <w:r w:rsidRPr="00705170">
        <w:rPr>
          <w:rFonts w:ascii="Times New Roman" w:hAnsi="Times New Roman" w:cs="Times New Roman"/>
        </w:rPr>
        <w:t xml:space="preserve">, United </w:t>
      </w:r>
      <w:proofErr w:type="spellStart"/>
      <w:r w:rsidRPr="00705170">
        <w:rPr>
          <w:rFonts w:ascii="Times New Roman" w:hAnsi="Times New Roman" w:cs="Times New Roman"/>
        </w:rPr>
        <w:t>Kingdom</w:t>
      </w:r>
      <w:proofErr w:type="spellEnd"/>
      <w:r w:rsidRPr="00705170">
        <w:rPr>
          <w:rStyle w:val="DipnotBavurusu"/>
          <w:rFonts w:ascii="Times New Roman" w:hAnsi="Times New Roman" w:cs="Times New Roman"/>
        </w:rPr>
        <w:footnoteReference w:id="737"/>
      </w:r>
      <w:r w:rsidRPr="00705170">
        <w:rPr>
          <w:rFonts w:ascii="Times New Roman" w:hAnsi="Times New Roman" w:cs="Times New Roman"/>
        </w:rPr>
        <w:t xml:space="preserve">, New </w:t>
      </w:r>
      <w:proofErr w:type="spellStart"/>
      <w:r w:rsidRPr="00705170">
        <w:rPr>
          <w:rFonts w:ascii="Times New Roman" w:hAnsi="Times New Roman" w:cs="Times New Roman"/>
        </w:rPr>
        <w:t>Zealand</w:t>
      </w:r>
      <w:proofErr w:type="spellEnd"/>
      <w:r w:rsidRPr="00705170">
        <w:rPr>
          <w:rStyle w:val="DipnotBavurusu"/>
          <w:rFonts w:ascii="Times New Roman" w:hAnsi="Times New Roman" w:cs="Times New Roman"/>
        </w:rPr>
        <w:footnoteReference w:id="738"/>
      </w:r>
      <w:r w:rsidRPr="00705170">
        <w:rPr>
          <w:rFonts w:ascii="Times New Roman" w:hAnsi="Times New Roman" w:cs="Times New Roman"/>
        </w:rPr>
        <w:t>, Hong Kong</w:t>
      </w:r>
      <w:r w:rsidRPr="00705170">
        <w:rPr>
          <w:rStyle w:val="DipnotBavurusu"/>
          <w:rFonts w:ascii="Times New Roman" w:hAnsi="Times New Roman" w:cs="Times New Roman"/>
        </w:rPr>
        <w:footnoteReference w:id="739"/>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Bermuda</w:t>
      </w:r>
      <w:r w:rsidRPr="00705170">
        <w:rPr>
          <w:rStyle w:val="DipnotBavurusu"/>
          <w:rFonts w:ascii="Times New Roman" w:hAnsi="Times New Roman" w:cs="Times New Roman"/>
        </w:rPr>
        <w:footnoteReference w:id="740"/>
      </w:r>
      <w:r w:rsidRPr="00705170">
        <w:rPr>
          <w:rFonts w:ascii="Times New Roman" w:hAnsi="Times New Roman" w:cs="Times New Roman"/>
        </w:rPr>
        <w:t xml:space="preserve">. </w:t>
      </w:r>
      <w:proofErr w:type="spellStart"/>
      <w:r w:rsidRPr="00705170">
        <w:rPr>
          <w:rFonts w:ascii="Times New Roman" w:hAnsi="Times New Roman" w:cs="Times New Roman"/>
        </w:rPr>
        <w:t>Therefore</w:t>
      </w:r>
      <w:proofErr w:type="spellEnd"/>
      <w:r w:rsidRPr="00705170">
        <w:rPr>
          <w:rFonts w:ascii="Times New Roman" w:hAnsi="Times New Roman" w:cs="Times New Roman"/>
        </w:rPr>
        <w:t xml:space="preserve">, it is not </w:t>
      </w:r>
      <w:proofErr w:type="spellStart"/>
      <w:r w:rsidRPr="00705170">
        <w:rPr>
          <w:rFonts w:ascii="Times New Roman" w:hAnsi="Times New Roman" w:cs="Times New Roman"/>
        </w:rPr>
        <w:t>accurate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approach</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incompatable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nature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00296867" w:rsidRPr="00705170">
        <w:rPr>
          <w:rFonts w:ascii="Times New Roman" w:hAnsi="Times New Roman" w:cs="Times New Roman"/>
        </w:rPr>
        <w:t>T</w:t>
      </w:r>
      <w:r w:rsidR="006A7928" w:rsidRPr="00705170">
        <w:rPr>
          <w:rFonts w:ascii="Times New Roman" w:hAnsi="Times New Roman" w:cs="Times New Roman"/>
        </w:rPr>
        <w:t>he</w:t>
      </w:r>
      <w:proofErr w:type="spellEnd"/>
      <w:r w:rsidR="006A7928" w:rsidRPr="00705170">
        <w:rPr>
          <w:rFonts w:ascii="Times New Roman" w:hAnsi="Times New Roman" w:cs="Times New Roman"/>
        </w:rPr>
        <w:t xml:space="preserve"> </w:t>
      </w:r>
      <w:proofErr w:type="spellStart"/>
      <w:r w:rsidR="006A7928" w:rsidRPr="00705170">
        <w:rPr>
          <w:rFonts w:ascii="Times New Roman" w:hAnsi="Times New Roman" w:cs="Times New Roman"/>
        </w:rPr>
        <w:t>fact</w:t>
      </w:r>
      <w:proofErr w:type="spellEnd"/>
      <w:r w:rsidR="006A7928" w:rsidRPr="00705170">
        <w:rPr>
          <w:rFonts w:ascii="Times New Roman" w:hAnsi="Times New Roman" w:cs="Times New Roman"/>
        </w:rPr>
        <w:t xml:space="preserve"> </w:t>
      </w:r>
      <w:proofErr w:type="spellStart"/>
      <w:r w:rsidR="006A7928" w:rsidRPr="00705170">
        <w:rPr>
          <w:rFonts w:ascii="Times New Roman" w:hAnsi="Times New Roman" w:cs="Times New Roman"/>
        </w:rPr>
        <w:t>that</w:t>
      </w:r>
      <w:proofErr w:type="spellEnd"/>
      <w:r w:rsidR="006A7928" w:rsidRPr="00705170">
        <w:rPr>
          <w:rFonts w:ascii="Times New Roman" w:hAnsi="Times New Roman" w:cs="Times New Roman"/>
        </w:rPr>
        <w:t xml:space="preserve"> </w:t>
      </w:r>
      <w:proofErr w:type="spellStart"/>
      <w:r w:rsidR="006A7928" w:rsidRPr="00705170">
        <w:rPr>
          <w:rFonts w:ascii="Times New Roman" w:hAnsi="Times New Roman" w:cs="Times New Roman"/>
        </w:rPr>
        <w:t>courts</w:t>
      </w:r>
      <w:proofErr w:type="spellEnd"/>
      <w:r w:rsidR="006A7928" w:rsidRPr="00705170">
        <w:rPr>
          <w:rFonts w:ascii="Times New Roman" w:hAnsi="Times New Roman" w:cs="Times New Roman"/>
        </w:rPr>
        <w:t xml:space="preserve"> </w:t>
      </w:r>
      <w:proofErr w:type="spellStart"/>
      <w:r w:rsidR="006A7928" w:rsidRPr="00705170">
        <w:rPr>
          <w:rFonts w:ascii="Times New Roman" w:hAnsi="Times New Roman" w:cs="Times New Roman"/>
        </w:rPr>
        <w:t>tend</w:t>
      </w:r>
      <w:proofErr w:type="spellEnd"/>
      <w:r w:rsidR="006A7928" w:rsidRPr="00705170">
        <w:rPr>
          <w:rFonts w:ascii="Times New Roman" w:hAnsi="Times New Roman" w:cs="Times New Roman"/>
        </w:rPr>
        <w:t xml:space="preserve"> </w:t>
      </w:r>
      <w:proofErr w:type="spellStart"/>
      <w:r w:rsidR="006A7928" w:rsidRPr="00705170">
        <w:rPr>
          <w:rFonts w:ascii="Times New Roman" w:hAnsi="Times New Roman" w:cs="Times New Roman"/>
        </w:rPr>
        <w:t>to</w:t>
      </w:r>
      <w:proofErr w:type="spellEnd"/>
      <w:r w:rsidR="006A7928" w:rsidRPr="00705170">
        <w:rPr>
          <w:rFonts w:ascii="Times New Roman" w:hAnsi="Times New Roman" w:cs="Times New Roman"/>
        </w:rPr>
        <w:t xml:space="preserve"> </w:t>
      </w:r>
      <w:proofErr w:type="spellStart"/>
      <w:r w:rsidR="006A7928" w:rsidRPr="00705170">
        <w:rPr>
          <w:rFonts w:ascii="Times New Roman" w:hAnsi="Times New Roman" w:cs="Times New Roman"/>
        </w:rPr>
        <w:t>recognize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presence of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received</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gift</w:t>
      </w:r>
      <w:proofErr w:type="spellEnd"/>
      <w:r w:rsidR="00843C61" w:rsidRPr="00705170">
        <w:rPr>
          <w:rFonts w:ascii="Times New Roman" w:hAnsi="Times New Roman" w:cs="Times New Roman"/>
        </w:rPr>
        <w:t xml:space="preserve"> </w:t>
      </w:r>
      <w:proofErr w:type="spellStart"/>
      <w:r w:rsidR="00843C61" w:rsidRPr="00705170">
        <w:rPr>
          <w:rFonts w:ascii="Times New Roman" w:hAnsi="Times New Roman" w:cs="Times New Roman"/>
        </w:rPr>
        <w:t>or</w:t>
      </w:r>
      <w:proofErr w:type="spellEnd"/>
      <w:r w:rsidR="00843C61" w:rsidRPr="00705170">
        <w:rPr>
          <w:rFonts w:ascii="Times New Roman" w:hAnsi="Times New Roman" w:cs="Times New Roman"/>
        </w:rPr>
        <w:t xml:space="preserve"> </w:t>
      </w:r>
      <w:proofErr w:type="spellStart"/>
      <w:r w:rsidR="00843C61" w:rsidRPr="00705170">
        <w:rPr>
          <w:rFonts w:ascii="Times New Roman" w:hAnsi="Times New Roman" w:cs="Times New Roman"/>
        </w:rPr>
        <w:t>inherited</w:t>
      </w:r>
      <w:proofErr w:type="spellEnd"/>
      <w:r w:rsidRPr="00705170">
        <w:rPr>
          <w:rStyle w:val="DipnotBavurusu"/>
          <w:rFonts w:ascii="Times New Roman" w:hAnsi="Times New Roman" w:cs="Times New Roman"/>
        </w:rPr>
        <w:footnoteReference w:id="741"/>
      </w:r>
      <w:r w:rsidRPr="00705170">
        <w:rPr>
          <w:rFonts w:ascii="Times New Roman" w:hAnsi="Times New Roman" w:cs="Times New Roman"/>
        </w:rPr>
        <w:t xml:space="preserve">, </w:t>
      </w:r>
      <w:proofErr w:type="spellStart"/>
      <w:r w:rsidRPr="00705170">
        <w:rPr>
          <w:rFonts w:ascii="Times New Roman" w:hAnsi="Times New Roman" w:cs="Times New Roman"/>
        </w:rPr>
        <w:t>shows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used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joins</w:t>
      </w:r>
      <w:proofErr w:type="spellEnd"/>
      <w:r w:rsidR="001D20FB" w:rsidRPr="00705170">
        <w:rPr>
          <w:rFonts w:ascii="Times New Roman" w:hAnsi="Times New Roman" w:cs="Times New Roman"/>
        </w:rPr>
        <w:t xml:space="preserve"> </w:t>
      </w:r>
      <w:proofErr w:type="spellStart"/>
      <w:r w:rsidR="001D20FB" w:rsidRPr="00705170">
        <w:rPr>
          <w:rFonts w:ascii="Times New Roman" w:hAnsi="Times New Roman" w:cs="Times New Roman"/>
        </w:rPr>
        <w:t>the</w:t>
      </w:r>
      <w:proofErr w:type="spellEnd"/>
      <w:r w:rsidR="001D20FB" w:rsidRPr="00705170">
        <w:rPr>
          <w:rFonts w:ascii="Times New Roman" w:hAnsi="Times New Roman" w:cs="Times New Roman"/>
        </w:rPr>
        <w:t xml:space="preserve"> </w:t>
      </w:r>
      <w:proofErr w:type="spellStart"/>
      <w:r w:rsidR="001D20FB" w:rsidRPr="00705170">
        <w:rPr>
          <w:rFonts w:ascii="Times New Roman" w:hAnsi="Times New Roman" w:cs="Times New Roman"/>
        </w:rPr>
        <w:t>corporation</w:t>
      </w:r>
      <w:proofErr w:type="spellEnd"/>
      <w:r w:rsidR="001D20FB" w:rsidRPr="00705170">
        <w:rPr>
          <w:rFonts w:ascii="Times New Roman" w:hAnsi="Times New Roman" w:cs="Times New Roman"/>
        </w:rPr>
        <w:t xml:space="preserve"> </w:t>
      </w:r>
      <w:proofErr w:type="spellStart"/>
      <w:r w:rsidR="001D20FB" w:rsidRPr="00705170">
        <w:rPr>
          <w:rFonts w:ascii="Times New Roman" w:hAnsi="Times New Roman" w:cs="Times New Roman"/>
        </w:rPr>
        <w:t>after</w:t>
      </w:r>
      <w:proofErr w:type="spellEnd"/>
      <w:r w:rsidR="001D20FB" w:rsidRPr="00705170">
        <w:rPr>
          <w:rFonts w:ascii="Times New Roman" w:hAnsi="Times New Roman" w:cs="Times New Roman"/>
        </w:rPr>
        <w:t xml:space="preserve"> </w:t>
      </w:r>
      <w:proofErr w:type="spellStart"/>
      <w:r w:rsidR="001D20FB" w:rsidRPr="00705170">
        <w:rPr>
          <w:rFonts w:ascii="Times New Roman" w:hAnsi="Times New Roman" w:cs="Times New Roman"/>
        </w:rPr>
        <w:t>its</w:t>
      </w:r>
      <w:proofErr w:type="spellEnd"/>
      <w:r w:rsidR="001D20FB" w:rsidRPr="00705170">
        <w:rPr>
          <w:rFonts w:ascii="Times New Roman" w:hAnsi="Times New Roman" w:cs="Times New Roman"/>
        </w:rPr>
        <w:t xml:space="preserve"> </w:t>
      </w:r>
      <w:proofErr w:type="spellStart"/>
      <w:r w:rsidR="001D20FB" w:rsidRPr="00705170">
        <w:rPr>
          <w:rFonts w:ascii="Times New Roman" w:hAnsi="Times New Roman" w:cs="Times New Roman"/>
        </w:rPr>
        <w:t>inception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without</w:t>
      </w:r>
      <w:proofErr w:type="spellEnd"/>
      <w:r w:rsidRPr="00705170">
        <w:rPr>
          <w:rFonts w:ascii="Times New Roman" w:hAnsi="Times New Roman" w:cs="Times New Roman"/>
        </w:rPr>
        <w:t xml:space="preserve"> </w:t>
      </w:r>
      <w:proofErr w:type="spellStart"/>
      <w:r w:rsidR="00FE2E4E" w:rsidRPr="00705170">
        <w:rPr>
          <w:rFonts w:ascii="Times New Roman" w:hAnsi="Times New Roman" w:cs="Times New Roman"/>
        </w:rPr>
        <w:t>developing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007C6F24" w:rsidRPr="00705170">
        <w:rPr>
          <w:rFonts w:ascii="Times New Roman" w:hAnsi="Times New Roman" w:cs="Times New Roman"/>
        </w:rPr>
        <w:t xml:space="preserve"> </w:t>
      </w:r>
      <w:proofErr w:type="spellStart"/>
      <w:r w:rsidRPr="00705170">
        <w:rPr>
          <w:rFonts w:ascii="Times New Roman" w:hAnsi="Times New Roman" w:cs="Times New Roman"/>
        </w:rPr>
        <w:t>expectation</w:t>
      </w:r>
      <w:r w:rsidR="007C6F24" w:rsidRPr="00705170">
        <w:rPr>
          <w:rFonts w:ascii="Times New Roman" w:hAnsi="Times New Roman" w:cs="Times New Roman"/>
        </w:rPr>
        <w:t>s</w:t>
      </w:r>
      <w:proofErr w:type="spellEnd"/>
      <w:r w:rsidR="007C6F24" w:rsidRPr="00705170">
        <w:rPr>
          <w:rFonts w:ascii="Times New Roman" w:hAnsi="Times New Roman" w:cs="Times New Roman"/>
        </w:rPr>
        <w:t xml:space="preserve"> </w:t>
      </w:r>
      <w:proofErr w:type="spellStart"/>
      <w:r w:rsidR="00FE2E4E" w:rsidRPr="00705170">
        <w:rPr>
          <w:rFonts w:ascii="Times New Roman" w:hAnsi="Times New Roman" w:cs="Times New Roman"/>
        </w:rPr>
        <w:t>prior</w:t>
      </w:r>
      <w:proofErr w:type="spellEnd"/>
      <w:r w:rsidR="00FE2E4E" w:rsidRPr="00705170">
        <w:rPr>
          <w:rFonts w:ascii="Times New Roman" w:hAnsi="Times New Roman" w:cs="Times New Roman"/>
        </w:rPr>
        <w:t xml:space="preserve"> </w:t>
      </w:r>
      <w:proofErr w:type="spellStart"/>
      <w:r w:rsidR="00FE2E4E" w:rsidRPr="00705170">
        <w:rPr>
          <w:rFonts w:ascii="Times New Roman" w:hAnsi="Times New Roman" w:cs="Times New Roman"/>
        </w:rPr>
        <w:t>to</w:t>
      </w:r>
      <w:proofErr w:type="spellEnd"/>
      <w:r w:rsidR="00FE2E4E" w:rsidRPr="00705170">
        <w:rPr>
          <w:rFonts w:ascii="Times New Roman" w:hAnsi="Times New Roman" w:cs="Times New Roman"/>
        </w:rPr>
        <w:t xml:space="preserve"> his </w:t>
      </w:r>
      <w:proofErr w:type="spellStart"/>
      <w:r w:rsidR="00FE2E4E" w:rsidRPr="00705170">
        <w:rPr>
          <w:rFonts w:ascii="Times New Roman" w:hAnsi="Times New Roman" w:cs="Times New Roman"/>
        </w:rPr>
        <w:t>membership</w:t>
      </w:r>
      <w:proofErr w:type="spellEnd"/>
      <w:r w:rsidR="00FE2E4E" w:rsidRPr="00705170">
        <w:rPr>
          <w:rFonts w:ascii="Times New Roman" w:hAnsi="Times New Roman" w:cs="Times New Roman"/>
        </w:rPr>
        <w:t xml:space="preserve"> in </w:t>
      </w:r>
      <w:proofErr w:type="spellStart"/>
      <w:r w:rsidR="00FE2E4E" w:rsidRPr="00705170">
        <w:rPr>
          <w:rFonts w:ascii="Times New Roman" w:hAnsi="Times New Roman" w:cs="Times New Roman"/>
        </w:rPr>
        <w:t>the</w:t>
      </w:r>
      <w:proofErr w:type="spellEnd"/>
      <w:r w:rsidR="00FE2E4E" w:rsidRPr="00705170">
        <w:rPr>
          <w:rFonts w:ascii="Times New Roman" w:hAnsi="Times New Roman" w:cs="Times New Roman"/>
        </w:rPr>
        <w:t xml:space="preserve"> </w:t>
      </w:r>
      <w:proofErr w:type="spellStart"/>
      <w:r w:rsidR="00FE2E4E" w:rsidRPr="00705170">
        <w:rPr>
          <w:rFonts w:ascii="Times New Roman" w:hAnsi="Times New Roman" w:cs="Times New Roman"/>
        </w:rPr>
        <w:t>corporation</w:t>
      </w:r>
      <w:proofErr w:type="spellEnd"/>
      <w:r w:rsidR="00FE2E4E" w:rsidRPr="00705170">
        <w:rPr>
          <w:rStyle w:val="DipnotBavurusu"/>
          <w:rFonts w:ascii="Times New Roman" w:hAnsi="Times New Roman" w:cs="Times New Roman"/>
        </w:rPr>
        <w:footnoteReference w:id="742"/>
      </w:r>
      <w:r w:rsidRPr="00705170">
        <w:rPr>
          <w:rFonts w:ascii="Times New Roman" w:hAnsi="Times New Roman" w:cs="Times New Roman"/>
        </w:rPr>
        <w:t xml:space="preserve">. </w:t>
      </w:r>
      <w:proofErr w:type="spellStart"/>
      <w:r w:rsidR="00296867" w:rsidRPr="00705170">
        <w:rPr>
          <w:rFonts w:ascii="Times New Roman" w:hAnsi="Times New Roman" w:cs="Times New Roman"/>
        </w:rPr>
        <w:t>Moreover</w:t>
      </w:r>
      <w:proofErr w:type="spellEnd"/>
      <w:r w:rsidR="00296867" w:rsidRPr="00705170">
        <w:rPr>
          <w:rFonts w:ascii="Times New Roman" w:hAnsi="Times New Roman" w:cs="Times New Roman"/>
        </w:rPr>
        <w:t xml:space="preserve">, U.S. </w:t>
      </w:r>
      <w:proofErr w:type="spellStart"/>
      <w:r w:rsidR="00296867" w:rsidRPr="00705170">
        <w:rPr>
          <w:rFonts w:ascii="Times New Roman" w:hAnsi="Times New Roman" w:cs="Times New Roman"/>
        </w:rPr>
        <w:t>courts</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lastRenderedPageBreak/>
        <w:t>are</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already</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applying</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the</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reasonable</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expectations</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theory</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for</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the</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benefit</w:t>
      </w:r>
      <w:proofErr w:type="spellEnd"/>
      <w:r w:rsidR="00296867" w:rsidRPr="00705170">
        <w:rPr>
          <w:rFonts w:ascii="Times New Roman" w:hAnsi="Times New Roman" w:cs="Times New Roman"/>
        </w:rPr>
        <w:t xml:space="preserve"> of </w:t>
      </w:r>
      <w:proofErr w:type="spellStart"/>
      <w:r w:rsidR="00296867" w:rsidRPr="00705170">
        <w:rPr>
          <w:rFonts w:ascii="Times New Roman" w:hAnsi="Times New Roman" w:cs="Times New Roman"/>
        </w:rPr>
        <w:t>public</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securities</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investors</w:t>
      </w:r>
      <w:proofErr w:type="spellEnd"/>
      <w:r w:rsidR="00296867" w:rsidRPr="00705170">
        <w:rPr>
          <w:rFonts w:ascii="Times New Roman" w:hAnsi="Times New Roman" w:cs="Times New Roman"/>
        </w:rPr>
        <w:t xml:space="preserve"> in </w:t>
      </w:r>
      <w:proofErr w:type="spellStart"/>
      <w:r w:rsidR="00296867" w:rsidRPr="00705170">
        <w:rPr>
          <w:rFonts w:ascii="Times New Roman" w:hAnsi="Times New Roman" w:cs="Times New Roman"/>
        </w:rPr>
        <w:t>different</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contexts</w:t>
      </w:r>
      <w:proofErr w:type="spellEnd"/>
      <w:r w:rsidR="00296867" w:rsidRPr="00705170">
        <w:rPr>
          <w:rStyle w:val="DipnotBavurusu"/>
          <w:rFonts w:ascii="Times New Roman" w:hAnsi="Times New Roman" w:cs="Times New Roman"/>
        </w:rPr>
        <w:footnoteReference w:id="743"/>
      </w:r>
      <w:r w:rsidR="00296867"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makes</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possible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doctrine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investmen</w:t>
      </w:r>
      <w:r w:rsidR="007C6F24" w:rsidRPr="00705170">
        <w:rPr>
          <w:rFonts w:ascii="Times New Roman" w:hAnsi="Times New Roman" w:cs="Times New Roman"/>
        </w:rPr>
        <w:t>t</w:t>
      </w:r>
      <w:proofErr w:type="spellEnd"/>
      <w:r w:rsidR="007C6F24" w:rsidRPr="00705170">
        <w:rPr>
          <w:rFonts w:ascii="Times New Roman" w:hAnsi="Times New Roman" w:cs="Times New Roman"/>
        </w:rPr>
        <w:t xml:space="preserve"> </w:t>
      </w:r>
      <w:proofErr w:type="spellStart"/>
      <w:r w:rsidR="007C6F24" w:rsidRPr="00705170">
        <w:rPr>
          <w:rFonts w:ascii="Times New Roman" w:hAnsi="Times New Roman" w:cs="Times New Roman"/>
        </w:rPr>
        <w:t>and</w:t>
      </w:r>
      <w:proofErr w:type="spellEnd"/>
      <w:r w:rsidR="007C6F24" w:rsidRPr="00705170">
        <w:rPr>
          <w:rFonts w:ascii="Times New Roman" w:hAnsi="Times New Roman" w:cs="Times New Roman"/>
        </w:rPr>
        <w:t xml:space="preserve"> </w:t>
      </w:r>
      <w:proofErr w:type="spellStart"/>
      <w:r w:rsidR="007C6F24" w:rsidRPr="00705170">
        <w:rPr>
          <w:rFonts w:ascii="Times New Roman" w:hAnsi="Times New Roman" w:cs="Times New Roman"/>
        </w:rPr>
        <w:t>the</w:t>
      </w:r>
      <w:proofErr w:type="spellEnd"/>
      <w:r w:rsidR="007C6F24" w:rsidRPr="00705170">
        <w:rPr>
          <w:rFonts w:ascii="Times New Roman" w:hAnsi="Times New Roman" w:cs="Times New Roman"/>
        </w:rPr>
        <w:t xml:space="preserve"> </w:t>
      </w:r>
      <w:proofErr w:type="spellStart"/>
      <w:r w:rsidR="007C6F24" w:rsidRPr="00705170">
        <w:rPr>
          <w:rFonts w:ascii="Times New Roman" w:hAnsi="Times New Roman" w:cs="Times New Roman"/>
        </w:rPr>
        <w:t>expectation</w:t>
      </w:r>
      <w:proofErr w:type="spellEnd"/>
      <w:r w:rsidR="007C6F24" w:rsidRPr="00705170">
        <w:rPr>
          <w:rFonts w:ascii="Times New Roman" w:hAnsi="Times New Roman" w:cs="Times New Roman"/>
        </w:rPr>
        <w:t xml:space="preserve"> </w:t>
      </w:r>
      <w:proofErr w:type="spellStart"/>
      <w:r w:rsidR="007C6F24" w:rsidRPr="00705170">
        <w:rPr>
          <w:rFonts w:ascii="Times New Roman" w:hAnsi="Times New Roman" w:cs="Times New Roman"/>
        </w:rPr>
        <w:t>tied</w:t>
      </w:r>
      <w:proofErr w:type="spellEnd"/>
      <w:r w:rsidR="00012D36" w:rsidRPr="00705170">
        <w:rPr>
          <w:rFonts w:ascii="Times New Roman" w:hAnsi="Times New Roman" w:cs="Times New Roman"/>
        </w:rPr>
        <w:t xml:space="preserve"> is </w:t>
      </w:r>
      <w:proofErr w:type="spellStart"/>
      <w:r w:rsidR="00012D36" w:rsidRPr="00705170">
        <w:rPr>
          <w:rFonts w:ascii="Times New Roman" w:hAnsi="Times New Roman" w:cs="Times New Roman"/>
        </w:rPr>
        <w:t>quite</w:t>
      </w:r>
      <w:proofErr w:type="spellEnd"/>
      <w:r w:rsidR="00012D36" w:rsidRPr="00705170">
        <w:rPr>
          <w:rFonts w:ascii="Times New Roman" w:hAnsi="Times New Roman" w:cs="Times New Roman"/>
        </w:rPr>
        <w:t xml:space="preserve"> </w:t>
      </w:r>
      <w:proofErr w:type="spellStart"/>
      <w:r w:rsidR="00012D36" w:rsidRPr="00705170">
        <w:rPr>
          <w:rFonts w:ascii="Times New Roman" w:hAnsi="Times New Roman" w:cs="Times New Roman"/>
        </w:rPr>
        <w:t>different</w:t>
      </w:r>
      <w:proofErr w:type="spellEnd"/>
      <w:r w:rsidR="00012D36" w:rsidRPr="00705170">
        <w:rPr>
          <w:rFonts w:ascii="Times New Roman" w:hAnsi="Times New Roman" w:cs="Times New Roman"/>
        </w:rPr>
        <w:t xml:space="preserve"> </w:t>
      </w:r>
      <w:proofErr w:type="spellStart"/>
      <w:r w:rsidR="00012D36" w:rsidRPr="00705170">
        <w:rPr>
          <w:rFonts w:ascii="Times New Roman" w:hAnsi="Times New Roman" w:cs="Times New Roman"/>
        </w:rPr>
        <w:t>than</w:t>
      </w:r>
      <w:proofErr w:type="spellEnd"/>
      <w:r w:rsidR="00012D36" w:rsidRPr="00705170">
        <w:rPr>
          <w:rFonts w:ascii="Times New Roman" w:hAnsi="Times New Roman" w:cs="Times New Roman"/>
        </w:rPr>
        <w:t xml:space="preserve"> </w:t>
      </w:r>
      <w:proofErr w:type="spellStart"/>
      <w:r w:rsidRPr="00705170">
        <w:rPr>
          <w:rFonts w:ascii="Times New Roman" w:hAnsi="Times New Roman" w:cs="Times New Roman"/>
        </w:rPr>
        <w:t>investments</w:t>
      </w:r>
      <w:proofErr w:type="spellEnd"/>
      <w:r w:rsidR="00296867" w:rsidRPr="00705170">
        <w:rPr>
          <w:rFonts w:ascii="Times New Roman" w:hAnsi="Times New Roman" w:cs="Times New Roman"/>
        </w:rPr>
        <w:t xml:space="preserve"> in </w:t>
      </w:r>
      <w:proofErr w:type="spellStart"/>
      <w:r w:rsidR="00296867" w:rsidRPr="00705170">
        <w:rPr>
          <w:rFonts w:ascii="Times New Roman" w:hAnsi="Times New Roman" w:cs="Times New Roman"/>
        </w:rPr>
        <w:t>other</w:t>
      </w:r>
      <w:proofErr w:type="spellEnd"/>
      <w:r w:rsidR="00296867" w:rsidRPr="00705170">
        <w:rPr>
          <w:rFonts w:ascii="Times New Roman" w:hAnsi="Times New Roman" w:cs="Times New Roman"/>
        </w:rPr>
        <w:t xml:space="preserve"> </w:t>
      </w:r>
      <w:proofErr w:type="spellStart"/>
      <w:r w:rsidR="00296867" w:rsidRPr="00705170">
        <w:rPr>
          <w:rFonts w:ascii="Times New Roman" w:hAnsi="Times New Roman" w:cs="Times New Roman"/>
        </w:rPr>
        <w:t>kinds</w:t>
      </w:r>
      <w:proofErr w:type="spellEnd"/>
      <w:r w:rsidR="00296867" w:rsidRPr="00705170">
        <w:rPr>
          <w:rFonts w:ascii="Times New Roman" w:hAnsi="Times New Roman" w:cs="Times New Roman"/>
        </w:rPr>
        <w:t xml:space="preserve"> of </w:t>
      </w:r>
      <w:proofErr w:type="spellStart"/>
      <w:r w:rsidR="00296867" w:rsidRPr="00705170">
        <w:rPr>
          <w:rFonts w:ascii="Times New Roman" w:hAnsi="Times New Roman" w:cs="Times New Roman"/>
        </w:rPr>
        <w:t>enti</w:t>
      </w:r>
      <w:r w:rsidR="00012D36" w:rsidRPr="00705170">
        <w:rPr>
          <w:rFonts w:ascii="Times New Roman" w:hAnsi="Times New Roman" w:cs="Times New Roman"/>
        </w:rPr>
        <w:t>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said</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accurate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00012D36" w:rsidRPr="00705170">
        <w:rPr>
          <w:rFonts w:ascii="Times New Roman" w:hAnsi="Times New Roman" w:cs="Times New Roman"/>
        </w:rPr>
        <w:t xml:space="preserve"> </w:t>
      </w:r>
      <w:proofErr w:type="spellStart"/>
      <w:r w:rsidR="00012D36" w:rsidRPr="00705170">
        <w:rPr>
          <w:rFonts w:ascii="Times New Roman" w:hAnsi="Times New Roman" w:cs="Times New Roman"/>
        </w:rPr>
        <w:t>there</w:t>
      </w:r>
      <w:proofErr w:type="spellEnd"/>
      <w:r w:rsidR="00012D36" w:rsidRPr="00705170">
        <w:rPr>
          <w:rFonts w:ascii="Times New Roman" w:hAnsi="Times New Roman" w:cs="Times New Roman"/>
        </w:rPr>
        <w:t xml:space="preserve"> </w:t>
      </w:r>
      <w:proofErr w:type="spellStart"/>
      <w:r w:rsidR="00012D36" w:rsidRPr="00705170">
        <w:rPr>
          <w:rFonts w:ascii="Times New Roman" w:hAnsi="Times New Roman" w:cs="Times New Roman"/>
        </w:rPr>
        <w:t>are</w:t>
      </w:r>
      <w:proofErr w:type="spellEnd"/>
      <w:r w:rsidR="00012D36" w:rsidRPr="00705170">
        <w:rPr>
          <w:rFonts w:ascii="Times New Roman" w:hAnsi="Times New Roman" w:cs="Times New Roman"/>
        </w:rPr>
        <w:t xml:space="preserve"> </w:t>
      </w:r>
      <w:proofErr w:type="spellStart"/>
      <w:r w:rsidR="00012D36" w:rsidRPr="00705170">
        <w:rPr>
          <w:rFonts w:ascii="Times New Roman" w:hAnsi="Times New Roman" w:cs="Times New Roman"/>
        </w:rPr>
        <w:t>challenges</w:t>
      </w:r>
      <w:proofErr w:type="spellEnd"/>
      <w:r w:rsidR="00012D36" w:rsidRPr="00705170">
        <w:rPr>
          <w:rFonts w:ascii="Times New Roman" w:hAnsi="Times New Roman" w:cs="Times New Roman"/>
        </w:rPr>
        <w:t xml:space="preserve"> </w:t>
      </w:r>
      <w:proofErr w:type="spellStart"/>
      <w:r w:rsidR="00012D36" w:rsidRPr="00705170">
        <w:rPr>
          <w:rFonts w:ascii="Times New Roman" w:hAnsi="Times New Roman" w:cs="Times New Roman"/>
        </w:rPr>
        <w:t>that</w:t>
      </w:r>
      <w:proofErr w:type="spellEnd"/>
      <w:r w:rsidR="00012D36" w:rsidRPr="00705170">
        <w:rPr>
          <w:rFonts w:ascii="Times New Roman" w:hAnsi="Times New Roman" w:cs="Times New Roman"/>
        </w:rPr>
        <w:t xml:space="preserve"> has </w:t>
      </w:r>
      <w:proofErr w:type="spellStart"/>
      <w:r w:rsidR="00012D36" w:rsidRPr="00705170">
        <w:rPr>
          <w:rFonts w:ascii="Times New Roman" w:hAnsi="Times New Roman" w:cs="Times New Roman"/>
        </w:rPr>
        <w:t>to</w:t>
      </w:r>
      <w:proofErr w:type="spellEnd"/>
      <w:r w:rsidR="00012D36" w:rsidRPr="00705170">
        <w:rPr>
          <w:rFonts w:ascii="Times New Roman" w:hAnsi="Times New Roman" w:cs="Times New Roman"/>
        </w:rPr>
        <w:t xml:space="preserve"> be </w:t>
      </w:r>
      <w:proofErr w:type="spellStart"/>
      <w:r w:rsidR="00012D36" w:rsidRPr="00705170">
        <w:rPr>
          <w:rFonts w:ascii="Times New Roman" w:hAnsi="Times New Roman" w:cs="Times New Roman"/>
        </w:rPr>
        <w:t>expressed</w:t>
      </w:r>
      <w:proofErr w:type="spellEnd"/>
      <w:r w:rsidR="007C6F24" w:rsidRPr="00705170">
        <w:rPr>
          <w:rFonts w:ascii="Times New Roman" w:hAnsi="Times New Roman" w:cs="Times New Roman"/>
        </w:rPr>
        <w:t>,</w:t>
      </w:r>
      <w:r w:rsidR="00012D36" w:rsidRPr="00705170">
        <w:rPr>
          <w:rFonts w:ascii="Times New Roman" w:hAnsi="Times New Roman" w:cs="Times New Roman"/>
        </w:rPr>
        <w:t xml:space="preserve"> </w:t>
      </w:r>
      <w:proofErr w:type="spellStart"/>
      <w:r w:rsidR="00012D36" w:rsidRPr="00705170">
        <w:rPr>
          <w:rFonts w:ascii="Times New Roman" w:hAnsi="Times New Roman" w:cs="Times New Roman"/>
        </w:rPr>
        <w:t>and</w:t>
      </w:r>
      <w:proofErr w:type="spellEnd"/>
      <w:r w:rsidR="007C6F24" w:rsidRPr="00705170">
        <w:rPr>
          <w:rFonts w:ascii="Times New Roman" w:hAnsi="Times New Roman" w:cs="Times New Roman"/>
        </w:rPr>
        <w:t xml:space="preserve"> </w:t>
      </w:r>
      <w:proofErr w:type="spellStart"/>
      <w:r w:rsidR="007C6F24"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unique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nature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appli</w:t>
      </w:r>
      <w:r w:rsidR="007C6F24" w:rsidRPr="00705170">
        <w:rPr>
          <w:rFonts w:ascii="Times New Roman" w:hAnsi="Times New Roman" w:cs="Times New Roman"/>
        </w:rPr>
        <w:t>cation</w:t>
      </w:r>
      <w:proofErr w:type="spellEnd"/>
      <w:r w:rsidR="007C6F24" w:rsidRPr="00705170">
        <w:rPr>
          <w:rFonts w:ascii="Times New Roman" w:hAnsi="Times New Roman" w:cs="Times New Roman"/>
        </w:rPr>
        <w:t xml:space="preserve"> of </w:t>
      </w:r>
      <w:proofErr w:type="spellStart"/>
      <w:r w:rsidR="007C6F24" w:rsidRPr="00705170">
        <w:rPr>
          <w:rFonts w:ascii="Times New Roman" w:hAnsi="Times New Roman" w:cs="Times New Roman"/>
        </w:rPr>
        <w:t>this</w:t>
      </w:r>
      <w:proofErr w:type="spellEnd"/>
      <w:r w:rsidR="007C6F24" w:rsidRPr="00705170">
        <w:rPr>
          <w:rFonts w:ascii="Times New Roman" w:hAnsi="Times New Roman" w:cs="Times New Roman"/>
        </w:rPr>
        <w:t xml:space="preserve"> </w:t>
      </w:r>
      <w:proofErr w:type="spellStart"/>
      <w:r w:rsidR="007C6F24" w:rsidRPr="00705170">
        <w:rPr>
          <w:rFonts w:ascii="Times New Roman" w:hAnsi="Times New Roman" w:cs="Times New Roman"/>
        </w:rPr>
        <w:t>approach</w:t>
      </w:r>
      <w:proofErr w:type="spellEnd"/>
      <w:r w:rsidR="007C6F24" w:rsidRPr="00705170">
        <w:rPr>
          <w:rFonts w:ascii="Times New Roman" w:hAnsi="Times New Roman" w:cs="Times New Roman"/>
        </w:rPr>
        <w:t xml:space="preserve"> </w:t>
      </w:r>
      <w:proofErr w:type="spellStart"/>
      <w:r w:rsidR="007C6F24" w:rsidRPr="00705170">
        <w:rPr>
          <w:rFonts w:ascii="Times New Roman" w:hAnsi="Times New Roman" w:cs="Times New Roman"/>
        </w:rPr>
        <w:t>have</w:t>
      </w:r>
      <w:proofErr w:type="spellEnd"/>
      <w:r w:rsidR="007C6F24" w:rsidRPr="00705170">
        <w:rPr>
          <w:rFonts w:ascii="Times New Roman" w:hAnsi="Times New Roman" w:cs="Times New Roman"/>
        </w:rPr>
        <w:t xml:space="preserve"> </w:t>
      </w:r>
      <w:proofErr w:type="spellStart"/>
      <w:r w:rsidR="007C6F24"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inherent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limits</w:t>
      </w:r>
      <w:proofErr w:type="spellEnd"/>
      <w:r w:rsidR="008B0E2B">
        <w:rPr>
          <w:rStyle w:val="DipnotBavurusu"/>
          <w:rFonts w:ascii="Times New Roman" w:hAnsi="Times New Roman" w:cs="Times New Roman"/>
        </w:rPr>
        <w:footnoteReference w:id="744"/>
      </w:r>
      <w:r w:rsidRPr="00705170">
        <w:rPr>
          <w:rFonts w:ascii="Times New Roman" w:hAnsi="Times New Roman" w:cs="Times New Roman"/>
        </w:rPr>
        <w:t>.</w:t>
      </w:r>
    </w:p>
    <w:p w14:paraId="6B915475" w14:textId="0A8A21B0" w:rsidR="005912F4" w:rsidRPr="00705170" w:rsidRDefault="005912F4" w:rsidP="00012D36">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Before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moving</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00D128DB" w:rsidRPr="00705170">
        <w:rPr>
          <w:rFonts w:ascii="Times New Roman" w:hAnsi="Times New Roman" w:cs="Times New Roman"/>
        </w:rPr>
        <w:t>short</w:t>
      </w:r>
      <w:proofErr w:type="spellEnd"/>
      <w:r w:rsidR="00D128DB" w:rsidRPr="00705170">
        <w:rPr>
          <w:rFonts w:ascii="Times New Roman" w:hAnsi="Times New Roman" w:cs="Times New Roman"/>
        </w:rPr>
        <w:t xml:space="preserve"> </w:t>
      </w:r>
      <w:proofErr w:type="spellStart"/>
      <w:r w:rsidRPr="00705170">
        <w:rPr>
          <w:rFonts w:ascii="Times New Roman" w:hAnsi="Times New Roman" w:cs="Times New Roman"/>
        </w:rPr>
        <w:t>paranthesis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open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address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remedy</w:t>
      </w:r>
      <w:proofErr w:type="spellEnd"/>
      <w:r w:rsidRPr="00705170">
        <w:rPr>
          <w:rFonts w:ascii="Times New Roman" w:hAnsi="Times New Roman" w:cs="Times New Roman"/>
        </w:rPr>
        <w:t xml:space="preserve"> is</w:t>
      </w:r>
      <w:r w:rsidR="00581FCD" w:rsidRPr="00705170">
        <w:rPr>
          <w:rFonts w:ascii="Times New Roman" w:hAnsi="Times New Roman" w:cs="Times New Roman"/>
        </w:rPr>
        <w:t xml:space="preserve"> </w:t>
      </w:r>
      <w:proofErr w:type="spellStart"/>
      <w:r w:rsidR="00581FCD" w:rsidRPr="00705170">
        <w:rPr>
          <w:rFonts w:ascii="Times New Roman" w:hAnsi="Times New Roman" w:cs="Times New Roman"/>
        </w:rPr>
        <w:t>generally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inherent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00581FCD" w:rsidRPr="00705170">
        <w:rPr>
          <w:rFonts w:ascii="Times New Roman" w:hAnsi="Times New Roman" w:cs="Times New Roman"/>
        </w:rPr>
        <w:t>context</w:t>
      </w:r>
      <w:proofErr w:type="spellEnd"/>
      <w:r w:rsidR="00581FCD" w:rsidRPr="00705170">
        <w:rPr>
          <w:rFonts w:ascii="Times New Roman" w:hAnsi="Times New Roman" w:cs="Times New Roman"/>
        </w:rPr>
        <w:t xml:space="preserve"> but </w:t>
      </w:r>
      <w:proofErr w:type="spellStart"/>
      <w:r w:rsidR="00581FCD" w:rsidRPr="00705170">
        <w:rPr>
          <w:rFonts w:ascii="Times New Roman" w:hAnsi="Times New Roman" w:cs="Times New Roman"/>
        </w:rPr>
        <w:t>less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answers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seems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obvious</w:t>
      </w:r>
      <w:proofErr w:type="spellEnd"/>
      <w:r w:rsidRPr="00705170">
        <w:rPr>
          <w:rFonts w:ascii="Times New Roman" w:hAnsi="Times New Roman" w:cs="Times New Roman"/>
        </w:rPr>
        <w:t xml:space="preserve">: Close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operational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structure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greater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freedom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put in </w:t>
      </w:r>
      <w:proofErr w:type="spellStart"/>
      <w:r w:rsidRPr="00705170">
        <w:rPr>
          <w:rFonts w:ascii="Times New Roman" w:hAnsi="Times New Roman" w:cs="Times New Roman"/>
        </w:rPr>
        <w:t>place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mechanisms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governance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illiquidity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whereas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operative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structure</w:t>
      </w:r>
      <w:proofErr w:type="spellEnd"/>
      <w:r w:rsidRPr="00705170">
        <w:rPr>
          <w:rFonts w:ascii="Times New Roman" w:hAnsi="Times New Roman" w:cs="Times New Roman"/>
        </w:rPr>
        <w:t xml:space="preserve"> </w:t>
      </w:r>
      <w:r w:rsidR="00D128DB" w:rsidRPr="00705170">
        <w:rPr>
          <w:rFonts w:ascii="Times New Roman" w:hAnsi="Times New Roman" w:cs="Times New Roman"/>
        </w:rPr>
        <w:t>(</w:t>
      </w:r>
      <w:proofErr w:type="spellStart"/>
      <w:r w:rsidR="00D128DB" w:rsidRPr="00705170">
        <w:rPr>
          <w:rFonts w:ascii="Times New Roman" w:hAnsi="Times New Roman" w:cs="Times New Roman"/>
        </w:rPr>
        <w:t>e.g</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securities</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law</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and</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listing</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rules</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force</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them</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to</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implement</w:t>
      </w:r>
      <w:proofErr w:type="spellEnd"/>
      <w:r w:rsidR="00D128DB" w:rsidRPr="00705170">
        <w:rPr>
          <w:rFonts w:ascii="Times New Roman" w:hAnsi="Times New Roman" w:cs="Times New Roman"/>
        </w:rPr>
        <w:t xml:space="preserve"> a </w:t>
      </w:r>
      <w:proofErr w:type="spellStart"/>
      <w:r w:rsidR="00D128DB" w:rsidRPr="00705170">
        <w:rPr>
          <w:rFonts w:ascii="Times New Roman" w:hAnsi="Times New Roman" w:cs="Times New Roman"/>
        </w:rPr>
        <w:t>governance</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regime</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less</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prone</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to</w:t>
      </w:r>
      <w:proofErr w:type="spellEnd"/>
      <w:r w:rsidR="00D128DB" w:rsidRPr="00705170">
        <w:rPr>
          <w:rFonts w:ascii="Times New Roman" w:hAnsi="Times New Roman" w:cs="Times New Roman"/>
        </w:rPr>
        <w:t xml:space="preserve"> </w:t>
      </w:r>
      <w:proofErr w:type="spellStart"/>
      <w:r w:rsidR="00D128DB" w:rsidRPr="00705170">
        <w:rPr>
          <w:rFonts w:ascii="Times New Roman" w:hAnsi="Times New Roman" w:cs="Times New Roman"/>
        </w:rPr>
        <w:t>oppression</w:t>
      </w:r>
      <w:proofErr w:type="spellEnd"/>
      <w:r w:rsidR="00D128DB"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liquidity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neccessity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remedy</w:t>
      </w:r>
      <w:proofErr w:type="spellEnd"/>
      <w:r w:rsidRPr="00705170">
        <w:rPr>
          <w:rStyle w:val="DipnotBavurusu"/>
          <w:rFonts w:ascii="Times New Roman" w:hAnsi="Times New Roman" w:cs="Times New Roman"/>
        </w:rPr>
        <w:footnoteReference w:id="745"/>
      </w:r>
      <w:r w:rsidRPr="00705170">
        <w:rPr>
          <w:rFonts w:ascii="Times New Roman" w:hAnsi="Times New Roman" w:cs="Times New Roman"/>
        </w:rPr>
        <w:t>.</w:t>
      </w:r>
    </w:p>
    <w:p w14:paraId="42B2BAAF" w14:textId="556B3C56" w:rsidR="005E4903" w:rsidRPr="00705170" w:rsidRDefault="00C01441" w:rsidP="005E4903">
      <w:pPr>
        <w:spacing w:after="240" w:line="480" w:lineRule="auto"/>
        <w:ind w:firstLine="708"/>
        <w:rPr>
          <w:rFonts w:ascii="Times New Roman" w:hAnsi="Times New Roman" w:cs="Times New Roman"/>
          <w:b/>
        </w:rPr>
      </w:pPr>
      <w:r>
        <w:rPr>
          <w:rFonts w:ascii="Times New Roman" w:hAnsi="Times New Roman" w:cs="Times New Roman"/>
          <w:b/>
        </w:rPr>
        <w:t>4</w:t>
      </w:r>
      <w:r w:rsidR="00012D36" w:rsidRPr="00705170">
        <w:rPr>
          <w:rFonts w:ascii="Times New Roman" w:hAnsi="Times New Roman" w:cs="Times New Roman"/>
          <w:b/>
        </w:rPr>
        <w:t xml:space="preserve">.4.2. </w:t>
      </w:r>
      <w:proofErr w:type="spellStart"/>
      <w:r w:rsidR="00012D36" w:rsidRPr="00705170">
        <w:rPr>
          <w:rFonts w:ascii="Times New Roman" w:hAnsi="Times New Roman" w:cs="Times New Roman"/>
          <w:b/>
        </w:rPr>
        <w:t>Challe</w:t>
      </w:r>
      <w:r w:rsidR="005E4903" w:rsidRPr="00705170">
        <w:rPr>
          <w:rFonts w:ascii="Times New Roman" w:hAnsi="Times New Roman" w:cs="Times New Roman"/>
          <w:b/>
        </w:rPr>
        <w:t>nges</w:t>
      </w:r>
      <w:proofErr w:type="spellEnd"/>
      <w:r w:rsidR="007F6712" w:rsidRPr="00705170">
        <w:rPr>
          <w:rFonts w:ascii="Times New Roman" w:hAnsi="Times New Roman" w:cs="Times New Roman"/>
          <w:b/>
        </w:rPr>
        <w:t xml:space="preserve"> in </w:t>
      </w:r>
      <w:proofErr w:type="spellStart"/>
      <w:r w:rsidR="007F6712" w:rsidRPr="00705170">
        <w:rPr>
          <w:rFonts w:ascii="Times New Roman" w:hAnsi="Times New Roman" w:cs="Times New Roman"/>
          <w:b/>
        </w:rPr>
        <w:t>Defending</w:t>
      </w:r>
      <w:proofErr w:type="spellEnd"/>
      <w:r w:rsidR="007F6712" w:rsidRPr="00705170">
        <w:rPr>
          <w:rFonts w:ascii="Times New Roman" w:hAnsi="Times New Roman" w:cs="Times New Roman"/>
          <w:b/>
        </w:rPr>
        <w:t xml:space="preserve"> </w:t>
      </w:r>
      <w:proofErr w:type="spellStart"/>
      <w:r w:rsidR="007F6712" w:rsidRPr="00705170">
        <w:rPr>
          <w:rFonts w:ascii="Times New Roman" w:hAnsi="Times New Roman" w:cs="Times New Roman"/>
          <w:b/>
        </w:rPr>
        <w:t>the</w:t>
      </w:r>
      <w:proofErr w:type="spellEnd"/>
      <w:r w:rsidR="007F6712" w:rsidRPr="00705170">
        <w:rPr>
          <w:rFonts w:ascii="Times New Roman" w:hAnsi="Times New Roman" w:cs="Times New Roman"/>
          <w:b/>
        </w:rPr>
        <w:t xml:space="preserve"> </w:t>
      </w:r>
      <w:proofErr w:type="spellStart"/>
      <w:r w:rsidR="007F6712" w:rsidRPr="00705170">
        <w:rPr>
          <w:rFonts w:ascii="Times New Roman" w:hAnsi="Times New Roman" w:cs="Times New Roman"/>
          <w:b/>
        </w:rPr>
        <w:t>Imposition</w:t>
      </w:r>
      <w:proofErr w:type="spellEnd"/>
    </w:p>
    <w:p w14:paraId="4231F485" w14:textId="56A55AF0" w:rsidR="00DF5DEE" w:rsidRPr="00705170" w:rsidRDefault="005372DC" w:rsidP="00C74F77">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lastRenderedPageBreak/>
        <w:t>While</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acknowledged</w:t>
      </w:r>
      <w:proofErr w:type="spellEnd"/>
      <w:r w:rsidR="00D566BB" w:rsidRPr="00705170">
        <w:rPr>
          <w:rFonts w:ascii="Times New Roman" w:hAnsi="Times New Roman" w:cs="Times New Roman"/>
        </w:rPr>
        <w:t xml:space="preserve"> </w:t>
      </w:r>
      <w:proofErr w:type="spellStart"/>
      <w:r w:rsidR="00D566BB"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00D566BB" w:rsidRPr="00705170">
        <w:rPr>
          <w:rFonts w:ascii="Times New Roman" w:hAnsi="Times New Roman" w:cs="Times New Roman"/>
        </w:rPr>
        <w:t xml:space="preserve"> </w:t>
      </w:r>
      <w:proofErr w:type="spellStart"/>
      <w:r w:rsidR="00D566BB" w:rsidRPr="00705170">
        <w:rPr>
          <w:rFonts w:ascii="Times New Roman" w:hAnsi="Times New Roman" w:cs="Times New Roman"/>
        </w:rPr>
        <w:t>publicly</w:t>
      </w:r>
      <w:proofErr w:type="spellEnd"/>
      <w:r w:rsidR="00D566BB" w:rsidRPr="00705170">
        <w:rPr>
          <w:rFonts w:ascii="Times New Roman" w:hAnsi="Times New Roman" w:cs="Times New Roman"/>
        </w:rPr>
        <w:t xml:space="preserve"> </w:t>
      </w:r>
      <w:proofErr w:type="spellStart"/>
      <w:r w:rsidR="00D566BB" w:rsidRPr="00705170">
        <w:rPr>
          <w:rFonts w:ascii="Times New Roman" w:hAnsi="Times New Roman" w:cs="Times New Roman"/>
        </w:rPr>
        <w:t>traded</w:t>
      </w:r>
      <w:proofErr w:type="spellEnd"/>
      <w:r w:rsidR="00D566BB" w:rsidRPr="00705170">
        <w:rPr>
          <w:rFonts w:ascii="Times New Roman" w:hAnsi="Times New Roman" w:cs="Times New Roman"/>
        </w:rPr>
        <w:t xml:space="preserve"> </w:t>
      </w:r>
      <w:proofErr w:type="spellStart"/>
      <w:r w:rsidR="00D566BB" w:rsidRPr="00705170">
        <w:rPr>
          <w:rFonts w:ascii="Times New Roman" w:hAnsi="Times New Roman" w:cs="Times New Roman"/>
        </w:rPr>
        <w:t>corporation</w:t>
      </w:r>
      <w:proofErr w:type="spellEnd"/>
      <w:r w:rsidR="00D566BB" w:rsidRPr="00705170">
        <w:rPr>
          <w:rFonts w:ascii="Times New Roman" w:hAnsi="Times New Roman" w:cs="Times New Roman"/>
        </w:rPr>
        <w:t xml:space="preserve"> can be </w:t>
      </w:r>
      <w:proofErr w:type="spellStart"/>
      <w:r w:rsidR="00D566BB" w:rsidRPr="00705170">
        <w:rPr>
          <w:rFonts w:ascii="Times New Roman" w:hAnsi="Times New Roman" w:cs="Times New Roman"/>
        </w:rPr>
        <w:t>the</w:t>
      </w:r>
      <w:proofErr w:type="spellEnd"/>
      <w:r w:rsidR="00D566BB" w:rsidRPr="00705170">
        <w:rPr>
          <w:rFonts w:ascii="Times New Roman" w:hAnsi="Times New Roman" w:cs="Times New Roman"/>
        </w:rPr>
        <w:t xml:space="preserve"> </w:t>
      </w:r>
      <w:proofErr w:type="spellStart"/>
      <w:r w:rsidR="00D566BB" w:rsidRPr="00705170">
        <w:rPr>
          <w:rFonts w:ascii="Times New Roman" w:hAnsi="Times New Roman" w:cs="Times New Roman"/>
        </w:rPr>
        <w:t>subject</w:t>
      </w:r>
      <w:proofErr w:type="spellEnd"/>
      <w:r w:rsidR="00D566BB" w:rsidRPr="00705170">
        <w:rPr>
          <w:rFonts w:ascii="Times New Roman" w:hAnsi="Times New Roman" w:cs="Times New Roman"/>
        </w:rPr>
        <w:t xml:space="preserve"> of </w:t>
      </w:r>
      <w:proofErr w:type="spellStart"/>
      <w:r w:rsidR="00D566BB" w:rsidRPr="00705170">
        <w:rPr>
          <w:rFonts w:ascii="Times New Roman" w:hAnsi="Times New Roman" w:cs="Times New Roman"/>
        </w:rPr>
        <w:t>oppressive</w:t>
      </w:r>
      <w:proofErr w:type="spellEnd"/>
      <w:r w:rsidR="00D566BB" w:rsidRPr="00705170">
        <w:rPr>
          <w:rFonts w:ascii="Times New Roman" w:hAnsi="Times New Roman" w:cs="Times New Roman"/>
        </w:rPr>
        <w:t xml:space="preserve"> </w:t>
      </w:r>
      <w:proofErr w:type="spellStart"/>
      <w:r w:rsidR="00D566BB" w:rsidRPr="00705170">
        <w:rPr>
          <w:rFonts w:ascii="Times New Roman" w:hAnsi="Times New Roman" w:cs="Times New Roman"/>
        </w:rPr>
        <w:t>acts</w:t>
      </w:r>
      <w:proofErr w:type="spellEnd"/>
      <w:r w:rsidR="00D566BB" w:rsidRPr="00705170">
        <w:rPr>
          <w:rStyle w:val="DipnotBavurusu"/>
          <w:rFonts w:ascii="Times New Roman" w:hAnsi="Times New Roman" w:cs="Times New Roman"/>
        </w:rPr>
        <w:footnoteReference w:id="746"/>
      </w:r>
      <w:r w:rsidR="00D566BB" w:rsidRPr="00705170">
        <w:rPr>
          <w:rFonts w:ascii="Times New Roman" w:hAnsi="Times New Roman" w:cs="Times New Roman"/>
        </w:rPr>
        <w:t xml:space="preserve">, </w:t>
      </w:r>
      <w:proofErr w:type="spellStart"/>
      <w:r w:rsidR="00D566BB" w:rsidRPr="00705170">
        <w:rPr>
          <w:rFonts w:ascii="Times New Roman" w:hAnsi="Times New Roman" w:cs="Times New Roman"/>
        </w:rPr>
        <w:t>j</w:t>
      </w:r>
      <w:r w:rsidR="001B3992" w:rsidRPr="00705170">
        <w:rPr>
          <w:rFonts w:ascii="Times New Roman" w:hAnsi="Times New Roman" w:cs="Times New Roman"/>
        </w:rPr>
        <w:t>ustifying</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imposition</w:t>
      </w:r>
      <w:proofErr w:type="spellEnd"/>
      <w:r w:rsidR="001B3992" w:rsidRPr="00705170">
        <w:rPr>
          <w:rFonts w:ascii="Times New Roman" w:hAnsi="Times New Roman" w:cs="Times New Roman"/>
        </w:rPr>
        <w:t xml:space="preserve"> of </w:t>
      </w:r>
      <w:proofErr w:type="spellStart"/>
      <w:r w:rsidR="001B3992" w:rsidRPr="00705170">
        <w:rPr>
          <w:rFonts w:ascii="Times New Roman" w:hAnsi="Times New Roman" w:cs="Times New Roman"/>
        </w:rPr>
        <w:t>the</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dissolution</w:t>
      </w:r>
      <w:proofErr w:type="spellEnd"/>
      <w:r w:rsidR="00C74F77" w:rsidRPr="00705170">
        <w:rPr>
          <w:rFonts w:ascii="Times New Roman" w:hAnsi="Times New Roman" w:cs="Times New Roman"/>
        </w:rPr>
        <w:t xml:space="preserve"> </w:t>
      </w:r>
      <w:proofErr w:type="spellStart"/>
      <w:r w:rsidR="00C74F77" w:rsidRPr="00705170">
        <w:rPr>
          <w:rFonts w:ascii="Times New Roman" w:hAnsi="Times New Roman" w:cs="Times New Roman"/>
        </w:rPr>
        <w:t>measure</w:t>
      </w:r>
      <w:proofErr w:type="spellEnd"/>
      <w:r w:rsidR="00C74F77" w:rsidRPr="00705170">
        <w:rPr>
          <w:rFonts w:ascii="Times New Roman" w:hAnsi="Times New Roman" w:cs="Times New Roman"/>
        </w:rPr>
        <w:t xml:space="preserve"> </w:t>
      </w:r>
      <w:proofErr w:type="spellStart"/>
      <w:r w:rsidR="00C74F77" w:rsidRPr="00705170">
        <w:rPr>
          <w:rFonts w:ascii="Times New Roman" w:hAnsi="Times New Roman" w:cs="Times New Roman"/>
        </w:rPr>
        <w:t>based</w:t>
      </w:r>
      <w:proofErr w:type="spellEnd"/>
      <w:r w:rsidR="00C74F77" w:rsidRPr="00705170">
        <w:rPr>
          <w:rFonts w:ascii="Times New Roman" w:hAnsi="Times New Roman" w:cs="Times New Roman"/>
        </w:rPr>
        <w:t xml:space="preserve"> on </w:t>
      </w:r>
      <w:proofErr w:type="spellStart"/>
      <w:r w:rsidR="00C74F77" w:rsidRPr="00705170">
        <w:rPr>
          <w:rFonts w:ascii="Times New Roman" w:hAnsi="Times New Roman" w:cs="Times New Roman"/>
        </w:rPr>
        <w:t>the</w:t>
      </w:r>
      <w:proofErr w:type="spellEnd"/>
      <w:r w:rsidR="00C74F77" w:rsidRPr="00705170">
        <w:rPr>
          <w:rFonts w:ascii="Times New Roman" w:hAnsi="Times New Roman" w:cs="Times New Roman"/>
        </w:rPr>
        <w:t xml:space="preserve"> </w:t>
      </w:r>
      <w:proofErr w:type="spellStart"/>
      <w:r w:rsidR="00C74F77" w:rsidRPr="00705170">
        <w:rPr>
          <w:rFonts w:ascii="Times New Roman" w:hAnsi="Times New Roman" w:cs="Times New Roman"/>
        </w:rPr>
        <w:t>theory</w:t>
      </w:r>
      <w:proofErr w:type="spellEnd"/>
      <w:r w:rsidR="00C74F77" w:rsidRPr="00705170">
        <w:rPr>
          <w:rFonts w:ascii="Times New Roman" w:hAnsi="Times New Roman" w:cs="Times New Roman"/>
        </w:rPr>
        <w:t xml:space="preserve"> of </w:t>
      </w:r>
      <w:proofErr w:type="spellStart"/>
      <w:r w:rsidR="00C74F77" w:rsidRPr="00705170">
        <w:rPr>
          <w:rFonts w:ascii="Times New Roman" w:hAnsi="Times New Roman" w:cs="Times New Roman"/>
        </w:rPr>
        <w:t>reasonable</w:t>
      </w:r>
      <w:proofErr w:type="spellEnd"/>
      <w:r w:rsidR="00C74F77" w:rsidRPr="00705170">
        <w:rPr>
          <w:rFonts w:ascii="Times New Roman" w:hAnsi="Times New Roman" w:cs="Times New Roman"/>
        </w:rPr>
        <w:t xml:space="preserve"> </w:t>
      </w:r>
      <w:proofErr w:type="spellStart"/>
      <w:r w:rsidR="00C74F77" w:rsidRPr="00705170">
        <w:rPr>
          <w:rFonts w:ascii="Times New Roman" w:hAnsi="Times New Roman" w:cs="Times New Roman"/>
        </w:rPr>
        <w:t>expectations</w:t>
      </w:r>
      <w:proofErr w:type="spellEnd"/>
      <w:r w:rsidR="00C74F77" w:rsidRPr="00705170">
        <w:rPr>
          <w:rFonts w:ascii="Times New Roman" w:hAnsi="Times New Roman" w:cs="Times New Roman"/>
        </w:rPr>
        <w:t xml:space="preserve"> in </w:t>
      </w:r>
      <w:proofErr w:type="spellStart"/>
      <w:r w:rsidR="00C74F77" w:rsidRPr="00705170">
        <w:rPr>
          <w:rFonts w:ascii="Times New Roman" w:hAnsi="Times New Roman" w:cs="Times New Roman"/>
        </w:rPr>
        <w:t>the</w:t>
      </w:r>
      <w:r w:rsidR="00D566BB" w:rsidRPr="00705170">
        <w:rPr>
          <w:rFonts w:ascii="Times New Roman" w:hAnsi="Times New Roman" w:cs="Times New Roman"/>
        </w:rPr>
        <w:t>ir</w:t>
      </w:r>
      <w:proofErr w:type="spellEnd"/>
      <w:r w:rsidR="00C74F77" w:rsidRPr="00705170">
        <w:rPr>
          <w:rFonts w:ascii="Times New Roman" w:hAnsi="Times New Roman" w:cs="Times New Roman"/>
        </w:rPr>
        <w:t xml:space="preserve"> </w:t>
      </w:r>
      <w:proofErr w:type="spellStart"/>
      <w:r w:rsidR="00C74F77" w:rsidRPr="00705170">
        <w:rPr>
          <w:rFonts w:ascii="Times New Roman" w:hAnsi="Times New Roman" w:cs="Times New Roman"/>
        </w:rPr>
        <w:t>context</w:t>
      </w:r>
      <w:proofErr w:type="spellEnd"/>
      <w:r w:rsidR="00C74F77" w:rsidRPr="00705170">
        <w:rPr>
          <w:rFonts w:ascii="Times New Roman" w:hAnsi="Times New Roman" w:cs="Times New Roman"/>
        </w:rPr>
        <w:t xml:space="preserve"> </w:t>
      </w:r>
      <w:r w:rsidR="00F85877" w:rsidRPr="00705170">
        <w:rPr>
          <w:rFonts w:ascii="Times New Roman" w:hAnsi="Times New Roman" w:cs="Times New Roman"/>
        </w:rPr>
        <w:t xml:space="preserve">is a </w:t>
      </w:r>
      <w:proofErr w:type="spellStart"/>
      <w:r w:rsidR="00F85877" w:rsidRPr="00705170">
        <w:rPr>
          <w:rFonts w:ascii="Times New Roman" w:hAnsi="Times New Roman" w:cs="Times New Roman"/>
        </w:rPr>
        <w:t>challenging</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task</w:t>
      </w:r>
      <w:proofErr w:type="spellEnd"/>
      <w:r w:rsidR="00F85877" w:rsidRPr="00705170">
        <w:rPr>
          <w:rFonts w:ascii="Times New Roman" w:hAnsi="Times New Roman" w:cs="Times New Roman"/>
        </w:rPr>
        <w:t xml:space="preserve"> </w:t>
      </w:r>
      <w:proofErr w:type="spellStart"/>
      <w:r w:rsidR="00DF5DEE" w:rsidRPr="00705170">
        <w:rPr>
          <w:rFonts w:ascii="Times New Roman" w:hAnsi="Times New Roman" w:cs="Times New Roman"/>
        </w:rPr>
        <w:t>primarily</w:t>
      </w:r>
      <w:proofErr w:type="spellEnd"/>
      <w:r w:rsidR="00DF5DEE" w:rsidRPr="00705170">
        <w:rPr>
          <w:rFonts w:ascii="Times New Roman" w:hAnsi="Times New Roman" w:cs="Times New Roman"/>
        </w:rPr>
        <w:t xml:space="preserve"> </w:t>
      </w:r>
      <w:proofErr w:type="spellStart"/>
      <w:r w:rsidR="00F85877" w:rsidRPr="00705170">
        <w:rPr>
          <w:rFonts w:ascii="Times New Roman" w:hAnsi="Times New Roman" w:cs="Times New Roman"/>
        </w:rPr>
        <w:t>due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to</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following</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assertion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sells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to</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investors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and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whenever</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investors</w:t>
      </w:r>
      <w:proofErr w:type="spellEnd"/>
      <w:r w:rsidR="00F85877" w:rsidRPr="00705170">
        <w:rPr>
          <w:rFonts w:ascii="Times New Roman" w:hAnsi="Times New Roman" w:cs="Times New Roman"/>
        </w:rPr>
        <w:t xml:space="preserve"> buy </w:t>
      </w:r>
      <w:proofErr w:type="spellStart"/>
      <w:r w:rsidR="00F85877" w:rsidRPr="00705170">
        <w:rPr>
          <w:rFonts w:ascii="Times New Roman" w:hAnsi="Times New Roman" w:cs="Times New Roman"/>
        </w:rPr>
        <w:t>its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stock</w:t>
      </w:r>
      <w:proofErr w:type="spellEnd"/>
      <w:r w:rsidR="00F85877" w:rsidRPr="00705170">
        <w:rPr>
          <w:rFonts w:ascii="Times New Roman" w:hAnsi="Times New Roman" w:cs="Times New Roman"/>
        </w:rPr>
        <w:t xml:space="preserve"> on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market),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investors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knowingly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consent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implicitly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contracts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to</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arrangements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that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corporation</w:t>
      </w:r>
      <w:proofErr w:type="spellEnd"/>
      <w:r w:rsidR="00F85877" w:rsidRPr="00705170">
        <w:rPr>
          <w:rFonts w:ascii="Times New Roman" w:hAnsi="Times New Roman" w:cs="Times New Roman"/>
        </w:rPr>
        <w:t xml:space="preserve"> has </w:t>
      </w:r>
      <w:proofErr w:type="spellStart"/>
      <w:r w:rsidR="00F85877" w:rsidRPr="00705170">
        <w:rPr>
          <w:rFonts w:ascii="Times New Roman" w:hAnsi="Times New Roman" w:cs="Times New Roman"/>
        </w:rPr>
        <w:t>disclosed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even</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to</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ones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that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might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cause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diversion</w:t>
      </w:r>
      <w:proofErr w:type="spellEnd"/>
      <w:r w:rsidR="00F85877" w:rsidRPr="00705170">
        <w:rPr>
          <w:rFonts w:ascii="Times New Roman" w:hAnsi="Times New Roman" w:cs="Times New Roman"/>
        </w:rPr>
        <w:t xml:space="preserve"> of </w:t>
      </w:r>
      <w:proofErr w:type="spellStart"/>
      <w:r w:rsidR="00F85877" w:rsidRPr="00705170">
        <w:rPr>
          <w:rFonts w:ascii="Times New Roman" w:hAnsi="Times New Roman" w:cs="Times New Roman"/>
        </w:rPr>
        <w:t>corporate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assets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to</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corporate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participants</w:t>
      </w:r>
      <w:proofErr w:type="spellEnd"/>
      <w:r w:rsidR="00F85877" w:rsidRPr="00705170">
        <w:rPr>
          <w:rStyle w:val="DipnotBavurusu"/>
          <w:rFonts w:ascii="Times New Roman" w:hAnsi="Times New Roman" w:cs="Times New Roman"/>
        </w:rPr>
        <w:footnoteReference w:id="747"/>
      </w:r>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B</w:t>
      </w:r>
      <w:r w:rsidR="00F85877" w:rsidRPr="00705170">
        <w:rPr>
          <w:rFonts w:ascii="Times New Roman" w:hAnsi="Times New Roman" w:cs="Times New Roman"/>
        </w:rPr>
        <w:t>ecause</w:t>
      </w:r>
      <w:proofErr w:type="spellEnd"/>
      <w:r w:rsidR="00F85877" w:rsidRPr="00705170">
        <w:rPr>
          <w:rFonts w:ascii="Times New Roman" w:hAnsi="Times New Roman" w:cs="Times New Roman"/>
        </w:rPr>
        <w:t xml:space="preserve"> in </w:t>
      </w:r>
      <w:proofErr w:type="spellStart"/>
      <w:r w:rsidR="00F85877" w:rsidRPr="00705170">
        <w:rPr>
          <w:rFonts w:ascii="Times New Roman" w:hAnsi="Times New Roman" w:cs="Times New Roman"/>
        </w:rPr>
        <w:t>theory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if</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investors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wanted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to</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have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more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favorable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terms</w:t>
      </w:r>
      <w:proofErr w:type="spellEnd"/>
      <w:r w:rsidR="00F85877" w:rsidRPr="00705170">
        <w:rPr>
          <w:rFonts w:ascii="Times New Roman" w:hAnsi="Times New Roman" w:cs="Times New Roman"/>
        </w:rPr>
        <w:t xml:space="preserve"> in </w:t>
      </w:r>
      <w:proofErr w:type="spellStart"/>
      <w:r w:rsidR="00F85877" w:rsidRPr="00705170">
        <w:rPr>
          <w:rFonts w:ascii="Times New Roman" w:hAnsi="Times New Roman" w:cs="Times New Roman"/>
        </w:rPr>
        <w:t>their</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contract</w:t>
      </w:r>
      <w:proofErr w:type="spellEnd"/>
      <w:r w:rsidR="008D5020" w:rsidRPr="00705170">
        <w:rPr>
          <w:rFonts w:ascii="Times New Roman" w:hAnsi="Times New Roman" w:cs="Times New Roman"/>
        </w:rPr>
        <w:t xml:space="preserve"> (</w:t>
      </w:r>
      <w:proofErr w:type="spellStart"/>
      <w:r w:rsidR="008D5020" w:rsidRPr="00705170">
        <w:rPr>
          <w:rFonts w:ascii="Times New Roman" w:hAnsi="Times New Roman" w:cs="Times New Roman"/>
        </w:rPr>
        <w:t>e.g</w:t>
      </w:r>
      <w:proofErr w:type="spellEnd"/>
      <w:r w:rsidR="008D5020" w:rsidRPr="00705170">
        <w:rPr>
          <w:rFonts w:ascii="Times New Roman" w:hAnsi="Times New Roman" w:cs="Times New Roman"/>
        </w:rPr>
        <w:t>.</w:t>
      </w:r>
      <w:r w:rsidR="007522D9" w:rsidRPr="00705170">
        <w:rPr>
          <w:rFonts w:ascii="Times New Roman" w:hAnsi="Times New Roman" w:cs="Times New Roman"/>
        </w:rPr>
        <w:t xml:space="preserve">, </w:t>
      </w:r>
      <w:proofErr w:type="spellStart"/>
      <w:r w:rsidR="007522D9" w:rsidRPr="00705170">
        <w:rPr>
          <w:rFonts w:ascii="Times New Roman" w:hAnsi="Times New Roman" w:cs="Times New Roman"/>
        </w:rPr>
        <w:t>articles</w:t>
      </w:r>
      <w:proofErr w:type="spellEnd"/>
      <w:r w:rsidR="007522D9" w:rsidRPr="00705170">
        <w:rPr>
          <w:rFonts w:ascii="Times New Roman" w:hAnsi="Times New Roman" w:cs="Times New Roman"/>
        </w:rPr>
        <w:t xml:space="preserve"> of </w:t>
      </w:r>
      <w:proofErr w:type="spellStart"/>
      <w:r w:rsidR="007522D9" w:rsidRPr="00705170">
        <w:rPr>
          <w:rFonts w:ascii="Times New Roman" w:hAnsi="Times New Roman" w:cs="Times New Roman"/>
        </w:rPr>
        <w:t>incorporation</w:t>
      </w:r>
      <w:proofErr w:type="spellEnd"/>
      <w:r w:rsidR="007522D9" w:rsidRPr="00705170">
        <w:rPr>
          <w:rFonts w:ascii="Times New Roman" w:hAnsi="Times New Roman" w:cs="Times New Roman"/>
        </w:rPr>
        <w:t>)</w:t>
      </w:r>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would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have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withhold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their</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investment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and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wait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until</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other</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corporations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offered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them</w:t>
      </w:r>
      <w:proofErr w:type="spellEnd"/>
      <w:r w:rsidR="00F85877" w:rsidRPr="00705170">
        <w:rPr>
          <w:rFonts w:ascii="Times New Roman" w:hAnsi="Times New Roman" w:cs="Times New Roman"/>
        </w:rPr>
        <w:t xml:space="preserve"> a </w:t>
      </w:r>
      <w:proofErr w:type="spellStart"/>
      <w:r w:rsidR="00F85877" w:rsidRPr="00705170">
        <w:rPr>
          <w:rFonts w:ascii="Times New Roman" w:hAnsi="Times New Roman" w:cs="Times New Roman"/>
        </w:rPr>
        <w:t>better</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arrangement</w:t>
      </w:r>
      <w:proofErr w:type="spellEnd"/>
      <w:r w:rsidR="00F85877" w:rsidRPr="00705170">
        <w:rPr>
          <w:rStyle w:val="DipnotBavurusu"/>
          <w:rFonts w:ascii="Times New Roman" w:hAnsi="Times New Roman" w:cs="Times New Roman"/>
        </w:rPr>
        <w:footnoteReference w:id="748"/>
      </w:r>
      <w:r w:rsidR="00F85877" w:rsidRPr="00705170">
        <w:rPr>
          <w:rFonts w:ascii="Times New Roman" w:hAnsi="Times New Roman" w:cs="Times New Roman"/>
        </w:rPr>
        <w:t>.</w:t>
      </w:r>
      <w:r w:rsidR="00DF5DEE" w:rsidRPr="00705170">
        <w:rPr>
          <w:rFonts w:ascii="Times New Roman" w:hAnsi="Times New Roman" w:cs="Times New Roman"/>
        </w:rPr>
        <w:t xml:space="preserve"> </w:t>
      </w:r>
      <w:proofErr w:type="spellStart"/>
      <w:r w:rsidR="001B3992" w:rsidRPr="00705170">
        <w:rPr>
          <w:rFonts w:ascii="Times New Roman" w:hAnsi="Times New Roman" w:cs="Times New Roman"/>
        </w:rPr>
        <w:t>Also</w:t>
      </w:r>
      <w:proofErr w:type="spellEnd"/>
      <w:r w:rsidR="001B3992" w:rsidRPr="00705170">
        <w:rPr>
          <w:rFonts w:ascii="Times New Roman" w:hAnsi="Times New Roman" w:cs="Times New Roman"/>
        </w:rPr>
        <w:t>, a</w:t>
      </w:r>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shareholder</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who</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buys</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the</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share</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knowing</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that</w:t>
      </w:r>
      <w:proofErr w:type="spellEnd"/>
      <w:r w:rsidR="00DF5DEE" w:rsidRPr="00705170">
        <w:rPr>
          <w:rFonts w:ascii="Times New Roman" w:hAnsi="Times New Roman" w:cs="Times New Roman"/>
        </w:rPr>
        <w:t xml:space="preserve"> a </w:t>
      </w:r>
      <w:proofErr w:type="spellStart"/>
      <w:r w:rsidR="00DF5DEE" w:rsidRPr="00705170">
        <w:rPr>
          <w:rFonts w:ascii="Times New Roman" w:hAnsi="Times New Roman" w:cs="Times New Roman"/>
        </w:rPr>
        <w:t>shareholder</w:t>
      </w:r>
      <w:proofErr w:type="spellEnd"/>
      <w:r w:rsidR="00DF5DEE" w:rsidRPr="00705170">
        <w:rPr>
          <w:rFonts w:ascii="Times New Roman" w:hAnsi="Times New Roman" w:cs="Times New Roman"/>
        </w:rPr>
        <w:t xml:space="preserve"> is </w:t>
      </w:r>
      <w:proofErr w:type="spellStart"/>
      <w:r w:rsidR="00DF5DEE" w:rsidRPr="00705170">
        <w:rPr>
          <w:rFonts w:ascii="Times New Roman" w:hAnsi="Times New Roman" w:cs="Times New Roman"/>
        </w:rPr>
        <w:t>caus</w:t>
      </w:r>
      <w:r w:rsidR="001B3992" w:rsidRPr="00705170">
        <w:rPr>
          <w:rFonts w:ascii="Times New Roman" w:hAnsi="Times New Roman" w:cs="Times New Roman"/>
        </w:rPr>
        <w:t>ing</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distorted</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management</w:t>
      </w:r>
      <w:proofErr w:type="spellEnd"/>
      <w:r w:rsidR="001B3992" w:rsidRPr="00705170">
        <w:rPr>
          <w:rFonts w:ascii="Times New Roman" w:hAnsi="Times New Roman" w:cs="Times New Roman"/>
        </w:rPr>
        <w:t xml:space="preserve"> is</w:t>
      </w:r>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already</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compensated</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by</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buying</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the</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share</w:t>
      </w:r>
      <w:proofErr w:type="spellEnd"/>
      <w:r w:rsidR="00DF5DEE" w:rsidRPr="00705170">
        <w:rPr>
          <w:rFonts w:ascii="Times New Roman" w:hAnsi="Times New Roman" w:cs="Times New Roman"/>
        </w:rPr>
        <w:t xml:space="preserve"> at a </w:t>
      </w:r>
      <w:proofErr w:type="spellStart"/>
      <w:r w:rsidR="00DF5DEE" w:rsidRPr="00705170">
        <w:rPr>
          <w:rFonts w:ascii="Times New Roman" w:hAnsi="Times New Roman" w:cs="Times New Roman"/>
        </w:rPr>
        <w:t>lower</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price</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that</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reflect</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that</w:t>
      </w:r>
      <w:proofErr w:type="spellEnd"/>
      <w:r w:rsidR="00DF5DEE" w:rsidRPr="00705170">
        <w:rPr>
          <w:rFonts w:ascii="Times New Roman" w:hAnsi="Times New Roman" w:cs="Times New Roman"/>
        </w:rPr>
        <w:t xml:space="preserve"> </w:t>
      </w:r>
      <w:proofErr w:type="spellStart"/>
      <w:r w:rsidR="00DF5DEE" w:rsidRPr="00705170">
        <w:rPr>
          <w:rFonts w:ascii="Times New Roman" w:hAnsi="Times New Roman" w:cs="Times New Roman"/>
        </w:rPr>
        <w:t>fact</w:t>
      </w:r>
      <w:proofErr w:type="spellEnd"/>
      <w:r w:rsidR="00DF5DEE" w:rsidRPr="00705170">
        <w:rPr>
          <w:rStyle w:val="DipnotBavurusu"/>
          <w:rFonts w:ascii="Times New Roman" w:hAnsi="Times New Roman" w:cs="Times New Roman"/>
        </w:rPr>
        <w:footnoteReference w:id="749"/>
      </w:r>
      <w:r w:rsidR="00E84B12" w:rsidRPr="00705170">
        <w:rPr>
          <w:rFonts w:ascii="Times New Roman" w:hAnsi="Times New Roman" w:cs="Times New Roman"/>
        </w:rPr>
        <w:t xml:space="preserve">, </w:t>
      </w:r>
      <w:proofErr w:type="spellStart"/>
      <w:r w:rsidR="00E84B12" w:rsidRPr="00705170">
        <w:rPr>
          <w:rFonts w:ascii="Times New Roman" w:hAnsi="Times New Roman" w:cs="Times New Roman"/>
        </w:rPr>
        <w:t>because</w:t>
      </w:r>
      <w:proofErr w:type="spellEnd"/>
      <w:r w:rsidR="00E84B12" w:rsidRPr="00705170">
        <w:rPr>
          <w:rFonts w:ascii="Times New Roman" w:hAnsi="Times New Roman" w:cs="Times New Roman"/>
        </w:rPr>
        <w:t xml:space="preserve"> an </w:t>
      </w:r>
      <w:proofErr w:type="spellStart"/>
      <w:r w:rsidR="00E84B12" w:rsidRPr="00705170">
        <w:rPr>
          <w:rFonts w:ascii="Times New Roman" w:hAnsi="Times New Roman" w:cs="Times New Roman"/>
        </w:rPr>
        <w:t>efficient</w:t>
      </w:r>
      <w:proofErr w:type="spellEnd"/>
      <w:r w:rsidR="00E84B12" w:rsidRPr="00705170">
        <w:rPr>
          <w:rFonts w:ascii="Times New Roman" w:hAnsi="Times New Roman" w:cs="Times New Roman"/>
        </w:rPr>
        <w:t xml:space="preserve"> market </w:t>
      </w:r>
      <w:proofErr w:type="spellStart"/>
      <w:r w:rsidR="00E84B12" w:rsidRPr="00705170">
        <w:rPr>
          <w:rFonts w:ascii="Times New Roman" w:hAnsi="Times New Roman" w:cs="Times New Roman"/>
        </w:rPr>
        <w:t>reflects</w:t>
      </w:r>
      <w:proofErr w:type="spellEnd"/>
      <w:r w:rsidR="00E84B12" w:rsidRPr="00705170">
        <w:rPr>
          <w:rFonts w:ascii="Times New Roman" w:hAnsi="Times New Roman" w:cs="Times New Roman"/>
        </w:rPr>
        <w:t xml:space="preserve"> </w:t>
      </w:r>
      <w:proofErr w:type="spellStart"/>
      <w:r w:rsidR="00E84B12" w:rsidRPr="00705170">
        <w:rPr>
          <w:rFonts w:ascii="Times New Roman" w:hAnsi="Times New Roman" w:cs="Times New Roman"/>
        </w:rPr>
        <w:t>the</w:t>
      </w:r>
      <w:proofErr w:type="spellEnd"/>
      <w:r w:rsidR="00E84B12" w:rsidRPr="00705170">
        <w:rPr>
          <w:rFonts w:ascii="Times New Roman" w:hAnsi="Times New Roman" w:cs="Times New Roman"/>
        </w:rPr>
        <w:t xml:space="preserve"> </w:t>
      </w:r>
      <w:proofErr w:type="spellStart"/>
      <w:r w:rsidR="00E84B12" w:rsidRPr="00705170">
        <w:rPr>
          <w:rFonts w:ascii="Times New Roman" w:hAnsi="Times New Roman" w:cs="Times New Roman"/>
        </w:rPr>
        <w:t>distortion</w:t>
      </w:r>
      <w:proofErr w:type="spellEnd"/>
      <w:r w:rsidR="00E84B12" w:rsidRPr="00705170">
        <w:rPr>
          <w:rFonts w:ascii="Times New Roman" w:hAnsi="Times New Roman" w:cs="Times New Roman"/>
        </w:rPr>
        <w:t xml:space="preserve"> </w:t>
      </w:r>
      <w:proofErr w:type="spellStart"/>
      <w:r w:rsidR="00E84B12" w:rsidRPr="00705170">
        <w:rPr>
          <w:rFonts w:ascii="Times New Roman" w:hAnsi="Times New Roman" w:cs="Times New Roman"/>
        </w:rPr>
        <w:t>to</w:t>
      </w:r>
      <w:proofErr w:type="spellEnd"/>
      <w:r w:rsidR="00E84B12" w:rsidRPr="00705170">
        <w:rPr>
          <w:rFonts w:ascii="Times New Roman" w:hAnsi="Times New Roman" w:cs="Times New Roman"/>
        </w:rPr>
        <w:t xml:space="preserve"> </w:t>
      </w:r>
      <w:proofErr w:type="spellStart"/>
      <w:r w:rsidR="00E84B12" w:rsidRPr="00705170">
        <w:rPr>
          <w:rFonts w:ascii="Times New Roman" w:hAnsi="Times New Roman" w:cs="Times New Roman"/>
        </w:rPr>
        <w:t>the</w:t>
      </w:r>
      <w:proofErr w:type="spellEnd"/>
      <w:r w:rsidR="00E84B12" w:rsidRPr="00705170">
        <w:rPr>
          <w:rFonts w:ascii="Times New Roman" w:hAnsi="Times New Roman" w:cs="Times New Roman"/>
        </w:rPr>
        <w:t xml:space="preserve"> </w:t>
      </w:r>
      <w:proofErr w:type="spellStart"/>
      <w:r w:rsidR="00E84B12" w:rsidRPr="00705170">
        <w:rPr>
          <w:rFonts w:ascii="Times New Roman" w:hAnsi="Times New Roman" w:cs="Times New Roman"/>
        </w:rPr>
        <w:t>price</w:t>
      </w:r>
      <w:proofErr w:type="spellEnd"/>
      <w:r w:rsidR="00E84B12" w:rsidRPr="00705170">
        <w:rPr>
          <w:rFonts w:ascii="Times New Roman" w:hAnsi="Times New Roman" w:cs="Times New Roman"/>
        </w:rPr>
        <w:t xml:space="preserve"> </w:t>
      </w:r>
      <w:proofErr w:type="spellStart"/>
      <w:r w:rsidR="00E84B12" w:rsidRPr="00705170">
        <w:rPr>
          <w:rFonts w:ascii="Times New Roman" w:hAnsi="Times New Roman" w:cs="Times New Roman"/>
        </w:rPr>
        <w:t>even</w:t>
      </w:r>
      <w:proofErr w:type="spellEnd"/>
      <w:r w:rsidR="00E84B12" w:rsidRPr="00705170">
        <w:rPr>
          <w:rFonts w:ascii="Times New Roman" w:hAnsi="Times New Roman" w:cs="Times New Roman"/>
        </w:rPr>
        <w:t xml:space="preserve"> </w:t>
      </w:r>
      <w:proofErr w:type="spellStart"/>
      <w:r w:rsidR="00E84B12" w:rsidRPr="00705170">
        <w:rPr>
          <w:rFonts w:ascii="Times New Roman" w:hAnsi="Times New Roman" w:cs="Times New Roman"/>
        </w:rPr>
        <w:t>when</w:t>
      </w:r>
      <w:proofErr w:type="spellEnd"/>
      <w:r w:rsidR="00E84B12" w:rsidRPr="00705170">
        <w:rPr>
          <w:rFonts w:ascii="Times New Roman" w:hAnsi="Times New Roman" w:cs="Times New Roman"/>
        </w:rPr>
        <w:t xml:space="preserve"> an </w:t>
      </w:r>
      <w:proofErr w:type="spellStart"/>
      <w:r w:rsidR="00E84B12" w:rsidRPr="00705170">
        <w:rPr>
          <w:rFonts w:ascii="Times New Roman" w:hAnsi="Times New Roman" w:cs="Times New Roman"/>
        </w:rPr>
        <w:t>individual</w:t>
      </w:r>
      <w:proofErr w:type="spellEnd"/>
      <w:r w:rsidR="00E84B12" w:rsidRPr="00705170">
        <w:rPr>
          <w:rFonts w:ascii="Times New Roman" w:hAnsi="Times New Roman" w:cs="Times New Roman"/>
        </w:rPr>
        <w:t xml:space="preserve"> </w:t>
      </w:r>
      <w:proofErr w:type="spellStart"/>
      <w:r w:rsidR="00E84B12" w:rsidRPr="00705170">
        <w:rPr>
          <w:rFonts w:ascii="Times New Roman" w:hAnsi="Times New Roman" w:cs="Times New Roman"/>
        </w:rPr>
        <w:t>shareholder</w:t>
      </w:r>
      <w:proofErr w:type="spellEnd"/>
      <w:r w:rsidR="00E84B12" w:rsidRPr="00705170">
        <w:rPr>
          <w:rFonts w:ascii="Times New Roman" w:hAnsi="Times New Roman" w:cs="Times New Roman"/>
        </w:rPr>
        <w:t xml:space="preserve"> is not </w:t>
      </w:r>
      <w:proofErr w:type="spellStart"/>
      <w:r w:rsidR="00E84B12" w:rsidRPr="00705170">
        <w:rPr>
          <w:rFonts w:ascii="Times New Roman" w:hAnsi="Times New Roman" w:cs="Times New Roman"/>
        </w:rPr>
        <w:t>aware</w:t>
      </w:r>
      <w:proofErr w:type="spellEnd"/>
      <w:r w:rsidR="00E84B12" w:rsidRPr="00705170">
        <w:rPr>
          <w:rFonts w:ascii="Times New Roman" w:hAnsi="Times New Roman" w:cs="Times New Roman"/>
        </w:rPr>
        <w:t xml:space="preserve"> of </w:t>
      </w:r>
      <w:proofErr w:type="spellStart"/>
      <w:r w:rsidR="00E84B12" w:rsidRPr="00705170">
        <w:rPr>
          <w:rFonts w:ascii="Times New Roman" w:hAnsi="Times New Roman" w:cs="Times New Roman"/>
        </w:rPr>
        <w:t>the</w:t>
      </w:r>
      <w:proofErr w:type="spellEnd"/>
      <w:r w:rsidR="00E84B12" w:rsidRPr="00705170">
        <w:rPr>
          <w:rFonts w:ascii="Times New Roman" w:hAnsi="Times New Roman" w:cs="Times New Roman"/>
        </w:rPr>
        <w:t xml:space="preserve"> </w:t>
      </w:r>
      <w:proofErr w:type="spellStart"/>
      <w:r w:rsidR="00E84B12" w:rsidRPr="00705170">
        <w:rPr>
          <w:rFonts w:ascii="Times New Roman" w:hAnsi="Times New Roman" w:cs="Times New Roman"/>
        </w:rPr>
        <w:t>issue</w:t>
      </w:r>
      <w:proofErr w:type="spellEnd"/>
      <w:r w:rsidR="00E84B12" w:rsidRPr="00705170">
        <w:rPr>
          <w:rStyle w:val="DipnotBavurusu"/>
          <w:rFonts w:ascii="Times New Roman" w:hAnsi="Times New Roman" w:cs="Times New Roman"/>
        </w:rPr>
        <w:footnoteReference w:id="750"/>
      </w:r>
      <w:r w:rsidR="00E84B12" w:rsidRPr="00705170">
        <w:rPr>
          <w:rFonts w:ascii="Times New Roman" w:hAnsi="Times New Roman" w:cs="Times New Roman"/>
        </w:rPr>
        <w:t>.</w:t>
      </w:r>
    </w:p>
    <w:p w14:paraId="02F593E6" w14:textId="03D28849" w:rsidR="006554D7" w:rsidRPr="00705170" w:rsidRDefault="00DF5DEE" w:rsidP="006554D7">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lastRenderedPageBreak/>
        <w:t>While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this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assert</w:t>
      </w:r>
      <w:r w:rsidRPr="00705170">
        <w:rPr>
          <w:rFonts w:ascii="Times New Roman" w:hAnsi="Times New Roman" w:cs="Times New Roman"/>
        </w:rPr>
        <w:t>ion</w:t>
      </w:r>
      <w:proofErr w:type="spellEnd"/>
      <w:r w:rsidRPr="00705170">
        <w:rPr>
          <w:rFonts w:ascii="Times New Roman" w:hAnsi="Times New Roman" w:cs="Times New Roman"/>
        </w:rPr>
        <w:t xml:space="preserve"> has a </w:t>
      </w:r>
      <w:proofErr w:type="spellStart"/>
      <w:r w:rsidRPr="00705170">
        <w:rPr>
          <w:rFonts w:ascii="Times New Roman" w:hAnsi="Times New Roman" w:cs="Times New Roman"/>
        </w:rPr>
        <w:t>plausible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realities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Firstly</w:t>
      </w:r>
      <w:proofErr w:type="spellEnd"/>
      <w:r w:rsidRPr="00705170">
        <w:rPr>
          <w:rFonts w:ascii="Times New Roman" w:hAnsi="Times New Roman" w:cs="Times New Roman"/>
        </w:rPr>
        <w:t>,</w:t>
      </w:r>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investors</w:t>
      </w:r>
      <w:proofErr w:type="spellEnd"/>
      <w:r w:rsidR="00F85877" w:rsidRPr="00705170">
        <w:rPr>
          <w:rFonts w:ascii="Times New Roman" w:hAnsi="Times New Roman" w:cs="Times New Roman"/>
        </w:rPr>
        <w:t xml:space="preserve"> in </w:t>
      </w:r>
      <w:proofErr w:type="spellStart"/>
      <w:r w:rsidR="00F85877" w:rsidRPr="00705170">
        <w:rPr>
          <w:rFonts w:ascii="Times New Roman" w:hAnsi="Times New Roman" w:cs="Times New Roman"/>
        </w:rPr>
        <w:t>publicly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traded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corporations</w:t>
      </w:r>
      <w:proofErr w:type="spellEnd"/>
      <w:r w:rsidR="00F85877" w:rsidRPr="00705170">
        <w:rPr>
          <w:rFonts w:ascii="Times New Roman" w:hAnsi="Times New Roman" w:cs="Times New Roman"/>
        </w:rPr>
        <w:t xml:space="preserve"> has </w:t>
      </w:r>
      <w:proofErr w:type="spellStart"/>
      <w:r w:rsidR="00F85877" w:rsidRPr="00705170">
        <w:rPr>
          <w:rFonts w:ascii="Times New Roman" w:hAnsi="Times New Roman" w:cs="Times New Roman"/>
        </w:rPr>
        <w:t>little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ability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to</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negotiate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arrangements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and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their</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understanding</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about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looseness</w:t>
      </w:r>
      <w:proofErr w:type="spellEnd"/>
      <w:r w:rsidR="00F85877" w:rsidRPr="00705170">
        <w:rPr>
          <w:rFonts w:ascii="Times New Roman" w:hAnsi="Times New Roman" w:cs="Times New Roman"/>
        </w:rPr>
        <w:t xml:space="preserve"> of </w:t>
      </w:r>
      <w:proofErr w:type="spellStart"/>
      <w:r w:rsidR="00F85877" w:rsidRPr="00705170">
        <w:rPr>
          <w:rFonts w:ascii="Times New Roman" w:hAnsi="Times New Roman" w:cs="Times New Roman"/>
        </w:rPr>
        <w:t>corporate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participants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obligations</w:t>
      </w:r>
      <w:proofErr w:type="spellEnd"/>
      <w:r w:rsidR="00F85877" w:rsidRPr="00705170">
        <w:rPr>
          <w:rFonts w:ascii="Times New Roman" w:hAnsi="Times New Roman" w:cs="Times New Roman"/>
        </w:rPr>
        <w:t xml:space="preserve"> is </w:t>
      </w:r>
      <w:proofErr w:type="spellStart"/>
      <w:r w:rsidR="00F85877" w:rsidRPr="00705170">
        <w:rPr>
          <w:rFonts w:ascii="Times New Roman" w:hAnsi="Times New Roman" w:cs="Times New Roman"/>
        </w:rPr>
        <w:t>problematic</w:t>
      </w:r>
      <w:proofErr w:type="spellEnd"/>
      <w:r w:rsidR="00F85877" w:rsidRPr="00705170">
        <w:rPr>
          <w:rStyle w:val="DipnotBavurusu"/>
          <w:rFonts w:ascii="Times New Roman" w:hAnsi="Times New Roman" w:cs="Times New Roman"/>
        </w:rPr>
        <w:footnoteReference w:id="751"/>
      </w:r>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Acknowledging</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this</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fact</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contract</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law</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accepts</w:t>
      </w:r>
      <w:proofErr w:type="spellEnd"/>
      <w:r w:rsidR="00F0523B" w:rsidRPr="00705170">
        <w:rPr>
          <w:rFonts w:ascii="Times New Roman" w:hAnsi="Times New Roman" w:cs="Times New Roman"/>
        </w:rPr>
        <w:t xml:space="preserve"> a </w:t>
      </w:r>
      <w:proofErr w:type="spellStart"/>
      <w:r w:rsidR="00F0523B" w:rsidRPr="00705170">
        <w:rPr>
          <w:rFonts w:ascii="Times New Roman" w:hAnsi="Times New Roman" w:cs="Times New Roman"/>
        </w:rPr>
        <w:t>contract</w:t>
      </w:r>
      <w:proofErr w:type="spellEnd"/>
      <w:r w:rsidR="00DE4CC3" w:rsidRPr="00705170">
        <w:rPr>
          <w:rFonts w:ascii="Times New Roman" w:hAnsi="Times New Roman" w:cs="Times New Roman"/>
        </w:rPr>
        <w:t xml:space="preserve"> </w:t>
      </w:r>
      <w:proofErr w:type="spellStart"/>
      <w:r w:rsidR="00DE4CC3" w:rsidRPr="00705170">
        <w:rPr>
          <w:rFonts w:ascii="Times New Roman" w:hAnsi="Times New Roman" w:cs="Times New Roman"/>
        </w:rPr>
        <w:t>term</w:t>
      </w:r>
      <w:proofErr w:type="spellEnd"/>
      <w:r w:rsidR="00DE4CC3" w:rsidRPr="00705170">
        <w:rPr>
          <w:rFonts w:ascii="Times New Roman" w:hAnsi="Times New Roman" w:cs="Times New Roman"/>
        </w:rPr>
        <w:t xml:space="preserve"> </w:t>
      </w:r>
      <w:proofErr w:type="spellStart"/>
      <w:r w:rsidR="00DE4CC3" w:rsidRPr="00705170">
        <w:rPr>
          <w:rFonts w:ascii="Times New Roman" w:hAnsi="Times New Roman" w:cs="Times New Roman"/>
        </w:rPr>
        <w:t>unfairly</w:t>
      </w:r>
      <w:proofErr w:type="spellEnd"/>
      <w:r w:rsidR="00DE4CC3" w:rsidRPr="00705170">
        <w:rPr>
          <w:rFonts w:ascii="Times New Roman" w:hAnsi="Times New Roman" w:cs="Times New Roman"/>
        </w:rPr>
        <w:t xml:space="preserve"> </w:t>
      </w:r>
      <w:proofErr w:type="spellStart"/>
      <w:r w:rsidR="00DE4CC3" w:rsidRPr="00705170">
        <w:rPr>
          <w:rFonts w:ascii="Times New Roman" w:hAnsi="Times New Roman" w:cs="Times New Roman"/>
        </w:rPr>
        <w:t>surprising</w:t>
      </w:r>
      <w:proofErr w:type="spellEnd"/>
      <w:r w:rsidR="00DE4CC3" w:rsidRPr="00705170">
        <w:rPr>
          <w:rFonts w:ascii="Times New Roman" w:hAnsi="Times New Roman" w:cs="Times New Roman"/>
        </w:rPr>
        <w:t xml:space="preserve"> </w:t>
      </w:r>
      <w:proofErr w:type="spellStart"/>
      <w:r w:rsidR="00DE4CC3" w:rsidRPr="00705170">
        <w:rPr>
          <w:rFonts w:ascii="Times New Roman" w:hAnsi="Times New Roman" w:cs="Times New Roman"/>
        </w:rPr>
        <w:t>unenf</w:t>
      </w:r>
      <w:r w:rsidR="00F0523B" w:rsidRPr="00705170">
        <w:rPr>
          <w:rFonts w:ascii="Times New Roman" w:hAnsi="Times New Roman" w:cs="Times New Roman"/>
        </w:rPr>
        <w:t>o</w:t>
      </w:r>
      <w:r w:rsidR="00DE4CC3" w:rsidRPr="00705170">
        <w:rPr>
          <w:rFonts w:ascii="Times New Roman" w:hAnsi="Times New Roman" w:cs="Times New Roman"/>
        </w:rPr>
        <w:t>r</w:t>
      </w:r>
      <w:r w:rsidR="00F0523B" w:rsidRPr="00705170">
        <w:rPr>
          <w:rFonts w:ascii="Times New Roman" w:hAnsi="Times New Roman" w:cs="Times New Roman"/>
        </w:rPr>
        <w:t>ceable</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even</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if</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the</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term</w:t>
      </w:r>
      <w:proofErr w:type="spellEnd"/>
      <w:r w:rsidR="00F0523B" w:rsidRPr="00705170">
        <w:rPr>
          <w:rFonts w:ascii="Times New Roman" w:hAnsi="Times New Roman" w:cs="Times New Roman"/>
        </w:rPr>
        <w:t xml:space="preserve"> is </w:t>
      </w:r>
      <w:proofErr w:type="spellStart"/>
      <w:r w:rsidR="00F0523B" w:rsidRPr="00705170">
        <w:rPr>
          <w:rFonts w:ascii="Times New Roman" w:hAnsi="Times New Roman" w:cs="Times New Roman"/>
        </w:rPr>
        <w:t>impounded</w:t>
      </w:r>
      <w:proofErr w:type="spellEnd"/>
      <w:r w:rsidR="00F0523B" w:rsidRPr="00705170">
        <w:rPr>
          <w:rFonts w:ascii="Times New Roman" w:hAnsi="Times New Roman" w:cs="Times New Roman"/>
        </w:rPr>
        <w:t xml:space="preserve"> in </w:t>
      </w:r>
      <w:proofErr w:type="spellStart"/>
      <w:r w:rsidR="00F0523B" w:rsidRPr="00705170">
        <w:rPr>
          <w:rFonts w:ascii="Times New Roman" w:hAnsi="Times New Roman" w:cs="Times New Roman"/>
        </w:rPr>
        <w:t>the</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contract</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price</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and</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lowers</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the</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price</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for</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the</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benefit</w:t>
      </w:r>
      <w:proofErr w:type="spellEnd"/>
      <w:r w:rsidR="00F0523B" w:rsidRPr="00705170">
        <w:rPr>
          <w:rFonts w:ascii="Times New Roman" w:hAnsi="Times New Roman" w:cs="Times New Roman"/>
        </w:rPr>
        <w:t xml:space="preserve"> of </w:t>
      </w:r>
      <w:proofErr w:type="spellStart"/>
      <w:r w:rsidR="00F0523B" w:rsidRPr="00705170">
        <w:rPr>
          <w:rFonts w:ascii="Times New Roman" w:hAnsi="Times New Roman" w:cs="Times New Roman"/>
        </w:rPr>
        <w:t>the</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surprised</w:t>
      </w:r>
      <w:proofErr w:type="spellEnd"/>
      <w:r w:rsidR="00F0523B" w:rsidRPr="00705170">
        <w:rPr>
          <w:rFonts w:ascii="Times New Roman" w:hAnsi="Times New Roman" w:cs="Times New Roman"/>
        </w:rPr>
        <w:t xml:space="preserve">” </w:t>
      </w:r>
      <w:proofErr w:type="spellStart"/>
      <w:r w:rsidR="00F0523B" w:rsidRPr="00705170">
        <w:rPr>
          <w:rFonts w:ascii="Times New Roman" w:hAnsi="Times New Roman" w:cs="Times New Roman"/>
        </w:rPr>
        <w:t>party</w:t>
      </w:r>
      <w:proofErr w:type="spellEnd"/>
      <w:r w:rsidR="00F0523B" w:rsidRPr="00705170">
        <w:rPr>
          <w:rStyle w:val="DipnotBavurusu"/>
          <w:rFonts w:ascii="Times New Roman" w:hAnsi="Times New Roman" w:cs="Times New Roman"/>
        </w:rPr>
        <w:footnoteReference w:id="752"/>
      </w:r>
      <w:r w:rsidR="00F0523B" w:rsidRPr="00705170">
        <w:rPr>
          <w:rFonts w:ascii="Times New Roman" w:hAnsi="Times New Roman" w:cs="Times New Roman"/>
        </w:rPr>
        <w:t xml:space="preserve">. </w:t>
      </w:r>
      <w:proofErr w:type="spellStart"/>
      <w:r w:rsidRPr="00705170">
        <w:rPr>
          <w:rFonts w:ascii="Times New Roman" w:hAnsi="Times New Roman" w:cs="Times New Roman"/>
        </w:rPr>
        <w:t>Secondly</w:t>
      </w:r>
      <w:proofErr w:type="spellEnd"/>
      <w:r w:rsidR="00F85877" w:rsidRPr="00705170">
        <w:rPr>
          <w:rFonts w:ascii="Times New Roman" w:hAnsi="Times New Roman" w:cs="Times New Roman"/>
        </w:rPr>
        <w:t xml:space="preserve">, a </w:t>
      </w:r>
      <w:proofErr w:type="spellStart"/>
      <w:r w:rsidR="00F85877" w:rsidRPr="00705170">
        <w:rPr>
          <w:rFonts w:ascii="Times New Roman" w:hAnsi="Times New Roman" w:cs="Times New Roman"/>
        </w:rPr>
        <w:t>publicly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traded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corporation</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might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change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its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long</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standing</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policy</w:t>
      </w:r>
      <w:proofErr w:type="spellEnd"/>
      <w:r w:rsidR="00F85877" w:rsidRPr="00705170">
        <w:rPr>
          <w:rFonts w:ascii="Times New Roman" w:hAnsi="Times New Roman" w:cs="Times New Roman"/>
        </w:rPr>
        <w:t xml:space="preserve"> at </w:t>
      </w:r>
      <w:proofErr w:type="spellStart"/>
      <w:r w:rsidR="00F85877" w:rsidRPr="00705170">
        <w:rPr>
          <w:rFonts w:ascii="Times New Roman" w:hAnsi="Times New Roman" w:cs="Times New Roman"/>
        </w:rPr>
        <w:t>some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point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during</w:t>
      </w:r>
      <w:proofErr w:type="spellEnd"/>
      <w:r w:rsidR="00F85877" w:rsidRPr="00705170">
        <w:rPr>
          <w:rFonts w:ascii="Times New Roman" w:hAnsi="Times New Roman" w:cs="Times New Roman"/>
        </w:rPr>
        <w:t xml:space="preserve"> an </w:t>
      </w:r>
      <w:proofErr w:type="spellStart"/>
      <w:r w:rsidR="00F85877" w:rsidRPr="00705170">
        <w:rPr>
          <w:rFonts w:ascii="Times New Roman" w:hAnsi="Times New Roman" w:cs="Times New Roman"/>
        </w:rPr>
        <w:t>investor’s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participation</w:t>
      </w:r>
      <w:proofErr w:type="spellEnd"/>
      <w:r w:rsidR="00F85877" w:rsidRPr="00705170">
        <w:rPr>
          <w:rFonts w:ascii="Times New Roman" w:hAnsi="Times New Roman" w:cs="Times New Roman"/>
        </w:rPr>
        <w:t xml:space="preserve"> in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corporation</w:t>
      </w:r>
      <w:proofErr w:type="spellEnd"/>
      <w:r w:rsidR="008934EF" w:rsidRPr="00705170">
        <w:rPr>
          <w:rStyle w:val="DipnotBavurusu"/>
          <w:rFonts w:ascii="Times New Roman" w:hAnsi="Times New Roman" w:cs="Times New Roman"/>
        </w:rPr>
        <w:footnoteReference w:id="753"/>
      </w:r>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and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investor</w:t>
      </w:r>
      <w:proofErr w:type="spellEnd"/>
      <w:r w:rsidR="004B7A48" w:rsidRPr="00705170">
        <w:rPr>
          <w:rFonts w:ascii="Times New Roman" w:hAnsi="Times New Roman" w:cs="Times New Roman"/>
        </w:rPr>
        <w:t xml:space="preserve"> </w:t>
      </w:r>
      <w:proofErr w:type="spellStart"/>
      <w:r w:rsidR="004B7A48" w:rsidRPr="00705170">
        <w:rPr>
          <w:rFonts w:ascii="Times New Roman" w:hAnsi="Times New Roman" w:cs="Times New Roman"/>
        </w:rPr>
        <w:t>who</w:t>
      </w:r>
      <w:proofErr w:type="spellEnd"/>
      <w:r w:rsidR="004B7A48" w:rsidRPr="00705170">
        <w:rPr>
          <w:rFonts w:ascii="Times New Roman" w:hAnsi="Times New Roman" w:cs="Times New Roman"/>
        </w:rPr>
        <w:t xml:space="preserve"> </w:t>
      </w:r>
      <w:proofErr w:type="spellStart"/>
      <w:r w:rsidR="004B7A48" w:rsidRPr="00705170">
        <w:rPr>
          <w:rFonts w:ascii="Times New Roman" w:hAnsi="Times New Roman" w:cs="Times New Roman"/>
        </w:rPr>
        <w:t>bought</w:t>
      </w:r>
      <w:proofErr w:type="spellEnd"/>
      <w:r w:rsidR="004B7A48" w:rsidRPr="00705170">
        <w:rPr>
          <w:rFonts w:ascii="Times New Roman" w:hAnsi="Times New Roman" w:cs="Times New Roman"/>
        </w:rPr>
        <w:t xml:space="preserve"> </w:t>
      </w:r>
      <w:proofErr w:type="spellStart"/>
      <w:r w:rsidR="004B7A48" w:rsidRPr="00705170">
        <w:rPr>
          <w:rFonts w:ascii="Times New Roman" w:hAnsi="Times New Roman" w:cs="Times New Roman"/>
        </w:rPr>
        <w:t>the</w:t>
      </w:r>
      <w:proofErr w:type="spellEnd"/>
      <w:r w:rsidR="004B7A48" w:rsidRPr="00705170">
        <w:rPr>
          <w:rFonts w:ascii="Times New Roman" w:hAnsi="Times New Roman" w:cs="Times New Roman"/>
        </w:rPr>
        <w:t xml:space="preserve"> </w:t>
      </w:r>
      <w:proofErr w:type="spellStart"/>
      <w:r w:rsidR="004B7A48" w:rsidRPr="00705170">
        <w:rPr>
          <w:rFonts w:ascii="Times New Roman" w:hAnsi="Times New Roman" w:cs="Times New Roman"/>
        </w:rPr>
        <w:t>share</w:t>
      </w:r>
      <w:proofErr w:type="spellEnd"/>
      <w:r w:rsidR="004B7A48" w:rsidRPr="00705170">
        <w:rPr>
          <w:rFonts w:ascii="Times New Roman" w:hAnsi="Times New Roman" w:cs="Times New Roman"/>
        </w:rPr>
        <w:t xml:space="preserve"> at a </w:t>
      </w:r>
      <w:proofErr w:type="spellStart"/>
      <w:r w:rsidR="004B7A48" w:rsidRPr="00705170">
        <w:rPr>
          <w:rFonts w:ascii="Times New Roman" w:hAnsi="Times New Roman" w:cs="Times New Roman"/>
        </w:rPr>
        <w:t>price</w:t>
      </w:r>
      <w:proofErr w:type="spellEnd"/>
      <w:r w:rsidR="004B7A48" w:rsidRPr="00705170">
        <w:rPr>
          <w:rFonts w:ascii="Times New Roman" w:hAnsi="Times New Roman" w:cs="Times New Roman"/>
        </w:rPr>
        <w:t xml:space="preserve"> </w:t>
      </w:r>
      <w:proofErr w:type="spellStart"/>
      <w:r w:rsidR="004B7A48" w:rsidRPr="00705170">
        <w:rPr>
          <w:rFonts w:ascii="Times New Roman" w:hAnsi="Times New Roman" w:cs="Times New Roman"/>
        </w:rPr>
        <w:t>that</w:t>
      </w:r>
      <w:proofErr w:type="spellEnd"/>
      <w:r w:rsidR="004B7A48" w:rsidRPr="00705170">
        <w:rPr>
          <w:rFonts w:ascii="Times New Roman" w:hAnsi="Times New Roman" w:cs="Times New Roman"/>
        </w:rPr>
        <w:t xml:space="preserve"> </w:t>
      </w:r>
      <w:proofErr w:type="spellStart"/>
      <w:r w:rsidR="004B7A48" w:rsidRPr="00705170">
        <w:rPr>
          <w:rFonts w:ascii="Times New Roman" w:hAnsi="Times New Roman" w:cs="Times New Roman"/>
        </w:rPr>
        <w:t>did</w:t>
      </w:r>
      <w:proofErr w:type="spellEnd"/>
      <w:r w:rsidR="004B7A48" w:rsidRPr="00705170">
        <w:rPr>
          <w:rFonts w:ascii="Times New Roman" w:hAnsi="Times New Roman" w:cs="Times New Roman"/>
        </w:rPr>
        <w:t xml:space="preserve"> not </w:t>
      </w:r>
      <w:proofErr w:type="spellStart"/>
      <w:r w:rsidR="004B7A48" w:rsidRPr="00705170">
        <w:rPr>
          <w:rFonts w:ascii="Times New Roman" w:hAnsi="Times New Roman" w:cs="Times New Roman"/>
        </w:rPr>
        <w:t>reflect</w:t>
      </w:r>
      <w:proofErr w:type="spellEnd"/>
      <w:r w:rsidR="004B7A48" w:rsidRPr="00705170">
        <w:rPr>
          <w:rFonts w:ascii="Times New Roman" w:hAnsi="Times New Roman" w:cs="Times New Roman"/>
        </w:rPr>
        <w:t xml:space="preserve"> </w:t>
      </w:r>
      <w:proofErr w:type="spellStart"/>
      <w:r w:rsidR="004B7A48" w:rsidRPr="00705170">
        <w:rPr>
          <w:rFonts w:ascii="Times New Roman" w:hAnsi="Times New Roman" w:cs="Times New Roman"/>
        </w:rPr>
        <w:t>this</w:t>
      </w:r>
      <w:proofErr w:type="spellEnd"/>
      <w:r w:rsidR="004B7A48" w:rsidRPr="00705170">
        <w:rPr>
          <w:rFonts w:ascii="Times New Roman" w:hAnsi="Times New Roman" w:cs="Times New Roman"/>
        </w:rPr>
        <w:t xml:space="preserve"> </w:t>
      </w:r>
      <w:proofErr w:type="spellStart"/>
      <w:r w:rsidR="004B7A48" w:rsidRPr="00705170">
        <w:rPr>
          <w:rFonts w:ascii="Times New Roman" w:hAnsi="Times New Roman" w:cs="Times New Roman"/>
        </w:rPr>
        <w:t>fact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might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find</w:t>
      </w:r>
      <w:proofErr w:type="spellEnd"/>
      <w:r w:rsidR="00F85877" w:rsidRPr="00705170">
        <w:rPr>
          <w:rFonts w:ascii="Times New Roman" w:hAnsi="Times New Roman" w:cs="Times New Roman"/>
        </w:rPr>
        <w:t xml:space="preserve"> </w:t>
      </w:r>
      <w:proofErr w:type="spellStart"/>
      <w:r w:rsidR="004B7A48" w:rsidRPr="00705170">
        <w:rPr>
          <w:rFonts w:ascii="Times New Roman" w:hAnsi="Times New Roman" w:cs="Times New Roman"/>
        </w:rPr>
        <w:t>himself</w:t>
      </w:r>
      <w:proofErr w:type="spellEnd"/>
      <w:r w:rsidR="004B7A48" w:rsidRPr="00705170">
        <w:rPr>
          <w:rFonts w:ascii="Times New Roman" w:hAnsi="Times New Roman" w:cs="Times New Roman"/>
        </w:rPr>
        <w:t xml:space="preserve"> in a </w:t>
      </w:r>
      <w:proofErr w:type="spellStart"/>
      <w:r w:rsidR="004B7A48" w:rsidRPr="00705170">
        <w:rPr>
          <w:rFonts w:ascii="Times New Roman" w:hAnsi="Times New Roman" w:cs="Times New Roman"/>
        </w:rPr>
        <w:t>position</w:t>
      </w:r>
      <w:proofErr w:type="spellEnd"/>
      <w:r w:rsidR="004B7A48" w:rsidRPr="00705170">
        <w:rPr>
          <w:rFonts w:ascii="Times New Roman" w:hAnsi="Times New Roman" w:cs="Times New Roman"/>
        </w:rPr>
        <w:t xml:space="preserve"> </w:t>
      </w:r>
      <w:proofErr w:type="spellStart"/>
      <w:r w:rsidR="004B7A48" w:rsidRPr="00705170">
        <w:rPr>
          <w:rFonts w:ascii="Times New Roman" w:hAnsi="Times New Roman" w:cs="Times New Roman"/>
        </w:rPr>
        <w:t>that</w:t>
      </w:r>
      <w:proofErr w:type="spellEnd"/>
      <w:r w:rsidR="004B7A48" w:rsidRPr="00705170">
        <w:rPr>
          <w:rFonts w:ascii="Times New Roman" w:hAnsi="Times New Roman" w:cs="Times New Roman"/>
        </w:rPr>
        <w:t xml:space="preserve"> </w:t>
      </w:r>
      <w:proofErr w:type="spellStart"/>
      <w:r w:rsidR="004B7A48" w:rsidRPr="00705170">
        <w:rPr>
          <w:rFonts w:ascii="Times New Roman" w:hAnsi="Times New Roman" w:cs="Times New Roman"/>
        </w:rPr>
        <w:t>was</w:t>
      </w:r>
      <w:proofErr w:type="spellEnd"/>
      <w:r w:rsidR="004B7A48" w:rsidRPr="00705170">
        <w:rPr>
          <w:rFonts w:ascii="Times New Roman" w:hAnsi="Times New Roman" w:cs="Times New Roman"/>
        </w:rPr>
        <w:t xml:space="preserve"> no</w:t>
      </w:r>
      <w:r w:rsidR="00F85877" w:rsidRPr="00705170">
        <w:rPr>
          <w:rFonts w:ascii="Times New Roman" w:hAnsi="Times New Roman" w:cs="Times New Roman"/>
        </w:rPr>
        <w:t xml:space="preserve">t </w:t>
      </w:r>
      <w:proofErr w:type="spellStart"/>
      <w:r w:rsidR="00F85877" w:rsidRPr="00705170">
        <w:rPr>
          <w:rFonts w:ascii="Times New Roman" w:hAnsi="Times New Roman" w:cs="Times New Roman"/>
        </w:rPr>
        <w:t>foreseeable</w:t>
      </w:r>
      <w:proofErr w:type="spellEnd"/>
      <w:r w:rsidR="00F85877" w:rsidRPr="00705170">
        <w:rPr>
          <w:rFonts w:ascii="Times New Roman" w:hAnsi="Times New Roman" w:cs="Times New Roman"/>
        </w:rPr>
        <w:t xml:space="preserve"> in </w:t>
      </w:r>
      <w:proofErr w:type="spellStart"/>
      <w:r w:rsidR="00F85877" w:rsidRPr="00705170">
        <w:rPr>
          <w:rFonts w:ascii="Times New Roman" w:hAnsi="Times New Roman" w:cs="Times New Roman"/>
        </w:rPr>
        <w:t>advance</w:t>
      </w:r>
      <w:proofErr w:type="spellEnd"/>
      <w:r w:rsidR="00F85877" w:rsidRPr="00705170">
        <w:rPr>
          <w:rStyle w:val="DipnotBavurusu"/>
          <w:rFonts w:ascii="Times New Roman" w:hAnsi="Times New Roman" w:cs="Times New Roman"/>
        </w:rPr>
        <w:footnoteReference w:id="754"/>
      </w:r>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and</w:t>
      </w:r>
      <w:proofErr w:type="spellEnd"/>
      <w:r w:rsidR="00906B4A" w:rsidRPr="00705170">
        <w:rPr>
          <w:rFonts w:ascii="Times New Roman" w:hAnsi="Times New Roman" w:cs="Times New Roman"/>
        </w:rPr>
        <w:t xml:space="preserve"> his </w:t>
      </w:r>
      <w:proofErr w:type="spellStart"/>
      <w:r w:rsidR="00906B4A" w:rsidRPr="00705170">
        <w:rPr>
          <w:rFonts w:ascii="Times New Roman" w:hAnsi="Times New Roman" w:cs="Times New Roman"/>
        </w:rPr>
        <w:t>exit</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by</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selling</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the</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share</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to</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the</w:t>
      </w:r>
      <w:proofErr w:type="spellEnd"/>
      <w:r w:rsidR="00906B4A" w:rsidRPr="00705170">
        <w:rPr>
          <w:rFonts w:ascii="Times New Roman" w:hAnsi="Times New Roman" w:cs="Times New Roman"/>
        </w:rPr>
        <w:t xml:space="preserve"> market at </w:t>
      </w:r>
      <w:proofErr w:type="spellStart"/>
      <w:r w:rsidR="00906B4A" w:rsidRPr="00705170">
        <w:rPr>
          <w:rFonts w:ascii="Times New Roman" w:hAnsi="Times New Roman" w:cs="Times New Roman"/>
        </w:rPr>
        <w:t>the</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share</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price</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now</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reflecting</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the</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fact</w:t>
      </w:r>
      <w:proofErr w:type="spellEnd"/>
      <w:r w:rsidR="00906B4A" w:rsidRPr="00705170">
        <w:rPr>
          <w:rFonts w:ascii="Times New Roman" w:hAnsi="Times New Roman" w:cs="Times New Roman"/>
        </w:rPr>
        <w:t xml:space="preserve"> </w:t>
      </w:r>
      <w:proofErr w:type="spellStart"/>
      <w:r w:rsidR="000E4BC1" w:rsidRPr="00705170">
        <w:rPr>
          <w:rFonts w:ascii="Times New Roman" w:hAnsi="Times New Roman" w:cs="Times New Roman"/>
        </w:rPr>
        <w:t>might</w:t>
      </w:r>
      <w:proofErr w:type="spellEnd"/>
      <w:r w:rsidR="00A33469" w:rsidRPr="00705170">
        <w:rPr>
          <w:rFonts w:ascii="Times New Roman" w:hAnsi="Times New Roman" w:cs="Times New Roman"/>
        </w:rPr>
        <w:t xml:space="preserve"> </w:t>
      </w:r>
      <w:proofErr w:type="spellStart"/>
      <w:r w:rsidR="00A33469" w:rsidRPr="00705170">
        <w:rPr>
          <w:rFonts w:ascii="Times New Roman" w:hAnsi="Times New Roman" w:cs="Times New Roman"/>
        </w:rPr>
        <w:t>cause</w:t>
      </w:r>
      <w:proofErr w:type="spellEnd"/>
      <w:r w:rsidR="00A33469" w:rsidRPr="00705170">
        <w:rPr>
          <w:rFonts w:ascii="Times New Roman" w:hAnsi="Times New Roman" w:cs="Times New Roman"/>
        </w:rPr>
        <w:t xml:space="preserve"> an </w:t>
      </w:r>
      <w:proofErr w:type="spellStart"/>
      <w:r w:rsidR="00A33469" w:rsidRPr="00705170">
        <w:rPr>
          <w:rFonts w:ascii="Times New Roman" w:hAnsi="Times New Roman" w:cs="Times New Roman"/>
        </w:rPr>
        <w:t>unfair</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loss</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for</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him</w:t>
      </w:r>
      <w:proofErr w:type="spellEnd"/>
      <w:r w:rsidR="00906B4A" w:rsidRPr="00705170">
        <w:rPr>
          <w:rStyle w:val="DipnotBavurusu"/>
          <w:rFonts w:ascii="Times New Roman" w:hAnsi="Times New Roman" w:cs="Times New Roman"/>
        </w:rPr>
        <w:footnoteReference w:id="755"/>
      </w:r>
      <w:r w:rsidR="00906B4A" w:rsidRPr="00705170">
        <w:rPr>
          <w:rFonts w:ascii="Times New Roman" w:hAnsi="Times New Roman" w:cs="Times New Roman"/>
        </w:rPr>
        <w:t>.</w:t>
      </w:r>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Then</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the</w:t>
      </w:r>
      <w:proofErr w:type="spellEnd"/>
      <w:r w:rsidR="00480574" w:rsidRPr="00705170">
        <w:rPr>
          <w:rFonts w:ascii="Times New Roman" w:hAnsi="Times New Roman" w:cs="Times New Roman"/>
        </w:rPr>
        <w:t xml:space="preserve"> market </w:t>
      </w:r>
      <w:proofErr w:type="spellStart"/>
      <w:r w:rsidR="00480574" w:rsidRPr="00705170">
        <w:rPr>
          <w:rFonts w:ascii="Times New Roman" w:hAnsi="Times New Roman" w:cs="Times New Roman"/>
        </w:rPr>
        <w:t>will</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provide</w:t>
      </w:r>
      <w:proofErr w:type="spellEnd"/>
      <w:r w:rsidR="00480574" w:rsidRPr="00705170">
        <w:rPr>
          <w:rFonts w:ascii="Times New Roman" w:hAnsi="Times New Roman" w:cs="Times New Roman"/>
        </w:rPr>
        <w:t xml:space="preserve"> a </w:t>
      </w:r>
      <w:proofErr w:type="spellStart"/>
      <w:r w:rsidR="00480574" w:rsidRPr="00705170">
        <w:rPr>
          <w:rFonts w:ascii="Times New Roman" w:hAnsi="Times New Roman" w:cs="Times New Roman"/>
        </w:rPr>
        <w:t>lower</w:t>
      </w:r>
      <w:proofErr w:type="spellEnd"/>
      <w:r w:rsidR="00480574" w:rsidRPr="00705170">
        <w:rPr>
          <w:rFonts w:ascii="Times New Roman" w:hAnsi="Times New Roman" w:cs="Times New Roman"/>
        </w:rPr>
        <w:t xml:space="preserve"> break-</w:t>
      </w:r>
      <w:proofErr w:type="spellStart"/>
      <w:r w:rsidR="00480574" w:rsidRPr="00705170">
        <w:rPr>
          <w:rFonts w:ascii="Times New Roman" w:hAnsi="Times New Roman" w:cs="Times New Roman"/>
        </w:rPr>
        <w:t>up</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price</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for</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the</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minority</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shareholders</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who</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simply</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want</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to</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take</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the</w:t>
      </w:r>
      <w:proofErr w:type="spellEnd"/>
      <w:r w:rsidR="00480574" w:rsidRPr="00705170">
        <w:rPr>
          <w:rFonts w:ascii="Times New Roman" w:hAnsi="Times New Roman" w:cs="Times New Roman"/>
        </w:rPr>
        <w:t xml:space="preserve"> Wall Street </w:t>
      </w:r>
      <w:proofErr w:type="spellStart"/>
      <w:r w:rsidR="00480574" w:rsidRPr="00705170">
        <w:rPr>
          <w:rFonts w:ascii="Times New Roman" w:hAnsi="Times New Roman" w:cs="Times New Roman"/>
        </w:rPr>
        <w:t>Walk</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and</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these</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shareholders</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will</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lack</w:t>
      </w:r>
      <w:proofErr w:type="spellEnd"/>
      <w:r w:rsidR="00480574" w:rsidRPr="00705170">
        <w:rPr>
          <w:rFonts w:ascii="Times New Roman" w:hAnsi="Times New Roman" w:cs="Times New Roman"/>
        </w:rPr>
        <w:t xml:space="preserve"> an </w:t>
      </w:r>
      <w:proofErr w:type="spellStart"/>
      <w:r w:rsidR="00480574" w:rsidRPr="00705170">
        <w:rPr>
          <w:rFonts w:ascii="Times New Roman" w:hAnsi="Times New Roman" w:cs="Times New Roman"/>
        </w:rPr>
        <w:t>effective</w:t>
      </w:r>
      <w:proofErr w:type="spellEnd"/>
      <w:r w:rsidR="00480574" w:rsidRPr="00705170">
        <w:rPr>
          <w:rFonts w:ascii="Times New Roman" w:hAnsi="Times New Roman" w:cs="Times New Roman"/>
        </w:rPr>
        <w:t xml:space="preserve"> </w:t>
      </w:r>
      <w:proofErr w:type="spellStart"/>
      <w:r w:rsidR="00480574" w:rsidRPr="00705170">
        <w:rPr>
          <w:rFonts w:ascii="Times New Roman" w:hAnsi="Times New Roman" w:cs="Times New Roman"/>
        </w:rPr>
        <w:t>escape</w:t>
      </w:r>
      <w:proofErr w:type="spellEnd"/>
      <w:r w:rsidR="00480574" w:rsidRPr="00705170">
        <w:rPr>
          <w:rStyle w:val="DipnotBavurusu"/>
          <w:rFonts w:ascii="Times New Roman" w:hAnsi="Times New Roman" w:cs="Times New Roman"/>
        </w:rPr>
        <w:footnoteReference w:id="756"/>
      </w:r>
      <w:r w:rsidR="00480574" w:rsidRPr="00705170">
        <w:rPr>
          <w:rFonts w:ascii="Times New Roman" w:hAnsi="Times New Roman" w:cs="Times New Roman"/>
        </w:rPr>
        <w:t>.</w:t>
      </w:r>
      <w:r w:rsidR="00F85877" w:rsidRPr="00705170">
        <w:rPr>
          <w:rFonts w:ascii="Times New Roman" w:hAnsi="Times New Roman" w:cs="Times New Roman"/>
        </w:rPr>
        <w:t xml:space="preserve"> </w:t>
      </w:r>
      <w:proofErr w:type="spellStart"/>
      <w:r w:rsidR="001B3992" w:rsidRPr="00705170">
        <w:rPr>
          <w:rFonts w:ascii="Times New Roman" w:hAnsi="Times New Roman" w:cs="Times New Roman"/>
        </w:rPr>
        <w:t>Then</w:t>
      </w:r>
      <w:proofErr w:type="spellEnd"/>
      <w:r w:rsidR="001B3992" w:rsidRPr="00705170">
        <w:rPr>
          <w:rFonts w:ascii="Times New Roman" w:hAnsi="Times New Roman" w:cs="Times New Roman"/>
        </w:rPr>
        <w:t xml:space="preserve">, </w:t>
      </w:r>
      <w:proofErr w:type="spellStart"/>
      <w:r w:rsidR="00906B4A" w:rsidRPr="00705170">
        <w:rPr>
          <w:rFonts w:ascii="Times New Roman" w:hAnsi="Times New Roman" w:cs="Times New Roman"/>
        </w:rPr>
        <w:t>th</w:t>
      </w:r>
      <w:r w:rsidR="00A33469" w:rsidRPr="00705170">
        <w:rPr>
          <w:rFonts w:ascii="Times New Roman" w:hAnsi="Times New Roman" w:cs="Times New Roman"/>
        </w:rPr>
        <w:t>e</w:t>
      </w:r>
      <w:proofErr w:type="spellEnd"/>
      <w:r w:rsidR="00A33469" w:rsidRPr="00705170">
        <w:rPr>
          <w:rFonts w:ascii="Times New Roman" w:hAnsi="Times New Roman" w:cs="Times New Roman"/>
        </w:rPr>
        <w:t xml:space="preserve"> </w:t>
      </w:r>
      <w:proofErr w:type="spellStart"/>
      <w:r w:rsidR="00A33469" w:rsidRPr="00705170">
        <w:rPr>
          <w:rFonts w:ascii="Times New Roman" w:hAnsi="Times New Roman" w:cs="Times New Roman"/>
        </w:rPr>
        <w:t>lack</w:t>
      </w:r>
      <w:proofErr w:type="spellEnd"/>
      <w:r w:rsidR="00A33469" w:rsidRPr="00705170">
        <w:rPr>
          <w:rFonts w:ascii="Times New Roman" w:hAnsi="Times New Roman" w:cs="Times New Roman"/>
        </w:rPr>
        <w:t xml:space="preserve"> of </w:t>
      </w:r>
      <w:proofErr w:type="spellStart"/>
      <w:r w:rsidR="00A33469" w:rsidRPr="00705170">
        <w:rPr>
          <w:rFonts w:ascii="Times New Roman" w:hAnsi="Times New Roman" w:cs="Times New Roman"/>
        </w:rPr>
        <w:t>escape</w:t>
      </w:r>
      <w:proofErr w:type="spellEnd"/>
      <w:r w:rsidR="00A33469" w:rsidRPr="00705170">
        <w:rPr>
          <w:rFonts w:ascii="Times New Roman" w:hAnsi="Times New Roman" w:cs="Times New Roman"/>
        </w:rPr>
        <w:t xml:space="preserve"> </w:t>
      </w:r>
      <w:proofErr w:type="spellStart"/>
      <w:r w:rsidR="00A33469" w:rsidRPr="00705170">
        <w:rPr>
          <w:rFonts w:ascii="Times New Roman" w:hAnsi="Times New Roman" w:cs="Times New Roman"/>
        </w:rPr>
        <w:t>mechanisms</w:t>
      </w:r>
      <w:proofErr w:type="spellEnd"/>
      <w:r w:rsidR="00A33469" w:rsidRPr="00705170">
        <w:rPr>
          <w:rFonts w:ascii="Times New Roman" w:hAnsi="Times New Roman" w:cs="Times New Roman"/>
        </w:rPr>
        <w:t xml:space="preserve"> (</w:t>
      </w:r>
      <w:proofErr w:type="spellStart"/>
      <w:r w:rsidR="00A33469" w:rsidRPr="00705170">
        <w:rPr>
          <w:rFonts w:ascii="Times New Roman" w:hAnsi="Times New Roman" w:cs="Times New Roman"/>
        </w:rPr>
        <w:t>i.e</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selling</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the</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share</w:t>
      </w:r>
      <w:proofErr w:type="spellEnd"/>
      <w:r w:rsidR="00906B4A" w:rsidRPr="00705170">
        <w:rPr>
          <w:rFonts w:ascii="Times New Roman" w:hAnsi="Times New Roman" w:cs="Times New Roman"/>
        </w:rPr>
        <w:t xml:space="preserve">) in </w:t>
      </w:r>
      <w:proofErr w:type="spellStart"/>
      <w:r w:rsidR="00906B4A" w:rsidRPr="00705170">
        <w:rPr>
          <w:rFonts w:ascii="Times New Roman" w:hAnsi="Times New Roman" w:cs="Times New Roman"/>
        </w:rPr>
        <w:t>close</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lastRenderedPageBreak/>
        <w:t>corporations</w:t>
      </w:r>
      <w:proofErr w:type="spellEnd"/>
      <w:r w:rsidR="00A33469" w:rsidRPr="00705170">
        <w:rPr>
          <w:rFonts w:ascii="Times New Roman" w:hAnsi="Times New Roman" w:cs="Times New Roman"/>
        </w:rPr>
        <w:t>,</w:t>
      </w:r>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which</w:t>
      </w:r>
      <w:proofErr w:type="spellEnd"/>
      <w:r w:rsidR="001B3992" w:rsidRPr="00705170">
        <w:rPr>
          <w:rFonts w:ascii="Times New Roman" w:hAnsi="Times New Roman" w:cs="Times New Roman"/>
        </w:rPr>
        <w:t xml:space="preserve"> is </w:t>
      </w:r>
      <w:proofErr w:type="spellStart"/>
      <w:r w:rsidR="001B3992" w:rsidRPr="00705170">
        <w:rPr>
          <w:rFonts w:ascii="Times New Roman" w:hAnsi="Times New Roman" w:cs="Times New Roman"/>
        </w:rPr>
        <w:t>stated</w:t>
      </w:r>
      <w:proofErr w:type="spellEnd"/>
      <w:r w:rsidR="001B3992" w:rsidRPr="00705170">
        <w:rPr>
          <w:rFonts w:ascii="Times New Roman" w:hAnsi="Times New Roman" w:cs="Times New Roman"/>
        </w:rPr>
        <w:t xml:space="preserve"> as</w:t>
      </w:r>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the</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primary</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reason</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why</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shareholder</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protection</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against</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oppression</w:t>
      </w:r>
      <w:proofErr w:type="spellEnd"/>
      <w:r w:rsidR="00906B4A" w:rsidRPr="00705170">
        <w:rPr>
          <w:rFonts w:ascii="Times New Roman" w:hAnsi="Times New Roman" w:cs="Times New Roman"/>
        </w:rPr>
        <w:t xml:space="preserve"> is </w:t>
      </w:r>
      <w:proofErr w:type="spellStart"/>
      <w:r w:rsidR="00906B4A" w:rsidRPr="00705170">
        <w:rPr>
          <w:rFonts w:ascii="Times New Roman" w:hAnsi="Times New Roman" w:cs="Times New Roman"/>
        </w:rPr>
        <w:t>necessary</w:t>
      </w:r>
      <w:proofErr w:type="spellEnd"/>
      <w:r w:rsidR="00906B4A" w:rsidRPr="00705170">
        <w:rPr>
          <w:rFonts w:ascii="Times New Roman" w:hAnsi="Times New Roman" w:cs="Times New Roman"/>
        </w:rPr>
        <w:t xml:space="preserve"> in </w:t>
      </w:r>
      <w:proofErr w:type="spellStart"/>
      <w:r w:rsidR="00906B4A" w:rsidRPr="00705170">
        <w:rPr>
          <w:rFonts w:ascii="Times New Roman" w:hAnsi="Times New Roman" w:cs="Times New Roman"/>
        </w:rPr>
        <w:t>close</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corporations</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and</w:t>
      </w:r>
      <w:proofErr w:type="spellEnd"/>
      <w:r w:rsidR="00906B4A" w:rsidRPr="00705170">
        <w:rPr>
          <w:rFonts w:ascii="Times New Roman" w:hAnsi="Times New Roman" w:cs="Times New Roman"/>
        </w:rPr>
        <w:t xml:space="preserve"> not in </w:t>
      </w:r>
      <w:proofErr w:type="spellStart"/>
      <w:r w:rsidR="00906B4A" w:rsidRPr="00705170">
        <w:rPr>
          <w:rFonts w:ascii="Times New Roman" w:hAnsi="Times New Roman" w:cs="Times New Roman"/>
        </w:rPr>
        <w:t>publicly</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traded</w:t>
      </w:r>
      <w:proofErr w:type="spellEnd"/>
      <w:r w:rsidR="00906B4A" w:rsidRPr="00705170">
        <w:rPr>
          <w:rFonts w:ascii="Times New Roman" w:hAnsi="Times New Roman" w:cs="Times New Roman"/>
        </w:rPr>
        <w:t xml:space="preserve"> </w:t>
      </w:r>
      <w:proofErr w:type="spellStart"/>
      <w:r w:rsidR="00906B4A" w:rsidRPr="00705170">
        <w:rPr>
          <w:rFonts w:ascii="Times New Roman" w:hAnsi="Times New Roman" w:cs="Times New Roman"/>
        </w:rPr>
        <w:t>ones</w:t>
      </w:r>
      <w:proofErr w:type="spellEnd"/>
      <w:r w:rsidR="00906B4A" w:rsidRPr="00705170">
        <w:rPr>
          <w:rStyle w:val="DipnotBavurusu"/>
          <w:rFonts w:ascii="Times New Roman" w:hAnsi="Times New Roman" w:cs="Times New Roman"/>
        </w:rPr>
        <w:footnoteReference w:id="757"/>
      </w:r>
      <w:r w:rsidR="000E4BC1" w:rsidRPr="00705170">
        <w:rPr>
          <w:rFonts w:ascii="Times New Roman" w:hAnsi="Times New Roman" w:cs="Times New Roman"/>
        </w:rPr>
        <w:t xml:space="preserve">, is </w:t>
      </w:r>
      <w:proofErr w:type="spellStart"/>
      <w:r w:rsidR="000E4BC1" w:rsidRPr="00705170">
        <w:rPr>
          <w:rFonts w:ascii="Times New Roman" w:hAnsi="Times New Roman" w:cs="Times New Roman"/>
        </w:rPr>
        <w:t>partly</w:t>
      </w:r>
      <w:proofErr w:type="spellEnd"/>
      <w:r w:rsidR="000E4BC1" w:rsidRPr="00705170">
        <w:rPr>
          <w:rFonts w:ascii="Times New Roman" w:hAnsi="Times New Roman" w:cs="Times New Roman"/>
        </w:rPr>
        <w:t xml:space="preserve"> in </w:t>
      </w:r>
      <w:proofErr w:type="spellStart"/>
      <w:r w:rsidR="000E4BC1" w:rsidRPr="00705170">
        <w:rPr>
          <w:rFonts w:ascii="Times New Roman" w:hAnsi="Times New Roman" w:cs="Times New Roman"/>
        </w:rPr>
        <w:t>effect</w:t>
      </w:r>
      <w:proofErr w:type="spellEnd"/>
      <w:r w:rsidR="001B3992" w:rsidRPr="00705170">
        <w:rPr>
          <w:rFonts w:ascii="Times New Roman" w:hAnsi="Times New Roman" w:cs="Times New Roman"/>
        </w:rPr>
        <w:t xml:space="preserve"> in </w:t>
      </w:r>
      <w:proofErr w:type="spellStart"/>
      <w:r w:rsidR="001B3992" w:rsidRPr="00705170">
        <w:rPr>
          <w:rFonts w:ascii="Times New Roman" w:hAnsi="Times New Roman" w:cs="Times New Roman"/>
        </w:rPr>
        <w:t>the</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publicly</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traded</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context</w:t>
      </w:r>
      <w:proofErr w:type="spellEnd"/>
      <w:r w:rsidR="001B3992" w:rsidRPr="00705170">
        <w:rPr>
          <w:rFonts w:ascii="Times New Roman" w:hAnsi="Times New Roman" w:cs="Times New Roman"/>
        </w:rPr>
        <w:t xml:space="preserve"> as </w:t>
      </w:r>
      <w:proofErr w:type="spellStart"/>
      <w:r w:rsidR="001B3992" w:rsidRPr="00705170">
        <w:rPr>
          <w:rFonts w:ascii="Times New Roman" w:hAnsi="Times New Roman" w:cs="Times New Roman"/>
        </w:rPr>
        <w:t>well</w:t>
      </w:r>
      <w:proofErr w:type="spellEnd"/>
      <w:r w:rsidR="001B3992" w:rsidRPr="00705170">
        <w:rPr>
          <w:rStyle w:val="DipnotBavurusu"/>
          <w:rFonts w:ascii="Times New Roman" w:hAnsi="Times New Roman" w:cs="Times New Roman"/>
        </w:rPr>
        <w:footnoteReference w:id="758"/>
      </w:r>
      <w:r w:rsidR="001B3992" w:rsidRPr="00705170">
        <w:rPr>
          <w:rFonts w:ascii="Times New Roman" w:hAnsi="Times New Roman" w:cs="Times New Roman"/>
        </w:rPr>
        <w:t xml:space="preserve">. </w:t>
      </w:r>
      <w:proofErr w:type="spellStart"/>
      <w:r w:rsidR="00630DC9">
        <w:rPr>
          <w:rFonts w:ascii="Times New Roman" w:hAnsi="Times New Roman" w:cs="Times New Roman"/>
        </w:rPr>
        <w:t>In</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fact</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the</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rationale</w:t>
      </w:r>
      <w:proofErr w:type="spellEnd"/>
      <w:r w:rsidR="00630DC9">
        <w:rPr>
          <w:rFonts w:ascii="Times New Roman" w:hAnsi="Times New Roman" w:cs="Times New Roman"/>
        </w:rPr>
        <w:t xml:space="preserve"> of </w:t>
      </w:r>
      <w:proofErr w:type="spellStart"/>
      <w:r w:rsidR="00630DC9">
        <w:rPr>
          <w:rFonts w:ascii="Times New Roman" w:hAnsi="Times New Roman" w:cs="Times New Roman"/>
        </w:rPr>
        <w:t>applying</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the</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oppression</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remedy</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to</w:t>
      </w:r>
      <w:proofErr w:type="spellEnd"/>
      <w:r w:rsidR="00D36541">
        <w:rPr>
          <w:rFonts w:ascii="Times New Roman" w:hAnsi="Times New Roman" w:cs="Times New Roman"/>
        </w:rPr>
        <w:t xml:space="preserve"> </w:t>
      </w:r>
      <w:proofErr w:type="spellStart"/>
      <w:r w:rsidR="00D36541">
        <w:rPr>
          <w:rFonts w:ascii="Times New Roman" w:hAnsi="Times New Roman" w:cs="Times New Roman"/>
        </w:rPr>
        <w:t>publicly</w:t>
      </w:r>
      <w:proofErr w:type="spellEnd"/>
      <w:r w:rsidR="00D36541">
        <w:rPr>
          <w:rFonts w:ascii="Times New Roman" w:hAnsi="Times New Roman" w:cs="Times New Roman"/>
        </w:rPr>
        <w:t xml:space="preserve"> </w:t>
      </w:r>
      <w:proofErr w:type="spellStart"/>
      <w:r w:rsidR="00D36541">
        <w:rPr>
          <w:rFonts w:ascii="Times New Roman" w:hAnsi="Times New Roman" w:cs="Times New Roman"/>
        </w:rPr>
        <w:t>traded</w:t>
      </w:r>
      <w:proofErr w:type="spellEnd"/>
      <w:r w:rsidR="00D36541">
        <w:rPr>
          <w:rFonts w:ascii="Times New Roman" w:hAnsi="Times New Roman" w:cs="Times New Roman"/>
        </w:rPr>
        <w:t xml:space="preserve"> </w:t>
      </w:r>
      <w:proofErr w:type="spellStart"/>
      <w:r w:rsidR="00D36541">
        <w:rPr>
          <w:rFonts w:ascii="Times New Roman" w:hAnsi="Times New Roman" w:cs="Times New Roman"/>
        </w:rPr>
        <w:t>corporations</w:t>
      </w:r>
      <w:proofErr w:type="spellEnd"/>
      <w:r w:rsidR="00D36541">
        <w:rPr>
          <w:rFonts w:ascii="Times New Roman" w:hAnsi="Times New Roman" w:cs="Times New Roman"/>
        </w:rPr>
        <w:t xml:space="preserve"> can be </w:t>
      </w:r>
      <w:proofErr w:type="spellStart"/>
      <w:r w:rsidR="00D36541">
        <w:rPr>
          <w:rFonts w:ascii="Times New Roman" w:hAnsi="Times New Roman" w:cs="Times New Roman"/>
        </w:rPr>
        <w:t>traced</w:t>
      </w:r>
      <w:proofErr w:type="spellEnd"/>
      <w:r w:rsidR="00D36541">
        <w:rPr>
          <w:rFonts w:ascii="Times New Roman" w:hAnsi="Times New Roman" w:cs="Times New Roman"/>
        </w:rPr>
        <w:t xml:space="preserve"> </w:t>
      </w:r>
      <w:proofErr w:type="spellStart"/>
      <w:r w:rsidR="00D36541">
        <w:rPr>
          <w:rFonts w:ascii="Times New Roman" w:hAnsi="Times New Roman" w:cs="Times New Roman"/>
        </w:rPr>
        <w:t>to</w:t>
      </w:r>
      <w:proofErr w:type="spellEnd"/>
      <w:r w:rsidR="00D36541">
        <w:rPr>
          <w:rFonts w:ascii="Times New Roman" w:hAnsi="Times New Roman" w:cs="Times New Roman"/>
        </w:rPr>
        <w:t xml:space="preserve"> </w:t>
      </w:r>
      <w:proofErr w:type="spellStart"/>
      <w:r w:rsidR="00D36541">
        <w:rPr>
          <w:rFonts w:ascii="Times New Roman" w:hAnsi="Times New Roman" w:cs="Times New Roman"/>
        </w:rPr>
        <w:t>the</w:t>
      </w:r>
      <w:proofErr w:type="spellEnd"/>
      <w:r w:rsidR="00D36541">
        <w:rPr>
          <w:rFonts w:ascii="Times New Roman" w:hAnsi="Times New Roman" w:cs="Times New Roman"/>
        </w:rPr>
        <w:t xml:space="preserve"> </w:t>
      </w:r>
      <w:proofErr w:type="spellStart"/>
      <w:r w:rsidR="00D36541">
        <w:rPr>
          <w:rFonts w:ascii="Times New Roman" w:hAnsi="Times New Roman" w:cs="Times New Roman"/>
        </w:rPr>
        <w:t>willingless</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to</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remedy</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the</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shareholders</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when</w:t>
      </w:r>
      <w:proofErr w:type="spellEnd"/>
      <w:r w:rsidR="00630DC9">
        <w:rPr>
          <w:rFonts w:ascii="Times New Roman" w:hAnsi="Times New Roman" w:cs="Times New Roman"/>
        </w:rPr>
        <w:t xml:space="preserve"> an </w:t>
      </w:r>
      <w:proofErr w:type="spellStart"/>
      <w:r w:rsidR="00630DC9">
        <w:rPr>
          <w:rFonts w:ascii="Times New Roman" w:hAnsi="Times New Roman" w:cs="Times New Roman"/>
        </w:rPr>
        <w:t>oppressive</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conduct</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depresses</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the</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price</w:t>
      </w:r>
      <w:proofErr w:type="spellEnd"/>
      <w:r w:rsidR="00630DC9">
        <w:rPr>
          <w:rFonts w:ascii="Times New Roman" w:hAnsi="Times New Roman" w:cs="Times New Roman"/>
        </w:rPr>
        <w:t xml:space="preserve"> of </w:t>
      </w:r>
      <w:proofErr w:type="spellStart"/>
      <w:r w:rsidR="00630DC9">
        <w:rPr>
          <w:rFonts w:ascii="Times New Roman" w:hAnsi="Times New Roman" w:cs="Times New Roman"/>
        </w:rPr>
        <w:t>the</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share</w:t>
      </w:r>
      <w:proofErr w:type="spellEnd"/>
      <w:r w:rsidR="00630DC9">
        <w:rPr>
          <w:rFonts w:ascii="Times New Roman" w:hAnsi="Times New Roman" w:cs="Times New Roman"/>
        </w:rPr>
        <w:t xml:space="preserve"> in </w:t>
      </w:r>
      <w:proofErr w:type="spellStart"/>
      <w:r w:rsidR="00630DC9">
        <w:rPr>
          <w:rFonts w:ascii="Times New Roman" w:hAnsi="Times New Roman" w:cs="Times New Roman"/>
        </w:rPr>
        <w:t>the</w:t>
      </w:r>
      <w:proofErr w:type="spellEnd"/>
      <w:r w:rsidR="00630DC9">
        <w:rPr>
          <w:rFonts w:ascii="Times New Roman" w:hAnsi="Times New Roman" w:cs="Times New Roman"/>
        </w:rPr>
        <w:t xml:space="preserve"> </w:t>
      </w:r>
      <w:proofErr w:type="spellStart"/>
      <w:r w:rsidR="00630DC9">
        <w:rPr>
          <w:rFonts w:ascii="Times New Roman" w:hAnsi="Times New Roman" w:cs="Times New Roman"/>
        </w:rPr>
        <w:t>marketplace</w:t>
      </w:r>
      <w:proofErr w:type="spellEnd"/>
      <w:r w:rsidR="00630DC9">
        <w:rPr>
          <w:rStyle w:val="DipnotBavurusu"/>
          <w:rFonts w:ascii="Times New Roman" w:hAnsi="Times New Roman" w:cs="Times New Roman"/>
        </w:rPr>
        <w:footnoteReference w:id="759"/>
      </w:r>
      <w:r w:rsidR="00630DC9">
        <w:rPr>
          <w:rFonts w:ascii="Times New Roman" w:hAnsi="Times New Roman" w:cs="Times New Roman"/>
        </w:rPr>
        <w:t xml:space="preserve">. </w:t>
      </w:r>
      <w:proofErr w:type="spellStart"/>
      <w:r w:rsidR="00F85877" w:rsidRPr="00705170">
        <w:rPr>
          <w:rFonts w:ascii="Times New Roman" w:hAnsi="Times New Roman" w:cs="Times New Roman"/>
        </w:rPr>
        <w:t>Furthermore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fact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that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there</w:t>
      </w:r>
      <w:proofErr w:type="spellEnd"/>
      <w:r w:rsidR="00F85877" w:rsidRPr="00705170">
        <w:rPr>
          <w:rFonts w:ascii="Times New Roman" w:hAnsi="Times New Roman" w:cs="Times New Roman"/>
        </w:rPr>
        <w:t xml:space="preserve"> is </w:t>
      </w:r>
      <w:proofErr w:type="spellStart"/>
      <w:r w:rsidR="00F85877" w:rsidRPr="00705170">
        <w:rPr>
          <w:rFonts w:ascii="Times New Roman" w:hAnsi="Times New Roman" w:cs="Times New Roman"/>
        </w:rPr>
        <w:t>always</w:t>
      </w:r>
      <w:proofErr w:type="spellEnd"/>
      <w:r w:rsidR="00F85877" w:rsidRPr="00705170">
        <w:rPr>
          <w:rFonts w:ascii="Times New Roman" w:hAnsi="Times New Roman" w:cs="Times New Roman"/>
        </w:rPr>
        <w:t xml:space="preserve"> a </w:t>
      </w:r>
      <w:proofErr w:type="spellStart"/>
      <w:r w:rsidR="00F85877" w:rsidRPr="00705170">
        <w:rPr>
          <w:rFonts w:ascii="Times New Roman" w:hAnsi="Times New Roman" w:cs="Times New Roman"/>
        </w:rPr>
        <w:t>threat</w:t>
      </w:r>
      <w:proofErr w:type="spellEnd"/>
      <w:r w:rsidR="00F85877" w:rsidRPr="00705170">
        <w:rPr>
          <w:rFonts w:ascii="Times New Roman" w:hAnsi="Times New Roman" w:cs="Times New Roman"/>
        </w:rPr>
        <w:t xml:space="preserve"> of </w:t>
      </w:r>
      <w:proofErr w:type="spellStart"/>
      <w:r w:rsidR="00F85877" w:rsidRPr="00705170">
        <w:rPr>
          <w:rFonts w:ascii="Times New Roman" w:hAnsi="Times New Roman" w:cs="Times New Roman"/>
        </w:rPr>
        <w:t>certain</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amount</w:t>
      </w:r>
      <w:proofErr w:type="spellEnd"/>
      <w:r w:rsidR="00F85877" w:rsidRPr="00705170">
        <w:rPr>
          <w:rFonts w:ascii="Times New Roman" w:hAnsi="Times New Roman" w:cs="Times New Roman"/>
        </w:rPr>
        <w:t xml:space="preserve"> of </w:t>
      </w:r>
      <w:proofErr w:type="spellStart"/>
      <w:r w:rsidR="00F85877" w:rsidRPr="00705170">
        <w:rPr>
          <w:rFonts w:ascii="Times New Roman" w:hAnsi="Times New Roman" w:cs="Times New Roman"/>
        </w:rPr>
        <w:t>pilfering</w:t>
      </w:r>
      <w:proofErr w:type="spellEnd"/>
      <w:r w:rsidR="00F85877" w:rsidRPr="00705170">
        <w:rPr>
          <w:rFonts w:ascii="Times New Roman" w:hAnsi="Times New Roman" w:cs="Times New Roman"/>
        </w:rPr>
        <w:t xml:space="preserve"> in </w:t>
      </w:r>
      <w:proofErr w:type="spellStart"/>
      <w:r w:rsidR="00F85877" w:rsidRPr="00705170">
        <w:rPr>
          <w:rFonts w:ascii="Times New Roman" w:hAnsi="Times New Roman" w:cs="Times New Roman"/>
        </w:rPr>
        <w:t>corporations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with</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influencing</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shareholders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and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investors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diversify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their</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portfolios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accordingly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would</w:t>
      </w:r>
      <w:proofErr w:type="spellEnd"/>
      <w:r w:rsidR="00F85877" w:rsidRPr="00705170">
        <w:rPr>
          <w:rFonts w:ascii="Times New Roman" w:hAnsi="Times New Roman" w:cs="Times New Roman"/>
        </w:rPr>
        <w:t xml:space="preserve"> fail</w:t>
      </w:r>
      <w:r w:rsidR="00F85877" w:rsidRPr="00705170">
        <w:rPr>
          <w:rStyle w:val="DipnotBavurusu"/>
          <w:rFonts w:ascii="Times New Roman" w:hAnsi="Times New Roman" w:cs="Times New Roman"/>
        </w:rPr>
        <w:footnoteReference w:id="760"/>
      </w:r>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because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without</w:t>
      </w:r>
      <w:proofErr w:type="spellEnd"/>
      <w:r w:rsidR="00F85877" w:rsidRPr="00705170">
        <w:rPr>
          <w:rFonts w:ascii="Times New Roman" w:hAnsi="Times New Roman" w:cs="Times New Roman"/>
        </w:rPr>
        <w:t xml:space="preserve"> an </w:t>
      </w:r>
      <w:proofErr w:type="spellStart"/>
      <w:r w:rsidR="00F85877" w:rsidRPr="00705170">
        <w:rPr>
          <w:rFonts w:ascii="Times New Roman" w:hAnsi="Times New Roman" w:cs="Times New Roman"/>
        </w:rPr>
        <w:t>adequate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disclosure</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and</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understanding</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about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this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prospective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pilfering</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shareholders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cannot</w:t>
      </w:r>
      <w:proofErr w:type="spellEnd"/>
      <w:r w:rsidR="00F85877" w:rsidRPr="00705170">
        <w:rPr>
          <w:rFonts w:ascii="Times New Roman" w:hAnsi="Times New Roman" w:cs="Times New Roman"/>
        </w:rPr>
        <w:t xml:space="preserve"> be </w:t>
      </w:r>
      <w:proofErr w:type="spellStart"/>
      <w:r w:rsidR="00F85877" w:rsidRPr="00705170">
        <w:rPr>
          <w:rFonts w:ascii="Times New Roman" w:hAnsi="Times New Roman" w:cs="Times New Roman"/>
        </w:rPr>
        <w:t>deemed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consented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frustration</w:t>
      </w:r>
      <w:proofErr w:type="spellEnd"/>
      <w:r w:rsidR="00F85877" w:rsidRPr="00705170">
        <w:rPr>
          <w:rFonts w:ascii="Times New Roman" w:hAnsi="Times New Roman" w:cs="Times New Roman"/>
        </w:rPr>
        <w:t xml:space="preserve"> of </w:t>
      </w:r>
      <w:proofErr w:type="spellStart"/>
      <w:r w:rsidR="00F85877" w:rsidRPr="00705170">
        <w:rPr>
          <w:rFonts w:ascii="Times New Roman" w:hAnsi="Times New Roman" w:cs="Times New Roman"/>
        </w:rPr>
        <w:t>their</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expectations</w:t>
      </w:r>
      <w:proofErr w:type="spellEnd"/>
      <w:r w:rsidR="00F85877" w:rsidRPr="00705170">
        <w:rPr>
          <w:rStyle w:val="DipnotBavurusu"/>
          <w:rFonts w:ascii="Times New Roman" w:hAnsi="Times New Roman" w:cs="Times New Roman"/>
        </w:rPr>
        <w:footnoteReference w:id="761"/>
      </w:r>
      <w:r w:rsidR="00F85877" w:rsidRPr="00705170">
        <w:rPr>
          <w:rFonts w:ascii="Times New Roman" w:hAnsi="Times New Roman" w:cs="Times New Roman"/>
        </w:rPr>
        <w:t xml:space="preserve">. </w:t>
      </w:r>
      <w:proofErr w:type="spellStart"/>
      <w:r w:rsidR="008D3E7C" w:rsidRPr="00705170">
        <w:rPr>
          <w:rFonts w:ascii="Times New Roman" w:hAnsi="Times New Roman" w:cs="Times New Roman"/>
        </w:rPr>
        <w:t>Even</w:t>
      </w:r>
      <w:proofErr w:type="spellEnd"/>
      <w:r w:rsidR="008D3E7C" w:rsidRPr="00705170">
        <w:rPr>
          <w:rFonts w:ascii="Times New Roman" w:hAnsi="Times New Roman" w:cs="Times New Roman"/>
        </w:rPr>
        <w:t xml:space="preserve"> </w:t>
      </w:r>
      <w:proofErr w:type="spellStart"/>
      <w:r w:rsidR="008D3E7C" w:rsidRPr="00705170">
        <w:rPr>
          <w:rFonts w:ascii="Times New Roman" w:hAnsi="Times New Roman" w:cs="Times New Roman"/>
        </w:rPr>
        <w:t>when</w:t>
      </w:r>
      <w:proofErr w:type="spellEnd"/>
      <w:r w:rsidR="008D3E7C" w:rsidRPr="00705170">
        <w:rPr>
          <w:rFonts w:ascii="Times New Roman" w:hAnsi="Times New Roman" w:cs="Times New Roman"/>
        </w:rPr>
        <w:t xml:space="preserve"> </w:t>
      </w:r>
      <w:proofErr w:type="spellStart"/>
      <w:r w:rsidR="008D3E7C" w:rsidRPr="00705170">
        <w:rPr>
          <w:rFonts w:ascii="Times New Roman" w:hAnsi="Times New Roman" w:cs="Times New Roman"/>
        </w:rPr>
        <w:t>there</w:t>
      </w:r>
      <w:proofErr w:type="spellEnd"/>
      <w:r w:rsidR="008D3E7C" w:rsidRPr="00705170">
        <w:rPr>
          <w:rFonts w:ascii="Times New Roman" w:hAnsi="Times New Roman" w:cs="Times New Roman"/>
        </w:rPr>
        <w:t xml:space="preserve"> is </w:t>
      </w:r>
      <w:proofErr w:type="spellStart"/>
      <w:r w:rsidR="008D3E7C" w:rsidRPr="00705170">
        <w:rPr>
          <w:rFonts w:ascii="Times New Roman" w:hAnsi="Times New Roman" w:cs="Times New Roman"/>
        </w:rPr>
        <w:t>adequate</w:t>
      </w:r>
      <w:proofErr w:type="spellEnd"/>
      <w:r w:rsidR="008D3E7C" w:rsidRPr="00705170">
        <w:rPr>
          <w:rFonts w:ascii="Times New Roman" w:hAnsi="Times New Roman" w:cs="Times New Roman"/>
        </w:rPr>
        <w:t xml:space="preserve"> </w:t>
      </w:r>
      <w:proofErr w:type="spellStart"/>
      <w:r w:rsidR="008D3E7C" w:rsidRPr="00705170">
        <w:rPr>
          <w:rFonts w:ascii="Times New Roman" w:hAnsi="Times New Roman" w:cs="Times New Roman"/>
        </w:rPr>
        <w:t>disclosure</w:t>
      </w:r>
      <w:proofErr w:type="spellEnd"/>
      <w:r w:rsidR="008D3E7C" w:rsidRPr="00705170">
        <w:rPr>
          <w:rFonts w:ascii="Times New Roman" w:hAnsi="Times New Roman" w:cs="Times New Roman"/>
        </w:rPr>
        <w:t xml:space="preserve">, </w:t>
      </w:r>
      <w:proofErr w:type="spellStart"/>
      <w:r w:rsidR="007E4886" w:rsidRPr="00705170">
        <w:rPr>
          <w:rFonts w:ascii="Times New Roman" w:hAnsi="Times New Roman" w:cs="Times New Roman"/>
        </w:rPr>
        <w:lastRenderedPageBreak/>
        <w:t>shareholders</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would</w:t>
      </w:r>
      <w:proofErr w:type="spellEnd"/>
      <w:r w:rsidR="007E4886" w:rsidRPr="00705170">
        <w:rPr>
          <w:rFonts w:ascii="Times New Roman" w:hAnsi="Times New Roman" w:cs="Times New Roman"/>
        </w:rPr>
        <w:t xml:space="preserve"> no</w:t>
      </w:r>
      <w:r w:rsidR="00A33469" w:rsidRPr="00705170">
        <w:rPr>
          <w:rFonts w:ascii="Times New Roman" w:hAnsi="Times New Roman" w:cs="Times New Roman"/>
        </w:rPr>
        <w:t xml:space="preserve">t </w:t>
      </w:r>
      <w:proofErr w:type="spellStart"/>
      <w:r w:rsidR="00A33469" w:rsidRPr="00705170">
        <w:rPr>
          <w:rFonts w:ascii="Times New Roman" w:hAnsi="Times New Roman" w:cs="Times New Roman"/>
        </w:rPr>
        <w:t>meaningfully</w:t>
      </w:r>
      <w:proofErr w:type="spellEnd"/>
      <w:r w:rsidR="00A33469" w:rsidRPr="00705170">
        <w:rPr>
          <w:rFonts w:ascii="Times New Roman" w:hAnsi="Times New Roman" w:cs="Times New Roman"/>
        </w:rPr>
        <w:t xml:space="preserve"> </w:t>
      </w:r>
      <w:proofErr w:type="spellStart"/>
      <w:r w:rsidR="00A33469" w:rsidRPr="00705170">
        <w:rPr>
          <w:rFonts w:ascii="Times New Roman" w:hAnsi="Times New Roman" w:cs="Times New Roman"/>
        </w:rPr>
        <w:t>consent</w:t>
      </w:r>
      <w:proofErr w:type="spellEnd"/>
      <w:r w:rsidR="00A33469" w:rsidRPr="00705170">
        <w:rPr>
          <w:rFonts w:ascii="Times New Roman" w:hAnsi="Times New Roman" w:cs="Times New Roman"/>
        </w:rPr>
        <w:t xml:space="preserve"> </w:t>
      </w:r>
      <w:proofErr w:type="spellStart"/>
      <w:r w:rsidR="007E4886" w:rsidRPr="00705170">
        <w:rPr>
          <w:rFonts w:ascii="Times New Roman" w:hAnsi="Times New Roman" w:cs="Times New Roman"/>
        </w:rPr>
        <w:t>them</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because</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consent</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to</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such</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action</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would</w:t>
      </w:r>
      <w:proofErr w:type="spellEnd"/>
      <w:r w:rsidR="007E4886" w:rsidRPr="00705170">
        <w:rPr>
          <w:rFonts w:ascii="Times New Roman" w:hAnsi="Times New Roman" w:cs="Times New Roman"/>
        </w:rPr>
        <w:t xml:space="preserve"> be </w:t>
      </w:r>
      <w:proofErr w:type="spellStart"/>
      <w:r w:rsidR="007E4886" w:rsidRPr="00705170">
        <w:rPr>
          <w:rFonts w:ascii="Times New Roman" w:hAnsi="Times New Roman" w:cs="Times New Roman"/>
        </w:rPr>
        <w:t>underinformed</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due</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to</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transaction</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costs</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just</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like</w:t>
      </w:r>
      <w:proofErr w:type="spellEnd"/>
      <w:r w:rsidR="007E4886" w:rsidRPr="00705170">
        <w:rPr>
          <w:rFonts w:ascii="Times New Roman" w:hAnsi="Times New Roman" w:cs="Times New Roman"/>
        </w:rPr>
        <w:t xml:space="preserve"> in </w:t>
      </w:r>
      <w:proofErr w:type="spellStart"/>
      <w:r w:rsidR="007E4886" w:rsidRPr="00705170">
        <w:rPr>
          <w:rFonts w:ascii="Times New Roman" w:hAnsi="Times New Roman" w:cs="Times New Roman"/>
        </w:rPr>
        <w:t>close</w:t>
      </w:r>
      <w:proofErr w:type="spellEnd"/>
      <w:r w:rsidR="007E4886" w:rsidRPr="00705170">
        <w:rPr>
          <w:rFonts w:ascii="Times New Roman" w:hAnsi="Times New Roman" w:cs="Times New Roman"/>
        </w:rPr>
        <w:t xml:space="preserve"> </w:t>
      </w:r>
      <w:proofErr w:type="spellStart"/>
      <w:r w:rsidR="007E4886" w:rsidRPr="00705170">
        <w:rPr>
          <w:rFonts w:ascii="Times New Roman" w:hAnsi="Times New Roman" w:cs="Times New Roman"/>
        </w:rPr>
        <w:t>corporations</w:t>
      </w:r>
      <w:proofErr w:type="spellEnd"/>
      <w:r w:rsidR="007E4886" w:rsidRPr="00705170">
        <w:rPr>
          <w:rStyle w:val="DipnotBavurusu"/>
          <w:rFonts w:ascii="Times New Roman" w:hAnsi="Times New Roman" w:cs="Times New Roman"/>
        </w:rPr>
        <w:footnoteReference w:id="762"/>
      </w:r>
      <w:r w:rsidR="007E4886" w:rsidRPr="00705170">
        <w:rPr>
          <w:rFonts w:ascii="Times New Roman" w:hAnsi="Times New Roman" w:cs="Times New Roman"/>
        </w:rPr>
        <w:t>.</w:t>
      </w:r>
    </w:p>
    <w:p w14:paraId="4E2D0572" w14:textId="0441CD10" w:rsidR="006554D7" w:rsidRPr="00705170" w:rsidRDefault="00F86CFF" w:rsidP="006554D7">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imposition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00E57BD4" w:rsidRPr="00705170">
        <w:rPr>
          <w:rFonts w:ascii="Times New Roman" w:hAnsi="Times New Roman" w:cs="Times New Roman"/>
        </w:rPr>
        <w:t>reasonable</w:t>
      </w:r>
      <w:proofErr w:type="spellEnd"/>
      <w:r w:rsidR="00E57BD4" w:rsidRPr="00705170">
        <w:rPr>
          <w:rFonts w:ascii="Times New Roman" w:hAnsi="Times New Roman" w:cs="Times New Roman"/>
        </w:rPr>
        <w:t xml:space="preserve"> </w:t>
      </w:r>
      <w:proofErr w:type="spellStart"/>
      <w:r w:rsidR="00E57BD4" w:rsidRPr="00705170">
        <w:rPr>
          <w:rFonts w:ascii="Times New Roman" w:hAnsi="Times New Roman" w:cs="Times New Roman"/>
        </w:rPr>
        <w:t>expectations</w:t>
      </w:r>
      <w:proofErr w:type="spellEnd"/>
      <w:r w:rsidR="00E57BD4" w:rsidRPr="00705170">
        <w:rPr>
          <w:rFonts w:ascii="Times New Roman" w:hAnsi="Times New Roman" w:cs="Times New Roman"/>
        </w:rPr>
        <w:t xml:space="preserve"> </w:t>
      </w:r>
      <w:proofErr w:type="spellStart"/>
      <w:r w:rsidR="00E57BD4" w:rsidRPr="00705170">
        <w:rPr>
          <w:rFonts w:ascii="Times New Roman" w:hAnsi="Times New Roman" w:cs="Times New Roman"/>
        </w:rPr>
        <w:t>theory</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is not </w:t>
      </w:r>
      <w:proofErr w:type="spellStart"/>
      <w:r w:rsidRPr="00705170">
        <w:rPr>
          <w:rFonts w:ascii="Times New Roman" w:hAnsi="Times New Roman" w:cs="Times New Roman"/>
        </w:rPr>
        <w:t>incompatible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nexus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contracts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general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built</w:t>
      </w:r>
      <w:proofErr w:type="spellEnd"/>
      <w:r w:rsidRPr="00705170">
        <w:rPr>
          <w:rFonts w:ascii="Times New Roman" w:hAnsi="Times New Roman" w:cs="Times New Roman"/>
        </w:rPr>
        <w:t xml:space="preserve"> on</w:t>
      </w:r>
      <w:r w:rsidRPr="00705170">
        <w:rPr>
          <w:rStyle w:val="DipnotBavurusu"/>
          <w:rFonts w:ascii="Times New Roman" w:hAnsi="Times New Roman" w:cs="Times New Roman"/>
        </w:rPr>
        <w:footnoteReference w:id="763"/>
      </w:r>
      <w:r w:rsidRPr="00705170">
        <w:rPr>
          <w:rFonts w:ascii="Times New Roman" w:hAnsi="Times New Roman" w:cs="Times New Roman"/>
        </w:rPr>
        <w:t xml:space="preserve">. </w:t>
      </w:r>
      <w:r w:rsidR="006554D7" w:rsidRPr="00705170">
        <w:rPr>
          <w:rFonts w:ascii="Times New Roman" w:hAnsi="Times New Roman" w:cs="Times New Roman"/>
        </w:rPr>
        <w:t xml:space="preserve">As </w:t>
      </w:r>
      <w:proofErr w:type="spellStart"/>
      <w:r w:rsidR="006554D7" w:rsidRPr="00705170">
        <w:rPr>
          <w:rFonts w:ascii="Times New Roman" w:hAnsi="Times New Roman" w:cs="Times New Roman"/>
        </w:rPr>
        <w:t>already</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stated</w:t>
      </w:r>
      <w:proofErr w:type="spellEnd"/>
      <w:r w:rsidR="006554D7" w:rsidRPr="00705170">
        <w:rPr>
          <w:rFonts w:ascii="Times New Roman" w:hAnsi="Times New Roman" w:cs="Times New Roman"/>
        </w:rPr>
        <w:t xml:space="preserve"> </w:t>
      </w:r>
      <w:proofErr w:type="spellStart"/>
      <w:r w:rsidR="0085756D">
        <w:rPr>
          <w:rFonts w:ascii="Times New Roman" w:hAnsi="Times New Roman" w:cs="Times New Roman"/>
        </w:rPr>
        <w:t>before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under</w:t>
      </w:r>
      <w:proofErr w:type="spellEnd"/>
      <w:r w:rsidR="006554D7" w:rsidRPr="00705170">
        <w:rPr>
          <w:rFonts w:ascii="Times New Roman" w:hAnsi="Times New Roman" w:cs="Times New Roman"/>
        </w:rPr>
        <w:t xml:space="preserve"> “a </w:t>
      </w:r>
      <w:proofErr w:type="spellStart"/>
      <w:r w:rsidR="006554D7" w:rsidRPr="00705170">
        <w:rPr>
          <w:rFonts w:ascii="Times New Roman" w:hAnsi="Times New Roman" w:cs="Times New Roman"/>
        </w:rPr>
        <w:t>contractarian</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framework</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oppression</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action</w:t>
      </w:r>
      <w:proofErr w:type="spellEnd"/>
      <w:r w:rsidR="006554D7" w:rsidRPr="00705170">
        <w:rPr>
          <w:rFonts w:ascii="Times New Roman" w:hAnsi="Times New Roman" w:cs="Times New Roman"/>
        </w:rPr>
        <w:t xml:space="preserve"> is a </w:t>
      </w:r>
      <w:proofErr w:type="spellStart"/>
      <w:r w:rsidR="006554D7" w:rsidRPr="00705170">
        <w:rPr>
          <w:rFonts w:ascii="Times New Roman" w:hAnsi="Times New Roman" w:cs="Times New Roman"/>
        </w:rPr>
        <w:t>default</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contractual</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term</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embedded</w:t>
      </w:r>
      <w:proofErr w:type="spellEnd"/>
      <w:r w:rsidR="006554D7" w:rsidRPr="00705170">
        <w:rPr>
          <w:rFonts w:ascii="Times New Roman" w:hAnsi="Times New Roman" w:cs="Times New Roman"/>
        </w:rPr>
        <w:t xml:space="preserve"> in </w:t>
      </w:r>
      <w:proofErr w:type="spellStart"/>
      <w:r w:rsidR="006554D7" w:rsidRPr="00705170">
        <w:rPr>
          <w:rFonts w:ascii="Times New Roman" w:hAnsi="Times New Roman" w:cs="Times New Roman"/>
        </w:rPr>
        <w:t>any</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contract</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between</w:t>
      </w:r>
      <w:proofErr w:type="spellEnd"/>
      <w:r w:rsidR="006554D7" w:rsidRPr="00705170">
        <w:rPr>
          <w:rFonts w:ascii="Times New Roman" w:hAnsi="Times New Roman" w:cs="Times New Roman"/>
        </w:rPr>
        <w:t xml:space="preserve"> a </w:t>
      </w:r>
      <w:proofErr w:type="spellStart"/>
      <w:r w:rsidR="006554D7" w:rsidRPr="00705170">
        <w:rPr>
          <w:rFonts w:ascii="Times New Roman" w:hAnsi="Times New Roman" w:cs="Times New Roman"/>
        </w:rPr>
        <w:t>corporate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stakeholder</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and</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corporation</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and</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broad</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language</w:t>
      </w:r>
      <w:proofErr w:type="spellEnd"/>
      <w:r w:rsidR="006554D7" w:rsidRPr="00705170">
        <w:rPr>
          <w:rFonts w:ascii="Times New Roman" w:hAnsi="Times New Roman" w:cs="Times New Roman"/>
        </w:rPr>
        <w:t xml:space="preserve"> of </w:t>
      </w:r>
      <w:proofErr w:type="spellStart"/>
      <w:r w:rsidR="006554D7" w:rsidRPr="00705170">
        <w:rPr>
          <w:rFonts w:ascii="Times New Roman" w:hAnsi="Times New Roman" w:cs="Times New Roman"/>
        </w:rPr>
        <w:t>the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statute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leaves</w:t>
      </w:r>
      <w:proofErr w:type="spellEnd"/>
      <w:r w:rsidR="006554D7" w:rsidRPr="00705170">
        <w:rPr>
          <w:rFonts w:ascii="Times New Roman" w:hAnsi="Times New Roman" w:cs="Times New Roman"/>
        </w:rPr>
        <w:t xml:space="preserve"> it </w:t>
      </w:r>
      <w:proofErr w:type="spellStart"/>
      <w:r w:rsidR="006554D7" w:rsidRPr="00705170">
        <w:rPr>
          <w:rFonts w:ascii="Times New Roman" w:hAnsi="Times New Roman" w:cs="Times New Roman"/>
        </w:rPr>
        <w:t>to</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courts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to</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determine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what</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approach</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to</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contractual</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gap</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filling</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should</w:t>
      </w:r>
      <w:proofErr w:type="spellEnd"/>
      <w:r w:rsidR="006554D7" w:rsidRPr="00705170">
        <w:rPr>
          <w:rFonts w:ascii="Times New Roman" w:hAnsi="Times New Roman" w:cs="Times New Roman"/>
        </w:rPr>
        <w:t xml:space="preserve"> be </w:t>
      </w:r>
      <w:proofErr w:type="spellStart"/>
      <w:r w:rsidR="006554D7" w:rsidRPr="00705170">
        <w:rPr>
          <w:rFonts w:ascii="Times New Roman" w:hAnsi="Times New Roman" w:cs="Times New Roman"/>
        </w:rPr>
        <w:t>undertaken</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when</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interpreting</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oppression</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provisions</w:t>
      </w:r>
      <w:proofErr w:type="spellEnd"/>
      <w:r w:rsidR="006554D7" w:rsidRPr="00705170">
        <w:rPr>
          <w:rFonts w:ascii="Times New Roman" w:hAnsi="Times New Roman" w:cs="Times New Roman"/>
        </w:rPr>
        <w:t xml:space="preserve">” </w:t>
      </w:r>
      <w:r w:rsidR="006554D7" w:rsidRPr="00705170">
        <w:rPr>
          <w:rStyle w:val="DipnotBavurusu"/>
          <w:rFonts w:ascii="Times New Roman" w:hAnsi="Times New Roman" w:cs="Times New Roman"/>
        </w:rPr>
        <w:footnoteReference w:id="764"/>
      </w:r>
      <w:r w:rsidR="006554D7"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noted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a</w:t>
      </w:r>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pure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contractual</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analysis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would</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also</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require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accepting</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that</w:t>
      </w:r>
      <w:proofErr w:type="spellEnd"/>
      <w:r w:rsidR="006554D7" w:rsidRPr="00705170">
        <w:rPr>
          <w:rFonts w:ascii="Times New Roman" w:hAnsi="Times New Roman" w:cs="Times New Roman"/>
        </w:rPr>
        <w:t xml:space="preserve"> a </w:t>
      </w:r>
      <w:proofErr w:type="spellStart"/>
      <w:r w:rsidR="006554D7" w:rsidRPr="00705170">
        <w:rPr>
          <w:rFonts w:ascii="Times New Roman" w:hAnsi="Times New Roman" w:cs="Times New Roman"/>
        </w:rPr>
        <w:t>dissolution</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right</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through</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the</w:t>
      </w:r>
      <w:proofErr w:type="spellEnd"/>
      <w:r w:rsidR="006554D7" w:rsidRPr="00705170">
        <w:rPr>
          <w:rFonts w:ascii="Times New Roman" w:hAnsi="Times New Roman" w:cs="Times New Roman"/>
        </w:rPr>
        <w:t xml:space="preserve"> lens of </w:t>
      </w:r>
      <w:proofErr w:type="spellStart"/>
      <w:r w:rsidR="006554D7" w:rsidRPr="00705170">
        <w:rPr>
          <w:rFonts w:ascii="Times New Roman" w:hAnsi="Times New Roman" w:cs="Times New Roman"/>
        </w:rPr>
        <w:t>the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reasonable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expectations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protection</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should</w:t>
      </w:r>
      <w:proofErr w:type="spellEnd"/>
      <w:r w:rsidR="006554D7" w:rsidRPr="00705170">
        <w:rPr>
          <w:rFonts w:ascii="Times New Roman" w:hAnsi="Times New Roman" w:cs="Times New Roman"/>
        </w:rPr>
        <w:t xml:space="preserve"> be a </w:t>
      </w:r>
      <w:r w:rsidR="007236DD" w:rsidRPr="00705170">
        <w:rPr>
          <w:rFonts w:ascii="Times New Roman" w:hAnsi="Times New Roman" w:cs="Times New Roman"/>
        </w:rPr>
        <w:t>“</w:t>
      </w:r>
      <w:proofErr w:type="spellStart"/>
      <w:r w:rsidR="00AD2A7A" w:rsidRPr="00705170">
        <w:rPr>
          <w:rFonts w:ascii="Times New Roman" w:hAnsi="Times New Roman" w:cs="Times New Roman"/>
        </w:rPr>
        <w:t>partially</w:t>
      </w:r>
      <w:proofErr w:type="spellEnd"/>
      <w:r w:rsidR="00AD2A7A" w:rsidRPr="00705170">
        <w:rPr>
          <w:rFonts w:ascii="Times New Roman" w:hAnsi="Times New Roman" w:cs="Times New Roman"/>
        </w:rPr>
        <w:t xml:space="preserve"> </w:t>
      </w:r>
      <w:proofErr w:type="spellStart"/>
      <w:r w:rsidR="007C65F6" w:rsidRPr="00705170">
        <w:rPr>
          <w:rFonts w:ascii="Times New Roman" w:hAnsi="Times New Roman" w:cs="Times New Roman"/>
        </w:rPr>
        <w:t>alterable</w:t>
      </w:r>
      <w:proofErr w:type="spellEnd"/>
      <w:r w:rsidR="007236DD" w:rsidRPr="00705170">
        <w:rPr>
          <w:rFonts w:ascii="Times New Roman" w:hAnsi="Times New Roman" w:cs="Times New Roman"/>
        </w:rPr>
        <w:t>”</w:t>
      </w:r>
      <w:r w:rsidR="006554D7" w:rsidRPr="00705170">
        <w:rPr>
          <w:rFonts w:ascii="Times New Roman" w:hAnsi="Times New Roman" w:cs="Times New Roman"/>
        </w:rPr>
        <w:t xml:space="preserve"> </w:t>
      </w:r>
      <w:proofErr w:type="spellStart"/>
      <w:r w:rsidR="007C65F6" w:rsidRPr="00705170">
        <w:rPr>
          <w:rFonts w:ascii="Times New Roman" w:hAnsi="Times New Roman" w:cs="Times New Roman"/>
        </w:rPr>
        <w:t>mandatory</w:t>
      </w:r>
      <w:proofErr w:type="spellEnd"/>
      <w:r w:rsidR="007C65F6" w:rsidRPr="00705170">
        <w:rPr>
          <w:rFonts w:ascii="Times New Roman" w:hAnsi="Times New Roman" w:cs="Times New Roman"/>
        </w:rPr>
        <w:t xml:space="preserve"> </w:t>
      </w:r>
      <w:proofErr w:type="spellStart"/>
      <w:r w:rsidR="007C65F6" w:rsidRPr="00705170">
        <w:rPr>
          <w:rFonts w:ascii="Times New Roman" w:hAnsi="Times New Roman" w:cs="Times New Roman"/>
        </w:rPr>
        <w:t>rule</w:t>
      </w:r>
      <w:proofErr w:type="spellEnd"/>
      <w:r w:rsidR="007F255B" w:rsidRPr="00705170">
        <w:rPr>
          <w:rFonts w:ascii="Times New Roman" w:hAnsi="Times New Roman" w:cs="Times New Roman"/>
        </w:rPr>
        <w:t xml:space="preserve">, </w:t>
      </w:r>
      <w:proofErr w:type="spellStart"/>
      <w:r w:rsidR="007F255B" w:rsidRPr="00705170">
        <w:rPr>
          <w:rFonts w:ascii="Times New Roman" w:hAnsi="Times New Roman" w:cs="Times New Roman"/>
        </w:rPr>
        <w:t>meaning</w:t>
      </w:r>
      <w:proofErr w:type="spellEnd"/>
      <w:r w:rsidR="007F255B" w:rsidRPr="00705170">
        <w:rPr>
          <w:rFonts w:ascii="Times New Roman" w:hAnsi="Times New Roman" w:cs="Times New Roman"/>
        </w:rPr>
        <w:t xml:space="preserve"> </w:t>
      </w:r>
      <w:proofErr w:type="spellStart"/>
      <w:r w:rsidR="007F255B" w:rsidRPr="00705170">
        <w:rPr>
          <w:rFonts w:ascii="Times New Roman" w:hAnsi="Times New Roman" w:cs="Times New Roman"/>
        </w:rPr>
        <w:t>that</w:t>
      </w:r>
      <w:proofErr w:type="spellEnd"/>
      <w:r w:rsidR="007F255B" w:rsidRPr="00705170">
        <w:rPr>
          <w:rFonts w:ascii="Times New Roman" w:hAnsi="Times New Roman" w:cs="Times New Roman"/>
        </w:rPr>
        <w:t xml:space="preserve"> </w:t>
      </w:r>
      <w:proofErr w:type="spellStart"/>
      <w:r w:rsidR="00261C36" w:rsidRPr="00705170">
        <w:rPr>
          <w:rFonts w:ascii="Times New Roman" w:hAnsi="Times New Roman" w:cs="Times New Roman"/>
        </w:rPr>
        <w:t>while</w:t>
      </w:r>
      <w:proofErr w:type="spellEnd"/>
      <w:r w:rsidR="00261C36" w:rsidRPr="00705170">
        <w:rPr>
          <w:rFonts w:ascii="Times New Roman" w:hAnsi="Times New Roman" w:cs="Times New Roman"/>
        </w:rPr>
        <w:t xml:space="preserve"> </w:t>
      </w:r>
      <w:proofErr w:type="spellStart"/>
      <w:r w:rsidR="007F255B" w:rsidRPr="00705170">
        <w:rPr>
          <w:rFonts w:ascii="Times New Roman" w:hAnsi="Times New Roman" w:cs="Times New Roman"/>
        </w:rPr>
        <w:t>the</w:t>
      </w:r>
      <w:proofErr w:type="spellEnd"/>
      <w:r w:rsidR="007F255B" w:rsidRPr="00705170">
        <w:rPr>
          <w:rFonts w:ascii="Times New Roman" w:hAnsi="Times New Roman" w:cs="Times New Roman"/>
        </w:rPr>
        <w:t xml:space="preserve"> </w:t>
      </w:r>
      <w:proofErr w:type="spellStart"/>
      <w:r w:rsidR="007F255B" w:rsidRPr="00705170">
        <w:rPr>
          <w:rFonts w:ascii="Times New Roman" w:hAnsi="Times New Roman" w:cs="Times New Roman"/>
        </w:rPr>
        <w:t>right</w:t>
      </w:r>
      <w:proofErr w:type="spellEnd"/>
      <w:r w:rsidR="007F255B" w:rsidRPr="00705170">
        <w:rPr>
          <w:rFonts w:ascii="Times New Roman" w:hAnsi="Times New Roman" w:cs="Times New Roman"/>
        </w:rPr>
        <w:t xml:space="preserve"> </w:t>
      </w:r>
      <w:proofErr w:type="spellStart"/>
      <w:r w:rsidR="007F255B" w:rsidRPr="00705170">
        <w:rPr>
          <w:rFonts w:ascii="Times New Roman" w:hAnsi="Times New Roman" w:cs="Times New Roman"/>
        </w:rPr>
        <w:t>to</w:t>
      </w:r>
      <w:proofErr w:type="spellEnd"/>
      <w:r w:rsidR="007F255B" w:rsidRPr="00705170">
        <w:rPr>
          <w:rFonts w:ascii="Times New Roman" w:hAnsi="Times New Roman" w:cs="Times New Roman"/>
        </w:rPr>
        <w:t xml:space="preserve"> </w:t>
      </w:r>
      <w:proofErr w:type="spellStart"/>
      <w:r w:rsidR="007F255B" w:rsidRPr="00705170">
        <w:rPr>
          <w:rFonts w:ascii="Times New Roman" w:hAnsi="Times New Roman" w:cs="Times New Roman"/>
        </w:rPr>
        <w:t>involuntary</w:t>
      </w:r>
      <w:proofErr w:type="spellEnd"/>
      <w:r w:rsidR="007F255B" w:rsidRPr="00705170">
        <w:rPr>
          <w:rFonts w:ascii="Times New Roman" w:hAnsi="Times New Roman" w:cs="Times New Roman"/>
        </w:rPr>
        <w:t xml:space="preserve"> </w:t>
      </w:r>
      <w:proofErr w:type="spellStart"/>
      <w:r w:rsidR="007F255B" w:rsidRPr="00705170">
        <w:rPr>
          <w:rFonts w:ascii="Times New Roman" w:hAnsi="Times New Roman" w:cs="Times New Roman"/>
        </w:rPr>
        <w:t>dissolution</w:t>
      </w:r>
      <w:proofErr w:type="spellEnd"/>
      <w:r w:rsidR="007F255B" w:rsidRPr="00705170">
        <w:rPr>
          <w:rFonts w:ascii="Times New Roman" w:hAnsi="Times New Roman" w:cs="Times New Roman"/>
        </w:rPr>
        <w:t xml:space="preserve"> </w:t>
      </w:r>
      <w:proofErr w:type="spellStart"/>
      <w:r w:rsidR="007F255B" w:rsidRPr="00705170">
        <w:rPr>
          <w:rFonts w:ascii="Times New Roman" w:hAnsi="Times New Roman" w:cs="Times New Roman"/>
        </w:rPr>
        <w:t>c</w:t>
      </w:r>
      <w:r w:rsidR="002F7657" w:rsidRPr="00705170">
        <w:rPr>
          <w:rFonts w:ascii="Times New Roman" w:hAnsi="Times New Roman" w:cs="Times New Roman"/>
        </w:rPr>
        <w:t>annot</w:t>
      </w:r>
      <w:proofErr w:type="spellEnd"/>
      <w:r w:rsidR="002F7657" w:rsidRPr="00705170">
        <w:rPr>
          <w:rFonts w:ascii="Times New Roman" w:hAnsi="Times New Roman" w:cs="Times New Roman"/>
        </w:rPr>
        <w:t xml:space="preserve"> be</w:t>
      </w:r>
      <w:r w:rsidR="00790AEF" w:rsidRPr="00705170">
        <w:rPr>
          <w:rFonts w:ascii="Times New Roman" w:hAnsi="Times New Roman" w:cs="Times New Roman"/>
        </w:rPr>
        <w:t xml:space="preserve"> </w:t>
      </w:r>
      <w:proofErr w:type="spellStart"/>
      <w:r w:rsidR="00790AEF" w:rsidRPr="00705170">
        <w:rPr>
          <w:rFonts w:ascii="Times New Roman" w:hAnsi="Times New Roman" w:cs="Times New Roman"/>
        </w:rPr>
        <w:t>completely</w:t>
      </w:r>
      <w:proofErr w:type="spellEnd"/>
      <w:r w:rsidR="002F7657" w:rsidRPr="00705170">
        <w:rPr>
          <w:rFonts w:ascii="Times New Roman" w:hAnsi="Times New Roman" w:cs="Times New Roman"/>
        </w:rPr>
        <w:t xml:space="preserve"> </w:t>
      </w:r>
      <w:proofErr w:type="spellStart"/>
      <w:r w:rsidR="002F7657" w:rsidRPr="00705170">
        <w:rPr>
          <w:rFonts w:ascii="Times New Roman" w:hAnsi="Times New Roman" w:cs="Times New Roman"/>
        </w:rPr>
        <w:t>waived</w:t>
      </w:r>
      <w:proofErr w:type="spellEnd"/>
      <w:r w:rsidR="00E438BD" w:rsidRPr="00705170">
        <w:rPr>
          <w:rFonts w:ascii="Times New Roman" w:hAnsi="Times New Roman" w:cs="Times New Roman"/>
        </w:rPr>
        <w:t>,</w:t>
      </w:r>
      <w:r w:rsidR="002F7657" w:rsidRPr="00705170">
        <w:rPr>
          <w:rFonts w:ascii="Times New Roman" w:hAnsi="Times New Roman" w:cs="Times New Roman"/>
        </w:rPr>
        <w:t xml:space="preserve"> </w:t>
      </w:r>
      <w:proofErr w:type="spellStart"/>
      <w:r w:rsidR="002F7657" w:rsidRPr="00705170">
        <w:rPr>
          <w:rFonts w:ascii="Times New Roman" w:hAnsi="Times New Roman" w:cs="Times New Roman"/>
        </w:rPr>
        <w:t>the</w:t>
      </w:r>
      <w:proofErr w:type="spellEnd"/>
      <w:r w:rsidR="002F7657" w:rsidRPr="00705170">
        <w:rPr>
          <w:rFonts w:ascii="Times New Roman" w:hAnsi="Times New Roman" w:cs="Times New Roman"/>
        </w:rPr>
        <w:t xml:space="preserve"> </w:t>
      </w:r>
      <w:proofErr w:type="spellStart"/>
      <w:r w:rsidR="002F7657" w:rsidRPr="00705170">
        <w:rPr>
          <w:rFonts w:ascii="Times New Roman" w:hAnsi="Times New Roman" w:cs="Times New Roman"/>
        </w:rPr>
        <w:t>court’s</w:t>
      </w:r>
      <w:proofErr w:type="spellEnd"/>
      <w:r w:rsidR="002800CC" w:rsidRPr="00705170">
        <w:rPr>
          <w:rFonts w:ascii="Times New Roman" w:hAnsi="Times New Roman" w:cs="Times New Roman"/>
        </w:rPr>
        <w:t xml:space="preserve"> </w:t>
      </w:r>
      <w:proofErr w:type="spellStart"/>
      <w:r w:rsidR="00CB723D" w:rsidRPr="00705170">
        <w:rPr>
          <w:rFonts w:ascii="Times New Roman" w:hAnsi="Times New Roman" w:cs="Times New Roman"/>
        </w:rPr>
        <w:t>wide</w:t>
      </w:r>
      <w:proofErr w:type="spellEnd"/>
      <w:r w:rsidR="0094570F" w:rsidRPr="00705170">
        <w:rPr>
          <w:rFonts w:ascii="Times New Roman" w:hAnsi="Times New Roman" w:cs="Times New Roman"/>
        </w:rPr>
        <w:t xml:space="preserve"> </w:t>
      </w:r>
      <w:proofErr w:type="spellStart"/>
      <w:r w:rsidR="0094570F" w:rsidRPr="00705170">
        <w:rPr>
          <w:rFonts w:ascii="Times New Roman" w:hAnsi="Times New Roman" w:cs="Times New Roman"/>
        </w:rPr>
        <w:t>interpretation</w:t>
      </w:r>
      <w:proofErr w:type="spellEnd"/>
      <w:r w:rsidR="00B24C81" w:rsidRPr="00705170">
        <w:rPr>
          <w:rFonts w:ascii="Times New Roman" w:hAnsi="Times New Roman" w:cs="Times New Roman"/>
        </w:rPr>
        <w:t xml:space="preserve"> </w:t>
      </w:r>
      <w:proofErr w:type="spellStart"/>
      <w:r w:rsidR="00CB723D" w:rsidRPr="00705170">
        <w:rPr>
          <w:rFonts w:ascii="Times New Roman" w:hAnsi="Times New Roman" w:cs="Times New Roman"/>
        </w:rPr>
        <w:t>power</w:t>
      </w:r>
      <w:proofErr w:type="spellEnd"/>
      <w:r w:rsidR="00CB723D" w:rsidRPr="00705170">
        <w:rPr>
          <w:rFonts w:ascii="Times New Roman" w:hAnsi="Times New Roman" w:cs="Times New Roman"/>
        </w:rPr>
        <w:t xml:space="preserve"> </w:t>
      </w:r>
      <w:proofErr w:type="spellStart"/>
      <w:r w:rsidR="00CB723D" w:rsidRPr="00705170">
        <w:rPr>
          <w:rFonts w:ascii="Times New Roman" w:hAnsi="Times New Roman" w:cs="Times New Roman"/>
        </w:rPr>
        <w:t>regarding</w:t>
      </w:r>
      <w:proofErr w:type="spellEnd"/>
      <w:r w:rsidR="00CB723D" w:rsidRPr="00705170">
        <w:rPr>
          <w:rFonts w:ascii="Times New Roman" w:hAnsi="Times New Roman" w:cs="Times New Roman"/>
        </w:rPr>
        <w:t xml:space="preserve"> </w:t>
      </w:r>
      <w:proofErr w:type="spellStart"/>
      <w:r w:rsidR="00B24C81" w:rsidRPr="00705170">
        <w:rPr>
          <w:rFonts w:ascii="Times New Roman" w:hAnsi="Times New Roman" w:cs="Times New Roman"/>
        </w:rPr>
        <w:t>the</w:t>
      </w:r>
      <w:proofErr w:type="spellEnd"/>
      <w:r w:rsidR="00B24C81" w:rsidRPr="00705170">
        <w:rPr>
          <w:rFonts w:ascii="Times New Roman" w:hAnsi="Times New Roman" w:cs="Times New Roman"/>
        </w:rPr>
        <w:t xml:space="preserve"> </w:t>
      </w:r>
      <w:proofErr w:type="spellStart"/>
      <w:r w:rsidR="00B24C81" w:rsidRPr="00705170">
        <w:rPr>
          <w:rFonts w:ascii="Times New Roman" w:hAnsi="Times New Roman" w:cs="Times New Roman"/>
        </w:rPr>
        <w:t>provision</w:t>
      </w:r>
      <w:proofErr w:type="spellEnd"/>
      <w:r w:rsidR="0094570F" w:rsidRPr="00705170">
        <w:rPr>
          <w:rFonts w:ascii="Times New Roman" w:hAnsi="Times New Roman" w:cs="Times New Roman"/>
        </w:rPr>
        <w:t xml:space="preserve"> can be </w:t>
      </w:r>
      <w:proofErr w:type="spellStart"/>
      <w:r w:rsidR="00665C63" w:rsidRPr="00705170">
        <w:rPr>
          <w:rFonts w:ascii="Times New Roman" w:hAnsi="Times New Roman" w:cs="Times New Roman"/>
        </w:rPr>
        <w:t>indirectly</w:t>
      </w:r>
      <w:proofErr w:type="spellEnd"/>
      <w:r w:rsidR="00665C63" w:rsidRPr="00705170">
        <w:rPr>
          <w:rFonts w:ascii="Times New Roman" w:hAnsi="Times New Roman" w:cs="Times New Roman"/>
        </w:rPr>
        <w:t xml:space="preserve"> </w:t>
      </w:r>
      <w:proofErr w:type="spellStart"/>
      <w:r w:rsidR="0094570F" w:rsidRPr="00705170">
        <w:rPr>
          <w:rFonts w:ascii="Times New Roman" w:hAnsi="Times New Roman" w:cs="Times New Roman"/>
        </w:rPr>
        <w:t>restricted</w:t>
      </w:r>
      <w:proofErr w:type="spellEnd"/>
      <w:r w:rsidR="00C75A51" w:rsidRPr="00705170">
        <w:rPr>
          <w:rStyle w:val="DipnotBavurusu"/>
          <w:rFonts w:ascii="Times New Roman" w:hAnsi="Times New Roman" w:cs="Times New Roman"/>
        </w:rPr>
        <w:footnoteReference w:id="765"/>
      </w:r>
      <w:r w:rsidR="009C353E" w:rsidRPr="00705170">
        <w:rPr>
          <w:rFonts w:ascii="Times New Roman" w:hAnsi="Times New Roman" w:cs="Times New Roman"/>
        </w:rPr>
        <w:t>:</w:t>
      </w:r>
      <w:r w:rsidR="006554D7" w:rsidRPr="00705170">
        <w:rPr>
          <w:rFonts w:ascii="Times New Roman" w:hAnsi="Times New Roman" w:cs="Times New Roman"/>
        </w:rPr>
        <w:t xml:space="preserve"> </w:t>
      </w:r>
      <w:proofErr w:type="spellStart"/>
      <w:r w:rsidR="00872FDC" w:rsidRPr="00705170">
        <w:rPr>
          <w:rFonts w:ascii="Times New Roman" w:hAnsi="Times New Roman" w:cs="Times New Roman"/>
        </w:rPr>
        <w:t>For</w:t>
      </w:r>
      <w:proofErr w:type="spellEnd"/>
      <w:r w:rsidR="00872FDC" w:rsidRPr="00705170">
        <w:rPr>
          <w:rFonts w:ascii="Times New Roman" w:hAnsi="Times New Roman" w:cs="Times New Roman"/>
        </w:rPr>
        <w:t xml:space="preserve"> </w:t>
      </w:r>
      <w:proofErr w:type="spellStart"/>
      <w:r w:rsidR="00872FDC" w:rsidRPr="00705170">
        <w:rPr>
          <w:rFonts w:ascii="Times New Roman" w:hAnsi="Times New Roman" w:cs="Times New Roman"/>
        </w:rPr>
        <w:t>example</w:t>
      </w:r>
      <w:proofErr w:type="spellEnd"/>
      <w:r w:rsidR="00872FDC" w:rsidRPr="00705170">
        <w:rPr>
          <w:rFonts w:ascii="Times New Roman" w:hAnsi="Times New Roman" w:cs="Times New Roman"/>
        </w:rPr>
        <w:t xml:space="preserve">, as </w:t>
      </w:r>
      <w:proofErr w:type="spellStart"/>
      <w:r w:rsidR="00872FDC" w:rsidRPr="00705170">
        <w:rPr>
          <w:rFonts w:ascii="Times New Roman" w:hAnsi="Times New Roman" w:cs="Times New Roman"/>
        </w:rPr>
        <w:t>t</w:t>
      </w:r>
      <w:r w:rsidR="006554D7" w:rsidRPr="00705170">
        <w:rPr>
          <w:rFonts w:ascii="Times New Roman" w:hAnsi="Times New Roman" w:cs="Times New Roman"/>
        </w:rPr>
        <w:t>he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expectations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become</w:t>
      </w:r>
      <w:r w:rsidR="00403CE5" w:rsidRPr="00705170">
        <w:rPr>
          <w:rFonts w:ascii="Times New Roman" w:hAnsi="Times New Roman" w:cs="Times New Roman"/>
        </w:rPr>
        <w:t>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lastRenderedPageBreak/>
        <w:t>impo</w:t>
      </w:r>
      <w:r w:rsidR="00872FDC" w:rsidRPr="00705170">
        <w:rPr>
          <w:rFonts w:ascii="Times New Roman" w:hAnsi="Times New Roman" w:cs="Times New Roman"/>
        </w:rPr>
        <w:t>rtant</w:t>
      </w:r>
      <w:proofErr w:type="spellEnd"/>
      <w:r w:rsidR="00872FDC" w:rsidRPr="00705170">
        <w:rPr>
          <w:rFonts w:ascii="Times New Roman" w:hAnsi="Times New Roman" w:cs="Times New Roman"/>
        </w:rPr>
        <w:t xml:space="preserve"> in </w:t>
      </w:r>
      <w:proofErr w:type="spellStart"/>
      <w:r w:rsidR="00872FDC" w:rsidRPr="00705170">
        <w:rPr>
          <w:rFonts w:ascii="Times New Roman" w:hAnsi="Times New Roman" w:cs="Times New Roman"/>
        </w:rPr>
        <w:t>absence</w:t>
      </w:r>
      <w:proofErr w:type="spellEnd"/>
      <w:r w:rsidR="00872FDC" w:rsidRPr="00705170">
        <w:rPr>
          <w:rFonts w:ascii="Times New Roman" w:hAnsi="Times New Roman" w:cs="Times New Roman"/>
        </w:rPr>
        <w:t xml:space="preserve"> of a </w:t>
      </w:r>
      <w:proofErr w:type="spellStart"/>
      <w:r w:rsidR="00872FDC" w:rsidRPr="00705170">
        <w:rPr>
          <w:rFonts w:ascii="Times New Roman" w:hAnsi="Times New Roman" w:cs="Times New Roman"/>
        </w:rPr>
        <w:t>contract</w:t>
      </w:r>
      <w:proofErr w:type="spellEnd"/>
      <w:r w:rsidR="00872FDC" w:rsidRPr="00705170">
        <w:rPr>
          <w:rFonts w:ascii="Times New Roman" w:hAnsi="Times New Roman" w:cs="Times New Roman"/>
        </w:rPr>
        <w:t xml:space="preserve">, </w:t>
      </w:r>
      <w:r w:rsidR="006554D7" w:rsidRPr="00705170">
        <w:rPr>
          <w:rFonts w:ascii="Times New Roman" w:hAnsi="Times New Roman" w:cs="Times New Roman"/>
        </w:rPr>
        <w:t>“</w:t>
      </w:r>
      <w:proofErr w:type="spellStart"/>
      <w:r w:rsidR="006554D7" w:rsidRPr="00705170">
        <w:rPr>
          <w:rFonts w:ascii="Times New Roman" w:hAnsi="Times New Roman" w:cs="Times New Roman"/>
        </w:rPr>
        <w:t>when</w:t>
      </w:r>
      <w:proofErr w:type="spellEnd"/>
      <w:r w:rsidR="006554D7" w:rsidRPr="00705170">
        <w:rPr>
          <w:rFonts w:ascii="Times New Roman" w:hAnsi="Times New Roman" w:cs="Times New Roman"/>
        </w:rPr>
        <w:t xml:space="preserve"> a </w:t>
      </w:r>
      <w:proofErr w:type="spellStart"/>
      <w:r w:rsidR="006554D7" w:rsidRPr="00705170">
        <w:rPr>
          <w:rFonts w:ascii="Times New Roman" w:hAnsi="Times New Roman" w:cs="Times New Roman"/>
        </w:rPr>
        <w:t>contract</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exists</w:t>
      </w:r>
      <w:proofErr w:type="spellEnd"/>
      <w:r w:rsidR="006554D7" w:rsidRPr="00705170">
        <w:rPr>
          <w:rFonts w:ascii="Times New Roman" w:hAnsi="Times New Roman" w:cs="Times New Roman"/>
        </w:rPr>
        <w:t xml:space="preserve"> in </w:t>
      </w:r>
      <w:proofErr w:type="spellStart"/>
      <w:r w:rsidR="006554D7" w:rsidRPr="00705170">
        <w:rPr>
          <w:rFonts w:ascii="Times New Roman" w:hAnsi="Times New Roman" w:cs="Times New Roman"/>
        </w:rPr>
        <w:t>which</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parties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listed</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their</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expectations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aggrieved</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parties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should</w:t>
      </w:r>
      <w:proofErr w:type="spellEnd"/>
      <w:r w:rsidR="006554D7" w:rsidRPr="00705170">
        <w:rPr>
          <w:rFonts w:ascii="Times New Roman" w:hAnsi="Times New Roman" w:cs="Times New Roman"/>
        </w:rPr>
        <w:t xml:space="preserve"> not be </w:t>
      </w:r>
      <w:proofErr w:type="spellStart"/>
      <w:r w:rsidR="006554D7" w:rsidRPr="00705170">
        <w:rPr>
          <w:rFonts w:ascii="Times New Roman" w:hAnsi="Times New Roman" w:cs="Times New Roman"/>
        </w:rPr>
        <w:t>allowed</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to</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later</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sue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and</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claim</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that</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their</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expectations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were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different</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than</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those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enumerated</w:t>
      </w:r>
      <w:proofErr w:type="spellEnd"/>
      <w:r w:rsidR="006554D7" w:rsidRPr="00705170">
        <w:rPr>
          <w:rFonts w:ascii="Times New Roman" w:hAnsi="Times New Roman" w:cs="Times New Roman"/>
        </w:rPr>
        <w:t>”</w:t>
      </w:r>
      <w:r w:rsidR="006554D7" w:rsidRPr="00705170">
        <w:rPr>
          <w:rStyle w:val="DipnotBavurusu"/>
          <w:rFonts w:ascii="Times New Roman" w:hAnsi="Times New Roman" w:cs="Times New Roman"/>
        </w:rPr>
        <w:footnoteReference w:id="766"/>
      </w:r>
      <w:r w:rsidR="006554D7" w:rsidRPr="00705170">
        <w:rPr>
          <w:rFonts w:ascii="Times New Roman" w:hAnsi="Times New Roman" w:cs="Times New Roman"/>
        </w:rPr>
        <w:t xml:space="preserve">. </w:t>
      </w:r>
      <w:proofErr w:type="spellStart"/>
      <w:r w:rsidRPr="00705170">
        <w:rPr>
          <w:rFonts w:ascii="Times New Roman" w:hAnsi="Times New Roman" w:cs="Times New Roman"/>
        </w:rPr>
        <w:t>Still</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notion</w:t>
      </w:r>
      <w:r w:rsidRPr="00705170">
        <w:rPr>
          <w:rFonts w:ascii="Times New Roman" w:hAnsi="Times New Roman" w:cs="Times New Roman"/>
        </w:rPr>
        <w:t>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that</w:t>
      </w:r>
      <w:proofErr w:type="spellEnd"/>
      <w:r w:rsidRPr="00705170">
        <w:rPr>
          <w:rFonts w:ascii="Times New Roman" w:hAnsi="Times New Roman" w:cs="Times New Roman"/>
        </w:rPr>
        <w:t>; (1)</w:t>
      </w:r>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shareholders</w:t>
      </w:r>
      <w:proofErr w:type="spellEnd"/>
      <w:r w:rsidR="006554D7" w:rsidRPr="00705170">
        <w:rPr>
          <w:rFonts w:ascii="Times New Roman" w:hAnsi="Times New Roman" w:cs="Times New Roman"/>
        </w:rPr>
        <w:t xml:space="preserve"> of </w:t>
      </w:r>
      <w:proofErr w:type="spellStart"/>
      <w:r w:rsidR="006554D7" w:rsidRPr="00705170">
        <w:rPr>
          <w:rFonts w:ascii="Times New Roman" w:hAnsi="Times New Roman" w:cs="Times New Roman"/>
        </w:rPr>
        <w:t>publicly</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traded</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corporations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are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constantly</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changing</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so</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there</w:t>
      </w:r>
      <w:proofErr w:type="spellEnd"/>
      <w:r w:rsidR="006554D7" w:rsidRPr="00705170">
        <w:rPr>
          <w:rFonts w:ascii="Times New Roman" w:hAnsi="Times New Roman" w:cs="Times New Roman"/>
        </w:rPr>
        <w:t xml:space="preserve"> is </w:t>
      </w:r>
      <w:proofErr w:type="spellStart"/>
      <w:r w:rsidR="006554D7" w:rsidRPr="00705170">
        <w:rPr>
          <w:rFonts w:ascii="Times New Roman" w:hAnsi="Times New Roman" w:cs="Times New Roman"/>
        </w:rPr>
        <w:t>no</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way</w:t>
      </w:r>
      <w:proofErr w:type="spellEnd"/>
      <w:r w:rsidR="006554D7" w:rsidRPr="00705170">
        <w:rPr>
          <w:rFonts w:ascii="Times New Roman" w:hAnsi="Times New Roman" w:cs="Times New Roman"/>
        </w:rPr>
        <w:t xml:space="preserve"> of </w:t>
      </w:r>
      <w:proofErr w:type="spellStart"/>
      <w:r w:rsidR="006554D7" w:rsidRPr="00705170">
        <w:rPr>
          <w:rFonts w:ascii="Times New Roman" w:hAnsi="Times New Roman" w:cs="Times New Roman"/>
        </w:rPr>
        <w:t>contracting</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with</w:t>
      </w:r>
      <w:proofErr w:type="spellEnd"/>
      <w:r w:rsidR="006554D7" w:rsidRPr="00705170">
        <w:rPr>
          <w:rFonts w:ascii="Times New Roman" w:hAnsi="Times New Roman" w:cs="Times New Roman"/>
        </w:rPr>
        <w:t xml:space="preserve"> a </w:t>
      </w:r>
      <w:proofErr w:type="spellStart"/>
      <w:r w:rsidR="006554D7" w:rsidRPr="00705170">
        <w:rPr>
          <w:rFonts w:ascii="Times New Roman" w:hAnsi="Times New Roman" w:cs="Times New Roman"/>
        </w:rPr>
        <w:t>defined</w:t>
      </w:r>
      <w:proofErr w:type="spellEnd"/>
      <w:r w:rsidR="006554D7" w:rsidRPr="00705170">
        <w:rPr>
          <w:rFonts w:ascii="Times New Roman" w:hAnsi="Times New Roman" w:cs="Times New Roman"/>
        </w:rPr>
        <w:t xml:space="preserve"> set of </w:t>
      </w:r>
      <w:proofErr w:type="spellStart"/>
      <w:r w:rsidR="006554D7" w:rsidRPr="00705170">
        <w:rPr>
          <w:rFonts w:ascii="Times New Roman" w:hAnsi="Times New Roman" w:cs="Times New Roman"/>
        </w:rPr>
        <w:t>peop</w:t>
      </w:r>
      <w:r w:rsidRPr="00705170">
        <w:rPr>
          <w:rFonts w:ascii="Times New Roman" w:hAnsi="Times New Roman" w:cs="Times New Roman"/>
        </w:rPr>
        <w:t>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(2) </w:t>
      </w:r>
      <w:proofErr w:type="spellStart"/>
      <w:r w:rsidR="006554D7" w:rsidRPr="00705170">
        <w:rPr>
          <w:rFonts w:ascii="Times New Roman" w:hAnsi="Times New Roman" w:cs="Times New Roman"/>
        </w:rPr>
        <w:t>the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expectations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that</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will</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taken</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into</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consideration</w:t>
      </w:r>
      <w:proofErr w:type="spellEnd"/>
      <w:r w:rsidR="006554D7" w:rsidRPr="00705170">
        <w:rPr>
          <w:rFonts w:ascii="Times New Roman" w:hAnsi="Times New Roman" w:cs="Times New Roman"/>
        </w:rPr>
        <w:t xml:space="preserve"> in </w:t>
      </w:r>
      <w:proofErr w:type="spellStart"/>
      <w:r w:rsidR="00F62632" w:rsidRPr="00705170">
        <w:rPr>
          <w:rFonts w:ascii="Times New Roman" w:hAnsi="Times New Roman" w:cs="Times New Roman"/>
        </w:rPr>
        <w:t>the</w:t>
      </w:r>
      <w:proofErr w:type="spellEnd"/>
      <w:r w:rsidR="00F62632" w:rsidRPr="00705170">
        <w:rPr>
          <w:rFonts w:ascii="Times New Roman" w:hAnsi="Times New Roman" w:cs="Times New Roman"/>
        </w:rPr>
        <w:t xml:space="preserve"> </w:t>
      </w:r>
      <w:proofErr w:type="spellStart"/>
      <w:r w:rsidR="00F62632" w:rsidRPr="00705170">
        <w:rPr>
          <w:rFonts w:ascii="Times New Roman" w:hAnsi="Times New Roman" w:cs="Times New Roman"/>
        </w:rPr>
        <w:t>publ</w:t>
      </w:r>
      <w:r w:rsidR="00BC0B1C" w:rsidRPr="00705170">
        <w:rPr>
          <w:rFonts w:ascii="Times New Roman" w:hAnsi="Times New Roman" w:cs="Times New Roman"/>
        </w:rPr>
        <w:t>i</w:t>
      </w:r>
      <w:r w:rsidR="00F62632" w:rsidRPr="00705170">
        <w:rPr>
          <w:rFonts w:ascii="Times New Roman" w:hAnsi="Times New Roman" w:cs="Times New Roman"/>
        </w:rPr>
        <w:t>c</w:t>
      </w:r>
      <w:r w:rsidR="00BC0B1C" w:rsidRPr="00705170">
        <w:rPr>
          <w:rFonts w:ascii="Times New Roman" w:hAnsi="Times New Roman" w:cs="Times New Roman"/>
        </w:rPr>
        <w:t>ly</w:t>
      </w:r>
      <w:proofErr w:type="spellEnd"/>
      <w:r w:rsidR="00BC0B1C" w:rsidRPr="00705170">
        <w:rPr>
          <w:rFonts w:ascii="Times New Roman" w:hAnsi="Times New Roman" w:cs="Times New Roman"/>
        </w:rPr>
        <w:t xml:space="preserve"> </w:t>
      </w:r>
      <w:proofErr w:type="spellStart"/>
      <w:r w:rsidR="00BC0B1C" w:rsidRPr="00705170">
        <w:rPr>
          <w:rFonts w:ascii="Times New Roman" w:hAnsi="Times New Roman" w:cs="Times New Roman"/>
        </w:rPr>
        <w:t>traded</w:t>
      </w:r>
      <w:proofErr w:type="spellEnd"/>
      <w:r w:rsidR="00BC0B1C" w:rsidRPr="00705170">
        <w:rPr>
          <w:rFonts w:ascii="Times New Roman" w:hAnsi="Times New Roman" w:cs="Times New Roman"/>
        </w:rPr>
        <w:t xml:space="preserve"> </w:t>
      </w:r>
      <w:proofErr w:type="spellStart"/>
      <w:r w:rsidR="00BC0B1C" w:rsidRPr="00705170">
        <w:rPr>
          <w:rFonts w:ascii="Times New Roman" w:hAnsi="Times New Roman" w:cs="Times New Roman"/>
        </w:rPr>
        <w:t>corporations</w:t>
      </w:r>
      <w:proofErr w:type="spellEnd"/>
      <w:r w:rsidR="00BC0B1C" w:rsidRPr="00705170">
        <w:rPr>
          <w:rFonts w:ascii="Times New Roman" w:hAnsi="Times New Roman" w:cs="Times New Roman"/>
        </w:rPr>
        <w:t>’</w:t>
      </w:r>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context</w:t>
      </w:r>
      <w:proofErr w:type="spellEnd"/>
      <w:r w:rsidR="006554D7" w:rsidRPr="00705170">
        <w:rPr>
          <w:rFonts w:ascii="Times New Roman" w:hAnsi="Times New Roman" w:cs="Times New Roman"/>
        </w:rPr>
        <w:t xml:space="preserve"> </w:t>
      </w:r>
      <w:proofErr w:type="spellStart"/>
      <w:r w:rsidR="00BC0B1C" w:rsidRPr="00705170">
        <w:rPr>
          <w:rFonts w:ascii="Times New Roman" w:hAnsi="Times New Roman" w:cs="Times New Roman"/>
        </w:rPr>
        <w:t>arise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from</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the</w:t>
      </w:r>
      <w:proofErr w:type="spellEnd"/>
      <w:r w:rsidR="006554D7" w:rsidRPr="00705170">
        <w:rPr>
          <w:rFonts w:ascii="Times New Roman" w:hAnsi="Times New Roman" w:cs="Times New Roman"/>
        </w:rPr>
        <w:t xml:space="preserve"> </w:t>
      </w:r>
      <w:proofErr w:type="spellStart"/>
      <w:r w:rsidR="00BC0B1C" w:rsidRPr="00705170">
        <w:rPr>
          <w:rFonts w:ascii="Times New Roman" w:hAnsi="Times New Roman" w:cs="Times New Roman"/>
        </w:rPr>
        <w:t>mandatory</w:t>
      </w:r>
      <w:proofErr w:type="spellEnd"/>
      <w:r w:rsidR="00BC0B1C" w:rsidRPr="00705170">
        <w:rPr>
          <w:rFonts w:ascii="Times New Roman" w:hAnsi="Times New Roman" w:cs="Times New Roman"/>
        </w:rPr>
        <w:t xml:space="preserve"> </w:t>
      </w:r>
      <w:proofErr w:type="spellStart"/>
      <w:r w:rsidR="006554D7" w:rsidRPr="00705170">
        <w:rPr>
          <w:rFonts w:ascii="Times New Roman" w:hAnsi="Times New Roman" w:cs="Times New Roman"/>
        </w:rPr>
        <w:t>s</w:t>
      </w:r>
      <w:r w:rsidR="00BC0B1C" w:rsidRPr="00705170">
        <w:rPr>
          <w:rFonts w:ascii="Times New Roman" w:hAnsi="Times New Roman" w:cs="Times New Roman"/>
        </w:rPr>
        <w:t>tatutory</w:t>
      </w:r>
      <w:proofErr w:type="spellEnd"/>
      <w:r w:rsidR="00BC0B1C" w:rsidRPr="00705170">
        <w:rPr>
          <w:rFonts w:ascii="Times New Roman" w:hAnsi="Times New Roman" w:cs="Times New Roman"/>
        </w:rPr>
        <w:t xml:space="preserve"> </w:t>
      </w:r>
      <w:proofErr w:type="spellStart"/>
      <w:r w:rsidR="00BC0B1C" w:rsidRPr="00705170">
        <w:rPr>
          <w:rFonts w:ascii="Times New Roman" w:hAnsi="Times New Roman" w:cs="Times New Roman"/>
        </w:rPr>
        <w:t>provisions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itself</w:t>
      </w:r>
      <w:proofErr w:type="spellEnd"/>
      <w:r w:rsidR="00403CE5" w:rsidRPr="00705170">
        <w:rPr>
          <w:rFonts w:ascii="Times New Roman" w:hAnsi="Times New Roman" w:cs="Times New Roman"/>
        </w:rPr>
        <w:t xml:space="preserve"> as </w:t>
      </w:r>
      <w:proofErr w:type="spellStart"/>
      <w:r w:rsidR="00403CE5" w:rsidRPr="00705170">
        <w:rPr>
          <w:rFonts w:ascii="Times New Roman" w:hAnsi="Times New Roman" w:cs="Times New Roman"/>
        </w:rPr>
        <w:t>outlined</w:t>
      </w:r>
      <w:proofErr w:type="spellEnd"/>
      <w:r w:rsidR="00403CE5" w:rsidRPr="00705170">
        <w:rPr>
          <w:rFonts w:ascii="Times New Roman" w:hAnsi="Times New Roman" w:cs="Times New Roman"/>
        </w:rPr>
        <w:t xml:space="preserve"> in </w:t>
      </w:r>
      <w:proofErr w:type="spellStart"/>
      <w:r w:rsidR="00403CE5" w:rsidRPr="00705170">
        <w:rPr>
          <w:rFonts w:ascii="Times New Roman" w:hAnsi="Times New Roman" w:cs="Times New Roman"/>
        </w:rPr>
        <w:t>this</w:t>
      </w:r>
      <w:proofErr w:type="spellEnd"/>
      <w:r w:rsidR="00403CE5" w:rsidRPr="00705170">
        <w:rPr>
          <w:rFonts w:ascii="Times New Roman" w:hAnsi="Times New Roman" w:cs="Times New Roman"/>
        </w:rPr>
        <w:t xml:space="preserve"> </w:t>
      </w:r>
      <w:proofErr w:type="spellStart"/>
      <w:r w:rsidR="00403CE5" w:rsidRPr="00705170">
        <w:rPr>
          <w:rFonts w:ascii="Times New Roman" w:hAnsi="Times New Roman" w:cs="Times New Roman"/>
        </w:rPr>
        <w:t>Chapter</w:t>
      </w:r>
      <w:proofErr w:type="spellEnd"/>
      <w:r w:rsidR="00BC0B1C" w:rsidRPr="00705170">
        <w:rPr>
          <w:rFonts w:ascii="Times New Roman" w:hAnsi="Times New Roman" w:cs="Times New Roman"/>
        </w:rPr>
        <w:t xml:space="preserve"> (</w:t>
      </w:r>
      <w:proofErr w:type="spellStart"/>
      <w:r w:rsidR="00BC0B1C" w:rsidRPr="00705170">
        <w:rPr>
          <w:rFonts w:ascii="Times New Roman" w:hAnsi="Times New Roman" w:cs="Times New Roman"/>
        </w:rPr>
        <w:t>so</w:t>
      </w:r>
      <w:proofErr w:type="spellEnd"/>
      <w:r w:rsidR="00BC0B1C" w:rsidRPr="00705170">
        <w:rPr>
          <w:rFonts w:ascii="Times New Roman" w:hAnsi="Times New Roman" w:cs="Times New Roman"/>
        </w:rPr>
        <w:t xml:space="preserve"> </w:t>
      </w:r>
      <w:proofErr w:type="spellStart"/>
      <w:r w:rsidR="00BC0B1C" w:rsidRPr="00705170">
        <w:rPr>
          <w:rFonts w:ascii="Times New Roman" w:hAnsi="Times New Roman" w:cs="Times New Roman"/>
        </w:rPr>
        <w:t>parties</w:t>
      </w:r>
      <w:proofErr w:type="spellEnd"/>
      <w:r w:rsidR="00BC0B1C" w:rsidRPr="00705170">
        <w:rPr>
          <w:rFonts w:ascii="Times New Roman" w:hAnsi="Times New Roman" w:cs="Times New Roman"/>
        </w:rPr>
        <w:t xml:space="preserve"> </w:t>
      </w:r>
      <w:proofErr w:type="spellStart"/>
      <w:r w:rsidR="00BC0B1C" w:rsidRPr="00705170">
        <w:rPr>
          <w:rFonts w:ascii="Times New Roman" w:hAnsi="Times New Roman" w:cs="Times New Roman"/>
        </w:rPr>
        <w:t>cannot</w:t>
      </w:r>
      <w:proofErr w:type="spellEnd"/>
      <w:r w:rsidR="00BC0B1C" w:rsidRPr="00705170">
        <w:rPr>
          <w:rFonts w:ascii="Times New Roman" w:hAnsi="Times New Roman" w:cs="Times New Roman"/>
        </w:rPr>
        <w:t xml:space="preserve"> </w:t>
      </w:r>
      <w:proofErr w:type="spellStart"/>
      <w:r w:rsidR="00BC0B1C" w:rsidRPr="00705170">
        <w:rPr>
          <w:rFonts w:ascii="Times New Roman" w:hAnsi="Times New Roman" w:cs="Times New Roman"/>
        </w:rPr>
        <w:t>waive</w:t>
      </w:r>
      <w:proofErr w:type="spellEnd"/>
      <w:r w:rsidR="00BC0B1C" w:rsidRPr="00705170">
        <w:rPr>
          <w:rFonts w:ascii="Times New Roman" w:hAnsi="Times New Roman" w:cs="Times New Roman"/>
        </w:rPr>
        <w:t xml:space="preserve"> </w:t>
      </w:r>
      <w:proofErr w:type="spellStart"/>
      <w:r w:rsidR="00BC0B1C" w:rsidRPr="00705170">
        <w:rPr>
          <w:rFonts w:ascii="Times New Roman" w:hAnsi="Times New Roman" w:cs="Times New Roman"/>
        </w:rPr>
        <w:t>these</w:t>
      </w:r>
      <w:proofErr w:type="spellEnd"/>
      <w:r w:rsidR="00BC0B1C" w:rsidRPr="00705170">
        <w:rPr>
          <w:rFonts w:ascii="Times New Roman" w:hAnsi="Times New Roman" w:cs="Times New Roman"/>
        </w:rPr>
        <w:t xml:space="preserve"> </w:t>
      </w:r>
      <w:proofErr w:type="spellStart"/>
      <w:r w:rsidR="00BC0B1C" w:rsidRPr="00705170">
        <w:rPr>
          <w:rFonts w:ascii="Times New Roman" w:hAnsi="Times New Roman" w:cs="Times New Roman"/>
        </w:rPr>
        <w:t>specific</w:t>
      </w:r>
      <w:proofErr w:type="spellEnd"/>
      <w:r w:rsidR="00BC0B1C" w:rsidRPr="00705170">
        <w:rPr>
          <w:rFonts w:ascii="Times New Roman" w:hAnsi="Times New Roman" w:cs="Times New Roman"/>
        </w:rPr>
        <w:t xml:space="preserve"> </w:t>
      </w:r>
      <w:proofErr w:type="spellStart"/>
      <w:r w:rsidR="00BC0B1C" w:rsidRPr="00705170">
        <w:rPr>
          <w:rFonts w:ascii="Times New Roman" w:hAnsi="Times New Roman" w:cs="Times New Roman"/>
        </w:rPr>
        <w:t>provisions</w:t>
      </w:r>
      <w:proofErr w:type="spellEnd"/>
      <w:r w:rsidR="00BC0B1C" w:rsidRPr="00705170">
        <w:rPr>
          <w:rFonts w:ascii="Times New Roman" w:hAnsi="Times New Roman" w:cs="Times New Roman"/>
        </w:rPr>
        <w:t xml:space="preserve"> </w:t>
      </w:r>
      <w:proofErr w:type="spellStart"/>
      <w:r w:rsidR="00BC0B1C" w:rsidRPr="00705170">
        <w:rPr>
          <w:rFonts w:ascii="Times New Roman" w:hAnsi="Times New Roman" w:cs="Times New Roman"/>
        </w:rPr>
        <w:t>by</w:t>
      </w:r>
      <w:proofErr w:type="spellEnd"/>
      <w:r w:rsidR="00BC0B1C" w:rsidRPr="00705170">
        <w:rPr>
          <w:rFonts w:ascii="Times New Roman" w:hAnsi="Times New Roman" w:cs="Times New Roman"/>
        </w:rPr>
        <w:t xml:space="preserve"> </w:t>
      </w:r>
      <w:proofErr w:type="spellStart"/>
      <w:r w:rsidR="00BC0B1C" w:rsidRPr="00705170">
        <w:rPr>
          <w:rFonts w:ascii="Times New Roman" w:hAnsi="Times New Roman" w:cs="Times New Roman"/>
        </w:rPr>
        <w:t>contract</w:t>
      </w:r>
      <w:proofErr w:type="spellEnd"/>
      <w:r w:rsidRPr="00705170">
        <w:rPr>
          <w:rFonts w:ascii="Times New Roman" w:hAnsi="Times New Roman" w:cs="Times New Roman"/>
        </w:rPr>
        <w:t>,</w:t>
      </w:r>
      <w:r w:rsidR="007F0FDA" w:rsidRPr="00705170">
        <w:rPr>
          <w:rFonts w:ascii="Times New Roman" w:hAnsi="Times New Roman" w:cs="Times New Roman"/>
        </w:rPr>
        <w:t xml:space="preserve"> </w:t>
      </w:r>
      <w:proofErr w:type="spellStart"/>
      <w:r w:rsidR="007F0FDA" w:rsidRPr="00705170">
        <w:rPr>
          <w:rFonts w:ascii="Times New Roman" w:hAnsi="Times New Roman" w:cs="Times New Roman"/>
        </w:rPr>
        <w:t>and</w:t>
      </w:r>
      <w:proofErr w:type="spellEnd"/>
      <w:r w:rsidR="007F0FDA" w:rsidRPr="00705170">
        <w:rPr>
          <w:rFonts w:ascii="Times New Roman" w:hAnsi="Times New Roman" w:cs="Times New Roman"/>
        </w:rPr>
        <w:t xml:space="preserve"> in </w:t>
      </w:r>
      <w:proofErr w:type="spellStart"/>
      <w:r w:rsidR="007F0FDA" w:rsidRPr="00705170">
        <w:rPr>
          <w:rFonts w:ascii="Times New Roman" w:hAnsi="Times New Roman" w:cs="Times New Roman"/>
        </w:rPr>
        <w:t>this</w:t>
      </w:r>
      <w:proofErr w:type="spellEnd"/>
      <w:r w:rsidR="007F0FDA" w:rsidRPr="00705170">
        <w:rPr>
          <w:rFonts w:ascii="Times New Roman" w:hAnsi="Times New Roman" w:cs="Times New Roman"/>
        </w:rPr>
        <w:t xml:space="preserve"> sense, </w:t>
      </w:r>
      <w:proofErr w:type="spellStart"/>
      <w:r w:rsidR="007F0FDA" w:rsidRPr="00705170">
        <w:rPr>
          <w:rFonts w:ascii="Times New Roman" w:hAnsi="Times New Roman" w:cs="Times New Roman"/>
        </w:rPr>
        <w:t>the</w:t>
      </w:r>
      <w:proofErr w:type="spellEnd"/>
      <w:r w:rsidR="007F0FDA" w:rsidRPr="00705170">
        <w:rPr>
          <w:rFonts w:ascii="Times New Roman" w:hAnsi="Times New Roman" w:cs="Times New Roman"/>
        </w:rPr>
        <w:t xml:space="preserve"> </w:t>
      </w:r>
      <w:proofErr w:type="spellStart"/>
      <w:r w:rsidR="007F0FDA"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doctrine</w:t>
      </w:r>
      <w:r w:rsidR="007F0FDA" w:rsidRPr="00705170">
        <w:rPr>
          <w:rFonts w:ascii="Times New Roman" w:hAnsi="Times New Roman" w:cs="Times New Roman"/>
        </w:rPr>
        <w: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function</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seen</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providing</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gatekeeper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mandatory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terms</w:t>
      </w:r>
      <w:proofErr w:type="spellEnd"/>
      <w:r w:rsidR="00BC0B1C" w:rsidRPr="00705170">
        <w:rPr>
          <w:rFonts w:ascii="Times New Roman" w:hAnsi="Times New Roman" w:cs="Times New Roman"/>
        </w:rPr>
        <w:t>)</w:t>
      </w:r>
      <w:r w:rsidR="008D1517" w:rsidRPr="00705170">
        <w:rPr>
          <w:rFonts w:ascii="Times New Roman" w:hAnsi="Times New Roman" w:cs="Times New Roman"/>
        </w:rPr>
        <w:t>,</w:t>
      </w:r>
      <w:r w:rsidRPr="00705170">
        <w:rPr>
          <w:rFonts w:ascii="Times New Roman" w:hAnsi="Times New Roman" w:cs="Times New Roman"/>
        </w:rPr>
        <w:t xml:space="preserve"> </w:t>
      </w:r>
      <w:proofErr w:type="spellStart"/>
      <w:r w:rsidR="00467EF6" w:rsidRPr="00705170">
        <w:rPr>
          <w:rFonts w:ascii="Times New Roman" w:hAnsi="Times New Roman" w:cs="Times New Roman"/>
        </w:rPr>
        <w:t>and</w:t>
      </w:r>
      <w:proofErr w:type="spellEnd"/>
      <w:r w:rsidR="00467EF6" w:rsidRPr="00705170">
        <w:rPr>
          <w:rFonts w:ascii="Times New Roman" w:hAnsi="Times New Roman" w:cs="Times New Roman"/>
        </w:rPr>
        <w:t xml:space="preserve"> </w:t>
      </w:r>
      <w:r w:rsidRPr="00705170">
        <w:rPr>
          <w:rFonts w:ascii="Times New Roman" w:hAnsi="Times New Roman" w:cs="Times New Roman"/>
        </w:rPr>
        <w:t xml:space="preserve">(3)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uncertainity</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le</w:t>
      </w:r>
      <w:r w:rsidR="008D1517" w:rsidRPr="00705170">
        <w:rPr>
          <w:rFonts w:ascii="Times New Roman" w:hAnsi="Times New Roman" w:cs="Times New Roman"/>
        </w:rPr>
        <w:t xml:space="preserve">gal </w:t>
      </w:r>
      <w:proofErr w:type="spellStart"/>
      <w:r w:rsidR="008D1517" w:rsidRPr="00705170">
        <w:rPr>
          <w:rFonts w:ascii="Times New Roman" w:hAnsi="Times New Roman" w:cs="Times New Roman"/>
        </w:rPr>
        <w:t>document</w:t>
      </w:r>
      <w:proofErr w:type="spellEnd"/>
      <w:r w:rsidR="008D1517" w:rsidRPr="00705170">
        <w:rPr>
          <w:rFonts w:ascii="Times New Roman" w:hAnsi="Times New Roman" w:cs="Times New Roman"/>
        </w:rPr>
        <w:t xml:space="preserve"> </w:t>
      </w:r>
      <w:r w:rsidR="00D53495" w:rsidRPr="00705170">
        <w:rPr>
          <w:rFonts w:ascii="Times New Roman" w:hAnsi="Times New Roman" w:cs="Times New Roman"/>
        </w:rPr>
        <w:t>(</w:t>
      </w:r>
      <w:proofErr w:type="spellStart"/>
      <w:r w:rsidR="00403CE5" w:rsidRPr="00705170">
        <w:rPr>
          <w:rFonts w:ascii="Times New Roman" w:hAnsi="Times New Roman" w:cs="Times New Roman"/>
        </w:rPr>
        <w:t>e.g</w:t>
      </w:r>
      <w:proofErr w:type="spellEnd"/>
      <w:r w:rsidR="00403CE5" w:rsidRPr="00705170">
        <w:rPr>
          <w:rFonts w:ascii="Times New Roman" w:hAnsi="Times New Roman" w:cs="Times New Roman"/>
        </w:rPr>
        <w:t xml:space="preserve">., </w:t>
      </w:r>
      <w:proofErr w:type="spellStart"/>
      <w:r w:rsidR="00D53495" w:rsidRPr="00705170">
        <w:rPr>
          <w:rFonts w:ascii="Times New Roman" w:hAnsi="Times New Roman" w:cs="Times New Roman"/>
        </w:rPr>
        <w:t>articles</w:t>
      </w:r>
      <w:proofErr w:type="spellEnd"/>
      <w:r w:rsidR="00D53495" w:rsidRPr="00705170">
        <w:rPr>
          <w:rFonts w:ascii="Times New Roman" w:hAnsi="Times New Roman" w:cs="Times New Roman"/>
        </w:rPr>
        <w:t xml:space="preserve"> of </w:t>
      </w:r>
      <w:proofErr w:type="spellStart"/>
      <w:r w:rsidR="00D53495" w:rsidRPr="00705170">
        <w:rPr>
          <w:rFonts w:ascii="Times New Roman" w:hAnsi="Times New Roman" w:cs="Times New Roman"/>
        </w:rPr>
        <w:t>incorporation</w:t>
      </w:r>
      <w:proofErr w:type="spellEnd"/>
      <w:r w:rsidR="00D53495" w:rsidRPr="00705170">
        <w:rPr>
          <w:rFonts w:ascii="Times New Roman" w:hAnsi="Times New Roman" w:cs="Times New Roman"/>
        </w:rPr>
        <w:t xml:space="preserve">, </w:t>
      </w:r>
      <w:proofErr w:type="spellStart"/>
      <w:r w:rsidR="00D53495" w:rsidRPr="00705170">
        <w:rPr>
          <w:rFonts w:ascii="Times New Roman" w:hAnsi="Times New Roman" w:cs="Times New Roman"/>
        </w:rPr>
        <w:t>shareholders</w:t>
      </w:r>
      <w:proofErr w:type="spellEnd"/>
      <w:r w:rsidR="00D53495" w:rsidRPr="00705170">
        <w:rPr>
          <w:rFonts w:ascii="Times New Roman" w:hAnsi="Times New Roman" w:cs="Times New Roman"/>
        </w:rPr>
        <w:t xml:space="preserve">’ </w:t>
      </w:r>
      <w:proofErr w:type="spellStart"/>
      <w:r w:rsidR="00D53495" w:rsidRPr="00705170">
        <w:rPr>
          <w:rFonts w:ascii="Times New Roman" w:hAnsi="Times New Roman" w:cs="Times New Roman"/>
        </w:rPr>
        <w:t>agreement</w:t>
      </w:r>
      <w:proofErr w:type="spellEnd"/>
      <w:r w:rsidR="00D53495" w:rsidRPr="00705170">
        <w:rPr>
          <w:rFonts w:ascii="Times New Roman" w:hAnsi="Times New Roman" w:cs="Times New Roman"/>
        </w:rPr>
        <w:t xml:space="preserve"> </w:t>
      </w:r>
      <w:proofErr w:type="spellStart"/>
      <w:r w:rsidR="00D53495" w:rsidRPr="00705170">
        <w:rPr>
          <w:rFonts w:ascii="Times New Roman" w:hAnsi="Times New Roman" w:cs="Times New Roman"/>
        </w:rPr>
        <w:t>consisting</w:t>
      </w:r>
      <w:proofErr w:type="spellEnd"/>
      <w:r w:rsidR="00D53495" w:rsidRPr="00705170">
        <w:rPr>
          <w:rFonts w:ascii="Times New Roman" w:hAnsi="Times New Roman" w:cs="Times New Roman"/>
        </w:rPr>
        <w:t xml:space="preserve"> of </w:t>
      </w:r>
      <w:proofErr w:type="spellStart"/>
      <w:r w:rsidR="00D53495" w:rsidRPr="00705170">
        <w:rPr>
          <w:rFonts w:ascii="Times New Roman" w:hAnsi="Times New Roman" w:cs="Times New Roman"/>
        </w:rPr>
        <w:t>all</w:t>
      </w:r>
      <w:proofErr w:type="spellEnd"/>
      <w:r w:rsidR="00D53495" w:rsidRPr="00705170">
        <w:rPr>
          <w:rFonts w:ascii="Times New Roman" w:hAnsi="Times New Roman" w:cs="Times New Roman"/>
        </w:rPr>
        <w:t xml:space="preserve"> </w:t>
      </w:r>
      <w:proofErr w:type="spellStart"/>
      <w:r w:rsidR="00D53495" w:rsidRPr="00705170">
        <w:rPr>
          <w:rFonts w:ascii="Times New Roman" w:hAnsi="Times New Roman" w:cs="Times New Roman"/>
        </w:rPr>
        <w:t>shareholders</w:t>
      </w:r>
      <w:proofErr w:type="spellEnd"/>
      <w:r w:rsidR="00D53495" w:rsidRPr="00705170">
        <w:rPr>
          <w:rFonts w:ascii="Times New Roman" w:hAnsi="Times New Roman" w:cs="Times New Roman"/>
        </w:rPr>
        <w:t xml:space="preserve">, </w:t>
      </w:r>
      <w:proofErr w:type="spellStart"/>
      <w:r w:rsidR="00D53495" w:rsidRPr="00705170">
        <w:rPr>
          <w:rFonts w:ascii="Times New Roman" w:hAnsi="Times New Roman" w:cs="Times New Roman"/>
        </w:rPr>
        <w:t>or</w:t>
      </w:r>
      <w:proofErr w:type="spellEnd"/>
      <w:r w:rsidR="00D53495" w:rsidRPr="00705170">
        <w:rPr>
          <w:rFonts w:ascii="Times New Roman" w:hAnsi="Times New Roman" w:cs="Times New Roman"/>
        </w:rPr>
        <w:t xml:space="preserve"> </w:t>
      </w:r>
      <w:proofErr w:type="spellStart"/>
      <w:r w:rsidR="00D53495" w:rsidRPr="00705170">
        <w:rPr>
          <w:rFonts w:ascii="Times New Roman" w:hAnsi="Times New Roman" w:cs="Times New Roman"/>
        </w:rPr>
        <w:t>shareholders</w:t>
      </w:r>
      <w:proofErr w:type="spellEnd"/>
      <w:r w:rsidR="00D53495" w:rsidRPr="00705170">
        <w:rPr>
          <w:rFonts w:ascii="Times New Roman" w:hAnsi="Times New Roman" w:cs="Times New Roman"/>
        </w:rPr>
        <w:t xml:space="preserve">’ </w:t>
      </w:r>
      <w:proofErr w:type="spellStart"/>
      <w:r w:rsidR="00D53495" w:rsidRPr="00705170">
        <w:rPr>
          <w:rFonts w:ascii="Times New Roman" w:hAnsi="Times New Roman" w:cs="Times New Roman"/>
        </w:rPr>
        <w:t>agreement</w:t>
      </w:r>
      <w:proofErr w:type="spellEnd"/>
      <w:r w:rsidR="00D53495" w:rsidRPr="00705170">
        <w:rPr>
          <w:rFonts w:ascii="Times New Roman" w:hAnsi="Times New Roman" w:cs="Times New Roman"/>
        </w:rPr>
        <w:t xml:space="preserve"> </w:t>
      </w:r>
      <w:proofErr w:type="spellStart"/>
      <w:r w:rsidR="00D53495" w:rsidRPr="00705170">
        <w:rPr>
          <w:rFonts w:ascii="Times New Roman" w:hAnsi="Times New Roman" w:cs="Times New Roman"/>
        </w:rPr>
        <w:t>consisting</w:t>
      </w:r>
      <w:proofErr w:type="spellEnd"/>
      <w:r w:rsidR="00D53495" w:rsidRPr="00705170">
        <w:rPr>
          <w:rFonts w:ascii="Times New Roman" w:hAnsi="Times New Roman" w:cs="Times New Roman"/>
        </w:rPr>
        <w:t xml:space="preserve"> of </w:t>
      </w:r>
      <w:proofErr w:type="spellStart"/>
      <w:r w:rsidR="00D53495" w:rsidRPr="00705170">
        <w:rPr>
          <w:rFonts w:ascii="Times New Roman" w:hAnsi="Times New Roman" w:cs="Times New Roman"/>
        </w:rPr>
        <w:t>some</w:t>
      </w:r>
      <w:proofErr w:type="spellEnd"/>
      <w:r w:rsidR="00D53495" w:rsidRPr="00705170">
        <w:rPr>
          <w:rFonts w:ascii="Times New Roman" w:hAnsi="Times New Roman" w:cs="Times New Roman"/>
        </w:rPr>
        <w:t xml:space="preserve"> </w:t>
      </w:r>
      <w:proofErr w:type="spellStart"/>
      <w:r w:rsidR="00D53495" w:rsidRPr="00705170">
        <w:rPr>
          <w:rFonts w:ascii="Times New Roman" w:hAnsi="Times New Roman" w:cs="Times New Roman"/>
        </w:rPr>
        <w:t>shareholders</w:t>
      </w:r>
      <w:proofErr w:type="spellEnd"/>
      <w:r w:rsidR="00403CE5" w:rsidRPr="00705170">
        <w:rPr>
          <w:rFonts w:ascii="Times New Roman" w:hAnsi="Times New Roman" w:cs="Times New Roman"/>
        </w:rPr>
        <w:t xml:space="preserve">, </w:t>
      </w:r>
      <w:proofErr w:type="spellStart"/>
      <w:r w:rsidR="00403CE5" w:rsidRPr="00705170">
        <w:rPr>
          <w:rFonts w:ascii="Times New Roman" w:hAnsi="Times New Roman" w:cs="Times New Roman"/>
        </w:rPr>
        <w:t>bylaws</w:t>
      </w:r>
      <w:proofErr w:type="spellEnd"/>
      <w:r w:rsidR="00403CE5" w:rsidRPr="00705170">
        <w:rPr>
          <w:rFonts w:ascii="Times New Roman" w:hAnsi="Times New Roman" w:cs="Times New Roman"/>
        </w:rPr>
        <w:t xml:space="preserve">, </w:t>
      </w:r>
      <w:proofErr w:type="spellStart"/>
      <w:r w:rsidR="00403CE5" w:rsidRPr="00705170">
        <w:rPr>
          <w:rFonts w:ascii="Times New Roman" w:hAnsi="Times New Roman" w:cs="Times New Roman"/>
        </w:rPr>
        <w:t>disclosure</w:t>
      </w:r>
      <w:proofErr w:type="spellEnd"/>
      <w:r w:rsidR="00403CE5" w:rsidRPr="00705170">
        <w:rPr>
          <w:rFonts w:ascii="Times New Roman" w:hAnsi="Times New Roman" w:cs="Times New Roman"/>
        </w:rPr>
        <w:t xml:space="preserve"> </w:t>
      </w:r>
      <w:proofErr w:type="spellStart"/>
      <w:r w:rsidR="00403CE5" w:rsidRPr="00705170">
        <w:rPr>
          <w:rFonts w:ascii="Times New Roman" w:hAnsi="Times New Roman" w:cs="Times New Roman"/>
        </w:rPr>
        <w:t>documents</w:t>
      </w:r>
      <w:proofErr w:type="spellEnd"/>
      <w:r w:rsidR="00D53495" w:rsidRPr="00705170">
        <w:rPr>
          <w:rFonts w:ascii="Times New Roman" w:hAnsi="Times New Roman" w:cs="Times New Roman"/>
        </w:rPr>
        <w:t xml:space="preserve">) </w:t>
      </w:r>
      <w:proofErr w:type="spellStart"/>
      <w:r w:rsidR="008D1517" w:rsidRPr="00705170">
        <w:rPr>
          <w:rFonts w:ascii="Times New Roman" w:hAnsi="Times New Roman" w:cs="Times New Roman"/>
        </w:rPr>
        <w:t>should</w:t>
      </w:r>
      <w:proofErr w:type="spellEnd"/>
      <w:r w:rsidR="008D1517" w:rsidRPr="00705170">
        <w:rPr>
          <w:rFonts w:ascii="Times New Roman" w:hAnsi="Times New Roman" w:cs="Times New Roman"/>
        </w:rPr>
        <w:t xml:space="preserve"> </w:t>
      </w:r>
      <w:proofErr w:type="spellStart"/>
      <w:r w:rsidR="008D1517" w:rsidRPr="00705170">
        <w:rPr>
          <w:rFonts w:ascii="Times New Roman" w:hAnsi="Times New Roman" w:cs="Times New Roman"/>
        </w:rPr>
        <w:t>include</w:t>
      </w:r>
      <w:proofErr w:type="spellEnd"/>
      <w:r w:rsidR="008D1517" w:rsidRPr="00705170">
        <w:rPr>
          <w:rFonts w:ascii="Times New Roman" w:hAnsi="Times New Roman" w:cs="Times New Roman"/>
        </w:rPr>
        <w:t xml:space="preserve"> </w:t>
      </w:r>
      <w:proofErr w:type="spellStart"/>
      <w:r w:rsidR="008D1517" w:rsidRPr="00705170">
        <w:rPr>
          <w:rFonts w:ascii="Times New Roman" w:hAnsi="Times New Roman" w:cs="Times New Roman"/>
        </w:rPr>
        <w:t>the</w:t>
      </w:r>
      <w:proofErr w:type="spellEnd"/>
      <w:r w:rsidR="008D1517" w:rsidRPr="00705170">
        <w:rPr>
          <w:rFonts w:ascii="Times New Roman" w:hAnsi="Times New Roman" w:cs="Times New Roman"/>
        </w:rPr>
        <w:t xml:space="preserve"> </w:t>
      </w:r>
      <w:proofErr w:type="spellStart"/>
      <w:r w:rsidR="008D1517" w:rsidRPr="00705170">
        <w:rPr>
          <w:rFonts w:ascii="Times New Roman" w:hAnsi="Times New Roman" w:cs="Times New Roman"/>
        </w:rPr>
        <w:t>interpr</w:t>
      </w:r>
      <w:r w:rsidR="00403CE5" w:rsidRPr="00705170">
        <w:rPr>
          <w:rFonts w:ascii="Times New Roman" w:hAnsi="Times New Roman" w:cs="Times New Roman"/>
        </w:rPr>
        <w:t>etation</w:t>
      </w:r>
      <w:proofErr w:type="spellEnd"/>
      <w:r w:rsidR="00403CE5" w:rsidRPr="00705170">
        <w:rPr>
          <w:rFonts w:ascii="Times New Roman" w:hAnsi="Times New Roman" w:cs="Times New Roman"/>
        </w:rPr>
        <w:t xml:space="preserve"> </w:t>
      </w:r>
      <w:proofErr w:type="spellStart"/>
      <w:r w:rsidR="00403CE5" w:rsidRPr="00705170">
        <w:rPr>
          <w:rFonts w:ascii="Times New Roman" w:hAnsi="Times New Roman" w:cs="Times New Roman"/>
        </w:rPr>
        <w:t>restriction</w:t>
      </w:r>
      <w:proofErr w:type="spellEnd"/>
      <w:r w:rsidR="00403CE5" w:rsidRPr="00705170">
        <w:rPr>
          <w:rFonts w:ascii="Times New Roman" w:hAnsi="Times New Roman" w:cs="Times New Roman"/>
        </w:rPr>
        <w:t xml:space="preserve"> </w:t>
      </w:r>
      <w:proofErr w:type="spellStart"/>
      <w:r w:rsidR="00403CE5" w:rsidRPr="00705170">
        <w:rPr>
          <w:rFonts w:ascii="Times New Roman" w:hAnsi="Times New Roman" w:cs="Times New Roman"/>
        </w:rPr>
        <w:t>term</w:t>
      </w:r>
      <w:proofErr w:type="spellEnd"/>
      <w:r w:rsidR="00467EF6" w:rsidRPr="00705170">
        <w:rPr>
          <w:rFonts w:ascii="Times New Roman" w:hAnsi="Times New Roman" w:cs="Times New Roman"/>
        </w:rPr>
        <w:t xml:space="preserve"> </w:t>
      </w:r>
      <w:proofErr w:type="spellStart"/>
      <w:r w:rsidR="00467EF6" w:rsidRPr="00705170">
        <w:rPr>
          <w:rFonts w:ascii="Times New Roman" w:hAnsi="Times New Roman" w:cs="Times New Roman"/>
        </w:rPr>
        <w:t>to</w:t>
      </w:r>
      <w:proofErr w:type="spellEnd"/>
      <w:r w:rsidR="00467EF6" w:rsidRPr="00705170">
        <w:rPr>
          <w:rFonts w:ascii="Times New Roman" w:hAnsi="Times New Roman" w:cs="Times New Roman"/>
        </w:rPr>
        <w:t xml:space="preserve"> </w:t>
      </w:r>
      <w:proofErr w:type="spellStart"/>
      <w:r w:rsidR="00467EF6" w:rsidRPr="00705170">
        <w:rPr>
          <w:rFonts w:ascii="Times New Roman" w:hAnsi="Times New Roman" w:cs="Times New Roman"/>
        </w:rPr>
        <w:t>provide</w:t>
      </w:r>
      <w:proofErr w:type="spellEnd"/>
      <w:r w:rsidR="00467EF6" w:rsidRPr="00705170">
        <w:rPr>
          <w:rFonts w:ascii="Times New Roman" w:hAnsi="Times New Roman" w:cs="Times New Roman"/>
        </w:rPr>
        <w:t xml:space="preserve"> a </w:t>
      </w:r>
      <w:proofErr w:type="spellStart"/>
      <w:r w:rsidR="00467EF6" w:rsidRPr="00705170">
        <w:rPr>
          <w:rFonts w:ascii="Times New Roman" w:hAnsi="Times New Roman" w:cs="Times New Roman"/>
        </w:rPr>
        <w:t>conclusive</w:t>
      </w:r>
      <w:proofErr w:type="spellEnd"/>
      <w:r w:rsidR="00467EF6" w:rsidRPr="00705170">
        <w:rPr>
          <w:rFonts w:ascii="Times New Roman" w:hAnsi="Times New Roman" w:cs="Times New Roman"/>
        </w:rPr>
        <w:t xml:space="preserve"> </w:t>
      </w:r>
      <w:proofErr w:type="spellStart"/>
      <w:r w:rsidR="00467EF6" w:rsidRPr="00705170">
        <w:rPr>
          <w:rFonts w:ascii="Times New Roman" w:hAnsi="Times New Roman" w:cs="Times New Roman"/>
        </w:rPr>
        <w:t>effect</w:t>
      </w:r>
      <w:proofErr w:type="spellEnd"/>
      <w:r w:rsidR="00A57E91" w:rsidRPr="00705170">
        <w:rPr>
          <w:rStyle w:val="DipnotBavurusu"/>
          <w:rFonts w:ascii="Times New Roman" w:hAnsi="Times New Roman" w:cs="Times New Roman"/>
        </w:rPr>
        <w:footnoteReference w:id="767"/>
      </w:r>
      <w:r w:rsidR="008D1517"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r w:rsidR="00956472">
        <w:rPr>
          <w:rFonts w:ascii="Times New Roman" w:hAnsi="Times New Roman" w:cs="Times New Roman"/>
        </w:rPr>
        <w:t xml:space="preserve">not </w:t>
      </w:r>
      <w:proofErr w:type="spellStart"/>
      <w:r w:rsidR="00956472">
        <w:rPr>
          <w:rFonts w:ascii="Times New Roman" w:hAnsi="Times New Roman" w:cs="Times New Roman"/>
        </w:rPr>
        <w:t>support</w:t>
      </w:r>
      <w:proofErr w:type="spellEnd"/>
      <w:r w:rsidR="00956472">
        <w:rPr>
          <w:rFonts w:ascii="Times New Roman" w:hAnsi="Times New Roman" w:cs="Times New Roman"/>
        </w:rPr>
        <w:t xml:space="preserve"> </w:t>
      </w:r>
      <w:proofErr w:type="spellStart"/>
      <w:r w:rsidR="00956472">
        <w:rPr>
          <w:rFonts w:ascii="Times New Roman" w:hAnsi="Times New Roman" w:cs="Times New Roman"/>
        </w:rPr>
        <w:t>restricting</w:t>
      </w:r>
      <w:proofErr w:type="spellEnd"/>
      <w:r w:rsidR="00956472">
        <w:rPr>
          <w:rFonts w:ascii="Times New Roman" w:hAnsi="Times New Roman" w:cs="Times New Roman"/>
        </w:rPr>
        <w:t xml:space="preserve"> </w:t>
      </w:r>
      <w:proofErr w:type="spellStart"/>
      <w:r w:rsidR="00956472">
        <w:rPr>
          <w:rFonts w:ascii="Times New Roman" w:hAnsi="Times New Roman" w:cs="Times New Roman"/>
        </w:rPr>
        <w:t>the</w:t>
      </w:r>
      <w:proofErr w:type="spellEnd"/>
      <w:r w:rsidR="00956472">
        <w:rPr>
          <w:rFonts w:ascii="Times New Roman" w:hAnsi="Times New Roman" w:cs="Times New Roman"/>
        </w:rPr>
        <w:t xml:space="preserve"> </w:t>
      </w:r>
      <w:proofErr w:type="spellStart"/>
      <w:r w:rsidR="00956472">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00956472">
        <w:rPr>
          <w:rFonts w:ascii="Times New Roman" w:hAnsi="Times New Roman" w:cs="Times New Roman"/>
        </w:rPr>
        <w:t>to</w:t>
      </w:r>
      <w:proofErr w:type="spellEnd"/>
      <w:r w:rsidR="00956472">
        <w:rPr>
          <w:rFonts w:ascii="Times New Roman" w:hAnsi="Times New Roman" w:cs="Times New Roman"/>
        </w:rPr>
        <w:t xml:space="preserve"> </w:t>
      </w:r>
      <w:proofErr w:type="spellStart"/>
      <w:r w:rsidR="00956472">
        <w:rPr>
          <w:rFonts w:ascii="Times New Roman" w:hAnsi="Times New Roman" w:cs="Times New Roman"/>
        </w:rPr>
        <w:t>close</w:t>
      </w:r>
      <w:proofErr w:type="spellEnd"/>
      <w:r w:rsidR="00956472">
        <w:rPr>
          <w:rFonts w:ascii="Times New Roman" w:hAnsi="Times New Roman" w:cs="Times New Roman"/>
        </w:rPr>
        <w:t xml:space="preserve"> </w:t>
      </w:r>
      <w:proofErr w:type="spellStart"/>
      <w:r w:rsidR="00956472">
        <w:rPr>
          <w:rFonts w:ascii="Times New Roman" w:hAnsi="Times New Roman" w:cs="Times New Roman"/>
        </w:rPr>
        <w:t>corporations</w:t>
      </w:r>
      <w:proofErr w:type="spellEnd"/>
      <w:r w:rsidR="00956472">
        <w:rPr>
          <w:rFonts w:ascii="Times New Roman" w:hAnsi="Times New Roman" w:cs="Times New Roman"/>
        </w:rPr>
        <w:t xml:space="preserve"> </w:t>
      </w:r>
      <w:r w:rsidR="005010F4" w:rsidRPr="00705170">
        <w:rPr>
          <w:rStyle w:val="DipnotBavurusu"/>
          <w:rFonts w:ascii="Times New Roman" w:hAnsi="Times New Roman" w:cs="Times New Roman"/>
        </w:rPr>
        <w:footnoteReference w:id="768"/>
      </w:r>
      <w:r w:rsidRPr="00705170">
        <w:rPr>
          <w:rFonts w:ascii="Times New Roman" w:hAnsi="Times New Roman" w:cs="Times New Roman"/>
        </w:rPr>
        <w:t>.</w:t>
      </w:r>
    </w:p>
    <w:p w14:paraId="17927A36" w14:textId="5EC5877A" w:rsidR="00A32196" w:rsidRPr="00705170" w:rsidRDefault="00F86CFF" w:rsidP="006554D7">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w:t>
      </w:r>
      <w:r w:rsidR="006554D7" w:rsidRPr="00705170">
        <w:rPr>
          <w:rFonts w:ascii="Times New Roman" w:hAnsi="Times New Roman" w:cs="Times New Roman"/>
        </w:rPr>
        <w:t>he</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wider</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public</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policy</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concerns</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interv</w:t>
      </w:r>
      <w:r w:rsidRPr="00705170">
        <w:rPr>
          <w:rFonts w:ascii="Times New Roman" w:hAnsi="Times New Roman" w:cs="Times New Roman"/>
        </w:rPr>
        <w:t>owen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rights</w:t>
      </w:r>
      <w:proofErr w:type="spellEnd"/>
      <w:r w:rsidRPr="00705170">
        <w:rPr>
          <w:rFonts w:ascii="Times New Roman" w:hAnsi="Times New Roman" w:cs="Times New Roman"/>
        </w:rPr>
        <w:t>’</w:t>
      </w:r>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mandatory</w:t>
      </w:r>
      <w:proofErr w:type="spellEnd"/>
      <w:r w:rsidR="006554D7" w:rsidRPr="00705170">
        <w:rPr>
          <w:rFonts w:ascii="Times New Roman" w:hAnsi="Times New Roman" w:cs="Times New Roman"/>
        </w:rPr>
        <w:t xml:space="preserve"> </w:t>
      </w:r>
      <w:proofErr w:type="spellStart"/>
      <w:r w:rsidR="006554D7" w:rsidRPr="00705170">
        <w:rPr>
          <w:rFonts w:ascii="Times New Roman" w:hAnsi="Times New Roman" w:cs="Times New Roman"/>
        </w:rPr>
        <w:t>imposition</w:t>
      </w:r>
      <w:proofErr w:type="spellEnd"/>
      <w:r w:rsidR="00C9037D" w:rsidRPr="00705170">
        <w:rPr>
          <w:rStyle w:val="DipnotBavurusu"/>
          <w:rFonts w:ascii="Times New Roman" w:hAnsi="Times New Roman" w:cs="Times New Roman"/>
        </w:rPr>
        <w:footnoteReference w:id="769"/>
      </w:r>
      <w:r w:rsidR="006554D7" w:rsidRPr="00705170">
        <w:rPr>
          <w:rFonts w:ascii="Times New Roman" w:hAnsi="Times New Roman" w:cs="Times New Roman"/>
        </w:rPr>
        <w:t xml:space="preserve">. </w:t>
      </w:r>
      <w:proofErr w:type="spellStart"/>
      <w:r w:rsidR="00382377" w:rsidRPr="00705170">
        <w:rPr>
          <w:rFonts w:ascii="Times New Roman" w:hAnsi="Times New Roman" w:cs="Times New Roman"/>
        </w:rPr>
        <w:t>Firstly</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d</w:t>
      </w:r>
      <w:r w:rsidR="001B3992" w:rsidRPr="00705170">
        <w:rPr>
          <w:rFonts w:ascii="Times New Roman" w:hAnsi="Times New Roman" w:cs="Times New Roman"/>
        </w:rPr>
        <w:t>ue</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to</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the</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undeniable</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importance</w:t>
      </w:r>
      <w:proofErr w:type="spellEnd"/>
      <w:r w:rsidR="001B3992" w:rsidRPr="00705170">
        <w:rPr>
          <w:rFonts w:ascii="Times New Roman" w:hAnsi="Times New Roman" w:cs="Times New Roman"/>
        </w:rPr>
        <w:t xml:space="preserve"> of </w:t>
      </w:r>
      <w:proofErr w:type="spellStart"/>
      <w:r w:rsidR="001B3992" w:rsidRPr="00705170">
        <w:rPr>
          <w:rFonts w:ascii="Times New Roman" w:hAnsi="Times New Roman" w:cs="Times New Roman"/>
        </w:rPr>
        <w:t>publicly</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lastRenderedPageBreak/>
        <w:t>traded</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corporations</w:t>
      </w:r>
      <w:proofErr w:type="spellEnd"/>
      <w:r w:rsidR="001B3992" w:rsidRPr="00705170">
        <w:rPr>
          <w:rFonts w:ascii="Times New Roman" w:hAnsi="Times New Roman" w:cs="Times New Roman"/>
        </w:rPr>
        <w:t xml:space="preserve"> in </w:t>
      </w:r>
      <w:proofErr w:type="spellStart"/>
      <w:r w:rsidR="001B3992" w:rsidRPr="00705170">
        <w:rPr>
          <w:rFonts w:ascii="Times New Roman" w:hAnsi="Times New Roman" w:cs="Times New Roman"/>
        </w:rPr>
        <w:t>economic</w:t>
      </w:r>
      <w:proofErr w:type="spellEnd"/>
      <w:r w:rsidR="001B3992" w:rsidRPr="00705170">
        <w:rPr>
          <w:rFonts w:ascii="Times New Roman" w:hAnsi="Times New Roman" w:cs="Times New Roman"/>
        </w:rPr>
        <w:t xml:space="preserve"> life of a </w:t>
      </w:r>
      <w:proofErr w:type="spellStart"/>
      <w:r w:rsidR="001B3992" w:rsidRPr="00705170">
        <w:rPr>
          <w:rFonts w:ascii="Times New Roman" w:hAnsi="Times New Roman" w:cs="Times New Roman"/>
        </w:rPr>
        <w:t>nation</w:t>
      </w:r>
      <w:proofErr w:type="spellEnd"/>
      <w:r w:rsidR="00CA7F45" w:rsidRPr="00705170">
        <w:rPr>
          <w:rStyle w:val="DipnotBavurusu"/>
          <w:rFonts w:ascii="Times New Roman" w:hAnsi="Times New Roman" w:cs="Times New Roman"/>
        </w:rPr>
        <w:footnoteReference w:id="770"/>
      </w:r>
      <w:r w:rsidR="001B3992" w:rsidRPr="00705170">
        <w:rPr>
          <w:rFonts w:ascii="Times New Roman" w:hAnsi="Times New Roman" w:cs="Times New Roman"/>
        </w:rPr>
        <w:t xml:space="preserve">, </w:t>
      </w:r>
      <w:proofErr w:type="spellStart"/>
      <w:r w:rsidR="009358C3" w:rsidRPr="00705170">
        <w:rPr>
          <w:rFonts w:ascii="Times New Roman" w:hAnsi="Times New Roman" w:cs="Times New Roman"/>
        </w:rPr>
        <w:t>the</w:t>
      </w:r>
      <w:proofErr w:type="spellEnd"/>
      <w:r w:rsidR="000E4BC1" w:rsidRPr="00705170">
        <w:rPr>
          <w:rFonts w:ascii="Times New Roman" w:hAnsi="Times New Roman" w:cs="Times New Roman"/>
        </w:rPr>
        <w:t xml:space="preserve"> </w:t>
      </w:r>
      <w:proofErr w:type="spellStart"/>
      <w:r w:rsidR="00A32196" w:rsidRPr="00705170">
        <w:rPr>
          <w:rFonts w:ascii="Times New Roman" w:hAnsi="Times New Roman" w:cs="Times New Roman"/>
        </w:rPr>
        <w:t>issue</w:t>
      </w:r>
      <w:r w:rsidR="000E4BC1" w:rsidRPr="00705170">
        <w:rPr>
          <w:rFonts w:ascii="Times New Roman" w:hAnsi="Times New Roman" w:cs="Times New Roman"/>
        </w:rPr>
        <w:t>s</w:t>
      </w:r>
      <w:proofErr w:type="spellEnd"/>
      <w:r w:rsidR="000E4BC1" w:rsidRPr="00705170">
        <w:rPr>
          <w:rFonts w:ascii="Times New Roman" w:hAnsi="Times New Roman" w:cs="Times New Roman"/>
        </w:rPr>
        <w:t xml:space="preserve"> </w:t>
      </w:r>
      <w:proofErr w:type="spellStart"/>
      <w:r w:rsidR="000E4BC1" w:rsidRPr="00705170">
        <w:rPr>
          <w:rFonts w:ascii="Times New Roman" w:hAnsi="Times New Roman" w:cs="Times New Roman"/>
        </w:rPr>
        <w:t>within</w:t>
      </w:r>
      <w:proofErr w:type="spellEnd"/>
      <w:r w:rsidR="000E4BC1" w:rsidRPr="00705170">
        <w:rPr>
          <w:rFonts w:ascii="Times New Roman" w:hAnsi="Times New Roman" w:cs="Times New Roman"/>
        </w:rPr>
        <w:t xml:space="preserve"> </w:t>
      </w:r>
      <w:proofErr w:type="spellStart"/>
      <w:r w:rsidR="000E4BC1" w:rsidRPr="00705170">
        <w:rPr>
          <w:rFonts w:ascii="Times New Roman" w:hAnsi="Times New Roman" w:cs="Times New Roman"/>
        </w:rPr>
        <w:t>the</w:t>
      </w:r>
      <w:proofErr w:type="spellEnd"/>
      <w:r w:rsidR="000E4BC1" w:rsidRPr="00705170">
        <w:rPr>
          <w:rFonts w:ascii="Times New Roman" w:hAnsi="Times New Roman" w:cs="Times New Roman"/>
        </w:rPr>
        <w:t xml:space="preserve"> </w:t>
      </w:r>
      <w:proofErr w:type="spellStart"/>
      <w:r w:rsidR="000E4BC1" w:rsidRPr="00705170">
        <w:rPr>
          <w:rFonts w:ascii="Times New Roman" w:hAnsi="Times New Roman" w:cs="Times New Roman"/>
        </w:rPr>
        <w:t>scope</w:t>
      </w:r>
      <w:proofErr w:type="spellEnd"/>
      <w:r w:rsidR="000E4BC1" w:rsidRPr="00705170">
        <w:rPr>
          <w:rFonts w:ascii="Times New Roman" w:hAnsi="Times New Roman" w:cs="Times New Roman"/>
        </w:rPr>
        <w:t xml:space="preserve"> of </w:t>
      </w:r>
      <w:proofErr w:type="spellStart"/>
      <w:r w:rsidR="000E4BC1" w:rsidRPr="00705170">
        <w:rPr>
          <w:rFonts w:ascii="Times New Roman" w:hAnsi="Times New Roman" w:cs="Times New Roman"/>
        </w:rPr>
        <w:t>the</w:t>
      </w:r>
      <w:proofErr w:type="spellEnd"/>
      <w:r w:rsidR="000E4BC1" w:rsidRPr="00705170">
        <w:rPr>
          <w:rFonts w:ascii="Times New Roman" w:hAnsi="Times New Roman" w:cs="Times New Roman"/>
        </w:rPr>
        <w:t xml:space="preserve"> </w:t>
      </w:r>
      <w:proofErr w:type="spellStart"/>
      <w:r w:rsidR="000E4BC1" w:rsidRPr="00705170">
        <w:rPr>
          <w:rFonts w:ascii="Times New Roman" w:hAnsi="Times New Roman" w:cs="Times New Roman"/>
        </w:rPr>
        <w:t>dissolution</w:t>
      </w:r>
      <w:proofErr w:type="spellEnd"/>
      <w:r w:rsidR="000E4BC1" w:rsidRPr="00705170">
        <w:rPr>
          <w:rFonts w:ascii="Times New Roman" w:hAnsi="Times New Roman" w:cs="Times New Roman"/>
        </w:rPr>
        <w:t xml:space="preserve"> </w:t>
      </w:r>
      <w:proofErr w:type="spellStart"/>
      <w:r w:rsidR="000E4BC1" w:rsidRPr="00705170">
        <w:rPr>
          <w:rFonts w:ascii="Times New Roman" w:hAnsi="Times New Roman" w:cs="Times New Roman"/>
        </w:rPr>
        <w:t>statute</w:t>
      </w:r>
      <w:proofErr w:type="spellEnd"/>
      <w:r w:rsidR="00A32196" w:rsidRPr="00705170">
        <w:rPr>
          <w:rFonts w:ascii="Times New Roman" w:hAnsi="Times New Roman" w:cs="Times New Roman"/>
        </w:rPr>
        <w:t xml:space="preserve"> </w:t>
      </w:r>
      <w:proofErr w:type="spellStart"/>
      <w:r w:rsidR="00A32196" w:rsidRPr="00705170">
        <w:rPr>
          <w:rFonts w:ascii="Times New Roman" w:hAnsi="Times New Roman" w:cs="Times New Roman"/>
        </w:rPr>
        <w:t>cannot</w:t>
      </w:r>
      <w:proofErr w:type="spellEnd"/>
      <w:r w:rsidR="00A32196" w:rsidRPr="00705170">
        <w:rPr>
          <w:rFonts w:ascii="Times New Roman" w:hAnsi="Times New Roman" w:cs="Times New Roman"/>
        </w:rPr>
        <w:t xml:space="preserve"> be </w:t>
      </w:r>
      <w:proofErr w:type="spellStart"/>
      <w:r w:rsidR="00A32196" w:rsidRPr="00705170">
        <w:rPr>
          <w:rFonts w:ascii="Times New Roman" w:hAnsi="Times New Roman" w:cs="Times New Roman"/>
        </w:rPr>
        <w:t>simply</w:t>
      </w:r>
      <w:proofErr w:type="spellEnd"/>
      <w:r w:rsidR="00A32196" w:rsidRPr="00705170">
        <w:rPr>
          <w:rFonts w:ascii="Times New Roman" w:hAnsi="Times New Roman" w:cs="Times New Roman"/>
        </w:rPr>
        <w:t xml:space="preserve"> </w:t>
      </w:r>
      <w:proofErr w:type="spellStart"/>
      <w:r w:rsidR="00A32196" w:rsidRPr="00705170">
        <w:rPr>
          <w:rFonts w:ascii="Times New Roman" w:hAnsi="Times New Roman" w:cs="Times New Roman"/>
        </w:rPr>
        <w:t>left</w:t>
      </w:r>
      <w:proofErr w:type="spellEnd"/>
      <w:r w:rsidR="00A32196" w:rsidRPr="00705170">
        <w:rPr>
          <w:rFonts w:ascii="Times New Roman" w:hAnsi="Times New Roman" w:cs="Times New Roman"/>
        </w:rPr>
        <w:t xml:space="preserve"> </w:t>
      </w:r>
      <w:proofErr w:type="spellStart"/>
      <w:r w:rsidR="00A32196" w:rsidRPr="00705170">
        <w:rPr>
          <w:rFonts w:ascii="Times New Roman" w:hAnsi="Times New Roman" w:cs="Times New Roman"/>
        </w:rPr>
        <w:t>to</w:t>
      </w:r>
      <w:proofErr w:type="spellEnd"/>
      <w:r w:rsidR="00A32196" w:rsidRPr="00705170">
        <w:rPr>
          <w:rFonts w:ascii="Times New Roman" w:hAnsi="Times New Roman" w:cs="Times New Roman"/>
        </w:rPr>
        <w:t xml:space="preserve"> </w:t>
      </w:r>
      <w:proofErr w:type="spellStart"/>
      <w:r w:rsidR="00A32196" w:rsidRPr="00705170">
        <w:rPr>
          <w:rFonts w:ascii="Times New Roman" w:hAnsi="Times New Roman" w:cs="Times New Roman"/>
        </w:rPr>
        <w:t>markets</w:t>
      </w:r>
      <w:proofErr w:type="spellEnd"/>
      <w:r w:rsidR="00AB132D" w:rsidRPr="00705170">
        <w:rPr>
          <w:rStyle w:val="DipnotBavurusu"/>
          <w:rFonts w:ascii="Times New Roman" w:hAnsi="Times New Roman" w:cs="Times New Roman"/>
        </w:rPr>
        <w:footnoteReference w:id="771"/>
      </w:r>
      <w:r w:rsidR="00861D8C" w:rsidRPr="00705170">
        <w:rPr>
          <w:rFonts w:ascii="Times New Roman" w:hAnsi="Times New Roman" w:cs="Times New Roman"/>
        </w:rPr>
        <w:t xml:space="preserve">. </w:t>
      </w:r>
      <w:proofErr w:type="spellStart"/>
      <w:r w:rsidR="006E1112" w:rsidRPr="00705170">
        <w:rPr>
          <w:rFonts w:ascii="Times New Roman" w:hAnsi="Times New Roman" w:cs="Times New Roman"/>
        </w:rPr>
        <w:t>The</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reliefs</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that</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the</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court</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may</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order</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such</w:t>
      </w:r>
      <w:proofErr w:type="spellEnd"/>
      <w:r w:rsidR="006E1112" w:rsidRPr="00705170">
        <w:rPr>
          <w:rFonts w:ascii="Times New Roman" w:hAnsi="Times New Roman" w:cs="Times New Roman"/>
        </w:rPr>
        <w:t xml:space="preserve"> as </w:t>
      </w:r>
      <w:proofErr w:type="spellStart"/>
      <w:r w:rsidR="006E1112" w:rsidRPr="00705170">
        <w:rPr>
          <w:rFonts w:ascii="Times New Roman" w:hAnsi="Times New Roman" w:cs="Times New Roman"/>
        </w:rPr>
        <w:t>dissolution</w:t>
      </w:r>
      <w:proofErr w:type="spellEnd"/>
      <w:r w:rsidR="006E1112" w:rsidRPr="00705170">
        <w:rPr>
          <w:rFonts w:ascii="Times New Roman" w:hAnsi="Times New Roman" w:cs="Times New Roman"/>
        </w:rPr>
        <w:t xml:space="preserve">, buy- </w:t>
      </w:r>
      <w:proofErr w:type="spellStart"/>
      <w:r w:rsidR="006E1112" w:rsidRPr="00705170">
        <w:rPr>
          <w:rFonts w:ascii="Times New Roman" w:hAnsi="Times New Roman" w:cs="Times New Roman"/>
        </w:rPr>
        <w:t>out</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or</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compensation</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would</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undeniable</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effect</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the</w:t>
      </w:r>
      <w:proofErr w:type="spellEnd"/>
      <w:r w:rsidR="006E1112" w:rsidRPr="00705170">
        <w:rPr>
          <w:rFonts w:ascii="Times New Roman" w:hAnsi="Times New Roman" w:cs="Times New Roman"/>
        </w:rPr>
        <w:t xml:space="preserve"> market, </w:t>
      </w:r>
      <w:proofErr w:type="spellStart"/>
      <w:r w:rsidR="006E1112" w:rsidRPr="00705170">
        <w:rPr>
          <w:rFonts w:ascii="Times New Roman" w:hAnsi="Times New Roman" w:cs="Times New Roman"/>
        </w:rPr>
        <w:t>investors</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creditors</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and</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the</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public</w:t>
      </w:r>
      <w:proofErr w:type="spellEnd"/>
      <w:r w:rsidR="006E1112" w:rsidRPr="00705170">
        <w:rPr>
          <w:rFonts w:ascii="Times New Roman" w:hAnsi="Times New Roman" w:cs="Times New Roman"/>
        </w:rPr>
        <w:t xml:space="preserve"> in </w:t>
      </w:r>
      <w:proofErr w:type="spellStart"/>
      <w:r w:rsidR="006E1112" w:rsidRPr="00705170">
        <w:rPr>
          <w:rFonts w:ascii="Times New Roman" w:hAnsi="Times New Roman" w:cs="Times New Roman"/>
        </w:rPr>
        <w:t>large</w:t>
      </w:r>
      <w:proofErr w:type="spellEnd"/>
      <w:r w:rsidR="006E1112" w:rsidRPr="00705170">
        <w:rPr>
          <w:rFonts w:ascii="Times New Roman" w:hAnsi="Times New Roman" w:cs="Times New Roman"/>
        </w:rPr>
        <w:t xml:space="preserve">. </w:t>
      </w:r>
      <w:proofErr w:type="spellStart"/>
      <w:r w:rsidR="006E1112" w:rsidRPr="00705170">
        <w:rPr>
          <w:rFonts w:ascii="Times New Roman" w:hAnsi="Times New Roman" w:cs="Times New Roman"/>
        </w:rPr>
        <w:t>Secondly</w:t>
      </w:r>
      <w:proofErr w:type="spellEnd"/>
      <w:r w:rsidR="006E1112" w:rsidRPr="00705170">
        <w:rPr>
          <w:rFonts w:ascii="Times New Roman" w:hAnsi="Times New Roman" w:cs="Times New Roman"/>
        </w:rPr>
        <w:t xml:space="preserve">, </w:t>
      </w:r>
      <w:proofErr w:type="spellStart"/>
      <w:r w:rsidR="00F85877" w:rsidRPr="00705170">
        <w:rPr>
          <w:rFonts w:ascii="Times New Roman" w:hAnsi="Times New Roman" w:cs="Times New Roman"/>
        </w:rPr>
        <w:t>if</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majority</w:t>
      </w:r>
      <w:proofErr w:type="spellEnd"/>
      <w:r w:rsidR="00F85877" w:rsidRPr="00705170">
        <w:rPr>
          <w:rFonts w:ascii="Times New Roman" w:hAnsi="Times New Roman" w:cs="Times New Roman"/>
        </w:rPr>
        <w:t xml:space="preserve"> of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1B3992" w:rsidRPr="00705170">
        <w:rPr>
          <w:rFonts w:ascii="Times New Roman" w:hAnsi="Times New Roman" w:cs="Times New Roman"/>
        </w:rPr>
        <w:t>market’s</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leading</w:t>
      </w:r>
      <w:proofErr w:type="spellEnd"/>
      <w:r w:rsidR="001B3992" w:rsidRPr="00705170">
        <w:rPr>
          <w:rFonts w:ascii="Times New Roman" w:hAnsi="Times New Roman" w:cs="Times New Roman"/>
        </w:rPr>
        <w:t xml:space="preserve"> </w:t>
      </w:r>
      <w:proofErr w:type="spellStart"/>
      <w:r w:rsidR="001B3992" w:rsidRPr="00705170">
        <w:rPr>
          <w:rFonts w:ascii="Times New Roman" w:hAnsi="Times New Roman" w:cs="Times New Roman"/>
        </w:rPr>
        <w:t>corporations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refuses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to</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offer</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better</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arrangements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investors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only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viable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options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will</w:t>
      </w:r>
      <w:proofErr w:type="spellEnd"/>
      <w:r w:rsidR="00F85877" w:rsidRPr="00705170">
        <w:rPr>
          <w:rFonts w:ascii="Times New Roman" w:hAnsi="Times New Roman" w:cs="Times New Roman"/>
        </w:rPr>
        <w:t xml:space="preserve"> be </w:t>
      </w:r>
      <w:proofErr w:type="spellStart"/>
      <w:r w:rsidR="00F85877" w:rsidRPr="00705170">
        <w:rPr>
          <w:rFonts w:ascii="Times New Roman" w:hAnsi="Times New Roman" w:cs="Times New Roman"/>
        </w:rPr>
        <w:t>to</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either</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invest</w:t>
      </w:r>
      <w:proofErr w:type="spellEnd"/>
      <w:r w:rsidR="00F85877" w:rsidRPr="00705170">
        <w:rPr>
          <w:rFonts w:ascii="Times New Roman" w:hAnsi="Times New Roman" w:cs="Times New Roman"/>
        </w:rPr>
        <w:t xml:space="preserve"> in </w:t>
      </w:r>
      <w:proofErr w:type="spellStart"/>
      <w:r w:rsidR="00F85877" w:rsidRPr="00705170">
        <w:rPr>
          <w:rFonts w:ascii="Times New Roman" w:hAnsi="Times New Roman" w:cs="Times New Roman"/>
        </w:rPr>
        <w:t>unwillingly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or</w:t>
      </w:r>
      <w:proofErr w:type="spellEnd"/>
      <w:r w:rsidR="00F85877" w:rsidRPr="00705170">
        <w:rPr>
          <w:rFonts w:ascii="Times New Roman" w:hAnsi="Times New Roman" w:cs="Times New Roman"/>
        </w:rPr>
        <w:t xml:space="preserve"> not </w:t>
      </w:r>
      <w:proofErr w:type="spellStart"/>
      <w:r w:rsidR="00F85877" w:rsidRPr="00705170">
        <w:rPr>
          <w:rFonts w:ascii="Times New Roman" w:hAnsi="Times New Roman" w:cs="Times New Roman"/>
        </w:rPr>
        <w:t>invest</w:t>
      </w:r>
      <w:proofErr w:type="spellEnd"/>
      <w:r w:rsidR="00F85877" w:rsidRPr="00705170">
        <w:rPr>
          <w:rFonts w:ascii="Times New Roman" w:hAnsi="Times New Roman" w:cs="Times New Roman"/>
        </w:rPr>
        <w:t xml:space="preserve"> in </w:t>
      </w:r>
      <w:proofErr w:type="spellStart"/>
      <w:r w:rsidR="00F85877" w:rsidRPr="00705170">
        <w:rPr>
          <w:rFonts w:ascii="Times New Roman" w:hAnsi="Times New Roman" w:cs="Times New Roman"/>
        </w:rPr>
        <w:t>stock</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markets</w:t>
      </w:r>
      <w:proofErr w:type="spellEnd"/>
      <w:r w:rsidR="00F85877" w:rsidRPr="00705170">
        <w:rPr>
          <w:rFonts w:ascii="Times New Roman" w:hAnsi="Times New Roman" w:cs="Times New Roman"/>
        </w:rPr>
        <w:t xml:space="preserve"> at </w:t>
      </w:r>
      <w:proofErr w:type="spellStart"/>
      <w:r w:rsidR="00F85877" w:rsidRPr="00705170">
        <w:rPr>
          <w:rFonts w:ascii="Times New Roman" w:hAnsi="Times New Roman" w:cs="Times New Roman"/>
        </w:rPr>
        <w:t>all</w:t>
      </w:r>
      <w:proofErr w:type="spellEnd"/>
      <w:r w:rsidR="00F85877" w:rsidRPr="00705170">
        <w:rPr>
          <w:rFonts w:ascii="Times New Roman" w:hAnsi="Times New Roman" w:cs="Times New Roman"/>
        </w:rPr>
        <w:t>,</w:t>
      </w:r>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and</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potential</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sources</w:t>
      </w:r>
      <w:proofErr w:type="spellEnd"/>
      <w:r w:rsidR="00AB132D" w:rsidRPr="00705170">
        <w:rPr>
          <w:rFonts w:ascii="Times New Roman" w:hAnsi="Times New Roman" w:cs="Times New Roman"/>
        </w:rPr>
        <w:t xml:space="preserve"> of </w:t>
      </w:r>
      <w:proofErr w:type="spellStart"/>
      <w:r w:rsidR="00AB132D" w:rsidRPr="00705170">
        <w:rPr>
          <w:rFonts w:ascii="Times New Roman" w:hAnsi="Times New Roman" w:cs="Times New Roman"/>
        </w:rPr>
        <w:t>the</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capital</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for</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corporations</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will</w:t>
      </w:r>
      <w:proofErr w:type="spellEnd"/>
      <w:r w:rsidR="00AB132D" w:rsidRPr="00705170">
        <w:rPr>
          <w:rFonts w:ascii="Times New Roman" w:hAnsi="Times New Roman" w:cs="Times New Roman"/>
        </w:rPr>
        <w:t xml:space="preserve"> be </w:t>
      </w:r>
      <w:proofErr w:type="spellStart"/>
      <w:r w:rsidR="00AB132D" w:rsidRPr="00705170">
        <w:rPr>
          <w:rFonts w:ascii="Times New Roman" w:hAnsi="Times New Roman" w:cs="Times New Roman"/>
        </w:rPr>
        <w:t>squandered</w:t>
      </w:r>
      <w:proofErr w:type="spellEnd"/>
      <w:r w:rsidR="00AB132D" w:rsidRPr="00705170">
        <w:rPr>
          <w:rStyle w:val="DipnotBavurusu"/>
          <w:rFonts w:ascii="Times New Roman" w:hAnsi="Times New Roman" w:cs="Times New Roman"/>
        </w:rPr>
        <w:footnoteReference w:id="772"/>
      </w:r>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Investors</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would</w:t>
      </w:r>
      <w:proofErr w:type="spellEnd"/>
      <w:r w:rsidR="00AB132D" w:rsidRPr="00705170">
        <w:rPr>
          <w:rFonts w:ascii="Times New Roman" w:hAnsi="Times New Roman" w:cs="Times New Roman"/>
        </w:rPr>
        <w:t xml:space="preserve"> </w:t>
      </w:r>
      <w:proofErr w:type="spellStart"/>
      <w:r w:rsidR="00113D09" w:rsidRPr="00705170">
        <w:rPr>
          <w:rFonts w:ascii="Times New Roman" w:hAnsi="Times New Roman" w:cs="Times New Roman"/>
        </w:rPr>
        <w:t>likely</w:t>
      </w:r>
      <w:proofErr w:type="spellEnd"/>
      <w:r w:rsidR="00113D09" w:rsidRPr="00705170">
        <w:rPr>
          <w:rFonts w:ascii="Times New Roman" w:hAnsi="Times New Roman" w:cs="Times New Roman"/>
        </w:rPr>
        <w:t xml:space="preserve"> </w:t>
      </w:r>
      <w:proofErr w:type="spellStart"/>
      <w:r w:rsidR="00AB132D" w:rsidRPr="00705170">
        <w:rPr>
          <w:rFonts w:ascii="Times New Roman" w:hAnsi="Times New Roman" w:cs="Times New Roman"/>
        </w:rPr>
        <w:t>hesistate</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to</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venture</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their</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capital</w:t>
      </w:r>
      <w:proofErr w:type="spellEnd"/>
      <w:r w:rsidR="00AB132D" w:rsidRPr="00705170">
        <w:rPr>
          <w:rFonts w:ascii="Times New Roman" w:hAnsi="Times New Roman" w:cs="Times New Roman"/>
        </w:rPr>
        <w:t xml:space="preserve"> in a market </w:t>
      </w:r>
      <w:proofErr w:type="spellStart"/>
      <w:r w:rsidR="00AB132D" w:rsidRPr="00705170">
        <w:rPr>
          <w:rFonts w:ascii="Times New Roman" w:hAnsi="Times New Roman" w:cs="Times New Roman"/>
        </w:rPr>
        <w:t>where</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expectation</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frustrating</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conducts</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are</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unchecked</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by</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law</w:t>
      </w:r>
      <w:proofErr w:type="spellEnd"/>
      <w:r w:rsidR="00AB132D" w:rsidRPr="00705170">
        <w:rPr>
          <w:rStyle w:val="DipnotBavurusu"/>
          <w:rFonts w:ascii="Times New Roman" w:hAnsi="Times New Roman" w:cs="Times New Roman"/>
        </w:rPr>
        <w:footnoteReference w:id="773"/>
      </w:r>
      <w:r w:rsidR="00AB132D" w:rsidRPr="00705170">
        <w:rPr>
          <w:rFonts w:ascii="Times New Roman" w:hAnsi="Times New Roman" w:cs="Times New Roman"/>
        </w:rPr>
        <w:t xml:space="preserve">. </w:t>
      </w:r>
      <w:proofErr w:type="spellStart"/>
      <w:r w:rsidR="00113D09" w:rsidRPr="00705170">
        <w:rPr>
          <w:rFonts w:ascii="Times New Roman" w:hAnsi="Times New Roman" w:cs="Times New Roman"/>
        </w:rPr>
        <w:t>This</w:t>
      </w:r>
      <w:proofErr w:type="spellEnd"/>
      <w:r w:rsidR="00113D09" w:rsidRPr="00705170">
        <w:rPr>
          <w:rFonts w:ascii="Times New Roman" w:hAnsi="Times New Roman" w:cs="Times New Roman"/>
        </w:rPr>
        <w:t xml:space="preserve"> </w:t>
      </w:r>
      <w:proofErr w:type="spellStart"/>
      <w:r w:rsidR="00113D09" w:rsidRPr="00705170">
        <w:rPr>
          <w:rFonts w:ascii="Times New Roman" w:hAnsi="Times New Roman" w:cs="Times New Roman"/>
        </w:rPr>
        <w:t>might</w:t>
      </w:r>
      <w:proofErr w:type="spellEnd"/>
      <w:r w:rsidR="00113D09" w:rsidRPr="00705170">
        <w:rPr>
          <w:rFonts w:ascii="Times New Roman" w:hAnsi="Times New Roman" w:cs="Times New Roman"/>
        </w:rPr>
        <w:t xml:space="preserve"> </w:t>
      </w:r>
      <w:proofErr w:type="spellStart"/>
      <w:r w:rsidR="00113D09" w:rsidRPr="00705170">
        <w:rPr>
          <w:rFonts w:ascii="Times New Roman" w:hAnsi="Times New Roman" w:cs="Times New Roman"/>
        </w:rPr>
        <w:t>adversely</w:t>
      </w:r>
      <w:proofErr w:type="spellEnd"/>
      <w:r w:rsidR="00113D09" w:rsidRPr="00705170">
        <w:rPr>
          <w:rFonts w:ascii="Times New Roman" w:hAnsi="Times New Roman" w:cs="Times New Roman"/>
        </w:rPr>
        <w:t xml:space="preserve"> </w:t>
      </w:r>
      <w:proofErr w:type="spellStart"/>
      <w:r w:rsidR="00113D09" w:rsidRPr="00705170">
        <w:rPr>
          <w:rFonts w:ascii="Times New Roman" w:hAnsi="Times New Roman" w:cs="Times New Roman"/>
        </w:rPr>
        <w:t>e</w:t>
      </w:r>
      <w:r w:rsidR="00A163FA" w:rsidRPr="00705170">
        <w:rPr>
          <w:rFonts w:ascii="Times New Roman" w:hAnsi="Times New Roman" w:cs="Times New Roman"/>
        </w:rPr>
        <w:t>ffect</w:t>
      </w:r>
      <w:proofErr w:type="spellEnd"/>
      <w:r w:rsidR="00A163FA" w:rsidRPr="00705170">
        <w:rPr>
          <w:rFonts w:ascii="Times New Roman" w:hAnsi="Times New Roman" w:cs="Times New Roman"/>
        </w:rPr>
        <w:t xml:space="preserve"> </w:t>
      </w:r>
      <w:proofErr w:type="spellStart"/>
      <w:r w:rsidR="00A163FA" w:rsidRPr="00705170">
        <w:rPr>
          <w:rFonts w:ascii="Times New Roman" w:hAnsi="Times New Roman" w:cs="Times New Roman"/>
        </w:rPr>
        <w:t>corporate</w:t>
      </w:r>
      <w:proofErr w:type="spellEnd"/>
      <w:r w:rsidR="00A163FA" w:rsidRPr="00705170">
        <w:rPr>
          <w:rFonts w:ascii="Times New Roman" w:hAnsi="Times New Roman" w:cs="Times New Roman"/>
        </w:rPr>
        <w:t xml:space="preserve"> </w:t>
      </w:r>
      <w:proofErr w:type="spellStart"/>
      <w:r w:rsidR="00A163FA" w:rsidRPr="00705170">
        <w:rPr>
          <w:rFonts w:ascii="Times New Roman" w:hAnsi="Times New Roman" w:cs="Times New Roman"/>
        </w:rPr>
        <w:t>credit</w:t>
      </w:r>
      <w:proofErr w:type="spellEnd"/>
      <w:r w:rsidR="00A163FA" w:rsidRPr="00705170">
        <w:rPr>
          <w:rFonts w:ascii="Times New Roman" w:hAnsi="Times New Roman" w:cs="Times New Roman"/>
        </w:rPr>
        <w:t xml:space="preserve"> </w:t>
      </w:r>
      <w:proofErr w:type="spellStart"/>
      <w:r w:rsidR="00A163FA" w:rsidRPr="00705170">
        <w:rPr>
          <w:rFonts w:ascii="Times New Roman" w:hAnsi="Times New Roman" w:cs="Times New Roman"/>
        </w:rPr>
        <w:t>rating</w:t>
      </w:r>
      <w:proofErr w:type="spellEnd"/>
      <w:r w:rsidR="00A163FA" w:rsidRPr="00705170">
        <w:rPr>
          <w:rFonts w:ascii="Times New Roman" w:hAnsi="Times New Roman" w:cs="Times New Roman"/>
        </w:rPr>
        <w:t xml:space="preserve">, </w:t>
      </w:r>
      <w:proofErr w:type="spellStart"/>
      <w:r w:rsidR="00A163FA" w:rsidRPr="00705170">
        <w:rPr>
          <w:rFonts w:ascii="Times New Roman" w:hAnsi="Times New Roman" w:cs="Times New Roman"/>
        </w:rPr>
        <w:t>and</w:t>
      </w:r>
      <w:proofErr w:type="spellEnd"/>
      <w:r w:rsidR="00A163FA" w:rsidRPr="00705170">
        <w:rPr>
          <w:rFonts w:ascii="Times New Roman" w:hAnsi="Times New Roman" w:cs="Times New Roman"/>
        </w:rPr>
        <w:t xml:space="preserve"> </w:t>
      </w:r>
      <w:proofErr w:type="spellStart"/>
      <w:r w:rsidR="00A163FA" w:rsidRPr="00705170">
        <w:rPr>
          <w:rFonts w:ascii="Times New Roman" w:hAnsi="Times New Roman" w:cs="Times New Roman"/>
        </w:rPr>
        <w:t>force</w:t>
      </w:r>
      <w:proofErr w:type="spellEnd"/>
      <w:r w:rsidR="00A163FA" w:rsidRPr="00705170">
        <w:rPr>
          <w:rFonts w:ascii="Times New Roman" w:hAnsi="Times New Roman" w:cs="Times New Roman"/>
        </w:rPr>
        <w:t xml:space="preserve"> </w:t>
      </w:r>
      <w:proofErr w:type="spellStart"/>
      <w:r w:rsidR="00A163FA" w:rsidRPr="00705170">
        <w:rPr>
          <w:rFonts w:ascii="Times New Roman" w:hAnsi="Times New Roman" w:cs="Times New Roman"/>
        </w:rPr>
        <w:t>corporations</w:t>
      </w:r>
      <w:proofErr w:type="spellEnd"/>
      <w:r w:rsidR="00A163FA" w:rsidRPr="00705170">
        <w:rPr>
          <w:rFonts w:ascii="Times New Roman" w:hAnsi="Times New Roman" w:cs="Times New Roman"/>
        </w:rPr>
        <w:t xml:space="preserve"> </w:t>
      </w:r>
      <w:proofErr w:type="spellStart"/>
      <w:r w:rsidR="00A163FA" w:rsidRPr="00705170">
        <w:rPr>
          <w:rFonts w:ascii="Times New Roman" w:hAnsi="Times New Roman" w:cs="Times New Roman"/>
        </w:rPr>
        <w:t>to</w:t>
      </w:r>
      <w:proofErr w:type="spellEnd"/>
      <w:r w:rsidR="00A163FA" w:rsidRPr="00705170">
        <w:rPr>
          <w:rFonts w:ascii="Times New Roman" w:hAnsi="Times New Roman" w:cs="Times New Roman"/>
        </w:rPr>
        <w:t xml:space="preserve"> </w:t>
      </w:r>
      <w:proofErr w:type="spellStart"/>
      <w:r w:rsidR="00A163FA" w:rsidRPr="00705170">
        <w:rPr>
          <w:rFonts w:ascii="Times New Roman" w:hAnsi="Times New Roman" w:cs="Times New Roman"/>
        </w:rPr>
        <w:t>rely</w:t>
      </w:r>
      <w:proofErr w:type="spellEnd"/>
      <w:r w:rsidR="00A163FA" w:rsidRPr="00705170">
        <w:rPr>
          <w:rFonts w:ascii="Times New Roman" w:hAnsi="Times New Roman" w:cs="Times New Roman"/>
        </w:rPr>
        <w:t xml:space="preserve"> on </w:t>
      </w:r>
      <w:proofErr w:type="spellStart"/>
      <w:r w:rsidR="00A163FA" w:rsidRPr="00705170">
        <w:rPr>
          <w:rFonts w:ascii="Times New Roman" w:hAnsi="Times New Roman" w:cs="Times New Roman"/>
        </w:rPr>
        <w:t>debt</w:t>
      </w:r>
      <w:proofErr w:type="spellEnd"/>
      <w:r w:rsidR="00A163FA" w:rsidRPr="00705170">
        <w:rPr>
          <w:rStyle w:val="DipnotBavurusu"/>
          <w:rFonts w:ascii="Times New Roman" w:hAnsi="Times New Roman" w:cs="Times New Roman"/>
        </w:rPr>
        <w:footnoteReference w:id="774"/>
      </w:r>
      <w:r w:rsidR="00A163FA" w:rsidRPr="00705170">
        <w:rPr>
          <w:rFonts w:ascii="Times New Roman" w:hAnsi="Times New Roman" w:cs="Times New Roman"/>
        </w:rPr>
        <w:t xml:space="preserve">. </w:t>
      </w:r>
      <w:proofErr w:type="spellStart"/>
      <w:r w:rsidR="00AB132D" w:rsidRPr="00705170">
        <w:rPr>
          <w:rFonts w:ascii="Times New Roman" w:hAnsi="Times New Roman" w:cs="Times New Roman"/>
        </w:rPr>
        <w:t>Besides</w:t>
      </w:r>
      <w:proofErr w:type="spellEnd"/>
      <w:r w:rsidR="00AB132D" w:rsidRPr="00705170">
        <w:rPr>
          <w:rFonts w:ascii="Times New Roman" w:hAnsi="Times New Roman" w:cs="Times New Roman"/>
        </w:rPr>
        <w:t xml:space="preserve">, a </w:t>
      </w:r>
      <w:proofErr w:type="spellStart"/>
      <w:r w:rsidR="00AB132D" w:rsidRPr="00705170">
        <w:rPr>
          <w:rFonts w:ascii="Times New Roman" w:hAnsi="Times New Roman" w:cs="Times New Roman"/>
        </w:rPr>
        <w:t>lack</w:t>
      </w:r>
      <w:proofErr w:type="spellEnd"/>
      <w:r w:rsidR="00AB132D" w:rsidRPr="00705170">
        <w:rPr>
          <w:rFonts w:ascii="Times New Roman" w:hAnsi="Times New Roman" w:cs="Times New Roman"/>
        </w:rPr>
        <w:t xml:space="preserve"> of </w:t>
      </w:r>
      <w:proofErr w:type="spellStart"/>
      <w:r w:rsidR="00AB132D" w:rsidRPr="00705170">
        <w:rPr>
          <w:rFonts w:ascii="Times New Roman" w:hAnsi="Times New Roman" w:cs="Times New Roman"/>
        </w:rPr>
        <w:t>regulation</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might</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cause</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deprivation</w:t>
      </w:r>
      <w:proofErr w:type="spellEnd"/>
      <w:r w:rsidR="00AB132D" w:rsidRPr="00705170">
        <w:rPr>
          <w:rFonts w:ascii="Times New Roman" w:hAnsi="Times New Roman" w:cs="Times New Roman"/>
        </w:rPr>
        <w:t xml:space="preserve"> of </w:t>
      </w:r>
      <w:proofErr w:type="spellStart"/>
      <w:r w:rsidR="00AB132D" w:rsidRPr="00705170">
        <w:rPr>
          <w:rFonts w:ascii="Times New Roman" w:hAnsi="Times New Roman" w:cs="Times New Roman"/>
        </w:rPr>
        <w:t>investment</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values</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because</w:t>
      </w:r>
      <w:proofErr w:type="spellEnd"/>
      <w:r w:rsidR="00AB132D" w:rsidRPr="00705170">
        <w:rPr>
          <w:rFonts w:ascii="Times New Roman" w:hAnsi="Times New Roman" w:cs="Times New Roman"/>
        </w:rPr>
        <w:t xml:space="preserve"> market </w:t>
      </w:r>
      <w:proofErr w:type="spellStart"/>
      <w:r w:rsidR="00AB132D" w:rsidRPr="00705170">
        <w:rPr>
          <w:rFonts w:ascii="Times New Roman" w:hAnsi="Times New Roman" w:cs="Times New Roman"/>
        </w:rPr>
        <w:t>prices</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are</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already</w:t>
      </w:r>
      <w:proofErr w:type="spellEnd"/>
      <w:r w:rsidR="00AB132D" w:rsidRPr="00705170">
        <w:rPr>
          <w:rFonts w:ascii="Times New Roman" w:hAnsi="Times New Roman" w:cs="Times New Roman"/>
        </w:rPr>
        <w:t xml:space="preserve"> </w:t>
      </w:r>
      <w:proofErr w:type="spellStart"/>
      <w:r w:rsidR="00AB132D" w:rsidRPr="00705170">
        <w:rPr>
          <w:rFonts w:ascii="Times New Roman" w:hAnsi="Times New Roman" w:cs="Times New Roman"/>
        </w:rPr>
        <w:t>depr</w:t>
      </w:r>
      <w:r w:rsidR="00113D09" w:rsidRPr="00705170">
        <w:rPr>
          <w:rFonts w:ascii="Times New Roman" w:hAnsi="Times New Roman" w:cs="Times New Roman"/>
        </w:rPr>
        <w:t>essed</w:t>
      </w:r>
      <w:proofErr w:type="spellEnd"/>
      <w:r w:rsidR="00113D09" w:rsidRPr="00705170">
        <w:rPr>
          <w:rFonts w:ascii="Times New Roman" w:hAnsi="Times New Roman" w:cs="Times New Roman"/>
        </w:rPr>
        <w:t xml:space="preserve"> </w:t>
      </w:r>
      <w:proofErr w:type="spellStart"/>
      <w:r w:rsidR="00113D09" w:rsidRPr="00705170">
        <w:rPr>
          <w:rFonts w:ascii="Times New Roman" w:hAnsi="Times New Roman" w:cs="Times New Roman"/>
        </w:rPr>
        <w:t>because</w:t>
      </w:r>
      <w:proofErr w:type="spellEnd"/>
      <w:r w:rsidR="00113D09" w:rsidRPr="00705170">
        <w:rPr>
          <w:rFonts w:ascii="Times New Roman" w:hAnsi="Times New Roman" w:cs="Times New Roman"/>
        </w:rPr>
        <w:t xml:space="preserve"> of </w:t>
      </w:r>
      <w:proofErr w:type="spellStart"/>
      <w:r w:rsidR="00113D09" w:rsidRPr="00705170">
        <w:rPr>
          <w:rFonts w:ascii="Times New Roman" w:hAnsi="Times New Roman" w:cs="Times New Roman"/>
        </w:rPr>
        <w:t>the</w:t>
      </w:r>
      <w:proofErr w:type="spellEnd"/>
      <w:r w:rsidR="00113D09" w:rsidRPr="00705170">
        <w:rPr>
          <w:rFonts w:ascii="Times New Roman" w:hAnsi="Times New Roman" w:cs="Times New Roman"/>
        </w:rPr>
        <w:t xml:space="preserve"> </w:t>
      </w:r>
      <w:proofErr w:type="spellStart"/>
      <w:r w:rsidR="00113D09" w:rsidRPr="00705170">
        <w:rPr>
          <w:rFonts w:ascii="Times New Roman" w:hAnsi="Times New Roman" w:cs="Times New Roman"/>
        </w:rPr>
        <w:t>possible</w:t>
      </w:r>
      <w:proofErr w:type="spellEnd"/>
      <w:r w:rsidR="00AB132D" w:rsidRPr="00705170">
        <w:rPr>
          <w:rFonts w:ascii="Times New Roman" w:hAnsi="Times New Roman" w:cs="Times New Roman"/>
        </w:rPr>
        <w:t xml:space="preserve"> </w:t>
      </w:r>
      <w:proofErr w:type="spellStart"/>
      <w:r w:rsidR="00471B77" w:rsidRPr="00705170">
        <w:rPr>
          <w:rFonts w:ascii="Times New Roman" w:hAnsi="Times New Roman" w:cs="Times New Roman"/>
        </w:rPr>
        <w:t>frustrating</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actions</w:t>
      </w:r>
      <w:proofErr w:type="spellEnd"/>
      <w:r w:rsidR="00AB132D" w:rsidRPr="00705170">
        <w:rPr>
          <w:rStyle w:val="DipnotBavurusu"/>
          <w:rFonts w:ascii="Times New Roman" w:hAnsi="Times New Roman" w:cs="Times New Roman"/>
        </w:rPr>
        <w:footnoteReference w:id="775"/>
      </w:r>
      <w:r w:rsidR="00AB132D" w:rsidRPr="00705170">
        <w:rPr>
          <w:rFonts w:ascii="Times New Roman" w:hAnsi="Times New Roman" w:cs="Times New Roman"/>
        </w:rPr>
        <w:t>.</w:t>
      </w:r>
      <w:r w:rsidR="00886F35" w:rsidRPr="00705170">
        <w:rPr>
          <w:rFonts w:ascii="Times New Roman" w:hAnsi="Times New Roman" w:cs="Times New Roman"/>
        </w:rPr>
        <w:t xml:space="preserve"> </w:t>
      </w:r>
      <w:proofErr w:type="spellStart"/>
      <w:r w:rsidR="00BF29A4" w:rsidRPr="00705170">
        <w:rPr>
          <w:rFonts w:ascii="Times New Roman" w:hAnsi="Times New Roman" w:cs="Times New Roman"/>
        </w:rPr>
        <w:t>Furthermore</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by</w:t>
      </w:r>
      <w:proofErr w:type="spellEnd"/>
      <w:r w:rsidR="00BF29A4" w:rsidRPr="00705170">
        <w:rPr>
          <w:rFonts w:ascii="Times New Roman" w:hAnsi="Times New Roman" w:cs="Times New Roman"/>
        </w:rPr>
        <w:t xml:space="preserve"> </w:t>
      </w:r>
      <w:proofErr w:type="spellStart"/>
      <w:r w:rsidR="00471B77" w:rsidRPr="00705170">
        <w:rPr>
          <w:rFonts w:ascii="Times New Roman" w:hAnsi="Times New Roman" w:cs="Times New Roman"/>
        </w:rPr>
        <w:t>serving</w:t>
      </w:r>
      <w:proofErr w:type="spellEnd"/>
      <w:r w:rsidR="00471B77" w:rsidRPr="00705170">
        <w:rPr>
          <w:rFonts w:ascii="Times New Roman" w:hAnsi="Times New Roman" w:cs="Times New Roman"/>
        </w:rPr>
        <w:t xml:space="preserve"> as a</w:t>
      </w:r>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check</w:t>
      </w:r>
      <w:proofErr w:type="spellEnd"/>
      <w:r w:rsidR="00BF29A4" w:rsidRPr="00705170">
        <w:rPr>
          <w:rFonts w:ascii="Times New Roman" w:hAnsi="Times New Roman" w:cs="Times New Roman"/>
        </w:rPr>
        <w:t xml:space="preserve"> on </w:t>
      </w:r>
      <w:proofErr w:type="spellStart"/>
      <w:r w:rsidR="00BF29A4" w:rsidRPr="00705170">
        <w:rPr>
          <w:rFonts w:ascii="Times New Roman" w:hAnsi="Times New Roman" w:cs="Times New Roman"/>
        </w:rPr>
        <w:t>management</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dissolution</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statute</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forces</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the</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management</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to</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provide</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effective</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management</w:t>
      </w:r>
      <w:proofErr w:type="spellEnd"/>
      <w:r w:rsidR="00BF29A4" w:rsidRPr="00705170">
        <w:rPr>
          <w:rStyle w:val="DipnotBavurusu"/>
          <w:rFonts w:ascii="Times New Roman" w:hAnsi="Times New Roman" w:cs="Times New Roman"/>
        </w:rPr>
        <w:footnoteReference w:id="776"/>
      </w:r>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and</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this</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serves</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the</w:t>
      </w:r>
      <w:proofErr w:type="spellEnd"/>
      <w:r w:rsidR="00BF29A4" w:rsidRPr="00705170">
        <w:rPr>
          <w:rFonts w:ascii="Times New Roman" w:hAnsi="Times New Roman" w:cs="Times New Roman"/>
        </w:rPr>
        <w:t xml:space="preserve"> </w:t>
      </w:r>
      <w:proofErr w:type="spellStart"/>
      <w:r w:rsidR="00471B77" w:rsidRPr="00705170">
        <w:rPr>
          <w:rFonts w:ascii="Times New Roman" w:hAnsi="Times New Roman" w:cs="Times New Roman"/>
        </w:rPr>
        <w:t>corporate</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and</w:t>
      </w:r>
      <w:proofErr w:type="spellEnd"/>
      <w:r w:rsidR="00471B77" w:rsidRPr="00705170">
        <w:rPr>
          <w:rFonts w:ascii="Times New Roman" w:hAnsi="Times New Roman" w:cs="Times New Roman"/>
        </w:rPr>
        <w:t xml:space="preserve"> </w:t>
      </w:r>
      <w:proofErr w:type="spellStart"/>
      <w:r w:rsidR="00BF29A4" w:rsidRPr="00705170">
        <w:rPr>
          <w:rFonts w:ascii="Times New Roman" w:hAnsi="Times New Roman" w:cs="Times New Roman"/>
        </w:rPr>
        <w:t>economic</w:t>
      </w:r>
      <w:proofErr w:type="spellEnd"/>
      <w:r w:rsidR="00BF29A4" w:rsidRPr="00705170">
        <w:rPr>
          <w:rFonts w:ascii="Times New Roman" w:hAnsi="Times New Roman" w:cs="Times New Roman"/>
        </w:rPr>
        <w:t xml:space="preserve"> </w:t>
      </w:r>
      <w:proofErr w:type="spellStart"/>
      <w:r w:rsidR="00BF29A4" w:rsidRPr="00705170">
        <w:rPr>
          <w:rFonts w:ascii="Times New Roman" w:hAnsi="Times New Roman" w:cs="Times New Roman"/>
        </w:rPr>
        <w:t>progress</w:t>
      </w:r>
      <w:proofErr w:type="spellEnd"/>
      <w:r w:rsidR="00BF29A4" w:rsidRPr="00705170">
        <w:rPr>
          <w:rFonts w:ascii="Times New Roman" w:hAnsi="Times New Roman" w:cs="Times New Roman"/>
        </w:rPr>
        <w:t>.</w:t>
      </w:r>
      <w:r w:rsidR="006E1112" w:rsidRPr="00705170">
        <w:rPr>
          <w:rFonts w:ascii="Times New Roman" w:hAnsi="Times New Roman" w:cs="Times New Roman"/>
        </w:rPr>
        <w:t xml:space="preserve"> </w:t>
      </w:r>
    </w:p>
    <w:p w14:paraId="6066EFBE" w14:textId="56940D9C" w:rsidR="00F85877" w:rsidRPr="00705170" w:rsidRDefault="002D106F" w:rsidP="00471B77">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lastRenderedPageBreak/>
        <w:t>Another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consideration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thought</w:t>
      </w:r>
      <w:proofErr w:type="spellEnd"/>
      <w:r w:rsidRPr="00705170">
        <w:rPr>
          <w:rFonts w:ascii="Times New Roman" w:hAnsi="Times New Roman" w:cs="Times New Roman"/>
        </w:rPr>
        <w:t xml:space="preserve"> on is </w:t>
      </w:r>
      <w:proofErr w:type="spellStart"/>
      <w:r w:rsidRPr="00705170">
        <w:rPr>
          <w:rFonts w:ascii="Times New Roman" w:hAnsi="Times New Roman" w:cs="Times New Roman"/>
        </w:rPr>
        <w:t>that</w:t>
      </w:r>
      <w:proofErr w:type="spellEnd"/>
      <w:r w:rsidR="00382377" w:rsidRPr="00705170">
        <w:rPr>
          <w:rFonts w:ascii="Times New Roman" w:hAnsi="Times New Roman" w:cs="Times New Roman"/>
        </w:rPr>
        <w:t xml:space="preserve"> a </w:t>
      </w:r>
      <w:proofErr w:type="spellStart"/>
      <w:r w:rsidR="00382377" w:rsidRPr="00705170">
        <w:rPr>
          <w:rFonts w:ascii="Times New Roman" w:hAnsi="Times New Roman" w:cs="Times New Roman"/>
        </w:rPr>
        <w:t>dissolution</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statute</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protecting</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against</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shareholder</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oppression</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protects</w:t>
      </w:r>
      <w:proofErr w:type="spellEnd"/>
      <w:r w:rsidR="00382377" w:rsidRPr="00705170">
        <w:rPr>
          <w:rFonts w:ascii="Times New Roman" w:hAnsi="Times New Roman" w:cs="Times New Roman"/>
        </w:rPr>
        <w:t xml:space="preserve"> not </w:t>
      </w:r>
      <w:proofErr w:type="spellStart"/>
      <w:r w:rsidR="00382377" w:rsidRPr="00705170">
        <w:rPr>
          <w:rFonts w:ascii="Times New Roman" w:hAnsi="Times New Roman" w:cs="Times New Roman"/>
        </w:rPr>
        <w:t>only</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the</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oppressed</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shareholders</w:t>
      </w:r>
      <w:proofErr w:type="spellEnd"/>
      <w:r w:rsidR="00AD0CA6" w:rsidRPr="00705170">
        <w:rPr>
          <w:rFonts w:ascii="Times New Roman" w:hAnsi="Times New Roman" w:cs="Times New Roman"/>
        </w:rPr>
        <w:t xml:space="preserve"> </w:t>
      </w:r>
      <w:proofErr w:type="spellStart"/>
      <w:r w:rsidR="00AD0CA6" w:rsidRPr="00705170">
        <w:rPr>
          <w:rFonts w:ascii="Times New Roman" w:hAnsi="Times New Roman" w:cs="Times New Roman"/>
        </w:rPr>
        <w:t>and</w:t>
      </w:r>
      <w:proofErr w:type="spellEnd"/>
      <w:r w:rsidR="00AD0CA6" w:rsidRPr="00705170">
        <w:rPr>
          <w:rFonts w:ascii="Times New Roman" w:hAnsi="Times New Roman" w:cs="Times New Roman"/>
        </w:rPr>
        <w:t xml:space="preserve"> </w:t>
      </w:r>
      <w:proofErr w:type="spellStart"/>
      <w:r w:rsidR="00AD0CA6" w:rsidRPr="00705170">
        <w:rPr>
          <w:rFonts w:ascii="Times New Roman" w:hAnsi="Times New Roman" w:cs="Times New Roman"/>
        </w:rPr>
        <w:t>th</w:t>
      </w:r>
      <w:r w:rsidR="00471B77" w:rsidRPr="00705170">
        <w:rPr>
          <w:rFonts w:ascii="Times New Roman" w:hAnsi="Times New Roman" w:cs="Times New Roman"/>
        </w:rPr>
        <w:t>e</w:t>
      </w:r>
      <w:proofErr w:type="spellEnd"/>
      <w:r w:rsidR="00AD0CA6" w:rsidRPr="00705170">
        <w:rPr>
          <w:rFonts w:ascii="Times New Roman" w:hAnsi="Times New Roman" w:cs="Times New Roman"/>
        </w:rPr>
        <w:t xml:space="preserve"> </w:t>
      </w:r>
      <w:proofErr w:type="spellStart"/>
      <w:r w:rsidR="00AD0CA6" w:rsidRPr="00705170">
        <w:rPr>
          <w:rFonts w:ascii="Times New Roman" w:hAnsi="Times New Roman" w:cs="Times New Roman"/>
        </w:rPr>
        <w:t>value</w:t>
      </w:r>
      <w:proofErr w:type="spellEnd"/>
      <w:r w:rsidR="00AD0CA6" w:rsidRPr="00705170">
        <w:rPr>
          <w:rFonts w:ascii="Times New Roman" w:hAnsi="Times New Roman" w:cs="Times New Roman"/>
        </w:rPr>
        <w:t xml:space="preserve"> of </w:t>
      </w:r>
      <w:proofErr w:type="spellStart"/>
      <w:r w:rsidR="00AD0CA6" w:rsidRPr="00705170">
        <w:rPr>
          <w:rFonts w:ascii="Times New Roman" w:hAnsi="Times New Roman" w:cs="Times New Roman"/>
        </w:rPr>
        <w:t>their</w:t>
      </w:r>
      <w:proofErr w:type="spellEnd"/>
      <w:r w:rsidR="00AD0CA6" w:rsidRPr="00705170">
        <w:rPr>
          <w:rFonts w:ascii="Times New Roman" w:hAnsi="Times New Roman" w:cs="Times New Roman"/>
        </w:rPr>
        <w:t xml:space="preserve"> </w:t>
      </w:r>
      <w:proofErr w:type="spellStart"/>
      <w:r w:rsidR="00AD0CA6" w:rsidRPr="00705170">
        <w:rPr>
          <w:rFonts w:ascii="Times New Roman" w:hAnsi="Times New Roman" w:cs="Times New Roman"/>
        </w:rPr>
        <w:t>particular</w:t>
      </w:r>
      <w:proofErr w:type="spellEnd"/>
      <w:r w:rsidR="00AD0CA6" w:rsidRPr="00705170">
        <w:rPr>
          <w:rFonts w:ascii="Times New Roman" w:hAnsi="Times New Roman" w:cs="Times New Roman"/>
        </w:rPr>
        <w:t xml:space="preserve"> </w:t>
      </w:r>
      <w:proofErr w:type="spellStart"/>
      <w:r w:rsidR="00AD0CA6" w:rsidRPr="00705170">
        <w:rPr>
          <w:rFonts w:ascii="Times New Roman" w:hAnsi="Times New Roman" w:cs="Times New Roman"/>
        </w:rPr>
        <w:t>investment</w:t>
      </w:r>
      <w:proofErr w:type="spellEnd"/>
      <w:r w:rsidR="00AD0CA6" w:rsidRPr="00705170">
        <w:rPr>
          <w:rStyle w:val="DipnotBavurusu"/>
          <w:rFonts w:ascii="Times New Roman" w:hAnsi="Times New Roman" w:cs="Times New Roman"/>
        </w:rPr>
        <w:footnoteReference w:id="777"/>
      </w:r>
      <w:r w:rsidR="00382377" w:rsidRPr="00705170">
        <w:rPr>
          <w:rFonts w:ascii="Times New Roman" w:hAnsi="Times New Roman" w:cs="Times New Roman"/>
        </w:rPr>
        <w:t xml:space="preserve">, but </w:t>
      </w:r>
      <w:proofErr w:type="spellStart"/>
      <w:r w:rsidR="00382377" w:rsidRPr="00705170">
        <w:rPr>
          <w:rFonts w:ascii="Times New Roman" w:hAnsi="Times New Roman" w:cs="Times New Roman"/>
        </w:rPr>
        <w:t>also</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the</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corporation</w:t>
      </w:r>
      <w:proofErr w:type="spellEnd"/>
      <w:r w:rsidR="00382377" w:rsidRPr="00705170">
        <w:rPr>
          <w:rFonts w:ascii="Times New Roman" w:hAnsi="Times New Roman" w:cs="Times New Roman"/>
        </w:rPr>
        <w:t xml:space="preserve"> </w:t>
      </w:r>
      <w:proofErr w:type="spellStart"/>
      <w:r w:rsidR="00382377" w:rsidRPr="00705170">
        <w:rPr>
          <w:rFonts w:ascii="Times New Roman" w:hAnsi="Times New Roman" w:cs="Times New Roman"/>
        </w:rPr>
        <w:t>itself</w:t>
      </w:r>
      <w:proofErr w:type="spellEnd"/>
      <w:r w:rsidR="00382377" w:rsidRPr="00705170">
        <w:rPr>
          <w:rStyle w:val="DipnotBavurusu"/>
          <w:rFonts w:ascii="Times New Roman" w:hAnsi="Times New Roman" w:cs="Times New Roman"/>
        </w:rPr>
        <w:footnoteReference w:id="778"/>
      </w:r>
      <w:r w:rsidR="008936DD" w:rsidRPr="00705170">
        <w:rPr>
          <w:rFonts w:ascii="Times New Roman" w:hAnsi="Times New Roman" w:cs="Times New Roman"/>
        </w:rPr>
        <w:t xml:space="preserve"> </w:t>
      </w:r>
      <w:r w:rsidR="00471B77" w:rsidRPr="00705170">
        <w:rPr>
          <w:rFonts w:ascii="Times New Roman" w:hAnsi="Times New Roman" w:cs="Times New Roman"/>
        </w:rPr>
        <w:t>(</w:t>
      </w:r>
      <w:proofErr w:type="spellStart"/>
      <w:r w:rsidR="008936DD" w:rsidRPr="00705170">
        <w:rPr>
          <w:rFonts w:ascii="Times New Roman" w:hAnsi="Times New Roman" w:cs="Times New Roman"/>
        </w:rPr>
        <w:t>and</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the</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marketplace</w:t>
      </w:r>
      <w:proofErr w:type="spellEnd"/>
      <w:r w:rsidR="00471B77" w:rsidRPr="00705170">
        <w:rPr>
          <w:rFonts w:ascii="Times New Roman" w:hAnsi="Times New Roman" w:cs="Times New Roman"/>
        </w:rPr>
        <w:t>),</w:t>
      </w:r>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hence</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the</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public</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interest</w:t>
      </w:r>
      <w:proofErr w:type="spellEnd"/>
      <w:r w:rsidR="00D100AE" w:rsidRPr="00705170">
        <w:rPr>
          <w:rFonts w:ascii="Times New Roman" w:hAnsi="Times New Roman" w:cs="Times New Roman"/>
        </w:rPr>
        <w:t xml:space="preserve">. </w:t>
      </w:r>
      <w:proofErr w:type="spellStart"/>
      <w:r w:rsidR="00D100AE" w:rsidRPr="00705170">
        <w:rPr>
          <w:rFonts w:ascii="Times New Roman" w:hAnsi="Times New Roman" w:cs="Times New Roman"/>
        </w:rPr>
        <w:t>For</w:t>
      </w:r>
      <w:proofErr w:type="spellEnd"/>
      <w:r w:rsidR="00D100AE" w:rsidRPr="00705170">
        <w:rPr>
          <w:rFonts w:ascii="Times New Roman" w:hAnsi="Times New Roman" w:cs="Times New Roman"/>
        </w:rPr>
        <w:t xml:space="preserve"> </w:t>
      </w:r>
      <w:proofErr w:type="spellStart"/>
      <w:r w:rsidR="00D100AE" w:rsidRPr="00705170">
        <w:rPr>
          <w:rFonts w:ascii="Times New Roman" w:hAnsi="Times New Roman" w:cs="Times New Roman"/>
        </w:rPr>
        <w:t>example</w:t>
      </w:r>
      <w:proofErr w:type="spellEnd"/>
      <w:r w:rsidR="00D100AE" w:rsidRPr="00705170">
        <w:rPr>
          <w:rFonts w:ascii="Times New Roman" w:hAnsi="Times New Roman" w:cs="Times New Roman"/>
        </w:rPr>
        <w:t xml:space="preserve">, </w:t>
      </w:r>
      <w:r w:rsidR="00CB4EE9" w:rsidRPr="00705170">
        <w:rPr>
          <w:rFonts w:ascii="Times New Roman" w:hAnsi="Times New Roman" w:cs="Times New Roman"/>
        </w:rPr>
        <w:t xml:space="preserve">California, </w:t>
      </w:r>
      <w:proofErr w:type="spellStart"/>
      <w:r w:rsidR="00D100AE" w:rsidRPr="00705170">
        <w:rPr>
          <w:rFonts w:ascii="Times New Roman" w:hAnsi="Times New Roman" w:cs="Times New Roman"/>
        </w:rPr>
        <w:t>by</w:t>
      </w:r>
      <w:proofErr w:type="spellEnd"/>
      <w:r w:rsidR="00D100AE" w:rsidRPr="00705170">
        <w:rPr>
          <w:rFonts w:ascii="Times New Roman" w:hAnsi="Times New Roman" w:cs="Times New Roman"/>
        </w:rPr>
        <w:t xml:space="preserve"> </w:t>
      </w:r>
      <w:proofErr w:type="spellStart"/>
      <w:r w:rsidR="00DB6238" w:rsidRPr="00705170">
        <w:rPr>
          <w:rFonts w:ascii="Times New Roman" w:hAnsi="Times New Roman" w:cs="Times New Roman"/>
        </w:rPr>
        <w:t>recognizing</w:t>
      </w:r>
      <w:proofErr w:type="spellEnd"/>
      <w:r w:rsidR="00D100AE" w:rsidRPr="00705170">
        <w:rPr>
          <w:rFonts w:ascii="Times New Roman" w:hAnsi="Times New Roman" w:cs="Times New Roman"/>
        </w:rPr>
        <w:t xml:space="preserve"> </w:t>
      </w:r>
      <w:proofErr w:type="spellStart"/>
      <w:r w:rsidR="00D100AE" w:rsidRPr="00705170">
        <w:rPr>
          <w:rFonts w:ascii="Times New Roman" w:hAnsi="Times New Roman" w:cs="Times New Roman"/>
        </w:rPr>
        <w:t>the</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oppression</w:t>
      </w:r>
      <w:proofErr w:type="spellEnd"/>
      <w:r w:rsidR="00CB4EE9" w:rsidRPr="00705170">
        <w:rPr>
          <w:rFonts w:ascii="Times New Roman" w:hAnsi="Times New Roman" w:cs="Times New Roman"/>
        </w:rPr>
        <w:t xml:space="preserve"> in </w:t>
      </w:r>
      <w:proofErr w:type="spellStart"/>
      <w:r w:rsidR="00CB4EE9" w:rsidRPr="00705170">
        <w:rPr>
          <w:rFonts w:ascii="Times New Roman" w:hAnsi="Times New Roman" w:cs="Times New Roman"/>
        </w:rPr>
        <w:t>close</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corporations</w:t>
      </w:r>
      <w:proofErr w:type="spellEnd"/>
      <w:r w:rsidR="00CB4EE9" w:rsidRPr="00705170">
        <w:rPr>
          <w:rFonts w:ascii="Times New Roman" w:hAnsi="Times New Roman" w:cs="Times New Roman"/>
        </w:rPr>
        <w:t xml:space="preserve"> </w:t>
      </w:r>
      <w:r w:rsidR="00D100AE" w:rsidRPr="00705170">
        <w:rPr>
          <w:rFonts w:ascii="Times New Roman" w:hAnsi="Times New Roman" w:cs="Times New Roman"/>
        </w:rPr>
        <w:t>as a</w:t>
      </w:r>
      <w:r w:rsidR="00CB4EE9" w:rsidRPr="00705170">
        <w:rPr>
          <w:rFonts w:ascii="Times New Roman" w:hAnsi="Times New Roman" w:cs="Times New Roman"/>
        </w:rPr>
        <w:t xml:space="preserve">n </w:t>
      </w:r>
      <w:proofErr w:type="spellStart"/>
      <w:r w:rsidR="00CB4EE9" w:rsidRPr="00705170">
        <w:rPr>
          <w:rFonts w:ascii="Times New Roman" w:hAnsi="Times New Roman" w:cs="Times New Roman"/>
        </w:rPr>
        <w:t>issue</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concerning</w:t>
      </w:r>
      <w:proofErr w:type="spellEnd"/>
      <w:r w:rsidR="00D100AE" w:rsidRPr="00705170">
        <w:rPr>
          <w:rFonts w:ascii="Times New Roman" w:hAnsi="Times New Roman" w:cs="Times New Roman"/>
        </w:rPr>
        <w:t xml:space="preserve"> </w:t>
      </w:r>
      <w:proofErr w:type="spellStart"/>
      <w:r w:rsidR="00CB4EE9" w:rsidRPr="00705170">
        <w:rPr>
          <w:rFonts w:ascii="Times New Roman" w:hAnsi="Times New Roman" w:cs="Times New Roman"/>
        </w:rPr>
        <w:t>public</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interest</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chose</w:t>
      </w:r>
      <w:proofErr w:type="spellEnd"/>
      <w:r w:rsidR="00CB4EE9" w:rsidRPr="00705170">
        <w:rPr>
          <w:rFonts w:ascii="Times New Roman" w:hAnsi="Times New Roman" w:cs="Times New Roman"/>
        </w:rPr>
        <w:t xml:space="preserve"> not </w:t>
      </w:r>
      <w:proofErr w:type="spellStart"/>
      <w:r w:rsidR="00CB4EE9" w:rsidRPr="00705170">
        <w:rPr>
          <w:rFonts w:ascii="Times New Roman" w:hAnsi="Times New Roman" w:cs="Times New Roman"/>
        </w:rPr>
        <w:t>to</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give</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effect</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to</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terms</w:t>
      </w:r>
      <w:proofErr w:type="spellEnd"/>
      <w:r w:rsidR="00CB4EE9" w:rsidRPr="00705170">
        <w:rPr>
          <w:rFonts w:ascii="Times New Roman" w:hAnsi="Times New Roman" w:cs="Times New Roman"/>
        </w:rPr>
        <w:t xml:space="preserve"> of </w:t>
      </w:r>
      <w:proofErr w:type="spellStart"/>
      <w:r w:rsidR="00CB4EE9" w:rsidRPr="00705170">
        <w:rPr>
          <w:rFonts w:ascii="Times New Roman" w:hAnsi="Times New Roman" w:cs="Times New Roman"/>
        </w:rPr>
        <w:t>shareholders</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agreements</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that</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alter</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or</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waive</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provisions</w:t>
      </w:r>
      <w:proofErr w:type="spellEnd"/>
      <w:r w:rsidR="00CB4EE9" w:rsidRPr="00705170">
        <w:rPr>
          <w:rFonts w:ascii="Times New Roman" w:hAnsi="Times New Roman" w:cs="Times New Roman"/>
        </w:rPr>
        <w:t xml:space="preserve"> of </w:t>
      </w:r>
      <w:proofErr w:type="spellStart"/>
      <w:r w:rsidR="00CB4EE9" w:rsidRPr="00705170">
        <w:rPr>
          <w:rFonts w:ascii="Times New Roman" w:hAnsi="Times New Roman" w:cs="Times New Roman"/>
        </w:rPr>
        <w:t>the</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statute</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regarding</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involuntary</w:t>
      </w:r>
      <w:proofErr w:type="spellEnd"/>
      <w:r w:rsidR="00CB4EE9" w:rsidRPr="00705170">
        <w:rPr>
          <w:rFonts w:ascii="Times New Roman" w:hAnsi="Times New Roman" w:cs="Times New Roman"/>
        </w:rPr>
        <w:t xml:space="preserve"> </w:t>
      </w:r>
      <w:proofErr w:type="spellStart"/>
      <w:r w:rsidR="00CB4EE9" w:rsidRPr="00705170">
        <w:rPr>
          <w:rFonts w:ascii="Times New Roman" w:hAnsi="Times New Roman" w:cs="Times New Roman"/>
        </w:rPr>
        <w:t>dissolution</w:t>
      </w:r>
      <w:proofErr w:type="spellEnd"/>
      <w:r w:rsidR="00DB6238" w:rsidRPr="00705170">
        <w:rPr>
          <w:rStyle w:val="DipnotBavurusu"/>
          <w:rFonts w:ascii="Times New Roman" w:hAnsi="Times New Roman" w:cs="Times New Roman"/>
        </w:rPr>
        <w:footnoteReference w:id="779"/>
      </w:r>
      <w:r w:rsidR="00CB4EE9" w:rsidRPr="00705170">
        <w:rPr>
          <w:rFonts w:ascii="Times New Roman" w:hAnsi="Times New Roman" w:cs="Times New Roman"/>
        </w:rPr>
        <w:t xml:space="preserve">. </w:t>
      </w:r>
      <w:proofErr w:type="spellStart"/>
      <w:r w:rsidR="00DB6238" w:rsidRPr="00705170">
        <w:rPr>
          <w:rFonts w:ascii="Times New Roman" w:hAnsi="Times New Roman" w:cs="Times New Roman"/>
        </w:rPr>
        <w:t>Likewise</w:t>
      </w:r>
      <w:proofErr w:type="spellEnd"/>
      <w:r w:rsidR="00DB6238" w:rsidRPr="00705170">
        <w:rPr>
          <w:rFonts w:ascii="Times New Roman" w:hAnsi="Times New Roman" w:cs="Times New Roman"/>
        </w:rPr>
        <w:t>, i</w:t>
      </w:r>
      <w:r w:rsidR="008936DD" w:rsidRPr="00705170">
        <w:rPr>
          <w:rFonts w:ascii="Times New Roman" w:hAnsi="Times New Roman" w:cs="Times New Roman"/>
        </w:rPr>
        <w:t xml:space="preserve">n </w:t>
      </w:r>
      <w:proofErr w:type="spellStart"/>
      <w:r w:rsidR="008936DD" w:rsidRPr="00705170">
        <w:rPr>
          <w:rFonts w:ascii="Times New Roman" w:hAnsi="Times New Roman" w:cs="Times New Roman"/>
        </w:rPr>
        <w:t>jurisdictions</w:t>
      </w:r>
      <w:proofErr w:type="spellEnd"/>
      <w:r w:rsidR="008936DD" w:rsidRPr="00705170">
        <w:rPr>
          <w:rFonts w:ascii="Times New Roman" w:hAnsi="Times New Roman" w:cs="Times New Roman"/>
        </w:rPr>
        <w:t xml:space="preserve"> in </w:t>
      </w:r>
      <w:proofErr w:type="spellStart"/>
      <w:r w:rsidR="008936DD" w:rsidRPr="00705170">
        <w:rPr>
          <w:rFonts w:ascii="Times New Roman" w:hAnsi="Times New Roman" w:cs="Times New Roman"/>
        </w:rPr>
        <w:t>which</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the</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state</w:t>
      </w:r>
      <w:proofErr w:type="spellEnd"/>
      <w:r w:rsidR="008936DD" w:rsidRPr="00705170">
        <w:rPr>
          <w:rFonts w:ascii="Times New Roman" w:hAnsi="Times New Roman" w:cs="Times New Roman"/>
        </w:rPr>
        <w:t xml:space="preserve"> is </w:t>
      </w:r>
      <w:proofErr w:type="spellStart"/>
      <w:r w:rsidR="008936DD" w:rsidRPr="00705170">
        <w:rPr>
          <w:rFonts w:ascii="Times New Roman" w:hAnsi="Times New Roman" w:cs="Times New Roman"/>
        </w:rPr>
        <w:t>expressly</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obliged</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to</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make</w:t>
      </w:r>
      <w:proofErr w:type="spellEnd"/>
      <w:r w:rsidR="008936DD" w:rsidRPr="00705170">
        <w:rPr>
          <w:rFonts w:ascii="Times New Roman" w:hAnsi="Times New Roman" w:cs="Times New Roman"/>
        </w:rPr>
        <w:t xml:space="preserve"> sure </w:t>
      </w:r>
      <w:proofErr w:type="spellStart"/>
      <w:r w:rsidR="008936DD" w:rsidRPr="00705170">
        <w:rPr>
          <w:rFonts w:ascii="Times New Roman" w:hAnsi="Times New Roman" w:cs="Times New Roman"/>
        </w:rPr>
        <w:t>corporations</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operate</w:t>
      </w:r>
      <w:proofErr w:type="spellEnd"/>
      <w:r w:rsidR="008936DD" w:rsidRPr="00705170">
        <w:rPr>
          <w:rFonts w:ascii="Times New Roman" w:hAnsi="Times New Roman" w:cs="Times New Roman"/>
        </w:rPr>
        <w:t xml:space="preserve"> in </w:t>
      </w:r>
      <w:proofErr w:type="spellStart"/>
      <w:r w:rsidR="008936DD" w:rsidRPr="00705170">
        <w:rPr>
          <w:rFonts w:ascii="Times New Roman" w:hAnsi="Times New Roman" w:cs="Times New Roman"/>
        </w:rPr>
        <w:t>accordance</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with</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public</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interest</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such</w:t>
      </w:r>
      <w:proofErr w:type="spellEnd"/>
      <w:r w:rsidR="008936DD" w:rsidRPr="00705170">
        <w:rPr>
          <w:rFonts w:ascii="Times New Roman" w:hAnsi="Times New Roman" w:cs="Times New Roman"/>
        </w:rPr>
        <w:t xml:space="preserve"> as </w:t>
      </w:r>
      <w:proofErr w:type="spellStart"/>
      <w:r w:rsidR="008936DD" w:rsidRPr="00705170">
        <w:rPr>
          <w:rFonts w:ascii="Times New Roman" w:hAnsi="Times New Roman" w:cs="Times New Roman"/>
        </w:rPr>
        <w:t>Turkey</w:t>
      </w:r>
      <w:proofErr w:type="spellEnd"/>
      <w:r w:rsidR="008936DD" w:rsidRPr="00705170">
        <w:rPr>
          <w:rStyle w:val="DipnotBavurusu"/>
          <w:rFonts w:ascii="Times New Roman" w:hAnsi="Times New Roman" w:cs="Times New Roman"/>
        </w:rPr>
        <w:footnoteReference w:id="780"/>
      </w:r>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this</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obligation</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requires</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imposition</w:t>
      </w:r>
      <w:proofErr w:type="spellEnd"/>
      <w:r w:rsidR="008936DD" w:rsidRPr="00705170">
        <w:rPr>
          <w:rFonts w:ascii="Times New Roman" w:hAnsi="Times New Roman" w:cs="Times New Roman"/>
        </w:rPr>
        <w:t xml:space="preserve"> of </w:t>
      </w:r>
      <w:proofErr w:type="spellStart"/>
      <w:r w:rsidR="008936DD" w:rsidRPr="00705170">
        <w:rPr>
          <w:rFonts w:ascii="Times New Roman" w:hAnsi="Times New Roman" w:cs="Times New Roman"/>
        </w:rPr>
        <w:t>necessary</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measures</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to</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cover</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all</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the</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possible</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activities</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that</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will</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contravene</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public</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interest</w:t>
      </w:r>
      <w:proofErr w:type="spellEnd"/>
      <w:r w:rsidR="00471B77" w:rsidRPr="00705170">
        <w:rPr>
          <w:rFonts w:ascii="Times New Roman" w:hAnsi="Times New Roman" w:cs="Times New Roman"/>
        </w:rPr>
        <w:t>,</w:t>
      </w:r>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and</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issues</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evaluated</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accordingly</w:t>
      </w:r>
      <w:proofErr w:type="spellEnd"/>
      <w:r w:rsidR="008936DD" w:rsidRPr="00705170">
        <w:rPr>
          <w:rStyle w:val="DipnotBavurusu"/>
          <w:rFonts w:ascii="Times New Roman" w:hAnsi="Times New Roman" w:cs="Times New Roman"/>
        </w:rPr>
        <w:footnoteReference w:id="781"/>
      </w:r>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In</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this</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regards</w:t>
      </w:r>
      <w:proofErr w:type="spellEnd"/>
      <w:r w:rsidR="008936DD" w:rsidRPr="00705170">
        <w:rPr>
          <w:rFonts w:ascii="Times New Roman" w:hAnsi="Times New Roman" w:cs="Times New Roman"/>
        </w:rPr>
        <w:t xml:space="preserve">, </w:t>
      </w:r>
      <w:proofErr w:type="spellStart"/>
      <w:r w:rsidR="00F85877" w:rsidRPr="00705170">
        <w:rPr>
          <w:rFonts w:ascii="Times New Roman" w:hAnsi="Times New Roman" w:cs="Times New Roman"/>
        </w:rPr>
        <w:t>Article</w:t>
      </w:r>
      <w:proofErr w:type="spellEnd"/>
      <w:r w:rsidR="00F85877" w:rsidRPr="00705170">
        <w:rPr>
          <w:rFonts w:ascii="Times New Roman" w:hAnsi="Times New Roman" w:cs="Times New Roman"/>
        </w:rPr>
        <w:t xml:space="preserve"> 48(2) of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8936DD" w:rsidRPr="00705170">
        <w:rPr>
          <w:rFonts w:ascii="Times New Roman" w:hAnsi="Times New Roman" w:cs="Times New Roman"/>
        </w:rPr>
        <w:t>Turkish</w:t>
      </w:r>
      <w:proofErr w:type="spellEnd"/>
      <w:r w:rsidR="008936DD" w:rsidRPr="00705170">
        <w:rPr>
          <w:rFonts w:ascii="Times New Roman" w:hAnsi="Times New Roman" w:cs="Times New Roman"/>
        </w:rPr>
        <w:t xml:space="preserve"> </w:t>
      </w:r>
      <w:proofErr w:type="spellStart"/>
      <w:r w:rsidR="00530BC0">
        <w:rPr>
          <w:rFonts w:ascii="Times New Roman" w:hAnsi="Times New Roman" w:cs="Times New Roman"/>
        </w:rPr>
        <w:t>C</w:t>
      </w:r>
      <w:r w:rsidR="00F85877" w:rsidRPr="00705170">
        <w:rPr>
          <w:rFonts w:ascii="Times New Roman" w:hAnsi="Times New Roman" w:cs="Times New Roman"/>
        </w:rPr>
        <w:t>onstitution</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states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that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State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shall</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take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measures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to</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ensure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that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private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enterprises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operate</w:t>
      </w:r>
      <w:proofErr w:type="spellEnd"/>
      <w:r w:rsidR="00F85877" w:rsidRPr="00705170">
        <w:rPr>
          <w:rFonts w:ascii="Times New Roman" w:hAnsi="Times New Roman" w:cs="Times New Roman"/>
        </w:rPr>
        <w:t xml:space="preserve"> in </w:t>
      </w:r>
      <w:proofErr w:type="spellStart"/>
      <w:r w:rsidR="00F85877" w:rsidRPr="00705170">
        <w:rPr>
          <w:rFonts w:ascii="Times New Roman" w:hAnsi="Times New Roman" w:cs="Times New Roman"/>
        </w:rPr>
        <w:t>accordance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with</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national</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economic</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requirements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and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social</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objectives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and</w:t>
      </w:r>
      <w:proofErr w:type="spellEnd"/>
      <w:r w:rsidR="00F85877" w:rsidRPr="00705170">
        <w:rPr>
          <w:rFonts w:ascii="Times New Roman" w:hAnsi="Times New Roman" w:cs="Times New Roman"/>
        </w:rPr>
        <w:t xml:space="preserve"> in </w:t>
      </w:r>
      <w:proofErr w:type="spellStart"/>
      <w:r w:rsidR="00F85877" w:rsidRPr="00705170">
        <w:rPr>
          <w:rFonts w:ascii="Times New Roman" w:hAnsi="Times New Roman" w:cs="Times New Roman"/>
        </w:rPr>
        <w:t>security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and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stability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Likewise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Article</w:t>
      </w:r>
      <w:proofErr w:type="spellEnd"/>
      <w:r w:rsidR="00F85877" w:rsidRPr="00705170">
        <w:rPr>
          <w:rFonts w:ascii="Times New Roman" w:hAnsi="Times New Roman" w:cs="Times New Roman"/>
        </w:rPr>
        <w:t xml:space="preserve"> 35 </w:t>
      </w:r>
      <w:proofErr w:type="spellStart"/>
      <w:r w:rsidR="00F85877" w:rsidRPr="00705170">
        <w:rPr>
          <w:rFonts w:ascii="Times New Roman" w:hAnsi="Times New Roman" w:cs="Times New Roman"/>
        </w:rPr>
        <w:t>expresses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that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right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to</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property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may</w:t>
      </w:r>
      <w:proofErr w:type="spellEnd"/>
      <w:r w:rsidR="00F85877" w:rsidRPr="00705170">
        <w:rPr>
          <w:rFonts w:ascii="Times New Roman" w:hAnsi="Times New Roman" w:cs="Times New Roman"/>
        </w:rPr>
        <w:t xml:space="preserve"> be limit</w:t>
      </w:r>
      <w:r w:rsidR="00471B77" w:rsidRPr="00705170">
        <w:rPr>
          <w:rFonts w:ascii="Times New Roman" w:hAnsi="Times New Roman" w:cs="Times New Roman"/>
        </w:rPr>
        <w:t xml:space="preserve">ed </w:t>
      </w:r>
      <w:proofErr w:type="spellStart"/>
      <w:r w:rsidR="00471B77" w:rsidRPr="00705170">
        <w:rPr>
          <w:rFonts w:ascii="Times New Roman" w:hAnsi="Times New Roman" w:cs="Times New Roman"/>
        </w:rPr>
        <w:t>by</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law</w:t>
      </w:r>
      <w:proofErr w:type="spellEnd"/>
      <w:r w:rsidR="00471B77" w:rsidRPr="00705170">
        <w:rPr>
          <w:rFonts w:ascii="Times New Roman" w:hAnsi="Times New Roman" w:cs="Times New Roman"/>
        </w:rPr>
        <w:t xml:space="preserve"> i</w:t>
      </w:r>
      <w:r w:rsidR="00F85877" w:rsidRPr="00705170">
        <w:rPr>
          <w:rFonts w:ascii="Times New Roman" w:hAnsi="Times New Roman" w:cs="Times New Roman"/>
        </w:rPr>
        <w:t xml:space="preserve">n </w:t>
      </w:r>
      <w:proofErr w:type="spellStart"/>
      <w:r w:rsidR="00F85877" w:rsidRPr="00705170">
        <w:rPr>
          <w:rFonts w:ascii="Times New Roman" w:hAnsi="Times New Roman" w:cs="Times New Roman"/>
        </w:rPr>
        <w:t>view</w:t>
      </w:r>
      <w:proofErr w:type="spellEnd"/>
      <w:r w:rsidR="00F85877" w:rsidRPr="00705170">
        <w:rPr>
          <w:rFonts w:ascii="Times New Roman" w:hAnsi="Times New Roman" w:cs="Times New Roman"/>
        </w:rPr>
        <w:t xml:space="preserve"> of </w:t>
      </w:r>
      <w:proofErr w:type="spellStart"/>
      <w:r w:rsidR="00F85877" w:rsidRPr="00705170">
        <w:rPr>
          <w:rFonts w:ascii="Times New Roman" w:hAnsi="Times New Roman" w:cs="Times New Roman"/>
        </w:rPr>
        <w:t>public</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interest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and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exercise</w:t>
      </w:r>
      <w:proofErr w:type="spellEnd"/>
      <w:r w:rsidR="00F85877" w:rsidRPr="00705170">
        <w:rPr>
          <w:rFonts w:ascii="Times New Roman" w:hAnsi="Times New Roman" w:cs="Times New Roman"/>
        </w:rPr>
        <w:t xml:space="preserve"> of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right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to</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property</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shall</w:t>
      </w:r>
      <w:proofErr w:type="spellEnd"/>
      <w:r w:rsidR="00F85877" w:rsidRPr="00705170">
        <w:rPr>
          <w:rFonts w:ascii="Times New Roman" w:hAnsi="Times New Roman" w:cs="Times New Roman"/>
        </w:rPr>
        <w:t xml:space="preserve"> not </w:t>
      </w:r>
      <w:proofErr w:type="spellStart"/>
      <w:r w:rsidR="00F85877" w:rsidRPr="00705170">
        <w:rPr>
          <w:rFonts w:ascii="Times New Roman" w:hAnsi="Times New Roman" w:cs="Times New Roman"/>
        </w:rPr>
        <w:t>contravene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public</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interest</w:t>
      </w:r>
      <w:proofErr w:type="spellEnd"/>
      <w:r w:rsidR="00F85877" w:rsidRPr="00705170">
        <w:rPr>
          <w:rStyle w:val="DipnotBavurusu"/>
          <w:rFonts w:ascii="Times New Roman" w:hAnsi="Times New Roman" w:cs="Times New Roman"/>
        </w:rPr>
        <w:footnoteReference w:id="782"/>
      </w:r>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These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articles</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align</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well</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with</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social</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state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principle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that</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the</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Constitution</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adapted</w:t>
      </w:r>
      <w:proofErr w:type="spellEnd"/>
      <w:r w:rsidR="00F85877" w:rsidRPr="00705170">
        <w:rPr>
          <w:rFonts w:ascii="Times New Roman" w:hAnsi="Times New Roman" w:cs="Times New Roman"/>
        </w:rPr>
        <w:t xml:space="preserve"> (</w:t>
      </w:r>
      <w:proofErr w:type="spellStart"/>
      <w:r w:rsidR="00F85877" w:rsidRPr="00705170">
        <w:rPr>
          <w:rFonts w:ascii="Times New Roman" w:hAnsi="Times New Roman" w:cs="Times New Roman"/>
        </w:rPr>
        <w:t>Article</w:t>
      </w:r>
      <w:proofErr w:type="spellEnd"/>
      <w:r w:rsidR="00F85877" w:rsidRPr="00705170">
        <w:rPr>
          <w:rFonts w:ascii="Times New Roman" w:hAnsi="Times New Roman" w:cs="Times New Roman"/>
        </w:rPr>
        <w:t xml:space="preserve"> 2)</w:t>
      </w:r>
      <w:r w:rsidR="00F85877" w:rsidRPr="00705170">
        <w:rPr>
          <w:rStyle w:val="DipnotBavurusu"/>
          <w:rFonts w:ascii="Times New Roman" w:hAnsi="Times New Roman" w:cs="Times New Roman"/>
        </w:rPr>
        <w:footnoteReference w:id="783"/>
      </w:r>
      <w:r w:rsidR="00F85877" w:rsidRPr="00705170">
        <w:rPr>
          <w:rFonts w:ascii="Times New Roman" w:hAnsi="Times New Roman" w:cs="Times New Roman"/>
        </w:rPr>
        <w:t xml:space="preserve">. </w:t>
      </w:r>
      <w:proofErr w:type="spellStart"/>
      <w:r w:rsidR="008936DD" w:rsidRPr="00705170">
        <w:rPr>
          <w:rFonts w:ascii="Times New Roman" w:hAnsi="Times New Roman" w:cs="Times New Roman"/>
        </w:rPr>
        <w:t>Then</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the</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dissolution</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statute’s</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and</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reasonable</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expectation</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theory’s</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function</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to</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protect</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the</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corporation</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and</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the</w:t>
      </w:r>
      <w:proofErr w:type="spellEnd"/>
      <w:r w:rsidR="008936DD" w:rsidRPr="00705170">
        <w:rPr>
          <w:rFonts w:ascii="Times New Roman" w:hAnsi="Times New Roman" w:cs="Times New Roman"/>
        </w:rPr>
        <w:t xml:space="preserve"> </w:t>
      </w:r>
      <w:proofErr w:type="spellStart"/>
      <w:r w:rsidR="00471B77" w:rsidRPr="00705170">
        <w:rPr>
          <w:rFonts w:ascii="Times New Roman" w:hAnsi="Times New Roman" w:cs="Times New Roman"/>
        </w:rPr>
        <w:t>public</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interest</w:t>
      </w:r>
      <w:proofErr w:type="spellEnd"/>
      <w:r w:rsidR="008936DD" w:rsidRPr="00705170">
        <w:rPr>
          <w:rFonts w:ascii="Times New Roman" w:hAnsi="Times New Roman" w:cs="Times New Roman"/>
        </w:rPr>
        <w:t xml:space="preserve"> can</w:t>
      </w:r>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justify</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the</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lastRenderedPageBreak/>
        <w:t>imposition</w:t>
      </w:r>
      <w:proofErr w:type="spellEnd"/>
      <w:r w:rsidR="001F66DA" w:rsidRPr="00705170">
        <w:rPr>
          <w:rFonts w:ascii="Times New Roman" w:hAnsi="Times New Roman" w:cs="Times New Roman"/>
        </w:rPr>
        <w:t xml:space="preserve"> of </w:t>
      </w:r>
      <w:proofErr w:type="spellStart"/>
      <w:r w:rsidR="001F66DA" w:rsidRPr="00705170">
        <w:rPr>
          <w:rFonts w:ascii="Times New Roman" w:hAnsi="Times New Roman" w:cs="Times New Roman"/>
        </w:rPr>
        <w:t>the</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measu</w:t>
      </w:r>
      <w:r w:rsidR="001F66DA" w:rsidRPr="00705170">
        <w:rPr>
          <w:rFonts w:ascii="Times New Roman" w:hAnsi="Times New Roman" w:cs="Times New Roman"/>
        </w:rPr>
        <w:t>re</w:t>
      </w:r>
      <w:proofErr w:type="spellEnd"/>
      <w:r w:rsidR="001F66DA" w:rsidRPr="00705170">
        <w:rPr>
          <w:rFonts w:ascii="Times New Roman" w:hAnsi="Times New Roman" w:cs="Times New Roman"/>
        </w:rPr>
        <w:t xml:space="preserve"> on </w:t>
      </w:r>
      <w:proofErr w:type="spellStart"/>
      <w:r w:rsidR="001F66DA" w:rsidRPr="00705170">
        <w:rPr>
          <w:rFonts w:ascii="Times New Roman" w:hAnsi="Times New Roman" w:cs="Times New Roman"/>
        </w:rPr>
        <w:t>publicly</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traded</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corporation</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especially</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when</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the</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non</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pecuniary</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private</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benefit</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issue</w:t>
      </w:r>
      <w:proofErr w:type="spellEnd"/>
      <w:r w:rsidR="001F66DA" w:rsidRPr="00705170">
        <w:rPr>
          <w:rFonts w:ascii="Times New Roman" w:hAnsi="Times New Roman" w:cs="Times New Roman"/>
        </w:rPr>
        <w:t xml:space="preserve"> is </w:t>
      </w:r>
      <w:proofErr w:type="spellStart"/>
      <w:r w:rsidR="001F66DA" w:rsidRPr="00705170">
        <w:rPr>
          <w:rFonts w:ascii="Times New Roman" w:hAnsi="Times New Roman" w:cs="Times New Roman"/>
        </w:rPr>
        <w:t>taken</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into</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consider</w:t>
      </w:r>
      <w:proofErr w:type="spellEnd"/>
      <w:r w:rsidR="001F66DA" w:rsidRPr="00705170">
        <w:rPr>
          <w:rFonts w:ascii="Times New Roman" w:hAnsi="Times New Roman" w:cs="Times New Roman"/>
        </w:rPr>
        <w:t>ation</w:t>
      </w:r>
      <w:r w:rsidR="001F66DA" w:rsidRPr="00705170">
        <w:rPr>
          <w:rStyle w:val="DipnotBavurusu"/>
          <w:rFonts w:ascii="Times New Roman" w:hAnsi="Times New Roman" w:cs="Times New Roman"/>
        </w:rPr>
        <w:footnoteReference w:id="784"/>
      </w:r>
      <w:r w:rsidR="00471B77" w:rsidRPr="00705170">
        <w:rPr>
          <w:rFonts w:ascii="Times New Roman" w:hAnsi="Times New Roman" w:cs="Times New Roman"/>
        </w:rPr>
        <w:t xml:space="preserve">, even </w:t>
      </w:r>
      <w:proofErr w:type="spellStart"/>
      <w:r w:rsidR="00471B77" w:rsidRPr="00705170">
        <w:rPr>
          <w:rFonts w:ascii="Times New Roman" w:hAnsi="Times New Roman" w:cs="Times New Roman"/>
        </w:rPr>
        <w:t>when</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no</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protection</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for</w:t>
      </w:r>
      <w:proofErr w:type="spellEnd"/>
      <w:r w:rsidR="008936DD" w:rsidRPr="00705170">
        <w:rPr>
          <w:rFonts w:ascii="Times New Roman" w:hAnsi="Times New Roman" w:cs="Times New Roman"/>
        </w:rPr>
        <w:t xml:space="preserve"> a </w:t>
      </w:r>
      <w:proofErr w:type="spellStart"/>
      <w:r w:rsidR="008936DD" w:rsidRPr="00705170">
        <w:rPr>
          <w:rFonts w:ascii="Times New Roman" w:hAnsi="Times New Roman" w:cs="Times New Roman"/>
        </w:rPr>
        <w:t>particular</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shareholder’s</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particular</w:t>
      </w:r>
      <w:proofErr w:type="spellEnd"/>
      <w:r w:rsidR="008936DD" w:rsidRPr="00705170">
        <w:rPr>
          <w:rFonts w:ascii="Times New Roman" w:hAnsi="Times New Roman" w:cs="Times New Roman"/>
        </w:rPr>
        <w:t xml:space="preserve"> </w:t>
      </w:r>
      <w:proofErr w:type="spellStart"/>
      <w:r w:rsidR="008936DD" w:rsidRPr="00705170">
        <w:rPr>
          <w:rFonts w:ascii="Times New Roman" w:hAnsi="Times New Roman" w:cs="Times New Roman"/>
        </w:rPr>
        <w:t>investment</w:t>
      </w:r>
      <w:proofErr w:type="spellEnd"/>
      <w:r w:rsidR="008936DD" w:rsidRPr="00705170">
        <w:rPr>
          <w:rFonts w:ascii="Times New Roman" w:hAnsi="Times New Roman" w:cs="Times New Roman"/>
        </w:rPr>
        <w:t xml:space="preserve"> is </w:t>
      </w:r>
      <w:proofErr w:type="spellStart"/>
      <w:r w:rsidR="008936DD" w:rsidRPr="00705170">
        <w:rPr>
          <w:rFonts w:ascii="Times New Roman" w:hAnsi="Times New Roman" w:cs="Times New Roman"/>
        </w:rPr>
        <w:t>provided</w:t>
      </w:r>
      <w:proofErr w:type="spellEnd"/>
      <w:r w:rsidR="008936DD" w:rsidRPr="00705170">
        <w:rPr>
          <w:rFonts w:ascii="Times New Roman" w:hAnsi="Times New Roman" w:cs="Times New Roman"/>
        </w:rPr>
        <w:t>.</w:t>
      </w:r>
    </w:p>
    <w:p w14:paraId="7A43A1B7" w14:textId="6DB1434A" w:rsidR="002D106F" w:rsidRPr="00705170" w:rsidRDefault="00B45643" w:rsidP="00471B77">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Moreover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t>
      </w:r>
      <w:r w:rsidR="002D106F" w:rsidRPr="00705170">
        <w:rPr>
          <w:rFonts w:ascii="Times New Roman" w:hAnsi="Times New Roman" w:cs="Times New Roman"/>
        </w:rPr>
        <w:t>he</w:t>
      </w:r>
      <w:proofErr w:type="spellEnd"/>
      <w:r w:rsidR="002D106F" w:rsidRPr="00705170">
        <w:rPr>
          <w:rFonts w:ascii="Times New Roman" w:hAnsi="Times New Roman" w:cs="Times New Roman"/>
        </w:rPr>
        <w:t xml:space="preserve"> </w:t>
      </w:r>
      <w:proofErr w:type="spellStart"/>
      <w:r w:rsidR="002D106F" w:rsidRPr="00705170">
        <w:rPr>
          <w:rFonts w:ascii="Times New Roman" w:hAnsi="Times New Roman" w:cs="Times New Roman"/>
        </w:rPr>
        <w:t>history</w:t>
      </w:r>
      <w:proofErr w:type="spellEnd"/>
      <w:r w:rsidR="002D106F" w:rsidRPr="00705170">
        <w:rPr>
          <w:rFonts w:ascii="Times New Roman" w:hAnsi="Times New Roman" w:cs="Times New Roman"/>
        </w:rPr>
        <w:t xml:space="preserve"> of </w:t>
      </w:r>
      <w:proofErr w:type="spellStart"/>
      <w:r w:rsidR="002D106F" w:rsidRPr="00705170">
        <w:rPr>
          <w:rFonts w:ascii="Times New Roman" w:hAnsi="Times New Roman" w:cs="Times New Roman"/>
        </w:rPr>
        <w:t>the</w:t>
      </w:r>
      <w:proofErr w:type="spellEnd"/>
      <w:r w:rsidR="002D106F" w:rsidRPr="00705170">
        <w:rPr>
          <w:rFonts w:ascii="Times New Roman" w:hAnsi="Times New Roman" w:cs="Times New Roman"/>
        </w:rPr>
        <w:t xml:space="preserve"> </w:t>
      </w:r>
      <w:proofErr w:type="spellStart"/>
      <w:r w:rsidR="002D106F" w:rsidRPr="00705170">
        <w:rPr>
          <w:rFonts w:ascii="Times New Roman" w:hAnsi="Times New Roman" w:cs="Times New Roman"/>
        </w:rPr>
        <w:t>oppression</w:t>
      </w:r>
      <w:proofErr w:type="spellEnd"/>
      <w:r w:rsidR="002D106F" w:rsidRPr="00705170">
        <w:rPr>
          <w:rFonts w:ascii="Times New Roman" w:hAnsi="Times New Roman" w:cs="Times New Roman"/>
        </w:rPr>
        <w:t xml:space="preserve"> </w:t>
      </w:r>
      <w:proofErr w:type="spellStart"/>
      <w:r w:rsidR="002D106F" w:rsidRPr="00705170">
        <w:rPr>
          <w:rFonts w:ascii="Times New Roman" w:hAnsi="Times New Roman" w:cs="Times New Roman"/>
        </w:rPr>
        <w:t>statutes</w:t>
      </w:r>
      <w:proofErr w:type="spellEnd"/>
      <w:r w:rsidR="002D106F" w:rsidRPr="00705170">
        <w:rPr>
          <w:rFonts w:ascii="Times New Roman" w:hAnsi="Times New Roman" w:cs="Times New Roman"/>
        </w:rPr>
        <w:t xml:space="preserve"> </w:t>
      </w:r>
      <w:proofErr w:type="spellStart"/>
      <w:r w:rsidR="002D106F" w:rsidRPr="00705170">
        <w:rPr>
          <w:rFonts w:ascii="Times New Roman" w:hAnsi="Times New Roman" w:cs="Times New Roman"/>
        </w:rPr>
        <w:t>and</w:t>
      </w:r>
      <w:proofErr w:type="spellEnd"/>
      <w:r w:rsidR="002D106F" w:rsidRPr="00705170">
        <w:rPr>
          <w:rFonts w:ascii="Times New Roman" w:hAnsi="Times New Roman" w:cs="Times New Roman"/>
        </w:rPr>
        <w:t xml:space="preserve"> </w:t>
      </w:r>
      <w:proofErr w:type="spellStart"/>
      <w:r w:rsidR="002D106F" w:rsidRPr="00705170">
        <w:rPr>
          <w:rFonts w:ascii="Times New Roman" w:hAnsi="Times New Roman" w:cs="Times New Roman"/>
        </w:rPr>
        <w:t>reasonable</w:t>
      </w:r>
      <w:proofErr w:type="spellEnd"/>
      <w:r w:rsidR="002D106F" w:rsidRPr="00705170">
        <w:rPr>
          <w:rFonts w:ascii="Times New Roman" w:hAnsi="Times New Roman" w:cs="Times New Roman"/>
        </w:rPr>
        <w:t xml:space="preserve"> </w:t>
      </w:r>
      <w:proofErr w:type="spellStart"/>
      <w:r w:rsidR="002D106F" w:rsidRPr="00705170">
        <w:rPr>
          <w:rFonts w:ascii="Times New Roman" w:hAnsi="Times New Roman" w:cs="Times New Roman"/>
        </w:rPr>
        <w:t>expectations</w:t>
      </w:r>
      <w:proofErr w:type="spellEnd"/>
      <w:r w:rsidR="002D106F" w:rsidRPr="00705170">
        <w:rPr>
          <w:rFonts w:ascii="Times New Roman" w:hAnsi="Times New Roman" w:cs="Times New Roman"/>
        </w:rPr>
        <w:t xml:space="preserve"> </w:t>
      </w:r>
      <w:proofErr w:type="spellStart"/>
      <w:r w:rsidR="002D106F" w:rsidRPr="00705170">
        <w:rPr>
          <w:rFonts w:ascii="Times New Roman" w:hAnsi="Times New Roman" w:cs="Times New Roman"/>
        </w:rPr>
        <w:t>standard</w:t>
      </w:r>
      <w:proofErr w:type="spellEnd"/>
      <w:r w:rsidR="002D106F" w:rsidRPr="00705170">
        <w:rPr>
          <w:rFonts w:ascii="Times New Roman" w:hAnsi="Times New Roman" w:cs="Times New Roman"/>
        </w:rPr>
        <w:t xml:space="preserve"> </w:t>
      </w:r>
      <w:proofErr w:type="spellStart"/>
      <w:r w:rsidR="002D106F" w:rsidRPr="00705170">
        <w:rPr>
          <w:rFonts w:ascii="Times New Roman" w:hAnsi="Times New Roman" w:cs="Times New Roman"/>
        </w:rPr>
        <w:t>have</w:t>
      </w:r>
      <w:proofErr w:type="spellEnd"/>
      <w:r w:rsidR="002D106F" w:rsidRPr="00705170">
        <w:rPr>
          <w:rFonts w:ascii="Times New Roman" w:hAnsi="Times New Roman" w:cs="Times New Roman"/>
        </w:rPr>
        <w:t xml:space="preserve"> </w:t>
      </w:r>
      <w:proofErr w:type="spellStart"/>
      <w:r w:rsidR="002D106F" w:rsidRPr="00705170">
        <w:rPr>
          <w:rFonts w:ascii="Times New Roman" w:hAnsi="Times New Roman" w:cs="Times New Roman"/>
        </w:rPr>
        <w:t>nothing</w:t>
      </w:r>
      <w:proofErr w:type="spellEnd"/>
      <w:r w:rsidR="002D106F" w:rsidRPr="00705170">
        <w:rPr>
          <w:rFonts w:ascii="Times New Roman" w:hAnsi="Times New Roman" w:cs="Times New Roman"/>
        </w:rPr>
        <w:t xml:space="preserve"> </w:t>
      </w:r>
      <w:proofErr w:type="spellStart"/>
      <w:r w:rsidR="002D106F" w:rsidRPr="00705170">
        <w:rPr>
          <w:rFonts w:ascii="Times New Roman" w:hAnsi="Times New Roman" w:cs="Times New Roman"/>
        </w:rPr>
        <w:t>that</w:t>
      </w:r>
      <w:proofErr w:type="spellEnd"/>
      <w:r w:rsidR="002D106F" w:rsidRPr="00705170">
        <w:rPr>
          <w:rFonts w:ascii="Times New Roman" w:hAnsi="Times New Roman" w:cs="Times New Roman"/>
        </w:rPr>
        <w:t xml:space="preserve"> </w:t>
      </w:r>
      <w:proofErr w:type="spellStart"/>
      <w:r w:rsidRPr="00705170">
        <w:rPr>
          <w:rFonts w:ascii="Times New Roman" w:hAnsi="Times New Roman" w:cs="Times New Roman"/>
        </w:rPr>
        <w:t>prohibits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imposition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002D106F" w:rsidRPr="00705170">
        <w:rPr>
          <w:rFonts w:ascii="Times New Roman" w:hAnsi="Times New Roman" w:cs="Times New Roman"/>
        </w:rPr>
        <w:t>.</w:t>
      </w:r>
      <w:r w:rsidRPr="00705170">
        <w:rPr>
          <w:rFonts w:ascii="Times New Roman" w:hAnsi="Times New Roman" w:cs="Times New Roman"/>
        </w:rPr>
        <w:t xml:space="preserve"> </w:t>
      </w:r>
      <w:proofErr w:type="spellStart"/>
      <w:r w:rsidR="005423E5" w:rsidRPr="00705170">
        <w:rPr>
          <w:rFonts w:ascii="Times New Roman" w:hAnsi="Times New Roman" w:cs="Times New Roman"/>
        </w:rPr>
        <w:t>Prior</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to</w:t>
      </w:r>
      <w:proofErr w:type="spellEnd"/>
      <w:r w:rsidR="005423E5" w:rsidRPr="00705170">
        <w:rPr>
          <w:rFonts w:ascii="Times New Roman" w:hAnsi="Times New Roman" w:cs="Times New Roman"/>
        </w:rPr>
        <w:t xml:space="preserve"> 1948, </w:t>
      </w:r>
      <w:proofErr w:type="spellStart"/>
      <w:r w:rsidR="005423E5" w:rsidRPr="00705170">
        <w:rPr>
          <w:rFonts w:ascii="Times New Roman" w:hAnsi="Times New Roman" w:cs="Times New Roman"/>
        </w:rPr>
        <w:t>minority</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shareholders</w:t>
      </w:r>
      <w:proofErr w:type="spellEnd"/>
      <w:r w:rsidR="005423E5" w:rsidRPr="00705170">
        <w:rPr>
          <w:rFonts w:ascii="Times New Roman" w:hAnsi="Times New Roman" w:cs="Times New Roman"/>
        </w:rPr>
        <w:t xml:space="preserve"> in English </w:t>
      </w:r>
      <w:proofErr w:type="spellStart"/>
      <w:r w:rsidR="005423E5" w:rsidRPr="00705170">
        <w:rPr>
          <w:rFonts w:ascii="Times New Roman" w:hAnsi="Times New Roman" w:cs="Times New Roman"/>
        </w:rPr>
        <w:t>companies</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were</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without</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much</w:t>
      </w:r>
      <w:proofErr w:type="spellEnd"/>
      <w:r w:rsidR="005423E5" w:rsidRPr="00705170">
        <w:rPr>
          <w:rFonts w:ascii="Times New Roman" w:hAnsi="Times New Roman" w:cs="Times New Roman"/>
        </w:rPr>
        <w:t xml:space="preserve"> of a </w:t>
      </w:r>
      <w:proofErr w:type="spellStart"/>
      <w:r w:rsidR="005423E5" w:rsidRPr="00705170">
        <w:rPr>
          <w:rFonts w:ascii="Times New Roman" w:hAnsi="Times New Roman" w:cs="Times New Roman"/>
        </w:rPr>
        <w:t>remedy</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against</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overreaching</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behaviour</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by</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majority</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shareholders</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and</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t</w:t>
      </w:r>
      <w:r w:rsidRPr="00705170">
        <w:rPr>
          <w:rFonts w:ascii="Times New Roman" w:hAnsi="Times New Roman" w:cs="Times New Roman"/>
        </w:rPr>
        <w:t>he</w:t>
      </w:r>
      <w:proofErr w:type="spellEnd"/>
      <w:r w:rsidRPr="00705170">
        <w:rPr>
          <w:rFonts w:ascii="Times New Roman" w:hAnsi="Times New Roman" w:cs="Times New Roman"/>
        </w:rPr>
        <w:t xml:space="preserve"> English </w:t>
      </w:r>
      <w:proofErr w:type="spellStart"/>
      <w:r w:rsidRPr="00705170">
        <w:rPr>
          <w:rFonts w:ascii="Times New Roman" w:hAnsi="Times New Roman" w:cs="Times New Roman"/>
        </w:rPr>
        <w:t>counterpart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today’s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granting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usage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002D106F" w:rsidRPr="00705170">
        <w:rPr>
          <w:rFonts w:ascii="Times New Roman" w:hAnsi="Times New Roman" w:cs="Times New Roman"/>
        </w:rPr>
        <w:t xml:space="preserve"> </w:t>
      </w:r>
      <w:proofErr w:type="spellStart"/>
      <w:r w:rsidRPr="00705170">
        <w:rPr>
          <w:rFonts w:ascii="Times New Roman" w:hAnsi="Times New Roman" w:cs="Times New Roman"/>
        </w:rPr>
        <w:t>was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introduced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English </w:t>
      </w:r>
      <w:proofErr w:type="spellStart"/>
      <w:r w:rsidRPr="00705170">
        <w:rPr>
          <w:rFonts w:ascii="Times New Roman" w:hAnsi="Times New Roman" w:cs="Times New Roman"/>
        </w:rPr>
        <w:t>Companies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w:t>
      </w:r>
      <w:proofErr w:type="spellEnd"/>
      <w:r w:rsidRPr="00705170">
        <w:rPr>
          <w:rFonts w:ascii="Times New Roman" w:hAnsi="Times New Roman" w:cs="Times New Roman"/>
        </w:rPr>
        <w:t xml:space="preserve"> of 1948</w:t>
      </w:r>
      <w:r w:rsidR="005423E5" w:rsidRPr="00705170">
        <w:rPr>
          <w:rStyle w:val="DipnotBavurusu"/>
          <w:rFonts w:ascii="Times New Roman" w:hAnsi="Times New Roman" w:cs="Times New Roman"/>
        </w:rPr>
        <w:footnoteReference w:id="785"/>
      </w:r>
      <w:r w:rsidRPr="00705170">
        <w:rPr>
          <w:rFonts w:ascii="Times New Roman" w:hAnsi="Times New Roman" w:cs="Times New Roman"/>
        </w:rPr>
        <w:t xml:space="preserve">. </w:t>
      </w:r>
      <w:proofErr w:type="spellStart"/>
      <w:r w:rsidR="005423E5" w:rsidRPr="00705170">
        <w:rPr>
          <w:rFonts w:ascii="Times New Roman" w:hAnsi="Times New Roman" w:cs="Times New Roman"/>
        </w:rPr>
        <w:t>In</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this</w:t>
      </w:r>
      <w:proofErr w:type="spellEnd"/>
      <w:r w:rsidR="005423E5" w:rsidRPr="00705170">
        <w:rPr>
          <w:rFonts w:ascii="Times New Roman" w:hAnsi="Times New Roman" w:cs="Times New Roman"/>
        </w:rPr>
        <w:t xml:space="preserve"> sense, </w:t>
      </w:r>
      <w:proofErr w:type="spellStart"/>
      <w:r w:rsidR="005423E5" w:rsidRPr="00705170">
        <w:rPr>
          <w:rFonts w:ascii="Times New Roman" w:hAnsi="Times New Roman" w:cs="Times New Roman"/>
        </w:rPr>
        <w:t>oppression</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statutes</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were</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born</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to</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deal</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with</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the</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misconduct</w:t>
      </w:r>
      <w:proofErr w:type="spellEnd"/>
      <w:r w:rsidR="005423E5" w:rsidRPr="00705170">
        <w:rPr>
          <w:rFonts w:ascii="Times New Roman" w:hAnsi="Times New Roman" w:cs="Times New Roman"/>
        </w:rPr>
        <w:t xml:space="preserve"> of </w:t>
      </w:r>
      <w:proofErr w:type="spellStart"/>
      <w:r w:rsidR="005423E5" w:rsidRPr="00705170">
        <w:rPr>
          <w:rFonts w:ascii="Times New Roman" w:hAnsi="Times New Roman" w:cs="Times New Roman"/>
        </w:rPr>
        <w:t>the</w:t>
      </w:r>
      <w:proofErr w:type="spellEnd"/>
      <w:r w:rsidR="005423E5" w:rsidRPr="00705170">
        <w:rPr>
          <w:rFonts w:ascii="Times New Roman" w:hAnsi="Times New Roman" w:cs="Times New Roman"/>
        </w:rPr>
        <w:t xml:space="preserve"> </w:t>
      </w:r>
      <w:proofErr w:type="spellStart"/>
      <w:r w:rsidR="00E0538A" w:rsidRPr="00705170">
        <w:rPr>
          <w:rFonts w:ascii="Times New Roman" w:hAnsi="Times New Roman" w:cs="Times New Roman"/>
        </w:rPr>
        <w:t>majority</w:t>
      </w:r>
      <w:proofErr w:type="spellEnd"/>
      <w:r w:rsidR="00E0538A" w:rsidRPr="00705170">
        <w:rPr>
          <w:rFonts w:ascii="Times New Roman" w:hAnsi="Times New Roman" w:cs="Times New Roman"/>
        </w:rPr>
        <w:t xml:space="preserve"> </w:t>
      </w:r>
      <w:proofErr w:type="spellStart"/>
      <w:r w:rsidR="00E0538A" w:rsidRPr="00705170">
        <w:rPr>
          <w:rFonts w:ascii="Times New Roman" w:hAnsi="Times New Roman" w:cs="Times New Roman"/>
        </w:rPr>
        <w:t>or</w:t>
      </w:r>
      <w:proofErr w:type="spellEnd"/>
      <w:r w:rsidR="00E0538A" w:rsidRPr="00705170">
        <w:rPr>
          <w:rFonts w:ascii="Times New Roman" w:hAnsi="Times New Roman" w:cs="Times New Roman"/>
        </w:rPr>
        <w:t xml:space="preserve"> </w:t>
      </w:r>
      <w:proofErr w:type="spellStart"/>
      <w:r w:rsidR="00E0538A" w:rsidRPr="00705170">
        <w:rPr>
          <w:rFonts w:ascii="Times New Roman" w:hAnsi="Times New Roman" w:cs="Times New Roman"/>
        </w:rPr>
        <w:t>influencing</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shareholders</w:t>
      </w:r>
      <w:proofErr w:type="spellEnd"/>
      <w:r w:rsidR="005423E5" w:rsidRPr="00705170">
        <w:rPr>
          <w:rFonts w:ascii="Times New Roman" w:hAnsi="Times New Roman" w:cs="Times New Roman"/>
        </w:rPr>
        <w:t xml:space="preserve">. As </w:t>
      </w:r>
      <w:proofErr w:type="spellStart"/>
      <w:r w:rsidR="005423E5" w:rsidRPr="00705170">
        <w:rPr>
          <w:rFonts w:ascii="Times New Roman" w:hAnsi="Times New Roman" w:cs="Times New Roman"/>
        </w:rPr>
        <w:t>these</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shareholders</w:t>
      </w:r>
      <w:proofErr w:type="spellEnd"/>
      <w:r w:rsidR="005423E5" w:rsidRPr="00705170">
        <w:rPr>
          <w:rFonts w:ascii="Times New Roman" w:hAnsi="Times New Roman" w:cs="Times New Roman"/>
        </w:rPr>
        <w:t xml:space="preserve"> can </w:t>
      </w:r>
      <w:proofErr w:type="spellStart"/>
      <w:r w:rsidR="005423E5" w:rsidRPr="00705170">
        <w:rPr>
          <w:rFonts w:ascii="Times New Roman" w:hAnsi="Times New Roman" w:cs="Times New Roman"/>
        </w:rPr>
        <w:t>also</w:t>
      </w:r>
      <w:proofErr w:type="spellEnd"/>
      <w:r w:rsidR="005423E5" w:rsidRPr="00705170">
        <w:rPr>
          <w:rFonts w:ascii="Times New Roman" w:hAnsi="Times New Roman" w:cs="Times New Roman"/>
        </w:rPr>
        <w:t xml:space="preserve"> be </w:t>
      </w:r>
      <w:proofErr w:type="spellStart"/>
      <w:r w:rsidR="005423E5" w:rsidRPr="00705170">
        <w:rPr>
          <w:rFonts w:ascii="Times New Roman" w:hAnsi="Times New Roman" w:cs="Times New Roman"/>
        </w:rPr>
        <w:t>present</w:t>
      </w:r>
      <w:proofErr w:type="spellEnd"/>
      <w:r w:rsidR="005423E5" w:rsidRPr="00705170">
        <w:rPr>
          <w:rFonts w:ascii="Times New Roman" w:hAnsi="Times New Roman" w:cs="Times New Roman"/>
        </w:rPr>
        <w:t xml:space="preserve"> in </w:t>
      </w:r>
      <w:proofErr w:type="spellStart"/>
      <w:r w:rsidR="005423E5" w:rsidRPr="00705170">
        <w:rPr>
          <w:rFonts w:ascii="Times New Roman" w:hAnsi="Times New Roman" w:cs="Times New Roman"/>
        </w:rPr>
        <w:t>publicly</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traded</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corporations</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and</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there</w:t>
      </w:r>
      <w:proofErr w:type="spellEnd"/>
      <w:r w:rsidR="005423E5" w:rsidRPr="00705170">
        <w:rPr>
          <w:rFonts w:ascii="Times New Roman" w:hAnsi="Times New Roman" w:cs="Times New Roman"/>
        </w:rPr>
        <w:t xml:space="preserve"> is </w:t>
      </w:r>
      <w:proofErr w:type="spellStart"/>
      <w:r w:rsidR="005423E5" w:rsidRPr="00705170">
        <w:rPr>
          <w:rFonts w:ascii="Times New Roman" w:hAnsi="Times New Roman" w:cs="Times New Roman"/>
        </w:rPr>
        <w:t>no</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alternative</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provision</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dealing</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with</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the</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issues</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that</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the</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oppression</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statute</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covers</w:t>
      </w:r>
      <w:proofErr w:type="spellEnd"/>
      <w:r w:rsidR="00EB5CA9" w:rsidRPr="00705170">
        <w:rPr>
          <w:rStyle w:val="DipnotBavurusu"/>
          <w:rFonts w:ascii="Times New Roman" w:hAnsi="Times New Roman" w:cs="Times New Roman"/>
        </w:rPr>
        <w:footnoteReference w:id="786"/>
      </w:r>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the</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rationale</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for</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using</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this</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statute</w:t>
      </w:r>
      <w:proofErr w:type="spellEnd"/>
      <w:r w:rsidR="005423E5" w:rsidRPr="00705170">
        <w:rPr>
          <w:rFonts w:ascii="Times New Roman" w:hAnsi="Times New Roman" w:cs="Times New Roman"/>
        </w:rPr>
        <w:t xml:space="preserve"> is </w:t>
      </w:r>
      <w:proofErr w:type="spellStart"/>
      <w:r w:rsidR="005423E5" w:rsidRPr="00705170">
        <w:rPr>
          <w:rFonts w:ascii="Times New Roman" w:hAnsi="Times New Roman" w:cs="Times New Roman"/>
        </w:rPr>
        <w:t>valid</w:t>
      </w:r>
      <w:proofErr w:type="spellEnd"/>
      <w:r w:rsidR="005423E5" w:rsidRPr="00705170">
        <w:rPr>
          <w:rFonts w:ascii="Times New Roman" w:hAnsi="Times New Roman" w:cs="Times New Roman"/>
        </w:rPr>
        <w:t xml:space="preserve"> in </w:t>
      </w:r>
      <w:proofErr w:type="spellStart"/>
      <w:r w:rsidR="005423E5" w:rsidRPr="00705170">
        <w:rPr>
          <w:rFonts w:ascii="Times New Roman" w:hAnsi="Times New Roman" w:cs="Times New Roman"/>
        </w:rPr>
        <w:t>this</w:t>
      </w:r>
      <w:proofErr w:type="spellEnd"/>
      <w:r w:rsidR="005423E5" w:rsidRPr="00705170">
        <w:rPr>
          <w:rFonts w:ascii="Times New Roman" w:hAnsi="Times New Roman" w:cs="Times New Roman"/>
        </w:rPr>
        <w:t xml:space="preserve"> </w:t>
      </w:r>
      <w:proofErr w:type="spellStart"/>
      <w:r w:rsidR="005423E5" w:rsidRPr="00705170">
        <w:rPr>
          <w:rFonts w:ascii="Times New Roman" w:hAnsi="Times New Roman" w:cs="Times New Roman"/>
        </w:rPr>
        <w:t>context</w:t>
      </w:r>
      <w:proofErr w:type="spellEnd"/>
      <w:r w:rsidR="005423E5" w:rsidRPr="00705170">
        <w:rPr>
          <w:rFonts w:ascii="Times New Roman" w:hAnsi="Times New Roman" w:cs="Times New Roman"/>
        </w:rPr>
        <w:t xml:space="preserve"> as </w:t>
      </w:r>
      <w:proofErr w:type="spellStart"/>
      <w:r w:rsidR="005423E5" w:rsidRPr="00705170">
        <w:rPr>
          <w:rFonts w:ascii="Times New Roman" w:hAnsi="Times New Roman" w:cs="Times New Roman"/>
        </w:rPr>
        <w:t>well</w:t>
      </w:r>
      <w:proofErr w:type="spellEnd"/>
      <w:r w:rsidR="005423E5" w:rsidRPr="00705170">
        <w:rPr>
          <w:rFonts w:ascii="Times New Roman" w:hAnsi="Times New Roman" w:cs="Times New Roman"/>
        </w:rPr>
        <w:t>.</w:t>
      </w:r>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F</w:t>
      </w:r>
      <w:r w:rsidR="00D4464D" w:rsidRPr="00705170">
        <w:rPr>
          <w:rFonts w:ascii="Times New Roman" w:hAnsi="Times New Roman" w:cs="Times New Roman"/>
        </w:rPr>
        <w:t>or</w:t>
      </w:r>
      <w:proofErr w:type="spellEnd"/>
      <w:r w:rsidR="00D4464D" w:rsidRPr="00705170">
        <w:rPr>
          <w:rFonts w:ascii="Times New Roman" w:hAnsi="Times New Roman" w:cs="Times New Roman"/>
        </w:rPr>
        <w:t xml:space="preserve"> </w:t>
      </w:r>
      <w:proofErr w:type="spellStart"/>
      <w:r w:rsidR="00D4464D" w:rsidRPr="00705170">
        <w:rPr>
          <w:rFonts w:ascii="Times New Roman" w:hAnsi="Times New Roman" w:cs="Times New Roman"/>
        </w:rPr>
        <w:t>example</w:t>
      </w:r>
      <w:proofErr w:type="spellEnd"/>
      <w:r w:rsidR="00D4464D" w:rsidRPr="00705170">
        <w:rPr>
          <w:rFonts w:ascii="Times New Roman" w:hAnsi="Times New Roman" w:cs="Times New Roman"/>
        </w:rPr>
        <w:t xml:space="preserve">, in </w:t>
      </w:r>
      <w:proofErr w:type="spellStart"/>
      <w:r w:rsidR="00D4464D" w:rsidRPr="00705170">
        <w:rPr>
          <w:rFonts w:ascii="Times New Roman" w:hAnsi="Times New Roman" w:cs="Times New Roman"/>
        </w:rPr>
        <w:t>Canadian</w:t>
      </w:r>
      <w:proofErr w:type="spellEnd"/>
      <w:r w:rsidR="00D4464D" w:rsidRPr="00705170">
        <w:rPr>
          <w:rFonts w:ascii="Times New Roman" w:hAnsi="Times New Roman" w:cs="Times New Roman"/>
        </w:rPr>
        <w:t xml:space="preserve"> </w:t>
      </w:r>
      <w:proofErr w:type="spellStart"/>
      <w:r w:rsidR="00D4464D" w:rsidRPr="00705170">
        <w:rPr>
          <w:rFonts w:ascii="Times New Roman" w:hAnsi="Times New Roman" w:cs="Times New Roman"/>
        </w:rPr>
        <w:t>oppression</w:t>
      </w:r>
      <w:proofErr w:type="spellEnd"/>
      <w:r w:rsidR="00D4464D" w:rsidRPr="00705170">
        <w:rPr>
          <w:rFonts w:ascii="Times New Roman" w:hAnsi="Times New Roman" w:cs="Times New Roman"/>
        </w:rPr>
        <w:t xml:space="preserve"> </w:t>
      </w:r>
      <w:proofErr w:type="spellStart"/>
      <w:r w:rsidR="005C49B9" w:rsidRPr="00705170">
        <w:rPr>
          <w:rFonts w:ascii="Times New Roman" w:hAnsi="Times New Roman" w:cs="Times New Roman"/>
        </w:rPr>
        <w:t>law</w:t>
      </w:r>
      <w:proofErr w:type="spellEnd"/>
      <w:r w:rsidR="00E0538A" w:rsidRPr="00705170">
        <w:rPr>
          <w:rFonts w:ascii="Times New Roman" w:hAnsi="Times New Roman" w:cs="Times New Roman"/>
        </w:rPr>
        <w:t>,</w:t>
      </w:r>
      <w:r w:rsidR="005C49B9" w:rsidRPr="00705170">
        <w:rPr>
          <w:rFonts w:ascii="Times New Roman" w:hAnsi="Times New Roman" w:cs="Times New Roman"/>
        </w:rPr>
        <w:t xml:space="preserve"> </w:t>
      </w:r>
      <w:proofErr w:type="spellStart"/>
      <w:r w:rsidR="00D4464D" w:rsidRPr="00705170">
        <w:rPr>
          <w:rFonts w:ascii="Times New Roman" w:hAnsi="Times New Roman" w:cs="Times New Roman"/>
        </w:rPr>
        <w:t>which</w:t>
      </w:r>
      <w:proofErr w:type="spellEnd"/>
      <w:r w:rsidR="00D4464D" w:rsidRPr="00705170">
        <w:rPr>
          <w:rFonts w:ascii="Times New Roman" w:hAnsi="Times New Roman" w:cs="Times New Roman"/>
        </w:rPr>
        <w:t xml:space="preserve"> is </w:t>
      </w:r>
      <w:proofErr w:type="spellStart"/>
      <w:r w:rsidR="00D4464D" w:rsidRPr="00705170">
        <w:rPr>
          <w:rFonts w:ascii="Times New Roman" w:hAnsi="Times New Roman" w:cs="Times New Roman"/>
        </w:rPr>
        <w:t>built</w:t>
      </w:r>
      <w:proofErr w:type="spellEnd"/>
      <w:r w:rsidR="00D4464D" w:rsidRPr="00705170">
        <w:rPr>
          <w:rFonts w:ascii="Times New Roman" w:hAnsi="Times New Roman" w:cs="Times New Roman"/>
        </w:rPr>
        <w:t xml:space="preserve"> </w:t>
      </w:r>
      <w:proofErr w:type="spellStart"/>
      <w:r w:rsidR="00D4464D" w:rsidRPr="00705170">
        <w:rPr>
          <w:rFonts w:ascii="Times New Roman" w:hAnsi="Times New Roman" w:cs="Times New Roman"/>
        </w:rPr>
        <w:t>upon</w:t>
      </w:r>
      <w:proofErr w:type="spellEnd"/>
      <w:r w:rsidR="00D4464D" w:rsidRPr="00705170">
        <w:rPr>
          <w:rFonts w:ascii="Times New Roman" w:hAnsi="Times New Roman" w:cs="Times New Roman"/>
        </w:rPr>
        <w:t xml:space="preserve"> </w:t>
      </w:r>
      <w:proofErr w:type="spellStart"/>
      <w:r w:rsidR="00D4464D" w:rsidRPr="00705170">
        <w:rPr>
          <w:rFonts w:ascii="Times New Roman" w:hAnsi="Times New Roman" w:cs="Times New Roman"/>
        </w:rPr>
        <w:t>the</w:t>
      </w:r>
      <w:proofErr w:type="spellEnd"/>
      <w:r w:rsidR="00D4464D" w:rsidRPr="00705170">
        <w:rPr>
          <w:rFonts w:ascii="Times New Roman" w:hAnsi="Times New Roman" w:cs="Times New Roman"/>
        </w:rPr>
        <w:t xml:space="preserve"> English </w:t>
      </w:r>
      <w:proofErr w:type="spellStart"/>
      <w:r w:rsidR="00D4464D" w:rsidRPr="00705170">
        <w:rPr>
          <w:rFonts w:ascii="Times New Roman" w:hAnsi="Times New Roman" w:cs="Times New Roman"/>
        </w:rPr>
        <w:t>counterpart</w:t>
      </w:r>
      <w:proofErr w:type="spellEnd"/>
      <w:r w:rsidR="00D4464D" w:rsidRPr="00705170">
        <w:rPr>
          <w:rFonts w:ascii="Times New Roman" w:hAnsi="Times New Roman" w:cs="Times New Roman"/>
        </w:rPr>
        <w:t xml:space="preserve">, </w:t>
      </w:r>
      <w:r w:rsidR="005C49B9" w:rsidRPr="00705170">
        <w:rPr>
          <w:rFonts w:ascii="Times New Roman" w:hAnsi="Times New Roman" w:cs="Times New Roman"/>
        </w:rPr>
        <w:t xml:space="preserve">it is </w:t>
      </w:r>
      <w:proofErr w:type="spellStart"/>
      <w:r w:rsidR="005C49B9" w:rsidRPr="00705170">
        <w:rPr>
          <w:rFonts w:ascii="Times New Roman" w:hAnsi="Times New Roman" w:cs="Times New Roman"/>
        </w:rPr>
        <w:t>opined</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that</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the</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oppression</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legislation</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which</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enables</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small</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shareholders</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to</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challenge</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conduct</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that</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historically</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was</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lastRenderedPageBreak/>
        <w:t>relatively</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invulnerable</w:t>
      </w:r>
      <w:proofErr w:type="spellEnd"/>
      <w:r w:rsidR="005C49B9" w:rsidRPr="00705170">
        <w:rPr>
          <w:rFonts w:ascii="Times New Roman" w:hAnsi="Times New Roman" w:cs="Times New Roman"/>
        </w:rPr>
        <w:t xml:space="preserve">, is </w:t>
      </w:r>
      <w:proofErr w:type="spellStart"/>
      <w:r w:rsidR="005C49B9" w:rsidRPr="00705170">
        <w:rPr>
          <w:rFonts w:ascii="Times New Roman" w:hAnsi="Times New Roman" w:cs="Times New Roman"/>
        </w:rPr>
        <w:t>explicable</w:t>
      </w:r>
      <w:proofErr w:type="spellEnd"/>
      <w:r w:rsidR="005C49B9" w:rsidRPr="00705170">
        <w:rPr>
          <w:rFonts w:ascii="Times New Roman" w:hAnsi="Times New Roman" w:cs="Times New Roman"/>
        </w:rPr>
        <w:t xml:space="preserve"> as </w:t>
      </w:r>
      <w:proofErr w:type="spellStart"/>
      <w:r w:rsidR="005C49B9" w:rsidRPr="00705170">
        <w:rPr>
          <w:rFonts w:ascii="Times New Roman" w:hAnsi="Times New Roman" w:cs="Times New Roman"/>
        </w:rPr>
        <w:t>part</w:t>
      </w:r>
      <w:proofErr w:type="spellEnd"/>
      <w:r w:rsidR="005C49B9" w:rsidRPr="00705170">
        <w:rPr>
          <w:rFonts w:ascii="Times New Roman" w:hAnsi="Times New Roman" w:cs="Times New Roman"/>
        </w:rPr>
        <w:t xml:space="preserve"> of a program </w:t>
      </w:r>
      <w:proofErr w:type="spellStart"/>
      <w:r w:rsidR="005C49B9" w:rsidRPr="00705170">
        <w:rPr>
          <w:rFonts w:ascii="Times New Roman" w:hAnsi="Times New Roman" w:cs="Times New Roman"/>
        </w:rPr>
        <w:t>to</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make</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public</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investment</w:t>
      </w:r>
      <w:proofErr w:type="spellEnd"/>
      <w:r w:rsidR="005C49B9" w:rsidRPr="00705170">
        <w:rPr>
          <w:rFonts w:ascii="Times New Roman" w:hAnsi="Times New Roman" w:cs="Times New Roman"/>
        </w:rPr>
        <w:t xml:space="preserve"> in </w:t>
      </w:r>
      <w:proofErr w:type="spellStart"/>
      <w:r w:rsidR="005C49B9" w:rsidRPr="00705170">
        <w:rPr>
          <w:rFonts w:ascii="Times New Roman" w:hAnsi="Times New Roman" w:cs="Times New Roman"/>
        </w:rPr>
        <w:t>Canadian</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securities</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markets</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more</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widely</w:t>
      </w:r>
      <w:proofErr w:type="spellEnd"/>
      <w:r w:rsidR="005C49B9" w:rsidRPr="00705170">
        <w:rPr>
          <w:rFonts w:ascii="Times New Roman" w:hAnsi="Times New Roman" w:cs="Times New Roman"/>
        </w:rPr>
        <w:t xml:space="preserve"> </w:t>
      </w:r>
      <w:proofErr w:type="spellStart"/>
      <w:r w:rsidR="005C49B9" w:rsidRPr="00705170">
        <w:rPr>
          <w:rFonts w:ascii="Times New Roman" w:hAnsi="Times New Roman" w:cs="Times New Roman"/>
        </w:rPr>
        <w:t>attractive</w:t>
      </w:r>
      <w:proofErr w:type="spellEnd"/>
      <w:r w:rsidR="005C49B9" w:rsidRPr="00705170">
        <w:rPr>
          <w:rFonts w:ascii="Times New Roman" w:hAnsi="Times New Roman" w:cs="Times New Roman"/>
        </w:rPr>
        <w:t>”</w:t>
      </w:r>
      <w:r w:rsidR="005C49B9" w:rsidRPr="00705170">
        <w:rPr>
          <w:rStyle w:val="DipnotBavurusu"/>
          <w:rFonts w:ascii="Times New Roman" w:hAnsi="Times New Roman" w:cs="Times New Roman"/>
        </w:rPr>
        <w:footnoteReference w:id="787"/>
      </w:r>
      <w:r w:rsidR="005C49B9" w:rsidRPr="00705170">
        <w:rPr>
          <w:rFonts w:ascii="Times New Roman" w:hAnsi="Times New Roman" w:cs="Times New Roman"/>
        </w:rPr>
        <w:t>.</w:t>
      </w:r>
    </w:p>
    <w:p w14:paraId="55D4C961" w14:textId="490781AD" w:rsidR="00F85877" w:rsidRPr="00705170" w:rsidRDefault="00F85877" w:rsidP="001F66DA">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001F66DA" w:rsidRPr="00705170">
        <w:rPr>
          <w:rFonts w:ascii="Times New Roman" w:hAnsi="Times New Roman" w:cs="Times New Roman"/>
        </w:rPr>
        <w:t>There</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are</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some</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other</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counter</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arguments</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that</w:t>
      </w:r>
      <w:proofErr w:type="spellEnd"/>
      <w:r w:rsidR="001F66DA" w:rsidRPr="00705170">
        <w:rPr>
          <w:rFonts w:ascii="Times New Roman" w:hAnsi="Times New Roman" w:cs="Times New Roman"/>
        </w:rPr>
        <w:t xml:space="preserve"> can be </w:t>
      </w:r>
      <w:proofErr w:type="spellStart"/>
      <w:r w:rsidR="001F66DA" w:rsidRPr="00705170">
        <w:rPr>
          <w:rFonts w:ascii="Times New Roman" w:hAnsi="Times New Roman" w:cs="Times New Roman"/>
        </w:rPr>
        <w:t>made</w:t>
      </w:r>
      <w:proofErr w:type="spellEnd"/>
      <w:r w:rsidR="001F66DA" w:rsidRPr="00705170">
        <w:rPr>
          <w:rFonts w:ascii="Times New Roman" w:hAnsi="Times New Roman" w:cs="Times New Roman"/>
        </w:rPr>
        <w:t xml:space="preserve"> as </w:t>
      </w:r>
      <w:proofErr w:type="spellStart"/>
      <w:r w:rsidR="001F66DA" w:rsidRPr="00705170">
        <w:rPr>
          <w:rFonts w:ascii="Times New Roman" w:hAnsi="Times New Roman" w:cs="Times New Roman"/>
        </w:rPr>
        <w:t>well</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First</w:t>
      </w:r>
      <w:r w:rsidR="00471B77" w:rsidRPr="00705170">
        <w:rPr>
          <w:rFonts w:ascii="Times New Roman" w:hAnsi="Times New Roman" w:cs="Times New Roman"/>
        </w:rPr>
        <w:t>ly</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s</w:t>
      </w:r>
      <w:r w:rsidRPr="00705170">
        <w:rPr>
          <w:rFonts w:ascii="Times New Roman" w:hAnsi="Times New Roman" w:cs="Times New Roman"/>
        </w:rPr>
        <w:t>hareholders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entrusting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accept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disadvantages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system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along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advantages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788"/>
      </w:r>
      <w:r w:rsidRPr="00705170">
        <w:rPr>
          <w:rFonts w:ascii="Times New Roman" w:hAnsi="Times New Roman" w:cs="Times New Roman"/>
        </w:rPr>
        <w:t xml:space="preserve">. </w:t>
      </w:r>
      <w:proofErr w:type="spellStart"/>
      <w:r w:rsidR="001F66DA" w:rsidRPr="00705170">
        <w:rPr>
          <w:rFonts w:ascii="Times New Roman" w:hAnsi="Times New Roman" w:cs="Times New Roman"/>
        </w:rPr>
        <w:t>Then</w:t>
      </w:r>
      <w:proofErr w:type="spellEnd"/>
      <w:r w:rsidR="001F66DA" w:rsidRPr="00705170">
        <w:rPr>
          <w:rFonts w:ascii="Times New Roman" w:hAnsi="Times New Roman" w:cs="Times New Roman"/>
        </w:rPr>
        <w:t xml:space="preserve">, </w:t>
      </w:r>
      <w:proofErr w:type="spellStart"/>
      <w:r w:rsidRPr="00705170">
        <w:rPr>
          <w:rFonts w:ascii="Times New Roman" w:hAnsi="Times New Roman" w:cs="Times New Roman"/>
        </w:rPr>
        <w:t>investors</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reduce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volatility</w:t>
      </w:r>
      <w:proofErr w:type="spellEnd"/>
      <w:r w:rsidRPr="00705170">
        <w:rPr>
          <w:rFonts w:ascii="Times New Roman" w:hAnsi="Times New Roman" w:cs="Times New Roman"/>
        </w:rPr>
        <w:t xml:space="preserve"> of risk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diversifying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stock</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portfolios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need</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bend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backwards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refuse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do </w:t>
      </w:r>
      <w:proofErr w:type="spellStart"/>
      <w:r w:rsidRPr="00705170">
        <w:rPr>
          <w:rFonts w:ascii="Times New Roman" w:hAnsi="Times New Roman" w:cs="Times New Roman"/>
        </w:rPr>
        <w:t>this</w:t>
      </w:r>
      <w:proofErr w:type="spellEnd"/>
      <w:r w:rsidRPr="00705170">
        <w:rPr>
          <w:rStyle w:val="DipnotBavurusu"/>
          <w:rFonts w:ascii="Times New Roman" w:hAnsi="Times New Roman" w:cs="Times New Roman"/>
        </w:rPr>
        <w:footnoteReference w:id="789"/>
      </w:r>
      <w:r w:rsidRPr="00705170">
        <w:rPr>
          <w:rFonts w:ascii="Times New Roman" w:hAnsi="Times New Roman" w:cs="Times New Roman"/>
        </w:rPr>
        <w:t xml:space="preserve">. </w:t>
      </w:r>
      <w:proofErr w:type="spellStart"/>
      <w:r w:rsidR="001F66DA" w:rsidRPr="00705170">
        <w:rPr>
          <w:rFonts w:ascii="Times New Roman" w:hAnsi="Times New Roman" w:cs="Times New Roman"/>
        </w:rPr>
        <w:t>Secondly</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given</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that</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many</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issues</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which</w:t>
      </w:r>
      <w:proofErr w:type="spellEnd"/>
      <w:r w:rsidR="001F66DA" w:rsidRPr="00705170">
        <w:rPr>
          <w:rFonts w:ascii="Times New Roman" w:hAnsi="Times New Roman" w:cs="Times New Roman"/>
        </w:rPr>
        <w:t xml:space="preserve"> can </w:t>
      </w:r>
      <w:proofErr w:type="spellStart"/>
      <w:r w:rsidR="001F66DA" w:rsidRPr="00705170">
        <w:rPr>
          <w:rFonts w:ascii="Times New Roman" w:hAnsi="Times New Roman" w:cs="Times New Roman"/>
        </w:rPr>
        <w:t>activate</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the</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dissolution</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statute</w:t>
      </w:r>
      <w:proofErr w:type="spellEnd"/>
      <w:r w:rsidR="001F66DA" w:rsidRPr="00705170">
        <w:rPr>
          <w:rFonts w:ascii="Times New Roman" w:hAnsi="Times New Roman" w:cs="Times New Roman"/>
        </w:rPr>
        <w:t xml:space="preserve"> is hard </w:t>
      </w:r>
      <w:proofErr w:type="spellStart"/>
      <w:r w:rsidR="001F66DA" w:rsidRPr="00705170">
        <w:rPr>
          <w:rFonts w:ascii="Times New Roman" w:hAnsi="Times New Roman" w:cs="Times New Roman"/>
        </w:rPr>
        <w:t>to</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prove</w:t>
      </w:r>
      <w:proofErr w:type="spellEnd"/>
      <w:r w:rsidR="001F66DA" w:rsidRPr="00705170">
        <w:rPr>
          <w:rStyle w:val="DipnotBavurusu"/>
          <w:rFonts w:ascii="Times New Roman" w:hAnsi="Times New Roman" w:cs="Times New Roman"/>
        </w:rPr>
        <w:footnoteReference w:id="790"/>
      </w:r>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00471B77" w:rsidRPr="00705170">
        <w:rPr>
          <w:rFonts w:ascii="Times New Roman" w:hAnsi="Times New Roman" w:cs="Times New Roman"/>
        </w:rPr>
        <w:t>many</w:t>
      </w:r>
      <w:proofErr w:type="spellEnd"/>
      <w:r w:rsidR="00471B77" w:rsidRPr="00705170">
        <w:rPr>
          <w:rFonts w:ascii="Times New Roman" w:hAnsi="Times New Roman" w:cs="Times New Roman"/>
        </w:rPr>
        <w:t xml:space="preserve"> of </w:t>
      </w:r>
      <w:proofErr w:type="spellStart"/>
      <w:r w:rsidR="00471B77" w:rsidRPr="00705170">
        <w:rPr>
          <w:rFonts w:ascii="Times New Roman" w:hAnsi="Times New Roman" w:cs="Times New Roman"/>
        </w:rPr>
        <w:t>them</w:t>
      </w:r>
      <w:proofErr w:type="spellEnd"/>
      <w:r w:rsidR="00471B77" w:rsidRPr="00705170">
        <w:rPr>
          <w:rFonts w:ascii="Times New Roman" w:hAnsi="Times New Roman" w:cs="Times New Roman"/>
        </w:rPr>
        <w:t xml:space="preserve"> </w:t>
      </w:r>
      <w:proofErr w:type="spellStart"/>
      <w:r w:rsidRPr="00705170">
        <w:rPr>
          <w:rFonts w:ascii="Times New Roman" w:hAnsi="Times New Roman" w:cs="Times New Roman"/>
        </w:rPr>
        <w:t>unlikely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outweigh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traditional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maximizing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profits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prices</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seems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unlikely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typic</w:t>
      </w:r>
      <w:r w:rsidR="001F66DA" w:rsidRPr="00705170">
        <w:rPr>
          <w:rFonts w:ascii="Times New Roman" w:hAnsi="Times New Roman" w:cs="Times New Roman"/>
        </w:rPr>
        <w:t>al</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shareholder</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will</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use</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this</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remedy</w:t>
      </w:r>
      <w:proofErr w:type="spellEnd"/>
      <w:r w:rsidRPr="00705170">
        <w:rPr>
          <w:rStyle w:val="DipnotBavurusu"/>
          <w:rFonts w:ascii="Times New Roman" w:hAnsi="Times New Roman" w:cs="Times New Roman"/>
        </w:rPr>
        <w:footnoteReference w:id="791"/>
      </w:r>
      <w:r w:rsidRPr="00705170">
        <w:rPr>
          <w:rFonts w:ascii="Times New Roman" w:hAnsi="Times New Roman" w:cs="Times New Roman"/>
        </w:rPr>
        <w:t>.</w:t>
      </w:r>
      <w:r w:rsidR="00CA7F45" w:rsidRPr="00705170">
        <w:rPr>
          <w:rFonts w:ascii="Times New Roman" w:hAnsi="Times New Roman" w:cs="Times New Roman"/>
        </w:rPr>
        <w:t xml:space="preserve"> </w:t>
      </w:r>
      <w:proofErr w:type="spellStart"/>
      <w:r w:rsidR="00EF65DA" w:rsidRPr="00705170">
        <w:rPr>
          <w:rFonts w:ascii="Times New Roman" w:hAnsi="Times New Roman" w:cs="Times New Roman"/>
        </w:rPr>
        <w:t>Thirdly</w:t>
      </w:r>
      <w:proofErr w:type="spellEnd"/>
      <w:r w:rsidR="00EF65DA" w:rsidRPr="00705170">
        <w:rPr>
          <w:rFonts w:ascii="Times New Roman" w:hAnsi="Times New Roman" w:cs="Times New Roman"/>
        </w:rPr>
        <w:t xml:space="preserve">, in </w:t>
      </w:r>
      <w:proofErr w:type="spellStart"/>
      <w:r w:rsidR="00EF65DA" w:rsidRPr="00705170">
        <w:rPr>
          <w:rFonts w:ascii="Times New Roman" w:hAnsi="Times New Roman" w:cs="Times New Roman"/>
        </w:rPr>
        <w:t>publicly</w:t>
      </w:r>
      <w:proofErr w:type="spellEnd"/>
      <w:r w:rsidR="00EF65DA" w:rsidRPr="00705170">
        <w:rPr>
          <w:rFonts w:ascii="Times New Roman" w:hAnsi="Times New Roman" w:cs="Times New Roman"/>
        </w:rPr>
        <w:t xml:space="preserve"> </w:t>
      </w:r>
      <w:proofErr w:type="spellStart"/>
      <w:r w:rsidR="00EF65DA" w:rsidRPr="00705170">
        <w:rPr>
          <w:rFonts w:ascii="Times New Roman" w:hAnsi="Times New Roman" w:cs="Times New Roman"/>
        </w:rPr>
        <w:t>traded</w:t>
      </w:r>
      <w:proofErr w:type="spellEnd"/>
      <w:r w:rsidR="00EF65DA" w:rsidRPr="00705170">
        <w:rPr>
          <w:rFonts w:ascii="Times New Roman" w:hAnsi="Times New Roman" w:cs="Times New Roman"/>
        </w:rPr>
        <w:t xml:space="preserve"> </w:t>
      </w:r>
      <w:proofErr w:type="spellStart"/>
      <w:r w:rsidR="00EF65DA" w:rsidRPr="00705170">
        <w:rPr>
          <w:rFonts w:ascii="Times New Roman" w:hAnsi="Times New Roman" w:cs="Times New Roman"/>
        </w:rPr>
        <w:t>corporations</w:t>
      </w:r>
      <w:proofErr w:type="spellEnd"/>
      <w:r w:rsidR="00EF65DA" w:rsidRPr="00705170">
        <w:rPr>
          <w:rFonts w:ascii="Times New Roman" w:hAnsi="Times New Roman" w:cs="Times New Roman"/>
        </w:rPr>
        <w:t xml:space="preserve">, </w:t>
      </w:r>
      <w:proofErr w:type="spellStart"/>
      <w:r w:rsidR="00EF65DA" w:rsidRPr="00705170">
        <w:rPr>
          <w:rFonts w:ascii="Times New Roman" w:hAnsi="Times New Roman" w:cs="Times New Roman"/>
        </w:rPr>
        <w:t>the</w:t>
      </w:r>
      <w:proofErr w:type="spellEnd"/>
      <w:r w:rsidR="00EF65DA" w:rsidRPr="00705170">
        <w:rPr>
          <w:rFonts w:ascii="Times New Roman" w:hAnsi="Times New Roman" w:cs="Times New Roman"/>
        </w:rPr>
        <w:t xml:space="preserve"> </w:t>
      </w:r>
      <w:proofErr w:type="spellStart"/>
      <w:r w:rsidR="00EF65DA" w:rsidRPr="00705170">
        <w:rPr>
          <w:rFonts w:ascii="Times New Roman" w:hAnsi="Times New Roman" w:cs="Times New Roman"/>
        </w:rPr>
        <w:t>capital</w:t>
      </w:r>
      <w:proofErr w:type="spellEnd"/>
      <w:r w:rsidR="00EF65DA" w:rsidRPr="00705170">
        <w:rPr>
          <w:rFonts w:ascii="Times New Roman" w:hAnsi="Times New Roman" w:cs="Times New Roman"/>
        </w:rPr>
        <w:t xml:space="preserve">, </w:t>
      </w:r>
      <w:proofErr w:type="spellStart"/>
      <w:r w:rsidR="00EF65DA" w:rsidRPr="00705170">
        <w:rPr>
          <w:rFonts w:ascii="Times New Roman" w:hAnsi="Times New Roman" w:cs="Times New Roman"/>
        </w:rPr>
        <w:t>product</w:t>
      </w:r>
      <w:proofErr w:type="spellEnd"/>
      <w:r w:rsidR="00EF65DA" w:rsidRPr="00705170">
        <w:rPr>
          <w:rFonts w:ascii="Times New Roman" w:hAnsi="Times New Roman" w:cs="Times New Roman"/>
        </w:rPr>
        <w:t xml:space="preserve"> </w:t>
      </w:r>
      <w:proofErr w:type="spellStart"/>
      <w:r w:rsidR="00EF65DA" w:rsidRPr="00705170">
        <w:rPr>
          <w:rFonts w:ascii="Times New Roman" w:hAnsi="Times New Roman" w:cs="Times New Roman"/>
        </w:rPr>
        <w:t>and</w:t>
      </w:r>
      <w:proofErr w:type="spellEnd"/>
      <w:r w:rsidR="00EF65DA" w:rsidRPr="00705170">
        <w:rPr>
          <w:rFonts w:ascii="Times New Roman" w:hAnsi="Times New Roman" w:cs="Times New Roman"/>
        </w:rPr>
        <w:t xml:space="preserve"> </w:t>
      </w:r>
      <w:proofErr w:type="spellStart"/>
      <w:r w:rsidR="00EF65DA" w:rsidRPr="00705170">
        <w:rPr>
          <w:rFonts w:ascii="Times New Roman" w:hAnsi="Times New Roman" w:cs="Times New Roman"/>
        </w:rPr>
        <w:t>employment</w:t>
      </w:r>
      <w:proofErr w:type="spellEnd"/>
      <w:r w:rsidR="00EF65DA" w:rsidRPr="00705170">
        <w:rPr>
          <w:rFonts w:ascii="Times New Roman" w:hAnsi="Times New Roman" w:cs="Times New Roman"/>
        </w:rPr>
        <w:t xml:space="preserve"> </w:t>
      </w:r>
      <w:proofErr w:type="spellStart"/>
      <w:r w:rsidR="00EF65DA" w:rsidRPr="00705170">
        <w:rPr>
          <w:rFonts w:ascii="Times New Roman" w:hAnsi="Times New Roman" w:cs="Times New Roman"/>
        </w:rPr>
        <w:t>markets</w:t>
      </w:r>
      <w:proofErr w:type="spellEnd"/>
      <w:r w:rsidR="00EF65DA" w:rsidRPr="00705170">
        <w:rPr>
          <w:rFonts w:ascii="Times New Roman" w:hAnsi="Times New Roman" w:cs="Times New Roman"/>
        </w:rPr>
        <w:t xml:space="preserve"> </w:t>
      </w:r>
      <w:proofErr w:type="spellStart"/>
      <w:r w:rsidR="00EF65DA" w:rsidRPr="00705170">
        <w:rPr>
          <w:rFonts w:ascii="Times New Roman" w:hAnsi="Times New Roman" w:cs="Times New Roman"/>
        </w:rPr>
        <w:t>constrain</w:t>
      </w:r>
      <w:proofErr w:type="spellEnd"/>
      <w:r w:rsidR="00EF65DA" w:rsidRPr="00705170">
        <w:rPr>
          <w:rFonts w:ascii="Times New Roman" w:hAnsi="Times New Roman" w:cs="Times New Roman"/>
        </w:rPr>
        <w:t xml:space="preserve"> </w:t>
      </w:r>
      <w:proofErr w:type="spellStart"/>
      <w:r w:rsidR="00EF65DA" w:rsidRPr="00705170">
        <w:rPr>
          <w:rFonts w:ascii="Times New Roman" w:hAnsi="Times New Roman" w:cs="Times New Roman"/>
        </w:rPr>
        <w:t>the</w:t>
      </w:r>
      <w:proofErr w:type="spellEnd"/>
      <w:r w:rsidR="00EF65DA" w:rsidRPr="00705170">
        <w:rPr>
          <w:rFonts w:ascii="Times New Roman" w:hAnsi="Times New Roman" w:cs="Times New Roman"/>
        </w:rPr>
        <w:t xml:space="preserve"> </w:t>
      </w:r>
      <w:proofErr w:type="spellStart"/>
      <w:r w:rsidR="00EF65DA" w:rsidRPr="00705170">
        <w:rPr>
          <w:rFonts w:ascii="Times New Roman" w:hAnsi="Times New Roman" w:cs="Times New Roman"/>
        </w:rPr>
        <w:t>opportunistic</w:t>
      </w:r>
      <w:proofErr w:type="spellEnd"/>
      <w:r w:rsidR="00EF65DA" w:rsidRPr="00705170">
        <w:rPr>
          <w:rFonts w:ascii="Times New Roman" w:hAnsi="Times New Roman" w:cs="Times New Roman"/>
        </w:rPr>
        <w:t xml:space="preserve"> </w:t>
      </w:r>
      <w:proofErr w:type="spellStart"/>
      <w:r w:rsidR="00EF65DA" w:rsidRPr="00705170">
        <w:rPr>
          <w:rFonts w:ascii="Times New Roman" w:hAnsi="Times New Roman" w:cs="Times New Roman"/>
        </w:rPr>
        <w:t>behaviour</w:t>
      </w:r>
      <w:proofErr w:type="spellEnd"/>
      <w:r w:rsidR="00EF65DA" w:rsidRPr="00705170">
        <w:rPr>
          <w:rStyle w:val="DipnotBavurusu"/>
          <w:rFonts w:ascii="Times New Roman" w:hAnsi="Times New Roman" w:cs="Times New Roman"/>
        </w:rPr>
        <w:footnoteReference w:id="792"/>
      </w:r>
      <w:r w:rsidR="00EF65DA" w:rsidRPr="00705170">
        <w:rPr>
          <w:rFonts w:ascii="Times New Roman" w:hAnsi="Times New Roman" w:cs="Times New Roman"/>
        </w:rPr>
        <w:t xml:space="preserve">. </w:t>
      </w:r>
      <w:proofErr w:type="spellStart"/>
      <w:r w:rsidR="00CA7F45" w:rsidRPr="00705170">
        <w:rPr>
          <w:rFonts w:ascii="Times New Roman" w:hAnsi="Times New Roman" w:cs="Times New Roman"/>
        </w:rPr>
        <w:t>Th</w:t>
      </w:r>
      <w:r w:rsidR="00471B77" w:rsidRPr="00705170">
        <w:rPr>
          <w:rFonts w:ascii="Times New Roman" w:hAnsi="Times New Roman" w:cs="Times New Roman"/>
        </w:rPr>
        <w:t>e</w:t>
      </w:r>
      <w:r w:rsidR="00CA7F45" w:rsidRPr="00705170">
        <w:rPr>
          <w:rFonts w:ascii="Times New Roman" w:hAnsi="Times New Roman" w:cs="Times New Roman"/>
        </w:rPr>
        <w:t>s</w:t>
      </w:r>
      <w:r w:rsidR="00471B77" w:rsidRPr="00705170">
        <w:rPr>
          <w:rFonts w:ascii="Times New Roman" w:hAnsi="Times New Roman" w:cs="Times New Roman"/>
        </w:rPr>
        <w:t>e</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points</w:t>
      </w:r>
      <w:proofErr w:type="spellEnd"/>
      <w:r w:rsidR="00CA7F45" w:rsidRPr="00705170">
        <w:rPr>
          <w:rFonts w:ascii="Times New Roman" w:hAnsi="Times New Roman" w:cs="Times New Roman"/>
        </w:rPr>
        <w:t xml:space="preserve"> </w:t>
      </w:r>
      <w:proofErr w:type="spellStart"/>
      <w:r w:rsidR="00CA7F45" w:rsidRPr="00705170">
        <w:rPr>
          <w:rFonts w:ascii="Times New Roman" w:hAnsi="Times New Roman" w:cs="Times New Roman"/>
        </w:rPr>
        <w:t>requires</w:t>
      </w:r>
      <w:proofErr w:type="spellEnd"/>
      <w:r w:rsidR="00CA7F45" w:rsidRPr="00705170">
        <w:rPr>
          <w:rFonts w:ascii="Times New Roman" w:hAnsi="Times New Roman" w:cs="Times New Roman"/>
        </w:rPr>
        <w:t xml:space="preserve"> </w:t>
      </w:r>
      <w:proofErr w:type="spellStart"/>
      <w:r w:rsidR="00CA7F45" w:rsidRPr="00705170">
        <w:rPr>
          <w:rFonts w:ascii="Times New Roman" w:hAnsi="Times New Roman" w:cs="Times New Roman"/>
        </w:rPr>
        <w:t>one</w:t>
      </w:r>
      <w:proofErr w:type="spellEnd"/>
      <w:r w:rsidR="00CA7F45" w:rsidRPr="00705170">
        <w:rPr>
          <w:rFonts w:ascii="Times New Roman" w:hAnsi="Times New Roman" w:cs="Times New Roman"/>
        </w:rPr>
        <w:t xml:space="preserve"> </w:t>
      </w:r>
      <w:proofErr w:type="spellStart"/>
      <w:r w:rsidR="00CA7F45" w:rsidRPr="00705170">
        <w:rPr>
          <w:rFonts w:ascii="Times New Roman" w:hAnsi="Times New Roman" w:cs="Times New Roman"/>
        </w:rPr>
        <w:t>to</w:t>
      </w:r>
      <w:proofErr w:type="spellEnd"/>
      <w:r w:rsidR="00CA7F45" w:rsidRPr="00705170">
        <w:rPr>
          <w:rFonts w:ascii="Times New Roman" w:hAnsi="Times New Roman" w:cs="Times New Roman"/>
        </w:rPr>
        <w:t xml:space="preserve"> </w:t>
      </w:r>
      <w:proofErr w:type="spellStart"/>
      <w:r w:rsidR="00CA7F45" w:rsidRPr="00705170">
        <w:rPr>
          <w:rFonts w:ascii="Times New Roman" w:hAnsi="Times New Roman" w:cs="Times New Roman"/>
        </w:rPr>
        <w:t>think</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once</w:t>
      </w:r>
      <w:proofErr w:type="spellEnd"/>
      <w:r w:rsidR="00CA7F45" w:rsidRPr="00705170">
        <w:rPr>
          <w:rFonts w:ascii="Times New Roman" w:hAnsi="Times New Roman" w:cs="Times New Roman"/>
        </w:rPr>
        <w:t xml:space="preserve"> </w:t>
      </w:r>
      <w:proofErr w:type="spellStart"/>
      <w:r w:rsidR="00CA7F45" w:rsidRPr="00705170">
        <w:rPr>
          <w:rFonts w:ascii="Times New Roman" w:hAnsi="Times New Roman" w:cs="Times New Roman"/>
        </w:rPr>
        <w:t>again</w:t>
      </w:r>
      <w:proofErr w:type="spellEnd"/>
      <w:r w:rsidR="00CA7F45" w:rsidRPr="00705170">
        <w:rPr>
          <w:rFonts w:ascii="Times New Roman" w:hAnsi="Times New Roman" w:cs="Times New Roman"/>
        </w:rPr>
        <w:t xml:space="preserve"> </w:t>
      </w:r>
      <w:proofErr w:type="spellStart"/>
      <w:r w:rsidR="00CA7F45" w:rsidRPr="00705170">
        <w:rPr>
          <w:rFonts w:ascii="Times New Roman" w:hAnsi="Times New Roman" w:cs="Times New Roman"/>
        </w:rPr>
        <w:t>whether</w:t>
      </w:r>
      <w:proofErr w:type="spellEnd"/>
      <w:r w:rsidR="00CA7F45" w:rsidRPr="00705170">
        <w:rPr>
          <w:rFonts w:ascii="Times New Roman" w:hAnsi="Times New Roman" w:cs="Times New Roman"/>
        </w:rPr>
        <w:t xml:space="preserve"> </w:t>
      </w:r>
      <w:proofErr w:type="spellStart"/>
      <w:r w:rsidR="00CA7F45" w:rsidRPr="00705170">
        <w:rPr>
          <w:rFonts w:ascii="Times New Roman" w:hAnsi="Times New Roman" w:cs="Times New Roman"/>
        </w:rPr>
        <w:t>the</w:t>
      </w:r>
      <w:proofErr w:type="spellEnd"/>
      <w:r w:rsidR="00CA7F45" w:rsidRPr="00705170">
        <w:rPr>
          <w:rFonts w:ascii="Times New Roman" w:hAnsi="Times New Roman" w:cs="Times New Roman"/>
        </w:rPr>
        <w:t xml:space="preserve"> </w:t>
      </w:r>
      <w:proofErr w:type="spellStart"/>
      <w:r w:rsidR="00CA7F45" w:rsidRPr="00705170">
        <w:rPr>
          <w:rFonts w:ascii="Times New Roman" w:hAnsi="Times New Roman" w:cs="Times New Roman"/>
        </w:rPr>
        <w:t>dissolution</w:t>
      </w:r>
      <w:proofErr w:type="spellEnd"/>
      <w:r w:rsidR="00CA7F45" w:rsidRPr="00705170">
        <w:rPr>
          <w:rFonts w:ascii="Times New Roman" w:hAnsi="Times New Roman" w:cs="Times New Roman"/>
        </w:rPr>
        <w:t xml:space="preserve"> </w:t>
      </w:r>
      <w:proofErr w:type="spellStart"/>
      <w:r w:rsidR="00CA7F45" w:rsidRPr="00705170">
        <w:rPr>
          <w:rFonts w:ascii="Times New Roman" w:hAnsi="Times New Roman" w:cs="Times New Roman"/>
        </w:rPr>
        <w:t>statute</w:t>
      </w:r>
      <w:proofErr w:type="spellEnd"/>
      <w:r w:rsidR="00CA7F45" w:rsidRPr="00705170">
        <w:rPr>
          <w:rFonts w:ascii="Times New Roman" w:hAnsi="Times New Roman" w:cs="Times New Roman"/>
        </w:rPr>
        <w:t xml:space="preserve">, </w:t>
      </w:r>
      <w:proofErr w:type="spellStart"/>
      <w:r w:rsidR="00CA7F45" w:rsidRPr="00705170">
        <w:rPr>
          <w:rFonts w:ascii="Times New Roman" w:hAnsi="Times New Roman" w:cs="Times New Roman"/>
        </w:rPr>
        <w:t>or</w:t>
      </w:r>
      <w:proofErr w:type="spellEnd"/>
      <w:r w:rsidR="00D566BB" w:rsidRPr="00705170">
        <w:rPr>
          <w:rFonts w:ascii="Times New Roman" w:hAnsi="Times New Roman" w:cs="Times New Roman"/>
        </w:rPr>
        <w:t xml:space="preserve"> </w:t>
      </w:r>
      <w:proofErr w:type="spellStart"/>
      <w:r w:rsidR="00D566BB" w:rsidRPr="00705170">
        <w:rPr>
          <w:rFonts w:ascii="Times New Roman" w:hAnsi="Times New Roman" w:cs="Times New Roman"/>
        </w:rPr>
        <w:t>the</w:t>
      </w:r>
      <w:proofErr w:type="spellEnd"/>
      <w:r w:rsidR="00D566BB" w:rsidRPr="00705170">
        <w:rPr>
          <w:rFonts w:ascii="Times New Roman" w:hAnsi="Times New Roman" w:cs="Times New Roman"/>
        </w:rPr>
        <w:t xml:space="preserve"> </w:t>
      </w:r>
      <w:proofErr w:type="spellStart"/>
      <w:r w:rsidR="00D566BB" w:rsidRPr="00705170">
        <w:rPr>
          <w:rFonts w:ascii="Times New Roman" w:hAnsi="Times New Roman" w:cs="Times New Roman"/>
        </w:rPr>
        <w:t>field</w:t>
      </w:r>
      <w:proofErr w:type="spellEnd"/>
      <w:r w:rsidR="00D566BB" w:rsidRPr="00705170">
        <w:rPr>
          <w:rFonts w:ascii="Times New Roman" w:hAnsi="Times New Roman" w:cs="Times New Roman"/>
        </w:rPr>
        <w:t xml:space="preserve"> of</w:t>
      </w:r>
      <w:r w:rsidR="00CA7F45" w:rsidRPr="00705170">
        <w:rPr>
          <w:rFonts w:ascii="Times New Roman" w:hAnsi="Times New Roman" w:cs="Times New Roman"/>
        </w:rPr>
        <w:t xml:space="preserve"> </w:t>
      </w:r>
      <w:proofErr w:type="spellStart"/>
      <w:r w:rsidR="00CA7F45" w:rsidRPr="00705170">
        <w:rPr>
          <w:rFonts w:ascii="Times New Roman" w:hAnsi="Times New Roman" w:cs="Times New Roman"/>
        </w:rPr>
        <w:t>c</w:t>
      </w:r>
      <w:r w:rsidR="00D566BB" w:rsidRPr="00705170">
        <w:rPr>
          <w:rFonts w:ascii="Times New Roman" w:hAnsi="Times New Roman" w:cs="Times New Roman"/>
        </w:rPr>
        <w:t>orporate</w:t>
      </w:r>
      <w:proofErr w:type="spellEnd"/>
      <w:r w:rsidR="00D566BB" w:rsidRPr="00705170">
        <w:rPr>
          <w:rFonts w:ascii="Times New Roman" w:hAnsi="Times New Roman" w:cs="Times New Roman"/>
        </w:rPr>
        <w:t xml:space="preserve"> </w:t>
      </w:r>
      <w:proofErr w:type="spellStart"/>
      <w:r w:rsidR="00D566BB" w:rsidRPr="00705170">
        <w:rPr>
          <w:rFonts w:ascii="Times New Roman" w:hAnsi="Times New Roman" w:cs="Times New Roman"/>
        </w:rPr>
        <w:t>law</w:t>
      </w:r>
      <w:proofErr w:type="spellEnd"/>
      <w:r w:rsidR="00D566BB" w:rsidRPr="00705170">
        <w:rPr>
          <w:rFonts w:ascii="Times New Roman" w:hAnsi="Times New Roman" w:cs="Times New Roman"/>
        </w:rPr>
        <w:t xml:space="preserve"> is </w:t>
      </w:r>
      <w:proofErr w:type="spellStart"/>
      <w:r w:rsidR="00D566BB" w:rsidRPr="00705170">
        <w:rPr>
          <w:rFonts w:ascii="Times New Roman" w:hAnsi="Times New Roman" w:cs="Times New Roman"/>
        </w:rPr>
        <w:t>adequate</w:t>
      </w:r>
      <w:proofErr w:type="spellEnd"/>
      <w:r w:rsidR="00D566BB" w:rsidRPr="00705170">
        <w:rPr>
          <w:rFonts w:ascii="Times New Roman" w:hAnsi="Times New Roman" w:cs="Times New Roman"/>
        </w:rPr>
        <w:t xml:space="preserve"> </w:t>
      </w:r>
      <w:proofErr w:type="spellStart"/>
      <w:r w:rsidR="00471B77" w:rsidRPr="00705170">
        <w:rPr>
          <w:rFonts w:ascii="Times New Roman" w:hAnsi="Times New Roman" w:cs="Times New Roman"/>
        </w:rPr>
        <w:t>for</w:t>
      </w:r>
      <w:proofErr w:type="spellEnd"/>
      <w:r w:rsidR="00CA7F45" w:rsidRPr="00705170">
        <w:rPr>
          <w:rFonts w:ascii="Times New Roman" w:hAnsi="Times New Roman" w:cs="Times New Roman"/>
        </w:rPr>
        <w:t xml:space="preserve"> </w:t>
      </w:r>
      <w:proofErr w:type="spellStart"/>
      <w:r w:rsidR="00CA7F45" w:rsidRPr="00705170">
        <w:rPr>
          <w:rFonts w:ascii="Times New Roman" w:hAnsi="Times New Roman" w:cs="Times New Roman"/>
        </w:rPr>
        <w:t>use</w:t>
      </w:r>
      <w:proofErr w:type="spellEnd"/>
      <w:r w:rsidR="00CA7F45" w:rsidRPr="00705170">
        <w:rPr>
          <w:rFonts w:ascii="Times New Roman" w:hAnsi="Times New Roman" w:cs="Times New Roman"/>
        </w:rPr>
        <w:t xml:space="preserve"> </w:t>
      </w:r>
      <w:proofErr w:type="spellStart"/>
      <w:r w:rsidR="00CA7F45"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answer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depends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whether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adequate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gap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fillers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generated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potential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sources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793"/>
      </w:r>
      <w:r w:rsidR="00D566BB" w:rsidRPr="00705170">
        <w:rPr>
          <w:rFonts w:ascii="Times New Roman" w:hAnsi="Times New Roman" w:cs="Times New Roman"/>
        </w:rPr>
        <w:t>.</w:t>
      </w:r>
      <w:r w:rsidR="001F66DA" w:rsidRPr="00705170">
        <w:rPr>
          <w:rFonts w:ascii="Times New Roman" w:hAnsi="Times New Roman" w:cs="Times New Roman"/>
        </w:rPr>
        <w:t xml:space="preserve"> </w:t>
      </w:r>
      <w:proofErr w:type="spellStart"/>
      <w:r w:rsidR="00EF65DA" w:rsidRPr="00705170">
        <w:rPr>
          <w:rFonts w:ascii="Times New Roman" w:hAnsi="Times New Roman" w:cs="Times New Roman"/>
        </w:rPr>
        <w:t>Lastly</w:t>
      </w:r>
      <w:proofErr w:type="spellEnd"/>
      <w:r w:rsidR="001F66DA" w:rsidRPr="00705170">
        <w:rPr>
          <w:rFonts w:ascii="Times New Roman" w:hAnsi="Times New Roman" w:cs="Times New Roman"/>
        </w:rPr>
        <w:t xml:space="preserve">, a </w:t>
      </w:r>
      <w:proofErr w:type="spellStart"/>
      <w:r w:rsidR="001F66DA" w:rsidRPr="00705170">
        <w:rPr>
          <w:rFonts w:ascii="Times New Roman" w:hAnsi="Times New Roman" w:cs="Times New Roman"/>
        </w:rPr>
        <w:t>dissolution</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statute</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based</w:t>
      </w:r>
      <w:proofErr w:type="spellEnd"/>
      <w:r w:rsidR="00471B77" w:rsidRPr="00705170">
        <w:rPr>
          <w:rFonts w:ascii="Times New Roman" w:hAnsi="Times New Roman" w:cs="Times New Roman"/>
        </w:rPr>
        <w:t xml:space="preserve"> on </w:t>
      </w:r>
      <w:proofErr w:type="spellStart"/>
      <w:r w:rsidR="00471B77" w:rsidRPr="00705170">
        <w:rPr>
          <w:rFonts w:ascii="Times New Roman" w:hAnsi="Times New Roman" w:cs="Times New Roman"/>
        </w:rPr>
        <w:t>reasonable</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expectations</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might</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pose</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threat</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to</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the</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integrity</w:t>
      </w:r>
      <w:proofErr w:type="spellEnd"/>
      <w:r w:rsidR="001F66DA" w:rsidRPr="00705170">
        <w:rPr>
          <w:rFonts w:ascii="Times New Roman" w:hAnsi="Times New Roman" w:cs="Times New Roman"/>
        </w:rPr>
        <w:t xml:space="preserve"> of </w:t>
      </w:r>
      <w:proofErr w:type="spellStart"/>
      <w:r w:rsidR="001F66DA" w:rsidRPr="00705170">
        <w:rPr>
          <w:rFonts w:ascii="Times New Roman" w:hAnsi="Times New Roman" w:cs="Times New Roman"/>
        </w:rPr>
        <w:t>the</w:t>
      </w:r>
      <w:proofErr w:type="spellEnd"/>
      <w:r w:rsidR="001F66DA" w:rsidRPr="00705170">
        <w:rPr>
          <w:rFonts w:ascii="Times New Roman" w:hAnsi="Times New Roman" w:cs="Times New Roman"/>
        </w:rPr>
        <w:t xml:space="preserve"> </w:t>
      </w:r>
      <w:proofErr w:type="spellStart"/>
      <w:r w:rsidR="001F66DA" w:rsidRPr="00705170">
        <w:rPr>
          <w:rFonts w:ascii="Times New Roman" w:hAnsi="Times New Roman" w:cs="Times New Roman"/>
        </w:rPr>
        <w:t>marketplace</w:t>
      </w:r>
      <w:proofErr w:type="spellEnd"/>
      <w:r w:rsidR="001F66DA"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investors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distrust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about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settled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precedent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wide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discretion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granted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courts</w:t>
      </w:r>
      <w:proofErr w:type="spellEnd"/>
      <w:r w:rsidRPr="00705170">
        <w:rPr>
          <w:rStyle w:val="DipnotBavurusu"/>
          <w:rFonts w:ascii="Times New Roman" w:hAnsi="Times New Roman" w:cs="Times New Roman"/>
        </w:rPr>
        <w:footnoteReference w:id="794"/>
      </w:r>
      <w:r w:rsidRPr="00705170">
        <w:rPr>
          <w:rFonts w:ascii="Times New Roman" w:hAnsi="Times New Roman" w:cs="Times New Roman"/>
        </w:rPr>
        <w:t>.</w:t>
      </w:r>
      <w:r w:rsidR="00471B77" w:rsidRPr="00705170">
        <w:rPr>
          <w:rFonts w:ascii="Times New Roman" w:hAnsi="Times New Roman" w:cs="Times New Roman"/>
        </w:rPr>
        <w:t xml:space="preserve"> As </w:t>
      </w:r>
      <w:proofErr w:type="spellStart"/>
      <w:r w:rsidR="00471B77" w:rsidRPr="00705170">
        <w:rPr>
          <w:rFonts w:ascii="Times New Roman" w:hAnsi="Times New Roman" w:cs="Times New Roman"/>
        </w:rPr>
        <w:t>the</w:t>
      </w:r>
      <w:proofErr w:type="spellEnd"/>
      <w:r w:rsidR="00471B77" w:rsidRPr="00705170">
        <w:rPr>
          <w:rFonts w:ascii="Times New Roman" w:hAnsi="Times New Roman" w:cs="Times New Roman"/>
        </w:rPr>
        <w:t xml:space="preserve"> general </w:t>
      </w:r>
      <w:proofErr w:type="spellStart"/>
      <w:r w:rsidR="00C25AF2" w:rsidRPr="00705170">
        <w:rPr>
          <w:rFonts w:ascii="Times New Roman" w:hAnsi="Times New Roman" w:cs="Times New Roman"/>
        </w:rPr>
        <w:t>argument</w:t>
      </w:r>
      <w:proofErr w:type="spellEnd"/>
      <w:r w:rsidR="00C25AF2" w:rsidRPr="00705170">
        <w:rPr>
          <w:rFonts w:ascii="Times New Roman" w:hAnsi="Times New Roman" w:cs="Times New Roman"/>
        </w:rPr>
        <w:t xml:space="preserve"> </w:t>
      </w:r>
      <w:proofErr w:type="spellStart"/>
      <w:r w:rsidR="00C25AF2" w:rsidRPr="00705170">
        <w:rPr>
          <w:rFonts w:ascii="Times New Roman" w:hAnsi="Times New Roman" w:cs="Times New Roman"/>
        </w:rPr>
        <w:t>for</w:t>
      </w:r>
      <w:proofErr w:type="spellEnd"/>
      <w:r w:rsidR="00C25AF2" w:rsidRPr="00705170">
        <w:rPr>
          <w:rFonts w:ascii="Times New Roman" w:hAnsi="Times New Roman" w:cs="Times New Roman"/>
        </w:rPr>
        <w:t xml:space="preserve"> </w:t>
      </w:r>
      <w:proofErr w:type="spellStart"/>
      <w:r w:rsidR="00471B77" w:rsidRPr="00705170">
        <w:rPr>
          <w:rFonts w:ascii="Times New Roman" w:hAnsi="Times New Roman" w:cs="Times New Roman"/>
        </w:rPr>
        <w:t>justification</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stated</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above</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for</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the</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usage</w:t>
      </w:r>
      <w:proofErr w:type="spellEnd"/>
      <w:r w:rsidR="00471B77" w:rsidRPr="00705170">
        <w:rPr>
          <w:rFonts w:ascii="Times New Roman" w:hAnsi="Times New Roman" w:cs="Times New Roman"/>
        </w:rPr>
        <w:t xml:space="preserve"> of </w:t>
      </w:r>
      <w:proofErr w:type="spellStart"/>
      <w:r w:rsidR="00471B77" w:rsidRPr="00705170">
        <w:rPr>
          <w:rFonts w:ascii="Times New Roman" w:hAnsi="Times New Roman" w:cs="Times New Roman"/>
        </w:rPr>
        <w:t>the</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dissolution</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measure</w:t>
      </w:r>
      <w:proofErr w:type="spellEnd"/>
      <w:r w:rsidR="00471B77" w:rsidRPr="00705170">
        <w:rPr>
          <w:rFonts w:ascii="Times New Roman" w:hAnsi="Times New Roman" w:cs="Times New Roman"/>
        </w:rPr>
        <w:t xml:space="preserve"> in </w:t>
      </w:r>
      <w:proofErr w:type="spellStart"/>
      <w:r w:rsidR="00471B77" w:rsidRPr="00705170">
        <w:rPr>
          <w:rFonts w:ascii="Times New Roman" w:hAnsi="Times New Roman" w:cs="Times New Roman"/>
        </w:rPr>
        <w:t>the</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context</w:t>
      </w:r>
      <w:proofErr w:type="spellEnd"/>
      <w:r w:rsidR="00471B77" w:rsidRPr="00705170">
        <w:rPr>
          <w:rFonts w:ascii="Times New Roman" w:hAnsi="Times New Roman" w:cs="Times New Roman"/>
        </w:rPr>
        <w:t xml:space="preserve"> of </w:t>
      </w:r>
      <w:proofErr w:type="spellStart"/>
      <w:r w:rsidR="00471B77" w:rsidRPr="00705170">
        <w:rPr>
          <w:rFonts w:ascii="Times New Roman" w:hAnsi="Times New Roman" w:cs="Times New Roman"/>
        </w:rPr>
        <w:t>publicly</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traded</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corporations</w:t>
      </w:r>
      <w:proofErr w:type="spellEnd"/>
      <w:r w:rsidR="00471B77" w:rsidRPr="00705170">
        <w:rPr>
          <w:rFonts w:ascii="Times New Roman" w:hAnsi="Times New Roman" w:cs="Times New Roman"/>
        </w:rPr>
        <w:t xml:space="preserve"> is </w:t>
      </w:r>
      <w:proofErr w:type="spellStart"/>
      <w:r w:rsidR="00471B77" w:rsidRPr="00705170">
        <w:rPr>
          <w:rFonts w:ascii="Times New Roman" w:hAnsi="Times New Roman" w:cs="Times New Roman"/>
        </w:rPr>
        <w:t>sufficient</w:t>
      </w:r>
      <w:proofErr w:type="spellEnd"/>
      <w:r w:rsidR="00C25AF2" w:rsidRPr="00705170">
        <w:rPr>
          <w:rFonts w:ascii="Times New Roman" w:hAnsi="Times New Roman" w:cs="Times New Roman"/>
        </w:rPr>
        <w:t xml:space="preserve"> </w:t>
      </w:r>
      <w:proofErr w:type="spellStart"/>
      <w:r w:rsidR="00C25AF2" w:rsidRPr="00705170">
        <w:rPr>
          <w:rFonts w:ascii="Times New Roman" w:hAnsi="Times New Roman" w:cs="Times New Roman"/>
        </w:rPr>
        <w:t>for</w:t>
      </w:r>
      <w:proofErr w:type="spellEnd"/>
      <w:r w:rsidR="00C25AF2" w:rsidRPr="00705170">
        <w:rPr>
          <w:rFonts w:ascii="Times New Roman" w:hAnsi="Times New Roman" w:cs="Times New Roman"/>
        </w:rPr>
        <w:t xml:space="preserve"> </w:t>
      </w:r>
      <w:proofErr w:type="spellStart"/>
      <w:r w:rsidR="00C25AF2" w:rsidRPr="00705170">
        <w:rPr>
          <w:rFonts w:ascii="Times New Roman" w:hAnsi="Times New Roman" w:cs="Times New Roman"/>
        </w:rPr>
        <w:t>its</w:t>
      </w:r>
      <w:proofErr w:type="spellEnd"/>
      <w:r w:rsidR="00C25AF2" w:rsidRPr="00705170">
        <w:rPr>
          <w:rFonts w:ascii="Times New Roman" w:hAnsi="Times New Roman" w:cs="Times New Roman"/>
        </w:rPr>
        <w:t xml:space="preserve"> </w:t>
      </w:r>
      <w:proofErr w:type="spellStart"/>
      <w:r w:rsidR="00C25AF2" w:rsidRPr="00705170">
        <w:rPr>
          <w:rFonts w:ascii="Times New Roman" w:hAnsi="Times New Roman" w:cs="Times New Roman"/>
        </w:rPr>
        <w:t>adoption</w:t>
      </w:r>
      <w:proofErr w:type="spellEnd"/>
      <w:r w:rsidR="00C25AF2" w:rsidRPr="00705170">
        <w:rPr>
          <w:rFonts w:ascii="Times New Roman" w:hAnsi="Times New Roman" w:cs="Times New Roman"/>
        </w:rPr>
        <w:t xml:space="preserve"> </w:t>
      </w:r>
      <w:proofErr w:type="spellStart"/>
      <w:r w:rsidR="00C25AF2" w:rsidRPr="00705170">
        <w:rPr>
          <w:rFonts w:ascii="Times New Roman" w:hAnsi="Times New Roman" w:cs="Times New Roman"/>
        </w:rPr>
        <w:t>through</w:t>
      </w:r>
      <w:proofErr w:type="spellEnd"/>
      <w:r w:rsidR="00C25AF2" w:rsidRPr="00705170">
        <w:rPr>
          <w:rFonts w:ascii="Times New Roman" w:hAnsi="Times New Roman" w:cs="Times New Roman"/>
        </w:rPr>
        <w:t xml:space="preserve"> </w:t>
      </w:r>
      <w:proofErr w:type="spellStart"/>
      <w:r w:rsidR="00C25AF2" w:rsidRPr="00705170">
        <w:rPr>
          <w:rFonts w:ascii="Times New Roman" w:hAnsi="Times New Roman" w:cs="Times New Roman"/>
        </w:rPr>
        <w:t>the</w:t>
      </w:r>
      <w:proofErr w:type="spellEnd"/>
      <w:r w:rsidR="00C25AF2" w:rsidRPr="00705170">
        <w:rPr>
          <w:rFonts w:ascii="Times New Roman" w:hAnsi="Times New Roman" w:cs="Times New Roman"/>
        </w:rPr>
        <w:t xml:space="preserve"> </w:t>
      </w:r>
      <w:proofErr w:type="spellStart"/>
      <w:r w:rsidR="00C25AF2" w:rsidRPr="00705170">
        <w:rPr>
          <w:rFonts w:ascii="Times New Roman" w:hAnsi="Times New Roman" w:cs="Times New Roman"/>
        </w:rPr>
        <w:t>reasonable</w:t>
      </w:r>
      <w:proofErr w:type="spellEnd"/>
      <w:r w:rsidR="00C25AF2" w:rsidRPr="00705170">
        <w:rPr>
          <w:rFonts w:ascii="Times New Roman" w:hAnsi="Times New Roman" w:cs="Times New Roman"/>
        </w:rPr>
        <w:t xml:space="preserve"> </w:t>
      </w:r>
      <w:proofErr w:type="spellStart"/>
      <w:r w:rsidR="00C25AF2" w:rsidRPr="00705170">
        <w:rPr>
          <w:rFonts w:ascii="Times New Roman" w:hAnsi="Times New Roman" w:cs="Times New Roman"/>
        </w:rPr>
        <w:t>expectations</w:t>
      </w:r>
      <w:proofErr w:type="spellEnd"/>
      <w:r w:rsidR="00C25AF2" w:rsidRPr="00705170">
        <w:rPr>
          <w:rFonts w:ascii="Times New Roman" w:hAnsi="Times New Roman" w:cs="Times New Roman"/>
        </w:rPr>
        <w:t xml:space="preserve"> </w:t>
      </w:r>
      <w:proofErr w:type="spellStart"/>
      <w:r w:rsidR="00C25AF2" w:rsidRPr="00705170">
        <w:rPr>
          <w:rFonts w:ascii="Times New Roman" w:hAnsi="Times New Roman" w:cs="Times New Roman"/>
        </w:rPr>
        <w:t>standard</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there</w:t>
      </w:r>
      <w:proofErr w:type="spellEnd"/>
      <w:r w:rsidR="00471B77" w:rsidRPr="00705170">
        <w:rPr>
          <w:rFonts w:ascii="Times New Roman" w:hAnsi="Times New Roman" w:cs="Times New Roman"/>
        </w:rPr>
        <w:t xml:space="preserve"> is </w:t>
      </w:r>
      <w:proofErr w:type="spellStart"/>
      <w:r w:rsidR="00471B77" w:rsidRPr="00705170">
        <w:rPr>
          <w:rFonts w:ascii="Times New Roman" w:hAnsi="Times New Roman" w:cs="Times New Roman"/>
        </w:rPr>
        <w:t>no</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reason</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to</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further</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dwell</w:t>
      </w:r>
      <w:proofErr w:type="spellEnd"/>
      <w:r w:rsidR="00471B77" w:rsidRPr="00705170">
        <w:rPr>
          <w:rFonts w:ascii="Times New Roman" w:hAnsi="Times New Roman" w:cs="Times New Roman"/>
        </w:rPr>
        <w:t xml:space="preserve"> in </w:t>
      </w:r>
      <w:proofErr w:type="spellStart"/>
      <w:r w:rsidR="00471B77" w:rsidRPr="00705170">
        <w:rPr>
          <w:rFonts w:ascii="Times New Roman" w:hAnsi="Times New Roman" w:cs="Times New Roman"/>
        </w:rPr>
        <w:t>these</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counter</w:t>
      </w:r>
      <w:proofErr w:type="spellEnd"/>
      <w:r w:rsidR="00471B77" w:rsidRPr="00705170">
        <w:rPr>
          <w:rFonts w:ascii="Times New Roman" w:hAnsi="Times New Roman" w:cs="Times New Roman"/>
        </w:rPr>
        <w:t xml:space="preserve"> </w:t>
      </w:r>
      <w:proofErr w:type="spellStart"/>
      <w:r w:rsidR="00471B77" w:rsidRPr="00705170">
        <w:rPr>
          <w:rFonts w:ascii="Times New Roman" w:hAnsi="Times New Roman" w:cs="Times New Roman"/>
        </w:rPr>
        <w:t>arguments</w:t>
      </w:r>
      <w:proofErr w:type="spellEnd"/>
      <w:r w:rsidR="00471B77" w:rsidRPr="00705170">
        <w:rPr>
          <w:rFonts w:ascii="Times New Roman" w:hAnsi="Times New Roman" w:cs="Times New Roman"/>
        </w:rPr>
        <w:t>.</w:t>
      </w:r>
    </w:p>
    <w:p w14:paraId="091F9339" w14:textId="08DB0892" w:rsidR="005E4903" w:rsidRPr="00705170" w:rsidRDefault="00C01441" w:rsidP="005E4903">
      <w:pPr>
        <w:spacing w:after="240" w:line="480" w:lineRule="auto"/>
        <w:ind w:firstLine="708"/>
        <w:rPr>
          <w:rFonts w:ascii="Times New Roman" w:hAnsi="Times New Roman" w:cs="Times New Roman"/>
          <w:b/>
        </w:rPr>
      </w:pPr>
      <w:r>
        <w:rPr>
          <w:rFonts w:ascii="Times New Roman" w:hAnsi="Times New Roman" w:cs="Times New Roman"/>
          <w:b/>
        </w:rPr>
        <w:t>4</w:t>
      </w:r>
      <w:r w:rsidR="005E4903" w:rsidRPr="00705170">
        <w:rPr>
          <w:rFonts w:ascii="Times New Roman" w:hAnsi="Times New Roman" w:cs="Times New Roman"/>
          <w:b/>
        </w:rPr>
        <w:t xml:space="preserve">.4.3. </w:t>
      </w:r>
      <w:proofErr w:type="spellStart"/>
      <w:r w:rsidR="00AD30B7" w:rsidRPr="00705170">
        <w:rPr>
          <w:rFonts w:ascii="Times New Roman" w:hAnsi="Times New Roman" w:cs="Times New Roman"/>
          <w:b/>
        </w:rPr>
        <w:t>Rethinking</w:t>
      </w:r>
      <w:proofErr w:type="spellEnd"/>
      <w:r w:rsidR="005E4903" w:rsidRPr="00705170">
        <w:rPr>
          <w:rFonts w:ascii="Times New Roman" w:hAnsi="Times New Roman" w:cs="Times New Roman"/>
          <w:b/>
        </w:rPr>
        <w:t xml:space="preserve"> </w:t>
      </w:r>
      <w:proofErr w:type="spellStart"/>
      <w:r w:rsidR="005E4903" w:rsidRPr="00705170">
        <w:rPr>
          <w:rFonts w:ascii="Times New Roman" w:hAnsi="Times New Roman" w:cs="Times New Roman"/>
          <w:b/>
        </w:rPr>
        <w:t>the</w:t>
      </w:r>
      <w:proofErr w:type="spellEnd"/>
      <w:r w:rsidR="005E4903" w:rsidRPr="00705170">
        <w:rPr>
          <w:rFonts w:ascii="Times New Roman" w:hAnsi="Times New Roman" w:cs="Times New Roman"/>
          <w:b/>
        </w:rPr>
        <w:t xml:space="preserve"> </w:t>
      </w:r>
      <w:proofErr w:type="spellStart"/>
      <w:r w:rsidR="005E4903" w:rsidRPr="00705170">
        <w:rPr>
          <w:rFonts w:ascii="Times New Roman" w:hAnsi="Times New Roman" w:cs="Times New Roman"/>
          <w:b/>
        </w:rPr>
        <w:t>Conception</w:t>
      </w:r>
      <w:proofErr w:type="spellEnd"/>
    </w:p>
    <w:p w14:paraId="4B9D1C99" w14:textId="7787E705" w:rsidR="00AD30B7" w:rsidRPr="00705170" w:rsidRDefault="00AD30B7" w:rsidP="00AD30B7">
      <w:pPr>
        <w:spacing w:after="240" w:line="480" w:lineRule="auto"/>
        <w:ind w:firstLine="720"/>
        <w:jc w:val="both"/>
        <w:rPr>
          <w:rFonts w:ascii="Times New Roman" w:hAnsi="Times New Roman" w:cs="Times New Roman"/>
          <w:b/>
        </w:rPr>
      </w:pPr>
      <w:r w:rsidRPr="00705170">
        <w:rPr>
          <w:rFonts w:ascii="Times New Roman" w:hAnsi="Times New Roman" w:cs="Times New Roman"/>
          <w:b/>
        </w:rPr>
        <w:t xml:space="preserve">1) </w:t>
      </w:r>
      <w:proofErr w:type="spellStart"/>
      <w:r w:rsidRPr="00705170">
        <w:rPr>
          <w:rFonts w:ascii="Times New Roman" w:hAnsi="Times New Roman" w:cs="Times New Roman"/>
          <w:b/>
        </w:rPr>
        <w:t>Generally</w:t>
      </w:r>
      <w:proofErr w:type="spellEnd"/>
    </w:p>
    <w:p w14:paraId="67384420" w14:textId="471B33DA" w:rsidR="006E6783" w:rsidRPr="00705170" w:rsidRDefault="00AD30B7" w:rsidP="006E6783">
      <w:pPr>
        <w:spacing w:after="240" w:line="480" w:lineRule="auto"/>
        <w:ind w:firstLine="720"/>
        <w:jc w:val="both"/>
        <w:rPr>
          <w:rFonts w:ascii="Times New Roman" w:hAnsi="Times New Roman" w:cs="Times New Roman"/>
        </w:rPr>
      </w:pPr>
      <w:r w:rsidRPr="00705170">
        <w:rPr>
          <w:rFonts w:ascii="Times New Roman" w:hAnsi="Times New Roman" w:cs="Times New Roman"/>
        </w:rPr>
        <w:t xml:space="preserve">As </w:t>
      </w:r>
      <w:proofErr w:type="spellStart"/>
      <w:r w:rsidRPr="00705170">
        <w:rPr>
          <w:rFonts w:ascii="Times New Roman" w:hAnsi="Times New Roman" w:cs="Times New Roman"/>
        </w:rPr>
        <w:t>noted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previous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nature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differs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nature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therefore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application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entities</w:t>
      </w:r>
      <w:proofErr w:type="spellEnd"/>
      <w:r w:rsidR="00CE4A59" w:rsidRPr="00705170">
        <w:rPr>
          <w:rFonts w:ascii="Times New Roman" w:hAnsi="Times New Roman" w:cs="Times New Roman"/>
        </w:rPr>
        <w:t xml:space="preserve"> </w:t>
      </w:r>
      <w:proofErr w:type="spellStart"/>
      <w:r w:rsidR="00CE4A59" w:rsidRPr="00705170">
        <w:rPr>
          <w:rFonts w:ascii="Times New Roman" w:hAnsi="Times New Roman" w:cs="Times New Roman"/>
        </w:rPr>
        <w:t>through</w:t>
      </w:r>
      <w:proofErr w:type="spellEnd"/>
      <w:r w:rsidR="00CE4A59" w:rsidRPr="00705170">
        <w:rPr>
          <w:rFonts w:ascii="Times New Roman" w:hAnsi="Times New Roman" w:cs="Times New Roman"/>
        </w:rPr>
        <w:t xml:space="preserve"> </w:t>
      </w:r>
      <w:proofErr w:type="spellStart"/>
      <w:r w:rsidR="00CE4A59" w:rsidRPr="00705170">
        <w:rPr>
          <w:rFonts w:ascii="Times New Roman" w:hAnsi="Times New Roman" w:cs="Times New Roman"/>
        </w:rPr>
        <w:t>the</w:t>
      </w:r>
      <w:proofErr w:type="spellEnd"/>
      <w:r w:rsidR="00CE4A59" w:rsidRPr="00705170">
        <w:rPr>
          <w:rFonts w:ascii="Times New Roman" w:hAnsi="Times New Roman" w:cs="Times New Roman"/>
        </w:rPr>
        <w:t xml:space="preserve"> </w:t>
      </w:r>
      <w:proofErr w:type="spellStart"/>
      <w:r w:rsidR="00CE4A59" w:rsidRPr="00705170">
        <w:rPr>
          <w:rFonts w:ascii="Times New Roman" w:hAnsi="Times New Roman" w:cs="Times New Roman"/>
        </w:rPr>
        <w:t>judicial</w:t>
      </w:r>
      <w:proofErr w:type="spellEnd"/>
      <w:r w:rsidR="00CE4A59" w:rsidRPr="00705170">
        <w:rPr>
          <w:rFonts w:ascii="Times New Roman" w:hAnsi="Times New Roman" w:cs="Times New Roman"/>
        </w:rPr>
        <w:t xml:space="preserve"> </w:t>
      </w:r>
      <w:proofErr w:type="spellStart"/>
      <w:r w:rsidR="00CE4A59" w:rsidRPr="00705170">
        <w:rPr>
          <w:rFonts w:ascii="Times New Roman" w:hAnsi="Times New Roman" w:cs="Times New Roman"/>
        </w:rPr>
        <w:t>dissolution</w:t>
      </w:r>
      <w:proofErr w:type="spellEnd"/>
      <w:r w:rsidR="00CE4A59" w:rsidRPr="00705170">
        <w:rPr>
          <w:rFonts w:ascii="Times New Roman" w:hAnsi="Times New Roman" w:cs="Times New Roman"/>
        </w:rPr>
        <w:t xml:space="preserve"> </w:t>
      </w:r>
      <w:proofErr w:type="spellStart"/>
      <w:r w:rsidR="00CE4A59" w:rsidRPr="00705170">
        <w:rPr>
          <w:rFonts w:ascii="Times New Roman" w:hAnsi="Times New Roman" w:cs="Times New Roman"/>
        </w:rPr>
        <w:t>provision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take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diffe</w:t>
      </w:r>
      <w:r w:rsidR="0033283D" w:rsidRPr="00705170">
        <w:rPr>
          <w:rFonts w:ascii="Times New Roman" w:hAnsi="Times New Roman" w:cs="Times New Roman"/>
        </w:rPr>
        <w:t>rences</w:t>
      </w:r>
      <w:proofErr w:type="spellEnd"/>
      <w:r w:rsidR="0033283D" w:rsidRPr="00705170">
        <w:rPr>
          <w:rFonts w:ascii="Times New Roman" w:hAnsi="Times New Roman" w:cs="Times New Roman"/>
        </w:rPr>
        <w:t xml:space="preserve"> </w:t>
      </w:r>
      <w:proofErr w:type="spellStart"/>
      <w:r w:rsidR="0033283D" w:rsidRPr="00705170">
        <w:rPr>
          <w:rFonts w:ascii="Times New Roman" w:hAnsi="Times New Roman" w:cs="Times New Roman"/>
        </w:rPr>
        <w:t>into</w:t>
      </w:r>
      <w:proofErr w:type="spellEnd"/>
      <w:r w:rsidR="0033283D" w:rsidRPr="00705170">
        <w:rPr>
          <w:rFonts w:ascii="Times New Roman" w:hAnsi="Times New Roman" w:cs="Times New Roman"/>
        </w:rPr>
        <w:t xml:space="preserve"> </w:t>
      </w:r>
      <w:proofErr w:type="spellStart"/>
      <w:r w:rsidR="0033283D" w:rsidRPr="00705170">
        <w:rPr>
          <w:rFonts w:ascii="Times New Roman" w:hAnsi="Times New Roman" w:cs="Times New Roman"/>
        </w:rPr>
        <w:t>consideration</w:t>
      </w:r>
      <w:proofErr w:type="spellEnd"/>
      <w:r w:rsidR="0033283D" w:rsidRPr="00705170">
        <w:rPr>
          <w:rFonts w:ascii="Times New Roman" w:hAnsi="Times New Roman" w:cs="Times New Roman"/>
        </w:rPr>
        <w:t xml:space="preserve">. </w:t>
      </w:r>
      <w:proofErr w:type="spellStart"/>
      <w:r w:rsidR="001815B0" w:rsidRPr="00705170">
        <w:rPr>
          <w:rFonts w:ascii="Times New Roman" w:hAnsi="Times New Roman" w:cs="Times New Roman"/>
        </w:rPr>
        <w:t>This</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rethinking</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brings</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forward</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the</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following</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two</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questions</w:t>
      </w:r>
      <w:proofErr w:type="spellEnd"/>
      <w:r w:rsidR="001815B0" w:rsidRPr="00705170">
        <w:rPr>
          <w:rFonts w:ascii="Times New Roman" w:hAnsi="Times New Roman" w:cs="Times New Roman"/>
        </w:rPr>
        <w:t xml:space="preserve">: (1) </w:t>
      </w:r>
      <w:proofErr w:type="spellStart"/>
      <w:r w:rsidR="001815B0" w:rsidRPr="00705170">
        <w:rPr>
          <w:rFonts w:ascii="Times New Roman" w:hAnsi="Times New Roman" w:cs="Times New Roman"/>
        </w:rPr>
        <w:t>From</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which</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sources</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will</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the</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expectations</w:t>
      </w:r>
      <w:proofErr w:type="spellEnd"/>
      <w:r w:rsidR="001815B0" w:rsidRPr="00705170">
        <w:rPr>
          <w:rFonts w:ascii="Times New Roman" w:hAnsi="Times New Roman" w:cs="Times New Roman"/>
        </w:rPr>
        <w:t xml:space="preserve"> be </w:t>
      </w:r>
      <w:proofErr w:type="spellStart"/>
      <w:r w:rsidR="001815B0" w:rsidRPr="00705170">
        <w:rPr>
          <w:rFonts w:ascii="Times New Roman" w:hAnsi="Times New Roman" w:cs="Times New Roman"/>
        </w:rPr>
        <w:t>carved</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out</w:t>
      </w:r>
      <w:proofErr w:type="spellEnd"/>
      <w:r w:rsidR="001815B0" w:rsidRPr="00705170">
        <w:rPr>
          <w:rFonts w:ascii="Times New Roman" w:hAnsi="Times New Roman" w:cs="Times New Roman"/>
        </w:rPr>
        <w:t xml:space="preserve">? (2) </w:t>
      </w:r>
      <w:proofErr w:type="spellStart"/>
      <w:r w:rsidR="001815B0" w:rsidRPr="00705170">
        <w:rPr>
          <w:rFonts w:ascii="Times New Roman" w:hAnsi="Times New Roman" w:cs="Times New Roman"/>
        </w:rPr>
        <w:t>Which</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expectations</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will</w:t>
      </w:r>
      <w:proofErr w:type="spellEnd"/>
      <w:r w:rsidR="001815B0" w:rsidRPr="00705170">
        <w:rPr>
          <w:rFonts w:ascii="Times New Roman" w:hAnsi="Times New Roman" w:cs="Times New Roman"/>
        </w:rPr>
        <w:t xml:space="preserve"> be </w:t>
      </w:r>
      <w:proofErr w:type="spellStart"/>
      <w:r w:rsidR="001815B0" w:rsidRPr="00705170">
        <w:rPr>
          <w:rFonts w:ascii="Times New Roman" w:hAnsi="Times New Roman" w:cs="Times New Roman"/>
        </w:rPr>
        <w:t>taken</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into</w:t>
      </w:r>
      <w:proofErr w:type="spellEnd"/>
      <w:r w:rsidR="001815B0" w:rsidRPr="00705170">
        <w:rPr>
          <w:rFonts w:ascii="Times New Roman" w:hAnsi="Times New Roman" w:cs="Times New Roman"/>
        </w:rPr>
        <w:t xml:space="preserve"> </w:t>
      </w:r>
      <w:proofErr w:type="spellStart"/>
      <w:r w:rsidR="001815B0" w:rsidRPr="00705170">
        <w:rPr>
          <w:rFonts w:ascii="Times New Roman" w:hAnsi="Times New Roman" w:cs="Times New Roman"/>
        </w:rPr>
        <w:t>consideration</w:t>
      </w:r>
      <w:proofErr w:type="spellEnd"/>
      <w:r w:rsidR="001815B0" w:rsidRPr="00705170">
        <w:rPr>
          <w:rFonts w:ascii="Times New Roman" w:hAnsi="Times New Roman" w:cs="Times New Roman"/>
        </w:rPr>
        <w:t>?</w:t>
      </w:r>
      <w:r w:rsidR="006E6783" w:rsidRPr="00705170">
        <w:rPr>
          <w:rFonts w:ascii="Times New Roman" w:hAnsi="Times New Roman" w:cs="Times New Roman"/>
        </w:rPr>
        <w:t xml:space="preserve"> </w:t>
      </w:r>
    </w:p>
    <w:p w14:paraId="3C007CE1" w14:textId="72EDD5B2" w:rsidR="007004C2" w:rsidRPr="00705170" w:rsidRDefault="006E6783" w:rsidP="006E6783">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answer</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questions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depends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acknowledgement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following</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two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principle</w:t>
      </w:r>
      <w:r w:rsidR="008D3285" w:rsidRPr="00705170">
        <w:rPr>
          <w:rFonts w:ascii="Times New Roman" w:hAnsi="Times New Roman" w:cs="Times New Roman"/>
        </w:rPr>
        <w:t>s</w:t>
      </w:r>
      <w:proofErr w:type="spellEnd"/>
      <w:r w:rsidRPr="00705170">
        <w:rPr>
          <w:rFonts w:ascii="Times New Roman" w:hAnsi="Times New Roman" w:cs="Times New Roman"/>
        </w:rPr>
        <w:t xml:space="preserve">: </w:t>
      </w:r>
      <w:r w:rsidR="008D3285" w:rsidRPr="00705170">
        <w:rPr>
          <w:rFonts w:ascii="Times New Roman" w:hAnsi="Times New Roman" w:cs="Times New Roman"/>
        </w:rPr>
        <w:t xml:space="preserve">(1)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policy</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market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regarding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limitation</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sources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r</w:t>
      </w:r>
      <w:r w:rsidR="008D3285" w:rsidRPr="00705170">
        <w:rPr>
          <w:rFonts w:ascii="Times New Roman" w:hAnsi="Times New Roman" w:cs="Times New Roman"/>
        </w:rPr>
        <w:t>easonable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expectations</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analysis</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and</w:t>
      </w:r>
      <w:proofErr w:type="spellEnd"/>
      <w:r w:rsidR="008D3285" w:rsidRPr="00705170">
        <w:rPr>
          <w:rFonts w:ascii="Times New Roman" w:hAnsi="Times New Roman" w:cs="Times New Roman"/>
        </w:rPr>
        <w:t xml:space="preserve"> (2) </w:t>
      </w:r>
      <w:proofErr w:type="spellStart"/>
      <w:r w:rsidR="008D3285" w:rsidRPr="00705170">
        <w:rPr>
          <w:rFonts w:ascii="Times New Roman" w:hAnsi="Times New Roman" w:cs="Times New Roman"/>
        </w:rPr>
        <w:t>investment</w:t>
      </w:r>
      <w:proofErr w:type="spellEnd"/>
      <w:r w:rsidR="008D3285" w:rsidRPr="00705170">
        <w:rPr>
          <w:rFonts w:ascii="Times New Roman" w:hAnsi="Times New Roman" w:cs="Times New Roman"/>
        </w:rPr>
        <w:t xml:space="preserve"> in </w:t>
      </w:r>
      <w:proofErr w:type="spellStart"/>
      <w:r w:rsidR="008D3285" w:rsidRPr="00705170">
        <w:rPr>
          <w:rFonts w:ascii="Times New Roman" w:hAnsi="Times New Roman" w:cs="Times New Roman"/>
        </w:rPr>
        <w:t>publicly</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traded</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corporations</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are</w:t>
      </w:r>
      <w:proofErr w:type="spellEnd"/>
      <w:r w:rsidR="008D3285" w:rsidRPr="00705170">
        <w:rPr>
          <w:rFonts w:ascii="Times New Roman" w:hAnsi="Times New Roman" w:cs="Times New Roman"/>
        </w:rPr>
        <w:t xml:space="preserve"> in general </w:t>
      </w:r>
      <w:proofErr w:type="spellStart"/>
      <w:r w:rsidR="00BA5AE8">
        <w:rPr>
          <w:rFonts w:ascii="Times New Roman" w:hAnsi="Times New Roman" w:cs="Times New Roman"/>
        </w:rPr>
        <w:t>made</w:t>
      </w:r>
      <w:proofErr w:type="spellEnd"/>
      <w:r w:rsidR="00BA5AE8" w:rsidRPr="00705170">
        <w:rPr>
          <w:rFonts w:ascii="Times New Roman" w:hAnsi="Times New Roman" w:cs="Times New Roman"/>
        </w:rPr>
        <w:t xml:space="preserve"> </w:t>
      </w:r>
      <w:proofErr w:type="spellStart"/>
      <w:r w:rsidR="008D3285" w:rsidRPr="00705170">
        <w:rPr>
          <w:rFonts w:ascii="Times New Roman" w:hAnsi="Times New Roman" w:cs="Times New Roman"/>
        </w:rPr>
        <w:t>with</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the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intention</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to</w:t>
      </w:r>
      <w:proofErr w:type="spellEnd"/>
      <w:r w:rsidR="008D3285" w:rsidRPr="00705170">
        <w:rPr>
          <w:rFonts w:ascii="Times New Roman" w:hAnsi="Times New Roman" w:cs="Times New Roman"/>
        </w:rPr>
        <w:t xml:space="preserve"> be </w:t>
      </w:r>
      <w:proofErr w:type="spellStart"/>
      <w:r w:rsidR="008D3285" w:rsidRPr="00705170">
        <w:rPr>
          <w:rFonts w:ascii="Times New Roman" w:hAnsi="Times New Roman" w:cs="Times New Roman"/>
        </w:rPr>
        <w:t>entitled</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to</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benefits</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the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mere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shareholder</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status</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entitles</w:t>
      </w:r>
      <w:proofErr w:type="spellEnd"/>
      <w:r w:rsidR="008D3285" w:rsidRPr="00705170">
        <w:rPr>
          <w:rFonts w:ascii="Times New Roman" w:hAnsi="Times New Roman" w:cs="Times New Roman"/>
        </w:rPr>
        <w:t>.</w:t>
      </w:r>
      <w:r w:rsidRPr="00705170">
        <w:rPr>
          <w:rFonts w:ascii="Times New Roman" w:hAnsi="Times New Roman" w:cs="Times New Roman"/>
        </w:rPr>
        <w:t xml:space="preserve"> </w:t>
      </w:r>
      <w:proofErr w:type="spellStart"/>
      <w:r w:rsidR="00A03468" w:rsidRPr="00705170">
        <w:rPr>
          <w:rFonts w:ascii="Times New Roman" w:hAnsi="Times New Roman" w:cs="Times New Roman"/>
        </w:rPr>
        <w:t>The</w:t>
      </w:r>
      <w:proofErr w:type="spellEnd"/>
      <w:r w:rsidR="00A03468" w:rsidRPr="00705170">
        <w:rPr>
          <w:rFonts w:ascii="Times New Roman" w:hAnsi="Times New Roman" w:cs="Times New Roman"/>
        </w:rPr>
        <w:t xml:space="preserve"> </w:t>
      </w:r>
      <w:proofErr w:type="spellStart"/>
      <w:r w:rsidR="00A03468" w:rsidRPr="00705170">
        <w:rPr>
          <w:rFonts w:ascii="Times New Roman" w:hAnsi="Times New Roman" w:cs="Times New Roman"/>
        </w:rPr>
        <w:t>prior</w:t>
      </w:r>
      <w:proofErr w:type="spellEnd"/>
      <w:r w:rsidR="00A03468" w:rsidRPr="00705170">
        <w:rPr>
          <w:rFonts w:ascii="Times New Roman" w:hAnsi="Times New Roman" w:cs="Times New Roman"/>
        </w:rPr>
        <w:t xml:space="preserve"> </w:t>
      </w:r>
      <w:proofErr w:type="spellStart"/>
      <w:r w:rsidR="00A03468" w:rsidRPr="00705170">
        <w:rPr>
          <w:rFonts w:ascii="Times New Roman" w:hAnsi="Times New Roman" w:cs="Times New Roman"/>
        </w:rPr>
        <w:t>principle</w:t>
      </w:r>
      <w:proofErr w:type="spellEnd"/>
      <w:r w:rsidR="008D3285" w:rsidRPr="00705170">
        <w:rPr>
          <w:rFonts w:ascii="Times New Roman" w:hAnsi="Times New Roman" w:cs="Times New Roman"/>
        </w:rPr>
        <w:t xml:space="preserve"> is </w:t>
      </w:r>
      <w:proofErr w:type="spellStart"/>
      <w:r w:rsidR="008D3285" w:rsidRPr="00705170">
        <w:rPr>
          <w:rFonts w:ascii="Times New Roman" w:hAnsi="Times New Roman" w:cs="Times New Roman"/>
        </w:rPr>
        <w:t>the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outcome</w:t>
      </w:r>
      <w:proofErr w:type="spellEnd"/>
      <w:r w:rsidR="008D3285" w:rsidRPr="00705170">
        <w:rPr>
          <w:rFonts w:ascii="Times New Roman" w:hAnsi="Times New Roman" w:cs="Times New Roman"/>
        </w:rPr>
        <w:t xml:space="preserve"> of </w:t>
      </w:r>
      <w:proofErr w:type="spellStart"/>
      <w:r w:rsidR="008D3285" w:rsidRPr="00705170">
        <w:rPr>
          <w:rFonts w:ascii="Times New Roman" w:hAnsi="Times New Roman" w:cs="Times New Roman"/>
        </w:rPr>
        <w:t>the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fact</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current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outside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entitled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assume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being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according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market, not on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hidden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agreement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arrangement</w:t>
      </w:r>
      <w:proofErr w:type="spellEnd"/>
      <w:r w:rsidRPr="00705170">
        <w:rPr>
          <w:rStyle w:val="DipnotBavurusu"/>
          <w:rFonts w:ascii="Times New Roman" w:hAnsi="Times New Roman" w:cs="Times New Roman"/>
        </w:rPr>
        <w:footnoteReference w:id="795"/>
      </w:r>
      <w:r w:rsidRPr="00705170">
        <w:rPr>
          <w:rFonts w:ascii="Times New Roman" w:hAnsi="Times New Roman" w:cs="Times New Roman"/>
        </w:rPr>
        <w:t xml:space="preserve">. </w:t>
      </w:r>
      <w:proofErr w:type="spellStart"/>
      <w:r w:rsidRPr="00705170">
        <w:rPr>
          <w:rFonts w:ascii="Times New Roman" w:hAnsi="Times New Roman" w:cs="Times New Roman"/>
        </w:rPr>
        <w:t>Thus</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noted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lastRenderedPageBreak/>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previous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chapter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investigation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unwritten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bargains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agreements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determine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007F01D8" w:rsidRPr="00705170">
        <w:rPr>
          <w:rStyle w:val="DipnotBavurusu"/>
          <w:rFonts w:ascii="Times New Roman" w:hAnsi="Times New Roman" w:cs="Times New Roman"/>
        </w:rPr>
        <w:footnoteReference w:id="796"/>
      </w:r>
      <w:r w:rsidRPr="00705170">
        <w:rPr>
          <w:rFonts w:ascii="Times New Roman" w:hAnsi="Times New Roman" w:cs="Times New Roman"/>
        </w:rPr>
        <w:t xml:space="preserve">. </w:t>
      </w:r>
    </w:p>
    <w:p w14:paraId="2608B8F3" w14:textId="0984E24E" w:rsidR="008D3285" w:rsidRPr="00705170" w:rsidRDefault="00440CFE" w:rsidP="006E6783">
      <w:pPr>
        <w:spacing w:after="240" w:line="480" w:lineRule="auto"/>
        <w:ind w:firstLine="720"/>
        <w:jc w:val="both"/>
        <w:rPr>
          <w:rFonts w:ascii="Times New Roman" w:hAnsi="Times New Roman" w:cs="Times New Roman"/>
        </w:rPr>
      </w:pPr>
      <w:r w:rsidRPr="00705170">
        <w:rPr>
          <w:rFonts w:ascii="Times New Roman" w:hAnsi="Times New Roman" w:cs="Times New Roman"/>
        </w:rPr>
        <w:t xml:space="preserve">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latter</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principle</w:t>
      </w:r>
      <w:proofErr w:type="spellEnd"/>
      <w:r w:rsidR="008D3285" w:rsidRPr="00705170">
        <w:rPr>
          <w:rFonts w:ascii="Times New Roman" w:hAnsi="Times New Roman" w:cs="Times New Roman"/>
        </w:rPr>
        <w:t xml:space="preserve"> is </w:t>
      </w:r>
      <w:proofErr w:type="spellStart"/>
      <w:r w:rsidR="008D3285" w:rsidRPr="00705170">
        <w:rPr>
          <w:rFonts w:ascii="Times New Roman" w:hAnsi="Times New Roman" w:cs="Times New Roman"/>
        </w:rPr>
        <w:t>the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outcome</w:t>
      </w:r>
      <w:proofErr w:type="spellEnd"/>
      <w:r w:rsidR="008D3285" w:rsidRPr="00705170">
        <w:rPr>
          <w:rFonts w:ascii="Times New Roman" w:hAnsi="Times New Roman" w:cs="Times New Roman"/>
        </w:rPr>
        <w:t xml:space="preserve"> of </w:t>
      </w:r>
      <w:proofErr w:type="spellStart"/>
      <w:r w:rsidR="008D3285" w:rsidRPr="00705170">
        <w:rPr>
          <w:rFonts w:ascii="Times New Roman" w:hAnsi="Times New Roman" w:cs="Times New Roman"/>
        </w:rPr>
        <w:t>the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fact</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that</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shareholders</w:t>
      </w:r>
      <w:proofErr w:type="spellEnd"/>
      <w:r w:rsidR="008D3285" w:rsidRPr="00705170">
        <w:rPr>
          <w:rFonts w:ascii="Times New Roman" w:hAnsi="Times New Roman" w:cs="Times New Roman"/>
        </w:rPr>
        <w:t xml:space="preserve"> in </w:t>
      </w:r>
      <w:proofErr w:type="spellStart"/>
      <w:r w:rsidR="008D3285" w:rsidRPr="00705170">
        <w:rPr>
          <w:rFonts w:ascii="Times New Roman" w:hAnsi="Times New Roman" w:cs="Times New Roman"/>
        </w:rPr>
        <w:t>publicly</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traded</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corporations</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invest</w:t>
      </w:r>
      <w:proofErr w:type="spellEnd"/>
      <w:r w:rsidR="008D3285" w:rsidRPr="00705170">
        <w:rPr>
          <w:rFonts w:ascii="Times New Roman" w:hAnsi="Times New Roman" w:cs="Times New Roman"/>
        </w:rPr>
        <w:t xml:space="preserve"> in </w:t>
      </w:r>
      <w:proofErr w:type="spellStart"/>
      <w:r w:rsidR="008D3285" w:rsidRPr="00705170">
        <w:rPr>
          <w:rFonts w:ascii="Times New Roman" w:hAnsi="Times New Roman" w:cs="Times New Roman"/>
        </w:rPr>
        <w:t>with</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the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expectation</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to</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receive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dividends</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or</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profit</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from</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the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difference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between</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the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purchase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and</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sale</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price</w:t>
      </w:r>
      <w:proofErr w:type="spellEnd"/>
      <w:r w:rsidR="008D3285" w:rsidRPr="00705170">
        <w:rPr>
          <w:rFonts w:ascii="Times New Roman" w:hAnsi="Times New Roman" w:cs="Times New Roman"/>
        </w:rPr>
        <w:t xml:space="preserve"> of a </w:t>
      </w:r>
      <w:proofErr w:type="spellStart"/>
      <w:r w:rsidR="008D3285" w:rsidRPr="00705170">
        <w:rPr>
          <w:rFonts w:ascii="Times New Roman" w:hAnsi="Times New Roman" w:cs="Times New Roman"/>
        </w:rPr>
        <w:t>p</w:t>
      </w:r>
      <w:r w:rsidR="003651D6" w:rsidRPr="00705170">
        <w:rPr>
          <w:rFonts w:ascii="Times New Roman" w:hAnsi="Times New Roman" w:cs="Times New Roman"/>
        </w:rPr>
        <w:t>articular</w:t>
      </w:r>
      <w:proofErr w:type="spellEnd"/>
      <w:r w:rsidR="003651D6" w:rsidRPr="00705170">
        <w:rPr>
          <w:rFonts w:ascii="Times New Roman" w:hAnsi="Times New Roman" w:cs="Times New Roman"/>
        </w:rPr>
        <w:t xml:space="preserve"> </w:t>
      </w:r>
      <w:proofErr w:type="spellStart"/>
      <w:r w:rsidR="003651D6" w:rsidRPr="00705170">
        <w:rPr>
          <w:rFonts w:ascii="Times New Roman" w:hAnsi="Times New Roman" w:cs="Times New Roman"/>
        </w:rPr>
        <w:t>share</w:t>
      </w:r>
      <w:proofErr w:type="spellEnd"/>
      <w:r w:rsidR="003651D6" w:rsidRPr="00705170">
        <w:rPr>
          <w:rFonts w:ascii="Times New Roman" w:hAnsi="Times New Roman" w:cs="Times New Roman"/>
        </w:rPr>
        <w:t xml:space="preserve">. </w:t>
      </w:r>
      <w:proofErr w:type="spellStart"/>
      <w:r w:rsidR="003651D6" w:rsidRPr="00705170">
        <w:rPr>
          <w:rFonts w:ascii="Times New Roman" w:hAnsi="Times New Roman" w:cs="Times New Roman"/>
        </w:rPr>
        <w:t>Therefore</w:t>
      </w:r>
      <w:proofErr w:type="spellEnd"/>
      <w:r w:rsidR="003651D6" w:rsidRPr="00705170">
        <w:rPr>
          <w:rFonts w:ascii="Times New Roman" w:hAnsi="Times New Roman" w:cs="Times New Roman"/>
        </w:rPr>
        <w:t>,</w:t>
      </w:r>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this</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pecuniary</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aspect</w:t>
      </w:r>
      <w:proofErr w:type="spellEnd"/>
      <w:r w:rsidR="008D3285" w:rsidRPr="00705170">
        <w:rPr>
          <w:rFonts w:ascii="Times New Roman" w:hAnsi="Times New Roman" w:cs="Times New Roman"/>
        </w:rPr>
        <w:t xml:space="preserve"> of </w:t>
      </w:r>
      <w:proofErr w:type="spellStart"/>
      <w:r w:rsidR="008D3285" w:rsidRPr="00705170">
        <w:rPr>
          <w:rFonts w:ascii="Times New Roman" w:hAnsi="Times New Roman" w:cs="Times New Roman"/>
        </w:rPr>
        <w:t>their</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investment</w:t>
      </w:r>
      <w:proofErr w:type="spellEnd"/>
      <w:r w:rsidR="008D3285" w:rsidRPr="00705170">
        <w:rPr>
          <w:rFonts w:ascii="Times New Roman" w:hAnsi="Times New Roman" w:cs="Times New Roman"/>
        </w:rPr>
        <w:t xml:space="preserve"> is </w:t>
      </w:r>
      <w:proofErr w:type="spellStart"/>
      <w:r w:rsidR="008D3285" w:rsidRPr="00705170">
        <w:rPr>
          <w:rFonts w:ascii="Times New Roman" w:hAnsi="Times New Roman" w:cs="Times New Roman"/>
        </w:rPr>
        <w:t>central</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to</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their</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investment</w:t>
      </w:r>
      <w:proofErr w:type="spellEnd"/>
      <w:r w:rsidR="008D3285" w:rsidRPr="00705170">
        <w:rPr>
          <w:rFonts w:ascii="Times New Roman" w:hAnsi="Times New Roman" w:cs="Times New Roman"/>
        </w:rPr>
        <w:t xml:space="preserve"> in </w:t>
      </w:r>
      <w:proofErr w:type="spellStart"/>
      <w:r w:rsidR="008D3285" w:rsidRPr="00705170">
        <w:rPr>
          <w:rFonts w:ascii="Times New Roman" w:hAnsi="Times New Roman" w:cs="Times New Roman"/>
        </w:rPr>
        <w:t>publicly</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traded</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corporations</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and</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only</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expectations</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related</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to</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this</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central</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aim</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should</w:t>
      </w:r>
      <w:proofErr w:type="spellEnd"/>
      <w:r w:rsidR="00361734" w:rsidRPr="00705170">
        <w:rPr>
          <w:rFonts w:ascii="Times New Roman" w:hAnsi="Times New Roman" w:cs="Times New Roman"/>
        </w:rPr>
        <w:t xml:space="preserve"> be </w:t>
      </w:r>
      <w:proofErr w:type="spellStart"/>
      <w:r w:rsidR="00361734" w:rsidRPr="00705170">
        <w:rPr>
          <w:rFonts w:ascii="Times New Roman" w:hAnsi="Times New Roman" w:cs="Times New Roman"/>
        </w:rPr>
        <w:t>taken</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into</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account</w:t>
      </w:r>
      <w:proofErr w:type="spellEnd"/>
      <w:r w:rsidR="00361734" w:rsidRPr="00705170">
        <w:rPr>
          <w:rFonts w:ascii="Times New Roman" w:hAnsi="Times New Roman" w:cs="Times New Roman"/>
        </w:rPr>
        <w:t xml:space="preserve"> in </w:t>
      </w:r>
      <w:proofErr w:type="spellStart"/>
      <w:r w:rsidR="00361734" w:rsidRPr="00705170">
        <w:rPr>
          <w:rFonts w:ascii="Times New Roman" w:hAnsi="Times New Roman" w:cs="Times New Roman"/>
        </w:rPr>
        <w:t>the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context</w:t>
      </w:r>
      <w:proofErr w:type="spellEnd"/>
      <w:r w:rsidR="00361734" w:rsidRPr="00705170">
        <w:rPr>
          <w:rFonts w:ascii="Times New Roman" w:hAnsi="Times New Roman" w:cs="Times New Roman"/>
        </w:rPr>
        <w:t xml:space="preserve"> of </w:t>
      </w:r>
      <w:proofErr w:type="spellStart"/>
      <w:r w:rsidR="00361734" w:rsidRPr="00705170">
        <w:rPr>
          <w:rFonts w:ascii="Times New Roman" w:hAnsi="Times New Roman" w:cs="Times New Roman"/>
        </w:rPr>
        <w:t>publicly</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traded</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corporation</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unless</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there</w:t>
      </w:r>
      <w:proofErr w:type="spellEnd"/>
      <w:r w:rsidR="00361734" w:rsidRPr="00705170">
        <w:rPr>
          <w:rFonts w:ascii="Times New Roman" w:hAnsi="Times New Roman" w:cs="Times New Roman"/>
        </w:rPr>
        <w:t xml:space="preserve"> is a </w:t>
      </w:r>
      <w:proofErr w:type="spellStart"/>
      <w:r w:rsidR="00361734" w:rsidRPr="00705170">
        <w:rPr>
          <w:rFonts w:ascii="Times New Roman" w:hAnsi="Times New Roman" w:cs="Times New Roman"/>
        </w:rPr>
        <w:t>showing</w:t>
      </w:r>
      <w:proofErr w:type="spellEnd"/>
      <w:r w:rsidR="00361734" w:rsidRPr="00705170">
        <w:rPr>
          <w:rFonts w:ascii="Times New Roman" w:hAnsi="Times New Roman" w:cs="Times New Roman"/>
        </w:rPr>
        <w:t xml:space="preserve"> of </w:t>
      </w:r>
      <w:proofErr w:type="spellStart"/>
      <w:r w:rsidR="00361734" w:rsidRPr="00705170">
        <w:rPr>
          <w:rFonts w:ascii="Times New Roman" w:hAnsi="Times New Roman" w:cs="Times New Roman"/>
        </w:rPr>
        <w:t>specific</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fact</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i.e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specific</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reasonable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expectations</w:t>
      </w:r>
      <w:proofErr w:type="spellEnd"/>
      <w:r w:rsidR="00361734" w:rsidRPr="00705170">
        <w:rPr>
          <w:rFonts w:ascii="Times New Roman" w:hAnsi="Times New Roman" w:cs="Times New Roman"/>
        </w:rPr>
        <w:t>)</w:t>
      </w:r>
      <w:r w:rsidR="00361734" w:rsidRPr="00705170">
        <w:rPr>
          <w:rStyle w:val="DipnotBavurusu"/>
          <w:rFonts w:ascii="Times New Roman" w:hAnsi="Times New Roman" w:cs="Times New Roman"/>
        </w:rPr>
        <w:footnoteReference w:id="797"/>
      </w:r>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which</w:t>
      </w:r>
      <w:proofErr w:type="spellEnd"/>
      <w:r w:rsidR="00FB3ACF" w:rsidRPr="00705170">
        <w:rPr>
          <w:rFonts w:ascii="Times New Roman" w:hAnsi="Times New Roman" w:cs="Times New Roman"/>
        </w:rPr>
        <w:t xml:space="preserve"> is </w:t>
      </w:r>
      <w:proofErr w:type="spellStart"/>
      <w:r w:rsidR="00FB3ACF" w:rsidRPr="00705170">
        <w:rPr>
          <w:rFonts w:ascii="Times New Roman" w:hAnsi="Times New Roman" w:cs="Times New Roman"/>
        </w:rPr>
        <w:t>unlikely</w:t>
      </w:r>
      <w:proofErr w:type="spellEnd"/>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to</w:t>
      </w:r>
      <w:proofErr w:type="spellEnd"/>
      <w:r w:rsidR="00FB3ACF" w:rsidRPr="00705170">
        <w:rPr>
          <w:rFonts w:ascii="Times New Roman" w:hAnsi="Times New Roman" w:cs="Times New Roman"/>
        </w:rPr>
        <w:t xml:space="preserve"> be </w:t>
      </w:r>
      <w:proofErr w:type="spellStart"/>
      <w:r w:rsidR="00FB3ACF" w:rsidRPr="00705170">
        <w:rPr>
          <w:rFonts w:ascii="Times New Roman" w:hAnsi="Times New Roman" w:cs="Times New Roman"/>
        </w:rPr>
        <w:t>considered</w:t>
      </w:r>
      <w:proofErr w:type="spellEnd"/>
      <w:r w:rsidR="00FB3ACF" w:rsidRPr="00705170">
        <w:rPr>
          <w:rFonts w:ascii="Times New Roman" w:hAnsi="Times New Roman" w:cs="Times New Roman"/>
        </w:rPr>
        <w:t xml:space="preserve"> in </w:t>
      </w:r>
      <w:proofErr w:type="spellStart"/>
      <w:r w:rsidR="00FB3ACF" w:rsidRPr="00705170">
        <w:rPr>
          <w:rFonts w:ascii="Times New Roman" w:hAnsi="Times New Roman" w:cs="Times New Roman"/>
        </w:rPr>
        <w:t>the</w:t>
      </w:r>
      <w:proofErr w:type="spellEnd"/>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context</w:t>
      </w:r>
      <w:proofErr w:type="spellEnd"/>
      <w:r w:rsidR="00FB3ACF" w:rsidRPr="00705170">
        <w:rPr>
          <w:rFonts w:ascii="Times New Roman" w:hAnsi="Times New Roman" w:cs="Times New Roman"/>
        </w:rPr>
        <w:t xml:space="preserve"> of </w:t>
      </w:r>
      <w:proofErr w:type="spellStart"/>
      <w:r w:rsidR="00FB3ACF" w:rsidRPr="00705170">
        <w:rPr>
          <w:rFonts w:ascii="Times New Roman" w:hAnsi="Times New Roman" w:cs="Times New Roman"/>
        </w:rPr>
        <w:t>publicly</w:t>
      </w:r>
      <w:proofErr w:type="spellEnd"/>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traded</w:t>
      </w:r>
      <w:proofErr w:type="spellEnd"/>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corporations</w:t>
      </w:r>
      <w:proofErr w:type="spellEnd"/>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because</w:t>
      </w:r>
      <w:proofErr w:type="spellEnd"/>
      <w:r w:rsidR="00FB3ACF" w:rsidRPr="00705170">
        <w:rPr>
          <w:rFonts w:ascii="Times New Roman" w:hAnsi="Times New Roman" w:cs="Times New Roman"/>
        </w:rPr>
        <w:t xml:space="preserve"> of </w:t>
      </w:r>
      <w:proofErr w:type="spellStart"/>
      <w:r w:rsidR="00FB3ACF" w:rsidRPr="00705170">
        <w:rPr>
          <w:rFonts w:ascii="Times New Roman" w:hAnsi="Times New Roman" w:cs="Times New Roman"/>
        </w:rPr>
        <w:t>the</w:t>
      </w:r>
      <w:proofErr w:type="spellEnd"/>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highly</w:t>
      </w:r>
      <w:proofErr w:type="spellEnd"/>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personal</w:t>
      </w:r>
      <w:proofErr w:type="spellEnd"/>
      <w:r w:rsidR="00663CBD" w:rsidRPr="00705170">
        <w:rPr>
          <w:rStyle w:val="DipnotBavurusu"/>
          <w:rFonts w:ascii="Times New Roman" w:hAnsi="Times New Roman" w:cs="Times New Roman"/>
        </w:rPr>
        <w:footnoteReference w:id="798"/>
      </w:r>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and</w:t>
      </w:r>
      <w:proofErr w:type="spellEnd"/>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unwritten</w:t>
      </w:r>
      <w:proofErr w:type="spellEnd"/>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or</w:t>
      </w:r>
      <w:proofErr w:type="spellEnd"/>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undislosed</w:t>
      </w:r>
      <w:proofErr w:type="spellEnd"/>
      <w:r w:rsidR="00FB3ACF" w:rsidRPr="00705170">
        <w:rPr>
          <w:rFonts w:ascii="Times New Roman" w:hAnsi="Times New Roman" w:cs="Times New Roman"/>
        </w:rPr>
        <w:t>)</w:t>
      </w:r>
      <w:r w:rsidR="00663CBD" w:rsidRPr="00705170">
        <w:rPr>
          <w:rStyle w:val="DipnotBavurusu"/>
          <w:rFonts w:ascii="Times New Roman" w:hAnsi="Times New Roman" w:cs="Times New Roman"/>
        </w:rPr>
        <w:footnoteReference w:id="799"/>
      </w:r>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nature</w:t>
      </w:r>
      <w:proofErr w:type="spellEnd"/>
      <w:r w:rsidR="00FB3ACF" w:rsidRPr="00705170">
        <w:rPr>
          <w:rFonts w:ascii="Times New Roman" w:hAnsi="Times New Roman" w:cs="Times New Roman"/>
        </w:rPr>
        <w:t xml:space="preserve"> of </w:t>
      </w:r>
      <w:proofErr w:type="spellStart"/>
      <w:r w:rsidR="00FB3ACF" w:rsidRPr="00705170">
        <w:rPr>
          <w:rFonts w:ascii="Times New Roman" w:hAnsi="Times New Roman" w:cs="Times New Roman"/>
        </w:rPr>
        <w:t>these</w:t>
      </w:r>
      <w:proofErr w:type="spellEnd"/>
      <w:r w:rsidR="00FB3ACF" w:rsidRPr="00705170">
        <w:rPr>
          <w:rFonts w:ascii="Times New Roman" w:hAnsi="Times New Roman" w:cs="Times New Roman"/>
        </w:rPr>
        <w:t xml:space="preserve"> </w:t>
      </w:r>
      <w:proofErr w:type="spellStart"/>
      <w:r w:rsidR="00FB3ACF" w:rsidRPr="00705170">
        <w:rPr>
          <w:rFonts w:ascii="Times New Roman" w:hAnsi="Times New Roman" w:cs="Times New Roman"/>
        </w:rPr>
        <w:t>expectations</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Therefore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only</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the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interests</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that</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the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mere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shareholder</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status</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entitles</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i.e</w:t>
      </w:r>
      <w:proofErr w:type="spellEnd"/>
      <w:r w:rsidR="00361734" w:rsidRPr="00705170">
        <w:rPr>
          <w:rFonts w:ascii="Times New Roman" w:hAnsi="Times New Roman" w:cs="Times New Roman"/>
        </w:rPr>
        <w:t xml:space="preserve">., general </w:t>
      </w:r>
      <w:proofErr w:type="spellStart"/>
      <w:r w:rsidR="00361734" w:rsidRPr="00705170">
        <w:rPr>
          <w:rFonts w:ascii="Times New Roman" w:hAnsi="Times New Roman" w:cs="Times New Roman"/>
        </w:rPr>
        <w:t>reasonable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expectations</w:t>
      </w:r>
      <w:proofErr w:type="spellEnd"/>
      <w:r w:rsidR="00361734" w:rsidRPr="00705170">
        <w:rPr>
          <w:rFonts w:ascii="Times New Roman" w:hAnsi="Times New Roman" w:cs="Times New Roman"/>
        </w:rPr>
        <w:t>)</w:t>
      </w:r>
      <w:r w:rsidR="00361734" w:rsidRPr="00705170">
        <w:rPr>
          <w:rStyle w:val="DipnotBavurusu"/>
          <w:rFonts w:ascii="Times New Roman" w:hAnsi="Times New Roman" w:cs="Times New Roman"/>
        </w:rPr>
        <w:t xml:space="preserve"> </w:t>
      </w:r>
      <w:proofErr w:type="spellStart"/>
      <w:r w:rsidR="00361734" w:rsidRPr="00705170">
        <w:rPr>
          <w:rFonts w:ascii="Times New Roman" w:hAnsi="Times New Roman" w:cs="Times New Roman"/>
        </w:rPr>
        <w:t>should</w:t>
      </w:r>
      <w:proofErr w:type="spellEnd"/>
      <w:r w:rsidR="00361734" w:rsidRPr="00705170">
        <w:rPr>
          <w:rFonts w:ascii="Times New Roman" w:hAnsi="Times New Roman" w:cs="Times New Roman"/>
        </w:rPr>
        <w:t xml:space="preserve"> be </w:t>
      </w:r>
      <w:proofErr w:type="spellStart"/>
      <w:r w:rsidR="00361734" w:rsidRPr="00705170">
        <w:rPr>
          <w:rFonts w:ascii="Times New Roman" w:hAnsi="Times New Roman" w:cs="Times New Roman"/>
        </w:rPr>
        <w:t>considered</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and</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particularly</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the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basic</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reasonable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expectations</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regarding</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corporate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purpose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and</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management</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should</w:t>
      </w:r>
      <w:proofErr w:type="spellEnd"/>
      <w:r w:rsidR="00361734" w:rsidRPr="00705170">
        <w:rPr>
          <w:rFonts w:ascii="Times New Roman" w:hAnsi="Times New Roman" w:cs="Times New Roman"/>
        </w:rPr>
        <w:t xml:space="preserve"> be in </w:t>
      </w:r>
      <w:proofErr w:type="spellStart"/>
      <w:r w:rsidR="00361734" w:rsidRPr="00705170">
        <w:rPr>
          <w:rFonts w:ascii="Times New Roman" w:hAnsi="Times New Roman" w:cs="Times New Roman"/>
        </w:rPr>
        <w:t>focus</w:t>
      </w:r>
      <w:proofErr w:type="spellEnd"/>
      <w:r w:rsidR="00361734" w:rsidRPr="00705170">
        <w:rPr>
          <w:rFonts w:ascii="Times New Roman" w:hAnsi="Times New Roman" w:cs="Times New Roman"/>
        </w:rPr>
        <w:t>.</w:t>
      </w:r>
      <w:r w:rsidR="003651D6" w:rsidRPr="00705170">
        <w:rPr>
          <w:rFonts w:ascii="Times New Roman" w:hAnsi="Times New Roman" w:cs="Times New Roman"/>
        </w:rPr>
        <w:t xml:space="preserve"> </w:t>
      </w:r>
      <w:proofErr w:type="spellStart"/>
      <w:r w:rsidR="00361734" w:rsidRPr="00705170">
        <w:rPr>
          <w:rFonts w:ascii="Times New Roman" w:hAnsi="Times New Roman" w:cs="Times New Roman"/>
        </w:rPr>
        <w:t>After</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all</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b</w:t>
      </w:r>
      <w:r w:rsidR="003651D6" w:rsidRPr="00705170">
        <w:rPr>
          <w:rFonts w:ascii="Times New Roman" w:hAnsi="Times New Roman" w:cs="Times New Roman"/>
        </w:rPr>
        <w:t>oth</w:t>
      </w:r>
      <w:proofErr w:type="spellEnd"/>
      <w:r w:rsidR="003651D6" w:rsidRPr="00705170">
        <w:rPr>
          <w:rFonts w:ascii="Times New Roman" w:hAnsi="Times New Roman" w:cs="Times New Roman"/>
        </w:rPr>
        <w:t xml:space="preserve"> </w:t>
      </w:r>
      <w:proofErr w:type="spellStart"/>
      <w:r w:rsidR="003651D6" w:rsidRPr="00705170">
        <w:rPr>
          <w:rFonts w:ascii="Times New Roman" w:hAnsi="Times New Roman" w:cs="Times New Roman"/>
        </w:rPr>
        <w:t>the</w:t>
      </w:r>
      <w:proofErr w:type="spellEnd"/>
      <w:r w:rsidR="003651D6" w:rsidRPr="00705170">
        <w:rPr>
          <w:rFonts w:ascii="Times New Roman" w:hAnsi="Times New Roman" w:cs="Times New Roman"/>
        </w:rPr>
        <w:t xml:space="preserve"> </w:t>
      </w:r>
      <w:proofErr w:type="spellStart"/>
      <w:r w:rsidR="003651D6" w:rsidRPr="00705170">
        <w:rPr>
          <w:rFonts w:ascii="Times New Roman" w:hAnsi="Times New Roman" w:cs="Times New Roman"/>
        </w:rPr>
        <w:t>expectation</w:t>
      </w:r>
      <w:proofErr w:type="spellEnd"/>
      <w:r w:rsidR="003651D6" w:rsidRPr="00705170">
        <w:rPr>
          <w:rFonts w:ascii="Times New Roman" w:hAnsi="Times New Roman" w:cs="Times New Roman"/>
        </w:rPr>
        <w:t xml:space="preserve"> </w:t>
      </w:r>
      <w:proofErr w:type="spellStart"/>
      <w:r w:rsidR="003651D6" w:rsidRPr="00705170">
        <w:rPr>
          <w:rFonts w:ascii="Times New Roman" w:hAnsi="Times New Roman" w:cs="Times New Roman"/>
        </w:rPr>
        <w:t>regarding</w:t>
      </w:r>
      <w:proofErr w:type="spellEnd"/>
      <w:r w:rsidR="003651D6" w:rsidRPr="00705170">
        <w:rPr>
          <w:rFonts w:ascii="Times New Roman" w:hAnsi="Times New Roman" w:cs="Times New Roman"/>
        </w:rPr>
        <w:t xml:space="preserve"> </w:t>
      </w:r>
      <w:proofErr w:type="spellStart"/>
      <w:r w:rsidR="003651D6" w:rsidRPr="00705170">
        <w:rPr>
          <w:rFonts w:ascii="Times New Roman" w:hAnsi="Times New Roman" w:cs="Times New Roman"/>
        </w:rPr>
        <w:t>corporate</w:t>
      </w:r>
      <w:proofErr w:type="spellEnd"/>
      <w:r w:rsidR="003651D6" w:rsidRPr="00705170">
        <w:rPr>
          <w:rFonts w:ascii="Times New Roman" w:hAnsi="Times New Roman" w:cs="Times New Roman"/>
        </w:rPr>
        <w:t xml:space="preserve"> </w:t>
      </w:r>
      <w:proofErr w:type="spellStart"/>
      <w:r w:rsidR="003651D6" w:rsidRPr="00705170">
        <w:rPr>
          <w:rFonts w:ascii="Times New Roman" w:hAnsi="Times New Roman" w:cs="Times New Roman"/>
        </w:rPr>
        <w:t>pur</w:t>
      </w:r>
      <w:r w:rsidR="00361734" w:rsidRPr="00705170">
        <w:rPr>
          <w:rFonts w:ascii="Times New Roman" w:hAnsi="Times New Roman" w:cs="Times New Roman"/>
        </w:rPr>
        <w:t>pose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and</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corporate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management</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are</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intervowen</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with</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the</w:t>
      </w:r>
      <w:proofErr w:type="spellEnd"/>
      <w:r w:rsidR="003651D6" w:rsidRPr="00705170">
        <w:rPr>
          <w:rFonts w:ascii="Times New Roman" w:hAnsi="Times New Roman" w:cs="Times New Roman"/>
        </w:rPr>
        <w:t xml:space="preserve"> </w:t>
      </w:r>
      <w:proofErr w:type="spellStart"/>
      <w:r w:rsidR="003651D6" w:rsidRPr="00705170">
        <w:rPr>
          <w:rFonts w:ascii="Times New Roman" w:hAnsi="Times New Roman" w:cs="Times New Roman"/>
        </w:rPr>
        <w:t>p</w:t>
      </w:r>
      <w:r w:rsidR="00361734" w:rsidRPr="00705170">
        <w:rPr>
          <w:rFonts w:ascii="Times New Roman" w:hAnsi="Times New Roman" w:cs="Times New Roman"/>
        </w:rPr>
        <w:t>ecuniary</w:t>
      </w:r>
      <w:proofErr w:type="spellEnd"/>
      <w:r w:rsidR="008B738E" w:rsidRPr="00705170">
        <w:rPr>
          <w:rFonts w:ascii="Times New Roman" w:hAnsi="Times New Roman" w:cs="Times New Roman"/>
        </w:rPr>
        <w:t xml:space="preserve"> </w:t>
      </w:r>
      <w:proofErr w:type="spellStart"/>
      <w:r w:rsidR="008B738E" w:rsidRPr="00705170">
        <w:rPr>
          <w:rFonts w:ascii="Times New Roman" w:hAnsi="Times New Roman" w:cs="Times New Roman"/>
        </w:rPr>
        <w:t>aspect</w:t>
      </w:r>
      <w:proofErr w:type="spellEnd"/>
      <w:r w:rsidR="008B738E" w:rsidRPr="00705170">
        <w:rPr>
          <w:rFonts w:ascii="Times New Roman" w:hAnsi="Times New Roman" w:cs="Times New Roman"/>
        </w:rPr>
        <w:t xml:space="preserve"> of </w:t>
      </w:r>
      <w:proofErr w:type="spellStart"/>
      <w:r w:rsidR="008B738E" w:rsidRPr="00705170">
        <w:rPr>
          <w:rFonts w:ascii="Times New Roman" w:hAnsi="Times New Roman" w:cs="Times New Roman"/>
        </w:rPr>
        <w:t>their</w:t>
      </w:r>
      <w:proofErr w:type="spellEnd"/>
      <w:r w:rsidR="008B738E" w:rsidRPr="00705170">
        <w:rPr>
          <w:rFonts w:ascii="Times New Roman" w:hAnsi="Times New Roman" w:cs="Times New Roman"/>
        </w:rPr>
        <w:t xml:space="preserve"> </w:t>
      </w:r>
      <w:proofErr w:type="spellStart"/>
      <w:r w:rsidR="008B738E" w:rsidRPr="00705170">
        <w:rPr>
          <w:rFonts w:ascii="Times New Roman" w:hAnsi="Times New Roman" w:cs="Times New Roman"/>
        </w:rPr>
        <w:t>investment</w:t>
      </w:r>
      <w:proofErr w:type="spellEnd"/>
      <w:r w:rsidR="008B738E" w:rsidRPr="00705170">
        <w:rPr>
          <w:rFonts w:ascii="Times New Roman" w:hAnsi="Times New Roman" w:cs="Times New Roman"/>
        </w:rPr>
        <w:t xml:space="preserve">, </w:t>
      </w:r>
      <w:proofErr w:type="spellStart"/>
      <w:r w:rsidR="008B738E" w:rsidRPr="00705170">
        <w:rPr>
          <w:rFonts w:ascii="Times New Roman" w:hAnsi="Times New Roman" w:cs="Times New Roman"/>
        </w:rPr>
        <w:t>thus</w:t>
      </w:r>
      <w:proofErr w:type="spellEnd"/>
      <w:r w:rsidR="00361734" w:rsidRPr="00705170">
        <w:rPr>
          <w:rFonts w:ascii="Times New Roman" w:hAnsi="Times New Roman" w:cs="Times New Roman"/>
        </w:rPr>
        <w:t xml:space="preserve"> </w:t>
      </w:r>
      <w:proofErr w:type="spellStart"/>
      <w:r w:rsidR="00361734" w:rsidRPr="00705170">
        <w:rPr>
          <w:rFonts w:ascii="Times New Roman" w:hAnsi="Times New Roman" w:cs="Times New Roman"/>
        </w:rPr>
        <w:t>central</w:t>
      </w:r>
      <w:proofErr w:type="spellEnd"/>
      <w:r w:rsidR="008B738E" w:rsidRPr="00705170">
        <w:rPr>
          <w:rFonts w:ascii="Times New Roman" w:hAnsi="Times New Roman" w:cs="Times New Roman"/>
        </w:rPr>
        <w:t xml:space="preserve"> </w:t>
      </w:r>
      <w:proofErr w:type="spellStart"/>
      <w:r w:rsidR="008B738E" w:rsidRPr="00705170">
        <w:rPr>
          <w:rFonts w:ascii="Times New Roman" w:hAnsi="Times New Roman" w:cs="Times New Roman"/>
        </w:rPr>
        <w:lastRenderedPageBreak/>
        <w:t>to</w:t>
      </w:r>
      <w:proofErr w:type="spellEnd"/>
      <w:r w:rsidR="008B738E" w:rsidRPr="00705170">
        <w:rPr>
          <w:rFonts w:ascii="Times New Roman" w:hAnsi="Times New Roman" w:cs="Times New Roman"/>
        </w:rPr>
        <w:t xml:space="preserve"> </w:t>
      </w:r>
      <w:proofErr w:type="spellStart"/>
      <w:r w:rsidR="008B738E" w:rsidRPr="00705170">
        <w:rPr>
          <w:rFonts w:ascii="Times New Roman" w:hAnsi="Times New Roman" w:cs="Times New Roman"/>
        </w:rPr>
        <w:t>the</w:t>
      </w:r>
      <w:proofErr w:type="spellEnd"/>
      <w:r w:rsidR="008B738E" w:rsidRPr="00705170">
        <w:rPr>
          <w:rFonts w:ascii="Times New Roman" w:hAnsi="Times New Roman" w:cs="Times New Roman"/>
        </w:rPr>
        <w:t xml:space="preserve"> </w:t>
      </w:r>
      <w:proofErr w:type="spellStart"/>
      <w:r w:rsidR="008B738E" w:rsidRPr="00705170">
        <w:rPr>
          <w:rFonts w:ascii="Times New Roman" w:hAnsi="Times New Roman" w:cs="Times New Roman"/>
        </w:rPr>
        <w:t>realization</w:t>
      </w:r>
      <w:proofErr w:type="spellEnd"/>
      <w:r w:rsidR="008B738E" w:rsidRPr="00705170">
        <w:rPr>
          <w:rFonts w:ascii="Times New Roman" w:hAnsi="Times New Roman" w:cs="Times New Roman"/>
        </w:rPr>
        <w:t xml:space="preserve"> of </w:t>
      </w:r>
      <w:proofErr w:type="spellStart"/>
      <w:r w:rsidR="008B738E" w:rsidRPr="00705170">
        <w:rPr>
          <w:rFonts w:ascii="Times New Roman" w:hAnsi="Times New Roman" w:cs="Times New Roman"/>
        </w:rPr>
        <w:t>this</w:t>
      </w:r>
      <w:proofErr w:type="spellEnd"/>
      <w:r w:rsidR="008B738E" w:rsidRPr="00705170">
        <w:rPr>
          <w:rFonts w:ascii="Times New Roman" w:hAnsi="Times New Roman" w:cs="Times New Roman"/>
        </w:rPr>
        <w:t xml:space="preserve"> </w:t>
      </w:r>
      <w:proofErr w:type="spellStart"/>
      <w:r w:rsidR="008B738E" w:rsidRPr="00705170">
        <w:rPr>
          <w:rFonts w:ascii="Times New Roman" w:hAnsi="Times New Roman" w:cs="Times New Roman"/>
        </w:rPr>
        <w:t>aim</w:t>
      </w:r>
      <w:proofErr w:type="spellEnd"/>
      <w:r w:rsidR="008B738E" w:rsidRPr="00705170">
        <w:rPr>
          <w:rFonts w:ascii="Times New Roman" w:hAnsi="Times New Roman" w:cs="Times New Roman"/>
        </w:rPr>
        <w:t xml:space="preserve"> </w:t>
      </w:r>
      <w:proofErr w:type="spellStart"/>
      <w:r w:rsidR="008B738E" w:rsidRPr="00705170">
        <w:rPr>
          <w:rFonts w:ascii="Times New Roman" w:hAnsi="Times New Roman" w:cs="Times New Roman"/>
        </w:rPr>
        <w:t>and</w:t>
      </w:r>
      <w:proofErr w:type="spellEnd"/>
      <w:r w:rsidR="008B738E" w:rsidRPr="00705170">
        <w:rPr>
          <w:rFonts w:ascii="Times New Roman" w:hAnsi="Times New Roman" w:cs="Times New Roman"/>
        </w:rPr>
        <w:t xml:space="preserve"> </w:t>
      </w:r>
      <w:proofErr w:type="spellStart"/>
      <w:r w:rsidR="000C4418" w:rsidRPr="00705170">
        <w:rPr>
          <w:rFonts w:ascii="Times New Roman" w:hAnsi="Times New Roman" w:cs="Times New Roman"/>
        </w:rPr>
        <w:t>objectively</w:t>
      </w:r>
      <w:proofErr w:type="spellEnd"/>
      <w:r w:rsidR="000C4418" w:rsidRPr="00705170">
        <w:rPr>
          <w:rFonts w:ascii="Times New Roman" w:hAnsi="Times New Roman" w:cs="Times New Roman"/>
        </w:rPr>
        <w:t xml:space="preserve"> </w:t>
      </w:r>
      <w:proofErr w:type="spellStart"/>
      <w:r w:rsidR="000C4418" w:rsidRPr="00705170">
        <w:rPr>
          <w:rFonts w:ascii="Times New Roman" w:hAnsi="Times New Roman" w:cs="Times New Roman"/>
        </w:rPr>
        <w:t>present</w:t>
      </w:r>
      <w:proofErr w:type="spellEnd"/>
      <w:r w:rsidR="000C4418" w:rsidRPr="00705170">
        <w:rPr>
          <w:rFonts w:ascii="Times New Roman" w:hAnsi="Times New Roman" w:cs="Times New Roman"/>
        </w:rPr>
        <w:t xml:space="preserve"> as it </w:t>
      </w:r>
      <w:proofErr w:type="spellStart"/>
      <w:r w:rsidR="000C4418" w:rsidRPr="00705170">
        <w:rPr>
          <w:rFonts w:ascii="Times New Roman" w:hAnsi="Times New Roman" w:cs="Times New Roman"/>
        </w:rPr>
        <w:t>represents</w:t>
      </w:r>
      <w:proofErr w:type="spellEnd"/>
      <w:r w:rsidR="000C4418" w:rsidRPr="00705170">
        <w:rPr>
          <w:rFonts w:ascii="Times New Roman" w:hAnsi="Times New Roman" w:cs="Times New Roman"/>
        </w:rPr>
        <w:t xml:space="preserve"> a </w:t>
      </w:r>
      <w:proofErr w:type="spellStart"/>
      <w:r w:rsidR="000C4418" w:rsidRPr="00705170">
        <w:rPr>
          <w:rFonts w:ascii="Times New Roman" w:hAnsi="Times New Roman" w:cs="Times New Roman"/>
        </w:rPr>
        <w:t>mutual</w:t>
      </w:r>
      <w:proofErr w:type="spellEnd"/>
      <w:r w:rsidR="000C4418" w:rsidRPr="00705170">
        <w:rPr>
          <w:rFonts w:ascii="Times New Roman" w:hAnsi="Times New Roman" w:cs="Times New Roman"/>
        </w:rPr>
        <w:t xml:space="preserve"> </w:t>
      </w:r>
      <w:proofErr w:type="spellStart"/>
      <w:r w:rsidR="000C4418" w:rsidRPr="00705170">
        <w:rPr>
          <w:rFonts w:ascii="Times New Roman" w:hAnsi="Times New Roman" w:cs="Times New Roman"/>
        </w:rPr>
        <w:t>understanding</w:t>
      </w:r>
      <w:proofErr w:type="spellEnd"/>
      <w:r w:rsidR="000C4418" w:rsidRPr="00705170">
        <w:rPr>
          <w:rFonts w:ascii="Times New Roman" w:hAnsi="Times New Roman" w:cs="Times New Roman"/>
        </w:rPr>
        <w:t xml:space="preserve"> </w:t>
      </w:r>
      <w:proofErr w:type="spellStart"/>
      <w:r w:rsidR="000C4418" w:rsidRPr="00705170">
        <w:rPr>
          <w:rFonts w:ascii="Times New Roman" w:hAnsi="Times New Roman" w:cs="Times New Roman"/>
        </w:rPr>
        <w:t>arising</w:t>
      </w:r>
      <w:proofErr w:type="spellEnd"/>
      <w:r w:rsidR="000C4418" w:rsidRPr="00705170">
        <w:rPr>
          <w:rFonts w:ascii="Times New Roman" w:hAnsi="Times New Roman" w:cs="Times New Roman"/>
        </w:rPr>
        <w:t xml:space="preserve"> </w:t>
      </w:r>
      <w:proofErr w:type="spellStart"/>
      <w:r w:rsidR="000C4418" w:rsidRPr="00705170">
        <w:rPr>
          <w:rFonts w:ascii="Times New Roman" w:hAnsi="Times New Roman" w:cs="Times New Roman"/>
        </w:rPr>
        <w:t>from</w:t>
      </w:r>
      <w:proofErr w:type="spellEnd"/>
      <w:r w:rsidR="000C4418" w:rsidRPr="00705170">
        <w:rPr>
          <w:rFonts w:ascii="Times New Roman" w:hAnsi="Times New Roman" w:cs="Times New Roman"/>
        </w:rPr>
        <w:t xml:space="preserve"> </w:t>
      </w:r>
      <w:proofErr w:type="spellStart"/>
      <w:r w:rsidR="000C4418" w:rsidRPr="00705170">
        <w:rPr>
          <w:rFonts w:ascii="Times New Roman" w:hAnsi="Times New Roman" w:cs="Times New Roman"/>
        </w:rPr>
        <w:t>the</w:t>
      </w:r>
      <w:proofErr w:type="spellEnd"/>
      <w:r w:rsidR="000C4418" w:rsidRPr="00705170">
        <w:rPr>
          <w:rFonts w:ascii="Times New Roman" w:hAnsi="Times New Roman" w:cs="Times New Roman"/>
        </w:rPr>
        <w:t xml:space="preserve"> </w:t>
      </w:r>
      <w:proofErr w:type="spellStart"/>
      <w:r w:rsidR="000C4418" w:rsidRPr="00705170">
        <w:rPr>
          <w:rFonts w:ascii="Times New Roman" w:hAnsi="Times New Roman" w:cs="Times New Roman"/>
        </w:rPr>
        <w:t>statutory</w:t>
      </w:r>
      <w:proofErr w:type="spellEnd"/>
      <w:r w:rsidR="000C4418" w:rsidRPr="00705170">
        <w:rPr>
          <w:rFonts w:ascii="Times New Roman" w:hAnsi="Times New Roman" w:cs="Times New Roman"/>
        </w:rPr>
        <w:t xml:space="preserve"> </w:t>
      </w:r>
      <w:proofErr w:type="spellStart"/>
      <w:r w:rsidR="000C4418" w:rsidRPr="00705170">
        <w:rPr>
          <w:rFonts w:ascii="Times New Roman" w:hAnsi="Times New Roman" w:cs="Times New Roman"/>
        </w:rPr>
        <w:t>framework</w:t>
      </w:r>
      <w:proofErr w:type="spellEnd"/>
      <w:r w:rsidR="008B738E" w:rsidRPr="00705170">
        <w:rPr>
          <w:rFonts w:ascii="Times New Roman" w:hAnsi="Times New Roman" w:cs="Times New Roman"/>
        </w:rPr>
        <w:t>.</w:t>
      </w:r>
    </w:p>
    <w:p w14:paraId="46658D5A" w14:textId="37F4BDDC" w:rsidR="00B95BFD" w:rsidRPr="00705170" w:rsidRDefault="006C58E4" w:rsidP="006C58E4">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latter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princi</w:t>
      </w:r>
      <w:r w:rsidR="00834D1D" w:rsidRPr="00705170">
        <w:rPr>
          <w:rFonts w:ascii="Times New Roman" w:hAnsi="Times New Roman" w:cs="Times New Roman"/>
        </w:rPr>
        <w:t>ple</w:t>
      </w:r>
      <w:proofErr w:type="spellEnd"/>
      <w:r w:rsidR="00834D1D" w:rsidRPr="00705170">
        <w:rPr>
          <w:rFonts w:ascii="Times New Roman" w:hAnsi="Times New Roman" w:cs="Times New Roman"/>
        </w:rPr>
        <w:t xml:space="preserve"> </w:t>
      </w:r>
      <w:proofErr w:type="spellStart"/>
      <w:r w:rsidR="00834D1D" w:rsidRPr="00705170">
        <w:rPr>
          <w:rFonts w:ascii="Times New Roman" w:hAnsi="Times New Roman" w:cs="Times New Roman"/>
        </w:rPr>
        <w:t>answers</w:t>
      </w:r>
      <w:proofErr w:type="spellEnd"/>
      <w:r w:rsidR="00834D1D" w:rsidRPr="00705170">
        <w:rPr>
          <w:rFonts w:ascii="Times New Roman" w:hAnsi="Times New Roman" w:cs="Times New Roman"/>
        </w:rPr>
        <w:t xml:space="preserve"> </w:t>
      </w:r>
      <w:proofErr w:type="spellStart"/>
      <w:r w:rsidR="00834D1D" w:rsidRPr="00705170">
        <w:rPr>
          <w:rFonts w:ascii="Times New Roman" w:hAnsi="Times New Roman" w:cs="Times New Roman"/>
        </w:rPr>
        <w:t>the</w:t>
      </w:r>
      <w:proofErr w:type="spellEnd"/>
      <w:r w:rsidR="00834D1D" w:rsidRPr="00705170">
        <w:rPr>
          <w:rFonts w:ascii="Times New Roman" w:hAnsi="Times New Roman" w:cs="Times New Roman"/>
        </w:rPr>
        <w:t xml:space="preserve"> </w:t>
      </w:r>
      <w:proofErr w:type="spellStart"/>
      <w:r w:rsidR="00834D1D" w:rsidRPr="00705170">
        <w:rPr>
          <w:rFonts w:ascii="Times New Roman" w:hAnsi="Times New Roman" w:cs="Times New Roman"/>
        </w:rPr>
        <w:t>latter</w:t>
      </w:r>
      <w:proofErr w:type="spellEnd"/>
      <w:r w:rsidR="00834D1D" w:rsidRPr="00705170">
        <w:rPr>
          <w:rFonts w:ascii="Times New Roman" w:hAnsi="Times New Roman" w:cs="Times New Roman"/>
        </w:rPr>
        <w:t xml:space="preserve"> </w:t>
      </w:r>
      <w:proofErr w:type="spellStart"/>
      <w:r w:rsidR="00834D1D" w:rsidRPr="00705170">
        <w:rPr>
          <w:rFonts w:ascii="Times New Roman" w:hAnsi="Times New Roman" w:cs="Times New Roman"/>
        </w:rPr>
        <w:t>question</w:t>
      </w:r>
      <w:proofErr w:type="spellEnd"/>
      <w:r w:rsidR="00834D1D" w:rsidRPr="00705170">
        <w:rPr>
          <w:rFonts w:ascii="Times New Roman" w:hAnsi="Times New Roman" w:cs="Times New Roman"/>
        </w:rPr>
        <w:t xml:space="preserve"> </w:t>
      </w:r>
      <w:proofErr w:type="spellStart"/>
      <w:r w:rsidR="00834D1D" w:rsidRPr="00705170">
        <w:rPr>
          <w:rFonts w:ascii="Times New Roman" w:hAnsi="Times New Roman" w:cs="Times New Roman"/>
        </w:rPr>
        <w:t>stated</w:t>
      </w:r>
      <w:proofErr w:type="spellEnd"/>
      <w:r w:rsidR="00834D1D" w:rsidRPr="00705170">
        <w:rPr>
          <w:rFonts w:ascii="Times New Roman" w:hAnsi="Times New Roman" w:cs="Times New Roman"/>
        </w:rPr>
        <w:t xml:space="preserve"> at </w:t>
      </w:r>
      <w:proofErr w:type="spellStart"/>
      <w:r w:rsidR="00834D1D" w:rsidRPr="00705170">
        <w:rPr>
          <w:rFonts w:ascii="Times New Roman" w:hAnsi="Times New Roman" w:cs="Times New Roman"/>
        </w:rPr>
        <w:t>the</w:t>
      </w:r>
      <w:proofErr w:type="spellEnd"/>
      <w:r w:rsidR="00834D1D" w:rsidRPr="00705170">
        <w:rPr>
          <w:rFonts w:ascii="Times New Roman" w:hAnsi="Times New Roman" w:cs="Times New Roman"/>
        </w:rPr>
        <w:t xml:space="preserve"> </w:t>
      </w:r>
      <w:proofErr w:type="spellStart"/>
      <w:r w:rsidR="00834D1D" w:rsidRPr="00705170">
        <w:rPr>
          <w:rFonts w:ascii="Times New Roman" w:hAnsi="Times New Roman" w:cs="Times New Roman"/>
        </w:rPr>
        <w:t>beginning</w:t>
      </w:r>
      <w:proofErr w:type="spellEnd"/>
      <w:r w:rsidR="00834D1D" w:rsidRPr="00705170">
        <w:rPr>
          <w:rFonts w:ascii="Times New Roman" w:hAnsi="Times New Roman" w:cs="Times New Roman"/>
        </w:rPr>
        <w:t xml:space="preserve"> of </w:t>
      </w:r>
      <w:proofErr w:type="spellStart"/>
      <w:r w:rsidR="00834D1D" w:rsidRPr="00705170">
        <w:rPr>
          <w:rFonts w:ascii="Times New Roman" w:hAnsi="Times New Roman" w:cs="Times New Roman"/>
        </w:rPr>
        <w:t>this</w:t>
      </w:r>
      <w:proofErr w:type="spellEnd"/>
      <w:r w:rsidR="00834D1D" w:rsidRPr="00705170">
        <w:rPr>
          <w:rFonts w:ascii="Times New Roman" w:hAnsi="Times New Roman" w:cs="Times New Roman"/>
        </w:rPr>
        <w:t xml:space="preserve"> </w:t>
      </w:r>
      <w:proofErr w:type="spellStart"/>
      <w:r w:rsidR="00834D1D" w:rsidRPr="00705170">
        <w:rPr>
          <w:rFonts w:ascii="Times New Roman" w:hAnsi="Times New Roman" w:cs="Times New Roman"/>
        </w:rPr>
        <w:t>subchapter</w:t>
      </w:r>
      <w:proofErr w:type="spellEnd"/>
      <w:r w:rsidR="00834D1D"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general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particularly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w:t>
      </w:r>
      <w:r w:rsidR="007004C2" w:rsidRPr="00705170">
        <w:rPr>
          <w:rFonts w:ascii="Times New Roman" w:hAnsi="Times New Roman" w:cs="Times New Roman"/>
        </w:rPr>
        <w:t>e</w:t>
      </w:r>
      <w:proofErr w:type="spellEnd"/>
      <w:r w:rsidR="007004C2" w:rsidRPr="00705170">
        <w:rPr>
          <w:rFonts w:ascii="Times New Roman" w:hAnsi="Times New Roman" w:cs="Times New Roman"/>
        </w:rPr>
        <w:t xml:space="preserve"> </w:t>
      </w:r>
      <w:proofErr w:type="spellStart"/>
      <w:r w:rsidR="007004C2" w:rsidRPr="00705170">
        <w:rPr>
          <w:rFonts w:ascii="Times New Roman" w:hAnsi="Times New Roman" w:cs="Times New Roman"/>
        </w:rPr>
        <w:t>basic</w:t>
      </w:r>
      <w:proofErr w:type="spellEnd"/>
      <w:r w:rsidR="007004C2" w:rsidRPr="00705170">
        <w:rPr>
          <w:rFonts w:ascii="Times New Roman" w:hAnsi="Times New Roman" w:cs="Times New Roman"/>
        </w:rPr>
        <w:t xml:space="preserve"> </w:t>
      </w:r>
      <w:proofErr w:type="spellStart"/>
      <w:r w:rsidR="007004C2" w:rsidRPr="00705170">
        <w:rPr>
          <w:rFonts w:ascii="Times New Roman" w:hAnsi="Times New Roman" w:cs="Times New Roman"/>
        </w:rPr>
        <w:t>reasonable</w:t>
      </w:r>
      <w:proofErr w:type="spellEnd"/>
      <w:r w:rsidR="007004C2" w:rsidRPr="00705170">
        <w:rPr>
          <w:rFonts w:ascii="Times New Roman" w:hAnsi="Times New Roman" w:cs="Times New Roman"/>
        </w:rPr>
        <w:t xml:space="preserve"> </w:t>
      </w:r>
      <w:proofErr w:type="spellStart"/>
      <w:r w:rsidR="007004C2"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considered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question</w:t>
      </w:r>
      <w:proofErr w:type="spellEnd"/>
      <w:r w:rsidR="00834D1D" w:rsidRPr="00705170">
        <w:rPr>
          <w:rFonts w:ascii="Times New Roman" w:hAnsi="Times New Roman" w:cs="Times New Roman"/>
        </w:rPr>
        <w:t xml:space="preserve"> (</w:t>
      </w:r>
      <w:proofErr w:type="spellStart"/>
      <w:r w:rsidR="00834D1D" w:rsidRPr="00705170">
        <w:rPr>
          <w:rFonts w:ascii="Times New Roman" w:hAnsi="Times New Roman" w:cs="Times New Roman"/>
        </w:rPr>
        <w:t>sources</w:t>
      </w:r>
      <w:proofErr w:type="spellEnd"/>
      <w:r w:rsidR="00834D1D" w:rsidRPr="00705170">
        <w:rPr>
          <w:rFonts w:ascii="Times New Roman" w:hAnsi="Times New Roman" w:cs="Times New Roman"/>
        </w:rPr>
        <w:t>)</w:t>
      </w:r>
      <w:r w:rsidRPr="00705170">
        <w:rPr>
          <w:rFonts w:ascii="Times New Roman" w:hAnsi="Times New Roman" w:cs="Times New Roman"/>
        </w:rPr>
        <w:t xml:space="preserve"> is </w:t>
      </w:r>
      <w:proofErr w:type="spellStart"/>
      <w:r w:rsidRPr="00705170">
        <w:rPr>
          <w:rFonts w:ascii="Times New Roman" w:hAnsi="Times New Roman" w:cs="Times New Roman"/>
        </w:rPr>
        <w:t>still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unanswered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keeping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principles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mind</w:t>
      </w:r>
      <w:proofErr w:type="spellEnd"/>
      <w:r w:rsidRPr="00705170">
        <w:rPr>
          <w:rFonts w:ascii="Times New Roman" w:hAnsi="Times New Roman" w:cs="Times New Roman"/>
        </w:rPr>
        <w:t xml:space="preserve">, it can be </w:t>
      </w:r>
      <w:proofErr w:type="spellStart"/>
      <w:r w:rsidRPr="00705170">
        <w:rPr>
          <w:rFonts w:ascii="Times New Roman" w:hAnsi="Times New Roman" w:cs="Times New Roman"/>
        </w:rPr>
        <w:t>said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reasonable</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expectations</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should</w:t>
      </w:r>
      <w:proofErr w:type="spellEnd"/>
      <w:r w:rsidR="00AD30B7" w:rsidRPr="00705170">
        <w:rPr>
          <w:rFonts w:ascii="Times New Roman" w:hAnsi="Times New Roman" w:cs="Times New Roman"/>
        </w:rPr>
        <w:t xml:space="preserve"> be </w:t>
      </w:r>
      <w:proofErr w:type="spellStart"/>
      <w:r w:rsidR="00AD30B7" w:rsidRPr="00705170">
        <w:rPr>
          <w:rFonts w:ascii="Times New Roman" w:hAnsi="Times New Roman" w:cs="Times New Roman"/>
        </w:rPr>
        <w:t>structured</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from</w:t>
      </w:r>
      <w:proofErr w:type="spellEnd"/>
      <w:r w:rsidR="00AD30B7" w:rsidRPr="00705170">
        <w:rPr>
          <w:rFonts w:ascii="Times New Roman" w:hAnsi="Times New Roman" w:cs="Times New Roman"/>
        </w:rPr>
        <w:t xml:space="preserve"> (1) </w:t>
      </w:r>
      <w:proofErr w:type="spellStart"/>
      <w:r w:rsidR="00AD30B7" w:rsidRPr="00705170">
        <w:rPr>
          <w:rFonts w:ascii="Times New Roman" w:hAnsi="Times New Roman" w:cs="Times New Roman"/>
        </w:rPr>
        <w:t>the</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statutory</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provisions</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both</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corporate</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and</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capital</w:t>
      </w:r>
      <w:proofErr w:type="spellEnd"/>
      <w:r w:rsidR="00AD30B7" w:rsidRPr="00705170">
        <w:rPr>
          <w:rFonts w:ascii="Times New Roman" w:hAnsi="Times New Roman" w:cs="Times New Roman"/>
        </w:rPr>
        <w:t xml:space="preserve"> market </w:t>
      </w:r>
      <w:proofErr w:type="spellStart"/>
      <w:r w:rsidR="00AD30B7" w:rsidRPr="00705170">
        <w:rPr>
          <w:rFonts w:ascii="Times New Roman" w:hAnsi="Times New Roman" w:cs="Times New Roman"/>
        </w:rPr>
        <w:t>law</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and</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additi</w:t>
      </w:r>
      <w:r w:rsidR="00B32433" w:rsidRPr="00705170">
        <w:rPr>
          <w:rFonts w:ascii="Times New Roman" w:hAnsi="Times New Roman" w:cs="Times New Roman"/>
        </w:rPr>
        <w:t>onal</w:t>
      </w:r>
      <w:proofErr w:type="spellEnd"/>
      <w:r w:rsidR="00B32433" w:rsidRPr="00705170">
        <w:rPr>
          <w:rFonts w:ascii="Times New Roman" w:hAnsi="Times New Roman" w:cs="Times New Roman"/>
        </w:rPr>
        <w:t xml:space="preserve"> </w:t>
      </w:r>
      <w:proofErr w:type="spellStart"/>
      <w:r w:rsidR="00B32433" w:rsidRPr="00705170">
        <w:rPr>
          <w:rFonts w:ascii="Times New Roman" w:hAnsi="Times New Roman" w:cs="Times New Roman"/>
        </w:rPr>
        <w:t>layer</w:t>
      </w:r>
      <w:proofErr w:type="spellEnd"/>
      <w:r w:rsidR="00B32433" w:rsidRPr="00705170">
        <w:rPr>
          <w:rFonts w:ascii="Times New Roman" w:hAnsi="Times New Roman" w:cs="Times New Roman"/>
        </w:rPr>
        <w:t xml:space="preserve"> of </w:t>
      </w:r>
      <w:proofErr w:type="spellStart"/>
      <w:r w:rsidR="00B32433" w:rsidRPr="00705170">
        <w:rPr>
          <w:rFonts w:ascii="Times New Roman" w:hAnsi="Times New Roman" w:cs="Times New Roman"/>
        </w:rPr>
        <w:t>regulations</w:t>
      </w:r>
      <w:proofErr w:type="spellEnd"/>
      <w:r w:rsidR="00B32433" w:rsidRPr="00705170">
        <w:rPr>
          <w:rFonts w:ascii="Times New Roman" w:hAnsi="Times New Roman" w:cs="Times New Roman"/>
        </w:rPr>
        <w:t xml:space="preserve"> (</w:t>
      </w:r>
      <w:proofErr w:type="spellStart"/>
      <w:r w:rsidR="00B32433" w:rsidRPr="00705170">
        <w:rPr>
          <w:rFonts w:ascii="Times New Roman" w:hAnsi="Times New Roman" w:cs="Times New Roman"/>
        </w:rPr>
        <w:t>particularly</w:t>
      </w:r>
      <w:proofErr w:type="spellEnd"/>
      <w:r w:rsidR="00B32433" w:rsidRPr="00705170">
        <w:rPr>
          <w:rFonts w:ascii="Times New Roman" w:hAnsi="Times New Roman" w:cs="Times New Roman"/>
        </w:rPr>
        <w:t xml:space="preserve">, </w:t>
      </w:r>
      <w:proofErr w:type="spellStart"/>
      <w:r w:rsidR="00B32433" w:rsidRPr="00705170">
        <w:rPr>
          <w:rFonts w:ascii="Times New Roman" w:hAnsi="Times New Roman" w:cs="Times New Roman"/>
        </w:rPr>
        <w:t>the</w:t>
      </w:r>
      <w:proofErr w:type="spellEnd"/>
      <w:r w:rsidR="00B32433" w:rsidRPr="00705170">
        <w:rPr>
          <w:rFonts w:ascii="Times New Roman" w:hAnsi="Times New Roman" w:cs="Times New Roman"/>
        </w:rPr>
        <w:t xml:space="preserve"> </w:t>
      </w:r>
      <w:proofErr w:type="spellStart"/>
      <w:r w:rsidR="00B32433" w:rsidRPr="00705170">
        <w:rPr>
          <w:rFonts w:ascii="Times New Roman" w:hAnsi="Times New Roman" w:cs="Times New Roman"/>
        </w:rPr>
        <w:t>l</w:t>
      </w:r>
      <w:r w:rsidR="00AD30B7" w:rsidRPr="00705170">
        <w:rPr>
          <w:rFonts w:ascii="Times New Roman" w:hAnsi="Times New Roman" w:cs="Times New Roman"/>
        </w:rPr>
        <w:t>isti</w:t>
      </w:r>
      <w:r w:rsidR="00B32433" w:rsidRPr="00705170">
        <w:rPr>
          <w:rFonts w:ascii="Times New Roman" w:hAnsi="Times New Roman" w:cs="Times New Roman"/>
        </w:rPr>
        <w:t>ng</w:t>
      </w:r>
      <w:proofErr w:type="spellEnd"/>
      <w:r w:rsidR="00B32433" w:rsidRPr="00705170">
        <w:rPr>
          <w:rFonts w:ascii="Times New Roman" w:hAnsi="Times New Roman" w:cs="Times New Roman"/>
        </w:rPr>
        <w:t xml:space="preserve"> </w:t>
      </w:r>
      <w:proofErr w:type="spellStart"/>
      <w:r w:rsidR="00B32433" w:rsidRPr="00705170">
        <w:rPr>
          <w:rFonts w:ascii="Times New Roman" w:hAnsi="Times New Roman" w:cs="Times New Roman"/>
        </w:rPr>
        <w:t>r</w:t>
      </w:r>
      <w:r w:rsidR="00AD30B7" w:rsidRPr="00705170">
        <w:rPr>
          <w:rFonts w:ascii="Times New Roman" w:hAnsi="Times New Roman" w:cs="Times New Roman"/>
        </w:rPr>
        <w:t>ules</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relating</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to</w:t>
      </w:r>
      <w:proofErr w:type="spellEnd"/>
      <w:r w:rsidR="00AD30B7" w:rsidRPr="00705170">
        <w:rPr>
          <w:rFonts w:ascii="Times New Roman" w:hAnsi="Times New Roman" w:cs="Times New Roman"/>
        </w:rPr>
        <w:t xml:space="preserve"> </w:t>
      </w:r>
      <w:proofErr w:type="spellStart"/>
      <w:r w:rsidR="00B32433" w:rsidRPr="00705170">
        <w:rPr>
          <w:rFonts w:ascii="Times New Roman" w:hAnsi="Times New Roman" w:cs="Times New Roman"/>
        </w:rPr>
        <w:t>the</w:t>
      </w:r>
      <w:proofErr w:type="spellEnd"/>
      <w:r w:rsidR="00B32433" w:rsidRPr="00705170">
        <w:rPr>
          <w:rFonts w:ascii="Times New Roman" w:hAnsi="Times New Roman" w:cs="Times New Roman"/>
        </w:rPr>
        <w:t xml:space="preserve"> </w:t>
      </w:r>
      <w:proofErr w:type="spellStart"/>
      <w:r w:rsidR="00AD30B7" w:rsidRPr="00705170">
        <w:rPr>
          <w:rFonts w:ascii="Times New Roman" w:hAnsi="Times New Roman" w:cs="Times New Roman"/>
        </w:rPr>
        <w:t>purpose</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and</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governance</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struc</w:t>
      </w:r>
      <w:r w:rsidR="00335C47" w:rsidRPr="00705170">
        <w:rPr>
          <w:rFonts w:ascii="Times New Roman" w:hAnsi="Times New Roman" w:cs="Times New Roman"/>
        </w:rPr>
        <w:t>ture</w:t>
      </w:r>
      <w:proofErr w:type="spellEnd"/>
      <w:r w:rsidR="00335C47" w:rsidRPr="00705170">
        <w:rPr>
          <w:rFonts w:ascii="Times New Roman" w:hAnsi="Times New Roman" w:cs="Times New Roman"/>
        </w:rPr>
        <w:t xml:space="preserve"> of </w:t>
      </w:r>
      <w:proofErr w:type="spellStart"/>
      <w:r w:rsidR="00335C47" w:rsidRPr="00705170">
        <w:rPr>
          <w:rFonts w:ascii="Times New Roman" w:hAnsi="Times New Roman" w:cs="Times New Roman"/>
        </w:rPr>
        <w:t>the</w:t>
      </w:r>
      <w:proofErr w:type="spellEnd"/>
      <w:r w:rsidR="00335C47" w:rsidRPr="00705170">
        <w:rPr>
          <w:rFonts w:ascii="Times New Roman" w:hAnsi="Times New Roman" w:cs="Times New Roman"/>
        </w:rPr>
        <w:t xml:space="preserve"> </w:t>
      </w:r>
      <w:proofErr w:type="spellStart"/>
      <w:r w:rsidR="00335C47" w:rsidRPr="00705170">
        <w:rPr>
          <w:rFonts w:ascii="Times New Roman" w:hAnsi="Times New Roman" w:cs="Times New Roman"/>
        </w:rPr>
        <w:t>corporations</w:t>
      </w:r>
      <w:proofErr w:type="spellEnd"/>
      <w:r w:rsidR="00335C47" w:rsidRPr="00705170">
        <w:rPr>
          <w:rFonts w:ascii="Times New Roman" w:hAnsi="Times New Roman" w:cs="Times New Roman"/>
        </w:rPr>
        <w:t xml:space="preserve">, (2) </w:t>
      </w:r>
      <w:proofErr w:type="spellStart"/>
      <w:r w:rsidR="005B647B" w:rsidRPr="00705170">
        <w:rPr>
          <w:rFonts w:ascii="Times New Roman" w:hAnsi="Times New Roman" w:cs="Times New Roman"/>
        </w:rPr>
        <w:t>corporation’s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organic</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documents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e.g</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articles</w:t>
      </w:r>
      <w:proofErr w:type="spellEnd"/>
      <w:r w:rsidR="005B647B" w:rsidRPr="00705170">
        <w:rPr>
          <w:rFonts w:ascii="Times New Roman" w:hAnsi="Times New Roman" w:cs="Times New Roman"/>
        </w:rPr>
        <w:t xml:space="preserve"> of </w:t>
      </w:r>
      <w:proofErr w:type="spellStart"/>
      <w:r w:rsidR="005B647B" w:rsidRPr="00705170">
        <w:rPr>
          <w:rFonts w:ascii="Times New Roman" w:hAnsi="Times New Roman" w:cs="Times New Roman"/>
        </w:rPr>
        <w:t>incorporation</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bylaws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and</w:t>
      </w:r>
      <w:proofErr w:type="spellEnd"/>
      <w:r w:rsidR="005B647B" w:rsidRPr="00705170">
        <w:rPr>
          <w:rFonts w:ascii="Times New Roman" w:hAnsi="Times New Roman" w:cs="Times New Roman"/>
        </w:rPr>
        <w:t xml:space="preserve"> </w:t>
      </w:r>
      <w:proofErr w:type="spellStart"/>
      <w:r w:rsidR="00335C47" w:rsidRPr="00705170">
        <w:rPr>
          <w:rFonts w:ascii="Times New Roman" w:hAnsi="Times New Roman" w:cs="Times New Roman"/>
        </w:rPr>
        <w:t>shareholders</w:t>
      </w:r>
      <w:proofErr w:type="spellEnd"/>
      <w:r w:rsidR="00335C47" w:rsidRPr="00705170">
        <w:rPr>
          <w:rFonts w:ascii="Times New Roman" w:hAnsi="Times New Roman" w:cs="Times New Roman"/>
        </w:rPr>
        <w:t xml:space="preserve">’ </w:t>
      </w:r>
      <w:proofErr w:type="spellStart"/>
      <w:r w:rsidR="00335C47" w:rsidRPr="00705170">
        <w:rPr>
          <w:rFonts w:ascii="Times New Roman" w:hAnsi="Times New Roman" w:cs="Times New Roman"/>
        </w:rPr>
        <w:t>meeting</w:t>
      </w:r>
      <w:proofErr w:type="spellEnd"/>
      <w:r w:rsidR="00335C47" w:rsidRPr="00705170">
        <w:rPr>
          <w:rFonts w:ascii="Times New Roman" w:hAnsi="Times New Roman" w:cs="Times New Roman"/>
        </w:rPr>
        <w:t xml:space="preserve"> (</w:t>
      </w:r>
      <w:proofErr w:type="spellStart"/>
      <w:r w:rsidR="00335C47" w:rsidRPr="00705170">
        <w:rPr>
          <w:rFonts w:ascii="Times New Roman" w:hAnsi="Times New Roman" w:cs="Times New Roman"/>
        </w:rPr>
        <w:t>i.e</w:t>
      </w:r>
      <w:proofErr w:type="spellEnd"/>
      <w:r w:rsidR="00335C47" w:rsidRPr="00705170">
        <w:rPr>
          <w:rFonts w:ascii="Times New Roman" w:hAnsi="Times New Roman" w:cs="Times New Roman"/>
        </w:rPr>
        <w:t xml:space="preserve">. general </w:t>
      </w:r>
      <w:proofErr w:type="spellStart"/>
      <w:r w:rsidR="00335C47" w:rsidRPr="00705170">
        <w:rPr>
          <w:rFonts w:ascii="Times New Roman" w:hAnsi="Times New Roman" w:cs="Times New Roman"/>
        </w:rPr>
        <w:t>asse</w:t>
      </w:r>
      <w:r w:rsidR="005B647B" w:rsidRPr="00705170">
        <w:rPr>
          <w:rFonts w:ascii="Times New Roman" w:hAnsi="Times New Roman" w:cs="Times New Roman"/>
        </w:rPr>
        <w:t>mbly</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or</w:t>
      </w:r>
      <w:proofErr w:type="spellEnd"/>
      <w:r w:rsidR="005B647B" w:rsidRPr="00705170">
        <w:rPr>
          <w:rFonts w:ascii="Times New Roman" w:hAnsi="Times New Roman" w:cs="Times New Roman"/>
        </w:rPr>
        <w:t xml:space="preserve"> board of </w:t>
      </w:r>
      <w:proofErr w:type="spellStart"/>
      <w:r w:rsidR="005B647B" w:rsidRPr="00705170">
        <w:rPr>
          <w:rFonts w:ascii="Times New Roman" w:hAnsi="Times New Roman" w:cs="Times New Roman"/>
        </w:rPr>
        <w:t>directors</w:t>
      </w:r>
      <w:proofErr w:type="spellEnd"/>
      <w:r w:rsidR="005B647B" w:rsidRPr="00705170">
        <w:rPr>
          <w:rFonts w:ascii="Times New Roman" w:hAnsi="Times New Roman" w:cs="Times New Roman"/>
        </w:rPr>
        <w:t xml:space="preserve">’ </w:t>
      </w:r>
      <w:proofErr w:type="spellStart"/>
      <w:r w:rsidR="00335C47" w:rsidRPr="00705170">
        <w:rPr>
          <w:rFonts w:ascii="Times New Roman" w:hAnsi="Times New Roman" w:cs="Times New Roman"/>
        </w:rPr>
        <w:t>resolutions</w:t>
      </w:r>
      <w:proofErr w:type="spellEnd"/>
      <w:r w:rsidR="00E97992" w:rsidRPr="00705170">
        <w:rPr>
          <w:rStyle w:val="DipnotBavurusu"/>
          <w:rFonts w:ascii="Times New Roman" w:hAnsi="Times New Roman" w:cs="Times New Roman"/>
        </w:rPr>
        <w:footnoteReference w:id="800"/>
      </w:r>
      <w:r w:rsidR="00335C47" w:rsidRPr="00705170">
        <w:rPr>
          <w:rFonts w:ascii="Times New Roman" w:hAnsi="Times New Roman" w:cs="Times New Roman"/>
        </w:rPr>
        <w:t xml:space="preserve">, </w:t>
      </w:r>
      <w:proofErr w:type="spellStart"/>
      <w:r w:rsidR="00335C47" w:rsidRPr="00705170">
        <w:rPr>
          <w:rFonts w:ascii="Times New Roman" w:hAnsi="Times New Roman" w:cs="Times New Roman"/>
        </w:rPr>
        <w:t>and</w:t>
      </w:r>
      <w:proofErr w:type="spellEnd"/>
      <w:r w:rsidR="00335C47" w:rsidRPr="00705170">
        <w:rPr>
          <w:rFonts w:ascii="Times New Roman" w:hAnsi="Times New Roman" w:cs="Times New Roman"/>
        </w:rPr>
        <w:t xml:space="preserve"> (3</w:t>
      </w:r>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public</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disclosures</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i.e</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announcements</w:t>
      </w:r>
      <w:proofErr w:type="spellEnd"/>
      <w:r w:rsidR="00AD30B7" w:rsidRPr="00705170">
        <w:rPr>
          <w:rFonts w:ascii="Times New Roman" w:hAnsi="Times New Roman" w:cs="Times New Roman"/>
        </w:rPr>
        <w:t>)</w:t>
      </w:r>
      <w:r w:rsidR="00AD30B7" w:rsidRPr="00705170">
        <w:rPr>
          <w:rStyle w:val="DipnotBavurusu"/>
          <w:rFonts w:ascii="Times New Roman" w:hAnsi="Times New Roman" w:cs="Times New Roman"/>
        </w:rPr>
        <w:footnoteReference w:id="801"/>
      </w:r>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that</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the</w:t>
      </w:r>
      <w:proofErr w:type="spellEnd"/>
      <w:r w:rsidR="00AD30B7" w:rsidRPr="00705170">
        <w:rPr>
          <w:rFonts w:ascii="Times New Roman" w:hAnsi="Times New Roman" w:cs="Times New Roman"/>
        </w:rPr>
        <w:t xml:space="preserve"> </w:t>
      </w:r>
      <w:proofErr w:type="spellStart"/>
      <w:r w:rsidR="00AD30B7" w:rsidRPr="00705170">
        <w:rPr>
          <w:rFonts w:ascii="Times New Roman" w:hAnsi="Times New Roman" w:cs="Times New Roman"/>
        </w:rPr>
        <w:t>corporation</w:t>
      </w:r>
      <w:proofErr w:type="spellEnd"/>
      <w:r w:rsidR="00AD30B7" w:rsidRPr="00705170">
        <w:rPr>
          <w:rFonts w:ascii="Times New Roman" w:hAnsi="Times New Roman" w:cs="Times New Roman"/>
        </w:rPr>
        <w:t xml:space="preserve"> is </w:t>
      </w:r>
      <w:proofErr w:type="spellStart"/>
      <w:r w:rsidR="00AD30B7" w:rsidRPr="00705170">
        <w:rPr>
          <w:rFonts w:ascii="Times New Roman" w:hAnsi="Times New Roman" w:cs="Times New Roman"/>
        </w:rPr>
        <w:t>making</w:t>
      </w:r>
      <w:proofErr w:type="spellEnd"/>
      <w:r w:rsidR="00AD30B7" w:rsidRPr="00705170">
        <w:rPr>
          <w:rFonts w:ascii="Times New Roman" w:hAnsi="Times New Roman" w:cs="Times New Roman"/>
        </w:rPr>
        <w:t xml:space="preserve"> in </w:t>
      </w:r>
      <w:proofErr w:type="spellStart"/>
      <w:r w:rsidR="00AD30B7" w:rsidRPr="00705170">
        <w:rPr>
          <w:rFonts w:ascii="Times New Roman" w:hAnsi="Times New Roman" w:cs="Times New Roman"/>
        </w:rPr>
        <w:t>accordance</w:t>
      </w:r>
      <w:proofErr w:type="spellEnd"/>
      <w:r w:rsidR="00AD30B7" w:rsidRPr="00705170">
        <w:rPr>
          <w:rFonts w:ascii="Times New Roman" w:hAnsi="Times New Roman" w:cs="Times New Roman"/>
        </w:rPr>
        <w:t xml:space="preserve"> </w:t>
      </w:r>
      <w:proofErr w:type="spellStart"/>
      <w:r w:rsidR="00B32433" w:rsidRPr="00705170">
        <w:rPr>
          <w:rFonts w:ascii="Times New Roman" w:hAnsi="Times New Roman" w:cs="Times New Roman"/>
        </w:rPr>
        <w:t>with</w:t>
      </w:r>
      <w:proofErr w:type="spellEnd"/>
      <w:r w:rsidR="00B32433" w:rsidRPr="00705170">
        <w:rPr>
          <w:rFonts w:ascii="Times New Roman" w:hAnsi="Times New Roman" w:cs="Times New Roman"/>
        </w:rPr>
        <w:t xml:space="preserve"> </w:t>
      </w:r>
      <w:proofErr w:type="spellStart"/>
      <w:r w:rsidR="00B32433" w:rsidRPr="00705170">
        <w:rPr>
          <w:rFonts w:ascii="Times New Roman" w:hAnsi="Times New Roman" w:cs="Times New Roman"/>
        </w:rPr>
        <w:t>the</w:t>
      </w:r>
      <w:proofErr w:type="spellEnd"/>
      <w:r w:rsidR="00B32433" w:rsidRPr="00705170">
        <w:rPr>
          <w:rFonts w:ascii="Times New Roman" w:hAnsi="Times New Roman" w:cs="Times New Roman"/>
        </w:rPr>
        <w:t xml:space="preserve"> </w:t>
      </w:r>
      <w:proofErr w:type="spellStart"/>
      <w:r w:rsidR="00B32433" w:rsidRPr="00705170">
        <w:rPr>
          <w:rFonts w:ascii="Times New Roman" w:hAnsi="Times New Roman" w:cs="Times New Roman"/>
        </w:rPr>
        <w:t>securities</w:t>
      </w:r>
      <w:proofErr w:type="spellEnd"/>
      <w:r w:rsidR="00B32433" w:rsidRPr="00705170">
        <w:rPr>
          <w:rFonts w:ascii="Times New Roman" w:hAnsi="Times New Roman" w:cs="Times New Roman"/>
        </w:rPr>
        <w:t xml:space="preserve"> </w:t>
      </w:r>
      <w:proofErr w:type="spellStart"/>
      <w:r w:rsidR="00B32433" w:rsidRPr="00705170">
        <w:rPr>
          <w:rFonts w:ascii="Times New Roman" w:hAnsi="Times New Roman" w:cs="Times New Roman"/>
        </w:rPr>
        <w:t>regulations</w:t>
      </w:r>
      <w:proofErr w:type="spellEnd"/>
      <w:r w:rsidR="00B32433" w:rsidRPr="00705170">
        <w:rPr>
          <w:rFonts w:ascii="Times New Roman" w:hAnsi="Times New Roman" w:cs="Times New Roman"/>
        </w:rPr>
        <w:t>.</w:t>
      </w:r>
      <w:r w:rsidR="00AD30B7" w:rsidRPr="00705170">
        <w:rPr>
          <w:rFonts w:ascii="Times New Roman" w:hAnsi="Times New Roman" w:cs="Times New Roman"/>
        </w:rPr>
        <w:t xml:space="preserve"> </w:t>
      </w:r>
      <w:proofErr w:type="spellStart"/>
      <w:r w:rsidR="00BE0890" w:rsidRPr="00705170">
        <w:rPr>
          <w:rFonts w:ascii="Times New Roman" w:hAnsi="Times New Roman" w:cs="Times New Roman"/>
        </w:rPr>
        <w:t>Next</w:t>
      </w:r>
      <w:proofErr w:type="spellEnd"/>
      <w:r w:rsidR="00BE0890" w:rsidRPr="00705170">
        <w:rPr>
          <w:rFonts w:ascii="Times New Roman" w:hAnsi="Times New Roman" w:cs="Times New Roman"/>
        </w:rPr>
        <w:t xml:space="preserve"> </w:t>
      </w:r>
      <w:proofErr w:type="spellStart"/>
      <w:r w:rsidR="00BE0890" w:rsidRPr="00705170">
        <w:rPr>
          <w:rFonts w:ascii="Times New Roman" w:hAnsi="Times New Roman" w:cs="Times New Roman"/>
        </w:rPr>
        <w:t>section</w:t>
      </w:r>
      <w:proofErr w:type="spellEnd"/>
      <w:r w:rsidR="00BE0890" w:rsidRPr="00705170">
        <w:rPr>
          <w:rFonts w:ascii="Times New Roman" w:hAnsi="Times New Roman" w:cs="Times New Roman"/>
        </w:rPr>
        <w:t xml:space="preserve"> of </w:t>
      </w:r>
      <w:proofErr w:type="spellStart"/>
      <w:r w:rsidR="00BE0890" w:rsidRPr="00705170">
        <w:rPr>
          <w:rFonts w:ascii="Times New Roman" w:hAnsi="Times New Roman" w:cs="Times New Roman"/>
        </w:rPr>
        <w:t>this</w:t>
      </w:r>
      <w:proofErr w:type="spellEnd"/>
      <w:r w:rsidR="00BE0890" w:rsidRPr="00705170">
        <w:rPr>
          <w:rFonts w:ascii="Times New Roman" w:hAnsi="Times New Roman" w:cs="Times New Roman"/>
        </w:rPr>
        <w:t xml:space="preserve"> </w:t>
      </w:r>
      <w:proofErr w:type="spellStart"/>
      <w:r w:rsidR="00827887" w:rsidRPr="00705170">
        <w:rPr>
          <w:rFonts w:ascii="Times New Roman" w:hAnsi="Times New Roman" w:cs="Times New Roman"/>
        </w:rPr>
        <w:t>chapter</w:t>
      </w:r>
      <w:proofErr w:type="spellEnd"/>
      <w:r w:rsidR="00827887" w:rsidRPr="00705170">
        <w:rPr>
          <w:rFonts w:ascii="Times New Roman" w:hAnsi="Times New Roman" w:cs="Times New Roman"/>
        </w:rPr>
        <w:t xml:space="preserve"> </w:t>
      </w:r>
      <w:proofErr w:type="spellStart"/>
      <w:r w:rsidR="00827887" w:rsidRPr="00705170">
        <w:rPr>
          <w:rFonts w:ascii="Times New Roman" w:hAnsi="Times New Roman" w:cs="Times New Roman"/>
        </w:rPr>
        <w:t>investigates</w:t>
      </w:r>
      <w:proofErr w:type="spellEnd"/>
      <w:r w:rsidR="00827887" w:rsidRPr="00705170">
        <w:rPr>
          <w:rFonts w:ascii="Times New Roman" w:hAnsi="Times New Roman" w:cs="Times New Roman"/>
        </w:rPr>
        <w:t xml:space="preserve"> </w:t>
      </w:r>
      <w:proofErr w:type="spellStart"/>
      <w:r w:rsidR="00827887" w:rsidRPr="00705170">
        <w:rPr>
          <w:rFonts w:ascii="Times New Roman" w:hAnsi="Times New Roman" w:cs="Times New Roman"/>
        </w:rPr>
        <w:t>the</w:t>
      </w:r>
      <w:proofErr w:type="spellEnd"/>
      <w:r w:rsidR="00827887" w:rsidRPr="00705170">
        <w:rPr>
          <w:rFonts w:ascii="Times New Roman" w:hAnsi="Times New Roman" w:cs="Times New Roman"/>
        </w:rPr>
        <w:t xml:space="preserve"> </w:t>
      </w:r>
      <w:proofErr w:type="spellStart"/>
      <w:r w:rsidR="00827887" w:rsidRPr="00705170">
        <w:rPr>
          <w:rFonts w:ascii="Times New Roman" w:hAnsi="Times New Roman" w:cs="Times New Roman"/>
        </w:rPr>
        <w:t>theory</w:t>
      </w:r>
      <w:proofErr w:type="spellEnd"/>
      <w:r w:rsidR="00827887" w:rsidRPr="00705170">
        <w:rPr>
          <w:rFonts w:ascii="Times New Roman" w:hAnsi="Times New Roman" w:cs="Times New Roman"/>
        </w:rPr>
        <w:t xml:space="preserve"> </w:t>
      </w:r>
      <w:proofErr w:type="spellStart"/>
      <w:r w:rsidR="00827887" w:rsidRPr="00705170">
        <w:rPr>
          <w:rFonts w:ascii="Times New Roman" w:hAnsi="Times New Roman" w:cs="Times New Roman"/>
        </w:rPr>
        <w:t>and</w:t>
      </w:r>
      <w:proofErr w:type="spellEnd"/>
      <w:r w:rsidR="00827887" w:rsidRPr="00705170">
        <w:rPr>
          <w:rFonts w:ascii="Times New Roman" w:hAnsi="Times New Roman" w:cs="Times New Roman"/>
        </w:rPr>
        <w:t xml:space="preserve"> </w:t>
      </w:r>
      <w:proofErr w:type="spellStart"/>
      <w:r w:rsidR="00827887" w:rsidRPr="00705170">
        <w:rPr>
          <w:rFonts w:ascii="Times New Roman" w:hAnsi="Times New Roman" w:cs="Times New Roman"/>
        </w:rPr>
        <w:t>application</w:t>
      </w:r>
      <w:proofErr w:type="spellEnd"/>
      <w:r w:rsidR="00BE0890" w:rsidRPr="00705170">
        <w:rPr>
          <w:rFonts w:ascii="Times New Roman" w:hAnsi="Times New Roman" w:cs="Times New Roman"/>
        </w:rPr>
        <w:t xml:space="preserve"> of </w:t>
      </w:r>
      <w:proofErr w:type="spellStart"/>
      <w:r w:rsidR="00BE0890" w:rsidRPr="00705170">
        <w:rPr>
          <w:rFonts w:ascii="Times New Roman" w:hAnsi="Times New Roman" w:cs="Times New Roman"/>
        </w:rPr>
        <w:t>this</w:t>
      </w:r>
      <w:proofErr w:type="spellEnd"/>
      <w:r w:rsidR="00BE0890" w:rsidRPr="00705170">
        <w:rPr>
          <w:rFonts w:ascii="Times New Roman" w:hAnsi="Times New Roman" w:cs="Times New Roman"/>
        </w:rPr>
        <w:t xml:space="preserve"> </w:t>
      </w:r>
      <w:proofErr w:type="spellStart"/>
      <w:r w:rsidRPr="00705170">
        <w:rPr>
          <w:rFonts w:ascii="Times New Roman" w:hAnsi="Times New Roman" w:cs="Times New Roman"/>
        </w:rPr>
        <w:t>answer</w:t>
      </w:r>
      <w:proofErr w:type="spellEnd"/>
      <w:r w:rsidR="00DC493D" w:rsidRPr="00705170">
        <w:rPr>
          <w:rFonts w:ascii="Times New Roman" w:hAnsi="Times New Roman" w:cs="Times New Roman"/>
        </w:rPr>
        <w:t xml:space="preserve"> </w:t>
      </w:r>
      <w:proofErr w:type="spellStart"/>
      <w:r w:rsidR="00DC493D" w:rsidRPr="00705170">
        <w:rPr>
          <w:rFonts w:ascii="Times New Roman" w:hAnsi="Times New Roman" w:cs="Times New Roman"/>
        </w:rPr>
        <w:t>regarding</w:t>
      </w:r>
      <w:proofErr w:type="spellEnd"/>
      <w:r w:rsidR="00DC493D" w:rsidRPr="00705170">
        <w:rPr>
          <w:rFonts w:ascii="Times New Roman" w:hAnsi="Times New Roman" w:cs="Times New Roman"/>
        </w:rPr>
        <w:t xml:space="preserve"> </w:t>
      </w:r>
      <w:proofErr w:type="spellStart"/>
      <w:r w:rsidR="00DC493D" w:rsidRPr="00705170">
        <w:rPr>
          <w:rFonts w:ascii="Times New Roman" w:hAnsi="Times New Roman" w:cs="Times New Roman"/>
        </w:rPr>
        <w:t>the</w:t>
      </w:r>
      <w:proofErr w:type="spellEnd"/>
      <w:r w:rsidR="00DC493D" w:rsidRPr="00705170">
        <w:rPr>
          <w:rFonts w:ascii="Times New Roman" w:hAnsi="Times New Roman" w:cs="Times New Roman"/>
        </w:rPr>
        <w:t xml:space="preserve"> </w:t>
      </w:r>
      <w:proofErr w:type="spellStart"/>
      <w:r w:rsidR="00DC493D" w:rsidRPr="00705170">
        <w:rPr>
          <w:rFonts w:ascii="Times New Roman" w:hAnsi="Times New Roman" w:cs="Times New Roman"/>
        </w:rPr>
        <w:t>sources</w:t>
      </w:r>
      <w:proofErr w:type="spellEnd"/>
      <w:r w:rsidR="00BE0890" w:rsidRPr="00705170">
        <w:rPr>
          <w:rFonts w:ascii="Times New Roman" w:hAnsi="Times New Roman" w:cs="Times New Roman"/>
        </w:rPr>
        <w:t>.</w:t>
      </w:r>
    </w:p>
    <w:p w14:paraId="7EF4476F" w14:textId="19788996" w:rsidR="005B647B" w:rsidRPr="00705170" w:rsidRDefault="006C58E4" w:rsidP="003B3582">
      <w:pPr>
        <w:spacing w:after="240" w:line="480" w:lineRule="auto"/>
        <w:ind w:left="700"/>
        <w:rPr>
          <w:rFonts w:ascii="Times New Roman" w:hAnsi="Times New Roman" w:cs="Times New Roman"/>
          <w:b/>
        </w:rPr>
      </w:pPr>
      <w:r w:rsidRPr="00705170">
        <w:rPr>
          <w:rFonts w:ascii="Times New Roman" w:hAnsi="Times New Roman" w:cs="Times New Roman"/>
          <w:b/>
        </w:rPr>
        <w:lastRenderedPageBreak/>
        <w:t xml:space="preserve">2) </w:t>
      </w:r>
      <w:proofErr w:type="spellStart"/>
      <w:r w:rsidRPr="00705170">
        <w:rPr>
          <w:rFonts w:ascii="Times New Roman" w:hAnsi="Times New Roman" w:cs="Times New Roman"/>
          <w:b/>
        </w:rPr>
        <w:t>Sources</w:t>
      </w:r>
      <w:proofErr w:type="spellEnd"/>
    </w:p>
    <w:p w14:paraId="7907F116" w14:textId="0240C85C" w:rsidR="00A6353F" w:rsidRPr="00705170" w:rsidRDefault="00904488" w:rsidP="005B647B">
      <w:pPr>
        <w:spacing w:after="240" w:line="480" w:lineRule="auto"/>
        <w:ind w:firstLine="708"/>
        <w:jc w:val="both"/>
        <w:rPr>
          <w:rFonts w:ascii="Times New Roman" w:hAnsi="Times New Roman" w:cs="Times New Roman"/>
        </w:rPr>
      </w:pPr>
      <w:proofErr w:type="spellStart"/>
      <w:r>
        <w:rPr>
          <w:rFonts w:ascii="Times New Roman" w:hAnsi="Times New Roman" w:cs="Times New Roman"/>
        </w:rPr>
        <w:t>T</w:t>
      </w:r>
      <w:r w:rsidR="00E57C77" w:rsidRPr="00705170">
        <w:rPr>
          <w:rFonts w:ascii="Times New Roman" w:hAnsi="Times New Roman" w:cs="Times New Roman"/>
        </w:rPr>
        <w:t>he</w:t>
      </w:r>
      <w:proofErr w:type="spellEnd"/>
      <w:r w:rsidR="00E57C77" w:rsidRPr="00705170">
        <w:rPr>
          <w:rFonts w:ascii="Times New Roman" w:hAnsi="Times New Roman" w:cs="Times New Roman"/>
        </w:rPr>
        <w:t xml:space="preserve"> </w:t>
      </w:r>
      <w:proofErr w:type="spellStart"/>
      <w:r w:rsidR="00E57C77" w:rsidRPr="00705170">
        <w:rPr>
          <w:rFonts w:ascii="Times New Roman" w:hAnsi="Times New Roman" w:cs="Times New Roman"/>
        </w:rPr>
        <w:t>basic</w:t>
      </w:r>
      <w:proofErr w:type="spellEnd"/>
      <w:r w:rsidR="00E57C77" w:rsidRPr="00705170">
        <w:rPr>
          <w:rFonts w:ascii="Times New Roman" w:hAnsi="Times New Roman" w:cs="Times New Roman"/>
        </w:rPr>
        <w:t xml:space="preserve"> </w:t>
      </w:r>
      <w:proofErr w:type="spellStart"/>
      <w:r w:rsidR="00E57C77" w:rsidRPr="00705170">
        <w:rPr>
          <w:rFonts w:ascii="Times New Roman" w:hAnsi="Times New Roman" w:cs="Times New Roman"/>
        </w:rPr>
        <w:t>reasonable</w:t>
      </w:r>
      <w:proofErr w:type="spellEnd"/>
      <w:r w:rsidR="00E57C77" w:rsidRPr="00705170">
        <w:rPr>
          <w:rFonts w:ascii="Times New Roman" w:hAnsi="Times New Roman" w:cs="Times New Roman"/>
        </w:rPr>
        <w:t xml:space="preserve"> </w:t>
      </w:r>
      <w:proofErr w:type="spellStart"/>
      <w:r w:rsidR="00E57C77" w:rsidRPr="00705170">
        <w:rPr>
          <w:rFonts w:ascii="Times New Roman" w:hAnsi="Times New Roman" w:cs="Times New Roman"/>
        </w:rPr>
        <w:t>expectations</w:t>
      </w:r>
      <w:proofErr w:type="spellEnd"/>
      <w:r w:rsidR="00A6353F" w:rsidRPr="00705170">
        <w:rPr>
          <w:rFonts w:ascii="Times New Roman" w:hAnsi="Times New Roman" w:cs="Times New Roman"/>
        </w:rPr>
        <w:t xml:space="preserve"> is </w:t>
      </w:r>
      <w:proofErr w:type="spellStart"/>
      <w:r w:rsidR="00A6353F" w:rsidRPr="00705170">
        <w:rPr>
          <w:rFonts w:ascii="Times New Roman" w:hAnsi="Times New Roman" w:cs="Times New Roman"/>
        </w:rPr>
        <w:t>borne</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by</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the</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virtue</w:t>
      </w:r>
      <w:proofErr w:type="spellEnd"/>
      <w:r w:rsidR="00A6353F" w:rsidRPr="00705170">
        <w:rPr>
          <w:rFonts w:ascii="Times New Roman" w:hAnsi="Times New Roman" w:cs="Times New Roman"/>
        </w:rPr>
        <w:t xml:space="preserve"> of </w:t>
      </w:r>
      <w:proofErr w:type="spellStart"/>
      <w:r w:rsidR="00A6353F" w:rsidRPr="00705170">
        <w:rPr>
          <w:rFonts w:ascii="Times New Roman" w:hAnsi="Times New Roman" w:cs="Times New Roman"/>
        </w:rPr>
        <w:t>the</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statute</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However</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these</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expectations</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represent</w:t>
      </w:r>
      <w:proofErr w:type="spellEnd"/>
      <w:r w:rsidR="00A6353F" w:rsidRPr="00705170">
        <w:rPr>
          <w:rFonts w:ascii="Times New Roman" w:hAnsi="Times New Roman" w:cs="Times New Roman"/>
        </w:rPr>
        <w:t xml:space="preserve"> a general </w:t>
      </w:r>
      <w:proofErr w:type="spellStart"/>
      <w:r w:rsidR="00A6353F" w:rsidRPr="00705170">
        <w:rPr>
          <w:rFonts w:ascii="Times New Roman" w:hAnsi="Times New Roman" w:cs="Times New Roman"/>
        </w:rPr>
        <w:t>sketch</w:t>
      </w:r>
      <w:proofErr w:type="spellEnd"/>
      <w:r w:rsidR="00A6353F" w:rsidRPr="00705170">
        <w:rPr>
          <w:rFonts w:ascii="Times New Roman" w:hAnsi="Times New Roman" w:cs="Times New Roman"/>
        </w:rPr>
        <w:t xml:space="preserve"> of </w:t>
      </w:r>
      <w:proofErr w:type="spellStart"/>
      <w:r w:rsidR="00A6353F" w:rsidRPr="00705170">
        <w:rPr>
          <w:rFonts w:ascii="Times New Roman" w:hAnsi="Times New Roman" w:cs="Times New Roman"/>
        </w:rPr>
        <w:t>the</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notions</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that</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they</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are</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referring</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and</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the</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more</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they</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are</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detailed</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the</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more</w:t>
      </w:r>
      <w:proofErr w:type="spellEnd"/>
      <w:r w:rsidR="00A6353F" w:rsidRPr="00705170">
        <w:rPr>
          <w:rFonts w:ascii="Times New Roman" w:hAnsi="Times New Roman" w:cs="Times New Roman"/>
        </w:rPr>
        <w:t xml:space="preserve"> </w:t>
      </w:r>
      <w:proofErr w:type="spellStart"/>
      <w:r w:rsidR="00A6353F" w:rsidRPr="00705170">
        <w:rPr>
          <w:rFonts w:ascii="Times New Roman" w:hAnsi="Times New Roman" w:cs="Times New Roman"/>
        </w:rPr>
        <w:t>convincing</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their</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frustration</w:t>
      </w:r>
      <w:proofErr w:type="spellEnd"/>
      <w:r w:rsidR="005B647B" w:rsidRPr="00705170">
        <w:rPr>
          <w:rFonts w:ascii="Times New Roman" w:hAnsi="Times New Roman" w:cs="Times New Roman"/>
        </w:rPr>
        <w:t xml:space="preserve"> can be </w:t>
      </w:r>
      <w:proofErr w:type="spellStart"/>
      <w:r w:rsidR="005B647B" w:rsidRPr="00705170">
        <w:rPr>
          <w:rFonts w:ascii="Times New Roman" w:hAnsi="Times New Roman" w:cs="Times New Roman"/>
        </w:rPr>
        <w:t>proven</w:t>
      </w:r>
      <w:proofErr w:type="spellEnd"/>
      <w:r w:rsidR="006900F7" w:rsidRPr="00705170">
        <w:rPr>
          <w:rFonts w:ascii="Times New Roman" w:hAnsi="Times New Roman" w:cs="Times New Roman"/>
        </w:rPr>
        <w:t xml:space="preserve"> </w:t>
      </w:r>
      <w:proofErr w:type="spellStart"/>
      <w:r w:rsidR="006900F7" w:rsidRPr="00705170">
        <w:rPr>
          <w:rFonts w:ascii="Times New Roman" w:hAnsi="Times New Roman" w:cs="Times New Roman"/>
        </w:rPr>
        <w:t>before</w:t>
      </w:r>
      <w:proofErr w:type="spellEnd"/>
      <w:r w:rsidR="006900F7" w:rsidRPr="00705170">
        <w:rPr>
          <w:rFonts w:ascii="Times New Roman" w:hAnsi="Times New Roman" w:cs="Times New Roman"/>
        </w:rPr>
        <w:t xml:space="preserve"> </w:t>
      </w:r>
      <w:proofErr w:type="spellStart"/>
      <w:r w:rsidR="006900F7" w:rsidRPr="00705170">
        <w:rPr>
          <w:rFonts w:ascii="Times New Roman" w:hAnsi="Times New Roman" w:cs="Times New Roman"/>
        </w:rPr>
        <w:t>courts</w:t>
      </w:r>
      <w:proofErr w:type="spellEnd"/>
      <w:r w:rsidR="00A6353F" w:rsidRPr="00705170">
        <w:rPr>
          <w:rFonts w:ascii="Times New Roman" w:hAnsi="Times New Roman" w:cs="Times New Roman"/>
        </w:rPr>
        <w:t>.</w:t>
      </w:r>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After</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all</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the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conduct</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that</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causes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the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frustration</w:t>
      </w:r>
      <w:proofErr w:type="spellEnd"/>
      <w:r w:rsidR="005B647B" w:rsidRPr="00705170">
        <w:rPr>
          <w:rFonts w:ascii="Times New Roman" w:hAnsi="Times New Roman" w:cs="Times New Roman"/>
        </w:rPr>
        <w:t xml:space="preserve"> of </w:t>
      </w:r>
      <w:proofErr w:type="spellStart"/>
      <w:r w:rsidR="005B647B" w:rsidRPr="00705170">
        <w:rPr>
          <w:rFonts w:ascii="Times New Roman" w:hAnsi="Times New Roman" w:cs="Times New Roman"/>
        </w:rPr>
        <w:t>these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expectations</w:t>
      </w:r>
      <w:proofErr w:type="spellEnd"/>
      <w:r w:rsidR="00A6353F" w:rsidRPr="00705170">
        <w:rPr>
          <w:rFonts w:ascii="Times New Roman" w:hAnsi="Times New Roman" w:cs="Times New Roman"/>
        </w:rPr>
        <w:t xml:space="preserve"> </w:t>
      </w:r>
      <w:proofErr w:type="spellStart"/>
      <w:r w:rsidR="005B647B" w:rsidRPr="00705170">
        <w:rPr>
          <w:rFonts w:ascii="Times New Roman" w:hAnsi="Times New Roman" w:cs="Times New Roman"/>
        </w:rPr>
        <w:t>will</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often</w:t>
      </w:r>
      <w:proofErr w:type="spellEnd"/>
      <w:r w:rsidR="005B647B" w:rsidRPr="00705170">
        <w:rPr>
          <w:rFonts w:ascii="Times New Roman" w:hAnsi="Times New Roman" w:cs="Times New Roman"/>
        </w:rPr>
        <w:t xml:space="preserve"> be a </w:t>
      </w:r>
      <w:proofErr w:type="spellStart"/>
      <w:r w:rsidR="005B647B" w:rsidRPr="00705170">
        <w:rPr>
          <w:rFonts w:ascii="Times New Roman" w:hAnsi="Times New Roman" w:cs="Times New Roman"/>
        </w:rPr>
        <w:t>case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specific</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one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and</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will</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require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showing</w:t>
      </w:r>
      <w:proofErr w:type="spellEnd"/>
      <w:r w:rsidR="005B647B" w:rsidRPr="00705170">
        <w:rPr>
          <w:rFonts w:ascii="Times New Roman" w:hAnsi="Times New Roman" w:cs="Times New Roman"/>
        </w:rPr>
        <w:t xml:space="preserve"> of a </w:t>
      </w:r>
      <w:proofErr w:type="spellStart"/>
      <w:r w:rsidR="005B647B" w:rsidRPr="00705170">
        <w:rPr>
          <w:rFonts w:ascii="Times New Roman" w:hAnsi="Times New Roman" w:cs="Times New Roman"/>
        </w:rPr>
        <w:t>specific</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aspect</w:t>
      </w:r>
      <w:proofErr w:type="spellEnd"/>
      <w:r w:rsidR="005B647B" w:rsidRPr="00705170">
        <w:rPr>
          <w:rFonts w:ascii="Times New Roman" w:hAnsi="Times New Roman" w:cs="Times New Roman"/>
        </w:rPr>
        <w:t xml:space="preserve"> of </w:t>
      </w:r>
      <w:proofErr w:type="spellStart"/>
      <w:r w:rsidR="005B647B" w:rsidRPr="00705170">
        <w:rPr>
          <w:rFonts w:ascii="Times New Roman" w:hAnsi="Times New Roman" w:cs="Times New Roman"/>
        </w:rPr>
        <w:t>the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frustrated</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basic</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expectations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Therein</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the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specific</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aspects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or</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details</w:t>
      </w:r>
      <w:proofErr w:type="spellEnd"/>
      <w:r w:rsidR="005B647B" w:rsidRPr="00705170">
        <w:rPr>
          <w:rFonts w:ascii="Times New Roman" w:hAnsi="Times New Roman" w:cs="Times New Roman"/>
        </w:rPr>
        <w:t xml:space="preserve"> of </w:t>
      </w:r>
      <w:proofErr w:type="spellStart"/>
      <w:r w:rsidR="005B647B" w:rsidRPr="00705170">
        <w:rPr>
          <w:rFonts w:ascii="Times New Roman" w:hAnsi="Times New Roman" w:cs="Times New Roman"/>
        </w:rPr>
        <w:t>the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basic</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reasonable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expectations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will</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arise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from</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certain</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sources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While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these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sources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include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ones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that</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are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also</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considered</w:t>
      </w:r>
      <w:proofErr w:type="spellEnd"/>
      <w:r w:rsidR="005B647B" w:rsidRPr="00705170">
        <w:rPr>
          <w:rFonts w:ascii="Times New Roman" w:hAnsi="Times New Roman" w:cs="Times New Roman"/>
        </w:rPr>
        <w:t xml:space="preserve"> in </w:t>
      </w:r>
      <w:proofErr w:type="spellStart"/>
      <w:r w:rsidR="005B647B" w:rsidRPr="00705170">
        <w:rPr>
          <w:rFonts w:ascii="Times New Roman" w:hAnsi="Times New Roman" w:cs="Times New Roman"/>
        </w:rPr>
        <w:t>the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close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corporation</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context</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such</w:t>
      </w:r>
      <w:proofErr w:type="spellEnd"/>
      <w:r w:rsidR="005B647B" w:rsidRPr="00705170">
        <w:rPr>
          <w:rFonts w:ascii="Times New Roman" w:hAnsi="Times New Roman" w:cs="Times New Roman"/>
        </w:rPr>
        <w:t xml:space="preserve"> as </w:t>
      </w:r>
      <w:proofErr w:type="spellStart"/>
      <w:r w:rsidR="005B647B" w:rsidRPr="00705170">
        <w:rPr>
          <w:rFonts w:ascii="Times New Roman" w:hAnsi="Times New Roman" w:cs="Times New Roman"/>
        </w:rPr>
        <w:t>the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statute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corporation’s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organic</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documents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shareholders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or</w:t>
      </w:r>
      <w:proofErr w:type="spellEnd"/>
      <w:r w:rsidR="005B647B" w:rsidRPr="00705170">
        <w:rPr>
          <w:rFonts w:ascii="Times New Roman" w:hAnsi="Times New Roman" w:cs="Times New Roman"/>
        </w:rPr>
        <w:t xml:space="preserve"> board of </w:t>
      </w:r>
      <w:proofErr w:type="spellStart"/>
      <w:r w:rsidR="005B647B" w:rsidRPr="00705170">
        <w:rPr>
          <w:rFonts w:ascii="Times New Roman" w:hAnsi="Times New Roman" w:cs="Times New Roman"/>
        </w:rPr>
        <w:t>directors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resolutions</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the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public</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disclosure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documents</w:t>
      </w:r>
      <w:proofErr w:type="spellEnd"/>
      <w:r w:rsidR="005B647B" w:rsidRPr="00705170">
        <w:rPr>
          <w:rFonts w:ascii="Times New Roman" w:hAnsi="Times New Roman" w:cs="Times New Roman"/>
        </w:rPr>
        <w:t xml:space="preserve"> as a </w:t>
      </w:r>
      <w:proofErr w:type="spellStart"/>
      <w:r w:rsidR="005B647B" w:rsidRPr="00705170">
        <w:rPr>
          <w:rFonts w:ascii="Times New Roman" w:hAnsi="Times New Roman" w:cs="Times New Roman"/>
        </w:rPr>
        <w:t>source</w:t>
      </w:r>
      <w:proofErr w:type="spellEnd"/>
      <w:r w:rsidR="005B647B" w:rsidRPr="00705170">
        <w:rPr>
          <w:rFonts w:ascii="Times New Roman" w:hAnsi="Times New Roman" w:cs="Times New Roman"/>
        </w:rPr>
        <w:t xml:space="preserve"> of </w:t>
      </w:r>
      <w:proofErr w:type="spellStart"/>
      <w:r w:rsidR="005B647B" w:rsidRPr="00705170">
        <w:rPr>
          <w:rFonts w:ascii="Times New Roman" w:hAnsi="Times New Roman" w:cs="Times New Roman"/>
        </w:rPr>
        <w:t>basic</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reasonable</w:t>
      </w:r>
      <w:proofErr w:type="spellEnd"/>
      <w:r w:rsidR="005B647B" w:rsidRPr="00705170">
        <w:rPr>
          <w:rFonts w:ascii="Times New Roman" w:hAnsi="Times New Roman" w:cs="Times New Roman"/>
        </w:rPr>
        <w:t xml:space="preserve"> </w:t>
      </w:r>
      <w:proofErr w:type="spellStart"/>
      <w:r w:rsidR="005B647B" w:rsidRPr="00705170">
        <w:rPr>
          <w:rFonts w:ascii="Times New Roman" w:hAnsi="Times New Roman" w:cs="Times New Roman"/>
        </w:rPr>
        <w:t>expectations</w:t>
      </w:r>
      <w:proofErr w:type="spellEnd"/>
      <w:r w:rsidR="009612BF" w:rsidRPr="00705170">
        <w:rPr>
          <w:rFonts w:ascii="Times New Roman" w:hAnsi="Times New Roman" w:cs="Times New Roman"/>
        </w:rPr>
        <w:t xml:space="preserve"> </w:t>
      </w:r>
      <w:proofErr w:type="spellStart"/>
      <w:r w:rsidR="009612BF" w:rsidRPr="00705170">
        <w:rPr>
          <w:rFonts w:ascii="Times New Roman" w:hAnsi="Times New Roman" w:cs="Times New Roman"/>
        </w:rPr>
        <w:t>deserves</w:t>
      </w:r>
      <w:proofErr w:type="spellEnd"/>
      <w:r w:rsidR="009612BF" w:rsidRPr="00705170">
        <w:rPr>
          <w:rFonts w:ascii="Times New Roman" w:hAnsi="Times New Roman" w:cs="Times New Roman"/>
        </w:rPr>
        <w:t xml:space="preserve"> a </w:t>
      </w:r>
      <w:proofErr w:type="spellStart"/>
      <w:r w:rsidR="009612BF" w:rsidRPr="00705170">
        <w:rPr>
          <w:rFonts w:ascii="Times New Roman" w:hAnsi="Times New Roman" w:cs="Times New Roman"/>
        </w:rPr>
        <w:t>special</w:t>
      </w:r>
      <w:proofErr w:type="spellEnd"/>
      <w:r w:rsidR="009612BF" w:rsidRPr="00705170">
        <w:rPr>
          <w:rFonts w:ascii="Times New Roman" w:hAnsi="Times New Roman" w:cs="Times New Roman"/>
        </w:rPr>
        <w:t xml:space="preserve"> </w:t>
      </w:r>
      <w:proofErr w:type="spellStart"/>
      <w:r w:rsidR="009612BF" w:rsidRPr="00705170">
        <w:rPr>
          <w:rFonts w:ascii="Times New Roman" w:hAnsi="Times New Roman" w:cs="Times New Roman"/>
        </w:rPr>
        <w:t>explanation</w:t>
      </w:r>
      <w:proofErr w:type="spellEnd"/>
      <w:r w:rsidR="009612BF" w:rsidRPr="00705170">
        <w:rPr>
          <w:rFonts w:ascii="Times New Roman" w:hAnsi="Times New Roman" w:cs="Times New Roman"/>
        </w:rPr>
        <w:t xml:space="preserve"> </w:t>
      </w:r>
      <w:proofErr w:type="spellStart"/>
      <w:r w:rsidR="009612BF" w:rsidRPr="00705170">
        <w:rPr>
          <w:rFonts w:ascii="Times New Roman" w:hAnsi="Times New Roman" w:cs="Times New Roman"/>
        </w:rPr>
        <w:t>due</w:t>
      </w:r>
      <w:proofErr w:type="spellEnd"/>
      <w:r w:rsidR="009612BF" w:rsidRPr="00705170">
        <w:rPr>
          <w:rFonts w:ascii="Times New Roman" w:hAnsi="Times New Roman" w:cs="Times New Roman"/>
        </w:rPr>
        <w:t xml:space="preserve"> </w:t>
      </w:r>
      <w:proofErr w:type="spellStart"/>
      <w:r w:rsidR="009612BF" w:rsidRPr="00705170">
        <w:rPr>
          <w:rFonts w:ascii="Times New Roman" w:hAnsi="Times New Roman" w:cs="Times New Roman"/>
        </w:rPr>
        <w:t>to</w:t>
      </w:r>
      <w:proofErr w:type="spellEnd"/>
      <w:r w:rsidR="009612BF" w:rsidRPr="00705170">
        <w:rPr>
          <w:rFonts w:ascii="Times New Roman" w:hAnsi="Times New Roman" w:cs="Times New Roman"/>
        </w:rPr>
        <w:t xml:space="preserve"> </w:t>
      </w:r>
      <w:proofErr w:type="spellStart"/>
      <w:r w:rsidR="009612BF" w:rsidRPr="00705170">
        <w:rPr>
          <w:rFonts w:ascii="Times New Roman" w:hAnsi="Times New Roman" w:cs="Times New Roman"/>
        </w:rPr>
        <w:t>its</w:t>
      </w:r>
      <w:proofErr w:type="spellEnd"/>
      <w:r w:rsidR="009612BF" w:rsidRPr="00705170">
        <w:rPr>
          <w:rFonts w:ascii="Times New Roman" w:hAnsi="Times New Roman" w:cs="Times New Roman"/>
        </w:rPr>
        <w:t xml:space="preserve"> </w:t>
      </w:r>
      <w:proofErr w:type="spellStart"/>
      <w:r w:rsidR="009612BF" w:rsidRPr="00705170">
        <w:rPr>
          <w:rFonts w:ascii="Times New Roman" w:hAnsi="Times New Roman" w:cs="Times New Roman"/>
        </w:rPr>
        <w:t>unique</w:t>
      </w:r>
      <w:proofErr w:type="spellEnd"/>
      <w:r w:rsidR="009612BF" w:rsidRPr="00705170">
        <w:rPr>
          <w:rFonts w:ascii="Times New Roman" w:hAnsi="Times New Roman" w:cs="Times New Roman"/>
        </w:rPr>
        <w:t xml:space="preserve"> </w:t>
      </w:r>
      <w:proofErr w:type="spellStart"/>
      <w:r w:rsidR="009612BF" w:rsidRPr="00705170">
        <w:rPr>
          <w:rFonts w:ascii="Times New Roman" w:hAnsi="Times New Roman" w:cs="Times New Roman"/>
        </w:rPr>
        <w:t>position</w:t>
      </w:r>
      <w:proofErr w:type="spellEnd"/>
      <w:r w:rsidR="009612BF" w:rsidRPr="00705170">
        <w:rPr>
          <w:rFonts w:ascii="Times New Roman" w:hAnsi="Times New Roman" w:cs="Times New Roman"/>
        </w:rPr>
        <w:t xml:space="preserve"> in </w:t>
      </w:r>
      <w:proofErr w:type="spellStart"/>
      <w:r w:rsidR="009612BF" w:rsidRPr="00705170">
        <w:rPr>
          <w:rFonts w:ascii="Times New Roman" w:hAnsi="Times New Roman" w:cs="Times New Roman"/>
        </w:rPr>
        <w:t>the</w:t>
      </w:r>
      <w:proofErr w:type="spellEnd"/>
      <w:r w:rsidR="009612BF" w:rsidRPr="00705170">
        <w:rPr>
          <w:rFonts w:ascii="Times New Roman" w:hAnsi="Times New Roman" w:cs="Times New Roman"/>
        </w:rPr>
        <w:t xml:space="preserve"> </w:t>
      </w:r>
      <w:proofErr w:type="spellStart"/>
      <w:r w:rsidR="009612BF" w:rsidRPr="00705170">
        <w:rPr>
          <w:rFonts w:ascii="Times New Roman" w:hAnsi="Times New Roman" w:cs="Times New Roman"/>
        </w:rPr>
        <w:t>operation</w:t>
      </w:r>
      <w:proofErr w:type="spellEnd"/>
      <w:r w:rsidR="009612BF" w:rsidRPr="00705170">
        <w:rPr>
          <w:rFonts w:ascii="Times New Roman" w:hAnsi="Times New Roman" w:cs="Times New Roman"/>
        </w:rPr>
        <w:t xml:space="preserve"> of </w:t>
      </w:r>
      <w:proofErr w:type="spellStart"/>
      <w:r w:rsidR="009612BF" w:rsidRPr="00705170">
        <w:rPr>
          <w:rFonts w:ascii="Times New Roman" w:hAnsi="Times New Roman" w:cs="Times New Roman"/>
        </w:rPr>
        <w:t>publicly</w:t>
      </w:r>
      <w:proofErr w:type="spellEnd"/>
      <w:r w:rsidR="009612BF" w:rsidRPr="00705170">
        <w:rPr>
          <w:rFonts w:ascii="Times New Roman" w:hAnsi="Times New Roman" w:cs="Times New Roman"/>
        </w:rPr>
        <w:t xml:space="preserve"> </w:t>
      </w:r>
      <w:proofErr w:type="spellStart"/>
      <w:r w:rsidR="009612BF" w:rsidRPr="00705170">
        <w:rPr>
          <w:rFonts w:ascii="Times New Roman" w:hAnsi="Times New Roman" w:cs="Times New Roman"/>
        </w:rPr>
        <w:t>traded</w:t>
      </w:r>
      <w:proofErr w:type="spellEnd"/>
      <w:r w:rsidR="009612BF" w:rsidRPr="00705170">
        <w:rPr>
          <w:rFonts w:ascii="Times New Roman" w:hAnsi="Times New Roman" w:cs="Times New Roman"/>
        </w:rPr>
        <w:t xml:space="preserve"> </w:t>
      </w:r>
      <w:proofErr w:type="spellStart"/>
      <w:r w:rsidR="009612BF" w:rsidRPr="00705170">
        <w:rPr>
          <w:rFonts w:ascii="Times New Roman" w:hAnsi="Times New Roman" w:cs="Times New Roman"/>
        </w:rPr>
        <w:t>corporations</w:t>
      </w:r>
      <w:proofErr w:type="spellEnd"/>
      <w:r w:rsidR="009612BF" w:rsidRPr="00705170">
        <w:rPr>
          <w:rFonts w:ascii="Times New Roman" w:hAnsi="Times New Roman" w:cs="Times New Roman"/>
        </w:rPr>
        <w:t>.</w:t>
      </w:r>
      <w:r w:rsidR="003B3582" w:rsidRPr="00705170">
        <w:rPr>
          <w:rFonts w:ascii="Times New Roman" w:hAnsi="Times New Roman" w:cs="Times New Roman"/>
        </w:rPr>
        <w:t xml:space="preserve"> </w:t>
      </w:r>
    </w:p>
    <w:p w14:paraId="018D05CC" w14:textId="086F5E24" w:rsidR="00591FA3" w:rsidRPr="00705170" w:rsidRDefault="00591FA3" w:rsidP="003E453C">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contractual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nature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relationship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between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00AA7A26">
        <w:rPr>
          <w:rFonts w:ascii="Times New Roman" w:hAnsi="Times New Roman" w:cs="Times New Roman"/>
        </w:rPr>
        <w:t>shareholders</w:t>
      </w:r>
      <w:proofErr w:type="spellEnd"/>
      <w:r w:rsidR="00AA7A26">
        <w:rPr>
          <w:rStyle w:val="DipnotBavurusu"/>
          <w:rFonts w:ascii="Times New Roman" w:hAnsi="Times New Roman" w:cs="Times New Roman"/>
        </w:rPr>
        <w:footnoteReference w:id="802"/>
      </w:r>
      <w:r w:rsidR="00AA7A26" w:rsidRPr="00705170">
        <w:rPr>
          <w:rFonts w:ascii="Times New Roman" w:hAnsi="Times New Roman" w:cs="Times New Roman"/>
        </w:rPr>
        <w:t xml:space="preserve"> </w:t>
      </w:r>
      <w:proofErr w:type="spellStart"/>
      <w:r w:rsidRPr="00705170">
        <w:rPr>
          <w:rFonts w:ascii="Times New Roman" w:hAnsi="Times New Roman" w:cs="Times New Roman"/>
        </w:rPr>
        <w:t>requires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evaluation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effect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market </w:t>
      </w:r>
      <w:proofErr w:type="spellStart"/>
      <w:r w:rsidRPr="00705170">
        <w:rPr>
          <w:rFonts w:ascii="Times New Roman" w:hAnsi="Times New Roman" w:cs="Times New Roman"/>
        </w:rPr>
        <w:t>law’s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mandate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008006A1" w:rsidRPr="00705170">
        <w:rPr>
          <w:rFonts w:ascii="Times New Roman" w:hAnsi="Times New Roman" w:cs="Times New Roman"/>
        </w:rPr>
        <w:t>Turkish</w:t>
      </w:r>
      <w:proofErr w:type="spellEnd"/>
      <w:r w:rsidR="008006A1" w:rsidRPr="00705170">
        <w:rPr>
          <w:rFonts w:ascii="Times New Roman" w:hAnsi="Times New Roman" w:cs="Times New Roman"/>
        </w:rPr>
        <w:t xml:space="preserve"> </w:t>
      </w:r>
      <w:proofErr w:type="spellStart"/>
      <w:r w:rsidR="008006A1" w:rsidRPr="00705170">
        <w:rPr>
          <w:rFonts w:ascii="Times New Roman" w:hAnsi="Times New Roman" w:cs="Times New Roman"/>
        </w:rPr>
        <w:t>capital</w:t>
      </w:r>
      <w:proofErr w:type="spellEnd"/>
      <w:r w:rsidR="008006A1" w:rsidRPr="00705170">
        <w:rPr>
          <w:rFonts w:ascii="Times New Roman" w:hAnsi="Times New Roman" w:cs="Times New Roman"/>
        </w:rPr>
        <w:t xml:space="preserve"> market </w:t>
      </w:r>
      <w:proofErr w:type="spellStart"/>
      <w:r w:rsidR="008006A1" w:rsidRPr="00705170">
        <w:rPr>
          <w:rFonts w:ascii="Times New Roman" w:hAnsi="Times New Roman" w:cs="Times New Roman"/>
        </w:rPr>
        <w:t>law</w:t>
      </w:r>
      <w:proofErr w:type="spellEnd"/>
      <w:r w:rsidR="008006A1" w:rsidRPr="00705170">
        <w:rPr>
          <w:rFonts w:ascii="Times New Roman" w:hAnsi="Times New Roman" w:cs="Times New Roman"/>
        </w:rPr>
        <w:t xml:space="preserve">, </w:t>
      </w:r>
      <w:proofErr w:type="spellStart"/>
      <w:r w:rsidR="008006A1" w:rsidRPr="00705170">
        <w:rPr>
          <w:rFonts w:ascii="Times New Roman" w:hAnsi="Times New Roman" w:cs="Times New Roman"/>
        </w:rPr>
        <w:t>ex</w:t>
      </w:r>
      <w:proofErr w:type="spellEnd"/>
      <w:r w:rsidR="008006A1" w:rsidRPr="00705170">
        <w:rPr>
          <w:rFonts w:ascii="Times New Roman" w:hAnsi="Times New Roman" w:cs="Times New Roman"/>
        </w:rPr>
        <w:t xml:space="preserve"> </w:t>
      </w:r>
      <w:proofErr w:type="spellStart"/>
      <w:r w:rsidR="008006A1" w:rsidRPr="00705170">
        <w:rPr>
          <w:rFonts w:ascii="Times New Roman" w:hAnsi="Times New Roman" w:cs="Times New Roman"/>
        </w:rPr>
        <w:t>ante</w:t>
      </w:r>
      <w:proofErr w:type="spellEnd"/>
      <w:r w:rsidR="008006A1" w:rsidRPr="00705170">
        <w:rPr>
          <w:rFonts w:ascii="Times New Roman" w:hAnsi="Times New Roman" w:cs="Times New Roman"/>
        </w:rPr>
        <w:t xml:space="preserve">, </w:t>
      </w:r>
      <w:proofErr w:type="spellStart"/>
      <w:r w:rsidR="007B0408" w:rsidRPr="00705170">
        <w:rPr>
          <w:rFonts w:ascii="Times New Roman" w:hAnsi="Times New Roman" w:cs="Times New Roman"/>
        </w:rPr>
        <w:t>requires</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issuers</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to</w:t>
      </w:r>
      <w:proofErr w:type="spellEnd"/>
      <w:r w:rsidR="007B0408" w:rsidRPr="00705170">
        <w:rPr>
          <w:rFonts w:ascii="Times New Roman" w:hAnsi="Times New Roman" w:cs="Times New Roman"/>
        </w:rPr>
        <w:t xml:space="preserve"> </w:t>
      </w:r>
      <w:proofErr w:type="spellStart"/>
      <w:r w:rsidR="009C3C73" w:rsidRPr="00705170">
        <w:rPr>
          <w:rFonts w:ascii="Times New Roman" w:hAnsi="Times New Roman" w:cs="Times New Roman"/>
        </w:rPr>
        <w:t>disclose</w:t>
      </w:r>
      <w:proofErr w:type="spellEnd"/>
      <w:r w:rsidR="009C3C73" w:rsidRPr="00705170">
        <w:rPr>
          <w:rFonts w:ascii="Times New Roman" w:hAnsi="Times New Roman" w:cs="Times New Roman"/>
        </w:rPr>
        <w:t xml:space="preserve"> </w:t>
      </w:r>
      <w:proofErr w:type="spellStart"/>
      <w:r w:rsidR="007B0408" w:rsidRPr="00705170">
        <w:rPr>
          <w:rFonts w:ascii="Times New Roman" w:hAnsi="Times New Roman" w:cs="Times New Roman"/>
        </w:rPr>
        <w:t>the</w:t>
      </w:r>
      <w:proofErr w:type="spellEnd"/>
      <w:r w:rsidR="007B0408" w:rsidRPr="00705170">
        <w:rPr>
          <w:rFonts w:ascii="Times New Roman" w:hAnsi="Times New Roman" w:cs="Times New Roman"/>
        </w:rPr>
        <w:t xml:space="preserve"> </w:t>
      </w:r>
      <w:proofErr w:type="spellStart"/>
      <w:r w:rsidR="00A9706F" w:rsidRPr="00705170">
        <w:rPr>
          <w:rFonts w:ascii="Times New Roman" w:hAnsi="Times New Roman" w:cs="Times New Roman"/>
        </w:rPr>
        <w:t>information</w:t>
      </w:r>
      <w:proofErr w:type="spellEnd"/>
      <w:r w:rsidR="00A9706F" w:rsidRPr="00705170">
        <w:rPr>
          <w:rFonts w:ascii="Times New Roman" w:hAnsi="Times New Roman" w:cs="Times New Roman"/>
        </w:rPr>
        <w:t xml:space="preserve"> </w:t>
      </w:r>
      <w:proofErr w:type="spellStart"/>
      <w:r w:rsidR="00A9706F" w:rsidRPr="00705170">
        <w:rPr>
          <w:rFonts w:ascii="Times New Roman" w:hAnsi="Times New Roman" w:cs="Times New Roman"/>
        </w:rPr>
        <w:t>legally</w:t>
      </w:r>
      <w:proofErr w:type="spellEnd"/>
      <w:r w:rsidR="00A9706F" w:rsidRPr="00705170">
        <w:rPr>
          <w:rFonts w:ascii="Times New Roman" w:hAnsi="Times New Roman" w:cs="Times New Roman"/>
        </w:rPr>
        <w:t xml:space="preserve"> </w:t>
      </w:r>
      <w:proofErr w:type="spellStart"/>
      <w:r w:rsidR="00A9706F" w:rsidRPr="00705170">
        <w:rPr>
          <w:rFonts w:ascii="Times New Roman" w:hAnsi="Times New Roman" w:cs="Times New Roman"/>
        </w:rPr>
        <w:t>required</w:t>
      </w:r>
      <w:proofErr w:type="spellEnd"/>
      <w:r w:rsidR="00A9706F" w:rsidRPr="00705170">
        <w:rPr>
          <w:rFonts w:ascii="Times New Roman" w:hAnsi="Times New Roman" w:cs="Times New Roman"/>
        </w:rPr>
        <w:t xml:space="preserve"> </w:t>
      </w:r>
      <w:proofErr w:type="spellStart"/>
      <w:r w:rsidR="00A9706F" w:rsidRPr="00705170">
        <w:rPr>
          <w:rFonts w:ascii="Times New Roman" w:hAnsi="Times New Roman" w:cs="Times New Roman"/>
        </w:rPr>
        <w:t>to</w:t>
      </w:r>
      <w:proofErr w:type="spellEnd"/>
      <w:r w:rsidR="00A9706F" w:rsidRPr="00705170">
        <w:rPr>
          <w:rFonts w:ascii="Times New Roman" w:hAnsi="Times New Roman" w:cs="Times New Roman"/>
        </w:rPr>
        <w:t xml:space="preserve"> </w:t>
      </w:r>
      <w:proofErr w:type="spellStart"/>
      <w:r w:rsidR="00A9706F" w:rsidRPr="00705170">
        <w:rPr>
          <w:rFonts w:ascii="Times New Roman" w:hAnsi="Times New Roman" w:cs="Times New Roman"/>
        </w:rPr>
        <w:t>disclose</w:t>
      </w:r>
      <w:proofErr w:type="spellEnd"/>
      <w:r w:rsidR="00A9706F" w:rsidRPr="00705170">
        <w:rPr>
          <w:rFonts w:ascii="Times New Roman" w:hAnsi="Times New Roman" w:cs="Times New Roman"/>
        </w:rPr>
        <w:t xml:space="preserve"> </w:t>
      </w:r>
      <w:proofErr w:type="spellStart"/>
      <w:r w:rsidR="00A9706F" w:rsidRPr="00705170">
        <w:rPr>
          <w:rFonts w:ascii="Times New Roman" w:hAnsi="Times New Roman" w:cs="Times New Roman"/>
        </w:rPr>
        <w:t>through</w:t>
      </w:r>
      <w:proofErr w:type="spellEnd"/>
      <w:r w:rsidR="00A9706F" w:rsidRPr="00705170">
        <w:rPr>
          <w:rFonts w:ascii="Times New Roman" w:hAnsi="Times New Roman" w:cs="Times New Roman"/>
        </w:rPr>
        <w:t xml:space="preserve"> </w:t>
      </w:r>
      <w:proofErr w:type="spellStart"/>
      <w:r w:rsidR="00A9706F" w:rsidRPr="00705170">
        <w:rPr>
          <w:rFonts w:ascii="Times New Roman" w:hAnsi="Times New Roman" w:cs="Times New Roman"/>
        </w:rPr>
        <w:t>the</w:t>
      </w:r>
      <w:proofErr w:type="spellEnd"/>
      <w:r w:rsidR="00A9706F" w:rsidRPr="00705170">
        <w:rPr>
          <w:rFonts w:ascii="Times New Roman" w:hAnsi="Times New Roman" w:cs="Times New Roman"/>
        </w:rPr>
        <w:t xml:space="preserve"> </w:t>
      </w:r>
      <w:proofErr w:type="spellStart"/>
      <w:r w:rsidR="00A9706F" w:rsidRPr="00705170">
        <w:rPr>
          <w:rFonts w:ascii="Times New Roman" w:hAnsi="Times New Roman" w:cs="Times New Roman"/>
        </w:rPr>
        <w:t>public</w:t>
      </w:r>
      <w:proofErr w:type="spellEnd"/>
      <w:r w:rsidR="00A9706F" w:rsidRPr="00705170">
        <w:rPr>
          <w:rFonts w:ascii="Times New Roman" w:hAnsi="Times New Roman" w:cs="Times New Roman"/>
        </w:rPr>
        <w:t xml:space="preserve"> </w:t>
      </w:r>
      <w:proofErr w:type="spellStart"/>
      <w:r w:rsidR="00A9706F" w:rsidRPr="00705170">
        <w:rPr>
          <w:rFonts w:ascii="Times New Roman" w:hAnsi="Times New Roman" w:cs="Times New Roman"/>
        </w:rPr>
        <w:t>disclosure</w:t>
      </w:r>
      <w:proofErr w:type="spellEnd"/>
      <w:r w:rsidR="00A9706F" w:rsidRPr="00705170">
        <w:rPr>
          <w:rFonts w:ascii="Times New Roman" w:hAnsi="Times New Roman" w:cs="Times New Roman"/>
        </w:rPr>
        <w:t xml:space="preserve"> platform (CML </w:t>
      </w:r>
      <w:proofErr w:type="spellStart"/>
      <w:r w:rsidR="00A9706F" w:rsidRPr="00705170">
        <w:rPr>
          <w:rFonts w:ascii="Times New Roman" w:hAnsi="Times New Roman" w:cs="Times New Roman"/>
        </w:rPr>
        <w:t>Article</w:t>
      </w:r>
      <w:proofErr w:type="spellEnd"/>
      <w:r w:rsidR="00A9706F" w:rsidRPr="00705170">
        <w:rPr>
          <w:rFonts w:ascii="Times New Roman" w:hAnsi="Times New Roman" w:cs="Times New Roman"/>
        </w:rPr>
        <w:t xml:space="preserve"> 3(1</w:t>
      </w:r>
      <w:r w:rsidR="008006A1" w:rsidRPr="00705170">
        <w:rPr>
          <w:rFonts w:ascii="Times New Roman" w:hAnsi="Times New Roman" w:cs="Times New Roman"/>
        </w:rPr>
        <w:t xml:space="preserve">)(k)). </w:t>
      </w:r>
      <w:proofErr w:type="spellStart"/>
      <w:r w:rsidR="008006A1" w:rsidRPr="00705170">
        <w:rPr>
          <w:rFonts w:ascii="Times New Roman" w:hAnsi="Times New Roman" w:cs="Times New Roman"/>
        </w:rPr>
        <w:t>Accordingly</w:t>
      </w:r>
      <w:proofErr w:type="spellEnd"/>
      <w:r w:rsidR="008006A1" w:rsidRPr="00705170">
        <w:rPr>
          <w:rFonts w:ascii="Times New Roman" w:hAnsi="Times New Roman" w:cs="Times New Roman"/>
        </w:rPr>
        <w:t xml:space="preserve">, it </w:t>
      </w:r>
      <w:proofErr w:type="spellStart"/>
      <w:r w:rsidR="008006A1" w:rsidRPr="00705170">
        <w:rPr>
          <w:rFonts w:ascii="Times New Roman" w:hAnsi="Times New Roman" w:cs="Times New Roman"/>
        </w:rPr>
        <w:t>brings</w:t>
      </w:r>
      <w:proofErr w:type="spellEnd"/>
      <w:r w:rsidR="008006A1" w:rsidRPr="00705170">
        <w:rPr>
          <w:rFonts w:ascii="Times New Roman" w:hAnsi="Times New Roman" w:cs="Times New Roman"/>
        </w:rPr>
        <w:t xml:space="preserve"> </w:t>
      </w:r>
      <w:proofErr w:type="spellStart"/>
      <w:r w:rsidR="008006A1" w:rsidRPr="00705170">
        <w:rPr>
          <w:rFonts w:ascii="Times New Roman" w:hAnsi="Times New Roman" w:cs="Times New Roman"/>
        </w:rPr>
        <w:t>ex</w:t>
      </w:r>
      <w:proofErr w:type="spellEnd"/>
      <w:r w:rsidR="008006A1" w:rsidRPr="00705170">
        <w:rPr>
          <w:rFonts w:ascii="Times New Roman" w:hAnsi="Times New Roman" w:cs="Times New Roman"/>
        </w:rPr>
        <w:t xml:space="preserve"> post </w:t>
      </w:r>
      <w:proofErr w:type="spellStart"/>
      <w:r w:rsidR="008006A1" w:rsidRPr="00705170">
        <w:rPr>
          <w:rFonts w:ascii="Times New Roman" w:hAnsi="Times New Roman" w:cs="Times New Roman"/>
        </w:rPr>
        <w:t>liability</w:t>
      </w:r>
      <w:proofErr w:type="spellEnd"/>
      <w:r w:rsidR="008006A1" w:rsidRPr="00705170">
        <w:rPr>
          <w:rFonts w:ascii="Times New Roman" w:hAnsi="Times New Roman" w:cs="Times New Roman"/>
        </w:rPr>
        <w:t xml:space="preserve">, </w:t>
      </w:r>
      <w:proofErr w:type="spellStart"/>
      <w:r w:rsidR="008006A1" w:rsidRPr="00705170">
        <w:rPr>
          <w:rFonts w:ascii="Times New Roman" w:hAnsi="Times New Roman" w:cs="Times New Roman"/>
        </w:rPr>
        <w:t>and</w:t>
      </w:r>
      <w:proofErr w:type="spellEnd"/>
      <w:r w:rsidR="008006A1" w:rsidRPr="00705170">
        <w:rPr>
          <w:rFonts w:ascii="Times New Roman" w:hAnsi="Times New Roman" w:cs="Times New Roman"/>
        </w:rPr>
        <w:t xml:space="preserve"> </w:t>
      </w:r>
      <w:proofErr w:type="spellStart"/>
      <w:r w:rsidR="008006A1" w:rsidRPr="00705170">
        <w:rPr>
          <w:rFonts w:ascii="Times New Roman" w:hAnsi="Times New Roman" w:cs="Times New Roman"/>
        </w:rPr>
        <w:t>imposes</w:t>
      </w:r>
      <w:proofErr w:type="spellEnd"/>
      <w:r w:rsidR="00A9706F" w:rsidRPr="00705170">
        <w:rPr>
          <w:rFonts w:ascii="Times New Roman" w:hAnsi="Times New Roman" w:cs="Times New Roman"/>
        </w:rPr>
        <w:t xml:space="preserve"> </w:t>
      </w:r>
      <w:r w:rsidR="0062377C" w:rsidRPr="00705170">
        <w:rPr>
          <w:rFonts w:ascii="Times New Roman" w:hAnsi="Times New Roman" w:cs="Times New Roman"/>
        </w:rPr>
        <w:t xml:space="preserve">legal </w:t>
      </w:r>
      <w:proofErr w:type="spellStart"/>
      <w:r w:rsidR="0062377C" w:rsidRPr="00705170">
        <w:rPr>
          <w:rFonts w:ascii="Times New Roman" w:hAnsi="Times New Roman" w:cs="Times New Roman"/>
        </w:rPr>
        <w:t>responsibility</w:t>
      </w:r>
      <w:proofErr w:type="spellEnd"/>
      <w:r w:rsidR="0062377C" w:rsidRPr="00705170">
        <w:rPr>
          <w:rFonts w:ascii="Times New Roman" w:hAnsi="Times New Roman" w:cs="Times New Roman"/>
        </w:rPr>
        <w:t xml:space="preserve"> on </w:t>
      </w:r>
      <w:proofErr w:type="spellStart"/>
      <w:r w:rsidR="0062377C" w:rsidRPr="00705170">
        <w:rPr>
          <w:rFonts w:ascii="Times New Roman" w:hAnsi="Times New Roman" w:cs="Times New Roman"/>
        </w:rPr>
        <w:t>persons</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responsible</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for</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the</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disclosures</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required</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by</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the</w:t>
      </w:r>
      <w:proofErr w:type="spellEnd"/>
      <w:r w:rsidR="0062377C" w:rsidRPr="00705170">
        <w:rPr>
          <w:rFonts w:ascii="Times New Roman" w:hAnsi="Times New Roman" w:cs="Times New Roman"/>
        </w:rPr>
        <w:t xml:space="preserve"> CML (CML </w:t>
      </w:r>
      <w:proofErr w:type="spellStart"/>
      <w:r w:rsidR="0062377C" w:rsidRPr="00705170">
        <w:rPr>
          <w:rFonts w:ascii="Times New Roman" w:hAnsi="Times New Roman" w:cs="Times New Roman"/>
        </w:rPr>
        <w:t>Article</w:t>
      </w:r>
      <w:proofErr w:type="spellEnd"/>
      <w:r w:rsidR="0062377C" w:rsidRPr="00705170">
        <w:rPr>
          <w:rFonts w:ascii="Times New Roman" w:hAnsi="Times New Roman" w:cs="Times New Roman"/>
        </w:rPr>
        <w:t xml:space="preserve"> 32), i</w:t>
      </w:r>
      <w:r w:rsidR="00970ACC" w:rsidRPr="00705170">
        <w:rPr>
          <w:rFonts w:ascii="Times New Roman" w:hAnsi="Times New Roman" w:cs="Times New Roman"/>
        </w:rPr>
        <w:t xml:space="preserve">n </w:t>
      </w:r>
      <w:proofErr w:type="spellStart"/>
      <w:r w:rsidR="00970ACC" w:rsidRPr="00705170">
        <w:rPr>
          <w:rFonts w:ascii="Times New Roman" w:hAnsi="Times New Roman" w:cs="Times New Roman"/>
        </w:rPr>
        <w:t>addition</w:t>
      </w:r>
      <w:proofErr w:type="spellEnd"/>
      <w:r w:rsidR="00970ACC" w:rsidRPr="00705170">
        <w:rPr>
          <w:rFonts w:ascii="Times New Roman" w:hAnsi="Times New Roman" w:cs="Times New Roman"/>
        </w:rPr>
        <w:t xml:space="preserve"> </w:t>
      </w:r>
      <w:proofErr w:type="spellStart"/>
      <w:r w:rsidR="00970ACC" w:rsidRPr="00705170">
        <w:rPr>
          <w:rFonts w:ascii="Times New Roman" w:hAnsi="Times New Roman" w:cs="Times New Roman"/>
        </w:rPr>
        <w:t>to</w:t>
      </w:r>
      <w:proofErr w:type="spellEnd"/>
      <w:r w:rsidR="00970ACC" w:rsidRPr="00705170">
        <w:rPr>
          <w:rFonts w:ascii="Times New Roman" w:hAnsi="Times New Roman" w:cs="Times New Roman"/>
        </w:rPr>
        <w:t xml:space="preserve"> </w:t>
      </w:r>
      <w:proofErr w:type="spellStart"/>
      <w:r w:rsidR="00970ACC" w:rsidRPr="00705170">
        <w:rPr>
          <w:rFonts w:ascii="Times New Roman" w:hAnsi="Times New Roman" w:cs="Times New Roman"/>
        </w:rPr>
        <w:t>the</w:t>
      </w:r>
      <w:proofErr w:type="spellEnd"/>
      <w:r w:rsidR="00970ACC" w:rsidRPr="00705170">
        <w:rPr>
          <w:rFonts w:ascii="Times New Roman" w:hAnsi="Times New Roman" w:cs="Times New Roman"/>
        </w:rPr>
        <w:t xml:space="preserve"> </w:t>
      </w:r>
      <w:proofErr w:type="spellStart"/>
      <w:r w:rsidR="00970ACC" w:rsidRPr="00705170">
        <w:rPr>
          <w:rFonts w:ascii="Times New Roman" w:hAnsi="Times New Roman" w:cs="Times New Roman"/>
        </w:rPr>
        <w:t>responsibilities</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concerning</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the</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disclosures</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made</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due</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to</w:t>
      </w:r>
      <w:proofErr w:type="spellEnd"/>
      <w:r w:rsidR="0062377C" w:rsidRPr="00705170">
        <w:rPr>
          <w:rFonts w:ascii="Times New Roman" w:hAnsi="Times New Roman" w:cs="Times New Roman"/>
        </w:rPr>
        <w:t xml:space="preserve"> </w:t>
      </w:r>
      <w:proofErr w:type="spellStart"/>
      <w:r w:rsidR="0062377C" w:rsidRPr="00705170">
        <w:rPr>
          <w:rFonts w:ascii="Times New Roman" w:hAnsi="Times New Roman" w:cs="Times New Roman"/>
        </w:rPr>
        <w:t>issuance</w:t>
      </w:r>
      <w:proofErr w:type="spellEnd"/>
      <w:r w:rsidR="0062377C" w:rsidRPr="00705170">
        <w:rPr>
          <w:rFonts w:ascii="Times New Roman" w:hAnsi="Times New Roman" w:cs="Times New Roman"/>
        </w:rPr>
        <w:t xml:space="preserve"> of </w:t>
      </w:r>
      <w:proofErr w:type="spellStart"/>
      <w:r w:rsidR="0062377C" w:rsidRPr="00705170">
        <w:rPr>
          <w:rFonts w:ascii="Times New Roman" w:hAnsi="Times New Roman" w:cs="Times New Roman"/>
        </w:rPr>
        <w:t>capital</w:t>
      </w:r>
      <w:proofErr w:type="spellEnd"/>
      <w:r w:rsidR="0062377C" w:rsidRPr="00705170">
        <w:rPr>
          <w:rFonts w:ascii="Times New Roman" w:hAnsi="Times New Roman" w:cs="Times New Roman"/>
        </w:rPr>
        <w:t xml:space="preserve"> market </w:t>
      </w:r>
      <w:proofErr w:type="spellStart"/>
      <w:r w:rsidR="0062377C" w:rsidRPr="00705170">
        <w:rPr>
          <w:rFonts w:ascii="Times New Roman" w:hAnsi="Times New Roman" w:cs="Times New Roman"/>
        </w:rPr>
        <w:t>instrument</w:t>
      </w:r>
      <w:r w:rsidR="00970ACC" w:rsidRPr="00705170">
        <w:rPr>
          <w:rFonts w:ascii="Times New Roman" w:hAnsi="Times New Roman" w:cs="Times New Roman"/>
        </w:rPr>
        <w:t>s</w:t>
      </w:r>
      <w:proofErr w:type="spellEnd"/>
      <w:r w:rsidR="0062377C" w:rsidRPr="00705170">
        <w:rPr>
          <w:rFonts w:ascii="Times New Roman" w:hAnsi="Times New Roman" w:cs="Times New Roman"/>
        </w:rPr>
        <w:t xml:space="preserve"> (CML </w:t>
      </w:r>
      <w:proofErr w:type="spellStart"/>
      <w:r w:rsidR="0062377C" w:rsidRPr="00705170">
        <w:rPr>
          <w:rFonts w:ascii="Times New Roman" w:hAnsi="Times New Roman" w:cs="Times New Roman"/>
        </w:rPr>
        <w:t>Article</w:t>
      </w:r>
      <w:proofErr w:type="spellEnd"/>
      <w:r w:rsidR="0062377C" w:rsidRPr="00705170">
        <w:rPr>
          <w:rFonts w:ascii="Times New Roman" w:hAnsi="Times New Roman" w:cs="Times New Roman"/>
        </w:rPr>
        <w:t xml:space="preserve"> 10 </w:t>
      </w:r>
      <w:proofErr w:type="spellStart"/>
      <w:r w:rsidR="0062377C" w:rsidRPr="00705170">
        <w:rPr>
          <w:rFonts w:ascii="Times New Roman" w:hAnsi="Times New Roman" w:cs="Times New Roman"/>
        </w:rPr>
        <w:t>and</w:t>
      </w:r>
      <w:proofErr w:type="spellEnd"/>
      <w:r w:rsidR="0062377C" w:rsidRPr="00705170">
        <w:rPr>
          <w:rFonts w:ascii="Times New Roman" w:hAnsi="Times New Roman" w:cs="Times New Roman"/>
        </w:rPr>
        <w:t xml:space="preserve"> 11).</w:t>
      </w:r>
      <w:r w:rsidR="00F821BF" w:rsidRPr="00705170">
        <w:rPr>
          <w:rFonts w:ascii="Times New Roman" w:hAnsi="Times New Roman" w:cs="Times New Roman"/>
        </w:rPr>
        <w:t xml:space="preserve"> </w:t>
      </w:r>
      <w:proofErr w:type="spellStart"/>
      <w:r w:rsidR="00FE1895" w:rsidRPr="00705170">
        <w:rPr>
          <w:rFonts w:ascii="Times New Roman" w:hAnsi="Times New Roman" w:cs="Times New Roman"/>
        </w:rPr>
        <w:t>In</w:t>
      </w:r>
      <w:proofErr w:type="spellEnd"/>
      <w:r w:rsidR="00FE1895" w:rsidRPr="00705170">
        <w:rPr>
          <w:rFonts w:ascii="Times New Roman" w:hAnsi="Times New Roman" w:cs="Times New Roman"/>
        </w:rPr>
        <w:t xml:space="preserve"> </w:t>
      </w:r>
      <w:proofErr w:type="spellStart"/>
      <w:r w:rsidR="00FE1895" w:rsidRPr="00705170">
        <w:rPr>
          <w:rFonts w:ascii="Times New Roman" w:hAnsi="Times New Roman" w:cs="Times New Roman"/>
        </w:rPr>
        <w:t>practice</w:t>
      </w:r>
      <w:proofErr w:type="spellEnd"/>
      <w:r w:rsidR="00FE1895" w:rsidRPr="00705170">
        <w:rPr>
          <w:rFonts w:ascii="Times New Roman" w:hAnsi="Times New Roman" w:cs="Times New Roman"/>
        </w:rPr>
        <w:t xml:space="preserve">, </w:t>
      </w:r>
      <w:proofErr w:type="spellStart"/>
      <w:r w:rsidR="00FE1895" w:rsidRPr="00705170">
        <w:rPr>
          <w:rFonts w:ascii="Times New Roman" w:hAnsi="Times New Roman" w:cs="Times New Roman"/>
        </w:rPr>
        <w:t>there</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are</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two</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types</w:t>
      </w:r>
      <w:proofErr w:type="spellEnd"/>
      <w:r w:rsidR="00C95179" w:rsidRPr="00705170">
        <w:rPr>
          <w:rFonts w:ascii="Times New Roman" w:hAnsi="Times New Roman" w:cs="Times New Roman"/>
        </w:rPr>
        <w:t xml:space="preserve"> of </w:t>
      </w:r>
      <w:proofErr w:type="spellStart"/>
      <w:r w:rsidR="00C95179" w:rsidRPr="00705170">
        <w:rPr>
          <w:rFonts w:ascii="Times New Roman" w:hAnsi="Times New Roman" w:cs="Times New Roman"/>
        </w:rPr>
        <w:t>disclosures</w:t>
      </w:r>
      <w:proofErr w:type="spellEnd"/>
      <w:r w:rsidR="00C95179" w:rsidRPr="00705170">
        <w:rPr>
          <w:rFonts w:ascii="Times New Roman" w:hAnsi="Times New Roman" w:cs="Times New Roman"/>
        </w:rPr>
        <w:t xml:space="preserve"> in</w:t>
      </w:r>
      <w:r w:rsidR="003E453C" w:rsidRPr="00705170">
        <w:rPr>
          <w:rFonts w:ascii="Times New Roman" w:hAnsi="Times New Roman" w:cs="Times New Roman"/>
        </w:rPr>
        <w:t xml:space="preserve"> </w:t>
      </w:r>
      <w:proofErr w:type="spellStart"/>
      <w:r w:rsidR="003E453C" w:rsidRPr="00705170">
        <w:rPr>
          <w:rFonts w:ascii="Times New Roman" w:hAnsi="Times New Roman" w:cs="Times New Roman"/>
        </w:rPr>
        <w:t>Turkish</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capital</w:t>
      </w:r>
      <w:proofErr w:type="spellEnd"/>
      <w:r w:rsidR="00C95179" w:rsidRPr="00705170">
        <w:rPr>
          <w:rFonts w:ascii="Times New Roman" w:hAnsi="Times New Roman" w:cs="Times New Roman"/>
        </w:rPr>
        <w:t xml:space="preserve"> market </w:t>
      </w:r>
      <w:proofErr w:type="spellStart"/>
      <w:r w:rsidR="00C95179" w:rsidRPr="00705170">
        <w:rPr>
          <w:rFonts w:ascii="Times New Roman" w:hAnsi="Times New Roman" w:cs="Times New Roman"/>
        </w:rPr>
        <w:t>law</w:t>
      </w:r>
      <w:proofErr w:type="spellEnd"/>
      <w:r w:rsidR="00C95179" w:rsidRPr="00705170">
        <w:rPr>
          <w:rFonts w:ascii="Times New Roman" w:hAnsi="Times New Roman" w:cs="Times New Roman"/>
        </w:rPr>
        <w:t xml:space="preserve">: (1) </w:t>
      </w:r>
      <w:proofErr w:type="spellStart"/>
      <w:r w:rsidR="00C95179" w:rsidRPr="00705170">
        <w:rPr>
          <w:rFonts w:ascii="Times New Roman" w:hAnsi="Times New Roman" w:cs="Times New Roman"/>
        </w:rPr>
        <w:t>disclosure</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related</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to</w:t>
      </w:r>
      <w:proofErr w:type="spellEnd"/>
      <w:r w:rsidR="00C95179" w:rsidRPr="00705170">
        <w:rPr>
          <w:rFonts w:ascii="Times New Roman" w:hAnsi="Times New Roman" w:cs="Times New Roman"/>
        </w:rPr>
        <w:t xml:space="preserve"> a </w:t>
      </w:r>
      <w:proofErr w:type="spellStart"/>
      <w:r w:rsidR="00C95179" w:rsidRPr="00705170">
        <w:rPr>
          <w:rFonts w:ascii="Times New Roman" w:hAnsi="Times New Roman" w:cs="Times New Roman"/>
        </w:rPr>
        <w:t>capital</w:t>
      </w:r>
      <w:proofErr w:type="spellEnd"/>
      <w:r w:rsidR="00C95179" w:rsidRPr="00705170">
        <w:rPr>
          <w:rFonts w:ascii="Times New Roman" w:hAnsi="Times New Roman" w:cs="Times New Roman"/>
        </w:rPr>
        <w:t xml:space="preserve"> market </w:t>
      </w:r>
      <w:proofErr w:type="spellStart"/>
      <w:r w:rsidR="00C95179" w:rsidRPr="00705170">
        <w:rPr>
          <w:rFonts w:ascii="Times New Roman" w:hAnsi="Times New Roman" w:cs="Times New Roman"/>
        </w:rPr>
        <w:t>instrument</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issuance</w:t>
      </w:r>
      <w:proofErr w:type="spellEnd"/>
      <w:r w:rsidR="00C95179" w:rsidRPr="00705170">
        <w:rPr>
          <w:rFonts w:ascii="Times New Roman" w:hAnsi="Times New Roman" w:cs="Times New Roman"/>
        </w:rPr>
        <w:t xml:space="preserve">, (2) </w:t>
      </w:r>
      <w:proofErr w:type="spellStart"/>
      <w:r w:rsidR="00C95179" w:rsidRPr="00705170">
        <w:rPr>
          <w:rFonts w:ascii="Times New Roman" w:hAnsi="Times New Roman" w:cs="Times New Roman"/>
        </w:rPr>
        <w:t>ongoing</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disclosure</w:t>
      </w:r>
      <w:proofErr w:type="spellEnd"/>
      <w:r w:rsidR="00007846" w:rsidRPr="00705170">
        <w:rPr>
          <w:rFonts w:ascii="Times New Roman" w:hAnsi="Times New Roman" w:cs="Times New Roman"/>
        </w:rPr>
        <w:t xml:space="preserve"> (</w:t>
      </w:r>
      <w:proofErr w:type="spellStart"/>
      <w:r w:rsidR="00007846" w:rsidRPr="00705170">
        <w:rPr>
          <w:rFonts w:ascii="Times New Roman" w:hAnsi="Times New Roman" w:cs="Times New Roman"/>
        </w:rPr>
        <w:t>based</w:t>
      </w:r>
      <w:proofErr w:type="spellEnd"/>
      <w:r w:rsidR="00007846" w:rsidRPr="00705170">
        <w:rPr>
          <w:rFonts w:ascii="Times New Roman" w:hAnsi="Times New Roman" w:cs="Times New Roman"/>
        </w:rPr>
        <w:t xml:space="preserve"> </w:t>
      </w:r>
      <w:r w:rsidR="00007846" w:rsidRPr="00705170">
        <w:rPr>
          <w:rFonts w:ascii="Times New Roman" w:hAnsi="Times New Roman" w:cs="Times New Roman"/>
        </w:rPr>
        <w:lastRenderedPageBreak/>
        <w:t xml:space="preserve">on </w:t>
      </w:r>
      <w:proofErr w:type="spellStart"/>
      <w:r w:rsidR="00C467D4" w:rsidRPr="00705170">
        <w:rPr>
          <w:rFonts w:ascii="Times New Roman" w:hAnsi="Times New Roman" w:cs="Times New Roman"/>
        </w:rPr>
        <w:t>current</w:t>
      </w:r>
      <w:proofErr w:type="spellEnd"/>
      <w:r w:rsidR="00C467D4" w:rsidRPr="00705170">
        <w:rPr>
          <w:rFonts w:ascii="Times New Roman" w:hAnsi="Times New Roman" w:cs="Times New Roman"/>
        </w:rPr>
        <w:t xml:space="preserve"> </w:t>
      </w:r>
      <w:proofErr w:type="spellStart"/>
      <w:r w:rsidR="00C467D4" w:rsidRPr="00705170">
        <w:rPr>
          <w:rFonts w:ascii="Times New Roman" w:hAnsi="Times New Roman" w:cs="Times New Roman"/>
        </w:rPr>
        <w:t>events</w:t>
      </w:r>
      <w:proofErr w:type="spellEnd"/>
      <w:r w:rsidR="00007846" w:rsidRPr="00705170">
        <w:rPr>
          <w:rFonts w:ascii="Times New Roman" w:hAnsi="Times New Roman" w:cs="Times New Roman"/>
        </w:rPr>
        <w:t xml:space="preserve">, </w:t>
      </w:r>
      <w:proofErr w:type="spellStart"/>
      <w:r w:rsidR="00007846" w:rsidRPr="00705170">
        <w:rPr>
          <w:rFonts w:ascii="Times New Roman" w:hAnsi="Times New Roman" w:cs="Times New Roman"/>
        </w:rPr>
        <w:t>periodic</w:t>
      </w:r>
      <w:proofErr w:type="spellEnd"/>
      <w:r w:rsidR="00617A2C" w:rsidRPr="00705170">
        <w:rPr>
          <w:rFonts w:ascii="Times New Roman" w:hAnsi="Times New Roman" w:cs="Times New Roman"/>
        </w:rPr>
        <w:t xml:space="preserve"> </w:t>
      </w:r>
      <w:proofErr w:type="spellStart"/>
      <w:r w:rsidR="00617A2C" w:rsidRPr="00705170">
        <w:rPr>
          <w:rFonts w:ascii="Times New Roman" w:hAnsi="Times New Roman" w:cs="Times New Roman"/>
        </w:rPr>
        <w:t>statements</w:t>
      </w:r>
      <w:proofErr w:type="spellEnd"/>
      <w:r w:rsidR="00617A2C" w:rsidRPr="00705170">
        <w:rPr>
          <w:rFonts w:ascii="Times New Roman" w:hAnsi="Times New Roman" w:cs="Times New Roman"/>
        </w:rPr>
        <w:t xml:space="preserve"> </w:t>
      </w:r>
      <w:proofErr w:type="spellStart"/>
      <w:r w:rsidR="00617A2C" w:rsidRPr="00705170">
        <w:rPr>
          <w:rFonts w:ascii="Times New Roman" w:hAnsi="Times New Roman" w:cs="Times New Roman"/>
        </w:rPr>
        <w:t>and</w:t>
      </w:r>
      <w:proofErr w:type="spellEnd"/>
      <w:r w:rsidR="00617A2C" w:rsidRPr="00705170">
        <w:rPr>
          <w:rFonts w:ascii="Times New Roman" w:hAnsi="Times New Roman" w:cs="Times New Roman"/>
        </w:rPr>
        <w:t xml:space="preserve"> </w:t>
      </w:r>
      <w:proofErr w:type="spellStart"/>
      <w:r w:rsidR="00617A2C" w:rsidRPr="00705170">
        <w:rPr>
          <w:rFonts w:ascii="Times New Roman" w:hAnsi="Times New Roman" w:cs="Times New Roman"/>
        </w:rPr>
        <w:t>specific</w:t>
      </w:r>
      <w:proofErr w:type="spellEnd"/>
      <w:r w:rsidR="00617A2C" w:rsidRPr="00705170">
        <w:rPr>
          <w:rFonts w:ascii="Times New Roman" w:hAnsi="Times New Roman" w:cs="Times New Roman"/>
        </w:rPr>
        <w:t xml:space="preserve"> </w:t>
      </w:r>
      <w:proofErr w:type="spellStart"/>
      <w:r w:rsidR="00617A2C" w:rsidRPr="00705170">
        <w:rPr>
          <w:rFonts w:ascii="Times New Roman" w:hAnsi="Times New Roman" w:cs="Times New Roman"/>
        </w:rPr>
        <w:t>events</w:t>
      </w:r>
      <w:proofErr w:type="spellEnd"/>
      <w:r w:rsidR="00007846" w:rsidRPr="00705170">
        <w:rPr>
          <w:rFonts w:ascii="Times New Roman" w:hAnsi="Times New Roman" w:cs="Times New Roman"/>
        </w:rPr>
        <w:t>)</w:t>
      </w:r>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Herein</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the</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ongoing</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disclosure</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requirements</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include</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both</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the</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events</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that</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the</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law</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mandates</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disclosure</w:t>
      </w:r>
      <w:proofErr w:type="spellEnd"/>
      <w:r w:rsidR="006B0E91" w:rsidRPr="00705170">
        <w:rPr>
          <w:rFonts w:ascii="Times New Roman" w:hAnsi="Times New Roman" w:cs="Times New Roman"/>
        </w:rPr>
        <w:t xml:space="preserve"> (</w:t>
      </w:r>
      <w:proofErr w:type="spellStart"/>
      <w:r w:rsidR="006B0E91" w:rsidRPr="00705170">
        <w:rPr>
          <w:rFonts w:ascii="Times New Roman" w:hAnsi="Times New Roman" w:cs="Times New Roman"/>
        </w:rPr>
        <w:t>such</w:t>
      </w:r>
      <w:proofErr w:type="spellEnd"/>
      <w:r w:rsidR="006B0E91" w:rsidRPr="00705170">
        <w:rPr>
          <w:rFonts w:ascii="Times New Roman" w:hAnsi="Times New Roman" w:cs="Times New Roman"/>
        </w:rPr>
        <w:t xml:space="preserve"> as</w:t>
      </w:r>
      <w:r w:rsidR="00061F56" w:rsidRPr="00705170">
        <w:rPr>
          <w:rFonts w:ascii="Times New Roman" w:hAnsi="Times New Roman" w:cs="Times New Roman"/>
        </w:rPr>
        <w:t xml:space="preserve"> </w:t>
      </w:r>
      <w:proofErr w:type="spellStart"/>
      <w:r w:rsidR="00061F56" w:rsidRPr="00705170">
        <w:rPr>
          <w:rFonts w:ascii="Times New Roman" w:hAnsi="Times New Roman" w:cs="Times New Roman"/>
        </w:rPr>
        <w:t>quarterly</w:t>
      </w:r>
      <w:proofErr w:type="spellEnd"/>
      <w:r w:rsidR="00061F56" w:rsidRPr="00705170">
        <w:rPr>
          <w:rFonts w:ascii="Times New Roman" w:hAnsi="Times New Roman" w:cs="Times New Roman"/>
        </w:rPr>
        <w:t xml:space="preserve"> </w:t>
      </w:r>
      <w:proofErr w:type="spellStart"/>
      <w:r w:rsidR="00061F56" w:rsidRPr="00705170">
        <w:rPr>
          <w:rFonts w:ascii="Times New Roman" w:hAnsi="Times New Roman" w:cs="Times New Roman"/>
        </w:rPr>
        <w:t>and</w:t>
      </w:r>
      <w:proofErr w:type="spellEnd"/>
      <w:r w:rsidR="00061F56" w:rsidRPr="00705170">
        <w:rPr>
          <w:rFonts w:ascii="Times New Roman" w:hAnsi="Times New Roman" w:cs="Times New Roman"/>
        </w:rPr>
        <w:t xml:space="preserve"> </w:t>
      </w:r>
      <w:proofErr w:type="spellStart"/>
      <w:r w:rsidR="00061F56" w:rsidRPr="00705170">
        <w:rPr>
          <w:rFonts w:ascii="Times New Roman" w:hAnsi="Times New Roman" w:cs="Times New Roman"/>
        </w:rPr>
        <w:t>yearly</w:t>
      </w:r>
      <w:proofErr w:type="spellEnd"/>
      <w:r w:rsidR="00C95179" w:rsidRPr="00705170">
        <w:rPr>
          <w:rFonts w:ascii="Times New Roman" w:hAnsi="Times New Roman" w:cs="Times New Roman"/>
        </w:rPr>
        <w:t xml:space="preserve"> </w:t>
      </w:r>
      <w:proofErr w:type="spellStart"/>
      <w:r w:rsidR="00C05C5B" w:rsidRPr="00705170">
        <w:rPr>
          <w:rFonts w:ascii="Times New Roman" w:hAnsi="Times New Roman" w:cs="Times New Roman"/>
        </w:rPr>
        <w:t>financial</w:t>
      </w:r>
      <w:proofErr w:type="spellEnd"/>
      <w:r w:rsidR="00C05C5B" w:rsidRPr="00705170">
        <w:rPr>
          <w:rFonts w:ascii="Times New Roman" w:hAnsi="Times New Roman" w:cs="Times New Roman"/>
        </w:rPr>
        <w:t xml:space="preserve"> </w:t>
      </w:r>
      <w:proofErr w:type="spellStart"/>
      <w:r w:rsidR="00C05C5B" w:rsidRPr="00705170">
        <w:rPr>
          <w:rFonts w:ascii="Times New Roman" w:hAnsi="Times New Roman" w:cs="Times New Roman"/>
        </w:rPr>
        <w:t>reports</w:t>
      </w:r>
      <w:proofErr w:type="spellEnd"/>
      <w:r w:rsidR="003E453C" w:rsidRPr="00705170">
        <w:rPr>
          <w:rFonts w:ascii="Times New Roman" w:hAnsi="Times New Roman" w:cs="Times New Roman"/>
        </w:rPr>
        <w:t xml:space="preserve"> (</w:t>
      </w:r>
      <w:proofErr w:type="spellStart"/>
      <w:r w:rsidR="003E453C" w:rsidRPr="00705170">
        <w:rPr>
          <w:rFonts w:ascii="Times New Roman" w:hAnsi="Times New Roman" w:cs="Times New Roman"/>
        </w:rPr>
        <w:t>Article</w:t>
      </w:r>
      <w:proofErr w:type="spellEnd"/>
      <w:r w:rsidR="003E453C" w:rsidRPr="00705170">
        <w:rPr>
          <w:rFonts w:ascii="Times New Roman" w:hAnsi="Times New Roman" w:cs="Times New Roman"/>
        </w:rPr>
        <w:t xml:space="preserve"> 14)</w:t>
      </w:r>
      <w:r w:rsidR="00A15435" w:rsidRPr="00705170">
        <w:rPr>
          <w:rFonts w:ascii="Times New Roman" w:hAnsi="Times New Roman" w:cs="Times New Roman"/>
        </w:rPr>
        <w:t xml:space="preserve">, </w:t>
      </w:r>
      <w:proofErr w:type="spellStart"/>
      <w:r w:rsidR="006B0E91" w:rsidRPr="00705170">
        <w:rPr>
          <w:rFonts w:ascii="Times New Roman" w:hAnsi="Times New Roman" w:cs="Times New Roman"/>
        </w:rPr>
        <w:t>related</w:t>
      </w:r>
      <w:proofErr w:type="spellEnd"/>
      <w:r w:rsidR="006B0E91" w:rsidRPr="00705170">
        <w:rPr>
          <w:rFonts w:ascii="Times New Roman" w:hAnsi="Times New Roman" w:cs="Times New Roman"/>
        </w:rPr>
        <w:t xml:space="preserve"> </w:t>
      </w:r>
      <w:proofErr w:type="spellStart"/>
      <w:r w:rsidR="006B0E91" w:rsidRPr="00705170">
        <w:rPr>
          <w:rFonts w:ascii="Times New Roman" w:hAnsi="Times New Roman" w:cs="Times New Roman"/>
        </w:rPr>
        <w:t>party</w:t>
      </w:r>
      <w:proofErr w:type="spellEnd"/>
      <w:r w:rsidR="006B0E91" w:rsidRPr="00705170">
        <w:rPr>
          <w:rFonts w:ascii="Times New Roman" w:hAnsi="Times New Roman" w:cs="Times New Roman"/>
        </w:rPr>
        <w:t xml:space="preserve"> </w:t>
      </w:r>
      <w:proofErr w:type="spellStart"/>
      <w:r w:rsidR="006B0E91" w:rsidRPr="00705170">
        <w:rPr>
          <w:rFonts w:ascii="Times New Roman" w:hAnsi="Times New Roman" w:cs="Times New Roman"/>
        </w:rPr>
        <w:t>transactions</w:t>
      </w:r>
      <w:proofErr w:type="spellEnd"/>
      <w:r w:rsidR="006B0E91" w:rsidRPr="00705170">
        <w:rPr>
          <w:rFonts w:ascii="Times New Roman" w:hAnsi="Times New Roman" w:cs="Times New Roman"/>
        </w:rPr>
        <w:t xml:space="preserve"> (</w:t>
      </w:r>
      <w:proofErr w:type="spellStart"/>
      <w:r w:rsidR="006B0E91" w:rsidRPr="00705170">
        <w:rPr>
          <w:rFonts w:ascii="Times New Roman" w:hAnsi="Times New Roman" w:cs="Times New Roman"/>
        </w:rPr>
        <w:t>Article</w:t>
      </w:r>
      <w:proofErr w:type="spellEnd"/>
      <w:r w:rsidR="006B0E91" w:rsidRPr="00705170">
        <w:rPr>
          <w:rFonts w:ascii="Times New Roman" w:hAnsi="Times New Roman" w:cs="Times New Roman"/>
        </w:rPr>
        <w:t xml:space="preserve"> 17</w:t>
      </w:r>
      <w:r w:rsidR="003E453C" w:rsidRPr="00705170">
        <w:rPr>
          <w:rFonts w:ascii="Times New Roman" w:hAnsi="Times New Roman" w:cs="Times New Roman"/>
        </w:rPr>
        <w:t>)</w:t>
      </w:r>
      <w:r w:rsidR="00C95179" w:rsidRPr="00705170">
        <w:rPr>
          <w:rFonts w:ascii="Times New Roman" w:hAnsi="Times New Roman" w:cs="Times New Roman"/>
        </w:rPr>
        <w:t xml:space="preserve">) </w:t>
      </w:r>
      <w:proofErr w:type="spellStart"/>
      <w:r w:rsidR="005E4FA5" w:rsidRPr="00705170">
        <w:rPr>
          <w:rFonts w:ascii="Times New Roman" w:hAnsi="Times New Roman" w:cs="Times New Roman"/>
        </w:rPr>
        <w:t>and</w:t>
      </w:r>
      <w:proofErr w:type="spellEnd"/>
      <w:r w:rsidR="005E4FA5" w:rsidRPr="00705170">
        <w:rPr>
          <w:rFonts w:ascii="Times New Roman" w:hAnsi="Times New Roman" w:cs="Times New Roman"/>
        </w:rPr>
        <w:t xml:space="preserve"> </w:t>
      </w:r>
      <w:proofErr w:type="spellStart"/>
      <w:r w:rsidR="005E4FA5" w:rsidRPr="00705170">
        <w:rPr>
          <w:rFonts w:ascii="Times New Roman" w:hAnsi="Times New Roman" w:cs="Times New Roman"/>
        </w:rPr>
        <w:t>the</w:t>
      </w:r>
      <w:proofErr w:type="spellEnd"/>
      <w:r w:rsidR="005E4FA5" w:rsidRPr="00705170">
        <w:rPr>
          <w:rFonts w:ascii="Times New Roman" w:hAnsi="Times New Roman" w:cs="Times New Roman"/>
        </w:rPr>
        <w:t xml:space="preserve"> </w:t>
      </w:r>
      <w:proofErr w:type="spellStart"/>
      <w:r w:rsidR="005E4FA5" w:rsidRPr="00705170">
        <w:rPr>
          <w:rFonts w:ascii="Times New Roman" w:hAnsi="Times New Roman" w:cs="Times New Roman"/>
        </w:rPr>
        <w:t>material</w:t>
      </w:r>
      <w:proofErr w:type="spellEnd"/>
      <w:r w:rsidR="005E4FA5" w:rsidRPr="00705170">
        <w:rPr>
          <w:rFonts w:ascii="Times New Roman" w:hAnsi="Times New Roman" w:cs="Times New Roman"/>
        </w:rPr>
        <w:t xml:space="preserve"> </w:t>
      </w:r>
      <w:proofErr w:type="spellStart"/>
      <w:r w:rsidR="005E4FA5" w:rsidRPr="00705170">
        <w:rPr>
          <w:rFonts w:ascii="Times New Roman" w:hAnsi="Times New Roman" w:cs="Times New Roman"/>
        </w:rPr>
        <w:t>events</w:t>
      </w:r>
      <w:proofErr w:type="spellEnd"/>
      <w:r w:rsidR="00C05C5B" w:rsidRPr="00705170">
        <w:rPr>
          <w:rFonts w:ascii="Times New Roman" w:hAnsi="Times New Roman" w:cs="Times New Roman"/>
        </w:rPr>
        <w:t xml:space="preserve"> (</w:t>
      </w:r>
      <w:proofErr w:type="spellStart"/>
      <w:r w:rsidR="00C05C5B" w:rsidRPr="00705170">
        <w:rPr>
          <w:rFonts w:ascii="Times New Roman" w:hAnsi="Times New Roman" w:cs="Times New Roman"/>
        </w:rPr>
        <w:t>Article</w:t>
      </w:r>
      <w:proofErr w:type="spellEnd"/>
      <w:r w:rsidR="00C05C5B" w:rsidRPr="00705170">
        <w:rPr>
          <w:rFonts w:ascii="Times New Roman" w:hAnsi="Times New Roman" w:cs="Times New Roman"/>
        </w:rPr>
        <w:t xml:space="preserve"> 15)</w:t>
      </w:r>
      <w:r w:rsidR="005E4FA5" w:rsidRPr="00705170">
        <w:rPr>
          <w:rFonts w:ascii="Times New Roman" w:hAnsi="Times New Roman" w:cs="Times New Roman"/>
        </w:rPr>
        <w:t xml:space="preserve">. </w:t>
      </w:r>
      <w:proofErr w:type="spellStart"/>
      <w:r w:rsidR="003E453C" w:rsidRPr="00705170">
        <w:rPr>
          <w:rFonts w:ascii="Times New Roman" w:hAnsi="Times New Roman" w:cs="Times New Roman"/>
        </w:rPr>
        <w:t>Therefore</w:t>
      </w:r>
      <w:proofErr w:type="spellEnd"/>
      <w:r w:rsidR="003E453C" w:rsidRPr="00705170">
        <w:rPr>
          <w:rFonts w:ascii="Times New Roman" w:hAnsi="Times New Roman" w:cs="Times New Roman"/>
        </w:rPr>
        <w:t xml:space="preserve">, </w:t>
      </w:r>
      <w:r w:rsidR="00C05C5B" w:rsidRPr="00705170">
        <w:rPr>
          <w:rFonts w:ascii="Times New Roman" w:hAnsi="Times New Roman" w:cs="Times New Roman"/>
        </w:rPr>
        <w:t xml:space="preserve">in </w:t>
      </w:r>
      <w:proofErr w:type="spellStart"/>
      <w:r w:rsidR="00C05C5B" w:rsidRPr="00705170">
        <w:rPr>
          <w:rFonts w:ascii="Times New Roman" w:hAnsi="Times New Roman" w:cs="Times New Roman"/>
        </w:rPr>
        <w:t>addition</w:t>
      </w:r>
      <w:proofErr w:type="spellEnd"/>
      <w:r w:rsidR="00C05C5B" w:rsidRPr="00705170">
        <w:rPr>
          <w:rFonts w:ascii="Times New Roman" w:hAnsi="Times New Roman" w:cs="Times New Roman"/>
        </w:rPr>
        <w:t xml:space="preserve"> </w:t>
      </w:r>
      <w:proofErr w:type="spellStart"/>
      <w:r w:rsidR="00C05C5B" w:rsidRPr="00705170">
        <w:rPr>
          <w:rFonts w:ascii="Times New Roman" w:hAnsi="Times New Roman" w:cs="Times New Roman"/>
        </w:rPr>
        <w:t>to</w:t>
      </w:r>
      <w:proofErr w:type="spellEnd"/>
      <w:r w:rsidR="00C05C5B" w:rsidRPr="00705170">
        <w:rPr>
          <w:rFonts w:ascii="Times New Roman" w:hAnsi="Times New Roman" w:cs="Times New Roman"/>
        </w:rPr>
        <w:t xml:space="preserve"> </w:t>
      </w:r>
      <w:proofErr w:type="spellStart"/>
      <w:r w:rsidR="00C05C5B" w:rsidRPr="00705170">
        <w:rPr>
          <w:rFonts w:ascii="Times New Roman" w:hAnsi="Times New Roman" w:cs="Times New Roman"/>
        </w:rPr>
        <w:t>the</w:t>
      </w:r>
      <w:proofErr w:type="spellEnd"/>
      <w:r w:rsidR="00C05C5B" w:rsidRPr="00705170">
        <w:rPr>
          <w:rFonts w:ascii="Times New Roman" w:hAnsi="Times New Roman" w:cs="Times New Roman"/>
        </w:rPr>
        <w:t xml:space="preserve"> </w:t>
      </w:r>
      <w:proofErr w:type="spellStart"/>
      <w:r w:rsidR="00C05C5B" w:rsidRPr="00705170">
        <w:rPr>
          <w:rFonts w:ascii="Times New Roman" w:hAnsi="Times New Roman" w:cs="Times New Roman"/>
        </w:rPr>
        <w:t>expressly</w:t>
      </w:r>
      <w:proofErr w:type="spellEnd"/>
      <w:r w:rsidR="00C05C5B" w:rsidRPr="00705170">
        <w:rPr>
          <w:rFonts w:ascii="Times New Roman" w:hAnsi="Times New Roman" w:cs="Times New Roman"/>
        </w:rPr>
        <w:t xml:space="preserve"> </w:t>
      </w:r>
      <w:proofErr w:type="spellStart"/>
      <w:r w:rsidR="00C05C5B" w:rsidRPr="00705170">
        <w:rPr>
          <w:rFonts w:ascii="Times New Roman" w:hAnsi="Times New Roman" w:cs="Times New Roman"/>
        </w:rPr>
        <w:t>pre</w:t>
      </w:r>
      <w:r w:rsidR="003E453C" w:rsidRPr="00705170">
        <w:rPr>
          <w:rFonts w:ascii="Times New Roman" w:hAnsi="Times New Roman" w:cs="Times New Roman"/>
        </w:rPr>
        <w:t>scribed</w:t>
      </w:r>
      <w:proofErr w:type="spellEnd"/>
      <w:r w:rsidR="003E453C" w:rsidRPr="00705170">
        <w:rPr>
          <w:rFonts w:ascii="Times New Roman" w:hAnsi="Times New Roman" w:cs="Times New Roman"/>
        </w:rPr>
        <w:t xml:space="preserve"> </w:t>
      </w:r>
      <w:proofErr w:type="spellStart"/>
      <w:r w:rsidR="003E453C" w:rsidRPr="00705170">
        <w:rPr>
          <w:rFonts w:ascii="Times New Roman" w:hAnsi="Times New Roman" w:cs="Times New Roman"/>
        </w:rPr>
        <w:t>events</w:t>
      </w:r>
      <w:proofErr w:type="spellEnd"/>
      <w:r w:rsidR="003E453C" w:rsidRPr="00705170">
        <w:rPr>
          <w:rFonts w:ascii="Times New Roman" w:hAnsi="Times New Roman" w:cs="Times New Roman"/>
        </w:rPr>
        <w:t xml:space="preserve"> </w:t>
      </w:r>
      <w:proofErr w:type="spellStart"/>
      <w:r w:rsidR="003E453C" w:rsidRPr="00705170">
        <w:rPr>
          <w:rFonts w:ascii="Times New Roman" w:hAnsi="Times New Roman" w:cs="Times New Roman"/>
        </w:rPr>
        <w:t>that</w:t>
      </w:r>
      <w:proofErr w:type="spellEnd"/>
      <w:r w:rsidR="003E453C" w:rsidRPr="00705170">
        <w:rPr>
          <w:rFonts w:ascii="Times New Roman" w:hAnsi="Times New Roman" w:cs="Times New Roman"/>
        </w:rPr>
        <w:t xml:space="preserve"> </w:t>
      </w:r>
      <w:proofErr w:type="spellStart"/>
      <w:r w:rsidR="003E453C" w:rsidRPr="00705170">
        <w:rPr>
          <w:rFonts w:ascii="Times New Roman" w:hAnsi="Times New Roman" w:cs="Times New Roman"/>
        </w:rPr>
        <w:t>should</w:t>
      </w:r>
      <w:proofErr w:type="spellEnd"/>
      <w:r w:rsidR="003E453C" w:rsidRPr="00705170">
        <w:rPr>
          <w:rFonts w:ascii="Times New Roman" w:hAnsi="Times New Roman" w:cs="Times New Roman"/>
        </w:rPr>
        <w:t xml:space="preserve"> be </w:t>
      </w:r>
      <w:proofErr w:type="spellStart"/>
      <w:r w:rsidR="003E453C" w:rsidRPr="00705170">
        <w:rPr>
          <w:rFonts w:ascii="Times New Roman" w:hAnsi="Times New Roman" w:cs="Times New Roman"/>
        </w:rPr>
        <w:t>disclosed</w:t>
      </w:r>
      <w:proofErr w:type="spellEnd"/>
      <w:r w:rsidR="003E453C" w:rsidRPr="00705170">
        <w:rPr>
          <w:rFonts w:ascii="Times New Roman" w:hAnsi="Times New Roman" w:cs="Times New Roman"/>
        </w:rPr>
        <w:t xml:space="preserve">, </w:t>
      </w:r>
      <w:proofErr w:type="spellStart"/>
      <w:r w:rsidR="00C95179" w:rsidRPr="00705170">
        <w:rPr>
          <w:rFonts w:ascii="Times New Roman" w:hAnsi="Times New Roman" w:cs="Times New Roman"/>
        </w:rPr>
        <w:t>CML’s</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disclosure</w:t>
      </w:r>
      <w:proofErr w:type="spellEnd"/>
      <w:r w:rsidR="00C95179" w:rsidRPr="00705170">
        <w:rPr>
          <w:rFonts w:ascii="Times New Roman" w:hAnsi="Times New Roman" w:cs="Times New Roman"/>
        </w:rPr>
        <w:t xml:space="preserve"> on </w:t>
      </w:r>
      <w:proofErr w:type="spellStart"/>
      <w:r w:rsidR="00C95179" w:rsidRPr="00705170">
        <w:rPr>
          <w:rFonts w:ascii="Times New Roman" w:hAnsi="Times New Roman" w:cs="Times New Roman"/>
        </w:rPr>
        <w:t>current</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basis</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rule</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requires</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issuers</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to</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disclose</w:t>
      </w:r>
      <w:proofErr w:type="spellEnd"/>
      <w:r w:rsidR="003E453C" w:rsidRPr="00705170">
        <w:rPr>
          <w:rFonts w:ascii="Times New Roman" w:hAnsi="Times New Roman" w:cs="Times New Roman"/>
        </w:rPr>
        <w:t xml:space="preserve"> </w:t>
      </w:r>
      <w:proofErr w:type="spellStart"/>
      <w:r w:rsidR="003E453C" w:rsidRPr="00705170">
        <w:rPr>
          <w:rFonts w:ascii="Times New Roman" w:hAnsi="Times New Roman" w:cs="Times New Roman"/>
        </w:rPr>
        <w:t>any</w:t>
      </w:r>
      <w:proofErr w:type="spellEnd"/>
      <w:r w:rsidR="00C95179" w:rsidRPr="00705170">
        <w:rPr>
          <w:rFonts w:ascii="Times New Roman" w:hAnsi="Times New Roman" w:cs="Times New Roman"/>
        </w:rPr>
        <w:t xml:space="preserve"> </w:t>
      </w:r>
      <w:proofErr w:type="spellStart"/>
      <w:r w:rsidR="003E453C" w:rsidRPr="00705170">
        <w:rPr>
          <w:rFonts w:ascii="Times New Roman" w:hAnsi="Times New Roman" w:cs="Times New Roman"/>
        </w:rPr>
        <w:t>material</w:t>
      </w:r>
      <w:proofErr w:type="spellEnd"/>
      <w:r w:rsidR="003E453C" w:rsidRPr="00705170">
        <w:rPr>
          <w:rFonts w:ascii="Times New Roman" w:hAnsi="Times New Roman" w:cs="Times New Roman"/>
        </w:rPr>
        <w:t xml:space="preserve"> </w:t>
      </w:r>
      <w:proofErr w:type="spellStart"/>
      <w:r w:rsidR="003E453C" w:rsidRPr="00705170">
        <w:rPr>
          <w:rFonts w:ascii="Times New Roman" w:hAnsi="Times New Roman" w:cs="Times New Roman"/>
        </w:rPr>
        <w:t>event</w:t>
      </w:r>
      <w:proofErr w:type="spellEnd"/>
      <w:r w:rsidR="00C95179" w:rsidRPr="00705170">
        <w:rPr>
          <w:rFonts w:ascii="Times New Roman" w:hAnsi="Times New Roman" w:cs="Times New Roman"/>
        </w:rPr>
        <w:t xml:space="preserve"> on a </w:t>
      </w:r>
      <w:proofErr w:type="spellStart"/>
      <w:r w:rsidR="00C95179" w:rsidRPr="00705170">
        <w:rPr>
          <w:rFonts w:ascii="Times New Roman" w:hAnsi="Times New Roman" w:cs="Times New Roman"/>
        </w:rPr>
        <w:t>current</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basis</w:t>
      </w:r>
      <w:proofErr w:type="spellEnd"/>
      <w:r w:rsidR="00C95179" w:rsidRPr="00705170">
        <w:rPr>
          <w:rFonts w:ascii="Times New Roman" w:hAnsi="Times New Roman" w:cs="Times New Roman"/>
        </w:rPr>
        <w:t xml:space="preserve"> (</w:t>
      </w:r>
      <w:proofErr w:type="spellStart"/>
      <w:r w:rsidR="00C95179" w:rsidRPr="00705170">
        <w:rPr>
          <w:rFonts w:ascii="Times New Roman" w:hAnsi="Times New Roman" w:cs="Times New Roman"/>
        </w:rPr>
        <w:t>Article</w:t>
      </w:r>
      <w:proofErr w:type="spellEnd"/>
      <w:r w:rsidR="00C95179" w:rsidRPr="00705170">
        <w:rPr>
          <w:rFonts w:ascii="Times New Roman" w:hAnsi="Times New Roman" w:cs="Times New Roman"/>
        </w:rPr>
        <w:t xml:space="preserve"> 15)</w:t>
      </w:r>
      <w:r w:rsidR="002961E4" w:rsidRPr="002961E4">
        <w:rPr>
          <w:rStyle w:val="DipnotBavurusu"/>
          <w:rFonts w:ascii="Times New Roman" w:hAnsi="Times New Roman" w:cs="Times New Roman"/>
        </w:rPr>
        <w:t xml:space="preserve"> </w:t>
      </w:r>
      <w:r w:rsidR="002961E4">
        <w:rPr>
          <w:rStyle w:val="DipnotBavurusu"/>
          <w:rFonts w:ascii="Times New Roman" w:hAnsi="Times New Roman" w:cs="Times New Roman"/>
        </w:rPr>
        <w:footnoteReference w:id="803"/>
      </w:r>
      <w:r w:rsidR="00C95179" w:rsidRPr="00705170">
        <w:rPr>
          <w:rFonts w:ascii="Times New Roman" w:hAnsi="Times New Roman" w:cs="Times New Roman"/>
        </w:rPr>
        <w:t>.</w:t>
      </w:r>
      <w:r w:rsidR="003E453C" w:rsidRPr="00705170">
        <w:rPr>
          <w:rFonts w:ascii="Times New Roman" w:hAnsi="Times New Roman" w:cs="Times New Roman"/>
        </w:rPr>
        <w:t xml:space="preserve"> </w:t>
      </w:r>
      <w:proofErr w:type="spellStart"/>
      <w:r w:rsidR="003E453C" w:rsidRPr="00705170">
        <w:rPr>
          <w:rFonts w:ascii="Times New Roman" w:hAnsi="Times New Roman" w:cs="Times New Roman"/>
        </w:rPr>
        <w:t>The</w:t>
      </w:r>
      <w:proofErr w:type="spellEnd"/>
      <w:r w:rsidR="003E453C" w:rsidRPr="00705170">
        <w:rPr>
          <w:rFonts w:ascii="Times New Roman" w:hAnsi="Times New Roman" w:cs="Times New Roman"/>
        </w:rPr>
        <w:t xml:space="preserve"> </w:t>
      </w:r>
      <w:proofErr w:type="spellStart"/>
      <w:r w:rsidR="003E453C" w:rsidRPr="00705170">
        <w:rPr>
          <w:rFonts w:ascii="Times New Roman" w:hAnsi="Times New Roman" w:cs="Times New Roman"/>
        </w:rPr>
        <w:t>determination</w:t>
      </w:r>
      <w:proofErr w:type="spellEnd"/>
      <w:r w:rsidR="003E453C" w:rsidRPr="00705170">
        <w:rPr>
          <w:rFonts w:ascii="Times New Roman" w:hAnsi="Times New Roman" w:cs="Times New Roman"/>
        </w:rPr>
        <w:t xml:space="preserve"> of </w:t>
      </w:r>
      <w:proofErr w:type="spellStart"/>
      <w:r w:rsidR="003E453C" w:rsidRPr="00705170">
        <w:rPr>
          <w:rFonts w:ascii="Times New Roman" w:hAnsi="Times New Roman" w:cs="Times New Roman"/>
        </w:rPr>
        <w:t>the</w:t>
      </w:r>
      <w:proofErr w:type="spellEnd"/>
      <w:r w:rsidR="003E453C" w:rsidRPr="00705170">
        <w:rPr>
          <w:rFonts w:ascii="Times New Roman" w:hAnsi="Times New Roman" w:cs="Times New Roman"/>
        </w:rPr>
        <w:t xml:space="preserve"> </w:t>
      </w:r>
      <w:proofErr w:type="spellStart"/>
      <w:r w:rsidR="003E453C" w:rsidRPr="00705170">
        <w:rPr>
          <w:rFonts w:ascii="Times New Roman" w:hAnsi="Times New Roman" w:cs="Times New Roman"/>
        </w:rPr>
        <w:t>scope</w:t>
      </w:r>
      <w:proofErr w:type="spellEnd"/>
      <w:r w:rsidR="003E453C" w:rsidRPr="00705170">
        <w:rPr>
          <w:rFonts w:ascii="Times New Roman" w:hAnsi="Times New Roman" w:cs="Times New Roman"/>
        </w:rPr>
        <w:t xml:space="preserve"> of </w:t>
      </w:r>
      <w:proofErr w:type="spellStart"/>
      <w:r w:rsidR="005A7EB8" w:rsidRPr="00705170">
        <w:rPr>
          <w:rFonts w:ascii="Times New Roman" w:hAnsi="Times New Roman" w:cs="Times New Roman"/>
        </w:rPr>
        <w:t>th</w:t>
      </w:r>
      <w:proofErr w:type="spellEnd"/>
      <w:r w:rsidR="005A7EB8" w:rsidRPr="00705170">
        <w:rPr>
          <w:rFonts w:ascii="Times New Roman" w:hAnsi="Times New Roman" w:cs="Times New Roman"/>
          <w:lang w:val="en-US"/>
        </w:rPr>
        <w:t>is requirement</w:t>
      </w:r>
      <w:r w:rsidR="003E453C" w:rsidRPr="00705170">
        <w:rPr>
          <w:rFonts w:ascii="Times New Roman" w:hAnsi="Times New Roman" w:cs="Times New Roman"/>
        </w:rPr>
        <w:t xml:space="preserve"> is </w:t>
      </w:r>
      <w:proofErr w:type="spellStart"/>
      <w:r w:rsidR="003E453C" w:rsidRPr="00705170">
        <w:rPr>
          <w:rFonts w:ascii="Times New Roman" w:hAnsi="Times New Roman" w:cs="Times New Roman"/>
        </w:rPr>
        <w:t>made</w:t>
      </w:r>
      <w:proofErr w:type="spellEnd"/>
      <w:r w:rsidR="003E453C" w:rsidRPr="00705170">
        <w:rPr>
          <w:rFonts w:ascii="Times New Roman" w:hAnsi="Times New Roman" w:cs="Times New Roman"/>
        </w:rPr>
        <w:t xml:space="preserve"> in </w:t>
      </w:r>
      <w:proofErr w:type="spellStart"/>
      <w:r w:rsidR="003E453C" w:rsidRPr="00705170">
        <w:rPr>
          <w:rFonts w:ascii="Times New Roman" w:hAnsi="Times New Roman" w:cs="Times New Roman"/>
        </w:rPr>
        <w:t>accordance</w:t>
      </w:r>
      <w:proofErr w:type="spellEnd"/>
      <w:r w:rsidR="003E453C" w:rsidRPr="00705170">
        <w:rPr>
          <w:rFonts w:ascii="Times New Roman" w:hAnsi="Times New Roman" w:cs="Times New Roman"/>
        </w:rPr>
        <w:t xml:space="preserve"> </w:t>
      </w:r>
      <w:proofErr w:type="spellStart"/>
      <w:r w:rsidR="003E453C" w:rsidRPr="00705170">
        <w:rPr>
          <w:rFonts w:ascii="Times New Roman" w:hAnsi="Times New Roman" w:cs="Times New Roman"/>
        </w:rPr>
        <w:t>with</w:t>
      </w:r>
      <w:proofErr w:type="spellEnd"/>
      <w:r w:rsidR="003E453C" w:rsidRPr="00705170">
        <w:rPr>
          <w:rFonts w:ascii="Times New Roman" w:hAnsi="Times New Roman" w:cs="Times New Roman"/>
        </w:rPr>
        <w:t xml:space="preserve"> </w:t>
      </w:r>
      <w:proofErr w:type="spellStart"/>
      <w:r w:rsidR="003E453C" w:rsidRPr="00705170">
        <w:rPr>
          <w:rFonts w:ascii="Times New Roman" w:hAnsi="Times New Roman" w:cs="Times New Roman"/>
        </w:rPr>
        <w:t>the</w:t>
      </w:r>
      <w:proofErr w:type="spellEnd"/>
      <w:r w:rsidR="003E453C" w:rsidRPr="00705170">
        <w:rPr>
          <w:rFonts w:ascii="Times New Roman" w:hAnsi="Times New Roman" w:cs="Times New Roman"/>
        </w:rPr>
        <w:t xml:space="preserve"> </w:t>
      </w:r>
      <w:proofErr w:type="spellStart"/>
      <w:r w:rsidR="003E453C" w:rsidRPr="00705170">
        <w:rPr>
          <w:rFonts w:ascii="Times New Roman" w:hAnsi="Times New Roman" w:cs="Times New Roman"/>
        </w:rPr>
        <w:t>Comminiqu</w:t>
      </w:r>
      <w:r w:rsidR="005A7EB8" w:rsidRPr="00705170">
        <w:rPr>
          <w:rFonts w:ascii="Times New Roman" w:hAnsi="Times New Roman" w:cs="Times New Roman"/>
        </w:rPr>
        <w:t>e</w:t>
      </w:r>
      <w:proofErr w:type="spellEnd"/>
      <w:r w:rsidR="005A7EB8" w:rsidRPr="00705170">
        <w:rPr>
          <w:rFonts w:ascii="Times New Roman" w:hAnsi="Times New Roman" w:cs="Times New Roman"/>
        </w:rPr>
        <w:t xml:space="preserve"> on </w:t>
      </w:r>
      <w:proofErr w:type="spellStart"/>
      <w:r w:rsidR="005A7EB8" w:rsidRPr="00705170">
        <w:rPr>
          <w:rFonts w:ascii="Times New Roman" w:hAnsi="Times New Roman" w:cs="Times New Roman"/>
        </w:rPr>
        <w:t>Material</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Events</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Disclosure</w:t>
      </w:r>
      <w:proofErr w:type="spellEnd"/>
      <w:r w:rsidR="005A7EB8" w:rsidRPr="00705170">
        <w:rPr>
          <w:rFonts w:ascii="Times New Roman" w:hAnsi="Times New Roman" w:cs="Times New Roman"/>
        </w:rPr>
        <w:t xml:space="preserve">, but it </w:t>
      </w:r>
      <w:proofErr w:type="spellStart"/>
      <w:r w:rsidR="005A7EB8" w:rsidRPr="00705170">
        <w:rPr>
          <w:rFonts w:ascii="Times New Roman" w:hAnsi="Times New Roman" w:cs="Times New Roman"/>
        </w:rPr>
        <w:t>generally</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refers</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to</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information</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events</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and</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developments</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which</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may</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effect</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the</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value</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and</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price</w:t>
      </w:r>
      <w:proofErr w:type="spellEnd"/>
      <w:r w:rsidR="005A7EB8" w:rsidRPr="00705170">
        <w:rPr>
          <w:rFonts w:ascii="Times New Roman" w:hAnsi="Times New Roman" w:cs="Times New Roman"/>
        </w:rPr>
        <w:t xml:space="preserve"> of </w:t>
      </w:r>
      <w:proofErr w:type="spellStart"/>
      <w:r w:rsidR="005A7EB8" w:rsidRPr="00705170">
        <w:rPr>
          <w:rFonts w:ascii="Times New Roman" w:hAnsi="Times New Roman" w:cs="Times New Roman"/>
        </w:rPr>
        <w:t>capital</w:t>
      </w:r>
      <w:proofErr w:type="spellEnd"/>
      <w:r w:rsidR="005A7EB8" w:rsidRPr="00705170">
        <w:rPr>
          <w:rFonts w:ascii="Times New Roman" w:hAnsi="Times New Roman" w:cs="Times New Roman"/>
        </w:rPr>
        <w:t xml:space="preserve"> market </w:t>
      </w:r>
      <w:proofErr w:type="spellStart"/>
      <w:r w:rsidR="005A7EB8" w:rsidRPr="00705170">
        <w:rPr>
          <w:rFonts w:ascii="Times New Roman" w:hAnsi="Times New Roman" w:cs="Times New Roman"/>
        </w:rPr>
        <w:t>instruments</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or</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the</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investment</w:t>
      </w:r>
      <w:proofErr w:type="spellEnd"/>
      <w:r w:rsidR="005A7EB8" w:rsidRPr="00705170">
        <w:rPr>
          <w:rFonts w:ascii="Times New Roman" w:hAnsi="Times New Roman" w:cs="Times New Roman"/>
        </w:rPr>
        <w:t xml:space="preserve"> </w:t>
      </w:r>
      <w:proofErr w:type="spellStart"/>
      <w:r w:rsidR="005A7EB8" w:rsidRPr="00705170">
        <w:rPr>
          <w:rFonts w:ascii="Times New Roman" w:hAnsi="Times New Roman" w:cs="Times New Roman"/>
        </w:rPr>
        <w:t>decision</w:t>
      </w:r>
      <w:proofErr w:type="spellEnd"/>
      <w:r w:rsidR="005A7EB8" w:rsidRPr="00705170">
        <w:rPr>
          <w:rFonts w:ascii="Times New Roman" w:hAnsi="Times New Roman" w:cs="Times New Roman"/>
        </w:rPr>
        <w:t xml:space="preserve"> of </w:t>
      </w:r>
      <w:proofErr w:type="spellStart"/>
      <w:r w:rsidR="005A7EB8" w:rsidRPr="00705170">
        <w:rPr>
          <w:rFonts w:ascii="Times New Roman" w:hAnsi="Times New Roman" w:cs="Times New Roman"/>
        </w:rPr>
        <w:t>investors</w:t>
      </w:r>
      <w:proofErr w:type="spellEnd"/>
      <w:r w:rsidR="005A7EB8" w:rsidRPr="00705170">
        <w:rPr>
          <w:rFonts w:ascii="Times New Roman" w:hAnsi="Times New Roman" w:cs="Times New Roman"/>
        </w:rPr>
        <w:t>” (</w:t>
      </w:r>
      <w:r w:rsidR="005E2B6C" w:rsidRPr="00705170">
        <w:rPr>
          <w:rFonts w:ascii="Times New Roman" w:hAnsi="Times New Roman" w:cs="Times New Roman"/>
        </w:rPr>
        <w:t xml:space="preserve">CML </w:t>
      </w:r>
      <w:proofErr w:type="spellStart"/>
      <w:r w:rsidR="005A7EB8" w:rsidRPr="00705170">
        <w:rPr>
          <w:rFonts w:ascii="Times New Roman" w:hAnsi="Times New Roman" w:cs="Times New Roman"/>
        </w:rPr>
        <w:t>Article</w:t>
      </w:r>
      <w:proofErr w:type="spellEnd"/>
      <w:r w:rsidR="005A7EB8" w:rsidRPr="00705170">
        <w:rPr>
          <w:rFonts w:ascii="Times New Roman" w:hAnsi="Times New Roman" w:cs="Times New Roman"/>
        </w:rPr>
        <w:t xml:space="preserve"> 15(1))</w:t>
      </w:r>
      <w:r w:rsidR="00711B31" w:rsidRPr="00705170">
        <w:rPr>
          <w:rStyle w:val="DipnotBavurusu"/>
          <w:rFonts w:ascii="Times New Roman" w:hAnsi="Times New Roman" w:cs="Times New Roman"/>
        </w:rPr>
        <w:footnoteReference w:id="804"/>
      </w:r>
      <w:r w:rsidR="005A7EB8" w:rsidRPr="00705170">
        <w:rPr>
          <w:rFonts w:ascii="Times New Roman" w:hAnsi="Times New Roman" w:cs="Times New Roman"/>
        </w:rPr>
        <w:t>.</w:t>
      </w:r>
      <w:r w:rsidR="00F804AE" w:rsidRPr="00705170">
        <w:rPr>
          <w:rFonts w:ascii="Times New Roman" w:hAnsi="Times New Roman" w:cs="Times New Roman"/>
        </w:rPr>
        <w:t xml:space="preserve"> </w:t>
      </w:r>
    </w:p>
    <w:p w14:paraId="11013670" w14:textId="547D9657" w:rsidR="00A050EF" w:rsidRPr="00705170" w:rsidRDefault="004A4931" w:rsidP="002F694A">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Thinking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general </w:t>
      </w:r>
      <w:proofErr w:type="spellStart"/>
      <w:r w:rsidRPr="00705170">
        <w:rPr>
          <w:rFonts w:ascii="Times New Roman" w:hAnsi="Times New Roman" w:cs="Times New Roman"/>
        </w:rPr>
        <w:t>effect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securities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between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constitutents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aspect</w:t>
      </w:r>
      <w:proofErr w:type="spellEnd"/>
      <w:r w:rsidR="00463EF7" w:rsidRPr="00705170">
        <w:rPr>
          <w:rFonts w:ascii="Times New Roman" w:hAnsi="Times New Roman" w:cs="Times New Roman"/>
        </w:rPr>
        <w:t xml:space="preserve"> </w:t>
      </w:r>
      <w:proofErr w:type="spellStart"/>
      <w:r w:rsidR="00463EF7" w:rsidRPr="00705170">
        <w:rPr>
          <w:rFonts w:ascii="Times New Roman" w:hAnsi="Times New Roman" w:cs="Times New Roman"/>
        </w:rPr>
        <w:t>regarding</w:t>
      </w:r>
      <w:proofErr w:type="spellEnd"/>
      <w:r w:rsidR="00463EF7" w:rsidRPr="00705170">
        <w:rPr>
          <w:rFonts w:ascii="Times New Roman" w:hAnsi="Times New Roman" w:cs="Times New Roman"/>
        </w:rPr>
        <w:t xml:space="preserve"> </w:t>
      </w:r>
      <w:proofErr w:type="spellStart"/>
      <w:r w:rsidR="00463EF7" w:rsidRPr="00705170">
        <w:rPr>
          <w:rFonts w:ascii="Times New Roman" w:hAnsi="Times New Roman" w:cs="Times New Roman"/>
        </w:rPr>
        <w:t>publicly</w:t>
      </w:r>
      <w:proofErr w:type="spellEnd"/>
      <w:r w:rsidR="00463EF7" w:rsidRPr="00705170">
        <w:rPr>
          <w:rFonts w:ascii="Times New Roman" w:hAnsi="Times New Roman" w:cs="Times New Roman"/>
        </w:rPr>
        <w:t xml:space="preserve"> </w:t>
      </w:r>
      <w:proofErr w:type="spellStart"/>
      <w:r w:rsidR="00463EF7" w:rsidRPr="00705170">
        <w:rPr>
          <w:rFonts w:ascii="Times New Roman" w:hAnsi="Times New Roman" w:cs="Times New Roman"/>
        </w:rPr>
        <w:t>traded</w:t>
      </w:r>
      <w:proofErr w:type="spellEnd"/>
      <w:r w:rsidR="00463EF7" w:rsidRPr="00705170">
        <w:rPr>
          <w:rFonts w:ascii="Times New Roman" w:hAnsi="Times New Roman" w:cs="Times New Roman"/>
        </w:rPr>
        <w:t xml:space="preserve"> </w:t>
      </w:r>
      <w:proofErr w:type="spellStart"/>
      <w:r w:rsidR="00463EF7"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can say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information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disclosed</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platform, </w:t>
      </w:r>
      <w:proofErr w:type="spellStart"/>
      <w:r w:rsidRPr="00705170">
        <w:rPr>
          <w:rFonts w:ascii="Times New Roman" w:hAnsi="Times New Roman" w:cs="Times New Roman"/>
        </w:rPr>
        <w:t>unrelated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establish</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w:t>
      </w:r>
      <w:proofErr w:type="spellEnd"/>
      <w:r w:rsidR="00463EF7" w:rsidRPr="00705170">
        <w:rPr>
          <w:rFonts w:ascii="Times New Roman" w:hAnsi="Times New Roman" w:cs="Times New Roman"/>
        </w:rPr>
        <w:t xml:space="preserve"> on </w:t>
      </w:r>
      <w:proofErr w:type="spellStart"/>
      <w:r w:rsidR="00463EF7" w:rsidRPr="00705170">
        <w:rPr>
          <w:rFonts w:ascii="Times New Roman" w:hAnsi="Times New Roman" w:cs="Times New Roman"/>
        </w:rPr>
        <w:t>the</w:t>
      </w:r>
      <w:proofErr w:type="spellEnd"/>
      <w:r w:rsidR="00463EF7" w:rsidRPr="00705170">
        <w:rPr>
          <w:rFonts w:ascii="Times New Roman" w:hAnsi="Times New Roman" w:cs="Times New Roman"/>
        </w:rPr>
        <w:t xml:space="preserve"> </w:t>
      </w:r>
      <w:proofErr w:type="spellStart"/>
      <w:r w:rsidR="00463EF7" w:rsidRPr="00705170">
        <w:rPr>
          <w:rFonts w:ascii="Times New Roman" w:hAnsi="Times New Roman" w:cs="Times New Roman"/>
        </w:rPr>
        <w:t>investors</w:t>
      </w:r>
      <w:proofErr w:type="spellEnd"/>
      <w:r w:rsidR="00463EF7" w:rsidRPr="00705170">
        <w:rPr>
          <w:rFonts w:ascii="Times New Roman" w:hAnsi="Times New Roman" w:cs="Times New Roman"/>
        </w:rPr>
        <w:t xml:space="preserve">’ </w:t>
      </w:r>
      <w:proofErr w:type="spellStart"/>
      <w:r w:rsidR="00463EF7" w:rsidRPr="00705170">
        <w:rPr>
          <w:rFonts w:ascii="Times New Roman" w:hAnsi="Times New Roman" w:cs="Times New Roman"/>
        </w:rPr>
        <w:t>side</w:t>
      </w:r>
      <w:proofErr w:type="spellEnd"/>
      <w:r w:rsidRPr="00705170">
        <w:rPr>
          <w:rFonts w:ascii="Times New Roman" w:hAnsi="Times New Roman" w:cs="Times New Roman"/>
        </w:rPr>
        <w:t xml:space="preserve">. </w:t>
      </w:r>
      <w:proofErr w:type="spellStart"/>
      <w:r w:rsidR="002F694A" w:rsidRPr="00705170">
        <w:rPr>
          <w:rFonts w:ascii="Times New Roman" w:hAnsi="Times New Roman" w:cs="Times New Roman"/>
        </w:rPr>
        <w:t>Efficient</w:t>
      </w:r>
      <w:proofErr w:type="spellEnd"/>
      <w:r w:rsidR="002F694A" w:rsidRPr="00705170">
        <w:rPr>
          <w:rFonts w:ascii="Times New Roman" w:hAnsi="Times New Roman" w:cs="Times New Roman"/>
        </w:rPr>
        <w:t xml:space="preserve"> </w:t>
      </w:r>
      <w:proofErr w:type="spellStart"/>
      <w:r w:rsidR="00AF69AC" w:rsidRPr="00705170">
        <w:rPr>
          <w:rFonts w:ascii="Times New Roman" w:hAnsi="Times New Roman" w:cs="Times New Roman"/>
        </w:rPr>
        <w:t>capital</w:t>
      </w:r>
      <w:proofErr w:type="spellEnd"/>
      <w:r w:rsidR="00AF69AC" w:rsidRPr="00705170">
        <w:rPr>
          <w:rFonts w:ascii="Times New Roman" w:hAnsi="Times New Roman" w:cs="Times New Roman"/>
        </w:rPr>
        <w:t xml:space="preserve"> </w:t>
      </w:r>
      <w:r w:rsidR="002F694A" w:rsidRPr="00705170">
        <w:rPr>
          <w:rFonts w:ascii="Times New Roman" w:hAnsi="Times New Roman" w:cs="Times New Roman"/>
        </w:rPr>
        <w:t xml:space="preserve">market </w:t>
      </w:r>
      <w:proofErr w:type="spellStart"/>
      <w:r w:rsidR="002F694A" w:rsidRPr="00705170">
        <w:rPr>
          <w:rFonts w:ascii="Times New Roman" w:hAnsi="Times New Roman" w:cs="Times New Roman"/>
        </w:rPr>
        <w:t>hypothesis</w:t>
      </w:r>
      <w:proofErr w:type="spellEnd"/>
      <w:r w:rsidR="00137EF8" w:rsidRPr="00705170">
        <w:rPr>
          <w:rStyle w:val="DipnotBavurusu"/>
          <w:rFonts w:ascii="Times New Roman" w:hAnsi="Times New Roman" w:cs="Times New Roman"/>
        </w:rPr>
        <w:footnoteReference w:id="805"/>
      </w:r>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which</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the</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fraud</w:t>
      </w:r>
      <w:proofErr w:type="spellEnd"/>
      <w:r w:rsidR="002F694A" w:rsidRPr="00705170">
        <w:rPr>
          <w:rFonts w:ascii="Times New Roman" w:hAnsi="Times New Roman" w:cs="Times New Roman"/>
        </w:rPr>
        <w:t xml:space="preserve"> on market </w:t>
      </w:r>
      <w:proofErr w:type="spellStart"/>
      <w:r w:rsidR="002F694A" w:rsidRPr="00705170">
        <w:rPr>
          <w:rFonts w:ascii="Times New Roman" w:hAnsi="Times New Roman" w:cs="Times New Roman"/>
        </w:rPr>
        <w:t>theory</w:t>
      </w:r>
      <w:proofErr w:type="spellEnd"/>
      <w:r w:rsidR="002F694A" w:rsidRPr="00705170">
        <w:rPr>
          <w:rFonts w:ascii="Times New Roman" w:hAnsi="Times New Roman" w:cs="Times New Roman"/>
        </w:rPr>
        <w:t xml:space="preserve"> is </w:t>
      </w:r>
      <w:proofErr w:type="spellStart"/>
      <w:r w:rsidR="00137EF8" w:rsidRPr="00705170">
        <w:rPr>
          <w:rFonts w:ascii="Times New Roman" w:hAnsi="Times New Roman" w:cs="Times New Roman"/>
        </w:rPr>
        <w:t>also</w:t>
      </w:r>
      <w:proofErr w:type="spellEnd"/>
      <w:r w:rsidR="00137EF8" w:rsidRPr="00705170">
        <w:rPr>
          <w:rFonts w:ascii="Times New Roman" w:hAnsi="Times New Roman" w:cs="Times New Roman"/>
        </w:rPr>
        <w:t xml:space="preserve"> </w:t>
      </w:r>
      <w:proofErr w:type="spellStart"/>
      <w:r w:rsidR="002F694A" w:rsidRPr="00705170">
        <w:rPr>
          <w:rFonts w:ascii="Times New Roman" w:hAnsi="Times New Roman" w:cs="Times New Roman"/>
        </w:rPr>
        <w:t>based</w:t>
      </w:r>
      <w:proofErr w:type="spellEnd"/>
      <w:r w:rsidR="002F694A" w:rsidRPr="00705170">
        <w:rPr>
          <w:rFonts w:ascii="Times New Roman" w:hAnsi="Times New Roman" w:cs="Times New Roman"/>
        </w:rPr>
        <w:t xml:space="preserve"> on, </w:t>
      </w:r>
      <w:proofErr w:type="spellStart"/>
      <w:r w:rsidR="002F694A" w:rsidRPr="00705170">
        <w:rPr>
          <w:rFonts w:ascii="Times New Roman" w:hAnsi="Times New Roman" w:cs="Times New Roman"/>
        </w:rPr>
        <w:t>supports</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this</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conclusion</w:t>
      </w:r>
      <w:proofErr w:type="spellEnd"/>
      <w:r w:rsidR="002F694A" w:rsidRPr="00705170">
        <w:rPr>
          <w:rFonts w:ascii="Times New Roman" w:hAnsi="Times New Roman" w:cs="Times New Roman"/>
        </w:rPr>
        <w:t xml:space="preserve">: Market </w:t>
      </w:r>
      <w:proofErr w:type="spellStart"/>
      <w:r w:rsidR="002F694A" w:rsidRPr="00705170">
        <w:rPr>
          <w:rFonts w:ascii="Times New Roman" w:hAnsi="Times New Roman" w:cs="Times New Roman"/>
        </w:rPr>
        <w:t>price</w:t>
      </w:r>
      <w:proofErr w:type="spellEnd"/>
      <w:r w:rsidR="002F694A" w:rsidRPr="00705170">
        <w:rPr>
          <w:rFonts w:ascii="Times New Roman" w:hAnsi="Times New Roman" w:cs="Times New Roman"/>
        </w:rPr>
        <w:t xml:space="preserve"> of </w:t>
      </w:r>
      <w:proofErr w:type="spellStart"/>
      <w:r w:rsidR="002F694A" w:rsidRPr="00705170">
        <w:rPr>
          <w:rFonts w:ascii="Times New Roman" w:hAnsi="Times New Roman" w:cs="Times New Roman"/>
        </w:rPr>
        <w:t>shares</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traded</w:t>
      </w:r>
      <w:proofErr w:type="spellEnd"/>
      <w:r w:rsidR="002F694A" w:rsidRPr="00705170">
        <w:rPr>
          <w:rFonts w:ascii="Times New Roman" w:hAnsi="Times New Roman" w:cs="Times New Roman"/>
        </w:rPr>
        <w:t xml:space="preserve"> on </w:t>
      </w:r>
      <w:proofErr w:type="spellStart"/>
      <w:r w:rsidR="002F694A" w:rsidRPr="00705170">
        <w:rPr>
          <w:rFonts w:ascii="Times New Roman" w:hAnsi="Times New Roman" w:cs="Times New Roman"/>
        </w:rPr>
        <w:t>well</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developed</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markets</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reflects</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all</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publicly</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available</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information</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including</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any</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material</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lastRenderedPageBreak/>
        <w:t>misrepresentations</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and</w:t>
      </w:r>
      <w:proofErr w:type="spellEnd"/>
      <w:r w:rsidR="002F694A" w:rsidRPr="00705170">
        <w:rPr>
          <w:rFonts w:ascii="Times New Roman" w:hAnsi="Times New Roman" w:cs="Times New Roman"/>
        </w:rPr>
        <w:t xml:space="preserve"> an </w:t>
      </w:r>
      <w:proofErr w:type="spellStart"/>
      <w:r w:rsidR="002F694A" w:rsidRPr="00705170">
        <w:rPr>
          <w:rFonts w:ascii="Times New Roman" w:hAnsi="Times New Roman" w:cs="Times New Roman"/>
        </w:rPr>
        <w:t>investor</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who</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buys</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or</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sells</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share</w:t>
      </w:r>
      <w:proofErr w:type="spellEnd"/>
      <w:r w:rsidR="002F694A" w:rsidRPr="00705170">
        <w:rPr>
          <w:rFonts w:ascii="Times New Roman" w:hAnsi="Times New Roman" w:cs="Times New Roman"/>
        </w:rPr>
        <w:t xml:space="preserve"> at </w:t>
      </w:r>
      <w:proofErr w:type="spellStart"/>
      <w:r w:rsidR="002F694A" w:rsidRPr="00705170">
        <w:rPr>
          <w:rFonts w:ascii="Times New Roman" w:hAnsi="Times New Roman" w:cs="Times New Roman"/>
        </w:rPr>
        <w:t>the</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price</w:t>
      </w:r>
      <w:proofErr w:type="spellEnd"/>
      <w:r w:rsidR="002F694A" w:rsidRPr="00705170">
        <w:rPr>
          <w:rFonts w:ascii="Times New Roman" w:hAnsi="Times New Roman" w:cs="Times New Roman"/>
        </w:rPr>
        <w:t xml:space="preserve"> set </w:t>
      </w:r>
      <w:proofErr w:type="spellStart"/>
      <w:r w:rsidR="002F694A" w:rsidRPr="00705170">
        <w:rPr>
          <w:rFonts w:ascii="Times New Roman" w:hAnsi="Times New Roman" w:cs="Times New Roman"/>
        </w:rPr>
        <w:t>by</w:t>
      </w:r>
      <w:proofErr w:type="spellEnd"/>
      <w:r w:rsidR="002F694A" w:rsidRPr="00705170">
        <w:rPr>
          <w:rFonts w:ascii="Times New Roman" w:hAnsi="Times New Roman" w:cs="Times New Roman"/>
        </w:rPr>
        <w:t xml:space="preserve"> market </w:t>
      </w:r>
      <w:proofErr w:type="spellStart"/>
      <w:r w:rsidR="002F694A" w:rsidRPr="00705170">
        <w:rPr>
          <w:rFonts w:ascii="Times New Roman" w:hAnsi="Times New Roman" w:cs="Times New Roman"/>
        </w:rPr>
        <w:t>does</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so</w:t>
      </w:r>
      <w:proofErr w:type="spellEnd"/>
      <w:r w:rsidR="002F694A" w:rsidRPr="00705170">
        <w:rPr>
          <w:rFonts w:ascii="Times New Roman" w:hAnsi="Times New Roman" w:cs="Times New Roman"/>
        </w:rPr>
        <w:t xml:space="preserve"> in </w:t>
      </w:r>
      <w:proofErr w:type="spellStart"/>
      <w:r w:rsidR="002F694A" w:rsidRPr="00705170">
        <w:rPr>
          <w:rFonts w:ascii="Times New Roman" w:hAnsi="Times New Roman" w:cs="Times New Roman"/>
        </w:rPr>
        <w:t>reliance</w:t>
      </w:r>
      <w:proofErr w:type="spellEnd"/>
      <w:r w:rsidR="002F694A" w:rsidRPr="00705170">
        <w:rPr>
          <w:rFonts w:ascii="Times New Roman" w:hAnsi="Times New Roman" w:cs="Times New Roman"/>
        </w:rPr>
        <w:t xml:space="preserve"> on </w:t>
      </w:r>
      <w:proofErr w:type="spellStart"/>
      <w:r w:rsidR="002F694A" w:rsidRPr="00705170">
        <w:rPr>
          <w:rFonts w:ascii="Times New Roman" w:hAnsi="Times New Roman" w:cs="Times New Roman"/>
        </w:rPr>
        <w:t>the</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integrity</w:t>
      </w:r>
      <w:proofErr w:type="spellEnd"/>
      <w:r w:rsidR="002F694A" w:rsidRPr="00705170">
        <w:rPr>
          <w:rFonts w:ascii="Times New Roman" w:hAnsi="Times New Roman" w:cs="Times New Roman"/>
        </w:rPr>
        <w:t xml:space="preserve"> of </w:t>
      </w:r>
      <w:proofErr w:type="spellStart"/>
      <w:r w:rsidR="002F694A" w:rsidRPr="00705170">
        <w:rPr>
          <w:rFonts w:ascii="Times New Roman" w:hAnsi="Times New Roman" w:cs="Times New Roman"/>
        </w:rPr>
        <w:t>that</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price</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thus</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investor’s</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reliance</w:t>
      </w:r>
      <w:proofErr w:type="spellEnd"/>
      <w:r w:rsidR="002F694A" w:rsidRPr="00705170">
        <w:rPr>
          <w:rFonts w:ascii="Times New Roman" w:hAnsi="Times New Roman" w:cs="Times New Roman"/>
        </w:rPr>
        <w:t xml:space="preserve"> on </w:t>
      </w:r>
      <w:proofErr w:type="spellStart"/>
      <w:r w:rsidR="002F694A" w:rsidRPr="00705170">
        <w:rPr>
          <w:rFonts w:ascii="Times New Roman" w:hAnsi="Times New Roman" w:cs="Times New Roman"/>
        </w:rPr>
        <w:t>any</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public</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representations</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including</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misrepresentation</w:t>
      </w:r>
      <w:proofErr w:type="spellEnd"/>
      <w:r w:rsidR="002F694A" w:rsidRPr="00705170">
        <w:rPr>
          <w:rFonts w:ascii="Times New Roman" w:hAnsi="Times New Roman" w:cs="Times New Roman"/>
        </w:rPr>
        <w:t xml:space="preserve">) </w:t>
      </w:r>
      <w:proofErr w:type="spellStart"/>
      <w:r w:rsidR="002F694A" w:rsidRPr="00705170">
        <w:rPr>
          <w:rFonts w:ascii="Times New Roman" w:hAnsi="Times New Roman" w:cs="Times New Roman"/>
        </w:rPr>
        <w:t>may</w:t>
      </w:r>
      <w:proofErr w:type="spellEnd"/>
      <w:r w:rsidR="002F694A" w:rsidRPr="00705170">
        <w:rPr>
          <w:rFonts w:ascii="Times New Roman" w:hAnsi="Times New Roman" w:cs="Times New Roman"/>
        </w:rPr>
        <w:t xml:space="preserve"> be </w:t>
      </w:r>
      <w:proofErr w:type="spellStart"/>
      <w:r w:rsidR="002F694A" w:rsidRPr="00705170">
        <w:rPr>
          <w:rFonts w:ascii="Times New Roman" w:hAnsi="Times New Roman" w:cs="Times New Roman"/>
        </w:rPr>
        <w:t>presumed</w:t>
      </w:r>
      <w:proofErr w:type="spellEnd"/>
      <w:r w:rsidR="00A050EF" w:rsidRPr="00705170">
        <w:rPr>
          <w:rStyle w:val="DipnotBavurusu"/>
          <w:rFonts w:ascii="Times New Roman" w:hAnsi="Times New Roman" w:cs="Times New Roman"/>
        </w:rPr>
        <w:footnoteReference w:id="806"/>
      </w:r>
      <w:r w:rsidR="00A050EF" w:rsidRPr="00705170">
        <w:rPr>
          <w:rFonts w:ascii="Times New Roman" w:hAnsi="Times New Roman" w:cs="Times New Roman"/>
        </w:rPr>
        <w:t>.</w:t>
      </w:r>
      <w:r w:rsidR="00D457E6" w:rsidRPr="00705170">
        <w:rPr>
          <w:rFonts w:ascii="Times New Roman" w:hAnsi="Times New Roman" w:cs="Times New Roman"/>
        </w:rPr>
        <w:t xml:space="preserve"> </w:t>
      </w:r>
      <w:proofErr w:type="spellStart"/>
      <w:r w:rsidR="00D457E6" w:rsidRPr="00705170">
        <w:rPr>
          <w:rFonts w:ascii="Times New Roman" w:hAnsi="Times New Roman" w:cs="Times New Roman"/>
        </w:rPr>
        <w:t>Then</w:t>
      </w:r>
      <w:proofErr w:type="spellEnd"/>
      <w:r w:rsidR="00D457E6" w:rsidRPr="00705170">
        <w:rPr>
          <w:rFonts w:ascii="Times New Roman" w:hAnsi="Times New Roman" w:cs="Times New Roman"/>
        </w:rPr>
        <w:t xml:space="preserve">, </w:t>
      </w:r>
      <w:proofErr w:type="spellStart"/>
      <w:r w:rsidR="00D457E6" w:rsidRPr="00705170">
        <w:rPr>
          <w:rFonts w:ascii="Times New Roman" w:hAnsi="Times New Roman" w:cs="Times New Roman"/>
        </w:rPr>
        <w:t>if</w:t>
      </w:r>
      <w:proofErr w:type="spellEnd"/>
      <w:r w:rsidR="00D457E6" w:rsidRPr="00705170">
        <w:rPr>
          <w:rFonts w:ascii="Times New Roman" w:hAnsi="Times New Roman" w:cs="Times New Roman"/>
        </w:rPr>
        <w:t xml:space="preserve"> a </w:t>
      </w:r>
      <w:proofErr w:type="spellStart"/>
      <w:r w:rsidR="00D457E6" w:rsidRPr="00705170">
        <w:rPr>
          <w:rFonts w:ascii="Times New Roman" w:hAnsi="Times New Roman" w:cs="Times New Roman"/>
        </w:rPr>
        <w:t>disclosed</w:t>
      </w:r>
      <w:proofErr w:type="spellEnd"/>
      <w:r w:rsidR="00D457E6" w:rsidRPr="00705170">
        <w:rPr>
          <w:rFonts w:ascii="Times New Roman" w:hAnsi="Times New Roman" w:cs="Times New Roman"/>
        </w:rPr>
        <w:t xml:space="preserve"> </w:t>
      </w:r>
      <w:proofErr w:type="spellStart"/>
      <w:r w:rsidR="00D457E6" w:rsidRPr="00705170">
        <w:rPr>
          <w:rFonts w:ascii="Times New Roman" w:hAnsi="Times New Roman" w:cs="Times New Roman"/>
        </w:rPr>
        <w:t>information</w:t>
      </w:r>
      <w:proofErr w:type="spellEnd"/>
      <w:r w:rsidR="00D457E6" w:rsidRPr="00705170">
        <w:rPr>
          <w:rFonts w:ascii="Times New Roman" w:hAnsi="Times New Roman" w:cs="Times New Roman"/>
        </w:rPr>
        <w:t xml:space="preserve"> is </w:t>
      </w:r>
      <w:proofErr w:type="spellStart"/>
      <w:r w:rsidR="00D457E6" w:rsidRPr="00705170">
        <w:rPr>
          <w:rFonts w:ascii="Times New Roman" w:hAnsi="Times New Roman" w:cs="Times New Roman"/>
        </w:rPr>
        <w:t>sufficient</w:t>
      </w:r>
      <w:proofErr w:type="spellEnd"/>
      <w:r w:rsidR="00D457E6" w:rsidRPr="00705170">
        <w:rPr>
          <w:rFonts w:ascii="Times New Roman" w:hAnsi="Times New Roman" w:cs="Times New Roman"/>
        </w:rPr>
        <w:t xml:space="preserve"> </w:t>
      </w:r>
      <w:proofErr w:type="spellStart"/>
      <w:r w:rsidR="00D457E6" w:rsidRPr="00705170">
        <w:rPr>
          <w:rFonts w:ascii="Times New Roman" w:hAnsi="Times New Roman" w:cs="Times New Roman"/>
        </w:rPr>
        <w:t>to</w:t>
      </w:r>
      <w:proofErr w:type="spellEnd"/>
      <w:r w:rsidR="00D457E6" w:rsidRPr="00705170">
        <w:rPr>
          <w:rFonts w:ascii="Times New Roman" w:hAnsi="Times New Roman" w:cs="Times New Roman"/>
        </w:rPr>
        <w:t xml:space="preserve"> </w:t>
      </w:r>
      <w:proofErr w:type="spellStart"/>
      <w:r w:rsidR="00D457E6" w:rsidRPr="00705170">
        <w:rPr>
          <w:rFonts w:ascii="Times New Roman" w:hAnsi="Times New Roman" w:cs="Times New Roman"/>
        </w:rPr>
        <w:t>establish</w:t>
      </w:r>
      <w:proofErr w:type="spellEnd"/>
      <w:r w:rsidR="00D457E6" w:rsidRPr="00705170">
        <w:rPr>
          <w:rFonts w:ascii="Times New Roman" w:hAnsi="Times New Roman" w:cs="Times New Roman"/>
        </w:rPr>
        <w:t xml:space="preserve"> an </w:t>
      </w:r>
      <w:proofErr w:type="spellStart"/>
      <w:r w:rsidR="00D457E6" w:rsidRPr="00705170">
        <w:rPr>
          <w:rFonts w:ascii="Times New Roman" w:hAnsi="Times New Roman" w:cs="Times New Roman"/>
        </w:rPr>
        <w:t>expectation</w:t>
      </w:r>
      <w:proofErr w:type="spellEnd"/>
      <w:r w:rsidR="00D457E6" w:rsidRPr="00705170">
        <w:rPr>
          <w:rFonts w:ascii="Times New Roman" w:hAnsi="Times New Roman" w:cs="Times New Roman"/>
        </w:rPr>
        <w:t xml:space="preserve"> on </w:t>
      </w:r>
      <w:proofErr w:type="spellStart"/>
      <w:r w:rsidR="00D457E6" w:rsidRPr="00705170">
        <w:rPr>
          <w:rFonts w:ascii="Times New Roman" w:hAnsi="Times New Roman" w:cs="Times New Roman"/>
        </w:rPr>
        <w:t>the</w:t>
      </w:r>
      <w:proofErr w:type="spellEnd"/>
      <w:r w:rsidR="00D457E6" w:rsidRPr="00705170">
        <w:rPr>
          <w:rFonts w:ascii="Times New Roman" w:hAnsi="Times New Roman" w:cs="Times New Roman"/>
        </w:rPr>
        <w:t xml:space="preserve"> </w:t>
      </w:r>
      <w:proofErr w:type="spellStart"/>
      <w:r w:rsidR="00D457E6" w:rsidRPr="00705170">
        <w:rPr>
          <w:rFonts w:ascii="Times New Roman" w:hAnsi="Times New Roman" w:cs="Times New Roman"/>
        </w:rPr>
        <w:t>investors</w:t>
      </w:r>
      <w:proofErr w:type="spellEnd"/>
      <w:r w:rsidR="00D457E6" w:rsidRPr="00705170">
        <w:rPr>
          <w:rFonts w:ascii="Times New Roman" w:hAnsi="Times New Roman" w:cs="Times New Roman"/>
        </w:rPr>
        <w:t xml:space="preserve">’ </w:t>
      </w:r>
      <w:proofErr w:type="spellStart"/>
      <w:r w:rsidR="00D457E6" w:rsidRPr="00705170">
        <w:rPr>
          <w:rFonts w:ascii="Times New Roman" w:hAnsi="Times New Roman" w:cs="Times New Roman"/>
        </w:rPr>
        <w:t>side</w:t>
      </w:r>
      <w:proofErr w:type="spellEnd"/>
      <w:r w:rsidR="00D457E6" w:rsidRPr="00705170">
        <w:rPr>
          <w:rFonts w:ascii="Times New Roman" w:hAnsi="Times New Roman" w:cs="Times New Roman"/>
        </w:rPr>
        <w:t xml:space="preserve">, it can be </w:t>
      </w:r>
      <w:proofErr w:type="spellStart"/>
      <w:r w:rsidR="00D457E6" w:rsidRPr="00705170">
        <w:rPr>
          <w:rFonts w:ascii="Times New Roman" w:hAnsi="Times New Roman" w:cs="Times New Roman"/>
        </w:rPr>
        <w:t>presumed</w:t>
      </w:r>
      <w:proofErr w:type="spellEnd"/>
      <w:r w:rsidR="00D457E6" w:rsidRPr="00705170">
        <w:rPr>
          <w:rFonts w:ascii="Times New Roman" w:hAnsi="Times New Roman" w:cs="Times New Roman"/>
        </w:rPr>
        <w:t xml:space="preserve"> </w:t>
      </w:r>
      <w:proofErr w:type="spellStart"/>
      <w:r w:rsidR="00D457E6" w:rsidRPr="00705170">
        <w:rPr>
          <w:rFonts w:ascii="Times New Roman" w:hAnsi="Times New Roman" w:cs="Times New Roman"/>
        </w:rPr>
        <w:t>that</w:t>
      </w:r>
      <w:proofErr w:type="spellEnd"/>
      <w:r w:rsidR="00D457E6" w:rsidRPr="00705170">
        <w:rPr>
          <w:rFonts w:ascii="Times New Roman" w:hAnsi="Times New Roman" w:cs="Times New Roman"/>
        </w:rPr>
        <w:t xml:space="preserve"> </w:t>
      </w:r>
      <w:proofErr w:type="spellStart"/>
      <w:r w:rsidR="00D457E6" w:rsidRPr="00705170">
        <w:rPr>
          <w:rFonts w:ascii="Times New Roman" w:hAnsi="Times New Roman" w:cs="Times New Roman"/>
        </w:rPr>
        <w:t>the</w:t>
      </w:r>
      <w:proofErr w:type="spellEnd"/>
      <w:r w:rsidR="00D457E6" w:rsidRPr="00705170">
        <w:rPr>
          <w:rFonts w:ascii="Times New Roman" w:hAnsi="Times New Roman" w:cs="Times New Roman"/>
        </w:rPr>
        <w:t xml:space="preserve"> </w:t>
      </w:r>
      <w:proofErr w:type="spellStart"/>
      <w:r w:rsidR="00D457E6" w:rsidRPr="00705170">
        <w:rPr>
          <w:rFonts w:ascii="Times New Roman" w:hAnsi="Times New Roman" w:cs="Times New Roman"/>
        </w:rPr>
        <w:t>expectation</w:t>
      </w:r>
      <w:proofErr w:type="spellEnd"/>
      <w:r w:rsidR="00D457E6" w:rsidRPr="00705170">
        <w:rPr>
          <w:rFonts w:ascii="Times New Roman" w:hAnsi="Times New Roman" w:cs="Times New Roman"/>
        </w:rPr>
        <w:t xml:space="preserve"> is </w:t>
      </w:r>
      <w:proofErr w:type="spellStart"/>
      <w:r w:rsidR="00D457E6" w:rsidRPr="00705170">
        <w:rPr>
          <w:rFonts w:ascii="Times New Roman" w:hAnsi="Times New Roman" w:cs="Times New Roman"/>
        </w:rPr>
        <w:t>present</w:t>
      </w:r>
      <w:proofErr w:type="spellEnd"/>
      <w:r w:rsidR="00D457E6" w:rsidRPr="00705170">
        <w:rPr>
          <w:rFonts w:ascii="Times New Roman" w:hAnsi="Times New Roman" w:cs="Times New Roman"/>
        </w:rPr>
        <w:t>.</w:t>
      </w:r>
    </w:p>
    <w:p w14:paraId="2BE4543D" w14:textId="192D09FF" w:rsidR="003E453C" w:rsidRPr="00705170" w:rsidRDefault="00A050EF" w:rsidP="003E453C">
      <w:pPr>
        <w:spacing w:after="240" w:line="480" w:lineRule="auto"/>
        <w:ind w:firstLine="720"/>
        <w:jc w:val="both"/>
        <w:rPr>
          <w:rFonts w:ascii="Times New Roman" w:hAnsi="Times New Roman" w:cs="Times New Roman"/>
        </w:rPr>
      </w:pPr>
      <w:r w:rsidRPr="00705170">
        <w:rPr>
          <w:rFonts w:ascii="Times New Roman" w:hAnsi="Times New Roman" w:cs="Times New Roman"/>
        </w:rPr>
        <w:t xml:space="preserve">As </w:t>
      </w:r>
      <w:proofErr w:type="spellStart"/>
      <w:r w:rsidR="004A4931" w:rsidRPr="00705170">
        <w:rPr>
          <w:rFonts w:ascii="Times New Roman" w:hAnsi="Times New Roman" w:cs="Times New Roman"/>
        </w:rPr>
        <w:t>the</w:t>
      </w:r>
      <w:proofErr w:type="spellEnd"/>
      <w:r w:rsidR="004A4931" w:rsidRPr="00705170">
        <w:rPr>
          <w:rFonts w:ascii="Times New Roman" w:hAnsi="Times New Roman" w:cs="Times New Roman"/>
        </w:rPr>
        <w:t xml:space="preserve"> </w:t>
      </w:r>
      <w:proofErr w:type="spellStart"/>
      <w:r w:rsidR="004A4931" w:rsidRPr="00705170">
        <w:rPr>
          <w:rFonts w:ascii="Times New Roman" w:hAnsi="Times New Roman" w:cs="Times New Roman"/>
        </w:rPr>
        <w:t>information</w:t>
      </w:r>
      <w:proofErr w:type="spellEnd"/>
      <w:r w:rsidR="004A4931" w:rsidRPr="00705170">
        <w:rPr>
          <w:rFonts w:ascii="Times New Roman" w:hAnsi="Times New Roman" w:cs="Times New Roman"/>
        </w:rPr>
        <w:t xml:space="preserve"> </w:t>
      </w:r>
      <w:proofErr w:type="spellStart"/>
      <w:r w:rsidR="004A4931" w:rsidRPr="00705170">
        <w:rPr>
          <w:rFonts w:ascii="Times New Roman" w:hAnsi="Times New Roman" w:cs="Times New Roman"/>
        </w:rPr>
        <w:t>disclosed</w:t>
      </w:r>
      <w:proofErr w:type="spellEnd"/>
      <w:r w:rsidR="004A4931" w:rsidRPr="00705170">
        <w:rPr>
          <w:rFonts w:ascii="Times New Roman" w:hAnsi="Times New Roman" w:cs="Times New Roman"/>
        </w:rPr>
        <w:t xml:space="preserve"> on </w:t>
      </w:r>
      <w:proofErr w:type="spellStart"/>
      <w:r w:rsidR="004A4931" w:rsidRPr="00705170">
        <w:rPr>
          <w:rFonts w:ascii="Times New Roman" w:hAnsi="Times New Roman" w:cs="Times New Roman"/>
        </w:rPr>
        <w:t>the</w:t>
      </w:r>
      <w:proofErr w:type="spellEnd"/>
      <w:r w:rsidR="004A4931" w:rsidRPr="00705170">
        <w:rPr>
          <w:rFonts w:ascii="Times New Roman" w:hAnsi="Times New Roman" w:cs="Times New Roman"/>
        </w:rPr>
        <w:t xml:space="preserve"> </w:t>
      </w:r>
      <w:proofErr w:type="spellStart"/>
      <w:r w:rsidR="00591FA3" w:rsidRPr="00705170">
        <w:rPr>
          <w:rFonts w:ascii="Times New Roman" w:hAnsi="Times New Roman" w:cs="Times New Roman"/>
        </w:rPr>
        <w:t>public</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disclosure</w:t>
      </w:r>
      <w:proofErr w:type="spellEnd"/>
      <w:r w:rsidR="00591FA3" w:rsidRPr="00705170">
        <w:rPr>
          <w:rFonts w:ascii="Times New Roman" w:hAnsi="Times New Roman" w:cs="Times New Roman"/>
        </w:rPr>
        <w:t xml:space="preserve"> </w:t>
      </w:r>
      <w:r w:rsidR="004A4931" w:rsidRPr="00705170">
        <w:rPr>
          <w:rFonts w:ascii="Times New Roman" w:hAnsi="Times New Roman" w:cs="Times New Roman"/>
        </w:rPr>
        <w:t xml:space="preserve">platform is </w:t>
      </w:r>
      <w:proofErr w:type="spellStart"/>
      <w:r w:rsidR="004A4931" w:rsidRPr="00705170">
        <w:rPr>
          <w:rFonts w:ascii="Times New Roman" w:hAnsi="Times New Roman" w:cs="Times New Roman"/>
        </w:rPr>
        <w:t>due</w:t>
      </w:r>
      <w:proofErr w:type="spellEnd"/>
      <w:r w:rsidR="004A4931" w:rsidRPr="00705170">
        <w:rPr>
          <w:rFonts w:ascii="Times New Roman" w:hAnsi="Times New Roman" w:cs="Times New Roman"/>
        </w:rPr>
        <w:t xml:space="preserve"> </w:t>
      </w:r>
      <w:proofErr w:type="spellStart"/>
      <w:r w:rsidR="004A4931" w:rsidRPr="00705170">
        <w:rPr>
          <w:rFonts w:ascii="Times New Roman" w:hAnsi="Times New Roman" w:cs="Times New Roman"/>
        </w:rPr>
        <w:t>to</w:t>
      </w:r>
      <w:proofErr w:type="spellEnd"/>
      <w:r w:rsidR="004A4931" w:rsidRPr="00705170">
        <w:rPr>
          <w:rFonts w:ascii="Times New Roman" w:hAnsi="Times New Roman" w:cs="Times New Roman"/>
        </w:rPr>
        <w:t xml:space="preserve"> </w:t>
      </w:r>
      <w:proofErr w:type="spellStart"/>
      <w:r w:rsidR="004A4931" w:rsidRPr="00705170">
        <w:rPr>
          <w:rFonts w:ascii="Times New Roman" w:hAnsi="Times New Roman" w:cs="Times New Roman"/>
        </w:rPr>
        <w:t>the</w:t>
      </w:r>
      <w:proofErr w:type="spellEnd"/>
      <w:r w:rsidR="004A4931" w:rsidRPr="00705170">
        <w:rPr>
          <w:rFonts w:ascii="Times New Roman" w:hAnsi="Times New Roman" w:cs="Times New Roman"/>
        </w:rPr>
        <w:t xml:space="preserve"> </w:t>
      </w:r>
      <w:proofErr w:type="spellStart"/>
      <w:r w:rsidR="004A4931" w:rsidRPr="00705170">
        <w:rPr>
          <w:rFonts w:ascii="Times New Roman" w:hAnsi="Times New Roman" w:cs="Times New Roman"/>
        </w:rPr>
        <w:t>prescription</w:t>
      </w:r>
      <w:proofErr w:type="spellEnd"/>
      <w:r w:rsidR="004A4931" w:rsidRPr="00705170">
        <w:rPr>
          <w:rFonts w:ascii="Times New Roman" w:hAnsi="Times New Roman" w:cs="Times New Roman"/>
        </w:rPr>
        <w:t xml:space="preserve"> of </w:t>
      </w:r>
      <w:proofErr w:type="spellStart"/>
      <w:r w:rsidR="004A4931" w:rsidRPr="00705170">
        <w:rPr>
          <w:rFonts w:ascii="Times New Roman" w:hAnsi="Times New Roman" w:cs="Times New Roman"/>
        </w:rPr>
        <w:t>the</w:t>
      </w:r>
      <w:proofErr w:type="spellEnd"/>
      <w:r w:rsidR="004A4931" w:rsidRPr="00705170">
        <w:rPr>
          <w:rFonts w:ascii="Times New Roman" w:hAnsi="Times New Roman" w:cs="Times New Roman"/>
        </w:rPr>
        <w:t xml:space="preserve"> </w:t>
      </w:r>
      <w:proofErr w:type="spellStart"/>
      <w:r w:rsidR="004A4931" w:rsidRPr="00705170">
        <w:rPr>
          <w:rFonts w:ascii="Times New Roman" w:hAnsi="Times New Roman" w:cs="Times New Roman"/>
        </w:rPr>
        <w:t>mandatory</w:t>
      </w:r>
      <w:proofErr w:type="spellEnd"/>
      <w:r w:rsidR="004A4931" w:rsidRPr="00705170">
        <w:rPr>
          <w:rFonts w:ascii="Times New Roman" w:hAnsi="Times New Roman" w:cs="Times New Roman"/>
        </w:rPr>
        <w:t xml:space="preserve"> </w:t>
      </w:r>
      <w:proofErr w:type="spellStart"/>
      <w:r w:rsidR="004A4931" w:rsidRPr="00705170">
        <w:rPr>
          <w:rFonts w:ascii="Times New Roman" w:hAnsi="Times New Roman" w:cs="Times New Roman"/>
        </w:rPr>
        <w:t>rules</w:t>
      </w:r>
      <w:proofErr w:type="spellEnd"/>
      <w:r w:rsidR="004A4931" w:rsidRPr="00705170">
        <w:rPr>
          <w:rFonts w:ascii="Times New Roman" w:hAnsi="Times New Roman" w:cs="Times New Roman"/>
        </w:rPr>
        <w:t xml:space="preserve"> of </w:t>
      </w:r>
      <w:proofErr w:type="spellStart"/>
      <w:r w:rsidR="002961E4">
        <w:rPr>
          <w:rFonts w:ascii="Times New Roman" w:hAnsi="Times New Roman" w:cs="Times New Roman"/>
        </w:rPr>
        <w:t>capital</w:t>
      </w:r>
      <w:proofErr w:type="spellEnd"/>
      <w:r w:rsidR="002961E4">
        <w:rPr>
          <w:rFonts w:ascii="Times New Roman" w:hAnsi="Times New Roman" w:cs="Times New Roman"/>
        </w:rPr>
        <w:t xml:space="preserve"> market</w:t>
      </w:r>
      <w:r w:rsidR="002961E4" w:rsidRPr="00705170">
        <w:rPr>
          <w:rFonts w:ascii="Times New Roman" w:hAnsi="Times New Roman" w:cs="Times New Roman"/>
        </w:rPr>
        <w:t xml:space="preserve"> </w:t>
      </w:r>
      <w:proofErr w:type="spellStart"/>
      <w:r w:rsidR="004A4931" w:rsidRPr="00705170">
        <w:rPr>
          <w:rFonts w:ascii="Times New Roman" w:hAnsi="Times New Roman" w:cs="Times New Roman"/>
        </w:rPr>
        <w:t>law</w:t>
      </w:r>
      <w:proofErr w:type="spellEnd"/>
      <w:r w:rsidR="004A4931"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information</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statutorily</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supplement</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the</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terms</w:t>
      </w:r>
      <w:proofErr w:type="spellEnd"/>
      <w:r w:rsidR="00591FA3" w:rsidRPr="00705170">
        <w:rPr>
          <w:rFonts w:ascii="Times New Roman" w:hAnsi="Times New Roman" w:cs="Times New Roman"/>
        </w:rPr>
        <w:t xml:space="preserve"> of </w:t>
      </w:r>
      <w:proofErr w:type="spellStart"/>
      <w:r w:rsidR="00591FA3" w:rsidRPr="00705170">
        <w:rPr>
          <w:rFonts w:ascii="Times New Roman" w:hAnsi="Times New Roman" w:cs="Times New Roman"/>
        </w:rPr>
        <w:t>the</w:t>
      </w:r>
      <w:proofErr w:type="spellEnd"/>
      <w:r w:rsidR="00591FA3" w:rsidRPr="00705170">
        <w:rPr>
          <w:rFonts w:ascii="Times New Roman" w:hAnsi="Times New Roman" w:cs="Times New Roman"/>
        </w:rPr>
        <w:t xml:space="preserve"> </w:t>
      </w:r>
      <w:proofErr w:type="spellStart"/>
      <w:r w:rsidR="00D04F65" w:rsidRPr="00705170">
        <w:rPr>
          <w:rFonts w:ascii="Times New Roman" w:hAnsi="Times New Roman" w:cs="Times New Roman"/>
        </w:rPr>
        <w:t>corporate</w:t>
      </w:r>
      <w:proofErr w:type="spellEnd"/>
      <w:r w:rsidR="00D04F65" w:rsidRPr="00705170">
        <w:rPr>
          <w:rFonts w:ascii="Times New Roman" w:hAnsi="Times New Roman" w:cs="Times New Roman"/>
        </w:rPr>
        <w:t xml:space="preserve"> </w:t>
      </w:r>
      <w:proofErr w:type="spellStart"/>
      <w:r w:rsidR="00591FA3" w:rsidRPr="00705170">
        <w:rPr>
          <w:rFonts w:ascii="Times New Roman" w:hAnsi="Times New Roman" w:cs="Times New Roman"/>
        </w:rPr>
        <w:t>contract</w:t>
      </w:r>
      <w:proofErr w:type="spellEnd"/>
      <w:r w:rsidR="005B647B" w:rsidRPr="00705170">
        <w:rPr>
          <w:rStyle w:val="DipnotBavurusu"/>
          <w:rFonts w:ascii="Times New Roman" w:hAnsi="Times New Roman" w:cs="Times New Roman"/>
        </w:rPr>
        <w:footnoteReference w:id="807"/>
      </w:r>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Then</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if</w:t>
      </w:r>
      <w:proofErr w:type="spellEnd"/>
      <w:r w:rsidR="00591FA3" w:rsidRPr="00705170">
        <w:rPr>
          <w:rFonts w:ascii="Times New Roman" w:hAnsi="Times New Roman" w:cs="Times New Roman"/>
        </w:rPr>
        <w:t xml:space="preserve"> a </w:t>
      </w:r>
      <w:proofErr w:type="spellStart"/>
      <w:r w:rsidR="00591FA3" w:rsidRPr="00705170">
        <w:rPr>
          <w:rFonts w:ascii="Times New Roman" w:hAnsi="Times New Roman" w:cs="Times New Roman"/>
        </w:rPr>
        <w:t>corporate</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action</w:t>
      </w:r>
      <w:proofErr w:type="spellEnd"/>
      <w:r w:rsidR="00D04F65" w:rsidRPr="00705170">
        <w:rPr>
          <w:rFonts w:ascii="Times New Roman" w:hAnsi="Times New Roman" w:cs="Times New Roman"/>
        </w:rPr>
        <w:t xml:space="preserve"> </w:t>
      </w:r>
      <w:proofErr w:type="spellStart"/>
      <w:r w:rsidR="00D04F65" w:rsidRPr="00705170">
        <w:rPr>
          <w:rFonts w:ascii="Times New Roman" w:hAnsi="Times New Roman" w:cs="Times New Roman"/>
        </w:rPr>
        <w:t>or</w:t>
      </w:r>
      <w:proofErr w:type="spellEnd"/>
      <w:r w:rsidR="00D04F65" w:rsidRPr="00705170">
        <w:rPr>
          <w:rFonts w:ascii="Times New Roman" w:hAnsi="Times New Roman" w:cs="Times New Roman"/>
        </w:rPr>
        <w:t xml:space="preserve"> a </w:t>
      </w:r>
      <w:proofErr w:type="spellStart"/>
      <w:r w:rsidR="00D04F65" w:rsidRPr="00705170">
        <w:rPr>
          <w:rFonts w:ascii="Times New Roman" w:hAnsi="Times New Roman" w:cs="Times New Roman"/>
        </w:rPr>
        <w:t>shareholder</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later</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frustrates</w:t>
      </w:r>
      <w:proofErr w:type="spellEnd"/>
      <w:r w:rsidR="00591FA3" w:rsidRPr="00705170">
        <w:rPr>
          <w:rFonts w:ascii="Times New Roman" w:hAnsi="Times New Roman" w:cs="Times New Roman"/>
        </w:rPr>
        <w:t xml:space="preserve"> </w:t>
      </w:r>
      <w:proofErr w:type="spellStart"/>
      <w:r w:rsidR="003F5379" w:rsidRPr="00705170">
        <w:rPr>
          <w:rFonts w:ascii="Times New Roman" w:hAnsi="Times New Roman" w:cs="Times New Roman"/>
        </w:rPr>
        <w:t>these</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supplement</w:t>
      </w:r>
      <w:r w:rsidR="002961E4">
        <w:rPr>
          <w:rFonts w:ascii="Times New Roman" w:hAnsi="Times New Roman" w:cs="Times New Roman"/>
        </w:rPr>
        <w:t>ed</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terms</w:t>
      </w:r>
      <w:proofErr w:type="spellEnd"/>
      <w:r w:rsidR="00591FA3" w:rsidRPr="00705170">
        <w:rPr>
          <w:rFonts w:ascii="Times New Roman" w:hAnsi="Times New Roman" w:cs="Times New Roman"/>
        </w:rPr>
        <w:t xml:space="preserve">, it </w:t>
      </w:r>
      <w:proofErr w:type="spellStart"/>
      <w:r w:rsidR="00591FA3" w:rsidRPr="00705170">
        <w:rPr>
          <w:rFonts w:ascii="Times New Roman" w:hAnsi="Times New Roman" w:cs="Times New Roman"/>
        </w:rPr>
        <w:t>would</w:t>
      </w:r>
      <w:proofErr w:type="spellEnd"/>
      <w:r w:rsidR="00591FA3" w:rsidRPr="00705170">
        <w:rPr>
          <w:rFonts w:ascii="Times New Roman" w:hAnsi="Times New Roman" w:cs="Times New Roman"/>
        </w:rPr>
        <w:t xml:space="preserve"> be </w:t>
      </w:r>
      <w:proofErr w:type="spellStart"/>
      <w:r w:rsidR="00591FA3" w:rsidRPr="00705170">
        <w:rPr>
          <w:rFonts w:ascii="Times New Roman" w:hAnsi="Times New Roman" w:cs="Times New Roman"/>
        </w:rPr>
        <w:t>violating</w:t>
      </w:r>
      <w:proofErr w:type="spellEnd"/>
      <w:r w:rsidR="00591FA3" w:rsidRPr="00705170">
        <w:rPr>
          <w:rFonts w:ascii="Times New Roman" w:hAnsi="Times New Roman" w:cs="Times New Roman"/>
        </w:rPr>
        <w:t xml:space="preserve"> </w:t>
      </w:r>
      <w:proofErr w:type="spellStart"/>
      <w:r w:rsidR="00D04F65" w:rsidRPr="00705170">
        <w:rPr>
          <w:rFonts w:ascii="Times New Roman" w:hAnsi="Times New Roman" w:cs="Times New Roman"/>
        </w:rPr>
        <w:t>the</w:t>
      </w:r>
      <w:proofErr w:type="spellEnd"/>
      <w:r w:rsidR="00D04F65" w:rsidRPr="00705170">
        <w:rPr>
          <w:rFonts w:ascii="Times New Roman" w:hAnsi="Times New Roman" w:cs="Times New Roman"/>
        </w:rPr>
        <w:t xml:space="preserve"> </w:t>
      </w:r>
      <w:proofErr w:type="spellStart"/>
      <w:r w:rsidR="00D04F65" w:rsidRPr="00705170">
        <w:rPr>
          <w:rFonts w:ascii="Times New Roman" w:hAnsi="Times New Roman" w:cs="Times New Roman"/>
        </w:rPr>
        <w:t>terms</w:t>
      </w:r>
      <w:proofErr w:type="spellEnd"/>
      <w:r w:rsidR="00D04F65" w:rsidRPr="00705170">
        <w:rPr>
          <w:rFonts w:ascii="Times New Roman" w:hAnsi="Times New Roman" w:cs="Times New Roman"/>
        </w:rPr>
        <w:t xml:space="preserve"> of </w:t>
      </w:r>
      <w:proofErr w:type="spellStart"/>
      <w:r w:rsidR="00D04F65" w:rsidRPr="00705170">
        <w:rPr>
          <w:rFonts w:ascii="Times New Roman" w:hAnsi="Times New Roman" w:cs="Times New Roman"/>
        </w:rPr>
        <w:t>the</w:t>
      </w:r>
      <w:proofErr w:type="spellEnd"/>
      <w:r w:rsidR="00D04F65" w:rsidRPr="00705170">
        <w:rPr>
          <w:rFonts w:ascii="Times New Roman" w:hAnsi="Times New Roman" w:cs="Times New Roman"/>
        </w:rPr>
        <w:t xml:space="preserve"> </w:t>
      </w:r>
      <w:proofErr w:type="spellStart"/>
      <w:r w:rsidR="00D04F65" w:rsidRPr="00705170">
        <w:rPr>
          <w:rFonts w:ascii="Times New Roman" w:hAnsi="Times New Roman" w:cs="Times New Roman"/>
        </w:rPr>
        <w:t>corproate</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contract</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Once</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these</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disclosures</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are</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seen</w:t>
      </w:r>
      <w:proofErr w:type="spellEnd"/>
      <w:r w:rsidR="00591FA3" w:rsidRPr="00705170">
        <w:rPr>
          <w:rFonts w:ascii="Times New Roman" w:hAnsi="Times New Roman" w:cs="Times New Roman"/>
        </w:rPr>
        <w:t xml:space="preserve"> as a </w:t>
      </w:r>
      <w:proofErr w:type="spellStart"/>
      <w:r w:rsidR="00591FA3" w:rsidRPr="00705170">
        <w:rPr>
          <w:rFonts w:ascii="Times New Roman" w:hAnsi="Times New Roman" w:cs="Times New Roman"/>
        </w:rPr>
        <w:t>term</w:t>
      </w:r>
      <w:proofErr w:type="spellEnd"/>
      <w:r w:rsidR="00591FA3" w:rsidRPr="00705170">
        <w:rPr>
          <w:rFonts w:ascii="Times New Roman" w:hAnsi="Times New Roman" w:cs="Times New Roman"/>
        </w:rPr>
        <w:t xml:space="preserve"> of </w:t>
      </w:r>
      <w:proofErr w:type="spellStart"/>
      <w:r w:rsidR="00591FA3" w:rsidRPr="00705170">
        <w:rPr>
          <w:rFonts w:ascii="Times New Roman" w:hAnsi="Times New Roman" w:cs="Times New Roman"/>
        </w:rPr>
        <w:t>the</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contract</w:t>
      </w:r>
      <w:proofErr w:type="spellEnd"/>
      <w:r w:rsidR="00591FA3" w:rsidRPr="00705170">
        <w:rPr>
          <w:rFonts w:ascii="Times New Roman" w:hAnsi="Times New Roman" w:cs="Times New Roman"/>
        </w:rPr>
        <w:t xml:space="preserve">, it is </w:t>
      </w:r>
      <w:proofErr w:type="spellStart"/>
      <w:r w:rsidR="00591FA3" w:rsidRPr="00705170">
        <w:rPr>
          <w:rFonts w:ascii="Times New Roman" w:hAnsi="Times New Roman" w:cs="Times New Roman"/>
        </w:rPr>
        <w:t>easier</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to</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acce</w:t>
      </w:r>
      <w:r w:rsidR="008A7B5A" w:rsidRPr="00705170">
        <w:rPr>
          <w:rFonts w:ascii="Times New Roman" w:hAnsi="Times New Roman" w:cs="Times New Roman"/>
        </w:rPr>
        <w:t>pt</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that</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these</w:t>
      </w:r>
      <w:proofErr w:type="spellEnd"/>
      <w:r w:rsidR="008A7B5A" w:rsidRPr="00705170">
        <w:rPr>
          <w:rFonts w:ascii="Times New Roman" w:hAnsi="Times New Roman" w:cs="Times New Roman"/>
        </w:rPr>
        <w:t xml:space="preserve"> can be </w:t>
      </w:r>
      <w:proofErr w:type="spellStart"/>
      <w:r w:rsidR="008A7B5A" w:rsidRPr="00705170">
        <w:rPr>
          <w:rFonts w:ascii="Times New Roman" w:hAnsi="Times New Roman" w:cs="Times New Roman"/>
        </w:rPr>
        <w:t>basis</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for</w:t>
      </w:r>
      <w:proofErr w:type="spellEnd"/>
      <w:r w:rsidR="00591FA3" w:rsidRPr="00705170">
        <w:rPr>
          <w:rFonts w:ascii="Times New Roman" w:hAnsi="Times New Roman" w:cs="Times New Roman"/>
        </w:rPr>
        <w:t xml:space="preserve"> </w:t>
      </w:r>
      <w:proofErr w:type="spellStart"/>
      <w:r w:rsidR="00591FA3" w:rsidRPr="00705170">
        <w:rPr>
          <w:rFonts w:ascii="Times New Roman" w:hAnsi="Times New Roman" w:cs="Times New Roman"/>
        </w:rPr>
        <w:t>some</w:t>
      </w:r>
      <w:proofErr w:type="spellEnd"/>
      <w:r w:rsidR="00591FA3" w:rsidRPr="00705170">
        <w:rPr>
          <w:rFonts w:ascii="Times New Roman" w:hAnsi="Times New Roman" w:cs="Times New Roman"/>
        </w:rPr>
        <w:t xml:space="preserve"> </w:t>
      </w:r>
      <w:proofErr w:type="spellStart"/>
      <w:r w:rsidR="008A7B5A" w:rsidRPr="00705170">
        <w:rPr>
          <w:rFonts w:ascii="Times New Roman" w:hAnsi="Times New Roman" w:cs="Times New Roman"/>
        </w:rPr>
        <w:t>reasonable</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expectations</w:t>
      </w:r>
      <w:proofErr w:type="spellEnd"/>
      <w:r w:rsidR="008A7B5A" w:rsidRPr="00705170">
        <w:rPr>
          <w:rFonts w:ascii="Times New Roman" w:hAnsi="Times New Roman" w:cs="Times New Roman"/>
        </w:rPr>
        <w:t xml:space="preserve"> of </w:t>
      </w:r>
      <w:proofErr w:type="spellStart"/>
      <w:r w:rsidR="008A7B5A" w:rsidRPr="00705170">
        <w:rPr>
          <w:rFonts w:ascii="Times New Roman" w:hAnsi="Times New Roman" w:cs="Times New Roman"/>
        </w:rPr>
        <w:t>shareholders</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and</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for</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the</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frustration</w:t>
      </w:r>
      <w:proofErr w:type="spellEnd"/>
      <w:r w:rsidR="008A7B5A" w:rsidRPr="00705170">
        <w:rPr>
          <w:rFonts w:ascii="Times New Roman" w:hAnsi="Times New Roman" w:cs="Times New Roman"/>
        </w:rPr>
        <w:t xml:space="preserve"> of </w:t>
      </w:r>
      <w:proofErr w:type="spellStart"/>
      <w:r w:rsidR="008A7B5A" w:rsidRPr="00705170">
        <w:rPr>
          <w:rFonts w:ascii="Times New Roman" w:hAnsi="Times New Roman" w:cs="Times New Roman"/>
        </w:rPr>
        <w:t>these</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expectations</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For</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example</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if</w:t>
      </w:r>
      <w:proofErr w:type="spellEnd"/>
      <w:r w:rsidR="008A7B5A" w:rsidRPr="00705170">
        <w:rPr>
          <w:rFonts w:ascii="Times New Roman" w:hAnsi="Times New Roman" w:cs="Times New Roman"/>
        </w:rPr>
        <w:t xml:space="preserve"> a </w:t>
      </w:r>
      <w:proofErr w:type="spellStart"/>
      <w:r w:rsidR="008A7B5A" w:rsidRPr="00705170">
        <w:rPr>
          <w:rFonts w:ascii="Times New Roman" w:hAnsi="Times New Roman" w:cs="Times New Roman"/>
        </w:rPr>
        <w:t>corporation</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discloses</w:t>
      </w:r>
      <w:proofErr w:type="spellEnd"/>
      <w:r w:rsidR="00D04F65" w:rsidRPr="00705170">
        <w:rPr>
          <w:rFonts w:ascii="Times New Roman" w:hAnsi="Times New Roman" w:cs="Times New Roman"/>
        </w:rPr>
        <w:t xml:space="preserve"> </w:t>
      </w:r>
      <w:r w:rsidR="00B5264C" w:rsidRPr="00705170">
        <w:rPr>
          <w:rFonts w:ascii="Times New Roman" w:hAnsi="Times New Roman" w:cs="Times New Roman"/>
        </w:rPr>
        <w:t xml:space="preserve">as a </w:t>
      </w:r>
      <w:proofErr w:type="spellStart"/>
      <w:r w:rsidR="00B5264C" w:rsidRPr="00705170">
        <w:rPr>
          <w:rFonts w:ascii="Times New Roman" w:hAnsi="Times New Roman" w:cs="Times New Roman"/>
        </w:rPr>
        <w:t>material</w:t>
      </w:r>
      <w:proofErr w:type="spellEnd"/>
      <w:r w:rsidR="00B5264C" w:rsidRPr="00705170">
        <w:rPr>
          <w:rFonts w:ascii="Times New Roman" w:hAnsi="Times New Roman" w:cs="Times New Roman"/>
        </w:rPr>
        <w:t xml:space="preserve"> </w:t>
      </w:r>
      <w:proofErr w:type="spellStart"/>
      <w:r w:rsidR="00B5264C" w:rsidRPr="00705170">
        <w:rPr>
          <w:rFonts w:ascii="Times New Roman" w:hAnsi="Times New Roman" w:cs="Times New Roman"/>
        </w:rPr>
        <w:t>event</w:t>
      </w:r>
      <w:proofErr w:type="spellEnd"/>
      <w:r w:rsidR="00B5264C" w:rsidRPr="00705170">
        <w:rPr>
          <w:rFonts w:ascii="Times New Roman" w:hAnsi="Times New Roman" w:cs="Times New Roman"/>
        </w:rPr>
        <w:t xml:space="preserve"> (</w:t>
      </w:r>
      <w:proofErr w:type="spellStart"/>
      <w:r w:rsidR="00BD5C6E" w:rsidRPr="00705170">
        <w:rPr>
          <w:rFonts w:ascii="Times New Roman" w:hAnsi="Times New Roman" w:cs="Times New Roman"/>
        </w:rPr>
        <w:t>Communique</w:t>
      </w:r>
      <w:proofErr w:type="spellEnd"/>
      <w:r w:rsidR="00BD5C6E" w:rsidRPr="00705170">
        <w:rPr>
          <w:rFonts w:ascii="Times New Roman" w:hAnsi="Times New Roman" w:cs="Times New Roman"/>
        </w:rPr>
        <w:t xml:space="preserve"> on </w:t>
      </w:r>
      <w:proofErr w:type="spellStart"/>
      <w:r w:rsidR="00BD5C6E" w:rsidRPr="00705170">
        <w:rPr>
          <w:rFonts w:ascii="Times New Roman" w:hAnsi="Times New Roman" w:cs="Times New Roman"/>
        </w:rPr>
        <w:t>Material</w:t>
      </w:r>
      <w:proofErr w:type="spellEnd"/>
      <w:r w:rsidR="00BD5C6E" w:rsidRPr="00705170">
        <w:rPr>
          <w:rFonts w:ascii="Times New Roman" w:hAnsi="Times New Roman" w:cs="Times New Roman"/>
        </w:rPr>
        <w:t xml:space="preserve"> </w:t>
      </w:r>
      <w:proofErr w:type="spellStart"/>
      <w:r w:rsidR="00BD5C6E" w:rsidRPr="00705170">
        <w:rPr>
          <w:rFonts w:ascii="Times New Roman" w:hAnsi="Times New Roman" w:cs="Times New Roman"/>
        </w:rPr>
        <w:t>Events</w:t>
      </w:r>
      <w:proofErr w:type="spellEnd"/>
      <w:r w:rsidR="00BD5C6E" w:rsidRPr="00705170">
        <w:rPr>
          <w:rFonts w:ascii="Times New Roman" w:hAnsi="Times New Roman" w:cs="Times New Roman"/>
        </w:rPr>
        <w:t xml:space="preserve"> </w:t>
      </w:r>
      <w:proofErr w:type="spellStart"/>
      <w:r w:rsidR="00BD5C6E" w:rsidRPr="00705170">
        <w:rPr>
          <w:rFonts w:ascii="Times New Roman" w:hAnsi="Times New Roman" w:cs="Times New Roman"/>
        </w:rPr>
        <w:t>Disclosure</w:t>
      </w:r>
      <w:proofErr w:type="spellEnd"/>
      <w:r w:rsidR="00BD5C6E" w:rsidRPr="00705170">
        <w:rPr>
          <w:rFonts w:ascii="Times New Roman" w:hAnsi="Times New Roman" w:cs="Times New Roman"/>
        </w:rPr>
        <w:t xml:space="preserve">, </w:t>
      </w:r>
      <w:proofErr w:type="spellStart"/>
      <w:r w:rsidR="00B5264C" w:rsidRPr="00705170">
        <w:rPr>
          <w:rFonts w:ascii="Times New Roman" w:hAnsi="Times New Roman" w:cs="Times New Roman"/>
        </w:rPr>
        <w:t>Article</w:t>
      </w:r>
      <w:proofErr w:type="spellEnd"/>
      <w:r w:rsidR="00BD5C6E" w:rsidRPr="00705170">
        <w:rPr>
          <w:rFonts w:ascii="Times New Roman" w:hAnsi="Times New Roman" w:cs="Times New Roman"/>
        </w:rPr>
        <w:t xml:space="preserve"> 5</w:t>
      </w:r>
      <w:r w:rsidR="00B5264C" w:rsidRPr="00705170">
        <w:rPr>
          <w:rFonts w:ascii="Times New Roman" w:hAnsi="Times New Roman" w:cs="Times New Roman"/>
        </w:rPr>
        <w:t xml:space="preserve">) </w:t>
      </w:r>
      <w:proofErr w:type="spellStart"/>
      <w:r w:rsidR="00B1599E" w:rsidRPr="00705170">
        <w:rPr>
          <w:rFonts w:ascii="Times New Roman" w:hAnsi="Times New Roman" w:cs="Times New Roman"/>
        </w:rPr>
        <w:t>or</w:t>
      </w:r>
      <w:proofErr w:type="spellEnd"/>
      <w:r w:rsidR="00B1599E" w:rsidRPr="00705170">
        <w:rPr>
          <w:rFonts w:ascii="Times New Roman" w:hAnsi="Times New Roman" w:cs="Times New Roman"/>
        </w:rPr>
        <w:t xml:space="preserve"> </w:t>
      </w:r>
      <w:proofErr w:type="spellStart"/>
      <w:r w:rsidR="00D04F65" w:rsidRPr="00705170">
        <w:rPr>
          <w:rFonts w:ascii="Times New Roman" w:hAnsi="Times New Roman" w:cs="Times New Roman"/>
        </w:rPr>
        <w:t>statement</w:t>
      </w:r>
      <w:proofErr w:type="spellEnd"/>
      <w:r w:rsidR="00D04F65" w:rsidRPr="00705170">
        <w:rPr>
          <w:rFonts w:ascii="Times New Roman" w:hAnsi="Times New Roman" w:cs="Times New Roman"/>
        </w:rPr>
        <w:t xml:space="preserve"> </w:t>
      </w:r>
      <w:proofErr w:type="spellStart"/>
      <w:r w:rsidR="00D04F65" w:rsidRPr="00705170">
        <w:rPr>
          <w:rFonts w:ascii="Times New Roman" w:hAnsi="Times New Roman" w:cs="Times New Roman"/>
        </w:rPr>
        <w:t>for</w:t>
      </w:r>
      <w:proofErr w:type="spellEnd"/>
      <w:r w:rsidR="00D04F65" w:rsidRPr="00705170">
        <w:rPr>
          <w:rFonts w:ascii="Times New Roman" w:hAnsi="Times New Roman" w:cs="Times New Roman"/>
        </w:rPr>
        <w:t xml:space="preserve"> </w:t>
      </w:r>
      <w:proofErr w:type="spellStart"/>
      <w:r w:rsidR="00D04F65" w:rsidRPr="00705170">
        <w:rPr>
          <w:rFonts w:ascii="Times New Roman" w:hAnsi="Times New Roman" w:cs="Times New Roman"/>
        </w:rPr>
        <w:t>t</w:t>
      </w:r>
      <w:r w:rsidR="00B5264C" w:rsidRPr="00705170">
        <w:rPr>
          <w:rFonts w:ascii="Times New Roman" w:hAnsi="Times New Roman" w:cs="Times New Roman"/>
        </w:rPr>
        <w:t>he</w:t>
      </w:r>
      <w:proofErr w:type="spellEnd"/>
      <w:r w:rsidR="00B5264C" w:rsidRPr="00705170">
        <w:rPr>
          <w:rFonts w:ascii="Times New Roman" w:hAnsi="Times New Roman" w:cs="Times New Roman"/>
        </w:rPr>
        <w:t xml:space="preserve"> </w:t>
      </w:r>
      <w:proofErr w:type="spellStart"/>
      <w:r w:rsidR="00B5264C" w:rsidRPr="00705170">
        <w:rPr>
          <w:rFonts w:ascii="Times New Roman" w:hAnsi="Times New Roman" w:cs="Times New Roman"/>
        </w:rPr>
        <w:t>verification</w:t>
      </w:r>
      <w:proofErr w:type="spellEnd"/>
      <w:r w:rsidR="00B5264C" w:rsidRPr="00705170">
        <w:rPr>
          <w:rFonts w:ascii="Times New Roman" w:hAnsi="Times New Roman" w:cs="Times New Roman"/>
        </w:rPr>
        <w:t xml:space="preserve"> of a </w:t>
      </w:r>
      <w:proofErr w:type="spellStart"/>
      <w:r w:rsidR="00B5264C" w:rsidRPr="00705170">
        <w:rPr>
          <w:rFonts w:ascii="Times New Roman" w:hAnsi="Times New Roman" w:cs="Times New Roman"/>
        </w:rPr>
        <w:t>news</w:t>
      </w:r>
      <w:proofErr w:type="spellEnd"/>
      <w:r w:rsidR="00B5264C" w:rsidRPr="00705170">
        <w:rPr>
          <w:rFonts w:ascii="Times New Roman" w:hAnsi="Times New Roman" w:cs="Times New Roman"/>
        </w:rPr>
        <w:t xml:space="preserve"> </w:t>
      </w:r>
      <w:proofErr w:type="spellStart"/>
      <w:r w:rsidR="00B5264C" w:rsidRPr="00705170">
        <w:rPr>
          <w:rFonts w:ascii="Times New Roman" w:hAnsi="Times New Roman" w:cs="Times New Roman"/>
        </w:rPr>
        <w:t>or</w:t>
      </w:r>
      <w:proofErr w:type="spellEnd"/>
      <w:r w:rsidR="00B5264C" w:rsidRPr="00705170">
        <w:rPr>
          <w:rFonts w:ascii="Times New Roman" w:hAnsi="Times New Roman" w:cs="Times New Roman"/>
        </w:rPr>
        <w:t xml:space="preserve"> </w:t>
      </w:r>
      <w:proofErr w:type="spellStart"/>
      <w:r w:rsidR="00B5264C" w:rsidRPr="00705170">
        <w:rPr>
          <w:rFonts w:ascii="Times New Roman" w:hAnsi="Times New Roman" w:cs="Times New Roman"/>
        </w:rPr>
        <w:t>rumour</w:t>
      </w:r>
      <w:proofErr w:type="spellEnd"/>
      <w:r w:rsidR="00B5264C" w:rsidRPr="00705170">
        <w:rPr>
          <w:rFonts w:ascii="Times New Roman" w:hAnsi="Times New Roman" w:cs="Times New Roman"/>
        </w:rPr>
        <w:t xml:space="preserve"> (</w:t>
      </w:r>
      <w:proofErr w:type="spellStart"/>
      <w:r w:rsidR="00BD5C6E" w:rsidRPr="00705170">
        <w:rPr>
          <w:rFonts w:ascii="Times New Roman" w:hAnsi="Times New Roman" w:cs="Times New Roman"/>
        </w:rPr>
        <w:t>Communique</w:t>
      </w:r>
      <w:proofErr w:type="spellEnd"/>
      <w:r w:rsidR="00BD5C6E" w:rsidRPr="00705170">
        <w:rPr>
          <w:rFonts w:ascii="Times New Roman" w:hAnsi="Times New Roman" w:cs="Times New Roman"/>
        </w:rPr>
        <w:t xml:space="preserve"> on </w:t>
      </w:r>
      <w:proofErr w:type="spellStart"/>
      <w:r w:rsidR="00BD5C6E" w:rsidRPr="00705170">
        <w:rPr>
          <w:rFonts w:ascii="Times New Roman" w:hAnsi="Times New Roman" w:cs="Times New Roman"/>
        </w:rPr>
        <w:t>Material</w:t>
      </w:r>
      <w:proofErr w:type="spellEnd"/>
      <w:r w:rsidR="00BD5C6E" w:rsidRPr="00705170">
        <w:rPr>
          <w:rFonts w:ascii="Times New Roman" w:hAnsi="Times New Roman" w:cs="Times New Roman"/>
        </w:rPr>
        <w:t xml:space="preserve"> </w:t>
      </w:r>
      <w:proofErr w:type="spellStart"/>
      <w:r w:rsidR="00BD5C6E" w:rsidRPr="00705170">
        <w:rPr>
          <w:rFonts w:ascii="Times New Roman" w:hAnsi="Times New Roman" w:cs="Times New Roman"/>
        </w:rPr>
        <w:t>Events</w:t>
      </w:r>
      <w:proofErr w:type="spellEnd"/>
      <w:r w:rsidR="00BD5C6E" w:rsidRPr="00705170">
        <w:rPr>
          <w:rFonts w:ascii="Times New Roman" w:hAnsi="Times New Roman" w:cs="Times New Roman"/>
        </w:rPr>
        <w:t xml:space="preserve"> </w:t>
      </w:r>
      <w:proofErr w:type="spellStart"/>
      <w:r w:rsidR="00BD5C6E" w:rsidRPr="00705170">
        <w:rPr>
          <w:rFonts w:ascii="Times New Roman" w:hAnsi="Times New Roman" w:cs="Times New Roman"/>
        </w:rPr>
        <w:t>Disclosure</w:t>
      </w:r>
      <w:proofErr w:type="spellEnd"/>
      <w:r w:rsidR="00BD5C6E" w:rsidRPr="00705170">
        <w:rPr>
          <w:rFonts w:ascii="Times New Roman" w:hAnsi="Times New Roman" w:cs="Times New Roman"/>
        </w:rPr>
        <w:t xml:space="preserve">, </w:t>
      </w:r>
      <w:proofErr w:type="spellStart"/>
      <w:r w:rsidR="00B5264C" w:rsidRPr="00705170">
        <w:rPr>
          <w:rFonts w:ascii="Times New Roman" w:hAnsi="Times New Roman" w:cs="Times New Roman"/>
        </w:rPr>
        <w:t>Article</w:t>
      </w:r>
      <w:proofErr w:type="spellEnd"/>
      <w:r w:rsidR="00B5264C" w:rsidRPr="00705170">
        <w:rPr>
          <w:rFonts w:ascii="Times New Roman" w:hAnsi="Times New Roman" w:cs="Times New Roman"/>
        </w:rPr>
        <w:t xml:space="preserve"> 9(1))</w:t>
      </w:r>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under</w:t>
      </w:r>
      <w:proofErr w:type="spellEnd"/>
      <w:r w:rsidR="00D74362" w:rsidRPr="00705170">
        <w:rPr>
          <w:rFonts w:ascii="Times New Roman" w:hAnsi="Times New Roman" w:cs="Times New Roman"/>
        </w:rPr>
        <w:t xml:space="preserve"> </w:t>
      </w:r>
      <w:proofErr w:type="spellStart"/>
      <w:r w:rsidR="00FF2E24" w:rsidRPr="00705170">
        <w:rPr>
          <w:rFonts w:ascii="Times New Roman" w:hAnsi="Times New Roman" w:cs="Times New Roman"/>
        </w:rPr>
        <w:t>disclosure</w:t>
      </w:r>
      <w:proofErr w:type="spellEnd"/>
      <w:r w:rsidR="00FF2E24" w:rsidRPr="00705170">
        <w:rPr>
          <w:rFonts w:ascii="Times New Roman" w:hAnsi="Times New Roman" w:cs="Times New Roman"/>
        </w:rPr>
        <w:t xml:space="preserve"> on </w:t>
      </w:r>
      <w:proofErr w:type="spellStart"/>
      <w:r w:rsidR="00FF2E24" w:rsidRPr="00705170">
        <w:rPr>
          <w:rFonts w:ascii="Times New Roman" w:hAnsi="Times New Roman" w:cs="Times New Roman"/>
        </w:rPr>
        <w:t>current</w:t>
      </w:r>
      <w:proofErr w:type="spellEnd"/>
      <w:r w:rsidR="00FF2E24" w:rsidRPr="00705170">
        <w:rPr>
          <w:rFonts w:ascii="Times New Roman" w:hAnsi="Times New Roman" w:cs="Times New Roman"/>
        </w:rPr>
        <w:t xml:space="preserve"> </w:t>
      </w:r>
      <w:proofErr w:type="spellStart"/>
      <w:r w:rsidR="00FF2E24" w:rsidRPr="00705170">
        <w:rPr>
          <w:rFonts w:ascii="Times New Roman" w:hAnsi="Times New Roman" w:cs="Times New Roman"/>
        </w:rPr>
        <w:t>basis</w:t>
      </w:r>
      <w:proofErr w:type="spellEnd"/>
      <w:r w:rsidR="00D74362" w:rsidRPr="00705170">
        <w:rPr>
          <w:rFonts w:ascii="Times New Roman" w:hAnsi="Times New Roman" w:cs="Times New Roman"/>
        </w:rPr>
        <w:t>)</w:t>
      </w:r>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the</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fact</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that</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they</w:t>
      </w:r>
      <w:proofErr w:type="spellEnd"/>
      <w:r w:rsidR="008A7B5A" w:rsidRPr="00705170">
        <w:rPr>
          <w:rFonts w:ascii="Times New Roman" w:hAnsi="Times New Roman" w:cs="Times New Roman"/>
        </w:rPr>
        <w:t xml:space="preserve"> do not </w:t>
      </w:r>
      <w:proofErr w:type="spellStart"/>
      <w:r w:rsidR="008A7B5A" w:rsidRPr="00705170">
        <w:rPr>
          <w:rFonts w:ascii="Times New Roman" w:hAnsi="Times New Roman" w:cs="Times New Roman"/>
        </w:rPr>
        <w:t>endorse</w:t>
      </w:r>
      <w:proofErr w:type="spellEnd"/>
      <w:r w:rsidR="008A7B5A" w:rsidRPr="00705170">
        <w:rPr>
          <w:rFonts w:ascii="Times New Roman" w:hAnsi="Times New Roman" w:cs="Times New Roman"/>
        </w:rPr>
        <w:t xml:space="preserve"> a </w:t>
      </w:r>
      <w:proofErr w:type="spellStart"/>
      <w:r w:rsidR="008A7B5A" w:rsidRPr="00705170">
        <w:rPr>
          <w:rFonts w:ascii="Times New Roman" w:hAnsi="Times New Roman" w:cs="Times New Roman"/>
        </w:rPr>
        <w:t>particular</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government</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policy</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thus</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did</w:t>
      </w:r>
      <w:proofErr w:type="spellEnd"/>
      <w:r w:rsidR="008A7B5A" w:rsidRPr="00705170">
        <w:rPr>
          <w:rFonts w:ascii="Times New Roman" w:hAnsi="Times New Roman" w:cs="Times New Roman"/>
        </w:rPr>
        <w:t xml:space="preserve"> not </w:t>
      </w:r>
      <w:proofErr w:type="spellStart"/>
      <w:r w:rsidR="008A7B5A" w:rsidRPr="00705170">
        <w:rPr>
          <w:rFonts w:ascii="Times New Roman" w:hAnsi="Times New Roman" w:cs="Times New Roman"/>
        </w:rPr>
        <w:t>contribute</w:t>
      </w:r>
      <w:proofErr w:type="spellEnd"/>
      <w:r w:rsidR="008A7B5A" w:rsidRPr="00705170">
        <w:rPr>
          <w:rFonts w:ascii="Times New Roman" w:hAnsi="Times New Roman" w:cs="Times New Roman"/>
        </w:rPr>
        <w:t xml:space="preserve"> in a </w:t>
      </w:r>
      <w:proofErr w:type="spellStart"/>
      <w:r w:rsidR="008A7B5A" w:rsidRPr="00705170">
        <w:rPr>
          <w:rFonts w:ascii="Times New Roman" w:hAnsi="Times New Roman" w:cs="Times New Roman"/>
        </w:rPr>
        <w:t>campaign</w:t>
      </w:r>
      <w:proofErr w:type="spellEnd"/>
      <w:r w:rsidR="008A7B5A" w:rsidRPr="00705170">
        <w:rPr>
          <w:rFonts w:ascii="Times New Roman" w:hAnsi="Times New Roman" w:cs="Times New Roman"/>
        </w:rPr>
        <w:t xml:space="preserve"> </w:t>
      </w:r>
      <w:proofErr w:type="spellStart"/>
      <w:r w:rsidR="008A7B5A" w:rsidRPr="00705170">
        <w:rPr>
          <w:rFonts w:ascii="Times New Roman" w:hAnsi="Times New Roman" w:cs="Times New Roman"/>
        </w:rPr>
        <w:t>to</w:t>
      </w:r>
      <w:proofErr w:type="spellEnd"/>
      <w:r w:rsidR="008A7B5A" w:rsidRPr="00705170">
        <w:rPr>
          <w:rFonts w:ascii="Times New Roman" w:hAnsi="Times New Roman" w:cs="Times New Roman"/>
        </w:rPr>
        <w:t xml:space="preserve"> </w:t>
      </w:r>
      <w:proofErr w:type="spellStart"/>
      <w:r w:rsidR="00D74362" w:rsidRPr="00705170">
        <w:rPr>
          <w:rFonts w:ascii="Times New Roman" w:hAnsi="Times New Roman" w:cs="Times New Roman"/>
        </w:rPr>
        <w:t>fund</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abortions</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if</w:t>
      </w:r>
      <w:proofErr w:type="spellEnd"/>
      <w:r w:rsidR="00D74362" w:rsidRPr="00705170">
        <w:rPr>
          <w:rFonts w:ascii="Times New Roman" w:hAnsi="Times New Roman" w:cs="Times New Roman"/>
        </w:rPr>
        <w:t xml:space="preserve"> it </w:t>
      </w:r>
      <w:proofErr w:type="spellStart"/>
      <w:r w:rsidR="00D74362" w:rsidRPr="00705170">
        <w:rPr>
          <w:rFonts w:ascii="Times New Roman" w:hAnsi="Times New Roman" w:cs="Times New Roman"/>
        </w:rPr>
        <w:t>later</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changes</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this</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policy</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and</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funds</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abortions</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without</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disclosing</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that</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the</w:t>
      </w:r>
      <w:proofErr w:type="spellEnd"/>
      <w:r w:rsidR="00D74362" w:rsidRPr="00705170">
        <w:rPr>
          <w:rFonts w:ascii="Times New Roman" w:hAnsi="Times New Roman" w:cs="Times New Roman"/>
        </w:rPr>
        <w:t xml:space="preserve"> </w:t>
      </w:r>
      <w:proofErr w:type="spellStart"/>
      <w:r w:rsidR="00D04F65" w:rsidRPr="00705170">
        <w:rPr>
          <w:rFonts w:ascii="Times New Roman" w:hAnsi="Times New Roman" w:cs="Times New Roman"/>
        </w:rPr>
        <w:t>corporate</w:t>
      </w:r>
      <w:proofErr w:type="spellEnd"/>
      <w:r w:rsidR="00D04F65" w:rsidRPr="00705170">
        <w:rPr>
          <w:rFonts w:ascii="Times New Roman" w:hAnsi="Times New Roman" w:cs="Times New Roman"/>
        </w:rPr>
        <w:t xml:space="preserve"> </w:t>
      </w:r>
      <w:proofErr w:type="spellStart"/>
      <w:r w:rsidR="00D74362" w:rsidRPr="00705170">
        <w:rPr>
          <w:rFonts w:ascii="Times New Roman" w:hAnsi="Times New Roman" w:cs="Times New Roman"/>
        </w:rPr>
        <w:t>policy</w:t>
      </w:r>
      <w:proofErr w:type="spellEnd"/>
      <w:r w:rsidR="00D74362" w:rsidRPr="00705170">
        <w:rPr>
          <w:rFonts w:ascii="Times New Roman" w:hAnsi="Times New Roman" w:cs="Times New Roman"/>
        </w:rPr>
        <w:t xml:space="preserve"> has </w:t>
      </w:r>
      <w:proofErr w:type="spellStart"/>
      <w:r w:rsidR="00D74362" w:rsidRPr="00705170">
        <w:rPr>
          <w:rFonts w:ascii="Times New Roman" w:hAnsi="Times New Roman" w:cs="Times New Roman"/>
        </w:rPr>
        <w:t>been</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changed</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they</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would</w:t>
      </w:r>
      <w:proofErr w:type="spellEnd"/>
      <w:r w:rsidR="00D74362" w:rsidRPr="00705170">
        <w:rPr>
          <w:rFonts w:ascii="Times New Roman" w:hAnsi="Times New Roman" w:cs="Times New Roman"/>
        </w:rPr>
        <w:t xml:space="preserve"> be </w:t>
      </w:r>
      <w:proofErr w:type="spellStart"/>
      <w:r w:rsidR="00D74362" w:rsidRPr="00705170">
        <w:rPr>
          <w:rFonts w:ascii="Times New Roman" w:hAnsi="Times New Roman" w:cs="Times New Roman"/>
        </w:rPr>
        <w:t>violating</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the</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reasonable</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expectations</w:t>
      </w:r>
      <w:proofErr w:type="spellEnd"/>
      <w:r w:rsidR="00D74362" w:rsidRPr="00705170">
        <w:rPr>
          <w:rFonts w:ascii="Times New Roman" w:hAnsi="Times New Roman" w:cs="Times New Roman"/>
        </w:rPr>
        <w:t xml:space="preserve"> of </w:t>
      </w:r>
      <w:proofErr w:type="spellStart"/>
      <w:r w:rsidR="00D74362" w:rsidRPr="00705170">
        <w:rPr>
          <w:rFonts w:ascii="Times New Roman" w:hAnsi="Times New Roman" w:cs="Times New Roman"/>
        </w:rPr>
        <w:t>the</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shareholders</w:t>
      </w:r>
      <w:proofErr w:type="spellEnd"/>
      <w:r w:rsidR="00D74362" w:rsidRPr="00705170">
        <w:rPr>
          <w:rFonts w:ascii="Times New Roman" w:hAnsi="Times New Roman" w:cs="Times New Roman"/>
        </w:rPr>
        <w:t xml:space="preserve"> in </w:t>
      </w:r>
      <w:proofErr w:type="spellStart"/>
      <w:r w:rsidR="00D74362" w:rsidRPr="00705170">
        <w:rPr>
          <w:rFonts w:ascii="Times New Roman" w:hAnsi="Times New Roman" w:cs="Times New Roman"/>
        </w:rPr>
        <w:t>connection</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with</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the</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corporate</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purpose</w:t>
      </w:r>
      <w:proofErr w:type="spellEnd"/>
      <w:r w:rsidR="002961E4">
        <w:rPr>
          <w:rFonts w:ascii="Times New Roman" w:hAnsi="Times New Roman" w:cs="Times New Roman"/>
        </w:rPr>
        <w:t xml:space="preserve">, </w:t>
      </w:r>
      <w:proofErr w:type="spellStart"/>
      <w:r w:rsidR="002961E4">
        <w:rPr>
          <w:rFonts w:ascii="Times New Roman" w:hAnsi="Times New Roman" w:cs="Times New Roman"/>
        </w:rPr>
        <w:t>even</w:t>
      </w:r>
      <w:proofErr w:type="spellEnd"/>
      <w:r w:rsidR="002961E4">
        <w:rPr>
          <w:rFonts w:ascii="Times New Roman" w:hAnsi="Times New Roman" w:cs="Times New Roman"/>
        </w:rPr>
        <w:t xml:space="preserve"> </w:t>
      </w:r>
      <w:proofErr w:type="spellStart"/>
      <w:r w:rsidR="002961E4">
        <w:rPr>
          <w:rFonts w:ascii="Times New Roman" w:hAnsi="Times New Roman" w:cs="Times New Roman"/>
        </w:rPr>
        <w:t>where</w:t>
      </w:r>
      <w:proofErr w:type="spellEnd"/>
      <w:r w:rsidR="002961E4">
        <w:rPr>
          <w:rFonts w:ascii="Times New Roman" w:hAnsi="Times New Roman" w:cs="Times New Roman"/>
        </w:rPr>
        <w:t xml:space="preserve"> </w:t>
      </w:r>
      <w:proofErr w:type="spellStart"/>
      <w:r w:rsidR="002961E4">
        <w:rPr>
          <w:rFonts w:ascii="Times New Roman" w:hAnsi="Times New Roman" w:cs="Times New Roman"/>
        </w:rPr>
        <w:t>disclosure</w:t>
      </w:r>
      <w:proofErr w:type="spellEnd"/>
      <w:r w:rsidR="002961E4">
        <w:rPr>
          <w:rFonts w:ascii="Times New Roman" w:hAnsi="Times New Roman" w:cs="Times New Roman"/>
        </w:rPr>
        <w:t xml:space="preserve"> of </w:t>
      </w:r>
      <w:proofErr w:type="spellStart"/>
      <w:r w:rsidR="002961E4">
        <w:rPr>
          <w:rFonts w:ascii="Times New Roman" w:hAnsi="Times New Roman" w:cs="Times New Roman"/>
        </w:rPr>
        <w:t>such</w:t>
      </w:r>
      <w:proofErr w:type="spellEnd"/>
      <w:r w:rsidR="002961E4">
        <w:rPr>
          <w:rFonts w:ascii="Times New Roman" w:hAnsi="Times New Roman" w:cs="Times New Roman"/>
        </w:rPr>
        <w:t xml:space="preserve"> </w:t>
      </w:r>
      <w:proofErr w:type="spellStart"/>
      <w:r w:rsidR="002961E4">
        <w:rPr>
          <w:rFonts w:ascii="Times New Roman" w:hAnsi="Times New Roman" w:cs="Times New Roman"/>
        </w:rPr>
        <w:t>change</w:t>
      </w:r>
      <w:proofErr w:type="spellEnd"/>
      <w:r w:rsidR="002961E4">
        <w:rPr>
          <w:rFonts w:ascii="Times New Roman" w:hAnsi="Times New Roman" w:cs="Times New Roman"/>
        </w:rPr>
        <w:t xml:space="preserve"> is not </w:t>
      </w:r>
      <w:proofErr w:type="spellStart"/>
      <w:r w:rsidR="002961E4">
        <w:rPr>
          <w:rFonts w:ascii="Times New Roman" w:hAnsi="Times New Roman" w:cs="Times New Roman"/>
        </w:rPr>
        <w:t>mandated</w:t>
      </w:r>
      <w:proofErr w:type="spellEnd"/>
      <w:r w:rsidR="002961E4">
        <w:rPr>
          <w:rFonts w:ascii="Times New Roman" w:hAnsi="Times New Roman" w:cs="Times New Roman"/>
        </w:rPr>
        <w:t xml:space="preserve"> </w:t>
      </w:r>
      <w:proofErr w:type="spellStart"/>
      <w:r w:rsidR="002961E4">
        <w:rPr>
          <w:rFonts w:ascii="Times New Roman" w:hAnsi="Times New Roman" w:cs="Times New Roman"/>
        </w:rPr>
        <w:t>under</w:t>
      </w:r>
      <w:proofErr w:type="spellEnd"/>
      <w:r w:rsidR="002961E4">
        <w:rPr>
          <w:rFonts w:ascii="Times New Roman" w:hAnsi="Times New Roman" w:cs="Times New Roman"/>
        </w:rPr>
        <w:t xml:space="preserve"> </w:t>
      </w:r>
      <w:proofErr w:type="spellStart"/>
      <w:r w:rsidR="002961E4">
        <w:rPr>
          <w:rFonts w:ascii="Times New Roman" w:hAnsi="Times New Roman" w:cs="Times New Roman"/>
        </w:rPr>
        <w:t>capital</w:t>
      </w:r>
      <w:proofErr w:type="spellEnd"/>
      <w:r w:rsidR="002961E4">
        <w:rPr>
          <w:rFonts w:ascii="Times New Roman" w:hAnsi="Times New Roman" w:cs="Times New Roman"/>
        </w:rPr>
        <w:t xml:space="preserve"> </w:t>
      </w:r>
      <w:r w:rsidR="002961E4">
        <w:rPr>
          <w:rFonts w:ascii="Times New Roman" w:hAnsi="Times New Roman" w:cs="Times New Roman"/>
        </w:rPr>
        <w:lastRenderedPageBreak/>
        <w:t xml:space="preserve">market </w:t>
      </w:r>
      <w:proofErr w:type="spellStart"/>
      <w:r w:rsidR="002961E4">
        <w:rPr>
          <w:rFonts w:ascii="Times New Roman" w:hAnsi="Times New Roman" w:cs="Times New Roman"/>
        </w:rPr>
        <w:t>law</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In</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this</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regards</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the</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information</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disclosed</w:t>
      </w:r>
      <w:proofErr w:type="spellEnd"/>
      <w:r w:rsidR="00D74362" w:rsidRPr="00705170">
        <w:rPr>
          <w:rFonts w:ascii="Times New Roman" w:hAnsi="Times New Roman" w:cs="Times New Roman"/>
        </w:rPr>
        <w:t xml:space="preserve"> in </w:t>
      </w:r>
      <w:proofErr w:type="spellStart"/>
      <w:r w:rsidR="00D74362" w:rsidRPr="00705170">
        <w:rPr>
          <w:rFonts w:ascii="Times New Roman" w:hAnsi="Times New Roman" w:cs="Times New Roman"/>
        </w:rPr>
        <w:t>the</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public</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disclosure</w:t>
      </w:r>
      <w:proofErr w:type="spellEnd"/>
      <w:r w:rsidR="00D74362" w:rsidRPr="00705170">
        <w:rPr>
          <w:rFonts w:ascii="Times New Roman" w:hAnsi="Times New Roman" w:cs="Times New Roman"/>
        </w:rPr>
        <w:t xml:space="preserve"> platform can be </w:t>
      </w:r>
      <w:proofErr w:type="spellStart"/>
      <w:r w:rsidR="00D74362" w:rsidRPr="00705170">
        <w:rPr>
          <w:rFonts w:ascii="Times New Roman" w:hAnsi="Times New Roman" w:cs="Times New Roman"/>
        </w:rPr>
        <w:t>used</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to</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establish</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reasonable</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expectations</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and</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the</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scope</w:t>
      </w:r>
      <w:proofErr w:type="spellEnd"/>
      <w:r w:rsidR="00D74362" w:rsidRPr="00705170">
        <w:rPr>
          <w:rFonts w:ascii="Times New Roman" w:hAnsi="Times New Roman" w:cs="Times New Roman"/>
        </w:rPr>
        <w:t xml:space="preserve"> of </w:t>
      </w:r>
      <w:proofErr w:type="spellStart"/>
      <w:r w:rsidR="00D74362" w:rsidRPr="00705170">
        <w:rPr>
          <w:rFonts w:ascii="Times New Roman" w:hAnsi="Times New Roman" w:cs="Times New Roman"/>
        </w:rPr>
        <w:t>the</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expectations</w:t>
      </w:r>
      <w:proofErr w:type="spellEnd"/>
      <w:r w:rsidR="00D74362" w:rsidRPr="00705170">
        <w:rPr>
          <w:rFonts w:ascii="Times New Roman" w:hAnsi="Times New Roman" w:cs="Times New Roman"/>
        </w:rPr>
        <w:t xml:space="preserve"> can be </w:t>
      </w:r>
      <w:proofErr w:type="spellStart"/>
      <w:r w:rsidR="00D74362" w:rsidRPr="00705170">
        <w:rPr>
          <w:rFonts w:ascii="Times New Roman" w:hAnsi="Times New Roman" w:cs="Times New Roman"/>
        </w:rPr>
        <w:t>carved</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out</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from</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the</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statements</w:t>
      </w:r>
      <w:proofErr w:type="spellEnd"/>
      <w:r w:rsidR="00D74362" w:rsidRPr="00705170">
        <w:rPr>
          <w:rFonts w:ascii="Times New Roman" w:hAnsi="Times New Roman" w:cs="Times New Roman"/>
        </w:rPr>
        <w:t xml:space="preserve"> of </w:t>
      </w:r>
      <w:proofErr w:type="spellStart"/>
      <w:r w:rsidR="00D74362" w:rsidRPr="00705170">
        <w:rPr>
          <w:rFonts w:ascii="Times New Roman" w:hAnsi="Times New Roman" w:cs="Times New Roman"/>
        </w:rPr>
        <w:t>the</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issuer</w:t>
      </w:r>
      <w:proofErr w:type="spellEnd"/>
      <w:r w:rsidR="00D74362" w:rsidRPr="00705170">
        <w:rPr>
          <w:rFonts w:ascii="Times New Roman" w:hAnsi="Times New Roman" w:cs="Times New Roman"/>
        </w:rPr>
        <w:t xml:space="preserve"> on </w:t>
      </w:r>
      <w:proofErr w:type="spellStart"/>
      <w:r w:rsidR="00D74362" w:rsidRPr="00705170">
        <w:rPr>
          <w:rFonts w:ascii="Times New Roman" w:hAnsi="Times New Roman" w:cs="Times New Roman"/>
        </w:rPr>
        <w:t>the</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public</w:t>
      </w:r>
      <w:proofErr w:type="spellEnd"/>
      <w:r w:rsidR="00D74362" w:rsidRPr="00705170">
        <w:rPr>
          <w:rFonts w:ascii="Times New Roman" w:hAnsi="Times New Roman" w:cs="Times New Roman"/>
        </w:rPr>
        <w:t xml:space="preserve"> </w:t>
      </w:r>
      <w:proofErr w:type="spellStart"/>
      <w:r w:rsidR="00D74362" w:rsidRPr="00705170">
        <w:rPr>
          <w:rFonts w:ascii="Times New Roman" w:hAnsi="Times New Roman" w:cs="Times New Roman"/>
        </w:rPr>
        <w:t>disclosure</w:t>
      </w:r>
      <w:proofErr w:type="spellEnd"/>
      <w:r w:rsidR="00D74362" w:rsidRPr="00705170">
        <w:rPr>
          <w:rFonts w:ascii="Times New Roman" w:hAnsi="Times New Roman" w:cs="Times New Roman"/>
        </w:rPr>
        <w:t xml:space="preserve"> platform. </w:t>
      </w:r>
    </w:p>
    <w:p w14:paraId="290F1F89" w14:textId="45C0638B" w:rsidR="003C70ED" w:rsidRPr="00705170" w:rsidRDefault="003C70ED" w:rsidP="008D3285">
      <w:pPr>
        <w:widowControl w:val="0"/>
        <w:autoSpaceDE w:val="0"/>
        <w:autoSpaceDN w:val="0"/>
        <w:adjustRightInd w:val="0"/>
        <w:spacing w:after="240" w:line="480" w:lineRule="auto"/>
        <w:jc w:val="both"/>
        <w:rPr>
          <w:rFonts w:ascii="Times New Roman" w:hAnsi="Times New Roman" w:cs="Times New Roman"/>
          <w:lang w:val="en-US"/>
        </w:rPr>
      </w:pPr>
      <w:r w:rsidRPr="00705170">
        <w:rPr>
          <w:rFonts w:ascii="Times New Roman" w:hAnsi="Times New Roman" w:cs="Times New Roman"/>
        </w:rPr>
        <w:tab/>
      </w:r>
      <w:r w:rsidRPr="00705170">
        <w:rPr>
          <w:rFonts w:ascii="Times New Roman" w:hAnsi="Times New Roman" w:cs="Times New Roman"/>
          <w:lang w:val="en-US"/>
        </w:rPr>
        <w:t xml:space="preserve">Another aspect that should be evaluated from the aspect of disclosure’s role in the reasonable expectations analysis is the notion that </w:t>
      </w:r>
      <w:r w:rsidR="00F93F19" w:rsidRPr="00705170">
        <w:rPr>
          <w:rFonts w:ascii="Times New Roman" w:hAnsi="Times New Roman" w:cs="Times New Roman"/>
          <w:lang w:val="en-US"/>
        </w:rPr>
        <w:t xml:space="preserve">the corporate governance regulations of the </w:t>
      </w:r>
      <w:r w:rsidR="0095585C" w:rsidRPr="00705170">
        <w:rPr>
          <w:rFonts w:ascii="Times New Roman" w:hAnsi="Times New Roman" w:cs="Times New Roman"/>
          <w:lang w:val="en-US"/>
        </w:rPr>
        <w:t>CML requires</w:t>
      </w:r>
      <w:r w:rsidR="00823DF1" w:rsidRPr="00705170">
        <w:rPr>
          <w:rFonts w:ascii="Times New Roman" w:hAnsi="Times New Roman" w:cs="Times New Roman"/>
        </w:rPr>
        <w:t xml:space="preserve"> </w:t>
      </w:r>
      <w:r w:rsidR="00823DF1" w:rsidRPr="00705170">
        <w:rPr>
          <w:rFonts w:ascii="Times New Roman" w:hAnsi="Times New Roman" w:cs="Times New Roman"/>
          <w:lang w:val="en-US"/>
        </w:rPr>
        <w:t>corporations to establish an “investor relations department”</w:t>
      </w:r>
      <w:r w:rsidR="00A53871" w:rsidRPr="00705170">
        <w:rPr>
          <w:rFonts w:ascii="Times New Roman" w:hAnsi="Times New Roman" w:cs="Times New Roman"/>
          <w:lang w:val="en-US"/>
        </w:rPr>
        <w:t>, which would work to ensure the communication between the corporation and the investor</w:t>
      </w:r>
      <w:r w:rsidR="00823DF1" w:rsidRPr="00705170">
        <w:rPr>
          <w:rFonts w:ascii="Times New Roman" w:hAnsi="Times New Roman" w:cs="Times New Roman"/>
          <w:lang w:val="en-US"/>
        </w:rPr>
        <w:t xml:space="preserve"> (Communique on Corporate Governance Article 11). This department, toget</w:t>
      </w:r>
      <w:r w:rsidR="00A53871" w:rsidRPr="00705170">
        <w:rPr>
          <w:rFonts w:ascii="Times New Roman" w:hAnsi="Times New Roman" w:cs="Times New Roman"/>
          <w:lang w:val="en-US"/>
        </w:rPr>
        <w:t xml:space="preserve">her with some other duties, has the duty “to respond to the written information requests of the shareholders regarding the corporation” </w:t>
      </w:r>
      <w:r w:rsidR="00823DF1" w:rsidRPr="00705170">
        <w:rPr>
          <w:rFonts w:ascii="Times New Roman" w:hAnsi="Times New Roman" w:cs="Times New Roman"/>
          <w:lang w:val="en-US"/>
        </w:rPr>
        <w:t>(Communique on Corporate Governance Article 11(5)(b))</w:t>
      </w:r>
      <w:r w:rsidR="00F93F19" w:rsidRPr="00705170">
        <w:rPr>
          <w:rFonts w:ascii="Times New Roman" w:hAnsi="Times New Roman" w:cs="Times New Roman"/>
          <w:lang w:val="en-US"/>
        </w:rPr>
        <w:t>, and it plays a central role in the protection and exercise of shareholder rights (Communique on Corporate Governance, Corporate Governance Principles 1.1.). As understood, while the function of the “investor relations department” is not</w:t>
      </w:r>
      <w:r w:rsidR="00B55C7B" w:rsidRPr="00705170">
        <w:rPr>
          <w:rFonts w:ascii="Times New Roman" w:hAnsi="Times New Roman" w:cs="Times New Roman"/>
          <w:lang w:val="en-US"/>
        </w:rPr>
        <w:t xml:space="preserve"> disclosure, the effect of this department’s</w:t>
      </w:r>
      <w:r w:rsidR="00F93F19" w:rsidRPr="00705170">
        <w:rPr>
          <w:rFonts w:ascii="Times New Roman" w:hAnsi="Times New Roman" w:cs="Times New Roman"/>
          <w:lang w:val="en-US"/>
        </w:rPr>
        <w:t xml:space="preserve"> operations may function as a disclosure. For example, if an investor asks a question about the operations of the corporation and the investor relations department officially answers this request by providing detailed information (</w:t>
      </w:r>
      <w:r w:rsidR="00B55C7B" w:rsidRPr="00705170">
        <w:rPr>
          <w:rFonts w:ascii="Times New Roman" w:hAnsi="Times New Roman" w:cs="Times New Roman"/>
          <w:lang w:val="en-US"/>
        </w:rPr>
        <w:t xml:space="preserve">let’s say, </w:t>
      </w:r>
      <w:r w:rsidR="00F93F19" w:rsidRPr="00705170">
        <w:rPr>
          <w:rFonts w:ascii="Times New Roman" w:hAnsi="Times New Roman" w:cs="Times New Roman"/>
          <w:lang w:val="en-US"/>
        </w:rPr>
        <w:t xml:space="preserve">more detailed than the ones mentioned in the public disclosure platform or prospectus), the effect of this answer will be </w:t>
      </w:r>
      <w:r w:rsidR="00204053">
        <w:rPr>
          <w:rFonts w:ascii="Times New Roman" w:hAnsi="Times New Roman" w:cs="Times New Roman"/>
          <w:lang w:val="en-US"/>
        </w:rPr>
        <w:t>treated like</w:t>
      </w:r>
      <w:r w:rsidR="00204053" w:rsidRPr="00705170">
        <w:rPr>
          <w:rFonts w:ascii="Times New Roman" w:hAnsi="Times New Roman" w:cs="Times New Roman"/>
          <w:lang w:val="en-US"/>
        </w:rPr>
        <w:t xml:space="preserve"> </w:t>
      </w:r>
      <w:r w:rsidR="00F93F19" w:rsidRPr="00705170">
        <w:rPr>
          <w:rFonts w:ascii="Times New Roman" w:hAnsi="Times New Roman" w:cs="Times New Roman"/>
          <w:lang w:val="en-US"/>
        </w:rPr>
        <w:t>disclosure of material information</w:t>
      </w:r>
      <w:r w:rsidR="00204053">
        <w:rPr>
          <w:rFonts w:ascii="Times New Roman" w:hAnsi="Times New Roman" w:cs="Times New Roman"/>
          <w:lang w:val="en-US"/>
        </w:rPr>
        <w:t xml:space="preserve"> by the investor</w:t>
      </w:r>
      <w:r w:rsidR="00F93F19" w:rsidRPr="00705170">
        <w:rPr>
          <w:rFonts w:ascii="Times New Roman" w:hAnsi="Times New Roman" w:cs="Times New Roman"/>
          <w:lang w:val="en-US"/>
        </w:rPr>
        <w:t>. Corollary the following question</w:t>
      </w:r>
      <w:r w:rsidR="00A9706F" w:rsidRPr="00705170">
        <w:rPr>
          <w:rFonts w:ascii="Times New Roman" w:hAnsi="Times New Roman" w:cs="Times New Roman"/>
          <w:lang w:val="en-US"/>
        </w:rPr>
        <w:t xml:space="preserve"> appears: In a case this</w:t>
      </w:r>
      <w:r w:rsidR="00F93F19" w:rsidRPr="00705170">
        <w:rPr>
          <w:rFonts w:ascii="Times New Roman" w:hAnsi="Times New Roman" w:cs="Times New Roman"/>
          <w:lang w:val="en-US"/>
        </w:rPr>
        <w:t xml:space="preserve"> department makes a material statement on the details of the corporation’s operation, in a manner more detailed or inconsistent </w:t>
      </w:r>
      <w:r w:rsidR="00A9706F" w:rsidRPr="00705170">
        <w:rPr>
          <w:rFonts w:ascii="Times New Roman" w:hAnsi="Times New Roman" w:cs="Times New Roman"/>
          <w:lang w:val="en-US"/>
        </w:rPr>
        <w:t>with the disclosures made in the prospectus or through the public disclosure platform, will this statement play a role in the construction of the investor’s reasonable expectat</w:t>
      </w:r>
      <w:r w:rsidR="00221990" w:rsidRPr="00705170">
        <w:rPr>
          <w:rFonts w:ascii="Times New Roman" w:hAnsi="Times New Roman" w:cs="Times New Roman"/>
          <w:lang w:val="en-US"/>
        </w:rPr>
        <w:t>ions?</w:t>
      </w:r>
    </w:p>
    <w:p w14:paraId="3251C00D" w14:textId="21C4551B" w:rsidR="00204053" w:rsidRDefault="00992535" w:rsidP="00927B38">
      <w:pPr>
        <w:widowControl w:val="0"/>
        <w:autoSpaceDE w:val="0"/>
        <w:autoSpaceDN w:val="0"/>
        <w:adjustRightInd w:val="0"/>
        <w:spacing w:after="240" w:line="480" w:lineRule="auto"/>
        <w:ind w:firstLine="708"/>
        <w:jc w:val="both"/>
        <w:rPr>
          <w:rFonts w:ascii="Times New Roman" w:hAnsi="Times New Roman" w:cs="Times New Roman"/>
        </w:rPr>
      </w:pPr>
      <w:r w:rsidRPr="00705170">
        <w:rPr>
          <w:rFonts w:ascii="Times New Roman" w:hAnsi="Times New Roman" w:cs="Times New Roman"/>
          <w:lang w:val="en-US"/>
        </w:rPr>
        <w:t xml:space="preserve">The court’s reasoning in the U.S. case, </w:t>
      </w:r>
      <w:r w:rsidR="008D3285" w:rsidRPr="00705170">
        <w:rPr>
          <w:rFonts w:ascii="Times New Roman" w:hAnsi="Times New Roman" w:cs="Times New Roman"/>
        </w:rPr>
        <w:t xml:space="preserve">Bank of New York Mellon v. </w:t>
      </w:r>
      <w:proofErr w:type="spellStart"/>
      <w:r w:rsidR="008D3285" w:rsidRPr="00705170">
        <w:rPr>
          <w:rFonts w:ascii="Times New Roman" w:hAnsi="Times New Roman" w:cs="Times New Roman"/>
        </w:rPr>
        <w:t>Commerzbank</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Capital</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Funding</w:t>
      </w:r>
      <w:proofErr w:type="spellEnd"/>
      <w:r w:rsidR="008D3285" w:rsidRPr="00705170">
        <w:rPr>
          <w:rFonts w:ascii="Times New Roman" w:hAnsi="Times New Roman" w:cs="Times New Roman"/>
        </w:rPr>
        <w:t xml:space="preserve"> </w:t>
      </w:r>
      <w:proofErr w:type="spellStart"/>
      <w:r w:rsidR="008D3285" w:rsidRPr="00705170">
        <w:rPr>
          <w:rFonts w:ascii="Times New Roman" w:hAnsi="Times New Roman" w:cs="Times New Roman"/>
        </w:rPr>
        <w:t>Trust</w:t>
      </w:r>
      <w:proofErr w:type="spellEnd"/>
      <w:r w:rsidR="008D3285" w:rsidRPr="00705170">
        <w:rPr>
          <w:rFonts w:ascii="Times New Roman" w:hAnsi="Times New Roman" w:cs="Times New Roman"/>
        </w:rPr>
        <w:t xml:space="preserve"> II, 65 A.3d 539 (2013),</w:t>
      </w:r>
      <w:r w:rsidRPr="00705170">
        <w:rPr>
          <w:rFonts w:ascii="Times New Roman" w:hAnsi="Times New Roman" w:cs="Times New Roman"/>
        </w:rPr>
        <w:t xml:space="preserve"> </w:t>
      </w:r>
      <w:proofErr w:type="spellStart"/>
      <w:r w:rsidRPr="00705170">
        <w:rPr>
          <w:rFonts w:ascii="Times New Roman" w:hAnsi="Times New Roman" w:cs="Times New Roman"/>
        </w:rPr>
        <w:t>presents</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answer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question</w:t>
      </w:r>
      <w:proofErr w:type="spellEnd"/>
      <w:r w:rsidR="008D3285" w:rsidRPr="00705170">
        <w:rPr>
          <w:rFonts w:ascii="Times New Roman" w:hAnsi="Times New Roman" w:cs="Times New Roman"/>
        </w:rPr>
        <w:t>: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1C1C1C"/>
        </w:rPr>
        <w:t>reasonable</w:t>
      </w:r>
      <w:proofErr w:type="spellEnd"/>
      <w:r w:rsidR="008D3285" w:rsidRPr="00705170">
        <w:rPr>
          <w:rFonts w:ascii="Times New Roman" w:hAnsi="Times New Roman" w:cs="Times New Roman"/>
          <w:color w:val="1C1C1C"/>
        </w:rPr>
        <w:t xml:space="preserve"> </w:t>
      </w:r>
      <w:proofErr w:type="spellStart"/>
      <w:r w:rsidR="008D3285" w:rsidRPr="00705170">
        <w:rPr>
          <w:rFonts w:ascii="Times New Roman" w:hAnsi="Times New Roman" w:cs="Times New Roman"/>
          <w:color w:val="1C1C1C"/>
        </w:rPr>
        <w:lastRenderedPageBreak/>
        <w:t>expectation</w:t>
      </w:r>
      <w:proofErr w:type="spellEnd"/>
      <w:r w:rsidR="008D3285" w:rsidRPr="00705170">
        <w:rPr>
          <w:rFonts w:ascii="Times New Roman" w:hAnsi="Times New Roman" w:cs="Times New Roman"/>
          <w:color w:val="1C1C1C"/>
        </w:rPr>
        <w:t xml:space="preserve"> </w:t>
      </w:r>
      <w:r w:rsidR="008D3285" w:rsidRPr="00705170">
        <w:rPr>
          <w:rFonts w:ascii="Times New Roman" w:hAnsi="Times New Roman" w:cs="Times New Roman"/>
          <w:color w:val="000000"/>
        </w:rPr>
        <w:t xml:space="preserve">of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public</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investors</w:t>
      </w:r>
      <w:proofErr w:type="spellEnd"/>
      <w:r w:rsidR="008D3285" w:rsidRPr="00705170">
        <w:rPr>
          <w:rFonts w:ascii="Times New Roman" w:hAnsi="Times New Roman" w:cs="Times New Roman"/>
          <w:color w:val="000000"/>
        </w:rPr>
        <w:t xml:space="preserve"> —in </w:t>
      </w:r>
      <w:proofErr w:type="spellStart"/>
      <w:r w:rsidR="008D3285" w:rsidRPr="00705170">
        <w:rPr>
          <w:rFonts w:ascii="Times New Roman" w:hAnsi="Times New Roman" w:cs="Times New Roman"/>
          <w:color w:val="000000"/>
        </w:rPr>
        <w:t>this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case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holders</w:t>
      </w:r>
      <w:proofErr w:type="spellEnd"/>
      <w:r w:rsidR="008D3285" w:rsidRPr="00705170">
        <w:rPr>
          <w:rFonts w:ascii="Times New Roman" w:hAnsi="Times New Roman" w:cs="Times New Roman"/>
          <w:color w:val="000000"/>
        </w:rPr>
        <w:t xml:space="preserve"> of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Trust</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Preferred</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Securities</w:t>
      </w:r>
      <w:proofErr w:type="spellEnd"/>
      <w:r w:rsidR="008D3285" w:rsidRPr="00705170">
        <w:rPr>
          <w:rFonts w:ascii="Times New Roman" w:hAnsi="Times New Roman" w:cs="Times New Roman"/>
          <w:color w:val="000000"/>
        </w:rPr>
        <w:t>—</w:t>
      </w:r>
      <w:proofErr w:type="spellStart"/>
      <w:r w:rsidR="008D3285" w:rsidRPr="00705170">
        <w:rPr>
          <w:rFonts w:ascii="Times New Roman" w:hAnsi="Times New Roman" w:cs="Times New Roman"/>
          <w:color w:val="000000"/>
        </w:rPr>
        <w:t>must</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therefore</w:t>
      </w:r>
      <w:proofErr w:type="spellEnd"/>
      <w:r w:rsidR="008D3285" w:rsidRPr="00705170">
        <w:rPr>
          <w:rFonts w:ascii="Times New Roman" w:hAnsi="Times New Roman" w:cs="Times New Roman"/>
          <w:color w:val="000000"/>
        </w:rPr>
        <w:t xml:space="preserve"> be </w:t>
      </w:r>
      <w:proofErr w:type="spellStart"/>
      <w:r w:rsidR="008D3285" w:rsidRPr="00705170">
        <w:rPr>
          <w:rFonts w:ascii="Times New Roman" w:hAnsi="Times New Roman" w:cs="Times New Roman"/>
          <w:color w:val="000000"/>
        </w:rPr>
        <w:t>given</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effect</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investors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1C1C1C"/>
        </w:rPr>
        <w:t>reasonable</w:t>
      </w:r>
      <w:proofErr w:type="spellEnd"/>
      <w:r w:rsidR="008D3285" w:rsidRPr="00705170">
        <w:rPr>
          <w:rFonts w:ascii="Times New Roman" w:hAnsi="Times New Roman" w:cs="Times New Roman"/>
          <w:color w:val="1C1C1C"/>
        </w:rPr>
        <w:t xml:space="preserve"> </w:t>
      </w:r>
      <w:proofErr w:type="spellStart"/>
      <w:r w:rsidR="008D3285" w:rsidRPr="00705170">
        <w:rPr>
          <w:rFonts w:ascii="Times New Roman" w:hAnsi="Times New Roman" w:cs="Times New Roman"/>
          <w:color w:val="1C1C1C"/>
        </w:rPr>
        <w:t>expectation</w:t>
      </w:r>
      <w:proofErr w:type="spellEnd"/>
      <w:r w:rsidR="008D3285" w:rsidRPr="00705170">
        <w:rPr>
          <w:rFonts w:ascii="Times New Roman" w:hAnsi="Times New Roman" w:cs="Times New Roman"/>
          <w:color w:val="1C1C1C"/>
        </w:rPr>
        <w:t xml:space="preserve"> </w:t>
      </w:r>
      <w:r w:rsidR="008D3285" w:rsidRPr="00705170">
        <w:rPr>
          <w:rFonts w:ascii="Times New Roman" w:hAnsi="Times New Roman" w:cs="Times New Roman"/>
          <w:color w:val="000000"/>
        </w:rPr>
        <w:t xml:space="preserve">in </w:t>
      </w:r>
      <w:proofErr w:type="spellStart"/>
      <w:r w:rsidR="008D3285" w:rsidRPr="00705170">
        <w:rPr>
          <w:rFonts w:ascii="Times New Roman" w:hAnsi="Times New Roman" w:cs="Times New Roman"/>
          <w:color w:val="000000"/>
        </w:rPr>
        <w:t>this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case</w:t>
      </w:r>
      <w:proofErr w:type="spellEnd"/>
      <w:r w:rsidR="008D3285" w:rsidRPr="00705170">
        <w:rPr>
          <w:rFonts w:ascii="Times New Roman" w:hAnsi="Times New Roman" w:cs="Times New Roman"/>
          <w:color w:val="000000"/>
        </w:rPr>
        <w:t xml:space="preserve"> is </w:t>
      </w:r>
      <w:proofErr w:type="spellStart"/>
      <w:r w:rsidR="008D3285" w:rsidRPr="00705170">
        <w:rPr>
          <w:rFonts w:ascii="Times New Roman" w:hAnsi="Times New Roman" w:cs="Times New Roman"/>
          <w:color w:val="000000"/>
        </w:rPr>
        <w:t>that</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DresCap</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Trust</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Certificates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are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Parity</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Securities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That</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result</w:t>
      </w:r>
      <w:proofErr w:type="spellEnd"/>
      <w:r w:rsidR="008D3285" w:rsidRPr="00705170">
        <w:rPr>
          <w:rFonts w:ascii="Times New Roman" w:hAnsi="Times New Roman" w:cs="Times New Roman"/>
          <w:color w:val="000000"/>
        </w:rPr>
        <w:t xml:space="preserve"> is </w:t>
      </w:r>
      <w:proofErr w:type="spellStart"/>
      <w:r w:rsidR="008D3285" w:rsidRPr="00705170">
        <w:rPr>
          <w:rFonts w:ascii="Times New Roman" w:hAnsi="Times New Roman" w:cs="Times New Roman"/>
          <w:color w:val="000000"/>
        </w:rPr>
        <w:t>hardly</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novel</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or</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surprising</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because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Bank </w:t>
      </w:r>
      <w:proofErr w:type="spellStart"/>
      <w:r w:rsidR="008D3285" w:rsidRPr="00705170">
        <w:rPr>
          <w:rFonts w:ascii="Times New Roman" w:hAnsi="Times New Roman" w:cs="Times New Roman"/>
          <w:color w:val="000000"/>
        </w:rPr>
        <w:t>itself</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created</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that</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1C1C1C"/>
        </w:rPr>
        <w:t>expectation</w:t>
      </w:r>
      <w:proofErr w:type="spellEnd"/>
      <w:r w:rsidR="008D3285" w:rsidRPr="00705170">
        <w:rPr>
          <w:rFonts w:ascii="Times New Roman" w:hAnsi="Times New Roman" w:cs="Times New Roman"/>
          <w:color w:val="000000"/>
        </w:rPr>
        <w:t xml:space="preserve">: (i) in </w:t>
      </w:r>
      <w:proofErr w:type="spellStart"/>
      <w:r w:rsidR="008D3285" w:rsidRPr="00705170">
        <w:rPr>
          <w:rFonts w:ascii="Times New Roman" w:hAnsi="Times New Roman" w:cs="Times New Roman"/>
          <w:color w:val="000000"/>
        </w:rPr>
        <w:t>various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communications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with</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its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German</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regulators</w:t>
      </w:r>
      <w:proofErr w:type="spellEnd"/>
      <w:r w:rsidR="008D3285" w:rsidRPr="00705170">
        <w:rPr>
          <w:rFonts w:ascii="Times New Roman" w:hAnsi="Times New Roman" w:cs="Times New Roman"/>
          <w:color w:val="000000"/>
        </w:rPr>
        <w:t xml:space="preserve">, (ii) in </w:t>
      </w:r>
      <w:proofErr w:type="spellStart"/>
      <w:r w:rsidR="008D3285" w:rsidRPr="00705170">
        <w:rPr>
          <w:rFonts w:ascii="Times New Roman" w:hAnsi="Times New Roman" w:cs="Times New Roman"/>
          <w:color w:val="000000"/>
        </w:rPr>
        <w:t>its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own</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internal</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communications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and</w:t>
      </w:r>
      <w:proofErr w:type="spellEnd"/>
      <w:r w:rsidR="008D3285" w:rsidRPr="00705170">
        <w:rPr>
          <w:rFonts w:ascii="Times New Roman" w:hAnsi="Times New Roman" w:cs="Times New Roman"/>
          <w:color w:val="000000"/>
        </w:rPr>
        <w:t xml:space="preserve"> (iii) </w:t>
      </w:r>
      <w:proofErr w:type="spellStart"/>
      <w:r w:rsidR="008D3285" w:rsidRPr="00705170">
        <w:rPr>
          <w:rFonts w:ascii="Times New Roman" w:hAnsi="Times New Roman" w:cs="Times New Roman"/>
          <w:color w:val="000000"/>
        </w:rPr>
        <w:t>with</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third</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parties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Particularly</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telling</w:t>
      </w:r>
      <w:proofErr w:type="spellEnd"/>
      <w:r w:rsidR="008D3285" w:rsidRPr="00705170">
        <w:rPr>
          <w:rFonts w:ascii="Times New Roman" w:hAnsi="Times New Roman" w:cs="Times New Roman"/>
          <w:color w:val="000000"/>
        </w:rPr>
        <w:t xml:space="preserve"> is </w:t>
      </w:r>
      <w:proofErr w:type="spellStart"/>
      <w:r w:rsidR="008D3285" w:rsidRPr="00705170">
        <w:rPr>
          <w:rFonts w:ascii="Times New Roman" w:hAnsi="Times New Roman" w:cs="Times New Roman"/>
          <w:color w:val="000000"/>
        </w:rPr>
        <w:t>that</w:t>
      </w:r>
      <w:proofErr w:type="spellEnd"/>
      <w:r w:rsidR="008D3285" w:rsidRPr="00705170">
        <w:rPr>
          <w:rFonts w:ascii="Times New Roman" w:hAnsi="Times New Roman" w:cs="Times New Roman"/>
          <w:color w:val="000000"/>
        </w:rPr>
        <w:t xml:space="preserve"> in a </w:t>
      </w:r>
      <w:proofErr w:type="spellStart"/>
      <w:r w:rsidR="008D3285" w:rsidRPr="00705170">
        <w:rPr>
          <w:rFonts w:ascii="Times New Roman" w:hAnsi="Times New Roman" w:cs="Times New Roman"/>
          <w:color w:val="000000"/>
        </w:rPr>
        <w:t>November</w:t>
      </w:r>
      <w:proofErr w:type="spellEnd"/>
      <w:r w:rsidR="008D3285" w:rsidRPr="00705170">
        <w:rPr>
          <w:rFonts w:ascii="Times New Roman" w:hAnsi="Times New Roman" w:cs="Times New Roman"/>
          <w:color w:val="000000"/>
        </w:rPr>
        <w:t xml:space="preserve"> 2009 </w:t>
      </w:r>
      <w:proofErr w:type="gramStart"/>
      <w:r w:rsidR="008D3285" w:rsidRPr="00705170">
        <w:rPr>
          <w:rFonts w:ascii="Times New Roman" w:hAnsi="Times New Roman" w:cs="Times New Roman"/>
          <w:color w:val="000000"/>
        </w:rPr>
        <w:t>e-mail</w:t>
      </w:r>
      <w:proofErr w:type="gram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exchange</w:t>
      </w:r>
      <w:proofErr w:type="spellEnd"/>
      <w:r w:rsidR="008D3285" w:rsidRPr="00705170">
        <w:rPr>
          <w:rFonts w:ascii="Times New Roman" w:hAnsi="Times New Roman" w:cs="Times New Roman"/>
          <w:color w:val="000000"/>
        </w:rPr>
        <w:t xml:space="preserve">, a Bank </w:t>
      </w:r>
      <w:proofErr w:type="spellStart"/>
      <w:r w:rsidR="008D3285" w:rsidRPr="00705170">
        <w:rPr>
          <w:rFonts w:ascii="Times New Roman" w:hAnsi="Times New Roman" w:cs="Times New Roman"/>
          <w:color w:val="000000"/>
        </w:rPr>
        <w:t>employee</w:t>
      </w:r>
      <w:proofErr w:type="spellEnd"/>
      <w:r w:rsidR="008D3285" w:rsidRPr="00705170">
        <w:rPr>
          <w:rFonts w:ascii="Times New Roman" w:hAnsi="Times New Roman" w:cs="Times New Roman"/>
          <w:color w:val="000000"/>
        </w:rPr>
        <w:t xml:space="preserve">, in </w:t>
      </w:r>
      <w:proofErr w:type="spellStart"/>
      <w:r w:rsidR="008D3285" w:rsidRPr="00705170">
        <w:rPr>
          <w:rFonts w:ascii="Times New Roman" w:hAnsi="Times New Roman" w:cs="Times New Roman"/>
          <w:color w:val="000000"/>
        </w:rPr>
        <w:t>response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to</w:t>
      </w:r>
      <w:proofErr w:type="spellEnd"/>
      <w:r w:rsidR="008D3285" w:rsidRPr="00705170">
        <w:rPr>
          <w:rFonts w:ascii="Times New Roman" w:hAnsi="Times New Roman" w:cs="Times New Roman"/>
          <w:color w:val="000000"/>
        </w:rPr>
        <w:t xml:space="preserve"> an </w:t>
      </w:r>
      <w:proofErr w:type="spellStart"/>
      <w:r w:rsidR="008D3285" w:rsidRPr="00705170">
        <w:rPr>
          <w:rFonts w:ascii="Times New Roman" w:hAnsi="Times New Roman" w:cs="Times New Roman"/>
          <w:color w:val="000000"/>
        </w:rPr>
        <w:t>investor's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inquiry</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confirmed</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that</w:t>
      </w:r>
      <w:proofErr w:type="spellEnd"/>
      <w:r w:rsidR="008D3285" w:rsidRPr="00705170">
        <w:rPr>
          <w:rFonts w:ascii="Times New Roman" w:hAnsi="Times New Roman" w:cs="Times New Roman"/>
          <w:color w:val="000000"/>
        </w:rPr>
        <w:t xml:space="preserve">, “[Y]es,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DresCap</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Trust</w:t>
      </w:r>
      <w:proofErr w:type="spellEnd"/>
      <w:r w:rsidR="008D3285" w:rsidRPr="00705170">
        <w:rPr>
          <w:rFonts w:ascii="Times New Roman" w:hAnsi="Times New Roman" w:cs="Times New Roman"/>
          <w:color w:val="000000"/>
        </w:rPr>
        <w:t xml:space="preserve"> I </w:t>
      </w:r>
      <w:proofErr w:type="spellStart"/>
      <w:r w:rsidR="008D3285" w:rsidRPr="00705170">
        <w:rPr>
          <w:rFonts w:ascii="Times New Roman" w:hAnsi="Times New Roman" w:cs="Times New Roman"/>
          <w:color w:val="000000"/>
        </w:rPr>
        <w:t>Certificates</w:t>
      </w:r>
      <w:proofErr w:type="spellEnd"/>
      <w:r w:rsidR="008D3285" w:rsidRPr="00705170">
        <w:rPr>
          <w:rFonts w:ascii="Times New Roman" w:hAnsi="Times New Roman" w:cs="Times New Roman"/>
          <w:color w:val="000000"/>
        </w:rPr>
        <w:t xml:space="preserve">] is a </w:t>
      </w:r>
      <w:proofErr w:type="spellStart"/>
      <w:r w:rsidR="008D3285" w:rsidRPr="00705170">
        <w:rPr>
          <w:rFonts w:ascii="Times New Roman" w:hAnsi="Times New Roman" w:cs="Times New Roman"/>
          <w:color w:val="000000"/>
        </w:rPr>
        <w:t>hybrid</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Tier</w:t>
      </w:r>
      <w:proofErr w:type="spellEnd"/>
      <w:r w:rsidR="008D3285" w:rsidRPr="00705170">
        <w:rPr>
          <w:rFonts w:ascii="Times New Roman" w:hAnsi="Times New Roman" w:cs="Times New Roman"/>
          <w:color w:val="000000"/>
        </w:rPr>
        <w:t xml:space="preserve"> 1 </w:t>
      </w:r>
      <w:proofErr w:type="spellStart"/>
      <w:r w:rsidR="008D3285" w:rsidRPr="00705170">
        <w:rPr>
          <w:rFonts w:ascii="Times New Roman" w:hAnsi="Times New Roman" w:cs="Times New Roman"/>
          <w:color w:val="000000"/>
        </w:rPr>
        <w:t>instrument</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which</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would</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qualify</w:t>
      </w:r>
      <w:proofErr w:type="spellEnd"/>
      <w:r w:rsidR="008D3285" w:rsidRPr="00705170">
        <w:rPr>
          <w:rFonts w:ascii="Times New Roman" w:hAnsi="Times New Roman" w:cs="Times New Roman"/>
          <w:color w:val="000000"/>
        </w:rPr>
        <w:t xml:space="preserve"> as a </w:t>
      </w:r>
      <w:proofErr w:type="spellStart"/>
      <w:r w:rsidR="008D3285" w:rsidRPr="00705170">
        <w:rPr>
          <w:rFonts w:ascii="Times New Roman" w:hAnsi="Times New Roman" w:cs="Times New Roman"/>
          <w:color w:val="000000"/>
        </w:rPr>
        <w:t>parity</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instrument</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That</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communication</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and</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others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like</w:t>
      </w:r>
      <w:proofErr w:type="spellEnd"/>
      <w:r w:rsidR="008D3285" w:rsidRPr="00705170">
        <w:rPr>
          <w:rFonts w:ascii="Times New Roman" w:hAnsi="Times New Roman" w:cs="Times New Roman"/>
          <w:color w:val="000000"/>
        </w:rPr>
        <w:t xml:space="preserve"> it </w:t>
      </w:r>
      <w:proofErr w:type="spellStart"/>
      <w:r w:rsidR="008D3285" w:rsidRPr="00705170">
        <w:rPr>
          <w:rFonts w:ascii="Times New Roman" w:hAnsi="Times New Roman" w:cs="Times New Roman"/>
          <w:color w:val="000000"/>
        </w:rPr>
        <w:t>confirm</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that</w:t>
      </w:r>
      <w:proofErr w:type="spellEnd"/>
      <w:r w:rsidR="008D3285" w:rsidRPr="00705170">
        <w:rPr>
          <w:rFonts w:ascii="Times New Roman" w:hAnsi="Times New Roman" w:cs="Times New Roman"/>
          <w:color w:val="000000"/>
        </w:rPr>
        <w:t xml:space="preserve"> of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two</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competing</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interpretations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Trustee's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interpretation</w:t>
      </w:r>
      <w:proofErr w:type="spellEnd"/>
      <w:r w:rsidR="008D3285" w:rsidRPr="00705170">
        <w:rPr>
          <w:rFonts w:ascii="Times New Roman" w:hAnsi="Times New Roman" w:cs="Times New Roman"/>
          <w:color w:val="000000"/>
        </w:rPr>
        <w:t xml:space="preserve"> is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more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1C1C1C"/>
        </w:rPr>
        <w:t>reasonable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because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Defendants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themselves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believed</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and</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contributed</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to</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investment</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community's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1C1C1C"/>
        </w:rPr>
        <w:t>reasonable</w:t>
      </w:r>
      <w:proofErr w:type="spellEnd"/>
      <w:r w:rsidR="008D3285" w:rsidRPr="00705170">
        <w:rPr>
          <w:rFonts w:ascii="Times New Roman" w:hAnsi="Times New Roman" w:cs="Times New Roman"/>
          <w:color w:val="1C1C1C"/>
        </w:rPr>
        <w:t xml:space="preserve"> </w:t>
      </w:r>
      <w:proofErr w:type="spellStart"/>
      <w:r w:rsidR="008D3285" w:rsidRPr="00705170">
        <w:rPr>
          <w:rFonts w:ascii="Times New Roman" w:hAnsi="Times New Roman" w:cs="Times New Roman"/>
          <w:color w:val="000000"/>
        </w:rPr>
        <w:t>belief</w:t>
      </w:r>
      <w:proofErr w:type="spellEnd"/>
      <w:r w:rsidR="008D3285" w:rsidRPr="00705170">
        <w:rPr>
          <w:rFonts w:ascii="Times New Roman" w:hAnsi="Times New Roman" w:cs="Times New Roman"/>
          <w:color w:val="000000"/>
        </w:rPr>
        <w:t>—</w:t>
      </w:r>
      <w:proofErr w:type="spellStart"/>
      <w:r w:rsidR="008D3285" w:rsidRPr="00705170">
        <w:rPr>
          <w:rFonts w:ascii="Times New Roman" w:hAnsi="Times New Roman" w:cs="Times New Roman"/>
          <w:color w:val="000000"/>
        </w:rPr>
        <w:t>that</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the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DresCap</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Trust</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Certificates</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were</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Parity</w:t>
      </w:r>
      <w:proofErr w:type="spellEnd"/>
      <w:r w:rsidR="008D3285" w:rsidRPr="00705170">
        <w:rPr>
          <w:rFonts w:ascii="Times New Roman" w:hAnsi="Times New Roman" w:cs="Times New Roman"/>
          <w:color w:val="000000"/>
        </w:rPr>
        <w:t xml:space="preserve"> </w:t>
      </w:r>
      <w:proofErr w:type="spellStart"/>
      <w:r w:rsidR="008D3285" w:rsidRPr="00705170">
        <w:rPr>
          <w:rFonts w:ascii="Times New Roman" w:hAnsi="Times New Roman" w:cs="Times New Roman"/>
          <w:color w:val="000000"/>
        </w:rPr>
        <w:t>Securities</w:t>
      </w:r>
      <w:proofErr w:type="spellEnd"/>
      <w:r w:rsidR="008D3285" w:rsidRPr="00705170">
        <w:rPr>
          <w:rFonts w:ascii="Times New Roman" w:hAnsi="Times New Roman" w:cs="Times New Roman"/>
          <w:color w:val="000000"/>
        </w:rPr>
        <w:t>.</w:t>
      </w:r>
      <w:r w:rsidR="008D3285"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Building</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reasoning</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it can be </w:t>
      </w:r>
      <w:proofErr w:type="spellStart"/>
      <w:r w:rsidRPr="00705170">
        <w:rPr>
          <w:rFonts w:ascii="Times New Roman" w:hAnsi="Times New Roman" w:cs="Times New Roman"/>
        </w:rPr>
        <w:t>said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response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department</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play</w:t>
      </w:r>
      <w:proofErr w:type="spellEnd"/>
      <w:r w:rsidRPr="00705170">
        <w:rPr>
          <w:rFonts w:ascii="Times New Roman" w:hAnsi="Times New Roman" w:cs="Times New Roman"/>
        </w:rPr>
        <w:t xml:space="preserve"> a role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interpretation</w:t>
      </w:r>
      <w:proofErr w:type="spellEnd"/>
      <w:r w:rsidRPr="00705170">
        <w:rPr>
          <w:rFonts w:ascii="Times New Roman" w:hAnsi="Times New Roman" w:cs="Times New Roman"/>
        </w:rPr>
        <w:t xml:space="preserve"> of an </w:t>
      </w:r>
      <w:proofErr w:type="spellStart"/>
      <w:r w:rsidRPr="00705170">
        <w:rPr>
          <w:rFonts w:ascii="Times New Roman" w:hAnsi="Times New Roman" w:cs="Times New Roman"/>
        </w:rPr>
        <w:t>issue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contribute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deem</w:t>
      </w:r>
      <w:proofErr w:type="spellEnd"/>
      <w:r w:rsidRPr="00705170">
        <w:rPr>
          <w:rFonts w:ascii="Times New Roman" w:hAnsi="Times New Roman" w:cs="Times New Roman"/>
        </w:rPr>
        <w:t xml:space="preserve"> it a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00221990" w:rsidRPr="00705170">
        <w:rPr>
          <w:rFonts w:ascii="Times New Roman" w:hAnsi="Times New Roman" w:cs="Times New Roman"/>
        </w:rPr>
        <w:t>After</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all</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department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speaks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behalf</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issuer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information</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gives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particular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investor</w:t>
      </w:r>
      <w:proofErr w:type="spellEnd"/>
      <w:r w:rsidRPr="00705170">
        <w:rPr>
          <w:rFonts w:ascii="Times New Roman" w:hAnsi="Times New Roman" w:cs="Times New Roman"/>
        </w:rPr>
        <w:t xml:space="preserve"> </w:t>
      </w:r>
      <w:proofErr w:type="spellStart"/>
      <w:r w:rsidR="00221990" w:rsidRPr="00705170">
        <w:rPr>
          <w:rFonts w:ascii="Times New Roman" w:hAnsi="Times New Roman" w:cs="Times New Roman"/>
        </w:rPr>
        <w:t>would</w:t>
      </w:r>
      <w:proofErr w:type="spellEnd"/>
      <w:r w:rsidR="00221990" w:rsidRPr="00705170">
        <w:rPr>
          <w:rFonts w:ascii="Times New Roman" w:hAnsi="Times New Roman" w:cs="Times New Roman"/>
        </w:rPr>
        <w:t xml:space="preserve"> be </w:t>
      </w:r>
      <w:proofErr w:type="spellStart"/>
      <w:r w:rsidR="00204053">
        <w:rPr>
          <w:rFonts w:ascii="Times New Roman" w:hAnsi="Times New Roman" w:cs="Times New Roman"/>
        </w:rPr>
        <w:t>made</w:t>
      </w:r>
      <w:proofErr w:type="spellEnd"/>
      <w:r w:rsidR="00204053" w:rsidRPr="00705170">
        <w:rPr>
          <w:rFonts w:ascii="Times New Roman" w:hAnsi="Times New Roman" w:cs="Times New Roman"/>
        </w:rPr>
        <w:t xml:space="preserve"> </w:t>
      </w:r>
      <w:r w:rsidR="00221990" w:rsidRPr="00705170">
        <w:rPr>
          <w:rFonts w:ascii="Times New Roman" w:hAnsi="Times New Roman" w:cs="Times New Roman"/>
        </w:rPr>
        <w:t xml:space="preserve">in </w:t>
      </w:r>
      <w:proofErr w:type="spellStart"/>
      <w:r w:rsidR="00221990" w:rsidRPr="00705170">
        <w:rPr>
          <w:rFonts w:ascii="Times New Roman" w:hAnsi="Times New Roman" w:cs="Times New Roman"/>
        </w:rPr>
        <w:t>accordance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with</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04053">
        <w:rPr>
          <w:rFonts w:ascii="Times New Roman" w:hAnsi="Times New Roman" w:cs="Times New Roman"/>
        </w:rPr>
        <w:t>capital</w:t>
      </w:r>
      <w:proofErr w:type="spellEnd"/>
      <w:r w:rsidR="00204053">
        <w:rPr>
          <w:rFonts w:ascii="Times New Roman" w:hAnsi="Times New Roman" w:cs="Times New Roman"/>
        </w:rPr>
        <w:t xml:space="preserve"> market</w:t>
      </w:r>
      <w:r w:rsidR="00204053" w:rsidRPr="00705170">
        <w:rPr>
          <w:rFonts w:ascii="Times New Roman" w:hAnsi="Times New Roman" w:cs="Times New Roman"/>
        </w:rPr>
        <w:t xml:space="preserve"> </w:t>
      </w:r>
      <w:proofErr w:type="spellStart"/>
      <w:r w:rsidR="00221990" w:rsidRPr="00705170">
        <w:rPr>
          <w:rFonts w:ascii="Times New Roman" w:hAnsi="Times New Roman" w:cs="Times New Roman"/>
        </w:rPr>
        <w:t>law</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and</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thus</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become</w:t>
      </w:r>
      <w:proofErr w:type="spellEnd"/>
      <w:r w:rsidR="00221990" w:rsidRPr="00705170">
        <w:rPr>
          <w:rFonts w:ascii="Times New Roman" w:hAnsi="Times New Roman" w:cs="Times New Roman"/>
        </w:rPr>
        <w:t xml:space="preserve"> a </w:t>
      </w:r>
      <w:proofErr w:type="spellStart"/>
      <w:r w:rsidR="00221990" w:rsidRPr="00705170">
        <w:rPr>
          <w:rFonts w:ascii="Times New Roman" w:hAnsi="Times New Roman" w:cs="Times New Roman"/>
        </w:rPr>
        <w:t>part</w:t>
      </w:r>
      <w:proofErr w:type="spellEnd"/>
      <w:r w:rsidR="00221990" w:rsidRPr="00705170">
        <w:rPr>
          <w:rFonts w:ascii="Times New Roman" w:hAnsi="Times New Roman" w:cs="Times New Roman"/>
        </w:rPr>
        <w:t xml:space="preserve"> of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contract</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between</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corporation</w:t>
      </w:r>
      <w:proofErr w:type="spellEnd"/>
      <w:r w:rsidR="00E86213" w:rsidRPr="00705170">
        <w:rPr>
          <w:rFonts w:ascii="Times New Roman" w:hAnsi="Times New Roman" w:cs="Times New Roman"/>
        </w:rPr>
        <w:t xml:space="preserve"> </w:t>
      </w:r>
      <w:proofErr w:type="spellStart"/>
      <w:r w:rsidR="00E86213" w:rsidRPr="00705170">
        <w:rPr>
          <w:rFonts w:ascii="Times New Roman" w:hAnsi="Times New Roman" w:cs="Times New Roman"/>
        </w:rPr>
        <w:t>and</w:t>
      </w:r>
      <w:proofErr w:type="spellEnd"/>
      <w:r w:rsidR="00E86213" w:rsidRPr="00705170">
        <w:rPr>
          <w:rFonts w:ascii="Times New Roman" w:hAnsi="Times New Roman" w:cs="Times New Roman"/>
        </w:rPr>
        <w:t xml:space="preserve"> </w:t>
      </w:r>
      <w:proofErr w:type="spellStart"/>
      <w:r w:rsidR="00E86213" w:rsidRPr="00705170">
        <w:rPr>
          <w:rFonts w:ascii="Times New Roman" w:hAnsi="Times New Roman" w:cs="Times New Roman"/>
        </w:rPr>
        <w:t>the</w:t>
      </w:r>
      <w:proofErr w:type="spellEnd"/>
      <w:r w:rsidR="00E86213" w:rsidRPr="00705170">
        <w:rPr>
          <w:rFonts w:ascii="Times New Roman" w:hAnsi="Times New Roman" w:cs="Times New Roman"/>
        </w:rPr>
        <w:t xml:space="preserve"> </w:t>
      </w:r>
      <w:proofErr w:type="spellStart"/>
      <w:r w:rsidR="00E86213" w:rsidRPr="00705170">
        <w:rPr>
          <w:rFonts w:ascii="Times New Roman" w:hAnsi="Times New Roman" w:cs="Times New Roman"/>
        </w:rPr>
        <w:t>shareholder</w:t>
      </w:r>
      <w:proofErr w:type="spellEnd"/>
      <w:r w:rsidR="00E86213" w:rsidRPr="00705170">
        <w:rPr>
          <w:rFonts w:ascii="Times New Roman" w:hAnsi="Times New Roman" w:cs="Times New Roman"/>
        </w:rPr>
        <w:t xml:space="preserve">. </w:t>
      </w:r>
    </w:p>
    <w:p w14:paraId="54618856" w14:textId="54906FA0" w:rsidR="008D3285" w:rsidRPr="00705170" w:rsidRDefault="00E86213" w:rsidP="00927B38">
      <w:pPr>
        <w:widowControl w:val="0"/>
        <w:autoSpaceDE w:val="0"/>
        <w:autoSpaceDN w:val="0"/>
        <w:adjustRightInd w:val="0"/>
        <w:spacing w:after="240" w:line="480" w:lineRule="auto"/>
        <w:ind w:firstLine="708"/>
        <w:jc w:val="both"/>
        <w:rPr>
          <w:rFonts w:ascii="Times New Roman" w:hAnsi="Times New Roman" w:cs="Times New Roman"/>
          <w:color w:val="000000"/>
        </w:rPr>
      </w:pP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00221990" w:rsidRPr="00705170">
        <w:rPr>
          <w:rFonts w:ascii="Times New Roman" w:hAnsi="Times New Roman" w:cs="Times New Roman"/>
        </w:rPr>
        <w:t>one</w:t>
      </w:r>
      <w:proofErr w:type="spellEnd"/>
      <w:r w:rsidR="00221990" w:rsidRPr="00705170">
        <w:rPr>
          <w:rFonts w:ascii="Times New Roman" w:hAnsi="Times New Roman" w:cs="Times New Roman"/>
        </w:rPr>
        <w:t xml:space="preserve"> can </w:t>
      </w:r>
      <w:proofErr w:type="spellStart"/>
      <w:r w:rsidR="00221990" w:rsidRPr="00705170">
        <w:rPr>
          <w:rFonts w:ascii="Times New Roman" w:hAnsi="Times New Roman" w:cs="Times New Roman"/>
        </w:rPr>
        <w:t>assert</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that</w:t>
      </w:r>
      <w:proofErr w:type="spellEnd"/>
      <w:r w:rsidR="00221990" w:rsidRPr="00705170">
        <w:rPr>
          <w:rFonts w:ascii="Times New Roman" w:hAnsi="Times New Roman" w:cs="Times New Roman"/>
        </w:rPr>
        <w:t xml:space="preserve"> </w:t>
      </w:r>
      <w:proofErr w:type="spellStart"/>
      <w:r w:rsidR="00204053">
        <w:rPr>
          <w:rFonts w:ascii="Times New Roman" w:hAnsi="Times New Roman" w:cs="Times New Roman"/>
        </w:rPr>
        <w:t>the</w:t>
      </w:r>
      <w:proofErr w:type="spellEnd"/>
      <w:r w:rsidR="00204053" w:rsidRPr="00705170">
        <w:rPr>
          <w:rFonts w:ascii="Times New Roman" w:hAnsi="Times New Roman" w:cs="Times New Roman"/>
        </w:rPr>
        <w:t xml:space="preserve"> </w:t>
      </w:r>
      <w:proofErr w:type="spellStart"/>
      <w:r w:rsidR="00221990" w:rsidRPr="00705170">
        <w:rPr>
          <w:rFonts w:ascii="Times New Roman" w:hAnsi="Times New Roman" w:cs="Times New Roman"/>
        </w:rPr>
        <w:t>particular</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answer</w:t>
      </w:r>
      <w:proofErr w:type="spellEnd"/>
      <w:r w:rsidR="00204053">
        <w:rPr>
          <w:rFonts w:ascii="Times New Roman" w:hAnsi="Times New Roman" w:cs="Times New Roman"/>
        </w:rPr>
        <w:t xml:space="preserve"> of </w:t>
      </w:r>
      <w:proofErr w:type="spellStart"/>
      <w:r w:rsidR="00204053">
        <w:rPr>
          <w:rFonts w:ascii="Times New Roman" w:hAnsi="Times New Roman" w:cs="Times New Roman"/>
        </w:rPr>
        <w:t>the</w:t>
      </w:r>
      <w:proofErr w:type="spellEnd"/>
      <w:r w:rsidR="00204053">
        <w:rPr>
          <w:rFonts w:ascii="Times New Roman" w:hAnsi="Times New Roman" w:cs="Times New Roman"/>
        </w:rPr>
        <w:t xml:space="preserve"> </w:t>
      </w:r>
      <w:proofErr w:type="spellStart"/>
      <w:r w:rsidR="00204053">
        <w:rPr>
          <w:rFonts w:ascii="Times New Roman" w:hAnsi="Times New Roman" w:cs="Times New Roman"/>
        </w:rPr>
        <w:t>investor</w:t>
      </w:r>
      <w:proofErr w:type="spellEnd"/>
      <w:r w:rsidR="00204053">
        <w:rPr>
          <w:rFonts w:ascii="Times New Roman" w:hAnsi="Times New Roman" w:cs="Times New Roman"/>
        </w:rPr>
        <w:t xml:space="preserve"> </w:t>
      </w:r>
      <w:proofErr w:type="spellStart"/>
      <w:r w:rsidR="00204053">
        <w:rPr>
          <w:rFonts w:ascii="Times New Roman" w:hAnsi="Times New Roman" w:cs="Times New Roman"/>
        </w:rPr>
        <w:t>relations</w:t>
      </w:r>
      <w:proofErr w:type="spellEnd"/>
      <w:r w:rsidR="00204053">
        <w:rPr>
          <w:rFonts w:ascii="Times New Roman" w:hAnsi="Times New Roman" w:cs="Times New Roman"/>
        </w:rPr>
        <w:t xml:space="preserve"> </w:t>
      </w:r>
      <w:proofErr w:type="spellStart"/>
      <w:r w:rsidR="00204053">
        <w:rPr>
          <w:rFonts w:ascii="Times New Roman" w:hAnsi="Times New Roman" w:cs="Times New Roman"/>
        </w:rPr>
        <w:t>department</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would</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stay</w:t>
      </w:r>
      <w:proofErr w:type="spellEnd"/>
      <w:r w:rsidR="00221990" w:rsidRPr="00705170">
        <w:rPr>
          <w:rFonts w:ascii="Times New Roman" w:hAnsi="Times New Roman" w:cs="Times New Roman"/>
        </w:rPr>
        <w:t xml:space="preserve"> in </w:t>
      </w:r>
      <w:proofErr w:type="spellStart"/>
      <w:r w:rsidR="00221990" w:rsidRPr="00705170">
        <w:rPr>
          <w:rFonts w:ascii="Times New Roman" w:hAnsi="Times New Roman" w:cs="Times New Roman"/>
        </w:rPr>
        <w:t>between</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two</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parties</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and</w:t>
      </w:r>
      <w:proofErr w:type="spellEnd"/>
      <w:r w:rsidR="00221990" w:rsidRPr="00705170">
        <w:rPr>
          <w:rFonts w:ascii="Times New Roman" w:hAnsi="Times New Roman" w:cs="Times New Roman"/>
        </w:rPr>
        <w:t xml:space="preserve"> can </w:t>
      </w:r>
      <w:proofErr w:type="spellStart"/>
      <w:r w:rsidR="00221990" w:rsidRPr="00705170">
        <w:rPr>
          <w:rFonts w:ascii="Times New Roman" w:hAnsi="Times New Roman" w:cs="Times New Roman"/>
        </w:rPr>
        <w:t>only</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contribute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to</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specific</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reasonable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expectations</w:t>
      </w:r>
      <w:proofErr w:type="spellEnd"/>
      <w:r w:rsidR="00221990" w:rsidRPr="00705170">
        <w:rPr>
          <w:rFonts w:ascii="Times New Roman" w:hAnsi="Times New Roman" w:cs="Times New Roman"/>
        </w:rPr>
        <w:t xml:space="preserve"> of an </w:t>
      </w:r>
      <w:proofErr w:type="spellStart"/>
      <w:r w:rsidR="00221990" w:rsidRPr="00705170">
        <w:rPr>
          <w:rFonts w:ascii="Times New Roman" w:hAnsi="Times New Roman" w:cs="Times New Roman"/>
        </w:rPr>
        <w:t>investor</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this</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argument</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fail</w:t>
      </w:r>
      <w:r w:rsidR="00204053">
        <w:rPr>
          <w:rFonts w:ascii="Times New Roman" w:hAnsi="Times New Roman" w:cs="Times New Roman"/>
        </w:rPr>
        <w:t>s</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fact</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that</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any</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material</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information</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should</w:t>
      </w:r>
      <w:proofErr w:type="spellEnd"/>
      <w:r w:rsidR="00221990" w:rsidRPr="00705170">
        <w:rPr>
          <w:rFonts w:ascii="Times New Roman" w:hAnsi="Times New Roman" w:cs="Times New Roman"/>
        </w:rPr>
        <w:t xml:space="preserve"> be </w:t>
      </w:r>
      <w:proofErr w:type="spellStart"/>
      <w:r w:rsidR="00221990" w:rsidRPr="00705170">
        <w:rPr>
          <w:rFonts w:ascii="Times New Roman" w:hAnsi="Times New Roman" w:cs="Times New Roman"/>
        </w:rPr>
        <w:t>disclosed</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to</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public</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obliges</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issuer</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to</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announce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information</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given</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to</w:t>
      </w:r>
      <w:proofErr w:type="spellEnd"/>
      <w:r w:rsidR="00221990" w:rsidRPr="00705170">
        <w:rPr>
          <w:rFonts w:ascii="Times New Roman" w:hAnsi="Times New Roman" w:cs="Times New Roman"/>
        </w:rPr>
        <w:t xml:space="preserve"> a </w:t>
      </w:r>
      <w:proofErr w:type="spellStart"/>
      <w:r w:rsidR="00221990" w:rsidRPr="00705170">
        <w:rPr>
          <w:rFonts w:ascii="Times New Roman" w:hAnsi="Times New Roman" w:cs="Times New Roman"/>
        </w:rPr>
        <w:t>particular</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investor</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to</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public</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and</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failure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to</w:t>
      </w:r>
      <w:proofErr w:type="spellEnd"/>
      <w:r w:rsidR="00221990" w:rsidRPr="00705170">
        <w:rPr>
          <w:rFonts w:ascii="Times New Roman" w:hAnsi="Times New Roman" w:cs="Times New Roman"/>
        </w:rPr>
        <w:t xml:space="preserve"> do </w:t>
      </w:r>
      <w:proofErr w:type="spellStart"/>
      <w:r w:rsidR="00221990" w:rsidRPr="00705170">
        <w:rPr>
          <w:rFonts w:ascii="Times New Roman" w:hAnsi="Times New Roman" w:cs="Times New Roman"/>
        </w:rPr>
        <w:t>this</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does</w:t>
      </w:r>
      <w:proofErr w:type="spellEnd"/>
      <w:r w:rsidR="00221990" w:rsidRPr="00705170">
        <w:rPr>
          <w:rFonts w:ascii="Times New Roman" w:hAnsi="Times New Roman" w:cs="Times New Roman"/>
        </w:rPr>
        <w:t xml:space="preserve"> not </w:t>
      </w:r>
      <w:proofErr w:type="spellStart"/>
      <w:r w:rsidR="00221990" w:rsidRPr="00705170">
        <w:rPr>
          <w:rFonts w:ascii="Times New Roman" w:hAnsi="Times New Roman" w:cs="Times New Roman"/>
        </w:rPr>
        <w:t>change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nature</w:t>
      </w:r>
      <w:proofErr w:type="spellEnd"/>
      <w:r w:rsidR="00221990" w:rsidRPr="00705170">
        <w:rPr>
          <w:rFonts w:ascii="Times New Roman" w:hAnsi="Times New Roman" w:cs="Times New Roman"/>
        </w:rPr>
        <w:t xml:space="preserve"> of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information</w:t>
      </w:r>
      <w:proofErr w:type="spellEnd"/>
      <w:r w:rsidR="00221990" w:rsidRPr="00705170">
        <w:rPr>
          <w:rFonts w:ascii="Times New Roman" w:hAnsi="Times New Roman" w:cs="Times New Roman"/>
        </w:rPr>
        <w:t xml:space="preserve">, it </w:t>
      </w:r>
      <w:proofErr w:type="spellStart"/>
      <w:r w:rsidR="00221990" w:rsidRPr="00705170">
        <w:rPr>
          <w:rFonts w:ascii="Times New Roman" w:hAnsi="Times New Roman" w:cs="Times New Roman"/>
        </w:rPr>
        <w:t>just</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means</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that</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there</w:t>
      </w:r>
      <w:proofErr w:type="spellEnd"/>
      <w:r w:rsidR="00221990" w:rsidRPr="00705170">
        <w:rPr>
          <w:rFonts w:ascii="Times New Roman" w:hAnsi="Times New Roman" w:cs="Times New Roman"/>
        </w:rPr>
        <w:t xml:space="preserve"> is a </w:t>
      </w:r>
      <w:proofErr w:type="spellStart"/>
      <w:r w:rsidR="00221990" w:rsidRPr="00705170">
        <w:rPr>
          <w:rFonts w:ascii="Times New Roman" w:hAnsi="Times New Roman" w:cs="Times New Roman"/>
        </w:rPr>
        <w:t>violation</w:t>
      </w:r>
      <w:proofErr w:type="spellEnd"/>
      <w:r w:rsidR="00221990" w:rsidRPr="00705170">
        <w:rPr>
          <w:rFonts w:ascii="Times New Roman" w:hAnsi="Times New Roman" w:cs="Times New Roman"/>
        </w:rPr>
        <w:t xml:space="preserve"> of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disclosure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requirement</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and</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material</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nature</w:t>
      </w:r>
      <w:proofErr w:type="spellEnd"/>
      <w:r w:rsidR="00221990" w:rsidRPr="00705170">
        <w:rPr>
          <w:rFonts w:ascii="Times New Roman" w:hAnsi="Times New Roman" w:cs="Times New Roman"/>
        </w:rPr>
        <w:t xml:space="preserve"> of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information</w:t>
      </w:r>
      <w:proofErr w:type="spellEnd"/>
      <w:r w:rsidR="00221990" w:rsidRPr="00705170">
        <w:rPr>
          <w:rFonts w:ascii="Times New Roman" w:hAnsi="Times New Roman" w:cs="Times New Roman"/>
        </w:rPr>
        <w:t xml:space="preserve"> is </w:t>
      </w:r>
      <w:proofErr w:type="spellStart"/>
      <w:r w:rsidR="00221990" w:rsidRPr="00705170">
        <w:rPr>
          <w:rFonts w:ascii="Times New Roman" w:hAnsi="Times New Roman" w:cs="Times New Roman"/>
        </w:rPr>
        <w:t>enough</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to</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elevate</w:t>
      </w:r>
      <w:proofErr w:type="spellEnd"/>
      <w:r w:rsidR="00221990" w:rsidRPr="00705170">
        <w:rPr>
          <w:rFonts w:ascii="Times New Roman" w:hAnsi="Times New Roman" w:cs="Times New Roman"/>
        </w:rPr>
        <w:t xml:space="preserve"> it </w:t>
      </w:r>
      <w:proofErr w:type="spellStart"/>
      <w:r w:rsidR="00221990" w:rsidRPr="00705170">
        <w:rPr>
          <w:rFonts w:ascii="Times New Roman" w:hAnsi="Times New Roman" w:cs="Times New Roman"/>
        </w:rPr>
        <w:t>to</w:t>
      </w:r>
      <w:proofErr w:type="spellEnd"/>
      <w:r w:rsidR="00221990" w:rsidRPr="00705170">
        <w:rPr>
          <w:rFonts w:ascii="Times New Roman" w:hAnsi="Times New Roman" w:cs="Times New Roman"/>
        </w:rPr>
        <w:t xml:space="preserve"> a </w:t>
      </w:r>
      <w:proofErr w:type="spellStart"/>
      <w:r w:rsidR="00221990" w:rsidRPr="00705170">
        <w:rPr>
          <w:rFonts w:ascii="Times New Roman" w:hAnsi="Times New Roman" w:cs="Times New Roman"/>
        </w:rPr>
        <w:t>level</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that</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would</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deem</w:t>
      </w:r>
      <w:proofErr w:type="spellEnd"/>
      <w:r w:rsidR="00221990" w:rsidRPr="00705170">
        <w:rPr>
          <w:rFonts w:ascii="Times New Roman" w:hAnsi="Times New Roman" w:cs="Times New Roman"/>
        </w:rPr>
        <w:t xml:space="preserve"> it a </w:t>
      </w:r>
      <w:proofErr w:type="spellStart"/>
      <w:r w:rsidR="00221990" w:rsidRPr="00705170">
        <w:rPr>
          <w:rFonts w:ascii="Times New Roman" w:hAnsi="Times New Roman" w:cs="Times New Roman"/>
        </w:rPr>
        <w:t>term</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between</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corporation</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and</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the</w:t>
      </w:r>
      <w:proofErr w:type="spellEnd"/>
      <w:r w:rsidR="00221990" w:rsidRPr="00705170">
        <w:rPr>
          <w:rFonts w:ascii="Times New Roman" w:hAnsi="Times New Roman" w:cs="Times New Roman"/>
        </w:rPr>
        <w:t xml:space="preserve"> </w:t>
      </w:r>
      <w:proofErr w:type="spellStart"/>
      <w:r w:rsidR="00221990" w:rsidRPr="00705170">
        <w:rPr>
          <w:rFonts w:ascii="Times New Roman" w:hAnsi="Times New Roman" w:cs="Times New Roman"/>
        </w:rPr>
        <w:t>shareholders</w:t>
      </w:r>
      <w:proofErr w:type="spellEnd"/>
      <w:r w:rsidR="00221990" w:rsidRPr="00705170">
        <w:rPr>
          <w:rFonts w:ascii="Times New Roman" w:hAnsi="Times New Roman" w:cs="Times New Roman"/>
        </w:rPr>
        <w:t xml:space="preserve"> in </w:t>
      </w:r>
      <w:r w:rsidR="00221990" w:rsidRPr="00705170">
        <w:rPr>
          <w:rFonts w:ascii="Times New Roman" w:hAnsi="Times New Roman" w:cs="Times New Roman"/>
        </w:rPr>
        <w:lastRenderedPageBreak/>
        <w:t>general.</w:t>
      </w:r>
    </w:p>
    <w:p w14:paraId="7FDFE6CE" w14:textId="48E7CF4F" w:rsidR="002C1476" w:rsidRPr="00705170" w:rsidRDefault="008D3285" w:rsidP="00927B38">
      <w:pPr>
        <w:widowControl w:val="0"/>
        <w:autoSpaceDE w:val="0"/>
        <w:autoSpaceDN w:val="0"/>
        <w:adjustRightInd w:val="0"/>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00927B38" w:rsidRPr="00705170">
        <w:rPr>
          <w:rFonts w:ascii="Times New Roman" w:hAnsi="Times New Roman" w:cs="Times New Roman"/>
        </w:rPr>
        <w:t>Moving</w:t>
      </w:r>
      <w:proofErr w:type="spellEnd"/>
      <w:r w:rsidR="00927B38" w:rsidRPr="00705170">
        <w:rPr>
          <w:rFonts w:ascii="Times New Roman" w:hAnsi="Times New Roman" w:cs="Times New Roman"/>
        </w:rPr>
        <w:t xml:space="preserve"> </w:t>
      </w:r>
      <w:proofErr w:type="spellStart"/>
      <w:r w:rsidR="00927B38" w:rsidRPr="00705170">
        <w:rPr>
          <w:rFonts w:ascii="Times New Roman" w:hAnsi="Times New Roman" w:cs="Times New Roman"/>
        </w:rPr>
        <w:t>forward</w:t>
      </w:r>
      <w:proofErr w:type="spellEnd"/>
      <w:r w:rsidR="00927B38" w:rsidRPr="00705170">
        <w:rPr>
          <w:rFonts w:ascii="Times New Roman" w:hAnsi="Times New Roman" w:cs="Times New Roman"/>
        </w:rPr>
        <w:t xml:space="preserve">, </w:t>
      </w:r>
      <w:proofErr w:type="spellStart"/>
      <w:r w:rsidR="00927B38" w:rsidRPr="00705170">
        <w:rPr>
          <w:rFonts w:ascii="Times New Roman" w:hAnsi="Times New Roman" w:cs="Times New Roman"/>
        </w:rPr>
        <w:t>another</w:t>
      </w:r>
      <w:proofErr w:type="spellEnd"/>
      <w:r w:rsidR="00927B38" w:rsidRPr="00705170">
        <w:rPr>
          <w:rFonts w:ascii="Times New Roman" w:hAnsi="Times New Roman" w:cs="Times New Roman"/>
        </w:rPr>
        <w:t xml:space="preserve"> </w:t>
      </w:r>
      <w:proofErr w:type="spellStart"/>
      <w:r w:rsidR="00927B38" w:rsidRPr="00705170">
        <w:rPr>
          <w:rFonts w:ascii="Times New Roman" w:hAnsi="Times New Roman" w:cs="Times New Roman"/>
        </w:rPr>
        <w:t>aspect</w:t>
      </w:r>
      <w:proofErr w:type="spellEnd"/>
      <w:r w:rsidR="00927B38" w:rsidRPr="00705170">
        <w:rPr>
          <w:rFonts w:ascii="Times New Roman" w:hAnsi="Times New Roman" w:cs="Times New Roman"/>
        </w:rPr>
        <w:t xml:space="preserve"> of </w:t>
      </w:r>
      <w:proofErr w:type="spellStart"/>
      <w:r w:rsidR="00927B38" w:rsidRPr="00705170">
        <w:rPr>
          <w:rFonts w:ascii="Times New Roman" w:hAnsi="Times New Roman" w:cs="Times New Roman"/>
        </w:rPr>
        <w:t>the</w:t>
      </w:r>
      <w:proofErr w:type="spellEnd"/>
      <w:r w:rsidR="00927B38" w:rsidRPr="00705170">
        <w:rPr>
          <w:rFonts w:ascii="Times New Roman" w:hAnsi="Times New Roman" w:cs="Times New Roman"/>
        </w:rPr>
        <w:t xml:space="preserve"> </w:t>
      </w:r>
      <w:proofErr w:type="spellStart"/>
      <w:r w:rsidR="00927B38" w:rsidRPr="00705170">
        <w:rPr>
          <w:rFonts w:ascii="Times New Roman" w:hAnsi="Times New Roman" w:cs="Times New Roman"/>
        </w:rPr>
        <w:t>disclosure</w:t>
      </w:r>
      <w:proofErr w:type="spellEnd"/>
      <w:r w:rsidR="00927B38" w:rsidRPr="00705170">
        <w:rPr>
          <w:rFonts w:ascii="Times New Roman" w:hAnsi="Times New Roman" w:cs="Times New Roman"/>
        </w:rPr>
        <w:t xml:space="preserve"> </w:t>
      </w:r>
      <w:proofErr w:type="spellStart"/>
      <w:r w:rsidR="00927B38" w:rsidRPr="00705170">
        <w:rPr>
          <w:rFonts w:ascii="Times New Roman" w:hAnsi="Times New Roman" w:cs="Times New Roman"/>
        </w:rPr>
        <w:t>issue</w:t>
      </w:r>
      <w:proofErr w:type="spellEnd"/>
      <w:r w:rsidR="00927B38" w:rsidRPr="00705170">
        <w:rPr>
          <w:rFonts w:ascii="Times New Roman" w:hAnsi="Times New Roman" w:cs="Times New Roman"/>
        </w:rPr>
        <w:t xml:space="preserve"> in </w:t>
      </w:r>
      <w:proofErr w:type="spellStart"/>
      <w:r w:rsidR="00927B38" w:rsidRPr="00705170">
        <w:rPr>
          <w:rFonts w:ascii="Times New Roman" w:hAnsi="Times New Roman" w:cs="Times New Roman"/>
        </w:rPr>
        <w:t>capi</w:t>
      </w:r>
      <w:r w:rsidR="0045625C" w:rsidRPr="00705170">
        <w:rPr>
          <w:rFonts w:ascii="Times New Roman" w:hAnsi="Times New Roman" w:cs="Times New Roman"/>
        </w:rPr>
        <w:t>tal</w:t>
      </w:r>
      <w:proofErr w:type="spellEnd"/>
      <w:r w:rsidR="0045625C" w:rsidRPr="00705170">
        <w:rPr>
          <w:rFonts w:ascii="Times New Roman" w:hAnsi="Times New Roman" w:cs="Times New Roman"/>
        </w:rPr>
        <w:t xml:space="preserve"> market </w:t>
      </w:r>
      <w:proofErr w:type="spellStart"/>
      <w:r w:rsidR="0045625C" w:rsidRPr="00705170">
        <w:rPr>
          <w:rFonts w:ascii="Times New Roman" w:hAnsi="Times New Roman" w:cs="Times New Roman"/>
        </w:rPr>
        <w:t>law</w:t>
      </w:r>
      <w:proofErr w:type="spellEnd"/>
      <w:r w:rsidR="0045625C" w:rsidRPr="00705170">
        <w:rPr>
          <w:rFonts w:ascii="Times New Roman" w:hAnsi="Times New Roman" w:cs="Times New Roman"/>
        </w:rPr>
        <w:t xml:space="preserve"> </w:t>
      </w:r>
      <w:proofErr w:type="spellStart"/>
      <w:r w:rsidR="0045625C" w:rsidRPr="00705170">
        <w:rPr>
          <w:rFonts w:ascii="Times New Roman" w:hAnsi="Times New Roman" w:cs="Times New Roman"/>
        </w:rPr>
        <w:t>would</w:t>
      </w:r>
      <w:proofErr w:type="spellEnd"/>
      <w:r w:rsidR="0045625C" w:rsidRPr="00705170">
        <w:rPr>
          <w:rFonts w:ascii="Times New Roman" w:hAnsi="Times New Roman" w:cs="Times New Roman"/>
        </w:rPr>
        <w:t xml:space="preserve"> </w:t>
      </w:r>
      <w:proofErr w:type="spellStart"/>
      <w:r w:rsidR="0045625C" w:rsidRPr="00705170">
        <w:rPr>
          <w:rFonts w:ascii="Times New Roman" w:hAnsi="Times New Roman" w:cs="Times New Roman"/>
        </w:rPr>
        <w:t>require</w:t>
      </w:r>
      <w:proofErr w:type="spellEnd"/>
      <w:r w:rsidR="0045625C" w:rsidRPr="00705170">
        <w:rPr>
          <w:rFonts w:ascii="Times New Roman" w:hAnsi="Times New Roman" w:cs="Times New Roman"/>
        </w:rPr>
        <w:t xml:space="preserve"> </w:t>
      </w:r>
      <w:proofErr w:type="spellStart"/>
      <w:r w:rsidR="0045625C" w:rsidRPr="00705170">
        <w:rPr>
          <w:rFonts w:ascii="Times New Roman" w:hAnsi="Times New Roman" w:cs="Times New Roman"/>
        </w:rPr>
        <w:t>asking</w:t>
      </w:r>
      <w:proofErr w:type="spellEnd"/>
      <w:r w:rsidR="0045625C" w:rsidRPr="00705170">
        <w:rPr>
          <w:rFonts w:ascii="Times New Roman" w:hAnsi="Times New Roman" w:cs="Times New Roman"/>
        </w:rPr>
        <w:t xml:space="preserve"> </w:t>
      </w:r>
      <w:proofErr w:type="spellStart"/>
      <w:r w:rsidRPr="00705170">
        <w:rPr>
          <w:rFonts w:ascii="Times New Roman" w:hAnsi="Times New Roman" w:cs="Times New Roman"/>
        </w:rPr>
        <w:t>whether</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simple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media</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advertisement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coincidental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communication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answering</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inquiry</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newspaper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managers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speech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during</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conference</w:t>
      </w:r>
      <w:proofErr w:type="spellEnd"/>
      <w:r w:rsidRPr="00705170">
        <w:rPr>
          <w:rFonts w:ascii="Times New Roman" w:hAnsi="Times New Roman" w:cs="Times New Roman"/>
        </w:rPr>
        <w:t xml:space="preserve"> in a </w:t>
      </w:r>
      <w:proofErr w:type="spellStart"/>
      <w:r w:rsidRPr="00705170">
        <w:rPr>
          <w:rFonts w:ascii="Times New Roman" w:hAnsi="Times New Roman" w:cs="Times New Roman"/>
        </w:rPr>
        <w:t>university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unauthorized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officer’s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reply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investor’s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inquiry</w:t>
      </w:r>
      <w:proofErr w:type="spellEnd"/>
      <w:r w:rsidRPr="00705170">
        <w:rPr>
          <w:rFonts w:ascii="Times New Roman" w:hAnsi="Times New Roman" w:cs="Times New Roman"/>
        </w:rPr>
        <w:t xml:space="preserve"> </w:t>
      </w:r>
      <w:proofErr w:type="gramStart"/>
      <w:r w:rsidRPr="00705170">
        <w:rPr>
          <w:rFonts w:ascii="Times New Roman" w:hAnsi="Times New Roman" w:cs="Times New Roman"/>
        </w:rPr>
        <w:t>e-</w:t>
      </w:r>
      <w:r w:rsidR="00204053">
        <w:rPr>
          <w:rFonts w:ascii="Times New Roman" w:hAnsi="Times New Roman" w:cs="Times New Roman"/>
        </w:rPr>
        <w:t xml:space="preserve"> </w:t>
      </w:r>
      <w:r w:rsidRPr="00705170">
        <w:rPr>
          <w:rFonts w:ascii="Times New Roman" w:hAnsi="Times New Roman" w:cs="Times New Roman"/>
        </w:rPr>
        <w:t>mail</w:t>
      </w:r>
      <w:proofErr w:type="gramEnd"/>
      <w:r w:rsidRPr="00705170">
        <w:rPr>
          <w:rFonts w:ascii="Times New Roman" w:hAnsi="Times New Roman" w:cs="Times New Roman"/>
        </w:rPr>
        <w:t xml:space="preserve">) </w:t>
      </w:r>
      <w:proofErr w:type="spellStart"/>
      <w:r w:rsidRPr="00705170">
        <w:rPr>
          <w:rFonts w:ascii="Times New Roman" w:hAnsi="Times New Roman" w:cs="Times New Roman"/>
        </w:rPr>
        <w:t>unrelated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w:t>
      </w:r>
      <w:r w:rsidR="00C1462B" w:rsidRPr="00705170">
        <w:rPr>
          <w:rFonts w:ascii="Times New Roman" w:hAnsi="Times New Roman" w:cs="Times New Roman"/>
        </w:rPr>
        <w:t>stor</w:t>
      </w:r>
      <w:proofErr w:type="spellEnd"/>
      <w:r w:rsidR="00C1462B" w:rsidRPr="00705170">
        <w:rPr>
          <w:rFonts w:ascii="Times New Roman" w:hAnsi="Times New Roman" w:cs="Times New Roman"/>
        </w:rPr>
        <w:t xml:space="preserve"> </w:t>
      </w:r>
      <w:proofErr w:type="spellStart"/>
      <w:r w:rsidR="00C1462B" w:rsidRPr="00705170">
        <w:rPr>
          <w:rFonts w:ascii="Times New Roman" w:hAnsi="Times New Roman" w:cs="Times New Roman"/>
        </w:rPr>
        <w:t>relations</w:t>
      </w:r>
      <w:proofErr w:type="spellEnd"/>
      <w:r w:rsidR="00C1462B" w:rsidRPr="00705170">
        <w:rPr>
          <w:rFonts w:ascii="Times New Roman" w:hAnsi="Times New Roman" w:cs="Times New Roman"/>
        </w:rPr>
        <w:t xml:space="preserve"> </w:t>
      </w:r>
      <w:proofErr w:type="spellStart"/>
      <w:r w:rsidR="00C1462B" w:rsidRPr="00705170">
        <w:rPr>
          <w:rFonts w:ascii="Times New Roman" w:hAnsi="Times New Roman" w:cs="Times New Roman"/>
        </w:rPr>
        <w:t>department</w:t>
      </w:r>
      <w:proofErr w:type="spellEnd"/>
      <w:r w:rsidR="00C1462B" w:rsidRPr="00705170">
        <w:rPr>
          <w:rFonts w:ascii="Times New Roman" w:hAnsi="Times New Roman" w:cs="Times New Roman"/>
        </w:rPr>
        <w:t xml:space="preserve"> </w:t>
      </w:r>
      <w:proofErr w:type="spellStart"/>
      <w:r w:rsidR="00C1462B" w:rsidRPr="00705170">
        <w:rPr>
          <w:rFonts w:ascii="Times New Roman" w:hAnsi="Times New Roman" w:cs="Times New Roman"/>
        </w:rPr>
        <w:t>or</w:t>
      </w:r>
      <w:proofErr w:type="spellEnd"/>
      <w:r w:rsidR="00C1462B" w:rsidRPr="00705170">
        <w:rPr>
          <w:rFonts w:ascii="Times New Roman" w:hAnsi="Times New Roman" w:cs="Times New Roman"/>
        </w:rPr>
        <w:t xml:space="preserve"> </w:t>
      </w:r>
      <w:proofErr w:type="spellStart"/>
      <w:r w:rsidR="00C1462B" w:rsidRPr="00705170">
        <w:rPr>
          <w:rFonts w:ascii="Times New Roman" w:hAnsi="Times New Roman" w:cs="Times New Roman"/>
        </w:rPr>
        <w:t>disclosures</w:t>
      </w:r>
      <w:proofErr w:type="spellEnd"/>
      <w:r w:rsidR="00C1462B" w:rsidRPr="00705170">
        <w:rPr>
          <w:rFonts w:ascii="Times New Roman" w:hAnsi="Times New Roman" w:cs="Times New Roman"/>
        </w:rPr>
        <w:t xml:space="preserve"> done </w:t>
      </w:r>
      <w:proofErr w:type="spellStart"/>
      <w:r w:rsidR="007B0408" w:rsidRPr="00705170">
        <w:rPr>
          <w:rFonts w:ascii="Times New Roman" w:hAnsi="Times New Roman" w:cs="Times New Roman"/>
        </w:rPr>
        <w:t>via</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the</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public</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disclosure</w:t>
      </w:r>
      <w:proofErr w:type="spellEnd"/>
      <w:r w:rsidR="007B0408" w:rsidRPr="00705170">
        <w:rPr>
          <w:rFonts w:ascii="Times New Roman" w:hAnsi="Times New Roman" w:cs="Times New Roman"/>
        </w:rPr>
        <w:t xml:space="preserve"> platform</w:t>
      </w:r>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Style w:val="DipnotBavurusu"/>
          <w:rFonts w:ascii="Times New Roman" w:hAnsi="Times New Roman" w:cs="Times New Roman"/>
        </w:rPr>
        <w:footnoteReference w:id="808"/>
      </w:r>
      <w:r w:rsidRPr="00705170">
        <w:rPr>
          <w:rFonts w:ascii="Times New Roman" w:hAnsi="Times New Roman" w:cs="Times New Roman"/>
        </w:rPr>
        <w:t xml:space="preserve">. </w:t>
      </w: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latter</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Applying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contractual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why</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made</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accordance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securities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supplement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between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framework</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certain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liabilities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disclosures</w:t>
      </w:r>
      <w:proofErr w:type="spellEnd"/>
      <w:r w:rsidRPr="00705170">
        <w:rPr>
          <w:rStyle w:val="DipnotBavurusu"/>
          <w:rFonts w:ascii="Times New Roman" w:hAnsi="Times New Roman" w:cs="Times New Roman"/>
        </w:rPr>
        <w:footnoteReference w:id="809"/>
      </w:r>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advertisement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coincidental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communication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is not </w:t>
      </w:r>
      <w:proofErr w:type="spellStart"/>
      <w:r w:rsidRPr="00705170">
        <w:rPr>
          <w:rFonts w:ascii="Times New Roman" w:hAnsi="Times New Roman" w:cs="Times New Roman"/>
        </w:rPr>
        <w:t>made</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part</w:t>
      </w:r>
      <w:proofErr w:type="spellEnd"/>
      <w:r w:rsidRPr="00705170">
        <w:rPr>
          <w:rFonts w:ascii="Times New Roman" w:hAnsi="Times New Roman" w:cs="Times New Roman"/>
        </w:rPr>
        <w:t xml:space="preserve"> of </w:t>
      </w:r>
      <w:proofErr w:type="spellStart"/>
      <w:r w:rsidR="00204053">
        <w:rPr>
          <w:rFonts w:ascii="Times New Roman" w:hAnsi="Times New Roman" w:cs="Times New Roman"/>
        </w:rPr>
        <w:t>capital</w:t>
      </w:r>
      <w:proofErr w:type="spellEnd"/>
      <w:r w:rsidR="00204053">
        <w:rPr>
          <w:rFonts w:ascii="Times New Roman" w:hAnsi="Times New Roman" w:cs="Times New Roman"/>
        </w:rPr>
        <w:t xml:space="preserve"> market</w:t>
      </w:r>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w:t>
      </w:r>
      <w:r w:rsidR="00096291" w:rsidRPr="00705170">
        <w:rPr>
          <w:rFonts w:ascii="Times New Roman" w:hAnsi="Times New Roman" w:cs="Times New Roman"/>
        </w:rPr>
        <w:t>quirements</w:t>
      </w:r>
      <w:proofErr w:type="spellEnd"/>
      <w:r w:rsidR="00096291" w:rsidRPr="00705170">
        <w:rPr>
          <w:rFonts w:ascii="Times New Roman" w:hAnsi="Times New Roman" w:cs="Times New Roman"/>
        </w:rPr>
        <w:t xml:space="preserve"> </w:t>
      </w:r>
      <w:proofErr w:type="spellStart"/>
      <w:r w:rsidR="00096291" w:rsidRPr="00705170">
        <w:rPr>
          <w:rFonts w:ascii="Times New Roman" w:hAnsi="Times New Roman" w:cs="Times New Roman"/>
        </w:rPr>
        <w:t>would</w:t>
      </w:r>
      <w:proofErr w:type="spellEnd"/>
      <w:r w:rsidR="00096291" w:rsidRPr="00705170">
        <w:rPr>
          <w:rFonts w:ascii="Times New Roman" w:hAnsi="Times New Roman" w:cs="Times New Roman"/>
        </w:rPr>
        <w:t xml:space="preserve"> not </w:t>
      </w:r>
      <w:proofErr w:type="spellStart"/>
      <w:r w:rsidR="00096291" w:rsidRPr="00705170">
        <w:rPr>
          <w:rFonts w:ascii="Times New Roman" w:hAnsi="Times New Roman" w:cs="Times New Roman"/>
        </w:rPr>
        <w:t>have</w:t>
      </w:r>
      <w:proofErr w:type="spellEnd"/>
      <w:r w:rsidR="00096291" w:rsidRPr="00705170">
        <w:rPr>
          <w:rFonts w:ascii="Times New Roman" w:hAnsi="Times New Roman" w:cs="Times New Roman"/>
        </w:rPr>
        <w:t xml:space="preserve"> </w:t>
      </w:r>
      <w:proofErr w:type="spellStart"/>
      <w:r w:rsidR="00096291" w:rsidRPr="00705170">
        <w:rPr>
          <w:rFonts w:ascii="Times New Roman" w:hAnsi="Times New Roman" w:cs="Times New Roman"/>
        </w:rPr>
        <w:t>this</w:t>
      </w:r>
      <w:proofErr w:type="spellEnd"/>
      <w:r w:rsidR="00096291" w:rsidRPr="00705170">
        <w:rPr>
          <w:rFonts w:ascii="Times New Roman" w:hAnsi="Times New Roman" w:cs="Times New Roman"/>
        </w:rPr>
        <w:t xml:space="preserve"> </w:t>
      </w:r>
      <w:proofErr w:type="spellStart"/>
      <w:r w:rsidR="00096291" w:rsidRPr="00705170">
        <w:rPr>
          <w:rFonts w:ascii="Times New Roman" w:hAnsi="Times New Roman" w:cs="Times New Roman"/>
        </w:rPr>
        <w:t>a</w:t>
      </w:r>
      <w:r w:rsidRPr="00705170">
        <w:rPr>
          <w:rFonts w:ascii="Times New Roman" w:hAnsi="Times New Roman" w:cs="Times New Roman"/>
        </w:rPr>
        <w:t>ffect</w:t>
      </w:r>
      <w:proofErr w:type="spellEnd"/>
      <w:r w:rsidR="00CE20E7" w:rsidRPr="00705170">
        <w:rPr>
          <w:rStyle w:val="DipnotBavurusu"/>
          <w:rFonts w:ascii="Times New Roman" w:hAnsi="Times New Roman" w:cs="Times New Roman"/>
        </w:rPr>
        <w:footnoteReference w:id="810"/>
      </w:r>
      <w:r w:rsidRPr="00705170">
        <w:rPr>
          <w:rFonts w:ascii="Times New Roman" w:hAnsi="Times New Roman" w:cs="Times New Roman"/>
        </w:rPr>
        <w:t xml:space="preserve">. </w:t>
      </w:r>
      <w:proofErr w:type="spellStart"/>
      <w:r w:rsidRPr="00705170">
        <w:rPr>
          <w:rFonts w:ascii="Times New Roman" w:hAnsi="Times New Roman" w:cs="Times New Roman"/>
        </w:rPr>
        <w:t>Although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might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used</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extrinsic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evidence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establish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basis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implied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granting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usage</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greatly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dam</w:t>
      </w:r>
      <w:r w:rsidR="007B0408" w:rsidRPr="00705170">
        <w:rPr>
          <w:rFonts w:ascii="Times New Roman" w:hAnsi="Times New Roman" w:cs="Times New Roman"/>
        </w:rPr>
        <w:t>age</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the</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integrity</w:t>
      </w:r>
      <w:proofErr w:type="spellEnd"/>
      <w:r w:rsidR="007B0408" w:rsidRPr="00705170">
        <w:rPr>
          <w:rFonts w:ascii="Times New Roman" w:hAnsi="Times New Roman" w:cs="Times New Roman"/>
        </w:rPr>
        <w:t xml:space="preserve"> of </w:t>
      </w:r>
      <w:proofErr w:type="spellStart"/>
      <w:r w:rsidR="007B0408" w:rsidRPr="00705170">
        <w:rPr>
          <w:rFonts w:ascii="Times New Roman" w:hAnsi="Times New Roman" w:cs="Times New Roman"/>
        </w:rPr>
        <w:t>the</w:t>
      </w:r>
      <w:proofErr w:type="spellEnd"/>
      <w:r w:rsidR="007B0408" w:rsidRPr="00705170">
        <w:rPr>
          <w:rFonts w:ascii="Times New Roman" w:hAnsi="Times New Roman" w:cs="Times New Roman"/>
        </w:rPr>
        <w:t xml:space="preserve"> market. </w:t>
      </w:r>
      <w:proofErr w:type="spellStart"/>
      <w:r w:rsidRPr="00705170">
        <w:rPr>
          <w:rFonts w:ascii="Times New Roman" w:hAnsi="Times New Roman" w:cs="Times New Roman"/>
        </w:rPr>
        <w:t>After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all</w:t>
      </w:r>
      <w:proofErr w:type="spellEnd"/>
      <w:r w:rsidRPr="00705170">
        <w:rPr>
          <w:rFonts w:ascii="Times New Roman" w:hAnsi="Times New Roman" w:cs="Times New Roman"/>
        </w:rPr>
        <w:t xml:space="preserve">, </w:t>
      </w:r>
      <w:r w:rsidR="007B0408" w:rsidRPr="00705170">
        <w:rPr>
          <w:rFonts w:ascii="Times New Roman" w:hAnsi="Times New Roman" w:cs="Times New Roman"/>
        </w:rPr>
        <w:t xml:space="preserve">in </w:t>
      </w:r>
      <w:proofErr w:type="spellStart"/>
      <w:r w:rsidR="007B0408" w:rsidRPr="00705170">
        <w:rPr>
          <w:rFonts w:ascii="Times New Roman" w:hAnsi="Times New Roman" w:cs="Times New Roman"/>
        </w:rPr>
        <w:t>theory</w:t>
      </w:r>
      <w:proofErr w:type="spellEnd"/>
      <w:r w:rsidR="007B0408" w:rsidRPr="00705170">
        <w:rPr>
          <w:rFonts w:ascii="Times New Roman" w:hAnsi="Times New Roman" w:cs="Times New Roman"/>
        </w:rPr>
        <w:t xml:space="preserve">, </w:t>
      </w:r>
      <w:proofErr w:type="spellStart"/>
      <w:r w:rsidRPr="00705170">
        <w:rPr>
          <w:rFonts w:ascii="Times New Roman" w:hAnsi="Times New Roman" w:cs="Times New Roman"/>
        </w:rPr>
        <w:t>investors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make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decisions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relying</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information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accordance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00204053">
        <w:rPr>
          <w:rFonts w:ascii="Times New Roman" w:hAnsi="Times New Roman" w:cs="Times New Roman"/>
        </w:rPr>
        <w:t>capital</w:t>
      </w:r>
      <w:proofErr w:type="spellEnd"/>
      <w:r w:rsidR="00204053">
        <w:rPr>
          <w:rFonts w:ascii="Times New Roman" w:hAnsi="Times New Roman" w:cs="Times New Roman"/>
        </w:rPr>
        <w:t xml:space="preserve"> market </w:t>
      </w:r>
      <w:proofErr w:type="spellStart"/>
      <w:r w:rsidRPr="00705170">
        <w:rPr>
          <w:rFonts w:ascii="Times New Roman" w:hAnsi="Times New Roman" w:cs="Times New Roman"/>
        </w:rPr>
        <w:t>law</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because</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only</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these</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are</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added</w:t>
      </w:r>
      <w:proofErr w:type="spellEnd"/>
      <w:r w:rsidR="007B0408" w:rsidRPr="00705170">
        <w:rPr>
          <w:rFonts w:ascii="Times New Roman" w:hAnsi="Times New Roman" w:cs="Times New Roman"/>
        </w:rPr>
        <w:t xml:space="preserve"> as </w:t>
      </w:r>
      <w:proofErr w:type="spellStart"/>
      <w:r w:rsidR="007B0408" w:rsidRPr="00705170">
        <w:rPr>
          <w:rFonts w:ascii="Times New Roman" w:hAnsi="Times New Roman" w:cs="Times New Roman"/>
        </w:rPr>
        <w:t>terms</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to</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their</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contracts</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with</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the</w:t>
      </w:r>
      <w:proofErr w:type="spellEnd"/>
      <w:r w:rsidR="007B0408" w:rsidRPr="00705170">
        <w:rPr>
          <w:rFonts w:ascii="Times New Roman" w:hAnsi="Times New Roman" w:cs="Times New Roman"/>
        </w:rPr>
        <w:t xml:space="preserve"> </w:t>
      </w:r>
      <w:proofErr w:type="spellStart"/>
      <w:r w:rsidR="007B0408"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Accepting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opposite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create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greate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uncertainty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investors</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consideration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w:t>
      </w:r>
    </w:p>
    <w:p w14:paraId="5BC51BE4" w14:textId="7D3BFE8D" w:rsidR="002C1476" w:rsidRPr="00705170" w:rsidRDefault="002C1476" w:rsidP="002C1476">
      <w:pPr>
        <w:widowControl w:val="0"/>
        <w:autoSpaceDE w:val="0"/>
        <w:autoSpaceDN w:val="0"/>
        <w:adjustRightInd w:val="0"/>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principle</w:t>
      </w:r>
      <w:proofErr w:type="spellEnd"/>
      <w:r w:rsidRPr="00705170">
        <w:rPr>
          <w:rFonts w:ascii="Times New Roman" w:hAnsi="Times New Roman" w:cs="Times New Roman"/>
        </w:rPr>
        <w:t xml:space="preserve"> of </w:t>
      </w:r>
      <w:proofErr w:type="spellStart"/>
      <w:r w:rsidR="00204053">
        <w:rPr>
          <w:rFonts w:ascii="Times New Roman" w:hAnsi="Times New Roman" w:cs="Times New Roman"/>
        </w:rPr>
        <w:t>capital</w:t>
      </w:r>
      <w:proofErr w:type="spellEnd"/>
      <w:r w:rsidR="00204053">
        <w:rPr>
          <w:rFonts w:ascii="Times New Roman" w:hAnsi="Times New Roman" w:cs="Times New Roman"/>
        </w:rPr>
        <w:t xml:space="preserve"> market</w:t>
      </w:r>
      <w:r w:rsidR="00204053"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leads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conclusion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valuable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source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00096291" w:rsidRPr="00705170">
        <w:rPr>
          <w:rFonts w:ascii="Times New Roman" w:hAnsi="Times New Roman" w:cs="Times New Roman"/>
        </w:rPr>
        <w:t xml:space="preserve"> (</w:t>
      </w:r>
      <w:proofErr w:type="spellStart"/>
      <w:r w:rsidR="003F4466" w:rsidRPr="00705170">
        <w:rPr>
          <w:rFonts w:ascii="Times New Roman" w:hAnsi="Times New Roman" w:cs="Times New Roman"/>
        </w:rPr>
        <w:t>just</w:t>
      </w:r>
      <w:proofErr w:type="spellEnd"/>
      <w:r w:rsidR="003F4466" w:rsidRPr="00705170">
        <w:rPr>
          <w:rFonts w:ascii="Times New Roman" w:hAnsi="Times New Roman" w:cs="Times New Roman"/>
        </w:rPr>
        <w:t xml:space="preserve"> </w:t>
      </w:r>
      <w:proofErr w:type="spellStart"/>
      <w:r w:rsidR="003F4466" w:rsidRPr="00705170">
        <w:rPr>
          <w:rFonts w:ascii="Times New Roman" w:hAnsi="Times New Roman" w:cs="Times New Roman"/>
        </w:rPr>
        <w:t>like</w:t>
      </w:r>
      <w:proofErr w:type="spellEnd"/>
      <w:r w:rsidR="003F4466" w:rsidRPr="00705170">
        <w:rPr>
          <w:rFonts w:ascii="Times New Roman" w:hAnsi="Times New Roman" w:cs="Times New Roman"/>
        </w:rPr>
        <w:t xml:space="preserve"> </w:t>
      </w:r>
      <w:proofErr w:type="spellStart"/>
      <w:r w:rsidR="003F4466" w:rsidRPr="00705170">
        <w:rPr>
          <w:rFonts w:ascii="Times New Roman" w:hAnsi="Times New Roman" w:cs="Times New Roman"/>
        </w:rPr>
        <w:t>advertisements</w:t>
      </w:r>
      <w:proofErr w:type="spellEnd"/>
      <w:r w:rsidR="003F4466" w:rsidRPr="00705170">
        <w:rPr>
          <w:rFonts w:ascii="Times New Roman" w:hAnsi="Times New Roman" w:cs="Times New Roman"/>
        </w:rPr>
        <w:t xml:space="preserve"> </w:t>
      </w:r>
      <w:proofErr w:type="spellStart"/>
      <w:r w:rsidR="003F4466" w:rsidRPr="00705170">
        <w:rPr>
          <w:rFonts w:ascii="Times New Roman" w:hAnsi="Times New Roman" w:cs="Times New Roman"/>
        </w:rPr>
        <w:t>or</w:t>
      </w:r>
      <w:proofErr w:type="spellEnd"/>
      <w:r w:rsidR="003F4466" w:rsidRPr="00705170">
        <w:rPr>
          <w:rFonts w:ascii="Times New Roman" w:hAnsi="Times New Roman" w:cs="Times New Roman"/>
        </w:rPr>
        <w:t xml:space="preserve"> </w:t>
      </w:r>
      <w:proofErr w:type="spellStart"/>
      <w:r w:rsidR="003F4466" w:rsidRPr="00705170">
        <w:rPr>
          <w:rFonts w:ascii="Times New Roman" w:hAnsi="Times New Roman" w:cs="Times New Roman"/>
        </w:rPr>
        <w:t>coincidental</w:t>
      </w:r>
      <w:proofErr w:type="spellEnd"/>
      <w:r w:rsidR="003F4466" w:rsidRPr="00705170">
        <w:rPr>
          <w:rFonts w:ascii="Times New Roman" w:hAnsi="Times New Roman" w:cs="Times New Roman"/>
        </w:rPr>
        <w:t xml:space="preserve"> </w:t>
      </w:r>
      <w:proofErr w:type="spellStart"/>
      <w:r w:rsidR="003F4466" w:rsidRPr="00705170">
        <w:rPr>
          <w:rFonts w:ascii="Times New Roman" w:hAnsi="Times New Roman" w:cs="Times New Roman"/>
        </w:rPr>
        <w:t>communications</w:t>
      </w:r>
      <w:proofErr w:type="spellEnd"/>
      <w:r w:rsidR="00096291"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w:t>
      </w:r>
      <w:r w:rsidR="00D16909" w:rsidRPr="00705170">
        <w:rPr>
          <w:rFonts w:ascii="Times New Roman" w:hAnsi="Times New Roman" w:cs="Times New Roman"/>
        </w:rPr>
        <w:t xml:space="preserve"> </w:t>
      </w:r>
      <w:proofErr w:type="spellStart"/>
      <w:r w:rsidR="00D16909" w:rsidRPr="00705170">
        <w:rPr>
          <w:rFonts w:ascii="Times New Roman" w:hAnsi="Times New Roman" w:cs="Times New Roman"/>
        </w:rPr>
        <w:t>agreement</w:t>
      </w:r>
      <w:proofErr w:type="spellEnd"/>
      <w:r w:rsidR="00D16909" w:rsidRPr="00705170">
        <w:rPr>
          <w:rFonts w:ascii="Times New Roman" w:hAnsi="Times New Roman" w:cs="Times New Roman"/>
        </w:rPr>
        <w:t xml:space="preserve">, is </w:t>
      </w:r>
      <w:proofErr w:type="spellStart"/>
      <w:r w:rsidR="00D16909" w:rsidRPr="00705170">
        <w:rPr>
          <w:rFonts w:ascii="Times New Roman" w:hAnsi="Times New Roman" w:cs="Times New Roman"/>
        </w:rPr>
        <w:t>highly</w:t>
      </w:r>
      <w:proofErr w:type="spellEnd"/>
      <w:r w:rsidR="00D16909" w:rsidRPr="00705170">
        <w:rPr>
          <w:rFonts w:ascii="Times New Roman" w:hAnsi="Times New Roman" w:cs="Times New Roman"/>
        </w:rPr>
        <w:t xml:space="preserve"> </w:t>
      </w:r>
      <w:proofErr w:type="spellStart"/>
      <w:r w:rsidR="00D16909" w:rsidRPr="00705170">
        <w:rPr>
          <w:rFonts w:ascii="Times New Roman" w:hAnsi="Times New Roman" w:cs="Times New Roman"/>
        </w:rPr>
        <w:t>unlikely</w:t>
      </w:r>
      <w:proofErr w:type="spellEnd"/>
      <w:r w:rsidR="00D16909" w:rsidRPr="00705170">
        <w:rPr>
          <w:rFonts w:ascii="Times New Roman" w:hAnsi="Times New Roman" w:cs="Times New Roman"/>
        </w:rPr>
        <w:t xml:space="preserve"> </w:t>
      </w:r>
      <w:proofErr w:type="spellStart"/>
      <w:r w:rsidR="00D16909" w:rsidRPr="00705170">
        <w:rPr>
          <w:rFonts w:ascii="Times New Roman" w:hAnsi="Times New Roman" w:cs="Times New Roman"/>
        </w:rPr>
        <w:t>to</w:t>
      </w:r>
      <w:proofErr w:type="spellEnd"/>
      <w:r w:rsidR="00D16909" w:rsidRPr="00705170">
        <w:rPr>
          <w:rFonts w:ascii="Times New Roman" w:hAnsi="Times New Roman" w:cs="Times New Roman"/>
        </w:rPr>
        <w:t xml:space="preserve"> </w:t>
      </w:r>
      <w:r w:rsidRPr="00705170">
        <w:rPr>
          <w:rFonts w:ascii="Times New Roman" w:hAnsi="Times New Roman" w:cs="Times New Roman"/>
        </w:rPr>
        <w:t xml:space="preserve">be </w:t>
      </w:r>
      <w:proofErr w:type="spellStart"/>
      <w:r w:rsidRPr="00705170">
        <w:rPr>
          <w:rFonts w:ascii="Times New Roman" w:hAnsi="Times New Roman" w:cs="Times New Roman"/>
        </w:rPr>
        <w:t>used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00D16909" w:rsidRPr="00705170">
        <w:rPr>
          <w:rFonts w:ascii="Times New Roman" w:hAnsi="Times New Roman" w:cs="Times New Roman"/>
        </w:rPr>
        <w:t>who</w:t>
      </w:r>
      <w:proofErr w:type="spellEnd"/>
      <w:r w:rsidR="00D16909" w:rsidRPr="00705170">
        <w:rPr>
          <w:rFonts w:ascii="Times New Roman" w:hAnsi="Times New Roman" w:cs="Times New Roman"/>
        </w:rPr>
        <w:t xml:space="preserve"> </w:t>
      </w:r>
      <w:proofErr w:type="spellStart"/>
      <w:r w:rsidR="00D16909" w:rsidRPr="00705170">
        <w:rPr>
          <w:rFonts w:ascii="Times New Roman" w:hAnsi="Times New Roman" w:cs="Times New Roman"/>
        </w:rPr>
        <w:t>are</w:t>
      </w:r>
      <w:proofErr w:type="spellEnd"/>
      <w:r w:rsidR="00D16909" w:rsidRPr="00705170">
        <w:rPr>
          <w:rFonts w:ascii="Times New Roman" w:hAnsi="Times New Roman" w:cs="Times New Roman"/>
        </w:rPr>
        <w:t xml:space="preserve"> not a </w:t>
      </w:r>
      <w:proofErr w:type="spellStart"/>
      <w:r w:rsidR="00D16909" w:rsidRPr="00705170">
        <w:rPr>
          <w:rFonts w:ascii="Times New Roman" w:hAnsi="Times New Roman" w:cs="Times New Roman"/>
        </w:rPr>
        <w:t>party</w:t>
      </w:r>
      <w:proofErr w:type="spellEnd"/>
      <w:r w:rsidR="00D16909" w:rsidRPr="00705170">
        <w:rPr>
          <w:rFonts w:ascii="Times New Roman" w:hAnsi="Times New Roman" w:cs="Times New Roman"/>
        </w:rPr>
        <w:t xml:space="preserve"> </w:t>
      </w:r>
      <w:proofErr w:type="spellStart"/>
      <w:r w:rsidR="00D16909" w:rsidRPr="00705170">
        <w:rPr>
          <w:rFonts w:ascii="Times New Roman" w:hAnsi="Times New Roman" w:cs="Times New Roman"/>
        </w:rPr>
        <w:t>to</w:t>
      </w:r>
      <w:proofErr w:type="spellEnd"/>
      <w:r w:rsidR="00D16909" w:rsidRPr="00705170">
        <w:rPr>
          <w:rFonts w:ascii="Times New Roman" w:hAnsi="Times New Roman" w:cs="Times New Roman"/>
        </w:rPr>
        <w:t xml:space="preserve"> it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establishment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00BF7AE6" w:rsidRPr="00705170">
        <w:rPr>
          <w:rFonts w:ascii="Times New Roman" w:hAnsi="Times New Roman" w:cs="Times New Roman"/>
        </w:rPr>
        <w:t>Although</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these</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agreements</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are</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used</w:t>
      </w:r>
      <w:proofErr w:type="spellEnd"/>
      <w:r w:rsidR="00BF7AE6" w:rsidRPr="00705170">
        <w:rPr>
          <w:rFonts w:ascii="Times New Roman" w:hAnsi="Times New Roman" w:cs="Times New Roman"/>
        </w:rPr>
        <w:t xml:space="preserve"> in </w:t>
      </w:r>
      <w:proofErr w:type="spellStart"/>
      <w:r w:rsidR="00BF7AE6" w:rsidRPr="00705170">
        <w:rPr>
          <w:rFonts w:ascii="Times New Roman" w:hAnsi="Times New Roman" w:cs="Times New Roman"/>
        </w:rPr>
        <w:t>the</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context</w:t>
      </w:r>
      <w:proofErr w:type="spellEnd"/>
      <w:r w:rsidR="00BF7AE6" w:rsidRPr="00705170">
        <w:rPr>
          <w:rFonts w:ascii="Times New Roman" w:hAnsi="Times New Roman" w:cs="Times New Roman"/>
        </w:rPr>
        <w:t xml:space="preserve"> of </w:t>
      </w:r>
      <w:proofErr w:type="spellStart"/>
      <w:r w:rsidR="00BF7AE6" w:rsidRPr="00705170">
        <w:rPr>
          <w:rFonts w:ascii="Times New Roman" w:hAnsi="Times New Roman" w:cs="Times New Roman"/>
        </w:rPr>
        <w:t>publicly</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traded</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corporations</w:t>
      </w:r>
      <w:proofErr w:type="spellEnd"/>
      <w:r w:rsidR="00BF7AE6" w:rsidRPr="00705170">
        <w:rPr>
          <w:rFonts w:ascii="Times New Roman" w:hAnsi="Times New Roman" w:cs="Times New Roman"/>
        </w:rPr>
        <w:t xml:space="preserve"> as </w:t>
      </w:r>
      <w:proofErr w:type="spellStart"/>
      <w:r w:rsidR="00BF7AE6" w:rsidRPr="00705170">
        <w:rPr>
          <w:rFonts w:ascii="Times New Roman" w:hAnsi="Times New Roman" w:cs="Times New Roman"/>
        </w:rPr>
        <w:t>well</w:t>
      </w:r>
      <w:proofErr w:type="spellEnd"/>
      <w:r w:rsidR="00BF7AE6" w:rsidRPr="00705170">
        <w:rPr>
          <w:rFonts w:ascii="Times New Roman" w:hAnsi="Times New Roman" w:cs="Times New Roman"/>
        </w:rPr>
        <w:t xml:space="preserve"> as </w:t>
      </w:r>
      <w:proofErr w:type="spellStart"/>
      <w:r w:rsidR="00BF7AE6" w:rsidRPr="00705170">
        <w:rPr>
          <w:rFonts w:ascii="Times New Roman" w:hAnsi="Times New Roman" w:cs="Times New Roman"/>
        </w:rPr>
        <w:t>close</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corporations</w:t>
      </w:r>
      <w:proofErr w:type="spellEnd"/>
      <w:r w:rsidR="00403238" w:rsidRPr="00705170">
        <w:rPr>
          <w:rStyle w:val="DipnotBavurusu"/>
          <w:rFonts w:ascii="Times New Roman" w:hAnsi="Times New Roman" w:cs="Times New Roman"/>
        </w:rPr>
        <w:footnoteReference w:id="811"/>
      </w:r>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their</w:t>
      </w:r>
      <w:proofErr w:type="spellEnd"/>
      <w:r w:rsidR="00BF7AE6" w:rsidRPr="00705170">
        <w:rPr>
          <w:rFonts w:ascii="Times New Roman" w:hAnsi="Times New Roman" w:cs="Times New Roman"/>
        </w:rPr>
        <w:t xml:space="preserve"> limited </w:t>
      </w:r>
      <w:proofErr w:type="spellStart"/>
      <w:r w:rsidR="00BF7AE6" w:rsidRPr="00705170">
        <w:rPr>
          <w:rFonts w:ascii="Times New Roman" w:hAnsi="Times New Roman" w:cs="Times New Roman"/>
        </w:rPr>
        <w:t>disclosure</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hampers</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its</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usage</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through</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the</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reasonable</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expectations</w:t>
      </w:r>
      <w:proofErr w:type="spellEnd"/>
      <w:r w:rsidR="00BF7AE6" w:rsidRPr="00705170">
        <w:rPr>
          <w:rFonts w:ascii="Times New Roman" w:hAnsi="Times New Roman" w:cs="Times New Roman"/>
        </w:rPr>
        <w:t xml:space="preserve"> </w:t>
      </w:r>
      <w:proofErr w:type="spellStart"/>
      <w:r w:rsidR="00BF7AE6" w:rsidRPr="00705170">
        <w:rPr>
          <w:rFonts w:ascii="Times New Roman" w:hAnsi="Times New Roman" w:cs="Times New Roman"/>
        </w:rPr>
        <w:t>theory</w:t>
      </w:r>
      <w:proofErr w:type="spellEnd"/>
      <w:r w:rsidR="00BF7AE6" w:rsidRPr="00705170">
        <w:rPr>
          <w:rFonts w:ascii="Times New Roman" w:hAnsi="Times New Roman" w:cs="Times New Roman"/>
        </w:rPr>
        <w:t xml:space="preserve">. </w:t>
      </w:r>
      <w:proofErr w:type="spellStart"/>
      <w:r w:rsidR="00927BF1" w:rsidRPr="00705170">
        <w:rPr>
          <w:rFonts w:ascii="Times New Roman" w:hAnsi="Times New Roman" w:cs="Times New Roman"/>
        </w:rPr>
        <w:t>After</w:t>
      </w:r>
      <w:proofErr w:type="spellEnd"/>
      <w:r w:rsidR="00927BF1" w:rsidRPr="00705170">
        <w:rPr>
          <w:rFonts w:ascii="Times New Roman" w:hAnsi="Times New Roman" w:cs="Times New Roman"/>
        </w:rPr>
        <w:t xml:space="preserve"> </w:t>
      </w:r>
      <w:proofErr w:type="spellStart"/>
      <w:r w:rsidR="00927BF1" w:rsidRPr="00705170">
        <w:rPr>
          <w:rFonts w:ascii="Times New Roman" w:hAnsi="Times New Roman" w:cs="Times New Roman"/>
        </w:rPr>
        <w:t>all</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cannot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disclose</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agreement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it is not </w:t>
      </w:r>
      <w:proofErr w:type="spellStart"/>
      <w:r w:rsidRPr="00705170">
        <w:rPr>
          <w:rFonts w:ascii="Times New Roman" w:hAnsi="Times New Roman" w:cs="Times New Roman"/>
        </w:rPr>
        <w:t>aware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given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not a </w:t>
      </w:r>
      <w:proofErr w:type="spellStart"/>
      <w:r w:rsidRPr="00705170">
        <w:rPr>
          <w:rFonts w:ascii="Times New Roman" w:hAnsi="Times New Roman" w:cs="Times New Roman"/>
        </w:rPr>
        <w:t>party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agreement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during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offering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part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ongoing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obligations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explicit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measure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CML </w:t>
      </w:r>
      <w:proofErr w:type="spellStart"/>
      <w:r w:rsidRPr="00705170">
        <w:rPr>
          <w:rFonts w:ascii="Times New Roman" w:hAnsi="Times New Roman" w:cs="Times New Roman"/>
        </w:rPr>
        <w:t>brings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requiring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agreement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legal </w:t>
      </w:r>
      <w:proofErr w:type="spellStart"/>
      <w:r w:rsidRPr="00705170">
        <w:rPr>
          <w:rFonts w:ascii="Times New Roman" w:hAnsi="Times New Roman" w:cs="Times New Roman"/>
        </w:rPr>
        <w:t>basis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triggers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obligation</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acquire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dispose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specified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percentages</w:t>
      </w:r>
      <w:proofErr w:type="spellEnd"/>
      <w:r w:rsidRPr="00705170">
        <w:rPr>
          <w:rFonts w:ascii="Times New Roman" w:hAnsi="Times New Roman" w:cs="Times New Roman"/>
        </w:rPr>
        <w:t xml:space="preserve"> (%5, %10, %15, %20, %25, %33, %50, %67, %95) of total </w:t>
      </w:r>
      <w:proofErr w:type="spellStart"/>
      <w:r w:rsidRPr="00705170">
        <w:rPr>
          <w:rFonts w:ascii="Times New Roman" w:hAnsi="Times New Roman" w:cs="Times New Roman"/>
        </w:rPr>
        <w:t>share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capital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voting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Comminuque</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Material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Article</w:t>
      </w:r>
      <w:proofErr w:type="spellEnd"/>
      <w:r w:rsidRPr="00705170">
        <w:rPr>
          <w:rFonts w:ascii="Times New Roman" w:hAnsi="Times New Roman" w:cs="Times New Roman"/>
        </w:rPr>
        <w:t xml:space="preserve"> 12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13). </w:t>
      </w:r>
      <w:proofErr w:type="spellStart"/>
      <w:r w:rsidRPr="00705170">
        <w:rPr>
          <w:rFonts w:ascii="Times New Roman" w:hAnsi="Times New Roman" w:cs="Times New Roman"/>
        </w:rPr>
        <w:t>Even</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mere</w:t>
      </w:r>
      <w:proofErr w:type="spellEnd"/>
      <w:r w:rsidRPr="00705170">
        <w:rPr>
          <w:rFonts w:ascii="Times New Roman" w:hAnsi="Times New Roman" w:cs="Times New Roman"/>
        </w:rPr>
        <w:t xml:space="preserve"> presence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agreement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disclosed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whole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Comminuque</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Material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Article</w:t>
      </w:r>
      <w:proofErr w:type="spellEnd"/>
      <w:r w:rsidRPr="00705170">
        <w:rPr>
          <w:rFonts w:ascii="Times New Roman" w:hAnsi="Times New Roman" w:cs="Times New Roman"/>
        </w:rPr>
        <w:t xml:space="preserve"> 15). </w:t>
      </w:r>
      <w:r w:rsidR="004D25C3" w:rsidRPr="00705170">
        <w:rPr>
          <w:rFonts w:ascii="Times New Roman" w:hAnsi="Times New Roman" w:cs="Times New Roman"/>
        </w:rPr>
        <w:t xml:space="preserve">On </w:t>
      </w:r>
      <w:proofErr w:type="spellStart"/>
      <w:r w:rsidR="004D25C3" w:rsidRPr="00705170">
        <w:rPr>
          <w:rFonts w:ascii="Times New Roman" w:hAnsi="Times New Roman" w:cs="Times New Roman"/>
        </w:rPr>
        <w:t>the</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other</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hand</w:t>
      </w:r>
      <w:proofErr w:type="spellEnd"/>
      <w:r w:rsidR="004D25C3" w:rsidRPr="00705170">
        <w:rPr>
          <w:rFonts w:ascii="Times New Roman" w:hAnsi="Times New Roman" w:cs="Times New Roman"/>
        </w:rPr>
        <w:t xml:space="preserve">, as </w:t>
      </w:r>
      <w:proofErr w:type="spellStart"/>
      <w:r w:rsidR="004D25C3" w:rsidRPr="00705170">
        <w:rPr>
          <w:rFonts w:ascii="Times New Roman" w:hAnsi="Times New Roman" w:cs="Times New Roman"/>
        </w:rPr>
        <w:t>Turkish</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law</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does</w:t>
      </w:r>
      <w:proofErr w:type="spellEnd"/>
      <w:r w:rsidR="004D25C3" w:rsidRPr="00705170">
        <w:rPr>
          <w:rFonts w:ascii="Times New Roman" w:hAnsi="Times New Roman" w:cs="Times New Roman"/>
        </w:rPr>
        <w:t xml:space="preserve"> not </w:t>
      </w:r>
      <w:proofErr w:type="spellStart"/>
      <w:r w:rsidR="004D25C3" w:rsidRPr="00705170">
        <w:rPr>
          <w:rFonts w:ascii="Times New Roman" w:hAnsi="Times New Roman" w:cs="Times New Roman"/>
        </w:rPr>
        <w:t>enforce</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the</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rights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arising</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from</w:t>
      </w:r>
      <w:proofErr w:type="spellEnd"/>
      <w:r w:rsidR="004D25C3" w:rsidRPr="00705170">
        <w:rPr>
          <w:rFonts w:ascii="Times New Roman" w:hAnsi="Times New Roman" w:cs="Times New Roman"/>
        </w:rPr>
        <w:t xml:space="preserve"> a </w:t>
      </w:r>
      <w:proofErr w:type="spellStart"/>
      <w:r w:rsidR="004D25C3" w:rsidRPr="00705170">
        <w:rPr>
          <w:rFonts w:ascii="Times New Roman" w:hAnsi="Times New Roman" w:cs="Times New Roman"/>
        </w:rPr>
        <w:t>shareholders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agreements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through</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shareholders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rights</w:t>
      </w:r>
      <w:proofErr w:type="spellEnd"/>
      <w:r w:rsidR="004D25C3" w:rsidRPr="00705170">
        <w:rPr>
          <w:rFonts w:ascii="Times New Roman" w:hAnsi="Times New Roman" w:cs="Times New Roman"/>
        </w:rPr>
        <w:t xml:space="preserve"> but </w:t>
      </w:r>
      <w:proofErr w:type="spellStart"/>
      <w:r w:rsidR="004D25C3" w:rsidRPr="00705170">
        <w:rPr>
          <w:rFonts w:ascii="Times New Roman" w:hAnsi="Times New Roman" w:cs="Times New Roman"/>
        </w:rPr>
        <w:t>through</w:t>
      </w:r>
      <w:proofErr w:type="spellEnd"/>
      <w:r w:rsidR="004D25C3" w:rsidRPr="00705170">
        <w:rPr>
          <w:rFonts w:ascii="Times New Roman" w:hAnsi="Times New Roman" w:cs="Times New Roman"/>
        </w:rPr>
        <w:t xml:space="preserve"> general </w:t>
      </w:r>
      <w:proofErr w:type="spellStart"/>
      <w:r w:rsidR="004D25C3" w:rsidRPr="00705170">
        <w:rPr>
          <w:rFonts w:ascii="Times New Roman" w:hAnsi="Times New Roman" w:cs="Times New Roman"/>
        </w:rPr>
        <w:t>contractual</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rights</w:t>
      </w:r>
      <w:proofErr w:type="spellEnd"/>
      <w:r w:rsidR="00096291" w:rsidRPr="00705170">
        <w:rPr>
          <w:rFonts w:ascii="Times New Roman" w:hAnsi="Times New Roman" w:cs="Times New Roman"/>
        </w:rPr>
        <w:t xml:space="preserve"> (</w:t>
      </w:r>
      <w:proofErr w:type="spellStart"/>
      <w:r w:rsidR="00096291" w:rsidRPr="00705170">
        <w:rPr>
          <w:rFonts w:ascii="Times New Roman" w:hAnsi="Times New Roman" w:cs="Times New Roman"/>
        </w:rPr>
        <w:t>i.e</w:t>
      </w:r>
      <w:proofErr w:type="spellEnd"/>
      <w:r w:rsidR="00096291" w:rsidRPr="00705170">
        <w:rPr>
          <w:rFonts w:ascii="Times New Roman" w:hAnsi="Times New Roman" w:cs="Times New Roman"/>
        </w:rPr>
        <w:t xml:space="preserve">., not </w:t>
      </w:r>
      <w:proofErr w:type="spellStart"/>
      <w:r w:rsidR="00096291" w:rsidRPr="00705170">
        <w:rPr>
          <w:rFonts w:ascii="Times New Roman" w:hAnsi="Times New Roman" w:cs="Times New Roman"/>
        </w:rPr>
        <w:t>under</w:t>
      </w:r>
      <w:proofErr w:type="spellEnd"/>
      <w:r w:rsidR="00096291" w:rsidRPr="00705170">
        <w:rPr>
          <w:rFonts w:ascii="Times New Roman" w:hAnsi="Times New Roman" w:cs="Times New Roman"/>
        </w:rPr>
        <w:t xml:space="preserve"> </w:t>
      </w:r>
      <w:proofErr w:type="spellStart"/>
      <w:r w:rsidR="00096291" w:rsidRPr="00705170">
        <w:rPr>
          <w:rFonts w:ascii="Times New Roman" w:hAnsi="Times New Roman" w:cs="Times New Roman"/>
        </w:rPr>
        <w:t>corporate</w:t>
      </w:r>
      <w:proofErr w:type="spellEnd"/>
      <w:r w:rsidR="00096291" w:rsidRPr="00705170">
        <w:rPr>
          <w:rFonts w:ascii="Times New Roman" w:hAnsi="Times New Roman" w:cs="Times New Roman"/>
        </w:rPr>
        <w:t xml:space="preserve"> </w:t>
      </w:r>
      <w:proofErr w:type="spellStart"/>
      <w:r w:rsidR="00096291" w:rsidRPr="00705170">
        <w:rPr>
          <w:rFonts w:ascii="Times New Roman" w:hAnsi="Times New Roman" w:cs="Times New Roman"/>
        </w:rPr>
        <w:t>law</w:t>
      </w:r>
      <w:proofErr w:type="spellEnd"/>
      <w:r w:rsidR="00096291" w:rsidRPr="00705170">
        <w:rPr>
          <w:rFonts w:ascii="Times New Roman" w:hAnsi="Times New Roman" w:cs="Times New Roman"/>
        </w:rPr>
        <w:t xml:space="preserve">, but </w:t>
      </w:r>
      <w:proofErr w:type="spellStart"/>
      <w:r w:rsidR="00096291" w:rsidRPr="00705170">
        <w:rPr>
          <w:rFonts w:ascii="Times New Roman" w:hAnsi="Times New Roman" w:cs="Times New Roman"/>
        </w:rPr>
        <w:t>under</w:t>
      </w:r>
      <w:proofErr w:type="spellEnd"/>
      <w:r w:rsidR="00096291" w:rsidRPr="00705170">
        <w:rPr>
          <w:rFonts w:ascii="Times New Roman" w:hAnsi="Times New Roman" w:cs="Times New Roman"/>
        </w:rPr>
        <w:t xml:space="preserve"> </w:t>
      </w:r>
      <w:proofErr w:type="spellStart"/>
      <w:r w:rsidR="00096291" w:rsidRPr="00705170">
        <w:rPr>
          <w:rFonts w:ascii="Times New Roman" w:hAnsi="Times New Roman" w:cs="Times New Roman"/>
        </w:rPr>
        <w:t>contract</w:t>
      </w:r>
      <w:proofErr w:type="spellEnd"/>
      <w:r w:rsidR="00096291" w:rsidRPr="00705170">
        <w:rPr>
          <w:rFonts w:ascii="Times New Roman" w:hAnsi="Times New Roman" w:cs="Times New Roman"/>
        </w:rPr>
        <w:t xml:space="preserve"> </w:t>
      </w:r>
      <w:proofErr w:type="spellStart"/>
      <w:r w:rsidR="00096291" w:rsidRPr="00705170">
        <w:rPr>
          <w:rFonts w:ascii="Times New Roman" w:hAnsi="Times New Roman" w:cs="Times New Roman"/>
        </w:rPr>
        <w:t>law</w:t>
      </w:r>
      <w:proofErr w:type="spellEnd"/>
      <w:r w:rsidR="00096291" w:rsidRPr="00705170">
        <w:rPr>
          <w:rFonts w:ascii="Times New Roman" w:hAnsi="Times New Roman" w:cs="Times New Roman"/>
        </w:rPr>
        <w:t>)</w:t>
      </w:r>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even</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when</w:t>
      </w:r>
      <w:proofErr w:type="spellEnd"/>
      <w:r w:rsidR="004D25C3" w:rsidRPr="00705170">
        <w:rPr>
          <w:rFonts w:ascii="Times New Roman" w:hAnsi="Times New Roman" w:cs="Times New Roman"/>
        </w:rPr>
        <w:t xml:space="preserve"> a </w:t>
      </w:r>
      <w:proofErr w:type="spellStart"/>
      <w:r w:rsidR="004D25C3" w:rsidRPr="00705170">
        <w:rPr>
          <w:rFonts w:ascii="Times New Roman" w:hAnsi="Times New Roman" w:cs="Times New Roman"/>
        </w:rPr>
        <w:t>corporation</w:t>
      </w:r>
      <w:proofErr w:type="spellEnd"/>
      <w:r w:rsidR="004D25C3" w:rsidRPr="00705170">
        <w:rPr>
          <w:rFonts w:ascii="Times New Roman" w:hAnsi="Times New Roman" w:cs="Times New Roman"/>
        </w:rPr>
        <w:t xml:space="preserve"> </w:t>
      </w:r>
      <w:r w:rsidR="004D25C3" w:rsidRPr="00705170">
        <w:rPr>
          <w:rFonts w:ascii="Times New Roman" w:hAnsi="Times New Roman" w:cs="Times New Roman"/>
        </w:rPr>
        <w:lastRenderedPageBreak/>
        <w:t xml:space="preserve">is a </w:t>
      </w:r>
      <w:proofErr w:type="spellStart"/>
      <w:r w:rsidR="004D25C3" w:rsidRPr="00705170">
        <w:rPr>
          <w:rFonts w:ascii="Times New Roman" w:hAnsi="Times New Roman" w:cs="Times New Roman"/>
        </w:rPr>
        <w:t>party</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to</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this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agreement</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shareholders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will</w:t>
      </w:r>
      <w:proofErr w:type="spellEnd"/>
      <w:r w:rsidR="004D25C3" w:rsidRPr="00705170">
        <w:rPr>
          <w:rFonts w:ascii="Times New Roman" w:hAnsi="Times New Roman" w:cs="Times New Roman"/>
        </w:rPr>
        <w:t xml:space="preserve"> not </w:t>
      </w:r>
      <w:proofErr w:type="spellStart"/>
      <w:r w:rsidR="004D25C3" w:rsidRPr="00705170">
        <w:rPr>
          <w:rFonts w:ascii="Times New Roman" w:hAnsi="Times New Roman" w:cs="Times New Roman"/>
        </w:rPr>
        <w:t>have</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the</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power</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to</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initiate</w:t>
      </w:r>
      <w:proofErr w:type="spellEnd"/>
      <w:r w:rsidR="004D25C3" w:rsidRPr="00705170">
        <w:rPr>
          <w:rFonts w:ascii="Times New Roman" w:hAnsi="Times New Roman" w:cs="Times New Roman"/>
        </w:rPr>
        <w:t xml:space="preserve"> a </w:t>
      </w:r>
      <w:proofErr w:type="spellStart"/>
      <w:r w:rsidR="004D25C3" w:rsidRPr="00705170">
        <w:rPr>
          <w:rFonts w:ascii="Times New Roman" w:hAnsi="Times New Roman" w:cs="Times New Roman"/>
        </w:rPr>
        <w:t>dissol</w:t>
      </w:r>
      <w:r w:rsidR="00096291" w:rsidRPr="00705170">
        <w:rPr>
          <w:rFonts w:ascii="Times New Roman" w:hAnsi="Times New Roman" w:cs="Times New Roman"/>
        </w:rPr>
        <w:t>ution</w:t>
      </w:r>
      <w:proofErr w:type="spellEnd"/>
      <w:r w:rsidR="00096291" w:rsidRPr="00705170">
        <w:rPr>
          <w:rFonts w:ascii="Times New Roman" w:hAnsi="Times New Roman" w:cs="Times New Roman"/>
        </w:rPr>
        <w:t xml:space="preserve"> </w:t>
      </w:r>
      <w:proofErr w:type="spellStart"/>
      <w:r w:rsidR="00096291" w:rsidRPr="00705170">
        <w:rPr>
          <w:rFonts w:ascii="Times New Roman" w:hAnsi="Times New Roman" w:cs="Times New Roman"/>
        </w:rPr>
        <w:t>action</w:t>
      </w:r>
      <w:proofErr w:type="spellEnd"/>
      <w:r w:rsidR="00096291" w:rsidRPr="00705170">
        <w:rPr>
          <w:rFonts w:ascii="Times New Roman" w:hAnsi="Times New Roman" w:cs="Times New Roman"/>
        </w:rPr>
        <w:t xml:space="preserve"> </w:t>
      </w:r>
      <w:proofErr w:type="spellStart"/>
      <w:r w:rsidR="00204053">
        <w:rPr>
          <w:rFonts w:ascii="Times New Roman" w:hAnsi="Times New Roman" w:cs="Times New Roman"/>
        </w:rPr>
        <w:t>based</w:t>
      </w:r>
      <w:proofErr w:type="spellEnd"/>
      <w:r w:rsidR="00204053">
        <w:rPr>
          <w:rFonts w:ascii="Times New Roman" w:hAnsi="Times New Roman" w:cs="Times New Roman"/>
        </w:rPr>
        <w:t xml:space="preserve"> on </w:t>
      </w:r>
      <w:proofErr w:type="spellStart"/>
      <w:r w:rsidR="00204053">
        <w:rPr>
          <w:rFonts w:ascii="Times New Roman" w:hAnsi="Times New Roman" w:cs="Times New Roman"/>
        </w:rPr>
        <w:t>such</w:t>
      </w:r>
      <w:proofErr w:type="spellEnd"/>
      <w:r w:rsidR="00204053">
        <w:rPr>
          <w:rFonts w:ascii="Times New Roman" w:hAnsi="Times New Roman" w:cs="Times New Roman"/>
        </w:rPr>
        <w:t xml:space="preserve"> </w:t>
      </w:r>
      <w:proofErr w:type="spellStart"/>
      <w:r w:rsidR="00204053">
        <w:rPr>
          <w:rFonts w:ascii="Times New Roman" w:hAnsi="Times New Roman" w:cs="Times New Roman"/>
        </w:rPr>
        <w:t>agreements</w:t>
      </w:r>
      <w:proofErr w:type="spellEnd"/>
      <w:r w:rsidR="004D25C3" w:rsidRPr="00705170">
        <w:rPr>
          <w:rStyle w:val="DipnotBavurusu"/>
          <w:rFonts w:ascii="Times New Roman" w:hAnsi="Times New Roman" w:cs="Times New Roman"/>
        </w:rPr>
        <w:footnoteReference w:id="812"/>
      </w:r>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In</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this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regards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even</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when</w:t>
      </w:r>
      <w:proofErr w:type="spellEnd"/>
      <w:r w:rsidR="004D25C3" w:rsidRPr="00705170">
        <w:rPr>
          <w:rFonts w:ascii="Times New Roman" w:hAnsi="Times New Roman" w:cs="Times New Roman"/>
        </w:rPr>
        <w:t xml:space="preserve"> a </w:t>
      </w:r>
      <w:proofErr w:type="spellStart"/>
      <w:r w:rsidR="004D25C3" w:rsidRPr="00705170">
        <w:rPr>
          <w:rFonts w:ascii="Times New Roman" w:hAnsi="Times New Roman" w:cs="Times New Roman"/>
        </w:rPr>
        <w:t>corporation</w:t>
      </w:r>
      <w:proofErr w:type="spellEnd"/>
      <w:r w:rsidR="004D25C3" w:rsidRPr="00705170">
        <w:rPr>
          <w:rFonts w:ascii="Times New Roman" w:hAnsi="Times New Roman" w:cs="Times New Roman"/>
        </w:rPr>
        <w:t xml:space="preserve"> is a </w:t>
      </w:r>
      <w:proofErr w:type="spellStart"/>
      <w:r w:rsidR="004D25C3" w:rsidRPr="00705170">
        <w:rPr>
          <w:rFonts w:ascii="Times New Roman" w:hAnsi="Times New Roman" w:cs="Times New Roman"/>
        </w:rPr>
        <w:t>party</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to</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this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kind</w:t>
      </w:r>
      <w:proofErr w:type="spellEnd"/>
      <w:r w:rsidR="004D25C3" w:rsidRPr="00705170">
        <w:rPr>
          <w:rFonts w:ascii="Times New Roman" w:hAnsi="Times New Roman" w:cs="Times New Roman"/>
        </w:rPr>
        <w:t xml:space="preserve"> of </w:t>
      </w:r>
      <w:proofErr w:type="spellStart"/>
      <w:r w:rsidR="004D25C3" w:rsidRPr="00705170">
        <w:rPr>
          <w:rFonts w:ascii="Times New Roman" w:hAnsi="Times New Roman" w:cs="Times New Roman"/>
        </w:rPr>
        <w:t>agreement</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and</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thus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discloses</w:t>
      </w:r>
      <w:proofErr w:type="spellEnd"/>
      <w:r w:rsidR="004D25C3" w:rsidRPr="00705170">
        <w:rPr>
          <w:rFonts w:ascii="Times New Roman" w:hAnsi="Times New Roman" w:cs="Times New Roman"/>
        </w:rPr>
        <w:t xml:space="preserve"> it </w:t>
      </w:r>
      <w:proofErr w:type="spellStart"/>
      <w:r w:rsidR="004D25C3" w:rsidRPr="00705170">
        <w:rPr>
          <w:rFonts w:ascii="Times New Roman" w:hAnsi="Times New Roman" w:cs="Times New Roman"/>
        </w:rPr>
        <w:t>to</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the</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public</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the</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rights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arising</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under</w:t>
      </w:r>
      <w:proofErr w:type="spellEnd"/>
      <w:r w:rsidR="004D25C3" w:rsidRPr="00705170">
        <w:rPr>
          <w:rFonts w:ascii="Times New Roman" w:hAnsi="Times New Roman" w:cs="Times New Roman"/>
        </w:rPr>
        <w:t xml:space="preserve"> it is not </w:t>
      </w:r>
      <w:proofErr w:type="spellStart"/>
      <w:r w:rsidR="009D35C0">
        <w:rPr>
          <w:rFonts w:ascii="Times New Roman" w:hAnsi="Times New Roman" w:cs="Times New Roman"/>
        </w:rPr>
        <w:t>based</w:t>
      </w:r>
      <w:proofErr w:type="spellEnd"/>
      <w:r w:rsidR="009D35C0">
        <w:rPr>
          <w:rFonts w:ascii="Times New Roman" w:hAnsi="Times New Roman" w:cs="Times New Roman"/>
        </w:rPr>
        <w:t xml:space="preserve"> on</w:t>
      </w:r>
      <w:r w:rsidR="009D35C0" w:rsidRPr="00705170">
        <w:rPr>
          <w:rFonts w:ascii="Times New Roman" w:hAnsi="Times New Roman" w:cs="Times New Roman"/>
        </w:rPr>
        <w:t xml:space="preserve"> </w:t>
      </w:r>
      <w:proofErr w:type="spellStart"/>
      <w:r w:rsidR="004D25C3" w:rsidRPr="00705170">
        <w:rPr>
          <w:rFonts w:ascii="Times New Roman" w:hAnsi="Times New Roman" w:cs="Times New Roman"/>
        </w:rPr>
        <w:t>corporate</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or</w:t>
      </w:r>
      <w:proofErr w:type="spellEnd"/>
      <w:r w:rsidR="004D25C3" w:rsidRPr="00705170">
        <w:rPr>
          <w:rFonts w:ascii="Times New Roman" w:hAnsi="Times New Roman" w:cs="Times New Roman"/>
        </w:rPr>
        <w:t xml:space="preserve"> </w:t>
      </w:r>
      <w:proofErr w:type="spellStart"/>
      <w:r w:rsidR="00204053">
        <w:rPr>
          <w:rFonts w:ascii="Times New Roman" w:hAnsi="Times New Roman" w:cs="Times New Roman"/>
        </w:rPr>
        <w:t>capital</w:t>
      </w:r>
      <w:proofErr w:type="spellEnd"/>
      <w:r w:rsidR="00204053">
        <w:rPr>
          <w:rFonts w:ascii="Times New Roman" w:hAnsi="Times New Roman" w:cs="Times New Roman"/>
        </w:rPr>
        <w:t xml:space="preserve"> market</w:t>
      </w:r>
      <w:r w:rsidR="00204053" w:rsidRPr="00705170">
        <w:rPr>
          <w:rFonts w:ascii="Times New Roman" w:hAnsi="Times New Roman" w:cs="Times New Roman"/>
        </w:rPr>
        <w:t xml:space="preserve"> </w:t>
      </w:r>
      <w:proofErr w:type="spellStart"/>
      <w:r w:rsidR="004D25C3" w:rsidRPr="00705170">
        <w:rPr>
          <w:rFonts w:ascii="Times New Roman" w:hAnsi="Times New Roman" w:cs="Times New Roman"/>
        </w:rPr>
        <w:t>law</w:t>
      </w:r>
      <w:proofErr w:type="spellEnd"/>
      <w:r w:rsidR="00471BF2" w:rsidRPr="00705170">
        <w:rPr>
          <w:rStyle w:val="DipnotBavurusu"/>
          <w:rFonts w:ascii="Times New Roman" w:hAnsi="Times New Roman" w:cs="Times New Roman"/>
        </w:rPr>
        <w:footnoteReference w:id="813"/>
      </w:r>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hence</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does</w:t>
      </w:r>
      <w:proofErr w:type="spellEnd"/>
      <w:r w:rsidR="004D25C3" w:rsidRPr="00705170">
        <w:rPr>
          <w:rFonts w:ascii="Times New Roman" w:hAnsi="Times New Roman" w:cs="Times New Roman"/>
        </w:rPr>
        <w:t xml:space="preserve"> not </w:t>
      </w:r>
      <w:proofErr w:type="spellStart"/>
      <w:r w:rsidR="004D25C3" w:rsidRPr="00705170">
        <w:rPr>
          <w:rFonts w:ascii="Times New Roman" w:hAnsi="Times New Roman" w:cs="Times New Roman"/>
        </w:rPr>
        <w:t>became</w:t>
      </w:r>
      <w:proofErr w:type="spellEnd"/>
      <w:r w:rsidR="004D25C3" w:rsidRPr="00705170">
        <w:rPr>
          <w:rFonts w:ascii="Times New Roman" w:hAnsi="Times New Roman" w:cs="Times New Roman"/>
        </w:rPr>
        <w:t xml:space="preserve"> a </w:t>
      </w:r>
      <w:proofErr w:type="spellStart"/>
      <w:r w:rsidR="004D25C3" w:rsidRPr="00705170">
        <w:rPr>
          <w:rFonts w:ascii="Times New Roman" w:hAnsi="Times New Roman" w:cs="Times New Roman"/>
        </w:rPr>
        <w:t>part</w:t>
      </w:r>
      <w:proofErr w:type="spellEnd"/>
      <w:r w:rsidR="004D25C3" w:rsidRPr="00705170">
        <w:rPr>
          <w:rFonts w:ascii="Times New Roman" w:hAnsi="Times New Roman" w:cs="Times New Roman"/>
        </w:rPr>
        <w:t xml:space="preserve"> of </w:t>
      </w:r>
      <w:proofErr w:type="spellStart"/>
      <w:r w:rsidR="004D25C3" w:rsidRPr="00705170">
        <w:rPr>
          <w:rFonts w:ascii="Times New Roman" w:hAnsi="Times New Roman" w:cs="Times New Roman"/>
        </w:rPr>
        <w:t>the</w:t>
      </w:r>
      <w:proofErr w:type="spellEnd"/>
      <w:r w:rsidR="004D25C3" w:rsidRPr="00705170">
        <w:rPr>
          <w:rFonts w:ascii="Times New Roman" w:hAnsi="Times New Roman" w:cs="Times New Roman"/>
        </w:rPr>
        <w:t xml:space="preserve"> </w:t>
      </w:r>
      <w:proofErr w:type="spellStart"/>
      <w:r w:rsidR="009D35C0">
        <w:rPr>
          <w:rFonts w:ascii="Times New Roman" w:hAnsi="Times New Roman" w:cs="Times New Roman"/>
        </w:rPr>
        <w:t>corporate</w:t>
      </w:r>
      <w:proofErr w:type="spellEnd"/>
      <w:r w:rsidR="009D35C0">
        <w:rPr>
          <w:rFonts w:ascii="Times New Roman" w:hAnsi="Times New Roman" w:cs="Times New Roman"/>
        </w:rPr>
        <w:t xml:space="preserve"> </w:t>
      </w:r>
      <w:proofErr w:type="spellStart"/>
      <w:r w:rsidR="004D25C3" w:rsidRPr="00705170">
        <w:rPr>
          <w:rFonts w:ascii="Times New Roman" w:hAnsi="Times New Roman" w:cs="Times New Roman"/>
        </w:rPr>
        <w:t>contract</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between</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the</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shareholders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and</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the</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corporation</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Therefore</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shareholders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agreement</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would</w:t>
      </w:r>
      <w:proofErr w:type="spellEnd"/>
      <w:r w:rsidR="004D25C3" w:rsidRPr="00705170">
        <w:rPr>
          <w:rFonts w:ascii="Times New Roman" w:hAnsi="Times New Roman" w:cs="Times New Roman"/>
        </w:rPr>
        <w:t xml:space="preserve"> be an </w:t>
      </w:r>
      <w:proofErr w:type="spellStart"/>
      <w:r w:rsidR="004D25C3" w:rsidRPr="00705170">
        <w:rPr>
          <w:rFonts w:ascii="Times New Roman" w:hAnsi="Times New Roman" w:cs="Times New Roman"/>
        </w:rPr>
        <w:t>unlikely</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basis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for</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investors</w:t>
      </w:r>
      <w:proofErr w:type="spellEnd"/>
      <w:r w:rsidR="004D25C3" w:rsidRPr="00705170">
        <w:rPr>
          <w:rFonts w:ascii="Times New Roman" w:hAnsi="Times New Roman" w:cs="Times New Roman"/>
        </w:rPr>
        <w:t xml:space="preserve"> of </w:t>
      </w:r>
      <w:proofErr w:type="spellStart"/>
      <w:r w:rsidR="004D25C3" w:rsidRPr="00705170">
        <w:rPr>
          <w:rFonts w:ascii="Times New Roman" w:hAnsi="Times New Roman" w:cs="Times New Roman"/>
        </w:rPr>
        <w:t>publicly</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traded</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corporations</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to</w:t>
      </w:r>
      <w:proofErr w:type="spellEnd"/>
      <w:r w:rsidR="004D25C3" w:rsidRPr="00705170">
        <w:rPr>
          <w:rFonts w:ascii="Times New Roman" w:hAnsi="Times New Roman" w:cs="Times New Roman"/>
        </w:rPr>
        <w:t xml:space="preserve"> </w:t>
      </w:r>
      <w:proofErr w:type="spellStart"/>
      <w:r w:rsidR="004D25C3" w:rsidRPr="00705170">
        <w:rPr>
          <w:rFonts w:ascii="Times New Roman" w:hAnsi="Times New Roman" w:cs="Times New Roman"/>
        </w:rPr>
        <w:t>build</w:t>
      </w:r>
      <w:proofErr w:type="spellEnd"/>
      <w:r w:rsidR="004D25C3" w:rsidRPr="00705170">
        <w:rPr>
          <w:rFonts w:ascii="Times New Roman" w:hAnsi="Times New Roman" w:cs="Times New Roman"/>
        </w:rPr>
        <w:t xml:space="preserve"> an </w:t>
      </w:r>
      <w:proofErr w:type="spellStart"/>
      <w:r w:rsidR="004D25C3" w:rsidRPr="00705170">
        <w:rPr>
          <w:rFonts w:ascii="Times New Roman" w:hAnsi="Times New Roman" w:cs="Times New Roman"/>
        </w:rPr>
        <w:t>expectation</w:t>
      </w:r>
      <w:proofErr w:type="spellEnd"/>
      <w:r w:rsidR="004D25C3" w:rsidRPr="00705170">
        <w:rPr>
          <w:rFonts w:ascii="Times New Roman" w:hAnsi="Times New Roman" w:cs="Times New Roman"/>
        </w:rPr>
        <w:t xml:space="preserve"> on</w:t>
      </w:r>
      <w:r w:rsidR="00C83D59">
        <w:rPr>
          <w:rFonts w:ascii="Times New Roman" w:hAnsi="Times New Roman" w:cs="Times New Roman"/>
        </w:rPr>
        <w:t xml:space="preserve">, </w:t>
      </w:r>
      <w:proofErr w:type="spellStart"/>
      <w:r w:rsidR="00C83D59">
        <w:rPr>
          <w:rFonts w:ascii="Times New Roman" w:hAnsi="Times New Roman" w:cs="Times New Roman"/>
        </w:rPr>
        <w:t>when</w:t>
      </w:r>
      <w:proofErr w:type="spellEnd"/>
      <w:r w:rsidR="00C83D59">
        <w:rPr>
          <w:rFonts w:ascii="Times New Roman" w:hAnsi="Times New Roman" w:cs="Times New Roman"/>
        </w:rPr>
        <w:t xml:space="preserve"> it is not </w:t>
      </w:r>
      <w:proofErr w:type="spellStart"/>
      <w:r w:rsidR="00C83D59">
        <w:rPr>
          <w:rFonts w:ascii="Times New Roman" w:hAnsi="Times New Roman" w:cs="Times New Roman"/>
        </w:rPr>
        <w:t>disclosed</w:t>
      </w:r>
      <w:proofErr w:type="spellEnd"/>
      <w:r w:rsidR="004D25C3" w:rsidRPr="00705170">
        <w:rPr>
          <w:rFonts w:ascii="Times New Roman" w:hAnsi="Times New Roman" w:cs="Times New Roman"/>
        </w:rPr>
        <w:t>.</w:t>
      </w:r>
    </w:p>
    <w:p w14:paraId="7FE621FC" w14:textId="7B4D0CC3" w:rsidR="00F16C1E" w:rsidRPr="00705170" w:rsidRDefault="00F16C1E" w:rsidP="00927B38">
      <w:pPr>
        <w:widowControl w:val="0"/>
        <w:autoSpaceDE w:val="0"/>
        <w:autoSpaceDN w:val="0"/>
        <w:adjustRightInd w:val="0"/>
        <w:spacing w:after="240" w:line="480" w:lineRule="auto"/>
        <w:jc w:val="both"/>
        <w:rPr>
          <w:rFonts w:ascii="Times New Roman" w:hAnsi="Times New Roman" w:cs="Times New Roman"/>
          <w:lang w:val="en-US"/>
        </w:rPr>
      </w:pPr>
      <w:r w:rsidRPr="00705170">
        <w:rPr>
          <w:rFonts w:ascii="Times New Roman" w:hAnsi="Times New Roman" w:cs="Times New Roman"/>
        </w:rPr>
        <w:tab/>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last</w:t>
      </w:r>
      <w:proofErr w:type="spellEnd"/>
      <w:r w:rsidRPr="00705170">
        <w:rPr>
          <w:rFonts w:ascii="Times New Roman" w:hAnsi="Times New Roman" w:cs="Times New Roman"/>
        </w:rPr>
        <w:t xml:space="preserve"> but </w:t>
      </w:r>
      <w:proofErr w:type="spellStart"/>
      <w:r w:rsidRPr="00705170">
        <w:rPr>
          <w:rFonts w:ascii="Times New Roman" w:hAnsi="Times New Roman" w:cs="Times New Roman"/>
        </w:rPr>
        <w:t>important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outcome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deploying</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permits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usage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listing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00616482">
        <w:rPr>
          <w:rStyle w:val="DipnotBavurusu"/>
          <w:rFonts w:ascii="Times New Roman" w:hAnsi="Times New Roman" w:cs="Times New Roman"/>
        </w:rPr>
        <w:footnoteReference w:id="814"/>
      </w:r>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determination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shares</w:t>
      </w:r>
      <w:proofErr w:type="spellEnd"/>
      <w:r w:rsidR="00E91C50" w:rsidRPr="00705170">
        <w:rPr>
          <w:rFonts w:ascii="Times New Roman" w:hAnsi="Times New Roman" w:cs="Times New Roman"/>
        </w:rPr>
        <w:t xml:space="preserve"> (</w:t>
      </w:r>
      <w:proofErr w:type="spellStart"/>
      <w:r w:rsidR="00E91C50" w:rsidRPr="00705170">
        <w:rPr>
          <w:rFonts w:ascii="Times New Roman" w:hAnsi="Times New Roman" w:cs="Times New Roman"/>
        </w:rPr>
        <w:t>through</w:t>
      </w:r>
      <w:proofErr w:type="spellEnd"/>
      <w:r w:rsidR="00E91C50" w:rsidRPr="00705170">
        <w:rPr>
          <w:rFonts w:ascii="Times New Roman" w:hAnsi="Times New Roman" w:cs="Times New Roman"/>
        </w:rPr>
        <w:t xml:space="preserve"> </w:t>
      </w:r>
      <w:proofErr w:type="spellStart"/>
      <w:r w:rsidR="00E91C50" w:rsidRPr="00705170">
        <w:rPr>
          <w:rFonts w:ascii="Times New Roman" w:hAnsi="Times New Roman" w:cs="Times New Roman"/>
        </w:rPr>
        <w:t>depository</w:t>
      </w:r>
      <w:proofErr w:type="spellEnd"/>
      <w:r w:rsidR="00E91C50" w:rsidRPr="00705170">
        <w:rPr>
          <w:rFonts w:ascii="Times New Roman" w:hAnsi="Times New Roman" w:cs="Times New Roman"/>
        </w:rPr>
        <w:t xml:space="preserve"> </w:t>
      </w:r>
      <w:proofErr w:type="spellStart"/>
      <w:r w:rsidR="00E91C50" w:rsidRPr="00705170">
        <w:rPr>
          <w:rFonts w:ascii="Times New Roman" w:hAnsi="Times New Roman" w:cs="Times New Roman"/>
        </w:rPr>
        <w:t>receipts</w:t>
      </w:r>
      <w:proofErr w:type="spellEnd"/>
      <w:r w:rsidR="00E91C50" w:rsidRPr="00705170">
        <w:rPr>
          <w:rFonts w:ascii="Times New Roman" w:hAnsi="Times New Roman" w:cs="Times New Roman"/>
        </w:rPr>
        <w:t xml:space="preserve"> </w:t>
      </w:r>
      <w:proofErr w:type="spellStart"/>
      <w:r w:rsidR="00E91C50" w:rsidRPr="00705170">
        <w:rPr>
          <w:rFonts w:ascii="Times New Roman" w:hAnsi="Times New Roman" w:cs="Times New Roman"/>
        </w:rPr>
        <w:t>or</w:t>
      </w:r>
      <w:proofErr w:type="spellEnd"/>
      <w:r w:rsidR="00E91C50" w:rsidRPr="00705170">
        <w:rPr>
          <w:rFonts w:ascii="Times New Roman" w:hAnsi="Times New Roman" w:cs="Times New Roman"/>
        </w:rPr>
        <w:t xml:space="preserve"> </w:t>
      </w:r>
      <w:proofErr w:type="spellStart"/>
      <w:r w:rsidR="00E91C50" w:rsidRPr="00705170">
        <w:rPr>
          <w:rFonts w:ascii="Times New Roman" w:hAnsi="Times New Roman" w:cs="Times New Roman"/>
        </w:rPr>
        <w:t>otherwise</w:t>
      </w:r>
      <w:proofErr w:type="spellEnd"/>
      <w:r w:rsidR="00E91C50"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listed</w:t>
      </w:r>
      <w:proofErr w:type="spellEnd"/>
      <w:r w:rsidRPr="00705170">
        <w:rPr>
          <w:rFonts w:ascii="Times New Roman" w:hAnsi="Times New Roman" w:cs="Times New Roman"/>
        </w:rPr>
        <w:t xml:space="preserve"> in a </w:t>
      </w:r>
      <w:proofErr w:type="spellStart"/>
      <w:r w:rsidRPr="00705170">
        <w:rPr>
          <w:rFonts w:ascii="Times New Roman" w:hAnsi="Times New Roman" w:cs="Times New Roman"/>
        </w:rPr>
        <w:t>foreign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stock</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exchange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listed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two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different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stock</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exchanges</w:t>
      </w:r>
      <w:proofErr w:type="spellEnd"/>
      <w:r w:rsidR="008B3ACD"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foreign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listing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disclosures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made</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accordance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foreign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securities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regulations</w:t>
      </w:r>
      <w:proofErr w:type="spellEnd"/>
      <w:r w:rsidR="00096291" w:rsidRPr="00705170">
        <w:rPr>
          <w:rFonts w:ascii="Times New Roman" w:hAnsi="Times New Roman" w:cs="Times New Roman"/>
        </w:rPr>
        <w:t xml:space="preserve"> </w:t>
      </w:r>
      <w:proofErr w:type="spellStart"/>
      <w:r w:rsidR="00096291" w:rsidRPr="00705170">
        <w:rPr>
          <w:rFonts w:ascii="Times New Roman" w:hAnsi="Times New Roman" w:cs="Times New Roman"/>
        </w:rPr>
        <w:t>for</w:t>
      </w:r>
      <w:proofErr w:type="spellEnd"/>
      <w:r w:rsidR="00096291" w:rsidRPr="00705170">
        <w:rPr>
          <w:rFonts w:ascii="Times New Roman" w:hAnsi="Times New Roman" w:cs="Times New Roman"/>
        </w:rPr>
        <w:t xml:space="preserve"> his </w:t>
      </w:r>
      <w:proofErr w:type="spellStart"/>
      <w:r w:rsidR="00096291" w:rsidRPr="00705170">
        <w:rPr>
          <w:rFonts w:ascii="Times New Roman" w:hAnsi="Times New Roman" w:cs="Times New Roman"/>
        </w:rPr>
        <w:t>benefit</w:t>
      </w:r>
      <w:proofErr w:type="spellEnd"/>
      <w:r w:rsidRPr="00705170">
        <w:rPr>
          <w:rFonts w:ascii="Times New Roman" w:hAnsi="Times New Roman" w:cs="Times New Roman"/>
        </w:rPr>
        <w:t xml:space="preserve">. </w:t>
      </w:r>
      <w:proofErr w:type="spellStart"/>
      <w:r w:rsidR="008B3ACD" w:rsidRPr="00705170">
        <w:rPr>
          <w:rFonts w:ascii="Times New Roman" w:hAnsi="Times New Roman" w:cs="Times New Roman"/>
        </w:rPr>
        <w:t>For</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instance</w:t>
      </w:r>
      <w:proofErr w:type="spellEnd"/>
      <w:r w:rsidR="008B3ACD" w:rsidRPr="00705170">
        <w:rPr>
          <w:rFonts w:ascii="Times New Roman" w:hAnsi="Times New Roman" w:cs="Times New Roman"/>
        </w:rPr>
        <w:t xml:space="preserve">, a </w:t>
      </w:r>
      <w:proofErr w:type="spellStart"/>
      <w:r w:rsidR="008B3ACD" w:rsidRPr="00705170">
        <w:rPr>
          <w:rFonts w:ascii="Times New Roman" w:hAnsi="Times New Roman" w:cs="Times New Roman"/>
        </w:rPr>
        <w:t>shareholder</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who</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bought</w:t>
      </w:r>
      <w:proofErr w:type="spellEnd"/>
      <w:r w:rsidR="008B3ACD" w:rsidRPr="00705170">
        <w:rPr>
          <w:rFonts w:ascii="Times New Roman" w:hAnsi="Times New Roman" w:cs="Times New Roman"/>
        </w:rPr>
        <w:t xml:space="preserve"> a </w:t>
      </w:r>
      <w:proofErr w:type="spellStart"/>
      <w:r w:rsidR="008B3ACD" w:rsidRPr="00705170">
        <w:rPr>
          <w:rFonts w:ascii="Times New Roman" w:hAnsi="Times New Roman" w:cs="Times New Roman"/>
        </w:rPr>
        <w:t>share</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from</w:t>
      </w:r>
      <w:proofErr w:type="spellEnd"/>
      <w:r w:rsidR="008B3ACD" w:rsidRPr="00705170">
        <w:rPr>
          <w:rFonts w:ascii="Times New Roman" w:hAnsi="Times New Roman" w:cs="Times New Roman"/>
        </w:rPr>
        <w:t xml:space="preserve"> a </w:t>
      </w:r>
      <w:proofErr w:type="spellStart"/>
      <w:r w:rsidR="008B3ACD" w:rsidRPr="00705170">
        <w:rPr>
          <w:rFonts w:ascii="Times New Roman" w:hAnsi="Times New Roman" w:cs="Times New Roman"/>
        </w:rPr>
        <w:t>local</w:t>
      </w:r>
      <w:proofErr w:type="spellEnd"/>
      <w:r w:rsidR="008B3ACD" w:rsidRPr="00705170">
        <w:rPr>
          <w:rFonts w:ascii="Times New Roman" w:hAnsi="Times New Roman" w:cs="Times New Roman"/>
        </w:rPr>
        <w:t xml:space="preserve"> market can </w:t>
      </w:r>
      <w:proofErr w:type="spellStart"/>
      <w:r w:rsidR="008B3ACD" w:rsidRPr="00705170">
        <w:rPr>
          <w:rFonts w:ascii="Times New Roman" w:hAnsi="Times New Roman" w:cs="Times New Roman"/>
        </w:rPr>
        <w:t>use</w:t>
      </w:r>
      <w:proofErr w:type="spellEnd"/>
      <w:r w:rsidR="008B3ACD" w:rsidRPr="00705170">
        <w:rPr>
          <w:rFonts w:ascii="Times New Roman" w:hAnsi="Times New Roman" w:cs="Times New Roman"/>
        </w:rPr>
        <w:t xml:space="preserve"> a </w:t>
      </w:r>
      <w:proofErr w:type="spellStart"/>
      <w:r w:rsidR="008B3ACD" w:rsidRPr="00705170">
        <w:rPr>
          <w:rFonts w:ascii="Times New Roman" w:hAnsi="Times New Roman" w:cs="Times New Roman"/>
        </w:rPr>
        <w:t>corporate</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disclosure</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made</w:t>
      </w:r>
      <w:proofErr w:type="spellEnd"/>
      <w:r w:rsidR="008B3ACD" w:rsidRPr="00705170">
        <w:rPr>
          <w:rFonts w:ascii="Times New Roman" w:hAnsi="Times New Roman" w:cs="Times New Roman"/>
        </w:rPr>
        <w:t xml:space="preserve"> in a </w:t>
      </w:r>
      <w:proofErr w:type="spellStart"/>
      <w:r w:rsidR="008B3ACD" w:rsidRPr="00705170">
        <w:rPr>
          <w:rFonts w:ascii="Times New Roman" w:hAnsi="Times New Roman" w:cs="Times New Roman"/>
        </w:rPr>
        <w:t>foreign</w:t>
      </w:r>
      <w:proofErr w:type="spellEnd"/>
      <w:r w:rsidR="008B3ACD" w:rsidRPr="00705170">
        <w:rPr>
          <w:rFonts w:ascii="Times New Roman" w:hAnsi="Times New Roman" w:cs="Times New Roman"/>
        </w:rPr>
        <w:t xml:space="preserve"> market in </w:t>
      </w:r>
      <w:proofErr w:type="spellStart"/>
      <w:r w:rsidR="008B3ACD" w:rsidRPr="00705170">
        <w:rPr>
          <w:rFonts w:ascii="Times New Roman" w:hAnsi="Times New Roman" w:cs="Times New Roman"/>
        </w:rPr>
        <w:t>the</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establishment</w:t>
      </w:r>
      <w:proofErr w:type="spellEnd"/>
      <w:r w:rsidR="008B3ACD" w:rsidRPr="00705170">
        <w:rPr>
          <w:rFonts w:ascii="Times New Roman" w:hAnsi="Times New Roman" w:cs="Times New Roman"/>
        </w:rPr>
        <w:t xml:space="preserve"> of his </w:t>
      </w:r>
      <w:proofErr w:type="spellStart"/>
      <w:r w:rsidR="00096291" w:rsidRPr="00705170">
        <w:rPr>
          <w:rFonts w:ascii="Times New Roman" w:hAnsi="Times New Roman" w:cs="Times New Roman"/>
        </w:rPr>
        <w:t>reasonable</w:t>
      </w:r>
      <w:proofErr w:type="spellEnd"/>
      <w:r w:rsidR="00096291" w:rsidRPr="00705170">
        <w:rPr>
          <w:rFonts w:ascii="Times New Roman" w:hAnsi="Times New Roman" w:cs="Times New Roman"/>
        </w:rPr>
        <w:t xml:space="preserve"> </w:t>
      </w:r>
      <w:proofErr w:type="spellStart"/>
      <w:r w:rsidR="008B3ACD" w:rsidRPr="00705170">
        <w:rPr>
          <w:rFonts w:ascii="Times New Roman" w:hAnsi="Times New Roman" w:cs="Times New Roman"/>
        </w:rPr>
        <w:t>expectations</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The</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aggregate</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approach</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towards</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the</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corporate</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contract</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justifies</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the</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notion</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that</w:t>
      </w:r>
      <w:proofErr w:type="spellEnd"/>
      <w:r w:rsidR="008B3ACD" w:rsidRPr="00705170">
        <w:rPr>
          <w:rFonts w:ascii="Times New Roman" w:hAnsi="Times New Roman" w:cs="Times New Roman"/>
        </w:rPr>
        <w:t xml:space="preserve"> a </w:t>
      </w:r>
      <w:proofErr w:type="spellStart"/>
      <w:r w:rsidR="008B3ACD" w:rsidRPr="00705170">
        <w:rPr>
          <w:rFonts w:ascii="Times New Roman" w:hAnsi="Times New Roman" w:cs="Times New Roman"/>
        </w:rPr>
        <w:t>local</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shareholder’s</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contract</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with</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the</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corporation</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includes</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the</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foreign</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listing</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rules</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and</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disclosures</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made</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therein</w:t>
      </w:r>
      <w:proofErr w:type="spellEnd"/>
      <w:r w:rsidR="008B3ACD" w:rsidRPr="00705170">
        <w:rPr>
          <w:rFonts w:ascii="Times New Roman" w:hAnsi="Times New Roman" w:cs="Times New Roman"/>
        </w:rPr>
        <w:t xml:space="preserve"> as </w:t>
      </w:r>
      <w:proofErr w:type="spellStart"/>
      <w:r w:rsidR="008B3ACD" w:rsidRPr="00705170">
        <w:rPr>
          <w:rFonts w:ascii="Times New Roman" w:hAnsi="Times New Roman" w:cs="Times New Roman"/>
        </w:rPr>
        <w:t>terms</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to</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the</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contract</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In</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t</w:t>
      </w:r>
      <w:r w:rsidR="007F0A04" w:rsidRPr="00705170">
        <w:rPr>
          <w:rFonts w:ascii="Times New Roman" w:hAnsi="Times New Roman" w:cs="Times New Roman"/>
        </w:rPr>
        <w:t>his</w:t>
      </w:r>
      <w:proofErr w:type="spellEnd"/>
      <w:r w:rsidR="007F0A04" w:rsidRPr="00705170">
        <w:rPr>
          <w:rFonts w:ascii="Times New Roman" w:hAnsi="Times New Roman" w:cs="Times New Roman"/>
        </w:rPr>
        <w:t xml:space="preserve"> sense, </w:t>
      </w:r>
      <w:proofErr w:type="spellStart"/>
      <w:r w:rsidR="007F0A04" w:rsidRPr="00705170">
        <w:rPr>
          <w:rFonts w:ascii="Times New Roman" w:hAnsi="Times New Roman" w:cs="Times New Roman"/>
        </w:rPr>
        <w:t>the</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reasonable</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expectations</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theory</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and</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the</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oppr</w:t>
      </w:r>
      <w:r w:rsidR="008B3ACD" w:rsidRPr="00705170">
        <w:rPr>
          <w:rFonts w:ascii="Times New Roman" w:hAnsi="Times New Roman" w:cs="Times New Roman"/>
        </w:rPr>
        <w:t>ession</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statute</w:t>
      </w:r>
      <w:proofErr w:type="spellEnd"/>
      <w:r w:rsidR="008B3ACD" w:rsidRPr="00705170">
        <w:rPr>
          <w:rFonts w:ascii="Times New Roman" w:hAnsi="Times New Roman" w:cs="Times New Roman"/>
        </w:rPr>
        <w:t xml:space="preserve"> in general, </w:t>
      </w:r>
      <w:proofErr w:type="spellStart"/>
      <w:r w:rsidR="008B3ACD" w:rsidRPr="00705170">
        <w:rPr>
          <w:rFonts w:ascii="Times New Roman" w:hAnsi="Times New Roman" w:cs="Times New Roman"/>
        </w:rPr>
        <w:t>would</w:t>
      </w:r>
      <w:proofErr w:type="spellEnd"/>
      <w:r w:rsidR="008B3ACD" w:rsidRPr="00705170">
        <w:rPr>
          <w:rFonts w:ascii="Times New Roman" w:hAnsi="Times New Roman" w:cs="Times New Roman"/>
        </w:rPr>
        <w:t xml:space="preserve"> </w:t>
      </w:r>
      <w:proofErr w:type="spellStart"/>
      <w:r w:rsidR="008B3ACD" w:rsidRPr="00705170">
        <w:rPr>
          <w:rFonts w:ascii="Times New Roman" w:hAnsi="Times New Roman" w:cs="Times New Roman"/>
        </w:rPr>
        <w:t>also</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provide</w:t>
      </w:r>
      <w:proofErr w:type="spellEnd"/>
      <w:r w:rsidR="007F0A04" w:rsidRPr="00705170">
        <w:rPr>
          <w:rFonts w:ascii="Times New Roman" w:hAnsi="Times New Roman" w:cs="Times New Roman"/>
        </w:rPr>
        <w:t xml:space="preserve"> a </w:t>
      </w:r>
      <w:proofErr w:type="spellStart"/>
      <w:r w:rsidR="007F0A04" w:rsidRPr="00705170">
        <w:rPr>
          <w:rFonts w:ascii="Times New Roman" w:hAnsi="Times New Roman" w:cs="Times New Roman"/>
        </w:rPr>
        <w:t>back</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door</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for</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both</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the</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lawmakers</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and</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practitioners</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to</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apply</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their</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laws</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or</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expectations</w:t>
      </w:r>
      <w:proofErr w:type="spellEnd"/>
      <w:r w:rsidR="007F0A04" w:rsidRPr="00705170">
        <w:rPr>
          <w:rFonts w:ascii="Times New Roman" w:hAnsi="Times New Roman" w:cs="Times New Roman"/>
        </w:rPr>
        <w:t xml:space="preserve"> in an </w:t>
      </w:r>
      <w:proofErr w:type="spellStart"/>
      <w:r w:rsidR="007F0A04" w:rsidRPr="00705170">
        <w:rPr>
          <w:rFonts w:ascii="Times New Roman" w:hAnsi="Times New Roman" w:cs="Times New Roman"/>
        </w:rPr>
        <w:t>extraterritorial</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way</w:t>
      </w:r>
      <w:proofErr w:type="spellEnd"/>
      <w:r w:rsidR="007F0A04" w:rsidRPr="00705170">
        <w:rPr>
          <w:rStyle w:val="DipnotBavurusu"/>
          <w:rFonts w:ascii="Times New Roman" w:hAnsi="Times New Roman" w:cs="Times New Roman"/>
        </w:rPr>
        <w:footnoteReference w:id="815"/>
      </w:r>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This</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outcome</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would</w:t>
      </w:r>
      <w:proofErr w:type="spellEnd"/>
      <w:r w:rsidR="00CA3633" w:rsidRPr="00705170">
        <w:rPr>
          <w:rFonts w:ascii="Times New Roman" w:hAnsi="Times New Roman" w:cs="Times New Roman"/>
        </w:rPr>
        <w:t xml:space="preserve">, </w:t>
      </w:r>
      <w:proofErr w:type="spellStart"/>
      <w:r w:rsidR="00CA3633" w:rsidRPr="00705170">
        <w:rPr>
          <w:rFonts w:ascii="Times New Roman" w:hAnsi="Times New Roman" w:cs="Times New Roman"/>
        </w:rPr>
        <w:t>more</w:t>
      </w:r>
      <w:proofErr w:type="spellEnd"/>
      <w:r w:rsidR="00CA3633" w:rsidRPr="00705170">
        <w:rPr>
          <w:rFonts w:ascii="Times New Roman" w:hAnsi="Times New Roman" w:cs="Times New Roman"/>
        </w:rPr>
        <w:t xml:space="preserve"> </w:t>
      </w:r>
      <w:proofErr w:type="spellStart"/>
      <w:r w:rsidR="00CA3633" w:rsidRPr="00705170">
        <w:rPr>
          <w:rFonts w:ascii="Times New Roman" w:hAnsi="Times New Roman" w:cs="Times New Roman"/>
        </w:rPr>
        <w:t>or</w:t>
      </w:r>
      <w:proofErr w:type="spellEnd"/>
      <w:r w:rsidR="00CA3633" w:rsidRPr="00705170">
        <w:rPr>
          <w:rFonts w:ascii="Times New Roman" w:hAnsi="Times New Roman" w:cs="Times New Roman"/>
        </w:rPr>
        <w:t xml:space="preserve"> </w:t>
      </w:r>
      <w:proofErr w:type="spellStart"/>
      <w:r w:rsidR="00CA3633" w:rsidRPr="00705170">
        <w:rPr>
          <w:rFonts w:ascii="Times New Roman" w:hAnsi="Times New Roman" w:cs="Times New Roman"/>
        </w:rPr>
        <w:t>less</w:t>
      </w:r>
      <w:proofErr w:type="spellEnd"/>
      <w:r w:rsidR="00CA3633" w:rsidRPr="00705170">
        <w:rPr>
          <w:rFonts w:ascii="Times New Roman" w:hAnsi="Times New Roman" w:cs="Times New Roman"/>
        </w:rPr>
        <w:t>,</w:t>
      </w:r>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al</w:t>
      </w:r>
      <w:r w:rsidR="00014772" w:rsidRPr="00705170">
        <w:rPr>
          <w:rFonts w:ascii="Times New Roman" w:hAnsi="Times New Roman" w:cs="Times New Roman"/>
        </w:rPr>
        <w:t>l</w:t>
      </w:r>
      <w:r w:rsidR="00CA3633" w:rsidRPr="00705170">
        <w:rPr>
          <w:rFonts w:ascii="Times New Roman" w:hAnsi="Times New Roman" w:cs="Times New Roman"/>
        </w:rPr>
        <w:t>ign</w:t>
      </w:r>
      <w:proofErr w:type="spellEnd"/>
      <w:r w:rsidR="007F0A04" w:rsidRPr="00705170">
        <w:rPr>
          <w:rFonts w:ascii="Times New Roman" w:hAnsi="Times New Roman" w:cs="Times New Roman"/>
        </w:rPr>
        <w:t xml:space="preserve"> </w:t>
      </w:r>
      <w:proofErr w:type="spellStart"/>
      <w:r w:rsidR="00096291" w:rsidRPr="00705170">
        <w:rPr>
          <w:rFonts w:ascii="Times New Roman" w:hAnsi="Times New Roman" w:cs="Times New Roman"/>
        </w:rPr>
        <w:t>well</w:t>
      </w:r>
      <w:proofErr w:type="spellEnd"/>
      <w:r w:rsidR="00096291" w:rsidRPr="00705170">
        <w:rPr>
          <w:rFonts w:ascii="Times New Roman" w:hAnsi="Times New Roman" w:cs="Times New Roman"/>
        </w:rPr>
        <w:t xml:space="preserve"> </w:t>
      </w:r>
      <w:proofErr w:type="spellStart"/>
      <w:r w:rsidR="007F0A04" w:rsidRPr="00705170">
        <w:rPr>
          <w:rFonts w:ascii="Times New Roman" w:hAnsi="Times New Roman" w:cs="Times New Roman"/>
        </w:rPr>
        <w:t>with</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the</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interconnected</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nature</w:t>
      </w:r>
      <w:proofErr w:type="spellEnd"/>
      <w:r w:rsidR="007F0A04" w:rsidRPr="00705170">
        <w:rPr>
          <w:rFonts w:ascii="Times New Roman" w:hAnsi="Times New Roman" w:cs="Times New Roman"/>
        </w:rPr>
        <w:t xml:space="preserve"> of </w:t>
      </w:r>
      <w:proofErr w:type="spellStart"/>
      <w:r w:rsidR="007F0A04" w:rsidRPr="00705170">
        <w:rPr>
          <w:rFonts w:ascii="Times New Roman" w:hAnsi="Times New Roman" w:cs="Times New Roman"/>
        </w:rPr>
        <w:t>today’s</w:t>
      </w:r>
      <w:proofErr w:type="spellEnd"/>
      <w:r w:rsidR="00CA3633" w:rsidRPr="00705170">
        <w:rPr>
          <w:rFonts w:ascii="Times New Roman" w:hAnsi="Times New Roman" w:cs="Times New Roman"/>
        </w:rPr>
        <w:t xml:space="preserve"> </w:t>
      </w:r>
      <w:proofErr w:type="spellStart"/>
      <w:r w:rsidR="00CA3633" w:rsidRPr="00705170">
        <w:rPr>
          <w:rFonts w:ascii="Times New Roman" w:hAnsi="Times New Roman" w:cs="Times New Roman"/>
        </w:rPr>
        <w:t>corporate</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economy</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and</w:t>
      </w:r>
      <w:proofErr w:type="spellEnd"/>
      <w:r w:rsidR="007F0A04" w:rsidRPr="00705170">
        <w:rPr>
          <w:rFonts w:ascii="Times New Roman" w:hAnsi="Times New Roman" w:cs="Times New Roman"/>
        </w:rPr>
        <w:t xml:space="preserve"> </w:t>
      </w:r>
      <w:proofErr w:type="spellStart"/>
      <w:r w:rsidR="007F0A04" w:rsidRPr="00705170">
        <w:rPr>
          <w:rFonts w:ascii="Times New Roman" w:hAnsi="Times New Roman" w:cs="Times New Roman"/>
        </w:rPr>
        <w:t>world</w:t>
      </w:r>
      <w:proofErr w:type="spellEnd"/>
      <w:r w:rsidR="007F0A04" w:rsidRPr="00705170">
        <w:rPr>
          <w:rFonts w:ascii="Times New Roman" w:hAnsi="Times New Roman" w:cs="Times New Roman"/>
        </w:rPr>
        <w:t xml:space="preserve"> in general.</w:t>
      </w:r>
    </w:p>
    <w:p w14:paraId="21EAD95B" w14:textId="01A172D1" w:rsidR="005E4903" w:rsidRPr="00705170" w:rsidRDefault="00C01441" w:rsidP="005E4903">
      <w:pPr>
        <w:spacing w:after="240" w:line="480" w:lineRule="auto"/>
        <w:ind w:firstLine="708"/>
        <w:rPr>
          <w:rFonts w:ascii="Times New Roman" w:hAnsi="Times New Roman" w:cs="Times New Roman"/>
          <w:b/>
        </w:rPr>
      </w:pPr>
      <w:r>
        <w:rPr>
          <w:rFonts w:ascii="Times New Roman" w:hAnsi="Times New Roman" w:cs="Times New Roman"/>
          <w:b/>
        </w:rPr>
        <w:t>4</w:t>
      </w:r>
      <w:r w:rsidR="005E4903" w:rsidRPr="00705170">
        <w:rPr>
          <w:rFonts w:ascii="Times New Roman" w:hAnsi="Times New Roman" w:cs="Times New Roman"/>
          <w:b/>
        </w:rPr>
        <w:t xml:space="preserve">.5. </w:t>
      </w:r>
      <w:proofErr w:type="spellStart"/>
      <w:r w:rsidR="005E4903" w:rsidRPr="00705170">
        <w:rPr>
          <w:rFonts w:ascii="Times New Roman" w:hAnsi="Times New Roman" w:cs="Times New Roman"/>
          <w:b/>
        </w:rPr>
        <w:t>Conclusion</w:t>
      </w:r>
      <w:proofErr w:type="spellEnd"/>
    </w:p>
    <w:p w14:paraId="4B7ADB06" w14:textId="1C71AF56" w:rsidR="004F0713" w:rsidRPr="00705170" w:rsidRDefault="00096291" w:rsidP="004F0713">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is a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applied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w:t>
      </w:r>
      <w:r w:rsidR="004F0713" w:rsidRPr="00705170">
        <w:rPr>
          <w:rFonts w:ascii="Times New Roman" w:hAnsi="Times New Roman" w:cs="Times New Roman"/>
        </w:rPr>
        <w:t>on</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law</w:t>
      </w:r>
      <w:proofErr w:type="spellEnd"/>
      <w:r w:rsidR="004F0713" w:rsidRPr="00705170">
        <w:rPr>
          <w:rFonts w:ascii="Times New Roman" w:hAnsi="Times New Roman" w:cs="Times New Roman"/>
        </w:rPr>
        <w:t xml:space="preserve"> in </w:t>
      </w:r>
      <w:proofErr w:type="spellStart"/>
      <w:r w:rsidR="004F0713" w:rsidRPr="00705170">
        <w:rPr>
          <w:rFonts w:ascii="Times New Roman" w:hAnsi="Times New Roman" w:cs="Times New Roman"/>
        </w:rPr>
        <w:t>the</w:t>
      </w:r>
      <w:proofErr w:type="spellEnd"/>
      <w:r w:rsidR="004F0713" w:rsidRPr="00705170">
        <w:rPr>
          <w:rFonts w:ascii="Times New Roman" w:hAnsi="Times New Roman" w:cs="Times New Roman"/>
        </w:rPr>
        <w:t xml:space="preserve"> U.S. As </w:t>
      </w:r>
      <w:proofErr w:type="spellStart"/>
      <w:r w:rsidR="004F0713" w:rsidRPr="00705170">
        <w:rPr>
          <w:rFonts w:ascii="Times New Roman" w:hAnsi="Times New Roman" w:cs="Times New Roman"/>
        </w:rPr>
        <w:t>shown</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above</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shareholder</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oppression</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law</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and</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the</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reasonable</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expectations</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standard</w:t>
      </w:r>
      <w:proofErr w:type="spellEnd"/>
      <w:r w:rsidR="004F0713" w:rsidRPr="00705170">
        <w:rPr>
          <w:rFonts w:ascii="Times New Roman" w:hAnsi="Times New Roman" w:cs="Times New Roman"/>
        </w:rPr>
        <w:t xml:space="preserve">, has </w:t>
      </w:r>
      <w:proofErr w:type="spellStart"/>
      <w:r w:rsidR="004F0713" w:rsidRPr="00705170">
        <w:rPr>
          <w:rFonts w:ascii="Times New Roman" w:hAnsi="Times New Roman" w:cs="Times New Roman"/>
        </w:rPr>
        <w:t>unique</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elements</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and</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components</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and</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much</w:t>
      </w:r>
      <w:proofErr w:type="spellEnd"/>
      <w:r w:rsidR="004F0713" w:rsidRPr="00705170">
        <w:rPr>
          <w:rFonts w:ascii="Times New Roman" w:hAnsi="Times New Roman" w:cs="Times New Roman"/>
        </w:rPr>
        <w:t xml:space="preserve"> of it is </w:t>
      </w:r>
      <w:proofErr w:type="spellStart"/>
      <w:r w:rsidR="004F0713" w:rsidRPr="00705170">
        <w:rPr>
          <w:rFonts w:ascii="Times New Roman" w:hAnsi="Times New Roman" w:cs="Times New Roman"/>
        </w:rPr>
        <w:t>based</w:t>
      </w:r>
      <w:proofErr w:type="spellEnd"/>
      <w:r w:rsidR="004F0713" w:rsidRPr="00705170">
        <w:rPr>
          <w:rFonts w:ascii="Times New Roman" w:hAnsi="Times New Roman" w:cs="Times New Roman"/>
        </w:rPr>
        <w:t xml:space="preserve"> on </w:t>
      </w:r>
      <w:proofErr w:type="spellStart"/>
      <w:r w:rsidR="004F0713" w:rsidRPr="00705170">
        <w:rPr>
          <w:rFonts w:ascii="Times New Roman" w:hAnsi="Times New Roman" w:cs="Times New Roman"/>
        </w:rPr>
        <w:t>close</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corporation</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context</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However</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the</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theory</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underlying</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them</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does</w:t>
      </w:r>
      <w:proofErr w:type="spellEnd"/>
      <w:r w:rsidR="004F0713" w:rsidRPr="00705170">
        <w:rPr>
          <w:rFonts w:ascii="Times New Roman" w:hAnsi="Times New Roman" w:cs="Times New Roman"/>
        </w:rPr>
        <w:t xml:space="preserve"> not bar </w:t>
      </w:r>
      <w:proofErr w:type="spellStart"/>
      <w:r w:rsidR="004F0713" w:rsidRPr="00705170">
        <w:rPr>
          <w:rFonts w:ascii="Times New Roman" w:hAnsi="Times New Roman" w:cs="Times New Roman"/>
        </w:rPr>
        <w:t>their</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application</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to</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publicly</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traded</w:t>
      </w:r>
      <w:proofErr w:type="spellEnd"/>
      <w:r w:rsidR="004F0713" w:rsidRPr="00705170">
        <w:rPr>
          <w:rFonts w:ascii="Times New Roman" w:hAnsi="Times New Roman" w:cs="Times New Roman"/>
        </w:rPr>
        <w:t xml:space="preserve"> </w:t>
      </w:r>
      <w:proofErr w:type="spellStart"/>
      <w:r w:rsidR="004F0713" w:rsidRPr="00705170">
        <w:rPr>
          <w:rFonts w:ascii="Times New Roman" w:hAnsi="Times New Roman" w:cs="Times New Roman"/>
        </w:rPr>
        <w:t>corporation</w:t>
      </w:r>
      <w:proofErr w:type="spellEnd"/>
      <w:r w:rsidR="004F0713" w:rsidRPr="00705170">
        <w:rPr>
          <w:rFonts w:ascii="Times New Roman" w:hAnsi="Times New Roman" w:cs="Times New Roman"/>
        </w:rPr>
        <w:t xml:space="preserve">. </w:t>
      </w:r>
      <w:proofErr w:type="spellStart"/>
      <w:r w:rsidR="00C83D59">
        <w:rPr>
          <w:rFonts w:ascii="Times New Roman" w:hAnsi="Times New Roman" w:cs="Times New Roman"/>
        </w:rPr>
        <w:t>In</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applying</w:t>
      </w:r>
      <w:proofErr w:type="spellEnd"/>
      <w:r w:rsidR="00C83D59">
        <w:rPr>
          <w:rFonts w:ascii="Times New Roman" w:hAnsi="Times New Roman" w:cs="Times New Roman"/>
        </w:rPr>
        <w:t xml:space="preserve"> it </w:t>
      </w:r>
      <w:proofErr w:type="spellStart"/>
      <w:r w:rsidR="00C83D59">
        <w:rPr>
          <w:rFonts w:ascii="Times New Roman" w:hAnsi="Times New Roman" w:cs="Times New Roman"/>
        </w:rPr>
        <w:t>to</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publicly</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traded</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corporation</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context</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contractual</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theory</w:t>
      </w:r>
      <w:proofErr w:type="spellEnd"/>
      <w:r w:rsidR="00C83D59">
        <w:rPr>
          <w:rFonts w:ascii="Times New Roman" w:hAnsi="Times New Roman" w:cs="Times New Roman"/>
        </w:rPr>
        <w:t xml:space="preserve"> of </w:t>
      </w:r>
      <w:proofErr w:type="spellStart"/>
      <w:r w:rsidR="00C83D59">
        <w:rPr>
          <w:rFonts w:ascii="Times New Roman" w:hAnsi="Times New Roman" w:cs="Times New Roman"/>
        </w:rPr>
        <w:lastRenderedPageBreak/>
        <w:t>corporate</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law</w:t>
      </w:r>
      <w:proofErr w:type="spellEnd"/>
      <w:r w:rsidR="00C83D59">
        <w:rPr>
          <w:rFonts w:ascii="Times New Roman" w:hAnsi="Times New Roman" w:cs="Times New Roman"/>
        </w:rPr>
        <w:t xml:space="preserve"> is </w:t>
      </w:r>
      <w:proofErr w:type="spellStart"/>
      <w:r w:rsidR="00C83D59">
        <w:rPr>
          <w:rFonts w:ascii="Times New Roman" w:hAnsi="Times New Roman" w:cs="Times New Roman"/>
        </w:rPr>
        <w:t>helpful</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Still</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the</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sources</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where</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the</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reasonable</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expectations</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will</w:t>
      </w:r>
      <w:proofErr w:type="spellEnd"/>
      <w:r w:rsidR="00C83D59">
        <w:rPr>
          <w:rFonts w:ascii="Times New Roman" w:hAnsi="Times New Roman" w:cs="Times New Roman"/>
        </w:rPr>
        <w:t xml:space="preserve"> be </w:t>
      </w:r>
      <w:proofErr w:type="spellStart"/>
      <w:r w:rsidR="00C83D59">
        <w:rPr>
          <w:rFonts w:ascii="Times New Roman" w:hAnsi="Times New Roman" w:cs="Times New Roman"/>
        </w:rPr>
        <w:t>investigated</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are</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different</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than</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the</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close</w:t>
      </w:r>
      <w:proofErr w:type="spellEnd"/>
      <w:r w:rsidR="00C83D59">
        <w:rPr>
          <w:rFonts w:ascii="Times New Roman" w:hAnsi="Times New Roman" w:cs="Times New Roman"/>
        </w:rPr>
        <w:t xml:space="preserve"> </w:t>
      </w:r>
      <w:proofErr w:type="spellStart"/>
      <w:r w:rsidR="00C83D59">
        <w:rPr>
          <w:rFonts w:ascii="Times New Roman" w:hAnsi="Times New Roman" w:cs="Times New Roman"/>
        </w:rPr>
        <w:t>corporations</w:t>
      </w:r>
      <w:proofErr w:type="spellEnd"/>
      <w:r w:rsidR="00C83D59">
        <w:rPr>
          <w:rFonts w:ascii="Times New Roman" w:hAnsi="Times New Roman" w:cs="Times New Roman"/>
        </w:rPr>
        <w:t xml:space="preserve">.  </w:t>
      </w:r>
    </w:p>
    <w:p w14:paraId="3E5A3CB2" w14:textId="7287D601" w:rsidR="003F6CE1" w:rsidRPr="00F91D2C" w:rsidRDefault="00D659F9" w:rsidP="00F91D2C">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in general, is </w:t>
      </w:r>
      <w:proofErr w:type="spellStart"/>
      <w:r w:rsidRPr="00705170">
        <w:rPr>
          <w:rFonts w:ascii="Times New Roman" w:hAnsi="Times New Roman" w:cs="Times New Roman"/>
        </w:rPr>
        <w:t>evaluated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lens of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it is </w:t>
      </w:r>
      <w:proofErr w:type="spellStart"/>
      <w:r w:rsidRPr="00705170">
        <w:rPr>
          <w:rFonts w:ascii="Times New Roman" w:hAnsi="Times New Roman" w:cs="Times New Roman"/>
        </w:rPr>
        <w:t>seen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application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rational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represents</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used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interpret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equivalent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is </w:t>
      </w:r>
      <w:proofErr w:type="spellStart"/>
      <w:r w:rsidR="00C83D59">
        <w:rPr>
          <w:rFonts w:ascii="Times New Roman" w:hAnsi="Times New Roman" w:cs="Times New Roman"/>
        </w:rPr>
        <w:t>chosen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scope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flexible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used</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mechanism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help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protected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extractions</w:t>
      </w:r>
      <w:proofErr w:type="spellEnd"/>
      <w:r w:rsidRPr="00705170">
        <w:rPr>
          <w:rFonts w:ascii="Times New Roman" w:hAnsi="Times New Roman" w:cs="Times New Roman"/>
        </w:rPr>
        <w:t>.</w:t>
      </w:r>
      <w:r w:rsidR="00E90EE1" w:rsidRPr="00705170">
        <w:rPr>
          <w:rFonts w:ascii="Times New Roman" w:hAnsi="Times New Roman" w:cs="Times New Roman"/>
        </w:rPr>
        <w:t xml:space="preserve"> </w:t>
      </w:r>
    </w:p>
    <w:p w14:paraId="49A1332D" w14:textId="0C0EF9B6" w:rsidR="005E4903" w:rsidRPr="00705170" w:rsidRDefault="005E4903" w:rsidP="005E4903">
      <w:pPr>
        <w:spacing w:after="240" w:line="480" w:lineRule="auto"/>
        <w:ind w:firstLine="708"/>
        <w:jc w:val="center"/>
        <w:rPr>
          <w:rFonts w:ascii="Times New Roman" w:hAnsi="Times New Roman" w:cs="Times New Roman"/>
          <w:b/>
        </w:rPr>
      </w:pPr>
      <w:r w:rsidRPr="00705170">
        <w:rPr>
          <w:rFonts w:ascii="Times New Roman" w:hAnsi="Times New Roman" w:cs="Times New Roman"/>
          <w:b/>
        </w:rPr>
        <w:t>CHAPTER V</w:t>
      </w:r>
    </w:p>
    <w:p w14:paraId="3AC9114A" w14:textId="1C66874C" w:rsidR="005E4903" w:rsidRPr="00705170" w:rsidRDefault="005E4903" w:rsidP="005E4903">
      <w:pPr>
        <w:spacing w:after="240" w:line="480" w:lineRule="auto"/>
        <w:ind w:firstLine="708"/>
        <w:jc w:val="center"/>
        <w:rPr>
          <w:rFonts w:ascii="Times New Roman" w:hAnsi="Times New Roman" w:cs="Times New Roman"/>
          <w:b/>
        </w:rPr>
      </w:pPr>
      <w:r w:rsidRPr="00705170">
        <w:rPr>
          <w:rFonts w:ascii="Times New Roman" w:hAnsi="Times New Roman" w:cs="Times New Roman"/>
          <w:b/>
        </w:rPr>
        <w:t>INVOLUNTARY DISSOLUTION ACTION IN TURKISH LAW</w:t>
      </w:r>
    </w:p>
    <w:p w14:paraId="2A7FA8A8" w14:textId="358E7CF1" w:rsidR="00DA6CBF" w:rsidRPr="00705170" w:rsidRDefault="008B6FED" w:rsidP="00E118F9">
      <w:pPr>
        <w:spacing w:after="240" w:line="480" w:lineRule="auto"/>
        <w:jc w:val="both"/>
        <w:rPr>
          <w:rFonts w:ascii="Times New Roman" w:hAnsi="Times New Roman" w:cs="Times New Roman"/>
          <w:b/>
        </w:rPr>
      </w:pPr>
      <w:r w:rsidRPr="00705170">
        <w:rPr>
          <w:rFonts w:ascii="Times New Roman" w:hAnsi="Times New Roman" w:cs="Times New Roman"/>
        </w:rPr>
        <w:tab/>
      </w:r>
      <w:r w:rsidR="00C01441">
        <w:rPr>
          <w:rFonts w:ascii="Times New Roman" w:hAnsi="Times New Roman" w:cs="Times New Roman"/>
          <w:b/>
        </w:rPr>
        <w:t>5</w:t>
      </w:r>
      <w:r w:rsidRPr="00705170">
        <w:rPr>
          <w:rFonts w:ascii="Times New Roman" w:hAnsi="Times New Roman" w:cs="Times New Roman"/>
          <w:b/>
        </w:rPr>
        <w:t xml:space="preserve">.1. </w:t>
      </w:r>
      <w:proofErr w:type="spellStart"/>
      <w:r w:rsidRPr="00705170">
        <w:rPr>
          <w:rFonts w:ascii="Times New Roman" w:hAnsi="Times New Roman" w:cs="Times New Roman"/>
          <w:b/>
        </w:rPr>
        <w:t>Generally</w:t>
      </w:r>
      <w:proofErr w:type="spellEnd"/>
      <w:r w:rsidR="008975B2" w:rsidRPr="00705170">
        <w:rPr>
          <w:rFonts w:ascii="Times New Roman" w:hAnsi="Times New Roman" w:cs="Times New Roman"/>
          <w:b/>
        </w:rPr>
        <w:tab/>
      </w:r>
    </w:p>
    <w:p w14:paraId="742971CD" w14:textId="7D17B7BE" w:rsidR="00687447" w:rsidRPr="00705170" w:rsidRDefault="00870595" w:rsidP="0043495D">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first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introduced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t>
      </w:r>
      <w:r w:rsidR="00687447" w:rsidRPr="00705170">
        <w:rPr>
          <w:rFonts w:ascii="Times New Roman" w:hAnsi="Times New Roman" w:cs="Times New Roman"/>
        </w:rPr>
        <w:t>he</w:t>
      </w:r>
      <w:proofErr w:type="spellEnd"/>
      <w:r w:rsidR="00687447" w:rsidRPr="00705170">
        <w:rPr>
          <w:rFonts w:ascii="Times New Roman" w:hAnsi="Times New Roman" w:cs="Times New Roman"/>
        </w:rPr>
        <w:t xml:space="preserve"> </w:t>
      </w:r>
      <w:proofErr w:type="spellStart"/>
      <w:r w:rsidR="00687447" w:rsidRPr="00705170">
        <w:rPr>
          <w:rFonts w:ascii="Times New Roman" w:hAnsi="Times New Roman" w:cs="Times New Roman"/>
        </w:rPr>
        <w:t>involuntary</w:t>
      </w:r>
      <w:proofErr w:type="spellEnd"/>
      <w:r w:rsidR="00687447" w:rsidRPr="00705170">
        <w:rPr>
          <w:rFonts w:ascii="Times New Roman" w:hAnsi="Times New Roman" w:cs="Times New Roman"/>
        </w:rPr>
        <w:t xml:space="preserve"> </w:t>
      </w:r>
      <w:proofErr w:type="spellStart"/>
      <w:r w:rsidR="00687447" w:rsidRPr="00705170">
        <w:rPr>
          <w:rFonts w:ascii="Times New Roman" w:hAnsi="Times New Roman" w:cs="Times New Roman"/>
        </w:rPr>
        <w:t>dissolution</w:t>
      </w:r>
      <w:proofErr w:type="spellEnd"/>
      <w:r w:rsidR="00687447" w:rsidRPr="00705170">
        <w:rPr>
          <w:rFonts w:ascii="Times New Roman" w:hAnsi="Times New Roman" w:cs="Times New Roman"/>
        </w:rPr>
        <w:t xml:space="preserve"> </w:t>
      </w:r>
      <w:proofErr w:type="spellStart"/>
      <w:r w:rsidR="00687447" w:rsidRPr="00705170">
        <w:rPr>
          <w:rFonts w:ascii="Times New Roman" w:hAnsi="Times New Roman" w:cs="Times New Roman"/>
        </w:rPr>
        <w:t>action</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in 201</w:t>
      </w:r>
      <w:r w:rsidR="00754948" w:rsidRPr="00705170">
        <w:rPr>
          <w:rFonts w:ascii="Times New Roman" w:hAnsi="Times New Roman" w:cs="Times New Roman"/>
        </w:rPr>
        <w:t xml:space="preserve">2 </w:t>
      </w:r>
      <w:proofErr w:type="spellStart"/>
      <w:r w:rsidR="00754948" w:rsidRPr="00705170">
        <w:rPr>
          <w:rFonts w:ascii="Times New Roman" w:hAnsi="Times New Roman" w:cs="Times New Roman"/>
        </w:rPr>
        <w:t>with</w:t>
      </w:r>
      <w:proofErr w:type="spellEnd"/>
      <w:r w:rsidR="00754948" w:rsidRPr="00705170">
        <w:rPr>
          <w:rFonts w:ascii="Times New Roman" w:hAnsi="Times New Roman" w:cs="Times New Roman"/>
        </w:rPr>
        <w:t xml:space="preserve"> </w:t>
      </w:r>
      <w:proofErr w:type="spellStart"/>
      <w:r w:rsidR="00687447" w:rsidRPr="00705170">
        <w:rPr>
          <w:rFonts w:ascii="Times New Roman" w:hAnsi="Times New Roman" w:cs="Times New Roman"/>
        </w:rPr>
        <w:t>the</w:t>
      </w:r>
      <w:proofErr w:type="spellEnd"/>
      <w:r w:rsidR="00687447" w:rsidRPr="00705170">
        <w:rPr>
          <w:rFonts w:ascii="Times New Roman" w:hAnsi="Times New Roman" w:cs="Times New Roman"/>
        </w:rPr>
        <w:t xml:space="preserve"> </w:t>
      </w:r>
      <w:proofErr w:type="spellStart"/>
      <w:r w:rsidR="00687447" w:rsidRPr="00705170">
        <w:rPr>
          <w:rFonts w:ascii="Times New Roman" w:hAnsi="Times New Roman" w:cs="Times New Roman"/>
        </w:rPr>
        <w:t>enactment</w:t>
      </w:r>
      <w:proofErr w:type="spellEnd"/>
      <w:r w:rsidR="00687447" w:rsidRPr="00705170">
        <w:rPr>
          <w:rFonts w:ascii="Times New Roman" w:hAnsi="Times New Roman" w:cs="Times New Roman"/>
        </w:rPr>
        <w:t xml:space="preserve"> of </w:t>
      </w:r>
      <w:proofErr w:type="spellStart"/>
      <w:r w:rsidR="00687447" w:rsidRPr="00705170">
        <w:rPr>
          <w:rFonts w:ascii="Times New Roman" w:hAnsi="Times New Roman" w:cs="Times New Roman"/>
        </w:rPr>
        <w:t>the</w:t>
      </w:r>
      <w:proofErr w:type="spellEnd"/>
      <w:r w:rsidR="00687447" w:rsidRPr="00705170">
        <w:rPr>
          <w:rFonts w:ascii="Times New Roman" w:hAnsi="Times New Roman" w:cs="Times New Roman"/>
        </w:rPr>
        <w:t xml:space="preserve"> TCC</w:t>
      </w:r>
      <w:r w:rsidR="009975EA">
        <w:rPr>
          <w:rStyle w:val="DipnotBavurusu"/>
          <w:rFonts w:ascii="Times New Roman" w:hAnsi="Times New Roman" w:cs="Times New Roman"/>
        </w:rPr>
        <w:footnoteReference w:id="816"/>
      </w:r>
      <w:r w:rsidR="00687447" w:rsidRPr="00705170">
        <w:rPr>
          <w:rFonts w:ascii="Times New Roman" w:hAnsi="Times New Roman" w:cs="Times New Roman"/>
        </w:rPr>
        <w:t xml:space="preserve">, </w:t>
      </w:r>
      <w:proofErr w:type="spellStart"/>
      <w:r w:rsidR="00687447" w:rsidRPr="00705170">
        <w:rPr>
          <w:rFonts w:ascii="Times New Roman" w:hAnsi="Times New Roman" w:cs="Times New Roman"/>
        </w:rPr>
        <w:t>and</w:t>
      </w:r>
      <w:proofErr w:type="spellEnd"/>
      <w:r w:rsidR="00687447" w:rsidRPr="00705170">
        <w:rPr>
          <w:rFonts w:ascii="Times New Roman" w:hAnsi="Times New Roman" w:cs="Times New Roman"/>
        </w:rPr>
        <w:t xml:space="preserve"> </w:t>
      </w:r>
      <w:proofErr w:type="spellStart"/>
      <w:r w:rsidR="00687447" w:rsidRPr="00705170">
        <w:rPr>
          <w:rFonts w:ascii="Times New Roman" w:hAnsi="Times New Roman" w:cs="Times New Roman"/>
        </w:rPr>
        <w:t>this</w:t>
      </w:r>
      <w:proofErr w:type="spellEnd"/>
      <w:r w:rsidR="00687447" w:rsidRPr="00705170">
        <w:rPr>
          <w:rFonts w:ascii="Times New Roman" w:hAnsi="Times New Roman" w:cs="Times New Roman"/>
        </w:rPr>
        <w:t xml:space="preserve"> </w:t>
      </w:r>
      <w:proofErr w:type="spellStart"/>
      <w:r w:rsidR="00687447" w:rsidRPr="00705170">
        <w:rPr>
          <w:rFonts w:ascii="Times New Roman" w:hAnsi="Times New Roman" w:cs="Times New Roman"/>
        </w:rPr>
        <w:t>action</w:t>
      </w:r>
      <w:proofErr w:type="spellEnd"/>
      <w:r w:rsidR="00754948" w:rsidRPr="00705170">
        <w:rPr>
          <w:rFonts w:ascii="Times New Roman" w:hAnsi="Times New Roman" w:cs="Times New Roman"/>
        </w:rPr>
        <w:t xml:space="preserve"> </w:t>
      </w:r>
      <w:proofErr w:type="spellStart"/>
      <w:r w:rsidR="00754948" w:rsidRPr="00705170">
        <w:rPr>
          <w:rFonts w:ascii="Times New Roman" w:hAnsi="Times New Roman" w:cs="Times New Roman"/>
        </w:rPr>
        <w:t>represents</w:t>
      </w:r>
      <w:proofErr w:type="spellEnd"/>
      <w:r w:rsidR="00754948" w:rsidRPr="00705170">
        <w:rPr>
          <w:rFonts w:ascii="Times New Roman" w:hAnsi="Times New Roman" w:cs="Times New Roman"/>
        </w:rPr>
        <w:t xml:space="preserve"> </w:t>
      </w:r>
      <w:proofErr w:type="spellStart"/>
      <w:r w:rsidR="00754948" w:rsidRPr="00705170">
        <w:rPr>
          <w:rFonts w:ascii="Times New Roman" w:hAnsi="Times New Roman" w:cs="Times New Roman"/>
        </w:rPr>
        <w:t>one</w:t>
      </w:r>
      <w:proofErr w:type="spellEnd"/>
      <w:r w:rsidR="00754948" w:rsidRPr="00705170">
        <w:rPr>
          <w:rFonts w:ascii="Times New Roman" w:hAnsi="Times New Roman" w:cs="Times New Roman"/>
        </w:rPr>
        <w:t xml:space="preserve"> of </w:t>
      </w:r>
      <w:proofErr w:type="spellStart"/>
      <w:r w:rsidR="00754948" w:rsidRPr="00705170">
        <w:rPr>
          <w:rFonts w:ascii="Times New Roman" w:hAnsi="Times New Roman" w:cs="Times New Roman"/>
        </w:rPr>
        <w:t>the</w:t>
      </w:r>
      <w:proofErr w:type="spellEnd"/>
      <w:r w:rsidR="00754948" w:rsidRPr="00705170">
        <w:rPr>
          <w:rFonts w:ascii="Times New Roman" w:hAnsi="Times New Roman" w:cs="Times New Roman"/>
        </w:rPr>
        <w:t xml:space="preserve"> </w:t>
      </w:r>
      <w:proofErr w:type="spellStart"/>
      <w:r w:rsidR="00754948" w:rsidRPr="00705170">
        <w:rPr>
          <w:rFonts w:ascii="Times New Roman" w:hAnsi="Times New Roman" w:cs="Times New Roman"/>
        </w:rPr>
        <w:t>fundamental</w:t>
      </w:r>
      <w:proofErr w:type="spellEnd"/>
      <w:r w:rsidR="00754948" w:rsidRPr="00705170">
        <w:rPr>
          <w:rFonts w:ascii="Times New Roman" w:hAnsi="Times New Roman" w:cs="Times New Roman"/>
        </w:rPr>
        <w:t xml:space="preserve"> </w:t>
      </w:r>
      <w:proofErr w:type="spellStart"/>
      <w:r w:rsidR="00181B60" w:rsidRPr="00705170">
        <w:rPr>
          <w:rFonts w:ascii="Times New Roman" w:hAnsi="Times New Roman" w:cs="Times New Roman"/>
        </w:rPr>
        <w:t>innovations</w:t>
      </w:r>
      <w:proofErr w:type="spellEnd"/>
      <w:r w:rsidR="00181B60" w:rsidRPr="00705170">
        <w:rPr>
          <w:rFonts w:ascii="Times New Roman" w:hAnsi="Times New Roman" w:cs="Times New Roman"/>
        </w:rPr>
        <w:t xml:space="preserve"> </w:t>
      </w:r>
      <w:proofErr w:type="spellStart"/>
      <w:r w:rsidR="00181B60" w:rsidRPr="00705170">
        <w:rPr>
          <w:rFonts w:ascii="Times New Roman" w:hAnsi="Times New Roman" w:cs="Times New Roman"/>
        </w:rPr>
        <w:t>that</w:t>
      </w:r>
      <w:proofErr w:type="spellEnd"/>
      <w:r w:rsidR="00181B60" w:rsidRPr="00705170">
        <w:rPr>
          <w:rFonts w:ascii="Times New Roman" w:hAnsi="Times New Roman" w:cs="Times New Roman"/>
        </w:rPr>
        <w:t xml:space="preserve"> </w:t>
      </w:r>
      <w:proofErr w:type="spellStart"/>
      <w:r w:rsidR="00181B60" w:rsidRPr="00705170">
        <w:rPr>
          <w:rFonts w:ascii="Times New Roman" w:hAnsi="Times New Roman" w:cs="Times New Roman"/>
        </w:rPr>
        <w:t>the</w:t>
      </w:r>
      <w:proofErr w:type="spellEnd"/>
      <w:r w:rsidR="00181B60" w:rsidRPr="00705170">
        <w:rPr>
          <w:rFonts w:ascii="Times New Roman" w:hAnsi="Times New Roman" w:cs="Times New Roman"/>
        </w:rPr>
        <w:t xml:space="preserve"> </w:t>
      </w:r>
      <w:r w:rsidR="00687447" w:rsidRPr="00705170">
        <w:rPr>
          <w:rFonts w:ascii="Times New Roman" w:hAnsi="Times New Roman" w:cs="Times New Roman"/>
        </w:rPr>
        <w:t>TCC</w:t>
      </w:r>
      <w:r w:rsidR="00181B60" w:rsidRPr="00705170">
        <w:rPr>
          <w:rFonts w:ascii="Times New Roman" w:hAnsi="Times New Roman" w:cs="Times New Roman"/>
        </w:rPr>
        <w:t xml:space="preserve"> </w:t>
      </w:r>
      <w:r w:rsidR="00687447" w:rsidRPr="00705170">
        <w:rPr>
          <w:rFonts w:ascii="Times New Roman" w:hAnsi="Times New Roman" w:cs="Times New Roman"/>
        </w:rPr>
        <w:t xml:space="preserve">has </w:t>
      </w:r>
      <w:proofErr w:type="spellStart"/>
      <w:r w:rsidR="00687447" w:rsidRPr="00705170">
        <w:rPr>
          <w:rFonts w:ascii="Times New Roman" w:hAnsi="Times New Roman" w:cs="Times New Roman"/>
        </w:rPr>
        <w:t>when</w:t>
      </w:r>
      <w:proofErr w:type="spellEnd"/>
      <w:r w:rsidR="00687447" w:rsidRPr="00705170">
        <w:rPr>
          <w:rFonts w:ascii="Times New Roman" w:hAnsi="Times New Roman" w:cs="Times New Roman"/>
        </w:rPr>
        <w:t xml:space="preserve"> </w:t>
      </w:r>
      <w:proofErr w:type="spellStart"/>
      <w:r w:rsidR="00687447" w:rsidRPr="00705170">
        <w:rPr>
          <w:rFonts w:ascii="Times New Roman" w:hAnsi="Times New Roman" w:cs="Times New Roman"/>
        </w:rPr>
        <w:t>compared</w:t>
      </w:r>
      <w:proofErr w:type="spellEnd"/>
      <w:r w:rsidR="00687447" w:rsidRPr="00705170">
        <w:rPr>
          <w:rFonts w:ascii="Times New Roman" w:hAnsi="Times New Roman" w:cs="Times New Roman"/>
        </w:rPr>
        <w:t xml:space="preserve"> </w:t>
      </w:r>
      <w:proofErr w:type="spellStart"/>
      <w:r w:rsidR="00687447" w:rsidRPr="00705170">
        <w:rPr>
          <w:rFonts w:ascii="Times New Roman" w:hAnsi="Times New Roman" w:cs="Times New Roman"/>
        </w:rPr>
        <w:t>with</w:t>
      </w:r>
      <w:proofErr w:type="spellEnd"/>
      <w:r w:rsidR="00181B60" w:rsidRPr="00705170">
        <w:rPr>
          <w:rFonts w:ascii="Times New Roman" w:hAnsi="Times New Roman" w:cs="Times New Roman"/>
        </w:rPr>
        <w:t xml:space="preserve"> </w:t>
      </w:r>
      <w:proofErr w:type="spellStart"/>
      <w:r w:rsidR="00181B60" w:rsidRPr="00705170">
        <w:rPr>
          <w:rFonts w:ascii="Times New Roman" w:hAnsi="Times New Roman" w:cs="Times New Roman"/>
        </w:rPr>
        <w:t>the</w:t>
      </w:r>
      <w:proofErr w:type="spellEnd"/>
      <w:r w:rsidR="00181B60" w:rsidRPr="00705170">
        <w:rPr>
          <w:rFonts w:ascii="Times New Roman" w:hAnsi="Times New Roman" w:cs="Times New Roman"/>
        </w:rPr>
        <w:t xml:space="preserve"> </w:t>
      </w:r>
      <w:proofErr w:type="spellStart"/>
      <w:r w:rsidR="00181B60" w:rsidRPr="00705170">
        <w:rPr>
          <w:rFonts w:ascii="Times New Roman" w:hAnsi="Times New Roman" w:cs="Times New Roman"/>
        </w:rPr>
        <w:t>prior</w:t>
      </w:r>
      <w:proofErr w:type="spellEnd"/>
      <w:r w:rsidR="00181B60" w:rsidRPr="00705170">
        <w:rPr>
          <w:rFonts w:ascii="Times New Roman" w:hAnsi="Times New Roman" w:cs="Times New Roman"/>
        </w:rPr>
        <w:t xml:space="preserve"> </w:t>
      </w:r>
      <w:proofErr w:type="spellStart"/>
      <w:r w:rsidR="00181B60" w:rsidRPr="00705170">
        <w:rPr>
          <w:rFonts w:ascii="Times New Roman" w:hAnsi="Times New Roman" w:cs="Times New Roman"/>
        </w:rPr>
        <w:t>statute</w:t>
      </w:r>
      <w:proofErr w:type="spellEnd"/>
      <w:r w:rsidR="00181B60" w:rsidRPr="00705170">
        <w:rPr>
          <w:rStyle w:val="DipnotBavurusu"/>
          <w:rFonts w:ascii="Times New Roman" w:hAnsi="Times New Roman" w:cs="Times New Roman"/>
        </w:rPr>
        <w:footnoteReference w:id="817"/>
      </w:r>
      <w:r w:rsidR="00181B60"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Prior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TCC,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provided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rejected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grant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relief</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absence</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authorization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Swiss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took</w:t>
      </w:r>
      <w:proofErr w:type="spellEnd"/>
      <w:r w:rsidRPr="00705170">
        <w:rPr>
          <w:rFonts w:ascii="Times New Roman" w:hAnsi="Times New Roman" w:cs="Times New Roman"/>
        </w:rPr>
        <w:t xml:space="preserve"> as</w:t>
      </w:r>
      <w:r w:rsidR="00687447" w:rsidRPr="00705170">
        <w:rPr>
          <w:rFonts w:ascii="Times New Roman" w:hAnsi="Times New Roman" w:cs="Times New Roman"/>
        </w:rPr>
        <w:t xml:space="preserve"> a model had </w:t>
      </w:r>
      <w:proofErr w:type="spellStart"/>
      <w:r w:rsidR="00687447" w:rsidRPr="00705170">
        <w:rPr>
          <w:rFonts w:ascii="Times New Roman" w:hAnsi="Times New Roman" w:cs="Times New Roman"/>
        </w:rPr>
        <w:t>included</w:t>
      </w:r>
      <w:proofErr w:type="spellEnd"/>
      <w:r w:rsidR="00687447" w:rsidRPr="00705170">
        <w:rPr>
          <w:rFonts w:ascii="Times New Roman" w:hAnsi="Times New Roman" w:cs="Times New Roman"/>
        </w:rPr>
        <w:t xml:space="preserve"> </w:t>
      </w:r>
      <w:proofErr w:type="spellStart"/>
      <w:r w:rsidR="00687447" w:rsidRPr="00705170">
        <w:rPr>
          <w:rFonts w:ascii="Times New Roman" w:hAnsi="Times New Roman" w:cs="Times New Roman"/>
        </w:rPr>
        <w:t>that</w:t>
      </w:r>
      <w:proofErr w:type="spellEnd"/>
      <w:r w:rsidR="00687447" w:rsidRPr="00705170">
        <w:rPr>
          <w:rFonts w:ascii="Times New Roman" w:hAnsi="Times New Roman" w:cs="Times New Roman"/>
        </w:rPr>
        <w:t xml:space="preserve"> </w:t>
      </w:r>
      <w:proofErr w:type="spellStart"/>
      <w:r w:rsidRPr="00705170">
        <w:rPr>
          <w:rFonts w:ascii="Times New Roman" w:hAnsi="Times New Roman" w:cs="Times New Roman"/>
        </w:rPr>
        <w:t>a</w:t>
      </w:r>
      <w:r w:rsidR="00687447" w:rsidRPr="00705170">
        <w:rPr>
          <w:rFonts w:ascii="Times New Roman" w:hAnsi="Times New Roman" w:cs="Times New Roman"/>
        </w:rPr>
        <w:t>ction</w:t>
      </w:r>
      <w:proofErr w:type="spellEnd"/>
      <w:r w:rsidRPr="00705170">
        <w:rPr>
          <w:rStyle w:val="DipnotBavurusu"/>
          <w:rFonts w:ascii="Times New Roman" w:hAnsi="Times New Roman" w:cs="Times New Roman"/>
        </w:rPr>
        <w:footnoteReference w:id="818"/>
      </w:r>
      <w:r w:rsidRPr="00705170">
        <w:rPr>
          <w:rFonts w:ascii="Times New Roman" w:hAnsi="Times New Roman" w:cs="Times New Roman"/>
        </w:rPr>
        <w:t>.</w:t>
      </w:r>
      <w:r w:rsidR="00D93AF8" w:rsidRPr="00705170">
        <w:rPr>
          <w:rFonts w:ascii="Times New Roman" w:hAnsi="Times New Roman" w:cs="Times New Roman"/>
        </w:rPr>
        <w:t xml:space="preserve"> </w:t>
      </w:r>
      <w:proofErr w:type="spellStart"/>
      <w:r w:rsidR="00BC0FDC" w:rsidRPr="00705170">
        <w:rPr>
          <w:rFonts w:ascii="Times New Roman" w:hAnsi="Times New Roman" w:cs="Times New Roman"/>
        </w:rPr>
        <w:lastRenderedPageBreak/>
        <w:t>However</w:t>
      </w:r>
      <w:proofErr w:type="spellEnd"/>
      <w:r w:rsidR="00BC0FDC" w:rsidRPr="00705170">
        <w:rPr>
          <w:rFonts w:ascii="Times New Roman" w:hAnsi="Times New Roman" w:cs="Times New Roman"/>
        </w:rPr>
        <w:t xml:space="preserve">, </w:t>
      </w:r>
      <w:proofErr w:type="spellStart"/>
      <w:r w:rsidR="00BC0FDC" w:rsidRPr="00705170">
        <w:rPr>
          <w:rFonts w:ascii="Times New Roman" w:hAnsi="Times New Roman" w:cs="Times New Roman"/>
        </w:rPr>
        <w:t>today</w:t>
      </w:r>
      <w:proofErr w:type="spellEnd"/>
      <w:r w:rsidR="00BC0FDC" w:rsidRPr="00705170">
        <w:rPr>
          <w:rFonts w:ascii="Times New Roman" w:hAnsi="Times New Roman" w:cs="Times New Roman"/>
        </w:rPr>
        <w:t xml:space="preserve">, </w:t>
      </w:r>
      <w:proofErr w:type="spellStart"/>
      <w:r w:rsidR="00BC0FDC" w:rsidRPr="00705170">
        <w:rPr>
          <w:rFonts w:ascii="Times New Roman" w:hAnsi="Times New Roman" w:cs="Times New Roman"/>
        </w:rPr>
        <w:t>the</w:t>
      </w:r>
      <w:proofErr w:type="spellEnd"/>
      <w:r w:rsidR="00BC0FDC" w:rsidRPr="00705170">
        <w:rPr>
          <w:rFonts w:ascii="Times New Roman" w:hAnsi="Times New Roman" w:cs="Times New Roman"/>
        </w:rPr>
        <w:t xml:space="preserve"> </w:t>
      </w:r>
      <w:proofErr w:type="spellStart"/>
      <w:r w:rsidR="00BC0FDC" w:rsidRPr="00705170">
        <w:rPr>
          <w:rFonts w:ascii="Times New Roman" w:hAnsi="Times New Roman" w:cs="Times New Roman"/>
        </w:rPr>
        <w:t>involuntary</w:t>
      </w:r>
      <w:proofErr w:type="spellEnd"/>
      <w:r w:rsidR="00BC0FDC" w:rsidRPr="00705170">
        <w:rPr>
          <w:rFonts w:ascii="Times New Roman" w:hAnsi="Times New Roman" w:cs="Times New Roman"/>
        </w:rPr>
        <w:t xml:space="preserve"> </w:t>
      </w:r>
      <w:proofErr w:type="spellStart"/>
      <w:r w:rsidR="00BC0FDC" w:rsidRPr="00705170">
        <w:rPr>
          <w:rFonts w:ascii="Times New Roman" w:hAnsi="Times New Roman" w:cs="Times New Roman"/>
        </w:rPr>
        <w:t>dissolution</w:t>
      </w:r>
      <w:proofErr w:type="spellEnd"/>
      <w:r w:rsidR="00BC0FDC" w:rsidRPr="00705170">
        <w:rPr>
          <w:rFonts w:ascii="Times New Roman" w:hAnsi="Times New Roman" w:cs="Times New Roman"/>
        </w:rPr>
        <w:t xml:space="preserve"> </w:t>
      </w:r>
      <w:proofErr w:type="spellStart"/>
      <w:r w:rsidR="00BC0FDC" w:rsidRPr="00705170">
        <w:rPr>
          <w:rFonts w:ascii="Times New Roman" w:hAnsi="Times New Roman" w:cs="Times New Roman"/>
        </w:rPr>
        <w:t>action</w:t>
      </w:r>
      <w:proofErr w:type="spellEnd"/>
      <w:r w:rsidR="00BC0FDC" w:rsidRPr="00705170">
        <w:rPr>
          <w:rFonts w:ascii="Times New Roman" w:hAnsi="Times New Roman" w:cs="Times New Roman"/>
        </w:rPr>
        <w:t xml:space="preserve"> is </w:t>
      </w:r>
      <w:proofErr w:type="spellStart"/>
      <w:r w:rsidR="00BC0FDC" w:rsidRPr="00705170">
        <w:rPr>
          <w:rFonts w:ascii="Times New Roman" w:hAnsi="Times New Roman" w:cs="Times New Roman"/>
        </w:rPr>
        <w:t>available</w:t>
      </w:r>
      <w:proofErr w:type="spellEnd"/>
      <w:r w:rsidR="00BC0FDC" w:rsidRPr="00705170">
        <w:rPr>
          <w:rFonts w:ascii="Times New Roman" w:hAnsi="Times New Roman" w:cs="Times New Roman"/>
        </w:rPr>
        <w:t xml:space="preserve"> </w:t>
      </w:r>
      <w:proofErr w:type="spellStart"/>
      <w:r w:rsidR="00BC0FDC" w:rsidRPr="00705170">
        <w:rPr>
          <w:rFonts w:ascii="Times New Roman" w:hAnsi="Times New Roman" w:cs="Times New Roman"/>
        </w:rPr>
        <w:t>for</w:t>
      </w:r>
      <w:proofErr w:type="spellEnd"/>
      <w:r w:rsidR="00BC0FDC" w:rsidRPr="00705170">
        <w:rPr>
          <w:rFonts w:ascii="Times New Roman" w:hAnsi="Times New Roman" w:cs="Times New Roman"/>
        </w:rPr>
        <w:t xml:space="preserve"> </w:t>
      </w:r>
      <w:proofErr w:type="spellStart"/>
      <w:r w:rsidR="00BC0FDC" w:rsidRPr="00705170">
        <w:rPr>
          <w:rFonts w:ascii="Times New Roman" w:hAnsi="Times New Roman" w:cs="Times New Roman"/>
        </w:rPr>
        <w:t>shareholders</w:t>
      </w:r>
      <w:proofErr w:type="spellEnd"/>
      <w:r w:rsidR="00BC0FDC" w:rsidRPr="00705170">
        <w:rPr>
          <w:rFonts w:ascii="Times New Roman" w:hAnsi="Times New Roman" w:cs="Times New Roman"/>
        </w:rPr>
        <w:t xml:space="preserve"> of </w:t>
      </w:r>
      <w:proofErr w:type="spellStart"/>
      <w:r w:rsidR="00BC0FDC" w:rsidRPr="00705170">
        <w:rPr>
          <w:rFonts w:ascii="Times New Roman" w:hAnsi="Times New Roman" w:cs="Times New Roman"/>
        </w:rPr>
        <w:t>all</w:t>
      </w:r>
      <w:proofErr w:type="spellEnd"/>
      <w:r w:rsidR="00BC0FDC" w:rsidRPr="00705170">
        <w:rPr>
          <w:rFonts w:ascii="Times New Roman" w:hAnsi="Times New Roman" w:cs="Times New Roman"/>
        </w:rPr>
        <w:t xml:space="preserve"> </w:t>
      </w:r>
      <w:proofErr w:type="spellStart"/>
      <w:r w:rsidR="00BC0FDC" w:rsidRPr="00705170">
        <w:rPr>
          <w:rFonts w:ascii="Times New Roman" w:hAnsi="Times New Roman" w:cs="Times New Roman"/>
        </w:rPr>
        <w:t>corporations</w:t>
      </w:r>
      <w:proofErr w:type="spellEnd"/>
      <w:r w:rsidR="00BC0FDC" w:rsidRPr="00705170">
        <w:rPr>
          <w:rFonts w:ascii="Times New Roman" w:hAnsi="Times New Roman" w:cs="Times New Roman"/>
        </w:rPr>
        <w:t xml:space="preserve"> </w:t>
      </w:r>
      <w:proofErr w:type="spellStart"/>
      <w:r w:rsidR="00BC0FDC" w:rsidRPr="00705170">
        <w:rPr>
          <w:rFonts w:ascii="Times New Roman" w:hAnsi="Times New Roman" w:cs="Times New Roman"/>
        </w:rPr>
        <w:t>including</w:t>
      </w:r>
      <w:proofErr w:type="spellEnd"/>
      <w:r w:rsidR="00BC0FDC" w:rsidRPr="00705170">
        <w:rPr>
          <w:rFonts w:ascii="Times New Roman" w:hAnsi="Times New Roman" w:cs="Times New Roman"/>
        </w:rPr>
        <w:t xml:space="preserve"> </w:t>
      </w:r>
      <w:proofErr w:type="spellStart"/>
      <w:r w:rsidR="00BC0FDC" w:rsidRPr="00705170">
        <w:rPr>
          <w:rFonts w:ascii="Times New Roman" w:hAnsi="Times New Roman" w:cs="Times New Roman"/>
        </w:rPr>
        <w:t>publicly</w:t>
      </w:r>
      <w:proofErr w:type="spellEnd"/>
      <w:r w:rsidR="00BC0FDC" w:rsidRPr="00705170">
        <w:rPr>
          <w:rFonts w:ascii="Times New Roman" w:hAnsi="Times New Roman" w:cs="Times New Roman"/>
        </w:rPr>
        <w:t xml:space="preserve"> </w:t>
      </w:r>
      <w:proofErr w:type="spellStart"/>
      <w:r w:rsidR="00BC0FDC" w:rsidRPr="00705170">
        <w:rPr>
          <w:rFonts w:ascii="Times New Roman" w:hAnsi="Times New Roman" w:cs="Times New Roman"/>
        </w:rPr>
        <w:t>traded</w:t>
      </w:r>
      <w:proofErr w:type="spellEnd"/>
      <w:r w:rsidR="00BC0FDC" w:rsidRPr="00705170">
        <w:rPr>
          <w:rFonts w:ascii="Times New Roman" w:hAnsi="Times New Roman" w:cs="Times New Roman"/>
        </w:rPr>
        <w:t xml:space="preserve"> </w:t>
      </w:r>
      <w:proofErr w:type="spellStart"/>
      <w:r w:rsidR="00BC0FDC" w:rsidRPr="00705170">
        <w:rPr>
          <w:rFonts w:ascii="Times New Roman" w:hAnsi="Times New Roman" w:cs="Times New Roman"/>
        </w:rPr>
        <w:t>ones</w:t>
      </w:r>
      <w:proofErr w:type="spellEnd"/>
      <w:r w:rsidR="00687447" w:rsidRPr="00705170">
        <w:rPr>
          <w:rFonts w:ascii="Times New Roman" w:hAnsi="Times New Roman" w:cs="Times New Roman"/>
        </w:rPr>
        <w:t xml:space="preserve"> in </w:t>
      </w:r>
      <w:proofErr w:type="spellStart"/>
      <w:r w:rsidR="00687447" w:rsidRPr="00705170">
        <w:rPr>
          <w:rFonts w:ascii="Times New Roman" w:hAnsi="Times New Roman" w:cs="Times New Roman"/>
        </w:rPr>
        <w:t>Turkey</w:t>
      </w:r>
      <w:proofErr w:type="spellEnd"/>
      <w:r w:rsidR="00BC0FDC" w:rsidRPr="00705170">
        <w:rPr>
          <w:rStyle w:val="DipnotBavurusu"/>
          <w:rFonts w:ascii="Times New Roman" w:hAnsi="Times New Roman" w:cs="Times New Roman"/>
        </w:rPr>
        <w:footnoteReference w:id="819"/>
      </w:r>
      <w:r w:rsidR="00BC0FDC" w:rsidRPr="00705170">
        <w:rPr>
          <w:rFonts w:ascii="Times New Roman" w:hAnsi="Times New Roman" w:cs="Times New Roman"/>
        </w:rPr>
        <w:t>.</w:t>
      </w:r>
      <w:r w:rsidR="0043495D" w:rsidRPr="00705170">
        <w:rPr>
          <w:rFonts w:ascii="Times New Roman" w:hAnsi="Times New Roman" w:cs="Times New Roman"/>
        </w:rPr>
        <w:t xml:space="preserve"> </w:t>
      </w:r>
    </w:p>
    <w:p w14:paraId="75659FD2" w14:textId="2752F56E" w:rsidR="00AA7C33" w:rsidRPr="00705170" w:rsidRDefault="00687447" w:rsidP="00687447">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today’s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policy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grant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has a </w:t>
      </w:r>
      <w:proofErr w:type="spellStart"/>
      <w:r w:rsidRPr="00705170">
        <w:rPr>
          <w:rFonts w:ascii="Times New Roman" w:hAnsi="Times New Roman" w:cs="Times New Roman"/>
        </w:rPr>
        <w:t>simple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explanation</w:t>
      </w:r>
      <w:proofErr w:type="spellEnd"/>
      <w:r w:rsidRPr="00705170">
        <w:rPr>
          <w:rFonts w:ascii="Times New Roman" w:hAnsi="Times New Roman" w:cs="Times New Roman"/>
        </w:rPr>
        <w:t xml:space="preserve">. </w:t>
      </w:r>
      <w:proofErr w:type="spellStart"/>
      <w:r w:rsidR="0043495D" w:rsidRPr="00705170">
        <w:rPr>
          <w:rFonts w:ascii="Times New Roman" w:hAnsi="Times New Roman" w:cs="Times New Roman"/>
        </w:rPr>
        <w:t>It</w:t>
      </w:r>
      <w:proofErr w:type="spellEnd"/>
      <w:r w:rsidR="0043495D" w:rsidRPr="00705170">
        <w:rPr>
          <w:rFonts w:ascii="Times New Roman" w:hAnsi="Times New Roman" w:cs="Times New Roman"/>
        </w:rPr>
        <w:t xml:space="preserve"> is </w:t>
      </w:r>
      <w:proofErr w:type="spellStart"/>
      <w:r w:rsidR="0043495D" w:rsidRPr="00705170">
        <w:rPr>
          <w:rFonts w:ascii="Times New Roman" w:hAnsi="Times New Roman" w:cs="Times New Roman"/>
        </w:rPr>
        <w:t>believed</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that</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the</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threat</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which</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the</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judicial</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dissolution</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provision</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cr</w:t>
      </w:r>
      <w:r w:rsidR="001A506F" w:rsidRPr="00705170">
        <w:rPr>
          <w:rFonts w:ascii="Times New Roman" w:hAnsi="Times New Roman" w:cs="Times New Roman"/>
        </w:rPr>
        <w:t>eates</w:t>
      </w:r>
      <w:proofErr w:type="spellEnd"/>
      <w:r w:rsidR="001A506F" w:rsidRPr="00705170">
        <w:rPr>
          <w:rFonts w:ascii="Times New Roman" w:hAnsi="Times New Roman" w:cs="Times New Roman"/>
        </w:rPr>
        <w:t xml:space="preserve"> can </w:t>
      </w:r>
      <w:proofErr w:type="spellStart"/>
      <w:r w:rsidR="001A506F" w:rsidRPr="00705170">
        <w:rPr>
          <w:rFonts w:ascii="Times New Roman" w:hAnsi="Times New Roman" w:cs="Times New Roman"/>
        </w:rPr>
        <w:t>successfully</w:t>
      </w:r>
      <w:proofErr w:type="spellEnd"/>
      <w:r w:rsidR="001A506F" w:rsidRPr="00705170">
        <w:rPr>
          <w:rFonts w:ascii="Times New Roman" w:hAnsi="Times New Roman" w:cs="Times New Roman"/>
        </w:rPr>
        <w:t xml:space="preserve"> </w:t>
      </w:r>
      <w:proofErr w:type="spellStart"/>
      <w:r w:rsidR="001A506F" w:rsidRPr="00705170">
        <w:rPr>
          <w:rFonts w:ascii="Times New Roman" w:hAnsi="Times New Roman" w:cs="Times New Roman"/>
        </w:rPr>
        <w:t>prevent</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shareholders</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selfish</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or</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unjust</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usage</w:t>
      </w:r>
      <w:proofErr w:type="spellEnd"/>
      <w:r w:rsidR="0043495D" w:rsidRPr="00705170">
        <w:rPr>
          <w:rFonts w:ascii="Times New Roman" w:hAnsi="Times New Roman" w:cs="Times New Roman"/>
        </w:rPr>
        <w:t xml:space="preserve"> of </w:t>
      </w:r>
      <w:proofErr w:type="spellStart"/>
      <w:r w:rsidR="0043495D" w:rsidRPr="00705170">
        <w:rPr>
          <w:rFonts w:ascii="Times New Roman" w:hAnsi="Times New Roman" w:cs="Times New Roman"/>
        </w:rPr>
        <w:t>corporate</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resources</w:t>
      </w:r>
      <w:proofErr w:type="spellEnd"/>
      <w:r w:rsidR="0043495D" w:rsidRPr="00705170">
        <w:rPr>
          <w:rStyle w:val="DipnotBavurusu"/>
          <w:rFonts w:ascii="Times New Roman" w:hAnsi="Times New Roman" w:cs="Times New Roman"/>
        </w:rPr>
        <w:footnoteReference w:id="820"/>
      </w:r>
      <w:r w:rsidR="000150D7" w:rsidRPr="00705170">
        <w:rPr>
          <w:rFonts w:ascii="Times New Roman" w:hAnsi="Times New Roman" w:cs="Times New Roman"/>
        </w:rPr>
        <w:t xml:space="preserve">, </w:t>
      </w:r>
      <w:proofErr w:type="spellStart"/>
      <w:r w:rsidR="000150D7" w:rsidRPr="00705170">
        <w:rPr>
          <w:rFonts w:ascii="Times New Roman" w:hAnsi="Times New Roman" w:cs="Times New Roman"/>
        </w:rPr>
        <w:t>and</w:t>
      </w:r>
      <w:proofErr w:type="spellEnd"/>
      <w:r w:rsidR="000150D7" w:rsidRPr="00705170">
        <w:rPr>
          <w:rFonts w:ascii="Times New Roman" w:hAnsi="Times New Roman" w:cs="Times New Roman"/>
        </w:rPr>
        <w:t xml:space="preserve"> </w:t>
      </w:r>
      <w:proofErr w:type="spellStart"/>
      <w:r w:rsidR="000150D7" w:rsidRPr="00705170">
        <w:rPr>
          <w:rFonts w:ascii="Times New Roman" w:hAnsi="Times New Roman" w:cs="Times New Roman"/>
        </w:rPr>
        <w:t>save</w:t>
      </w:r>
      <w:proofErr w:type="spellEnd"/>
      <w:r w:rsidR="008F0CB4">
        <w:rPr>
          <w:rFonts w:ascii="Times New Roman" w:hAnsi="Times New Roman" w:cs="Times New Roman"/>
        </w:rPr>
        <w:t xml:space="preserve"> </w:t>
      </w:r>
      <w:proofErr w:type="spellStart"/>
      <w:r w:rsidR="000150D7" w:rsidRPr="00705170">
        <w:rPr>
          <w:rFonts w:ascii="Times New Roman" w:hAnsi="Times New Roman" w:cs="Times New Roman"/>
        </w:rPr>
        <w:t>minority</w:t>
      </w:r>
      <w:proofErr w:type="spellEnd"/>
      <w:r w:rsidR="000150D7" w:rsidRPr="00705170">
        <w:rPr>
          <w:rFonts w:ascii="Times New Roman" w:hAnsi="Times New Roman" w:cs="Times New Roman"/>
        </w:rPr>
        <w:t xml:space="preserve"> </w:t>
      </w:r>
      <w:proofErr w:type="spellStart"/>
      <w:r w:rsidR="000150D7" w:rsidRPr="00705170">
        <w:rPr>
          <w:rFonts w:ascii="Times New Roman" w:hAnsi="Times New Roman" w:cs="Times New Roman"/>
        </w:rPr>
        <w:t>against</w:t>
      </w:r>
      <w:proofErr w:type="spellEnd"/>
      <w:r w:rsidR="000150D7" w:rsidRPr="00705170">
        <w:rPr>
          <w:rFonts w:ascii="Times New Roman" w:hAnsi="Times New Roman" w:cs="Times New Roman"/>
        </w:rPr>
        <w:t xml:space="preserve"> </w:t>
      </w:r>
      <w:proofErr w:type="spellStart"/>
      <w:r w:rsidR="000150D7" w:rsidRPr="00705170">
        <w:rPr>
          <w:rFonts w:ascii="Times New Roman" w:hAnsi="Times New Roman" w:cs="Times New Roman"/>
        </w:rPr>
        <w:t>the</w:t>
      </w:r>
      <w:proofErr w:type="spellEnd"/>
      <w:r w:rsidR="000150D7" w:rsidRPr="00705170">
        <w:rPr>
          <w:rFonts w:ascii="Times New Roman" w:hAnsi="Times New Roman" w:cs="Times New Roman"/>
        </w:rPr>
        <w:t xml:space="preserve"> </w:t>
      </w:r>
      <w:proofErr w:type="spellStart"/>
      <w:r w:rsidR="000150D7" w:rsidRPr="00705170">
        <w:rPr>
          <w:rFonts w:ascii="Times New Roman" w:hAnsi="Times New Roman" w:cs="Times New Roman"/>
        </w:rPr>
        <w:t>frustrations</w:t>
      </w:r>
      <w:proofErr w:type="spellEnd"/>
      <w:r w:rsidR="000150D7" w:rsidRPr="00705170">
        <w:rPr>
          <w:rFonts w:ascii="Times New Roman" w:hAnsi="Times New Roman" w:cs="Times New Roman"/>
        </w:rPr>
        <w:t xml:space="preserve"> </w:t>
      </w:r>
      <w:proofErr w:type="spellStart"/>
      <w:r w:rsidR="000150D7" w:rsidRPr="00705170">
        <w:rPr>
          <w:rFonts w:ascii="Times New Roman" w:hAnsi="Times New Roman" w:cs="Times New Roman"/>
        </w:rPr>
        <w:t>caused</w:t>
      </w:r>
      <w:proofErr w:type="spellEnd"/>
      <w:r w:rsidR="000150D7"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w:t>
      </w:r>
      <w:proofErr w:type="spellStart"/>
      <w:r w:rsidR="000150D7" w:rsidRPr="00705170">
        <w:rPr>
          <w:rFonts w:ascii="Times New Roman" w:hAnsi="Times New Roman" w:cs="Times New Roman"/>
        </w:rPr>
        <w:t>through</w:t>
      </w:r>
      <w:proofErr w:type="spellEnd"/>
      <w:r w:rsidR="000150D7" w:rsidRPr="00705170">
        <w:rPr>
          <w:rFonts w:ascii="Times New Roman" w:hAnsi="Times New Roman" w:cs="Times New Roman"/>
        </w:rPr>
        <w:t xml:space="preserve"> </w:t>
      </w:r>
      <w:proofErr w:type="spellStart"/>
      <w:r w:rsidR="000150D7" w:rsidRPr="00705170">
        <w:rPr>
          <w:rFonts w:ascii="Times New Roman" w:hAnsi="Times New Roman" w:cs="Times New Roman"/>
        </w:rPr>
        <w:t>the</w:t>
      </w:r>
      <w:proofErr w:type="spellEnd"/>
      <w:r w:rsidR="000150D7" w:rsidRPr="00705170">
        <w:rPr>
          <w:rFonts w:ascii="Times New Roman" w:hAnsi="Times New Roman" w:cs="Times New Roman"/>
        </w:rPr>
        <w:t xml:space="preserve"> </w:t>
      </w:r>
      <w:proofErr w:type="spellStart"/>
      <w:r w:rsidR="000150D7" w:rsidRPr="00705170">
        <w:rPr>
          <w:rFonts w:ascii="Times New Roman" w:hAnsi="Times New Roman" w:cs="Times New Roman"/>
        </w:rPr>
        <w:t>corporate</w:t>
      </w:r>
      <w:proofErr w:type="spellEnd"/>
      <w:r w:rsidR="000150D7" w:rsidRPr="00705170">
        <w:rPr>
          <w:rFonts w:ascii="Times New Roman" w:hAnsi="Times New Roman" w:cs="Times New Roman"/>
        </w:rPr>
        <w:t xml:space="preserve"> </w:t>
      </w:r>
      <w:proofErr w:type="spellStart"/>
      <w:r w:rsidR="000150D7" w:rsidRPr="00705170">
        <w:rPr>
          <w:rFonts w:ascii="Times New Roman" w:hAnsi="Times New Roman" w:cs="Times New Roman"/>
        </w:rPr>
        <w:t>governance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structure</w:t>
      </w:r>
      <w:proofErr w:type="spellEnd"/>
      <w:r w:rsidR="000150D7" w:rsidRPr="00705170">
        <w:rPr>
          <w:rStyle w:val="DipnotBavurusu"/>
          <w:rFonts w:ascii="Times New Roman" w:hAnsi="Times New Roman" w:cs="Times New Roman"/>
        </w:rPr>
        <w:footnoteReference w:id="821"/>
      </w:r>
      <w:r w:rsidR="000150D7" w:rsidRPr="00705170">
        <w:rPr>
          <w:rFonts w:ascii="Times New Roman" w:hAnsi="Times New Roman" w:cs="Times New Roman"/>
        </w:rPr>
        <w:t>.</w:t>
      </w:r>
      <w:r w:rsidR="0043495D" w:rsidRPr="00705170">
        <w:rPr>
          <w:rFonts w:ascii="Times New Roman" w:hAnsi="Times New Roman" w:cs="Times New Roman"/>
        </w:rPr>
        <w:t xml:space="preserve"> </w:t>
      </w:r>
      <w:proofErr w:type="spellStart"/>
      <w:r w:rsidR="002256FA" w:rsidRPr="00705170">
        <w:rPr>
          <w:rFonts w:ascii="Times New Roman" w:hAnsi="Times New Roman" w:cs="Times New Roman"/>
        </w:rPr>
        <w:t>The</w:t>
      </w:r>
      <w:proofErr w:type="spellEnd"/>
      <w:r w:rsidR="002256FA" w:rsidRPr="00705170">
        <w:rPr>
          <w:rFonts w:ascii="Times New Roman" w:hAnsi="Times New Roman" w:cs="Times New Roman"/>
        </w:rPr>
        <w:t xml:space="preserve"> </w:t>
      </w:r>
      <w:proofErr w:type="spellStart"/>
      <w:r w:rsidR="002256FA" w:rsidRPr="00705170">
        <w:rPr>
          <w:rFonts w:ascii="Times New Roman" w:hAnsi="Times New Roman" w:cs="Times New Roman"/>
        </w:rPr>
        <w:t>involuntary</w:t>
      </w:r>
      <w:proofErr w:type="spellEnd"/>
      <w:r w:rsidR="002256FA" w:rsidRPr="00705170">
        <w:rPr>
          <w:rFonts w:ascii="Times New Roman" w:hAnsi="Times New Roman" w:cs="Times New Roman"/>
        </w:rPr>
        <w:t xml:space="preserve"> </w:t>
      </w:r>
      <w:proofErr w:type="spellStart"/>
      <w:r w:rsidR="002256FA" w:rsidRPr="00705170">
        <w:rPr>
          <w:rFonts w:ascii="Times New Roman" w:hAnsi="Times New Roman" w:cs="Times New Roman"/>
        </w:rPr>
        <w:t>dissolution</w:t>
      </w:r>
      <w:proofErr w:type="spellEnd"/>
      <w:r w:rsidR="002256FA" w:rsidRPr="00705170">
        <w:rPr>
          <w:rFonts w:ascii="Times New Roman" w:hAnsi="Times New Roman" w:cs="Times New Roman"/>
        </w:rPr>
        <w:t xml:space="preserve"> </w:t>
      </w:r>
      <w:proofErr w:type="spellStart"/>
      <w:r w:rsidR="002256FA" w:rsidRPr="00705170">
        <w:rPr>
          <w:rFonts w:ascii="Times New Roman" w:hAnsi="Times New Roman" w:cs="Times New Roman"/>
        </w:rPr>
        <w:t>right</w:t>
      </w:r>
      <w:proofErr w:type="spellEnd"/>
      <w:r w:rsidR="002256FA" w:rsidRPr="00705170">
        <w:rPr>
          <w:rFonts w:ascii="Times New Roman" w:hAnsi="Times New Roman" w:cs="Times New Roman"/>
        </w:rPr>
        <w:t xml:space="preserve"> </w:t>
      </w:r>
      <w:proofErr w:type="spellStart"/>
      <w:r w:rsidR="002256FA" w:rsidRPr="00705170">
        <w:rPr>
          <w:rFonts w:ascii="Times New Roman" w:hAnsi="Times New Roman" w:cs="Times New Roman"/>
        </w:rPr>
        <w:t>also</w:t>
      </w:r>
      <w:proofErr w:type="spellEnd"/>
      <w:r w:rsidR="002256FA" w:rsidRPr="00705170">
        <w:rPr>
          <w:rFonts w:ascii="Times New Roman" w:hAnsi="Times New Roman" w:cs="Times New Roman"/>
        </w:rPr>
        <w:t xml:space="preserve"> </w:t>
      </w:r>
      <w:proofErr w:type="spellStart"/>
      <w:r w:rsidR="002256FA" w:rsidRPr="00705170">
        <w:rPr>
          <w:rFonts w:ascii="Times New Roman" w:hAnsi="Times New Roman" w:cs="Times New Roman"/>
        </w:rPr>
        <w:t>functions</w:t>
      </w:r>
      <w:proofErr w:type="spellEnd"/>
      <w:r w:rsidR="002256FA" w:rsidRPr="00705170">
        <w:rPr>
          <w:rFonts w:ascii="Times New Roman" w:hAnsi="Times New Roman" w:cs="Times New Roman"/>
        </w:rPr>
        <w:t xml:space="preserve"> as a </w:t>
      </w:r>
      <w:proofErr w:type="spellStart"/>
      <w:r w:rsidR="002256FA" w:rsidRPr="00705170">
        <w:rPr>
          <w:rFonts w:ascii="Times New Roman" w:hAnsi="Times New Roman" w:cs="Times New Roman"/>
        </w:rPr>
        <w:t>mechanism</w:t>
      </w:r>
      <w:proofErr w:type="spellEnd"/>
      <w:r w:rsidR="002256FA" w:rsidRPr="00705170">
        <w:rPr>
          <w:rFonts w:ascii="Times New Roman" w:hAnsi="Times New Roman" w:cs="Times New Roman"/>
        </w:rPr>
        <w:t xml:space="preserve"> </w:t>
      </w:r>
      <w:proofErr w:type="spellStart"/>
      <w:r w:rsidR="002256FA" w:rsidRPr="00705170">
        <w:rPr>
          <w:rFonts w:ascii="Times New Roman" w:hAnsi="Times New Roman" w:cs="Times New Roman"/>
        </w:rPr>
        <w:t>that</w:t>
      </w:r>
      <w:proofErr w:type="spellEnd"/>
      <w:r w:rsidR="002256FA" w:rsidRPr="00705170">
        <w:rPr>
          <w:rFonts w:ascii="Times New Roman" w:hAnsi="Times New Roman" w:cs="Times New Roman"/>
        </w:rPr>
        <w:t xml:space="preserve"> </w:t>
      </w:r>
      <w:proofErr w:type="spellStart"/>
      <w:r w:rsidR="002256FA" w:rsidRPr="00705170">
        <w:rPr>
          <w:rFonts w:ascii="Times New Roman" w:hAnsi="Times New Roman" w:cs="Times New Roman"/>
        </w:rPr>
        <w:t>oversees</w:t>
      </w:r>
      <w:proofErr w:type="spellEnd"/>
      <w:r w:rsidR="002256FA" w:rsidRPr="00705170">
        <w:rPr>
          <w:rFonts w:ascii="Times New Roman" w:hAnsi="Times New Roman" w:cs="Times New Roman"/>
        </w:rPr>
        <w:t xml:space="preserve"> </w:t>
      </w:r>
      <w:proofErr w:type="spellStart"/>
      <w:r w:rsidR="002256FA" w:rsidRPr="00705170">
        <w:rPr>
          <w:rFonts w:ascii="Times New Roman" w:hAnsi="Times New Roman" w:cs="Times New Roman"/>
        </w:rPr>
        <w:t>the</w:t>
      </w:r>
      <w:proofErr w:type="spellEnd"/>
      <w:r w:rsidR="002256FA" w:rsidRPr="00705170">
        <w:rPr>
          <w:rFonts w:ascii="Times New Roman" w:hAnsi="Times New Roman" w:cs="Times New Roman"/>
        </w:rPr>
        <w:t xml:space="preserve"> </w:t>
      </w:r>
      <w:proofErr w:type="spellStart"/>
      <w:r w:rsidR="002256FA" w:rsidRPr="00705170">
        <w:rPr>
          <w:rFonts w:ascii="Times New Roman" w:hAnsi="Times New Roman" w:cs="Times New Roman"/>
        </w:rPr>
        <w:t>operation</w:t>
      </w:r>
      <w:proofErr w:type="spellEnd"/>
      <w:r w:rsidR="002256FA" w:rsidRPr="00705170">
        <w:rPr>
          <w:rFonts w:ascii="Times New Roman" w:hAnsi="Times New Roman" w:cs="Times New Roman"/>
        </w:rPr>
        <w:t xml:space="preserve"> of </w:t>
      </w:r>
      <w:proofErr w:type="spellStart"/>
      <w:r w:rsidR="002256FA" w:rsidRPr="00705170">
        <w:rPr>
          <w:rFonts w:ascii="Times New Roman" w:hAnsi="Times New Roman" w:cs="Times New Roman"/>
        </w:rPr>
        <w:t>the</w:t>
      </w:r>
      <w:proofErr w:type="spellEnd"/>
      <w:r w:rsidR="002256FA" w:rsidRPr="00705170">
        <w:rPr>
          <w:rFonts w:ascii="Times New Roman" w:hAnsi="Times New Roman" w:cs="Times New Roman"/>
        </w:rPr>
        <w:t xml:space="preserve"> general </w:t>
      </w:r>
      <w:proofErr w:type="spellStart"/>
      <w:r w:rsidR="002256FA" w:rsidRPr="00705170">
        <w:rPr>
          <w:rFonts w:ascii="Times New Roman" w:hAnsi="Times New Roman" w:cs="Times New Roman"/>
        </w:rPr>
        <w:t>assembly</w:t>
      </w:r>
      <w:proofErr w:type="spellEnd"/>
      <w:r w:rsidR="002256FA" w:rsidRPr="00705170">
        <w:rPr>
          <w:rFonts w:ascii="Times New Roman" w:hAnsi="Times New Roman" w:cs="Times New Roman"/>
        </w:rPr>
        <w:t xml:space="preserve"> </w:t>
      </w:r>
      <w:proofErr w:type="spellStart"/>
      <w:r w:rsidR="002256FA" w:rsidRPr="00705170">
        <w:rPr>
          <w:rFonts w:ascii="Times New Roman" w:hAnsi="Times New Roman" w:cs="Times New Roman"/>
        </w:rPr>
        <w:t>and</w:t>
      </w:r>
      <w:proofErr w:type="spellEnd"/>
      <w:r w:rsidR="002256FA" w:rsidRPr="00705170">
        <w:rPr>
          <w:rFonts w:ascii="Times New Roman" w:hAnsi="Times New Roman" w:cs="Times New Roman"/>
        </w:rPr>
        <w:t xml:space="preserve"> </w:t>
      </w:r>
      <w:proofErr w:type="spellStart"/>
      <w:r w:rsidR="002256FA" w:rsidRPr="00705170">
        <w:rPr>
          <w:rFonts w:ascii="Times New Roman" w:hAnsi="Times New Roman" w:cs="Times New Roman"/>
        </w:rPr>
        <w:t>the</w:t>
      </w:r>
      <w:proofErr w:type="spellEnd"/>
      <w:r w:rsidR="002256FA" w:rsidRPr="00705170">
        <w:rPr>
          <w:rFonts w:ascii="Times New Roman" w:hAnsi="Times New Roman" w:cs="Times New Roman"/>
        </w:rPr>
        <w:t xml:space="preserve"> board of </w:t>
      </w:r>
      <w:proofErr w:type="spellStart"/>
      <w:r w:rsidR="002256FA" w:rsidRPr="00705170">
        <w:rPr>
          <w:rFonts w:ascii="Times New Roman" w:hAnsi="Times New Roman" w:cs="Times New Roman"/>
        </w:rPr>
        <w:t>directors</w:t>
      </w:r>
      <w:proofErr w:type="spellEnd"/>
      <w:r w:rsidR="002256FA" w:rsidRPr="00705170">
        <w:rPr>
          <w:rStyle w:val="DipnotBavurusu"/>
          <w:rFonts w:ascii="Times New Roman" w:hAnsi="Times New Roman" w:cs="Times New Roman"/>
        </w:rPr>
        <w:footnoteReference w:id="822"/>
      </w:r>
      <w:r w:rsidR="002256FA" w:rsidRPr="00705170">
        <w:rPr>
          <w:rFonts w:ascii="Times New Roman" w:hAnsi="Times New Roman" w:cs="Times New Roman"/>
        </w:rPr>
        <w:t>.</w:t>
      </w:r>
      <w:r w:rsidRPr="00705170">
        <w:rPr>
          <w:rFonts w:ascii="Times New Roman" w:hAnsi="Times New Roman" w:cs="Times New Roman"/>
        </w:rPr>
        <w:t xml:space="preserve"> </w:t>
      </w:r>
    </w:p>
    <w:p w14:paraId="73050761" w14:textId="0363D03F" w:rsidR="00C65DF6" w:rsidRDefault="00687447" w:rsidP="00C65DF6">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rationa</w:t>
      </w:r>
      <w:r w:rsidR="007F536A">
        <w:rPr>
          <w:rFonts w:ascii="Times New Roman" w:hAnsi="Times New Roman" w:cs="Times New Roman"/>
        </w:rPr>
        <w:t>le</w:t>
      </w:r>
      <w:proofErr w:type="spellEnd"/>
      <w:r w:rsidR="007F536A">
        <w:rPr>
          <w:rFonts w:ascii="Times New Roman" w:hAnsi="Times New Roman" w:cs="Times New Roman"/>
        </w:rPr>
        <w:t xml:space="preserve"> of </w:t>
      </w:r>
      <w:proofErr w:type="spellStart"/>
      <w:r w:rsidR="007F536A">
        <w:rPr>
          <w:rFonts w:ascii="Times New Roman" w:hAnsi="Times New Roman" w:cs="Times New Roman"/>
        </w:rPr>
        <w:t>today’s</w:t>
      </w:r>
      <w:proofErr w:type="spellEnd"/>
      <w:r w:rsidR="00AA7C33" w:rsidRPr="00705170">
        <w:rPr>
          <w:rFonts w:ascii="Times New Roman" w:hAnsi="Times New Roman" w:cs="Times New Roman"/>
        </w:rPr>
        <w:t xml:space="preserve"> </w:t>
      </w:r>
      <w:proofErr w:type="spellStart"/>
      <w:r w:rsidR="00AA7C33" w:rsidRPr="00705170">
        <w:rPr>
          <w:rFonts w:ascii="Times New Roman" w:hAnsi="Times New Roman" w:cs="Times New Roman"/>
        </w:rPr>
        <w:t>public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policy</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also</w:t>
      </w:r>
      <w:proofErr w:type="spellEnd"/>
      <w:r w:rsidR="00870595" w:rsidRPr="00705170">
        <w:rPr>
          <w:rFonts w:ascii="Times New Roman" w:hAnsi="Times New Roman" w:cs="Times New Roman"/>
        </w:rPr>
        <w:t xml:space="preserve"> be </w:t>
      </w:r>
      <w:proofErr w:type="spellStart"/>
      <w:r w:rsidR="00C83D59">
        <w:rPr>
          <w:rFonts w:ascii="Times New Roman" w:hAnsi="Times New Roman" w:cs="Times New Roman"/>
        </w:rPr>
        <w:t>based</w:t>
      </w:r>
      <w:proofErr w:type="spellEnd"/>
      <w:r w:rsidR="00C83D59">
        <w:rPr>
          <w:rFonts w:ascii="Times New Roman" w:hAnsi="Times New Roman" w:cs="Times New Roman"/>
        </w:rPr>
        <w:t xml:space="preserve"> on</w:t>
      </w:r>
      <w:r w:rsidR="00C83D59" w:rsidRPr="00705170">
        <w:rPr>
          <w:rFonts w:ascii="Times New Roman" w:hAnsi="Times New Roman" w:cs="Times New Roman"/>
        </w:rPr>
        <w:t xml:space="preserve"> </w:t>
      </w:r>
      <w:proofErr w:type="spellStart"/>
      <w:r w:rsidR="00870595" w:rsidRPr="00705170">
        <w:rPr>
          <w:rFonts w:ascii="Times New Roman" w:hAnsi="Times New Roman" w:cs="Times New Roman"/>
        </w:rPr>
        <w:t>the</w:t>
      </w:r>
      <w:proofErr w:type="spellEnd"/>
      <w:r w:rsidR="00870595" w:rsidRPr="00705170">
        <w:rPr>
          <w:rFonts w:ascii="Times New Roman" w:hAnsi="Times New Roman" w:cs="Times New Roman"/>
        </w:rPr>
        <w:t xml:space="preserve"> </w:t>
      </w:r>
      <w:r w:rsidR="00C83D59">
        <w:rPr>
          <w:rFonts w:ascii="Times New Roman" w:hAnsi="Times New Roman" w:cs="Times New Roman"/>
        </w:rPr>
        <w:t xml:space="preserve">general </w:t>
      </w:r>
      <w:proofErr w:type="spellStart"/>
      <w:r w:rsidR="00870595" w:rsidRPr="00705170">
        <w:rPr>
          <w:rFonts w:ascii="Times New Roman" w:hAnsi="Times New Roman" w:cs="Times New Roman"/>
        </w:rPr>
        <w:t>evolution</w:t>
      </w:r>
      <w:proofErr w:type="spellEnd"/>
      <w:r w:rsidR="00870595" w:rsidRPr="00705170">
        <w:rPr>
          <w:rFonts w:ascii="Times New Roman" w:hAnsi="Times New Roman" w:cs="Times New Roman"/>
        </w:rPr>
        <w:t xml:space="preserve"> of </w:t>
      </w:r>
      <w:proofErr w:type="spellStart"/>
      <w:r w:rsidR="00870595" w:rsidRPr="00705170">
        <w:rPr>
          <w:rFonts w:ascii="Times New Roman" w:hAnsi="Times New Roman" w:cs="Times New Roman"/>
        </w:rPr>
        <w:t>the</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corporate</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law</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Firstly</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historically</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t</w:t>
      </w:r>
      <w:r w:rsidR="00294C55" w:rsidRPr="00705170">
        <w:rPr>
          <w:rFonts w:ascii="Times New Roman" w:hAnsi="Times New Roman" w:cs="Times New Roman"/>
        </w:rPr>
        <w:t>he</w:t>
      </w:r>
      <w:proofErr w:type="spellEnd"/>
      <w:r w:rsidR="00294C55" w:rsidRPr="00705170">
        <w:rPr>
          <w:rFonts w:ascii="Times New Roman" w:hAnsi="Times New Roman" w:cs="Times New Roman"/>
        </w:rPr>
        <w:t xml:space="preserve"> </w:t>
      </w:r>
      <w:proofErr w:type="spellStart"/>
      <w:r w:rsidR="00294C55" w:rsidRPr="00705170">
        <w:rPr>
          <w:rFonts w:ascii="Times New Roman" w:hAnsi="Times New Roman" w:cs="Times New Roman"/>
        </w:rPr>
        <w:t>dissolution</w:t>
      </w:r>
      <w:proofErr w:type="spellEnd"/>
      <w:r w:rsidR="00294C55" w:rsidRPr="00705170">
        <w:rPr>
          <w:rFonts w:ascii="Times New Roman" w:hAnsi="Times New Roman" w:cs="Times New Roman"/>
        </w:rPr>
        <w:t xml:space="preserve"> of a </w:t>
      </w:r>
      <w:proofErr w:type="spellStart"/>
      <w:r w:rsidR="00294C55" w:rsidRPr="00705170">
        <w:rPr>
          <w:rFonts w:ascii="Times New Roman" w:hAnsi="Times New Roman" w:cs="Times New Roman"/>
        </w:rPr>
        <w:t>corporation</w:t>
      </w:r>
      <w:proofErr w:type="spellEnd"/>
      <w:r w:rsidR="00294C55" w:rsidRPr="00705170">
        <w:rPr>
          <w:rFonts w:ascii="Times New Roman" w:hAnsi="Times New Roman" w:cs="Times New Roman"/>
        </w:rPr>
        <w:t xml:space="preserve"> is </w:t>
      </w:r>
      <w:proofErr w:type="spellStart"/>
      <w:r w:rsidR="00294C55" w:rsidRPr="00705170">
        <w:rPr>
          <w:rFonts w:ascii="Times New Roman" w:hAnsi="Times New Roman" w:cs="Times New Roman"/>
        </w:rPr>
        <w:t>appartained</w:t>
      </w:r>
      <w:proofErr w:type="spellEnd"/>
      <w:r w:rsidR="00294C55" w:rsidRPr="00705170">
        <w:rPr>
          <w:rFonts w:ascii="Times New Roman" w:hAnsi="Times New Roman" w:cs="Times New Roman"/>
        </w:rPr>
        <w:t xml:space="preserve"> </w:t>
      </w:r>
      <w:proofErr w:type="spellStart"/>
      <w:r w:rsidR="00294C55" w:rsidRPr="00705170">
        <w:rPr>
          <w:rFonts w:ascii="Times New Roman" w:hAnsi="Times New Roman" w:cs="Times New Roman"/>
        </w:rPr>
        <w:t>to</w:t>
      </w:r>
      <w:proofErr w:type="spellEnd"/>
      <w:r w:rsidR="00294C55" w:rsidRPr="00705170">
        <w:rPr>
          <w:rFonts w:ascii="Times New Roman" w:hAnsi="Times New Roman" w:cs="Times New Roman"/>
        </w:rPr>
        <w:t xml:space="preserve"> </w:t>
      </w:r>
      <w:proofErr w:type="spellStart"/>
      <w:r w:rsidR="00294C55" w:rsidRPr="00705170">
        <w:rPr>
          <w:rFonts w:ascii="Times New Roman" w:hAnsi="Times New Roman" w:cs="Times New Roman"/>
        </w:rPr>
        <w:t>sovereingty</w:t>
      </w:r>
      <w:proofErr w:type="spellEnd"/>
      <w:r w:rsidR="004D36F8" w:rsidRPr="00705170">
        <w:rPr>
          <w:rStyle w:val="DipnotBavurusu"/>
          <w:rFonts w:ascii="Times New Roman" w:hAnsi="Times New Roman" w:cs="Times New Roman"/>
        </w:rPr>
        <w:footnoteReference w:id="823"/>
      </w:r>
      <w:r w:rsidR="00E07EDB" w:rsidRPr="00705170">
        <w:rPr>
          <w:rFonts w:ascii="Times New Roman" w:hAnsi="Times New Roman" w:cs="Times New Roman"/>
        </w:rPr>
        <w:t xml:space="preserve">, </w:t>
      </w:r>
      <w:proofErr w:type="spellStart"/>
      <w:r w:rsidR="00E07EDB" w:rsidRPr="00705170">
        <w:rPr>
          <w:rFonts w:ascii="Times New Roman" w:hAnsi="Times New Roman" w:cs="Times New Roman"/>
        </w:rPr>
        <w:t>thus</w:t>
      </w:r>
      <w:proofErr w:type="spellEnd"/>
      <w:r w:rsidR="00E07EDB" w:rsidRPr="00705170">
        <w:rPr>
          <w:rFonts w:ascii="Times New Roman" w:hAnsi="Times New Roman" w:cs="Times New Roman"/>
        </w:rPr>
        <w:t xml:space="preserve"> </w:t>
      </w:r>
      <w:proofErr w:type="spellStart"/>
      <w:r w:rsidR="00E07EDB" w:rsidRPr="00705170">
        <w:rPr>
          <w:rFonts w:ascii="Times New Roman" w:hAnsi="Times New Roman" w:cs="Times New Roman"/>
        </w:rPr>
        <w:t>neither</w:t>
      </w:r>
      <w:proofErr w:type="spellEnd"/>
      <w:r w:rsidR="00E07EDB" w:rsidRPr="00705170">
        <w:rPr>
          <w:rFonts w:ascii="Times New Roman" w:hAnsi="Times New Roman" w:cs="Times New Roman"/>
        </w:rPr>
        <w:t xml:space="preserve"> a </w:t>
      </w:r>
      <w:proofErr w:type="spellStart"/>
      <w:r w:rsidR="00E07EDB" w:rsidRPr="00705170">
        <w:rPr>
          <w:rFonts w:ascii="Times New Roman" w:hAnsi="Times New Roman" w:cs="Times New Roman"/>
        </w:rPr>
        <w:t>state</w:t>
      </w:r>
      <w:proofErr w:type="spellEnd"/>
      <w:r w:rsidR="00E07EDB" w:rsidRPr="00705170">
        <w:rPr>
          <w:rFonts w:ascii="Times New Roman" w:hAnsi="Times New Roman" w:cs="Times New Roman"/>
        </w:rPr>
        <w:t xml:space="preserve"> </w:t>
      </w:r>
      <w:proofErr w:type="spellStart"/>
      <w:r w:rsidR="00E07EDB" w:rsidRPr="00705170">
        <w:rPr>
          <w:rFonts w:ascii="Times New Roman" w:hAnsi="Times New Roman" w:cs="Times New Roman"/>
        </w:rPr>
        <w:t>could</w:t>
      </w:r>
      <w:proofErr w:type="spellEnd"/>
      <w:r w:rsidR="00E07EDB" w:rsidRPr="00705170">
        <w:rPr>
          <w:rFonts w:ascii="Times New Roman" w:hAnsi="Times New Roman" w:cs="Times New Roman"/>
        </w:rPr>
        <w:t xml:space="preserve"> </w:t>
      </w:r>
      <w:proofErr w:type="spellStart"/>
      <w:r w:rsidR="00E07EDB" w:rsidRPr="00705170">
        <w:rPr>
          <w:rFonts w:ascii="Times New Roman" w:hAnsi="Times New Roman" w:cs="Times New Roman"/>
        </w:rPr>
        <w:t>have</w:t>
      </w:r>
      <w:proofErr w:type="spellEnd"/>
      <w:r w:rsidR="00294C55" w:rsidRPr="00705170">
        <w:rPr>
          <w:rFonts w:ascii="Times New Roman" w:hAnsi="Times New Roman" w:cs="Times New Roman"/>
        </w:rPr>
        <w:t xml:space="preserve"> </w:t>
      </w:r>
      <w:proofErr w:type="spellStart"/>
      <w:r w:rsidR="00294C55" w:rsidRPr="00705170">
        <w:rPr>
          <w:rFonts w:ascii="Times New Roman" w:hAnsi="Times New Roman" w:cs="Times New Roman"/>
        </w:rPr>
        <w:t>dissolve</w:t>
      </w:r>
      <w:r w:rsidR="00E07EDB" w:rsidRPr="00705170">
        <w:rPr>
          <w:rFonts w:ascii="Times New Roman" w:hAnsi="Times New Roman" w:cs="Times New Roman"/>
        </w:rPr>
        <w:t>d</w:t>
      </w:r>
      <w:proofErr w:type="spellEnd"/>
      <w:r w:rsidR="00294C55" w:rsidRPr="00705170">
        <w:rPr>
          <w:rFonts w:ascii="Times New Roman" w:hAnsi="Times New Roman" w:cs="Times New Roman"/>
        </w:rPr>
        <w:t xml:space="preserve"> a </w:t>
      </w:r>
      <w:proofErr w:type="spellStart"/>
      <w:r w:rsidR="00294C55" w:rsidRPr="00705170">
        <w:rPr>
          <w:rFonts w:ascii="Times New Roman" w:hAnsi="Times New Roman" w:cs="Times New Roman"/>
        </w:rPr>
        <w:t>foreign</w:t>
      </w:r>
      <w:proofErr w:type="spellEnd"/>
      <w:r w:rsidR="00294C55" w:rsidRPr="00705170">
        <w:rPr>
          <w:rFonts w:ascii="Times New Roman" w:hAnsi="Times New Roman" w:cs="Times New Roman"/>
        </w:rPr>
        <w:t xml:space="preserve"> </w:t>
      </w:r>
      <w:proofErr w:type="spellStart"/>
      <w:r w:rsidR="00294C55" w:rsidRPr="00705170">
        <w:rPr>
          <w:rFonts w:ascii="Times New Roman" w:hAnsi="Times New Roman" w:cs="Times New Roman"/>
        </w:rPr>
        <w:t>corporation</w:t>
      </w:r>
      <w:proofErr w:type="spellEnd"/>
      <w:r w:rsidR="00294C55" w:rsidRPr="00705170">
        <w:rPr>
          <w:rFonts w:ascii="Times New Roman" w:hAnsi="Times New Roman" w:cs="Times New Roman"/>
        </w:rPr>
        <w:t xml:space="preserve"> </w:t>
      </w:r>
      <w:proofErr w:type="spellStart"/>
      <w:r w:rsidR="00294C55" w:rsidRPr="00705170">
        <w:rPr>
          <w:rFonts w:ascii="Times New Roman" w:hAnsi="Times New Roman" w:cs="Times New Roman"/>
        </w:rPr>
        <w:t>based</w:t>
      </w:r>
      <w:proofErr w:type="spellEnd"/>
      <w:r w:rsidR="00294C55" w:rsidRPr="00705170">
        <w:rPr>
          <w:rFonts w:ascii="Times New Roman" w:hAnsi="Times New Roman" w:cs="Times New Roman"/>
        </w:rPr>
        <w:t xml:space="preserve"> on </w:t>
      </w:r>
      <w:proofErr w:type="spellStart"/>
      <w:r w:rsidR="00294C55" w:rsidRPr="00705170">
        <w:rPr>
          <w:rFonts w:ascii="Times New Roman" w:hAnsi="Times New Roman" w:cs="Times New Roman"/>
        </w:rPr>
        <w:t>its</w:t>
      </w:r>
      <w:proofErr w:type="spellEnd"/>
      <w:r w:rsidR="00294C55" w:rsidRPr="00705170">
        <w:rPr>
          <w:rFonts w:ascii="Times New Roman" w:hAnsi="Times New Roman" w:cs="Times New Roman"/>
        </w:rPr>
        <w:t xml:space="preserve"> </w:t>
      </w:r>
      <w:proofErr w:type="spellStart"/>
      <w:r w:rsidR="00294C55" w:rsidRPr="00705170">
        <w:rPr>
          <w:rFonts w:ascii="Times New Roman" w:hAnsi="Times New Roman" w:cs="Times New Roman"/>
        </w:rPr>
        <w:t>own</w:t>
      </w:r>
      <w:proofErr w:type="spellEnd"/>
      <w:r w:rsidR="00294C55" w:rsidRPr="00705170">
        <w:rPr>
          <w:rFonts w:ascii="Times New Roman" w:hAnsi="Times New Roman" w:cs="Times New Roman"/>
        </w:rPr>
        <w:t xml:space="preserve"> </w:t>
      </w:r>
      <w:proofErr w:type="spellStart"/>
      <w:r w:rsidR="00294C55" w:rsidRPr="00705170">
        <w:rPr>
          <w:rFonts w:ascii="Times New Roman" w:hAnsi="Times New Roman" w:cs="Times New Roman"/>
        </w:rPr>
        <w:t>law</w:t>
      </w:r>
      <w:proofErr w:type="spellEnd"/>
      <w:r w:rsidR="00294C55" w:rsidRPr="00705170">
        <w:rPr>
          <w:rFonts w:ascii="Times New Roman" w:hAnsi="Times New Roman" w:cs="Times New Roman"/>
        </w:rPr>
        <w:t xml:space="preserve"> </w:t>
      </w:r>
      <w:proofErr w:type="spellStart"/>
      <w:r w:rsidR="00294C55" w:rsidRPr="00705170">
        <w:rPr>
          <w:rFonts w:ascii="Times New Roman" w:hAnsi="Times New Roman" w:cs="Times New Roman"/>
        </w:rPr>
        <w:t>nor</w:t>
      </w:r>
      <w:proofErr w:type="spellEnd"/>
      <w:r w:rsidR="00294C55" w:rsidRPr="00705170">
        <w:rPr>
          <w:rFonts w:ascii="Times New Roman" w:hAnsi="Times New Roman" w:cs="Times New Roman"/>
        </w:rPr>
        <w:t xml:space="preserve"> </w:t>
      </w:r>
      <w:proofErr w:type="spellStart"/>
      <w:r w:rsidR="00294C55" w:rsidRPr="00705170">
        <w:rPr>
          <w:rFonts w:ascii="Times New Roman" w:hAnsi="Times New Roman" w:cs="Times New Roman"/>
        </w:rPr>
        <w:t>shareholders</w:t>
      </w:r>
      <w:proofErr w:type="spellEnd"/>
      <w:r w:rsidR="00294C55" w:rsidRPr="00705170">
        <w:rPr>
          <w:rFonts w:ascii="Times New Roman" w:hAnsi="Times New Roman" w:cs="Times New Roman"/>
        </w:rPr>
        <w:t xml:space="preserve">’ </w:t>
      </w:r>
      <w:proofErr w:type="spellStart"/>
      <w:r w:rsidR="00E07EDB" w:rsidRPr="00705170">
        <w:rPr>
          <w:rFonts w:ascii="Times New Roman" w:hAnsi="Times New Roman" w:cs="Times New Roman"/>
        </w:rPr>
        <w:t>could</w:t>
      </w:r>
      <w:proofErr w:type="spellEnd"/>
      <w:r w:rsidR="00E07EDB" w:rsidRPr="00705170">
        <w:rPr>
          <w:rFonts w:ascii="Times New Roman" w:hAnsi="Times New Roman" w:cs="Times New Roman"/>
        </w:rPr>
        <w:t xml:space="preserve"> </w:t>
      </w:r>
      <w:proofErr w:type="spellStart"/>
      <w:r w:rsidR="00E07EDB" w:rsidRPr="00705170">
        <w:rPr>
          <w:rFonts w:ascii="Times New Roman" w:hAnsi="Times New Roman" w:cs="Times New Roman"/>
        </w:rPr>
        <w:t>have</w:t>
      </w:r>
      <w:proofErr w:type="spellEnd"/>
      <w:r w:rsidR="00E07EDB" w:rsidRPr="00705170">
        <w:rPr>
          <w:rFonts w:ascii="Times New Roman" w:hAnsi="Times New Roman" w:cs="Times New Roman"/>
        </w:rPr>
        <w:t xml:space="preserve"> </w:t>
      </w:r>
      <w:proofErr w:type="spellStart"/>
      <w:r w:rsidR="00E07EDB" w:rsidRPr="00705170">
        <w:rPr>
          <w:rFonts w:ascii="Times New Roman" w:hAnsi="Times New Roman" w:cs="Times New Roman"/>
        </w:rPr>
        <w:t>authorized</w:t>
      </w:r>
      <w:proofErr w:type="spellEnd"/>
      <w:r w:rsidR="00E07EDB" w:rsidRPr="00705170">
        <w:rPr>
          <w:rFonts w:ascii="Times New Roman" w:hAnsi="Times New Roman" w:cs="Times New Roman"/>
        </w:rPr>
        <w:t xml:space="preserve"> a </w:t>
      </w:r>
      <w:proofErr w:type="spellStart"/>
      <w:r w:rsidR="00E07EDB" w:rsidRPr="00705170">
        <w:rPr>
          <w:rFonts w:ascii="Times New Roman" w:hAnsi="Times New Roman" w:cs="Times New Roman"/>
        </w:rPr>
        <w:t>dissolution</w:t>
      </w:r>
      <w:proofErr w:type="spellEnd"/>
      <w:r w:rsidR="00287AB7">
        <w:rPr>
          <w:rFonts w:ascii="Times New Roman" w:hAnsi="Times New Roman" w:cs="Times New Roman"/>
        </w:rPr>
        <w:t xml:space="preserve"> of </w:t>
      </w:r>
      <w:proofErr w:type="spellStart"/>
      <w:r w:rsidR="00287AB7">
        <w:rPr>
          <w:rFonts w:ascii="Times New Roman" w:hAnsi="Times New Roman" w:cs="Times New Roman"/>
        </w:rPr>
        <w:t>their</w:t>
      </w:r>
      <w:proofErr w:type="spellEnd"/>
      <w:r w:rsidR="00287AB7">
        <w:rPr>
          <w:rFonts w:ascii="Times New Roman" w:hAnsi="Times New Roman" w:cs="Times New Roman"/>
        </w:rPr>
        <w:t xml:space="preserve"> </w:t>
      </w:r>
      <w:proofErr w:type="spellStart"/>
      <w:r w:rsidR="00287AB7">
        <w:rPr>
          <w:rFonts w:ascii="Times New Roman" w:hAnsi="Times New Roman" w:cs="Times New Roman"/>
        </w:rPr>
        <w:t>corporation</w:t>
      </w:r>
      <w:proofErr w:type="spellEnd"/>
      <w:r w:rsidR="00294C55" w:rsidRPr="00705170">
        <w:rPr>
          <w:rStyle w:val="DipnotBavurusu"/>
          <w:rFonts w:ascii="Times New Roman" w:hAnsi="Times New Roman" w:cs="Times New Roman"/>
        </w:rPr>
        <w:footnoteReference w:id="824"/>
      </w:r>
      <w:r w:rsidR="00294C55" w:rsidRPr="00705170">
        <w:rPr>
          <w:rFonts w:ascii="Times New Roman" w:hAnsi="Times New Roman" w:cs="Times New Roman"/>
        </w:rPr>
        <w:t xml:space="preserve">. </w:t>
      </w:r>
      <w:proofErr w:type="spellStart"/>
      <w:r w:rsidR="00294C55" w:rsidRPr="00705170">
        <w:rPr>
          <w:rFonts w:ascii="Times New Roman" w:hAnsi="Times New Roman" w:cs="Times New Roman"/>
        </w:rPr>
        <w:t>While</w:t>
      </w:r>
      <w:proofErr w:type="spellEnd"/>
      <w:r w:rsidR="00294C55" w:rsidRPr="00705170">
        <w:rPr>
          <w:rFonts w:ascii="Times New Roman" w:hAnsi="Times New Roman" w:cs="Times New Roman"/>
        </w:rPr>
        <w:t xml:space="preserve"> </w:t>
      </w:r>
      <w:proofErr w:type="spellStart"/>
      <w:r w:rsidR="00294C55" w:rsidRPr="00705170">
        <w:rPr>
          <w:rFonts w:ascii="Times New Roman" w:hAnsi="Times New Roman" w:cs="Times New Roman"/>
        </w:rPr>
        <w:t>the</w:t>
      </w:r>
      <w:proofErr w:type="spellEnd"/>
      <w:r w:rsidR="0010332B" w:rsidRPr="00705170">
        <w:rPr>
          <w:rFonts w:ascii="Times New Roman" w:hAnsi="Times New Roman" w:cs="Times New Roman"/>
        </w:rPr>
        <w:t xml:space="preserve"> </w:t>
      </w:r>
      <w:proofErr w:type="spellStart"/>
      <w:r w:rsidR="0010332B" w:rsidRPr="00705170">
        <w:rPr>
          <w:rFonts w:ascii="Times New Roman" w:hAnsi="Times New Roman" w:cs="Times New Roman"/>
        </w:rPr>
        <w:t>dissolution</w:t>
      </w:r>
      <w:proofErr w:type="spellEnd"/>
      <w:r w:rsidR="0010332B" w:rsidRPr="00705170">
        <w:rPr>
          <w:rFonts w:ascii="Times New Roman" w:hAnsi="Times New Roman" w:cs="Times New Roman"/>
        </w:rPr>
        <w:t xml:space="preserve"> </w:t>
      </w:r>
      <w:proofErr w:type="spellStart"/>
      <w:r w:rsidR="0010332B" w:rsidRPr="00705170">
        <w:rPr>
          <w:rFonts w:ascii="Times New Roman" w:hAnsi="Times New Roman" w:cs="Times New Roman"/>
        </w:rPr>
        <w:t>action</w:t>
      </w:r>
      <w:proofErr w:type="spellEnd"/>
      <w:r w:rsidR="0010332B" w:rsidRPr="00705170">
        <w:rPr>
          <w:rFonts w:ascii="Times New Roman" w:hAnsi="Times New Roman" w:cs="Times New Roman"/>
        </w:rPr>
        <w:t xml:space="preserve"> </w:t>
      </w:r>
      <w:proofErr w:type="spellStart"/>
      <w:r w:rsidR="0010332B" w:rsidRPr="00705170">
        <w:rPr>
          <w:rFonts w:ascii="Times New Roman" w:hAnsi="Times New Roman" w:cs="Times New Roman"/>
        </w:rPr>
        <w:t>was</w:t>
      </w:r>
      <w:proofErr w:type="spellEnd"/>
      <w:r w:rsidR="0010332B" w:rsidRPr="00705170">
        <w:rPr>
          <w:rFonts w:ascii="Times New Roman" w:hAnsi="Times New Roman" w:cs="Times New Roman"/>
        </w:rPr>
        <w:t xml:space="preserve"> </w:t>
      </w:r>
      <w:proofErr w:type="spellStart"/>
      <w:r w:rsidR="0010332B" w:rsidRPr="00705170">
        <w:rPr>
          <w:rFonts w:ascii="Times New Roman" w:hAnsi="Times New Roman" w:cs="Times New Roman"/>
        </w:rPr>
        <w:t>once</w:t>
      </w:r>
      <w:proofErr w:type="spellEnd"/>
      <w:r w:rsidR="0010332B" w:rsidRPr="00705170">
        <w:rPr>
          <w:rFonts w:ascii="Times New Roman" w:hAnsi="Times New Roman" w:cs="Times New Roman"/>
        </w:rPr>
        <w:t xml:space="preserve"> </w:t>
      </w:r>
      <w:proofErr w:type="spellStart"/>
      <w:r w:rsidR="0010332B" w:rsidRPr="00705170">
        <w:rPr>
          <w:rFonts w:ascii="Times New Roman" w:hAnsi="Times New Roman" w:cs="Times New Roman"/>
        </w:rPr>
        <w:t>accepted</w:t>
      </w:r>
      <w:proofErr w:type="spellEnd"/>
      <w:r w:rsidR="0010332B" w:rsidRPr="00705170">
        <w:rPr>
          <w:rFonts w:ascii="Times New Roman" w:hAnsi="Times New Roman" w:cs="Times New Roman"/>
        </w:rPr>
        <w:t xml:space="preserve"> as a </w:t>
      </w:r>
      <w:proofErr w:type="spellStart"/>
      <w:r w:rsidR="0010332B" w:rsidRPr="00705170">
        <w:rPr>
          <w:rFonts w:ascii="Times New Roman" w:hAnsi="Times New Roman" w:cs="Times New Roman"/>
        </w:rPr>
        <w:t>power</w:t>
      </w:r>
      <w:proofErr w:type="spellEnd"/>
      <w:r w:rsidR="0010332B" w:rsidRPr="00705170">
        <w:rPr>
          <w:rFonts w:ascii="Times New Roman" w:hAnsi="Times New Roman" w:cs="Times New Roman"/>
        </w:rPr>
        <w:t xml:space="preserve"> </w:t>
      </w:r>
      <w:proofErr w:type="spellStart"/>
      <w:r w:rsidR="0010332B" w:rsidRPr="00705170">
        <w:rPr>
          <w:rFonts w:ascii="Times New Roman" w:hAnsi="Times New Roman" w:cs="Times New Roman"/>
        </w:rPr>
        <w:t>within</w:t>
      </w:r>
      <w:proofErr w:type="spellEnd"/>
      <w:r w:rsidR="0010332B" w:rsidRPr="00705170">
        <w:rPr>
          <w:rFonts w:ascii="Times New Roman" w:hAnsi="Times New Roman" w:cs="Times New Roman"/>
        </w:rPr>
        <w:t xml:space="preserve"> </w:t>
      </w:r>
      <w:proofErr w:type="spellStart"/>
      <w:r w:rsidR="0010332B" w:rsidRPr="00705170">
        <w:rPr>
          <w:rFonts w:ascii="Times New Roman" w:hAnsi="Times New Roman" w:cs="Times New Roman"/>
        </w:rPr>
        <w:t>the</w:t>
      </w:r>
      <w:proofErr w:type="spellEnd"/>
      <w:r w:rsidR="0010332B" w:rsidRPr="00705170">
        <w:rPr>
          <w:rFonts w:ascii="Times New Roman" w:hAnsi="Times New Roman" w:cs="Times New Roman"/>
        </w:rPr>
        <w:t xml:space="preserve"> sole </w:t>
      </w:r>
      <w:proofErr w:type="spellStart"/>
      <w:r w:rsidR="0010332B" w:rsidRPr="00705170">
        <w:rPr>
          <w:rFonts w:ascii="Times New Roman" w:hAnsi="Times New Roman" w:cs="Times New Roman"/>
        </w:rPr>
        <w:t>province</w:t>
      </w:r>
      <w:proofErr w:type="spellEnd"/>
      <w:r w:rsidR="0010332B" w:rsidRPr="00705170">
        <w:rPr>
          <w:rFonts w:ascii="Times New Roman" w:hAnsi="Times New Roman" w:cs="Times New Roman"/>
        </w:rPr>
        <w:t xml:space="preserve"> of </w:t>
      </w:r>
      <w:proofErr w:type="spellStart"/>
      <w:r w:rsidR="0010332B" w:rsidRPr="00705170">
        <w:rPr>
          <w:rFonts w:ascii="Times New Roman" w:hAnsi="Times New Roman" w:cs="Times New Roman"/>
        </w:rPr>
        <w:t>the</w:t>
      </w:r>
      <w:proofErr w:type="spellEnd"/>
      <w:r w:rsidR="0010332B" w:rsidRPr="00705170">
        <w:rPr>
          <w:rFonts w:ascii="Times New Roman" w:hAnsi="Times New Roman" w:cs="Times New Roman"/>
        </w:rPr>
        <w:t xml:space="preserve"> </w:t>
      </w:r>
      <w:proofErr w:type="spellStart"/>
      <w:r w:rsidR="0010332B" w:rsidRPr="00705170">
        <w:rPr>
          <w:rFonts w:ascii="Times New Roman" w:hAnsi="Times New Roman" w:cs="Times New Roman"/>
        </w:rPr>
        <w:t>legislative</w:t>
      </w:r>
      <w:proofErr w:type="spellEnd"/>
      <w:r w:rsidR="0010332B" w:rsidRPr="00705170">
        <w:rPr>
          <w:rFonts w:ascii="Times New Roman" w:hAnsi="Times New Roman" w:cs="Times New Roman"/>
        </w:rPr>
        <w:t xml:space="preserve"> body, </w:t>
      </w:r>
      <w:r w:rsidR="00F53C8C" w:rsidRPr="00705170">
        <w:rPr>
          <w:rFonts w:ascii="Times New Roman" w:hAnsi="Times New Roman" w:cs="Times New Roman"/>
        </w:rPr>
        <w:t xml:space="preserve">as </w:t>
      </w:r>
      <w:proofErr w:type="spellStart"/>
      <w:r w:rsidR="00F53C8C" w:rsidRPr="00705170">
        <w:rPr>
          <w:rFonts w:ascii="Times New Roman" w:hAnsi="Times New Roman" w:cs="Times New Roman"/>
        </w:rPr>
        <w:t>corporate</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charters</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were</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granted</w:t>
      </w:r>
      <w:proofErr w:type="spellEnd"/>
      <w:r w:rsidR="00F53C8C" w:rsidRPr="00705170">
        <w:rPr>
          <w:rFonts w:ascii="Times New Roman" w:hAnsi="Times New Roman" w:cs="Times New Roman"/>
        </w:rPr>
        <w:t xml:space="preserve"> </w:t>
      </w:r>
      <w:proofErr w:type="spellStart"/>
      <w:r w:rsidR="00294C55" w:rsidRPr="00705170">
        <w:rPr>
          <w:rFonts w:ascii="Times New Roman" w:hAnsi="Times New Roman" w:cs="Times New Roman"/>
        </w:rPr>
        <w:t>by</w:t>
      </w:r>
      <w:proofErr w:type="spellEnd"/>
      <w:r w:rsidR="00294C55" w:rsidRPr="00705170">
        <w:rPr>
          <w:rFonts w:ascii="Times New Roman" w:hAnsi="Times New Roman" w:cs="Times New Roman"/>
        </w:rPr>
        <w:t xml:space="preserve"> </w:t>
      </w:r>
      <w:proofErr w:type="spellStart"/>
      <w:r w:rsidR="00294C55" w:rsidRPr="00705170">
        <w:rPr>
          <w:rFonts w:ascii="Times New Roman" w:hAnsi="Times New Roman" w:cs="Times New Roman"/>
        </w:rPr>
        <w:t>law</w:t>
      </w:r>
      <w:proofErr w:type="spellEnd"/>
      <w:r w:rsidR="00AA7C33" w:rsidRPr="00705170">
        <w:rPr>
          <w:rFonts w:ascii="Times New Roman" w:hAnsi="Times New Roman" w:cs="Times New Roman"/>
        </w:rPr>
        <w:t>,</w:t>
      </w:r>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there</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seemed</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to</w:t>
      </w:r>
      <w:proofErr w:type="spellEnd"/>
      <w:r w:rsidR="00F53C8C" w:rsidRPr="00705170">
        <w:rPr>
          <w:rFonts w:ascii="Times New Roman" w:hAnsi="Times New Roman" w:cs="Times New Roman"/>
        </w:rPr>
        <w:t xml:space="preserve"> be </w:t>
      </w:r>
      <w:proofErr w:type="spellStart"/>
      <w:r w:rsidR="00F53C8C" w:rsidRPr="00705170">
        <w:rPr>
          <w:rFonts w:ascii="Times New Roman" w:hAnsi="Times New Roman" w:cs="Times New Roman"/>
        </w:rPr>
        <w:t>little</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reason</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for</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confining</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this</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action</w:t>
      </w:r>
      <w:proofErr w:type="spellEnd"/>
      <w:r w:rsidR="00F53C8C" w:rsidRPr="00705170">
        <w:rPr>
          <w:rFonts w:ascii="Times New Roman" w:hAnsi="Times New Roman" w:cs="Times New Roman"/>
        </w:rPr>
        <w:t xml:space="preserve"> </w:t>
      </w:r>
      <w:proofErr w:type="spellStart"/>
      <w:r w:rsidR="00E07EDB" w:rsidRPr="00705170">
        <w:rPr>
          <w:rFonts w:ascii="Times New Roman" w:hAnsi="Times New Roman" w:cs="Times New Roman"/>
        </w:rPr>
        <w:t>solely</w:t>
      </w:r>
      <w:proofErr w:type="spellEnd"/>
      <w:r w:rsidR="00E07EDB" w:rsidRPr="00705170">
        <w:rPr>
          <w:rFonts w:ascii="Times New Roman" w:hAnsi="Times New Roman" w:cs="Times New Roman"/>
        </w:rPr>
        <w:t xml:space="preserve"> </w:t>
      </w:r>
      <w:proofErr w:type="spellStart"/>
      <w:r w:rsidR="00F53C8C" w:rsidRPr="00705170">
        <w:rPr>
          <w:rFonts w:ascii="Times New Roman" w:hAnsi="Times New Roman" w:cs="Times New Roman"/>
        </w:rPr>
        <w:t>to</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the</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legislative</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body’s</w:t>
      </w:r>
      <w:proofErr w:type="spellEnd"/>
      <w:r w:rsidR="00F53C8C" w:rsidRPr="00705170">
        <w:rPr>
          <w:rFonts w:ascii="Times New Roman" w:hAnsi="Times New Roman" w:cs="Times New Roman"/>
        </w:rPr>
        <w:t xml:space="preserve"> </w:t>
      </w:r>
      <w:proofErr w:type="spellStart"/>
      <w:r w:rsidR="00F53C8C" w:rsidRPr="00705170">
        <w:rPr>
          <w:rFonts w:ascii="Times New Roman" w:hAnsi="Times New Roman" w:cs="Times New Roman"/>
        </w:rPr>
        <w:t>authority</w:t>
      </w:r>
      <w:proofErr w:type="spellEnd"/>
      <w:r w:rsidR="00F53C8C" w:rsidRPr="00705170">
        <w:rPr>
          <w:rStyle w:val="DipnotBavurusu"/>
          <w:rFonts w:ascii="Times New Roman" w:hAnsi="Times New Roman" w:cs="Times New Roman"/>
        </w:rPr>
        <w:footnoteReference w:id="825"/>
      </w:r>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Secondly</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corporate</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law</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evolved</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to</w:t>
      </w:r>
      <w:proofErr w:type="spellEnd"/>
      <w:r w:rsidR="00870595" w:rsidRPr="00705170">
        <w:rPr>
          <w:rFonts w:ascii="Times New Roman" w:hAnsi="Times New Roman" w:cs="Times New Roman"/>
        </w:rPr>
        <w:t xml:space="preserve"> a </w:t>
      </w:r>
      <w:proofErr w:type="spellStart"/>
      <w:r w:rsidR="00870595" w:rsidRPr="00705170">
        <w:rPr>
          <w:rFonts w:ascii="Times New Roman" w:hAnsi="Times New Roman" w:cs="Times New Roman"/>
        </w:rPr>
        <w:t>point</w:t>
      </w:r>
      <w:proofErr w:type="spellEnd"/>
      <w:r w:rsidR="00870595" w:rsidRPr="00705170">
        <w:rPr>
          <w:rFonts w:ascii="Times New Roman" w:hAnsi="Times New Roman" w:cs="Times New Roman"/>
        </w:rPr>
        <w:t xml:space="preserve"> in </w:t>
      </w:r>
      <w:proofErr w:type="spellStart"/>
      <w:r w:rsidR="00870595" w:rsidRPr="00705170">
        <w:rPr>
          <w:rFonts w:ascii="Times New Roman" w:hAnsi="Times New Roman" w:cs="Times New Roman"/>
        </w:rPr>
        <w:t>which</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t</w:t>
      </w:r>
      <w:r w:rsidR="003E27C5" w:rsidRPr="00705170">
        <w:rPr>
          <w:rFonts w:ascii="Times New Roman" w:hAnsi="Times New Roman" w:cs="Times New Roman"/>
        </w:rPr>
        <w:t>he</w:t>
      </w:r>
      <w:proofErr w:type="spellEnd"/>
      <w:r w:rsidR="003E27C5" w:rsidRPr="00705170">
        <w:rPr>
          <w:rFonts w:ascii="Times New Roman" w:hAnsi="Times New Roman" w:cs="Times New Roman"/>
        </w:rPr>
        <w:t xml:space="preserve"> </w:t>
      </w:r>
      <w:proofErr w:type="spellStart"/>
      <w:r w:rsidR="003E27C5" w:rsidRPr="00705170">
        <w:rPr>
          <w:rFonts w:ascii="Times New Roman" w:hAnsi="Times New Roman" w:cs="Times New Roman"/>
        </w:rPr>
        <w:t>in</w:t>
      </w:r>
      <w:r w:rsidR="00571F46" w:rsidRPr="00705170">
        <w:rPr>
          <w:rFonts w:ascii="Times New Roman" w:hAnsi="Times New Roman" w:cs="Times New Roman"/>
        </w:rPr>
        <w:t>voluntary</w:t>
      </w:r>
      <w:proofErr w:type="spellEnd"/>
      <w:r w:rsidR="00571F46" w:rsidRPr="00705170">
        <w:rPr>
          <w:rFonts w:ascii="Times New Roman" w:hAnsi="Times New Roman" w:cs="Times New Roman"/>
        </w:rPr>
        <w:t xml:space="preserve"> </w:t>
      </w:r>
      <w:proofErr w:type="spellStart"/>
      <w:r w:rsidR="00571F46" w:rsidRPr="00705170">
        <w:rPr>
          <w:rFonts w:ascii="Times New Roman" w:hAnsi="Times New Roman" w:cs="Times New Roman"/>
        </w:rPr>
        <w:lastRenderedPageBreak/>
        <w:t>dissolution</w:t>
      </w:r>
      <w:proofErr w:type="spellEnd"/>
      <w:r w:rsidR="00571F46" w:rsidRPr="00705170">
        <w:rPr>
          <w:rFonts w:ascii="Times New Roman" w:hAnsi="Times New Roman" w:cs="Times New Roman"/>
        </w:rPr>
        <w:t xml:space="preserve"> </w:t>
      </w:r>
      <w:proofErr w:type="spellStart"/>
      <w:r w:rsidR="00571F46" w:rsidRPr="00705170">
        <w:rPr>
          <w:rFonts w:ascii="Times New Roman" w:hAnsi="Times New Roman" w:cs="Times New Roman"/>
        </w:rPr>
        <w:t>action</w:t>
      </w:r>
      <w:proofErr w:type="spellEnd"/>
      <w:r w:rsidR="00571F46" w:rsidRPr="00705170">
        <w:rPr>
          <w:rFonts w:ascii="Times New Roman" w:hAnsi="Times New Roman" w:cs="Times New Roman"/>
        </w:rPr>
        <w:t xml:space="preserve"> </w:t>
      </w:r>
      <w:r w:rsidR="00870595" w:rsidRPr="00705170">
        <w:rPr>
          <w:rFonts w:ascii="Times New Roman" w:hAnsi="Times New Roman" w:cs="Times New Roman"/>
        </w:rPr>
        <w:t xml:space="preserve">is </w:t>
      </w:r>
      <w:proofErr w:type="spellStart"/>
      <w:r w:rsidR="00870595" w:rsidRPr="00705170">
        <w:rPr>
          <w:rFonts w:ascii="Times New Roman" w:hAnsi="Times New Roman" w:cs="Times New Roman"/>
        </w:rPr>
        <w:t>recognized</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and</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needed</w:t>
      </w:r>
      <w:proofErr w:type="spellEnd"/>
      <w:r w:rsidR="00870595" w:rsidRPr="00705170">
        <w:rPr>
          <w:rFonts w:ascii="Times New Roman" w:hAnsi="Times New Roman" w:cs="Times New Roman"/>
        </w:rPr>
        <w:t xml:space="preserve"> as</w:t>
      </w:r>
      <w:r w:rsidR="003E27C5" w:rsidRPr="00705170">
        <w:rPr>
          <w:rFonts w:ascii="Times New Roman" w:hAnsi="Times New Roman" w:cs="Times New Roman"/>
        </w:rPr>
        <w:t xml:space="preserve"> a “</w:t>
      </w:r>
      <w:proofErr w:type="spellStart"/>
      <w:r w:rsidR="003E27C5" w:rsidRPr="00705170">
        <w:rPr>
          <w:rFonts w:ascii="Times New Roman" w:hAnsi="Times New Roman" w:cs="Times New Roman"/>
        </w:rPr>
        <w:t>minority</w:t>
      </w:r>
      <w:proofErr w:type="spellEnd"/>
      <w:r w:rsidR="003E27C5" w:rsidRPr="00705170">
        <w:rPr>
          <w:rFonts w:ascii="Times New Roman" w:hAnsi="Times New Roman" w:cs="Times New Roman"/>
        </w:rPr>
        <w:t xml:space="preserve"> </w:t>
      </w:r>
      <w:proofErr w:type="spellStart"/>
      <w:r w:rsidR="003E27C5" w:rsidRPr="00705170">
        <w:rPr>
          <w:rFonts w:ascii="Times New Roman" w:hAnsi="Times New Roman" w:cs="Times New Roman"/>
        </w:rPr>
        <w:t>right</w:t>
      </w:r>
      <w:proofErr w:type="spellEnd"/>
      <w:r w:rsidR="003E27C5" w:rsidRPr="00705170">
        <w:rPr>
          <w:rFonts w:ascii="Times New Roman" w:hAnsi="Times New Roman" w:cs="Times New Roman"/>
        </w:rPr>
        <w:t>”</w:t>
      </w:r>
      <w:r w:rsidR="003E27C5" w:rsidRPr="00705170">
        <w:rPr>
          <w:rStyle w:val="DipnotBavurusu"/>
          <w:rFonts w:ascii="Times New Roman" w:hAnsi="Times New Roman" w:cs="Times New Roman"/>
        </w:rPr>
        <w:footnoteReference w:id="826"/>
      </w:r>
      <w:r w:rsidR="002A0B9D" w:rsidRPr="00705170">
        <w:rPr>
          <w:rFonts w:ascii="Times New Roman" w:hAnsi="Times New Roman" w:cs="Times New Roman"/>
        </w:rPr>
        <w:t xml:space="preserve">, in </w:t>
      </w:r>
      <w:proofErr w:type="spellStart"/>
      <w:r w:rsidR="002A0B9D" w:rsidRPr="00705170">
        <w:rPr>
          <w:rFonts w:ascii="Times New Roman" w:hAnsi="Times New Roman" w:cs="Times New Roman"/>
        </w:rPr>
        <w:t>order</w:t>
      </w:r>
      <w:proofErr w:type="spellEnd"/>
      <w:r w:rsidR="002A0B9D" w:rsidRPr="00705170">
        <w:rPr>
          <w:rFonts w:ascii="Times New Roman" w:hAnsi="Times New Roman" w:cs="Times New Roman"/>
        </w:rPr>
        <w:t xml:space="preserve"> </w:t>
      </w:r>
      <w:proofErr w:type="spellStart"/>
      <w:r w:rsidR="002A0B9D" w:rsidRPr="00705170">
        <w:rPr>
          <w:rFonts w:ascii="Times New Roman" w:hAnsi="Times New Roman" w:cs="Times New Roman"/>
        </w:rPr>
        <w:t>to</w:t>
      </w:r>
      <w:proofErr w:type="spellEnd"/>
      <w:r w:rsidR="002A0B9D" w:rsidRPr="00705170">
        <w:rPr>
          <w:rFonts w:ascii="Times New Roman" w:hAnsi="Times New Roman" w:cs="Times New Roman"/>
        </w:rPr>
        <w:t xml:space="preserve"> </w:t>
      </w:r>
      <w:proofErr w:type="spellStart"/>
      <w:r w:rsidR="002A0B9D" w:rsidRPr="00705170">
        <w:rPr>
          <w:rFonts w:ascii="Times New Roman" w:hAnsi="Times New Roman" w:cs="Times New Roman"/>
        </w:rPr>
        <w:t>protect</w:t>
      </w:r>
      <w:proofErr w:type="spellEnd"/>
      <w:r w:rsidR="002A0B9D" w:rsidRPr="00705170">
        <w:rPr>
          <w:rFonts w:ascii="Times New Roman" w:hAnsi="Times New Roman" w:cs="Times New Roman"/>
        </w:rPr>
        <w:t xml:space="preserve"> </w:t>
      </w:r>
      <w:proofErr w:type="spellStart"/>
      <w:r w:rsidR="002A0B9D" w:rsidRPr="00705170">
        <w:rPr>
          <w:rFonts w:ascii="Times New Roman" w:hAnsi="Times New Roman" w:cs="Times New Roman"/>
        </w:rPr>
        <w:t>the</w:t>
      </w:r>
      <w:proofErr w:type="spellEnd"/>
      <w:r w:rsidR="002A0B9D" w:rsidRPr="00705170">
        <w:rPr>
          <w:rFonts w:ascii="Times New Roman" w:hAnsi="Times New Roman" w:cs="Times New Roman"/>
        </w:rPr>
        <w:t xml:space="preserve"> </w:t>
      </w:r>
      <w:proofErr w:type="spellStart"/>
      <w:r w:rsidR="002A0B9D" w:rsidRPr="00705170">
        <w:rPr>
          <w:rFonts w:ascii="Times New Roman" w:hAnsi="Times New Roman" w:cs="Times New Roman"/>
        </w:rPr>
        <w:t>minority</w:t>
      </w:r>
      <w:proofErr w:type="spellEnd"/>
      <w:r w:rsidR="002A0B9D" w:rsidRPr="00705170">
        <w:rPr>
          <w:rFonts w:ascii="Times New Roman" w:hAnsi="Times New Roman" w:cs="Times New Roman"/>
        </w:rPr>
        <w:t xml:space="preserve"> </w:t>
      </w:r>
      <w:proofErr w:type="spellStart"/>
      <w:r w:rsidR="002A0B9D" w:rsidRPr="00705170">
        <w:rPr>
          <w:rFonts w:ascii="Times New Roman" w:hAnsi="Times New Roman" w:cs="Times New Roman"/>
        </w:rPr>
        <w:t>against</w:t>
      </w:r>
      <w:proofErr w:type="spellEnd"/>
      <w:r w:rsidR="00400BA6" w:rsidRPr="00705170">
        <w:rPr>
          <w:rFonts w:ascii="Times New Roman" w:hAnsi="Times New Roman" w:cs="Times New Roman"/>
        </w:rPr>
        <w:t xml:space="preserve"> </w:t>
      </w:r>
      <w:proofErr w:type="spellStart"/>
      <w:r w:rsidR="00400BA6" w:rsidRPr="00705170">
        <w:rPr>
          <w:rFonts w:ascii="Times New Roman" w:hAnsi="Times New Roman" w:cs="Times New Roman"/>
        </w:rPr>
        <w:t>the</w:t>
      </w:r>
      <w:proofErr w:type="spellEnd"/>
      <w:r w:rsidR="002A0B9D" w:rsidRPr="00705170">
        <w:rPr>
          <w:rFonts w:ascii="Times New Roman" w:hAnsi="Times New Roman" w:cs="Times New Roman"/>
        </w:rPr>
        <w:t xml:space="preserve"> </w:t>
      </w:r>
      <w:proofErr w:type="spellStart"/>
      <w:r w:rsidR="002A0B9D" w:rsidRPr="00705170">
        <w:rPr>
          <w:rFonts w:ascii="Times New Roman" w:hAnsi="Times New Roman" w:cs="Times New Roman"/>
        </w:rPr>
        <w:t>abusive</w:t>
      </w:r>
      <w:proofErr w:type="spellEnd"/>
      <w:r w:rsidR="002A0B9D" w:rsidRPr="00705170">
        <w:rPr>
          <w:rFonts w:ascii="Times New Roman" w:hAnsi="Times New Roman" w:cs="Times New Roman"/>
        </w:rPr>
        <w:t xml:space="preserve"> </w:t>
      </w:r>
      <w:proofErr w:type="spellStart"/>
      <w:r w:rsidR="002A0B9D" w:rsidRPr="00705170">
        <w:rPr>
          <w:rFonts w:ascii="Times New Roman" w:hAnsi="Times New Roman" w:cs="Times New Roman"/>
        </w:rPr>
        <w:t>exercise</w:t>
      </w:r>
      <w:proofErr w:type="spellEnd"/>
      <w:r w:rsidR="002A0B9D" w:rsidRPr="00705170">
        <w:rPr>
          <w:rFonts w:ascii="Times New Roman" w:hAnsi="Times New Roman" w:cs="Times New Roman"/>
        </w:rPr>
        <w:t xml:space="preserve"> of </w:t>
      </w:r>
      <w:proofErr w:type="spellStart"/>
      <w:r w:rsidR="002A0B9D" w:rsidRPr="00705170">
        <w:rPr>
          <w:rFonts w:ascii="Times New Roman" w:hAnsi="Times New Roman" w:cs="Times New Roman"/>
        </w:rPr>
        <w:t>power</w:t>
      </w:r>
      <w:proofErr w:type="spellEnd"/>
      <w:r w:rsidR="002A0B9D" w:rsidRPr="00705170">
        <w:rPr>
          <w:rStyle w:val="DipnotBavurusu"/>
          <w:rFonts w:ascii="Times New Roman" w:hAnsi="Times New Roman" w:cs="Times New Roman"/>
        </w:rPr>
        <w:footnoteReference w:id="827"/>
      </w:r>
      <w:r w:rsidR="002A0B9D" w:rsidRPr="00705170">
        <w:rPr>
          <w:rFonts w:ascii="Times New Roman" w:hAnsi="Times New Roman" w:cs="Times New Roman"/>
        </w:rPr>
        <w:t xml:space="preserve">. </w:t>
      </w:r>
      <w:proofErr w:type="spellStart"/>
      <w:r w:rsidR="000E25BD" w:rsidRPr="00705170">
        <w:rPr>
          <w:rFonts w:ascii="Times New Roman" w:hAnsi="Times New Roman" w:cs="Times New Roman"/>
        </w:rPr>
        <w:t>This</w:t>
      </w:r>
      <w:proofErr w:type="spellEnd"/>
      <w:r w:rsidR="000E25BD" w:rsidRPr="00705170">
        <w:rPr>
          <w:rFonts w:ascii="Times New Roman" w:hAnsi="Times New Roman" w:cs="Times New Roman"/>
        </w:rPr>
        <w:t xml:space="preserve"> </w:t>
      </w:r>
      <w:proofErr w:type="spellStart"/>
      <w:r w:rsidR="000E25BD" w:rsidRPr="00705170">
        <w:rPr>
          <w:rFonts w:ascii="Times New Roman" w:hAnsi="Times New Roman" w:cs="Times New Roman"/>
        </w:rPr>
        <w:t>action</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does</w:t>
      </w:r>
      <w:proofErr w:type="spellEnd"/>
      <w:r w:rsidR="003E60DB" w:rsidRPr="00705170">
        <w:rPr>
          <w:rFonts w:ascii="Times New Roman" w:hAnsi="Times New Roman" w:cs="Times New Roman"/>
        </w:rPr>
        <w:t xml:space="preserve"> not </w:t>
      </w:r>
      <w:proofErr w:type="spellStart"/>
      <w:r w:rsidR="003E60DB" w:rsidRPr="00705170">
        <w:rPr>
          <w:rFonts w:ascii="Times New Roman" w:hAnsi="Times New Roman" w:cs="Times New Roman"/>
        </w:rPr>
        <w:t>only</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give</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the</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minority</w:t>
      </w:r>
      <w:proofErr w:type="spellEnd"/>
      <w:r w:rsidR="003E60DB" w:rsidRPr="00705170">
        <w:rPr>
          <w:rFonts w:ascii="Times New Roman" w:hAnsi="Times New Roman" w:cs="Times New Roman"/>
        </w:rPr>
        <w:t xml:space="preserve"> an </w:t>
      </w:r>
      <w:proofErr w:type="spellStart"/>
      <w:r w:rsidR="003E60DB" w:rsidRPr="00705170">
        <w:rPr>
          <w:rFonts w:ascii="Times New Roman" w:hAnsi="Times New Roman" w:cs="Times New Roman"/>
        </w:rPr>
        <w:t>option</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to</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secure</w:t>
      </w:r>
      <w:proofErr w:type="spellEnd"/>
      <w:r w:rsidR="003E60DB" w:rsidRPr="00705170">
        <w:rPr>
          <w:rFonts w:ascii="Times New Roman" w:hAnsi="Times New Roman" w:cs="Times New Roman"/>
        </w:rPr>
        <w:t xml:space="preserve"> his </w:t>
      </w:r>
      <w:proofErr w:type="spellStart"/>
      <w:r w:rsidR="003E60DB" w:rsidRPr="00705170">
        <w:rPr>
          <w:rFonts w:ascii="Times New Roman" w:hAnsi="Times New Roman" w:cs="Times New Roman"/>
        </w:rPr>
        <w:t>investment</w:t>
      </w:r>
      <w:proofErr w:type="spellEnd"/>
      <w:r w:rsidR="000E25BD" w:rsidRPr="00705170">
        <w:rPr>
          <w:rFonts w:ascii="Times New Roman" w:hAnsi="Times New Roman" w:cs="Times New Roman"/>
        </w:rPr>
        <w:t>,</w:t>
      </w:r>
      <w:r w:rsidR="003E60DB" w:rsidRPr="00705170">
        <w:rPr>
          <w:rFonts w:ascii="Times New Roman" w:hAnsi="Times New Roman" w:cs="Times New Roman"/>
        </w:rPr>
        <w:t xml:space="preserve"> </w:t>
      </w:r>
      <w:proofErr w:type="spellStart"/>
      <w:r w:rsidR="00BF4920" w:rsidRPr="00705170">
        <w:rPr>
          <w:rFonts w:ascii="Times New Roman" w:hAnsi="Times New Roman" w:cs="Times New Roman"/>
        </w:rPr>
        <w:t>which</w:t>
      </w:r>
      <w:proofErr w:type="spellEnd"/>
      <w:r w:rsidR="00BF4920" w:rsidRPr="00705170">
        <w:rPr>
          <w:rFonts w:ascii="Times New Roman" w:hAnsi="Times New Roman" w:cs="Times New Roman"/>
        </w:rPr>
        <w:t xml:space="preserve"> is </w:t>
      </w:r>
      <w:proofErr w:type="spellStart"/>
      <w:r w:rsidR="00BF4920" w:rsidRPr="00705170">
        <w:rPr>
          <w:rFonts w:ascii="Times New Roman" w:hAnsi="Times New Roman" w:cs="Times New Roman"/>
        </w:rPr>
        <w:t>somehow</w:t>
      </w:r>
      <w:proofErr w:type="spellEnd"/>
      <w:r w:rsidR="00BF4920" w:rsidRPr="00705170">
        <w:rPr>
          <w:rFonts w:ascii="Times New Roman" w:hAnsi="Times New Roman" w:cs="Times New Roman"/>
        </w:rPr>
        <w:t xml:space="preserve"> </w:t>
      </w:r>
      <w:proofErr w:type="spellStart"/>
      <w:r w:rsidR="00BF4920" w:rsidRPr="00705170">
        <w:rPr>
          <w:rFonts w:ascii="Times New Roman" w:hAnsi="Times New Roman" w:cs="Times New Roman"/>
        </w:rPr>
        <w:t>locked</w:t>
      </w:r>
      <w:proofErr w:type="spellEnd"/>
      <w:r w:rsidR="00BF4920" w:rsidRPr="00705170">
        <w:rPr>
          <w:rFonts w:ascii="Times New Roman" w:hAnsi="Times New Roman" w:cs="Times New Roman"/>
        </w:rPr>
        <w:t xml:space="preserve"> </w:t>
      </w:r>
      <w:proofErr w:type="spellStart"/>
      <w:r w:rsidR="00BF4920" w:rsidRPr="00705170">
        <w:rPr>
          <w:rFonts w:ascii="Times New Roman" w:hAnsi="Times New Roman" w:cs="Times New Roman"/>
        </w:rPr>
        <w:t>and</w:t>
      </w:r>
      <w:proofErr w:type="spellEnd"/>
      <w:r w:rsidR="00BF4920" w:rsidRPr="00705170">
        <w:rPr>
          <w:rFonts w:ascii="Times New Roman" w:hAnsi="Times New Roman" w:cs="Times New Roman"/>
        </w:rPr>
        <w:t xml:space="preserve"> </w:t>
      </w:r>
      <w:proofErr w:type="spellStart"/>
      <w:r w:rsidR="00BF4920" w:rsidRPr="00705170">
        <w:rPr>
          <w:rFonts w:ascii="Times New Roman" w:hAnsi="Times New Roman" w:cs="Times New Roman"/>
        </w:rPr>
        <w:t>turned</w:t>
      </w:r>
      <w:proofErr w:type="spellEnd"/>
      <w:r w:rsidR="00BF4920" w:rsidRPr="00705170">
        <w:rPr>
          <w:rFonts w:ascii="Times New Roman" w:hAnsi="Times New Roman" w:cs="Times New Roman"/>
        </w:rPr>
        <w:t xml:space="preserve"> </w:t>
      </w:r>
      <w:proofErr w:type="spellStart"/>
      <w:r w:rsidR="00870595" w:rsidRPr="00705170">
        <w:rPr>
          <w:rFonts w:ascii="Times New Roman" w:hAnsi="Times New Roman" w:cs="Times New Roman"/>
        </w:rPr>
        <w:t>in</w:t>
      </w:r>
      <w:r w:rsidR="00BF4920" w:rsidRPr="00705170">
        <w:rPr>
          <w:rFonts w:ascii="Times New Roman" w:hAnsi="Times New Roman" w:cs="Times New Roman"/>
        </w:rPr>
        <w:t>to</w:t>
      </w:r>
      <w:proofErr w:type="spellEnd"/>
      <w:r w:rsidR="00BF4920" w:rsidRPr="00705170">
        <w:rPr>
          <w:rFonts w:ascii="Times New Roman" w:hAnsi="Times New Roman" w:cs="Times New Roman"/>
        </w:rPr>
        <w:t xml:space="preserve"> a </w:t>
      </w:r>
      <w:proofErr w:type="spellStart"/>
      <w:r w:rsidR="00BF4920" w:rsidRPr="00705170">
        <w:rPr>
          <w:rFonts w:ascii="Times New Roman" w:hAnsi="Times New Roman" w:cs="Times New Roman"/>
        </w:rPr>
        <w:t>worthless</w:t>
      </w:r>
      <w:proofErr w:type="spellEnd"/>
      <w:r w:rsidR="00BF4920" w:rsidRPr="00705170">
        <w:rPr>
          <w:rFonts w:ascii="Times New Roman" w:hAnsi="Times New Roman" w:cs="Times New Roman"/>
        </w:rPr>
        <w:t xml:space="preserve"> </w:t>
      </w:r>
      <w:proofErr w:type="spellStart"/>
      <w:r w:rsidR="00BF4920" w:rsidRPr="00705170">
        <w:rPr>
          <w:rFonts w:ascii="Times New Roman" w:hAnsi="Times New Roman" w:cs="Times New Roman"/>
        </w:rPr>
        <w:t>asset</w:t>
      </w:r>
      <w:proofErr w:type="spellEnd"/>
      <w:r w:rsidR="00BF4920" w:rsidRPr="00705170">
        <w:rPr>
          <w:rFonts w:ascii="Times New Roman" w:hAnsi="Times New Roman" w:cs="Times New Roman"/>
        </w:rPr>
        <w:t xml:space="preserve"> in </w:t>
      </w:r>
      <w:proofErr w:type="spellStart"/>
      <w:r w:rsidR="00BF4920" w:rsidRPr="00705170">
        <w:rPr>
          <w:rFonts w:ascii="Times New Roman" w:hAnsi="Times New Roman" w:cs="Times New Roman"/>
        </w:rPr>
        <w:t>the</w:t>
      </w:r>
      <w:proofErr w:type="spellEnd"/>
      <w:r w:rsidR="00BF4920" w:rsidRPr="00705170">
        <w:rPr>
          <w:rFonts w:ascii="Times New Roman" w:hAnsi="Times New Roman" w:cs="Times New Roman"/>
        </w:rPr>
        <w:t xml:space="preserve"> </w:t>
      </w:r>
      <w:proofErr w:type="spellStart"/>
      <w:r w:rsidR="00BF4920" w:rsidRPr="00705170">
        <w:rPr>
          <w:rFonts w:ascii="Times New Roman" w:hAnsi="Times New Roman" w:cs="Times New Roman"/>
        </w:rPr>
        <w:t>corporation</w:t>
      </w:r>
      <w:proofErr w:type="spellEnd"/>
      <w:r w:rsidR="000E25BD" w:rsidRPr="00705170">
        <w:rPr>
          <w:rFonts w:ascii="Times New Roman" w:hAnsi="Times New Roman" w:cs="Times New Roman"/>
        </w:rPr>
        <w:t>,</w:t>
      </w:r>
      <w:r w:rsidR="00BF4920" w:rsidRPr="00705170">
        <w:rPr>
          <w:rFonts w:ascii="Times New Roman" w:hAnsi="Times New Roman" w:cs="Times New Roman"/>
        </w:rPr>
        <w:t xml:space="preserve"> </w:t>
      </w:r>
      <w:proofErr w:type="spellStart"/>
      <w:r w:rsidR="003E60DB" w:rsidRPr="00705170">
        <w:rPr>
          <w:rFonts w:ascii="Times New Roman" w:hAnsi="Times New Roman" w:cs="Times New Roman"/>
        </w:rPr>
        <w:t>through</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dissolution</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or</w:t>
      </w:r>
      <w:proofErr w:type="spellEnd"/>
      <w:r w:rsidR="003E60DB" w:rsidRPr="00705170">
        <w:rPr>
          <w:rFonts w:ascii="Times New Roman" w:hAnsi="Times New Roman" w:cs="Times New Roman"/>
        </w:rPr>
        <w:t xml:space="preserve"> an </w:t>
      </w:r>
      <w:proofErr w:type="spellStart"/>
      <w:r w:rsidR="003E60DB" w:rsidRPr="00705170">
        <w:rPr>
          <w:rFonts w:ascii="Times New Roman" w:hAnsi="Times New Roman" w:cs="Times New Roman"/>
        </w:rPr>
        <w:t>alternative</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remedy</w:t>
      </w:r>
      <w:proofErr w:type="spellEnd"/>
      <w:r w:rsidR="00CF2665" w:rsidRPr="00705170">
        <w:rPr>
          <w:rStyle w:val="DipnotBavurusu"/>
          <w:rFonts w:ascii="Times New Roman" w:hAnsi="Times New Roman" w:cs="Times New Roman"/>
        </w:rPr>
        <w:footnoteReference w:id="828"/>
      </w:r>
      <w:r w:rsidR="003E60DB" w:rsidRPr="00705170">
        <w:rPr>
          <w:rFonts w:ascii="Times New Roman" w:hAnsi="Times New Roman" w:cs="Times New Roman"/>
        </w:rPr>
        <w:t xml:space="preserve">, but </w:t>
      </w:r>
      <w:proofErr w:type="spellStart"/>
      <w:r w:rsidR="003E60DB" w:rsidRPr="00705170">
        <w:rPr>
          <w:rFonts w:ascii="Times New Roman" w:hAnsi="Times New Roman" w:cs="Times New Roman"/>
        </w:rPr>
        <w:t>also</w:t>
      </w:r>
      <w:proofErr w:type="spellEnd"/>
      <w:r w:rsidR="000E25BD" w:rsidRPr="00705170">
        <w:rPr>
          <w:rFonts w:ascii="Times New Roman" w:hAnsi="Times New Roman" w:cs="Times New Roman"/>
        </w:rPr>
        <w:t xml:space="preserve"> </w:t>
      </w:r>
      <w:proofErr w:type="spellStart"/>
      <w:r w:rsidR="000E25BD" w:rsidRPr="00705170">
        <w:rPr>
          <w:rFonts w:ascii="Times New Roman" w:hAnsi="Times New Roman" w:cs="Times New Roman"/>
        </w:rPr>
        <w:t>gives</w:t>
      </w:r>
      <w:proofErr w:type="spellEnd"/>
      <w:r w:rsidR="003E60DB" w:rsidRPr="00705170">
        <w:rPr>
          <w:rFonts w:ascii="Times New Roman" w:hAnsi="Times New Roman" w:cs="Times New Roman"/>
        </w:rPr>
        <w:t xml:space="preserve"> a </w:t>
      </w:r>
      <w:proofErr w:type="spellStart"/>
      <w:r w:rsidR="003E60DB" w:rsidRPr="00705170">
        <w:rPr>
          <w:rFonts w:ascii="Times New Roman" w:hAnsi="Times New Roman" w:cs="Times New Roman"/>
        </w:rPr>
        <w:t>leverage</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po</w:t>
      </w:r>
      <w:r w:rsidR="00870595" w:rsidRPr="00705170">
        <w:rPr>
          <w:rFonts w:ascii="Times New Roman" w:hAnsi="Times New Roman" w:cs="Times New Roman"/>
        </w:rPr>
        <w:t>int</w:t>
      </w:r>
      <w:proofErr w:type="spellEnd"/>
      <w:r w:rsidR="00870595" w:rsidRPr="00705170">
        <w:rPr>
          <w:rFonts w:ascii="Times New Roman" w:hAnsi="Times New Roman" w:cs="Times New Roman"/>
        </w:rPr>
        <w:t xml:space="preserve"> in his </w:t>
      </w:r>
      <w:proofErr w:type="spellStart"/>
      <w:r w:rsidR="00870595" w:rsidRPr="00705170">
        <w:rPr>
          <w:rFonts w:ascii="Times New Roman" w:hAnsi="Times New Roman" w:cs="Times New Roman"/>
        </w:rPr>
        <w:t>bargaining</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with</w:t>
      </w:r>
      <w:proofErr w:type="spellEnd"/>
      <w:r w:rsidR="00870595" w:rsidRPr="00705170">
        <w:rPr>
          <w:rFonts w:ascii="Times New Roman" w:hAnsi="Times New Roman" w:cs="Times New Roman"/>
        </w:rPr>
        <w:t xml:space="preserve"> </w:t>
      </w:r>
      <w:proofErr w:type="spellStart"/>
      <w:r w:rsidR="00870595" w:rsidRPr="00705170">
        <w:rPr>
          <w:rFonts w:ascii="Times New Roman" w:hAnsi="Times New Roman" w:cs="Times New Roman"/>
        </w:rPr>
        <w:t>the</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shareholders</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who</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are</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inclined</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to</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abuse</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their</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rights</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In</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this</w:t>
      </w:r>
      <w:proofErr w:type="spellEnd"/>
      <w:r w:rsidR="003E60DB" w:rsidRPr="00705170">
        <w:rPr>
          <w:rFonts w:ascii="Times New Roman" w:hAnsi="Times New Roman" w:cs="Times New Roman"/>
        </w:rPr>
        <w:t xml:space="preserve"> sense, </w:t>
      </w:r>
      <w:proofErr w:type="spellStart"/>
      <w:r w:rsidR="003E60DB" w:rsidRPr="00705170">
        <w:rPr>
          <w:rFonts w:ascii="Times New Roman" w:hAnsi="Times New Roman" w:cs="Times New Roman"/>
        </w:rPr>
        <w:t>the</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involuntary</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dissolution</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action’s</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primary</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effect</w:t>
      </w:r>
      <w:proofErr w:type="spellEnd"/>
      <w:r w:rsidR="003E60DB" w:rsidRPr="00705170">
        <w:rPr>
          <w:rFonts w:ascii="Times New Roman" w:hAnsi="Times New Roman" w:cs="Times New Roman"/>
        </w:rPr>
        <w:t xml:space="preserve"> is </w:t>
      </w:r>
      <w:proofErr w:type="spellStart"/>
      <w:r w:rsidR="003E60DB" w:rsidRPr="00705170">
        <w:rPr>
          <w:rFonts w:ascii="Times New Roman" w:hAnsi="Times New Roman" w:cs="Times New Roman"/>
        </w:rPr>
        <w:t>to</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deter</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the</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vicious</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shareholders</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from</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abusive</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actions</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by</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the</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threat</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the</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action</w:t>
      </w:r>
      <w:proofErr w:type="spellEnd"/>
      <w:r w:rsidR="003E60DB" w:rsidRPr="00705170">
        <w:rPr>
          <w:rFonts w:ascii="Times New Roman" w:hAnsi="Times New Roman" w:cs="Times New Roman"/>
        </w:rPr>
        <w:t xml:space="preserve"> </w:t>
      </w:r>
      <w:proofErr w:type="spellStart"/>
      <w:r w:rsidR="003E60DB" w:rsidRPr="00705170">
        <w:rPr>
          <w:rFonts w:ascii="Times New Roman" w:hAnsi="Times New Roman" w:cs="Times New Roman"/>
        </w:rPr>
        <w:t>poses</w:t>
      </w:r>
      <w:proofErr w:type="spellEnd"/>
      <w:r w:rsidR="00AF5963" w:rsidRPr="00705170">
        <w:rPr>
          <w:rFonts w:ascii="Times New Roman" w:hAnsi="Times New Roman" w:cs="Times New Roman"/>
        </w:rPr>
        <w:t xml:space="preserve"> </w:t>
      </w:r>
      <w:proofErr w:type="spellStart"/>
      <w:r w:rsidR="00AF5963" w:rsidRPr="00705170">
        <w:rPr>
          <w:rFonts w:ascii="Times New Roman" w:hAnsi="Times New Roman" w:cs="Times New Roman"/>
        </w:rPr>
        <w:t>and</w:t>
      </w:r>
      <w:proofErr w:type="spellEnd"/>
      <w:r w:rsidR="00AF5963" w:rsidRPr="00705170">
        <w:rPr>
          <w:rFonts w:ascii="Times New Roman" w:hAnsi="Times New Roman" w:cs="Times New Roman"/>
        </w:rPr>
        <w:t xml:space="preserve"> </w:t>
      </w:r>
      <w:proofErr w:type="spellStart"/>
      <w:r w:rsidR="00AF5963" w:rsidRPr="00705170">
        <w:rPr>
          <w:rFonts w:ascii="Times New Roman" w:hAnsi="Times New Roman" w:cs="Times New Roman"/>
        </w:rPr>
        <w:t>consummate</w:t>
      </w:r>
      <w:proofErr w:type="spellEnd"/>
      <w:r w:rsidR="00AF5963" w:rsidRPr="00705170">
        <w:rPr>
          <w:rFonts w:ascii="Times New Roman" w:hAnsi="Times New Roman" w:cs="Times New Roman"/>
        </w:rPr>
        <w:t xml:space="preserve"> </w:t>
      </w:r>
      <w:proofErr w:type="spellStart"/>
      <w:r w:rsidR="00AF5963" w:rsidRPr="00705170">
        <w:rPr>
          <w:rFonts w:ascii="Times New Roman" w:hAnsi="Times New Roman" w:cs="Times New Roman"/>
        </w:rPr>
        <w:t>the</w:t>
      </w:r>
      <w:proofErr w:type="spellEnd"/>
      <w:r w:rsidR="00AF5963" w:rsidRPr="00705170">
        <w:rPr>
          <w:rFonts w:ascii="Times New Roman" w:hAnsi="Times New Roman" w:cs="Times New Roman"/>
        </w:rPr>
        <w:t xml:space="preserve"> </w:t>
      </w:r>
      <w:proofErr w:type="spellStart"/>
      <w:r w:rsidR="00AF5963" w:rsidRPr="00705170">
        <w:rPr>
          <w:rFonts w:ascii="Times New Roman" w:hAnsi="Times New Roman" w:cs="Times New Roman"/>
        </w:rPr>
        <w:t>minority</w:t>
      </w:r>
      <w:proofErr w:type="spellEnd"/>
      <w:r w:rsidR="00AF5963" w:rsidRPr="00705170">
        <w:rPr>
          <w:rFonts w:ascii="Times New Roman" w:hAnsi="Times New Roman" w:cs="Times New Roman"/>
        </w:rPr>
        <w:t xml:space="preserve"> </w:t>
      </w:r>
      <w:proofErr w:type="spellStart"/>
      <w:r w:rsidR="00AF5963" w:rsidRPr="00705170">
        <w:rPr>
          <w:rFonts w:ascii="Times New Roman" w:hAnsi="Times New Roman" w:cs="Times New Roman"/>
        </w:rPr>
        <w:t>rights</w:t>
      </w:r>
      <w:proofErr w:type="spellEnd"/>
      <w:r w:rsidR="00AF5963" w:rsidRPr="00705170">
        <w:rPr>
          <w:rFonts w:ascii="Times New Roman" w:hAnsi="Times New Roman" w:cs="Times New Roman"/>
        </w:rPr>
        <w:t xml:space="preserve"> </w:t>
      </w:r>
      <w:proofErr w:type="spellStart"/>
      <w:r w:rsidR="00AF5963" w:rsidRPr="00705170">
        <w:rPr>
          <w:rFonts w:ascii="Times New Roman" w:hAnsi="Times New Roman" w:cs="Times New Roman"/>
        </w:rPr>
        <w:t>granted</w:t>
      </w:r>
      <w:proofErr w:type="spellEnd"/>
      <w:r w:rsidR="00AF5963" w:rsidRPr="00705170">
        <w:rPr>
          <w:rFonts w:ascii="Times New Roman" w:hAnsi="Times New Roman" w:cs="Times New Roman"/>
        </w:rPr>
        <w:t xml:space="preserve"> </w:t>
      </w:r>
      <w:proofErr w:type="spellStart"/>
      <w:r w:rsidR="00AF5963" w:rsidRPr="00705170">
        <w:rPr>
          <w:rFonts w:ascii="Times New Roman" w:hAnsi="Times New Roman" w:cs="Times New Roman"/>
        </w:rPr>
        <w:t>by</w:t>
      </w:r>
      <w:proofErr w:type="spellEnd"/>
      <w:r w:rsidR="00AF5963" w:rsidRPr="00705170">
        <w:rPr>
          <w:rFonts w:ascii="Times New Roman" w:hAnsi="Times New Roman" w:cs="Times New Roman"/>
        </w:rPr>
        <w:t xml:space="preserve"> </w:t>
      </w:r>
      <w:proofErr w:type="spellStart"/>
      <w:r w:rsidR="00AF5963" w:rsidRPr="00705170">
        <w:rPr>
          <w:rFonts w:ascii="Times New Roman" w:hAnsi="Times New Roman" w:cs="Times New Roman"/>
        </w:rPr>
        <w:t>the</w:t>
      </w:r>
      <w:proofErr w:type="spellEnd"/>
      <w:r w:rsidR="00AF5963" w:rsidRPr="00705170">
        <w:rPr>
          <w:rFonts w:ascii="Times New Roman" w:hAnsi="Times New Roman" w:cs="Times New Roman"/>
        </w:rPr>
        <w:t xml:space="preserve"> </w:t>
      </w:r>
      <w:proofErr w:type="spellStart"/>
      <w:r w:rsidR="00AF5963" w:rsidRPr="00705170">
        <w:rPr>
          <w:rFonts w:ascii="Times New Roman" w:hAnsi="Times New Roman" w:cs="Times New Roman"/>
        </w:rPr>
        <w:t>law</w:t>
      </w:r>
      <w:proofErr w:type="spellEnd"/>
      <w:r w:rsidR="003E60DB" w:rsidRPr="00705170">
        <w:rPr>
          <w:rStyle w:val="DipnotBavurusu"/>
          <w:rFonts w:ascii="Times New Roman" w:hAnsi="Times New Roman" w:cs="Times New Roman"/>
        </w:rPr>
        <w:footnoteReference w:id="829"/>
      </w:r>
      <w:r w:rsidR="003E60DB" w:rsidRPr="00705170">
        <w:rPr>
          <w:rFonts w:ascii="Times New Roman" w:hAnsi="Times New Roman" w:cs="Times New Roman"/>
        </w:rPr>
        <w:t>.</w:t>
      </w:r>
      <w:r w:rsidR="00BD1F89" w:rsidRPr="00705170">
        <w:rPr>
          <w:rFonts w:ascii="Times New Roman" w:hAnsi="Times New Roman" w:cs="Times New Roman"/>
        </w:rPr>
        <w:t xml:space="preserve"> </w:t>
      </w:r>
      <w:proofErr w:type="spellStart"/>
      <w:r w:rsidR="00031175" w:rsidRPr="00705170">
        <w:rPr>
          <w:rFonts w:ascii="Times New Roman" w:hAnsi="Times New Roman" w:cs="Times New Roman"/>
        </w:rPr>
        <w:t>In</w:t>
      </w:r>
      <w:proofErr w:type="spellEnd"/>
      <w:r w:rsidR="00031175" w:rsidRPr="00705170">
        <w:rPr>
          <w:rFonts w:ascii="Times New Roman" w:hAnsi="Times New Roman" w:cs="Times New Roman"/>
        </w:rPr>
        <w:t xml:space="preserve"> </w:t>
      </w:r>
      <w:proofErr w:type="spellStart"/>
      <w:r w:rsidR="00031175" w:rsidRPr="00705170">
        <w:rPr>
          <w:rFonts w:ascii="Times New Roman" w:hAnsi="Times New Roman" w:cs="Times New Roman"/>
        </w:rPr>
        <w:t>Turkish</w:t>
      </w:r>
      <w:proofErr w:type="spellEnd"/>
      <w:r w:rsidR="00031175" w:rsidRPr="00705170">
        <w:rPr>
          <w:rFonts w:ascii="Times New Roman" w:hAnsi="Times New Roman" w:cs="Times New Roman"/>
        </w:rPr>
        <w:t xml:space="preserve"> </w:t>
      </w:r>
      <w:proofErr w:type="spellStart"/>
      <w:r w:rsidR="00031175" w:rsidRPr="00705170">
        <w:rPr>
          <w:rFonts w:ascii="Times New Roman" w:hAnsi="Times New Roman" w:cs="Times New Roman"/>
        </w:rPr>
        <w:t>law</w:t>
      </w:r>
      <w:proofErr w:type="spellEnd"/>
      <w:r w:rsidR="002965C1" w:rsidRPr="00705170">
        <w:rPr>
          <w:rFonts w:ascii="Times New Roman" w:hAnsi="Times New Roman" w:cs="Times New Roman"/>
        </w:rPr>
        <w:t xml:space="preserve">, </w:t>
      </w:r>
      <w:proofErr w:type="spellStart"/>
      <w:r w:rsidR="00031175" w:rsidRPr="00705170">
        <w:rPr>
          <w:rFonts w:ascii="Times New Roman" w:hAnsi="Times New Roman" w:cs="Times New Roman"/>
        </w:rPr>
        <w:t>deterrence</w:t>
      </w:r>
      <w:proofErr w:type="spellEnd"/>
      <w:r w:rsidR="00031175" w:rsidRPr="00705170">
        <w:rPr>
          <w:rFonts w:ascii="Times New Roman" w:hAnsi="Times New Roman" w:cs="Times New Roman"/>
        </w:rPr>
        <w:t xml:space="preserve"> </w:t>
      </w:r>
      <w:proofErr w:type="spellStart"/>
      <w:r w:rsidR="00031175" w:rsidRPr="00705170">
        <w:rPr>
          <w:rFonts w:ascii="Times New Roman" w:hAnsi="Times New Roman" w:cs="Times New Roman"/>
        </w:rPr>
        <w:t>from</w:t>
      </w:r>
      <w:proofErr w:type="spellEnd"/>
      <w:r w:rsidR="00031175" w:rsidRPr="00705170">
        <w:rPr>
          <w:rFonts w:ascii="Times New Roman" w:hAnsi="Times New Roman" w:cs="Times New Roman"/>
        </w:rPr>
        <w:t xml:space="preserve"> </w:t>
      </w:r>
      <w:proofErr w:type="spellStart"/>
      <w:r w:rsidR="00031175" w:rsidRPr="00705170">
        <w:rPr>
          <w:rFonts w:ascii="Times New Roman" w:hAnsi="Times New Roman" w:cs="Times New Roman"/>
        </w:rPr>
        <w:t>abusive</w:t>
      </w:r>
      <w:proofErr w:type="spellEnd"/>
      <w:r w:rsidR="00031175" w:rsidRPr="00705170">
        <w:rPr>
          <w:rFonts w:ascii="Times New Roman" w:hAnsi="Times New Roman" w:cs="Times New Roman"/>
        </w:rPr>
        <w:t xml:space="preserve"> </w:t>
      </w:r>
      <w:proofErr w:type="spellStart"/>
      <w:r w:rsidR="00031175" w:rsidRPr="00705170">
        <w:rPr>
          <w:rFonts w:ascii="Times New Roman" w:hAnsi="Times New Roman" w:cs="Times New Roman"/>
        </w:rPr>
        <w:t>action</w:t>
      </w:r>
      <w:proofErr w:type="spellEnd"/>
      <w:r w:rsidR="00031175" w:rsidRPr="00705170">
        <w:rPr>
          <w:rFonts w:ascii="Times New Roman" w:hAnsi="Times New Roman" w:cs="Times New Roman"/>
        </w:rPr>
        <w:t xml:space="preserve"> </w:t>
      </w:r>
      <w:r w:rsidR="002965C1" w:rsidRPr="00705170">
        <w:rPr>
          <w:rFonts w:ascii="Times New Roman" w:hAnsi="Times New Roman" w:cs="Times New Roman"/>
        </w:rPr>
        <w:t>is</w:t>
      </w:r>
      <w:r w:rsidR="00C65DF6">
        <w:rPr>
          <w:rFonts w:ascii="Times New Roman" w:hAnsi="Times New Roman" w:cs="Times New Roman"/>
        </w:rPr>
        <w:t xml:space="preserve"> </w:t>
      </w:r>
      <w:proofErr w:type="spellStart"/>
      <w:r w:rsidR="00C65DF6">
        <w:rPr>
          <w:rFonts w:ascii="Times New Roman" w:hAnsi="Times New Roman" w:cs="Times New Roman"/>
        </w:rPr>
        <w:t>particularly</w:t>
      </w:r>
      <w:proofErr w:type="spellEnd"/>
      <w:r w:rsidR="002965C1" w:rsidRPr="00705170">
        <w:rPr>
          <w:rFonts w:ascii="Times New Roman" w:hAnsi="Times New Roman" w:cs="Times New Roman"/>
        </w:rPr>
        <w:t xml:space="preserve"> </w:t>
      </w:r>
      <w:proofErr w:type="spellStart"/>
      <w:r w:rsidR="002965C1" w:rsidRPr="00705170">
        <w:rPr>
          <w:rFonts w:ascii="Times New Roman" w:hAnsi="Times New Roman" w:cs="Times New Roman"/>
        </w:rPr>
        <w:t>claimed</w:t>
      </w:r>
      <w:proofErr w:type="spellEnd"/>
      <w:r w:rsidR="002965C1" w:rsidRPr="00705170">
        <w:rPr>
          <w:rFonts w:ascii="Times New Roman" w:hAnsi="Times New Roman" w:cs="Times New Roman"/>
        </w:rPr>
        <w:t xml:space="preserve"> as </w:t>
      </w:r>
      <w:proofErr w:type="spellStart"/>
      <w:r w:rsidR="002965C1" w:rsidRPr="00705170">
        <w:rPr>
          <w:rFonts w:ascii="Times New Roman" w:hAnsi="Times New Roman" w:cs="Times New Roman"/>
        </w:rPr>
        <w:t>the</w:t>
      </w:r>
      <w:proofErr w:type="spellEnd"/>
      <w:r w:rsidR="002965C1" w:rsidRPr="00705170">
        <w:rPr>
          <w:rFonts w:ascii="Times New Roman" w:hAnsi="Times New Roman" w:cs="Times New Roman"/>
        </w:rPr>
        <w:t xml:space="preserve"> </w:t>
      </w:r>
      <w:proofErr w:type="spellStart"/>
      <w:r w:rsidR="002965C1" w:rsidRPr="00705170">
        <w:rPr>
          <w:rFonts w:ascii="Times New Roman" w:hAnsi="Times New Roman" w:cs="Times New Roman"/>
        </w:rPr>
        <w:t>justification</w:t>
      </w:r>
      <w:proofErr w:type="spellEnd"/>
      <w:r w:rsidR="002965C1" w:rsidRPr="00705170">
        <w:rPr>
          <w:rFonts w:ascii="Times New Roman" w:hAnsi="Times New Roman" w:cs="Times New Roman"/>
        </w:rPr>
        <w:t xml:space="preserve"> of </w:t>
      </w:r>
      <w:proofErr w:type="spellStart"/>
      <w:r w:rsidR="002965C1" w:rsidRPr="00705170">
        <w:rPr>
          <w:rFonts w:ascii="Times New Roman" w:hAnsi="Times New Roman" w:cs="Times New Roman"/>
        </w:rPr>
        <w:t>imposing</w:t>
      </w:r>
      <w:proofErr w:type="spellEnd"/>
      <w:r w:rsidR="002965C1" w:rsidRPr="00705170">
        <w:rPr>
          <w:rFonts w:ascii="Times New Roman" w:hAnsi="Times New Roman" w:cs="Times New Roman"/>
        </w:rPr>
        <w:t xml:space="preserve"> </w:t>
      </w:r>
      <w:proofErr w:type="spellStart"/>
      <w:r w:rsidR="002965C1" w:rsidRPr="00705170">
        <w:rPr>
          <w:rFonts w:ascii="Times New Roman" w:hAnsi="Times New Roman" w:cs="Times New Roman"/>
        </w:rPr>
        <w:t>this</w:t>
      </w:r>
      <w:proofErr w:type="spellEnd"/>
      <w:r w:rsidR="002965C1" w:rsidRPr="00705170">
        <w:rPr>
          <w:rFonts w:ascii="Times New Roman" w:hAnsi="Times New Roman" w:cs="Times New Roman"/>
        </w:rPr>
        <w:t xml:space="preserve"> </w:t>
      </w:r>
      <w:proofErr w:type="spellStart"/>
      <w:r w:rsidR="002965C1" w:rsidRPr="00705170">
        <w:rPr>
          <w:rFonts w:ascii="Times New Roman" w:hAnsi="Times New Roman" w:cs="Times New Roman"/>
        </w:rPr>
        <w:t>provision</w:t>
      </w:r>
      <w:proofErr w:type="spellEnd"/>
      <w:r w:rsidR="002965C1" w:rsidRPr="00705170">
        <w:rPr>
          <w:rFonts w:ascii="Times New Roman" w:hAnsi="Times New Roman" w:cs="Times New Roman"/>
        </w:rPr>
        <w:t xml:space="preserve"> on </w:t>
      </w:r>
      <w:proofErr w:type="spellStart"/>
      <w:r w:rsidR="002965C1" w:rsidRPr="00705170">
        <w:rPr>
          <w:rFonts w:ascii="Times New Roman" w:hAnsi="Times New Roman" w:cs="Times New Roman"/>
        </w:rPr>
        <w:t>publicly</w:t>
      </w:r>
      <w:proofErr w:type="spellEnd"/>
      <w:r w:rsidR="002965C1" w:rsidRPr="00705170">
        <w:rPr>
          <w:rFonts w:ascii="Times New Roman" w:hAnsi="Times New Roman" w:cs="Times New Roman"/>
        </w:rPr>
        <w:t xml:space="preserve"> </w:t>
      </w:r>
      <w:proofErr w:type="spellStart"/>
      <w:r w:rsidR="002965C1" w:rsidRPr="00705170">
        <w:rPr>
          <w:rFonts w:ascii="Times New Roman" w:hAnsi="Times New Roman" w:cs="Times New Roman"/>
        </w:rPr>
        <w:t>traded</w:t>
      </w:r>
      <w:proofErr w:type="spellEnd"/>
      <w:r w:rsidR="002965C1" w:rsidRPr="00705170">
        <w:rPr>
          <w:rFonts w:ascii="Times New Roman" w:hAnsi="Times New Roman" w:cs="Times New Roman"/>
        </w:rPr>
        <w:t xml:space="preserve"> </w:t>
      </w:r>
      <w:proofErr w:type="spellStart"/>
      <w:r w:rsidR="002965C1" w:rsidRPr="00705170">
        <w:rPr>
          <w:rFonts w:ascii="Times New Roman" w:hAnsi="Times New Roman" w:cs="Times New Roman"/>
        </w:rPr>
        <w:t>corporations</w:t>
      </w:r>
      <w:proofErr w:type="spellEnd"/>
      <w:r w:rsidR="002965C1" w:rsidRPr="00705170">
        <w:rPr>
          <w:rStyle w:val="DipnotBavurusu"/>
          <w:rFonts w:ascii="Times New Roman" w:hAnsi="Times New Roman" w:cs="Times New Roman"/>
        </w:rPr>
        <w:footnoteReference w:id="830"/>
      </w:r>
      <w:r w:rsidR="002965C1" w:rsidRPr="00705170">
        <w:rPr>
          <w:rFonts w:ascii="Times New Roman" w:hAnsi="Times New Roman" w:cs="Times New Roman"/>
        </w:rPr>
        <w:t xml:space="preserve">. </w:t>
      </w:r>
    </w:p>
    <w:p w14:paraId="7918194F" w14:textId="0FC50307" w:rsidR="006632ED" w:rsidRPr="00705170" w:rsidRDefault="00031175" w:rsidP="00031175">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w:t>
      </w:r>
      <w:r w:rsidR="00BD1F89" w:rsidRPr="00705170">
        <w:rPr>
          <w:rFonts w:ascii="Times New Roman" w:hAnsi="Times New Roman" w:cs="Times New Roman"/>
        </w:rPr>
        <w:t>he</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institu</w:t>
      </w:r>
      <w:r w:rsidR="00C83D59">
        <w:rPr>
          <w:rFonts w:ascii="Times New Roman" w:hAnsi="Times New Roman" w:cs="Times New Roman"/>
        </w:rPr>
        <w:t>ti</w:t>
      </w:r>
      <w:r w:rsidR="00BD1F89" w:rsidRPr="00705170">
        <w:rPr>
          <w:rFonts w:ascii="Times New Roman" w:hAnsi="Times New Roman" w:cs="Times New Roman"/>
        </w:rPr>
        <w:t>onal</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structure</w:t>
      </w:r>
      <w:proofErr w:type="spellEnd"/>
      <w:r w:rsidR="00BD1F89" w:rsidRPr="00705170">
        <w:rPr>
          <w:rFonts w:ascii="Times New Roman" w:hAnsi="Times New Roman" w:cs="Times New Roman"/>
        </w:rPr>
        <w:t xml:space="preserve"> of </w:t>
      </w:r>
      <w:proofErr w:type="spellStart"/>
      <w:r w:rsidR="00BD1F89" w:rsidRPr="00705170">
        <w:rPr>
          <w:rFonts w:ascii="Times New Roman" w:hAnsi="Times New Roman" w:cs="Times New Roman"/>
        </w:rPr>
        <w:t>the</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corporation</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and</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the</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stakeholders</w:t>
      </w:r>
      <w:proofErr w:type="spellEnd"/>
      <w:r w:rsidR="00BD1F89" w:rsidRPr="00705170">
        <w:rPr>
          <w:rFonts w:ascii="Times New Roman" w:hAnsi="Times New Roman" w:cs="Times New Roman"/>
        </w:rPr>
        <w:t xml:space="preserve"> in </w:t>
      </w:r>
      <w:proofErr w:type="spellStart"/>
      <w:r w:rsidR="00BD1F89" w:rsidRPr="00705170">
        <w:rPr>
          <w:rFonts w:ascii="Times New Roman" w:hAnsi="Times New Roman" w:cs="Times New Roman"/>
        </w:rPr>
        <w:t>connection</w:t>
      </w:r>
      <w:proofErr w:type="spellEnd"/>
      <w:r w:rsidR="00BD1F89"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791598">
        <w:rPr>
          <w:rFonts w:ascii="Times New Roman" w:hAnsi="Times New Roman" w:cs="Times New Roman"/>
        </w:rPr>
        <w:t>corporate</w:t>
      </w:r>
      <w:proofErr w:type="spellEnd"/>
      <w:r w:rsidR="00791598">
        <w:rPr>
          <w:rFonts w:ascii="Times New Roman" w:hAnsi="Times New Roman" w:cs="Times New Roman"/>
        </w:rPr>
        <w:t xml:space="preserve"> </w:t>
      </w:r>
      <w:proofErr w:type="spellStart"/>
      <w:r w:rsidRPr="00705170">
        <w:rPr>
          <w:rFonts w:ascii="Times New Roman" w:hAnsi="Times New Roman" w:cs="Times New Roman"/>
        </w:rPr>
        <w:t>institution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requires</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this</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right</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to</w:t>
      </w:r>
      <w:proofErr w:type="spellEnd"/>
      <w:r w:rsidR="00BD1F89" w:rsidRPr="00705170">
        <w:rPr>
          <w:rFonts w:ascii="Times New Roman" w:hAnsi="Times New Roman" w:cs="Times New Roman"/>
        </w:rPr>
        <w:t xml:space="preserve"> be </w:t>
      </w:r>
      <w:proofErr w:type="spellStart"/>
      <w:r w:rsidR="00BD1F89" w:rsidRPr="00705170">
        <w:rPr>
          <w:rFonts w:ascii="Times New Roman" w:hAnsi="Times New Roman" w:cs="Times New Roman"/>
        </w:rPr>
        <w:t>exercised</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through</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and</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under</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the</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supervision</w:t>
      </w:r>
      <w:proofErr w:type="spellEnd"/>
      <w:r w:rsidR="00BD1F89" w:rsidRPr="00705170">
        <w:rPr>
          <w:rFonts w:ascii="Times New Roman" w:hAnsi="Times New Roman" w:cs="Times New Roman"/>
        </w:rPr>
        <w:t xml:space="preserve"> of </w:t>
      </w:r>
      <w:proofErr w:type="spellStart"/>
      <w:r w:rsidR="00BD1F89" w:rsidRPr="00705170">
        <w:rPr>
          <w:rFonts w:ascii="Times New Roman" w:hAnsi="Times New Roman" w:cs="Times New Roman"/>
        </w:rPr>
        <w:t>the</w:t>
      </w:r>
      <w:proofErr w:type="spellEnd"/>
      <w:r w:rsidR="00BD1F89" w:rsidRPr="00705170">
        <w:rPr>
          <w:rFonts w:ascii="Times New Roman" w:hAnsi="Times New Roman" w:cs="Times New Roman"/>
        </w:rPr>
        <w:t xml:space="preserve"> </w:t>
      </w:r>
      <w:proofErr w:type="spellStart"/>
      <w:r w:rsidR="00BD1F89" w:rsidRPr="00705170">
        <w:rPr>
          <w:rFonts w:ascii="Times New Roman" w:hAnsi="Times New Roman" w:cs="Times New Roman"/>
        </w:rPr>
        <w:t>judiciary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satisfying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certain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elements</w:t>
      </w:r>
      <w:proofErr w:type="spellEnd"/>
      <w:r w:rsidR="00BD1F89" w:rsidRPr="00705170">
        <w:rPr>
          <w:rStyle w:val="DipnotBavurusu"/>
          <w:rFonts w:ascii="Times New Roman" w:hAnsi="Times New Roman" w:cs="Times New Roman"/>
        </w:rPr>
        <w:footnoteReference w:id="831"/>
      </w:r>
      <w:r w:rsidR="00BD1F89" w:rsidRPr="00705170">
        <w:rPr>
          <w:rFonts w:ascii="Times New Roman" w:hAnsi="Times New Roman" w:cs="Times New Roman"/>
        </w:rPr>
        <w:t>.</w:t>
      </w:r>
      <w:r w:rsidRPr="00705170">
        <w:rPr>
          <w:rFonts w:ascii="Times New Roman" w:hAnsi="Times New Roman" w:cs="Times New Roman"/>
        </w:rPr>
        <w:t xml:space="preserve"> </w:t>
      </w:r>
      <w:r w:rsidR="008975B2" w:rsidRPr="00705170">
        <w:rPr>
          <w:rFonts w:ascii="Times New Roman" w:hAnsi="Times New Roman" w:cs="Times New Roman"/>
        </w:rPr>
        <w:t>A</w:t>
      </w:r>
      <w:r w:rsidR="00F603E9" w:rsidRPr="00705170">
        <w:rPr>
          <w:rFonts w:ascii="Times New Roman" w:hAnsi="Times New Roman" w:cs="Times New Roman"/>
        </w:rPr>
        <w:t xml:space="preserve">s </w:t>
      </w:r>
      <w:proofErr w:type="spellStart"/>
      <w:r w:rsidR="00F603E9" w:rsidRPr="00705170">
        <w:rPr>
          <w:rFonts w:ascii="Times New Roman" w:hAnsi="Times New Roman" w:cs="Times New Roman"/>
        </w:rPr>
        <w:t>the</w:t>
      </w:r>
      <w:proofErr w:type="spellEnd"/>
      <w:r w:rsidR="00F603E9" w:rsidRPr="00705170">
        <w:rPr>
          <w:rFonts w:ascii="Times New Roman" w:hAnsi="Times New Roman" w:cs="Times New Roman"/>
        </w:rPr>
        <w:t xml:space="preserve"> </w:t>
      </w:r>
      <w:proofErr w:type="spellStart"/>
      <w:r w:rsidR="00F603E9" w:rsidRPr="00705170">
        <w:rPr>
          <w:rFonts w:ascii="Times New Roman" w:hAnsi="Times New Roman" w:cs="Times New Roman"/>
        </w:rPr>
        <w:t>capital</w:t>
      </w:r>
      <w:proofErr w:type="spellEnd"/>
      <w:r w:rsidR="00F603E9" w:rsidRPr="00705170">
        <w:rPr>
          <w:rFonts w:ascii="Times New Roman" w:hAnsi="Times New Roman" w:cs="Times New Roman"/>
        </w:rPr>
        <w:t xml:space="preserve"> element </w:t>
      </w:r>
      <w:proofErr w:type="spellStart"/>
      <w:r w:rsidR="00F603E9" w:rsidRPr="00705170">
        <w:rPr>
          <w:rFonts w:ascii="Times New Roman" w:hAnsi="Times New Roman" w:cs="Times New Roman"/>
        </w:rPr>
        <w:t>predominates</w:t>
      </w:r>
      <w:proofErr w:type="spellEnd"/>
      <w:r w:rsidR="00F603E9" w:rsidRPr="00705170">
        <w:rPr>
          <w:rFonts w:ascii="Times New Roman" w:hAnsi="Times New Roman" w:cs="Times New Roman"/>
        </w:rPr>
        <w:t xml:space="preserve"> </w:t>
      </w:r>
      <w:proofErr w:type="spellStart"/>
      <w:r w:rsidR="00F603E9" w:rsidRPr="00705170">
        <w:rPr>
          <w:rFonts w:ascii="Times New Roman" w:hAnsi="Times New Roman" w:cs="Times New Roman"/>
        </w:rPr>
        <w:t>over</w:t>
      </w:r>
      <w:proofErr w:type="spellEnd"/>
      <w:r w:rsidR="00F603E9" w:rsidRPr="00705170">
        <w:rPr>
          <w:rFonts w:ascii="Times New Roman" w:hAnsi="Times New Roman" w:cs="Times New Roman"/>
        </w:rPr>
        <w:t xml:space="preserve"> </w:t>
      </w:r>
      <w:proofErr w:type="spellStart"/>
      <w:r w:rsidR="00F603E9" w:rsidRPr="00705170">
        <w:rPr>
          <w:rFonts w:ascii="Times New Roman" w:hAnsi="Times New Roman" w:cs="Times New Roman"/>
        </w:rPr>
        <w:t>the</w:t>
      </w:r>
      <w:proofErr w:type="spellEnd"/>
      <w:r w:rsidR="00F603E9" w:rsidRPr="00705170">
        <w:rPr>
          <w:rFonts w:ascii="Times New Roman" w:hAnsi="Times New Roman" w:cs="Times New Roman"/>
        </w:rPr>
        <w:t xml:space="preserve"> </w:t>
      </w:r>
      <w:proofErr w:type="spellStart"/>
      <w:r w:rsidR="00F603E9" w:rsidRPr="00705170">
        <w:rPr>
          <w:rFonts w:ascii="Times New Roman" w:hAnsi="Times New Roman" w:cs="Times New Roman"/>
        </w:rPr>
        <w:t>p</w:t>
      </w:r>
      <w:r w:rsidR="008975B2" w:rsidRPr="00705170">
        <w:rPr>
          <w:rFonts w:ascii="Times New Roman" w:hAnsi="Times New Roman" w:cs="Times New Roman"/>
        </w:rPr>
        <w:t>ersonal</w:t>
      </w:r>
      <w:proofErr w:type="spellEnd"/>
      <w:r w:rsidR="008975B2" w:rsidRPr="00705170">
        <w:rPr>
          <w:rFonts w:ascii="Times New Roman" w:hAnsi="Times New Roman" w:cs="Times New Roman"/>
        </w:rPr>
        <w:t xml:space="preserve"> </w:t>
      </w:r>
      <w:proofErr w:type="spellStart"/>
      <w:r w:rsidR="008975B2" w:rsidRPr="00705170">
        <w:rPr>
          <w:rFonts w:ascii="Times New Roman" w:hAnsi="Times New Roman" w:cs="Times New Roman"/>
        </w:rPr>
        <w:t>relations</w:t>
      </w:r>
      <w:proofErr w:type="spellEnd"/>
      <w:r w:rsidR="008975B2" w:rsidRPr="00705170">
        <w:rPr>
          <w:rFonts w:ascii="Times New Roman" w:hAnsi="Times New Roman" w:cs="Times New Roman"/>
        </w:rPr>
        <w:t xml:space="preserve"> element</w:t>
      </w:r>
      <w:r w:rsidR="00F603E9" w:rsidRPr="00705170">
        <w:rPr>
          <w:rFonts w:ascii="Times New Roman" w:hAnsi="Times New Roman" w:cs="Times New Roman"/>
        </w:rPr>
        <w:t xml:space="preserve"> in </w:t>
      </w:r>
      <w:proofErr w:type="spellStart"/>
      <w:r w:rsidRPr="00705170">
        <w:rPr>
          <w:rFonts w:ascii="Times New Roman" w:hAnsi="Times New Roman" w:cs="Times New Roman"/>
        </w:rPr>
        <w:t>especially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00F603E9" w:rsidRPr="00705170">
        <w:rPr>
          <w:rFonts w:ascii="Times New Roman" w:hAnsi="Times New Roman" w:cs="Times New Roman"/>
        </w:rPr>
        <w:t>corporations</w:t>
      </w:r>
      <w:proofErr w:type="spellEnd"/>
      <w:r w:rsidR="008975B2" w:rsidRPr="00705170">
        <w:rPr>
          <w:rFonts w:ascii="Times New Roman" w:hAnsi="Times New Roman" w:cs="Times New Roman"/>
        </w:rPr>
        <w:t xml:space="preserve">, </w:t>
      </w:r>
      <w:proofErr w:type="spellStart"/>
      <w:r w:rsidR="008975B2" w:rsidRPr="00705170">
        <w:rPr>
          <w:rFonts w:ascii="Times New Roman" w:hAnsi="Times New Roman" w:cs="Times New Roman"/>
        </w:rPr>
        <w:t>there</w:t>
      </w:r>
      <w:proofErr w:type="spellEnd"/>
      <w:r w:rsidR="008975B2" w:rsidRPr="00705170">
        <w:rPr>
          <w:rFonts w:ascii="Times New Roman" w:hAnsi="Times New Roman" w:cs="Times New Roman"/>
        </w:rPr>
        <w:t xml:space="preserve"> is </w:t>
      </w:r>
      <w:proofErr w:type="spellStart"/>
      <w:r w:rsidR="008975B2" w:rsidRPr="00705170">
        <w:rPr>
          <w:rFonts w:ascii="Times New Roman" w:hAnsi="Times New Roman" w:cs="Times New Roman"/>
        </w:rPr>
        <w:t>no</w:t>
      </w:r>
      <w:proofErr w:type="spellEnd"/>
      <w:r w:rsidR="008975B2" w:rsidRPr="00705170">
        <w:rPr>
          <w:rFonts w:ascii="Times New Roman" w:hAnsi="Times New Roman" w:cs="Times New Roman"/>
        </w:rPr>
        <w:t xml:space="preserve"> </w:t>
      </w:r>
      <w:proofErr w:type="spellStart"/>
      <w:r w:rsidR="00F603E9" w:rsidRPr="00705170">
        <w:rPr>
          <w:rFonts w:ascii="Times New Roman" w:hAnsi="Times New Roman" w:cs="Times New Roman"/>
        </w:rPr>
        <w:t>statutory</w:t>
      </w:r>
      <w:proofErr w:type="spellEnd"/>
      <w:r w:rsidR="00F603E9" w:rsidRPr="00705170">
        <w:rPr>
          <w:rFonts w:ascii="Times New Roman" w:hAnsi="Times New Roman" w:cs="Times New Roman"/>
        </w:rPr>
        <w:t xml:space="preserve"> </w:t>
      </w:r>
      <w:r w:rsidR="008975B2" w:rsidRPr="00705170">
        <w:rPr>
          <w:rFonts w:ascii="Times New Roman" w:hAnsi="Times New Roman" w:cs="Times New Roman"/>
        </w:rPr>
        <w:t>“</w:t>
      </w:r>
      <w:proofErr w:type="spellStart"/>
      <w:r w:rsidR="008975B2" w:rsidRPr="00705170">
        <w:rPr>
          <w:rFonts w:ascii="Times New Roman" w:hAnsi="Times New Roman" w:cs="Times New Roman"/>
        </w:rPr>
        <w:t>exit</w:t>
      </w:r>
      <w:proofErr w:type="spellEnd"/>
      <w:r w:rsidR="008975B2" w:rsidRPr="00705170">
        <w:rPr>
          <w:rFonts w:ascii="Times New Roman" w:hAnsi="Times New Roman" w:cs="Times New Roman"/>
        </w:rPr>
        <w:t xml:space="preserve"> </w:t>
      </w:r>
      <w:proofErr w:type="spellStart"/>
      <w:r w:rsidR="008975B2" w:rsidRPr="00705170">
        <w:rPr>
          <w:rFonts w:ascii="Times New Roman" w:hAnsi="Times New Roman" w:cs="Times New Roman"/>
        </w:rPr>
        <w:t>right</w:t>
      </w:r>
      <w:proofErr w:type="spellEnd"/>
      <w:r w:rsidR="008975B2" w:rsidRPr="00705170">
        <w:rPr>
          <w:rFonts w:ascii="Times New Roman" w:hAnsi="Times New Roman" w:cs="Times New Roman"/>
        </w:rPr>
        <w:t>”</w:t>
      </w:r>
      <w:r w:rsidR="00505C48" w:rsidRPr="00705170">
        <w:rPr>
          <w:rFonts w:ascii="Times New Roman" w:hAnsi="Times New Roman" w:cs="Times New Roman"/>
        </w:rPr>
        <w:t xml:space="preserve"> (</w:t>
      </w:r>
      <w:proofErr w:type="spellStart"/>
      <w:r w:rsidR="00505C48" w:rsidRPr="00705170">
        <w:rPr>
          <w:rFonts w:ascii="Times New Roman" w:hAnsi="Times New Roman" w:cs="Times New Roman"/>
        </w:rPr>
        <w:t>i.e</w:t>
      </w:r>
      <w:proofErr w:type="spellEnd"/>
      <w:r w:rsidR="00505C48" w:rsidRPr="00705170">
        <w:rPr>
          <w:rFonts w:ascii="Times New Roman" w:hAnsi="Times New Roman" w:cs="Times New Roman"/>
        </w:rPr>
        <w:t xml:space="preserve">., </w:t>
      </w:r>
      <w:proofErr w:type="spellStart"/>
      <w:r w:rsidR="00505C48" w:rsidRPr="00705170">
        <w:rPr>
          <w:rFonts w:ascii="Times New Roman" w:hAnsi="Times New Roman" w:cs="Times New Roman"/>
        </w:rPr>
        <w:lastRenderedPageBreak/>
        <w:t>appraisal</w:t>
      </w:r>
      <w:proofErr w:type="spellEnd"/>
      <w:r w:rsidR="00505C48" w:rsidRPr="00705170">
        <w:rPr>
          <w:rFonts w:ascii="Times New Roman" w:hAnsi="Times New Roman" w:cs="Times New Roman"/>
        </w:rPr>
        <w:t xml:space="preserve"> </w:t>
      </w:r>
      <w:proofErr w:type="spellStart"/>
      <w:r w:rsidR="00505C48" w:rsidRPr="00705170">
        <w:rPr>
          <w:rFonts w:ascii="Times New Roman" w:hAnsi="Times New Roman" w:cs="Times New Roman"/>
        </w:rPr>
        <w:t>right</w:t>
      </w:r>
      <w:proofErr w:type="spellEnd"/>
      <w:r w:rsidR="00505C48" w:rsidRPr="00705170">
        <w:rPr>
          <w:rFonts w:ascii="Times New Roman" w:hAnsi="Times New Roman" w:cs="Times New Roman"/>
        </w:rPr>
        <w:t>)</w:t>
      </w:r>
      <w:r w:rsidR="00D31BC2" w:rsidRPr="00705170">
        <w:rPr>
          <w:rFonts w:ascii="Times New Roman" w:hAnsi="Times New Roman" w:cs="Times New Roman"/>
        </w:rPr>
        <w:t xml:space="preserve"> </w:t>
      </w:r>
      <w:r w:rsidR="008975B2" w:rsidRPr="00705170">
        <w:rPr>
          <w:rFonts w:ascii="Times New Roman" w:hAnsi="Times New Roman" w:cs="Times New Roman"/>
        </w:rPr>
        <w:t xml:space="preserve">in </w:t>
      </w:r>
      <w:proofErr w:type="spellStart"/>
      <w:r w:rsidR="008975B2" w:rsidRPr="00705170">
        <w:rPr>
          <w:rFonts w:ascii="Times New Roman" w:hAnsi="Times New Roman" w:cs="Times New Roman"/>
        </w:rPr>
        <w:t>corporations</w:t>
      </w:r>
      <w:proofErr w:type="spellEnd"/>
      <w:r w:rsidR="00791598">
        <w:rPr>
          <w:rFonts w:ascii="Times New Roman" w:hAnsi="Times New Roman" w:cs="Times New Roman"/>
        </w:rPr>
        <w:t xml:space="preserve"> in </w:t>
      </w:r>
      <w:proofErr w:type="spellStart"/>
      <w:r w:rsidR="00791598">
        <w:rPr>
          <w:rFonts w:ascii="Times New Roman" w:hAnsi="Times New Roman" w:cs="Times New Roman"/>
        </w:rPr>
        <w:t>Turkish</w:t>
      </w:r>
      <w:proofErr w:type="spellEnd"/>
      <w:r w:rsidR="00791598">
        <w:rPr>
          <w:rFonts w:ascii="Times New Roman" w:hAnsi="Times New Roman" w:cs="Times New Roman"/>
        </w:rPr>
        <w:t xml:space="preserve"> </w:t>
      </w:r>
      <w:proofErr w:type="spellStart"/>
      <w:r w:rsidR="00791598">
        <w:rPr>
          <w:rFonts w:ascii="Times New Roman" w:hAnsi="Times New Roman" w:cs="Times New Roman"/>
        </w:rPr>
        <w:t>law</w:t>
      </w:r>
      <w:proofErr w:type="spellEnd"/>
      <w:r w:rsidR="008975B2" w:rsidRPr="00705170">
        <w:rPr>
          <w:rStyle w:val="DipnotBavurusu"/>
          <w:rFonts w:ascii="Times New Roman" w:hAnsi="Times New Roman" w:cs="Times New Roman"/>
        </w:rPr>
        <w:footnoteReference w:id="832"/>
      </w:r>
      <w:r w:rsidR="00F603E9" w:rsidRPr="00705170">
        <w:rPr>
          <w:rFonts w:ascii="Times New Roman" w:hAnsi="Times New Roman" w:cs="Times New Roman"/>
        </w:rPr>
        <w:t xml:space="preserve">, </w:t>
      </w:r>
      <w:proofErr w:type="spellStart"/>
      <w:r w:rsidR="00F603E9" w:rsidRPr="00705170">
        <w:rPr>
          <w:rFonts w:ascii="Times New Roman" w:hAnsi="Times New Roman" w:cs="Times New Roman"/>
        </w:rPr>
        <w:t>other</w:t>
      </w:r>
      <w:proofErr w:type="spellEnd"/>
      <w:r w:rsidR="00F603E9" w:rsidRPr="00705170">
        <w:rPr>
          <w:rFonts w:ascii="Times New Roman" w:hAnsi="Times New Roman" w:cs="Times New Roman"/>
        </w:rPr>
        <w:t xml:space="preserve"> </w:t>
      </w:r>
      <w:proofErr w:type="spellStart"/>
      <w:r w:rsidR="00F603E9" w:rsidRPr="00705170">
        <w:rPr>
          <w:rFonts w:ascii="Times New Roman" w:hAnsi="Times New Roman" w:cs="Times New Roman"/>
        </w:rPr>
        <w:t>than</w:t>
      </w:r>
      <w:proofErr w:type="spellEnd"/>
      <w:r w:rsidR="00F603E9" w:rsidRPr="00705170">
        <w:rPr>
          <w:rFonts w:ascii="Times New Roman" w:hAnsi="Times New Roman" w:cs="Times New Roman"/>
        </w:rPr>
        <w:t xml:space="preserve"> </w:t>
      </w:r>
      <w:proofErr w:type="spellStart"/>
      <w:r w:rsidR="00F603E9" w:rsidRPr="00705170">
        <w:rPr>
          <w:rFonts w:ascii="Times New Roman" w:hAnsi="Times New Roman" w:cs="Times New Roman"/>
        </w:rPr>
        <w:t>the</w:t>
      </w:r>
      <w:proofErr w:type="spellEnd"/>
      <w:r w:rsidR="00F603E9" w:rsidRPr="00705170">
        <w:rPr>
          <w:rFonts w:ascii="Times New Roman" w:hAnsi="Times New Roman" w:cs="Times New Roman"/>
        </w:rPr>
        <w:t xml:space="preserve"> </w:t>
      </w:r>
      <w:proofErr w:type="spellStart"/>
      <w:r w:rsidR="00F603E9" w:rsidRPr="00705170">
        <w:rPr>
          <w:rFonts w:ascii="Times New Roman" w:hAnsi="Times New Roman" w:cs="Times New Roman"/>
        </w:rPr>
        <w:t>ones</w:t>
      </w:r>
      <w:proofErr w:type="spellEnd"/>
      <w:r w:rsidR="00F603E9" w:rsidRPr="00705170">
        <w:rPr>
          <w:rFonts w:ascii="Times New Roman" w:hAnsi="Times New Roman" w:cs="Times New Roman"/>
        </w:rPr>
        <w:t xml:space="preserve"> </w:t>
      </w:r>
      <w:proofErr w:type="spellStart"/>
      <w:r w:rsidR="00F603E9" w:rsidRPr="00705170">
        <w:rPr>
          <w:rFonts w:ascii="Times New Roman" w:hAnsi="Times New Roman" w:cs="Times New Roman"/>
        </w:rPr>
        <w:t>arising</w:t>
      </w:r>
      <w:proofErr w:type="spellEnd"/>
      <w:r w:rsidR="00F603E9" w:rsidRPr="00705170">
        <w:rPr>
          <w:rFonts w:ascii="Times New Roman" w:hAnsi="Times New Roman" w:cs="Times New Roman"/>
        </w:rPr>
        <w:t xml:space="preserve"> </w:t>
      </w:r>
      <w:proofErr w:type="spellStart"/>
      <w:r w:rsidR="00F603E9" w:rsidRPr="00705170">
        <w:rPr>
          <w:rFonts w:ascii="Times New Roman" w:hAnsi="Times New Roman" w:cs="Times New Roman"/>
        </w:rPr>
        <w:t>from</w:t>
      </w:r>
      <w:proofErr w:type="spellEnd"/>
      <w:r w:rsidR="00F44425" w:rsidRPr="00705170">
        <w:rPr>
          <w:rFonts w:ascii="Times New Roman" w:hAnsi="Times New Roman" w:cs="Times New Roman"/>
        </w:rPr>
        <w:t xml:space="preserve"> </w:t>
      </w:r>
      <w:proofErr w:type="spellStart"/>
      <w:r w:rsidR="00F44425" w:rsidRPr="00705170">
        <w:rPr>
          <w:rFonts w:ascii="Times New Roman" w:hAnsi="Times New Roman" w:cs="Times New Roman"/>
        </w:rPr>
        <w:t>special</w:t>
      </w:r>
      <w:proofErr w:type="spellEnd"/>
      <w:r w:rsidR="00F44425" w:rsidRPr="00705170">
        <w:rPr>
          <w:rFonts w:ascii="Times New Roman" w:hAnsi="Times New Roman" w:cs="Times New Roman"/>
        </w:rPr>
        <w:t xml:space="preserve"> </w:t>
      </w:r>
      <w:proofErr w:type="spellStart"/>
      <w:r w:rsidR="00705F5C" w:rsidRPr="00705170">
        <w:rPr>
          <w:rFonts w:ascii="Times New Roman" w:hAnsi="Times New Roman" w:cs="Times New Roman"/>
        </w:rPr>
        <w:t>and</w:t>
      </w:r>
      <w:proofErr w:type="spellEnd"/>
      <w:r w:rsidR="00705F5C" w:rsidRPr="00705170">
        <w:rPr>
          <w:rFonts w:ascii="Times New Roman" w:hAnsi="Times New Roman" w:cs="Times New Roman"/>
        </w:rPr>
        <w:t xml:space="preserve"> limited </w:t>
      </w:r>
      <w:proofErr w:type="spellStart"/>
      <w:r w:rsidR="00F44425" w:rsidRPr="00705170">
        <w:rPr>
          <w:rFonts w:ascii="Times New Roman" w:hAnsi="Times New Roman" w:cs="Times New Roman"/>
        </w:rPr>
        <w:t>circumstances</w:t>
      </w:r>
      <w:proofErr w:type="spellEnd"/>
      <w:r w:rsidR="00A8463C" w:rsidRPr="00705170">
        <w:rPr>
          <w:rFonts w:ascii="Times New Roman" w:hAnsi="Times New Roman" w:cs="Times New Roman"/>
        </w:rPr>
        <w:t xml:space="preserve"> </w:t>
      </w:r>
      <w:proofErr w:type="spellStart"/>
      <w:r w:rsidR="00A8463C" w:rsidRPr="00705170">
        <w:rPr>
          <w:rFonts w:ascii="Times New Roman" w:hAnsi="Times New Roman" w:cs="Times New Roman"/>
        </w:rPr>
        <w:t>under</w:t>
      </w:r>
      <w:proofErr w:type="spellEnd"/>
      <w:r w:rsidR="00A8463C" w:rsidRPr="00705170">
        <w:rPr>
          <w:rFonts w:ascii="Times New Roman" w:hAnsi="Times New Roman" w:cs="Times New Roman"/>
        </w:rPr>
        <w:t xml:space="preserve"> CML</w:t>
      </w:r>
      <w:r w:rsidR="00505C48" w:rsidRPr="00705170">
        <w:rPr>
          <w:rFonts w:ascii="Times New Roman" w:hAnsi="Times New Roman" w:cs="Times New Roman"/>
        </w:rPr>
        <w:t xml:space="preserve"> (</w:t>
      </w:r>
      <w:proofErr w:type="spellStart"/>
      <w:r w:rsidR="00505C48" w:rsidRPr="00705170">
        <w:rPr>
          <w:rFonts w:ascii="Times New Roman" w:hAnsi="Times New Roman" w:cs="Times New Roman"/>
        </w:rPr>
        <w:t>e.g</w:t>
      </w:r>
      <w:proofErr w:type="spellEnd"/>
      <w:r w:rsidR="00505C48" w:rsidRPr="00705170">
        <w:rPr>
          <w:rFonts w:ascii="Times New Roman" w:hAnsi="Times New Roman" w:cs="Times New Roman"/>
        </w:rPr>
        <w:t xml:space="preserve">., </w:t>
      </w:r>
      <w:proofErr w:type="spellStart"/>
      <w:r w:rsidR="00505C48" w:rsidRPr="00705170">
        <w:rPr>
          <w:rFonts w:ascii="Times New Roman" w:hAnsi="Times New Roman" w:cs="Times New Roman"/>
        </w:rPr>
        <w:t>fundamental</w:t>
      </w:r>
      <w:proofErr w:type="spellEnd"/>
      <w:r w:rsidR="00505C48" w:rsidRPr="00705170">
        <w:rPr>
          <w:rFonts w:ascii="Times New Roman" w:hAnsi="Times New Roman" w:cs="Times New Roman"/>
        </w:rPr>
        <w:t xml:space="preserve"> </w:t>
      </w:r>
      <w:proofErr w:type="spellStart"/>
      <w:r w:rsidR="00505C48" w:rsidRPr="00705170">
        <w:rPr>
          <w:rFonts w:ascii="Times New Roman" w:hAnsi="Times New Roman" w:cs="Times New Roman"/>
        </w:rPr>
        <w:t>corporate</w:t>
      </w:r>
      <w:proofErr w:type="spellEnd"/>
      <w:r w:rsidR="00505C48" w:rsidRPr="00705170">
        <w:rPr>
          <w:rFonts w:ascii="Times New Roman" w:hAnsi="Times New Roman" w:cs="Times New Roman"/>
        </w:rPr>
        <w:t xml:space="preserve"> </w:t>
      </w:r>
      <w:proofErr w:type="spellStart"/>
      <w:r w:rsidR="00505C48" w:rsidRPr="00705170">
        <w:rPr>
          <w:rFonts w:ascii="Times New Roman" w:hAnsi="Times New Roman" w:cs="Times New Roman"/>
        </w:rPr>
        <w:t>changes</w:t>
      </w:r>
      <w:proofErr w:type="spellEnd"/>
      <w:r w:rsidR="00505C48" w:rsidRPr="00705170">
        <w:rPr>
          <w:rFonts w:ascii="Times New Roman" w:hAnsi="Times New Roman" w:cs="Times New Roman"/>
        </w:rPr>
        <w:t>)</w:t>
      </w:r>
      <w:r w:rsidR="00A8463C" w:rsidRPr="00705170">
        <w:rPr>
          <w:rFonts w:ascii="Times New Roman" w:hAnsi="Times New Roman" w:cs="Times New Roman"/>
        </w:rPr>
        <w:t xml:space="preserve"> </w:t>
      </w:r>
      <w:proofErr w:type="spellStart"/>
      <w:r w:rsidR="00A8463C" w:rsidRPr="00705170">
        <w:rPr>
          <w:rFonts w:ascii="Times New Roman" w:hAnsi="Times New Roman" w:cs="Times New Roman"/>
        </w:rPr>
        <w:t>and</w:t>
      </w:r>
      <w:proofErr w:type="spellEnd"/>
      <w:r w:rsidR="00A8463C" w:rsidRPr="00705170">
        <w:rPr>
          <w:rFonts w:ascii="Times New Roman" w:hAnsi="Times New Roman" w:cs="Times New Roman"/>
        </w:rPr>
        <w:t xml:space="preserve"> TCC</w:t>
      </w:r>
      <w:r w:rsidR="00505C48" w:rsidRPr="00705170">
        <w:rPr>
          <w:rFonts w:ascii="Times New Roman" w:hAnsi="Times New Roman" w:cs="Times New Roman"/>
        </w:rPr>
        <w:t xml:space="preserve"> (</w:t>
      </w:r>
      <w:proofErr w:type="spellStart"/>
      <w:r w:rsidR="00505C48" w:rsidRPr="00705170">
        <w:rPr>
          <w:rFonts w:ascii="Times New Roman" w:hAnsi="Times New Roman" w:cs="Times New Roman"/>
        </w:rPr>
        <w:t>e.g</w:t>
      </w:r>
      <w:proofErr w:type="spellEnd"/>
      <w:r w:rsidR="00505C48" w:rsidRPr="00705170">
        <w:rPr>
          <w:rFonts w:ascii="Times New Roman" w:hAnsi="Times New Roman" w:cs="Times New Roman"/>
        </w:rPr>
        <w:t xml:space="preserve">., </w:t>
      </w:r>
      <w:proofErr w:type="spellStart"/>
      <w:r w:rsidR="00505C48" w:rsidRPr="00705170">
        <w:rPr>
          <w:rFonts w:ascii="Times New Roman" w:hAnsi="Times New Roman" w:cs="Times New Roman"/>
        </w:rPr>
        <w:t>mergers</w:t>
      </w:r>
      <w:proofErr w:type="spellEnd"/>
      <w:r w:rsidR="00505C48" w:rsidRPr="00705170">
        <w:rPr>
          <w:rFonts w:ascii="Times New Roman" w:hAnsi="Times New Roman" w:cs="Times New Roman"/>
        </w:rPr>
        <w:t>)</w:t>
      </w:r>
      <w:r w:rsidR="00F603E9" w:rsidRPr="00705170">
        <w:rPr>
          <w:rFonts w:ascii="Times New Roman" w:hAnsi="Times New Roman" w:cs="Times New Roman"/>
        </w:rPr>
        <w:t>.</w:t>
      </w:r>
      <w:r w:rsidR="00D31BC2" w:rsidRPr="00705170">
        <w:rPr>
          <w:rFonts w:ascii="Times New Roman" w:hAnsi="Times New Roman" w:cs="Times New Roman"/>
        </w:rPr>
        <w:t xml:space="preserve"> </w:t>
      </w:r>
      <w:r w:rsidR="006632ED" w:rsidRPr="00705170">
        <w:rPr>
          <w:rFonts w:ascii="Times New Roman" w:hAnsi="Times New Roman" w:cs="Times New Roman"/>
        </w:rPr>
        <w:t>As “</w:t>
      </w:r>
      <w:proofErr w:type="spellStart"/>
      <w:r w:rsidR="006632ED" w:rsidRPr="00705170">
        <w:rPr>
          <w:rFonts w:ascii="Times New Roman" w:hAnsi="Times New Roman" w:cs="Times New Roman"/>
        </w:rPr>
        <w:t>the</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greater</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the</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liquidity</w:t>
      </w:r>
      <w:proofErr w:type="spellEnd"/>
      <w:r w:rsidR="006632ED" w:rsidRPr="00705170">
        <w:rPr>
          <w:rFonts w:ascii="Times New Roman" w:hAnsi="Times New Roman" w:cs="Times New Roman"/>
        </w:rPr>
        <w:t xml:space="preserve"> of </w:t>
      </w:r>
      <w:proofErr w:type="spellStart"/>
      <w:r w:rsidR="006632ED" w:rsidRPr="00705170">
        <w:rPr>
          <w:rFonts w:ascii="Times New Roman" w:hAnsi="Times New Roman" w:cs="Times New Roman"/>
        </w:rPr>
        <w:t>the</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investment</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the</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less</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opportunity</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one</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party</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will</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have</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to</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profit</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from</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dissension</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by</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obtaining</w:t>
      </w:r>
      <w:proofErr w:type="spellEnd"/>
      <w:r w:rsidR="006632ED" w:rsidRPr="00705170">
        <w:rPr>
          <w:rFonts w:ascii="Times New Roman" w:hAnsi="Times New Roman" w:cs="Times New Roman"/>
        </w:rPr>
        <w:t xml:space="preserve"> a </w:t>
      </w:r>
      <w:proofErr w:type="spellStart"/>
      <w:r w:rsidR="006632ED" w:rsidRPr="00705170">
        <w:rPr>
          <w:rFonts w:ascii="Times New Roman" w:hAnsi="Times New Roman" w:cs="Times New Roman"/>
        </w:rPr>
        <w:t>strategic</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advantage</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over</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any</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other</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party</w:t>
      </w:r>
      <w:proofErr w:type="spellEnd"/>
      <w:r w:rsidR="006632ED" w:rsidRPr="00705170">
        <w:rPr>
          <w:rFonts w:ascii="Times New Roman" w:hAnsi="Times New Roman" w:cs="Times New Roman"/>
        </w:rPr>
        <w:t>”</w:t>
      </w:r>
      <w:r w:rsidR="006632ED" w:rsidRPr="00705170">
        <w:rPr>
          <w:rStyle w:val="DipnotBavurusu"/>
          <w:rFonts w:ascii="Times New Roman" w:hAnsi="Times New Roman" w:cs="Times New Roman"/>
        </w:rPr>
        <w:footnoteReference w:id="833"/>
      </w:r>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the</w:t>
      </w:r>
      <w:proofErr w:type="spellEnd"/>
      <w:r w:rsidR="006632ED" w:rsidRPr="00705170">
        <w:rPr>
          <w:rFonts w:ascii="Times New Roman" w:hAnsi="Times New Roman" w:cs="Times New Roman"/>
        </w:rPr>
        <w:t xml:space="preserve"> </w:t>
      </w:r>
      <w:proofErr w:type="spellStart"/>
      <w:r w:rsidR="00D31BC2" w:rsidRPr="00705170">
        <w:rPr>
          <w:rFonts w:ascii="Times New Roman" w:hAnsi="Times New Roman" w:cs="Times New Roman"/>
        </w:rPr>
        <w:t>involuntary</w:t>
      </w:r>
      <w:proofErr w:type="spellEnd"/>
      <w:r w:rsidR="00D31BC2" w:rsidRPr="00705170">
        <w:rPr>
          <w:rFonts w:ascii="Times New Roman" w:hAnsi="Times New Roman" w:cs="Times New Roman"/>
        </w:rPr>
        <w:t xml:space="preserve"> </w:t>
      </w:r>
      <w:proofErr w:type="spellStart"/>
      <w:r w:rsidR="00D31BC2" w:rsidRPr="00705170">
        <w:rPr>
          <w:rFonts w:ascii="Times New Roman" w:hAnsi="Times New Roman" w:cs="Times New Roman"/>
        </w:rPr>
        <w:t>dissolution</w:t>
      </w:r>
      <w:proofErr w:type="spellEnd"/>
      <w:r w:rsidR="00D31BC2" w:rsidRPr="00705170">
        <w:rPr>
          <w:rFonts w:ascii="Times New Roman" w:hAnsi="Times New Roman" w:cs="Times New Roman"/>
        </w:rPr>
        <w:t xml:space="preserve"> </w:t>
      </w:r>
      <w:proofErr w:type="spellStart"/>
      <w:r w:rsidR="00D31BC2" w:rsidRPr="00705170">
        <w:rPr>
          <w:rFonts w:ascii="Times New Roman" w:hAnsi="Times New Roman" w:cs="Times New Roman"/>
        </w:rPr>
        <w:t>action</w:t>
      </w:r>
      <w:proofErr w:type="spellEnd"/>
      <w:r w:rsidR="00D31BC2" w:rsidRPr="00705170">
        <w:rPr>
          <w:rFonts w:ascii="Times New Roman" w:hAnsi="Times New Roman" w:cs="Times New Roman"/>
        </w:rPr>
        <w:t xml:space="preserve"> </w:t>
      </w:r>
      <w:proofErr w:type="spellStart"/>
      <w:r w:rsidR="006632ED" w:rsidRPr="00705170">
        <w:rPr>
          <w:rFonts w:ascii="Times New Roman" w:hAnsi="Times New Roman" w:cs="Times New Roman"/>
        </w:rPr>
        <w:t>essentially</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functions</w:t>
      </w:r>
      <w:proofErr w:type="spellEnd"/>
      <w:r w:rsidR="006632ED" w:rsidRPr="00705170">
        <w:rPr>
          <w:rFonts w:ascii="Times New Roman" w:hAnsi="Times New Roman" w:cs="Times New Roman"/>
        </w:rPr>
        <w:t xml:space="preserve"> as a </w:t>
      </w:r>
      <w:proofErr w:type="spellStart"/>
      <w:r w:rsidR="006632ED" w:rsidRPr="00705170">
        <w:rPr>
          <w:rFonts w:ascii="Times New Roman" w:hAnsi="Times New Roman" w:cs="Times New Roman"/>
        </w:rPr>
        <w:t>right</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that</w:t>
      </w:r>
      <w:proofErr w:type="spellEnd"/>
      <w:r w:rsidR="006632ED" w:rsidRPr="00705170">
        <w:rPr>
          <w:rFonts w:ascii="Times New Roman" w:hAnsi="Times New Roman" w:cs="Times New Roman"/>
        </w:rPr>
        <w:t xml:space="preserve"> </w:t>
      </w:r>
      <w:proofErr w:type="spellStart"/>
      <w:r w:rsidR="00D31BC2" w:rsidRPr="00705170">
        <w:rPr>
          <w:rFonts w:ascii="Times New Roman" w:hAnsi="Times New Roman" w:cs="Times New Roman"/>
        </w:rPr>
        <w:t>provides</w:t>
      </w:r>
      <w:proofErr w:type="spellEnd"/>
      <w:r w:rsidR="00D31BC2" w:rsidRPr="00705170">
        <w:rPr>
          <w:rFonts w:ascii="Times New Roman" w:hAnsi="Times New Roman" w:cs="Times New Roman"/>
        </w:rPr>
        <w:t xml:space="preserve"> an </w:t>
      </w:r>
      <w:proofErr w:type="spellStart"/>
      <w:r w:rsidR="00D31BC2" w:rsidRPr="00705170">
        <w:rPr>
          <w:rFonts w:ascii="Times New Roman" w:hAnsi="Times New Roman" w:cs="Times New Roman"/>
        </w:rPr>
        <w:t>indirect</w:t>
      </w:r>
      <w:proofErr w:type="spellEnd"/>
      <w:r w:rsidR="00D31BC2" w:rsidRPr="00705170">
        <w:rPr>
          <w:rFonts w:ascii="Times New Roman" w:hAnsi="Times New Roman" w:cs="Times New Roman"/>
        </w:rPr>
        <w:t xml:space="preserve"> </w:t>
      </w:r>
      <w:proofErr w:type="spellStart"/>
      <w:r w:rsidR="00D31BC2" w:rsidRPr="00705170">
        <w:rPr>
          <w:rFonts w:ascii="Times New Roman" w:hAnsi="Times New Roman" w:cs="Times New Roman"/>
        </w:rPr>
        <w:t>exit</w:t>
      </w:r>
      <w:proofErr w:type="spellEnd"/>
      <w:r w:rsidR="00D31BC2" w:rsidRPr="00705170">
        <w:rPr>
          <w:rFonts w:ascii="Times New Roman" w:hAnsi="Times New Roman" w:cs="Times New Roman"/>
        </w:rPr>
        <w:t xml:space="preserve"> </w:t>
      </w:r>
      <w:proofErr w:type="spellStart"/>
      <w:r w:rsidR="00D31BC2" w:rsidRPr="00705170">
        <w:rPr>
          <w:rFonts w:ascii="Times New Roman" w:hAnsi="Times New Roman" w:cs="Times New Roman"/>
        </w:rPr>
        <w:t>to</w:t>
      </w:r>
      <w:proofErr w:type="spellEnd"/>
      <w:r w:rsidR="00D31BC2" w:rsidRPr="00705170">
        <w:rPr>
          <w:rFonts w:ascii="Times New Roman" w:hAnsi="Times New Roman" w:cs="Times New Roman"/>
        </w:rPr>
        <w:t xml:space="preserve"> </w:t>
      </w:r>
      <w:proofErr w:type="spellStart"/>
      <w:r w:rsidR="00D31BC2" w:rsidRPr="00705170">
        <w:rPr>
          <w:rFonts w:ascii="Times New Roman" w:hAnsi="Times New Roman" w:cs="Times New Roman"/>
        </w:rPr>
        <w:t>shareholders</w:t>
      </w:r>
      <w:proofErr w:type="spellEnd"/>
      <w:r w:rsidR="00D31BC2" w:rsidRPr="00705170">
        <w:rPr>
          <w:rFonts w:ascii="Times New Roman" w:hAnsi="Times New Roman" w:cs="Times New Roman"/>
        </w:rPr>
        <w:t xml:space="preserve"> </w:t>
      </w:r>
      <w:proofErr w:type="spellStart"/>
      <w:r w:rsidR="00D31BC2" w:rsidRPr="00705170">
        <w:rPr>
          <w:rFonts w:ascii="Times New Roman" w:hAnsi="Times New Roman" w:cs="Times New Roman"/>
        </w:rPr>
        <w:t>who</w:t>
      </w:r>
      <w:proofErr w:type="spellEnd"/>
      <w:r w:rsidR="00D31BC2" w:rsidRPr="00705170">
        <w:rPr>
          <w:rFonts w:ascii="Times New Roman" w:hAnsi="Times New Roman" w:cs="Times New Roman"/>
        </w:rPr>
        <w:t xml:space="preserve"> do </w:t>
      </w:r>
      <w:r w:rsidR="00B42D58" w:rsidRPr="00705170">
        <w:rPr>
          <w:rFonts w:ascii="Times New Roman" w:hAnsi="Times New Roman" w:cs="Times New Roman"/>
        </w:rPr>
        <w:t xml:space="preserve">not </w:t>
      </w:r>
      <w:proofErr w:type="spellStart"/>
      <w:r w:rsidR="00B42D58" w:rsidRPr="00705170">
        <w:rPr>
          <w:rFonts w:ascii="Times New Roman" w:hAnsi="Times New Roman" w:cs="Times New Roman"/>
        </w:rPr>
        <w:t>get</w:t>
      </w:r>
      <w:proofErr w:type="spellEnd"/>
      <w:r w:rsidR="00B42D58" w:rsidRPr="00705170">
        <w:rPr>
          <w:rFonts w:ascii="Times New Roman" w:hAnsi="Times New Roman" w:cs="Times New Roman"/>
        </w:rPr>
        <w:t xml:space="preserve"> </w:t>
      </w:r>
      <w:proofErr w:type="spellStart"/>
      <w:r w:rsidR="00B42D58" w:rsidRPr="00705170">
        <w:rPr>
          <w:rFonts w:ascii="Times New Roman" w:hAnsi="Times New Roman" w:cs="Times New Roman"/>
        </w:rPr>
        <w:t>what</w:t>
      </w:r>
      <w:proofErr w:type="spellEnd"/>
      <w:r w:rsidR="00B42D58" w:rsidRPr="00705170">
        <w:rPr>
          <w:rFonts w:ascii="Times New Roman" w:hAnsi="Times New Roman" w:cs="Times New Roman"/>
        </w:rPr>
        <w:t xml:space="preserve"> </w:t>
      </w:r>
      <w:proofErr w:type="spellStart"/>
      <w:r w:rsidR="00B42D58" w:rsidRPr="00705170">
        <w:rPr>
          <w:rFonts w:ascii="Times New Roman" w:hAnsi="Times New Roman" w:cs="Times New Roman"/>
        </w:rPr>
        <w:t>they</w:t>
      </w:r>
      <w:proofErr w:type="spellEnd"/>
      <w:r w:rsidR="00B42D58" w:rsidRPr="00705170">
        <w:rPr>
          <w:rFonts w:ascii="Times New Roman" w:hAnsi="Times New Roman" w:cs="Times New Roman"/>
        </w:rPr>
        <w:t xml:space="preserve"> </w:t>
      </w:r>
      <w:proofErr w:type="spellStart"/>
      <w:r w:rsidR="00B42D58" w:rsidRPr="00705170">
        <w:rPr>
          <w:rFonts w:ascii="Times New Roman" w:hAnsi="Times New Roman" w:cs="Times New Roman"/>
        </w:rPr>
        <w:t>bargained</w:t>
      </w:r>
      <w:proofErr w:type="spellEnd"/>
      <w:r w:rsidR="00B42D58" w:rsidRPr="00705170">
        <w:rPr>
          <w:rFonts w:ascii="Times New Roman" w:hAnsi="Times New Roman" w:cs="Times New Roman"/>
        </w:rPr>
        <w:t xml:space="preserve"> </w:t>
      </w:r>
      <w:proofErr w:type="spellStart"/>
      <w:r w:rsidR="00B42D58" w:rsidRPr="00705170">
        <w:rPr>
          <w:rFonts w:ascii="Times New Roman" w:hAnsi="Times New Roman" w:cs="Times New Roman"/>
        </w:rPr>
        <w:t>for</w:t>
      </w:r>
      <w:proofErr w:type="spellEnd"/>
      <w:r w:rsidR="009B3197" w:rsidRPr="00705170">
        <w:rPr>
          <w:rFonts w:ascii="Times New Roman" w:hAnsi="Times New Roman" w:cs="Times New Roman"/>
        </w:rPr>
        <w:t xml:space="preserve"> </w:t>
      </w:r>
      <w:proofErr w:type="spellStart"/>
      <w:r w:rsidR="009B3197" w:rsidRPr="00705170">
        <w:rPr>
          <w:rFonts w:ascii="Times New Roman" w:hAnsi="Times New Roman" w:cs="Times New Roman"/>
        </w:rPr>
        <w:t>by</w:t>
      </w:r>
      <w:proofErr w:type="spellEnd"/>
      <w:r w:rsidR="009B3197" w:rsidRPr="00705170">
        <w:rPr>
          <w:rFonts w:ascii="Times New Roman" w:hAnsi="Times New Roman" w:cs="Times New Roman"/>
        </w:rPr>
        <w:t xml:space="preserve"> </w:t>
      </w:r>
      <w:proofErr w:type="spellStart"/>
      <w:r w:rsidR="009B3197" w:rsidRPr="00705170">
        <w:rPr>
          <w:rFonts w:ascii="Times New Roman" w:hAnsi="Times New Roman" w:cs="Times New Roman"/>
        </w:rPr>
        <w:t>providing</w:t>
      </w:r>
      <w:proofErr w:type="spellEnd"/>
      <w:r w:rsidR="009B3197" w:rsidRPr="00705170">
        <w:rPr>
          <w:rFonts w:ascii="Times New Roman" w:hAnsi="Times New Roman" w:cs="Times New Roman"/>
        </w:rPr>
        <w:t xml:space="preserve"> </w:t>
      </w:r>
      <w:proofErr w:type="spellStart"/>
      <w:r w:rsidR="009B3197" w:rsidRPr="00705170">
        <w:rPr>
          <w:rFonts w:ascii="Times New Roman" w:hAnsi="Times New Roman" w:cs="Times New Roman"/>
        </w:rPr>
        <w:t>them</w:t>
      </w:r>
      <w:proofErr w:type="spellEnd"/>
      <w:r w:rsidR="009B3197" w:rsidRPr="00705170">
        <w:rPr>
          <w:rFonts w:ascii="Times New Roman" w:hAnsi="Times New Roman" w:cs="Times New Roman"/>
        </w:rPr>
        <w:t xml:space="preserve"> a </w:t>
      </w:r>
      <w:proofErr w:type="spellStart"/>
      <w:r w:rsidR="009B3197" w:rsidRPr="00705170">
        <w:rPr>
          <w:rFonts w:ascii="Times New Roman" w:hAnsi="Times New Roman" w:cs="Times New Roman"/>
        </w:rPr>
        <w:t>just</w:t>
      </w:r>
      <w:proofErr w:type="spellEnd"/>
      <w:r w:rsidR="009B3197" w:rsidRPr="00705170">
        <w:rPr>
          <w:rFonts w:ascii="Times New Roman" w:hAnsi="Times New Roman" w:cs="Times New Roman"/>
        </w:rPr>
        <w:t xml:space="preserve"> </w:t>
      </w:r>
      <w:proofErr w:type="spellStart"/>
      <w:r w:rsidR="009B3197" w:rsidRPr="00705170">
        <w:rPr>
          <w:rFonts w:ascii="Times New Roman" w:hAnsi="Times New Roman" w:cs="Times New Roman"/>
        </w:rPr>
        <w:t>valuation</w:t>
      </w:r>
      <w:proofErr w:type="spellEnd"/>
      <w:r w:rsidR="009B3197" w:rsidRPr="00705170">
        <w:rPr>
          <w:rFonts w:ascii="Times New Roman" w:hAnsi="Times New Roman" w:cs="Times New Roman"/>
        </w:rPr>
        <w:t xml:space="preserve"> </w:t>
      </w:r>
      <w:proofErr w:type="spellStart"/>
      <w:r w:rsidR="009B3197" w:rsidRPr="00705170">
        <w:rPr>
          <w:rFonts w:ascii="Times New Roman" w:hAnsi="Times New Roman" w:cs="Times New Roman"/>
        </w:rPr>
        <w:t>for</w:t>
      </w:r>
      <w:proofErr w:type="spellEnd"/>
      <w:r w:rsidR="009B3197" w:rsidRPr="00705170">
        <w:rPr>
          <w:rFonts w:ascii="Times New Roman" w:hAnsi="Times New Roman" w:cs="Times New Roman"/>
        </w:rPr>
        <w:t xml:space="preserve"> </w:t>
      </w:r>
      <w:proofErr w:type="spellStart"/>
      <w:r w:rsidR="009B3197" w:rsidRPr="00705170">
        <w:rPr>
          <w:rFonts w:ascii="Times New Roman" w:hAnsi="Times New Roman" w:cs="Times New Roman"/>
        </w:rPr>
        <w:t>their</w:t>
      </w:r>
      <w:proofErr w:type="spellEnd"/>
      <w:r w:rsidR="009B3197" w:rsidRPr="00705170">
        <w:rPr>
          <w:rFonts w:ascii="Times New Roman" w:hAnsi="Times New Roman" w:cs="Times New Roman"/>
        </w:rPr>
        <w:t xml:space="preserve"> </w:t>
      </w:r>
      <w:proofErr w:type="spellStart"/>
      <w:r w:rsidR="009B3197" w:rsidRPr="00705170">
        <w:rPr>
          <w:rFonts w:ascii="Times New Roman" w:hAnsi="Times New Roman" w:cs="Times New Roman"/>
        </w:rPr>
        <w:t>investment</w:t>
      </w:r>
      <w:proofErr w:type="spellEnd"/>
      <w:r w:rsidR="00B42D58" w:rsidRPr="00705170">
        <w:rPr>
          <w:rFonts w:ascii="Times New Roman" w:hAnsi="Times New Roman" w:cs="Times New Roman"/>
        </w:rPr>
        <w:t xml:space="preserve">. </w:t>
      </w:r>
      <w:proofErr w:type="spellStart"/>
      <w:r w:rsidR="006632ED" w:rsidRPr="00705170">
        <w:rPr>
          <w:rFonts w:ascii="Times New Roman" w:hAnsi="Times New Roman" w:cs="Times New Roman"/>
        </w:rPr>
        <w:t>After</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all</w:t>
      </w:r>
      <w:proofErr w:type="spellEnd"/>
      <w:r w:rsidR="006632ED" w:rsidRPr="00705170">
        <w:rPr>
          <w:rFonts w:ascii="Times New Roman" w:hAnsi="Times New Roman" w:cs="Times New Roman"/>
        </w:rPr>
        <w:t>, “</w:t>
      </w:r>
      <w:proofErr w:type="spellStart"/>
      <w:r w:rsidR="006632ED" w:rsidRPr="00705170">
        <w:rPr>
          <w:rFonts w:ascii="Times New Roman" w:hAnsi="Times New Roman" w:cs="Times New Roman"/>
        </w:rPr>
        <w:t>appraisal</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rights</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protect</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the</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dissenting</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minority</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shareholder</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agasint</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being</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forced</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to</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either</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remain</w:t>
      </w:r>
      <w:proofErr w:type="spellEnd"/>
      <w:r w:rsidR="006632ED" w:rsidRPr="00705170">
        <w:rPr>
          <w:rFonts w:ascii="Times New Roman" w:hAnsi="Times New Roman" w:cs="Times New Roman"/>
        </w:rPr>
        <w:t xml:space="preserve"> an </w:t>
      </w:r>
      <w:proofErr w:type="spellStart"/>
      <w:r w:rsidR="006632ED" w:rsidRPr="00705170">
        <w:rPr>
          <w:rFonts w:ascii="Times New Roman" w:hAnsi="Times New Roman" w:cs="Times New Roman"/>
        </w:rPr>
        <w:t>investor</w:t>
      </w:r>
      <w:proofErr w:type="spellEnd"/>
      <w:r w:rsidR="006632ED" w:rsidRPr="00705170">
        <w:rPr>
          <w:rFonts w:ascii="Times New Roman" w:hAnsi="Times New Roman" w:cs="Times New Roman"/>
        </w:rPr>
        <w:t xml:space="preserve"> in an </w:t>
      </w:r>
      <w:proofErr w:type="spellStart"/>
      <w:r w:rsidR="006632ED" w:rsidRPr="00705170">
        <w:rPr>
          <w:rFonts w:ascii="Times New Roman" w:hAnsi="Times New Roman" w:cs="Times New Roman"/>
        </w:rPr>
        <w:t>enterprise</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fundamentally</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different</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than</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that</w:t>
      </w:r>
      <w:proofErr w:type="spellEnd"/>
      <w:r w:rsidR="006632ED" w:rsidRPr="00705170">
        <w:rPr>
          <w:rFonts w:ascii="Times New Roman" w:hAnsi="Times New Roman" w:cs="Times New Roman"/>
        </w:rPr>
        <w:t xml:space="preserve"> in </w:t>
      </w:r>
      <w:proofErr w:type="spellStart"/>
      <w:r w:rsidR="006632ED" w:rsidRPr="00705170">
        <w:rPr>
          <w:rFonts w:ascii="Times New Roman" w:hAnsi="Times New Roman" w:cs="Times New Roman"/>
        </w:rPr>
        <w:t>which</w:t>
      </w:r>
      <w:proofErr w:type="spellEnd"/>
      <w:r w:rsidR="006632ED" w:rsidRPr="00705170">
        <w:rPr>
          <w:rFonts w:ascii="Times New Roman" w:hAnsi="Times New Roman" w:cs="Times New Roman"/>
        </w:rPr>
        <w:t xml:space="preserve"> he </w:t>
      </w:r>
      <w:proofErr w:type="spellStart"/>
      <w:r w:rsidR="006632ED" w:rsidRPr="00705170">
        <w:rPr>
          <w:rFonts w:ascii="Times New Roman" w:hAnsi="Times New Roman" w:cs="Times New Roman"/>
        </w:rPr>
        <w:t>invested</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or</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sacrifice</w:t>
      </w:r>
      <w:proofErr w:type="spellEnd"/>
      <w:r w:rsidR="006632ED" w:rsidRPr="00705170">
        <w:rPr>
          <w:rFonts w:ascii="Times New Roman" w:hAnsi="Times New Roman" w:cs="Times New Roman"/>
        </w:rPr>
        <w:t xml:space="preserve"> his </w:t>
      </w:r>
      <w:proofErr w:type="spellStart"/>
      <w:r w:rsidR="006632ED" w:rsidRPr="00705170">
        <w:rPr>
          <w:rFonts w:ascii="Times New Roman" w:hAnsi="Times New Roman" w:cs="Times New Roman"/>
        </w:rPr>
        <w:t>investment</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by</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sale</w:t>
      </w:r>
      <w:proofErr w:type="spellEnd"/>
      <w:r w:rsidR="006632ED" w:rsidRPr="00705170">
        <w:rPr>
          <w:rFonts w:ascii="Times New Roman" w:hAnsi="Times New Roman" w:cs="Times New Roman"/>
        </w:rPr>
        <w:t xml:space="preserve"> of his </w:t>
      </w:r>
      <w:proofErr w:type="spellStart"/>
      <w:r w:rsidR="006632ED" w:rsidRPr="00705170">
        <w:rPr>
          <w:rFonts w:ascii="Times New Roman" w:hAnsi="Times New Roman" w:cs="Times New Roman"/>
        </w:rPr>
        <w:t>shares</w:t>
      </w:r>
      <w:proofErr w:type="spellEnd"/>
      <w:r w:rsidR="006632ED" w:rsidRPr="00705170">
        <w:rPr>
          <w:rFonts w:ascii="Times New Roman" w:hAnsi="Times New Roman" w:cs="Times New Roman"/>
        </w:rPr>
        <w:t xml:space="preserve"> at </w:t>
      </w:r>
      <w:proofErr w:type="spellStart"/>
      <w:r w:rsidR="006632ED" w:rsidRPr="00705170">
        <w:rPr>
          <w:rFonts w:ascii="Times New Roman" w:hAnsi="Times New Roman" w:cs="Times New Roman"/>
        </w:rPr>
        <w:t>less</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than</w:t>
      </w:r>
      <w:proofErr w:type="spellEnd"/>
      <w:r w:rsidR="006632ED" w:rsidRPr="00705170">
        <w:rPr>
          <w:rFonts w:ascii="Times New Roman" w:hAnsi="Times New Roman" w:cs="Times New Roman"/>
        </w:rPr>
        <w:t xml:space="preserve"> a </w:t>
      </w:r>
      <w:proofErr w:type="spellStart"/>
      <w:r w:rsidR="006632ED" w:rsidRPr="00705170">
        <w:rPr>
          <w:rFonts w:ascii="Times New Roman" w:hAnsi="Times New Roman" w:cs="Times New Roman"/>
        </w:rPr>
        <w:t>fair</w:t>
      </w:r>
      <w:proofErr w:type="spellEnd"/>
      <w:r w:rsidR="006632ED" w:rsidRPr="00705170">
        <w:rPr>
          <w:rFonts w:ascii="Times New Roman" w:hAnsi="Times New Roman" w:cs="Times New Roman"/>
        </w:rPr>
        <w:t xml:space="preserve"> </w:t>
      </w:r>
      <w:proofErr w:type="spellStart"/>
      <w:r w:rsidR="006632ED" w:rsidRPr="00705170">
        <w:rPr>
          <w:rFonts w:ascii="Times New Roman" w:hAnsi="Times New Roman" w:cs="Times New Roman"/>
        </w:rPr>
        <w:t>value</w:t>
      </w:r>
      <w:proofErr w:type="spellEnd"/>
      <w:r w:rsidR="006632ED" w:rsidRPr="00705170">
        <w:rPr>
          <w:rFonts w:ascii="Times New Roman" w:hAnsi="Times New Roman" w:cs="Times New Roman"/>
        </w:rPr>
        <w:t>”</w:t>
      </w:r>
      <w:r w:rsidR="006632ED" w:rsidRPr="00705170">
        <w:rPr>
          <w:rStyle w:val="DipnotBavurusu"/>
          <w:rFonts w:ascii="Times New Roman" w:hAnsi="Times New Roman" w:cs="Times New Roman"/>
        </w:rPr>
        <w:footnoteReference w:id="834"/>
      </w:r>
      <w:r w:rsidR="006632ED" w:rsidRPr="00705170">
        <w:rPr>
          <w:rFonts w:ascii="Times New Roman" w:hAnsi="Times New Roman" w:cs="Times New Roman"/>
        </w:rPr>
        <w:t>.</w:t>
      </w:r>
    </w:p>
    <w:p w14:paraId="56A756CE" w14:textId="77F01364" w:rsidR="0065757F" w:rsidRPr="00705170" w:rsidRDefault="00B42D58" w:rsidP="0065757F">
      <w:pPr>
        <w:spacing w:after="240" w:line="480" w:lineRule="auto"/>
        <w:ind w:firstLine="708"/>
        <w:jc w:val="both"/>
        <w:rPr>
          <w:rFonts w:ascii="Times New Roman" w:hAnsi="Times New Roman" w:cs="Times New Roman"/>
        </w:rPr>
      </w:pPr>
      <w:r w:rsidRPr="00705170">
        <w:rPr>
          <w:rFonts w:ascii="Times New Roman" w:hAnsi="Times New Roman" w:cs="Times New Roman"/>
        </w:rPr>
        <w:t xml:space="preserve"> </w:t>
      </w:r>
      <w:proofErr w:type="spellStart"/>
      <w:r w:rsidR="00855980" w:rsidRPr="00705170">
        <w:rPr>
          <w:rFonts w:ascii="Times New Roman" w:hAnsi="Times New Roman" w:cs="Times New Roman"/>
        </w:rPr>
        <w:t>These</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being</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said</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the</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mere</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existence</w:t>
      </w:r>
      <w:proofErr w:type="spellEnd"/>
      <w:r w:rsidR="00855980" w:rsidRPr="00705170">
        <w:rPr>
          <w:rFonts w:ascii="Times New Roman" w:hAnsi="Times New Roman" w:cs="Times New Roman"/>
        </w:rPr>
        <w:t xml:space="preserve"> of an </w:t>
      </w:r>
      <w:proofErr w:type="spellStart"/>
      <w:r w:rsidR="00855980" w:rsidRPr="00705170">
        <w:rPr>
          <w:rFonts w:ascii="Times New Roman" w:hAnsi="Times New Roman" w:cs="Times New Roman"/>
        </w:rPr>
        <w:t>involuntary</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dissolution</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remedy</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i.e</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hypothetical</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ri</w:t>
      </w:r>
      <w:r w:rsidR="00AD1034" w:rsidRPr="00705170">
        <w:rPr>
          <w:rFonts w:ascii="Times New Roman" w:hAnsi="Times New Roman" w:cs="Times New Roman"/>
        </w:rPr>
        <w:t>ght</w:t>
      </w:r>
      <w:proofErr w:type="spellEnd"/>
      <w:r w:rsidR="00AD1034" w:rsidRPr="00705170">
        <w:rPr>
          <w:rFonts w:ascii="Times New Roman" w:hAnsi="Times New Roman" w:cs="Times New Roman"/>
        </w:rPr>
        <w:t xml:space="preserve"> of </w:t>
      </w:r>
      <w:proofErr w:type="spellStart"/>
      <w:r w:rsidR="00AD1034" w:rsidRPr="00705170">
        <w:rPr>
          <w:rFonts w:ascii="Times New Roman" w:hAnsi="Times New Roman" w:cs="Times New Roman"/>
        </w:rPr>
        <w:t>the</w:t>
      </w:r>
      <w:proofErr w:type="spellEnd"/>
      <w:r w:rsidR="00AD1034" w:rsidRPr="00705170">
        <w:rPr>
          <w:rFonts w:ascii="Times New Roman" w:hAnsi="Times New Roman" w:cs="Times New Roman"/>
        </w:rPr>
        <w:t xml:space="preserve"> </w:t>
      </w:r>
      <w:proofErr w:type="spellStart"/>
      <w:r w:rsidR="00AD1034" w:rsidRPr="00705170">
        <w:rPr>
          <w:rFonts w:ascii="Times New Roman" w:hAnsi="Times New Roman" w:cs="Times New Roman"/>
        </w:rPr>
        <w:t>shareholders</w:t>
      </w:r>
      <w:proofErr w:type="spellEnd"/>
      <w:r w:rsidR="00AD1034" w:rsidRPr="00705170">
        <w:rPr>
          <w:rFonts w:ascii="Times New Roman" w:hAnsi="Times New Roman" w:cs="Times New Roman"/>
        </w:rPr>
        <w:t xml:space="preserve"> </w:t>
      </w:r>
      <w:proofErr w:type="spellStart"/>
      <w:r w:rsidR="00AD1034" w:rsidRPr="00705170">
        <w:rPr>
          <w:rFonts w:ascii="Times New Roman" w:hAnsi="Times New Roman" w:cs="Times New Roman"/>
        </w:rPr>
        <w:t>to</w:t>
      </w:r>
      <w:proofErr w:type="spellEnd"/>
      <w:r w:rsidR="00AD1034" w:rsidRPr="00705170">
        <w:rPr>
          <w:rFonts w:ascii="Times New Roman" w:hAnsi="Times New Roman" w:cs="Times New Roman"/>
        </w:rPr>
        <w:t xml:space="preserve"> file</w:t>
      </w:r>
      <w:r w:rsidR="00855980" w:rsidRPr="00705170">
        <w:rPr>
          <w:rFonts w:ascii="Times New Roman" w:hAnsi="Times New Roman" w:cs="Times New Roman"/>
        </w:rPr>
        <w:t xml:space="preserve"> an </w:t>
      </w:r>
      <w:proofErr w:type="spellStart"/>
      <w:r w:rsidR="00855980" w:rsidRPr="00705170">
        <w:rPr>
          <w:rFonts w:ascii="Times New Roman" w:hAnsi="Times New Roman" w:cs="Times New Roman"/>
        </w:rPr>
        <w:t>action</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under</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the</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provision</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does</w:t>
      </w:r>
      <w:proofErr w:type="spellEnd"/>
      <w:r w:rsidR="00855980" w:rsidRPr="00705170">
        <w:rPr>
          <w:rFonts w:ascii="Times New Roman" w:hAnsi="Times New Roman" w:cs="Times New Roman"/>
        </w:rPr>
        <w:t xml:space="preserve"> not </w:t>
      </w:r>
      <w:proofErr w:type="spellStart"/>
      <w:r w:rsidR="00855980" w:rsidRPr="00705170">
        <w:rPr>
          <w:rFonts w:ascii="Times New Roman" w:hAnsi="Times New Roman" w:cs="Times New Roman"/>
        </w:rPr>
        <w:t>raise</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the</w:t>
      </w:r>
      <w:proofErr w:type="spellEnd"/>
      <w:r w:rsidR="00855980" w:rsidRPr="00705170">
        <w:rPr>
          <w:rFonts w:ascii="Times New Roman" w:hAnsi="Times New Roman" w:cs="Times New Roman"/>
        </w:rPr>
        <w:t xml:space="preserve"> market </w:t>
      </w:r>
      <w:proofErr w:type="spellStart"/>
      <w:r w:rsidR="00855980" w:rsidRPr="00705170">
        <w:rPr>
          <w:rFonts w:ascii="Times New Roman" w:hAnsi="Times New Roman" w:cs="Times New Roman"/>
        </w:rPr>
        <w:t>value</w:t>
      </w:r>
      <w:proofErr w:type="spellEnd"/>
      <w:r w:rsidR="00855980" w:rsidRPr="00705170">
        <w:rPr>
          <w:rFonts w:ascii="Times New Roman" w:hAnsi="Times New Roman" w:cs="Times New Roman"/>
        </w:rPr>
        <w:t xml:space="preserve"> of </w:t>
      </w:r>
      <w:proofErr w:type="spellStart"/>
      <w:r w:rsidR="00855980" w:rsidRPr="00705170">
        <w:rPr>
          <w:rFonts w:ascii="Times New Roman" w:hAnsi="Times New Roman" w:cs="Times New Roman"/>
        </w:rPr>
        <w:t>the</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shares</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or</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reduce</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the</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applicable</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discounts</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or</w:t>
      </w:r>
      <w:proofErr w:type="spellEnd"/>
      <w:r w:rsidR="00855980" w:rsidRPr="00705170">
        <w:rPr>
          <w:rFonts w:ascii="Times New Roman" w:hAnsi="Times New Roman" w:cs="Times New Roman"/>
        </w:rPr>
        <w:t xml:space="preserve"> </w:t>
      </w:r>
      <w:proofErr w:type="spellStart"/>
      <w:r w:rsidR="00855980" w:rsidRPr="00705170">
        <w:rPr>
          <w:rFonts w:ascii="Times New Roman" w:hAnsi="Times New Roman" w:cs="Times New Roman"/>
        </w:rPr>
        <w:t>marketability</w:t>
      </w:r>
      <w:proofErr w:type="spellEnd"/>
      <w:r w:rsidR="00855980" w:rsidRPr="00705170">
        <w:rPr>
          <w:rStyle w:val="DipnotBavurusu"/>
          <w:rFonts w:ascii="Times New Roman" w:hAnsi="Times New Roman" w:cs="Times New Roman"/>
        </w:rPr>
        <w:footnoteReference w:id="835"/>
      </w:r>
      <w:r w:rsidR="00855980"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liquidity</w:t>
      </w:r>
      <w:proofErr w:type="spellEnd"/>
      <w:r w:rsidRPr="00705170">
        <w:rPr>
          <w:rFonts w:ascii="Times New Roman" w:hAnsi="Times New Roman" w:cs="Times New Roman"/>
        </w:rPr>
        <w:t xml:space="preserve"> </w:t>
      </w:r>
      <w:proofErr w:type="spellStart"/>
      <w:r w:rsidR="00855980" w:rsidRPr="00705170">
        <w:rPr>
          <w:rFonts w:ascii="Times New Roman" w:hAnsi="Times New Roman" w:cs="Times New Roman"/>
        </w:rPr>
        <w:t>aspect</w:t>
      </w:r>
      <w:proofErr w:type="spellEnd"/>
      <w:r w:rsidR="00855980" w:rsidRPr="00705170">
        <w:rPr>
          <w:rFonts w:ascii="Times New Roman" w:hAnsi="Times New Roman" w:cs="Times New Roman"/>
        </w:rPr>
        <w:t xml:space="preserve"> </w:t>
      </w:r>
      <w:proofErr w:type="spellStart"/>
      <w:r w:rsidRPr="00705170">
        <w:rPr>
          <w:rFonts w:ascii="Times New Roman" w:hAnsi="Times New Roman" w:cs="Times New Roman"/>
        </w:rPr>
        <w:t>becomes</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issue</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close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lack</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secondary</w:t>
      </w:r>
      <w:proofErr w:type="spellEnd"/>
      <w:r w:rsidRPr="00705170">
        <w:rPr>
          <w:rFonts w:ascii="Times New Roman" w:hAnsi="Times New Roman" w:cs="Times New Roman"/>
        </w:rPr>
        <w:t xml:space="preserve"> market</w:t>
      </w:r>
      <w:r w:rsidR="00C2377F" w:rsidRPr="00705170">
        <w:rPr>
          <w:rFonts w:ascii="Times New Roman" w:hAnsi="Times New Roman" w:cs="Times New Roman"/>
        </w:rPr>
        <w:t xml:space="preserve"> </w:t>
      </w:r>
      <w:proofErr w:type="spellStart"/>
      <w:r w:rsidR="00C2377F" w:rsidRPr="00705170">
        <w:rPr>
          <w:rFonts w:ascii="Times New Roman" w:hAnsi="Times New Roman" w:cs="Times New Roman"/>
        </w:rPr>
        <w:t>for</w:t>
      </w:r>
      <w:proofErr w:type="spellEnd"/>
      <w:r w:rsidR="00C2377F" w:rsidRPr="00705170">
        <w:rPr>
          <w:rFonts w:ascii="Times New Roman" w:hAnsi="Times New Roman" w:cs="Times New Roman"/>
        </w:rPr>
        <w:t xml:space="preserve"> </w:t>
      </w:r>
      <w:proofErr w:type="spellStart"/>
      <w:r w:rsidR="00C2377F" w:rsidRPr="00705170">
        <w:rPr>
          <w:rFonts w:ascii="Times New Roman" w:hAnsi="Times New Roman" w:cs="Times New Roman"/>
        </w:rPr>
        <w:t>shares</w:t>
      </w:r>
      <w:proofErr w:type="spellEnd"/>
      <w:r w:rsidR="00C2377F" w:rsidRPr="00705170">
        <w:rPr>
          <w:rStyle w:val="DipnotBavurusu"/>
          <w:rFonts w:ascii="Times New Roman" w:hAnsi="Times New Roman" w:cs="Times New Roman"/>
        </w:rPr>
        <w:footnoteReference w:id="836"/>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unfavorable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conditions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price</w:t>
      </w:r>
      <w:proofErr w:type="spellEnd"/>
      <w:r w:rsidRPr="00705170">
        <w:rPr>
          <w:rFonts w:ascii="Times New Roman" w:hAnsi="Times New Roman" w:cs="Times New Roman"/>
        </w:rPr>
        <w:t xml:space="preserve"> set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efficient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markets</w:t>
      </w:r>
      <w:proofErr w:type="spellEnd"/>
      <w:r w:rsidR="00FA36A1" w:rsidRPr="00705170">
        <w:rPr>
          <w:rStyle w:val="DipnotBavurusu"/>
          <w:rFonts w:ascii="Times New Roman" w:hAnsi="Times New Roman" w:cs="Times New Roman"/>
        </w:rPr>
        <w:footnoteReference w:id="837"/>
      </w:r>
      <w:r w:rsidRPr="00705170">
        <w:rPr>
          <w:rFonts w:ascii="Times New Roman" w:hAnsi="Times New Roman" w:cs="Times New Roman"/>
        </w:rPr>
        <w:t>.</w:t>
      </w:r>
      <w:r w:rsidR="003E02A8" w:rsidRPr="00705170">
        <w:rPr>
          <w:rFonts w:ascii="Times New Roman" w:hAnsi="Times New Roman" w:cs="Times New Roman"/>
        </w:rPr>
        <w:t xml:space="preserve"> </w:t>
      </w:r>
      <w:proofErr w:type="spellStart"/>
      <w:r w:rsidR="00E76B17" w:rsidRPr="00705170">
        <w:rPr>
          <w:rFonts w:ascii="Times New Roman" w:hAnsi="Times New Roman" w:cs="Times New Roman"/>
        </w:rPr>
        <w:t>In</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this</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regards</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while</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the</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prior</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illiquidity</w:t>
      </w:r>
      <w:proofErr w:type="spellEnd"/>
      <w:r w:rsidR="00E76B17" w:rsidRPr="00705170">
        <w:rPr>
          <w:rFonts w:ascii="Times New Roman" w:hAnsi="Times New Roman" w:cs="Times New Roman"/>
        </w:rPr>
        <w:t xml:space="preserve"> is </w:t>
      </w:r>
      <w:proofErr w:type="spellStart"/>
      <w:r w:rsidR="00E76B17" w:rsidRPr="00705170">
        <w:rPr>
          <w:rFonts w:ascii="Times New Roman" w:hAnsi="Times New Roman" w:cs="Times New Roman"/>
        </w:rPr>
        <w:t>caused</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by</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the</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non</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existing</w:t>
      </w:r>
      <w:proofErr w:type="spellEnd"/>
      <w:r w:rsidR="00E76B17" w:rsidRPr="00705170">
        <w:rPr>
          <w:rFonts w:ascii="Times New Roman" w:hAnsi="Times New Roman" w:cs="Times New Roman"/>
        </w:rPr>
        <w:t xml:space="preserve"> market </w:t>
      </w:r>
      <w:proofErr w:type="spellStart"/>
      <w:r w:rsidR="00E76B17" w:rsidRPr="00705170">
        <w:rPr>
          <w:rFonts w:ascii="Times New Roman" w:hAnsi="Times New Roman" w:cs="Times New Roman"/>
        </w:rPr>
        <w:t>for</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shares</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the</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latter</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illiquidity</w:t>
      </w:r>
      <w:proofErr w:type="spellEnd"/>
      <w:r w:rsidR="00E76B17" w:rsidRPr="00705170">
        <w:rPr>
          <w:rFonts w:ascii="Times New Roman" w:hAnsi="Times New Roman" w:cs="Times New Roman"/>
        </w:rPr>
        <w:t xml:space="preserve"> is </w:t>
      </w:r>
      <w:proofErr w:type="spellStart"/>
      <w:r w:rsidR="00E76B17" w:rsidRPr="00705170">
        <w:rPr>
          <w:rFonts w:ascii="Times New Roman" w:hAnsi="Times New Roman" w:cs="Times New Roman"/>
        </w:rPr>
        <w:t>caused</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by</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the</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loss</w:t>
      </w:r>
      <w:proofErr w:type="spellEnd"/>
      <w:r w:rsidR="00E76B17" w:rsidRPr="00705170">
        <w:rPr>
          <w:rFonts w:ascii="Times New Roman" w:hAnsi="Times New Roman" w:cs="Times New Roman"/>
        </w:rPr>
        <w:t xml:space="preserve"> of a </w:t>
      </w:r>
      <w:proofErr w:type="spellStart"/>
      <w:r w:rsidR="00E76B17" w:rsidRPr="00705170">
        <w:rPr>
          <w:rFonts w:ascii="Times New Roman" w:hAnsi="Times New Roman" w:cs="Times New Roman"/>
        </w:rPr>
        <w:t>potential</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public</w:t>
      </w:r>
      <w:proofErr w:type="spellEnd"/>
      <w:r w:rsidR="00E76B17" w:rsidRPr="00705170">
        <w:rPr>
          <w:rFonts w:ascii="Times New Roman" w:hAnsi="Times New Roman" w:cs="Times New Roman"/>
        </w:rPr>
        <w:t xml:space="preserve"> market </w:t>
      </w:r>
      <w:proofErr w:type="spellStart"/>
      <w:r w:rsidR="00E76B17" w:rsidRPr="00705170">
        <w:rPr>
          <w:rFonts w:ascii="Times New Roman" w:hAnsi="Times New Roman" w:cs="Times New Roman"/>
        </w:rPr>
        <w:t>which</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would</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have</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given</w:t>
      </w:r>
      <w:proofErr w:type="spellEnd"/>
      <w:r w:rsidR="00E76B17" w:rsidRPr="00705170">
        <w:rPr>
          <w:rFonts w:ascii="Times New Roman" w:hAnsi="Times New Roman" w:cs="Times New Roman"/>
        </w:rPr>
        <w:t xml:space="preserve"> a </w:t>
      </w:r>
      <w:proofErr w:type="spellStart"/>
      <w:r w:rsidR="00E76B17" w:rsidRPr="00705170">
        <w:rPr>
          <w:rFonts w:ascii="Times New Roman" w:hAnsi="Times New Roman" w:cs="Times New Roman"/>
        </w:rPr>
        <w:t>profit</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to</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the</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shareholders</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that</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could</w:t>
      </w:r>
      <w:proofErr w:type="spellEnd"/>
      <w:r w:rsidR="00E76B17" w:rsidRPr="00705170">
        <w:rPr>
          <w:rFonts w:ascii="Times New Roman" w:hAnsi="Times New Roman" w:cs="Times New Roman"/>
        </w:rPr>
        <w:t xml:space="preserve"> not be </w:t>
      </w:r>
      <w:proofErr w:type="spellStart"/>
      <w:r w:rsidR="00E76B17" w:rsidRPr="00705170">
        <w:rPr>
          <w:rFonts w:ascii="Times New Roman" w:hAnsi="Times New Roman" w:cs="Times New Roman"/>
        </w:rPr>
        <w:t>alone</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compensated</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by</w:t>
      </w:r>
      <w:proofErr w:type="spellEnd"/>
      <w:r w:rsidR="00E76B17" w:rsidRPr="00705170">
        <w:rPr>
          <w:rFonts w:ascii="Times New Roman" w:hAnsi="Times New Roman" w:cs="Times New Roman"/>
        </w:rPr>
        <w:t xml:space="preserve"> a </w:t>
      </w:r>
      <w:proofErr w:type="spellStart"/>
      <w:r w:rsidR="00E76B17" w:rsidRPr="00705170">
        <w:rPr>
          <w:rFonts w:ascii="Times New Roman" w:hAnsi="Times New Roman" w:cs="Times New Roman"/>
        </w:rPr>
        <w:t>positive</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reflection</w:t>
      </w:r>
      <w:proofErr w:type="spellEnd"/>
      <w:r w:rsidR="00E76B17" w:rsidRPr="00705170">
        <w:rPr>
          <w:rFonts w:ascii="Times New Roman" w:hAnsi="Times New Roman" w:cs="Times New Roman"/>
        </w:rPr>
        <w:t xml:space="preserve"> on </w:t>
      </w:r>
      <w:proofErr w:type="spellStart"/>
      <w:r w:rsidR="00E76B17" w:rsidRPr="00705170">
        <w:rPr>
          <w:rFonts w:ascii="Times New Roman" w:hAnsi="Times New Roman" w:cs="Times New Roman"/>
        </w:rPr>
        <w:t>the</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book</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value</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and</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earnings</w:t>
      </w:r>
      <w:proofErr w:type="spellEnd"/>
      <w:r w:rsidR="00E76B17" w:rsidRPr="00705170">
        <w:rPr>
          <w:rFonts w:ascii="Times New Roman" w:hAnsi="Times New Roman" w:cs="Times New Roman"/>
        </w:rPr>
        <w:t xml:space="preserve"> of </w:t>
      </w:r>
      <w:proofErr w:type="spellStart"/>
      <w:r w:rsidR="00E76B17" w:rsidRPr="00705170">
        <w:rPr>
          <w:rFonts w:ascii="Times New Roman" w:hAnsi="Times New Roman" w:cs="Times New Roman"/>
        </w:rPr>
        <w:t>the</w:t>
      </w:r>
      <w:proofErr w:type="spellEnd"/>
      <w:r w:rsidR="00E76B17" w:rsidRPr="00705170">
        <w:rPr>
          <w:rFonts w:ascii="Times New Roman" w:hAnsi="Times New Roman" w:cs="Times New Roman"/>
        </w:rPr>
        <w:t xml:space="preserve"> </w:t>
      </w:r>
      <w:proofErr w:type="spellStart"/>
      <w:r w:rsidR="00E76B17" w:rsidRPr="00705170">
        <w:rPr>
          <w:rFonts w:ascii="Times New Roman" w:hAnsi="Times New Roman" w:cs="Times New Roman"/>
        </w:rPr>
        <w:t>corporation</w:t>
      </w:r>
      <w:proofErr w:type="spellEnd"/>
      <w:r w:rsidR="00E76B17" w:rsidRPr="00705170">
        <w:rPr>
          <w:rStyle w:val="DipnotBavurusu"/>
          <w:rFonts w:ascii="Times New Roman" w:hAnsi="Times New Roman" w:cs="Times New Roman"/>
        </w:rPr>
        <w:footnoteReference w:id="838"/>
      </w:r>
      <w:r w:rsidR="00E76B17" w:rsidRPr="00705170">
        <w:rPr>
          <w:rFonts w:ascii="Times New Roman" w:hAnsi="Times New Roman" w:cs="Times New Roman"/>
        </w:rPr>
        <w:t xml:space="preserve">. </w:t>
      </w:r>
      <w:proofErr w:type="spellStart"/>
      <w:r w:rsidR="00E65F9C" w:rsidRPr="00705170">
        <w:rPr>
          <w:rFonts w:ascii="Times New Roman" w:hAnsi="Times New Roman" w:cs="Times New Roman"/>
        </w:rPr>
        <w:t>After</w:t>
      </w:r>
      <w:proofErr w:type="spellEnd"/>
      <w:r w:rsidR="00E65F9C" w:rsidRPr="00705170">
        <w:rPr>
          <w:rFonts w:ascii="Times New Roman" w:hAnsi="Times New Roman" w:cs="Times New Roman"/>
        </w:rPr>
        <w:t xml:space="preserve"> </w:t>
      </w:r>
      <w:proofErr w:type="spellStart"/>
      <w:r w:rsidR="00E65F9C" w:rsidRPr="00705170">
        <w:rPr>
          <w:rFonts w:ascii="Times New Roman" w:hAnsi="Times New Roman" w:cs="Times New Roman"/>
        </w:rPr>
        <w:t>all</w:t>
      </w:r>
      <w:proofErr w:type="spellEnd"/>
      <w:r w:rsidR="00E65F9C" w:rsidRPr="00705170">
        <w:rPr>
          <w:rFonts w:ascii="Times New Roman" w:hAnsi="Times New Roman" w:cs="Times New Roman"/>
        </w:rPr>
        <w:t xml:space="preserve">, in </w:t>
      </w:r>
      <w:proofErr w:type="spellStart"/>
      <w:r w:rsidR="00E65F9C" w:rsidRPr="00705170">
        <w:rPr>
          <w:rFonts w:ascii="Times New Roman" w:hAnsi="Times New Roman" w:cs="Times New Roman"/>
        </w:rPr>
        <w:t>addition</w:t>
      </w:r>
      <w:proofErr w:type="spellEnd"/>
      <w:r w:rsidR="00E65F9C" w:rsidRPr="00705170">
        <w:rPr>
          <w:rFonts w:ascii="Times New Roman" w:hAnsi="Times New Roman" w:cs="Times New Roman"/>
        </w:rPr>
        <w:t xml:space="preserve"> </w:t>
      </w:r>
      <w:proofErr w:type="spellStart"/>
      <w:r w:rsidR="00E65F9C" w:rsidRPr="00705170">
        <w:rPr>
          <w:rFonts w:ascii="Times New Roman" w:hAnsi="Times New Roman" w:cs="Times New Roman"/>
        </w:rPr>
        <w:t>to</w:t>
      </w:r>
      <w:proofErr w:type="spellEnd"/>
      <w:r w:rsidR="00EF7F66" w:rsidRPr="00705170">
        <w:rPr>
          <w:rFonts w:ascii="Times New Roman" w:hAnsi="Times New Roman" w:cs="Times New Roman"/>
        </w:rPr>
        <w:t xml:space="preserve"> </w:t>
      </w:r>
      <w:proofErr w:type="spellStart"/>
      <w:r w:rsidR="00EF7F66" w:rsidRPr="00705170">
        <w:rPr>
          <w:rFonts w:ascii="Times New Roman" w:hAnsi="Times New Roman" w:cs="Times New Roman"/>
        </w:rPr>
        <w:t>the</w:t>
      </w:r>
      <w:proofErr w:type="spellEnd"/>
      <w:r w:rsidR="00EF7F66" w:rsidRPr="00705170">
        <w:rPr>
          <w:rFonts w:ascii="Times New Roman" w:hAnsi="Times New Roman" w:cs="Times New Roman"/>
        </w:rPr>
        <w:t xml:space="preserve"> </w:t>
      </w:r>
      <w:proofErr w:type="spellStart"/>
      <w:r w:rsidR="00EF7F66" w:rsidRPr="00705170">
        <w:rPr>
          <w:rFonts w:ascii="Times New Roman" w:hAnsi="Times New Roman" w:cs="Times New Roman"/>
        </w:rPr>
        <w:t>equity</w:t>
      </w:r>
      <w:proofErr w:type="spellEnd"/>
      <w:r w:rsidR="00EF7F66" w:rsidRPr="00705170">
        <w:rPr>
          <w:rFonts w:ascii="Times New Roman" w:hAnsi="Times New Roman" w:cs="Times New Roman"/>
        </w:rPr>
        <w:t xml:space="preserve"> </w:t>
      </w:r>
      <w:proofErr w:type="spellStart"/>
      <w:r w:rsidR="00EF7F66" w:rsidRPr="00705170">
        <w:rPr>
          <w:rFonts w:ascii="Times New Roman" w:hAnsi="Times New Roman" w:cs="Times New Roman"/>
        </w:rPr>
        <w:t>grounds</w:t>
      </w:r>
      <w:proofErr w:type="spellEnd"/>
      <w:r w:rsidR="006A0D20" w:rsidRPr="00705170">
        <w:rPr>
          <w:rFonts w:ascii="Times New Roman" w:hAnsi="Times New Roman" w:cs="Times New Roman"/>
        </w:rPr>
        <w:t xml:space="preserve"> </w:t>
      </w:r>
      <w:proofErr w:type="spellStart"/>
      <w:r w:rsidR="006A0D20" w:rsidRPr="00705170">
        <w:rPr>
          <w:rFonts w:ascii="Times New Roman" w:hAnsi="Times New Roman" w:cs="Times New Roman"/>
        </w:rPr>
        <w:t>and</w:t>
      </w:r>
      <w:proofErr w:type="spellEnd"/>
      <w:r w:rsidR="006A0D20" w:rsidRPr="00705170">
        <w:rPr>
          <w:rFonts w:ascii="Times New Roman" w:hAnsi="Times New Roman" w:cs="Times New Roman"/>
        </w:rPr>
        <w:t xml:space="preserve"> </w:t>
      </w:r>
      <w:proofErr w:type="spellStart"/>
      <w:r w:rsidR="006A0D20" w:rsidRPr="00705170">
        <w:rPr>
          <w:rFonts w:ascii="Times New Roman" w:hAnsi="Times New Roman" w:cs="Times New Roman"/>
        </w:rPr>
        <w:lastRenderedPageBreak/>
        <w:t>wider</w:t>
      </w:r>
      <w:proofErr w:type="spellEnd"/>
      <w:r w:rsidR="006A0D20" w:rsidRPr="00705170">
        <w:rPr>
          <w:rFonts w:ascii="Times New Roman" w:hAnsi="Times New Roman" w:cs="Times New Roman"/>
        </w:rPr>
        <w:t xml:space="preserve"> </w:t>
      </w:r>
      <w:proofErr w:type="spellStart"/>
      <w:r w:rsidR="006A0D20" w:rsidRPr="00705170">
        <w:rPr>
          <w:rFonts w:ascii="Times New Roman" w:hAnsi="Times New Roman" w:cs="Times New Roman"/>
        </w:rPr>
        <w:t>considerations</w:t>
      </w:r>
      <w:proofErr w:type="spellEnd"/>
      <w:r w:rsidR="006A0D20" w:rsidRPr="00705170">
        <w:rPr>
          <w:rFonts w:ascii="Times New Roman" w:hAnsi="Times New Roman" w:cs="Times New Roman"/>
        </w:rPr>
        <w:t xml:space="preserve"> </w:t>
      </w:r>
      <w:proofErr w:type="spellStart"/>
      <w:r w:rsidR="006A0D20" w:rsidRPr="00705170">
        <w:rPr>
          <w:rFonts w:ascii="Times New Roman" w:hAnsi="Times New Roman" w:cs="Times New Roman"/>
        </w:rPr>
        <w:t>stated</w:t>
      </w:r>
      <w:proofErr w:type="spellEnd"/>
      <w:r w:rsidR="006A0D20" w:rsidRPr="00705170">
        <w:rPr>
          <w:rFonts w:ascii="Times New Roman" w:hAnsi="Times New Roman" w:cs="Times New Roman"/>
        </w:rPr>
        <w:t xml:space="preserve"> </w:t>
      </w:r>
      <w:proofErr w:type="spellStart"/>
      <w:r w:rsidR="00904488">
        <w:rPr>
          <w:rFonts w:ascii="Times New Roman" w:hAnsi="Times New Roman" w:cs="Times New Roman"/>
        </w:rPr>
        <w:t>before</w:t>
      </w:r>
      <w:proofErr w:type="spellEnd"/>
      <w:r w:rsidR="00EF7F66" w:rsidRPr="00705170">
        <w:rPr>
          <w:rFonts w:ascii="Times New Roman" w:hAnsi="Times New Roman" w:cs="Times New Roman"/>
        </w:rPr>
        <w:t xml:space="preserve">, </w:t>
      </w:r>
      <w:proofErr w:type="spellStart"/>
      <w:r w:rsidR="00EF7F66" w:rsidRPr="00705170">
        <w:rPr>
          <w:rFonts w:ascii="Times New Roman" w:hAnsi="Times New Roman" w:cs="Times New Roman"/>
        </w:rPr>
        <w:t>l</w:t>
      </w:r>
      <w:r w:rsidR="003E02A8" w:rsidRPr="00705170">
        <w:rPr>
          <w:rFonts w:ascii="Times New Roman" w:hAnsi="Times New Roman" w:cs="Times New Roman"/>
        </w:rPr>
        <w:t>aw</w:t>
      </w:r>
      <w:proofErr w:type="spellEnd"/>
      <w:r w:rsidR="003E02A8" w:rsidRPr="00705170">
        <w:rPr>
          <w:rFonts w:ascii="Times New Roman" w:hAnsi="Times New Roman" w:cs="Times New Roman"/>
        </w:rPr>
        <w:t xml:space="preserve"> </w:t>
      </w:r>
      <w:proofErr w:type="spellStart"/>
      <w:r w:rsidR="00EF7F66" w:rsidRPr="00705170">
        <w:rPr>
          <w:rFonts w:ascii="Times New Roman" w:hAnsi="Times New Roman" w:cs="Times New Roman"/>
        </w:rPr>
        <w:t>also</w:t>
      </w:r>
      <w:proofErr w:type="spellEnd"/>
      <w:r w:rsidR="00EF7F66" w:rsidRPr="00705170">
        <w:rPr>
          <w:rFonts w:ascii="Times New Roman" w:hAnsi="Times New Roman" w:cs="Times New Roman"/>
        </w:rPr>
        <w:t xml:space="preserve"> </w:t>
      </w:r>
      <w:r w:rsidR="003E02A8" w:rsidRPr="00705170">
        <w:rPr>
          <w:rFonts w:ascii="Times New Roman" w:hAnsi="Times New Roman" w:cs="Times New Roman"/>
        </w:rPr>
        <w:t xml:space="preserve">has </w:t>
      </w:r>
      <w:proofErr w:type="spellStart"/>
      <w:r w:rsidR="003E02A8" w:rsidRPr="00705170">
        <w:rPr>
          <w:rFonts w:ascii="Times New Roman" w:hAnsi="Times New Roman" w:cs="Times New Roman"/>
        </w:rPr>
        <w:t>to</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consider</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the</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availability</w:t>
      </w:r>
      <w:proofErr w:type="spellEnd"/>
      <w:r w:rsidR="003E02A8" w:rsidRPr="00705170">
        <w:rPr>
          <w:rFonts w:ascii="Times New Roman" w:hAnsi="Times New Roman" w:cs="Times New Roman"/>
        </w:rPr>
        <w:t xml:space="preserve"> of a “</w:t>
      </w:r>
      <w:proofErr w:type="spellStart"/>
      <w:r w:rsidR="003E02A8" w:rsidRPr="00705170">
        <w:rPr>
          <w:rFonts w:ascii="Times New Roman" w:hAnsi="Times New Roman" w:cs="Times New Roman"/>
        </w:rPr>
        <w:t>good</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exit</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because</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bad</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exists</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will</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cause</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substantial</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systemic</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costs</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by</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fostering</w:t>
      </w:r>
      <w:proofErr w:type="spellEnd"/>
      <w:r w:rsidR="003E02A8" w:rsidRPr="00705170">
        <w:rPr>
          <w:rFonts w:ascii="Times New Roman" w:hAnsi="Times New Roman" w:cs="Times New Roman"/>
        </w:rPr>
        <w:t xml:space="preserve"> an </w:t>
      </w:r>
      <w:proofErr w:type="spellStart"/>
      <w:r w:rsidR="003E02A8" w:rsidRPr="00705170">
        <w:rPr>
          <w:rFonts w:ascii="Times New Roman" w:hAnsi="Times New Roman" w:cs="Times New Roman"/>
        </w:rPr>
        <w:t>ineff</w:t>
      </w:r>
      <w:r w:rsidR="00E65F9C" w:rsidRPr="00705170">
        <w:rPr>
          <w:rFonts w:ascii="Times New Roman" w:hAnsi="Times New Roman" w:cs="Times New Roman"/>
        </w:rPr>
        <w:t>icient</w:t>
      </w:r>
      <w:proofErr w:type="spellEnd"/>
      <w:r w:rsidR="00E65F9C" w:rsidRPr="00705170">
        <w:rPr>
          <w:rFonts w:ascii="Times New Roman" w:hAnsi="Times New Roman" w:cs="Times New Roman"/>
        </w:rPr>
        <w:t xml:space="preserve"> </w:t>
      </w:r>
      <w:proofErr w:type="spellStart"/>
      <w:r w:rsidR="00E65F9C" w:rsidRPr="00705170">
        <w:rPr>
          <w:rFonts w:ascii="Times New Roman" w:hAnsi="Times New Roman" w:cs="Times New Roman"/>
        </w:rPr>
        <w:t>allocation</w:t>
      </w:r>
      <w:proofErr w:type="spellEnd"/>
      <w:r w:rsidR="00E65F9C" w:rsidRPr="00705170">
        <w:rPr>
          <w:rFonts w:ascii="Times New Roman" w:hAnsi="Times New Roman" w:cs="Times New Roman"/>
        </w:rPr>
        <w:t xml:space="preserve"> of </w:t>
      </w:r>
      <w:proofErr w:type="spellStart"/>
      <w:r w:rsidR="00E65F9C" w:rsidRPr="00705170">
        <w:rPr>
          <w:rFonts w:ascii="Times New Roman" w:hAnsi="Times New Roman" w:cs="Times New Roman"/>
        </w:rPr>
        <w:t>resources</w:t>
      </w:r>
      <w:proofErr w:type="spellEnd"/>
      <w:r w:rsidR="00E65F9C" w:rsidRPr="00705170">
        <w:rPr>
          <w:rFonts w:ascii="Times New Roman" w:hAnsi="Times New Roman" w:cs="Times New Roman"/>
        </w:rPr>
        <w:t xml:space="preserve">: </w:t>
      </w:r>
      <w:proofErr w:type="spellStart"/>
      <w:r w:rsidR="00E65F9C" w:rsidRPr="00705170">
        <w:rPr>
          <w:rFonts w:ascii="Times New Roman" w:hAnsi="Times New Roman" w:cs="Times New Roman"/>
        </w:rPr>
        <w:t>I</w:t>
      </w:r>
      <w:r w:rsidR="003E02A8" w:rsidRPr="00705170">
        <w:rPr>
          <w:rFonts w:ascii="Times New Roman" w:hAnsi="Times New Roman" w:cs="Times New Roman"/>
        </w:rPr>
        <w:t>t</w:t>
      </w:r>
      <w:proofErr w:type="spellEnd"/>
      <w:r w:rsidR="003E02A8" w:rsidRPr="00705170">
        <w:rPr>
          <w:rFonts w:ascii="Times New Roman" w:hAnsi="Times New Roman" w:cs="Times New Roman"/>
        </w:rPr>
        <w:t xml:space="preserve"> is </w:t>
      </w:r>
      <w:proofErr w:type="spellStart"/>
      <w:r w:rsidR="003E02A8" w:rsidRPr="00705170">
        <w:rPr>
          <w:rFonts w:ascii="Times New Roman" w:hAnsi="Times New Roman" w:cs="Times New Roman"/>
        </w:rPr>
        <w:t>crucial</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for</w:t>
      </w:r>
      <w:proofErr w:type="spellEnd"/>
      <w:r w:rsidR="003E02A8" w:rsidRPr="00705170">
        <w:rPr>
          <w:rFonts w:ascii="Times New Roman" w:hAnsi="Times New Roman" w:cs="Times New Roman"/>
        </w:rPr>
        <w:t xml:space="preserve"> a </w:t>
      </w:r>
      <w:proofErr w:type="spellStart"/>
      <w:r w:rsidR="003E02A8" w:rsidRPr="00705170">
        <w:rPr>
          <w:rFonts w:ascii="Times New Roman" w:hAnsi="Times New Roman" w:cs="Times New Roman"/>
        </w:rPr>
        <w:t>free</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enterprise</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system</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to</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give</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the</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resource</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owners</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the</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ab</w:t>
      </w:r>
      <w:r w:rsidR="00E65F9C" w:rsidRPr="00705170">
        <w:rPr>
          <w:rFonts w:ascii="Times New Roman" w:hAnsi="Times New Roman" w:cs="Times New Roman"/>
        </w:rPr>
        <w:t>ility</w:t>
      </w:r>
      <w:proofErr w:type="spellEnd"/>
      <w:r w:rsidR="00E65F9C" w:rsidRPr="00705170">
        <w:rPr>
          <w:rFonts w:ascii="Times New Roman" w:hAnsi="Times New Roman" w:cs="Times New Roman"/>
        </w:rPr>
        <w:t xml:space="preserve"> </w:t>
      </w:r>
      <w:proofErr w:type="spellStart"/>
      <w:r w:rsidR="00E65F9C" w:rsidRPr="00705170">
        <w:rPr>
          <w:rFonts w:ascii="Times New Roman" w:hAnsi="Times New Roman" w:cs="Times New Roman"/>
        </w:rPr>
        <w:t>to</w:t>
      </w:r>
      <w:proofErr w:type="spellEnd"/>
      <w:r w:rsidR="00E65F9C" w:rsidRPr="00705170">
        <w:rPr>
          <w:rFonts w:ascii="Times New Roman" w:hAnsi="Times New Roman" w:cs="Times New Roman"/>
        </w:rPr>
        <w:t xml:space="preserve"> </w:t>
      </w:r>
      <w:proofErr w:type="spellStart"/>
      <w:r w:rsidR="00E65F9C" w:rsidRPr="00705170">
        <w:rPr>
          <w:rFonts w:ascii="Times New Roman" w:hAnsi="Times New Roman" w:cs="Times New Roman"/>
        </w:rPr>
        <w:t>redirect</w:t>
      </w:r>
      <w:proofErr w:type="spellEnd"/>
      <w:r w:rsidR="00E65F9C" w:rsidRPr="00705170">
        <w:rPr>
          <w:rFonts w:ascii="Times New Roman" w:hAnsi="Times New Roman" w:cs="Times New Roman"/>
        </w:rPr>
        <w:t xml:space="preserve"> </w:t>
      </w:r>
      <w:proofErr w:type="spellStart"/>
      <w:r w:rsidR="00E65F9C" w:rsidRPr="00705170">
        <w:rPr>
          <w:rFonts w:ascii="Times New Roman" w:hAnsi="Times New Roman" w:cs="Times New Roman"/>
        </w:rPr>
        <w:t>the</w:t>
      </w:r>
      <w:proofErr w:type="spellEnd"/>
      <w:r w:rsidR="00E65F9C" w:rsidRPr="00705170">
        <w:rPr>
          <w:rFonts w:ascii="Times New Roman" w:hAnsi="Times New Roman" w:cs="Times New Roman"/>
        </w:rPr>
        <w:t xml:space="preserve"> </w:t>
      </w:r>
      <w:proofErr w:type="spellStart"/>
      <w:r w:rsidR="00E65F9C" w:rsidRPr="00705170">
        <w:rPr>
          <w:rFonts w:ascii="Times New Roman" w:hAnsi="Times New Roman" w:cs="Times New Roman"/>
        </w:rPr>
        <w:t>use</w:t>
      </w:r>
      <w:proofErr w:type="spellEnd"/>
      <w:r w:rsidR="00E65F9C" w:rsidRPr="00705170">
        <w:rPr>
          <w:rFonts w:ascii="Times New Roman" w:hAnsi="Times New Roman" w:cs="Times New Roman"/>
        </w:rPr>
        <w:t xml:space="preserve"> of </w:t>
      </w:r>
      <w:proofErr w:type="spellStart"/>
      <w:r w:rsidR="00E65F9C" w:rsidRPr="00705170">
        <w:rPr>
          <w:rFonts w:ascii="Times New Roman" w:hAnsi="Times New Roman" w:cs="Times New Roman"/>
        </w:rPr>
        <w:t>their</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resources</w:t>
      </w:r>
      <w:proofErr w:type="spellEnd"/>
      <w:r w:rsidR="003E02A8" w:rsidRPr="00705170">
        <w:rPr>
          <w:rFonts w:ascii="Times New Roman" w:hAnsi="Times New Roman" w:cs="Times New Roman"/>
        </w:rPr>
        <w:t xml:space="preserve"> in </w:t>
      </w:r>
      <w:proofErr w:type="spellStart"/>
      <w:r w:rsidR="003E02A8" w:rsidRPr="00705170">
        <w:rPr>
          <w:rFonts w:ascii="Times New Roman" w:hAnsi="Times New Roman" w:cs="Times New Roman"/>
        </w:rPr>
        <w:t>accordance</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with</w:t>
      </w:r>
      <w:proofErr w:type="spellEnd"/>
      <w:r w:rsidR="003E02A8" w:rsidRPr="00705170">
        <w:rPr>
          <w:rFonts w:ascii="Times New Roman" w:hAnsi="Times New Roman" w:cs="Times New Roman"/>
        </w:rPr>
        <w:t xml:space="preserve"> his </w:t>
      </w:r>
      <w:proofErr w:type="spellStart"/>
      <w:r w:rsidR="003E02A8" w:rsidRPr="00705170">
        <w:rPr>
          <w:rFonts w:ascii="Times New Roman" w:hAnsi="Times New Roman" w:cs="Times New Roman"/>
        </w:rPr>
        <w:t>changing</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perceptions</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and</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so</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the</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system</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will</w:t>
      </w:r>
      <w:proofErr w:type="spellEnd"/>
      <w:r w:rsidR="003E02A8" w:rsidRPr="00705170">
        <w:rPr>
          <w:rFonts w:ascii="Times New Roman" w:hAnsi="Times New Roman" w:cs="Times New Roman"/>
        </w:rPr>
        <w:t xml:space="preserve"> </w:t>
      </w:r>
      <w:proofErr w:type="spellStart"/>
      <w:r w:rsidR="003E02A8" w:rsidRPr="00705170">
        <w:rPr>
          <w:rFonts w:ascii="Times New Roman" w:hAnsi="Times New Roman" w:cs="Times New Roman"/>
        </w:rPr>
        <w:t>realize</w:t>
      </w:r>
      <w:proofErr w:type="spellEnd"/>
      <w:r w:rsidR="003E02A8" w:rsidRPr="00705170">
        <w:rPr>
          <w:rFonts w:ascii="Times New Roman" w:hAnsi="Times New Roman" w:cs="Times New Roman"/>
        </w:rPr>
        <w:t xml:space="preserve"> an optimal </w:t>
      </w:r>
      <w:proofErr w:type="spellStart"/>
      <w:r w:rsidR="003E02A8" w:rsidRPr="00705170">
        <w:rPr>
          <w:rFonts w:ascii="Times New Roman" w:hAnsi="Times New Roman" w:cs="Times New Roman"/>
        </w:rPr>
        <w:t>allocation</w:t>
      </w:r>
      <w:proofErr w:type="spellEnd"/>
      <w:r w:rsidR="003E02A8" w:rsidRPr="00705170">
        <w:rPr>
          <w:rFonts w:ascii="Times New Roman" w:hAnsi="Times New Roman" w:cs="Times New Roman"/>
        </w:rPr>
        <w:t xml:space="preserve"> of </w:t>
      </w:r>
      <w:proofErr w:type="spellStart"/>
      <w:r w:rsidR="003E02A8" w:rsidRPr="00705170">
        <w:rPr>
          <w:rFonts w:ascii="Times New Roman" w:hAnsi="Times New Roman" w:cs="Times New Roman"/>
        </w:rPr>
        <w:t>resources</w:t>
      </w:r>
      <w:proofErr w:type="spellEnd"/>
      <w:r w:rsidR="003E02A8" w:rsidRPr="00705170">
        <w:rPr>
          <w:rStyle w:val="DipnotBavurusu"/>
          <w:rFonts w:ascii="Times New Roman" w:hAnsi="Times New Roman" w:cs="Times New Roman"/>
        </w:rPr>
        <w:footnoteReference w:id="839"/>
      </w:r>
      <w:r w:rsidR="003E02A8" w:rsidRPr="00705170">
        <w:rPr>
          <w:rFonts w:ascii="Times New Roman" w:hAnsi="Times New Roman" w:cs="Times New Roman"/>
        </w:rPr>
        <w:t>.</w:t>
      </w:r>
    </w:p>
    <w:p w14:paraId="1A10A505" w14:textId="2738B377" w:rsidR="00CB3219" w:rsidRPr="00705170" w:rsidRDefault="00C01441" w:rsidP="00CB3219">
      <w:pPr>
        <w:spacing w:after="240" w:line="480" w:lineRule="auto"/>
        <w:ind w:firstLine="708"/>
        <w:jc w:val="both"/>
        <w:rPr>
          <w:rFonts w:ascii="Times New Roman" w:hAnsi="Times New Roman" w:cs="Times New Roman"/>
          <w:b/>
        </w:rPr>
      </w:pPr>
      <w:r>
        <w:rPr>
          <w:rFonts w:ascii="Times New Roman" w:hAnsi="Times New Roman" w:cs="Times New Roman"/>
          <w:b/>
        </w:rPr>
        <w:t>5</w:t>
      </w:r>
      <w:r w:rsidR="0050179B" w:rsidRPr="00705170">
        <w:rPr>
          <w:rFonts w:ascii="Times New Roman" w:hAnsi="Times New Roman" w:cs="Times New Roman"/>
          <w:b/>
        </w:rPr>
        <w:t xml:space="preserve">.2. Legal Nature of </w:t>
      </w:r>
      <w:proofErr w:type="spellStart"/>
      <w:r w:rsidR="0050179B" w:rsidRPr="00705170">
        <w:rPr>
          <w:rFonts w:ascii="Times New Roman" w:hAnsi="Times New Roman" w:cs="Times New Roman"/>
          <w:b/>
        </w:rPr>
        <w:t>the</w:t>
      </w:r>
      <w:proofErr w:type="spellEnd"/>
      <w:r w:rsidR="0050179B" w:rsidRPr="00705170">
        <w:rPr>
          <w:rFonts w:ascii="Times New Roman" w:hAnsi="Times New Roman" w:cs="Times New Roman"/>
          <w:b/>
        </w:rPr>
        <w:t xml:space="preserve"> Action</w:t>
      </w:r>
    </w:p>
    <w:p w14:paraId="4D78DA2E" w14:textId="2FFC7613" w:rsidR="00CB3219" w:rsidRPr="00705170" w:rsidRDefault="005A7C4F" w:rsidP="00187882">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r w:rsidR="000764EA" w:rsidRPr="00705170">
        <w:rPr>
          <w:rFonts w:ascii="Times New Roman" w:hAnsi="Times New Roman" w:cs="Times New Roman"/>
        </w:rPr>
        <w:t>re</w:t>
      </w:r>
      <w:proofErr w:type="spellEnd"/>
      <w:r w:rsidR="000764EA" w:rsidRPr="00705170">
        <w:rPr>
          <w:rFonts w:ascii="Times New Roman" w:hAnsi="Times New Roman" w:cs="Times New Roman"/>
        </w:rPr>
        <w:t xml:space="preserve"> </w:t>
      </w:r>
      <w:proofErr w:type="spellStart"/>
      <w:r w:rsidR="000764EA" w:rsidRPr="00705170">
        <w:rPr>
          <w:rFonts w:ascii="Times New Roman" w:hAnsi="Times New Roman" w:cs="Times New Roman"/>
        </w:rPr>
        <w:t>are</w:t>
      </w:r>
      <w:proofErr w:type="spellEnd"/>
      <w:r w:rsidR="000764EA" w:rsidRPr="00705170">
        <w:rPr>
          <w:rFonts w:ascii="Times New Roman" w:hAnsi="Times New Roman" w:cs="Times New Roman"/>
        </w:rPr>
        <w:t xml:space="preserve"> </w:t>
      </w:r>
      <w:proofErr w:type="spellStart"/>
      <w:r w:rsidR="000764EA" w:rsidRPr="00705170">
        <w:rPr>
          <w:rFonts w:ascii="Times New Roman" w:hAnsi="Times New Roman" w:cs="Times New Roman"/>
        </w:rPr>
        <w:t>various</w:t>
      </w:r>
      <w:proofErr w:type="spellEnd"/>
      <w:r w:rsidR="000764EA" w:rsidRPr="00705170">
        <w:rPr>
          <w:rFonts w:ascii="Times New Roman" w:hAnsi="Times New Roman" w:cs="Times New Roman"/>
        </w:rPr>
        <w:t xml:space="preserve"> </w:t>
      </w:r>
      <w:proofErr w:type="spellStart"/>
      <w:r w:rsidR="000764EA" w:rsidRPr="00705170">
        <w:rPr>
          <w:rFonts w:ascii="Times New Roman" w:hAnsi="Times New Roman" w:cs="Times New Roman"/>
        </w:rPr>
        <w:t>claims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legal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000764EA" w:rsidRPr="00705170">
        <w:rPr>
          <w:rFonts w:ascii="Times New Roman" w:hAnsi="Times New Roman" w:cs="Times New Roman"/>
        </w:rPr>
        <w:t>e.g</w:t>
      </w:r>
      <w:proofErr w:type="spellEnd"/>
      <w:r w:rsidR="000764EA"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good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faith</w:t>
      </w:r>
      <w:proofErr w:type="spellEnd"/>
      <w:r w:rsidRPr="00705170">
        <w:rPr>
          <w:rFonts w:ascii="Times New Roman" w:hAnsi="Times New Roman" w:cs="Times New Roman"/>
        </w:rPr>
        <w:t xml:space="preserve">, </w:t>
      </w:r>
      <w:proofErr w:type="spellStart"/>
      <w:r w:rsidR="000764EA" w:rsidRPr="00705170">
        <w:rPr>
          <w:rFonts w:ascii="Times New Roman" w:hAnsi="Times New Roman" w:cs="Times New Roman"/>
        </w:rPr>
        <w:t>relationship</w:t>
      </w:r>
      <w:proofErr w:type="spellEnd"/>
      <w:r w:rsidR="000764EA" w:rsidRPr="00705170">
        <w:rPr>
          <w:rFonts w:ascii="Times New Roman" w:hAnsi="Times New Roman" w:cs="Times New Roman"/>
        </w:rPr>
        <w:t xml:space="preserve"> of </w:t>
      </w:r>
      <w:proofErr w:type="spellStart"/>
      <w:r w:rsidR="000764EA" w:rsidRPr="00705170">
        <w:rPr>
          <w:rFonts w:ascii="Times New Roman" w:hAnsi="Times New Roman" w:cs="Times New Roman"/>
        </w:rPr>
        <w:t>trust</w:t>
      </w:r>
      <w:proofErr w:type="spellEnd"/>
      <w:r w:rsidR="000764EA" w:rsidRPr="00705170">
        <w:rPr>
          <w:rFonts w:ascii="Times New Roman" w:hAnsi="Times New Roman" w:cs="Times New Roman"/>
        </w:rPr>
        <w:t xml:space="preserve">, </w:t>
      </w:r>
      <w:proofErr w:type="spellStart"/>
      <w:r w:rsidR="000764EA" w:rsidRPr="00705170">
        <w:rPr>
          <w:rFonts w:ascii="Times New Roman" w:hAnsi="Times New Roman" w:cs="Times New Roman"/>
        </w:rPr>
        <w:t>restriction</w:t>
      </w:r>
      <w:proofErr w:type="spellEnd"/>
      <w:r w:rsidR="000764EA" w:rsidRPr="00705170">
        <w:rPr>
          <w:rFonts w:ascii="Times New Roman" w:hAnsi="Times New Roman" w:cs="Times New Roman"/>
        </w:rPr>
        <w:t xml:space="preserve"> on </w:t>
      </w:r>
      <w:proofErr w:type="spellStart"/>
      <w:r w:rsidR="000764EA" w:rsidRPr="00705170">
        <w:rPr>
          <w:rFonts w:ascii="Times New Roman" w:hAnsi="Times New Roman" w:cs="Times New Roman"/>
        </w:rPr>
        <w:t>inalienable</w:t>
      </w:r>
      <w:proofErr w:type="spellEnd"/>
      <w:r w:rsidR="000764EA" w:rsidRPr="00705170">
        <w:rPr>
          <w:rFonts w:ascii="Times New Roman" w:hAnsi="Times New Roman" w:cs="Times New Roman"/>
        </w:rPr>
        <w:t xml:space="preserve"> </w:t>
      </w:r>
      <w:proofErr w:type="spellStart"/>
      <w:r w:rsidR="000764EA" w:rsidRPr="00705170">
        <w:rPr>
          <w:rFonts w:ascii="Times New Roman" w:hAnsi="Times New Roman" w:cs="Times New Roman"/>
        </w:rPr>
        <w:t>personal</w:t>
      </w:r>
      <w:proofErr w:type="spellEnd"/>
      <w:r w:rsidR="000764EA" w:rsidRPr="00705170">
        <w:rPr>
          <w:rFonts w:ascii="Times New Roman" w:hAnsi="Times New Roman" w:cs="Times New Roman"/>
        </w:rPr>
        <w:t xml:space="preserve"> </w:t>
      </w:r>
      <w:proofErr w:type="spellStart"/>
      <w:r w:rsidR="000764EA" w:rsidRPr="00705170">
        <w:rPr>
          <w:rFonts w:ascii="Times New Roman" w:hAnsi="Times New Roman" w:cs="Times New Roman"/>
        </w:rPr>
        <w:t>rights</w:t>
      </w:r>
      <w:proofErr w:type="spellEnd"/>
      <w:r w:rsidRPr="00705170">
        <w:rPr>
          <w:rFonts w:ascii="Times New Roman" w:hAnsi="Times New Roman" w:cs="Times New Roman"/>
        </w:rPr>
        <w:t>)</w:t>
      </w:r>
      <w:r w:rsidR="000764EA" w:rsidRPr="00705170">
        <w:rPr>
          <w:rFonts w:ascii="Times New Roman" w:hAnsi="Times New Roman" w:cs="Times New Roman"/>
        </w:rPr>
        <w:t xml:space="preserve"> </w:t>
      </w:r>
      <w:proofErr w:type="spellStart"/>
      <w:r w:rsidR="000764EA"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termination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long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based</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w:t>
      </w:r>
      <w:r w:rsidR="000764EA" w:rsidRPr="00705170">
        <w:rPr>
          <w:rFonts w:ascii="Times New Roman" w:hAnsi="Times New Roman" w:cs="Times New Roman"/>
        </w:rPr>
        <w:t xml:space="preserve"> in general</w:t>
      </w:r>
      <w:r w:rsidR="000764EA" w:rsidRPr="00705170">
        <w:rPr>
          <w:rStyle w:val="DipnotBavurusu"/>
          <w:rFonts w:ascii="Times New Roman" w:hAnsi="Times New Roman" w:cs="Times New Roman"/>
        </w:rPr>
        <w:footnoteReference w:id="840"/>
      </w:r>
      <w:r w:rsidRPr="00705170">
        <w:rPr>
          <w:rFonts w:ascii="Times New Roman" w:hAnsi="Times New Roman" w:cs="Times New Roman"/>
        </w:rPr>
        <w:t>,</w:t>
      </w:r>
      <w:r w:rsidR="00700A48" w:rsidRPr="00705170">
        <w:rPr>
          <w:rFonts w:ascii="Times New Roman" w:hAnsi="Times New Roman" w:cs="Times New Roman"/>
        </w:rPr>
        <w:t xml:space="preserve"> </w:t>
      </w:r>
      <w:r w:rsidR="00B32C07" w:rsidRPr="00705170">
        <w:rPr>
          <w:rFonts w:ascii="Times New Roman" w:hAnsi="Times New Roman" w:cs="Times New Roman"/>
        </w:rPr>
        <w:t xml:space="preserve">it is </w:t>
      </w:r>
      <w:proofErr w:type="spellStart"/>
      <w:r w:rsidRPr="00705170">
        <w:rPr>
          <w:rFonts w:ascii="Times New Roman" w:hAnsi="Times New Roman" w:cs="Times New Roman"/>
        </w:rPr>
        <w:t>accepted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700A48" w:rsidRPr="00705170">
        <w:rPr>
          <w:rFonts w:ascii="Times New Roman" w:hAnsi="Times New Roman" w:cs="Times New Roman"/>
        </w:rPr>
        <w:t>i</w:t>
      </w:r>
      <w:r w:rsidR="0050179B" w:rsidRPr="00705170">
        <w:rPr>
          <w:rFonts w:ascii="Times New Roman" w:hAnsi="Times New Roman" w:cs="Times New Roman"/>
        </w:rPr>
        <w:t>nvoluntary</w:t>
      </w:r>
      <w:proofErr w:type="spellEnd"/>
      <w:r w:rsidR="0050179B" w:rsidRPr="00705170">
        <w:rPr>
          <w:rFonts w:ascii="Times New Roman" w:hAnsi="Times New Roman" w:cs="Times New Roman"/>
        </w:rPr>
        <w:t xml:space="preserve"> </w:t>
      </w:r>
      <w:proofErr w:type="spellStart"/>
      <w:r w:rsidR="0050179B" w:rsidRPr="00705170">
        <w:rPr>
          <w:rFonts w:ascii="Times New Roman" w:hAnsi="Times New Roman" w:cs="Times New Roman"/>
        </w:rPr>
        <w:t>dissolution</w:t>
      </w:r>
      <w:proofErr w:type="spellEnd"/>
      <w:r w:rsidR="0050179B" w:rsidRPr="00705170">
        <w:rPr>
          <w:rFonts w:ascii="Times New Roman" w:hAnsi="Times New Roman" w:cs="Times New Roman"/>
        </w:rPr>
        <w:t xml:space="preserve"> </w:t>
      </w:r>
      <w:proofErr w:type="spellStart"/>
      <w:r w:rsidR="000765DC" w:rsidRPr="00705170">
        <w:rPr>
          <w:rFonts w:ascii="Times New Roman" w:hAnsi="Times New Roman" w:cs="Times New Roman"/>
        </w:rPr>
        <w:t>with</w:t>
      </w:r>
      <w:proofErr w:type="spellEnd"/>
      <w:r w:rsidR="0050179B" w:rsidRPr="00705170">
        <w:rPr>
          <w:rFonts w:ascii="Times New Roman" w:hAnsi="Times New Roman" w:cs="Times New Roman"/>
        </w:rPr>
        <w:t xml:space="preserve"> </w:t>
      </w:r>
      <w:r w:rsidR="00B32C07" w:rsidRPr="00705170">
        <w:rPr>
          <w:rFonts w:ascii="Times New Roman" w:hAnsi="Times New Roman" w:cs="Times New Roman"/>
        </w:rPr>
        <w:t>“</w:t>
      </w:r>
      <w:proofErr w:type="spellStart"/>
      <w:r w:rsidR="0050179B" w:rsidRPr="00705170">
        <w:rPr>
          <w:rFonts w:ascii="Times New Roman" w:hAnsi="Times New Roman" w:cs="Times New Roman"/>
        </w:rPr>
        <w:t>just</w:t>
      </w:r>
      <w:proofErr w:type="spellEnd"/>
      <w:r w:rsidR="0050179B" w:rsidRPr="00705170">
        <w:rPr>
          <w:rFonts w:ascii="Times New Roman" w:hAnsi="Times New Roman" w:cs="Times New Roman"/>
        </w:rPr>
        <w:t xml:space="preserve"> </w:t>
      </w:r>
      <w:proofErr w:type="spellStart"/>
      <w:r w:rsidR="0050179B" w:rsidRPr="00705170">
        <w:rPr>
          <w:rFonts w:ascii="Times New Roman" w:hAnsi="Times New Roman" w:cs="Times New Roman"/>
        </w:rPr>
        <w:t>cause</w:t>
      </w:r>
      <w:proofErr w:type="spellEnd"/>
      <w:r w:rsidR="00B32C07" w:rsidRPr="00705170">
        <w:rPr>
          <w:rFonts w:ascii="Times New Roman" w:hAnsi="Times New Roman" w:cs="Times New Roman"/>
        </w:rPr>
        <w:t>”</w:t>
      </w:r>
      <w:r w:rsidR="0050179B" w:rsidRPr="00705170">
        <w:rPr>
          <w:rFonts w:ascii="Times New Roman" w:hAnsi="Times New Roman" w:cs="Times New Roman"/>
        </w:rPr>
        <w:t xml:space="preserve"> is </w:t>
      </w:r>
      <w:proofErr w:type="spellStart"/>
      <w:r w:rsidR="00341E3E" w:rsidRPr="00705170">
        <w:rPr>
          <w:rFonts w:ascii="Times New Roman" w:hAnsi="Times New Roman" w:cs="Times New Roman"/>
        </w:rPr>
        <w:t>based</w:t>
      </w:r>
      <w:proofErr w:type="spellEnd"/>
      <w:r w:rsidR="00341E3E" w:rsidRPr="00705170">
        <w:rPr>
          <w:rFonts w:ascii="Times New Roman" w:hAnsi="Times New Roman" w:cs="Times New Roman"/>
        </w:rPr>
        <w:t xml:space="preserve"> on </w:t>
      </w:r>
      <w:proofErr w:type="spellStart"/>
      <w:r w:rsidR="00341E3E" w:rsidRPr="00705170">
        <w:rPr>
          <w:rFonts w:ascii="Times New Roman" w:hAnsi="Times New Roman" w:cs="Times New Roman"/>
        </w:rPr>
        <w:t>the</w:t>
      </w:r>
      <w:proofErr w:type="spellEnd"/>
      <w:r w:rsidR="00B32C07" w:rsidRPr="00705170">
        <w:rPr>
          <w:rFonts w:ascii="Times New Roman" w:hAnsi="Times New Roman" w:cs="Times New Roman"/>
        </w:rPr>
        <w:t xml:space="preserve"> general </w:t>
      </w:r>
      <w:proofErr w:type="spellStart"/>
      <w:r w:rsidR="00B32C07" w:rsidRPr="00705170">
        <w:rPr>
          <w:rFonts w:ascii="Times New Roman" w:hAnsi="Times New Roman" w:cs="Times New Roman"/>
        </w:rPr>
        <w:t>principle</w:t>
      </w:r>
      <w:proofErr w:type="spellEnd"/>
      <w:r w:rsidR="00B32C07" w:rsidRPr="00705170">
        <w:rPr>
          <w:rFonts w:ascii="Times New Roman" w:hAnsi="Times New Roman" w:cs="Times New Roman"/>
        </w:rPr>
        <w:t xml:space="preserve"> of “</w:t>
      </w:r>
      <w:proofErr w:type="spellStart"/>
      <w:r w:rsidR="00B32C07" w:rsidRPr="00705170">
        <w:rPr>
          <w:rFonts w:ascii="Times New Roman" w:hAnsi="Times New Roman" w:cs="Times New Roman"/>
        </w:rPr>
        <w:t>rules</w:t>
      </w:r>
      <w:proofErr w:type="spellEnd"/>
      <w:r w:rsidR="0050179B" w:rsidRPr="00705170">
        <w:rPr>
          <w:rFonts w:ascii="Times New Roman" w:hAnsi="Times New Roman" w:cs="Times New Roman"/>
        </w:rPr>
        <w:t xml:space="preserve"> of </w:t>
      </w:r>
      <w:proofErr w:type="spellStart"/>
      <w:r w:rsidR="0050179B" w:rsidRPr="00705170">
        <w:rPr>
          <w:rFonts w:ascii="Times New Roman" w:hAnsi="Times New Roman" w:cs="Times New Roman"/>
        </w:rPr>
        <w:t>good</w:t>
      </w:r>
      <w:proofErr w:type="spellEnd"/>
      <w:r w:rsidR="0050179B" w:rsidRPr="00705170">
        <w:rPr>
          <w:rFonts w:ascii="Times New Roman" w:hAnsi="Times New Roman" w:cs="Times New Roman"/>
        </w:rPr>
        <w:t xml:space="preserve"> </w:t>
      </w:r>
      <w:proofErr w:type="spellStart"/>
      <w:r w:rsidR="0050179B" w:rsidRPr="00705170">
        <w:rPr>
          <w:rFonts w:ascii="Times New Roman" w:hAnsi="Times New Roman" w:cs="Times New Roman"/>
        </w:rPr>
        <w:t>faith</w:t>
      </w:r>
      <w:proofErr w:type="spellEnd"/>
      <w:r w:rsidR="0050179B" w:rsidRPr="00705170">
        <w:rPr>
          <w:rFonts w:ascii="Times New Roman" w:hAnsi="Times New Roman" w:cs="Times New Roman"/>
        </w:rPr>
        <w:t>”</w:t>
      </w:r>
      <w:r w:rsidR="00B11C31" w:rsidRPr="00705170">
        <w:rPr>
          <w:rStyle w:val="DipnotBavurusu"/>
          <w:rFonts w:ascii="Times New Roman" w:hAnsi="Times New Roman" w:cs="Times New Roman"/>
        </w:rPr>
        <w:footnoteReference w:id="841"/>
      </w:r>
      <w:r w:rsidR="0050179B" w:rsidRPr="00705170">
        <w:rPr>
          <w:rFonts w:ascii="Times New Roman" w:hAnsi="Times New Roman" w:cs="Times New Roman"/>
        </w:rPr>
        <w:t>.</w:t>
      </w:r>
      <w:r w:rsidR="00B11C31" w:rsidRPr="00705170">
        <w:rPr>
          <w:rFonts w:ascii="Times New Roman" w:hAnsi="Times New Roman" w:cs="Times New Roman"/>
        </w:rPr>
        <w:t xml:space="preserve"> </w:t>
      </w:r>
      <w:proofErr w:type="spellStart"/>
      <w:r w:rsidR="00B11C31" w:rsidRPr="00705170">
        <w:rPr>
          <w:rFonts w:ascii="Times New Roman" w:hAnsi="Times New Roman" w:cs="Times New Roman"/>
        </w:rPr>
        <w:t>According</w:t>
      </w:r>
      <w:proofErr w:type="spellEnd"/>
      <w:r w:rsidR="00B11C31" w:rsidRPr="00705170">
        <w:rPr>
          <w:rFonts w:ascii="Times New Roman" w:hAnsi="Times New Roman" w:cs="Times New Roman"/>
        </w:rPr>
        <w:t xml:space="preserve"> </w:t>
      </w:r>
      <w:proofErr w:type="spellStart"/>
      <w:r w:rsidR="00B11C31" w:rsidRPr="00705170">
        <w:rPr>
          <w:rFonts w:ascii="Times New Roman" w:hAnsi="Times New Roman" w:cs="Times New Roman"/>
        </w:rPr>
        <w:t>to</w:t>
      </w:r>
      <w:proofErr w:type="spellEnd"/>
      <w:r w:rsidR="00B11C31" w:rsidRPr="00705170">
        <w:rPr>
          <w:rFonts w:ascii="Times New Roman" w:hAnsi="Times New Roman" w:cs="Times New Roman"/>
        </w:rPr>
        <w:t xml:space="preserve"> </w:t>
      </w:r>
      <w:proofErr w:type="spellStart"/>
      <w:r w:rsidR="00B11C31" w:rsidRPr="00705170">
        <w:rPr>
          <w:rFonts w:ascii="Times New Roman" w:hAnsi="Times New Roman" w:cs="Times New Roman"/>
        </w:rPr>
        <w:t>Article</w:t>
      </w:r>
      <w:proofErr w:type="spellEnd"/>
      <w:r w:rsidR="00B11C31" w:rsidRPr="00705170">
        <w:rPr>
          <w:rFonts w:ascii="Times New Roman" w:hAnsi="Times New Roman" w:cs="Times New Roman"/>
        </w:rPr>
        <w:t xml:space="preserve"> 2 of </w:t>
      </w:r>
      <w:proofErr w:type="spellStart"/>
      <w:r w:rsidR="00B11C31" w:rsidRPr="00705170">
        <w:rPr>
          <w:rFonts w:ascii="Times New Roman" w:hAnsi="Times New Roman" w:cs="Times New Roman"/>
        </w:rPr>
        <w:t>the</w:t>
      </w:r>
      <w:proofErr w:type="spellEnd"/>
      <w:r w:rsidR="00B11C31" w:rsidRPr="00705170">
        <w:rPr>
          <w:rFonts w:ascii="Times New Roman" w:hAnsi="Times New Roman" w:cs="Times New Roman"/>
        </w:rPr>
        <w:t xml:space="preserve"> </w:t>
      </w:r>
      <w:proofErr w:type="spellStart"/>
      <w:r w:rsidR="00B11C31" w:rsidRPr="00705170">
        <w:rPr>
          <w:rFonts w:ascii="Times New Roman" w:hAnsi="Times New Roman" w:cs="Times New Roman"/>
        </w:rPr>
        <w:t>Turkish</w:t>
      </w:r>
      <w:proofErr w:type="spellEnd"/>
      <w:r w:rsidR="00B11C31" w:rsidRPr="00705170">
        <w:rPr>
          <w:rFonts w:ascii="Times New Roman" w:hAnsi="Times New Roman" w:cs="Times New Roman"/>
        </w:rPr>
        <w:t xml:space="preserve"> </w:t>
      </w:r>
      <w:proofErr w:type="spellStart"/>
      <w:r w:rsidR="00B11C31" w:rsidRPr="00705170">
        <w:rPr>
          <w:rFonts w:ascii="Times New Roman" w:hAnsi="Times New Roman" w:cs="Times New Roman"/>
        </w:rPr>
        <w:t>Civil</w:t>
      </w:r>
      <w:proofErr w:type="spellEnd"/>
      <w:r w:rsidR="00B11C31" w:rsidRPr="00705170">
        <w:rPr>
          <w:rFonts w:ascii="Times New Roman" w:hAnsi="Times New Roman" w:cs="Times New Roman"/>
        </w:rPr>
        <w:t xml:space="preserve"> </w:t>
      </w:r>
      <w:proofErr w:type="spellStart"/>
      <w:r w:rsidR="00B11C31" w:rsidRPr="00705170">
        <w:rPr>
          <w:rFonts w:ascii="Times New Roman" w:hAnsi="Times New Roman" w:cs="Times New Roman"/>
        </w:rPr>
        <w:t>Code</w:t>
      </w:r>
      <w:proofErr w:type="spellEnd"/>
      <w:r w:rsidR="00B11C31" w:rsidRPr="00705170">
        <w:rPr>
          <w:rFonts w:ascii="Times New Roman" w:hAnsi="Times New Roman" w:cs="Times New Roman"/>
        </w:rPr>
        <w:t xml:space="preserve">, </w:t>
      </w:r>
      <w:proofErr w:type="spellStart"/>
      <w:r w:rsidR="00B11C31" w:rsidRPr="00705170">
        <w:rPr>
          <w:rFonts w:ascii="Times New Roman" w:hAnsi="Times New Roman" w:cs="Times New Roman"/>
        </w:rPr>
        <w:t>which</w:t>
      </w:r>
      <w:proofErr w:type="spellEnd"/>
      <w:r w:rsidR="00B11C31" w:rsidRPr="00705170">
        <w:rPr>
          <w:rFonts w:ascii="Times New Roman" w:hAnsi="Times New Roman" w:cs="Times New Roman"/>
        </w:rPr>
        <w:t xml:space="preserve"> is </w:t>
      </w:r>
      <w:proofErr w:type="spellStart"/>
      <w:r w:rsidR="00B11C31" w:rsidRPr="00705170">
        <w:rPr>
          <w:rFonts w:ascii="Times New Roman" w:hAnsi="Times New Roman" w:cs="Times New Roman"/>
        </w:rPr>
        <w:t>applicable</w:t>
      </w:r>
      <w:proofErr w:type="spellEnd"/>
      <w:r w:rsidR="00B11C31" w:rsidRPr="00705170">
        <w:rPr>
          <w:rFonts w:ascii="Times New Roman" w:hAnsi="Times New Roman" w:cs="Times New Roman"/>
        </w:rPr>
        <w:t xml:space="preserve"> </w:t>
      </w:r>
      <w:proofErr w:type="spellStart"/>
      <w:r w:rsidR="00B11C31" w:rsidRPr="00705170">
        <w:rPr>
          <w:rFonts w:ascii="Times New Roman" w:hAnsi="Times New Roman" w:cs="Times New Roman"/>
        </w:rPr>
        <w:t>to</w:t>
      </w:r>
      <w:proofErr w:type="spellEnd"/>
      <w:r w:rsidR="00B11C31" w:rsidRPr="00705170">
        <w:rPr>
          <w:rFonts w:ascii="Times New Roman" w:hAnsi="Times New Roman" w:cs="Times New Roman"/>
        </w:rPr>
        <w:t xml:space="preserve"> TCC </w:t>
      </w:r>
      <w:proofErr w:type="spellStart"/>
      <w:r w:rsidR="00B11C31" w:rsidRPr="00705170">
        <w:rPr>
          <w:rFonts w:ascii="Times New Roman" w:hAnsi="Times New Roman" w:cs="Times New Roman"/>
        </w:rPr>
        <w:t>through</w:t>
      </w:r>
      <w:proofErr w:type="spellEnd"/>
      <w:r w:rsidR="00B11C31" w:rsidRPr="00705170">
        <w:rPr>
          <w:rFonts w:ascii="Times New Roman" w:hAnsi="Times New Roman" w:cs="Times New Roman"/>
        </w:rPr>
        <w:t xml:space="preserve"> TCC </w:t>
      </w:r>
      <w:proofErr w:type="spellStart"/>
      <w:r w:rsidR="00B11C31" w:rsidRPr="00705170">
        <w:rPr>
          <w:rFonts w:ascii="Times New Roman" w:hAnsi="Times New Roman" w:cs="Times New Roman"/>
        </w:rPr>
        <w:t>Article</w:t>
      </w:r>
      <w:proofErr w:type="spellEnd"/>
      <w:r w:rsidR="00B11C31" w:rsidRPr="00705170">
        <w:rPr>
          <w:rFonts w:ascii="Times New Roman" w:hAnsi="Times New Roman" w:cs="Times New Roman"/>
        </w:rPr>
        <w:t xml:space="preserve"> </w:t>
      </w:r>
      <w:r w:rsidR="008C08E5" w:rsidRPr="00705170">
        <w:rPr>
          <w:rFonts w:ascii="Times New Roman" w:hAnsi="Times New Roman" w:cs="Times New Roman"/>
        </w:rPr>
        <w:t>1</w:t>
      </w:r>
      <w:r w:rsidR="0053222C" w:rsidRPr="00705170">
        <w:rPr>
          <w:rFonts w:ascii="Times New Roman" w:hAnsi="Times New Roman" w:cs="Times New Roman"/>
        </w:rPr>
        <w:t xml:space="preserve"> </w:t>
      </w:r>
      <w:proofErr w:type="spellStart"/>
      <w:r w:rsidR="0053222C" w:rsidRPr="00705170">
        <w:rPr>
          <w:rFonts w:ascii="Times New Roman" w:hAnsi="Times New Roman" w:cs="Times New Roman"/>
        </w:rPr>
        <w:t>which</w:t>
      </w:r>
      <w:proofErr w:type="spellEnd"/>
      <w:r w:rsidR="0053222C" w:rsidRPr="00705170">
        <w:rPr>
          <w:rFonts w:ascii="Times New Roman" w:hAnsi="Times New Roman" w:cs="Times New Roman"/>
        </w:rPr>
        <w:t xml:space="preserve"> </w:t>
      </w:r>
      <w:proofErr w:type="spellStart"/>
      <w:r w:rsidR="0053222C" w:rsidRPr="00705170">
        <w:rPr>
          <w:rFonts w:ascii="Times New Roman" w:hAnsi="Times New Roman" w:cs="Times New Roman"/>
        </w:rPr>
        <w:t>states</w:t>
      </w:r>
      <w:proofErr w:type="spellEnd"/>
      <w:r w:rsidR="008C08E5" w:rsidRPr="00705170">
        <w:rPr>
          <w:rFonts w:ascii="Times New Roman" w:hAnsi="Times New Roman" w:cs="Times New Roman"/>
        </w:rPr>
        <w:t xml:space="preserve"> </w:t>
      </w:r>
      <w:proofErr w:type="spellStart"/>
      <w:r w:rsidR="008C08E5" w:rsidRPr="00705170">
        <w:rPr>
          <w:rFonts w:ascii="Times New Roman" w:hAnsi="Times New Roman" w:cs="Times New Roman"/>
        </w:rPr>
        <w:t>that</w:t>
      </w:r>
      <w:proofErr w:type="spellEnd"/>
      <w:r w:rsidR="008C08E5" w:rsidRPr="00705170">
        <w:rPr>
          <w:rFonts w:ascii="Times New Roman" w:hAnsi="Times New Roman" w:cs="Times New Roman"/>
        </w:rPr>
        <w:t xml:space="preserve"> </w:t>
      </w:r>
      <w:proofErr w:type="spellStart"/>
      <w:r w:rsidR="008C08E5" w:rsidRPr="00705170">
        <w:rPr>
          <w:rFonts w:ascii="Times New Roman" w:hAnsi="Times New Roman" w:cs="Times New Roman"/>
        </w:rPr>
        <w:t>the</w:t>
      </w:r>
      <w:proofErr w:type="spellEnd"/>
      <w:r w:rsidR="008C08E5" w:rsidRPr="00705170">
        <w:rPr>
          <w:rFonts w:ascii="Times New Roman" w:hAnsi="Times New Roman" w:cs="Times New Roman"/>
        </w:rPr>
        <w:t xml:space="preserve"> TCC is a </w:t>
      </w:r>
      <w:proofErr w:type="spellStart"/>
      <w:r w:rsidR="008C08E5" w:rsidRPr="00705170">
        <w:rPr>
          <w:rFonts w:ascii="Times New Roman" w:hAnsi="Times New Roman" w:cs="Times New Roman"/>
        </w:rPr>
        <w:t>part</w:t>
      </w:r>
      <w:proofErr w:type="spellEnd"/>
      <w:r w:rsidR="008C08E5" w:rsidRPr="00705170">
        <w:rPr>
          <w:rFonts w:ascii="Times New Roman" w:hAnsi="Times New Roman" w:cs="Times New Roman"/>
        </w:rPr>
        <w:t xml:space="preserve"> of </w:t>
      </w:r>
      <w:proofErr w:type="spellStart"/>
      <w:r w:rsidR="008C08E5" w:rsidRPr="00705170">
        <w:rPr>
          <w:rFonts w:ascii="Times New Roman" w:hAnsi="Times New Roman" w:cs="Times New Roman"/>
        </w:rPr>
        <w:t>the</w:t>
      </w:r>
      <w:proofErr w:type="spellEnd"/>
      <w:r w:rsidR="008C08E5" w:rsidRPr="00705170">
        <w:rPr>
          <w:rFonts w:ascii="Times New Roman" w:hAnsi="Times New Roman" w:cs="Times New Roman"/>
        </w:rPr>
        <w:t xml:space="preserve"> </w:t>
      </w:r>
      <w:proofErr w:type="spellStart"/>
      <w:r w:rsidR="008C08E5" w:rsidRPr="00705170">
        <w:rPr>
          <w:rFonts w:ascii="Times New Roman" w:hAnsi="Times New Roman" w:cs="Times New Roman"/>
        </w:rPr>
        <w:t>Turkish</w:t>
      </w:r>
      <w:proofErr w:type="spellEnd"/>
      <w:r w:rsidR="008C08E5" w:rsidRPr="00705170">
        <w:rPr>
          <w:rFonts w:ascii="Times New Roman" w:hAnsi="Times New Roman" w:cs="Times New Roman"/>
        </w:rPr>
        <w:t xml:space="preserve"> </w:t>
      </w:r>
      <w:proofErr w:type="spellStart"/>
      <w:r w:rsidR="008C08E5" w:rsidRPr="00705170">
        <w:rPr>
          <w:rFonts w:ascii="Times New Roman" w:hAnsi="Times New Roman" w:cs="Times New Roman"/>
        </w:rPr>
        <w:t>Civil</w:t>
      </w:r>
      <w:proofErr w:type="spellEnd"/>
      <w:r w:rsidR="008C08E5" w:rsidRPr="00705170">
        <w:rPr>
          <w:rFonts w:ascii="Times New Roman" w:hAnsi="Times New Roman" w:cs="Times New Roman"/>
        </w:rPr>
        <w:t xml:space="preserve"> </w:t>
      </w:r>
      <w:proofErr w:type="spellStart"/>
      <w:r w:rsidR="008C08E5" w:rsidRPr="00705170">
        <w:rPr>
          <w:rFonts w:ascii="Times New Roman" w:hAnsi="Times New Roman" w:cs="Times New Roman"/>
        </w:rPr>
        <w:t>Code</w:t>
      </w:r>
      <w:proofErr w:type="spellEnd"/>
      <w:r w:rsidR="00B11C31" w:rsidRPr="00705170">
        <w:rPr>
          <w:rFonts w:ascii="Times New Roman" w:hAnsi="Times New Roman" w:cs="Times New Roman"/>
        </w:rPr>
        <w:t xml:space="preserve">, </w:t>
      </w:r>
      <w:proofErr w:type="spellStart"/>
      <w:r w:rsidR="0070651D" w:rsidRPr="00705170">
        <w:rPr>
          <w:rFonts w:ascii="Times New Roman" w:hAnsi="Times New Roman" w:cs="Times New Roman"/>
        </w:rPr>
        <w:t>everyone</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shall</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comply</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with</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the</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rules</w:t>
      </w:r>
      <w:proofErr w:type="spellEnd"/>
      <w:r w:rsidR="0070651D" w:rsidRPr="00705170">
        <w:rPr>
          <w:rFonts w:ascii="Times New Roman" w:hAnsi="Times New Roman" w:cs="Times New Roman"/>
        </w:rPr>
        <w:t xml:space="preserve"> of </w:t>
      </w:r>
      <w:proofErr w:type="spellStart"/>
      <w:r w:rsidR="0070651D" w:rsidRPr="00705170">
        <w:rPr>
          <w:rFonts w:ascii="Times New Roman" w:hAnsi="Times New Roman" w:cs="Times New Roman"/>
        </w:rPr>
        <w:t>good</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faith</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when</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exercising</w:t>
      </w:r>
      <w:proofErr w:type="spellEnd"/>
      <w:r w:rsidR="0070651D" w:rsidRPr="00705170">
        <w:rPr>
          <w:rFonts w:ascii="Times New Roman" w:hAnsi="Times New Roman" w:cs="Times New Roman"/>
        </w:rPr>
        <w:t xml:space="preserve"> a </w:t>
      </w:r>
      <w:proofErr w:type="spellStart"/>
      <w:r w:rsidR="0070651D" w:rsidRPr="00705170">
        <w:rPr>
          <w:rFonts w:ascii="Times New Roman" w:hAnsi="Times New Roman" w:cs="Times New Roman"/>
        </w:rPr>
        <w:t>right</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or</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fulfilling</w:t>
      </w:r>
      <w:proofErr w:type="spellEnd"/>
      <w:r w:rsidR="0070651D" w:rsidRPr="00705170">
        <w:rPr>
          <w:rFonts w:ascii="Times New Roman" w:hAnsi="Times New Roman" w:cs="Times New Roman"/>
        </w:rPr>
        <w:t xml:space="preserve"> an </w:t>
      </w:r>
      <w:proofErr w:type="spellStart"/>
      <w:r w:rsidR="0070651D" w:rsidRPr="00705170">
        <w:rPr>
          <w:rFonts w:ascii="Times New Roman" w:hAnsi="Times New Roman" w:cs="Times New Roman"/>
        </w:rPr>
        <w:t>obligation</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and</w:t>
      </w:r>
      <w:proofErr w:type="spellEnd"/>
      <w:r w:rsidR="0070651D" w:rsidRPr="00705170">
        <w:rPr>
          <w:rFonts w:ascii="Times New Roman" w:hAnsi="Times New Roman" w:cs="Times New Roman"/>
        </w:rPr>
        <w:t xml:space="preserve"> </w:t>
      </w:r>
      <w:proofErr w:type="spellStart"/>
      <w:r w:rsidR="0053222C" w:rsidRPr="00705170">
        <w:rPr>
          <w:rFonts w:ascii="Times New Roman" w:hAnsi="Times New Roman" w:cs="Times New Roman"/>
        </w:rPr>
        <w:t>the</w:t>
      </w:r>
      <w:proofErr w:type="spellEnd"/>
      <w:r w:rsidR="0053222C" w:rsidRPr="00705170">
        <w:rPr>
          <w:rFonts w:ascii="Times New Roman" w:hAnsi="Times New Roman" w:cs="Times New Roman"/>
        </w:rPr>
        <w:t xml:space="preserve"> </w:t>
      </w:r>
      <w:r w:rsidR="0070651D" w:rsidRPr="00705170">
        <w:rPr>
          <w:rFonts w:ascii="Times New Roman" w:hAnsi="Times New Roman" w:cs="Times New Roman"/>
        </w:rPr>
        <w:t xml:space="preserve">legal </w:t>
      </w:r>
      <w:proofErr w:type="spellStart"/>
      <w:r w:rsidR="0070651D" w:rsidRPr="00705170">
        <w:rPr>
          <w:rFonts w:ascii="Times New Roman" w:hAnsi="Times New Roman" w:cs="Times New Roman"/>
        </w:rPr>
        <w:t>system</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does</w:t>
      </w:r>
      <w:proofErr w:type="spellEnd"/>
      <w:r w:rsidR="0070651D" w:rsidRPr="00705170">
        <w:rPr>
          <w:rFonts w:ascii="Times New Roman" w:hAnsi="Times New Roman" w:cs="Times New Roman"/>
        </w:rPr>
        <w:t xml:space="preserve"> not </w:t>
      </w:r>
      <w:proofErr w:type="spellStart"/>
      <w:r w:rsidR="0070651D" w:rsidRPr="00705170">
        <w:rPr>
          <w:rFonts w:ascii="Times New Roman" w:hAnsi="Times New Roman" w:cs="Times New Roman"/>
        </w:rPr>
        <w:t>protect</w:t>
      </w:r>
      <w:proofErr w:type="spellEnd"/>
      <w:r w:rsidR="0070651D" w:rsidRPr="00705170">
        <w:rPr>
          <w:rFonts w:ascii="Times New Roman" w:hAnsi="Times New Roman" w:cs="Times New Roman"/>
        </w:rPr>
        <w:t xml:space="preserve"> an </w:t>
      </w:r>
      <w:proofErr w:type="spellStart"/>
      <w:r w:rsidR="0070651D" w:rsidRPr="00705170">
        <w:rPr>
          <w:rFonts w:ascii="Times New Roman" w:hAnsi="Times New Roman" w:cs="Times New Roman"/>
        </w:rPr>
        <w:t>outright</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abuse</w:t>
      </w:r>
      <w:proofErr w:type="spellEnd"/>
      <w:r w:rsidR="0070651D" w:rsidRPr="00705170">
        <w:rPr>
          <w:rFonts w:ascii="Times New Roman" w:hAnsi="Times New Roman" w:cs="Times New Roman"/>
        </w:rPr>
        <w:t xml:space="preserve"> of a </w:t>
      </w:r>
      <w:proofErr w:type="spellStart"/>
      <w:r w:rsidR="0070651D" w:rsidRPr="00705170">
        <w:rPr>
          <w:rFonts w:ascii="Times New Roman" w:hAnsi="Times New Roman" w:cs="Times New Roman"/>
        </w:rPr>
        <w:t>right</w:t>
      </w:r>
      <w:proofErr w:type="spellEnd"/>
      <w:r w:rsidR="00DA30BC" w:rsidRPr="00705170">
        <w:rPr>
          <w:rStyle w:val="DipnotBavurusu"/>
          <w:rFonts w:ascii="Times New Roman" w:hAnsi="Times New Roman" w:cs="Times New Roman"/>
        </w:rPr>
        <w:footnoteReference w:id="842"/>
      </w:r>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In</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this</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regards</w:t>
      </w:r>
      <w:proofErr w:type="spellEnd"/>
      <w:r w:rsidR="0070651D" w:rsidRPr="00705170">
        <w:rPr>
          <w:rFonts w:ascii="Times New Roman" w:hAnsi="Times New Roman" w:cs="Times New Roman"/>
        </w:rPr>
        <w:t xml:space="preserve">, it </w:t>
      </w:r>
      <w:proofErr w:type="spellStart"/>
      <w:r w:rsidR="0070651D" w:rsidRPr="00705170">
        <w:rPr>
          <w:rFonts w:ascii="Times New Roman" w:hAnsi="Times New Roman" w:cs="Times New Roman"/>
        </w:rPr>
        <w:t>would</w:t>
      </w:r>
      <w:proofErr w:type="spellEnd"/>
      <w:r w:rsidR="0070651D" w:rsidRPr="00705170">
        <w:rPr>
          <w:rFonts w:ascii="Times New Roman" w:hAnsi="Times New Roman" w:cs="Times New Roman"/>
        </w:rPr>
        <w:t xml:space="preserve"> be in </w:t>
      </w:r>
      <w:proofErr w:type="spellStart"/>
      <w:r w:rsidR="0070651D" w:rsidRPr="00705170">
        <w:rPr>
          <w:rFonts w:ascii="Times New Roman" w:hAnsi="Times New Roman" w:cs="Times New Roman"/>
        </w:rPr>
        <w:t>violatio</w:t>
      </w:r>
      <w:r w:rsidR="008F549C" w:rsidRPr="00705170">
        <w:rPr>
          <w:rFonts w:ascii="Times New Roman" w:hAnsi="Times New Roman" w:cs="Times New Roman"/>
        </w:rPr>
        <w:t>n</w:t>
      </w:r>
      <w:proofErr w:type="spellEnd"/>
      <w:r w:rsidR="008F549C" w:rsidRPr="00705170">
        <w:rPr>
          <w:rFonts w:ascii="Times New Roman" w:hAnsi="Times New Roman" w:cs="Times New Roman"/>
        </w:rPr>
        <w:t xml:space="preserve"> of </w:t>
      </w:r>
      <w:proofErr w:type="spellStart"/>
      <w:r w:rsidR="008F549C" w:rsidRPr="00705170">
        <w:rPr>
          <w:rFonts w:ascii="Times New Roman" w:hAnsi="Times New Roman" w:cs="Times New Roman"/>
        </w:rPr>
        <w:t>duty</w:t>
      </w:r>
      <w:proofErr w:type="spellEnd"/>
      <w:r w:rsidR="008F549C" w:rsidRPr="00705170">
        <w:rPr>
          <w:rFonts w:ascii="Times New Roman" w:hAnsi="Times New Roman" w:cs="Times New Roman"/>
        </w:rPr>
        <w:t xml:space="preserve"> of </w:t>
      </w:r>
      <w:proofErr w:type="spellStart"/>
      <w:r w:rsidR="008F549C" w:rsidRPr="00705170">
        <w:rPr>
          <w:rFonts w:ascii="Times New Roman" w:hAnsi="Times New Roman" w:cs="Times New Roman"/>
        </w:rPr>
        <w:t>good</w:t>
      </w:r>
      <w:proofErr w:type="spellEnd"/>
      <w:r w:rsidR="008F549C" w:rsidRPr="00705170">
        <w:rPr>
          <w:rFonts w:ascii="Times New Roman" w:hAnsi="Times New Roman" w:cs="Times New Roman"/>
        </w:rPr>
        <w:t xml:space="preserve"> </w:t>
      </w:r>
      <w:proofErr w:type="spellStart"/>
      <w:r w:rsidR="008F549C" w:rsidRPr="00705170">
        <w:rPr>
          <w:rFonts w:ascii="Times New Roman" w:hAnsi="Times New Roman" w:cs="Times New Roman"/>
        </w:rPr>
        <w:t>faith</w:t>
      </w:r>
      <w:proofErr w:type="spellEnd"/>
      <w:r w:rsidR="008F549C" w:rsidRPr="00705170">
        <w:rPr>
          <w:rFonts w:ascii="Times New Roman" w:hAnsi="Times New Roman" w:cs="Times New Roman"/>
        </w:rPr>
        <w:t xml:space="preserve"> </w:t>
      </w:r>
      <w:proofErr w:type="spellStart"/>
      <w:r w:rsidR="008F549C" w:rsidRPr="00705170">
        <w:rPr>
          <w:rFonts w:ascii="Times New Roman" w:hAnsi="Times New Roman" w:cs="Times New Roman"/>
        </w:rPr>
        <w:t>to</w:t>
      </w:r>
      <w:proofErr w:type="spellEnd"/>
      <w:r w:rsidR="008F549C" w:rsidRPr="00705170">
        <w:rPr>
          <w:rFonts w:ascii="Times New Roman" w:hAnsi="Times New Roman" w:cs="Times New Roman"/>
        </w:rPr>
        <w:t xml:space="preserve"> </w:t>
      </w:r>
      <w:proofErr w:type="spellStart"/>
      <w:r w:rsidR="008F549C" w:rsidRPr="00705170">
        <w:rPr>
          <w:rFonts w:ascii="Times New Roman" w:hAnsi="Times New Roman" w:cs="Times New Roman"/>
        </w:rPr>
        <w:t>expec</w:t>
      </w:r>
      <w:r w:rsidR="0070651D" w:rsidRPr="00705170">
        <w:rPr>
          <w:rFonts w:ascii="Times New Roman" w:hAnsi="Times New Roman" w:cs="Times New Roman"/>
        </w:rPr>
        <w:t>t</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someone</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to</w:t>
      </w:r>
      <w:proofErr w:type="spellEnd"/>
      <w:r w:rsidR="0070651D" w:rsidRPr="00705170">
        <w:rPr>
          <w:rFonts w:ascii="Times New Roman" w:hAnsi="Times New Roman" w:cs="Times New Roman"/>
        </w:rPr>
        <w:t xml:space="preserve"> abide </w:t>
      </w:r>
      <w:proofErr w:type="spellStart"/>
      <w:r w:rsidR="0070651D" w:rsidRPr="00705170">
        <w:rPr>
          <w:rFonts w:ascii="Times New Roman" w:hAnsi="Times New Roman" w:cs="Times New Roman"/>
        </w:rPr>
        <w:t>by</w:t>
      </w:r>
      <w:proofErr w:type="spellEnd"/>
      <w:r w:rsidR="0070651D" w:rsidRPr="00705170">
        <w:rPr>
          <w:rFonts w:ascii="Times New Roman" w:hAnsi="Times New Roman" w:cs="Times New Roman"/>
        </w:rPr>
        <w:t xml:space="preserve"> a </w:t>
      </w:r>
      <w:proofErr w:type="spellStart"/>
      <w:r w:rsidR="0070651D" w:rsidRPr="00705170">
        <w:rPr>
          <w:rFonts w:ascii="Times New Roman" w:hAnsi="Times New Roman" w:cs="Times New Roman"/>
        </w:rPr>
        <w:t>contract</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when</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the</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contractual</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relationship</w:t>
      </w:r>
      <w:proofErr w:type="spellEnd"/>
      <w:r w:rsidR="0070651D" w:rsidRPr="00705170">
        <w:rPr>
          <w:rFonts w:ascii="Times New Roman" w:hAnsi="Times New Roman" w:cs="Times New Roman"/>
        </w:rPr>
        <w:t xml:space="preserve"> is </w:t>
      </w:r>
      <w:proofErr w:type="spellStart"/>
      <w:r w:rsidR="0070651D" w:rsidRPr="00705170">
        <w:rPr>
          <w:rFonts w:ascii="Times New Roman" w:hAnsi="Times New Roman" w:cs="Times New Roman"/>
        </w:rPr>
        <w:t>unbearable</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for</w:t>
      </w:r>
      <w:proofErr w:type="spellEnd"/>
      <w:r w:rsidR="0070651D" w:rsidRPr="00705170">
        <w:rPr>
          <w:rFonts w:ascii="Times New Roman" w:hAnsi="Times New Roman" w:cs="Times New Roman"/>
        </w:rPr>
        <w:t xml:space="preserve"> </w:t>
      </w:r>
      <w:proofErr w:type="spellStart"/>
      <w:r w:rsidR="0070651D" w:rsidRPr="00705170">
        <w:rPr>
          <w:rFonts w:ascii="Times New Roman" w:hAnsi="Times New Roman" w:cs="Times New Roman"/>
        </w:rPr>
        <w:t>him</w:t>
      </w:r>
      <w:proofErr w:type="spellEnd"/>
      <w:r w:rsidR="003E3CEF" w:rsidRPr="00705170">
        <w:rPr>
          <w:rStyle w:val="DipnotBavurusu"/>
          <w:rFonts w:ascii="Times New Roman" w:hAnsi="Times New Roman" w:cs="Times New Roman"/>
        </w:rPr>
        <w:footnoteReference w:id="843"/>
      </w:r>
      <w:r w:rsidR="0070651D" w:rsidRPr="00705170">
        <w:rPr>
          <w:rFonts w:ascii="Times New Roman" w:hAnsi="Times New Roman" w:cs="Times New Roman"/>
        </w:rPr>
        <w:t>.</w:t>
      </w:r>
      <w:r w:rsidR="007C4FE4" w:rsidRPr="00705170">
        <w:rPr>
          <w:rFonts w:ascii="Times New Roman" w:hAnsi="Times New Roman" w:cs="Times New Roman"/>
        </w:rPr>
        <w:t xml:space="preserve"> </w:t>
      </w:r>
      <w:proofErr w:type="spellStart"/>
      <w:r w:rsidR="00187882">
        <w:rPr>
          <w:rFonts w:ascii="Times New Roman" w:hAnsi="Times New Roman" w:cs="Times New Roman"/>
        </w:rPr>
        <w:t>While</w:t>
      </w:r>
      <w:proofErr w:type="spellEnd"/>
      <w:r w:rsidR="00187882">
        <w:rPr>
          <w:rFonts w:ascii="Times New Roman" w:hAnsi="Times New Roman" w:cs="Times New Roman"/>
        </w:rPr>
        <w:t xml:space="preserve"> </w:t>
      </w:r>
      <w:proofErr w:type="spellStart"/>
      <w:r w:rsidR="00187882">
        <w:rPr>
          <w:rFonts w:ascii="Times New Roman" w:hAnsi="Times New Roman" w:cs="Times New Roman"/>
        </w:rPr>
        <w:t>t</w:t>
      </w:r>
      <w:r w:rsidR="00187882" w:rsidRPr="00705170">
        <w:rPr>
          <w:rFonts w:ascii="Times New Roman" w:hAnsi="Times New Roman" w:cs="Times New Roman"/>
        </w:rPr>
        <w:t>h</w:t>
      </w:r>
      <w:proofErr w:type="spellEnd"/>
      <w:r w:rsidR="00187882" w:rsidRPr="00705170">
        <w:rPr>
          <w:rFonts w:ascii="Times New Roman" w:hAnsi="Times New Roman" w:cs="Times New Roman"/>
          <w:lang w:val="en-US"/>
        </w:rPr>
        <w:t xml:space="preserve">is rule is mandatory in </w:t>
      </w:r>
      <w:r w:rsidR="00187882" w:rsidRPr="00705170">
        <w:rPr>
          <w:rFonts w:ascii="Times New Roman" w:hAnsi="Times New Roman" w:cs="Times New Roman"/>
          <w:lang w:val="en-US"/>
        </w:rPr>
        <w:lastRenderedPageBreak/>
        <w:t>nature, however, it is only used secondarily</w:t>
      </w:r>
      <w:r w:rsidR="00187882" w:rsidRPr="00705170">
        <w:rPr>
          <w:rStyle w:val="DipnotBavurusu"/>
          <w:rFonts w:ascii="Times New Roman" w:hAnsi="Times New Roman" w:cs="Times New Roman"/>
          <w:lang w:val="en-US"/>
        </w:rPr>
        <w:footnoteReference w:id="844"/>
      </w:r>
      <w:r w:rsidR="00187882" w:rsidRPr="00705170">
        <w:rPr>
          <w:rFonts w:ascii="Times New Roman" w:hAnsi="Times New Roman" w:cs="Times New Roman"/>
          <w:lang w:val="en-US"/>
        </w:rPr>
        <w:t xml:space="preserve">. </w:t>
      </w:r>
      <w:proofErr w:type="spellStart"/>
      <w:r w:rsidR="00241EB1" w:rsidRPr="00705170">
        <w:rPr>
          <w:rFonts w:ascii="Times New Roman" w:hAnsi="Times New Roman" w:cs="Times New Roman"/>
        </w:rPr>
        <w:t>By</w:t>
      </w:r>
      <w:proofErr w:type="spellEnd"/>
      <w:r w:rsidR="00241EB1" w:rsidRPr="00705170">
        <w:rPr>
          <w:rFonts w:ascii="Times New Roman" w:hAnsi="Times New Roman" w:cs="Times New Roman"/>
        </w:rPr>
        <w:t xml:space="preserve"> </w:t>
      </w:r>
      <w:proofErr w:type="spellStart"/>
      <w:r w:rsidR="00241EB1" w:rsidRPr="00705170">
        <w:rPr>
          <w:rFonts w:ascii="Times New Roman" w:hAnsi="Times New Roman" w:cs="Times New Roman"/>
        </w:rPr>
        <w:t>adopting</w:t>
      </w:r>
      <w:proofErr w:type="spellEnd"/>
      <w:r w:rsidR="00241EB1" w:rsidRPr="00705170">
        <w:rPr>
          <w:rFonts w:ascii="Times New Roman" w:hAnsi="Times New Roman" w:cs="Times New Roman"/>
        </w:rPr>
        <w:t xml:space="preserve"> </w:t>
      </w:r>
      <w:proofErr w:type="spellStart"/>
      <w:r w:rsidR="00241EB1" w:rsidRPr="00705170">
        <w:rPr>
          <w:rFonts w:ascii="Times New Roman" w:hAnsi="Times New Roman" w:cs="Times New Roman"/>
        </w:rPr>
        <w:t>the</w:t>
      </w:r>
      <w:proofErr w:type="spellEnd"/>
      <w:r w:rsidR="00241EB1" w:rsidRPr="00705170">
        <w:rPr>
          <w:rFonts w:ascii="Times New Roman" w:hAnsi="Times New Roman" w:cs="Times New Roman"/>
        </w:rPr>
        <w:t xml:space="preserve"> </w:t>
      </w:r>
      <w:proofErr w:type="spellStart"/>
      <w:r w:rsidR="00241EB1" w:rsidRPr="00705170">
        <w:rPr>
          <w:rFonts w:ascii="Times New Roman" w:hAnsi="Times New Roman" w:cs="Times New Roman"/>
        </w:rPr>
        <w:t>view</w:t>
      </w:r>
      <w:proofErr w:type="spellEnd"/>
      <w:r w:rsidR="00241EB1" w:rsidRPr="00705170">
        <w:rPr>
          <w:rFonts w:ascii="Times New Roman" w:hAnsi="Times New Roman" w:cs="Times New Roman"/>
        </w:rPr>
        <w:t xml:space="preserve"> </w:t>
      </w:r>
      <w:proofErr w:type="spellStart"/>
      <w:r w:rsidR="00241EB1" w:rsidRPr="00705170">
        <w:rPr>
          <w:rFonts w:ascii="Times New Roman" w:hAnsi="Times New Roman" w:cs="Times New Roman"/>
        </w:rPr>
        <w:t>that</w:t>
      </w:r>
      <w:proofErr w:type="spellEnd"/>
      <w:r w:rsidR="00241EB1" w:rsidRPr="00705170">
        <w:rPr>
          <w:rFonts w:ascii="Times New Roman" w:hAnsi="Times New Roman" w:cs="Times New Roman"/>
        </w:rPr>
        <w:t xml:space="preserve"> </w:t>
      </w:r>
      <w:proofErr w:type="spellStart"/>
      <w:r w:rsidR="00241EB1" w:rsidRPr="00705170">
        <w:rPr>
          <w:rFonts w:ascii="Times New Roman" w:hAnsi="Times New Roman" w:cs="Times New Roman"/>
        </w:rPr>
        <w:t>the</w:t>
      </w:r>
      <w:proofErr w:type="spellEnd"/>
      <w:r w:rsidR="00241EB1" w:rsidRPr="00705170">
        <w:rPr>
          <w:rFonts w:ascii="Times New Roman" w:hAnsi="Times New Roman" w:cs="Times New Roman"/>
        </w:rPr>
        <w:t xml:space="preserve"> </w:t>
      </w:r>
      <w:proofErr w:type="spellStart"/>
      <w:r w:rsidR="00241EB1" w:rsidRPr="00705170">
        <w:rPr>
          <w:rFonts w:ascii="Times New Roman" w:hAnsi="Times New Roman" w:cs="Times New Roman"/>
        </w:rPr>
        <w:t>rules</w:t>
      </w:r>
      <w:proofErr w:type="spellEnd"/>
      <w:r w:rsidR="00241EB1" w:rsidRPr="00705170">
        <w:rPr>
          <w:rFonts w:ascii="Times New Roman" w:hAnsi="Times New Roman" w:cs="Times New Roman"/>
        </w:rPr>
        <w:t xml:space="preserve"> of </w:t>
      </w:r>
      <w:proofErr w:type="spellStart"/>
      <w:r w:rsidR="00241EB1" w:rsidRPr="00705170">
        <w:rPr>
          <w:rFonts w:ascii="Times New Roman" w:hAnsi="Times New Roman" w:cs="Times New Roman"/>
        </w:rPr>
        <w:t>good</w:t>
      </w:r>
      <w:proofErr w:type="spellEnd"/>
      <w:r w:rsidR="00241EB1" w:rsidRPr="00705170">
        <w:rPr>
          <w:rFonts w:ascii="Times New Roman" w:hAnsi="Times New Roman" w:cs="Times New Roman"/>
        </w:rPr>
        <w:t xml:space="preserve"> </w:t>
      </w:r>
      <w:proofErr w:type="spellStart"/>
      <w:r w:rsidR="00241EB1" w:rsidRPr="00705170">
        <w:rPr>
          <w:rFonts w:ascii="Times New Roman" w:hAnsi="Times New Roman" w:cs="Times New Roman"/>
        </w:rPr>
        <w:t>faith</w:t>
      </w:r>
      <w:proofErr w:type="spellEnd"/>
      <w:r w:rsidR="00241EB1" w:rsidRPr="00705170">
        <w:rPr>
          <w:rFonts w:ascii="Times New Roman" w:hAnsi="Times New Roman" w:cs="Times New Roman"/>
        </w:rPr>
        <w:t xml:space="preserve"> is </w:t>
      </w:r>
      <w:proofErr w:type="spellStart"/>
      <w:r w:rsidR="00241EB1" w:rsidRPr="00705170">
        <w:rPr>
          <w:rFonts w:ascii="Times New Roman" w:hAnsi="Times New Roman" w:cs="Times New Roman"/>
        </w:rPr>
        <w:t>the</w:t>
      </w:r>
      <w:proofErr w:type="spellEnd"/>
      <w:r w:rsidR="00241EB1" w:rsidRPr="00705170">
        <w:rPr>
          <w:rFonts w:ascii="Times New Roman" w:hAnsi="Times New Roman" w:cs="Times New Roman"/>
        </w:rPr>
        <w:t xml:space="preserve"> </w:t>
      </w:r>
      <w:proofErr w:type="spellStart"/>
      <w:r w:rsidR="00241EB1" w:rsidRPr="00705170">
        <w:rPr>
          <w:rFonts w:ascii="Times New Roman" w:hAnsi="Times New Roman" w:cs="Times New Roman"/>
        </w:rPr>
        <w:t>basis</w:t>
      </w:r>
      <w:proofErr w:type="spellEnd"/>
      <w:r w:rsidR="00241EB1" w:rsidRPr="00705170">
        <w:rPr>
          <w:rFonts w:ascii="Times New Roman" w:hAnsi="Times New Roman" w:cs="Times New Roman"/>
        </w:rPr>
        <w:t xml:space="preserve"> of </w:t>
      </w:r>
      <w:proofErr w:type="spellStart"/>
      <w:r w:rsidR="00241EB1" w:rsidRPr="00705170">
        <w:rPr>
          <w:rFonts w:ascii="Times New Roman" w:hAnsi="Times New Roman" w:cs="Times New Roman"/>
        </w:rPr>
        <w:t>the</w:t>
      </w:r>
      <w:proofErr w:type="spellEnd"/>
      <w:r w:rsidR="00241EB1" w:rsidRPr="00705170">
        <w:rPr>
          <w:rFonts w:ascii="Times New Roman" w:hAnsi="Times New Roman" w:cs="Times New Roman"/>
        </w:rPr>
        <w:t xml:space="preserve"> </w:t>
      </w:r>
      <w:proofErr w:type="spellStart"/>
      <w:r w:rsidR="00241EB1" w:rsidRPr="00705170">
        <w:rPr>
          <w:rFonts w:ascii="Times New Roman" w:hAnsi="Times New Roman" w:cs="Times New Roman"/>
        </w:rPr>
        <w:t>action</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Turkish</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law</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implicitly</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takes</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the</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view</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that</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the</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involuntary</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dissolution</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based</w:t>
      </w:r>
      <w:proofErr w:type="spellEnd"/>
      <w:r w:rsidR="00CB3219" w:rsidRPr="00705170">
        <w:rPr>
          <w:rFonts w:ascii="Times New Roman" w:hAnsi="Times New Roman" w:cs="Times New Roman"/>
        </w:rPr>
        <w:t xml:space="preserve"> on </w:t>
      </w:r>
      <w:proofErr w:type="spellStart"/>
      <w:r w:rsidR="00CB3219" w:rsidRPr="00705170">
        <w:rPr>
          <w:rFonts w:ascii="Times New Roman" w:hAnsi="Times New Roman" w:cs="Times New Roman"/>
        </w:rPr>
        <w:t>just</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cause</w:t>
      </w:r>
      <w:proofErr w:type="spellEnd"/>
      <w:r w:rsidR="00CB3219" w:rsidRPr="00705170">
        <w:rPr>
          <w:rFonts w:ascii="Times New Roman" w:hAnsi="Times New Roman" w:cs="Times New Roman"/>
        </w:rPr>
        <w:t xml:space="preserve"> is </w:t>
      </w:r>
      <w:proofErr w:type="spellStart"/>
      <w:r w:rsidR="00CB3219" w:rsidRPr="00705170">
        <w:rPr>
          <w:rFonts w:ascii="Times New Roman" w:hAnsi="Times New Roman" w:cs="Times New Roman"/>
        </w:rPr>
        <w:t>contractual</w:t>
      </w:r>
      <w:proofErr w:type="spellEnd"/>
      <w:r w:rsidR="00CB3219" w:rsidRPr="00705170">
        <w:rPr>
          <w:rFonts w:ascii="Times New Roman" w:hAnsi="Times New Roman" w:cs="Times New Roman"/>
        </w:rPr>
        <w:t xml:space="preserve"> in </w:t>
      </w:r>
      <w:proofErr w:type="spellStart"/>
      <w:r w:rsidR="00CB3219" w:rsidRPr="00705170">
        <w:rPr>
          <w:rFonts w:ascii="Times New Roman" w:hAnsi="Times New Roman" w:cs="Times New Roman"/>
        </w:rPr>
        <w:t>nature</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rather</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than</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tort</w:t>
      </w:r>
      <w:proofErr w:type="spellEnd"/>
      <w:r w:rsidR="00E02B62" w:rsidRPr="00705170">
        <w:rPr>
          <w:rStyle w:val="DipnotBavurusu"/>
          <w:rFonts w:ascii="Times New Roman" w:hAnsi="Times New Roman" w:cs="Times New Roman"/>
        </w:rPr>
        <w:footnoteReference w:id="845"/>
      </w:r>
      <w:r w:rsidR="00CB3219" w:rsidRPr="00705170">
        <w:rPr>
          <w:rFonts w:ascii="Times New Roman" w:hAnsi="Times New Roman" w:cs="Times New Roman"/>
        </w:rPr>
        <w:t xml:space="preserve">. </w:t>
      </w:r>
    </w:p>
    <w:p w14:paraId="7DAEF9EF" w14:textId="4549A702" w:rsidR="005A2D60" w:rsidRPr="00705170" w:rsidRDefault="005610F4" w:rsidP="00CB3219">
      <w:pPr>
        <w:spacing w:after="240" w:line="480" w:lineRule="auto"/>
        <w:ind w:firstLine="708"/>
        <w:jc w:val="both"/>
        <w:rPr>
          <w:rFonts w:ascii="Times New Roman" w:hAnsi="Times New Roman" w:cs="Times New Roman"/>
        </w:rPr>
      </w:pPr>
      <w:r w:rsidRPr="00705170">
        <w:rPr>
          <w:rFonts w:ascii="Times New Roman" w:hAnsi="Times New Roman" w:cs="Times New Roman"/>
        </w:rPr>
        <w:t xml:space="preserve">As </w:t>
      </w:r>
      <w:proofErr w:type="spellStart"/>
      <w:r w:rsidRPr="00705170">
        <w:rPr>
          <w:rFonts w:ascii="Times New Roman" w:hAnsi="Times New Roman" w:cs="Times New Roman"/>
        </w:rPr>
        <w:t>understood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t>
      </w:r>
      <w:r w:rsidR="005A6145" w:rsidRPr="00705170">
        <w:rPr>
          <w:rFonts w:ascii="Times New Roman" w:hAnsi="Times New Roman" w:cs="Times New Roman"/>
        </w:rPr>
        <w:t>he</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just</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cause</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concept</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finds</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its</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roots</w:t>
      </w:r>
      <w:proofErr w:type="spellEnd"/>
      <w:r w:rsidR="005A6145" w:rsidRPr="00705170">
        <w:rPr>
          <w:rFonts w:ascii="Times New Roman" w:hAnsi="Times New Roman" w:cs="Times New Roman"/>
        </w:rPr>
        <w:t xml:space="preserve"> in </w:t>
      </w:r>
      <w:proofErr w:type="spellStart"/>
      <w:r w:rsidR="005A6145" w:rsidRPr="00705170">
        <w:rPr>
          <w:rFonts w:ascii="Times New Roman" w:hAnsi="Times New Roman" w:cs="Times New Roman"/>
        </w:rPr>
        <w:t>the</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contract</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law</w:t>
      </w:r>
      <w:proofErr w:type="spellEnd"/>
      <w:r w:rsidR="004013B0" w:rsidRPr="00705170">
        <w:rPr>
          <w:rFonts w:ascii="Times New Roman" w:hAnsi="Times New Roman" w:cs="Times New Roman"/>
        </w:rPr>
        <w:t xml:space="preserve"> in </w:t>
      </w:r>
      <w:proofErr w:type="spellStart"/>
      <w:r w:rsidR="004013B0" w:rsidRPr="00705170">
        <w:rPr>
          <w:rFonts w:ascii="Times New Roman" w:hAnsi="Times New Roman" w:cs="Times New Roman"/>
        </w:rPr>
        <w:t>Turkey</w:t>
      </w:r>
      <w:proofErr w:type="spellEnd"/>
      <w:r w:rsidR="005A6145" w:rsidRPr="00705170">
        <w:rPr>
          <w:rFonts w:ascii="Times New Roman" w:hAnsi="Times New Roman" w:cs="Times New Roman"/>
        </w:rPr>
        <w:t xml:space="preserve">; it </w:t>
      </w:r>
      <w:proofErr w:type="spellStart"/>
      <w:r w:rsidR="005A6145" w:rsidRPr="00705170">
        <w:rPr>
          <w:rFonts w:ascii="Times New Roman" w:hAnsi="Times New Roman" w:cs="Times New Roman"/>
        </w:rPr>
        <w:t>arises</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from</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the</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contract</w:t>
      </w:r>
      <w:proofErr w:type="spellEnd"/>
      <w:r w:rsidR="00347CD2" w:rsidRPr="00705170">
        <w:rPr>
          <w:rFonts w:ascii="Times New Roman" w:hAnsi="Times New Roman" w:cs="Times New Roman"/>
        </w:rPr>
        <w:t xml:space="preserve"> </w:t>
      </w:r>
      <w:proofErr w:type="spellStart"/>
      <w:r w:rsidR="00347CD2" w:rsidRPr="00705170">
        <w:rPr>
          <w:rFonts w:ascii="Times New Roman" w:hAnsi="Times New Roman" w:cs="Times New Roman"/>
        </w:rPr>
        <w:t>itself</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and</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appears</w:t>
      </w:r>
      <w:proofErr w:type="spellEnd"/>
      <w:r w:rsidR="004013B0" w:rsidRPr="00705170">
        <w:rPr>
          <w:rFonts w:ascii="Times New Roman" w:hAnsi="Times New Roman" w:cs="Times New Roman"/>
        </w:rPr>
        <w:t xml:space="preserve"> as</w:t>
      </w:r>
      <w:r w:rsidR="005A6145" w:rsidRPr="00705170">
        <w:rPr>
          <w:rFonts w:ascii="Times New Roman" w:hAnsi="Times New Roman" w:cs="Times New Roman"/>
        </w:rPr>
        <w:t xml:space="preserve"> a</w:t>
      </w:r>
      <w:r w:rsidR="00AE1940" w:rsidRPr="00705170">
        <w:rPr>
          <w:rFonts w:ascii="Times New Roman" w:hAnsi="Times New Roman" w:cs="Times New Roman"/>
        </w:rPr>
        <w:t xml:space="preserve">n </w:t>
      </w:r>
      <w:proofErr w:type="spellStart"/>
      <w:r w:rsidR="00AE1940" w:rsidRPr="00705170">
        <w:rPr>
          <w:rFonts w:ascii="Times New Roman" w:hAnsi="Times New Roman" w:cs="Times New Roman"/>
        </w:rPr>
        <w:t>unwritten</w:t>
      </w:r>
      <w:proofErr w:type="spellEnd"/>
      <w:r w:rsidR="005A6145" w:rsidRPr="00705170">
        <w:rPr>
          <w:rFonts w:ascii="Times New Roman" w:hAnsi="Times New Roman" w:cs="Times New Roman"/>
        </w:rPr>
        <w:t xml:space="preserve"> general </w:t>
      </w:r>
      <w:proofErr w:type="spellStart"/>
      <w:r w:rsidR="005A6145" w:rsidRPr="00705170">
        <w:rPr>
          <w:rFonts w:ascii="Times New Roman" w:hAnsi="Times New Roman" w:cs="Times New Roman"/>
        </w:rPr>
        <w:t>ground</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for</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ending</w:t>
      </w:r>
      <w:proofErr w:type="spellEnd"/>
      <w:r w:rsidR="005A6145" w:rsidRPr="00705170">
        <w:rPr>
          <w:rFonts w:ascii="Times New Roman" w:hAnsi="Times New Roman" w:cs="Times New Roman"/>
        </w:rPr>
        <w:t xml:space="preserve"> a </w:t>
      </w:r>
      <w:proofErr w:type="spellStart"/>
      <w:r w:rsidR="005A6145" w:rsidRPr="00705170">
        <w:rPr>
          <w:rFonts w:ascii="Times New Roman" w:hAnsi="Times New Roman" w:cs="Times New Roman"/>
        </w:rPr>
        <w:t>long</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term</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contractual</w:t>
      </w:r>
      <w:proofErr w:type="spellEnd"/>
      <w:r w:rsidR="005A6145" w:rsidRPr="00705170">
        <w:rPr>
          <w:rFonts w:ascii="Times New Roman" w:hAnsi="Times New Roman" w:cs="Times New Roman"/>
        </w:rPr>
        <w:t xml:space="preserve"> </w:t>
      </w:r>
      <w:proofErr w:type="spellStart"/>
      <w:r w:rsidR="005A6145" w:rsidRPr="00705170">
        <w:rPr>
          <w:rFonts w:ascii="Times New Roman" w:hAnsi="Times New Roman" w:cs="Times New Roman"/>
        </w:rPr>
        <w:t>relationship</w:t>
      </w:r>
      <w:proofErr w:type="spellEnd"/>
      <w:r w:rsidR="0057139B" w:rsidRPr="00705170">
        <w:rPr>
          <w:rFonts w:ascii="Times New Roman" w:hAnsi="Times New Roman" w:cs="Times New Roman"/>
        </w:rPr>
        <w:t xml:space="preserve"> </w:t>
      </w:r>
      <w:proofErr w:type="spellStart"/>
      <w:r w:rsidR="0057139B" w:rsidRPr="00705170">
        <w:rPr>
          <w:rFonts w:ascii="Times New Roman" w:hAnsi="Times New Roman" w:cs="Times New Roman"/>
        </w:rPr>
        <w:t>when</w:t>
      </w:r>
      <w:proofErr w:type="spellEnd"/>
      <w:r w:rsidR="0057139B" w:rsidRPr="00705170">
        <w:rPr>
          <w:rFonts w:ascii="Times New Roman" w:hAnsi="Times New Roman" w:cs="Times New Roman"/>
        </w:rPr>
        <w:t xml:space="preserve"> </w:t>
      </w:r>
      <w:proofErr w:type="spellStart"/>
      <w:r w:rsidR="0057139B" w:rsidRPr="00705170">
        <w:rPr>
          <w:rFonts w:ascii="Times New Roman" w:hAnsi="Times New Roman" w:cs="Times New Roman"/>
        </w:rPr>
        <w:t>conditions</w:t>
      </w:r>
      <w:proofErr w:type="spellEnd"/>
      <w:r w:rsidR="0057139B" w:rsidRPr="00705170">
        <w:rPr>
          <w:rFonts w:ascii="Times New Roman" w:hAnsi="Times New Roman" w:cs="Times New Roman"/>
        </w:rPr>
        <w:t xml:space="preserve"> </w:t>
      </w:r>
      <w:proofErr w:type="spellStart"/>
      <w:r w:rsidR="0057139B" w:rsidRPr="00705170">
        <w:rPr>
          <w:rFonts w:ascii="Times New Roman" w:hAnsi="Times New Roman" w:cs="Times New Roman"/>
        </w:rPr>
        <w:t>that</w:t>
      </w:r>
      <w:proofErr w:type="spellEnd"/>
      <w:r w:rsidR="0057139B" w:rsidRPr="00705170">
        <w:rPr>
          <w:rFonts w:ascii="Times New Roman" w:hAnsi="Times New Roman" w:cs="Times New Roman"/>
        </w:rPr>
        <w:t xml:space="preserve"> </w:t>
      </w:r>
      <w:proofErr w:type="spellStart"/>
      <w:r w:rsidR="0057139B" w:rsidRPr="00705170">
        <w:rPr>
          <w:rFonts w:ascii="Times New Roman" w:hAnsi="Times New Roman" w:cs="Times New Roman"/>
        </w:rPr>
        <w:t>makes</w:t>
      </w:r>
      <w:proofErr w:type="spellEnd"/>
      <w:r w:rsidR="0057139B" w:rsidRPr="00705170">
        <w:rPr>
          <w:rFonts w:ascii="Times New Roman" w:hAnsi="Times New Roman" w:cs="Times New Roman"/>
        </w:rPr>
        <w:t xml:space="preserve"> </w:t>
      </w:r>
      <w:proofErr w:type="spellStart"/>
      <w:r w:rsidR="0057139B" w:rsidRPr="00705170">
        <w:rPr>
          <w:rFonts w:ascii="Times New Roman" w:hAnsi="Times New Roman" w:cs="Times New Roman"/>
        </w:rPr>
        <w:t>the</w:t>
      </w:r>
      <w:proofErr w:type="spellEnd"/>
      <w:r w:rsidR="0057139B" w:rsidRPr="00705170">
        <w:rPr>
          <w:rFonts w:ascii="Times New Roman" w:hAnsi="Times New Roman" w:cs="Times New Roman"/>
        </w:rPr>
        <w:t xml:space="preserve"> </w:t>
      </w:r>
      <w:proofErr w:type="spellStart"/>
      <w:r w:rsidR="0057139B" w:rsidRPr="00705170">
        <w:rPr>
          <w:rFonts w:ascii="Times New Roman" w:hAnsi="Times New Roman" w:cs="Times New Roman"/>
        </w:rPr>
        <w:t>continuance</w:t>
      </w:r>
      <w:proofErr w:type="spellEnd"/>
      <w:r w:rsidR="0057139B" w:rsidRPr="00705170">
        <w:rPr>
          <w:rFonts w:ascii="Times New Roman" w:hAnsi="Times New Roman" w:cs="Times New Roman"/>
        </w:rPr>
        <w:t xml:space="preserve"> of </w:t>
      </w:r>
      <w:proofErr w:type="spellStart"/>
      <w:r w:rsidR="0057139B" w:rsidRPr="00705170">
        <w:rPr>
          <w:rFonts w:ascii="Times New Roman" w:hAnsi="Times New Roman" w:cs="Times New Roman"/>
        </w:rPr>
        <w:t>the</w:t>
      </w:r>
      <w:proofErr w:type="spellEnd"/>
      <w:r w:rsidR="0057139B" w:rsidRPr="00705170">
        <w:rPr>
          <w:rFonts w:ascii="Times New Roman" w:hAnsi="Times New Roman" w:cs="Times New Roman"/>
        </w:rPr>
        <w:t xml:space="preserve"> </w:t>
      </w:r>
      <w:proofErr w:type="spellStart"/>
      <w:r w:rsidR="0057139B" w:rsidRPr="00705170">
        <w:rPr>
          <w:rFonts w:ascii="Times New Roman" w:hAnsi="Times New Roman" w:cs="Times New Roman"/>
        </w:rPr>
        <w:t>relationship</w:t>
      </w:r>
      <w:proofErr w:type="spellEnd"/>
      <w:r w:rsidR="0057139B" w:rsidRPr="00705170">
        <w:rPr>
          <w:rFonts w:ascii="Times New Roman" w:hAnsi="Times New Roman" w:cs="Times New Roman"/>
        </w:rPr>
        <w:t xml:space="preserve"> </w:t>
      </w:r>
      <w:proofErr w:type="spellStart"/>
      <w:r w:rsidR="0057139B" w:rsidRPr="00705170">
        <w:rPr>
          <w:rFonts w:ascii="Times New Roman" w:hAnsi="Times New Roman" w:cs="Times New Roman"/>
        </w:rPr>
        <w:t>unbearable</w:t>
      </w:r>
      <w:proofErr w:type="spellEnd"/>
      <w:r w:rsidR="0057139B" w:rsidRPr="00705170">
        <w:rPr>
          <w:rFonts w:ascii="Times New Roman" w:hAnsi="Times New Roman" w:cs="Times New Roman"/>
        </w:rPr>
        <w:t xml:space="preserve"> </w:t>
      </w:r>
      <w:proofErr w:type="spellStart"/>
      <w:r w:rsidR="0057139B" w:rsidRPr="00705170">
        <w:rPr>
          <w:rFonts w:ascii="Times New Roman" w:hAnsi="Times New Roman" w:cs="Times New Roman"/>
        </w:rPr>
        <w:t>for</w:t>
      </w:r>
      <w:proofErr w:type="spellEnd"/>
      <w:r w:rsidR="0057139B" w:rsidRPr="00705170">
        <w:rPr>
          <w:rFonts w:ascii="Times New Roman" w:hAnsi="Times New Roman" w:cs="Times New Roman"/>
        </w:rPr>
        <w:t xml:space="preserve"> </w:t>
      </w:r>
      <w:proofErr w:type="spellStart"/>
      <w:r w:rsidR="0057139B" w:rsidRPr="00705170">
        <w:rPr>
          <w:rFonts w:ascii="Times New Roman" w:hAnsi="Times New Roman" w:cs="Times New Roman"/>
        </w:rPr>
        <w:t>the</w:t>
      </w:r>
      <w:proofErr w:type="spellEnd"/>
      <w:r w:rsidR="0057139B" w:rsidRPr="00705170">
        <w:rPr>
          <w:rFonts w:ascii="Times New Roman" w:hAnsi="Times New Roman" w:cs="Times New Roman"/>
        </w:rPr>
        <w:t xml:space="preserve"> </w:t>
      </w:r>
      <w:proofErr w:type="spellStart"/>
      <w:r w:rsidR="0057139B" w:rsidRPr="00705170">
        <w:rPr>
          <w:rFonts w:ascii="Times New Roman" w:hAnsi="Times New Roman" w:cs="Times New Roman"/>
        </w:rPr>
        <w:t>parties</w:t>
      </w:r>
      <w:proofErr w:type="spellEnd"/>
      <w:r w:rsidR="00AD7560" w:rsidRPr="00705170">
        <w:rPr>
          <w:rStyle w:val="DipnotBavurusu"/>
          <w:rFonts w:ascii="Times New Roman" w:hAnsi="Times New Roman" w:cs="Times New Roman"/>
        </w:rPr>
        <w:footnoteReference w:id="846"/>
      </w:r>
      <w:r w:rsidR="005A6145" w:rsidRPr="00705170">
        <w:rPr>
          <w:rFonts w:ascii="Times New Roman" w:hAnsi="Times New Roman" w:cs="Times New Roman"/>
        </w:rPr>
        <w:t xml:space="preserve">. </w:t>
      </w:r>
      <w:proofErr w:type="spellStart"/>
      <w:r w:rsidR="00341E3E" w:rsidRPr="00705170">
        <w:rPr>
          <w:rFonts w:ascii="Times New Roman" w:hAnsi="Times New Roman" w:cs="Times New Roman"/>
        </w:rPr>
        <w:t>In</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fact</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by</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accepting</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that</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rules</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for</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simple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partnership</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will</w:t>
      </w:r>
      <w:proofErr w:type="spellEnd"/>
      <w:r w:rsidR="00341E3E" w:rsidRPr="00705170">
        <w:rPr>
          <w:rFonts w:ascii="Times New Roman" w:hAnsi="Times New Roman" w:cs="Times New Roman"/>
        </w:rPr>
        <w:t xml:space="preserve"> be </w:t>
      </w:r>
      <w:proofErr w:type="spellStart"/>
      <w:r w:rsidR="00341E3E" w:rsidRPr="00705170">
        <w:rPr>
          <w:rFonts w:ascii="Times New Roman" w:hAnsi="Times New Roman" w:cs="Times New Roman"/>
        </w:rPr>
        <w:t>applied</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to</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commercial</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companies</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if</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there</w:t>
      </w:r>
      <w:proofErr w:type="spellEnd"/>
      <w:r w:rsidR="00341E3E" w:rsidRPr="00705170">
        <w:rPr>
          <w:rFonts w:ascii="Times New Roman" w:hAnsi="Times New Roman" w:cs="Times New Roman"/>
        </w:rPr>
        <w:t xml:space="preserve"> is </w:t>
      </w:r>
      <w:proofErr w:type="spellStart"/>
      <w:r w:rsidR="00341E3E" w:rsidRPr="00705170">
        <w:rPr>
          <w:rFonts w:ascii="Times New Roman" w:hAnsi="Times New Roman" w:cs="Times New Roman"/>
        </w:rPr>
        <w:t>no</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applicable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law</w:t>
      </w:r>
      <w:proofErr w:type="spellEnd"/>
      <w:r w:rsidR="00341E3E" w:rsidRPr="00705170">
        <w:rPr>
          <w:rFonts w:ascii="Times New Roman" w:hAnsi="Times New Roman" w:cs="Times New Roman"/>
        </w:rPr>
        <w:t xml:space="preserve"> in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TCC (TCC </w:t>
      </w:r>
      <w:proofErr w:type="spellStart"/>
      <w:r w:rsidR="00341E3E" w:rsidRPr="00705170">
        <w:rPr>
          <w:rFonts w:ascii="Times New Roman" w:hAnsi="Times New Roman" w:cs="Times New Roman"/>
        </w:rPr>
        <w:t>Article</w:t>
      </w:r>
      <w:proofErr w:type="spellEnd"/>
      <w:r w:rsidR="00341E3E" w:rsidRPr="00705170">
        <w:rPr>
          <w:rFonts w:ascii="Times New Roman" w:hAnsi="Times New Roman" w:cs="Times New Roman"/>
        </w:rPr>
        <w:t xml:space="preserve"> 126),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statute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implicilty</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refers</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to</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contractual</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nature</w:t>
      </w:r>
      <w:proofErr w:type="spellEnd"/>
      <w:r w:rsidR="00341E3E" w:rsidRPr="00705170">
        <w:rPr>
          <w:rFonts w:ascii="Times New Roman" w:hAnsi="Times New Roman" w:cs="Times New Roman"/>
        </w:rPr>
        <w:t xml:space="preserve"> of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corporations</w:t>
      </w:r>
      <w:proofErr w:type="spellEnd"/>
      <w:r w:rsidR="00341E3E" w:rsidRPr="00705170">
        <w:rPr>
          <w:rStyle w:val="DipnotBavurusu"/>
          <w:rFonts w:ascii="Times New Roman" w:hAnsi="Times New Roman" w:cs="Times New Roman"/>
        </w:rPr>
        <w:footnoteReference w:id="847"/>
      </w:r>
      <w:r w:rsidR="00341E3E" w:rsidRPr="00705170">
        <w:rPr>
          <w:rFonts w:ascii="Times New Roman" w:hAnsi="Times New Roman" w:cs="Times New Roman"/>
        </w:rPr>
        <w:t xml:space="preserve">. </w:t>
      </w:r>
      <w:proofErr w:type="spellStart"/>
      <w:r w:rsidR="004B3A84">
        <w:rPr>
          <w:rFonts w:ascii="Times New Roman" w:hAnsi="Times New Roman" w:cs="Times New Roman"/>
        </w:rPr>
        <w:t>I</w:t>
      </w:r>
      <w:r w:rsidR="00341E3E" w:rsidRPr="00705170">
        <w:rPr>
          <w:rFonts w:ascii="Times New Roman" w:hAnsi="Times New Roman" w:cs="Times New Roman"/>
        </w:rPr>
        <w:t>t</w:t>
      </w:r>
      <w:proofErr w:type="spellEnd"/>
      <w:r w:rsidR="00341E3E" w:rsidRPr="00705170">
        <w:rPr>
          <w:rFonts w:ascii="Times New Roman" w:hAnsi="Times New Roman" w:cs="Times New Roman"/>
        </w:rPr>
        <w:t xml:space="preserve"> is </w:t>
      </w:r>
      <w:proofErr w:type="spellStart"/>
      <w:r w:rsidR="00341E3E" w:rsidRPr="00705170">
        <w:rPr>
          <w:rFonts w:ascii="Times New Roman" w:hAnsi="Times New Roman" w:cs="Times New Roman"/>
        </w:rPr>
        <w:t>accepted</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that</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simple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partnership</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contract</w:t>
      </w:r>
      <w:proofErr w:type="spellEnd"/>
      <w:r w:rsidR="00341E3E" w:rsidRPr="00705170">
        <w:rPr>
          <w:rFonts w:ascii="Times New Roman" w:hAnsi="Times New Roman" w:cs="Times New Roman"/>
        </w:rPr>
        <w:t xml:space="preserve"> is not a </w:t>
      </w:r>
      <w:proofErr w:type="spellStart"/>
      <w:r w:rsidR="00341E3E" w:rsidRPr="00705170">
        <w:rPr>
          <w:rFonts w:ascii="Times New Roman" w:hAnsi="Times New Roman" w:cs="Times New Roman"/>
        </w:rPr>
        <w:t>unilateral</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contract</w:t>
      </w:r>
      <w:proofErr w:type="spellEnd"/>
      <w:r w:rsidR="00341E3E" w:rsidRPr="00705170">
        <w:rPr>
          <w:rFonts w:ascii="Times New Roman" w:hAnsi="Times New Roman" w:cs="Times New Roman"/>
        </w:rPr>
        <w:t xml:space="preserve"> but a </w:t>
      </w:r>
      <w:proofErr w:type="spellStart"/>
      <w:r w:rsidR="00341E3E" w:rsidRPr="00705170">
        <w:rPr>
          <w:rFonts w:ascii="Times New Roman" w:hAnsi="Times New Roman" w:cs="Times New Roman"/>
        </w:rPr>
        <w:t>contract</w:t>
      </w:r>
      <w:proofErr w:type="spellEnd"/>
      <w:r w:rsidR="00341E3E" w:rsidRPr="00705170">
        <w:rPr>
          <w:rFonts w:ascii="Times New Roman" w:hAnsi="Times New Roman" w:cs="Times New Roman"/>
        </w:rPr>
        <w:t xml:space="preserve"> in </w:t>
      </w:r>
      <w:proofErr w:type="spellStart"/>
      <w:r w:rsidR="00341E3E" w:rsidRPr="00705170">
        <w:rPr>
          <w:rFonts w:ascii="Times New Roman" w:hAnsi="Times New Roman" w:cs="Times New Roman"/>
        </w:rPr>
        <w:t>which</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all</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parties</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fulfill</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their</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obligations</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to</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reach</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common</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purpose</w:t>
      </w:r>
      <w:proofErr w:type="spellEnd"/>
      <w:r w:rsidR="00341E3E" w:rsidRPr="00705170">
        <w:rPr>
          <w:rStyle w:val="DipnotBavurusu"/>
          <w:rFonts w:ascii="Times New Roman" w:hAnsi="Times New Roman" w:cs="Times New Roman"/>
        </w:rPr>
        <w:footnoteReference w:id="848"/>
      </w:r>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thus</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obligations</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are</w:t>
      </w:r>
      <w:proofErr w:type="spellEnd"/>
      <w:r w:rsidR="00341E3E" w:rsidRPr="00705170">
        <w:rPr>
          <w:rFonts w:ascii="Times New Roman" w:hAnsi="Times New Roman" w:cs="Times New Roman"/>
        </w:rPr>
        <w:t xml:space="preserve"> not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considerations</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tha</w:t>
      </w:r>
      <w:r w:rsidR="000D79D6">
        <w:rPr>
          <w:rFonts w:ascii="Times New Roman" w:hAnsi="Times New Roman" w:cs="Times New Roman"/>
        </w:rPr>
        <w:t>t</w:t>
      </w:r>
      <w:proofErr w:type="spellEnd"/>
      <w:r w:rsidR="000D79D6">
        <w:rPr>
          <w:rFonts w:ascii="Times New Roman" w:hAnsi="Times New Roman" w:cs="Times New Roman"/>
        </w:rPr>
        <w:t xml:space="preserve"> </w:t>
      </w:r>
      <w:proofErr w:type="spellStart"/>
      <w:r w:rsidR="000D79D6">
        <w:rPr>
          <w:rFonts w:ascii="Times New Roman" w:hAnsi="Times New Roman" w:cs="Times New Roman"/>
        </w:rPr>
        <w:t>match</w:t>
      </w:r>
      <w:proofErr w:type="spellEnd"/>
      <w:r w:rsidR="000D79D6">
        <w:rPr>
          <w:rFonts w:ascii="Times New Roman" w:hAnsi="Times New Roman" w:cs="Times New Roman"/>
        </w:rPr>
        <w:t xml:space="preserve"> </w:t>
      </w:r>
      <w:proofErr w:type="spellStart"/>
      <w:r w:rsidR="000D79D6">
        <w:rPr>
          <w:rFonts w:ascii="Times New Roman" w:hAnsi="Times New Roman" w:cs="Times New Roman"/>
        </w:rPr>
        <w:t>with</w:t>
      </w:r>
      <w:proofErr w:type="spellEnd"/>
      <w:r w:rsidR="000D79D6">
        <w:rPr>
          <w:rFonts w:ascii="Times New Roman" w:hAnsi="Times New Roman" w:cs="Times New Roman"/>
        </w:rPr>
        <w:t xml:space="preserve"> </w:t>
      </w:r>
      <w:proofErr w:type="spellStart"/>
      <w:r w:rsidR="000D79D6">
        <w:rPr>
          <w:rFonts w:ascii="Times New Roman" w:hAnsi="Times New Roman" w:cs="Times New Roman"/>
        </w:rPr>
        <w:t>each</w:t>
      </w:r>
      <w:proofErr w:type="spellEnd"/>
      <w:r w:rsidR="000D79D6">
        <w:rPr>
          <w:rFonts w:ascii="Times New Roman" w:hAnsi="Times New Roman" w:cs="Times New Roman"/>
        </w:rPr>
        <w:t xml:space="preserve"> </w:t>
      </w:r>
      <w:proofErr w:type="spellStart"/>
      <w:r w:rsidR="000D79D6">
        <w:rPr>
          <w:rFonts w:ascii="Times New Roman" w:hAnsi="Times New Roman" w:cs="Times New Roman"/>
        </w:rPr>
        <w:t>other</w:t>
      </w:r>
      <w:proofErr w:type="spellEnd"/>
      <w:r w:rsidR="000D79D6">
        <w:rPr>
          <w:rFonts w:ascii="Times New Roman" w:hAnsi="Times New Roman" w:cs="Times New Roman"/>
        </w:rPr>
        <w:t xml:space="preserve">, </w:t>
      </w:r>
      <w:proofErr w:type="spellStart"/>
      <w:r w:rsidR="000D79D6">
        <w:rPr>
          <w:rFonts w:ascii="Times New Roman" w:hAnsi="Times New Roman" w:cs="Times New Roman"/>
        </w:rPr>
        <w:t>and</w:t>
      </w:r>
      <w:proofErr w:type="spellEnd"/>
      <w:r w:rsidR="000D79D6">
        <w:rPr>
          <w:rFonts w:ascii="Times New Roman" w:hAnsi="Times New Roman" w:cs="Times New Roman"/>
        </w:rPr>
        <w:t xml:space="preserve"> </w:t>
      </w:r>
      <w:proofErr w:type="spellStart"/>
      <w:r w:rsidR="000D79D6">
        <w:rPr>
          <w:rFonts w:ascii="Times New Roman" w:hAnsi="Times New Roman" w:cs="Times New Roman"/>
        </w:rPr>
        <w:t>its</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dissolution</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for</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just</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cause</w:t>
      </w:r>
      <w:proofErr w:type="spellEnd"/>
      <w:r w:rsidR="00341E3E" w:rsidRPr="00705170">
        <w:rPr>
          <w:rFonts w:ascii="Times New Roman" w:hAnsi="Times New Roman" w:cs="Times New Roman"/>
        </w:rPr>
        <w:t xml:space="preserve"> is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remedy</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for</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violations</w:t>
      </w:r>
      <w:proofErr w:type="spellEnd"/>
      <w:r w:rsidR="00341E3E" w:rsidRPr="00705170">
        <w:rPr>
          <w:rFonts w:ascii="Times New Roman" w:hAnsi="Times New Roman" w:cs="Times New Roman"/>
        </w:rPr>
        <w:t xml:space="preserve"> of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understanding</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among</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partners</w:t>
      </w:r>
      <w:proofErr w:type="spellEnd"/>
      <w:r w:rsidR="00341E3E" w:rsidRPr="00705170">
        <w:rPr>
          <w:rStyle w:val="DipnotBavurusu"/>
          <w:rFonts w:ascii="Times New Roman" w:hAnsi="Times New Roman" w:cs="Times New Roman"/>
        </w:rPr>
        <w:footnoteReference w:id="849"/>
      </w:r>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However</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usage</w:t>
      </w:r>
      <w:proofErr w:type="spellEnd"/>
      <w:r w:rsidR="00341E3E" w:rsidRPr="00705170">
        <w:rPr>
          <w:rFonts w:ascii="Times New Roman" w:hAnsi="Times New Roman" w:cs="Times New Roman"/>
        </w:rPr>
        <w:t xml:space="preserve"> of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simple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partnership</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provisions</w:t>
      </w:r>
      <w:proofErr w:type="spellEnd"/>
      <w:r w:rsidR="00341E3E" w:rsidRPr="00705170">
        <w:rPr>
          <w:rFonts w:ascii="Times New Roman" w:hAnsi="Times New Roman" w:cs="Times New Roman"/>
        </w:rPr>
        <w:t xml:space="preserve"> in </w:t>
      </w:r>
      <w:proofErr w:type="spellStart"/>
      <w:r w:rsidR="00341E3E" w:rsidRPr="00705170">
        <w:rPr>
          <w:rFonts w:ascii="Times New Roman" w:hAnsi="Times New Roman" w:cs="Times New Roman"/>
        </w:rPr>
        <w:t>the</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context</w:t>
      </w:r>
      <w:proofErr w:type="spellEnd"/>
      <w:r w:rsidR="00341E3E" w:rsidRPr="00705170">
        <w:rPr>
          <w:rFonts w:ascii="Times New Roman" w:hAnsi="Times New Roman" w:cs="Times New Roman"/>
        </w:rPr>
        <w:t xml:space="preserve"> of </w:t>
      </w:r>
      <w:proofErr w:type="spellStart"/>
      <w:r w:rsidR="00341E3E" w:rsidRPr="00705170">
        <w:rPr>
          <w:rFonts w:ascii="Times New Roman" w:hAnsi="Times New Roman" w:cs="Times New Roman"/>
        </w:rPr>
        <w:t>corporations</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for</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recognizing</w:t>
      </w:r>
      <w:proofErr w:type="spellEnd"/>
      <w:r w:rsidR="00341E3E" w:rsidRPr="00705170">
        <w:rPr>
          <w:rFonts w:ascii="Times New Roman" w:hAnsi="Times New Roman" w:cs="Times New Roman"/>
        </w:rPr>
        <w:t xml:space="preserve"> an </w:t>
      </w:r>
      <w:proofErr w:type="spellStart"/>
      <w:r w:rsidR="00341E3E" w:rsidRPr="00705170">
        <w:rPr>
          <w:rFonts w:ascii="Times New Roman" w:hAnsi="Times New Roman" w:cs="Times New Roman"/>
        </w:rPr>
        <w:t>involuntary</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dissolution</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right</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was</w:t>
      </w:r>
      <w:proofErr w:type="spellEnd"/>
      <w:r w:rsidR="00341E3E" w:rsidRPr="00705170">
        <w:rPr>
          <w:rFonts w:ascii="Times New Roman" w:hAnsi="Times New Roman" w:cs="Times New Roman"/>
        </w:rPr>
        <w:t xml:space="preserve"> not </w:t>
      </w:r>
      <w:proofErr w:type="spellStart"/>
      <w:r w:rsidR="00341E3E" w:rsidRPr="00705170">
        <w:rPr>
          <w:rFonts w:ascii="Times New Roman" w:hAnsi="Times New Roman" w:cs="Times New Roman"/>
        </w:rPr>
        <w:t>accepted</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prior</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t>to</w:t>
      </w:r>
      <w:proofErr w:type="spellEnd"/>
      <w:r w:rsidR="00341E3E" w:rsidRPr="00705170">
        <w:rPr>
          <w:rFonts w:ascii="Times New Roman" w:hAnsi="Times New Roman" w:cs="Times New Roman"/>
        </w:rPr>
        <w:t xml:space="preserve"> </w:t>
      </w:r>
      <w:proofErr w:type="spellStart"/>
      <w:r w:rsidR="00341E3E" w:rsidRPr="00705170">
        <w:rPr>
          <w:rFonts w:ascii="Times New Roman" w:hAnsi="Times New Roman" w:cs="Times New Roman"/>
        </w:rPr>
        <w:lastRenderedPageBreak/>
        <w:t>the</w:t>
      </w:r>
      <w:proofErr w:type="spellEnd"/>
      <w:r w:rsidR="00341E3E" w:rsidRPr="00705170">
        <w:rPr>
          <w:rFonts w:ascii="Times New Roman" w:hAnsi="Times New Roman" w:cs="Times New Roman"/>
        </w:rPr>
        <w:t xml:space="preserve"> TCC</w:t>
      </w:r>
      <w:r w:rsidR="00341E3E" w:rsidRPr="00705170">
        <w:rPr>
          <w:rStyle w:val="DipnotBavurusu"/>
          <w:rFonts w:ascii="Times New Roman" w:hAnsi="Times New Roman" w:cs="Times New Roman"/>
        </w:rPr>
        <w:footnoteReference w:id="850"/>
      </w:r>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and</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the</w:t>
      </w:r>
      <w:proofErr w:type="spellEnd"/>
      <w:r w:rsidR="00CB3219" w:rsidRPr="00705170">
        <w:rPr>
          <w:rFonts w:ascii="Times New Roman" w:hAnsi="Times New Roman" w:cs="Times New Roman"/>
        </w:rPr>
        <w:t xml:space="preserve"> TCC </w:t>
      </w:r>
      <w:r w:rsidR="000D79D6">
        <w:rPr>
          <w:rFonts w:ascii="Times New Roman" w:hAnsi="Times New Roman" w:cs="Times New Roman"/>
        </w:rPr>
        <w:t xml:space="preserve">had </w:t>
      </w:r>
      <w:proofErr w:type="spellStart"/>
      <w:r w:rsidR="000D79D6">
        <w:rPr>
          <w:rFonts w:ascii="Times New Roman" w:hAnsi="Times New Roman" w:cs="Times New Roman"/>
        </w:rPr>
        <w:t>to</w:t>
      </w:r>
      <w:proofErr w:type="spellEnd"/>
      <w:r w:rsidR="000D79D6">
        <w:rPr>
          <w:rFonts w:ascii="Times New Roman" w:hAnsi="Times New Roman" w:cs="Times New Roman"/>
        </w:rPr>
        <w:t xml:space="preserve"> </w:t>
      </w:r>
      <w:proofErr w:type="spellStart"/>
      <w:r w:rsidR="00CB3219" w:rsidRPr="00705170">
        <w:rPr>
          <w:rFonts w:ascii="Times New Roman" w:hAnsi="Times New Roman" w:cs="Times New Roman"/>
        </w:rPr>
        <w:t>recogn</w:t>
      </w:r>
      <w:r w:rsidR="000D79D6">
        <w:rPr>
          <w:rFonts w:ascii="Times New Roman" w:hAnsi="Times New Roman" w:cs="Times New Roman"/>
        </w:rPr>
        <w:t>ize</w:t>
      </w:r>
      <w:proofErr w:type="spellEnd"/>
      <w:r w:rsidR="00CB3219" w:rsidRPr="00705170">
        <w:rPr>
          <w:rFonts w:ascii="Times New Roman" w:hAnsi="Times New Roman" w:cs="Times New Roman"/>
        </w:rPr>
        <w:t xml:space="preserve"> an </w:t>
      </w:r>
      <w:proofErr w:type="spellStart"/>
      <w:r w:rsidR="00CB3219" w:rsidRPr="00705170">
        <w:rPr>
          <w:rFonts w:ascii="Times New Roman" w:hAnsi="Times New Roman" w:cs="Times New Roman"/>
        </w:rPr>
        <w:t>equivalent</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conception</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through</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the</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enactment</w:t>
      </w:r>
      <w:proofErr w:type="spellEnd"/>
      <w:r w:rsidR="00CB3219" w:rsidRPr="00705170">
        <w:rPr>
          <w:rFonts w:ascii="Times New Roman" w:hAnsi="Times New Roman" w:cs="Times New Roman"/>
        </w:rPr>
        <w:t xml:space="preserve"> of </w:t>
      </w:r>
      <w:proofErr w:type="spellStart"/>
      <w:r w:rsidR="00CB3219" w:rsidRPr="00705170">
        <w:rPr>
          <w:rFonts w:ascii="Times New Roman" w:hAnsi="Times New Roman" w:cs="Times New Roman"/>
        </w:rPr>
        <w:t>the</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involuntary</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dissolution</w:t>
      </w:r>
      <w:proofErr w:type="spellEnd"/>
      <w:r w:rsidR="00CB3219" w:rsidRPr="00705170">
        <w:rPr>
          <w:rFonts w:ascii="Times New Roman" w:hAnsi="Times New Roman" w:cs="Times New Roman"/>
        </w:rPr>
        <w:t xml:space="preserve"> </w:t>
      </w:r>
      <w:proofErr w:type="spellStart"/>
      <w:r w:rsidR="00CB3219" w:rsidRPr="00705170">
        <w:rPr>
          <w:rFonts w:ascii="Times New Roman" w:hAnsi="Times New Roman" w:cs="Times New Roman"/>
        </w:rPr>
        <w:t>provision</w:t>
      </w:r>
      <w:proofErr w:type="spellEnd"/>
      <w:r w:rsidR="004B3A84">
        <w:rPr>
          <w:rStyle w:val="DipnotBavurusu"/>
          <w:rFonts w:ascii="Times New Roman" w:hAnsi="Times New Roman" w:cs="Times New Roman"/>
        </w:rPr>
        <w:footnoteReference w:id="851"/>
      </w:r>
      <w:r w:rsidR="00CB3219" w:rsidRPr="00705170">
        <w:rPr>
          <w:rFonts w:ascii="Times New Roman" w:hAnsi="Times New Roman" w:cs="Times New Roman"/>
        </w:rPr>
        <w:t>.</w:t>
      </w:r>
      <w:r w:rsidR="006074E2" w:rsidRPr="00705170">
        <w:rPr>
          <w:rFonts w:ascii="Times New Roman" w:hAnsi="Times New Roman" w:cs="Times New Roman"/>
        </w:rPr>
        <w:t xml:space="preserve"> </w:t>
      </w:r>
    </w:p>
    <w:p w14:paraId="0982EF3B" w14:textId="2FF3DEA8" w:rsidR="006F56B6" w:rsidRPr="00705170" w:rsidRDefault="000D5160" w:rsidP="006F56B6">
      <w:pPr>
        <w:spacing w:after="240" w:line="480" w:lineRule="auto"/>
        <w:ind w:firstLine="720"/>
        <w:jc w:val="both"/>
        <w:rPr>
          <w:rFonts w:ascii="Times New Roman" w:hAnsi="Times New Roman" w:cs="Times New Roman"/>
        </w:rPr>
      </w:pPr>
      <w:proofErr w:type="spellStart"/>
      <w:r>
        <w:rPr>
          <w:rFonts w:ascii="Times New Roman" w:hAnsi="Times New Roman" w:cs="Times New Roman"/>
        </w:rPr>
        <w:t>Nevertheless</w:t>
      </w:r>
      <w:proofErr w:type="spellEnd"/>
      <w:r w:rsidR="000D79D6">
        <w:rPr>
          <w:rFonts w:ascii="Times New Roman" w:hAnsi="Times New Roman" w:cs="Times New Roman"/>
        </w:rPr>
        <w:t xml:space="preserve">, </w:t>
      </w:r>
      <w:proofErr w:type="spellStart"/>
      <w:r w:rsidR="000D79D6">
        <w:rPr>
          <w:rFonts w:ascii="Times New Roman" w:hAnsi="Times New Roman" w:cs="Times New Roman"/>
        </w:rPr>
        <w:t>t</w:t>
      </w:r>
      <w:r w:rsidR="006A407D" w:rsidRPr="00705170">
        <w:rPr>
          <w:rFonts w:ascii="Times New Roman" w:hAnsi="Times New Roman" w:cs="Times New Roman"/>
        </w:rPr>
        <w:t>he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perspective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used</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for</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contractual</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nature</w:t>
      </w:r>
      <w:proofErr w:type="spellEnd"/>
      <w:r w:rsidR="006A407D" w:rsidRPr="00705170">
        <w:rPr>
          <w:rFonts w:ascii="Times New Roman" w:hAnsi="Times New Roman" w:cs="Times New Roman"/>
        </w:rPr>
        <w:t xml:space="preserve"> of </w:t>
      </w:r>
      <w:proofErr w:type="spellStart"/>
      <w:r w:rsidR="006A407D" w:rsidRPr="00705170">
        <w:rPr>
          <w:rFonts w:ascii="Times New Roman" w:hAnsi="Times New Roman" w:cs="Times New Roman"/>
        </w:rPr>
        <w:t>partnerships</w:t>
      </w:r>
      <w:proofErr w:type="spellEnd"/>
      <w:r w:rsidR="006A407D" w:rsidRPr="00705170">
        <w:rPr>
          <w:rFonts w:ascii="Times New Roman" w:hAnsi="Times New Roman" w:cs="Times New Roman"/>
        </w:rPr>
        <w:t xml:space="preserve"> is </w:t>
      </w:r>
      <w:proofErr w:type="spellStart"/>
      <w:r w:rsidR="006A407D" w:rsidRPr="00705170">
        <w:rPr>
          <w:rFonts w:ascii="Times New Roman" w:hAnsi="Times New Roman" w:cs="Times New Roman"/>
        </w:rPr>
        <w:t>equally</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applicable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to</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corporations</w:t>
      </w:r>
      <w:proofErr w:type="spellEnd"/>
      <w:r w:rsidR="006A407D" w:rsidRPr="00705170">
        <w:rPr>
          <w:rFonts w:ascii="Times New Roman" w:hAnsi="Times New Roman" w:cs="Times New Roman"/>
        </w:rPr>
        <w:t xml:space="preserve">. “Time </w:t>
      </w:r>
      <w:proofErr w:type="spellStart"/>
      <w:r w:rsidR="006A407D" w:rsidRPr="00705170">
        <w:rPr>
          <w:rFonts w:ascii="Times New Roman" w:hAnsi="Times New Roman" w:cs="Times New Roman"/>
        </w:rPr>
        <w:t>and</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human</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nature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may</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cause</w:t>
      </w:r>
      <w:proofErr w:type="spellEnd"/>
      <w:r w:rsidR="006A407D" w:rsidRPr="00705170">
        <w:rPr>
          <w:rFonts w:ascii="Times New Roman" w:hAnsi="Times New Roman" w:cs="Times New Roman"/>
        </w:rPr>
        <w:t xml:space="preserve"> a </w:t>
      </w:r>
      <w:proofErr w:type="spellStart"/>
      <w:r w:rsidR="006A407D" w:rsidRPr="00705170">
        <w:rPr>
          <w:rFonts w:ascii="Times New Roman" w:hAnsi="Times New Roman" w:cs="Times New Roman"/>
        </w:rPr>
        <w:t>divergence</w:t>
      </w:r>
      <w:proofErr w:type="spellEnd"/>
      <w:r w:rsidR="006A407D" w:rsidRPr="00705170">
        <w:rPr>
          <w:rFonts w:ascii="Times New Roman" w:hAnsi="Times New Roman" w:cs="Times New Roman"/>
        </w:rPr>
        <w:t xml:space="preserve"> of </w:t>
      </w:r>
      <w:proofErr w:type="spellStart"/>
      <w:r w:rsidR="006A407D" w:rsidRPr="00705170">
        <w:rPr>
          <w:rFonts w:ascii="Times New Roman" w:hAnsi="Times New Roman" w:cs="Times New Roman"/>
        </w:rPr>
        <w:t>interests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and</w:t>
      </w:r>
      <w:proofErr w:type="spellEnd"/>
      <w:r w:rsidR="006A407D" w:rsidRPr="00705170">
        <w:rPr>
          <w:rFonts w:ascii="Times New Roman" w:hAnsi="Times New Roman" w:cs="Times New Roman"/>
        </w:rPr>
        <w:t xml:space="preserve"> a </w:t>
      </w:r>
      <w:proofErr w:type="spellStart"/>
      <w:r w:rsidR="006A407D" w:rsidRPr="00705170">
        <w:rPr>
          <w:rFonts w:ascii="Times New Roman" w:hAnsi="Times New Roman" w:cs="Times New Roman"/>
        </w:rPr>
        <w:t>breakdown</w:t>
      </w:r>
      <w:proofErr w:type="spellEnd"/>
      <w:r w:rsidR="006A407D" w:rsidRPr="00705170">
        <w:rPr>
          <w:rFonts w:ascii="Times New Roman" w:hAnsi="Times New Roman" w:cs="Times New Roman"/>
        </w:rPr>
        <w:t xml:space="preserve"> in </w:t>
      </w:r>
      <w:proofErr w:type="spellStart"/>
      <w:r w:rsidR="006A407D" w:rsidRPr="00705170">
        <w:rPr>
          <w:rFonts w:ascii="Times New Roman" w:hAnsi="Times New Roman" w:cs="Times New Roman"/>
        </w:rPr>
        <w:t>consensus</w:t>
      </w:r>
      <w:proofErr w:type="spellEnd"/>
      <w:r w:rsidR="006A407D" w:rsidRPr="00705170">
        <w:rPr>
          <w:rFonts w:ascii="Times New Roman" w:hAnsi="Times New Roman" w:cs="Times New Roman"/>
        </w:rPr>
        <w:t>”</w:t>
      </w:r>
      <w:r w:rsidR="006A407D" w:rsidRPr="00705170">
        <w:rPr>
          <w:rStyle w:val="DipnotBavurusu"/>
          <w:rFonts w:ascii="Times New Roman" w:hAnsi="Times New Roman" w:cs="Times New Roman"/>
        </w:rPr>
        <w:footnoteReference w:id="852"/>
      </w:r>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and</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transaction</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costs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would</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make</w:t>
      </w:r>
      <w:proofErr w:type="spellEnd"/>
      <w:r w:rsidR="006A407D" w:rsidRPr="00705170">
        <w:rPr>
          <w:rFonts w:ascii="Times New Roman" w:hAnsi="Times New Roman" w:cs="Times New Roman"/>
        </w:rPr>
        <w:t xml:space="preserve"> it </w:t>
      </w:r>
      <w:proofErr w:type="spellStart"/>
      <w:r w:rsidR="006A407D" w:rsidRPr="00705170">
        <w:rPr>
          <w:rFonts w:ascii="Times New Roman" w:hAnsi="Times New Roman" w:cs="Times New Roman"/>
        </w:rPr>
        <w:t>practically</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impossible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to</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construct</w:t>
      </w:r>
      <w:proofErr w:type="spellEnd"/>
      <w:r w:rsidR="006A407D" w:rsidRPr="00705170">
        <w:rPr>
          <w:rFonts w:ascii="Times New Roman" w:hAnsi="Times New Roman" w:cs="Times New Roman"/>
        </w:rPr>
        <w:t xml:space="preserve"> a </w:t>
      </w:r>
      <w:proofErr w:type="spellStart"/>
      <w:r w:rsidR="006A407D" w:rsidRPr="00705170">
        <w:rPr>
          <w:rFonts w:ascii="Times New Roman" w:hAnsi="Times New Roman" w:cs="Times New Roman"/>
        </w:rPr>
        <w:t>partnership</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or</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corporate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contract</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addressing</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all</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contingencies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by</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providing</w:t>
      </w:r>
      <w:proofErr w:type="spellEnd"/>
      <w:r w:rsidR="006A407D" w:rsidRPr="00705170">
        <w:rPr>
          <w:rFonts w:ascii="Times New Roman" w:hAnsi="Times New Roman" w:cs="Times New Roman"/>
        </w:rPr>
        <w:t xml:space="preserve"> an </w:t>
      </w:r>
      <w:proofErr w:type="spellStart"/>
      <w:r w:rsidR="006A407D" w:rsidRPr="00705170">
        <w:rPr>
          <w:rFonts w:ascii="Times New Roman" w:hAnsi="Times New Roman" w:cs="Times New Roman"/>
        </w:rPr>
        <w:t>adequate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justification</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In</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this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regards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relational</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contract</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theory</w:t>
      </w:r>
      <w:proofErr w:type="spellEnd"/>
      <w:r w:rsidR="006A407D" w:rsidRPr="00705170">
        <w:rPr>
          <w:rFonts w:ascii="Times New Roman" w:hAnsi="Times New Roman" w:cs="Times New Roman"/>
        </w:rPr>
        <w:t xml:space="preserve"> is </w:t>
      </w:r>
      <w:proofErr w:type="spellStart"/>
      <w:r w:rsidR="006A407D" w:rsidRPr="00705170">
        <w:rPr>
          <w:rFonts w:ascii="Times New Roman" w:hAnsi="Times New Roman" w:cs="Times New Roman"/>
        </w:rPr>
        <w:t>applied</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to</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corporate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contract</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to</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better</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understood</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unique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problems</w:t>
      </w:r>
      <w:proofErr w:type="spellEnd"/>
      <w:r w:rsidR="006A407D" w:rsidRPr="00705170">
        <w:rPr>
          <w:rFonts w:ascii="Times New Roman" w:hAnsi="Times New Roman" w:cs="Times New Roman"/>
        </w:rPr>
        <w:t xml:space="preserve"> it </w:t>
      </w:r>
      <w:proofErr w:type="spellStart"/>
      <w:r w:rsidR="006A407D" w:rsidRPr="00705170">
        <w:rPr>
          <w:rFonts w:ascii="Times New Roman" w:hAnsi="Times New Roman" w:cs="Times New Roman"/>
        </w:rPr>
        <w:t>possess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relational</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contract</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term</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refers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to</w:t>
      </w:r>
      <w:proofErr w:type="spellEnd"/>
      <w:r w:rsidR="006A407D" w:rsidRPr="00705170">
        <w:rPr>
          <w:rFonts w:ascii="Times New Roman" w:hAnsi="Times New Roman" w:cs="Times New Roman"/>
        </w:rPr>
        <w:t xml:space="preserve"> a </w:t>
      </w:r>
      <w:proofErr w:type="spellStart"/>
      <w:r w:rsidR="006A407D" w:rsidRPr="00705170">
        <w:rPr>
          <w:rFonts w:ascii="Times New Roman" w:hAnsi="Times New Roman" w:cs="Times New Roman"/>
        </w:rPr>
        <w:t>contract</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that</w:t>
      </w:r>
      <w:proofErr w:type="spellEnd"/>
      <w:r w:rsidR="006A407D" w:rsidRPr="00705170">
        <w:rPr>
          <w:rFonts w:ascii="Times New Roman" w:hAnsi="Times New Roman" w:cs="Times New Roman"/>
        </w:rPr>
        <w:t xml:space="preserve"> is “</w:t>
      </w:r>
      <w:proofErr w:type="spellStart"/>
      <w:r w:rsidR="006A407D" w:rsidRPr="00705170">
        <w:rPr>
          <w:rFonts w:ascii="Times New Roman" w:hAnsi="Times New Roman" w:cs="Times New Roman"/>
        </w:rPr>
        <w:t>used</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to</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govern</w:t>
      </w:r>
      <w:proofErr w:type="spellEnd"/>
      <w:r w:rsidR="006A407D" w:rsidRPr="00705170">
        <w:rPr>
          <w:rFonts w:ascii="Times New Roman" w:hAnsi="Times New Roman" w:cs="Times New Roman"/>
        </w:rPr>
        <w:t xml:space="preserve"> a </w:t>
      </w:r>
      <w:proofErr w:type="spellStart"/>
      <w:r w:rsidR="006A407D" w:rsidRPr="00705170">
        <w:rPr>
          <w:rFonts w:ascii="Times New Roman" w:hAnsi="Times New Roman" w:cs="Times New Roman"/>
        </w:rPr>
        <w:t>long</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term</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relationship</w:t>
      </w:r>
      <w:proofErr w:type="spellEnd"/>
      <w:r w:rsidR="006A407D" w:rsidRPr="00705170">
        <w:rPr>
          <w:rFonts w:ascii="Times New Roman" w:hAnsi="Times New Roman" w:cs="Times New Roman"/>
        </w:rPr>
        <w:t xml:space="preserve"> in </w:t>
      </w:r>
      <w:proofErr w:type="spellStart"/>
      <w:r w:rsidR="006A407D" w:rsidRPr="00705170">
        <w:rPr>
          <w:rFonts w:ascii="Times New Roman" w:hAnsi="Times New Roman" w:cs="Times New Roman"/>
        </w:rPr>
        <w:t>which</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all</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contingencies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and</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performance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standards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cannot</w:t>
      </w:r>
      <w:proofErr w:type="spellEnd"/>
      <w:r w:rsidR="006A407D" w:rsidRPr="00705170">
        <w:rPr>
          <w:rFonts w:ascii="Times New Roman" w:hAnsi="Times New Roman" w:cs="Times New Roman"/>
        </w:rPr>
        <w:t xml:space="preserve"> be </w:t>
      </w:r>
      <w:proofErr w:type="spellStart"/>
      <w:r w:rsidR="006A407D" w:rsidRPr="00705170">
        <w:rPr>
          <w:rFonts w:ascii="Times New Roman" w:hAnsi="Times New Roman" w:cs="Times New Roman"/>
        </w:rPr>
        <w:t>specified</w:t>
      </w:r>
      <w:proofErr w:type="spellEnd"/>
      <w:r w:rsidR="006A407D" w:rsidRPr="00705170">
        <w:rPr>
          <w:rFonts w:ascii="Times New Roman" w:hAnsi="Times New Roman" w:cs="Times New Roman"/>
        </w:rPr>
        <w:t xml:space="preserve"> in </w:t>
      </w:r>
      <w:proofErr w:type="spellStart"/>
      <w:r w:rsidR="006A407D" w:rsidRPr="00705170">
        <w:rPr>
          <w:rFonts w:ascii="Times New Roman" w:hAnsi="Times New Roman" w:cs="Times New Roman"/>
        </w:rPr>
        <w:t>advance</w:t>
      </w:r>
      <w:proofErr w:type="spellEnd"/>
      <w:r w:rsidR="006A407D" w:rsidRPr="00705170">
        <w:rPr>
          <w:rFonts w:ascii="Times New Roman" w:hAnsi="Times New Roman" w:cs="Times New Roman"/>
        </w:rPr>
        <w:t>”</w:t>
      </w:r>
      <w:r w:rsidR="006A407D" w:rsidRPr="00705170">
        <w:rPr>
          <w:rStyle w:val="DipnotBavurusu"/>
          <w:rFonts w:ascii="Times New Roman" w:hAnsi="Times New Roman" w:cs="Times New Roman"/>
        </w:rPr>
        <w:footnoteReference w:id="853"/>
      </w:r>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Applie</w:t>
      </w:r>
      <w:r w:rsidR="00A033AC" w:rsidRPr="00705170">
        <w:rPr>
          <w:rFonts w:ascii="Times New Roman" w:hAnsi="Times New Roman" w:cs="Times New Roman"/>
        </w:rPr>
        <w:t>d</w:t>
      </w:r>
      <w:proofErr w:type="spellEnd"/>
      <w:r w:rsidR="00A033AC" w:rsidRPr="00705170">
        <w:rPr>
          <w:rFonts w:ascii="Times New Roman" w:hAnsi="Times New Roman" w:cs="Times New Roman"/>
        </w:rPr>
        <w:t xml:space="preserve"> </w:t>
      </w:r>
      <w:proofErr w:type="spellStart"/>
      <w:r w:rsidR="00A033AC" w:rsidRPr="00705170">
        <w:rPr>
          <w:rFonts w:ascii="Times New Roman" w:hAnsi="Times New Roman" w:cs="Times New Roman"/>
        </w:rPr>
        <w:t>to</w:t>
      </w:r>
      <w:proofErr w:type="spellEnd"/>
      <w:r w:rsidR="00A033AC" w:rsidRPr="00705170">
        <w:rPr>
          <w:rFonts w:ascii="Times New Roman" w:hAnsi="Times New Roman" w:cs="Times New Roman"/>
        </w:rPr>
        <w:t xml:space="preserve"> </w:t>
      </w:r>
      <w:proofErr w:type="spellStart"/>
      <w:r w:rsidR="00A033AC" w:rsidRPr="00705170">
        <w:rPr>
          <w:rFonts w:ascii="Times New Roman" w:hAnsi="Times New Roman" w:cs="Times New Roman"/>
        </w:rPr>
        <w:t>the</w:t>
      </w:r>
      <w:proofErr w:type="spellEnd"/>
      <w:r w:rsidR="00A033AC" w:rsidRPr="00705170">
        <w:rPr>
          <w:rFonts w:ascii="Times New Roman" w:hAnsi="Times New Roman" w:cs="Times New Roman"/>
        </w:rPr>
        <w:t xml:space="preserve"> </w:t>
      </w:r>
      <w:proofErr w:type="spellStart"/>
      <w:r w:rsidR="00A033AC" w:rsidRPr="00705170">
        <w:rPr>
          <w:rFonts w:ascii="Times New Roman" w:hAnsi="Times New Roman" w:cs="Times New Roman"/>
        </w:rPr>
        <w:t>corporations</w:t>
      </w:r>
      <w:proofErr w:type="spellEnd"/>
      <w:r w:rsidR="00A033AC" w:rsidRPr="00705170">
        <w:rPr>
          <w:rFonts w:ascii="Times New Roman" w:hAnsi="Times New Roman" w:cs="Times New Roman"/>
        </w:rPr>
        <w:t xml:space="preserve"> </w:t>
      </w:r>
      <w:proofErr w:type="spellStart"/>
      <w:r w:rsidR="00A033AC" w:rsidRPr="00705170">
        <w:rPr>
          <w:rFonts w:ascii="Times New Roman" w:hAnsi="Times New Roman" w:cs="Times New Roman"/>
        </w:rPr>
        <w:t>context</w:t>
      </w:r>
      <w:proofErr w:type="spellEnd"/>
      <w:r w:rsidR="00A033AC" w:rsidRPr="00705170">
        <w:rPr>
          <w:rFonts w:ascii="Times New Roman" w:hAnsi="Times New Roman" w:cs="Times New Roman"/>
        </w:rPr>
        <w:t xml:space="preserve">, </w:t>
      </w:r>
      <w:r w:rsidR="00465E02" w:rsidRPr="00705170">
        <w:rPr>
          <w:rFonts w:ascii="Times New Roman" w:hAnsi="Times New Roman" w:cs="Times New Roman"/>
        </w:rPr>
        <w:t>“</w:t>
      </w:r>
      <w:proofErr w:type="spellStart"/>
      <w:r w:rsidR="006A407D" w:rsidRPr="00705170">
        <w:rPr>
          <w:rFonts w:ascii="Times New Roman" w:hAnsi="Times New Roman" w:cs="Times New Roman"/>
        </w:rPr>
        <w:t>one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may</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understand</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creation</w:t>
      </w:r>
      <w:proofErr w:type="spellEnd"/>
      <w:r w:rsidR="006A407D" w:rsidRPr="00705170">
        <w:rPr>
          <w:rFonts w:ascii="Times New Roman" w:hAnsi="Times New Roman" w:cs="Times New Roman"/>
        </w:rPr>
        <w:t xml:space="preserve"> of a </w:t>
      </w:r>
      <w:proofErr w:type="spellStart"/>
      <w:r w:rsidR="006A407D" w:rsidRPr="00705170">
        <w:rPr>
          <w:rFonts w:ascii="Times New Roman" w:hAnsi="Times New Roman" w:cs="Times New Roman"/>
        </w:rPr>
        <w:t>close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corporation</w:t>
      </w:r>
      <w:proofErr w:type="spellEnd"/>
      <w:r w:rsidR="006A407D" w:rsidRPr="00705170">
        <w:rPr>
          <w:rFonts w:ascii="Times New Roman" w:hAnsi="Times New Roman" w:cs="Times New Roman"/>
        </w:rPr>
        <w:t xml:space="preserve"> as </w:t>
      </w:r>
      <w:proofErr w:type="spellStart"/>
      <w:r w:rsidR="006A407D" w:rsidRPr="00705170">
        <w:rPr>
          <w:rFonts w:ascii="Times New Roman" w:hAnsi="Times New Roman" w:cs="Times New Roman"/>
        </w:rPr>
        <w:t>the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creation</w:t>
      </w:r>
      <w:proofErr w:type="spellEnd"/>
      <w:r w:rsidR="006A407D" w:rsidRPr="00705170">
        <w:rPr>
          <w:rFonts w:ascii="Times New Roman" w:hAnsi="Times New Roman" w:cs="Times New Roman"/>
        </w:rPr>
        <w:t xml:space="preserve"> of ‘a </w:t>
      </w:r>
      <w:proofErr w:type="spellStart"/>
      <w:r w:rsidR="006A407D" w:rsidRPr="00705170">
        <w:rPr>
          <w:rFonts w:ascii="Times New Roman" w:hAnsi="Times New Roman" w:cs="Times New Roman"/>
        </w:rPr>
        <w:t>long</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term</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relational</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contract</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which</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contemplates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that</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each</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participant</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will</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contribute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capital</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or</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services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and</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that</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proceeds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will</w:t>
      </w:r>
      <w:proofErr w:type="spellEnd"/>
      <w:r w:rsidR="006A407D" w:rsidRPr="00705170">
        <w:rPr>
          <w:rFonts w:ascii="Times New Roman" w:hAnsi="Times New Roman" w:cs="Times New Roman"/>
        </w:rPr>
        <w:t xml:space="preserve"> be </w:t>
      </w:r>
      <w:proofErr w:type="spellStart"/>
      <w:r w:rsidR="006A407D" w:rsidRPr="00705170">
        <w:rPr>
          <w:rFonts w:ascii="Times New Roman" w:hAnsi="Times New Roman" w:cs="Times New Roman"/>
        </w:rPr>
        <w:t>equitably</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shared</w:t>
      </w:r>
      <w:proofErr w:type="spellEnd"/>
      <w:r w:rsidR="006A407D" w:rsidRPr="00705170">
        <w:rPr>
          <w:rFonts w:ascii="Times New Roman" w:hAnsi="Times New Roman" w:cs="Times New Roman"/>
        </w:rPr>
        <w:t>’”</w:t>
      </w:r>
      <w:r w:rsidR="006A407D" w:rsidRPr="00705170">
        <w:rPr>
          <w:rStyle w:val="DipnotBavurusu"/>
          <w:rFonts w:ascii="Times New Roman" w:hAnsi="Times New Roman" w:cs="Times New Roman"/>
        </w:rPr>
        <w:footnoteReference w:id="854"/>
      </w:r>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Generally</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courts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play</w:t>
      </w:r>
      <w:proofErr w:type="spellEnd"/>
      <w:r w:rsidR="006A407D" w:rsidRPr="00705170">
        <w:rPr>
          <w:rFonts w:ascii="Times New Roman" w:hAnsi="Times New Roman" w:cs="Times New Roman"/>
        </w:rPr>
        <w:t xml:space="preserve"> an </w:t>
      </w:r>
      <w:proofErr w:type="spellStart"/>
      <w:r w:rsidR="006A407D" w:rsidRPr="00705170">
        <w:rPr>
          <w:rFonts w:ascii="Times New Roman" w:hAnsi="Times New Roman" w:cs="Times New Roman"/>
        </w:rPr>
        <w:t>active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and</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indispensable</w:t>
      </w:r>
      <w:proofErr w:type="spellEnd"/>
      <w:r w:rsidR="006A407D" w:rsidRPr="00705170">
        <w:rPr>
          <w:rFonts w:ascii="Times New Roman" w:hAnsi="Times New Roman" w:cs="Times New Roman"/>
        </w:rPr>
        <w:t xml:space="preserve"> role in </w:t>
      </w:r>
      <w:proofErr w:type="spellStart"/>
      <w:r w:rsidR="006A407D" w:rsidRPr="00705170">
        <w:rPr>
          <w:rFonts w:ascii="Times New Roman" w:hAnsi="Times New Roman" w:cs="Times New Roman"/>
        </w:rPr>
        <w:t>monitoring</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and</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interpreting</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these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contracts</w:t>
      </w:r>
      <w:proofErr w:type="spellEnd"/>
      <w:r w:rsidR="006A407D" w:rsidRPr="00705170">
        <w:rPr>
          <w:rStyle w:val="DipnotBavurusu"/>
          <w:rFonts w:ascii="Times New Roman" w:hAnsi="Times New Roman" w:cs="Times New Roman"/>
        </w:rPr>
        <w:footnoteReference w:id="855"/>
      </w:r>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notion</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that</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Turkish</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law</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enacted</w:t>
      </w:r>
      <w:proofErr w:type="spellEnd"/>
      <w:r w:rsidR="006A407D" w:rsidRPr="00705170">
        <w:rPr>
          <w:rFonts w:ascii="Times New Roman" w:hAnsi="Times New Roman" w:cs="Times New Roman"/>
        </w:rPr>
        <w:t xml:space="preserve"> a </w:t>
      </w:r>
      <w:proofErr w:type="spellStart"/>
      <w:r w:rsidR="006A407D" w:rsidRPr="00705170">
        <w:rPr>
          <w:rFonts w:ascii="Times New Roman" w:hAnsi="Times New Roman" w:cs="Times New Roman"/>
        </w:rPr>
        <w:t>statutory</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provision</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for</w:t>
      </w:r>
      <w:proofErr w:type="spellEnd"/>
      <w:r w:rsidR="006A407D" w:rsidRPr="00705170">
        <w:rPr>
          <w:rFonts w:ascii="Times New Roman" w:hAnsi="Times New Roman" w:cs="Times New Roman"/>
        </w:rPr>
        <w:t xml:space="preserve"> an </w:t>
      </w:r>
      <w:proofErr w:type="spellStart"/>
      <w:r w:rsidR="006A407D" w:rsidRPr="00705170">
        <w:rPr>
          <w:rFonts w:ascii="Times New Roman" w:hAnsi="Times New Roman" w:cs="Times New Roman"/>
        </w:rPr>
        <w:t>involuntary</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dissolution</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action</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despite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giving</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parties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opportunity</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to</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include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terms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so</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terms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containing</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just</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cause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ground</w:t>
      </w:r>
      <w:proofErr w:type="spellEnd"/>
      <w:r w:rsidR="006A407D" w:rsidRPr="00705170">
        <w:rPr>
          <w:rFonts w:ascii="Times New Roman" w:hAnsi="Times New Roman" w:cs="Times New Roman"/>
        </w:rPr>
        <w:t xml:space="preserve"> as </w:t>
      </w:r>
      <w:proofErr w:type="spellStart"/>
      <w:r w:rsidR="006A407D" w:rsidRPr="00705170">
        <w:rPr>
          <w:rFonts w:ascii="Times New Roman" w:hAnsi="Times New Roman" w:cs="Times New Roman"/>
        </w:rPr>
        <w:t>well</w:t>
      </w:r>
      <w:proofErr w:type="spellEnd"/>
      <w:r w:rsidR="006A407D" w:rsidRPr="00705170">
        <w:rPr>
          <w:rFonts w:ascii="Times New Roman" w:hAnsi="Times New Roman" w:cs="Times New Roman"/>
        </w:rPr>
        <w:t>)</w:t>
      </w:r>
      <w:r w:rsidR="006A407D" w:rsidRPr="00705170">
        <w:rPr>
          <w:rStyle w:val="DipnotBavurusu"/>
          <w:rFonts w:ascii="Times New Roman" w:hAnsi="Times New Roman" w:cs="Times New Roman"/>
        </w:rPr>
        <w:t xml:space="preserve"> </w:t>
      </w:r>
      <w:proofErr w:type="spellStart"/>
      <w:r w:rsidR="006A407D" w:rsidRPr="00705170">
        <w:rPr>
          <w:rFonts w:ascii="Times New Roman" w:hAnsi="Times New Roman" w:cs="Times New Roman"/>
        </w:rPr>
        <w:t>for</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voluntary</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dissolution</w:t>
      </w:r>
      <w:proofErr w:type="spellEnd"/>
      <w:r w:rsidR="006A407D" w:rsidRPr="00705170">
        <w:rPr>
          <w:rFonts w:ascii="Times New Roman" w:hAnsi="Times New Roman" w:cs="Times New Roman"/>
        </w:rPr>
        <w:t xml:space="preserve"> (TCC </w:t>
      </w:r>
      <w:proofErr w:type="spellStart"/>
      <w:r w:rsidR="006A407D" w:rsidRPr="00705170">
        <w:rPr>
          <w:rFonts w:ascii="Times New Roman" w:hAnsi="Times New Roman" w:cs="Times New Roman"/>
        </w:rPr>
        <w:t>Article</w:t>
      </w:r>
      <w:proofErr w:type="spellEnd"/>
      <w:r w:rsidR="006A407D" w:rsidRPr="00705170">
        <w:rPr>
          <w:rFonts w:ascii="Times New Roman" w:hAnsi="Times New Roman" w:cs="Times New Roman"/>
        </w:rPr>
        <w:t xml:space="preserve"> 529(1)(c))</w:t>
      </w:r>
      <w:r w:rsidR="006A407D" w:rsidRPr="00705170">
        <w:rPr>
          <w:rStyle w:val="DipnotBavurusu"/>
          <w:rFonts w:ascii="Times New Roman" w:hAnsi="Times New Roman" w:cs="Times New Roman"/>
        </w:rPr>
        <w:t xml:space="preserve"> </w:t>
      </w:r>
      <w:r w:rsidR="006A407D" w:rsidRPr="00705170">
        <w:rPr>
          <w:rStyle w:val="DipnotBavurusu"/>
          <w:rFonts w:ascii="Times New Roman" w:hAnsi="Times New Roman" w:cs="Times New Roman"/>
        </w:rPr>
        <w:footnoteReference w:id="856"/>
      </w:r>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shows</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that</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the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corporate</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contract</w:t>
      </w:r>
      <w:proofErr w:type="spellEnd"/>
      <w:r w:rsidR="006A407D" w:rsidRPr="00705170">
        <w:rPr>
          <w:rFonts w:ascii="Times New Roman" w:hAnsi="Times New Roman" w:cs="Times New Roman"/>
        </w:rPr>
        <w:t xml:space="preserve"> is </w:t>
      </w:r>
      <w:proofErr w:type="spellStart"/>
      <w:r w:rsidR="006A407D" w:rsidRPr="00705170">
        <w:rPr>
          <w:rFonts w:ascii="Times New Roman" w:hAnsi="Times New Roman" w:cs="Times New Roman"/>
        </w:rPr>
        <w:t>seen</w:t>
      </w:r>
      <w:proofErr w:type="spellEnd"/>
      <w:r w:rsidR="006A407D" w:rsidRPr="00705170">
        <w:rPr>
          <w:rFonts w:ascii="Times New Roman" w:hAnsi="Times New Roman" w:cs="Times New Roman"/>
        </w:rPr>
        <w:t xml:space="preserve"> as a </w:t>
      </w:r>
      <w:proofErr w:type="spellStart"/>
      <w:r w:rsidR="006A407D" w:rsidRPr="00705170">
        <w:rPr>
          <w:rFonts w:ascii="Times New Roman" w:hAnsi="Times New Roman" w:cs="Times New Roman"/>
        </w:rPr>
        <w:t>long</w:t>
      </w:r>
      <w:proofErr w:type="spellEnd"/>
      <w:r w:rsidR="006A407D" w:rsidRPr="00705170">
        <w:rPr>
          <w:rFonts w:ascii="Times New Roman" w:hAnsi="Times New Roman" w:cs="Times New Roman"/>
        </w:rPr>
        <w:t xml:space="preserve">- </w:t>
      </w:r>
      <w:proofErr w:type="spellStart"/>
      <w:r w:rsidR="009C1FAB">
        <w:rPr>
          <w:rFonts w:ascii="Times New Roman" w:hAnsi="Times New Roman" w:cs="Times New Roman"/>
        </w:rPr>
        <w:t>term</w:t>
      </w:r>
      <w:proofErr w:type="spellEnd"/>
      <w:r w:rsidR="009C1FAB">
        <w:rPr>
          <w:rFonts w:ascii="Times New Roman" w:hAnsi="Times New Roman" w:cs="Times New Roman"/>
        </w:rPr>
        <w:t xml:space="preserve"> </w:t>
      </w:r>
      <w:proofErr w:type="spellStart"/>
      <w:r w:rsidR="009C1FAB">
        <w:rPr>
          <w:rFonts w:ascii="Times New Roman" w:hAnsi="Times New Roman" w:cs="Times New Roman"/>
        </w:rPr>
        <w:t>relational</w:t>
      </w:r>
      <w:proofErr w:type="spellEnd"/>
      <w:r w:rsidR="009C1FAB">
        <w:rPr>
          <w:rFonts w:ascii="Times New Roman" w:hAnsi="Times New Roman" w:cs="Times New Roman"/>
        </w:rPr>
        <w:t xml:space="preserve"> </w:t>
      </w:r>
      <w:proofErr w:type="spellStart"/>
      <w:r w:rsidR="009C1FAB">
        <w:rPr>
          <w:rFonts w:ascii="Times New Roman" w:hAnsi="Times New Roman" w:cs="Times New Roman"/>
        </w:rPr>
        <w:t>contract</w:t>
      </w:r>
      <w:proofErr w:type="spellEnd"/>
      <w:r w:rsidR="009C1FAB">
        <w:rPr>
          <w:rFonts w:ascii="Times New Roman" w:hAnsi="Times New Roman" w:cs="Times New Roman"/>
        </w:rPr>
        <w:t xml:space="preserve"> in </w:t>
      </w:r>
      <w:proofErr w:type="spellStart"/>
      <w:r w:rsidR="009C1FAB">
        <w:rPr>
          <w:rFonts w:ascii="Times New Roman" w:hAnsi="Times New Roman" w:cs="Times New Roman"/>
        </w:rPr>
        <w:t>all</w:t>
      </w:r>
      <w:proofErr w:type="spellEnd"/>
      <w:r w:rsidR="009C1FAB">
        <w:rPr>
          <w:rFonts w:ascii="Times New Roman" w:hAnsi="Times New Roman" w:cs="Times New Roman"/>
        </w:rPr>
        <w:t xml:space="preserve"> </w:t>
      </w:r>
      <w:proofErr w:type="spellStart"/>
      <w:r w:rsidR="006A407D" w:rsidRPr="00705170">
        <w:rPr>
          <w:rFonts w:ascii="Times New Roman" w:hAnsi="Times New Roman" w:cs="Times New Roman"/>
        </w:rPr>
        <w:t>corporations</w:t>
      </w:r>
      <w:proofErr w:type="spellEnd"/>
      <w:r w:rsidR="009C1FAB">
        <w:rPr>
          <w:rFonts w:ascii="Times New Roman" w:hAnsi="Times New Roman" w:cs="Times New Roman"/>
        </w:rPr>
        <w:t xml:space="preserve"> (</w:t>
      </w:r>
      <w:proofErr w:type="spellStart"/>
      <w:r w:rsidR="009C1FAB">
        <w:rPr>
          <w:rFonts w:ascii="Times New Roman" w:hAnsi="Times New Roman" w:cs="Times New Roman"/>
        </w:rPr>
        <w:t>both</w:t>
      </w:r>
      <w:proofErr w:type="spellEnd"/>
      <w:r w:rsidR="009C1FAB">
        <w:rPr>
          <w:rFonts w:ascii="Times New Roman" w:hAnsi="Times New Roman" w:cs="Times New Roman"/>
        </w:rPr>
        <w:t xml:space="preserve"> </w:t>
      </w:r>
      <w:proofErr w:type="spellStart"/>
      <w:r w:rsidR="009C1FAB">
        <w:rPr>
          <w:rFonts w:ascii="Times New Roman" w:hAnsi="Times New Roman" w:cs="Times New Roman"/>
        </w:rPr>
        <w:t>close</w:t>
      </w:r>
      <w:proofErr w:type="spellEnd"/>
      <w:r w:rsidR="009C1FAB">
        <w:rPr>
          <w:rFonts w:ascii="Times New Roman" w:hAnsi="Times New Roman" w:cs="Times New Roman"/>
        </w:rPr>
        <w:t xml:space="preserve"> </w:t>
      </w:r>
      <w:proofErr w:type="spellStart"/>
      <w:r w:rsidR="009C1FAB">
        <w:rPr>
          <w:rFonts w:ascii="Times New Roman" w:hAnsi="Times New Roman" w:cs="Times New Roman"/>
        </w:rPr>
        <w:t>and</w:t>
      </w:r>
      <w:proofErr w:type="spellEnd"/>
      <w:r w:rsidR="009C1FAB">
        <w:rPr>
          <w:rFonts w:ascii="Times New Roman" w:hAnsi="Times New Roman" w:cs="Times New Roman"/>
        </w:rPr>
        <w:t xml:space="preserve"> </w:t>
      </w:r>
      <w:proofErr w:type="spellStart"/>
      <w:r w:rsidR="009C1FAB">
        <w:rPr>
          <w:rFonts w:ascii="Times New Roman" w:hAnsi="Times New Roman" w:cs="Times New Roman"/>
        </w:rPr>
        <w:t>publicly</w:t>
      </w:r>
      <w:proofErr w:type="spellEnd"/>
      <w:r w:rsidR="009C1FAB">
        <w:rPr>
          <w:rFonts w:ascii="Times New Roman" w:hAnsi="Times New Roman" w:cs="Times New Roman"/>
        </w:rPr>
        <w:t xml:space="preserve"> </w:t>
      </w:r>
      <w:proofErr w:type="spellStart"/>
      <w:r w:rsidR="009C1FAB">
        <w:rPr>
          <w:rFonts w:ascii="Times New Roman" w:hAnsi="Times New Roman" w:cs="Times New Roman"/>
        </w:rPr>
        <w:t>traded</w:t>
      </w:r>
      <w:proofErr w:type="spellEnd"/>
      <w:r w:rsidR="009C1FAB">
        <w:rPr>
          <w:rFonts w:ascii="Times New Roman" w:hAnsi="Times New Roman" w:cs="Times New Roman"/>
        </w:rPr>
        <w:t>)</w:t>
      </w:r>
      <w:r w:rsidR="006A407D" w:rsidRPr="00705170">
        <w:rPr>
          <w:rFonts w:ascii="Times New Roman" w:hAnsi="Times New Roman" w:cs="Times New Roman"/>
        </w:rPr>
        <w:t xml:space="preserve"> in </w:t>
      </w:r>
      <w:proofErr w:type="spellStart"/>
      <w:r w:rsidR="006A407D" w:rsidRPr="00705170">
        <w:rPr>
          <w:rFonts w:ascii="Times New Roman" w:hAnsi="Times New Roman" w:cs="Times New Roman"/>
        </w:rPr>
        <w:t>Turkish</w:t>
      </w:r>
      <w:proofErr w:type="spellEnd"/>
      <w:r w:rsidR="006A407D" w:rsidRPr="00705170">
        <w:rPr>
          <w:rFonts w:ascii="Times New Roman" w:hAnsi="Times New Roman" w:cs="Times New Roman"/>
        </w:rPr>
        <w:t xml:space="preserve"> </w:t>
      </w:r>
      <w:proofErr w:type="spellStart"/>
      <w:r w:rsidR="006A407D" w:rsidRPr="00705170">
        <w:rPr>
          <w:rFonts w:ascii="Times New Roman" w:hAnsi="Times New Roman" w:cs="Times New Roman"/>
        </w:rPr>
        <w:t>law</w:t>
      </w:r>
      <w:proofErr w:type="spellEnd"/>
      <w:r w:rsidR="006A407D" w:rsidRPr="00705170">
        <w:rPr>
          <w:rFonts w:ascii="Times New Roman" w:hAnsi="Times New Roman" w:cs="Times New Roman"/>
        </w:rPr>
        <w:t>.</w:t>
      </w:r>
      <w:r w:rsidR="006F56B6" w:rsidRPr="00705170">
        <w:rPr>
          <w:rFonts w:ascii="Times New Roman" w:hAnsi="Times New Roman" w:cs="Times New Roman"/>
        </w:rPr>
        <w:t xml:space="preserve"> </w:t>
      </w:r>
    </w:p>
    <w:p w14:paraId="1B06CBA3" w14:textId="39B1981E" w:rsidR="006F56B6" w:rsidRPr="00705170" w:rsidRDefault="006F56B6" w:rsidP="006F56B6">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lastRenderedPageBreak/>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termination</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ground</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is an </w:t>
      </w:r>
      <w:proofErr w:type="spellStart"/>
      <w:r w:rsidRPr="00705170">
        <w:rPr>
          <w:rFonts w:ascii="Times New Roman" w:hAnsi="Times New Roman" w:cs="Times New Roman"/>
        </w:rPr>
        <w:t>inherent</w:t>
      </w:r>
      <w:proofErr w:type="spellEnd"/>
      <w:r w:rsidRPr="00705170">
        <w:rPr>
          <w:rFonts w:ascii="Times New Roman" w:hAnsi="Times New Roman" w:cs="Times New Roman"/>
        </w:rPr>
        <w:t xml:space="preserve"> element of </w:t>
      </w: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supports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contractual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nature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9C1FAB">
        <w:rPr>
          <w:rFonts w:ascii="Times New Roman" w:hAnsi="Times New Roman" w:cs="Times New Roman"/>
        </w:rPr>
        <w:t>judicial</w:t>
      </w:r>
      <w:proofErr w:type="spellEnd"/>
      <w:r w:rsidR="009C1FAB">
        <w:rPr>
          <w:rFonts w:ascii="Times New Roman" w:hAnsi="Times New Roman" w:cs="Times New Roman"/>
        </w:rPr>
        <w:t xml:space="preserve"> </w:t>
      </w:r>
      <w:proofErr w:type="spellStart"/>
      <w:r w:rsidR="009C1FAB">
        <w:rPr>
          <w:rFonts w:ascii="Times New Roman" w:hAnsi="Times New Roman" w:cs="Times New Roman"/>
        </w:rPr>
        <w:t>dissolution</w:t>
      </w:r>
      <w:proofErr w:type="spellEnd"/>
      <w:r w:rsidR="009C1FAB">
        <w:rPr>
          <w:rFonts w:ascii="Times New Roman" w:hAnsi="Times New Roman" w:cs="Times New Roman"/>
        </w:rPr>
        <w:t xml:space="preserve"> </w:t>
      </w:r>
      <w:proofErr w:type="spellStart"/>
      <w:r w:rsidRPr="00705170">
        <w:rPr>
          <w:rFonts w:ascii="Times New Roman" w:hAnsi="Times New Roman" w:cs="Times New Roman"/>
        </w:rPr>
        <w:t>claim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distinguishes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between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is a </w:t>
      </w:r>
      <w:proofErr w:type="spellStart"/>
      <w:r w:rsidRPr="00705170">
        <w:rPr>
          <w:rFonts w:ascii="Times New Roman" w:hAnsi="Times New Roman" w:cs="Times New Roman"/>
        </w:rPr>
        <w:t>single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exchange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performance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automatically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fulfilment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discrete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long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contracts</w:t>
      </w:r>
      <w:proofErr w:type="spellEnd"/>
      <w:r w:rsidRPr="00705170">
        <w:rPr>
          <w:rStyle w:val="DipnotBavurusu"/>
          <w:rFonts w:ascii="Times New Roman" w:hAnsi="Times New Roman" w:cs="Times New Roman"/>
        </w:rPr>
        <w:footnoteReference w:id="857"/>
      </w:r>
      <w:r w:rsidRPr="00705170">
        <w:rPr>
          <w:rFonts w:ascii="Times New Roman" w:hAnsi="Times New Roman" w:cs="Times New Roman"/>
        </w:rPr>
        <w:t xml:space="preserve">. </w:t>
      </w:r>
      <w:proofErr w:type="spellStart"/>
      <w:r w:rsidRPr="00705170">
        <w:rPr>
          <w:rFonts w:ascii="Times New Roman" w:hAnsi="Times New Roman" w:cs="Times New Roman"/>
        </w:rPr>
        <w:t>It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accepted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legal </w:t>
      </w:r>
      <w:proofErr w:type="spellStart"/>
      <w:r w:rsidRPr="00705170">
        <w:rPr>
          <w:rFonts w:ascii="Times New Roman" w:hAnsi="Times New Roman" w:cs="Times New Roman"/>
        </w:rPr>
        <w:t>theories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primarily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duty</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good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Civil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Article</w:t>
      </w:r>
      <w:proofErr w:type="spellEnd"/>
      <w:r w:rsidRPr="00705170">
        <w:rPr>
          <w:rFonts w:ascii="Times New Roman" w:hAnsi="Times New Roman" w:cs="Times New Roman"/>
        </w:rPr>
        <w:t xml:space="preserve"> 2)</w:t>
      </w:r>
      <w:r w:rsidRPr="00705170">
        <w:rPr>
          <w:rStyle w:val="DipnotBavurusu"/>
          <w:rFonts w:ascii="Times New Roman" w:hAnsi="Times New Roman" w:cs="Times New Roman"/>
        </w:rPr>
        <w:t xml:space="preserve"> </w:t>
      </w:r>
      <w:r w:rsidRPr="00705170">
        <w:rPr>
          <w:rStyle w:val="DipnotBavurusu"/>
          <w:rFonts w:ascii="Times New Roman" w:hAnsi="Times New Roman" w:cs="Times New Roman"/>
        </w:rPr>
        <w:footnoteReference w:id="858"/>
      </w:r>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restriction</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one’s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individual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freedoms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Civil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Article</w:t>
      </w:r>
      <w:proofErr w:type="spellEnd"/>
      <w:r w:rsidRPr="00705170">
        <w:rPr>
          <w:rFonts w:ascii="Times New Roman" w:hAnsi="Times New Roman" w:cs="Times New Roman"/>
        </w:rPr>
        <w:t xml:space="preserve"> 23)</w:t>
      </w:r>
      <w:r w:rsidRPr="00705170">
        <w:rPr>
          <w:rStyle w:val="DipnotBavurusu"/>
          <w:rFonts w:ascii="Times New Roman" w:hAnsi="Times New Roman" w:cs="Times New Roman"/>
        </w:rPr>
        <w:t xml:space="preserve"> </w:t>
      </w:r>
      <w:r w:rsidRPr="00705170">
        <w:rPr>
          <w:rStyle w:val="DipnotBavurusu"/>
          <w:rFonts w:ascii="Times New Roman" w:hAnsi="Times New Roman" w:cs="Times New Roman"/>
        </w:rPr>
        <w:footnoteReference w:id="859"/>
      </w:r>
      <w:r w:rsidRPr="00705170">
        <w:rPr>
          <w:rFonts w:ascii="Times New Roman" w:hAnsi="Times New Roman" w:cs="Times New Roman"/>
        </w:rPr>
        <w:t xml:space="preserve">) </w:t>
      </w:r>
      <w:proofErr w:type="spellStart"/>
      <w:r w:rsidRPr="00705170">
        <w:rPr>
          <w:rFonts w:ascii="Times New Roman" w:hAnsi="Times New Roman" w:cs="Times New Roman"/>
        </w:rPr>
        <w:t>suggesting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establishment</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termination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inherent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long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term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relational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mandatory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nature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those</w:t>
      </w:r>
      <w:proofErr w:type="spellEnd"/>
      <w:r w:rsidRPr="00705170">
        <w:rPr>
          <w:rFonts w:ascii="Times New Roman" w:hAnsi="Times New Roman" w:cs="Times New Roman"/>
        </w:rPr>
        <w:t xml:space="preserve"> general </w:t>
      </w:r>
      <w:proofErr w:type="spellStart"/>
      <w:r w:rsidRPr="00705170">
        <w:rPr>
          <w:rFonts w:ascii="Times New Roman" w:hAnsi="Times New Roman" w:cs="Times New Roman"/>
        </w:rPr>
        <w:t>theories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cannot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waived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altered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w:t>
      </w:r>
      <w:proofErr w:type="spellEnd"/>
      <w:r w:rsidRPr="00705170">
        <w:rPr>
          <w:rStyle w:val="DipnotBavurusu"/>
          <w:rFonts w:ascii="Times New Roman" w:hAnsi="Times New Roman" w:cs="Times New Roman"/>
        </w:rPr>
        <w:footnoteReference w:id="860"/>
      </w:r>
      <w:r w:rsidRPr="00705170">
        <w:rPr>
          <w:rFonts w:ascii="Times New Roman" w:hAnsi="Times New Roman" w:cs="Times New Roman"/>
        </w:rPr>
        <w:t>.</w:t>
      </w:r>
    </w:p>
    <w:p w14:paraId="54645014" w14:textId="7AD03354" w:rsidR="00E65D0F" w:rsidRDefault="009C1FAB" w:rsidP="00E65D0F">
      <w:pPr>
        <w:spacing w:after="240" w:line="480" w:lineRule="auto"/>
        <w:ind w:firstLine="708"/>
        <w:jc w:val="both"/>
        <w:rPr>
          <w:rFonts w:ascii="Times New Roman" w:hAnsi="Times New Roman" w:cs="Times New Roman"/>
          <w:color w:val="000000"/>
        </w:rPr>
      </w:pPr>
      <w:proofErr w:type="spellStart"/>
      <w:r>
        <w:rPr>
          <w:rFonts w:ascii="Times New Roman" w:hAnsi="Times New Roman" w:cs="Times New Roman"/>
        </w:rPr>
        <w:t>Then</w:t>
      </w:r>
      <w:proofErr w:type="spellEnd"/>
      <w:r w:rsidR="00465E02" w:rsidRPr="00705170">
        <w:rPr>
          <w:rFonts w:ascii="Times New Roman" w:hAnsi="Times New Roman" w:cs="Times New Roman"/>
        </w:rPr>
        <w:t xml:space="preserve">, </w:t>
      </w:r>
      <w:proofErr w:type="spellStart"/>
      <w:r w:rsidR="00465E02" w:rsidRPr="00705170">
        <w:rPr>
          <w:rFonts w:ascii="Times New Roman" w:hAnsi="Times New Roman" w:cs="Times New Roman"/>
        </w:rPr>
        <w:t>t</w:t>
      </w:r>
      <w:r w:rsidR="008E0512" w:rsidRPr="00705170">
        <w:rPr>
          <w:rFonts w:ascii="Times New Roman" w:hAnsi="Times New Roman" w:cs="Times New Roman"/>
        </w:rPr>
        <w:t>he</w:t>
      </w:r>
      <w:proofErr w:type="spellEnd"/>
      <w:r w:rsidR="008E0512" w:rsidRPr="00705170">
        <w:rPr>
          <w:rFonts w:ascii="Times New Roman" w:hAnsi="Times New Roman" w:cs="Times New Roman"/>
        </w:rPr>
        <w:t xml:space="preserve"> </w:t>
      </w:r>
      <w:proofErr w:type="spellStart"/>
      <w:r w:rsidR="008E0512" w:rsidRPr="00705170">
        <w:rPr>
          <w:rFonts w:ascii="Times New Roman" w:hAnsi="Times New Roman" w:cs="Times New Roman"/>
        </w:rPr>
        <w:t>minority</w:t>
      </w:r>
      <w:proofErr w:type="spellEnd"/>
      <w:r w:rsidR="008E0512" w:rsidRPr="00705170">
        <w:rPr>
          <w:rFonts w:ascii="Times New Roman" w:hAnsi="Times New Roman" w:cs="Times New Roman"/>
        </w:rPr>
        <w:t xml:space="preserve"> </w:t>
      </w:r>
      <w:proofErr w:type="spellStart"/>
      <w:r w:rsidR="008E0512" w:rsidRPr="00705170">
        <w:rPr>
          <w:rFonts w:ascii="Times New Roman" w:hAnsi="Times New Roman" w:cs="Times New Roman"/>
        </w:rPr>
        <w:t>shareholder</w:t>
      </w:r>
      <w:proofErr w:type="spellEnd"/>
      <w:r w:rsidR="008E0512" w:rsidRPr="00705170">
        <w:rPr>
          <w:rFonts w:ascii="Times New Roman" w:hAnsi="Times New Roman" w:cs="Times New Roman"/>
        </w:rPr>
        <w:t xml:space="preserve"> </w:t>
      </w:r>
      <w:proofErr w:type="spellStart"/>
      <w:r w:rsidR="008E0512" w:rsidRPr="00705170">
        <w:rPr>
          <w:rFonts w:ascii="Times New Roman" w:hAnsi="Times New Roman" w:cs="Times New Roman"/>
        </w:rPr>
        <w:t>protection</w:t>
      </w:r>
      <w:proofErr w:type="spellEnd"/>
      <w:r w:rsidR="008E0512" w:rsidRPr="00705170">
        <w:rPr>
          <w:rFonts w:ascii="Times New Roman" w:hAnsi="Times New Roman" w:cs="Times New Roman"/>
        </w:rPr>
        <w:t xml:space="preserve"> </w:t>
      </w:r>
      <w:proofErr w:type="spellStart"/>
      <w:r w:rsidR="008E0512" w:rsidRPr="00705170">
        <w:rPr>
          <w:rFonts w:ascii="Times New Roman" w:hAnsi="Times New Roman" w:cs="Times New Roman"/>
        </w:rPr>
        <w:t>under</w:t>
      </w:r>
      <w:proofErr w:type="spellEnd"/>
      <w:r w:rsidR="008E0512" w:rsidRPr="00705170">
        <w:rPr>
          <w:rFonts w:ascii="Times New Roman" w:hAnsi="Times New Roman" w:cs="Times New Roman"/>
        </w:rPr>
        <w:t xml:space="preserve"> </w:t>
      </w:r>
      <w:proofErr w:type="spellStart"/>
      <w:r w:rsidR="008E0512" w:rsidRPr="00705170">
        <w:rPr>
          <w:rFonts w:ascii="Times New Roman" w:hAnsi="Times New Roman" w:cs="Times New Roman"/>
        </w:rPr>
        <w:t>involuntary</w:t>
      </w:r>
      <w:proofErr w:type="spellEnd"/>
      <w:r w:rsidR="008E0512" w:rsidRPr="00705170">
        <w:rPr>
          <w:rFonts w:ascii="Times New Roman" w:hAnsi="Times New Roman" w:cs="Times New Roman"/>
        </w:rPr>
        <w:t xml:space="preserve"> </w:t>
      </w:r>
      <w:proofErr w:type="spellStart"/>
      <w:r w:rsidR="008E0512" w:rsidRPr="00705170">
        <w:rPr>
          <w:rFonts w:ascii="Times New Roman" w:hAnsi="Times New Roman" w:cs="Times New Roman"/>
        </w:rPr>
        <w:t>dissolution</w:t>
      </w:r>
      <w:proofErr w:type="spellEnd"/>
      <w:r w:rsidR="008E0512" w:rsidRPr="00705170">
        <w:rPr>
          <w:rFonts w:ascii="Times New Roman" w:hAnsi="Times New Roman" w:cs="Times New Roman"/>
        </w:rPr>
        <w:t xml:space="preserve"> </w:t>
      </w:r>
      <w:r w:rsidR="000D10FF" w:rsidRPr="00705170">
        <w:rPr>
          <w:rFonts w:ascii="Times New Roman" w:hAnsi="Times New Roman" w:cs="Times New Roman"/>
        </w:rPr>
        <w:t>“</w:t>
      </w:r>
      <w:r w:rsidR="008E0512" w:rsidRPr="00705170">
        <w:rPr>
          <w:rFonts w:ascii="Times New Roman" w:hAnsi="Times New Roman" w:cs="Times New Roman"/>
        </w:rPr>
        <w:t xml:space="preserve">can be </w:t>
      </w:r>
      <w:proofErr w:type="spellStart"/>
      <w:r w:rsidR="008E0512" w:rsidRPr="00705170">
        <w:rPr>
          <w:rFonts w:ascii="Times New Roman" w:hAnsi="Times New Roman" w:cs="Times New Roman"/>
        </w:rPr>
        <w:t>understood</w:t>
      </w:r>
      <w:proofErr w:type="spellEnd"/>
      <w:r w:rsidR="008E0512" w:rsidRPr="00705170">
        <w:rPr>
          <w:rFonts w:ascii="Times New Roman" w:hAnsi="Times New Roman" w:cs="Times New Roman"/>
        </w:rPr>
        <w:t xml:space="preserve"> as an </w:t>
      </w:r>
      <w:proofErr w:type="spellStart"/>
      <w:r w:rsidR="008E0512" w:rsidRPr="00705170">
        <w:rPr>
          <w:rFonts w:ascii="Times New Roman" w:hAnsi="Times New Roman" w:cs="Times New Roman"/>
        </w:rPr>
        <w:t>extension</w:t>
      </w:r>
      <w:proofErr w:type="spellEnd"/>
      <w:r w:rsidR="008E0512" w:rsidRPr="00705170">
        <w:rPr>
          <w:rFonts w:ascii="Times New Roman" w:hAnsi="Times New Roman" w:cs="Times New Roman"/>
        </w:rPr>
        <w:t xml:space="preserve"> of </w:t>
      </w:r>
      <w:proofErr w:type="spellStart"/>
      <w:r w:rsidR="008E0512" w:rsidRPr="00705170">
        <w:rPr>
          <w:rFonts w:ascii="Times New Roman" w:hAnsi="Times New Roman" w:cs="Times New Roman"/>
        </w:rPr>
        <w:t>contract</w:t>
      </w:r>
      <w:proofErr w:type="spellEnd"/>
      <w:r w:rsidR="008E0512" w:rsidRPr="00705170">
        <w:rPr>
          <w:rFonts w:ascii="Times New Roman" w:hAnsi="Times New Roman" w:cs="Times New Roman"/>
        </w:rPr>
        <w:t xml:space="preserve"> </w:t>
      </w:r>
      <w:proofErr w:type="spellStart"/>
      <w:r w:rsidR="008E0512" w:rsidRPr="00705170">
        <w:rPr>
          <w:rFonts w:ascii="Times New Roman" w:hAnsi="Times New Roman" w:cs="Times New Roman"/>
        </w:rPr>
        <w:t>theory</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providing</w:t>
      </w:r>
      <w:proofErr w:type="spellEnd"/>
      <w:r w:rsidR="000D10FF" w:rsidRPr="00705170">
        <w:rPr>
          <w:rFonts w:ascii="Times New Roman" w:hAnsi="Times New Roman" w:cs="Times New Roman"/>
        </w:rPr>
        <w:t xml:space="preserve"> a </w:t>
      </w:r>
      <w:proofErr w:type="spellStart"/>
      <w:r w:rsidR="000D10FF" w:rsidRPr="00705170">
        <w:rPr>
          <w:rFonts w:ascii="Times New Roman" w:hAnsi="Times New Roman" w:cs="Times New Roman"/>
        </w:rPr>
        <w:t>constraint</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against</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opportunistic</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action</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by</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the</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majority</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that</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violates</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the</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parties</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reasonable</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expectations</w:t>
      </w:r>
      <w:proofErr w:type="spellEnd"/>
      <w:r w:rsidR="000D10FF" w:rsidRPr="00705170">
        <w:rPr>
          <w:rFonts w:ascii="Times New Roman" w:hAnsi="Times New Roman" w:cs="Times New Roman"/>
        </w:rPr>
        <w:t xml:space="preserve"> in </w:t>
      </w:r>
      <w:proofErr w:type="spellStart"/>
      <w:r w:rsidR="000D10FF" w:rsidRPr="00705170">
        <w:rPr>
          <w:rFonts w:ascii="Times New Roman" w:hAnsi="Times New Roman" w:cs="Times New Roman"/>
        </w:rPr>
        <w:t>entering</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into</w:t>
      </w:r>
      <w:proofErr w:type="spellEnd"/>
      <w:r w:rsidR="000D10FF" w:rsidRPr="00705170">
        <w:rPr>
          <w:rFonts w:ascii="Times New Roman" w:hAnsi="Times New Roman" w:cs="Times New Roman"/>
        </w:rPr>
        <w:t xml:space="preserve"> a </w:t>
      </w:r>
      <w:proofErr w:type="spellStart"/>
      <w:r w:rsidR="000D10FF" w:rsidRPr="00705170">
        <w:rPr>
          <w:rFonts w:ascii="Times New Roman" w:hAnsi="Times New Roman" w:cs="Times New Roman"/>
        </w:rPr>
        <w:t>long</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term</w:t>
      </w:r>
      <w:proofErr w:type="spellEnd"/>
      <w:r w:rsidR="000D10FF" w:rsidRPr="00705170">
        <w:rPr>
          <w:rFonts w:ascii="Times New Roman" w:hAnsi="Times New Roman" w:cs="Times New Roman"/>
        </w:rPr>
        <w:t xml:space="preserve"> </w:t>
      </w:r>
      <w:proofErr w:type="spellStart"/>
      <w:r w:rsidR="000D10FF" w:rsidRPr="00705170">
        <w:rPr>
          <w:rFonts w:ascii="Times New Roman" w:hAnsi="Times New Roman" w:cs="Times New Roman"/>
        </w:rPr>
        <w:t>relationship</w:t>
      </w:r>
      <w:proofErr w:type="spellEnd"/>
      <w:r w:rsidR="000D10FF" w:rsidRPr="00705170">
        <w:rPr>
          <w:rFonts w:ascii="Times New Roman" w:hAnsi="Times New Roman" w:cs="Times New Roman"/>
        </w:rPr>
        <w:t>”</w:t>
      </w:r>
      <w:r w:rsidR="000D10FF" w:rsidRPr="00705170">
        <w:rPr>
          <w:rStyle w:val="DipnotBavurusu"/>
          <w:rFonts w:ascii="Times New Roman" w:hAnsi="Times New Roman" w:cs="Times New Roman"/>
        </w:rPr>
        <w:footnoteReference w:id="861"/>
      </w:r>
      <w:r w:rsidR="008E0512" w:rsidRPr="00705170">
        <w:rPr>
          <w:rFonts w:ascii="Times New Roman" w:hAnsi="Times New Roman" w:cs="Times New Roman"/>
        </w:rPr>
        <w:t>.</w:t>
      </w:r>
      <w:r w:rsidR="00AE129F" w:rsidRPr="00705170">
        <w:rPr>
          <w:rFonts w:ascii="Times New Roman" w:hAnsi="Times New Roman" w:cs="Times New Roman"/>
        </w:rPr>
        <w:t xml:space="preserve"> A </w:t>
      </w:r>
      <w:proofErr w:type="spellStart"/>
      <w:r w:rsidR="00AE129F" w:rsidRPr="00705170">
        <w:rPr>
          <w:rFonts w:ascii="Times New Roman" w:hAnsi="Times New Roman" w:cs="Times New Roman"/>
        </w:rPr>
        <w:t>commentator</w:t>
      </w:r>
      <w:proofErr w:type="spellEnd"/>
      <w:r w:rsidR="00AE129F" w:rsidRPr="00705170">
        <w:rPr>
          <w:rFonts w:ascii="Times New Roman" w:hAnsi="Times New Roman" w:cs="Times New Roman"/>
        </w:rPr>
        <w:t xml:space="preserve"> </w:t>
      </w:r>
      <w:proofErr w:type="spellStart"/>
      <w:r w:rsidR="00AE129F" w:rsidRPr="00705170">
        <w:rPr>
          <w:rFonts w:ascii="Times New Roman" w:hAnsi="Times New Roman" w:cs="Times New Roman"/>
        </w:rPr>
        <w:t>summarizes</w:t>
      </w:r>
      <w:proofErr w:type="spellEnd"/>
      <w:r w:rsidR="00AE129F" w:rsidRPr="00705170">
        <w:rPr>
          <w:rFonts w:ascii="Times New Roman" w:hAnsi="Times New Roman" w:cs="Times New Roman"/>
        </w:rPr>
        <w:t xml:space="preserve"> </w:t>
      </w:r>
      <w:proofErr w:type="spellStart"/>
      <w:r w:rsidR="00AE129F" w:rsidRPr="00705170">
        <w:rPr>
          <w:rFonts w:ascii="Times New Roman" w:hAnsi="Times New Roman" w:cs="Times New Roman"/>
        </w:rPr>
        <w:t>this</w:t>
      </w:r>
      <w:proofErr w:type="spellEnd"/>
      <w:r w:rsidR="00AE129F" w:rsidRPr="00705170">
        <w:rPr>
          <w:rFonts w:ascii="Times New Roman" w:hAnsi="Times New Roman" w:cs="Times New Roman"/>
        </w:rPr>
        <w:t xml:space="preserve"> </w:t>
      </w:r>
      <w:proofErr w:type="spellStart"/>
      <w:r w:rsidR="00AE129F" w:rsidRPr="00705170">
        <w:rPr>
          <w:rFonts w:ascii="Times New Roman" w:hAnsi="Times New Roman" w:cs="Times New Roman"/>
        </w:rPr>
        <w:t>notion</w:t>
      </w:r>
      <w:proofErr w:type="spellEnd"/>
      <w:r w:rsidR="00AE129F" w:rsidRPr="00705170">
        <w:rPr>
          <w:rFonts w:ascii="Times New Roman" w:hAnsi="Times New Roman" w:cs="Times New Roman"/>
        </w:rPr>
        <w:t xml:space="preserve"> as </w:t>
      </w:r>
      <w:proofErr w:type="spellStart"/>
      <w:r w:rsidR="00AE129F" w:rsidRPr="00705170">
        <w:rPr>
          <w:rFonts w:ascii="Times New Roman" w:hAnsi="Times New Roman" w:cs="Times New Roman"/>
        </w:rPr>
        <w:t>follows</w:t>
      </w:r>
      <w:proofErr w:type="spellEnd"/>
      <w:r w:rsidR="00AE129F" w:rsidRPr="00705170">
        <w:rPr>
          <w:rFonts w:ascii="Times New Roman" w:hAnsi="Times New Roman" w:cs="Times New Roman"/>
        </w:rPr>
        <w:t>: “</w:t>
      </w:r>
      <w:proofErr w:type="spellStart"/>
      <w:r w:rsidR="00AE129F" w:rsidRPr="00705170">
        <w:rPr>
          <w:rFonts w:ascii="Times New Roman" w:hAnsi="Times New Roman" w:cs="Times New Roman"/>
          <w:color w:val="000000"/>
        </w:rPr>
        <w:t>When</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intention</w:t>
      </w:r>
      <w:proofErr w:type="spellEnd"/>
      <w:r w:rsidR="00AE129F" w:rsidRPr="00705170">
        <w:rPr>
          <w:rFonts w:ascii="Times New Roman" w:hAnsi="Times New Roman" w:cs="Times New Roman"/>
          <w:color w:val="000000"/>
        </w:rPr>
        <w:t xml:space="preserve"> is </w:t>
      </w:r>
      <w:proofErr w:type="spellStart"/>
      <w:r w:rsidR="00AE129F" w:rsidRPr="00705170">
        <w:rPr>
          <w:rFonts w:ascii="Times New Roman" w:hAnsi="Times New Roman" w:cs="Times New Roman"/>
          <w:color w:val="000000"/>
        </w:rPr>
        <w:t>to</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establish</w:t>
      </w:r>
      <w:proofErr w:type="spellEnd"/>
      <w:r w:rsidR="00AE129F" w:rsidRPr="00705170">
        <w:rPr>
          <w:rFonts w:ascii="Times New Roman" w:hAnsi="Times New Roman" w:cs="Times New Roman"/>
          <w:color w:val="000000"/>
        </w:rPr>
        <w:t xml:space="preserve"> a </w:t>
      </w:r>
      <w:proofErr w:type="spellStart"/>
      <w:r w:rsidR="00AE129F" w:rsidRPr="00705170">
        <w:rPr>
          <w:rFonts w:ascii="Times New Roman" w:hAnsi="Times New Roman" w:cs="Times New Roman"/>
          <w:color w:val="000000"/>
        </w:rPr>
        <w:t>relationship</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more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than</w:t>
      </w:r>
      <w:proofErr w:type="spellEnd"/>
      <w:r w:rsidR="00AE129F" w:rsidRPr="00705170">
        <w:rPr>
          <w:rFonts w:ascii="Times New Roman" w:hAnsi="Times New Roman" w:cs="Times New Roman"/>
          <w:color w:val="000000"/>
        </w:rPr>
        <w:t xml:space="preserve"> a </w:t>
      </w:r>
      <w:proofErr w:type="spellStart"/>
      <w:r w:rsidR="00AE129F" w:rsidRPr="00705170">
        <w:rPr>
          <w:rFonts w:ascii="Times New Roman" w:hAnsi="Times New Roman" w:cs="Times New Roman"/>
          <w:color w:val="000000"/>
        </w:rPr>
        <w:t>discrete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bargain</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this</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open</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texture</w:t>
      </w:r>
      <w:proofErr w:type="spellEnd"/>
      <w:r w:rsidR="00AE129F" w:rsidRPr="00705170">
        <w:rPr>
          <w:rFonts w:ascii="Times New Roman" w:hAnsi="Times New Roman" w:cs="Times New Roman"/>
          <w:color w:val="000000"/>
        </w:rPr>
        <w:t xml:space="preserve"> is, in </w:t>
      </w:r>
      <w:proofErr w:type="spellStart"/>
      <w:r w:rsidR="00AE129F" w:rsidRPr="00705170">
        <w:rPr>
          <w:rFonts w:ascii="Times New Roman" w:hAnsi="Times New Roman" w:cs="Times New Roman"/>
          <w:color w:val="000000"/>
        </w:rPr>
        <w:t>fact</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part</w:t>
      </w:r>
      <w:proofErr w:type="spellEnd"/>
      <w:r w:rsidR="00AE129F" w:rsidRPr="00705170">
        <w:rPr>
          <w:rFonts w:ascii="Times New Roman" w:hAnsi="Times New Roman" w:cs="Times New Roman"/>
          <w:color w:val="000000"/>
        </w:rPr>
        <w:t xml:space="preserve"> of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agreement</w:t>
      </w:r>
      <w:proofErr w:type="spellEnd"/>
      <w:r w:rsidR="00AE129F" w:rsidRPr="00705170">
        <w:rPr>
          <w:rFonts w:ascii="Times New Roman" w:hAnsi="Times New Roman" w:cs="Times New Roman"/>
          <w:color w:val="000000"/>
        </w:rPr>
        <w:t>.</w:t>
      </w:r>
      <w:r w:rsidR="00F5746A" w:rsidRPr="00705170">
        <w:rPr>
          <w:rFonts w:ascii="Times New Roman" w:hAnsi="Times New Roman" w:cs="Times New Roman"/>
          <w:color w:val="000000"/>
        </w:rPr>
        <w:t xml:space="preserve"> </w:t>
      </w:r>
      <w:r w:rsidR="00AE129F" w:rsidRPr="00705170">
        <w:rPr>
          <w:rFonts w:ascii="Times New Roman" w:hAnsi="Times New Roman" w:cs="Times New Roman"/>
          <w:color w:val="000000"/>
        </w:rPr>
        <w:t xml:space="preserve">Through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mechanism</w:t>
      </w:r>
      <w:proofErr w:type="spellEnd"/>
      <w:r w:rsidR="00AE129F" w:rsidRPr="00705170">
        <w:rPr>
          <w:rFonts w:ascii="Times New Roman" w:hAnsi="Times New Roman" w:cs="Times New Roman"/>
          <w:color w:val="000000"/>
        </w:rPr>
        <w:t xml:space="preserve"> of </w:t>
      </w:r>
      <w:proofErr w:type="spellStart"/>
      <w:r w:rsidR="00AE129F" w:rsidRPr="00705170">
        <w:rPr>
          <w:rFonts w:ascii="Times New Roman" w:hAnsi="Times New Roman" w:cs="Times New Roman"/>
          <w:color w:val="000000"/>
        </w:rPr>
        <w:t>majority</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control</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provided</w:t>
      </w:r>
      <w:proofErr w:type="spellEnd"/>
      <w:r w:rsidR="00AE129F" w:rsidRPr="00705170">
        <w:rPr>
          <w:rFonts w:ascii="Times New Roman" w:hAnsi="Times New Roman" w:cs="Times New Roman"/>
          <w:color w:val="000000"/>
        </w:rPr>
        <w:t xml:space="preserve"> as </w:t>
      </w:r>
      <w:proofErr w:type="spellStart"/>
      <w:r w:rsidR="00AE129F" w:rsidRPr="00705170">
        <w:rPr>
          <w:rFonts w:ascii="Times New Roman" w:hAnsi="Times New Roman" w:cs="Times New Roman"/>
          <w:color w:val="000000"/>
        </w:rPr>
        <w:t>part</w:t>
      </w:r>
      <w:proofErr w:type="spellEnd"/>
      <w:r w:rsidR="00AE129F" w:rsidRPr="00705170">
        <w:rPr>
          <w:rFonts w:ascii="Times New Roman" w:hAnsi="Times New Roman" w:cs="Times New Roman"/>
          <w:color w:val="000000"/>
        </w:rPr>
        <w:t xml:space="preserve"> of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default</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rules</w:t>
      </w:r>
      <w:proofErr w:type="spellEnd"/>
      <w:r w:rsidR="00AE129F" w:rsidRPr="00705170">
        <w:rPr>
          <w:rFonts w:ascii="Times New Roman" w:hAnsi="Times New Roman" w:cs="Times New Roman"/>
          <w:color w:val="000000"/>
        </w:rPr>
        <w:t xml:space="preserve"> of </w:t>
      </w:r>
      <w:proofErr w:type="spellStart"/>
      <w:r w:rsidR="00AE129F" w:rsidRPr="00705170">
        <w:rPr>
          <w:rFonts w:ascii="Times New Roman" w:hAnsi="Times New Roman" w:cs="Times New Roman"/>
          <w:color w:val="000000"/>
        </w:rPr>
        <w:t>corporate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law</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corporation</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retains</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ability</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to</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adapt</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However</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should</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majority</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take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opportunistic</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advantage</w:t>
      </w:r>
      <w:proofErr w:type="spellEnd"/>
      <w:r w:rsidR="00AE129F" w:rsidRPr="00705170">
        <w:rPr>
          <w:rFonts w:ascii="Times New Roman" w:hAnsi="Times New Roman" w:cs="Times New Roman"/>
          <w:color w:val="000000"/>
        </w:rPr>
        <w:t xml:space="preserve"> of </w:t>
      </w:r>
      <w:proofErr w:type="spellStart"/>
      <w:r w:rsidR="00AE129F" w:rsidRPr="00705170">
        <w:rPr>
          <w:rFonts w:ascii="Times New Roman" w:hAnsi="Times New Roman" w:cs="Times New Roman"/>
          <w:color w:val="000000"/>
        </w:rPr>
        <w:t>its</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control</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to</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exclude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minority</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from</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value</w:t>
      </w:r>
      <w:proofErr w:type="spellEnd"/>
      <w:r w:rsidR="00AE129F" w:rsidRPr="00705170">
        <w:rPr>
          <w:rFonts w:ascii="Times New Roman" w:hAnsi="Times New Roman" w:cs="Times New Roman"/>
          <w:color w:val="000000"/>
        </w:rPr>
        <w:t xml:space="preserve"> of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corporation</w:t>
      </w:r>
      <w:proofErr w:type="spellEnd"/>
      <w:r w:rsidR="00AE129F" w:rsidRPr="00705170">
        <w:rPr>
          <w:rFonts w:ascii="Times New Roman" w:hAnsi="Times New Roman" w:cs="Times New Roman"/>
          <w:color w:val="000000"/>
        </w:rPr>
        <w:t>--</w:t>
      </w:r>
      <w:proofErr w:type="spellStart"/>
      <w:r w:rsidR="00AE129F" w:rsidRPr="00705170">
        <w:rPr>
          <w:rFonts w:ascii="Times New Roman" w:hAnsi="Times New Roman" w:cs="Times New Roman"/>
          <w:color w:val="000000"/>
        </w:rPr>
        <w:t>conduct</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that</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minority</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would</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never</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have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agreed</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to</w:t>
      </w:r>
      <w:proofErr w:type="spellEnd"/>
      <w:r w:rsidR="00AE129F" w:rsidRPr="00705170">
        <w:rPr>
          <w:rFonts w:ascii="Times New Roman" w:hAnsi="Times New Roman" w:cs="Times New Roman"/>
          <w:color w:val="000000"/>
        </w:rPr>
        <w:t xml:space="preserve"> at a </w:t>
      </w:r>
      <w:proofErr w:type="spellStart"/>
      <w:r w:rsidR="00AE129F" w:rsidRPr="00705170">
        <w:rPr>
          <w:rFonts w:ascii="Times New Roman" w:hAnsi="Times New Roman" w:cs="Times New Roman"/>
          <w:color w:val="000000"/>
        </w:rPr>
        <w:t>hypothetical</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bargaining</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table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and</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that</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lastRenderedPageBreak/>
        <w:t>lies</w:t>
      </w:r>
      <w:proofErr w:type="spellEnd"/>
      <w:r w:rsidR="00AE129F" w:rsidRPr="00705170">
        <w:rPr>
          <w:rFonts w:ascii="Times New Roman" w:hAnsi="Times New Roman" w:cs="Times New Roman"/>
          <w:color w:val="000000"/>
        </w:rPr>
        <w:t xml:space="preserve"> far </w:t>
      </w:r>
      <w:proofErr w:type="spellStart"/>
      <w:r w:rsidR="00AE129F" w:rsidRPr="00705170">
        <w:rPr>
          <w:rFonts w:ascii="Times New Roman" w:hAnsi="Times New Roman" w:cs="Times New Roman"/>
          <w:color w:val="000000"/>
        </w:rPr>
        <w:t>outside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parties</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objectively</w:t>
      </w:r>
      <w:proofErr w:type="spellEnd"/>
      <w:r w:rsidR="00AE129F" w:rsidRPr="00705170">
        <w:rPr>
          <w:rFonts w:ascii="Times New Roman" w:hAnsi="Times New Roman" w:cs="Times New Roman"/>
          <w:color w:val="000000"/>
        </w:rPr>
        <w:t xml:space="preserve"> </w:t>
      </w:r>
      <w:proofErr w:type="spellStart"/>
      <w:r w:rsidR="0000372E" w:rsidRPr="00705170">
        <w:rPr>
          <w:rFonts w:ascii="Times New Roman" w:hAnsi="Times New Roman" w:cs="Times New Roman"/>
          <w:color w:val="000000"/>
        </w:rPr>
        <w:t>reasonable</w:t>
      </w:r>
      <w:proofErr w:type="spellEnd"/>
      <w:r w:rsidR="0000372E" w:rsidRPr="00705170">
        <w:rPr>
          <w:rFonts w:ascii="Times New Roman" w:hAnsi="Times New Roman" w:cs="Times New Roman"/>
          <w:color w:val="000000"/>
        </w:rPr>
        <w:t xml:space="preserve"> </w:t>
      </w:r>
      <w:proofErr w:type="spellStart"/>
      <w:r w:rsidR="0000372E" w:rsidRPr="00705170">
        <w:rPr>
          <w:rFonts w:ascii="Times New Roman" w:hAnsi="Times New Roman" w:cs="Times New Roman"/>
          <w:color w:val="000000"/>
        </w:rPr>
        <w:t>expectations</w:t>
      </w:r>
      <w:proofErr w:type="spellEnd"/>
      <w:r w:rsidR="0000372E" w:rsidRPr="00705170">
        <w:rPr>
          <w:rFonts w:ascii="Times New Roman" w:hAnsi="Times New Roman" w:cs="Times New Roman"/>
          <w:color w:val="000000"/>
        </w:rPr>
        <w:t xml:space="preserve"> </w:t>
      </w:r>
      <w:r w:rsidR="00AE129F" w:rsidRPr="00705170">
        <w:rPr>
          <w:rFonts w:ascii="Times New Roman" w:hAnsi="Times New Roman" w:cs="Times New Roman"/>
          <w:color w:val="000000"/>
        </w:rPr>
        <w:t xml:space="preserve">at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time of </w:t>
      </w:r>
      <w:proofErr w:type="spellStart"/>
      <w:r w:rsidR="00AE129F" w:rsidRPr="00705170">
        <w:rPr>
          <w:rFonts w:ascii="Times New Roman" w:hAnsi="Times New Roman" w:cs="Times New Roman"/>
          <w:color w:val="000000"/>
        </w:rPr>
        <w:t>investment</w:t>
      </w:r>
      <w:proofErr w:type="spellEnd"/>
      <w:r w:rsidR="00AE129F" w:rsidRPr="00705170">
        <w:rPr>
          <w:rFonts w:ascii="Times New Roman" w:hAnsi="Times New Roman" w:cs="Times New Roman"/>
          <w:color w:val="000000"/>
        </w:rPr>
        <w:t>--</w:t>
      </w:r>
      <w:r w:rsidR="00F5746A"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majority</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would</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act</w:t>
      </w:r>
      <w:proofErr w:type="spellEnd"/>
      <w:r w:rsidR="00AE129F" w:rsidRPr="00705170">
        <w:rPr>
          <w:rFonts w:ascii="Times New Roman" w:hAnsi="Times New Roman" w:cs="Times New Roman"/>
          <w:color w:val="000000"/>
        </w:rPr>
        <w:t xml:space="preserve"> in </w:t>
      </w:r>
      <w:proofErr w:type="spellStart"/>
      <w:r w:rsidR="00AE129F" w:rsidRPr="00705170">
        <w:rPr>
          <w:rFonts w:ascii="Times New Roman" w:hAnsi="Times New Roman" w:cs="Times New Roman"/>
          <w:color w:val="000000"/>
        </w:rPr>
        <w:t>contravention</w:t>
      </w:r>
      <w:proofErr w:type="spellEnd"/>
      <w:r w:rsidR="00AE129F" w:rsidRPr="00705170">
        <w:rPr>
          <w:rFonts w:ascii="Times New Roman" w:hAnsi="Times New Roman" w:cs="Times New Roman"/>
          <w:color w:val="000000"/>
        </w:rPr>
        <w:t xml:space="preserve"> of </w:t>
      </w:r>
      <w:proofErr w:type="spellStart"/>
      <w:r w:rsidR="00AE129F" w:rsidRPr="00705170">
        <w:rPr>
          <w:rFonts w:ascii="Times New Roman" w:hAnsi="Times New Roman" w:cs="Times New Roman"/>
          <w:color w:val="000000"/>
        </w:rPr>
        <w:t>the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equitable</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duty</w:t>
      </w:r>
      <w:proofErr w:type="spellEnd"/>
      <w:r w:rsidR="00AE129F" w:rsidRPr="00705170">
        <w:rPr>
          <w:rFonts w:ascii="Times New Roman" w:hAnsi="Times New Roman" w:cs="Times New Roman"/>
          <w:color w:val="000000"/>
        </w:rPr>
        <w:t xml:space="preserve"> of </w:t>
      </w:r>
      <w:proofErr w:type="spellStart"/>
      <w:r w:rsidR="00AE129F" w:rsidRPr="00705170">
        <w:rPr>
          <w:rFonts w:ascii="Times New Roman" w:hAnsi="Times New Roman" w:cs="Times New Roman"/>
          <w:color w:val="000000"/>
        </w:rPr>
        <w:t>good</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faith</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and</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fair</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dealing</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000000"/>
        </w:rPr>
        <w:t>implied</w:t>
      </w:r>
      <w:proofErr w:type="spellEnd"/>
      <w:r w:rsidR="00AE129F" w:rsidRPr="00705170">
        <w:rPr>
          <w:rFonts w:ascii="Times New Roman" w:hAnsi="Times New Roman" w:cs="Times New Roman"/>
          <w:color w:val="000000"/>
        </w:rPr>
        <w:t xml:space="preserve"> as a </w:t>
      </w:r>
      <w:proofErr w:type="spellStart"/>
      <w:r w:rsidR="00AE129F" w:rsidRPr="00705170">
        <w:rPr>
          <w:rFonts w:ascii="Times New Roman" w:hAnsi="Times New Roman" w:cs="Times New Roman"/>
          <w:color w:val="000000"/>
        </w:rPr>
        <w:t>term</w:t>
      </w:r>
      <w:proofErr w:type="spellEnd"/>
      <w:r w:rsidR="00AE129F" w:rsidRPr="00705170">
        <w:rPr>
          <w:rFonts w:ascii="Times New Roman" w:hAnsi="Times New Roman" w:cs="Times New Roman"/>
          <w:color w:val="000000"/>
        </w:rPr>
        <w:t xml:space="preserve"> in </w:t>
      </w:r>
      <w:proofErr w:type="spellStart"/>
      <w:r w:rsidR="00AE129F" w:rsidRPr="00705170">
        <w:rPr>
          <w:rFonts w:ascii="Times New Roman" w:hAnsi="Times New Roman" w:cs="Times New Roman"/>
          <w:color w:val="000000"/>
        </w:rPr>
        <w:t>every</w:t>
      </w:r>
      <w:proofErr w:type="spellEnd"/>
      <w:r w:rsidR="00AE129F" w:rsidRPr="00705170">
        <w:rPr>
          <w:rFonts w:ascii="Times New Roman" w:hAnsi="Times New Roman" w:cs="Times New Roman"/>
          <w:color w:val="000000"/>
        </w:rPr>
        <w:t xml:space="preserve"> </w:t>
      </w:r>
      <w:proofErr w:type="spellStart"/>
      <w:r w:rsidR="00AE129F" w:rsidRPr="00705170">
        <w:rPr>
          <w:rFonts w:ascii="Times New Roman" w:hAnsi="Times New Roman" w:cs="Times New Roman"/>
          <w:color w:val="1C1C1C"/>
        </w:rPr>
        <w:t>contract</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Shareholder</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oppression</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law</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therefore</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involves</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the</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enforcement</w:t>
      </w:r>
      <w:proofErr w:type="spellEnd"/>
      <w:r w:rsidR="0000372E" w:rsidRPr="00705170">
        <w:rPr>
          <w:rFonts w:ascii="Times New Roman" w:hAnsi="Times New Roman" w:cs="Times New Roman"/>
          <w:color w:val="1C1C1C"/>
        </w:rPr>
        <w:t xml:space="preserve"> of </w:t>
      </w:r>
      <w:proofErr w:type="spellStart"/>
      <w:r w:rsidR="0000372E" w:rsidRPr="00705170">
        <w:rPr>
          <w:rFonts w:ascii="Times New Roman" w:hAnsi="Times New Roman" w:cs="Times New Roman"/>
          <w:color w:val="1C1C1C"/>
        </w:rPr>
        <w:t>the</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parties</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reasonable</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expectations</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Actions</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that</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violate</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the</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reasonable</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expectations</w:t>
      </w:r>
      <w:proofErr w:type="spellEnd"/>
      <w:r w:rsidR="0000372E" w:rsidRPr="00705170">
        <w:rPr>
          <w:rFonts w:ascii="Times New Roman" w:hAnsi="Times New Roman" w:cs="Times New Roman"/>
          <w:color w:val="1C1C1C"/>
        </w:rPr>
        <w:t xml:space="preserve"> of </w:t>
      </w:r>
      <w:proofErr w:type="spellStart"/>
      <w:r w:rsidR="0000372E" w:rsidRPr="00705170">
        <w:rPr>
          <w:rFonts w:ascii="Times New Roman" w:hAnsi="Times New Roman" w:cs="Times New Roman"/>
          <w:color w:val="1C1C1C"/>
        </w:rPr>
        <w:t>the</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parties</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will</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also</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breach</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the</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implied</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covenant</w:t>
      </w:r>
      <w:proofErr w:type="spellEnd"/>
      <w:r w:rsidR="0000372E" w:rsidRPr="00705170">
        <w:rPr>
          <w:rFonts w:ascii="Times New Roman" w:hAnsi="Times New Roman" w:cs="Times New Roman"/>
          <w:color w:val="1C1C1C"/>
        </w:rPr>
        <w:t xml:space="preserve"> of </w:t>
      </w:r>
      <w:proofErr w:type="spellStart"/>
      <w:r w:rsidR="0000372E" w:rsidRPr="00705170">
        <w:rPr>
          <w:rFonts w:ascii="Times New Roman" w:hAnsi="Times New Roman" w:cs="Times New Roman"/>
          <w:color w:val="1C1C1C"/>
        </w:rPr>
        <w:t>good</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faith</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and</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fair</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dealing</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implied</w:t>
      </w:r>
      <w:proofErr w:type="spellEnd"/>
      <w:r w:rsidR="0000372E" w:rsidRPr="00705170">
        <w:rPr>
          <w:rFonts w:ascii="Times New Roman" w:hAnsi="Times New Roman" w:cs="Times New Roman"/>
          <w:color w:val="1C1C1C"/>
        </w:rPr>
        <w:t xml:space="preserve"> in </w:t>
      </w:r>
      <w:proofErr w:type="spellStart"/>
      <w:r w:rsidR="0000372E" w:rsidRPr="00705170">
        <w:rPr>
          <w:rFonts w:ascii="Times New Roman" w:hAnsi="Times New Roman" w:cs="Times New Roman"/>
          <w:color w:val="1C1C1C"/>
        </w:rPr>
        <w:t>every</w:t>
      </w:r>
      <w:proofErr w:type="spellEnd"/>
      <w:r w:rsidR="0000372E" w:rsidRPr="00705170">
        <w:rPr>
          <w:rFonts w:ascii="Times New Roman" w:hAnsi="Times New Roman" w:cs="Times New Roman"/>
          <w:color w:val="1C1C1C"/>
        </w:rPr>
        <w:t xml:space="preserve"> </w:t>
      </w:r>
      <w:proofErr w:type="spellStart"/>
      <w:r w:rsidR="0000372E" w:rsidRPr="00705170">
        <w:rPr>
          <w:rFonts w:ascii="Times New Roman" w:hAnsi="Times New Roman" w:cs="Times New Roman"/>
          <w:color w:val="1C1C1C"/>
        </w:rPr>
        <w:t>contract</w:t>
      </w:r>
      <w:proofErr w:type="spellEnd"/>
      <w:r w:rsidR="00AE129F" w:rsidRPr="00705170">
        <w:rPr>
          <w:rFonts w:ascii="Times New Roman" w:hAnsi="Times New Roman" w:cs="Times New Roman"/>
          <w:color w:val="1C1C1C"/>
        </w:rPr>
        <w:t>”</w:t>
      </w:r>
      <w:r w:rsidR="00AE129F" w:rsidRPr="00705170">
        <w:rPr>
          <w:rStyle w:val="DipnotBavurusu"/>
          <w:rFonts w:ascii="Times New Roman" w:hAnsi="Times New Roman" w:cs="Times New Roman"/>
          <w:color w:val="1C1C1C"/>
        </w:rPr>
        <w:footnoteReference w:id="862"/>
      </w:r>
      <w:r w:rsidR="00AE129F" w:rsidRPr="00705170">
        <w:rPr>
          <w:rFonts w:ascii="Times New Roman" w:hAnsi="Times New Roman" w:cs="Times New Roman"/>
          <w:color w:val="000000"/>
        </w:rPr>
        <w:t>.</w:t>
      </w:r>
      <w:r w:rsidR="00E65D0F">
        <w:rPr>
          <w:rFonts w:ascii="Times New Roman" w:hAnsi="Times New Roman" w:cs="Times New Roman"/>
          <w:color w:val="000000"/>
        </w:rPr>
        <w:t xml:space="preserve"> </w:t>
      </w:r>
      <w:proofErr w:type="spellStart"/>
      <w:r w:rsidR="00E65D0F">
        <w:rPr>
          <w:rFonts w:ascii="Times New Roman" w:hAnsi="Times New Roman" w:cs="Times New Roman"/>
          <w:color w:val="000000"/>
        </w:rPr>
        <w:t>Then</w:t>
      </w:r>
      <w:proofErr w:type="spellEnd"/>
      <w:r w:rsidR="00E65D0F">
        <w:rPr>
          <w:rFonts w:ascii="Times New Roman" w:hAnsi="Times New Roman" w:cs="Times New Roman"/>
          <w:color w:val="000000"/>
        </w:rPr>
        <w:t xml:space="preserve">, </w:t>
      </w:r>
      <w:proofErr w:type="spellStart"/>
      <w:r w:rsidR="00E65D0F">
        <w:rPr>
          <w:rFonts w:ascii="Times New Roman" w:hAnsi="Times New Roman" w:cs="Times New Roman"/>
          <w:color w:val="000000"/>
        </w:rPr>
        <w:t>w</w:t>
      </w:r>
      <w:r w:rsidR="00293ED5" w:rsidRPr="00705170">
        <w:rPr>
          <w:rFonts w:ascii="Times New Roman" w:hAnsi="Times New Roman" w:cs="Times New Roman"/>
          <w:color w:val="000000"/>
        </w:rPr>
        <w:t>hen</w:t>
      </w:r>
      <w:proofErr w:type="spellEnd"/>
      <w:r w:rsidR="00293ED5" w:rsidRPr="00705170">
        <w:rPr>
          <w:rFonts w:ascii="Times New Roman" w:hAnsi="Times New Roman" w:cs="Times New Roman"/>
          <w:color w:val="000000"/>
        </w:rPr>
        <w:t xml:space="preserve"> </w:t>
      </w:r>
      <w:proofErr w:type="spellStart"/>
      <w:r w:rsidR="00293ED5" w:rsidRPr="00705170">
        <w:rPr>
          <w:rFonts w:ascii="Times New Roman" w:hAnsi="Times New Roman" w:cs="Times New Roman"/>
          <w:color w:val="000000"/>
        </w:rPr>
        <w:t>the</w:t>
      </w:r>
      <w:proofErr w:type="spellEnd"/>
      <w:r w:rsidR="00293ED5" w:rsidRPr="00705170">
        <w:rPr>
          <w:rFonts w:ascii="Times New Roman" w:hAnsi="Times New Roman" w:cs="Times New Roman"/>
          <w:color w:val="000000"/>
        </w:rPr>
        <w:t xml:space="preserve"> </w:t>
      </w:r>
      <w:proofErr w:type="spellStart"/>
      <w:r w:rsidR="00293ED5" w:rsidRPr="00705170">
        <w:rPr>
          <w:rFonts w:ascii="Times New Roman" w:hAnsi="Times New Roman" w:cs="Times New Roman"/>
          <w:color w:val="000000"/>
        </w:rPr>
        <w:t>hypothetical</w:t>
      </w:r>
      <w:proofErr w:type="spellEnd"/>
      <w:r w:rsidR="00293ED5" w:rsidRPr="00705170">
        <w:rPr>
          <w:rFonts w:ascii="Times New Roman" w:hAnsi="Times New Roman" w:cs="Times New Roman"/>
          <w:color w:val="000000"/>
        </w:rPr>
        <w:t xml:space="preserve"> </w:t>
      </w:r>
      <w:proofErr w:type="spellStart"/>
      <w:r w:rsidR="00293ED5" w:rsidRPr="00705170">
        <w:rPr>
          <w:rFonts w:ascii="Times New Roman" w:hAnsi="Times New Roman" w:cs="Times New Roman"/>
          <w:color w:val="000000"/>
        </w:rPr>
        <w:t>bargaining</w:t>
      </w:r>
      <w:proofErr w:type="spellEnd"/>
      <w:r w:rsidR="00293ED5" w:rsidRPr="00705170">
        <w:rPr>
          <w:rFonts w:ascii="Times New Roman" w:hAnsi="Times New Roman" w:cs="Times New Roman"/>
          <w:color w:val="000000"/>
        </w:rPr>
        <w:t xml:space="preserve"> </w:t>
      </w:r>
      <w:proofErr w:type="spellStart"/>
      <w:r w:rsidR="00293ED5" w:rsidRPr="00705170">
        <w:rPr>
          <w:rFonts w:ascii="Times New Roman" w:hAnsi="Times New Roman" w:cs="Times New Roman"/>
          <w:color w:val="000000"/>
        </w:rPr>
        <w:t>approach</w:t>
      </w:r>
      <w:proofErr w:type="spellEnd"/>
      <w:r w:rsidR="00293ED5" w:rsidRPr="00705170">
        <w:rPr>
          <w:rFonts w:ascii="Times New Roman" w:hAnsi="Times New Roman" w:cs="Times New Roman"/>
          <w:color w:val="000000"/>
        </w:rPr>
        <w:t xml:space="preserve"> is </w:t>
      </w:r>
      <w:proofErr w:type="spellStart"/>
      <w:r w:rsidR="00293ED5" w:rsidRPr="00705170">
        <w:rPr>
          <w:rFonts w:ascii="Times New Roman" w:hAnsi="Times New Roman" w:cs="Times New Roman"/>
          <w:color w:val="000000"/>
        </w:rPr>
        <w:t>adopted</w:t>
      </w:r>
      <w:proofErr w:type="spellEnd"/>
      <w:r w:rsidR="00293ED5" w:rsidRPr="00705170">
        <w:rPr>
          <w:rFonts w:ascii="Times New Roman" w:hAnsi="Times New Roman" w:cs="Times New Roman"/>
          <w:color w:val="000000"/>
        </w:rPr>
        <w:t xml:space="preserve">, </w:t>
      </w:r>
      <w:proofErr w:type="spellStart"/>
      <w:r w:rsidR="00293ED5" w:rsidRPr="00705170">
        <w:rPr>
          <w:rFonts w:ascii="Times New Roman" w:hAnsi="Times New Roman" w:cs="Times New Roman"/>
          <w:color w:val="000000"/>
        </w:rPr>
        <w:t>the</w:t>
      </w:r>
      <w:proofErr w:type="spellEnd"/>
      <w:r w:rsidR="00293ED5" w:rsidRPr="00705170">
        <w:rPr>
          <w:rFonts w:ascii="Times New Roman" w:hAnsi="Times New Roman" w:cs="Times New Roman"/>
          <w:color w:val="000000"/>
        </w:rPr>
        <w:t xml:space="preserve"> </w:t>
      </w:r>
      <w:proofErr w:type="spellStart"/>
      <w:r w:rsidR="00293ED5" w:rsidRPr="00705170">
        <w:rPr>
          <w:rFonts w:ascii="Times New Roman" w:hAnsi="Times New Roman" w:cs="Times New Roman"/>
          <w:color w:val="000000"/>
        </w:rPr>
        <w:t>involuntary</w:t>
      </w:r>
      <w:proofErr w:type="spellEnd"/>
      <w:r w:rsidR="00293ED5" w:rsidRPr="00705170">
        <w:rPr>
          <w:rFonts w:ascii="Times New Roman" w:hAnsi="Times New Roman" w:cs="Times New Roman"/>
          <w:color w:val="000000"/>
        </w:rPr>
        <w:t xml:space="preserve"> </w:t>
      </w:r>
      <w:proofErr w:type="spellStart"/>
      <w:r w:rsidR="00293ED5" w:rsidRPr="00705170">
        <w:rPr>
          <w:rFonts w:ascii="Times New Roman" w:hAnsi="Times New Roman" w:cs="Times New Roman"/>
          <w:color w:val="000000"/>
        </w:rPr>
        <w:t>dissolution</w:t>
      </w:r>
      <w:proofErr w:type="spellEnd"/>
      <w:r w:rsidR="00293ED5" w:rsidRPr="00705170">
        <w:rPr>
          <w:rFonts w:ascii="Times New Roman" w:hAnsi="Times New Roman" w:cs="Times New Roman"/>
          <w:color w:val="000000"/>
        </w:rPr>
        <w:t xml:space="preserve"> </w:t>
      </w:r>
      <w:proofErr w:type="spellStart"/>
      <w:r w:rsidR="00293ED5" w:rsidRPr="00705170">
        <w:rPr>
          <w:rFonts w:ascii="Times New Roman" w:hAnsi="Times New Roman" w:cs="Times New Roman"/>
          <w:color w:val="000000"/>
        </w:rPr>
        <w:t>action</w:t>
      </w:r>
      <w:proofErr w:type="spellEnd"/>
      <w:r w:rsidR="00293ED5" w:rsidRPr="00705170">
        <w:rPr>
          <w:rFonts w:ascii="Times New Roman" w:hAnsi="Times New Roman" w:cs="Times New Roman"/>
          <w:color w:val="000000"/>
        </w:rPr>
        <w:t xml:space="preserve"> is </w:t>
      </w:r>
      <w:proofErr w:type="spellStart"/>
      <w:r w:rsidR="00293ED5" w:rsidRPr="00705170">
        <w:rPr>
          <w:rFonts w:ascii="Times New Roman" w:hAnsi="Times New Roman" w:cs="Times New Roman"/>
          <w:color w:val="000000"/>
        </w:rPr>
        <w:t>clearly</w:t>
      </w:r>
      <w:proofErr w:type="spellEnd"/>
      <w:r w:rsidR="00293ED5" w:rsidRPr="00705170">
        <w:rPr>
          <w:rFonts w:ascii="Times New Roman" w:hAnsi="Times New Roman" w:cs="Times New Roman"/>
          <w:color w:val="000000"/>
        </w:rPr>
        <w:t xml:space="preserve"> </w:t>
      </w:r>
      <w:proofErr w:type="spellStart"/>
      <w:r w:rsidR="00293ED5" w:rsidRPr="00705170">
        <w:rPr>
          <w:rFonts w:ascii="Times New Roman" w:hAnsi="Times New Roman" w:cs="Times New Roman"/>
          <w:color w:val="000000"/>
        </w:rPr>
        <w:t>placed</w:t>
      </w:r>
      <w:proofErr w:type="spellEnd"/>
      <w:r w:rsidR="00293ED5" w:rsidRPr="00705170">
        <w:rPr>
          <w:rFonts w:ascii="Times New Roman" w:hAnsi="Times New Roman" w:cs="Times New Roman"/>
          <w:color w:val="000000"/>
        </w:rPr>
        <w:t xml:space="preserve"> in </w:t>
      </w:r>
      <w:proofErr w:type="spellStart"/>
      <w:r w:rsidR="00293ED5" w:rsidRPr="00705170">
        <w:rPr>
          <w:rFonts w:ascii="Times New Roman" w:hAnsi="Times New Roman" w:cs="Times New Roman"/>
          <w:color w:val="000000"/>
        </w:rPr>
        <w:t>the</w:t>
      </w:r>
      <w:proofErr w:type="spellEnd"/>
      <w:r w:rsidR="00293ED5" w:rsidRPr="00705170">
        <w:rPr>
          <w:rFonts w:ascii="Times New Roman" w:hAnsi="Times New Roman" w:cs="Times New Roman"/>
          <w:color w:val="000000"/>
        </w:rPr>
        <w:t xml:space="preserve"> </w:t>
      </w:r>
      <w:proofErr w:type="spellStart"/>
      <w:r w:rsidR="00293ED5" w:rsidRPr="00705170">
        <w:rPr>
          <w:rFonts w:ascii="Times New Roman" w:hAnsi="Times New Roman" w:cs="Times New Roman"/>
          <w:color w:val="000000"/>
        </w:rPr>
        <w:t>realm</w:t>
      </w:r>
      <w:proofErr w:type="spellEnd"/>
      <w:r w:rsidR="00293ED5" w:rsidRPr="00705170">
        <w:rPr>
          <w:rFonts w:ascii="Times New Roman" w:hAnsi="Times New Roman" w:cs="Times New Roman"/>
          <w:color w:val="000000"/>
        </w:rPr>
        <w:t xml:space="preserve"> of </w:t>
      </w:r>
      <w:proofErr w:type="spellStart"/>
      <w:r w:rsidR="00293ED5" w:rsidRPr="00705170">
        <w:rPr>
          <w:rFonts w:ascii="Times New Roman" w:hAnsi="Times New Roman" w:cs="Times New Roman"/>
          <w:color w:val="000000"/>
        </w:rPr>
        <w:t>contract</w:t>
      </w:r>
      <w:proofErr w:type="spellEnd"/>
      <w:r w:rsidR="00293ED5" w:rsidRPr="00705170">
        <w:rPr>
          <w:rFonts w:ascii="Times New Roman" w:hAnsi="Times New Roman" w:cs="Times New Roman"/>
          <w:color w:val="000000"/>
        </w:rPr>
        <w:t xml:space="preserve"> </w:t>
      </w:r>
      <w:proofErr w:type="spellStart"/>
      <w:r w:rsidR="00293ED5" w:rsidRPr="00705170">
        <w:rPr>
          <w:rFonts w:ascii="Times New Roman" w:hAnsi="Times New Roman" w:cs="Times New Roman"/>
          <w:color w:val="000000"/>
        </w:rPr>
        <w:t>rather</w:t>
      </w:r>
      <w:proofErr w:type="spellEnd"/>
      <w:r w:rsidR="00293ED5" w:rsidRPr="00705170">
        <w:rPr>
          <w:rFonts w:ascii="Times New Roman" w:hAnsi="Times New Roman" w:cs="Times New Roman"/>
          <w:color w:val="000000"/>
        </w:rPr>
        <w:t xml:space="preserve"> </w:t>
      </w:r>
      <w:proofErr w:type="spellStart"/>
      <w:r w:rsidR="00293ED5" w:rsidRPr="00705170">
        <w:rPr>
          <w:rFonts w:ascii="Times New Roman" w:hAnsi="Times New Roman" w:cs="Times New Roman"/>
          <w:color w:val="000000"/>
        </w:rPr>
        <w:t>than</w:t>
      </w:r>
      <w:proofErr w:type="spellEnd"/>
      <w:r w:rsidR="00293ED5" w:rsidRPr="00705170">
        <w:rPr>
          <w:rFonts w:ascii="Times New Roman" w:hAnsi="Times New Roman" w:cs="Times New Roman"/>
          <w:color w:val="000000"/>
        </w:rPr>
        <w:t xml:space="preserve"> in </w:t>
      </w:r>
      <w:proofErr w:type="spellStart"/>
      <w:r w:rsidR="00293ED5" w:rsidRPr="00705170">
        <w:rPr>
          <w:rFonts w:ascii="Times New Roman" w:hAnsi="Times New Roman" w:cs="Times New Roman"/>
          <w:color w:val="000000"/>
        </w:rPr>
        <w:t>the</w:t>
      </w:r>
      <w:proofErr w:type="spellEnd"/>
      <w:r w:rsidR="00293ED5" w:rsidRPr="00705170">
        <w:rPr>
          <w:rFonts w:ascii="Times New Roman" w:hAnsi="Times New Roman" w:cs="Times New Roman"/>
          <w:color w:val="000000"/>
        </w:rPr>
        <w:t xml:space="preserve"> </w:t>
      </w:r>
      <w:proofErr w:type="spellStart"/>
      <w:r w:rsidR="00293ED5" w:rsidRPr="00705170">
        <w:rPr>
          <w:rFonts w:ascii="Times New Roman" w:hAnsi="Times New Roman" w:cs="Times New Roman"/>
          <w:color w:val="000000"/>
        </w:rPr>
        <w:t>realm</w:t>
      </w:r>
      <w:proofErr w:type="spellEnd"/>
      <w:r w:rsidR="00293ED5" w:rsidRPr="00705170">
        <w:rPr>
          <w:rFonts w:ascii="Times New Roman" w:hAnsi="Times New Roman" w:cs="Times New Roman"/>
          <w:color w:val="000000"/>
        </w:rPr>
        <w:t xml:space="preserve"> of </w:t>
      </w:r>
      <w:proofErr w:type="spellStart"/>
      <w:r w:rsidR="00293ED5" w:rsidRPr="00705170">
        <w:rPr>
          <w:rFonts w:ascii="Times New Roman" w:hAnsi="Times New Roman" w:cs="Times New Roman"/>
          <w:color w:val="000000"/>
        </w:rPr>
        <w:t>tort</w:t>
      </w:r>
      <w:proofErr w:type="spellEnd"/>
      <w:r w:rsidR="00293ED5" w:rsidRPr="00705170">
        <w:rPr>
          <w:rStyle w:val="DipnotBavurusu"/>
          <w:rFonts w:ascii="Times New Roman" w:hAnsi="Times New Roman" w:cs="Times New Roman"/>
          <w:color w:val="000000"/>
        </w:rPr>
        <w:footnoteReference w:id="863"/>
      </w:r>
      <w:r w:rsidR="00293ED5" w:rsidRPr="00705170">
        <w:rPr>
          <w:rFonts w:ascii="Times New Roman" w:hAnsi="Times New Roman" w:cs="Times New Roman"/>
          <w:color w:val="000000"/>
        </w:rPr>
        <w:t>.</w:t>
      </w:r>
      <w:r w:rsidR="006428BB" w:rsidRPr="00705170">
        <w:rPr>
          <w:rFonts w:ascii="Times New Roman" w:hAnsi="Times New Roman" w:cs="Times New Roman"/>
          <w:color w:val="000000"/>
        </w:rPr>
        <w:t xml:space="preserve"> </w:t>
      </w:r>
    </w:p>
    <w:p w14:paraId="3B649D01" w14:textId="3598DC35" w:rsidR="00263479" w:rsidRPr="00705170" w:rsidRDefault="00454DE1" w:rsidP="00454DE1">
      <w:pPr>
        <w:spacing w:after="240" w:line="480" w:lineRule="auto"/>
        <w:rPr>
          <w:rFonts w:ascii="Times New Roman" w:hAnsi="Times New Roman" w:cs="Times New Roman"/>
          <w:b/>
        </w:rPr>
      </w:pPr>
      <w:r w:rsidRPr="00705170">
        <w:rPr>
          <w:rFonts w:ascii="Times New Roman" w:hAnsi="Times New Roman" w:cs="Times New Roman"/>
        </w:rPr>
        <w:tab/>
      </w:r>
      <w:r w:rsidR="00C01441">
        <w:rPr>
          <w:rFonts w:ascii="Times New Roman" w:hAnsi="Times New Roman" w:cs="Times New Roman"/>
          <w:b/>
        </w:rPr>
        <w:t>5</w:t>
      </w:r>
      <w:r w:rsidR="00263479" w:rsidRPr="00705170">
        <w:rPr>
          <w:rFonts w:ascii="Times New Roman" w:hAnsi="Times New Roman" w:cs="Times New Roman"/>
          <w:b/>
        </w:rPr>
        <w:t xml:space="preserve">.3. </w:t>
      </w:r>
      <w:proofErr w:type="spellStart"/>
      <w:r w:rsidR="00263479" w:rsidRPr="00705170">
        <w:rPr>
          <w:rFonts w:ascii="Times New Roman" w:hAnsi="Times New Roman" w:cs="Times New Roman"/>
          <w:b/>
        </w:rPr>
        <w:t>Elements</w:t>
      </w:r>
      <w:proofErr w:type="spellEnd"/>
      <w:r w:rsidR="00263479" w:rsidRPr="00705170">
        <w:rPr>
          <w:rFonts w:ascii="Times New Roman" w:hAnsi="Times New Roman" w:cs="Times New Roman"/>
          <w:b/>
        </w:rPr>
        <w:t xml:space="preserve"> of </w:t>
      </w:r>
      <w:proofErr w:type="spellStart"/>
      <w:r w:rsidR="00263479" w:rsidRPr="00705170">
        <w:rPr>
          <w:rFonts w:ascii="Times New Roman" w:hAnsi="Times New Roman" w:cs="Times New Roman"/>
          <w:b/>
        </w:rPr>
        <w:t>the</w:t>
      </w:r>
      <w:proofErr w:type="spellEnd"/>
      <w:r w:rsidR="00263479" w:rsidRPr="00705170">
        <w:rPr>
          <w:rFonts w:ascii="Times New Roman" w:hAnsi="Times New Roman" w:cs="Times New Roman"/>
          <w:b/>
        </w:rPr>
        <w:t xml:space="preserve"> </w:t>
      </w:r>
      <w:proofErr w:type="spellStart"/>
      <w:r w:rsidR="00263479" w:rsidRPr="00705170">
        <w:rPr>
          <w:rFonts w:ascii="Times New Roman" w:hAnsi="Times New Roman" w:cs="Times New Roman"/>
          <w:b/>
        </w:rPr>
        <w:t>Cause</w:t>
      </w:r>
      <w:proofErr w:type="spellEnd"/>
      <w:r w:rsidR="00263479" w:rsidRPr="00705170">
        <w:rPr>
          <w:rFonts w:ascii="Times New Roman" w:hAnsi="Times New Roman" w:cs="Times New Roman"/>
          <w:b/>
        </w:rPr>
        <w:t xml:space="preserve"> of Action</w:t>
      </w:r>
    </w:p>
    <w:p w14:paraId="26736E0B" w14:textId="4444A6FC" w:rsidR="00AB5A69" w:rsidRPr="00705170" w:rsidRDefault="001E0E25" w:rsidP="00276C30">
      <w:pPr>
        <w:spacing w:after="240" w:line="480" w:lineRule="auto"/>
        <w:jc w:val="both"/>
        <w:rPr>
          <w:rFonts w:ascii="Times New Roman" w:hAnsi="Times New Roman" w:cs="Times New Roman"/>
          <w:b/>
        </w:rPr>
      </w:pPr>
      <w:r w:rsidRPr="00705170">
        <w:rPr>
          <w:rFonts w:ascii="Times New Roman" w:hAnsi="Times New Roman" w:cs="Times New Roman"/>
          <w:b/>
        </w:rPr>
        <w:tab/>
      </w:r>
      <w:r w:rsidR="00C01441">
        <w:rPr>
          <w:rFonts w:ascii="Times New Roman" w:hAnsi="Times New Roman" w:cs="Times New Roman"/>
          <w:b/>
        </w:rPr>
        <w:t>5</w:t>
      </w:r>
      <w:r w:rsidR="00AB5A69" w:rsidRPr="00705170">
        <w:rPr>
          <w:rFonts w:ascii="Times New Roman" w:hAnsi="Times New Roman" w:cs="Times New Roman"/>
          <w:b/>
        </w:rPr>
        <w:t xml:space="preserve">.3.1. </w:t>
      </w:r>
      <w:proofErr w:type="spellStart"/>
      <w:r w:rsidR="00AB5A69" w:rsidRPr="00705170">
        <w:rPr>
          <w:rFonts w:ascii="Times New Roman" w:hAnsi="Times New Roman" w:cs="Times New Roman"/>
          <w:b/>
        </w:rPr>
        <w:t>Generally</w:t>
      </w:r>
      <w:proofErr w:type="spellEnd"/>
    </w:p>
    <w:p w14:paraId="250E56EC" w14:textId="20BA183A" w:rsidR="00263479" w:rsidRPr="00705170" w:rsidRDefault="005D2CBA" w:rsidP="00E62CFB">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According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TCC </w:t>
      </w:r>
      <w:proofErr w:type="spellStart"/>
      <w:r w:rsidRPr="00705170">
        <w:rPr>
          <w:rFonts w:ascii="Times New Roman" w:hAnsi="Times New Roman" w:cs="Times New Roman"/>
        </w:rPr>
        <w:t>Article</w:t>
      </w:r>
      <w:proofErr w:type="spellEnd"/>
      <w:r w:rsidRPr="00705170">
        <w:rPr>
          <w:rFonts w:ascii="Times New Roman" w:hAnsi="Times New Roman" w:cs="Times New Roman"/>
        </w:rPr>
        <w:t xml:space="preserve"> 531, </w:t>
      </w:r>
      <w:proofErr w:type="spellStart"/>
      <w:r w:rsidRPr="00705170">
        <w:rPr>
          <w:rFonts w:ascii="Times New Roman" w:hAnsi="Times New Roman" w:cs="Times New Roman"/>
        </w:rPr>
        <w:t>t</w:t>
      </w:r>
      <w:r w:rsidR="001E0E25" w:rsidRPr="00705170">
        <w:rPr>
          <w:rFonts w:ascii="Times New Roman" w:hAnsi="Times New Roman" w:cs="Times New Roman"/>
        </w:rPr>
        <w:t>he</w:t>
      </w:r>
      <w:proofErr w:type="spellEnd"/>
      <w:r w:rsidR="001E0E25" w:rsidRPr="00705170">
        <w:rPr>
          <w:rFonts w:ascii="Times New Roman" w:hAnsi="Times New Roman" w:cs="Times New Roman"/>
        </w:rPr>
        <w:t xml:space="preserve"> </w:t>
      </w:r>
      <w:proofErr w:type="spellStart"/>
      <w:r w:rsidR="001E0E25" w:rsidRPr="00705170">
        <w:rPr>
          <w:rFonts w:ascii="Times New Roman" w:hAnsi="Times New Roman" w:cs="Times New Roman"/>
        </w:rPr>
        <w:t>two</w:t>
      </w:r>
      <w:proofErr w:type="spellEnd"/>
      <w:r w:rsidR="001E0E25" w:rsidRPr="00705170">
        <w:rPr>
          <w:rFonts w:ascii="Times New Roman" w:hAnsi="Times New Roman" w:cs="Times New Roman"/>
        </w:rPr>
        <w:t xml:space="preserve"> </w:t>
      </w:r>
      <w:r w:rsidR="005A5BC6">
        <w:rPr>
          <w:rFonts w:ascii="Times New Roman" w:hAnsi="Times New Roman" w:cs="Times New Roman"/>
        </w:rPr>
        <w:t xml:space="preserve">main </w:t>
      </w:r>
      <w:proofErr w:type="spellStart"/>
      <w:r w:rsidR="001E0E25" w:rsidRPr="00705170">
        <w:rPr>
          <w:rFonts w:ascii="Times New Roman" w:hAnsi="Times New Roman" w:cs="Times New Roman"/>
        </w:rPr>
        <w:t>elements</w:t>
      </w:r>
      <w:proofErr w:type="spellEnd"/>
      <w:r w:rsidR="001E0E25" w:rsidRPr="00705170">
        <w:rPr>
          <w:rFonts w:ascii="Times New Roman" w:hAnsi="Times New Roman" w:cs="Times New Roman"/>
        </w:rPr>
        <w:t xml:space="preserve"> of </w:t>
      </w:r>
      <w:proofErr w:type="spellStart"/>
      <w:r w:rsidR="001E0E25" w:rsidRPr="00705170">
        <w:rPr>
          <w:rFonts w:ascii="Times New Roman" w:hAnsi="Times New Roman" w:cs="Times New Roman"/>
        </w:rPr>
        <w:t>the</w:t>
      </w:r>
      <w:proofErr w:type="spellEnd"/>
      <w:r w:rsidR="001E0E25" w:rsidRPr="00705170">
        <w:rPr>
          <w:rFonts w:ascii="Times New Roman" w:hAnsi="Times New Roman" w:cs="Times New Roman"/>
        </w:rPr>
        <w:t xml:space="preserve"> </w:t>
      </w:r>
      <w:proofErr w:type="spellStart"/>
      <w:r w:rsidR="001E0E25" w:rsidRPr="00705170">
        <w:rPr>
          <w:rFonts w:ascii="Times New Roman" w:hAnsi="Times New Roman" w:cs="Times New Roman"/>
        </w:rPr>
        <w:t>involuntary</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cause</w:t>
      </w:r>
      <w:proofErr w:type="spellEnd"/>
      <w:r w:rsidR="00B046A4" w:rsidRPr="00705170">
        <w:rPr>
          <w:rFonts w:ascii="Times New Roman" w:hAnsi="Times New Roman" w:cs="Times New Roman"/>
        </w:rPr>
        <w:t xml:space="preserve"> of </w:t>
      </w:r>
      <w:proofErr w:type="spellStart"/>
      <w:r w:rsidR="00B046A4" w:rsidRPr="00705170">
        <w:rPr>
          <w:rFonts w:ascii="Times New Roman" w:hAnsi="Times New Roman" w:cs="Times New Roman"/>
        </w:rPr>
        <w:t>action</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are</w:t>
      </w:r>
      <w:proofErr w:type="spellEnd"/>
      <w:r w:rsidR="00B046A4" w:rsidRPr="00705170">
        <w:rPr>
          <w:rFonts w:ascii="Times New Roman" w:hAnsi="Times New Roman" w:cs="Times New Roman"/>
        </w:rPr>
        <w:t xml:space="preserve"> (1) </w:t>
      </w:r>
      <w:proofErr w:type="spellStart"/>
      <w:r w:rsidR="00B046A4" w:rsidRPr="00705170">
        <w:rPr>
          <w:rFonts w:ascii="Times New Roman" w:hAnsi="Times New Roman" w:cs="Times New Roman"/>
        </w:rPr>
        <w:t>owning</w:t>
      </w:r>
      <w:proofErr w:type="spellEnd"/>
      <w:r w:rsidR="001E0E25" w:rsidRPr="00705170">
        <w:rPr>
          <w:rFonts w:ascii="Times New Roman" w:hAnsi="Times New Roman" w:cs="Times New Roman"/>
        </w:rPr>
        <w:t xml:space="preserve"> </w:t>
      </w:r>
      <w:proofErr w:type="spellStart"/>
      <w:r w:rsidR="001E0E25" w:rsidRPr="00705170">
        <w:rPr>
          <w:rFonts w:ascii="Times New Roman" w:hAnsi="Times New Roman" w:cs="Times New Roman"/>
        </w:rPr>
        <w:t>the</w:t>
      </w:r>
      <w:proofErr w:type="spellEnd"/>
      <w:r w:rsidR="001E0E25" w:rsidRPr="00705170">
        <w:rPr>
          <w:rFonts w:ascii="Times New Roman" w:hAnsi="Times New Roman" w:cs="Times New Roman"/>
        </w:rPr>
        <w:t xml:space="preserve"> </w:t>
      </w:r>
      <w:proofErr w:type="spellStart"/>
      <w:r w:rsidR="001E0E25" w:rsidRPr="00705170">
        <w:rPr>
          <w:rFonts w:ascii="Times New Roman" w:hAnsi="Times New Roman" w:cs="Times New Roman"/>
        </w:rPr>
        <w:t>statorily</w:t>
      </w:r>
      <w:proofErr w:type="spellEnd"/>
      <w:r w:rsidR="001E0E25" w:rsidRPr="00705170">
        <w:rPr>
          <w:rFonts w:ascii="Times New Roman" w:hAnsi="Times New Roman" w:cs="Times New Roman"/>
        </w:rPr>
        <w:t xml:space="preserve"> </w:t>
      </w:r>
      <w:proofErr w:type="spellStart"/>
      <w:r w:rsidR="001E0E25" w:rsidRPr="00705170">
        <w:rPr>
          <w:rFonts w:ascii="Times New Roman" w:hAnsi="Times New Roman" w:cs="Times New Roman"/>
        </w:rPr>
        <w:t>required</w:t>
      </w:r>
      <w:proofErr w:type="spellEnd"/>
      <w:r w:rsidR="001E0E25" w:rsidRPr="00705170">
        <w:rPr>
          <w:rFonts w:ascii="Times New Roman" w:hAnsi="Times New Roman" w:cs="Times New Roman"/>
        </w:rPr>
        <w:t xml:space="preserve"> </w:t>
      </w:r>
      <w:proofErr w:type="spellStart"/>
      <w:r w:rsidR="001E0E25" w:rsidRPr="00705170">
        <w:rPr>
          <w:rFonts w:ascii="Times New Roman" w:hAnsi="Times New Roman" w:cs="Times New Roman"/>
        </w:rPr>
        <w:t>amount</w:t>
      </w:r>
      <w:proofErr w:type="spellEnd"/>
      <w:r w:rsidR="001E0E25" w:rsidRPr="00705170">
        <w:rPr>
          <w:rFonts w:ascii="Times New Roman" w:hAnsi="Times New Roman" w:cs="Times New Roman"/>
        </w:rPr>
        <w:t xml:space="preserve"> of </w:t>
      </w:r>
      <w:proofErr w:type="spellStart"/>
      <w:r w:rsidR="001E0E25" w:rsidRPr="00705170">
        <w:rPr>
          <w:rFonts w:ascii="Times New Roman" w:hAnsi="Times New Roman" w:cs="Times New Roman"/>
        </w:rPr>
        <w:t>share</w:t>
      </w:r>
      <w:r w:rsidR="00B046A4" w:rsidRPr="00705170">
        <w:rPr>
          <w:rFonts w:ascii="Times New Roman" w:hAnsi="Times New Roman" w:cs="Times New Roman"/>
        </w:rPr>
        <w:t>s</w:t>
      </w:r>
      <w:proofErr w:type="spellEnd"/>
      <w:r w:rsidR="00D74808">
        <w:rPr>
          <w:rFonts w:ascii="Times New Roman" w:hAnsi="Times New Roman" w:cs="Times New Roman"/>
        </w:rPr>
        <w:t xml:space="preserve"> </w:t>
      </w:r>
      <w:proofErr w:type="spellStart"/>
      <w:r w:rsidR="00D74808">
        <w:rPr>
          <w:rFonts w:ascii="Times New Roman" w:hAnsi="Times New Roman" w:cs="Times New Roman"/>
        </w:rPr>
        <w:t>to</w:t>
      </w:r>
      <w:proofErr w:type="spellEnd"/>
      <w:r w:rsidR="00D74808">
        <w:rPr>
          <w:rFonts w:ascii="Times New Roman" w:hAnsi="Times New Roman" w:cs="Times New Roman"/>
        </w:rPr>
        <w:t xml:space="preserve"> </w:t>
      </w:r>
      <w:proofErr w:type="spellStart"/>
      <w:r w:rsidR="00D74808">
        <w:rPr>
          <w:rFonts w:ascii="Times New Roman" w:hAnsi="Times New Roman" w:cs="Times New Roman"/>
        </w:rPr>
        <w:t>qualify</w:t>
      </w:r>
      <w:proofErr w:type="spellEnd"/>
      <w:r w:rsidR="00D74808">
        <w:rPr>
          <w:rFonts w:ascii="Times New Roman" w:hAnsi="Times New Roman" w:cs="Times New Roman"/>
        </w:rPr>
        <w:t xml:space="preserve"> as a </w:t>
      </w:r>
      <w:proofErr w:type="spellStart"/>
      <w:r w:rsidR="00D74808">
        <w:rPr>
          <w:rFonts w:ascii="Times New Roman" w:hAnsi="Times New Roman" w:cs="Times New Roman"/>
        </w:rPr>
        <w:t>petitioner</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and</w:t>
      </w:r>
      <w:proofErr w:type="spellEnd"/>
      <w:r w:rsidR="00B046A4" w:rsidRPr="00705170">
        <w:rPr>
          <w:rFonts w:ascii="Times New Roman" w:hAnsi="Times New Roman" w:cs="Times New Roman"/>
        </w:rPr>
        <w:t xml:space="preserve"> (2) </w:t>
      </w:r>
      <w:proofErr w:type="spellStart"/>
      <w:r w:rsidR="00B046A4" w:rsidRPr="00705170">
        <w:rPr>
          <w:rFonts w:ascii="Times New Roman" w:hAnsi="Times New Roman" w:cs="Times New Roman"/>
        </w:rPr>
        <w:t>establishing</w:t>
      </w:r>
      <w:proofErr w:type="spellEnd"/>
      <w:r w:rsidR="00B046A4" w:rsidRPr="00705170">
        <w:rPr>
          <w:rFonts w:ascii="Times New Roman" w:hAnsi="Times New Roman" w:cs="Times New Roman"/>
        </w:rPr>
        <w:t xml:space="preserve"> a “</w:t>
      </w:r>
      <w:proofErr w:type="spellStart"/>
      <w:r w:rsidR="00B046A4" w:rsidRPr="00705170">
        <w:rPr>
          <w:rFonts w:ascii="Times New Roman" w:hAnsi="Times New Roman" w:cs="Times New Roman"/>
        </w:rPr>
        <w:t>just</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cause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for</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the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dissolution</w:t>
      </w:r>
      <w:proofErr w:type="spellEnd"/>
      <w:r w:rsidR="00B046A4" w:rsidRPr="00705170">
        <w:rPr>
          <w:rFonts w:ascii="Times New Roman" w:hAnsi="Times New Roman" w:cs="Times New Roman"/>
        </w:rPr>
        <w:t xml:space="preserve"> of </w:t>
      </w:r>
      <w:proofErr w:type="spellStart"/>
      <w:r w:rsidR="00B046A4" w:rsidRPr="00705170">
        <w:rPr>
          <w:rFonts w:ascii="Times New Roman" w:hAnsi="Times New Roman" w:cs="Times New Roman"/>
        </w:rPr>
        <w:t>the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corporation</w:t>
      </w:r>
      <w:proofErr w:type="spellEnd"/>
      <w:r w:rsidR="00B046A4" w:rsidRPr="00705170">
        <w:rPr>
          <w:rFonts w:ascii="Times New Roman" w:hAnsi="Times New Roman" w:cs="Times New Roman"/>
        </w:rPr>
        <w:t>.</w:t>
      </w:r>
      <w:r w:rsidR="0018552C" w:rsidRPr="00705170">
        <w:rPr>
          <w:rFonts w:ascii="Times New Roman" w:hAnsi="Times New Roman" w:cs="Times New Roman"/>
        </w:rPr>
        <w:t xml:space="preserve"> </w:t>
      </w:r>
      <w:proofErr w:type="spellStart"/>
      <w:r w:rsidR="0018552C" w:rsidRPr="00705170">
        <w:rPr>
          <w:rFonts w:ascii="Times New Roman" w:hAnsi="Times New Roman" w:cs="Times New Roman"/>
        </w:rPr>
        <w:t>The</w:t>
      </w:r>
      <w:proofErr w:type="spellEnd"/>
      <w:r w:rsidR="0018552C" w:rsidRPr="00705170">
        <w:rPr>
          <w:rFonts w:ascii="Times New Roman" w:hAnsi="Times New Roman" w:cs="Times New Roman"/>
        </w:rPr>
        <w:t xml:space="preserve"> </w:t>
      </w:r>
      <w:proofErr w:type="spellStart"/>
      <w:r w:rsidR="0018552C" w:rsidRPr="00705170">
        <w:rPr>
          <w:rFonts w:ascii="Times New Roman" w:hAnsi="Times New Roman" w:cs="Times New Roman"/>
        </w:rPr>
        <w:t>latter</w:t>
      </w:r>
      <w:proofErr w:type="spellEnd"/>
      <w:r w:rsidR="0018552C" w:rsidRPr="00705170">
        <w:rPr>
          <w:rFonts w:ascii="Times New Roman" w:hAnsi="Times New Roman" w:cs="Times New Roman"/>
        </w:rPr>
        <w:t xml:space="preserve"> element</w:t>
      </w:r>
      <w:r w:rsidR="00FD1CBF" w:rsidRPr="00705170">
        <w:rPr>
          <w:rFonts w:ascii="Times New Roman" w:hAnsi="Times New Roman" w:cs="Times New Roman"/>
        </w:rPr>
        <w:t xml:space="preserve"> </w:t>
      </w:r>
      <w:proofErr w:type="spellStart"/>
      <w:r w:rsidR="00FD1CBF" w:rsidRPr="00705170">
        <w:rPr>
          <w:rFonts w:ascii="Times New Roman" w:hAnsi="Times New Roman" w:cs="Times New Roman"/>
        </w:rPr>
        <w:t>requires</w:t>
      </w:r>
      <w:proofErr w:type="spellEnd"/>
      <w:r w:rsidR="00FD1CBF" w:rsidRPr="00705170">
        <w:rPr>
          <w:rFonts w:ascii="Times New Roman" w:hAnsi="Times New Roman" w:cs="Times New Roman"/>
        </w:rPr>
        <w:t xml:space="preserve"> </w:t>
      </w:r>
      <w:proofErr w:type="spellStart"/>
      <w:r w:rsidR="00FD1CBF" w:rsidRPr="00705170">
        <w:rPr>
          <w:rFonts w:ascii="Times New Roman" w:hAnsi="Times New Roman" w:cs="Times New Roman"/>
        </w:rPr>
        <w:t>the</w:t>
      </w:r>
      <w:proofErr w:type="spellEnd"/>
      <w:r w:rsidR="00FD1CBF" w:rsidRPr="00705170">
        <w:rPr>
          <w:rFonts w:ascii="Times New Roman" w:hAnsi="Times New Roman" w:cs="Times New Roman"/>
        </w:rPr>
        <w:t xml:space="preserve"> “</w:t>
      </w:r>
      <w:proofErr w:type="spellStart"/>
      <w:r w:rsidR="00FD1CBF" w:rsidRPr="00705170">
        <w:rPr>
          <w:rFonts w:ascii="Times New Roman" w:hAnsi="Times New Roman" w:cs="Times New Roman"/>
        </w:rPr>
        <w:t>cause</w:t>
      </w:r>
      <w:proofErr w:type="spellEnd"/>
      <w:r w:rsidR="00D50D83" w:rsidRPr="00705170">
        <w:rPr>
          <w:rFonts w:ascii="Times New Roman" w:hAnsi="Times New Roman" w:cs="Times New Roman"/>
        </w:rPr>
        <w:t xml:space="preserve">” </w:t>
      </w:r>
      <w:proofErr w:type="spellStart"/>
      <w:r w:rsidR="00D50D83" w:rsidRPr="00705170">
        <w:rPr>
          <w:rFonts w:ascii="Times New Roman" w:hAnsi="Times New Roman" w:cs="Times New Roman"/>
        </w:rPr>
        <w:t>to</w:t>
      </w:r>
      <w:proofErr w:type="spellEnd"/>
      <w:r w:rsidR="00D50D83" w:rsidRPr="00705170">
        <w:rPr>
          <w:rFonts w:ascii="Times New Roman" w:hAnsi="Times New Roman" w:cs="Times New Roman"/>
        </w:rPr>
        <w:t xml:space="preserve"> </w:t>
      </w:r>
      <w:proofErr w:type="spellStart"/>
      <w:r w:rsidR="00D50D83" w:rsidRPr="00705170">
        <w:rPr>
          <w:rFonts w:ascii="Times New Roman" w:hAnsi="Times New Roman" w:cs="Times New Roman"/>
        </w:rPr>
        <w:t>amount</w:t>
      </w:r>
      <w:proofErr w:type="spellEnd"/>
      <w:r w:rsidR="00D50D83" w:rsidRPr="00705170">
        <w:rPr>
          <w:rFonts w:ascii="Times New Roman" w:hAnsi="Times New Roman" w:cs="Times New Roman"/>
        </w:rPr>
        <w:t xml:space="preserve"> </w:t>
      </w:r>
      <w:proofErr w:type="spellStart"/>
      <w:r w:rsidR="00D50D83" w:rsidRPr="00705170">
        <w:rPr>
          <w:rFonts w:ascii="Times New Roman" w:hAnsi="Times New Roman" w:cs="Times New Roman"/>
        </w:rPr>
        <w:t>to</w:t>
      </w:r>
      <w:proofErr w:type="spellEnd"/>
      <w:r w:rsidR="00D50D83" w:rsidRPr="00705170">
        <w:rPr>
          <w:rFonts w:ascii="Times New Roman" w:hAnsi="Times New Roman" w:cs="Times New Roman"/>
        </w:rPr>
        <w:t xml:space="preserve"> a </w:t>
      </w:r>
      <w:proofErr w:type="spellStart"/>
      <w:r w:rsidR="00D50D83" w:rsidRPr="00705170">
        <w:rPr>
          <w:rFonts w:ascii="Times New Roman" w:hAnsi="Times New Roman" w:cs="Times New Roman"/>
        </w:rPr>
        <w:t>level</w:t>
      </w:r>
      <w:proofErr w:type="spellEnd"/>
      <w:r w:rsidR="00D50D83" w:rsidRPr="00705170">
        <w:rPr>
          <w:rFonts w:ascii="Times New Roman" w:hAnsi="Times New Roman" w:cs="Times New Roman"/>
        </w:rPr>
        <w:t xml:space="preserve"> </w:t>
      </w:r>
      <w:proofErr w:type="spellStart"/>
      <w:r w:rsidR="00D50D83" w:rsidRPr="00705170">
        <w:rPr>
          <w:rFonts w:ascii="Times New Roman" w:hAnsi="Times New Roman" w:cs="Times New Roman"/>
        </w:rPr>
        <w:t>which</w:t>
      </w:r>
      <w:proofErr w:type="spellEnd"/>
      <w:r w:rsidR="00D50D83" w:rsidRPr="00705170">
        <w:rPr>
          <w:rFonts w:ascii="Times New Roman" w:hAnsi="Times New Roman" w:cs="Times New Roman"/>
        </w:rPr>
        <w:t xml:space="preserve"> </w:t>
      </w:r>
      <w:proofErr w:type="spellStart"/>
      <w:r w:rsidR="00D50D83" w:rsidRPr="00705170">
        <w:rPr>
          <w:rFonts w:ascii="Times New Roman" w:hAnsi="Times New Roman" w:cs="Times New Roman"/>
        </w:rPr>
        <w:t>justifies</w:t>
      </w:r>
      <w:proofErr w:type="spellEnd"/>
      <w:r w:rsidR="00D50D83" w:rsidRPr="00705170">
        <w:rPr>
          <w:rFonts w:ascii="Times New Roman" w:hAnsi="Times New Roman" w:cs="Times New Roman"/>
        </w:rPr>
        <w:t xml:space="preserve"> </w:t>
      </w:r>
      <w:proofErr w:type="spellStart"/>
      <w:r w:rsidR="00D50D83" w:rsidRPr="00705170">
        <w:rPr>
          <w:rFonts w:ascii="Times New Roman" w:hAnsi="Times New Roman" w:cs="Times New Roman"/>
        </w:rPr>
        <w:t>the</w:t>
      </w:r>
      <w:proofErr w:type="spellEnd"/>
      <w:r w:rsidR="00D50D83" w:rsidRPr="00705170">
        <w:rPr>
          <w:rFonts w:ascii="Times New Roman" w:hAnsi="Times New Roman" w:cs="Times New Roman"/>
        </w:rPr>
        <w:t xml:space="preserve"> </w:t>
      </w:r>
      <w:proofErr w:type="spellStart"/>
      <w:r w:rsidR="00D50D83" w:rsidRPr="00705170">
        <w:rPr>
          <w:rFonts w:ascii="Times New Roman" w:hAnsi="Times New Roman" w:cs="Times New Roman"/>
        </w:rPr>
        <w:t>dissolution</w:t>
      </w:r>
      <w:proofErr w:type="spellEnd"/>
      <w:r w:rsidR="00D50D83" w:rsidRPr="00705170">
        <w:rPr>
          <w:rFonts w:ascii="Times New Roman" w:hAnsi="Times New Roman" w:cs="Times New Roman"/>
        </w:rPr>
        <w:t xml:space="preserve"> of </w:t>
      </w:r>
      <w:proofErr w:type="spellStart"/>
      <w:r w:rsidR="00D50D83" w:rsidRPr="00705170">
        <w:rPr>
          <w:rFonts w:ascii="Times New Roman" w:hAnsi="Times New Roman" w:cs="Times New Roman"/>
        </w:rPr>
        <w:t>the</w:t>
      </w:r>
      <w:proofErr w:type="spellEnd"/>
      <w:r w:rsidR="00D50D83" w:rsidRPr="00705170">
        <w:rPr>
          <w:rFonts w:ascii="Times New Roman" w:hAnsi="Times New Roman" w:cs="Times New Roman"/>
        </w:rPr>
        <w:t xml:space="preserve"> </w:t>
      </w:r>
      <w:proofErr w:type="spellStart"/>
      <w:r w:rsidR="00D50D83" w:rsidRPr="00705170">
        <w:rPr>
          <w:rFonts w:ascii="Times New Roman" w:hAnsi="Times New Roman" w:cs="Times New Roman"/>
        </w:rPr>
        <w:t>corporation</w:t>
      </w:r>
      <w:proofErr w:type="spellEnd"/>
      <w:r w:rsidR="00AB408C" w:rsidRPr="00705170">
        <w:rPr>
          <w:rStyle w:val="DipnotBavurusu"/>
          <w:rFonts w:ascii="Times New Roman" w:hAnsi="Times New Roman" w:cs="Times New Roman"/>
        </w:rPr>
        <w:footnoteReference w:id="864"/>
      </w:r>
      <w:r w:rsidR="00D50D83" w:rsidRPr="00705170">
        <w:rPr>
          <w:rFonts w:ascii="Times New Roman" w:hAnsi="Times New Roman" w:cs="Times New Roman"/>
        </w:rPr>
        <w:t xml:space="preserve">; </w:t>
      </w:r>
      <w:proofErr w:type="spellStart"/>
      <w:r w:rsidR="00D50D83" w:rsidRPr="00705170">
        <w:rPr>
          <w:rFonts w:ascii="Times New Roman" w:hAnsi="Times New Roman" w:cs="Times New Roman"/>
        </w:rPr>
        <w:t>only</w:t>
      </w:r>
      <w:proofErr w:type="spellEnd"/>
      <w:r w:rsidR="00D50D83" w:rsidRPr="00705170">
        <w:rPr>
          <w:rFonts w:ascii="Times New Roman" w:hAnsi="Times New Roman" w:cs="Times New Roman"/>
        </w:rPr>
        <w:t xml:space="preserve"> </w:t>
      </w:r>
      <w:proofErr w:type="spellStart"/>
      <w:r w:rsidR="00D50D83" w:rsidRPr="00705170">
        <w:rPr>
          <w:rFonts w:ascii="Times New Roman" w:hAnsi="Times New Roman" w:cs="Times New Roman"/>
        </w:rPr>
        <w:t>this</w:t>
      </w:r>
      <w:proofErr w:type="spellEnd"/>
      <w:r w:rsidR="00D50D83" w:rsidRPr="00705170">
        <w:rPr>
          <w:rFonts w:ascii="Times New Roman" w:hAnsi="Times New Roman" w:cs="Times New Roman"/>
        </w:rPr>
        <w:t xml:space="preserve"> </w:t>
      </w:r>
      <w:proofErr w:type="spellStart"/>
      <w:r w:rsidR="00D50D83" w:rsidRPr="00705170">
        <w:rPr>
          <w:rFonts w:ascii="Times New Roman" w:hAnsi="Times New Roman" w:cs="Times New Roman"/>
        </w:rPr>
        <w:t>kind</w:t>
      </w:r>
      <w:proofErr w:type="spellEnd"/>
      <w:r w:rsidR="00D50D83" w:rsidRPr="00705170">
        <w:rPr>
          <w:rFonts w:ascii="Times New Roman" w:hAnsi="Times New Roman" w:cs="Times New Roman"/>
        </w:rPr>
        <w:t xml:space="preserve"> of “</w:t>
      </w:r>
      <w:proofErr w:type="spellStart"/>
      <w:r w:rsidR="00D50D83" w:rsidRPr="00705170">
        <w:rPr>
          <w:rFonts w:ascii="Times New Roman" w:hAnsi="Times New Roman" w:cs="Times New Roman"/>
        </w:rPr>
        <w:t>cause</w:t>
      </w:r>
      <w:proofErr w:type="spellEnd"/>
      <w:r w:rsidR="00D50D83" w:rsidRPr="00705170">
        <w:rPr>
          <w:rFonts w:ascii="Times New Roman" w:hAnsi="Times New Roman" w:cs="Times New Roman"/>
        </w:rPr>
        <w:t xml:space="preserve">” </w:t>
      </w:r>
      <w:proofErr w:type="spellStart"/>
      <w:r w:rsidR="00D50D83" w:rsidRPr="00705170">
        <w:rPr>
          <w:rFonts w:ascii="Times New Roman" w:hAnsi="Times New Roman" w:cs="Times New Roman"/>
        </w:rPr>
        <w:t>would</w:t>
      </w:r>
      <w:proofErr w:type="spellEnd"/>
      <w:r w:rsidR="00D50D83" w:rsidRPr="00705170">
        <w:rPr>
          <w:rFonts w:ascii="Times New Roman" w:hAnsi="Times New Roman" w:cs="Times New Roman"/>
        </w:rPr>
        <w:t xml:space="preserve"> be a “</w:t>
      </w:r>
      <w:proofErr w:type="spellStart"/>
      <w:r w:rsidR="00D50D83" w:rsidRPr="00705170">
        <w:rPr>
          <w:rFonts w:ascii="Times New Roman" w:hAnsi="Times New Roman" w:cs="Times New Roman"/>
        </w:rPr>
        <w:t>just</w:t>
      </w:r>
      <w:proofErr w:type="spellEnd"/>
      <w:r w:rsidR="00D50D83" w:rsidRPr="00705170">
        <w:rPr>
          <w:rFonts w:ascii="Times New Roman" w:hAnsi="Times New Roman" w:cs="Times New Roman"/>
        </w:rPr>
        <w:t xml:space="preserve">” </w:t>
      </w:r>
      <w:proofErr w:type="spellStart"/>
      <w:r w:rsidR="00D50D83" w:rsidRPr="00705170">
        <w:rPr>
          <w:rFonts w:ascii="Times New Roman" w:hAnsi="Times New Roman" w:cs="Times New Roman"/>
        </w:rPr>
        <w:t>one</w:t>
      </w:r>
      <w:proofErr w:type="spellEnd"/>
      <w:r w:rsidR="00D50D83" w:rsidRPr="00705170">
        <w:rPr>
          <w:rFonts w:ascii="Times New Roman" w:hAnsi="Times New Roman" w:cs="Times New Roman"/>
        </w:rPr>
        <w:t>.</w:t>
      </w:r>
      <w:r w:rsidR="0018552C" w:rsidRPr="00705170">
        <w:rPr>
          <w:rFonts w:ascii="Times New Roman" w:hAnsi="Times New Roman" w:cs="Times New Roman"/>
        </w:rPr>
        <w:t xml:space="preserve"> </w:t>
      </w:r>
      <w:proofErr w:type="spellStart"/>
      <w:r w:rsidR="0018552C" w:rsidRPr="00705170">
        <w:rPr>
          <w:rFonts w:ascii="Times New Roman" w:hAnsi="Times New Roman" w:cs="Times New Roman"/>
        </w:rPr>
        <w:t>Likewise</w:t>
      </w:r>
      <w:proofErr w:type="spellEnd"/>
      <w:r w:rsidR="0018552C" w:rsidRPr="00705170">
        <w:rPr>
          <w:rFonts w:ascii="Times New Roman" w:hAnsi="Times New Roman" w:cs="Times New Roman"/>
        </w:rPr>
        <w:t xml:space="preserve">, </w:t>
      </w:r>
      <w:proofErr w:type="spellStart"/>
      <w:r w:rsidR="0018552C" w:rsidRPr="00705170">
        <w:rPr>
          <w:rFonts w:ascii="Times New Roman" w:hAnsi="Times New Roman" w:cs="Times New Roman"/>
        </w:rPr>
        <w:t>t</w:t>
      </w:r>
      <w:r w:rsidR="00263479" w:rsidRPr="00705170">
        <w:rPr>
          <w:rFonts w:ascii="Times New Roman" w:hAnsi="Times New Roman" w:cs="Times New Roman"/>
        </w:rPr>
        <w:t>he</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mere</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fac</w:t>
      </w:r>
      <w:r w:rsidR="0018552C" w:rsidRPr="00705170">
        <w:rPr>
          <w:rFonts w:ascii="Times New Roman" w:hAnsi="Times New Roman" w:cs="Times New Roman"/>
        </w:rPr>
        <w:t>t</w:t>
      </w:r>
      <w:proofErr w:type="spellEnd"/>
      <w:r w:rsidR="0018552C" w:rsidRPr="00705170">
        <w:rPr>
          <w:rFonts w:ascii="Times New Roman" w:hAnsi="Times New Roman" w:cs="Times New Roman"/>
        </w:rPr>
        <w:t xml:space="preserve"> </w:t>
      </w:r>
      <w:proofErr w:type="spellStart"/>
      <w:r w:rsidR="0018552C" w:rsidRPr="00705170">
        <w:rPr>
          <w:rFonts w:ascii="Times New Roman" w:hAnsi="Times New Roman" w:cs="Times New Roman"/>
        </w:rPr>
        <w:t>that</w:t>
      </w:r>
      <w:proofErr w:type="spellEnd"/>
      <w:r w:rsidR="0018552C" w:rsidRPr="00705170">
        <w:rPr>
          <w:rFonts w:ascii="Times New Roman" w:hAnsi="Times New Roman" w:cs="Times New Roman"/>
        </w:rPr>
        <w:t xml:space="preserve"> </w:t>
      </w:r>
      <w:proofErr w:type="spellStart"/>
      <w:r w:rsidR="0018552C" w:rsidRPr="00705170">
        <w:rPr>
          <w:rFonts w:ascii="Times New Roman" w:hAnsi="Times New Roman" w:cs="Times New Roman"/>
        </w:rPr>
        <w:t>the</w:t>
      </w:r>
      <w:proofErr w:type="spellEnd"/>
      <w:r w:rsidR="0018552C" w:rsidRPr="00705170">
        <w:rPr>
          <w:rFonts w:ascii="Times New Roman" w:hAnsi="Times New Roman" w:cs="Times New Roman"/>
        </w:rPr>
        <w:t xml:space="preserve"> </w:t>
      </w:r>
      <w:proofErr w:type="spellStart"/>
      <w:r w:rsidR="0018552C" w:rsidRPr="00705170">
        <w:rPr>
          <w:rFonts w:ascii="Times New Roman" w:hAnsi="Times New Roman" w:cs="Times New Roman"/>
        </w:rPr>
        <w:t>petitioner’s</w:t>
      </w:r>
      <w:proofErr w:type="spellEnd"/>
      <w:r w:rsidR="0018552C" w:rsidRPr="00705170">
        <w:rPr>
          <w:rFonts w:ascii="Times New Roman" w:hAnsi="Times New Roman" w:cs="Times New Roman"/>
        </w:rPr>
        <w:t xml:space="preserve"> </w:t>
      </w:r>
      <w:proofErr w:type="spellStart"/>
      <w:r w:rsidR="0018552C" w:rsidRPr="00705170">
        <w:rPr>
          <w:rFonts w:ascii="Times New Roman" w:hAnsi="Times New Roman" w:cs="Times New Roman"/>
        </w:rPr>
        <w:t>claim</w:t>
      </w:r>
      <w:proofErr w:type="spellEnd"/>
      <w:r w:rsidR="0018552C" w:rsidRPr="00705170">
        <w:rPr>
          <w:rFonts w:ascii="Times New Roman" w:hAnsi="Times New Roman" w:cs="Times New Roman"/>
        </w:rPr>
        <w:t xml:space="preserve"> </w:t>
      </w:r>
      <w:proofErr w:type="spellStart"/>
      <w:r w:rsidR="0018552C" w:rsidRPr="00705170">
        <w:rPr>
          <w:rFonts w:ascii="Times New Roman" w:hAnsi="Times New Roman" w:cs="Times New Roman"/>
        </w:rPr>
        <w:t>suffices</w:t>
      </w:r>
      <w:proofErr w:type="spellEnd"/>
      <w:r w:rsidR="0018552C" w:rsidRPr="00705170">
        <w:rPr>
          <w:rFonts w:ascii="Times New Roman" w:hAnsi="Times New Roman" w:cs="Times New Roman"/>
        </w:rPr>
        <w:t xml:space="preserve"> </w:t>
      </w:r>
      <w:proofErr w:type="spellStart"/>
      <w:r w:rsidR="0018552C" w:rsidRPr="00705170">
        <w:rPr>
          <w:rFonts w:ascii="Times New Roman" w:hAnsi="Times New Roman" w:cs="Times New Roman"/>
        </w:rPr>
        <w:t>the</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just</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causes</w:t>
      </w:r>
      <w:proofErr w:type="spellEnd"/>
      <w:r w:rsidR="00263479" w:rsidRPr="00705170">
        <w:rPr>
          <w:rFonts w:ascii="Times New Roman" w:hAnsi="Times New Roman" w:cs="Times New Roman"/>
        </w:rPr>
        <w:t xml:space="preserve">” is not </w:t>
      </w:r>
      <w:proofErr w:type="spellStart"/>
      <w:r w:rsidR="00263479" w:rsidRPr="00705170">
        <w:rPr>
          <w:rFonts w:ascii="Times New Roman" w:hAnsi="Times New Roman" w:cs="Times New Roman"/>
        </w:rPr>
        <w:t>enough</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for</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the</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court</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to</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grant</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the</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dissolution</w:t>
      </w:r>
      <w:proofErr w:type="spellEnd"/>
      <w:r w:rsidR="00263479" w:rsidRPr="00705170">
        <w:rPr>
          <w:rFonts w:ascii="Times New Roman" w:hAnsi="Times New Roman" w:cs="Times New Roman"/>
        </w:rPr>
        <w:t xml:space="preserve"> of </w:t>
      </w:r>
      <w:proofErr w:type="spellStart"/>
      <w:r w:rsidR="00263479" w:rsidRPr="00705170">
        <w:rPr>
          <w:rFonts w:ascii="Times New Roman" w:hAnsi="Times New Roman" w:cs="Times New Roman"/>
        </w:rPr>
        <w:t>the</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corporation</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the</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alleged</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just</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causes</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should</w:t>
      </w:r>
      <w:proofErr w:type="spellEnd"/>
      <w:r w:rsidR="00263479" w:rsidRPr="00705170">
        <w:rPr>
          <w:rFonts w:ascii="Times New Roman" w:hAnsi="Times New Roman" w:cs="Times New Roman"/>
        </w:rPr>
        <w:t xml:space="preserve"> be </w:t>
      </w:r>
      <w:proofErr w:type="spellStart"/>
      <w:r w:rsidR="00263479" w:rsidRPr="00705170">
        <w:rPr>
          <w:rFonts w:ascii="Times New Roman" w:hAnsi="Times New Roman" w:cs="Times New Roman"/>
        </w:rPr>
        <w:t>sufficient</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to</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justify</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the</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dissolution</w:t>
      </w:r>
      <w:proofErr w:type="spellEnd"/>
      <w:r w:rsidR="00263479" w:rsidRPr="00705170">
        <w:rPr>
          <w:rFonts w:ascii="Times New Roman" w:hAnsi="Times New Roman" w:cs="Times New Roman"/>
        </w:rPr>
        <w:t xml:space="preserve"> of </w:t>
      </w:r>
      <w:proofErr w:type="spellStart"/>
      <w:r w:rsidR="00263479" w:rsidRPr="00705170">
        <w:rPr>
          <w:rFonts w:ascii="Times New Roman" w:hAnsi="Times New Roman" w:cs="Times New Roman"/>
        </w:rPr>
        <w:t>the</w:t>
      </w:r>
      <w:proofErr w:type="spellEnd"/>
      <w:r w:rsidR="00263479" w:rsidRPr="00705170">
        <w:rPr>
          <w:rFonts w:ascii="Times New Roman" w:hAnsi="Times New Roman" w:cs="Times New Roman"/>
        </w:rPr>
        <w:t xml:space="preserve"> </w:t>
      </w:r>
      <w:proofErr w:type="spellStart"/>
      <w:r w:rsidR="00263479" w:rsidRPr="00705170">
        <w:rPr>
          <w:rFonts w:ascii="Times New Roman" w:hAnsi="Times New Roman" w:cs="Times New Roman"/>
        </w:rPr>
        <w:t>corporation</w:t>
      </w:r>
      <w:proofErr w:type="spellEnd"/>
      <w:r w:rsidR="00263479" w:rsidRPr="00705170">
        <w:rPr>
          <w:rStyle w:val="DipnotBavurusu"/>
          <w:rFonts w:ascii="Times New Roman" w:hAnsi="Times New Roman" w:cs="Times New Roman"/>
        </w:rPr>
        <w:footnoteReference w:id="865"/>
      </w:r>
      <w:r w:rsidR="00263479" w:rsidRPr="00705170">
        <w:rPr>
          <w:rFonts w:ascii="Times New Roman" w:hAnsi="Times New Roman" w:cs="Times New Roman"/>
        </w:rPr>
        <w:t>.</w:t>
      </w:r>
      <w:r w:rsidR="000F6682" w:rsidRPr="00705170">
        <w:rPr>
          <w:rFonts w:ascii="Times New Roman" w:hAnsi="Times New Roman" w:cs="Times New Roman"/>
        </w:rPr>
        <w:t xml:space="preserve"> </w:t>
      </w:r>
      <w:proofErr w:type="spellStart"/>
      <w:r w:rsidR="000F6682" w:rsidRPr="00705170">
        <w:rPr>
          <w:rFonts w:ascii="Times New Roman" w:hAnsi="Times New Roman" w:cs="Times New Roman"/>
        </w:rPr>
        <w:t>These</w:t>
      </w:r>
      <w:proofErr w:type="spellEnd"/>
      <w:r w:rsidR="000F6682" w:rsidRPr="00705170">
        <w:rPr>
          <w:rFonts w:ascii="Times New Roman" w:hAnsi="Times New Roman" w:cs="Times New Roman"/>
        </w:rPr>
        <w:t xml:space="preserve"> </w:t>
      </w:r>
      <w:proofErr w:type="spellStart"/>
      <w:r w:rsidR="000F6682" w:rsidRPr="00705170">
        <w:rPr>
          <w:rFonts w:ascii="Times New Roman" w:hAnsi="Times New Roman" w:cs="Times New Roman"/>
        </w:rPr>
        <w:t>causes</w:t>
      </w:r>
      <w:proofErr w:type="spellEnd"/>
      <w:r w:rsidR="000F6682" w:rsidRPr="00705170">
        <w:rPr>
          <w:rFonts w:ascii="Times New Roman" w:hAnsi="Times New Roman" w:cs="Times New Roman"/>
        </w:rPr>
        <w:t xml:space="preserve"> </w:t>
      </w:r>
      <w:proofErr w:type="spellStart"/>
      <w:r w:rsidR="000F6682" w:rsidRPr="00705170">
        <w:rPr>
          <w:rFonts w:ascii="Times New Roman" w:hAnsi="Times New Roman" w:cs="Times New Roman"/>
        </w:rPr>
        <w:t>should</w:t>
      </w:r>
      <w:proofErr w:type="spellEnd"/>
      <w:r w:rsidR="000F6682" w:rsidRPr="00705170">
        <w:rPr>
          <w:rFonts w:ascii="Times New Roman" w:hAnsi="Times New Roman" w:cs="Times New Roman"/>
        </w:rPr>
        <w:t xml:space="preserve"> be </w:t>
      </w:r>
      <w:proofErr w:type="spellStart"/>
      <w:r w:rsidR="000F6682" w:rsidRPr="00705170">
        <w:rPr>
          <w:rFonts w:ascii="Times New Roman" w:hAnsi="Times New Roman" w:cs="Times New Roman"/>
        </w:rPr>
        <w:t>evidenced</w:t>
      </w:r>
      <w:proofErr w:type="spellEnd"/>
      <w:r w:rsidR="000F6682" w:rsidRPr="00705170">
        <w:rPr>
          <w:rFonts w:ascii="Times New Roman" w:hAnsi="Times New Roman" w:cs="Times New Roman"/>
        </w:rPr>
        <w:t xml:space="preserve"> </w:t>
      </w:r>
      <w:proofErr w:type="spellStart"/>
      <w:r w:rsidR="000F6682" w:rsidRPr="00705170">
        <w:rPr>
          <w:rFonts w:ascii="Times New Roman" w:hAnsi="Times New Roman" w:cs="Times New Roman"/>
        </w:rPr>
        <w:t>by</w:t>
      </w:r>
      <w:proofErr w:type="spellEnd"/>
      <w:r w:rsidR="000F6682" w:rsidRPr="00705170">
        <w:rPr>
          <w:rFonts w:ascii="Times New Roman" w:hAnsi="Times New Roman" w:cs="Times New Roman"/>
        </w:rPr>
        <w:t xml:space="preserve"> </w:t>
      </w:r>
      <w:proofErr w:type="spellStart"/>
      <w:r w:rsidR="000F6682" w:rsidRPr="00705170">
        <w:rPr>
          <w:rFonts w:ascii="Times New Roman" w:hAnsi="Times New Roman" w:cs="Times New Roman"/>
        </w:rPr>
        <w:t>objective</w:t>
      </w:r>
      <w:proofErr w:type="spellEnd"/>
      <w:r w:rsidR="000F6682" w:rsidRPr="00705170">
        <w:rPr>
          <w:rFonts w:ascii="Times New Roman" w:hAnsi="Times New Roman" w:cs="Times New Roman"/>
        </w:rPr>
        <w:t xml:space="preserve"> </w:t>
      </w:r>
      <w:proofErr w:type="spellStart"/>
      <w:r w:rsidR="000F6682" w:rsidRPr="00705170">
        <w:rPr>
          <w:rFonts w:ascii="Times New Roman" w:hAnsi="Times New Roman" w:cs="Times New Roman"/>
        </w:rPr>
        <w:t>facts</w:t>
      </w:r>
      <w:proofErr w:type="spellEnd"/>
      <w:r w:rsidR="000F6682" w:rsidRPr="00705170">
        <w:rPr>
          <w:rStyle w:val="DipnotBavurusu"/>
          <w:rFonts w:ascii="Times New Roman" w:hAnsi="Times New Roman" w:cs="Times New Roman"/>
        </w:rPr>
        <w:footnoteReference w:id="866"/>
      </w:r>
      <w:r w:rsidR="000F6682" w:rsidRPr="00705170">
        <w:rPr>
          <w:rFonts w:ascii="Times New Roman" w:hAnsi="Times New Roman" w:cs="Times New Roman"/>
        </w:rPr>
        <w:t>.</w:t>
      </w:r>
      <w:r w:rsidR="00E62CFB" w:rsidRPr="00705170">
        <w:rPr>
          <w:rFonts w:ascii="Times New Roman" w:hAnsi="Times New Roman" w:cs="Times New Roman"/>
        </w:rPr>
        <w:t xml:space="preserve"> </w:t>
      </w:r>
      <w:r w:rsidR="008A0F25" w:rsidRPr="00705170">
        <w:rPr>
          <w:rFonts w:ascii="Times New Roman" w:hAnsi="Times New Roman" w:cs="Times New Roman"/>
        </w:rPr>
        <w:t xml:space="preserve">On </w:t>
      </w:r>
      <w:proofErr w:type="spellStart"/>
      <w:r w:rsidR="008A0F25" w:rsidRPr="00705170">
        <w:rPr>
          <w:rFonts w:ascii="Times New Roman" w:hAnsi="Times New Roman" w:cs="Times New Roman"/>
        </w:rPr>
        <w:t>the</w:t>
      </w:r>
      <w:proofErr w:type="spellEnd"/>
      <w:r w:rsidR="008A0F25" w:rsidRPr="00705170">
        <w:rPr>
          <w:rFonts w:ascii="Times New Roman" w:hAnsi="Times New Roman" w:cs="Times New Roman"/>
        </w:rPr>
        <w:t xml:space="preserve"> </w:t>
      </w:r>
      <w:proofErr w:type="spellStart"/>
      <w:r w:rsidR="008A0F25" w:rsidRPr="00705170">
        <w:rPr>
          <w:rFonts w:ascii="Times New Roman" w:hAnsi="Times New Roman" w:cs="Times New Roman"/>
        </w:rPr>
        <w:t>other</w:t>
      </w:r>
      <w:proofErr w:type="spellEnd"/>
      <w:r w:rsidR="008A0F25" w:rsidRPr="00705170">
        <w:rPr>
          <w:rFonts w:ascii="Times New Roman" w:hAnsi="Times New Roman" w:cs="Times New Roman"/>
        </w:rPr>
        <w:t xml:space="preserve"> </w:t>
      </w:r>
      <w:proofErr w:type="spellStart"/>
      <w:r w:rsidR="008A0F25" w:rsidRPr="00705170">
        <w:rPr>
          <w:rFonts w:ascii="Times New Roman" w:hAnsi="Times New Roman" w:cs="Times New Roman"/>
        </w:rPr>
        <w:t>hand</w:t>
      </w:r>
      <w:proofErr w:type="spellEnd"/>
      <w:r w:rsidR="008A0F25" w:rsidRPr="00705170">
        <w:rPr>
          <w:rFonts w:ascii="Times New Roman" w:hAnsi="Times New Roman" w:cs="Times New Roman"/>
        </w:rPr>
        <w:t xml:space="preserve">, </w:t>
      </w:r>
      <w:proofErr w:type="spellStart"/>
      <w:r w:rsidR="008A0F25" w:rsidRPr="00705170">
        <w:rPr>
          <w:rFonts w:ascii="Times New Roman" w:hAnsi="Times New Roman" w:cs="Times New Roman"/>
        </w:rPr>
        <w:t>the</w:t>
      </w:r>
      <w:proofErr w:type="spellEnd"/>
      <w:r w:rsidR="008A0F25" w:rsidRPr="00705170">
        <w:rPr>
          <w:rFonts w:ascii="Times New Roman" w:hAnsi="Times New Roman" w:cs="Times New Roman"/>
        </w:rPr>
        <w:t xml:space="preserve"> </w:t>
      </w:r>
      <w:proofErr w:type="spellStart"/>
      <w:r w:rsidR="008A0F25" w:rsidRPr="00705170">
        <w:rPr>
          <w:rFonts w:ascii="Times New Roman" w:hAnsi="Times New Roman" w:cs="Times New Roman"/>
        </w:rPr>
        <w:t>prior</w:t>
      </w:r>
      <w:proofErr w:type="spellEnd"/>
      <w:r w:rsidR="008A0F25" w:rsidRPr="00705170">
        <w:rPr>
          <w:rFonts w:ascii="Times New Roman" w:hAnsi="Times New Roman" w:cs="Times New Roman"/>
        </w:rPr>
        <w:t xml:space="preserve"> element </w:t>
      </w:r>
      <w:proofErr w:type="spellStart"/>
      <w:r w:rsidR="008A0F25" w:rsidRPr="00705170">
        <w:rPr>
          <w:rFonts w:ascii="Times New Roman" w:hAnsi="Times New Roman" w:cs="Times New Roman"/>
        </w:rPr>
        <w:t>requires</w:t>
      </w:r>
      <w:proofErr w:type="spellEnd"/>
      <w:r w:rsidR="008A0F25" w:rsidRPr="00705170">
        <w:rPr>
          <w:rFonts w:ascii="Times New Roman" w:hAnsi="Times New Roman" w:cs="Times New Roman"/>
        </w:rPr>
        <w:t xml:space="preserve"> </w:t>
      </w:r>
      <w:proofErr w:type="spellStart"/>
      <w:r w:rsidR="008A0F25" w:rsidRPr="00705170">
        <w:rPr>
          <w:rFonts w:ascii="Times New Roman" w:hAnsi="Times New Roman" w:cs="Times New Roman"/>
        </w:rPr>
        <w:t>that</w:t>
      </w:r>
      <w:proofErr w:type="spellEnd"/>
      <w:r w:rsidR="008A0F25" w:rsidRPr="00705170">
        <w:rPr>
          <w:rFonts w:ascii="Times New Roman" w:hAnsi="Times New Roman" w:cs="Times New Roman"/>
        </w:rPr>
        <w:t xml:space="preserve"> </w:t>
      </w:r>
      <w:proofErr w:type="spellStart"/>
      <w:r w:rsidR="00E62CFB" w:rsidRPr="00705170">
        <w:rPr>
          <w:rFonts w:ascii="Times New Roman" w:hAnsi="Times New Roman" w:cs="Times New Roman"/>
        </w:rPr>
        <w:t>petitioners</w:t>
      </w:r>
      <w:proofErr w:type="spellEnd"/>
      <w:r w:rsidR="00E62CFB" w:rsidRPr="00705170">
        <w:rPr>
          <w:rFonts w:ascii="Times New Roman" w:hAnsi="Times New Roman" w:cs="Times New Roman"/>
        </w:rPr>
        <w:t xml:space="preserve"> of </w:t>
      </w:r>
      <w:proofErr w:type="spellStart"/>
      <w:r w:rsidR="00E62CFB" w:rsidRPr="00705170">
        <w:rPr>
          <w:rFonts w:ascii="Times New Roman" w:hAnsi="Times New Roman" w:cs="Times New Roman"/>
        </w:rPr>
        <w:t>the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case</w:t>
      </w:r>
      <w:proofErr w:type="spellEnd"/>
      <w:r w:rsidR="00E62CFB" w:rsidRPr="00705170">
        <w:rPr>
          <w:rFonts w:ascii="Times New Roman" w:hAnsi="Times New Roman" w:cs="Times New Roman"/>
        </w:rPr>
        <w:t xml:space="preserve">; (1) </w:t>
      </w:r>
      <w:proofErr w:type="spellStart"/>
      <w:r w:rsidR="00E62CFB" w:rsidRPr="00705170">
        <w:rPr>
          <w:rFonts w:ascii="Times New Roman" w:hAnsi="Times New Roman" w:cs="Times New Roman"/>
        </w:rPr>
        <w:t>should</w:t>
      </w:r>
      <w:proofErr w:type="spellEnd"/>
      <w:r w:rsidR="00E62CFB" w:rsidRPr="00705170">
        <w:rPr>
          <w:rFonts w:ascii="Times New Roman" w:hAnsi="Times New Roman" w:cs="Times New Roman"/>
        </w:rPr>
        <w:t xml:space="preserve"> be “</w:t>
      </w:r>
      <w:proofErr w:type="spellStart"/>
      <w:r w:rsidR="00E62CFB" w:rsidRPr="00705170">
        <w:rPr>
          <w:rFonts w:ascii="Times New Roman" w:hAnsi="Times New Roman" w:cs="Times New Roman"/>
        </w:rPr>
        <w:t>holders</w:t>
      </w:r>
      <w:proofErr w:type="spellEnd"/>
      <w:r w:rsidR="00E62CFB" w:rsidRPr="00705170">
        <w:rPr>
          <w:rFonts w:ascii="Times New Roman" w:hAnsi="Times New Roman" w:cs="Times New Roman"/>
        </w:rPr>
        <w:t xml:space="preserve"> of </w:t>
      </w:r>
      <w:proofErr w:type="spellStart"/>
      <w:r w:rsidR="00E62CFB" w:rsidRPr="00705170">
        <w:rPr>
          <w:rFonts w:ascii="Times New Roman" w:hAnsi="Times New Roman" w:cs="Times New Roman"/>
        </w:rPr>
        <w:t>shares</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representing</w:t>
      </w:r>
      <w:proofErr w:type="spellEnd"/>
      <w:r w:rsidR="00E62CFB" w:rsidRPr="00705170">
        <w:rPr>
          <w:rFonts w:ascii="Times New Roman" w:hAnsi="Times New Roman" w:cs="Times New Roman"/>
        </w:rPr>
        <w:t xml:space="preserve"> at </w:t>
      </w:r>
      <w:proofErr w:type="spellStart"/>
      <w:r w:rsidR="00E62CFB" w:rsidRPr="00705170">
        <w:rPr>
          <w:rFonts w:ascii="Times New Roman" w:hAnsi="Times New Roman" w:cs="Times New Roman"/>
        </w:rPr>
        <w:t>least</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five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percent</w:t>
      </w:r>
      <w:proofErr w:type="spellEnd"/>
      <w:r w:rsidR="00E62CFB" w:rsidRPr="00705170">
        <w:rPr>
          <w:rFonts w:ascii="Times New Roman" w:hAnsi="Times New Roman" w:cs="Times New Roman"/>
        </w:rPr>
        <w:t xml:space="preserve"> of </w:t>
      </w:r>
      <w:proofErr w:type="spellStart"/>
      <w:r w:rsidR="00E62CFB" w:rsidRPr="00705170">
        <w:rPr>
          <w:rFonts w:ascii="Times New Roman" w:hAnsi="Times New Roman" w:cs="Times New Roman"/>
        </w:rPr>
        <w:t>the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share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capital</w:t>
      </w:r>
      <w:proofErr w:type="spellEnd"/>
      <w:r w:rsidR="00E62CFB" w:rsidRPr="00705170">
        <w:rPr>
          <w:rFonts w:ascii="Times New Roman" w:hAnsi="Times New Roman" w:cs="Times New Roman"/>
        </w:rPr>
        <w:t>”</w:t>
      </w:r>
      <w:r w:rsidR="00D74808">
        <w:rPr>
          <w:rFonts w:ascii="Times New Roman" w:hAnsi="Times New Roman" w:cs="Times New Roman"/>
        </w:rPr>
        <w:t xml:space="preserve"> in </w:t>
      </w:r>
      <w:proofErr w:type="spellStart"/>
      <w:r w:rsidR="00D74808">
        <w:rPr>
          <w:rFonts w:ascii="Times New Roman" w:hAnsi="Times New Roman" w:cs="Times New Roman"/>
        </w:rPr>
        <w:t>publicly</w:t>
      </w:r>
      <w:proofErr w:type="spellEnd"/>
      <w:r w:rsidR="00D74808">
        <w:rPr>
          <w:rFonts w:ascii="Times New Roman" w:hAnsi="Times New Roman" w:cs="Times New Roman"/>
        </w:rPr>
        <w:t xml:space="preserve"> </w:t>
      </w:r>
      <w:proofErr w:type="spellStart"/>
      <w:r w:rsidR="00D74808">
        <w:rPr>
          <w:rFonts w:ascii="Times New Roman" w:hAnsi="Times New Roman" w:cs="Times New Roman"/>
        </w:rPr>
        <w:t>traded</w:t>
      </w:r>
      <w:proofErr w:type="spellEnd"/>
      <w:r w:rsidR="00D74808">
        <w:rPr>
          <w:rFonts w:ascii="Times New Roman" w:hAnsi="Times New Roman" w:cs="Times New Roman"/>
        </w:rPr>
        <w:t xml:space="preserve"> </w:t>
      </w:r>
      <w:proofErr w:type="spellStart"/>
      <w:r w:rsidR="00D74808">
        <w:rPr>
          <w:rFonts w:ascii="Times New Roman" w:hAnsi="Times New Roman" w:cs="Times New Roman"/>
        </w:rPr>
        <w:t>corporations</w:t>
      </w:r>
      <w:proofErr w:type="spellEnd"/>
      <w:r w:rsidR="004B3A84">
        <w:rPr>
          <w:rFonts w:ascii="Times New Roman" w:hAnsi="Times New Roman" w:cs="Times New Roman"/>
        </w:rPr>
        <w:t xml:space="preserve"> (</w:t>
      </w:r>
      <w:proofErr w:type="spellStart"/>
      <w:r w:rsidR="00E62CFB" w:rsidRPr="00705170">
        <w:rPr>
          <w:rFonts w:ascii="Times New Roman" w:hAnsi="Times New Roman" w:cs="Times New Roman"/>
        </w:rPr>
        <w:t>the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percentage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requirement</w:t>
      </w:r>
      <w:proofErr w:type="spellEnd"/>
      <w:r w:rsidR="00E62CFB" w:rsidRPr="00705170">
        <w:rPr>
          <w:rFonts w:ascii="Times New Roman" w:hAnsi="Times New Roman" w:cs="Times New Roman"/>
        </w:rPr>
        <w:t xml:space="preserve"> can be </w:t>
      </w:r>
      <w:proofErr w:type="spellStart"/>
      <w:r w:rsidR="00E62CFB" w:rsidRPr="00705170">
        <w:rPr>
          <w:rFonts w:ascii="Times New Roman" w:hAnsi="Times New Roman" w:cs="Times New Roman"/>
        </w:rPr>
        <w:t>fulfilled</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by</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just</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one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or</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together</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lastRenderedPageBreak/>
        <w:t>with</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other</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shareholders</w:t>
      </w:r>
      <w:proofErr w:type="spellEnd"/>
      <w:r w:rsidR="004B3A84">
        <w:rPr>
          <w:rFonts w:ascii="Times New Roman" w:hAnsi="Times New Roman" w:cs="Times New Roman"/>
        </w:rPr>
        <w:t>)</w:t>
      </w:r>
      <w:r w:rsidR="00E62CFB" w:rsidRPr="00705170">
        <w:rPr>
          <w:rFonts w:ascii="Times New Roman" w:hAnsi="Times New Roman" w:cs="Times New Roman"/>
        </w:rPr>
        <w:t>,</w:t>
      </w:r>
      <w:r w:rsidR="004B3A84">
        <w:rPr>
          <w:rFonts w:ascii="Times New Roman" w:hAnsi="Times New Roman" w:cs="Times New Roman"/>
        </w:rPr>
        <w:t xml:space="preserve"> </w:t>
      </w:r>
      <w:proofErr w:type="spellStart"/>
      <w:r w:rsidR="004B3A84">
        <w:rPr>
          <w:rFonts w:ascii="Times New Roman" w:hAnsi="Times New Roman" w:cs="Times New Roman"/>
        </w:rPr>
        <w:t>and</w:t>
      </w:r>
      <w:proofErr w:type="spellEnd"/>
      <w:r w:rsidR="00E62CFB" w:rsidRPr="00705170">
        <w:rPr>
          <w:rFonts w:ascii="Times New Roman" w:hAnsi="Times New Roman" w:cs="Times New Roman"/>
        </w:rPr>
        <w:t xml:space="preserve"> (</w:t>
      </w:r>
      <w:r w:rsidR="004B3A84">
        <w:rPr>
          <w:rFonts w:ascii="Times New Roman" w:hAnsi="Times New Roman" w:cs="Times New Roman"/>
        </w:rPr>
        <w:t>2</w:t>
      </w:r>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the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shareholder</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status</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should</w:t>
      </w:r>
      <w:proofErr w:type="spellEnd"/>
      <w:r w:rsidR="00E62CFB" w:rsidRPr="00705170">
        <w:rPr>
          <w:rFonts w:ascii="Times New Roman" w:hAnsi="Times New Roman" w:cs="Times New Roman"/>
        </w:rPr>
        <w:t xml:space="preserve"> be </w:t>
      </w:r>
      <w:proofErr w:type="spellStart"/>
      <w:r w:rsidR="00E62CFB" w:rsidRPr="00705170">
        <w:rPr>
          <w:rFonts w:ascii="Times New Roman" w:hAnsi="Times New Roman" w:cs="Times New Roman"/>
        </w:rPr>
        <w:t>present</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both</w:t>
      </w:r>
      <w:proofErr w:type="spellEnd"/>
      <w:r w:rsidR="00E62CFB" w:rsidRPr="00705170">
        <w:rPr>
          <w:rFonts w:ascii="Times New Roman" w:hAnsi="Times New Roman" w:cs="Times New Roman"/>
        </w:rPr>
        <w:t xml:space="preserve"> at </w:t>
      </w:r>
      <w:proofErr w:type="spellStart"/>
      <w:r w:rsidR="00E62CFB" w:rsidRPr="00705170">
        <w:rPr>
          <w:rFonts w:ascii="Times New Roman" w:hAnsi="Times New Roman" w:cs="Times New Roman"/>
        </w:rPr>
        <w:t>the</w:t>
      </w:r>
      <w:proofErr w:type="spellEnd"/>
      <w:r w:rsidR="00E62CFB" w:rsidRPr="00705170">
        <w:rPr>
          <w:rFonts w:ascii="Times New Roman" w:hAnsi="Times New Roman" w:cs="Times New Roman"/>
        </w:rPr>
        <w:t xml:space="preserve"> time of </w:t>
      </w:r>
      <w:proofErr w:type="spellStart"/>
      <w:r w:rsidR="00E62CFB" w:rsidRPr="00705170">
        <w:rPr>
          <w:rFonts w:ascii="Times New Roman" w:hAnsi="Times New Roman" w:cs="Times New Roman"/>
        </w:rPr>
        <w:t>the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filing</w:t>
      </w:r>
      <w:proofErr w:type="spellEnd"/>
      <w:r w:rsidR="00E62CFB" w:rsidRPr="00705170">
        <w:rPr>
          <w:rFonts w:ascii="Times New Roman" w:hAnsi="Times New Roman" w:cs="Times New Roman"/>
        </w:rPr>
        <w:t xml:space="preserve"> of </w:t>
      </w:r>
      <w:proofErr w:type="spellStart"/>
      <w:r w:rsidR="00E62CFB" w:rsidRPr="00705170">
        <w:rPr>
          <w:rFonts w:ascii="Times New Roman" w:hAnsi="Times New Roman" w:cs="Times New Roman"/>
        </w:rPr>
        <w:t>the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suit</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and</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the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proceeding</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and</w:t>
      </w:r>
      <w:proofErr w:type="spellEnd"/>
      <w:r w:rsidR="00E62CFB" w:rsidRPr="00705170">
        <w:rPr>
          <w:rFonts w:ascii="Times New Roman" w:hAnsi="Times New Roman" w:cs="Times New Roman"/>
        </w:rPr>
        <w:t xml:space="preserve"> at </w:t>
      </w:r>
      <w:proofErr w:type="spellStart"/>
      <w:r w:rsidR="00E62CFB" w:rsidRPr="00705170">
        <w:rPr>
          <w:rFonts w:ascii="Times New Roman" w:hAnsi="Times New Roman" w:cs="Times New Roman"/>
        </w:rPr>
        <w:t>the</w:t>
      </w:r>
      <w:proofErr w:type="spellEnd"/>
      <w:r w:rsidR="00E62CFB" w:rsidRPr="00705170">
        <w:rPr>
          <w:rFonts w:ascii="Times New Roman" w:hAnsi="Times New Roman" w:cs="Times New Roman"/>
        </w:rPr>
        <w:t xml:space="preserve"> time of </w:t>
      </w:r>
      <w:proofErr w:type="spellStart"/>
      <w:r w:rsidR="00E62CFB" w:rsidRPr="00705170">
        <w:rPr>
          <w:rFonts w:ascii="Times New Roman" w:hAnsi="Times New Roman" w:cs="Times New Roman"/>
        </w:rPr>
        <w:t>alleged</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just</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cause’s</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occurance</w:t>
      </w:r>
      <w:proofErr w:type="spellEnd"/>
      <w:r w:rsidR="00E62CFB" w:rsidRPr="00705170">
        <w:rPr>
          <w:rStyle w:val="DipnotBavurusu"/>
          <w:rFonts w:ascii="Times New Roman" w:hAnsi="Times New Roman" w:cs="Times New Roman"/>
        </w:rPr>
        <w:footnoteReference w:id="867"/>
      </w:r>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The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defendant</w:t>
      </w:r>
      <w:proofErr w:type="spellEnd"/>
      <w:r w:rsidR="00E62CFB" w:rsidRPr="00705170">
        <w:rPr>
          <w:rFonts w:ascii="Times New Roman" w:hAnsi="Times New Roman" w:cs="Times New Roman"/>
        </w:rPr>
        <w:t xml:space="preserve"> of </w:t>
      </w:r>
      <w:proofErr w:type="spellStart"/>
      <w:r w:rsidR="00E62CFB" w:rsidRPr="00705170">
        <w:rPr>
          <w:rFonts w:ascii="Times New Roman" w:hAnsi="Times New Roman" w:cs="Times New Roman"/>
        </w:rPr>
        <w:t>the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case</w:t>
      </w:r>
      <w:proofErr w:type="spellEnd"/>
      <w:r w:rsidR="00E62CFB" w:rsidRPr="00705170">
        <w:rPr>
          <w:rFonts w:ascii="Times New Roman" w:hAnsi="Times New Roman" w:cs="Times New Roman"/>
        </w:rPr>
        <w:t xml:space="preserve"> is </w:t>
      </w:r>
      <w:proofErr w:type="spellStart"/>
      <w:r w:rsidR="00E62CFB" w:rsidRPr="00705170">
        <w:rPr>
          <w:rFonts w:ascii="Times New Roman" w:hAnsi="Times New Roman" w:cs="Times New Roman"/>
        </w:rPr>
        <w:t>the</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corporation</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itself</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and</w:t>
      </w:r>
      <w:proofErr w:type="spellEnd"/>
      <w:r w:rsidR="00E62CFB" w:rsidRPr="00705170">
        <w:rPr>
          <w:rFonts w:ascii="Times New Roman" w:hAnsi="Times New Roman" w:cs="Times New Roman"/>
        </w:rPr>
        <w:t xml:space="preserve"> it </w:t>
      </w:r>
      <w:proofErr w:type="spellStart"/>
      <w:r w:rsidR="00E62CFB" w:rsidRPr="00705170">
        <w:rPr>
          <w:rFonts w:ascii="Times New Roman" w:hAnsi="Times New Roman" w:cs="Times New Roman"/>
        </w:rPr>
        <w:t>will</w:t>
      </w:r>
      <w:proofErr w:type="spellEnd"/>
      <w:r w:rsidR="00E62CFB" w:rsidRPr="00705170">
        <w:rPr>
          <w:rFonts w:ascii="Times New Roman" w:hAnsi="Times New Roman" w:cs="Times New Roman"/>
        </w:rPr>
        <w:t xml:space="preserve"> be </w:t>
      </w:r>
      <w:proofErr w:type="spellStart"/>
      <w:r w:rsidR="00E62CFB" w:rsidRPr="00705170">
        <w:rPr>
          <w:rFonts w:ascii="Times New Roman" w:hAnsi="Times New Roman" w:cs="Times New Roman"/>
        </w:rPr>
        <w:t>represented</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by</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its</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statutorily</w:t>
      </w:r>
      <w:proofErr w:type="spellEnd"/>
      <w:r w:rsidR="00E62CFB" w:rsidRPr="00705170">
        <w:rPr>
          <w:rFonts w:ascii="Times New Roman" w:hAnsi="Times New Roman" w:cs="Times New Roman"/>
        </w:rPr>
        <w:t xml:space="preserve"> </w:t>
      </w:r>
      <w:proofErr w:type="spellStart"/>
      <w:r w:rsidR="00E62CFB" w:rsidRPr="00705170">
        <w:rPr>
          <w:rFonts w:ascii="Times New Roman" w:hAnsi="Times New Roman" w:cs="Times New Roman"/>
        </w:rPr>
        <w:t>authorized</w:t>
      </w:r>
      <w:proofErr w:type="spellEnd"/>
      <w:r w:rsidR="00E62CFB" w:rsidRPr="00705170">
        <w:rPr>
          <w:rFonts w:ascii="Times New Roman" w:hAnsi="Times New Roman" w:cs="Times New Roman"/>
        </w:rPr>
        <w:t xml:space="preserve"> organ, </w:t>
      </w:r>
      <w:proofErr w:type="spellStart"/>
      <w:r w:rsidR="00E62CFB" w:rsidRPr="00705170">
        <w:rPr>
          <w:rFonts w:ascii="Times New Roman" w:hAnsi="Times New Roman" w:cs="Times New Roman"/>
        </w:rPr>
        <w:t>the</w:t>
      </w:r>
      <w:proofErr w:type="spellEnd"/>
      <w:r w:rsidR="00E62CFB" w:rsidRPr="00705170">
        <w:rPr>
          <w:rFonts w:ascii="Times New Roman" w:hAnsi="Times New Roman" w:cs="Times New Roman"/>
        </w:rPr>
        <w:t xml:space="preserve"> board of </w:t>
      </w:r>
      <w:proofErr w:type="spellStart"/>
      <w:r w:rsidR="00E62CFB" w:rsidRPr="00705170">
        <w:rPr>
          <w:rFonts w:ascii="Times New Roman" w:hAnsi="Times New Roman" w:cs="Times New Roman"/>
        </w:rPr>
        <w:t>directors</w:t>
      </w:r>
      <w:proofErr w:type="spellEnd"/>
      <w:r w:rsidR="00E62CFB" w:rsidRPr="00705170">
        <w:rPr>
          <w:rStyle w:val="DipnotBavurusu"/>
          <w:rFonts w:ascii="Times New Roman" w:hAnsi="Times New Roman" w:cs="Times New Roman"/>
        </w:rPr>
        <w:footnoteReference w:id="868"/>
      </w:r>
      <w:r w:rsidR="00E62CFB" w:rsidRPr="00705170">
        <w:rPr>
          <w:rFonts w:ascii="Times New Roman" w:hAnsi="Times New Roman" w:cs="Times New Roman"/>
        </w:rPr>
        <w:t xml:space="preserve">. </w:t>
      </w:r>
    </w:p>
    <w:p w14:paraId="48382F38" w14:textId="33993BEE" w:rsidR="0065757F" w:rsidRPr="00705170" w:rsidRDefault="0065757F" w:rsidP="0027389E">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legislative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intent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structuring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primarily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interests</w:t>
      </w:r>
      <w:proofErr w:type="spellEnd"/>
      <w:r w:rsidRPr="00705170">
        <w:rPr>
          <w:rStyle w:val="DipnotBavurusu"/>
          <w:rFonts w:ascii="Times New Roman" w:hAnsi="Times New Roman" w:cs="Times New Roman"/>
        </w:rPr>
        <w:footnoteReference w:id="869"/>
      </w:r>
      <w:r w:rsidRPr="00705170">
        <w:rPr>
          <w:rFonts w:ascii="Times New Roman" w:hAnsi="Times New Roman" w:cs="Times New Roman"/>
        </w:rPr>
        <w:t xml:space="preserve">. </w:t>
      </w:r>
      <w:proofErr w:type="spellStart"/>
      <w:r w:rsidRPr="00705170">
        <w:rPr>
          <w:rFonts w:ascii="Times New Roman" w:hAnsi="Times New Roman" w:cs="Times New Roman"/>
        </w:rPr>
        <w:t>Accordingly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broad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discretion</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determining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element is </w:t>
      </w:r>
      <w:proofErr w:type="spellStart"/>
      <w:r w:rsidRPr="00705170">
        <w:rPr>
          <w:rFonts w:ascii="Times New Roman" w:hAnsi="Times New Roman" w:cs="Times New Roman"/>
        </w:rPr>
        <w:t>satisfied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adequate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remedy</w:t>
      </w:r>
      <w:proofErr w:type="spellEnd"/>
      <w:r w:rsidRPr="00705170">
        <w:rPr>
          <w:rStyle w:val="DipnotBavurusu"/>
          <w:rFonts w:ascii="Times New Roman" w:hAnsi="Times New Roman" w:cs="Times New Roman"/>
        </w:rPr>
        <w:footnoteReference w:id="870"/>
      </w:r>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Official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TCC </w:t>
      </w:r>
      <w:proofErr w:type="spellStart"/>
      <w:r w:rsidRPr="00705170">
        <w:rPr>
          <w:rFonts w:ascii="Times New Roman" w:hAnsi="Times New Roman" w:cs="Times New Roman"/>
        </w:rPr>
        <w:t>Article</w:t>
      </w:r>
      <w:proofErr w:type="spellEnd"/>
      <w:r w:rsidRPr="00705170">
        <w:rPr>
          <w:rFonts w:ascii="Times New Roman" w:hAnsi="Times New Roman" w:cs="Times New Roman"/>
        </w:rPr>
        <w:t xml:space="preserve"> 531 </w:t>
      </w:r>
      <w:proofErr w:type="spellStart"/>
      <w:r w:rsidRPr="00705170">
        <w:rPr>
          <w:rFonts w:ascii="Times New Roman" w:hAnsi="Times New Roman" w:cs="Times New Roman"/>
        </w:rPr>
        <w:t>explicitly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expresses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definition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element</w:t>
      </w:r>
      <w:r w:rsidR="009C5626" w:rsidRPr="00705170">
        <w:rPr>
          <w:rFonts w:ascii="Times New Roman" w:hAnsi="Times New Roman" w:cs="Times New Roman"/>
        </w:rPr>
        <w: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alternative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left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scholarship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rationale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enacting</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statute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hands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over</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broad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courts</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explained</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follows</w:t>
      </w:r>
      <w:proofErr w:type="spellEnd"/>
      <w:r w:rsidRPr="00705170">
        <w:rPr>
          <w:rFonts w:ascii="Times New Roman" w:hAnsi="Times New Roman" w:cs="Times New Roman"/>
        </w:rPr>
        <w:t>: “</w:t>
      </w:r>
      <w:proofErr w:type="spellStart"/>
      <w:r w:rsidRPr="00705170">
        <w:rPr>
          <w:rFonts w:ascii="Times New Roman" w:hAnsi="Times New Roman" w:cs="Times New Roman"/>
        </w:rPr>
        <w:t>When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Parliament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enacts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broad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brush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approach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often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makes</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difficult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distinguish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between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different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types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companies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different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types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transactions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courts</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examine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specific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sitations</w:t>
      </w:r>
      <w:proofErr w:type="spellEnd"/>
      <w:r w:rsidRPr="00705170">
        <w:rPr>
          <w:rFonts w:ascii="Times New Roman" w:hAnsi="Times New Roman" w:cs="Times New Roman"/>
        </w:rPr>
        <w:t xml:space="preserve"> on a </w:t>
      </w:r>
      <w:proofErr w:type="spellStart"/>
      <w:r w:rsidRPr="00705170">
        <w:rPr>
          <w:rFonts w:ascii="Times New Roman" w:hAnsi="Times New Roman" w:cs="Times New Roman"/>
        </w:rPr>
        <w:t>case-by-case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provide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fit </w:t>
      </w:r>
      <w:proofErr w:type="spellStart"/>
      <w:r w:rsidRPr="00705170">
        <w:rPr>
          <w:rFonts w:ascii="Times New Roman" w:hAnsi="Times New Roman" w:cs="Times New Roman"/>
        </w:rPr>
        <w:t>particular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circumstances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difficult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Parliament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do. </w:t>
      </w:r>
      <w:proofErr w:type="spellStart"/>
      <w:r w:rsidRPr="00705170">
        <w:rPr>
          <w:rFonts w:ascii="Times New Roman" w:hAnsi="Times New Roman" w:cs="Times New Roman"/>
        </w:rPr>
        <w:t>Perhaps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example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development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little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doubt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now</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effective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available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871"/>
      </w:r>
      <w:r w:rsidRPr="00705170">
        <w:rPr>
          <w:rFonts w:ascii="Times New Roman" w:hAnsi="Times New Roman" w:cs="Times New Roman"/>
        </w:rPr>
        <w:t>.</w:t>
      </w:r>
    </w:p>
    <w:p w14:paraId="1658FA2A" w14:textId="45E4729F" w:rsidR="002707C9" w:rsidRPr="00705170" w:rsidRDefault="00F3390F" w:rsidP="002707C9">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lastRenderedPageBreak/>
        <w:t>The</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provision</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itself</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does</w:t>
      </w:r>
      <w:proofErr w:type="spellEnd"/>
      <w:r w:rsidR="005F6B00" w:rsidRPr="00705170">
        <w:rPr>
          <w:rFonts w:ascii="Times New Roman" w:hAnsi="Times New Roman" w:cs="Times New Roman"/>
        </w:rPr>
        <w:t xml:space="preserve"> not </w:t>
      </w:r>
      <w:proofErr w:type="spellStart"/>
      <w:r w:rsidR="005F6B00" w:rsidRPr="00705170">
        <w:rPr>
          <w:rFonts w:ascii="Times New Roman" w:hAnsi="Times New Roman" w:cs="Times New Roman"/>
        </w:rPr>
        <w:t>have</w:t>
      </w:r>
      <w:proofErr w:type="spellEnd"/>
      <w:r w:rsidR="005F6B00" w:rsidRPr="00705170">
        <w:rPr>
          <w:rFonts w:ascii="Times New Roman" w:hAnsi="Times New Roman" w:cs="Times New Roman"/>
        </w:rPr>
        <w:t xml:space="preserve"> a “</w:t>
      </w:r>
      <w:proofErr w:type="spellStart"/>
      <w:r w:rsidR="005F6B00" w:rsidRPr="00705170">
        <w:rPr>
          <w:rFonts w:ascii="Times New Roman" w:hAnsi="Times New Roman" w:cs="Times New Roman"/>
        </w:rPr>
        <w:t>fault</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requirement</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thus</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nei</w:t>
      </w:r>
      <w:r w:rsidRPr="00705170">
        <w:rPr>
          <w:rFonts w:ascii="Times New Roman" w:hAnsi="Times New Roman" w:cs="Times New Roman"/>
        </w:rPr>
        <w:t>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petitioning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w:t>
      </w:r>
      <w:r w:rsidR="0027389E" w:rsidRPr="00705170">
        <w:rPr>
          <w:rFonts w:ascii="Times New Roman" w:hAnsi="Times New Roman" w:cs="Times New Roman"/>
        </w:rPr>
        <w:t>rs</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nor</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the</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shareholders</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who</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caused</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the</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dissension</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should</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have</w:t>
      </w:r>
      <w:proofErr w:type="spellEnd"/>
      <w:r w:rsidR="005F6B00" w:rsidRPr="00705170">
        <w:rPr>
          <w:rFonts w:ascii="Times New Roman" w:hAnsi="Times New Roman" w:cs="Times New Roman"/>
        </w:rPr>
        <w:t xml:space="preserve"> a </w:t>
      </w:r>
      <w:proofErr w:type="spellStart"/>
      <w:r w:rsidR="005F6B00" w:rsidRPr="00705170">
        <w:rPr>
          <w:rFonts w:ascii="Times New Roman" w:hAnsi="Times New Roman" w:cs="Times New Roman"/>
        </w:rPr>
        <w:t>fault</w:t>
      </w:r>
      <w:proofErr w:type="spellEnd"/>
      <w:r w:rsidR="005F6B00" w:rsidRPr="00705170">
        <w:rPr>
          <w:rStyle w:val="DipnotBavurusu"/>
          <w:rFonts w:ascii="Times New Roman" w:hAnsi="Times New Roman" w:cs="Times New Roman"/>
        </w:rPr>
        <w:footnoteReference w:id="872"/>
      </w:r>
      <w:r w:rsidR="005F6B00" w:rsidRPr="00705170">
        <w:rPr>
          <w:rFonts w:ascii="Times New Roman" w:hAnsi="Times New Roman" w:cs="Times New Roman"/>
        </w:rPr>
        <w:t xml:space="preserve">. </w:t>
      </w:r>
      <w:r w:rsidR="002707C9" w:rsidRPr="00705170">
        <w:rPr>
          <w:rFonts w:ascii="Times New Roman" w:hAnsi="Times New Roman" w:cs="Times New Roman"/>
        </w:rPr>
        <w:t>A “</w:t>
      </w:r>
      <w:proofErr w:type="spellStart"/>
      <w:r w:rsidR="002707C9" w:rsidRPr="00705170">
        <w:rPr>
          <w:rFonts w:ascii="Times New Roman" w:hAnsi="Times New Roman" w:cs="Times New Roman"/>
        </w:rPr>
        <w:t>just</w:t>
      </w:r>
      <w:proofErr w:type="spellEnd"/>
      <w:r w:rsidR="002707C9" w:rsidRPr="00705170">
        <w:rPr>
          <w:rFonts w:ascii="Times New Roman" w:hAnsi="Times New Roman" w:cs="Times New Roman"/>
        </w:rPr>
        <w:t xml:space="preserve"> </w:t>
      </w:r>
      <w:proofErr w:type="spellStart"/>
      <w:r w:rsidR="002707C9" w:rsidRPr="00705170">
        <w:rPr>
          <w:rFonts w:ascii="Times New Roman" w:hAnsi="Times New Roman" w:cs="Times New Roman"/>
        </w:rPr>
        <w:t>cause</w:t>
      </w:r>
      <w:proofErr w:type="spellEnd"/>
      <w:r w:rsidR="002707C9" w:rsidRPr="00705170">
        <w:rPr>
          <w:rFonts w:ascii="Times New Roman" w:hAnsi="Times New Roman" w:cs="Times New Roman"/>
        </w:rPr>
        <w:t xml:space="preserve">” can </w:t>
      </w:r>
      <w:proofErr w:type="spellStart"/>
      <w:r w:rsidR="002707C9" w:rsidRPr="00705170">
        <w:rPr>
          <w:rFonts w:ascii="Times New Roman" w:hAnsi="Times New Roman" w:cs="Times New Roman"/>
        </w:rPr>
        <w:t>occur</w:t>
      </w:r>
      <w:proofErr w:type="spellEnd"/>
      <w:r w:rsidR="002707C9" w:rsidRPr="00705170">
        <w:rPr>
          <w:rFonts w:ascii="Times New Roman" w:hAnsi="Times New Roman" w:cs="Times New Roman"/>
        </w:rPr>
        <w:t xml:space="preserve"> </w:t>
      </w:r>
      <w:proofErr w:type="spellStart"/>
      <w:r w:rsidR="002707C9" w:rsidRPr="00705170">
        <w:rPr>
          <w:rFonts w:ascii="Times New Roman" w:hAnsi="Times New Roman" w:cs="Times New Roman"/>
        </w:rPr>
        <w:t>even</w:t>
      </w:r>
      <w:proofErr w:type="spellEnd"/>
      <w:r w:rsidR="002707C9" w:rsidRPr="00705170">
        <w:rPr>
          <w:rFonts w:ascii="Times New Roman" w:hAnsi="Times New Roman" w:cs="Times New Roman"/>
        </w:rPr>
        <w:t xml:space="preserve"> </w:t>
      </w:r>
      <w:proofErr w:type="spellStart"/>
      <w:r w:rsidR="002707C9" w:rsidRPr="00705170">
        <w:rPr>
          <w:rFonts w:ascii="Times New Roman" w:hAnsi="Times New Roman" w:cs="Times New Roman"/>
        </w:rPr>
        <w:t>without</w:t>
      </w:r>
      <w:proofErr w:type="spellEnd"/>
      <w:r w:rsidR="002707C9" w:rsidRPr="00705170">
        <w:rPr>
          <w:rFonts w:ascii="Times New Roman" w:hAnsi="Times New Roman" w:cs="Times New Roman"/>
        </w:rPr>
        <w:t xml:space="preserve"> </w:t>
      </w:r>
      <w:proofErr w:type="spellStart"/>
      <w:r w:rsidR="002707C9" w:rsidRPr="00705170">
        <w:rPr>
          <w:rFonts w:ascii="Times New Roman" w:hAnsi="Times New Roman" w:cs="Times New Roman"/>
        </w:rPr>
        <w:t>the</w:t>
      </w:r>
      <w:proofErr w:type="spellEnd"/>
      <w:r w:rsidR="002707C9" w:rsidRPr="00705170">
        <w:rPr>
          <w:rFonts w:ascii="Times New Roman" w:hAnsi="Times New Roman" w:cs="Times New Roman"/>
        </w:rPr>
        <w:t xml:space="preserve"> </w:t>
      </w:r>
      <w:proofErr w:type="spellStart"/>
      <w:r w:rsidR="002707C9" w:rsidRPr="00705170">
        <w:rPr>
          <w:rFonts w:ascii="Times New Roman" w:hAnsi="Times New Roman" w:cs="Times New Roman"/>
        </w:rPr>
        <w:t>fault</w:t>
      </w:r>
      <w:proofErr w:type="spellEnd"/>
      <w:r w:rsidR="002707C9" w:rsidRPr="00705170">
        <w:rPr>
          <w:rFonts w:ascii="Times New Roman" w:hAnsi="Times New Roman" w:cs="Times New Roman"/>
        </w:rPr>
        <w:t xml:space="preserve"> of </w:t>
      </w:r>
      <w:proofErr w:type="spellStart"/>
      <w:r w:rsidR="002707C9" w:rsidRPr="00705170">
        <w:rPr>
          <w:rFonts w:ascii="Times New Roman" w:hAnsi="Times New Roman" w:cs="Times New Roman"/>
        </w:rPr>
        <w:t>any</w:t>
      </w:r>
      <w:proofErr w:type="spellEnd"/>
      <w:r w:rsidR="002707C9" w:rsidRPr="00705170">
        <w:rPr>
          <w:rFonts w:ascii="Times New Roman" w:hAnsi="Times New Roman" w:cs="Times New Roman"/>
        </w:rPr>
        <w:t xml:space="preserve"> </w:t>
      </w:r>
      <w:proofErr w:type="spellStart"/>
      <w:r w:rsidR="002707C9" w:rsidRPr="00705170">
        <w:rPr>
          <w:rFonts w:ascii="Times New Roman" w:hAnsi="Times New Roman" w:cs="Times New Roman"/>
        </w:rPr>
        <w:t>party</w:t>
      </w:r>
      <w:proofErr w:type="spellEnd"/>
      <w:r w:rsidR="002707C9" w:rsidRPr="00705170">
        <w:rPr>
          <w:rStyle w:val="DipnotBavurusu"/>
          <w:rFonts w:ascii="Times New Roman" w:hAnsi="Times New Roman" w:cs="Times New Roman"/>
        </w:rPr>
        <w:footnoteReference w:id="873"/>
      </w:r>
      <w:r w:rsidR="002707C9" w:rsidRPr="00705170">
        <w:rPr>
          <w:rFonts w:ascii="Times New Roman" w:hAnsi="Times New Roman" w:cs="Times New Roman"/>
        </w:rPr>
        <w:t xml:space="preserve">. </w:t>
      </w:r>
      <w:proofErr w:type="spellStart"/>
      <w:r w:rsidR="005F6B00" w:rsidRPr="00705170">
        <w:rPr>
          <w:rFonts w:ascii="Times New Roman" w:hAnsi="Times New Roman" w:cs="Times New Roman"/>
        </w:rPr>
        <w:t>However</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the</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petitioning</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shareholder’s</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fault</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may</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give</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rise</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to</w:t>
      </w:r>
      <w:proofErr w:type="spellEnd"/>
      <w:r w:rsidR="005F6B00" w:rsidRPr="00705170">
        <w:rPr>
          <w:rFonts w:ascii="Times New Roman" w:hAnsi="Times New Roman" w:cs="Times New Roman"/>
        </w:rPr>
        <w:t xml:space="preserve"> a </w:t>
      </w:r>
      <w:proofErr w:type="spellStart"/>
      <w:r w:rsidR="005F6B00" w:rsidRPr="00705170">
        <w:rPr>
          <w:rFonts w:ascii="Times New Roman" w:hAnsi="Times New Roman" w:cs="Times New Roman"/>
        </w:rPr>
        <w:t>claim</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that</w:t>
      </w:r>
      <w:proofErr w:type="spellEnd"/>
      <w:r w:rsidR="005F6B00" w:rsidRPr="00705170">
        <w:rPr>
          <w:rFonts w:ascii="Times New Roman" w:hAnsi="Times New Roman" w:cs="Times New Roman"/>
        </w:rPr>
        <w:t xml:space="preserve"> he is </w:t>
      </w:r>
      <w:proofErr w:type="spellStart"/>
      <w:r w:rsidR="005F6B00" w:rsidRPr="00705170">
        <w:rPr>
          <w:rFonts w:ascii="Times New Roman" w:hAnsi="Times New Roman" w:cs="Times New Roman"/>
        </w:rPr>
        <w:t>abusing</w:t>
      </w:r>
      <w:proofErr w:type="spellEnd"/>
      <w:r w:rsidR="005F6B00" w:rsidRPr="00705170">
        <w:rPr>
          <w:rFonts w:ascii="Times New Roman" w:hAnsi="Times New Roman" w:cs="Times New Roman"/>
        </w:rPr>
        <w:t xml:space="preserve"> his </w:t>
      </w:r>
      <w:proofErr w:type="spellStart"/>
      <w:r w:rsidR="005F6B00" w:rsidRPr="00705170">
        <w:rPr>
          <w:rFonts w:ascii="Times New Roman" w:hAnsi="Times New Roman" w:cs="Times New Roman"/>
        </w:rPr>
        <w:t>rights</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under</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the</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rules</w:t>
      </w:r>
      <w:proofErr w:type="spellEnd"/>
      <w:r w:rsidR="005F6B00" w:rsidRPr="00705170">
        <w:rPr>
          <w:rFonts w:ascii="Times New Roman" w:hAnsi="Times New Roman" w:cs="Times New Roman"/>
        </w:rPr>
        <w:t xml:space="preserve"> of </w:t>
      </w:r>
      <w:proofErr w:type="spellStart"/>
      <w:r w:rsidR="005F6B00" w:rsidRPr="00705170">
        <w:rPr>
          <w:rFonts w:ascii="Times New Roman" w:hAnsi="Times New Roman" w:cs="Times New Roman"/>
        </w:rPr>
        <w:t>good</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faith</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and</w:t>
      </w:r>
      <w:proofErr w:type="spellEnd"/>
      <w:r w:rsidR="005F6B00" w:rsidRPr="00705170">
        <w:rPr>
          <w:rFonts w:ascii="Times New Roman" w:hAnsi="Times New Roman" w:cs="Times New Roman"/>
        </w:rPr>
        <w:t xml:space="preserve"> </w:t>
      </w:r>
      <w:proofErr w:type="spellStart"/>
      <w:r w:rsidR="005F6B00" w:rsidRPr="00705170">
        <w:rPr>
          <w:rFonts w:ascii="Times New Roman" w:hAnsi="Times New Roman" w:cs="Times New Roman"/>
        </w:rPr>
        <w:t>this</w:t>
      </w:r>
      <w:proofErr w:type="spellEnd"/>
      <w:r w:rsidR="005F6B00" w:rsidRPr="00705170">
        <w:rPr>
          <w:rFonts w:ascii="Times New Roman" w:hAnsi="Times New Roman" w:cs="Times New Roman"/>
        </w:rPr>
        <w:t xml:space="preserve"> can bar his </w:t>
      </w:r>
      <w:proofErr w:type="spellStart"/>
      <w:r w:rsidR="005F6B00" w:rsidRPr="00705170">
        <w:rPr>
          <w:rFonts w:ascii="Times New Roman" w:hAnsi="Times New Roman" w:cs="Times New Roman"/>
        </w:rPr>
        <w:t>application</w:t>
      </w:r>
      <w:proofErr w:type="spellEnd"/>
      <w:r w:rsidR="005F6B00" w:rsidRPr="00705170">
        <w:rPr>
          <w:rStyle w:val="DipnotBavurusu"/>
          <w:rFonts w:ascii="Times New Roman" w:hAnsi="Times New Roman" w:cs="Times New Roman"/>
        </w:rPr>
        <w:footnoteReference w:id="874"/>
      </w:r>
      <w:r w:rsidR="005B722A" w:rsidRPr="00705170">
        <w:rPr>
          <w:rFonts w:ascii="Times New Roman" w:hAnsi="Times New Roman" w:cs="Times New Roman"/>
        </w:rPr>
        <w:t xml:space="preserve">, </w:t>
      </w:r>
      <w:proofErr w:type="spellStart"/>
      <w:r w:rsidR="005B722A" w:rsidRPr="00705170">
        <w:rPr>
          <w:rFonts w:ascii="Times New Roman" w:hAnsi="Times New Roman" w:cs="Times New Roman"/>
        </w:rPr>
        <w:t>or</w:t>
      </w:r>
      <w:proofErr w:type="spellEnd"/>
      <w:r w:rsidR="005B722A" w:rsidRPr="00705170">
        <w:rPr>
          <w:rFonts w:ascii="Times New Roman" w:hAnsi="Times New Roman" w:cs="Times New Roman"/>
        </w:rPr>
        <w:t xml:space="preserve"> can </w:t>
      </w:r>
      <w:proofErr w:type="spellStart"/>
      <w:r w:rsidR="005B722A" w:rsidRPr="00705170">
        <w:rPr>
          <w:rFonts w:ascii="Times New Roman" w:hAnsi="Times New Roman" w:cs="Times New Roman"/>
        </w:rPr>
        <w:t>effect</w:t>
      </w:r>
      <w:proofErr w:type="spellEnd"/>
      <w:r w:rsidR="005B722A" w:rsidRPr="00705170">
        <w:rPr>
          <w:rFonts w:ascii="Times New Roman" w:hAnsi="Times New Roman" w:cs="Times New Roman"/>
        </w:rPr>
        <w:t xml:space="preserve"> </w:t>
      </w:r>
      <w:proofErr w:type="spellStart"/>
      <w:r w:rsidR="005B722A" w:rsidRPr="00705170">
        <w:rPr>
          <w:rFonts w:ascii="Times New Roman" w:hAnsi="Times New Roman" w:cs="Times New Roman"/>
        </w:rPr>
        <w:t>the</w:t>
      </w:r>
      <w:proofErr w:type="spellEnd"/>
      <w:r w:rsidR="005B722A" w:rsidRPr="00705170">
        <w:rPr>
          <w:rFonts w:ascii="Times New Roman" w:hAnsi="Times New Roman" w:cs="Times New Roman"/>
        </w:rPr>
        <w:t xml:space="preserve"> </w:t>
      </w:r>
      <w:proofErr w:type="spellStart"/>
      <w:r w:rsidR="005B722A" w:rsidRPr="00705170">
        <w:rPr>
          <w:rFonts w:ascii="Times New Roman" w:hAnsi="Times New Roman" w:cs="Times New Roman"/>
        </w:rPr>
        <w:t>court’s</w:t>
      </w:r>
      <w:proofErr w:type="spellEnd"/>
      <w:r w:rsidR="005B722A" w:rsidRPr="00705170">
        <w:rPr>
          <w:rFonts w:ascii="Times New Roman" w:hAnsi="Times New Roman" w:cs="Times New Roman"/>
        </w:rPr>
        <w:t xml:space="preserve"> </w:t>
      </w:r>
      <w:proofErr w:type="spellStart"/>
      <w:r w:rsidR="005B722A" w:rsidRPr="00705170">
        <w:rPr>
          <w:rFonts w:ascii="Times New Roman" w:hAnsi="Times New Roman" w:cs="Times New Roman"/>
        </w:rPr>
        <w:t>decision</w:t>
      </w:r>
      <w:proofErr w:type="spellEnd"/>
      <w:r w:rsidR="005B722A" w:rsidRPr="00705170">
        <w:rPr>
          <w:rFonts w:ascii="Times New Roman" w:hAnsi="Times New Roman" w:cs="Times New Roman"/>
        </w:rPr>
        <w:t xml:space="preserve"> on </w:t>
      </w:r>
      <w:proofErr w:type="spellStart"/>
      <w:r w:rsidR="005B722A" w:rsidRPr="00705170">
        <w:rPr>
          <w:rFonts w:ascii="Times New Roman" w:hAnsi="Times New Roman" w:cs="Times New Roman"/>
        </w:rPr>
        <w:t>whether</w:t>
      </w:r>
      <w:proofErr w:type="spellEnd"/>
      <w:r w:rsidR="005B722A" w:rsidRPr="00705170">
        <w:rPr>
          <w:rFonts w:ascii="Times New Roman" w:hAnsi="Times New Roman" w:cs="Times New Roman"/>
        </w:rPr>
        <w:t xml:space="preserve"> </w:t>
      </w:r>
      <w:proofErr w:type="spellStart"/>
      <w:r w:rsidR="005B722A" w:rsidRPr="00705170">
        <w:rPr>
          <w:rFonts w:ascii="Times New Roman" w:hAnsi="Times New Roman" w:cs="Times New Roman"/>
        </w:rPr>
        <w:t>the</w:t>
      </w:r>
      <w:proofErr w:type="spellEnd"/>
      <w:r w:rsidR="005B722A" w:rsidRPr="00705170">
        <w:rPr>
          <w:rFonts w:ascii="Times New Roman" w:hAnsi="Times New Roman" w:cs="Times New Roman"/>
        </w:rPr>
        <w:t xml:space="preserve"> </w:t>
      </w:r>
      <w:proofErr w:type="spellStart"/>
      <w:r w:rsidR="005B722A" w:rsidRPr="00705170">
        <w:rPr>
          <w:rFonts w:ascii="Times New Roman" w:hAnsi="Times New Roman" w:cs="Times New Roman"/>
        </w:rPr>
        <w:t>conducts</w:t>
      </w:r>
      <w:proofErr w:type="spellEnd"/>
      <w:r w:rsidR="005B722A" w:rsidRPr="00705170">
        <w:rPr>
          <w:rFonts w:ascii="Times New Roman" w:hAnsi="Times New Roman" w:cs="Times New Roman"/>
        </w:rPr>
        <w:t xml:space="preserve"> </w:t>
      </w:r>
      <w:proofErr w:type="spellStart"/>
      <w:r w:rsidR="005B722A" w:rsidRPr="00705170">
        <w:rPr>
          <w:rFonts w:ascii="Times New Roman" w:hAnsi="Times New Roman" w:cs="Times New Roman"/>
        </w:rPr>
        <w:t>give</w:t>
      </w:r>
      <w:proofErr w:type="spellEnd"/>
      <w:r w:rsidR="005B722A" w:rsidRPr="00705170">
        <w:rPr>
          <w:rFonts w:ascii="Times New Roman" w:hAnsi="Times New Roman" w:cs="Times New Roman"/>
        </w:rPr>
        <w:t xml:space="preserve"> </w:t>
      </w:r>
      <w:proofErr w:type="spellStart"/>
      <w:r w:rsidR="005B722A" w:rsidRPr="00705170">
        <w:rPr>
          <w:rFonts w:ascii="Times New Roman" w:hAnsi="Times New Roman" w:cs="Times New Roman"/>
        </w:rPr>
        <w:t>rise</w:t>
      </w:r>
      <w:proofErr w:type="spellEnd"/>
      <w:r w:rsidR="005B722A" w:rsidRPr="00705170">
        <w:rPr>
          <w:rFonts w:ascii="Times New Roman" w:hAnsi="Times New Roman" w:cs="Times New Roman"/>
        </w:rPr>
        <w:t xml:space="preserve"> </w:t>
      </w:r>
      <w:proofErr w:type="spellStart"/>
      <w:r w:rsidR="005B722A" w:rsidRPr="00705170">
        <w:rPr>
          <w:rFonts w:ascii="Times New Roman" w:hAnsi="Times New Roman" w:cs="Times New Roman"/>
        </w:rPr>
        <w:t>to</w:t>
      </w:r>
      <w:proofErr w:type="spellEnd"/>
      <w:r w:rsidR="005B722A" w:rsidRPr="00705170">
        <w:rPr>
          <w:rFonts w:ascii="Times New Roman" w:hAnsi="Times New Roman" w:cs="Times New Roman"/>
        </w:rPr>
        <w:t xml:space="preserve"> a “</w:t>
      </w:r>
      <w:proofErr w:type="spellStart"/>
      <w:r w:rsidR="005B722A" w:rsidRPr="00705170">
        <w:rPr>
          <w:rFonts w:ascii="Times New Roman" w:hAnsi="Times New Roman" w:cs="Times New Roman"/>
        </w:rPr>
        <w:t>just</w:t>
      </w:r>
      <w:proofErr w:type="spellEnd"/>
      <w:r w:rsidR="005B722A" w:rsidRPr="00705170">
        <w:rPr>
          <w:rFonts w:ascii="Times New Roman" w:hAnsi="Times New Roman" w:cs="Times New Roman"/>
        </w:rPr>
        <w:t xml:space="preserve"> </w:t>
      </w:r>
      <w:proofErr w:type="spellStart"/>
      <w:r w:rsidR="005B722A" w:rsidRPr="00705170">
        <w:rPr>
          <w:rFonts w:ascii="Times New Roman" w:hAnsi="Times New Roman" w:cs="Times New Roman"/>
        </w:rPr>
        <w:t>cause</w:t>
      </w:r>
      <w:proofErr w:type="spellEnd"/>
      <w:r w:rsidR="005B722A" w:rsidRPr="00705170">
        <w:rPr>
          <w:rFonts w:ascii="Times New Roman" w:hAnsi="Times New Roman" w:cs="Times New Roman"/>
        </w:rPr>
        <w:t xml:space="preserve">” </w:t>
      </w:r>
      <w:proofErr w:type="spellStart"/>
      <w:r w:rsidR="005B722A" w:rsidRPr="00705170">
        <w:rPr>
          <w:rFonts w:ascii="Times New Roman" w:hAnsi="Times New Roman" w:cs="Times New Roman"/>
        </w:rPr>
        <w:t>for</w:t>
      </w:r>
      <w:proofErr w:type="spellEnd"/>
      <w:r w:rsidR="005B722A" w:rsidRPr="00705170">
        <w:rPr>
          <w:rFonts w:ascii="Times New Roman" w:hAnsi="Times New Roman" w:cs="Times New Roman"/>
        </w:rPr>
        <w:t xml:space="preserve"> </w:t>
      </w:r>
      <w:proofErr w:type="spellStart"/>
      <w:r w:rsidR="005B722A" w:rsidRPr="00705170">
        <w:rPr>
          <w:rFonts w:ascii="Times New Roman" w:hAnsi="Times New Roman" w:cs="Times New Roman"/>
        </w:rPr>
        <w:t>dissolution</w:t>
      </w:r>
      <w:proofErr w:type="spellEnd"/>
      <w:r w:rsidR="005B722A" w:rsidRPr="00705170">
        <w:rPr>
          <w:rStyle w:val="DipnotBavurusu"/>
          <w:rFonts w:ascii="Times New Roman" w:hAnsi="Times New Roman" w:cs="Times New Roman"/>
        </w:rPr>
        <w:footnoteReference w:id="875"/>
      </w:r>
      <w:r w:rsidR="005B722A" w:rsidRPr="00705170">
        <w:rPr>
          <w:rFonts w:ascii="Times New Roman" w:hAnsi="Times New Roman" w:cs="Times New Roman"/>
        </w:rPr>
        <w:t>.</w:t>
      </w:r>
      <w:r w:rsidR="00964281" w:rsidRPr="00705170">
        <w:rPr>
          <w:rFonts w:ascii="Times New Roman" w:hAnsi="Times New Roman" w:cs="Times New Roman"/>
        </w:rPr>
        <w:t xml:space="preserve"> </w:t>
      </w:r>
      <w:proofErr w:type="spellStart"/>
      <w:r w:rsidR="0027389E" w:rsidRPr="00705170">
        <w:rPr>
          <w:rFonts w:ascii="Times New Roman" w:hAnsi="Times New Roman" w:cs="Times New Roman"/>
        </w:rPr>
        <w:t>Likewise</w:t>
      </w:r>
      <w:proofErr w:type="spellEnd"/>
      <w:r w:rsidR="0027389E" w:rsidRPr="00705170">
        <w:rPr>
          <w:rFonts w:ascii="Times New Roman" w:hAnsi="Times New Roman" w:cs="Times New Roman"/>
        </w:rPr>
        <w:t xml:space="preserve">, </w:t>
      </w:r>
      <w:proofErr w:type="spellStart"/>
      <w:r w:rsidR="0027389E" w:rsidRPr="00705170">
        <w:rPr>
          <w:rFonts w:ascii="Times New Roman" w:hAnsi="Times New Roman" w:cs="Times New Roman"/>
        </w:rPr>
        <w:t>injury</w:t>
      </w:r>
      <w:proofErr w:type="spellEnd"/>
      <w:r w:rsidR="0027389E" w:rsidRPr="00705170">
        <w:rPr>
          <w:rFonts w:ascii="Times New Roman" w:hAnsi="Times New Roman" w:cs="Times New Roman"/>
        </w:rPr>
        <w:t xml:space="preserve"> is not an element of </w:t>
      </w:r>
      <w:proofErr w:type="spellStart"/>
      <w:r w:rsidR="0027389E" w:rsidRPr="00705170">
        <w:rPr>
          <w:rFonts w:ascii="Times New Roman" w:hAnsi="Times New Roman" w:cs="Times New Roman"/>
        </w:rPr>
        <w:t>this</w:t>
      </w:r>
      <w:proofErr w:type="spellEnd"/>
      <w:r w:rsidR="0027389E" w:rsidRPr="00705170">
        <w:rPr>
          <w:rFonts w:ascii="Times New Roman" w:hAnsi="Times New Roman" w:cs="Times New Roman"/>
        </w:rPr>
        <w:t xml:space="preserve"> </w:t>
      </w:r>
      <w:proofErr w:type="spellStart"/>
      <w:r w:rsidR="0027389E" w:rsidRPr="00705170">
        <w:rPr>
          <w:rFonts w:ascii="Times New Roman" w:hAnsi="Times New Roman" w:cs="Times New Roman"/>
        </w:rPr>
        <w:t>action</w:t>
      </w:r>
      <w:proofErr w:type="spellEnd"/>
      <w:r w:rsidR="0027389E" w:rsidRPr="00705170">
        <w:rPr>
          <w:rStyle w:val="DipnotBavurusu"/>
          <w:rFonts w:ascii="Times New Roman" w:hAnsi="Times New Roman" w:cs="Times New Roman"/>
        </w:rPr>
        <w:footnoteReference w:id="876"/>
      </w:r>
      <w:r w:rsidR="0027389E" w:rsidRPr="00705170">
        <w:rPr>
          <w:rFonts w:ascii="Times New Roman" w:hAnsi="Times New Roman" w:cs="Times New Roman"/>
        </w:rPr>
        <w:t xml:space="preserve">, but can </w:t>
      </w:r>
      <w:proofErr w:type="spellStart"/>
      <w:r w:rsidR="0027389E" w:rsidRPr="00705170">
        <w:rPr>
          <w:rFonts w:ascii="Times New Roman" w:hAnsi="Times New Roman" w:cs="Times New Roman"/>
        </w:rPr>
        <w:t>effect</w:t>
      </w:r>
      <w:proofErr w:type="spellEnd"/>
      <w:r w:rsidR="0027389E" w:rsidRPr="00705170">
        <w:rPr>
          <w:rFonts w:ascii="Times New Roman" w:hAnsi="Times New Roman" w:cs="Times New Roman"/>
        </w:rPr>
        <w:t xml:space="preserve"> </w:t>
      </w:r>
      <w:proofErr w:type="spellStart"/>
      <w:r w:rsidR="0027389E" w:rsidRPr="00705170">
        <w:rPr>
          <w:rFonts w:ascii="Times New Roman" w:hAnsi="Times New Roman" w:cs="Times New Roman"/>
        </w:rPr>
        <w:t>court’s</w:t>
      </w:r>
      <w:proofErr w:type="spellEnd"/>
      <w:r w:rsidR="0027389E" w:rsidRPr="00705170">
        <w:rPr>
          <w:rFonts w:ascii="Times New Roman" w:hAnsi="Times New Roman" w:cs="Times New Roman"/>
        </w:rPr>
        <w:t xml:space="preserve"> </w:t>
      </w:r>
      <w:proofErr w:type="spellStart"/>
      <w:r w:rsidR="0027389E" w:rsidRPr="00705170">
        <w:rPr>
          <w:rFonts w:ascii="Times New Roman" w:hAnsi="Times New Roman" w:cs="Times New Roman"/>
        </w:rPr>
        <w:t>decision</w:t>
      </w:r>
      <w:proofErr w:type="spellEnd"/>
      <w:r w:rsidR="0027389E" w:rsidRPr="00705170">
        <w:rPr>
          <w:rFonts w:ascii="Times New Roman" w:hAnsi="Times New Roman" w:cs="Times New Roman"/>
        </w:rPr>
        <w:t xml:space="preserve"> on </w:t>
      </w:r>
      <w:proofErr w:type="spellStart"/>
      <w:r w:rsidR="0027389E" w:rsidRPr="00705170">
        <w:rPr>
          <w:rFonts w:ascii="Times New Roman" w:hAnsi="Times New Roman" w:cs="Times New Roman"/>
        </w:rPr>
        <w:t>whether</w:t>
      </w:r>
      <w:proofErr w:type="spellEnd"/>
      <w:r w:rsidR="0027389E" w:rsidRPr="00705170">
        <w:rPr>
          <w:rFonts w:ascii="Times New Roman" w:hAnsi="Times New Roman" w:cs="Times New Roman"/>
        </w:rPr>
        <w:t xml:space="preserve"> </w:t>
      </w:r>
      <w:proofErr w:type="spellStart"/>
      <w:r w:rsidR="0027389E" w:rsidRPr="00705170">
        <w:rPr>
          <w:rFonts w:ascii="Times New Roman" w:hAnsi="Times New Roman" w:cs="Times New Roman"/>
        </w:rPr>
        <w:t>the</w:t>
      </w:r>
      <w:proofErr w:type="spellEnd"/>
      <w:r w:rsidR="0027389E" w:rsidRPr="00705170">
        <w:rPr>
          <w:rFonts w:ascii="Times New Roman" w:hAnsi="Times New Roman" w:cs="Times New Roman"/>
        </w:rPr>
        <w:t xml:space="preserve"> </w:t>
      </w:r>
      <w:proofErr w:type="spellStart"/>
      <w:r w:rsidR="0027389E" w:rsidRPr="00705170">
        <w:rPr>
          <w:rFonts w:ascii="Times New Roman" w:hAnsi="Times New Roman" w:cs="Times New Roman"/>
        </w:rPr>
        <w:t>conduct</w:t>
      </w:r>
      <w:proofErr w:type="spellEnd"/>
      <w:r w:rsidR="0027389E" w:rsidRPr="00705170">
        <w:rPr>
          <w:rFonts w:ascii="Times New Roman" w:hAnsi="Times New Roman" w:cs="Times New Roman"/>
        </w:rPr>
        <w:t xml:space="preserve"> </w:t>
      </w:r>
      <w:proofErr w:type="spellStart"/>
      <w:r w:rsidR="0027389E" w:rsidRPr="00705170">
        <w:rPr>
          <w:rFonts w:ascii="Times New Roman" w:hAnsi="Times New Roman" w:cs="Times New Roman"/>
        </w:rPr>
        <w:t>gives</w:t>
      </w:r>
      <w:proofErr w:type="spellEnd"/>
      <w:r w:rsidR="0027389E" w:rsidRPr="00705170">
        <w:rPr>
          <w:rFonts w:ascii="Times New Roman" w:hAnsi="Times New Roman" w:cs="Times New Roman"/>
        </w:rPr>
        <w:t xml:space="preserve"> </w:t>
      </w:r>
      <w:proofErr w:type="spellStart"/>
      <w:r w:rsidR="0027389E" w:rsidRPr="00705170">
        <w:rPr>
          <w:rFonts w:ascii="Times New Roman" w:hAnsi="Times New Roman" w:cs="Times New Roman"/>
        </w:rPr>
        <w:t>rise</w:t>
      </w:r>
      <w:proofErr w:type="spellEnd"/>
      <w:r w:rsidR="0027389E" w:rsidRPr="00705170">
        <w:rPr>
          <w:rFonts w:ascii="Times New Roman" w:hAnsi="Times New Roman" w:cs="Times New Roman"/>
        </w:rPr>
        <w:t xml:space="preserve"> </w:t>
      </w:r>
      <w:proofErr w:type="spellStart"/>
      <w:r w:rsidR="0027389E" w:rsidRPr="00705170">
        <w:rPr>
          <w:rFonts w:ascii="Times New Roman" w:hAnsi="Times New Roman" w:cs="Times New Roman"/>
        </w:rPr>
        <w:t>to</w:t>
      </w:r>
      <w:proofErr w:type="spellEnd"/>
      <w:r w:rsidR="0027389E" w:rsidRPr="00705170">
        <w:rPr>
          <w:rFonts w:ascii="Times New Roman" w:hAnsi="Times New Roman" w:cs="Times New Roman"/>
        </w:rPr>
        <w:t xml:space="preserve"> “</w:t>
      </w:r>
      <w:proofErr w:type="spellStart"/>
      <w:r w:rsidR="0027389E" w:rsidRPr="00705170">
        <w:rPr>
          <w:rFonts w:ascii="Times New Roman" w:hAnsi="Times New Roman" w:cs="Times New Roman"/>
        </w:rPr>
        <w:t>just</w:t>
      </w:r>
      <w:proofErr w:type="spellEnd"/>
      <w:r w:rsidR="0027389E" w:rsidRPr="00705170">
        <w:rPr>
          <w:rFonts w:ascii="Times New Roman" w:hAnsi="Times New Roman" w:cs="Times New Roman"/>
        </w:rPr>
        <w:t xml:space="preserve"> </w:t>
      </w:r>
      <w:proofErr w:type="spellStart"/>
      <w:r w:rsidR="0027389E" w:rsidRPr="00705170">
        <w:rPr>
          <w:rFonts w:ascii="Times New Roman" w:hAnsi="Times New Roman" w:cs="Times New Roman"/>
        </w:rPr>
        <w:t>cause</w:t>
      </w:r>
      <w:proofErr w:type="spellEnd"/>
      <w:r w:rsidR="0027389E" w:rsidRPr="00705170">
        <w:rPr>
          <w:rFonts w:ascii="Times New Roman" w:hAnsi="Times New Roman" w:cs="Times New Roman"/>
        </w:rPr>
        <w:t>”.</w:t>
      </w:r>
    </w:p>
    <w:p w14:paraId="0482838A" w14:textId="6F0CC4B6" w:rsidR="008D2707" w:rsidRPr="00705170" w:rsidRDefault="00276C30" w:rsidP="002B30A5">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Pr="00705170">
        <w:rPr>
          <w:rFonts w:ascii="Times New Roman" w:hAnsi="Times New Roman" w:cs="Times New Roman"/>
        </w:rPr>
        <w:t>Although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commentators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opine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rationale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0007091C"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cannot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initiate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proceeding</w:t>
      </w:r>
      <w:proofErr w:type="spellEnd"/>
      <w:r w:rsidRPr="00705170">
        <w:rPr>
          <w:rStyle w:val="DipnotBavurusu"/>
          <w:rFonts w:ascii="Times New Roman" w:hAnsi="Times New Roman" w:cs="Times New Roman"/>
        </w:rPr>
        <w:footnoteReference w:id="877"/>
      </w:r>
      <w:r w:rsidR="0007091C"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reaching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conclusion</w:t>
      </w:r>
      <w:proofErr w:type="spellEnd"/>
      <w:r w:rsidRPr="00705170">
        <w:rPr>
          <w:rFonts w:ascii="Times New Roman" w:hAnsi="Times New Roman" w:cs="Times New Roman"/>
        </w:rPr>
        <w:t xml:space="preserve"> is not </w:t>
      </w:r>
      <w:proofErr w:type="spellStart"/>
      <w:r w:rsidRPr="00705170">
        <w:rPr>
          <w:rFonts w:ascii="Times New Roman" w:hAnsi="Times New Roman" w:cs="Times New Roman"/>
        </w:rPr>
        <w:t>possible</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explicit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restriction</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good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same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conclusion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circumstances</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abuses</w:t>
      </w:r>
      <w:proofErr w:type="spellEnd"/>
      <w:r w:rsidRPr="00705170">
        <w:rPr>
          <w:rFonts w:ascii="Times New Roman" w:hAnsi="Times New Roman" w:cs="Times New Roman"/>
        </w:rPr>
        <w:t xml:space="preserve"> his </w:t>
      </w:r>
      <w:proofErr w:type="spellStart"/>
      <w:r w:rsidRPr="00705170">
        <w:rPr>
          <w:rFonts w:ascii="Times New Roman" w:hAnsi="Times New Roman" w:cs="Times New Roman"/>
        </w:rPr>
        <w:t>power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nevertheless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demands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conclusion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cannot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conclusively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attributed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wording</w:t>
      </w:r>
      <w:proofErr w:type="spellEnd"/>
      <w:r w:rsidRPr="00705170">
        <w:rPr>
          <w:rFonts w:ascii="Times New Roman" w:hAnsi="Times New Roman" w:cs="Times New Roman"/>
        </w:rPr>
        <w:t>.</w:t>
      </w:r>
      <w:r w:rsidR="0027341D" w:rsidRPr="00705170">
        <w:rPr>
          <w:rFonts w:ascii="Times New Roman" w:hAnsi="Times New Roman" w:cs="Times New Roman"/>
        </w:rPr>
        <w:t xml:space="preserve"> </w:t>
      </w:r>
      <w:proofErr w:type="spellStart"/>
      <w:r w:rsidR="0027341D" w:rsidRPr="00705170">
        <w:rPr>
          <w:rFonts w:ascii="Times New Roman" w:hAnsi="Times New Roman" w:cs="Times New Roman"/>
        </w:rPr>
        <w:t>Accordingly</w:t>
      </w:r>
      <w:proofErr w:type="spellEnd"/>
      <w:r w:rsidR="0027341D" w:rsidRPr="00705170">
        <w:rPr>
          <w:rFonts w:ascii="Times New Roman" w:hAnsi="Times New Roman" w:cs="Times New Roman"/>
        </w:rPr>
        <w:t xml:space="preserve">, as </w:t>
      </w:r>
      <w:proofErr w:type="spellStart"/>
      <w:r w:rsidR="0027341D" w:rsidRPr="00705170">
        <w:rPr>
          <w:rFonts w:ascii="Times New Roman" w:hAnsi="Times New Roman" w:cs="Times New Roman"/>
        </w:rPr>
        <w:t>some</w:t>
      </w:r>
      <w:proofErr w:type="spellEnd"/>
      <w:r w:rsidR="0027341D" w:rsidRPr="00705170">
        <w:rPr>
          <w:rFonts w:ascii="Times New Roman" w:hAnsi="Times New Roman" w:cs="Times New Roman"/>
        </w:rPr>
        <w:t xml:space="preserve"> </w:t>
      </w:r>
      <w:proofErr w:type="spellStart"/>
      <w:r w:rsidR="0027341D" w:rsidRPr="00705170">
        <w:rPr>
          <w:rFonts w:ascii="Times New Roman" w:hAnsi="Times New Roman" w:cs="Times New Roman"/>
        </w:rPr>
        <w:t>other</w:t>
      </w:r>
      <w:proofErr w:type="spellEnd"/>
      <w:r w:rsidR="0027341D" w:rsidRPr="00705170">
        <w:rPr>
          <w:rFonts w:ascii="Times New Roman" w:hAnsi="Times New Roman" w:cs="Times New Roman"/>
        </w:rPr>
        <w:t xml:space="preserve"> </w:t>
      </w:r>
      <w:proofErr w:type="spellStart"/>
      <w:r w:rsidR="0027341D" w:rsidRPr="00705170">
        <w:rPr>
          <w:rFonts w:ascii="Times New Roman" w:hAnsi="Times New Roman" w:cs="Times New Roman"/>
        </w:rPr>
        <w:t>commentators</w:t>
      </w:r>
      <w:proofErr w:type="spellEnd"/>
      <w:r w:rsidR="0027341D" w:rsidRPr="00705170">
        <w:rPr>
          <w:rFonts w:ascii="Times New Roman" w:hAnsi="Times New Roman" w:cs="Times New Roman"/>
        </w:rPr>
        <w:t xml:space="preserve"> </w:t>
      </w:r>
      <w:proofErr w:type="spellStart"/>
      <w:r w:rsidR="0027341D" w:rsidRPr="00705170">
        <w:rPr>
          <w:rFonts w:ascii="Times New Roman" w:hAnsi="Times New Roman" w:cs="Times New Roman"/>
        </w:rPr>
        <w:t>express</w:t>
      </w:r>
      <w:proofErr w:type="spellEnd"/>
      <w:r w:rsidR="0027341D" w:rsidRPr="00705170">
        <w:rPr>
          <w:rFonts w:ascii="Times New Roman" w:hAnsi="Times New Roman" w:cs="Times New Roman"/>
        </w:rPr>
        <w:t xml:space="preserve">, </w:t>
      </w:r>
      <w:proofErr w:type="spellStart"/>
      <w:r w:rsidR="0027341D" w:rsidRPr="00705170">
        <w:rPr>
          <w:rFonts w:ascii="Times New Roman" w:hAnsi="Times New Roman" w:cs="Times New Roman"/>
        </w:rPr>
        <w:t>this</w:t>
      </w:r>
      <w:proofErr w:type="spellEnd"/>
      <w:r w:rsidR="0027341D" w:rsidRPr="00705170">
        <w:rPr>
          <w:rFonts w:ascii="Times New Roman" w:hAnsi="Times New Roman" w:cs="Times New Roman"/>
        </w:rPr>
        <w:t xml:space="preserve"> </w:t>
      </w:r>
      <w:proofErr w:type="spellStart"/>
      <w:r w:rsidR="0027341D" w:rsidRPr="00705170">
        <w:rPr>
          <w:rFonts w:ascii="Times New Roman" w:hAnsi="Times New Roman" w:cs="Times New Roman"/>
        </w:rPr>
        <w:t>issue</w:t>
      </w:r>
      <w:proofErr w:type="spellEnd"/>
      <w:r w:rsidR="0027341D" w:rsidRPr="00705170">
        <w:rPr>
          <w:rFonts w:ascii="Times New Roman" w:hAnsi="Times New Roman" w:cs="Times New Roman"/>
        </w:rPr>
        <w:t xml:space="preserve"> </w:t>
      </w:r>
      <w:proofErr w:type="spellStart"/>
      <w:r w:rsidR="0027341D" w:rsidRPr="00705170">
        <w:rPr>
          <w:rFonts w:ascii="Times New Roman" w:hAnsi="Times New Roman" w:cs="Times New Roman"/>
        </w:rPr>
        <w:t>should</w:t>
      </w:r>
      <w:proofErr w:type="spellEnd"/>
      <w:r w:rsidR="0027341D" w:rsidRPr="00705170">
        <w:rPr>
          <w:rFonts w:ascii="Times New Roman" w:hAnsi="Times New Roman" w:cs="Times New Roman"/>
        </w:rPr>
        <w:t xml:space="preserve"> be </w:t>
      </w:r>
      <w:proofErr w:type="spellStart"/>
      <w:r w:rsidR="0027341D" w:rsidRPr="00705170">
        <w:rPr>
          <w:rFonts w:ascii="Times New Roman" w:hAnsi="Times New Roman" w:cs="Times New Roman"/>
        </w:rPr>
        <w:t>concluded</w:t>
      </w:r>
      <w:proofErr w:type="spellEnd"/>
      <w:r w:rsidR="0027341D" w:rsidRPr="00705170">
        <w:rPr>
          <w:rFonts w:ascii="Times New Roman" w:hAnsi="Times New Roman" w:cs="Times New Roman"/>
        </w:rPr>
        <w:t xml:space="preserve"> </w:t>
      </w:r>
      <w:proofErr w:type="spellStart"/>
      <w:r w:rsidR="0027341D" w:rsidRPr="00705170">
        <w:rPr>
          <w:rFonts w:ascii="Times New Roman" w:hAnsi="Times New Roman" w:cs="Times New Roman"/>
        </w:rPr>
        <w:t>through</w:t>
      </w:r>
      <w:proofErr w:type="spellEnd"/>
      <w:r w:rsidR="0027341D" w:rsidRPr="00705170">
        <w:rPr>
          <w:rFonts w:ascii="Times New Roman" w:hAnsi="Times New Roman" w:cs="Times New Roman"/>
        </w:rPr>
        <w:t xml:space="preserve"> </w:t>
      </w:r>
      <w:proofErr w:type="spellStart"/>
      <w:r w:rsidR="0027341D" w:rsidRPr="00705170">
        <w:rPr>
          <w:rFonts w:ascii="Times New Roman" w:hAnsi="Times New Roman" w:cs="Times New Roman"/>
        </w:rPr>
        <w:t>the</w:t>
      </w:r>
      <w:proofErr w:type="spellEnd"/>
      <w:r w:rsidR="0027341D" w:rsidRPr="00705170">
        <w:rPr>
          <w:rFonts w:ascii="Times New Roman" w:hAnsi="Times New Roman" w:cs="Times New Roman"/>
        </w:rPr>
        <w:t xml:space="preserve"> </w:t>
      </w:r>
      <w:proofErr w:type="spellStart"/>
      <w:r w:rsidR="0007091C" w:rsidRPr="00705170">
        <w:rPr>
          <w:rFonts w:ascii="Times New Roman" w:hAnsi="Times New Roman" w:cs="Times New Roman"/>
        </w:rPr>
        <w:t>evaluation</w:t>
      </w:r>
      <w:proofErr w:type="spellEnd"/>
      <w:r w:rsidR="0007091C" w:rsidRPr="00705170">
        <w:rPr>
          <w:rFonts w:ascii="Times New Roman" w:hAnsi="Times New Roman" w:cs="Times New Roman"/>
        </w:rPr>
        <w:t xml:space="preserve"> of </w:t>
      </w:r>
      <w:proofErr w:type="spellStart"/>
      <w:r w:rsidR="0007091C" w:rsidRPr="00705170">
        <w:rPr>
          <w:rFonts w:ascii="Times New Roman" w:hAnsi="Times New Roman" w:cs="Times New Roman"/>
        </w:rPr>
        <w:t>the</w:t>
      </w:r>
      <w:proofErr w:type="spellEnd"/>
      <w:r w:rsidR="0007091C" w:rsidRPr="00705170">
        <w:rPr>
          <w:rFonts w:ascii="Times New Roman" w:hAnsi="Times New Roman" w:cs="Times New Roman"/>
        </w:rPr>
        <w:t xml:space="preserve"> </w:t>
      </w:r>
      <w:proofErr w:type="spellStart"/>
      <w:r w:rsidR="0027341D" w:rsidRPr="00705170">
        <w:rPr>
          <w:rFonts w:ascii="Times New Roman" w:hAnsi="Times New Roman" w:cs="Times New Roman"/>
        </w:rPr>
        <w:t>concept</w:t>
      </w:r>
      <w:proofErr w:type="spellEnd"/>
      <w:r w:rsidR="0027341D" w:rsidRPr="00705170">
        <w:rPr>
          <w:rFonts w:ascii="Times New Roman" w:hAnsi="Times New Roman" w:cs="Times New Roman"/>
        </w:rPr>
        <w:t xml:space="preserve"> of “</w:t>
      </w:r>
      <w:proofErr w:type="spellStart"/>
      <w:r w:rsidR="0027341D" w:rsidRPr="00705170">
        <w:rPr>
          <w:rFonts w:ascii="Times New Roman" w:hAnsi="Times New Roman" w:cs="Times New Roman"/>
        </w:rPr>
        <w:t>just</w:t>
      </w:r>
      <w:proofErr w:type="spellEnd"/>
      <w:r w:rsidR="0027341D" w:rsidRPr="00705170">
        <w:rPr>
          <w:rFonts w:ascii="Times New Roman" w:hAnsi="Times New Roman" w:cs="Times New Roman"/>
        </w:rPr>
        <w:t xml:space="preserve"> </w:t>
      </w:r>
      <w:proofErr w:type="spellStart"/>
      <w:r w:rsidR="0027341D" w:rsidRPr="00705170">
        <w:rPr>
          <w:rFonts w:ascii="Times New Roman" w:hAnsi="Times New Roman" w:cs="Times New Roman"/>
        </w:rPr>
        <w:t>cause</w:t>
      </w:r>
      <w:proofErr w:type="spellEnd"/>
      <w:r w:rsidR="0027341D" w:rsidRPr="00705170">
        <w:rPr>
          <w:rFonts w:ascii="Times New Roman" w:hAnsi="Times New Roman" w:cs="Times New Roman"/>
        </w:rPr>
        <w:t>”</w:t>
      </w:r>
      <w:r w:rsidR="0027341D" w:rsidRPr="00705170">
        <w:rPr>
          <w:rStyle w:val="DipnotBavurusu"/>
          <w:rFonts w:ascii="Times New Roman" w:hAnsi="Times New Roman" w:cs="Times New Roman"/>
        </w:rPr>
        <w:footnoteReference w:id="878"/>
      </w:r>
      <w:r w:rsidR="0027341D" w:rsidRPr="00705170">
        <w:rPr>
          <w:rFonts w:ascii="Times New Roman" w:hAnsi="Times New Roman" w:cs="Times New Roman"/>
        </w:rPr>
        <w:t xml:space="preserve">. </w:t>
      </w:r>
      <w:proofErr w:type="spellStart"/>
      <w:r w:rsidR="002B30A5" w:rsidRPr="00705170">
        <w:rPr>
          <w:rFonts w:ascii="Times New Roman" w:hAnsi="Times New Roman" w:cs="Times New Roman"/>
        </w:rPr>
        <w:t>Similarly</w:t>
      </w:r>
      <w:proofErr w:type="spellEnd"/>
      <w:r w:rsidR="002B30A5" w:rsidRPr="00705170">
        <w:rPr>
          <w:rFonts w:ascii="Times New Roman" w:hAnsi="Times New Roman" w:cs="Times New Roman"/>
        </w:rPr>
        <w:t>,</w:t>
      </w:r>
      <w:r w:rsidR="008D2707" w:rsidRPr="00705170">
        <w:rPr>
          <w:rFonts w:ascii="Times New Roman" w:hAnsi="Times New Roman" w:cs="Times New Roman"/>
        </w:rPr>
        <w:t xml:space="preserve"> </w:t>
      </w:r>
      <w:proofErr w:type="spellStart"/>
      <w:r w:rsidR="008D2707" w:rsidRPr="00705170">
        <w:rPr>
          <w:rFonts w:ascii="Times New Roman" w:hAnsi="Times New Roman" w:cs="Times New Roman"/>
        </w:rPr>
        <w:t>rules</w:t>
      </w:r>
      <w:proofErr w:type="spellEnd"/>
      <w:r w:rsidR="008D2707" w:rsidRPr="00705170">
        <w:rPr>
          <w:rFonts w:ascii="Times New Roman" w:hAnsi="Times New Roman" w:cs="Times New Roman"/>
        </w:rPr>
        <w:t xml:space="preserve"> of </w:t>
      </w:r>
      <w:proofErr w:type="spellStart"/>
      <w:r w:rsidR="008D2707" w:rsidRPr="00705170">
        <w:rPr>
          <w:rFonts w:ascii="Times New Roman" w:hAnsi="Times New Roman" w:cs="Times New Roman"/>
        </w:rPr>
        <w:t>good</w:t>
      </w:r>
      <w:proofErr w:type="spellEnd"/>
      <w:r w:rsidR="008D2707" w:rsidRPr="00705170">
        <w:rPr>
          <w:rFonts w:ascii="Times New Roman" w:hAnsi="Times New Roman" w:cs="Times New Roman"/>
        </w:rPr>
        <w:t xml:space="preserve"> </w:t>
      </w:r>
      <w:proofErr w:type="spellStart"/>
      <w:r w:rsidR="008D2707" w:rsidRPr="00705170">
        <w:rPr>
          <w:rFonts w:ascii="Times New Roman" w:hAnsi="Times New Roman" w:cs="Times New Roman"/>
        </w:rPr>
        <w:t>faith</w:t>
      </w:r>
      <w:proofErr w:type="spellEnd"/>
      <w:r w:rsidR="008D2707" w:rsidRPr="00705170">
        <w:rPr>
          <w:rFonts w:ascii="Times New Roman" w:hAnsi="Times New Roman" w:cs="Times New Roman"/>
        </w:rPr>
        <w:t xml:space="preserve"> </w:t>
      </w:r>
      <w:proofErr w:type="spellStart"/>
      <w:r w:rsidR="008D2707" w:rsidRPr="00705170">
        <w:rPr>
          <w:rFonts w:ascii="Times New Roman" w:hAnsi="Times New Roman" w:cs="Times New Roman"/>
        </w:rPr>
        <w:t>will</w:t>
      </w:r>
      <w:proofErr w:type="spellEnd"/>
      <w:r w:rsidR="008D2707" w:rsidRPr="00705170">
        <w:rPr>
          <w:rFonts w:ascii="Times New Roman" w:hAnsi="Times New Roman" w:cs="Times New Roman"/>
        </w:rPr>
        <w:t xml:space="preserve"> bar</w:t>
      </w:r>
      <w:r w:rsidR="002B30A5" w:rsidRPr="00705170">
        <w:rPr>
          <w:rFonts w:ascii="Times New Roman" w:hAnsi="Times New Roman" w:cs="Times New Roman"/>
        </w:rPr>
        <w:t xml:space="preserve"> a</w:t>
      </w:r>
      <w:r w:rsidR="00DD4A75" w:rsidRPr="00705170">
        <w:rPr>
          <w:rFonts w:ascii="Times New Roman" w:hAnsi="Times New Roman" w:cs="Times New Roman"/>
        </w:rPr>
        <w:t xml:space="preserve"> </w:t>
      </w:r>
      <w:proofErr w:type="spellStart"/>
      <w:r w:rsidR="00DD4A75" w:rsidRPr="00705170">
        <w:rPr>
          <w:rFonts w:ascii="Times New Roman" w:hAnsi="Times New Roman" w:cs="Times New Roman"/>
        </w:rPr>
        <w:t>party</w:t>
      </w:r>
      <w:proofErr w:type="spellEnd"/>
      <w:r w:rsidR="00DD4A75" w:rsidRPr="00705170">
        <w:rPr>
          <w:rFonts w:ascii="Times New Roman" w:hAnsi="Times New Roman" w:cs="Times New Roman"/>
        </w:rPr>
        <w:t xml:space="preserve"> </w:t>
      </w:r>
      <w:proofErr w:type="spellStart"/>
      <w:r w:rsidR="00DD4A75" w:rsidRPr="00705170">
        <w:rPr>
          <w:rFonts w:ascii="Times New Roman" w:hAnsi="Times New Roman" w:cs="Times New Roman"/>
        </w:rPr>
        <w:t>who</w:t>
      </w:r>
      <w:proofErr w:type="spellEnd"/>
      <w:r w:rsidR="00DD4A75" w:rsidRPr="00705170">
        <w:rPr>
          <w:rFonts w:ascii="Times New Roman" w:hAnsi="Times New Roman" w:cs="Times New Roman"/>
        </w:rPr>
        <w:t xml:space="preserve"> </w:t>
      </w:r>
      <w:proofErr w:type="spellStart"/>
      <w:r w:rsidR="00DD4A75" w:rsidRPr="00705170">
        <w:rPr>
          <w:rFonts w:ascii="Times New Roman" w:hAnsi="Times New Roman" w:cs="Times New Roman"/>
        </w:rPr>
        <w:t>caused</w:t>
      </w:r>
      <w:proofErr w:type="spellEnd"/>
      <w:r w:rsidR="00DD4A75" w:rsidRPr="00705170">
        <w:rPr>
          <w:rFonts w:ascii="Times New Roman" w:hAnsi="Times New Roman" w:cs="Times New Roman"/>
        </w:rPr>
        <w:t xml:space="preserve"> </w:t>
      </w:r>
      <w:proofErr w:type="spellStart"/>
      <w:r w:rsidR="00DD4A75" w:rsidRPr="00705170">
        <w:rPr>
          <w:rFonts w:ascii="Times New Roman" w:hAnsi="Times New Roman" w:cs="Times New Roman"/>
        </w:rPr>
        <w:t>the</w:t>
      </w:r>
      <w:proofErr w:type="spellEnd"/>
      <w:r w:rsidR="00DD4A75" w:rsidRPr="00705170">
        <w:rPr>
          <w:rFonts w:ascii="Times New Roman" w:hAnsi="Times New Roman" w:cs="Times New Roman"/>
        </w:rPr>
        <w:t xml:space="preserve"> </w:t>
      </w:r>
      <w:proofErr w:type="spellStart"/>
      <w:r w:rsidR="00DD4A75" w:rsidRPr="00705170">
        <w:rPr>
          <w:rFonts w:ascii="Times New Roman" w:hAnsi="Times New Roman" w:cs="Times New Roman"/>
        </w:rPr>
        <w:t>unbearability</w:t>
      </w:r>
      <w:proofErr w:type="spellEnd"/>
      <w:r w:rsidR="00DD4A75" w:rsidRPr="00705170">
        <w:rPr>
          <w:rFonts w:ascii="Times New Roman" w:hAnsi="Times New Roman" w:cs="Times New Roman"/>
        </w:rPr>
        <w:t xml:space="preserve"> </w:t>
      </w:r>
      <w:proofErr w:type="spellStart"/>
      <w:r w:rsidR="00DD4A75" w:rsidRPr="00705170">
        <w:rPr>
          <w:rFonts w:ascii="Times New Roman" w:hAnsi="Times New Roman" w:cs="Times New Roman"/>
        </w:rPr>
        <w:t>himself</w:t>
      </w:r>
      <w:proofErr w:type="spellEnd"/>
      <w:r w:rsidR="00DD4A75" w:rsidRPr="00705170">
        <w:rPr>
          <w:rFonts w:ascii="Times New Roman" w:hAnsi="Times New Roman" w:cs="Times New Roman"/>
        </w:rPr>
        <w:t xml:space="preserve"> </w:t>
      </w:r>
      <w:proofErr w:type="spellStart"/>
      <w:r w:rsidR="008D2707" w:rsidRPr="00705170">
        <w:rPr>
          <w:rFonts w:ascii="Times New Roman" w:hAnsi="Times New Roman" w:cs="Times New Roman"/>
        </w:rPr>
        <w:t>for</w:t>
      </w:r>
      <w:proofErr w:type="spellEnd"/>
      <w:r w:rsidR="008D2707" w:rsidRPr="00705170">
        <w:rPr>
          <w:rFonts w:ascii="Times New Roman" w:hAnsi="Times New Roman" w:cs="Times New Roman"/>
        </w:rPr>
        <w:t xml:space="preserve"> </w:t>
      </w:r>
      <w:proofErr w:type="spellStart"/>
      <w:r w:rsidR="008D2707" w:rsidRPr="00705170">
        <w:rPr>
          <w:rFonts w:ascii="Times New Roman" w:hAnsi="Times New Roman" w:cs="Times New Roman"/>
        </w:rPr>
        <w:t>petitioning</w:t>
      </w:r>
      <w:proofErr w:type="spellEnd"/>
      <w:r w:rsidR="008D2707" w:rsidRPr="00705170">
        <w:rPr>
          <w:rFonts w:ascii="Times New Roman" w:hAnsi="Times New Roman" w:cs="Times New Roman"/>
        </w:rPr>
        <w:t xml:space="preserve"> </w:t>
      </w:r>
      <w:proofErr w:type="spellStart"/>
      <w:r w:rsidR="008D2707" w:rsidRPr="00705170">
        <w:rPr>
          <w:rFonts w:ascii="Times New Roman" w:hAnsi="Times New Roman" w:cs="Times New Roman"/>
        </w:rPr>
        <w:t>for</w:t>
      </w:r>
      <w:proofErr w:type="spellEnd"/>
      <w:r w:rsidR="00DD4A75" w:rsidRPr="00705170">
        <w:rPr>
          <w:rFonts w:ascii="Times New Roman" w:hAnsi="Times New Roman" w:cs="Times New Roman"/>
        </w:rPr>
        <w:t xml:space="preserve"> </w:t>
      </w:r>
      <w:proofErr w:type="spellStart"/>
      <w:r w:rsidR="00DD4A75" w:rsidRPr="00705170">
        <w:rPr>
          <w:rFonts w:ascii="Times New Roman" w:hAnsi="Times New Roman" w:cs="Times New Roman"/>
        </w:rPr>
        <w:t>involunta</w:t>
      </w:r>
      <w:r w:rsidR="008D2707" w:rsidRPr="00705170">
        <w:rPr>
          <w:rFonts w:ascii="Times New Roman" w:hAnsi="Times New Roman" w:cs="Times New Roman"/>
        </w:rPr>
        <w:t>ry</w:t>
      </w:r>
      <w:proofErr w:type="spellEnd"/>
      <w:r w:rsidR="008D2707" w:rsidRPr="00705170">
        <w:rPr>
          <w:rFonts w:ascii="Times New Roman" w:hAnsi="Times New Roman" w:cs="Times New Roman"/>
        </w:rPr>
        <w:t xml:space="preserve"> </w:t>
      </w:r>
      <w:proofErr w:type="spellStart"/>
      <w:r w:rsidR="008D2707" w:rsidRPr="00705170">
        <w:rPr>
          <w:rFonts w:ascii="Times New Roman" w:hAnsi="Times New Roman" w:cs="Times New Roman"/>
        </w:rPr>
        <w:t>dissolution</w:t>
      </w:r>
      <w:proofErr w:type="spellEnd"/>
      <w:r w:rsidR="00DD4A75" w:rsidRPr="00705170">
        <w:rPr>
          <w:rStyle w:val="DipnotBavurusu"/>
          <w:rFonts w:ascii="Times New Roman" w:hAnsi="Times New Roman" w:cs="Times New Roman"/>
        </w:rPr>
        <w:footnoteReference w:id="879"/>
      </w:r>
      <w:r w:rsidR="00DD4A75" w:rsidRPr="00705170">
        <w:rPr>
          <w:rFonts w:ascii="Times New Roman" w:hAnsi="Times New Roman" w:cs="Times New Roman"/>
        </w:rPr>
        <w:t xml:space="preserve">. </w:t>
      </w:r>
    </w:p>
    <w:p w14:paraId="709FE537" w14:textId="1E40337A" w:rsidR="00CE2FCA" w:rsidRPr="00705170" w:rsidRDefault="00DD4A75" w:rsidP="0060172B">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lastRenderedPageBreak/>
        <w:t>Likewise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can be in </w:t>
      </w:r>
      <w:proofErr w:type="spellStart"/>
      <w:r w:rsidRPr="00705170">
        <w:rPr>
          <w:rFonts w:ascii="Times New Roman" w:hAnsi="Times New Roman" w:cs="Times New Roman"/>
        </w:rPr>
        <w:t>violation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good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specific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relief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used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initiation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014C31" w:rsidRPr="00705170">
        <w:rPr>
          <w:rFonts w:ascii="Times New Roman" w:hAnsi="Times New Roman" w:cs="Times New Roman"/>
        </w:rPr>
        <w:t>dissolution</w:t>
      </w:r>
      <w:proofErr w:type="spellEnd"/>
      <w:r w:rsidR="00014C31" w:rsidRPr="00705170">
        <w:rPr>
          <w:rFonts w:ascii="Times New Roman" w:hAnsi="Times New Roman" w:cs="Times New Roman"/>
        </w:rPr>
        <w:t xml:space="preserve"> </w:t>
      </w:r>
      <w:proofErr w:type="spellStart"/>
      <w:r w:rsidR="00014C31" w:rsidRPr="00705170">
        <w:rPr>
          <w:rFonts w:ascii="Times New Roman" w:hAnsi="Times New Roman" w:cs="Times New Roman"/>
        </w:rPr>
        <w:t>lawsuit</w:t>
      </w:r>
      <w:proofErr w:type="spellEnd"/>
      <w:r w:rsidR="00D4380C">
        <w:rPr>
          <w:rStyle w:val="DipnotBavurusu"/>
          <w:rFonts w:ascii="Times New Roman" w:hAnsi="Times New Roman" w:cs="Times New Roman"/>
        </w:rPr>
        <w:footnoteReference w:id="880"/>
      </w:r>
      <w:r w:rsidR="00014C31" w:rsidRPr="00705170">
        <w:rPr>
          <w:rFonts w:ascii="Times New Roman" w:hAnsi="Times New Roman" w:cs="Times New Roman"/>
        </w:rPr>
        <w:t xml:space="preserve">. </w:t>
      </w:r>
      <w:proofErr w:type="spellStart"/>
      <w:r w:rsidR="00014C31" w:rsidRPr="00705170">
        <w:rPr>
          <w:rFonts w:ascii="Times New Roman" w:hAnsi="Times New Roman" w:cs="Times New Roman"/>
        </w:rPr>
        <w:t>This</w:t>
      </w:r>
      <w:proofErr w:type="spellEnd"/>
      <w:r w:rsidR="00014C31" w:rsidRPr="00705170">
        <w:rPr>
          <w:rFonts w:ascii="Times New Roman" w:hAnsi="Times New Roman" w:cs="Times New Roman"/>
        </w:rPr>
        <w:t xml:space="preserve"> </w:t>
      </w:r>
      <w:proofErr w:type="spellStart"/>
      <w:r w:rsidR="00014C31" w:rsidRPr="00705170">
        <w:rPr>
          <w:rFonts w:ascii="Times New Roman" w:hAnsi="Times New Roman" w:cs="Times New Roman"/>
        </w:rPr>
        <w:t>being</w:t>
      </w:r>
      <w:proofErr w:type="spellEnd"/>
      <w:r w:rsidR="00014C31" w:rsidRPr="00705170">
        <w:rPr>
          <w:rFonts w:ascii="Times New Roman" w:hAnsi="Times New Roman" w:cs="Times New Roman"/>
        </w:rPr>
        <w:t xml:space="preserve"> </w:t>
      </w:r>
      <w:proofErr w:type="spellStart"/>
      <w:r w:rsidR="00014C31" w:rsidRPr="00705170">
        <w:rPr>
          <w:rFonts w:ascii="Times New Roman" w:hAnsi="Times New Roman" w:cs="Times New Roman"/>
        </w:rPr>
        <w:t>said</w:t>
      </w:r>
      <w:proofErr w:type="spellEnd"/>
      <w:r w:rsidR="00014C31" w:rsidRPr="00705170">
        <w:rPr>
          <w:rFonts w:ascii="Times New Roman" w:hAnsi="Times New Roman" w:cs="Times New Roman"/>
        </w:rPr>
        <w:t xml:space="preserve">, </w:t>
      </w:r>
      <w:proofErr w:type="spellStart"/>
      <w:r w:rsidR="004C421B" w:rsidRPr="00705170">
        <w:rPr>
          <w:rFonts w:ascii="Times New Roman" w:hAnsi="Times New Roman" w:cs="Times New Roman"/>
        </w:rPr>
        <w:t>the</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involuntary</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dissolution</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statute</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do</w:t>
      </w:r>
      <w:r w:rsidR="00014C31" w:rsidRPr="00705170">
        <w:rPr>
          <w:rFonts w:ascii="Times New Roman" w:hAnsi="Times New Roman" w:cs="Times New Roman"/>
        </w:rPr>
        <w:t>es</w:t>
      </w:r>
      <w:proofErr w:type="spellEnd"/>
      <w:r w:rsidR="00014C31" w:rsidRPr="00705170">
        <w:rPr>
          <w:rFonts w:ascii="Times New Roman" w:hAnsi="Times New Roman" w:cs="Times New Roman"/>
        </w:rPr>
        <w:t xml:space="preserve"> not </w:t>
      </w:r>
      <w:proofErr w:type="spellStart"/>
      <w:r w:rsidR="00014C31" w:rsidRPr="00705170">
        <w:rPr>
          <w:rFonts w:ascii="Times New Roman" w:hAnsi="Times New Roman" w:cs="Times New Roman"/>
        </w:rPr>
        <w:t>include</w:t>
      </w:r>
      <w:proofErr w:type="spellEnd"/>
      <w:r w:rsidR="00014C31" w:rsidRPr="00705170">
        <w:rPr>
          <w:rFonts w:ascii="Times New Roman" w:hAnsi="Times New Roman" w:cs="Times New Roman"/>
        </w:rPr>
        <w:t xml:space="preserve"> </w:t>
      </w:r>
      <w:proofErr w:type="spellStart"/>
      <w:r w:rsidR="00014C31" w:rsidRPr="00705170">
        <w:rPr>
          <w:rFonts w:ascii="Times New Roman" w:hAnsi="Times New Roman" w:cs="Times New Roman"/>
        </w:rPr>
        <w:t>the</w:t>
      </w:r>
      <w:proofErr w:type="spellEnd"/>
      <w:r w:rsidR="00014C31" w:rsidRPr="00705170">
        <w:rPr>
          <w:rFonts w:ascii="Times New Roman" w:hAnsi="Times New Roman" w:cs="Times New Roman"/>
        </w:rPr>
        <w:t xml:space="preserve"> element </w:t>
      </w:r>
      <w:proofErr w:type="spellStart"/>
      <w:r w:rsidR="00014C31" w:rsidRPr="00705170">
        <w:rPr>
          <w:rFonts w:ascii="Times New Roman" w:hAnsi="Times New Roman" w:cs="Times New Roman"/>
        </w:rPr>
        <w:t>requiring</w:t>
      </w:r>
      <w:proofErr w:type="spellEnd"/>
      <w:r w:rsidR="00014C31" w:rsidRPr="00705170">
        <w:rPr>
          <w:rFonts w:ascii="Times New Roman" w:hAnsi="Times New Roman" w:cs="Times New Roman"/>
        </w:rPr>
        <w:t xml:space="preserve"> </w:t>
      </w:r>
      <w:proofErr w:type="spellStart"/>
      <w:r w:rsidR="00014C31" w:rsidRPr="00705170">
        <w:rPr>
          <w:rFonts w:ascii="Times New Roman" w:hAnsi="Times New Roman" w:cs="Times New Roman"/>
        </w:rPr>
        <w:t>the</w:t>
      </w:r>
      <w:proofErr w:type="spellEnd"/>
      <w:r w:rsidR="00014C31" w:rsidRPr="00705170">
        <w:rPr>
          <w:rFonts w:ascii="Times New Roman" w:hAnsi="Times New Roman" w:cs="Times New Roman"/>
        </w:rPr>
        <w:t xml:space="preserve"> </w:t>
      </w:r>
      <w:proofErr w:type="spellStart"/>
      <w:r w:rsidR="00014C31" w:rsidRPr="00705170">
        <w:rPr>
          <w:rFonts w:ascii="Times New Roman" w:hAnsi="Times New Roman" w:cs="Times New Roman"/>
        </w:rPr>
        <w:t>usage</w:t>
      </w:r>
      <w:proofErr w:type="spellEnd"/>
      <w:r w:rsidR="00014C31" w:rsidRPr="00705170">
        <w:rPr>
          <w:rFonts w:ascii="Times New Roman" w:hAnsi="Times New Roman" w:cs="Times New Roman"/>
        </w:rPr>
        <w:t xml:space="preserve"> of</w:t>
      </w:r>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other</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rights</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given</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to</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the</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shareholders</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under</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the</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statute</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before</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initiating</w:t>
      </w:r>
      <w:proofErr w:type="spellEnd"/>
      <w:r w:rsidR="004C421B" w:rsidRPr="00705170">
        <w:rPr>
          <w:rFonts w:ascii="Times New Roman" w:hAnsi="Times New Roman" w:cs="Times New Roman"/>
        </w:rPr>
        <w:t xml:space="preserve"> a </w:t>
      </w:r>
      <w:proofErr w:type="spellStart"/>
      <w:r w:rsidR="004C421B" w:rsidRPr="00705170">
        <w:rPr>
          <w:rFonts w:ascii="Times New Roman" w:hAnsi="Times New Roman" w:cs="Times New Roman"/>
        </w:rPr>
        <w:t>lawsuit</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under</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the</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involuntary</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dissolution</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provision</w:t>
      </w:r>
      <w:proofErr w:type="spellEnd"/>
      <w:r w:rsidR="004C421B" w:rsidRPr="00705170">
        <w:rPr>
          <w:rFonts w:ascii="Times New Roman" w:hAnsi="Times New Roman" w:cs="Times New Roman"/>
        </w:rPr>
        <w:t xml:space="preserve">; </w:t>
      </w:r>
      <w:proofErr w:type="spellStart"/>
      <w:r w:rsidR="00014C31" w:rsidRPr="00705170">
        <w:rPr>
          <w:rFonts w:ascii="Times New Roman" w:hAnsi="Times New Roman" w:cs="Times New Roman"/>
        </w:rPr>
        <w:t>accordingly</w:t>
      </w:r>
      <w:proofErr w:type="spellEnd"/>
      <w:r w:rsidR="00014C31" w:rsidRPr="00705170">
        <w:rPr>
          <w:rFonts w:ascii="Times New Roman" w:hAnsi="Times New Roman" w:cs="Times New Roman"/>
        </w:rPr>
        <w:t>,</w:t>
      </w:r>
      <w:r w:rsidR="004C421B" w:rsidRPr="00705170">
        <w:rPr>
          <w:rFonts w:ascii="Times New Roman" w:hAnsi="Times New Roman" w:cs="Times New Roman"/>
        </w:rPr>
        <w:t xml:space="preserve"> not </w:t>
      </w:r>
      <w:proofErr w:type="spellStart"/>
      <w:r w:rsidR="004C421B" w:rsidRPr="00705170">
        <w:rPr>
          <w:rFonts w:ascii="Times New Roman" w:hAnsi="Times New Roman" w:cs="Times New Roman"/>
        </w:rPr>
        <w:t>ex</w:t>
      </w:r>
      <w:r w:rsidR="00014C31" w:rsidRPr="00705170">
        <w:rPr>
          <w:rFonts w:ascii="Times New Roman" w:hAnsi="Times New Roman" w:cs="Times New Roman"/>
        </w:rPr>
        <w:t>erci</w:t>
      </w:r>
      <w:r w:rsidR="004C421B" w:rsidRPr="00705170">
        <w:rPr>
          <w:rFonts w:ascii="Times New Roman" w:hAnsi="Times New Roman" w:cs="Times New Roman"/>
        </w:rPr>
        <w:t>sing</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other</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shareholder</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rights</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prior</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to</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the</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exercise</w:t>
      </w:r>
      <w:proofErr w:type="spellEnd"/>
      <w:r w:rsidR="004C421B" w:rsidRPr="00705170">
        <w:rPr>
          <w:rFonts w:ascii="Times New Roman" w:hAnsi="Times New Roman" w:cs="Times New Roman"/>
        </w:rPr>
        <w:t xml:space="preserve"> of </w:t>
      </w:r>
      <w:proofErr w:type="spellStart"/>
      <w:r w:rsidR="004C421B" w:rsidRPr="00705170">
        <w:rPr>
          <w:rFonts w:ascii="Times New Roman" w:hAnsi="Times New Roman" w:cs="Times New Roman"/>
        </w:rPr>
        <w:t>this</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right</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does</w:t>
      </w:r>
      <w:proofErr w:type="spellEnd"/>
      <w:r w:rsidR="004C421B" w:rsidRPr="00705170">
        <w:rPr>
          <w:rFonts w:ascii="Times New Roman" w:hAnsi="Times New Roman" w:cs="Times New Roman"/>
        </w:rPr>
        <w:t xml:space="preserve"> not </w:t>
      </w:r>
      <w:proofErr w:type="spellStart"/>
      <w:r w:rsidR="004C421B" w:rsidRPr="00705170">
        <w:rPr>
          <w:rFonts w:ascii="Times New Roman" w:hAnsi="Times New Roman" w:cs="Times New Roman"/>
        </w:rPr>
        <w:t>preclude</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the</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shareholder</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from</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initiating</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the</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involuntary</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dissolution</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lawsuit</w:t>
      </w:r>
      <w:proofErr w:type="spellEnd"/>
      <w:r w:rsidR="005D014D">
        <w:rPr>
          <w:rFonts w:ascii="Times New Roman" w:hAnsi="Times New Roman" w:cs="Times New Roman"/>
        </w:rPr>
        <w:t xml:space="preserve"> </w:t>
      </w:r>
      <w:proofErr w:type="spellStart"/>
      <w:r w:rsidR="005D014D">
        <w:rPr>
          <w:rFonts w:ascii="Times New Roman" w:hAnsi="Times New Roman" w:cs="Times New Roman"/>
        </w:rPr>
        <w:t>by</w:t>
      </w:r>
      <w:proofErr w:type="spellEnd"/>
      <w:r w:rsidR="005D014D">
        <w:rPr>
          <w:rFonts w:ascii="Times New Roman" w:hAnsi="Times New Roman" w:cs="Times New Roman"/>
        </w:rPr>
        <w:t xml:space="preserve"> </w:t>
      </w:r>
      <w:proofErr w:type="spellStart"/>
      <w:r w:rsidR="005D014D">
        <w:rPr>
          <w:rFonts w:ascii="Times New Roman" w:hAnsi="Times New Roman" w:cs="Times New Roman"/>
        </w:rPr>
        <w:t>it</w:t>
      </w:r>
      <w:r w:rsidR="00014C31" w:rsidRPr="00705170">
        <w:rPr>
          <w:rFonts w:ascii="Times New Roman" w:hAnsi="Times New Roman" w:cs="Times New Roman"/>
        </w:rPr>
        <w:t>self</w:t>
      </w:r>
      <w:proofErr w:type="spellEnd"/>
      <w:r w:rsidR="004C421B" w:rsidRPr="00705170">
        <w:rPr>
          <w:rStyle w:val="DipnotBavurusu"/>
          <w:rFonts w:ascii="Times New Roman" w:hAnsi="Times New Roman" w:cs="Times New Roman"/>
        </w:rPr>
        <w:footnoteReference w:id="881"/>
      </w:r>
      <w:r w:rsidR="004C421B" w:rsidRPr="00705170">
        <w:rPr>
          <w:rFonts w:ascii="Times New Roman" w:hAnsi="Times New Roman" w:cs="Times New Roman"/>
        </w:rPr>
        <w:t xml:space="preserve">. </w:t>
      </w:r>
      <w:proofErr w:type="spellStart"/>
      <w:r w:rsidR="00014C31" w:rsidRPr="00705170">
        <w:rPr>
          <w:rFonts w:ascii="Times New Roman" w:hAnsi="Times New Roman" w:cs="Times New Roman"/>
        </w:rPr>
        <w:t>However</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some</w:t>
      </w:r>
      <w:proofErr w:type="spellEnd"/>
      <w:r w:rsidR="004C421B" w:rsidRPr="00705170">
        <w:rPr>
          <w:rFonts w:ascii="Times New Roman" w:hAnsi="Times New Roman" w:cs="Times New Roman"/>
        </w:rPr>
        <w:t xml:space="preserve"> </w:t>
      </w:r>
      <w:proofErr w:type="spellStart"/>
      <w:r w:rsidR="00014C31" w:rsidRPr="00705170">
        <w:rPr>
          <w:rFonts w:ascii="Times New Roman" w:hAnsi="Times New Roman" w:cs="Times New Roman"/>
        </w:rPr>
        <w:t>specific</w:t>
      </w:r>
      <w:proofErr w:type="spellEnd"/>
      <w:r w:rsidR="00014C31" w:rsidRPr="00705170">
        <w:rPr>
          <w:rFonts w:ascii="Times New Roman" w:hAnsi="Times New Roman" w:cs="Times New Roman"/>
        </w:rPr>
        <w:t xml:space="preserve"> </w:t>
      </w:r>
      <w:proofErr w:type="spellStart"/>
      <w:r w:rsidR="004C421B" w:rsidRPr="00705170">
        <w:rPr>
          <w:rFonts w:ascii="Times New Roman" w:hAnsi="Times New Roman" w:cs="Times New Roman"/>
        </w:rPr>
        <w:t>instances</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may</w:t>
      </w:r>
      <w:proofErr w:type="spellEnd"/>
      <w:r w:rsidR="004C421B" w:rsidRPr="00705170">
        <w:rPr>
          <w:rFonts w:ascii="Times New Roman" w:hAnsi="Times New Roman" w:cs="Times New Roman"/>
        </w:rPr>
        <w:t xml:space="preserve"> bar </w:t>
      </w:r>
      <w:proofErr w:type="spellStart"/>
      <w:r w:rsidR="004C421B" w:rsidRPr="00705170">
        <w:rPr>
          <w:rFonts w:ascii="Times New Roman" w:hAnsi="Times New Roman" w:cs="Times New Roman"/>
        </w:rPr>
        <w:t>the</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petitioners</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claim</w:t>
      </w:r>
      <w:proofErr w:type="spellEnd"/>
      <w:r w:rsidR="004C421B" w:rsidRPr="00705170">
        <w:rPr>
          <w:rFonts w:ascii="Times New Roman" w:hAnsi="Times New Roman" w:cs="Times New Roman"/>
        </w:rPr>
        <w:t xml:space="preserve">. </w:t>
      </w:r>
      <w:proofErr w:type="spellStart"/>
      <w:r w:rsidR="004C421B" w:rsidRPr="00705170">
        <w:rPr>
          <w:rFonts w:ascii="Times New Roman" w:hAnsi="Times New Roman" w:cs="Times New Roman"/>
        </w:rPr>
        <w:t>For</w:t>
      </w:r>
      <w:proofErr w:type="spellEnd"/>
      <w:r w:rsidR="004C421B" w:rsidRPr="00705170">
        <w:rPr>
          <w:rFonts w:ascii="Times New Roman" w:hAnsi="Times New Roman" w:cs="Times New Roman"/>
        </w:rPr>
        <w:t xml:space="preserve"> </w:t>
      </w:r>
      <w:r w:rsidR="004C421B" w:rsidRPr="00705170">
        <w:rPr>
          <w:rFonts w:ascii="Times New Roman" w:hAnsi="Times New Roman" w:cs="Times New Roman"/>
          <w:lang w:val="en-US"/>
        </w:rPr>
        <w:t xml:space="preserve">instance, if the petitioner is claiming that mismanagement is causing the “just cause”, his claim will not be able to establish the just cause because a </w:t>
      </w:r>
      <w:proofErr w:type="spellStart"/>
      <w:r w:rsidR="004C421B" w:rsidRPr="00705170">
        <w:rPr>
          <w:rFonts w:ascii="Times New Roman" w:hAnsi="Times New Roman" w:cs="Times New Roman"/>
          <w:lang w:val="en-US"/>
        </w:rPr>
        <w:t>mismangement</w:t>
      </w:r>
      <w:proofErr w:type="spellEnd"/>
      <w:r w:rsidR="004C421B" w:rsidRPr="00705170">
        <w:rPr>
          <w:rFonts w:ascii="Times New Roman" w:hAnsi="Times New Roman" w:cs="Times New Roman"/>
          <w:lang w:val="en-US"/>
        </w:rPr>
        <w:t xml:space="preserve"> cannot amount to a just cause in cases which TCC Article 376 and 377 on </w:t>
      </w:r>
      <w:r w:rsidR="007303F6">
        <w:rPr>
          <w:rFonts w:ascii="Times New Roman" w:hAnsi="Times New Roman" w:cs="Times New Roman"/>
          <w:lang w:val="en-US"/>
        </w:rPr>
        <w:t>“</w:t>
      </w:r>
      <w:r w:rsidR="004C421B" w:rsidRPr="00705170">
        <w:rPr>
          <w:rFonts w:ascii="Times New Roman" w:hAnsi="Times New Roman" w:cs="Times New Roman"/>
          <w:lang w:val="en-US"/>
        </w:rPr>
        <w:t>zone of insolvency</w:t>
      </w:r>
      <w:r w:rsidR="007303F6">
        <w:rPr>
          <w:rFonts w:ascii="Times New Roman" w:hAnsi="Times New Roman" w:cs="Times New Roman"/>
          <w:lang w:val="en-US"/>
        </w:rPr>
        <w:t>”</w:t>
      </w:r>
      <w:r w:rsidR="004C421B" w:rsidRPr="00705170">
        <w:rPr>
          <w:rFonts w:ascii="Times New Roman" w:hAnsi="Times New Roman" w:cs="Times New Roman"/>
          <w:lang w:val="en-US"/>
        </w:rPr>
        <w:t xml:space="preserve"> are applicable</w:t>
      </w:r>
      <w:r w:rsidR="004C421B" w:rsidRPr="00705170">
        <w:rPr>
          <w:rStyle w:val="DipnotBavurusu"/>
          <w:rFonts w:ascii="Times New Roman" w:hAnsi="Times New Roman" w:cs="Times New Roman"/>
          <w:lang w:val="en-US"/>
        </w:rPr>
        <w:footnoteReference w:id="882"/>
      </w:r>
      <w:r w:rsidR="004C421B" w:rsidRPr="00705170">
        <w:rPr>
          <w:rFonts w:ascii="Times New Roman" w:hAnsi="Times New Roman" w:cs="Times New Roman"/>
          <w:lang w:val="en-US"/>
        </w:rPr>
        <w:t>.</w:t>
      </w:r>
      <w:r w:rsidR="004C421B" w:rsidRPr="00705170">
        <w:rPr>
          <w:rFonts w:ascii="Times New Roman" w:hAnsi="Times New Roman" w:cs="Times New Roman"/>
        </w:rPr>
        <w:t xml:space="preserve"> </w:t>
      </w:r>
      <w:proofErr w:type="spellStart"/>
      <w:r w:rsidR="0060172B" w:rsidRPr="00705170">
        <w:rPr>
          <w:rFonts w:ascii="Times New Roman" w:hAnsi="Times New Roman" w:cs="Times New Roman"/>
        </w:rPr>
        <w:t>Likewise</w:t>
      </w:r>
      <w:proofErr w:type="spellEnd"/>
      <w:r w:rsidR="0060172B" w:rsidRPr="00705170">
        <w:rPr>
          <w:rFonts w:ascii="Times New Roman" w:hAnsi="Times New Roman" w:cs="Times New Roman"/>
        </w:rPr>
        <w:t xml:space="preserve">, a </w:t>
      </w:r>
      <w:proofErr w:type="spellStart"/>
      <w:r w:rsidR="0060172B" w:rsidRPr="00705170">
        <w:rPr>
          <w:rFonts w:ascii="Times New Roman" w:hAnsi="Times New Roman" w:cs="Times New Roman"/>
        </w:rPr>
        <w:t>shareholders</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having</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the</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majority</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to</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pass</w:t>
      </w:r>
      <w:proofErr w:type="spellEnd"/>
      <w:r w:rsidR="0060172B" w:rsidRPr="00705170">
        <w:rPr>
          <w:rFonts w:ascii="Times New Roman" w:hAnsi="Times New Roman" w:cs="Times New Roman"/>
        </w:rPr>
        <w:t xml:space="preserve"> a general </w:t>
      </w:r>
      <w:proofErr w:type="spellStart"/>
      <w:r w:rsidR="0060172B" w:rsidRPr="00705170">
        <w:rPr>
          <w:rFonts w:ascii="Times New Roman" w:hAnsi="Times New Roman" w:cs="Times New Roman"/>
        </w:rPr>
        <w:t>assembly</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resolution</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to</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voluntarily</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dissolve</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the</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corporation</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may</w:t>
      </w:r>
      <w:proofErr w:type="spellEnd"/>
      <w:r w:rsidR="0060172B" w:rsidRPr="00705170">
        <w:rPr>
          <w:rFonts w:ascii="Times New Roman" w:hAnsi="Times New Roman" w:cs="Times New Roman"/>
        </w:rPr>
        <w:t xml:space="preserve"> be </w:t>
      </w:r>
      <w:proofErr w:type="spellStart"/>
      <w:r w:rsidR="0060172B" w:rsidRPr="00705170">
        <w:rPr>
          <w:rFonts w:ascii="Times New Roman" w:hAnsi="Times New Roman" w:cs="Times New Roman"/>
        </w:rPr>
        <w:t>rejected</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by</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the</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court</w:t>
      </w:r>
      <w:proofErr w:type="spellEnd"/>
      <w:r w:rsidR="007303F6">
        <w:rPr>
          <w:rFonts w:ascii="Times New Roman" w:hAnsi="Times New Roman" w:cs="Times New Roman"/>
        </w:rPr>
        <w:t xml:space="preserve"> </w:t>
      </w:r>
      <w:proofErr w:type="spellStart"/>
      <w:r w:rsidR="007303F6">
        <w:rPr>
          <w:rFonts w:ascii="Times New Roman" w:hAnsi="Times New Roman" w:cs="Times New Roman"/>
        </w:rPr>
        <w:t>due</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to</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the</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availability</w:t>
      </w:r>
      <w:proofErr w:type="spellEnd"/>
      <w:r w:rsidR="0060172B" w:rsidRPr="00705170">
        <w:rPr>
          <w:rFonts w:ascii="Times New Roman" w:hAnsi="Times New Roman" w:cs="Times New Roman"/>
        </w:rPr>
        <w:t xml:space="preserve"> of </w:t>
      </w:r>
      <w:proofErr w:type="spellStart"/>
      <w:r w:rsidR="0060172B" w:rsidRPr="00705170">
        <w:rPr>
          <w:rFonts w:ascii="Times New Roman" w:hAnsi="Times New Roman" w:cs="Times New Roman"/>
        </w:rPr>
        <w:t>this</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alternative</w:t>
      </w:r>
      <w:proofErr w:type="spellEnd"/>
      <w:r w:rsidR="0060172B" w:rsidRPr="00705170">
        <w:rPr>
          <w:rFonts w:ascii="Times New Roman" w:hAnsi="Times New Roman" w:cs="Times New Roman"/>
        </w:rPr>
        <w:t xml:space="preserve"> </w:t>
      </w:r>
      <w:proofErr w:type="spellStart"/>
      <w:r w:rsidR="0060172B" w:rsidRPr="00705170">
        <w:rPr>
          <w:rFonts w:ascii="Times New Roman" w:hAnsi="Times New Roman" w:cs="Times New Roman"/>
        </w:rPr>
        <w:t>path</w:t>
      </w:r>
      <w:proofErr w:type="spellEnd"/>
      <w:r w:rsidR="0060172B" w:rsidRPr="00705170">
        <w:rPr>
          <w:rStyle w:val="DipnotBavurusu"/>
          <w:rFonts w:ascii="Times New Roman" w:hAnsi="Times New Roman" w:cs="Times New Roman"/>
        </w:rPr>
        <w:footnoteReference w:id="883"/>
      </w:r>
      <w:r w:rsidR="0060172B" w:rsidRPr="00705170">
        <w:rPr>
          <w:rFonts w:ascii="Times New Roman" w:hAnsi="Times New Roman" w:cs="Times New Roman"/>
        </w:rPr>
        <w:t xml:space="preserve">. </w:t>
      </w:r>
    </w:p>
    <w:p w14:paraId="6C0646A9" w14:textId="47D1C2F2" w:rsidR="00AB5A69" w:rsidRPr="00705170" w:rsidRDefault="00AB5A69" w:rsidP="00DD4A75">
      <w:pPr>
        <w:spacing w:after="240" w:line="480" w:lineRule="auto"/>
        <w:ind w:firstLine="708"/>
        <w:jc w:val="both"/>
        <w:rPr>
          <w:rFonts w:ascii="Times New Roman" w:hAnsi="Times New Roman" w:cs="Times New Roman"/>
          <w:b/>
        </w:rPr>
      </w:pPr>
      <w:r w:rsidRPr="00705170">
        <w:rPr>
          <w:rFonts w:ascii="Times New Roman" w:hAnsi="Times New Roman" w:cs="Times New Roman"/>
          <w:b/>
        </w:rPr>
        <w:t xml:space="preserve">6.3.2. </w:t>
      </w:r>
      <w:proofErr w:type="spellStart"/>
      <w:r w:rsidRPr="00705170">
        <w:rPr>
          <w:rFonts w:ascii="Times New Roman" w:hAnsi="Times New Roman" w:cs="Times New Roman"/>
          <w:b/>
        </w:rPr>
        <w:t>Effect</w:t>
      </w:r>
      <w:proofErr w:type="spellEnd"/>
      <w:r w:rsidRPr="00705170">
        <w:rPr>
          <w:rFonts w:ascii="Times New Roman" w:hAnsi="Times New Roman" w:cs="Times New Roman"/>
          <w:b/>
        </w:rPr>
        <w:t xml:space="preserve"> of </w:t>
      </w:r>
      <w:proofErr w:type="spellStart"/>
      <w:r w:rsidRPr="00705170">
        <w:rPr>
          <w:rFonts w:ascii="Times New Roman" w:hAnsi="Times New Roman" w:cs="Times New Roman"/>
          <w:b/>
        </w:rPr>
        <w:t>the</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Mandatory</w:t>
      </w:r>
      <w:proofErr w:type="spellEnd"/>
      <w:r w:rsidRPr="00705170">
        <w:rPr>
          <w:rFonts w:ascii="Times New Roman" w:hAnsi="Times New Roman" w:cs="Times New Roman"/>
          <w:b/>
        </w:rPr>
        <w:t xml:space="preserve"> Nature of </w:t>
      </w:r>
      <w:proofErr w:type="spellStart"/>
      <w:r w:rsidRPr="00705170">
        <w:rPr>
          <w:rFonts w:ascii="Times New Roman" w:hAnsi="Times New Roman" w:cs="Times New Roman"/>
          <w:b/>
        </w:rPr>
        <w:t>Corporate</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Law</w:t>
      </w:r>
      <w:proofErr w:type="spellEnd"/>
    </w:p>
    <w:p w14:paraId="40F9841F" w14:textId="0C570862" w:rsidR="00E161BA" w:rsidRPr="00705170" w:rsidRDefault="005F437D" w:rsidP="00E161BA">
      <w:pPr>
        <w:spacing w:after="240" w:line="480" w:lineRule="auto"/>
        <w:ind w:firstLine="708"/>
        <w:jc w:val="both"/>
        <w:rPr>
          <w:rFonts w:ascii="Times New Roman" w:hAnsi="Times New Roman" w:cs="Times New Roman"/>
        </w:rPr>
      </w:pPr>
      <w:r w:rsidRPr="00705170">
        <w:rPr>
          <w:rFonts w:ascii="Times New Roman" w:hAnsi="Times New Roman" w:cs="Times New Roman"/>
        </w:rPr>
        <w:t xml:space="preserve">As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Official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Comment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TCC </w:t>
      </w:r>
      <w:proofErr w:type="spellStart"/>
      <w:r w:rsidRPr="00705170">
        <w:rPr>
          <w:rFonts w:ascii="Times New Roman" w:hAnsi="Times New Roman" w:cs="Times New Roman"/>
        </w:rPr>
        <w:t>explicitly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expresses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articles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underlines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contractual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nature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Style w:val="DipnotBavurusu"/>
          <w:rFonts w:ascii="Times New Roman" w:hAnsi="Times New Roman" w:cs="Times New Roman"/>
        </w:rPr>
        <w:footnoteReference w:id="884"/>
      </w:r>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said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mandatory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nature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Article</w:t>
      </w:r>
      <w:proofErr w:type="spellEnd"/>
      <w:r w:rsidRPr="00705170">
        <w:rPr>
          <w:rFonts w:ascii="Times New Roman" w:hAnsi="Times New Roman" w:cs="Times New Roman"/>
        </w:rPr>
        <w:t xml:space="preserve"> 340 </w:t>
      </w:r>
      <w:proofErr w:type="spellStart"/>
      <w:r w:rsidRPr="00705170">
        <w:rPr>
          <w:rFonts w:ascii="Times New Roman" w:hAnsi="Times New Roman" w:cs="Times New Roman"/>
        </w:rPr>
        <w:t>extensively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limits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freedom</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contract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corporations</w:t>
      </w:r>
      <w:proofErr w:type="spellEnd"/>
      <w:r w:rsidR="003A192E">
        <w:rPr>
          <w:rFonts w:ascii="Times New Roman" w:hAnsi="Times New Roman" w:cs="Times New Roman"/>
        </w:rPr>
        <w:t xml:space="preserve">’ </w:t>
      </w:r>
      <w:proofErr w:type="spellStart"/>
      <w:r w:rsidR="003A192E">
        <w:rPr>
          <w:rFonts w:ascii="Times New Roman" w:hAnsi="Times New Roman" w:cs="Times New Roman"/>
        </w:rPr>
        <w:t>articles</w:t>
      </w:r>
      <w:proofErr w:type="spellEnd"/>
      <w:r w:rsidR="003A192E">
        <w:rPr>
          <w:rFonts w:ascii="Times New Roman" w:hAnsi="Times New Roman" w:cs="Times New Roman"/>
        </w:rPr>
        <w:t xml:space="preserve"> of </w:t>
      </w:r>
      <w:proofErr w:type="spellStart"/>
      <w:r w:rsidR="003A192E">
        <w:rPr>
          <w:rFonts w:ascii="Times New Roman" w:hAnsi="Times New Roman" w:cs="Times New Roman"/>
        </w:rPr>
        <w:t>incorporation</w:t>
      </w:r>
      <w:proofErr w:type="spellEnd"/>
      <w:r w:rsidRPr="00705170">
        <w:rPr>
          <w:rStyle w:val="DipnotBavurusu"/>
          <w:rFonts w:ascii="Times New Roman" w:hAnsi="Times New Roman" w:cs="Times New Roman"/>
        </w:rPr>
        <w:footnoteReference w:id="885"/>
      </w:r>
      <w:r w:rsidRPr="00705170">
        <w:rPr>
          <w:rFonts w:ascii="Times New Roman" w:hAnsi="Times New Roman" w:cs="Times New Roman"/>
        </w:rPr>
        <w:t xml:space="preserve">. </w:t>
      </w:r>
      <w:proofErr w:type="spellStart"/>
      <w:r w:rsidR="00D016D8" w:rsidRPr="00705170">
        <w:rPr>
          <w:rFonts w:ascii="Times New Roman" w:hAnsi="Times New Roman" w:cs="Times New Roman"/>
        </w:rPr>
        <w:t>Cor</w:t>
      </w:r>
      <w:r w:rsidR="00AA5052">
        <w:rPr>
          <w:rFonts w:ascii="Times New Roman" w:hAnsi="Times New Roman" w:cs="Times New Roman"/>
        </w:rPr>
        <w:t>ollary</w:t>
      </w:r>
      <w:proofErr w:type="spellEnd"/>
      <w:r w:rsidR="00AA5052">
        <w:rPr>
          <w:rFonts w:ascii="Times New Roman" w:hAnsi="Times New Roman" w:cs="Times New Roman"/>
        </w:rPr>
        <w:t xml:space="preserve">, </w:t>
      </w:r>
      <w:proofErr w:type="spellStart"/>
      <w:r w:rsidR="00AA5052">
        <w:rPr>
          <w:rFonts w:ascii="Times New Roman" w:hAnsi="Times New Roman" w:cs="Times New Roman"/>
        </w:rPr>
        <w:t>corporate</w:t>
      </w:r>
      <w:proofErr w:type="spellEnd"/>
      <w:r w:rsidR="00AA5052">
        <w:rPr>
          <w:rFonts w:ascii="Times New Roman" w:hAnsi="Times New Roman" w:cs="Times New Roman"/>
        </w:rPr>
        <w:t xml:space="preserve"> </w:t>
      </w:r>
      <w:proofErr w:type="spellStart"/>
      <w:r w:rsidR="00AA5052">
        <w:rPr>
          <w:rFonts w:ascii="Times New Roman" w:hAnsi="Times New Roman" w:cs="Times New Roman"/>
        </w:rPr>
        <w:t>partici</w:t>
      </w:r>
      <w:r w:rsidR="00D016D8" w:rsidRPr="00705170">
        <w:rPr>
          <w:rFonts w:ascii="Times New Roman" w:hAnsi="Times New Roman" w:cs="Times New Roman"/>
        </w:rPr>
        <w:t>pants</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are</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employing</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the</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method</w:t>
      </w:r>
      <w:proofErr w:type="spellEnd"/>
      <w:r w:rsidR="00D016D8" w:rsidRPr="00705170">
        <w:rPr>
          <w:rFonts w:ascii="Times New Roman" w:hAnsi="Times New Roman" w:cs="Times New Roman"/>
        </w:rPr>
        <w:t xml:space="preserve"> of </w:t>
      </w:r>
      <w:proofErr w:type="spellStart"/>
      <w:r w:rsidR="00D016D8" w:rsidRPr="00705170">
        <w:rPr>
          <w:rFonts w:ascii="Times New Roman" w:hAnsi="Times New Roman" w:cs="Times New Roman"/>
        </w:rPr>
        <w:t>private</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contracting</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and</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arranging</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shareholders</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agreements</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among</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themselves</w:t>
      </w:r>
      <w:proofErr w:type="spellEnd"/>
      <w:r w:rsidR="00D016D8" w:rsidRPr="00705170">
        <w:rPr>
          <w:rFonts w:ascii="Times New Roman" w:hAnsi="Times New Roman" w:cs="Times New Roman"/>
        </w:rPr>
        <w:t xml:space="preserve"> in </w:t>
      </w:r>
      <w:proofErr w:type="spellStart"/>
      <w:r w:rsidR="00D016D8" w:rsidRPr="00705170">
        <w:rPr>
          <w:rFonts w:ascii="Times New Roman" w:hAnsi="Times New Roman" w:cs="Times New Roman"/>
        </w:rPr>
        <w:t>order</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to</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provide</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themselves</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further</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rights</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and</w:t>
      </w:r>
      <w:proofErr w:type="spellEnd"/>
      <w:r w:rsidR="00D016D8" w:rsidRPr="00705170">
        <w:rPr>
          <w:rFonts w:ascii="Times New Roman" w:hAnsi="Times New Roman" w:cs="Times New Roman"/>
        </w:rPr>
        <w:t xml:space="preserve"> </w:t>
      </w:r>
      <w:proofErr w:type="spellStart"/>
      <w:r w:rsidR="00D016D8" w:rsidRPr="00705170">
        <w:rPr>
          <w:rFonts w:ascii="Times New Roman" w:hAnsi="Times New Roman" w:cs="Times New Roman"/>
        </w:rPr>
        <w:t>interests</w:t>
      </w:r>
      <w:proofErr w:type="spellEnd"/>
      <w:r w:rsidR="00D016D8" w:rsidRPr="00705170">
        <w:rPr>
          <w:rStyle w:val="DipnotBavurusu"/>
          <w:rFonts w:ascii="Times New Roman" w:hAnsi="Times New Roman" w:cs="Times New Roman"/>
        </w:rPr>
        <w:footnoteReference w:id="886"/>
      </w:r>
      <w:r w:rsidR="00D016D8" w:rsidRPr="00705170">
        <w:rPr>
          <w:rFonts w:ascii="Times New Roman" w:hAnsi="Times New Roman" w:cs="Times New Roman"/>
        </w:rPr>
        <w:t>.</w:t>
      </w:r>
      <w:r w:rsidR="00E161BA" w:rsidRPr="00705170">
        <w:rPr>
          <w:rFonts w:ascii="Times New Roman" w:hAnsi="Times New Roman" w:cs="Times New Roman"/>
        </w:rPr>
        <w:t xml:space="preserve"> </w:t>
      </w:r>
      <w:proofErr w:type="spellStart"/>
      <w:r w:rsidR="00DC6007" w:rsidRPr="00705170">
        <w:rPr>
          <w:rFonts w:ascii="Times New Roman" w:hAnsi="Times New Roman" w:cs="Times New Roman"/>
        </w:rPr>
        <w:t>While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notion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voluntary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consensus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limit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involuntary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dissolution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right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does</w:t>
      </w:r>
      <w:proofErr w:type="spellEnd"/>
      <w:r w:rsidR="00DC6007" w:rsidRPr="00705170">
        <w:rPr>
          <w:rFonts w:ascii="Times New Roman" w:hAnsi="Times New Roman" w:cs="Times New Roman"/>
        </w:rPr>
        <w:t xml:space="preserve"> not </w:t>
      </w:r>
      <w:proofErr w:type="spellStart"/>
      <w:r w:rsidR="00DC6007" w:rsidRPr="00705170">
        <w:rPr>
          <w:rFonts w:ascii="Times New Roman" w:hAnsi="Times New Roman" w:cs="Times New Roman"/>
        </w:rPr>
        <w:t>fetter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exercise</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corporation’s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statutory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powers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would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support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validity</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this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consensus</w:t>
      </w:r>
      <w:proofErr w:type="spellEnd"/>
      <w:r w:rsidR="00DC6007" w:rsidRPr="00705170">
        <w:rPr>
          <w:rStyle w:val="DipnotBavurusu"/>
          <w:rFonts w:ascii="Times New Roman" w:hAnsi="Times New Roman" w:cs="Times New Roman"/>
        </w:rPr>
        <w:footnoteReference w:id="887"/>
      </w:r>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mandatory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nature</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Turkish</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corporate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law</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represents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hurdle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against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this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validity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involuntary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dissolution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right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cannot</w:t>
      </w:r>
      <w:proofErr w:type="spellEnd"/>
      <w:r w:rsidR="00DC6007" w:rsidRPr="00705170">
        <w:rPr>
          <w:rFonts w:ascii="Times New Roman" w:hAnsi="Times New Roman" w:cs="Times New Roman"/>
        </w:rPr>
        <w:t xml:space="preserve"> be </w:t>
      </w:r>
      <w:proofErr w:type="spellStart"/>
      <w:r w:rsidR="00DC6007" w:rsidRPr="00705170">
        <w:rPr>
          <w:rFonts w:ascii="Times New Roman" w:hAnsi="Times New Roman" w:cs="Times New Roman"/>
        </w:rPr>
        <w:t>waived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by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articles</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incorporation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due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TCC </w:t>
      </w:r>
      <w:proofErr w:type="spellStart"/>
      <w:r w:rsidR="00DC6007" w:rsidRPr="00705170">
        <w:rPr>
          <w:rFonts w:ascii="Times New Roman" w:hAnsi="Times New Roman" w:cs="Times New Roman"/>
        </w:rPr>
        <w:t>Article</w:t>
      </w:r>
      <w:proofErr w:type="spellEnd"/>
      <w:r w:rsidR="00DC6007" w:rsidRPr="00705170">
        <w:rPr>
          <w:rFonts w:ascii="Times New Roman" w:hAnsi="Times New Roman" w:cs="Times New Roman"/>
        </w:rPr>
        <w:t xml:space="preserve"> 340</w:t>
      </w:r>
      <w:r w:rsidR="00DC6007" w:rsidRPr="00705170">
        <w:rPr>
          <w:rStyle w:val="DipnotBavurusu"/>
          <w:rFonts w:ascii="Times New Roman" w:hAnsi="Times New Roman" w:cs="Times New Roman"/>
        </w:rPr>
        <w:footnoteReference w:id="888"/>
      </w:r>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because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neither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explicit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language</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statutory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provision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nor</w:t>
      </w:r>
      <w:proofErr w:type="spellEnd"/>
      <w:r w:rsidR="00DC6007" w:rsidRPr="00705170">
        <w:rPr>
          <w:rFonts w:ascii="Times New Roman" w:hAnsi="Times New Roman" w:cs="Times New Roman"/>
        </w:rPr>
        <w:t xml:space="preserve"> a “</w:t>
      </w:r>
      <w:proofErr w:type="spellStart"/>
      <w:r w:rsidR="00DC6007" w:rsidRPr="00705170">
        <w:rPr>
          <w:rFonts w:ascii="Times New Roman" w:hAnsi="Times New Roman" w:cs="Times New Roman"/>
        </w:rPr>
        <w:t>legislative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intent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interpretation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grants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this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waiver</w:t>
      </w:r>
      <w:proofErr w:type="spellEnd"/>
      <w:r w:rsidR="00DC6007" w:rsidRPr="00705170">
        <w:rPr>
          <w:rStyle w:val="DipnotBavurusu"/>
          <w:rFonts w:ascii="Times New Roman" w:hAnsi="Times New Roman" w:cs="Times New Roman"/>
        </w:rPr>
        <w:footnoteReference w:id="889"/>
      </w:r>
      <w:r w:rsidR="003A192E">
        <w:rPr>
          <w:rFonts w:ascii="Times New Roman" w:hAnsi="Times New Roman" w:cs="Times New Roman"/>
        </w:rPr>
        <w:t xml:space="preserve">. </w:t>
      </w:r>
      <w:proofErr w:type="spellStart"/>
      <w:r w:rsidR="003A192E">
        <w:rPr>
          <w:rFonts w:ascii="Times New Roman" w:hAnsi="Times New Roman" w:cs="Times New Roman"/>
        </w:rPr>
        <w:t>Likewise</w:t>
      </w:r>
      <w:proofErr w:type="spellEnd"/>
      <w:r w:rsidR="003A192E">
        <w:rPr>
          <w:rFonts w:ascii="Times New Roman" w:hAnsi="Times New Roman" w:cs="Times New Roman"/>
        </w:rPr>
        <w:t>,</w:t>
      </w:r>
      <w:r w:rsidR="00DC6007" w:rsidRPr="00705170">
        <w:rPr>
          <w:rFonts w:ascii="Times New Roman" w:hAnsi="Times New Roman" w:cs="Times New Roman"/>
        </w:rPr>
        <w:t xml:space="preserve"> </w:t>
      </w:r>
      <w:r w:rsidR="003A192E">
        <w:rPr>
          <w:rFonts w:ascii="Times New Roman" w:hAnsi="Times New Roman" w:cs="Times New Roman"/>
        </w:rPr>
        <w:t xml:space="preserve">as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waiver</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right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w:t>
      </w:r>
      <w:proofErr w:type="spellStart"/>
      <w:r w:rsidR="003A192E">
        <w:rPr>
          <w:rFonts w:ascii="Times New Roman" w:hAnsi="Times New Roman" w:cs="Times New Roman"/>
        </w:rPr>
        <w:t>involuntary</w:t>
      </w:r>
      <w:proofErr w:type="spellEnd"/>
      <w:r w:rsidR="003A192E">
        <w:rPr>
          <w:rFonts w:ascii="Times New Roman" w:hAnsi="Times New Roman" w:cs="Times New Roman"/>
        </w:rPr>
        <w:t xml:space="preserve"> </w:t>
      </w:r>
      <w:proofErr w:type="spellStart"/>
      <w:r w:rsidR="003A192E">
        <w:rPr>
          <w:rFonts w:ascii="Times New Roman" w:hAnsi="Times New Roman" w:cs="Times New Roman"/>
        </w:rPr>
        <w:t>dissolution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provision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gives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would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violate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public</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policy</w:t>
      </w:r>
      <w:proofErr w:type="spellEnd"/>
      <w:r w:rsidR="00DC6007" w:rsidRPr="00705170">
        <w:rPr>
          <w:rStyle w:val="DipnotBavurusu"/>
          <w:rFonts w:ascii="Times New Roman" w:hAnsi="Times New Roman" w:cs="Times New Roman"/>
        </w:rPr>
        <w:footnoteReference w:id="890"/>
      </w:r>
      <w:r w:rsidR="003A192E">
        <w:rPr>
          <w:rFonts w:ascii="Times New Roman" w:hAnsi="Times New Roman" w:cs="Times New Roman"/>
        </w:rPr>
        <w:t>,</w:t>
      </w:r>
      <w:r w:rsidR="00DC6007" w:rsidRPr="00705170">
        <w:rPr>
          <w:rFonts w:ascii="Times New Roman" w:hAnsi="Times New Roman" w:cs="Times New Roman"/>
        </w:rPr>
        <w:t xml:space="preserve"> </w:t>
      </w:r>
      <w:proofErr w:type="spellStart"/>
      <w:r w:rsidR="003A192E">
        <w:rPr>
          <w:rFonts w:ascii="Times New Roman" w:hAnsi="Times New Roman" w:cs="Times New Roman"/>
        </w:rPr>
        <w:t>even</w:t>
      </w:r>
      <w:proofErr w:type="spellEnd"/>
      <w:r w:rsidR="003A192E">
        <w:rPr>
          <w:rFonts w:ascii="Times New Roman" w:hAnsi="Times New Roman" w:cs="Times New Roman"/>
        </w:rPr>
        <w:t xml:space="preserve"> </w:t>
      </w:r>
      <w:proofErr w:type="spellStart"/>
      <w:r w:rsidR="003A192E">
        <w:rPr>
          <w:rFonts w:ascii="Times New Roman" w:hAnsi="Times New Roman" w:cs="Times New Roman"/>
        </w:rPr>
        <w:t>without</w:t>
      </w:r>
      <w:proofErr w:type="spellEnd"/>
      <w:r w:rsidR="003A192E">
        <w:rPr>
          <w:rFonts w:ascii="Times New Roman" w:hAnsi="Times New Roman" w:cs="Times New Roman"/>
        </w:rPr>
        <w:t xml:space="preserve"> TCC </w:t>
      </w:r>
      <w:proofErr w:type="spellStart"/>
      <w:r w:rsidR="003A192E">
        <w:rPr>
          <w:rFonts w:ascii="Times New Roman" w:hAnsi="Times New Roman" w:cs="Times New Roman"/>
        </w:rPr>
        <w:t>Article</w:t>
      </w:r>
      <w:proofErr w:type="spellEnd"/>
      <w:r w:rsidR="003A192E">
        <w:rPr>
          <w:rFonts w:ascii="Times New Roman" w:hAnsi="Times New Roman" w:cs="Times New Roman"/>
        </w:rPr>
        <w:t xml:space="preserve"> 340, </w:t>
      </w:r>
      <w:proofErr w:type="spellStart"/>
      <w:r w:rsidR="003A192E">
        <w:rPr>
          <w:rFonts w:ascii="Times New Roman" w:hAnsi="Times New Roman" w:cs="Times New Roman"/>
        </w:rPr>
        <w:t>circumventions</w:t>
      </w:r>
      <w:proofErr w:type="spellEnd"/>
      <w:r w:rsidR="003A192E">
        <w:rPr>
          <w:rFonts w:ascii="Times New Roman" w:hAnsi="Times New Roman" w:cs="Times New Roman"/>
        </w:rPr>
        <w:t xml:space="preserve"> of </w:t>
      </w:r>
      <w:proofErr w:type="spellStart"/>
      <w:r w:rsidR="003A192E">
        <w:rPr>
          <w:rFonts w:ascii="Times New Roman" w:hAnsi="Times New Roman" w:cs="Times New Roman"/>
        </w:rPr>
        <w:t>involuntary</w:t>
      </w:r>
      <w:proofErr w:type="spellEnd"/>
      <w:r w:rsidR="003A192E">
        <w:rPr>
          <w:rFonts w:ascii="Times New Roman" w:hAnsi="Times New Roman" w:cs="Times New Roman"/>
        </w:rPr>
        <w:t xml:space="preserve"> </w:t>
      </w:r>
      <w:proofErr w:type="spellStart"/>
      <w:r w:rsidR="003A192E">
        <w:rPr>
          <w:rFonts w:ascii="Times New Roman" w:hAnsi="Times New Roman" w:cs="Times New Roman"/>
        </w:rPr>
        <w:t>dissolution</w:t>
      </w:r>
      <w:proofErr w:type="spellEnd"/>
      <w:r w:rsidR="003A192E">
        <w:rPr>
          <w:rFonts w:ascii="Times New Roman" w:hAnsi="Times New Roman" w:cs="Times New Roman"/>
        </w:rPr>
        <w:t xml:space="preserve"> </w:t>
      </w:r>
      <w:proofErr w:type="spellStart"/>
      <w:r w:rsidR="003A192E">
        <w:rPr>
          <w:rFonts w:ascii="Times New Roman" w:hAnsi="Times New Roman" w:cs="Times New Roman"/>
        </w:rPr>
        <w:t>provision</w:t>
      </w:r>
      <w:proofErr w:type="spellEnd"/>
      <w:r w:rsidR="003A192E">
        <w:rPr>
          <w:rFonts w:ascii="Times New Roman" w:hAnsi="Times New Roman" w:cs="Times New Roman"/>
        </w:rPr>
        <w:t xml:space="preserve"> is </w:t>
      </w:r>
      <w:proofErr w:type="spellStart"/>
      <w:r w:rsidR="003A192E">
        <w:rPr>
          <w:rFonts w:ascii="Times New Roman" w:hAnsi="Times New Roman" w:cs="Times New Roman"/>
        </w:rPr>
        <w:t>prohibited</w:t>
      </w:r>
      <w:proofErr w:type="spellEnd"/>
      <w:r w:rsidR="003A192E">
        <w:rPr>
          <w:rFonts w:ascii="Times New Roman" w:hAnsi="Times New Roman" w:cs="Times New Roman"/>
        </w:rPr>
        <w:t xml:space="preserve"> </w:t>
      </w:r>
      <w:proofErr w:type="spellStart"/>
      <w:r w:rsidR="003A192E">
        <w:rPr>
          <w:rFonts w:ascii="Times New Roman" w:hAnsi="Times New Roman" w:cs="Times New Roman"/>
        </w:rPr>
        <w:t>due</w:t>
      </w:r>
      <w:proofErr w:type="spellEnd"/>
      <w:r w:rsidR="003A192E">
        <w:rPr>
          <w:rFonts w:ascii="Times New Roman" w:hAnsi="Times New Roman" w:cs="Times New Roman"/>
        </w:rPr>
        <w:t xml:space="preserve"> </w:t>
      </w:r>
      <w:proofErr w:type="spellStart"/>
      <w:r w:rsidR="003A192E">
        <w:rPr>
          <w:rFonts w:ascii="Times New Roman" w:hAnsi="Times New Roman" w:cs="Times New Roman"/>
        </w:rPr>
        <w:t>to</w:t>
      </w:r>
      <w:proofErr w:type="spellEnd"/>
      <w:r w:rsidR="003A192E">
        <w:rPr>
          <w:rFonts w:ascii="Times New Roman" w:hAnsi="Times New Roman" w:cs="Times New Roman"/>
        </w:rPr>
        <w:t xml:space="preserve"> </w:t>
      </w:r>
      <w:proofErr w:type="spellStart"/>
      <w:r w:rsidR="003A192E">
        <w:rPr>
          <w:rFonts w:ascii="Times New Roman" w:hAnsi="Times New Roman" w:cs="Times New Roman"/>
        </w:rPr>
        <w:t>its</w:t>
      </w:r>
      <w:proofErr w:type="spellEnd"/>
      <w:r w:rsidR="003A192E">
        <w:rPr>
          <w:rFonts w:ascii="Times New Roman" w:hAnsi="Times New Roman" w:cs="Times New Roman"/>
        </w:rPr>
        <w:t xml:space="preserve"> </w:t>
      </w:r>
      <w:proofErr w:type="spellStart"/>
      <w:r w:rsidR="003A192E">
        <w:rPr>
          <w:rFonts w:ascii="Times New Roman" w:hAnsi="Times New Roman" w:cs="Times New Roman"/>
        </w:rPr>
        <w:t>own</w:t>
      </w:r>
      <w:proofErr w:type="spellEnd"/>
      <w:r w:rsidR="003A192E">
        <w:rPr>
          <w:rFonts w:ascii="Times New Roman" w:hAnsi="Times New Roman" w:cs="Times New Roman"/>
        </w:rPr>
        <w:t xml:space="preserve"> </w:t>
      </w:r>
      <w:proofErr w:type="spellStart"/>
      <w:r w:rsidR="003A192E">
        <w:rPr>
          <w:rFonts w:ascii="Times New Roman" w:hAnsi="Times New Roman" w:cs="Times New Roman"/>
        </w:rPr>
        <w:t>mandatory</w:t>
      </w:r>
      <w:proofErr w:type="spellEnd"/>
      <w:r w:rsidR="003A192E">
        <w:rPr>
          <w:rFonts w:ascii="Times New Roman" w:hAnsi="Times New Roman" w:cs="Times New Roman"/>
        </w:rPr>
        <w:t xml:space="preserve"> </w:t>
      </w:r>
      <w:proofErr w:type="spellStart"/>
      <w:r w:rsidR="003A192E">
        <w:rPr>
          <w:rFonts w:ascii="Times New Roman" w:hAnsi="Times New Roman" w:cs="Times New Roman"/>
        </w:rPr>
        <w:t>nature</w:t>
      </w:r>
      <w:proofErr w:type="spellEnd"/>
      <w:r w:rsidR="003A192E">
        <w:rPr>
          <w:rStyle w:val="DipnotBavurusu"/>
          <w:rFonts w:ascii="Times New Roman" w:hAnsi="Times New Roman" w:cs="Times New Roman"/>
        </w:rPr>
        <w:footnoteReference w:id="891"/>
      </w:r>
      <w:r w:rsidR="003A192E">
        <w:rPr>
          <w:rFonts w:ascii="Times New Roman" w:hAnsi="Times New Roman" w:cs="Times New Roman"/>
        </w:rPr>
        <w:t xml:space="preserve">. </w:t>
      </w:r>
    </w:p>
    <w:p w14:paraId="6A5AB015" w14:textId="08BE825E" w:rsidR="00DC6007" w:rsidRPr="00705170" w:rsidRDefault="00DC6007" w:rsidP="00E161BA">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petition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cannot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altered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same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w:t>
      </w:r>
      <w:r w:rsidR="003A192E">
        <w:rPr>
          <w:rFonts w:ascii="Times New Roman" w:hAnsi="Times New Roman" w:cs="Times New Roman"/>
        </w:rPr>
        <w: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instance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lowering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minimum of </w:t>
      </w:r>
      <w:proofErr w:type="spellStart"/>
      <w:r w:rsidRPr="00705170">
        <w:rPr>
          <w:rFonts w:ascii="Times New Roman" w:hAnsi="Times New Roman" w:cs="Times New Roman"/>
        </w:rPr>
        <w:t>percentage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ownership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articles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incorporation</w:t>
      </w:r>
      <w:proofErr w:type="spellEnd"/>
      <w:r w:rsidRPr="00705170">
        <w:rPr>
          <w:rStyle w:val="DipnotBavurusu"/>
          <w:rFonts w:ascii="Times New Roman" w:hAnsi="Times New Roman" w:cs="Times New Roman"/>
        </w:rPr>
        <w:footnoteReference w:id="892"/>
      </w:r>
      <w:r w:rsidRPr="00705170">
        <w:rPr>
          <w:rFonts w:ascii="Times New Roman" w:hAnsi="Times New Roman" w:cs="Times New Roman"/>
        </w:rPr>
        <w:t xml:space="preserve">, </w:t>
      </w:r>
      <w:proofErr w:type="spellStart"/>
      <w:r w:rsidRPr="00705170">
        <w:rPr>
          <w:rFonts w:ascii="Times New Roman" w:hAnsi="Times New Roman" w:cs="Times New Roman"/>
        </w:rPr>
        <w:t>because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legislative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intent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(1) </w:t>
      </w:r>
      <w:proofErr w:type="spellStart"/>
      <w:r w:rsidRPr="00705170">
        <w:rPr>
          <w:rFonts w:ascii="Times New Roman" w:hAnsi="Times New Roman" w:cs="Times New Roman"/>
        </w:rPr>
        <w:t>avoid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frivolous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lawsuits</w:t>
      </w:r>
      <w:proofErr w:type="spellEnd"/>
      <w:r w:rsidRPr="00705170">
        <w:rPr>
          <w:rStyle w:val="DipnotBavurusu"/>
          <w:rFonts w:ascii="Times New Roman" w:hAnsi="Times New Roman" w:cs="Times New Roman"/>
        </w:rPr>
        <w:footnoteReference w:id="893"/>
      </w:r>
      <w:r w:rsidRPr="00705170">
        <w:rPr>
          <w:rFonts w:ascii="Times New Roman" w:hAnsi="Times New Roman" w:cs="Times New Roman"/>
        </w:rPr>
        <w:t xml:space="preserve">, (2) </w:t>
      </w:r>
      <w:proofErr w:type="spellStart"/>
      <w:r w:rsidRPr="00705170">
        <w:rPr>
          <w:rFonts w:ascii="Times New Roman" w:hAnsi="Times New Roman" w:cs="Times New Roman"/>
        </w:rPr>
        <w:t>give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concerns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concerns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amount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certain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level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is </w:t>
      </w:r>
      <w:proofErr w:type="spellStart"/>
      <w:r w:rsidR="00B44D05" w:rsidRPr="00705170">
        <w:rPr>
          <w:rFonts w:ascii="Times New Roman" w:hAnsi="Times New Roman" w:cs="Times New Roman"/>
        </w:rPr>
        <w:t>also</w:t>
      </w:r>
      <w:proofErr w:type="spellEnd"/>
      <w:r w:rsidR="00B44D05" w:rsidRPr="00705170">
        <w:rPr>
          <w:rFonts w:ascii="Times New Roman" w:hAnsi="Times New Roman" w:cs="Times New Roman"/>
        </w:rPr>
        <w:t xml:space="preserve"> </w:t>
      </w:r>
      <w:proofErr w:type="spellStart"/>
      <w:r w:rsidRPr="00705170">
        <w:rPr>
          <w:rFonts w:ascii="Times New Roman" w:hAnsi="Times New Roman" w:cs="Times New Roman"/>
        </w:rPr>
        <w:t>why</w:t>
      </w:r>
      <w:proofErr w:type="spellEnd"/>
      <w:r w:rsidRPr="00705170">
        <w:rPr>
          <w:rFonts w:ascii="Times New Roman" w:hAnsi="Times New Roman" w:cs="Times New Roman"/>
        </w:rPr>
        <w:t xml:space="preserve"> </w:t>
      </w:r>
      <w:r w:rsidR="00B44D05" w:rsidRPr="00705170">
        <w:rPr>
          <w:rFonts w:ascii="Times New Roman" w:hAnsi="Times New Roman" w:cs="Times New Roman"/>
        </w:rPr>
        <w:t xml:space="preserve">a </w:t>
      </w:r>
      <w:r w:rsidRPr="00705170">
        <w:rPr>
          <w:rFonts w:ascii="Times New Roman" w:hAnsi="Times New Roman" w:cs="Times New Roman"/>
        </w:rPr>
        <w:t>“</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cause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required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a minimum </w:t>
      </w:r>
      <w:proofErr w:type="spellStart"/>
      <w:r w:rsidRPr="00705170">
        <w:rPr>
          <w:rFonts w:ascii="Times New Roman" w:hAnsi="Times New Roman" w:cs="Times New Roman"/>
        </w:rPr>
        <w:t>number</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shareholding</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required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3A192E">
        <w:rPr>
          <w:rFonts w:ascii="Times New Roman" w:hAnsi="Times New Roman" w:cs="Times New Roman"/>
        </w:rPr>
        <w:t>notion</w:t>
      </w:r>
      <w:proofErr w:type="spellEnd"/>
      <w:r w:rsidR="003A192E"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dissension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amount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certain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level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publicly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traded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ownership</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five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percent</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held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millions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people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means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felt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in a </w:t>
      </w:r>
      <w:proofErr w:type="spellStart"/>
      <w:r w:rsidRPr="00705170">
        <w:rPr>
          <w:rFonts w:ascii="Times New Roman" w:hAnsi="Times New Roman" w:cs="Times New Roman"/>
        </w:rPr>
        <w:t>large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scale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003A192E">
        <w:rPr>
          <w:rFonts w:ascii="Times New Roman" w:hAnsi="Times New Roman" w:cs="Times New Roman"/>
        </w:rPr>
        <w:t>elevates</w:t>
      </w:r>
      <w:proofErr w:type="spellEnd"/>
      <w:r w:rsidR="003A192E"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concerns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regarding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certain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level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establishes</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public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interest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intervention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Likewise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cannot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altered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articles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limiting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definition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certain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w:t>
      </w:r>
      <w:r w:rsidR="00564F0B">
        <w:rPr>
          <w:rFonts w:ascii="Times New Roman" w:hAnsi="Times New Roman" w:cs="Times New Roman"/>
        </w:rPr>
        <w:t xml:space="preserve"> </w:t>
      </w:r>
      <w:proofErr w:type="spellStart"/>
      <w:r w:rsidR="00564F0B">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term</w:t>
      </w:r>
      <w:proofErr w:type="spellEnd"/>
      <w:r w:rsidRPr="00705170">
        <w:rPr>
          <w:rFonts w:ascii="Times New Roman" w:hAnsi="Times New Roman" w:cs="Times New Roman"/>
        </w:rPr>
        <w:t xml:space="preserve"> </w:t>
      </w:r>
      <w:r w:rsidR="00564F0B">
        <w:rPr>
          <w:rFonts w:ascii="Times New Roman" w:hAnsi="Times New Roman" w:cs="Times New Roman"/>
        </w:rPr>
        <w:t>is</w:t>
      </w:r>
      <w:r w:rsidR="00BC280A" w:rsidRPr="00705170">
        <w:rPr>
          <w:rFonts w:ascii="Times New Roman" w:hAnsi="Times New Roman" w:cs="Times New Roman"/>
        </w:rPr>
        <w:t xml:space="preserve"> </w:t>
      </w:r>
      <w:proofErr w:type="spellStart"/>
      <w:r w:rsidR="00BC280A" w:rsidRPr="00705170">
        <w:rPr>
          <w:rFonts w:ascii="Times New Roman" w:hAnsi="Times New Roman" w:cs="Times New Roman"/>
        </w:rPr>
        <w:t>included</w:t>
      </w:r>
      <w:proofErr w:type="spellEnd"/>
      <w:r w:rsidR="00BC280A" w:rsidRPr="00705170">
        <w:rPr>
          <w:rFonts w:ascii="Times New Roman" w:hAnsi="Times New Roman" w:cs="Times New Roman"/>
        </w:rPr>
        <w:t xml:space="preserve"> in</w:t>
      </w:r>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articles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term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specifies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certain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894"/>
      </w:r>
      <w:r w:rsidR="003A192E">
        <w:rPr>
          <w:rFonts w:ascii="Times New Roman" w:hAnsi="Times New Roman" w:cs="Times New Roman"/>
        </w:rPr>
        <w:t>,</w:t>
      </w:r>
      <w:r w:rsidRPr="00705170">
        <w:rPr>
          <w:rFonts w:ascii="Times New Roman" w:hAnsi="Times New Roman" w:cs="Times New Roman"/>
        </w:rPr>
        <w:t xml:space="preserve"> </w:t>
      </w:r>
      <w:proofErr w:type="spellStart"/>
      <w:r w:rsidR="00564F0B">
        <w:rPr>
          <w:rFonts w:ascii="Times New Roman" w:hAnsi="Times New Roman" w:cs="Times New Roman"/>
        </w:rPr>
        <w:t>this</w:t>
      </w:r>
      <w:proofErr w:type="spellEnd"/>
      <w:r w:rsidR="00564F0B">
        <w:rPr>
          <w:rFonts w:ascii="Times New Roman" w:hAnsi="Times New Roman" w:cs="Times New Roman"/>
        </w:rPr>
        <w:t xml:space="preserve"> can</w:t>
      </w:r>
      <w:r w:rsidRPr="00705170">
        <w:rPr>
          <w:rFonts w:ascii="Times New Roman" w:hAnsi="Times New Roman" w:cs="Times New Roman"/>
        </w:rPr>
        <w:t xml:space="preserve"> be </w:t>
      </w:r>
      <w:proofErr w:type="spellStart"/>
      <w:r w:rsidRPr="00705170">
        <w:rPr>
          <w:rFonts w:ascii="Times New Roman" w:hAnsi="Times New Roman" w:cs="Times New Roman"/>
        </w:rPr>
        <w:t>deemed</w:t>
      </w:r>
      <w:proofErr w:type="spellEnd"/>
      <w:r w:rsidRPr="00705170">
        <w:rPr>
          <w:rFonts w:ascii="Times New Roman" w:hAnsi="Times New Roman" w:cs="Times New Roman"/>
        </w:rPr>
        <w:t xml:space="preserve"> a </w:t>
      </w:r>
      <w:r w:rsidR="00564F0B">
        <w:rPr>
          <w:rFonts w:ascii="Times New Roman" w:hAnsi="Times New Roman" w:cs="Times New Roman"/>
        </w:rPr>
        <w:t>“</w:t>
      </w:r>
      <w:proofErr w:type="spellStart"/>
      <w:r w:rsidRPr="00705170">
        <w:rPr>
          <w:rFonts w:ascii="Times New Roman" w:hAnsi="Times New Roman" w:cs="Times New Roman"/>
        </w:rPr>
        <w:t>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00564F0B">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under</w:t>
      </w:r>
      <w:proofErr w:type="spellEnd"/>
      <w:r w:rsidRPr="00705170">
        <w:rPr>
          <w:rFonts w:ascii="Times New Roman" w:hAnsi="Times New Roman" w:cs="Times New Roman"/>
        </w:rPr>
        <w:t xml:space="preserve"> TCC </w:t>
      </w:r>
      <w:proofErr w:type="spellStart"/>
      <w:r w:rsidRPr="00705170">
        <w:rPr>
          <w:rFonts w:ascii="Times New Roman" w:hAnsi="Times New Roman" w:cs="Times New Roman"/>
        </w:rPr>
        <w:t>Article</w:t>
      </w:r>
      <w:proofErr w:type="spellEnd"/>
      <w:r w:rsidRPr="00705170">
        <w:rPr>
          <w:rFonts w:ascii="Times New Roman" w:hAnsi="Times New Roman" w:cs="Times New Roman"/>
        </w:rPr>
        <w:t xml:space="preserve"> </w:t>
      </w:r>
      <w:r w:rsidR="006D5359" w:rsidRPr="00705170">
        <w:rPr>
          <w:rFonts w:ascii="Times New Roman" w:hAnsi="Times New Roman" w:cs="Times New Roman"/>
        </w:rPr>
        <w:t xml:space="preserve">529(1)(c)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without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limiting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arising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Style w:val="DipnotBavurusu"/>
          <w:rFonts w:ascii="Times New Roman" w:hAnsi="Times New Roman" w:cs="Times New Roman"/>
        </w:rPr>
        <w:footnoteReference w:id="895"/>
      </w:r>
      <w:r w:rsidRPr="00705170">
        <w:rPr>
          <w:rFonts w:ascii="Times New Roman" w:hAnsi="Times New Roman" w:cs="Times New Roman"/>
        </w:rPr>
        <w:t xml:space="preserve">. </w:t>
      </w:r>
      <w:proofErr w:type="spellStart"/>
      <w:r w:rsidRPr="00705170">
        <w:rPr>
          <w:rFonts w:ascii="Times New Roman" w:hAnsi="Times New Roman" w:cs="Times New Roman"/>
        </w:rPr>
        <w:t>After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proceeding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interest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petitioning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but</w:t>
      </w:r>
      <w:r w:rsidR="006D5359" w:rsidRPr="00705170">
        <w:rPr>
          <w:rFonts w:ascii="Times New Roman" w:hAnsi="Times New Roman" w:cs="Times New Roman"/>
        </w:rPr>
        <w:t xml:space="preserve"> </w:t>
      </w:r>
      <w:proofErr w:type="spellStart"/>
      <w:r w:rsidR="006D5359" w:rsidRPr="00705170">
        <w:rPr>
          <w:rFonts w:ascii="Times New Roman" w:hAnsi="Times New Roman" w:cs="Times New Roman"/>
        </w:rPr>
        <w:t>also</w:t>
      </w:r>
      <w:proofErr w:type="spellEnd"/>
      <w:r w:rsidR="006D5359" w:rsidRPr="00705170">
        <w:rPr>
          <w:rFonts w:ascii="Times New Roman" w:hAnsi="Times New Roman" w:cs="Times New Roman"/>
        </w:rPr>
        <w:t xml:space="preserve"> </w:t>
      </w:r>
      <w:proofErr w:type="spellStart"/>
      <w:r w:rsidR="006D5359" w:rsidRPr="00705170">
        <w:rPr>
          <w:rFonts w:ascii="Times New Roman" w:hAnsi="Times New Roman" w:cs="Times New Roman"/>
        </w:rPr>
        <w:t>other</w:t>
      </w:r>
      <w:proofErr w:type="spellEnd"/>
      <w:r w:rsidR="006D5359" w:rsidRPr="00705170">
        <w:rPr>
          <w:rFonts w:ascii="Times New Roman" w:hAnsi="Times New Roman" w:cs="Times New Roman"/>
        </w:rPr>
        <w:t xml:space="preserve"> </w:t>
      </w:r>
      <w:proofErr w:type="spellStart"/>
      <w:r w:rsidR="006D5359" w:rsidRPr="00705170">
        <w:rPr>
          <w:rFonts w:ascii="Times New Roman" w:hAnsi="Times New Roman" w:cs="Times New Roman"/>
        </w:rPr>
        <w:t>stakeholders</w:t>
      </w:r>
      <w:proofErr w:type="spellEnd"/>
      <w:r w:rsidRPr="00705170">
        <w:rPr>
          <w:rStyle w:val="DipnotBavurusu"/>
          <w:rFonts w:ascii="Times New Roman" w:hAnsi="Times New Roman" w:cs="Times New Roman"/>
        </w:rPr>
        <w:footnoteReference w:id="896"/>
      </w:r>
      <w:r w:rsidRPr="00705170">
        <w:rPr>
          <w:rFonts w:ascii="Times New Roman" w:hAnsi="Times New Roman" w:cs="Times New Roman"/>
        </w:rPr>
        <w:t xml:space="preserve">. </w:t>
      </w:r>
    </w:p>
    <w:p w14:paraId="1E4BD6A0" w14:textId="469963E4" w:rsidR="00DC6007" w:rsidRPr="00705170" w:rsidRDefault="00DC6007" w:rsidP="00297249">
      <w:pPr>
        <w:spacing w:after="240" w:line="480" w:lineRule="auto"/>
        <w:ind w:firstLine="708"/>
        <w:jc w:val="both"/>
        <w:rPr>
          <w:rFonts w:ascii="Times New Roman" w:hAnsi="Times New Roman" w:cs="Times New Roman"/>
        </w:rPr>
      </w:pPr>
      <w:r w:rsidRPr="00705170">
        <w:rPr>
          <w:rFonts w:ascii="Times New Roman" w:hAnsi="Times New Roman" w:cs="Times New Roman"/>
        </w:rPr>
        <w:t xml:space="preserve">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indirectly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restrict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interpretation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write</w:t>
      </w:r>
      <w:proofErr w:type="spellEnd"/>
      <w:r w:rsidRPr="00705170">
        <w:rPr>
          <w:rFonts w:ascii="Times New Roman" w:hAnsi="Times New Roman" w:cs="Times New Roman"/>
        </w:rPr>
        <w:t xml:space="preserve"> an </w:t>
      </w:r>
      <w:proofErr w:type="spellStart"/>
      <w:r w:rsidR="003A192E">
        <w:rPr>
          <w:rFonts w:ascii="Times New Roman" w:hAnsi="Times New Roman" w:cs="Times New Roman"/>
        </w:rPr>
        <w:t>incident</w:t>
      </w:r>
      <w:proofErr w:type="spellEnd"/>
      <w:r w:rsidR="003A192E" w:rsidRPr="00705170">
        <w:rPr>
          <w:rFonts w:ascii="Times New Roman" w:hAnsi="Times New Roman" w:cs="Times New Roman"/>
        </w:rPr>
        <w:t xml:space="preserve"> </w:t>
      </w:r>
      <w:r w:rsidRPr="00705170">
        <w:rPr>
          <w:rFonts w:ascii="Times New Roman" w:hAnsi="Times New Roman" w:cs="Times New Roman"/>
        </w:rPr>
        <w:t xml:space="preserve">as a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their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articles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incorporation</w:t>
      </w:r>
      <w:proofErr w:type="spellEnd"/>
      <w:r w:rsidRPr="00705170">
        <w:rPr>
          <w:rStyle w:val="DipnotBavurusu"/>
          <w:rFonts w:ascii="Times New Roman" w:hAnsi="Times New Roman" w:cs="Times New Roman"/>
        </w:rPr>
        <w:footnoteReference w:id="897"/>
      </w:r>
      <w:r w:rsidR="00D438F6" w:rsidRPr="00705170">
        <w:rPr>
          <w:rFonts w:ascii="Times New Roman" w:hAnsi="Times New Roman" w:cs="Times New Roman"/>
        </w:rPr>
        <w:t xml:space="preserve">. </w:t>
      </w:r>
      <w:proofErr w:type="spellStart"/>
      <w:r w:rsidR="00D438F6" w:rsidRPr="00705170">
        <w:rPr>
          <w:rFonts w:ascii="Times New Roman" w:hAnsi="Times New Roman" w:cs="Times New Roman"/>
        </w:rPr>
        <w:t>W</w:t>
      </w:r>
      <w:r w:rsidRPr="00705170">
        <w:rPr>
          <w:rFonts w:ascii="Times New Roman" w:hAnsi="Times New Roman" w:cs="Times New Roman"/>
        </w:rPr>
        <w:t>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cannot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write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003A192E">
        <w:rPr>
          <w:rFonts w:ascii="Times New Roman" w:hAnsi="Times New Roman" w:cs="Times New Roman"/>
        </w:rPr>
        <w:t>incidents</w:t>
      </w:r>
      <w:proofErr w:type="spellEnd"/>
      <w:r w:rsidR="003A192E"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cannot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deemed</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they</w:t>
      </w:r>
      <w:proofErr w:type="spellEnd"/>
      <w:r w:rsidRPr="00705170">
        <w:rPr>
          <w:rFonts w:ascii="Times New Roman" w:hAnsi="Times New Roman" w:cs="Times New Roman"/>
        </w:rPr>
        <w:t xml:space="preserve"> can limit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application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determining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scope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is a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should</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activated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last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resort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reject</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claim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some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those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00A2784B">
        <w:rPr>
          <w:rFonts w:ascii="Times New Roman" w:hAnsi="Times New Roman" w:cs="Times New Roman"/>
        </w:rPr>
        <w:t>incidents</w:t>
      </w:r>
      <w:proofErr w:type="spellEnd"/>
      <w:r w:rsidRPr="00705170">
        <w:rPr>
          <w:rStyle w:val="DipnotBavurusu"/>
          <w:rFonts w:ascii="Times New Roman" w:hAnsi="Times New Roman" w:cs="Times New Roman"/>
        </w:rPr>
        <w:footnoteReference w:id="898"/>
      </w:r>
      <w:r w:rsidR="00524071" w:rsidRPr="00705170">
        <w:rPr>
          <w:rFonts w:ascii="Times New Roman" w:hAnsi="Times New Roman" w:cs="Times New Roman"/>
        </w:rPr>
        <w:t xml:space="preserve">. </w:t>
      </w:r>
      <w:proofErr w:type="spellStart"/>
      <w:r w:rsidR="00524071" w:rsidRPr="00705170">
        <w:rPr>
          <w:rFonts w:ascii="Times New Roman" w:hAnsi="Times New Roman" w:cs="Times New Roman"/>
        </w:rPr>
        <w:t>Herein</w:t>
      </w:r>
      <w:proofErr w:type="spellEnd"/>
      <w:r w:rsidR="00524071"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claim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004F2DA1" w:rsidRPr="00705170">
        <w:rPr>
          <w:rFonts w:ascii="Times New Roman" w:hAnsi="Times New Roman" w:cs="Times New Roman"/>
        </w:rPr>
        <w:t xml:space="preserve">, </w:t>
      </w:r>
      <w:proofErr w:type="spellStart"/>
      <w:r w:rsidR="004F2DA1" w:rsidRPr="00705170">
        <w:rPr>
          <w:rFonts w:ascii="Times New Roman" w:hAnsi="Times New Roman" w:cs="Times New Roman"/>
        </w:rPr>
        <w:t>while</w:t>
      </w:r>
      <w:proofErr w:type="spellEnd"/>
      <w:r w:rsidR="004F2DA1" w:rsidRPr="00705170">
        <w:rPr>
          <w:rFonts w:ascii="Times New Roman" w:hAnsi="Times New Roman" w:cs="Times New Roman"/>
        </w:rPr>
        <w:t xml:space="preserve"> </w:t>
      </w:r>
      <w:r w:rsidRPr="00705170">
        <w:rPr>
          <w:rFonts w:ascii="Times New Roman" w:hAnsi="Times New Roman" w:cs="Times New Roman"/>
        </w:rPr>
        <w:t xml:space="preserve">an </w:t>
      </w:r>
      <w:proofErr w:type="spellStart"/>
      <w:r w:rsidR="00A2784B">
        <w:rPr>
          <w:rFonts w:ascii="Times New Roman" w:hAnsi="Times New Roman" w:cs="Times New Roman"/>
        </w:rPr>
        <w:t>incident</w:t>
      </w:r>
      <w:proofErr w:type="spellEnd"/>
      <w:r w:rsidR="00A2784B" w:rsidRPr="00705170">
        <w:rPr>
          <w:rFonts w:ascii="Times New Roman" w:hAnsi="Times New Roman" w:cs="Times New Roman"/>
        </w:rPr>
        <w:t xml:space="preserve"> </w:t>
      </w:r>
      <w:r w:rsidRPr="00705170">
        <w:rPr>
          <w:rFonts w:ascii="Times New Roman" w:hAnsi="Times New Roman" w:cs="Times New Roman"/>
        </w:rPr>
        <w:t xml:space="preserve">is </w:t>
      </w:r>
      <w:proofErr w:type="spellStart"/>
      <w:r w:rsidRPr="00705170">
        <w:rPr>
          <w:rFonts w:ascii="Times New Roman" w:hAnsi="Times New Roman" w:cs="Times New Roman"/>
        </w:rPr>
        <w:t>explicitly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specified</w:t>
      </w:r>
      <w:proofErr w:type="spellEnd"/>
      <w:r w:rsidRPr="00705170">
        <w:rPr>
          <w:rFonts w:ascii="Times New Roman" w:hAnsi="Times New Roman" w:cs="Times New Roman"/>
        </w:rPr>
        <w:t xml:space="preserve"> as a </w:t>
      </w:r>
      <w:r w:rsidR="00297249">
        <w:rPr>
          <w:rFonts w:ascii="Times New Roman" w:hAnsi="Times New Roman" w:cs="Times New Roman"/>
        </w:rPr>
        <w:t>“</w:t>
      </w:r>
      <w:proofErr w:type="spellStart"/>
      <w:r w:rsidRPr="00705170">
        <w:rPr>
          <w:rFonts w:ascii="Times New Roman" w:hAnsi="Times New Roman" w:cs="Times New Roman"/>
        </w:rPr>
        <w:t>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trigger</w:t>
      </w:r>
      <w:proofErr w:type="spellEnd"/>
      <w:r w:rsidR="00297249">
        <w:rPr>
          <w:rFonts w:ascii="Times New Roman" w:hAnsi="Times New Roman" w:cs="Times New Roman"/>
        </w:rPr>
        <w:t>”</w:t>
      </w:r>
      <w:r w:rsidRPr="00705170">
        <w:rPr>
          <w:rFonts w:ascii="Times New Roman" w:hAnsi="Times New Roman" w:cs="Times New Roman"/>
        </w:rPr>
        <w:t xml:space="preserve"> but a </w:t>
      </w:r>
      <w:proofErr w:type="spellStart"/>
      <w:r w:rsidRPr="00705170">
        <w:rPr>
          <w:rFonts w:ascii="Times New Roman" w:hAnsi="Times New Roman" w:cs="Times New Roman"/>
        </w:rPr>
        <w:t>related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fact</w:t>
      </w:r>
      <w:proofErr w:type="spellEnd"/>
      <w:r w:rsidRPr="00705170">
        <w:rPr>
          <w:rFonts w:ascii="Times New Roman" w:hAnsi="Times New Roman" w:cs="Times New Roman"/>
        </w:rPr>
        <w:t xml:space="preserve"> i</w:t>
      </w:r>
      <w:r w:rsidR="00AD4E0F">
        <w:rPr>
          <w:rFonts w:ascii="Times New Roman" w:hAnsi="Times New Roman" w:cs="Times New Roman"/>
        </w:rPr>
        <w:t xml:space="preserve">s not, </w:t>
      </w:r>
      <w:proofErr w:type="spellStart"/>
      <w:r w:rsidRPr="00705170">
        <w:rPr>
          <w:rFonts w:ascii="Times New Roman" w:hAnsi="Times New Roman" w:cs="Times New Roman"/>
        </w:rPr>
        <w:t>shows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unspecified</w:t>
      </w:r>
      <w:proofErr w:type="spellEnd"/>
      <w:r w:rsidRPr="00705170">
        <w:rPr>
          <w:rFonts w:ascii="Times New Roman" w:hAnsi="Times New Roman" w:cs="Times New Roman"/>
        </w:rPr>
        <w:t xml:space="preserve"> </w:t>
      </w:r>
      <w:proofErr w:type="spellStart"/>
      <w:r w:rsidR="00A2784B">
        <w:rPr>
          <w:rFonts w:ascii="Times New Roman" w:hAnsi="Times New Roman" w:cs="Times New Roman"/>
        </w:rPr>
        <w:t>incident</w:t>
      </w:r>
      <w:proofErr w:type="spellEnd"/>
      <w:r w:rsidR="00A2784B" w:rsidRPr="00705170">
        <w:rPr>
          <w:rFonts w:ascii="Times New Roman" w:hAnsi="Times New Roman" w:cs="Times New Roman"/>
        </w:rPr>
        <w:t xml:space="preserve"> </w:t>
      </w:r>
      <w:r w:rsidRPr="00705170">
        <w:rPr>
          <w:rFonts w:ascii="Times New Roman" w:hAnsi="Times New Roman" w:cs="Times New Roman"/>
        </w:rPr>
        <w:t xml:space="preserve">is not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deem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However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mean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circumvention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rule</w:t>
      </w:r>
      <w:proofErr w:type="spellEnd"/>
      <w:r w:rsidR="00130D51"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careful</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imposing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kind</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restriction</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its</w:t>
      </w:r>
      <w:proofErr w:type="spellEnd"/>
      <w:r w:rsidR="00130D51" w:rsidRPr="00705170">
        <w:rPr>
          <w:rFonts w:ascii="Times New Roman" w:hAnsi="Times New Roman" w:cs="Times New Roman"/>
        </w:rPr>
        <w:t xml:space="preserve"> </w:t>
      </w:r>
      <w:proofErr w:type="spellStart"/>
      <w:r w:rsidR="00130D51" w:rsidRPr="00705170">
        <w:rPr>
          <w:rFonts w:ascii="Times New Roman" w:hAnsi="Times New Roman" w:cs="Times New Roman"/>
        </w:rPr>
        <w:t>own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interpretation</w:t>
      </w:r>
      <w:proofErr w:type="spellEnd"/>
      <w:r w:rsidRPr="00705170">
        <w:rPr>
          <w:rFonts w:ascii="Times New Roman" w:hAnsi="Times New Roman" w:cs="Times New Roman"/>
        </w:rPr>
        <w:t>.</w:t>
      </w:r>
    </w:p>
    <w:p w14:paraId="65A1F34B" w14:textId="01E52371" w:rsidR="00194505" w:rsidRPr="00705170" w:rsidRDefault="00844896" w:rsidP="00194505">
      <w:pPr>
        <w:spacing w:after="240" w:line="480" w:lineRule="auto"/>
        <w:ind w:firstLine="720"/>
        <w:jc w:val="both"/>
        <w:rPr>
          <w:rFonts w:ascii="Times New Roman" w:hAnsi="Times New Roman" w:cs="Times New Roman"/>
        </w:rPr>
      </w:pPr>
      <w:proofErr w:type="spellStart"/>
      <w:r w:rsidRPr="00705170">
        <w:rPr>
          <w:rFonts w:ascii="Times New Roman" w:hAnsi="Times New Roman" w:cs="Times New Roman"/>
        </w:rPr>
        <w:t>Corollary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t>
      </w:r>
      <w:r w:rsidR="00DC6007" w:rsidRPr="00705170">
        <w:rPr>
          <w:rFonts w:ascii="Times New Roman" w:hAnsi="Times New Roman" w:cs="Times New Roman"/>
        </w:rPr>
        <w: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right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initiate</w:t>
      </w:r>
      <w:proofErr w:type="spellEnd"/>
      <w:r w:rsidR="00DC6007" w:rsidRPr="00705170">
        <w:rPr>
          <w:rFonts w:ascii="Times New Roman" w:hAnsi="Times New Roman" w:cs="Times New Roman"/>
        </w:rPr>
        <w:t xml:space="preserve"> a</w:t>
      </w:r>
      <w:r w:rsidRPr="00705170">
        <w:rPr>
          <w:rFonts w:ascii="Times New Roman" w:hAnsi="Times New Roman" w:cs="Times New Roman"/>
        </w:rPr>
        <w:t>n</w:t>
      </w:r>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involuntary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disssolution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action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cannot</w:t>
      </w:r>
      <w:proofErr w:type="spellEnd"/>
      <w:r w:rsidR="00DC6007" w:rsidRPr="00705170">
        <w:rPr>
          <w:rFonts w:ascii="Times New Roman" w:hAnsi="Times New Roman" w:cs="Times New Roman"/>
        </w:rPr>
        <w:t xml:space="preserve"> be </w:t>
      </w:r>
      <w:proofErr w:type="spellStart"/>
      <w:r w:rsidR="00DC6007" w:rsidRPr="00705170">
        <w:rPr>
          <w:rFonts w:ascii="Times New Roman" w:hAnsi="Times New Roman" w:cs="Times New Roman"/>
        </w:rPr>
        <w:t>waived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or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altered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by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because</w:t>
      </w:r>
      <w:proofErr w:type="spellEnd"/>
      <w:r w:rsidR="00DC6007" w:rsidRPr="00705170">
        <w:rPr>
          <w:rFonts w:ascii="Times New Roman" w:hAnsi="Times New Roman" w:cs="Times New Roman"/>
        </w:rPr>
        <w:t xml:space="preserve"> TCO </w:t>
      </w:r>
      <w:proofErr w:type="spellStart"/>
      <w:r w:rsidR="00DC6007" w:rsidRPr="00705170">
        <w:rPr>
          <w:rFonts w:ascii="Times New Roman" w:hAnsi="Times New Roman" w:cs="Times New Roman"/>
        </w:rPr>
        <w:t>Article</w:t>
      </w:r>
      <w:proofErr w:type="spellEnd"/>
      <w:r w:rsidR="00DC6007" w:rsidRPr="00705170">
        <w:rPr>
          <w:rFonts w:ascii="Times New Roman" w:hAnsi="Times New Roman" w:cs="Times New Roman"/>
        </w:rPr>
        <w:t xml:space="preserve"> 27 </w:t>
      </w:r>
      <w:proofErr w:type="spellStart"/>
      <w:r w:rsidR="00DC6007" w:rsidRPr="00705170">
        <w:rPr>
          <w:rFonts w:ascii="Times New Roman" w:hAnsi="Times New Roman" w:cs="Times New Roman"/>
        </w:rPr>
        <w:t>provides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a </w:t>
      </w:r>
      <w:proofErr w:type="spellStart"/>
      <w:r w:rsidR="00DC6007" w:rsidRPr="00705170">
        <w:rPr>
          <w:rFonts w:ascii="Times New Roman" w:hAnsi="Times New Roman" w:cs="Times New Roman"/>
        </w:rPr>
        <w:t>private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contract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cannot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violate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mandatory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statutory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provisions</w:t>
      </w:r>
      <w:proofErr w:type="spellEnd"/>
      <w:r w:rsidR="00DC6007" w:rsidRPr="00705170">
        <w:rPr>
          <w:rStyle w:val="DipnotBavurusu"/>
          <w:rFonts w:ascii="Times New Roman" w:hAnsi="Times New Roman" w:cs="Times New Roman"/>
        </w:rPr>
        <w:footnoteReference w:id="899"/>
      </w:r>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or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public</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policy</w:t>
      </w:r>
      <w:proofErr w:type="spellEnd"/>
      <w:r w:rsidR="00DC6007" w:rsidRPr="00705170">
        <w:rPr>
          <w:rStyle w:val="DipnotBavurusu"/>
          <w:rFonts w:ascii="Times New Roman" w:hAnsi="Times New Roman" w:cs="Times New Roman"/>
        </w:rPr>
        <w:footnoteReference w:id="900"/>
      </w:r>
      <w:r w:rsidR="00DC6007" w:rsidRPr="00705170">
        <w:rPr>
          <w:rFonts w:ascii="Times New Roman" w:hAnsi="Times New Roman" w:cs="Times New Roman"/>
        </w:rPr>
        <w:t>.</w:t>
      </w:r>
      <w:r w:rsidR="00DC6007" w:rsidRPr="00705170">
        <w:rPr>
          <w:rStyle w:val="DipnotBavurusu"/>
          <w:rFonts w:ascii="Times New Roman" w:hAnsi="Times New Roman" w:cs="Times New Roman"/>
        </w:rPr>
        <w:t xml:space="preserve"> </w:t>
      </w:r>
      <w:proofErr w:type="spellStart"/>
      <w:r w:rsidR="00DC6007" w:rsidRPr="00705170">
        <w:rPr>
          <w:rFonts w:ascii="Times New Roman" w:hAnsi="Times New Roman" w:cs="Times New Roman"/>
        </w:rPr>
        <w:t>In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this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regards</w:t>
      </w:r>
      <w:proofErr w:type="spellEnd"/>
      <w:r w:rsidR="00DC6007" w:rsidRPr="00705170">
        <w:rPr>
          <w:rFonts w:ascii="Times New Roman" w:hAnsi="Times New Roman" w:cs="Times New Roman"/>
        </w:rPr>
        <w:t xml:space="preserve">, an </w:t>
      </w:r>
      <w:proofErr w:type="spellStart"/>
      <w:r w:rsidR="00DC6007" w:rsidRPr="00705170">
        <w:rPr>
          <w:rFonts w:ascii="Times New Roman" w:hAnsi="Times New Roman" w:cs="Times New Roman"/>
        </w:rPr>
        <w:t>involuntary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dissolution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proceeding</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cannot</w:t>
      </w:r>
      <w:proofErr w:type="spellEnd"/>
      <w:r w:rsidR="00DC6007" w:rsidRPr="00705170">
        <w:rPr>
          <w:rFonts w:ascii="Times New Roman" w:hAnsi="Times New Roman" w:cs="Times New Roman"/>
        </w:rPr>
        <w:t xml:space="preserve"> be </w:t>
      </w:r>
      <w:proofErr w:type="spellStart"/>
      <w:r w:rsidR="00DC6007" w:rsidRPr="00705170">
        <w:rPr>
          <w:rFonts w:ascii="Times New Roman" w:hAnsi="Times New Roman" w:cs="Times New Roman"/>
        </w:rPr>
        <w:t>submitted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arbitration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rather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courts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due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a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A2784B">
        <w:rPr>
          <w:rFonts w:ascii="Times New Roman" w:hAnsi="Times New Roman" w:cs="Times New Roman"/>
        </w:rPr>
        <w:t xml:space="preserve"> </w:t>
      </w:r>
      <w:proofErr w:type="spellStart"/>
      <w:r w:rsidR="00A2784B">
        <w:rPr>
          <w:rFonts w:ascii="Times New Roman" w:hAnsi="Times New Roman" w:cs="Times New Roman"/>
        </w:rPr>
        <w:t>or</w:t>
      </w:r>
      <w:proofErr w:type="spellEnd"/>
      <w:r w:rsidR="00A2784B">
        <w:rPr>
          <w:rFonts w:ascii="Times New Roman" w:hAnsi="Times New Roman" w:cs="Times New Roman"/>
        </w:rPr>
        <w:t xml:space="preserve"> </w:t>
      </w:r>
      <w:proofErr w:type="spellStart"/>
      <w:r w:rsidR="00A2784B">
        <w:rPr>
          <w:rFonts w:ascii="Times New Roman" w:hAnsi="Times New Roman" w:cs="Times New Roman"/>
        </w:rPr>
        <w:t>articles</w:t>
      </w:r>
      <w:proofErr w:type="spellEnd"/>
      <w:r w:rsidR="00A2784B">
        <w:rPr>
          <w:rFonts w:ascii="Times New Roman" w:hAnsi="Times New Roman" w:cs="Times New Roman"/>
        </w:rPr>
        <w:t xml:space="preserve"> of </w:t>
      </w:r>
      <w:proofErr w:type="spellStart"/>
      <w:r w:rsidR="00A2784B">
        <w:rPr>
          <w:rFonts w:ascii="Times New Roman" w:hAnsi="Times New Roman" w:cs="Times New Roman"/>
        </w:rPr>
        <w:t>incorporation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term</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requiring</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parties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solve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their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disputes</w:t>
      </w:r>
      <w:proofErr w:type="spellEnd"/>
      <w:r w:rsidR="00DC6007" w:rsidRPr="00705170">
        <w:rPr>
          <w:rFonts w:ascii="Times New Roman" w:hAnsi="Times New Roman" w:cs="Times New Roman"/>
        </w:rPr>
        <w:t xml:space="preserve"> in </w:t>
      </w:r>
      <w:proofErr w:type="spellStart"/>
      <w:r w:rsidR="00DC6007" w:rsidRPr="00705170">
        <w:rPr>
          <w:rFonts w:ascii="Times New Roman" w:hAnsi="Times New Roman" w:cs="Times New Roman"/>
        </w:rPr>
        <w:t>arbitration</w:t>
      </w:r>
      <w:proofErr w:type="spellEnd"/>
      <w:r w:rsidR="00A2784B">
        <w:rPr>
          <w:rStyle w:val="DipnotBavurusu"/>
          <w:rFonts w:ascii="Times New Roman" w:hAnsi="Times New Roman" w:cs="Times New Roman"/>
        </w:rPr>
        <w:footnoteReference w:id="901"/>
      </w:r>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because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parties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cannot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take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issues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cannot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resolve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themselves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without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court’s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intervention</w:t>
      </w:r>
      <w:proofErr w:type="spellEnd"/>
      <w:r w:rsidR="00BF5806">
        <w:rPr>
          <w:rFonts w:ascii="Times New Roman" w:hAnsi="Times New Roman" w:cs="Times New Roman"/>
        </w:rPr>
        <w:t xml:space="preserve"> </w:t>
      </w:r>
      <w:proofErr w:type="spellStart"/>
      <w:r w:rsidR="00BF5806">
        <w:rPr>
          <w:rFonts w:ascii="Times New Roman" w:hAnsi="Times New Roman" w:cs="Times New Roman"/>
        </w:rPr>
        <w:t>to</w:t>
      </w:r>
      <w:proofErr w:type="spellEnd"/>
      <w:r w:rsidR="00BF5806">
        <w:rPr>
          <w:rFonts w:ascii="Times New Roman" w:hAnsi="Times New Roman" w:cs="Times New Roman"/>
        </w:rPr>
        <w:t xml:space="preserve"> </w:t>
      </w:r>
      <w:proofErr w:type="spellStart"/>
      <w:r w:rsidR="00BF5806">
        <w:rPr>
          <w:rFonts w:ascii="Times New Roman" w:hAnsi="Times New Roman" w:cs="Times New Roman"/>
        </w:rPr>
        <w:t>arbitration</w:t>
      </w:r>
      <w:proofErr w:type="spellEnd"/>
      <w:r w:rsidR="00BF5806">
        <w:rPr>
          <w:rFonts w:ascii="Times New Roman" w:hAnsi="Times New Roman" w:cs="Times New Roman"/>
        </w:rPr>
        <w:t>,</w:t>
      </w:r>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and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subject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matter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jurisdiction</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involuntary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dissolution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proceeding</w:t>
      </w:r>
      <w:proofErr w:type="spellEnd"/>
      <w:r w:rsidR="00DC6007" w:rsidRPr="00705170">
        <w:rPr>
          <w:rFonts w:ascii="Times New Roman" w:hAnsi="Times New Roman" w:cs="Times New Roman"/>
        </w:rPr>
        <w:t xml:space="preserve"> is </w:t>
      </w:r>
      <w:proofErr w:type="spellStart"/>
      <w:r w:rsidR="00DC6007" w:rsidRPr="00705170">
        <w:rPr>
          <w:rFonts w:ascii="Times New Roman" w:hAnsi="Times New Roman" w:cs="Times New Roman"/>
        </w:rPr>
        <w:t>explicitly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left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court</w:t>
      </w:r>
      <w:proofErr w:type="spellEnd"/>
      <w:r w:rsidR="00DC6007" w:rsidRPr="00705170">
        <w:rPr>
          <w:rFonts w:ascii="Times New Roman" w:hAnsi="Times New Roman" w:cs="Times New Roman"/>
        </w:rPr>
        <w:t xml:space="preserve"> at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corporation’s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headquarters</w:t>
      </w:r>
      <w:proofErr w:type="spellEnd"/>
      <w:r w:rsidR="00DC6007" w:rsidRPr="00705170">
        <w:rPr>
          <w:rStyle w:val="DipnotBavurusu"/>
          <w:rFonts w:ascii="Times New Roman" w:hAnsi="Times New Roman" w:cs="Times New Roman"/>
        </w:rPr>
        <w:footnoteReference w:id="902"/>
      </w:r>
      <w:r w:rsidR="00DC6007" w:rsidRPr="00705170">
        <w:rPr>
          <w:rFonts w:ascii="Times New Roman" w:hAnsi="Times New Roman" w:cs="Times New Roman"/>
        </w:rPr>
        <w:t>.</w:t>
      </w:r>
      <w:r w:rsidR="00194505" w:rsidRPr="00705170">
        <w:rPr>
          <w:rFonts w:ascii="Times New Roman" w:hAnsi="Times New Roman" w:cs="Times New Roman"/>
        </w:rPr>
        <w:t xml:space="preserve"> </w:t>
      </w:r>
      <w:proofErr w:type="spellStart"/>
      <w:r w:rsidR="00941604" w:rsidRPr="00705170">
        <w:rPr>
          <w:rFonts w:ascii="Times New Roman" w:hAnsi="Times New Roman" w:cs="Times New Roman"/>
        </w:rPr>
        <w:t>Then</w:t>
      </w:r>
      <w:proofErr w:type="spellEnd"/>
      <w:r w:rsidR="00941604"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fact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involuntary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dissolution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provision</w:t>
      </w:r>
      <w:proofErr w:type="spellEnd"/>
      <w:r w:rsidR="00DC6007" w:rsidRPr="00705170">
        <w:rPr>
          <w:rFonts w:ascii="Times New Roman" w:hAnsi="Times New Roman" w:cs="Times New Roman"/>
        </w:rPr>
        <w:t xml:space="preserve"> is </w:t>
      </w:r>
      <w:proofErr w:type="spellStart"/>
      <w:r w:rsidR="00DC6007" w:rsidRPr="00705170">
        <w:rPr>
          <w:rFonts w:ascii="Times New Roman" w:hAnsi="Times New Roman" w:cs="Times New Roman"/>
        </w:rPr>
        <w:t>one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concerns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public</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policy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requires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invalidation</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lastRenderedPageBreak/>
        <w:t>agreements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terms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waiving</w:t>
      </w:r>
      <w:proofErr w:type="spellEnd"/>
      <w:r w:rsidR="00DC6007" w:rsidRPr="00705170">
        <w:rPr>
          <w:rStyle w:val="DipnotBavurusu"/>
          <w:rFonts w:ascii="Times New Roman" w:hAnsi="Times New Roman" w:cs="Times New Roman"/>
        </w:rPr>
        <w:footnoteReference w:id="903"/>
      </w:r>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or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altering</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provision</w:t>
      </w:r>
      <w:proofErr w:type="spellEnd"/>
      <w:r w:rsidR="00DC6007" w:rsidRPr="00705170">
        <w:rPr>
          <w:rStyle w:val="DipnotBavurusu"/>
          <w:rFonts w:ascii="Times New Roman" w:hAnsi="Times New Roman" w:cs="Times New Roman"/>
        </w:rPr>
        <w:footnoteReference w:id="904"/>
      </w:r>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Accordingly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if</w:t>
      </w:r>
      <w:proofErr w:type="spellEnd"/>
      <w:r w:rsidR="00DC6007" w:rsidRPr="00705170">
        <w:rPr>
          <w:rFonts w:ascii="Times New Roman" w:hAnsi="Times New Roman" w:cs="Times New Roman"/>
        </w:rPr>
        <w:t xml:space="preserve"> a </w:t>
      </w:r>
      <w:proofErr w:type="spellStart"/>
      <w:r w:rsidR="00DC6007" w:rsidRPr="00705170">
        <w:rPr>
          <w:rFonts w:ascii="Times New Roman" w:hAnsi="Times New Roman" w:cs="Times New Roman"/>
        </w:rPr>
        <w:t>shareholder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proceeds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with</w:t>
      </w:r>
      <w:proofErr w:type="spellEnd"/>
      <w:r w:rsidR="00DC6007" w:rsidRPr="00705170">
        <w:rPr>
          <w:rFonts w:ascii="Times New Roman" w:hAnsi="Times New Roman" w:cs="Times New Roman"/>
        </w:rPr>
        <w:t xml:space="preserve"> a </w:t>
      </w:r>
      <w:proofErr w:type="spellStart"/>
      <w:r w:rsidR="00DC6007" w:rsidRPr="00705170">
        <w:rPr>
          <w:rFonts w:ascii="Times New Roman" w:hAnsi="Times New Roman" w:cs="Times New Roman"/>
        </w:rPr>
        <w:t>lawsuit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under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judicial</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dissolution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provision</w:t>
      </w:r>
      <w:proofErr w:type="spellEnd"/>
      <w:r w:rsidR="00DC6007" w:rsidRPr="00705170">
        <w:rPr>
          <w:rFonts w:ascii="Times New Roman" w:hAnsi="Times New Roman" w:cs="Times New Roman"/>
        </w:rPr>
        <w:t xml:space="preserve"> of TCC, </w:t>
      </w:r>
      <w:proofErr w:type="spellStart"/>
      <w:r w:rsidR="00DC6007" w:rsidRPr="00705170">
        <w:rPr>
          <w:rFonts w:ascii="Times New Roman" w:hAnsi="Times New Roman" w:cs="Times New Roman"/>
        </w:rPr>
        <w:t>despite</w:t>
      </w:r>
      <w:proofErr w:type="spellEnd"/>
      <w:r w:rsidR="00DC6007" w:rsidRPr="00705170">
        <w:rPr>
          <w:rFonts w:ascii="Times New Roman" w:hAnsi="Times New Roman" w:cs="Times New Roman"/>
        </w:rPr>
        <w:t xml:space="preserve"> an </w:t>
      </w:r>
      <w:proofErr w:type="spellStart"/>
      <w:r w:rsidR="00DC6007" w:rsidRPr="00705170">
        <w:rPr>
          <w:rFonts w:ascii="Times New Roman" w:hAnsi="Times New Roman" w:cs="Times New Roman"/>
        </w:rPr>
        <w:t>explicit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term</w:t>
      </w:r>
      <w:proofErr w:type="spellEnd"/>
      <w:r w:rsidR="00DC6007" w:rsidRPr="00705170">
        <w:rPr>
          <w:rFonts w:ascii="Times New Roman" w:hAnsi="Times New Roman" w:cs="Times New Roman"/>
        </w:rPr>
        <w:t xml:space="preserve"> in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this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right</w:t>
      </w:r>
      <w:proofErr w:type="spellEnd"/>
      <w:r w:rsidR="00DC6007" w:rsidRPr="00705170">
        <w:rPr>
          <w:rFonts w:ascii="Times New Roman" w:hAnsi="Times New Roman" w:cs="Times New Roman"/>
        </w:rPr>
        <w:t xml:space="preserve"> is </w:t>
      </w:r>
      <w:proofErr w:type="spellStart"/>
      <w:r w:rsidR="00DC6007" w:rsidRPr="00705170">
        <w:rPr>
          <w:rFonts w:ascii="Times New Roman" w:hAnsi="Times New Roman" w:cs="Times New Roman"/>
        </w:rPr>
        <w:t>waived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other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parties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BF5806">
        <w:rPr>
          <w:rFonts w:ascii="Times New Roman" w:hAnsi="Times New Roman" w:cs="Times New Roman"/>
        </w:rPr>
        <w:t>shareholders</w:t>
      </w:r>
      <w:proofErr w:type="spellEnd"/>
      <w:r w:rsidR="00BF5806">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cannot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sue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dissenting</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shareholder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for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damages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due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breach</w:t>
      </w:r>
      <w:proofErr w:type="spellEnd"/>
      <w:r w:rsidR="00DC6007" w:rsidRPr="00705170">
        <w:rPr>
          <w:rFonts w:ascii="Times New Roman" w:hAnsi="Times New Roman" w:cs="Times New Roman"/>
        </w:rPr>
        <w:t xml:space="preserve"> of </w:t>
      </w:r>
      <w:proofErr w:type="spellStart"/>
      <w:r w:rsidR="00BF5806">
        <w:rPr>
          <w:rFonts w:ascii="Times New Roman" w:hAnsi="Times New Roman" w:cs="Times New Roman"/>
        </w:rPr>
        <w:t>the</w:t>
      </w:r>
      <w:proofErr w:type="spellEnd"/>
      <w:r w:rsidR="00BF5806">
        <w:rPr>
          <w:rFonts w:ascii="Times New Roman" w:hAnsi="Times New Roman" w:cs="Times New Roman"/>
        </w:rPr>
        <w:t xml:space="preserve"> </w:t>
      </w:r>
      <w:proofErr w:type="spellStart"/>
      <w:r w:rsidR="00DC6007" w:rsidRPr="00705170">
        <w:rPr>
          <w:rFonts w:ascii="Times New Roman" w:hAnsi="Times New Roman" w:cs="Times New Roman"/>
        </w:rPr>
        <w:t>contract</w:t>
      </w:r>
      <w:proofErr w:type="spellEnd"/>
      <w:r w:rsidR="00BF5806">
        <w:rPr>
          <w:rFonts w:ascii="Times New Roman" w:hAnsi="Times New Roman" w:cs="Times New Roman"/>
        </w:rPr>
        <w:t xml:space="preserve"> </w:t>
      </w:r>
      <w:proofErr w:type="spellStart"/>
      <w:r w:rsidR="00BF5806">
        <w:rPr>
          <w:rFonts w:ascii="Times New Roman" w:hAnsi="Times New Roman" w:cs="Times New Roman"/>
        </w:rPr>
        <w:t>term</w:t>
      </w:r>
      <w:proofErr w:type="spellEnd"/>
      <w:r w:rsidR="00DC6007" w:rsidRPr="00705170">
        <w:rPr>
          <w:rStyle w:val="DipnotBavurusu"/>
          <w:rFonts w:ascii="Times New Roman" w:hAnsi="Times New Roman" w:cs="Times New Roman"/>
        </w:rPr>
        <w:footnoteReference w:id="905"/>
      </w:r>
      <w:r w:rsidR="00DC6007" w:rsidRPr="00705170">
        <w:rPr>
          <w:rFonts w:ascii="Times New Roman" w:hAnsi="Times New Roman" w:cs="Times New Roman"/>
        </w:rPr>
        <w:t>.</w:t>
      </w:r>
    </w:p>
    <w:p w14:paraId="7F40F607" w14:textId="5ACBA211" w:rsidR="005F437D" w:rsidRPr="00705170" w:rsidRDefault="000853F9" w:rsidP="00381BFF">
      <w:pPr>
        <w:spacing w:after="240" w:line="480" w:lineRule="auto"/>
        <w:ind w:firstLine="720"/>
        <w:jc w:val="both"/>
        <w:rPr>
          <w:rFonts w:ascii="Times New Roman" w:hAnsi="Times New Roman" w:cs="Times New Roman"/>
        </w:rPr>
      </w:pPr>
      <w:r w:rsidRPr="00705170">
        <w:rPr>
          <w:rFonts w:ascii="Times New Roman" w:hAnsi="Times New Roman" w:cs="Times New Roman"/>
        </w:rPr>
        <w:t xml:space="preserve">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hand</w:t>
      </w:r>
      <w:proofErr w:type="spellEnd"/>
      <w:r w:rsidRPr="00705170">
        <w:rPr>
          <w:rFonts w:ascii="Times New Roman" w:hAnsi="Times New Roman" w:cs="Times New Roman"/>
        </w:rPr>
        <w:t>, a</w:t>
      </w:r>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DC6007" w:rsidRPr="00705170">
        <w:rPr>
          <w:rFonts w:ascii="Times New Roman" w:hAnsi="Times New Roman" w:cs="Times New Roman"/>
        </w:rPr>
        <w:t xml:space="preserve"> can </w:t>
      </w:r>
      <w:proofErr w:type="spellStart"/>
      <w:r w:rsidR="00DC6007" w:rsidRPr="00705170">
        <w:rPr>
          <w:rFonts w:ascii="Times New Roman" w:hAnsi="Times New Roman" w:cs="Times New Roman"/>
        </w:rPr>
        <w:t>include</w:t>
      </w:r>
      <w:proofErr w:type="spellEnd"/>
      <w:r w:rsidR="00DC6007" w:rsidRPr="00705170">
        <w:rPr>
          <w:rFonts w:ascii="Times New Roman" w:hAnsi="Times New Roman" w:cs="Times New Roman"/>
        </w:rPr>
        <w:t xml:space="preserve"> a </w:t>
      </w:r>
      <w:proofErr w:type="spellStart"/>
      <w:r w:rsidR="00DC6007" w:rsidRPr="00705170">
        <w:rPr>
          <w:rFonts w:ascii="Times New Roman" w:hAnsi="Times New Roman" w:cs="Times New Roman"/>
        </w:rPr>
        <w:t>term</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entitles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parties</w:t>
      </w:r>
      <w:proofErr w:type="spellEnd"/>
      <w:r w:rsidR="00DC6007" w:rsidRPr="00705170">
        <w:rPr>
          <w:rFonts w:ascii="Times New Roman" w:hAnsi="Times New Roman" w:cs="Times New Roman"/>
        </w:rPr>
        <w:t xml:space="preserve"> a </w:t>
      </w:r>
      <w:proofErr w:type="spellStart"/>
      <w:r w:rsidR="00DC6007" w:rsidRPr="00705170">
        <w:rPr>
          <w:rFonts w:ascii="Times New Roman" w:hAnsi="Times New Roman" w:cs="Times New Roman"/>
        </w:rPr>
        <w:t>right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dissolve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corporation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for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just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cause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this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case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some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commentators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opine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just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cause</w:t>
      </w:r>
      <w:proofErr w:type="spellEnd"/>
      <w:r w:rsidR="00DC6007" w:rsidRPr="00705170">
        <w:rPr>
          <w:rFonts w:ascii="Times New Roman" w:hAnsi="Times New Roman" w:cs="Times New Roman"/>
        </w:rPr>
        <w:t xml:space="preserve"> in </w:t>
      </w:r>
      <w:proofErr w:type="spellStart"/>
      <w:r w:rsidR="00DC6007" w:rsidRPr="00705170">
        <w:rPr>
          <w:rFonts w:ascii="Times New Roman" w:hAnsi="Times New Roman" w:cs="Times New Roman"/>
        </w:rPr>
        <w:t>this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may</w:t>
      </w:r>
      <w:proofErr w:type="spellEnd"/>
      <w:r w:rsidR="00DC6007" w:rsidRPr="00705170">
        <w:rPr>
          <w:rFonts w:ascii="Times New Roman" w:hAnsi="Times New Roman" w:cs="Times New Roman"/>
        </w:rPr>
        <w:t xml:space="preserve"> be </w:t>
      </w:r>
      <w:proofErr w:type="spellStart"/>
      <w:r w:rsidR="00DC6007" w:rsidRPr="00705170">
        <w:rPr>
          <w:rFonts w:ascii="Times New Roman" w:hAnsi="Times New Roman" w:cs="Times New Roman"/>
        </w:rPr>
        <w:t>given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effect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under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involuntary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dissolution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provision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provided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parties</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and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corporation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are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same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after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all</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parties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opposition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effect</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just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cause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under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involuntary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dissolution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provision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may</w:t>
      </w:r>
      <w:proofErr w:type="spellEnd"/>
      <w:r w:rsidR="00DC6007" w:rsidRPr="00705170">
        <w:rPr>
          <w:rFonts w:ascii="Times New Roman" w:hAnsi="Times New Roman" w:cs="Times New Roman"/>
        </w:rPr>
        <w:t xml:space="preserve"> be </w:t>
      </w:r>
      <w:proofErr w:type="spellStart"/>
      <w:r w:rsidR="00A2784B">
        <w:rPr>
          <w:rFonts w:ascii="Times New Roman" w:hAnsi="Times New Roman" w:cs="Times New Roman"/>
        </w:rPr>
        <w:t>deemed</w:t>
      </w:r>
      <w:proofErr w:type="spellEnd"/>
      <w:r w:rsidR="00A2784B">
        <w:rPr>
          <w:rFonts w:ascii="Times New Roman" w:hAnsi="Times New Roman" w:cs="Times New Roman"/>
        </w:rPr>
        <w:t xml:space="preserve"> </w:t>
      </w:r>
      <w:proofErr w:type="spellStart"/>
      <w:r w:rsidR="00A2784B" w:rsidRPr="00705170">
        <w:rPr>
          <w:rFonts w:ascii="Times New Roman" w:hAnsi="Times New Roman" w:cs="Times New Roman"/>
        </w:rPr>
        <w:t>violation</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duty</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good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faith</w:t>
      </w:r>
      <w:proofErr w:type="spellEnd"/>
      <w:r w:rsidR="00DC6007" w:rsidRPr="00705170">
        <w:rPr>
          <w:rStyle w:val="DipnotBavurusu"/>
          <w:rFonts w:ascii="Times New Roman" w:hAnsi="Times New Roman" w:cs="Times New Roman"/>
        </w:rPr>
        <w:footnoteReference w:id="906"/>
      </w:r>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Although</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this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study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with</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this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opinion</w:t>
      </w:r>
      <w:proofErr w:type="spellEnd"/>
      <w:r w:rsidR="00DC6007" w:rsidRPr="00705170">
        <w:rPr>
          <w:rFonts w:ascii="Times New Roman" w:hAnsi="Times New Roman" w:cs="Times New Roman"/>
        </w:rPr>
        <w:t xml:space="preserve">, it </w:t>
      </w:r>
      <w:proofErr w:type="spellStart"/>
      <w:r w:rsidR="00DC6007" w:rsidRPr="00705170">
        <w:rPr>
          <w:rFonts w:ascii="Times New Roman" w:hAnsi="Times New Roman" w:cs="Times New Roman"/>
        </w:rPr>
        <w:t>opines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reason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for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this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conclusion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should</w:t>
      </w:r>
      <w:proofErr w:type="spellEnd"/>
      <w:r w:rsidR="00DC6007" w:rsidRPr="00705170">
        <w:rPr>
          <w:rFonts w:ascii="Times New Roman" w:hAnsi="Times New Roman" w:cs="Times New Roman"/>
        </w:rPr>
        <w:t xml:space="preserve"> be </w:t>
      </w:r>
      <w:proofErr w:type="spellStart"/>
      <w:r w:rsidR="00DC6007" w:rsidRPr="00705170">
        <w:rPr>
          <w:rFonts w:ascii="Times New Roman" w:hAnsi="Times New Roman" w:cs="Times New Roman"/>
        </w:rPr>
        <w:t>based</w:t>
      </w:r>
      <w:proofErr w:type="spellEnd"/>
      <w:r w:rsidR="00DC6007" w:rsidRPr="00705170">
        <w:rPr>
          <w:rFonts w:ascii="Times New Roman" w:hAnsi="Times New Roman" w:cs="Times New Roman"/>
        </w:rPr>
        <w:t xml:space="preserve"> on a </w:t>
      </w:r>
      <w:proofErr w:type="spellStart"/>
      <w:r w:rsidR="00DC6007" w:rsidRPr="00705170">
        <w:rPr>
          <w:rFonts w:ascii="Times New Roman" w:hAnsi="Times New Roman" w:cs="Times New Roman"/>
        </w:rPr>
        <w:t>different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understanding</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While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notion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TCC </w:t>
      </w:r>
      <w:proofErr w:type="spellStart"/>
      <w:r w:rsidR="00DC6007" w:rsidRPr="00705170">
        <w:rPr>
          <w:rFonts w:ascii="Times New Roman" w:hAnsi="Times New Roman" w:cs="Times New Roman"/>
        </w:rPr>
        <w:t>does</w:t>
      </w:r>
      <w:proofErr w:type="spellEnd"/>
      <w:r w:rsidR="00DC6007" w:rsidRPr="00705170">
        <w:rPr>
          <w:rFonts w:ascii="Times New Roman" w:hAnsi="Times New Roman" w:cs="Times New Roman"/>
        </w:rPr>
        <w:t xml:space="preserve"> not </w:t>
      </w:r>
      <w:proofErr w:type="spellStart"/>
      <w:r w:rsidR="00DC6007" w:rsidRPr="00705170">
        <w:rPr>
          <w:rFonts w:ascii="Times New Roman" w:hAnsi="Times New Roman" w:cs="Times New Roman"/>
        </w:rPr>
        <w:t>give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right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alter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this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statutory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provision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by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articles</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incorporation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or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any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other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private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contractual</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arrangement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requires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acceptance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a </w:t>
      </w:r>
      <w:proofErr w:type="spellStart"/>
      <w:r w:rsidR="00DC6007" w:rsidRPr="00705170">
        <w:rPr>
          <w:rFonts w:ascii="Times New Roman" w:hAnsi="Times New Roman" w:cs="Times New Roman"/>
        </w:rPr>
        <w:t>just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cause</w:t>
      </w:r>
      <w:proofErr w:type="spellEnd"/>
      <w:r w:rsidR="00DC6007" w:rsidRPr="00705170">
        <w:rPr>
          <w:rFonts w:ascii="Times New Roman" w:hAnsi="Times New Roman" w:cs="Times New Roman"/>
        </w:rPr>
        <w:t xml:space="preserve"> </w:t>
      </w:r>
      <w:r w:rsidR="00DC6007" w:rsidRPr="00705170">
        <w:rPr>
          <w:rFonts w:ascii="Times New Roman" w:hAnsi="Times New Roman" w:cs="Times New Roman"/>
        </w:rPr>
        <w:lastRenderedPageBreak/>
        <w:t xml:space="preserve">in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cannot</w:t>
      </w:r>
      <w:proofErr w:type="spellEnd"/>
      <w:r w:rsidR="00DC6007" w:rsidRPr="00705170">
        <w:rPr>
          <w:rFonts w:ascii="Times New Roman" w:hAnsi="Times New Roman" w:cs="Times New Roman"/>
        </w:rPr>
        <w:t xml:space="preserve"> be </w:t>
      </w:r>
      <w:proofErr w:type="spellStart"/>
      <w:r w:rsidR="00DC6007" w:rsidRPr="00705170">
        <w:rPr>
          <w:rFonts w:ascii="Times New Roman" w:hAnsi="Times New Roman" w:cs="Times New Roman"/>
        </w:rPr>
        <w:t>given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effect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under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involuntary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dissolution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provision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provided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parties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contract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and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corporation</w:t>
      </w:r>
      <w:proofErr w:type="spellEnd"/>
      <w:r w:rsidR="00DC6007" w:rsidRPr="00705170">
        <w:rPr>
          <w:rFonts w:ascii="Times New Roman" w:hAnsi="Times New Roman" w:cs="Times New Roman"/>
        </w:rPr>
        <w:t xml:space="preserve"> is </w:t>
      </w:r>
      <w:proofErr w:type="spellStart"/>
      <w:r w:rsidR="00DC6007" w:rsidRPr="00705170">
        <w:rPr>
          <w:rFonts w:ascii="Times New Roman" w:hAnsi="Times New Roman" w:cs="Times New Roman"/>
        </w:rPr>
        <w:t>same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court</w:t>
      </w:r>
      <w:proofErr w:type="spellEnd"/>
      <w:r w:rsidR="00DC6007" w:rsidRPr="00705170">
        <w:rPr>
          <w:rFonts w:ascii="Times New Roman" w:hAnsi="Times New Roman" w:cs="Times New Roman"/>
        </w:rPr>
        <w:t xml:space="preserve"> can </w:t>
      </w:r>
      <w:proofErr w:type="spellStart"/>
      <w:r w:rsidR="00DC6007" w:rsidRPr="00705170">
        <w:rPr>
          <w:rFonts w:ascii="Times New Roman" w:hAnsi="Times New Roman" w:cs="Times New Roman"/>
        </w:rPr>
        <w:t>accept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DC6007" w:rsidRPr="00705170">
        <w:rPr>
          <w:rFonts w:ascii="Times New Roman" w:hAnsi="Times New Roman" w:cs="Times New Roman"/>
        </w:rPr>
        <w:t xml:space="preserve"> as an </w:t>
      </w:r>
      <w:proofErr w:type="spellStart"/>
      <w:r w:rsidR="00DC6007" w:rsidRPr="00705170">
        <w:rPr>
          <w:rFonts w:ascii="Times New Roman" w:hAnsi="Times New Roman" w:cs="Times New Roman"/>
        </w:rPr>
        <w:t>evidence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shows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parties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bargain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and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accept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just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cause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stated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there</w:t>
      </w:r>
      <w:proofErr w:type="spellEnd"/>
      <w:r w:rsidR="00DC6007" w:rsidRPr="00705170">
        <w:rPr>
          <w:rFonts w:ascii="Times New Roman" w:hAnsi="Times New Roman" w:cs="Times New Roman"/>
        </w:rPr>
        <w:t xml:space="preserve"> as a </w:t>
      </w:r>
      <w:proofErr w:type="spellStart"/>
      <w:r w:rsidR="00DC6007" w:rsidRPr="00705170">
        <w:rPr>
          <w:rFonts w:ascii="Times New Roman" w:hAnsi="Times New Roman" w:cs="Times New Roman"/>
        </w:rPr>
        <w:t>just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cause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under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involuntary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dissolution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provision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However</w:t>
      </w:r>
      <w:proofErr w:type="spellEnd"/>
      <w:r w:rsidR="00DC6007" w:rsidRPr="00705170">
        <w:rPr>
          <w:rFonts w:ascii="Times New Roman" w:hAnsi="Times New Roman" w:cs="Times New Roman"/>
        </w:rPr>
        <w:t xml:space="preserve">, in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context</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publicly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traded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corporations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this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debate</w:t>
      </w:r>
      <w:proofErr w:type="spellEnd"/>
      <w:r w:rsidR="00DC6007" w:rsidRPr="00705170">
        <w:rPr>
          <w:rFonts w:ascii="Times New Roman" w:hAnsi="Times New Roman" w:cs="Times New Roman"/>
        </w:rPr>
        <w:t xml:space="preserve"> is </w:t>
      </w:r>
      <w:proofErr w:type="spellStart"/>
      <w:r w:rsidR="00DC6007" w:rsidRPr="00705170">
        <w:rPr>
          <w:rFonts w:ascii="Times New Roman" w:hAnsi="Times New Roman" w:cs="Times New Roman"/>
        </w:rPr>
        <w:t>unnecessary</w:t>
      </w:r>
      <w:proofErr w:type="spellEnd"/>
      <w:r w:rsidR="00DC6007" w:rsidRPr="00705170">
        <w:rPr>
          <w:rFonts w:ascii="Times New Roman" w:hAnsi="Times New Roman" w:cs="Times New Roman"/>
        </w:rPr>
        <w:t xml:space="preserve"> as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parties</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and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corporation’s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will</w:t>
      </w:r>
      <w:proofErr w:type="spellEnd"/>
      <w:r w:rsidR="00DC6007" w:rsidRPr="00705170">
        <w:rPr>
          <w:rFonts w:ascii="Times New Roman" w:hAnsi="Times New Roman" w:cs="Times New Roman"/>
        </w:rPr>
        <w:t xml:space="preserve"> </w:t>
      </w:r>
      <w:proofErr w:type="spellStart"/>
      <w:r w:rsidR="00A2784B">
        <w:rPr>
          <w:rFonts w:ascii="Times New Roman" w:hAnsi="Times New Roman" w:cs="Times New Roman"/>
        </w:rPr>
        <w:t>never</w:t>
      </w:r>
      <w:proofErr w:type="spellEnd"/>
      <w:r w:rsidR="00A2784B" w:rsidRPr="00705170">
        <w:rPr>
          <w:rFonts w:ascii="Times New Roman" w:hAnsi="Times New Roman" w:cs="Times New Roman"/>
        </w:rPr>
        <w:t xml:space="preserve"> </w:t>
      </w:r>
      <w:r w:rsidR="00DC6007" w:rsidRPr="00705170">
        <w:rPr>
          <w:rFonts w:ascii="Times New Roman" w:hAnsi="Times New Roman" w:cs="Times New Roman"/>
        </w:rPr>
        <w:t xml:space="preserve">be </w:t>
      </w:r>
      <w:proofErr w:type="spellStart"/>
      <w:r w:rsidR="00A2784B">
        <w:rPr>
          <w:rFonts w:ascii="Times New Roman" w:hAnsi="Times New Roman" w:cs="Times New Roman"/>
        </w:rPr>
        <w:t>completely</w:t>
      </w:r>
      <w:proofErr w:type="spellEnd"/>
      <w:r w:rsidR="00A2784B">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same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That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being</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said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if</w:t>
      </w:r>
      <w:proofErr w:type="spellEnd"/>
      <w:r w:rsidR="00DC6007" w:rsidRPr="00705170">
        <w:rPr>
          <w:rFonts w:ascii="Times New Roman" w:hAnsi="Times New Roman" w:cs="Times New Roman"/>
        </w:rPr>
        <w:t xml:space="preserve"> a </w:t>
      </w:r>
      <w:proofErr w:type="spellStart"/>
      <w:r w:rsidR="00DC6007" w:rsidRPr="00705170">
        <w:rPr>
          <w:rFonts w:ascii="Times New Roman" w:hAnsi="Times New Roman" w:cs="Times New Roman"/>
        </w:rPr>
        <w:t>particular</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between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certain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is </w:t>
      </w:r>
      <w:proofErr w:type="spellStart"/>
      <w:r w:rsidR="00DC6007" w:rsidRPr="00705170">
        <w:rPr>
          <w:rFonts w:ascii="Times New Roman" w:hAnsi="Times New Roman" w:cs="Times New Roman"/>
        </w:rPr>
        <w:t>causing</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occurance</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just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cause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then</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petitioner</w:t>
      </w:r>
      <w:proofErr w:type="spellEnd"/>
      <w:r w:rsidR="00DC6007" w:rsidRPr="00705170">
        <w:rPr>
          <w:rFonts w:ascii="Times New Roman" w:hAnsi="Times New Roman" w:cs="Times New Roman"/>
        </w:rPr>
        <w:t xml:space="preserve"> can </w:t>
      </w:r>
      <w:proofErr w:type="spellStart"/>
      <w:r w:rsidR="00DC6007" w:rsidRPr="00705170">
        <w:rPr>
          <w:rFonts w:ascii="Times New Roman" w:hAnsi="Times New Roman" w:cs="Times New Roman"/>
        </w:rPr>
        <w:t>evidence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presence </w:t>
      </w:r>
      <w:proofErr w:type="spellStart"/>
      <w:r w:rsidR="00DC6007" w:rsidRPr="00705170">
        <w:rPr>
          <w:rFonts w:ascii="Times New Roman" w:hAnsi="Times New Roman" w:cs="Times New Roman"/>
        </w:rPr>
        <w:t>and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thrust</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conduct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which</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effects</w:t>
      </w:r>
      <w:proofErr w:type="spellEnd"/>
      <w:r w:rsidR="00DC6007" w:rsidRPr="00705170">
        <w:rPr>
          <w:rFonts w:ascii="Times New Roman" w:hAnsi="Times New Roman" w:cs="Times New Roman"/>
        </w:rPr>
        <w:t xml:space="preserve"> his </w:t>
      </w:r>
      <w:proofErr w:type="spellStart"/>
      <w:r w:rsidR="00DC6007" w:rsidRPr="00705170">
        <w:rPr>
          <w:rFonts w:ascii="Times New Roman" w:hAnsi="Times New Roman" w:cs="Times New Roman"/>
        </w:rPr>
        <w:t>interests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by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showing</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shareholders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DC6007" w:rsidRPr="00705170">
        <w:rPr>
          <w:rStyle w:val="DipnotBavurusu"/>
          <w:rFonts w:ascii="Times New Roman" w:hAnsi="Times New Roman" w:cs="Times New Roman"/>
        </w:rPr>
        <w:footnoteReference w:id="907"/>
      </w:r>
      <w:r w:rsidR="00DC6007" w:rsidRPr="00705170">
        <w:rPr>
          <w:rFonts w:ascii="Times New Roman" w:hAnsi="Times New Roman" w:cs="Times New Roman"/>
        </w:rPr>
        <w:t xml:space="preserve">, but </w:t>
      </w:r>
      <w:proofErr w:type="spellStart"/>
      <w:r w:rsidR="00DC6007" w:rsidRPr="00705170">
        <w:rPr>
          <w:rFonts w:ascii="Times New Roman" w:hAnsi="Times New Roman" w:cs="Times New Roman"/>
        </w:rPr>
        <w:t>cannot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use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establish</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any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additional</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expectations</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if</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agreement</w:t>
      </w:r>
      <w:proofErr w:type="spellEnd"/>
      <w:r w:rsidR="00DC6007" w:rsidRPr="00705170">
        <w:rPr>
          <w:rFonts w:ascii="Times New Roman" w:hAnsi="Times New Roman" w:cs="Times New Roman"/>
        </w:rPr>
        <w:t xml:space="preserve"> is not </w:t>
      </w:r>
      <w:proofErr w:type="spellStart"/>
      <w:r w:rsidR="00DC6007" w:rsidRPr="00705170">
        <w:rPr>
          <w:rFonts w:ascii="Times New Roman" w:hAnsi="Times New Roman" w:cs="Times New Roman"/>
        </w:rPr>
        <w:t>one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disclosed</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to</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public</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by</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virtue</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disclosure</w:t>
      </w:r>
      <w:proofErr w:type="spellEnd"/>
      <w:r w:rsidR="00DC6007" w:rsidRPr="00705170">
        <w:rPr>
          <w:rFonts w:ascii="Times New Roman" w:hAnsi="Times New Roman" w:cs="Times New Roman"/>
        </w:rPr>
        <w:t xml:space="preserve"> </w:t>
      </w:r>
      <w:proofErr w:type="spellStart"/>
      <w:r w:rsidR="00DC6007" w:rsidRPr="00705170">
        <w:rPr>
          <w:rFonts w:ascii="Times New Roman" w:hAnsi="Times New Roman" w:cs="Times New Roman"/>
        </w:rPr>
        <w:t>rules</w:t>
      </w:r>
      <w:proofErr w:type="spellEnd"/>
      <w:r w:rsidR="00DC6007" w:rsidRPr="00705170">
        <w:rPr>
          <w:rFonts w:ascii="Times New Roman" w:hAnsi="Times New Roman" w:cs="Times New Roman"/>
        </w:rPr>
        <w:t xml:space="preserve"> of </w:t>
      </w:r>
      <w:proofErr w:type="spellStart"/>
      <w:r w:rsidR="00DC6007" w:rsidRPr="00705170">
        <w:rPr>
          <w:rFonts w:ascii="Times New Roman" w:hAnsi="Times New Roman" w:cs="Times New Roman"/>
        </w:rPr>
        <w:t>the</w:t>
      </w:r>
      <w:proofErr w:type="spellEnd"/>
      <w:r w:rsidR="00DC6007" w:rsidRPr="00705170">
        <w:rPr>
          <w:rFonts w:ascii="Times New Roman" w:hAnsi="Times New Roman" w:cs="Times New Roman"/>
        </w:rPr>
        <w:t xml:space="preserve"> CML</w:t>
      </w:r>
      <w:r w:rsidR="00381BFF" w:rsidRPr="00705170">
        <w:rPr>
          <w:rFonts w:ascii="Times New Roman" w:hAnsi="Times New Roman" w:cs="Times New Roman"/>
        </w:rPr>
        <w:t xml:space="preserve"> </w:t>
      </w:r>
      <w:proofErr w:type="spellStart"/>
      <w:r w:rsidR="007A7E23">
        <w:rPr>
          <w:rFonts w:ascii="Times New Roman" w:hAnsi="Times New Roman" w:cs="Times New Roman"/>
        </w:rPr>
        <w:t>and</w:t>
      </w:r>
      <w:proofErr w:type="spellEnd"/>
      <w:r w:rsidR="007A7E23">
        <w:rPr>
          <w:rFonts w:ascii="Times New Roman" w:hAnsi="Times New Roman" w:cs="Times New Roman"/>
        </w:rPr>
        <w:t xml:space="preserve"> </w:t>
      </w:r>
      <w:proofErr w:type="spellStart"/>
      <w:r w:rsidR="007A7E23">
        <w:rPr>
          <w:rFonts w:ascii="Times New Roman" w:hAnsi="Times New Roman" w:cs="Times New Roman"/>
        </w:rPr>
        <w:t>consequently</w:t>
      </w:r>
      <w:proofErr w:type="spellEnd"/>
      <w:r w:rsidR="00381BFF" w:rsidRPr="00705170">
        <w:rPr>
          <w:rFonts w:ascii="Times New Roman" w:hAnsi="Times New Roman" w:cs="Times New Roman"/>
        </w:rPr>
        <w:t xml:space="preserve"> </w:t>
      </w:r>
      <w:proofErr w:type="spellStart"/>
      <w:r w:rsidR="00381BFF" w:rsidRPr="00705170">
        <w:rPr>
          <w:rFonts w:ascii="Times New Roman" w:hAnsi="Times New Roman" w:cs="Times New Roman"/>
        </w:rPr>
        <w:t>became</w:t>
      </w:r>
      <w:proofErr w:type="spellEnd"/>
      <w:r w:rsidR="00381BFF" w:rsidRPr="00705170">
        <w:rPr>
          <w:rFonts w:ascii="Times New Roman" w:hAnsi="Times New Roman" w:cs="Times New Roman"/>
        </w:rPr>
        <w:t xml:space="preserve"> a </w:t>
      </w:r>
      <w:proofErr w:type="spellStart"/>
      <w:r w:rsidR="00381BFF" w:rsidRPr="00705170">
        <w:rPr>
          <w:rFonts w:ascii="Times New Roman" w:hAnsi="Times New Roman" w:cs="Times New Roman"/>
        </w:rPr>
        <w:t>part</w:t>
      </w:r>
      <w:proofErr w:type="spellEnd"/>
      <w:r w:rsidR="00381BFF" w:rsidRPr="00705170">
        <w:rPr>
          <w:rFonts w:ascii="Times New Roman" w:hAnsi="Times New Roman" w:cs="Times New Roman"/>
        </w:rPr>
        <w:t xml:space="preserve"> of </w:t>
      </w:r>
      <w:proofErr w:type="spellStart"/>
      <w:r w:rsidR="00381BFF" w:rsidRPr="00705170">
        <w:rPr>
          <w:rFonts w:ascii="Times New Roman" w:hAnsi="Times New Roman" w:cs="Times New Roman"/>
        </w:rPr>
        <w:t>the</w:t>
      </w:r>
      <w:proofErr w:type="spellEnd"/>
      <w:r w:rsidR="00381BFF" w:rsidRPr="00705170">
        <w:rPr>
          <w:rFonts w:ascii="Times New Roman" w:hAnsi="Times New Roman" w:cs="Times New Roman"/>
        </w:rPr>
        <w:t xml:space="preserve"> </w:t>
      </w:r>
      <w:proofErr w:type="spellStart"/>
      <w:r w:rsidR="00381BFF" w:rsidRPr="00705170">
        <w:rPr>
          <w:rFonts w:ascii="Times New Roman" w:hAnsi="Times New Roman" w:cs="Times New Roman"/>
        </w:rPr>
        <w:t>corporate</w:t>
      </w:r>
      <w:proofErr w:type="spellEnd"/>
      <w:r w:rsidR="00381BFF" w:rsidRPr="00705170">
        <w:rPr>
          <w:rFonts w:ascii="Times New Roman" w:hAnsi="Times New Roman" w:cs="Times New Roman"/>
        </w:rPr>
        <w:t xml:space="preserve"> </w:t>
      </w:r>
      <w:proofErr w:type="spellStart"/>
      <w:r w:rsidR="00381BFF" w:rsidRPr="00705170">
        <w:rPr>
          <w:rFonts w:ascii="Times New Roman" w:hAnsi="Times New Roman" w:cs="Times New Roman"/>
        </w:rPr>
        <w:t>contract</w:t>
      </w:r>
      <w:proofErr w:type="spellEnd"/>
      <w:r w:rsidR="00DC6007" w:rsidRPr="00705170">
        <w:rPr>
          <w:rFonts w:ascii="Times New Roman" w:hAnsi="Times New Roman" w:cs="Times New Roman"/>
        </w:rPr>
        <w:t>.</w:t>
      </w:r>
    </w:p>
    <w:p w14:paraId="7172B0B4" w14:textId="5115525F" w:rsidR="008F17D2" w:rsidRPr="00705170" w:rsidRDefault="008F17D2" w:rsidP="00276C30">
      <w:pPr>
        <w:spacing w:after="240" w:line="480" w:lineRule="auto"/>
        <w:jc w:val="both"/>
        <w:rPr>
          <w:rFonts w:ascii="Times New Roman" w:hAnsi="Times New Roman" w:cs="Times New Roman"/>
          <w:b/>
          <w:lang w:val="en-US"/>
        </w:rPr>
      </w:pPr>
      <w:r w:rsidRPr="00705170">
        <w:rPr>
          <w:rFonts w:ascii="Times New Roman" w:hAnsi="Times New Roman" w:cs="Times New Roman"/>
          <w:lang w:val="en-US"/>
        </w:rPr>
        <w:tab/>
      </w:r>
      <w:r w:rsidR="00C01441">
        <w:rPr>
          <w:rFonts w:ascii="Times New Roman" w:hAnsi="Times New Roman" w:cs="Times New Roman"/>
          <w:b/>
          <w:lang w:val="en-US"/>
        </w:rPr>
        <w:t>5</w:t>
      </w:r>
      <w:r w:rsidRPr="00705170">
        <w:rPr>
          <w:rFonts w:ascii="Times New Roman" w:hAnsi="Times New Roman" w:cs="Times New Roman"/>
          <w:b/>
          <w:lang w:val="en-US"/>
        </w:rPr>
        <w:t xml:space="preserve">.4. </w:t>
      </w:r>
      <w:r w:rsidR="0084032C" w:rsidRPr="00705170">
        <w:rPr>
          <w:rFonts w:ascii="Times New Roman" w:hAnsi="Times New Roman" w:cs="Times New Roman"/>
          <w:b/>
          <w:lang w:val="en-US"/>
        </w:rPr>
        <w:t>The “Just Cause” Concept</w:t>
      </w:r>
    </w:p>
    <w:p w14:paraId="0B428667" w14:textId="397172BC" w:rsidR="00A32892" w:rsidRPr="00705170" w:rsidRDefault="0020143E" w:rsidP="0043495D">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Commentators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often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opine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t>
      </w:r>
      <w:r w:rsidR="0043495D" w:rsidRPr="00705170">
        <w:rPr>
          <w:rFonts w:ascii="Times New Roman" w:hAnsi="Times New Roman" w:cs="Times New Roman"/>
        </w:rPr>
        <w:t>he</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generality</w:t>
      </w:r>
      <w:proofErr w:type="spellEnd"/>
      <w:r w:rsidR="0043495D" w:rsidRPr="00705170">
        <w:rPr>
          <w:rFonts w:ascii="Times New Roman" w:hAnsi="Times New Roman" w:cs="Times New Roman"/>
        </w:rPr>
        <w:t xml:space="preserve"> of </w:t>
      </w:r>
      <w:proofErr w:type="spellStart"/>
      <w:r w:rsidR="0043495D" w:rsidRPr="00705170">
        <w:rPr>
          <w:rFonts w:ascii="Times New Roman" w:hAnsi="Times New Roman" w:cs="Times New Roman"/>
        </w:rPr>
        <w:t>the</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oppression</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statutes</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makes</w:t>
      </w:r>
      <w:proofErr w:type="spellEnd"/>
      <w:r w:rsidR="0043495D" w:rsidRPr="00705170">
        <w:rPr>
          <w:rFonts w:ascii="Times New Roman" w:hAnsi="Times New Roman" w:cs="Times New Roman"/>
        </w:rPr>
        <w:t xml:space="preserve"> it </w:t>
      </w:r>
      <w:proofErr w:type="spellStart"/>
      <w:r w:rsidR="0043495D" w:rsidRPr="00705170">
        <w:rPr>
          <w:rFonts w:ascii="Times New Roman" w:hAnsi="Times New Roman" w:cs="Times New Roman"/>
        </w:rPr>
        <w:t>difficult</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to</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delineate</w:t>
      </w:r>
      <w:proofErr w:type="spellEnd"/>
      <w:r w:rsidR="0043495D" w:rsidRPr="00705170">
        <w:rPr>
          <w:rFonts w:ascii="Times New Roman" w:hAnsi="Times New Roman" w:cs="Times New Roman"/>
        </w:rPr>
        <w:t xml:space="preserve">, in </w:t>
      </w:r>
      <w:proofErr w:type="spellStart"/>
      <w:r w:rsidR="0043495D" w:rsidRPr="00705170">
        <w:rPr>
          <w:rFonts w:ascii="Times New Roman" w:hAnsi="Times New Roman" w:cs="Times New Roman"/>
        </w:rPr>
        <w:t>analytic</w:t>
      </w:r>
      <w:proofErr w:type="spellEnd"/>
      <w:r w:rsidR="0043495D" w:rsidRPr="00705170">
        <w:rPr>
          <w:rFonts w:ascii="Times New Roman" w:hAnsi="Times New Roman" w:cs="Times New Roman"/>
        </w:rPr>
        <w:t xml:space="preserve"> form, </w:t>
      </w:r>
      <w:proofErr w:type="spellStart"/>
      <w:r w:rsidR="0043495D" w:rsidRPr="00705170">
        <w:rPr>
          <w:rFonts w:ascii="Times New Roman" w:hAnsi="Times New Roman" w:cs="Times New Roman"/>
        </w:rPr>
        <w:t>the</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constituent</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elements</w:t>
      </w:r>
      <w:proofErr w:type="spellEnd"/>
      <w:r w:rsidR="0043495D" w:rsidRPr="00705170">
        <w:rPr>
          <w:rFonts w:ascii="Times New Roman" w:hAnsi="Times New Roman" w:cs="Times New Roman"/>
        </w:rPr>
        <w:t xml:space="preserve"> of </w:t>
      </w:r>
      <w:proofErr w:type="spellStart"/>
      <w:r w:rsidR="0043495D" w:rsidRPr="00705170">
        <w:rPr>
          <w:rFonts w:ascii="Times New Roman" w:hAnsi="Times New Roman" w:cs="Times New Roman"/>
        </w:rPr>
        <w:t>conduct</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that</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violates</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the</w:t>
      </w:r>
      <w:proofErr w:type="spellEnd"/>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statute</w:t>
      </w:r>
      <w:proofErr w:type="spellEnd"/>
      <w:r w:rsidR="0043495D" w:rsidRPr="00705170">
        <w:rPr>
          <w:rFonts w:ascii="Times New Roman" w:hAnsi="Times New Roman" w:cs="Times New Roman"/>
        </w:rPr>
        <w:t>”</w:t>
      </w:r>
      <w:r w:rsidR="0043495D" w:rsidRPr="00705170">
        <w:rPr>
          <w:rStyle w:val="DipnotBavurusu"/>
          <w:rFonts w:ascii="Times New Roman" w:hAnsi="Times New Roman" w:cs="Times New Roman"/>
        </w:rPr>
        <w:footnoteReference w:id="908"/>
      </w:r>
      <w:r w:rsidR="0043495D" w:rsidRPr="00705170">
        <w:rPr>
          <w:rFonts w:ascii="Times New Roman" w:hAnsi="Times New Roman" w:cs="Times New Roman"/>
        </w:rPr>
        <w:t xml:space="preserve">. </w:t>
      </w:r>
      <w:proofErr w:type="spellStart"/>
      <w:r w:rsidR="0043495D" w:rsidRPr="00705170">
        <w:rPr>
          <w:rFonts w:ascii="Times New Roman" w:hAnsi="Times New Roman" w:cs="Times New Roman"/>
        </w:rPr>
        <w:t>Likewise</w:t>
      </w:r>
      <w:proofErr w:type="spellEnd"/>
      <w:r w:rsidR="0043495D" w:rsidRPr="00705170">
        <w:rPr>
          <w:rFonts w:ascii="Times New Roman" w:hAnsi="Times New Roman" w:cs="Times New Roman"/>
        </w:rPr>
        <w:t xml:space="preserve">, </w:t>
      </w:r>
      <w:proofErr w:type="spellStart"/>
      <w:r w:rsidR="00A32892" w:rsidRPr="00705170">
        <w:rPr>
          <w:rFonts w:ascii="Times New Roman" w:hAnsi="Times New Roman" w:cs="Times New Roman"/>
        </w:rPr>
        <w:t>there</w:t>
      </w:r>
      <w:proofErr w:type="spellEnd"/>
      <w:r w:rsidR="00A32892" w:rsidRPr="00705170">
        <w:rPr>
          <w:rFonts w:ascii="Times New Roman" w:hAnsi="Times New Roman" w:cs="Times New Roman"/>
        </w:rPr>
        <w:t xml:space="preserve"> is </w:t>
      </w:r>
      <w:proofErr w:type="spellStart"/>
      <w:r w:rsidR="00A32892" w:rsidRPr="00705170">
        <w:rPr>
          <w:rFonts w:ascii="Times New Roman" w:hAnsi="Times New Roman" w:cs="Times New Roman"/>
        </w:rPr>
        <w:t>no</w:t>
      </w:r>
      <w:proofErr w:type="spellEnd"/>
      <w:r w:rsidR="00A32892" w:rsidRPr="00705170">
        <w:rPr>
          <w:rFonts w:ascii="Times New Roman" w:hAnsi="Times New Roman" w:cs="Times New Roman"/>
        </w:rPr>
        <w:t xml:space="preserve"> </w:t>
      </w:r>
      <w:proofErr w:type="spellStart"/>
      <w:r w:rsidR="00A32892" w:rsidRPr="00705170">
        <w:rPr>
          <w:rFonts w:ascii="Times New Roman" w:hAnsi="Times New Roman" w:cs="Times New Roman"/>
        </w:rPr>
        <w:t>consensus</w:t>
      </w:r>
      <w:proofErr w:type="spellEnd"/>
      <w:r w:rsidR="00A32892" w:rsidRPr="00705170">
        <w:rPr>
          <w:rFonts w:ascii="Times New Roman" w:hAnsi="Times New Roman" w:cs="Times New Roman"/>
        </w:rPr>
        <w:t xml:space="preserve"> in </w:t>
      </w:r>
      <w:proofErr w:type="spellStart"/>
      <w:r w:rsidR="00A32892" w:rsidRPr="00705170">
        <w:rPr>
          <w:rFonts w:ascii="Times New Roman" w:hAnsi="Times New Roman" w:cs="Times New Roman"/>
        </w:rPr>
        <w:t>Turkish</w:t>
      </w:r>
      <w:proofErr w:type="spellEnd"/>
      <w:r w:rsidR="00A32892" w:rsidRPr="00705170">
        <w:rPr>
          <w:rFonts w:ascii="Times New Roman" w:hAnsi="Times New Roman" w:cs="Times New Roman"/>
        </w:rPr>
        <w:t xml:space="preserve"> </w:t>
      </w:r>
      <w:proofErr w:type="spellStart"/>
      <w:r w:rsidR="00A32892" w:rsidRPr="00705170">
        <w:rPr>
          <w:rFonts w:ascii="Times New Roman" w:hAnsi="Times New Roman" w:cs="Times New Roman"/>
        </w:rPr>
        <w:t>law</w:t>
      </w:r>
      <w:proofErr w:type="spellEnd"/>
      <w:r w:rsidR="00A32892" w:rsidRPr="00705170">
        <w:rPr>
          <w:rFonts w:ascii="Times New Roman" w:hAnsi="Times New Roman" w:cs="Times New Roman"/>
        </w:rPr>
        <w:t xml:space="preserve"> </w:t>
      </w:r>
      <w:proofErr w:type="spellStart"/>
      <w:r w:rsidR="00A32892" w:rsidRPr="00705170">
        <w:rPr>
          <w:rFonts w:ascii="Times New Roman" w:hAnsi="Times New Roman" w:cs="Times New Roman"/>
        </w:rPr>
        <w:t>concerning</w:t>
      </w:r>
      <w:proofErr w:type="spellEnd"/>
      <w:r w:rsidR="00A32892" w:rsidRPr="00705170">
        <w:rPr>
          <w:rFonts w:ascii="Times New Roman" w:hAnsi="Times New Roman" w:cs="Times New Roman"/>
        </w:rPr>
        <w:t xml:space="preserve"> </w:t>
      </w:r>
      <w:proofErr w:type="spellStart"/>
      <w:r w:rsidR="00A32892" w:rsidRPr="00705170">
        <w:rPr>
          <w:rFonts w:ascii="Times New Roman" w:hAnsi="Times New Roman" w:cs="Times New Roman"/>
        </w:rPr>
        <w:t>the</w:t>
      </w:r>
      <w:proofErr w:type="spellEnd"/>
      <w:r w:rsidR="00A32892" w:rsidRPr="00705170">
        <w:rPr>
          <w:rFonts w:ascii="Times New Roman" w:hAnsi="Times New Roman" w:cs="Times New Roman"/>
        </w:rPr>
        <w:t xml:space="preserve"> </w:t>
      </w:r>
      <w:proofErr w:type="spellStart"/>
      <w:r w:rsidR="00A32892" w:rsidRPr="00705170">
        <w:rPr>
          <w:rFonts w:ascii="Times New Roman" w:hAnsi="Times New Roman" w:cs="Times New Roman"/>
        </w:rPr>
        <w:t>definition</w:t>
      </w:r>
      <w:proofErr w:type="spellEnd"/>
      <w:r w:rsidR="00A32892" w:rsidRPr="00705170">
        <w:rPr>
          <w:rFonts w:ascii="Times New Roman" w:hAnsi="Times New Roman" w:cs="Times New Roman"/>
        </w:rPr>
        <w:t xml:space="preserve"> of </w:t>
      </w:r>
      <w:proofErr w:type="spellStart"/>
      <w:r w:rsidR="00A32892" w:rsidRPr="00705170">
        <w:rPr>
          <w:rFonts w:ascii="Times New Roman" w:hAnsi="Times New Roman" w:cs="Times New Roman"/>
        </w:rPr>
        <w:t>the</w:t>
      </w:r>
      <w:proofErr w:type="spellEnd"/>
      <w:r w:rsidR="00A32892" w:rsidRPr="00705170">
        <w:rPr>
          <w:rFonts w:ascii="Times New Roman" w:hAnsi="Times New Roman" w:cs="Times New Roman"/>
        </w:rPr>
        <w:t xml:space="preserve"> “</w:t>
      </w:r>
      <w:proofErr w:type="spellStart"/>
      <w:r w:rsidR="00A32892" w:rsidRPr="00705170">
        <w:rPr>
          <w:rFonts w:ascii="Times New Roman" w:hAnsi="Times New Roman" w:cs="Times New Roman"/>
        </w:rPr>
        <w:t>just</w:t>
      </w:r>
      <w:proofErr w:type="spellEnd"/>
      <w:r w:rsidR="00A32892" w:rsidRPr="00705170">
        <w:rPr>
          <w:rFonts w:ascii="Times New Roman" w:hAnsi="Times New Roman" w:cs="Times New Roman"/>
        </w:rPr>
        <w:t xml:space="preserve"> </w:t>
      </w:r>
      <w:proofErr w:type="spellStart"/>
      <w:r w:rsidR="00A32892" w:rsidRPr="00705170">
        <w:rPr>
          <w:rFonts w:ascii="Times New Roman" w:hAnsi="Times New Roman" w:cs="Times New Roman"/>
        </w:rPr>
        <w:t>cause</w:t>
      </w:r>
      <w:proofErr w:type="spellEnd"/>
      <w:r w:rsidR="00A32892" w:rsidRPr="00705170">
        <w:rPr>
          <w:rFonts w:ascii="Times New Roman" w:hAnsi="Times New Roman" w:cs="Times New Roman"/>
        </w:rPr>
        <w:t>”</w:t>
      </w:r>
      <w:r w:rsidR="00A32892" w:rsidRPr="00705170">
        <w:rPr>
          <w:rStyle w:val="DipnotBavurusu"/>
          <w:rFonts w:ascii="Times New Roman" w:hAnsi="Times New Roman" w:cs="Times New Roman"/>
        </w:rPr>
        <w:footnoteReference w:id="909"/>
      </w:r>
      <w:r w:rsidR="00A32892" w:rsidRPr="00705170">
        <w:rPr>
          <w:rFonts w:ascii="Times New Roman" w:hAnsi="Times New Roman" w:cs="Times New Roman"/>
        </w:rPr>
        <w:t>. A</w:t>
      </w:r>
      <w:r w:rsidR="0084032C" w:rsidRPr="00705170">
        <w:rPr>
          <w:rFonts w:ascii="Times New Roman" w:hAnsi="Times New Roman" w:cs="Times New Roman"/>
        </w:rPr>
        <w:t xml:space="preserve">s </w:t>
      </w:r>
      <w:proofErr w:type="spellStart"/>
      <w:r w:rsidR="0084032C" w:rsidRPr="00705170">
        <w:rPr>
          <w:rFonts w:ascii="Times New Roman" w:hAnsi="Times New Roman" w:cs="Times New Roman"/>
        </w:rPr>
        <w:t>Turkish</w:t>
      </w:r>
      <w:proofErr w:type="spellEnd"/>
      <w:r w:rsidR="0084032C" w:rsidRPr="00705170">
        <w:rPr>
          <w:rFonts w:ascii="Times New Roman" w:hAnsi="Times New Roman" w:cs="Times New Roman"/>
        </w:rPr>
        <w:t xml:space="preserve"> </w:t>
      </w:r>
      <w:proofErr w:type="spellStart"/>
      <w:r w:rsidR="0084032C" w:rsidRPr="00705170">
        <w:rPr>
          <w:rFonts w:ascii="Times New Roman" w:hAnsi="Times New Roman" w:cs="Times New Roman"/>
        </w:rPr>
        <w:t>statutory</w:t>
      </w:r>
      <w:proofErr w:type="spellEnd"/>
      <w:r w:rsidR="0084032C" w:rsidRPr="00705170">
        <w:rPr>
          <w:rFonts w:ascii="Times New Roman" w:hAnsi="Times New Roman" w:cs="Times New Roman"/>
        </w:rPr>
        <w:t xml:space="preserve"> </w:t>
      </w:r>
      <w:proofErr w:type="spellStart"/>
      <w:r w:rsidR="0084032C" w:rsidRPr="00705170">
        <w:rPr>
          <w:rFonts w:ascii="Times New Roman" w:hAnsi="Times New Roman" w:cs="Times New Roman"/>
        </w:rPr>
        <w:t>law</w:t>
      </w:r>
      <w:proofErr w:type="spellEnd"/>
      <w:r w:rsidR="0084032C" w:rsidRPr="00705170">
        <w:rPr>
          <w:rFonts w:ascii="Times New Roman" w:hAnsi="Times New Roman" w:cs="Times New Roman"/>
        </w:rPr>
        <w:t xml:space="preserve"> </w:t>
      </w:r>
      <w:proofErr w:type="spellStart"/>
      <w:r w:rsidR="00B93E15" w:rsidRPr="00705170">
        <w:rPr>
          <w:rFonts w:ascii="Times New Roman" w:hAnsi="Times New Roman" w:cs="Times New Roman"/>
        </w:rPr>
        <w:t>for</w:t>
      </w:r>
      <w:proofErr w:type="spellEnd"/>
      <w:r w:rsidR="00B93E15" w:rsidRPr="00705170">
        <w:rPr>
          <w:rFonts w:ascii="Times New Roman" w:hAnsi="Times New Roman" w:cs="Times New Roman"/>
        </w:rPr>
        <w:t xml:space="preserve"> </w:t>
      </w:r>
      <w:proofErr w:type="spellStart"/>
      <w:r w:rsidR="00B93E15" w:rsidRPr="00705170">
        <w:rPr>
          <w:rFonts w:ascii="Times New Roman" w:hAnsi="Times New Roman" w:cs="Times New Roman"/>
        </w:rPr>
        <w:t>corporations</w:t>
      </w:r>
      <w:proofErr w:type="spellEnd"/>
      <w:r w:rsidR="00B93E15" w:rsidRPr="00705170">
        <w:rPr>
          <w:rFonts w:ascii="Times New Roman" w:hAnsi="Times New Roman" w:cs="Times New Roman"/>
        </w:rPr>
        <w:t xml:space="preserve"> </w:t>
      </w:r>
      <w:proofErr w:type="spellStart"/>
      <w:r w:rsidR="0084032C" w:rsidRPr="00705170">
        <w:rPr>
          <w:rFonts w:ascii="Times New Roman" w:hAnsi="Times New Roman" w:cs="Times New Roman"/>
        </w:rPr>
        <w:t>does</w:t>
      </w:r>
      <w:proofErr w:type="spellEnd"/>
      <w:r w:rsidR="0084032C" w:rsidRPr="00705170">
        <w:rPr>
          <w:rFonts w:ascii="Times New Roman" w:hAnsi="Times New Roman" w:cs="Times New Roman"/>
        </w:rPr>
        <w:t xml:space="preserve"> not </w:t>
      </w:r>
      <w:proofErr w:type="spellStart"/>
      <w:r w:rsidR="0084032C" w:rsidRPr="00705170">
        <w:rPr>
          <w:rFonts w:ascii="Times New Roman" w:hAnsi="Times New Roman" w:cs="Times New Roman"/>
        </w:rPr>
        <w:t>have</w:t>
      </w:r>
      <w:proofErr w:type="spellEnd"/>
      <w:r w:rsidR="0084032C" w:rsidRPr="00705170">
        <w:rPr>
          <w:rFonts w:ascii="Times New Roman" w:hAnsi="Times New Roman" w:cs="Times New Roman"/>
        </w:rPr>
        <w:t xml:space="preserve"> an </w:t>
      </w:r>
      <w:proofErr w:type="spellStart"/>
      <w:r w:rsidR="0084032C" w:rsidRPr="00705170">
        <w:rPr>
          <w:rFonts w:ascii="Times New Roman" w:hAnsi="Times New Roman" w:cs="Times New Roman"/>
        </w:rPr>
        <w:t>explicit</w:t>
      </w:r>
      <w:proofErr w:type="spellEnd"/>
      <w:r w:rsidR="0084032C" w:rsidRPr="00705170">
        <w:rPr>
          <w:rFonts w:ascii="Times New Roman" w:hAnsi="Times New Roman" w:cs="Times New Roman"/>
        </w:rPr>
        <w:t xml:space="preserve"> </w:t>
      </w:r>
      <w:proofErr w:type="spellStart"/>
      <w:r w:rsidR="0084032C" w:rsidRPr="00705170">
        <w:rPr>
          <w:rFonts w:ascii="Times New Roman" w:hAnsi="Times New Roman" w:cs="Times New Roman"/>
        </w:rPr>
        <w:t>definition</w:t>
      </w:r>
      <w:proofErr w:type="spellEnd"/>
      <w:r w:rsidR="00F44EF0" w:rsidRPr="00705170">
        <w:rPr>
          <w:rFonts w:ascii="Times New Roman" w:hAnsi="Times New Roman" w:cs="Times New Roman"/>
        </w:rPr>
        <w:t xml:space="preserve"> </w:t>
      </w:r>
      <w:proofErr w:type="spellStart"/>
      <w:r w:rsidR="00F44EF0" w:rsidRPr="00705170">
        <w:rPr>
          <w:rFonts w:ascii="Times New Roman" w:hAnsi="Times New Roman" w:cs="Times New Roman"/>
        </w:rPr>
        <w:t>for</w:t>
      </w:r>
      <w:proofErr w:type="spellEnd"/>
      <w:r w:rsidR="00F44EF0" w:rsidRPr="00705170">
        <w:rPr>
          <w:rFonts w:ascii="Times New Roman" w:hAnsi="Times New Roman" w:cs="Times New Roman"/>
        </w:rPr>
        <w:t xml:space="preserve"> </w:t>
      </w:r>
      <w:proofErr w:type="spellStart"/>
      <w:r w:rsidR="00F44EF0" w:rsidRPr="00705170">
        <w:rPr>
          <w:rFonts w:ascii="Times New Roman" w:hAnsi="Times New Roman" w:cs="Times New Roman"/>
        </w:rPr>
        <w:t>the</w:t>
      </w:r>
      <w:proofErr w:type="spellEnd"/>
      <w:r w:rsidR="00F44EF0" w:rsidRPr="00705170">
        <w:rPr>
          <w:rFonts w:ascii="Times New Roman" w:hAnsi="Times New Roman" w:cs="Times New Roman"/>
        </w:rPr>
        <w:t xml:space="preserve"> “</w:t>
      </w:r>
      <w:proofErr w:type="spellStart"/>
      <w:r w:rsidR="00F44EF0" w:rsidRPr="00705170">
        <w:rPr>
          <w:rFonts w:ascii="Times New Roman" w:hAnsi="Times New Roman" w:cs="Times New Roman"/>
        </w:rPr>
        <w:t>just</w:t>
      </w:r>
      <w:proofErr w:type="spellEnd"/>
      <w:r w:rsidR="00F44EF0" w:rsidRPr="00705170">
        <w:rPr>
          <w:rFonts w:ascii="Times New Roman" w:hAnsi="Times New Roman" w:cs="Times New Roman"/>
        </w:rPr>
        <w:t xml:space="preserve"> </w:t>
      </w:r>
      <w:proofErr w:type="spellStart"/>
      <w:r w:rsidR="00F44EF0" w:rsidRPr="00705170">
        <w:rPr>
          <w:rFonts w:ascii="Times New Roman" w:hAnsi="Times New Roman" w:cs="Times New Roman"/>
        </w:rPr>
        <w:t>cause</w:t>
      </w:r>
      <w:proofErr w:type="spellEnd"/>
      <w:r w:rsidR="00F44EF0" w:rsidRPr="00705170">
        <w:rPr>
          <w:rFonts w:ascii="Times New Roman" w:hAnsi="Times New Roman" w:cs="Times New Roman"/>
        </w:rPr>
        <w:t>” element</w:t>
      </w:r>
      <w:r w:rsidR="00A32892" w:rsidRPr="00705170">
        <w:rPr>
          <w:rFonts w:ascii="Times New Roman" w:hAnsi="Times New Roman" w:cs="Times New Roman"/>
        </w:rPr>
        <w:t xml:space="preserve">, </w:t>
      </w:r>
      <w:proofErr w:type="spellStart"/>
      <w:r w:rsidR="00A32892" w:rsidRPr="00705170">
        <w:rPr>
          <w:rFonts w:ascii="Times New Roman" w:hAnsi="Times New Roman" w:cs="Times New Roman"/>
        </w:rPr>
        <w:t>the</w:t>
      </w:r>
      <w:proofErr w:type="spellEnd"/>
      <w:r w:rsidR="00A32892" w:rsidRPr="00705170">
        <w:rPr>
          <w:rFonts w:ascii="Times New Roman" w:hAnsi="Times New Roman" w:cs="Times New Roman"/>
        </w:rPr>
        <w:t xml:space="preserve"> </w:t>
      </w:r>
      <w:proofErr w:type="spellStart"/>
      <w:r w:rsidR="00A32892" w:rsidRPr="00705170">
        <w:rPr>
          <w:rFonts w:ascii="Times New Roman" w:hAnsi="Times New Roman" w:cs="Times New Roman"/>
        </w:rPr>
        <w:t>court</w:t>
      </w:r>
      <w:proofErr w:type="spellEnd"/>
      <w:r w:rsidR="0084032C" w:rsidRPr="00705170">
        <w:rPr>
          <w:rFonts w:ascii="Times New Roman" w:hAnsi="Times New Roman" w:cs="Times New Roman"/>
        </w:rPr>
        <w:t xml:space="preserve"> has </w:t>
      </w:r>
      <w:proofErr w:type="spellStart"/>
      <w:r w:rsidR="0084032C" w:rsidRPr="00705170">
        <w:rPr>
          <w:rFonts w:ascii="Times New Roman" w:hAnsi="Times New Roman" w:cs="Times New Roman"/>
        </w:rPr>
        <w:t>to</w:t>
      </w:r>
      <w:proofErr w:type="spellEnd"/>
      <w:r w:rsidR="0084032C" w:rsidRPr="00705170">
        <w:rPr>
          <w:rFonts w:ascii="Times New Roman" w:hAnsi="Times New Roman" w:cs="Times New Roman"/>
        </w:rPr>
        <w:t xml:space="preserve"> </w:t>
      </w:r>
      <w:proofErr w:type="spellStart"/>
      <w:r w:rsidR="0084032C" w:rsidRPr="00705170">
        <w:rPr>
          <w:rFonts w:ascii="Times New Roman" w:hAnsi="Times New Roman" w:cs="Times New Roman"/>
        </w:rPr>
        <w:t>decide</w:t>
      </w:r>
      <w:proofErr w:type="spellEnd"/>
      <w:r w:rsidR="0084032C" w:rsidRPr="00705170">
        <w:rPr>
          <w:rFonts w:ascii="Times New Roman" w:hAnsi="Times New Roman" w:cs="Times New Roman"/>
        </w:rPr>
        <w:t xml:space="preserve"> </w:t>
      </w:r>
      <w:proofErr w:type="spellStart"/>
      <w:r w:rsidR="0084032C" w:rsidRPr="00705170">
        <w:rPr>
          <w:rFonts w:ascii="Times New Roman" w:hAnsi="Times New Roman" w:cs="Times New Roman"/>
        </w:rPr>
        <w:t>whether</w:t>
      </w:r>
      <w:proofErr w:type="spellEnd"/>
      <w:r w:rsidR="0084032C" w:rsidRPr="00705170">
        <w:rPr>
          <w:rFonts w:ascii="Times New Roman" w:hAnsi="Times New Roman" w:cs="Times New Roman"/>
        </w:rPr>
        <w:t xml:space="preserve"> an </w:t>
      </w:r>
      <w:proofErr w:type="spellStart"/>
      <w:r w:rsidR="0084032C" w:rsidRPr="00705170">
        <w:rPr>
          <w:rFonts w:ascii="Times New Roman" w:hAnsi="Times New Roman" w:cs="Times New Roman"/>
        </w:rPr>
        <w:t>occur</w:t>
      </w:r>
      <w:r w:rsidR="00A32892" w:rsidRPr="00705170">
        <w:rPr>
          <w:rFonts w:ascii="Times New Roman" w:hAnsi="Times New Roman" w:cs="Times New Roman"/>
        </w:rPr>
        <w:t>ance</w:t>
      </w:r>
      <w:proofErr w:type="spellEnd"/>
      <w:r w:rsidR="00A32892" w:rsidRPr="00705170">
        <w:rPr>
          <w:rFonts w:ascii="Times New Roman" w:hAnsi="Times New Roman" w:cs="Times New Roman"/>
        </w:rPr>
        <w:t xml:space="preserve"> is a “</w:t>
      </w:r>
      <w:proofErr w:type="spellStart"/>
      <w:r w:rsidR="00A32892" w:rsidRPr="00705170">
        <w:rPr>
          <w:rFonts w:ascii="Times New Roman" w:hAnsi="Times New Roman" w:cs="Times New Roman"/>
        </w:rPr>
        <w:t>just</w:t>
      </w:r>
      <w:proofErr w:type="spellEnd"/>
      <w:r w:rsidR="00A32892" w:rsidRPr="00705170">
        <w:rPr>
          <w:rFonts w:ascii="Times New Roman" w:hAnsi="Times New Roman" w:cs="Times New Roman"/>
        </w:rPr>
        <w:t xml:space="preserve"> </w:t>
      </w:r>
      <w:proofErr w:type="spellStart"/>
      <w:r w:rsidR="00A32892" w:rsidRPr="00705170">
        <w:rPr>
          <w:rFonts w:ascii="Times New Roman" w:hAnsi="Times New Roman" w:cs="Times New Roman"/>
        </w:rPr>
        <w:t>cause</w:t>
      </w:r>
      <w:proofErr w:type="spellEnd"/>
      <w:r w:rsidR="00A32892" w:rsidRPr="00705170">
        <w:rPr>
          <w:rFonts w:ascii="Times New Roman" w:hAnsi="Times New Roman" w:cs="Times New Roman"/>
        </w:rPr>
        <w:t xml:space="preserve">” </w:t>
      </w:r>
      <w:proofErr w:type="spellStart"/>
      <w:r w:rsidR="00A32892" w:rsidRPr="00705170">
        <w:rPr>
          <w:rFonts w:ascii="Times New Roman" w:hAnsi="Times New Roman" w:cs="Times New Roman"/>
        </w:rPr>
        <w:t>using</w:t>
      </w:r>
      <w:proofErr w:type="spellEnd"/>
      <w:r w:rsidR="00A32892" w:rsidRPr="00705170">
        <w:rPr>
          <w:rFonts w:ascii="Times New Roman" w:hAnsi="Times New Roman" w:cs="Times New Roman"/>
        </w:rPr>
        <w:t xml:space="preserve"> </w:t>
      </w:r>
      <w:proofErr w:type="spellStart"/>
      <w:r w:rsidR="00A32892" w:rsidRPr="00705170">
        <w:rPr>
          <w:rFonts w:ascii="Times New Roman" w:hAnsi="Times New Roman" w:cs="Times New Roman"/>
        </w:rPr>
        <w:t>its</w:t>
      </w:r>
      <w:proofErr w:type="spellEnd"/>
      <w:r w:rsidR="0084032C" w:rsidRPr="00705170">
        <w:rPr>
          <w:rFonts w:ascii="Times New Roman" w:hAnsi="Times New Roman" w:cs="Times New Roman"/>
        </w:rPr>
        <w:t xml:space="preserve"> </w:t>
      </w:r>
      <w:proofErr w:type="spellStart"/>
      <w:r w:rsidR="0084032C" w:rsidRPr="00705170">
        <w:rPr>
          <w:rFonts w:ascii="Times New Roman" w:hAnsi="Times New Roman" w:cs="Times New Roman"/>
        </w:rPr>
        <w:t>discretion</w:t>
      </w:r>
      <w:proofErr w:type="spellEnd"/>
      <w:r w:rsidR="0084032C" w:rsidRPr="00705170">
        <w:rPr>
          <w:rFonts w:ascii="Times New Roman" w:hAnsi="Times New Roman" w:cs="Times New Roman"/>
        </w:rPr>
        <w:t xml:space="preserve"> </w:t>
      </w:r>
      <w:proofErr w:type="spellStart"/>
      <w:r w:rsidR="0084032C" w:rsidRPr="00705170">
        <w:rPr>
          <w:rFonts w:ascii="Times New Roman" w:hAnsi="Times New Roman" w:cs="Times New Roman"/>
        </w:rPr>
        <w:t>authority</w:t>
      </w:r>
      <w:proofErr w:type="spellEnd"/>
      <w:r w:rsidR="0084032C" w:rsidRPr="00705170">
        <w:rPr>
          <w:rFonts w:ascii="Times New Roman" w:hAnsi="Times New Roman" w:cs="Times New Roman"/>
        </w:rPr>
        <w:t xml:space="preserve"> </w:t>
      </w:r>
      <w:proofErr w:type="spellStart"/>
      <w:r w:rsidR="0084032C" w:rsidRPr="00705170">
        <w:rPr>
          <w:rFonts w:ascii="Times New Roman" w:hAnsi="Times New Roman" w:cs="Times New Roman"/>
        </w:rPr>
        <w:t>under</w:t>
      </w:r>
      <w:proofErr w:type="spellEnd"/>
      <w:r w:rsidR="0084032C" w:rsidRPr="00705170">
        <w:rPr>
          <w:rFonts w:ascii="Times New Roman" w:hAnsi="Times New Roman" w:cs="Times New Roman"/>
        </w:rPr>
        <w:t xml:space="preserve"> </w:t>
      </w:r>
      <w:proofErr w:type="spellStart"/>
      <w:r w:rsidR="0084032C" w:rsidRPr="00705170">
        <w:rPr>
          <w:rFonts w:ascii="Times New Roman" w:hAnsi="Times New Roman" w:cs="Times New Roman"/>
        </w:rPr>
        <w:t>Article</w:t>
      </w:r>
      <w:proofErr w:type="spellEnd"/>
      <w:r w:rsidR="0084032C" w:rsidRPr="00705170">
        <w:rPr>
          <w:rFonts w:ascii="Times New Roman" w:hAnsi="Times New Roman" w:cs="Times New Roman"/>
        </w:rPr>
        <w:t xml:space="preserve"> 4 of </w:t>
      </w:r>
      <w:proofErr w:type="spellStart"/>
      <w:r w:rsidR="0084032C" w:rsidRPr="00705170">
        <w:rPr>
          <w:rFonts w:ascii="Times New Roman" w:hAnsi="Times New Roman" w:cs="Times New Roman"/>
        </w:rPr>
        <w:t>the</w:t>
      </w:r>
      <w:proofErr w:type="spellEnd"/>
      <w:r w:rsidR="0084032C" w:rsidRPr="00705170">
        <w:rPr>
          <w:rFonts w:ascii="Times New Roman" w:hAnsi="Times New Roman" w:cs="Times New Roman"/>
        </w:rPr>
        <w:t xml:space="preserve"> </w:t>
      </w:r>
      <w:proofErr w:type="spellStart"/>
      <w:r w:rsidR="0084032C" w:rsidRPr="00705170">
        <w:rPr>
          <w:rFonts w:ascii="Times New Roman" w:hAnsi="Times New Roman" w:cs="Times New Roman"/>
        </w:rPr>
        <w:t>Turkish</w:t>
      </w:r>
      <w:proofErr w:type="spellEnd"/>
      <w:r w:rsidR="0084032C" w:rsidRPr="00705170">
        <w:rPr>
          <w:rFonts w:ascii="Times New Roman" w:hAnsi="Times New Roman" w:cs="Times New Roman"/>
        </w:rPr>
        <w:t xml:space="preserve"> </w:t>
      </w:r>
      <w:proofErr w:type="spellStart"/>
      <w:r w:rsidR="0084032C" w:rsidRPr="00705170">
        <w:rPr>
          <w:rFonts w:ascii="Times New Roman" w:hAnsi="Times New Roman" w:cs="Times New Roman"/>
        </w:rPr>
        <w:t>Civil</w:t>
      </w:r>
      <w:proofErr w:type="spellEnd"/>
      <w:r w:rsidR="0084032C" w:rsidRPr="00705170">
        <w:rPr>
          <w:rFonts w:ascii="Times New Roman" w:hAnsi="Times New Roman" w:cs="Times New Roman"/>
        </w:rPr>
        <w:t xml:space="preserve"> </w:t>
      </w:r>
      <w:proofErr w:type="spellStart"/>
      <w:r w:rsidR="0084032C" w:rsidRPr="00705170">
        <w:rPr>
          <w:rFonts w:ascii="Times New Roman" w:hAnsi="Times New Roman" w:cs="Times New Roman"/>
        </w:rPr>
        <w:t>Code</w:t>
      </w:r>
      <w:proofErr w:type="spellEnd"/>
      <w:r w:rsidR="0084032C" w:rsidRPr="00705170">
        <w:rPr>
          <w:rStyle w:val="DipnotBavurusu"/>
          <w:rFonts w:ascii="Times New Roman" w:hAnsi="Times New Roman" w:cs="Times New Roman"/>
        </w:rPr>
        <w:footnoteReference w:id="910"/>
      </w:r>
      <w:r w:rsidR="0084032C" w:rsidRPr="00705170">
        <w:rPr>
          <w:rFonts w:ascii="Times New Roman" w:hAnsi="Times New Roman" w:cs="Times New Roman"/>
        </w:rPr>
        <w:t>.</w:t>
      </w:r>
      <w:r w:rsidR="00A93A2B" w:rsidRPr="00705170">
        <w:rPr>
          <w:rFonts w:ascii="Times New Roman" w:hAnsi="Times New Roman" w:cs="Times New Roman"/>
        </w:rPr>
        <w:t xml:space="preserve"> </w:t>
      </w:r>
      <w:proofErr w:type="spellStart"/>
      <w:r w:rsidR="0065045D">
        <w:rPr>
          <w:rFonts w:ascii="Times New Roman" w:hAnsi="Times New Roman" w:cs="Times New Roman"/>
        </w:rPr>
        <w:t>While</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exercising</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its</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interpretation</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authority</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the</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court</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lastRenderedPageBreak/>
        <w:t>may</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benefit</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from</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approaches</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from</w:t>
      </w:r>
      <w:proofErr w:type="spellEnd"/>
      <w:r w:rsidR="0065045D">
        <w:rPr>
          <w:rFonts w:ascii="Times New Roman" w:hAnsi="Times New Roman" w:cs="Times New Roman"/>
        </w:rPr>
        <w:t xml:space="preserve"> </w:t>
      </w:r>
      <w:r w:rsidR="00F87023">
        <w:rPr>
          <w:rFonts w:ascii="Times New Roman" w:hAnsi="Times New Roman" w:cs="Times New Roman"/>
        </w:rPr>
        <w:t>model</w:t>
      </w:r>
      <w:r w:rsidR="0065045D">
        <w:rPr>
          <w:rFonts w:ascii="Times New Roman" w:hAnsi="Times New Roman" w:cs="Times New Roman"/>
        </w:rPr>
        <w:t xml:space="preserve"> legal </w:t>
      </w:r>
      <w:proofErr w:type="spellStart"/>
      <w:r w:rsidR="0065045D">
        <w:rPr>
          <w:rFonts w:ascii="Times New Roman" w:hAnsi="Times New Roman" w:cs="Times New Roman"/>
        </w:rPr>
        <w:t>systems</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commentator</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opin</w:t>
      </w:r>
      <w:r w:rsidR="00F87023">
        <w:rPr>
          <w:rFonts w:ascii="Times New Roman" w:hAnsi="Times New Roman" w:cs="Times New Roman"/>
        </w:rPr>
        <w:t>i</w:t>
      </w:r>
      <w:r w:rsidR="0065045D">
        <w:rPr>
          <w:rFonts w:ascii="Times New Roman" w:hAnsi="Times New Roman" w:cs="Times New Roman"/>
        </w:rPr>
        <w:t>ons</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statutes</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or</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court</w:t>
      </w:r>
      <w:proofErr w:type="spellEnd"/>
      <w:r w:rsidR="0065045D">
        <w:rPr>
          <w:rFonts w:ascii="Times New Roman" w:hAnsi="Times New Roman" w:cs="Times New Roman"/>
        </w:rPr>
        <w:t xml:space="preserve"> </w:t>
      </w:r>
      <w:proofErr w:type="spellStart"/>
      <w:r w:rsidR="0065045D">
        <w:rPr>
          <w:rFonts w:ascii="Times New Roman" w:hAnsi="Times New Roman" w:cs="Times New Roman"/>
        </w:rPr>
        <w:t>decisions</w:t>
      </w:r>
      <w:proofErr w:type="spellEnd"/>
      <w:r w:rsidR="0065045D">
        <w:rPr>
          <w:rStyle w:val="DipnotBavurusu"/>
          <w:rFonts w:ascii="Times New Roman" w:hAnsi="Times New Roman" w:cs="Times New Roman"/>
        </w:rPr>
        <w:footnoteReference w:id="911"/>
      </w:r>
      <w:r w:rsidR="0099210D">
        <w:rPr>
          <w:rFonts w:ascii="Times New Roman" w:hAnsi="Times New Roman" w:cs="Times New Roman"/>
        </w:rPr>
        <w:t xml:space="preserve">, </w:t>
      </w:r>
      <w:proofErr w:type="spellStart"/>
      <w:r w:rsidR="0099210D">
        <w:rPr>
          <w:rFonts w:ascii="Times New Roman" w:hAnsi="Times New Roman" w:cs="Times New Roman"/>
        </w:rPr>
        <w:t>and</w:t>
      </w:r>
      <w:proofErr w:type="spellEnd"/>
      <w:r w:rsidR="0099210D">
        <w:rPr>
          <w:rFonts w:ascii="Times New Roman" w:hAnsi="Times New Roman" w:cs="Times New Roman"/>
        </w:rPr>
        <w:t xml:space="preserve"> </w:t>
      </w:r>
      <w:proofErr w:type="spellStart"/>
      <w:r w:rsidR="0099210D">
        <w:rPr>
          <w:rFonts w:ascii="Times New Roman" w:hAnsi="Times New Roman" w:cs="Times New Roman"/>
        </w:rPr>
        <w:t>this</w:t>
      </w:r>
      <w:proofErr w:type="spellEnd"/>
      <w:r w:rsidR="0099210D">
        <w:rPr>
          <w:rFonts w:ascii="Times New Roman" w:hAnsi="Times New Roman" w:cs="Times New Roman"/>
        </w:rPr>
        <w:t xml:space="preserve"> is </w:t>
      </w:r>
      <w:proofErr w:type="spellStart"/>
      <w:r w:rsidR="0099210D">
        <w:rPr>
          <w:rFonts w:ascii="Times New Roman" w:hAnsi="Times New Roman" w:cs="Times New Roman"/>
        </w:rPr>
        <w:t>particularly</w:t>
      </w:r>
      <w:proofErr w:type="spellEnd"/>
      <w:r w:rsidR="0099210D">
        <w:rPr>
          <w:rFonts w:ascii="Times New Roman" w:hAnsi="Times New Roman" w:cs="Times New Roman"/>
        </w:rPr>
        <w:t xml:space="preserve"> </w:t>
      </w:r>
      <w:proofErr w:type="spellStart"/>
      <w:r w:rsidR="0099210D">
        <w:rPr>
          <w:rFonts w:ascii="Times New Roman" w:hAnsi="Times New Roman" w:cs="Times New Roman"/>
        </w:rPr>
        <w:t>why</w:t>
      </w:r>
      <w:proofErr w:type="spellEnd"/>
      <w:r w:rsidR="0099210D">
        <w:rPr>
          <w:rFonts w:ascii="Times New Roman" w:hAnsi="Times New Roman" w:cs="Times New Roman"/>
        </w:rPr>
        <w:t xml:space="preserve"> </w:t>
      </w:r>
      <w:proofErr w:type="spellStart"/>
      <w:r w:rsidR="0099210D">
        <w:rPr>
          <w:rFonts w:ascii="Times New Roman" w:hAnsi="Times New Roman" w:cs="Times New Roman"/>
        </w:rPr>
        <w:t>this</w:t>
      </w:r>
      <w:proofErr w:type="spellEnd"/>
      <w:r w:rsidR="0099210D">
        <w:rPr>
          <w:rFonts w:ascii="Times New Roman" w:hAnsi="Times New Roman" w:cs="Times New Roman"/>
        </w:rPr>
        <w:t xml:space="preserve"> </w:t>
      </w:r>
      <w:proofErr w:type="spellStart"/>
      <w:r w:rsidR="0099210D">
        <w:rPr>
          <w:rFonts w:ascii="Times New Roman" w:hAnsi="Times New Roman" w:cs="Times New Roman"/>
        </w:rPr>
        <w:t>study</w:t>
      </w:r>
      <w:proofErr w:type="spellEnd"/>
      <w:r w:rsidR="0099210D">
        <w:rPr>
          <w:rFonts w:ascii="Times New Roman" w:hAnsi="Times New Roman" w:cs="Times New Roman"/>
        </w:rPr>
        <w:t xml:space="preserve"> </w:t>
      </w:r>
      <w:proofErr w:type="spellStart"/>
      <w:r w:rsidR="0099210D">
        <w:rPr>
          <w:rFonts w:ascii="Times New Roman" w:hAnsi="Times New Roman" w:cs="Times New Roman"/>
        </w:rPr>
        <w:t>proposes</w:t>
      </w:r>
      <w:proofErr w:type="spellEnd"/>
      <w:r w:rsidR="0099210D">
        <w:rPr>
          <w:rFonts w:ascii="Times New Roman" w:hAnsi="Times New Roman" w:cs="Times New Roman"/>
        </w:rPr>
        <w:t xml:space="preserve"> </w:t>
      </w:r>
      <w:proofErr w:type="spellStart"/>
      <w:r w:rsidR="0099210D">
        <w:rPr>
          <w:rFonts w:ascii="Times New Roman" w:hAnsi="Times New Roman" w:cs="Times New Roman"/>
        </w:rPr>
        <w:t>to</w:t>
      </w:r>
      <w:proofErr w:type="spellEnd"/>
      <w:r w:rsidR="0099210D">
        <w:rPr>
          <w:rFonts w:ascii="Times New Roman" w:hAnsi="Times New Roman" w:cs="Times New Roman"/>
        </w:rPr>
        <w:t xml:space="preserve"> </w:t>
      </w:r>
      <w:proofErr w:type="spellStart"/>
      <w:r w:rsidR="0099210D">
        <w:rPr>
          <w:rFonts w:ascii="Times New Roman" w:hAnsi="Times New Roman" w:cs="Times New Roman"/>
        </w:rPr>
        <w:t>benefit</w:t>
      </w:r>
      <w:proofErr w:type="spellEnd"/>
      <w:r w:rsidR="0099210D">
        <w:rPr>
          <w:rFonts w:ascii="Times New Roman" w:hAnsi="Times New Roman" w:cs="Times New Roman"/>
        </w:rPr>
        <w:t xml:space="preserve"> </w:t>
      </w:r>
      <w:proofErr w:type="spellStart"/>
      <w:r w:rsidR="0099210D">
        <w:rPr>
          <w:rFonts w:ascii="Times New Roman" w:hAnsi="Times New Roman" w:cs="Times New Roman"/>
        </w:rPr>
        <w:t>from</w:t>
      </w:r>
      <w:proofErr w:type="spellEnd"/>
      <w:r w:rsidR="0099210D">
        <w:rPr>
          <w:rFonts w:ascii="Times New Roman" w:hAnsi="Times New Roman" w:cs="Times New Roman"/>
        </w:rPr>
        <w:t xml:space="preserve"> U.S. </w:t>
      </w:r>
      <w:proofErr w:type="spellStart"/>
      <w:r w:rsidR="0099210D">
        <w:rPr>
          <w:rFonts w:ascii="Times New Roman" w:hAnsi="Times New Roman" w:cs="Times New Roman"/>
        </w:rPr>
        <w:t>law’s</w:t>
      </w:r>
      <w:proofErr w:type="spellEnd"/>
      <w:r w:rsidR="0099210D">
        <w:rPr>
          <w:rFonts w:ascii="Times New Roman" w:hAnsi="Times New Roman" w:cs="Times New Roman"/>
        </w:rPr>
        <w:t xml:space="preserve"> </w:t>
      </w:r>
      <w:proofErr w:type="spellStart"/>
      <w:r w:rsidR="0099210D">
        <w:rPr>
          <w:rFonts w:ascii="Times New Roman" w:hAnsi="Times New Roman" w:cs="Times New Roman"/>
        </w:rPr>
        <w:t>approach</w:t>
      </w:r>
      <w:proofErr w:type="spellEnd"/>
      <w:r w:rsidR="0099210D">
        <w:rPr>
          <w:rFonts w:ascii="Times New Roman" w:hAnsi="Times New Roman" w:cs="Times New Roman"/>
        </w:rPr>
        <w:t xml:space="preserve">. </w:t>
      </w:r>
      <w:r w:rsidR="0065045D">
        <w:rPr>
          <w:rFonts w:ascii="Times New Roman" w:hAnsi="Times New Roman" w:cs="Times New Roman"/>
        </w:rPr>
        <w:t xml:space="preserve"> </w:t>
      </w:r>
    </w:p>
    <w:p w14:paraId="62323B68" w14:textId="67FF0FD5" w:rsidR="001550EC" w:rsidRPr="00705170" w:rsidRDefault="00A32892" w:rsidP="007B5F72">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w:t>
      </w:r>
      <w:r w:rsidR="001550EC" w:rsidRPr="00705170">
        <w:rPr>
          <w:rFonts w:ascii="Times New Roman" w:hAnsi="Times New Roman" w:cs="Times New Roman"/>
        </w:rPr>
        <w: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concept</w:t>
      </w:r>
      <w:proofErr w:type="spellEnd"/>
      <w:r w:rsidR="001550EC" w:rsidRPr="00705170">
        <w:rPr>
          <w:rFonts w:ascii="Times New Roman" w:hAnsi="Times New Roman" w:cs="Times New Roman"/>
        </w:rPr>
        <w:t xml:space="preserve"> has </w:t>
      </w:r>
      <w:proofErr w:type="spellStart"/>
      <w:r w:rsidR="001550EC" w:rsidRPr="00705170">
        <w:rPr>
          <w:rFonts w:ascii="Times New Roman" w:hAnsi="Times New Roman" w:cs="Times New Roman"/>
        </w:rPr>
        <w:t>been</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evaluated</w:t>
      </w:r>
      <w:proofErr w:type="spellEnd"/>
      <w:r w:rsidR="001550EC" w:rsidRPr="00705170">
        <w:rPr>
          <w:rFonts w:ascii="Times New Roman" w:hAnsi="Times New Roman" w:cs="Times New Roman"/>
        </w:rPr>
        <w:t xml:space="preserve"> on </w:t>
      </w:r>
      <w:proofErr w:type="spellStart"/>
      <w:r w:rsidR="001550EC" w:rsidRPr="00705170">
        <w:rPr>
          <w:rFonts w:ascii="Times New Roman" w:hAnsi="Times New Roman" w:cs="Times New Roman"/>
        </w:rPr>
        <w:t>two</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theoretical</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grounds</w:t>
      </w:r>
      <w:proofErr w:type="spellEnd"/>
      <w:r w:rsidR="001550EC" w:rsidRPr="00705170">
        <w:rPr>
          <w:rFonts w:ascii="Times New Roman" w:hAnsi="Times New Roman" w:cs="Times New Roman"/>
        </w:rPr>
        <w:t xml:space="preserve">: (1) </w:t>
      </w:r>
      <w:proofErr w:type="spellStart"/>
      <w:r w:rsidR="001550EC" w:rsidRPr="00705170">
        <w:rPr>
          <w:rFonts w:ascii="Times New Roman" w:hAnsi="Times New Roman" w:cs="Times New Roman"/>
        </w:rPr>
        <w:t>analogy</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to</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other</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sections</w:t>
      </w:r>
      <w:proofErr w:type="spellEnd"/>
      <w:r w:rsidR="001550EC" w:rsidRPr="00705170">
        <w:rPr>
          <w:rFonts w:ascii="Times New Roman" w:hAnsi="Times New Roman" w:cs="Times New Roman"/>
        </w:rPr>
        <w:t xml:space="preserve"> of </w:t>
      </w:r>
      <w:proofErr w:type="spellStart"/>
      <w:r w:rsidR="001550EC" w:rsidRPr="00705170">
        <w:rPr>
          <w:rFonts w:ascii="Times New Roman" w:hAnsi="Times New Roman" w:cs="Times New Roman"/>
        </w:rPr>
        <w:t>the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TCC’s</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company</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law</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provisions</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and</w:t>
      </w:r>
      <w:proofErr w:type="spellEnd"/>
      <w:r w:rsidR="001550EC" w:rsidRPr="00705170">
        <w:rPr>
          <w:rFonts w:ascii="Times New Roman" w:hAnsi="Times New Roman" w:cs="Times New Roman"/>
        </w:rPr>
        <w:t xml:space="preserve"> (2) </w:t>
      </w:r>
      <w:proofErr w:type="spellStart"/>
      <w:r w:rsidR="001550EC" w:rsidRPr="00705170">
        <w:rPr>
          <w:rFonts w:ascii="Times New Roman" w:hAnsi="Times New Roman" w:cs="Times New Roman"/>
        </w:rPr>
        <w:t>derivation</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from</w:t>
      </w:r>
      <w:proofErr w:type="spellEnd"/>
      <w:r w:rsidR="001550EC" w:rsidRPr="00705170">
        <w:rPr>
          <w:rFonts w:ascii="Times New Roman" w:hAnsi="Times New Roman" w:cs="Times New Roman"/>
        </w:rPr>
        <w:t xml:space="preserve"> general </w:t>
      </w:r>
      <w:proofErr w:type="spellStart"/>
      <w:r w:rsidR="001550EC" w:rsidRPr="00705170">
        <w:rPr>
          <w:rFonts w:ascii="Times New Roman" w:hAnsi="Times New Roman" w:cs="Times New Roman"/>
        </w:rPr>
        <w:t>notions</w:t>
      </w:r>
      <w:proofErr w:type="spellEnd"/>
      <w:r w:rsidR="001550EC" w:rsidRPr="00705170">
        <w:rPr>
          <w:rFonts w:ascii="Times New Roman" w:hAnsi="Times New Roman" w:cs="Times New Roman"/>
        </w:rPr>
        <w:t xml:space="preserve"> of </w:t>
      </w:r>
      <w:proofErr w:type="spellStart"/>
      <w:r w:rsidR="001550EC" w:rsidRPr="00705170">
        <w:rPr>
          <w:rFonts w:ascii="Times New Roman" w:hAnsi="Times New Roman" w:cs="Times New Roman"/>
        </w:rPr>
        <w:t>good</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faith</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that</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underlie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Turkish</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corporate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law</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through</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Turkish</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Civil</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Code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Although</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analogy</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to</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rules</w:t>
      </w:r>
      <w:proofErr w:type="spellEnd"/>
      <w:r w:rsidR="001550EC" w:rsidRPr="00705170">
        <w:rPr>
          <w:rFonts w:ascii="Times New Roman" w:hAnsi="Times New Roman" w:cs="Times New Roman"/>
        </w:rPr>
        <w:t xml:space="preserve"> of </w:t>
      </w:r>
      <w:proofErr w:type="spellStart"/>
      <w:r w:rsidR="001550EC" w:rsidRPr="00705170">
        <w:rPr>
          <w:rFonts w:ascii="Times New Roman" w:hAnsi="Times New Roman" w:cs="Times New Roman"/>
        </w:rPr>
        <w:t>good</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faith</w:t>
      </w:r>
      <w:proofErr w:type="spellEnd"/>
      <w:r w:rsidR="001550EC" w:rsidRPr="00705170">
        <w:rPr>
          <w:rFonts w:ascii="Times New Roman" w:hAnsi="Times New Roman" w:cs="Times New Roman"/>
        </w:rPr>
        <w:t xml:space="preserve"> is </w:t>
      </w:r>
      <w:proofErr w:type="spellStart"/>
      <w:r w:rsidR="001550EC" w:rsidRPr="00705170">
        <w:rPr>
          <w:rFonts w:ascii="Times New Roman" w:hAnsi="Times New Roman" w:cs="Times New Roman"/>
        </w:rPr>
        <w:t>generally</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accepted</w:t>
      </w:r>
      <w:proofErr w:type="spellEnd"/>
      <w:r w:rsidR="001550EC" w:rsidRPr="00705170">
        <w:rPr>
          <w:rStyle w:val="DipnotBavurusu"/>
          <w:rFonts w:ascii="Times New Roman" w:hAnsi="Times New Roman" w:cs="Times New Roman"/>
        </w:rPr>
        <w:footnoteReference w:id="912"/>
      </w:r>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analogy</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to</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other</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company’s</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involuntary</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dissolution</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statutes</w:t>
      </w:r>
      <w:proofErr w:type="spellEnd"/>
      <w:r w:rsidR="001550EC" w:rsidRPr="00705170">
        <w:rPr>
          <w:rFonts w:ascii="Times New Roman" w:hAnsi="Times New Roman" w:cs="Times New Roman"/>
        </w:rPr>
        <w:t xml:space="preserve"> is </w:t>
      </w:r>
      <w:proofErr w:type="spellStart"/>
      <w:r w:rsidR="001550EC" w:rsidRPr="00705170">
        <w:rPr>
          <w:rFonts w:ascii="Times New Roman" w:hAnsi="Times New Roman" w:cs="Times New Roman"/>
        </w:rPr>
        <w:t>generally</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rejected</w:t>
      </w:r>
      <w:proofErr w:type="spellEnd"/>
      <w:r w:rsidR="001550EC" w:rsidRPr="00705170">
        <w:rPr>
          <w:rFonts w:ascii="Times New Roman" w:hAnsi="Times New Roman" w:cs="Times New Roman"/>
        </w:rPr>
        <w:t xml:space="preserve"> </w:t>
      </w:r>
      <w:proofErr w:type="spellStart"/>
      <w:r w:rsidRPr="00705170">
        <w:rPr>
          <w:rFonts w:ascii="Times New Roman" w:hAnsi="Times New Roman" w:cs="Times New Roman"/>
        </w:rPr>
        <w:t>due</w:t>
      </w:r>
      <w:proofErr w:type="spellEnd"/>
      <w:r w:rsidRPr="00705170">
        <w:rPr>
          <w:rFonts w:ascii="Times New Roman" w:hAnsi="Times New Roman" w:cs="Times New Roman"/>
        </w:rPr>
        <w:t xml:space="preserve"> </w:t>
      </w:r>
      <w:proofErr w:type="spellStart"/>
      <w:r w:rsidR="001550EC" w:rsidRPr="00705170">
        <w:rPr>
          <w:rFonts w:ascii="Times New Roman" w:hAnsi="Times New Roman" w:cs="Times New Roman"/>
        </w:rPr>
        <w:t>to</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characteristic</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differences</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between</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corporation</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and</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other</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types</w:t>
      </w:r>
      <w:proofErr w:type="spellEnd"/>
      <w:r w:rsidR="001550EC" w:rsidRPr="00705170">
        <w:rPr>
          <w:rFonts w:ascii="Times New Roman" w:hAnsi="Times New Roman" w:cs="Times New Roman"/>
        </w:rPr>
        <w:t xml:space="preserve"> of </w:t>
      </w:r>
      <w:proofErr w:type="spellStart"/>
      <w:r w:rsidR="001550EC" w:rsidRPr="00705170">
        <w:rPr>
          <w:rFonts w:ascii="Times New Roman" w:hAnsi="Times New Roman" w:cs="Times New Roman"/>
        </w:rPr>
        <w:t>business</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entities</w:t>
      </w:r>
      <w:proofErr w:type="spellEnd"/>
      <w:r w:rsidR="001550EC" w:rsidRPr="00705170">
        <w:rPr>
          <w:rStyle w:val="DipnotBavurusu"/>
          <w:rFonts w:ascii="Times New Roman" w:hAnsi="Times New Roman" w:cs="Times New Roman"/>
        </w:rPr>
        <w:footnoteReference w:id="913"/>
      </w:r>
      <w:r w:rsidR="001550EC" w:rsidRPr="00705170">
        <w:rPr>
          <w:rFonts w:ascii="Times New Roman" w:hAnsi="Times New Roman" w:cs="Times New Roman"/>
        </w:rPr>
        <w:t xml:space="preserve">. </w:t>
      </w:r>
      <w:proofErr w:type="spellStart"/>
      <w:r w:rsidR="00351E1B">
        <w:rPr>
          <w:rFonts w:ascii="Times New Roman" w:hAnsi="Times New Roman" w:cs="Times New Roman"/>
        </w:rPr>
        <w:t>This</w:t>
      </w:r>
      <w:proofErr w:type="spellEnd"/>
      <w:r w:rsidR="00351E1B">
        <w:rPr>
          <w:rFonts w:ascii="Times New Roman" w:hAnsi="Times New Roman" w:cs="Times New Roman"/>
        </w:rPr>
        <w:t xml:space="preserve"> is </w:t>
      </w:r>
      <w:proofErr w:type="spellStart"/>
      <w:r w:rsidR="00351E1B">
        <w:rPr>
          <w:rFonts w:ascii="Times New Roman" w:hAnsi="Times New Roman" w:cs="Times New Roman"/>
        </w:rPr>
        <w:t>especially</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grounded</w:t>
      </w:r>
      <w:proofErr w:type="spellEnd"/>
      <w:r w:rsidR="00351E1B">
        <w:rPr>
          <w:rFonts w:ascii="Times New Roman" w:hAnsi="Times New Roman" w:cs="Times New Roman"/>
        </w:rPr>
        <w:t xml:space="preserve"> on </w:t>
      </w:r>
      <w:proofErr w:type="spellStart"/>
      <w:r w:rsidR="00351E1B">
        <w:rPr>
          <w:rFonts w:ascii="Times New Roman" w:hAnsi="Times New Roman" w:cs="Times New Roman"/>
        </w:rPr>
        <w:t>the</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notion</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that</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corporations</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are</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capital</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companies</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and</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its</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shareholders</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personalities</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are</w:t>
      </w:r>
      <w:proofErr w:type="spellEnd"/>
      <w:r w:rsidR="00351E1B">
        <w:rPr>
          <w:rFonts w:ascii="Times New Roman" w:hAnsi="Times New Roman" w:cs="Times New Roman"/>
        </w:rPr>
        <w:t xml:space="preserve"> not </w:t>
      </w:r>
      <w:proofErr w:type="spellStart"/>
      <w:r w:rsidR="00351E1B">
        <w:rPr>
          <w:rFonts w:ascii="Times New Roman" w:hAnsi="Times New Roman" w:cs="Times New Roman"/>
        </w:rPr>
        <w:t>important</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according</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to</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its</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corporate</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typology</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however</w:t>
      </w:r>
      <w:proofErr w:type="spellEnd"/>
      <w:r w:rsidR="00351E1B">
        <w:rPr>
          <w:rFonts w:ascii="Times New Roman" w:hAnsi="Times New Roman" w:cs="Times New Roman"/>
        </w:rPr>
        <w:t xml:space="preserve">, </w:t>
      </w:r>
      <w:r w:rsidR="005D1FF3">
        <w:rPr>
          <w:rFonts w:ascii="Times New Roman" w:hAnsi="Times New Roman" w:cs="Times New Roman"/>
        </w:rPr>
        <w:t xml:space="preserve">it </w:t>
      </w:r>
      <w:proofErr w:type="spellStart"/>
      <w:r w:rsidR="005D1FF3">
        <w:rPr>
          <w:rFonts w:ascii="Times New Roman" w:hAnsi="Times New Roman" w:cs="Times New Roman"/>
        </w:rPr>
        <w:t>should</w:t>
      </w:r>
      <w:proofErr w:type="spellEnd"/>
      <w:r w:rsidR="005D1FF3">
        <w:rPr>
          <w:rFonts w:ascii="Times New Roman" w:hAnsi="Times New Roman" w:cs="Times New Roman"/>
        </w:rPr>
        <w:t xml:space="preserve"> be </w:t>
      </w:r>
      <w:proofErr w:type="spellStart"/>
      <w:r w:rsidR="005D1FF3">
        <w:rPr>
          <w:rFonts w:ascii="Times New Roman" w:hAnsi="Times New Roman" w:cs="Times New Roman"/>
        </w:rPr>
        <w:t>equally</w:t>
      </w:r>
      <w:proofErr w:type="spellEnd"/>
      <w:r w:rsidR="005D1FF3">
        <w:rPr>
          <w:rFonts w:ascii="Times New Roman" w:hAnsi="Times New Roman" w:cs="Times New Roman"/>
        </w:rPr>
        <w:t xml:space="preserve"> </w:t>
      </w:r>
      <w:proofErr w:type="spellStart"/>
      <w:r w:rsidR="005D1FF3">
        <w:rPr>
          <w:rFonts w:ascii="Times New Roman" w:hAnsi="Times New Roman" w:cs="Times New Roman"/>
        </w:rPr>
        <w:t>acknowledged</w:t>
      </w:r>
      <w:proofErr w:type="spellEnd"/>
      <w:r w:rsidR="005D1FF3">
        <w:rPr>
          <w:rFonts w:ascii="Times New Roman" w:hAnsi="Times New Roman" w:cs="Times New Roman"/>
        </w:rPr>
        <w:t xml:space="preserve"> </w:t>
      </w:r>
      <w:proofErr w:type="spellStart"/>
      <w:r w:rsidR="005D1FF3">
        <w:rPr>
          <w:rFonts w:ascii="Times New Roman" w:hAnsi="Times New Roman" w:cs="Times New Roman"/>
        </w:rPr>
        <w:t>that</w:t>
      </w:r>
      <w:proofErr w:type="spellEnd"/>
      <w:r w:rsidR="005D1FF3">
        <w:rPr>
          <w:rFonts w:ascii="Times New Roman" w:hAnsi="Times New Roman" w:cs="Times New Roman"/>
        </w:rPr>
        <w:t xml:space="preserve"> </w:t>
      </w:r>
      <w:proofErr w:type="spellStart"/>
      <w:r w:rsidR="00351E1B">
        <w:rPr>
          <w:rFonts w:ascii="Times New Roman" w:hAnsi="Times New Roman" w:cs="Times New Roman"/>
        </w:rPr>
        <w:t>this</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notion</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does</w:t>
      </w:r>
      <w:proofErr w:type="spellEnd"/>
      <w:r w:rsidR="00351E1B">
        <w:rPr>
          <w:rFonts w:ascii="Times New Roman" w:hAnsi="Times New Roman" w:cs="Times New Roman"/>
        </w:rPr>
        <w:t xml:space="preserve"> not </w:t>
      </w:r>
      <w:proofErr w:type="spellStart"/>
      <w:r w:rsidR="00351E1B">
        <w:rPr>
          <w:rFonts w:ascii="Times New Roman" w:hAnsi="Times New Roman" w:cs="Times New Roman"/>
        </w:rPr>
        <w:t>preclude</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the</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possibility</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that</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the</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corporation</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may</w:t>
      </w:r>
      <w:proofErr w:type="spellEnd"/>
      <w:r w:rsidR="00351E1B">
        <w:rPr>
          <w:rFonts w:ascii="Times New Roman" w:hAnsi="Times New Roman" w:cs="Times New Roman"/>
        </w:rPr>
        <w:t xml:space="preserve"> be </w:t>
      </w:r>
      <w:proofErr w:type="spellStart"/>
      <w:r w:rsidR="00351E1B">
        <w:rPr>
          <w:rFonts w:ascii="Times New Roman" w:hAnsi="Times New Roman" w:cs="Times New Roman"/>
        </w:rPr>
        <w:t>built</w:t>
      </w:r>
      <w:proofErr w:type="spellEnd"/>
      <w:r w:rsidR="00351E1B">
        <w:rPr>
          <w:rFonts w:ascii="Times New Roman" w:hAnsi="Times New Roman" w:cs="Times New Roman"/>
        </w:rPr>
        <w:t xml:space="preserve"> on </w:t>
      </w:r>
      <w:proofErr w:type="spellStart"/>
      <w:r w:rsidR="00351E1B">
        <w:rPr>
          <w:rFonts w:ascii="Times New Roman" w:hAnsi="Times New Roman" w:cs="Times New Roman"/>
        </w:rPr>
        <w:t>the</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personalities</w:t>
      </w:r>
      <w:proofErr w:type="spellEnd"/>
      <w:r w:rsidR="00351E1B">
        <w:rPr>
          <w:rFonts w:ascii="Times New Roman" w:hAnsi="Times New Roman" w:cs="Times New Roman"/>
        </w:rPr>
        <w:t xml:space="preserve"> of </w:t>
      </w:r>
      <w:proofErr w:type="spellStart"/>
      <w:r w:rsidR="00351E1B">
        <w:rPr>
          <w:rFonts w:ascii="Times New Roman" w:hAnsi="Times New Roman" w:cs="Times New Roman"/>
        </w:rPr>
        <w:t>its</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shareholders</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by</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the</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virtue</w:t>
      </w:r>
      <w:proofErr w:type="spellEnd"/>
      <w:r w:rsidR="00351E1B">
        <w:rPr>
          <w:rFonts w:ascii="Times New Roman" w:hAnsi="Times New Roman" w:cs="Times New Roman"/>
        </w:rPr>
        <w:t xml:space="preserve"> of </w:t>
      </w:r>
      <w:proofErr w:type="spellStart"/>
      <w:r w:rsidR="00351E1B">
        <w:rPr>
          <w:rFonts w:ascii="Times New Roman" w:hAnsi="Times New Roman" w:cs="Times New Roman"/>
        </w:rPr>
        <w:t>the</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corporate</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features</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including</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prviliged</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shares</w:t>
      </w:r>
      <w:proofErr w:type="spellEnd"/>
      <w:r w:rsidR="00351E1B">
        <w:rPr>
          <w:rStyle w:val="DipnotBavurusu"/>
          <w:rFonts w:ascii="Times New Roman" w:hAnsi="Times New Roman" w:cs="Times New Roman"/>
        </w:rPr>
        <w:footnoteReference w:id="914"/>
      </w:r>
      <w:r w:rsidR="00351E1B">
        <w:rPr>
          <w:rFonts w:ascii="Times New Roman" w:hAnsi="Times New Roman" w:cs="Times New Roman"/>
        </w:rPr>
        <w:t xml:space="preserve">, </w:t>
      </w:r>
      <w:proofErr w:type="spellStart"/>
      <w:r w:rsidR="0075362C">
        <w:rPr>
          <w:rFonts w:ascii="Times New Roman" w:hAnsi="Times New Roman" w:cs="Times New Roman"/>
        </w:rPr>
        <w:t>which</w:t>
      </w:r>
      <w:proofErr w:type="spellEnd"/>
      <w:r w:rsidR="0075362C">
        <w:rPr>
          <w:rFonts w:ascii="Times New Roman" w:hAnsi="Times New Roman" w:cs="Times New Roman"/>
        </w:rPr>
        <w:t xml:space="preserve"> </w:t>
      </w:r>
      <w:proofErr w:type="spellStart"/>
      <w:r w:rsidR="0075362C">
        <w:rPr>
          <w:rFonts w:ascii="Times New Roman" w:hAnsi="Times New Roman" w:cs="Times New Roman"/>
        </w:rPr>
        <w:t>are</w:t>
      </w:r>
      <w:proofErr w:type="spellEnd"/>
      <w:r w:rsidR="0075362C">
        <w:rPr>
          <w:rFonts w:ascii="Times New Roman" w:hAnsi="Times New Roman" w:cs="Times New Roman"/>
        </w:rPr>
        <w:t xml:space="preserve"> </w:t>
      </w:r>
      <w:proofErr w:type="spellStart"/>
      <w:r w:rsidR="0075362C">
        <w:rPr>
          <w:rFonts w:ascii="Times New Roman" w:hAnsi="Times New Roman" w:cs="Times New Roman"/>
        </w:rPr>
        <w:t>also</w:t>
      </w:r>
      <w:proofErr w:type="spellEnd"/>
      <w:r w:rsidR="0075362C">
        <w:rPr>
          <w:rFonts w:ascii="Times New Roman" w:hAnsi="Times New Roman" w:cs="Times New Roman"/>
        </w:rPr>
        <w:t xml:space="preserve"> a </w:t>
      </w:r>
      <w:proofErr w:type="spellStart"/>
      <w:r w:rsidR="0075362C">
        <w:rPr>
          <w:rFonts w:ascii="Times New Roman" w:hAnsi="Times New Roman" w:cs="Times New Roman"/>
        </w:rPr>
        <w:t>method</w:t>
      </w:r>
      <w:proofErr w:type="spellEnd"/>
      <w:r w:rsidR="0075362C">
        <w:rPr>
          <w:rFonts w:ascii="Times New Roman" w:hAnsi="Times New Roman" w:cs="Times New Roman"/>
        </w:rPr>
        <w:t xml:space="preserve"> </w:t>
      </w:r>
      <w:proofErr w:type="spellStart"/>
      <w:r w:rsidR="0075362C">
        <w:rPr>
          <w:rFonts w:ascii="Times New Roman" w:hAnsi="Times New Roman" w:cs="Times New Roman"/>
        </w:rPr>
        <w:t>to</w:t>
      </w:r>
      <w:proofErr w:type="spellEnd"/>
      <w:r w:rsidR="0075362C">
        <w:rPr>
          <w:rFonts w:ascii="Times New Roman" w:hAnsi="Times New Roman" w:cs="Times New Roman"/>
        </w:rPr>
        <w:t xml:space="preserve"> </w:t>
      </w:r>
      <w:proofErr w:type="spellStart"/>
      <w:r w:rsidR="0075362C">
        <w:rPr>
          <w:rFonts w:ascii="Times New Roman" w:hAnsi="Times New Roman" w:cs="Times New Roman"/>
        </w:rPr>
        <w:t>guarantee</w:t>
      </w:r>
      <w:proofErr w:type="spellEnd"/>
      <w:r w:rsidR="0075362C">
        <w:rPr>
          <w:rFonts w:ascii="Times New Roman" w:hAnsi="Times New Roman" w:cs="Times New Roman"/>
        </w:rPr>
        <w:t xml:space="preserve"> </w:t>
      </w:r>
      <w:proofErr w:type="spellStart"/>
      <w:r w:rsidR="0075362C">
        <w:rPr>
          <w:rFonts w:ascii="Times New Roman" w:hAnsi="Times New Roman" w:cs="Times New Roman"/>
        </w:rPr>
        <w:t>non</w:t>
      </w:r>
      <w:proofErr w:type="spellEnd"/>
      <w:r w:rsidR="0075362C">
        <w:rPr>
          <w:rFonts w:ascii="Times New Roman" w:hAnsi="Times New Roman" w:cs="Times New Roman"/>
        </w:rPr>
        <w:t xml:space="preserve">- </w:t>
      </w:r>
      <w:proofErr w:type="spellStart"/>
      <w:r w:rsidR="0075362C">
        <w:rPr>
          <w:rFonts w:ascii="Times New Roman" w:hAnsi="Times New Roman" w:cs="Times New Roman"/>
        </w:rPr>
        <w:t>pecuniary</w:t>
      </w:r>
      <w:proofErr w:type="spellEnd"/>
      <w:r w:rsidR="0075362C">
        <w:rPr>
          <w:rFonts w:ascii="Times New Roman" w:hAnsi="Times New Roman" w:cs="Times New Roman"/>
        </w:rPr>
        <w:t xml:space="preserve"> </w:t>
      </w:r>
      <w:proofErr w:type="spellStart"/>
      <w:r w:rsidR="0075362C">
        <w:rPr>
          <w:rFonts w:ascii="Times New Roman" w:hAnsi="Times New Roman" w:cs="Times New Roman"/>
        </w:rPr>
        <w:t>private</w:t>
      </w:r>
      <w:proofErr w:type="spellEnd"/>
      <w:r w:rsidR="0075362C">
        <w:rPr>
          <w:rFonts w:ascii="Times New Roman" w:hAnsi="Times New Roman" w:cs="Times New Roman"/>
        </w:rPr>
        <w:t xml:space="preserve"> </w:t>
      </w:r>
      <w:proofErr w:type="spellStart"/>
      <w:r w:rsidR="0075362C">
        <w:rPr>
          <w:rFonts w:ascii="Times New Roman" w:hAnsi="Times New Roman" w:cs="Times New Roman"/>
        </w:rPr>
        <w:t>benefit</w:t>
      </w:r>
      <w:proofErr w:type="spellEnd"/>
      <w:r w:rsidR="0075362C">
        <w:rPr>
          <w:rFonts w:ascii="Times New Roman" w:hAnsi="Times New Roman" w:cs="Times New Roman"/>
        </w:rPr>
        <w:t xml:space="preserve"> </w:t>
      </w:r>
      <w:proofErr w:type="spellStart"/>
      <w:r w:rsidR="0075362C">
        <w:rPr>
          <w:rFonts w:ascii="Times New Roman" w:hAnsi="Times New Roman" w:cs="Times New Roman"/>
        </w:rPr>
        <w:t>extractions</w:t>
      </w:r>
      <w:proofErr w:type="spellEnd"/>
      <w:r w:rsidR="0075362C">
        <w:rPr>
          <w:rStyle w:val="DipnotBavurusu"/>
          <w:rFonts w:ascii="Times New Roman" w:hAnsi="Times New Roman" w:cs="Times New Roman"/>
        </w:rPr>
        <w:footnoteReference w:id="915"/>
      </w:r>
      <w:r w:rsidR="0075362C">
        <w:rPr>
          <w:rFonts w:ascii="Times New Roman" w:hAnsi="Times New Roman" w:cs="Times New Roman"/>
        </w:rPr>
        <w:t xml:space="preserve">, </w:t>
      </w:r>
      <w:r w:rsidR="00351E1B">
        <w:rPr>
          <w:rFonts w:ascii="Times New Roman" w:hAnsi="Times New Roman" w:cs="Times New Roman"/>
        </w:rPr>
        <w:t xml:space="preserve">as </w:t>
      </w:r>
      <w:proofErr w:type="spellStart"/>
      <w:r w:rsidR="00351E1B">
        <w:rPr>
          <w:rFonts w:ascii="Times New Roman" w:hAnsi="Times New Roman" w:cs="Times New Roman"/>
        </w:rPr>
        <w:t>often</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seen</w:t>
      </w:r>
      <w:proofErr w:type="spellEnd"/>
      <w:r w:rsidR="00351E1B">
        <w:rPr>
          <w:rFonts w:ascii="Times New Roman" w:hAnsi="Times New Roman" w:cs="Times New Roman"/>
        </w:rPr>
        <w:t xml:space="preserve"> in </w:t>
      </w:r>
      <w:proofErr w:type="spellStart"/>
      <w:r w:rsidR="00351E1B">
        <w:rPr>
          <w:rFonts w:ascii="Times New Roman" w:hAnsi="Times New Roman" w:cs="Times New Roman"/>
        </w:rPr>
        <w:t>publicy</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traded</w:t>
      </w:r>
      <w:proofErr w:type="spellEnd"/>
      <w:r w:rsidR="00351E1B">
        <w:rPr>
          <w:rFonts w:ascii="Times New Roman" w:hAnsi="Times New Roman" w:cs="Times New Roman"/>
        </w:rPr>
        <w:t xml:space="preserve"> </w:t>
      </w:r>
      <w:proofErr w:type="spellStart"/>
      <w:r w:rsidR="00351E1B">
        <w:rPr>
          <w:rFonts w:ascii="Times New Roman" w:hAnsi="Times New Roman" w:cs="Times New Roman"/>
        </w:rPr>
        <w:t>corporations</w:t>
      </w:r>
      <w:proofErr w:type="spellEnd"/>
      <w:r w:rsidR="00351E1B">
        <w:rPr>
          <w:rFonts w:ascii="Times New Roman" w:hAnsi="Times New Roman" w:cs="Times New Roman"/>
        </w:rPr>
        <w:t>.</w:t>
      </w:r>
      <w:r w:rsidR="00A27497">
        <w:rPr>
          <w:rFonts w:ascii="Times New Roman" w:hAnsi="Times New Roman" w:cs="Times New Roman"/>
        </w:rPr>
        <w:t xml:space="preserve"> </w:t>
      </w:r>
    </w:p>
    <w:p w14:paraId="5518715C" w14:textId="20EF5D5C" w:rsidR="001550EC" w:rsidRPr="00705170" w:rsidRDefault="005D1FF3" w:rsidP="001550EC">
      <w:pPr>
        <w:spacing w:after="240" w:line="480" w:lineRule="auto"/>
        <w:ind w:firstLine="708"/>
        <w:jc w:val="both"/>
        <w:rPr>
          <w:rFonts w:ascii="Times New Roman" w:hAnsi="Times New Roman" w:cs="Times New Roman"/>
        </w:rPr>
      </w:pPr>
      <w:proofErr w:type="spellStart"/>
      <w:r>
        <w:rPr>
          <w:rFonts w:ascii="Times New Roman" w:hAnsi="Times New Roman" w:cs="Times New Roman"/>
        </w:rPr>
        <w:t>Accordingly</w:t>
      </w:r>
      <w:proofErr w:type="spellEnd"/>
      <w:r>
        <w:rPr>
          <w:rFonts w:ascii="Times New Roman" w:hAnsi="Times New Roman" w:cs="Times New Roman"/>
        </w:rPr>
        <w:t xml:space="preserve">, </w:t>
      </w:r>
      <w:proofErr w:type="spellStart"/>
      <w:r>
        <w:rPr>
          <w:rFonts w:ascii="Times New Roman" w:hAnsi="Times New Roman" w:cs="Times New Roman"/>
        </w:rPr>
        <w:t>w</w:t>
      </w:r>
      <w:r w:rsidR="001550EC" w:rsidRPr="00705170">
        <w:rPr>
          <w:rFonts w:ascii="Times New Roman" w:hAnsi="Times New Roman" w:cs="Times New Roman"/>
        </w:rPr>
        <w:t>hile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some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commentators</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opine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that</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occurance</w:t>
      </w:r>
      <w:proofErr w:type="spellEnd"/>
      <w:r w:rsidR="001550EC" w:rsidRPr="00705170">
        <w:rPr>
          <w:rFonts w:ascii="Times New Roman" w:hAnsi="Times New Roman" w:cs="Times New Roman"/>
        </w:rPr>
        <w:t xml:space="preserve"> of </w:t>
      </w:r>
      <w:proofErr w:type="spellStart"/>
      <w:r w:rsidR="001550EC" w:rsidRPr="00705170">
        <w:rPr>
          <w:rFonts w:ascii="Times New Roman" w:hAnsi="Times New Roman" w:cs="Times New Roman"/>
        </w:rPr>
        <w:t>the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just</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cause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should</w:t>
      </w:r>
      <w:proofErr w:type="spellEnd"/>
      <w:r w:rsidR="001550EC" w:rsidRPr="00705170">
        <w:rPr>
          <w:rFonts w:ascii="Times New Roman" w:hAnsi="Times New Roman" w:cs="Times New Roman"/>
        </w:rPr>
        <w:t xml:space="preserve"> be an </w:t>
      </w:r>
      <w:proofErr w:type="spellStart"/>
      <w:r w:rsidR="001550EC" w:rsidRPr="00705170">
        <w:rPr>
          <w:rFonts w:ascii="Times New Roman" w:hAnsi="Times New Roman" w:cs="Times New Roman"/>
        </w:rPr>
        <w:t>objective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fact</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rather</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than</w:t>
      </w:r>
      <w:proofErr w:type="spellEnd"/>
      <w:r w:rsidR="001550EC" w:rsidRPr="00705170">
        <w:rPr>
          <w:rFonts w:ascii="Times New Roman" w:hAnsi="Times New Roman" w:cs="Times New Roman"/>
        </w:rPr>
        <w:t xml:space="preserve"> a </w:t>
      </w:r>
      <w:proofErr w:type="spellStart"/>
      <w:r w:rsidR="001550EC" w:rsidRPr="00705170">
        <w:rPr>
          <w:rFonts w:ascii="Times New Roman" w:hAnsi="Times New Roman" w:cs="Times New Roman"/>
        </w:rPr>
        <w:t>subjective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fact</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arising</w:t>
      </w:r>
      <w:proofErr w:type="spellEnd"/>
      <w:r w:rsidR="001550EC" w:rsidRPr="00705170">
        <w:rPr>
          <w:rFonts w:ascii="Times New Roman" w:hAnsi="Times New Roman" w:cs="Times New Roman"/>
        </w:rPr>
        <w:t xml:space="preserve"> in </w:t>
      </w:r>
      <w:proofErr w:type="spellStart"/>
      <w:r w:rsidR="001550EC" w:rsidRPr="00705170">
        <w:rPr>
          <w:rFonts w:ascii="Times New Roman" w:hAnsi="Times New Roman" w:cs="Times New Roman"/>
        </w:rPr>
        <w:t>connection</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with</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personality</w:t>
      </w:r>
      <w:proofErr w:type="spellEnd"/>
      <w:r w:rsidR="001550EC" w:rsidRPr="00705170">
        <w:rPr>
          <w:rFonts w:ascii="Times New Roman" w:hAnsi="Times New Roman" w:cs="Times New Roman"/>
        </w:rPr>
        <w:t xml:space="preserve"> of a </w:t>
      </w:r>
      <w:proofErr w:type="spellStart"/>
      <w:r w:rsidR="001550EC" w:rsidRPr="00705170">
        <w:rPr>
          <w:rFonts w:ascii="Times New Roman" w:hAnsi="Times New Roman" w:cs="Times New Roman"/>
        </w:rPr>
        <w:t>particular</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shareholder</w:t>
      </w:r>
      <w:proofErr w:type="spellEnd"/>
      <w:r w:rsidR="001550EC" w:rsidRPr="00705170">
        <w:rPr>
          <w:rStyle w:val="DipnotBavurusu"/>
          <w:rFonts w:ascii="Times New Roman" w:hAnsi="Times New Roman" w:cs="Times New Roman"/>
        </w:rPr>
        <w:footnoteReference w:id="916"/>
      </w:r>
      <w:r w:rsidR="001550EC" w:rsidRPr="00705170">
        <w:rPr>
          <w:rFonts w:ascii="Times New Roman" w:hAnsi="Times New Roman" w:cs="Times New Roman"/>
        </w:rPr>
        <w:t xml:space="preserve">, </w:t>
      </w:r>
      <w:proofErr w:type="spellStart"/>
      <w:r w:rsidR="001F6A87" w:rsidRPr="00705170">
        <w:rPr>
          <w:rFonts w:ascii="Times New Roman" w:hAnsi="Times New Roman" w:cs="Times New Roman"/>
        </w:rPr>
        <w:t>some</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other</w:t>
      </w:r>
      <w:proofErr w:type="spellEnd"/>
      <w:r w:rsidR="001F6A87" w:rsidRPr="00705170">
        <w:rPr>
          <w:rFonts w:ascii="Times New Roman" w:hAnsi="Times New Roman" w:cs="Times New Roman"/>
        </w:rPr>
        <w:t xml:space="preserve"> </w:t>
      </w:r>
      <w:proofErr w:type="spellStart"/>
      <w:r w:rsidR="001F6A87" w:rsidRPr="00705170">
        <w:rPr>
          <w:rFonts w:ascii="Times New Roman" w:hAnsi="Times New Roman" w:cs="Times New Roman"/>
        </w:rPr>
        <w:t>commentators</w:t>
      </w:r>
      <w:proofErr w:type="spellEnd"/>
      <w:r w:rsidR="001550EC" w:rsidRPr="00705170">
        <w:rPr>
          <w:rFonts w:ascii="Times New Roman" w:hAnsi="Times New Roman" w:cs="Times New Roman"/>
        </w:rPr>
        <w:t xml:space="preserve"> </w:t>
      </w:r>
      <w:proofErr w:type="spellStart"/>
      <w:r w:rsidR="001F6A87" w:rsidRPr="00705170">
        <w:rPr>
          <w:rFonts w:ascii="Times New Roman" w:hAnsi="Times New Roman" w:cs="Times New Roman"/>
        </w:rPr>
        <w:t>express</w:t>
      </w:r>
      <w:proofErr w:type="spellEnd"/>
      <w:r w:rsidR="001F6A87" w:rsidRPr="00705170">
        <w:rPr>
          <w:rFonts w:ascii="Times New Roman" w:hAnsi="Times New Roman" w:cs="Times New Roman"/>
        </w:rPr>
        <w:t xml:space="preserve"> </w:t>
      </w:r>
      <w:proofErr w:type="spellStart"/>
      <w:r w:rsidR="001550EC" w:rsidRPr="00705170">
        <w:rPr>
          <w:rFonts w:ascii="Times New Roman" w:hAnsi="Times New Roman" w:cs="Times New Roman"/>
        </w:rPr>
        <w:t>and</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case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law</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shows</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that</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subjective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facts</w:t>
      </w:r>
      <w:proofErr w:type="spellEnd"/>
      <w:r w:rsidR="001550EC" w:rsidRPr="00705170">
        <w:rPr>
          <w:rFonts w:ascii="Times New Roman" w:hAnsi="Times New Roman" w:cs="Times New Roman"/>
        </w:rPr>
        <w:t xml:space="preserve"> can be </w:t>
      </w:r>
      <w:proofErr w:type="spellStart"/>
      <w:r w:rsidR="001550EC" w:rsidRPr="00705170">
        <w:rPr>
          <w:rFonts w:ascii="Times New Roman" w:hAnsi="Times New Roman" w:cs="Times New Roman"/>
        </w:rPr>
        <w:t>taken</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into</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consideration</w:t>
      </w:r>
      <w:proofErr w:type="spellEnd"/>
      <w:r w:rsidR="001550EC" w:rsidRPr="00705170">
        <w:rPr>
          <w:rFonts w:ascii="Times New Roman" w:hAnsi="Times New Roman" w:cs="Times New Roman"/>
        </w:rPr>
        <w:t xml:space="preserve"> in </w:t>
      </w:r>
      <w:proofErr w:type="spellStart"/>
      <w:r w:rsidR="001550EC" w:rsidRPr="00705170">
        <w:rPr>
          <w:rFonts w:ascii="Times New Roman" w:hAnsi="Times New Roman" w:cs="Times New Roman"/>
        </w:rPr>
        <w:t>the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context</w:t>
      </w:r>
      <w:proofErr w:type="spellEnd"/>
      <w:r w:rsidR="001550EC" w:rsidRPr="00705170">
        <w:rPr>
          <w:rFonts w:ascii="Times New Roman" w:hAnsi="Times New Roman" w:cs="Times New Roman"/>
        </w:rPr>
        <w:t xml:space="preserve"> of </w:t>
      </w:r>
      <w:proofErr w:type="spellStart"/>
      <w:r w:rsidR="001550EC" w:rsidRPr="00705170">
        <w:rPr>
          <w:rFonts w:ascii="Times New Roman" w:hAnsi="Times New Roman" w:cs="Times New Roman"/>
        </w:rPr>
        <w:t>close</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corporation</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owned</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t>by</w:t>
      </w:r>
      <w:proofErr w:type="spellEnd"/>
      <w:r w:rsidR="001550EC" w:rsidRPr="00705170">
        <w:rPr>
          <w:rFonts w:ascii="Times New Roman" w:hAnsi="Times New Roman" w:cs="Times New Roman"/>
        </w:rPr>
        <w:t xml:space="preserve"> a </w:t>
      </w:r>
      <w:proofErr w:type="spellStart"/>
      <w:r w:rsidR="001550EC" w:rsidRPr="00705170">
        <w:rPr>
          <w:rFonts w:ascii="Times New Roman" w:hAnsi="Times New Roman" w:cs="Times New Roman"/>
        </w:rPr>
        <w:t>particular</w:t>
      </w:r>
      <w:proofErr w:type="spellEnd"/>
      <w:r w:rsidR="001550EC" w:rsidRPr="00705170">
        <w:rPr>
          <w:rFonts w:ascii="Times New Roman" w:hAnsi="Times New Roman" w:cs="Times New Roman"/>
        </w:rPr>
        <w:t xml:space="preserve"> </w:t>
      </w:r>
      <w:proofErr w:type="spellStart"/>
      <w:r w:rsidR="001550EC" w:rsidRPr="00705170">
        <w:rPr>
          <w:rFonts w:ascii="Times New Roman" w:hAnsi="Times New Roman" w:cs="Times New Roman"/>
        </w:rPr>
        <w:lastRenderedPageBreak/>
        <w:t>family</w:t>
      </w:r>
      <w:proofErr w:type="spellEnd"/>
      <w:r w:rsidR="001550EC" w:rsidRPr="00705170">
        <w:rPr>
          <w:rStyle w:val="DipnotBavurusu"/>
          <w:rFonts w:ascii="Times New Roman" w:hAnsi="Times New Roman" w:cs="Times New Roman"/>
        </w:rPr>
        <w:footnoteReference w:id="917"/>
      </w:r>
      <w:r w:rsidR="001550EC" w:rsidRPr="00705170">
        <w:rPr>
          <w:rFonts w:ascii="Times New Roman" w:hAnsi="Times New Roman" w:cs="Times New Roman"/>
        </w:rPr>
        <w:t>.</w:t>
      </w:r>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It</w:t>
      </w:r>
      <w:proofErr w:type="spellEnd"/>
      <w:r w:rsidR="00736BFF" w:rsidRPr="00705170">
        <w:rPr>
          <w:rFonts w:ascii="Times New Roman" w:hAnsi="Times New Roman" w:cs="Times New Roman"/>
        </w:rPr>
        <w:t xml:space="preserve"> is </w:t>
      </w:r>
      <w:proofErr w:type="spellStart"/>
      <w:r w:rsidR="00736BFF" w:rsidRPr="00705170">
        <w:rPr>
          <w:rFonts w:ascii="Times New Roman" w:hAnsi="Times New Roman" w:cs="Times New Roman"/>
        </w:rPr>
        <w:t>also</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stated</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that</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the</w:t>
      </w:r>
      <w:proofErr w:type="spellEnd"/>
      <w:r w:rsidR="00736BFF" w:rsidRPr="00705170">
        <w:rPr>
          <w:rFonts w:ascii="Times New Roman" w:hAnsi="Times New Roman" w:cs="Times New Roman"/>
        </w:rPr>
        <w:t xml:space="preserve"> </w:t>
      </w:r>
      <w:proofErr w:type="spellStart"/>
      <w:r w:rsidR="002939C4" w:rsidRPr="00705170">
        <w:rPr>
          <w:rFonts w:ascii="Times New Roman" w:hAnsi="Times New Roman" w:cs="Times New Roman"/>
        </w:rPr>
        <w:t>special</w:t>
      </w:r>
      <w:proofErr w:type="spellEnd"/>
      <w:r w:rsidR="002939C4" w:rsidRPr="00705170">
        <w:rPr>
          <w:rFonts w:ascii="Times New Roman" w:hAnsi="Times New Roman" w:cs="Times New Roman"/>
        </w:rPr>
        <w:t xml:space="preserve"> </w:t>
      </w:r>
      <w:proofErr w:type="spellStart"/>
      <w:r w:rsidR="002939C4" w:rsidRPr="00705170">
        <w:rPr>
          <w:rFonts w:ascii="Times New Roman" w:hAnsi="Times New Roman" w:cs="Times New Roman"/>
        </w:rPr>
        <w:t>rules</w:t>
      </w:r>
      <w:proofErr w:type="spellEnd"/>
      <w:r w:rsidR="002939C4" w:rsidRPr="00705170">
        <w:rPr>
          <w:rFonts w:ascii="Times New Roman" w:hAnsi="Times New Roman" w:cs="Times New Roman"/>
        </w:rPr>
        <w:t xml:space="preserve"> (</w:t>
      </w:r>
      <w:proofErr w:type="spellStart"/>
      <w:r w:rsidR="002939C4" w:rsidRPr="00705170">
        <w:rPr>
          <w:rFonts w:ascii="Times New Roman" w:hAnsi="Times New Roman" w:cs="Times New Roman"/>
        </w:rPr>
        <w:t>e.g</w:t>
      </w:r>
      <w:proofErr w:type="spellEnd"/>
      <w:r w:rsidR="002939C4" w:rsidRPr="00705170">
        <w:rPr>
          <w:rFonts w:ascii="Times New Roman" w:hAnsi="Times New Roman" w:cs="Times New Roman"/>
        </w:rPr>
        <w:t xml:space="preserve">., </w:t>
      </w:r>
      <w:proofErr w:type="spellStart"/>
      <w:r w:rsidR="002939C4" w:rsidRPr="00705170">
        <w:rPr>
          <w:rFonts w:ascii="Times New Roman" w:hAnsi="Times New Roman" w:cs="Times New Roman"/>
        </w:rPr>
        <w:t>rules</w:t>
      </w:r>
      <w:proofErr w:type="spellEnd"/>
      <w:r w:rsidR="002939C4" w:rsidRPr="00705170">
        <w:rPr>
          <w:rFonts w:ascii="Times New Roman" w:hAnsi="Times New Roman" w:cs="Times New Roman"/>
        </w:rPr>
        <w:t xml:space="preserve"> on </w:t>
      </w:r>
      <w:proofErr w:type="spellStart"/>
      <w:r w:rsidR="002939C4" w:rsidRPr="00705170">
        <w:rPr>
          <w:rFonts w:ascii="Times New Roman" w:hAnsi="Times New Roman" w:cs="Times New Roman"/>
        </w:rPr>
        <w:t>dividend</w:t>
      </w:r>
      <w:proofErr w:type="spellEnd"/>
      <w:r w:rsidR="002939C4" w:rsidRPr="00705170">
        <w:rPr>
          <w:rFonts w:ascii="Times New Roman" w:hAnsi="Times New Roman" w:cs="Times New Roman"/>
        </w:rPr>
        <w:t xml:space="preserve"> </w:t>
      </w:r>
      <w:proofErr w:type="spellStart"/>
      <w:r w:rsidR="002939C4" w:rsidRPr="00705170">
        <w:rPr>
          <w:rFonts w:ascii="Times New Roman" w:hAnsi="Times New Roman" w:cs="Times New Roman"/>
        </w:rPr>
        <w:t>distribution</w:t>
      </w:r>
      <w:proofErr w:type="spellEnd"/>
      <w:r w:rsidR="002939C4" w:rsidRPr="00705170">
        <w:rPr>
          <w:rFonts w:ascii="Times New Roman" w:hAnsi="Times New Roman" w:cs="Times New Roman"/>
        </w:rPr>
        <w:t xml:space="preserve">) </w:t>
      </w:r>
      <w:proofErr w:type="spellStart"/>
      <w:r w:rsidR="002939C4" w:rsidRPr="00705170">
        <w:rPr>
          <w:rFonts w:ascii="Times New Roman" w:hAnsi="Times New Roman" w:cs="Times New Roman"/>
        </w:rPr>
        <w:t>and</w:t>
      </w:r>
      <w:proofErr w:type="spellEnd"/>
      <w:r w:rsidR="002939C4" w:rsidRPr="00705170">
        <w:rPr>
          <w:rFonts w:ascii="Times New Roman" w:hAnsi="Times New Roman" w:cs="Times New Roman"/>
        </w:rPr>
        <w:t xml:space="preserve"> </w:t>
      </w:r>
      <w:proofErr w:type="spellStart"/>
      <w:r w:rsidR="00736BFF" w:rsidRPr="00705170">
        <w:rPr>
          <w:rFonts w:ascii="Times New Roman" w:hAnsi="Times New Roman" w:cs="Times New Roman"/>
        </w:rPr>
        <w:t>alternative</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avenues</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for</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relief</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through</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the</w:t>
      </w:r>
      <w:proofErr w:type="spellEnd"/>
      <w:r w:rsidR="00736BFF" w:rsidRPr="00705170">
        <w:rPr>
          <w:rFonts w:ascii="Times New Roman" w:hAnsi="Times New Roman" w:cs="Times New Roman"/>
        </w:rPr>
        <w:t xml:space="preserve"> CML</w:t>
      </w:r>
      <w:r w:rsidR="004C282B" w:rsidRPr="00705170">
        <w:rPr>
          <w:rFonts w:ascii="Times New Roman" w:hAnsi="Times New Roman" w:cs="Times New Roman"/>
        </w:rPr>
        <w:t xml:space="preserve"> (</w:t>
      </w:r>
      <w:proofErr w:type="spellStart"/>
      <w:r w:rsidR="004C282B" w:rsidRPr="00705170">
        <w:rPr>
          <w:rFonts w:ascii="Times New Roman" w:hAnsi="Times New Roman" w:cs="Times New Roman"/>
        </w:rPr>
        <w:t>e.g</w:t>
      </w:r>
      <w:proofErr w:type="spellEnd"/>
      <w:r w:rsidR="004C282B" w:rsidRPr="00705170">
        <w:rPr>
          <w:rFonts w:ascii="Times New Roman" w:hAnsi="Times New Roman" w:cs="Times New Roman"/>
        </w:rPr>
        <w:t xml:space="preserve">., </w:t>
      </w:r>
      <w:proofErr w:type="spellStart"/>
      <w:r w:rsidR="004C282B" w:rsidRPr="00705170">
        <w:rPr>
          <w:rFonts w:ascii="Times New Roman" w:hAnsi="Times New Roman" w:cs="Times New Roman"/>
        </w:rPr>
        <w:t>retirement</w:t>
      </w:r>
      <w:proofErr w:type="spellEnd"/>
      <w:r w:rsidR="004C282B" w:rsidRPr="00705170">
        <w:rPr>
          <w:rFonts w:ascii="Times New Roman" w:hAnsi="Times New Roman" w:cs="Times New Roman"/>
        </w:rPr>
        <w:t xml:space="preserve"> </w:t>
      </w:r>
      <w:proofErr w:type="spellStart"/>
      <w:r w:rsidR="004C282B" w:rsidRPr="00705170">
        <w:rPr>
          <w:rFonts w:ascii="Times New Roman" w:hAnsi="Times New Roman" w:cs="Times New Roman"/>
        </w:rPr>
        <w:t>right</w:t>
      </w:r>
      <w:proofErr w:type="spellEnd"/>
      <w:r w:rsidR="004C282B" w:rsidRPr="00705170">
        <w:rPr>
          <w:rFonts w:ascii="Times New Roman" w:hAnsi="Times New Roman" w:cs="Times New Roman"/>
        </w:rPr>
        <w:t>)</w:t>
      </w:r>
      <w:r w:rsidR="00736BFF" w:rsidRPr="00705170">
        <w:rPr>
          <w:rFonts w:ascii="Times New Roman" w:hAnsi="Times New Roman" w:cs="Times New Roman"/>
        </w:rPr>
        <w:t xml:space="preserve">, in </w:t>
      </w:r>
      <w:proofErr w:type="spellStart"/>
      <w:r w:rsidR="00736BFF" w:rsidRPr="00705170">
        <w:rPr>
          <w:rFonts w:ascii="Times New Roman" w:hAnsi="Times New Roman" w:cs="Times New Roman"/>
        </w:rPr>
        <w:t>addition</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to</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the</w:t>
      </w:r>
      <w:proofErr w:type="spellEnd"/>
      <w:r w:rsidR="00736BFF" w:rsidRPr="00705170">
        <w:rPr>
          <w:rFonts w:ascii="Times New Roman" w:hAnsi="Times New Roman" w:cs="Times New Roman"/>
        </w:rPr>
        <w:t xml:space="preserve"> TCC, </w:t>
      </w:r>
      <w:proofErr w:type="spellStart"/>
      <w:r w:rsidR="00736BFF" w:rsidRPr="00705170">
        <w:rPr>
          <w:rFonts w:ascii="Times New Roman" w:hAnsi="Times New Roman" w:cs="Times New Roman"/>
        </w:rPr>
        <w:t>limits</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the</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number</w:t>
      </w:r>
      <w:proofErr w:type="spellEnd"/>
      <w:r w:rsidR="00736BFF" w:rsidRPr="00705170">
        <w:rPr>
          <w:rFonts w:ascii="Times New Roman" w:hAnsi="Times New Roman" w:cs="Times New Roman"/>
        </w:rPr>
        <w:t xml:space="preserve"> of </w:t>
      </w:r>
      <w:proofErr w:type="spellStart"/>
      <w:r w:rsidR="00A17ED3">
        <w:rPr>
          <w:rFonts w:ascii="Times New Roman" w:hAnsi="Times New Roman" w:cs="Times New Roman"/>
        </w:rPr>
        <w:t>incidents</w:t>
      </w:r>
      <w:proofErr w:type="spellEnd"/>
      <w:r w:rsidR="00A17ED3" w:rsidRPr="00705170">
        <w:rPr>
          <w:rFonts w:ascii="Times New Roman" w:hAnsi="Times New Roman" w:cs="Times New Roman"/>
        </w:rPr>
        <w:t xml:space="preserve"> </w:t>
      </w:r>
      <w:proofErr w:type="spellStart"/>
      <w:r w:rsidR="00736BFF" w:rsidRPr="00705170">
        <w:rPr>
          <w:rFonts w:ascii="Times New Roman" w:hAnsi="Times New Roman" w:cs="Times New Roman"/>
        </w:rPr>
        <w:t>that</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would</w:t>
      </w:r>
      <w:proofErr w:type="spellEnd"/>
      <w:r w:rsidR="00736BFF" w:rsidRPr="00705170">
        <w:rPr>
          <w:rFonts w:ascii="Times New Roman" w:hAnsi="Times New Roman" w:cs="Times New Roman"/>
        </w:rPr>
        <w:t xml:space="preserve"> be </w:t>
      </w:r>
      <w:proofErr w:type="spellStart"/>
      <w:r w:rsidR="00736BFF" w:rsidRPr="00705170">
        <w:rPr>
          <w:rFonts w:ascii="Times New Roman" w:hAnsi="Times New Roman" w:cs="Times New Roman"/>
        </w:rPr>
        <w:t>accepted</w:t>
      </w:r>
      <w:proofErr w:type="spellEnd"/>
      <w:r w:rsidR="00736BFF" w:rsidRPr="00705170">
        <w:rPr>
          <w:rFonts w:ascii="Times New Roman" w:hAnsi="Times New Roman" w:cs="Times New Roman"/>
        </w:rPr>
        <w:t xml:space="preserve"> as a </w:t>
      </w:r>
      <w:proofErr w:type="spellStart"/>
      <w:r w:rsidR="00736BFF" w:rsidRPr="00705170">
        <w:rPr>
          <w:rFonts w:ascii="Times New Roman" w:hAnsi="Times New Roman" w:cs="Times New Roman"/>
        </w:rPr>
        <w:t>just</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cause</w:t>
      </w:r>
      <w:proofErr w:type="spellEnd"/>
      <w:r w:rsidR="00736BFF" w:rsidRPr="00705170">
        <w:rPr>
          <w:rFonts w:ascii="Times New Roman" w:hAnsi="Times New Roman" w:cs="Times New Roman"/>
        </w:rPr>
        <w:t xml:space="preserve"> in </w:t>
      </w:r>
      <w:proofErr w:type="spellStart"/>
      <w:r w:rsidR="00736BFF" w:rsidRPr="00705170">
        <w:rPr>
          <w:rFonts w:ascii="Times New Roman" w:hAnsi="Times New Roman" w:cs="Times New Roman"/>
        </w:rPr>
        <w:t>publicly</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traded</w:t>
      </w:r>
      <w:proofErr w:type="spellEnd"/>
      <w:r w:rsidR="00736BFF" w:rsidRPr="00705170">
        <w:rPr>
          <w:rFonts w:ascii="Times New Roman" w:hAnsi="Times New Roman" w:cs="Times New Roman"/>
        </w:rPr>
        <w:t xml:space="preserve"> </w:t>
      </w:r>
      <w:proofErr w:type="spellStart"/>
      <w:r w:rsidR="00736BFF" w:rsidRPr="00705170">
        <w:rPr>
          <w:rFonts w:ascii="Times New Roman" w:hAnsi="Times New Roman" w:cs="Times New Roman"/>
        </w:rPr>
        <w:t>corporations</w:t>
      </w:r>
      <w:proofErr w:type="spellEnd"/>
      <w:r w:rsidR="00736BFF" w:rsidRPr="00705170">
        <w:rPr>
          <w:rStyle w:val="DipnotBavurusu"/>
          <w:rFonts w:ascii="Times New Roman" w:hAnsi="Times New Roman" w:cs="Times New Roman"/>
        </w:rPr>
        <w:footnoteReference w:id="918"/>
      </w:r>
      <w:r w:rsidR="00736BFF" w:rsidRPr="00705170">
        <w:rPr>
          <w:rFonts w:ascii="Times New Roman" w:hAnsi="Times New Roman" w:cs="Times New Roman"/>
        </w:rPr>
        <w:t>.</w:t>
      </w:r>
      <w:r w:rsidR="006E5FC0" w:rsidRPr="00705170">
        <w:rPr>
          <w:rFonts w:ascii="Times New Roman" w:hAnsi="Times New Roman" w:cs="Times New Roman"/>
        </w:rPr>
        <w:t xml:space="preserve"> </w:t>
      </w:r>
      <w:proofErr w:type="spellStart"/>
      <w:r w:rsidR="00D351F1">
        <w:rPr>
          <w:rFonts w:ascii="Times New Roman" w:hAnsi="Times New Roman" w:cs="Times New Roman"/>
        </w:rPr>
        <w:t>Likewise</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cases</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concerning</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only</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personal</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interests</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and</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does</w:t>
      </w:r>
      <w:proofErr w:type="spellEnd"/>
      <w:r w:rsidR="006E5FC0" w:rsidRPr="00705170">
        <w:rPr>
          <w:rFonts w:ascii="Times New Roman" w:hAnsi="Times New Roman" w:cs="Times New Roman"/>
        </w:rPr>
        <w:t xml:space="preserve"> not </w:t>
      </w:r>
      <w:proofErr w:type="spellStart"/>
      <w:r w:rsidR="006E5FC0" w:rsidRPr="00705170">
        <w:rPr>
          <w:rFonts w:ascii="Times New Roman" w:hAnsi="Times New Roman" w:cs="Times New Roman"/>
        </w:rPr>
        <w:t>effect</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the</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corporation</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cannot</w:t>
      </w:r>
      <w:proofErr w:type="spellEnd"/>
      <w:r w:rsidR="006E5FC0" w:rsidRPr="00705170">
        <w:rPr>
          <w:rFonts w:ascii="Times New Roman" w:hAnsi="Times New Roman" w:cs="Times New Roman"/>
        </w:rPr>
        <w:t xml:space="preserve"> be </w:t>
      </w:r>
      <w:proofErr w:type="spellStart"/>
      <w:r w:rsidR="006E5FC0" w:rsidRPr="00705170">
        <w:rPr>
          <w:rFonts w:ascii="Times New Roman" w:hAnsi="Times New Roman" w:cs="Times New Roman"/>
        </w:rPr>
        <w:t>accepted</w:t>
      </w:r>
      <w:proofErr w:type="spellEnd"/>
      <w:r w:rsidR="006E5FC0" w:rsidRPr="00705170">
        <w:rPr>
          <w:rFonts w:ascii="Times New Roman" w:hAnsi="Times New Roman" w:cs="Times New Roman"/>
        </w:rPr>
        <w:t xml:space="preserve"> as </w:t>
      </w:r>
      <w:proofErr w:type="spellStart"/>
      <w:r w:rsidR="006E5FC0" w:rsidRPr="00705170">
        <w:rPr>
          <w:rFonts w:ascii="Times New Roman" w:hAnsi="Times New Roman" w:cs="Times New Roman"/>
        </w:rPr>
        <w:t>just</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causes</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under</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the</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current</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interpretation</w:t>
      </w:r>
      <w:proofErr w:type="spellEnd"/>
      <w:r w:rsidR="006E5FC0" w:rsidRPr="00705170">
        <w:rPr>
          <w:rStyle w:val="DipnotBavurusu"/>
          <w:rFonts w:ascii="Times New Roman" w:hAnsi="Times New Roman" w:cs="Times New Roman"/>
        </w:rPr>
        <w:footnoteReference w:id="919"/>
      </w:r>
      <w:r w:rsidR="006E5FC0" w:rsidRPr="00705170">
        <w:rPr>
          <w:rFonts w:ascii="Times New Roman" w:hAnsi="Times New Roman" w:cs="Times New Roman"/>
        </w:rPr>
        <w:t>.</w:t>
      </w:r>
      <w:r w:rsidR="00A17ED3">
        <w:rPr>
          <w:rFonts w:ascii="Times New Roman" w:hAnsi="Times New Roman" w:cs="Times New Roman"/>
        </w:rPr>
        <w:t xml:space="preserve"> </w:t>
      </w:r>
      <w:proofErr w:type="spellStart"/>
      <w:r w:rsidR="00D351F1">
        <w:rPr>
          <w:rFonts w:ascii="Times New Roman" w:hAnsi="Times New Roman" w:cs="Times New Roman"/>
        </w:rPr>
        <w:t>All</w:t>
      </w:r>
      <w:proofErr w:type="spellEnd"/>
      <w:r w:rsidR="00D351F1">
        <w:rPr>
          <w:rFonts w:ascii="Times New Roman" w:hAnsi="Times New Roman" w:cs="Times New Roman"/>
        </w:rPr>
        <w:t xml:space="preserve"> in </w:t>
      </w:r>
      <w:proofErr w:type="spellStart"/>
      <w:r w:rsidR="00D351F1">
        <w:rPr>
          <w:rFonts w:ascii="Times New Roman" w:hAnsi="Times New Roman" w:cs="Times New Roman"/>
        </w:rPr>
        <w:t>all</w:t>
      </w:r>
      <w:proofErr w:type="spellEnd"/>
      <w:r w:rsidR="00D351F1">
        <w:rPr>
          <w:rFonts w:ascii="Times New Roman" w:hAnsi="Times New Roman" w:cs="Times New Roman"/>
        </w:rPr>
        <w:t>, “</w:t>
      </w:r>
      <w:proofErr w:type="spellStart"/>
      <w:r w:rsidR="00D351F1">
        <w:rPr>
          <w:rFonts w:ascii="Times New Roman" w:hAnsi="Times New Roman" w:cs="Times New Roman"/>
        </w:rPr>
        <w:t>just</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cause</w:t>
      </w:r>
      <w:proofErr w:type="spellEnd"/>
      <w:r w:rsidR="00D351F1">
        <w:rPr>
          <w:rFonts w:ascii="Times New Roman" w:hAnsi="Times New Roman" w:cs="Times New Roman"/>
        </w:rPr>
        <w:t xml:space="preserve">” is </w:t>
      </w:r>
      <w:proofErr w:type="spellStart"/>
      <w:r w:rsidR="00D351F1">
        <w:rPr>
          <w:rFonts w:ascii="Times New Roman" w:hAnsi="Times New Roman" w:cs="Times New Roman"/>
        </w:rPr>
        <w:t>understood</w:t>
      </w:r>
      <w:proofErr w:type="spellEnd"/>
      <w:r w:rsidR="00D351F1">
        <w:rPr>
          <w:rFonts w:ascii="Times New Roman" w:hAnsi="Times New Roman" w:cs="Times New Roman"/>
        </w:rPr>
        <w:t xml:space="preserve"> as an </w:t>
      </w:r>
      <w:proofErr w:type="spellStart"/>
      <w:r w:rsidR="00D351F1">
        <w:rPr>
          <w:rFonts w:ascii="Times New Roman" w:hAnsi="Times New Roman" w:cs="Times New Roman"/>
        </w:rPr>
        <w:t>incident</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directly</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related</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with</w:t>
      </w:r>
      <w:proofErr w:type="spellEnd"/>
      <w:r w:rsidR="00D351F1">
        <w:rPr>
          <w:rFonts w:ascii="Times New Roman" w:hAnsi="Times New Roman" w:cs="Times New Roman"/>
        </w:rPr>
        <w:t xml:space="preserve"> a risk </w:t>
      </w:r>
      <w:proofErr w:type="spellStart"/>
      <w:r w:rsidR="00D351F1">
        <w:rPr>
          <w:rFonts w:ascii="Times New Roman" w:hAnsi="Times New Roman" w:cs="Times New Roman"/>
        </w:rPr>
        <w:t>about</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the</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corporation’s</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ability</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to</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continue</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and</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develop</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its</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existence</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and</w:t>
      </w:r>
      <w:proofErr w:type="spellEnd"/>
      <w:r w:rsidR="00D351F1">
        <w:rPr>
          <w:rFonts w:ascii="Times New Roman" w:hAnsi="Times New Roman" w:cs="Times New Roman"/>
        </w:rPr>
        <w:t xml:space="preserve"> as it is </w:t>
      </w:r>
      <w:proofErr w:type="spellStart"/>
      <w:r w:rsidR="00D351F1">
        <w:rPr>
          <w:rFonts w:ascii="Times New Roman" w:hAnsi="Times New Roman" w:cs="Times New Roman"/>
        </w:rPr>
        <w:t>provided</w:t>
      </w:r>
      <w:proofErr w:type="spellEnd"/>
      <w:r w:rsidR="00D351F1">
        <w:rPr>
          <w:rFonts w:ascii="Times New Roman" w:hAnsi="Times New Roman" w:cs="Times New Roman"/>
        </w:rPr>
        <w:t xml:space="preserve"> as a </w:t>
      </w:r>
      <w:proofErr w:type="spellStart"/>
      <w:r w:rsidR="00D351F1">
        <w:rPr>
          <w:rFonts w:ascii="Times New Roman" w:hAnsi="Times New Roman" w:cs="Times New Roman"/>
        </w:rPr>
        <w:t>reli</w:t>
      </w:r>
      <w:r w:rsidR="009E2C8B">
        <w:rPr>
          <w:rFonts w:ascii="Times New Roman" w:hAnsi="Times New Roman" w:cs="Times New Roman"/>
        </w:rPr>
        <w:t>e</w:t>
      </w:r>
      <w:r w:rsidR="00D351F1">
        <w:rPr>
          <w:rFonts w:ascii="Times New Roman" w:hAnsi="Times New Roman" w:cs="Times New Roman"/>
        </w:rPr>
        <w:t>f</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for</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minority</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risks</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about</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the</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existential</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interests</w:t>
      </w:r>
      <w:proofErr w:type="spellEnd"/>
      <w:r w:rsidR="00D351F1">
        <w:rPr>
          <w:rFonts w:ascii="Times New Roman" w:hAnsi="Times New Roman" w:cs="Times New Roman"/>
        </w:rPr>
        <w:t xml:space="preserve"> of </w:t>
      </w:r>
      <w:proofErr w:type="spellStart"/>
      <w:r w:rsidR="00D351F1">
        <w:rPr>
          <w:rFonts w:ascii="Times New Roman" w:hAnsi="Times New Roman" w:cs="Times New Roman"/>
        </w:rPr>
        <w:t>the</w:t>
      </w:r>
      <w:proofErr w:type="spellEnd"/>
      <w:r w:rsidR="00D351F1">
        <w:rPr>
          <w:rFonts w:ascii="Times New Roman" w:hAnsi="Times New Roman" w:cs="Times New Roman"/>
        </w:rPr>
        <w:t xml:space="preserve"> </w:t>
      </w:r>
      <w:proofErr w:type="spellStart"/>
      <w:r w:rsidR="00D351F1">
        <w:rPr>
          <w:rFonts w:ascii="Times New Roman" w:hAnsi="Times New Roman" w:cs="Times New Roman"/>
        </w:rPr>
        <w:t>minority</w:t>
      </w:r>
      <w:proofErr w:type="spellEnd"/>
      <w:r w:rsidR="00D351F1">
        <w:rPr>
          <w:rStyle w:val="DipnotBavurusu"/>
          <w:rFonts w:ascii="Times New Roman" w:hAnsi="Times New Roman" w:cs="Times New Roman"/>
        </w:rPr>
        <w:footnoteReference w:id="920"/>
      </w:r>
      <w:r w:rsidR="00D351F1">
        <w:rPr>
          <w:rFonts w:ascii="Times New Roman" w:hAnsi="Times New Roman" w:cs="Times New Roman"/>
        </w:rPr>
        <w:t xml:space="preserve">.   </w:t>
      </w:r>
    </w:p>
    <w:p w14:paraId="11D156AD" w14:textId="7CE60225" w:rsidR="00F14389" w:rsidRPr="00705170" w:rsidRDefault="001550EC" w:rsidP="00070349">
      <w:pPr>
        <w:spacing w:after="240" w:line="480" w:lineRule="auto"/>
        <w:ind w:firstLine="708"/>
        <w:jc w:val="both"/>
        <w:rPr>
          <w:rFonts w:ascii="Times New Roman" w:hAnsi="Times New Roman" w:cs="Times New Roman"/>
          <w:color w:val="000000"/>
        </w:rPr>
      </w:pPr>
      <w:r w:rsidRPr="00705170">
        <w:rPr>
          <w:rFonts w:ascii="Times New Roman" w:hAnsi="Times New Roman" w:cs="Times New Roman"/>
        </w:rPr>
        <w:t xml:space="preserve">As </w:t>
      </w:r>
      <w:proofErr w:type="spellStart"/>
      <w:r w:rsidRPr="00705170">
        <w:rPr>
          <w:rFonts w:ascii="Times New Roman" w:hAnsi="Times New Roman" w:cs="Times New Roman"/>
        </w:rPr>
        <w:t>these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explanations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clear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guidance</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easier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define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distinguishing</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00EB4A63">
        <w:rPr>
          <w:rFonts w:ascii="Times New Roman" w:hAnsi="Times New Roman" w:cs="Times New Roman"/>
        </w:rPr>
        <w:t xml:space="preserve"> U.S. </w:t>
      </w:r>
      <w:proofErr w:type="spellStart"/>
      <w:r w:rsidR="00EB4A63">
        <w:rPr>
          <w:rFonts w:ascii="Times New Roman" w:hAnsi="Times New Roman" w:cs="Times New Roman"/>
        </w:rPr>
        <w:t>law’s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w:t>
      </w:r>
      <w:r w:rsidR="00070349" w:rsidRPr="00705170">
        <w:rPr>
          <w:rFonts w:ascii="Times New Roman" w:hAnsi="Times New Roman" w:cs="Times New Roman"/>
        </w:rPr>
        <w:t>imilar</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concept</w:t>
      </w:r>
      <w:proofErr w:type="spellEnd"/>
      <w:r w:rsidR="00070349" w:rsidRPr="00705170">
        <w:rPr>
          <w:rFonts w:ascii="Times New Roman" w:hAnsi="Times New Roman" w:cs="Times New Roman"/>
        </w:rPr>
        <w:t xml:space="preserve"> of “</w:t>
      </w:r>
      <w:proofErr w:type="spellStart"/>
      <w:r w:rsidR="00070349" w:rsidRPr="00705170">
        <w:rPr>
          <w:rFonts w:ascii="Times New Roman" w:hAnsi="Times New Roman" w:cs="Times New Roman"/>
        </w:rPr>
        <w:t>oppression</w:t>
      </w:r>
      <w:proofErr w:type="spellEnd"/>
      <w:r w:rsidR="00070349" w:rsidRPr="00705170">
        <w:rPr>
          <w:rFonts w:ascii="Times New Roman" w:hAnsi="Times New Roman" w:cs="Times New Roman"/>
        </w:rPr>
        <w:t xml:space="preserve">”. </w:t>
      </w:r>
      <w:proofErr w:type="spellStart"/>
      <w:r w:rsidR="00A158BB">
        <w:rPr>
          <w:rFonts w:ascii="Times New Roman" w:hAnsi="Times New Roman" w:cs="Times New Roman"/>
        </w:rPr>
        <w:t>T</w:t>
      </w:r>
      <w:r w:rsidRPr="00705170">
        <w:rPr>
          <w:rFonts w:ascii="Times New Roman" w:hAnsi="Times New Roman" w:cs="Times New Roman"/>
        </w:rPr>
        <w: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Mardikos</w:t>
      </w:r>
      <w:proofErr w:type="spellEnd"/>
      <w:r w:rsidRPr="00705170">
        <w:rPr>
          <w:rFonts w:ascii="Times New Roman" w:hAnsi="Times New Roman" w:cs="Times New Roman"/>
        </w:rPr>
        <w:t xml:space="preserve"> v. </w:t>
      </w:r>
      <w:proofErr w:type="spellStart"/>
      <w:r w:rsidRPr="00705170">
        <w:rPr>
          <w:rFonts w:ascii="Times New Roman" w:hAnsi="Times New Roman" w:cs="Times New Roman"/>
        </w:rPr>
        <w:t>Arger</w:t>
      </w:r>
      <w:proofErr w:type="spellEnd"/>
      <w:r w:rsidRPr="00705170">
        <w:rPr>
          <w:rFonts w:ascii="Times New Roman" w:hAnsi="Times New Roman" w:cs="Times New Roman"/>
        </w:rPr>
        <w:t xml:space="preserve">, 116 </w:t>
      </w:r>
      <w:proofErr w:type="spellStart"/>
      <w:r w:rsidRPr="00705170">
        <w:rPr>
          <w:rFonts w:ascii="Times New Roman" w:hAnsi="Times New Roman" w:cs="Times New Roman"/>
        </w:rPr>
        <w:t>Mis</w:t>
      </w:r>
      <w:r w:rsidR="00A158BB">
        <w:rPr>
          <w:rFonts w:ascii="Times New Roman" w:hAnsi="Times New Roman" w:cs="Times New Roman"/>
        </w:rPr>
        <w:t>c</w:t>
      </w:r>
      <w:proofErr w:type="spellEnd"/>
      <w:r w:rsidR="00A158BB">
        <w:rPr>
          <w:rFonts w:ascii="Times New Roman" w:hAnsi="Times New Roman" w:cs="Times New Roman"/>
        </w:rPr>
        <w:t xml:space="preserve">. 2d 1028 (1982) </w:t>
      </w:r>
      <w:proofErr w:type="spellStart"/>
      <w:r w:rsidR="00A158BB">
        <w:rPr>
          <w:rFonts w:ascii="Times New Roman" w:hAnsi="Times New Roman" w:cs="Times New Roman"/>
        </w:rPr>
        <w:t>court</w:t>
      </w:r>
      <w:proofErr w:type="spellEnd"/>
      <w:r w:rsidR="00A158BB">
        <w:rPr>
          <w:rFonts w:ascii="Times New Roman" w:hAnsi="Times New Roman" w:cs="Times New Roman"/>
        </w:rPr>
        <w:t xml:space="preserve"> </w:t>
      </w:r>
      <w:proofErr w:type="spellStart"/>
      <w:r w:rsidR="00A158BB">
        <w:rPr>
          <w:rFonts w:ascii="Times New Roman" w:hAnsi="Times New Roman" w:cs="Times New Roman"/>
        </w:rPr>
        <w:t>explaination</w:t>
      </w:r>
      <w:proofErr w:type="spellEnd"/>
      <w:r w:rsidR="00A158BB">
        <w:rPr>
          <w:rFonts w:ascii="Times New Roman" w:hAnsi="Times New Roman" w:cs="Times New Roman"/>
        </w:rPr>
        <w:t xml:space="preserve"> </w:t>
      </w:r>
      <w:proofErr w:type="spellStart"/>
      <w:r w:rsidR="00A158BB">
        <w:rPr>
          <w:rFonts w:ascii="Times New Roman" w:hAnsi="Times New Roman" w:cs="Times New Roman"/>
        </w:rPr>
        <w:t>regarding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New York </w:t>
      </w:r>
      <w:proofErr w:type="spellStart"/>
      <w:r w:rsidRPr="00705170">
        <w:rPr>
          <w:rFonts w:ascii="Times New Roman" w:hAnsi="Times New Roman" w:cs="Times New Roman"/>
        </w:rPr>
        <w:t>State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Legislature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choice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employing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conception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than</w:t>
      </w:r>
      <w:proofErr w:type="spellEnd"/>
      <w:r w:rsidR="00A158BB">
        <w:rPr>
          <w:rFonts w:ascii="Times New Roman" w:hAnsi="Times New Roman" w:cs="Times New Roman"/>
        </w:rPr>
        <w:t xml:space="preserve"> a </w:t>
      </w:r>
      <w:proofErr w:type="spellStart"/>
      <w:r w:rsidR="00A158BB">
        <w:rPr>
          <w:rFonts w:ascii="Times New Roman" w:hAnsi="Times New Roman" w:cs="Times New Roman"/>
        </w:rPr>
        <w:t>wider</w:t>
      </w:r>
      <w:proofErr w:type="spellEnd"/>
      <w:r w:rsidR="00A158BB">
        <w:rPr>
          <w:rFonts w:ascii="Times New Roman" w:hAnsi="Times New Roman" w:cs="Times New Roman"/>
        </w:rPr>
        <w:t xml:space="preserve"> </w:t>
      </w:r>
      <w:proofErr w:type="spellStart"/>
      <w:r w:rsidR="00A158BB">
        <w:rPr>
          <w:rFonts w:ascii="Times New Roman" w:hAnsi="Times New Roman" w:cs="Times New Roman"/>
        </w:rPr>
        <w:t>conception</w:t>
      </w:r>
      <w:proofErr w:type="spellEnd"/>
      <w:r w:rsidRPr="00705170">
        <w:rPr>
          <w:rFonts w:ascii="Times New Roman" w:hAnsi="Times New Roman" w:cs="Times New Roman"/>
        </w:rPr>
        <w:t xml:space="preserve"> </w:t>
      </w:r>
      <w:proofErr w:type="spellStart"/>
      <w:r w:rsidR="00A158BB">
        <w:rPr>
          <w:rFonts w:ascii="Times New Roman" w:hAnsi="Times New Roman" w:cs="Times New Roman"/>
        </w:rPr>
        <w:t>highlights</w:t>
      </w:r>
      <w:proofErr w:type="spellEnd"/>
      <w:r w:rsidR="00A158BB">
        <w:rPr>
          <w:rFonts w:ascii="Times New Roman" w:hAnsi="Times New Roman" w:cs="Times New Roman"/>
        </w:rPr>
        <w:t xml:space="preserve"> </w:t>
      </w:r>
      <w:proofErr w:type="spellStart"/>
      <w:r w:rsidR="00A158BB">
        <w:rPr>
          <w:rFonts w:ascii="Times New Roman" w:hAnsi="Times New Roman" w:cs="Times New Roman"/>
        </w:rPr>
        <w:t>the</w:t>
      </w:r>
      <w:proofErr w:type="spellEnd"/>
      <w:r w:rsidR="00A158BB">
        <w:rPr>
          <w:rFonts w:ascii="Times New Roman" w:hAnsi="Times New Roman" w:cs="Times New Roman"/>
        </w:rPr>
        <w:t xml:space="preserve"> </w:t>
      </w:r>
      <w:proofErr w:type="spellStart"/>
      <w:r w:rsidR="00A158BB">
        <w:rPr>
          <w:rFonts w:ascii="Times New Roman" w:hAnsi="Times New Roman" w:cs="Times New Roman"/>
        </w:rPr>
        <w:t>following</w:t>
      </w:r>
      <w:proofErr w:type="spellEnd"/>
      <w:r w:rsidR="00A158BB">
        <w:rPr>
          <w:rFonts w:ascii="Times New Roman" w:hAnsi="Times New Roman" w:cs="Times New Roman"/>
        </w:rPr>
        <w:t xml:space="preserve"> </w:t>
      </w:r>
      <w:proofErr w:type="spellStart"/>
      <w:r w:rsidR="00A158BB">
        <w:rPr>
          <w:rFonts w:ascii="Times New Roman" w:hAnsi="Times New Roman" w:cs="Times New Roman"/>
        </w:rPr>
        <w:t>related</w:t>
      </w:r>
      <w:proofErr w:type="spellEnd"/>
      <w:r w:rsidR="00A158BB">
        <w:rPr>
          <w:rFonts w:ascii="Times New Roman" w:hAnsi="Times New Roman" w:cs="Times New Roman"/>
        </w:rPr>
        <w:t xml:space="preserve"> </w:t>
      </w:r>
      <w:proofErr w:type="spellStart"/>
      <w:r w:rsidR="00A158BB">
        <w:rPr>
          <w:rFonts w:ascii="Times New Roman" w:hAnsi="Times New Roman" w:cs="Times New Roman"/>
        </w:rPr>
        <w:t>distinction</w:t>
      </w:r>
      <w:proofErr w:type="spellEnd"/>
      <w:r w:rsidRPr="00705170">
        <w:rPr>
          <w:rFonts w:ascii="Times New Roman" w:hAnsi="Times New Roman" w:cs="Times New Roman"/>
        </w:rPr>
        <w:t>: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attempting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relief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unfairly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treated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stockholders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New York </w:t>
      </w:r>
      <w:proofErr w:type="spellStart"/>
      <w:r w:rsidRPr="00705170">
        <w:rPr>
          <w:rFonts w:ascii="Times New Roman" w:hAnsi="Times New Roman" w:cs="Times New Roman"/>
          <w:color w:val="000000"/>
        </w:rPr>
        <w:t>Legislature</w:t>
      </w:r>
      <w:proofErr w:type="spellEnd"/>
      <w:r w:rsidRPr="00705170">
        <w:rPr>
          <w:rFonts w:ascii="Times New Roman" w:hAnsi="Times New Roman" w:cs="Times New Roman"/>
          <w:color w:val="000000"/>
        </w:rPr>
        <w:t xml:space="preserve"> had </w:t>
      </w:r>
      <w:proofErr w:type="spellStart"/>
      <w:r w:rsidRPr="00705170">
        <w:rPr>
          <w:rFonts w:ascii="Times New Roman" w:hAnsi="Times New Roman" w:cs="Times New Roman"/>
          <w:color w:val="000000"/>
        </w:rPr>
        <w:t>before</w:t>
      </w:r>
      <w:proofErr w:type="spellEnd"/>
      <w:r w:rsidRPr="00705170">
        <w:rPr>
          <w:rFonts w:ascii="Times New Roman" w:hAnsi="Times New Roman" w:cs="Times New Roman"/>
          <w:color w:val="000000"/>
        </w:rPr>
        <w:t xml:space="preserve"> it </w:t>
      </w:r>
      <w:proofErr w:type="spellStart"/>
      <w:r w:rsidRPr="00705170">
        <w:rPr>
          <w:rFonts w:ascii="Times New Roman" w:hAnsi="Times New Roman" w:cs="Times New Roman"/>
          <w:color w:val="000000"/>
        </w:rPr>
        <w:t>several</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options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could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have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authorized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dissolution</w:t>
      </w:r>
      <w:proofErr w:type="spellEnd"/>
      <w:r w:rsidRPr="00705170">
        <w:rPr>
          <w:rFonts w:ascii="Times New Roman" w:hAnsi="Times New Roman" w:cs="Times New Roman"/>
          <w:color w:val="000000"/>
        </w:rPr>
        <w:t xml:space="preserve"> on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very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broad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grounds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which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available</w:t>
      </w:r>
      <w:proofErr w:type="spellEnd"/>
      <w:r w:rsidRPr="00705170">
        <w:rPr>
          <w:rFonts w:ascii="Times New Roman" w:hAnsi="Times New Roman" w:cs="Times New Roman"/>
          <w:color w:val="000000"/>
        </w:rPr>
        <w:t xml:space="preserve"> in Connecticut, </w:t>
      </w:r>
      <w:proofErr w:type="spellStart"/>
      <w:r w:rsidRPr="00705170">
        <w:rPr>
          <w:rFonts w:ascii="Times New Roman" w:hAnsi="Times New Roman" w:cs="Times New Roman"/>
          <w:color w:val="000000"/>
        </w:rPr>
        <w:t>where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dissolution</w:t>
      </w:r>
      <w:proofErr w:type="spellEnd"/>
      <w:r w:rsidRPr="00705170">
        <w:rPr>
          <w:rFonts w:ascii="Times New Roman" w:hAnsi="Times New Roman" w:cs="Times New Roman"/>
          <w:color w:val="000000"/>
        </w:rPr>
        <w:t xml:space="preserve"> is </w:t>
      </w:r>
      <w:proofErr w:type="spellStart"/>
      <w:r w:rsidRPr="00705170">
        <w:rPr>
          <w:rFonts w:ascii="Times New Roman" w:hAnsi="Times New Roman" w:cs="Times New Roman"/>
          <w:color w:val="000000"/>
        </w:rPr>
        <w:t>authorized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good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and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sufficient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reason</w:t>
      </w:r>
      <w:proofErr w:type="spellEnd"/>
      <w:r w:rsidRPr="00705170">
        <w:rPr>
          <w:rFonts w:ascii="Times New Roman" w:hAnsi="Times New Roman" w:cs="Times New Roman"/>
          <w:color w:val="000000"/>
        </w:rPr>
        <w:t>” (</w:t>
      </w:r>
      <w:proofErr w:type="spellStart"/>
      <w:proofErr w:type="gramStart"/>
      <w:r w:rsidRPr="00705170">
        <w:rPr>
          <w:rFonts w:ascii="Times New Roman" w:hAnsi="Times New Roman" w:cs="Times New Roman"/>
          <w:color w:val="000000"/>
        </w:rPr>
        <w:t>Conn.Gen.Stats.Ann</w:t>
      </w:r>
      <w:proofErr w:type="spellEnd"/>
      <w:proofErr w:type="gram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Section</w:t>
      </w:r>
      <w:proofErr w:type="spellEnd"/>
      <w:r w:rsidRPr="00705170">
        <w:rPr>
          <w:rFonts w:ascii="Times New Roman" w:hAnsi="Times New Roman" w:cs="Times New Roman"/>
          <w:color w:val="000000"/>
        </w:rPr>
        <w:t xml:space="preserve"> 33.382), </w:t>
      </w:r>
      <w:proofErr w:type="spellStart"/>
      <w:r w:rsidRPr="00705170">
        <w:rPr>
          <w:rFonts w:ascii="Times New Roman" w:hAnsi="Times New Roman" w:cs="Times New Roman"/>
          <w:color w:val="000000"/>
        </w:rPr>
        <w:t>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Legislature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could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have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followed</w:t>
      </w:r>
      <w:proofErr w:type="spellEnd"/>
      <w:r w:rsidRPr="00705170">
        <w:rPr>
          <w:rFonts w:ascii="Times New Roman" w:hAnsi="Times New Roman" w:cs="Times New Roman"/>
          <w:color w:val="000000"/>
        </w:rPr>
        <w:t xml:space="preserve"> Indiana, </w:t>
      </w:r>
      <w:proofErr w:type="spellStart"/>
      <w:r w:rsidRPr="00705170">
        <w:rPr>
          <w:rFonts w:ascii="Times New Roman" w:hAnsi="Times New Roman" w:cs="Times New Roman"/>
          <w:color w:val="000000"/>
        </w:rPr>
        <w:t>which</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provides</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appointment</w:t>
      </w:r>
      <w:proofErr w:type="spellEnd"/>
      <w:r w:rsidRPr="00705170">
        <w:rPr>
          <w:rFonts w:ascii="Times New Roman" w:hAnsi="Times New Roman" w:cs="Times New Roman"/>
          <w:color w:val="000000"/>
        </w:rPr>
        <w:t xml:space="preserve"> of a </w:t>
      </w:r>
      <w:proofErr w:type="spellStart"/>
      <w:r w:rsidRPr="00705170">
        <w:rPr>
          <w:rFonts w:ascii="Times New Roman" w:hAnsi="Times New Roman" w:cs="Times New Roman"/>
          <w:color w:val="000000"/>
        </w:rPr>
        <w:t>receiver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when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necessary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provide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ample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justice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New York </w:t>
      </w:r>
      <w:proofErr w:type="spellStart"/>
      <w:r w:rsidRPr="00705170">
        <w:rPr>
          <w:rFonts w:ascii="Times New Roman" w:hAnsi="Times New Roman" w:cs="Times New Roman"/>
          <w:color w:val="000000"/>
        </w:rPr>
        <w:t>Legislature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however</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elected</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provide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relief</w:t>
      </w:r>
      <w:proofErr w:type="spellEnd"/>
      <w:r w:rsidRPr="00705170">
        <w:rPr>
          <w:rFonts w:ascii="Times New Roman" w:hAnsi="Times New Roman" w:cs="Times New Roman"/>
          <w:color w:val="000000"/>
        </w:rPr>
        <w:t xml:space="preserve"> on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more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narrow</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grounds</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requiring</w:t>
      </w:r>
      <w:proofErr w:type="spellEnd"/>
      <w:r w:rsidRPr="00705170">
        <w:rPr>
          <w:rFonts w:ascii="Times New Roman" w:hAnsi="Times New Roman" w:cs="Times New Roman"/>
          <w:color w:val="000000"/>
        </w:rPr>
        <w:t xml:space="preserve"> a </w:t>
      </w:r>
      <w:proofErr w:type="spellStart"/>
      <w:r w:rsidRPr="00705170">
        <w:rPr>
          <w:rFonts w:ascii="Times New Roman" w:hAnsi="Times New Roman" w:cs="Times New Roman"/>
          <w:color w:val="000000"/>
        </w:rPr>
        <w:t>showing</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oppressive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conduct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concept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occurances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misconduct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those</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control</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Style w:val="DipnotBavurusu"/>
          <w:rFonts w:ascii="Times New Roman" w:hAnsi="Times New Roman" w:cs="Times New Roman"/>
        </w:rPr>
        <w:footnoteReference w:id="921"/>
      </w:r>
      <w:r w:rsidRPr="00705170">
        <w:rPr>
          <w:rFonts w:ascii="Times New Roman" w:hAnsi="Times New Roman" w:cs="Times New Roman"/>
        </w:rPr>
        <w:t xml:space="preserve">, it is </w:t>
      </w:r>
      <w:proofErr w:type="spellStart"/>
      <w:r w:rsidRPr="00705170">
        <w:rPr>
          <w:rFonts w:ascii="Times New Roman" w:hAnsi="Times New Roman" w:cs="Times New Roman"/>
        </w:rPr>
        <w:lastRenderedPageBreak/>
        <w:t>distinguished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occurances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illegality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fraud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misapplication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assets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waste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same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classification</w:t>
      </w:r>
      <w:proofErr w:type="spellEnd"/>
      <w:r w:rsidRPr="00705170">
        <w:rPr>
          <w:rStyle w:val="DipnotBavurusu"/>
          <w:rFonts w:ascii="Times New Roman" w:hAnsi="Times New Roman" w:cs="Times New Roman"/>
        </w:rPr>
        <w:footnoteReference w:id="922"/>
      </w:r>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thrust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protection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abusive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exercise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powers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application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doctrine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evolved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point</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addresses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particularly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protection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from</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outcome</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conduct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faulty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abusive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Oppression</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wielding</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power</w:t>
      </w:r>
      <w:proofErr w:type="spellEnd"/>
      <w:r w:rsidRPr="00705170">
        <w:rPr>
          <w:rFonts w:ascii="Times New Roman" w:hAnsi="Times New Roman" w:cs="Times New Roman"/>
        </w:rPr>
        <w:t xml:space="preserve"> in a </w:t>
      </w:r>
      <w:proofErr w:type="spellStart"/>
      <w:r w:rsidRPr="00705170">
        <w:rPr>
          <w:rFonts w:ascii="Times New Roman" w:hAnsi="Times New Roman" w:cs="Times New Roman"/>
        </w:rPr>
        <w:t>manner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destroys</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vital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interest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Style w:val="DipnotBavurusu"/>
          <w:rFonts w:ascii="Times New Roman" w:hAnsi="Times New Roman" w:cs="Times New Roman"/>
        </w:rPr>
        <w:footnoteReference w:id="923"/>
      </w:r>
      <w:r w:rsidRPr="00705170">
        <w:rPr>
          <w:rFonts w:ascii="Times New Roman" w:hAnsi="Times New Roman" w:cs="Times New Roman"/>
        </w:rPr>
        <w:t>.</w:t>
      </w:r>
      <w:r w:rsidR="00F14389" w:rsidRPr="00705170">
        <w:rPr>
          <w:rFonts w:ascii="Times New Roman" w:hAnsi="Times New Roman" w:cs="Times New Roman"/>
        </w:rPr>
        <w:t xml:space="preserve"> </w:t>
      </w:r>
      <w:proofErr w:type="spellStart"/>
      <w:r w:rsidR="00070349" w:rsidRPr="00705170">
        <w:rPr>
          <w:rFonts w:ascii="Times New Roman" w:hAnsi="Times New Roman" w:cs="Times New Roman"/>
        </w:rPr>
        <w:t>Then</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the</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just</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cause</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concept</w:t>
      </w:r>
      <w:proofErr w:type="spellEnd"/>
      <w:r w:rsidR="00070349" w:rsidRPr="00705170">
        <w:rPr>
          <w:rFonts w:ascii="Times New Roman" w:hAnsi="Times New Roman" w:cs="Times New Roman"/>
        </w:rPr>
        <w:t xml:space="preserve">, on </w:t>
      </w:r>
      <w:proofErr w:type="spellStart"/>
      <w:r w:rsidR="00070349" w:rsidRPr="00705170">
        <w:rPr>
          <w:rFonts w:ascii="Times New Roman" w:hAnsi="Times New Roman" w:cs="Times New Roman"/>
        </w:rPr>
        <w:t>its</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face</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addresses</w:t>
      </w:r>
      <w:proofErr w:type="spellEnd"/>
      <w:r w:rsidR="00070349" w:rsidRPr="00705170">
        <w:rPr>
          <w:rFonts w:ascii="Times New Roman" w:hAnsi="Times New Roman" w:cs="Times New Roman"/>
        </w:rPr>
        <w:t xml:space="preserve"> a </w:t>
      </w:r>
      <w:proofErr w:type="spellStart"/>
      <w:r w:rsidR="00070349" w:rsidRPr="00705170">
        <w:rPr>
          <w:rFonts w:ascii="Times New Roman" w:hAnsi="Times New Roman" w:cs="Times New Roman"/>
        </w:rPr>
        <w:t>wider</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range</w:t>
      </w:r>
      <w:proofErr w:type="spellEnd"/>
      <w:r w:rsidR="00070349" w:rsidRPr="00705170">
        <w:rPr>
          <w:rFonts w:ascii="Times New Roman" w:hAnsi="Times New Roman" w:cs="Times New Roman"/>
        </w:rPr>
        <w:t xml:space="preserve"> of </w:t>
      </w:r>
      <w:proofErr w:type="spellStart"/>
      <w:r w:rsidR="00070349" w:rsidRPr="00705170">
        <w:rPr>
          <w:rFonts w:ascii="Times New Roman" w:hAnsi="Times New Roman" w:cs="Times New Roman"/>
        </w:rPr>
        <w:t>factors</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than</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the</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oppression</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concept</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and</w:t>
      </w:r>
      <w:proofErr w:type="spellEnd"/>
      <w:r w:rsidR="00070349" w:rsidRPr="00705170">
        <w:rPr>
          <w:rFonts w:ascii="Times New Roman" w:hAnsi="Times New Roman" w:cs="Times New Roman"/>
        </w:rPr>
        <w:t xml:space="preserve"> can </w:t>
      </w:r>
      <w:proofErr w:type="spellStart"/>
      <w:r w:rsidR="00070349" w:rsidRPr="00705170">
        <w:rPr>
          <w:rFonts w:ascii="Times New Roman" w:hAnsi="Times New Roman" w:cs="Times New Roman"/>
        </w:rPr>
        <w:t>comprise</w:t>
      </w:r>
      <w:proofErr w:type="spellEnd"/>
      <w:r w:rsidR="00070349" w:rsidRPr="00705170">
        <w:rPr>
          <w:rFonts w:ascii="Times New Roman" w:hAnsi="Times New Roman" w:cs="Times New Roman"/>
        </w:rPr>
        <w:t xml:space="preserve"> of </w:t>
      </w:r>
      <w:proofErr w:type="spellStart"/>
      <w:r w:rsidR="00070349" w:rsidRPr="00705170">
        <w:rPr>
          <w:rFonts w:ascii="Times New Roman" w:hAnsi="Times New Roman" w:cs="Times New Roman"/>
        </w:rPr>
        <w:t>any</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good</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and</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sufficient</w:t>
      </w:r>
      <w:proofErr w:type="spellEnd"/>
      <w:r w:rsidR="00070349" w:rsidRPr="00705170">
        <w:rPr>
          <w:rFonts w:ascii="Times New Roman" w:hAnsi="Times New Roman" w:cs="Times New Roman"/>
        </w:rPr>
        <w:t xml:space="preserve"> </w:t>
      </w:r>
      <w:proofErr w:type="spellStart"/>
      <w:r w:rsidR="00070349" w:rsidRPr="00705170">
        <w:rPr>
          <w:rFonts w:ascii="Times New Roman" w:hAnsi="Times New Roman" w:cs="Times New Roman"/>
        </w:rPr>
        <w:t>cause</w:t>
      </w:r>
      <w:proofErr w:type="spellEnd"/>
      <w:r w:rsidR="00070349" w:rsidRPr="00705170">
        <w:rPr>
          <w:rStyle w:val="DipnotBavurusu"/>
          <w:rFonts w:ascii="Times New Roman" w:hAnsi="Times New Roman" w:cs="Times New Roman"/>
        </w:rPr>
        <w:footnoteReference w:id="924"/>
      </w:r>
      <w:r w:rsidR="00070349" w:rsidRPr="00705170">
        <w:rPr>
          <w:rFonts w:ascii="Times New Roman" w:hAnsi="Times New Roman" w:cs="Times New Roman"/>
        </w:rPr>
        <w:t>.</w:t>
      </w:r>
    </w:p>
    <w:p w14:paraId="74F9FC55" w14:textId="19DD4B5F" w:rsidR="0084032C" w:rsidRPr="00705170" w:rsidRDefault="00C01441" w:rsidP="008F17D2">
      <w:pPr>
        <w:spacing w:after="240" w:line="480" w:lineRule="auto"/>
        <w:ind w:firstLine="708"/>
        <w:jc w:val="both"/>
        <w:rPr>
          <w:rFonts w:ascii="Times New Roman" w:hAnsi="Times New Roman" w:cs="Times New Roman"/>
          <w:b/>
        </w:rPr>
      </w:pPr>
      <w:r>
        <w:rPr>
          <w:rFonts w:ascii="Times New Roman" w:hAnsi="Times New Roman" w:cs="Times New Roman"/>
          <w:b/>
        </w:rPr>
        <w:t>5</w:t>
      </w:r>
      <w:r w:rsidR="0084032C" w:rsidRPr="00705170">
        <w:rPr>
          <w:rFonts w:ascii="Times New Roman" w:hAnsi="Times New Roman" w:cs="Times New Roman"/>
          <w:b/>
        </w:rPr>
        <w:t xml:space="preserve">.4.1. </w:t>
      </w:r>
      <w:proofErr w:type="spellStart"/>
      <w:r w:rsidR="0084032C" w:rsidRPr="00705170">
        <w:rPr>
          <w:rFonts w:ascii="Times New Roman" w:hAnsi="Times New Roman" w:cs="Times New Roman"/>
          <w:b/>
        </w:rPr>
        <w:t>Current</w:t>
      </w:r>
      <w:proofErr w:type="spellEnd"/>
      <w:r w:rsidR="0084032C" w:rsidRPr="00705170">
        <w:rPr>
          <w:rFonts w:ascii="Times New Roman" w:hAnsi="Times New Roman" w:cs="Times New Roman"/>
          <w:b/>
        </w:rPr>
        <w:t xml:space="preserve"> </w:t>
      </w:r>
      <w:proofErr w:type="spellStart"/>
      <w:r w:rsidR="0084032C" w:rsidRPr="00705170">
        <w:rPr>
          <w:rFonts w:ascii="Times New Roman" w:hAnsi="Times New Roman" w:cs="Times New Roman"/>
          <w:b/>
        </w:rPr>
        <w:t>Interpretation</w:t>
      </w:r>
      <w:proofErr w:type="spellEnd"/>
    </w:p>
    <w:p w14:paraId="7781EE27" w14:textId="2DFDFFC7" w:rsidR="00C51C1E" w:rsidRPr="00705170" w:rsidRDefault="00F14389" w:rsidP="00C51C1E">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general </w:t>
      </w:r>
      <w:proofErr w:type="spellStart"/>
      <w:r w:rsidRPr="00705170">
        <w:rPr>
          <w:rFonts w:ascii="Times New Roman" w:hAnsi="Times New Roman" w:cs="Times New Roman"/>
        </w:rPr>
        <w:t>understanding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regarding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concept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party</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establish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alleged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shows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petitioner’s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participation</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unbearable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him</w:t>
      </w:r>
      <w:proofErr w:type="spellEnd"/>
      <w:r w:rsidRPr="00705170">
        <w:rPr>
          <w:rStyle w:val="DipnotBavurusu"/>
          <w:rFonts w:ascii="Times New Roman" w:hAnsi="Times New Roman" w:cs="Times New Roman"/>
        </w:rPr>
        <w:footnoteReference w:id="925"/>
      </w:r>
      <w:r w:rsidRPr="00705170">
        <w:rPr>
          <w:rFonts w:ascii="Times New Roman" w:hAnsi="Times New Roman" w:cs="Times New Roman"/>
        </w:rPr>
        <w:t xml:space="preserve">. </w:t>
      </w:r>
      <w:proofErr w:type="spellStart"/>
      <w:r w:rsidRPr="00705170">
        <w:rPr>
          <w:rFonts w:ascii="Times New Roman" w:hAnsi="Times New Roman" w:cs="Times New Roman"/>
        </w:rPr>
        <w:t>It</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said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unbearability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criteria</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principal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factor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concept’s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definition</w:t>
      </w:r>
      <w:proofErr w:type="spellEnd"/>
      <w:r w:rsidRPr="00705170">
        <w:rPr>
          <w:rStyle w:val="DipnotBavurusu"/>
          <w:rFonts w:ascii="Times New Roman" w:hAnsi="Times New Roman" w:cs="Times New Roman"/>
        </w:rPr>
        <w:footnoteReference w:id="926"/>
      </w:r>
      <w:r w:rsidR="00FA1FE0" w:rsidRPr="00705170">
        <w:rPr>
          <w:rFonts w:ascii="Times New Roman" w:hAnsi="Times New Roman" w:cs="Times New Roman"/>
        </w:rPr>
        <w:t xml:space="preserve">, </w:t>
      </w:r>
      <w:proofErr w:type="spellStart"/>
      <w:r w:rsidR="00FA1FE0" w:rsidRPr="00705170">
        <w:rPr>
          <w:rFonts w:ascii="Times New Roman" w:hAnsi="Times New Roman" w:cs="Times New Roman"/>
        </w:rPr>
        <w:t>and</w:t>
      </w:r>
      <w:proofErr w:type="spellEnd"/>
      <w:r w:rsidR="00FA1FE0" w:rsidRPr="00705170">
        <w:rPr>
          <w:rFonts w:ascii="Times New Roman" w:hAnsi="Times New Roman" w:cs="Times New Roman"/>
        </w:rPr>
        <w:t xml:space="preserve"> </w:t>
      </w:r>
      <w:proofErr w:type="spellStart"/>
      <w:r w:rsidR="00FA1FE0" w:rsidRPr="00705170">
        <w:rPr>
          <w:rFonts w:ascii="Times New Roman" w:hAnsi="Times New Roman" w:cs="Times New Roman"/>
        </w:rPr>
        <w:t>should</w:t>
      </w:r>
      <w:proofErr w:type="spellEnd"/>
      <w:r w:rsidR="00FA1FE0" w:rsidRPr="00705170">
        <w:rPr>
          <w:rFonts w:ascii="Times New Roman" w:hAnsi="Times New Roman" w:cs="Times New Roman"/>
        </w:rPr>
        <w:t xml:space="preserve"> be </w:t>
      </w:r>
      <w:proofErr w:type="spellStart"/>
      <w:r w:rsidR="00FA1FE0" w:rsidRPr="00705170">
        <w:rPr>
          <w:rFonts w:ascii="Times New Roman" w:hAnsi="Times New Roman" w:cs="Times New Roman"/>
        </w:rPr>
        <w:t>defined</w:t>
      </w:r>
      <w:proofErr w:type="spellEnd"/>
      <w:r w:rsidR="00FA1FE0" w:rsidRPr="00705170">
        <w:rPr>
          <w:rFonts w:ascii="Times New Roman" w:hAnsi="Times New Roman" w:cs="Times New Roman"/>
        </w:rPr>
        <w:t xml:space="preserve"> in </w:t>
      </w:r>
      <w:proofErr w:type="spellStart"/>
      <w:r w:rsidR="00FA1FE0" w:rsidRPr="00705170">
        <w:rPr>
          <w:rFonts w:ascii="Times New Roman" w:hAnsi="Times New Roman" w:cs="Times New Roman"/>
        </w:rPr>
        <w:t>accordance</w:t>
      </w:r>
      <w:proofErr w:type="spellEnd"/>
      <w:r w:rsidR="00FA1FE0" w:rsidRPr="00705170">
        <w:rPr>
          <w:rFonts w:ascii="Times New Roman" w:hAnsi="Times New Roman" w:cs="Times New Roman"/>
        </w:rPr>
        <w:t xml:space="preserve"> </w:t>
      </w:r>
      <w:proofErr w:type="spellStart"/>
      <w:r w:rsidR="00FA1FE0" w:rsidRPr="00705170">
        <w:rPr>
          <w:rFonts w:ascii="Times New Roman" w:hAnsi="Times New Roman" w:cs="Times New Roman"/>
        </w:rPr>
        <w:t>with</w:t>
      </w:r>
      <w:proofErr w:type="spellEnd"/>
      <w:r w:rsidR="00FA1FE0" w:rsidRPr="00705170">
        <w:rPr>
          <w:rFonts w:ascii="Times New Roman" w:hAnsi="Times New Roman" w:cs="Times New Roman"/>
        </w:rPr>
        <w:t xml:space="preserve"> </w:t>
      </w:r>
      <w:proofErr w:type="spellStart"/>
      <w:r w:rsidR="00FA1FE0" w:rsidRPr="00705170">
        <w:rPr>
          <w:rFonts w:ascii="Times New Roman" w:hAnsi="Times New Roman" w:cs="Times New Roman"/>
        </w:rPr>
        <w:t>the</w:t>
      </w:r>
      <w:proofErr w:type="spellEnd"/>
      <w:r w:rsidR="00FA1FE0" w:rsidRPr="00705170">
        <w:rPr>
          <w:rFonts w:ascii="Times New Roman" w:hAnsi="Times New Roman" w:cs="Times New Roman"/>
        </w:rPr>
        <w:t xml:space="preserve"> </w:t>
      </w:r>
      <w:proofErr w:type="spellStart"/>
      <w:r w:rsidR="00F31887" w:rsidRPr="00705170">
        <w:rPr>
          <w:rFonts w:ascii="Times New Roman" w:hAnsi="Times New Roman" w:cs="Times New Roman"/>
        </w:rPr>
        <w:t>rules</w:t>
      </w:r>
      <w:proofErr w:type="spellEnd"/>
      <w:r w:rsidR="00F31887" w:rsidRPr="00705170">
        <w:rPr>
          <w:rFonts w:ascii="Times New Roman" w:hAnsi="Times New Roman" w:cs="Times New Roman"/>
        </w:rPr>
        <w:t xml:space="preserve"> of </w:t>
      </w:r>
      <w:proofErr w:type="spellStart"/>
      <w:r w:rsidR="00F31887" w:rsidRPr="00705170">
        <w:rPr>
          <w:rFonts w:ascii="Times New Roman" w:hAnsi="Times New Roman" w:cs="Times New Roman"/>
        </w:rPr>
        <w:t>good</w:t>
      </w:r>
      <w:proofErr w:type="spellEnd"/>
      <w:r w:rsidR="00F31887" w:rsidRPr="00705170">
        <w:rPr>
          <w:rFonts w:ascii="Times New Roman" w:hAnsi="Times New Roman" w:cs="Times New Roman"/>
        </w:rPr>
        <w:t xml:space="preserve"> </w:t>
      </w:r>
      <w:proofErr w:type="spellStart"/>
      <w:r w:rsidR="00F31887" w:rsidRPr="00705170">
        <w:rPr>
          <w:rFonts w:ascii="Times New Roman" w:hAnsi="Times New Roman" w:cs="Times New Roman"/>
        </w:rPr>
        <w:t>faith</w:t>
      </w:r>
      <w:proofErr w:type="spellEnd"/>
      <w:r w:rsidR="00F31887" w:rsidRPr="00705170">
        <w:rPr>
          <w:rStyle w:val="DipnotBavurusu"/>
          <w:rFonts w:ascii="Times New Roman" w:hAnsi="Times New Roman" w:cs="Times New Roman"/>
        </w:rPr>
        <w:footnoteReference w:id="927"/>
      </w:r>
      <w:r w:rsidR="00F31887" w:rsidRPr="00705170">
        <w:rPr>
          <w:rFonts w:ascii="Times New Roman" w:hAnsi="Times New Roman" w:cs="Times New Roman"/>
        </w:rPr>
        <w:t>.</w:t>
      </w:r>
      <w:r w:rsidR="002707C9" w:rsidRPr="00705170">
        <w:rPr>
          <w:rFonts w:ascii="Times New Roman" w:hAnsi="Times New Roman" w:cs="Times New Roman"/>
        </w:rPr>
        <w:t xml:space="preserve"> </w:t>
      </w:r>
      <w:proofErr w:type="spellStart"/>
      <w:r w:rsidR="00C51C1E" w:rsidRPr="00705170">
        <w:rPr>
          <w:rFonts w:ascii="Times New Roman" w:hAnsi="Times New Roman" w:cs="Times New Roman"/>
        </w:rPr>
        <w:t>In</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other</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words</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if</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upon</w:t>
      </w:r>
      <w:proofErr w:type="spellEnd"/>
      <w:r w:rsidR="00C51C1E" w:rsidRPr="00705170">
        <w:rPr>
          <w:rFonts w:ascii="Times New Roman" w:hAnsi="Times New Roman" w:cs="Times New Roman"/>
        </w:rPr>
        <w:t xml:space="preserve"> an </w:t>
      </w:r>
      <w:proofErr w:type="spellStart"/>
      <w:r w:rsidR="00C51C1E" w:rsidRPr="00705170">
        <w:rPr>
          <w:rFonts w:ascii="Times New Roman" w:hAnsi="Times New Roman" w:cs="Times New Roman"/>
        </w:rPr>
        <w:t>occurance</w:t>
      </w:r>
      <w:proofErr w:type="spellEnd"/>
      <w:r w:rsidR="00C51C1E" w:rsidRPr="00705170">
        <w:rPr>
          <w:rFonts w:ascii="Times New Roman" w:hAnsi="Times New Roman" w:cs="Times New Roman"/>
        </w:rPr>
        <w:t xml:space="preserve"> of an </w:t>
      </w:r>
      <w:proofErr w:type="spellStart"/>
      <w:r w:rsidR="00C51C1E" w:rsidRPr="00705170">
        <w:rPr>
          <w:rFonts w:ascii="Times New Roman" w:hAnsi="Times New Roman" w:cs="Times New Roman"/>
        </w:rPr>
        <w:t>event</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expecting</w:t>
      </w:r>
      <w:proofErr w:type="spellEnd"/>
      <w:r w:rsidR="00C51C1E" w:rsidRPr="00705170">
        <w:rPr>
          <w:rFonts w:ascii="Times New Roman" w:hAnsi="Times New Roman" w:cs="Times New Roman"/>
        </w:rPr>
        <w:t xml:space="preserve"> a </w:t>
      </w:r>
      <w:proofErr w:type="spellStart"/>
      <w:r w:rsidR="00C51C1E" w:rsidRPr="00705170">
        <w:rPr>
          <w:rFonts w:ascii="Times New Roman" w:hAnsi="Times New Roman" w:cs="Times New Roman"/>
        </w:rPr>
        <w:t>party</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to</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the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contract</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to</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continue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the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contractual</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relationship</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would</w:t>
      </w:r>
      <w:proofErr w:type="spellEnd"/>
      <w:r w:rsidR="00C51C1E" w:rsidRPr="00705170">
        <w:rPr>
          <w:rFonts w:ascii="Times New Roman" w:hAnsi="Times New Roman" w:cs="Times New Roman"/>
        </w:rPr>
        <w:t xml:space="preserve"> be </w:t>
      </w:r>
      <w:proofErr w:type="spellStart"/>
      <w:r w:rsidR="00C51C1E" w:rsidRPr="00705170">
        <w:rPr>
          <w:rFonts w:ascii="Times New Roman" w:hAnsi="Times New Roman" w:cs="Times New Roman"/>
        </w:rPr>
        <w:t>contrary</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to</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due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rules</w:t>
      </w:r>
      <w:proofErr w:type="spellEnd"/>
      <w:r w:rsidR="00C51C1E" w:rsidRPr="00705170">
        <w:rPr>
          <w:rFonts w:ascii="Times New Roman" w:hAnsi="Times New Roman" w:cs="Times New Roman"/>
        </w:rPr>
        <w:t xml:space="preserve"> of </w:t>
      </w:r>
      <w:proofErr w:type="spellStart"/>
      <w:r w:rsidR="00C51C1E" w:rsidRPr="00705170">
        <w:rPr>
          <w:rFonts w:ascii="Times New Roman" w:hAnsi="Times New Roman" w:cs="Times New Roman"/>
        </w:rPr>
        <w:t>good</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faith</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this</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occurance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lastRenderedPageBreak/>
        <w:t>would</w:t>
      </w:r>
      <w:proofErr w:type="spellEnd"/>
      <w:r w:rsidR="00C51C1E" w:rsidRPr="00705170">
        <w:rPr>
          <w:rFonts w:ascii="Times New Roman" w:hAnsi="Times New Roman" w:cs="Times New Roman"/>
        </w:rPr>
        <w:t xml:space="preserve"> be </w:t>
      </w:r>
      <w:proofErr w:type="spellStart"/>
      <w:r w:rsidR="00C51C1E" w:rsidRPr="00705170">
        <w:rPr>
          <w:rFonts w:ascii="Times New Roman" w:hAnsi="Times New Roman" w:cs="Times New Roman"/>
        </w:rPr>
        <w:t>deemed</w:t>
      </w:r>
      <w:proofErr w:type="spellEnd"/>
      <w:r w:rsidR="00C51C1E" w:rsidRPr="00705170">
        <w:rPr>
          <w:rFonts w:ascii="Times New Roman" w:hAnsi="Times New Roman" w:cs="Times New Roman"/>
        </w:rPr>
        <w:t xml:space="preserve"> a “</w:t>
      </w:r>
      <w:proofErr w:type="spellStart"/>
      <w:r w:rsidR="00C51C1E" w:rsidRPr="00705170">
        <w:rPr>
          <w:rFonts w:ascii="Times New Roman" w:hAnsi="Times New Roman" w:cs="Times New Roman"/>
        </w:rPr>
        <w:t>just</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cause</w:t>
      </w:r>
      <w:proofErr w:type="spellEnd"/>
      <w:r w:rsidR="00C51C1E" w:rsidRPr="00705170">
        <w:rPr>
          <w:rFonts w:ascii="Times New Roman" w:hAnsi="Times New Roman" w:cs="Times New Roman"/>
        </w:rPr>
        <w:t>”</w:t>
      </w:r>
      <w:r w:rsidR="00C51C1E" w:rsidRPr="00705170">
        <w:rPr>
          <w:rStyle w:val="DipnotBavurusu"/>
          <w:rFonts w:ascii="Times New Roman" w:hAnsi="Times New Roman" w:cs="Times New Roman"/>
        </w:rPr>
        <w:footnoteReference w:id="928"/>
      </w:r>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Corollary</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whether</w:t>
      </w:r>
      <w:proofErr w:type="spellEnd"/>
      <w:r w:rsidR="00C51C1E" w:rsidRPr="00705170">
        <w:rPr>
          <w:rFonts w:ascii="Times New Roman" w:hAnsi="Times New Roman" w:cs="Times New Roman"/>
        </w:rPr>
        <w:t xml:space="preserve"> a </w:t>
      </w:r>
      <w:proofErr w:type="spellStart"/>
      <w:r w:rsidR="00C51C1E" w:rsidRPr="00705170">
        <w:rPr>
          <w:rFonts w:ascii="Times New Roman" w:hAnsi="Times New Roman" w:cs="Times New Roman"/>
        </w:rPr>
        <w:t>contractual</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relationship</w:t>
      </w:r>
      <w:proofErr w:type="spellEnd"/>
      <w:r w:rsidR="00C51C1E" w:rsidRPr="00705170">
        <w:rPr>
          <w:rFonts w:ascii="Times New Roman" w:hAnsi="Times New Roman" w:cs="Times New Roman"/>
        </w:rPr>
        <w:t xml:space="preserve"> had </w:t>
      </w:r>
      <w:proofErr w:type="spellStart"/>
      <w:r w:rsidR="00C51C1E" w:rsidRPr="00705170">
        <w:rPr>
          <w:rFonts w:ascii="Times New Roman" w:hAnsi="Times New Roman" w:cs="Times New Roman"/>
        </w:rPr>
        <w:t>become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unbearable</w:t>
      </w:r>
      <w:proofErr w:type="spellEnd"/>
      <w:r w:rsidR="00C51C1E" w:rsidRPr="00705170">
        <w:rPr>
          <w:rFonts w:ascii="Times New Roman" w:hAnsi="Times New Roman" w:cs="Times New Roman"/>
        </w:rPr>
        <w:t xml:space="preserve"> is </w:t>
      </w:r>
      <w:proofErr w:type="spellStart"/>
      <w:r w:rsidR="00C51C1E" w:rsidRPr="00705170">
        <w:rPr>
          <w:rFonts w:ascii="Times New Roman" w:hAnsi="Times New Roman" w:cs="Times New Roman"/>
        </w:rPr>
        <w:t>determined</w:t>
      </w:r>
      <w:proofErr w:type="spellEnd"/>
      <w:r w:rsidR="00C51C1E" w:rsidRPr="00705170">
        <w:rPr>
          <w:rFonts w:ascii="Times New Roman" w:hAnsi="Times New Roman" w:cs="Times New Roman"/>
        </w:rPr>
        <w:t xml:space="preserve"> in </w:t>
      </w:r>
      <w:proofErr w:type="spellStart"/>
      <w:r w:rsidR="00C51C1E" w:rsidRPr="00705170">
        <w:rPr>
          <w:rFonts w:ascii="Times New Roman" w:hAnsi="Times New Roman" w:cs="Times New Roman"/>
        </w:rPr>
        <w:t>accordance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with</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the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rules</w:t>
      </w:r>
      <w:proofErr w:type="spellEnd"/>
      <w:r w:rsidR="00C51C1E" w:rsidRPr="00705170">
        <w:rPr>
          <w:rFonts w:ascii="Times New Roman" w:hAnsi="Times New Roman" w:cs="Times New Roman"/>
        </w:rPr>
        <w:t xml:space="preserve"> of </w:t>
      </w:r>
      <w:proofErr w:type="spellStart"/>
      <w:r w:rsidR="00C51C1E" w:rsidRPr="00705170">
        <w:rPr>
          <w:rFonts w:ascii="Times New Roman" w:hAnsi="Times New Roman" w:cs="Times New Roman"/>
        </w:rPr>
        <w:t>good</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faith</w:t>
      </w:r>
      <w:proofErr w:type="spellEnd"/>
      <w:r w:rsidR="00C51C1E" w:rsidRPr="00705170">
        <w:rPr>
          <w:rStyle w:val="DipnotBavurusu"/>
          <w:rFonts w:ascii="Times New Roman" w:hAnsi="Times New Roman" w:cs="Times New Roman"/>
        </w:rPr>
        <w:footnoteReference w:id="929"/>
      </w:r>
      <w:r w:rsidR="00C51C1E" w:rsidRPr="00705170">
        <w:rPr>
          <w:rFonts w:ascii="Times New Roman" w:hAnsi="Times New Roman" w:cs="Times New Roman"/>
        </w:rPr>
        <w:t xml:space="preserve">. </w:t>
      </w:r>
      <w:proofErr w:type="spellStart"/>
      <w:r w:rsidR="007B5F72" w:rsidRPr="00705170">
        <w:rPr>
          <w:rFonts w:ascii="Times New Roman" w:hAnsi="Times New Roman" w:cs="Times New Roman"/>
        </w:rPr>
        <w:t>In</w:t>
      </w:r>
      <w:proofErr w:type="spellEnd"/>
      <w:r w:rsidR="007B5F72" w:rsidRPr="00705170">
        <w:rPr>
          <w:rFonts w:ascii="Times New Roman" w:hAnsi="Times New Roman" w:cs="Times New Roman"/>
        </w:rPr>
        <w:t xml:space="preserve"> </w:t>
      </w:r>
      <w:proofErr w:type="spellStart"/>
      <w:r w:rsidR="007B5F72" w:rsidRPr="00705170">
        <w:rPr>
          <w:rFonts w:ascii="Times New Roman" w:hAnsi="Times New Roman" w:cs="Times New Roman"/>
        </w:rPr>
        <w:t>this</w:t>
      </w:r>
      <w:proofErr w:type="spellEnd"/>
      <w:r w:rsidR="007B5F72" w:rsidRPr="00705170">
        <w:rPr>
          <w:rFonts w:ascii="Times New Roman" w:hAnsi="Times New Roman" w:cs="Times New Roman"/>
        </w:rPr>
        <w:t xml:space="preserve"> sense, </w:t>
      </w:r>
      <w:proofErr w:type="spellStart"/>
      <w:r w:rsidR="007B5F72" w:rsidRPr="00705170">
        <w:rPr>
          <w:rFonts w:ascii="Times New Roman" w:hAnsi="Times New Roman" w:cs="Times New Roman"/>
        </w:rPr>
        <w:t>the</w:t>
      </w:r>
      <w:proofErr w:type="spellEnd"/>
      <w:r w:rsidR="007B5F72" w:rsidRPr="00705170">
        <w:rPr>
          <w:rFonts w:ascii="Times New Roman" w:hAnsi="Times New Roman" w:cs="Times New Roman"/>
        </w:rPr>
        <w:t xml:space="preserve"> </w:t>
      </w:r>
      <w:proofErr w:type="spellStart"/>
      <w:r w:rsidR="007B5F72" w:rsidRPr="00705170">
        <w:rPr>
          <w:rFonts w:ascii="Times New Roman" w:hAnsi="Times New Roman" w:cs="Times New Roman"/>
        </w:rPr>
        <w:t>standard</w:t>
      </w:r>
      <w:proofErr w:type="spellEnd"/>
      <w:r w:rsidR="007B5F72" w:rsidRPr="00705170">
        <w:rPr>
          <w:rFonts w:ascii="Times New Roman" w:hAnsi="Times New Roman" w:cs="Times New Roman"/>
        </w:rPr>
        <w:t xml:space="preserve"> </w:t>
      </w:r>
      <w:proofErr w:type="spellStart"/>
      <w:r w:rsidR="007B5F72" w:rsidRPr="00705170">
        <w:rPr>
          <w:rFonts w:ascii="Times New Roman" w:hAnsi="Times New Roman" w:cs="Times New Roman"/>
        </w:rPr>
        <w:t>that</w:t>
      </w:r>
      <w:proofErr w:type="spellEnd"/>
      <w:r w:rsidR="007B5F72" w:rsidRPr="00705170">
        <w:rPr>
          <w:rFonts w:ascii="Times New Roman" w:hAnsi="Times New Roman" w:cs="Times New Roman"/>
        </w:rPr>
        <w:t xml:space="preserve"> </w:t>
      </w:r>
      <w:proofErr w:type="spellStart"/>
      <w:r w:rsidR="007B5F72" w:rsidRPr="00705170">
        <w:rPr>
          <w:rFonts w:ascii="Times New Roman" w:hAnsi="Times New Roman" w:cs="Times New Roman"/>
        </w:rPr>
        <w:t>will</w:t>
      </w:r>
      <w:proofErr w:type="spellEnd"/>
      <w:r w:rsidR="007B5F72" w:rsidRPr="00705170">
        <w:rPr>
          <w:rFonts w:ascii="Times New Roman" w:hAnsi="Times New Roman" w:cs="Times New Roman"/>
        </w:rPr>
        <w:t xml:space="preserve"> be </w:t>
      </w:r>
      <w:proofErr w:type="spellStart"/>
      <w:r w:rsidR="007B5F72" w:rsidRPr="00705170">
        <w:rPr>
          <w:rFonts w:ascii="Times New Roman" w:hAnsi="Times New Roman" w:cs="Times New Roman"/>
        </w:rPr>
        <w:t>used</w:t>
      </w:r>
      <w:proofErr w:type="spellEnd"/>
      <w:r w:rsidR="007B5F72" w:rsidRPr="00705170">
        <w:rPr>
          <w:rFonts w:ascii="Times New Roman" w:hAnsi="Times New Roman" w:cs="Times New Roman"/>
        </w:rPr>
        <w:t xml:space="preserve"> </w:t>
      </w:r>
      <w:proofErr w:type="spellStart"/>
      <w:r w:rsidR="007B5F72" w:rsidRPr="00705170">
        <w:rPr>
          <w:rFonts w:ascii="Times New Roman" w:hAnsi="Times New Roman" w:cs="Times New Roman"/>
        </w:rPr>
        <w:t>to</w:t>
      </w:r>
      <w:proofErr w:type="spellEnd"/>
      <w:r w:rsidR="007B5F72" w:rsidRPr="00705170">
        <w:rPr>
          <w:rFonts w:ascii="Times New Roman" w:hAnsi="Times New Roman" w:cs="Times New Roman"/>
        </w:rPr>
        <w:t xml:space="preserve"> test </w:t>
      </w:r>
      <w:proofErr w:type="spellStart"/>
      <w:r w:rsidR="007B5F72" w:rsidRPr="00705170">
        <w:rPr>
          <w:rFonts w:ascii="Times New Roman" w:hAnsi="Times New Roman" w:cs="Times New Roman"/>
        </w:rPr>
        <w:t>whether</w:t>
      </w:r>
      <w:proofErr w:type="spellEnd"/>
      <w:r w:rsidR="007B5F72" w:rsidRPr="00705170">
        <w:rPr>
          <w:rFonts w:ascii="Times New Roman" w:hAnsi="Times New Roman" w:cs="Times New Roman"/>
        </w:rPr>
        <w:t xml:space="preserve"> </w:t>
      </w:r>
      <w:proofErr w:type="spellStart"/>
      <w:r w:rsidR="007B5F72" w:rsidRPr="00705170">
        <w:rPr>
          <w:rFonts w:ascii="Times New Roman" w:hAnsi="Times New Roman" w:cs="Times New Roman"/>
        </w:rPr>
        <w:t>there</w:t>
      </w:r>
      <w:proofErr w:type="spellEnd"/>
      <w:r w:rsidR="007B5F72" w:rsidRPr="00705170">
        <w:rPr>
          <w:rFonts w:ascii="Times New Roman" w:hAnsi="Times New Roman" w:cs="Times New Roman"/>
        </w:rPr>
        <w:t xml:space="preserve"> is a “</w:t>
      </w:r>
      <w:proofErr w:type="spellStart"/>
      <w:r w:rsidR="007B5F72" w:rsidRPr="00705170">
        <w:rPr>
          <w:rFonts w:ascii="Times New Roman" w:hAnsi="Times New Roman" w:cs="Times New Roman"/>
        </w:rPr>
        <w:t>just</w:t>
      </w:r>
      <w:proofErr w:type="spellEnd"/>
      <w:r w:rsidR="007B5F72" w:rsidRPr="00705170">
        <w:rPr>
          <w:rFonts w:ascii="Times New Roman" w:hAnsi="Times New Roman" w:cs="Times New Roman"/>
        </w:rPr>
        <w:t xml:space="preserve"> </w:t>
      </w:r>
      <w:proofErr w:type="spellStart"/>
      <w:r w:rsidR="007B5F72" w:rsidRPr="00705170">
        <w:rPr>
          <w:rFonts w:ascii="Times New Roman" w:hAnsi="Times New Roman" w:cs="Times New Roman"/>
        </w:rPr>
        <w:t>cause</w:t>
      </w:r>
      <w:proofErr w:type="spellEnd"/>
      <w:r w:rsidR="007B5F72" w:rsidRPr="00705170">
        <w:rPr>
          <w:rFonts w:ascii="Times New Roman" w:hAnsi="Times New Roman" w:cs="Times New Roman"/>
        </w:rPr>
        <w:t xml:space="preserve">” is </w:t>
      </w:r>
      <w:proofErr w:type="spellStart"/>
      <w:r w:rsidR="007B5F72" w:rsidRPr="00705170">
        <w:rPr>
          <w:rFonts w:ascii="Times New Roman" w:hAnsi="Times New Roman" w:cs="Times New Roman"/>
        </w:rPr>
        <w:t>the</w:t>
      </w:r>
      <w:proofErr w:type="spellEnd"/>
      <w:r w:rsidR="007B5F72" w:rsidRPr="00705170">
        <w:rPr>
          <w:rFonts w:ascii="Times New Roman" w:hAnsi="Times New Roman" w:cs="Times New Roman"/>
        </w:rPr>
        <w:t xml:space="preserve"> “</w:t>
      </w:r>
      <w:proofErr w:type="spellStart"/>
      <w:r w:rsidR="007B5F72" w:rsidRPr="00705170">
        <w:rPr>
          <w:rFonts w:ascii="Times New Roman" w:hAnsi="Times New Roman" w:cs="Times New Roman"/>
        </w:rPr>
        <w:t>unbearability</w:t>
      </w:r>
      <w:proofErr w:type="spellEnd"/>
      <w:r w:rsidR="007B5F72" w:rsidRPr="00705170">
        <w:rPr>
          <w:rFonts w:ascii="Times New Roman" w:hAnsi="Times New Roman" w:cs="Times New Roman"/>
        </w:rPr>
        <w:t xml:space="preserve">” </w:t>
      </w:r>
      <w:proofErr w:type="spellStart"/>
      <w:r w:rsidR="007B5F72" w:rsidRPr="00705170">
        <w:rPr>
          <w:rFonts w:ascii="Times New Roman" w:hAnsi="Times New Roman" w:cs="Times New Roman"/>
        </w:rPr>
        <w:t>standard</w:t>
      </w:r>
      <w:proofErr w:type="spellEnd"/>
      <w:r w:rsidR="007B5F72" w:rsidRPr="00705170">
        <w:rPr>
          <w:rStyle w:val="DipnotBavurusu"/>
          <w:rFonts w:ascii="Times New Roman" w:hAnsi="Times New Roman" w:cs="Times New Roman"/>
        </w:rPr>
        <w:footnoteReference w:id="930"/>
      </w:r>
      <w:r w:rsidR="007B5F72" w:rsidRPr="00705170">
        <w:rPr>
          <w:rFonts w:ascii="Times New Roman" w:hAnsi="Times New Roman" w:cs="Times New Roman"/>
        </w:rPr>
        <w:t xml:space="preserve">. </w:t>
      </w:r>
    </w:p>
    <w:p w14:paraId="086F120A" w14:textId="59A130C9" w:rsidR="00F14389" w:rsidRPr="00705170" w:rsidRDefault="002707C9" w:rsidP="00ED2B78">
      <w:pPr>
        <w:spacing w:after="240" w:line="480" w:lineRule="auto"/>
        <w:ind w:firstLine="708"/>
        <w:jc w:val="both"/>
        <w:rPr>
          <w:rFonts w:ascii="Times New Roman" w:hAnsi="Times New Roman" w:cs="Times New Roman"/>
        </w:rPr>
      </w:pPr>
      <w:r w:rsidRPr="00705170">
        <w:rPr>
          <w:rFonts w:ascii="Times New Roman" w:hAnsi="Times New Roman" w:cs="Times New Roman"/>
        </w:rPr>
        <w:t xml:space="preserve">As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unbearability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definition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concept</w:t>
      </w:r>
      <w:proofErr w:type="spellEnd"/>
      <w:r w:rsidRPr="00705170">
        <w:rPr>
          <w:rFonts w:ascii="Times New Roman" w:hAnsi="Times New Roman" w:cs="Times New Roman"/>
        </w:rPr>
        <w:t xml:space="preserve"> is a </w:t>
      </w:r>
      <w:proofErr w:type="spellStart"/>
      <w:r w:rsidRPr="00705170">
        <w:rPr>
          <w:rFonts w:ascii="Times New Roman" w:hAnsi="Times New Roman" w:cs="Times New Roman"/>
        </w:rPr>
        <w:t>broad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two</w:t>
      </w:r>
      <w:proofErr w:type="spellEnd"/>
      <w:r w:rsidR="00F57472">
        <w:rPr>
          <w:rFonts w:ascii="Times New Roman" w:hAnsi="Times New Roman" w:cs="Times New Roman"/>
        </w:rPr>
        <w:t xml:space="preserve"> </w:t>
      </w:r>
      <w:proofErr w:type="spellStart"/>
      <w:r w:rsidR="00F57472">
        <w:rPr>
          <w:rFonts w:ascii="Times New Roman" w:hAnsi="Times New Roman" w:cs="Times New Roman"/>
        </w:rPr>
        <w:t>criterias</w:t>
      </w:r>
      <w:proofErr w:type="spellEnd"/>
      <w:r w:rsidR="00F57472">
        <w:rPr>
          <w:rFonts w:ascii="Times New Roman" w:hAnsi="Times New Roman" w:cs="Times New Roman"/>
        </w:rPr>
        <w:t xml:space="preserve"> </w:t>
      </w:r>
      <w:proofErr w:type="spellStart"/>
      <w:r w:rsidR="00F57472">
        <w:rPr>
          <w:rFonts w:ascii="Times New Roman" w:hAnsi="Times New Roman" w:cs="Times New Roman"/>
        </w:rPr>
        <w:t>that</w:t>
      </w:r>
      <w:proofErr w:type="spellEnd"/>
      <w:r w:rsidR="00F57472">
        <w:rPr>
          <w:rFonts w:ascii="Times New Roman" w:hAnsi="Times New Roman" w:cs="Times New Roman"/>
        </w:rPr>
        <w:t xml:space="preserve"> </w:t>
      </w:r>
      <w:proofErr w:type="spellStart"/>
      <w:r w:rsidR="00F57472">
        <w:rPr>
          <w:rFonts w:ascii="Times New Roman" w:hAnsi="Times New Roman" w:cs="Times New Roman"/>
        </w:rPr>
        <w:t>are</w:t>
      </w:r>
      <w:proofErr w:type="spellEnd"/>
      <w:r w:rsidR="00F57472">
        <w:rPr>
          <w:rFonts w:ascii="Times New Roman" w:hAnsi="Times New Roman" w:cs="Times New Roman"/>
        </w:rPr>
        <w:t xml:space="preserve"> </w:t>
      </w:r>
      <w:proofErr w:type="spellStart"/>
      <w:r w:rsidR="00F57472">
        <w:rPr>
          <w:rFonts w:ascii="Times New Roman" w:hAnsi="Times New Roman" w:cs="Times New Roman"/>
        </w:rPr>
        <w:t>used</w:t>
      </w:r>
      <w:proofErr w:type="spellEnd"/>
      <w:r w:rsidR="00F57472">
        <w:rPr>
          <w:rFonts w:ascii="Times New Roman" w:hAnsi="Times New Roman" w:cs="Times New Roman"/>
        </w:rPr>
        <w:t xml:space="preserve"> </w:t>
      </w:r>
      <w:proofErr w:type="spellStart"/>
      <w:r w:rsidR="004E3028">
        <w:rPr>
          <w:rFonts w:ascii="Times New Roman" w:hAnsi="Times New Roman" w:cs="Times New Roman"/>
        </w:rPr>
        <w:t>to</w:t>
      </w:r>
      <w:proofErr w:type="spellEnd"/>
      <w:r w:rsidRPr="00705170">
        <w:rPr>
          <w:rFonts w:ascii="Times New Roman" w:hAnsi="Times New Roman" w:cs="Times New Roman"/>
        </w:rPr>
        <w:t xml:space="preserve"> limit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definition</w:t>
      </w:r>
      <w:proofErr w:type="spellEnd"/>
      <w:r w:rsidRPr="00705170">
        <w:rPr>
          <w:rFonts w:ascii="Times New Roman" w:hAnsi="Times New Roman" w:cs="Times New Roman"/>
        </w:rPr>
        <w:t>: (1) “</w:t>
      </w:r>
      <w:proofErr w:type="spellStart"/>
      <w:r w:rsidRPr="00705170">
        <w:rPr>
          <w:rFonts w:ascii="Times New Roman" w:hAnsi="Times New Roman" w:cs="Times New Roman"/>
        </w:rPr>
        <w:t>frustration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trust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among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participants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(2) “</w:t>
      </w:r>
      <w:proofErr w:type="spellStart"/>
      <w:r w:rsidRPr="00705170">
        <w:rPr>
          <w:rFonts w:ascii="Times New Roman" w:hAnsi="Times New Roman" w:cs="Times New Roman"/>
        </w:rPr>
        <w:t>frustration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personal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relations</w:t>
      </w:r>
      <w:proofErr w:type="spellEnd"/>
      <w:r w:rsidRPr="00705170">
        <w:rPr>
          <w:rFonts w:ascii="Times New Roman" w:hAnsi="Times New Roman" w:cs="Times New Roman"/>
        </w:rPr>
        <w:t>”</w:t>
      </w:r>
      <w:r w:rsidRPr="00705170">
        <w:rPr>
          <w:rStyle w:val="DipnotBavurusu"/>
          <w:rFonts w:ascii="Times New Roman" w:hAnsi="Times New Roman" w:cs="Times New Roman"/>
        </w:rPr>
        <w:footnoteReference w:id="931"/>
      </w:r>
      <w:r w:rsidRPr="00705170">
        <w:rPr>
          <w:rFonts w:ascii="Times New Roman" w:hAnsi="Times New Roman" w:cs="Times New Roman"/>
        </w:rPr>
        <w:t>.</w:t>
      </w:r>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It</w:t>
      </w:r>
      <w:proofErr w:type="spellEnd"/>
      <w:r w:rsidR="00C51C1E" w:rsidRPr="00705170">
        <w:rPr>
          <w:rFonts w:ascii="Times New Roman" w:hAnsi="Times New Roman" w:cs="Times New Roman"/>
        </w:rPr>
        <w:t xml:space="preserve"> is </w:t>
      </w:r>
      <w:proofErr w:type="spellStart"/>
      <w:r w:rsidR="00C51C1E" w:rsidRPr="00705170">
        <w:rPr>
          <w:rFonts w:ascii="Times New Roman" w:hAnsi="Times New Roman" w:cs="Times New Roman"/>
        </w:rPr>
        <w:t>opined</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that</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the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concept</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should</w:t>
      </w:r>
      <w:proofErr w:type="spellEnd"/>
      <w:r w:rsidR="00C51C1E" w:rsidRPr="00705170">
        <w:rPr>
          <w:rFonts w:ascii="Times New Roman" w:hAnsi="Times New Roman" w:cs="Times New Roman"/>
        </w:rPr>
        <w:t xml:space="preserve"> be </w:t>
      </w:r>
      <w:proofErr w:type="spellStart"/>
      <w:r w:rsidR="00C51C1E" w:rsidRPr="00705170">
        <w:rPr>
          <w:rFonts w:ascii="Times New Roman" w:hAnsi="Times New Roman" w:cs="Times New Roman"/>
        </w:rPr>
        <w:t>evaluated</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case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by</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case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and</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even</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the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conditions</w:t>
      </w:r>
      <w:proofErr w:type="spellEnd"/>
      <w:r w:rsidR="00C51C1E" w:rsidRPr="00705170">
        <w:rPr>
          <w:rFonts w:ascii="Times New Roman" w:hAnsi="Times New Roman" w:cs="Times New Roman"/>
        </w:rPr>
        <w:t xml:space="preserve"> of </w:t>
      </w:r>
      <w:proofErr w:type="spellStart"/>
      <w:r w:rsidR="00C51C1E" w:rsidRPr="00705170">
        <w:rPr>
          <w:rFonts w:ascii="Times New Roman" w:hAnsi="Times New Roman" w:cs="Times New Roman"/>
        </w:rPr>
        <w:t>the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place</w:t>
      </w:r>
      <w:proofErr w:type="spellEnd"/>
      <w:r w:rsidR="00C51C1E" w:rsidRPr="00705170">
        <w:rPr>
          <w:rFonts w:ascii="Times New Roman" w:hAnsi="Times New Roman" w:cs="Times New Roman"/>
        </w:rPr>
        <w:t xml:space="preserve"> of </w:t>
      </w:r>
      <w:proofErr w:type="spellStart"/>
      <w:r w:rsidR="00C51C1E" w:rsidRPr="00705170">
        <w:rPr>
          <w:rFonts w:ascii="Times New Roman" w:hAnsi="Times New Roman" w:cs="Times New Roman"/>
        </w:rPr>
        <w:t>incorporation</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and</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the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culture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therein</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should</w:t>
      </w:r>
      <w:proofErr w:type="spellEnd"/>
      <w:r w:rsidR="00C51C1E" w:rsidRPr="00705170">
        <w:rPr>
          <w:rFonts w:ascii="Times New Roman" w:hAnsi="Times New Roman" w:cs="Times New Roman"/>
        </w:rPr>
        <w:t xml:space="preserve"> be </w:t>
      </w:r>
      <w:proofErr w:type="spellStart"/>
      <w:r w:rsidR="00C51C1E" w:rsidRPr="00705170">
        <w:rPr>
          <w:rFonts w:ascii="Times New Roman" w:hAnsi="Times New Roman" w:cs="Times New Roman"/>
        </w:rPr>
        <w:t>included</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to</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the</w:t>
      </w:r>
      <w:proofErr w:type="spellEnd"/>
      <w:r w:rsidR="00C51C1E" w:rsidRPr="00705170">
        <w:rPr>
          <w:rFonts w:ascii="Times New Roman" w:hAnsi="Times New Roman" w:cs="Times New Roman"/>
        </w:rPr>
        <w:t xml:space="preserve"> </w:t>
      </w:r>
      <w:proofErr w:type="spellStart"/>
      <w:r w:rsidR="00C51C1E" w:rsidRPr="00705170">
        <w:rPr>
          <w:rFonts w:ascii="Times New Roman" w:hAnsi="Times New Roman" w:cs="Times New Roman"/>
        </w:rPr>
        <w:t>evaluation</w:t>
      </w:r>
      <w:proofErr w:type="spellEnd"/>
      <w:r w:rsidR="00C51C1E" w:rsidRPr="00705170">
        <w:rPr>
          <w:rStyle w:val="DipnotBavurusu"/>
          <w:rFonts w:ascii="Times New Roman" w:hAnsi="Times New Roman" w:cs="Times New Roman"/>
        </w:rPr>
        <w:footnoteReference w:id="932"/>
      </w:r>
      <w:r w:rsidR="00EB5B3B" w:rsidRPr="00705170">
        <w:rPr>
          <w:rFonts w:ascii="Times New Roman" w:hAnsi="Times New Roman" w:cs="Times New Roman"/>
        </w:rPr>
        <w:t xml:space="preserve">. </w:t>
      </w:r>
      <w:proofErr w:type="spellStart"/>
      <w:r w:rsidR="00ED2B78" w:rsidRPr="00705170">
        <w:rPr>
          <w:rFonts w:ascii="Times New Roman" w:hAnsi="Times New Roman" w:cs="Times New Roman"/>
        </w:rPr>
        <w:t>Then</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the</w:t>
      </w:r>
      <w:proofErr w:type="spellEnd"/>
      <w:r w:rsidR="00ED2B78" w:rsidRPr="00705170">
        <w:rPr>
          <w:rFonts w:ascii="Times New Roman" w:hAnsi="Times New Roman" w:cs="Times New Roman"/>
        </w:rPr>
        <w:t xml:space="preserve"> </w:t>
      </w:r>
      <w:proofErr w:type="spellStart"/>
      <w:r w:rsidR="0099210D">
        <w:rPr>
          <w:rFonts w:ascii="Times New Roman" w:hAnsi="Times New Roman" w:cs="Times New Roman"/>
        </w:rPr>
        <w:t>incidents</w:t>
      </w:r>
      <w:proofErr w:type="spellEnd"/>
      <w:r w:rsidR="0099210D" w:rsidRPr="00705170">
        <w:rPr>
          <w:rFonts w:ascii="Times New Roman" w:hAnsi="Times New Roman" w:cs="Times New Roman"/>
        </w:rPr>
        <w:t xml:space="preserve"> </w:t>
      </w:r>
      <w:proofErr w:type="spellStart"/>
      <w:r w:rsidR="00ED2B78" w:rsidRPr="00705170">
        <w:rPr>
          <w:rFonts w:ascii="Times New Roman" w:hAnsi="Times New Roman" w:cs="Times New Roman"/>
        </w:rPr>
        <w:t>causing</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the</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just</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cause</w:t>
      </w:r>
      <w:proofErr w:type="spellEnd"/>
      <w:r w:rsidR="00ED2B78" w:rsidRPr="00705170">
        <w:rPr>
          <w:rFonts w:ascii="Times New Roman" w:hAnsi="Times New Roman" w:cs="Times New Roman"/>
        </w:rPr>
        <w:t xml:space="preserve">” can be </w:t>
      </w:r>
      <w:proofErr w:type="spellStart"/>
      <w:r w:rsidR="00ED2B78" w:rsidRPr="00705170">
        <w:rPr>
          <w:rFonts w:ascii="Times New Roman" w:hAnsi="Times New Roman" w:cs="Times New Roman"/>
        </w:rPr>
        <w:t>defined</w:t>
      </w:r>
      <w:proofErr w:type="spellEnd"/>
      <w:r w:rsidR="00ED2B78" w:rsidRPr="00705170">
        <w:rPr>
          <w:rFonts w:ascii="Times New Roman" w:hAnsi="Times New Roman" w:cs="Times New Roman"/>
        </w:rPr>
        <w:t xml:space="preserve"> as “</w:t>
      </w:r>
      <w:proofErr w:type="spellStart"/>
      <w:r w:rsidR="00ED2B78" w:rsidRPr="00705170">
        <w:rPr>
          <w:rFonts w:ascii="Times New Roman" w:hAnsi="Times New Roman" w:cs="Times New Roman"/>
        </w:rPr>
        <w:t>transactions</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or</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actions</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that</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frustrates</w:t>
      </w:r>
      <w:proofErr w:type="spellEnd"/>
      <w:r w:rsidR="00ED2B78" w:rsidRPr="00705170">
        <w:rPr>
          <w:rFonts w:ascii="Times New Roman" w:hAnsi="Times New Roman" w:cs="Times New Roman"/>
        </w:rPr>
        <w:t xml:space="preserve"> a </w:t>
      </w:r>
      <w:proofErr w:type="spellStart"/>
      <w:r w:rsidR="00ED2B78" w:rsidRPr="00705170">
        <w:rPr>
          <w:rFonts w:ascii="Times New Roman" w:hAnsi="Times New Roman" w:cs="Times New Roman"/>
        </w:rPr>
        <w:t>shareholders</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rights</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or</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interests</w:t>
      </w:r>
      <w:proofErr w:type="spellEnd"/>
      <w:r w:rsidR="00ED2B78" w:rsidRPr="00705170">
        <w:rPr>
          <w:rFonts w:ascii="Times New Roman" w:hAnsi="Times New Roman" w:cs="Times New Roman"/>
        </w:rPr>
        <w:t xml:space="preserve"> in a </w:t>
      </w:r>
      <w:proofErr w:type="spellStart"/>
      <w:r w:rsidR="00ED2B78" w:rsidRPr="00705170">
        <w:rPr>
          <w:rFonts w:ascii="Times New Roman" w:hAnsi="Times New Roman" w:cs="Times New Roman"/>
        </w:rPr>
        <w:t>continous</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and</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essential</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manner</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and</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deems</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the</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shareholder’s</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participation</w:t>
      </w:r>
      <w:proofErr w:type="spellEnd"/>
      <w:r w:rsidR="00ED2B78" w:rsidRPr="00705170">
        <w:rPr>
          <w:rFonts w:ascii="Times New Roman" w:hAnsi="Times New Roman" w:cs="Times New Roman"/>
        </w:rPr>
        <w:t xml:space="preserve"> in </w:t>
      </w:r>
      <w:proofErr w:type="spellStart"/>
      <w:r w:rsidR="00ED2B78" w:rsidRPr="00705170">
        <w:rPr>
          <w:rFonts w:ascii="Times New Roman" w:hAnsi="Times New Roman" w:cs="Times New Roman"/>
        </w:rPr>
        <w:t>the</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corporation</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unbearable</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for</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him</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according</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to</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the</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rules</w:t>
      </w:r>
      <w:proofErr w:type="spellEnd"/>
      <w:r w:rsidR="00ED2B78" w:rsidRPr="00705170">
        <w:rPr>
          <w:rFonts w:ascii="Times New Roman" w:hAnsi="Times New Roman" w:cs="Times New Roman"/>
        </w:rPr>
        <w:t xml:space="preserve"> of </w:t>
      </w:r>
      <w:proofErr w:type="spellStart"/>
      <w:r w:rsidR="00ED2B78" w:rsidRPr="00705170">
        <w:rPr>
          <w:rFonts w:ascii="Times New Roman" w:hAnsi="Times New Roman" w:cs="Times New Roman"/>
        </w:rPr>
        <w:t>good</w:t>
      </w:r>
      <w:proofErr w:type="spellEnd"/>
      <w:r w:rsidR="00ED2B78" w:rsidRPr="00705170">
        <w:rPr>
          <w:rFonts w:ascii="Times New Roman" w:hAnsi="Times New Roman" w:cs="Times New Roman"/>
        </w:rPr>
        <w:t xml:space="preserve"> </w:t>
      </w:r>
      <w:proofErr w:type="spellStart"/>
      <w:r w:rsidR="00ED2B78" w:rsidRPr="00705170">
        <w:rPr>
          <w:rFonts w:ascii="Times New Roman" w:hAnsi="Times New Roman" w:cs="Times New Roman"/>
        </w:rPr>
        <w:t>faith</w:t>
      </w:r>
      <w:proofErr w:type="spellEnd"/>
      <w:r w:rsidR="00ED2B78" w:rsidRPr="00705170">
        <w:rPr>
          <w:rFonts w:ascii="Times New Roman" w:hAnsi="Times New Roman" w:cs="Times New Roman"/>
        </w:rPr>
        <w:t>”</w:t>
      </w:r>
      <w:r w:rsidR="00ED2B78" w:rsidRPr="00705170">
        <w:rPr>
          <w:rStyle w:val="DipnotBavurusu"/>
          <w:rFonts w:ascii="Times New Roman" w:hAnsi="Times New Roman" w:cs="Times New Roman"/>
        </w:rPr>
        <w:footnoteReference w:id="933"/>
      </w:r>
      <w:r w:rsidR="00ED2B78" w:rsidRPr="00705170">
        <w:rPr>
          <w:rFonts w:ascii="Times New Roman" w:hAnsi="Times New Roman" w:cs="Times New Roman"/>
        </w:rPr>
        <w:t>.</w:t>
      </w:r>
    </w:p>
    <w:p w14:paraId="0FBC54D3" w14:textId="77777777" w:rsidR="00AD6CA4" w:rsidRDefault="00AC3E45" w:rsidP="00F14389">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Pr="00705170">
        <w:rPr>
          <w:rFonts w:ascii="Times New Roman" w:hAnsi="Times New Roman" w:cs="Times New Roman"/>
        </w:rPr>
        <w:t>Commentators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opine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situations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as (1)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majority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continuously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aggreived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because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majority’s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selfish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actions</w:t>
      </w:r>
      <w:proofErr w:type="spellEnd"/>
      <w:r w:rsidRPr="00705170">
        <w:rPr>
          <w:rFonts w:ascii="Times New Roman" w:hAnsi="Times New Roman" w:cs="Times New Roman"/>
        </w:rPr>
        <w:t xml:space="preserve">, (2)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information</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contin</w:t>
      </w:r>
      <w:r w:rsidR="00010179">
        <w:rPr>
          <w:rFonts w:ascii="Times New Roman" w:hAnsi="Times New Roman" w:cs="Times New Roman"/>
        </w:rPr>
        <w:t>u</w:t>
      </w:r>
      <w:r w:rsidRPr="00705170">
        <w:rPr>
          <w:rFonts w:ascii="Times New Roman" w:hAnsi="Times New Roman" w:cs="Times New Roman"/>
        </w:rPr>
        <w:t>ously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violated</w:t>
      </w:r>
      <w:proofErr w:type="spellEnd"/>
      <w:r w:rsidRPr="00705170">
        <w:rPr>
          <w:rFonts w:ascii="Times New Roman" w:hAnsi="Times New Roman" w:cs="Times New Roman"/>
        </w:rPr>
        <w:t xml:space="preserve">, (3) </w:t>
      </w:r>
      <w:proofErr w:type="spellStart"/>
      <w:r w:rsidRPr="00705170">
        <w:rPr>
          <w:rFonts w:ascii="Times New Roman" w:hAnsi="Times New Roman" w:cs="Times New Roman"/>
        </w:rPr>
        <w:t>continuous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mismanagement</w:t>
      </w:r>
      <w:proofErr w:type="spellEnd"/>
      <w:r w:rsidRPr="00705170">
        <w:rPr>
          <w:rFonts w:ascii="Times New Roman" w:hAnsi="Times New Roman" w:cs="Times New Roman"/>
        </w:rPr>
        <w:t xml:space="preserve"> (</w:t>
      </w:r>
      <w:proofErr w:type="spellStart"/>
      <w:r w:rsidR="00ED2B78" w:rsidRPr="00705170">
        <w:rPr>
          <w:rFonts w:ascii="Times New Roman" w:hAnsi="Times New Roman" w:cs="Times New Roman"/>
        </w:rPr>
        <w:t>i.e</w:t>
      </w:r>
      <w:proofErr w:type="spellEnd"/>
      <w:r w:rsidR="00ED2B78" w:rsidRPr="00705170">
        <w:rPr>
          <w:rFonts w:ascii="Times New Roman" w:hAnsi="Times New Roman" w:cs="Times New Roman"/>
        </w:rPr>
        <w:t xml:space="preserve">., </w:t>
      </w:r>
      <w:proofErr w:type="spellStart"/>
      <w:r w:rsidRPr="00705170">
        <w:rPr>
          <w:rFonts w:ascii="Times New Roman" w:hAnsi="Times New Roman" w:cs="Times New Roman"/>
        </w:rPr>
        <w:t>management</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based</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planning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technique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information</w:t>
      </w:r>
      <w:proofErr w:type="spellEnd"/>
      <w:r w:rsidRPr="00705170">
        <w:rPr>
          <w:rFonts w:ascii="Times New Roman" w:hAnsi="Times New Roman" w:cs="Times New Roman"/>
        </w:rPr>
        <w:t xml:space="preserve">), (4) </w:t>
      </w:r>
      <w:proofErr w:type="spellStart"/>
      <w:r w:rsidRPr="00705170">
        <w:rPr>
          <w:rFonts w:ascii="Times New Roman" w:hAnsi="Times New Roman" w:cs="Times New Roman"/>
        </w:rPr>
        <w:t>usage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resources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others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itself</w:t>
      </w:r>
      <w:proofErr w:type="spellEnd"/>
      <w:r w:rsidRPr="00705170">
        <w:rPr>
          <w:rFonts w:ascii="Times New Roman" w:hAnsi="Times New Roman" w:cs="Times New Roman"/>
        </w:rPr>
        <w:t xml:space="preserve">, (5) </w:t>
      </w:r>
      <w:proofErr w:type="spellStart"/>
      <w:r w:rsidRPr="00705170">
        <w:rPr>
          <w:rFonts w:ascii="Times New Roman" w:hAnsi="Times New Roman" w:cs="Times New Roman"/>
        </w:rPr>
        <w:t>continuo</w:t>
      </w:r>
      <w:r w:rsidR="00010179">
        <w:rPr>
          <w:rFonts w:ascii="Times New Roman" w:hAnsi="Times New Roman" w:cs="Times New Roman"/>
        </w:rPr>
        <w:t>u</w:t>
      </w:r>
      <w:r w:rsidRPr="00705170">
        <w:rPr>
          <w:rFonts w:ascii="Times New Roman" w:hAnsi="Times New Roman" w:cs="Times New Roman"/>
        </w:rPr>
        <w: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financial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problems</w:t>
      </w:r>
      <w:proofErr w:type="spellEnd"/>
      <w:r w:rsidRPr="00705170">
        <w:rPr>
          <w:rFonts w:ascii="Times New Roman" w:hAnsi="Times New Roman" w:cs="Times New Roman"/>
        </w:rPr>
        <w:t xml:space="preserve">, (6) </w:t>
      </w:r>
      <w:proofErr w:type="spellStart"/>
      <w:r w:rsidRPr="00705170">
        <w:rPr>
          <w:rFonts w:ascii="Times New Roman" w:hAnsi="Times New Roman" w:cs="Times New Roman"/>
        </w:rPr>
        <w:t>suppression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dividends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despite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presence of </w:t>
      </w:r>
      <w:proofErr w:type="spellStart"/>
      <w:r w:rsidRPr="00705170">
        <w:rPr>
          <w:rFonts w:ascii="Times New Roman" w:hAnsi="Times New Roman" w:cs="Times New Roman"/>
        </w:rPr>
        <w:t>resources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distribution</w:t>
      </w:r>
      <w:proofErr w:type="spellEnd"/>
      <w:r w:rsidRPr="00705170">
        <w:rPr>
          <w:rStyle w:val="DipnotBavurusu"/>
          <w:rFonts w:ascii="Times New Roman" w:hAnsi="Times New Roman" w:cs="Times New Roman"/>
        </w:rPr>
        <w:footnoteReference w:id="934"/>
      </w:r>
      <w:r w:rsidR="00F21A40" w:rsidRPr="00705170">
        <w:rPr>
          <w:rFonts w:ascii="Times New Roman" w:hAnsi="Times New Roman" w:cs="Times New Roman"/>
        </w:rPr>
        <w:t xml:space="preserve">; (7) </w:t>
      </w:r>
      <w:proofErr w:type="spellStart"/>
      <w:r w:rsidR="00F21A40" w:rsidRPr="00705170">
        <w:rPr>
          <w:rFonts w:ascii="Times New Roman" w:hAnsi="Times New Roman" w:cs="Times New Roman"/>
        </w:rPr>
        <w:t>majority’s</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refusal</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to</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take</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action</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against</w:t>
      </w:r>
      <w:proofErr w:type="spellEnd"/>
      <w:r w:rsidR="00F21A40" w:rsidRPr="00705170">
        <w:rPr>
          <w:rFonts w:ascii="Times New Roman" w:hAnsi="Times New Roman" w:cs="Times New Roman"/>
        </w:rPr>
        <w:t xml:space="preserve"> a </w:t>
      </w:r>
      <w:proofErr w:type="spellStart"/>
      <w:r w:rsidR="00F21A40" w:rsidRPr="00705170">
        <w:rPr>
          <w:rFonts w:ascii="Times New Roman" w:hAnsi="Times New Roman" w:cs="Times New Roman"/>
        </w:rPr>
        <w:t>management</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that</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manages</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the</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corporation</w:t>
      </w:r>
      <w:proofErr w:type="spellEnd"/>
      <w:r w:rsidR="00F21A40" w:rsidRPr="00705170">
        <w:rPr>
          <w:rFonts w:ascii="Times New Roman" w:hAnsi="Times New Roman" w:cs="Times New Roman"/>
        </w:rPr>
        <w:t xml:space="preserve"> in a </w:t>
      </w:r>
      <w:proofErr w:type="spellStart"/>
      <w:r w:rsidR="00F21A40" w:rsidRPr="00705170">
        <w:rPr>
          <w:rFonts w:ascii="Times New Roman" w:hAnsi="Times New Roman" w:cs="Times New Roman"/>
        </w:rPr>
        <w:t>detrimental</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manner</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which</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harms</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the</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minority’s</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economical</w:t>
      </w:r>
      <w:proofErr w:type="spellEnd"/>
      <w:r w:rsidR="00F21A40" w:rsidRPr="00705170">
        <w:rPr>
          <w:rFonts w:ascii="Times New Roman" w:hAnsi="Times New Roman" w:cs="Times New Roman"/>
        </w:rPr>
        <w:t xml:space="preserve"> </w:t>
      </w:r>
      <w:proofErr w:type="spellStart"/>
      <w:r w:rsidR="00F21A40" w:rsidRPr="00705170">
        <w:rPr>
          <w:rFonts w:ascii="Times New Roman" w:hAnsi="Times New Roman" w:cs="Times New Roman"/>
        </w:rPr>
        <w:t>interests</w:t>
      </w:r>
      <w:proofErr w:type="spellEnd"/>
      <w:r w:rsidR="00F21A40" w:rsidRPr="00705170">
        <w:rPr>
          <w:rFonts w:ascii="Times New Roman" w:hAnsi="Times New Roman" w:cs="Times New Roman"/>
        </w:rPr>
        <w:t xml:space="preserve"> </w:t>
      </w:r>
      <w:r w:rsidR="00F21A40" w:rsidRPr="00705170">
        <w:rPr>
          <w:rStyle w:val="DipnotBavurusu"/>
          <w:rFonts w:ascii="Times New Roman" w:hAnsi="Times New Roman" w:cs="Times New Roman"/>
        </w:rPr>
        <w:footnoteReference w:id="935"/>
      </w:r>
      <w:r w:rsidR="00F21A40" w:rsidRPr="00705170">
        <w:rPr>
          <w:rFonts w:ascii="Times New Roman" w:hAnsi="Times New Roman" w:cs="Times New Roman"/>
        </w:rPr>
        <w:t xml:space="preserve">. </w:t>
      </w:r>
    </w:p>
    <w:p w14:paraId="141D22D8" w14:textId="17D96E7B" w:rsidR="00ED2B78" w:rsidRPr="00705170" w:rsidRDefault="00AC3E45" w:rsidP="00AD6CA4">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scholarship</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refers</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to</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Swiss</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case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law</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for</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the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interpretation</w:t>
      </w:r>
      <w:proofErr w:type="spellEnd"/>
      <w:r w:rsidR="00B046A4" w:rsidRPr="00705170">
        <w:rPr>
          <w:rFonts w:ascii="Times New Roman" w:hAnsi="Times New Roman" w:cs="Times New Roman"/>
        </w:rPr>
        <w:t xml:space="preserve"> of </w:t>
      </w:r>
      <w:proofErr w:type="spellStart"/>
      <w:r w:rsidR="00B046A4" w:rsidRPr="00705170">
        <w:rPr>
          <w:rFonts w:ascii="Times New Roman" w:hAnsi="Times New Roman" w:cs="Times New Roman"/>
        </w:rPr>
        <w:t>the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just</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cause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concept</w:t>
      </w:r>
      <w:proofErr w:type="spellEnd"/>
      <w:r w:rsidR="0043495D" w:rsidRPr="00705170">
        <w:rPr>
          <w:rStyle w:val="DipnotBavurusu"/>
          <w:rFonts w:ascii="Times New Roman" w:hAnsi="Times New Roman" w:cs="Times New Roman"/>
        </w:rPr>
        <w:footnoteReference w:id="936"/>
      </w:r>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Accordingly</w:t>
      </w:r>
      <w:proofErr w:type="spellEnd"/>
      <w:r w:rsidR="00B046A4" w:rsidRPr="00705170">
        <w:rPr>
          <w:rFonts w:ascii="Times New Roman" w:hAnsi="Times New Roman" w:cs="Times New Roman"/>
        </w:rPr>
        <w:t xml:space="preserve">, it is </w:t>
      </w:r>
      <w:proofErr w:type="spellStart"/>
      <w:r w:rsidR="00B046A4" w:rsidRPr="00705170">
        <w:rPr>
          <w:rFonts w:ascii="Times New Roman" w:hAnsi="Times New Roman" w:cs="Times New Roman"/>
        </w:rPr>
        <w:t>said</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that</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the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Swiss</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case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law</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regards</w:t>
      </w:r>
      <w:proofErr w:type="spellEnd"/>
      <w:r w:rsidR="00B046A4" w:rsidRPr="00705170">
        <w:rPr>
          <w:rFonts w:ascii="Times New Roman" w:hAnsi="Times New Roman" w:cs="Times New Roman"/>
        </w:rPr>
        <w:t xml:space="preserve"> (1) </w:t>
      </w:r>
      <w:proofErr w:type="spellStart"/>
      <w:r w:rsidR="00B046A4" w:rsidRPr="00705170">
        <w:rPr>
          <w:rFonts w:ascii="Times New Roman" w:hAnsi="Times New Roman" w:cs="Times New Roman"/>
        </w:rPr>
        <w:t>corporation’s</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continuous</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mismanagement</w:t>
      </w:r>
      <w:proofErr w:type="spellEnd"/>
      <w:r w:rsidR="00B046A4" w:rsidRPr="00705170">
        <w:rPr>
          <w:rFonts w:ascii="Times New Roman" w:hAnsi="Times New Roman" w:cs="Times New Roman"/>
        </w:rPr>
        <w:t xml:space="preserve">, (2) </w:t>
      </w:r>
      <w:proofErr w:type="spellStart"/>
      <w:r w:rsidR="00B046A4" w:rsidRPr="00705170">
        <w:rPr>
          <w:rFonts w:ascii="Times New Roman" w:hAnsi="Times New Roman" w:cs="Times New Roman"/>
        </w:rPr>
        <w:t>corporation’s</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constant</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financial</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loss</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that</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takes</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the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corporati</w:t>
      </w:r>
      <w:r w:rsidR="00AD6CA4">
        <w:rPr>
          <w:rFonts w:ascii="Times New Roman" w:hAnsi="Times New Roman" w:cs="Times New Roman"/>
        </w:rPr>
        <w:t>on</w:t>
      </w:r>
      <w:proofErr w:type="spellEnd"/>
      <w:r w:rsidR="00AD6CA4">
        <w:rPr>
          <w:rFonts w:ascii="Times New Roman" w:hAnsi="Times New Roman" w:cs="Times New Roman"/>
        </w:rPr>
        <w:t xml:space="preserve"> </w:t>
      </w:r>
      <w:proofErr w:type="spellStart"/>
      <w:r w:rsidR="00AD6CA4">
        <w:rPr>
          <w:rFonts w:ascii="Times New Roman" w:hAnsi="Times New Roman" w:cs="Times New Roman"/>
        </w:rPr>
        <w:t>to</w:t>
      </w:r>
      <w:proofErr w:type="spellEnd"/>
      <w:r w:rsidR="00AD6CA4">
        <w:rPr>
          <w:rFonts w:ascii="Times New Roman" w:hAnsi="Times New Roman" w:cs="Times New Roman"/>
        </w:rPr>
        <w:t xml:space="preserve"> </w:t>
      </w:r>
      <w:proofErr w:type="spellStart"/>
      <w:r w:rsidR="00AD6CA4">
        <w:rPr>
          <w:rFonts w:ascii="Times New Roman" w:hAnsi="Times New Roman" w:cs="Times New Roman"/>
        </w:rPr>
        <w:t>the</w:t>
      </w:r>
      <w:proofErr w:type="spellEnd"/>
      <w:r w:rsidR="00AD6CA4">
        <w:rPr>
          <w:rFonts w:ascii="Times New Roman" w:hAnsi="Times New Roman" w:cs="Times New Roman"/>
        </w:rPr>
        <w:t xml:space="preserve"> </w:t>
      </w:r>
      <w:proofErr w:type="spellStart"/>
      <w:r w:rsidR="00AD6CA4">
        <w:rPr>
          <w:rFonts w:ascii="Times New Roman" w:hAnsi="Times New Roman" w:cs="Times New Roman"/>
        </w:rPr>
        <w:t>zone</w:t>
      </w:r>
      <w:proofErr w:type="spellEnd"/>
      <w:r w:rsidR="00AD6CA4">
        <w:rPr>
          <w:rFonts w:ascii="Times New Roman" w:hAnsi="Times New Roman" w:cs="Times New Roman"/>
        </w:rPr>
        <w:t xml:space="preserve"> of </w:t>
      </w:r>
      <w:proofErr w:type="spellStart"/>
      <w:r w:rsidR="00AD6CA4">
        <w:rPr>
          <w:rFonts w:ascii="Times New Roman" w:hAnsi="Times New Roman" w:cs="Times New Roman"/>
        </w:rPr>
        <w:t>insolvency</w:t>
      </w:r>
      <w:proofErr w:type="spellEnd"/>
      <w:r w:rsidR="00AD6CA4">
        <w:rPr>
          <w:rFonts w:ascii="Times New Roman" w:hAnsi="Times New Roman" w:cs="Times New Roman"/>
        </w:rPr>
        <w:t>, (3</w:t>
      </w:r>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dissension</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among</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shareholders</w:t>
      </w:r>
      <w:proofErr w:type="spellEnd"/>
      <w:r w:rsidR="00B046A4" w:rsidRPr="00705170">
        <w:rPr>
          <w:rFonts w:ascii="Times New Roman" w:hAnsi="Times New Roman" w:cs="Times New Roman"/>
        </w:rPr>
        <w:t xml:space="preserve"> in </w:t>
      </w:r>
      <w:proofErr w:type="spellStart"/>
      <w:r w:rsidR="00B046A4" w:rsidRPr="00705170">
        <w:rPr>
          <w:rFonts w:ascii="Times New Roman" w:hAnsi="Times New Roman" w:cs="Times New Roman"/>
        </w:rPr>
        <w:t>close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corpora</w:t>
      </w:r>
      <w:r w:rsidR="00AD6CA4">
        <w:rPr>
          <w:rFonts w:ascii="Times New Roman" w:hAnsi="Times New Roman" w:cs="Times New Roman"/>
        </w:rPr>
        <w:t>tions</w:t>
      </w:r>
      <w:proofErr w:type="spellEnd"/>
      <w:r w:rsidR="00AD6CA4">
        <w:rPr>
          <w:rFonts w:ascii="Times New Roman" w:hAnsi="Times New Roman" w:cs="Times New Roman"/>
        </w:rPr>
        <w:t xml:space="preserve"> </w:t>
      </w:r>
      <w:proofErr w:type="spellStart"/>
      <w:r w:rsidR="00AD6CA4">
        <w:rPr>
          <w:rFonts w:ascii="Times New Roman" w:hAnsi="Times New Roman" w:cs="Times New Roman"/>
        </w:rPr>
        <w:t>owned</w:t>
      </w:r>
      <w:proofErr w:type="spellEnd"/>
      <w:r w:rsidR="00AD6CA4">
        <w:rPr>
          <w:rFonts w:ascii="Times New Roman" w:hAnsi="Times New Roman" w:cs="Times New Roman"/>
        </w:rPr>
        <w:t xml:space="preserve"> </w:t>
      </w:r>
      <w:proofErr w:type="spellStart"/>
      <w:r w:rsidR="00AD6CA4">
        <w:rPr>
          <w:rFonts w:ascii="Times New Roman" w:hAnsi="Times New Roman" w:cs="Times New Roman"/>
        </w:rPr>
        <w:t>by</w:t>
      </w:r>
      <w:proofErr w:type="spellEnd"/>
      <w:r w:rsidR="00AD6CA4">
        <w:rPr>
          <w:rFonts w:ascii="Times New Roman" w:hAnsi="Times New Roman" w:cs="Times New Roman"/>
        </w:rPr>
        <w:t xml:space="preserve"> </w:t>
      </w:r>
      <w:proofErr w:type="spellStart"/>
      <w:r w:rsidR="00AD6CA4">
        <w:rPr>
          <w:rFonts w:ascii="Times New Roman" w:hAnsi="Times New Roman" w:cs="Times New Roman"/>
        </w:rPr>
        <w:t>families</w:t>
      </w:r>
      <w:proofErr w:type="spellEnd"/>
      <w:r w:rsidR="00AD6CA4">
        <w:rPr>
          <w:rFonts w:ascii="Times New Roman" w:hAnsi="Times New Roman" w:cs="Times New Roman"/>
        </w:rPr>
        <w:t>, (4</w:t>
      </w:r>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accruing</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no</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corporate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profits</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or</w:t>
      </w:r>
      <w:proofErr w:type="spellEnd"/>
      <w:r w:rsidR="00B046A4" w:rsidRPr="00705170">
        <w:rPr>
          <w:rFonts w:ascii="Times New Roman" w:hAnsi="Times New Roman" w:cs="Times New Roman"/>
        </w:rPr>
        <w:t xml:space="preserve"> not </w:t>
      </w:r>
      <w:proofErr w:type="spellStart"/>
      <w:r w:rsidR="00B046A4" w:rsidRPr="00705170">
        <w:rPr>
          <w:rFonts w:ascii="Times New Roman" w:hAnsi="Times New Roman" w:cs="Times New Roman"/>
        </w:rPr>
        <w:t>declaring</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a</w:t>
      </w:r>
      <w:r w:rsidR="00AD6CA4">
        <w:rPr>
          <w:rFonts w:ascii="Times New Roman" w:hAnsi="Times New Roman" w:cs="Times New Roman"/>
        </w:rPr>
        <w:t>ny</w:t>
      </w:r>
      <w:proofErr w:type="spellEnd"/>
      <w:r w:rsidR="00AD6CA4">
        <w:rPr>
          <w:rFonts w:ascii="Times New Roman" w:hAnsi="Times New Roman" w:cs="Times New Roman"/>
        </w:rPr>
        <w:t xml:space="preserve"> </w:t>
      </w:r>
      <w:proofErr w:type="spellStart"/>
      <w:r w:rsidR="00AD6CA4">
        <w:rPr>
          <w:rFonts w:ascii="Times New Roman" w:hAnsi="Times New Roman" w:cs="Times New Roman"/>
        </w:rPr>
        <w:t>dividends</w:t>
      </w:r>
      <w:proofErr w:type="spellEnd"/>
      <w:r w:rsidR="00AD6CA4">
        <w:rPr>
          <w:rFonts w:ascii="Times New Roman" w:hAnsi="Times New Roman" w:cs="Times New Roman"/>
        </w:rPr>
        <w:t xml:space="preserve"> </w:t>
      </w:r>
      <w:proofErr w:type="spellStart"/>
      <w:r w:rsidR="00AD6CA4">
        <w:rPr>
          <w:rFonts w:ascii="Times New Roman" w:hAnsi="Times New Roman" w:cs="Times New Roman"/>
        </w:rPr>
        <w:t>for</w:t>
      </w:r>
      <w:proofErr w:type="spellEnd"/>
      <w:r w:rsidR="00AD6CA4">
        <w:rPr>
          <w:rFonts w:ascii="Times New Roman" w:hAnsi="Times New Roman" w:cs="Times New Roman"/>
        </w:rPr>
        <w:t xml:space="preserve"> a </w:t>
      </w:r>
      <w:proofErr w:type="spellStart"/>
      <w:r w:rsidR="00AD6CA4">
        <w:rPr>
          <w:rFonts w:ascii="Times New Roman" w:hAnsi="Times New Roman" w:cs="Times New Roman"/>
        </w:rPr>
        <w:t>long</w:t>
      </w:r>
      <w:proofErr w:type="spellEnd"/>
      <w:r w:rsidR="00AD6CA4">
        <w:rPr>
          <w:rFonts w:ascii="Times New Roman" w:hAnsi="Times New Roman" w:cs="Times New Roman"/>
        </w:rPr>
        <w:t xml:space="preserve"> time, (5</w:t>
      </w:r>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payment</w:t>
      </w:r>
      <w:proofErr w:type="spellEnd"/>
      <w:r w:rsidR="00B046A4" w:rsidRPr="00705170">
        <w:rPr>
          <w:rFonts w:ascii="Times New Roman" w:hAnsi="Times New Roman" w:cs="Times New Roman"/>
        </w:rPr>
        <w:t xml:space="preserve"> of </w:t>
      </w:r>
      <w:proofErr w:type="spellStart"/>
      <w:r w:rsidR="00B046A4" w:rsidRPr="00705170">
        <w:rPr>
          <w:rFonts w:ascii="Times New Roman" w:hAnsi="Times New Roman" w:cs="Times New Roman"/>
        </w:rPr>
        <w:t>no</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compensation</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to</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the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corporation’s</w:t>
      </w:r>
      <w:proofErr w:type="spellEnd"/>
      <w:r w:rsidR="00B046A4" w:rsidRPr="00705170">
        <w:rPr>
          <w:rFonts w:ascii="Times New Roman" w:hAnsi="Times New Roman" w:cs="Times New Roman"/>
        </w:rPr>
        <w:t xml:space="preserve"> board o</w:t>
      </w:r>
      <w:r w:rsidR="00AD6CA4">
        <w:rPr>
          <w:rFonts w:ascii="Times New Roman" w:hAnsi="Times New Roman" w:cs="Times New Roman"/>
        </w:rPr>
        <w:t xml:space="preserve">f </w:t>
      </w:r>
      <w:proofErr w:type="spellStart"/>
      <w:r w:rsidR="00AD6CA4">
        <w:rPr>
          <w:rFonts w:ascii="Times New Roman" w:hAnsi="Times New Roman" w:cs="Times New Roman"/>
        </w:rPr>
        <w:t>director’s</w:t>
      </w:r>
      <w:proofErr w:type="spellEnd"/>
      <w:r w:rsidR="00AD6CA4">
        <w:rPr>
          <w:rFonts w:ascii="Times New Roman" w:hAnsi="Times New Roman" w:cs="Times New Roman"/>
        </w:rPr>
        <w:t xml:space="preserve"> </w:t>
      </w:r>
      <w:proofErr w:type="spellStart"/>
      <w:r w:rsidR="00AD6CA4">
        <w:rPr>
          <w:rFonts w:ascii="Times New Roman" w:hAnsi="Times New Roman" w:cs="Times New Roman"/>
        </w:rPr>
        <w:t>for</w:t>
      </w:r>
      <w:proofErr w:type="spellEnd"/>
      <w:r w:rsidR="00AD6CA4">
        <w:rPr>
          <w:rFonts w:ascii="Times New Roman" w:hAnsi="Times New Roman" w:cs="Times New Roman"/>
        </w:rPr>
        <w:t xml:space="preserve"> a </w:t>
      </w:r>
      <w:proofErr w:type="spellStart"/>
      <w:r w:rsidR="00AD6CA4">
        <w:rPr>
          <w:rFonts w:ascii="Times New Roman" w:hAnsi="Times New Roman" w:cs="Times New Roman"/>
        </w:rPr>
        <w:t>long</w:t>
      </w:r>
      <w:proofErr w:type="spellEnd"/>
      <w:r w:rsidR="00AD6CA4">
        <w:rPr>
          <w:rFonts w:ascii="Times New Roman" w:hAnsi="Times New Roman" w:cs="Times New Roman"/>
        </w:rPr>
        <w:t xml:space="preserve"> time, (6</w:t>
      </w:r>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impossibility</w:t>
      </w:r>
      <w:proofErr w:type="spellEnd"/>
      <w:r w:rsidR="00B046A4" w:rsidRPr="00705170">
        <w:rPr>
          <w:rFonts w:ascii="Times New Roman" w:hAnsi="Times New Roman" w:cs="Times New Roman"/>
        </w:rPr>
        <w:t xml:space="preserve"> of </w:t>
      </w:r>
      <w:proofErr w:type="spellStart"/>
      <w:r w:rsidR="00B046A4" w:rsidRPr="00705170">
        <w:rPr>
          <w:rFonts w:ascii="Times New Roman" w:hAnsi="Times New Roman" w:cs="Times New Roman"/>
        </w:rPr>
        <w:t>realizing</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the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corporate</w:t>
      </w:r>
      <w:proofErr w:type="spellEnd"/>
      <w:r w:rsidR="00B046A4" w:rsidRPr="00705170">
        <w:rPr>
          <w:rFonts w:ascii="Times New Roman" w:hAnsi="Times New Roman" w:cs="Times New Roman"/>
        </w:rPr>
        <w:t xml:space="preserve"> </w:t>
      </w:r>
      <w:proofErr w:type="spellStart"/>
      <w:r w:rsidR="00B046A4" w:rsidRPr="00705170">
        <w:rPr>
          <w:rFonts w:ascii="Times New Roman" w:hAnsi="Times New Roman" w:cs="Times New Roman"/>
        </w:rPr>
        <w:t>purpose</w:t>
      </w:r>
      <w:proofErr w:type="spellEnd"/>
      <w:r w:rsidR="00B046A4" w:rsidRPr="00705170">
        <w:rPr>
          <w:rStyle w:val="DipnotBavurusu"/>
          <w:rFonts w:ascii="Times New Roman" w:hAnsi="Times New Roman" w:cs="Times New Roman"/>
        </w:rPr>
        <w:footnoteReference w:id="937"/>
      </w:r>
      <w:r w:rsidR="00F21A40" w:rsidRPr="00705170">
        <w:rPr>
          <w:rFonts w:ascii="Times New Roman" w:hAnsi="Times New Roman" w:cs="Times New Roman"/>
        </w:rPr>
        <w:t xml:space="preserve">. </w:t>
      </w:r>
      <w:proofErr w:type="spellStart"/>
      <w:r w:rsidR="00625151" w:rsidRPr="00705170">
        <w:rPr>
          <w:rFonts w:ascii="Times New Roman" w:hAnsi="Times New Roman" w:cs="Times New Roman"/>
        </w:rPr>
        <w:t>Then</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the</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just</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causes</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giving</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rise</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to</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the</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dissolution</w:t>
      </w:r>
      <w:proofErr w:type="spellEnd"/>
      <w:r w:rsidR="00625151" w:rsidRPr="00705170">
        <w:rPr>
          <w:rFonts w:ascii="Times New Roman" w:hAnsi="Times New Roman" w:cs="Times New Roman"/>
        </w:rPr>
        <w:t xml:space="preserve"> of a </w:t>
      </w:r>
      <w:proofErr w:type="spellStart"/>
      <w:r w:rsidR="00625151" w:rsidRPr="00705170">
        <w:rPr>
          <w:rFonts w:ascii="Times New Roman" w:hAnsi="Times New Roman" w:cs="Times New Roman"/>
        </w:rPr>
        <w:t>corporation</w:t>
      </w:r>
      <w:proofErr w:type="spellEnd"/>
      <w:r w:rsidR="00625151" w:rsidRPr="00705170">
        <w:rPr>
          <w:rFonts w:ascii="Times New Roman" w:hAnsi="Times New Roman" w:cs="Times New Roman"/>
        </w:rPr>
        <w:t xml:space="preserve"> can be </w:t>
      </w:r>
      <w:proofErr w:type="spellStart"/>
      <w:r w:rsidR="00625151" w:rsidRPr="00705170">
        <w:rPr>
          <w:rFonts w:ascii="Times New Roman" w:hAnsi="Times New Roman" w:cs="Times New Roman"/>
        </w:rPr>
        <w:t>listed</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under</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two</w:t>
      </w:r>
      <w:proofErr w:type="spellEnd"/>
      <w:r w:rsidR="00625151" w:rsidRPr="00705170">
        <w:rPr>
          <w:rFonts w:ascii="Times New Roman" w:hAnsi="Times New Roman" w:cs="Times New Roman"/>
        </w:rPr>
        <w:t xml:space="preserve"> </w:t>
      </w:r>
      <w:r w:rsidR="00E432B0">
        <w:rPr>
          <w:rFonts w:ascii="Times New Roman" w:hAnsi="Times New Roman" w:cs="Times New Roman"/>
        </w:rPr>
        <w:t xml:space="preserve">main </w:t>
      </w:r>
      <w:proofErr w:type="spellStart"/>
      <w:r w:rsidR="00625151" w:rsidRPr="00705170">
        <w:rPr>
          <w:rFonts w:ascii="Times New Roman" w:hAnsi="Times New Roman" w:cs="Times New Roman"/>
        </w:rPr>
        <w:t>categories</w:t>
      </w:r>
      <w:proofErr w:type="spellEnd"/>
      <w:r w:rsidR="00625151" w:rsidRPr="00705170">
        <w:rPr>
          <w:rFonts w:ascii="Times New Roman" w:hAnsi="Times New Roman" w:cs="Times New Roman"/>
        </w:rPr>
        <w:t xml:space="preserve">; (1) </w:t>
      </w:r>
      <w:proofErr w:type="spellStart"/>
      <w:r w:rsidR="00625151" w:rsidRPr="00705170">
        <w:rPr>
          <w:rFonts w:ascii="Times New Roman" w:hAnsi="Times New Roman" w:cs="Times New Roman"/>
        </w:rPr>
        <w:t>causes</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arising</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from</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majority’s</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abuse</w:t>
      </w:r>
      <w:proofErr w:type="spellEnd"/>
      <w:r w:rsidR="00625151" w:rsidRPr="00705170">
        <w:rPr>
          <w:rFonts w:ascii="Times New Roman" w:hAnsi="Times New Roman" w:cs="Times New Roman"/>
        </w:rPr>
        <w:t xml:space="preserve"> of </w:t>
      </w:r>
      <w:proofErr w:type="spellStart"/>
      <w:r w:rsidR="00625151" w:rsidRPr="00705170">
        <w:rPr>
          <w:rFonts w:ascii="Times New Roman" w:hAnsi="Times New Roman" w:cs="Times New Roman"/>
        </w:rPr>
        <w:t>power</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and</w:t>
      </w:r>
      <w:proofErr w:type="spellEnd"/>
      <w:r w:rsidR="00625151" w:rsidRPr="00705170">
        <w:rPr>
          <w:rFonts w:ascii="Times New Roman" w:hAnsi="Times New Roman" w:cs="Times New Roman"/>
        </w:rPr>
        <w:t xml:space="preserve"> (2) </w:t>
      </w:r>
      <w:proofErr w:type="spellStart"/>
      <w:r w:rsidR="00625151" w:rsidRPr="00705170">
        <w:rPr>
          <w:rFonts w:ascii="Times New Roman" w:hAnsi="Times New Roman" w:cs="Times New Roman"/>
        </w:rPr>
        <w:t>causes</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unrelated</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from</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the</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majority</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abuse</w:t>
      </w:r>
      <w:proofErr w:type="spellEnd"/>
      <w:r w:rsidR="00625151" w:rsidRPr="00705170">
        <w:rPr>
          <w:rStyle w:val="DipnotBavurusu"/>
          <w:rFonts w:ascii="Times New Roman" w:hAnsi="Times New Roman" w:cs="Times New Roman"/>
        </w:rPr>
        <w:footnoteReference w:id="938"/>
      </w:r>
      <w:r w:rsidR="00625151" w:rsidRPr="00705170">
        <w:rPr>
          <w:rFonts w:ascii="Times New Roman" w:hAnsi="Times New Roman" w:cs="Times New Roman"/>
        </w:rPr>
        <w:t>.</w:t>
      </w:r>
    </w:p>
    <w:p w14:paraId="073F11E9" w14:textId="0B7027E6" w:rsidR="009E4CC0" w:rsidRPr="00705170" w:rsidRDefault="00A93A2B" w:rsidP="006E5FC0">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recent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w:t>
      </w:r>
      <w:r w:rsidR="00F14389" w:rsidRPr="00705170">
        <w:rPr>
          <w:rFonts w:ascii="Times New Roman" w:hAnsi="Times New Roman" w:cs="Times New Roman"/>
        </w:rPr>
        <w:t>ecision</w:t>
      </w:r>
      <w:proofErr w:type="spellEnd"/>
      <w:r w:rsidR="00F14389" w:rsidRPr="00705170">
        <w:rPr>
          <w:rFonts w:ascii="Times New Roman" w:hAnsi="Times New Roman" w:cs="Times New Roman"/>
        </w:rPr>
        <w:t xml:space="preserve">, a </w:t>
      </w:r>
      <w:proofErr w:type="spellStart"/>
      <w:r w:rsidR="00F14389"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ordered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of a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following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justif</w:t>
      </w:r>
      <w:r w:rsidR="003261F5">
        <w:rPr>
          <w:rFonts w:ascii="Times New Roman" w:hAnsi="Times New Roman" w:cs="Times New Roman"/>
        </w:rPr>
        <w:t>ied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acceptance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occurred</w:t>
      </w:r>
      <w:proofErr w:type="spellEnd"/>
      <w:r w:rsidRPr="00705170">
        <w:rPr>
          <w:rFonts w:ascii="Times New Roman" w:hAnsi="Times New Roman" w:cs="Times New Roman"/>
        </w:rPr>
        <w:t xml:space="preserve">: </w:t>
      </w:r>
      <w:r w:rsidR="002929C3" w:rsidRPr="00705170">
        <w:rPr>
          <w:rFonts w:ascii="Times New Roman" w:hAnsi="Times New Roman" w:cs="Times New Roman"/>
        </w:rPr>
        <w:t xml:space="preserve">Board of </w:t>
      </w:r>
      <w:proofErr w:type="spellStart"/>
      <w:r w:rsidR="002929C3" w:rsidRPr="00705170">
        <w:rPr>
          <w:rFonts w:ascii="Times New Roman" w:hAnsi="Times New Roman" w:cs="Times New Roman"/>
        </w:rPr>
        <w:t>director’s</w:t>
      </w:r>
      <w:proofErr w:type="spellEnd"/>
      <w:r w:rsidR="002929C3" w:rsidRPr="00705170">
        <w:rPr>
          <w:rFonts w:ascii="Times New Roman" w:hAnsi="Times New Roman" w:cs="Times New Roman"/>
        </w:rPr>
        <w:t xml:space="preserve"> </w:t>
      </w:r>
      <w:proofErr w:type="spellStart"/>
      <w:r w:rsidR="002929C3" w:rsidRPr="00705170">
        <w:rPr>
          <w:rFonts w:ascii="Times New Roman" w:hAnsi="Times New Roman" w:cs="Times New Roman"/>
        </w:rPr>
        <w:t>violation</w:t>
      </w:r>
      <w:proofErr w:type="spellEnd"/>
      <w:r w:rsidR="002929C3" w:rsidRPr="00705170">
        <w:rPr>
          <w:rFonts w:ascii="Times New Roman" w:hAnsi="Times New Roman" w:cs="Times New Roman"/>
        </w:rPr>
        <w:t xml:space="preserve"> of </w:t>
      </w:r>
      <w:proofErr w:type="spellStart"/>
      <w:r w:rsidR="002929C3" w:rsidRPr="00705170">
        <w:rPr>
          <w:rFonts w:ascii="Times New Roman" w:hAnsi="Times New Roman" w:cs="Times New Roman"/>
        </w:rPr>
        <w:t>their</w:t>
      </w:r>
      <w:proofErr w:type="spellEnd"/>
      <w:r w:rsidR="002929C3" w:rsidRPr="00705170">
        <w:rPr>
          <w:rFonts w:ascii="Times New Roman" w:hAnsi="Times New Roman" w:cs="Times New Roman"/>
        </w:rPr>
        <w:t xml:space="preserve"> </w:t>
      </w:r>
      <w:proofErr w:type="spellStart"/>
      <w:r w:rsidR="002929C3" w:rsidRPr="00705170">
        <w:rPr>
          <w:rFonts w:ascii="Times New Roman" w:hAnsi="Times New Roman" w:cs="Times New Roman"/>
        </w:rPr>
        <w:t>duties</w:t>
      </w:r>
      <w:proofErr w:type="spellEnd"/>
      <w:r w:rsidR="002929C3" w:rsidRPr="00705170">
        <w:rPr>
          <w:rFonts w:ascii="Times New Roman" w:hAnsi="Times New Roman" w:cs="Times New Roman"/>
        </w:rPr>
        <w:t xml:space="preserve">, </w:t>
      </w:r>
      <w:proofErr w:type="spellStart"/>
      <w:r w:rsidR="002929C3" w:rsidRPr="00705170">
        <w:rPr>
          <w:rFonts w:ascii="Times New Roman" w:hAnsi="Times New Roman" w:cs="Times New Roman"/>
        </w:rPr>
        <w:t>dissension</w:t>
      </w:r>
      <w:proofErr w:type="spellEnd"/>
      <w:r w:rsidR="002929C3" w:rsidRPr="00705170">
        <w:rPr>
          <w:rFonts w:ascii="Times New Roman" w:hAnsi="Times New Roman" w:cs="Times New Roman"/>
        </w:rPr>
        <w:t xml:space="preserve"> </w:t>
      </w:r>
      <w:proofErr w:type="spellStart"/>
      <w:r w:rsidR="002929C3" w:rsidRPr="00705170">
        <w:rPr>
          <w:rFonts w:ascii="Times New Roman" w:hAnsi="Times New Roman" w:cs="Times New Roman"/>
        </w:rPr>
        <w:t>among</w:t>
      </w:r>
      <w:proofErr w:type="spellEnd"/>
      <w:r w:rsidR="002929C3" w:rsidRPr="00705170">
        <w:rPr>
          <w:rFonts w:ascii="Times New Roman" w:hAnsi="Times New Roman" w:cs="Times New Roman"/>
        </w:rPr>
        <w:t xml:space="preserve"> </w:t>
      </w:r>
      <w:proofErr w:type="spellStart"/>
      <w:r w:rsidR="002929C3" w:rsidRPr="00705170">
        <w:rPr>
          <w:rFonts w:ascii="Times New Roman" w:hAnsi="Times New Roman" w:cs="Times New Roman"/>
        </w:rPr>
        <w:t>shareholders</w:t>
      </w:r>
      <w:proofErr w:type="spellEnd"/>
      <w:r w:rsidR="002929C3" w:rsidRPr="00705170">
        <w:rPr>
          <w:rFonts w:ascii="Times New Roman" w:hAnsi="Times New Roman" w:cs="Times New Roman"/>
        </w:rPr>
        <w:t xml:space="preserve">, </w:t>
      </w:r>
      <w:proofErr w:type="spellStart"/>
      <w:r w:rsidR="002929C3" w:rsidRPr="00705170">
        <w:rPr>
          <w:rFonts w:ascii="Times New Roman" w:hAnsi="Times New Roman" w:cs="Times New Roman"/>
        </w:rPr>
        <w:t>violation</w:t>
      </w:r>
      <w:proofErr w:type="spellEnd"/>
      <w:r w:rsidR="002929C3" w:rsidRPr="00705170">
        <w:rPr>
          <w:rFonts w:ascii="Times New Roman" w:hAnsi="Times New Roman" w:cs="Times New Roman"/>
        </w:rPr>
        <w:t xml:space="preserve"> of </w:t>
      </w:r>
      <w:proofErr w:type="spellStart"/>
      <w:r w:rsidR="002929C3" w:rsidRPr="00705170">
        <w:rPr>
          <w:rFonts w:ascii="Times New Roman" w:hAnsi="Times New Roman" w:cs="Times New Roman"/>
        </w:rPr>
        <w:t>the</w:t>
      </w:r>
      <w:proofErr w:type="spellEnd"/>
      <w:r w:rsidR="002929C3" w:rsidRPr="00705170">
        <w:rPr>
          <w:rFonts w:ascii="Times New Roman" w:hAnsi="Times New Roman" w:cs="Times New Roman"/>
        </w:rPr>
        <w:t xml:space="preserve"> </w:t>
      </w:r>
      <w:proofErr w:type="spellStart"/>
      <w:r w:rsidR="002929C3" w:rsidRPr="00705170">
        <w:rPr>
          <w:rFonts w:ascii="Times New Roman" w:hAnsi="Times New Roman" w:cs="Times New Roman"/>
        </w:rPr>
        <w:t>rule</w:t>
      </w:r>
      <w:proofErr w:type="spellEnd"/>
      <w:r w:rsidR="002929C3" w:rsidRPr="00705170">
        <w:rPr>
          <w:rFonts w:ascii="Times New Roman" w:hAnsi="Times New Roman" w:cs="Times New Roman"/>
        </w:rPr>
        <w:t xml:space="preserve"> on </w:t>
      </w:r>
      <w:proofErr w:type="spellStart"/>
      <w:r w:rsidR="002929C3" w:rsidRPr="00705170">
        <w:rPr>
          <w:rFonts w:ascii="Times New Roman" w:hAnsi="Times New Roman" w:cs="Times New Roman"/>
        </w:rPr>
        <w:t>equal</w:t>
      </w:r>
      <w:proofErr w:type="spellEnd"/>
      <w:r w:rsidR="002929C3" w:rsidRPr="00705170">
        <w:rPr>
          <w:rFonts w:ascii="Times New Roman" w:hAnsi="Times New Roman" w:cs="Times New Roman"/>
        </w:rPr>
        <w:t xml:space="preserve"> </w:t>
      </w:r>
      <w:proofErr w:type="spellStart"/>
      <w:r w:rsidR="002929C3" w:rsidRPr="00705170">
        <w:rPr>
          <w:rFonts w:ascii="Times New Roman" w:hAnsi="Times New Roman" w:cs="Times New Roman"/>
        </w:rPr>
        <w:t>treatment</w:t>
      </w:r>
      <w:proofErr w:type="spellEnd"/>
      <w:r w:rsidR="002929C3" w:rsidRPr="00705170">
        <w:rPr>
          <w:rFonts w:ascii="Times New Roman" w:hAnsi="Times New Roman" w:cs="Times New Roman"/>
        </w:rPr>
        <w:t xml:space="preserve"> of </w:t>
      </w:r>
      <w:proofErr w:type="spellStart"/>
      <w:r w:rsidR="002929C3" w:rsidRPr="00705170">
        <w:rPr>
          <w:rFonts w:ascii="Times New Roman" w:hAnsi="Times New Roman" w:cs="Times New Roman"/>
        </w:rPr>
        <w:t>shareholders</w:t>
      </w:r>
      <w:proofErr w:type="spellEnd"/>
      <w:r w:rsidR="002929C3" w:rsidRPr="00705170">
        <w:rPr>
          <w:rFonts w:ascii="Times New Roman" w:hAnsi="Times New Roman" w:cs="Times New Roman"/>
        </w:rPr>
        <w:t xml:space="preserve">, </w:t>
      </w:r>
      <w:proofErr w:type="spellStart"/>
      <w:r w:rsidR="002521A2" w:rsidRPr="00705170">
        <w:rPr>
          <w:rFonts w:ascii="Times New Roman" w:hAnsi="Times New Roman" w:cs="Times New Roman"/>
        </w:rPr>
        <w:t>violation</w:t>
      </w:r>
      <w:proofErr w:type="spellEnd"/>
      <w:r w:rsidR="002521A2" w:rsidRPr="00705170">
        <w:rPr>
          <w:rFonts w:ascii="Times New Roman" w:hAnsi="Times New Roman" w:cs="Times New Roman"/>
        </w:rPr>
        <w:t xml:space="preserve"> of </w:t>
      </w:r>
      <w:proofErr w:type="spellStart"/>
      <w:r w:rsidR="002521A2" w:rsidRPr="00705170">
        <w:rPr>
          <w:rFonts w:ascii="Times New Roman" w:hAnsi="Times New Roman" w:cs="Times New Roman"/>
        </w:rPr>
        <w:t>the</w:t>
      </w:r>
      <w:proofErr w:type="spellEnd"/>
      <w:r w:rsidR="002521A2" w:rsidRPr="00705170">
        <w:rPr>
          <w:rFonts w:ascii="Times New Roman" w:hAnsi="Times New Roman" w:cs="Times New Roman"/>
        </w:rPr>
        <w:t xml:space="preserve"> </w:t>
      </w:r>
      <w:proofErr w:type="spellStart"/>
      <w:r w:rsidR="002521A2" w:rsidRPr="00705170">
        <w:rPr>
          <w:rFonts w:ascii="Times New Roman" w:hAnsi="Times New Roman" w:cs="Times New Roman"/>
        </w:rPr>
        <w:t>shareholder’s</w:t>
      </w:r>
      <w:proofErr w:type="spellEnd"/>
      <w:r w:rsidR="002521A2" w:rsidRPr="00705170">
        <w:rPr>
          <w:rFonts w:ascii="Times New Roman" w:hAnsi="Times New Roman" w:cs="Times New Roman"/>
        </w:rPr>
        <w:t xml:space="preserve"> </w:t>
      </w:r>
      <w:proofErr w:type="spellStart"/>
      <w:r w:rsidR="002929C3" w:rsidRPr="00705170">
        <w:rPr>
          <w:rFonts w:ascii="Times New Roman" w:hAnsi="Times New Roman" w:cs="Times New Roman"/>
        </w:rPr>
        <w:t>information</w:t>
      </w:r>
      <w:proofErr w:type="spellEnd"/>
      <w:r w:rsidR="002521A2" w:rsidRPr="00705170">
        <w:rPr>
          <w:rFonts w:ascii="Times New Roman" w:hAnsi="Times New Roman" w:cs="Times New Roman"/>
        </w:rPr>
        <w:t xml:space="preserve"> </w:t>
      </w:r>
      <w:proofErr w:type="spellStart"/>
      <w:r w:rsidR="002521A2" w:rsidRPr="00705170">
        <w:rPr>
          <w:rFonts w:ascii="Times New Roman" w:hAnsi="Times New Roman" w:cs="Times New Roman"/>
        </w:rPr>
        <w:t>and</w:t>
      </w:r>
      <w:proofErr w:type="spellEnd"/>
      <w:r w:rsidR="002521A2" w:rsidRPr="00705170">
        <w:rPr>
          <w:rFonts w:ascii="Times New Roman" w:hAnsi="Times New Roman" w:cs="Times New Roman"/>
        </w:rPr>
        <w:t xml:space="preserve"> </w:t>
      </w:r>
      <w:proofErr w:type="spellStart"/>
      <w:r w:rsidR="002521A2" w:rsidRPr="00705170">
        <w:rPr>
          <w:rFonts w:ascii="Times New Roman" w:hAnsi="Times New Roman" w:cs="Times New Roman"/>
        </w:rPr>
        <w:t>inspection</w:t>
      </w:r>
      <w:proofErr w:type="spellEnd"/>
      <w:r w:rsidR="002929C3" w:rsidRPr="00705170">
        <w:rPr>
          <w:rFonts w:ascii="Times New Roman" w:hAnsi="Times New Roman" w:cs="Times New Roman"/>
        </w:rPr>
        <w:t xml:space="preserve"> </w:t>
      </w:r>
      <w:proofErr w:type="spellStart"/>
      <w:r w:rsidR="002929C3" w:rsidRPr="00705170">
        <w:rPr>
          <w:rFonts w:ascii="Times New Roman" w:hAnsi="Times New Roman" w:cs="Times New Roman"/>
        </w:rPr>
        <w:t>right</w:t>
      </w:r>
      <w:proofErr w:type="spellEnd"/>
      <w:r w:rsidR="002929C3" w:rsidRPr="00705170">
        <w:rPr>
          <w:rFonts w:ascii="Times New Roman" w:hAnsi="Times New Roman" w:cs="Times New Roman"/>
        </w:rPr>
        <w:t xml:space="preserve">, </w:t>
      </w:r>
      <w:proofErr w:type="spellStart"/>
      <w:r w:rsidR="00B046A4" w:rsidRPr="00705170">
        <w:rPr>
          <w:rFonts w:ascii="Times New Roman" w:hAnsi="Times New Roman" w:cs="Times New Roman"/>
        </w:rPr>
        <w:t>g</w:t>
      </w:r>
      <w:r w:rsidR="002521A2" w:rsidRPr="00705170">
        <w:rPr>
          <w:rFonts w:ascii="Times New Roman" w:hAnsi="Times New Roman" w:cs="Times New Roman"/>
        </w:rPr>
        <w:t>rant</w:t>
      </w:r>
      <w:proofErr w:type="spellEnd"/>
      <w:r w:rsidR="002521A2" w:rsidRPr="00705170">
        <w:rPr>
          <w:rFonts w:ascii="Times New Roman" w:hAnsi="Times New Roman" w:cs="Times New Roman"/>
        </w:rPr>
        <w:t xml:space="preserve"> of </w:t>
      </w:r>
      <w:proofErr w:type="spellStart"/>
      <w:r w:rsidR="002521A2" w:rsidRPr="00705170">
        <w:rPr>
          <w:rFonts w:ascii="Times New Roman" w:hAnsi="Times New Roman" w:cs="Times New Roman"/>
        </w:rPr>
        <w:t>corporate</w:t>
      </w:r>
      <w:proofErr w:type="spellEnd"/>
      <w:r w:rsidR="002521A2" w:rsidRPr="00705170">
        <w:rPr>
          <w:rFonts w:ascii="Times New Roman" w:hAnsi="Times New Roman" w:cs="Times New Roman"/>
        </w:rPr>
        <w:t xml:space="preserve"> </w:t>
      </w:r>
      <w:proofErr w:type="spellStart"/>
      <w:r w:rsidR="002521A2" w:rsidRPr="00705170">
        <w:rPr>
          <w:rFonts w:ascii="Times New Roman" w:hAnsi="Times New Roman" w:cs="Times New Roman"/>
        </w:rPr>
        <w:t>opportunities</w:t>
      </w:r>
      <w:proofErr w:type="spellEnd"/>
      <w:r w:rsidR="002521A2" w:rsidRPr="00705170">
        <w:rPr>
          <w:rFonts w:ascii="Times New Roman" w:hAnsi="Times New Roman" w:cs="Times New Roman"/>
        </w:rPr>
        <w:t xml:space="preserve"> </w:t>
      </w:r>
      <w:proofErr w:type="spellStart"/>
      <w:r w:rsidR="002521A2" w:rsidRPr="00705170">
        <w:rPr>
          <w:rFonts w:ascii="Times New Roman" w:hAnsi="Times New Roman" w:cs="Times New Roman"/>
        </w:rPr>
        <w:t>to</w:t>
      </w:r>
      <w:proofErr w:type="spellEnd"/>
      <w:r w:rsidR="002521A2" w:rsidRPr="00705170">
        <w:rPr>
          <w:rFonts w:ascii="Times New Roman" w:hAnsi="Times New Roman" w:cs="Times New Roman"/>
        </w:rPr>
        <w:t xml:space="preserve"> </w:t>
      </w:r>
      <w:proofErr w:type="spellStart"/>
      <w:r w:rsidR="002521A2" w:rsidRPr="00705170">
        <w:rPr>
          <w:rFonts w:ascii="Times New Roman" w:hAnsi="Times New Roman" w:cs="Times New Roman"/>
        </w:rPr>
        <w:t>other</w:t>
      </w:r>
      <w:proofErr w:type="spellEnd"/>
      <w:r w:rsidR="002521A2" w:rsidRPr="00705170">
        <w:rPr>
          <w:rFonts w:ascii="Times New Roman" w:hAnsi="Times New Roman" w:cs="Times New Roman"/>
        </w:rPr>
        <w:t xml:space="preserve"> </w:t>
      </w:r>
      <w:proofErr w:type="spellStart"/>
      <w:r w:rsidR="002521A2" w:rsidRPr="00705170">
        <w:rPr>
          <w:rFonts w:ascii="Times New Roman" w:hAnsi="Times New Roman" w:cs="Times New Roman"/>
        </w:rPr>
        <w:t>shareholders</w:t>
      </w:r>
      <w:proofErr w:type="spellEnd"/>
      <w:r w:rsidR="002521A2" w:rsidRPr="00705170">
        <w:rPr>
          <w:rFonts w:ascii="Times New Roman" w:hAnsi="Times New Roman" w:cs="Times New Roman"/>
        </w:rPr>
        <w:t xml:space="preserve">, </w:t>
      </w:r>
      <w:proofErr w:type="spellStart"/>
      <w:r w:rsidR="002521A2" w:rsidRPr="00705170">
        <w:rPr>
          <w:rFonts w:ascii="Times New Roman" w:hAnsi="Times New Roman" w:cs="Times New Roman"/>
        </w:rPr>
        <w:t>rejecting</w:t>
      </w:r>
      <w:proofErr w:type="spellEnd"/>
      <w:r w:rsidR="002521A2" w:rsidRPr="00705170">
        <w:rPr>
          <w:rFonts w:ascii="Times New Roman" w:hAnsi="Times New Roman" w:cs="Times New Roman"/>
        </w:rPr>
        <w:t xml:space="preserve"> </w:t>
      </w:r>
      <w:proofErr w:type="spellStart"/>
      <w:r w:rsidR="002521A2" w:rsidRPr="00705170">
        <w:rPr>
          <w:rFonts w:ascii="Times New Roman" w:hAnsi="Times New Roman" w:cs="Times New Roman"/>
        </w:rPr>
        <w:t>to</w:t>
      </w:r>
      <w:proofErr w:type="spellEnd"/>
      <w:r w:rsidR="002521A2" w:rsidRPr="00705170">
        <w:rPr>
          <w:rFonts w:ascii="Times New Roman" w:hAnsi="Times New Roman" w:cs="Times New Roman"/>
        </w:rPr>
        <w:t xml:space="preserve"> </w:t>
      </w:r>
      <w:proofErr w:type="spellStart"/>
      <w:r w:rsidR="002521A2" w:rsidRPr="00705170">
        <w:rPr>
          <w:rFonts w:ascii="Times New Roman" w:hAnsi="Times New Roman" w:cs="Times New Roman"/>
        </w:rPr>
        <w:t>hold</w:t>
      </w:r>
      <w:proofErr w:type="spellEnd"/>
      <w:r w:rsidR="002521A2" w:rsidRPr="00705170">
        <w:rPr>
          <w:rFonts w:ascii="Times New Roman" w:hAnsi="Times New Roman" w:cs="Times New Roman"/>
        </w:rPr>
        <w:t xml:space="preserve"> general </w:t>
      </w:r>
      <w:proofErr w:type="spellStart"/>
      <w:r w:rsidR="002521A2" w:rsidRPr="00705170">
        <w:rPr>
          <w:rFonts w:ascii="Times New Roman" w:hAnsi="Times New Roman" w:cs="Times New Roman"/>
        </w:rPr>
        <w:t>assembly</w:t>
      </w:r>
      <w:proofErr w:type="spellEnd"/>
      <w:r w:rsidR="002521A2" w:rsidRPr="00705170">
        <w:rPr>
          <w:rFonts w:ascii="Times New Roman" w:hAnsi="Times New Roman" w:cs="Times New Roman"/>
        </w:rPr>
        <w:t xml:space="preserve"> </w:t>
      </w:r>
      <w:proofErr w:type="spellStart"/>
      <w:r w:rsidR="002521A2" w:rsidRPr="00705170">
        <w:rPr>
          <w:rFonts w:ascii="Times New Roman" w:hAnsi="Times New Roman" w:cs="Times New Roman"/>
        </w:rPr>
        <w:t>meetings</w:t>
      </w:r>
      <w:proofErr w:type="spellEnd"/>
      <w:r w:rsidR="0060164A" w:rsidRPr="00705170">
        <w:rPr>
          <w:rStyle w:val="DipnotBavurusu"/>
          <w:rFonts w:ascii="Times New Roman" w:hAnsi="Times New Roman" w:cs="Times New Roman"/>
        </w:rPr>
        <w:footnoteReference w:id="939"/>
      </w:r>
      <w:r w:rsidR="0060164A" w:rsidRPr="00705170">
        <w:rPr>
          <w:rFonts w:ascii="Times New Roman" w:hAnsi="Times New Roman" w:cs="Times New Roman"/>
        </w:rPr>
        <w:t>.</w:t>
      </w:r>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However</w:t>
      </w:r>
      <w:proofErr w:type="spellEnd"/>
      <w:r w:rsidR="00F14389" w:rsidRPr="00705170">
        <w:rPr>
          <w:rFonts w:ascii="Times New Roman" w:hAnsi="Times New Roman" w:cs="Times New Roman"/>
        </w:rPr>
        <w:t xml:space="preserve">, it is not </w:t>
      </w:r>
      <w:proofErr w:type="spellStart"/>
      <w:r w:rsidR="00F14389" w:rsidRPr="00705170">
        <w:rPr>
          <w:rFonts w:ascii="Times New Roman" w:hAnsi="Times New Roman" w:cs="Times New Roman"/>
        </w:rPr>
        <w:t>necessary</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for</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the</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occurance</w:t>
      </w:r>
      <w:proofErr w:type="spellEnd"/>
      <w:r w:rsidR="00F14389" w:rsidRPr="00705170">
        <w:rPr>
          <w:rFonts w:ascii="Times New Roman" w:hAnsi="Times New Roman" w:cs="Times New Roman"/>
        </w:rPr>
        <w:t xml:space="preserve"> of </w:t>
      </w:r>
      <w:proofErr w:type="spellStart"/>
      <w:r w:rsidR="00F14389" w:rsidRPr="00705170">
        <w:rPr>
          <w:rFonts w:ascii="Times New Roman" w:hAnsi="Times New Roman" w:cs="Times New Roman"/>
        </w:rPr>
        <w:t>the</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just</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cause</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to</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establish</w:t>
      </w:r>
      <w:proofErr w:type="spellEnd"/>
      <w:r w:rsidR="00F14389" w:rsidRPr="00705170">
        <w:rPr>
          <w:rFonts w:ascii="Times New Roman" w:hAnsi="Times New Roman" w:cs="Times New Roman"/>
        </w:rPr>
        <w:t xml:space="preserve"> a </w:t>
      </w:r>
      <w:proofErr w:type="spellStart"/>
      <w:r w:rsidR="00F14389" w:rsidRPr="00705170">
        <w:rPr>
          <w:rFonts w:ascii="Times New Roman" w:hAnsi="Times New Roman" w:cs="Times New Roman"/>
        </w:rPr>
        <w:t>continuing</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course</w:t>
      </w:r>
      <w:proofErr w:type="spellEnd"/>
      <w:r w:rsidR="00F14389" w:rsidRPr="00705170">
        <w:rPr>
          <w:rFonts w:ascii="Times New Roman" w:hAnsi="Times New Roman" w:cs="Times New Roman"/>
        </w:rPr>
        <w:t xml:space="preserve"> of </w:t>
      </w:r>
      <w:proofErr w:type="spellStart"/>
      <w:r w:rsidR="00F14389" w:rsidRPr="00705170">
        <w:rPr>
          <w:rFonts w:ascii="Times New Roman" w:hAnsi="Times New Roman" w:cs="Times New Roman"/>
        </w:rPr>
        <w:t>conduct</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or</w:t>
      </w:r>
      <w:proofErr w:type="spellEnd"/>
      <w:r w:rsidR="00F14389" w:rsidRPr="00705170">
        <w:rPr>
          <w:rFonts w:ascii="Times New Roman" w:hAnsi="Times New Roman" w:cs="Times New Roman"/>
        </w:rPr>
        <w:t xml:space="preserve"> a </w:t>
      </w:r>
      <w:proofErr w:type="spellStart"/>
      <w:r w:rsidR="00F14389" w:rsidRPr="00705170">
        <w:rPr>
          <w:rFonts w:ascii="Times New Roman" w:hAnsi="Times New Roman" w:cs="Times New Roman"/>
        </w:rPr>
        <w:lastRenderedPageBreak/>
        <w:t>bundle</w:t>
      </w:r>
      <w:proofErr w:type="spellEnd"/>
      <w:r w:rsidR="00F14389" w:rsidRPr="00705170">
        <w:rPr>
          <w:rFonts w:ascii="Times New Roman" w:hAnsi="Times New Roman" w:cs="Times New Roman"/>
        </w:rPr>
        <w:t xml:space="preserve"> of </w:t>
      </w:r>
      <w:proofErr w:type="spellStart"/>
      <w:r w:rsidR="00F14389" w:rsidRPr="00705170">
        <w:rPr>
          <w:rFonts w:ascii="Times New Roman" w:hAnsi="Times New Roman" w:cs="Times New Roman"/>
        </w:rPr>
        <w:t>conduct</w:t>
      </w:r>
      <w:proofErr w:type="spellEnd"/>
      <w:r w:rsidR="00F14389" w:rsidRPr="00705170">
        <w:rPr>
          <w:rFonts w:ascii="Times New Roman" w:hAnsi="Times New Roman" w:cs="Times New Roman"/>
        </w:rPr>
        <w:t xml:space="preserve">; a </w:t>
      </w:r>
      <w:proofErr w:type="spellStart"/>
      <w:r w:rsidR="00F14389" w:rsidRPr="00705170">
        <w:rPr>
          <w:rFonts w:ascii="Times New Roman" w:hAnsi="Times New Roman" w:cs="Times New Roman"/>
        </w:rPr>
        <w:t>one</w:t>
      </w:r>
      <w:proofErr w:type="spellEnd"/>
      <w:r w:rsidR="00F14389" w:rsidRPr="00705170">
        <w:rPr>
          <w:rFonts w:ascii="Times New Roman" w:hAnsi="Times New Roman" w:cs="Times New Roman"/>
        </w:rPr>
        <w:t xml:space="preserve"> time </w:t>
      </w:r>
      <w:proofErr w:type="spellStart"/>
      <w:r w:rsidR="00F14389" w:rsidRPr="00705170">
        <w:rPr>
          <w:rFonts w:ascii="Times New Roman" w:hAnsi="Times New Roman" w:cs="Times New Roman"/>
        </w:rPr>
        <w:t>particular</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conduct</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by</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itself</w:t>
      </w:r>
      <w:proofErr w:type="spellEnd"/>
      <w:r w:rsidR="00F14389" w:rsidRPr="00705170">
        <w:rPr>
          <w:rFonts w:ascii="Times New Roman" w:hAnsi="Times New Roman" w:cs="Times New Roman"/>
        </w:rPr>
        <w:t xml:space="preserve"> can be </w:t>
      </w:r>
      <w:proofErr w:type="spellStart"/>
      <w:r w:rsidR="00F14389" w:rsidRPr="00705170">
        <w:rPr>
          <w:rFonts w:ascii="Times New Roman" w:hAnsi="Times New Roman" w:cs="Times New Roman"/>
        </w:rPr>
        <w:t>sufficient</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to</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establish</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the</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just</w:t>
      </w:r>
      <w:proofErr w:type="spellEnd"/>
      <w:r w:rsidR="00F14389" w:rsidRPr="00705170">
        <w:rPr>
          <w:rFonts w:ascii="Times New Roman" w:hAnsi="Times New Roman" w:cs="Times New Roman"/>
        </w:rPr>
        <w:t xml:space="preserve"> </w:t>
      </w:r>
      <w:proofErr w:type="spellStart"/>
      <w:r w:rsidR="00F14389" w:rsidRPr="00705170">
        <w:rPr>
          <w:rFonts w:ascii="Times New Roman" w:hAnsi="Times New Roman" w:cs="Times New Roman"/>
        </w:rPr>
        <w:t>cause</w:t>
      </w:r>
      <w:proofErr w:type="spellEnd"/>
      <w:r w:rsidR="00F14389" w:rsidRPr="00705170">
        <w:rPr>
          <w:rStyle w:val="DipnotBavurusu"/>
          <w:rFonts w:ascii="Times New Roman" w:hAnsi="Times New Roman" w:cs="Times New Roman"/>
        </w:rPr>
        <w:footnoteReference w:id="940"/>
      </w:r>
      <w:r w:rsidR="00F14389" w:rsidRPr="00705170">
        <w:rPr>
          <w:rFonts w:ascii="Times New Roman" w:hAnsi="Times New Roman" w:cs="Times New Roman"/>
        </w:rPr>
        <w:t>.</w:t>
      </w:r>
      <w:r w:rsidR="006E5FC0" w:rsidRPr="00705170">
        <w:rPr>
          <w:rFonts w:ascii="Times New Roman" w:hAnsi="Times New Roman" w:cs="Times New Roman"/>
        </w:rPr>
        <w:t xml:space="preserve"> </w:t>
      </w:r>
    </w:p>
    <w:p w14:paraId="70996DFD" w14:textId="0DB954B0" w:rsidR="00886467" w:rsidRPr="00705170" w:rsidRDefault="00822127" w:rsidP="00F14389">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00EB1D4D">
        <w:rPr>
          <w:rFonts w:ascii="Times New Roman" w:hAnsi="Times New Roman" w:cs="Times New Roman"/>
        </w:rPr>
        <w:t>It</w:t>
      </w:r>
      <w:proofErr w:type="spellEnd"/>
      <w:r w:rsidR="00EB1D4D">
        <w:rPr>
          <w:rFonts w:ascii="Times New Roman" w:hAnsi="Times New Roman" w:cs="Times New Roman"/>
        </w:rPr>
        <w:t xml:space="preserve"> is </w:t>
      </w:r>
      <w:proofErr w:type="spellStart"/>
      <w:r w:rsidR="00EB1D4D">
        <w:rPr>
          <w:rFonts w:ascii="Times New Roman" w:hAnsi="Times New Roman" w:cs="Times New Roman"/>
        </w:rPr>
        <w:t>fair</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to</w:t>
      </w:r>
      <w:proofErr w:type="spellEnd"/>
      <w:r w:rsidR="00EB1D4D">
        <w:rPr>
          <w:rFonts w:ascii="Times New Roman" w:hAnsi="Times New Roman" w:cs="Times New Roman"/>
        </w:rPr>
        <w:t xml:space="preserve"> ask how </w:t>
      </w:r>
      <w:proofErr w:type="spellStart"/>
      <w:r w:rsidR="00EB1D4D">
        <w:rPr>
          <w:rFonts w:ascii="Times New Roman" w:hAnsi="Times New Roman" w:cs="Times New Roman"/>
        </w:rPr>
        <w:t>the</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just</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cause</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conception</w:t>
      </w:r>
      <w:proofErr w:type="spellEnd"/>
      <w:r w:rsidR="00EB1D4D">
        <w:rPr>
          <w:rFonts w:ascii="Times New Roman" w:hAnsi="Times New Roman" w:cs="Times New Roman"/>
        </w:rPr>
        <w:t xml:space="preserve"> can </w:t>
      </w:r>
      <w:proofErr w:type="spellStart"/>
      <w:r w:rsidR="00EB1D4D">
        <w:rPr>
          <w:rFonts w:ascii="Times New Roman" w:hAnsi="Times New Roman" w:cs="Times New Roman"/>
        </w:rPr>
        <w:t>cover</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the</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non</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pecuniary</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private</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benefit</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extractions</w:t>
      </w:r>
      <w:proofErr w:type="spellEnd"/>
      <w:r w:rsidR="00220D25">
        <w:rPr>
          <w:rFonts w:ascii="Times New Roman" w:hAnsi="Times New Roman" w:cs="Times New Roman"/>
        </w:rPr>
        <w:t xml:space="preserve"> </w:t>
      </w:r>
      <w:proofErr w:type="spellStart"/>
      <w:r w:rsidR="003261F5">
        <w:rPr>
          <w:rFonts w:ascii="Times New Roman" w:hAnsi="Times New Roman" w:cs="Times New Roman"/>
        </w:rPr>
        <w:t>under</w:t>
      </w:r>
      <w:proofErr w:type="spellEnd"/>
      <w:r w:rsidR="003261F5">
        <w:rPr>
          <w:rFonts w:ascii="Times New Roman" w:hAnsi="Times New Roman" w:cs="Times New Roman"/>
        </w:rPr>
        <w:t xml:space="preserve"> </w:t>
      </w:r>
      <w:proofErr w:type="spellStart"/>
      <w:r w:rsidR="00220D25">
        <w:rPr>
          <w:rFonts w:ascii="Times New Roman" w:hAnsi="Times New Roman" w:cs="Times New Roman"/>
        </w:rPr>
        <w:t>its</w:t>
      </w:r>
      <w:proofErr w:type="spellEnd"/>
      <w:r w:rsidR="00220D25">
        <w:rPr>
          <w:rFonts w:ascii="Times New Roman" w:hAnsi="Times New Roman" w:cs="Times New Roman"/>
        </w:rPr>
        <w:t xml:space="preserve"> </w:t>
      </w:r>
      <w:proofErr w:type="spellStart"/>
      <w:r w:rsidR="00220D25">
        <w:rPr>
          <w:rFonts w:ascii="Times New Roman" w:hAnsi="Times New Roman" w:cs="Times New Roman"/>
        </w:rPr>
        <w:t>current</w:t>
      </w:r>
      <w:proofErr w:type="spellEnd"/>
      <w:r w:rsidR="00220D25">
        <w:rPr>
          <w:rFonts w:ascii="Times New Roman" w:hAnsi="Times New Roman" w:cs="Times New Roman"/>
        </w:rPr>
        <w:t xml:space="preserve"> </w:t>
      </w:r>
      <w:proofErr w:type="spellStart"/>
      <w:r w:rsidR="00220D25">
        <w:rPr>
          <w:rFonts w:ascii="Times New Roman" w:hAnsi="Times New Roman" w:cs="Times New Roman"/>
        </w:rPr>
        <w:t>interpretation</w:t>
      </w:r>
      <w:proofErr w:type="spellEnd"/>
      <w:r w:rsidR="00EF412A">
        <w:rPr>
          <w:rFonts w:ascii="Times New Roman" w:hAnsi="Times New Roman" w:cs="Times New Roman"/>
        </w:rPr>
        <w:t xml:space="preserve">. </w:t>
      </w:r>
      <w:r w:rsidR="00625151" w:rsidRPr="00705170">
        <w:rPr>
          <w:rFonts w:ascii="Times New Roman" w:hAnsi="Times New Roman" w:cs="Times New Roman"/>
        </w:rPr>
        <w:t xml:space="preserve">As </w:t>
      </w:r>
      <w:proofErr w:type="spellStart"/>
      <w:r w:rsidR="00625151" w:rsidRPr="00705170">
        <w:rPr>
          <w:rFonts w:ascii="Times New Roman" w:hAnsi="Times New Roman" w:cs="Times New Roman"/>
        </w:rPr>
        <w:t>seen</w:t>
      </w:r>
      <w:proofErr w:type="spellEnd"/>
      <w:r w:rsidR="00625151" w:rsidRPr="00705170">
        <w:rPr>
          <w:rFonts w:ascii="Times New Roman" w:hAnsi="Times New Roman" w:cs="Times New Roman"/>
        </w:rPr>
        <w:t xml:space="preserve"> </w:t>
      </w:r>
      <w:proofErr w:type="spellStart"/>
      <w:r w:rsidR="00625151" w:rsidRPr="00705170">
        <w:rPr>
          <w:rFonts w:ascii="Times New Roman" w:hAnsi="Times New Roman" w:cs="Times New Roman"/>
        </w:rPr>
        <w:t>above</w:t>
      </w:r>
      <w:proofErr w:type="spellEnd"/>
      <w:r w:rsidR="00366241" w:rsidRPr="00705170">
        <w:rPr>
          <w:rFonts w:ascii="Times New Roman" w:hAnsi="Times New Roman" w:cs="Times New Roman"/>
        </w:rPr>
        <w:t>, “</w:t>
      </w:r>
      <w:proofErr w:type="spellStart"/>
      <w:r w:rsidR="00366241" w:rsidRPr="00705170">
        <w:rPr>
          <w:rFonts w:ascii="Times New Roman" w:hAnsi="Times New Roman" w:cs="Times New Roman"/>
        </w:rPr>
        <w:t>distorted</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management</w:t>
      </w:r>
      <w:proofErr w:type="spellEnd"/>
      <w:r w:rsidR="00366241" w:rsidRPr="00705170">
        <w:rPr>
          <w:rFonts w:ascii="Times New Roman" w:hAnsi="Times New Roman" w:cs="Times New Roman"/>
        </w:rPr>
        <w:t>” (</w:t>
      </w:r>
      <w:proofErr w:type="spellStart"/>
      <w:r w:rsidR="00366241" w:rsidRPr="00705170">
        <w:rPr>
          <w:rFonts w:ascii="Times New Roman" w:hAnsi="Times New Roman" w:cs="Times New Roman"/>
        </w:rPr>
        <w:t>i.e</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corporate</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management</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that</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does</w:t>
      </w:r>
      <w:proofErr w:type="spellEnd"/>
      <w:r w:rsidR="00366241" w:rsidRPr="00705170">
        <w:rPr>
          <w:rFonts w:ascii="Times New Roman" w:hAnsi="Times New Roman" w:cs="Times New Roman"/>
        </w:rPr>
        <w:t xml:space="preserve"> not </w:t>
      </w:r>
      <w:proofErr w:type="spellStart"/>
      <w:r w:rsidR="00366241" w:rsidRPr="00705170">
        <w:rPr>
          <w:rFonts w:ascii="Times New Roman" w:hAnsi="Times New Roman" w:cs="Times New Roman"/>
        </w:rPr>
        <w:t>serve</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to</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the</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corporate</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purpose</w:t>
      </w:r>
      <w:proofErr w:type="spellEnd"/>
      <w:r w:rsidR="00366241" w:rsidRPr="00705170">
        <w:rPr>
          <w:rFonts w:ascii="Times New Roman" w:hAnsi="Times New Roman" w:cs="Times New Roman"/>
        </w:rPr>
        <w:t xml:space="preserve"> of </w:t>
      </w:r>
      <w:proofErr w:type="spellStart"/>
      <w:r w:rsidR="00366241" w:rsidRPr="00705170">
        <w:rPr>
          <w:rFonts w:ascii="Times New Roman" w:hAnsi="Times New Roman" w:cs="Times New Roman"/>
        </w:rPr>
        <w:t>accruing</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profits</w:t>
      </w:r>
      <w:proofErr w:type="spellEnd"/>
      <w:r w:rsidR="00366241" w:rsidRPr="00705170">
        <w:rPr>
          <w:rFonts w:ascii="Times New Roman" w:hAnsi="Times New Roman" w:cs="Times New Roman"/>
        </w:rPr>
        <w:t xml:space="preserve">) is </w:t>
      </w:r>
      <w:proofErr w:type="spellStart"/>
      <w:r w:rsidR="00120AB6">
        <w:rPr>
          <w:rFonts w:ascii="Times New Roman" w:hAnsi="Times New Roman" w:cs="Times New Roman"/>
        </w:rPr>
        <w:t>accepted</w:t>
      </w:r>
      <w:proofErr w:type="spellEnd"/>
      <w:r w:rsidR="00366241" w:rsidRPr="00705170">
        <w:rPr>
          <w:rFonts w:ascii="Times New Roman" w:hAnsi="Times New Roman" w:cs="Times New Roman"/>
        </w:rPr>
        <w:t xml:space="preserve"> as </w:t>
      </w:r>
      <w:proofErr w:type="spellStart"/>
      <w:r w:rsidR="00366241" w:rsidRPr="00705170">
        <w:rPr>
          <w:rFonts w:ascii="Times New Roman" w:hAnsi="Times New Roman" w:cs="Times New Roman"/>
        </w:rPr>
        <w:t>one</w:t>
      </w:r>
      <w:proofErr w:type="spellEnd"/>
      <w:r w:rsidR="00366241" w:rsidRPr="00705170">
        <w:rPr>
          <w:rFonts w:ascii="Times New Roman" w:hAnsi="Times New Roman" w:cs="Times New Roman"/>
        </w:rPr>
        <w:t xml:space="preserve"> of </w:t>
      </w:r>
      <w:proofErr w:type="spellStart"/>
      <w:r w:rsidR="00366241" w:rsidRPr="00705170">
        <w:rPr>
          <w:rFonts w:ascii="Times New Roman" w:hAnsi="Times New Roman" w:cs="Times New Roman"/>
        </w:rPr>
        <w:t>the</w:t>
      </w:r>
      <w:proofErr w:type="spellEnd"/>
      <w:r w:rsidR="00366241" w:rsidRPr="00705170">
        <w:rPr>
          <w:rFonts w:ascii="Times New Roman" w:hAnsi="Times New Roman" w:cs="Times New Roman"/>
        </w:rPr>
        <w:t xml:space="preserve"> </w:t>
      </w:r>
      <w:proofErr w:type="spellStart"/>
      <w:r w:rsidR="003261F5">
        <w:rPr>
          <w:rFonts w:ascii="Times New Roman" w:hAnsi="Times New Roman" w:cs="Times New Roman"/>
        </w:rPr>
        <w:t>incidents</w:t>
      </w:r>
      <w:proofErr w:type="spellEnd"/>
      <w:r w:rsidR="003261F5" w:rsidRPr="00705170">
        <w:rPr>
          <w:rFonts w:ascii="Times New Roman" w:hAnsi="Times New Roman" w:cs="Times New Roman"/>
        </w:rPr>
        <w:t xml:space="preserve"> </w:t>
      </w:r>
      <w:proofErr w:type="spellStart"/>
      <w:r w:rsidR="00366241" w:rsidRPr="00705170">
        <w:rPr>
          <w:rFonts w:ascii="Times New Roman" w:hAnsi="Times New Roman" w:cs="Times New Roman"/>
        </w:rPr>
        <w:t>that</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gives</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rise</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to</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just</w:t>
      </w:r>
      <w:proofErr w:type="spellEnd"/>
      <w:r w:rsidR="00366241" w:rsidRPr="00705170">
        <w:rPr>
          <w:rFonts w:ascii="Times New Roman" w:hAnsi="Times New Roman" w:cs="Times New Roman"/>
        </w:rPr>
        <w:t xml:space="preserve"> </w:t>
      </w:r>
      <w:proofErr w:type="spellStart"/>
      <w:r w:rsidR="00366241" w:rsidRPr="00705170">
        <w:rPr>
          <w:rFonts w:ascii="Times New Roman" w:hAnsi="Times New Roman" w:cs="Times New Roman"/>
        </w:rPr>
        <w:t>cause</w:t>
      </w:r>
      <w:proofErr w:type="spellEnd"/>
      <w:r w:rsidR="00366241" w:rsidRPr="00705170">
        <w:rPr>
          <w:rStyle w:val="DipnotBavurusu"/>
          <w:rFonts w:ascii="Times New Roman" w:hAnsi="Times New Roman" w:cs="Times New Roman"/>
        </w:rPr>
        <w:footnoteReference w:id="941"/>
      </w:r>
      <w:r w:rsidR="00366241" w:rsidRPr="00705170">
        <w:rPr>
          <w:rFonts w:ascii="Times New Roman" w:hAnsi="Times New Roman" w:cs="Times New Roman"/>
        </w:rPr>
        <w:t xml:space="preserve">. </w:t>
      </w:r>
      <w:proofErr w:type="spellStart"/>
      <w:r w:rsidR="00EF412A">
        <w:rPr>
          <w:rFonts w:ascii="Times New Roman" w:hAnsi="Times New Roman" w:cs="Times New Roman"/>
        </w:rPr>
        <w:t>This</w:t>
      </w:r>
      <w:proofErr w:type="spellEnd"/>
      <w:r w:rsidR="00EF412A">
        <w:rPr>
          <w:rFonts w:ascii="Times New Roman" w:hAnsi="Times New Roman" w:cs="Times New Roman"/>
        </w:rPr>
        <w:t xml:space="preserve"> </w:t>
      </w:r>
      <w:proofErr w:type="spellStart"/>
      <w:r w:rsidR="00EF412A">
        <w:rPr>
          <w:rFonts w:ascii="Times New Roman" w:hAnsi="Times New Roman" w:cs="Times New Roman"/>
        </w:rPr>
        <w:t>practice</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includes</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two</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aspects</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first</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one</w:t>
      </w:r>
      <w:proofErr w:type="spellEnd"/>
      <w:r w:rsidR="00EB1D4D">
        <w:rPr>
          <w:rFonts w:ascii="Times New Roman" w:hAnsi="Times New Roman" w:cs="Times New Roman"/>
        </w:rPr>
        <w:t xml:space="preserve"> is </w:t>
      </w:r>
      <w:proofErr w:type="spellStart"/>
      <w:r w:rsidR="00EB1D4D">
        <w:rPr>
          <w:rFonts w:ascii="Times New Roman" w:hAnsi="Times New Roman" w:cs="Times New Roman"/>
        </w:rPr>
        <w:t>concerning</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the</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actions</w:t>
      </w:r>
      <w:proofErr w:type="spellEnd"/>
      <w:r w:rsidR="00EB1D4D">
        <w:rPr>
          <w:rFonts w:ascii="Times New Roman" w:hAnsi="Times New Roman" w:cs="Times New Roman"/>
        </w:rPr>
        <w:t xml:space="preserve"> of </w:t>
      </w:r>
      <w:proofErr w:type="spellStart"/>
      <w:r w:rsidR="00EB1D4D">
        <w:rPr>
          <w:rFonts w:ascii="Times New Roman" w:hAnsi="Times New Roman" w:cs="Times New Roman"/>
        </w:rPr>
        <w:t>the</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corporation</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itself</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and</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the</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second</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one</w:t>
      </w:r>
      <w:proofErr w:type="spellEnd"/>
      <w:r w:rsidR="00EB1D4D">
        <w:rPr>
          <w:rFonts w:ascii="Times New Roman" w:hAnsi="Times New Roman" w:cs="Times New Roman"/>
        </w:rPr>
        <w:t xml:space="preserve"> is </w:t>
      </w:r>
      <w:proofErr w:type="spellStart"/>
      <w:r w:rsidR="00EB1D4D">
        <w:rPr>
          <w:rFonts w:ascii="Times New Roman" w:hAnsi="Times New Roman" w:cs="Times New Roman"/>
        </w:rPr>
        <w:t>actions</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taken</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by</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corporate</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insiders</w:t>
      </w:r>
      <w:proofErr w:type="spellEnd"/>
      <w:r w:rsidR="00EF412A">
        <w:rPr>
          <w:rFonts w:ascii="Times New Roman" w:hAnsi="Times New Roman" w:cs="Times New Roman"/>
        </w:rPr>
        <w:t xml:space="preserve"> (</w:t>
      </w:r>
      <w:proofErr w:type="spellStart"/>
      <w:r w:rsidR="00EF412A">
        <w:rPr>
          <w:rFonts w:ascii="Times New Roman" w:hAnsi="Times New Roman" w:cs="Times New Roman"/>
        </w:rPr>
        <w:t>e.g</w:t>
      </w:r>
      <w:proofErr w:type="spellEnd"/>
      <w:r w:rsidR="00EF412A">
        <w:rPr>
          <w:rFonts w:ascii="Times New Roman" w:hAnsi="Times New Roman" w:cs="Times New Roman"/>
        </w:rPr>
        <w:t xml:space="preserve">., </w:t>
      </w:r>
      <w:proofErr w:type="spellStart"/>
      <w:r w:rsidR="00EF412A">
        <w:rPr>
          <w:rFonts w:ascii="Times New Roman" w:hAnsi="Times New Roman" w:cs="Times New Roman"/>
        </w:rPr>
        <w:t>directors</w:t>
      </w:r>
      <w:proofErr w:type="spellEnd"/>
      <w:r w:rsidR="00EF412A">
        <w:rPr>
          <w:rFonts w:ascii="Times New Roman" w:hAnsi="Times New Roman" w:cs="Times New Roman"/>
        </w:rPr>
        <w:t xml:space="preserve">, </w:t>
      </w:r>
      <w:proofErr w:type="spellStart"/>
      <w:r w:rsidR="00EF412A">
        <w:rPr>
          <w:rFonts w:ascii="Times New Roman" w:hAnsi="Times New Roman" w:cs="Times New Roman"/>
        </w:rPr>
        <w:t>managers</w:t>
      </w:r>
      <w:proofErr w:type="spellEnd"/>
      <w:r w:rsidR="00EF412A">
        <w:rPr>
          <w:rFonts w:ascii="Times New Roman" w:hAnsi="Times New Roman" w:cs="Times New Roman"/>
        </w:rPr>
        <w:t xml:space="preserve">, </w:t>
      </w:r>
      <w:proofErr w:type="spellStart"/>
      <w:r w:rsidR="00EF412A">
        <w:rPr>
          <w:rFonts w:ascii="Times New Roman" w:hAnsi="Times New Roman" w:cs="Times New Roman"/>
        </w:rPr>
        <w:t>shareholders</w:t>
      </w:r>
      <w:proofErr w:type="spellEnd"/>
      <w:r w:rsidR="00EF412A">
        <w:rPr>
          <w:rFonts w:ascii="Times New Roman" w:hAnsi="Times New Roman" w:cs="Times New Roman"/>
        </w:rPr>
        <w:t>)</w:t>
      </w:r>
      <w:r w:rsidR="009C4866">
        <w:rPr>
          <w:rFonts w:ascii="Times New Roman" w:hAnsi="Times New Roman" w:cs="Times New Roman"/>
        </w:rPr>
        <w:t xml:space="preserve"> on</w:t>
      </w:r>
      <w:r w:rsidR="00EB1D4D">
        <w:rPr>
          <w:rFonts w:ascii="Times New Roman" w:hAnsi="Times New Roman" w:cs="Times New Roman"/>
        </w:rPr>
        <w:t xml:space="preserve"> </w:t>
      </w:r>
      <w:proofErr w:type="spellStart"/>
      <w:r w:rsidR="00EB1D4D">
        <w:rPr>
          <w:rFonts w:ascii="Times New Roman" w:hAnsi="Times New Roman" w:cs="Times New Roman"/>
        </w:rPr>
        <w:t>their</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own</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behalf</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For</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the</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latter</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aspect</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s</w:t>
      </w:r>
      <w:r w:rsidR="001F32F4" w:rsidRPr="00705170">
        <w:rPr>
          <w:rFonts w:ascii="Times New Roman" w:hAnsi="Times New Roman" w:cs="Times New Roman"/>
        </w:rPr>
        <w:t>cholars</w:t>
      </w:r>
      <w:proofErr w:type="spellEnd"/>
      <w:r w:rsidR="009C4866">
        <w:rPr>
          <w:rFonts w:ascii="Times New Roman" w:hAnsi="Times New Roman" w:cs="Times New Roman"/>
        </w:rPr>
        <w:t>’</w:t>
      </w:r>
      <w:r w:rsidR="001F32F4" w:rsidRPr="00705170">
        <w:rPr>
          <w:rFonts w:ascii="Times New Roman" w:hAnsi="Times New Roman" w:cs="Times New Roman"/>
        </w:rPr>
        <w:t xml:space="preserve"> </w:t>
      </w:r>
      <w:proofErr w:type="spellStart"/>
      <w:r w:rsidR="001F32F4" w:rsidRPr="00705170">
        <w:rPr>
          <w:rFonts w:ascii="Times New Roman" w:hAnsi="Times New Roman" w:cs="Times New Roman"/>
        </w:rPr>
        <w:t>suggest</w:t>
      </w:r>
      <w:r w:rsidR="009C4866">
        <w:rPr>
          <w:rFonts w:ascii="Times New Roman" w:hAnsi="Times New Roman" w:cs="Times New Roman"/>
        </w:rPr>
        <w:t>ion</w:t>
      </w:r>
      <w:proofErr w:type="spellEnd"/>
      <w:r w:rsidR="001F32F4" w:rsidRPr="00705170">
        <w:rPr>
          <w:rFonts w:ascii="Times New Roman" w:hAnsi="Times New Roman" w:cs="Times New Roman"/>
        </w:rPr>
        <w:t xml:space="preserve"> </w:t>
      </w:r>
      <w:proofErr w:type="spellStart"/>
      <w:r w:rsidR="001F32F4" w:rsidRPr="00705170">
        <w:rPr>
          <w:rFonts w:ascii="Times New Roman" w:hAnsi="Times New Roman" w:cs="Times New Roman"/>
        </w:rPr>
        <w:t>that</w:t>
      </w:r>
      <w:proofErr w:type="spellEnd"/>
      <w:r w:rsidR="001F32F4" w:rsidRPr="00705170">
        <w:rPr>
          <w:rFonts w:ascii="Times New Roman" w:hAnsi="Times New Roman" w:cs="Times New Roman"/>
        </w:rPr>
        <w:t xml:space="preserve"> a </w:t>
      </w:r>
      <w:proofErr w:type="spellStart"/>
      <w:r w:rsidR="001F32F4" w:rsidRPr="00705170">
        <w:rPr>
          <w:rFonts w:ascii="Times New Roman" w:hAnsi="Times New Roman" w:cs="Times New Roman"/>
        </w:rPr>
        <w:t>management</w:t>
      </w:r>
      <w:proofErr w:type="spellEnd"/>
      <w:r w:rsidR="001F32F4" w:rsidRPr="00705170">
        <w:rPr>
          <w:rFonts w:ascii="Times New Roman" w:hAnsi="Times New Roman" w:cs="Times New Roman"/>
        </w:rPr>
        <w:t xml:space="preserve"> </w:t>
      </w:r>
      <w:proofErr w:type="spellStart"/>
      <w:r w:rsidR="001F32F4" w:rsidRPr="00705170">
        <w:rPr>
          <w:rFonts w:ascii="Times New Roman" w:hAnsi="Times New Roman" w:cs="Times New Roman"/>
        </w:rPr>
        <w:t>or</w:t>
      </w:r>
      <w:proofErr w:type="spellEnd"/>
      <w:r w:rsidR="001F32F4" w:rsidRPr="00705170">
        <w:rPr>
          <w:rFonts w:ascii="Times New Roman" w:hAnsi="Times New Roman" w:cs="Times New Roman"/>
        </w:rPr>
        <w:t xml:space="preserve"> </w:t>
      </w:r>
      <w:proofErr w:type="spellStart"/>
      <w:r w:rsidR="001F32F4" w:rsidRPr="00705170">
        <w:rPr>
          <w:rFonts w:ascii="Times New Roman" w:hAnsi="Times New Roman" w:cs="Times New Roman"/>
        </w:rPr>
        <w:t>shareholder</w:t>
      </w:r>
      <w:proofErr w:type="spellEnd"/>
      <w:r w:rsidR="001F32F4" w:rsidRPr="00705170">
        <w:rPr>
          <w:rFonts w:ascii="Times New Roman" w:hAnsi="Times New Roman" w:cs="Times New Roman"/>
        </w:rPr>
        <w:t xml:space="preserve"> </w:t>
      </w:r>
      <w:proofErr w:type="spellStart"/>
      <w:r w:rsidR="001F32F4" w:rsidRPr="00705170">
        <w:rPr>
          <w:rFonts w:ascii="Times New Roman" w:hAnsi="Times New Roman" w:cs="Times New Roman"/>
        </w:rPr>
        <w:t>actions</w:t>
      </w:r>
      <w:proofErr w:type="spellEnd"/>
      <w:r w:rsidR="001F32F4" w:rsidRPr="00705170">
        <w:rPr>
          <w:rFonts w:ascii="Times New Roman" w:hAnsi="Times New Roman" w:cs="Times New Roman"/>
        </w:rPr>
        <w:t xml:space="preserve"> </w:t>
      </w:r>
      <w:proofErr w:type="spellStart"/>
      <w:r w:rsidR="001F32F4" w:rsidRPr="00705170">
        <w:rPr>
          <w:rFonts w:ascii="Times New Roman" w:hAnsi="Times New Roman" w:cs="Times New Roman"/>
        </w:rPr>
        <w:t>aimed</w:t>
      </w:r>
      <w:proofErr w:type="spellEnd"/>
      <w:r w:rsidR="001F32F4" w:rsidRPr="00705170">
        <w:rPr>
          <w:rFonts w:ascii="Times New Roman" w:hAnsi="Times New Roman" w:cs="Times New Roman"/>
        </w:rPr>
        <w:t xml:space="preserve"> at </w:t>
      </w:r>
      <w:proofErr w:type="spellStart"/>
      <w:r w:rsidR="001F32F4" w:rsidRPr="00705170">
        <w:rPr>
          <w:rFonts w:ascii="Times New Roman" w:hAnsi="Times New Roman" w:cs="Times New Roman"/>
        </w:rPr>
        <w:t>lowering</w:t>
      </w:r>
      <w:proofErr w:type="spellEnd"/>
      <w:r w:rsidR="001F32F4" w:rsidRPr="00705170">
        <w:rPr>
          <w:rFonts w:ascii="Times New Roman" w:hAnsi="Times New Roman" w:cs="Times New Roman"/>
        </w:rPr>
        <w:t xml:space="preserve"> </w:t>
      </w:r>
      <w:proofErr w:type="spellStart"/>
      <w:r w:rsidR="001F32F4" w:rsidRPr="00705170">
        <w:rPr>
          <w:rFonts w:ascii="Times New Roman" w:hAnsi="Times New Roman" w:cs="Times New Roman"/>
        </w:rPr>
        <w:t>the</w:t>
      </w:r>
      <w:proofErr w:type="spellEnd"/>
      <w:r w:rsidR="001F32F4" w:rsidRPr="00705170">
        <w:rPr>
          <w:rFonts w:ascii="Times New Roman" w:hAnsi="Times New Roman" w:cs="Times New Roman"/>
        </w:rPr>
        <w:t xml:space="preserve"> market </w:t>
      </w:r>
      <w:proofErr w:type="spellStart"/>
      <w:r w:rsidR="001F32F4" w:rsidRPr="00705170">
        <w:rPr>
          <w:rFonts w:ascii="Times New Roman" w:hAnsi="Times New Roman" w:cs="Times New Roman"/>
        </w:rPr>
        <w:t>share</w:t>
      </w:r>
      <w:proofErr w:type="spellEnd"/>
      <w:r w:rsidR="001F32F4" w:rsidRPr="00705170">
        <w:rPr>
          <w:rFonts w:ascii="Times New Roman" w:hAnsi="Times New Roman" w:cs="Times New Roman"/>
        </w:rPr>
        <w:t xml:space="preserve"> of </w:t>
      </w:r>
      <w:proofErr w:type="spellStart"/>
      <w:r w:rsidR="001F32F4" w:rsidRPr="00705170">
        <w:rPr>
          <w:rFonts w:ascii="Times New Roman" w:hAnsi="Times New Roman" w:cs="Times New Roman"/>
        </w:rPr>
        <w:t>the</w:t>
      </w:r>
      <w:proofErr w:type="spellEnd"/>
      <w:r w:rsidR="001F32F4" w:rsidRPr="00705170">
        <w:rPr>
          <w:rFonts w:ascii="Times New Roman" w:hAnsi="Times New Roman" w:cs="Times New Roman"/>
        </w:rPr>
        <w:t xml:space="preserve"> </w:t>
      </w:r>
      <w:proofErr w:type="spellStart"/>
      <w:r w:rsidR="001F32F4" w:rsidRPr="00705170">
        <w:rPr>
          <w:rFonts w:ascii="Times New Roman" w:hAnsi="Times New Roman" w:cs="Times New Roman"/>
        </w:rPr>
        <w:t>corporation</w:t>
      </w:r>
      <w:proofErr w:type="spellEnd"/>
      <w:r w:rsidR="001F32F4" w:rsidRPr="00705170">
        <w:rPr>
          <w:rFonts w:ascii="Times New Roman" w:hAnsi="Times New Roman" w:cs="Times New Roman"/>
        </w:rPr>
        <w:t xml:space="preserve"> </w:t>
      </w:r>
      <w:proofErr w:type="spellStart"/>
      <w:r w:rsidR="001F32F4" w:rsidRPr="00705170">
        <w:rPr>
          <w:rFonts w:ascii="Times New Roman" w:hAnsi="Times New Roman" w:cs="Times New Roman"/>
        </w:rPr>
        <w:t>to</w:t>
      </w:r>
      <w:proofErr w:type="spellEnd"/>
      <w:r w:rsidR="0003156A" w:rsidRPr="00705170">
        <w:rPr>
          <w:rFonts w:ascii="Times New Roman" w:hAnsi="Times New Roman" w:cs="Times New Roman"/>
        </w:rPr>
        <w:t xml:space="preserve"> </w:t>
      </w:r>
      <w:proofErr w:type="spellStart"/>
      <w:r w:rsidR="0003156A" w:rsidRPr="00705170">
        <w:rPr>
          <w:rFonts w:ascii="Times New Roman" w:hAnsi="Times New Roman" w:cs="Times New Roman"/>
        </w:rPr>
        <w:t>provide</w:t>
      </w:r>
      <w:proofErr w:type="spellEnd"/>
      <w:r w:rsidR="0003156A" w:rsidRPr="00705170">
        <w:rPr>
          <w:rFonts w:ascii="Times New Roman" w:hAnsi="Times New Roman" w:cs="Times New Roman"/>
        </w:rPr>
        <w:t xml:space="preserve"> </w:t>
      </w:r>
      <w:proofErr w:type="spellStart"/>
      <w:r w:rsidR="0003156A" w:rsidRPr="00705170">
        <w:rPr>
          <w:rFonts w:ascii="Times New Roman" w:hAnsi="Times New Roman" w:cs="Times New Roman"/>
        </w:rPr>
        <w:t>benefits</w:t>
      </w:r>
      <w:proofErr w:type="spellEnd"/>
      <w:r w:rsidR="0003156A" w:rsidRPr="00705170">
        <w:rPr>
          <w:rFonts w:ascii="Times New Roman" w:hAnsi="Times New Roman" w:cs="Times New Roman"/>
        </w:rPr>
        <w:t xml:space="preserve"> </w:t>
      </w:r>
      <w:proofErr w:type="spellStart"/>
      <w:r w:rsidR="0003156A" w:rsidRPr="00705170">
        <w:rPr>
          <w:rFonts w:ascii="Times New Roman" w:hAnsi="Times New Roman" w:cs="Times New Roman"/>
        </w:rPr>
        <w:t>to</w:t>
      </w:r>
      <w:proofErr w:type="spellEnd"/>
      <w:r w:rsidR="0003156A" w:rsidRPr="00705170">
        <w:rPr>
          <w:rFonts w:ascii="Times New Roman" w:hAnsi="Times New Roman" w:cs="Times New Roman"/>
        </w:rPr>
        <w:t xml:space="preserve"> </w:t>
      </w:r>
      <w:proofErr w:type="spellStart"/>
      <w:r w:rsidR="0003156A" w:rsidRPr="00705170">
        <w:rPr>
          <w:rFonts w:ascii="Times New Roman" w:hAnsi="Times New Roman" w:cs="Times New Roman"/>
        </w:rPr>
        <w:t>competitors</w:t>
      </w:r>
      <w:proofErr w:type="spellEnd"/>
      <w:r w:rsidR="0003156A" w:rsidRPr="00705170">
        <w:rPr>
          <w:rFonts w:ascii="Times New Roman" w:hAnsi="Times New Roman" w:cs="Times New Roman"/>
        </w:rPr>
        <w:t xml:space="preserve"> is a </w:t>
      </w:r>
      <w:proofErr w:type="spellStart"/>
      <w:r w:rsidR="0003156A" w:rsidRPr="00705170">
        <w:rPr>
          <w:rFonts w:ascii="Times New Roman" w:hAnsi="Times New Roman" w:cs="Times New Roman"/>
        </w:rPr>
        <w:t>distorted</w:t>
      </w:r>
      <w:proofErr w:type="spellEnd"/>
      <w:r w:rsidR="0003156A" w:rsidRPr="00705170">
        <w:rPr>
          <w:rFonts w:ascii="Times New Roman" w:hAnsi="Times New Roman" w:cs="Times New Roman"/>
        </w:rPr>
        <w:t xml:space="preserve"> </w:t>
      </w:r>
      <w:proofErr w:type="spellStart"/>
      <w:r w:rsidR="0003156A" w:rsidRPr="00705170">
        <w:rPr>
          <w:rFonts w:ascii="Times New Roman" w:hAnsi="Times New Roman" w:cs="Times New Roman"/>
        </w:rPr>
        <w:t>management</w:t>
      </w:r>
      <w:proofErr w:type="spellEnd"/>
      <w:r w:rsidR="0003156A" w:rsidRPr="00705170">
        <w:rPr>
          <w:rFonts w:ascii="Times New Roman" w:hAnsi="Times New Roman" w:cs="Times New Roman"/>
        </w:rPr>
        <w:t xml:space="preserve"> </w:t>
      </w:r>
      <w:proofErr w:type="spellStart"/>
      <w:r w:rsidR="0003156A" w:rsidRPr="00705170">
        <w:rPr>
          <w:rFonts w:ascii="Times New Roman" w:hAnsi="Times New Roman" w:cs="Times New Roman"/>
        </w:rPr>
        <w:t>that</w:t>
      </w:r>
      <w:proofErr w:type="spellEnd"/>
      <w:r w:rsidR="0003156A" w:rsidRPr="00705170">
        <w:rPr>
          <w:rFonts w:ascii="Times New Roman" w:hAnsi="Times New Roman" w:cs="Times New Roman"/>
        </w:rPr>
        <w:t xml:space="preserve"> </w:t>
      </w:r>
      <w:proofErr w:type="spellStart"/>
      <w:r w:rsidR="0003156A" w:rsidRPr="00705170">
        <w:rPr>
          <w:rFonts w:ascii="Times New Roman" w:hAnsi="Times New Roman" w:cs="Times New Roman"/>
        </w:rPr>
        <w:t>creates</w:t>
      </w:r>
      <w:proofErr w:type="spellEnd"/>
      <w:r w:rsidR="0003156A" w:rsidRPr="00705170">
        <w:rPr>
          <w:rFonts w:ascii="Times New Roman" w:hAnsi="Times New Roman" w:cs="Times New Roman"/>
        </w:rPr>
        <w:t xml:space="preserve"> a </w:t>
      </w:r>
      <w:proofErr w:type="spellStart"/>
      <w:r w:rsidR="0003156A" w:rsidRPr="00705170">
        <w:rPr>
          <w:rFonts w:ascii="Times New Roman" w:hAnsi="Times New Roman" w:cs="Times New Roman"/>
        </w:rPr>
        <w:t>just</w:t>
      </w:r>
      <w:proofErr w:type="spellEnd"/>
      <w:r w:rsidR="0003156A" w:rsidRPr="00705170">
        <w:rPr>
          <w:rFonts w:ascii="Times New Roman" w:hAnsi="Times New Roman" w:cs="Times New Roman"/>
        </w:rPr>
        <w:t xml:space="preserve"> </w:t>
      </w:r>
      <w:proofErr w:type="spellStart"/>
      <w:r w:rsidR="0003156A" w:rsidRPr="00705170">
        <w:rPr>
          <w:rFonts w:ascii="Times New Roman" w:hAnsi="Times New Roman" w:cs="Times New Roman"/>
        </w:rPr>
        <w:t>cause</w:t>
      </w:r>
      <w:proofErr w:type="spellEnd"/>
      <w:r w:rsidR="0003156A" w:rsidRPr="00705170">
        <w:rPr>
          <w:rFonts w:ascii="Times New Roman" w:hAnsi="Times New Roman" w:cs="Times New Roman"/>
        </w:rPr>
        <w:t xml:space="preserve"> </w:t>
      </w:r>
      <w:proofErr w:type="spellStart"/>
      <w:r w:rsidR="0003156A" w:rsidRPr="00705170">
        <w:rPr>
          <w:rFonts w:ascii="Times New Roman" w:hAnsi="Times New Roman" w:cs="Times New Roman"/>
        </w:rPr>
        <w:t>for</w:t>
      </w:r>
      <w:proofErr w:type="spellEnd"/>
      <w:r w:rsidR="0003156A" w:rsidRPr="00705170">
        <w:rPr>
          <w:rFonts w:ascii="Times New Roman" w:hAnsi="Times New Roman" w:cs="Times New Roman"/>
        </w:rPr>
        <w:t xml:space="preserve"> </w:t>
      </w:r>
      <w:proofErr w:type="spellStart"/>
      <w:r w:rsidR="0003156A" w:rsidRPr="00705170">
        <w:rPr>
          <w:rFonts w:ascii="Times New Roman" w:hAnsi="Times New Roman" w:cs="Times New Roman"/>
        </w:rPr>
        <w:t>dissolution</w:t>
      </w:r>
      <w:proofErr w:type="spellEnd"/>
      <w:r w:rsidR="0003156A" w:rsidRPr="00705170">
        <w:rPr>
          <w:rStyle w:val="DipnotBavurusu"/>
          <w:rFonts w:ascii="Times New Roman" w:hAnsi="Times New Roman" w:cs="Times New Roman"/>
        </w:rPr>
        <w:footnoteReference w:id="942"/>
      </w:r>
      <w:r w:rsidR="009C4866">
        <w:rPr>
          <w:rFonts w:ascii="Times New Roman" w:hAnsi="Times New Roman" w:cs="Times New Roman"/>
        </w:rPr>
        <w:t xml:space="preserve">, </w:t>
      </w:r>
      <w:proofErr w:type="spellStart"/>
      <w:r w:rsidR="009C4866">
        <w:rPr>
          <w:rFonts w:ascii="Times New Roman" w:hAnsi="Times New Roman" w:cs="Times New Roman"/>
        </w:rPr>
        <w:t>shows</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that</w:t>
      </w:r>
      <w:proofErr w:type="spellEnd"/>
      <w:r w:rsidR="009C4866">
        <w:rPr>
          <w:rFonts w:ascii="Times New Roman" w:hAnsi="Times New Roman" w:cs="Times New Roman"/>
        </w:rPr>
        <w:t xml:space="preserve"> an </w:t>
      </w:r>
      <w:proofErr w:type="spellStart"/>
      <w:r w:rsidR="009C4866">
        <w:rPr>
          <w:rFonts w:ascii="Times New Roman" w:hAnsi="Times New Roman" w:cs="Times New Roman"/>
        </w:rPr>
        <w:t>external</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act</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external</w:t>
      </w:r>
      <w:proofErr w:type="spellEnd"/>
      <w:r w:rsidR="009C4866">
        <w:rPr>
          <w:rFonts w:ascii="Times New Roman" w:hAnsi="Times New Roman" w:cs="Times New Roman"/>
        </w:rPr>
        <w:t xml:space="preserve"> in </w:t>
      </w:r>
      <w:proofErr w:type="spellStart"/>
      <w:r w:rsidR="009C4866">
        <w:rPr>
          <w:rFonts w:ascii="Times New Roman" w:hAnsi="Times New Roman" w:cs="Times New Roman"/>
        </w:rPr>
        <w:t>the</w:t>
      </w:r>
      <w:proofErr w:type="spellEnd"/>
      <w:r w:rsidR="009C4866">
        <w:rPr>
          <w:rFonts w:ascii="Times New Roman" w:hAnsi="Times New Roman" w:cs="Times New Roman"/>
        </w:rPr>
        <w:t xml:space="preserve"> sense </w:t>
      </w:r>
      <w:proofErr w:type="spellStart"/>
      <w:r w:rsidR="009C4866">
        <w:rPr>
          <w:rFonts w:ascii="Times New Roman" w:hAnsi="Times New Roman" w:cs="Times New Roman"/>
        </w:rPr>
        <w:t>that</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the</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insider</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acts</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outside</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the</w:t>
      </w:r>
      <w:proofErr w:type="spellEnd"/>
      <w:r w:rsidR="003261F5">
        <w:rPr>
          <w:rFonts w:ascii="Times New Roman" w:hAnsi="Times New Roman" w:cs="Times New Roman"/>
        </w:rPr>
        <w:t xml:space="preserve"> </w:t>
      </w:r>
      <w:proofErr w:type="spellStart"/>
      <w:r w:rsidR="003261F5">
        <w:rPr>
          <w:rFonts w:ascii="Times New Roman" w:hAnsi="Times New Roman" w:cs="Times New Roman"/>
        </w:rPr>
        <w:t>internal</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corporate</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machinery</w:t>
      </w:r>
      <w:proofErr w:type="spellEnd"/>
      <w:r w:rsidR="009C4866">
        <w:rPr>
          <w:rFonts w:ascii="Times New Roman" w:hAnsi="Times New Roman" w:cs="Times New Roman"/>
        </w:rPr>
        <w:t xml:space="preserve">, in </w:t>
      </w:r>
      <w:proofErr w:type="spellStart"/>
      <w:r w:rsidR="009C4866">
        <w:rPr>
          <w:rFonts w:ascii="Times New Roman" w:hAnsi="Times New Roman" w:cs="Times New Roman"/>
        </w:rPr>
        <w:t>the</w:t>
      </w:r>
      <w:proofErr w:type="spellEnd"/>
      <w:r w:rsidR="009C4866">
        <w:rPr>
          <w:rFonts w:ascii="Times New Roman" w:hAnsi="Times New Roman" w:cs="Times New Roman"/>
        </w:rPr>
        <w:t xml:space="preserve"> market) </w:t>
      </w:r>
      <w:proofErr w:type="spellStart"/>
      <w:r w:rsidR="009C4866">
        <w:rPr>
          <w:rFonts w:ascii="Times New Roman" w:hAnsi="Times New Roman" w:cs="Times New Roman"/>
        </w:rPr>
        <w:t>aimed</w:t>
      </w:r>
      <w:proofErr w:type="spellEnd"/>
      <w:r w:rsidR="009C4866">
        <w:rPr>
          <w:rFonts w:ascii="Times New Roman" w:hAnsi="Times New Roman" w:cs="Times New Roman"/>
        </w:rPr>
        <w:t xml:space="preserve"> at </w:t>
      </w:r>
      <w:proofErr w:type="spellStart"/>
      <w:r w:rsidR="009C4866">
        <w:rPr>
          <w:rFonts w:ascii="Times New Roman" w:hAnsi="Times New Roman" w:cs="Times New Roman"/>
        </w:rPr>
        <w:t>disturbing</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the</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functioning</w:t>
      </w:r>
      <w:proofErr w:type="spellEnd"/>
      <w:r w:rsidR="009C4866">
        <w:rPr>
          <w:rFonts w:ascii="Times New Roman" w:hAnsi="Times New Roman" w:cs="Times New Roman"/>
        </w:rPr>
        <w:t xml:space="preserve"> of </w:t>
      </w:r>
      <w:proofErr w:type="spellStart"/>
      <w:r w:rsidR="009C4866">
        <w:rPr>
          <w:rFonts w:ascii="Times New Roman" w:hAnsi="Times New Roman" w:cs="Times New Roman"/>
        </w:rPr>
        <w:t>the</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corporation</w:t>
      </w:r>
      <w:proofErr w:type="spellEnd"/>
      <w:r w:rsidR="009C4866">
        <w:rPr>
          <w:rFonts w:ascii="Times New Roman" w:hAnsi="Times New Roman" w:cs="Times New Roman"/>
        </w:rPr>
        <w:t xml:space="preserve"> can </w:t>
      </w:r>
      <w:proofErr w:type="spellStart"/>
      <w:r w:rsidR="009C4866">
        <w:rPr>
          <w:rFonts w:ascii="Times New Roman" w:hAnsi="Times New Roman" w:cs="Times New Roman"/>
        </w:rPr>
        <w:t>also</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create</w:t>
      </w:r>
      <w:proofErr w:type="spellEnd"/>
      <w:r w:rsidR="009C4866">
        <w:rPr>
          <w:rFonts w:ascii="Times New Roman" w:hAnsi="Times New Roman" w:cs="Times New Roman"/>
        </w:rPr>
        <w:t xml:space="preserve"> a </w:t>
      </w:r>
      <w:proofErr w:type="spellStart"/>
      <w:r w:rsidR="009C4866">
        <w:rPr>
          <w:rFonts w:ascii="Times New Roman" w:hAnsi="Times New Roman" w:cs="Times New Roman"/>
        </w:rPr>
        <w:t>just</w:t>
      </w:r>
      <w:proofErr w:type="spellEnd"/>
      <w:r w:rsidR="009C4866">
        <w:rPr>
          <w:rFonts w:ascii="Times New Roman" w:hAnsi="Times New Roman" w:cs="Times New Roman"/>
        </w:rPr>
        <w:t xml:space="preserve"> </w:t>
      </w:r>
      <w:proofErr w:type="spellStart"/>
      <w:r w:rsidR="009C4866">
        <w:rPr>
          <w:rFonts w:ascii="Times New Roman" w:hAnsi="Times New Roman" w:cs="Times New Roman"/>
        </w:rPr>
        <w:t>cause</w:t>
      </w:r>
      <w:proofErr w:type="spellEnd"/>
      <w:r w:rsidR="009C4866">
        <w:rPr>
          <w:rFonts w:ascii="Times New Roman" w:hAnsi="Times New Roman" w:cs="Times New Roman"/>
        </w:rPr>
        <w:t>.</w:t>
      </w:r>
      <w:r w:rsidR="0003156A" w:rsidRPr="00705170">
        <w:rPr>
          <w:rFonts w:ascii="Times New Roman" w:hAnsi="Times New Roman" w:cs="Times New Roman"/>
        </w:rPr>
        <w:t xml:space="preserve"> </w:t>
      </w:r>
      <w:proofErr w:type="spellStart"/>
      <w:r w:rsidR="00087E63">
        <w:rPr>
          <w:rFonts w:ascii="Times New Roman" w:hAnsi="Times New Roman" w:cs="Times New Roman"/>
        </w:rPr>
        <w:t>It</w:t>
      </w:r>
      <w:proofErr w:type="spellEnd"/>
      <w:r w:rsidR="00087E63">
        <w:rPr>
          <w:rFonts w:ascii="Times New Roman" w:hAnsi="Times New Roman" w:cs="Times New Roman"/>
        </w:rPr>
        <w:t xml:space="preserve"> can </w:t>
      </w:r>
      <w:proofErr w:type="spellStart"/>
      <w:r w:rsidR="00087E63">
        <w:rPr>
          <w:rFonts w:ascii="Times New Roman" w:hAnsi="Times New Roman" w:cs="Times New Roman"/>
        </w:rPr>
        <w:t>also</w:t>
      </w:r>
      <w:proofErr w:type="spellEnd"/>
      <w:r w:rsidR="00087E63">
        <w:rPr>
          <w:rFonts w:ascii="Times New Roman" w:hAnsi="Times New Roman" w:cs="Times New Roman"/>
        </w:rPr>
        <w:t xml:space="preserve"> be </w:t>
      </w:r>
      <w:proofErr w:type="spellStart"/>
      <w:r w:rsidR="00087E63">
        <w:rPr>
          <w:rFonts w:ascii="Times New Roman" w:hAnsi="Times New Roman" w:cs="Times New Roman"/>
        </w:rPr>
        <w:t>said</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that</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corporation’s</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inaction</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to</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deter</w:t>
      </w:r>
      <w:proofErr w:type="spellEnd"/>
      <w:r w:rsidR="00087E63">
        <w:rPr>
          <w:rFonts w:ascii="Times New Roman" w:hAnsi="Times New Roman" w:cs="Times New Roman"/>
        </w:rPr>
        <w:t xml:space="preserve"> an </w:t>
      </w:r>
      <w:proofErr w:type="spellStart"/>
      <w:r w:rsidR="00087E63">
        <w:rPr>
          <w:rFonts w:ascii="Times New Roman" w:hAnsi="Times New Roman" w:cs="Times New Roman"/>
        </w:rPr>
        <w:t>influencing</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shareholder’s</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external</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undertakings</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that</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effect</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the</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corporation</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negatively</w:t>
      </w:r>
      <w:proofErr w:type="spellEnd"/>
      <w:r w:rsidR="00087E63">
        <w:rPr>
          <w:rFonts w:ascii="Times New Roman" w:hAnsi="Times New Roman" w:cs="Times New Roman"/>
        </w:rPr>
        <w:t xml:space="preserve"> can be </w:t>
      </w:r>
      <w:proofErr w:type="spellStart"/>
      <w:r w:rsidR="00087E63">
        <w:rPr>
          <w:rFonts w:ascii="Times New Roman" w:hAnsi="Times New Roman" w:cs="Times New Roman"/>
        </w:rPr>
        <w:t>seen</w:t>
      </w:r>
      <w:proofErr w:type="spellEnd"/>
      <w:r w:rsidR="00087E63">
        <w:rPr>
          <w:rFonts w:ascii="Times New Roman" w:hAnsi="Times New Roman" w:cs="Times New Roman"/>
        </w:rPr>
        <w:t xml:space="preserve"> as a “</w:t>
      </w:r>
      <w:proofErr w:type="spellStart"/>
      <w:r w:rsidR="00087E63">
        <w:rPr>
          <w:rFonts w:ascii="Times New Roman" w:hAnsi="Times New Roman" w:cs="Times New Roman"/>
        </w:rPr>
        <w:t>distorted</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management</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itself</w:t>
      </w:r>
      <w:proofErr w:type="spellEnd"/>
      <w:r w:rsidR="009D35C0">
        <w:rPr>
          <w:rFonts w:ascii="Times New Roman" w:hAnsi="Times New Roman" w:cs="Times New Roman"/>
        </w:rPr>
        <w:t xml:space="preserve">, as </w:t>
      </w:r>
      <w:proofErr w:type="spellStart"/>
      <w:r w:rsidR="009D35C0">
        <w:rPr>
          <w:rFonts w:ascii="Times New Roman" w:hAnsi="Times New Roman" w:cs="Times New Roman"/>
        </w:rPr>
        <w:t>the</w:t>
      </w:r>
      <w:proofErr w:type="spellEnd"/>
      <w:r w:rsidR="009D35C0">
        <w:rPr>
          <w:rFonts w:ascii="Times New Roman" w:hAnsi="Times New Roman" w:cs="Times New Roman"/>
        </w:rPr>
        <w:t xml:space="preserve"> board of </w:t>
      </w:r>
      <w:proofErr w:type="spellStart"/>
      <w:r w:rsidR="009D35C0">
        <w:rPr>
          <w:rFonts w:ascii="Times New Roman" w:hAnsi="Times New Roman" w:cs="Times New Roman"/>
        </w:rPr>
        <w:t>directors</w:t>
      </w:r>
      <w:proofErr w:type="spellEnd"/>
      <w:r w:rsidR="009D35C0">
        <w:rPr>
          <w:rFonts w:ascii="Times New Roman" w:hAnsi="Times New Roman" w:cs="Times New Roman"/>
        </w:rPr>
        <w:t xml:space="preserve"> </w:t>
      </w:r>
      <w:proofErr w:type="spellStart"/>
      <w:r w:rsidR="009D35C0">
        <w:rPr>
          <w:rFonts w:ascii="Times New Roman" w:hAnsi="Times New Roman" w:cs="Times New Roman"/>
        </w:rPr>
        <w:t>are</w:t>
      </w:r>
      <w:proofErr w:type="spellEnd"/>
      <w:r w:rsidR="009D35C0">
        <w:rPr>
          <w:rFonts w:ascii="Times New Roman" w:hAnsi="Times New Roman" w:cs="Times New Roman"/>
        </w:rPr>
        <w:t xml:space="preserve"> </w:t>
      </w:r>
      <w:proofErr w:type="spellStart"/>
      <w:r w:rsidR="009D35C0">
        <w:rPr>
          <w:rFonts w:ascii="Times New Roman" w:hAnsi="Times New Roman" w:cs="Times New Roman"/>
        </w:rPr>
        <w:t>statutorily</w:t>
      </w:r>
      <w:proofErr w:type="spellEnd"/>
      <w:r w:rsidR="009D35C0">
        <w:rPr>
          <w:rFonts w:ascii="Times New Roman" w:hAnsi="Times New Roman" w:cs="Times New Roman"/>
        </w:rPr>
        <w:t xml:space="preserve"> </w:t>
      </w:r>
      <w:proofErr w:type="spellStart"/>
      <w:r w:rsidR="009D35C0">
        <w:rPr>
          <w:rFonts w:ascii="Times New Roman" w:hAnsi="Times New Roman" w:cs="Times New Roman"/>
        </w:rPr>
        <w:t>obligated</w:t>
      </w:r>
      <w:proofErr w:type="spellEnd"/>
      <w:r w:rsidR="009D35C0">
        <w:rPr>
          <w:rFonts w:ascii="Times New Roman" w:hAnsi="Times New Roman" w:cs="Times New Roman"/>
        </w:rPr>
        <w:t xml:space="preserve"> </w:t>
      </w:r>
      <w:proofErr w:type="spellStart"/>
      <w:r w:rsidR="009D35C0">
        <w:rPr>
          <w:rFonts w:ascii="Times New Roman" w:hAnsi="Times New Roman" w:cs="Times New Roman"/>
        </w:rPr>
        <w:t>to</w:t>
      </w:r>
      <w:proofErr w:type="spellEnd"/>
      <w:r w:rsidR="009D35C0">
        <w:rPr>
          <w:rFonts w:ascii="Times New Roman" w:hAnsi="Times New Roman" w:cs="Times New Roman"/>
        </w:rPr>
        <w:t xml:space="preserve"> </w:t>
      </w:r>
      <w:proofErr w:type="spellStart"/>
      <w:r w:rsidR="009D35C0">
        <w:rPr>
          <w:rFonts w:ascii="Times New Roman" w:hAnsi="Times New Roman" w:cs="Times New Roman"/>
        </w:rPr>
        <w:t>defend</w:t>
      </w:r>
      <w:proofErr w:type="spellEnd"/>
      <w:r w:rsidR="00025B78">
        <w:rPr>
          <w:rFonts w:ascii="Times New Roman" w:hAnsi="Times New Roman" w:cs="Times New Roman"/>
        </w:rPr>
        <w:t xml:space="preserve"> </w:t>
      </w:r>
      <w:proofErr w:type="spellStart"/>
      <w:r w:rsidR="00025B78">
        <w:rPr>
          <w:rFonts w:ascii="Times New Roman" w:hAnsi="Times New Roman" w:cs="Times New Roman"/>
        </w:rPr>
        <w:t>the</w:t>
      </w:r>
      <w:proofErr w:type="spellEnd"/>
      <w:r w:rsidR="009D35C0">
        <w:rPr>
          <w:rFonts w:ascii="Times New Roman" w:hAnsi="Times New Roman" w:cs="Times New Roman"/>
        </w:rPr>
        <w:t xml:space="preserve"> </w:t>
      </w:r>
      <w:proofErr w:type="spellStart"/>
      <w:r w:rsidR="009D35C0">
        <w:rPr>
          <w:rFonts w:ascii="Times New Roman" w:hAnsi="Times New Roman" w:cs="Times New Roman"/>
        </w:rPr>
        <w:t>corporation’s</w:t>
      </w:r>
      <w:proofErr w:type="spellEnd"/>
      <w:r w:rsidR="009D35C0">
        <w:rPr>
          <w:rFonts w:ascii="Times New Roman" w:hAnsi="Times New Roman" w:cs="Times New Roman"/>
        </w:rPr>
        <w:t xml:space="preserve"> </w:t>
      </w:r>
      <w:proofErr w:type="spellStart"/>
      <w:r w:rsidR="009D35C0">
        <w:rPr>
          <w:rFonts w:ascii="Times New Roman" w:hAnsi="Times New Roman" w:cs="Times New Roman"/>
        </w:rPr>
        <w:t>interests</w:t>
      </w:r>
      <w:proofErr w:type="spellEnd"/>
      <w:r w:rsidR="00025B78">
        <w:rPr>
          <w:rFonts w:ascii="Times New Roman" w:hAnsi="Times New Roman" w:cs="Times New Roman"/>
        </w:rPr>
        <w:t xml:space="preserve"> </w:t>
      </w:r>
      <w:proofErr w:type="spellStart"/>
      <w:r w:rsidR="00025B78">
        <w:rPr>
          <w:rFonts w:ascii="Times New Roman" w:hAnsi="Times New Roman" w:cs="Times New Roman"/>
        </w:rPr>
        <w:t>by</w:t>
      </w:r>
      <w:proofErr w:type="spellEnd"/>
      <w:r w:rsidR="00025B78">
        <w:rPr>
          <w:rFonts w:ascii="Times New Roman" w:hAnsi="Times New Roman" w:cs="Times New Roman"/>
        </w:rPr>
        <w:t xml:space="preserve"> </w:t>
      </w:r>
      <w:proofErr w:type="spellStart"/>
      <w:r w:rsidR="00025B78">
        <w:rPr>
          <w:rFonts w:ascii="Times New Roman" w:hAnsi="Times New Roman" w:cs="Times New Roman"/>
        </w:rPr>
        <w:t>initiating</w:t>
      </w:r>
      <w:proofErr w:type="spellEnd"/>
      <w:r w:rsidR="00025B78">
        <w:rPr>
          <w:rFonts w:ascii="Times New Roman" w:hAnsi="Times New Roman" w:cs="Times New Roman"/>
        </w:rPr>
        <w:t xml:space="preserve"> </w:t>
      </w:r>
      <w:proofErr w:type="spellStart"/>
      <w:r w:rsidR="00025B78">
        <w:rPr>
          <w:rFonts w:ascii="Times New Roman" w:hAnsi="Times New Roman" w:cs="Times New Roman"/>
        </w:rPr>
        <w:t>lawsuits</w:t>
      </w:r>
      <w:proofErr w:type="spellEnd"/>
      <w:r w:rsidR="00025B78">
        <w:rPr>
          <w:rFonts w:ascii="Times New Roman" w:hAnsi="Times New Roman" w:cs="Times New Roman"/>
        </w:rPr>
        <w:t xml:space="preserve"> </w:t>
      </w:r>
      <w:proofErr w:type="spellStart"/>
      <w:r w:rsidR="00025B78">
        <w:rPr>
          <w:rFonts w:ascii="Times New Roman" w:hAnsi="Times New Roman" w:cs="Times New Roman"/>
        </w:rPr>
        <w:t>against</w:t>
      </w:r>
      <w:proofErr w:type="spellEnd"/>
      <w:r w:rsidR="00025B78">
        <w:rPr>
          <w:rFonts w:ascii="Times New Roman" w:hAnsi="Times New Roman" w:cs="Times New Roman"/>
        </w:rPr>
        <w:t xml:space="preserve"> </w:t>
      </w:r>
      <w:proofErr w:type="spellStart"/>
      <w:r w:rsidR="00025B78">
        <w:rPr>
          <w:rFonts w:ascii="Times New Roman" w:hAnsi="Times New Roman" w:cs="Times New Roman"/>
        </w:rPr>
        <w:t>such</w:t>
      </w:r>
      <w:proofErr w:type="spellEnd"/>
      <w:r w:rsidR="00025B78">
        <w:rPr>
          <w:rFonts w:ascii="Times New Roman" w:hAnsi="Times New Roman" w:cs="Times New Roman"/>
        </w:rPr>
        <w:t xml:space="preserve"> </w:t>
      </w:r>
      <w:proofErr w:type="spellStart"/>
      <w:r w:rsidR="00025B78">
        <w:rPr>
          <w:rFonts w:ascii="Times New Roman" w:hAnsi="Times New Roman" w:cs="Times New Roman"/>
        </w:rPr>
        <w:t>persons</w:t>
      </w:r>
      <w:proofErr w:type="spellEnd"/>
      <w:r w:rsidR="00025B78">
        <w:rPr>
          <w:rFonts w:ascii="Times New Roman" w:hAnsi="Times New Roman" w:cs="Times New Roman"/>
        </w:rPr>
        <w:t xml:space="preserve"> </w:t>
      </w:r>
      <w:proofErr w:type="spellStart"/>
      <w:r w:rsidR="00025B78">
        <w:rPr>
          <w:rFonts w:ascii="Times New Roman" w:hAnsi="Times New Roman" w:cs="Times New Roman"/>
        </w:rPr>
        <w:t>if</w:t>
      </w:r>
      <w:proofErr w:type="spellEnd"/>
      <w:r w:rsidR="00025B78">
        <w:rPr>
          <w:rFonts w:ascii="Times New Roman" w:hAnsi="Times New Roman" w:cs="Times New Roman"/>
        </w:rPr>
        <w:t xml:space="preserve"> </w:t>
      </w:r>
      <w:proofErr w:type="spellStart"/>
      <w:r w:rsidR="00025B78">
        <w:rPr>
          <w:rFonts w:ascii="Times New Roman" w:hAnsi="Times New Roman" w:cs="Times New Roman"/>
        </w:rPr>
        <w:t>needed</w:t>
      </w:r>
      <w:proofErr w:type="spellEnd"/>
      <w:r w:rsidR="00087E63">
        <w:rPr>
          <w:rFonts w:ascii="Times New Roman" w:hAnsi="Times New Roman" w:cs="Times New Roman"/>
        </w:rPr>
        <w:t xml:space="preserve">. </w:t>
      </w:r>
      <w:proofErr w:type="spellStart"/>
      <w:r w:rsidR="00EB1D4D">
        <w:rPr>
          <w:rFonts w:ascii="Times New Roman" w:hAnsi="Times New Roman" w:cs="Times New Roman"/>
        </w:rPr>
        <w:t>For</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the</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prior</w:t>
      </w:r>
      <w:proofErr w:type="spellEnd"/>
      <w:r w:rsidR="00EB1D4D">
        <w:rPr>
          <w:rFonts w:ascii="Times New Roman" w:hAnsi="Times New Roman" w:cs="Times New Roman"/>
        </w:rPr>
        <w:t xml:space="preserve"> </w:t>
      </w:r>
      <w:proofErr w:type="spellStart"/>
      <w:r w:rsidR="00EB1D4D">
        <w:rPr>
          <w:rFonts w:ascii="Times New Roman" w:hAnsi="Times New Roman" w:cs="Times New Roman"/>
        </w:rPr>
        <w:t>aspect</w:t>
      </w:r>
      <w:proofErr w:type="spellEnd"/>
      <w:r w:rsidR="00EB1D4D">
        <w:rPr>
          <w:rFonts w:ascii="Times New Roman" w:hAnsi="Times New Roman" w:cs="Times New Roman"/>
        </w:rPr>
        <w:t xml:space="preserve">, </w:t>
      </w:r>
      <w:r w:rsidR="009C4866">
        <w:rPr>
          <w:rFonts w:ascii="Times New Roman" w:hAnsi="Times New Roman" w:cs="Times New Roman"/>
        </w:rPr>
        <w:t xml:space="preserve">a </w:t>
      </w:r>
      <w:proofErr w:type="spellStart"/>
      <w:r w:rsidR="00EB1D4D">
        <w:rPr>
          <w:rFonts w:ascii="Times New Roman" w:hAnsi="Times New Roman" w:cs="Times New Roman"/>
        </w:rPr>
        <w:t>corporate</w:t>
      </w:r>
      <w:proofErr w:type="spellEnd"/>
      <w:r w:rsidR="00EB1D4D">
        <w:rPr>
          <w:rFonts w:ascii="Times New Roman" w:hAnsi="Times New Roman" w:cs="Times New Roman"/>
        </w:rPr>
        <w:t xml:space="preserve"> </w:t>
      </w:r>
      <w:proofErr w:type="spellStart"/>
      <w:r w:rsidR="00CE14A7" w:rsidRPr="00705170">
        <w:rPr>
          <w:rFonts w:ascii="Times New Roman" w:hAnsi="Times New Roman" w:cs="Times New Roman"/>
        </w:rPr>
        <w:t>practice</w:t>
      </w:r>
      <w:proofErr w:type="spellEnd"/>
      <w:r w:rsidR="00CE14A7" w:rsidRPr="00705170">
        <w:rPr>
          <w:rFonts w:ascii="Times New Roman" w:hAnsi="Times New Roman" w:cs="Times New Roman"/>
        </w:rPr>
        <w:t xml:space="preserve"> in </w:t>
      </w:r>
      <w:proofErr w:type="spellStart"/>
      <w:r w:rsidR="00CE14A7" w:rsidRPr="00705170">
        <w:rPr>
          <w:rFonts w:ascii="Times New Roman" w:hAnsi="Times New Roman" w:cs="Times New Roman"/>
        </w:rPr>
        <w:t>between</w:t>
      </w:r>
      <w:proofErr w:type="spellEnd"/>
      <w:r w:rsidR="00CE14A7" w:rsidRPr="00705170">
        <w:rPr>
          <w:rFonts w:ascii="Times New Roman" w:hAnsi="Times New Roman" w:cs="Times New Roman"/>
        </w:rPr>
        <w:t xml:space="preserve"> </w:t>
      </w:r>
      <w:proofErr w:type="spellStart"/>
      <w:r w:rsidR="00CE14A7" w:rsidRPr="00705170">
        <w:rPr>
          <w:rFonts w:ascii="Times New Roman" w:hAnsi="Times New Roman" w:cs="Times New Roman"/>
        </w:rPr>
        <w:t>bad</w:t>
      </w:r>
      <w:proofErr w:type="spellEnd"/>
      <w:r w:rsidR="00CE14A7" w:rsidRPr="00705170">
        <w:rPr>
          <w:rFonts w:ascii="Times New Roman" w:hAnsi="Times New Roman" w:cs="Times New Roman"/>
        </w:rPr>
        <w:t xml:space="preserve"> </w:t>
      </w:r>
      <w:proofErr w:type="spellStart"/>
      <w:r w:rsidR="00CE14A7" w:rsidRPr="00705170">
        <w:rPr>
          <w:rFonts w:ascii="Times New Roman" w:hAnsi="Times New Roman" w:cs="Times New Roman"/>
        </w:rPr>
        <w:t>business</w:t>
      </w:r>
      <w:proofErr w:type="spellEnd"/>
      <w:r w:rsidR="00CE14A7" w:rsidRPr="00705170">
        <w:rPr>
          <w:rFonts w:ascii="Times New Roman" w:hAnsi="Times New Roman" w:cs="Times New Roman"/>
        </w:rPr>
        <w:t xml:space="preserve"> </w:t>
      </w:r>
      <w:proofErr w:type="spellStart"/>
      <w:r w:rsidR="00CE14A7" w:rsidRPr="00705170">
        <w:rPr>
          <w:rFonts w:ascii="Times New Roman" w:hAnsi="Times New Roman" w:cs="Times New Roman"/>
        </w:rPr>
        <w:t>judgment</w:t>
      </w:r>
      <w:proofErr w:type="spellEnd"/>
      <w:r w:rsidR="00CE14A7" w:rsidRPr="00705170">
        <w:rPr>
          <w:rFonts w:ascii="Times New Roman" w:hAnsi="Times New Roman" w:cs="Times New Roman"/>
        </w:rPr>
        <w:t xml:space="preserve"> (</w:t>
      </w:r>
      <w:proofErr w:type="spellStart"/>
      <w:r w:rsidR="00CE14A7" w:rsidRPr="00705170">
        <w:rPr>
          <w:rFonts w:ascii="Times New Roman" w:hAnsi="Times New Roman" w:cs="Times New Roman"/>
        </w:rPr>
        <w:t>which</w:t>
      </w:r>
      <w:proofErr w:type="spellEnd"/>
      <w:r w:rsidR="00CE14A7" w:rsidRPr="00705170">
        <w:rPr>
          <w:rFonts w:ascii="Times New Roman" w:hAnsi="Times New Roman" w:cs="Times New Roman"/>
        </w:rPr>
        <w:t xml:space="preserve"> is </w:t>
      </w:r>
      <w:proofErr w:type="spellStart"/>
      <w:r w:rsidR="003261F5">
        <w:rPr>
          <w:rFonts w:ascii="Times New Roman" w:hAnsi="Times New Roman" w:cs="Times New Roman"/>
        </w:rPr>
        <w:t>allowed</w:t>
      </w:r>
      <w:proofErr w:type="spellEnd"/>
      <w:r w:rsidR="003261F5" w:rsidRPr="00705170">
        <w:rPr>
          <w:rFonts w:ascii="Times New Roman" w:hAnsi="Times New Roman" w:cs="Times New Roman"/>
        </w:rPr>
        <w:t xml:space="preserve"> </w:t>
      </w:r>
      <w:proofErr w:type="spellStart"/>
      <w:r w:rsidR="00CE14A7" w:rsidRPr="00705170">
        <w:rPr>
          <w:rFonts w:ascii="Times New Roman" w:hAnsi="Times New Roman" w:cs="Times New Roman"/>
        </w:rPr>
        <w:t>by</w:t>
      </w:r>
      <w:proofErr w:type="spellEnd"/>
      <w:r w:rsidR="00CE14A7" w:rsidRPr="00705170">
        <w:rPr>
          <w:rFonts w:ascii="Times New Roman" w:hAnsi="Times New Roman" w:cs="Times New Roman"/>
        </w:rPr>
        <w:t xml:space="preserve"> </w:t>
      </w:r>
      <w:proofErr w:type="spellStart"/>
      <w:r w:rsidR="00CE14A7" w:rsidRPr="00705170">
        <w:rPr>
          <w:rFonts w:ascii="Times New Roman" w:hAnsi="Times New Roman" w:cs="Times New Roman"/>
        </w:rPr>
        <w:t>the</w:t>
      </w:r>
      <w:proofErr w:type="spellEnd"/>
      <w:r w:rsidR="00CE14A7" w:rsidRPr="00705170">
        <w:rPr>
          <w:rFonts w:ascii="Times New Roman" w:hAnsi="Times New Roman" w:cs="Times New Roman"/>
        </w:rPr>
        <w:t xml:space="preserve"> </w:t>
      </w:r>
      <w:proofErr w:type="spellStart"/>
      <w:r w:rsidR="00CE14A7" w:rsidRPr="00705170">
        <w:rPr>
          <w:rFonts w:ascii="Times New Roman" w:hAnsi="Times New Roman" w:cs="Times New Roman"/>
        </w:rPr>
        <w:t>statute</w:t>
      </w:r>
      <w:proofErr w:type="spellEnd"/>
      <w:r w:rsidR="00CE14A7" w:rsidRPr="00705170">
        <w:rPr>
          <w:rFonts w:ascii="Times New Roman" w:hAnsi="Times New Roman" w:cs="Times New Roman"/>
        </w:rPr>
        <w:t xml:space="preserve"> </w:t>
      </w:r>
      <w:proofErr w:type="spellStart"/>
      <w:r w:rsidR="003261F5">
        <w:rPr>
          <w:rFonts w:ascii="Times New Roman" w:hAnsi="Times New Roman" w:cs="Times New Roman"/>
        </w:rPr>
        <w:t>to</w:t>
      </w:r>
      <w:proofErr w:type="spellEnd"/>
      <w:r w:rsidR="003261F5">
        <w:rPr>
          <w:rFonts w:ascii="Times New Roman" w:hAnsi="Times New Roman" w:cs="Times New Roman"/>
        </w:rPr>
        <w:t xml:space="preserve"> </w:t>
      </w:r>
      <w:proofErr w:type="spellStart"/>
      <w:r w:rsidR="003261F5">
        <w:rPr>
          <w:rFonts w:ascii="Times New Roman" w:hAnsi="Times New Roman" w:cs="Times New Roman"/>
        </w:rPr>
        <w:t>some</w:t>
      </w:r>
      <w:proofErr w:type="spellEnd"/>
      <w:r w:rsidR="003261F5">
        <w:rPr>
          <w:rFonts w:ascii="Times New Roman" w:hAnsi="Times New Roman" w:cs="Times New Roman"/>
        </w:rPr>
        <w:t xml:space="preserve"> </w:t>
      </w:r>
      <w:proofErr w:type="spellStart"/>
      <w:r w:rsidR="003261F5">
        <w:rPr>
          <w:rFonts w:ascii="Times New Roman" w:hAnsi="Times New Roman" w:cs="Times New Roman"/>
        </w:rPr>
        <w:t>extent</w:t>
      </w:r>
      <w:proofErr w:type="spellEnd"/>
      <w:r w:rsidR="003261F5">
        <w:rPr>
          <w:rFonts w:ascii="Times New Roman" w:hAnsi="Times New Roman" w:cs="Times New Roman"/>
        </w:rPr>
        <w:t xml:space="preserve"> </w:t>
      </w:r>
      <w:proofErr w:type="spellStart"/>
      <w:r w:rsidR="00CE14A7" w:rsidRPr="00705170">
        <w:rPr>
          <w:rFonts w:ascii="Times New Roman" w:hAnsi="Times New Roman" w:cs="Times New Roman"/>
        </w:rPr>
        <w:t>through</w:t>
      </w:r>
      <w:proofErr w:type="spellEnd"/>
      <w:r w:rsidR="00CE14A7" w:rsidRPr="00705170">
        <w:rPr>
          <w:rFonts w:ascii="Times New Roman" w:hAnsi="Times New Roman" w:cs="Times New Roman"/>
        </w:rPr>
        <w:t xml:space="preserve"> </w:t>
      </w:r>
      <w:proofErr w:type="spellStart"/>
      <w:r w:rsidR="00CE14A7" w:rsidRPr="00705170">
        <w:rPr>
          <w:rFonts w:ascii="Times New Roman" w:hAnsi="Times New Roman" w:cs="Times New Roman"/>
        </w:rPr>
        <w:t>the</w:t>
      </w:r>
      <w:proofErr w:type="spellEnd"/>
      <w:r w:rsidR="00CE14A7" w:rsidRPr="00705170">
        <w:rPr>
          <w:rFonts w:ascii="Times New Roman" w:hAnsi="Times New Roman" w:cs="Times New Roman"/>
        </w:rPr>
        <w:t xml:space="preserve"> </w:t>
      </w:r>
      <w:proofErr w:type="spellStart"/>
      <w:r w:rsidR="00CE14A7" w:rsidRPr="00705170">
        <w:rPr>
          <w:rFonts w:ascii="Times New Roman" w:hAnsi="Times New Roman" w:cs="Times New Roman"/>
        </w:rPr>
        <w:t>provisions</w:t>
      </w:r>
      <w:proofErr w:type="spellEnd"/>
      <w:r w:rsidR="00CE14A7" w:rsidRPr="00705170">
        <w:rPr>
          <w:rFonts w:ascii="Times New Roman" w:hAnsi="Times New Roman" w:cs="Times New Roman"/>
        </w:rPr>
        <w:t xml:space="preserve"> </w:t>
      </w:r>
      <w:proofErr w:type="spellStart"/>
      <w:r w:rsidR="00CE14A7" w:rsidRPr="00705170">
        <w:rPr>
          <w:rFonts w:ascii="Times New Roman" w:hAnsi="Times New Roman" w:cs="Times New Roman"/>
        </w:rPr>
        <w:t>dealing</w:t>
      </w:r>
      <w:proofErr w:type="spellEnd"/>
      <w:r w:rsidR="00CE14A7" w:rsidRPr="00705170">
        <w:rPr>
          <w:rFonts w:ascii="Times New Roman" w:hAnsi="Times New Roman" w:cs="Times New Roman"/>
        </w:rPr>
        <w:t xml:space="preserve"> </w:t>
      </w:r>
      <w:proofErr w:type="spellStart"/>
      <w:r w:rsidR="00CE14A7" w:rsidRPr="00705170">
        <w:rPr>
          <w:rFonts w:ascii="Times New Roman" w:hAnsi="Times New Roman" w:cs="Times New Roman"/>
        </w:rPr>
        <w:t>with</w:t>
      </w:r>
      <w:proofErr w:type="spellEnd"/>
      <w:r w:rsidR="00CE14A7" w:rsidRPr="00705170">
        <w:rPr>
          <w:rFonts w:ascii="Times New Roman" w:hAnsi="Times New Roman" w:cs="Times New Roman"/>
        </w:rPr>
        <w:t xml:space="preserve"> </w:t>
      </w:r>
      <w:proofErr w:type="spellStart"/>
      <w:r w:rsidR="00CE14A7" w:rsidRPr="00705170">
        <w:rPr>
          <w:rFonts w:ascii="Times New Roman" w:hAnsi="Times New Roman" w:cs="Times New Roman"/>
        </w:rPr>
        <w:t>liability</w:t>
      </w:r>
      <w:proofErr w:type="spellEnd"/>
      <w:r w:rsidR="00CE14A7" w:rsidRPr="00705170">
        <w:rPr>
          <w:rFonts w:ascii="Times New Roman" w:hAnsi="Times New Roman" w:cs="Times New Roman"/>
        </w:rPr>
        <w:t xml:space="preserve"> of board of </w:t>
      </w:r>
      <w:proofErr w:type="spellStart"/>
      <w:r w:rsidR="00CE14A7" w:rsidRPr="00705170">
        <w:rPr>
          <w:rFonts w:ascii="Times New Roman" w:hAnsi="Times New Roman" w:cs="Times New Roman"/>
        </w:rPr>
        <w:t>directors</w:t>
      </w:r>
      <w:proofErr w:type="spellEnd"/>
      <w:r w:rsidR="00CE14A7" w:rsidRPr="00705170">
        <w:rPr>
          <w:rFonts w:ascii="Times New Roman" w:hAnsi="Times New Roman" w:cs="Times New Roman"/>
        </w:rPr>
        <w:t xml:space="preserve">) </w:t>
      </w:r>
      <w:proofErr w:type="spellStart"/>
      <w:r w:rsidR="00CE14A7" w:rsidRPr="00705170">
        <w:rPr>
          <w:rFonts w:ascii="Times New Roman" w:hAnsi="Times New Roman" w:cs="Times New Roman"/>
        </w:rPr>
        <w:t>and</w:t>
      </w:r>
      <w:proofErr w:type="spellEnd"/>
      <w:r w:rsidR="00CE14A7" w:rsidRPr="00705170">
        <w:rPr>
          <w:rFonts w:ascii="Times New Roman" w:hAnsi="Times New Roman" w:cs="Times New Roman"/>
        </w:rPr>
        <w:t xml:space="preserve"> </w:t>
      </w:r>
      <w:proofErr w:type="spellStart"/>
      <w:r w:rsidR="006F7701" w:rsidRPr="00705170">
        <w:rPr>
          <w:rFonts w:ascii="Times New Roman" w:hAnsi="Times New Roman" w:cs="Times New Roman"/>
        </w:rPr>
        <w:t>impossibility</w:t>
      </w:r>
      <w:proofErr w:type="spellEnd"/>
      <w:r w:rsidR="009F2892" w:rsidRPr="00705170">
        <w:rPr>
          <w:rFonts w:ascii="Times New Roman" w:hAnsi="Times New Roman" w:cs="Times New Roman"/>
        </w:rPr>
        <w:t xml:space="preserve"> (</w:t>
      </w:r>
      <w:proofErr w:type="spellStart"/>
      <w:r w:rsidR="009F2892" w:rsidRPr="00705170">
        <w:rPr>
          <w:rFonts w:ascii="Times New Roman" w:hAnsi="Times New Roman" w:cs="Times New Roman"/>
        </w:rPr>
        <w:t>whether</w:t>
      </w:r>
      <w:proofErr w:type="spellEnd"/>
      <w:r w:rsidR="009F2892" w:rsidRPr="00705170">
        <w:rPr>
          <w:rFonts w:ascii="Times New Roman" w:hAnsi="Times New Roman" w:cs="Times New Roman"/>
        </w:rPr>
        <w:t xml:space="preserve"> it is </w:t>
      </w:r>
      <w:proofErr w:type="spellStart"/>
      <w:r w:rsidR="009F2892" w:rsidRPr="00705170">
        <w:rPr>
          <w:rFonts w:ascii="Times New Roman" w:hAnsi="Times New Roman" w:cs="Times New Roman"/>
        </w:rPr>
        <w:t>possible</w:t>
      </w:r>
      <w:proofErr w:type="spellEnd"/>
      <w:r w:rsidR="009F2892" w:rsidRPr="00705170">
        <w:rPr>
          <w:rFonts w:ascii="Times New Roman" w:hAnsi="Times New Roman" w:cs="Times New Roman"/>
        </w:rPr>
        <w:t xml:space="preserve"> </w:t>
      </w:r>
      <w:proofErr w:type="spellStart"/>
      <w:r w:rsidR="009F2892" w:rsidRPr="00705170">
        <w:rPr>
          <w:rFonts w:ascii="Times New Roman" w:hAnsi="Times New Roman" w:cs="Times New Roman"/>
        </w:rPr>
        <w:t>to</w:t>
      </w:r>
      <w:proofErr w:type="spellEnd"/>
      <w:r w:rsidR="009F2892" w:rsidRPr="00705170">
        <w:rPr>
          <w:rFonts w:ascii="Times New Roman" w:hAnsi="Times New Roman" w:cs="Times New Roman"/>
        </w:rPr>
        <w:t xml:space="preserve"> </w:t>
      </w:r>
      <w:proofErr w:type="spellStart"/>
      <w:r w:rsidR="009F2892" w:rsidRPr="00705170">
        <w:rPr>
          <w:rFonts w:ascii="Times New Roman" w:hAnsi="Times New Roman" w:cs="Times New Roman"/>
        </w:rPr>
        <w:t>accrue</w:t>
      </w:r>
      <w:proofErr w:type="spellEnd"/>
      <w:r w:rsidR="009F2892" w:rsidRPr="00705170">
        <w:rPr>
          <w:rFonts w:ascii="Times New Roman" w:hAnsi="Times New Roman" w:cs="Times New Roman"/>
        </w:rPr>
        <w:t xml:space="preserve"> </w:t>
      </w:r>
      <w:proofErr w:type="spellStart"/>
      <w:r w:rsidR="009F2892" w:rsidRPr="00705170">
        <w:rPr>
          <w:rFonts w:ascii="Times New Roman" w:hAnsi="Times New Roman" w:cs="Times New Roman"/>
        </w:rPr>
        <w:t>profits</w:t>
      </w:r>
      <w:proofErr w:type="spellEnd"/>
      <w:r w:rsidR="009F2892" w:rsidRPr="00705170">
        <w:rPr>
          <w:rFonts w:ascii="Times New Roman" w:hAnsi="Times New Roman" w:cs="Times New Roman"/>
        </w:rPr>
        <w:t xml:space="preserve"> </w:t>
      </w:r>
      <w:proofErr w:type="spellStart"/>
      <w:r w:rsidR="009F2892" w:rsidRPr="00705170">
        <w:rPr>
          <w:rFonts w:ascii="Times New Roman" w:hAnsi="Times New Roman" w:cs="Times New Roman"/>
        </w:rPr>
        <w:t>through</w:t>
      </w:r>
      <w:proofErr w:type="spellEnd"/>
      <w:r w:rsidR="009F2892" w:rsidRPr="00705170">
        <w:rPr>
          <w:rFonts w:ascii="Times New Roman" w:hAnsi="Times New Roman" w:cs="Times New Roman"/>
        </w:rPr>
        <w:t xml:space="preserve"> </w:t>
      </w:r>
      <w:proofErr w:type="spellStart"/>
      <w:r w:rsidR="009F2892" w:rsidRPr="00705170">
        <w:rPr>
          <w:rFonts w:ascii="Times New Roman" w:hAnsi="Times New Roman" w:cs="Times New Roman"/>
        </w:rPr>
        <w:t>the</w:t>
      </w:r>
      <w:proofErr w:type="spellEnd"/>
      <w:r w:rsidR="009F2892" w:rsidRPr="00705170">
        <w:rPr>
          <w:rFonts w:ascii="Times New Roman" w:hAnsi="Times New Roman" w:cs="Times New Roman"/>
        </w:rPr>
        <w:t xml:space="preserve"> </w:t>
      </w:r>
      <w:proofErr w:type="spellStart"/>
      <w:r w:rsidR="009F2892" w:rsidRPr="00705170">
        <w:rPr>
          <w:rFonts w:ascii="Times New Roman" w:hAnsi="Times New Roman" w:cs="Times New Roman"/>
        </w:rPr>
        <w:t>business</w:t>
      </w:r>
      <w:proofErr w:type="spellEnd"/>
      <w:r w:rsidR="009F2892" w:rsidRPr="00705170">
        <w:rPr>
          <w:rFonts w:ascii="Times New Roman" w:hAnsi="Times New Roman" w:cs="Times New Roman"/>
        </w:rPr>
        <w:t xml:space="preserve"> of </w:t>
      </w:r>
      <w:proofErr w:type="spellStart"/>
      <w:r w:rsidR="009F2892" w:rsidRPr="00705170">
        <w:rPr>
          <w:rFonts w:ascii="Times New Roman" w:hAnsi="Times New Roman" w:cs="Times New Roman"/>
        </w:rPr>
        <w:t>the</w:t>
      </w:r>
      <w:proofErr w:type="spellEnd"/>
      <w:r w:rsidR="009F2892" w:rsidRPr="00705170">
        <w:rPr>
          <w:rFonts w:ascii="Times New Roman" w:hAnsi="Times New Roman" w:cs="Times New Roman"/>
        </w:rPr>
        <w:t xml:space="preserve"> </w:t>
      </w:r>
      <w:proofErr w:type="spellStart"/>
      <w:r w:rsidR="009F2892" w:rsidRPr="00705170">
        <w:rPr>
          <w:rFonts w:ascii="Times New Roman" w:hAnsi="Times New Roman" w:cs="Times New Roman"/>
        </w:rPr>
        <w:t>corporation</w:t>
      </w:r>
      <w:proofErr w:type="spellEnd"/>
      <w:r w:rsidR="009F2892" w:rsidRPr="00705170">
        <w:rPr>
          <w:rFonts w:ascii="Times New Roman" w:hAnsi="Times New Roman" w:cs="Times New Roman"/>
        </w:rPr>
        <w:t>)</w:t>
      </w:r>
      <w:r w:rsidR="009F2892" w:rsidRPr="00705170">
        <w:rPr>
          <w:rStyle w:val="DipnotBavurusu"/>
          <w:rFonts w:ascii="Times New Roman" w:hAnsi="Times New Roman" w:cs="Times New Roman"/>
        </w:rPr>
        <w:footnoteReference w:id="943"/>
      </w:r>
      <w:r w:rsidR="009F2892" w:rsidRPr="00705170">
        <w:rPr>
          <w:rFonts w:ascii="Times New Roman" w:hAnsi="Times New Roman" w:cs="Times New Roman"/>
        </w:rPr>
        <w:t xml:space="preserve"> </w:t>
      </w:r>
      <w:r w:rsidR="006F7701" w:rsidRPr="00705170">
        <w:rPr>
          <w:rFonts w:ascii="Times New Roman" w:hAnsi="Times New Roman" w:cs="Times New Roman"/>
        </w:rPr>
        <w:t xml:space="preserve">of </w:t>
      </w:r>
      <w:proofErr w:type="spellStart"/>
      <w:r w:rsidR="006F7701" w:rsidRPr="00705170">
        <w:rPr>
          <w:rFonts w:ascii="Times New Roman" w:hAnsi="Times New Roman" w:cs="Times New Roman"/>
        </w:rPr>
        <w:t>corporate</w:t>
      </w:r>
      <w:proofErr w:type="spellEnd"/>
      <w:r w:rsidR="006F7701" w:rsidRPr="00705170">
        <w:rPr>
          <w:rFonts w:ascii="Times New Roman" w:hAnsi="Times New Roman" w:cs="Times New Roman"/>
        </w:rPr>
        <w:t xml:space="preserve"> </w:t>
      </w:r>
      <w:proofErr w:type="spellStart"/>
      <w:r w:rsidR="006F7701" w:rsidRPr="00705170">
        <w:rPr>
          <w:rFonts w:ascii="Times New Roman" w:hAnsi="Times New Roman" w:cs="Times New Roman"/>
        </w:rPr>
        <w:t>purpose</w:t>
      </w:r>
      <w:proofErr w:type="spellEnd"/>
      <w:r w:rsidR="006F7701" w:rsidRPr="00705170">
        <w:rPr>
          <w:rFonts w:ascii="Times New Roman" w:hAnsi="Times New Roman" w:cs="Times New Roman"/>
        </w:rPr>
        <w:t xml:space="preserve"> (</w:t>
      </w:r>
      <w:proofErr w:type="spellStart"/>
      <w:r w:rsidR="006F7701" w:rsidRPr="00705170">
        <w:rPr>
          <w:rFonts w:ascii="Times New Roman" w:hAnsi="Times New Roman" w:cs="Times New Roman"/>
        </w:rPr>
        <w:t>which</w:t>
      </w:r>
      <w:proofErr w:type="spellEnd"/>
      <w:r w:rsidR="006F7701" w:rsidRPr="00705170">
        <w:rPr>
          <w:rFonts w:ascii="Times New Roman" w:hAnsi="Times New Roman" w:cs="Times New Roman"/>
        </w:rPr>
        <w:t xml:space="preserve"> is </w:t>
      </w:r>
      <w:proofErr w:type="spellStart"/>
      <w:r w:rsidR="006F7701" w:rsidRPr="00705170">
        <w:rPr>
          <w:rFonts w:ascii="Times New Roman" w:hAnsi="Times New Roman" w:cs="Times New Roman"/>
        </w:rPr>
        <w:t>by</w:t>
      </w:r>
      <w:proofErr w:type="spellEnd"/>
      <w:r w:rsidR="006F7701" w:rsidRPr="00705170">
        <w:rPr>
          <w:rFonts w:ascii="Times New Roman" w:hAnsi="Times New Roman" w:cs="Times New Roman"/>
        </w:rPr>
        <w:t xml:space="preserve"> </w:t>
      </w:r>
      <w:proofErr w:type="spellStart"/>
      <w:r w:rsidR="006F7701" w:rsidRPr="00705170">
        <w:rPr>
          <w:rFonts w:ascii="Times New Roman" w:hAnsi="Times New Roman" w:cs="Times New Roman"/>
        </w:rPr>
        <w:t>itself</w:t>
      </w:r>
      <w:proofErr w:type="spellEnd"/>
      <w:r w:rsidR="006F7701" w:rsidRPr="00705170">
        <w:rPr>
          <w:rFonts w:ascii="Times New Roman" w:hAnsi="Times New Roman" w:cs="Times New Roman"/>
        </w:rPr>
        <w:t xml:space="preserve"> a </w:t>
      </w:r>
      <w:proofErr w:type="spellStart"/>
      <w:r w:rsidR="006F7701" w:rsidRPr="00705170">
        <w:rPr>
          <w:rFonts w:ascii="Times New Roman" w:hAnsi="Times New Roman" w:cs="Times New Roman"/>
        </w:rPr>
        <w:t>reason</w:t>
      </w:r>
      <w:proofErr w:type="spellEnd"/>
      <w:r w:rsidR="006F7701" w:rsidRPr="00705170">
        <w:rPr>
          <w:rFonts w:ascii="Times New Roman" w:hAnsi="Times New Roman" w:cs="Times New Roman"/>
        </w:rPr>
        <w:t xml:space="preserve"> </w:t>
      </w:r>
      <w:proofErr w:type="spellStart"/>
      <w:r w:rsidR="006F7701" w:rsidRPr="00705170">
        <w:rPr>
          <w:rFonts w:ascii="Times New Roman" w:hAnsi="Times New Roman" w:cs="Times New Roman"/>
        </w:rPr>
        <w:t>for</w:t>
      </w:r>
      <w:proofErr w:type="spellEnd"/>
      <w:r w:rsidR="006F7701" w:rsidRPr="00705170">
        <w:rPr>
          <w:rFonts w:ascii="Times New Roman" w:hAnsi="Times New Roman" w:cs="Times New Roman"/>
        </w:rPr>
        <w:t xml:space="preserve"> </w:t>
      </w:r>
      <w:proofErr w:type="spellStart"/>
      <w:r w:rsidR="006F7701" w:rsidRPr="00705170">
        <w:rPr>
          <w:rFonts w:ascii="Times New Roman" w:hAnsi="Times New Roman" w:cs="Times New Roman"/>
        </w:rPr>
        <w:t>corporate</w:t>
      </w:r>
      <w:proofErr w:type="spellEnd"/>
      <w:r w:rsidR="006F7701" w:rsidRPr="00705170">
        <w:rPr>
          <w:rFonts w:ascii="Times New Roman" w:hAnsi="Times New Roman" w:cs="Times New Roman"/>
        </w:rPr>
        <w:t xml:space="preserve"> </w:t>
      </w:r>
      <w:proofErr w:type="spellStart"/>
      <w:r w:rsidR="006F7701" w:rsidRPr="00705170">
        <w:rPr>
          <w:rFonts w:ascii="Times New Roman" w:hAnsi="Times New Roman" w:cs="Times New Roman"/>
        </w:rPr>
        <w:t>dissolution</w:t>
      </w:r>
      <w:proofErr w:type="spellEnd"/>
      <w:r w:rsidR="006F7701" w:rsidRPr="00705170">
        <w:rPr>
          <w:rFonts w:ascii="Times New Roman" w:hAnsi="Times New Roman" w:cs="Times New Roman"/>
        </w:rPr>
        <w:t xml:space="preserve"> </w:t>
      </w:r>
      <w:proofErr w:type="spellStart"/>
      <w:r w:rsidR="006F7701" w:rsidRPr="00705170">
        <w:rPr>
          <w:rFonts w:ascii="Times New Roman" w:hAnsi="Times New Roman" w:cs="Times New Roman"/>
        </w:rPr>
        <w:t>according</w:t>
      </w:r>
      <w:proofErr w:type="spellEnd"/>
      <w:r w:rsidR="006F7701" w:rsidRPr="00705170">
        <w:rPr>
          <w:rFonts w:ascii="Times New Roman" w:hAnsi="Times New Roman" w:cs="Times New Roman"/>
        </w:rPr>
        <w:t xml:space="preserve"> </w:t>
      </w:r>
      <w:proofErr w:type="spellStart"/>
      <w:r w:rsidR="006F7701" w:rsidRPr="00705170">
        <w:rPr>
          <w:rFonts w:ascii="Times New Roman" w:hAnsi="Times New Roman" w:cs="Times New Roman"/>
        </w:rPr>
        <w:t>to</w:t>
      </w:r>
      <w:proofErr w:type="spellEnd"/>
      <w:r w:rsidR="006F7701" w:rsidRPr="00705170">
        <w:rPr>
          <w:rFonts w:ascii="Times New Roman" w:hAnsi="Times New Roman" w:cs="Times New Roman"/>
        </w:rPr>
        <w:t xml:space="preserve"> TCC </w:t>
      </w:r>
      <w:proofErr w:type="spellStart"/>
      <w:r w:rsidR="006F7701" w:rsidRPr="00705170">
        <w:rPr>
          <w:rFonts w:ascii="Times New Roman" w:hAnsi="Times New Roman" w:cs="Times New Roman"/>
        </w:rPr>
        <w:t>Article</w:t>
      </w:r>
      <w:proofErr w:type="spellEnd"/>
      <w:r w:rsidR="006F7701" w:rsidRPr="00705170">
        <w:rPr>
          <w:rFonts w:ascii="Times New Roman" w:hAnsi="Times New Roman" w:cs="Times New Roman"/>
        </w:rPr>
        <w:t xml:space="preserve"> 529(1))</w:t>
      </w:r>
      <w:r w:rsidR="004C231E">
        <w:rPr>
          <w:rFonts w:ascii="Times New Roman" w:hAnsi="Times New Roman" w:cs="Times New Roman"/>
        </w:rPr>
        <w:t xml:space="preserve"> can </w:t>
      </w:r>
      <w:r w:rsidR="004C231E">
        <w:rPr>
          <w:rFonts w:ascii="Times New Roman" w:hAnsi="Times New Roman" w:cs="Times New Roman"/>
        </w:rPr>
        <w:lastRenderedPageBreak/>
        <w:t>be</w:t>
      </w:r>
      <w:r w:rsidR="003261F5">
        <w:rPr>
          <w:rFonts w:ascii="Times New Roman" w:hAnsi="Times New Roman" w:cs="Times New Roman"/>
        </w:rPr>
        <w:t xml:space="preserve"> </w:t>
      </w:r>
      <w:proofErr w:type="spellStart"/>
      <w:r w:rsidR="003261F5">
        <w:rPr>
          <w:rFonts w:ascii="Times New Roman" w:hAnsi="Times New Roman" w:cs="Times New Roman"/>
        </w:rPr>
        <w:t>thought</w:t>
      </w:r>
      <w:proofErr w:type="spellEnd"/>
      <w:r w:rsidR="003261F5">
        <w:rPr>
          <w:rFonts w:ascii="Times New Roman" w:hAnsi="Times New Roman" w:cs="Times New Roman"/>
        </w:rPr>
        <w:t xml:space="preserve"> </w:t>
      </w:r>
      <w:proofErr w:type="spellStart"/>
      <w:r w:rsidR="003261F5">
        <w:rPr>
          <w:rFonts w:ascii="Times New Roman" w:hAnsi="Times New Roman" w:cs="Times New Roman"/>
        </w:rPr>
        <w:t>upon</w:t>
      </w:r>
      <w:proofErr w:type="spellEnd"/>
      <w:r w:rsidR="006F7701" w:rsidRPr="00705170">
        <w:rPr>
          <w:rStyle w:val="DipnotBavurusu"/>
          <w:rFonts w:ascii="Times New Roman" w:hAnsi="Times New Roman" w:cs="Times New Roman"/>
        </w:rPr>
        <w:footnoteReference w:id="944"/>
      </w:r>
      <w:r w:rsidR="006F7701" w:rsidRPr="00705170">
        <w:rPr>
          <w:rFonts w:ascii="Times New Roman" w:hAnsi="Times New Roman" w:cs="Times New Roman"/>
        </w:rPr>
        <w:t>.</w:t>
      </w:r>
      <w:r w:rsidR="00EB1D4D">
        <w:rPr>
          <w:rFonts w:ascii="Times New Roman" w:hAnsi="Times New Roman" w:cs="Times New Roman"/>
        </w:rPr>
        <w:t xml:space="preserve"> </w:t>
      </w:r>
      <w:proofErr w:type="spellStart"/>
      <w:r w:rsidR="004C231E" w:rsidRPr="00705170">
        <w:rPr>
          <w:rFonts w:ascii="Times New Roman" w:hAnsi="Times New Roman" w:cs="Times New Roman"/>
        </w:rPr>
        <w:t>In</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this</w:t>
      </w:r>
      <w:proofErr w:type="spellEnd"/>
      <w:r w:rsidR="004C231E" w:rsidRPr="00705170">
        <w:rPr>
          <w:rFonts w:ascii="Times New Roman" w:hAnsi="Times New Roman" w:cs="Times New Roman"/>
        </w:rPr>
        <w:t xml:space="preserve"> sense, </w:t>
      </w:r>
      <w:proofErr w:type="spellStart"/>
      <w:r w:rsidR="004C231E" w:rsidRPr="00705170">
        <w:rPr>
          <w:rFonts w:ascii="Times New Roman" w:hAnsi="Times New Roman" w:cs="Times New Roman"/>
        </w:rPr>
        <w:t>even</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the</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fact</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that</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corporation’s</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current</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finances</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are</w:t>
      </w:r>
      <w:proofErr w:type="spellEnd"/>
      <w:r w:rsidR="004C231E" w:rsidRPr="00705170">
        <w:rPr>
          <w:rFonts w:ascii="Times New Roman" w:hAnsi="Times New Roman" w:cs="Times New Roman"/>
        </w:rPr>
        <w:t xml:space="preserve"> in </w:t>
      </w:r>
      <w:proofErr w:type="spellStart"/>
      <w:r w:rsidR="004C231E" w:rsidRPr="00705170">
        <w:rPr>
          <w:rFonts w:ascii="Times New Roman" w:hAnsi="Times New Roman" w:cs="Times New Roman"/>
        </w:rPr>
        <w:t>balance</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or</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the</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corporation</w:t>
      </w:r>
      <w:proofErr w:type="spellEnd"/>
      <w:r w:rsidR="004C231E" w:rsidRPr="00705170">
        <w:rPr>
          <w:rFonts w:ascii="Times New Roman" w:hAnsi="Times New Roman" w:cs="Times New Roman"/>
        </w:rPr>
        <w:t xml:space="preserve"> is </w:t>
      </w:r>
      <w:proofErr w:type="spellStart"/>
      <w:r w:rsidR="004C231E" w:rsidRPr="00705170">
        <w:rPr>
          <w:rFonts w:ascii="Times New Roman" w:hAnsi="Times New Roman" w:cs="Times New Roman"/>
        </w:rPr>
        <w:t>profiting</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does</w:t>
      </w:r>
      <w:proofErr w:type="spellEnd"/>
      <w:r w:rsidR="004C231E" w:rsidRPr="00705170">
        <w:rPr>
          <w:rFonts w:ascii="Times New Roman" w:hAnsi="Times New Roman" w:cs="Times New Roman"/>
        </w:rPr>
        <w:t xml:space="preserve"> not bar </w:t>
      </w:r>
      <w:proofErr w:type="spellStart"/>
      <w:r w:rsidR="004C231E" w:rsidRPr="00705170">
        <w:rPr>
          <w:rFonts w:ascii="Times New Roman" w:hAnsi="Times New Roman" w:cs="Times New Roman"/>
        </w:rPr>
        <w:t>the</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court</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from</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dissolving</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the</w:t>
      </w:r>
      <w:proofErr w:type="spellEnd"/>
      <w:r w:rsidR="004C231E" w:rsidRPr="00705170">
        <w:rPr>
          <w:rFonts w:ascii="Times New Roman" w:hAnsi="Times New Roman" w:cs="Times New Roman"/>
        </w:rPr>
        <w:t xml:space="preserve"> </w:t>
      </w:r>
      <w:proofErr w:type="spellStart"/>
      <w:r w:rsidR="004C231E" w:rsidRPr="00705170">
        <w:rPr>
          <w:rFonts w:ascii="Times New Roman" w:hAnsi="Times New Roman" w:cs="Times New Roman"/>
        </w:rPr>
        <w:t>corporation</w:t>
      </w:r>
      <w:proofErr w:type="spellEnd"/>
      <w:r w:rsidR="004C231E" w:rsidRPr="00705170">
        <w:rPr>
          <w:rStyle w:val="DipnotBavurusu"/>
          <w:rFonts w:ascii="Times New Roman" w:hAnsi="Times New Roman" w:cs="Times New Roman"/>
        </w:rPr>
        <w:footnoteReference w:id="945"/>
      </w:r>
      <w:r w:rsidR="004C231E" w:rsidRPr="00705170">
        <w:rPr>
          <w:rFonts w:ascii="Times New Roman" w:hAnsi="Times New Roman" w:cs="Times New Roman"/>
        </w:rPr>
        <w:t>.</w:t>
      </w:r>
      <w:r w:rsidR="004C231E">
        <w:rPr>
          <w:rFonts w:ascii="Times New Roman" w:hAnsi="Times New Roman" w:cs="Times New Roman"/>
        </w:rPr>
        <w:t xml:space="preserve"> </w:t>
      </w:r>
      <w:proofErr w:type="spellStart"/>
      <w:r w:rsidR="004C231E">
        <w:rPr>
          <w:rFonts w:ascii="Times New Roman" w:hAnsi="Times New Roman" w:cs="Times New Roman"/>
        </w:rPr>
        <w:t>These</w:t>
      </w:r>
      <w:proofErr w:type="spellEnd"/>
      <w:r w:rsidR="00EB1D4D" w:rsidRPr="00705170">
        <w:rPr>
          <w:rFonts w:ascii="Times New Roman" w:hAnsi="Times New Roman" w:cs="Times New Roman"/>
        </w:rPr>
        <w:t xml:space="preserve"> </w:t>
      </w:r>
      <w:proofErr w:type="spellStart"/>
      <w:r w:rsidR="004C231E">
        <w:rPr>
          <w:rFonts w:ascii="Times New Roman" w:hAnsi="Times New Roman" w:cs="Times New Roman"/>
        </w:rPr>
        <w:t>two</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aspects</w:t>
      </w:r>
      <w:proofErr w:type="spellEnd"/>
      <w:r w:rsidR="00EB1D4D" w:rsidRPr="00705170">
        <w:rPr>
          <w:rFonts w:ascii="Times New Roman" w:hAnsi="Times New Roman" w:cs="Times New Roman"/>
        </w:rPr>
        <w:t xml:space="preserve"> </w:t>
      </w:r>
      <w:proofErr w:type="spellStart"/>
      <w:r w:rsidR="00EB1D4D" w:rsidRPr="00705170">
        <w:rPr>
          <w:rFonts w:ascii="Times New Roman" w:hAnsi="Times New Roman" w:cs="Times New Roman"/>
        </w:rPr>
        <w:t>leads</w:t>
      </w:r>
      <w:proofErr w:type="spellEnd"/>
      <w:r w:rsidR="00EB1D4D" w:rsidRPr="00705170">
        <w:rPr>
          <w:rFonts w:ascii="Times New Roman" w:hAnsi="Times New Roman" w:cs="Times New Roman"/>
        </w:rPr>
        <w:t xml:space="preserve"> </w:t>
      </w:r>
      <w:proofErr w:type="spellStart"/>
      <w:r w:rsidR="00EB1D4D" w:rsidRPr="00705170">
        <w:rPr>
          <w:rFonts w:ascii="Times New Roman" w:hAnsi="Times New Roman" w:cs="Times New Roman"/>
        </w:rPr>
        <w:t>to</w:t>
      </w:r>
      <w:proofErr w:type="spellEnd"/>
      <w:r w:rsidR="00EB1D4D" w:rsidRPr="00705170">
        <w:rPr>
          <w:rFonts w:ascii="Times New Roman" w:hAnsi="Times New Roman" w:cs="Times New Roman"/>
        </w:rPr>
        <w:t xml:space="preserve"> </w:t>
      </w:r>
      <w:proofErr w:type="spellStart"/>
      <w:r w:rsidR="00EB1D4D" w:rsidRPr="00705170">
        <w:rPr>
          <w:rFonts w:ascii="Times New Roman" w:hAnsi="Times New Roman" w:cs="Times New Roman"/>
        </w:rPr>
        <w:t>the</w:t>
      </w:r>
      <w:proofErr w:type="spellEnd"/>
      <w:r w:rsidR="00EB1D4D" w:rsidRPr="00705170">
        <w:rPr>
          <w:rFonts w:ascii="Times New Roman" w:hAnsi="Times New Roman" w:cs="Times New Roman"/>
        </w:rPr>
        <w:t xml:space="preserve"> </w:t>
      </w:r>
      <w:proofErr w:type="spellStart"/>
      <w:r w:rsidR="00EB1D4D" w:rsidRPr="00705170">
        <w:rPr>
          <w:rFonts w:ascii="Times New Roman" w:hAnsi="Times New Roman" w:cs="Times New Roman"/>
        </w:rPr>
        <w:t>conclusion</w:t>
      </w:r>
      <w:proofErr w:type="spellEnd"/>
      <w:r w:rsidR="00EB1D4D" w:rsidRPr="00705170">
        <w:rPr>
          <w:rFonts w:ascii="Times New Roman" w:hAnsi="Times New Roman" w:cs="Times New Roman"/>
        </w:rPr>
        <w:t xml:space="preserve"> </w:t>
      </w:r>
      <w:proofErr w:type="spellStart"/>
      <w:r w:rsidR="00EB1D4D" w:rsidRPr="00705170">
        <w:rPr>
          <w:rFonts w:ascii="Times New Roman" w:hAnsi="Times New Roman" w:cs="Times New Roman"/>
        </w:rPr>
        <w:t>that</w:t>
      </w:r>
      <w:proofErr w:type="spellEnd"/>
      <w:r w:rsidR="00EB1D4D" w:rsidRPr="00705170">
        <w:rPr>
          <w:rFonts w:ascii="Times New Roman" w:hAnsi="Times New Roman" w:cs="Times New Roman"/>
        </w:rPr>
        <w:t xml:space="preserve"> </w:t>
      </w:r>
      <w:proofErr w:type="spellStart"/>
      <w:r w:rsidR="00EB1D4D" w:rsidRPr="00705170">
        <w:rPr>
          <w:rFonts w:ascii="Times New Roman" w:hAnsi="Times New Roman" w:cs="Times New Roman"/>
        </w:rPr>
        <w:t>extraction</w:t>
      </w:r>
      <w:proofErr w:type="spellEnd"/>
      <w:r w:rsidR="00EB1D4D" w:rsidRPr="00705170">
        <w:rPr>
          <w:rFonts w:ascii="Times New Roman" w:hAnsi="Times New Roman" w:cs="Times New Roman"/>
        </w:rPr>
        <w:t xml:space="preserve"> of </w:t>
      </w:r>
      <w:proofErr w:type="spellStart"/>
      <w:r w:rsidR="00EB1D4D" w:rsidRPr="00705170">
        <w:rPr>
          <w:rFonts w:ascii="Times New Roman" w:hAnsi="Times New Roman" w:cs="Times New Roman"/>
        </w:rPr>
        <w:t>non</w:t>
      </w:r>
      <w:proofErr w:type="spellEnd"/>
      <w:r w:rsidR="00EB1D4D" w:rsidRPr="00705170">
        <w:rPr>
          <w:rFonts w:ascii="Times New Roman" w:hAnsi="Times New Roman" w:cs="Times New Roman"/>
        </w:rPr>
        <w:t xml:space="preserve">- </w:t>
      </w:r>
      <w:proofErr w:type="spellStart"/>
      <w:r w:rsidR="00EB1D4D" w:rsidRPr="00705170">
        <w:rPr>
          <w:rFonts w:ascii="Times New Roman" w:hAnsi="Times New Roman" w:cs="Times New Roman"/>
        </w:rPr>
        <w:t>pecuniary</w:t>
      </w:r>
      <w:proofErr w:type="spellEnd"/>
      <w:r w:rsidR="00EB1D4D" w:rsidRPr="00705170">
        <w:rPr>
          <w:rFonts w:ascii="Times New Roman" w:hAnsi="Times New Roman" w:cs="Times New Roman"/>
        </w:rPr>
        <w:t xml:space="preserve"> </w:t>
      </w:r>
      <w:proofErr w:type="spellStart"/>
      <w:r w:rsidR="00EB1D4D" w:rsidRPr="00705170">
        <w:rPr>
          <w:rFonts w:ascii="Times New Roman" w:hAnsi="Times New Roman" w:cs="Times New Roman"/>
        </w:rPr>
        <w:t>benefits</w:t>
      </w:r>
      <w:proofErr w:type="spellEnd"/>
      <w:r w:rsidR="00EB1D4D" w:rsidRPr="00705170">
        <w:rPr>
          <w:rFonts w:ascii="Times New Roman" w:hAnsi="Times New Roman" w:cs="Times New Roman"/>
        </w:rPr>
        <w:t xml:space="preserve"> can be </w:t>
      </w:r>
      <w:proofErr w:type="spellStart"/>
      <w:r w:rsidR="00EB1D4D" w:rsidRPr="00705170">
        <w:rPr>
          <w:rFonts w:ascii="Times New Roman" w:hAnsi="Times New Roman" w:cs="Times New Roman"/>
        </w:rPr>
        <w:t>subject</w:t>
      </w:r>
      <w:proofErr w:type="spellEnd"/>
      <w:r w:rsidR="00EB1D4D" w:rsidRPr="00705170">
        <w:rPr>
          <w:rFonts w:ascii="Times New Roman" w:hAnsi="Times New Roman" w:cs="Times New Roman"/>
        </w:rPr>
        <w:t xml:space="preserve"> </w:t>
      </w:r>
      <w:proofErr w:type="spellStart"/>
      <w:r w:rsidR="00EB1D4D" w:rsidRPr="00705170">
        <w:rPr>
          <w:rFonts w:ascii="Times New Roman" w:hAnsi="Times New Roman" w:cs="Times New Roman"/>
        </w:rPr>
        <w:t>to</w:t>
      </w:r>
      <w:proofErr w:type="spellEnd"/>
      <w:r w:rsidR="00EB1D4D" w:rsidRPr="00705170">
        <w:rPr>
          <w:rFonts w:ascii="Times New Roman" w:hAnsi="Times New Roman" w:cs="Times New Roman"/>
        </w:rPr>
        <w:t xml:space="preserve"> </w:t>
      </w:r>
      <w:proofErr w:type="spellStart"/>
      <w:r w:rsidR="00EB1D4D" w:rsidRPr="00705170">
        <w:rPr>
          <w:rFonts w:ascii="Times New Roman" w:hAnsi="Times New Roman" w:cs="Times New Roman"/>
        </w:rPr>
        <w:t>the</w:t>
      </w:r>
      <w:proofErr w:type="spellEnd"/>
      <w:r w:rsidR="00EB1D4D" w:rsidRPr="00705170">
        <w:rPr>
          <w:rFonts w:ascii="Times New Roman" w:hAnsi="Times New Roman" w:cs="Times New Roman"/>
        </w:rPr>
        <w:t xml:space="preserve"> </w:t>
      </w:r>
      <w:proofErr w:type="spellStart"/>
      <w:r w:rsidR="00EB1D4D" w:rsidRPr="00705170">
        <w:rPr>
          <w:rFonts w:ascii="Times New Roman" w:hAnsi="Times New Roman" w:cs="Times New Roman"/>
        </w:rPr>
        <w:t>just</w:t>
      </w:r>
      <w:proofErr w:type="spellEnd"/>
      <w:r w:rsidR="00EB1D4D" w:rsidRPr="00705170">
        <w:rPr>
          <w:rFonts w:ascii="Times New Roman" w:hAnsi="Times New Roman" w:cs="Times New Roman"/>
        </w:rPr>
        <w:t xml:space="preserve"> </w:t>
      </w:r>
      <w:proofErr w:type="spellStart"/>
      <w:r w:rsidR="00EB1D4D" w:rsidRPr="00705170">
        <w:rPr>
          <w:rFonts w:ascii="Times New Roman" w:hAnsi="Times New Roman" w:cs="Times New Roman"/>
        </w:rPr>
        <w:t>cause</w:t>
      </w:r>
      <w:proofErr w:type="spellEnd"/>
      <w:r w:rsidR="00EB1D4D" w:rsidRPr="00705170">
        <w:rPr>
          <w:rFonts w:ascii="Times New Roman" w:hAnsi="Times New Roman" w:cs="Times New Roman"/>
        </w:rPr>
        <w:t xml:space="preserve"> </w:t>
      </w:r>
      <w:proofErr w:type="spellStart"/>
      <w:r w:rsidR="00EB1D4D" w:rsidRPr="00705170">
        <w:rPr>
          <w:rFonts w:ascii="Times New Roman" w:hAnsi="Times New Roman" w:cs="Times New Roman"/>
        </w:rPr>
        <w:t>element’s</w:t>
      </w:r>
      <w:proofErr w:type="spellEnd"/>
      <w:r w:rsidR="00EB1D4D" w:rsidRPr="00705170">
        <w:rPr>
          <w:rFonts w:ascii="Times New Roman" w:hAnsi="Times New Roman" w:cs="Times New Roman"/>
        </w:rPr>
        <w:t xml:space="preserve"> </w:t>
      </w:r>
      <w:proofErr w:type="spellStart"/>
      <w:r w:rsidR="00114319">
        <w:rPr>
          <w:rFonts w:ascii="Times New Roman" w:hAnsi="Times New Roman" w:cs="Times New Roman"/>
        </w:rPr>
        <w:t>current</w:t>
      </w:r>
      <w:proofErr w:type="spellEnd"/>
      <w:r w:rsidR="00114319">
        <w:rPr>
          <w:rFonts w:ascii="Times New Roman" w:hAnsi="Times New Roman" w:cs="Times New Roman"/>
        </w:rPr>
        <w:t xml:space="preserve"> </w:t>
      </w:r>
      <w:proofErr w:type="spellStart"/>
      <w:r w:rsidR="00EB1D4D" w:rsidRPr="00705170">
        <w:rPr>
          <w:rFonts w:ascii="Times New Roman" w:hAnsi="Times New Roman" w:cs="Times New Roman"/>
        </w:rPr>
        <w:t>analysis</w:t>
      </w:r>
      <w:proofErr w:type="spellEnd"/>
      <w:r w:rsidR="004C231E">
        <w:rPr>
          <w:rFonts w:ascii="Times New Roman" w:hAnsi="Times New Roman" w:cs="Times New Roman"/>
        </w:rPr>
        <w:t xml:space="preserve">, as </w:t>
      </w:r>
      <w:proofErr w:type="spellStart"/>
      <w:r w:rsidR="004C231E">
        <w:rPr>
          <w:rFonts w:ascii="Times New Roman" w:hAnsi="Times New Roman" w:cs="Times New Roman"/>
        </w:rPr>
        <w:t>the</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distorted</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management</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herein</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includes</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both</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external</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and</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internal</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acts</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which</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non</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pecuniary</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private</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benefit</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extractions</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are</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derived</w:t>
      </w:r>
      <w:proofErr w:type="spellEnd"/>
      <w:r w:rsidR="004C231E">
        <w:rPr>
          <w:rFonts w:ascii="Times New Roman" w:hAnsi="Times New Roman" w:cs="Times New Roman"/>
        </w:rPr>
        <w:t xml:space="preserve"> </w:t>
      </w:r>
      <w:proofErr w:type="spellStart"/>
      <w:r w:rsidR="004C231E">
        <w:rPr>
          <w:rFonts w:ascii="Times New Roman" w:hAnsi="Times New Roman" w:cs="Times New Roman"/>
        </w:rPr>
        <w:t>through</w:t>
      </w:r>
      <w:proofErr w:type="spellEnd"/>
      <w:r w:rsidR="004C231E">
        <w:rPr>
          <w:rStyle w:val="DipnotBavurusu"/>
          <w:rFonts w:ascii="Times New Roman" w:hAnsi="Times New Roman" w:cs="Times New Roman"/>
        </w:rPr>
        <w:footnoteReference w:id="946"/>
      </w:r>
      <w:r w:rsidR="004C231E">
        <w:rPr>
          <w:rFonts w:ascii="Times New Roman" w:hAnsi="Times New Roman" w:cs="Times New Roman"/>
        </w:rPr>
        <w:t xml:space="preserve">. </w:t>
      </w:r>
    </w:p>
    <w:p w14:paraId="27D65C1D" w14:textId="19F2A9B3" w:rsidR="00553E05" w:rsidRPr="00705170" w:rsidRDefault="00C01441" w:rsidP="008F697D">
      <w:pPr>
        <w:spacing w:after="240" w:line="480" w:lineRule="auto"/>
        <w:ind w:firstLine="708"/>
        <w:jc w:val="both"/>
        <w:rPr>
          <w:rFonts w:ascii="Times New Roman" w:hAnsi="Times New Roman" w:cs="Times New Roman"/>
          <w:b/>
        </w:rPr>
      </w:pPr>
      <w:r>
        <w:rPr>
          <w:rFonts w:ascii="Times New Roman" w:hAnsi="Times New Roman" w:cs="Times New Roman"/>
          <w:b/>
        </w:rPr>
        <w:t>5</w:t>
      </w:r>
      <w:r w:rsidR="001550EC" w:rsidRPr="00705170">
        <w:rPr>
          <w:rFonts w:ascii="Times New Roman" w:hAnsi="Times New Roman" w:cs="Times New Roman"/>
          <w:b/>
        </w:rPr>
        <w:t>.4.</w:t>
      </w:r>
      <w:r w:rsidR="00AB5A69" w:rsidRPr="00705170">
        <w:rPr>
          <w:rFonts w:ascii="Times New Roman" w:hAnsi="Times New Roman" w:cs="Times New Roman"/>
          <w:b/>
        </w:rPr>
        <w:t>2</w:t>
      </w:r>
      <w:r w:rsidR="0084032C" w:rsidRPr="00705170">
        <w:rPr>
          <w:rFonts w:ascii="Times New Roman" w:hAnsi="Times New Roman" w:cs="Times New Roman"/>
          <w:b/>
        </w:rPr>
        <w:t xml:space="preserve">. Using </w:t>
      </w:r>
      <w:proofErr w:type="spellStart"/>
      <w:r w:rsidR="0084032C" w:rsidRPr="00705170">
        <w:rPr>
          <w:rFonts w:ascii="Times New Roman" w:hAnsi="Times New Roman" w:cs="Times New Roman"/>
          <w:b/>
        </w:rPr>
        <w:t>the</w:t>
      </w:r>
      <w:proofErr w:type="spellEnd"/>
      <w:r w:rsidR="0084032C" w:rsidRPr="00705170">
        <w:rPr>
          <w:rFonts w:ascii="Times New Roman" w:hAnsi="Times New Roman" w:cs="Times New Roman"/>
          <w:b/>
        </w:rPr>
        <w:t xml:space="preserve"> “</w:t>
      </w:r>
      <w:proofErr w:type="spellStart"/>
      <w:r w:rsidR="0084032C" w:rsidRPr="00705170">
        <w:rPr>
          <w:rFonts w:ascii="Times New Roman" w:hAnsi="Times New Roman" w:cs="Times New Roman"/>
          <w:b/>
        </w:rPr>
        <w:t>Reasonable</w:t>
      </w:r>
      <w:proofErr w:type="spellEnd"/>
      <w:r w:rsidR="0084032C" w:rsidRPr="00705170">
        <w:rPr>
          <w:rFonts w:ascii="Times New Roman" w:hAnsi="Times New Roman" w:cs="Times New Roman"/>
          <w:b/>
        </w:rPr>
        <w:t xml:space="preserve"> </w:t>
      </w:r>
      <w:proofErr w:type="spellStart"/>
      <w:r w:rsidR="0084032C" w:rsidRPr="00705170">
        <w:rPr>
          <w:rFonts w:ascii="Times New Roman" w:hAnsi="Times New Roman" w:cs="Times New Roman"/>
          <w:b/>
        </w:rPr>
        <w:t>Expectations</w:t>
      </w:r>
      <w:proofErr w:type="spellEnd"/>
      <w:r w:rsidR="0084032C" w:rsidRPr="00705170">
        <w:rPr>
          <w:rFonts w:ascii="Times New Roman" w:hAnsi="Times New Roman" w:cs="Times New Roman"/>
          <w:b/>
        </w:rPr>
        <w:t xml:space="preserve">” </w:t>
      </w:r>
      <w:proofErr w:type="spellStart"/>
      <w:r w:rsidR="0084032C" w:rsidRPr="00705170">
        <w:rPr>
          <w:rFonts w:ascii="Times New Roman" w:hAnsi="Times New Roman" w:cs="Times New Roman"/>
          <w:b/>
        </w:rPr>
        <w:t>Standard</w:t>
      </w:r>
      <w:proofErr w:type="spellEnd"/>
    </w:p>
    <w:p w14:paraId="5F190D98" w14:textId="4DBBA9A9" w:rsidR="00BA56B6" w:rsidRPr="00705170" w:rsidRDefault="003634B6" w:rsidP="008F697D">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Although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general </w:t>
      </w:r>
      <w:proofErr w:type="spellStart"/>
      <w:r w:rsidRPr="00705170">
        <w:rPr>
          <w:rFonts w:ascii="Times New Roman" w:hAnsi="Times New Roman" w:cs="Times New Roman"/>
        </w:rPr>
        <w:t>context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r w:rsidR="00ED3FE0" w:rsidRPr="00705170">
        <w:rPr>
          <w:rFonts w:ascii="Times New Roman" w:hAnsi="Times New Roman" w:cs="Times New Roman"/>
        </w:rPr>
        <w:t>“</w:t>
      </w:r>
      <w:proofErr w:type="spellStart"/>
      <w:r w:rsidR="00ED3FE0" w:rsidRPr="00705170">
        <w:rPr>
          <w:rFonts w:ascii="Times New Roman" w:hAnsi="Times New Roman" w:cs="Times New Roman"/>
        </w:rPr>
        <w:t>just</w:t>
      </w:r>
      <w:proofErr w:type="spellEnd"/>
      <w:r w:rsidR="00ED3FE0" w:rsidRPr="00705170">
        <w:rPr>
          <w:rFonts w:ascii="Times New Roman" w:hAnsi="Times New Roman" w:cs="Times New Roman"/>
        </w:rPr>
        <w:t xml:space="preserve"> </w:t>
      </w:r>
      <w:proofErr w:type="spellStart"/>
      <w:r w:rsidR="00ED3FE0" w:rsidRPr="00705170">
        <w:rPr>
          <w:rFonts w:ascii="Times New Roman" w:hAnsi="Times New Roman" w:cs="Times New Roman"/>
        </w:rPr>
        <w:t>cause</w:t>
      </w:r>
      <w:proofErr w:type="spellEnd"/>
      <w:r w:rsidR="00ED3FE0" w:rsidRPr="00705170">
        <w:rPr>
          <w:rFonts w:ascii="Times New Roman" w:hAnsi="Times New Roman" w:cs="Times New Roman"/>
        </w:rPr>
        <w:t xml:space="preserve">” </w:t>
      </w:r>
      <w:proofErr w:type="spellStart"/>
      <w:r w:rsidR="00ED3FE0" w:rsidRPr="00705170">
        <w:rPr>
          <w:rFonts w:ascii="Times New Roman" w:hAnsi="Times New Roman" w:cs="Times New Roman"/>
        </w:rPr>
        <w:t>concept</w:t>
      </w:r>
      <w:proofErr w:type="spellEnd"/>
      <w:r w:rsidR="00ED3FE0" w:rsidRPr="00705170">
        <w:rPr>
          <w:rFonts w:ascii="Times New Roman" w:hAnsi="Times New Roman" w:cs="Times New Roman"/>
        </w:rPr>
        <w:t xml:space="preserve"> </w:t>
      </w:r>
      <w:proofErr w:type="spellStart"/>
      <w:r w:rsidRPr="00705170">
        <w:rPr>
          <w:rFonts w:ascii="Times New Roman" w:hAnsi="Times New Roman" w:cs="Times New Roman"/>
        </w:rPr>
        <w:t>refers</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well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understood</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shown</w:t>
      </w:r>
      <w:proofErr w:type="spellEnd"/>
      <w:r w:rsidRPr="00705170">
        <w:rPr>
          <w:rFonts w:ascii="Times New Roman" w:hAnsi="Times New Roman" w:cs="Times New Roman"/>
        </w:rPr>
        <w:t xml:space="preserve"> </w:t>
      </w:r>
      <w:proofErr w:type="spellStart"/>
      <w:r w:rsidR="00105144">
        <w:rPr>
          <w:rFonts w:ascii="Times New Roman" w:hAnsi="Times New Roman" w:cs="Times New Roman"/>
        </w:rPr>
        <w:t>above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understanding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provide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specific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guidance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practitioners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both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w:t>
      </w:r>
      <w:r w:rsidR="00BF6447">
        <w:rPr>
          <w:rFonts w:ascii="Times New Roman" w:hAnsi="Times New Roman" w:cs="Times New Roman"/>
        </w:rPr>
        <w:t>aw</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enforcement</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authority</w:t>
      </w:r>
      <w:proofErr w:type="spellEnd"/>
      <w:r w:rsidRPr="00705170">
        <w:rPr>
          <w:rFonts w:ascii="Times New Roman" w:hAnsi="Times New Roman" w:cs="Times New Roman"/>
        </w:rPr>
        <w:t xml:space="preserve">). </w:t>
      </w:r>
      <w:proofErr w:type="spellStart"/>
      <w:r w:rsidR="00BA56B6" w:rsidRPr="00705170">
        <w:rPr>
          <w:rFonts w:ascii="Times New Roman" w:hAnsi="Times New Roman" w:cs="Times New Roman"/>
        </w:rPr>
        <w:t>While</w:t>
      </w:r>
      <w:proofErr w:type="spellEnd"/>
      <w:r w:rsidR="00BA56B6" w:rsidRPr="00705170">
        <w:rPr>
          <w:rFonts w:ascii="Times New Roman" w:hAnsi="Times New Roman" w:cs="Times New Roman"/>
        </w:rPr>
        <w:t xml:space="preserve"> </w:t>
      </w:r>
      <w:proofErr w:type="spellStart"/>
      <w:r w:rsidR="00BA56B6" w:rsidRPr="00705170">
        <w:rPr>
          <w:rFonts w:ascii="Times New Roman" w:hAnsi="Times New Roman" w:cs="Times New Roman"/>
        </w:rPr>
        <w:t>defining</w:t>
      </w:r>
      <w:proofErr w:type="spellEnd"/>
      <w:r w:rsidR="00BA56B6" w:rsidRPr="00705170">
        <w:rPr>
          <w:rFonts w:ascii="Times New Roman" w:hAnsi="Times New Roman" w:cs="Times New Roman"/>
        </w:rPr>
        <w:t xml:space="preserve"> </w:t>
      </w:r>
      <w:proofErr w:type="spellStart"/>
      <w:r w:rsidR="00BA56B6" w:rsidRPr="00705170">
        <w:rPr>
          <w:rFonts w:ascii="Times New Roman" w:hAnsi="Times New Roman" w:cs="Times New Roman"/>
        </w:rPr>
        <w:t>the</w:t>
      </w:r>
      <w:proofErr w:type="spellEnd"/>
      <w:r w:rsidR="00BA56B6" w:rsidRPr="00705170">
        <w:rPr>
          <w:rFonts w:ascii="Times New Roman" w:hAnsi="Times New Roman" w:cs="Times New Roman"/>
        </w:rPr>
        <w:t xml:space="preserve"> “</w:t>
      </w:r>
      <w:proofErr w:type="spellStart"/>
      <w:r w:rsidR="00BA56B6" w:rsidRPr="00705170">
        <w:rPr>
          <w:rFonts w:ascii="Times New Roman" w:hAnsi="Times New Roman" w:cs="Times New Roman"/>
        </w:rPr>
        <w:t>just</w:t>
      </w:r>
      <w:proofErr w:type="spellEnd"/>
      <w:r w:rsidR="00BA56B6" w:rsidRPr="00705170">
        <w:rPr>
          <w:rFonts w:ascii="Times New Roman" w:hAnsi="Times New Roman" w:cs="Times New Roman"/>
        </w:rPr>
        <w:t xml:space="preserve"> </w:t>
      </w:r>
      <w:proofErr w:type="spellStart"/>
      <w:r w:rsidR="00BA56B6" w:rsidRPr="00705170">
        <w:rPr>
          <w:rFonts w:ascii="Times New Roman" w:hAnsi="Times New Roman" w:cs="Times New Roman"/>
        </w:rPr>
        <w:t>cause</w:t>
      </w:r>
      <w:proofErr w:type="spellEnd"/>
      <w:r w:rsidR="00BA56B6" w:rsidRPr="00705170">
        <w:rPr>
          <w:rFonts w:ascii="Times New Roman" w:hAnsi="Times New Roman" w:cs="Times New Roman"/>
        </w:rPr>
        <w:t xml:space="preserve">” element </w:t>
      </w:r>
      <w:proofErr w:type="spellStart"/>
      <w:r w:rsidR="00BA56B6" w:rsidRPr="00705170">
        <w:rPr>
          <w:rFonts w:ascii="Times New Roman" w:hAnsi="Times New Roman" w:cs="Times New Roman"/>
        </w:rPr>
        <w:t>through</w:t>
      </w:r>
      <w:proofErr w:type="spellEnd"/>
      <w:r w:rsidR="00BA56B6" w:rsidRPr="00705170">
        <w:rPr>
          <w:rFonts w:ascii="Times New Roman" w:hAnsi="Times New Roman" w:cs="Times New Roman"/>
        </w:rPr>
        <w:t xml:space="preserve"> a</w:t>
      </w:r>
      <w:r w:rsidRPr="00705170">
        <w:rPr>
          <w:rFonts w:ascii="Times New Roman" w:hAnsi="Times New Roman" w:cs="Times New Roman"/>
        </w:rPr>
        <w:t xml:space="preserve"> </w:t>
      </w:r>
      <w:r w:rsidR="004C60ED" w:rsidRPr="00705170">
        <w:rPr>
          <w:rFonts w:ascii="Times New Roman" w:hAnsi="Times New Roman" w:cs="Times New Roman"/>
        </w:rPr>
        <w:t xml:space="preserve">legal </w:t>
      </w:r>
      <w:proofErr w:type="spellStart"/>
      <w:r w:rsidR="004C60ED" w:rsidRPr="00705170">
        <w:rPr>
          <w:rFonts w:ascii="Times New Roman" w:hAnsi="Times New Roman" w:cs="Times New Roman"/>
        </w:rPr>
        <w:t>standard</w:t>
      </w:r>
      <w:proofErr w:type="spellEnd"/>
      <w:r w:rsidR="004C60ED" w:rsidRPr="00705170">
        <w:rPr>
          <w:rFonts w:ascii="Times New Roman" w:hAnsi="Times New Roman" w:cs="Times New Roman"/>
        </w:rPr>
        <w:t xml:space="preserve"> (</w:t>
      </w:r>
      <w:proofErr w:type="spellStart"/>
      <w:r w:rsidR="00ED3FE0" w:rsidRPr="00705170">
        <w:rPr>
          <w:rFonts w:ascii="Times New Roman" w:hAnsi="Times New Roman" w:cs="Times New Roman"/>
        </w:rPr>
        <w:t>such</w:t>
      </w:r>
      <w:proofErr w:type="spellEnd"/>
      <w:r w:rsidR="00ED3FE0" w:rsidRPr="00705170">
        <w:rPr>
          <w:rFonts w:ascii="Times New Roman" w:hAnsi="Times New Roman" w:cs="Times New Roman"/>
        </w:rPr>
        <w:t xml:space="preserve"> as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w:t>
      </w:r>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standard</w:t>
      </w:r>
      <w:proofErr w:type="spellEnd"/>
      <w:r w:rsidR="004C60ED" w:rsidRPr="00705170">
        <w:rPr>
          <w:rFonts w:ascii="Times New Roman" w:hAnsi="Times New Roman" w:cs="Times New Roman"/>
        </w:rPr>
        <w:t xml:space="preserve">) </w:t>
      </w:r>
      <w:proofErr w:type="spellStart"/>
      <w:r w:rsidR="00BA56B6" w:rsidRPr="00705170">
        <w:rPr>
          <w:rFonts w:ascii="Times New Roman" w:hAnsi="Times New Roman" w:cs="Times New Roman"/>
        </w:rPr>
        <w:t>may</w:t>
      </w:r>
      <w:proofErr w:type="spellEnd"/>
      <w:r w:rsidR="00BA56B6" w:rsidRPr="00705170">
        <w:rPr>
          <w:rFonts w:ascii="Times New Roman" w:hAnsi="Times New Roman" w:cs="Times New Roman"/>
        </w:rPr>
        <w:t xml:space="preserve"> </w:t>
      </w:r>
      <w:proofErr w:type="spellStart"/>
      <w:r w:rsidR="00BA56B6" w:rsidRPr="00705170">
        <w:rPr>
          <w:rFonts w:ascii="Times New Roman" w:hAnsi="Times New Roman" w:cs="Times New Roman"/>
        </w:rPr>
        <w:t>generate</w:t>
      </w:r>
      <w:proofErr w:type="spellEnd"/>
      <w:r w:rsidR="00BA56B6" w:rsidRPr="00705170">
        <w:rPr>
          <w:rFonts w:ascii="Times New Roman" w:hAnsi="Times New Roman" w:cs="Times New Roman"/>
        </w:rPr>
        <w:t xml:space="preserve"> </w:t>
      </w:r>
      <w:proofErr w:type="spellStart"/>
      <w:r w:rsidR="00BA56B6" w:rsidRPr="00705170">
        <w:rPr>
          <w:rFonts w:ascii="Times New Roman" w:hAnsi="Times New Roman" w:cs="Times New Roman"/>
        </w:rPr>
        <w:t>substantial</w:t>
      </w:r>
      <w:proofErr w:type="spellEnd"/>
      <w:r w:rsidR="00BA56B6" w:rsidRPr="00705170">
        <w:rPr>
          <w:rFonts w:ascii="Times New Roman" w:hAnsi="Times New Roman" w:cs="Times New Roman"/>
        </w:rPr>
        <w:t xml:space="preserve"> </w:t>
      </w:r>
      <w:proofErr w:type="spellStart"/>
      <w:r w:rsidR="00BA56B6" w:rsidRPr="00705170">
        <w:rPr>
          <w:rFonts w:ascii="Times New Roman" w:hAnsi="Times New Roman" w:cs="Times New Roman"/>
        </w:rPr>
        <w:t>costs</w:t>
      </w:r>
      <w:proofErr w:type="spellEnd"/>
      <w:r w:rsidR="00BA56B6" w:rsidRPr="00705170">
        <w:rPr>
          <w:rFonts w:ascii="Times New Roman" w:hAnsi="Times New Roman" w:cs="Times New Roman"/>
        </w:rPr>
        <w:t xml:space="preserve"> </w:t>
      </w:r>
      <w:proofErr w:type="spellStart"/>
      <w:r w:rsidR="00BA56B6" w:rsidRPr="00705170">
        <w:rPr>
          <w:rFonts w:ascii="Times New Roman" w:hAnsi="Times New Roman" w:cs="Times New Roman"/>
        </w:rPr>
        <w:t>for</w:t>
      </w:r>
      <w:proofErr w:type="spellEnd"/>
      <w:r w:rsidR="00BA56B6" w:rsidRPr="00705170">
        <w:rPr>
          <w:rFonts w:ascii="Times New Roman" w:hAnsi="Times New Roman" w:cs="Times New Roman"/>
        </w:rPr>
        <w:t xml:space="preserve"> </w:t>
      </w:r>
      <w:proofErr w:type="spellStart"/>
      <w:r w:rsidRPr="00705170">
        <w:rPr>
          <w:rFonts w:ascii="Times New Roman" w:hAnsi="Times New Roman" w:cs="Times New Roman"/>
        </w:rPr>
        <w:t>practitioners</w:t>
      </w:r>
      <w:proofErr w:type="spellEnd"/>
      <w:r w:rsidRPr="00705170">
        <w:rPr>
          <w:rStyle w:val="DipnotBavurusu"/>
          <w:rFonts w:ascii="Times New Roman" w:hAnsi="Times New Roman" w:cs="Times New Roman"/>
        </w:rPr>
        <w:footnoteReference w:id="947"/>
      </w:r>
      <w:r w:rsidRPr="00705170">
        <w:rPr>
          <w:rFonts w:ascii="Times New Roman" w:hAnsi="Times New Roman" w:cs="Times New Roman"/>
        </w:rPr>
        <w:t xml:space="preserve">, </w:t>
      </w:r>
      <w:proofErr w:type="spellStart"/>
      <w:r w:rsidR="004C60ED" w:rsidRPr="00705170">
        <w:rPr>
          <w:rFonts w:ascii="Times New Roman" w:hAnsi="Times New Roman" w:cs="Times New Roman"/>
        </w:rPr>
        <w:t>providing</w:t>
      </w:r>
      <w:proofErr w:type="spellEnd"/>
      <w:r w:rsidR="004C60ED" w:rsidRPr="00705170">
        <w:rPr>
          <w:rFonts w:ascii="Times New Roman" w:hAnsi="Times New Roman" w:cs="Times New Roman"/>
        </w:rPr>
        <w:t xml:space="preserve"> a </w:t>
      </w:r>
      <w:proofErr w:type="spellStart"/>
      <w:r w:rsidR="004C60ED" w:rsidRPr="00705170">
        <w:rPr>
          <w:rFonts w:ascii="Times New Roman" w:hAnsi="Times New Roman" w:cs="Times New Roman"/>
        </w:rPr>
        <w:t>specific</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guidance</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will</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establish</w:t>
      </w:r>
      <w:proofErr w:type="spellEnd"/>
      <w:r w:rsidR="004C60ED" w:rsidRPr="00705170">
        <w:rPr>
          <w:rFonts w:ascii="Times New Roman" w:hAnsi="Times New Roman" w:cs="Times New Roman"/>
        </w:rPr>
        <w:t xml:space="preserve"> </w:t>
      </w:r>
      <w:r w:rsidR="0070333E" w:rsidRPr="00705170">
        <w:rPr>
          <w:rFonts w:ascii="Times New Roman" w:hAnsi="Times New Roman" w:cs="Times New Roman"/>
        </w:rPr>
        <w:t xml:space="preserve">a </w:t>
      </w:r>
      <w:r w:rsidR="004C60ED" w:rsidRPr="00705170">
        <w:rPr>
          <w:rFonts w:ascii="Times New Roman" w:hAnsi="Times New Roman" w:cs="Times New Roman"/>
        </w:rPr>
        <w:t xml:space="preserve">legal </w:t>
      </w:r>
      <w:proofErr w:type="spellStart"/>
      <w:r w:rsidR="004C60ED" w:rsidRPr="00705170">
        <w:rPr>
          <w:rFonts w:ascii="Times New Roman" w:hAnsi="Times New Roman" w:cs="Times New Roman"/>
        </w:rPr>
        <w:t>certainty</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and</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predictability</w:t>
      </w:r>
      <w:proofErr w:type="spellEnd"/>
      <w:r w:rsidR="004C60ED" w:rsidRPr="00705170">
        <w:rPr>
          <w:rFonts w:ascii="Times New Roman" w:hAnsi="Times New Roman" w:cs="Times New Roman"/>
        </w:rPr>
        <w:t xml:space="preserve"> in </w:t>
      </w:r>
      <w:proofErr w:type="spellStart"/>
      <w:r w:rsidR="004C60ED" w:rsidRPr="00705170">
        <w:rPr>
          <w:rFonts w:ascii="Times New Roman" w:hAnsi="Times New Roman" w:cs="Times New Roman"/>
        </w:rPr>
        <w:t>the</w:t>
      </w:r>
      <w:proofErr w:type="spellEnd"/>
      <w:r w:rsidR="004C60ED" w:rsidRPr="00705170">
        <w:rPr>
          <w:rFonts w:ascii="Times New Roman" w:hAnsi="Times New Roman" w:cs="Times New Roman"/>
        </w:rPr>
        <w:t xml:space="preserve"> legal </w:t>
      </w:r>
      <w:proofErr w:type="spellStart"/>
      <w:r w:rsidR="004C60ED" w:rsidRPr="00705170">
        <w:rPr>
          <w:rFonts w:ascii="Times New Roman" w:hAnsi="Times New Roman" w:cs="Times New Roman"/>
        </w:rPr>
        <w:t>environment</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which</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will</w:t>
      </w:r>
      <w:proofErr w:type="spellEnd"/>
      <w:r w:rsidR="00726186" w:rsidRPr="00705170">
        <w:rPr>
          <w:rFonts w:ascii="Times New Roman" w:hAnsi="Times New Roman" w:cs="Times New Roman"/>
        </w:rPr>
        <w:t xml:space="preserve"> </w:t>
      </w:r>
      <w:proofErr w:type="spellStart"/>
      <w:r w:rsidR="00726186" w:rsidRPr="00705170">
        <w:rPr>
          <w:rFonts w:ascii="Times New Roman" w:hAnsi="Times New Roman" w:cs="Times New Roman"/>
        </w:rPr>
        <w:t>certainly</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lower</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the</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costs</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associated</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with</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the</w:t>
      </w:r>
      <w:proofErr w:type="spellEnd"/>
      <w:r w:rsidR="004C60ED" w:rsidRPr="00705170">
        <w:rPr>
          <w:rFonts w:ascii="Times New Roman" w:hAnsi="Times New Roman" w:cs="Times New Roman"/>
        </w:rPr>
        <w:t xml:space="preserve"> </w:t>
      </w:r>
      <w:proofErr w:type="spellStart"/>
      <w:r w:rsidR="004C60ED" w:rsidRPr="00705170">
        <w:rPr>
          <w:rFonts w:ascii="Times New Roman" w:hAnsi="Times New Roman" w:cs="Times New Roman"/>
        </w:rPr>
        <w:t>current</w:t>
      </w:r>
      <w:proofErr w:type="spellEnd"/>
      <w:r w:rsidR="004C60ED" w:rsidRPr="00705170">
        <w:rPr>
          <w:rFonts w:ascii="Times New Roman" w:hAnsi="Times New Roman" w:cs="Times New Roman"/>
        </w:rPr>
        <w:t xml:space="preserve"> </w:t>
      </w:r>
      <w:proofErr w:type="spellStart"/>
      <w:r w:rsidR="00726186" w:rsidRPr="00705170">
        <w:rPr>
          <w:rFonts w:ascii="Times New Roman" w:hAnsi="Times New Roman" w:cs="Times New Roman"/>
        </w:rPr>
        <w:t>elusiveness</w:t>
      </w:r>
      <w:proofErr w:type="spellEnd"/>
      <w:r w:rsidR="00330399" w:rsidRPr="00705170">
        <w:rPr>
          <w:rStyle w:val="DipnotBavurusu"/>
          <w:rFonts w:ascii="Times New Roman" w:hAnsi="Times New Roman" w:cs="Times New Roman"/>
        </w:rPr>
        <w:footnoteReference w:id="948"/>
      </w:r>
      <w:r w:rsidR="00726186" w:rsidRPr="00705170">
        <w:rPr>
          <w:rFonts w:ascii="Times New Roman" w:hAnsi="Times New Roman" w:cs="Times New Roman"/>
        </w:rPr>
        <w:t>.</w:t>
      </w:r>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In</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this</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regards</w:t>
      </w:r>
      <w:proofErr w:type="spellEnd"/>
      <w:r w:rsidR="0070333E" w:rsidRPr="00705170">
        <w:rPr>
          <w:rFonts w:ascii="Times New Roman" w:hAnsi="Times New Roman" w:cs="Times New Roman"/>
        </w:rPr>
        <w:t>,</w:t>
      </w:r>
      <w:r w:rsidR="00ED3FE0" w:rsidRPr="00705170">
        <w:rPr>
          <w:rFonts w:ascii="Times New Roman" w:hAnsi="Times New Roman" w:cs="Times New Roman"/>
        </w:rPr>
        <w:t xml:space="preserve"> </w:t>
      </w:r>
      <w:proofErr w:type="spellStart"/>
      <w:r w:rsidR="00ED3FE0" w:rsidRPr="00705170">
        <w:rPr>
          <w:rFonts w:ascii="Times New Roman" w:hAnsi="Times New Roman" w:cs="Times New Roman"/>
        </w:rPr>
        <w:t>using</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the</w:t>
      </w:r>
      <w:proofErr w:type="spellEnd"/>
      <w:r w:rsidR="0070333E" w:rsidRPr="00705170">
        <w:rPr>
          <w:rFonts w:ascii="Times New Roman" w:hAnsi="Times New Roman" w:cs="Times New Roman"/>
        </w:rPr>
        <w:t xml:space="preserve"> </w:t>
      </w:r>
      <w:r w:rsidR="00ED3FE0" w:rsidRPr="00705170">
        <w:rPr>
          <w:rFonts w:ascii="Times New Roman" w:hAnsi="Times New Roman" w:cs="Times New Roman"/>
        </w:rPr>
        <w:t>“</w:t>
      </w:r>
      <w:proofErr w:type="spellStart"/>
      <w:r w:rsidR="0070333E" w:rsidRPr="00705170">
        <w:rPr>
          <w:rFonts w:ascii="Times New Roman" w:hAnsi="Times New Roman" w:cs="Times New Roman"/>
        </w:rPr>
        <w:t>reasonable</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expectations</w:t>
      </w:r>
      <w:proofErr w:type="spellEnd"/>
      <w:r w:rsidR="00ED3FE0" w:rsidRPr="00705170">
        <w:rPr>
          <w:rFonts w:ascii="Times New Roman" w:hAnsi="Times New Roman" w:cs="Times New Roman"/>
        </w:rPr>
        <w:t>”</w:t>
      </w:r>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analysis</w:t>
      </w:r>
      <w:proofErr w:type="spellEnd"/>
      <w:r w:rsidR="00ED3FE0" w:rsidRPr="00705170">
        <w:rPr>
          <w:rFonts w:ascii="Times New Roman" w:hAnsi="Times New Roman" w:cs="Times New Roman"/>
        </w:rPr>
        <w:t xml:space="preserve"> </w:t>
      </w:r>
      <w:proofErr w:type="spellStart"/>
      <w:r w:rsidR="00ED3FE0" w:rsidRPr="00705170">
        <w:rPr>
          <w:rFonts w:ascii="Times New Roman" w:hAnsi="Times New Roman" w:cs="Times New Roman"/>
        </w:rPr>
        <w:t>to</w:t>
      </w:r>
      <w:proofErr w:type="spellEnd"/>
      <w:r w:rsidR="00ED3FE0" w:rsidRPr="00705170">
        <w:rPr>
          <w:rFonts w:ascii="Times New Roman" w:hAnsi="Times New Roman" w:cs="Times New Roman"/>
        </w:rPr>
        <w:t xml:space="preserve"> define </w:t>
      </w:r>
      <w:proofErr w:type="spellStart"/>
      <w:r w:rsidR="00ED3FE0" w:rsidRPr="00705170">
        <w:rPr>
          <w:rFonts w:ascii="Times New Roman" w:hAnsi="Times New Roman" w:cs="Times New Roman"/>
        </w:rPr>
        <w:t>the</w:t>
      </w:r>
      <w:proofErr w:type="spellEnd"/>
      <w:r w:rsidR="00ED3FE0" w:rsidRPr="00705170">
        <w:rPr>
          <w:rFonts w:ascii="Times New Roman" w:hAnsi="Times New Roman" w:cs="Times New Roman"/>
        </w:rPr>
        <w:t xml:space="preserve"> “</w:t>
      </w:r>
      <w:proofErr w:type="spellStart"/>
      <w:r w:rsidR="00ED3FE0" w:rsidRPr="00705170">
        <w:rPr>
          <w:rFonts w:ascii="Times New Roman" w:hAnsi="Times New Roman" w:cs="Times New Roman"/>
        </w:rPr>
        <w:t>just</w:t>
      </w:r>
      <w:proofErr w:type="spellEnd"/>
      <w:r w:rsidR="00ED3FE0" w:rsidRPr="00705170">
        <w:rPr>
          <w:rFonts w:ascii="Times New Roman" w:hAnsi="Times New Roman" w:cs="Times New Roman"/>
        </w:rPr>
        <w:t xml:space="preserve"> </w:t>
      </w:r>
      <w:proofErr w:type="spellStart"/>
      <w:r w:rsidR="00ED3FE0" w:rsidRPr="00705170">
        <w:rPr>
          <w:rFonts w:ascii="Times New Roman" w:hAnsi="Times New Roman" w:cs="Times New Roman"/>
        </w:rPr>
        <w:t>cause</w:t>
      </w:r>
      <w:proofErr w:type="spellEnd"/>
      <w:r w:rsidR="00ED3FE0" w:rsidRPr="00705170">
        <w:rPr>
          <w:rFonts w:ascii="Times New Roman" w:hAnsi="Times New Roman" w:cs="Times New Roman"/>
        </w:rPr>
        <w:t xml:space="preserve">” </w:t>
      </w:r>
      <w:proofErr w:type="spellStart"/>
      <w:r w:rsidR="00ED3FE0" w:rsidRPr="00705170">
        <w:rPr>
          <w:rFonts w:ascii="Times New Roman" w:hAnsi="Times New Roman" w:cs="Times New Roman"/>
        </w:rPr>
        <w:t>concept</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will</w:t>
      </w:r>
      <w:proofErr w:type="spellEnd"/>
      <w:r w:rsidR="0070333E" w:rsidRPr="00705170">
        <w:rPr>
          <w:rFonts w:ascii="Times New Roman" w:hAnsi="Times New Roman" w:cs="Times New Roman"/>
        </w:rPr>
        <w:t xml:space="preserve"> not </w:t>
      </w:r>
      <w:proofErr w:type="spellStart"/>
      <w:r w:rsidR="00ED3FE0" w:rsidRPr="00705170">
        <w:rPr>
          <w:rFonts w:ascii="Times New Roman" w:hAnsi="Times New Roman" w:cs="Times New Roman"/>
        </w:rPr>
        <w:t>only</w:t>
      </w:r>
      <w:proofErr w:type="spellEnd"/>
      <w:r w:rsidR="00ED3FE0" w:rsidRPr="00705170">
        <w:rPr>
          <w:rFonts w:ascii="Times New Roman" w:hAnsi="Times New Roman" w:cs="Times New Roman"/>
        </w:rPr>
        <w:t xml:space="preserve"> </w:t>
      </w:r>
      <w:proofErr w:type="spellStart"/>
      <w:r w:rsidR="0070333E" w:rsidRPr="00705170">
        <w:rPr>
          <w:rFonts w:ascii="Times New Roman" w:hAnsi="Times New Roman" w:cs="Times New Roman"/>
        </w:rPr>
        <w:t>improve</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the</w:t>
      </w:r>
      <w:proofErr w:type="spellEnd"/>
      <w:r w:rsidR="0070333E" w:rsidRPr="00705170">
        <w:rPr>
          <w:rFonts w:ascii="Times New Roman" w:hAnsi="Times New Roman" w:cs="Times New Roman"/>
        </w:rPr>
        <w:t xml:space="preserve"> legal </w:t>
      </w:r>
      <w:proofErr w:type="spellStart"/>
      <w:r w:rsidR="0070333E" w:rsidRPr="00705170">
        <w:rPr>
          <w:rFonts w:ascii="Times New Roman" w:hAnsi="Times New Roman" w:cs="Times New Roman"/>
        </w:rPr>
        <w:t>environment</w:t>
      </w:r>
      <w:proofErr w:type="spellEnd"/>
      <w:r w:rsidR="0070333E" w:rsidRPr="00705170">
        <w:rPr>
          <w:rFonts w:ascii="Times New Roman" w:hAnsi="Times New Roman" w:cs="Times New Roman"/>
        </w:rPr>
        <w:t xml:space="preserve">, but </w:t>
      </w:r>
      <w:proofErr w:type="spellStart"/>
      <w:r w:rsidR="0070333E" w:rsidRPr="00705170">
        <w:rPr>
          <w:rFonts w:ascii="Times New Roman" w:hAnsi="Times New Roman" w:cs="Times New Roman"/>
        </w:rPr>
        <w:t>will</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also</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provide</w:t>
      </w:r>
      <w:proofErr w:type="spellEnd"/>
      <w:r w:rsidR="0070333E" w:rsidRPr="00705170">
        <w:rPr>
          <w:rFonts w:ascii="Times New Roman" w:hAnsi="Times New Roman" w:cs="Times New Roman"/>
        </w:rPr>
        <w:t xml:space="preserve"> a </w:t>
      </w:r>
      <w:proofErr w:type="spellStart"/>
      <w:r w:rsidR="0070333E" w:rsidRPr="00705170">
        <w:rPr>
          <w:rFonts w:ascii="Times New Roman" w:hAnsi="Times New Roman" w:cs="Times New Roman"/>
        </w:rPr>
        <w:t>theoretically</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justified</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standard</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adequate</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for</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the</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detection</w:t>
      </w:r>
      <w:proofErr w:type="spellEnd"/>
      <w:r w:rsidR="0070333E" w:rsidRPr="00705170">
        <w:rPr>
          <w:rFonts w:ascii="Times New Roman" w:hAnsi="Times New Roman" w:cs="Times New Roman"/>
        </w:rPr>
        <w:t xml:space="preserve"> of </w:t>
      </w:r>
      <w:proofErr w:type="spellStart"/>
      <w:r w:rsidR="0070333E" w:rsidRPr="00705170">
        <w:rPr>
          <w:rFonts w:ascii="Times New Roman" w:hAnsi="Times New Roman" w:cs="Times New Roman"/>
        </w:rPr>
        <w:t>the</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non</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pecuniary</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private</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benefit</w:t>
      </w:r>
      <w:proofErr w:type="spellEnd"/>
      <w:r w:rsidR="0070333E" w:rsidRPr="00705170">
        <w:rPr>
          <w:rFonts w:ascii="Times New Roman" w:hAnsi="Times New Roman" w:cs="Times New Roman"/>
        </w:rPr>
        <w:t xml:space="preserve"> </w:t>
      </w:r>
      <w:proofErr w:type="spellStart"/>
      <w:r w:rsidR="0070333E" w:rsidRPr="00705170">
        <w:rPr>
          <w:rFonts w:ascii="Times New Roman" w:hAnsi="Times New Roman" w:cs="Times New Roman"/>
        </w:rPr>
        <w:t>extractions</w:t>
      </w:r>
      <w:proofErr w:type="spellEnd"/>
      <w:r w:rsidR="0070333E" w:rsidRPr="00705170">
        <w:rPr>
          <w:rFonts w:ascii="Times New Roman" w:hAnsi="Times New Roman" w:cs="Times New Roman"/>
        </w:rPr>
        <w:t>.</w:t>
      </w:r>
      <w:r w:rsidR="00726186" w:rsidRPr="00705170">
        <w:rPr>
          <w:rFonts w:ascii="Times New Roman" w:hAnsi="Times New Roman" w:cs="Times New Roman"/>
        </w:rPr>
        <w:t xml:space="preserve"> </w:t>
      </w:r>
      <w:proofErr w:type="spellStart"/>
      <w:r w:rsidR="00BF6447">
        <w:rPr>
          <w:rFonts w:ascii="Times New Roman" w:hAnsi="Times New Roman" w:cs="Times New Roman"/>
        </w:rPr>
        <w:t>After</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all</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the</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unbearability</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standard</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used</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for</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the</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current</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interpretation</w:t>
      </w:r>
      <w:proofErr w:type="spellEnd"/>
      <w:r w:rsidR="00BF6447">
        <w:rPr>
          <w:rFonts w:ascii="Times New Roman" w:hAnsi="Times New Roman" w:cs="Times New Roman"/>
        </w:rPr>
        <w:t xml:space="preserve"> is </w:t>
      </w:r>
      <w:proofErr w:type="spellStart"/>
      <w:r w:rsidR="00BF6447">
        <w:rPr>
          <w:rFonts w:ascii="Times New Roman" w:hAnsi="Times New Roman" w:cs="Times New Roman"/>
        </w:rPr>
        <w:t>too</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vague</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and</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broad</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to</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provide</w:t>
      </w:r>
      <w:proofErr w:type="spellEnd"/>
      <w:r w:rsidR="00BF6447">
        <w:rPr>
          <w:rFonts w:ascii="Times New Roman" w:hAnsi="Times New Roman" w:cs="Times New Roman"/>
        </w:rPr>
        <w:t xml:space="preserve"> a </w:t>
      </w:r>
      <w:proofErr w:type="spellStart"/>
      <w:r w:rsidR="00BF6447">
        <w:rPr>
          <w:rFonts w:ascii="Times New Roman" w:hAnsi="Times New Roman" w:cs="Times New Roman"/>
        </w:rPr>
        <w:t>systematic</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evaluation</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and</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trying</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to</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cover</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non</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pecuniary</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benefit</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extractions</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lastRenderedPageBreak/>
        <w:t>under</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the</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judicial</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dissolution</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provision</w:t>
      </w:r>
      <w:proofErr w:type="spellEnd"/>
      <w:r w:rsidR="00BF6447">
        <w:rPr>
          <w:rFonts w:ascii="Times New Roman" w:hAnsi="Times New Roman" w:cs="Times New Roman"/>
        </w:rPr>
        <w:t xml:space="preserve"> </w:t>
      </w:r>
      <w:proofErr w:type="spellStart"/>
      <w:r w:rsidR="00A70381">
        <w:rPr>
          <w:rFonts w:ascii="Times New Roman" w:hAnsi="Times New Roman" w:cs="Times New Roman"/>
        </w:rPr>
        <w:t>by</w:t>
      </w:r>
      <w:proofErr w:type="spellEnd"/>
      <w:r w:rsidR="00A70381">
        <w:rPr>
          <w:rFonts w:ascii="Times New Roman" w:hAnsi="Times New Roman" w:cs="Times New Roman"/>
        </w:rPr>
        <w:t xml:space="preserve"> </w:t>
      </w:r>
      <w:proofErr w:type="spellStart"/>
      <w:r w:rsidR="00A70381">
        <w:rPr>
          <w:rFonts w:ascii="Times New Roman" w:hAnsi="Times New Roman" w:cs="Times New Roman"/>
        </w:rPr>
        <w:t>way</w:t>
      </w:r>
      <w:proofErr w:type="spellEnd"/>
      <w:r w:rsidR="00A70381">
        <w:rPr>
          <w:rFonts w:ascii="Times New Roman" w:hAnsi="Times New Roman" w:cs="Times New Roman"/>
        </w:rPr>
        <w:t xml:space="preserve"> of </w:t>
      </w:r>
      <w:proofErr w:type="spellStart"/>
      <w:r w:rsidR="00A70381">
        <w:rPr>
          <w:rFonts w:ascii="Times New Roman" w:hAnsi="Times New Roman" w:cs="Times New Roman"/>
        </w:rPr>
        <w:t>such</w:t>
      </w:r>
      <w:proofErr w:type="spellEnd"/>
      <w:r w:rsidR="00A70381">
        <w:rPr>
          <w:rFonts w:ascii="Times New Roman" w:hAnsi="Times New Roman" w:cs="Times New Roman"/>
        </w:rPr>
        <w:t xml:space="preserve"> </w:t>
      </w:r>
      <w:proofErr w:type="spellStart"/>
      <w:r w:rsidR="00A70381">
        <w:rPr>
          <w:rFonts w:ascii="Times New Roman" w:hAnsi="Times New Roman" w:cs="Times New Roman"/>
        </w:rPr>
        <w:t>standard</w:t>
      </w:r>
      <w:proofErr w:type="spellEnd"/>
      <w:r w:rsidR="00A70381">
        <w:rPr>
          <w:rFonts w:ascii="Times New Roman" w:hAnsi="Times New Roman" w:cs="Times New Roman"/>
        </w:rPr>
        <w:t xml:space="preserve"> </w:t>
      </w:r>
      <w:proofErr w:type="spellStart"/>
      <w:r w:rsidR="00BF6447">
        <w:rPr>
          <w:rFonts w:ascii="Times New Roman" w:hAnsi="Times New Roman" w:cs="Times New Roman"/>
        </w:rPr>
        <w:t>would</w:t>
      </w:r>
      <w:proofErr w:type="spellEnd"/>
      <w:r w:rsidR="00BF6447">
        <w:rPr>
          <w:rFonts w:ascii="Times New Roman" w:hAnsi="Times New Roman" w:cs="Times New Roman"/>
        </w:rPr>
        <w:t xml:space="preserve"> be </w:t>
      </w:r>
      <w:proofErr w:type="spellStart"/>
      <w:r w:rsidR="00BF6447">
        <w:rPr>
          <w:rFonts w:ascii="Times New Roman" w:hAnsi="Times New Roman" w:cs="Times New Roman"/>
        </w:rPr>
        <w:t>practically</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impossible</w:t>
      </w:r>
      <w:proofErr w:type="spellEnd"/>
      <w:r w:rsidR="00BF6447">
        <w:rPr>
          <w:rFonts w:ascii="Times New Roman" w:hAnsi="Times New Roman" w:cs="Times New Roman"/>
        </w:rPr>
        <w:t xml:space="preserve"> as it </w:t>
      </w:r>
      <w:proofErr w:type="spellStart"/>
      <w:r w:rsidR="00BF6447">
        <w:rPr>
          <w:rFonts w:ascii="Times New Roman" w:hAnsi="Times New Roman" w:cs="Times New Roman"/>
        </w:rPr>
        <w:t>will</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bring</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great</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uncertainty</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and</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arbitrariness</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to</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the</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marketplace</w:t>
      </w:r>
      <w:proofErr w:type="spellEnd"/>
      <w:r w:rsidR="00BF6447">
        <w:rPr>
          <w:rFonts w:ascii="Times New Roman" w:hAnsi="Times New Roman" w:cs="Times New Roman"/>
        </w:rPr>
        <w:t xml:space="preserve">. </w:t>
      </w:r>
    </w:p>
    <w:p w14:paraId="1366FEC9" w14:textId="3FE6D0B0" w:rsidR="00193BA9" w:rsidRPr="00705170" w:rsidRDefault="00092D3B" w:rsidP="00193BA9">
      <w:pPr>
        <w:spacing w:after="240" w:line="480" w:lineRule="auto"/>
        <w:ind w:firstLine="708"/>
        <w:jc w:val="both"/>
        <w:rPr>
          <w:rFonts w:ascii="Times New Roman" w:hAnsi="Times New Roman" w:cs="Times New Roman"/>
          <w:color w:val="000000"/>
        </w:rPr>
      </w:pP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might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seen</w:t>
      </w:r>
      <w:proofErr w:type="spellEnd"/>
      <w:r w:rsidRPr="00705170">
        <w:rPr>
          <w:rFonts w:ascii="Times New Roman" w:hAnsi="Times New Roman" w:cs="Times New Roman"/>
        </w:rPr>
        <w:t xml:space="preserve"> </w:t>
      </w:r>
      <w:r w:rsidR="001B3E0A" w:rsidRPr="00705170">
        <w:rPr>
          <w:rFonts w:ascii="Times New Roman" w:hAnsi="Times New Roman" w:cs="Times New Roman"/>
        </w:rPr>
        <w:t xml:space="preserve">as a </w:t>
      </w:r>
      <w:proofErr w:type="spellStart"/>
      <w:r w:rsidRPr="00705170">
        <w:rPr>
          <w:rFonts w:ascii="Times New Roman" w:hAnsi="Times New Roman" w:cs="Times New Roman"/>
        </w:rPr>
        <w:t>stranger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current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interpretation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element,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appearance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deceptive</w:t>
      </w:r>
      <w:proofErr w:type="spellEnd"/>
      <w:r w:rsidRPr="00705170">
        <w:rPr>
          <w:rFonts w:ascii="Times New Roman" w:hAnsi="Times New Roman" w:cs="Times New Roman"/>
        </w:rPr>
        <w:t xml:space="preserve">. </w:t>
      </w:r>
      <w:proofErr w:type="spellStart"/>
      <w:r w:rsidR="001B3E0A" w:rsidRPr="00705170">
        <w:rPr>
          <w:rFonts w:ascii="Times New Roman" w:hAnsi="Times New Roman" w:cs="Times New Roman"/>
        </w:rPr>
        <w:t>After</w:t>
      </w:r>
      <w:proofErr w:type="spellEnd"/>
      <w:r w:rsidR="001B3E0A" w:rsidRPr="00705170">
        <w:rPr>
          <w:rFonts w:ascii="Times New Roman" w:hAnsi="Times New Roman" w:cs="Times New Roman"/>
        </w:rPr>
        <w:t xml:space="preserve"> </w:t>
      </w:r>
      <w:proofErr w:type="spellStart"/>
      <w:r w:rsidR="001B3E0A" w:rsidRPr="00705170">
        <w:rPr>
          <w:rFonts w:ascii="Times New Roman" w:hAnsi="Times New Roman" w:cs="Times New Roman"/>
        </w:rPr>
        <w:t>all</w:t>
      </w:r>
      <w:proofErr w:type="spellEnd"/>
      <w:r w:rsidR="001B3E0A" w:rsidRPr="00705170">
        <w:rPr>
          <w:rFonts w:ascii="Times New Roman" w:hAnsi="Times New Roman" w:cs="Times New Roman"/>
        </w:rPr>
        <w:t xml:space="preserve">, </w:t>
      </w:r>
      <w:proofErr w:type="spellStart"/>
      <w:r w:rsidR="001B3E0A" w:rsidRPr="00705170">
        <w:rPr>
          <w:rFonts w:ascii="Times New Roman" w:hAnsi="Times New Roman" w:cs="Times New Roman"/>
        </w:rPr>
        <w:t>t</w:t>
      </w:r>
      <w:r w:rsidR="00393F20" w:rsidRPr="00705170">
        <w:rPr>
          <w:rFonts w:ascii="Times New Roman" w:hAnsi="Times New Roman" w:cs="Times New Roman"/>
        </w:rPr>
        <w:t>he</w:t>
      </w:r>
      <w:proofErr w:type="spellEnd"/>
      <w:r w:rsidR="00393F20" w:rsidRPr="00705170">
        <w:rPr>
          <w:rFonts w:ascii="Times New Roman" w:hAnsi="Times New Roman" w:cs="Times New Roman"/>
        </w:rPr>
        <w:t xml:space="preserve"> </w:t>
      </w:r>
      <w:r w:rsidR="00184C1D" w:rsidRPr="00705170">
        <w:rPr>
          <w:rFonts w:ascii="Times New Roman" w:hAnsi="Times New Roman" w:cs="Times New Roman"/>
        </w:rPr>
        <w:t>“</w:t>
      </w:r>
      <w:proofErr w:type="spellStart"/>
      <w:r w:rsidR="00393F20" w:rsidRPr="00705170">
        <w:rPr>
          <w:rFonts w:ascii="Times New Roman" w:hAnsi="Times New Roman" w:cs="Times New Roman"/>
        </w:rPr>
        <w:t>unbearability</w:t>
      </w:r>
      <w:proofErr w:type="spellEnd"/>
      <w:r w:rsidR="00184C1D" w:rsidRPr="00705170">
        <w:rPr>
          <w:rFonts w:ascii="Times New Roman" w:hAnsi="Times New Roman" w:cs="Times New Roman"/>
        </w:rPr>
        <w:t>”</w:t>
      </w:r>
      <w:r w:rsidR="00BD633B" w:rsidRPr="00705170">
        <w:rPr>
          <w:rFonts w:ascii="Times New Roman" w:hAnsi="Times New Roman" w:cs="Times New Roman"/>
        </w:rPr>
        <w:t xml:space="preserve"> </w:t>
      </w:r>
      <w:proofErr w:type="spellStart"/>
      <w:r w:rsidR="00BD633B" w:rsidRPr="00705170">
        <w:rPr>
          <w:rFonts w:ascii="Times New Roman" w:hAnsi="Times New Roman" w:cs="Times New Roman"/>
        </w:rPr>
        <w:t>aspect</w:t>
      </w:r>
      <w:proofErr w:type="spellEnd"/>
      <w:r w:rsidR="001B3E0A" w:rsidRPr="00705170">
        <w:rPr>
          <w:rFonts w:ascii="Times New Roman" w:hAnsi="Times New Roman" w:cs="Times New Roman"/>
        </w:rPr>
        <w:t xml:space="preserve"> of </w:t>
      </w:r>
      <w:proofErr w:type="spellStart"/>
      <w:r w:rsidR="001B3E0A" w:rsidRPr="00705170">
        <w:rPr>
          <w:rFonts w:ascii="Times New Roman" w:hAnsi="Times New Roman" w:cs="Times New Roman"/>
        </w:rPr>
        <w:t>the</w:t>
      </w:r>
      <w:proofErr w:type="spellEnd"/>
      <w:r w:rsidR="001B3E0A" w:rsidRPr="00705170">
        <w:rPr>
          <w:rFonts w:ascii="Times New Roman" w:hAnsi="Times New Roman" w:cs="Times New Roman"/>
        </w:rPr>
        <w:t xml:space="preserve"> </w:t>
      </w:r>
      <w:proofErr w:type="spellStart"/>
      <w:r w:rsidR="001B3E0A" w:rsidRPr="00705170">
        <w:rPr>
          <w:rFonts w:ascii="Times New Roman" w:hAnsi="Times New Roman" w:cs="Times New Roman"/>
        </w:rPr>
        <w:t>concept</w:t>
      </w:r>
      <w:proofErr w:type="spellEnd"/>
      <w:r w:rsidR="00BD633B" w:rsidRPr="00705170">
        <w:rPr>
          <w:rFonts w:ascii="Times New Roman" w:hAnsi="Times New Roman" w:cs="Times New Roman"/>
        </w:rPr>
        <w:t xml:space="preserve"> </w:t>
      </w:r>
      <w:proofErr w:type="spellStart"/>
      <w:r w:rsidR="00BF6447">
        <w:rPr>
          <w:rFonts w:ascii="Times New Roman" w:hAnsi="Times New Roman" w:cs="Times New Roman"/>
        </w:rPr>
        <w:t>used</w:t>
      </w:r>
      <w:proofErr w:type="spellEnd"/>
      <w:r w:rsidR="00BF6447">
        <w:rPr>
          <w:rFonts w:ascii="Times New Roman" w:hAnsi="Times New Roman" w:cs="Times New Roman"/>
        </w:rPr>
        <w:t xml:space="preserve"> in </w:t>
      </w:r>
      <w:proofErr w:type="spellStart"/>
      <w:r w:rsidR="00BF6447">
        <w:rPr>
          <w:rFonts w:ascii="Times New Roman" w:hAnsi="Times New Roman" w:cs="Times New Roman"/>
        </w:rPr>
        <w:t>Turkish</w:t>
      </w:r>
      <w:proofErr w:type="spellEnd"/>
      <w:r w:rsidR="00BF6447">
        <w:rPr>
          <w:rFonts w:ascii="Times New Roman" w:hAnsi="Times New Roman" w:cs="Times New Roman"/>
        </w:rPr>
        <w:t xml:space="preserve"> </w:t>
      </w:r>
      <w:proofErr w:type="spellStart"/>
      <w:r w:rsidR="00BF6447">
        <w:rPr>
          <w:rFonts w:ascii="Times New Roman" w:hAnsi="Times New Roman" w:cs="Times New Roman"/>
        </w:rPr>
        <w:t>law</w:t>
      </w:r>
      <w:proofErr w:type="spellEnd"/>
      <w:r w:rsidR="00BF6447">
        <w:rPr>
          <w:rFonts w:ascii="Times New Roman" w:hAnsi="Times New Roman" w:cs="Times New Roman"/>
        </w:rPr>
        <w:t xml:space="preserve"> </w:t>
      </w:r>
      <w:proofErr w:type="spellStart"/>
      <w:r w:rsidR="00BD633B" w:rsidRPr="00705170">
        <w:rPr>
          <w:rFonts w:ascii="Times New Roman" w:hAnsi="Times New Roman" w:cs="Times New Roman"/>
        </w:rPr>
        <w:t>resembles</w:t>
      </w:r>
      <w:proofErr w:type="spellEnd"/>
      <w:r w:rsidR="00BD633B" w:rsidRPr="00705170">
        <w:rPr>
          <w:rFonts w:ascii="Times New Roman" w:hAnsi="Times New Roman" w:cs="Times New Roman"/>
        </w:rPr>
        <w:t xml:space="preserve"> </w:t>
      </w:r>
      <w:proofErr w:type="spellStart"/>
      <w:r w:rsidR="00BD633B" w:rsidRPr="00705170">
        <w:rPr>
          <w:rFonts w:ascii="Times New Roman" w:hAnsi="Times New Roman" w:cs="Times New Roman"/>
        </w:rPr>
        <w:t>the</w:t>
      </w:r>
      <w:proofErr w:type="spellEnd"/>
      <w:r w:rsidR="00393F20" w:rsidRPr="00705170">
        <w:rPr>
          <w:rFonts w:ascii="Times New Roman" w:hAnsi="Times New Roman" w:cs="Times New Roman"/>
        </w:rPr>
        <w:t xml:space="preserve"> U.S. </w:t>
      </w:r>
      <w:proofErr w:type="spellStart"/>
      <w:r w:rsidR="00BD633B" w:rsidRPr="00705170">
        <w:rPr>
          <w:rFonts w:ascii="Times New Roman" w:hAnsi="Times New Roman" w:cs="Times New Roman"/>
        </w:rPr>
        <w:t>law’s</w:t>
      </w:r>
      <w:proofErr w:type="spellEnd"/>
      <w:r w:rsidR="00393F20" w:rsidRPr="00705170">
        <w:rPr>
          <w:rFonts w:ascii="Times New Roman" w:hAnsi="Times New Roman" w:cs="Times New Roman"/>
        </w:rPr>
        <w:t xml:space="preserve"> </w:t>
      </w:r>
      <w:proofErr w:type="spellStart"/>
      <w:r w:rsidR="00BD633B" w:rsidRPr="00705170">
        <w:rPr>
          <w:rFonts w:ascii="Times New Roman" w:hAnsi="Times New Roman" w:cs="Times New Roman"/>
        </w:rPr>
        <w:t>conception</w:t>
      </w:r>
      <w:proofErr w:type="spellEnd"/>
      <w:r w:rsidR="00BD633B" w:rsidRPr="00705170">
        <w:rPr>
          <w:rFonts w:ascii="Times New Roman" w:hAnsi="Times New Roman" w:cs="Times New Roman"/>
        </w:rPr>
        <w:t xml:space="preserve"> of </w:t>
      </w:r>
      <w:proofErr w:type="spellStart"/>
      <w:r w:rsidR="00BD633B" w:rsidRPr="00705170">
        <w:rPr>
          <w:rFonts w:ascii="Times New Roman" w:hAnsi="Times New Roman" w:cs="Times New Roman"/>
        </w:rPr>
        <w:t>the</w:t>
      </w:r>
      <w:proofErr w:type="spellEnd"/>
      <w:r w:rsidR="00BD633B" w:rsidRPr="00705170">
        <w:rPr>
          <w:rFonts w:ascii="Times New Roman" w:hAnsi="Times New Roman" w:cs="Times New Roman"/>
        </w:rPr>
        <w:t xml:space="preserve"> </w:t>
      </w:r>
      <w:proofErr w:type="spellStart"/>
      <w:r w:rsidR="00393F20" w:rsidRPr="00705170">
        <w:rPr>
          <w:rFonts w:ascii="Times New Roman" w:hAnsi="Times New Roman" w:cs="Times New Roman"/>
        </w:rPr>
        <w:t>duty</w:t>
      </w:r>
      <w:proofErr w:type="spellEnd"/>
      <w:r w:rsidR="00393F20" w:rsidRPr="00705170">
        <w:rPr>
          <w:rFonts w:ascii="Times New Roman" w:hAnsi="Times New Roman" w:cs="Times New Roman"/>
        </w:rPr>
        <w:t xml:space="preserve"> of </w:t>
      </w:r>
      <w:proofErr w:type="spellStart"/>
      <w:r w:rsidR="00393F20" w:rsidRPr="00705170">
        <w:rPr>
          <w:rFonts w:ascii="Times New Roman" w:hAnsi="Times New Roman" w:cs="Times New Roman"/>
        </w:rPr>
        <w:t>good</w:t>
      </w:r>
      <w:proofErr w:type="spellEnd"/>
      <w:r w:rsidR="00393F20" w:rsidRPr="00705170">
        <w:rPr>
          <w:rFonts w:ascii="Times New Roman" w:hAnsi="Times New Roman" w:cs="Times New Roman"/>
        </w:rPr>
        <w:t xml:space="preserve"> </w:t>
      </w:r>
      <w:proofErr w:type="spellStart"/>
      <w:r w:rsidR="00393F20" w:rsidRPr="00705170">
        <w:rPr>
          <w:rFonts w:ascii="Times New Roman" w:hAnsi="Times New Roman" w:cs="Times New Roman"/>
        </w:rPr>
        <w:t>faith</w:t>
      </w:r>
      <w:proofErr w:type="spellEnd"/>
      <w:r w:rsidR="001B3E0A" w:rsidRPr="00705170">
        <w:rPr>
          <w:rFonts w:ascii="Times New Roman" w:hAnsi="Times New Roman" w:cs="Times New Roman"/>
        </w:rPr>
        <w:t xml:space="preserve">, </w:t>
      </w:r>
      <w:proofErr w:type="spellStart"/>
      <w:r w:rsidR="001B3E0A" w:rsidRPr="00705170">
        <w:rPr>
          <w:rFonts w:ascii="Times New Roman" w:hAnsi="Times New Roman" w:cs="Times New Roman"/>
        </w:rPr>
        <w:t>which</w:t>
      </w:r>
      <w:proofErr w:type="spellEnd"/>
      <w:r w:rsidR="001B3E0A" w:rsidRPr="00705170">
        <w:rPr>
          <w:rFonts w:ascii="Times New Roman" w:hAnsi="Times New Roman" w:cs="Times New Roman"/>
        </w:rPr>
        <w:t xml:space="preserve"> is </w:t>
      </w:r>
      <w:proofErr w:type="spellStart"/>
      <w:r w:rsidR="001B3E0A" w:rsidRPr="00705170">
        <w:rPr>
          <w:rFonts w:ascii="Times New Roman" w:hAnsi="Times New Roman" w:cs="Times New Roman"/>
        </w:rPr>
        <w:t>also</w:t>
      </w:r>
      <w:proofErr w:type="spellEnd"/>
      <w:r w:rsidR="001B3E0A" w:rsidRPr="00705170">
        <w:rPr>
          <w:rFonts w:ascii="Times New Roman" w:hAnsi="Times New Roman" w:cs="Times New Roman"/>
        </w:rPr>
        <w:t xml:space="preserve"> </w:t>
      </w:r>
      <w:proofErr w:type="spellStart"/>
      <w:r w:rsidR="001B3E0A" w:rsidRPr="00705170">
        <w:rPr>
          <w:rFonts w:ascii="Times New Roman" w:hAnsi="Times New Roman" w:cs="Times New Roman"/>
        </w:rPr>
        <w:t>connected</w:t>
      </w:r>
      <w:proofErr w:type="spellEnd"/>
      <w:r w:rsidR="001B3E0A" w:rsidRPr="00705170">
        <w:rPr>
          <w:rFonts w:ascii="Times New Roman" w:hAnsi="Times New Roman" w:cs="Times New Roman"/>
        </w:rPr>
        <w:t xml:space="preserve"> </w:t>
      </w:r>
      <w:proofErr w:type="spellStart"/>
      <w:r w:rsidR="001B3E0A" w:rsidRPr="00705170">
        <w:rPr>
          <w:rFonts w:ascii="Times New Roman" w:hAnsi="Times New Roman" w:cs="Times New Roman"/>
        </w:rPr>
        <w:t>with</w:t>
      </w:r>
      <w:proofErr w:type="spellEnd"/>
      <w:r w:rsidR="001B3E0A" w:rsidRPr="00705170">
        <w:rPr>
          <w:rFonts w:ascii="Times New Roman" w:hAnsi="Times New Roman" w:cs="Times New Roman"/>
        </w:rPr>
        <w:t xml:space="preserve"> </w:t>
      </w:r>
      <w:proofErr w:type="spellStart"/>
      <w:r w:rsidR="001B3E0A" w:rsidRPr="00705170">
        <w:rPr>
          <w:rFonts w:ascii="Times New Roman" w:hAnsi="Times New Roman" w:cs="Times New Roman"/>
        </w:rPr>
        <w:t>the</w:t>
      </w:r>
      <w:proofErr w:type="spellEnd"/>
      <w:r w:rsidR="001B3E0A" w:rsidRPr="00705170">
        <w:rPr>
          <w:rFonts w:ascii="Times New Roman" w:hAnsi="Times New Roman" w:cs="Times New Roman"/>
        </w:rPr>
        <w:t xml:space="preserve"> </w:t>
      </w:r>
      <w:proofErr w:type="spellStart"/>
      <w:r w:rsidR="001B3E0A" w:rsidRPr="00705170">
        <w:rPr>
          <w:rFonts w:ascii="Times New Roman" w:hAnsi="Times New Roman" w:cs="Times New Roman"/>
        </w:rPr>
        <w:t>reasonable</w:t>
      </w:r>
      <w:proofErr w:type="spellEnd"/>
      <w:r w:rsidR="001B3E0A" w:rsidRPr="00705170">
        <w:rPr>
          <w:rFonts w:ascii="Times New Roman" w:hAnsi="Times New Roman" w:cs="Times New Roman"/>
        </w:rPr>
        <w:t xml:space="preserve"> </w:t>
      </w:r>
      <w:proofErr w:type="spellStart"/>
      <w:r w:rsidR="001B3E0A" w:rsidRPr="00705170">
        <w:rPr>
          <w:rFonts w:ascii="Times New Roman" w:hAnsi="Times New Roman" w:cs="Times New Roman"/>
        </w:rPr>
        <w:t>expectations</w:t>
      </w:r>
      <w:proofErr w:type="spellEnd"/>
      <w:r w:rsidR="001B3E0A" w:rsidRPr="00705170">
        <w:rPr>
          <w:rFonts w:ascii="Times New Roman" w:hAnsi="Times New Roman" w:cs="Times New Roman"/>
        </w:rPr>
        <w:t xml:space="preserve"> </w:t>
      </w:r>
      <w:proofErr w:type="spellStart"/>
      <w:r w:rsidR="001B3E0A" w:rsidRPr="00705170">
        <w:rPr>
          <w:rFonts w:ascii="Times New Roman" w:hAnsi="Times New Roman" w:cs="Times New Roman"/>
        </w:rPr>
        <w:t>standard</w:t>
      </w:r>
      <w:proofErr w:type="spellEnd"/>
      <w:r w:rsidR="00393F20" w:rsidRPr="00705170">
        <w:rPr>
          <w:rFonts w:ascii="Times New Roman" w:hAnsi="Times New Roman" w:cs="Times New Roman"/>
        </w:rPr>
        <w:t xml:space="preserve">. </w:t>
      </w:r>
      <w:r w:rsidR="00193BA9" w:rsidRPr="00705170">
        <w:rPr>
          <w:rFonts w:ascii="Times New Roman" w:hAnsi="Times New Roman" w:cs="Times New Roman"/>
          <w:color w:val="000000"/>
        </w:rPr>
        <w:t xml:space="preserve">As </w:t>
      </w:r>
      <w:proofErr w:type="spellStart"/>
      <w:r w:rsidR="00193BA9" w:rsidRPr="00705170">
        <w:rPr>
          <w:rFonts w:ascii="Times New Roman" w:hAnsi="Times New Roman" w:cs="Times New Roman"/>
          <w:color w:val="000000"/>
        </w:rPr>
        <w:t>the</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involuntary</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dissolution</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cause</w:t>
      </w:r>
      <w:proofErr w:type="spellEnd"/>
      <w:r w:rsidR="00193BA9" w:rsidRPr="00705170">
        <w:rPr>
          <w:rFonts w:ascii="Times New Roman" w:hAnsi="Times New Roman" w:cs="Times New Roman"/>
          <w:color w:val="000000"/>
        </w:rPr>
        <w:t xml:space="preserve"> of </w:t>
      </w:r>
      <w:proofErr w:type="spellStart"/>
      <w:r w:rsidR="00193BA9" w:rsidRPr="00705170">
        <w:rPr>
          <w:rFonts w:ascii="Times New Roman" w:hAnsi="Times New Roman" w:cs="Times New Roman"/>
          <w:color w:val="000000"/>
        </w:rPr>
        <w:t>action’s</w:t>
      </w:r>
      <w:proofErr w:type="spellEnd"/>
      <w:r w:rsidR="00193BA9" w:rsidRPr="00705170">
        <w:rPr>
          <w:rFonts w:ascii="Times New Roman" w:hAnsi="Times New Roman" w:cs="Times New Roman"/>
          <w:color w:val="000000"/>
        </w:rPr>
        <w:t xml:space="preserve"> legal </w:t>
      </w:r>
      <w:proofErr w:type="spellStart"/>
      <w:r w:rsidR="00193BA9" w:rsidRPr="00705170">
        <w:rPr>
          <w:rFonts w:ascii="Times New Roman" w:hAnsi="Times New Roman" w:cs="Times New Roman"/>
          <w:color w:val="000000"/>
        </w:rPr>
        <w:t>nature</w:t>
      </w:r>
      <w:proofErr w:type="spellEnd"/>
      <w:r w:rsidR="00193BA9" w:rsidRPr="00705170">
        <w:rPr>
          <w:rFonts w:ascii="Times New Roman" w:hAnsi="Times New Roman" w:cs="Times New Roman"/>
          <w:color w:val="000000"/>
        </w:rPr>
        <w:t xml:space="preserve"> is </w:t>
      </w:r>
      <w:proofErr w:type="spellStart"/>
      <w:r w:rsidR="00193BA9" w:rsidRPr="00705170">
        <w:rPr>
          <w:rFonts w:ascii="Times New Roman" w:hAnsi="Times New Roman" w:cs="Times New Roman"/>
          <w:color w:val="000000"/>
        </w:rPr>
        <w:t>contractual</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and</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the</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good</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faith</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obligation</w:t>
      </w:r>
      <w:proofErr w:type="spellEnd"/>
      <w:r w:rsidR="00193BA9" w:rsidRPr="00705170">
        <w:rPr>
          <w:rFonts w:ascii="Times New Roman" w:hAnsi="Times New Roman" w:cs="Times New Roman"/>
          <w:color w:val="000000"/>
        </w:rPr>
        <w:t xml:space="preserve"> is </w:t>
      </w:r>
      <w:proofErr w:type="spellStart"/>
      <w:r w:rsidR="00193BA9" w:rsidRPr="00705170">
        <w:rPr>
          <w:rFonts w:ascii="Times New Roman" w:hAnsi="Times New Roman" w:cs="Times New Roman"/>
          <w:color w:val="000000"/>
        </w:rPr>
        <w:t>the</w:t>
      </w:r>
      <w:proofErr w:type="spellEnd"/>
      <w:r w:rsidR="00193BA9" w:rsidRPr="00705170">
        <w:rPr>
          <w:rFonts w:ascii="Times New Roman" w:hAnsi="Times New Roman" w:cs="Times New Roman"/>
          <w:color w:val="000000"/>
        </w:rPr>
        <w:t xml:space="preserve"> legal </w:t>
      </w:r>
      <w:proofErr w:type="spellStart"/>
      <w:r w:rsidR="00193BA9" w:rsidRPr="00705170">
        <w:rPr>
          <w:rFonts w:ascii="Times New Roman" w:hAnsi="Times New Roman" w:cs="Times New Roman"/>
          <w:color w:val="000000"/>
        </w:rPr>
        <w:t>basis</w:t>
      </w:r>
      <w:proofErr w:type="spellEnd"/>
      <w:r w:rsidR="00193BA9" w:rsidRPr="00705170">
        <w:rPr>
          <w:rFonts w:ascii="Times New Roman" w:hAnsi="Times New Roman" w:cs="Times New Roman"/>
          <w:color w:val="000000"/>
        </w:rPr>
        <w:t xml:space="preserve"> of </w:t>
      </w:r>
      <w:proofErr w:type="spellStart"/>
      <w:r w:rsidR="00193BA9" w:rsidRPr="00705170">
        <w:rPr>
          <w:rFonts w:ascii="Times New Roman" w:hAnsi="Times New Roman" w:cs="Times New Roman"/>
          <w:color w:val="000000"/>
        </w:rPr>
        <w:t>the</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claim</w:t>
      </w:r>
      <w:proofErr w:type="spellEnd"/>
      <w:r w:rsidR="003F0665">
        <w:rPr>
          <w:rFonts w:ascii="Times New Roman" w:hAnsi="Times New Roman" w:cs="Times New Roman"/>
          <w:color w:val="000000"/>
        </w:rPr>
        <w:t xml:space="preserve"> in </w:t>
      </w:r>
      <w:proofErr w:type="spellStart"/>
      <w:r w:rsidR="003F0665">
        <w:rPr>
          <w:rFonts w:ascii="Times New Roman" w:hAnsi="Times New Roman" w:cs="Times New Roman"/>
          <w:color w:val="000000"/>
        </w:rPr>
        <w:t>Turkish</w:t>
      </w:r>
      <w:proofErr w:type="spellEnd"/>
      <w:r w:rsidR="003F0665">
        <w:rPr>
          <w:rFonts w:ascii="Times New Roman" w:hAnsi="Times New Roman" w:cs="Times New Roman"/>
          <w:color w:val="000000"/>
        </w:rPr>
        <w:t xml:space="preserve"> </w:t>
      </w:r>
      <w:proofErr w:type="spellStart"/>
      <w:r w:rsidR="003F0665">
        <w:rPr>
          <w:rFonts w:ascii="Times New Roman" w:hAnsi="Times New Roman" w:cs="Times New Roman"/>
          <w:color w:val="000000"/>
        </w:rPr>
        <w:t>law</w:t>
      </w:r>
      <w:proofErr w:type="spellEnd"/>
      <w:r w:rsidR="00193BA9" w:rsidRPr="00705170">
        <w:rPr>
          <w:rFonts w:ascii="Times New Roman" w:hAnsi="Times New Roman" w:cs="Times New Roman"/>
          <w:color w:val="000000"/>
        </w:rPr>
        <w:t xml:space="preserve">, it </w:t>
      </w:r>
      <w:proofErr w:type="spellStart"/>
      <w:r w:rsidR="00BF6447">
        <w:rPr>
          <w:rFonts w:ascii="Times New Roman" w:hAnsi="Times New Roman" w:cs="Times New Roman"/>
          <w:color w:val="000000"/>
        </w:rPr>
        <w:t>sounds</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perfectly</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logical</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to</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adopt</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the</w:t>
      </w:r>
      <w:proofErr w:type="spellEnd"/>
      <w:r w:rsidR="00193BA9" w:rsidRPr="00705170">
        <w:rPr>
          <w:rFonts w:ascii="Times New Roman" w:hAnsi="Times New Roman" w:cs="Times New Roman"/>
          <w:color w:val="000000"/>
        </w:rPr>
        <w:t xml:space="preserve"> U.S. </w:t>
      </w:r>
      <w:proofErr w:type="spellStart"/>
      <w:r w:rsidR="00193BA9" w:rsidRPr="00705170">
        <w:rPr>
          <w:rFonts w:ascii="Times New Roman" w:hAnsi="Times New Roman" w:cs="Times New Roman"/>
          <w:color w:val="000000"/>
        </w:rPr>
        <w:t>law’s</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reasonable</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expectations</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standard</w:t>
      </w:r>
      <w:proofErr w:type="spellEnd"/>
      <w:r w:rsidR="00193BA9" w:rsidRPr="00705170">
        <w:rPr>
          <w:rFonts w:ascii="Times New Roman" w:hAnsi="Times New Roman" w:cs="Times New Roman"/>
          <w:color w:val="000000"/>
        </w:rPr>
        <w:t xml:space="preserve"> as </w:t>
      </w:r>
      <w:proofErr w:type="spellStart"/>
      <w:r w:rsidR="00193BA9" w:rsidRPr="00705170">
        <w:rPr>
          <w:rFonts w:ascii="Times New Roman" w:hAnsi="Times New Roman" w:cs="Times New Roman"/>
          <w:color w:val="000000"/>
        </w:rPr>
        <w:t>the</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definition</w:t>
      </w:r>
      <w:proofErr w:type="spellEnd"/>
      <w:r w:rsidR="00193BA9" w:rsidRPr="00705170">
        <w:rPr>
          <w:rFonts w:ascii="Times New Roman" w:hAnsi="Times New Roman" w:cs="Times New Roman"/>
          <w:color w:val="000000"/>
        </w:rPr>
        <w:t xml:space="preserve"> of </w:t>
      </w:r>
      <w:proofErr w:type="spellStart"/>
      <w:r w:rsidR="00193BA9" w:rsidRPr="00705170">
        <w:rPr>
          <w:rFonts w:ascii="Times New Roman" w:hAnsi="Times New Roman" w:cs="Times New Roman"/>
          <w:color w:val="000000"/>
        </w:rPr>
        <w:t>the</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just</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cause</w:t>
      </w:r>
      <w:proofErr w:type="spellEnd"/>
      <w:r w:rsidR="00193BA9" w:rsidRPr="00705170">
        <w:rPr>
          <w:rFonts w:ascii="Times New Roman" w:hAnsi="Times New Roman" w:cs="Times New Roman"/>
          <w:color w:val="000000"/>
        </w:rPr>
        <w:t xml:space="preserve">” element in </w:t>
      </w:r>
      <w:proofErr w:type="spellStart"/>
      <w:r w:rsidR="00193BA9" w:rsidRPr="00705170">
        <w:rPr>
          <w:rFonts w:ascii="Times New Roman" w:hAnsi="Times New Roman" w:cs="Times New Roman"/>
          <w:color w:val="000000"/>
        </w:rPr>
        <w:t>Turkish</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law</w:t>
      </w:r>
      <w:proofErr w:type="spellEnd"/>
      <w:r w:rsidR="00193BA9" w:rsidRPr="00705170">
        <w:rPr>
          <w:rFonts w:ascii="Times New Roman" w:hAnsi="Times New Roman" w:cs="Times New Roman"/>
          <w:color w:val="000000"/>
        </w:rPr>
        <w:t>.</w:t>
      </w:r>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Likewise</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commentary</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already</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acknowledges</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that</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just</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cause</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concept</w:t>
      </w:r>
      <w:proofErr w:type="spellEnd"/>
      <w:r w:rsidR="00A44A0B">
        <w:rPr>
          <w:rFonts w:ascii="Times New Roman" w:hAnsi="Times New Roman" w:cs="Times New Roman"/>
          <w:color w:val="000000"/>
        </w:rPr>
        <w:t xml:space="preserve"> is </w:t>
      </w:r>
      <w:proofErr w:type="spellStart"/>
      <w:r w:rsidR="00A44A0B">
        <w:rPr>
          <w:rFonts w:ascii="Times New Roman" w:hAnsi="Times New Roman" w:cs="Times New Roman"/>
          <w:color w:val="000000"/>
        </w:rPr>
        <w:t>also</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related</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with</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the</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demolishment</w:t>
      </w:r>
      <w:proofErr w:type="spellEnd"/>
      <w:r w:rsidR="00A44A0B">
        <w:rPr>
          <w:rFonts w:ascii="Times New Roman" w:hAnsi="Times New Roman" w:cs="Times New Roman"/>
          <w:color w:val="000000"/>
        </w:rPr>
        <w:t xml:space="preserve"> of </w:t>
      </w:r>
      <w:proofErr w:type="spellStart"/>
      <w:r w:rsidR="00A44A0B">
        <w:rPr>
          <w:rFonts w:ascii="Times New Roman" w:hAnsi="Times New Roman" w:cs="Times New Roman"/>
          <w:color w:val="000000"/>
        </w:rPr>
        <w:t>the</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minority’s</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expectations</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from</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the</w:t>
      </w:r>
      <w:proofErr w:type="spellEnd"/>
      <w:r w:rsidR="00A44A0B">
        <w:rPr>
          <w:rFonts w:ascii="Times New Roman" w:hAnsi="Times New Roman" w:cs="Times New Roman"/>
          <w:color w:val="000000"/>
        </w:rPr>
        <w:t xml:space="preserve"> </w:t>
      </w:r>
      <w:proofErr w:type="spellStart"/>
      <w:r w:rsidR="00A44A0B">
        <w:rPr>
          <w:rFonts w:ascii="Times New Roman" w:hAnsi="Times New Roman" w:cs="Times New Roman"/>
          <w:color w:val="000000"/>
        </w:rPr>
        <w:t>corporation</w:t>
      </w:r>
      <w:proofErr w:type="spellEnd"/>
      <w:r w:rsidR="00A44A0B">
        <w:rPr>
          <w:rStyle w:val="DipnotBavurusu"/>
          <w:rFonts w:ascii="Times New Roman" w:hAnsi="Times New Roman" w:cs="Times New Roman"/>
          <w:color w:val="000000"/>
        </w:rPr>
        <w:footnoteReference w:id="949"/>
      </w:r>
      <w:r w:rsidR="00A44A0B">
        <w:rPr>
          <w:rFonts w:ascii="Times New Roman" w:hAnsi="Times New Roman" w:cs="Times New Roman"/>
          <w:color w:val="000000"/>
        </w:rPr>
        <w:t xml:space="preserve">. </w:t>
      </w:r>
    </w:p>
    <w:p w14:paraId="736874B2" w14:textId="4F2CDC65" w:rsidR="00E55AD5" w:rsidRPr="00705170" w:rsidRDefault="003F0665" w:rsidP="00193BA9">
      <w:pPr>
        <w:spacing w:after="240" w:line="480" w:lineRule="auto"/>
        <w:ind w:firstLine="708"/>
        <w:jc w:val="both"/>
        <w:rPr>
          <w:rFonts w:ascii="Times New Roman" w:hAnsi="Times New Roman" w:cs="Times New Roman"/>
          <w:color w:val="000000"/>
        </w:rPr>
      </w:pPr>
      <w:proofErr w:type="spellStart"/>
      <w:r>
        <w:rPr>
          <w:rFonts w:ascii="Times New Roman" w:hAnsi="Times New Roman" w:cs="Times New Roman"/>
        </w:rPr>
        <w:t>In</w:t>
      </w:r>
      <w:proofErr w:type="spellEnd"/>
      <w:r>
        <w:rPr>
          <w:rFonts w:ascii="Times New Roman" w:hAnsi="Times New Roman" w:cs="Times New Roman"/>
        </w:rPr>
        <w:t xml:space="preserve"> U.S. </w:t>
      </w:r>
      <w:proofErr w:type="spellStart"/>
      <w:r>
        <w:rPr>
          <w:rFonts w:ascii="Times New Roman" w:hAnsi="Times New Roman" w:cs="Times New Roman"/>
        </w:rPr>
        <w:t>law</w:t>
      </w:r>
      <w:proofErr w:type="spellEnd"/>
      <w:r>
        <w:rPr>
          <w:rFonts w:ascii="Times New Roman" w:hAnsi="Times New Roman" w:cs="Times New Roman"/>
        </w:rPr>
        <w:t>, i</w:t>
      </w:r>
      <w:r w:rsidR="00393F20" w:rsidRPr="00705170">
        <w:rPr>
          <w:rFonts w:ascii="Times New Roman" w:hAnsi="Times New Roman" w:cs="Times New Roman"/>
        </w:rPr>
        <w:t xml:space="preserve">n </w:t>
      </w:r>
      <w:proofErr w:type="spellStart"/>
      <w:r w:rsidR="00393F20" w:rsidRPr="00705170">
        <w:rPr>
          <w:rFonts w:ascii="Times New Roman" w:hAnsi="Times New Roman" w:cs="Times New Roman"/>
        </w:rPr>
        <w:t>the</w:t>
      </w:r>
      <w:proofErr w:type="spellEnd"/>
      <w:r w:rsidR="00393F20" w:rsidRPr="00705170">
        <w:rPr>
          <w:rFonts w:ascii="Times New Roman" w:hAnsi="Times New Roman" w:cs="Times New Roman"/>
        </w:rPr>
        <w:t xml:space="preserve"> </w:t>
      </w:r>
      <w:proofErr w:type="spellStart"/>
      <w:r w:rsidR="00393F20" w:rsidRPr="00705170">
        <w:rPr>
          <w:rFonts w:ascii="Times New Roman" w:hAnsi="Times New Roman" w:cs="Times New Roman"/>
        </w:rPr>
        <w:t>words</w:t>
      </w:r>
      <w:proofErr w:type="spellEnd"/>
      <w:r w:rsidR="00393F20" w:rsidRPr="00705170">
        <w:rPr>
          <w:rFonts w:ascii="Times New Roman" w:hAnsi="Times New Roman" w:cs="Times New Roman"/>
        </w:rPr>
        <w:t xml:space="preserve"> of </w:t>
      </w:r>
      <w:proofErr w:type="spellStart"/>
      <w:r w:rsidR="00393F20" w:rsidRPr="00705170">
        <w:rPr>
          <w:rFonts w:ascii="Times New Roman" w:hAnsi="Times New Roman" w:cs="Times New Roman"/>
        </w:rPr>
        <w:t>the</w:t>
      </w:r>
      <w:proofErr w:type="spellEnd"/>
      <w:r w:rsidR="00393F20" w:rsidRPr="00705170">
        <w:rPr>
          <w:rFonts w:ascii="Times New Roman" w:hAnsi="Times New Roman" w:cs="Times New Roman"/>
        </w:rPr>
        <w:t xml:space="preserve"> </w:t>
      </w:r>
      <w:proofErr w:type="spellStart"/>
      <w:r w:rsidR="00953BF2" w:rsidRPr="00705170">
        <w:rPr>
          <w:rFonts w:ascii="Times New Roman" w:hAnsi="Times New Roman" w:cs="Times New Roman"/>
        </w:rPr>
        <w:t>Kirke</w:t>
      </w:r>
      <w:proofErr w:type="spellEnd"/>
      <w:r w:rsidR="00953BF2" w:rsidRPr="00705170">
        <w:rPr>
          <w:rFonts w:ascii="Times New Roman" w:hAnsi="Times New Roman" w:cs="Times New Roman"/>
        </w:rPr>
        <w:t xml:space="preserve"> La </w:t>
      </w:r>
      <w:proofErr w:type="spellStart"/>
      <w:r w:rsidR="00953BF2" w:rsidRPr="00705170">
        <w:rPr>
          <w:rFonts w:ascii="Times New Roman" w:hAnsi="Times New Roman" w:cs="Times New Roman"/>
        </w:rPr>
        <w:t>Shelle</w:t>
      </w:r>
      <w:proofErr w:type="spellEnd"/>
      <w:r w:rsidR="00953BF2" w:rsidRPr="00705170">
        <w:rPr>
          <w:rFonts w:ascii="Times New Roman" w:hAnsi="Times New Roman" w:cs="Times New Roman"/>
        </w:rPr>
        <w:t xml:space="preserve"> </w:t>
      </w:r>
      <w:proofErr w:type="spellStart"/>
      <w:r w:rsidR="00953BF2" w:rsidRPr="00705170">
        <w:rPr>
          <w:rFonts w:ascii="Times New Roman" w:hAnsi="Times New Roman" w:cs="Times New Roman"/>
        </w:rPr>
        <w:t>Co</w:t>
      </w:r>
      <w:proofErr w:type="spellEnd"/>
      <w:r w:rsidR="00953BF2" w:rsidRPr="00705170">
        <w:rPr>
          <w:rFonts w:ascii="Times New Roman" w:hAnsi="Times New Roman" w:cs="Times New Roman"/>
        </w:rPr>
        <w:t xml:space="preserve">. v. Paul Armstrong </w:t>
      </w:r>
      <w:proofErr w:type="spellStart"/>
      <w:r w:rsidR="00953BF2" w:rsidRPr="00705170">
        <w:rPr>
          <w:rFonts w:ascii="Times New Roman" w:hAnsi="Times New Roman" w:cs="Times New Roman"/>
        </w:rPr>
        <w:t>Co</w:t>
      </w:r>
      <w:proofErr w:type="spellEnd"/>
      <w:r w:rsidR="00953BF2" w:rsidRPr="00705170">
        <w:rPr>
          <w:rFonts w:ascii="Times New Roman" w:hAnsi="Times New Roman" w:cs="Times New Roman"/>
        </w:rPr>
        <w:t>., 263 N.Y. 79 (1933)</w:t>
      </w:r>
      <w:r w:rsidR="00393F20" w:rsidRPr="00705170">
        <w:rPr>
          <w:rFonts w:ascii="Times New Roman" w:hAnsi="Times New Roman" w:cs="Times New Roman"/>
        </w:rPr>
        <w:t xml:space="preserve">, </w:t>
      </w:r>
      <w:proofErr w:type="spellStart"/>
      <w:r w:rsidR="00393F20" w:rsidRPr="00705170">
        <w:rPr>
          <w:rFonts w:ascii="Times New Roman" w:hAnsi="Times New Roman" w:cs="Times New Roman"/>
        </w:rPr>
        <w:t>duty</w:t>
      </w:r>
      <w:proofErr w:type="spellEnd"/>
      <w:r w:rsidR="00393F20" w:rsidRPr="00705170">
        <w:rPr>
          <w:rFonts w:ascii="Times New Roman" w:hAnsi="Times New Roman" w:cs="Times New Roman"/>
        </w:rPr>
        <w:t xml:space="preserve"> of </w:t>
      </w:r>
      <w:proofErr w:type="spellStart"/>
      <w:r w:rsidR="00393F20" w:rsidRPr="00705170">
        <w:rPr>
          <w:rFonts w:ascii="Times New Roman" w:hAnsi="Times New Roman" w:cs="Times New Roman"/>
        </w:rPr>
        <w:t>good</w:t>
      </w:r>
      <w:proofErr w:type="spellEnd"/>
      <w:r w:rsidR="00393F20" w:rsidRPr="00705170">
        <w:rPr>
          <w:rFonts w:ascii="Times New Roman" w:hAnsi="Times New Roman" w:cs="Times New Roman"/>
        </w:rPr>
        <w:t xml:space="preserve"> </w:t>
      </w:r>
      <w:proofErr w:type="spellStart"/>
      <w:r w:rsidR="00393F20" w:rsidRPr="00705170">
        <w:rPr>
          <w:rFonts w:ascii="Times New Roman" w:hAnsi="Times New Roman" w:cs="Times New Roman"/>
        </w:rPr>
        <w:t>faith</w:t>
      </w:r>
      <w:proofErr w:type="spellEnd"/>
      <w:r w:rsidR="00393F20" w:rsidRPr="00705170">
        <w:rPr>
          <w:rFonts w:ascii="Times New Roman" w:hAnsi="Times New Roman" w:cs="Times New Roman"/>
        </w:rPr>
        <w:t xml:space="preserve"> can be </w:t>
      </w:r>
      <w:proofErr w:type="spellStart"/>
      <w:r w:rsidR="00393F20" w:rsidRPr="00705170">
        <w:rPr>
          <w:rFonts w:ascii="Times New Roman" w:hAnsi="Times New Roman" w:cs="Times New Roman"/>
        </w:rPr>
        <w:t>explained</w:t>
      </w:r>
      <w:proofErr w:type="spellEnd"/>
      <w:r w:rsidR="00393F20" w:rsidRPr="00705170">
        <w:rPr>
          <w:rFonts w:ascii="Times New Roman" w:hAnsi="Times New Roman" w:cs="Times New Roman"/>
        </w:rPr>
        <w:t xml:space="preserve"> as </w:t>
      </w:r>
      <w:proofErr w:type="spellStart"/>
      <w:r w:rsidR="00393F20" w:rsidRPr="00705170">
        <w:rPr>
          <w:rFonts w:ascii="Times New Roman" w:hAnsi="Times New Roman" w:cs="Times New Roman"/>
        </w:rPr>
        <w:t>follows</w:t>
      </w:r>
      <w:proofErr w:type="spellEnd"/>
      <w:r w:rsidR="00393F20" w:rsidRPr="00705170">
        <w:rPr>
          <w:rFonts w:ascii="Times New Roman" w:hAnsi="Times New Roman" w:cs="Times New Roman"/>
        </w:rPr>
        <w:t xml:space="preserve">: </w:t>
      </w:r>
      <w:r w:rsidR="00953BF2" w:rsidRPr="00705170">
        <w:rPr>
          <w:rFonts w:ascii="Times New Roman" w:hAnsi="Times New Roman" w:cs="Times New Roman"/>
        </w:rPr>
        <w:t>“…</w:t>
      </w:r>
      <w:r w:rsidR="00953BF2" w:rsidRPr="00705170">
        <w:rPr>
          <w:rFonts w:ascii="Times New Roman" w:hAnsi="Times New Roman" w:cs="Times New Roman"/>
          <w:color w:val="000000"/>
        </w:rPr>
        <w:t xml:space="preserve">in </w:t>
      </w:r>
      <w:proofErr w:type="spellStart"/>
      <w:r w:rsidR="00953BF2" w:rsidRPr="00705170">
        <w:rPr>
          <w:rFonts w:ascii="Times New Roman" w:hAnsi="Times New Roman" w:cs="Times New Roman"/>
          <w:color w:val="000000"/>
        </w:rPr>
        <w:t>every</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contract</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there</w:t>
      </w:r>
      <w:proofErr w:type="spellEnd"/>
      <w:r w:rsidR="00953BF2" w:rsidRPr="00705170">
        <w:rPr>
          <w:rFonts w:ascii="Times New Roman" w:hAnsi="Times New Roman" w:cs="Times New Roman"/>
          <w:color w:val="000000"/>
        </w:rPr>
        <w:t xml:space="preserve"> is an </w:t>
      </w:r>
      <w:proofErr w:type="spellStart"/>
      <w:r w:rsidR="00953BF2" w:rsidRPr="00705170">
        <w:rPr>
          <w:rFonts w:ascii="Times New Roman" w:hAnsi="Times New Roman" w:cs="Times New Roman"/>
          <w:color w:val="000000"/>
        </w:rPr>
        <w:t>implied</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covenant</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that</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neither</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party</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shall</w:t>
      </w:r>
      <w:proofErr w:type="spellEnd"/>
      <w:r w:rsidR="00953BF2" w:rsidRPr="00705170">
        <w:rPr>
          <w:rFonts w:ascii="Times New Roman" w:hAnsi="Times New Roman" w:cs="Times New Roman"/>
          <w:color w:val="000000"/>
        </w:rPr>
        <w:t xml:space="preserve"> do </w:t>
      </w:r>
      <w:proofErr w:type="spellStart"/>
      <w:r w:rsidR="00953BF2" w:rsidRPr="00705170">
        <w:rPr>
          <w:rFonts w:ascii="Times New Roman" w:hAnsi="Times New Roman" w:cs="Times New Roman"/>
          <w:color w:val="000000"/>
        </w:rPr>
        <w:t>anything</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which</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will</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have</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the</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effect</w:t>
      </w:r>
      <w:proofErr w:type="spellEnd"/>
      <w:r w:rsidR="00953BF2" w:rsidRPr="00705170">
        <w:rPr>
          <w:rFonts w:ascii="Times New Roman" w:hAnsi="Times New Roman" w:cs="Times New Roman"/>
          <w:color w:val="000000"/>
        </w:rPr>
        <w:t xml:space="preserve"> of </w:t>
      </w:r>
      <w:proofErr w:type="spellStart"/>
      <w:r w:rsidR="00953BF2" w:rsidRPr="00705170">
        <w:rPr>
          <w:rFonts w:ascii="Times New Roman" w:hAnsi="Times New Roman" w:cs="Times New Roman"/>
          <w:color w:val="000000"/>
        </w:rPr>
        <w:t>destroying</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or</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injuring</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the</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right</w:t>
      </w:r>
      <w:proofErr w:type="spellEnd"/>
      <w:r w:rsidR="00953BF2" w:rsidRPr="00705170">
        <w:rPr>
          <w:rFonts w:ascii="Times New Roman" w:hAnsi="Times New Roman" w:cs="Times New Roman"/>
          <w:color w:val="000000"/>
        </w:rPr>
        <w:t xml:space="preserve"> of </w:t>
      </w:r>
      <w:proofErr w:type="spellStart"/>
      <w:r w:rsidR="00953BF2" w:rsidRPr="00705170">
        <w:rPr>
          <w:rFonts w:ascii="Times New Roman" w:hAnsi="Times New Roman" w:cs="Times New Roman"/>
          <w:color w:val="000000"/>
        </w:rPr>
        <w:t>the</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other</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party</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to</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receive</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the</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fruits</w:t>
      </w:r>
      <w:proofErr w:type="spellEnd"/>
      <w:r w:rsidR="00953BF2" w:rsidRPr="00705170">
        <w:rPr>
          <w:rFonts w:ascii="Times New Roman" w:hAnsi="Times New Roman" w:cs="Times New Roman"/>
          <w:color w:val="000000"/>
        </w:rPr>
        <w:t xml:space="preserve"> of </w:t>
      </w:r>
      <w:proofErr w:type="spellStart"/>
      <w:r w:rsidR="00953BF2" w:rsidRPr="00705170">
        <w:rPr>
          <w:rFonts w:ascii="Times New Roman" w:hAnsi="Times New Roman" w:cs="Times New Roman"/>
          <w:color w:val="000000"/>
        </w:rPr>
        <w:t>the</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contract</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which</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means</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that</w:t>
      </w:r>
      <w:proofErr w:type="spellEnd"/>
      <w:r w:rsidR="00953BF2" w:rsidRPr="00705170">
        <w:rPr>
          <w:rFonts w:ascii="Times New Roman" w:hAnsi="Times New Roman" w:cs="Times New Roman"/>
          <w:color w:val="000000"/>
        </w:rPr>
        <w:t xml:space="preserve"> in </w:t>
      </w:r>
      <w:proofErr w:type="spellStart"/>
      <w:r w:rsidR="00953BF2" w:rsidRPr="00705170">
        <w:rPr>
          <w:rFonts w:ascii="Times New Roman" w:hAnsi="Times New Roman" w:cs="Times New Roman"/>
          <w:color w:val="000000"/>
        </w:rPr>
        <w:t>every</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contract</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there</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exists</w:t>
      </w:r>
      <w:proofErr w:type="spellEnd"/>
      <w:r w:rsidR="00953BF2" w:rsidRPr="00705170">
        <w:rPr>
          <w:rFonts w:ascii="Times New Roman" w:hAnsi="Times New Roman" w:cs="Times New Roman"/>
          <w:color w:val="000000"/>
        </w:rPr>
        <w:t xml:space="preserve"> an </w:t>
      </w:r>
      <w:proofErr w:type="spellStart"/>
      <w:r w:rsidR="00953BF2" w:rsidRPr="00705170">
        <w:rPr>
          <w:rFonts w:ascii="Times New Roman" w:hAnsi="Times New Roman" w:cs="Times New Roman"/>
          <w:color w:val="000000"/>
        </w:rPr>
        <w:t>implied</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covenant</w:t>
      </w:r>
      <w:proofErr w:type="spellEnd"/>
      <w:r w:rsidR="00953BF2" w:rsidRPr="00705170">
        <w:rPr>
          <w:rFonts w:ascii="Times New Roman" w:hAnsi="Times New Roman" w:cs="Times New Roman"/>
          <w:color w:val="000000"/>
        </w:rPr>
        <w:t xml:space="preserve"> of </w:t>
      </w:r>
      <w:proofErr w:type="spellStart"/>
      <w:r w:rsidR="00953BF2" w:rsidRPr="00705170">
        <w:rPr>
          <w:rFonts w:ascii="Times New Roman" w:hAnsi="Times New Roman" w:cs="Times New Roman"/>
          <w:color w:val="000000"/>
        </w:rPr>
        <w:t>good</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faith</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and</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fair</w:t>
      </w:r>
      <w:proofErr w:type="spellEnd"/>
      <w:r w:rsidR="00953BF2" w:rsidRPr="00705170">
        <w:rPr>
          <w:rFonts w:ascii="Times New Roman" w:hAnsi="Times New Roman" w:cs="Times New Roman"/>
          <w:color w:val="000000"/>
        </w:rPr>
        <w:t xml:space="preserve"> </w:t>
      </w:r>
      <w:proofErr w:type="spellStart"/>
      <w:r w:rsidR="00953BF2" w:rsidRPr="00705170">
        <w:rPr>
          <w:rFonts w:ascii="Times New Roman" w:hAnsi="Times New Roman" w:cs="Times New Roman"/>
          <w:color w:val="000000"/>
        </w:rPr>
        <w:t>dealing</w:t>
      </w:r>
      <w:proofErr w:type="spellEnd"/>
      <w:r w:rsidR="00953BF2"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Accordingly</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the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covenant</w:t>
      </w:r>
      <w:proofErr w:type="spellEnd"/>
      <w:r w:rsidR="00BD633B" w:rsidRPr="00705170">
        <w:rPr>
          <w:rFonts w:ascii="Times New Roman" w:hAnsi="Times New Roman" w:cs="Times New Roman"/>
          <w:color w:val="000000"/>
        </w:rPr>
        <w:t xml:space="preserve"> of </w:t>
      </w:r>
      <w:proofErr w:type="spellStart"/>
      <w:r w:rsidR="00BD633B" w:rsidRPr="00705170">
        <w:rPr>
          <w:rFonts w:ascii="Times New Roman" w:hAnsi="Times New Roman" w:cs="Times New Roman"/>
          <w:color w:val="000000"/>
        </w:rPr>
        <w:t>good</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faith</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restrains</w:t>
      </w:r>
      <w:proofErr w:type="spellEnd"/>
      <w:r w:rsidR="00BD633B" w:rsidRPr="00705170">
        <w:rPr>
          <w:rFonts w:ascii="Times New Roman" w:hAnsi="Times New Roman" w:cs="Times New Roman"/>
          <w:color w:val="000000"/>
        </w:rPr>
        <w:t xml:space="preserve"> a </w:t>
      </w:r>
      <w:proofErr w:type="spellStart"/>
      <w:r w:rsidR="00BD633B" w:rsidRPr="00705170">
        <w:rPr>
          <w:rFonts w:ascii="Times New Roman" w:hAnsi="Times New Roman" w:cs="Times New Roman"/>
          <w:color w:val="000000"/>
        </w:rPr>
        <w:t>contracting</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party</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from</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engaging</w:t>
      </w:r>
      <w:proofErr w:type="spellEnd"/>
      <w:r w:rsidR="00BD633B" w:rsidRPr="00705170">
        <w:rPr>
          <w:rFonts w:ascii="Times New Roman" w:hAnsi="Times New Roman" w:cs="Times New Roman"/>
          <w:color w:val="000000"/>
        </w:rPr>
        <w:t xml:space="preserve"> in </w:t>
      </w:r>
      <w:proofErr w:type="spellStart"/>
      <w:r w:rsidR="00BD633B" w:rsidRPr="00705170">
        <w:rPr>
          <w:rFonts w:ascii="Times New Roman" w:hAnsi="Times New Roman" w:cs="Times New Roman"/>
          <w:color w:val="000000"/>
        </w:rPr>
        <w:t>arbitrary</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or</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unreasonable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conduct</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that</w:t>
      </w:r>
      <w:proofErr w:type="spellEnd"/>
      <w:r w:rsidR="00BD633B" w:rsidRPr="00705170">
        <w:rPr>
          <w:rFonts w:ascii="Times New Roman" w:hAnsi="Times New Roman" w:cs="Times New Roman"/>
          <w:color w:val="000000"/>
        </w:rPr>
        <w:t xml:space="preserve"> has </w:t>
      </w:r>
      <w:proofErr w:type="spellStart"/>
      <w:r w:rsidR="00BD633B" w:rsidRPr="00705170">
        <w:rPr>
          <w:rFonts w:ascii="Times New Roman" w:hAnsi="Times New Roman" w:cs="Times New Roman"/>
          <w:color w:val="000000"/>
        </w:rPr>
        <w:t>the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effect</w:t>
      </w:r>
      <w:proofErr w:type="spellEnd"/>
      <w:r w:rsidR="00BD633B" w:rsidRPr="00705170">
        <w:rPr>
          <w:rFonts w:ascii="Times New Roman" w:hAnsi="Times New Roman" w:cs="Times New Roman"/>
          <w:color w:val="000000"/>
        </w:rPr>
        <w:t xml:space="preserve"> of </w:t>
      </w:r>
      <w:proofErr w:type="spellStart"/>
      <w:r w:rsidR="00BD633B" w:rsidRPr="00705170">
        <w:rPr>
          <w:rFonts w:ascii="Times New Roman" w:hAnsi="Times New Roman" w:cs="Times New Roman"/>
          <w:color w:val="000000"/>
        </w:rPr>
        <w:t>frustrating</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the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contract’s</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overarching</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purpose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and</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denying</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the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other</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party</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the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benefit</w:t>
      </w:r>
      <w:proofErr w:type="spellEnd"/>
      <w:r w:rsidR="00BD633B" w:rsidRPr="00705170">
        <w:rPr>
          <w:rFonts w:ascii="Times New Roman" w:hAnsi="Times New Roman" w:cs="Times New Roman"/>
          <w:color w:val="000000"/>
        </w:rPr>
        <w:t xml:space="preserve"> of </w:t>
      </w:r>
      <w:proofErr w:type="spellStart"/>
      <w:r w:rsidR="00BD633B" w:rsidRPr="00705170">
        <w:rPr>
          <w:rFonts w:ascii="Times New Roman" w:hAnsi="Times New Roman" w:cs="Times New Roman"/>
          <w:color w:val="000000"/>
        </w:rPr>
        <w:t>its</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bargain</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The</w:t>
      </w:r>
      <w:proofErr w:type="spellEnd"/>
      <w:r w:rsidR="00BD633B" w:rsidRPr="00705170">
        <w:rPr>
          <w:rFonts w:ascii="Times New Roman" w:hAnsi="Times New Roman" w:cs="Times New Roman"/>
          <w:color w:val="000000"/>
        </w:rPr>
        <w:t xml:space="preserve"> Court, </w:t>
      </w:r>
      <w:proofErr w:type="spellStart"/>
      <w:r w:rsidR="00BD633B" w:rsidRPr="00705170">
        <w:rPr>
          <w:rFonts w:ascii="Times New Roman" w:hAnsi="Times New Roman" w:cs="Times New Roman"/>
          <w:color w:val="000000"/>
        </w:rPr>
        <w:t>however</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may</w:t>
      </w:r>
      <w:proofErr w:type="spellEnd"/>
      <w:r w:rsidR="00BD633B" w:rsidRPr="00705170">
        <w:rPr>
          <w:rFonts w:ascii="Times New Roman" w:hAnsi="Times New Roman" w:cs="Times New Roman"/>
          <w:color w:val="000000"/>
        </w:rPr>
        <w:t xml:space="preserve"> not </w:t>
      </w:r>
      <w:proofErr w:type="spellStart"/>
      <w:r w:rsidR="00BD633B" w:rsidRPr="00705170">
        <w:rPr>
          <w:rFonts w:ascii="Times New Roman" w:hAnsi="Times New Roman" w:cs="Times New Roman"/>
          <w:color w:val="000000"/>
        </w:rPr>
        <w:t>substitute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its</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own</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notions</w:t>
      </w:r>
      <w:proofErr w:type="spellEnd"/>
      <w:r w:rsidR="00BD633B" w:rsidRPr="00705170">
        <w:rPr>
          <w:rFonts w:ascii="Times New Roman" w:hAnsi="Times New Roman" w:cs="Times New Roman"/>
          <w:color w:val="000000"/>
        </w:rPr>
        <w:t xml:space="preserve"> of </w:t>
      </w:r>
      <w:proofErr w:type="spellStart"/>
      <w:r w:rsidR="00BD633B" w:rsidRPr="00705170">
        <w:rPr>
          <w:rFonts w:ascii="Times New Roman" w:hAnsi="Times New Roman" w:cs="Times New Roman"/>
          <w:color w:val="000000"/>
        </w:rPr>
        <w:t>fairness</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for</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the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terms</w:t>
      </w:r>
      <w:proofErr w:type="spellEnd"/>
      <w:r w:rsidR="00BD633B" w:rsidRPr="00705170">
        <w:rPr>
          <w:rFonts w:ascii="Times New Roman" w:hAnsi="Times New Roman" w:cs="Times New Roman"/>
          <w:color w:val="000000"/>
        </w:rPr>
        <w:t xml:space="preserve"> of </w:t>
      </w:r>
      <w:proofErr w:type="spellStart"/>
      <w:r w:rsidR="00BD633B" w:rsidRPr="00705170">
        <w:rPr>
          <w:rFonts w:ascii="Times New Roman" w:hAnsi="Times New Roman" w:cs="Times New Roman"/>
          <w:color w:val="000000"/>
        </w:rPr>
        <w:t>the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agreement</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reached</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by</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the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parties</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and</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will</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therefore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only</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invoke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the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implied</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covenant</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when</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the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contract</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does</w:t>
      </w:r>
      <w:proofErr w:type="spellEnd"/>
      <w:r w:rsidR="00BD633B" w:rsidRPr="00705170">
        <w:rPr>
          <w:rFonts w:ascii="Times New Roman" w:hAnsi="Times New Roman" w:cs="Times New Roman"/>
          <w:color w:val="000000"/>
        </w:rPr>
        <w:t xml:space="preserve"> not </w:t>
      </w:r>
      <w:proofErr w:type="spellStart"/>
      <w:r w:rsidR="00BD633B" w:rsidRPr="00705170">
        <w:rPr>
          <w:rFonts w:ascii="Times New Roman" w:hAnsi="Times New Roman" w:cs="Times New Roman"/>
          <w:color w:val="000000"/>
        </w:rPr>
        <w:t>expressly</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address</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the</w:t>
      </w:r>
      <w:proofErr w:type="spellEnd"/>
      <w:r w:rsidR="00BD633B" w:rsidRPr="00705170">
        <w:rPr>
          <w:rFonts w:ascii="Times New Roman" w:hAnsi="Times New Roman" w:cs="Times New Roman"/>
          <w:color w:val="000000"/>
        </w:rPr>
        <w:t xml:space="preserve"> </w:t>
      </w:r>
      <w:proofErr w:type="spellStart"/>
      <w:r w:rsidR="00BD633B" w:rsidRPr="00705170">
        <w:rPr>
          <w:rFonts w:ascii="Times New Roman" w:hAnsi="Times New Roman" w:cs="Times New Roman"/>
          <w:color w:val="000000"/>
        </w:rPr>
        <w:t>subject</w:t>
      </w:r>
      <w:proofErr w:type="spellEnd"/>
      <w:r w:rsidR="00BD633B" w:rsidRPr="00705170">
        <w:rPr>
          <w:rFonts w:ascii="Times New Roman" w:hAnsi="Times New Roman" w:cs="Times New Roman"/>
          <w:color w:val="000000"/>
        </w:rPr>
        <w:t xml:space="preserve"> at </w:t>
      </w:r>
      <w:proofErr w:type="spellStart"/>
      <w:r w:rsidR="00BD633B" w:rsidRPr="00705170">
        <w:rPr>
          <w:rFonts w:ascii="Times New Roman" w:hAnsi="Times New Roman" w:cs="Times New Roman"/>
          <w:color w:val="000000"/>
        </w:rPr>
        <w:t>issue</w:t>
      </w:r>
      <w:proofErr w:type="spellEnd"/>
      <w:r w:rsidR="00BD633B" w:rsidRPr="00705170">
        <w:rPr>
          <w:rFonts w:ascii="Times New Roman" w:hAnsi="Times New Roman" w:cs="Times New Roman"/>
          <w:color w:val="000000"/>
        </w:rPr>
        <w:t>”</w:t>
      </w:r>
      <w:r w:rsidR="00BD633B" w:rsidRPr="00705170">
        <w:rPr>
          <w:rStyle w:val="DipnotBavurusu"/>
          <w:rFonts w:ascii="Times New Roman" w:hAnsi="Times New Roman" w:cs="Times New Roman"/>
          <w:color w:val="000000"/>
        </w:rPr>
        <w:footnoteReference w:id="950"/>
      </w:r>
      <w:r w:rsidR="00BD633B" w:rsidRPr="00705170">
        <w:rPr>
          <w:rFonts w:ascii="Times New Roman" w:hAnsi="Times New Roman" w:cs="Times New Roman"/>
        </w:rPr>
        <w:t>.</w:t>
      </w:r>
      <w:r w:rsidR="008F697D" w:rsidRPr="00705170">
        <w:rPr>
          <w:rFonts w:ascii="Times New Roman" w:hAnsi="Times New Roman" w:cs="Times New Roman"/>
        </w:rPr>
        <w:t xml:space="preserve"> </w:t>
      </w:r>
      <w:proofErr w:type="spellStart"/>
      <w:r w:rsidR="008F697D" w:rsidRPr="00705170">
        <w:rPr>
          <w:rFonts w:ascii="Times New Roman" w:hAnsi="Times New Roman" w:cs="Times New Roman"/>
        </w:rPr>
        <w:t>In</w:t>
      </w:r>
      <w:proofErr w:type="spellEnd"/>
      <w:r w:rsidR="008F697D" w:rsidRPr="00705170">
        <w:rPr>
          <w:rFonts w:ascii="Times New Roman" w:hAnsi="Times New Roman" w:cs="Times New Roman"/>
        </w:rPr>
        <w:t xml:space="preserve"> </w:t>
      </w:r>
      <w:proofErr w:type="spellStart"/>
      <w:r w:rsidR="008F697D" w:rsidRPr="00705170">
        <w:rPr>
          <w:rFonts w:ascii="Times New Roman" w:hAnsi="Times New Roman" w:cs="Times New Roman"/>
        </w:rPr>
        <w:t>the</w:t>
      </w:r>
      <w:proofErr w:type="spellEnd"/>
      <w:r w:rsidR="008F697D" w:rsidRPr="00705170">
        <w:rPr>
          <w:rFonts w:ascii="Times New Roman" w:hAnsi="Times New Roman" w:cs="Times New Roman"/>
        </w:rPr>
        <w:t xml:space="preserve"> U.S., </w:t>
      </w:r>
      <w:proofErr w:type="spellStart"/>
      <w:r w:rsidR="008F697D" w:rsidRPr="00705170">
        <w:rPr>
          <w:rFonts w:ascii="Times New Roman" w:hAnsi="Times New Roman" w:cs="Times New Roman"/>
        </w:rPr>
        <w:t>the</w:t>
      </w:r>
      <w:proofErr w:type="spellEnd"/>
      <w:r w:rsidR="008F697D" w:rsidRPr="00705170">
        <w:rPr>
          <w:rFonts w:ascii="Times New Roman" w:hAnsi="Times New Roman" w:cs="Times New Roman"/>
        </w:rPr>
        <w:t xml:space="preserve"> test </w:t>
      </w:r>
      <w:proofErr w:type="spellStart"/>
      <w:r w:rsidR="008F697D" w:rsidRPr="00705170">
        <w:rPr>
          <w:rFonts w:ascii="Times New Roman" w:hAnsi="Times New Roman" w:cs="Times New Roman"/>
        </w:rPr>
        <w:t>for</w:t>
      </w:r>
      <w:proofErr w:type="spellEnd"/>
      <w:r w:rsidR="008F697D" w:rsidRPr="00705170">
        <w:rPr>
          <w:rFonts w:ascii="Times New Roman" w:hAnsi="Times New Roman" w:cs="Times New Roman"/>
        </w:rPr>
        <w:t xml:space="preserve"> </w:t>
      </w:r>
      <w:proofErr w:type="spellStart"/>
      <w:r w:rsidR="008F697D" w:rsidRPr="00705170">
        <w:rPr>
          <w:rFonts w:ascii="Times New Roman" w:hAnsi="Times New Roman" w:cs="Times New Roman"/>
        </w:rPr>
        <w:t>whether</w:t>
      </w:r>
      <w:proofErr w:type="spellEnd"/>
      <w:r w:rsidR="008F697D" w:rsidRPr="00705170">
        <w:rPr>
          <w:rFonts w:ascii="Times New Roman" w:hAnsi="Times New Roman" w:cs="Times New Roman"/>
        </w:rPr>
        <w:t xml:space="preserve"> a </w:t>
      </w:r>
      <w:proofErr w:type="spellStart"/>
      <w:r w:rsidR="008F697D" w:rsidRPr="00705170">
        <w:rPr>
          <w:rFonts w:ascii="Times New Roman" w:hAnsi="Times New Roman" w:cs="Times New Roman"/>
        </w:rPr>
        <w:t>party</w:t>
      </w:r>
      <w:proofErr w:type="spellEnd"/>
      <w:r w:rsidR="008F697D" w:rsidRPr="00705170">
        <w:rPr>
          <w:rFonts w:ascii="Times New Roman" w:hAnsi="Times New Roman" w:cs="Times New Roman"/>
        </w:rPr>
        <w:t xml:space="preserve"> </w:t>
      </w:r>
      <w:proofErr w:type="spellStart"/>
      <w:r w:rsidR="008F697D" w:rsidRPr="00705170">
        <w:rPr>
          <w:rFonts w:ascii="Times New Roman" w:hAnsi="Times New Roman" w:cs="Times New Roman"/>
        </w:rPr>
        <w:lastRenderedPageBreak/>
        <w:t>violates</w:t>
      </w:r>
      <w:proofErr w:type="spellEnd"/>
      <w:r w:rsidR="008F697D" w:rsidRPr="00705170">
        <w:rPr>
          <w:rFonts w:ascii="Times New Roman" w:hAnsi="Times New Roman" w:cs="Times New Roman"/>
        </w:rPr>
        <w:t xml:space="preserve"> </w:t>
      </w:r>
      <w:proofErr w:type="spellStart"/>
      <w:r w:rsidR="008F697D" w:rsidRPr="00705170">
        <w:rPr>
          <w:rFonts w:ascii="Times New Roman" w:hAnsi="Times New Roman" w:cs="Times New Roman"/>
        </w:rPr>
        <w:t>the</w:t>
      </w:r>
      <w:proofErr w:type="spellEnd"/>
      <w:r w:rsidR="008F697D" w:rsidRPr="00705170">
        <w:rPr>
          <w:rFonts w:ascii="Times New Roman" w:hAnsi="Times New Roman" w:cs="Times New Roman"/>
        </w:rPr>
        <w:t xml:space="preserve"> </w:t>
      </w:r>
      <w:proofErr w:type="spellStart"/>
      <w:r w:rsidR="008F697D" w:rsidRPr="00705170">
        <w:rPr>
          <w:rFonts w:ascii="Times New Roman" w:hAnsi="Times New Roman" w:cs="Times New Roman"/>
        </w:rPr>
        <w:t>duty</w:t>
      </w:r>
      <w:proofErr w:type="spellEnd"/>
      <w:r w:rsidR="008F697D" w:rsidRPr="00705170">
        <w:rPr>
          <w:rFonts w:ascii="Times New Roman" w:hAnsi="Times New Roman" w:cs="Times New Roman"/>
        </w:rPr>
        <w:t xml:space="preserve"> of </w:t>
      </w:r>
      <w:proofErr w:type="spellStart"/>
      <w:r w:rsidR="008F697D" w:rsidRPr="00705170">
        <w:rPr>
          <w:rFonts w:ascii="Times New Roman" w:hAnsi="Times New Roman" w:cs="Times New Roman"/>
        </w:rPr>
        <w:t>good</w:t>
      </w:r>
      <w:proofErr w:type="spellEnd"/>
      <w:r w:rsidR="008F697D" w:rsidRPr="00705170">
        <w:rPr>
          <w:rFonts w:ascii="Times New Roman" w:hAnsi="Times New Roman" w:cs="Times New Roman"/>
        </w:rPr>
        <w:t xml:space="preserve"> </w:t>
      </w:r>
      <w:proofErr w:type="spellStart"/>
      <w:r w:rsidR="008F697D" w:rsidRPr="00705170">
        <w:rPr>
          <w:rFonts w:ascii="Times New Roman" w:hAnsi="Times New Roman" w:cs="Times New Roman"/>
        </w:rPr>
        <w:t>faith</w:t>
      </w:r>
      <w:proofErr w:type="spellEnd"/>
      <w:r w:rsidR="008F697D" w:rsidRPr="00705170">
        <w:rPr>
          <w:rFonts w:ascii="Times New Roman" w:hAnsi="Times New Roman" w:cs="Times New Roman"/>
        </w:rPr>
        <w:t xml:space="preserve"> in </w:t>
      </w:r>
      <w:proofErr w:type="spellStart"/>
      <w:r w:rsidR="008F697D" w:rsidRPr="00705170">
        <w:rPr>
          <w:rFonts w:ascii="Times New Roman" w:hAnsi="Times New Roman" w:cs="Times New Roman"/>
        </w:rPr>
        <w:t>the</w:t>
      </w:r>
      <w:proofErr w:type="spellEnd"/>
      <w:r w:rsidR="008F697D" w:rsidRPr="00705170">
        <w:rPr>
          <w:rFonts w:ascii="Times New Roman" w:hAnsi="Times New Roman" w:cs="Times New Roman"/>
        </w:rPr>
        <w:t xml:space="preserve"> </w:t>
      </w:r>
      <w:proofErr w:type="spellStart"/>
      <w:r w:rsidR="008F697D" w:rsidRPr="00705170">
        <w:rPr>
          <w:rFonts w:ascii="Times New Roman" w:hAnsi="Times New Roman" w:cs="Times New Roman"/>
        </w:rPr>
        <w:t>context</w:t>
      </w:r>
      <w:proofErr w:type="spellEnd"/>
      <w:r w:rsidR="008F697D" w:rsidRPr="00705170">
        <w:rPr>
          <w:rFonts w:ascii="Times New Roman" w:hAnsi="Times New Roman" w:cs="Times New Roman"/>
        </w:rPr>
        <w:t xml:space="preserve"> of a </w:t>
      </w:r>
      <w:proofErr w:type="spellStart"/>
      <w:r w:rsidR="008F697D" w:rsidRPr="00705170">
        <w:rPr>
          <w:rFonts w:ascii="Times New Roman" w:hAnsi="Times New Roman" w:cs="Times New Roman"/>
        </w:rPr>
        <w:t>contractual</w:t>
      </w:r>
      <w:proofErr w:type="spellEnd"/>
      <w:r w:rsidR="008F697D" w:rsidRPr="00705170">
        <w:rPr>
          <w:rFonts w:ascii="Times New Roman" w:hAnsi="Times New Roman" w:cs="Times New Roman"/>
        </w:rPr>
        <w:t xml:space="preserve"> </w:t>
      </w:r>
      <w:proofErr w:type="spellStart"/>
      <w:r w:rsidR="008F697D" w:rsidRPr="00705170">
        <w:rPr>
          <w:rFonts w:ascii="Times New Roman" w:hAnsi="Times New Roman" w:cs="Times New Roman"/>
        </w:rPr>
        <w:t>relationship</w:t>
      </w:r>
      <w:proofErr w:type="spellEnd"/>
      <w:r w:rsidR="008F697D" w:rsidRPr="00705170">
        <w:rPr>
          <w:rFonts w:ascii="Times New Roman" w:hAnsi="Times New Roman" w:cs="Times New Roman"/>
        </w:rPr>
        <w:t xml:space="preserve"> is as </w:t>
      </w:r>
      <w:proofErr w:type="spellStart"/>
      <w:r w:rsidR="008F697D" w:rsidRPr="00705170">
        <w:rPr>
          <w:rFonts w:ascii="Times New Roman" w:hAnsi="Times New Roman" w:cs="Times New Roman"/>
        </w:rPr>
        <w:t>follows</w:t>
      </w:r>
      <w:proofErr w:type="spellEnd"/>
      <w:r w:rsidR="008F697D" w:rsidRPr="00705170">
        <w:rPr>
          <w:rFonts w:ascii="Times New Roman" w:hAnsi="Times New Roman" w:cs="Times New Roman"/>
        </w:rPr>
        <w:t>: “</w:t>
      </w:r>
      <w:r w:rsidR="008F697D" w:rsidRPr="00705170">
        <w:rPr>
          <w:rFonts w:ascii="Times New Roman" w:hAnsi="Times New Roman" w:cs="Times New Roman"/>
          <w:color w:val="000000"/>
        </w:rPr>
        <w:t xml:space="preserve">Is it </w:t>
      </w:r>
      <w:proofErr w:type="spellStart"/>
      <w:r w:rsidR="008F697D" w:rsidRPr="00705170">
        <w:rPr>
          <w:rFonts w:ascii="Times New Roman" w:hAnsi="Times New Roman" w:cs="Times New Roman"/>
          <w:color w:val="000000"/>
        </w:rPr>
        <w:t>clear</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from</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what</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was</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expressly</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agreed</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upon</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that</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the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parties</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who</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negotiated</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the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express</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terms</w:t>
      </w:r>
      <w:proofErr w:type="spellEnd"/>
      <w:r w:rsidR="008F697D" w:rsidRPr="00705170">
        <w:rPr>
          <w:rFonts w:ascii="Times New Roman" w:hAnsi="Times New Roman" w:cs="Times New Roman"/>
          <w:color w:val="000000"/>
        </w:rPr>
        <w:t xml:space="preserve"> of </w:t>
      </w:r>
      <w:proofErr w:type="spellStart"/>
      <w:r w:rsidR="008F697D" w:rsidRPr="00705170">
        <w:rPr>
          <w:rFonts w:ascii="Times New Roman" w:hAnsi="Times New Roman" w:cs="Times New Roman"/>
          <w:color w:val="000000"/>
        </w:rPr>
        <w:t>the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contract</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would</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have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agreed</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to</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proscribe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the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act</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later</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complained</w:t>
      </w:r>
      <w:proofErr w:type="spellEnd"/>
      <w:r w:rsidR="008F697D" w:rsidRPr="00705170">
        <w:rPr>
          <w:rFonts w:ascii="Times New Roman" w:hAnsi="Times New Roman" w:cs="Times New Roman"/>
          <w:color w:val="000000"/>
        </w:rPr>
        <w:t xml:space="preserve"> of as a </w:t>
      </w:r>
      <w:proofErr w:type="spellStart"/>
      <w:r w:rsidR="008F697D" w:rsidRPr="00705170">
        <w:rPr>
          <w:rFonts w:ascii="Times New Roman" w:hAnsi="Times New Roman" w:cs="Times New Roman"/>
          <w:color w:val="000000"/>
        </w:rPr>
        <w:t>breach</w:t>
      </w:r>
      <w:proofErr w:type="spellEnd"/>
      <w:r w:rsidR="008F697D" w:rsidRPr="00705170">
        <w:rPr>
          <w:rFonts w:ascii="Times New Roman" w:hAnsi="Times New Roman" w:cs="Times New Roman"/>
          <w:color w:val="000000"/>
        </w:rPr>
        <w:t xml:space="preserve"> of </w:t>
      </w:r>
      <w:proofErr w:type="spellStart"/>
      <w:r w:rsidR="008F697D" w:rsidRPr="00705170">
        <w:rPr>
          <w:rFonts w:ascii="Times New Roman" w:hAnsi="Times New Roman" w:cs="Times New Roman"/>
          <w:color w:val="000000"/>
        </w:rPr>
        <w:t>the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implied</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covenant</w:t>
      </w:r>
      <w:proofErr w:type="spellEnd"/>
      <w:r w:rsidR="008F697D" w:rsidRPr="00705170">
        <w:rPr>
          <w:rFonts w:ascii="Times New Roman" w:hAnsi="Times New Roman" w:cs="Times New Roman"/>
          <w:color w:val="000000"/>
        </w:rPr>
        <w:t xml:space="preserve"> of </w:t>
      </w:r>
      <w:proofErr w:type="spellStart"/>
      <w:r w:rsidR="008F697D" w:rsidRPr="00705170">
        <w:rPr>
          <w:rFonts w:ascii="Times New Roman" w:hAnsi="Times New Roman" w:cs="Times New Roman"/>
          <w:color w:val="000000"/>
        </w:rPr>
        <w:t>good</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faith</w:t>
      </w:r>
      <w:proofErr w:type="spellEnd"/>
      <w:r w:rsidR="008F697D" w:rsidRPr="00705170">
        <w:rPr>
          <w:rFonts w:ascii="Times New Roman" w:hAnsi="Times New Roman" w:cs="Times New Roman"/>
          <w:color w:val="000000"/>
        </w:rPr>
        <w:t xml:space="preserve">—had </w:t>
      </w:r>
      <w:proofErr w:type="spellStart"/>
      <w:r w:rsidR="008F697D" w:rsidRPr="00705170">
        <w:rPr>
          <w:rFonts w:ascii="Times New Roman" w:hAnsi="Times New Roman" w:cs="Times New Roman"/>
          <w:color w:val="000000"/>
        </w:rPr>
        <w:t>they</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thought</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to</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negotiate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with</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respect</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to</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that</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matter</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If</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the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answer</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to</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this</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question</w:t>
      </w:r>
      <w:proofErr w:type="spellEnd"/>
      <w:r w:rsidR="008F697D" w:rsidRPr="00705170">
        <w:rPr>
          <w:rFonts w:ascii="Times New Roman" w:hAnsi="Times New Roman" w:cs="Times New Roman"/>
          <w:color w:val="000000"/>
        </w:rPr>
        <w:t xml:space="preserve"> is </w:t>
      </w:r>
      <w:proofErr w:type="spellStart"/>
      <w:r w:rsidR="008F697D" w:rsidRPr="00705170">
        <w:rPr>
          <w:rFonts w:ascii="Times New Roman" w:hAnsi="Times New Roman" w:cs="Times New Roman"/>
          <w:color w:val="000000"/>
        </w:rPr>
        <w:t>yes</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then</w:t>
      </w:r>
      <w:proofErr w:type="spellEnd"/>
      <w:r w:rsidR="008F697D" w:rsidRPr="00705170">
        <w:rPr>
          <w:rFonts w:ascii="Times New Roman" w:hAnsi="Times New Roman" w:cs="Times New Roman"/>
          <w:color w:val="000000"/>
        </w:rPr>
        <w:t xml:space="preserve">, in </w:t>
      </w:r>
      <w:proofErr w:type="spellStart"/>
      <w:r w:rsidR="008F697D" w:rsidRPr="00705170">
        <w:rPr>
          <w:rFonts w:ascii="Times New Roman" w:hAnsi="Times New Roman" w:cs="Times New Roman"/>
          <w:color w:val="000000"/>
        </w:rPr>
        <w:t>my</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opinion</w:t>
      </w:r>
      <w:proofErr w:type="spellEnd"/>
      <w:r w:rsidR="008F697D" w:rsidRPr="00705170">
        <w:rPr>
          <w:rFonts w:ascii="Times New Roman" w:hAnsi="Times New Roman" w:cs="Times New Roman"/>
          <w:color w:val="000000"/>
        </w:rPr>
        <w:t xml:space="preserve">, a </w:t>
      </w:r>
      <w:proofErr w:type="spellStart"/>
      <w:r w:rsidR="008F697D" w:rsidRPr="00705170">
        <w:rPr>
          <w:rFonts w:ascii="Times New Roman" w:hAnsi="Times New Roman" w:cs="Times New Roman"/>
          <w:color w:val="000000"/>
        </w:rPr>
        <w:t>court</w:t>
      </w:r>
      <w:proofErr w:type="spellEnd"/>
      <w:r w:rsidR="008F697D" w:rsidRPr="00705170">
        <w:rPr>
          <w:rFonts w:ascii="Times New Roman" w:hAnsi="Times New Roman" w:cs="Times New Roman"/>
          <w:color w:val="000000"/>
        </w:rPr>
        <w:t xml:space="preserve"> is </w:t>
      </w:r>
      <w:proofErr w:type="spellStart"/>
      <w:r w:rsidR="008F697D" w:rsidRPr="00705170">
        <w:rPr>
          <w:rFonts w:ascii="Times New Roman" w:hAnsi="Times New Roman" w:cs="Times New Roman"/>
          <w:color w:val="000000"/>
        </w:rPr>
        <w:t>justified</w:t>
      </w:r>
      <w:proofErr w:type="spellEnd"/>
      <w:r w:rsidR="008F697D" w:rsidRPr="00705170">
        <w:rPr>
          <w:rFonts w:ascii="Times New Roman" w:hAnsi="Times New Roman" w:cs="Times New Roman"/>
          <w:color w:val="000000"/>
        </w:rPr>
        <w:t xml:space="preserve"> in </w:t>
      </w:r>
      <w:proofErr w:type="spellStart"/>
      <w:r w:rsidR="008F697D" w:rsidRPr="00705170">
        <w:rPr>
          <w:rFonts w:ascii="Times New Roman" w:hAnsi="Times New Roman" w:cs="Times New Roman"/>
          <w:color w:val="000000"/>
        </w:rPr>
        <w:t>concluding</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that</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such</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act</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constitutes</w:t>
      </w:r>
      <w:proofErr w:type="spellEnd"/>
      <w:r w:rsidR="008F697D" w:rsidRPr="00705170">
        <w:rPr>
          <w:rFonts w:ascii="Times New Roman" w:hAnsi="Times New Roman" w:cs="Times New Roman"/>
          <w:color w:val="000000"/>
        </w:rPr>
        <w:t xml:space="preserve"> a </w:t>
      </w:r>
      <w:proofErr w:type="spellStart"/>
      <w:r w:rsidR="008F697D" w:rsidRPr="00705170">
        <w:rPr>
          <w:rFonts w:ascii="Times New Roman" w:hAnsi="Times New Roman" w:cs="Times New Roman"/>
          <w:color w:val="000000"/>
        </w:rPr>
        <w:t>breach</w:t>
      </w:r>
      <w:proofErr w:type="spellEnd"/>
      <w:r w:rsidR="008F697D" w:rsidRPr="00705170">
        <w:rPr>
          <w:rFonts w:ascii="Times New Roman" w:hAnsi="Times New Roman" w:cs="Times New Roman"/>
          <w:color w:val="000000"/>
        </w:rPr>
        <w:t xml:space="preserve"> of </w:t>
      </w:r>
      <w:proofErr w:type="spellStart"/>
      <w:r w:rsidR="008F697D" w:rsidRPr="00705170">
        <w:rPr>
          <w:rFonts w:ascii="Times New Roman" w:hAnsi="Times New Roman" w:cs="Times New Roman"/>
          <w:color w:val="000000"/>
        </w:rPr>
        <w:t>the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implied</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covenant</w:t>
      </w:r>
      <w:proofErr w:type="spellEnd"/>
      <w:r w:rsidR="008F697D" w:rsidRPr="00705170">
        <w:rPr>
          <w:rFonts w:ascii="Times New Roman" w:hAnsi="Times New Roman" w:cs="Times New Roman"/>
          <w:color w:val="000000"/>
        </w:rPr>
        <w:t xml:space="preserve"> of </w:t>
      </w:r>
      <w:proofErr w:type="spellStart"/>
      <w:r w:rsidR="008F697D" w:rsidRPr="00705170">
        <w:rPr>
          <w:rFonts w:ascii="Times New Roman" w:hAnsi="Times New Roman" w:cs="Times New Roman"/>
          <w:color w:val="000000"/>
        </w:rPr>
        <w:t>good</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faith</w:t>
      </w:r>
      <w:proofErr w:type="spellEnd"/>
      <w:r w:rsidR="008F697D" w:rsidRPr="00705170">
        <w:rPr>
          <w:rFonts w:ascii="Times New Roman" w:hAnsi="Times New Roman" w:cs="Times New Roman"/>
          <w:color w:val="000000"/>
        </w:rPr>
        <w:t>”</w:t>
      </w:r>
      <w:r w:rsidR="008F697D" w:rsidRPr="00705170">
        <w:rPr>
          <w:rStyle w:val="DipnotBavurusu"/>
          <w:rFonts w:ascii="Times New Roman" w:hAnsi="Times New Roman" w:cs="Times New Roman"/>
          <w:color w:val="000000"/>
        </w:rPr>
        <w:footnoteReference w:id="951"/>
      </w:r>
      <w:r w:rsidR="008F697D" w:rsidRPr="00705170">
        <w:rPr>
          <w:rFonts w:ascii="Times New Roman" w:hAnsi="Times New Roman" w:cs="Times New Roman"/>
          <w:color w:val="000000"/>
        </w:rPr>
        <w:t>.</w:t>
      </w:r>
      <w:r w:rsidR="00193BA9" w:rsidRPr="00705170">
        <w:rPr>
          <w:rFonts w:ascii="Times New Roman" w:hAnsi="Times New Roman" w:cs="Times New Roman"/>
          <w:color w:val="000000"/>
        </w:rPr>
        <w:t xml:space="preserve"> </w:t>
      </w:r>
      <w:r w:rsidR="008F697D" w:rsidRPr="00705170">
        <w:rPr>
          <w:rFonts w:ascii="Times New Roman" w:hAnsi="Times New Roman" w:cs="Times New Roman"/>
          <w:color w:val="000000"/>
        </w:rPr>
        <w:t xml:space="preserve">U.S. </w:t>
      </w:r>
      <w:proofErr w:type="spellStart"/>
      <w:r w:rsidR="008F697D" w:rsidRPr="00705170">
        <w:rPr>
          <w:rFonts w:ascii="Times New Roman" w:hAnsi="Times New Roman" w:cs="Times New Roman"/>
          <w:color w:val="000000"/>
        </w:rPr>
        <w:t>case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law</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further</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suggests</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that</w:t>
      </w:r>
      <w:proofErr w:type="spellEnd"/>
      <w:r w:rsidR="008F697D" w:rsidRPr="00705170">
        <w:rPr>
          <w:rFonts w:ascii="Times New Roman" w:hAnsi="Times New Roman" w:cs="Times New Roman"/>
          <w:color w:val="000000"/>
        </w:rPr>
        <w:t xml:space="preserve"> in a </w:t>
      </w:r>
      <w:proofErr w:type="spellStart"/>
      <w:r w:rsidR="008F697D" w:rsidRPr="00705170">
        <w:rPr>
          <w:rFonts w:ascii="Times New Roman" w:hAnsi="Times New Roman" w:cs="Times New Roman"/>
          <w:color w:val="000000"/>
        </w:rPr>
        <w:t>contractual</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context</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the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duty</w:t>
      </w:r>
      <w:proofErr w:type="spellEnd"/>
      <w:r w:rsidR="008F697D" w:rsidRPr="00705170">
        <w:rPr>
          <w:rFonts w:ascii="Times New Roman" w:hAnsi="Times New Roman" w:cs="Times New Roman"/>
          <w:color w:val="000000"/>
        </w:rPr>
        <w:t xml:space="preserve"> of </w:t>
      </w:r>
      <w:proofErr w:type="spellStart"/>
      <w:r w:rsidR="008F697D" w:rsidRPr="00705170">
        <w:rPr>
          <w:rFonts w:ascii="Times New Roman" w:hAnsi="Times New Roman" w:cs="Times New Roman"/>
          <w:color w:val="000000"/>
        </w:rPr>
        <w:t>good</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faith</w:t>
      </w:r>
      <w:proofErr w:type="spellEnd"/>
      <w:r w:rsidR="008F697D" w:rsidRPr="00705170">
        <w:rPr>
          <w:rFonts w:ascii="Times New Roman" w:hAnsi="Times New Roman" w:cs="Times New Roman"/>
          <w:color w:val="000000"/>
        </w:rPr>
        <w:t xml:space="preserve"> is </w:t>
      </w:r>
      <w:proofErr w:type="spellStart"/>
      <w:r w:rsidR="008F697D" w:rsidRPr="00705170">
        <w:rPr>
          <w:rFonts w:ascii="Times New Roman" w:hAnsi="Times New Roman" w:cs="Times New Roman"/>
          <w:color w:val="000000"/>
        </w:rPr>
        <w:t>connected</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with</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the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reasonable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expecta</w:t>
      </w:r>
      <w:r w:rsidR="00193BA9" w:rsidRPr="00705170">
        <w:rPr>
          <w:rFonts w:ascii="Times New Roman" w:hAnsi="Times New Roman" w:cs="Times New Roman"/>
          <w:color w:val="000000"/>
        </w:rPr>
        <w:t>tions</w:t>
      </w:r>
      <w:proofErr w:type="spellEnd"/>
      <w:r w:rsidR="00193BA9" w:rsidRPr="00705170">
        <w:rPr>
          <w:rFonts w:ascii="Times New Roman" w:hAnsi="Times New Roman" w:cs="Times New Roman"/>
          <w:color w:val="000000"/>
        </w:rPr>
        <w:t xml:space="preserve">” of </w:t>
      </w:r>
      <w:proofErr w:type="spellStart"/>
      <w:r w:rsidR="00193BA9" w:rsidRPr="00705170">
        <w:rPr>
          <w:rFonts w:ascii="Times New Roman" w:hAnsi="Times New Roman" w:cs="Times New Roman"/>
          <w:color w:val="000000"/>
        </w:rPr>
        <w:t>the</w:t>
      </w:r>
      <w:proofErr w:type="spellEnd"/>
      <w:r w:rsidR="00193BA9" w:rsidRPr="00705170">
        <w:rPr>
          <w:rFonts w:ascii="Times New Roman" w:hAnsi="Times New Roman" w:cs="Times New Roman"/>
          <w:color w:val="000000"/>
        </w:rPr>
        <w:t xml:space="preserve"> </w:t>
      </w:r>
      <w:proofErr w:type="spellStart"/>
      <w:r w:rsidR="00193BA9" w:rsidRPr="00705170">
        <w:rPr>
          <w:rFonts w:ascii="Times New Roman" w:hAnsi="Times New Roman" w:cs="Times New Roman"/>
          <w:color w:val="000000"/>
        </w:rPr>
        <w:t>parties</w:t>
      </w:r>
      <w:proofErr w:type="spellEnd"/>
      <w:r w:rsidR="00193BA9" w:rsidRPr="00705170">
        <w:rPr>
          <w:rFonts w:ascii="Times New Roman" w:hAnsi="Times New Roman" w:cs="Times New Roman"/>
          <w:color w:val="000000"/>
        </w:rPr>
        <w:t>:</w:t>
      </w:r>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In</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Katz</w:t>
      </w:r>
      <w:proofErr w:type="spellEnd"/>
      <w:r w:rsidR="008F697D" w:rsidRPr="00705170">
        <w:rPr>
          <w:rFonts w:ascii="Times New Roman" w:hAnsi="Times New Roman" w:cs="Times New Roman"/>
          <w:color w:val="000000"/>
        </w:rPr>
        <w:t xml:space="preserve"> v. </w:t>
      </w:r>
      <w:proofErr w:type="spellStart"/>
      <w:r w:rsidR="008F697D" w:rsidRPr="00705170">
        <w:rPr>
          <w:rFonts w:ascii="Times New Roman" w:hAnsi="Times New Roman" w:cs="Times New Roman"/>
          <w:color w:val="000000"/>
        </w:rPr>
        <w:t>Oak</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Industries</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Inc</w:t>
      </w:r>
      <w:proofErr w:type="spellEnd"/>
      <w:r w:rsidR="008F697D" w:rsidRPr="00705170">
        <w:rPr>
          <w:rFonts w:ascii="Times New Roman" w:hAnsi="Times New Roman" w:cs="Times New Roman"/>
          <w:color w:val="000000"/>
        </w:rPr>
        <w:t xml:space="preserve">., 508 A.2d 873 (1986), </w:t>
      </w:r>
      <w:proofErr w:type="spellStart"/>
      <w:r w:rsidR="008F697D" w:rsidRPr="00705170">
        <w:rPr>
          <w:rFonts w:ascii="Times New Roman" w:hAnsi="Times New Roman" w:cs="Times New Roman"/>
          <w:color w:val="000000"/>
        </w:rPr>
        <w:t>the</w:t>
      </w:r>
      <w:proofErr w:type="spellEnd"/>
      <w:r w:rsidR="008F697D" w:rsidRPr="00705170">
        <w:rPr>
          <w:rFonts w:ascii="Times New Roman" w:hAnsi="Times New Roman" w:cs="Times New Roman"/>
          <w:color w:val="000000"/>
        </w:rPr>
        <w:t xml:space="preserve"> </w:t>
      </w:r>
      <w:proofErr w:type="spellStart"/>
      <w:r w:rsidR="008F697D" w:rsidRPr="00705170">
        <w:rPr>
          <w:rFonts w:ascii="Times New Roman" w:hAnsi="Times New Roman" w:cs="Times New Roman"/>
          <w:color w:val="000000"/>
        </w:rPr>
        <w:t>court</w:t>
      </w:r>
      <w:proofErr w:type="spellEnd"/>
      <w:r w:rsidR="008F697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acknowledged</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that</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when</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the</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court</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holds</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that</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good</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faith</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requires</w:t>
      </w:r>
      <w:proofErr w:type="spellEnd"/>
      <w:r w:rsidR="0032662D" w:rsidRPr="00705170">
        <w:rPr>
          <w:rFonts w:ascii="Times New Roman" w:hAnsi="Times New Roman" w:cs="Times New Roman"/>
          <w:color w:val="000000"/>
        </w:rPr>
        <w:t xml:space="preserve"> a </w:t>
      </w:r>
      <w:proofErr w:type="spellStart"/>
      <w:r w:rsidR="0032662D" w:rsidRPr="00705170">
        <w:rPr>
          <w:rFonts w:ascii="Times New Roman" w:hAnsi="Times New Roman" w:cs="Times New Roman"/>
          <w:color w:val="000000"/>
        </w:rPr>
        <w:t>party</w:t>
      </w:r>
      <w:proofErr w:type="spellEnd"/>
      <w:r w:rsidR="0032662D" w:rsidRPr="00705170">
        <w:rPr>
          <w:rFonts w:ascii="Times New Roman" w:hAnsi="Times New Roman" w:cs="Times New Roman"/>
          <w:color w:val="000000"/>
        </w:rPr>
        <w:t xml:space="preserve"> not </w:t>
      </w:r>
      <w:proofErr w:type="spellStart"/>
      <w:r w:rsidR="0032662D" w:rsidRPr="00705170">
        <w:rPr>
          <w:rFonts w:ascii="Times New Roman" w:hAnsi="Times New Roman" w:cs="Times New Roman"/>
          <w:color w:val="000000"/>
        </w:rPr>
        <w:t>to</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violate</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the</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other</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party’s</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expectations</w:t>
      </w:r>
      <w:proofErr w:type="spellEnd"/>
      <w:r w:rsidR="0032662D" w:rsidRPr="00705170">
        <w:rPr>
          <w:rFonts w:ascii="Times New Roman" w:hAnsi="Times New Roman" w:cs="Times New Roman"/>
          <w:color w:val="000000"/>
        </w:rPr>
        <w:t xml:space="preserve">, it is </w:t>
      </w:r>
      <w:proofErr w:type="spellStart"/>
      <w:r w:rsidR="0032662D" w:rsidRPr="00705170">
        <w:rPr>
          <w:rFonts w:ascii="Times New Roman" w:hAnsi="Times New Roman" w:cs="Times New Roman"/>
          <w:color w:val="000000"/>
        </w:rPr>
        <w:t>recognizing</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that</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sometimes</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the</w:t>
      </w:r>
      <w:proofErr w:type="spellEnd"/>
      <w:r w:rsidR="0032662D" w:rsidRPr="00705170">
        <w:rPr>
          <w:rFonts w:ascii="Times New Roman" w:hAnsi="Times New Roman" w:cs="Times New Roman"/>
          <w:color w:val="000000"/>
        </w:rPr>
        <w:t xml:space="preserve"> silence in </w:t>
      </w:r>
      <w:proofErr w:type="spellStart"/>
      <w:r w:rsidR="0032662D" w:rsidRPr="00705170">
        <w:rPr>
          <w:rFonts w:ascii="Times New Roman" w:hAnsi="Times New Roman" w:cs="Times New Roman"/>
          <w:color w:val="000000"/>
        </w:rPr>
        <w:t>contract</w:t>
      </w:r>
      <w:proofErr w:type="spellEnd"/>
      <w:r w:rsidR="0032662D" w:rsidRPr="00705170">
        <w:rPr>
          <w:rFonts w:ascii="Times New Roman" w:hAnsi="Times New Roman" w:cs="Times New Roman"/>
          <w:color w:val="000000"/>
        </w:rPr>
        <w:t xml:space="preserve"> is a </w:t>
      </w:r>
      <w:proofErr w:type="spellStart"/>
      <w:r w:rsidR="0032662D" w:rsidRPr="00705170">
        <w:rPr>
          <w:rFonts w:ascii="Times New Roman" w:hAnsi="Times New Roman" w:cs="Times New Roman"/>
          <w:color w:val="000000"/>
        </w:rPr>
        <w:t>recognition</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that</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the</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parties</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occasionally</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have</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understandings</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or</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expectations</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that</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were</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so</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fundamental</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that</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they</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did</w:t>
      </w:r>
      <w:proofErr w:type="spellEnd"/>
      <w:r w:rsidR="0032662D" w:rsidRPr="00705170">
        <w:rPr>
          <w:rFonts w:ascii="Times New Roman" w:hAnsi="Times New Roman" w:cs="Times New Roman"/>
          <w:color w:val="000000"/>
        </w:rPr>
        <w:t xml:space="preserve"> not </w:t>
      </w:r>
      <w:proofErr w:type="spellStart"/>
      <w:r w:rsidR="0032662D" w:rsidRPr="00705170">
        <w:rPr>
          <w:rFonts w:ascii="Times New Roman" w:hAnsi="Times New Roman" w:cs="Times New Roman"/>
          <w:color w:val="000000"/>
        </w:rPr>
        <w:t>need</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to</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negotiate</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about</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those</w:t>
      </w:r>
      <w:proofErr w:type="spellEnd"/>
      <w:r w:rsidR="0032662D" w:rsidRPr="00705170">
        <w:rPr>
          <w:rFonts w:ascii="Times New Roman" w:hAnsi="Times New Roman" w:cs="Times New Roman"/>
          <w:color w:val="000000"/>
        </w:rPr>
        <w:t xml:space="preserve"> </w:t>
      </w:r>
      <w:proofErr w:type="spellStart"/>
      <w:r w:rsidR="0032662D" w:rsidRPr="00705170">
        <w:rPr>
          <w:rFonts w:ascii="Times New Roman" w:hAnsi="Times New Roman" w:cs="Times New Roman"/>
          <w:color w:val="000000"/>
        </w:rPr>
        <w:t>expectations</w:t>
      </w:r>
      <w:proofErr w:type="spellEnd"/>
      <w:r w:rsidR="0032662D" w:rsidRPr="00705170">
        <w:rPr>
          <w:rFonts w:ascii="Times New Roman" w:hAnsi="Times New Roman" w:cs="Times New Roman"/>
          <w:color w:val="000000"/>
        </w:rPr>
        <w:t>.</w:t>
      </w:r>
      <w:r w:rsidR="00414C1C">
        <w:rPr>
          <w:rFonts w:ascii="Times New Roman" w:hAnsi="Times New Roman" w:cs="Times New Roman"/>
          <w:color w:val="000000"/>
        </w:rPr>
        <w:t xml:space="preserve"> </w:t>
      </w:r>
      <w:proofErr w:type="spellStart"/>
      <w:r w:rsidR="00414C1C">
        <w:rPr>
          <w:rFonts w:ascii="Times New Roman" w:hAnsi="Times New Roman" w:cs="Times New Roman"/>
          <w:color w:val="000000"/>
        </w:rPr>
        <w:t>Then</w:t>
      </w:r>
      <w:proofErr w:type="spellEnd"/>
      <w:r w:rsidR="00414C1C">
        <w:rPr>
          <w:rFonts w:ascii="Times New Roman" w:hAnsi="Times New Roman" w:cs="Times New Roman"/>
          <w:color w:val="000000"/>
        </w:rPr>
        <w:t>,</w:t>
      </w:r>
      <w:r w:rsidR="00256DE0" w:rsidRPr="00705170">
        <w:rPr>
          <w:rFonts w:ascii="Times New Roman" w:hAnsi="Times New Roman" w:cs="Times New Roman"/>
          <w:color w:val="000000"/>
        </w:rPr>
        <w:t xml:space="preserve"> </w:t>
      </w:r>
      <w:proofErr w:type="spellStart"/>
      <w:r w:rsidR="00256DE0" w:rsidRPr="00705170">
        <w:rPr>
          <w:rFonts w:ascii="Times New Roman" w:hAnsi="Times New Roman" w:cs="Times New Roman"/>
          <w:color w:val="000000"/>
        </w:rPr>
        <w:t>the</w:t>
      </w:r>
      <w:proofErr w:type="spellEnd"/>
      <w:r w:rsidR="00256DE0" w:rsidRPr="00705170">
        <w:rPr>
          <w:rFonts w:ascii="Times New Roman" w:hAnsi="Times New Roman" w:cs="Times New Roman"/>
          <w:color w:val="000000"/>
        </w:rPr>
        <w:t xml:space="preserve"> </w:t>
      </w:r>
      <w:proofErr w:type="spellStart"/>
      <w:r w:rsidR="00256DE0" w:rsidRPr="00705170">
        <w:rPr>
          <w:rFonts w:ascii="Times New Roman" w:hAnsi="Times New Roman" w:cs="Times New Roman"/>
          <w:color w:val="000000"/>
        </w:rPr>
        <w:t>concepts</w:t>
      </w:r>
      <w:proofErr w:type="spellEnd"/>
      <w:r w:rsidR="00256DE0" w:rsidRPr="00705170">
        <w:rPr>
          <w:rFonts w:ascii="Times New Roman" w:hAnsi="Times New Roman" w:cs="Times New Roman"/>
          <w:color w:val="000000"/>
        </w:rPr>
        <w:t xml:space="preserve"> of </w:t>
      </w:r>
      <w:proofErr w:type="spellStart"/>
      <w:r w:rsidR="00256DE0" w:rsidRPr="00705170">
        <w:rPr>
          <w:rFonts w:ascii="Times New Roman" w:hAnsi="Times New Roman" w:cs="Times New Roman"/>
          <w:color w:val="000000"/>
        </w:rPr>
        <w:t>good</w:t>
      </w:r>
      <w:proofErr w:type="spellEnd"/>
      <w:r w:rsidR="00256DE0" w:rsidRPr="00705170">
        <w:rPr>
          <w:rFonts w:ascii="Times New Roman" w:hAnsi="Times New Roman" w:cs="Times New Roman"/>
          <w:color w:val="000000"/>
        </w:rPr>
        <w:t xml:space="preserve"> </w:t>
      </w:r>
      <w:proofErr w:type="spellStart"/>
      <w:r w:rsidR="00256DE0" w:rsidRPr="00705170">
        <w:rPr>
          <w:rFonts w:ascii="Times New Roman" w:hAnsi="Times New Roman" w:cs="Times New Roman"/>
          <w:color w:val="000000"/>
        </w:rPr>
        <w:t>faith</w:t>
      </w:r>
      <w:proofErr w:type="spellEnd"/>
      <w:r w:rsidR="00256DE0" w:rsidRPr="00705170">
        <w:rPr>
          <w:rFonts w:ascii="Times New Roman" w:hAnsi="Times New Roman" w:cs="Times New Roman"/>
          <w:color w:val="000000"/>
        </w:rPr>
        <w:t xml:space="preserve"> </w:t>
      </w:r>
      <w:proofErr w:type="spellStart"/>
      <w:r w:rsidR="00256DE0" w:rsidRPr="00705170">
        <w:rPr>
          <w:rFonts w:ascii="Times New Roman" w:hAnsi="Times New Roman" w:cs="Times New Roman"/>
          <w:color w:val="000000"/>
        </w:rPr>
        <w:t>and</w:t>
      </w:r>
      <w:proofErr w:type="spellEnd"/>
      <w:r w:rsidR="00256DE0" w:rsidRPr="00705170">
        <w:rPr>
          <w:rFonts w:ascii="Times New Roman" w:hAnsi="Times New Roman" w:cs="Times New Roman"/>
          <w:color w:val="000000"/>
        </w:rPr>
        <w:t xml:space="preserve"> </w:t>
      </w:r>
      <w:proofErr w:type="spellStart"/>
      <w:r w:rsidR="00256DE0" w:rsidRPr="00705170">
        <w:rPr>
          <w:rFonts w:ascii="Times New Roman" w:hAnsi="Times New Roman" w:cs="Times New Roman"/>
          <w:color w:val="000000"/>
        </w:rPr>
        <w:t>reasonable</w:t>
      </w:r>
      <w:proofErr w:type="spellEnd"/>
      <w:r w:rsidR="00256DE0" w:rsidRPr="00705170">
        <w:rPr>
          <w:rFonts w:ascii="Times New Roman" w:hAnsi="Times New Roman" w:cs="Times New Roman"/>
          <w:color w:val="000000"/>
        </w:rPr>
        <w:t xml:space="preserve"> </w:t>
      </w:r>
      <w:proofErr w:type="spellStart"/>
      <w:r w:rsidR="00256DE0" w:rsidRPr="00705170">
        <w:rPr>
          <w:rFonts w:ascii="Times New Roman" w:hAnsi="Times New Roman" w:cs="Times New Roman"/>
          <w:color w:val="000000"/>
        </w:rPr>
        <w:t>expectations</w:t>
      </w:r>
      <w:proofErr w:type="spellEnd"/>
      <w:r w:rsidR="00256DE0" w:rsidRPr="00705170">
        <w:rPr>
          <w:rFonts w:ascii="Times New Roman" w:hAnsi="Times New Roman" w:cs="Times New Roman"/>
          <w:color w:val="000000"/>
        </w:rPr>
        <w:t xml:space="preserve"> </w:t>
      </w:r>
      <w:proofErr w:type="spellStart"/>
      <w:r w:rsidR="00256DE0" w:rsidRPr="00705170">
        <w:rPr>
          <w:rFonts w:ascii="Times New Roman" w:hAnsi="Times New Roman" w:cs="Times New Roman"/>
          <w:color w:val="000000"/>
        </w:rPr>
        <w:t>are</w:t>
      </w:r>
      <w:proofErr w:type="spellEnd"/>
      <w:r w:rsidR="00256DE0" w:rsidRPr="00705170">
        <w:rPr>
          <w:rFonts w:ascii="Times New Roman" w:hAnsi="Times New Roman" w:cs="Times New Roman"/>
          <w:color w:val="000000"/>
        </w:rPr>
        <w:t xml:space="preserve"> </w:t>
      </w:r>
      <w:proofErr w:type="spellStart"/>
      <w:r w:rsidR="00256DE0" w:rsidRPr="00705170">
        <w:rPr>
          <w:rFonts w:ascii="Times New Roman" w:hAnsi="Times New Roman" w:cs="Times New Roman"/>
          <w:color w:val="000000"/>
        </w:rPr>
        <w:t>compatible</w:t>
      </w:r>
      <w:proofErr w:type="spellEnd"/>
      <w:r w:rsidR="00256DE0" w:rsidRPr="00705170">
        <w:rPr>
          <w:rFonts w:ascii="Times New Roman" w:hAnsi="Times New Roman" w:cs="Times New Roman"/>
          <w:color w:val="000000"/>
        </w:rPr>
        <w:t xml:space="preserve"> in </w:t>
      </w:r>
      <w:proofErr w:type="spellStart"/>
      <w:r w:rsidR="00256DE0" w:rsidRPr="00705170">
        <w:rPr>
          <w:rFonts w:ascii="Times New Roman" w:hAnsi="Times New Roman" w:cs="Times New Roman"/>
          <w:color w:val="000000"/>
        </w:rPr>
        <w:t>nature</w:t>
      </w:r>
      <w:proofErr w:type="spellEnd"/>
      <w:r w:rsidR="00256DE0" w:rsidRPr="00705170">
        <w:rPr>
          <w:rFonts w:ascii="Times New Roman" w:hAnsi="Times New Roman" w:cs="Times New Roman"/>
          <w:color w:val="000000"/>
        </w:rPr>
        <w:t>.</w:t>
      </w:r>
      <w:r w:rsidR="00193BA9" w:rsidRPr="00705170">
        <w:rPr>
          <w:rFonts w:ascii="Times New Roman" w:hAnsi="Times New Roman" w:cs="Times New Roman"/>
          <w:color w:val="000000"/>
        </w:rPr>
        <w:t xml:space="preserve"> </w:t>
      </w:r>
    </w:p>
    <w:p w14:paraId="62A1EE9F" w14:textId="516ABC90" w:rsidR="00695E0A" w:rsidRPr="00705170" w:rsidRDefault="00E55AD5" w:rsidP="006E5FC0">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color w:val="000000"/>
        </w:rPr>
        <w:t>To</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illustrate</w:t>
      </w:r>
      <w:proofErr w:type="spellEnd"/>
      <w:r w:rsidRPr="00705170">
        <w:rPr>
          <w:rFonts w:ascii="Times New Roman" w:hAnsi="Times New Roman" w:cs="Times New Roman"/>
          <w:color w:val="000000"/>
        </w:rPr>
        <w:t xml:space="preserve"> how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conception</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may</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help</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definition</w:t>
      </w:r>
      <w:proofErr w:type="spellEnd"/>
      <w:r w:rsidRPr="00705170">
        <w:rPr>
          <w:rFonts w:ascii="Times New Roman" w:hAnsi="Times New Roman" w:cs="Times New Roman"/>
          <w:color w:val="000000"/>
        </w:rPr>
        <w:t xml:space="preserve"> of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just</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cause</w:t>
      </w:r>
      <w:proofErr w:type="spellEnd"/>
      <w:r w:rsidR="00B625E1">
        <w:rPr>
          <w:rFonts w:ascii="Times New Roman" w:hAnsi="Times New Roman" w:cs="Times New Roman"/>
          <w:color w:val="000000"/>
        </w:rPr>
        <w:t xml:space="preserve"> </w:t>
      </w:r>
      <w:proofErr w:type="spellStart"/>
      <w:r w:rsidR="00B625E1">
        <w:rPr>
          <w:rFonts w:ascii="Times New Roman" w:hAnsi="Times New Roman" w:cs="Times New Roman"/>
          <w:color w:val="000000"/>
        </w:rPr>
        <w:t>under</w:t>
      </w:r>
      <w:proofErr w:type="spellEnd"/>
      <w:r w:rsidR="00B625E1">
        <w:rPr>
          <w:rFonts w:ascii="Times New Roman" w:hAnsi="Times New Roman" w:cs="Times New Roman"/>
          <w:color w:val="000000"/>
        </w:rPr>
        <w:t xml:space="preserve"> </w:t>
      </w:r>
      <w:proofErr w:type="spellStart"/>
      <w:r w:rsidR="00B625E1">
        <w:rPr>
          <w:rFonts w:ascii="Times New Roman" w:hAnsi="Times New Roman" w:cs="Times New Roman"/>
          <w:color w:val="000000"/>
        </w:rPr>
        <w:t>Turkish</w:t>
      </w:r>
      <w:proofErr w:type="spellEnd"/>
      <w:r w:rsidR="00B625E1">
        <w:rPr>
          <w:rFonts w:ascii="Times New Roman" w:hAnsi="Times New Roman" w:cs="Times New Roman"/>
          <w:color w:val="000000"/>
        </w:rPr>
        <w:t xml:space="preserve"> </w:t>
      </w:r>
      <w:proofErr w:type="spellStart"/>
      <w:r w:rsidR="00B625E1">
        <w:rPr>
          <w:rFonts w:ascii="Times New Roman" w:hAnsi="Times New Roman" w:cs="Times New Roman"/>
          <w:color w:val="000000"/>
        </w:rPr>
        <w:t>law</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one</w:t>
      </w:r>
      <w:proofErr w:type="spellEnd"/>
      <w:r w:rsidRPr="00705170">
        <w:rPr>
          <w:rFonts w:ascii="Times New Roman" w:hAnsi="Times New Roman" w:cs="Times New Roman"/>
          <w:color w:val="000000"/>
        </w:rPr>
        <w:t xml:space="preserve"> can </w:t>
      </w:r>
      <w:proofErr w:type="spellStart"/>
      <w:r w:rsidRPr="00705170">
        <w:rPr>
          <w:rFonts w:ascii="Times New Roman" w:hAnsi="Times New Roman" w:cs="Times New Roman"/>
          <w:color w:val="000000"/>
        </w:rPr>
        <w:t>state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the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following</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color w:val="000000"/>
        </w:rPr>
        <w:t>example</w:t>
      </w:r>
      <w:proofErr w:type="spellEnd"/>
      <w:r w:rsidRPr="00705170">
        <w:rPr>
          <w:rFonts w:ascii="Times New Roman" w:hAnsi="Times New Roman" w:cs="Times New Roman"/>
          <w:color w:val="000000"/>
        </w:rPr>
        <w:t xml:space="preserve">: </w:t>
      </w:r>
      <w:proofErr w:type="spellStart"/>
      <w:r w:rsidRPr="00705170">
        <w:rPr>
          <w:rFonts w:ascii="Times New Roman" w:hAnsi="Times New Roman" w:cs="Times New Roman"/>
        </w:rPr>
        <w:t>While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term</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articles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incorporation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lets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transfer </w:t>
      </w:r>
      <w:proofErr w:type="spellStart"/>
      <w:r w:rsidRPr="00705170">
        <w:rPr>
          <w:rFonts w:ascii="Times New Roman" w:hAnsi="Times New Roman" w:cs="Times New Roman"/>
        </w:rPr>
        <w:t>all</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profits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third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be</w:t>
      </w:r>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held</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invalid</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because</w:t>
      </w:r>
      <w:proofErr w:type="spellEnd"/>
      <w:r w:rsidR="000F2F38" w:rsidRPr="00705170">
        <w:rPr>
          <w:rFonts w:ascii="Times New Roman" w:hAnsi="Times New Roman" w:cs="Times New Roman"/>
        </w:rPr>
        <w:t xml:space="preserve"> it </w:t>
      </w:r>
      <w:r w:rsidR="00AA4174">
        <w:rPr>
          <w:rFonts w:ascii="Times New Roman" w:hAnsi="Times New Roman" w:cs="Times New Roman"/>
        </w:rPr>
        <w:t xml:space="preserve">is </w:t>
      </w:r>
      <w:proofErr w:type="spellStart"/>
      <w:r w:rsidR="00AA4174">
        <w:rPr>
          <w:rFonts w:ascii="Times New Roman" w:hAnsi="Times New Roman" w:cs="Times New Roman"/>
        </w:rPr>
        <w:t>deemed</w:t>
      </w:r>
      <w:proofErr w:type="spellEnd"/>
      <w:r w:rsidR="00AA4174">
        <w:rPr>
          <w:rFonts w:ascii="Times New Roman" w:hAnsi="Times New Roman" w:cs="Times New Roman"/>
        </w:rPr>
        <w:t xml:space="preserve"> as </w:t>
      </w:r>
      <w:r w:rsidR="00CD3F44">
        <w:rPr>
          <w:rFonts w:ascii="Times New Roman" w:hAnsi="Times New Roman" w:cs="Times New Roman"/>
        </w:rPr>
        <w:t xml:space="preserve">an </w:t>
      </w:r>
      <w:proofErr w:type="spellStart"/>
      <w:r w:rsidR="00AA4174">
        <w:rPr>
          <w:rFonts w:ascii="Times New Roman" w:hAnsi="Times New Roman" w:cs="Times New Roman"/>
        </w:rPr>
        <w:t>abandonment</w:t>
      </w:r>
      <w:proofErr w:type="spellEnd"/>
      <w:r w:rsidR="00AA4174">
        <w:rPr>
          <w:rFonts w:ascii="Times New Roman" w:hAnsi="Times New Roman" w:cs="Times New Roman"/>
        </w:rPr>
        <w:t xml:space="preserve"> of </w:t>
      </w:r>
      <w:proofErr w:type="spellStart"/>
      <w:r w:rsidR="00AA4174">
        <w:rPr>
          <w:rFonts w:ascii="Times New Roman" w:hAnsi="Times New Roman" w:cs="Times New Roman"/>
        </w:rPr>
        <w:t>its</w:t>
      </w:r>
      <w:proofErr w:type="spellEnd"/>
      <w:r w:rsidR="00AA4174">
        <w:rPr>
          <w:rFonts w:ascii="Times New Roman" w:hAnsi="Times New Roman" w:cs="Times New Roman"/>
        </w:rPr>
        <w:t xml:space="preserve"> </w:t>
      </w:r>
      <w:proofErr w:type="spellStart"/>
      <w:r w:rsidR="00AA4174">
        <w:rPr>
          <w:rFonts w:ascii="Times New Roman" w:hAnsi="Times New Roman" w:cs="Times New Roman"/>
        </w:rPr>
        <w:t>economic</w:t>
      </w:r>
      <w:proofErr w:type="spellEnd"/>
      <w:r w:rsidR="00AA4174">
        <w:rPr>
          <w:rFonts w:ascii="Times New Roman" w:hAnsi="Times New Roman" w:cs="Times New Roman"/>
        </w:rPr>
        <w:t xml:space="preserve"> </w:t>
      </w:r>
      <w:proofErr w:type="spellStart"/>
      <w:r w:rsidR="00AA4174">
        <w:rPr>
          <w:rFonts w:ascii="Times New Roman" w:hAnsi="Times New Roman" w:cs="Times New Roman"/>
        </w:rPr>
        <w:t>purpose</w:t>
      </w:r>
      <w:proofErr w:type="spellEnd"/>
      <w:r w:rsidR="00AA4174">
        <w:rPr>
          <w:rFonts w:ascii="Times New Roman" w:hAnsi="Times New Roman" w:cs="Times New Roman"/>
        </w:rPr>
        <w:t xml:space="preserve"> </w:t>
      </w:r>
      <w:proofErr w:type="spellStart"/>
      <w:r w:rsidR="00AA4174">
        <w:rPr>
          <w:rFonts w:ascii="Times New Roman" w:hAnsi="Times New Roman" w:cs="Times New Roman"/>
        </w:rPr>
        <w:t>and</w:t>
      </w:r>
      <w:proofErr w:type="spellEnd"/>
      <w:r w:rsidR="00AA4174">
        <w:rPr>
          <w:rFonts w:ascii="Times New Roman" w:hAnsi="Times New Roman" w:cs="Times New Roman"/>
        </w:rPr>
        <w:t xml:space="preserve"> </w:t>
      </w:r>
      <w:proofErr w:type="spellStart"/>
      <w:r w:rsidR="000F2F38" w:rsidRPr="00705170">
        <w:rPr>
          <w:rFonts w:ascii="Times New Roman" w:hAnsi="Times New Roman" w:cs="Times New Roman"/>
        </w:rPr>
        <w:t>violat</w:t>
      </w:r>
      <w:r w:rsidR="00AA4174">
        <w:rPr>
          <w:rFonts w:ascii="Times New Roman" w:hAnsi="Times New Roman" w:cs="Times New Roman"/>
        </w:rPr>
        <w:t>ion</w:t>
      </w:r>
      <w:proofErr w:type="spellEnd"/>
      <w:r w:rsidR="00AA4174">
        <w:rPr>
          <w:rFonts w:ascii="Times New Roman" w:hAnsi="Times New Roman" w:cs="Times New Roman"/>
        </w:rPr>
        <w:t xml:space="preserve"> of</w:t>
      </w:r>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shareholders</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right</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to</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dividend</w:t>
      </w:r>
      <w:proofErr w:type="spellEnd"/>
      <w:r w:rsidR="00B625E1">
        <w:rPr>
          <w:rStyle w:val="DipnotBavurusu"/>
          <w:rFonts w:ascii="Times New Roman" w:hAnsi="Times New Roman" w:cs="Times New Roman"/>
        </w:rPr>
        <w:footnoteReference w:id="952"/>
      </w:r>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corporation</w:t>
      </w:r>
      <w:proofErr w:type="spellEnd"/>
      <w:r w:rsidR="000F2F38" w:rsidRPr="00705170">
        <w:rPr>
          <w:rFonts w:ascii="Times New Roman" w:hAnsi="Times New Roman" w:cs="Times New Roman"/>
        </w:rPr>
        <w:t xml:space="preserve"> can </w:t>
      </w:r>
      <w:proofErr w:type="spellStart"/>
      <w:r w:rsidR="000F2F38" w:rsidRPr="00705170">
        <w:rPr>
          <w:rFonts w:ascii="Times New Roman" w:hAnsi="Times New Roman" w:cs="Times New Roman"/>
        </w:rPr>
        <w:t>nevertheless</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continue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doing</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same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practice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through</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other</w:t>
      </w:r>
      <w:proofErr w:type="spellEnd"/>
      <w:r w:rsidR="000F2F38" w:rsidRPr="00705170">
        <w:rPr>
          <w:rFonts w:ascii="Times New Roman" w:hAnsi="Times New Roman" w:cs="Times New Roman"/>
        </w:rPr>
        <w:t xml:space="preserve"> </w:t>
      </w:r>
      <w:proofErr w:type="spellStart"/>
      <w:r w:rsidR="00F91D2C">
        <w:rPr>
          <w:rFonts w:ascii="Times New Roman" w:hAnsi="Times New Roman" w:cs="Times New Roman"/>
        </w:rPr>
        <w:t>apperantly</w:t>
      </w:r>
      <w:proofErr w:type="spellEnd"/>
      <w:r w:rsidR="00F91D2C">
        <w:rPr>
          <w:rFonts w:ascii="Times New Roman" w:hAnsi="Times New Roman" w:cs="Times New Roman"/>
        </w:rPr>
        <w:t xml:space="preserve"> </w:t>
      </w:r>
      <w:proofErr w:type="spellStart"/>
      <w:r w:rsidR="000F2F38" w:rsidRPr="00705170">
        <w:rPr>
          <w:rFonts w:ascii="Times New Roman" w:hAnsi="Times New Roman" w:cs="Times New Roman"/>
        </w:rPr>
        <w:t>legitimate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ways</w:t>
      </w:r>
      <w:proofErr w:type="spellEnd"/>
      <w:r w:rsidR="000F2F38" w:rsidRPr="00705170">
        <w:rPr>
          <w:rFonts w:ascii="Times New Roman" w:hAnsi="Times New Roman" w:cs="Times New Roman"/>
        </w:rPr>
        <w:t xml:space="preserve"> </w:t>
      </w:r>
      <w:proofErr w:type="spellStart"/>
      <w:r w:rsidR="00414C1C">
        <w:rPr>
          <w:rFonts w:ascii="Times New Roman" w:hAnsi="Times New Roman" w:cs="Times New Roman"/>
        </w:rPr>
        <w:t>by</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casual</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business</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transactions</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like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asset</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sale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or</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purchase</w:t>
      </w:r>
      <w:proofErr w:type="spellEnd"/>
      <w:r w:rsidR="005A3188" w:rsidRPr="00705170">
        <w:rPr>
          <w:rFonts w:ascii="Times New Roman" w:hAnsi="Times New Roman" w:cs="Times New Roman"/>
        </w:rPr>
        <w:t xml:space="preserve"> </w:t>
      </w:r>
      <w:proofErr w:type="spellStart"/>
      <w:r w:rsidR="005A3188" w:rsidRPr="00705170">
        <w:rPr>
          <w:rFonts w:ascii="Times New Roman" w:hAnsi="Times New Roman" w:cs="Times New Roman"/>
        </w:rPr>
        <w:t>or</w:t>
      </w:r>
      <w:proofErr w:type="spellEnd"/>
      <w:r w:rsidR="005A3188" w:rsidRPr="00705170">
        <w:rPr>
          <w:rFonts w:ascii="Times New Roman" w:hAnsi="Times New Roman" w:cs="Times New Roman"/>
        </w:rPr>
        <w:t xml:space="preserve"> </w:t>
      </w:r>
      <w:proofErr w:type="spellStart"/>
      <w:r w:rsidR="005A3188" w:rsidRPr="00705170">
        <w:rPr>
          <w:rFonts w:ascii="Times New Roman" w:hAnsi="Times New Roman" w:cs="Times New Roman"/>
        </w:rPr>
        <w:t>any</w:t>
      </w:r>
      <w:proofErr w:type="spellEnd"/>
      <w:r w:rsidR="005A3188" w:rsidRPr="00705170">
        <w:rPr>
          <w:rFonts w:ascii="Times New Roman" w:hAnsi="Times New Roman" w:cs="Times New Roman"/>
        </w:rPr>
        <w:t xml:space="preserve"> </w:t>
      </w:r>
      <w:proofErr w:type="spellStart"/>
      <w:r w:rsidR="005A3188" w:rsidRPr="00705170">
        <w:rPr>
          <w:rFonts w:ascii="Times New Roman" w:hAnsi="Times New Roman" w:cs="Times New Roman"/>
        </w:rPr>
        <w:t>transaction</w:t>
      </w:r>
      <w:proofErr w:type="spellEnd"/>
      <w:r w:rsidR="005A3188" w:rsidRPr="00705170">
        <w:rPr>
          <w:rFonts w:ascii="Times New Roman" w:hAnsi="Times New Roman" w:cs="Times New Roman"/>
        </w:rPr>
        <w:t xml:space="preserve"> of transfer </w:t>
      </w:r>
      <w:proofErr w:type="spellStart"/>
      <w:r w:rsidR="005A3188" w:rsidRPr="00705170">
        <w:rPr>
          <w:rFonts w:ascii="Times New Roman" w:hAnsi="Times New Roman" w:cs="Times New Roman"/>
        </w:rPr>
        <w:t>pricing</w:t>
      </w:r>
      <w:proofErr w:type="spellEnd"/>
      <w:r w:rsidR="00F91D2C">
        <w:rPr>
          <w:rStyle w:val="DipnotBavurusu"/>
          <w:rFonts w:ascii="Times New Roman" w:hAnsi="Times New Roman" w:cs="Times New Roman"/>
        </w:rPr>
        <w:footnoteReference w:id="953"/>
      </w:r>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In</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this</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case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shareholders</w:t>
      </w:r>
      <w:proofErr w:type="spellEnd"/>
      <w:r w:rsidR="000F2F38" w:rsidRPr="00705170">
        <w:rPr>
          <w:rFonts w:ascii="Times New Roman" w:hAnsi="Times New Roman" w:cs="Times New Roman"/>
        </w:rPr>
        <w:t xml:space="preserve"> can </w:t>
      </w:r>
      <w:proofErr w:type="spellStart"/>
      <w:r w:rsidR="000F2F38" w:rsidRPr="00705170">
        <w:rPr>
          <w:rFonts w:ascii="Times New Roman" w:hAnsi="Times New Roman" w:cs="Times New Roman"/>
        </w:rPr>
        <w:t>use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judicial</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dissolution</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card</w:t>
      </w:r>
      <w:proofErr w:type="spellEnd"/>
      <w:r w:rsidR="000F2F38" w:rsidRPr="00705170">
        <w:rPr>
          <w:rFonts w:ascii="Times New Roman" w:hAnsi="Times New Roman" w:cs="Times New Roman"/>
        </w:rPr>
        <w:t xml:space="preserve"> in </w:t>
      </w:r>
      <w:proofErr w:type="spellStart"/>
      <w:r w:rsidR="000F2F38" w:rsidRPr="00705170">
        <w:rPr>
          <w:rFonts w:ascii="Times New Roman" w:hAnsi="Times New Roman" w:cs="Times New Roman"/>
        </w:rPr>
        <w:t>order</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to</w:t>
      </w:r>
      <w:proofErr w:type="spellEnd"/>
      <w:r w:rsidR="000F2F38" w:rsidRPr="00705170">
        <w:rPr>
          <w:rFonts w:ascii="Times New Roman" w:hAnsi="Times New Roman" w:cs="Times New Roman"/>
        </w:rPr>
        <w:t xml:space="preserve"> stop </w:t>
      </w:r>
      <w:proofErr w:type="spellStart"/>
      <w:r w:rsidR="000F2F38" w:rsidRPr="00705170">
        <w:rPr>
          <w:rFonts w:ascii="Times New Roman" w:hAnsi="Times New Roman" w:cs="Times New Roman"/>
        </w:rPr>
        <w:lastRenderedPageBreak/>
        <w:t>this</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continuing</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course</w:t>
      </w:r>
      <w:proofErr w:type="spellEnd"/>
      <w:r w:rsidR="000F2F38" w:rsidRPr="00705170">
        <w:rPr>
          <w:rFonts w:ascii="Times New Roman" w:hAnsi="Times New Roman" w:cs="Times New Roman"/>
        </w:rPr>
        <w:t xml:space="preserve"> of </w:t>
      </w:r>
      <w:proofErr w:type="spellStart"/>
      <w:r w:rsidR="000F2F38" w:rsidRPr="00705170">
        <w:rPr>
          <w:rFonts w:ascii="Times New Roman" w:hAnsi="Times New Roman" w:cs="Times New Roman"/>
        </w:rPr>
        <w:t>conduct</w:t>
      </w:r>
      <w:proofErr w:type="spellEnd"/>
      <w:r w:rsidR="000F2F38" w:rsidRPr="00705170">
        <w:rPr>
          <w:rStyle w:val="DipnotBavurusu"/>
          <w:rFonts w:ascii="Times New Roman" w:hAnsi="Times New Roman" w:cs="Times New Roman"/>
        </w:rPr>
        <w:footnoteReference w:id="954"/>
      </w:r>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Herein</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shareholders</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right</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to</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dividend</w:t>
      </w:r>
      <w:proofErr w:type="spellEnd"/>
      <w:r w:rsidR="000F2F38" w:rsidRPr="00705170">
        <w:rPr>
          <w:rFonts w:ascii="Times New Roman" w:hAnsi="Times New Roman" w:cs="Times New Roman"/>
        </w:rPr>
        <w:t xml:space="preserve"> is not </w:t>
      </w:r>
      <w:proofErr w:type="spellStart"/>
      <w:r w:rsidR="000F2F38" w:rsidRPr="00705170">
        <w:rPr>
          <w:rFonts w:ascii="Times New Roman" w:hAnsi="Times New Roman" w:cs="Times New Roman"/>
        </w:rPr>
        <w:t>directly</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violated</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because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there</w:t>
      </w:r>
      <w:proofErr w:type="spellEnd"/>
      <w:r w:rsidR="000F2F38" w:rsidRPr="00705170">
        <w:rPr>
          <w:rFonts w:ascii="Times New Roman" w:hAnsi="Times New Roman" w:cs="Times New Roman"/>
        </w:rPr>
        <w:t xml:space="preserve"> is </w:t>
      </w:r>
      <w:proofErr w:type="spellStart"/>
      <w:r w:rsidR="000F2F38" w:rsidRPr="00705170">
        <w:rPr>
          <w:rFonts w:ascii="Times New Roman" w:hAnsi="Times New Roman" w:cs="Times New Roman"/>
        </w:rPr>
        <w:t>neither</w:t>
      </w:r>
      <w:proofErr w:type="spellEnd"/>
      <w:r w:rsidR="000F2F38" w:rsidRPr="00705170">
        <w:rPr>
          <w:rFonts w:ascii="Times New Roman" w:hAnsi="Times New Roman" w:cs="Times New Roman"/>
        </w:rPr>
        <w:t xml:space="preserve"> a </w:t>
      </w:r>
      <w:proofErr w:type="spellStart"/>
      <w:r w:rsidR="000F2F38" w:rsidRPr="00705170">
        <w:rPr>
          <w:rFonts w:ascii="Times New Roman" w:hAnsi="Times New Roman" w:cs="Times New Roman"/>
        </w:rPr>
        <w:t>profit</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accruing</w:t>
      </w:r>
      <w:proofErr w:type="spellEnd"/>
      <w:r w:rsidR="000F2F38" w:rsidRPr="00705170">
        <w:rPr>
          <w:rFonts w:ascii="Times New Roman" w:hAnsi="Times New Roman" w:cs="Times New Roman"/>
        </w:rPr>
        <w:t xml:space="preserve"> in </w:t>
      </w:r>
      <w:proofErr w:type="spellStart"/>
      <w:r w:rsidR="000F2F38" w:rsidRPr="00705170">
        <w:rPr>
          <w:rFonts w:ascii="Times New Roman" w:hAnsi="Times New Roman" w:cs="Times New Roman"/>
        </w:rPr>
        <w:t>the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corporate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treasury</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nor</w:t>
      </w:r>
      <w:proofErr w:type="spellEnd"/>
      <w:r w:rsidR="000F2F38" w:rsidRPr="00705170">
        <w:rPr>
          <w:rFonts w:ascii="Times New Roman" w:hAnsi="Times New Roman" w:cs="Times New Roman"/>
        </w:rPr>
        <w:t xml:space="preserve"> an </w:t>
      </w:r>
      <w:proofErr w:type="spellStart"/>
      <w:r w:rsidR="000F2F38" w:rsidRPr="00705170">
        <w:rPr>
          <w:rFonts w:ascii="Times New Roman" w:hAnsi="Times New Roman" w:cs="Times New Roman"/>
        </w:rPr>
        <w:t>article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term</w:t>
      </w:r>
      <w:proofErr w:type="spellEnd"/>
      <w:r w:rsidR="000F2F38" w:rsidRPr="00705170">
        <w:rPr>
          <w:rFonts w:ascii="Times New Roman" w:hAnsi="Times New Roman" w:cs="Times New Roman"/>
        </w:rPr>
        <w:t xml:space="preserve"> is </w:t>
      </w:r>
      <w:proofErr w:type="spellStart"/>
      <w:r w:rsidR="000F2F38" w:rsidRPr="00705170">
        <w:rPr>
          <w:rFonts w:ascii="Times New Roman" w:hAnsi="Times New Roman" w:cs="Times New Roman"/>
        </w:rPr>
        <w:t>authorizing</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the</w:t>
      </w:r>
      <w:proofErr w:type="spellEnd"/>
      <w:r w:rsidR="000F2F38" w:rsidRPr="00705170">
        <w:rPr>
          <w:rFonts w:ascii="Times New Roman" w:hAnsi="Times New Roman" w:cs="Times New Roman"/>
        </w:rPr>
        <w:t xml:space="preserve"> transfer; </w:t>
      </w:r>
      <w:proofErr w:type="spellStart"/>
      <w:r w:rsidR="000F2F38" w:rsidRPr="00705170">
        <w:rPr>
          <w:rFonts w:ascii="Times New Roman" w:hAnsi="Times New Roman" w:cs="Times New Roman"/>
        </w:rPr>
        <w:t>the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treasury</w:t>
      </w:r>
      <w:proofErr w:type="spellEnd"/>
      <w:r w:rsidR="000F2F38" w:rsidRPr="00705170">
        <w:rPr>
          <w:rFonts w:ascii="Times New Roman" w:hAnsi="Times New Roman" w:cs="Times New Roman"/>
        </w:rPr>
        <w:t xml:space="preserve"> is </w:t>
      </w:r>
      <w:proofErr w:type="spellStart"/>
      <w:r w:rsidR="000F2F38" w:rsidRPr="00705170">
        <w:rPr>
          <w:rFonts w:ascii="Times New Roman" w:hAnsi="Times New Roman" w:cs="Times New Roman"/>
        </w:rPr>
        <w:t>being</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emptied</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through</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practice</w:t>
      </w:r>
      <w:proofErr w:type="spellEnd"/>
      <w:r w:rsidR="000F2F38" w:rsidRPr="00705170">
        <w:rPr>
          <w:rFonts w:ascii="Times New Roman" w:hAnsi="Times New Roman" w:cs="Times New Roman"/>
        </w:rPr>
        <w:t xml:space="preserve"> of </w:t>
      </w:r>
      <w:proofErr w:type="spellStart"/>
      <w:r w:rsidR="000F2F38" w:rsidRPr="00705170">
        <w:rPr>
          <w:rFonts w:ascii="Times New Roman" w:hAnsi="Times New Roman" w:cs="Times New Roman"/>
        </w:rPr>
        <w:t>distorted</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management</w:t>
      </w:r>
      <w:proofErr w:type="spellEnd"/>
      <w:r w:rsidR="0062449F">
        <w:rPr>
          <w:rFonts w:ascii="Times New Roman" w:hAnsi="Times New Roman" w:cs="Times New Roman"/>
        </w:rPr>
        <w:t xml:space="preserve"> </w:t>
      </w:r>
      <w:proofErr w:type="spellStart"/>
      <w:r w:rsidR="0062449F">
        <w:rPr>
          <w:rFonts w:ascii="Times New Roman" w:hAnsi="Times New Roman" w:cs="Times New Roman"/>
        </w:rPr>
        <w:t>with</w:t>
      </w:r>
      <w:proofErr w:type="spellEnd"/>
      <w:r w:rsidR="0062449F">
        <w:rPr>
          <w:rFonts w:ascii="Times New Roman" w:hAnsi="Times New Roman" w:cs="Times New Roman"/>
        </w:rPr>
        <w:t xml:space="preserve"> </w:t>
      </w:r>
      <w:proofErr w:type="spellStart"/>
      <w:r w:rsidR="0062449F">
        <w:rPr>
          <w:rFonts w:ascii="Times New Roman" w:hAnsi="Times New Roman" w:cs="Times New Roman"/>
        </w:rPr>
        <w:t>no</w:t>
      </w:r>
      <w:proofErr w:type="spellEnd"/>
      <w:r w:rsidR="0062449F">
        <w:rPr>
          <w:rFonts w:ascii="Times New Roman" w:hAnsi="Times New Roman" w:cs="Times New Roman"/>
        </w:rPr>
        <w:t xml:space="preserve"> </w:t>
      </w:r>
      <w:proofErr w:type="spellStart"/>
      <w:r w:rsidR="0062449F">
        <w:rPr>
          <w:rFonts w:ascii="Times New Roman" w:hAnsi="Times New Roman" w:cs="Times New Roman"/>
        </w:rPr>
        <w:t>substantial</w:t>
      </w:r>
      <w:proofErr w:type="spellEnd"/>
      <w:r w:rsidR="0062449F">
        <w:rPr>
          <w:rFonts w:ascii="Times New Roman" w:hAnsi="Times New Roman" w:cs="Times New Roman"/>
        </w:rPr>
        <w:t xml:space="preserve"> </w:t>
      </w:r>
      <w:proofErr w:type="spellStart"/>
      <w:r w:rsidR="0062449F">
        <w:rPr>
          <w:rFonts w:ascii="Times New Roman" w:hAnsi="Times New Roman" w:cs="Times New Roman"/>
        </w:rPr>
        <w:t>transaction</w:t>
      </w:r>
      <w:proofErr w:type="spellEnd"/>
      <w:r w:rsidR="0062449F">
        <w:rPr>
          <w:rFonts w:ascii="Times New Roman" w:hAnsi="Times New Roman" w:cs="Times New Roman"/>
        </w:rPr>
        <w:t xml:space="preserve"> </w:t>
      </w:r>
      <w:proofErr w:type="spellStart"/>
      <w:r w:rsidR="0062449F">
        <w:rPr>
          <w:rFonts w:ascii="Times New Roman" w:hAnsi="Times New Roman" w:cs="Times New Roman"/>
        </w:rPr>
        <w:t>taking</w:t>
      </w:r>
      <w:proofErr w:type="spellEnd"/>
      <w:r w:rsidR="0062449F">
        <w:rPr>
          <w:rFonts w:ascii="Times New Roman" w:hAnsi="Times New Roman" w:cs="Times New Roman"/>
        </w:rPr>
        <w:t xml:space="preserve"> </w:t>
      </w:r>
      <w:proofErr w:type="spellStart"/>
      <w:r w:rsidR="0062449F">
        <w:rPr>
          <w:rFonts w:ascii="Times New Roman" w:hAnsi="Times New Roman" w:cs="Times New Roman"/>
        </w:rPr>
        <w:t>place</w:t>
      </w:r>
      <w:proofErr w:type="spellEnd"/>
      <w:r w:rsidR="0062449F">
        <w:rPr>
          <w:rFonts w:ascii="Times New Roman" w:hAnsi="Times New Roman" w:cs="Times New Roman"/>
        </w:rPr>
        <w:t xml:space="preserve"> at </w:t>
      </w:r>
      <w:proofErr w:type="spellStart"/>
      <w:r w:rsidR="0062449F">
        <w:rPr>
          <w:rFonts w:ascii="Times New Roman" w:hAnsi="Times New Roman" w:cs="Times New Roman"/>
        </w:rPr>
        <w:t>once</w:t>
      </w:r>
      <w:proofErr w:type="spellEnd"/>
      <w:r w:rsidR="000F2F38" w:rsidRPr="00705170">
        <w:rPr>
          <w:rFonts w:ascii="Times New Roman" w:hAnsi="Times New Roman" w:cs="Times New Roman"/>
        </w:rPr>
        <w:t xml:space="preserve">. </w:t>
      </w:r>
      <w:proofErr w:type="spellStart"/>
      <w:r w:rsidR="004D28C6" w:rsidRPr="00705170">
        <w:rPr>
          <w:rFonts w:ascii="Times New Roman" w:hAnsi="Times New Roman" w:cs="Times New Roman"/>
        </w:rPr>
        <w:t>Even</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when</w:t>
      </w:r>
      <w:proofErr w:type="spellEnd"/>
      <w:r w:rsidR="004D28C6" w:rsidRPr="00705170">
        <w:rPr>
          <w:rFonts w:ascii="Times New Roman" w:hAnsi="Times New Roman" w:cs="Times New Roman"/>
        </w:rPr>
        <w:t xml:space="preserve"> a </w:t>
      </w:r>
      <w:proofErr w:type="spellStart"/>
      <w:r w:rsidR="004D28C6" w:rsidRPr="00705170">
        <w:rPr>
          <w:rFonts w:ascii="Times New Roman" w:hAnsi="Times New Roman" w:cs="Times New Roman"/>
        </w:rPr>
        <w:t>profit</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accrues</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and</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the</w:t>
      </w:r>
      <w:proofErr w:type="spellEnd"/>
      <w:r w:rsidR="004D28C6" w:rsidRPr="00705170">
        <w:rPr>
          <w:rFonts w:ascii="Times New Roman" w:hAnsi="Times New Roman" w:cs="Times New Roman"/>
        </w:rPr>
        <w:t xml:space="preserve"> general </w:t>
      </w:r>
      <w:proofErr w:type="spellStart"/>
      <w:r w:rsidR="004D28C6" w:rsidRPr="00705170">
        <w:rPr>
          <w:rFonts w:ascii="Times New Roman" w:hAnsi="Times New Roman" w:cs="Times New Roman"/>
        </w:rPr>
        <w:t>asssembly’s</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rejects</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to</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declare</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dividends</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and</w:t>
      </w:r>
      <w:proofErr w:type="spellEnd"/>
      <w:r w:rsidR="004D28C6" w:rsidRPr="00705170">
        <w:rPr>
          <w:rFonts w:ascii="Times New Roman" w:hAnsi="Times New Roman" w:cs="Times New Roman"/>
        </w:rPr>
        <w:t xml:space="preserve"> a </w:t>
      </w:r>
      <w:proofErr w:type="spellStart"/>
      <w:r w:rsidR="004D28C6" w:rsidRPr="00705170">
        <w:rPr>
          <w:rFonts w:ascii="Times New Roman" w:hAnsi="Times New Roman" w:cs="Times New Roman"/>
        </w:rPr>
        <w:t>court</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invalidates</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this</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resolution</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claiming</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that</w:t>
      </w:r>
      <w:proofErr w:type="spellEnd"/>
      <w:r w:rsidR="004D28C6" w:rsidRPr="00705170">
        <w:rPr>
          <w:rFonts w:ascii="Times New Roman" w:hAnsi="Times New Roman" w:cs="Times New Roman"/>
        </w:rPr>
        <w:t xml:space="preserve"> it </w:t>
      </w:r>
      <w:proofErr w:type="spellStart"/>
      <w:r w:rsidR="004D28C6" w:rsidRPr="00705170">
        <w:rPr>
          <w:rFonts w:ascii="Times New Roman" w:hAnsi="Times New Roman" w:cs="Times New Roman"/>
        </w:rPr>
        <w:t>violates</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shareholders</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right</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to</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dividend</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the</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court</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does</w:t>
      </w:r>
      <w:proofErr w:type="spellEnd"/>
      <w:r w:rsidR="004D28C6" w:rsidRPr="00705170">
        <w:rPr>
          <w:rFonts w:ascii="Times New Roman" w:hAnsi="Times New Roman" w:cs="Times New Roman"/>
        </w:rPr>
        <w:t xml:space="preserve"> not </w:t>
      </w:r>
      <w:proofErr w:type="spellStart"/>
      <w:r w:rsidR="004D28C6" w:rsidRPr="00705170">
        <w:rPr>
          <w:rFonts w:ascii="Times New Roman" w:hAnsi="Times New Roman" w:cs="Times New Roman"/>
        </w:rPr>
        <w:t>have</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the</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power</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to</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order</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the</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declaration</w:t>
      </w:r>
      <w:proofErr w:type="spellEnd"/>
      <w:r w:rsidR="004D28C6" w:rsidRPr="00705170">
        <w:rPr>
          <w:rFonts w:ascii="Times New Roman" w:hAnsi="Times New Roman" w:cs="Times New Roman"/>
        </w:rPr>
        <w:t xml:space="preserve"> of </w:t>
      </w:r>
      <w:proofErr w:type="spellStart"/>
      <w:r w:rsidR="004D28C6" w:rsidRPr="00705170">
        <w:rPr>
          <w:rFonts w:ascii="Times New Roman" w:hAnsi="Times New Roman" w:cs="Times New Roman"/>
        </w:rPr>
        <w:t>the</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dividend</w:t>
      </w:r>
      <w:proofErr w:type="spellEnd"/>
      <w:r w:rsidR="00414C1C">
        <w:rPr>
          <w:rFonts w:ascii="Times New Roman" w:hAnsi="Times New Roman" w:cs="Times New Roman"/>
        </w:rPr>
        <w:t xml:space="preserve"> in </w:t>
      </w:r>
      <w:proofErr w:type="spellStart"/>
      <w:r w:rsidR="00414C1C">
        <w:rPr>
          <w:rFonts w:ascii="Times New Roman" w:hAnsi="Times New Roman" w:cs="Times New Roman"/>
        </w:rPr>
        <w:t>Turkish</w:t>
      </w:r>
      <w:proofErr w:type="spellEnd"/>
      <w:r w:rsidR="00414C1C">
        <w:rPr>
          <w:rFonts w:ascii="Times New Roman" w:hAnsi="Times New Roman" w:cs="Times New Roman"/>
        </w:rPr>
        <w:t xml:space="preserve"> </w:t>
      </w:r>
      <w:proofErr w:type="spellStart"/>
      <w:r w:rsidR="00414C1C">
        <w:rPr>
          <w:rFonts w:ascii="Times New Roman" w:hAnsi="Times New Roman" w:cs="Times New Roman"/>
        </w:rPr>
        <w:t>law</w:t>
      </w:r>
      <w:proofErr w:type="spellEnd"/>
      <w:r w:rsidR="00B625E1">
        <w:rPr>
          <w:rStyle w:val="DipnotBavurusu"/>
          <w:rFonts w:ascii="Times New Roman" w:hAnsi="Times New Roman" w:cs="Times New Roman"/>
        </w:rPr>
        <w:footnoteReference w:id="955"/>
      </w:r>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thus</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its</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original</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powers</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does</w:t>
      </w:r>
      <w:proofErr w:type="spellEnd"/>
      <w:r w:rsidR="004D28C6" w:rsidRPr="00705170">
        <w:rPr>
          <w:rFonts w:ascii="Times New Roman" w:hAnsi="Times New Roman" w:cs="Times New Roman"/>
        </w:rPr>
        <w:t xml:space="preserve"> not </w:t>
      </w:r>
      <w:proofErr w:type="spellStart"/>
      <w:r w:rsidR="004D28C6" w:rsidRPr="00705170">
        <w:rPr>
          <w:rFonts w:ascii="Times New Roman" w:hAnsi="Times New Roman" w:cs="Times New Roman"/>
        </w:rPr>
        <w:t>provide</w:t>
      </w:r>
      <w:proofErr w:type="spellEnd"/>
      <w:r w:rsidR="004D28C6" w:rsidRPr="00705170">
        <w:rPr>
          <w:rFonts w:ascii="Times New Roman" w:hAnsi="Times New Roman" w:cs="Times New Roman"/>
        </w:rPr>
        <w:t xml:space="preserve"> a </w:t>
      </w:r>
      <w:proofErr w:type="spellStart"/>
      <w:r w:rsidR="004D28C6" w:rsidRPr="00705170">
        <w:rPr>
          <w:rFonts w:ascii="Times New Roman" w:hAnsi="Times New Roman" w:cs="Times New Roman"/>
        </w:rPr>
        <w:t>remedy</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so</w:t>
      </w:r>
      <w:proofErr w:type="spellEnd"/>
      <w:r w:rsidR="004D28C6" w:rsidRPr="00705170">
        <w:rPr>
          <w:rFonts w:ascii="Times New Roman" w:hAnsi="Times New Roman" w:cs="Times New Roman"/>
        </w:rPr>
        <w:t xml:space="preserve"> a </w:t>
      </w:r>
      <w:proofErr w:type="spellStart"/>
      <w:r w:rsidR="004D28C6" w:rsidRPr="00705170">
        <w:rPr>
          <w:rFonts w:ascii="Times New Roman" w:hAnsi="Times New Roman" w:cs="Times New Roman"/>
        </w:rPr>
        <w:t>petitioner</w:t>
      </w:r>
      <w:proofErr w:type="spellEnd"/>
      <w:r w:rsidR="004D28C6" w:rsidRPr="00705170">
        <w:rPr>
          <w:rFonts w:ascii="Times New Roman" w:hAnsi="Times New Roman" w:cs="Times New Roman"/>
        </w:rPr>
        <w:t xml:space="preserve"> is not </w:t>
      </w:r>
      <w:proofErr w:type="spellStart"/>
      <w:r w:rsidR="004D28C6" w:rsidRPr="00705170">
        <w:rPr>
          <w:rFonts w:ascii="Times New Roman" w:hAnsi="Times New Roman" w:cs="Times New Roman"/>
        </w:rPr>
        <w:t>obliged</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to</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use</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this</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path</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before</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the</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judicial</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dissolution</w:t>
      </w:r>
      <w:proofErr w:type="spellEnd"/>
      <w:r w:rsidR="004D28C6" w:rsidRPr="00705170">
        <w:rPr>
          <w:rFonts w:ascii="Times New Roman" w:hAnsi="Times New Roman" w:cs="Times New Roman"/>
        </w:rPr>
        <w:t xml:space="preserve"> </w:t>
      </w:r>
      <w:proofErr w:type="spellStart"/>
      <w:r w:rsidR="004D28C6" w:rsidRPr="00705170">
        <w:rPr>
          <w:rFonts w:ascii="Times New Roman" w:hAnsi="Times New Roman" w:cs="Times New Roman"/>
        </w:rPr>
        <w:t>proceeding</w:t>
      </w:r>
      <w:proofErr w:type="spellEnd"/>
      <w:r w:rsidR="004D28C6" w:rsidRPr="00705170">
        <w:rPr>
          <w:rStyle w:val="DipnotBavurusu"/>
          <w:rFonts w:ascii="Times New Roman" w:hAnsi="Times New Roman" w:cs="Times New Roman"/>
        </w:rPr>
        <w:footnoteReference w:id="956"/>
      </w:r>
      <w:r w:rsidR="004D28C6" w:rsidRPr="00705170">
        <w:rPr>
          <w:rFonts w:ascii="Times New Roman" w:hAnsi="Times New Roman" w:cs="Times New Roman"/>
        </w:rPr>
        <w:t xml:space="preserve">. </w:t>
      </w:r>
      <w:proofErr w:type="spellStart"/>
      <w:r w:rsidR="000F2F38" w:rsidRPr="00705170">
        <w:rPr>
          <w:rFonts w:ascii="Times New Roman" w:hAnsi="Times New Roman" w:cs="Times New Roman"/>
        </w:rPr>
        <w:t>In</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this</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case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shareholders</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right</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to</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judicial</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dissolution</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arises</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because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their</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reasonable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expectations</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regarding</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management</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and</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economic</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benefit</w:t>
      </w:r>
      <w:proofErr w:type="spellEnd"/>
      <w:r w:rsidR="000F2F38" w:rsidRPr="00705170">
        <w:rPr>
          <w:rFonts w:ascii="Times New Roman" w:hAnsi="Times New Roman" w:cs="Times New Roman"/>
        </w:rPr>
        <w:t xml:space="preserve"> is </w:t>
      </w:r>
      <w:proofErr w:type="spellStart"/>
      <w:r w:rsidR="000F2F38" w:rsidRPr="00705170">
        <w:rPr>
          <w:rFonts w:ascii="Times New Roman" w:hAnsi="Times New Roman" w:cs="Times New Roman"/>
        </w:rPr>
        <w:t>frustrated</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and</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this</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frustration</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gives</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rise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to</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the</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necessary</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just</w:t>
      </w:r>
      <w:proofErr w:type="spellEnd"/>
      <w:r w:rsidR="000F2F38" w:rsidRPr="00705170">
        <w:rPr>
          <w:rFonts w:ascii="Times New Roman" w:hAnsi="Times New Roman" w:cs="Times New Roman"/>
        </w:rPr>
        <w:t xml:space="preserve"> </w:t>
      </w:r>
      <w:proofErr w:type="spellStart"/>
      <w:r w:rsidR="000F2F38" w:rsidRPr="00705170">
        <w:rPr>
          <w:rFonts w:ascii="Times New Roman" w:hAnsi="Times New Roman" w:cs="Times New Roman"/>
        </w:rPr>
        <w:t>cause</w:t>
      </w:r>
      <w:proofErr w:type="spellEnd"/>
      <w:r w:rsidR="000F2F38" w:rsidRPr="00705170">
        <w:rPr>
          <w:rFonts w:ascii="Times New Roman" w:hAnsi="Times New Roman" w:cs="Times New Roman"/>
        </w:rPr>
        <w:t>.</w:t>
      </w:r>
      <w:r w:rsidR="001F654C" w:rsidRPr="00705170">
        <w:rPr>
          <w:rFonts w:ascii="Times New Roman" w:hAnsi="Times New Roman" w:cs="Times New Roman"/>
        </w:rPr>
        <w:t xml:space="preserve"> </w:t>
      </w:r>
      <w:proofErr w:type="spellStart"/>
      <w:r w:rsidR="001F654C" w:rsidRPr="00705170">
        <w:rPr>
          <w:rFonts w:ascii="Times New Roman" w:hAnsi="Times New Roman" w:cs="Times New Roman"/>
        </w:rPr>
        <w:t>However</w:t>
      </w:r>
      <w:proofErr w:type="spellEnd"/>
      <w:r w:rsidR="001F654C" w:rsidRPr="00705170">
        <w:rPr>
          <w:rFonts w:ascii="Times New Roman" w:hAnsi="Times New Roman" w:cs="Times New Roman"/>
        </w:rPr>
        <w:t xml:space="preserve">, </w:t>
      </w:r>
      <w:proofErr w:type="spellStart"/>
      <w:r w:rsidR="001F654C" w:rsidRPr="00705170">
        <w:rPr>
          <w:rFonts w:ascii="Times New Roman" w:hAnsi="Times New Roman" w:cs="Times New Roman"/>
        </w:rPr>
        <w:t>if</w:t>
      </w:r>
      <w:proofErr w:type="spellEnd"/>
      <w:r w:rsidR="001F654C" w:rsidRPr="00705170">
        <w:rPr>
          <w:rFonts w:ascii="Times New Roman" w:hAnsi="Times New Roman" w:cs="Times New Roman"/>
        </w:rPr>
        <w:t xml:space="preserve"> </w:t>
      </w:r>
      <w:proofErr w:type="spellStart"/>
      <w:r w:rsidR="001F654C" w:rsidRPr="00705170">
        <w:rPr>
          <w:rFonts w:ascii="Times New Roman" w:hAnsi="Times New Roman" w:cs="Times New Roman"/>
        </w:rPr>
        <w:t>the</w:t>
      </w:r>
      <w:proofErr w:type="spellEnd"/>
      <w:r w:rsidR="001F654C" w:rsidRPr="00705170">
        <w:rPr>
          <w:rFonts w:ascii="Times New Roman" w:hAnsi="Times New Roman" w:cs="Times New Roman"/>
        </w:rPr>
        <w:t xml:space="preserve"> “</w:t>
      </w:r>
      <w:proofErr w:type="spellStart"/>
      <w:r w:rsidR="001F654C" w:rsidRPr="00705170">
        <w:rPr>
          <w:rFonts w:ascii="Times New Roman" w:hAnsi="Times New Roman" w:cs="Times New Roman"/>
        </w:rPr>
        <w:t>just</w:t>
      </w:r>
      <w:proofErr w:type="spellEnd"/>
      <w:r w:rsidR="001F654C" w:rsidRPr="00705170">
        <w:rPr>
          <w:rFonts w:ascii="Times New Roman" w:hAnsi="Times New Roman" w:cs="Times New Roman"/>
        </w:rPr>
        <w:t xml:space="preserve"> </w:t>
      </w:r>
      <w:proofErr w:type="spellStart"/>
      <w:r w:rsidR="001F654C" w:rsidRPr="00705170">
        <w:rPr>
          <w:rFonts w:ascii="Times New Roman" w:hAnsi="Times New Roman" w:cs="Times New Roman"/>
        </w:rPr>
        <w:t>cause</w:t>
      </w:r>
      <w:proofErr w:type="spellEnd"/>
      <w:r w:rsidR="001F654C" w:rsidRPr="00705170">
        <w:rPr>
          <w:rFonts w:ascii="Times New Roman" w:hAnsi="Times New Roman" w:cs="Times New Roman"/>
        </w:rPr>
        <w:t xml:space="preserve">” is </w:t>
      </w:r>
      <w:proofErr w:type="spellStart"/>
      <w:r w:rsidR="001F654C" w:rsidRPr="00705170">
        <w:rPr>
          <w:rFonts w:ascii="Times New Roman" w:hAnsi="Times New Roman" w:cs="Times New Roman"/>
        </w:rPr>
        <w:t>defined</w:t>
      </w:r>
      <w:proofErr w:type="spellEnd"/>
      <w:r w:rsidR="001F654C" w:rsidRPr="00705170">
        <w:rPr>
          <w:rFonts w:ascii="Times New Roman" w:hAnsi="Times New Roman" w:cs="Times New Roman"/>
        </w:rPr>
        <w:t xml:space="preserve"> </w:t>
      </w:r>
      <w:proofErr w:type="spellStart"/>
      <w:r w:rsidR="001F654C" w:rsidRPr="00705170">
        <w:rPr>
          <w:rFonts w:ascii="Times New Roman" w:hAnsi="Times New Roman" w:cs="Times New Roman"/>
        </w:rPr>
        <w:t>through</w:t>
      </w:r>
      <w:proofErr w:type="spellEnd"/>
      <w:r w:rsidR="001F654C" w:rsidRPr="00705170">
        <w:rPr>
          <w:rFonts w:ascii="Times New Roman" w:hAnsi="Times New Roman" w:cs="Times New Roman"/>
        </w:rPr>
        <w:t xml:space="preserve"> </w:t>
      </w:r>
      <w:proofErr w:type="spellStart"/>
      <w:r w:rsidR="001F654C" w:rsidRPr="00705170">
        <w:rPr>
          <w:rFonts w:ascii="Times New Roman" w:hAnsi="Times New Roman" w:cs="Times New Roman"/>
        </w:rPr>
        <w:t>the</w:t>
      </w:r>
      <w:proofErr w:type="spellEnd"/>
      <w:r w:rsidR="001F654C" w:rsidRPr="00705170">
        <w:rPr>
          <w:rFonts w:ascii="Times New Roman" w:hAnsi="Times New Roman" w:cs="Times New Roman"/>
        </w:rPr>
        <w:t xml:space="preserve"> “</w:t>
      </w:r>
      <w:proofErr w:type="spellStart"/>
      <w:r w:rsidR="001F654C" w:rsidRPr="00705170">
        <w:rPr>
          <w:rFonts w:ascii="Times New Roman" w:hAnsi="Times New Roman" w:cs="Times New Roman"/>
        </w:rPr>
        <w:t>unbearability</w:t>
      </w:r>
      <w:proofErr w:type="spellEnd"/>
      <w:r w:rsidR="001F654C" w:rsidRPr="00705170">
        <w:rPr>
          <w:rFonts w:ascii="Times New Roman" w:hAnsi="Times New Roman" w:cs="Times New Roman"/>
        </w:rPr>
        <w:t xml:space="preserve">” </w:t>
      </w:r>
      <w:proofErr w:type="spellStart"/>
      <w:r w:rsidR="001F654C" w:rsidRPr="00705170">
        <w:rPr>
          <w:rFonts w:ascii="Times New Roman" w:hAnsi="Times New Roman" w:cs="Times New Roman"/>
        </w:rPr>
        <w:t>definition</w:t>
      </w:r>
      <w:proofErr w:type="spellEnd"/>
      <w:r w:rsidR="001F654C" w:rsidRPr="00705170">
        <w:rPr>
          <w:rFonts w:ascii="Times New Roman" w:hAnsi="Times New Roman" w:cs="Times New Roman"/>
        </w:rPr>
        <w:t xml:space="preserve">, </w:t>
      </w:r>
      <w:proofErr w:type="spellStart"/>
      <w:r w:rsidR="001F654C" w:rsidRPr="00705170">
        <w:rPr>
          <w:rFonts w:ascii="Times New Roman" w:hAnsi="Times New Roman" w:cs="Times New Roman"/>
        </w:rPr>
        <w:t>th</w:t>
      </w:r>
      <w:r w:rsidR="006E5FC0" w:rsidRPr="00705170">
        <w:rPr>
          <w:rFonts w:ascii="Times New Roman" w:hAnsi="Times New Roman" w:cs="Times New Roman"/>
        </w:rPr>
        <w:t>e</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tunneling</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exemplified</w:t>
      </w:r>
      <w:proofErr w:type="spellEnd"/>
      <w:r w:rsidR="006E5FC0" w:rsidRPr="00705170">
        <w:rPr>
          <w:rFonts w:ascii="Times New Roman" w:hAnsi="Times New Roman" w:cs="Times New Roman"/>
        </w:rPr>
        <w:t xml:space="preserve"> here </w:t>
      </w:r>
      <w:proofErr w:type="spellStart"/>
      <w:r w:rsidR="006E5FC0" w:rsidRPr="00705170">
        <w:rPr>
          <w:rFonts w:ascii="Times New Roman" w:hAnsi="Times New Roman" w:cs="Times New Roman"/>
        </w:rPr>
        <w:t>would</w:t>
      </w:r>
      <w:proofErr w:type="spellEnd"/>
      <w:r w:rsidR="006E5FC0" w:rsidRPr="00705170">
        <w:rPr>
          <w:rFonts w:ascii="Times New Roman" w:hAnsi="Times New Roman" w:cs="Times New Roman"/>
        </w:rPr>
        <w:t xml:space="preserve"> not </w:t>
      </w:r>
      <w:proofErr w:type="spellStart"/>
      <w:r w:rsidR="006E5FC0" w:rsidRPr="00705170">
        <w:rPr>
          <w:rFonts w:ascii="Times New Roman" w:hAnsi="Times New Roman" w:cs="Times New Roman"/>
        </w:rPr>
        <w:t>rise</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to</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the</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level</w:t>
      </w:r>
      <w:proofErr w:type="spellEnd"/>
      <w:r w:rsidR="006E5FC0" w:rsidRPr="00705170">
        <w:rPr>
          <w:rFonts w:ascii="Times New Roman" w:hAnsi="Times New Roman" w:cs="Times New Roman"/>
        </w:rPr>
        <w:t xml:space="preserve"> of </w:t>
      </w:r>
      <w:proofErr w:type="spellStart"/>
      <w:r w:rsidR="006E5FC0" w:rsidRPr="00705170">
        <w:rPr>
          <w:rFonts w:ascii="Times New Roman" w:hAnsi="Times New Roman" w:cs="Times New Roman"/>
        </w:rPr>
        <w:t>unbearability</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unless</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the</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monetary</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amount</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rises</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to</w:t>
      </w:r>
      <w:proofErr w:type="spellEnd"/>
      <w:r w:rsidR="006E5FC0" w:rsidRPr="00705170">
        <w:rPr>
          <w:rFonts w:ascii="Times New Roman" w:hAnsi="Times New Roman" w:cs="Times New Roman"/>
        </w:rPr>
        <w:t xml:space="preserve"> a </w:t>
      </w:r>
      <w:proofErr w:type="spellStart"/>
      <w:r w:rsidR="006E5FC0" w:rsidRPr="00705170">
        <w:rPr>
          <w:rFonts w:ascii="Times New Roman" w:hAnsi="Times New Roman" w:cs="Times New Roman"/>
        </w:rPr>
        <w:t>substantial</w:t>
      </w:r>
      <w:proofErr w:type="spellEnd"/>
      <w:r w:rsidR="006E5FC0" w:rsidRPr="00705170">
        <w:rPr>
          <w:rFonts w:ascii="Times New Roman" w:hAnsi="Times New Roman" w:cs="Times New Roman"/>
        </w:rPr>
        <w:t xml:space="preserve"> </w:t>
      </w:r>
      <w:proofErr w:type="spellStart"/>
      <w:r w:rsidR="006E5FC0" w:rsidRPr="00705170">
        <w:rPr>
          <w:rFonts w:ascii="Times New Roman" w:hAnsi="Times New Roman" w:cs="Times New Roman"/>
        </w:rPr>
        <w:t>level</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which</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would</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then</w:t>
      </w:r>
      <w:proofErr w:type="spellEnd"/>
      <w:r w:rsidR="00B625E1">
        <w:rPr>
          <w:rFonts w:ascii="Times New Roman" w:hAnsi="Times New Roman" w:cs="Times New Roman"/>
        </w:rPr>
        <w:t xml:space="preserve"> be </w:t>
      </w:r>
      <w:proofErr w:type="spellStart"/>
      <w:r w:rsidR="0062449F">
        <w:rPr>
          <w:rFonts w:ascii="Times New Roman" w:hAnsi="Times New Roman" w:cs="Times New Roman"/>
        </w:rPr>
        <w:t>first</w:t>
      </w:r>
      <w:proofErr w:type="spellEnd"/>
      <w:r w:rsidR="0062449F">
        <w:rPr>
          <w:rFonts w:ascii="Times New Roman" w:hAnsi="Times New Roman" w:cs="Times New Roman"/>
        </w:rPr>
        <w:t xml:space="preserve"> </w:t>
      </w:r>
      <w:proofErr w:type="spellStart"/>
      <w:r w:rsidR="00B625E1">
        <w:rPr>
          <w:rFonts w:ascii="Times New Roman" w:hAnsi="Times New Roman" w:cs="Times New Roman"/>
        </w:rPr>
        <w:t>analyzed</w:t>
      </w:r>
      <w:proofErr w:type="spellEnd"/>
      <w:r w:rsidR="00C01441">
        <w:rPr>
          <w:rFonts w:ascii="Times New Roman" w:hAnsi="Times New Roman" w:cs="Times New Roman"/>
        </w:rPr>
        <w:t xml:space="preserve"> (</w:t>
      </w:r>
      <w:proofErr w:type="spellStart"/>
      <w:r w:rsidR="00C01441">
        <w:rPr>
          <w:rFonts w:ascii="Times New Roman" w:hAnsi="Times New Roman" w:cs="Times New Roman"/>
        </w:rPr>
        <w:t>and</w:t>
      </w:r>
      <w:proofErr w:type="spellEnd"/>
      <w:r w:rsidR="00C01441">
        <w:rPr>
          <w:rFonts w:ascii="Times New Roman" w:hAnsi="Times New Roman" w:cs="Times New Roman"/>
        </w:rPr>
        <w:t xml:space="preserve"> </w:t>
      </w:r>
      <w:proofErr w:type="spellStart"/>
      <w:r w:rsidR="00C01441">
        <w:rPr>
          <w:rFonts w:ascii="Times New Roman" w:hAnsi="Times New Roman" w:cs="Times New Roman"/>
        </w:rPr>
        <w:t>remedied</w:t>
      </w:r>
      <w:proofErr w:type="spellEnd"/>
      <w:r w:rsidR="00C01441">
        <w:rPr>
          <w:rFonts w:ascii="Times New Roman" w:hAnsi="Times New Roman" w:cs="Times New Roman"/>
        </w:rPr>
        <w:t xml:space="preserve"> </w:t>
      </w:r>
      <w:proofErr w:type="spellStart"/>
      <w:r w:rsidR="00C01441">
        <w:rPr>
          <w:rFonts w:ascii="Times New Roman" w:hAnsi="Times New Roman" w:cs="Times New Roman"/>
        </w:rPr>
        <w:t>accordingly</w:t>
      </w:r>
      <w:proofErr w:type="spellEnd"/>
      <w:r w:rsidR="00C01441">
        <w:rPr>
          <w:rFonts w:ascii="Times New Roman" w:hAnsi="Times New Roman" w:cs="Times New Roman"/>
        </w:rPr>
        <w:t>)</w:t>
      </w:r>
      <w:r w:rsidR="00B625E1">
        <w:rPr>
          <w:rFonts w:ascii="Times New Roman" w:hAnsi="Times New Roman" w:cs="Times New Roman"/>
        </w:rPr>
        <w:t xml:space="preserve"> </w:t>
      </w:r>
      <w:proofErr w:type="spellStart"/>
      <w:r w:rsidR="00B625E1">
        <w:rPr>
          <w:rFonts w:ascii="Times New Roman" w:hAnsi="Times New Roman" w:cs="Times New Roman"/>
        </w:rPr>
        <w:t>under</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whether</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this</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may</w:t>
      </w:r>
      <w:proofErr w:type="spellEnd"/>
      <w:r w:rsidR="00B625E1">
        <w:rPr>
          <w:rFonts w:ascii="Times New Roman" w:hAnsi="Times New Roman" w:cs="Times New Roman"/>
        </w:rPr>
        <w:t xml:space="preserve"> be </w:t>
      </w:r>
      <w:proofErr w:type="spellStart"/>
      <w:r w:rsidR="00B625E1">
        <w:rPr>
          <w:rFonts w:ascii="Times New Roman" w:hAnsi="Times New Roman" w:cs="Times New Roman"/>
        </w:rPr>
        <w:t>deemed</w:t>
      </w:r>
      <w:proofErr w:type="spellEnd"/>
      <w:r w:rsidR="00B625E1">
        <w:rPr>
          <w:rFonts w:ascii="Times New Roman" w:hAnsi="Times New Roman" w:cs="Times New Roman"/>
        </w:rPr>
        <w:t xml:space="preserve"> as </w:t>
      </w:r>
      <w:proofErr w:type="spellStart"/>
      <w:r w:rsidR="00B625E1">
        <w:rPr>
          <w:rFonts w:ascii="Times New Roman" w:hAnsi="Times New Roman" w:cs="Times New Roman"/>
        </w:rPr>
        <w:t>return</w:t>
      </w:r>
      <w:proofErr w:type="spellEnd"/>
      <w:r w:rsidR="00B625E1">
        <w:rPr>
          <w:rFonts w:ascii="Times New Roman" w:hAnsi="Times New Roman" w:cs="Times New Roman"/>
        </w:rPr>
        <w:t xml:space="preserve"> of </w:t>
      </w:r>
      <w:proofErr w:type="spellStart"/>
      <w:r w:rsidR="00B625E1">
        <w:rPr>
          <w:rFonts w:ascii="Times New Roman" w:hAnsi="Times New Roman" w:cs="Times New Roman"/>
        </w:rPr>
        <w:t>capital</w:t>
      </w:r>
      <w:proofErr w:type="spellEnd"/>
      <w:r w:rsidR="00B625E1">
        <w:rPr>
          <w:rFonts w:ascii="Times New Roman" w:hAnsi="Times New Roman" w:cs="Times New Roman"/>
        </w:rPr>
        <w:t xml:space="preserve"> </w:t>
      </w:r>
      <w:r w:rsidR="0062449F">
        <w:rPr>
          <w:rFonts w:ascii="Times New Roman" w:hAnsi="Times New Roman" w:cs="Times New Roman"/>
        </w:rPr>
        <w:t xml:space="preserve">(TCC Art. 480(3)) </w:t>
      </w:r>
      <w:proofErr w:type="spellStart"/>
      <w:r w:rsidR="0062449F">
        <w:rPr>
          <w:rFonts w:ascii="Times New Roman" w:hAnsi="Times New Roman" w:cs="Times New Roman"/>
        </w:rPr>
        <w:t>or</w:t>
      </w:r>
      <w:proofErr w:type="spellEnd"/>
      <w:r w:rsidR="0062449F">
        <w:rPr>
          <w:rFonts w:ascii="Times New Roman" w:hAnsi="Times New Roman" w:cs="Times New Roman"/>
        </w:rPr>
        <w:t xml:space="preserve"> </w:t>
      </w:r>
      <w:proofErr w:type="spellStart"/>
      <w:r w:rsidR="0062449F">
        <w:rPr>
          <w:rFonts w:ascii="Times New Roman" w:hAnsi="Times New Roman" w:cs="Times New Roman"/>
        </w:rPr>
        <w:t>unlawful</w:t>
      </w:r>
      <w:proofErr w:type="spellEnd"/>
      <w:r w:rsidR="0062449F">
        <w:rPr>
          <w:rFonts w:ascii="Times New Roman" w:hAnsi="Times New Roman" w:cs="Times New Roman"/>
        </w:rPr>
        <w:t xml:space="preserve"> </w:t>
      </w:r>
      <w:proofErr w:type="spellStart"/>
      <w:r w:rsidR="0062449F">
        <w:rPr>
          <w:rFonts w:ascii="Times New Roman" w:hAnsi="Times New Roman" w:cs="Times New Roman"/>
        </w:rPr>
        <w:t>dividend</w:t>
      </w:r>
      <w:proofErr w:type="spellEnd"/>
      <w:r w:rsidR="0062449F">
        <w:rPr>
          <w:rFonts w:ascii="Times New Roman" w:hAnsi="Times New Roman" w:cs="Times New Roman"/>
        </w:rPr>
        <w:t xml:space="preserve"> </w:t>
      </w:r>
      <w:proofErr w:type="spellStart"/>
      <w:r w:rsidR="0062449F">
        <w:rPr>
          <w:rFonts w:ascii="Times New Roman" w:hAnsi="Times New Roman" w:cs="Times New Roman"/>
        </w:rPr>
        <w:t>distribution</w:t>
      </w:r>
      <w:proofErr w:type="spellEnd"/>
      <w:r w:rsidR="0062449F">
        <w:rPr>
          <w:rFonts w:ascii="Times New Roman" w:hAnsi="Times New Roman" w:cs="Times New Roman"/>
        </w:rPr>
        <w:t xml:space="preserve"> </w:t>
      </w:r>
      <w:proofErr w:type="spellStart"/>
      <w:r w:rsidR="00B625E1">
        <w:rPr>
          <w:rFonts w:ascii="Times New Roman" w:hAnsi="Times New Roman" w:cs="Times New Roman"/>
        </w:rPr>
        <w:t>to</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shareholders</w:t>
      </w:r>
      <w:proofErr w:type="spellEnd"/>
      <w:r w:rsidR="0062449F">
        <w:rPr>
          <w:rFonts w:ascii="Times New Roman" w:hAnsi="Times New Roman" w:cs="Times New Roman"/>
        </w:rPr>
        <w:t xml:space="preserve"> (TCC Art. 512)</w:t>
      </w:r>
      <w:r w:rsidR="0062449F">
        <w:rPr>
          <w:rStyle w:val="DipnotBavurusu"/>
          <w:rFonts w:ascii="Times New Roman" w:hAnsi="Times New Roman" w:cs="Times New Roman"/>
        </w:rPr>
        <w:footnoteReference w:id="957"/>
      </w:r>
      <w:r w:rsidR="00B625E1">
        <w:rPr>
          <w:rFonts w:ascii="Times New Roman" w:hAnsi="Times New Roman" w:cs="Times New Roman"/>
        </w:rPr>
        <w:t xml:space="preserve"> in </w:t>
      </w:r>
      <w:proofErr w:type="spellStart"/>
      <w:r w:rsidR="00B625E1">
        <w:rPr>
          <w:rFonts w:ascii="Times New Roman" w:hAnsi="Times New Roman" w:cs="Times New Roman"/>
        </w:rPr>
        <w:t>case</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the</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party</w:t>
      </w:r>
      <w:proofErr w:type="spellEnd"/>
      <w:r w:rsidR="00B625E1">
        <w:rPr>
          <w:rFonts w:ascii="Times New Roman" w:hAnsi="Times New Roman" w:cs="Times New Roman"/>
        </w:rPr>
        <w:t xml:space="preserve"> at </w:t>
      </w:r>
      <w:proofErr w:type="spellStart"/>
      <w:r w:rsidR="00B625E1">
        <w:rPr>
          <w:rFonts w:ascii="Times New Roman" w:hAnsi="Times New Roman" w:cs="Times New Roman"/>
        </w:rPr>
        <w:t>other</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side</w:t>
      </w:r>
      <w:proofErr w:type="spellEnd"/>
      <w:r w:rsidR="00B625E1">
        <w:rPr>
          <w:rFonts w:ascii="Times New Roman" w:hAnsi="Times New Roman" w:cs="Times New Roman"/>
        </w:rPr>
        <w:t xml:space="preserve"> is a </w:t>
      </w:r>
      <w:proofErr w:type="spellStart"/>
      <w:r w:rsidR="00B625E1">
        <w:rPr>
          <w:rFonts w:ascii="Times New Roman" w:hAnsi="Times New Roman" w:cs="Times New Roman"/>
        </w:rPr>
        <w:t>shareholder</w:t>
      </w:r>
      <w:proofErr w:type="spellEnd"/>
      <w:r w:rsidR="00025B78">
        <w:rPr>
          <w:rFonts w:ascii="Times New Roman" w:hAnsi="Times New Roman" w:cs="Times New Roman"/>
        </w:rPr>
        <w:t xml:space="preserve"> (TCC Art. 480(3))</w:t>
      </w:r>
      <w:r w:rsidR="0033350F">
        <w:rPr>
          <w:rFonts w:ascii="Times New Roman" w:hAnsi="Times New Roman" w:cs="Times New Roman"/>
        </w:rPr>
        <w:t xml:space="preserve">, </w:t>
      </w:r>
      <w:proofErr w:type="spellStart"/>
      <w:r w:rsidR="0033350F">
        <w:rPr>
          <w:rFonts w:ascii="Times New Roman" w:hAnsi="Times New Roman" w:cs="Times New Roman"/>
        </w:rPr>
        <w:t>or</w:t>
      </w:r>
      <w:proofErr w:type="spellEnd"/>
      <w:r w:rsidR="0033350F">
        <w:rPr>
          <w:rFonts w:ascii="Times New Roman" w:hAnsi="Times New Roman" w:cs="Times New Roman"/>
        </w:rPr>
        <w:t xml:space="preserve"> it </w:t>
      </w:r>
      <w:proofErr w:type="spellStart"/>
      <w:r w:rsidR="0033350F">
        <w:rPr>
          <w:rFonts w:ascii="Times New Roman" w:hAnsi="Times New Roman" w:cs="Times New Roman"/>
        </w:rPr>
        <w:t>brings</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the</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company</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to</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the</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zone</w:t>
      </w:r>
      <w:proofErr w:type="spellEnd"/>
      <w:r w:rsidR="0033350F">
        <w:rPr>
          <w:rFonts w:ascii="Times New Roman" w:hAnsi="Times New Roman" w:cs="Times New Roman"/>
        </w:rPr>
        <w:t xml:space="preserve"> of </w:t>
      </w:r>
      <w:proofErr w:type="spellStart"/>
      <w:r w:rsidR="0033350F">
        <w:rPr>
          <w:rFonts w:ascii="Times New Roman" w:hAnsi="Times New Roman" w:cs="Times New Roman"/>
        </w:rPr>
        <w:t>insolvency</w:t>
      </w:r>
      <w:proofErr w:type="spellEnd"/>
      <w:r w:rsidR="00025B78">
        <w:rPr>
          <w:rStyle w:val="DipnotBavurusu"/>
          <w:rFonts w:ascii="Times New Roman" w:hAnsi="Times New Roman" w:cs="Times New Roman"/>
        </w:rPr>
        <w:t xml:space="preserve"> </w:t>
      </w:r>
      <w:r w:rsidR="00025B78">
        <w:rPr>
          <w:rFonts w:ascii="Times New Roman" w:hAnsi="Times New Roman" w:cs="Times New Roman"/>
        </w:rPr>
        <w:t>(TCC Art. 376)</w:t>
      </w:r>
      <w:r w:rsidR="006E5FC0" w:rsidRPr="00705170">
        <w:rPr>
          <w:rFonts w:ascii="Times New Roman" w:hAnsi="Times New Roman" w:cs="Times New Roman"/>
        </w:rPr>
        <w:t xml:space="preserve">. </w:t>
      </w:r>
      <w:proofErr w:type="spellStart"/>
      <w:r w:rsidR="00B625E1">
        <w:rPr>
          <w:rFonts w:ascii="Times New Roman" w:hAnsi="Times New Roman" w:cs="Times New Roman"/>
        </w:rPr>
        <w:t>Still</w:t>
      </w:r>
      <w:proofErr w:type="spellEnd"/>
      <w:r w:rsidR="00B625E1">
        <w:rPr>
          <w:rFonts w:ascii="Times New Roman" w:hAnsi="Times New Roman" w:cs="Times New Roman"/>
        </w:rPr>
        <w:t xml:space="preserve">, it is </w:t>
      </w:r>
      <w:proofErr w:type="spellStart"/>
      <w:r w:rsidR="00B625E1">
        <w:rPr>
          <w:rFonts w:ascii="Times New Roman" w:hAnsi="Times New Roman" w:cs="Times New Roman"/>
        </w:rPr>
        <w:t>likely</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that</w:t>
      </w:r>
      <w:proofErr w:type="spellEnd"/>
      <w:r w:rsidR="00B625E1">
        <w:rPr>
          <w:rFonts w:ascii="Times New Roman" w:hAnsi="Times New Roman" w:cs="Times New Roman"/>
        </w:rPr>
        <w:t xml:space="preserve"> CML </w:t>
      </w:r>
      <w:proofErr w:type="spellStart"/>
      <w:r w:rsidR="00B625E1">
        <w:rPr>
          <w:rFonts w:ascii="Times New Roman" w:hAnsi="Times New Roman" w:cs="Times New Roman"/>
        </w:rPr>
        <w:t>provisions</w:t>
      </w:r>
      <w:proofErr w:type="spellEnd"/>
      <w:r w:rsidR="00B625E1">
        <w:rPr>
          <w:rFonts w:ascii="Times New Roman" w:hAnsi="Times New Roman" w:cs="Times New Roman"/>
        </w:rPr>
        <w:t xml:space="preserve"> on </w:t>
      </w:r>
      <w:proofErr w:type="spellStart"/>
      <w:r w:rsidR="00B625E1">
        <w:rPr>
          <w:rFonts w:ascii="Times New Roman" w:hAnsi="Times New Roman" w:cs="Times New Roman"/>
        </w:rPr>
        <w:t>concealed</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distribution</w:t>
      </w:r>
      <w:proofErr w:type="spellEnd"/>
      <w:r w:rsidR="00B625E1">
        <w:rPr>
          <w:rFonts w:ascii="Times New Roman" w:hAnsi="Times New Roman" w:cs="Times New Roman"/>
        </w:rPr>
        <w:t xml:space="preserve"> of </w:t>
      </w:r>
      <w:proofErr w:type="spellStart"/>
      <w:r w:rsidR="00B625E1">
        <w:rPr>
          <w:rFonts w:ascii="Times New Roman" w:hAnsi="Times New Roman" w:cs="Times New Roman"/>
        </w:rPr>
        <w:t>capital</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will</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intervene</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before</w:t>
      </w:r>
      <w:proofErr w:type="spellEnd"/>
      <w:r w:rsidR="00B625E1">
        <w:rPr>
          <w:rFonts w:ascii="Times New Roman" w:hAnsi="Times New Roman" w:cs="Times New Roman"/>
        </w:rPr>
        <w:t xml:space="preserve"> </w:t>
      </w:r>
      <w:proofErr w:type="spellStart"/>
      <w:r w:rsidR="0033350F">
        <w:rPr>
          <w:rFonts w:ascii="Times New Roman" w:hAnsi="Times New Roman" w:cs="Times New Roman"/>
        </w:rPr>
        <w:t>the</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aforementioned</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provisions</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lastRenderedPageBreak/>
        <w:t>are</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even</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applied</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because</w:t>
      </w:r>
      <w:proofErr w:type="spellEnd"/>
      <w:r w:rsidR="00B625E1">
        <w:rPr>
          <w:rFonts w:ascii="Times New Roman" w:hAnsi="Times New Roman" w:cs="Times New Roman"/>
        </w:rPr>
        <w:t xml:space="preserve"> of </w:t>
      </w:r>
      <w:proofErr w:type="spellStart"/>
      <w:r w:rsidR="00B625E1">
        <w:rPr>
          <w:rFonts w:ascii="Times New Roman" w:hAnsi="Times New Roman" w:cs="Times New Roman"/>
        </w:rPr>
        <w:t>the</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complex</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nature</w:t>
      </w:r>
      <w:proofErr w:type="spellEnd"/>
      <w:r w:rsidR="00B625E1">
        <w:rPr>
          <w:rFonts w:ascii="Times New Roman" w:hAnsi="Times New Roman" w:cs="Times New Roman"/>
        </w:rPr>
        <w:t xml:space="preserve"> of </w:t>
      </w:r>
      <w:proofErr w:type="spellStart"/>
      <w:r w:rsidR="00B625E1">
        <w:rPr>
          <w:rFonts w:ascii="Times New Roman" w:hAnsi="Times New Roman" w:cs="Times New Roman"/>
        </w:rPr>
        <w:t>the</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transactions</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causing</w:t>
      </w:r>
      <w:proofErr w:type="spellEnd"/>
      <w:r w:rsidR="00B625E1">
        <w:rPr>
          <w:rFonts w:ascii="Times New Roman" w:hAnsi="Times New Roman" w:cs="Times New Roman"/>
        </w:rPr>
        <w:t xml:space="preserve"> </w:t>
      </w:r>
      <w:proofErr w:type="spellStart"/>
      <w:r w:rsidR="00B625E1">
        <w:rPr>
          <w:rFonts w:ascii="Times New Roman" w:hAnsi="Times New Roman" w:cs="Times New Roman"/>
        </w:rPr>
        <w:t>tunneling</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and</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the</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hints</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recognized</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beforehand</w:t>
      </w:r>
      <w:proofErr w:type="spellEnd"/>
      <w:r w:rsidR="00B625E1">
        <w:rPr>
          <w:rFonts w:ascii="Times New Roman" w:hAnsi="Times New Roman" w:cs="Times New Roman"/>
        </w:rPr>
        <w:t xml:space="preserve">.  </w:t>
      </w:r>
    </w:p>
    <w:p w14:paraId="29E72392" w14:textId="4DDAD845" w:rsidR="00CB3219" w:rsidRPr="00705170" w:rsidRDefault="0084032C" w:rsidP="0084032C">
      <w:pPr>
        <w:spacing w:after="240" w:line="480" w:lineRule="auto"/>
        <w:jc w:val="both"/>
        <w:rPr>
          <w:rFonts w:ascii="Times New Roman" w:hAnsi="Times New Roman" w:cs="Times New Roman"/>
          <w:b/>
        </w:rPr>
      </w:pPr>
      <w:r w:rsidRPr="00705170">
        <w:rPr>
          <w:rFonts w:ascii="Times New Roman" w:hAnsi="Times New Roman" w:cs="Times New Roman"/>
        </w:rPr>
        <w:tab/>
      </w:r>
      <w:r w:rsidR="00C01441">
        <w:rPr>
          <w:rFonts w:ascii="Times New Roman" w:hAnsi="Times New Roman" w:cs="Times New Roman"/>
          <w:b/>
        </w:rPr>
        <w:t>5</w:t>
      </w:r>
      <w:r w:rsidRPr="00705170">
        <w:rPr>
          <w:rFonts w:ascii="Times New Roman" w:hAnsi="Times New Roman" w:cs="Times New Roman"/>
          <w:b/>
        </w:rPr>
        <w:t xml:space="preserve">.5. </w:t>
      </w:r>
      <w:proofErr w:type="spellStart"/>
      <w:r w:rsidRPr="00705170">
        <w:rPr>
          <w:rFonts w:ascii="Times New Roman" w:hAnsi="Times New Roman" w:cs="Times New Roman"/>
          <w:b/>
        </w:rPr>
        <w:t>Remedies</w:t>
      </w:r>
      <w:proofErr w:type="spellEnd"/>
    </w:p>
    <w:p w14:paraId="37ED651B" w14:textId="3E6186D2" w:rsidR="00B54EE7" w:rsidRPr="00705170" w:rsidRDefault="00AB408C" w:rsidP="0084032C">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003107CC" w:rsidRPr="00705170">
        <w:rPr>
          <w:rFonts w:ascii="Times New Roman" w:hAnsi="Times New Roman" w:cs="Times New Roman"/>
        </w:rPr>
        <w:t>The</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proper</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remedy</w:t>
      </w:r>
      <w:proofErr w:type="spellEnd"/>
      <w:r w:rsidR="003107CC" w:rsidRPr="00705170">
        <w:rPr>
          <w:rFonts w:ascii="Times New Roman" w:hAnsi="Times New Roman" w:cs="Times New Roman"/>
        </w:rPr>
        <w:t xml:space="preserve"> in </w:t>
      </w:r>
      <w:proofErr w:type="spellStart"/>
      <w:r w:rsidR="003107CC" w:rsidRPr="00705170">
        <w:rPr>
          <w:rFonts w:ascii="Times New Roman" w:hAnsi="Times New Roman" w:cs="Times New Roman"/>
        </w:rPr>
        <w:t>judicial</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dissolution</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cases</w:t>
      </w:r>
      <w:proofErr w:type="spellEnd"/>
      <w:r w:rsidR="003107CC" w:rsidRPr="00705170">
        <w:rPr>
          <w:rFonts w:ascii="Times New Roman" w:hAnsi="Times New Roman" w:cs="Times New Roman"/>
        </w:rPr>
        <w:t xml:space="preserve"> is </w:t>
      </w:r>
      <w:proofErr w:type="spellStart"/>
      <w:r w:rsidR="003107CC" w:rsidRPr="00705170">
        <w:rPr>
          <w:rFonts w:ascii="Times New Roman" w:hAnsi="Times New Roman" w:cs="Times New Roman"/>
        </w:rPr>
        <w:t>to</w:t>
      </w:r>
      <w:proofErr w:type="spellEnd"/>
      <w:r w:rsidR="003107CC" w:rsidRPr="00705170">
        <w:rPr>
          <w:rFonts w:ascii="Times New Roman" w:hAnsi="Times New Roman" w:cs="Times New Roman"/>
        </w:rPr>
        <w:t xml:space="preserve"> restore </w:t>
      </w:r>
      <w:proofErr w:type="spellStart"/>
      <w:r w:rsidR="003107CC" w:rsidRPr="00705170">
        <w:rPr>
          <w:rFonts w:ascii="Times New Roman" w:hAnsi="Times New Roman" w:cs="Times New Roman"/>
        </w:rPr>
        <w:t>the</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petitioner</w:t>
      </w:r>
      <w:proofErr w:type="spellEnd"/>
      <w:r w:rsidR="003107CC" w:rsidRPr="00705170">
        <w:rPr>
          <w:rFonts w:ascii="Times New Roman" w:hAnsi="Times New Roman" w:cs="Times New Roman"/>
        </w:rPr>
        <w:t xml:space="preserve"> as </w:t>
      </w:r>
      <w:proofErr w:type="spellStart"/>
      <w:r w:rsidR="003107CC" w:rsidRPr="00705170">
        <w:rPr>
          <w:rFonts w:ascii="Times New Roman" w:hAnsi="Times New Roman" w:cs="Times New Roman"/>
        </w:rPr>
        <w:t>nearly</w:t>
      </w:r>
      <w:proofErr w:type="spellEnd"/>
      <w:r w:rsidR="003107CC" w:rsidRPr="00705170">
        <w:rPr>
          <w:rFonts w:ascii="Times New Roman" w:hAnsi="Times New Roman" w:cs="Times New Roman"/>
        </w:rPr>
        <w:t xml:space="preserve"> as </w:t>
      </w:r>
      <w:proofErr w:type="spellStart"/>
      <w:r w:rsidR="003107CC" w:rsidRPr="00705170">
        <w:rPr>
          <w:rFonts w:ascii="Times New Roman" w:hAnsi="Times New Roman" w:cs="Times New Roman"/>
        </w:rPr>
        <w:t>possible</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to</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the</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position</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she</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would</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have</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been</w:t>
      </w:r>
      <w:proofErr w:type="spellEnd"/>
      <w:r w:rsidR="003107CC" w:rsidRPr="00705170">
        <w:rPr>
          <w:rFonts w:ascii="Times New Roman" w:hAnsi="Times New Roman" w:cs="Times New Roman"/>
        </w:rPr>
        <w:t xml:space="preserve"> in had </w:t>
      </w:r>
      <w:proofErr w:type="spellStart"/>
      <w:r w:rsidR="003107CC" w:rsidRPr="00705170">
        <w:rPr>
          <w:rFonts w:ascii="Times New Roman" w:hAnsi="Times New Roman" w:cs="Times New Roman"/>
        </w:rPr>
        <w:t>there</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been</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no</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wrongdoing</w:t>
      </w:r>
      <w:proofErr w:type="spellEnd"/>
      <w:r w:rsidR="003107CC" w:rsidRPr="00705170">
        <w:rPr>
          <w:rFonts w:ascii="Times New Roman" w:hAnsi="Times New Roman" w:cs="Times New Roman"/>
        </w:rPr>
        <w:t xml:space="preserve">; in </w:t>
      </w:r>
      <w:proofErr w:type="spellStart"/>
      <w:r w:rsidR="003107CC" w:rsidRPr="00705170">
        <w:rPr>
          <w:rFonts w:ascii="Times New Roman" w:hAnsi="Times New Roman" w:cs="Times New Roman"/>
        </w:rPr>
        <w:t>other</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words</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if</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the</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wrongdoing</w:t>
      </w:r>
      <w:proofErr w:type="spellEnd"/>
      <w:r w:rsidR="003107CC" w:rsidRPr="00705170">
        <w:rPr>
          <w:rFonts w:ascii="Times New Roman" w:hAnsi="Times New Roman" w:cs="Times New Roman"/>
        </w:rPr>
        <w:t xml:space="preserve"> is </w:t>
      </w:r>
      <w:proofErr w:type="spellStart"/>
      <w:r w:rsidR="003107CC" w:rsidRPr="00705170">
        <w:rPr>
          <w:rFonts w:ascii="Times New Roman" w:hAnsi="Times New Roman" w:cs="Times New Roman"/>
        </w:rPr>
        <w:t>the</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denail</w:t>
      </w:r>
      <w:proofErr w:type="spellEnd"/>
      <w:r w:rsidR="003107CC" w:rsidRPr="00705170">
        <w:rPr>
          <w:rFonts w:ascii="Times New Roman" w:hAnsi="Times New Roman" w:cs="Times New Roman"/>
        </w:rPr>
        <w:t xml:space="preserve"> of </w:t>
      </w:r>
      <w:proofErr w:type="spellStart"/>
      <w:r w:rsidR="003107CC" w:rsidRPr="00705170">
        <w:rPr>
          <w:rFonts w:ascii="Times New Roman" w:hAnsi="Times New Roman" w:cs="Times New Roman"/>
        </w:rPr>
        <w:t>petitioner’s</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reasonable</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expectations</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these</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expectations</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are</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the</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ones</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that</w:t>
      </w:r>
      <w:proofErr w:type="spellEnd"/>
      <w:r w:rsidR="003107CC" w:rsidRPr="00705170">
        <w:rPr>
          <w:rFonts w:ascii="Times New Roman" w:hAnsi="Times New Roman" w:cs="Times New Roman"/>
        </w:rPr>
        <w:t xml:space="preserve"> </w:t>
      </w:r>
      <w:proofErr w:type="spellStart"/>
      <w:r w:rsidR="003107CC" w:rsidRPr="00705170">
        <w:rPr>
          <w:rFonts w:ascii="Times New Roman" w:hAnsi="Times New Roman" w:cs="Times New Roman"/>
        </w:rPr>
        <w:t>should</w:t>
      </w:r>
      <w:proofErr w:type="spellEnd"/>
      <w:r w:rsidR="003107CC" w:rsidRPr="00705170">
        <w:rPr>
          <w:rFonts w:ascii="Times New Roman" w:hAnsi="Times New Roman" w:cs="Times New Roman"/>
        </w:rPr>
        <w:t xml:space="preserve"> be </w:t>
      </w:r>
      <w:proofErr w:type="spellStart"/>
      <w:r w:rsidR="003107CC" w:rsidRPr="00705170">
        <w:rPr>
          <w:rFonts w:ascii="Times New Roman" w:hAnsi="Times New Roman" w:cs="Times New Roman"/>
        </w:rPr>
        <w:t>restored</w:t>
      </w:r>
      <w:proofErr w:type="spellEnd"/>
      <w:r w:rsidR="00112398" w:rsidRPr="00705170">
        <w:rPr>
          <w:rFonts w:ascii="Times New Roman" w:hAnsi="Times New Roman" w:cs="Times New Roman"/>
        </w:rPr>
        <w:t xml:space="preserve"> </w:t>
      </w:r>
      <w:proofErr w:type="spellStart"/>
      <w:r w:rsidR="00112398" w:rsidRPr="00705170">
        <w:rPr>
          <w:rFonts w:ascii="Times New Roman" w:hAnsi="Times New Roman" w:cs="Times New Roman"/>
        </w:rPr>
        <w:t>by</w:t>
      </w:r>
      <w:proofErr w:type="spellEnd"/>
      <w:r w:rsidR="00112398" w:rsidRPr="00705170">
        <w:rPr>
          <w:rFonts w:ascii="Times New Roman" w:hAnsi="Times New Roman" w:cs="Times New Roman"/>
        </w:rPr>
        <w:t xml:space="preserve"> </w:t>
      </w:r>
      <w:proofErr w:type="spellStart"/>
      <w:r w:rsidR="00112398" w:rsidRPr="00705170">
        <w:rPr>
          <w:rFonts w:ascii="Times New Roman" w:hAnsi="Times New Roman" w:cs="Times New Roman"/>
        </w:rPr>
        <w:t>the</w:t>
      </w:r>
      <w:proofErr w:type="spellEnd"/>
      <w:r w:rsidR="00112398" w:rsidRPr="00705170">
        <w:rPr>
          <w:rFonts w:ascii="Times New Roman" w:hAnsi="Times New Roman" w:cs="Times New Roman"/>
        </w:rPr>
        <w:t xml:space="preserve"> </w:t>
      </w:r>
      <w:proofErr w:type="spellStart"/>
      <w:r w:rsidR="00112398" w:rsidRPr="00705170">
        <w:rPr>
          <w:rFonts w:ascii="Times New Roman" w:hAnsi="Times New Roman" w:cs="Times New Roman"/>
        </w:rPr>
        <w:t>court</w:t>
      </w:r>
      <w:proofErr w:type="spellEnd"/>
      <w:r w:rsidR="00112398" w:rsidRPr="00705170">
        <w:rPr>
          <w:rFonts w:ascii="Times New Roman" w:hAnsi="Times New Roman" w:cs="Times New Roman"/>
        </w:rPr>
        <w:t xml:space="preserve"> </w:t>
      </w:r>
      <w:proofErr w:type="spellStart"/>
      <w:r w:rsidR="00112398" w:rsidRPr="00705170">
        <w:rPr>
          <w:rFonts w:ascii="Times New Roman" w:hAnsi="Times New Roman" w:cs="Times New Roman"/>
        </w:rPr>
        <w:t>decision</w:t>
      </w:r>
      <w:proofErr w:type="spellEnd"/>
      <w:r w:rsidR="003107CC" w:rsidRPr="00705170">
        <w:rPr>
          <w:rStyle w:val="DipnotBavurusu"/>
          <w:rFonts w:ascii="Times New Roman" w:hAnsi="Times New Roman" w:cs="Times New Roman"/>
        </w:rPr>
        <w:footnoteReference w:id="958"/>
      </w:r>
      <w:r w:rsidR="003107CC" w:rsidRPr="00705170">
        <w:rPr>
          <w:rFonts w:ascii="Times New Roman" w:hAnsi="Times New Roman" w:cs="Times New Roman"/>
        </w:rPr>
        <w:t xml:space="preserve">. </w:t>
      </w:r>
      <w:proofErr w:type="spellStart"/>
      <w:r w:rsidR="00E53BBC" w:rsidRPr="00705170">
        <w:rPr>
          <w:rFonts w:ascii="Times New Roman" w:hAnsi="Times New Roman" w:cs="Times New Roman"/>
        </w:rPr>
        <w:t>According</w:t>
      </w:r>
      <w:proofErr w:type="spellEnd"/>
      <w:r w:rsidR="00E53BBC" w:rsidRPr="00705170">
        <w:rPr>
          <w:rFonts w:ascii="Times New Roman" w:hAnsi="Times New Roman" w:cs="Times New Roman"/>
        </w:rPr>
        <w:t xml:space="preserve"> </w:t>
      </w:r>
      <w:proofErr w:type="spellStart"/>
      <w:r w:rsidR="00E53BBC" w:rsidRPr="00705170">
        <w:rPr>
          <w:rFonts w:ascii="Times New Roman" w:hAnsi="Times New Roman" w:cs="Times New Roman"/>
        </w:rPr>
        <w:t>to</w:t>
      </w:r>
      <w:proofErr w:type="spellEnd"/>
      <w:r w:rsidR="00E53BBC" w:rsidRPr="00705170">
        <w:rPr>
          <w:rFonts w:ascii="Times New Roman" w:hAnsi="Times New Roman" w:cs="Times New Roman"/>
        </w:rPr>
        <w:t xml:space="preserve"> </w:t>
      </w:r>
      <w:proofErr w:type="spellStart"/>
      <w:r w:rsidR="00E53BBC" w:rsidRPr="00705170">
        <w:rPr>
          <w:rFonts w:ascii="Times New Roman" w:hAnsi="Times New Roman" w:cs="Times New Roman"/>
        </w:rPr>
        <w:t>TCC’s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if</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finds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alleged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facts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amount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would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grant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rather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dissolving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order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alternative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remedies</w:t>
      </w:r>
      <w:proofErr w:type="spellEnd"/>
      <w:r w:rsidRPr="00705170">
        <w:rPr>
          <w:rStyle w:val="DipnotBavurusu"/>
          <w:rFonts w:ascii="Times New Roman" w:hAnsi="Times New Roman" w:cs="Times New Roman"/>
        </w:rPr>
        <w:footnoteReference w:id="959"/>
      </w:r>
      <w:r w:rsidRPr="00705170">
        <w:rPr>
          <w:rFonts w:ascii="Times New Roman" w:hAnsi="Times New Roman" w:cs="Times New Roman"/>
        </w:rPr>
        <w:t xml:space="preserve">. </w:t>
      </w:r>
      <w:proofErr w:type="spellStart"/>
      <w:r w:rsidRPr="00705170">
        <w:rPr>
          <w:rFonts w:ascii="Times New Roman" w:hAnsi="Times New Roman" w:cs="Times New Roman"/>
        </w:rPr>
        <w:t>Therefore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relief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provided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petitioner</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classified</w:t>
      </w:r>
      <w:proofErr w:type="spellEnd"/>
      <w:r w:rsidRPr="00705170">
        <w:rPr>
          <w:rFonts w:ascii="Times New Roman" w:hAnsi="Times New Roman" w:cs="Times New Roman"/>
        </w:rPr>
        <w:t xml:space="preserve"> as (1)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(2) </w:t>
      </w:r>
      <w:proofErr w:type="spellStart"/>
      <w:r w:rsidRPr="00705170">
        <w:rPr>
          <w:rFonts w:ascii="Times New Roman" w:hAnsi="Times New Roman" w:cs="Times New Roman"/>
        </w:rPr>
        <w:t>alternative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remedies</w:t>
      </w:r>
      <w:proofErr w:type="spellEnd"/>
      <w:r w:rsidRPr="00705170">
        <w:rPr>
          <w:rFonts w:ascii="Times New Roman" w:hAnsi="Times New Roman" w:cs="Times New Roman"/>
        </w:rPr>
        <w:t xml:space="preserve">. </w:t>
      </w:r>
      <w:proofErr w:type="spellStart"/>
      <w:r w:rsidR="00171599">
        <w:rPr>
          <w:rFonts w:ascii="Times New Roman" w:hAnsi="Times New Roman" w:cs="Times New Roman"/>
        </w:rPr>
        <w:t>The</w:t>
      </w:r>
      <w:proofErr w:type="spellEnd"/>
      <w:r w:rsidR="00171599">
        <w:rPr>
          <w:rFonts w:ascii="Times New Roman" w:hAnsi="Times New Roman" w:cs="Times New Roman"/>
        </w:rPr>
        <w:t xml:space="preserve"> </w:t>
      </w:r>
      <w:proofErr w:type="spellStart"/>
      <w:r w:rsidR="00171599">
        <w:rPr>
          <w:rFonts w:ascii="Times New Roman" w:hAnsi="Times New Roman" w:cs="Times New Roman"/>
        </w:rPr>
        <w:t>origin</w:t>
      </w:r>
      <w:proofErr w:type="spellEnd"/>
      <w:r w:rsidR="00171599">
        <w:rPr>
          <w:rFonts w:ascii="Times New Roman" w:hAnsi="Times New Roman" w:cs="Times New Roman"/>
        </w:rPr>
        <w:t xml:space="preserve"> of </w:t>
      </w:r>
      <w:proofErr w:type="spellStart"/>
      <w:r w:rsidR="00171599">
        <w:rPr>
          <w:rFonts w:ascii="Times New Roman" w:hAnsi="Times New Roman" w:cs="Times New Roman"/>
        </w:rPr>
        <w:t>this</w:t>
      </w:r>
      <w:proofErr w:type="spellEnd"/>
      <w:r w:rsidR="00B54EE7" w:rsidRPr="00705170">
        <w:rPr>
          <w:rFonts w:ascii="Times New Roman" w:hAnsi="Times New Roman" w:cs="Times New Roman"/>
        </w:rPr>
        <w:t xml:space="preserve"> </w:t>
      </w:r>
      <w:proofErr w:type="spellStart"/>
      <w:r w:rsidR="00171599">
        <w:rPr>
          <w:rFonts w:ascii="Times New Roman" w:hAnsi="Times New Roman" w:cs="Times New Roman"/>
        </w:rPr>
        <w:t>nature</w:t>
      </w:r>
      <w:proofErr w:type="spellEnd"/>
      <w:r w:rsidR="00B54EE7" w:rsidRPr="00705170">
        <w:rPr>
          <w:rFonts w:ascii="Times New Roman" w:hAnsi="Times New Roman" w:cs="Times New Roman"/>
        </w:rPr>
        <w:t xml:space="preserve"> of </w:t>
      </w:r>
      <w:proofErr w:type="spellStart"/>
      <w:r w:rsidR="00B54EE7" w:rsidRPr="00705170">
        <w:rPr>
          <w:rFonts w:ascii="Times New Roman" w:hAnsi="Times New Roman" w:cs="Times New Roman"/>
        </w:rPr>
        <w:t>the</w:t>
      </w:r>
      <w:proofErr w:type="spellEnd"/>
      <w:r w:rsidR="00B54EE7" w:rsidRPr="00705170">
        <w:rPr>
          <w:rFonts w:ascii="Times New Roman" w:hAnsi="Times New Roman" w:cs="Times New Roman"/>
        </w:rPr>
        <w:t xml:space="preserve"> </w:t>
      </w:r>
      <w:proofErr w:type="spellStart"/>
      <w:r w:rsidR="00B54EE7" w:rsidRPr="00705170">
        <w:rPr>
          <w:rFonts w:ascii="Times New Roman" w:hAnsi="Times New Roman" w:cs="Times New Roman"/>
        </w:rPr>
        <w:t>statutory</w:t>
      </w:r>
      <w:proofErr w:type="spellEnd"/>
      <w:r w:rsidR="00B54EE7" w:rsidRPr="00705170">
        <w:rPr>
          <w:rFonts w:ascii="Times New Roman" w:hAnsi="Times New Roman" w:cs="Times New Roman"/>
        </w:rPr>
        <w:t xml:space="preserve"> </w:t>
      </w:r>
      <w:proofErr w:type="spellStart"/>
      <w:r w:rsidR="00B54EE7" w:rsidRPr="00705170">
        <w:rPr>
          <w:rFonts w:ascii="Times New Roman" w:hAnsi="Times New Roman" w:cs="Times New Roman"/>
        </w:rPr>
        <w:t>authority</w:t>
      </w:r>
      <w:proofErr w:type="spellEnd"/>
      <w:r w:rsidR="00B54EE7" w:rsidRPr="00705170">
        <w:rPr>
          <w:rFonts w:ascii="Times New Roman" w:hAnsi="Times New Roman" w:cs="Times New Roman"/>
        </w:rPr>
        <w:t xml:space="preserve"> </w:t>
      </w:r>
      <w:proofErr w:type="spellStart"/>
      <w:r w:rsidR="00B54EE7" w:rsidRPr="00705170">
        <w:rPr>
          <w:rFonts w:ascii="Times New Roman" w:hAnsi="Times New Roman" w:cs="Times New Roman"/>
        </w:rPr>
        <w:t>to</w:t>
      </w:r>
      <w:proofErr w:type="spellEnd"/>
      <w:r w:rsidR="00B54EE7" w:rsidRPr="00705170">
        <w:rPr>
          <w:rFonts w:ascii="Times New Roman" w:hAnsi="Times New Roman" w:cs="Times New Roman"/>
        </w:rPr>
        <w:t xml:space="preserve"> </w:t>
      </w:r>
      <w:proofErr w:type="spellStart"/>
      <w:r w:rsidR="00B54EE7" w:rsidRPr="00705170">
        <w:rPr>
          <w:rFonts w:ascii="Times New Roman" w:hAnsi="Times New Roman" w:cs="Times New Roman"/>
        </w:rPr>
        <w:t>orde</w:t>
      </w:r>
      <w:r w:rsidR="00862EA8" w:rsidRPr="00705170">
        <w:rPr>
          <w:rFonts w:ascii="Times New Roman" w:hAnsi="Times New Roman" w:cs="Times New Roman"/>
        </w:rPr>
        <w:t>r</w:t>
      </w:r>
      <w:proofErr w:type="spellEnd"/>
      <w:r w:rsidR="00862EA8" w:rsidRPr="00705170">
        <w:rPr>
          <w:rFonts w:ascii="Times New Roman" w:hAnsi="Times New Roman" w:cs="Times New Roman"/>
        </w:rPr>
        <w:t xml:space="preserve"> </w:t>
      </w:r>
      <w:proofErr w:type="spellStart"/>
      <w:r w:rsidR="00862EA8" w:rsidRPr="00705170">
        <w:rPr>
          <w:rFonts w:ascii="Times New Roman" w:hAnsi="Times New Roman" w:cs="Times New Roman"/>
        </w:rPr>
        <w:t>wide</w:t>
      </w:r>
      <w:proofErr w:type="spellEnd"/>
      <w:r w:rsidR="00862EA8" w:rsidRPr="00705170">
        <w:rPr>
          <w:rFonts w:ascii="Times New Roman" w:hAnsi="Times New Roman" w:cs="Times New Roman"/>
        </w:rPr>
        <w:t xml:space="preserve"> </w:t>
      </w:r>
      <w:proofErr w:type="spellStart"/>
      <w:r w:rsidR="00862EA8" w:rsidRPr="00705170">
        <w:rPr>
          <w:rFonts w:ascii="Times New Roman" w:hAnsi="Times New Roman" w:cs="Times New Roman"/>
        </w:rPr>
        <w:t>range</w:t>
      </w:r>
      <w:proofErr w:type="spellEnd"/>
      <w:r w:rsidR="00862EA8" w:rsidRPr="00705170">
        <w:rPr>
          <w:rFonts w:ascii="Times New Roman" w:hAnsi="Times New Roman" w:cs="Times New Roman"/>
        </w:rPr>
        <w:t xml:space="preserve"> of </w:t>
      </w:r>
      <w:proofErr w:type="spellStart"/>
      <w:r w:rsidR="00862EA8" w:rsidRPr="00705170">
        <w:rPr>
          <w:rFonts w:ascii="Times New Roman" w:hAnsi="Times New Roman" w:cs="Times New Roman"/>
        </w:rPr>
        <w:t>remedies</w:t>
      </w:r>
      <w:proofErr w:type="spellEnd"/>
      <w:r w:rsidR="00862EA8" w:rsidRPr="00705170">
        <w:rPr>
          <w:rFonts w:ascii="Times New Roman" w:hAnsi="Times New Roman" w:cs="Times New Roman"/>
        </w:rPr>
        <w:t xml:space="preserve">, </w:t>
      </w:r>
      <w:proofErr w:type="spellStart"/>
      <w:r w:rsidR="00862EA8" w:rsidRPr="00705170">
        <w:rPr>
          <w:rFonts w:ascii="Times New Roman" w:hAnsi="Times New Roman" w:cs="Times New Roman"/>
        </w:rPr>
        <w:t>which</w:t>
      </w:r>
      <w:proofErr w:type="spellEnd"/>
      <w:r w:rsidR="00862EA8" w:rsidRPr="00705170">
        <w:rPr>
          <w:rFonts w:ascii="Times New Roman" w:hAnsi="Times New Roman" w:cs="Times New Roman"/>
        </w:rPr>
        <w:t xml:space="preserve"> is an </w:t>
      </w:r>
      <w:proofErr w:type="spellStart"/>
      <w:r w:rsidR="00862EA8" w:rsidRPr="00705170">
        <w:rPr>
          <w:rFonts w:ascii="Times New Roman" w:hAnsi="Times New Roman" w:cs="Times New Roman"/>
        </w:rPr>
        <w:t>unconventional</w:t>
      </w:r>
      <w:proofErr w:type="spellEnd"/>
      <w:r w:rsidR="00862EA8" w:rsidRPr="00705170">
        <w:rPr>
          <w:rFonts w:ascii="Times New Roman" w:hAnsi="Times New Roman" w:cs="Times New Roman"/>
        </w:rPr>
        <w:t xml:space="preserve"> </w:t>
      </w:r>
      <w:proofErr w:type="spellStart"/>
      <w:r w:rsidR="00862EA8" w:rsidRPr="00705170">
        <w:rPr>
          <w:rFonts w:ascii="Times New Roman" w:hAnsi="Times New Roman" w:cs="Times New Roman"/>
        </w:rPr>
        <w:t>thing</w:t>
      </w:r>
      <w:proofErr w:type="spellEnd"/>
      <w:r w:rsidR="00862EA8" w:rsidRPr="00705170">
        <w:rPr>
          <w:rFonts w:ascii="Times New Roman" w:hAnsi="Times New Roman" w:cs="Times New Roman"/>
        </w:rPr>
        <w:t xml:space="preserve"> </w:t>
      </w:r>
      <w:proofErr w:type="spellStart"/>
      <w:r w:rsidR="00862EA8" w:rsidRPr="00705170">
        <w:rPr>
          <w:rFonts w:ascii="Times New Roman" w:hAnsi="Times New Roman" w:cs="Times New Roman"/>
        </w:rPr>
        <w:t>for</w:t>
      </w:r>
      <w:proofErr w:type="spellEnd"/>
      <w:r w:rsidR="00862EA8" w:rsidRPr="00705170">
        <w:rPr>
          <w:rFonts w:ascii="Times New Roman" w:hAnsi="Times New Roman" w:cs="Times New Roman"/>
        </w:rPr>
        <w:t xml:space="preserve"> </w:t>
      </w:r>
      <w:proofErr w:type="spellStart"/>
      <w:r w:rsidR="00862EA8" w:rsidRPr="00705170">
        <w:rPr>
          <w:rFonts w:ascii="Times New Roman" w:hAnsi="Times New Roman" w:cs="Times New Roman"/>
        </w:rPr>
        <w:t>the</w:t>
      </w:r>
      <w:proofErr w:type="spellEnd"/>
      <w:r w:rsidR="00862EA8" w:rsidRPr="00705170">
        <w:rPr>
          <w:rFonts w:ascii="Times New Roman" w:hAnsi="Times New Roman" w:cs="Times New Roman"/>
        </w:rPr>
        <w:t xml:space="preserve"> </w:t>
      </w:r>
      <w:proofErr w:type="spellStart"/>
      <w:r w:rsidR="00862EA8" w:rsidRPr="00705170">
        <w:rPr>
          <w:rFonts w:ascii="Times New Roman" w:hAnsi="Times New Roman" w:cs="Times New Roman"/>
        </w:rPr>
        <w:t>Turkish</w:t>
      </w:r>
      <w:proofErr w:type="spellEnd"/>
      <w:r w:rsidR="00862EA8" w:rsidRPr="00705170">
        <w:rPr>
          <w:rFonts w:ascii="Times New Roman" w:hAnsi="Times New Roman" w:cs="Times New Roman"/>
        </w:rPr>
        <w:t xml:space="preserve"> </w:t>
      </w:r>
      <w:proofErr w:type="spellStart"/>
      <w:r w:rsidR="00862EA8" w:rsidRPr="00705170">
        <w:rPr>
          <w:rFonts w:ascii="Times New Roman" w:hAnsi="Times New Roman" w:cs="Times New Roman"/>
        </w:rPr>
        <w:t>law</w:t>
      </w:r>
      <w:proofErr w:type="spellEnd"/>
      <w:r w:rsidR="00862EA8" w:rsidRPr="00705170">
        <w:rPr>
          <w:rFonts w:ascii="Times New Roman" w:hAnsi="Times New Roman" w:cs="Times New Roman"/>
        </w:rPr>
        <w:t xml:space="preserve">, is </w:t>
      </w:r>
      <w:proofErr w:type="spellStart"/>
      <w:r w:rsidR="00862EA8" w:rsidRPr="00705170">
        <w:rPr>
          <w:rFonts w:ascii="Times New Roman" w:hAnsi="Times New Roman" w:cs="Times New Roman"/>
        </w:rPr>
        <w:t>seen</w:t>
      </w:r>
      <w:proofErr w:type="spellEnd"/>
      <w:r w:rsidR="00B54EE7" w:rsidRPr="00705170">
        <w:rPr>
          <w:rFonts w:ascii="Times New Roman" w:hAnsi="Times New Roman" w:cs="Times New Roman"/>
        </w:rPr>
        <w:t xml:space="preserve"> as </w:t>
      </w:r>
      <w:proofErr w:type="spellStart"/>
      <w:r w:rsidR="00B54EE7" w:rsidRPr="00705170">
        <w:rPr>
          <w:rFonts w:ascii="Times New Roman" w:hAnsi="Times New Roman" w:cs="Times New Roman"/>
        </w:rPr>
        <w:t>the</w:t>
      </w:r>
      <w:proofErr w:type="spellEnd"/>
      <w:r w:rsidR="00B54EE7" w:rsidRPr="00705170">
        <w:rPr>
          <w:rFonts w:ascii="Times New Roman" w:hAnsi="Times New Roman" w:cs="Times New Roman"/>
        </w:rPr>
        <w:t xml:space="preserve"> </w:t>
      </w:r>
      <w:proofErr w:type="spellStart"/>
      <w:r w:rsidR="00B54EE7" w:rsidRPr="00705170">
        <w:rPr>
          <w:rFonts w:ascii="Times New Roman" w:hAnsi="Times New Roman" w:cs="Times New Roman"/>
        </w:rPr>
        <w:t>common</w:t>
      </w:r>
      <w:proofErr w:type="spellEnd"/>
      <w:r w:rsidR="00B54EE7" w:rsidRPr="00705170">
        <w:rPr>
          <w:rFonts w:ascii="Times New Roman" w:hAnsi="Times New Roman" w:cs="Times New Roman"/>
        </w:rPr>
        <w:t xml:space="preserve"> </w:t>
      </w:r>
      <w:proofErr w:type="spellStart"/>
      <w:r w:rsidR="00B54EE7" w:rsidRPr="00705170">
        <w:rPr>
          <w:rFonts w:ascii="Times New Roman" w:hAnsi="Times New Roman" w:cs="Times New Roman"/>
        </w:rPr>
        <w:t>law</w:t>
      </w:r>
      <w:proofErr w:type="spellEnd"/>
      <w:r w:rsidR="005613D5" w:rsidRPr="00705170">
        <w:rPr>
          <w:rFonts w:ascii="Times New Roman" w:hAnsi="Times New Roman" w:cs="Times New Roman"/>
        </w:rPr>
        <w:t xml:space="preserve">, </w:t>
      </w:r>
      <w:proofErr w:type="spellStart"/>
      <w:r w:rsidR="005613D5" w:rsidRPr="00705170">
        <w:rPr>
          <w:rFonts w:ascii="Times New Roman" w:hAnsi="Times New Roman" w:cs="Times New Roman"/>
        </w:rPr>
        <w:t>and</w:t>
      </w:r>
      <w:proofErr w:type="spellEnd"/>
      <w:r w:rsidR="005613D5" w:rsidRPr="00705170">
        <w:rPr>
          <w:rFonts w:ascii="Times New Roman" w:hAnsi="Times New Roman" w:cs="Times New Roman"/>
        </w:rPr>
        <w:t xml:space="preserve"> </w:t>
      </w:r>
      <w:proofErr w:type="spellStart"/>
      <w:r w:rsidR="005613D5" w:rsidRPr="00705170">
        <w:rPr>
          <w:rFonts w:ascii="Times New Roman" w:hAnsi="Times New Roman" w:cs="Times New Roman"/>
        </w:rPr>
        <w:t>suggested</w:t>
      </w:r>
      <w:proofErr w:type="spellEnd"/>
      <w:r w:rsidR="005613D5" w:rsidRPr="00705170">
        <w:rPr>
          <w:rFonts w:ascii="Times New Roman" w:hAnsi="Times New Roman" w:cs="Times New Roman"/>
        </w:rPr>
        <w:t xml:space="preserve"> </w:t>
      </w:r>
      <w:proofErr w:type="spellStart"/>
      <w:r w:rsidR="005613D5" w:rsidRPr="00705170">
        <w:rPr>
          <w:rFonts w:ascii="Times New Roman" w:hAnsi="Times New Roman" w:cs="Times New Roman"/>
        </w:rPr>
        <w:t>that</w:t>
      </w:r>
      <w:proofErr w:type="spellEnd"/>
      <w:r w:rsidR="005613D5" w:rsidRPr="00705170">
        <w:rPr>
          <w:rFonts w:ascii="Times New Roman" w:hAnsi="Times New Roman" w:cs="Times New Roman"/>
        </w:rPr>
        <w:t xml:space="preserve"> it </w:t>
      </w:r>
      <w:proofErr w:type="spellStart"/>
      <w:r w:rsidR="005613D5" w:rsidRPr="00705170">
        <w:rPr>
          <w:rFonts w:ascii="Times New Roman" w:hAnsi="Times New Roman" w:cs="Times New Roman"/>
        </w:rPr>
        <w:t>should</w:t>
      </w:r>
      <w:proofErr w:type="spellEnd"/>
      <w:r w:rsidR="005613D5" w:rsidRPr="00705170">
        <w:rPr>
          <w:rFonts w:ascii="Times New Roman" w:hAnsi="Times New Roman" w:cs="Times New Roman"/>
        </w:rPr>
        <w:t xml:space="preserve"> be </w:t>
      </w:r>
      <w:proofErr w:type="spellStart"/>
      <w:r w:rsidR="005613D5" w:rsidRPr="00705170">
        <w:rPr>
          <w:rFonts w:ascii="Times New Roman" w:hAnsi="Times New Roman" w:cs="Times New Roman"/>
        </w:rPr>
        <w:t>evaluated</w:t>
      </w:r>
      <w:proofErr w:type="spellEnd"/>
      <w:r w:rsidR="005613D5" w:rsidRPr="00705170">
        <w:rPr>
          <w:rFonts w:ascii="Times New Roman" w:hAnsi="Times New Roman" w:cs="Times New Roman"/>
        </w:rPr>
        <w:t xml:space="preserve"> </w:t>
      </w:r>
      <w:proofErr w:type="spellStart"/>
      <w:r w:rsidR="005613D5" w:rsidRPr="00705170">
        <w:rPr>
          <w:rFonts w:ascii="Times New Roman" w:hAnsi="Times New Roman" w:cs="Times New Roman"/>
        </w:rPr>
        <w:t>through</w:t>
      </w:r>
      <w:proofErr w:type="spellEnd"/>
      <w:r w:rsidR="005613D5" w:rsidRPr="00705170">
        <w:rPr>
          <w:rFonts w:ascii="Times New Roman" w:hAnsi="Times New Roman" w:cs="Times New Roman"/>
        </w:rPr>
        <w:t xml:space="preserve"> </w:t>
      </w:r>
      <w:proofErr w:type="spellStart"/>
      <w:r w:rsidR="005613D5" w:rsidRPr="00705170">
        <w:rPr>
          <w:rFonts w:ascii="Times New Roman" w:hAnsi="Times New Roman" w:cs="Times New Roman"/>
        </w:rPr>
        <w:t>that</w:t>
      </w:r>
      <w:proofErr w:type="spellEnd"/>
      <w:r w:rsidR="005613D5" w:rsidRPr="00705170">
        <w:rPr>
          <w:rFonts w:ascii="Times New Roman" w:hAnsi="Times New Roman" w:cs="Times New Roman"/>
        </w:rPr>
        <w:t xml:space="preserve"> lens but </w:t>
      </w:r>
      <w:proofErr w:type="spellStart"/>
      <w:r w:rsidR="005613D5" w:rsidRPr="00705170">
        <w:rPr>
          <w:rFonts w:ascii="Times New Roman" w:hAnsi="Times New Roman" w:cs="Times New Roman"/>
        </w:rPr>
        <w:t>harmonized</w:t>
      </w:r>
      <w:proofErr w:type="spellEnd"/>
      <w:r w:rsidR="005613D5" w:rsidRPr="00705170">
        <w:rPr>
          <w:rFonts w:ascii="Times New Roman" w:hAnsi="Times New Roman" w:cs="Times New Roman"/>
        </w:rPr>
        <w:t xml:space="preserve"> </w:t>
      </w:r>
      <w:proofErr w:type="spellStart"/>
      <w:r w:rsidR="005613D5" w:rsidRPr="00705170">
        <w:rPr>
          <w:rFonts w:ascii="Times New Roman" w:hAnsi="Times New Roman" w:cs="Times New Roman"/>
        </w:rPr>
        <w:t>with</w:t>
      </w:r>
      <w:proofErr w:type="spellEnd"/>
      <w:r w:rsidR="005613D5" w:rsidRPr="00705170">
        <w:rPr>
          <w:rFonts w:ascii="Times New Roman" w:hAnsi="Times New Roman" w:cs="Times New Roman"/>
        </w:rPr>
        <w:t xml:space="preserve"> </w:t>
      </w:r>
      <w:proofErr w:type="spellStart"/>
      <w:r w:rsidR="005613D5" w:rsidRPr="00705170">
        <w:rPr>
          <w:rFonts w:ascii="Times New Roman" w:hAnsi="Times New Roman" w:cs="Times New Roman"/>
        </w:rPr>
        <w:t>the</w:t>
      </w:r>
      <w:proofErr w:type="spellEnd"/>
      <w:r w:rsidR="005613D5" w:rsidRPr="00705170">
        <w:rPr>
          <w:rFonts w:ascii="Times New Roman" w:hAnsi="Times New Roman" w:cs="Times New Roman"/>
        </w:rPr>
        <w:t xml:space="preserve"> </w:t>
      </w:r>
      <w:proofErr w:type="spellStart"/>
      <w:r w:rsidR="005613D5" w:rsidRPr="00705170">
        <w:rPr>
          <w:rFonts w:ascii="Times New Roman" w:hAnsi="Times New Roman" w:cs="Times New Roman"/>
        </w:rPr>
        <w:t>principles</w:t>
      </w:r>
      <w:proofErr w:type="spellEnd"/>
      <w:r w:rsidR="005613D5" w:rsidRPr="00705170">
        <w:rPr>
          <w:rFonts w:ascii="Times New Roman" w:hAnsi="Times New Roman" w:cs="Times New Roman"/>
        </w:rPr>
        <w:t xml:space="preserve"> of </w:t>
      </w:r>
      <w:proofErr w:type="spellStart"/>
      <w:r w:rsidR="005613D5" w:rsidRPr="00705170">
        <w:rPr>
          <w:rFonts w:ascii="Times New Roman" w:hAnsi="Times New Roman" w:cs="Times New Roman"/>
        </w:rPr>
        <w:t>the</w:t>
      </w:r>
      <w:proofErr w:type="spellEnd"/>
      <w:r w:rsidR="005613D5" w:rsidRPr="00705170">
        <w:rPr>
          <w:rFonts w:ascii="Times New Roman" w:hAnsi="Times New Roman" w:cs="Times New Roman"/>
        </w:rPr>
        <w:t xml:space="preserve"> </w:t>
      </w:r>
      <w:proofErr w:type="spellStart"/>
      <w:r w:rsidR="005613D5" w:rsidRPr="00705170">
        <w:rPr>
          <w:rFonts w:ascii="Times New Roman" w:hAnsi="Times New Roman" w:cs="Times New Roman"/>
        </w:rPr>
        <w:t>civil</w:t>
      </w:r>
      <w:proofErr w:type="spellEnd"/>
      <w:r w:rsidR="005613D5" w:rsidRPr="00705170">
        <w:rPr>
          <w:rFonts w:ascii="Times New Roman" w:hAnsi="Times New Roman" w:cs="Times New Roman"/>
        </w:rPr>
        <w:t xml:space="preserve"> </w:t>
      </w:r>
      <w:proofErr w:type="spellStart"/>
      <w:r w:rsidR="005613D5" w:rsidRPr="00705170">
        <w:rPr>
          <w:rFonts w:ascii="Times New Roman" w:hAnsi="Times New Roman" w:cs="Times New Roman"/>
        </w:rPr>
        <w:t>law</w:t>
      </w:r>
      <w:proofErr w:type="spellEnd"/>
      <w:r w:rsidR="00B54EE7" w:rsidRPr="00705170">
        <w:rPr>
          <w:rStyle w:val="DipnotBavurusu"/>
          <w:rFonts w:ascii="Times New Roman" w:hAnsi="Times New Roman" w:cs="Times New Roman"/>
        </w:rPr>
        <w:footnoteReference w:id="960"/>
      </w:r>
      <w:r w:rsidR="00B54EE7" w:rsidRPr="00705170">
        <w:rPr>
          <w:rFonts w:ascii="Times New Roman" w:hAnsi="Times New Roman" w:cs="Times New Roman"/>
        </w:rPr>
        <w:t>.</w:t>
      </w:r>
      <w:r w:rsidR="0033350F">
        <w:rPr>
          <w:rFonts w:ascii="Times New Roman" w:hAnsi="Times New Roman" w:cs="Times New Roman"/>
        </w:rPr>
        <w:t xml:space="preserve"> </w:t>
      </w:r>
      <w:proofErr w:type="spellStart"/>
      <w:r w:rsidR="0033350F">
        <w:rPr>
          <w:rFonts w:ascii="Times New Roman" w:hAnsi="Times New Roman" w:cs="Times New Roman"/>
        </w:rPr>
        <w:t>This</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notion</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also</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supports</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transplantation</w:t>
      </w:r>
      <w:proofErr w:type="spellEnd"/>
      <w:r w:rsidR="0033350F">
        <w:rPr>
          <w:rFonts w:ascii="Times New Roman" w:hAnsi="Times New Roman" w:cs="Times New Roman"/>
        </w:rPr>
        <w:t xml:space="preserve"> of </w:t>
      </w:r>
      <w:proofErr w:type="spellStart"/>
      <w:r w:rsidR="0033350F">
        <w:rPr>
          <w:rFonts w:ascii="Times New Roman" w:hAnsi="Times New Roman" w:cs="Times New Roman"/>
        </w:rPr>
        <w:t>the</w:t>
      </w:r>
      <w:proofErr w:type="spellEnd"/>
      <w:r w:rsidR="0033350F">
        <w:rPr>
          <w:rFonts w:ascii="Times New Roman" w:hAnsi="Times New Roman" w:cs="Times New Roman"/>
        </w:rPr>
        <w:t xml:space="preserve"> U.S. </w:t>
      </w:r>
      <w:proofErr w:type="spellStart"/>
      <w:r w:rsidR="0033350F">
        <w:rPr>
          <w:rFonts w:ascii="Times New Roman" w:hAnsi="Times New Roman" w:cs="Times New Roman"/>
        </w:rPr>
        <w:t>law’s</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reasonable</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expectations</w:t>
      </w:r>
      <w:proofErr w:type="spellEnd"/>
      <w:r w:rsidR="0033350F">
        <w:rPr>
          <w:rFonts w:ascii="Times New Roman" w:hAnsi="Times New Roman" w:cs="Times New Roman"/>
        </w:rPr>
        <w:t xml:space="preserve"> </w:t>
      </w:r>
      <w:proofErr w:type="spellStart"/>
      <w:r w:rsidR="0033350F">
        <w:rPr>
          <w:rFonts w:ascii="Times New Roman" w:hAnsi="Times New Roman" w:cs="Times New Roman"/>
        </w:rPr>
        <w:t>standard</w:t>
      </w:r>
      <w:proofErr w:type="spellEnd"/>
      <w:r w:rsidR="0033350F">
        <w:rPr>
          <w:rFonts w:ascii="Times New Roman" w:hAnsi="Times New Roman" w:cs="Times New Roman"/>
        </w:rPr>
        <w:t>.</w:t>
      </w:r>
    </w:p>
    <w:p w14:paraId="72005DFA" w14:textId="17F5683F" w:rsidR="00081B70" w:rsidRPr="00705170" w:rsidRDefault="00247D33" w:rsidP="00B54EE7">
      <w:pPr>
        <w:spacing w:after="240" w:line="480" w:lineRule="auto"/>
        <w:ind w:firstLine="708"/>
        <w:jc w:val="both"/>
        <w:rPr>
          <w:rFonts w:ascii="Times New Roman" w:hAnsi="Times New Roman" w:cs="Times New Roman"/>
        </w:rPr>
      </w:pPr>
      <w:r w:rsidRPr="00705170">
        <w:rPr>
          <w:rFonts w:ascii="Times New Roman" w:hAnsi="Times New Roman" w:cs="Times New Roman"/>
        </w:rPr>
        <w:t xml:space="preserve">As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continuity</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is a </w:t>
      </w:r>
      <w:proofErr w:type="spellStart"/>
      <w:r w:rsidRPr="00705170">
        <w:rPr>
          <w:rFonts w:ascii="Times New Roman" w:hAnsi="Times New Roman" w:cs="Times New Roman"/>
        </w:rPr>
        <w:t>principle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upon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Turkish</w:t>
      </w:r>
      <w:proofErr w:type="spellEnd"/>
      <w:r w:rsidR="006C1A6D" w:rsidRPr="00705170">
        <w:rPr>
          <w:rFonts w:ascii="Times New Roman" w:hAnsi="Times New Roman" w:cs="Times New Roman"/>
        </w:rPr>
        <w:t xml:space="preserve"> </w:t>
      </w:r>
      <w:proofErr w:type="spellStart"/>
      <w:r w:rsidR="006C1A6D" w:rsidRPr="00705170">
        <w:rPr>
          <w:rFonts w:ascii="Times New Roman" w:hAnsi="Times New Roman" w:cs="Times New Roman"/>
        </w:rPr>
        <w:t>corporate</w:t>
      </w:r>
      <w:proofErr w:type="spellEnd"/>
      <w:r w:rsidR="006C1A6D" w:rsidRPr="00705170">
        <w:rPr>
          <w:rFonts w:ascii="Times New Roman" w:hAnsi="Times New Roman" w:cs="Times New Roman"/>
        </w:rPr>
        <w:t xml:space="preserve"> </w:t>
      </w:r>
      <w:proofErr w:type="spellStart"/>
      <w:r w:rsidR="006C1A6D" w:rsidRPr="00705170">
        <w:rPr>
          <w:rFonts w:ascii="Times New Roman" w:hAnsi="Times New Roman" w:cs="Times New Roman"/>
        </w:rPr>
        <w:t>law</w:t>
      </w:r>
      <w:proofErr w:type="spellEnd"/>
      <w:r w:rsidR="006C1A6D" w:rsidRPr="00705170">
        <w:rPr>
          <w:rFonts w:ascii="Times New Roman" w:hAnsi="Times New Roman" w:cs="Times New Roman"/>
        </w:rPr>
        <w:t xml:space="preserve"> is </w:t>
      </w:r>
      <w:proofErr w:type="spellStart"/>
      <w:r w:rsidR="006C1A6D" w:rsidRPr="00705170">
        <w:rPr>
          <w:rFonts w:ascii="Times New Roman" w:hAnsi="Times New Roman" w:cs="Times New Roman"/>
        </w:rPr>
        <w:t>built</w:t>
      </w:r>
      <w:proofErr w:type="spellEnd"/>
      <w:r w:rsidR="006C1A6D" w:rsidRPr="00705170">
        <w:rPr>
          <w:rFonts w:ascii="Times New Roman" w:hAnsi="Times New Roman" w:cs="Times New Roman"/>
        </w:rPr>
        <w:t xml:space="preserve">, </w:t>
      </w:r>
      <w:proofErr w:type="spellStart"/>
      <w:r w:rsidR="006C1A6D" w:rsidRPr="00705170">
        <w:rPr>
          <w:rFonts w:ascii="Times New Roman" w:hAnsi="Times New Roman" w:cs="Times New Roman"/>
        </w:rPr>
        <w:t>courts</w:t>
      </w:r>
      <w:proofErr w:type="spellEnd"/>
      <w:r w:rsidR="006C1A6D"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statutorily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obliged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search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alternative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will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keep</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before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ruling</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favor</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dissolution</w:t>
      </w:r>
      <w:proofErr w:type="spellEnd"/>
      <w:r w:rsidRPr="00705170">
        <w:rPr>
          <w:rStyle w:val="DipnotBavurusu"/>
          <w:rFonts w:ascii="Times New Roman" w:hAnsi="Times New Roman" w:cs="Times New Roman"/>
        </w:rPr>
        <w:footnoteReference w:id="961"/>
      </w:r>
      <w:r w:rsidRPr="00705170">
        <w:rPr>
          <w:rFonts w:ascii="Times New Roman" w:hAnsi="Times New Roman" w:cs="Times New Roman"/>
        </w:rPr>
        <w:t xml:space="preserve">. </w:t>
      </w:r>
      <w:proofErr w:type="spellStart"/>
      <w:r w:rsidR="00AB408C" w:rsidRPr="00705170">
        <w:rPr>
          <w:rFonts w:ascii="Times New Roman" w:hAnsi="Times New Roman" w:cs="Times New Roman"/>
        </w:rPr>
        <w:t>However</w:t>
      </w:r>
      <w:proofErr w:type="spellEnd"/>
      <w:r w:rsidR="00AB408C" w:rsidRPr="00705170">
        <w:rPr>
          <w:rFonts w:ascii="Times New Roman" w:hAnsi="Times New Roman" w:cs="Times New Roman"/>
        </w:rPr>
        <w:t xml:space="preserve">, </w:t>
      </w:r>
      <w:proofErr w:type="spellStart"/>
      <w:r w:rsidR="00AB408C" w:rsidRPr="00705170">
        <w:rPr>
          <w:rFonts w:ascii="Times New Roman" w:hAnsi="Times New Roman" w:cs="Times New Roman"/>
        </w:rPr>
        <w:t>the</w:t>
      </w:r>
      <w:proofErr w:type="spellEnd"/>
      <w:r w:rsidR="00AB408C" w:rsidRPr="00705170">
        <w:rPr>
          <w:rFonts w:ascii="Times New Roman" w:hAnsi="Times New Roman" w:cs="Times New Roman"/>
        </w:rPr>
        <w:t xml:space="preserve"> </w:t>
      </w:r>
      <w:proofErr w:type="spellStart"/>
      <w:r w:rsidR="00AB408C" w:rsidRPr="00705170">
        <w:rPr>
          <w:rFonts w:ascii="Times New Roman" w:hAnsi="Times New Roman" w:cs="Times New Roman"/>
        </w:rPr>
        <w:t>court’s</w:t>
      </w:r>
      <w:proofErr w:type="spellEnd"/>
      <w:r w:rsidR="00AB408C" w:rsidRPr="00705170">
        <w:rPr>
          <w:rFonts w:ascii="Times New Roman" w:hAnsi="Times New Roman" w:cs="Times New Roman"/>
        </w:rPr>
        <w:t xml:space="preserve"> </w:t>
      </w:r>
      <w:proofErr w:type="spellStart"/>
      <w:r w:rsidR="00AB408C" w:rsidRPr="00705170">
        <w:rPr>
          <w:rFonts w:ascii="Times New Roman" w:hAnsi="Times New Roman" w:cs="Times New Roman"/>
        </w:rPr>
        <w:t>power</w:t>
      </w:r>
      <w:proofErr w:type="spellEnd"/>
      <w:r w:rsidR="00AB408C" w:rsidRPr="00705170">
        <w:rPr>
          <w:rFonts w:ascii="Times New Roman" w:hAnsi="Times New Roman" w:cs="Times New Roman"/>
        </w:rPr>
        <w:t xml:space="preserve"> </w:t>
      </w:r>
      <w:proofErr w:type="spellStart"/>
      <w:r w:rsidR="00AB408C" w:rsidRPr="00705170">
        <w:rPr>
          <w:rFonts w:ascii="Times New Roman" w:hAnsi="Times New Roman" w:cs="Times New Roman"/>
        </w:rPr>
        <w:t>to</w:t>
      </w:r>
      <w:proofErr w:type="spellEnd"/>
      <w:r w:rsidR="00AB408C" w:rsidRPr="00705170">
        <w:rPr>
          <w:rFonts w:ascii="Times New Roman" w:hAnsi="Times New Roman" w:cs="Times New Roman"/>
        </w:rPr>
        <w:t xml:space="preserve"> </w:t>
      </w:r>
      <w:proofErr w:type="spellStart"/>
      <w:r w:rsidR="00AB408C" w:rsidRPr="00705170">
        <w:rPr>
          <w:rFonts w:ascii="Times New Roman" w:hAnsi="Times New Roman" w:cs="Times New Roman"/>
        </w:rPr>
        <w:t>order</w:t>
      </w:r>
      <w:proofErr w:type="spellEnd"/>
      <w:r w:rsidR="00AB408C" w:rsidRPr="00705170">
        <w:rPr>
          <w:rFonts w:ascii="Times New Roman" w:hAnsi="Times New Roman" w:cs="Times New Roman"/>
        </w:rPr>
        <w:t xml:space="preserve"> </w:t>
      </w:r>
      <w:proofErr w:type="spellStart"/>
      <w:r w:rsidR="00AB408C" w:rsidRPr="00705170">
        <w:rPr>
          <w:rFonts w:ascii="Times New Roman" w:hAnsi="Times New Roman" w:cs="Times New Roman"/>
        </w:rPr>
        <w:t>alternative</w:t>
      </w:r>
      <w:proofErr w:type="spellEnd"/>
      <w:r w:rsidR="00AB408C" w:rsidRPr="00705170">
        <w:rPr>
          <w:rFonts w:ascii="Times New Roman" w:hAnsi="Times New Roman" w:cs="Times New Roman"/>
        </w:rPr>
        <w:t xml:space="preserve"> </w:t>
      </w:r>
      <w:proofErr w:type="spellStart"/>
      <w:r w:rsidR="00AB408C" w:rsidRPr="00705170">
        <w:rPr>
          <w:rFonts w:ascii="Times New Roman" w:hAnsi="Times New Roman" w:cs="Times New Roman"/>
        </w:rPr>
        <w:t>remedies</w:t>
      </w:r>
      <w:proofErr w:type="spellEnd"/>
      <w:r w:rsidR="00AB408C" w:rsidRPr="00705170">
        <w:rPr>
          <w:rFonts w:ascii="Times New Roman" w:hAnsi="Times New Roman" w:cs="Times New Roman"/>
        </w:rPr>
        <w:t xml:space="preserve"> is </w:t>
      </w:r>
      <w:proofErr w:type="spellStart"/>
      <w:r w:rsidR="00AB408C" w:rsidRPr="00705170">
        <w:rPr>
          <w:rFonts w:ascii="Times New Roman" w:hAnsi="Times New Roman" w:cs="Times New Roman"/>
        </w:rPr>
        <w:t>rest</w:t>
      </w:r>
      <w:r w:rsidR="00F46269" w:rsidRPr="00705170">
        <w:rPr>
          <w:rFonts w:ascii="Times New Roman" w:hAnsi="Times New Roman" w:cs="Times New Roman"/>
        </w:rPr>
        <w:t>ricted</w:t>
      </w:r>
      <w:proofErr w:type="spellEnd"/>
      <w:r w:rsidR="006811FC" w:rsidRPr="00705170">
        <w:rPr>
          <w:rFonts w:ascii="Times New Roman" w:hAnsi="Times New Roman" w:cs="Times New Roman"/>
        </w:rPr>
        <w:t xml:space="preserve"> in </w:t>
      </w:r>
      <w:proofErr w:type="spellStart"/>
      <w:r w:rsidR="006811FC" w:rsidRPr="00705170">
        <w:rPr>
          <w:rFonts w:ascii="Times New Roman" w:hAnsi="Times New Roman" w:cs="Times New Roman"/>
        </w:rPr>
        <w:t>two</w:t>
      </w:r>
      <w:proofErr w:type="spellEnd"/>
      <w:r w:rsidR="006811FC" w:rsidRPr="00705170">
        <w:rPr>
          <w:rFonts w:ascii="Times New Roman" w:hAnsi="Times New Roman" w:cs="Times New Roman"/>
        </w:rPr>
        <w:t xml:space="preserve"> </w:t>
      </w:r>
      <w:proofErr w:type="spellStart"/>
      <w:r w:rsidR="006811FC" w:rsidRPr="00705170">
        <w:rPr>
          <w:rFonts w:ascii="Times New Roman" w:hAnsi="Times New Roman" w:cs="Times New Roman"/>
        </w:rPr>
        <w:t>ways</w:t>
      </w:r>
      <w:proofErr w:type="spellEnd"/>
      <w:r w:rsidR="00F46269" w:rsidRPr="00705170">
        <w:rPr>
          <w:rFonts w:ascii="Times New Roman" w:hAnsi="Times New Roman" w:cs="Times New Roman"/>
        </w:rPr>
        <w:t>.</w:t>
      </w:r>
      <w:r w:rsidR="006811FC" w:rsidRPr="00705170">
        <w:rPr>
          <w:rFonts w:ascii="Times New Roman" w:hAnsi="Times New Roman" w:cs="Times New Roman"/>
        </w:rPr>
        <w:t xml:space="preserve"> </w:t>
      </w:r>
      <w:proofErr w:type="spellStart"/>
      <w:r w:rsidR="006811FC" w:rsidRPr="00705170">
        <w:rPr>
          <w:rFonts w:ascii="Times New Roman" w:hAnsi="Times New Roman" w:cs="Times New Roman"/>
        </w:rPr>
        <w:t>Firstly</w:t>
      </w:r>
      <w:proofErr w:type="spellEnd"/>
      <w:r w:rsidR="006811FC" w:rsidRPr="00705170">
        <w:rPr>
          <w:rFonts w:ascii="Times New Roman" w:hAnsi="Times New Roman" w:cs="Times New Roman"/>
        </w:rPr>
        <w:t xml:space="preserve">, </w:t>
      </w:r>
      <w:proofErr w:type="spellStart"/>
      <w:r w:rsidR="006811FC" w:rsidRPr="00705170">
        <w:rPr>
          <w:rFonts w:ascii="Times New Roman" w:hAnsi="Times New Roman" w:cs="Times New Roman"/>
        </w:rPr>
        <w:t>there</w:t>
      </w:r>
      <w:proofErr w:type="spellEnd"/>
      <w:r w:rsidR="006811FC" w:rsidRPr="00705170">
        <w:rPr>
          <w:rFonts w:ascii="Times New Roman" w:hAnsi="Times New Roman" w:cs="Times New Roman"/>
        </w:rPr>
        <w:t xml:space="preserve"> </w:t>
      </w:r>
      <w:proofErr w:type="spellStart"/>
      <w:r w:rsidR="006811FC" w:rsidRPr="00705170">
        <w:rPr>
          <w:rFonts w:ascii="Times New Roman" w:hAnsi="Times New Roman" w:cs="Times New Roman"/>
        </w:rPr>
        <w:t>should</w:t>
      </w:r>
      <w:proofErr w:type="spellEnd"/>
      <w:r w:rsidR="006811FC" w:rsidRPr="00705170">
        <w:rPr>
          <w:rFonts w:ascii="Times New Roman" w:hAnsi="Times New Roman" w:cs="Times New Roman"/>
        </w:rPr>
        <w:t xml:space="preserve"> be a </w:t>
      </w:r>
      <w:proofErr w:type="spellStart"/>
      <w:r w:rsidR="006811FC" w:rsidRPr="00705170">
        <w:rPr>
          <w:rFonts w:ascii="Times New Roman" w:hAnsi="Times New Roman" w:cs="Times New Roman"/>
        </w:rPr>
        <w:t>just</w:t>
      </w:r>
      <w:proofErr w:type="spellEnd"/>
      <w:r w:rsidR="006811FC" w:rsidRPr="00705170">
        <w:rPr>
          <w:rFonts w:ascii="Times New Roman" w:hAnsi="Times New Roman" w:cs="Times New Roman"/>
        </w:rPr>
        <w:t xml:space="preserve"> </w:t>
      </w:r>
      <w:proofErr w:type="spellStart"/>
      <w:r w:rsidR="006811FC" w:rsidRPr="00705170">
        <w:rPr>
          <w:rFonts w:ascii="Times New Roman" w:hAnsi="Times New Roman" w:cs="Times New Roman"/>
        </w:rPr>
        <w:t>cause</w:t>
      </w:r>
      <w:proofErr w:type="spellEnd"/>
      <w:r w:rsidR="006811FC" w:rsidRPr="00705170">
        <w:rPr>
          <w:rFonts w:ascii="Times New Roman" w:hAnsi="Times New Roman" w:cs="Times New Roman"/>
        </w:rPr>
        <w:t xml:space="preserve"> </w:t>
      </w:r>
      <w:proofErr w:type="spellStart"/>
      <w:r w:rsidR="006811FC" w:rsidRPr="00705170">
        <w:rPr>
          <w:rFonts w:ascii="Times New Roman" w:hAnsi="Times New Roman" w:cs="Times New Roman"/>
        </w:rPr>
        <w:t>amounting</w:t>
      </w:r>
      <w:proofErr w:type="spellEnd"/>
      <w:r w:rsidR="006811FC" w:rsidRPr="00705170">
        <w:rPr>
          <w:rFonts w:ascii="Times New Roman" w:hAnsi="Times New Roman" w:cs="Times New Roman"/>
        </w:rPr>
        <w:t xml:space="preserve"> </w:t>
      </w:r>
      <w:proofErr w:type="spellStart"/>
      <w:r w:rsidR="006811FC" w:rsidRPr="00705170">
        <w:rPr>
          <w:rFonts w:ascii="Times New Roman" w:hAnsi="Times New Roman" w:cs="Times New Roman"/>
        </w:rPr>
        <w:t>to</w:t>
      </w:r>
      <w:proofErr w:type="spellEnd"/>
      <w:r w:rsidR="006811FC" w:rsidRPr="00705170">
        <w:rPr>
          <w:rFonts w:ascii="Times New Roman" w:hAnsi="Times New Roman" w:cs="Times New Roman"/>
        </w:rPr>
        <w:t xml:space="preserve"> a </w:t>
      </w:r>
      <w:proofErr w:type="spellStart"/>
      <w:r w:rsidR="006811FC" w:rsidRPr="00705170">
        <w:rPr>
          <w:rFonts w:ascii="Times New Roman" w:hAnsi="Times New Roman" w:cs="Times New Roman"/>
        </w:rPr>
        <w:t>dissolution</w:t>
      </w:r>
      <w:proofErr w:type="spellEnd"/>
      <w:r w:rsidR="006811FC" w:rsidRPr="00705170">
        <w:rPr>
          <w:rFonts w:ascii="Times New Roman" w:hAnsi="Times New Roman" w:cs="Times New Roman"/>
        </w:rPr>
        <w:t xml:space="preserve"> </w:t>
      </w:r>
      <w:proofErr w:type="spellStart"/>
      <w:r w:rsidR="006811FC" w:rsidRPr="00705170">
        <w:rPr>
          <w:rFonts w:ascii="Times New Roman" w:hAnsi="Times New Roman" w:cs="Times New Roman"/>
        </w:rPr>
        <w:t>order</w:t>
      </w:r>
      <w:proofErr w:type="spellEnd"/>
      <w:r w:rsidR="006811FC" w:rsidRPr="00705170">
        <w:rPr>
          <w:rStyle w:val="DipnotBavurusu"/>
          <w:rFonts w:ascii="Times New Roman" w:hAnsi="Times New Roman" w:cs="Times New Roman"/>
        </w:rPr>
        <w:footnoteReference w:id="962"/>
      </w:r>
      <w:r w:rsidR="006811FC" w:rsidRPr="00705170">
        <w:rPr>
          <w:rFonts w:ascii="Times New Roman" w:hAnsi="Times New Roman" w:cs="Times New Roman"/>
        </w:rPr>
        <w:t>.</w:t>
      </w:r>
      <w:r w:rsidR="00F46269" w:rsidRPr="00705170">
        <w:rPr>
          <w:rFonts w:ascii="Times New Roman" w:hAnsi="Times New Roman" w:cs="Times New Roman"/>
        </w:rPr>
        <w:t xml:space="preserve"> </w:t>
      </w:r>
      <w:proofErr w:type="spellStart"/>
      <w:r w:rsidR="006811FC" w:rsidRPr="00705170">
        <w:rPr>
          <w:rFonts w:ascii="Times New Roman" w:hAnsi="Times New Roman" w:cs="Times New Roman"/>
        </w:rPr>
        <w:lastRenderedPageBreak/>
        <w:t>Secondly</w:t>
      </w:r>
      <w:proofErr w:type="spellEnd"/>
      <w:r w:rsidR="006811FC" w:rsidRPr="00705170">
        <w:rPr>
          <w:rFonts w:ascii="Times New Roman" w:hAnsi="Times New Roman" w:cs="Times New Roman"/>
        </w:rPr>
        <w:t xml:space="preserve">, </w:t>
      </w:r>
      <w:proofErr w:type="spellStart"/>
      <w:r w:rsidR="006811FC" w:rsidRPr="00705170">
        <w:rPr>
          <w:rFonts w:ascii="Times New Roman" w:hAnsi="Times New Roman" w:cs="Times New Roman"/>
        </w:rPr>
        <w:t>t</w:t>
      </w:r>
      <w:r w:rsidR="00F46269" w:rsidRPr="00705170">
        <w:rPr>
          <w:rFonts w:ascii="Times New Roman" w:hAnsi="Times New Roman" w:cs="Times New Roman"/>
        </w:rPr>
        <w:t>he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alternative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remedy</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should</w:t>
      </w:r>
      <w:proofErr w:type="spellEnd"/>
      <w:r w:rsidR="00F46269" w:rsidRPr="00705170">
        <w:rPr>
          <w:rFonts w:ascii="Times New Roman" w:hAnsi="Times New Roman" w:cs="Times New Roman"/>
        </w:rPr>
        <w:t xml:space="preserve"> be </w:t>
      </w:r>
      <w:proofErr w:type="spellStart"/>
      <w:r w:rsidR="00F46269" w:rsidRPr="00705170">
        <w:rPr>
          <w:rFonts w:ascii="Times New Roman" w:hAnsi="Times New Roman" w:cs="Times New Roman"/>
        </w:rPr>
        <w:t>ordered</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only</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if</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the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solution</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i.e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remedy</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ordered</w:t>
      </w:r>
      <w:proofErr w:type="spellEnd"/>
      <w:r w:rsidR="00F46269" w:rsidRPr="00705170">
        <w:rPr>
          <w:rFonts w:ascii="Times New Roman" w:hAnsi="Times New Roman" w:cs="Times New Roman"/>
        </w:rPr>
        <w:t xml:space="preserve"> is (1) </w:t>
      </w:r>
      <w:proofErr w:type="spellStart"/>
      <w:r w:rsidR="00F46269" w:rsidRPr="00705170">
        <w:rPr>
          <w:rFonts w:ascii="Times New Roman" w:hAnsi="Times New Roman" w:cs="Times New Roman"/>
        </w:rPr>
        <w:t>adequate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for</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th</w:t>
      </w:r>
      <w:r w:rsidR="000554CB" w:rsidRPr="00705170">
        <w:rPr>
          <w:rFonts w:ascii="Times New Roman" w:hAnsi="Times New Roman" w:cs="Times New Roman"/>
        </w:rPr>
        <w:t>e</w:t>
      </w:r>
      <w:proofErr w:type="spellEnd"/>
      <w:r w:rsidR="000554CB" w:rsidRPr="00705170">
        <w:rPr>
          <w:rFonts w:ascii="Times New Roman" w:hAnsi="Times New Roman" w:cs="Times New Roman"/>
        </w:rPr>
        <w:t xml:space="preserve"> </w:t>
      </w:r>
      <w:proofErr w:type="spellStart"/>
      <w:r w:rsidR="000554CB" w:rsidRPr="00705170">
        <w:rPr>
          <w:rFonts w:ascii="Times New Roman" w:hAnsi="Times New Roman" w:cs="Times New Roman"/>
        </w:rPr>
        <w:t>situation</w:t>
      </w:r>
      <w:proofErr w:type="spellEnd"/>
      <w:r w:rsidR="000554CB" w:rsidRPr="00705170">
        <w:rPr>
          <w:rFonts w:ascii="Times New Roman" w:hAnsi="Times New Roman" w:cs="Times New Roman"/>
        </w:rPr>
        <w:t xml:space="preserve"> </w:t>
      </w:r>
      <w:proofErr w:type="spellStart"/>
      <w:r w:rsidR="000554CB" w:rsidRPr="00705170">
        <w:rPr>
          <w:rFonts w:ascii="Times New Roman" w:hAnsi="Times New Roman" w:cs="Times New Roman"/>
        </w:rPr>
        <w:t>and</w:t>
      </w:r>
      <w:proofErr w:type="spellEnd"/>
      <w:r w:rsidR="000554CB" w:rsidRPr="00705170">
        <w:rPr>
          <w:rFonts w:ascii="Times New Roman" w:hAnsi="Times New Roman" w:cs="Times New Roman"/>
        </w:rPr>
        <w:t xml:space="preserve"> (2) </w:t>
      </w:r>
      <w:proofErr w:type="spellStart"/>
      <w:r w:rsidR="000554CB" w:rsidRPr="00705170">
        <w:rPr>
          <w:rFonts w:ascii="Times New Roman" w:hAnsi="Times New Roman" w:cs="Times New Roman"/>
        </w:rPr>
        <w:t>acceptable</w:t>
      </w:r>
      <w:proofErr w:type="spellEnd"/>
      <w:r w:rsidR="000554CB" w:rsidRPr="00705170">
        <w:rPr>
          <w:rFonts w:ascii="Times New Roman" w:hAnsi="Times New Roman" w:cs="Times New Roman"/>
        </w:rPr>
        <w:t>.</w:t>
      </w:r>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In</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this</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regards</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the</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court</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should</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also</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consider</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whether</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the</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corporation</w:t>
      </w:r>
      <w:proofErr w:type="spellEnd"/>
      <w:r w:rsidR="00AC3E45" w:rsidRPr="00705170">
        <w:rPr>
          <w:rFonts w:ascii="Times New Roman" w:hAnsi="Times New Roman" w:cs="Times New Roman"/>
        </w:rPr>
        <w:t xml:space="preserve"> is a </w:t>
      </w:r>
      <w:proofErr w:type="spellStart"/>
      <w:r w:rsidR="00AC3E45" w:rsidRPr="00705170">
        <w:rPr>
          <w:rFonts w:ascii="Times New Roman" w:hAnsi="Times New Roman" w:cs="Times New Roman"/>
        </w:rPr>
        <w:t>publicly</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traded</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one</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or</w:t>
      </w:r>
      <w:proofErr w:type="spellEnd"/>
      <w:r w:rsidR="00AC3E45" w:rsidRPr="00705170">
        <w:rPr>
          <w:rFonts w:ascii="Times New Roman" w:hAnsi="Times New Roman" w:cs="Times New Roman"/>
        </w:rPr>
        <w:t xml:space="preserve"> not</w:t>
      </w:r>
      <w:r w:rsidR="00AC3E45" w:rsidRPr="00705170">
        <w:rPr>
          <w:rStyle w:val="DipnotBavurusu"/>
          <w:rFonts w:ascii="Times New Roman" w:hAnsi="Times New Roman" w:cs="Times New Roman"/>
        </w:rPr>
        <w:footnoteReference w:id="963"/>
      </w:r>
      <w:r w:rsidR="00AC3E45" w:rsidRPr="00705170">
        <w:rPr>
          <w:rFonts w:ascii="Times New Roman" w:hAnsi="Times New Roman" w:cs="Times New Roman"/>
        </w:rPr>
        <w:t>.</w:t>
      </w:r>
    </w:p>
    <w:p w14:paraId="5A670842" w14:textId="17818AE5" w:rsidR="00092D5F" w:rsidRPr="00705170" w:rsidRDefault="00092D5F" w:rsidP="0084032C">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00DA6B53" w:rsidRPr="00705170">
        <w:rPr>
          <w:rFonts w:ascii="Times New Roman" w:hAnsi="Times New Roman" w:cs="Times New Roman"/>
        </w:rPr>
        <w:t>The</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first</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limitation</w:t>
      </w:r>
      <w:proofErr w:type="spellEnd"/>
      <w:r w:rsidR="00DA6B53" w:rsidRPr="00705170">
        <w:rPr>
          <w:rFonts w:ascii="Times New Roman" w:hAnsi="Times New Roman" w:cs="Times New Roman"/>
        </w:rPr>
        <w:t>, “</w:t>
      </w:r>
      <w:proofErr w:type="spellStart"/>
      <w:r w:rsidR="00DA6B53" w:rsidRPr="00705170">
        <w:rPr>
          <w:rFonts w:ascii="Times New Roman" w:hAnsi="Times New Roman" w:cs="Times New Roman"/>
        </w:rPr>
        <w:t>adequacy</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for</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the</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situation</w:t>
      </w:r>
      <w:proofErr w:type="spellEnd"/>
      <w:r w:rsidR="001E7DF9">
        <w:rPr>
          <w:rFonts w:ascii="Times New Roman" w:hAnsi="Times New Roman" w:cs="Times New Roman"/>
        </w:rPr>
        <w:t xml:space="preserve">”, </w:t>
      </w:r>
      <w:proofErr w:type="spellStart"/>
      <w:r w:rsidR="001E7DF9">
        <w:rPr>
          <w:rFonts w:ascii="Times New Roman" w:hAnsi="Times New Roman" w:cs="Times New Roman"/>
        </w:rPr>
        <w:t>signals</w:t>
      </w:r>
      <w:proofErr w:type="spellEnd"/>
      <w:r w:rsidR="001E7DF9">
        <w:rPr>
          <w:rFonts w:ascii="Times New Roman" w:hAnsi="Times New Roman" w:cs="Times New Roman"/>
        </w:rPr>
        <w:t xml:space="preserve"> </w:t>
      </w:r>
      <w:proofErr w:type="spellStart"/>
      <w:r w:rsidR="001E7DF9">
        <w:rPr>
          <w:rFonts w:ascii="Times New Roman" w:hAnsi="Times New Roman" w:cs="Times New Roman"/>
        </w:rPr>
        <w:t>that</w:t>
      </w:r>
      <w:proofErr w:type="spellEnd"/>
      <w:r w:rsidR="001E7DF9">
        <w:rPr>
          <w:rFonts w:ascii="Times New Roman" w:hAnsi="Times New Roman" w:cs="Times New Roman"/>
        </w:rPr>
        <w:t xml:space="preserve"> </w:t>
      </w:r>
      <w:proofErr w:type="spellStart"/>
      <w:r w:rsidR="001E7DF9">
        <w:rPr>
          <w:rFonts w:ascii="Times New Roman" w:hAnsi="Times New Roman" w:cs="Times New Roman"/>
        </w:rPr>
        <w:t>the</w:t>
      </w:r>
      <w:proofErr w:type="spellEnd"/>
      <w:r w:rsidR="001E7DF9">
        <w:rPr>
          <w:rFonts w:ascii="Times New Roman" w:hAnsi="Times New Roman" w:cs="Times New Roman"/>
        </w:rPr>
        <w:t xml:space="preserve"> </w:t>
      </w:r>
      <w:proofErr w:type="spellStart"/>
      <w:r w:rsidR="001E7DF9">
        <w:rPr>
          <w:rFonts w:ascii="Times New Roman" w:hAnsi="Times New Roman" w:cs="Times New Roman"/>
        </w:rPr>
        <w:t>court</w:t>
      </w:r>
      <w:proofErr w:type="spellEnd"/>
      <w:r w:rsidR="001E7DF9">
        <w:rPr>
          <w:rFonts w:ascii="Times New Roman" w:hAnsi="Times New Roman" w:cs="Times New Roman"/>
        </w:rPr>
        <w:t xml:space="preserve"> has </w:t>
      </w:r>
      <w:proofErr w:type="spellStart"/>
      <w:r w:rsidR="001E7DF9">
        <w:rPr>
          <w:rFonts w:ascii="Times New Roman" w:hAnsi="Times New Roman" w:cs="Times New Roman"/>
        </w:rPr>
        <w:t>to</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find</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the</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best</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solution</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that</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will</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remedy</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the</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petitioner’s</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frustration</w:t>
      </w:r>
      <w:proofErr w:type="spellEnd"/>
      <w:r w:rsidR="00DA6B53" w:rsidRPr="00705170">
        <w:rPr>
          <w:rStyle w:val="DipnotBavurusu"/>
          <w:rFonts w:ascii="Times New Roman" w:hAnsi="Times New Roman" w:cs="Times New Roman"/>
        </w:rPr>
        <w:footnoteReference w:id="964"/>
      </w:r>
      <w:r w:rsidR="00DA6B53" w:rsidRPr="00705170">
        <w:rPr>
          <w:rFonts w:ascii="Times New Roman" w:hAnsi="Times New Roman" w:cs="Times New Roman"/>
        </w:rPr>
        <w:t xml:space="preserve">. On </w:t>
      </w:r>
      <w:proofErr w:type="spellStart"/>
      <w:r w:rsidR="00DA6B53" w:rsidRPr="00705170">
        <w:rPr>
          <w:rFonts w:ascii="Times New Roman" w:hAnsi="Times New Roman" w:cs="Times New Roman"/>
        </w:rPr>
        <w:t>the</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other</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hand</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the</w:t>
      </w:r>
      <w:proofErr w:type="spellEnd"/>
      <w:r w:rsidR="00DA6B53" w:rsidRPr="00705170">
        <w:rPr>
          <w:rFonts w:ascii="Times New Roman" w:hAnsi="Times New Roman" w:cs="Times New Roman"/>
        </w:rPr>
        <w:t xml:space="preserve"> “</w:t>
      </w:r>
      <w:proofErr w:type="spellStart"/>
      <w:r w:rsidR="00DA6B53" w:rsidRPr="00705170">
        <w:rPr>
          <w:rFonts w:ascii="Times New Roman" w:hAnsi="Times New Roman" w:cs="Times New Roman"/>
        </w:rPr>
        <w:t>acceptability</w:t>
      </w:r>
      <w:proofErr w:type="spellEnd"/>
      <w:r w:rsidR="00DA6B53" w:rsidRPr="00705170">
        <w:rPr>
          <w:rFonts w:ascii="Times New Roman" w:hAnsi="Times New Roman" w:cs="Times New Roman"/>
        </w:rPr>
        <w:t>”</w:t>
      </w:r>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limitation</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signals</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that</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the</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court</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should</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consider</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the</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interests</w:t>
      </w:r>
      <w:proofErr w:type="spellEnd"/>
      <w:r w:rsidR="000D4D05" w:rsidRPr="00705170">
        <w:rPr>
          <w:rFonts w:ascii="Times New Roman" w:hAnsi="Times New Roman" w:cs="Times New Roman"/>
        </w:rPr>
        <w:t xml:space="preserve"> of </w:t>
      </w:r>
      <w:proofErr w:type="spellStart"/>
      <w:r w:rsidR="000D4D05" w:rsidRPr="00705170">
        <w:rPr>
          <w:rFonts w:ascii="Times New Roman" w:hAnsi="Times New Roman" w:cs="Times New Roman"/>
        </w:rPr>
        <w:t>all</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parties</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and</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stakeholders</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relating</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the</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case</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before</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ordering</w:t>
      </w:r>
      <w:proofErr w:type="spellEnd"/>
      <w:r w:rsidR="000D4D05" w:rsidRPr="00705170">
        <w:rPr>
          <w:rFonts w:ascii="Times New Roman" w:hAnsi="Times New Roman" w:cs="Times New Roman"/>
        </w:rPr>
        <w:t xml:space="preserve"> a </w:t>
      </w:r>
      <w:proofErr w:type="spellStart"/>
      <w:r w:rsidR="000D4D05" w:rsidRPr="00705170">
        <w:rPr>
          <w:rFonts w:ascii="Times New Roman" w:hAnsi="Times New Roman" w:cs="Times New Roman"/>
        </w:rPr>
        <w:t>particular</w:t>
      </w:r>
      <w:proofErr w:type="spellEnd"/>
      <w:r w:rsidR="000D4D05" w:rsidRPr="00705170">
        <w:rPr>
          <w:rFonts w:ascii="Times New Roman" w:hAnsi="Times New Roman" w:cs="Times New Roman"/>
        </w:rPr>
        <w:t xml:space="preserve"> </w:t>
      </w:r>
      <w:proofErr w:type="spellStart"/>
      <w:r w:rsidR="000D4D05" w:rsidRPr="00705170">
        <w:rPr>
          <w:rFonts w:ascii="Times New Roman" w:hAnsi="Times New Roman" w:cs="Times New Roman"/>
        </w:rPr>
        <w:t>remedy</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and</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order</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one</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that</w:t>
      </w:r>
      <w:proofErr w:type="spellEnd"/>
      <w:r w:rsidR="007F71FE" w:rsidRPr="00705170">
        <w:rPr>
          <w:rFonts w:ascii="Times New Roman" w:hAnsi="Times New Roman" w:cs="Times New Roman"/>
        </w:rPr>
        <w:t xml:space="preserve"> is </w:t>
      </w:r>
      <w:proofErr w:type="spellStart"/>
      <w:r w:rsidR="007F71FE" w:rsidRPr="00705170">
        <w:rPr>
          <w:rFonts w:ascii="Times New Roman" w:hAnsi="Times New Roman" w:cs="Times New Roman"/>
        </w:rPr>
        <w:t>acceptable</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for</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all</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stakeholders</w:t>
      </w:r>
      <w:proofErr w:type="spellEnd"/>
      <w:r w:rsidR="000D4D05" w:rsidRPr="00705170">
        <w:rPr>
          <w:rStyle w:val="DipnotBavurusu"/>
          <w:rFonts w:ascii="Times New Roman" w:hAnsi="Times New Roman" w:cs="Times New Roman"/>
        </w:rPr>
        <w:footnoteReference w:id="965"/>
      </w:r>
      <w:r w:rsidR="000D4D05" w:rsidRPr="00705170">
        <w:rPr>
          <w:rFonts w:ascii="Times New Roman" w:hAnsi="Times New Roman" w:cs="Times New Roman"/>
        </w:rPr>
        <w:t>.</w:t>
      </w:r>
      <w:r w:rsidR="00DA6B53"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acceptability</w:t>
      </w:r>
      <w:proofErr w:type="spellEnd"/>
      <w:r w:rsidRPr="00705170">
        <w:rPr>
          <w:rFonts w:ascii="Times New Roman" w:hAnsi="Times New Roman" w:cs="Times New Roman"/>
        </w:rPr>
        <w:t xml:space="preserve">” limit </w:t>
      </w:r>
      <w:proofErr w:type="spellStart"/>
      <w:r w:rsidRPr="00705170">
        <w:rPr>
          <w:rFonts w:ascii="Times New Roman" w:hAnsi="Times New Roman" w:cs="Times New Roman"/>
        </w:rPr>
        <w:t>also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requires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002C0B13" w:rsidRPr="00705170">
        <w:rPr>
          <w:rFonts w:ascii="Times New Roman" w:hAnsi="Times New Roman" w:cs="Times New Roman"/>
        </w:rPr>
        <w:t xml:space="preserve"> </w:t>
      </w:r>
      <w:proofErr w:type="spellStart"/>
      <w:r w:rsidR="002C0B13" w:rsidRPr="00705170">
        <w:rPr>
          <w:rFonts w:ascii="Times New Roman" w:hAnsi="Times New Roman" w:cs="Times New Roman"/>
        </w:rPr>
        <w:t>court</w:t>
      </w:r>
      <w:proofErr w:type="spellEnd"/>
      <w:r w:rsidR="002C0B13" w:rsidRPr="00705170">
        <w:rPr>
          <w:rFonts w:ascii="Times New Roman" w:hAnsi="Times New Roman" w:cs="Times New Roman"/>
        </w:rPr>
        <w:t xml:space="preserve"> </w:t>
      </w:r>
      <w:proofErr w:type="spellStart"/>
      <w:r w:rsidR="002C0B13" w:rsidRPr="00705170">
        <w:rPr>
          <w:rFonts w:ascii="Times New Roman" w:hAnsi="Times New Roman" w:cs="Times New Roman"/>
        </w:rPr>
        <w:t>to</w:t>
      </w:r>
      <w:proofErr w:type="spellEnd"/>
      <w:r w:rsidR="002C0B13" w:rsidRPr="00705170">
        <w:rPr>
          <w:rFonts w:ascii="Times New Roman" w:hAnsi="Times New Roman" w:cs="Times New Roman"/>
        </w:rPr>
        <w:t xml:space="preserve"> </w:t>
      </w:r>
      <w:proofErr w:type="spellStart"/>
      <w:r w:rsidR="002C0B13" w:rsidRPr="00705170">
        <w:rPr>
          <w:rFonts w:ascii="Times New Roman" w:hAnsi="Times New Roman" w:cs="Times New Roman"/>
        </w:rPr>
        <w:t>order</w:t>
      </w:r>
      <w:proofErr w:type="spellEnd"/>
      <w:r w:rsidR="002C0B13" w:rsidRPr="00705170">
        <w:rPr>
          <w:rFonts w:ascii="Times New Roman" w:hAnsi="Times New Roman" w:cs="Times New Roman"/>
        </w:rPr>
        <w:t xml:space="preserve"> an “</w:t>
      </w:r>
      <w:proofErr w:type="spellStart"/>
      <w:r w:rsidR="002C0B13" w:rsidRPr="00705170">
        <w:rPr>
          <w:rFonts w:ascii="Times New Roman" w:hAnsi="Times New Roman" w:cs="Times New Roman"/>
        </w:rPr>
        <w:t>enforceable</w:t>
      </w:r>
      <w:proofErr w:type="spellEnd"/>
      <w:r w:rsidR="002C0B13" w:rsidRPr="00705170">
        <w:rPr>
          <w:rFonts w:ascii="Times New Roman" w:hAnsi="Times New Roman" w:cs="Times New Roman"/>
        </w:rPr>
        <w:t xml:space="preserve">” </w:t>
      </w:r>
      <w:proofErr w:type="spellStart"/>
      <w:r w:rsidR="002C0B13" w:rsidRPr="00705170">
        <w:rPr>
          <w:rFonts w:ascii="Times New Roman" w:hAnsi="Times New Roman" w:cs="Times New Roman"/>
        </w:rPr>
        <w:t>relief</w:t>
      </w:r>
      <w:proofErr w:type="spellEnd"/>
      <w:r w:rsidR="002C0B13" w:rsidRPr="00705170">
        <w:rPr>
          <w:rStyle w:val="DipnotBavurusu"/>
          <w:rFonts w:ascii="Times New Roman" w:hAnsi="Times New Roman" w:cs="Times New Roman"/>
        </w:rPr>
        <w:footnoteReference w:id="966"/>
      </w:r>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after</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all</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just</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like</w:t>
      </w:r>
      <w:proofErr w:type="spellEnd"/>
      <w:r w:rsidR="007F71FE" w:rsidRPr="00705170">
        <w:rPr>
          <w:rFonts w:ascii="Times New Roman" w:hAnsi="Times New Roman" w:cs="Times New Roman"/>
        </w:rPr>
        <w:t xml:space="preserve"> a </w:t>
      </w:r>
      <w:proofErr w:type="spellStart"/>
      <w:r w:rsidR="007F71FE" w:rsidRPr="00705170">
        <w:rPr>
          <w:rFonts w:ascii="Times New Roman" w:hAnsi="Times New Roman" w:cs="Times New Roman"/>
        </w:rPr>
        <w:t>court</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cannot</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order</w:t>
      </w:r>
      <w:proofErr w:type="spellEnd"/>
      <w:r w:rsidR="007F71FE" w:rsidRPr="00705170">
        <w:rPr>
          <w:rFonts w:ascii="Times New Roman" w:hAnsi="Times New Roman" w:cs="Times New Roman"/>
        </w:rPr>
        <w:t xml:space="preserve"> a </w:t>
      </w:r>
      <w:proofErr w:type="spellStart"/>
      <w:r w:rsidR="007F71FE" w:rsidRPr="00705170">
        <w:rPr>
          <w:rFonts w:ascii="Times New Roman" w:hAnsi="Times New Roman" w:cs="Times New Roman"/>
        </w:rPr>
        <w:t>singer</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to</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sing</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good</w:t>
      </w:r>
      <w:proofErr w:type="spellEnd"/>
      <w:r w:rsidR="007F71FE" w:rsidRPr="00705170">
        <w:rPr>
          <w:rStyle w:val="DipnotBavurusu"/>
          <w:rFonts w:ascii="Times New Roman" w:hAnsi="Times New Roman" w:cs="Times New Roman"/>
        </w:rPr>
        <w:footnoteReference w:id="967"/>
      </w:r>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the</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remedy</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ordered</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should</w:t>
      </w:r>
      <w:proofErr w:type="spellEnd"/>
      <w:r w:rsidR="007F71FE" w:rsidRPr="00705170">
        <w:rPr>
          <w:rFonts w:ascii="Times New Roman" w:hAnsi="Times New Roman" w:cs="Times New Roman"/>
        </w:rPr>
        <w:t xml:space="preserve"> be </w:t>
      </w:r>
      <w:proofErr w:type="spellStart"/>
      <w:r w:rsidR="007F71FE" w:rsidRPr="00705170">
        <w:rPr>
          <w:rFonts w:ascii="Times New Roman" w:hAnsi="Times New Roman" w:cs="Times New Roman"/>
        </w:rPr>
        <w:t>one</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that</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will</w:t>
      </w:r>
      <w:proofErr w:type="spellEnd"/>
      <w:r w:rsidR="007F71FE" w:rsidRPr="00705170">
        <w:rPr>
          <w:rFonts w:ascii="Times New Roman" w:hAnsi="Times New Roman" w:cs="Times New Roman"/>
        </w:rPr>
        <w:t xml:space="preserve"> not </w:t>
      </w:r>
      <w:proofErr w:type="spellStart"/>
      <w:r w:rsidR="007F71FE" w:rsidRPr="00705170">
        <w:rPr>
          <w:rFonts w:ascii="Times New Roman" w:hAnsi="Times New Roman" w:cs="Times New Roman"/>
        </w:rPr>
        <w:t>hamper</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the</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compensation</w:t>
      </w:r>
      <w:proofErr w:type="spellEnd"/>
      <w:r w:rsidR="007F71FE" w:rsidRPr="00705170">
        <w:rPr>
          <w:rFonts w:ascii="Times New Roman" w:hAnsi="Times New Roman" w:cs="Times New Roman"/>
        </w:rPr>
        <w:t xml:space="preserve"> of </w:t>
      </w:r>
      <w:proofErr w:type="spellStart"/>
      <w:r w:rsidR="007F71FE" w:rsidRPr="00705170">
        <w:rPr>
          <w:rFonts w:ascii="Times New Roman" w:hAnsi="Times New Roman" w:cs="Times New Roman"/>
        </w:rPr>
        <w:t>the</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frustration</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to</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the</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full</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extent</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due</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to</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enforceability</w:t>
      </w:r>
      <w:proofErr w:type="spellEnd"/>
      <w:r w:rsidR="007F71FE" w:rsidRPr="00705170">
        <w:rPr>
          <w:rFonts w:ascii="Times New Roman" w:hAnsi="Times New Roman" w:cs="Times New Roman"/>
        </w:rPr>
        <w:t xml:space="preserve"> </w:t>
      </w:r>
      <w:proofErr w:type="spellStart"/>
      <w:r w:rsidR="007F71FE" w:rsidRPr="00705170">
        <w:rPr>
          <w:rFonts w:ascii="Times New Roman" w:hAnsi="Times New Roman" w:cs="Times New Roman"/>
        </w:rPr>
        <w:t>problems</w:t>
      </w:r>
      <w:proofErr w:type="spellEnd"/>
      <w:r w:rsidR="007F71FE" w:rsidRPr="00705170">
        <w:rPr>
          <w:rFonts w:ascii="Times New Roman" w:hAnsi="Times New Roman" w:cs="Times New Roman"/>
        </w:rPr>
        <w:t xml:space="preserve">. </w:t>
      </w:r>
      <w:proofErr w:type="spellStart"/>
      <w:r w:rsidR="00AC3E45" w:rsidRPr="00705170">
        <w:rPr>
          <w:rFonts w:ascii="Times New Roman" w:hAnsi="Times New Roman" w:cs="Times New Roman"/>
        </w:rPr>
        <w:t>This</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interpretation</w:t>
      </w:r>
      <w:proofErr w:type="spellEnd"/>
      <w:r w:rsidR="00AC3E45" w:rsidRPr="00705170">
        <w:rPr>
          <w:rFonts w:ascii="Times New Roman" w:hAnsi="Times New Roman" w:cs="Times New Roman"/>
        </w:rPr>
        <w:t xml:space="preserve"> of </w:t>
      </w:r>
      <w:proofErr w:type="spellStart"/>
      <w:r w:rsidR="00AC3E45" w:rsidRPr="00705170">
        <w:rPr>
          <w:rFonts w:ascii="Times New Roman" w:hAnsi="Times New Roman" w:cs="Times New Roman"/>
        </w:rPr>
        <w:t>the</w:t>
      </w:r>
      <w:proofErr w:type="spellEnd"/>
      <w:r w:rsidR="000E46EC" w:rsidRPr="00705170">
        <w:rPr>
          <w:rFonts w:ascii="Times New Roman" w:hAnsi="Times New Roman" w:cs="Times New Roman"/>
        </w:rPr>
        <w:t xml:space="preserve"> </w:t>
      </w:r>
      <w:proofErr w:type="spellStart"/>
      <w:r w:rsidR="000E46EC" w:rsidRPr="00705170">
        <w:rPr>
          <w:rFonts w:ascii="Times New Roman" w:hAnsi="Times New Roman" w:cs="Times New Roman"/>
        </w:rPr>
        <w:t>limitations</w:t>
      </w:r>
      <w:proofErr w:type="spellEnd"/>
      <w:r w:rsidR="000E46EC" w:rsidRPr="00705170">
        <w:rPr>
          <w:rFonts w:ascii="Times New Roman" w:hAnsi="Times New Roman" w:cs="Times New Roman"/>
        </w:rPr>
        <w:t xml:space="preserve"> </w:t>
      </w:r>
      <w:proofErr w:type="spellStart"/>
      <w:r w:rsidR="000E46EC" w:rsidRPr="00705170">
        <w:rPr>
          <w:rFonts w:ascii="Times New Roman" w:hAnsi="Times New Roman" w:cs="Times New Roman"/>
        </w:rPr>
        <w:t>are</w:t>
      </w:r>
      <w:proofErr w:type="spellEnd"/>
      <w:r w:rsidR="000E46EC" w:rsidRPr="00705170">
        <w:rPr>
          <w:rFonts w:ascii="Times New Roman" w:hAnsi="Times New Roman" w:cs="Times New Roman"/>
        </w:rPr>
        <w:t xml:space="preserve"> </w:t>
      </w:r>
      <w:proofErr w:type="spellStart"/>
      <w:r w:rsidR="000E46EC" w:rsidRPr="00705170">
        <w:rPr>
          <w:rFonts w:ascii="Times New Roman" w:hAnsi="Times New Roman" w:cs="Times New Roman"/>
        </w:rPr>
        <w:t>also</w:t>
      </w:r>
      <w:proofErr w:type="spellEnd"/>
      <w:r w:rsidR="000E46EC" w:rsidRPr="00705170">
        <w:rPr>
          <w:rFonts w:ascii="Times New Roman" w:hAnsi="Times New Roman" w:cs="Times New Roman"/>
        </w:rPr>
        <w:t xml:space="preserve"> </w:t>
      </w:r>
      <w:proofErr w:type="spellStart"/>
      <w:r w:rsidR="000E46EC" w:rsidRPr="00705170">
        <w:rPr>
          <w:rFonts w:ascii="Times New Roman" w:hAnsi="Times New Roman" w:cs="Times New Roman"/>
        </w:rPr>
        <w:t>consistant</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with</w:t>
      </w:r>
      <w:proofErr w:type="spellEnd"/>
      <w:r w:rsidR="00E774EE" w:rsidRPr="00705170">
        <w:rPr>
          <w:rFonts w:ascii="Times New Roman" w:hAnsi="Times New Roman" w:cs="Times New Roman"/>
        </w:rPr>
        <w:t xml:space="preserve"> </w:t>
      </w:r>
      <w:proofErr w:type="spellStart"/>
      <w:r w:rsidR="00E774EE" w:rsidRPr="00705170">
        <w:rPr>
          <w:rFonts w:ascii="Times New Roman" w:hAnsi="Times New Roman" w:cs="Times New Roman"/>
        </w:rPr>
        <w:t>the</w:t>
      </w:r>
      <w:proofErr w:type="spellEnd"/>
      <w:r w:rsidR="00E774EE" w:rsidRPr="00705170">
        <w:rPr>
          <w:rFonts w:ascii="Times New Roman" w:hAnsi="Times New Roman" w:cs="Times New Roman"/>
        </w:rPr>
        <w:t xml:space="preserve"> </w:t>
      </w:r>
      <w:proofErr w:type="spellStart"/>
      <w:r w:rsidR="00E774EE" w:rsidRPr="00705170">
        <w:rPr>
          <w:rFonts w:ascii="Times New Roman" w:hAnsi="Times New Roman" w:cs="Times New Roman"/>
        </w:rPr>
        <w:t>interpretations</w:t>
      </w:r>
      <w:proofErr w:type="spellEnd"/>
      <w:r w:rsidR="00E774EE" w:rsidRPr="00705170">
        <w:rPr>
          <w:rFonts w:ascii="Times New Roman" w:hAnsi="Times New Roman" w:cs="Times New Roman"/>
        </w:rPr>
        <w:t xml:space="preserve"> of </w:t>
      </w:r>
      <w:proofErr w:type="spellStart"/>
      <w:r w:rsidR="00E774EE" w:rsidRPr="00705170">
        <w:rPr>
          <w:rFonts w:ascii="Times New Roman" w:hAnsi="Times New Roman" w:cs="Times New Roman"/>
        </w:rPr>
        <w:t>the</w:t>
      </w:r>
      <w:proofErr w:type="spellEnd"/>
      <w:r w:rsidR="00E774EE" w:rsidRPr="00705170">
        <w:rPr>
          <w:rFonts w:ascii="Times New Roman" w:hAnsi="Times New Roman" w:cs="Times New Roman"/>
        </w:rPr>
        <w:t xml:space="preserve"> </w:t>
      </w:r>
      <w:proofErr w:type="spellStart"/>
      <w:r w:rsidR="00E774EE" w:rsidRPr="00705170">
        <w:rPr>
          <w:rFonts w:ascii="Times New Roman" w:hAnsi="Times New Roman" w:cs="Times New Roman"/>
        </w:rPr>
        <w:t>equivalent</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Swiss</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law</w:t>
      </w:r>
      <w:proofErr w:type="spellEnd"/>
      <w:r w:rsidR="00E774EE" w:rsidRPr="00705170">
        <w:rPr>
          <w:rFonts w:ascii="Times New Roman" w:hAnsi="Times New Roman" w:cs="Times New Roman"/>
        </w:rPr>
        <w:t xml:space="preserve"> </w:t>
      </w:r>
      <w:proofErr w:type="spellStart"/>
      <w:r w:rsidR="00E774EE" w:rsidRPr="00705170">
        <w:rPr>
          <w:rFonts w:ascii="Times New Roman" w:hAnsi="Times New Roman" w:cs="Times New Roman"/>
        </w:rPr>
        <w:t>provision</w:t>
      </w:r>
      <w:proofErr w:type="spellEnd"/>
      <w:r w:rsidR="00E774EE" w:rsidRPr="00705170">
        <w:rPr>
          <w:rFonts w:ascii="Times New Roman" w:hAnsi="Times New Roman" w:cs="Times New Roman"/>
        </w:rPr>
        <w:t>,</w:t>
      </w:r>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which</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the</w:t>
      </w:r>
      <w:proofErr w:type="spellEnd"/>
      <w:r w:rsidR="00E774EE" w:rsidRPr="00705170">
        <w:rPr>
          <w:rFonts w:ascii="Times New Roman" w:hAnsi="Times New Roman" w:cs="Times New Roman"/>
        </w:rPr>
        <w:t xml:space="preserve"> </w:t>
      </w:r>
      <w:proofErr w:type="spellStart"/>
      <w:r w:rsidR="00E774EE" w:rsidRPr="00705170">
        <w:rPr>
          <w:rFonts w:ascii="Times New Roman" w:hAnsi="Times New Roman" w:cs="Times New Roman"/>
        </w:rPr>
        <w:t>TCC’s</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provision</w:t>
      </w:r>
      <w:proofErr w:type="spellEnd"/>
      <w:r w:rsidR="00AC3E45" w:rsidRPr="00705170">
        <w:rPr>
          <w:rFonts w:ascii="Times New Roman" w:hAnsi="Times New Roman" w:cs="Times New Roman"/>
        </w:rPr>
        <w:t xml:space="preserve"> is </w:t>
      </w:r>
      <w:proofErr w:type="spellStart"/>
      <w:r w:rsidR="00AC3E45" w:rsidRPr="00705170">
        <w:rPr>
          <w:rFonts w:ascii="Times New Roman" w:hAnsi="Times New Roman" w:cs="Times New Roman"/>
        </w:rPr>
        <w:t>taken</w:t>
      </w:r>
      <w:proofErr w:type="spellEnd"/>
      <w:r w:rsidR="00AC3E45" w:rsidRPr="00705170">
        <w:rPr>
          <w:rFonts w:ascii="Times New Roman" w:hAnsi="Times New Roman" w:cs="Times New Roman"/>
        </w:rPr>
        <w:t xml:space="preserve"> </w:t>
      </w:r>
      <w:proofErr w:type="spellStart"/>
      <w:r w:rsidR="00AC3E45" w:rsidRPr="00705170">
        <w:rPr>
          <w:rFonts w:ascii="Times New Roman" w:hAnsi="Times New Roman" w:cs="Times New Roman"/>
        </w:rPr>
        <w:t>from</w:t>
      </w:r>
      <w:proofErr w:type="spellEnd"/>
      <w:r w:rsidR="00AC3E45" w:rsidRPr="00705170">
        <w:rPr>
          <w:rStyle w:val="DipnotBavurusu"/>
          <w:rFonts w:ascii="Times New Roman" w:hAnsi="Times New Roman" w:cs="Times New Roman"/>
        </w:rPr>
        <w:footnoteReference w:id="968"/>
      </w:r>
      <w:r w:rsidR="00AC3E45" w:rsidRPr="00705170">
        <w:rPr>
          <w:rFonts w:ascii="Times New Roman" w:hAnsi="Times New Roman" w:cs="Times New Roman"/>
        </w:rPr>
        <w:t>.</w:t>
      </w:r>
    </w:p>
    <w:p w14:paraId="721E9803" w14:textId="243F1A21" w:rsidR="000554CB" w:rsidRPr="00705170" w:rsidRDefault="000554CB" w:rsidP="0084032C">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00071512" w:rsidRPr="00705170">
        <w:rPr>
          <w:rFonts w:ascii="Times New Roman" w:hAnsi="Times New Roman" w:cs="Times New Roman"/>
        </w:rPr>
        <w:t>Despite</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all</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these</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limitations</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the</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broad</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authority</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that</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the</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involuntary</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dissolution</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provision</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gives</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to</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the</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court</w:t>
      </w:r>
      <w:proofErr w:type="spellEnd"/>
      <w:r w:rsidR="00071512" w:rsidRPr="00705170">
        <w:rPr>
          <w:rFonts w:ascii="Times New Roman" w:hAnsi="Times New Roman" w:cs="Times New Roman"/>
        </w:rPr>
        <w:t xml:space="preserve"> in </w:t>
      </w:r>
      <w:proofErr w:type="spellStart"/>
      <w:r w:rsidR="00071512" w:rsidRPr="00705170">
        <w:rPr>
          <w:rFonts w:ascii="Times New Roman" w:hAnsi="Times New Roman" w:cs="Times New Roman"/>
        </w:rPr>
        <w:t>terms</w:t>
      </w:r>
      <w:proofErr w:type="spellEnd"/>
      <w:r w:rsidR="00071512" w:rsidRPr="00705170">
        <w:rPr>
          <w:rFonts w:ascii="Times New Roman" w:hAnsi="Times New Roman" w:cs="Times New Roman"/>
        </w:rPr>
        <w:t xml:space="preserve"> of </w:t>
      </w:r>
      <w:proofErr w:type="spellStart"/>
      <w:r w:rsidR="00071512" w:rsidRPr="00705170">
        <w:rPr>
          <w:rFonts w:ascii="Times New Roman" w:hAnsi="Times New Roman" w:cs="Times New Roman"/>
        </w:rPr>
        <w:t>the</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remedy</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shows</w:t>
      </w:r>
      <w:proofErr w:type="spellEnd"/>
      <w:r w:rsidR="00071512" w:rsidRPr="00705170">
        <w:rPr>
          <w:rFonts w:ascii="Times New Roman" w:hAnsi="Times New Roman" w:cs="Times New Roman"/>
        </w:rPr>
        <w:t xml:space="preserve"> how an </w:t>
      </w:r>
      <w:proofErr w:type="spellStart"/>
      <w:r w:rsidR="00071512" w:rsidRPr="00705170">
        <w:rPr>
          <w:rFonts w:ascii="Times New Roman" w:hAnsi="Times New Roman" w:cs="Times New Roman"/>
        </w:rPr>
        <w:t>unconventional</w:t>
      </w:r>
      <w:proofErr w:type="spellEnd"/>
      <w:r w:rsidR="00071512" w:rsidRPr="00705170">
        <w:rPr>
          <w:rFonts w:ascii="Times New Roman" w:hAnsi="Times New Roman" w:cs="Times New Roman"/>
        </w:rPr>
        <w:t xml:space="preserve"> </w:t>
      </w:r>
      <w:proofErr w:type="spellStart"/>
      <w:r w:rsidR="00071512" w:rsidRPr="00705170">
        <w:rPr>
          <w:rFonts w:ascii="Times New Roman" w:hAnsi="Times New Roman" w:cs="Times New Roman"/>
        </w:rPr>
        <w:t>approach</w:t>
      </w:r>
      <w:proofErr w:type="spellEnd"/>
      <w:r w:rsidR="00DD3367" w:rsidRPr="00705170">
        <w:rPr>
          <w:rFonts w:ascii="Times New Roman" w:hAnsi="Times New Roman" w:cs="Times New Roman"/>
        </w:rPr>
        <w:t xml:space="preserve"> is </w:t>
      </w:r>
      <w:proofErr w:type="spellStart"/>
      <w:r w:rsidR="00DD3367" w:rsidRPr="00705170">
        <w:rPr>
          <w:rFonts w:ascii="Times New Roman" w:hAnsi="Times New Roman" w:cs="Times New Roman"/>
        </w:rPr>
        <w:t>taken</w:t>
      </w:r>
      <w:proofErr w:type="spellEnd"/>
      <w:r w:rsidR="00DD3367" w:rsidRPr="00705170">
        <w:rPr>
          <w:rFonts w:ascii="Times New Roman" w:hAnsi="Times New Roman" w:cs="Times New Roman"/>
        </w:rPr>
        <w:t xml:space="preserve"> </w:t>
      </w:r>
      <w:proofErr w:type="spellStart"/>
      <w:r w:rsidR="00DD3367" w:rsidRPr="00705170">
        <w:rPr>
          <w:rFonts w:ascii="Times New Roman" w:hAnsi="Times New Roman" w:cs="Times New Roman"/>
        </w:rPr>
        <w:t>by</w:t>
      </w:r>
      <w:proofErr w:type="spellEnd"/>
      <w:r w:rsidR="00DD3367" w:rsidRPr="00705170">
        <w:rPr>
          <w:rFonts w:ascii="Times New Roman" w:hAnsi="Times New Roman" w:cs="Times New Roman"/>
        </w:rPr>
        <w:t xml:space="preserve"> </w:t>
      </w:r>
      <w:proofErr w:type="spellStart"/>
      <w:r w:rsidR="00DD3367" w:rsidRPr="00705170">
        <w:rPr>
          <w:rFonts w:ascii="Times New Roman" w:hAnsi="Times New Roman" w:cs="Times New Roman"/>
        </w:rPr>
        <w:t>the</w:t>
      </w:r>
      <w:proofErr w:type="spellEnd"/>
      <w:r w:rsidR="00DD3367" w:rsidRPr="00705170">
        <w:rPr>
          <w:rFonts w:ascii="Times New Roman" w:hAnsi="Times New Roman" w:cs="Times New Roman"/>
        </w:rPr>
        <w:t xml:space="preserve"> </w:t>
      </w:r>
      <w:proofErr w:type="spellStart"/>
      <w:r w:rsidR="00DD3367" w:rsidRPr="00705170">
        <w:rPr>
          <w:rFonts w:ascii="Times New Roman" w:hAnsi="Times New Roman" w:cs="Times New Roman"/>
        </w:rPr>
        <w:t>legislature</w:t>
      </w:r>
      <w:proofErr w:type="spellEnd"/>
      <w:r w:rsidR="009B6A8B" w:rsidRPr="00705170">
        <w:rPr>
          <w:rFonts w:ascii="Times New Roman" w:hAnsi="Times New Roman" w:cs="Times New Roman"/>
        </w:rPr>
        <w:t xml:space="preserve">: </w:t>
      </w:r>
      <w:proofErr w:type="spellStart"/>
      <w:r w:rsidR="009B6A8B" w:rsidRPr="00705170">
        <w:rPr>
          <w:rFonts w:ascii="Times New Roman" w:hAnsi="Times New Roman" w:cs="Times New Roman"/>
        </w:rPr>
        <w:t>After</w:t>
      </w:r>
      <w:proofErr w:type="spellEnd"/>
      <w:r w:rsidR="009B6A8B" w:rsidRPr="00705170">
        <w:rPr>
          <w:rFonts w:ascii="Times New Roman" w:hAnsi="Times New Roman" w:cs="Times New Roman"/>
        </w:rPr>
        <w:t xml:space="preserve"> </w:t>
      </w:r>
      <w:proofErr w:type="spellStart"/>
      <w:r w:rsidR="009B6A8B" w:rsidRPr="00705170">
        <w:rPr>
          <w:rFonts w:ascii="Times New Roman" w:hAnsi="Times New Roman" w:cs="Times New Roman"/>
        </w:rPr>
        <w:t>all</w:t>
      </w:r>
      <w:proofErr w:type="spellEnd"/>
      <w:r w:rsidR="009B6A8B" w:rsidRPr="00705170">
        <w:rPr>
          <w:rFonts w:ascii="Times New Roman" w:hAnsi="Times New Roman" w:cs="Times New Roman"/>
        </w:rPr>
        <w:t>,</w:t>
      </w:r>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the</w:t>
      </w:r>
      <w:proofErr w:type="spellEnd"/>
      <w:r w:rsidR="001E1B03" w:rsidRPr="00705170">
        <w:rPr>
          <w:rFonts w:ascii="Times New Roman" w:hAnsi="Times New Roman" w:cs="Times New Roman"/>
        </w:rPr>
        <w:t xml:space="preserve"> general </w:t>
      </w:r>
      <w:proofErr w:type="spellStart"/>
      <w:r w:rsidR="001E1B03" w:rsidRPr="00705170">
        <w:rPr>
          <w:rFonts w:ascii="Times New Roman" w:hAnsi="Times New Roman" w:cs="Times New Roman"/>
        </w:rPr>
        <w:t>rule</w:t>
      </w:r>
      <w:proofErr w:type="spellEnd"/>
      <w:r w:rsidR="001E1B03" w:rsidRPr="00705170">
        <w:rPr>
          <w:rFonts w:ascii="Times New Roman" w:hAnsi="Times New Roman" w:cs="Times New Roman"/>
        </w:rPr>
        <w:t xml:space="preserve"> in </w:t>
      </w:r>
      <w:proofErr w:type="spellStart"/>
      <w:r w:rsidR="001E1B03" w:rsidRPr="00705170">
        <w:rPr>
          <w:rFonts w:ascii="Times New Roman" w:hAnsi="Times New Roman" w:cs="Times New Roman"/>
        </w:rPr>
        <w:t>Turkish</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law</w:t>
      </w:r>
      <w:proofErr w:type="spellEnd"/>
      <w:r w:rsidR="001E1B03" w:rsidRPr="00705170">
        <w:rPr>
          <w:rFonts w:ascii="Times New Roman" w:hAnsi="Times New Roman" w:cs="Times New Roman"/>
        </w:rPr>
        <w:t xml:space="preserve"> is </w:t>
      </w:r>
      <w:proofErr w:type="spellStart"/>
      <w:r w:rsidR="001E1B03" w:rsidRPr="00705170">
        <w:rPr>
          <w:rFonts w:ascii="Times New Roman" w:hAnsi="Times New Roman" w:cs="Times New Roman"/>
        </w:rPr>
        <w:t>that</w:t>
      </w:r>
      <w:proofErr w:type="spellEnd"/>
      <w:r w:rsidR="001E1B03" w:rsidRPr="00705170">
        <w:rPr>
          <w:rFonts w:ascii="Times New Roman" w:hAnsi="Times New Roman" w:cs="Times New Roman"/>
        </w:rPr>
        <w:t xml:space="preserve"> in </w:t>
      </w:r>
      <w:proofErr w:type="spellStart"/>
      <w:r w:rsidR="001E1B03" w:rsidRPr="00705170">
        <w:rPr>
          <w:rFonts w:ascii="Times New Roman" w:hAnsi="Times New Roman" w:cs="Times New Roman"/>
        </w:rPr>
        <w:t>issues</w:t>
      </w:r>
      <w:proofErr w:type="spellEnd"/>
      <w:r w:rsidR="001E1B03" w:rsidRPr="00705170">
        <w:rPr>
          <w:rFonts w:ascii="Times New Roman" w:hAnsi="Times New Roman" w:cs="Times New Roman"/>
        </w:rPr>
        <w:t xml:space="preserve"> in </w:t>
      </w:r>
      <w:proofErr w:type="spellStart"/>
      <w:r w:rsidR="001E1B03" w:rsidRPr="00705170">
        <w:rPr>
          <w:rFonts w:ascii="Times New Roman" w:hAnsi="Times New Roman" w:cs="Times New Roman"/>
        </w:rPr>
        <w:t>which</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the</w:t>
      </w:r>
      <w:proofErr w:type="spellEnd"/>
      <w:r w:rsidR="001E1B03" w:rsidRPr="00705170">
        <w:rPr>
          <w:rFonts w:ascii="Times New Roman" w:hAnsi="Times New Roman" w:cs="Times New Roman"/>
        </w:rPr>
        <w:t xml:space="preserve"> </w:t>
      </w:r>
      <w:proofErr w:type="spellStart"/>
      <w:r w:rsidR="009B6A8B" w:rsidRPr="00705170">
        <w:rPr>
          <w:rFonts w:ascii="Times New Roman" w:hAnsi="Times New Roman" w:cs="Times New Roman"/>
        </w:rPr>
        <w:t>corporation’s</w:t>
      </w:r>
      <w:proofErr w:type="spellEnd"/>
      <w:r w:rsidR="009B6A8B" w:rsidRPr="00705170">
        <w:rPr>
          <w:rFonts w:ascii="Times New Roman" w:hAnsi="Times New Roman" w:cs="Times New Roman"/>
        </w:rPr>
        <w:t xml:space="preserve"> </w:t>
      </w:r>
      <w:r w:rsidR="001E1B03" w:rsidRPr="00705170">
        <w:rPr>
          <w:rFonts w:ascii="Times New Roman" w:hAnsi="Times New Roman" w:cs="Times New Roman"/>
        </w:rPr>
        <w:t xml:space="preserve">general </w:t>
      </w:r>
      <w:proofErr w:type="spellStart"/>
      <w:r w:rsidR="001E1B03" w:rsidRPr="00705170">
        <w:rPr>
          <w:rFonts w:ascii="Times New Roman" w:hAnsi="Times New Roman" w:cs="Times New Roman"/>
        </w:rPr>
        <w:t>assembly</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should</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decide</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through</w:t>
      </w:r>
      <w:proofErr w:type="spellEnd"/>
      <w:r w:rsidR="001E1B03" w:rsidRPr="00705170">
        <w:rPr>
          <w:rFonts w:ascii="Times New Roman" w:hAnsi="Times New Roman" w:cs="Times New Roman"/>
        </w:rPr>
        <w:t xml:space="preserve"> a </w:t>
      </w:r>
      <w:proofErr w:type="spellStart"/>
      <w:r w:rsidR="001E1B03" w:rsidRPr="00705170">
        <w:rPr>
          <w:rFonts w:ascii="Times New Roman" w:hAnsi="Times New Roman" w:cs="Times New Roman"/>
        </w:rPr>
        <w:t>resolution</w:t>
      </w:r>
      <w:proofErr w:type="spellEnd"/>
      <w:r w:rsidR="001E1B03" w:rsidRPr="00705170">
        <w:rPr>
          <w:rFonts w:ascii="Times New Roman" w:hAnsi="Times New Roman" w:cs="Times New Roman"/>
        </w:rPr>
        <w:t xml:space="preserve">, a </w:t>
      </w:r>
      <w:proofErr w:type="spellStart"/>
      <w:r w:rsidR="001E1B03" w:rsidRPr="00705170">
        <w:rPr>
          <w:rFonts w:ascii="Times New Roman" w:hAnsi="Times New Roman" w:cs="Times New Roman"/>
        </w:rPr>
        <w:t>court</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cannot</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substitute</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its</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own</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judgment</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with</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the</w:t>
      </w:r>
      <w:proofErr w:type="spellEnd"/>
      <w:r w:rsidR="001E1B03" w:rsidRPr="00705170">
        <w:rPr>
          <w:rFonts w:ascii="Times New Roman" w:hAnsi="Times New Roman" w:cs="Times New Roman"/>
        </w:rPr>
        <w:t xml:space="preserve"> general </w:t>
      </w:r>
      <w:proofErr w:type="spellStart"/>
      <w:r w:rsidR="001E1B03" w:rsidRPr="00705170">
        <w:rPr>
          <w:rFonts w:ascii="Times New Roman" w:hAnsi="Times New Roman" w:cs="Times New Roman"/>
        </w:rPr>
        <w:t>assembly’s</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unless</w:t>
      </w:r>
      <w:proofErr w:type="spellEnd"/>
      <w:r w:rsidR="001E1B03" w:rsidRPr="00705170">
        <w:rPr>
          <w:rFonts w:ascii="Times New Roman" w:hAnsi="Times New Roman" w:cs="Times New Roman"/>
        </w:rPr>
        <w:t xml:space="preserve"> a </w:t>
      </w:r>
      <w:proofErr w:type="spellStart"/>
      <w:r w:rsidR="001E1B03" w:rsidRPr="00705170">
        <w:rPr>
          <w:rFonts w:ascii="Times New Roman" w:hAnsi="Times New Roman" w:cs="Times New Roman"/>
        </w:rPr>
        <w:t>statutory</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exception</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provided</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for</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the</w:t>
      </w:r>
      <w:proofErr w:type="spellEnd"/>
      <w:r w:rsidR="001E1B03" w:rsidRPr="00705170">
        <w:rPr>
          <w:rFonts w:ascii="Times New Roman" w:hAnsi="Times New Roman" w:cs="Times New Roman"/>
        </w:rPr>
        <w:t xml:space="preserve"> </w:t>
      </w:r>
      <w:proofErr w:type="spellStart"/>
      <w:r w:rsidR="001E1B03" w:rsidRPr="00705170">
        <w:rPr>
          <w:rFonts w:ascii="Times New Roman" w:hAnsi="Times New Roman" w:cs="Times New Roman"/>
        </w:rPr>
        <w:t>court</w:t>
      </w:r>
      <w:proofErr w:type="spellEnd"/>
      <w:r w:rsidR="00DD3367" w:rsidRPr="00705170">
        <w:rPr>
          <w:rStyle w:val="DipnotBavurusu"/>
          <w:rFonts w:ascii="Times New Roman" w:hAnsi="Times New Roman" w:cs="Times New Roman"/>
        </w:rPr>
        <w:footnoteReference w:id="969"/>
      </w:r>
      <w:r w:rsidR="00DD3367" w:rsidRPr="00705170">
        <w:rPr>
          <w:rFonts w:ascii="Times New Roman" w:hAnsi="Times New Roman" w:cs="Times New Roman"/>
        </w:rPr>
        <w:t>.</w:t>
      </w:r>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In</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this</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regards</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even</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the</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order</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to</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compel</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the</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corporation</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to</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declare</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dividends</w:t>
      </w:r>
      <w:proofErr w:type="spellEnd"/>
      <w:r w:rsidR="00D16937" w:rsidRPr="00705170">
        <w:rPr>
          <w:rFonts w:ascii="Times New Roman" w:hAnsi="Times New Roman" w:cs="Times New Roman"/>
        </w:rPr>
        <w:t xml:space="preserve"> is a </w:t>
      </w:r>
      <w:proofErr w:type="spellStart"/>
      <w:r w:rsidR="009B6A8B" w:rsidRPr="00705170">
        <w:rPr>
          <w:rFonts w:ascii="Times New Roman" w:hAnsi="Times New Roman" w:cs="Times New Roman"/>
        </w:rPr>
        <w:t>violation</w:t>
      </w:r>
      <w:proofErr w:type="spellEnd"/>
      <w:r w:rsidR="009B6A8B" w:rsidRPr="00705170">
        <w:rPr>
          <w:rFonts w:ascii="Times New Roman" w:hAnsi="Times New Roman" w:cs="Times New Roman"/>
        </w:rPr>
        <w:t xml:space="preserve"> of </w:t>
      </w:r>
      <w:proofErr w:type="spellStart"/>
      <w:r w:rsidR="009B6A8B" w:rsidRPr="00705170">
        <w:rPr>
          <w:rFonts w:ascii="Times New Roman" w:hAnsi="Times New Roman" w:cs="Times New Roman"/>
        </w:rPr>
        <w:t>this</w:t>
      </w:r>
      <w:proofErr w:type="spellEnd"/>
      <w:r w:rsidR="009B6A8B" w:rsidRPr="00705170">
        <w:rPr>
          <w:rFonts w:ascii="Times New Roman" w:hAnsi="Times New Roman" w:cs="Times New Roman"/>
        </w:rPr>
        <w:t xml:space="preserve"> </w:t>
      </w:r>
      <w:proofErr w:type="spellStart"/>
      <w:r w:rsidR="009B6A8B" w:rsidRPr="00705170">
        <w:rPr>
          <w:rFonts w:ascii="Times New Roman" w:hAnsi="Times New Roman" w:cs="Times New Roman"/>
        </w:rPr>
        <w:t>principle</w:t>
      </w:r>
      <w:proofErr w:type="spellEnd"/>
      <w:r w:rsidR="008426F1">
        <w:rPr>
          <w:rStyle w:val="DipnotBavurusu"/>
          <w:rFonts w:ascii="Times New Roman" w:hAnsi="Times New Roman" w:cs="Times New Roman"/>
        </w:rPr>
        <w:footnoteReference w:id="970"/>
      </w:r>
      <w:r w:rsidR="009B6A8B" w:rsidRPr="00705170">
        <w:rPr>
          <w:rFonts w:ascii="Times New Roman" w:hAnsi="Times New Roman" w:cs="Times New Roman"/>
        </w:rPr>
        <w:t xml:space="preserve">. </w:t>
      </w:r>
      <w:proofErr w:type="spellStart"/>
      <w:r w:rsidR="009B6A8B" w:rsidRPr="00705170">
        <w:rPr>
          <w:rFonts w:ascii="Times New Roman" w:hAnsi="Times New Roman" w:cs="Times New Roman"/>
        </w:rPr>
        <w:t>T</w:t>
      </w:r>
      <w:r w:rsidR="00D16937" w:rsidRPr="00705170">
        <w:rPr>
          <w:rFonts w:ascii="Times New Roman" w:hAnsi="Times New Roman" w:cs="Times New Roman"/>
        </w:rPr>
        <w:t>he</w:t>
      </w:r>
      <w:proofErr w:type="spellEnd"/>
      <w:r w:rsidR="009B6A8B" w:rsidRPr="00705170">
        <w:rPr>
          <w:rFonts w:ascii="Times New Roman" w:hAnsi="Times New Roman" w:cs="Times New Roman"/>
        </w:rPr>
        <w:t xml:space="preserve"> </w:t>
      </w:r>
      <w:proofErr w:type="spellStart"/>
      <w:r w:rsidR="009B6A8B" w:rsidRPr="00705170">
        <w:rPr>
          <w:rFonts w:ascii="Times New Roman" w:hAnsi="Times New Roman" w:cs="Times New Roman"/>
        </w:rPr>
        <w:lastRenderedPageBreak/>
        <w:t>involuntary</w:t>
      </w:r>
      <w:proofErr w:type="spellEnd"/>
      <w:r w:rsidR="009B6A8B" w:rsidRPr="00705170">
        <w:rPr>
          <w:rFonts w:ascii="Times New Roman" w:hAnsi="Times New Roman" w:cs="Times New Roman"/>
        </w:rPr>
        <w:t xml:space="preserve"> </w:t>
      </w:r>
      <w:proofErr w:type="spellStart"/>
      <w:r w:rsidR="009B6A8B" w:rsidRPr="00705170">
        <w:rPr>
          <w:rFonts w:ascii="Times New Roman" w:hAnsi="Times New Roman" w:cs="Times New Roman"/>
        </w:rPr>
        <w:t>dissolution</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provi</w:t>
      </w:r>
      <w:r w:rsidR="009B6A8B" w:rsidRPr="00705170">
        <w:rPr>
          <w:rFonts w:ascii="Times New Roman" w:hAnsi="Times New Roman" w:cs="Times New Roman"/>
        </w:rPr>
        <w:t>sion</w:t>
      </w:r>
      <w:proofErr w:type="spellEnd"/>
      <w:r w:rsidR="009B6A8B" w:rsidRPr="00705170">
        <w:rPr>
          <w:rFonts w:ascii="Times New Roman" w:hAnsi="Times New Roman" w:cs="Times New Roman"/>
        </w:rPr>
        <w:t xml:space="preserve"> </w:t>
      </w:r>
      <w:proofErr w:type="spellStart"/>
      <w:r w:rsidR="009B6A8B" w:rsidRPr="00705170">
        <w:rPr>
          <w:rFonts w:ascii="Times New Roman" w:hAnsi="Times New Roman" w:cs="Times New Roman"/>
        </w:rPr>
        <w:t>itself</w:t>
      </w:r>
      <w:proofErr w:type="spellEnd"/>
      <w:r w:rsidR="009B6A8B" w:rsidRPr="00705170">
        <w:rPr>
          <w:rFonts w:ascii="Times New Roman" w:hAnsi="Times New Roman" w:cs="Times New Roman"/>
        </w:rPr>
        <w:t xml:space="preserve"> </w:t>
      </w:r>
      <w:proofErr w:type="spellStart"/>
      <w:r w:rsidR="009B6A8B" w:rsidRPr="00705170">
        <w:rPr>
          <w:rFonts w:ascii="Times New Roman" w:hAnsi="Times New Roman" w:cs="Times New Roman"/>
        </w:rPr>
        <w:t>contradicts</w:t>
      </w:r>
      <w:proofErr w:type="spellEnd"/>
      <w:r w:rsidR="009B6A8B" w:rsidRPr="00705170">
        <w:rPr>
          <w:rFonts w:ascii="Times New Roman" w:hAnsi="Times New Roman" w:cs="Times New Roman"/>
        </w:rPr>
        <w:t xml:space="preserve"> </w:t>
      </w:r>
      <w:proofErr w:type="spellStart"/>
      <w:r w:rsidR="009B6A8B" w:rsidRPr="00705170">
        <w:rPr>
          <w:rFonts w:ascii="Times New Roman" w:hAnsi="Times New Roman" w:cs="Times New Roman"/>
        </w:rPr>
        <w:t>with</w:t>
      </w:r>
      <w:proofErr w:type="spellEnd"/>
      <w:r w:rsidR="009B6A8B" w:rsidRPr="00705170">
        <w:rPr>
          <w:rFonts w:ascii="Times New Roman" w:hAnsi="Times New Roman" w:cs="Times New Roman"/>
        </w:rPr>
        <w:t xml:space="preserve"> </w:t>
      </w:r>
      <w:proofErr w:type="spellStart"/>
      <w:r w:rsidR="009B6A8B" w:rsidRPr="00705170">
        <w:rPr>
          <w:rFonts w:ascii="Times New Roman" w:hAnsi="Times New Roman" w:cs="Times New Roman"/>
        </w:rPr>
        <w:t>this</w:t>
      </w:r>
      <w:proofErr w:type="spellEnd"/>
      <w:r w:rsidR="009B6A8B" w:rsidRPr="00705170">
        <w:rPr>
          <w:rFonts w:ascii="Times New Roman" w:hAnsi="Times New Roman" w:cs="Times New Roman"/>
        </w:rPr>
        <w:t xml:space="preserve"> general </w:t>
      </w:r>
      <w:proofErr w:type="spellStart"/>
      <w:r w:rsidR="009B6A8B" w:rsidRPr="00705170">
        <w:rPr>
          <w:rFonts w:ascii="Times New Roman" w:hAnsi="Times New Roman" w:cs="Times New Roman"/>
        </w:rPr>
        <w:t>rule</w:t>
      </w:r>
      <w:proofErr w:type="spellEnd"/>
      <w:r w:rsidR="009B6A8B" w:rsidRPr="00705170">
        <w:rPr>
          <w:rFonts w:ascii="Times New Roman" w:hAnsi="Times New Roman" w:cs="Times New Roman"/>
        </w:rPr>
        <w:t xml:space="preserve">, </w:t>
      </w:r>
      <w:proofErr w:type="spellStart"/>
      <w:r w:rsidR="009B6A8B" w:rsidRPr="00705170">
        <w:rPr>
          <w:rFonts w:ascii="Times New Roman" w:hAnsi="Times New Roman" w:cs="Times New Roman"/>
        </w:rPr>
        <w:t>thus</w:t>
      </w:r>
      <w:proofErr w:type="spellEnd"/>
      <w:r w:rsidR="00D16937" w:rsidRPr="00705170">
        <w:rPr>
          <w:rFonts w:ascii="Times New Roman" w:hAnsi="Times New Roman" w:cs="Times New Roman"/>
        </w:rPr>
        <w:t xml:space="preserve"> it is </w:t>
      </w:r>
      <w:proofErr w:type="spellStart"/>
      <w:r w:rsidR="00CE602C">
        <w:rPr>
          <w:rFonts w:ascii="Times New Roman" w:hAnsi="Times New Roman" w:cs="Times New Roman"/>
        </w:rPr>
        <w:t>also</w:t>
      </w:r>
      <w:proofErr w:type="spellEnd"/>
      <w:r w:rsidR="00CE602C">
        <w:rPr>
          <w:rFonts w:ascii="Times New Roman" w:hAnsi="Times New Roman" w:cs="Times New Roman"/>
        </w:rPr>
        <w:t xml:space="preserve"> </w:t>
      </w:r>
      <w:proofErr w:type="spellStart"/>
      <w:r w:rsidR="00D16937" w:rsidRPr="00705170">
        <w:rPr>
          <w:rFonts w:ascii="Times New Roman" w:hAnsi="Times New Roman" w:cs="Times New Roman"/>
        </w:rPr>
        <w:t>possible</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to</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claim</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th</w:t>
      </w:r>
      <w:r w:rsidR="00CE602C">
        <w:rPr>
          <w:rFonts w:ascii="Times New Roman" w:hAnsi="Times New Roman" w:cs="Times New Roman"/>
        </w:rPr>
        <w:t>at</w:t>
      </w:r>
      <w:proofErr w:type="spellEnd"/>
      <w:r w:rsidR="00CE602C">
        <w:rPr>
          <w:rFonts w:ascii="Times New Roman" w:hAnsi="Times New Roman" w:cs="Times New Roman"/>
        </w:rPr>
        <w:t xml:space="preserve"> </w:t>
      </w:r>
      <w:proofErr w:type="spellStart"/>
      <w:r w:rsidR="00CE602C">
        <w:rPr>
          <w:rFonts w:ascii="Times New Roman" w:hAnsi="Times New Roman" w:cs="Times New Roman"/>
        </w:rPr>
        <w:t>these</w:t>
      </w:r>
      <w:proofErr w:type="spellEnd"/>
      <w:r w:rsidR="00CE602C">
        <w:rPr>
          <w:rFonts w:ascii="Times New Roman" w:hAnsi="Times New Roman" w:cs="Times New Roman"/>
        </w:rPr>
        <w:t xml:space="preserve"> general </w:t>
      </w:r>
      <w:proofErr w:type="spellStart"/>
      <w:r w:rsidR="00CE602C">
        <w:rPr>
          <w:rFonts w:ascii="Times New Roman" w:hAnsi="Times New Roman" w:cs="Times New Roman"/>
        </w:rPr>
        <w:t>principles</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impose</w:t>
      </w:r>
      <w:proofErr w:type="spellEnd"/>
      <w:r w:rsidR="00D16937" w:rsidRPr="00705170">
        <w:rPr>
          <w:rFonts w:ascii="Times New Roman" w:hAnsi="Times New Roman" w:cs="Times New Roman"/>
        </w:rPr>
        <w:t xml:space="preserve"> a</w:t>
      </w:r>
      <w:r w:rsidR="00CE602C">
        <w:rPr>
          <w:rFonts w:ascii="Times New Roman" w:hAnsi="Times New Roman" w:cs="Times New Roman"/>
        </w:rPr>
        <w:t xml:space="preserve">n </w:t>
      </w:r>
      <w:proofErr w:type="spellStart"/>
      <w:r w:rsidR="00CE602C">
        <w:rPr>
          <w:rFonts w:ascii="Times New Roman" w:hAnsi="Times New Roman" w:cs="Times New Roman"/>
        </w:rPr>
        <w:t>additional</w:t>
      </w:r>
      <w:proofErr w:type="spellEnd"/>
      <w:r w:rsidR="00D16937" w:rsidRPr="00705170">
        <w:rPr>
          <w:rFonts w:ascii="Times New Roman" w:hAnsi="Times New Roman" w:cs="Times New Roman"/>
        </w:rPr>
        <w:t xml:space="preserve"> limit on </w:t>
      </w:r>
      <w:proofErr w:type="spellStart"/>
      <w:r w:rsidR="00D16937" w:rsidRPr="00705170">
        <w:rPr>
          <w:rFonts w:ascii="Times New Roman" w:hAnsi="Times New Roman" w:cs="Times New Roman"/>
        </w:rPr>
        <w:t>the</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court’s</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power</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to</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order</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alternative</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remedies</w:t>
      </w:r>
      <w:proofErr w:type="spellEnd"/>
      <w:r w:rsidR="00D16937" w:rsidRPr="00705170">
        <w:rPr>
          <w:rStyle w:val="DipnotBavurusu"/>
          <w:rFonts w:ascii="Times New Roman" w:hAnsi="Times New Roman" w:cs="Times New Roman"/>
        </w:rPr>
        <w:footnoteReference w:id="971"/>
      </w:r>
      <w:r w:rsidR="00D16937" w:rsidRPr="00705170">
        <w:rPr>
          <w:rFonts w:ascii="Times New Roman" w:hAnsi="Times New Roman" w:cs="Times New Roman"/>
        </w:rPr>
        <w:t>.</w:t>
      </w:r>
    </w:p>
    <w:p w14:paraId="75C31A68" w14:textId="6173BF8D" w:rsidR="0084032C" w:rsidRPr="0098566F" w:rsidRDefault="00371351" w:rsidP="0098566F">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limits</w:t>
      </w:r>
      <w:proofErr w:type="spellEnd"/>
      <w:r w:rsidR="00F46269" w:rsidRPr="00705170">
        <w:rPr>
          <w:rFonts w:ascii="Times New Roman" w:hAnsi="Times New Roman" w:cs="Times New Roman"/>
        </w:rPr>
        <w:t xml:space="preserve"> </w:t>
      </w:r>
      <w:proofErr w:type="spellStart"/>
      <w:r w:rsidR="00081B70" w:rsidRPr="00705170">
        <w:rPr>
          <w:rFonts w:ascii="Times New Roman" w:hAnsi="Times New Roman" w:cs="Times New Roman"/>
        </w:rPr>
        <w:t>imposed</w:t>
      </w:r>
      <w:proofErr w:type="spellEnd"/>
      <w:r w:rsidR="00081B70" w:rsidRPr="00705170">
        <w:rPr>
          <w:rFonts w:ascii="Times New Roman" w:hAnsi="Times New Roman" w:cs="Times New Roman"/>
        </w:rPr>
        <w:t xml:space="preserve"> on </w:t>
      </w:r>
      <w:proofErr w:type="spellStart"/>
      <w:r w:rsidR="00081B70" w:rsidRPr="00705170">
        <w:rPr>
          <w:rFonts w:ascii="Times New Roman" w:hAnsi="Times New Roman" w:cs="Times New Roman"/>
        </w:rPr>
        <w:t>the</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discretionary</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power</w:t>
      </w:r>
      <w:proofErr w:type="spellEnd"/>
      <w:r w:rsidR="00CE602C">
        <w:rPr>
          <w:rFonts w:ascii="Times New Roman" w:hAnsi="Times New Roman" w:cs="Times New Roman"/>
        </w:rPr>
        <w:t xml:space="preserve"> </w:t>
      </w:r>
      <w:proofErr w:type="spellStart"/>
      <w:r w:rsidR="00CE602C">
        <w:rPr>
          <w:rFonts w:ascii="Times New Roman" w:hAnsi="Times New Roman" w:cs="Times New Roman"/>
        </w:rPr>
        <w:t>by</w:t>
      </w:r>
      <w:proofErr w:type="spellEnd"/>
      <w:r w:rsidR="00CE602C">
        <w:rPr>
          <w:rFonts w:ascii="Times New Roman" w:hAnsi="Times New Roman" w:cs="Times New Roman"/>
        </w:rPr>
        <w:t xml:space="preserve"> </w:t>
      </w:r>
      <w:proofErr w:type="spellStart"/>
      <w:r w:rsidR="00CE602C">
        <w:rPr>
          <w:rFonts w:ascii="Times New Roman" w:hAnsi="Times New Roman" w:cs="Times New Roman"/>
        </w:rPr>
        <w:t>the</w:t>
      </w:r>
      <w:proofErr w:type="spellEnd"/>
      <w:r w:rsidR="00CE602C">
        <w:rPr>
          <w:rFonts w:ascii="Times New Roman" w:hAnsi="Times New Roman" w:cs="Times New Roman"/>
        </w:rPr>
        <w:t xml:space="preserve"> </w:t>
      </w:r>
      <w:proofErr w:type="spellStart"/>
      <w:r w:rsidR="00CE602C">
        <w:rPr>
          <w:rFonts w:ascii="Times New Roman" w:hAnsi="Times New Roman" w:cs="Times New Roman"/>
        </w:rPr>
        <w:t>provision</w:t>
      </w:r>
      <w:proofErr w:type="spellEnd"/>
      <w:r w:rsidR="00CE602C">
        <w:rPr>
          <w:rFonts w:ascii="Times New Roman" w:hAnsi="Times New Roman" w:cs="Times New Roman"/>
        </w:rPr>
        <w:t xml:space="preserve"> </w:t>
      </w:r>
      <w:proofErr w:type="spellStart"/>
      <w:r w:rsidR="00CE602C">
        <w:rPr>
          <w:rFonts w:ascii="Times New Roman" w:hAnsi="Times New Roman" w:cs="Times New Roman"/>
        </w:rPr>
        <w:t>itself</w:t>
      </w:r>
      <w:proofErr w:type="spellEnd"/>
      <w:r w:rsidR="00081B70" w:rsidRPr="00705170">
        <w:rPr>
          <w:rFonts w:ascii="Times New Roman" w:hAnsi="Times New Roman" w:cs="Times New Roman"/>
        </w:rPr>
        <w:t xml:space="preserve"> </w:t>
      </w:r>
      <w:proofErr w:type="spellStart"/>
      <w:r w:rsidR="00F46269" w:rsidRPr="00705170">
        <w:rPr>
          <w:rFonts w:ascii="Times New Roman" w:hAnsi="Times New Roman" w:cs="Times New Roman"/>
        </w:rPr>
        <w:t>require</w:t>
      </w:r>
      <w:r w:rsidR="00081B70" w:rsidRPr="00705170">
        <w:rPr>
          <w:rFonts w:ascii="Times New Roman" w:hAnsi="Times New Roman" w:cs="Times New Roman"/>
        </w:rPr>
        <w:t>s</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the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court</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to</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balance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the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interests</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assoc</w:t>
      </w:r>
      <w:r w:rsidR="006A5AEA" w:rsidRPr="00705170">
        <w:rPr>
          <w:rFonts w:ascii="Times New Roman" w:hAnsi="Times New Roman" w:cs="Times New Roman"/>
        </w:rPr>
        <w:t>c</w:t>
      </w:r>
      <w:r w:rsidR="00BE0FB9" w:rsidRPr="00705170">
        <w:rPr>
          <w:rFonts w:ascii="Times New Roman" w:hAnsi="Times New Roman" w:cs="Times New Roman"/>
        </w:rPr>
        <w:t>iated</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with</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the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cor</w:t>
      </w:r>
      <w:r w:rsidR="00BE0FB9" w:rsidRPr="00705170">
        <w:rPr>
          <w:rFonts w:ascii="Times New Roman" w:hAnsi="Times New Roman" w:cs="Times New Roman"/>
        </w:rPr>
        <w:t>poration</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primarily</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the</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case’s</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parties</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interests</w:t>
      </w:r>
      <w:proofErr w:type="spellEnd"/>
      <w:r w:rsidR="00081B70" w:rsidRPr="00705170">
        <w:rPr>
          <w:rFonts w:ascii="Times New Roman" w:hAnsi="Times New Roman" w:cs="Times New Roman"/>
        </w:rPr>
        <w:t xml:space="preserve">, but </w:t>
      </w:r>
      <w:proofErr w:type="spellStart"/>
      <w:r w:rsidR="00081B70" w:rsidRPr="00705170">
        <w:rPr>
          <w:rFonts w:ascii="Times New Roman" w:hAnsi="Times New Roman" w:cs="Times New Roman"/>
        </w:rPr>
        <w:t>also</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stakeholder</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interests</w:t>
      </w:r>
      <w:proofErr w:type="spellEnd"/>
      <w:r w:rsidRPr="00705170">
        <w:rPr>
          <w:rFonts w:ascii="Times New Roman" w:hAnsi="Times New Roman" w:cs="Times New Roman"/>
        </w:rPr>
        <w:t>)</w:t>
      </w:r>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and</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consider</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the</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nature</w:t>
      </w:r>
      <w:proofErr w:type="spellEnd"/>
      <w:r w:rsidR="00BE0FB9" w:rsidRPr="00705170">
        <w:rPr>
          <w:rFonts w:ascii="Times New Roman" w:hAnsi="Times New Roman" w:cs="Times New Roman"/>
        </w:rPr>
        <w:t xml:space="preserve"> of </w:t>
      </w:r>
      <w:proofErr w:type="spellStart"/>
      <w:r w:rsidR="00BE0FB9" w:rsidRPr="00705170">
        <w:rPr>
          <w:rFonts w:ascii="Times New Roman" w:hAnsi="Times New Roman" w:cs="Times New Roman"/>
        </w:rPr>
        <w:t>corporations</w:t>
      </w:r>
      <w:proofErr w:type="spellEnd"/>
      <w:r w:rsidR="00BE0FB9" w:rsidRPr="00705170">
        <w:rPr>
          <w:rStyle w:val="DipnotBavurusu"/>
          <w:rFonts w:ascii="Times New Roman" w:hAnsi="Times New Roman" w:cs="Times New Roman"/>
        </w:rPr>
        <w:footnoteReference w:id="972"/>
      </w:r>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In</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this</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regards</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the</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court</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cannot</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disregard</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the</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fact</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that</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the</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corporation</w:t>
      </w:r>
      <w:proofErr w:type="spellEnd"/>
      <w:r w:rsidR="00BE0FB9" w:rsidRPr="00705170">
        <w:rPr>
          <w:rFonts w:ascii="Times New Roman" w:hAnsi="Times New Roman" w:cs="Times New Roman"/>
        </w:rPr>
        <w:t xml:space="preserve"> is a </w:t>
      </w:r>
      <w:proofErr w:type="spellStart"/>
      <w:r w:rsidR="00BE0FB9" w:rsidRPr="00705170">
        <w:rPr>
          <w:rFonts w:ascii="Times New Roman" w:hAnsi="Times New Roman" w:cs="Times New Roman"/>
        </w:rPr>
        <w:t>private</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law</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institution</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that</w:t>
      </w:r>
      <w:proofErr w:type="spellEnd"/>
      <w:r w:rsidR="00BE0FB9" w:rsidRPr="00705170">
        <w:rPr>
          <w:rFonts w:ascii="Times New Roman" w:hAnsi="Times New Roman" w:cs="Times New Roman"/>
        </w:rPr>
        <w:t xml:space="preserve"> is </w:t>
      </w:r>
      <w:proofErr w:type="spellStart"/>
      <w:r w:rsidR="00BE0FB9" w:rsidRPr="00705170">
        <w:rPr>
          <w:rFonts w:ascii="Times New Roman" w:hAnsi="Times New Roman" w:cs="Times New Roman"/>
        </w:rPr>
        <w:t>built</w:t>
      </w:r>
      <w:proofErr w:type="spellEnd"/>
      <w:r w:rsidR="00BE0FB9" w:rsidRPr="00705170">
        <w:rPr>
          <w:rFonts w:ascii="Times New Roman" w:hAnsi="Times New Roman" w:cs="Times New Roman"/>
        </w:rPr>
        <w:t xml:space="preserve"> on </w:t>
      </w:r>
      <w:proofErr w:type="spellStart"/>
      <w:r w:rsidR="00BE0FB9" w:rsidRPr="00705170">
        <w:rPr>
          <w:rFonts w:ascii="Times New Roman" w:hAnsi="Times New Roman" w:cs="Times New Roman"/>
        </w:rPr>
        <w:t>the</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majority</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rule</w:t>
      </w:r>
      <w:proofErr w:type="spellEnd"/>
      <w:r w:rsidR="00FC4CF3" w:rsidRPr="00705170">
        <w:rPr>
          <w:rFonts w:ascii="Times New Roman" w:hAnsi="Times New Roman" w:cs="Times New Roman"/>
        </w:rPr>
        <w:t xml:space="preserve"> (TCC </w:t>
      </w:r>
      <w:proofErr w:type="spellStart"/>
      <w:r w:rsidR="00D33DAC" w:rsidRPr="00705170">
        <w:rPr>
          <w:rFonts w:ascii="Times New Roman" w:hAnsi="Times New Roman" w:cs="Times New Roman"/>
        </w:rPr>
        <w:t>Article</w:t>
      </w:r>
      <w:proofErr w:type="spellEnd"/>
      <w:r w:rsidR="00D33DAC" w:rsidRPr="00705170">
        <w:rPr>
          <w:rFonts w:ascii="Times New Roman" w:hAnsi="Times New Roman" w:cs="Times New Roman"/>
        </w:rPr>
        <w:t xml:space="preserve"> 418</w:t>
      </w:r>
      <w:r w:rsidR="00FC4CF3" w:rsidRPr="00705170">
        <w:rPr>
          <w:rFonts w:ascii="Times New Roman" w:hAnsi="Times New Roman" w:cs="Times New Roman"/>
        </w:rPr>
        <w:t>)</w:t>
      </w:r>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concept</w:t>
      </w:r>
      <w:proofErr w:type="spellEnd"/>
      <w:r w:rsidR="00CE602C">
        <w:rPr>
          <w:rFonts w:ascii="Times New Roman" w:hAnsi="Times New Roman" w:cs="Times New Roman"/>
        </w:rPr>
        <w:t xml:space="preserve"> (</w:t>
      </w:r>
      <w:proofErr w:type="spellStart"/>
      <w:r w:rsidR="00081B70" w:rsidRPr="00705170">
        <w:rPr>
          <w:rFonts w:ascii="Times New Roman" w:hAnsi="Times New Roman" w:cs="Times New Roman"/>
        </w:rPr>
        <w:t>so</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the</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interests</w:t>
      </w:r>
      <w:proofErr w:type="spellEnd"/>
      <w:r w:rsidR="00081B70" w:rsidRPr="00705170">
        <w:rPr>
          <w:rFonts w:ascii="Times New Roman" w:hAnsi="Times New Roman" w:cs="Times New Roman"/>
        </w:rPr>
        <w:t xml:space="preserve"> of </w:t>
      </w:r>
      <w:proofErr w:type="spellStart"/>
      <w:r w:rsidR="00081B70" w:rsidRPr="00705170">
        <w:rPr>
          <w:rFonts w:ascii="Times New Roman" w:hAnsi="Times New Roman" w:cs="Times New Roman"/>
        </w:rPr>
        <w:t>the</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majority</w:t>
      </w:r>
      <w:proofErr w:type="spellEnd"/>
      <w:r w:rsidR="00CE602C">
        <w:rPr>
          <w:rFonts w:ascii="Times New Roman" w:hAnsi="Times New Roman" w:cs="Times New Roman"/>
        </w:rPr>
        <w:t>)</w:t>
      </w:r>
      <w:r w:rsidR="00081B70" w:rsidRPr="00705170">
        <w:rPr>
          <w:rFonts w:ascii="Times New Roman" w:hAnsi="Times New Roman" w:cs="Times New Roman"/>
        </w:rPr>
        <w:t>,</w:t>
      </w:r>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and</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completely</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change</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the</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balance</w:t>
      </w:r>
      <w:proofErr w:type="spellEnd"/>
      <w:r w:rsidR="00BE0FB9" w:rsidRPr="00705170">
        <w:rPr>
          <w:rFonts w:ascii="Times New Roman" w:hAnsi="Times New Roman" w:cs="Times New Roman"/>
        </w:rPr>
        <w:t xml:space="preserve"> of </w:t>
      </w:r>
      <w:proofErr w:type="spellStart"/>
      <w:r w:rsidR="00BE0FB9" w:rsidRPr="00705170">
        <w:rPr>
          <w:rFonts w:ascii="Times New Roman" w:hAnsi="Times New Roman" w:cs="Times New Roman"/>
        </w:rPr>
        <w:t>interests</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postulatet</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by</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the</w:t>
      </w:r>
      <w:proofErr w:type="spellEnd"/>
      <w:r w:rsidR="00BE0FB9" w:rsidRPr="00705170">
        <w:rPr>
          <w:rFonts w:ascii="Times New Roman" w:hAnsi="Times New Roman" w:cs="Times New Roman"/>
        </w:rPr>
        <w:t xml:space="preserve"> </w:t>
      </w:r>
      <w:proofErr w:type="spellStart"/>
      <w:r w:rsidR="00BE0FB9" w:rsidRPr="00705170">
        <w:rPr>
          <w:rFonts w:ascii="Times New Roman" w:hAnsi="Times New Roman" w:cs="Times New Roman"/>
        </w:rPr>
        <w:t>law</w:t>
      </w:r>
      <w:proofErr w:type="spellEnd"/>
      <w:r w:rsidR="00BE0FB9" w:rsidRPr="00705170">
        <w:rPr>
          <w:rStyle w:val="DipnotBavurusu"/>
          <w:rFonts w:ascii="Times New Roman" w:hAnsi="Times New Roman" w:cs="Times New Roman"/>
        </w:rPr>
        <w:footnoteReference w:id="973"/>
      </w:r>
      <w:r w:rsidR="00BE0FB9" w:rsidRPr="00705170">
        <w:rPr>
          <w:rFonts w:ascii="Times New Roman" w:hAnsi="Times New Roman" w:cs="Times New Roman"/>
        </w:rPr>
        <w:t>.</w:t>
      </w:r>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In</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other</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words</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the</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court</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cannot</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transform</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the</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corporation</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to</w:t>
      </w:r>
      <w:proofErr w:type="spellEnd"/>
      <w:r w:rsidR="00081B70" w:rsidRPr="00705170">
        <w:rPr>
          <w:rFonts w:ascii="Times New Roman" w:hAnsi="Times New Roman" w:cs="Times New Roman"/>
        </w:rPr>
        <w:t xml:space="preserve"> a </w:t>
      </w:r>
      <w:proofErr w:type="spellStart"/>
      <w:r w:rsidR="00081B70" w:rsidRPr="00705170">
        <w:rPr>
          <w:rFonts w:ascii="Times New Roman" w:hAnsi="Times New Roman" w:cs="Times New Roman"/>
        </w:rPr>
        <w:t>corporation</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that</w:t>
      </w:r>
      <w:proofErr w:type="spellEnd"/>
      <w:r w:rsidR="00081B70" w:rsidRPr="00705170">
        <w:rPr>
          <w:rFonts w:ascii="Times New Roman" w:hAnsi="Times New Roman" w:cs="Times New Roman"/>
        </w:rPr>
        <w:t xml:space="preserve"> is </w:t>
      </w:r>
      <w:proofErr w:type="spellStart"/>
      <w:r w:rsidR="00081B70" w:rsidRPr="00705170">
        <w:rPr>
          <w:rFonts w:ascii="Times New Roman" w:hAnsi="Times New Roman" w:cs="Times New Roman"/>
        </w:rPr>
        <w:t>completely</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different</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than</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the</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one</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contemplated</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by</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the</w:t>
      </w:r>
      <w:proofErr w:type="spellEnd"/>
      <w:r w:rsidR="00081B70" w:rsidRPr="00705170">
        <w:rPr>
          <w:rFonts w:ascii="Times New Roman" w:hAnsi="Times New Roman" w:cs="Times New Roman"/>
        </w:rPr>
        <w:t xml:space="preserve"> </w:t>
      </w:r>
      <w:proofErr w:type="spellStart"/>
      <w:r w:rsidR="00081B70" w:rsidRPr="00705170">
        <w:rPr>
          <w:rFonts w:ascii="Times New Roman" w:hAnsi="Times New Roman" w:cs="Times New Roman"/>
        </w:rPr>
        <w:t>parties</w:t>
      </w:r>
      <w:proofErr w:type="spellEnd"/>
      <w:r w:rsidR="00081B70" w:rsidRPr="00705170">
        <w:rPr>
          <w:rStyle w:val="DipnotBavurusu"/>
          <w:rFonts w:ascii="Times New Roman" w:hAnsi="Times New Roman" w:cs="Times New Roman"/>
        </w:rPr>
        <w:footnoteReference w:id="974"/>
      </w:r>
      <w:r w:rsidR="00081B70" w:rsidRPr="00705170">
        <w:rPr>
          <w:rFonts w:ascii="Times New Roman" w:hAnsi="Times New Roman" w:cs="Times New Roman"/>
        </w:rPr>
        <w:t>.</w:t>
      </w:r>
      <w:r w:rsidR="00D33DAC" w:rsidRPr="00705170">
        <w:rPr>
          <w:rFonts w:ascii="Times New Roman" w:hAnsi="Times New Roman" w:cs="Times New Roman"/>
        </w:rPr>
        <w:t xml:space="preserve"> </w:t>
      </w:r>
      <w:proofErr w:type="spellStart"/>
      <w:r w:rsidR="00D33DAC" w:rsidRPr="00705170">
        <w:rPr>
          <w:rFonts w:ascii="Times New Roman" w:hAnsi="Times New Roman" w:cs="Times New Roman"/>
        </w:rPr>
        <w:t>Accordingly</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while</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the</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court</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may</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order</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distribution</w:t>
      </w:r>
      <w:proofErr w:type="spellEnd"/>
      <w:r w:rsidR="003135BB" w:rsidRPr="00705170">
        <w:rPr>
          <w:rFonts w:ascii="Times New Roman" w:hAnsi="Times New Roman" w:cs="Times New Roman"/>
        </w:rPr>
        <w:t xml:space="preserve"> of </w:t>
      </w:r>
      <w:proofErr w:type="spellStart"/>
      <w:r w:rsidR="003135BB" w:rsidRPr="00705170">
        <w:rPr>
          <w:rFonts w:ascii="Times New Roman" w:hAnsi="Times New Roman" w:cs="Times New Roman"/>
        </w:rPr>
        <w:t>dividends</w:t>
      </w:r>
      <w:proofErr w:type="spellEnd"/>
      <w:r w:rsidR="003135BB" w:rsidRPr="00705170">
        <w:rPr>
          <w:rFonts w:ascii="Times New Roman" w:hAnsi="Times New Roman" w:cs="Times New Roman"/>
        </w:rPr>
        <w:t xml:space="preserve"> in a </w:t>
      </w:r>
      <w:proofErr w:type="spellStart"/>
      <w:r w:rsidR="003135BB" w:rsidRPr="00705170">
        <w:rPr>
          <w:rFonts w:ascii="Times New Roman" w:hAnsi="Times New Roman" w:cs="Times New Roman"/>
        </w:rPr>
        <w:t>case</w:t>
      </w:r>
      <w:proofErr w:type="spellEnd"/>
      <w:r w:rsidR="003135BB" w:rsidRPr="00705170">
        <w:rPr>
          <w:rFonts w:ascii="Times New Roman" w:hAnsi="Times New Roman" w:cs="Times New Roman"/>
        </w:rPr>
        <w:t xml:space="preserve"> in </w:t>
      </w:r>
      <w:proofErr w:type="spellStart"/>
      <w:r w:rsidR="003135BB" w:rsidRPr="00705170">
        <w:rPr>
          <w:rFonts w:ascii="Times New Roman" w:hAnsi="Times New Roman" w:cs="Times New Roman"/>
        </w:rPr>
        <w:t>which</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petitioner’s</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just</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cause</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claim</w:t>
      </w:r>
      <w:proofErr w:type="spellEnd"/>
      <w:r w:rsidR="003135BB" w:rsidRPr="00705170">
        <w:rPr>
          <w:rFonts w:ascii="Times New Roman" w:hAnsi="Times New Roman" w:cs="Times New Roman"/>
        </w:rPr>
        <w:t xml:space="preserve"> is </w:t>
      </w:r>
      <w:proofErr w:type="spellStart"/>
      <w:r w:rsidR="003135BB" w:rsidRPr="00705170">
        <w:rPr>
          <w:rFonts w:ascii="Times New Roman" w:hAnsi="Times New Roman" w:cs="Times New Roman"/>
        </w:rPr>
        <w:t>based</w:t>
      </w:r>
      <w:proofErr w:type="spellEnd"/>
      <w:r w:rsidR="003135BB" w:rsidRPr="00705170">
        <w:rPr>
          <w:rFonts w:ascii="Times New Roman" w:hAnsi="Times New Roman" w:cs="Times New Roman"/>
        </w:rPr>
        <w:t xml:space="preserve"> on </w:t>
      </w:r>
      <w:proofErr w:type="spellStart"/>
      <w:r w:rsidR="003135BB" w:rsidRPr="00705170">
        <w:rPr>
          <w:rFonts w:ascii="Times New Roman" w:hAnsi="Times New Roman" w:cs="Times New Roman"/>
        </w:rPr>
        <w:t>the</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factual</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determination</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that</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there</w:t>
      </w:r>
      <w:proofErr w:type="spellEnd"/>
      <w:r w:rsidR="003135BB" w:rsidRPr="00705170">
        <w:rPr>
          <w:rFonts w:ascii="Times New Roman" w:hAnsi="Times New Roman" w:cs="Times New Roman"/>
        </w:rPr>
        <w:t xml:space="preserve"> is </w:t>
      </w:r>
      <w:proofErr w:type="spellStart"/>
      <w:r w:rsidR="003135BB" w:rsidRPr="00705170">
        <w:rPr>
          <w:rFonts w:ascii="Times New Roman" w:hAnsi="Times New Roman" w:cs="Times New Roman"/>
        </w:rPr>
        <w:t>malicious</w:t>
      </w:r>
      <w:proofErr w:type="spellEnd"/>
      <w:r w:rsidR="003135BB" w:rsidRPr="00705170">
        <w:rPr>
          <w:rFonts w:ascii="Times New Roman" w:hAnsi="Times New Roman" w:cs="Times New Roman"/>
        </w:rPr>
        <w:t xml:space="preserve"> </w:t>
      </w:r>
      <w:proofErr w:type="spellStart"/>
      <w:r w:rsidR="003135BB" w:rsidRPr="00705170">
        <w:rPr>
          <w:rFonts w:ascii="Times New Roman" w:hAnsi="Times New Roman" w:cs="Times New Roman"/>
        </w:rPr>
        <w:t>suppression</w:t>
      </w:r>
      <w:proofErr w:type="spellEnd"/>
      <w:r w:rsidR="003135BB" w:rsidRPr="00705170">
        <w:rPr>
          <w:rFonts w:ascii="Times New Roman" w:hAnsi="Times New Roman" w:cs="Times New Roman"/>
        </w:rPr>
        <w:t xml:space="preserve"> of </w:t>
      </w:r>
      <w:proofErr w:type="spellStart"/>
      <w:r w:rsidR="003135BB" w:rsidRPr="00705170">
        <w:rPr>
          <w:rFonts w:ascii="Times New Roman" w:hAnsi="Times New Roman" w:cs="Times New Roman"/>
        </w:rPr>
        <w:t>dividends</w:t>
      </w:r>
      <w:proofErr w:type="spellEnd"/>
      <w:r w:rsidR="003135BB" w:rsidRPr="00705170">
        <w:rPr>
          <w:rFonts w:ascii="Times New Roman" w:hAnsi="Times New Roman" w:cs="Times New Roman"/>
        </w:rPr>
        <w:t>,</w:t>
      </w:r>
      <w:r w:rsidR="00247D33" w:rsidRPr="00705170">
        <w:rPr>
          <w:rFonts w:ascii="Times New Roman" w:hAnsi="Times New Roman" w:cs="Times New Roman"/>
        </w:rPr>
        <w:t xml:space="preserve"> </w:t>
      </w:r>
      <w:r w:rsidR="00D33DAC" w:rsidRPr="00705170">
        <w:rPr>
          <w:rFonts w:ascii="Times New Roman" w:hAnsi="Times New Roman" w:cs="Times New Roman"/>
        </w:rPr>
        <w:t xml:space="preserve">it </w:t>
      </w:r>
      <w:proofErr w:type="spellStart"/>
      <w:r w:rsidR="00D33DAC" w:rsidRPr="00705170">
        <w:rPr>
          <w:rFonts w:ascii="Times New Roman" w:hAnsi="Times New Roman" w:cs="Times New Roman"/>
        </w:rPr>
        <w:t>cannot</w:t>
      </w:r>
      <w:proofErr w:type="spellEnd"/>
      <w:r w:rsidR="00D33DAC" w:rsidRPr="00705170">
        <w:rPr>
          <w:rFonts w:ascii="Times New Roman" w:hAnsi="Times New Roman" w:cs="Times New Roman"/>
        </w:rPr>
        <w:t xml:space="preserve"> put a </w:t>
      </w:r>
      <w:proofErr w:type="spellStart"/>
      <w:r w:rsidR="00D33DAC" w:rsidRPr="00705170">
        <w:rPr>
          <w:rFonts w:ascii="Times New Roman" w:hAnsi="Times New Roman" w:cs="Times New Roman"/>
        </w:rPr>
        <w:t>term</w:t>
      </w:r>
      <w:proofErr w:type="spellEnd"/>
      <w:r w:rsidR="00D33DAC" w:rsidRPr="00705170">
        <w:rPr>
          <w:rFonts w:ascii="Times New Roman" w:hAnsi="Times New Roman" w:cs="Times New Roman"/>
        </w:rPr>
        <w:t xml:space="preserve"> </w:t>
      </w:r>
      <w:proofErr w:type="spellStart"/>
      <w:r w:rsidR="00D33DAC" w:rsidRPr="00705170">
        <w:rPr>
          <w:rFonts w:ascii="Times New Roman" w:hAnsi="Times New Roman" w:cs="Times New Roman"/>
        </w:rPr>
        <w:t>to</w:t>
      </w:r>
      <w:proofErr w:type="spellEnd"/>
      <w:r w:rsidR="00D33DAC" w:rsidRPr="00705170">
        <w:rPr>
          <w:rFonts w:ascii="Times New Roman" w:hAnsi="Times New Roman" w:cs="Times New Roman"/>
        </w:rPr>
        <w:t xml:space="preserve"> </w:t>
      </w:r>
      <w:proofErr w:type="spellStart"/>
      <w:r w:rsidR="00D33DAC" w:rsidRPr="00705170">
        <w:rPr>
          <w:rFonts w:ascii="Times New Roman" w:hAnsi="Times New Roman" w:cs="Times New Roman"/>
        </w:rPr>
        <w:t>the</w:t>
      </w:r>
      <w:proofErr w:type="spellEnd"/>
      <w:r w:rsidR="00D33DAC" w:rsidRPr="00705170">
        <w:rPr>
          <w:rFonts w:ascii="Times New Roman" w:hAnsi="Times New Roman" w:cs="Times New Roman"/>
        </w:rPr>
        <w:t xml:space="preserve"> </w:t>
      </w:r>
      <w:proofErr w:type="spellStart"/>
      <w:r w:rsidR="00D33DAC" w:rsidRPr="00705170">
        <w:rPr>
          <w:rFonts w:ascii="Times New Roman" w:hAnsi="Times New Roman" w:cs="Times New Roman"/>
        </w:rPr>
        <w:t>articles</w:t>
      </w:r>
      <w:proofErr w:type="spellEnd"/>
      <w:r w:rsidR="00D33DAC" w:rsidRPr="00705170">
        <w:rPr>
          <w:rFonts w:ascii="Times New Roman" w:hAnsi="Times New Roman" w:cs="Times New Roman"/>
        </w:rPr>
        <w:t xml:space="preserve"> of </w:t>
      </w:r>
      <w:proofErr w:type="spellStart"/>
      <w:r w:rsidR="00D33DAC" w:rsidRPr="00705170">
        <w:rPr>
          <w:rFonts w:ascii="Times New Roman" w:hAnsi="Times New Roman" w:cs="Times New Roman"/>
        </w:rPr>
        <w:t>incorporation</w:t>
      </w:r>
      <w:proofErr w:type="spellEnd"/>
      <w:r w:rsidR="00D33DAC" w:rsidRPr="00705170">
        <w:rPr>
          <w:rFonts w:ascii="Times New Roman" w:hAnsi="Times New Roman" w:cs="Times New Roman"/>
        </w:rPr>
        <w:t xml:space="preserve"> </w:t>
      </w:r>
      <w:proofErr w:type="spellStart"/>
      <w:r w:rsidR="00D33DAC" w:rsidRPr="00705170">
        <w:rPr>
          <w:rFonts w:ascii="Times New Roman" w:hAnsi="Times New Roman" w:cs="Times New Roman"/>
        </w:rPr>
        <w:t>that</w:t>
      </w:r>
      <w:proofErr w:type="spellEnd"/>
      <w:r w:rsidR="00D33DAC" w:rsidRPr="00705170">
        <w:rPr>
          <w:rFonts w:ascii="Times New Roman" w:hAnsi="Times New Roman" w:cs="Times New Roman"/>
        </w:rPr>
        <w:t xml:space="preserve"> </w:t>
      </w:r>
      <w:proofErr w:type="spellStart"/>
      <w:r w:rsidR="00D33DAC" w:rsidRPr="00705170">
        <w:rPr>
          <w:rFonts w:ascii="Times New Roman" w:hAnsi="Times New Roman" w:cs="Times New Roman"/>
        </w:rPr>
        <w:t>sets</w:t>
      </w:r>
      <w:proofErr w:type="spellEnd"/>
      <w:r w:rsidR="00D33DAC" w:rsidRPr="00705170">
        <w:rPr>
          <w:rFonts w:ascii="Times New Roman" w:hAnsi="Times New Roman" w:cs="Times New Roman"/>
        </w:rPr>
        <w:t xml:space="preserve"> a minimum </w:t>
      </w:r>
      <w:proofErr w:type="spellStart"/>
      <w:r w:rsidR="00D33DAC" w:rsidRPr="00705170">
        <w:rPr>
          <w:rFonts w:ascii="Times New Roman" w:hAnsi="Times New Roman" w:cs="Times New Roman"/>
        </w:rPr>
        <w:t>dividend</w:t>
      </w:r>
      <w:proofErr w:type="spellEnd"/>
      <w:r w:rsidR="00D33DAC" w:rsidRPr="00705170">
        <w:rPr>
          <w:rFonts w:ascii="Times New Roman" w:hAnsi="Times New Roman" w:cs="Times New Roman"/>
        </w:rPr>
        <w:t xml:space="preserve"> </w:t>
      </w:r>
      <w:proofErr w:type="spellStart"/>
      <w:r w:rsidR="00D33DAC" w:rsidRPr="00705170">
        <w:rPr>
          <w:rFonts w:ascii="Times New Roman" w:hAnsi="Times New Roman" w:cs="Times New Roman"/>
        </w:rPr>
        <w:t>amount</w:t>
      </w:r>
      <w:proofErr w:type="spellEnd"/>
      <w:r w:rsidR="00D33DAC" w:rsidRPr="00705170">
        <w:rPr>
          <w:rFonts w:ascii="Times New Roman" w:hAnsi="Times New Roman" w:cs="Times New Roman"/>
        </w:rPr>
        <w:t xml:space="preserve"> </w:t>
      </w:r>
      <w:proofErr w:type="spellStart"/>
      <w:r w:rsidR="00D33DAC" w:rsidRPr="00705170">
        <w:rPr>
          <w:rFonts w:ascii="Times New Roman" w:hAnsi="Times New Roman" w:cs="Times New Roman"/>
        </w:rPr>
        <w:t>to</w:t>
      </w:r>
      <w:proofErr w:type="spellEnd"/>
      <w:r w:rsidR="00D33DAC" w:rsidRPr="00705170">
        <w:rPr>
          <w:rFonts w:ascii="Times New Roman" w:hAnsi="Times New Roman" w:cs="Times New Roman"/>
        </w:rPr>
        <w:t xml:space="preserve"> be </w:t>
      </w:r>
      <w:proofErr w:type="spellStart"/>
      <w:r w:rsidR="00D33DAC" w:rsidRPr="00705170">
        <w:rPr>
          <w:rFonts w:ascii="Times New Roman" w:hAnsi="Times New Roman" w:cs="Times New Roman"/>
        </w:rPr>
        <w:t>distributed</w:t>
      </w:r>
      <w:proofErr w:type="spellEnd"/>
      <w:r w:rsidR="00D33DAC" w:rsidRPr="00705170">
        <w:rPr>
          <w:rFonts w:ascii="Times New Roman" w:hAnsi="Times New Roman" w:cs="Times New Roman"/>
        </w:rPr>
        <w:t xml:space="preserve"> at </w:t>
      </w:r>
      <w:proofErr w:type="spellStart"/>
      <w:r w:rsidR="00D33DAC" w:rsidRPr="00705170">
        <w:rPr>
          <w:rFonts w:ascii="Times New Roman" w:hAnsi="Times New Roman" w:cs="Times New Roman"/>
        </w:rPr>
        <w:t>all</w:t>
      </w:r>
      <w:proofErr w:type="spellEnd"/>
      <w:r w:rsidR="00D33DAC" w:rsidRPr="00705170">
        <w:rPr>
          <w:rFonts w:ascii="Times New Roman" w:hAnsi="Times New Roman" w:cs="Times New Roman"/>
        </w:rPr>
        <w:t xml:space="preserve"> </w:t>
      </w:r>
      <w:proofErr w:type="spellStart"/>
      <w:r w:rsidR="00D33DAC" w:rsidRPr="00705170">
        <w:rPr>
          <w:rFonts w:ascii="Times New Roman" w:hAnsi="Times New Roman" w:cs="Times New Roman"/>
        </w:rPr>
        <w:t>times</w:t>
      </w:r>
      <w:proofErr w:type="spellEnd"/>
      <w:r w:rsidR="00CE602C">
        <w:rPr>
          <w:rFonts w:ascii="Times New Roman" w:hAnsi="Times New Roman" w:cs="Times New Roman"/>
        </w:rPr>
        <w:t xml:space="preserve">. </w:t>
      </w:r>
      <w:proofErr w:type="spellStart"/>
      <w:r w:rsidR="00CE602C">
        <w:rPr>
          <w:rFonts w:ascii="Times New Roman" w:hAnsi="Times New Roman" w:cs="Times New Roman"/>
        </w:rPr>
        <w:t>However</w:t>
      </w:r>
      <w:proofErr w:type="spellEnd"/>
      <w:r w:rsidR="00CE602C">
        <w:rPr>
          <w:rFonts w:ascii="Times New Roman" w:hAnsi="Times New Roman" w:cs="Times New Roman"/>
        </w:rPr>
        <w:t xml:space="preserve">, </w:t>
      </w:r>
      <w:proofErr w:type="spellStart"/>
      <w:r w:rsidR="00CE602C">
        <w:rPr>
          <w:rFonts w:ascii="Times New Roman" w:hAnsi="Times New Roman" w:cs="Times New Roman"/>
        </w:rPr>
        <w:t>the</w:t>
      </w:r>
      <w:proofErr w:type="spellEnd"/>
      <w:r w:rsidR="00CE602C">
        <w:rPr>
          <w:rFonts w:ascii="Times New Roman" w:hAnsi="Times New Roman" w:cs="Times New Roman"/>
        </w:rPr>
        <w:t xml:space="preserve"> </w:t>
      </w:r>
      <w:proofErr w:type="spellStart"/>
      <w:r w:rsidR="00CE602C">
        <w:rPr>
          <w:rFonts w:ascii="Times New Roman" w:hAnsi="Times New Roman" w:cs="Times New Roman"/>
        </w:rPr>
        <w:t>court</w:t>
      </w:r>
      <w:proofErr w:type="spellEnd"/>
      <w:r w:rsidR="00CE602C">
        <w:rPr>
          <w:rFonts w:ascii="Times New Roman" w:hAnsi="Times New Roman" w:cs="Times New Roman"/>
        </w:rPr>
        <w:t xml:space="preserve"> can</w:t>
      </w:r>
      <w:r w:rsidR="00247D33" w:rsidRPr="00705170">
        <w:rPr>
          <w:rFonts w:ascii="Times New Roman" w:hAnsi="Times New Roman" w:cs="Times New Roman"/>
        </w:rPr>
        <w:t xml:space="preserve"> </w:t>
      </w:r>
      <w:proofErr w:type="spellStart"/>
      <w:r w:rsidR="00247D33" w:rsidRPr="00705170">
        <w:rPr>
          <w:rFonts w:ascii="Times New Roman" w:hAnsi="Times New Roman" w:cs="Times New Roman"/>
        </w:rPr>
        <w:t>order</w:t>
      </w:r>
      <w:proofErr w:type="spellEnd"/>
      <w:r w:rsidR="00247D33" w:rsidRPr="00705170">
        <w:rPr>
          <w:rFonts w:ascii="Times New Roman" w:hAnsi="Times New Roman" w:cs="Times New Roman"/>
        </w:rPr>
        <w:t xml:space="preserve"> a </w:t>
      </w:r>
      <w:proofErr w:type="spellStart"/>
      <w:r w:rsidR="00247D33" w:rsidRPr="00705170">
        <w:rPr>
          <w:rFonts w:ascii="Times New Roman" w:hAnsi="Times New Roman" w:cs="Times New Roman"/>
        </w:rPr>
        <w:t>bundle</w:t>
      </w:r>
      <w:proofErr w:type="spellEnd"/>
      <w:r w:rsidR="00247D33" w:rsidRPr="00705170">
        <w:rPr>
          <w:rFonts w:ascii="Times New Roman" w:hAnsi="Times New Roman" w:cs="Times New Roman"/>
        </w:rPr>
        <w:t xml:space="preserve"> of </w:t>
      </w:r>
      <w:proofErr w:type="spellStart"/>
      <w:r w:rsidR="00247D33" w:rsidRPr="00705170">
        <w:rPr>
          <w:rFonts w:ascii="Times New Roman" w:hAnsi="Times New Roman" w:cs="Times New Roman"/>
        </w:rPr>
        <w:t>remedies</w:t>
      </w:r>
      <w:proofErr w:type="spellEnd"/>
      <w:r w:rsidR="00247D33" w:rsidRPr="00705170">
        <w:rPr>
          <w:rFonts w:ascii="Times New Roman" w:hAnsi="Times New Roman" w:cs="Times New Roman"/>
        </w:rPr>
        <w:t xml:space="preserve"> </w:t>
      </w:r>
      <w:proofErr w:type="spellStart"/>
      <w:r w:rsidR="00247D33" w:rsidRPr="00705170">
        <w:rPr>
          <w:rFonts w:ascii="Times New Roman" w:hAnsi="Times New Roman" w:cs="Times New Roman"/>
        </w:rPr>
        <w:t>by</w:t>
      </w:r>
      <w:proofErr w:type="spellEnd"/>
      <w:r w:rsidR="00247D33" w:rsidRPr="00705170">
        <w:rPr>
          <w:rFonts w:ascii="Times New Roman" w:hAnsi="Times New Roman" w:cs="Times New Roman"/>
        </w:rPr>
        <w:t xml:space="preserve"> </w:t>
      </w:r>
      <w:proofErr w:type="spellStart"/>
      <w:r w:rsidR="00247D33" w:rsidRPr="00705170">
        <w:rPr>
          <w:rFonts w:ascii="Times New Roman" w:hAnsi="Times New Roman" w:cs="Times New Roman"/>
        </w:rPr>
        <w:t>ordering</w:t>
      </w:r>
      <w:proofErr w:type="spellEnd"/>
      <w:r w:rsidR="00247D33" w:rsidRPr="00705170">
        <w:rPr>
          <w:rFonts w:ascii="Times New Roman" w:hAnsi="Times New Roman" w:cs="Times New Roman"/>
        </w:rPr>
        <w:t xml:space="preserve"> </w:t>
      </w:r>
      <w:proofErr w:type="spellStart"/>
      <w:r w:rsidR="00247D33" w:rsidRPr="00705170">
        <w:rPr>
          <w:rFonts w:ascii="Times New Roman" w:hAnsi="Times New Roman" w:cs="Times New Roman"/>
        </w:rPr>
        <w:t>the</w:t>
      </w:r>
      <w:proofErr w:type="spellEnd"/>
      <w:r w:rsidR="00EC50BC">
        <w:rPr>
          <w:rFonts w:ascii="Times New Roman" w:hAnsi="Times New Roman" w:cs="Times New Roman"/>
        </w:rPr>
        <w:t xml:space="preserve"> buy- </w:t>
      </w:r>
      <w:proofErr w:type="spellStart"/>
      <w:r w:rsidR="00EC50BC">
        <w:rPr>
          <w:rFonts w:ascii="Times New Roman" w:hAnsi="Times New Roman" w:cs="Times New Roman"/>
        </w:rPr>
        <w:t>out</w:t>
      </w:r>
      <w:proofErr w:type="spellEnd"/>
      <w:r w:rsidR="00EC50BC">
        <w:rPr>
          <w:rFonts w:ascii="Times New Roman" w:hAnsi="Times New Roman" w:cs="Times New Roman"/>
        </w:rPr>
        <w:t xml:space="preserve"> of </w:t>
      </w:r>
      <w:proofErr w:type="spellStart"/>
      <w:r w:rsidR="00EC50BC">
        <w:rPr>
          <w:rFonts w:ascii="Times New Roman" w:hAnsi="Times New Roman" w:cs="Times New Roman"/>
        </w:rPr>
        <w:t>certain</w:t>
      </w:r>
      <w:proofErr w:type="spellEnd"/>
      <w:r w:rsidR="00EC50BC">
        <w:rPr>
          <w:rFonts w:ascii="Times New Roman" w:hAnsi="Times New Roman" w:cs="Times New Roman"/>
        </w:rPr>
        <w:t xml:space="preserve"> </w:t>
      </w:r>
      <w:proofErr w:type="spellStart"/>
      <w:r w:rsidR="00EC50BC">
        <w:rPr>
          <w:rFonts w:ascii="Times New Roman" w:hAnsi="Times New Roman" w:cs="Times New Roman"/>
        </w:rPr>
        <w:t>shares</w:t>
      </w:r>
      <w:proofErr w:type="spellEnd"/>
      <w:r w:rsidR="00EC50BC">
        <w:rPr>
          <w:rFonts w:ascii="Times New Roman" w:hAnsi="Times New Roman" w:cs="Times New Roman"/>
        </w:rPr>
        <w:t xml:space="preserve"> in </w:t>
      </w:r>
      <w:proofErr w:type="spellStart"/>
      <w:r w:rsidR="00EC50BC">
        <w:rPr>
          <w:rFonts w:ascii="Times New Roman" w:hAnsi="Times New Roman" w:cs="Times New Roman"/>
        </w:rPr>
        <w:t>addition</w:t>
      </w:r>
      <w:proofErr w:type="spellEnd"/>
      <w:r w:rsidR="00EC50BC">
        <w:rPr>
          <w:rFonts w:ascii="Times New Roman" w:hAnsi="Times New Roman" w:cs="Times New Roman"/>
        </w:rPr>
        <w:t xml:space="preserve"> </w:t>
      </w:r>
      <w:proofErr w:type="spellStart"/>
      <w:r w:rsidR="00EC50BC">
        <w:rPr>
          <w:rFonts w:ascii="Times New Roman" w:hAnsi="Times New Roman" w:cs="Times New Roman"/>
        </w:rPr>
        <w:t>to</w:t>
      </w:r>
      <w:proofErr w:type="spellEnd"/>
      <w:r w:rsidR="00EC50BC">
        <w:rPr>
          <w:rFonts w:ascii="Times New Roman" w:hAnsi="Times New Roman" w:cs="Times New Roman"/>
        </w:rPr>
        <w:t xml:space="preserve"> </w:t>
      </w:r>
      <w:proofErr w:type="spellStart"/>
      <w:r w:rsidR="00EC50BC">
        <w:rPr>
          <w:rFonts w:ascii="Times New Roman" w:hAnsi="Times New Roman" w:cs="Times New Roman"/>
        </w:rPr>
        <w:t>the</w:t>
      </w:r>
      <w:proofErr w:type="spellEnd"/>
      <w:r w:rsidR="00EC50BC">
        <w:rPr>
          <w:rFonts w:ascii="Times New Roman" w:hAnsi="Times New Roman" w:cs="Times New Roman"/>
        </w:rPr>
        <w:t xml:space="preserve"> </w:t>
      </w:r>
      <w:proofErr w:type="spellStart"/>
      <w:r w:rsidR="00247D33" w:rsidRPr="00705170">
        <w:rPr>
          <w:rFonts w:ascii="Times New Roman" w:hAnsi="Times New Roman" w:cs="Times New Roman"/>
        </w:rPr>
        <w:t>distribution</w:t>
      </w:r>
      <w:proofErr w:type="spellEnd"/>
      <w:r w:rsidR="00247D33" w:rsidRPr="00705170">
        <w:rPr>
          <w:rFonts w:ascii="Times New Roman" w:hAnsi="Times New Roman" w:cs="Times New Roman"/>
        </w:rPr>
        <w:t xml:space="preserve"> of </w:t>
      </w:r>
      <w:proofErr w:type="spellStart"/>
      <w:r w:rsidR="00247D33" w:rsidRPr="00705170">
        <w:rPr>
          <w:rFonts w:ascii="Times New Roman" w:hAnsi="Times New Roman" w:cs="Times New Roman"/>
        </w:rPr>
        <w:t>the</w:t>
      </w:r>
      <w:proofErr w:type="spellEnd"/>
      <w:r w:rsidR="00247D33" w:rsidRPr="00705170">
        <w:rPr>
          <w:rFonts w:ascii="Times New Roman" w:hAnsi="Times New Roman" w:cs="Times New Roman"/>
        </w:rPr>
        <w:t xml:space="preserve"> </w:t>
      </w:r>
      <w:proofErr w:type="spellStart"/>
      <w:r w:rsidR="00247D33" w:rsidRPr="00705170">
        <w:rPr>
          <w:rFonts w:ascii="Times New Roman" w:hAnsi="Times New Roman" w:cs="Times New Roman"/>
        </w:rPr>
        <w:t>dividends</w:t>
      </w:r>
      <w:proofErr w:type="spellEnd"/>
      <w:r w:rsidR="00247D33" w:rsidRPr="00705170">
        <w:rPr>
          <w:rFonts w:ascii="Times New Roman" w:hAnsi="Times New Roman" w:cs="Times New Roman"/>
        </w:rPr>
        <w:t xml:space="preserve"> at </w:t>
      </w:r>
      <w:proofErr w:type="spellStart"/>
      <w:r w:rsidR="00247D33" w:rsidRPr="00705170">
        <w:rPr>
          <w:rFonts w:ascii="Times New Roman" w:hAnsi="Times New Roman" w:cs="Times New Roman"/>
        </w:rPr>
        <w:t>the</w:t>
      </w:r>
      <w:proofErr w:type="spellEnd"/>
      <w:r w:rsidR="00247D33" w:rsidRPr="00705170">
        <w:rPr>
          <w:rFonts w:ascii="Times New Roman" w:hAnsi="Times New Roman" w:cs="Times New Roman"/>
        </w:rPr>
        <w:t xml:space="preserve"> </w:t>
      </w:r>
      <w:proofErr w:type="spellStart"/>
      <w:r w:rsidR="00247D33" w:rsidRPr="00705170">
        <w:rPr>
          <w:rFonts w:ascii="Times New Roman" w:hAnsi="Times New Roman" w:cs="Times New Roman"/>
        </w:rPr>
        <w:t>same</w:t>
      </w:r>
      <w:proofErr w:type="spellEnd"/>
      <w:r w:rsidR="00247D33" w:rsidRPr="00705170">
        <w:rPr>
          <w:rFonts w:ascii="Times New Roman" w:hAnsi="Times New Roman" w:cs="Times New Roman"/>
        </w:rPr>
        <w:t xml:space="preserve"> time</w:t>
      </w:r>
      <w:r w:rsidR="00247D33" w:rsidRPr="00705170">
        <w:rPr>
          <w:rStyle w:val="DipnotBavurusu"/>
          <w:rFonts w:ascii="Times New Roman" w:hAnsi="Times New Roman" w:cs="Times New Roman"/>
        </w:rPr>
        <w:footnoteReference w:id="975"/>
      </w:r>
      <w:r w:rsidR="00247D33" w:rsidRPr="00705170">
        <w:rPr>
          <w:rFonts w:ascii="Times New Roman" w:hAnsi="Times New Roman" w:cs="Times New Roman"/>
        </w:rPr>
        <w:t>.</w:t>
      </w:r>
      <w:r w:rsidR="003135BB" w:rsidRPr="00705170">
        <w:rPr>
          <w:rFonts w:ascii="Times New Roman" w:hAnsi="Times New Roman" w:cs="Times New Roman"/>
        </w:rPr>
        <w:t xml:space="preserve"> </w:t>
      </w:r>
    </w:p>
    <w:p w14:paraId="401D19FC" w14:textId="59FEEECB" w:rsidR="0084032C" w:rsidRPr="00705170" w:rsidRDefault="0084032C" w:rsidP="0098566F">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007F0DEA" w:rsidRPr="00705170">
        <w:rPr>
          <w:rFonts w:ascii="Times New Roman" w:hAnsi="Times New Roman" w:cs="Times New Roman"/>
        </w:rPr>
        <w:t>The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statute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itself</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exemplifies</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the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alternative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remedies</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by</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expressing</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the</w:t>
      </w:r>
      <w:proofErr w:type="spellEnd"/>
      <w:r w:rsidR="007F0DEA" w:rsidRPr="00705170">
        <w:rPr>
          <w:rFonts w:ascii="Times New Roman" w:hAnsi="Times New Roman" w:cs="Times New Roman"/>
        </w:rPr>
        <w:t xml:space="preserve"> buy- </w:t>
      </w:r>
      <w:proofErr w:type="spellStart"/>
      <w:r w:rsidR="007F0DEA" w:rsidRPr="00705170">
        <w:rPr>
          <w:rFonts w:ascii="Times New Roman" w:hAnsi="Times New Roman" w:cs="Times New Roman"/>
        </w:rPr>
        <w:t>out</w:t>
      </w:r>
      <w:proofErr w:type="spellEnd"/>
      <w:r w:rsidR="007F0DEA" w:rsidRPr="00705170">
        <w:rPr>
          <w:rFonts w:ascii="Times New Roman" w:hAnsi="Times New Roman" w:cs="Times New Roman"/>
        </w:rPr>
        <w:t xml:space="preserve"> of </w:t>
      </w:r>
      <w:proofErr w:type="spellStart"/>
      <w:r w:rsidR="007F0DEA" w:rsidRPr="00705170">
        <w:rPr>
          <w:rFonts w:ascii="Times New Roman" w:hAnsi="Times New Roman" w:cs="Times New Roman"/>
        </w:rPr>
        <w:t>the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petitioner’s</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shares</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by</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paying</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the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real</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value</w:t>
      </w:r>
      <w:proofErr w:type="spellEnd"/>
      <w:r w:rsidR="007F0DEA" w:rsidRPr="00705170">
        <w:rPr>
          <w:rFonts w:ascii="Times New Roman" w:hAnsi="Times New Roman" w:cs="Times New Roman"/>
        </w:rPr>
        <w:t xml:space="preserve">” of </w:t>
      </w:r>
      <w:proofErr w:type="spellStart"/>
      <w:r w:rsidR="007F0DEA" w:rsidRPr="00705170">
        <w:rPr>
          <w:rFonts w:ascii="Times New Roman" w:hAnsi="Times New Roman" w:cs="Times New Roman"/>
        </w:rPr>
        <w:t>the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shares</w:t>
      </w:r>
      <w:proofErr w:type="spellEnd"/>
      <w:r w:rsidR="007F0DEA" w:rsidRPr="00705170">
        <w:rPr>
          <w:rFonts w:ascii="Times New Roman" w:hAnsi="Times New Roman" w:cs="Times New Roman"/>
        </w:rPr>
        <w:t xml:space="preserve"> as </w:t>
      </w:r>
      <w:proofErr w:type="spellStart"/>
      <w:r w:rsidR="007F0DEA" w:rsidRPr="00705170">
        <w:rPr>
          <w:rFonts w:ascii="Times New Roman" w:hAnsi="Times New Roman" w:cs="Times New Roman"/>
        </w:rPr>
        <w:t>one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relief</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however</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this</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does</w:t>
      </w:r>
      <w:proofErr w:type="spellEnd"/>
      <w:r w:rsidR="007F0DEA" w:rsidRPr="00705170">
        <w:rPr>
          <w:rFonts w:ascii="Times New Roman" w:hAnsi="Times New Roman" w:cs="Times New Roman"/>
        </w:rPr>
        <w:t xml:space="preserve"> not </w:t>
      </w:r>
      <w:proofErr w:type="spellStart"/>
      <w:r w:rsidR="007F0DEA" w:rsidRPr="00705170">
        <w:rPr>
          <w:rFonts w:ascii="Times New Roman" w:hAnsi="Times New Roman" w:cs="Times New Roman"/>
        </w:rPr>
        <w:t>mean</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that</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the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court</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should</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give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priority</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to</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this</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type</w:t>
      </w:r>
      <w:proofErr w:type="spellEnd"/>
      <w:r w:rsidR="007F0DEA" w:rsidRPr="00705170">
        <w:rPr>
          <w:rFonts w:ascii="Times New Roman" w:hAnsi="Times New Roman" w:cs="Times New Roman"/>
        </w:rPr>
        <w:t xml:space="preserve"> of </w:t>
      </w:r>
      <w:proofErr w:type="spellStart"/>
      <w:r w:rsidR="007F0DEA" w:rsidRPr="00705170">
        <w:rPr>
          <w:rFonts w:ascii="Times New Roman" w:hAnsi="Times New Roman" w:cs="Times New Roman"/>
        </w:rPr>
        <w:t>remedy</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the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court</w:t>
      </w:r>
      <w:proofErr w:type="spellEnd"/>
      <w:r w:rsidR="007F0DEA" w:rsidRPr="00705170">
        <w:rPr>
          <w:rFonts w:ascii="Times New Roman" w:hAnsi="Times New Roman" w:cs="Times New Roman"/>
        </w:rPr>
        <w:t xml:space="preserve"> is not </w:t>
      </w:r>
      <w:proofErr w:type="spellStart"/>
      <w:r w:rsidR="007F0DEA" w:rsidRPr="00705170">
        <w:rPr>
          <w:rFonts w:ascii="Times New Roman" w:hAnsi="Times New Roman" w:cs="Times New Roman"/>
        </w:rPr>
        <w:t>bound</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by</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the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statutory</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example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and</w:t>
      </w:r>
      <w:proofErr w:type="spellEnd"/>
      <w:r w:rsidR="007F0DEA" w:rsidRPr="00705170">
        <w:rPr>
          <w:rFonts w:ascii="Times New Roman" w:hAnsi="Times New Roman" w:cs="Times New Roman"/>
        </w:rPr>
        <w:t xml:space="preserve"> can </w:t>
      </w:r>
      <w:proofErr w:type="spellStart"/>
      <w:r w:rsidR="007F0DEA" w:rsidRPr="00705170">
        <w:rPr>
          <w:rFonts w:ascii="Times New Roman" w:hAnsi="Times New Roman" w:cs="Times New Roman"/>
        </w:rPr>
        <w:t>order</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any</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other</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relief</w:t>
      </w:r>
      <w:proofErr w:type="spellEnd"/>
      <w:r w:rsidR="007F0DEA" w:rsidRPr="00705170">
        <w:rPr>
          <w:rFonts w:ascii="Times New Roman" w:hAnsi="Times New Roman" w:cs="Times New Roman"/>
        </w:rPr>
        <w:t xml:space="preserve"> in </w:t>
      </w:r>
      <w:proofErr w:type="spellStart"/>
      <w:r w:rsidR="007F0DEA" w:rsidRPr="00705170">
        <w:rPr>
          <w:rFonts w:ascii="Times New Roman" w:hAnsi="Times New Roman" w:cs="Times New Roman"/>
        </w:rPr>
        <w:t>accordance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with</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the</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limits</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drawn</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for</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t>its</w:t>
      </w:r>
      <w:proofErr w:type="spellEnd"/>
      <w:r w:rsidR="007F0DEA" w:rsidRPr="00705170">
        <w:rPr>
          <w:rFonts w:ascii="Times New Roman" w:hAnsi="Times New Roman" w:cs="Times New Roman"/>
        </w:rPr>
        <w:t xml:space="preserve"> </w:t>
      </w:r>
      <w:proofErr w:type="spellStart"/>
      <w:r w:rsidR="007F0DEA" w:rsidRPr="00705170">
        <w:rPr>
          <w:rFonts w:ascii="Times New Roman" w:hAnsi="Times New Roman" w:cs="Times New Roman"/>
        </w:rPr>
        <w:lastRenderedPageBreak/>
        <w:t>discretion</w:t>
      </w:r>
      <w:proofErr w:type="spellEnd"/>
      <w:r w:rsidR="007F0DEA" w:rsidRPr="00705170">
        <w:rPr>
          <w:rStyle w:val="DipnotBavurusu"/>
          <w:rFonts w:ascii="Times New Roman" w:hAnsi="Times New Roman" w:cs="Times New Roman"/>
        </w:rPr>
        <w:footnoteReference w:id="976"/>
      </w:r>
      <w:r w:rsidR="007F0DEA" w:rsidRPr="00705170">
        <w:rPr>
          <w:rFonts w:ascii="Times New Roman" w:hAnsi="Times New Roman" w:cs="Times New Roman"/>
        </w:rPr>
        <w:t>.</w:t>
      </w:r>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The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court</w:t>
      </w:r>
      <w:proofErr w:type="spellEnd"/>
      <w:r w:rsidR="00F46269" w:rsidRPr="00705170">
        <w:rPr>
          <w:rFonts w:ascii="Times New Roman" w:hAnsi="Times New Roman" w:cs="Times New Roman"/>
        </w:rPr>
        <w:t xml:space="preserve"> is</w:t>
      </w:r>
      <w:r w:rsidR="0096235D" w:rsidRPr="00705170">
        <w:rPr>
          <w:rFonts w:ascii="Times New Roman" w:hAnsi="Times New Roman" w:cs="Times New Roman"/>
        </w:rPr>
        <w:t xml:space="preserve"> </w:t>
      </w:r>
      <w:proofErr w:type="spellStart"/>
      <w:r w:rsidR="0096235D" w:rsidRPr="00705170">
        <w:rPr>
          <w:rFonts w:ascii="Times New Roman" w:hAnsi="Times New Roman" w:cs="Times New Roman"/>
        </w:rPr>
        <w:t>also</w:t>
      </w:r>
      <w:proofErr w:type="spellEnd"/>
      <w:r w:rsidR="00D87247">
        <w:rPr>
          <w:rFonts w:ascii="Times New Roman" w:hAnsi="Times New Roman" w:cs="Times New Roman"/>
        </w:rPr>
        <w:t xml:space="preserve"> not </w:t>
      </w:r>
      <w:proofErr w:type="spellStart"/>
      <w:r w:rsidR="00D87247">
        <w:rPr>
          <w:rFonts w:ascii="Times New Roman" w:hAnsi="Times New Roman" w:cs="Times New Roman"/>
        </w:rPr>
        <w:t>bound</w:t>
      </w:r>
      <w:proofErr w:type="spellEnd"/>
      <w:r w:rsidR="00D87247">
        <w:rPr>
          <w:rFonts w:ascii="Times New Roman" w:hAnsi="Times New Roman" w:cs="Times New Roman"/>
        </w:rPr>
        <w:t xml:space="preserve"> </w:t>
      </w:r>
      <w:proofErr w:type="spellStart"/>
      <w:r w:rsidR="00D87247">
        <w:rPr>
          <w:rFonts w:ascii="Times New Roman" w:hAnsi="Times New Roman" w:cs="Times New Roman"/>
        </w:rPr>
        <w:t>by</w:t>
      </w:r>
      <w:proofErr w:type="spellEnd"/>
      <w:r w:rsidR="00D87247">
        <w:rPr>
          <w:rFonts w:ascii="Times New Roman" w:hAnsi="Times New Roman" w:cs="Times New Roman"/>
        </w:rPr>
        <w:t xml:space="preserve"> </w:t>
      </w:r>
      <w:proofErr w:type="spellStart"/>
      <w:r w:rsidR="00D87247">
        <w:rPr>
          <w:rFonts w:ascii="Times New Roman" w:hAnsi="Times New Roman" w:cs="Times New Roman"/>
        </w:rPr>
        <w:t>the</w:t>
      </w:r>
      <w:proofErr w:type="spellEnd"/>
      <w:r w:rsidR="00D87247">
        <w:rPr>
          <w:rFonts w:ascii="Times New Roman" w:hAnsi="Times New Roman" w:cs="Times New Roman"/>
        </w:rPr>
        <w:t xml:space="preserve"> </w:t>
      </w:r>
      <w:proofErr w:type="spellStart"/>
      <w:r w:rsidR="00D87247">
        <w:rPr>
          <w:rFonts w:ascii="Times New Roman" w:hAnsi="Times New Roman" w:cs="Times New Roman"/>
        </w:rPr>
        <w:t>relief</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asked</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by</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the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petitioner</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after</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all</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this</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lawsuit</w:t>
      </w:r>
      <w:proofErr w:type="spellEnd"/>
      <w:r w:rsidR="00F46269" w:rsidRPr="00705170">
        <w:rPr>
          <w:rFonts w:ascii="Times New Roman" w:hAnsi="Times New Roman" w:cs="Times New Roman"/>
        </w:rPr>
        <w:t xml:space="preserve"> is </w:t>
      </w:r>
      <w:proofErr w:type="spellStart"/>
      <w:r w:rsidR="00F46269" w:rsidRPr="00705170">
        <w:rPr>
          <w:rFonts w:ascii="Times New Roman" w:hAnsi="Times New Roman" w:cs="Times New Roman"/>
        </w:rPr>
        <w:t>one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that</w:t>
      </w:r>
      <w:proofErr w:type="spellEnd"/>
      <w:r w:rsidR="00F46269" w:rsidRPr="00705170">
        <w:rPr>
          <w:rFonts w:ascii="Times New Roman" w:hAnsi="Times New Roman" w:cs="Times New Roman"/>
        </w:rPr>
        <w:t xml:space="preserve"> </w:t>
      </w:r>
      <w:proofErr w:type="spellStart"/>
      <w:r w:rsidR="00E061D1" w:rsidRPr="00705170">
        <w:rPr>
          <w:rFonts w:ascii="Times New Roman" w:hAnsi="Times New Roman" w:cs="Times New Roman"/>
        </w:rPr>
        <w:t>simply</w:t>
      </w:r>
      <w:proofErr w:type="spellEnd"/>
      <w:r w:rsidR="00E061D1" w:rsidRPr="00705170">
        <w:rPr>
          <w:rFonts w:ascii="Times New Roman" w:hAnsi="Times New Roman" w:cs="Times New Roman"/>
        </w:rPr>
        <w:t xml:space="preserve"> </w:t>
      </w:r>
      <w:proofErr w:type="spellStart"/>
      <w:r w:rsidR="00F46269" w:rsidRPr="00705170">
        <w:rPr>
          <w:rFonts w:ascii="Times New Roman" w:hAnsi="Times New Roman" w:cs="Times New Roman"/>
        </w:rPr>
        <w:t>asks</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for</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the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dissolution</w:t>
      </w:r>
      <w:proofErr w:type="spellEnd"/>
      <w:r w:rsidR="00F46269" w:rsidRPr="00705170">
        <w:rPr>
          <w:rFonts w:ascii="Times New Roman" w:hAnsi="Times New Roman" w:cs="Times New Roman"/>
        </w:rPr>
        <w:t xml:space="preserve"> of </w:t>
      </w:r>
      <w:proofErr w:type="spellStart"/>
      <w:r w:rsidR="00F46269" w:rsidRPr="00705170">
        <w:rPr>
          <w:rFonts w:ascii="Times New Roman" w:hAnsi="Times New Roman" w:cs="Times New Roman"/>
        </w:rPr>
        <w:t>the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corporation</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and</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this</w:t>
      </w:r>
      <w:proofErr w:type="spellEnd"/>
      <w:r w:rsidR="00F46269" w:rsidRPr="00705170">
        <w:rPr>
          <w:rFonts w:ascii="Times New Roman" w:hAnsi="Times New Roman" w:cs="Times New Roman"/>
        </w:rPr>
        <w:t xml:space="preserve"> is </w:t>
      </w:r>
      <w:proofErr w:type="spellStart"/>
      <w:r w:rsidR="00F46269" w:rsidRPr="00705170">
        <w:rPr>
          <w:rFonts w:ascii="Times New Roman" w:hAnsi="Times New Roman" w:cs="Times New Roman"/>
        </w:rPr>
        <w:t>the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only</w:t>
      </w:r>
      <w:proofErr w:type="spellEnd"/>
      <w:r w:rsidR="00F46269" w:rsidRPr="00705170">
        <w:rPr>
          <w:rFonts w:ascii="Times New Roman" w:hAnsi="Times New Roman" w:cs="Times New Roman"/>
        </w:rPr>
        <w:t xml:space="preserve"> </w:t>
      </w:r>
      <w:proofErr w:type="spellStart"/>
      <w:r w:rsidR="00E061D1" w:rsidRPr="00705170">
        <w:rPr>
          <w:rFonts w:ascii="Times New Roman" w:hAnsi="Times New Roman" w:cs="Times New Roman"/>
        </w:rPr>
        <w:t>demand</w:t>
      </w:r>
      <w:proofErr w:type="spellEnd"/>
      <w:r w:rsidR="00524972">
        <w:rPr>
          <w:rFonts w:ascii="Times New Roman" w:hAnsi="Times New Roman" w:cs="Times New Roman"/>
        </w:rPr>
        <w:t xml:space="preserve"> </w:t>
      </w:r>
      <w:proofErr w:type="spellStart"/>
      <w:r w:rsidR="00524972">
        <w:rPr>
          <w:rFonts w:ascii="Times New Roman" w:hAnsi="Times New Roman" w:cs="Times New Roman"/>
        </w:rPr>
        <w:t>that</w:t>
      </w:r>
      <w:proofErr w:type="spellEnd"/>
      <w:r w:rsidR="00524972">
        <w:rPr>
          <w:rFonts w:ascii="Times New Roman" w:hAnsi="Times New Roman" w:cs="Times New Roman"/>
        </w:rPr>
        <w:t xml:space="preserve"> </w:t>
      </w:r>
      <w:proofErr w:type="spellStart"/>
      <w:r w:rsidR="00524972">
        <w:rPr>
          <w:rFonts w:ascii="Times New Roman" w:hAnsi="Times New Roman" w:cs="Times New Roman"/>
        </w:rPr>
        <w:t>the</w:t>
      </w:r>
      <w:proofErr w:type="spellEnd"/>
      <w:r w:rsidR="00524972">
        <w:rPr>
          <w:rFonts w:ascii="Times New Roman" w:hAnsi="Times New Roman" w:cs="Times New Roman"/>
        </w:rPr>
        <w:t xml:space="preserve"> </w:t>
      </w:r>
      <w:proofErr w:type="spellStart"/>
      <w:r w:rsidR="00524972">
        <w:rPr>
          <w:rFonts w:ascii="Times New Roman" w:hAnsi="Times New Roman" w:cs="Times New Roman"/>
        </w:rPr>
        <w:t>petitioner</w:t>
      </w:r>
      <w:proofErr w:type="spellEnd"/>
      <w:r w:rsidR="00524972">
        <w:rPr>
          <w:rFonts w:ascii="Times New Roman" w:hAnsi="Times New Roman" w:cs="Times New Roman"/>
        </w:rPr>
        <w:t xml:space="preserve"> can </w:t>
      </w:r>
      <w:proofErr w:type="spellStart"/>
      <w:r w:rsidR="00524972">
        <w:rPr>
          <w:rFonts w:ascii="Times New Roman" w:hAnsi="Times New Roman" w:cs="Times New Roman"/>
        </w:rPr>
        <w:t>have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according</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to</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the</w:t>
      </w:r>
      <w:proofErr w:type="spellEnd"/>
      <w:r w:rsidR="00F46269" w:rsidRPr="00705170">
        <w:rPr>
          <w:rFonts w:ascii="Times New Roman" w:hAnsi="Times New Roman" w:cs="Times New Roman"/>
        </w:rPr>
        <w:t xml:space="preserve"> </w:t>
      </w:r>
      <w:proofErr w:type="spellStart"/>
      <w:r w:rsidR="00F46269" w:rsidRPr="00705170">
        <w:rPr>
          <w:rFonts w:ascii="Times New Roman" w:hAnsi="Times New Roman" w:cs="Times New Roman"/>
        </w:rPr>
        <w:t>statute</w:t>
      </w:r>
      <w:proofErr w:type="spellEnd"/>
      <w:r w:rsidR="00F46269" w:rsidRPr="00705170">
        <w:rPr>
          <w:rStyle w:val="DipnotBavurusu"/>
          <w:rFonts w:ascii="Times New Roman" w:hAnsi="Times New Roman" w:cs="Times New Roman"/>
        </w:rPr>
        <w:footnoteReference w:id="977"/>
      </w:r>
      <w:r w:rsidR="00F46269" w:rsidRPr="00705170">
        <w:rPr>
          <w:rFonts w:ascii="Times New Roman" w:hAnsi="Times New Roman" w:cs="Times New Roman"/>
        </w:rPr>
        <w:t>.</w:t>
      </w:r>
      <w:r w:rsidR="0098566F">
        <w:rPr>
          <w:rFonts w:ascii="Times New Roman" w:hAnsi="Times New Roman" w:cs="Times New Roman"/>
        </w:rPr>
        <w:t xml:space="preserve"> </w:t>
      </w:r>
      <w:proofErr w:type="spellStart"/>
      <w:r w:rsidR="00E061D1" w:rsidRPr="00705170">
        <w:rPr>
          <w:rFonts w:ascii="Times New Roman" w:hAnsi="Times New Roman" w:cs="Times New Roman"/>
        </w:rPr>
        <w:t>Regarding</w:t>
      </w:r>
      <w:proofErr w:type="spellEnd"/>
      <w:r w:rsidR="00E061D1" w:rsidRPr="00705170">
        <w:rPr>
          <w:rFonts w:ascii="Times New Roman" w:hAnsi="Times New Roman" w:cs="Times New Roman"/>
        </w:rPr>
        <w:t xml:space="preserve"> </w:t>
      </w:r>
      <w:proofErr w:type="spellStart"/>
      <w:r w:rsidR="00E061D1" w:rsidRPr="00705170">
        <w:rPr>
          <w:rFonts w:ascii="Times New Roman" w:hAnsi="Times New Roman" w:cs="Times New Roman"/>
        </w:rPr>
        <w:t>the</w:t>
      </w:r>
      <w:proofErr w:type="spellEnd"/>
      <w:r w:rsidR="00E061D1" w:rsidRPr="00705170">
        <w:rPr>
          <w:rFonts w:ascii="Times New Roman" w:hAnsi="Times New Roman" w:cs="Times New Roman"/>
        </w:rPr>
        <w:t xml:space="preserve"> buy- </w:t>
      </w:r>
      <w:proofErr w:type="spellStart"/>
      <w:r w:rsidR="00E061D1" w:rsidRPr="00705170">
        <w:rPr>
          <w:rFonts w:ascii="Times New Roman" w:hAnsi="Times New Roman" w:cs="Times New Roman"/>
        </w:rPr>
        <w:t>out</w:t>
      </w:r>
      <w:proofErr w:type="spellEnd"/>
      <w:r w:rsidR="00E061D1" w:rsidRPr="00705170">
        <w:rPr>
          <w:rFonts w:ascii="Times New Roman" w:hAnsi="Times New Roman" w:cs="Times New Roman"/>
        </w:rPr>
        <w:t xml:space="preserve"> </w:t>
      </w:r>
      <w:proofErr w:type="spellStart"/>
      <w:r w:rsidR="00E061D1" w:rsidRPr="00705170">
        <w:rPr>
          <w:rFonts w:ascii="Times New Roman" w:hAnsi="Times New Roman" w:cs="Times New Roman"/>
        </w:rPr>
        <w:t>remedy</w:t>
      </w:r>
      <w:proofErr w:type="spellEnd"/>
      <w:r w:rsidR="00E061D1" w:rsidRPr="00705170">
        <w:rPr>
          <w:rFonts w:ascii="Times New Roman" w:hAnsi="Times New Roman" w:cs="Times New Roman"/>
        </w:rPr>
        <w:t xml:space="preserve">, </w:t>
      </w:r>
      <w:proofErr w:type="spellStart"/>
      <w:r w:rsidR="00E061D1" w:rsidRPr="00705170">
        <w:rPr>
          <w:rFonts w:ascii="Times New Roman" w:hAnsi="Times New Roman" w:cs="Times New Roman"/>
        </w:rPr>
        <w:t>t</w:t>
      </w:r>
      <w:r w:rsidRPr="00705170">
        <w:rPr>
          <w:rFonts w:ascii="Times New Roman" w:hAnsi="Times New Roman" w:cs="Times New Roman"/>
        </w:rPr>
        <w: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question</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who</w:t>
      </w:r>
      <w:proofErr w:type="spellEnd"/>
      <w:r w:rsidRPr="00705170">
        <w:rPr>
          <w:rFonts w:ascii="Times New Roman" w:hAnsi="Times New Roman" w:cs="Times New Roman"/>
        </w:rPr>
        <w:t xml:space="preserve"> can </w:t>
      </w:r>
      <w:proofErr w:type="spellStart"/>
      <w:r w:rsidRPr="00705170">
        <w:rPr>
          <w:rFonts w:ascii="Times New Roman" w:hAnsi="Times New Roman" w:cs="Times New Roman"/>
        </w:rPr>
        <w:t>purchase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dissenting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answered</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itself</w:t>
      </w:r>
      <w:proofErr w:type="spellEnd"/>
      <w:r w:rsidRPr="00705170">
        <w:rPr>
          <w:rFonts w:ascii="Times New Roman" w:hAnsi="Times New Roman" w:cs="Times New Roman"/>
        </w:rPr>
        <w:t>”</w:t>
      </w:r>
      <w:r w:rsidR="00524972">
        <w:rPr>
          <w:rStyle w:val="DipnotBavurusu"/>
          <w:rFonts w:ascii="Times New Roman" w:hAnsi="Times New Roman" w:cs="Times New Roman"/>
        </w:rPr>
        <w:footnoteReference w:id="978"/>
      </w:r>
      <w:r w:rsidRPr="00705170">
        <w:rPr>
          <w:rFonts w:ascii="Times New Roman" w:hAnsi="Times New Roman" w:cs="Times New Roman"/>
        </w:rPr>
        <w:t xml:space="preserve">. </w:t>
      </w:r>
      <w:proofErr w:type="spellStart"/>
      <w:r w:rsidRPr="00705170">
        <w:rPr>
          <w:rFonts w:ascii="Times New Roman" w:hAnsi="Times New Roman" w:cs="Times New Roman"/>
        </w:rPr>
        <w:t>Naturally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increases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possibility</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orders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circumstances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is not </w:t>
      </w:r>
      <w:proofErr w:type="spellStart"/>
      <w:r w:rsidRPr="00705170">
        <w:rPr>
          <w:rFonts w:ascii="Times New Roman" w:hAnsi="Times New Roman" w:cs="Times New Roman"/>
        </w:rPr>
        <w:t>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purchase</w:t>
      </w:r>
      <w:proofErr w:type="spellEnd"/>
      <w:r w:rsidRPr="00705170">
        <w:rPr>
          <w:rFonts w:ascii="Times New Roman" w:hAnsi="Times New Roman" w:cs="Times New Roman"/>
        </w:rPr>
        <w:t xml:space="preserve"> </w:t>
      </w:r>
      <w:proofErr w:type="spellStart"/>
      <w:r w:rsidR="00E061D1" w:rsidRPr="00705170">
        <w:rPr>
          <w:rFonts w:ascii="Times New Roman" w:hAnsi="Times New Roman" w:cs="Times New Roman"/>
        </w:rPr>
        <w:t>the</w:t>
      </w:r>
      <w:proofErr w:type="spellEnd"/>
      <w:r w:rsidR="00E061D1" w:rsidRPr="00705170">
        <w:rPr>
          <w:rFonts w:ascii="Times New Roman" w:hAnsi="Times New Roman" w:cs="Times New Roman"/>
        </w:rPr>
        <w:t xml:space="preserve"> </w:t>
      </w:r>
      <w:proofErr w:type="spellStart"/>
      <w:r w:rsidR="00E061D1" w:rsidRPr="00705170">
        <w:rPr>
          <w:rFonts w:ascii="Times New Roman" w:hAnsi="Times New Roman" w:cs="Times New Roman"/>
        </w:rPr>
        <w:t>shares</w:t>
      </w:r>
      <w:proofErr w:type="spellEnd"/>
      <w:r w:rsidR="00E061D1" w:rsidRPr="00705170">
        <w:rPr>
          <w:rFonts w:ascii="Times New Roman" w:hAnsi="Times New Roman" w:cs="Times New Roman"/>
        </w:rPr>
        <w:t xml:space="preserve"> </w:t>
      </w:r>
      <w:proofErr w:type="spellStart"/>
      <w:r w:rsidRPr="00705170">
        <w:rPr>
          <w:rFonts w:ascii="Times New Roman" w:hAnsi="Times New Roman" w:cs="Times New Roman"/>
        </w:rPr>
        <w:t>due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financial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difficulties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order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w:t>
      </w:r>
      <w:proofErr w:type="spellEnd"/>
      <w:r w:rsidRPr="00705170">
        <w:rPr>
          <w:rFonts w:ascii="Times New Roman" w:hAnsi="Times New Roman" w:cs="Times New Roman"/>
        </w:rPr>
        <w:t xml:space="preserve"> holding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00E061D1" w:rsidRPr="00705170">
        <w:rPr>
          <w:rFonts w:ascii="Times New Roman" w:hAnsi="Times New Roman" w:cs="Times New Roman"/>
        </w:rPr>
        <w:t>other</w:t>
      </w:r>
      <w:proofErr w:type="spellEnd"/>
      <w:r w:rsidR="00E061D1" w:rsidRPr="00705170">
        <w:rPr>
          <w:rFonts w:ascii="Times New Roman" w:hAnsi="Times New Roman" w:cs="Times New Roman"/>
        </w:rPr>
        <w:t xml:space="preserve"> </w:t>
      </w:r>
      <w:proofErr w:type="spellStart"/>
      <w:r w:rsidRPr="00705170">
        <w:rPr>
          <w:rFonts w:ascii="Times New Roman" w:hAnsi="Times New Roman" w:cs="Times New Roman"/>
        </w:rPr>
        <w:t>adequate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acceptable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alternative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remedy</w:t>
      </w:r>
      <w:proofErr w:type="spellEnd"/>
      <w:r w:rsidRPr="00705170">
        <w:rPr>
          <w:rStyle w:val="DipnotBavurusu"/>
          <w:rFonts w:ascii="Times New Roman" w:hAnsi="Times New Roman" w:cs="Times New Roman"/>
        </w:rPr>
        <w:footnoteReference w:id="979"/>
      </w:r>
      <w:r w:rsidRPr="00705170">
        <w:rPr>
          <w:rFonts w:ascii="Times New Roman" w:hAnsi="Times New Roman" w:cs="Times New Roman"/>
        </w:rPr>
        <w:t xml:space="preserve">. </w:t>
      </w:r>
    </w:p>
    <w:p w14:paraId="0CA7758E" w14:textId="7F6BAD17" w:rsidR="00C00467" w:rsidRDefault="008A2E95" w:rsidP="007F0DEA">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alternative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remedies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suggested</w:t>
      </w:r>
      <w:proofErr w:type="spellEnd"/>
      <w:r w:rsidR="00C00467" w:rsidRPr="00705170">
        <w:rPr>
          <w:rFonts w:ascii="Times New Roman" w:hAnsi="Times New Roman" w:cs="Times New Roman"/>
        </w:rPr>
        <w:t xml:space="preserve"> in </w:t>
      </w:r>
      <w:proofErr w:type="spellStart"/>
      <w:r w:rsidRPr="00705170">
        <w:rPr>
          <w:rFonts w:ascii="Times New Roman" w:hAnsi="Times New Roman" w:cs="Times New Roman"/>
        </w:rPr>
        <w:t>scholarship</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consists</w:t>
      </w:r>
      <w:proofErr w:type="spellEnd"/>
      <w:r w:rsidR="00C00467" w:rsidRPr="00705170">
        <w:rPr>
          <w:rFonts w:ascii="Times New Roman" w:hAnsi="Times New Roman" w:cs="Times New Roman"/>
        </w:rPr>
        <w:t xml:space="preserve"> of (1) </w:t>
      </w:r>
      <w:proofErr w:type="spellStart"/>
      <w:r w:rsidR="00C00467" w:rsidRPr="00705170">
        <w:rPr>
          <w:rFonts w:ascii="Times New Roman" w:hAnsi="Times New Roman" w:cs="Times New Roman"/>
        </w:rPr>
        <w:t>ordering</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the</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distribution</w:t>
      </w:r>
      <w:proofErr w:type="spellEnd"/>
      <w:r w:rsidR="00C00467" w:rsidRPr="00705170">
        <w:rPr>
          <w:rFonts w:ascii="Times New Roman" w:hAnsi="Times New Roman" w:cs="Times New Roman"/>
        </w:rPr>
        <w:t xml:space="preserve"> of </w:t>
      </w:r>
      <w:proofErr w:type="spellStart"/>
      <w:r w:rsidR="00C00467" w:rsidRPr="00705170">
        <w:rPr>
          <w:rFonts w:ascii="Times New Roman" w:hAnsi="Times New Roman" w:cs="Times New Roman"/>
        </w:rPr>
        <w:t>dividends</w:t>
      </w:r>
      <w:proofErr w:type="spellEnd"/>
      <w:r w:rsidR="00C00467" w:rsidRPr="00705170">
        <w:rPr>
          <w:rFonts w:ascii="Times New Roman" w:hAnsi="Times New Roman" w:cs="Times New Roman"/>
        </w:rPr>
        <w:t xml:space="preserve">, (2) </w:t>
      </w:r>
      <w:proofErr w:type="spellStart"/>
      <w:r w:rsidR="00C00467" w:rsidRPr="00705170">
        <w:rPr>
          <w:rFonts w:ascii="Times New Roman" w:hAnsi="Times New Roman" w:cs="Times New Roman"/>
        </w:rPr>
        <w:t>providing</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the</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minority</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the</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privilege</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to</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have</w:t>
      </w:r>
      <w:proofErr w:type="spellEnd"/>
      <w:r w:rsidR="00C00467" w:rsidRPr="00705170">
        <w:rPr>
          <w:rFonts w:ascii="Times New Roman" w:hAnsi="Times New Roman" w:cs="Times New Roman"/>
        </w:rPr>
        <w:t xml:space="preserve"> a </w:t>
      </w:r>
      <w:proofErr w:type="spellStart"/>
      <w:r w:rsidR="00C00467" w:rsidRPr="00705170">
        <w:rPr>
          <w:rFonts w:ascii="Times New Roman" w:hAnsi="Times New Roman" w:cs="Times New Roman"/>
        </w:rPr>
        <w:t>representative</w:t>
      </w:r>
      <w:proofErr w:type="spellEnd"/>
      <w:r w:rsidR="00C00467" w:rsidRPr="00705170">
        <w:rPr>
          <w:rFonts w:ascii="Times New Roman" w:hAnsi="Times New Roman" w:cs="Times New Roman"/>
        </w:rPr>
        <w:t xml:space="preserve"> in </w:t>
      </w:r>
      <w:proofErr w:type="spellStart"/>
      <w:r w:rsidR="00C00467" w:rsidRPr="00705170">
        <w:rPr>
          <w:rFonts w:ascii="Times New Roman" w:hAnsi="Times New Roman" w:cs="Times New Roman"/>
        </w:rPr>
        <w:t>the</w:t>
      </w:r>
      <w:proofErr w:type="spellEnd"/>
      <w:r w:rsidR="00C00467" w:rsidRPr="00705170">
        <w:rPr>
          <w:rFonts w:ascii="Times New Roman" w:hAnsi="Times New Roman" w:cs="Times New Roman"/>
        </w:rPr>
        <w:t xml:space="preserve"> board, (3) </w:t>
      </w:r>
      <w:proofErr w:type="spellStart"/>
      <w:r w:rsidR="00C00467" w:rsidRPr="00705170">
        <w:rPr>
          <w:rFonts w:ascii="Times New Roman" w:hAnsi="Times New Roman" w:cs="Times New Roman"/>
        </w:rPr>
        <w:t>amending</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or</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rescinding</w:t>
      </w:r>
      <w:proofErr w:type="spellEnd"/>
      <w:r w:rsidR="00C00467" w:rsidRPr="00705170">
        <w:rPr>
          <w:rFonts w:ascii="Times New Roman" w:hAnsi="Times New Roman" w:cs="Times New Roman"/>
        </w:rPr>
        <w:t xml:space="preserve"> a board of </w:t>
      </w:r>
      <w:proofErr w:type="spellStart"/>
      <w:r w:rsidR="00C00467" w:rsidRPr="00705170">
        <w:rPr>
          <w:rFonts w:ascii="Times New Roman" w:hAnsi="Times New Roman" w:cs="Times New Roman"/>
        </w:rPr>
        <w:t>directors</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or</w:t>
      </w:r>
      <w:proofErr w:type="spellEnd"/>
      <w:r w:rsidR="00C00467" w:rsidRPr="00705170">
        <w:rPr>
          <w:rFonts w:ascii="Times New Roman" w:hAnsi="Times New Roman" w:cs="Times New Roman"/>
        </w:rPr>
        <w:t xml:space="preserve"> general </w:t>
      </w:r>
      <w:proofErr w:type="spellStart"/>
      <w:r w:rsidR="00C00467" w:rsidRPr="00705170">
        <w:rPr>
          <w:rFonts w:ascii="Times New Roman" w:hAnsi="Times New Roman" w:cs="Times New Roman"/>
        </w:rPr>
        <w:t>assembly</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resolution</w:t>
      </w:r>
      <w:proofErr w:type="spellEnd"/>
      <w:r w:rsidR="00C00467" w:rsidRPr="00705170">
        <w:rPr>
          <w:rFonts w:ascii="Times New Roman" w:hAnsi="Times New Roman" w:cs="Times New Roman"/>
        </w:rPr>
        <w:t xml:space="preserve">, (4) </w:t>
      </w:r>
      <w:proofErr w:type="spellStart"/>
      <w:r w:rsidR="00C00467" w:rsidRPr="00705170">
        <w:rPr>
          <w:rFonts w:ascii="Times New Roman" w:hAnsi="Times New Roman" w:cs="Times New Roman"/>
        </w:rPr>
        <w:t>amending</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the</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articles</w:t>
      </w:r>
      <w:proofErr w:type="spellEnd"/>
      <w:r w:rsidR="00C00467" w:rsidRPr="00705170">
        <w:rPr>
          <w:rFonts w:ascii="Times New Roman" w:hAnsi="Times New Roman" w:cs="Times New Roman"/>
        </w:rPr>
        <w:t xml:space="preserve"> of </w:t>
      </w:r>
      <w:proofErr w:type="spellStart"/>
      <w:r w:rsidR="00C00467" w:rsidRPr="00705170">
        <w:rPr>
          <w:rFonts w:ascii="Times New Roman" w:hAnsi="Times New Roman" w:cs="Times New Roman"/>
        </w:rPr>
        <w:t>incorporation</w:t>
      </w:r>
      <w:proofErr w:type="spellEnd"/>
      <w:r w:rsidR="00C00467" w:rsidRPr="00705170">
        <w:rPr>
          <w:rFonts w:ascii="Times New Roman" w:hAnsi="Times New Roman" w:cs="Times New Roman"/>
        </w:rPr>
        <w:t xml:space="preserve">, (5) </w:t>
      </w:r>
      <w:proofErr w:type="spellStart"/>
      <w:r w:rsidR="00C00467" w:rsidRPr="00705170">
        <w:rPr>
          <w:rFonts w:ascii="Times New Roman" w:hAnsi="Times New Roman" w:cs="Times New Roman"/>
        </w:rPr>
        <w:t>order</w:t>
      </w:r>
      <w:r w:rsidR="00756EFC">
        <w:rPr>
          <w:rFonts w:ascii="Times New Roman" w:hAnsi="Times New Roman" w:cs="Times New Roman"/>
        </w:rPr>
        <w:t>ing</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the</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division</w:t>
      </w:r>
      <w:proofErr w:type="spellEnd"/>
      <w:r w:rsidR="00C00467" w:rsidRPr="00705170">
        <w:rPr>
          <w:rFonts w:ascii="Times New Roman" w:hAnsi="Times New Roman" w:cs="Times New Roman"/>
        </w:rPr>
        <w:t xml:space="preserve"> of </w:t>
      </w:r>
      <w:proofErr w:type="spellStart"/>
      <w:r w:rsidR="00C00467" w:rsidRPr="00705170">
        <w:rPr>
          <w:rFonts w:ascii="Times New Roman" w:hAnsi="Times New Roman" w:cs="Times New Roman"/>
        </w:rPr>
        <w:t>the</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corporation</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and</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dissolve</w:t>
      </w:r>
      <w:proofErr w:type="spellEnd"/>
      <w:r w:rsidR="00C00467" w:rsidRPr="00705170">
        <w:rPr>
          <w:rFonts w:ascii="Times New Roman" w:hAnsi="Times New Roman" w:cs="Times New Roman"/>
        </w:rPr>
        <w:t xml:space="preserve"> it </w:t>
      </w:r>
      <w:proofErr w:type="spellStart"/>
      <w:r w:rsidR="00C00467" w:rsidRPr="00705170">
        <w:rPr>
          <w:rFonts w:ascii="Times New Roman" w:hAnsi="Times New Roman" w:cs="Times New Roman"/>
        </w:rPr>
        <w:t>partially</w:t>
      </w:r>
      <w:proofErr w:type="spellEnd"/>
      <w:r w:rsidR="00C00467" w:rsidRPr="00705170">
        <w:rPr>
          <w:rFonts w:ascii="Times New Roman" w:hAnsi="Times New Roman" w:cs="Times New Roman"/>
        </w:rPr>
        <w:t xml:space="preserve">, (5) </w:t>
      </w:r>
      <w:proofErr w:type="spellStart"/>
      <w:r w:rsidR="00C00467" w:rsidRPr="00705170">
        <w:rPr>
          <w:rFonts w:ascii="Times New Roman" w:hAnsi="Times New Roman" w:cs="Times New Roman"/>
        </w:rPr>
        <w:t>order</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the</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sale</w:t>
      </w:r>
      <w:proofErr w:type="spellEnd"/>
      <w:r w:rsidR="00C00467" w:rsidRPr="00705170">
        <w:rPr>
          <w:rFonts w:ascii="Times New Roman" w:hAnsi="Times New Roman" w:cs="Times New Roman"/>
        </w:rPr>
        <w:t xml:space="preserve"> of </w:t>
      </w:r>
      <w:proofErr w:type="spellStart"/>
      <w:r w:rsidR="00C00467" w:rsidRPr="00705170">
        <w:rPr>
          <w:rFonts w:ascii="Times New Roman" w:hAnsi="Times New Roman" w:cs="Times New Roman"/>
        </w:rPr>
        <w:t>certain</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corporate</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assets</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including</w:t>
      </w:r>
      <w:proofErr w:type="spellEnd"/>
      <w:r w:rsidR="00C00467" w:rsidRPr="00705170">
        <w:rPr>
          <w:rFonts w:ascii="Times New Roman" w:hAnsi="Times New Roman" w:cs="Times New Roman"/>
        </w:rPr>
        <w:t xml:space="preserve"> </w:t>
      </w:r>
      <w:proofErr w:type="spellStart"/>
      <w:r w:rsidR="00C00467" w:rsidRPr="00705170">
        <w:rPr>
          <w:rFonts w:ascii="Times New Roman" w:hAnsi="Times New Roman" w:cs="Times New Roman"/>
        </w:rPr>
        <w:t>subsidiaries</w:t>
      </w:r>
      <w:proofErr w:type="spellEnd"/>
      <w:r w:rsidR="00C00467" w:rsidRPr="00705170">
        <w:rPr>
          <w:rStyle w:val="DipnotBavurusu"/>
          <w:rFonts w:ascii="Times New Roman" w:hAnsi="Times New Roman" w:cs="Times New Roman"/>
        </w:rPr>
        <w:footnoteReference w:id="980"/>
      </w:r>
      <w:r w:rsidR="00234DFE" w:rsidRPr="00705170">
        <w:rPr>
          <w:rFonts w:ascii="Times New Roman" w:hAnsi="Times New Roman" w:cs="Times New Roman"/>
        </w:rPr>
        <w:t>.</w:t>
      </w:r>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Although</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the</w:t>
      </w:r>
      <w:proofErr w:type="spellEnd"/>
      <w:r w:rsidR="00756EFC">
        <w:rPr>
          <w:rFonts w:ascii="Times New Roman" w:hAnsi="Times New Roman" w:cs="Times New Roman"/>
        </w:rPr>
        <w:t xml:space="preserve"> </w:t>
      </w:r>
      <w:proofErr w:type="spellStart"/>
      <w:r w:rsidR="00756EFC">
        <w:rPr>
          <w:rFonts w:ascii="Times New Roman" w:hAnsi="Times New Roman" w:cs="Times New Roman"/>
        </w:rPr>
        <w:t>origin</w:t>
      </w:r>
      <w:proofErr w:type="spellEnd"/>
      <w:r w:rsidR="00756EFC">
        <w:rPr>
          <w:rFonts w:ascii="Times New Roman" w:hAnsi="Times New Roman" w:cs="Times New Roman"/>
        </w:rPr>
        <w:t>,</w:t>
      </w:r>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Swiss</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case</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law</w:t>
      </w:r>
      <w:proofErr w:type="spellEnd"/>
      <w:r w:rsidR="00756EFC">
        <w:rPr>
          <w:rFonts w:ascii="Times New Roman" w:hAnsi="Times New Roman" w:cs="Times New Roman"/>
        </w:rPr>
        <w:t>,</w:t>
      </w:r>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suggests</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that</w:t>
      </w:r>
      <w:proofErr w:type="spellEnd"/>
      <w:r w:rsidR="00D16937" w:rsidRPr="00705170">
        <w:rPr>
          <w:rFonts w:ascii="Times New Roman" w:hAnsi="Times New Roman" w:cs="Times New Roman"/>
        </w:rPr>
        <w:t xml:space="preserve"> a </w:t>
      </w:r>
      <w:proofErr w:type="spellStart"/>
      <w:r w:rsidR="00D16937" w:rsidRPr="00705170">
        <w:rPr>
          <w:rFonts w:ascii="Times New Roman" w:hAnsi="Times New Roman" w:cs="Times New Roman"/>
        </w:rPr>
        <w:t>compensation</w:t>
      </w:r>
      <w:proofErr w:type="spellEnd"/>
      <w:r w:rsidR="00D16937" w:rsidRPr="00705170">
        <w:rPr>
          <w:rFonts w:ascii="Times New Roman" w:hAnsi="Times New Roman" w:cs="Times New Roman"/>
        </w:rPr>
        <w:t xml:space="preserve"> can be </w:t>
      </w:r>
      <w:proofErr w:type="spellStart"/>
      <w:r w:rsidR="00D16937" w:rsidRPr="00705170">
        <w:rPr>
          <w:rFonts w:ascii="Times New Roman" w:hAnsi="Times New Roman" w:cs="Times New Roman"/>
        </w:rPr>
        <w:t>paid</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to</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the</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petitioner</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Turkish</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scholarship</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generally</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rejects</w:t>
      </w:r>
      <w:proofErr w:type="spellEnd"/>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this</w:t>
      </w:r>
      <w:proofErr w:type="spellEnd"/>
      <w:r w:rsidR="00BA37D7">
        <w:rPr>
          <w:rFonts w:ascii="Times New Roman" w:hAnsi="Times New Roman" w:cs="Times New Roman"/>
        </w:rPr>
        <w:t xml:space="preserve"> </w:t>
      </w:r>
      <w:proofErr w:type="spellStart"/>
      <w:r w:rsidR="00BA37D7">
        <w:rPr>
          <w:rFonts w:ascii="Times New Roman" w:hAnsi="Times New Roman" w:cs="Times New Roman"/>
        </w:rPr>
        <w:t>kind</w:t>
      </w:r>
      <w:proofErr w:type="spellEnd"/>
      <w:r w:rsidR="00BA37D7">
        <w:rPr>
          <w:rFonts w:ascii="Times New Roman" w:hAnsi="Times New Roman" w:cs="Times New Roman"/>
        </w:rPr>
        <w:t xml:space="preserve"> of</w:t>
      </w:r>
      <w:r w:rsidR="00D16937" w:rsidRPr="00705170">
        <w:rPr>
          <w:rFonts w:ascii="Times New Roman" w:hAnsi="Times New Roman" w:cs="Times New Roman"/>
        </w:rPr>
        <w:t xml:space="preserve"> </w:t>
      </w:r>
      <w:proofErr w:type="spellStart"/>
      <w:r w:rsidR="00D16937" w:rsidRPr="00705170">
        <w:rPr>
          <w:rFonts w:ascii="Times New Roman" w:hAnsi="Times New Roman" w:cs="Times New Roman"/>
        </w:rPr>
        <w:t>remedy</w:t>
      </w:r>
      <w:proofErr w:type="spellEnd"/>
      <w:r w:rsidR="00D16937" w:rsidRPr="00705170">
        <w:rPr>
          <w:rStyle w:val="DipnotBavurusu"/>
          <w:rFonts w:ascii="Times New Roman" w:hAnsi="Times New Roman" w:cs="Times New Roman"/>
        </w:rPr>
        <w:footnoteReference w:id="981"/>
      </w:r>
      <w:r w:rsidR="00D16937" w:rsidRPr="00705170">
        <w:rPr>
          <w:rFonts w:ascii="Times New Roman" w:hAnsi="Times New Roman" w:cs="Times New Roman"/>
        </w:rPr>
        <w:t>.</w:t>
      </w:r>
    </w:p>
    <w:p w14:paraId="29EBF902" w14:textId="5FA7BF4F" w:rsidR="0098566F" w:rsidRPr="0098566F" w:rsidRDefault="00C01441" w:rsidP="0098566F">
      <w:pPr>
        <w:spacing w:after="240" w:line="480" w:lineRule="auto"/>
        <w:ind w:firstLine="708"/>
        <w:jc w:val="both"/>
        <w:rPr>
          <w:rFonts w:ascii="Times New Roman" w:hAnsi="Times New Roman" w:cs="Times New Roman"/>
          <w:b/>
        </w:rPr>
      </w:pPr>
      <w:r>
        <w:rPr>
          <w:rFonts w:ascii="Times New Roman" w:hAnsi="Times New Roman" w:cs="Times New Roman"/>
          <w:b/>
        </w:rPr>
        <w:t>5</w:t>
      </w:r>
      <w:r w:rsidR="0098566F">
        <w:rPr>
          <w:rFonts w:ascii="Times New Roman" w:hAnsi="Times New Roman" w:cs="Times New Roman"/>
          <w:b/>
        </w:rPr>
        <w:t xml:space="preserve">.5.1. </w:t>
      </w:r>
      <w:proofErr w:type="spellStart"/>
      <w:r w:rsidR="0098566F">
        <w:rPr>
          <w:rFonts w:ascii="Times New Roman" w:hAnsi="Times New Roman" w:cs="Times New Roman"/>
          <w:b/>
        </w:rPr>
        <w:t>Remedying</w:t>
      </w:r>
      <w:proofErr w:type="spellEnd"/>
      <w:r w:rsidR="0098566F">
        <w:rPr>
          <w:rFonts w:ascii="Times New Roman" w:hAnsi="Times New Roman" w:cs="Times New Roman"/>
          <w:b/>
        </w:rPr>
        <w:t xml:space="preserve"> </w:t>
      </w:r>
      <w:proofErr w:type="spellStart"/>
      <w:r w:rsidR="0098566F">
        <w:rPr>
          <w:rFonts w:ascii="Times New Roman" w:hAnsi="Times New Roman" w:cs="Times New Roman"/>
          <w:b/>
        </w:rPr>
        <w:t>Non</w:t>
      </w:r>
      <w:proofErr w:type="spellEnd"/>
      <w:r w:rsidR="0098566F">
        <w:rPr>
          <w:rFonts w:ascii="Times New Roman" w:hAnsi="Times New Roman" w:cs="Times New Roman"/>
          <w:b/>
        </w:rPr>
        <w:t xml:space="preserve">- </w:t>
      </w:r>
      <w:proofErr w:type="spellStart"/>
      <w:r w:rsidR="0098566F">
        <w:rPr>
          <w:rFonts w:ascii="Times New Roman" w:hAnsi="Times New Roman" w:cs="Times New Roman"/>
          <w:b/>
        </w:rPr>
        <w:t>Pecuniary</w:t>
      </w:r>
      <w:proofErr w:type="spellEnd"/>
      <w:r w:rsidR="0098566F">
        <w:rPr>
          <w:rFonts w:ascii="Times New Roman" w:hAnsi="Times New Roman" w:cs="Times New Roman"/>
          <w:b/>
        </w:rPr>
        <w:t xml:space="preserve"> </w:t>
      </w:r>
      <w:proofErr w:type="spellStart"/>
      <w:r w:rsidR="0098566F">
        <w:rPr>
          <w:rFonts w:ascii="Times New Roman" w:hAnsi="Times New Roman" w:cs="Times New Roman"/>
          <w:b/>
        </w:rPr>
        <w:t>Private</w:t>
      </w:r>
      <w:proofErr w:type="spellEnd"/>
      <w:r w:rsidR="0098566F">
        <w:rPr>
          <w:rFonts w:ascii="Times New Roman" w:hAnsi="Times New Roman" w:cs="Times New Roman"/>
          <w:b/>
        </w:rPr>
        <w:t xml:space="preserve"> </w:t>
      </w:r>
      <w:proofErr w:type="spellStart"/>
      <w:r w:rsidR="0098566F">
        <w:rPr>
          <w:rFonts w:ascii="Times New Roman" w:hAnsi="Times New Roman" w:cs="Times New Roman"/>
          <w:b/>
        </w:rPr>
        <w:t>Benefit</w:t>
      </w:r>
      <w:proofErr w:type="spellEnd"/>
      <w:r w:rsidR="0098566F">
        <w:rPr>
          <w:rFonts w:ascii="Times New Roman" w:hAnsi="Times New Roman" w:cs="Times New Roman"/>
          <w:b/>
        </w:rPr>
        <w:t xml:space="preserve"> </w:t>
      </w:r>
      <w:proofErr w:type="spellStart"/>
      <w:r w:rsidR="0098566F">
        <w:rPr>
          <w:rFonts w:ascii="Times New Roman" w:hAnsi="Times New Roman" w:cs="Times New Roman"/>
          <w:b/>
        </w:rPr>
        <w:t>Extractions</w:t>
      </w:r>
      <w:proofErr w:type="spellEnd"/>
    </w:p>
    <w:p w14:paraId="44686A13" w14:textId="7DAC495E" w:rsidR="00D13300" w:rsidRDefault="009B469E" w:rsidP="009B469E">
      <w:pPr>
        <w:spacing w:after="240" w:line="480" w:lineRule="auto"/>
        <w:ind w:firstLine="708"/>
        <w:jc w:val="both"/>
        <w:rPr>
          <w:rFonts w:ascii="Times New Roman" w:hAnsi="Times New Roman" w:cs="Times New Roman"/>
        </w:rPr>
      </w:pPr>
      <w:proofErr w:type="spellStart"/>
      <w:r>
        <w:rPr>
          <w:rFonts w:ascii="Times New Roman" w:hAnsi="Times New Roman" w:cs="Times New Roman"/>
        </w:rPr>
        <w:t>While</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remedies</w:t>
      </w:r>
      <w:proofErr w:type="spellEnd"/>
      <w:r>
        <w:rPr>
          <w:rFonts w:ascii="Times New Roman" w:hAnsi="Times New Roman" w:cs="Times New Roman"/>
        </w:rPr>
        <w:t xml:space="preserve"> </w:t>
      </w:r>
      <w:proofErr w:type="spellStart"/>
      <w:r>
        <w:rPr>
          <w:rFonts w:ascii="Times New Roman" w:hAnsi="Times New Roman" w:cs="Times New Roman"/>
        </w:rPr>
        <w:t>suggested</w:t>
      </w:r>
      <w:proofErr w:type="spellEnd"/>
      <w:r>
        <w:rPr>
          <w:rFonts w:ascii="Times New Roman" w:hAnsi="Times New Roman" w:cs="Times New Roman"/>
        </w:rPr>
        <w:t xml:space="preserve"> in </w:t>
      </w:r>
      <w:proofErr w:type="spellStart"/>
      <w:r>
        <w:rPr>
          <w:rFonts w:ascii="Times New Roman" w:hAnsi="Times New Roman" w:cs="Times New Roman"/>
        </w:rPr>
        <w:t>connection</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judicial</w:t>
      </w:r>
      <w:proofErr w:type="spellEnd"/>
      <w:r>
        <w:rPr>
          <w:rFonts w:ascii="Times New Roman" w:hAnsi="Times New Roman" w:cs="Times New Roman"/>
        </w:rPr>
        <w:t xml:space="preserve"> </w:t>
      </w:r>
      <w:proofErr w:type="spellStart"/>
      <w:r>
        <w:rPr>
          <w:rFonts w:ascii="Times New Roman" w:hAnsi="Times New Roman" w:cs="Times New Roman"/>
        </w:rPr>
        <w:t>dissolution</w:t>
      </w:r>
      <w:proofErr w:type="spellEnd"/>
      <w:r>
        <w:rPr>
          <w:rFonts w:ascii="Times New Roman" w:hAnsi="Times New Roman" w:cs="Times New Roman"/>
        </w:rPr>
        <w:t xml:space="preserve"> </w:t>
      </w:r>
      <w:proofErr w:type="spellStart"/>
      <w:r>
        <w:rPr>
          <w:rFonts w:ascii="Times New Roman" w:hAnsi="Times New Roman" w:cs="Times New Roman"/>
        </w:rPr>
        <w:t>provision</w:t>
      </w:r>
      <w:proofErr w:type="spellEnd"/>
      <w:r>
        <w:rPr>
          <w:rFonts w:ascii="Times New Roman" w:hAnsi="Times New Roman" w:cs="Times New Roman"/>
        </w:rPr>
        <w:t xml:space="preserve"> </w:t>
      </w:r>
      <w:proofErr w:type="spellStart"/>
      <w:r>
        <w:rPr>
          <w:rFonts w:ascii="Times New Roman" w:hAnsi="Times New Roman" w:cs="Times New Roman"/>
        </w:rPr>
        <w:t>seems</w:t>
      </w:r>
      <w:proofErr w:type="spellEnd"/>
      <w:r>
        <w:rPr>
          <w:rFonts w:ascii="Times New Roman" w:hAnsi="Times New Roman" w:cs="Times New Roman"/>
        </w:rPr>
        <w:t xml:space="preserve"> </w:t>
      </w:r>
      <w:proofErr w:type="spellStart"/>
      <w:r>
        <w:rPr>
          <w:rFonts w:ascii="Times New Roman" w:hAnsi="Times New Roman" w:cs="Times New Roman"/>
        </w:rPr>
        <w:t>efficient</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cure</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non</w:t>
      </w:r>
      <w:proofErr w:type="spellEnd"/>
      <w:r>
        <w:rPr>
          <w:rFonts w:ascii="Times New Roman" w:hAnsi="Times New Roman" w:cs="Times New Roman"/>
        </w:rPr>
        <w:t xml:space="preserve">- </w:t>
      </w:r>
      <w:proofErr w:type="spellStart"/>
      <w:r>
        <w:rPr>
          <w:rFonts w:ascii="Times New Roman" w:hAnsi="Times New Roman" w:cs="Times New Roman"/>
        </w:rPr>
        <w:t>pecuniary</w:t>
      </w:r>
      <w:proofErr w:type="spellEnd"/>
      <w:r>
        <w:rPr>
          <w:rFonts w:ascii="Times New Roman" w:hAnsi="Times New Roman" w:cs="Times New Roman"/>
        </w:rPr>
        <w:t xml:space="preserve"> </w:t>
      </w:r>
      <w:proofErr w:type="spellStart"/>
      <w:r>
        <w:rPr>
          <w:rFonts w:ascii="Times New Roman" w:hAnsi="Times New Roman" w:cs="Times New Roman"/>
        </w:rPr>
        <w:t>benefit</w:t>
      </w:r>
      <w:proofErr w:type="spellEnd"/>
      <w:r>
        <w:rPr>
          <w:rFonts w:ascii="Times New Roman" w:hAnsi="Times New Roman" w:cs="Times New Roman"/>
        </w:rPr>
        <w:t xml:space="preserve"> </w:t>
      </w:r>
      <w:proofErr w:type="spellStart"/>
      <w:r>
        <w:rPr>
          <w:rFonts w:ascii="Times New Roman" w:hAnsi="Times New Roman" w:cs="Times New Roman"/>
        </w:rPr>
        <w:t>extractions</w:t>
      </w:r>
      <w:proofErr w:type="spellEnd"/>
      <w:r>
        <w:rPr>
          <w:rFonts w:ascii="Times New Roman" w:hAnsi="Times New Roman" w:cs="Times New Roman"/>
        </w:rPr>
        <w:t xml:space="preserve">, </w:t>
      </w:r>
      <w:proofErr w:type="spellStart"/>
      <w:r>
        <w:rPr>
          <w:rFonts w:ascii="Times New Roman" w:hAnsi="Times New Roman" w:cs="Times New Roman"/>
        </w:rPr>
        <w:t>this</w:t>
      </w:r>
      <w:proofErr w:type="spellEnd"/>
      <w:r>
        <w:rPr>
          <w:rFonts w:ascii="Times New Roman" w:hAnsi="Times New Roman" w:cs="Times New Roman"/>
        </w:rPr>
        <w:t xml:space="preserve"> is </w:t>
      </w:r>
      <w:proofErr w:type="spellStart"/>
      <w:r>
        <w:rPr>
          <w:rFonts w:ascii="Times New Roman" w:hAnsi="Times New Roman" w:cs="Times New Roman"/>
        </w:rPr>
        <w:t>deceptive</w:t>
      </w:r>
      <w:proofErr w:type="spellEnd"/>
      <w:r>
        <w:rPr>
          <w:rFonts w:ascii="Times New Roman" w:hAnsi="Times New Roman" w:cs="Times New Roman"/>
        </w:rPr>
        <w:t xml:space="preserve">. </w:t>
      </w:r>
      <w:proofErr w:type="spellStart"/>
      <w:r>
        <w:rPr>
          <w:rFonts w:ascii="Times New Roman" w:hAnsi="Times New Roman" w:cs="Times New Roman"/>
        </w:rPr>
        <w:t>After</w:t>
      </w:r>
      <w:proofErr w:type="spellEnd"/>
      <w:r>
        <w:rPr>
          <w:rFonts w:ascii="Times New Roman" w:hAnsi="Times New Roman" w:cs="Times New Roman"/>
        </w:rPr>
        <w:t xml:space="preserve"> </w:t>
      </w:r>
      <w:proofErr w:type="spellStart"/>
      <w:r>
        <w:rPr>
          <w:rFonts w:ascii="Times New Roman" w:hAnsi="Times New Roman" w:cs="Times New Roman"/>
        </w:rPr>
        <w:t>all</w:t>
      </w:r>
      <w:proofErr w:type="spellEnd"/>
      <w:r>
        <w:rPr>
          <w:rFonts w:ascii="Times New Roman" w:hAnsi="Times New Roman" w:cs="Times New Roman"/>
        </w:rPr>
        <w:t>, a</w:t>
      </w:r>
      <w:r w:rsidR="00BC7147" w:rsidRPr="00705170">
        <w:rPr>
          <w:rFonts w:ascii="Times New Roman" w:hAnsi="Times New Roman" w:cs="Times New Roman"/>
        </w:rPr>
        <w:t xml:space="preserve">s </w:t>
      </w:r>
      <w:proofErr w:type="spellStart"/>
      <w:r w:rsidR="00BC7147" w:rsidRPr="00705170">
        <w:rPr>
          <w:rFonts w:ascii="Times New Roman" w:hAnsi="Times New Roman" w:cs="Times New Roman"/>
        </w:rPr>
        <w:t>noted</w:t>
      </w:r>
      <w:proofErr w:type="spellEnd"/>
      <w:r w:rsidR="00BC7147" w:rsidRPr="00705170">
        <w:rPr>
          <w:rFonts w:ascii="Times New Roman" w:hAnsi="Times New Roman" w:cs="Times New Roman"/>
        </w:rPr>
        <w:t xml:space="preserve"> </w:t>
      </w:r>
      <w:r w:rsidR="0098566F">
        <w:rPr>
          <w:rFonts w:ascii="Times New Roman" w:hAnsi="Times New Roman" w:cs="Times New Roman"/>
        </w:rPr>
        <w:t xml:space="preserve">in U.S. </w:t>
      </w:r>
      <w:proofErr w:type="spellStart"/>
      <w:r w:rsidR="0098566F">
        <w:rPr>
          <w:rFonts w:ascii="Times New Roman" w:hAnsi="Times New Roman" w:cs="Times New Roman"/>
        </w:rPr>
        <w:t>law</w:t>
      </w:r>
      <w:proofErr w:type="spellEnd"/>
      <w:r w:rsidR="0098566F">
        <w:rPr>
          <w:rFonts w:ascii="Times New Roman" w:hAnsi="Times New Roman" w:cs="Times New Roman"/>
        </w:rPr>
        <w:t xml:space="preserve"> </w:t>
      </w:r>
      <w:proofErr w:type="spellStart"/>
      <w:r w:rsidR="00BC7147" w:rsidRPr="00705170">
        <w:rPr>
          <w:rFonts w:ascii="Times New Roman" w:hAnsi="Times New Roman" w:cs="Times New Roman"/>
        </w:rPr>
        <w:t>by</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the</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Brodie</w:t>
      </w:r>
      <w:proofErr w:type="spellEnd"/>
      <w:r w:rsidR="00BC7147" w:rsidRPr="00705170">
        <w:rPr>
          <w:rFonts w:ascii="Times New Roman" w:hAnsi="Times New Roman" w:cs="Times New Roman"/>
        </w:rPr>
        <w:t xml:space="preserve"> v. Jordan, 447 </w:t>
      </w:r>
      <w:proofErr w:type="spellStart"/>
      <w:r w:rsidR="00BC7147" w:rsidRPr="00705170">
        <w:rPr>
          <w:rFonts w:ascii="Times New Roman" w:hAnsi="Times New Roman" w:cs="Times New Roman"/>
        </w:rPr>
        <w:t>Mass</w:t>
      </w:r>
      <w:proofErr w:type="spellEnd"/>
      <w:r w:rsidR="00BC7147" w:rsidRPr="00705170">
        <w:rPr>
          <w:rFonts w:ascii="Times New Roman" w:hAnsi="Times New Roman" w:cs="Times New Roman"/>
        </w:rPr>
        <w:t xml:space="preserve">. 866 (2006) </w:t>
      </w:r>
      <w:proofErr w:type="spellStart"/>
      <w:r w:rsidR="00BC7147" w:rsidRPr="00705170">
        <w:rPr>
          <w:rFonts w:ascii="Times New Roman" w:hAnsi="Times New Roman" w:cs="Times New Roman"/>
        </w:rPr>
        <w:t>court</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the</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proper</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remedy</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for</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freeze</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out</w:t>
      </w:r>
      <w:proofErr w:type="spellEnd"/>
      <w:r w:rsidR="00BC7147" w:rsidRPr="00705170">
        <w:rPr>
          <w:rFonts w:ascii="Times New Roman" w:hAnsi="Times New Roman" w:cs="Times New Roman"/>
        </w:rPr>
        <w:t xml:space="preserve"> is </w:t>
      </w:r>
      <w:proofErr w:type="spellStart"/>
      <w:r w:rsidR="00BC7147" w:rsidRPr="00705170">
        <w:rPr>
          <w:rFonts w:ascii="Times New Roman" w:hAnsi="Times New Roman" w:cs="Times New Roman"/>
        </w:rPr>
        <w:t>to</w:t>
      </w:r>
      <w:proofErr w:type="spellEnd"/>
      <w:r w:rsidR="00BC7147" w:rsidRPr="00705170">
        <w:rPr>
          <w:rFonts w:ascii="Times New Roman" w:hAnsi="Times New Roman" w:cs="Times New Roman"/>
        </w:rPr>
        <w:t xml:space="preserve"> </w:t>
      </w:r>
      <w:r w:rsidR="00BC7147" w:rsidRPr="00705170">
        <w:rPr>
          <w:rFonts w:ascii="Times New Roman" w:hAnsi="Times New Roman" w:cs="Times New Roman"/>
        </w:rPr>
        <w:lastRenderedPageBreak/>
        <w:t xml:space="preserve">restore </w:t>
      </w:r>
      <w:proofErr w:type="spellStart"/>
      <w:r w:rsidR="00BC7147" w:rsidRPr="00705170">
        <w:rPr>
          <w:rFonts w:ascii="Times New Roman" w:hAnsi="Times New Roman" w:cs="Times New Roman"/>
        </w:rPr>
        <w:t>the</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minorty</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shareholder</w:t>
      </w:r>
      <w:proofErr w:type="spellEnd"/>
      <w:r w:rsidR="00BC7147" w:rsidRPr="00705170">
        <w:rPr>
          <w:rFonts w:ascii="Times New Roman" w:hAnsi="Times New Roman" w:cs="Times New Roman"/>
        </w:rPr>
        <w:t xml:space="preserve"> as </w:t>
      </w:r>
      <w:proofErr w:type="spellStart"/>
      <w:r w:rsidR="00BC7147" w:rsidRPr="00705170">
        <w:rPr>
          <w:rFonts w:ascii="Times New Roman" w:hAnsi="Times New Roman" w:cs="Times New Roman"/>
        </w:rPr>
        <w:t>nearly</w:t>
      </w:r>
      <w:proofErr w:type="spellEnd"/>
      <w:r w:rsidR="00BC7147" w:rsidRPr="00705170">
        <w:rPr>
          <w:rFonts w:ascii="Times New Roman" w:hAnsi="Times New Roman" w:cs="Times New Roman"/>
        </w:rPr>
        <w:t xml:space="preserve"> as </w:t>
      </w:r>
      <w:proofErr w:type="spellStart"/>
      <w:r w:rsidR="00BC7147" w:rsidRPr="00705170">
        <w:rPr>
          <w:rFonts w:ascii="Times New Roman" w:hAnsi="Times New Roman" w:cs="Times New Roman"/>
        </w:rPr>
        <w:t>possible</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to</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the</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position</w:t>
      </w:r>
      <w:proofErr w:type="spellEnd"/>
      <w:r w:rsidR="00BC7147" w:rsidRPr="00705170">
        <w:rPr>
          <w:rFonts w:ascii="Times New Roman" w:hAnsi="Times New Roman" w:cs="Times New Roman"/>
        </w:rPr>
        <w:t xml:space="preserve"> he </w:t>
      </w:r>
      <w:proofErr w:type="spellStart"/>
      <w:r w:rsidR="00BC7147" w:rsidRPr="00705170">
        <w:rPr>
          <w:rFonts w:ascii="Times New Roman" w:hAnsi="Times New Roman" w:cs="Times New Roman"/>
        </w:rPr>
        <w:t>would</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have</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been</w:t>
      </w:r>
      <w:proofErr w:type="spellEnd"/>
      <w:r w:rsidR="00BC7147" w:rsidRPr="00705170">
        <w:rPr>
          <w:rFonts w:ascii="Times New Roman" w:hAnsi="Times New Roman" w:cs="Times New Roman"/>
        </w:rPr>
        <w:t xml:space="preserve"> in had </w:t>
      </w:r>
      <w:proofErr w:type="spellStart"/>
      <w:r w:rsidR="00BC7147" w:rsidRPr="00705170">
        <w:rPr>
          <w:rFonts w:ascii="Times New Roman" w:hAnsi="Times New Roman" w:cs="Times New Roman"/>
        </w:rPr>
        <w:t>there</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been</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no</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wrongdoing</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In</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the</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context</w:t>
      </w:r>
      <w:proofErr w:type="spellEnd"/>
      <w:r w:rsidR="00BC7147" w:rsidRPr="00705170">
        <w:rPr>
          <w:rFonts w:ascii="Times New Roman" w:hAnsi="Times New Roman" w:cs="Times New Roman"/>
        </w:rPr>
        <w:t xml:space="preserve"> of </w:t>
      </w:r>
      <w:proofErr w:type="spellStart"/>
      <w:r w:rsidR="00BC7147" w:rsidRPr="00705170">
        <w:rPr>
          <w:rFonts w:ascii="Times New Roman" w:hAnsi="Times New Roman" w:cs="Times New Roman"/>
        </w:rPr>
        <w:t>non</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pecuniary</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private</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benefits</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the</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minority</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will</w:t>
      </w:r>
      <w:proofErr w:type="spellEnd"/>
      <w:r w:rsidR="00BC7147" w:rsidRPr="00705170">
        <w:rPr>
          <w:rFonts w:ascii="Times New Roman" w:hAnsi="Times New Roman" w:cs="Times New Roman"/>
        </w:rPr>
        <w:t xml:space="preserve"> be </w:t>
      </w:r>
      <w:proofErr w:type="spellStart"/>
      <w:r w:rsidR="00BC7147" w:rsidRPr="00705170">
        <w:rPr>
          <w:rFonts w:ascii="Times New Roman" w:hAnsi="Times New Roman" w:cs="Times New Roman"/>
        </w:rPr>
        <w:t>only</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remedied</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if</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the</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extracted</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benefit</w:t>
      </w:r>
      <w:proofErr w:type="spellEnd"/>
      <w:r w:rsidR="00BC7147" w:rsidRPr="00705170">
        <w:rPr>
          <w:rFonts w:ascii="Times New Roman" w:hAnsi="Times New Roman" w:cs="Times New Roman"/>
        </w:rPr>
        <w:t xml:space="preserve"> is </w:t>
      </w:r>
      <w:proofErr w:type="spellStart"/>
      <w:r w:rsidR="00BC7147" w:rsidRPr="00705170">
        <w:rPr>
          <w:rFonts w:ascii="Times New Roman" w:hAnsi="Times New Roman" w:cs="Times New Roman"/>
        </w:rPr>
        <w:t>shared</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with</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the</w:t>
      </w:r>
      <w:proofErr w:type="spellEnd"/>
      <w:r w:rsidR="00BC7147" w:rsidRPr="00705170">
        <w:rPr>
          <w:rFonts w:ascii="Times New Roman" w:hAnsi="Times New Roman" w:cs="Times New Roman"/>
        </w:rPr>
        <w:t xml:space="preserve"> </w:t>
      </w:r>
      <w:proofErr w:type="spellStart"/>
      <w:r w:rsidR="00BC7147" w:rsidRPr="00705170">
        <w:rPr>
          <w:rFonts w:ascii="Times New Roman" w:hAnsi="Times New Roman" w:cs="Times New Roman"/>
        </w:rPr>
        <w:t>minority</w:t>
      </w:r>
      <w:proofErr w:type="spellEnd"/>
      <w:r w:rsidR="00BC7147" w:rsidRPr="00705170">
        <w:rPr>
          <w:rFonts w:ascii="Times New Roman" w:hAnsi="Times New Roman" w:cs="Times New Roman"/>
        </w:rPr>
        <w:t>.</w:t>
      </w:r>
      <w:r w:rsidR="00340C60" w:rsidRPr="00705170">
        <w:rPr>
          <w:rFonts w:ascii="Times New Roman" w:hAnsi="Times New Roman" w:cs="Times New Roman"/>
        </w:rPr>
        <w:t xml:space="preserve"> </w:t>
      </w:r>
      <w:proofErr w:type="spellStart"/>
      <w:r w:rsidR="00D13300">
        <w:rPr>
          <w:rFonts w:ascii="Times New Roman" w:hAnsi="Times New Roman" w:cs="Times New Roman"/>
        </w:rPr>
        <w:t>Accordingly</w:t>
      </w:r>
      <w:proofErr w:type="spellEnd"/>
      <w:r w:rsidR="00D13300">
        <w:rPr>
          <w:rFonts w:ascii="Times New Roman" w:hAnsi="Times New Roman" w:cs="Times New Roman"/>
        </w:rPr>
        <w:t xml:space="preserve">, </w:t>
      </w:r>
      <w:proofErr w:type="spellStart"/>
      <w:r w:rsidR="00D13300">
        <w:rPr>
          <w:rFonts w:ascii="Times New Roman" w:hAnsi="Times New Roman" w:cs="Times New Roman"/>
        </w:rPr>
        <w:t>the</w:t>
      </w:r>
      <w:proofErr w:type="spellEnd"/>
      <w:r w:rsidR="00D13300">
        <w:rPr>
          <w:rFonts w:ascii="Times New Roman" w:hAnsi="Times New Roman" w:cs="Times New Roman"/>
        </w:rPr>
        <w:t xml:space="preserve"> </w:t>
      </w:r>
      <w:proofErr w:type="spellStart"/>
      <w:r w:rsidR="00D13300">
        <w:rPr>
          <w:rFonts w:ascii="Times New Roman" w:hAnsi="Times New Roman" w:cs="Times New Roman"/>
        </w:rPr>
        <w:t>adequacy</w:t>
      </w:r>
      <w:proofErr w:type="spellEnd"/>
      <w:r w:rsidR="00D13300">
        <w:rPr>
          <w:rFonts w:ascii="Times New Roman" w:hAnsi="Times New Roman" w:cs="Times New Roman"/>
        </w:rPr>
        <w:t xml:space="preserve"> of </w:t>
      </w:r>
      <w:proofErr w:type="spellStart"/>
      <w:r w:rsidR="00D13300">
        <w:rPr>
          <w:rFonts w:ascii="Times New Roman" w:hAnsi="Times New Roman" w:cs="Times New Roman"/>
        </w:rPr>
        <w:t>the</w:t>
      </w:r>
      <w:proofErr w:type="spellEnd"/>
      <w:r w:rsidR="00D13300">
        <w:rPr>
          <w:rFonts w:ascii="Times New Roman" w:hAnsi="Times New Roman" w:cs="Times New Roman"/>
        </w:rPr>
        <w:t xml:space="preserve"> </w:t>
      </w:r>
      <w:proofErr w:type="spellStart"/>
      <w:r w:rsidR="00D13300">
        <w:rPr>
          <w:rFonts w:ascii="Times New Roman" w:hAnsi="Times New Roman" w:cs="Times New Roman"/>
        </w:rPr>
        <w:t>suggested</w:t>
      </w:r>
      <w:proofErr w:type="spellEnd"/>
      <w:r w:rsidR="00D13300">
        <w:rPr>
          <w:rFonts w:ascii="Times New Roman" w:hAnsi="Times New Roman" w:cs="Times New Roman"/>
        </w:rPr>
        <w:t xml:space="preserve"> </w:t>
      </w:r>
      <w:proofErr w:type="spellStart"/>
      <w:r w:rsidR="00D13300">
        <w:rPr>
          <w:rFonts w:ascii="Times New Roman" w:hAnsi="Times New Roman" w:cs="Times New Roman"/>
        </w:rPr>
        <w:t>remedies</w:t>
      </w:r>
      <w:proofErr w:type="spellEnd"/>
      <w:r w:rsidR="00D13300">
        <w:rPr>
          <w:rFonts w:ascii="Times New Roman" w:hAnsi="Times New Roman" w:cs="Times New Roman"/>
        </w:rPr>
        <w:t xml:space="preserve"> in </w:t>
      </w:r>
      <w:proofErr w:type="spellStart"/>
      <w:r w:rsidR="00D13300">
        <w:rPr>
          <w:rFonts w:ascii="Times New Roman" w:hAnsi="Times New Roman" w:cs="Times New Roman"/>
        </w:rPr>
        <w:t>Turkish</w:t>
      </w:r>
      <w:proofErr w:type="spellEnd"/>
      <w:r w:rsidR="00D13300">
        <w:rPr>
          <w:rFonts w:ascii="Times New Roman" w:hAnsi="Times New Roman" w:cs="Times New Roman"/>
        </w:rPr>
        <w:t xml:space="preserve"> </w:t>
      </w:r>
      <w:proofErr w:type="spellStart"/>
      <w:r w:rsidR="00D13300">
        <w:rPr>
          <w:rFonts w:ascii="Times New Roman" w:hAnsi="Times New Roman" w:cs="Times New Roman"/>
        </w:rPr>
        <w:t>law</w:t>
      </w:r>
      <w:proofErr w:type="spellEnd"/>
      <w:r w:rsidR="00D13300">
        <w:rPr>
          <w:rFonts w:ascii="Times New Roman" w:hAnsi="Times New Roman" w:cs="Times New Roman"/>
        </w:rPr>
        <w:t xml:space="preserve"> </w:t>
      </w:r>
      <w:proofErr w:type="spellStart"/>
      <w:r w:rsidR="00D13300">
        <w:rPr>
          <w:rFonts w:ascii="Times New Roman" w:hAnsi="Times New Roman" w:cs="Times New Roman"/>
        </w:rPr>
        <w:t>should</w:t>
      </w:r>
      <w:proofErr w:type="spellEnd"/>
      <w:r w:rsidR="00D13300">
        <w:rPr>
          <w:rFonts w:ascii="Times New Roman" w:hAnsi="Times New Roman" w:cs="Times New Roman"/>
        </w:rPr>
        <w:t xml:space="preserve"> be </w:t>
      </w:r>
      <w:proofErr w:type="spellStart"/>
      <w:r w:rsidR="00D13300">
        <w:rPr>
          <w:rFonts w:ascii="Times New Roman" w:hAnsi="Times New Roman" w:cs="Times New Roman"/>
        </w:rPr>
        <w:t>evaluated</w:t>
      </w:r>
      <w:proofErr w:type="spellEnd"/>
      <w:r w:rsidR="00D13300">
        <w:rPr>
          <w:rFonts w:ascii="Times New Roman" w:hAnsi="Times New Roman" w:cs="Times New Roman"/>
        </w:rPr>
        <w:t xml:space="preserve"> </w:t>
      </w:r>
      <w:proofErr w:type="spellStart"/>
      <w:r w:rsidR="00D13300">
        <w:rPr>
          <w:rFonts w:ascii="Times New Roman" w:hAnsi="Times New Roman" w:cs="Times New Roman"/>
        </w:rPr>
        <w:t>from</w:t>
      </w:r>
      <w:proofErr w:type="spellEnd"/>
      <w:r w:rsidR="00D13300">
        <w:rPr>
          <w:rFonts w:ascii="Times New Roman" w:hAnsi="Times New Roman" w:cs="Times New Roman"/>
        </w:rPr>
        <w:t xml:space="preserve"> </w:t>
      </w:r>
      <w:proofErr w:type="spellStart"/>
      <w:r w:rsidR="00D13300">
        <w:rPr>
          <w:rFonts w:ascii="Times New Roman" w:hAnsi="Times New Roman" w:cs="Times New Roman"/>
        </w:rPr>
        <w:t>this</w:t>
      </w:r>
      <w:proofErr w:type="spellEnd"/>
      <w:r w:rsidR="00D13300">
        <w:rPr>
          <w:rFonts w:ascii="Times New Roman" w:hAnsi="Times New Roman" w:cs="Times New Roman"/>
        </w:rPr>
        <w:t xml:space="preserve"> </w:t>
      </w:r>
      <w:proofErr w:type="spellStart"/>
      <w:r w:rsidR="00D13300">
        <w:rPr>
          <w:rFonts w:ascii="Times New Roman" w:hAnsi="Times New Roman" w:cs="Times New Roman"/>
        </w:rPr>
        <w:t>perspective</w:t>
      </w:r>
      <w:proofErr w:type="spellEnd"/>
      <w:r w:rsidR="00D13300">
        <w:rPr>
          <w:rFonts w:ascii="Times New Roman" w:hAnsi="Times New Roman" w:cs="Times New Roman"/>
        </w:rPr>
        <w:t>.</w:t>
      </w:r>
    </w:p>
    <w:p w14:paraId="31FA5A47" w14:textId="4C145728" w:rsidR="00FE7751" w:rsidRDefault="00015964" w:rsidP="00386660">
      <w:pPr>
        <w:spacing w:after="240" w:line="480" w:lineRule="auto"/>
        <w:ind w:firstLine="708"/>
        <w:jc w:val="both"/>
        <w:rPr>
          <w:rFonts w:ascii="Times New Roman" w:hAnsi="Times New Roman" w:cs="Times New Roman"/>
        </w:rPr>
      </w:pPr>
      <w:proofErr w:type="spellStart"/>
      <w:r>
        <w:rPr>
          <w:rFonts w:ascii="Times New Roman" w:hAnsi="Times New Roman" w:cs="Times New Roman"/>
        </w:rPr>
        <w:t>It</w:t>
      </w:r>
      <w:proofErr w:type="spellEnd"/>
      <w:r>
        <w:rPr>
          <w:rFonts w:ascii="Times New Roman" w:hAnsi="Times New Roman" w:cs="Times New Roman"/>
        </w:rPr>
        <w:t xml:space="preserve"> is in </w:t>
      </w:r>
      <w:proofErr w:type="spellStart"/>
      <w:r>
        <w:rPr>
          <w:rFonts w:ascii="Times New Roman" w:hAnsi="Times New Roman" w:cs="Times New Roman"/>
        </w:rPr>
        <w:t>this</w:t>
      </w:r>
      <w:proofErr w:type="spellEnd"/>
      <w:r>
        <w:rPr>
          <w:rFonts w:ascii="Times New Roman" w:hAnsi="Times New Roman" w:cs="Times New Roman"/>
        </w:rPr>
        <w:t xml:space="preserve"> </w:t>
      </w:r>
      <w:proofErr w:type="spellStart"/>
      <w:r>
        <w:rPr>
          <w:rFonts w:ascii="Times New Roman" w:hAnsi="Times New Roman" w:cs="Times New Roman"/>
        </w:rPr>
        <w:t>study’s</w:t>
      </w:r>
      <w:proofErr w:type="spellEnd"/>
      <w:r>
        <w:rPr>
          <w:rFonts w:ascii="Times New Roman" w:hAnsi="Times New Roman" w:cs="Times New Roman"/>
        </w:rPr>
        <w:t xml:space="preserve"> </w:t>
      </w:r>
      <w:proofErr w:type="spellStart"/>
      <w:r>
        <w:rPr>
          <w:rFonts w:ascii="Times New Roman" w:hAnsi="Times New Roman" w:cs="Times New Roman"/>
        </w:rPr>
        <w:t>view</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sidR="00340C60" w:rsidRPr="00705170">
        <w:rPr>
          <w:rFonts w:ascii="Times New Roman" w:hAnsi="Times New Roman" w:cs="Times New Roman"/>
        </w:rPr>
        <w:t xml:space="preserve"> </w:t>
      </w:r>
      <w:r w:rsidR="00775A77" w:rsidRPr="00705170">
        <w:rPr>
          <w:rFonts w:ascii="Times New Roman" w:hAnsi="Times New Roman" w:cs="Times New Roman"/>
        </w:rPr>
        <w:t xml:space="preserve">in </w:t>
      </w:r>
      <w:proofErr w:type="spellStart"/>
      <w:r w:rsidR="00775A77" w:rsidRPr="00705170">
        <w:rPr>
          <w:rFonts w:ascii="Times New Roman" w:hAnsi="Times New Roman" w:cs="Times New Roman"/>
        </w:rPr>
        <w:t>the</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context</w:t>
      </w:r>
      <w:proofErr w:type="spellEnd"/>
      <w:r w:rsidR="00775A77" w:rsidRPr="00705170">
        <w:rPr>
          <w:rFonts w:ascii="Times New Roman" w:hAnsi="Times New Roman" w:cs="Times New Roman"/>
        </w:rPr>
        <w:t xml:space="preserve"> of </w:t>
      </w:r>
      <w:proofErr w:type="spellStart"/>
      <w:r w:rsidR="00775A77" w:rsidRPr="00705170">
        <w:rPr>
          <w:rFonts w:ascii="Times New Roman" w:hAnsi="Times New Roman" w:cs="Times New Roman"/>
        </w:rPr>
        <w:t>non</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pecuniary</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benefits</w:t>
      </w:r>
      <w:proofErr w:type="spellEnd"/>
      <w:r w:rsidR="00775A77" w:rsidRPr="00705170">
        <w:rPr>
          <w:rFonts w:ascii="Times New Roman" w:hAnsi="Times New Roman" w:cs="Times New Roman"/>
        </w:rPr>
        <w:t xml:space="preserve"> in </w:t>
      </w:r>
      <w:proofErr w:type="spellStart"/>
      <w:r w:rsidR="00775A77" w:rsidRPr="00705170">
        <w:rPr>
          <w:rFonts w:ascii="Times New Roman" w:hAnsi="Times New Roman" w:cs="Times New Roman"/>
        </w:rPr>
        <w:t>publicly</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traded</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corporations</w:t>
      </w:r>
      <w:proofErr w:type="spellEnd"/>
      <w:r w:rsidR="00775A77" w:rsidRPr="00705170">
        <w:rPr>
          <w:rFonts w:ascii="Times New Roman" w:hAnsi="Times New Roman" w:cs="Times New Roman"/>
        </w:rPr>
        <w:t xml:space="preserve">, a </w:t>
      </w:r>
      <w:proofErr w:type="spellStart"/>
      <w:r w:rsidR="00775A77" w:rsidRPr="00705170">
        <w:rPr>
          <w:rFonts w:ascii="Times New Roman" w:hAnsi="Times New Roman" w:cs="Times New Roman"/>
        </w:rPr>
        <w:t>direct</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compensation</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flowing</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from</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the</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influencing</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shareholder</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to</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the</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petitioner</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would</w:t>
      </w:r>
      <w:proofErr w:type="spellEnd"/>
      <w:r w:rsidR="00340C60" w:rsidRPr="00705170">
        <w:rPr>
          <w:rFonts w:ascii="Times New Roman" w:hAnsi="Times New Roman" w:cs="Times New Roman"/>
        </w:rPr>
        <w:t xml:space="preserve"> be </w:t>
      </w:r>
      <w:proofErr w:type="spellStart"/>
      <w:r w:rsidR="00340C60" w:rsidRPr="00705170">
        <w:rPr>
          <w:rFonts w:ascii="Times New Roman" w:hAnsi="Times New Roman" w:cs="Times New Roman"/>
        </w:rPr>
        <w:t>the</w:t>
      </w:r>
      <w:proofErr w:type="spellEnd"/>
      <w:r w:rsidR="00340C60" w:rsidRPr="00705170">
        <w:rPr>
          <w:rFonts w:ascii="Times New Roman" w:hAnsi="Times New Roman" w:cs="Times New Roman"/>
        </w:rPr>
        <w:t xml:space="preserve"> </w:t>
      </w:r>
      <w:proofErr w:type="spellStart"/>
      <w:r w:rsidR="00340C60" w:rsidRPr="00705170">
        <w:rPr>
          <w:rFonts w:ascii="Times New Roman" w:hAnsi="Times New Roman" w:cs="Times New Roman"/>
        </w:rPr>
        <w:t>best</w:t>
      </w:r>
      <w:proofErr w:type="spellEnd"/>
      <w:r w:rsidR="00340C60" w:rsidRPr="00705170">
        <w:rPr>
          <w:rFonts w:ascii="Times New Roman" w:hAnsi="Times New Roman" w:cs="Times New Roman"/>
        </w:rPr>
        <w:t xml:space="preserve"> </w:t>
      </w:r>
      <w:proofErr w:type="spellStart"/>
      <w:r w:rsidR="00340C60" w:rsidRPr="00705170">
        <w:rPr>
          <w:rFonts w:ascii="Times New Roman" w:hAnsi="Times New Roman" w:cs="Times New Roman"/>
        </w:rPr>
        <w:t>remedy</w:t>
      </w:r>
      <w:proofErr w:type="spellEnd"/>
      <w:r w:rsidR="00340C60" w:rsidRPr="00705170">
        <w:rPr>
          <w:rFonts w:ascii="Times New Roman" w:hAnsi="Times New Roman" w:cs="Times New Roman"/>
        </w:rPr>
        <w:t xml:space="preserve"> </w:t>
      </w:r>
      <w:proofErr w:type="spellStart"/>
      <w:r w:rsidR="00340C60" w:rsidRPr="00705170">
        <w:rPr>
          <w:rFonts w:ascii="Times New Roman" w:hAnsi="Times New Roman" w:cs="Times New Roman"/>
        </w:rPr>
        <w:t>due</w:t>
      </w:r>
      <w:proofErr w:type="spellEnd"/>
      <w:r w:rsidR="00340C60" w:rsidRPr="00705170">
        <w:rPr>
          <w:rFonts w:ascii="Times New Roman" w:hAnsi="Times New Roman" w:cs="Times New Roman"/>
        </w:rPr>
        <w:t xml:space="preserve"> </w:t>
      </w:r>
      <w:proofErr w:type="spellStart"/>
      <w:r w:rsidR="00340C60" w:rsidRPr="00705170">
        <w:rPr>
          <w:rFonts w:ascii="Times New Roman" w:hAnsi="Times New Roman" w:cs="Times New Roman"/>
        </w:rPr>
        <w:t>to</w:t>
      </w:r>
      <w:proofErr w:type="spellEnd"/>
      <w:r w:rsidR="00340C60" w:rsidRPr="00705170">
        <w:rPr>
          <w:rFonts w:ascii="Times New Roman" w:hAnsi="Times New Roman" w:cs="Times New Roman"/>
        </w:rPr>
        <w:t xml:space="preserve"> </w:t>
      </w:r>
      <w:proofErr w:type="spellStart"/>
      <w:r w:rsidR="00340C60" w:rsidRPr="00705170">
        <w:rPr>
          <w:rFonts w:ascii="Times New Roman" w:hAnsi="Times New Roman" w:cs="Times New Roman"/>
        </w:rPr>
        <w:t>four</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reasons</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Firstly</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this</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remedy</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puts</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the</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least</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burden</w:t>
      </w:r>
      <w:proofErr w:type="spellEnd"/>
      <w:r w:rsidR="00775A77" w:rsidRPr="00705170">
        <w:rPr>
          <w:rFonts w:ascii="Times New Roman" w:hAnsi="Times New Roman" w:cs="Times New Roman"/>
        </w:rPr>
        <w:t xml:space="preserve"> on </w:t>
      </w:r>
      <w:proofErr w:type="spellStart"/>
      <w:r w:rsidR="00775A77" w:rsidRPr="00705170">
        <w:rPr>
          <w:rFonts w:ascii="Times New Roman" w:hAnsi="Times New Roman" w:cs="Times New Roman"/>
        </w:rPr>
        <w:t>the</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corporation</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its</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constituents</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and</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the</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marketplace</w:t>
      </w:r>
      <w:proofErr w:type="spellEnd"/>
      <w:r w:rsidR="00775A77" w:rsidRPr="00705170">
        <w:rPr>
          <w:rFonts w:ascii="Times New Roman" w:hAnsi="Times New Roman" w:cs="Times New Roman"/>
        </w:rPr>
        <w:t xml:space="preserve">. </w:t>
      </w:r>
      <w:proofErr w:type="spellStart"/>
      <w:r w:rsidR="005150F9" w:rsidRPr="00705170">
        <w:rPr>
          <w:rFonts w:ascii="Times New Roman" w:hAnsi="Times New Roman" w:cs="Times New Roman"/>
        </w:rPr>
        <w:t>After</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all</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any</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remedy</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concerning</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the</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institutional</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framework</w:t>
      </w:r>
      <w:proofErr w:type="spellEnd"/>
      <w:r w:rsidR="005150F9" w:rsidRPr="00705170">
        <w:rPr>
          <w:rFonts w:ascii="Times New Roman" w:hAnsi="Times New Roman" w:cs="Times New Roman"/>
        </w:rPr>
        <w:t xml:space="preserve"> of </w:t>
      </w:r>
      <w:proofErr w:type="spellStart"/>
      <w:r w:rsidR="005150F9" w:rsidRPr="00705170">
        <w:rPr>
          <w:rFonts w:ascii="Times New Roman" w:hAnsi="Times New Roman" w:cs="Times New Roman"/>
        </w:rPr>
        <w:t>the</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corporation</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will</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effect</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the</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operations</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and</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the</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securities</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prices</w:t>
      </w:r>
      <w:proofErr w:type="spellEnd"/>
      <w:r w:rsidR="005150F9" w:rsidRPr="00705170">
        <w:rPr>
          <w:rFonts w:ascii="Times New Roman" w:hAnsi="Times New Roman" w:cs="Times New Roman"/>
        </w:rPr>
        <w:t xml:space="preserve"> of </w:t>
      </w:r>
      <w:proofErr w:type="spellStart"/>
      <w:r w:rsidR="005150F9" w:rsidRPr="00705170">
        <w:rPr>
          <w:rFonts w:ascii="Times New Roman" w:hAnsi="Times New Roman" w:cs="Times New Roman"/>
        </w:rPr>
        <w:t>the</w:t>
      </w:r>
      <w:proofErr w:type="spellEnd"/>
      <w:r w:rsidR="005150F9" w:rsidRPr="00705170">
        <w:rPr>
          <w:rFonts w:ascii="Times New Roman" w:hAnsi="Times New Roman" w:cs="Times New Roman"/>
        </w:rPr>
        <w:t xml:space="preserve"> </w:t>
      </w:r>
      <w:proofErr w:type="spellStart"/>
      <w:r w:rsidR="005150F9" w:rsidRPr="00705170">
        <w:rPr>
          <w:rFonts w:ascii="Times New Roman" w:hAnsi="Times New Roman" w:cs="Times New Roman"/>
        </w:rPr>
        <w:t>corporation</w:t>
      </w:r>
      <w:proofErr w:type="spellEnd"/>
      <w:r w:rsidR="005150F9" w:rsidRPr="00705170">
        <w:rPr>
          <w:rFonts w:ascii="Times New Roman" w:hAnsi="Times New Roman" w:cs="Times New Roman"/>
        </w:rPr>
        <w:t xml:space="preserve">, </w:t>
      </w:r>
      <w:proofErr w:type="spellStart"/>
      <w:r w:rsidR="00F64D38" w:rsidRPr="00705170">
        <w:rPr>
          <w:rFonts w:ascii="Times New Roman" w:hAnsi="Times New Roman" w:cs="Times New Roman"/>
        </w:rPr>
        <w:t>and</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this</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w</w:t>
      </w:r>
      <w:r w:rsidR="0091213B" w:rsidRPr="00705170">
        <w:rPr>
          <w:rFonts w:ascii="Times New Roman" w:hAnsi="Times New Roman" w:cs="Times New Roman"/>
        </w:rPr>
        <w:t>ill</w:t>
      </w:r>
      <w:proofErr w:type="spellEnd"/>
      <w:r w:rsidR="0091213B" w:rsidRPr="00705170">
        <w:rPr>
          <w:rFonts w:ascii="Times New Roman" w:hAnsi="Times New Roman" w:cs="Times New Roman"/>
        </w:rPr>
        <w:t xml:space="preserve"> </w:t>
      </w:r>
      <w:proofErr w:type="spellStart"/>
      <w:r w:rsidR="0091213B" w:rsidRPr="00705170">
        <w:rPr>
          <w:rFonts w:ascii="Times New Roman" w:hAnsi="Times New Roman" w:cs="Times New Roman"/>
        </w:rPr>
        <w:t>cause</w:t>
      </w:r>
      <w:proofErr w:type="spellEnd"/>
      <w:r w:rsidR="0091213B" w:rsidRPr="00705170">
        <w:rPr>
          <w:rFonts w:ascii="Times New Roman" w:hAnsi="Times New Roman" w:cs="Times New Roman"/>
        </w:rPr>
        <w:t xml:space="preserve"> </w:t>
      </w:r>
      <w:proofErr w:type="spellStart"/>
      <w:r w:rsidR="0091213B" w:rsidRPr="00705170">
        <w:rPr>
          <w:rFonts w:ascii="Times New Roman" w:hAnsi="Times New Roman" w:cs="Times New Roman"/>
        </w:rPr>
        <w:t>unprecented</w:t>
      </w:r>
      <w:proofErr w:type="spellEnd"/>
      <w:r w:rsidR="0091213B" w:rsidRPr="00705170">
        <w:rPr>
          <w:rFonts w:ascii="Times New Roman" w:hAnsi="Times New Roman" w:cs="Times New Roman"/>
        </w:rPr>
        <w:t xml:space="preserve"> </w:t>
      </w:r>
      <w:proofErr w:type="spellStart"/>
      <w:r w:rsidR="0091213B" w:rsidRPr="00705170">
        <w:rPr>
          <w:rFonts w:ascii="Times New Roman" w:hAnsi="Times New Roman" w:cs="Times New Roman"/>
        </w:rPr>
        <w:t>effects</w:t>
      </w:r>
      <w:proofErr w:type="spellEnd"/>
      <w:r w:rsidR="0091213B" w:rsidRPr="00705170">
        <w:rPr>
          <w:rFonts w:ascii="Times New Roman" w:hAnsi="Times New Roman" w:cs="Times New Roman"/>
        </w:rPr>
        <w:t xml:space="preserve"> in</w:t>
      </w:r>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the</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marketplace</w:t>
      </w:r>
      <w:proofErr w:type="spellEnd"/>
      <w:r w:rsidR="005150F9" w:rsidRPr="00705170">
        <w:rPr>
          <w:rFonts w:ascii="Times New Roman" w:hAnsi="Times New Roman" w:cs="Times New Roman"/>
        </w:rPr>
        <w:t xml:space="preserve">. </w:t>
      </w:r>
      <w:r w:rsidR="006C2E87" w:rsidRPr="00705170">
        <w:rPr>
          <w:rFonts w:ascii="Times New Roman" w:hAnsi="Times New Roman" w:cs="Times New Roman"/>
        </w:rPr>
        <w:t xml:space="preserve">As </w:t>
      </w:r>
      <w:proofErr w:type="spellStart"/>
      <w:r w:rsidR="006C2E87" w:rsidRPr="00705170">
        <w:rPr>
          <w:rFonts w:ascii="Times New Roman" w:hAnsi="Times New Roman" w:cs="Times New Roman"/>
        </w:rPr>
        <w:t>the</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balanced</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and</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trustworthy</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operation</w:t>
      </w:r>
      <w:proofErr w:type="spellEnd"/>
      <w:r w:rsidR="006C2E87" w:rsidRPr="00705170">
        <w:rPr>
          <w:rFonts w:ascii="Times New Roman" w:hAnsi="Times New Roman" w:cs="Times New Roman"/>
        </w:rPr>
        <w:t xml:space="preserve"> of </w:t>
      </w:r>
      <w:proofErr w:type="spellStart"/>
      <w:r w:rsidR="006C2E87" w:rsidRPr="00705170">
        <w:rPr>
          <w:rFonts w:ascii="Times New Roman" w:hAnsi="Times New Roman" w:cs="Times New Roman"/>
        </w:rPr>
        <w:t>the</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markets</w:t>
      </w:r>
      <w:proofErr w:type="spellEnd"/>
      <w:r w:rsidR="006C2E87" w:rsidRPr="00705170">
        <w:rPr>
          <w:rFonts w:ascii="Times New Roman" w:hAnsi="Times New Roman" w:cs="Times New Roman"/>
        </w:rPr>
        <w:t xml:space="preserve"> is </w:t>
      </w:r>
      <w:proofErr w:type="spellStart"/>
      <w:r w:rsidR="006C2E87" w:rsidRPr="00705170">
        <w:rPr>
          <w:rFonts w:ascii="Times New Roman" w:hAnsi="Times New Roman" w:cs="Times New Roman"/>
        </w:rPr>
        <w:t>one</w:t>
      </w:r>
      <w:proofErr w:type="spellEnd"/>
      <w:r w:rsidR="006C2E87" w:rsidRPr="00705170">
        <w:rPr>
          <w:rFonts w:ascii="Times New Roman" w:hAnsi="Times New Roman" w:cs="Times New Roman"/>
        </w:rPr>
        <w:t xml:space="preserve"> of </w:t>
      </w:r>
      <w:proofErr w:type="spellStart"/>
      <w:r w:rsidR="006C2E87" w:rsidRPr="00705170">
        <w:rPr>
          <w:rFonts w:ascii="Times New Roman" w:hAnsi="Times New Roman" w:cs="Times New Roman"/>
        </w:rPr>
        <w:t>the</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aims</w:t>
      </w:r>
      <w:proofErr w:type="spellEnd"/>
      <w:r w:rsidR="006C2E87" w:rsidRPr="00705170">
        <w:rPr>
          <w:rFonts w:ascii="Times New Roman" w:hAnsi="Times New Roman" w:cs="Times New Roman"/>
        </w:rPr>
        <w:t xml:space="preserve"> of </w:t>
      </w:r>
      <w:proofErr w:type="spellStart"/>
      <w:r w:rsidR="006C2E87" w:rsidRPr="00705170">
        <w:rPr>
          <w:rFonts w:ascii="Times New Roman" w:hAnsi="Times New Roman" w:cs="Times New Roman"/>
        </w:rPr>
        <w:t>the</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securities</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laws</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and</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particularly</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CML’s</w:t>
      </w:r>
      <w:proofErr w:type="spellEnd"/>
      <w:r w:rsidR="006C2E87" w:rsidRPr="00705170">
        <w:rPr>
          <w:rStyle w:val="DipnotBavurusu"/>
          <w:rFonts w:ascii="Times New Roman" w:hAnsi="Times New Roman" w:cs="Times New Roman"/>
        </w:rPr>
        <w:footnoteReference w:id="982"/>
      </w:r>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the</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aim</w:t>
      </w:r>
      <w:proofErr w:type="spellEnd"/>
      <w:r w:rsidR="006C2E87" w:rsidRPr="00705170">
        <w:rPr>
          <w:rFonts w:ascii="Times New Roman" w:hAnsi="Times New Roman" w:cs="Times New Roman"/>
        </w:rPr>
        <w:t xml:space="preserve"> of </w:t>
      </w:r>
      <w:proofErr w:type="spellStart"/>
      <w:r w:rsidR="006C2E87" w:rsidRPr="00705170">
        <w:rPr>
          <w:rFonts w:ascii="Times New Roman" w:hAnsi="Times New Roman" w:cs="Times New Roman"/>
        </w:rPr>
        <w:t>the</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capital</w:t>
      </w:r>
      <w:proofErr w:type="spellEnd"/>
      <w:r w:rsidR="006C2E87" w:rsidRPr="00705170">
        <w:rPr>
          <w:rFonts w:ascii="Times New Roman" w:hAnsi="Times New Roman" w:cs="Times New Roman"/>
        </w:rPr>
        <w:t xml:space="preserve"> market </w:t>
      </w:r>
      <w:proofErr w:type="spellStart"/>
      <w:r w:rsidR="006C2E87" w:rsidRPr="00705170">
        <w:rPr>
          <w:rFonts w:ascii="Times New Roman" w:hAnsi="Times New Roman" w:cs="Times New Roman"/>
        </w:rPr>
        <w:t>law</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should</w:t>
      </w:r>
      <w:proofErr w:type="spellEnd"/>
      <w:r w:rsidR="006C2E87" w:rsidRPr="00705170">
        <w:rPr>
          <w:rFonts w:ascii="Times New Roman" w:hAnsi="Times New Roman" w:cs="Times New Roman"/>
        </w:rPr>
        <w:t xml:space="preserve"> not be </w:t>
      </w:r>
      <w:proofErr w:type="spellStart"/>
      <w:r w:rsidR="006C2E87" w:rsidRPr="00705170">
        <w:rPr>
          <w:rFonts w:ascii="Times New Roman" w:hAnsi="Times New Roman" w:cs="Times New Roman"/>
        </w:rPr>
        <w:t>undermined</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due</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to</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the</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consequences</w:t>
      </w:r>
      <w:proofErr w:type="spellEnd"/>
      <w:r w:rsidR="006C2E87" w:rsidRPr="00705170">
        <w:rPr>
          <w:rFonts w:ascii="Times New Roman" w:hAnsi="Times New Roman" w:cs="Times New Roman"/>
        </w:rPr>
        <w:t xml:space="preserve"> of </w:t>
      </w:r>
      <w:proofErr w:type="spellStart"/>
      <w:r w:rsidR="006C2E87" w:rsidRPr="00705170">
        <w:rPr>
          <w:rFonts w:ascii="Times New Roman" w:hAnsi="Times New Roman" w:cs="Times New Roman"/>
        </w:rPr>
        <w:t>the</w:t>
      </w:r>
      <w:proofErr w:type="spellEnd"/>
      <w:r w:rsidR="00E665D0" w:rsidRPr="00705170">
        <w:rPr>
          <w:rFonts w:ascii="Times New Roman" w:hAnsi="Times New Roman" w:cs="Times New Roman"/>
        </w:rPr>
        <w:t xml:space="preserve"> </w:t>
      </w:r>
      <w:proofErr w:type="spellStart"/>
      <w:r w:rsidR="00E665D0" w:rsidRPr="00705170">
        <w:rPr>
          <w:rFonts w:ascii="Times New Roman" w:hAnsi="Times New Roman" w:cs="Times New Roman"/>
        </w:rPr>
        <w:t>involuntary</w:t>
      </w:r>
      <w:proofErr w:type="spellEnd"/>
      <w:r w:rsidR="00E665D0" w:rsidRPr="00705170">
        <w:rPr>
          <w:rFonts w:ascii="Times New Roman" w:hAnsi="Times New Roman" w:cs="Times New Roman"/>
        </w:rPr>
        <w:t xml:space="preserve"> </w:t>
      </w:r>
      <w:proofErr w:type="spellStart"/>
      <w:r w:rsidR="00E665D0" w:rsidRPr="00705170">
        <w:rPr>
          <w:rFonts w:ascii="Times New Roman" w:hAnsi="Times New Roman" w:cs="Times New Roman"/>
        </w:rPr>
        <w:t>dissolution</w:t>
      </w:r>
      <w:proofErr w:type="spellEnd"/>
      <w:r w:rsidR="00E665D0" w:rsidRPr="00705170">
        <w:rPr>
          <w:rFonts w:ascii="Times New Roman" w:hAnsi="Times New Roman" w:cs="Times New Roman"/>
        </w:rPr>
        <w:t xml:space="preserve"> </w:t>
      </w:r>
      <w:proofErr w:type="spellStart"/>
      <w:r w:rsidR="00E665D0" w:rsidRPr="00705170">
        <w:rPr>
          <w:rFonts w:ascii="Times New Roman" w:hAnsi="Times New Roman" w:cs="Times New Roman"/>
        </w:rPr>
        <w:t>remedy</w:t>
      </w:r>
      <w:proofErr w:type="spellEnd"/>
      <w:r w:rsidR="00E665D0" w:rsidRPr="00705170">
        <w:rPr>
          <w:rFonts w:ascii="Times New Roman" w:hAnsi="Times New Roman" w:cs="Times New Roman"/>
        </w:rPr>
        <w:t>;</w:t>
      </w:r>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and</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any</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remedy</w:t>
      </w:r>
      <w:proofErr w:type="spellEnd"/>
      <w:r w:rsidR="006C2E87" w:rsidRPr="00705170">
        <w:rPr>
          <w:rFonts w:ascii="Times New Roman" w:hAnsi="Times New Roman" w:cs="Times New Roman"/>
        </w:rPr>
        <w:t xml:space="preserve"> apart </w:t>
      </w:r>
      <w:proofErr w:type="spellStart"/>
      <w:r w:rsidR="006C2E87" w:rsidRPr="00705170">
        <w:rPr>
          <w:rFonts w:ascii="Times New Roman" w:hAnsi="Times New Roman" w:cs="Times New Roman"/>
        </w:rPr>
        <w:t>from</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compensation</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would</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undermine</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this</w:t>
      </w:r>
      <w:proofErr w:type="spellEnd"/>
      <w:r w:rsidR="006C2E87" w:rsidRPr="00705170">
        <w:rPr>
          <w:rFonts w:ascii="Times New Roman" w:hAnsi="Times New Roman" w:cs="Times New Roman"/>
        </w:rPr>
        <w:t xml:space="preserve"> </w:t>
      </w:r>
      <w:proofErr w:type="spellStart"/>
      <w:r w:rsidR="006C2E87" w:rsidRPr="00705170">
        <w:rPr>
          <w:rFonts w:ascii="Times New Roman" w:hAnsi="Times New Roman" w:cs="Times New Roman"/>
        </w:rPr>
        <w:t>operation</w:t>
      </w:r>
      <w:proofErr w:type="spellEnd"/>
      <w:r w:rsidR="006C2E87" w:rsidRPr="00705170">
        <w:rPr>
          <w:rFonts w:ascii="Times New Roman" w:hAnsi="Times New Roman" w:cs="Times New Roman"/>
        </w:rPr>
        <w:t xml:space="preserve">. </w:t>
      </w:r>
      <w:proofErr w:type="spellStart"/>
      <w:r w:rsidR="00F64D38" w:rsidRPr="00705170">
        <w:rPr>
          <w:rFonts w:ascii="Times New Roman" w:hAnsi="Times New Roman" w:cs="Times New Roman"/>
        </w:rPr>
        <w:t>Accordingly</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the</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legislative</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intent</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concerni</w:t>
      </w:r>
      <w:r w:rsidR="006B6908" w:rsidRPr="00705170">
        <w:rPr>
          <w:rFonts w:ascii="Times New Roman" w:hAnsi="Times New Roman" w:cs="Times New Roman"/>
        </w:rPr>
        <w:t>ng</w:t>
      </w:r>
      <w:proofErr w:type="spellEnd"/>
      <w:r w:rsidR="006B6908" w:rsidRPr="00705170">
        <w:rPr>
          <w:rFonts w:ascii="Times New Roman" w:hAnsi="Times New Roman" w:cs="Times New Roman"/>
        </w:rPr>
        <w:t xml:space="preserve"> </w:t>
      </w:r>
      <w:proofErr w:type="spellStart"/>
      <w:r w:rsidR="006B6908" w:rsidRPr="00705170">
        <w:rPr>
          <w:rFonts w:ascii="Times New Roman" w:hAnsi="Times New Roman" w:cs="Times New Roman"/>
        </w:rPr>
        <w:t>the</w:t>
      </w:r>
      <w:proofErr w:type="spellEnd"/>
      <w:r w:rsidR="006B6908" w:rsidRPr="00705170">
        <w:rPr>
          <w:rFonts w:ascii="Times New Roman" w:hAnsi="Times New Roman" w:cs="Times New Roman"/>
        </w:rPr>
        <w:t xml:space="preserve"> </w:t>
      </w:r>
      <w:proofErr w:type="spellStart"/>
      <w:r w:rsidR="006B6908" w:rsidRPr="00705170">
        <w:rPr>
          <w:rFonts w:ascii="Times New Roman" w:hAnsi="Times New Roman" w:cs="Times New Roman"/>
        </w:rPr>
        <w:t>marketplace</w:t>
      </w:r>
      <w:proofErr w:type="spellEnd"/>
      <w:r w:rsidR="006B6908" w:rsidRPr="00705170">
        <w:rPr>
          <w:rFonts w:ascii="Times New Roman" w:hAnsi="Times New Roman" w:cs="Times New Roman"/>
        </w:rPr>
        <w:t xml:space="preserve"> </w:t>
      </w:r>
      <w:proofErr w:type="spellStart"/>
      <w:r w:rsidR="006B6908" w:rsidRPr="00705170">
        <w:rPr>
          <w:rFonts w:ascii="Times New Roman" w:hAnsi="Times New Roman" w:cs="Times New Roman"/>
        </w:rPr>
        <w:t>should</w:t>
      </w:r>
      <w:proofErr w:type="spellEnd"/>
      <w:r w:rsidR="006B6908" w:rsidRPr="00705170">
        <w:rPr>
          <w:rFonts w:ascii="Times New Roman" w:hAnsi="Times New Roman" w:cs="Times New Roman"/>
        </w:rPr>
        <w:t xml:space="preserve"> be </w:t>
      </w:r>
      <w:proofErr w:type="spellStart"/>
      <w:r w:rsidR="006B6908" w:rsidRPr="00705170">
        <w:rPr>
          <w:rFonts w:ascii="Times New Roman" w:hAnsi="Times New Roman" w:cs="Times New Roman"/>
        </w:rPr>
        <w:t>ta</w:t>
      </w:r>
      <w:r w:rsidR="00F64D38" w:rsidRPr="00705170">
        <w:rPr>
          <w:rFonts w:ascii="Times New Roman" w:hAnsi="Times New Roman" w:cs="Times New Roman"/>
        </w:rPr>
        <w:t>k</w:t>
      </w:r>
      <w:r w:rsidR="006B6908" w:rsidRPr="00705170">
        <w:rPr>
          <w:rFonts w:ascii="Times New Roman" w:hAnsi="Times New Roman" w:cs="Times New Roman"/>
        </w:rPr>
        <w:t>en</w:t>
      </w:r>
      <w:proofErr w:type="spellEnd"/>
      <w:r w:rsidR="00F64D38" w:rsidRPr="00705170">
        <w:rPr>
          <w:rFonts w:ascii="Times New Roman" w:hAnsi="Times New Roman" w:cs="Times New Roman"/>
        </w:rPr>
        <w:t xml:space="preserve"> in </w:t>
      </w:r>
      <w:proofErr w:type="spellStart"/>
      <w:r w:rsidR="00F64D38" w:rsidRPr="00705170">
        <w:rPr>
          <w:rFonts w:ascii="Times New Roman" w:hAnsi="Times New Roman" w:cs="Times New Roman"/>
        </w:rPr>
        <w:t>consideration</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before</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ordering</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for</w:t>
      </w:r>
      <w:proofErr w:type="spellEnd"/>
      <w:r w:rsidR="00F64D38" w:rsidRPr="00705170">
        <w:rPr>
          <w:rFonts w:ascii="Times New Roman" w:hAnsi="Times New Roman" w:cs="Times New Roman"/>
        </w:rPr>
        <w:t xml:space="preserve"> a </w:t>
      </w:r>
      <w:proofErr w:type="spellStart"/>
      <w:r w:rsidR="00F64D38" w:rsidRPr="00705170">
        <w:rPr>
          <w:rFonts w:ascii="Times New Roman" w:hAnsi="Times New Roman" w:cs="Times New Roman"/>
        </w:rPr>
        <w:t>remedy</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and</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the</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compensation</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remedy</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should</w:t>
      </w:r>
      <w:proofErr w:type="spellEnd"/>
      <w:r w:rsidR="00F64D38" w:rsidRPr="00705170">
        <w:rPr>
          <w:rFonts w:ascii="Times New Roman" w:hAnsi="Times New Roman" w:cs="Times New Roman"/>
        </w:rPr>
        <w:t xml:space="preserve"> be </w:t>
      </w:r>
      <w:proofErr w:type="spellStart"/>
      <w:r w:rsidR="00F64D38" w:rsidRPr="00705170">
        <w:rPr>
          <w:rFonts w:ascii="Times New Roman" w:hAnsi="Times New Roman" w:cs="Times New Roman"/>
        </w:rPr>
        <w:t>chosen</w:t>
      </w:r>
      <w:proofErr w:type="spellEnd"/>
      <w:r w:rsidR="00F64D38" w:rsidRPr="00705170">
        <w:rPr>
          <w:rFonts w:ascii="Times New Roman" w:hAnsi="Times New Roman" w:cs="Times New Roman"/>
        </w:rPr>
        <w:t xml:space="preserve"> in </w:t>
      </w:r>
      <w:proofErr w:type="spellStart"/>
      <w:r w:rsidR="00F64D38" w:rsidRPr="00705170">
        <w:rPr>
          <w:rFonts w:ascii="Times New Roman" w:hAnsi="Times New Roman" w:cs="Times New Roman"/>
        </w:rPr>
        <w:t>order</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to</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keep</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up</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this</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intent</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to</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full</w:t>
      </w:r>
      <w:proofErr w:type="spellEnd"/>
      <w:r w:rsidR="00F64D38" w:rsidRPr="00705170">
        <w:rPr>
          <w:rFonts w:ascii="Times New Roman" w:hAnsi="Times New Roman" w:cs="Times New Roman"/>
        </w:rPr>
        <w:t xml:space="preserve"> </w:t>
      </w:r>
      <w:proofErr w:type="spellStart"/>
      <w:r w:rsidR="00F64D38" w:rsidRPr="00705170">
        <w:rPr>
          <w:rFonts w:ascii="Times New Roman" w:hAnsi="Times New Roman" w:cs="Times New Roman"/>
        </w:rPr>
        <w:t>extent</w:t>
      </w:r>
      <w:proofErr w:type="spellEnd"/>
      <w:r w:rsidR="00F64D38" w:rsidRPr="00705170">
        <w:rPr>
          <w:rFonts w:ascii="Times New Roman" w:hAnsi="Times New Roman" w:cs="Times New Roman"/>
        </w:rPr>
        <w:t xml:space="preserve">. </w:t>
      </w:r>
      <w:proofErr w:type="spellStart"/>
      <w:r w:rsidR="00775A77" w:rsidRPr="00705170">
        <w:rPr>
          <w:rFonts w:ascii="Times New Roman" w:hAnsi="Times New Roman" w:cs="Times New Roman"/>
        </w:rPr>
        <w:t>Secondly</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applying</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the</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contractual</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theory</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for</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corporations</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one</w:t>
      </w:r>
      <w:proofErr w:type="spellEnd"/>
      <w:r w:rsidR="00775A77" w:rsidRPr="00705170">
        <w:rPr>
          <w:rFonts w:ascii="Times New Roman" w:hAnsi="Times New Roman" w:cs="Times New Roman"/>
        </w:rPr>
        <w:t xml:space="preserve"> can </w:t>
      </w:r>
      <w:proofErr w:type="spellStart"/>
      <w:r w:rsidR="00775A77" w:rsidRPr="00705170">
        <w:rPr>
          <w:rFonts w:ascii="Times New Roman" w:hAnsi="Times New Roman" w:cs="Times New Roman"/>
        </w:rPr>
        <w:t>also</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claim</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that</w:t>
      </w:r>
      <w:proofErr w:type="spellEnd"/>
      <w:r w:rsidR="000A013C" w:rsidRPr="00705170">
        <w:rPr>
          <w:rFonts w:ascii="Times New Roman" w:hAnsi="Times New Roman" w:cs="Times New Roman"/>
        </w:rPr>
        <w:t xml:space="preserve"> a </w:t>
      </w:r>
      <w:proofErr w:type="spellStart"/>
      <w:r w:rsidR="000A013C" w:rsidRPr="00705170">
        <w:rPr>
          <w:rFonts w:ascii="Times New Roman" w:hAnsi="Times New Roman" w:cs="Times New Roman"/>
        </w:rPr>
        <w:t>violation</w:t>
      </w:r>
      <w:proofErr w:type="spellEnd"/>
      <w:r w:rsidR="000A013C" w:rsidRPr="00705170">
        <w:rPr>
          <w:rFonts w:ascii="Times New Roman" w:hAnsi="Times New Roman" w:cs="Times New Roman"/>
        </w:rPr>
        <w:t xml:space="preserve"> of </w:t>
      </w:r>
      <w:proofErr w:type="spellStart"/>
      <w:r w:rsidR="000A013C" w:rsidRPr="00705170">
        <w:rPr>
          <w:rFonts w:ascii="Times New Roman" w:hAnsi="Times New Roman" w:cs="Times New Roman"/>
        </w:rPr>
        <w:t>the</w:t>
      </w:r>
      <w:proofErr w:type="spellEnd"/>
      <w:r w:rsidR="000A013C" w:rsidRPr="00705170">
        <w:rPr>
          <w:rFonts w:ascii="Times New Roman" w:hAnsi="Times New Roman" w:cs="Times New Roman"/>
        </w:rPr>
        <w:t xml:space="preserve"> </w:t>
      </w:r>
      <w:proofErr w:type="spellStart"/>
      <w:r w:rsidR="000A013C" w:rsidRPr="00705170">
        <w:rPr>
          <w:rFonts w:ascii="Times New Roman" w:hAnsi="Times New Roman" w:cs="Times New Roman"/>
        </w:rPr>
        <w:t>terms</w:t>
      </w:r>
      <w:proofErr w:type="spellEnd"/>
      <w:r w:rsidR="000A013C" w:rsidRPr="00705170">
        <w:rPr>
          <w:rFonts w:ascii="Times New Roman" w:hAnsi="Times New Roman" w:cs="Times New Roman"/>
        </w:rPr>
        <w:t xml:space="preserve"> of a</w:t>
      </w:r>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contract</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by</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one</w:t>
      </w:r>
      <w:proofErr w:type="spellEnd"/>
      <w:r w:rsidR="00775A77" w:rsidRPr="00705170">
        <w:rPr>
          <w:rFonts w:ascii="Times New Roman" w:hAnsi="Times New Roman" w:cs="Times New Roman"/>
        </w:rPr>
        <w:t xml:space="preserve"> of </w:t>
      </w:r>
      <w:proofErr w:type="spellStart"/>
      <w:r w:rsidR="00775A77" w:rsidRPr="00705170">
        <w:rPr>
          <w:rFonts w:ascii="Times New Roman" w:hAnsi="Times New Roman" w:cs="Times New Roman"/>
        </w:rPr>
        <w:t>the</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parties</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would</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rise</w:t>
      </w:r>
      <w:proofErr w:type="spellEnd"/>
      <w:r w:rsidR="00775A77" w:rsidRPr="00705170">
        <w:rPr>
          <w:rFonts w:ascii="Times New Roman" w:hAnsi="Times New Roman" w:cs="Times New Roman"/>
        </w:rPr>
        <w:t xml:space="preserve"> a </w:t>
      </w:r>
      <w:proofErr w:type="spellStart"/>
      <w:r w:rsidR="00775A77" w:rsidRPr="00705170">
        <w:rPr>
          <w:rFonts w:ascii="Times New Roman" w:hAnsi="Times New Roman" w:cs="Times New Roman"/>
        </w:rPr>
        <w:t>claim</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for</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demanding</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damages</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and</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ordering</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the</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compensation</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remed</w:t>
      </w:r>
      <w:r w:rsidR="000A013C" w:rsidRPr="00705170">
        <w:rPr>
          <w:rFonts w:ascii="Times New Roman" w:hAnsi="Times New Roman" w:cs="Times New Roman"/>
        </w:rPr>
        <w:t>y</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does</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align</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with</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this</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theoretical</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foundation</w:t>
      </w:r>
      <w:proofErr w:type="spellEnd"/>
      <w:r w:rsidR="00775A77" w:rsidRPr="00705170">
        <w:rPr>
          <w:rFonts w:ascii="Times New Roman" w:hAnsi="Times New Roman" w:cs="Times New Roman"/>
        </w:rPr>
        <w:t xml:space="preserve">. </w:t>
      </w:r>
      <w:proofErr w:type="spellStart"/>
      <w:r w:rsidR="00386660">
        <w:rPr>
          <w:rFonts w:ascii="Times New Roman" w:hAnsi="Times New Roman" w:cs="Times New Roman"/>
        </w:rPr>
        <w:t>Thirdly</w:t>
      </w:r>
      <w:proofErr w:type="spellEnd"/>
      <w:r w:rsidR="00386660">
        <w:rPr>
          <w:rFonts w:ascii="Times New Roman" w:hAnsi="Times New Roman" w:cs="Times New Roman"/>
        </w:rPr>
        <w:t>,</w:t>
      </w:r>
      <w:r w:rsidR="00386660" w:rsidRPr="00705170">
        <w:rPr>
          <w:rFonts w:ascii="Times New Roman" w:hAnsi="Times New Roman" w:cs="Times New Roman"/>
        </w:rPr>
        <w:t xml:space="preserve"> it </w:t>
      </w:r>
      <w:proofErr w:type="spellStart"/>
      <w:r w:rsidR="00386660" w:rsidRPr="00705170">
        <w:rPr>
          <w:rFonts w:ascii="Times New Roman" w:hAnsi="Times New Roman" w:cs="Times New Roman"/>
        </w:rPr>
        <w:t>would</w:t>
      </w:r>
      <w:proofErr w:type="spellEnd"/>
      <w:r w:rsidR="00386660" w:rsidRPr="00705170">
        <w:rPr>
          <w:rFonts w:ascii="Times New Roman" w:hAnsi="Times New Roman" w:cs="Times New Roman"/>
        </w:rPr>
        <w:t xml:space="preserve"> be </w:t>
      </w:r>
      <w:proofErr w:type="spellStart"/>
      <w:r w:rsidR="00386660" w:rsidRPr="00705170">
        <w:rPr>
          <w:rFonts w:ascii="Times New Roman" w:hAnsi="Times New Roman" w:cs="Times New Roman"/>
        </w:rPr>
        <w:t>easier</w:t>
      </w:r>
      <w:proofErr w:type="spellEnd"/>
      <w:r w:rsidR="00386660" w:rsidRPr="00705170">
        <w:rPr>
          <w:rFonts w:ascii="Times New Roman" w:hAnsi="Times New Roman" w:cs="Times New Roman"/>
        </w:rPr>
        <w:t xml:space="preserve"> </w:t>
      </w:r>
      <w:proofErr w:type="spellStart"/>
      <w:r w:rsidR="00386660" w:rsidRPr="00705170">
        <w:rPr>
          <w:rFonts w:ascii="Times New Roman" w:hAnsi="Times New Roman" w:cs="Times New Roman"/>
        </w:rPr>
        <w:t>for</w:t>
      </w:r>
      <w:proofErr w:type="spellEnd"/>
      <w:r w:rsidR="00386660" w:rsidRPr="00705170">
        <w:rPr>
          <w:rFonts w:ascii="Times New Roman" w:hAnsi="Times New Roman" w:cs="Times New Roman"/>
        </w:rPr>
        <w:t xml:space="preserve"> </w:t>
      </w:r>
      <w:proofErr w:type="spellStart"/>
      <w:r w:rsidR="00386660" w:rsidRPr="00705170">
        <w:rPr>
          <w:rFonts w:ascii="Times New Roman" w:hAnsi="Times New Roman" w:cs="Times New Roman"/>
        </w:rPr>
        <w:t>the</w:t>
      </w:r>
      <w:proofErr w:type="spellEnd"/>
      <w:r w:rsidR="00386660" w:rsidRPr="00705170">
        <w:rPr>
          <w:rFonts w:ascii="Times New Roman" w:hAnsi="Times New Roman" w:cs="Times New Roman"/>
        </w:rPr>
        <w:t xml:space="preserve"> legal </w:t>
      </w:r>
      <w:proofErr w:type="spellStart"/>
      <w:r w:rsidR="00386660" w:rsidRPr="00705170">
        <w:rPr>
          <w:rFonts w:ascii="Times New Roman" w:hAnsi="Times New Roman" w:cs="Times New Roman"/>
        </w:rPr>
        <w:t>enforcement</w:t>
      </w:r>
      <w:proofErr w:type="spellEnd"/>
      <w:r w:rsidR="00386660" w:rsidRPr="00705170">
        <w:rPr>
          <w:rFonts w:ascii="Times New Roman" w:hAnsi="Times New Roman" w:cs="Times New Roman"/>
        </w:rPr>
        <w:t xml:space="preserve"> </w:t>
      </w:r>
      <w:proofErr w:type="spellStart"/>
      <w:r w:rsidR="00386660" w:rsidRPr="00705170">
        <w:rPr>
          <w:rFonts w:ascii="Times New Roman" w:hAnsi="Times New Roman" w:cs="Times New Roman"/>
        </w:rPr>
        <w:t>to</w:t>
      </w:r>
      <w:proofErr w:type="spellEnd"/>
      <w:r w:rsidR="00386660" w:rsidRPr="00705170">
        <w:rPr>
          <w:rFonts w:ascii="Times New Roman" w:hAnsi="Times New Roman" w:cs="Times New Roman"/>
        </w:rPr>
        <w:t xml:space="preserve"> </w:t>
      </w:r>
      <w:proofErr w:type="spellStart"/>
      <w:r w:rsidR="00386660" w:rsidRPr="00705170">
        <w:rPr>
          <w:rFonts w:ascii="Times New Roman" w:hAnsi="Times New Roman" w:cs="Times New Roman"/>
        </w:rPr>
        <w:t>supervise</w:t>
      </w:r>
      <w:proofErr w:type="spellEnd"/>
      <w:r w:rsidR="00386660" w:rsidRPr="00705170">
        <w:rPr>
          <w:rFonts w:ascii="Times New Roman" w:hAnsi="Times New Roman" w:cs="Times New Roman"/>
        </w:rPr>
        <w:t xml:space="preserve"> </w:t>
      </w:r>
      <w:proofErr w:type="spellStart"/>
      <w:r w:rsidR="00386660" w:rsidRPr="00705170">
        <w:rPr>
          <w:rFonts w:ascii="Times New Roman" w:hAnsi="Times New Roman" w:cs="Times New Roman"/>
        </w:rPr>
        <w:t>the</w:t>
      </w:r>
      <w:proofErr w:type="spellEnd"/>
      <w:r w:rsidR="00386660" w:rsidRPr="00705170">
        <w:rPr>
          <w:rFonts w:ascii="Times New Roman" w:hAnsi="Times New Roman" w:cs="Times New Roman"/>
        </w:rPr>
        <w:t xml:space="preserve"> </w:t>
      </w:r>
      <w:proofErr w:type="spellStart"/>
      <w:r w:rsidR="00386660" w:rsidRPr="00705170">
        <w:rPr>
          <w:rFonts w:ascii="Times New Roman" w:hAnsi="Times New Roman" w:cs="Times New Roman"/>
        </w:rPr>
        <w:t>compensation</w:t>
      </w:r>
      <w:proofErr w:type="spellEnd"/>
      <w:r w:rsidR="00386660" w:rsidRPr="00705170">
        <w:rPr>
          <w:rFonts w:ascii="Times New Roman" w:hAnsi="Times New Roman" w:cs="Times New Roman"/>
        </w:rPr>
        <w:t xml:space="preserve"> </w:t>
      </w:r>
      <w:proofErr w:type="spellStart"/>
      <w:r w:rsidR="00386660" w:rsidRPr="00705170">
        <w:rPr>
          <w:rFonts w:ascii="Times New Roman" w:hAnsi="Times New Roman" w:cs="Times New Roman"/>
        </w:rPr>
        <w:t>remedy</w:t>
      </w:r>
      <w:proofErr w:type="spellEnd"/>
      <w:r w:rsidR="00386660" w:rsidRPr="00705170">
        <w:rPr>
          <w:rFonts w:ascii="Times New Roman" w:hAnsi="Times New Roman" w:cs="Times New Roman"/>
        </w:rPr>
        <w:t>.</w:t>
      </w:r>
    </w:p>
    <w:p w14:paraId="20B57CEE" w14:textId="003DD032" w:rsidR="00E30AAC" w:rsidRPr="00705170" w:rsidRDefault="00386660" w:rsidP="009B469E">
      <w:pPr>
        <w:spacing w:after="240" w:line="480" w:lineRule="auto"/>
        <w:ind w:firstLine="708"/>
        <w:jc w:val="both"/>
        <w:rPr>
          <w:rFonts w:ascii="Times New Roman" w:hAnsi="Times New Roman" w:cs="Times New Roman"/>
        </w:rPr>
      </w:pPr>
      <w:proofErr w:type="spellStart"/>
      <w:r>
        <w:rPr>
          <w:rFonts w:ascii="Times New Roman" w:hAnsi="Times New Roman" w:cs="Times New Roman"/>
        </w:rPr>
        <w:lastRenderedPageBreak/>
        <w:t>Lastly</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putting</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the</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burden</w:t>
      </w:r>
      <w:proofErr w:type="spellEnd"/>
      <w:r w:rsidR="00775A77" w:rsidRPr="00705170">
        <w:rPr>
          <w:rFonts w:ascii="Times New Roman" w:hAnsi="Times New Roman" w:cs="Times New Roman"/>
        </w:rPr>
        <w:t xml:space="preserve"> on </w:t>
      </w:r>
      <w:proofErr w:type="spellStart"/>
      <w:r w:rsidR="00775A77" w:rsidRPr="00705170">
        <w:rPr>
          <w:rFonts w:ascii="Times New Roman" w:hAnsi="Times New Roman" w:cs="Times New Roman"/>
        </w:rPr>
        <w:t>the</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influencer</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directly</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will</w:t>
      </w:r>
      <w:proofErr w:type="spellEnd"/>
      <w:r w:rsidR="00775A77" w:rsidRPr="00705170">
        <w:rPr>
          <w:rFonts w:ascii="Times New Roman" w:hAnsi="Times New Roman" w:cs="Times New Roman"/>
        </w:rPr>
        <w:t xml:space="preserve"> </w:t>
      </w:r>
      <w:proofErr w:type="spellStart"/>
      <w:r w:rsidR="00775A77" w:rsidRPr="00705170">
        <w:rPr>
          <w:rFonts w:ascii="Times New Roman" w:hAnsi="Times New Roman" w:cs="Times New Roman"/>
        </w:rPr>
        <w:t>effective</w:t>
      </w:r>
      <w:r w:rsidR="00CC211A" w:rsidRPr="00705170">
        <w:rPr>
          <w:rFonts w:ascii="Times New Roman" w:hAnsi="Times New Roman" w:cs="Times New Roman"/>
        </w:rPr>
        <w:t>ly</w:t>
      </w:r>
      <w:proofErr w:type="spellEnd"/>
      <w:r w:rsidR="00CC211A" w:rsidRPr="00705170">
        <w:rPr>
          <w:rFonts w:ascii="Times New Roman" w:hAnsi="Times New Roman" w:cs="Times New Roman"/>
        </w:rPr>
        <w:t xml:space="preserve"> </w:t>
      </w:r>
      <w:proofErr w:type="spellStart"/>
      <w:r w:rsidR="00CC211A" w:rsidRPr="00705170">
        <w:rPr>
          <w:rFonts w:ascii="Times New Roman" w:hAnsi="Times New Roman" w:cs="Times New Roman"/>
        </w:rPr>
        <w:t>constrain</w:t>
      </w:r>
      <w:proofErr w:type="spellEnd"/>
      <w:r w:rsidR="00CC211A" w:rsidRPr="00705170">
        <w:rPr>
          <w:rFonts w:ascii="Times New Roman" w:hAnsi="Times New Roman" w:cs="Times New Roman"/>
        </w:rPr>
        <w:t xml:space="preserve"> </w:t>
      </w:r>
      <w:proofErr w:type="spellStart"/>
      <w:r w:rsidR="00CC211A" w:rsidRPr="00705170">
        <w:rPr>
          <w:rFonts w:ascii="Times New Roman" w:hAnsi="Times New Roman" w:cs="Times New Roman"/>
        </w:rPr>
        <w:t>the</w:t>
      </w:r>
      <w:proofErr w:type="spellEnd"/>
      <w:r w:rsidR="00CC211A" w:rsidRPr="00705170">
        <w:rPr>
          <w:rFonts w:ascii="Times New Roman" w:hAnsi="Times New Roman" w:cs="Times New Roman"/>
        </w:rPr>
        <w:t xml:space="preserve"> </w:t>
      </w:r>
      <w:proofErr w:type="spellStart"/>
      <w:r w:rsidR="00CC211A" w:rsidRPr="00705170">
        <w:rPr>
          <w:rFonts w:ascii="Times New Roman" w:hAnsi="Times New Roman" w:cs="Times New Roman"/>
        </w:rPr>
        <w:t>influencer</w:t>
      </w:r>
      <w:proofErr w:type="spellEnd"/>
      <w:r w:rsidR="00CC211A" w:rsidRPr="00705170">
        <w:rPr>
          <w:rFonts w:ascii="Times New Roman" w:hAnsi="Times New Roman" w:cs="Times New Roman"/>
        </w:rPr>
        <w:t xml:space="preserve">, </w:t>
      </w:r>
      <w:proofErr w:type="spellStart"/>
      <w:r w:rsidR="00CC211A" w:rsidRPr="00705170">
        <w:rPr>
          <w:rFonts w:ascii="Times New Roman" w:hAnsi="Times New Roman" w:cs="Times New Roman"/>
        </w:rPr>
        <w:t>and</w:t>
      </w:r>
      <w:proofErr w:type="spellEnd"/>
      <w:r w:rsidR="00CC211A" w:rsidRPr="00705170">
        <w:rPr>
          <w:rFonts w:ascii="Times New Roman" w:hAnsi="Times New Roman" w:cs="Times New Roman"/>
        </w:rPr>
        <w:t xml:space="preserve"> </w:t>
      </w:r>
      <w:proofErr w:type="spellStart"/>
      <w:r w:rsidR="00CC211A" w:rsidRPr="00705170">
        <w:rPr>
          <w:rFonts w:ascii="Times New Roman" w:hAnsi="Times New Roman" w:cs="Times New Roman"/>
        </w:rPr>
        <w:t>give</w:t>
      </w:r>
      <w:proofErr w:type="spellEnd"/>
      <w:r w:rsidR="00CC211A" w:rsidRPr="00705170">
        <w:rPr>
          <w:rFonts w:ascii="Times New Roman" w:hAnsi="Times New Roman" w:cs="Times New Roman"/>
        </w:rPr>
        <w:t xml:space="preserve"> </w:t>
      </w:r>
      <w:proofErr w:type="spellStart"/>
      <w:r w:rsidR="00CC211A" w:rsidRPr="00705170">
        <w:rPr>
          <w:rFonts w:ascii="Times New Roman" w:hAnsi="Times New Roman" w:cs="Times New Roman"/>
        </w:rPr>
        <w:t>the</w:t>
      </w:r>
      <w:proofErr w:type="spellEnd"/>
      <w:r w:rsidR="00CC211A" w:rsidRPr="00705170">
        <w:rPr>
          <w:rFonts w:ascii="Times New Roman" w:hAnsi="Times New Roman" w:cs="Times New Roman"/>
        </w:rPr>
        <w:t xml:space="preserve"> </w:t>
      </w:r>
      <w:proofErr w:type="spellStart"/>
      <w:r w:rsidR="00CC211A" w:rsidRPr="00705170">
        <w:rPr>
          <w:rFonts w:ascii="Times New Roman" w:hAnsi="Times New Roman" w:cs="Times New Roman"/>
        </w:rPr>
        <w:t>petitioner’s</w:t>
      </w:r>
      <w:proofErr w:type="spellEnd"/>
      <w:r w:rsidR="00CC211A" w:rsidRPr="00705170">
        <w:rPr>
          <w:rFonts w:ascii="Times New Roman" w:hAnsi="Times New Roman" w:cs="Times New Roman"/>
        </w:rPr>
        <w:t xml:space="preserve"> </w:t>
      </w:r>
      <w:proofErr w:type="spellStart"/>
      <w:r w:rsidR="00CC211A" w:rsidRPr="00705170">
        <w:rPr>
          <w:rFonts w:ascii="Times New Roman" w:hAnsi="Times New Roman" w:cs="Times New Roman"/>
        </w:rPr>
        <w:t>motivation</w:t>
      </w:r>
      <w:proofErr w:type="spellEnd"/>
      <w:r w:rsidR="00CC211A" w:rsidRPr="00705170">
        <w:rPr>
          <w:rFonts w:ascii="Times New Roman" w:hAnsi="Times New Roman" w:cs="Times New Roman"/>
        </w:rPr>
        <w:t xml:space="preserve"> </w:t>
      </w:r>
      <w:proofErr w:type="spellStart"/>
      <w:r w:rsidR="00CC211A" w:rsidRPr="00705170">
        <w:rPr>
          <w:rFonts w:ascii="Times New Roman" w:hAnsi="Times New Roman" w:cs="Times New Roman"/>
        </w:rPr>
        <w:t>to</w:t>
      </w:r>
      <w:proofErr w:type="spellEnd"/>
      <w:r w:rsidR="00CC211A" w:rsidRPr="00705170">
        <w:rPr>
          <w:rFonts w:ascii="Times New Roman" w:hAnsi="Times New Roman" w:cs="Times New Roman"/>
        </w:rPr>
        <w:t xml:space="preserve"> </w:t>
      </w:r>
      <w:proofErr w:type="spellStart"/>
      <w:r w:rsidR="00CC211A" w:rsidRPr="00705170">
        <w:rPr>
          <w:rFonts w:ascii="Times New Roman" w:hAnsi="Times New Roman" w:cs="Times New Roman"/>
        </w:rPr>
        <w:t>track</w:t>
      </w:r>
      <w:proofErr w:type="spellEnd"/>
      <w:r w:rsidR="00CC211A" w:rsidRPr="00705170">
        <w:rPr>
          <w:rFonts w:ascii="Times New Roman" w:hAnsi="Times New Roman" w:cs="Times New Roman"/>
        </w:rPr>
        <w:t xml:space="preserve"> </w:t>
      </w:r>
      <w:proofErr w:type="spellStart"/>
      <w:r w:rsidR="00CC211A" w:rsidRPr="00705170">
        <w:rPr>
          <w:rFonts w:ascii="Times New Roman" w:hAnsi="Times New Roman" w:cs="Times New Roman"/>
        </w:rPr>
        <w:t>the</w:t>
      </w:r>
      <w:proofErr w:type="spellEnd"/>
      <w:r w:rsidR="00CC211A" w:rsidRPr="00705170">
        <w:rPr>
          <w:rFonts w:ascii="Times New Roman" w:hAnsi="Times New Roman" w:cs="Times New Roman"/>
        </w:rPr>
        <w:t xml:space="preserve"> </w:t>
      </w:r>
      <w:proofErr w:type="spellStart"/>
      <w:r w:rsidR="00CC211A" w:rsidRPr="00705170">
        <w:rPr>
          <w:rFonts w:ascii="Times New Roman" w:hAnsi="Times New Roman" w:cs="Times New Roman"/>
        </w:rPr>
        <w:t>wrongdoers</w:t>
      </w:r>
      <w:proofErr w:type="spellEnd"/>
      <w:r w:rsidR="00CC211A" w:rsidRPr="00705170">
        <w:rPr>
          <w:rFonts w:ascii="Times New Roman" w:hAnsi="Times New Roman" w:cs="Times New Roman"/>
        </w:rPr>
        <w:t>.</w:t>
      </w:r>
      <w:r w:rsidR="00F64D38" w:rsidRPr="00705170">
        <w:rPr>
          <w:rFonts w:ascii="Times New Roman" w:hAnsi="Times New Roman" w:cs="Times New Roman"/>
        </w:rPr>
        <w:t xml:space="preserve"> </w:t>
      </w:r>
      <w:proofErr w:type="spellStart"/>
      <w:r w:rsidR="00B46171" w:rsidRPr="00705170">
        <w:rPr>
          <w:rFonts w:ascii="Times New Roman" w:hAnsi="Times New Roman" w:cs="Times New Roman"/>
        </w:rPr>
        <w:t>After</w:t>
      </w:r>
      <w:proofErr w:type="spellEnd"/>
      <w:r w:rsidR="00B46171" w:rsidRPr="00705170">
        <w:rPr>
          <w:rFonts w:ascii="Times New Roman" w:hAnsi="Times New Roman" w:cs="Times New Roman"/>
        </w:rPr>
        <w:t xml:space="preserve"> </w:t>
      </w:r>
      <w:proofErr w:type="spellStart"/>
      <w:r w:rsidR="00B46171" w:rsidRPr="00705170">
        <w:rPr>
          <w:rFonts w:ascii="Times New Roman" w:hAnsi="Times New Roman" w:cs="Times New Roman"/>
        </w:rPr>
        <w:t>all</w:t>
      </w:r>
      <w:proofErr w:type="spellEnd"/>
      <w:r w:rsidR="00B46171" w:rsidRPr="00705170">
        <w:rPr>
          <w:rFonts w:ascii="Times New Roman" w:hAnsi="Times New Roman" w:cs="Times New Roman"/>
        </w:rPr>
        <w:t xml:space="preserve">, </w:t>
      </w:r>
      <w:proofErr w:type="spellStart"/>
      <w:r w:rsidR="00B46171" w:rsidRPr="00705170">
        <w:rPr>
          <w:rFonts w:ascii="Times New Roman" w:hAnsi="Times New Roman" w:cs="Times New Roman"/>
        </w:rPr>
        <w:t>any</w:t>
      </w:r>
      <w:proofErr w:type="spellEnd"/>
      <w:r w:rsidR="00B46171" w:rsidRPr="00705170">
        <w:rPr>
          <w:rFonts w:ascii="Times New Roman" w:hAnsi="Times New Roman" w:cs="Times New Roman"/>
        </w:rPr>
        <w:t xml:space="preserve"> </w:t>
      </w:r>
      <w:proofErr w:type="spellStart"/>
      <w:r w:rsidR="00B46171" w:rsidRPr="00705170">
        <w:rPr>
          <w:rFonts w:ascii="Times New Roman" w:hAnsi="Times New Roman" w:cs="Times New Roman"/>
        </w:rPr>
        <w:t>remedy</w:t>
      </w:r>
      <w:proofErr w:type="spellEnd"/>
      <w:r w:rsidR="00B46171" w:rsidRPr="00705170">
        <w:rPr>
          <w:rFonts w:ascii="Times New Roman" w:hAnsi="Times New Roman" w:cs="Times New Roman"/>
        </w:rPr>
        <w:t xml:space="preserve"> </w:t>
      </w:r>
      <w:proofErr w:type="spellStart"/>
      <w:r w:rsidR="00B46171" w:rsidRPr="00705170">
        <w:rPr>
          <w:rFonts w:ascii="Times New Roman" w:hAnsi="Times New Roman" w:cs="Times New Roman"/>
        </w:rPr>
        <w:t>that</w:t>
      </w:r>
      <w:proofErr w:type="spellEnd"/>
      <w:r w:rsidR="00B46171" w:rsidRPr="00705170">
        <w:rPr>
          <w:rFonts w:ascii="Times New Roman" w:hAnsi="Times New Roman" w:cs="Times New Roman"/>
        </w:rPr>
        <w:t xml:space="preserve"> is not </w:t>
      </w:r>
      <w:proofErr w:type="spellStart"/>
      <w:r w:rsidR="00B46171" w:rsidRPr="00705170">
        <w:rPr>
          <w:rFonts w:ascii="Times New Roman" w:hAnsi="Times New Roman" w:cs="Times New Roman"/>
        </w:rPr>
        <w:t>directed</w:t>
      </w:r>
      <w:proofErr w:type="spellEnd"/>
      <w:r w:rsidR="00B46171" w:rsidRPr="00705170">
        <w:rPr>
          <w:rFonts w:ascii="Times New Roman" w:hAnsi="Times New Roman" w:cs="Times New Roman"/>
        </w:rPr>
        <w:t xml:space="preserve"> at </w:t>
      </w:r>
      <w:proofErr w:type="spellStart"/>
      <w:r w:rsidR="00B46171" w:rsidRPr="00705170">
        <w:rPr>
          <w:rFonts w:ascii="Times New Roman" w:hAnsi="Times New Roman" w:cs="Times New Roman"/>
        </w:rPr>
        <w:t>the</w:t>
      </w:r>
      <w:proofErr w:type="spellEnd"/>
      <w:r w:rsidR="00B46171" w:rsidRPr="00705170">
        <w:rPr>
          <w:rFonts w:ascii="Times New Roman" w:hAnsi="Times New Roman" w:cs="Times New Roman"/>
        </w:rPr>
        <w:t xml:space="preserve"> </w:t>
      </w:r>
      <w:proofErr w:type="spellStart"/>
      <w:r w:rsidR="00B46171" w:rsidRPr="00705170">
        <w:rPr>
          <w:rFonts w:ascii="Times New Roman" w:hAnsi="Times New Roman" w:cs="Times New Roman"/>
        </w:rPr>
        <w:t>wrongdoer</w:t>
      </w:r>
      <w:proofErr w:type="spellEnd"/>
      <w:r w:rsidR="00B46171" w:rsidRPr="00705170">
        <w:rPr>
          <w:rFonts w:ascii="Times New Roman" w:hAnsi="Times New Roman" w:cs="Times New Roman"/>
        </w:rPr>
        <w:t xml:space="preserve"> but </w:t>
      </w:r>
      <w:proofErr w:type="spellStart"/>
      <w:r w:rsidR="00B46171" w:rsidRPr="00705170">
        <w:rPr>
          <w:rFonts w:ascii="Times New Roman" w:hAnsi="Times New Roman" w:cs="Times New Roman"/>
        </w:rPr>
        <w:t>to</w:t>
      </w:r>
      <w:proofErr w:type="spellEnd"/>
      <w:r w:rsidR="00B46171" w:rsidRPr="00705170">
        <w:rPr>
          <w:rFonts w:ascii="Times New Roman" w:hAnsi="Times New Roman" w:cs="Times New Roman"/>
        </w:rPr>
        <w:t xml:space="preserve"> </w:t>
      </w:r>
      <w:proofErr w:type="spellStart"/>
      <w:r w:rsidR="00B46171" w:rsidRPr="00705170">
        <w:rPr>
          <w:rFonts w:ascii="Times New Roman" w:hAnsi="Times New Roman" w:cs="Times New Roman"/>
        </w:rPr>
        <w:t>the</w:t>
      </w:r>
      <w:proofErr w:type="spellEnd"/>
      <w:r w:rsidR="00B46171" w:rsidRPr="00705170">
        <w:rPr>
          <w:rFonts w:ascii="Times New Roman" w:hAnsi="Times New Roman" w:cs="Times New Roman"/>
        </w:rPr>
        <w:t xml:space="preserve"> </w:t>
      </w:r>
      <w:proofErr w:type="spellStart"/>
      <w:r w:rsidR="00B46171" w:rsidRPr="00705170">
        <w:rPr>
          <w:rFonts w:ascii="Times New Roman" w:hAnsi="Times New Roman" w:cs="Times New Roman"/>
        </w:rPr>
        <w:t>corporation</w:t>
      </w:r>
      <w:proofErr w:type="spellEnd"/>
      <w:r w:rsidR="00B46171" w:rsidRPr="00705170">
        <w:rPr>
          <w:rFonts w:ascii="Times New Roman" w:hAnsi="Times New Roman" w:cs="Times New Roman"/>
        </w:rPr>
        <w:t xml:space="preserve"> </w:t>
      </w:r>
      <w:proofErr w:type="spellStart"/>
      <w:r w:rsidR="00B46171" w:rsidRPr="00705170">
        <w:rPr>
          <w:rFonts w:ascii="Times New Roman" w:hAnsi="Times New Roman" w:cs="Times New Roman"/>
        </w:rPr>
        <w:t>would</w:t>
      </w:r>
      <w:proofErr w:type="spellEnd"/>
      <w:r w:rsidR="00B46171" w:rsidRPr="00705170">
        <w:rPr>
          <w:rFonts w:ascii="Times New Roman" w:hAnsi="Times New Roman" w:cs="Times New Roman"/>
        </w:rPr>
        <w:t xml:space="preserve"> </w:t>
      </w:r>
      <w:proofErr w:type="spellStart"/>
      <w:r w:rsidR="00B46171" w:rsidRPr="00705170">
        <w:rPr>
          <w:rFonts w:ascii="Times New Roman" w:hAnsi="Times New Roman" w:cs="Times New Roman"/>
        </w:rPr>
        <w:t>benefit</w:t>
      </w:r>
      <w:proofErr w:type="spellEnd"/>
      <w:r w:rsidR="00B46171" w:rsidRPr="00705170">
        <w:rPr>
          <w:rFonts w:ascii="Times New Roman" w:hAnsi="Times New Roman" w:cs="Times New Roman"/>
        </w:rPr>
        <w:t xml:space="preserve"> </w:t>
      </w:r>
      <w:proofErr w:type="spellStart"/>
      <w:r w:rsidR="00B46171" w:rsidRPr="00705170">
        <w:rPr>
          <w:rFonts w:ascii="Times New Roman" w:hAnsi="Times New Roman" w:cs="Times New Roman"/>
        </w:rPr>
        <w:t>the</w:t>
      </w:r>
      <w:proofErr w:type="spellEnd"/>
      <w:r w:rsidR="00B46171" w:rsidRPr="00705170">
        <w:rPr>
          <w:rFonts w:ascii="Times New Roman" w:hAnsi="Times New Roman" w:cs="Times New Roman"/>
        </w:rPr>
        <w:t xml:space="preserve"> </w:t>
      </w:r>
      <w:proofErr w:type="spellStart"/>
      <w:r w:rsidR="00B46171" w:rsidRPr="00705170">
        <w:rPr>
          <w:rFonts w:ascii="Times New Roman" w:hAnsi="Times New Roman" w:cs="Times New Roman"/>
        </w:rPr>
        <w:t>wrongdoer</w:t>
      </w:r>
      <w:proofErr w:type="spellEnd"/>
      <w:r w:rsidR="00B46171" w:rsidRPr="00705170">
        <w:rPr>
          <w:rFonts w:ascii="Times New Roman" w:hAnsi="Times New Roman" w:cs="Times New Roman"/>
        </w:rPr>
        <w:t xml:space="preserve"> as </w:t>
      </w:r>
      <w:proofErr w:type="spellStart"/>
      <w:r w:rsidR="00B46171" w:rsidRPr="00705170">
        <w:rPr>
          <w:rFonts w:ascii="Times New Roman" w:hAnsi="Times New Roman" w:cs="Times New Roman"/>
        </w:rPr>
        <w:t>well</w:t>
      </w:r>
      <w:proofErr w:type="spellEnd"/>
      <w:r w:rsidR="00B46171" w:rsidRPr="00705170">
        <w:rPr>
          <w:rStyle w:val="DipnotBavurusu"/>
          <w:rFonts w:ascii="Times New Roman" w:hAnsi="Times New Roman" w:cs="Times New Roman"/>
        </w:rPr>
        <w:footnoteReference w:id="983"/>
      </w:r>
      <w:r w:rsidR="00B46171" w:rsidRPr="00705170">
        <w:rPr>
          <w:rFonts w:ascii="Times New Roman" w:hAnsi="Times New Roman" w:cs="Times New Roman"/>
        </w:rPr>
        <w:t>.</w:t>
      </w:r>
      <w:r w:rsidR="00E30AAC" w:rsidRPr="00705170">
        <w:rPr>
          <w:rFonts w:ascii="Times New Roman" w:hAnsi="Times New Roman" w:cs="Times New Roman"/>
        </w:rPr>
        <w:t xml:space="preserve"> </w:t>
      </w:r>
      <w:r w:rsidR="00B42305" w:rsidRPr="00705170">
        <w:rPr>
          <w:rFonts w:ascii="Times New Roman" w:hAnsi="Times New Roman" w:cs="Times New Roman"/>
        </w:rPr>
        <w:t xml:space="preserve">On </w:t>
      </w:r>
      <w:proofErr w:type="spellStart"/>
      <w:r w:rsidR="00B42305" w:rsidRPr="00705170">
        <w:rPr>
          <w:rFonts w:ascii="Times New Roman" w:hAnsi="Times New Roman" w:cs="Times New Roman"/>
        </w:rPr>
        <w:t>the</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other</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hand</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awarding</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the</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remedies</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such</w:t>
      </w:r>
      <w:proofErr w:type="spellEnd"/>
      <w:r w:rsidR="00B42305" w:rsidRPr="00705170">
        <w:rPr>
          <w:rFonts w:ascii="Times New Roman" w:hAnsi="Times New Roman" w:cs="Times New Roman"/>
        </w:rPr>
        <w:t xml:space="preserve"> as </w:t>
      </w:r>
      <w:proofErr w:type="spellStart"/>
      <w:r w:rsidR="00B42305" w:rsidRPr="00705170">
        <w:rPr>
          <w:rFonts w:ascii="Times New Roman" w:hAnsi="Times New Roman" w:cs="Times New Roman"/>
        </w:rPr>
        <w:t>compensation</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from</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the</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corporate</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treasury</w:t>
      </w:r>
      <w:proofErr w:type="spellEnd"/>
      <w:r w:rsidR="00B42305" w:rsidRPr="00705170">
        <w:rPr>
          <w:rFonts w:ascii="Times New Roman" w:hAnsi="Times New Roman" w:cs="Times New Roman"/>
        </w:rPr>
        <w:t xml:space="preserve"> is </w:t>
      </w:r>
      <w:proofErr w:type="spellStart"/>
      <w:r w:rsidR="00B42305" w:rsidRPr="00705170">
        <w:rPr>
          <w:rFonts w:ascii="Times New Roman" w:hAnsi="Times New Roman" w:cs="Times New Roman"/>
        </w:rPr>
        <w:t>inappropriate</w:t>
      </w:r>
      <w:proofErr w:type="spellEnd"/>
      <w:r w:rsidR="00B42305" w:rsidRPr="00705170">
        <w:rPr>
          <w:rFonts w:ascii="Times New Roman" w:hAnsi="Times New Roman" w:cs="Times New Roman"/>
        </w:rPr>
        <w:t xml:space="preserve"> in </w:t>
      </w:r>
      <w:proofErr w:type="spellStart"/>
      <w:r w:rsidR="00B42305" w:rsidRPr="00705170">
        <w:rPr>
          <w:rFonts w:ascii="Times New Roman" w:hAnsi="Times New Roman" w:cs="Times New Roman"/>
        </w:rPr>
        <w:t>publicly</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traded</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corporations</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because</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the</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burden</w:t>
      </w:r>
      <w:proofErr w:type="spellEnd"/>
      <w:r w:rsidR="00B42305" w:rsidRPr="00705170">
        <w:rPr>
          <w:rFonts w:ascii="Times New Roman" w:hAnsi="Times New Roman" w:cs="Times New Roman"/>
        </w:rPr>
        <w:t xml:space="preserve"> </w:t>
      </w:r>
      <w:proofErr w:type="spellStart"/>
      <w:r w:rsidR="00B42305" w:rsidRPr="00705170">
        <w:rPr>
          <w:rFonts w:ascii="Times New Roman" w:hAnsi="Times New Roman" w:cs="Times New Roman"/>
        </w:rPr>
        <w:t>wou</w:t>
      </w:r>
      <w:r w:rsidR="00FE7751">
        <w:rPr>
          <w:rFonts w:ascii="Times New Roman" w:hAnsi="Times New Roman" w:cs="Times New Roman"/>
        </w:rPr>
        <w:t>ld</w:t>
      </w:r>
      <w:proofErr w:type="spellEnd"/>
      <w:r w:rsidR="00FE7751">
        <w:rPr>
          <w:rFonts w:ascii="Times New Roman" w:hAnsi="Times New Roman" w:cs="Times New Roman"/>
        </w:rPr>
        <w:t xml:space="preserve"> </w:t>
      </w:r>
      <w:proofErr w:type="spellStart"/>
      <w:r w:rsidR="00FE7751">
        <w:rPr>
          <w:rFonts w:ascii="Times New Roman" w:hAnsi="Times New Roman" w:cs="Times New Roman"/>
        </w:rPr>
        <w:t>ultimately</w:t>
      </w:r>
      <w:proofErr w:type="spellEnd"/>
      <w:r w:rsidR="00FE7751">
        <w:rPr>
          <w:rFonts w:ascii="Times New Roman" w:hAnsi="Times New Roman" w:cs="Times New Roman"/>
        </w:rPr>
        <w:t xml:space="preserve"> fail on </w:t>
      </w:r>
      <w:proofErr w:type="spellStart"/>
      <w:r w:rsidR="00FE7751">
        <w:rPr>
          <w:rFonts w:ascii="Times New Roman" w:hAnsi="Times New Roman" w:cs="Times New Roman"/>
        </w:rPr>
        <w:t>innocent</w:t>
      </w:r>
      <w:proofErr w:type="spellEnd"/>
      <w:r w:rsidR="00FE7751">
        <w:rPr>
          <w:rFonts w:ascii="Times New Roman" w:hAnsi="Times New Roman" w:cs="Times New Roman"/>
        </w:rPr>
        <w:t xml:space="preserve"> </w:t>
      </w:r>
      <w:proofErr w:type="spellStart"/>
      <w:r w:rsidR="00FE7751">
        <w:rPr>
          <w:rFonts w:ascii="Times New Roman" w:hAnsi="Times New Roman" w:cs="Times New Roman"/>
        </w:rPr>
        <w:t>investors</w:t>
      </w:r>
      <w:proofErr w:type="spellEnd"/>
      <w:r w:rsidR="00B42305" w:rsidRPr="00705170">
        <w:rPr>
          <w:rStyle w:val="DipnotBavurusu"/>
          <w:rFonts w:ascii="Times New Roman" w:hAnsi="Times New Roman" w:cs="Times New Roman"/>
        </w:rPr>
        <w:footnoteReference w:id="984"/>
      </w:r>
      <w:r w:rsidR="00B42305" w:rsidRPr="00705170">
        <w:rPr>
          <w:rFonts w:ascii="Times New Roman" w:hAnsi="Times New Roman" w:cs="Times New Roman"/>
        </w:rPr>
        <w:t xml:space="preserve">. </w:t>
      </w:r>
      <w:proofErr w:type="spellStart"/>
      <w:r w:rsidR="00726A4A" w:rsidRPr="00705170">
        <w:rPr>
          <w:rFonts w:ascii="Times New Roman" w:hAnsi="Times New Roman" w:cs="Times New Roman"/>
        </w:rPr>
        <w:t>Also</w:t>
      </w:r>
      <w:proofErr w:type="spellEnd"/>
      <w:r w:rsidR="00726A4A" w:rsidRPr="00705170">
        <w:rPr>
          <w:rFonts w:ascii="Times New Roman" w:hAnsi="Times New Roman" w:cs="Times New Roman"/>
        </w:rPr>
        <w:t xml:space="preserve">, a </w:t>
      </w:r>
      <w:proofErr w:type="spellStart"/>
      <w:r w:rsidR="00726A4A" w:rsidRPr="00705170">
        <w:rPr>
          <w:rFonts w:ascii="Times New Roman" w:hAnsi="Times New Roman" w:cs="Times New Roman"/>
        </w:rPr>
        <w:t>remedy</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such</w:t>
      </w:r>
      <w:proofErr w:type="spellEnd"/>
      <w:r w:rsidR="00726A4A" w:rsidRPr="00705170">
        <w:rPr>
          <w:rFonts w:ascii="Times New Roman" w:hAnsi="Times New Roman" w:cs="Times New Roman"/>
        </w:rPr>
        <w:t xml:space="preserve"> as buy- </w:t>
      </w:r>
      <w:proofErr w:type="spellStart"/>
      <w:r w:rsidR="00726A4A" w:rsidRPr="00705170">
        <w:rPr>
          <w:rFonts w:ascii="Times New Roman" w:hAnsi="Times New Roman" w:cs="Times New Roman"/>
        </w:rPr>
        <w:t>out</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may</w:t>
      </w:r>
      <w:proofErr w:type="spellEnd"/>
      <w:r w:rsidR="00726A4A" w:rsidRPr="00705170">
        <w:rPr>
          <w:rFonts w:ascii="Times New Roman" w:hAnsi="Times New Roman" w:cs="Times New Roman"/>
        </w:rPr>
        <w:t xml:space="preserve"> be in </w:t>
      </w:r>
      <w:proofErr w:type="spellStart"/>
      <w:r w:rsidR="00726A4A" w:rsidRPr="00705170">
        <w:rPr>
          <w:rFonts w:ascii="Times New Roman" w:hAnsi="Times New Roman" w:cs="Times New Roman"/>
        </w:rPr>
        <w:t>the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ultimate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interest</w:t>
      </w:r>
      <w:proofErr w:type="spellEnd"/>
      <w:r w:rsidR="00726A4A" w:rsidRPr="00705170">
        <w:rPr>
          <w:rFonts w:ascii="Times New Roman" w:hAnsi="Times New Roman" w:cs="Times New Roman"/>
        </w:rPr>
        <w:t xml:space="preserve"> of </w:t>
      </w:r>
      <w:proofErr w:type="spellStart"/>
      <w:r w:rsidR="00726A4A" w:rsidRPr="00705170">
        <w:rPr>
          <w:rFonts w:ascii="Times New Roman" w:hAnsi="Times New Roman" w:cs="Times New Roman"/>
        </w:rPr>
        <w:t>the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wrongdoer</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because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reason</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that</w:t>
      </w:r>
      <w:proofErr w:type="spellEnd"/>
      <w:r w:rsidR="00726A4A" w:rsidRPr="00705170">
        <w:rPr>
          <w:rFonts w:ascii="Times New Roman" w:hAnsi="Times New Roman" w:cs="Times New Roman"/>
        </w:rPr>
        <w:t xml:space="preserve"> he </w:t>
      </w:r>
      <w:proofErr w:type="spellStart"/>
      <w:r w:rsidR="00726A4A" w:rsidRPr="00705170">
        <w:rPr>
          <w:rFonts w:ascii="Times New Roman" w:hAnsi="Times New Roman" w:cs="Times New Roman"/>
        </w:rPr>
        <w:t>conducted</w:t>
      </w:r>
      <w:proofErr w:type="spellEnd"/>
      <w:r w:rsidR="008D0707" w:rsidRPr="00705170">
        <w:rPr>
          <w:rFonts w:ascii="Times New Roman" w:hAnsi="Times New Roman" w:cs="Times New Roman"/>
        </w:rPr>
        <w:t xml:space="preserve"> </w:t>
      </w:r>
      <w:proofErr w:type="spellStart"/>
      <w:r w:rsidR="008D0707" w:rsidRPr="00705170">
        <w:rPr>
          <w:rFonts w:ascii="Times New Roman" w:hAnsi="Times New Roman" w:cs="Times New Roman"/>
        </w:rPr>
        <w:t>the</w:t>
      </w:r>
      <w:proofErr w:type="spellEnd"/>
      <w:r w:rsidR="008D0707" w:rsidRPr="00705170">
        <w:rPr>
          <w:rFonts w:ascii="Times New Roman" w:hAnsi="Times New Roman" w:cs="Times New Roman"/>
        </w:rPr>
        <w:t xml:space="preserve"> </w:t>
      </w:r>
      <w:proofErr w:type="spellStart"/>
      <w:r w:rsidR="008D0707" w:rsidRPr="00705170">
        <w:rPr>
          <w:rFonts w:ascii="Times New Roman" w:hAnsi="Times New Roman" w:cs="Times New Roman"/>
        </w:rPr>
        <w:t>oppression</w:t>
      </w:r>
      <w:proofErr w:type="spellEnd"/>
      <w:r w:rsidR="008D0707" w:rsidRPr="00705170">
        <w:rPr>
          <w:rFonts w:ascii="Times New Roman" w:hAnsi="Times New Roman" w:cs="Times New Roman"/>
        </w:rPr>
        <w:t xml:space="preserve"> </w:t>
      </w:r>
      <w:proofErr w:type="spellStart"/>
      <w:r w:rsidR="008D0707" w:rsidRPr="00705170">
        <w:rPr>
          <w:rFonts w:ascii="Times New Roman" w:hAnsi="Times New Roman" w:cs="Times New Roman"/>
        </w:rPr>
        <w:t>might</w:t>
      </w:r>
      <w:proofErr w:type="spellEnd"/>
      <w:r w:rsidR="008D0707" w:rsidRPr="00705170">
        <w:rPr>
          <w:rFonts w:ascii="Times New Roman" w:hAnsi="Times New Roman" w:cs="Times New Roman"/>
        </w:rPr>
        <w:t xml:space="preserve"> be </w:t>
      </w:r>
      <w:proofErr w:type="spellStart"/>
      <w:r w:rsidR="008D0707" w:rsidRPr="00705170">
        <w:rPr>
          <w:rFonts w:ascii="Times New Roman" w:hAnsi="Times New Roman" w:cs="Times New Roman"/>
        </w:rPr>
        <w:t>that</w:t>
      </w:r>
      <w:proofErr w:type="spellEnd"/>
      <w:r w:rsidR="00726A4A" w:rsidRPr="00705170">
        <w:rPr>
          <w:rFonts w:ascii="Times New Roman" w:hAnsi="Times New Roman" w:cs="Times New Roman"/>
        </w:rPr>
        <w:t xml:space="preserve"> he </w:t>
      </w:r>
      <w:proofErr w:type="spellStart"/>
      <w:r w:rsidR="00726A4A" w:rsidRPr="00705170">
        <w:rPr>
          <w:rFonts w:ascii="Times New Roman" w:hAnsi="Times New Roman" w:cs="Times New Roman"/>
        </w:rPr>
        <w:t>wants</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to</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trigger</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the</w:t>
      </w:r>
      <w:proofErr w:type="spellEnd"/>
      <w:r w:rsidR="00726A4A" w:rsidRPr="00705170">
        <w:rPr>
          <w:rFonts w:ascii="Times New Roman" w:hAnsi="Times New Roman" w:cs="Times New Roman"/>
        </w:rPr>
        <w:t xml:space="preserve"> buy- </w:t>
      </w:r>
      <w:proofErr w:type="spellStart"/>
      <w:r w:rsidR="00726A4A" w:rsidRPr="00705170">
        <w:rPr>
          <w:rFonts w:ascii="Times New Roman" w:hAnsi="Times New Roman" w:cs="Times New Roman"/>
        </w:rPr>
        <w:t>out</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remedy</w:t>
      </w:r>
      <w:proofErr w:type="spellEnd"/>
      <w:r w:rsidR="00FE7751">
        <w:rPr>
          <w:rFonts w:ascii="Times New Roman" w:hAnsi="Times New Roman" w:cs="Times New Roman"/>
        </w:rPr>
        <w:t>;</w:t>
      </w:r>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and</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buy</w:t>
      </w:r>
      <w:r w:rsidR="00FE7751">
        <w:rPr>
          <w:rFonts w:ascii="Times New Roman" w:hAnsi="Times New Roman" w:cs="Times New Roman"/>
        </w:rPr>
        <w:t>ing</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out</w:t>
      </w:r>
      <w:proofErr w:type="spellEnd"/>
      <w:r w:rsidR="00726A4A" w:rsidRPr="00705170">
        <w:rPr>
          <w:rFonts w:ascii="Times New Roman" w:hAnsi="Times New Roman" w:cs="Times New Roman"/>
        </w:rPr>
        <w:t xml:space="preserve"> </w:t>
      </w:r>
      <w:r w:rsidR="00FE7751">
        <w:rPr>
          <w:rFonts w:ascii="Times New Roman" w:hAnsi="Times New Roman" w:cs="Times New Roman"/>
        </w:rPr>
        <w:t xml:space="preserve">of </w:t>
      </w:r>
      <w:proofErr w:type="spellStart"/>
      <w:r w:rsidR="00726A4A" w:rsidRPr="00705170">
        <w:rPr>
          <w:rFonts w:ascii="Times New Roman" w:hAnsi="Times New Roman" w:cs="Times New Roman"/>
        </w:rPr>
        <w:t>the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shares</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for</w:t>
      </w:r>
      <w:proofErr w:type="spellEnd"/>
      <w:r w:rsidR="00726A4A" w:rsidRPr="00705170">
        <w:rPr>
          <w:rFonts w:ascii="Times New Roman" w:hAnsi="Times New Roman" w:cs="Times New Roman"/>
        </w:rPr>
        <w:t xml:space="preserve"> a </w:t>
      </w:r>
      <w:proofErr w:type="spellStart"/>
      <w:r w:rsidR="00726A4A" w:rsidRPr="00705170">
        <w:rPr>
          <w:rFonts w:ascii="Times New Roman" w:hAnsi="Times New Roman" w:cs="Times New Roman"/>
        </w:rPr>
        <w:t>cheaper</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price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than</w:t>
      </w:r>
      <w:proofErr w:type="spellEnd"/>
      <w:r w:rsidR="004205FD" w:rsidRPr="00705170">
        <w:rPr>
          <w:rFonts w:ascii="Times New Roman" w:hAnsi="Times New Roman" w:cs="Times New Roman"/>
        </w:rPr>
        <w:t xml:space="preserve"> </w:t>
      </w:r>
      <w:proofErr w:type="spellStart"/>
      <w:r w:rsidR="004205FD" w:rsidRPr="00705170">
        <w:rPr>
          <w:rFonts w:ascii="Times New Roman" w:hAnsi="Times New Roman" w:cs="Times New Roman"/>
        </w:rPr>
        <w:t>the</w:t>
      </w:r>
      <w:proofErr w:type="spellEnd"/>
      <w:r w:rsidR="004205FD" w:rsidRPr="00705170">
        <w:rPr>
          <w:rFonts w:ascii="Times New Roman" w:hAnsi="Times New Roman" w:cs="Times New Roman"/>
        </w:rPr>
        <w:t xml:space="preserve"> </w:t>
      </w:r>
      <w:proofErr w:type="spellStart"/>
      <w:r w:rsidR="004205FD" w:rsidRPr="00705170">
        <w:rPr>
          <w:rFonts w:ascii="Times New Roman" w:hAnsi="Times New Roman" w:cs="Times New Roman"/>
        </w:rPr>
        <w:t>price</w:t>
      </w:r>
      <w:proofErr w:type="spellEnd"/>
      <w:r w:rsidR="004205FD" w:rsidRPr="00705170">
        <w:rPr>
          <w:rFonts w:ascii="Times New Roman" w:hAnsi="Times New Roman" w:cs="Times New Roman"/>
        </w:rPr>
        <w:t xml:space="preserve"> </w:t>
      </w:r>
      <w:proofErr w:type="spellStart"/>
      <w:r w:rsidR="004205FD" w:rsidRPr="00705170">
        <w:rPr>
          <w:rFonts w:ascii="Times New Roman" w:hAnsi="Times New Roman" w:cs="Times New Roman"/>
        </w:rPr>
        <w:t>that</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would</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have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been</w:t>
      </w:r>
      <w:proofErr w:type="spellEnd"/>
      <w:r w:rsidR="00726A4A" w:rsidRPr="00705170">
        <w:rPr>
          <w:rFonts w:ascii="Times New Roman" w:hAnsi="Times New Roman" w:cs="Times New Roman"/>
        </w:rPr>
        <w:t xml:space="preserve"> set </w:t>
      </w:r>
      <w:proofErr w:type="spellStart"/>
      <w:r w:rsidR="00726A4A" w:rsidRPr="00705170">
        <w:rPr>
          <w:rFonts w:ascii="Times New Roman" w:hAnsi="Times New Roman" w:cs="Times New Roman"/>
        </w:rPr>
        <w:t>by</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the</w:t>
      </w:r>
      <w:proofErr w:type="spellEnd"/>
      <w:r w:rsidR="00726A4A" w:rsidRPr="00705170">
        <w:rPr>
          <w:rFonts w:ascii="Times New Roman" w:hAnsi="Times New Roman" w:cs="Times New Roman"/>
        </w:rPr>
        <w:t xml:space="preserve"> market </w:t>
      </w:r>
      <w:proofErr w:type="spellStart"/>
      <w:r w:rsidR="008014AC" w:rsidRPr="00705170">
        <w:rPr>
          <w:rFonts w:ascii="Times New Roman" w:hAnsi="Times New Roman" w:cs="Times New Roman"/>
        </w:rPr>
        <w:t>if</w:t>
      </w:r>
      <w:proofErr w:type="spellEnd"/>
      <w:r w:rsidR="008014AC" w:rsidRPr="00705170">
        <w:rPr>
          <w:rFonts w:ascii="Times New Roman" w:hAnsi="Times New Roman" w:cs="Times New Roman"/>
        </w:rPr>
        <w:t xml:space="preserve"> </w:t>
      </w:r>
      <w:proofErr w:type="spellStart"/>
      <w:r w:rsidR="008014AC" w:rsidRPr="00705170">
        <w:rPr>
          <w:rFonts w:ascii="Times New Roman" w:hAnsi="Times New Roman" w:cs="Times New Roman"/>
        </w:rPr>
        <w:t>there</w:t>
      </w:r>
      <w:proofErr w:type="spellEnd"/>
      <w:r w:rsidR="008014AC" w:rsidRPr="00705170">
        <w:rPr>
          <w:rFonts w:ascii="Times New Roman" w:hAnsi="Times New Roman" w:cs="Times New Roman"/>
        </w:rPr>
        <w:t xml:space="preserve"> had </w:t>
      </w:r>
      <w:proofErr w:type="spellStart"/>
      <w:r w:rsidR="008014AC" w:rsidRPr="00705170">
        <w:rPr>
          <w:rFonts w:ascii="Times New Roman" w:hAnsi="Times New Roman" w:cs="Times New Roman"/>
        </w:rPr>
        <w:t>been</w:t>
      </w:r>
      <w:proofErr w:type="spellEnd"/>
      <w:r w:rsidR="008014AC" w:rsidRPr="00705170">
        <w:rPr>
          <w:rFonts w:ascii="Times New Roman" w:hAnsi="Times New Roman" w:cs="Times New Roman"/>
        </w:rPr>
        <w:t xml:space="preserve"> </w:t>
      </w:r>
      <w:proofErr w:type="spellStart"/>
      <w:r w:rsidR="008014AC" w:rsidRPr="00705170">
        <w:rPr>
          <w:rFonts w:ascii="Times New Roman" w:hAnsi="Times New Roman" w:cs="Times New Roman"/>
        </w:rPr>
        <w:t>no</w:t>
      </w:r>
      <w:proofErr w:type="spellEnd"/>
      <w:r w:rsidR="008014AC" w:rsidRPr="00705170">
        <w:rPr>
          <w:rFonts w:ascii="Times New Roman" w:hAnsi="Times New Roman" w:cs="Times New Roman"/>
        </w:rPr>
        <w:t xml:space="preserve"> </w:t>
      </w:r>
      <w:proofErr w:type="spellStart"/>
      <w:r w:rsidR="008014AC" w:rsidRPr="00705170">
        <w:rPr>
          <w:rFonts w:ascii="Times New Roman" w:hAnsi="Times New Roman" w:cs="Times New Roman"/>
        </w:rPr>
        <w:t>private</w:t>
      </w:r>
      <w:proofErr w:type="spellEnd"/>
      <w:r w:rsidR="008014AC" w:rsidRPr="00705170">
        <w:rPr>
          <w:rFonts w:ascii="Times New Roman" w:hAnsi="Times New Roman" w:cs="Times New Roman"/>
        </w:rPr>
        <w:t xml:space="preserve"> </w:t>
      </w:r>
      <w:proofErr w:type="spellStart"/>
      <w:r w:rsidR="008014AC" w:rsidRPr="00705170">
        <w:rPr>
          <w:rFonts w:ascii="Times New Roman" w:hAnsi="Times New Roman" w:cs="Times New Roman"/>
        </w:rPr>
        <w:t>benefit</w:t>
      </w:r>
      <w:proofErr w:type="spellEnd"/>
      <w:r w:rsidR="008014AC" w:rsidRPr="00705170">
        <w:rPr>
          <w:rFonts w:ascii="Times New Roman" w:hAnsi="Times New Roman" w:cs="Times New Roman"/>
        </w:rPr>
        <w:t xml:space="preserve"> </w:t>
      </w:r>
      <w:proofErr w:type="spellStart"/>
      <w:r w:rsidR="008014AC" w:rsidRPr="00705170">
        <w:rPr>
          <w:rFonts w:ascii="Times New Roman" w:hAnsi="Times New Roman" w:cs="Times New Roman"/>
        </w:rPr>
        <w:t>extraction</w:t>
      </w:r>
      <w:proofErr w:type="spellEnd"/>
      <w:r w:rsidR="008014AC" w:rsidRPr="00705170">
        <w:rPr>
          <w:rFonts w:ascii="Times New Roman" w:hAnsi="Times New Roman" w:cs="Times New Roman"/>
        </w:rPr>
        <w:t xml:space="preserve"> </w:t>
      </w:r>
      <w:proofErr w:type="spellStart"/>
      <w:r w:rsidR="00FE7751">
        <w:rPr>
          <w:rFonts w:ascii="Times New Roman" w:hAnsi="Times New Roman" w:cs="Times New Roman"/>
        </w:rPr>
        <w:t>or</w:t>
      </w:r>
      <w:proofErr w:type="spellEnd"/>
      <w:r w:rsidR="00FE7751">
        <w:rPr>
          <w:rFonts w:ascii="Times New Roman" w:hAnsi="Times New Roman" w:cs="Times New Roman"/>
        </w:rPr>
        <w:t xml:space="preserve"> </w:t>
      </w:r>
      <w:proofErr w:type="spellStart"/>
      <w:r w:rsidR="00726A4A" w:rsidRPr="00705170">
        <w:rPr>
          <w:rFonts w:ascii="Times New Roman" w:hAnsi="Times New Roman" w:cs="Times New Roman"/>
        </w:rPr>
        <w:t>trigger</w:t>
      </w:r>
      <w:r w:rsidR="00FE7751">
        <w:rPr>
          <w:rFonts w:ascii="Times New Roman" w:hAnsi="Times New Roman" w:cs="Times New Roman"/>
        </w:rPr>
        <w:t>ing</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other</w:t>
      </w:r>
      <w:proofErr w:type="spellEnd"/>
      <w:r w:rsidR="00726A4A" w:rsidRPr="00705170">
        <w:rPr>
          <w:rFonts w:ascii="Times New Roman" w:hAnsi="Times New Roman" w:cs="Times New Roman"/>
        </w:rPr>
        <w:t xml:space="preserve"> buy- </w:t>
      </w:r>
      <w:proofErr w:type="spellStart"/>
      <w:r w:rsidR="00726A4A" w:rsidRPr="00705170">
        <w:rPr>
          <w:rFonts w:ascii="Times New Roman" w:hAnsi="Times New Roman" w:cs="Times New Roman"/>
        </w:rPr>
        <w:t>out</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rights</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under</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the</w:t>
      </w:r>
      <w:proofErr w:type="spellEnd"/>
      <w:r w:rsidR="00726A4A" w:rsidRPr="00705170">
        <w:rPr>
          <w:rFonts w:ascii="Times New Roman" w:hAnsi="Times New Roman" w:cs="Times New Roman"/>
        </w:rPr>
        <w:t xml:space="preserve"> CML </w:t>
      </w:r>
      <w:proofErr w:type="spellStart"/>
      <w:r w:rsidR="00726A4A" w:rsidRPr="00705170">
        <w:rPr>
          <w:rFonts w:ascii="Times New Roman" w:hAnsi="Times New Roman" w:cs="Times New Roman"/>
        </w:rPr>
        <w:t>for</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shareholders</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reaching</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certain</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thresholds</w:t>
      </w:r>
      <w:proofErr w:type="spellEnd"/>
      <w:r w:rsidR="00FE7751">
        <w:rPr>
          <w:rFonts w:ascii="Times New Roman" w:hAnsi="Times New Roman" w:cs="Times New Roman"/>
        </w:rPr>
        <w:t xml:space="preserve"> </w:t>
      </w:r>
      <w:proofErr w:type="spellStart"/>
      <w:r w:rsidR="00FE7751">
        <w:rPr>
          <w:rFonts w:ascii="Times New Roman" w:hAnsi="Times New Roman" w:cs="Times New Roman"/>
        </w:rPr>
        <w:t>might</w:t>
      </w:r>
      <w:proofErr w:type="spellEnd"/>
      <w:r w:rsidR="00FE7751">
        <w:rPr>
          <w:rFonts w:ascii="Times New Roman" w:hAnsi="Times New Roman" w:cs="Times New Roman"/>
        </w:rPr>
        <w:t xml:space="preserve"> </w:t>
      </w:r>
      <w:proofErr w:type="spellStart"/>
      <w:r w:rsidR="00FE7751">
        <w:rPr>
          <w:rFonts w:ascii="Times New Roman" w:hAnsi="Times New Roman" w:cs="Times New Roman"/>
        </w:rPr>
        <w:t>actually</w:t>
      </w:r>
      <w:proofErr w:type="spellEnd"/>
      <w:r w:rsidR="00FE7751">
        <w:rPr>
          <w:rFonts w:ascii="Times New Roman" w:hAnsi="Times New Roman" w:cs="Times New Roman"/>
        </w:rPr>
        <w:t xml:space="preserve"> </w:t>
      </w:r>
      <w:proofErr w:type="spellStart"/>
      <w:r w:rsidR="00FE7751">
        <w:rPr>
          <w:rFonts w:ascii="Times New Roman" w:hAnsi="Times New Roman" w:cs="Times New Roman"/>
        </w:rPr>
        <w:t>serve</w:t>
      </w:r>
      <w:proofErr w:type="spellEnd"/>
      <w:r w:rsidR="00FE7751">
        <w:rPr>
          <w:rFonts w:ascii="Times New Roman" w:hAnsi="Times New Roman" w:cs="Times New Roman"/>
        </w:rPr>
        <w:t xml:space="preserve"> his plan</w:t>
      </w:r>
      <w:r w:rsidR="00736BFF" w:rsidRPr="00705170">
        <w:rPr>
          <w:rStyle w:val="DipnotBavurusu"/>
          <w:rFonts w:ascii="Times New Roman" w:hAnsi="Times New Roman" w:cs="Times New Roman"/>
        </w:rPr>
        <w:footnoteReference w:id="985"/>
      </w:r>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Thus</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while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structuring</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remedy</w:t>
      </w:r>
      <w:proofErr w:type="spellEnd"/>
      <w:r w:rsidR="00726A4A" w:rsidRPr="00705170">
        <w:rPr>
          <w:rFonts w:ascii="Times New Roman" w:hAnsi="Times New Roman" w:cs="Times New Roman"/>
        </w:rPr>
        <w:t xml:space="preserve">, it is </w:t>
      </w:r>
      <w:proofErr w:type="spellStart"/>
      <w:r w:rsidR="00726A4A" w:rsidRPr="00705170">
        <w:rPr>
          <w:rFonts w:ascii="Times New Roman" w:hAnsi="Times New Roman" w:cs="Times New Roman"/>
        </w:rPr>
        <w:t>important</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to</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think</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that</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wrongdoer</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may</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benefit</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from</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remedy</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because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maybe</w:t>
      </w:r>
      <w:proofErr w:type="spellEnd"/>
      <w:r w:rsidR="00726A4A" w:rsidRPr="00705170">
        <w:rPr>
          <w:rFonts w:ascii="Times New Roman" w:hAnsi="Times New Roman" w:cs="Times New Roman"/>
        </w:rPr>
        <w:t xml:space="preserve"> it </w:t>
      </w:r>
      <w:proofErr w:type="spellStart"/>
      <w:r w:rsidR="00726A4A" w:rsidRPr="00705170">
        <w:rPr>
          <w:rFonts w:ascii="Times New Roman" w:hAnsi="Times New Roman" w:cs="Times New Roman"/>
        </w:rPr>
        <w:t>was</w:t>
      </w:r>
      <w:proofErr w:type="spellEnd"/>
      <w:r w:rsidR="00726A4A" w:rsidRPr="00705170">
        <w:rPr>
          <w:rFonts w:ascii="Times New Roman" w:hAnsi="Times New Roman" w:cs="Times New Roman"/>
        </w:rPr>
        <w:t xml:space="preserve"> his </w:t>
      </w:r>
      <w:proofErr w:type="spellStart"/>
      <w:r w:rsidR="00726A4A" w:rsidRPr="00705170">
        <w:rPr>
          <w:rFonts w:ascii="Times New Roman" w:hAnsi="Times New Roman" w:cs="Times New Roman"/>
        </w:rPr>
        <w:t>intention</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w:t>
      </w:r>
      <w:r w:rsidR="004205FD" w:rsidRPr="00705170">
        <w:rPr>
          <w:rFonts w:ascii="Times New Roman" w:hAnsi="Times New Roman" w:cs="Times New Roman"/>
        </w:rPr>
        <w:t>o</w:t>
      </w:r>
      <w:proofErr w:type="spellEnd"/>
      <w:r w:rsidR="004205FD" w:rsidRPr="00705170">
        <w:rPr>
          <w:rFonts w:ascii="Times New Roman" w:hAnsi="Times New Roman" w:cs="Times New Roman"/>
        </w:rPr>
        <w:t xml:space="preserve"> </w:t>
      </w:r>
      <w:proofErr w:type="spellStart"/>
      <w:r w:rsidR="004205FD" w:rsidRPr="00705170">
        <w:rPr>
          <w:rFonts w:ascii="Times New Roman" w:hAnsi="Times New Roman" w:cs="Times New Roman"/>
        </w:rPr>
        <w:t>lower</w:t>
      </w:r>
      <w:proofErr w:type="spellEnd"/>
      <w:r w:rsidR="004205FD" w:rsidRPr="00705170">
        <w:rPr>
          <w:rFonts w:ascii="Times New Roman" w:hAnsi="Times New Roman" w:cs="Times New Roman"/>
        </w:rPr>
        <w:t xml:space="preserve"> </w:t>
      </w:r>
      <w:proofErr w:type="spellStart"/>
      <w:r w:rsidR="004205FD" w:rsidRPr="00705170">
        <w:rPr>
          <w:rFonts w:ascii="Times New Roman" w:hAnsi="Times New Roman" w:cs="Times New Roman"/>
        </w:rPr>
        <w:t>the</w:t>
      </w:r>
      <w:proofErr w:type="spellEnd"/>
      <w:r w:rsidR="004205FD" w:rsidRPr="00705170">
        <w:rPr>
          <w:rFonts w:ascii="Times New Roman" w:hAnsi="Times New Roman" w:cs="Times New Roman"/>
        </w:rPr>
        <w:t xml:space="preserve"> </w:t>
      </w:r>
      <w:proofErr w:type="spellStart"/>
      <w:r w:rsidR="004205FD" w:rsidRPr="00705170">
        <w:rPr>
          <w:rFonts w:ascii="Times New Roman" w:hAnsi="Times New Roman" w:cs="Times New Roman"/>
        </w:rPr>
        <w:t>share</w:t>
      </w:r>
      <w:proofErr w:type="spellEnd"/>
      <w:r w:rsidR="004205FD" w:rsidRPr="00705170">
        <w:rPr>
          <w:rFonts w:ascii="Times New Roman" w:hAnsi="Times New Roman" w:cs="Times New Roman"/>
        </w:rPr>
        <w:t xml:space="preserve"> </w:t>
      </w:r>
      <w:proofErr w:type="spellStart"/>
      <w:r w:rsidR="004205FD" w:rsidRPr="00705170">
        <w:rPr>
          <w:rFonts w:ascii="Times New Roman" w:hAnsi="Times New Roman" w:cs="Times New Roman"/>
        </w:rPr>
        <w:t>prices</w:t>
      </w:r>
      <w:proofErr w:type="spellEnd"/>
      <w:r w:rsidR="004205FD" w:rsidRPr="00705170">
        <w:rPr>
          <w:rFonts w:ascii="Times New Roman" w:hAnsi="Times New Roman" w:cs="Times New Roman"/>
        </w:rPr>
        <w:t xml:space="preserve"> </w:t>
      </w:r>
      <w:proofErr w:type="spellStart"/>
      <w:r w:rsidR="004205FD" w:rsidRPr="00705170">
        <w:rPr>
          <w:rFonts w:ascii="Times New Roman" w:hAnsi="Times New Roman" w:cs="Times New Roman"/>
        </w:rPr>
        <w:t>and</w:t>
      </w:r>
      <w:proofErr w:type="spellEnd"/>
      <w:r w:rsidR="004205FD" w:rsidRPr="00705170">
        <w:rPr>
          <w:rFonts w:ascii="Times New Roman" w:hAnsi="Times New Roman" w:cs="Times New Roman"/>
        </w:rPr>
        <w:t xml:space="preserve"> </w:t>
      </w:r>
      <w:proofErr w:type="spellStart"/>
      <w:r w:rsidR="004205FD" w:rsidRPr="00705170">
        <w:rPr>
          <w:rFonts w:ascii="Times New Roman" w:hAnsi="Times New Roman" w:cs="Times New Roman"/>
        </w:rPr>
        <w:t>then</w:t>
      </w:r>
      <w:proofErr w:type="spellEnd"/>
      <w:r w:rsidR="004205FD" w:rsidRPr="00705170">
        <w:rPr>
          <w:rFonts w:ascii="Times New Roman" w:hAnsi="Times New Roman" w:cs="Times New Roman"/>
        </w:rPr>
        <w:t xml:space="preserve"> </w:t>
      </w:r>
      <w:proofErr w:type="spellStart"/>
      <w:r w:rsidR="004205FD" w:rsidRPr="00705170">
        <w:rPr>
          <w:rFonts w:ascii="Times New Roman" w:hAnsi="Times New Roman" w:cs="Times New Roman"/>
        </w:rPr>
        <w:t>purchase</w:t>
      </w:r>
      <w:proofErr w:type="spellEnd"/>
      <w:r w:rsidR="004205FD" w:rsidRPr="00705170">
        <w:rPr>
          <w:rFonts w:ascii="Times New Roman" w:hAnsi="Times New Roman" w:cs="Times New Roman"/>
        </w:rPr>
        <w:t xml:space="preserve"> </w:t>
      </w:r>
      <w:proofErr w:type="spellStart"/>
      <w:r w:rsidR="004205FD" w:rsidRPr="00705170">
        <w:rPr>
          <w:rFonts w:ascii="Times New Roman" w:hAnsi="Times New Roman" w:cs="Times New Roman"/>
        </w:rPr>
        <w:t>them</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through</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this</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remedy</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by</w:t>
      </w:r>
      <w:proofErr w:type="spellEnd"/>
      <w:r w:rsidR="00726A4A" w:rsidRPr="00705170">
        <w:rPr>
          <w:rFonts w:ascii="Times New Roman" w:hAnsi="Times New Roman" w:cs="Times New Roman"/>
        </w:rPr>
        <w:t xml:space="preserve"> a </w:t>
      </w:r>
      <w:proofErr w:type="spellStart"/>
      <w:r w:rsidR="00726A4A" w:rsidRPr="00705170">
        <w:rPr>
          <w:rFonts w:ascii="Times New Roman" w:hAnsi="Times New Roman" w:cs="Times New Roman"/>
        </w:rPr>
        <w:t>much</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more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cheaper</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price</w:t>
      </w:r>
      <w:proofErr w:type="spellEnd"/>
      <w:r w:rsidR="00887272" w:rsidRPr="00705170">
        <w:rPr>
          <w:rStyle w:val="DipnotBavurusu"/>
          <w:rFonts w:ascii="Times New Roman" w:hAnsi="Times New Roman" w:cs="Times New Roman"/>
        </w:rPr>
        <w:footnoteReference w:id="986"/>
      </w:r>
      <w:r w:rsidR="00726A4A" w:rsidRPr="00705170">
        <w:rPr>
          <w:rFonts w:ascii="Times New Roman" w:hAnsi="Times New Roman" w:cs="Times New Roman"/>
        </w:rPr>
        <w:t xml:space="preserve">. </w:t>
      </w:r>
    </w:p>
    <w:p w14:paraId="7ECF0B19" w14:textId="41631749" w:rsidR="00B46171" w:rsidRPr="00705170" w:rsidRDefault="006B62AF" w:rsidP="00B42305">
      <w:pPr>
        <w:spacing w:after="240" w:line="480" w:lineRule="auto"/>
        <w:ind w:firstLine="708"/>
        <w:jc w:val="both"/>
        <w:rPr>
          <w:rFonts w:ascii="Times New Roman" w:hAnsi="Times New Roman" w:cs="Times New Roman"/>
        </w:rPr>
      </w:pPr>
      <w:proofErr w:type="spellStart"/>
      <w:r>
        <w:rPr>
          <w:rFonts w:ascii="Times New Roman" w:hAnsi="Times New Roman" w:cs="Times New Roman"/>
        </w:rPr>
        <w:t>It</w:t>
      </w:r>
      <w:proofErr w:type="spellEnd"/>
      <w:r>
        <w:rPr>
          <w:rFonts w:ascii="Times New Roman" w:hAnsi="Times New Roman" w:cs="Times New Roman"/>
        </w:rPr>
        <w:t xml:space="preserve"> is </w:t>
      </w:r>
      <w:proofErr w:type="spellStart"/>
      <w:r>
        <w:rPr>
          <w:rFonts w:ascii="Times New Roman" w:hAnsi="Times New Roman" w:cs="Times New Roman"/>
        </w:rPr>
        <w:t>important</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state</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w</w:t>
      </w:r>
      <w:r w:rsidR="00E30AAC" w:rsidRPr="00705170">
        <w:rPr>
          <w:rFonts w:ascii="Times New Roman" w:hAnsi="Times New Roman" w:cs="Times New Roman"/>
        </w:rPr>
        <w:t>hile</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ordering</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the</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minority</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to</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join</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the</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benefits</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accrued</w:t>
      </w:r>
      <w:proofErr w:type="spellEnd"/>
      <w:r w:rsidR="00E30AAC" w:rsidRPr="00705170">
        <w:rPr>
          <w:rFonts w:ascii="Times New Roman" w:hAnsi="Times New Roman" w:cs="Times New Roman"/>
        </w:rPr>
        <w:t xml:space="preserve"> on </w:t>
      </w:r>
      <w:proofErr w:type="spellStart"/>
      <w:r w:rsidR="00E30AAC" w:rsidRPr="00705170">
        <w:rPr>
          <w:rFonts w:ascii="Times New Roman" w:hAnsi="Times New Roman" w:cs="Times New Roman"/>
        </w:rPr>
        <w:t>the</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inf</w:t>
      </w:r>
      <w:r w:rsidR="00207480" w:rsidRPr="00705170">
        <w:rPr>
          <w:rFonts w:ascii="Times New Roman" w:hAnsi="Times New Roman" w:cs="Times New Roman"/>
        </w:rPr>
        <w:t>luencer</w:t>
      </w:r>
      <w:proofErr w:type="spellEnd"/>
      <w:r w:rsidR="00207480" w:rsidRPr="00705170">
        <w:rPr>
          <w:rFonts w:ascii="Times New Roman" w:hAnsi="Times New Roman" w:cs="Times New Roman"/>
        </w:rPr>
        <w:t xml:space="preserve"> </w:t>
      </w:r>
      <w:proofErr w:type="spellStart"/>
      <w:r w:rsidR="00207480" w:rsidRPr="00705170">
        <w:rPr>
          <w:rFonts w:ascii="Times New Roman" w:hAnsi="Times New Roman" w:cs="Times New Roman"/>
        </w:rPr>
        <w:t>sides</w:t>
      </w:r>
      <w:proofErr w:type="spellEnd"/>
      <w:r w:rsidR="00207480" w:rsidRPr="00705170">
        <w:rPr>
          <w:rFonts w:ascii="Times New Roman" w:hAnsi="Times New Roman" w:cs="Times New Roman"/>
        </w:rPr>
        <w:t xml:space="preserve"> </w:t>
      </w:r>
      <w:proofErr w:type="spellStart"/>
      <w:r w:rsidR="00207480" w:rsidRPr="00705170">
        <w:rPr>
          <w:rFonts w:ascii="Times New Roman" w:hAnsi="Times New Roman" w:cs="Times New Roman"/>
        </w:rPr>
        <w:t>could</w:t>
      </w:r>
      <w:proofErr w:type="spellEnd"/>
      <w:r w:rsidR="00207480" w:rsidRPr="00705170">
        <w:rPr>
          <w:rFonts w:ascii="Times New Roman" w:hAnsi="Times New Roman" w:cs="Times New Roman"/>
        </w:rPr>
        <w:t xml:space="preserve"> </w:t>
      </w:r>
      <w:proofErr w:type="spellStart"/>
      <w:r w:rsidR="00207480" w:rsidRPr="00705170">
        <w:rPr>
          <w:rFonts w:ascii="Times New Roman" w:hAnsi="Times New Roman" w:cs="Times New Roman"/>
        </w:rPr>
        <w:t>have</w:t>
      </w:r>
      <w:proofErr w:type="spellEnd"/>
      <w:r w:rsidR="00207480" w:rsidRPr="00705170">
        <w:rPr>
          <w:rFonts w:ascii="Times New Roman" w:hAnsi="Times New Roman" w:cs="Times New Roman"/>
        </w:rPr>
        <w:t xml:space="preserve"> </w:t>
      </w:r>
      <w:proofErr w:type="spellStart"/>
      <w:r w:rsidR="00207480" w:rsidRPr="00705170">
        <w:rPr>
          <w:rFonts w:ascii="Times New Roman" w:hAnsi="Times New Roman" w:cs="Times New Roman"/>
        </w:rPr>
        <w:t>been</w:t>
      </w:r>
      <w:proofErr w:type="spellEnd"/>
      <w:r w:rsidR="00207480" w:rsidRPr="00705170">
        <w:rPr>
          <w:rFonts w:ascii="Times New Roman" w:hAnsi="Times New Roman" w:cs="Times New Roman"/>
        </w:rPr>
        <w:t xml:space="preserve"> an </w:t>
      </w:r>
      <w:proofErr w:type="spellStart"/>
      <w:r w:rsidR="00207480" w:rsidRPr="00705170">
        <w:rPr>
          <w:rFonts w:ascii="Times New Roman" w:hAnsi="Times New Roman" w:cs="Times New Roman"/>
        </w:rPr>
        <w:t>even</w:t>
      </w:r>
      <w:proofErr w:type="spellEnd"/>
      <w:r w:rsidR="00207480" w:rsidRPr="00705170">
        <w:rPr>
          <w:rFonts w:ascii="Times New Roman" w:hAnsi="Times New Roman" w:cs="Times New Roman"/>
        </w:rPr>
        <w:t xml:space="preserve"> </w:t>
      </w:r>
      <w:proofErr w:type="spellStart"/>
      <w:r w:rsidR="00207480" w:rsidRPr="00705170">
        <w:rPr>
          <w:rFonts w:ascii="Times New Roman" w:hAnsi="Times New Roman" w:cs="Times New Roman"/>
        </w:rPr>
        <w:t>more</w:t>
      </w:r>
      <w:proofErr w:type="spellEnd"/>
      <w:r w:rsidR="00342AFB" w:rsidRPr="00705170">
        <w:rPr>
          <w:rFonts w:ascii="Times New Roman" w:hAnsi="Times New Roman" w:cs="Times New Roman"/>
        </w:rPr>
        <w:t xml:space="preserve"> </w:t>
      </w:r>
      <w:proofErr w:type="spellStart"/>
      <w:r w:rsidR="00342AFB" w:rsidRPr="00705170">
        <w:rPr>
          <w:rFonts w:ascii="Times New Roman" w:hAnsi="Times New Roman" w:cs="Times New Roman"/>
        </w:rPr>
        <w:t>adequate</w:t>
      </w:r>
      <w:proofErr w:type="spellEnd"/>
      <w:r w:rsidR="00342AFB" w:rsidRPr="00705170">
        <w:rPr>
          <w:rFonts w:ascii="Times New Roman" w:hAnsi="Times New Roman" w:cs="Times New Roman"/>
        </w:rPr>
        <w:t xml:space="preserve"> </w:t>
      </w:r>
      <w:proofErr w:type="spellStart"/>
      <w:r w:rsidR="00342AFB" w:rsidRPr="00705170">
        <w:rPr>
          <w:rFonts w:ascii="Times New Roman" w:hAnsi="Times New Roman" w:cs="Times New Roman"/>
        </w:rPr>
        <w:t>remedy</w:t>
      </w:r>
      <w:proofErr w:type="spellEnd"/>
      <w:r w:rsidR="00342AFB" w:rsidRPr="00705170">
        <w:rPr>
          <w:rFonts w:ascii="Times New Roman" w:hAnsi="Times New Roman" w:cs="Times New Roman"/>
        </w:rPr>
        <w:t>,</w:t>
      </w:r>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the</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fact</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that</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the</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non</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pecuniary</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private</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benefits</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cannot</w:t>
      </w:r>
      <w:proofErr w:type="spellEnd"/>
      <w:r w:rsidR="00E30AAC" w:rsidRPr="00705170">
        <w:rPr>
          <w:rFonts w:ascii="Times New Roman" w:hAnsi="Times New Roman" w:cs="Times New Roman"/>
        </w:rPr>
        <w:t xml:space="preserve"> be </w:t>
      </w:r>
      <w:proofErr w:type="spellStart"/>
      <w:r w:rsidR="00E30AAC" w:rsidRPr="00705170">
        <w:rPr>
          <w:rFonts w:ascii="Times New Roman" w:hAnsi="Times New Roman" w:cs="Times New Roman"/>
        </w:rPr>
        <w:t>calculated</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would</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make</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this</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impossible</w:t>
      </w:r>
      <w:proofErr w:type="spellEnd"/>
      <w:r w:rsidR="00E30AAC" w:rsidRPr="00705170">
        <w:rPr>
          <w:rFonts w:ascii="Times New Roman" w:hAnsi="Times New Roman" w:cs="Times New Roman"/>
        </w:rPr>
        <w:t xml:space="preserve">. </w:t>
      </w:r>
      <w:proofErr w:type="spellStart"/>
      <w:r w:rsidR="00E30AAC" w:rsidRPr="00705170">
        <w:rPr>
          <w:rFonts w:ascii="Times New Roman" w:hAnsi="Times New Roman" w:cs="Times New Roman"/>
        </w:rPr>
        <w:t>Moreover</w:t>
      </w:r>
      <w:proofErr w:type="spellEnd"/>
      <w:r w:rsidR="00E30AAC" w:rsidRPr="00705170">
        <w:rPr>
          <w:rFonts w:ascii="Times New Roman" w:hAnsi="Times New Roman" w:cs="Times New Roman"/>
        </w:rPr>
        <w:t xml:space="preserve">, </w:t>
      </w:r>
      <w:proofErr w:type="spellStart"/>
      <w:r w:rsidR="00217A4D" w:rsidRPr="00705170">
        <w:rPr>
          <w:rFonts w:ascii="Times New Roman" w:hAnsi="Times New Roman" w:cs="Times New Roman"/>
        </w:rPr>
        <w:t>due</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to</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the</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nature</w:t>
      </w:r>
      <w:proofErr w:type="spellEnd"/>
      <w:r w:rsidR="00217A4D" w:rsidRPr="00705170">
        <w:rPr>
          <w:rFonts w:ascii="Times New Roman" w:hAnsi="Times New Roman" w:cs="Times New Roman"/>
        </w:rPr>
        <w:t xml:space="preserve"> of </w:t>
      </w:r>
      <w:proofErr w:type="spellStart"/>
      <w:r w:rsidR="00217A4D" w:rsidRPr="00705170">
        <w:rPr>
          <w:rFonts w:ascii="Times New Roman" w:hAnsi="Times New Roman" w:cs="Times New Roman"/>
        </w:rPr>
        <w:t>non</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pecuniary</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benefits</w:t>
      </w:r>
      <w:proofErr w:type="spellEnd"/>
      <w:r w:rsidR="00217A4D" w:rsidRPr="00705170">
        <w:rPr>
          <w:rFonts w:ascii="Times New Roman" w:hAnsi="Times New Roman" w:cs="Times New Roman"/>
        </w:rPr>
        <w:t xml:space="preserve">, it is </w:t>
      </w:r>
      <w:proofErr w:type="spellStart"/>
      <w:r w:rsidR="00217A4D" w:rsidRPr="00705170">
        <w:rPr>
          <w:rFonts w:ascii="Times New Roman" w:hAnsi="Times New Roman" w:cs="Times New Roman"/>
        </w:rPr>
        <w:t>easier</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to</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calculate</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the</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damages</w:t>
      </w:r>
      <w:proofErr w:type="spellEnd"/>
      <w:r w:rsidR="00217A4D" w:rsidRPr="00705170">
        <w:rPr>
          <w:rFonts w:ascii="Times New Roman" w:hAnsi="Times New Roman" w:cs="Times New Roman"/>
        </w:rPr>
        <w:t xml:space="preserve"> it </w:t>
      </w:r>
      <w:proofErr w:type="spellStart"/>
      <w:r w:rsidR="00217A4D" w:rsidRPr="00705170">
        <w:rPr>
          <w:rFonts w:ascii="Times New Roman" w:hAnsi="Times New Roman" w:cs="Times New Roman"/>
        </w:rPr>
        <w:t>gave</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to</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the</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corporation</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compared</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to</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the</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profits</w:t>
      </w:r>
      <w:proofErr w:type="spellEnd"/>
      <w:r w:rsidR="00217A4D" w:rsidRPr="00705170">
        <w:rPr>
          <w:rFonts w:ascii="Times New Roman" w:hAnsi="Times New Roman" w:cs="Times New Roman"/>
        </w:rPr>
        <w:t xml:space="preserve"> it </w:t>
      </w:r>
      <w:proofErr w:type="spellStart"/>
      <w:r w:rsidR="00217A4D" w:rsidRPr="00705170">
        <w:rPr>
          <w:rFonts w:ascii="Times New Roman" w:hAnsi="Times New Roman" w:cs="Times New Roman"/>
        </w:rPr>
        <w:t>accrued</w:t>
      </w:r>
      <w:proofErr w:type="spellEnd"/>
      <w:r w:rsidR="00217A4D" w:rsidRPr="00705170">
        <w:rPr>
          <w:rFonts w:ascii="Times New Roman" w:hAnsi="Times New Roman" w:cs="Times New Roman"/>
        </w:rPr>
        <w:t xml:space="preserve"> on </w:t>
      </w:r>
      <w:proofErr w:type="spellStart"/>
      <w:r w:rsidR="00217A4D" w:rsidRPr="00705170">
        <w:rPr>
          <w:rFonts w:ascii="Times New Roman" w:hAnsi="Times New Roman" w:cs="Times New Roman"/>
        </w:rPr>
        <w:t>the</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influencer’s</w:t>
      </w:r>
      <w:proofErr w:type="spellEnd"/>
      <w:r w:rsidR="00217A4D" w:rsidRPr="00705170">
        <w:rPr>
          <w:rFonts w:ascii="Times New Roman" w:hAnsi="Times New Roman" w:cs="Times New Roman"/>
        </w:rPr>
        <w:t xml:space="preserve"> </w:t>
      </w:r>
      <w:proofErr w:type="spellStart"/>
      <w:r w:rsidR="00217A4D" w:rsidRPr="00705170">
        <w:rPr>
          <w:rFonts w:ascii="Times New Roman" w:hAnsi="Times New Roman" w:cs="Times New Roman"/>
        </w:rPr>
        <w:t>side</w:t>
      </w:r>
      <w:proofErr w:type="spellEnd"/>
      <w:r w:rsidR="00217A4D" w:rsidRPr="00705170">
        <w:rPr>
          <w:rFonts w:ascii="Times New Roman" w:hAnsi="Times New Roman" w:cs="Times New Roman"/>
        </w:rPr>
        <w:t>.</w:t>
      </w:r>
      <w:r w:rsidR="00726A4A" w:rsidRPr="00705170">
        <w:rPr>
          <w:rFonts w:ascii="Times New Roman" w:hAnsi="Times New Roman" w:cs="Times New Roman"/>
        </w:rPr>
        <w:t xml:space="preserve"> </w:t>
      </w:r>
      <w:proofErr w:type="spellStart"/>
      <w:r w:rsidR="00BE139D">
        <w:rPr>
          <w:rFonts w:ascii="Times New Roman" w:hAnsi="Times New Roman" w:cs="Times New Roman"/>
        </w:rPr>
        <w:t>Also</w:t>
      </w:r>
      <w:proofErr w:type="spellEnd"/>
      <w:r w:rsidR="00BE139D">
        <w:rPr>
          <w:rFonts w:ascii="Times New Roman" w:hAnsi="Times New Roman" w:cs="Times New Roman"/>
        </w:rPr>
        <w:t>, a</w:t>
      </w:r>
      <w:r w:rsidR="00726A4A" w:rsidRPr="00705170">
        <w:rPr>
          <w:rFonts w:ascii="Times New Roman" w:hAnsi="Times New Roman" w:cs="Times New Roman"/>
        </w:rPr>
        <w:t xml:space="preserve">s a </w:t>
      </w:r>
      <w:proofErr w:type="spellStart"/>
      <w:r w:rsidR="00726A4A" w:rsidRPr="00705170">
        <w:rPr>
          <w:rFonts w:ascii="Times New Roman" w:hAnsi="Times New Roman" w:cs="Times New Roman"/>
        </w:rPr>
        <w:t>counter</w:t>
      </w:r>
      <w:proofErr w:type="spellEnd"/>
      <w:r w:rsidR="00726A4A" w:rsidRPr="00705170">
        <w:rPr>
          <w:rFonts w:ascii="Times New Roman" w:hAnsi="Times New Roman" w:cs="Times New Roman"/>
        </w:rPr>
        <w:t xml:space="preserve"> </w:t>
      </w:r>
      <w:proofErr w:type="spellStart"/>
      <w:r w:rsidR="00BE139D">
        <w:rPr>
          <w:rFonts w:ascii="Times New Roman" w:hAnsi="Times New Roman" w:cs="Times New Roman"/>
        </w:rPr>
        <w:t>argument</w:t>
      </w:r>
      <w:proofErr w:type="spellEnd"/>
      <w:r w:rsidR="00BE139D">
        <w:rPr>
          <w:rFonts w:ascii="Times New Roman" w:hAnsi="Times New Roman" w:cs="Times New Roman"/>
        </w:rPr>
        <w:t xml:space="preserve"> </w:t>
      </w:r>
      <w:proofErr w:type="spellStart"/>
      <w:r w:rsidR="00BE139D">
        <w:rPr>
          <w:rFonts w:ascii="Times New Roman" w:hAnsi="Times New Roman" w:cs="Times New Roman"/>
        </w:rPr>
        <w:t>to</w:t>
      </w:r>
      <w:proofErr w:type="spellEnd"/>
      <w:r w:rsidR="00BE139D">
        <w:rPr>
          <w:rFonts w:ascii="Times New Roman" w:hAnsi="Times New Roman" w:cs="Times New Roman"/>
        </w:rPr>
        <w:t xml:space="preserve"> </w:t>
      </w:r>
      <w:proofErr w:type="spellStart"/>
      <w:r w:rsidR="00BE139D">
        <w:rPr>
          <w:rFonts w:ascii="Times New Roman" w:hAnsi="Times New Roman" w:cs="Times New Roman"/>
        </w:rPr>
        <w:t>the</w:t>
      </w:r>
      <w:proofErr w:type="spellEnd"/>
      <w:r w:rsidR="00BE139D">
        <w:rPr>
          <w:rFonts w:ascii="Times New Roman" w:hAnsi="Times New Roman" w:cs="Times New Roman"/>
        </w:rPr>
        <w:t xml:space="preserve"> </w:t>
      </w:r>
      <w:proofErr w:type="spellStart"/>
      <w:r w:rsidR="00BE139D">
        <w:rPr>
          <w:rFonts w:ascii="Times New Roman" w:hAnsi="Times New Roman" w:cs="Times New Roman"/>
        </w:rPr>
        <w:t>adequacy</w:t>
      </w:r>
      <w:proofErr w:type="spellEnd"/>
      <w:r w:rsidR="00BE139D">
        <w:rPr>
          <w:rFonts w:ascii="Times New Roman" w:hAnsi="Times New Roman" w:cs="Times New Roman"/>
        </w:rPr>
        <w:t xml:space="preserve"> of </w:t>
      </w:r>
      <w:proofErr w:type="spellStart"/>
      <w:r w:rsidR="00BE139D">
        <w:rPr>
          <w:rFonts w:ascii="Times New Roman" w:hAnsi="Times New Roman" w:cs="Times New Roman"/>
        </w:rPr>
        <w:t>the</w:t>
      </w:r>
      <w:proofErr w:type="spellEnd"/>
      <w:r w:rsidR="00BE139D">
        <w:rPr>
          <w:rFonts w:ascii="Times New Roman" w:hAnsi="Times New Roman" w:cs="Times New Roman"/>
        </w:rPr>
        <w:t xml:space="preserve"> </w:t>
      </w:r>
      <w:proofErr w:type="spellStart"/>
      <w:r w:rsidR="00BE139D">
        <w:rPr>
          <w:rFonts w:ascii="Times New Roman" w:hAnsi="Times New Roman" w:cs="Times New Roman"/>
        </w:rPr>
        <w:lastRenderedPageBreak/>
        <w:t>direct</w:t>
      </w:r>
      <w:proofErr w:type="spellEnd"/>
      <w:r w:rsidR="00BE139D">
        <w:rPr>
          <w:rFonts w:ascii="Times New Roman" w:hAnsi="Times New Roman" w:cs="Times New Roman"/>
        </w:rPr>
        <w:t xml:space="preserve"> </w:t>
      </w:r>
      <w:proofErr w:type="spellStart"/>
      <w:r w:rsidR="00BE139D">
        <w:rPr>
          <w:rFonts w:ascii="Times New Roman" w:hAnsi="Times New Roman" w:cs="Times New Roman"/>
        </w:rPr>
        <w:t>compensation</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remedy</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one</w:t>
      </w:r>
      <w:proofErr w:type="spellEnd"/>
      <w:r w:rsidR="00726A4A" w:rsidRPr="00705170">
        <w:rPr>
          <w:rFonts w:ascii="Times New Roman" w:hAnsi="Times New Roman" w:cs="Times New Roman"/>
        </w:rPr>
        <w:t xml:space="preserve"> can say </w:t>
      </w:r>
      <w:proofErr w:type="spellStart"/>
      <w:r w:rsidR="00726A4A" w:rsidRPr="00705170">
        <w:rPr>
          <w:rFonts w:ascii="Times New Roman" w:hAnsi="Times New Roman" w:cs="Times New Roman"/>
        </w:rPr>
        <w:t>that</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the</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court</w:t>
      </w:r>
      <w:proofErr w:type="spellEnd"/>
      <w:r w:rsidR="00726A4A" w:rsidRPr="00705170">
        <w:rPr>
          <w:rFonts w:ascii="Times New Roman" w:hAnsi="Times New Roman" w:cs="Times New Roman"/>
        </w:rPr>
        <w:t xml:space="preserve"> </w:t>
      </w:r>
      <w:proofErr w:type="spellStart"/>
      <w:r w:rsidR="00726A4A" w:rsidRPr="00705170">
        <w:rPr>
          <w:rFonts w:ascii="Times New Roman" w:hAnsi="Times New Roman" w:cs="Times New Roman"/>
        </w:rPr>
        <w:t>should</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while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awarding</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damages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directly</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to</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the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innocent</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shareholder</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may</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seem</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equitable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with</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respect</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to</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the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parties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before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court</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other</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interests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particularly</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those</w:t>
      </w:r>
      <w:proofErr w:type="spellEnd"/>
      <w:r w:rsidR="00B51104" w:rsidRPr="00705170">
        <w:rPr>
          <w:rFonts w:ascii="Times New Roman" w:hAnsi="Times New Roman" w:cs="Times New Roman"/>
        </w:rPr>
        <w:t xml:space="preserve"> of </w:t>
      </w:r>
      <w:proofErr w:type="spellStart"/>
      <w:r w:rsidR="00B51104" w:rsidRPr="00705170">
        <w:rPr>
          <w:rFonts w:ascii="Times New Roman" w:hAnsi="Times New Roman" w:cs="Times New Roman"/>
        </w:rPr>
        <w:t>the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corporation’s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creditors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should</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no</w:t>
      </w:r>
      <w:proofErr w:type="spellEnd"/>
      <w:r w:rsidR="00B51104" w:rsidRPr="00705170">
        <w:rPr>
          <w:rFonts w:ascii="Times New Roman" w:hAnsi="Times New Roman" w:cs="Times New Roman"/>
        </w:rPr>
        <w:t xml:space="preserve"> be </w:t>
      </w:r>
      <w:proofErr w:type="spellStart"/>
      <w:r w:rsidR="00B51104" w:rsidRPr="00705170">
        <w:rPr>
          <w:rFonts w:ascii="Times New Roman" w:hAnsi="Times New Roman" w:cs="Times New Roman"/>
        </w:rPr>
        <w:t>overlooked</w:t>
      </w:r>
      <w:proofErr w:type="spellEnd"/>
      <w:r w:rsidR="00B51104" w:rsidRPr="00705170">
        <w:rPr>
          <w:rFonts w:ascii="Times New Roman" w:hAnsi="Times New Roman" w:cs="Times New Roman"/>
        </w:rPr>
        <w:t>”</w:t>
      </w:r>
      <w:r w:rsidR="00B51104" w:rsidRPr="00705170">
        <w:rPr>
          <w:rStyle w:val="DipnotBavurusu"/>
          <w:rFonts w:ascii="Times New Roman" w:hAnsi="Times New Roman" w:cs="Times New Roman"/>
        </w:rPr>
        <w:footnoteReference w:id="987"/>
      </w:r>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Still</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the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creditor</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interests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should</w:t>
      </w:r>
      <w:proofErr w:type="spellEnd"/>
      <w:r w:rsidR="00B51104" w:rsidRPr="00705170">
        <w:rPr>
          <w:rFonts w:ascii="Times New Roman" w:hAnsi="Times New Roman" w:cs="Times New Roman"/>
        </w:rPr>
        <w:t xml:space="preserve"> not </w:t>
      </w:r>
      <w:proofErr w:type="spellStart"/>
      <w:r w:rsidR="00B51104" w:rsidRPr="00705170">
        <w:rPr>
          <w:rFonts w:ascii="Times New Roman" w:hAnsi="Times New Roman" w:cs="Times New Roman"/>
        </w:rPr>
        <w:t>predominate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over</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shareholder</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interests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because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creditors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are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already</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adequately</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protected</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by</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various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provisions</w:t>
      </w:r>
      <w:proofErr w:type="spellEnd"/>
      <w:r w:rsidR="00B51104" w:rsidRPr="00705170">
        <w:rPr>
          <w:rFonts w:ascii="Times New Roman" w:hAnsi="Times New Roman" w:cs="Times New Roman"/>
        </w:rPr>
        <w:t xml:space="preserve"> in </w:t>
      </w:r>
      <w:proofErr w:type="spellStart"/>
      <w:r w:rsidR="00B51104" w:rsidRPr="00705170">
        <w:rPr>
          <w:rFonts w:ascii="Times New Roman" w:hAnsi="Times New Roman" w:cs="Times New Roman"/>
        </w:rPr>
        <w:t>the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statute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even</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when</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the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corporation</w:t>
      </w:r>
      <w:proofErr w:type="spellEnd"/>
      <w:r w:rsidR="00B51104" w:rsidRPr="00705170">
        <w:rPr>
          <w:rFonts w:ascii="Times New Roman" w:hAnsi="Times New Roman" w:cs="Times New Roman"/>
        </w:rPr>
        <w:t xml:space="preserve"> is </w:t>
      </w:r>
      <w:proofErr w:type="spellStart"/>
      <w:r w:rsidR="00B51104" w:rsidRPr="00705170">
        <w:rPr>
          <w:rFonts w:ascii="Times New Roman" w:hAnsi="Times New Roman" w:cs="Times New Roman"/>
        </w:rPr>
        <w:t>solvent</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and</w:t>
      </w:r>
      <w:proofErr w:type="spellEnd"/>
      <w:r w:rsidR="00B51104" w:rsidRPr="00705170">
        <w:rPr>
          <w:rFonts w:ascii="Times New Roman" w:hAnsi="Times New Roman" w:cs="Times New Roman"/>
        </w:rPr>
        <w:t xml:space="preserve"> in </w:t>
      </w:r>
      <w:proofErr w:type="spellStart"/>
      <w:r w:rsidR="00B51104" w:rsidRPr="00705170">
        <w:rPr>
          <w:rFonts w:ascii="Times New Roman" w:hAnsi="Times New Roman" w:cs="Times New Roman"/>
        </w:rPr>
        <w:t>most</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cases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shareholders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will</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activate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other</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measures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that</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would</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protect</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both</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the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shareholder</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and</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creditors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interest</w:t>
      </w:r>
      <w:proofErr w:type="spellEnd"/>
      <w:r w:rsidR="00B51104" w:rsidRPr="00705170">
        <w:rPr>
          <w:rFonts w:ascii="Times New Roman" w:hAnsi="Times New Roman" w:cs="Times New Roman"/>
        </w:rPr>
        <w:t xml:space="preserve"> at </w:t>
      </w:r>
      <w:proofErr w:type="spellStart"/>
      <w:r w:rsidR="00B51104" w:rsidRPr="00705170">
        <w:rPr>
          <w:rFonts w:ascii="Times New Roman" w:hAnsi="Times New Roman" w:cs="Times New Roman"/>
        </w:rPr>
        <w:t>the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same</w:t>
      </w:r>
      <w:proofErr w:type="spellEnd"/>
      <w:r w:rsidR="00B51104" w:rsidRPr="00705170">
        <w:rPr>
          <w:rFonts w:ascii="Times New Roman" w:hAnsi="Times New Roman" w:cs="Times New Roman"/>
        </w:rPr>
        <w:t xml:space="preserve"> time, </w:t>
      </w:r>
      <w:proofErr w:type="spellStart"/>
      <w:r w:rsidR="00B51104" w:rsidRPr="00705170">
        <w:rPr>
          <w:rFonts w:ascii="Times New Roman" w:hAnsi="Times New Roman" w:cs="Times New Roman"/>
        </w:rPr>
        <w:t>such</w:t>
      </w:r>
      <w:proofErr w:type="spellEnd"/>
      <w:r w:rsidR="00B51104" w:rsidRPr="00705170">
        <w:rPr>
          <w:rFonts w:ascii="Times New Roman" w:hAnsi="Times New Roman" w:cs="Times New Roman"/>
        </w:rPr>
        <w:t xml:space="preserve"> as </w:t>
      </w:r>
      <w:proofErr w:type="spellStart"/>
      <w:r w:rsidR="00B51104" w:rsidRPr="00705170">
        <w:rPr>
          <w:rFonts w:ascii="Times New Roman" w:hAnsi="Times New Roman" w:cs="Times New Roman"/>
        </w:rPr>
        <w:t>the</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ones</w:t>
      </w:r>
      <w:proofErr w:type="spellEnd"/>
      <w:r w:rsidR="00B51104" w:rsidRPr="00705170">
        <w:rPr>
          <w:rFonts w:ascii="Times New Roman" w:hAnsi="Times New Roman" w:cs="Times New Roman"/>
        </w:rPr>
        <w:t xml:space="preserve"> </w:t>
      </w:r>
      <w:proofErr w:type="spellStart"/>
      <w:r w:rsidR="00B51104" w:rsidRPr="00705170">
        <w:rPr>
          <w:rFonts w:ascii="Times New Roman" w:hAnsi="Times New Roman" w:cs="Times New Roman"/>
        </w:rPr>
        <w:t>relat</w:t>
      </w:r>
      <w:r w:rsidR="00BE139D">
        <w:rPr>
          <w:rFonts w:ascii="Times New Roman" w:hAnsi="Times New Roman" w:cs="Times New Roman"/>
        </w:rPr>
        <w:t>ing</w:t>
      </w:r>
      <w:proofErr w:type="spellEnd"/>
      <w:r w:rsidR="00BE139D">
        <w:rPr>
          <w:rFonts w:ascii="Times New Roman" w:hAnsi="Times New Roman" w:cs="Times New Roman"/>
        </w:rPr>
        <w:t xml:space="preserve"> </w:t>
      </w:r>
      <w:proofErr w:type="spellStart"/>
      <w:r w:rsidR="00BE139D">
        <w:rPr>
          <w:rFonts w:ascii="Times New Roman" w:hAnsi="Times New Roman" w:cs="Times New Roman"/>
        </w:rPr>
        <w:t>to</w:t>
      </w:r>
      <w:proofErr w:type="spellEnd"/>
      <w:r w:rsidR="00BE139D">
        <w:rPr>
          <w:rFonts w:ascii="Times New Roman" w:hAnsi="Times New Roman" w:cs="Times New Roman"/>
        </w:rPr>
        <w:t xml:space="preserve"> </w:t>
      </w:r>
      <w:proofErr w:type="spellStart"/>
      <w:r w:rsidR="00BE139D">
        <w:rPr>
          <w:rFonts w:ascii="Times New Roman" w:hAnsi="Times New Roman" w:cs="Times New Roman"/>
        </w:rPr>
        <w:t>rules</w:t>
      </w:r>
      <w:proofErr w:type="spellEnd"/>
      <w:r w:rsidR="00BE139D">
        <w:rPr>
          <w:rFonts w:ascii="Times New Roman" w:hAnsi="Times New Roman" w:cs="Times New Roman"/>
        </w:rPr>
        <w:t xml:space="preserve"> of </w:t>
      </w:r>
      <w:proofErr w:type="spellStart"/>
      <w:r w:rsidR="00BE139D">
        <w:rPr>
          <w:rFonts w:ascii="Times New Roman" w:hAnsi="Times New Roman" w:cs="Times New Roman"/>
        </w:rPr>
        <w:t>stated</w:t>
      </w:r>
      <w:proofErr w:type="spellEnd"/>
      <w:r w:rsidR="00BE139D">
        <w:rPr>
          <w:rFonts w:ascii="Times New Roman" w:hAnsi="Times New Roman" w:cs="Times New Roman"/>
        </w:rPr>
        <w:t xml:space="preserve"> in </w:t>
      </w:r>
      <w:proofErr w:type="spellStart"/>
      <w:r w:rsidR="00BE139D">
        <w:rPr>
          <w:rFonts w:ascii="Times New Roman" w:hAnsi="Times New Roman" w:cs="Times New Roman"/>
        </w:rPr>
        <w:t>Chapter</w:t>
      </w:r>
      <w:proofErr w:type="spellEnd"/>
      <w:r w:rsidR="00BE139D">
        <w:rPr>
          <w:rFonts w:ascii="Times New Roman" w:hAnsi="Times New Roman" w:cs="Times New Roman"/>
        </w:rPr>
        <w:t xml:space="preserve"> I</w:t>
      </w:r>
      <w:r w:rsidR="00C01441">
        <w:rPr>
          <w:rFonts w:ascii="Times New Roman" w:hAnsi="Times New Roman" w:cs="Times New Roman"/>
        </w:rPr>
        <w:t>II</w:t>
      </w:r>
      <w:r w:rsidR="00B51104" w:rsidRPr="00705170">
        <w:rPr>
          <w:rFonts w:ascii="Times New Roman" w:hAnsi="Times New Roman" w:cs="Times New Roman"/>
        </w:rPr>
        <w:t>.</w:t>
      </w:r>
      <w:r w:rsidR="00B42305" w:rsidRPr="00705170">
        <w:rPr>
          <w:rFonts w:ascii="Times New Roman" w:hAnsi="Times New Roman" w:cs="Times New Roman"/>
        </w:rPr>
        <w:t xml:space="preserve"> </w:t>
      </w:r>
    </w:p>
    <w:p w14:paraId="58D90CA1" w14:textId="11812057" w:rsidR="0084032C" w:rsidRPr="00705170" w:rsidRDefault="0084032C" w:rsidP="00F64D38">
      <w:pPr>
        <w:tabs>
          <w:tab w:val="left" w:pos="708"/>
          <w:tab w:val="left" w:pos="1416"/>
          <w:tab w:val="left" w:pos="2124"/>
          <w:tab w:val="left" w:pos="2832"/>
          <w:tab w:val="left" w:pos="3540"/>
          <w:tab w:val="left" w:pos="4248"/>
          <w:tab w:val="left" w:pos="4956"/>
          <w:tab w:val="left" w:pos="5646"/>
        </w:tabs>
        <w:spacing w:after="240" w:line="480" w:lineRule="auto"/>
        <w:jc w:val="both"/>
        <w:rPr>
          <w:rFonts w:ascii="Times New Roman" w:hAnsi="Times New Roman" w:cs="Times New Roman"/>
          <w:b/>
        </w:rPr>
      </w:pPr>
      <w:r w:rsidRPr="00705170">
        <w:rPr>
          <w:rFonts w:ascii="Times New Roman" w:hAnsi="Times New Roman" w:cs="Times New Roman"/>
          <w:b/>
        </w:rPr>
        <w:tab/>
      </w:r>
      <w:r w:rsidR="00C01441">
        <w:rPr>
          <w:rFonts w:ascii="Times New Roman" w:hAnsi="Times New Roman" w:cs="Times New Roman"/>
          <w:b/>
        </w:rPr>
        <w:t>5</w:t>
      </w:r>
      <w:r w:rsidRPr="00705170">
        <w:rPr>
          <w:rFonts w:ascii="Times New Roman" w:hAnsi="Times New Roman" w:cs="Times New Roman"/>
          <w:b/>
        </w:rPr>
        <w:t xml:space="preserve">.5.2. </w:t>
      </w:r>
      <w:proofErr w:type="spellStart"/>
      <w:r w:rsidRPr="00705170">
        <w:rPr>
          <w:rFonts w:ascii="Times New Roman" w:hAnsi="Times New Roman" w:cs="Times New Roman"/>
          <w:b/>
        </w:rPr>
        <w:t>The</w:t>
      </w:r>
      <w:proofErr w:type="spellEnd"/>
      <w:r w:rsidRPr="00705170">
        <w:rPr>
          <w:rFonts w:ascii="Times New Roman" w:hAnsi="Times New Roman" w:cs="Times New Roman"/>
          <w:b/>
        </w:rPr>
        <w:t xml:space="preserve"> Problem of Direct </w:t>
      </w:r>
      <w:proofErr w:type="spellStart"/>
      <w:r w:rsidRPr="00705170">
        <w:rPr>
          <w:rFonts w:ascii="Times New Roman" w:hAnsi="Times New Roman" w:cs="Times New Roman"/>
          <w:b/>
        </w:rPr>
        <w:t>Compensation</w:t>
      </w:r>
      <w:proofErr w:type="spellEnd"/>
      <w:r w:rsidR="00F64D38" w:rsidRPr="00705170">
        <w:rPr>
          <w:rFonts w:ascii="Times New Roman" w:hAnsi="Times New Roman" w:cs="Times New Roman"/>
          <w:b/>
        </w:rPr>
        <w:tab/>
      </w:r>
    </w:p>
    <w:p w14:paraId="448F5953" w14:textId="0711D040" w:rsidR="00FD7012" w:rsidRPr="00705170" w:rsidRDefault="00FD7012" w:rsidP="0084032C">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general </w:t>
      </w:r>
      <w:proofErr w:type="spellStart"/>
      <w:r w:rsidRPr="00705170">
        <w:rPr>
          <w:rFonts w:ascii="Times New Roman" w:hAnsi="Times New Roman" w:cs="Times New Roman"/>
        </w:rPr>
        <w:t>rule</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Turkish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cannot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give</w:t>
      </w:r>
      <w:proofErr w:type="spellEnd"/>
      <w:r w:rsidRPr="00705170">
        <w:rPr>
          <w:rFonts w:ascii="Times New Roman" w:hAnsi="Times New Roman" w:cs="Times New Roman"/>
        </w:rPr>
        <w:t xml:space="preserve"> an </w:t>
      </w:r>
      <w:proofErr w:type="spellStart"/>
      <w:r w:rsidRPr="00705170">
        <w:rPr>
          <w:rFonts w:ascii="Times New Roman" w:hAnsi="Times New Roman" w:cs="Times New Roman"/>
        </w:rPr>
        <w:t>order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against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person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who</w:t>
      </w:r>
      <w:proofErr w:type="spellEnd"/>
      <w:r w:rsidRPr="00705170">
        <w:rPr>
          <w:rFonts w:ascii="Times New Roman" w:hAnsi="Times New Roman" w:cs="Times New Roman"/>
        </w:rPr>
        <w:t xml:space="preserve"> is not a </w:t>
      </w:r>
      <w:proofErr w:type="spellStart"/>
      <w:r w:rsidRPr="00705170">
        <w:rPr>
          <w:rFonts w:ascii="Times New Roman" w:hAnsi="Times New Roman" w:cs="Times New Roman"/>
        </w:rPr>
        <w:t>part</w:t>
      </w:r>
      <w:r w:rsidR="00502DB2" w:rsidRPr="00705170">
        <w:rPr>
          <w:rFonts w:ascii="Times New Roman" w:hAnsi="Times New Roman" w:cs="Times New Roman"/>
        </w:rPr>
        <w: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i.e</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third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party</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terms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case</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defendant</w:t>
      </w:r>
      <w:proofErr w:type="spellEnd"/>
      <w:r w:rsidRPr="00705170">
        <w:rPr>
          <w:rStyle w:val="DipnotBavurusu"/>
          <w:rFonts w:ascii="Times New Roman" w:hAnsi="Times New Roman" w:cs="Times New Roman"/>
        </w:rPr>
        <w:footnoteReference w:id="988"/>
      </w:r>
      <w:r w:rsidR="008A1777" w:rsidRPr="00705170">
        <w:rPr>
          <w:rFonts w:ascii="Times New Roman" w:hAnsi="Times New Roman" w:cs="Times New Roman"/>
        </w:rPr>
        <w:t xml:space="preserve">, </w:t>
      </w:r>
      <w:proofErr w:type="spellStart"/>
      <w:r w:rsidR="008A1777" w:rsidRPr="00705170">
        <w:rPr>
          <w:rFonts w:ascii="Times New Roman" w:hAnsi="Times New Roman" w:cs="Times New Roman"/>
        </w:rPr>
        <w:t>unless</w:t>
      </w:r>
      <w:proofErr w:type="spellEnd"/>
      <w:r w:rsidR="008A1777" w:rsidRPr="00705170">
        <w:rPr>
          <w:rFonts w:ascii="Times New Roman" w:hAnsi="Times New Roman" w:cs="Times New Roman"/>
        </w:rPr>
        <w:t xml:space="preserve"> </w:t>
      </w:r>
      <w:proofErr w:type="spellStart"/>
      <w:r w:rsidR="008A1777" w:rsidRPr="00705170">
        <w:rPr>
          <w:rFonts w:ascii="Times New Roman" w:hAnsi="Times New Roman" w:cs="Times New Roman"/>
        </w:rPr>
        <w:t>there</w:t>
      </w:r>
      <w:proofErr w:type="spellEnd"/>
      <w:r w:rsidR="008A1777" w:rsidRPr="00705170">
        <w:rPr>
          <w:rFonts w:ascii="Times New Roman" w:hAnsi="Times New Roman" w:cs="Times New Roman"/>
        </w:rPr>
        <w:t xml:space="preserve"> is an </w:t>
      </w:r>
      <w:proofErr w:type="spellStart"/>
      <w:r w:rsidR="008A1777" w:rsidRPr="00705170">
        <w:rPr>
          <w:rFonts w:ascii="Times New Roman" w:hAnsi="Times New Roman" w:cs="Times New Roman"/>
        </w:rPr>
        <w:t>explicit</w:t>
      </w:r>
      <w:proofErr w:type="spellEnd"/>
      <w:r w:rsidR="008A1777" w:rsidRPr="00705170">
        <w:rPr>
          <w:rFonts w:ascii="Times New Roman" w:hAnsi="Times New Roman" w:cs="Times New Roman"/>
        </w:rPr>
        <w:t xml:space="preserve"> </w:t>
      </w:r>
      <w:proofErr w:type="spellStart"/>
      <w:r w:rsidR="008A1777" w:rsidRPr="00705170">
        <w:rPr>
          <w:rFonts w:ascii="Times New Roman" w:hAnsi="Times New Roman" w:cs="Times New Roman"/>
        </w:rPr>
        <w:t>statutory</w:t>
      </w:r>
      <w:proofErr w:type="spellEnd"/>
      <w:r w:rsidR="008A1777" w:rsidRPr="00705170">
        <w:rPr>
          <w:rFonts w:ascii="Times New Roman" w:hAnsi="Times New Roman" w:cs="Times New Roman"/>
        </w:rPr>
        <w:t xml:space="preserve"> </w:t>
      </w:r>
      <w:proofErr w:type="spellStart"/>
      <w:r w:rsidR="008A1777" w:rsidRPr="00705170">
        <w:rPr>
          <w:rFonts w:ascii="Times New Roman" w:hAnsi="Times New Roman" w:cs="Times New Roman"/>
        </w:rPr>
        <w:t>ground</w:t>
      </w:r>
      <w:proofErr w:type="spellEnd"/>
      <w:r w:rsidR="008A1777" w:rsidRPr="00705170">
        <w:rPr>
          <w:rFonts w:ascii="Times New Roman" w:hAnsi="Times New Roman" w:cs="Times New Roman"/>
        </w:rPr>
        <w:t xml:space="preserve"> </w:t>
      </w:r>
      <w:proofErr w:type="spellStart"/>
      <w:r w:rsidR="008A1777" w:rsidRPr="00705170">
        <w:rPr>
          <w:rFonts w:ascii="Times New Roman" w:hAnsi="Times New Roman" w:cs="Times New Roman"/>
        </w:rPr>
        <w:t>or</w:t>
      </w:r>
      <w:proofErr w:type="spellEnd"/>
      <w:r w:rsidR="008A1777" w:rsidRPr="00705170">
        <w:rPr>
          <w:rFonts w:ascii="Times New Roman" w:hAnsi="Times New Roman" w:cs="Times New Roman"/>
        </w:rPr>
        <w:t xml:space="preserve"> </w:t>
      </w:r>
      <w:proofErr w:type="spellStart"/>
      <w:r w:rsidR="008A1777" w:rsidRPr="00705170">
        <w:rPr>
          <w:rFonts w:ascii="Times New Roman" w:hAnsi="Times New Roman" w:cs="Times New Roman"/>
        </w:rPr>
        <w:t>succession</w:t>
      </w:r>
      <w:proofErr w:type="spellEnd"/>
      <w:r w:rsidR="008A1777" w:rsidRPr="00705170">
        <w:rPr>
          <w:rStyle w:val="DipnotBavurusu"/>
          <w:rFonts w:ascii="Times New Roman" w:hAnsi="Times New Roman" w:cs="Times New Roman"/>
        </w:rPr>
        <w:footnoteReference w:id="989"/>
      </w:r>
      <w:r w:rsidR="008A1777" w:rsidRPr="00705170">
        <w:rPr>
          <w:rFonts w:ascii="Times New Roman" w:hAnsi="Times New Roman" w:cs="Times New Roman"/>
        </w:rPr>
        <w:t>.</w:t>
      </w:r>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Accordingly</w:t>
      </w:r>
      <w:proofErr w:type="spellEnd"/>
      <w:r w:rsidR="009827AB" w:rsidRPr="00705170">
        <w:rPr>
          <w:rFonts w:ascii="Times New Roman" w:hAnsi="Times New Roman" w:cs="Times New Roman"/>
        </w:rPr>
        <w:t xml:space="preserve">, it is </w:t>
      </w:r>
      <w:proofErr w:type="spellStart"/>
      <w:r w:rsidR="009827AB" w:rsidRPr="00705170">
        <w:rPr>
          <w:rFonts w:ascii="Times New Roman" w:hAnsi="Times New Roman" w:cs="Times New Roman"/>
        </w:rPr>
        <w:t>said</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that</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no</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one</w:t>
      </w:r>
      <w:proofErr w:type="spellEnd"/>
      <w:r w:rsidR="009827AB" w:rsidRPr="00705170">
        <w:rPr>
          <w:rFonts w:ascii="Times New Roman" w:hAnsi="Times New Roman" w:cs="Times New Roman"/>
        </w:rPr>
        <w:t xml:space="preserve"> apart </w:t>
      </w:r>
      <w:proofErr w:type="spellStart"/>
      <w:r w:rsidR="009827AB" w:rsidRPr="00705170">
        <w:rPr>
          <w:rFonts w:ascii="Times New Roman" w:hAnsi="Times New Roman" w:cs="Times New Roman"/>
        </w:rPr>
        <w:t>from</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the</w:t>
      </w:r>
      <w:proofErr w:type="spellEnd"/>
      <w:r w:rsidR="009827AB" w:rsidRPr="00705170">
        <w:rPr>
          <w:rFonts w:ascii="Times New Roman" w:hAnsi="Times New Roman" w:cs="Times New Roman"/>
        </w:rPr>
        <w:t xml:space="preserve"> </w:t>
      </w:r>
      <w:proofErr w:type="spellStart"/>
      <w:r w:rsidR="0048443B">
        <w:rPr>
          <w:rFonts w:ascii="Times New Roman" w:hAnsi="Times New Roman" w:cs="Times New Roman"/>
        </w:rPr>
        <w:t>corporation</w:t>
      </w:r>
      <w:proofErr w:type="spellEnd"/>
      <w:r w:rsidR="0048443B">
        <w:rPr>
          <w:rFonts w:ascii="Times New Roman" w:hAnsi="Times New Roman" w:cs="Times New Roman"/>
        </w:rPr>
        <w:t xml:space="preserve"> </w:t>
      </w:r>
      <w:r w:rsidR="009827AB" w:rsidRPr="00705170">
        <w:rPr>
          <w:rFonts w:ascii="Times New Roman" w:hAnsi="Times New Roman" w:cs="Times New Roman"/>
        </w:rPr>
        <w:t xml:space="preserve">can be </w:t>
      </w:r>
      <w:proofErr w:type="spellStart"/>
      <w:r w:rsidR="009827AB" w:rsidRPr="00705170">
        <w:rPr>
          <w:rFonts w:ascii="Times New Roman" w:hAnsi="Times New Roman" w:cs="Times New Roman"/>
        </w:rPr>
        <w:t>made</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the</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defendant</w:t>
      </w:r>
      <w:proofErr w:type="spellEnd"/>
      <w:r w:rsidR="009827AB" w:rsidRPr="00705170">
        <w:rPr>
          <w:rFonts w:ascii="Times New Roman" w:hAnsi="Times New Roman" w:cs="Times New Roman"/>
        </w:rPr>
        <w:t xml:space="preserve"> of an </w:t>
      </w:r>
      <w:proofErr w:type="spellStart"/>
      <w:r w:rsidR="009827AB" w:rsidRPr="00705170">
        <w:rPr>
          <w:rFonts w:ascii="Times New Roman" w:hAnsi="Times New Roman" w:cs="Times New Roman"/>
        </w:rPr>
        <w:t>involuntary</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dissolution</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case</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and</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corollary</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the</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court</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cannot</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order</w:t>
      </w:r>
      <w:proofErr w:type="spellEnd"/>
      <w:r w:rsidR="009827AB" w:rsidRPr="00705170">
        <w:rPr>
          <w:rFonts w:ascii="Times New Roman" w:hAnsi="Times New Roman" w:cs="Times New Roman"/>
        </w:rPr>
        <w:t xml:space="preserve"> a </w:t>
      </w:r>
      <w:proofErr w:type="spellStart"/>
      <w:r w:rsidR="009827AB" w:rsidRPr="00705170">
        <w:rPr>
          <w:rFonts w:ascii="Times New Roman" w:hAnsi="Times New Roman" w:cs="Times New Roman"/>
        </w:rPr>
        <w:t>relief</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that</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does</w:t>
      </w:r>
      <w:proofErr w:type="spellEnd"/>
      <w:r w:rsidR="009827AB" w:rsidRPr="00705170">
        <w:rPr>
          <w:rFonts w:ascii="Times New Roman" w:hAnsi="Times New Roman" w:cs="Times New Roman"/>
        </w:rPr>
        <w:t xml:space="preserve"> not </w:t>
      </w:r>
      <w:proofErr w:type="spellStart"/>
      <w:r w:rsidR="009827AB" w:rsidRPr="00705170">
        <w:rPr>
          <w:rFonts w:ascii="Times New Roman" w:hAnsi="Times New Roman" w:cs="Times New Roman"/>
        </w:rPr>
        <w:t>concern</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the</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corporation</w:t>
      </w:r>
      <w:proofErr w:type="spellEnd"/>
      <w:r w:rsidR="009827AB" w:rsidRPr="00705170">
        <w:rPr>
          <w:rFonts w:ascii="Times New Roman" w:hAnsi="Times New Roman" w:cs="Times New Roman"/>
        </w:rPr>
        <w:t xml:space="preserve"> </w:t>
      </w:r>
      <w:proofErr w:type="spellStart"/>
      <w:r w:rsidR="009827AB" w:rsidRPr="00705170">
        <w:rPr>
          <w:rFonts w:ascii="Times New Roman" w:hAnsi="Times New Roman" w:cs="Times New Roman"/>
        </w:rPr>
        <w:t>itself</w:t>
      </w:r>
      <w:proofErr w:type="spellEnd"/>
      <w:r w:rsidR="009827AB" w:rsidRPr="00705170">
        <w:rPr>
          <w:rStyle w:val="DipnotBavurusu"/>
          <w:rFonts w:ascii="Times New Roman" w:hAnsi="Times New Roman" w:cs="Times New Roman"/>
        </w:rPr>
        <w:footnoteReference w:id="990"/>
      </w:r>
      <w:r w:rsidR="009827AB" w:rsidRPr="00705170">
        <w:rPr>
          <w:rFonts w:ascii="Times New Roman" w:hAnsi="Times New Roman" w:cs="Times New Roman"/>
        </w:rPr>
        <w:t>.</w:t>
      </w:r>
      <w:r w:rsidR="008A1777" w:rsidRPr="00705170">
        <w:rPr>
          <w:rFonts w:ascii="Times New Roman" w:hAnsi="Times New Roman" w:cs="Times New Roman"/>
        </w:rPr>
        <w:t xml:space="preserve"> </w:t>
      </w:r>
      <w:proofErr w:type="spellStart"/>
      <w:r w:rsidR="00DC3755">
        <w:rPr>
          <w:rFonts w:ascii="Times New Roman" w:hAnsi="Times New Roman" w:cs="Times New Roman"/>
        </w:rPr>
        <w:t>The</w:t>
      </w:r>
      <w:proofErr w:type="spellEnd"/>
      <w:r w:rsidR="00DC3755">
        <w:rPr>
          <w:rFonts w:ascii="Times New Roman" w:hAnsi="Times New Roman" w:cs="Times New Roman"/>
        </w:rPr>
        <w:t xml:space="preserve"> </w:t>
      </w:r>
      <w:proofErr w:type="spellStart"/>
      <w:r w:rsidR="00DC3755">
        <w:rPr>
          <w:rFonts w:ascii="Times New Roman" w:hAnsi="Times New Roman" w:cs="Times New Roman"/>
        </w:rPr>
        <w:t>contrary</w:t>
      </w:r>
      <w:proofErr w:type="spellEnd"/>
      <w:r w:rsidR="00DC3755">
        <w:rPr>
          <w:rFonts w:ascii="Times New Roman" w:hAnsi="Times New Roman" w:cs="Times New Roman"/>
        </w:rPr>
        <w:t xml:space="preserve"> </w:t>
      </w:r>
      <w:proofErr w:type="spellStart"/>
      <w:r w:rsidR="00DC3755">
        <w:rPr>
          <w:rFonts w:ascii="Times New Roman" w:hAnsi="Times New Roman" w:cs="Times New Roman"/>
        </w:rPr>
        <w:t>scenario</w:t>
      </w:r>
      <w:proofErr w:type="spellEnd"/>
      <w:r w:rsidR="00DC3755">
        <w:rPr>
          <w:rFonts w:ascii="Times New Roman" w:hAnsi="Times New Roman" w:cs="Times New Roman"/>
        </w:rPr>
        <w:t xml:space="preserve"> </w:t>
      </w:r>
      <w:proofErr w:type="spellStart"/>
      <w:r w:rsidR="00DC3755">
        <w:rPr>
          <w:rFonts w:ascii="Times New Roman" w:hAnsi="Times New Roman" w:cs="Times New Roman"/>
        </w:rPr>
        <w:t>will</w:t>
      </w:r>
      <w:proofErr w:type="spellEnd"/>
      <w:r w:rsidR="00DC3755">
        <w:rPr>
          <w:rFonts w:ascii="Times New Roman" w:hAnsi="Times New Roman" w:cs="Times New Roman"/>
        </w:rPr>
        <w:t xml:space="preserve"> </w:t>
      </w:r>
      <w:proofErr w:type="spellStart"/>
      <w:r w:rsidR="00DC3755">
        <w:rPr>
          <w:rFonts w:ascii="Times New Roman" w:hAnsi="Times New Roman" w:cs="Times New Roman"/>
        </w:rPr>
        <w:t>violate</w:t>
      </w:r>
      <w:proofErr w:type="spellEnd"/>
      <w:r w:rsidR="00DC3755">
        <w:rPr>
          <w:rFonts w:ascii="Times New Roman" w:hAnsi="Times New Roman" w:cs="Times New Roman"/>
        </w:rPr>
        <w:t xml:space="preserve"> </w:t>
      </w:r>
      <w:proofErr w:type="spellStart"/>
      <w:r w:rsidR="00DC3755">
        <w:rPr>
          <w:rFonts w:ascii="Times New Roman" w:hAnsi="Times New Roman" w:cs="Times New Roman"/>
        </w:rPr>
        <w:t>the</w:t>
      </w:r>
      <w:proofErr w:type="spellEnd"/>
      <w:r w:rsidR="008A1777" w:rsidRPr="00705170">
        <w:rPr>
          <w:rFonts w:ascii="Times New Roman" w:hAnsi="Times New Roman" w:cs="Times New Roman"/>
        </w:rPr>
        <w:t xml:space="preserve"> </w:t>
      </w:r>
      <w:proofErr w:type="spellStart"/>
      <w:r w:rsidR="008A1777" w:rsidRPr="00705170">
        <w:rPr>
          <w:rFonts w:ascii="Times New Roman" w:hAnsi="Times New Roman" w:cs="Times New Roman"/>
        </w:rPr>
        <w:t>third</w:t>
      </w:r>
      <w:proofErr w:type="spellEnd"/>
      <w:r w:rsidR="008A1777" w:rsidRPr="00705170">
        <w:rPr>
          <w:rFonts w:ascii="Times New Roman" w:hAnsi="Times New Roman" w:cs="Times New Roman"/>
        </w:rPr>
        <w:t xml:space="preserve"> </w:t>
      </w:r>
      <w:proofErr w:type="spellStart"/>
      <w:r w:rsidR="008A1777" w:rsidRPr="00705170">
        <w:rPr>
          <w:rFonts w:ascii="Times New Roman" w:hAnsi="Times New Roman" w:cs="Times New Roman"/>
        </w:rPr>
        <w:t>parties</w:t>
      </w:r>
      <w:proofErr w:type="spellEnd"/>
      <w:r w:rsidR="00DC3755">
        <w:rPr>
          <w:rFonts w:ascii="Times New Roman" w:hAnsi="Times New Roman" w:cs="Times New Roman"/>
        </w:rPr>
        <w:t>’</w:t>
      </w:r>
      <w:r w:rsidR="008A1777" w:rsidRPr="00705170">
        <w:rPr>
          <w:rFonts w:ascii="Times New Roman" w:hAnsi="Times New Roman" w:cs="Times New Roman"/>
        </w:rPr>
        <w:t xml:space="preserve"> </w:t>
      </w:r>
      <w:proofErr w:type="spellStart"/>
      <w:r w:rsidR="008A1777" w:rsidRPr="00705170">
        <w:rPr>
          <w:rFonts w:ascii="Times New Roman" w:hAnsi="Times New Roman" w:cs="Times New Roman"/>
        </w:rPr>
        <w:t>constitutional</w:t>
      </w:r>
      <w:proofErr w:type="spellEnd"/>
      <w:r w:rsidR="008A1777" w:rsidRPr="00705170">
        <w:rPr>
          <w:rFonts w:ascii="Times New Roman" w:hAnsi="Times New Roman" w:cs="Times New Roman"/>
        </w:rPr>
        <w:t xml:space="preserve"> </w:t>
      </w:r>
      <w:proofErr w:type="spellStart"/>
      <w:r w:rsidR="008A1777" w:rsidRPr="00705170">
        <w:rPr>
          <w:rFonts w:ascii="Times New Roman" w:hAnsi="Times New Roman" w:cs="Times New Roman"/>
        </w:rPr>
        <w:t>rights</w:t>
      </w:r>
      <w:proofErr w:type="spellEnd"/>
      <w:r w:rsidR="008A1777" w:rsidRPr="00705170">
        <w:rPr>
          <w:rStyle w:val="DipnotBavurusu"/>
          <w:rFonts w:ascii="Times New Roman" w:hAnsi="Times New Roman" w:cs="Times New Roman"/>
        </w:rPr>
        <w:footnoteReference w:id="991"/>
      </w:r>
      <w:r w:rsidR="008A1777" w:rsidRPr="00705170">
        <w:rPr>
          <w:rFonts w:ascii="Times New Roman" w:hAnsi="Times New Roman" w:cs="Times New Roman"/>
        </w:rPr>
        <w:t>.</w:t>
      </w:r>
      <w:r w:rsidR="001F77F8" w:rsidRPr="00705170">
        <w:rPr>
          <w:rFonts w:ascii="Times New Roman" w:hAnsi="Times New Roman" w:cs="Times New Roman"/>
        </w:rPr>
        <w:t xml:space="preserve"> </w:t>
      </w:r>
      <w:proofErr w:type="spellStart"/>
      <w:r w:rsidR="001F77F8" w:rsidRPr="00705170">
        <w:rPr>
          <w:rFonts w:ascii="Times New Roman" w:hAnsi="Times New Roman" w:cs="Times New Roman"/>
        </w:rPr>
        <w:t>This</w:t>
      </w:r>
      <w:proofErr w:type="spellEnd"/>
      <w:r w:rsidR="001F77F8" w:rsidRPr="00705170">
        <w:rPr>
          <w:rFonts w:ascii="Times New Roman" w:hAnsi="Times New Roman" w:cs="Times New Roman"/>
        </w:rPr>
        <w:t xml:space="preserve"> </w:t>
      </w:r>
      <w:proofErr w:type="spellStart"/>
      <w:r w:rsidR="001F77F8" w:rsidRPr="00705170">
        <w:rPr>
          <w:rFonts w:ascii="Times New Roman" w:hAnsi="Times New Roman" w:cs="Times New Roman"/>
        </w:rPr>
        <w:t>same</w:t>
      </w:r>
      <w:proofErr w:type="spellEnd"/>
      <w:r w:rsidR="001F77F8" w:rsidRPr="00705170">
        <w:rPr>
          <w:rFonts w:ascii="Times New Roman" w:hAnsi="Times New Roman" w:cs="Times New Roman"/>
        </w:rPr>
        <w:t xml:space="preserve"> </w:t>
      </w:r>
      <w:proofErr w:type="spellStart"/>
      <w:r w:rsidR="001F77F8" w:rsidRPr="00705170">
        <w:rPr>
          <w:rFonts w:ascii="Times New Roman" w:hAnsi="Times New Roman" w:cs="Times New Roman"/>
        </w:rPr>
        <w:t>approach</w:t>
      </w:r>
      <w:proofErr w:type="spellEnd"/>
      <w:r w:rsidR="001F77F8" w:rsidRPr="00705170">
        <w:rPr>
          <w:rFonts w:ascii="Times New Roman" w:hAnsi="Times New Roman" w:cs="Times New Roman"/>
        </w:rPr>
        <w:t xml:space="preserve"> </w:t>
      </w:r>
      <w:proofErr w:type="spellStart"/>
      <w:r w:rsidR="001F77F8" w:rsidRPr="00705170">
        <w:rPr>
          <w:rFonts w:ascii="Times New Roman" w:hAnsi="Times New Roman" w:cs="Times New Roman"/>
        </w:rPr>
        <w:t>also</w:t>
      </w:r>
      <w:proofErr w:type="spellEnd"/>
      <w:r w:rsidR="001F77F8" w:rsidRPr="00705170">
        <w:rPr>
          <w:rFonts w:ascii="Times New Roman" w:hAnsi="Times New Roman" w:cs="Times New Roman"/>
        </w:rPr>
        <w:t xml:space="preserve"> </w:t>
      </w:r>
      <w:proofErr w:type="spellStart"/>
      <w:r w:rsidR="001F77F8" w:rsidRPr="00705170">
        <w:rPr>
          <w:rFonts w:ascii="Times New Roman" w:hAnsi="Times New Roman" w:cs="Times New Roman"/>
        </w:rPr>
        <w:t>bars</w:t>
      </w:r>
      <w:proofErr w:type="spellEnd"/>
      <w:r w:rsidR="001F77F8" w:rsidRPr="00705170">
        <w:rPr>
          <w:rFonts w:ascii="Times New Roman" w:hAnsi="Times New Roman" w:cs="Times New Roman"/>
        </w:rPr>
        <w:t xml:space="preserve"> </w:t>
      </w:r>
      <w:proofErr w:type="spellStart"/>
      <w:r w:rsidR="001F77F8" w:rsidRPr="00705170">
        <w:rPr>
          <w:rFonts w:ascii="Times New Roman" w:hAnsi="Times New Roman" w:cs="Times New Roman"/>
        </w:rPr>
        <w:t>the</w:t>
      </w:r>
      <w:proofErr w:type="spellEnd"/>
      <w:r w:rsidR="001F77F8" w:rsidRPr="00705170">
        <w:rPr>
          <w:rFonts w:ascii="Times New Roman" w:hAnsi="Times New Roman" w:cs="Times New Roman"/>
        </w:rPr>
        <w:t xml:space="preserve"> </w:t>
      </w:r>
      <w:proofErr w:type="spellStart"/>
      <w:r w:rsidR="001F77F8" w:rsidRPr="00705170">
        <w:rPr>
          <w:rFonts w:ascii="Times New Roman" w:hAnsi="Times New Roman" w:cs="Times New Roman"/>
        </w:rPr>
        <w:t>court</w:t>
      </w:r>
      <w:proofErr w:type="spellEnd"/>
      <w:r w:rsidR="001F77F8" w:rsidRPr="00705170">
        <w:rPr>
          <w:rFonts w:ascii="Times New Roman" w:hAnsi="Times New Roman" w:cs="Times New Roman"/>
        </w:rPr>
        <w:t xml:space="preserve"> </w:t>
      </w:r>
      <w:proofErr w:type="spellStart"/>
      <w:r w:rsidR="001F77F8" w:rsidRPr="00705170">
        <w:rPr>
          <w:rFonts w:ascii="Times New Roman" w:hAnsi="Times New Roman" w:cs="Times New Roman"/>
        </w:rPr>
        <w:t>from</w:t>
      </w:r>
      <w:proofErr w:type="spellEnd"/>
      <w:r w:rsidR="001F77F8" w:rsidRPr="00705170">
        <w:rPr>
          <w:rFonts w:ascii="Times New Roman" w:hAnsi="Times New Roman" w:cs="Times New Roman"/>
        </w:rPr>
        <w:t xml:space="preserve"> </w:t>
      </w:r>
      <w:proofErr w:type="spellStart"/>
      <w:r w:rsidR="001F77F8" w:rsidRPr="00705170">
        <w:rPr>
          <w:rFonts w:ascii="Times New Roman" w:hAnsi="Times New Roman" w:cs="Times New Roman"/>
        </w:rPr>
        <w:t>ordering</w:t>
      </w:r>
      <w:proofErr w:type="spellEnd"/>
      <w:r w:rsidR="001F77F8" w:rsidRPr="00705170">
        <w:rPr>
          <w:rFonts w:ascii="Times New Roman" w:hAnsi="Times New Roman" w:cs="Times New Roman"/>
        </w:rPr>
        <w:t xml:space="preserve"> </w:t>
      </w:r>
      <w:proofErr w:type="spellStart"/>
      <w:r w:rsidR="001F77F8" w:rsidRPr="00705170">
        <w:rPr>
          <w:rFonts w:ascii="Times New Roman" w:hAnsi="Times New Roman" w:cs="Times New Roman"/>
        </w:rPr>
        <w:t>other</w:t>
      </w:r>
      <w:proofErr w:type="spellEnd"/>
      <w:r w:rsidR="001F77F8" w:rsidRPr="00705170">
        <w:rPr>
          <w:rFonts w:ascii="Times New Roman" w:hAnsi="Times New Roman" w:cs="Times New Roman"/>
        </w:rPr>
        <w:t xml:space="preserve"> </w:t>
      </w:r>
      <w:proofErr w:type="spellStart"/>
      <w:r w:rsidR="00F607B3" w:rsidRPr="00705170">
        <w:rPr>
          <w:rFonts w:ascii="Times New Roman" w:hAnsi="Times New Roman" w:cs="Times New Roman"/>
        </w:rPr>
        <w:t>uncommon</w:t>
      </w:r>
      <w:proofErr w:type="spellEnd"/>
      <w:r w:rsidR="00F607B3" w:rsidRPr="00705170">
        <w:rPr>
          <w:rFonts w:ascii="Times New Roman" w:hAnsi="Times New Roman" w:cs="Times New Roman"/>
        </w:rPr>
        <w:t xml:space="preserve"> </w:t>
      </w:r>
      <w:proofErr w:type="spellStart"/>
      <w:r w:rsidR="001F77F8" w:rsidRPr="00705170">
        <w:rPr>
          <w:rFonts w:ascii="Times New Roman" w:hAnsi="Times New Roman" w:cs="Times New Roman"/>
        </w:rPr>
        <w:t>remedies</w:t>
      </w:r>
      <w:proofErr w:type="spellEnd"/>
      <w:r w:rsidR="00A73C98" w:rsidRPr="00705170">
        <w:rPr>
          <w:rFonts w:ascii="Times New Roman" w:hAnsi="Times New Roman" w:cs="Times New Roman"/>
        </w:rPr>
        <w:t>,</w:t>
      </w:r>
      <w:r w:rsidR="001F77F8" w:rsidRPr="00705170">
        <w:rPr>
          <w:rFonts w:ascii="Times New Roman" w:hAnsi="Times New Roman" w:cs="Times New Roman"/>
        </w:rPr>
        <w:t xml:space="preserve"> </w:t>
      </w:r>
      <w:proofErr w:type="spellStart"/>
      <w:r w:rsidR="001F77F8" w:rsidRPr="00705170">
        <w:rPr>
          <w:rFonts w:ascii="Times New Roman" w:hAnsi="Times New Roman" w:cs="Times New Roman"/>
        </w:rPr>
        <w:t>such</w:t>
      </w:r>
      <w:proofErr w:type="spellEnd"/>
      <w:r w:rsidR="001F77F8" w:rsidRPr="00705170">
        <w:rPr>
          <w:rFonts w:ascii="Times New Roman" w:hAnsi="Times New Roman" w:cs="Times New Roman"/>
        </w:rPr>
        <w:t xml:space="preserve"> as a </w:t>
      </w:r>
      <w:proofErr w:type="spellStart"/>
      <w:r w:rsidR="001F77F8" w:rsidRPr="00705170">
        <w:rPr>
          <w:rFonts w:ascii="Times New Roman" w:hAnsi="Times New Roman" w:cs="Times New Roman"/>
        </w:rPr>
        <w:t>majority</w:t>
      </w:r>
      <w:proofErr w:type="spellEnd"/>
      <w:r w:rsidR="001F77F8" w:rsidRPr="00705170">
        <w:rPr>
          <w:rFonts w:ascii="Times New Roman" w:hAnsi="Times New Roman" w:cs="Times New Roman"/>
        </w:rPr>
        <w:t xml:space="preserve"> buy- </w:t>
      </w:r>
      <w:proofErr w:type="spellStart"/>
      <w:r w:rsidR="001F77F8" w:rsidRPr="00705170">
        <w:rPr>
          <w:rFonts w:ascii="Times New Roman" w:hAnsi="Times New Roman" w:cs="Times New Roman"/>
        </w:rPr>
        <w:t>out</w:t>
      </w:r>
      <w:proofErr w:type="spellEnd"/>
      <w:r w:rsidR="001F77F8" w:rsidRPr="00705170">
        <w:rPr>
          <w:rStyle w:val="DipnotBavurusu"/>
          <w:rFonts w:ascii="Times New Roman" w:hAnsi="Times New Roman" w:cs="Times New Roman"/>
        </w:rPr>
        <w:footnoteReference w:id="992"/>
      </w:r>
      <w:r w:rsidR="00A73C98" w:rsidRPr="00705170">
        <w:rPr>
          <w:rFonts w:ascii="Times New Roman" w:hAnsi="Times New Roman" w:cs="Times New Roman"/>
        </w:rPr>
        <w:t xml:space="preserve">,  </w:t>
      </w:r>
      <w:proofErr w:type="spellStart"/>
      <w:r w:rsidR="00A73C98" w:rsidRPr="00705170">
        <w:rPr>
          <w:rFonts w:ascii="Times New Roman" w:hAnsi="Times New Roman" w:cs="Times New Roman"/>
        </w:rPr>
        <w:t>because</w:t>
      </w:r>
      <w:proofErr w:type="spellEnd"/>
      <w:r w:rsidR="00A73C98" w:rsidRPr="00705170">
        <w:rPr>
          <w:rFonts w:ascii="Times New Roman" w:hAnsi="Times New Roman" w:cs="Times New Roman"/>
        </w:rPr>
        <w:t xml:space="preserve"> </w:t>
      </w:r>
      <w:proofErr w:type="spellStart"/>
      <w:r w:rsidR="00A73C98" w:rsidRPr="00705170">
        <w:rPr>
          <w:rFonts w:ascii="Times New Roman" w:hAnsi="Times New Roman" w:cs="Times New Roman"/>
        </w:rPr>
        <w:t>the</w:t>
      </w:r>
      <w:proofErr w:type="spellEnd"/>
      <w:r w:rsidR="00A73C98" w:rsidRPr="00705170">
        <w:rPr>
          <w:rFonts w:ascii="Times New Roman" w:hAnsi="Times New Roman" w:cs="Times New Roman"/>
        </w:rPr>
        <w:t xml:space="preserve"> </w:t>
      </w:r>
      <w:proofErr w:type="spellStart"/>
      <w:r w:rsidR="00A73C98" w:rsidRPr="00705170">
        <w:rPr>
          <w:rFonts w:ascii="Times New Roman" w:hAnsi="Times New Roman" w:cs="Times New Roman"/>
        </w:rPr>
        <w:t>majority</w:t>
      </w:r>
      <w:proofErr w:type="spellEnd"/>
      <w:r w:rsidR="00A73C98" w:rsidRPr="00705170">
        <w:rPr>
          <w:rFonts w:ascii="Times New Roman" w:hAnsi="Times New Roman" w:cs="Times New Roman"/>
        </w:rPr>
        <w:t xml:space="preserve"> is not a </w:t>
      </w:r>
      <w:proofErr w:type="spellStart"/>
      <w:r w:rsidR="00A73C98" w:rsidRPr="00705170">
        <w:rPr>
          <w:rFonts w:ascii="Times New Roman" w:hAnsi="Times New Roman" w:cs="Times New Roman"/>
        </w:rPr>
        <w:t>party</w:t>
      </w:r>
      <w:proofErr w:type="spellEnd"/>
      <w:r w:rsidR="00A73C98" w:rsidRPr="00705170">
        <w:rPr>
          <w:rFonts w:ascii="Times New Roman" w:hAnsi="Times New Roman" w:cs="Times New Roman"/>
        </w:rPr>
        <w:t xml:space="preserve"> </w:t>
      </w:r>
      <w:proofErr w:type="spellStart"/>
      <w:r w:rsidR="00A73C98" w:rsidRPr="00705170">
        <w:rPr>
          <w:rFonts w:ascii="Times New Roman" w:hAnsi="Times New Roman" w:cs="Times New Roman"/>
        </w:rPr>
        <w:t>to</w:t>
      </w:r>
      <w:proofErr w:type="spellEnd"/>
      <w:r w:rsidR="00A73C98" w:rsidRPr="00705170">
        <w:rPr>
          <w:rFonts w:ascii="Times New Roman" w:hAnsi="Times New Roman" w:cs="Times New Roman"/>
        </w:rPr>
        <w:t xml:space="preserve"> </w:t>
      </w:r>
      <w:proofErr w:type="spellStart"/>
      <w:r w:rsidR="00A73C98" w:rsidRPr="00705170">
        <w:rPr>
          <w:rFonts w:ascii="Times New Roman" w:hAnsi="Times New Roman" w:cs="Times New Roman"/>
        </w:rPr>
        <w:t>the</w:t>
      </w:r>
      <w:proofErr w:type="spellEnd"/>
      <w:r w:rsidR="00A73C98" w:rsidRPr="00705170">
        <w:rPr>
          <w:rFonts w:ascii="Times New Roman" w:hAnsi="Times New Roman" w:cs="Times New Roman"/>
        </w:rPr>
        <w:t xml:space="preserve"> </w:t>
      </w:r>
      <w:proofErr w:type="spellStart"/>
      <w:r w:rsidR="00A73C98" w:rsidRPr="00705170">
        <w:rPr>
          <w:rFonts w:ascii="Times New Roman" w:hAnsi="Times New Roman" w:cs="Times New Roman"/>
        </w:rPr>
        <w:t>case</w:t>
      </w:r>
      <w:proofErr w:type="spellEnd"/>
      <w:r w:rsidR="00A73C98" w:rsidRPr="00705170">
        <w:rPr>
          <w:rStyle w:val="DipnotBavurusu"/>
          <w:rFonts w:ascii="Times New Roman" w:hAnsi="Times New Roman" w:cs="Times New Roman"/>
        </w:rPr>
        <w:footnoteReference w:id="993"/>
      </w:r>
      <w:r w:rsidR="00A73C98" w:rsidRPr="00705170">
        <w:rPr>
          <w:rFonts w:ascii="Times New Roman" w:hAnsi="Times New Roman" w:cs="Times New Roman"/>
        </w:rPr>
        <w:t>.</w:t>
      </w:r>
    </w:p>
    <w:p w14:paraId="4FB20EBF" w14:textId="40657BEB" w:rsidR="001E0E1B" w:rsidRPr="00705170" w:rsidRDefault="001E0E1B" w:rsidP="0084032C">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002A6451" w:rsidRPr="00705170">
        <w:rPr>
          <w:rFonts w:ascii="Times New Roman" w:hAnsi="Times New Roman" w:cs="Times New Roman"/>
        </w:rPr>
        <w:t>While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r</w:t>
      </w:r>
      <w:r w:rsidRPr="00705170">
        <w:rPr>
          <w:rFonts w:ascii="Times New Roman" w:hAnsi="Times New Roman" w:cs="Times New Roman"/>
        </w:rPr>
        <w:t>emedies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such</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ordering</w:t>
      </w:r>
      <w:proofErr w:type="spellEnd"/>
      <w:r w:rsidRPr="00705170">
        <w:rPr>
          <w:rFonts w:ascii="Times New Roman" w:hAnsi="Times New Roman" w:cs="Times New Roman"/>
        </w:rPr>
        <w:t xml:space="preserve"> board of </w:t>
      </w:r>
      <w:proofErr w:type="spellStart"/>
      <w:r w:rsidRPr="00705170">
        <w:rPr>
          <w:rFonts w:ascii="Times New Roman" w:hAnsi="Times New Roman" w:cs="Times New Roman"/>
        </w:rPr>
        <w:t>directors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responsible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occurance</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pay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damages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petitioners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are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generally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rejected</w:t>
      </w:r>
      <w:proofErr w:type="spellEnd"/>
      <w:r w:rsidR="00B30842" w:rsidRPr="00705170">
        <w:rPr>
          <w:rFonts w:ascii="Times New Roman" w:hAnsi="Times New Roman" w:cs="Times New Roman"/>
        </w:rPr>
        <w:t xml:space="preserve"> </w:t>
      </w:r>
      <w:proofErr w:type="spellStart"/>
      <w:r w:rsidR="00B30842" w:rsidRPr="00705170">
        <w:rPr>
          <w:rFonts w:ascii="Times New Roman" w:hAnsi="Times New Roman" w:cs="Times New Roman"/>
        </w:rPr>
        <w:t>by</w:t>
      </w:r>
      <w:proofErr w:type="spellEnd"/>
      <w:r w:rsidR="00B30842" w:rsidRPr="00705170">
        <w:rPr>
          <w:rFonts w:ascii="Times New Roman" w:hAnsi="Times New Roman" w:cs="Times New Roman"/>
        </w:rPr>
        <w:t xml:space="preserve"> </w:t>
      </w:r>
      <w:proofErr w:type="spellStart"/>
      <w:r w:rsidR="00B30842" w:rsidRPr="00705170">
        <w:rPr>
          <w:rFonts w:ascii="Times New Roman" w:hAnsi="Times New Roman" w:cs="Times New Roman"/>
        </w:rPr>
        <w:t>commentators</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some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also</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opine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lastRenderedPageBreak/>
        <w:t>that</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t</w:t>
      </w:r>
      <w:r w:rsidR="00196C4F" w:rsidRPr="00705170">
        <w:rPr>
          <w:rFonts w:ascii="Times New Roman" w:hAnsi="Times New Roman" w:cs="Times New Roman"/>
        </w:rPr>
        <w:t>he</w:t>
      </w:r>
      <w:proofErr w:type="spellEnd"/>
      <w:r w:rsidR="00196C4F" w:rsidRPr="00705170">
        <w:rPr>
          <w:rFonts w:ascii="Times New Roman" w:hAnsi="Times New Roman" w:cs="Times New Roman"/>
        </w:rPr>
        <w:t xml:space="preserve"> </w:t>
      </w:r>
      <w:proofErr w:type="spellStart"/>
      <w:r w:rsidR="00196C4F" w:rsidRPr="00705170">
        <w:rPr>
          <w:rFonts w:ascii="Times New Roman" w:hAnsi="Times New Roman" w:cs="Times New Roman"/>
        </w:rPr>
        <w:t>court</w:t>
      </w:r>
      <w:proofErr w:type="spellEnd"/>
      <w:r w:rsidR="00196C4F" w:rsidRPr="00705170">
        <w:rPr>
          <w:rFonts w:ascii="Times New Roman" w:hAnsi="Times New Roman" w:cs="Times New Roman"/>
        </w:rPr>
        <w:t xml:space="preserve"> </w:t>
      </w:r>
      <w:proofErr w:type="spellStart"/>
      <w:r w:rsidR="00196C4F" w:rsidRPr="00705170">
        <w:rPr>
          <w:rFonts w:ascii="Times New Roman" w:hAnsi="Times New Roman" w:cs="Times New Roman"/>
        </w:rPr>
        <w:t>should</w:t>
      </w:r>
      <w:proofErr w:type="spellEnd"/>
      <w:r w:rsidR="00196C4F" w:rsidRPr="00705170">
        <w:rPr>
          <w:rFonts w:ascii="Times New Roman" w:hAnsi="Times New Roman" w:cs="Times New Roman"/>
        </w:rPr>
        <w:t xml:space="preserve"> be </w:t>
      </w:r>
      <w:proofErr w:type="spellStart"/>
      <w:r w:rsidR="00196C4F" w:rsidRPr="00705170">
        <w:rPr>
          <w:rFonts w:ascii="Times New Roman" w:hAnsi="Times New Roman" w:cs="Times New Roman"/>
        </w:rPr>
        <w:t>able</w:t>
      </w:r>
      <w:proofErr w:type="spellEnd"/>
      <w:r w:rsidR="00196C4F" w:rsidRPr="00705170">
        <w:rPr>
          <w:rFonts w:ascii="Times New Roman" w:hAnsi="Times New Roman" w:cs="Times New Roman"/>
        </w:rPr>
        <w:t xml:space="preserve"> </w:t>
      </w:r>
      <w:proofErr w:type="spellStart"/>
      <w:r w:rsidR="00196C4F" w:rsidRPr="00705170">
        <w:rPr>
          <w:rFonts w:ascii="Times New Roman" w:hAnsi="Times New Roman" w:cs="Times New Roman"/>
        </w:rPr>
        <w:t>to</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order</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the</w:t>
      </w:r>
      <w:proofErr w:type="spellEnd"/>
      <w:r w:rsidR="002A6451" w:rsidRPr="00705170">
        <w:rPr>
          <w:rFonts w:ascii="Times New Roman" w:hAnsi="Times New Roman" w:cs="Times New Roman"/>
        </w:rPr>
        <w:t xml:space="preserve"> buy </w:t>
      </w:r>
      <w:proofErr w:type="spellStart"/>
      <w:r w:rsidR="002A6451" w:rsidRPr="00705170">
        <w:rPr>
          <w:rFonts w:ascii="Times New Roman" w:hAnsi="Times New Roman" w:cs="Times New Roman"/>
        </w:rPr>
        <w:t>out</w:t>
      </w:r>
      <w:proofErr w:type="spellEnd"/>
      <w:r w:rsidR="002A6451" w:rsidRPr="00705170">
        <w:rPr>
          <w:rFonts w:ascii="Times New Roman" w:hAnsi="Times New Roman" w:cs="Times New Roman"/>
        </w:rPr>
        <w:t xml:space="preserve"> of </w:t>
      </w:r>
      <w:proofErr w:type="spellStart"/>
      <w:r w:rsidR="002A6451" w:rsidRPr="00705170">
        <w:rPr>
          <w:rFonts w:ascii="Times New Roman" w:hAnsi="Times New Roman" w:cs="Times New Roman"/>
        </w:rPr>
        <w:t>the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dissenting</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minority</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by</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the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other</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shareholders</w:t>
      </w:r>
      <w:proofErr w:type="spellEnd"/>
      <w:r w:rsidR="002A6451" w:rsidRPr="00705170">
        <w:rPr>
          <w:rFonts w:ascii="Times New Roman" w:hAnsi="Times New Roman" w:cs="Times New Roman"/>
        </w:rPr>
        <w:t xml:space="preserve"> of </w:t>
      </w:r>
      <w:proofErr w:type="spellStart"/>
      <w:r w:rsidR="002A6451" w:rsidRPr="00705170">
        <w:rPr>
          <w:rFonts w:ascii="Times New Roman" w:hAnsi="Times New Roman" w:cs="Times New Roman"/>
        </w:rPr>
        <w:t>the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corporation</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even</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though</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those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shareholders</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are</w:t>
      </w:r>
      <w:proofErr w:type="spellEnd"/>
      <w:r w:rsidR="002A6451" w:rsidRPr="00705170">
        <w:rPr>
          <w:rFonts w:ascii="Times New Roman" w:hAnsi="Times New Roman" w:cs="Times New Roman"/>
        </w:rPr>
        <w:t xml:space="preserve"> not a </w:t>
      </w:r>
      <w:proofErr w:type="spellStart"/>
      <w:r w:rsidR="002A6451" w:rsidRPr="00705170">
        <w:rPr>
          <w:rFonts w:ascii="Times New Roman" w:hAnsi="Times New Roman" w:cs="Times New Roman"/>
        </w:rPr>
        <w:t>party</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to</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the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case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because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those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shareholders</w:t>
      </w:r>
      <w:proofErr w:type="spellEnd"/>
      <w:r w:rsidR="00950BE3" w:rsidRPr="00705170">
        <w:rPr>
          <w:rFonts w:ascii="Times New Roman" w:hAnsi="Times New Roman" w:cs="Times New Roman"/>
        </w:rPr>
        <w:t>’</w:t>
      </w:r>
      <w:r w:rsidR="002A6451" w:rsidRPr="00705170">
        <w:rPr>
          <w:rFonts w:ascii="Times New Roman" w:hAnsi="Times New Roman" w:cs="Times New Roman"/>
        </w:rPr>
        <w:t xml:space="preserve"> </w:t>
      </w:r>
      <w:proofErr w:type="spellStart"/>
      <w:r w:rsidR="00FD7012" w:rsidRPr="00705170">
        <w:rPr>
          <w:rFonts w:ascii="Times New Roman" w:hAnsi="Times New Roman" w:cs="Times New Roman"/>
        </w:rPr>
        <w:t>third</w:t>
      </w:r>
      <w:proofErr w:type="spellEnd"/>
      <w:r w:rsidR="00FD7012" w:rsidRPr="00705170">
        <w:rPr>
          <w:rFonts w:ascii="Times New Roman" w:hAnsi="Times New Roman" w:cs="Times New Roman"/>
        </w:rPr>
        <w:t xml:space="preserve">- </w:t>
      </w:r>
      <w:proofErr w:type="spellStart"/>
      <w:r w:rsidR="002A6451" w:rsidRPr="00705170">
        <w:rPr>
          <w:rFonts w:ascii="Times New Roman" w:hAnsi="Times New Roman" w:cs="Times New Roman"/>
        </w:rPr>
        <w:t>party</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status</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concerning</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the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case</w:t>
      </w:r>
      <w:proofErr w:type="spellEnd"/>
      <w:r w:rsidR="002A6451" w:rsidRPr="00705170">
        <w:rPr>
          <w:rFonts w:ascii="Times New Roman" w:hAnsi="Times New Roman" w:cs="Times New Roman"/>
        </w:rPr>
        <w:t xml:space="preserve"> is a </w:t>
      </w:r>
      <w:proofErr w:type="spellStart"/>
      <w:r w:rsidR="002A6451" w:rsidRPr="00705170">
        <w:rPr>
          <w:rFonts w:ascii="Times New Roman" w:hAnsi="Times New Roman" w:cs="Times New Roman"/>
        </w:rPr>
        <w:t>matter</w:t>
      </w:r>
      <w:proofErr w:type="spellEnd"/>
      <w:r w:rsidR="002A6451" w:rsidRPr="00705170">
        <w:rPr>
          <w:rFonts w:ascii="Times New Roman" w:hAnsi="Times New Roman" w:cs="Times New Roman"/>
        </w:rPr>
        <w:t xml:space="preserve"> of </w:t>
      </w:r>
      <w:proofErr w:type="spellStart"/>
      <w:r w:rsidR="002A6451" w:rsidRPr="00705170">
        <w:rPr>
          <w:rFonts w:ascii="Times New Roman" w:hAnsi="Times New Roman" w:cs="Times New Roman"/>
        </w:rPr>
        <w:t>civil</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procedure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law</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and</w:t>
      </w:r>
      <w:proofErr w:type="spellEnd"/>
      <w:r w:rsidR="002A6451" w:rsidRPr="00705170">
        <w:rPr>
          <w:rFonts w:ascii="Times New Roman" w:hAnsi="Times New Roman" w:cs="Times New Roman"/>
        </w:rPr>
        <w:t xml:space="preserve"> not </w:t>
      </w:r>
      <w:proofErr w:type="spellStart"/>
      <w:r w:rsidR="002A6451" w:rsidRPr="00705170">
        <w:rPr>
          <w:rFonts w:ascii="Times New Roman" w:hAnsi="Times New Roman" w:cs="Times New Roman"/>
        </w:rPr>
        <w:t>corporate</w:t>
      </w:r>
      <w:proofErr w:type="spellEnd"/>
      <w:r w:rsidR="002A6451" w:rsidRPr="00705170">
        <w:rPr>
          <w:rFonts w:ascii="Times New Roman" w:hAnsi="Times New Roman" w:cs="Times New Roman"/>
        </w:rPr>
        <w:t xml:space="preserve"> </w:t>
      </w:r>
      <w:proofErr w:type="spellStart"/>
      <w:r w:rsidR="002A6451" w:rsidRPr="00705170">
        <w:rPr>
          <w:rFonts w:ascii="Times New Roman" w:hAnsi="Times New Roman" w:cs="Times New Roman"/>
        </w:rPr>
        <w:t>law</w:t>
      </w:r>
      <w:proofErr w:type="spellEnd"/>
      <w:r w:rsidRPr="00705170">
        <w:rPr>
          <w:rStyle w:val="DipnotBavurusu"/>
          <w:rFonts w:ascii="Times New Roman" w:hAnsi="Times New Roman" w:cs="Times New Roman"/>
        </w:rPr>
        <w:footnoteReference w:id="994"/>
      </w:r>
      <w:r w:rsidR="002A6451" w:rsidRPr="00705170">
        <w:rPr>
          <w:rFonts w:ascii="Times New Roman" w:hAnsi="Times New Roman" w:cs="Times New Roman"/>
        </w:rPr>
        <w:t>.</w:t>
      </w:r>
      <w:r w:rsidR="00E73B20" w:rsidRPr="00705170">
        <w:rPr>
          <w:rFonts w:ascii="Times New Roman" w:hAnsi="Times New Roman" w:cs="Times New Roman"/>
        </w:rPr>
        <w:t xml:space="preserve"> </w:t>
      </w:r>
      <w:proofErr w:type="spellStart"/>
      <w:r w:rsidR="00E73B20" w:rsidRPr="00705170">
        <w:rPr>
          <w:rFonts w:ascii="Times New Roman" w:hAnsi="Times New Roman" w:cs="Times New Roman"/>
        </w:rPr>
        <w:t>In</w:t>
      </w:r>
      <w:proofErr w:type="spellEnd"/>
      <w:r w:rsidR="00E73B20" w:rsidRPr="00705170">
        <w:rPr>
          <w:rFonts w:ascii="Times New Roman" w:hAnsi="Times New Roman" w:cs="Times New Roman"/>
        </w:rPr>
        <w:t xml:space="preserve"> </w:t>
      </w:r>
      <w:proofErr w:type="spellStart"/>
      <w:r w:rsidR="00E73B20" w:rsidRPr="00705170">
        <w:rPr>
          <w:rFonts w:ascii="Times New Roman" w:hAnsi="Times New Roman" w:cs="Times New Roman"/>
        </w:rPr>
        <w:t>truth</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by</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giving</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the</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court</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the</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authority</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to</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order</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any</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relief</w:t>
      </w:r>
      <w:proofErr w:type="spellEnd"/>
      <w:r w:rsidR="00213A9E" w:rsidRPr="00705170">
        <w:rPr>
          <w:rFonts w:ascii="Times New Roman" w:hAnsi="Times New Roman" w:cs="Times New Roman"/>
        </w:rPr>
        <w:t xml:space="preserve"> it </w:t>
      </w:r>
      <w:proofErr w:type="spellStart"/>
      <w:r w:rsidR="00213A9E" w:rsidRPr="00705170">
        <w:rPr>
          <w:rFonts w:ascii="Times New Roman" w:hAnsi="Times New Roman" w:cs="Times New Roman"/>
        </w:rPr>
        <w:t>finds</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appropriate</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without</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being</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constrained</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with</w:t>
      </w:r>
      <w:proofErr w:type="spellEnd"/>
      <w:r w:rsidR="00213A9E" w:rsidRPr="00705170">
        <w:rPr>
          <w:rFonts w:ascii="Times New Roman" w:hAnsi="Times New Roman" w:cs="Times New Roman"/>
        </w:rPr>
        <w:t xml:space="preserve"> an </w:t>
      </w:r>
      <w:proofErr w:type="spellStart"/>
      <w:r w:rsidR="00213A9E" w:rsidRPr="00705170">
        <w:rPr>
          <w:rFonts w:ascii="Times New Roman" w:hAnsi="Times New Roman" w:cs="Times New Roman"/>
        </w:rPr>
        <w:t>obligation</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to</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stick</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to</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what</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the</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petitioner</w:t>
      </w:r>
      <w:proofErr w:type="spellEnd"/>
      <w:r w:rsidR="00213A9E" w:rsidRPr="00705170">
        <w:rPr>
          <w:rFonts w:ascii="Times New Roman" w:hAnsi="Times New Roman" w:cs="Times New Roman"/>
        </w:rPr>
        <w:t xml:space="preserve"> has </w:t>
      </w:r>
      <w:proofErr w:type="spellStart"/>
      <w:r w:rsidR="00213A9E" w:rsidRPr="00705170">
        <w:rPr>
          <w:rFonts w:ascii="Times New Roman" w:hAnsi="Times New Roman" w:cs="Times New Roman"/>
        </w:rPr>
        <w:t>demanded</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this</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provision</w:t>
      </w:r>
      <w:proofErr w:type="spellEnd"/>
      <w:r w:rsidR="00213A9E" w:rsidRPr="00705170">
        <w:rPr>
          <w:rFonts w:ascii="Times New Roman" w:hAnsi="Times New Roman" w:cs="Times New Roman"/>
        </w:rPr>
        <w:t xml:space="preserve"> has </w:t>
      </w:r>
      <w:proofErr w:type="spellStart"/>
      <w:r w:rsidR="00213A9E" w:rsidRPr="00705170">
        <w:rPr>
          <w:rFonts w:ascii="Times New Roman" w:hAnsi="Times New Roman" w:cs="Times New Roman"/>
        </w:rPr>
        <w:t>already</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been</w:t>
      </w:r>
      <w:proofErr w:type="spellEnd"/>
      <w:r w:rsidR="00213A9E" w:rsidRPr="00705170">
        <w:rPr>
          <w:rFonts w:ascii="Times New Roman" w:hAnsi="Times New Roman" w:cs="Times New Roman"/>
        </w:rPr>
        <w:t xml:space="preserve"> an </w:t>
      </w:r>
      <w:proofErr w:type="spellStart"/>
      <w:r w:rsidR="00213A9E" w:rsidRPr="00705170">
        <w:rPr>
          <w:rFonts w:ascii="Times New Roman" w:hAnsi="Times New Roman" w:cs="Times New Roman"/>
        </w:rPr>
        <w:t>exceptional</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case</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for</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the</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civil</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procedure</w:t>
      </w:r>
      <w:proofErr w:type="spellEnd"/>
      <w:r w:rsidR="00213A9E" w:rsidRPr="00705170">
        <w:rPr>
          <w:rFonts w:ascii="Times New Roman" w:hAnsi="Times New Roman" w:cs="Times New Roman"/>
        </w:rPr>
        <w:t xml:space="preserve"> </w:t>
      </w:r>
      <w:proofErr w:type="spellStart"/>
      <w:r w:rsidR="00213A9E" w:rsidRPr="00705170">
        <w:rPr>
          <w:rFonts w:ascii="Times New Roman" w:hAnsi="Times New Roman" w:cs="Times New Roman"/>
        </w:rPr>
        <w:t>law</w:t>
      </w:r>
      <w:proofErr w:type="spellEnd"/>
      <w:r w:rsidR="00213A9E" w:rsidRPr="00705170">
        <w:rPr>
          <w:rStyle w:val="DipnotBavurusu"/>
          <w:rFonts w:ascii="Times New Roman" w:hAnsi="Times New Roman" w:cs="Times New Roman"/>
        </w:rPr>
        <w:footnoteReference w:id="995"/>
      </w:r>
      <w:r w:rsidR="00213A9E" w:rsidRPr="00705170">
        <w:rPr>
          <w:rFonts w:ascii="Times New Roman" w:hAnsi="Times New Roman" w:cs="Times New Roman"/>
        </w:rPr>
        <w:t>.</w:t>
      </w:r>
      <w:r w:rsidR="00C35ECA">
        <w:rPr>
          <w:rFonts w:ascii="Times New Roman" w:hAnsi="Times New Roman" w:cs="Times New Roman"/>
        </w:rPr>
        <w:t xml:space="preserve"> </w:t>
      </w:r>
      <w:proofErr w:type="spellStart"/>
      <w:r w:rsidR="00C35ECA">
        <w:rPr>
          <w:rFonts w:ascii="Times New Roman" w:hAnsi="Times New Roman" w:cs="Times New Roman"/>
        </w:rPr>
        <w:t>Accordingly</w:t>
      </w:r>
      <w:proofErr w:type="spellEnd"/>
      <w:r w:rsidR="00C35ECA">
        <w:rPr>
          <w:rFonts w:ascii="Times New Roman" w:hAnsi="Times New Roman" w:cs="Times New Roman"/>
        </w:rPr>
        <w:t xml:space="preserve">, it is in </w:t>
      </w:r>
      <w:proofErr w:type="spellStart"/>
      <w:r w:rsidR="00C35ECA">
        <w:rPr>
          <w:rFonts w:ascii="Times New Roman" w:hAnsi="Times New Roman" w:cs="Times New Roman"/>
        </w:rPr>
        <w:t>this</w:t>
      </w:r>
      <w:proofErr w:type="spellEnd"/>
      <w:r w:rsidR="00C35ECA">
        <w:rPr>
          <w:rFonts w:ascii="Times New Roman" w:hAnsi="Times New Roman" w:cs="Times New Roman"/>
        </w:rPr>
        <w:t xml:space="preserve"> </w:t>
      </w:r>
      <w:proofErr w:type="spellStart"/>
      <w:r w:rsidR="00C35ECA">
        <w:rPr>
          <w:rFonts w:ascii="Times New Roman" w:hAnsi="Times New Roman" w:cs="Times New Roman"/>
        </w:rPr>
        <w:t>study’s</w:t>
      </w:r>
      <w:proofErr w:type="spellEnd"/>
      <w:r w:rsidR="00C35ECA">
        <w:rPr>
          <w:rFonts w:ascii="Times New Roman" w:hAnsi="Times New Roman" w:cs="Times New Roman"/>
        </w:rPr>
        <w:t xml:space="preserve"> </w:t>
      </w:r>
      <w:proofErr w:type="spellStart"/>
      <w:r w:rsidR="00C35ECA">
        <w:rPr>
          <w:rFonts w:ascii="Times New Roman" w:hAnsi="Times New Roman" w:cs="Times New Roman"/>
        </w:rPr>
        <w:t>view</w:t>
      </w:r>
      <w:proofErr w:type="spellEnd"/>
      <w:r w:rsidR="00C35ECA">
        <w:rPr>
          <w:rFonts w:ascii="Times New Roman" w:hAnsi="Times New Roman" w:cs="Times New Roman"/>
        </w:rPr>
        <w:t xml:space="preserve"> </w:t>
      </w:r>
      <w:proofErr w:type="spellStart"/>
      <w:r w:rsidR="00C35ECA">
        <w:rPr>
          <w:rFonts w:ascii="Times New Roman" w:hAnsi="Times New Roman" w:cs="Times New Roman"/>
        </w:rPr>
        <w:t>that</w:t>
      </w:r>
      <w:proofErr w:type="spellEnd"/>
      <w:r w:rsidR="00C35ECA">
        <w:rPr>
          <w:rFonts w:ascii="Times New Roman" w:hAnsi="Times New Roman" w:cs="Times New Roman"/>
        </w:rPr>
        <w:t xml:space="preserve"> </w:t>
      </w:r>
      <w:proofErr w:type="spellStart"/>
      <w:r w:rsidR="00C35ECA">
        <w:rPr>
          <w:rFonts w:ascii="Times New Roman" w:hAnsi="Times New Roman" w:cs="Times New Roman"/>
        </w:rPr>
        <w:t>the</w:t>
      </w:r>
      <w:proofErr w:type="spellEnd"/>
      <w:r w:rsidR="00C35ECA">
        <w:rPr>
          <w:rFonts w:ascii="Times New Roman" w:hAnsi="Times New Roman" w:cs="Times New Roman"/>
        </w:rPr>
        <w:t xml:space="preserve"> general </w:t>
      </w:r>
      <w:proofErr w:type="spellStart"/>
      <w:r w:rsidR="00C35ECA">
        <w:rPr>
          <w:rFonts w:ascii="Times New Roman" w:hAnsi="Times New Roman" w:cs="Times New Roman"/>
        </w:rPr>
        <w:t>civil</w:t>
      </w:r>
      <w:proofErr w:type="spellEnd"/>
      <w:r w:rsidR="00C35ECA">
        <w:rPr>
          <w:rFonts w:ascii="Times New Roman" w:hAnsi="Times New Roman" w:cs="Times New Roman"/>
        </w:rPr>
        <w:t xml:space="preserve"> </w:t>
      </w:r>
      <w:proofErr w:type="spellStart"/>
      <w:r w:rsidR="00C35ECA">
        <w:rPr>
          <w:rFonts w:ascii="Times New Roman" w:hAnsi="Times New Roman" w:cs="Times New Roman"/>
        </w:rPr>
        <w:t>procedure</w:t>
      </w:r>
      <w:proofErr w:type="spellEnd"/>
      <w:r w:rsidR="00C35ECA">
        <w:rPr>
          <w:rFonts w:ascii="Times New Roman" w:hAnsi="Times New Roman" w:cs="Times New Roman"/>
        </w:rPr>
        <w:t xml:space="preserve"> </w:t>
      </w:r>
      <w:proofErr w:type="spellStart"/>
      <w:r w:rsidR="00C35ECA">
        <w:rPr>
          <w:rFonts w:ascii="Times New Roman" w:hAnsi="Times New Roman" w:cs="Times New Roman"/>
        </w:rPr>
        <w:t>law</w:t>
      </w:r>
      <w:proofErr w:type="spellEnd"/>
      <w:r w:rsidR="00C35ECA">
        <w:rPr>
          <w:rFonts w:ascii="Times New Roman" w:hAnsi="Times New Roman" w:cs="Times New Roman"/>
        </w:rPr>
        <w:t xml:space="preserve"> </w:t>
      </w:r>
      <w:proofErr w:type="spellStart"/>
      <w:r w:rsidR="00C35ECA">
        <w:rPr>
          <w:rFonts w:ascii="Times New Roman" w:hAnsi="Times New Roman" w:cs="Times New Roman"/>
        </w:rPr>
        <w:t>principle</w:t>
      </w:r>
      <w:proofErr w:type="spellEnd"/>
      <w:r w:rsidR="00C35ECA">
        <w:rPr>
          <w:rFonts w:ascii="Times New Roman" w:hAnsi="Times New Roman" w:cs="Times New Roman"/>
        </w:rPr>
        <w:t xml:space="preserve"> </w:t>
      </w:r>
      <w:proofErr w:type="spellStart"/>
      <w:r w:rsidR="00C35ECA">
        <w:rPr>
          <w:rFonts w:ascii="Times New Roman" w:hAnsi="Times New Roman" w:cs="Times New Roman"/>
        </w:rPr>
        <w:t>should</w:t>
      </w:r>
      <w:proofErr w:type="spellEnd"/>
      <w:r w:rsidR="00C35ECA">
        <w:rPr>
          <w:rFonts w:ascii="Times New Roman" w:hAnsi="Times New Roman" w:cs="Times New Roman"/>
        </w:rPr>
        <w:t xml:space="preserve"> </w:t>
      </w:r>
      <w:proofErr w:type="spellStart"/>
      <w:r w:rsidR="003A5B4F">
        <w:rPr>
          <w:rFonts w:ascii="Times New Roman" w:hAnsi="Times New Roman" w:cs="Times New Roman"/>
        </w:rPr>
        <w:t>only</w:t>
      </w:r>
      <w:proofErr w:type="spellEnd"/>
      <w:r w:rsidR="003A5B4F">
        <w:rPr>
          <w:rFonts w:ascii="Times New Roman" w:hAnsi="Times New Roman" w:cs="Times New Roman"/>
        </w:rPr>
        <w:t xml:space="preserve"> be </w:t>
      </w:r>
      <w:proofErr w:type="spellStart"/>
      <w:r w:rsidR="003A5B4F">
        <w:rPr>
          <w:rFonts w:ascii="Times New Roman" w:hAnsi="Times New Roman" w:cs="Times New Roman"/>
        </w:rPr>
        <w:t>applied</w:t>
      </w:r>
      <w:proofErr w:type="spellEnd"/>
      <w:r w:rsidR="003A5B4F">
        <w:rPr>
          <w:rFonts w:ascii="Times New Roman" w:hAnsi="Times New Roman" w:cs="Times New Roman"/>
        </w:rPr>
        <w:t xml:space="preserve"> </w:t>
      </w:r>
      <w:proofErr w:type="spellStart"/>
      <w:r w:rsidR="003A5B4F">
        <w:rPr>
          <w:rFonts w:ascii="Times New Roman" w:hAnsi="Times New Roman" w:cs="Times New Roman"/>
        </w:rPr>
        <w:t>secondarily</w:t>
      </w:r>
      <w:proofErr w:type="spellEnd"/>
      <w:r w:rsidR="003A5B4F">
        <w:rPr>
          <w:rFonts w:ascii="Times New Roman" w:hAnsi="Times New Roman" w:cs="Times New Roman"/>
        </w:rPr>
        <w:t xml:space="preserve"> </w:t>
      </w:r>
      <w:proofErr w:type="spellStart"/>
      <w:r w:rsidR="003A5B4F">
        <w:rPr>
          <w:rFonts w:ascii="Times New Roman" w:hAnsi="Times New Roman" w:cs="Times New Roman"/>
        </w:rPr>
        <w:t>to</w:t>
      </w:r>
      <w:proofErr w:type="spellEnd"/>
      <w:r w:rsidR="003A5B4F">
        <w:rPr>
          <w:rFonts w:ascii="Times New Roman" w:hAnsi="Times New Roman" w:cs="Times New Roman"/>
        </w:rPr>
        <w:t xml:space="preserve"> </w:t>
      </w:r>
      <w:proofErr w:type="spellStart"/>
      <w:r w:rsidR="003A5B4F">
        <w:rPr>
          <w:rFonts w:ascii="Times New Roman" w:hAnsi="Times New Roman" w:cs="Times New Roman"/>
        </w:rPr>
        <w:t>the</w:t>
      </w:r>
      <w:proofErr w:type="spellEnd"/>
      <w:r w:rsidR="003A5B4F">
        <w:rPr>
          <w:rFonts w:ascii="Times New Roman" w:hAnsi="Times New Roman" w:cs="Times New Roman"/>
        </w:rPr>
        <w:t xml:space="preserve"> </w:t>
      </w:r>
      <w:proofErr w:type="spellStart"/>
      <w:r w:rsidR="003A5B4F">
        <w:rPr>
          <w:rFonts w:ascii="Times New Roman" w:hAnsi="Times New Roman" w:cs="Times New Roman"/>
        </w:rPr>
        <w:t>judicial</w:t>
      </w:r>
      <w:proofErr w:type="spellEnd"/>
      <w:r w:rsidR="003A5B4F">
        <w:rPr>
          <w:rFonts w:ascii="Times New Roman" w:hAnsi="Times New Roman" w:cs="Times New Roman"/>
        </w:rPr>
        <w:t xml:space="preserve"> </w:t>
      </w:r>
      <w:proofErr w:type="spellStart"/>
      <w:r w:rsidR="003A5B4F">
        <w:rPr>
          <w:rFonts w:ascii="Times New Roman" w:hAnsi="Times New Roman" w:cs="Times New Roman"/>
        </w:rPr>
        <w:t>dissolution</w:t>
      </w:r>
      <w:proofErr w:type="spellEnd"/>
      <w:r w:rsidR="003A5B4F">
        <w:rPr>
          <w:rFonts w:ascii="Times New Roman" w:hAnsi="Times New Roman" w:cs="Times New Roman"/>
        </w:rPr>
        <w:t xml:space="preserve"> </w:t>
      </w:r>
      <w:proofErr w:type="spellStart"/>
      <w:r w:rsidR="003A5B4F">
        <w:rPr>
          <w:rFonts w:ascii="Times New Roman" w:hAnsi="Times New Roman" w:cs="Times New Roman"/>
        </w:rPr>
        <w:t>cases</w:t>
      </w:r>
      <w:proofErr w:type="spellEnd"/>
      <w:r w:rsidR="00DA6644">
        <w:rPr>
          <w:rStyle w:val="DipnotBavurusu"/>
          <w:rFonts w:ascii="Times New Roman" w:hAnsi="Times New Roman" w:cs="Times New Roman"/>
        </w:rPr>
        <w:footnoteReference w:id="996"/>
      </w:r>
      <w:r w:rsidR="003A5B4F">
        <w:rPr>
          <w:rFonts w:ascii="Times New Roman" w:hAnsi="Times New Roman" w:cs="Times New Roman"/>
        </w:rPr>
        <w:t>.</w:t>
      </w:r>
      <w:r w:rsidR="00A44A0B">
        <w:rPr>
          <w:rFonts w:ascii="Times New Roman" w:hAnsi="Times New Roman" w:cs="Times New Roman"/>
        </w:rPr>
        <w:t xml:space="preserve"> </w:t>
      </w:r>
      <w:proofErr w:type="spellStart"/>
      <w:r w:rsidR="00A44A0B">
        <w:rPr>
          <w:rFonts w:ascii="Times New Roman" w:hAnsi="Times New Roman" w:cs="Times New Roman"/>
        </w:rPr>
        <w:t>In</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the</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acceptance</w:t>
      </w:r>
      <w:proofErr w:type="spellEnd"/>
      <w:r w:rsidR="00A44A0B">
        <w:rPr>
          <w:rFonts w:ascii="Times New Roman" w:hAnsi="Times New Roman" w:cs="Times New Roman"/>
        </w:rPr>
        <w:t xml:space="preserve"> of </w:t>
      </w:r>
      <w:proofErr w:type="spellStart"/>
      <w:r w:rsidR="00A44A0B">
        <w:rPr>
          <w:rFonts w:ascii="Times New Roman" w:hAnsi="Times New Roman" w:cs="Times New Roman"/>
        </w:rPr>
        <w:t>alternative</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approach</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the</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court</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may</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order</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the</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payment</w:t>
      </w:r>
      <w:proofErr w:type="spellEnd"/>
      <w:r w:rsidR="00A44A0B">
        <w:rPr>
          <w:rFonts w:ascii="Times New Roman" w:hAnsi="Times New Roman" w:cs="Times New Roman"/>
        </w:rPr>
        <w:t xml:space="preserve"> of </w:t>
      </w:r>
      <w:proofErr w:type="spellStart"/>
      <w:r w:rsidR="00A44A0B">
        <w:rPr>
          <w:rFonts w:ascii="Times New Roman" w:hAnsi="Times New Roman" w:cs="Times New Roman"/>
        </w:rPr>
        <w:t>the</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compensation</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only</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from</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the</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corporation’s</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own</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treasury</w:t>
      </w:r>
      <w:proofErr w:type="spellEnd"/>
      <w:r w:rsidR="00A44A0B">
        <w:rPr>
          <w:rFonts w:ascii="Times New Roman" w:hAnsi="Times New Roman" w:cs="Times New Roman"/>
        </w:rPr>
        <w:t xml:space="preserve">, but </w:t>
      </w:r>
      <w:proofErr w:type="spellStart"/>
      <w:r w:rsidR="00A44A0B">
        <w:rPr>
          <w:rFonts w:ascii="Times New Roman" w:hAnsi="Times New Roman" w:cs="Times New Roman"/>
        </w:rPr>
        <w:t>such</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payment</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will</w:t>
      </w:r>
      <w:proofErr w:type="spellEnd"/>
      <w:r w:rsidR="00A44A0B">
        <w:rPr>
          <w:rFonts w:ascii="Times New Roman" w:hAnsi="Times New Roman" w:cs="Times New Roman"/>
        </w:rPr>
        <w:t xml:space="preserve"> not </w:t>
      </w:r>
      <w:proofErr w:type="spellStart"/>
      <w:r w:rsidR="00A44A0B">
        <w:rPr>
          <w:rFonts w:ascii="Times New Roman" w:hAnsi="Times New Roman" w:cs="Times New Roman"/>
        </w:rPr>
        <w:t>remedy</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the</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aggreived</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party</w:t>
      </w:r>
      <w:proofErr w:type="spellEnd"/>
      <w:r w:rsidR="00A44A0B">
        <w:rPr>
          <w:rFonts w:ascii="Times New Roman" w:hAnsi="Times New Roman" w:cs="Times New Roman"/>
        </w:rPr>
        <w:t xml:space="preserve"> as </w:t>
      </w:r>
      <w:r w:rsidR="009E2C8B">
        <w:rPr>
          <w:rFonts w:ascii="Times New Roman" w:hAnsi="Times New Roman" w:cs="Times New Roman"/>
        </w:rPr>
        <w:t>he</w:t>
      </w:r>
      <w:r w:rsidR="00A44A0B">
        <w:rPr>
          <w:rFonts w:ascii="Times New Roman" w:hAnsi="Times New Roman" w:cs="Times New Roman"/>
        </w:rPr>
        <w:t xml:space="preserve"> </w:t>
      </w:r>
      <w:proofErr w:type="spellStart"/>
      <w:r w:rsidR="00A44A0B">
        <w:rPr>
          <w:rFonts w:ascii="Times New Roman" w:hAnsi="Times New Roman" w:cs="Times New Roman"/>
        </w:rPr>
        <w:t>will</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still</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suffer</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damage</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due</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to</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the</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decrease</w:t>
      </w:r>
      <w:proofErr w:type="spellEnd"/>
      <w:r w:rsidR="00A44A0B">
        <w:rPr>
          <w:rFonts w:ascii="Times New Roman" w:hAnsi="Times New Roman" w:cs="Times New Roman"/>
        </w:rPr>
        <w:t xml:space="preserve"> in </w:t>
      </w:r>
      <w:proofErr w:type="spellStart"/>
      <w:r w:rsidR="00A44A0B">
        <w:rPr>
          <w:rFonts w:ascii="Times New Roman" w:hAnsi="Times New Roman" w:cs="Times New Roman"/>
        </w:rPr>
        <w:t>the</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value</w:t>
      </w:r>
      <w:proofErr w:type="spellEnd"/>
      <w:r w:rsidR="00A44A0B">
        <w:rPr>
          <w:rFonts w:ascii="Times New Roman" w:hAnsi="Times New Roman" w:cs="Times New Roman"/>
        </w:rPr>
        <w:t xml:space="preserve"> of his </w:t>
      </w:r>
      <w:proofErr w:type="spellStart"/>
      <w:r w:rsidR="00A44A0B">
        <w:rPr>
          <w:rFonts w:ascii="Times New Roman" w:hAnsi="Times New Roman" w:cs="Times New Roman"/>
        </w:rPr>
        <w:t>shares</w:t>
      </w:r>
      <w:proofErr w:type="spellEnd"/>
      <w:r w:rsidR="00A44A0B">
        <w:rPr>
          <w:rFonts w:ascii="Times New Roman" w:hAnsi="Times New Roman" w:cs="Times New Roman"/>
        </w:rPr>
        <w:t xml:space="preserve"> as a </w:t>
      </w:r>
      <w:proofErr w:type="spellStart"/>
      <w:r w:rsidR="00A44A0B">
        <w:rPr>
          <w:rFonts w:ascii="Times New Roman" w:hAnsi="Times New Roman" w:cs="Times New Roman"/>
        </w:rPr>
        <w:t>result</w:t>
      </w:r>
      <w:proofErr w:type="spellEnd"/>
      <w:r w:rsidR="00A44A0B">
        <w:rPr>
          <w:rFonts w:ascii="Times New Roman" w:hAnsi="Times New Roman" w:cs="Times New Roman"/>
        </w:rPr>
        <w:t xml:space="preserve"> of </w:t>
      </w:r>
      <w:proofErr w:type="spellStart"/>
      <w:r w:rsidR="00A44A0B">
        <w:rPr>
          <w:rFonts w:ascii="Times New Roman" w:hAnsi="Times New Roman" w:cs="Times New Roman"/>
        </w:rPr>
        <w:t>decrease</w:t>
      </w:r>
      <w:proofErr w:type="spellEnd"/>
      <w:r w:rsidR="00A44A0B">
        <w:rPr>
          <w:rFonts w:ascii="Times New Roman" w:hAnsi="Times New Roman" w:cs="Times New Roman"/>
        </w:rPr>
        <w:t xml:space="preserve"> in </w:t>
      </w:r>
      <w:proofErr w:type="spellStart"/>
      <w:r w:rsidR="00A44A0B">
        <w:rPr>
          <w:rFonts w:ascii="Times New Roman" w:hAnsi="Times New Roman" w:cs="Times New Roman"/>
        </w:rPr>
        <w:t>corporate</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treasury</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after</w:t>
      </w:r>
      <w:proofErr w:type="spellEnd"/>
      <w:r w:rsidR="00A44A0B">
        <w:rPr>
          <w:rFonts w:ascii="Times New Roman" w:hAnsi="Times New Roman" w:cs="Times New Roman"/>
        </w:rPr>
        <w:t xml:space="preserve"> </w:t>
      </w:r>
      <w:proofErr w:type="spellStart"/>
      <w:r w:rsidR="00A44A0B">
        <w:rPr>
          <w:rFonts w:ascii="Times New Roman" w:hAnsi="Times New Roman" w:cs="Times New Roman"/>
        </w:rPr>
        <w:t>compensation</w:t>
      </w:r>
      <w:proofErr w:type="spellEnd"/>
      <w:r w:rsidR="00A44A0B">
        <w:rPr>
          <w:rFonts w:ascii="Times New Roman" w:hAnsi="Times New Roman" w:cs="Times New Roman"/>
        </w:rPr>
        <w:t xml:space="preserve">.  </w:t>
      </w:r>
    </w:p>
    <w:p w14:paraId="492C1F2D" w14:textId="03ACB6E5" w:rsidR="0037610F" w:rsidRPr="00705170" w:rsidRDefault="00080788" w:rsidP="00AE4CDC">
      <w:pPr>
        <w:spacing w:after="240" w:line="480" w:lineRule="auto"/>
        <w:jc w:val="both"/>
        <w:rPr>
          <w:rFonts w:ascii="Times New Roman" w:hAnsi="Times New Roman" w:cs="Times New Roman"/>
        </w:rPr>
      </w:pPr>
      <w:r w:rsidRPr="00705170">
        <w:rPr>
          <w:rFonts w:ascii="Times New Roman" w:hAnsi="Times New Roman" w:cs="Times New Roman"/>
        </w:rPr>
        <w:tab/>
      </w:r>
      <w:proofErr w:type="spellStart"/>
      <w:r w:rsidR="006870DA" w:rsidRPr="00705170">
        <w:rPr>
          <w:rFonts w:ascii="Times New Roman" w:hAnsi="Times New Roman" w:cs="Times New Roman"/>
        </w:rPr>
        <w:t>It</w:t>
      </w:r>
      <w:proofErr w:type="spellEnd"/>
      <w:r w:rsidR="006870DA" w:rsidRPr="00705170">
        <w:rPr>
          <w:rFonts w:ascii="Times New Roman" w:hAnsi="Times New Roman" w:cs="Times New Roman"/>
        </w:rPr>
        <w:t xml:space="preserve"> is </w:t>
      </w:r>
      <w:proofErr w:type="spellStart"/>
      <w:r w:rsidR="006870DA" w:rsidRPr="00705170">
        <w:rPr>
          <w:rFonts w:ascii="Times New Roman" w:hAnsi="Times New Roman" w:cs="Times New Roman"/>
        </w:rPr>
        <w:t>necessary</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for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courts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to</w:t>
      </w:r>
      <w:proofErr w:type="spellEnd"/>
      <w:r w:rsidR="006870DA" w:rsidRPr="00705170">
        <w:rPr>
          <w:rFonts w:ascii="Times New Roman" w:hAnsi="Times New Roman" w:cs="Times New Roman"/>
        </w:rPr>
        <w:t xml:space="preserve"> be </w:t>
      </w:r>
      <w:proofErr w:type="spellStart"/>
      <w:r w:rsidR="006870DA" w:rsidRPr="00705170">
        <w:rPr>
          <w:rFonts w:ascii="Times New Roman" w:hAnsi="Times New Roman" w:cs="Times New Roman"/>
        </w:rPr>
        <w:t>able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to</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use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the</w:t>
      </w:r>
      <w:proofErr w:type="spellEnd"/>
      <w:r w:rsidR="00FC3992">
        <w:rPr>
          <w:rFonts w:ascii="Times New Roman" w:hAnsi="Times New Roman" w:cs="Times New Roman"/>
        </w:rPr>
        <w:t xml:space="preserve"> </w:t>
      </w:r>
      <w:proofErr w:type="spellStart"/>
      <w:r w:rsidR="00FC3992">
        <w:rPr>
          <w:rFonts w:ascii="Times New Roman" w:hAnsi="Times New Roman" w:cs="Times New Roman"/>
        </w:rPr>
        <w:t>judicial</w:t>
      </w:r>
      <w:proofErr w:type="spellEnd"/>
      <w:r w:rsidR="00FC3992">
        <w:rPr>
          <w:rFonts w:ascii="Times New Roman" w:hAnsi="Times New Roman" w:cs="Times New Roman"/>
        </w:rPr>
        <w:t xml:space="preserve"> </w:t>
      </w:r>
      <w:proofErr w:type="spellStart"/>
      <w:r w:rsidR="00FC3992">
        <w:rPr>
          <w:rFonts w:ascii="Times New Roman" w:hAnsi="Times New Roman" w:cs="Times New Roman"/>
        </w:rPr>
        <w:t>dissolution</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provision</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to</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order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compensatory</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dam</w:t>
      </w:r>
      <w:r w:rsidR="00FC3992">
        <w:rPr>
          <w:rFonts w:ascii="Times New Roman" w:hAnsi="Times New Roman" w:cs="Times New Roman"/>
        </w:rPr>
        <w:t>ages</w:t>
      </w:r>
      <w:proofErr w:type="spellEnd"/>
      <w:r w:rsidR="00FC3992">
        <w:rPr>
          <w:rFonts w:ascii="Times New Roman" w:hAnsi="Times New Roman" w:cs="Times New Roman"/>
        </w:rPr>
        <w:t xml:space="preserve"> </w:t>
      </w:r>
      <w:proofErr w:type="spellStart"/>
      <w:r w:rsidR="00FC3992">
        <w:rPr>
          <w:rFonts w:ascii="Times New Roman" w:hAnsi="Times New Roman" w:cs="Times New Roman"/>
        </w:rPr>
        <w:t>flowing</w:t>
      </w:r>
      <w:proofErr w:type="spellEnd"/>
      <w:r w:rsidR="00FC3992">
        <w:rPr>
          <w:rFonts w:ascii="Times New Roman" w:hAnsi="Times New Roman" w:cs="Times New Roman"/>
        </w:rPr>
        <w:t xml:space="preserve"> </w:t>
      </w:r>
      <w:proofErr w:type="spellStart"/>
      <w:r w:rsidR="00FC3992">
        <w:rPr>
          <w:rFonts w:ascii="Times New Roman" w:hAnsi="Times New Roman" w:cs="Times New Roman"/>
        </w:rPr>
        <w:t>from</w:t>
      </w:r>
      <w:proofErr w:type="spellEnd"/>
      <w:r w:rsidR="00FC3992">
        <w:rPr>
          <w:rFonts w:ascii="Times New Roman" w:hAnsi="Times New Roman" w:cs="Times New Roman"/>
        </w:rPr>
        <w:t xml:space="preserve"> </w:t>
      </w:r>
      <w:proofErr w:type="spellStart"/>
      <w:r w:rsidR="00FC3992">
        <w:rPr>
          <w:rFonts w:ascii="Times New Roman" w:hAnsi="Times New Roman" w:cs="Times New Roman"/>
        </w:rPr>
        <w:t>the</w:t>
      </w:r>
      <w:proofErr w:type="spellEnd"/>
      <w:r w:rsidR="00FC3992">
        <w:rPr>
          <w:rFonts w:ascii="Times New Roman" w:hAnsi="Times New Roman" w:cs="Times New Roman"/>
        </w:rPr>
        <w:t xml:space="preserve"> </w:t>
      </w:r>
      <w:proofErr w:type="spellStart"/>
      <w:r w:rsidR="00FC3992">
        <w:rPr>
          <w:rFonts w:ascii="Times New Roman" w:hAnsi="Times New Roman" w:cs="Times New Roman"/>
        </w:rPr>
        <w:t>influencing</w:t>
      </w:r>
      <w:proofErr w:type="spellEnd"/>
      <w:r w:rsidR="00FC3992">
        <w:rPr>
          <w:rFonts w:ascii="Times New Roman" w:hAnsi="Times New Roman" w:cs="Times New Roman"/>
        </w:rPr>
        <w:t xml:space="preserve"> </w:t>
      </w:r>
      <w:proofErr w:type="spellStart"/>
      <w:r w:rsidR="00FC3992">
        <w:rPr>
          <w:rFonts w:ascii="Times New Roman" w:hAnsi="Times New Roman" w:cs="Times New Roman"/>
        </w:rPr>
        <w:t>shareholder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to</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petitoners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because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otherwise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petitioners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will</w:t>
      </w:r>
      <w:proofErr w:type="spellEnd"/>
      <w:r w:rsidR="006870DA" w:rsidRPr="00705170">
        <w:rPr>
          <w:rFonts w:ascii="Times New Roman" w:hAnsi="Times New Roman" w:cs="Times New Roman"/>
        </w:rPr>
        <w:t xml:space="preserve"> not be </w:t>
      </w:r>
      <w:proofErr w:type="spellStart"/>
      <w:r w:rsidR="006870DA" w:rsidRPr="00705170">
        <w:rPr>
          <w:rFonts w:ascii="Times New Roman" w:hAnsi="Times New Roman" w:cs="Times New Roman"/>
        </w:rPr>
        <w:t>able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to</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receive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any</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compensation</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After</w:t>
      </w:r>
      <w:proofErr w:type="spellEnd"/>
      <w:r w:rsidR="00FC3992">
        <w:rPr>
          <w:rFonts w:ascii="Times New Roman" w:hAnsi="Times New Roman" w:cs="Times New Roman"/>
        </w:rPr>
        <w:t xml:space="preserve"> </w:t>
      </w:r>
      <w:proofErr w:type="spellStart"/>
      <w:r w:rsidR="00FC3992">
        <w:rPr>
          <w:rFonts w:ascii="Times New Roman" w:hAnsi="Times New Roman" w:cs="Times New Roman"/>
        </w:rPr>
        <w:t>all</w:t>
      </w:r>
      <w:proofErr w:type="spellEnd"/>
      <w:r w:rsidR="00FC3992">
        <w:rPr>
          <w:rFonts w:ascii="Times New Roman" w:hAnsi="Times New Roman" w:cs="Times New Roman"/>
        </w:rPr>
        <w:t>, TCC in general</w:t>
      </w:r>
      <w:r w:rsidR="0083581C">
        <w:rPr>
          <w:rFonts w:ascii="Times New Roman" w:hAnsi="Times New Roman" w:cs="Times New Roman"/>
        </w:rPr>
        <w:t xml:space="preserve">, </w:t>
      </w:r>
      <w:proofErr w:type="spellStart"/>
      <w:r w:rsidR="0083581C">
        <w:rPr>
          <w:rFonts w:ascii="Times New Roman" w:hAnsi="Times New Roman" w:cs="Times New Roman"/>
        </w:rPr>
        <w:t>including</w:t>
      </w:r>
      <w:proofErr w:type="spellEnd"/>
      <w:r w:rsidR="0083581C">
        <w:rPr>
          <w:rFonts w:ascii="Times New Roman" w:hAnsi="Times New Roman" w:cs="Times New Roman"/>
        </w:rPr>
        <w:t xml:space="preserve"> </w:t>
      </w:r>
      <w:proofErr w:type="spellStart"/>
      <w:r w:rsidR="0083581C">
        <w:rPr>
          <w:rFonts w:ascii="Times New Roman" w:hAnsi="Times New Roman" w:cs="Times New Roman"/>
        </w:rPr>
        <w:t>the</w:t>
      </w:r>
      <w:proofErr w:type="spellEnd"/>
      <w:r w:rsidR="0083581C">
        <w:rPr>
          <w:rFonts w:ascii="Times New Roman" w:hAnsi="Times New Roman" w:cs="Times New Roman"/>
        </w:rPr>
        <w:t xml:space="preserve"> </w:t>
      </w:r>
      <w:proofErr w:type="spellStart"/>
      <w:r w:rsidR="0083581C">
        <w:rPr>
          <w:rFonts w:ascii="Times New Roman" w:hAnsi="Times New Roman" w:cs="Times New Roman"/>
        </w:rPr>
        <w:t>rules</w:t>
      </w:r>
      <w:proofErr w:type="spellEnd"/>
      <w:r w:rsidR="00FC3992">
        <w:rPr>
          <w:rFonts w:ascii="Times New Roman" w:hAnsi="Times New Roman" w:cs="Times New Roman"/>
        </w:rPr>
        <w:t xml:space="preserve"> </w:t>
      </w:r>
      <w:proofErr w:type="spellStart"/>
      <w:r w:rsidR="00FC3992">
        <w:rPr>
          <w:rFonts w:ascii="Times New Roman" w:hAnsi="Times New Roman" w:cs="Times New Roman"/>
        </w:rPr>
        <w:t>outlined</w:t>
      </w:r>
      <w:proofErr w:type="spellEnd"/>
      <w:r w:rsidR="00FC3992">
        <w:rPr>
          <w:rFonts w:ascii="Times New Roman" w:hAnsi="Times New Roman" w:cs="Times New Roman"/>
        </w:rPr>
        <w:t xml:space="preserve"> in </w:t>
      </w:r>
      <w:proofErr w:type="spellStart"/>
      <w:r w:rsidR="00FC3992">
        <w:rPr>
          <w:rFonts w:ascii="Times New Roman" w:hAnsi="Times New Roman" w:cs="Times New Roman"/>
        </w:rPr>
        <w:t>Chapter</w:t>
      </w:r>
      <w:proofErr w:type="spellEnd"/>
      <w:r w:rsidR="00FC3992">
        <w:rPr>
          <w:rFonts w:ascii="Times New Roman" w:hAnsi="Times New Roman" w:cs="Times New Roman"/>
        </w:rPr>
        <w:t xml:space="preserve"> I</w:t>
      </w:r>
      <w:r w:rsidR="00C01441">
        <w:rPr>
          <w:rFonts w:ascii="Times New Roman" w:hAnsi="Times New Roman" w:cs="Times New Roman"/>
        </w:rPr>
        <w:t>II</w:t>
      </w:r>
      <w:r w:rsidR="00FC3992">
        <w:rPr>
          <w:rFonts w:ascii="Times New Roman" w:hAnsi="Times New Roman" w:cs="Times New Roman"/>
        </w:rPr>
        <w:t>, is</w:t>
      </w:r>
      <w:r w:rsidR="006870DA" w:rsidRPr="00705170">
        <w:rPr>
          <w:rFonts w:ascii="Times New Roman" w:hAnsi="Times New Roman" w:cs="Times New Roman"/>
        </w:rPr>
        <w:t xml:space="preserve"> not </w:t>
      </w:r>
      <w:proofErr w:type="spellStart"/>
      <w:r w:rsidR="006870DA" w:rsidRPr="00705170">
        <w:rPr>
          <w:rFonts w:ascii="Times New Roman" w:hAnsi="Times New Roman" w:cs="Times New Roman"/>
        </w:rPr>
        <w:t>structured</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for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this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kind</w:t>
      </w:r>
      <w:proofErr w:type="spellEnd"/>
      <w:r w:rsidR="006870DA" w:rsidRPr="00705170">
        <w:rPr>
          <w:rFonts w:ascii="Times New Roman" w:hAnsi="Times New Roman" w:cs="Times New Roman"/>
        </w:rPr>
        <w:t xml:space="preserve"> of </w:t>
      </w:r>
      <w:proofErr w:type="spellStart"/>
      <w:r w:rsidR="006870DA" w:rsidRPr="00705170">
        <w:rPr>
          <w:rFonts w:ascii="Times New Roman" w:hAnsi="Times New Roman" w:cs="Times New Roman"/>
        </w:rPr>
        <w:t>remedy</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For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example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while</w:t>
      </w:r>
      <w:proofErr w:type="spellEnd"/>
      <w:r w:rsidR="006870DA" w:rsidRPr="00705170">
        <w:rPr>
          <w:rFonts w:ascii="Times New Roman" w:hAnsi="Times New Roman" w:cs="Times New Roman"/>
        </w:rPr>
        <w:t xml:space="preserve"> it is </w:t>
      </w:r>
      <w:proofErr w:type="spellStart"/>
      <w:r w:rsidR="006870DA" w:rsidRPr="00705170">
        <w:rPr>
          <w:rFonts w:ascii="Times New Roman" w:hAnsi="Times New Roman" w:cs="Times New Roman"/>
        </w:rPr>
        <w:t>accepted</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that</w:t>
      </w:r>
      <w:proofErr w:type="spellEnd"/>
      <w:r w:rsidR="006870DA" w:rsidRPr="00705170">
        <w:rPr>
          <w:rFonts w:ascii="Times New Roman" w:hAnsi="Times New Roman" w:cs="Times New Roman"/>
        </w:rPr>
        <w:t xml:space="preserve"> an </w:t>
      </w:r>
      <w:proofErr w:type="spellStart"/>
      <w:r w:rsidR="006870DA" w:rsidRPr="00705170">
        <w:rPr>
          <w:rFonts w:ascii="Times New Roman" w:hAnsi="Times New Roman" w:cs="Times New Roman"/>
        </w:rPr>
        <w:t>action</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such</w:t>
      </w:r>
      <w:proofErr w:type="spellEnd"/>
      <w:r w:rsidR="006870DA" w:rsidRPr="00705170">
        <w:rPr>
          <w:rFonts w:ascii="Times New Roman" w:hAnsi="Times New Roman" w:cs="Times New Roman"/>
        </w:rPr>
        <w:t xml:space="preserve"> as </w:t>
      </w:r>
      <w:proofErr w:type="spellStart"/>
      <w:r w:rsidR="006870DA" w:rsidRPr="00705170">
        <w:rPr>
          <w:rFonts w:ascii="Times New Roman" w:hAnsi="Times New Roman" w:cs="Times New Roman"/>
        </w:rPr>
        <w:t>wrongful</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witholding</w:t>
      </w:r>
      <w:proofErr w:type="spellEnd"/>
      <w:r w:rsidR="006870DA" w:rsidRPr="00705170">
        <w:rPr>
          <w:rFonts w:ascii="Times New Roman" w:hAnsi="Times New Roman" w:cs="Times New Roman"/>
        </w:rPr>
        <w:t xml:space="preserve"> of </w:t>
      </w:r>
      <w:proofErr w:type="spellStart"/>
      <w:r w:rsidR="006870DA" w:rsidRPr="00705170">
        <w:rPr>
          <w:rFonts w:ascii="Times New Roman" w:hAnsi="Times New Roman" w:cs="Times New Roman"/>
        </w:rPr>
        <w:t>dividends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causes</w:t>
      </w:r>
      <w:proofErr w:type="spellEnd"/>
      <w:r w:rsidR="006870DA" w:rsidRPr="00705170">
        <w:rPr>
          <w:rFonts w:ascii="Times New Roman" w:hAnsi="Times New Roman" w:cs="Times New Roman"/>
        </w:rPr>
        <w:t xml:space="preserve"> a </w:t>
      </w:r>
      <w:proofErr w:type="spellStart"/>
      <w:r w:rsidR="006870DA" w:rsidRPr="00705170">
        <w:rPr>
          <w:rFonts w:ascii="Times New Roman" w:hAnsi="Times New Roman" w:cs="Times New Roman"/>
        </w:rPr>
        <w:t>wrong</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inflicted</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upon</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individual</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shareholder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rather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than</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effecting</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corporation</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and</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gives</w:t>
      </w:r>
      <w:proofErr w:type="spellEnd"/>
      <w:r w:rsidR="006870DA" w:rsidRPr="00705170">
        <w:rPr>
          <w:rFonts w:ascii="Times New Roman" w:hAnsi="Times New Roman" w:cs="Times New Roman"/>
        </w:rPr>
        <w:t xml:space="preserve"> an </w:t>
      </w:r>
      <w:proofErr w:type="spellStart"/>
      <w:r w:rsidR="006870DA" w:rsidRPr="00705170">
        <w:rPr>
          <w:rFonts w:ascii="Times New Roman" w:hAnsi="Times New Roman" w:cs="Times New Roman"/>
        </w:rPr>
        <w:t>individual</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casue</w:t>
      </w:r>
      <w:proofErr w:type="spellEnd"/>
      <w:r w:rsidR="006870DA" w:rsidRPr="00705170">
        <w:rPr>
          <w:rFonts w:ascii="Times New Roman" w:hAnsi="Times New Roman" w:cs="Times New Roman"/>
        </w:rPr>
        <w:t xml:space="preserve"> of </w:t>
      </w:r>
      <w:proofErr w:type="spellStart"/>
      <w:r w:rsidR="006870DA" w:rsidRPr="00705170">
        <w:rPr>
          <w:rFonts w:ascii="Times New Roman" w:hAnsi="Times New Roman" w:cs="Times New Roman"/>
        </w:rPr>
        <w:t>action</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to</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shareholder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actions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that</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effect</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attractiveness</w:t>
      </w:r>
      <w:proofErr w:type="spellEnd"/>
      <w:r w:rsidR="006870DA" w:rsidRPr="00705170">
        <w:rPr>
          <w:rFonts w:ascii="Times New Roman" w:hAnsi="Times New Roman" w:cs="Times New Roman"/>
        </w:rPr>
        <w:t xml:space="preserve"> of </w:t>
      </w:r>
      <w:proofErr w:type="spellStart"/>
      <w:r w:rsidR="006870DA" w:rsidRPr="00705170">
        <w:rPr>
          <w:rFonts w:ascii="Times New Roman" w:hAnsi="Times New Roman" w:cs="Times New Roman"/>
        </w:rPr>
        <w:t>the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corporation</w:t>
      </w:r>
      <w:proofErr w:type="spellEnd"/>
      <w:r w:rsidR="006870DA" w:rsidRPr="00705170">
        <w:rPr>
          <w:rFonts w:ascii="Times New Roman" w:hAnsi="Times New Roman" w:cs="Times New Roman"/>
        </w:rPr>
        <w:t xml:space="preserve"> as an </w:t>
      </w:r>
      <w:proofErr w:type="spellStart"/>
      <w:r w:rsidR="006870DA" w:rsidRPr="00705170">
        <w:rPr>
          <w:rFonts w:ascii="Times New Roman" w:hAnsi="Times New Roman" w:cs="Times New Roman"/>
        </w:rPr>
        <w:t>investment</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and</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underlying</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value</w:t>
      </w:r>
      <w:proofErr w:type="spellEnd"/>
      <w:r w:rsidR="006870DA" w:rsidRPr="00705170">
        <w:rPr>
          <w:rFonts w:ascii="Times New Roman" w:hAnsi="Times New Roman" w:cs="Times New Roman"/>
        </w:rPr>
        <w:t xml:space="preserve"> of </w:t>
      </w:r>
      <w:proofErr w:type="spellStart"/>
      <w:r w:rsidR="006870DA" w:rsidRPr="00705170">
        <w:rPr>
          <w:rFonts w:ascii="Times New Roman" w:hAnsi="Times New Roman" w:cs="Times New Roman"/>
        </w:rPr>
        <w:t>its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assets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are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derivative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injuries</w:t>
      </w:r>
      <w:proofErr w:type="spellEnd"/>
      <w:r w:rsidR="006870DA" w:rsidRPr="00705170">
        <w:rPr>
          <w:rFonts w:ascii="Times New Roman" w:hAnsi="Times New Roman" w:cs="Times New Roman"/>
        </w:rPr>
        <w:t xml:space="preserve"> in </w:t>
      </w:r>
      <w:proofErr w:type="spellStart"/>
      <w:r w:rsidR="006870DA" w:rsidRPr="00705170">
        <w:rPr>
          <w:rFonts w:ascii="Times New Roman" w:hAnsi="Times New Roman" w:cs="Times New Roman"/>
        </w:rPr>
        <w:t>nature</w:t>
      </w:r>
      <w:proofErr w:type="spellEnd"/>
      <w:r w:rsidR="006870DA" w:rsidRPr="00705170">
        <w:rPr>
          <w:rStyle w:val="DipnotBavurusu"/>
          <w:rFonts w:ascii="Times New Roman" w:hAnsi="Times New Roman" w:cs="Times New Roman"/>
        </w:rPr>
        <w:footnoteReference w:id="997"/>
      </w:r>
      <w:r w:rsidR="006870DA" w:rsidRPr="00705170">
        <w:rPr>
          <w:rFonts w:ascii="Times New Roman" w:hAnsi="Times New Roman" w:cs="Times New Roman"/>
        </w:rPr>
        <w:t xml:space="preserve">. </w:t>
      </w:r>
      <w:proofErr w:type="spellStart"/>
      <w:r w:rsidR="00AE4CDC">
        <w:rPr>
          <w:rFonts w:ascii="Times New Roman" w:hAnsi="Times New Roman" w:cs="Times New Roman"/>
        </w:rPr>
        <w:t>Likewise</w:t>
      </w:r>
      <w:proofErr w:type="spellEnd"/>
      <w:r w:rsidR="00AE4CDC">
        <w:rPr>
          <w:rFonts w:ascii="Times New Roman" w:hAnsi="Times New Roman" w:cs="Times New Roman"/>
        </w:rPr>
        <w:t>,</w:t>
      </w:r>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while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shareholders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cannot</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use</w:t>
      </w:r>
      <w:proofErr w:type="spellEnd"/>
      <w:r w:rsidR="006870DA" w:rsidRPr="00705170">
        <w:rPr>
          <w:rFonts w:ascii="Times New Roman" w:hAnsi="Times New Roman" w:cs="Times New Roman"/>
        </w:rPr>
        <w:t xml:space="preserve"> TCC in general </w:t>
      </w:r>
      <w:proofErr w:type="spellStart"/>
      <w:r w:rsidR="006870DA" w:rsidRPr="00705170">
        <w:rPr>
          <w:rFonts w:ascii="Times New Roman" w:hAnsi="Times New Roman" w:cs="Times New Roman"/>
        </w:rPr>
        <w:t>to</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sue</w:t>
      </w:r>
      <w:proofErr w:type="spellEnd"/>
      <w:r w:rsidR="006870DA" w:rsidRPr="00705170">
        <w:rPr>
          <w:rFonts w:ascii="Times New Roman" w:hAnsi="Times New Roman" w:cs="Times New Roman"/>
        </w:rPr>
        <w:t xml:space="preserve"> an </w:t>
      </w:r>
      <w:proofErr w:type="spellStart"/>
      <w:r w:rsidR="006870DA" w:rsidRPr="00705170">
        <w:rPr>
          <w:rFonts w:ascii="Times New Roman" w:hAnsi="Times New Roman" w:cs="Times New Roman"/>
        </w:rPr>
        <w:t>abuser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for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compensation</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due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to</w:t>
      </w:r>
      <w:proofErr w:type="spellEnd"/>
      <w:r w:rsidR="006870DA" w:rsidRPr="00705170">
        <w:rPr>
          <w:rFonts w:ascii="Times New Roman" w:hAnsi="Times New Roman" w:cs="Times New Roman"/>
        </w:rPr>
        <w:t xml:space="preserve"> a </w:t>
      </w:r>
      <w:proofErr w:type="spellStart"/>
      <w:r w:rsidR="006870DA" w:rsidRPr="00705170">
        <w:rPr>
          <w:rFonts w:ascii="Times New Roman" w:hAnsi="Times New Roman" w:cs="Times New Roman"/>
        </w:rPr>
        <w:t>damage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lastRenderedPageBreak/>
        <w:t>occurred</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because</w:t>
      </w:r>
      <w:proofErr w:type="spellEnd"/>
      <w:r w:rsidR="006870DA" w:rsidRPr="00705170">
        <w:rPr>
          <w:rFonts w:ascii="Times New Roman" w:hAnsi="Times New Roman" w:cs="Times New Roman"/>
        </w:rPr>
        <w:t xml:space="preserve"> of his </w:t>
      </w:r>
      <w:proofErr w:type="spellStart"/>
      <w:r w:rsidR="006870DA" w:rsidRPr="00705170">
        <w:rPr>
          <w:rFonts w:ascii="Times New Roman" w:hAnsi="Times New Roman" w:cs="Times New Roman"/>
        </w:rPr>
        <w:t>abuse</w:t>
      </w:r>
      <w:proofErr w:type="spellEnd"/>
      <w:r w:rsidR="006870DA" w:rsidRPr="00705170">
        <w:rPr>
          <w:rFonts w:ascii="Times New Roman" w:hAnsi="Times New Roman" w:cs="Times New Roman"/>
        </w:rPr>
        <w:t xml:space="preserve"> of his </w:t>
      </w:r>
      <w:proofErr w:type="spellStart"/>
      <w:r w:rsidR="006870DA" w:rsidRPr="00705170">
        <w:rPr>
          <w:rFonts w:ascii="Times New Roman" w:hAnsi="Times New Roman" w:cs="Times New Roman"/>
        </w:rPr>
        <w:t>own</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rights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by</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exercising</w:t>
      </w:r>
      <w:proofErr w:type="spellEnd"/>
      <w:r w:rsidR="006870DA" w:rsidRPr="00705170">
        <w:rPr>
          <w:rFonts w:ascii="Times New Roman" w:hAnsi="Times New Roman" w:cs="Times New Roman"/>
        </w:rPr>
        <w:t xml:space="preserve"> his </w:t>
      </w:r>
      <w:proofErr w:type="spellStart"/>
      <w:r w:rsidR="006870DA" w:rsidRPr="00705170">
        <w:rPr>
          <w:rFonts w:ascii="Times New Roman" w:hAnsi="Times New Roman" w:cs="Times New Roman"/>
        </w:rPr>
        <w:t>voting</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right</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to</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intentionally</w:t>
      </w:r>
      <w:proofErr w:type="spellEnd"/>
      <w:r w:rsidR="006870DA" w:rsidRPr="00705170">
        <w:rPr>
          <w:rFonts w:ascii="Times New Roman" w:hAnsi="Times New Roman" w:cs="Times New Roman"/>
        </w:rPr>
        <w:t xml:space="preserve"> hurt </w:t>
      </w:r>
      <w:proofErr w:type="spellStart"/>
      <w:r w:rsidR="006870DA" w:rsidRPr="00705170">
        <w:rPr>
          <w:rFonts w:ascii="Times New Roman" w:hAnsi="Times New Roman" w:cs="Times New Roman"/>
        </w:rPr>
        <w:t>the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corpo</w:t>
      </w:r>
      <w:r w:rsidR="00AE4CDC">
        <w:rPr>
          <w:rFonts w:ascii="Times New Roman" w:hAnsi="Times New Roman" w:cs="Times New Roman"/>
        </w:rPr>
        <w:t>ration</w:t>
      </w:r>
      <w:proofErr w:type="spellEnd"/>
      <w:r w:rsidR="00AE4CDC">
        <w:rPr>
          <w:rFonts w:ascii="Times New Roman" w:hAnsi="Times New Roman" w:cs="Times New Roman"/>
        </w:rPr>
        <w:t xml:space="preserve">, </w:t>
      </w:r>
      <w:proofErr w:type="spellStart"/>
      <w:r w:rsidR="00AE4CDC">
        <w:rPr>
          <w:rFonts w:ascii="Times New Roman" w:hAnsi="Times New Roman" w:cs="Times New Roman"/>
        </w:rPr>
        <w:t>shareholders</w:t>
      </w:r>
      <w:proofErr w:type="spellEnd"/>
      <w:r w:rsidR="00AE4CDC">
        <w:rPr>
          <w:rFonts w:ascii="Times New Roman" w:hAnsi="Times New Roman" w:cs="Times New Roman"/>
        </w:rPr>
        <w:t xml:space="preserve"> can </w:t>
      </w:r>
      <w:proofErr w:type="spellStart"/>
      <w:r w:rsidR="00AE4CDC">
        <w:rPr>
          <w:rFonts w:ascii="Times New Roman" w:hAnsi="Times New Roman" w:cs="Times New Roman"/>
        </w:rPr>
        <w:t>sue</w:t>
      </w:r>
      <w:proofErr w:type="spellEnd"/>
      <w:r w:rsidR="00AE4CDC">
        <w:rPr>
          <w:rFonts w:ascii="Times New Roman" w:hAnsi="Times New Roman" w:cs="Times New Roman"/>
        </w:rPr>
        <w:t xml:space="preserve"> </w:t>
      </w:r>
      <w:proofErr w:type="spellStart"/>
      <w:r w:rsidR="00AE4CDC">
        <w:rPr>
          <w:rFonts w:ascii="Times New Roman" w:hAnsi="Times New Roman" w:cs="Times New Roman"/>
        </w:rPr>
        <w:t>this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abuser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under</w:t>
      </w:r>
      <w:proofErr w:type="spellEnd"/>
      <w:r w:rsidR="006870DA" w:rsidRPr="00705170">
        <w:rPr>
          <w:rFonts w:ascii="Times New Roman" w:hAnsi="Times New Roman" w:cs="Times New Roman"/>
        </w:rPr>
        <w:t xml:space="preserve"> TCO </w:t>
      </w:r>
      <w:proofErr w:type="spellStart"/>
      <w:r w:rsidR="006870DA" w:rsidRPr="00705170">
        <w:rPr>
          <w:rFonts w:ascii="Times New Roman" w:hAnsi="Times New Roman" w:cs="Times New Roman"/>
        </w:rPr>
        <w:t>Article</w:t>
      </w:r>
      <w:proofErr w:type="spellEnd"/>
      <w:r w:rsidR="006870DA" w:rsidRPr="00705170">
        <w:rPr>
          <w:rFonts w:ascii="Times New Roman" w:hAnsi="Times New Roman" w:cs="Times New Roman"/>
        </w:rPr>
        <w:t xml:space="preserve"> 41(2) </w:t>
      </w:r>
      <w:proofErr w:type="spellStart"/>
      <w:r w:rsidR="006870DA" w:rsidRPr="00705170">
        <w:rPr>
          <w:rFonts w:ascii="Times New Roman" w:hAnsi="Times New Roman" w:cs="Times New Roman"/>
        </w:rPr>
        <w:t>for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compensation</w:t>
      </w:r>
      <w:proofErr w:type="spellEnd"/>
      <w:r w:rsidR="006870DA" w:rsidRPr="00705170">
        <w:rPr>
          <w:rStyle w:val="DipnotBavurusu"/>
          <w:rFonts w:ascii="Times New Roman" w:hAnsi="Times New Roman" w:cs="Times New Roman"/>
        </w:rPr>
        <w:footnoteReference w:id="998"/>
      </w:r>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however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nature</w:t>
      </w:r>
      <w:proofErr w:type="spellEnd"/>
      <w:r w:rsidR="006870DA" w:rsidRPr="00705170">
        <w:rPr>
          <w:rFonts w:ascii="Times New Roman" w:hAnsi="Times New Roman" w:cs="Times New Roman"/>
        </w:rPr>
        <w:t xml:space="preserve"> of </w:t>
      </w:r>
      <w:proofErr w:type="spellStart"/>
      <w:r w:rsidR="006870DA" w:rsidRPr="00705170">
        <w:rPr>
          <w:rFonts w:ascii="Times New Roman" w:hAnsi="Times New Roman" w:cs="Times New Roman"/>
        </w:rPr>
        <w:t>this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tort</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law</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provision</w:t>
      </w:r>
      <w:proofErr w:type="spellEnd"/>
      <w:r w:rsidR="006870DA" w:rsidRPr="00705170">
        <w:rPr>
          <w:rFonts w:ascii="Times New Roman" w:hAnsi="Times New Roman" w:cs="Times New Roman"/>
        </w:rPr>
        <w:t xml:space="preserve"> has </w:t>
      </w:r>
      <w:proofErr w:type="spellStart"/>
      <w:r w:rsidR="006870DA" w:rsidRPr="00705170">
        <w:rPr>
          <w:rFonts w:ascii="Times New Roman" w:hAnsi="Times New Roman" w:cs="Times New Roman"/>
        </w:rPr>
        <w:t>elements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that</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will</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hamper</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its</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effective</w:t>
      </w:r>
      <w:proofErr w:type="spellEnd"/>
      <w:r w:rsidR="006870DA" w:rsidRPr="00705170">
        <w:rPr>
          <w:rFonts w:ascii="Times New Roman" w:hAnsi="Times New Roman" w:cs="Times New Roman"/>
        </w:rPr>
        <w:t xml:space="preserve"> </w:t>
      </w:r>
      <w:proofErr w:type="spellStart"/>
      <w:r w:rsidR="006870DA" w:rsidRPr="00705170">
        <w:rPr>
          <w:rFonts w:ascii="Times New Roman" w:hAnsi="Times New Roman" w:cs="Times New Roman"/>
        </w:rPr>
        <w:t>usage</w:t>
      </w:r>
      <w:proofErr w:type="spellEnd"/>
      <w:r w:rsidR="006870DA" w:rsidRPr="00705170">
        <w:rPr>
          <w:rFonts w:ascii="Times New Roman" w:hAnsi="Times New Roman" w:cs="Times New Roman"/>
        </w:rPr>
        <w:t xml:space="preserve">. </w:t>
      </w:r>
      <w:proofErr w:type="spellStart"/>
      <w:r w:rsidRPr="00705170">
        <w:rPr>
          <w:rFonts w:ascii="Times New Roman" w:hAnsi="Times New Roman" w:cs="Times New Roman"/>
        </w:rPr>
        <w:t>Another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scenario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under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which</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direct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compensation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might</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possible</w:t>
      </w:r>
      <w:proofErr w:type="spellEnd"/>
      <w:r w:rsidR="001238FB" w:rsidRPr="00705170">
        <w:rPr>
          <w:rFonts w:ascii="Times New Roman" w:hAnsi="Times New Roman" w:cs="Times New Roman"/>
        </w:rPr>
        <w:t xml:space="preserve"> </w:t>
      </w:r>
      <w:proofErr w:type="spellStart"/>
      <w:r w:rsidR="001238FB" w:rsidRPr="00705170">
        <w:rPr>
          <w:rFonts w:ascii="Times New Roman" w:hAnsi="Times New Roman" w:cs="Times New Roman"/>
        </w:rPr>
        <w:t>without</w:t>
      </w:r>
      <w:proofErr w:type="spellEnd"/>
      <w:r w:rsidR="001238FB" w:rsidRPr="00705170">
        <w:rPr>
          <w:rFonts w:ascii="Times New Roman" w:hAnsi="Times New Roman" w:cs="Times New Roman"/>
        </w:rPr>
        <w:t xml:space="preserve"> </w:t>
      </w:r>
      <w:proofErr w:type="spellStart"/>
      <w:r w:rsidR="001238FB" w:rsidRPr="00705170">
        <w:rPr>
          <w:rFonts w:ascii="Times New Roman" w:hAnsi="Times New Roman" w:cs="Times New Roman"/>
        </w:rPr>
        <w:t>giving</w:t>
      </w:r>
      <w:proofErr w:type="spellEnd"/>
      <w:r w:rsidR="001238FB" w:rsidRPr="00705170">
        <w:rPr>
          <w:rFonts w:ascii="Times New Roman" w:hAnsi="Times New Roman" w:cs="Times New Roman"/>
        </w:rPr>
        <w:t xml:space="preserve"> </w:t>
      </w:r>
      <w:proofErr w:type="spellStart"/>
      <w:r w:rsidR="001238FB" w:rsidRPr="00705170">
        <w:rPr>
          <w:rFonts w:ascii="Times New Roman" w:hAnsi="Times New Roman" w:cs="Times New Roman"/>
        </w:rPr>
        <w:t>rise</w:t>
      </w:r>
      <w:proofErr w:type="spellEnd"/>
      <w:r w:rsidR="001238FB" w:rsidRPr="00705170">
        <w:rPr>
          <w:rFonts w:ascii="Times New Roman" w:hAnsi="Times New Roman" w:cs="Times New Roman"/>
        </w:rPr>
        <w:t xml:space="preserve"> </w:t>
      </w:r>
      <w:proofErr w:type="spellStart"/>
      <w:r w:rsidR="001238FB" w:rsidRPr="00705170">
        <w:rPr>
          <w:rFonts w:ascii="Times New Roman" w:hAnsi="Times New Roman" w:cs="Times New Roman"/>
        </w:rPr>
        <w:t>to</w:t>
      </w:r>
      <w:proofErr w:type="spellEnd"/>
      <w:r w:rsidR="001238FB" w:rsidRPr="00705170">
        <w:rPr>
          <w:rFonts w:ascii="Times New Roman" w:hAnsi="Times New Roman" w:cs="Times New Roman"/>
        </w:rPr>
        <w:t xml:space="preserve"> </w:t>
      </w:r>
      <w:proofErr w:type="spellStart"/>
      <w:r w:rsidR="001238FB" w:rsidRPr="00705170">
        <w:rPr>
          <w:rFonts w:ascii="Times New Roman" w:hAnsi="Times New Roman" w:cs="Times New Roman"/>
        </w:rPr>
        <w:t>criticism</w:t>
      </w:r>
      <w:proofErr w:type="spellEnd"/>
      <w:r w:rsidR="001238FB" w:rsidRPr="00705170">
        <w:rPr>
          <w:rFonts w:ascii="Times New Roman" w:hAnsi="Times New Roman" w:cs="Times New Roman"/>
        </w:rPr>
        <w:t xml:space="preserve"> </w:t>
      </w:r>
      <w:proofErr w:type="spellStart"/>
      <w:r w:rsidR="001238FB" w:rsidRPr="00705170">
        <w:rPr>
          <w:rFonts w:ascii="Times New Roman" w:hAnsi="Times New Roman" w:cs="Times New Roman"/>
        </w:rPr>
        <w:t>due</w:t>
      </w:r>
      <w:proofErr w:type="spellEnd"/>
      <w:r w:rsidR="001238FB" w:rsidRPr="00705170">
        <w:rPr>
          <w:rFonts w:ascii="Times New Roman" w:hAnsi="Times New Roman" w:cs="Times New Roman"/>
        </w:rPr>
        <w:t xml:space="preserve"> </w:t>
      </w:r>
      <w:proofErr w:type="spellStart"/>
      <w:r w:rsidR="001238FB" w:rsidRPr="00705170">
        <w:rPr>
          <w:rFonts w:ascii="Times New Roman" w:hAnsi="Times New Roman" w:cs="Times New Roman"/>
        </w:rPr>
        <w:t>to</w:t>
      </w:r>
      <w:proofErr w:type="spellEnd"/>
      <w:r w:rsidR="001238FB" w:rsidRPr="00705170">
        <w:rPr>
          <w:rFonts w:ascii="Times New Roman" w:hAnsi="Times New Roman" w:cs="Times New Roman"/>
        </w:rPr>
        <w:t xml:space="preserve"> </w:t>
      </w:r>
      <w:proofErr w:type="spellStart"/>
      <w:r w:rsidR="001238FB" w:rsidRPr="00705170">
        <w:rPr>
          <w:rFonts w:ascii="Times New Roman" w:hAnsi="Times New Roman" w:cs="Times New Roman"/>
        </w:rPr>
        <w:t>the</w:t>
      </w:r>
      <w:proofErr w:type="spellEnd"/>
      <w:r w:rsidR="001238FB" w:rsidRPr="00705170">
        <w:rPr>
          <w:rFonts w:ascii="Times New Roman" w:hAnsi="Times New Roman" w:cs="Times New Roman"/>
        </w:rPr>
        <w:t xml:space="preserve"> </w:t>
      </w:r>
      <w:proofErr w:type="spellStart"/>
      <w:r w:rsidR="001238FB" w:rsidRPr="00705170">
        <w:rPr>
          <w:rFonts w:ascii="Times New Roman" w:hAnsi="Times New Roman" w:cs="Times New Roman"/>
        </w:rPr>
        <w:t>civil</w:t>
      </w:r>
      <w:proofErr w:type="spellEnd"/>
      <w:r w:rsidR="001238FB" w:rsidRPr="00705170">
        <w:rPr>
          <w:rFonts w:ascii="Times New Roman" w:hAnsi="Times New Roman" w:cs="Times New Roman"/>
        </w:rPr>
        <w:t xml:space="preserve"> </w:t>
      </w:r>
      <w:proofErr w:type="spellStart"/>
      <w:r w:rsidR="001238FB" w:rsidRPr="00705170">
        <w:rPr>
          <w:rFonts w:ascii="Times New Roman" w:hAnsi="Times New Roman" w:cs="Times New Roman"/>
        </w:rPr>
        <w:t>procedure</w:t>
      </w:r>
      <w:proofErr w:type="spellEnd"/>
      <w:r w:rsidR="001238FB" w:rsidRPr="00705170">
        <w:rPr>
          <w:rFonts w:ascii="Times New Roman" w:hAnsi="Times New Roman" w:cs="Times New Roman"/>
        </w:rPr>
        <w:t xml:space="preserve"> </w:t>
      </w:r>
      <w:proofErr w:type="spellStart"/>
      <w:r w:rsidR="001238FB" w:rsidRPr="00705170">
        <w:rPr>
          <w:rFonts w:ascii="Times New Roman" w:hAnsi="Times New Roman" w:cs="Times New Roman"/>
        </w:rPr>
        <w:t>law</w:t>
      </w:r>
      <w:proofErr w:type="spellEnd"/>
      <w:r w:rsidR="001238FB" w:rsidRPr="00705170">
        <w:rPr>
          <w:rFonts w:ascii="Times New Roman" w:hAnsi="Times New Roman" w:cs="Times New Roman"/>
        </w:rPr>
        <w:t>,</w:t>
      </w:r>
      <w:r w:rsidRPr="00705170">
        <w:rPr>
          <w:rFonts w:ascii="Times New Roman" w:hAnsi="Times New Roman" w:cs="Times New Roman"/>
        </w:rPr>
        <w:t xml:space="preserve"> is </w:t>
      </w:r>
      <w:proofErr w:type="spellStart"/>
      <w:r w:rsidR="001238FB" w:rsidRPr="00705170">
        <w:rPr>
          <w:rFonts w:ascii="Times New Roman" w:hAnsi="Times New Roman" w:cs="Times New Roman"/>
        </w:rPr>
        <w:t>the</w:t>
      </w:r>
      <w:proofErr w:type="spellEnd"/>
      <w:r w:rsidR="001238FB" w:rsidRPr="00705170">
        <w:rPr>
          <w:rFonts w:ascii="Times New Roman" w:hAnsi="Times New Roman" w:cs="Times New Roman"/>
        </w:rPr>
        <w:t xml:space="preserve"> </w:t>
      </w:r>
      <w:proofErr w:type="spellStart"/>
      <w:r w:rsidRPr="00705170">
        <w:rPr>
          <w:rFonts w:ascii="Times New Roman" w:hAnsi="Times New Roman" w:cs="Times New Roman"/>
        </w:rPr>
        <w:t>situation</w:t>
      </w:r>
      <w:proofErr w:type="spellEnd"/>
      <w:r w:rsidR="00AF3F96" w:rsidRPr="00705170">
        <w:rPr>
          <w:rFonts w:ascii="Times New Roman" w:hAnsi="Times New Roman" w:cs="Times New Roman"/>
        </w:rPr>
        <w:t xml:space="preserve"> in</w:t>
      </w:r>
      <w:r w:rsidR="001238FB" w:rsidRPr="00705170">
        <w:rPr>
          <w:rFonts w:ascii="Times New Roman" w:hAnsi="Times New Roman" w:cs="Times New Roman"/>
        </w:rPr>
        <w:t xml:space="preserve"> </w:t>
      </w:r>
      <w:proofErr w:type="spellStart"/>
      <w:r w:rsidR="001238FB" w:rsidRPr="00705170">
        <w:rPr>
          <w:rFonts w:ascii="Times New Roman" w:hAnsi="Times New Roman" w:cs="Times New Roman"/>
        </w:rPr>
        <w:t>which</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the</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parti</w:t>
      </w:r>
      <w:r w:rsidR="00AE4CDC">
        <w:rPr>
          <w:rFonts w:ascii="Times New Roman" w:hAnsi="Times New Roman" w:cs="Times New Roman"/>
        </w:rPr>
        <w:t>es</w:t>
      </w:r>
      <w:proofErr w:type="spellEnd"/>
      <w:r w:rsidR="00AE4CDC">
        <w:rPr>
          <w:rFonts w:ascii="Times New Roman" w:hAnsi="Times New Roman" w:cs="Times New Roman"/>
        </w:rPr>
        <w:t xml:space="preserve"> </w:t>
      </w:r>
      <w:proofErr w:type="spellStart"/>
      <w:r w:rsidR="00AE4CDC">
        <w:rPr>
          <w:rFonts w:ascii="Times New Roman" w:hAnsi="Times New Roman" w:cs="Times New Roman"/>
        </w:rPr>
        <w:t>to</w:t>
      </w:r>
      <w:proofErr w:type="spellEnd"/>
      <w:r w:rsidR="00AE4CDC">
        <w:rPr>
          <w:rFonts w:ascii="Times New Roman" w:hAnsi="Times New Roman" w:cs="Times New Roman"/>
        </w:rPr>
        <w:t xml:space="preserve"> </w:t>
      </w:r>
      <w:proofErr w:type="spellStart"/>
      <w:r w:rsidR="00AE4CDC">
        <w:rPr>
          <w:rFonts w:ascii="Times New Roman" w:hAnsi="Times New Roman" w:cs="Times New Roman"/>
        </w:rPr>
        <w:t>the</w:t>
      </w:r>
      <w:proofErr w:type="spellEnd"/>
      <w:r w:rsidR="00AE4CDC">
        <w:rPr>
          <w:rFonts w:ascii="Times New Roman" w:hAnsi="Times New Roman" w:cs="Times New Roman"/>
        </w:rPr>
        <w:t xml:space="preserve"> </w:t>
      </w:r>
      <w:proofErr w:type="spellStart"/>
      <w:r w:rsidR="00AE4CDC">
        <w:rPr>
          <w:rFonts w:ascii="Times New Roman" w:hAnsi="Times New Roman" w:cs="Times New Roman"/>
        </w:rPr>
        <w:t>case</w:t>
      </w:r>
      <w:proofErr w:type="spellEnd"/>
      <w:r w:rsidR="00AE4CDC">
        <w:rPr>
          <w:rFonts w:ascii="Times New Roman" w:hAnsi="Times New Roman" w:cs="Times New Roman"/>
        </w:rPr>
        <w:t xml:space="preserve"> </w:t>
      </w:r>
      <w:proofErr w:type="spellStart"/>
      <w:r w:rsidR="00AE4CDC">
        <w:rPr>
          <w:rFonts w:ascii="Times New Roman" w:hAnsi="Times New Roman" w:cs="Times New Roman"/>
        </w:rPr>
        <w:t>settles</w:t>
      </w:r>
      <w:proofErr w:type="spellEnd"/>
      <w:r w:rsidR="00AE4CDC">
        <w:rPr>
          <w:rFonts w:ascii="Times New Roman" w:hAnsi="Times New Roman" w:cs="Times New Roman"/>
        </w:rPr>
        <w:t xml:space="preserve"> </w:t>
      </w:r>
      <w:proofErr w:type="spellStart"/>
      <w:r w:rsidR="00AE4CDC">
        <w:rPr>
          <w:rFonts w:ascii="Times New Roman" w:hAnsi="Times New Roman" w:cs="Times New Roman"/>
        </w:rPr>
        <w:t>the</w:t>
      </w:r>
      <w:proofErr w:type="spellEnd"/>
      <w:r w:rsidR="00AE4CDC">
        <w:rPr>
          <w:rFonts w:ascii="Times New Roman" w:hAnsi="Times New Roman" w:cs="Times New Roman"/>
        </w:rPr>
        <w:t xml:space="preserve"> </w:t>
      </w:r>
      <w:proofErr w:type="spellStart"/>
      <w:r w:rsidR="00AE4CDC">
        <w:rPr>
          <w:rFonts w:ascii="Times New Roman" w:hAnsi="Times New Roman" w:cs="Times New Roman"/>
        </w:rPr>
        <w:t>lawsuit</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However</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the</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involuntary</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dissolution</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action</w:t>
      </w:r>
      <w:proofErr w:type="spellEnd"/>
      <w:r w:rsidR="00AF3F96" w:rsidRPr="00705170">
        <w:rPr>
          <w:rFonts w:ascii="Times New Roman" w:hAnsi="Times New Roman" w:cs="Times New Roman"/>
        </w:rPr>
        <w:t xml:space="preserve"> is </w:t>
      </w:r>
      <w:proofErr w:type="spellStart"/>
      <w:r w:rsidR="00AF3F96" w:rsidRPr="00705170">
        <w:rPr>
          <w:rFonts w:ascii="Times New Roman" w:hAnsi="Times New Roman" w:cs="Times New Roman"/>
        </w:rPr>
        <w:t>explicitly</w:t>
      </w:r>
      <w:proofErr w:type="spellEnd"/>
      <w:r w:rsidR="00AF3F96" w:rsidRPr="00705170">
        <w:rPr>
          <w:rFonts w:ascii="Times New Roman" w:hAnsi="Times New Roman" w:cs="Times New Roman"/>
        </w:rPr>
        <w:t xml:space="preserve"> put </w:t>
      </w:r>
      <w:proofErr w:type="spellStart"/>
      <w:r w:rsidR="00AF3F96" w:rsidRPr="00705170">
        <w:rPr>
          <w:rFonts w:ascii="Times New Roman" w:hAnsi="Times New Roman" w:cs="Times New Roman"/>
        </w:rPr>
        <w:t>under</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the</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court’s</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authority</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therefore</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parties</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cannot</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agree</w:t>
      </w:r>
      <w:proofErr w:type="spellEnd"/>
      <w:r w:rsidR="00AF3F96" w:rsidRPr="00705170">
        <w:rPr>
          <w:rFonts w:ascii="Times New Roman" w:hAnsi="Times New Roman" w:cs="Times New Roman"/>
        </w:rPr>
        <w:t xml:space="preserve"> on a </w:t>
      </w:r>
      <w:proofErr w:type="spellStart"/>
      <w:r w:rsidR="00AF3F96" w:rsidRPr="00705170">
        <w:rPr>
          <w:rFonts w:ascii="Times New Roman" w:hAnsi="Times New Roman" w:cs="Times New Roman"/>
        </w:rPr>
        <w:t>remedy</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that</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will</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constrain</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the</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court’s</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authority</w:t>
      </w:r>
      <w:proofErr w:type="spellEnd"/>
      <w:r w:rsidR="00AF3F96" w:rsidRPr="00705170">
        <w:rPr>
          <w:rFonts w:ascii="Times New Roman" w:hAnsi="Times New Roman" w:cs="Times New Roman"/>
        </w:rPr>
        <w:t xml:space="preserve"> in </w:t>
      </w:r>
      <w:proofErr w:type="spellStart"/>
      <w:r w:rsidR="00AF3F96" w:rsidRPr="00705170">
        <w:rPr>
          <w:rFonts w:ascii="Times New Roman" w:hAnsi="Times New Roman" w:cs="Times New Roman"/>
        </w:rPr>
        <w:t>the</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finalization</w:t>
      </w:r>
      <w:proofErr w:type="spellEnd"/>
      <w:r w:rsidR="00AF3F96" w:rsidRPr="00705170">
        <w:rPr>
          <w:rFonts w:ascii="Times New Roman" w:hAnsi="Times New Roman" w:cs="Times New Roman"/>
        </w:rPr>
        <w:t xml:space="preserve"> of </w:t>
      </w:r>
      <w:proofErr w:type="spellStart"/>
      <w:r w:rsidR="00AF3F96" w:rsidRPr="00705170">
        <w:rPr>
          <w:rFonts w:ascii="Times New Roman" w:hAnsi="Times New Roman" w:cs="Times New Roman"/>
        </w:rPr>
        <w:t>the</w:t>
      </w:r>
      <w:proofErr w:type="spellEnd"/>
      <w:r w:rsidR="00AF3F96" w:rsidRPr="00705170">
        <w:rPr>
          <w:rFonts w:ascii="Times New Roman" w:hAnsi="Times New Roman" w:cs="Times New Roman"/>
        </w:rPr>
        <w:t xml:space="preserve"> </w:t>
      </w:r>
      <w:proofErr w:type="spellStart"/>
      <w:r w:rsidR="00AF3F96" w:rsidRPr="00705170">
        <w:rPr>
          <w:rFonts w:ascii="Times New Roman" w:hAnsi="Times New Roman" w:cs="Times New Roman"/>
        </w:rPr>
        <w:t>proceeding</w:t>
      </w:r>
      <w:proofErr w:type="spellEnd"/>
      <w:r w:rsidR="00AF3F96" w:rsidRPr="00705170">
        <w:rPr>
          <w:rStyle w:val="DipnotBavurusu"/>
          <w:rFonts w:ascii="Times New Roman" w:hAnsi="Times New Roman" w:cs="Times New Roman"/>
        </w:rPr>
        <w:footnoteReference w:id="999"/>
      </w:r>
      <w:r w:rsidR="00AF3F96" w:rsidRPr="00705170">
        <w:rPr>
          <w:rFonts w:ascii="Times New Roman" w:hAnsi="Times New Roman" w:cs="Times New Roman"/>
        </w:rPr>
        <w:t>.</w:t>
      </w:r>
    </w:p>
    <w:p w14:paraId="08907A9C" w14:textId="1DE8090E" w:rsidR="00454DE1" w:rsidRPr="00705170" w:rsidRDefault="00454DE1" w:rsidP="00263479">
      <w:pPr>
        <w:spacing w:after="240" w:line="480" w:lineRule="auto"/>
        <w:ind w:firstLine="708"/>
        <w:rPr>
          <w:rFonts w:ascii="Times New Roman" w:hAnsi="Times New Roman" w:cs="Times New Roman"/>
          <w:b/>
        </w:rPr>
      </w:pPr>
      <w:r w:rsidRPr="00705170">
        <w:rPr>
          <w:rFonts w:ascii="Times New Roman" w:hAnsi="Times New Roman" w:cs="Times New Roman"/>
          <w:b/>
        </w:rPr>
        <w:t xml:space="preserve">6.6. Application </w:t>
      </w:r>
      <w:proofErr w:type="spellStart"/>
      <w:r w:rsidRPr="00705170">
        <w:rPr>
          <w:rFonts w:ascii="Times New Roman" w:hAnsi="Times New Roman" w:cs="Times New Roman"/>
          <w:b/>
        </w:rPr>
        <w:t>to</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Non</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Pecuniary</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Private</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Benefit</w:t>
      </w:r>
      <w:proofErr w:type="spellEnd"/>
      <w:r w:rsidRPr="00705170">
        <w:rPr>
          <w:rFonts w:ascii="Times New Roman" w:hAnsi="Times New Roman" w:cs="Times New Roman"/>
          <w:b/>
        </w:rPr>
        <w:t xml:space="preserve"> </w:t>
      </w:r>
      <w:proofErr w:type="spellStart"/>
      <w:r w:rsidRPr="00705170">
        <w:rPr>
          <w:rFonts w:ascii="Times New Roman" w:hAnsi="Times New Roman" w:cs="Times New Roman"/>
          <w:b/>
        </w:rPr>
        <w:t>Extractions</w:t>
      </w:r>
      <w:proofErr w:type="spellEnd"/>
    </w:p>
    <w:p w14:paraId="20A49AD6" w14:textId="74F620EE" w:rsidR="001A54E6" w:rsidRPr="00705170" w:rsidRDefault="00CC345F" w:rsidP="001A54E6">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adequacy</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provision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based</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reasonable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expectations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standard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curing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harms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non</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pecuniary</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private</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benefit</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extractions</w:t>
      </w:r>
      <w:proofErr w:type="spellEnd"/>
      <w:r w:rsidR="00A04DDF">
        <w:rPr>
          <w:rFonts w:ascii="Times New Roman" w:hAnsi="Times New Roman" w:cs="Times New Roman"/>
        </w:rPr>
        <w:t xml:space="preserve"> of </w:t>
      </w:r>
      <w:proofErr w:type="spellStart"/>
      <w:r w:rsidR="00A04DDF">
        <w:rPr>
          <w:rFonts w:ascii="Times New Roman" w:hAnsi="Times New Roman" w:cs="Times New Roman"/>
        </w:rPr>
        <w:t>influencing</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shareholders</w:t>
      </w:r>
      <w:proofErr w:type="spellEnd"/>
      <w:r w:rsidRPr="00705170">
        <w:rPr>
          <w:rFonts w:ascii="Times New Roman" w:hAnsi="Times New Roman" w:cs="Times New Roman"/>
        </w:rPr>
        <w:t xml:space="preserve"> can be </w:t>
      </w:r>
      <w:proofErr w:type="spellStart"/>
      <w:r w:rsidRPr="00705170">
        <w:rPr>
          <w:rFonts w:ascii="Times New Roman" w:hAnsi="Times New Roman" w:cs="Times New Roman"/>
        </w:rPr>
        <w:t>summarized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three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parts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Firstly</w:t>
      </w:r>
      <w:proofErr w:type="spellEnd"/>
      <w:r w:rsidRPr="00705170">
        <w:rPr>
          <w:rFonts w:ascii="Times New Roman" w:hAnsi="Times New Roman" w:cs="Times New Roman"/>
        </w:rPr>
        <w:t>, i</w:t>
      </w:r>
      <w:r w:rsidR="001A54E6" w:rsidRPr="00705170">
        <w:rPr>
          <w:rFonts w:ascii="Times New Roman" w:hAnsi="Times New Roman" w:cs="Times New Roman"/>
        </w:rPr>
        <w:t xml:space="preserve">n </w:t>
      </w:r>
      <w:proofErr w:type="spellStart"/>
      <w:r w:rsidR="001A54E6" w:rsidRPr="00705170">
        <w:rPr>
          <w:rFonts w:ascii="Times New Roman" w:hAnsi="Times New Roman" w:cs="Times New Roman"/>
        </w:rPr>
        <w:t>order</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to</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claim</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that</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the</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judicial</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dissolution</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provision</w:t>
      </w:r>
      <w:proofErr w:type="spellEnd"/>
      <w:r w:rsidR="001A54E6" w:rsidRPr="00705170">
        <w:rPr>
          <w:rFonts w:ascii="Times New Roman" w:hAnsi="Times New Roman" w:cs="Times New Roman"/>
        </w:rPr>
        <w:t xml:space="preserve"> can be an </w:t>
      </w:r>
      <w:proofErr w:type="spellStart"/>
      <w:r w:rsidR="001A54E6" w:rsidRPr="00705170">
        <w:rPr>
          <w:rFonts w:ascii="Times New Roman" w:hAnsi="Times New Roman" w:cs="Times New Roman"/>
        </w:rPr>
        <w:t>adequate</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construction</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to</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use</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against</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non</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pecuniary</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private</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benefit</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extractions</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one</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should</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examine</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the</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motives</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for</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bringing</w:t>
      </w:r>
      <w:proofErr w:type="spellEnd"/>
      <w:r w:rsidR="001A54E6" w:rsidRPr="00705170">
        <w:rPr>
          <w:rFonts w:ascii="Times New Roman" w:hAnsi="Times New Roman" w:cs="Times New Roman"/>
        </w:rPr>
        <w:t xml:space="preserve"> a </w:t>
      </w:r>
      <w:proofErr w:type="spellStart"/>
      <w:r w:rsidR="001A54E6" w:rsidRPr="00705170">
        <w:rPr>
          <w:rFonts w:ascii="Times New Roman" w:hAnsi="Times New Roman" w:cs="Times New Roman"/>
        </w:rPr>
        <w:t>dissolution</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proceeding</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because</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if</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the</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motives</w:t>
      </w:r>
      <w:proofErr w:type="spellEnd"/>
      <w:r w:rsidR="001A54E6" w:rsidRPr="00705170">
        <w:rPr>
          <w:rFonts w:ascii="Times New Roman" w:hAnsi="Times New Roman" w:cs="Times New Roman"/>
        </w:rPr>
        <w:t xml:space="preserve"> do not </w:t>
      </w:r>
      <w:proofErr w:type="spellStart"/>
      <w:r w:rsidR="001A54E6" w:rsidRPr="00705170">
        <w:rPr>
          <w:rFonts w:ascii="Times New Roman" w:hAnsi="Times New Roman" w:cs="Times New Roman"/>
        </w:rPr>
        <w:t>align</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with</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the</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control</w:t>
      </w:r>
      <w:proofErr w:type="spellEnd"/>
      <w:r w:rsidR="001A54E6" w:rsidRPr="00705170">
        <w:rPr>
          <w:rFonts w:ascii="Times New Roman" w:hAnsi="Times New Roman" w:cs="Times New Roman"/>
        </w:rPr>
        <w:t xml:space="preserve"> of </w:t>
      </w:r>
      <w:proofErr w:type="spellStart"/>
      <w:r w:rsidR="001A54E6" w:rsidRPr="00705170">
        <w:rPr>
          <w:rFonts w:ascii="Times New Roman" w:hAnsi="Times New Roman" w:cs="Times New Roman"/>
        </w:rPr>
        <w:t>this</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kind</w:t>
      </w:r>
      <w:proofErr w:type="spellEnd"/>
      <w:r w:rsidR="001A54E6" w:rsidRPr="00705170">
        <w:rPr>
          <w:rFonts w:ascii="Times New Roman" w:hAnsi="Times New Roman" w:cs="Times New Roman"/>
        </w:rPr>
        <w:t xml:space="preserve"> of </w:t>
      </w:r>
      <w:proofErr w:type="spellStart"/>
      <w:r w:rsidR="001A54E6" w:rsidRPr="00705170">
        <w:rPr>
          <w:rFonts w:ascii="Times New Roman" w:hAnsi="Times New Roman" w:cs="Times New Roman"/>
        </w:rPr>
        <w:t>extraction</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then</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the</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provision’s</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theoretical</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standing</w:t>
      </w:r>
      <w:proofErr w:type="spellEnd"/>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rPr>
        <w:t>will</w:t>
      </w:r>
      <w:proofErr w:type="spellEnd"/>
      <w:r w:rsidR="001A54E6" w:rsidRPr="00705170">
        <w:rPr>
          <w:rFonts w:ascii="Times New Roman" w:hAnsi="Times New Roman" w:cs="Times New Roman"/>
        </w:rPr>
        <w:t xml:space="preserve"> not </w:t>
      </w:r>
      <w:proofErr w:type="spellStart"/>
      <w:r w:rsidR="001A54E6" w:rsidRPr="00705170">
        <w:rPr>
          <w:rFonts w:ascii="Times New Roman" w:hAnsi="Times New Roman" w:cs="Times New Roman"/>
        </w:rPr>
        <w:t>mean</w:t>
      </w:r>
      <w:proofErr w:type="spellEnd"/>
      <w:r w:rsidR="001A54E6" w:rsidRPr="00705170">
        <w:rPr>
          <w:rFonts w:ascii="Times New Roman" w:hAnsi="Times New Roman" w:cs="Times New Roman"/>
        </w:rPr>
        <w:t xml:space="preserve"> </w:t>
      </w:r>
      <w:proofErr w:type="spellStart"/>
      <w:r w:rsidR="00A04DDF">
        <w:rPr>
          <w:rFonts w:ascii="Times New Roman" w:hAnsi="Times New Roman" w:cs="Times New Roman"/>
        </w:rPr>
        <w:t>anything</w:t>
      </w:r>
      <w:proofErr w:type="spellEnd"/>
      <w:r w:rsidR="00A04DDF">
        <w:rPr>
          <w:rFonts w:ascii="Times New Roman" w:hAnsi="Times New Roman" w:cs="Times New Roman"/>
        </w:rPr>
        <w:t xml:space="preserve"> in </w:t>
      </w:r>
      <w:proofErr w:type="spellStart"/>
      <w:r w:rsidR="00A04DDF">
        <w:rPr>
          <w:rFonts w:ascii="Times New Roman" w:hAnsi="Times New Roman" w:cs="Times New Roman"/>
        </w:rPr>
        <w:t>practice</w:t>
      </w:r>
      <w:proofErr w:type="spellEnd"/>
      <w:r w:rsidR="00A04DDF">
        <w:rPr>
          <w:rFonts w:ascii="Times New Roman" w:hAnsi="Times New Roman" w:cs="Times New Roman"/>
        </w:rPr>
        <w:t>:</w:t>
      </w:r>
      <w:r w:rsidR="001A54E6" w:rsidRPr="00705170">
        <w:rPr>
          <w:rFonts w:ascii="Times New Roman" w:hAnsi="Times New Roman" w:cs="Times New Roman"/>
        </w:rPr>
        <w:t xml:space="preserve"> “</w:t>
      </w:r>
      <w:proofErr w:type="spellStart"/>
      <w:r w:rsidR="001A54E6" w:rsidRPr="00705170">
        <w:rPr>
          <w:rFonts w:ascii="Times New Roman" w:hAnsi="Times New Roman" w:cs="Times New Roman"/>
          <w:color w:val="000000"/>
        </w:rPr>
        <w:t>Except</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for</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the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rare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case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where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the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petition</w:t>
      </w:r>
      <w:proofErr w:type="spellEnd"/>
      <w:r w:rsidR="001A54E6" w:rsidRPr="00705170">
        <w:rPr>
          <w:rFonts w:ascii="Times New Roman" w:hAnsi="Times New Roman" w:cs="Times New Roman"/>
          <w:color w:val="000000"/>
        </w:rPr>
        <w:t xml:space="preserve"> is </w:t>
      </w:r>
      <w:proofErr w:type="spellStart"/>
      <w:r w:rsidR="001A54E6" w:rsidRPr="00705170">
        <w:rPr>
          <w:rFonts w:ascii="Times New Roman" w:hAnsi="Times New Roman" w:cs="Times New Roman"/>
          <w:color w:val="000000"/>
        </w:rPr>
        <w:t>prompted</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by</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pique</w:t>
      </w:r>
      <w:proofErr w:type="spellEnd"/>
      <w:r w:rsidR="001A54E6" w:rsidRPr="00705170">
        <w:rPr>
          <w:rFonts w:ascii="Times New Roman" w:hAnsi="Times New Roman" w:cs="Times New Roman"/>
          <w:color w:val="000000"/>
        </w:rPr>
        <w:t>,</w:t>
      </w:r>
      <w:r w:rsidR="0097087A" w:rsidRPr="00705170">
        <w:rPr>
          <w:rFonts w:ascii="Times New Roman" w:hAnsi="Times New Roman" w:cs="Times New Roman"/>
          <w:color w:val="000000"/>
        </w:rPr>
        <w:t xml:space="preserve"> a </w:t>
      </w:r>
      <w:proofErr w:type="spellStart"/>
      <w:r w:rsidR="0097087A" w:rsidRPr="00705170">
        <w:rPr>
          <w:rFonts w:ascii="Times New Roman" w:hAnsi="Times New Roman" w:cs="Times New Roman"/>
          <w:color w:val="000000"/>
        </w:rPr>
        <w:t>shareholder</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suing</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for</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dis</w:t>
      </w:r>
      <w:r w:rsidR="001A54E6" w:rsidRPr="00705170">
        <w:rPr>
          <w:rFonts w:ascii="Times New Roman" w:hAnsi="Times New Roman" w:cs="Times New Roman"/>
          <w:color w:val="000000"/>
        </w:rPr>
        <w:t>solution</w:t>
      </w:r>
      <w:proofErr w:type="spellEnd"/>
      <w:r w:rsidR="001A54E6" w:rsidRPr="00705170">
        <w:rPr>
          <w:rFonts w:ascii="Times New Roman" w:hAnsi="Times New Roman" w:cs="Times New Roman"/>
          <w:color w:val="000000"/>
        </w:rPr>
        <w:t xml:space="preserve"> is </w:t>
      </w:r>
      <w:proofErr w:type="spellStart"/>
      <w:r w:rsidR="001A54E6" w:rsidRPr="00705170">
        <w:rPr>
          <w:rFonts w:ascii="Times New Roman" w:hAnsi="Times New Roman" w:cs="Times New Roman"/>
          <w:color w:val="000000"/>
        </w:rPr>
        <w:t>trying</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to</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accomplish</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one</w:t>
      </w:r>
      <w:proofErr w:type="spellEnd"/>
      <w:r w:rsidR="001A54E6" w:rsidRPr="00705170">
        <w:rPr>
          <w:rFonts w:ascii="Times New Roman" w:hAnsi="Times New Roman" w:cs="Times New Roman"/>
          <w:color w:val="000000"/>
        </w:rPr>
        <w:t xml:space="preserve"> of </w:t>
      </w:r>
      <w:proofErr w:type="spellStart"/>
      <w:r w:rsidR="001A54E6" w:rsidRPr="00705170">
        <w:rPr>
          <w:rFonts w:ascii="Times New Roman" w:hAnsi="Times New Roman" w:cs="Times New Roman"/>
          <w:color w:val="000000"/>
        </w:rPr>
        <w:t>three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things</w:t>
      </w:r>
      <w:proofErr w:type="spellEnd"/>
      <w:r w:rsidR="001A54E6" w:rsidRPr="00705170">
        <w:rPr>
          <w:rFonts w:ascii="Times New Roman" w:hAnsi="Times New Roman" w:cs="Times New Roman"/>
          <w:color w:val="000000"/>
        </w:rPr>
        <w:t xml:space="preserve">: </w:t>
      </w:r>
      <w:r w:rsidR="001A54E6" w:rsidRPr="00705170">
        <w:rPr>
          <w:rFonts w:ascii="Times New Roman" w:hAnsi="Times New Roman" w:cs="Times New Roman"/>
          <w:bCs/>
          <w:color w:val="000000"/>
        </w:rPr>
        <w:t xml:space="preserve">(1) </w:t>
      </w:r>
      <w:proofErr w:type="spellStart"/>
      <w:r w:rsidR="001A54E6" w:rsidRPr="00705170">
        <w:rPr>
          <w:rFonts w:ascii="Times New Roman" w:hAnsi="Times New Roman" w:cs="Times New Roman"/>
          <w:color w:val="000000"/>
        </w:rPr>
        <w:t>to</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withdraw</w:t>
      </w:r>
      <w:proofErr w:type="spellEnd"/>
      <w:r w:rsidR="001A54E6" w:rsidRPr="00705170">
        <w:rPr>
          <w:rFonts w:ascii="Times New Roman" w:hAnsi="Times New Roman" w:cs="Times New Roman"/>
          <w:color w:val="000000"/>
        </w:rPr>
        <w:t xml:space="preserve"> his </w:t>
      </w:r>
      <w:proofErr w:type="spellStart"/>
      <w:r w:rsidR="001A54E6" w:rsidRPr="00705170">
        <w:rPr>
          <w:rFonts w:ascii="Times New Roman" w:hAnsi="Times New Roman" w:cs="Times New Roman"/>
          <w:color w:val="000000"/>
        </w:rPr>
        <w:t>investment</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from</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the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firm</w:t>
      </w:r>
      <w:proofErr w:type="spellEnd"/>
      <w:r w:rsidR="001A54E6" w:rsidRPr="00705170">
        <w:rPr>
          <w:rFonts w:ascii="Times New Roman" w:hAnsi="Times New Roman" w:cs="Times New Roman"/>
          <w:color w:val="000000"/>
        </w:rPr>
        <w:t xml:space="preserve">; (2) </w:t>
      </w:r>
      <w:proofErr w:type="spellStart"/>
      <w:r w:rsidR="001A54E6" w:rsidRPr="00705170">
        <w:rPr>
          <w:rFonts w:ascii="Times New Roman" w:hAnsi="Times New Roman" w:cs="Times New Roman"/>
          <w:color w:val="000000"/>
        </w:rPr>
        <w:t>to</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induce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the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other</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shareholders</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to</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sell</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out</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to</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him</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or</w:t>
      </w:r>
      <w:proofErr w:type="spellEnd"/>
      <w:r w:rsidR="001A54E6" w:rsidRPr="00705170">
        <w:rPr>
          <w:rFonts w:ascii="Times New Roman" w:hAnsi="Times New Roman" w:cs="Times New Roman"/>
          <w:color w:val="000000"/>
        </w:rPr>
        <w:t xml:space="preserve"> </w:t>
      </w:r>
      <w:r w:rsidR="001A54E6" w:rsidRPr="00705170">
        <w:rPr>
          <w:rFonts w:ascii="Times New Roman" w:hAnsi="Times New Roman" w:cs="Times New Roman"/>
          <w:bCs/>
          <w:color w:val="000000"/>
        </w:rPr>
        <w:t xml:space="preserve">(3) </w:t>
      </w:r>
      <w:proofErr w:type="spellStart"/>
      <w:r w:rsidR="001A54E6" w:rsidRPr="00705170">
        <w:rPr>
          <w:rFonts w:ascii="Times New Roman" w:hAnsi="Times New Roman" w:cs="Times New Roman"/>
          <w:color w:val="000000"/>
        </w:rPr>
        <w:t>to</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use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the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threat</w:t>
      </w:r>
      <w:proofErr w:type="spellEnd"/>
      <w:r w:rsidR="001A54E6" w:rsidRPr="00705170">
        <w:rPr>
          <w:rFonts w:ascii="Times New Roman" w:hAnsi="Times New Roman" w:cs="Times New Roman"/>
          <w:color w:val="000000"/>
        </w:rPr>
        <w:t xml:space="preserve"> of </w:t>
      </w:r>
      <w:proofErr w:type="spellStart"/>
      <w:r w:rsidR="001A54E6" w:rsidRPr="00705170">
        <w:rPr>
          <w:rFonts w:ascii="Times New Roman" w:hAnsi="Times New Roman" w:cs="Times New Roman"/>
          <w:color w:val="000000"/>
        </w:rPr>
        <w:t>dissolution</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to</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induce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the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other</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shareholders</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to</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agree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to</w:t>
      </w:r>
      <w:proofErr w:type="spellEnd"/>
      <w:r w:rsidR="001A54E6" w:rsidRPr="00705170">
        <w:rPr>
          <w:rFonts w:ascii="Times New Roman" w:hAnsi="Times New Roman" w:cs="Times New Roman"/>
          <w:color w:val="000000"/>
        </w:rPr>
        <w:t xml:space="preserve"> a </w:t>
      </w:r>
      <w:proofErr w:type="spellStart"/>
      <w:r w:rsidR="001A54E6" w:rsidRPr="00705170">
        <w:rPr>
          <w:rFonts w:ascii="Times New Roman" w:hAnsi="Times New Roman" w:cs="Times New Roman"/>
          <w:color w:val="000000"/>
        </w:rPr>
        <w:t>change</w:t>
      </w:r>
      <w:proofErr w:type="spellEnd"/>
      <w:r w:rsidR="001A54E6" w:rsidRPr="00705170">
        <w:rPr>
          <w:rFonts w:ascii="Times New Roman" w:hAnsi="Times New Roman" w:cs="Times New Roman"/>
          <w:color w:val="000000"/>
        </w:rPr>
        <w:t xml:space="preserve"> in </w:t>
      </w:r>
      <w:proofErr w:type="spellStart"/>
      <w:r w:rsidR="001A54E6" w:rsidRPr="00705170">
        <w:rPr>
          <w:rFonts w:ascii="Times New Roman" w:hAnsi="Times New Roman" w:cs="Times New Roman"/>
          <w:color w:val="000000"/>
        </w:rPr>
        <w:t>the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balance</w:t>
      </w:r>
      <w:proofErr w:type="spellEnd"/>
      <w:r w:rsidR="001A54E6" w:rsidRPr="00705170">
        <w:rPr>
          <w:rFonts w:ascii="Times New Roman" w:hAnsi="Times New Roman" w:cs="Times New Roman"/>
          <w:color w:val="000000"/>
        </w:rPr>
        <w:t xml:space="preserve"> of </w:t>
      </w:r>
      <w:proofErr w:type="spellStart"/>
      <w:r w:rsidR="001A54E6" w:rsidRPr="00705170">
        <w:rPr>
          <w:rFonts w:ascii="Times New Roman" w:hAnsi="Times New Roman" w:cs="Times New Roman"/>
          <w:color w:val="000000"/>
        </w:rPr>
        <w:t>power</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or</w:t>
      </w:r>
      <w:proofErr w:type="spellEnd"/>
      <w:r w:rsidR="001A54E6" w:rsidRPr="00705170">
        <w:rPr>
          <w:rFonts w:ascii="Times New Roman" w:hAnsi="Times New Roman" w:cs="Times New Roman"/>
          <w:color w:val="000000"/>
        </w:rPr>
        <w:t xml:space="preserve"> in </w:t>
      </w:r>
      <w:proofErr w:type="spellStart"/>
      <w:r w:rsidR="001A54E6" w:rsidRPr="00705170">
        <w:rPr>
          <w:rFonts w:ascii="Times New Roman" w:hAnsi="Times New Roman" w:cs="Times New Roman"/>
          <w:color w:val="000000"/>
        </w:rPr>
        <w:t>the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policies</w:t>
      </w:r>
      <w:proofErr w:type="spellEnd"/>
      <w:r w:rsidR="001A54E6" w:rsidRPr="00705170">
        <w:rPr>
          <w:rFonts w:ascii="Times New Roman" w:hAnsi="Times New Roman" w:cs="Times New Roman"/>
          <w:color w:val="000000"/>
        </w:rPr>
        <w:t xml:space="preserve"> of </w:t>
      </w:r>
      <w:proofErr w:type="spellStart"/>
      <w:r w:rsidR="001A54E6" w:rsidRPr="00705170">
        <w:rPr>
          <w:rFonts w:ascii="Times New Roman" w:hAnsi="Times New Roman" w:cs="Times New Roman"/>
          <w:color w:val="000000"/>
        </w:rPr>
        <w:t>the</w:t>
      </w:r>
      <w:proofErr w:type="spellEnd"/>
      <w:r w:rsidR="001A54E6" w:rsidRPr="00705170">
        <w:rPr>
          <w:rFonts w:ascii="Times New Roman" w:hAnsi="Times New Roman" w:cs="Times New Roman"/>
          <w:color w:val="000000"/>
        </w:rPr>
        <w:t xml:space="preserve"> </w:t>
      </w:r>
      <w:proofErr w:type="spellStart"/>
      <w:r w:rsidR="001A54E6" w:rsidRPr="00705170">
        <w:rPr>
          <w:rFonts w:ascii="Times New Roman" w:hAnsi="Times New Roman" w:cs="Times New Roman"/>
          <w:color w:val="000000"/>
        </w:rPr>
        <w:t>firm</w:t>
      </w:r>
      <w:proofErr w:type="spellEnd"/>
      <w:r w:rsidR="001A54E6" w:rsidRPr="00705170">
        <w:rPr>
          <w:rFonts w:ascii="Times New Roman" w:hAnsi="Times New Roman" w:cs="Times New Roman"/>
          <w:color w:val="000000"/>
        </w:rPr>
        <w:t>”</w:t>
      </w:r>
      <w:r w:rsidR="001A54E6" w:rsidRPr="00705170">
        <w:rPr>
          <w:rStyle w:val="DipnotBavurusu"/>
          <w:rFonts w:ascii="Times New Roman" w:hAnsi="Times New Roman" w:cs="Times New Roman"/>
          <w:color w:val="000000"/>
        </w:rPr>
        <w:footnoteReference w:id="1000"/>
      </w:r>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Then</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shareholders</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motives</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to</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induce</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the</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abusers</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to</w:t>
      </w:r>
      <w:proofErr w:type="spellEnd"/>
      <w:r w:rsidR="0097087A" w:rsidRPr="00705170">
        <w:rPr>
          <w:rFonts w:ascii="Times New Roman" w:hAnsi="Times New Roman" w:cs="Times New Roman"/>
          <w:color w:val="000000"/>
        </w:rPr>
        <w:t xml:space="preserve"> abide </w:t>
      </w:r>
      <w:proofErr w:type="spellStart"/>
      <w:r w:rsidR="0097087A" w:rsidRPr="00705170">
        <w:rPr>
          <w:rFonts w:ascii="Times New Roman" w:hAnsi="Times New Roman" w:cs="Times New Roman"/>
          <w:color w:val="000000"/>
        </w:rPr>
        <w:t>by</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the</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lastRenderedPageBreak/>
        <w:t>collectively</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beneficial</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policies</w:t>
      </w:r>
      <w:proofErr w:type="spellEnd"/>
      <w:r w:rsidR="0097087A" w:rsidRPr="00705170">
        <w:rPr>
          <w:rFonts w:ascii="Times New Roman" w:hAnsi="Times New Roman" w:cs="Times New Roman"/>
          <w:color w:val="000000"/>
        </w:rPr>
        <w:t xml:space="preserve"> of </w:t>
      </w:r>
      <w:proofErr w:type="spellStart"/>
      <w:r w:rsidR="0097087A" w:rsidRPr="00705170">
        <w:rPr>
          <w:rFonts w:ascii="Times New Roman" w:hAnsi="Times New Roman" w:cs="Times New Roman"/>
          <w:color w:val="000000"/>
        </w:rPr>
        <w:t>the</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corporation</w:t>
      </w:r>
      <w:proofErr w:type="spellEnd"/>
      <w:r w:rsidR="0097087A" w:rsidRPr="00705170">
        <w:rPr>
          <w:rFonts w:ascii="Times New Roman" w:hAnsi="Times New Roman" w:cs="Times New Roman"/>
          <w:color w:val="000000"/>
        </w:rPr>
        <w:t xml:space="preserve"> </w:t>
      </w:r>
      <w:proofErr w:type="spellStart"/>
      <w:r w:rsidR="0097087A" w:rsidRPr="00705170">
        <w:rPr>
          <w:rFonts w:ascii="Times New Roman" w:hAnsi="Times New Roman" w:cs="Times New Roman"/>
          <w:color w:val="000000"/>
        </w:rPr>
        <w:t>and</w:t>
      </w:r>
      <w:proofErr w:type="spellEnd"/>
      <w:r w:rsidR="0097087A"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pave</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the</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way</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for</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their</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exit</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from</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the</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corporation</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by</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helping</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the</w:t>
      </w:r>
      <w:proofErr w:type="spellEnd"/>
      <w:r w:rsidR="00BB7CCC" w:rsidRPr="00705170">
        <w:rPr>
          <w:rFonts w:ascii="Times New Roman" w:hAnsi="Times New Roman" w:cs="Times New Roman"/>
          <w:color w:val="000000"/>
        </w:rPr>
        <w:t xml:space="preserve"> market </w:t>
      </w:r>
      <w:proofErr w:type="spellStart"/>
      <w:r w:rsidR="00BB7CCC" w:rsidRPr="00705170">
        <w:rPr>
          <w:rFonts w:ascii="Times New Roman" w:hAnsi="Times New Roman" w:cs="Times New Roman"/>
          <w:color w:val="000000"/>
        </w:rPr>
        <w:t>to</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va</w:t>
      </w:r>
      <w:r w:rsidR="00A04DDF">
        <w:rPr>
          <w:rFonts w:ascii="Times New Roman" w:hAnsi="Times New Roman" w:cs="Times New Roman"/>
          <w:color w:val="000000"/>
        </w:rPr>
        <w:t>lue</w:t>
      </w:r>
      <w:proofErr w:type="spellEnd"/>
      <w:r w:rsidR="00A04DDF">
        <w:rPr>
          <w:rFonts w:ascii="Times New Roman" w:hAnsi="Times New Roman" w:cs="Times New Roman"/>
          <w:color w:val="000000"/>
        </w:rPr>
        <w:t xml:space="preserve"> </w:t>
      </w:r>
      <w:proofErr w:type="spellStart"/>
      <w:r w:rsidR="00A04DDF">
        <w:rPr>
          <w:rFonts w:ascii="Times New Roman" w:hAnsi="Times New Roman" w:cs="Times New Roman"/>
          <w:color w:val="000000"/>
        </w:rPr>
        <w:t>their</w:t>
      </w:r>
      <w:proofErr w:type="spellEnd"/>
      <w:r w:rsidR="00A04DDF">
        <w:rPr>
          <w:rFonts w:ascii="Times New Roman" w:hAnsi="Times New Roman" w:cs="Times New Roman"/>
          <w:color w:val="000000"/>
        </w:rPr>
        <w:t xml:space="preserve"> </w:t>
      </w:r>
      <w:proofErr w:type="spellStart"/>
      <w:r w:rsidR="00A04DDF">
        <w:rPr>
          <w:rFonts w:ascii="Times New Roman" w:hAnsi="Times New Roman" w:cs="Times New Roman"/>
          <w:color w:val="000000"/>
        </w:rPr>
        <w:t>shares</w:t>
      </w:r>
      <w:proofErr w:type="spellEnd"/>
      <w:r w:rsidR="00A04DDF">
        <w:rPr>
          <w:rFonts w:ascii="Times New Roman" w:hAnsi="Times New Roman" w:cs="Times New Roman"/>
          <w:color w:val="000000"/>
        </w:rPr>
        <w:t xml:space="preserve"> </w:t>
      </w:r>
      <w:proofErr w:type="spellStart"/>
      <w:r w:rsidR="00A04DDF">
        <w:rPr>
          <w:rFonts w:ascii="Times New Roman" w:hAnsi="Times New Roman" w:cs="Times New Roman"/>
          <w:color w:val="000000"/>
        </w:rPr>
        <w:t>accurately</w:t>
      </w:r>
      <w:proofErr w:type="spellEnd"/>
      <w:r w:rsidR="00A04DDF">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without</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being</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degraded</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by</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the</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abuser’s</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extractions</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alligns</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well</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with</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the</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function</w:t>
      </w:r>
      <w:proofErr w:type="spellEnd"/>
      <w:r w:rsidR="00BB7CCC" w:rsidRPr="00705170">
        <w:rPr>
          <w:rFonts w:ascii="Times New Roman" w:hAnsi="Times New Roman" w:cs="Times New Roman"/>
          <w:color w:val="000000"/>
        </w:rPr>
        <w:t xml:space="preserve"> of </w:t>
      </w:r>
      <w:proofErr w:type="spellStart"/>
      <w:r w:rsidR="00BB7CCC" w:rsidRPr="00705170">
        <w:rPr>
          <w:rFonts w:ascii="Times New Roman" w:hAnsi="Times New Roman" w:cs="Times New Roman"/>
          <w:color w:val="000000"/>
        </w:rPr>
        <w:t>the</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judicial</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dissolution</w:t>
      </w:r>
      <w:proofErr w:type="spellEnd"/>
      <w:r w:rsidR="00BB7CCC" w:rsidRPr="00705170">
        <w:rPr>
          <w:rFonts w:ascii="Times New Roman" w:hAnsi="Times New Roman" w:cs="Times New Roman"/>
          <w:color w:val="000000"/>
        </w:rPr>
        <w:t xml:space="preserve"> </w:t>
      </w:r>
      <w:proofErr w:type="spellStart"/>
      <w:r w:rsidR="00BB7CCC" w:rsidRPr="00705170">
        <w:rPr>
          <w:rFonts w:ascii="Times New Roman" w:hAnsi="Times New Roman" w:cs="Times New Roman"/>
          <w:color w:val="000000"/>
        </w:rPr>
        <w:t>provision</w:t>
      </w:r>
      <w:proofErr w:type="spellEnd"/>
      <w:r w:rsidR="00BB7CCC" w:rsidRPr="00705170">
        <w:rPr>
          <w:rFonts w:ascii="Times New Roman" w:hAnsi="Times New Roman" w:cs="Times New Roman"/>
          <w:color w:val="000000"/>
        </w:rPr>
        <w:t>.</w:t>
      </w:r>
    </w:p>
    <w:p w14:paraId="6541A4EE" w14:textId="50BDD8D0" w:rsidR="00CC345F" w:rsidRPr="00705170" w:rsidRDefault="00CC345F" w:rsidP="00CC345F">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Secondly</w:t>
      </w:r>
      <w:proofErr w:type="spellEnd"/>
      <w:r w:rsidR="00450834" w:rsidRPr="00705170">
        <w:rPr>
          <w:rFonts w:ascii="Times New Roman" w:hAnsi="Times New Roman" w:cs="Times New Roman"/>
        </w:rPr>
        <w:t>,</w:t>
      </w:r>
      <w:r w:rsidR="00A04DDF">
        <w:rPr>
          <w:rFonts w:ascii="Times New Roman" w:hAnsi="Times New Roman" w:cs="Times New Roman"/>
        </w:rPr>
        <w:t xml:space="preserve"> it </w:t>
      </w:r>
      <w:proofErr w:type="spellStart"/>
      <w:r w:rsidR="00A04DDF">
        <w:rPr>
          <w:rFonts w:ascii="Times New Roman" w:hAnsi="Times New Roman" w:cs="Times New Roman"/>
        </w:rPr>
        <w:t>should</w:t>
      </w:r>
      <w:proofErr w:type="spellEnd"/>
      <w:r w:rsidR="00A04DDF">
        <w:rPr>
          <w:rFonts w:ascii="Times New Roman" w:hAnsi="Times New Roman" w:cs="Times New Roman"/>
        </w:rPr>
        <w:t xml:space="preserve"> be </w:t>
      </w:r>
      <w:proofErr w:type="spellStart"/>
      <w:r w:rsidR="00A04DDF">
        <w:rPr>
          <w:rFonts w:ascii="Times New Roman" w:hAnsi="Times New Roman" w:cs="Times New Roman"/>
        </w:rPr>
        <w:t>stated</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that</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w:t>
      </w:r>
      <w:r w:rsidR="00454DE1" w:rsidRPr="00705170">
        <w:rPr>
          <w:rFonts w:ascii="Times New Roman" w:hAnsi="Times New Roman" w:cs="Times New Roman"/>
        </w:rPr>
        <w:t>he</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judicial</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dissolution</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action</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by</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its</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nature</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represents</w:t>
      </w:r>
      <w:proofErr w:type="spellEnd"/>
      <w:r w:rsidR="00454DE1" w:rsidRPr="00705170">
        <w:rPr>
          <w:rFonts w:ascii="Times New Roman" w:hAnsi="Times New Roman" w:cs="Times New Roman"/>
        </w:rPr>
        <w:t xml:space="preserve"> a </w:t>
      </w:r>
      <w:proofErr w:type="spellStart"/>
      <w:r w:rsidR="00454DE1" w:rsidRPr="00705170">
        <w:rPr>
          <w:rFonts w:ascii="Times New Roman" w:hAnsi="Times New Roman" w:cs="Times New Roman"/>
        </w:rPr>
        <w:t>unique</w:t>
      </w:r>
      <w:proofErr w:type="spellEnd"/>
      <w:r w:rsidR="00454DE1" w:rsidRPr="00705170">
        <w:rPr>
          <w:rFonts w:ascii="Times New Roman" w:hAnsi="Times New Roman" w:cs="Times New Roman"/>
        </w:rPr>
        <w:t xml:space="preserve"> legal </w:t>
      </w:r>
      <w:proofErr w:type="spellStart"/>
      <w:r w:rsidR="00454DE1" w:rsidRPr="00705170">
        <w:rPr>
          <w:rFonts w:ascii="Times New Roman" w:hAnsi="Times New Roman" w:cs="Times New Roman"/>
        </w:rPr>
        <w:t>construction</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that</w:t>
      </w:r>
      <w:proofErr w:type="spellEnd"/>
      <w:r w:rsidR="00454DE1" w:rsidRPr="00705170">
        <w:rPr>
          <w:rFonts w:ascii="Times New Roman" w:hAnsi="Times New Roman" w:cs="Times New Roman"/>
        </w:rPr>
        <w:t xml:space="preserve"> is </w:t>
      </w:r>
      <w:proofErr w:type="spellStart"/>
      <w:r w:rsidR="00454DE1" w:rsidRPr="00705170">
        <w:rPr>
          <w:rFonts w:ascii="Times New Roman" w:hAnsi="Times New Roman" w:cs="Times New Roman"/>
        </w:rPr>
        <w:t>inherently</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adequate</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to</w:t>
      </w:r>
      <w:proofErr w:type="spellEnd"/>
      <w:r w:rsidR="00454DE1" w:rsidRPr="00705170">
        <w:rPr>
          <w:rFonts w:ascii="Times New Roman" w:hAnsi="Times New Roman" w:cs="Times New Roman"/>
        </w:rPr>
        <w:t xml:space="preserve"> be </w:t>
      </w:r>
      <w:proofErr w:type="spellStart"/>
      <w:r w:rsidR="00454DE1" w:rsidRPr="00705170">
        <w:rPr>
          <w:rFonts w:ascii="Times New Roman" w:hAnsi="Times New Roman" w:cs="Times New Roman"/>
        </w:rPr>
        <w:t>applied</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to</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extraction</w:t>
      </w:r>
      <w:proofErr w:type="spellEnd"/>
      <w:r w:rsidR="00454DE1" w:rsidRPr="00705170">
        <w:rPr>
          <w:rFonts w:ascii="Times New Roman" w:hAnsi="Times New Roman" w:cs="Times New Roman"/>
        </w:rPr>
        <w:t xml:space="preserve"> of </w:t>
      </w:r>
      <w:proofErr w:type="spellStart"/>
      <w:r w:rsidR="00454DE1" w:rsidRPr="00705170">
        <w:rPr>
          <w:rFonts w:ascii="Times New Roman" w:hAnsi="Times New Roman" w:cs="Times New Roman"/>
        </w:rPr>
        <w:t>non</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pecuiary</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private</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benefits</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In</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this</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regards</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the</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judicial</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dissolution</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action’s</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natur</w:t>
      </w:r>
      <w:r w:rsidR="00A04DDF">
        <w:rPr>
          <w:rFonts w:ascii="Times New Roman" w:hAnsi="Times New Roman" w:cs="Times New Roman"/>
        </w:rPr>
        <w:t>al</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difference</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from</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the</w:t>
      </w:r>
      <w:proofErr w:type="spellEnd"/>
      <w:r w:rsidR="00A04DDF">
        <w:rPr>
          <w:rFonts w:ascii="Times New Roman" w:hAnsi="Times New Roman" w:cs="Times New Roman"/>
        </w:rPr>
        <w:t xml:space="preserve"> </w:t>
      </w:r>
      <w:proofErr w:type="spellStart"/>
      <w:r w:rsidR="00454DE1" w:rsidRPr="00705170">
        <w:rPr>
          <w:rFonts w:ascii="Times New Roman" w:hAnsi="Times New Roman" w:cs="Times New Roman"/>
        </w:rPr>
        <w:t>minority</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shareholder</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protection</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measures</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underlined</w:t>
      </w:r>
      <w:proofErr w:type="spellEnd"/>
      <w:r w:rsidR="00454DE1" w:rsidRPr="00705170">
        <w:rPr>
          <w:rFonts w:ascii="Times New Roman" w:hAnsi="Times New Roman" w:cs="Times New Roman"/>
        </w:rPr>
        <w:t xml:space="preserve"> in </w:t>
      </w:r>
      <w:proofErr w:type="spellStart"/>
      <w:r w:rsidR="00454DE1" w:rsidRPr="00705170">
        <w:rPr>
          <w:rFonts w:ascii="Times New Roman" w:hAnsi="Times New Roman" w:cs="Times New Roman"/>
        </w:rPr>
        <w:t>Chapter</w:t>
      </w:r>
      <w:proofErr w:type="spellEnd"/>
      <w:r w:rsidR="00454DE1" w:rsidRPr="00705170">
        <w:rPr>
          <w:rFonts w:ascii="Times New Roman" w:hAnsi="Times New Roman" w:cs="Times New Roman"/>
        </w:rPr>
        <w:t xml:space="preserve"> I</w:t>
      </w:r>
      <w:r w:rsidR="00C01441">
        <w:rPr>
          <w:rFonts w:ascii="Times New Roman" w:hAnsi="Times New Roman" w:cs="Times New Roman"/>
        </w:rPr>
        <w:t>II</w:t>
      </w:r>
      <w:r w:rsidR="00454DE1" w:rsidRPr="00705170">
        <w:rPr>
          <w:rFonts w:ascii="Times New Roman" w:hAnsi="Times New Roman" w:cs="Times New Roman"/>
        </w:rPr>
        <w:t xml:space="preserve"> </w:t>
      </w:r>
      <w:proofErr w:type="spellStart"/>
      <w:r w:rsidR="00512F24" w:rsidRPr="00705170">
        <w:rPr>
          <w:rFonts w:ascii="Times New Roman" w:hAnsi="Times New Roman" w:cs="Times New Roman"/>
        </w:rPr>
        <w:t>provides</w:t>
      </w:r>
      <w:proofErr w:type="spellEnd"/>
      <w:r w:rsidR="00512F24" w:rsidRPr="00705170">
        <w:rPr>
          <w:rFonts w:ascii="Times New Roman" w:hAnsi="Times New Roman" w:cs="Times New Roman"/>
        </w:rPr>
        <w:t xml:space="preserve"> an </w:t>
      </w:r>
      <w:proofErr w:type="spellStart"/>
      <w:r w:rsidR="00512F24" w:rsidRPr="00705170">
        <w:rPr>
          <w:rFonts w:ascii="Times New Roman" w:hAnsi="Times New Roman" w:cs="Times New Roman"/>
        </w:rPr>
        <w:t>adequate</w:t>
      </w:r>
      <w:proofErr w:type="spellEnd"/>
      <w:r w:rsidR="00512F24" w:rsidRPr="00705170">
        <w:rPr>
          <w:rFonts w:ascii="Times New Roman" w:hAnsi="Times New Roman" w:cs="Times New Roman"/>
        </w:rPr>
        <w:t xml:space="preserve"> </w:t>
      </w:r>
      <w:proofErr w:type="spellStart"/>
      <w:r w:rsidR="00512F24" w:rsidRPr="00705170">
        <w:rPr>
          <w:rFonts w:ascii="Times New Roman" w:hAnsi="Times New Roman" w:cs="Times New Roman"/>
        </w:rPr>
        <w:t>ground</w:t>
      </w:r>
      <w:proofErr w:type="spellEnd"/>
      <w:r w:rsidR="00512F24" w:rsidRPr="00705170">
        <w:rPr>
          <w:rFonts w:ascii="Times New Roman" w:hAnsi="Times New Roman" w:cs="Times New Roman"/>
        </w:rPr>
        <w:t xml:space="preserve"> </w:t>
      </w:r>
      <w:proofErr w:type="spellStart"/>
      <w:r w:rsidR="00512F24" w:rsidRPr="00705170">
        <w:rPr>
          <w:rFonts w:ascii="Times New Roman" w:hAnsi="Times New Roman" w:cs="Times New Roman"/>
        </w:rPr>
        <w:t>to</w:t>
      </w:r>
      <w:proofErr w:type="spellEnd"/>
      <w:r w:rsidR="00454DE1" w:rsidRPr="00705170">
        <w:rPr>
          <w:rFonts w:ascii="Times New Roman" w:hAnsi="Times New Roman" w:cs="Times New Roman"/>
        </w:rPr>
        <w:t xml:space="preserve"> </w:t>
      </w:r>
      <w:proofErr w:type="spellStart"/>
      <w:r w:rsidR="00512F24" w:rsidRPr="00705170">
        <w:rPr>
          <w:rFonts w:ascii="Times New Roman" w:hAnsi="Times New Roman" w:cs="Times New Roman"/>
        </w:rPr>
        <w:t>track</w:t>
      </w:r>
      <w:proofErr w:type="spellEnd"/>
      <w:r w:rsidR="00512F24" w:rsidRPr="00705170">
        <w:rPr>
          <w:rFonts w:ascii="Times New Roman" w:hAnsi="Times New Roman" w:cs="Times New Roman"/>
        </w:rPr>
        <w:t xml:space="preserve"> </w:t>
      </w:r>
      <w:proofErr w:type="spellStart"/>
      <w:r w:rsidR="00454DE1" w:rsidRPr="00705170">
        <w:rPr>
          <w:rFonts w:ascii="Times New Roman" w:hAnsi="Times New Roman" w:cs="Times New Roman"/>
        </w:rPr>
        <w:t>non</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pecuniary</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private</w:t>
      </w:r>
      <w:proofErr w:type="spellEnd"/>
      <w:r w:rsidR="00454DE1" w:rsidRPr="00705170">
        <w:rPr>
          <w:rFonts w:ascii="Times New Roman" w:hAnsi="Times New Roman" w:cs="Times New Roman"/>
        </w:rPr>
        <w:t xml:space="preserve"> </w:t>
      </w:r>
      <w:proofErr w:type="spellStart"/>
      <w:r w:rsidR="00454DE1" w:rsidRPr="00705170">
        <w:rPr>
          <w:rFonts w:ascii="Times New Roman" w:hAnsi="Times New Roman" w:cs="Times New Roman"/>
        </w:rPr>
        <w:t>ben</w:t>
      </w:r>
      <w:r w:rsidR="00A04DDF">
        <w:rPr>
          <w:rFonts w:ascii="Times New Roman" w:hAnsi="Times New Roman" w:cs="Times New Roman"/>
        </w:rPr>
        <w:t>efit</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extractions</w:t>
      </w:r>
      <w:proofErr w:type="spellEnd"/>
      <w:r w:rsidR="00A04DDF">
        <w:rPr>
          <w:rFonts w:ascii="Times New Roman" w:hAnsi="Times New Roman" w:cs="Times New Roman"/>
        </w:rPr>
        <w:t xml:space="preserve"> of </w:t>
      </w:r>
      <w:proofErr w:type="spellStart"/>
      <w:r w:rsidR="00A04DDF">
        <w:rPr>
          <w:rFonts w:ascii="Times New Roman" w:hAnsi="Times New Roman" w:cs="Times New Roman"/>
        </w:rPr>
        <w:t>influencing</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shareholders</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through</w:t>
      </w:r>
      <w:proofErr w:type="spellEnd"/>
      <w:r w:rsidR="00512F24" w:rsidRPr="00705170">
        <w:rPr>
          <w:rFonts w:ascii="Times New Roman" w:hAnsi="Times New Roman" w:cs="Times New Roman"/>
        </w:rPr>
        <w:t xml:space="preserve"> </w:t>
      </w:r>
      <w:proofErr w:type="spellStart"/>
      <w:r w:rsidR="00512F24" w:rsidRPr="00705170">
        <w:rPr>
          <w:rFonts w:ascii="Times New Roman" w:hAnsi="Times New Roman" w:cs="Times New Roman"/>
        </w:rPr>
        <w:t>this</w:t>
      </w:r>
      <w:proofErr w:type="spellEnd"/>
      <w:r w:rsidR="00512F24" w:rsidRPr="00705170">
        <w:rPr>
          <w:rFonts w:ascii="Times New Roman" w:hAnsi="Times New Roman" w:cs="Times New Roman"/>
        </w:rPr>
        <w:t xml:space="preserve"> legal </w:t>
      </w:r>
      <w:proofErr w:type="spellStart"/>
      <w:r w:rsidR="00512F24" w:rsidRPr="00705170">
        <w:rPr>
          <w:rFonts w:ascii="Times New Roman" w:hAnsi="Times New Roman" w:cs="Times New Roman"/>
        </w:rPr>
        <w:t>tool</w:t>
      </w:r>
      <w:proofErr w:type="spellEnd"/>
      <w:r w:rsidR="00454DE1" w:rsidRPr="00705170">
        <w:rPr>
          <w:rFonts w:ascii="Times New Roman" w:hAnsi="Times New Roman" w:cs="Times New Roman"/>
        </w:rPr>
        <w:t>.</w:t>
      </w:r>
      <w:r w:rsidR="00512F24" w:rsidRPr="00705170">
        <w:rPr>
          <w:rFonts w:ascii="Times New Roman" w:hAnsi="Times New Roman" w:cs="Times New Roman"/>
        </w:rPr>
        <w:t xml:space="preserve"> </w:t>
      </w:r>
      <w:proofErr w:type="spellStart"/>
      <w:r w:rsidR="00A04DDF">
        <w:rPr>
          <w:rFonts w:ascii="Times New Roman" w:hAnsi="Times New Roman" w:cs="Times New Roman"/>
        </w:rPr>
        <w:t>This</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inherent</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feature</w:t>
      </w:r>
      <w:proofErr w:type="spellEnd"/>
      <w:r w:rsidR="00A04DDF">
        <w:rPr>
          <w:rFonts w:ascii="Times New Roman" w:hAnsi="Times New Roman" w:cs="Times New Roman"/>
        </w:rPr>
        <w:t xml:space="preserve"> can be </w:t>
      </w:r>
      <w:proofErr w:type="spellStart"/>
      <w:r w:rsidR="00A04DDF">
        <w:rPr>
          <w:rFonts w:ascii="Times New Roman" w:hAnsi="Times New Roman" w:cs="Times New Roman"/>
        </w:rPr>
        <w:t>read</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from</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the</w:t>
      </w:r>
      <w:proofErr w:type="spellEnd"/>
      <w:r w:rsidR="00A04DDF">
        <w:rPr>
          <w:rFonts w:ascii="Times New Roman" w:hAnsi="Times New Roman" w:cs="Times New Roman"/>
        </w:rPr>
        <w:t xml:space="preserve"> </w:t>
      </w:r>
      <w:proofErr w:type="spellStart"/>
      <w:r w:rsidR="00A04DDF">
        <w:rPr>
          <w:rFonts w:ascii="Times New Roman" w:hAnsi="Times New Roman" w:cs="Times New Roman"/>
        </w:rPr>
        <w:t>words</w:t>
      </w:r>
      <w:proofErr w:type="spellEnd"/>
      <w:r w:rsidR="00A04DDF">
        <w:rPr>
          <w:rFonts w:ascii="Times New Roman" w:hAnsi="Times New Roman" w:cs="Times New Roman"/>
        </w:rPr>
        <w:t xml:space="preserve"> of a</w:t>
      </w:r>
      <w:r w:rsidR="00512F24" w:rsidRPr="00705170">
        <w:rPr>
          <w:rFonts w:ascii="Times New Roman" w:hAnsi="Times New Roman" w:cs="Times New Roman"/>
        </w:rPr>
        <w:t>n Englis</w:t>
      </w:r>
      <w:r w:rsidR="00A04DDF">
        <w:rPr>
          <w:rFonts w:ascii="Times New Roman" w:hAnsi="Times New Roman" w:cs="Times New Roman"/>
        </w:rPr>
        <w:t xml:space="preserve">h </w:t>
      </w:r>
      <w:proofErr w:type="spellStart"/>
      <w:r w:rsidR="00A04DDF">
        <w:rPr>
          <w:rFonts w:ascii="Times New Roman" w:hAnsi="Times New Roman" w:cs="Times New Roman"/>
        </w:rPr>
        <w:t>court</w:t>
      </w:r>
      <w:proofErr w:type="spellEnd"/>
      <w:r w:rsidR="00A04DDF">
        <w:rPr>
          <w:rFonts w:ascii="Times New Roman" w:hAnsi="Times New Roman" w:cs="Times New Roman"/>
        </w:rPr>
        <w:t xml:space="preserve"> </w:t>
      </w:r>
      <w:r w:rsidR="00512F24" w:rsidRPr="00705170">
        <w:rPr>
          <w:rFonts w:ascii="Times New Roman" w:hAnsi="Times New Roman" w:cs="Times New Roman"/>
        </w:rPr>
        <w:t xml:space="preserve">as </w:t>
      </w:r>
      <w:proofErr w:type="spellStart"/>
      <w:r w:rsidR="00512F24" w:rsidRPr="00705170">
        <w:rPr>
          <w:rFonts w:ascii="Times New Roman" w:hAnsi="Times New Roman" w:cs="Times New Roman"/>
        </w:rPr>
        <w:t>follows</w:t>
      </w:r>
      <w:proofErr w:type="spellEnd"/>
      <w:r w:rsidR="00512F24" w:rsidRPr="00705170">
        <w:rPr>
          <w:rFonts w:ascii="Times New Roman" w:hAnsi="Times New Roman" w:cs="Times New Roman"/>
        </w:rPr>
        <w:t xml:space="preserve">: </w:t>
      </w:r>
      <w:r w:rsidR="00DC42FF" w:rsidRPr="00705170">
        <w:rPr>
          <w:rFonts w:ascii="Times New Roman" w:hAnsi="Times New Roman" w:cs="Times New Roman"/>
        </w:rPr>
        <w:t xml:space="preserve">“I do not </w:t>
      </w:r>
      <w:proofErr w:type="spellStart"/>
      <w:r w:rsidR="00DC42FF" w:rsidRPr="00705170">
        <w:rPr>
          <w:rFonts w:ascii="Times New Roman" w:hAnsi="Times New Roman" w:cs="Times New Roman"/>
        </w:rPr>
        <w:t>think</w:t>
      </w:r>
      <w:proofErr w:type="spellEnd"/>
      <w:r w:rsidR="00DC42FF" w:rsidRPr="00705170">
        <w:rPr>
          <w:rFonts w:ascii="Times New Roman" w:hAnsi="Times New Roman" w:cs="Times New Roman"/>
        </w:rPr>
        <w:t xml:space="preserve"> it is </w:t>
      </w:r>
      <w:proofErr w:type="spellStart"/>
      <w:r w:rsidR="00DC42FF" w:rsidRPr="00705170">
        <w:rPr>
          <w:rFonts w:ascii="Times New Roman" w:hAnsi="Times New Roman" w:cs="Times New Roman"/>
        </w:rPr>
        <w:t>essential</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to</w:t>
      </w:r>
      <w:proofErr w:type="spellEnd"/>
      <w:r w:rsidR="00DC42FF" w:rsidRPr="00705170">
        <w:rPr>
          <w:rFonts w:ascii="Times New Roman" w:hAnsi="Times New Roman" w:cs="Times New Roman"/>
        </w:rPr>
        <w:t xml:space="preserve"> a </w:t>
      </w:r>
      <w:proofErr w:type="spellStart"/>
      <w:r w:rsidR="00DC42FF" w:rsidRPr="00705170">
        <w:rPr>
          <w:rFonts w:ascii="Times New Roman" w:hAnsi="Times New Roman" w:cs="Times New Roman"/>
        </w:rPr>
        <w:t>case</w:t>
      </w:r>
      <w:proofErr w:type="spellEnd"/>
      <w:r w:rsidR="00DC42FF" w:rsidRPr="00705170">
        <w:rPr>
          <w:rFonts w:ascii="Times New Roman" w:hAnsi="Times New Roman" w:cs="Times New Roman"/>
        </w:rPr>
        <w:t xml:space="preserve"> of </w:t>
      </w:r>
      <w:proofErr w:type="spellStart"/>
      <w:r w:rsidR="00DC42FF" w:rsidRPr="00705170">
        <w:rPr>
          <w:rFonts w:ascii="Times New Roman" w:hAnsi="Times New Roman" w:cs="Times New Roman"/>
        </w:rPr>
        <w:t>oppression</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that</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alleged</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oppressor</w:t>
      </w:r>
      <w:proofErr w:type="spellEnd"/>
      <w:r w:rsidR="00DC42FF" w:rsidRPr="00705170">
        <w:rPr>
          <w:rFonts w:ascii="Times New Roman" w:hAnsi="Times New Roman" w:cs="Times New Roman"/>
        </w:rPr>
        <w:t xml:space="preserve"> is </w:t>
      </w:r>
      <w:proofErr w:type="spellStart"/>
      <w:r w:rsidR="00DC42FF" w:rsidRPr="00705170">
        <w:rPr>
          <w:rFonts w:ascii="Times New Roman" w:hAnsi="Times New Roman" w:cs="Times New Roman"/>
        </w:rPr>
        <w:t>oppressing</w:t>
      </w:r>
      <w:proofErr w:type="spellEnd"/>
      <w:r w:rsidR="00DC42FF" w:rsidRPr="00705170">
        <w:rPr>
          <w:rFonts w:ascii="Times New Roman" w:hAnsi="Times New Roman" w:cs="Times New Roman"/>
        </w:rPr>
        <w:t xml:space="preserve"> in </w:t>
      </w:r>
      <w:proofErr w:type="spellStart"/>
      <w:r w:rsidR="00DC42FF" w:rsidRPr="00705170">
        <w:rPr>
          <w:rFonts w:ascii="Times New Roman" w:hAnsi="Times New Roman" w:cs="Times New Roman"/>
        </w:rPr>
        <w:t>order</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to</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obtain</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pecuniary</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benefit</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If</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there</w:t>
      </w:r>
      <w:proofErr w:type="spellEnd"/>
      <w:r w:rsidR="00DC42FF" w:rsidRPr="00705170">
        <w:rPr>
          <w:rFonts w:ascii="Times New Roman" w:hAnsi="Times New Roman" w:cs="Times New Roman"/>
        </w:rPr>
        <w:t xml:space="preserve"> is </w:t>
      </w:r>
      <w:proofErr w:type="spellStart"/>
      <w:r w:rsidR="00DC42FF" w:rsidRPr="00705170">
        <w:rPr>
          <w:rFonts w:ascii="Times New Roman" w:hAnsi="Times New Roman" w:cs="Times New Roman"/>
        </w:rPr>
        <w:t>oppression</w:t>
      </w:r>
      <w:proofErr w:type="spellEnd"/>
      <w:r w:rsidR="00DC42FF" w:rsidRPr="00705170">
        <w:rPr>
          <w:rFonts w:ascii="Times New Roman" w:hAnsi="Times New Roman" w:cs="Times New Roman"/>
        </w:rPr>
        <w:t xml:space="preserve">, it </w:t>
      </w:r>
      <w:proofErr w:type="spellStart"/>
      <w:r w:rsidR="00DC42FF" w:rsidRPr="00705170">
        <w:rPr>
          <w:rFonts w:ascii="Times New Roman" w:hAnsi="Times New Roman" w:cs="Times New Roman"/>
        </w:rPr>
        <w:t>remains</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oppression</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even</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though</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oppression</w:t>
      </w:r>
      <w:proofErr w:type="spellEnd"/>
      <w:r w:rsidR="00DC42FF" w:rsidRPr="00705170">
        <w:rPr>
          <w:rFonts w:ascii="Times New Roman" w:hAnsi="Times New Roman" w:cs="Times New Roman"/>
        </w:rPr>
        <w:t xml:space="preserve"> is </w:t>
      </w:r>
      <w:proofErr w:type="spellStart"/>
      <w:r w:rsidR="00DC42FF" w:rsidRPr="00705170">
        <w:rPr>
          <w:rFonts w:ascii="Times New Roman" w:hAnsi="Times New Roman" w:cs="Times New Roman"/>
        </w:rPr>
        <w:t>due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simply</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to</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the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controlling</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shareholder’s</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overwhelming</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desire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for</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power</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and</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control</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and</w:t>
      </w:r>
      <w:proofErr w:type="spellEnd"/>
      <w:r w:rsidR="00DC42FF" w:rsidRPr="00705170">
        <w:rPr>
          <w:rFonts w:ascii="Times New Roman" w:hAnsi="Times New Roman" w:cs="Times New Roman"/>
        </w:rPr>
        <w:t xml:space="preserve"> not </w:t>
      </w:r>
      <w:proofErr w:type="spellStart"/>
      <w:r w:rsidR="00DC42FF" w:rsidRPr="00705170">
        <w:rPr>
          <w:rFonts w:ascii="Times New Roman" w:hAnsi="Times New Roman" w:cs="Times New Roman"/>
        </w:rPr>
        <w:t>with</w:t>
      </w:r>
      <w:proofErr w:type="spellEnd"/>
      <w:r w:rsidR="00DC42FF" w:rsidRPr="00705170">
        <w:rPr>
          <w:rFonts w:ascii="Times New Roman" w:hAnsi="Times New Roman" w:cs="Times New Roman"/>
        </w:rPr>
        <w:t xml:space="preserve"> a </w:t>
      </w:r>
      <w:proofErr w:type="spellStart"/>
      <w:r w:rsidR="00DC42FF" w:rsidRPr="00705170">
        <w:rPr>
          <w:rFonts w:ascii="Times New Roman" w:hAnsi="Times New Roman" w:cs="Times New Roman"/>
        </w:rPr>
        <w:t>view</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to</w:t>
      </w:r>
      <w:proofErr w:type="spellEnd"/>
      <w:r w:rsidR="00DC42FF" w:rsidRPr="00705170">
        <w:rPr>
          <w:rFonts w:ascii="Times New Roman" w:hAnsi="Times New Roman" w:cs="Times New Roman"/>
        </w:rPr>
        <w:t xml:space="preserve"> his </w:t>
      </w:r>
      <w:proofErr w:type="spellStart"/>
      <w:r w:rsidR="00DC42FF" w:rsidRPr="00705170">
        <w:rPr>
          <w:rFonts w:ascii="Times New Roman" w:hAnsi="Times New Roman" w:cs="Times New Roman"/>
        </w:rPr>
        <w:t>own</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advantage</w:t>
      </w:r>
      <w:proofErr w:type="spellEnd"/>
      <w:r w:rsidR="00DC42FF" w:rsidRPr="00705170">
        <w:rPr>
          <w:rFonts w:ascii="Times New Roman" w:hAnsi="Times New Roman" w:cs="Times New Roman"/>
        </w:rPr>
        <w:t xml:space="preserve"> in </w:t>
      </w:r>
      <w:proofErr w:type="spellStart"/>
      <w:r w:rsidR="00DC42FF" w:rsidRPr="00705170">
        <w:rPr>
          <w:rFonts w:ascii="Times New Roman" w:hAnsi="Times New Roman" w:cs="Times New Roman"/>
        </w:rPr>
        <w:t>the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pecuniary</w:t>
      </w:r>
      <w:proofErr w:type="spellEnd"/>
      <w:r w:rsidR="00DC42FF" w:rsidRPr="00705170">
        <w:rPr>
          <w:rFonts w:ascii="Times New Roman" w:hAnsi="Times New Roman" w:cs="Times New Roman"/>
        </w:rPr>
        <w:t xml:space="preserve"> sense. </w:t>
      </w:r>
      <w:proofErr w:type="spellStart"/>
      <w:r w:rsidR="00DC42FF" w:rsidRPr="00705170">
        <w:rPr>
          <w:rFonts w:ascii="Times New Roman" w:hAnsi="Times New Roman" w:cs="Times New Roman"/>
        </w:rPr>
        <w:t>I</w:t>
      </w:r>
      <w:r w:rsidR="00B45E0A" w:rsidRPr="00705170">
        <w:rPr>
          <w:rFonts w:ascii="Times New Roman" w:hAnsi="Times New Roman" w:cs="Times New Roman"/>
        </w:rPr>
        <w:t>t</w:t>
      </w:r>
      <w:proofErr w:type="spellEnd"/>
      <w:r w:rsidR="00B45E0A" w:rsidRPr="00705170">
        <w:rPr>
          <w:rFonts w:ascii="Times New Roman" w:hAnsi="Times New Roman" w:cs="Times New Roman"/>
        </w:rPr>
        <w:t xml:space="preserve"> </w:t>
      </w:r>
      <w:proofErr w:type="spellStart"/>
      <w:r w:rsidR="00B45E0A" w:rsidRPr="00705170">
        <w:rPr>
          <w:rFonts w:ascii="Times New Roman" w:hAnsi="Times New Roman" w:cs="Times New Roman"/>
        </w:rPr>
        <w:t>see</w:t>
      </w:r>
      <w:r w:rsidR="00DC42FF" w:rsidRPr="00705170">
        <w:rPr>
          <w:rFonts w:ascii="Times New Roman" w:hAnsi="Times New Roman" w:cs="Times New Roman"/>
        </w:rPr>
        <w:t>m</w:t>
      </w:r>
      <w:r w:rsidR="00B45E0A" w:rsidRPr="00705170">
        <w:rPr>
          <w:rFonts w:ascii="Times New Roman" w:hAnsi="Times New Roman" w:cs="Times New Roman"/>
        </w:rPr>
        <w:t>s</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to</w:t>
      </w:r>
      <w:proofErr w:type="spellEnd"/>
      <w:r w:rsidR="00DC42FF" w:rsidRPr="00705170">
        <w:rPr>
          <w:rFonts w:ascii="Times New Roman" w:hAnsi="Times New Roman" w:cs="Times New Roman"/>
        </w:rPr>
        <w:t xml:space="preserve"> me </w:t>
      </w:r>
      <w:proofErr w:type="spellStart"/>
      <w:r w:rsidR="00DC42FF" w:rsidRPr="00705170">
        <w:rPr>
          <w:rFonts w:ascii="Times New Roman" w:hAnsi="Times New Roman" w:cs="Times New Roman"/>
        </w:rPr>
        <w:t>the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result</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rather</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than</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the</w:t>
      </w:r>
      <w:proofErr w:type="spellEnd"/>
      <w:r w:rsidR="00DC42FF" w:rsidRPr="00705170">
        <w:rPr>
          <w:rFonts w:ascii="Times New Roman" w:hAnsi="Times New Roman" w:cs="Times New Roman"/>
        </w:rPr>
        <w:t xml:space="preserve"> motive is </w:t>
      </w:r>
      <w:proofErr w:type="spellStart"/>
      <w:r w:rsidR="00DC42FF" w:rsidRPr="00705170">
        <w:rPr>
          <w:rFonts w:ascii="Times New Roman" w:hAnsi="Times New Roman" w:cs="Times New Roman"/>
        </w:rPr>
        <w:t>the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material</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thing</w:t>
      </w:r>
      <w:proofErr w:type="spellEnd"/>
      <w:r w:rsidR="00DC42FF" w:rsidRPr="00705170">
        <w:rPr>
          <w:rFonts w:ascii="Times New Roman" w:hAnsi="Times New Roman" w:cs="Times New Roman"/>
        </w:rPr>
        <w:t>…</w:t>
      </w:r>
      <w:proofErr w:type="spellStart"/>
      <w:r w:rsidR="00DC42FF" w:rsidRPr="00705170">
        <w:rPr>
          <w:rFonts w:ascii="Times New Roman" w:hAnsi="Times New Roman" w:cs="Times New Roman"/>
        </w:rPr>
        <w:t>If</w:t>
      </w:r>
      <w:proofErr w:type="spellEnd"/>
      <w:r w:rsidR="00DC42FF" w:rsidRPr="00705170">
        <w:rPr>
          <w:rFonts w:ascii="Times New Roman" w:hAnsi="Times New Roman" w:cs="Times New Roman"/>
        </w:rPr>
        <w:t xml:space="preserve"> a </w:t>
      </w:r>
      <w:proofErr w:type="spellStart"/>
      <w:r w:rsidR="00DC42FF" w:rsidRPr="00705170">
        <w:rPr>
          <w:rFonts w:ascii="Times New Roman" w:hAnsi="Times New Roman" w:cs="Times New Roman"/>
        </w:rPr>
        <w:t>person</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relying</w:t>
      </w:r>
      <w:proofErr w:type="spellEnd"/>
      <w:r w:rsidR="00DC42FF" w:rsidRPr="00705170">
        <w:rPr>
          <w:rFonts w:ascii="Times New Roman" w:hAnsi="Times New Roman" w:cs="Times New Roman"/>
        </w:rPr>
        <w:t xml:space="preserve"> on </w:t>
      </w:r>
      <w:proofErr w:type="spellStart"/>
      <w:r w:rsidR="00DC42FF" w:rsidRPr="00705170">
        <w:rPr>
          <w:rFonts w:ascii="Times New Roman" w:hAnsi="Times New Roman" w:cs="Times New Roman"/>
        </w:rPr>
        <w:t>majority</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control</w:t>
      </w:r>
      <w:proofErr w:type="spellEnd"/>
      <w:r w:rsidR="00DC42FF" w:rsidRPr="00705170">
        <w:rPr>
          <w:rFonts w:ascii="Times New Roman" w:hAnsi="Times New Roman" w:cs="Times New Roman"/>
        </w:rPr>
        <w:t xml:space="preserve"> in </w:t>
      </w:r>
      <w:proofErr w:type="spellStart"/>
      <w:r w:rsidR="00DC42FF" w:rsidRPr="00705170">
        <w:rPr>
          <w:rFonts w:ascii="Times New Roman" w:hAnsi="Times New Roman" w:cs="Times New Roman"/>
        </w:rPr>
        <w:t>point</w:t>
      </w:r>
      <w:proofErr w:type="spellEnd"/>
      <w:r w:rsidR="00DC42FF" w:rsidRPr="00705170">
        <w:rPr>
          <w:rFonts w:ascii="Times New Roman" w:hAnsi="Times New Roman" w:cs="Times New Roman"/>
        </w:rPr>
        <w:t xml:space="preserve"> of </w:t>
      </w:r>
      <w:proofErr w:type="spellStart"/>
      <w:r w:rsidR="00DC42FF" w:rsidRPr="00705170">
        <w:rPr>
          <w:rFonts w:ascii="Times New Roman" w:hAnsi="Times New Roman" w:cs="Times New Roman"/>
        </w:rPr>
        <w:t>voting</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power</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dispenses</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with</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the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proper</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procedure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for</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producing</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the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result</w:t>
      </w:r>
      <w:proofErr w:type="spellEnd"/>
      <w:r w:rsidR="00DC42FF" w:rsidRPr="00705170">
        <w:rPr>
          <w:rFonts w:ascii="Times New Roman" w:hAnsi="Times New Roman" w:cs="Times New Roman"/>
        </w:rPr>
        <w:t xml:space="preserve"> he </w:t>
      </w:r>
      <w:proofErr w:type="spellStart"/>
      <w:r w:rsidR="00DC42FF" w:rsidRPr="00705170">
        <w:rPr>
          <w:rFonts w:ascii="Times New Roman" w:hAnsi="Times New Roman" w:cs="Times New Roman"/>
        </w:rPr>
        <w:t>desires</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to</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achieve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and</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simply</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insists</w:t>
      </w:r>
      <w:proofErr w:type="spellEnd"/>
      <w:r w:rsidR="00DC42FF" w:rsidRPr="00705170">
        <w:rPr>
          <w:rFonts w:ascii="Times New Roman" w:hAnsi="Times New Roman" w:cs="Times New Roman"/>
        </w:rPr>
        <w:t xml:space="preserve"> on </w:t>
      </w:r>
      <w:proofErr w:type="spellStart"/>
      <w:r w:rsidR="00DC42FF" w:rsidRPr="00705170">
        <w:rPr>
          <w:rFonts w:ascii="Times New Roman" w:hAnsi="Times New Roman" w:cs="Times New Roman"/>
        </w:rPr>
        <w:t>this</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or</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that</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being</w:t>
      </w:r>
      <w:proofErr w:type="spellEnd"/>
      <w:r w:rsidR="00DC42FF" w:rsidRPr="00705170">
        <w:rPr>
          <w:rFonts w:ascii="Times New Roman" w:hAnsi="Times New Roman" w:cs="Times New Roman"/>
        </w:rPr>
        <w:t xml:space="preserve"> </w:t>
      </w:r>
      <w:proofErr w:type="gramStart"/>
      <w:r w:rsidR="00DC42FF" w:rsidRPr="00705170">
        <w:rPr>
          <w:rFonts w:ascii="Times New Roman" w:hAnsi="Times New Roman" w:cs="Times New Roman"/>
        </w:rPr>
        <w:t>done</w:t>
      </w:r>
      <w:proofErr w:type="gram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or</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omitted</w:t>
      </w:r>
      <w:proofErr w:type="spellEnd"/>
      <w:r w:rsidR="00DC42FF" w:rsidRPr="00705170">
        <w:rPr>
          <w:rFonts w:ascii="Times New Roman" w:hAnsi="Times New Roman" w:cs="Times New Roman"/>
        </w:rPr>
        <w:t xml:space="preserve">, his </w:t>
      </w:r>
      <w:proofErr w:type="spellStart"/>
      <w:r w:rsidR="00DC42FF" w:rsidRPr="00705170">
        <w:rPr>
          <w:rFonts w:ascii="Times New Roman" w:hAnsi="Times New Roman" w:cs="Times New Roman"/>
        </w:rPr>
        <w:t>conduct</w:t>
      </w:r>
      <w:proofErr w:type="spellEnd"/>
      <w:r w:rsidR="00DC42FF" w:rsidRPr="00705170">
        <w:rPr>
          <w:rFonts w:ascii="Times New Roman" w:hAnsi="Times New Roman" w:cs="Times New Roman"/>
        </w:rPr>
        <w:t xml:space="preserve"> is </w:t>
      </w:r>
      <w:proofErr w:type="spellStart"/>
      <w:r w:rsidR="00DC42FF" w:rsidRPr="00705170">
        <w:rPr>
          <w:rFonts w:ascii="Times New Roman" w:hAnsi="Times New Roman" w:cs="Times New Roman"/>
        </w:rPr>
        <w:t>oppressive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becau</w:t>
      </w:r>
      <w:r w:rsidR="008D6C03" w:rsidRPr="00705170">
        <w:rPr>
          <w:rFonts w:ascii="Times New Roman" w:hAnsi="Times New Roman" w:cs="Times New Roman"/>
        </w:rPr>
        <w:t>s</w:t>
      </w:r>
      <w:r w:rsidR="00DC42FF" w:rsidRPr="00705170">
        <w:rPr>
          <w:rFonts w:ascii="Times New Roman" w:hAnsi="Times New Roman" w:cs="Times New Roman"/>
        </w:rPr>
        <w:t>e</w:t>
      </w:r>
      <w:proofErr w:type="spellEnd"/>
      <w:r w:rsidR="00DC42FF" w:rsidRPr="00705170">
        <w:rPr>
          <w:rFonts w:ascii="Times New Roman" w:hAnsi="Times New Roman" w:cs="Times New Roman"/>
        </w:rPr>
        <w:t xml:space="preserve"> it </w:t>
      </w:r>
      <w:proofErr w:type="spellStart"/>
      <w:r w:rsidR="00DC42FF" w:rsidRPr="00705170">
        <w:rPr>
          <w:rFonts w:ascii="Times New Roman" w:hAnsi="Times New Roman" w:cs="Times New Roman"/>
        </w:rPr>
        <w:t>deprives</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the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minor</w:t>
      </w:r>
      <w:r w:rsidR="001F6602">
        <w:rPr>
          <w:rFonts w:ascii="Times New Roman" w:hAnsi="Times New Roman" w:cs="Times New Roman"/>
        </w:rPr>
        <w:t>it</w:t>
      </w:r>
      <w:r w:rsidR="00DC42FF" w:rsidRPr="00705170">
        <w:rPr>
          <w:rFonts w:ascii="Times New Roman" w:hAnsi="Times New Roman" w:cs="Times New Roman"/>
        </w:rPr>
        <w:t>y</w:t>
      </w:r>
      <w:proofErr w:type="spellEnd"/>
      <w:r w:rsidR="00DC42FF" w:rsidRPr="00705170">
        <w:rPr>
          <w:rFonts w:ascii="Times New Roman" w:hAnsi="Times New Roman" w:cs="Times New Roman"/>
        </w:rPr>
        <w:t xml:space="preserve"> of </w:t>
      </w:r>
      <w:proofErr w:type="spellStart"/>
      <w:r w:rsidR="00DC42FF" w:rsidRPr="00705170">
        <w:rPr>
          <w:rFonts w:ascii="Times New Roman" w:hAnsi="Times New Roman" w:cs="Times New Roman"/>
        </w:rPr>
        <w:t>shareholders</w:t>
      </w:r>
      <w:proofErr w:type="spellEnd"/>
      <w:r w:rsidR="00DC42FF" w:rsidRPr="00705170">
        <w:rPr>
          <w:rFonts w:ascii="Times New Roman" w:hAnsi="Times New Roman" w:cs="Times New Roman"/>
        </w:rPr>
        <w:t xml:space="preserve"> of </w:t>
      </w:r>
      <w:proofErr w:type="spellStart"/>
      <w:r w:rsidR="00DC42FF" w:rsidRPr="00705170">
        <w:rPr>
          <w:rFonts w:ascii="Times New Roman" w:hAnsi="Times New Roman" w:cs="Times New Roman"/>
        </w:rPr>
        <w:t>their</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right</w:t>
      </w:r>
      <w:proofErr w:type="spellEnd"/>
      <w:r w:rsidR="00DC42FF" w:rsidRPr="00705170">
        <w:rPr>
          <w:rFonts w:ascii="Times New Roman" w:hAnsi="Times New Roman" w:cs="Times New Roman"/>
        </w:rPr>
        <w:t xml:space="preserve"> as </w:t>
      </w:r>
      <w:proofErr w:type="spellStart"/>
      <w:r w:rsidR="00DC42FF" w:rsidRPr="00705170">
        <w:rPr>
          <w:rFonts w:ascii="Times New Roman" w:hAnsi="Times New Roman" w:cs="Times New Roman"/>
        </w:rPr>
        <w:t>members</w:t>
      </w:r>
      <w:proofErr w:type="spellEnd"/>
      <w:r w:rsidR="00DC42FF" w:rsidRPr="00705170">
        <w:rPr>
          <w:rFonts w:ascii="Times New Roman" w:hAnsi="Times New Roman" w:cs="Times New Roman"/>
        </w:rPr>
        <w:t xml:space="preserve"> o</w:t>
      </w:r>
      <w:r w:rsidR="008D6C03" w:rsidRPr="00705170">
        <w:rPr>
          <w:rFonts w:ascii="Times New Roman" w:hAnsi="Times New Roman" w:cs="Times New Roman"/>
        </w:rPr>
        <w:t>f</w:t>
      </w:r>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the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company</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to</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have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its</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affairs</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conducted</w:t>
      </w:r>
      <w:proofErr w:type="spellEnd"/>
      <w:r w:rsidR="00DC42FF" w:rsidRPr="00705170">
        <w:rPr>
          <w:rFonts w:ascii="Times New Roman" w:hAnsi="Times New Roman" w:cs="Times New Roman"/>
        </w:rPr>
        <w:t xml:space="preserve"> in </w:t>
      </w:r>
      <w:proofErr w:type="spellStart"/>
      <w:r w:rsidR="00DC42FF" w:rsidRPr="00705170">
        <w:rPr>
          <w:rFonts w:ascii="Times New Roman" w:hAnsi="Times New Roman" w:cs="Times New Roman"/>
        </w:rPr>
        <w:t>accordance</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with</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its</w:t>
      </w:r>
      <w:proofErr w:type="spellEnd"/>
      <w:r w:rsidR="00DC42FF" w:rsidRPr="00705170">
        <w:rPr>
          <w:rFonts w:ascii="Times New Roman" w:hAnsi="Times New Roman" w:cs="Times New Roman"/>
        </w:rPr>
        <w:t xml:space="preserve"> </w:t>
      </w:r>
      <w:proofErr w:type="spellStart"/>
      <w:r w:rsidR="00DC42FF" w:rsidRPr="00705170">
        <w:rPr>
          <w:rFonts w:ascii="Times New Roman" w:hAnsi="Times New Roman" w:cs="Times New Roman"/>
        </w:rPr>
        <w:t>articles</w:t>
      </w:r>
      <w:proofErr w:type="spellEnd"/>
      <w:r w:rsidR="00DC42FF" w:rsidRPr="00705170">
        <w:rPr>
          <w:rFonts w:ascii="Times New Roman" w:hAnsi="Times New Roman" w:cs="Times New Roman"/>
        </w:rPr>
        <w:t xml:space="preserve"> of </w:t>
      </w:r>
      <w:proofErr w:type="spellStart"/>
      <w:r w:rsidR="00DC42FF" w:rsidRPr="00705170">
        <w:rPr>
          <w:rFonts w:ascii="Times New Roman" w:hAnsi="Times New Roman" w:cs="Times New Roman"/>
        </w:rPr>
        <w:t>association</w:t>
      </w:r>
      <w:proofErr w:type="spellEnd"/>
      <w:r w:rsidR="00DC42FF" w:rsidRPr="00705170">
        <w:rPr>
          <w:rFonts w:ascii="Times New Roman" w:hAnsi="Times New Roman" w:cs="Times New Roman"/>
        </w:rPr>
        <w:t>”</w:t>
      </w:r>
      <w:r w:rsidR="00512F24" w:rsidRPr="00705170">
        <w:rPr>
          <w:rStyle w:val="DipnotBavurusu"/>
          <w:rFonts w:ascii="Times New Roman" w:hAnsi="Times New Roman" w:cs="Times New Roman"/>
        </w:rPr>
        <w:footnoteReference w:id="1001"/>
      </w:r>
      <w:r w:rsidR="00512F24" w:rsidRPr="00705170">
        <w:rPr>
          <w:rFonts w:ascii="Times New Roman" w:hAnsi="Times New Roman" w:cs="Times New Roman"/>
        </w:rPr>
        <w:t>.</w:t>
      </w:r>
      <w:r w:rsidRPr="00705170">
        <w:rPr>
          <w:rFonts w:ascii="Times New Roman" w:hAnsi="Times New Roman" w:cs="Times New Roman"/>
        </w:rPr>
        <w:t xml:space="preserve"> </w:t>
      </w:r>
      <w:proofErr w:type="spellStart"/>
      <w:r w:rsidRPr="00705170">
        <w:rPr>
          <w:rFonts w:ascii="Times New Roman" w:hAnsi="Times New Roman" w:cs="Times New Roman"/>
        </w:rPr>
        <w:t>In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regards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judicial</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lawsuits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does</w:t>
      </w:r>
      <w:proofErr w:type="spellEnd"/>
      <w:r w:rsidRPr="00705170">
        <w:rPr>
          <w:rFonts w:ascii="Times New Roman" w:hAnsi="Times New Roman" w:cs="Times New Roman"/>
        </w:rPr>
        <w:t xml:space="preserve"> not </w:t>
      </w:r>
      <w:proofErr w:type="spellStart"/>
      <w:r w:rsidRPr="00705170">
        <w:rPr>
          <w:rFonts w:ascii="Times New Roman" w:hAnsi="Times New Roman" w:cs="Times New Roman"/>
        </w:rPr>
        <w:t>focus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where</w:t>
      </w:r>
      <w:proofErr w:type="spellEnd"/>
      <w:r w:rsidRPr="00705170">
        <w:rPr>
          <w:rFonts w:ascii="Times New Roman" w:hAnsi="Times New Roman" w:cs="Times New Roman"/>
        </w:rPr>
        <w:t xml:space="preserve">, how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even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why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abusive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conduct</w:t>
      </w:r>
      <w:proofErr w:type="spellEnd"/>
      <w:r w:rsidR="00561ED5">
        <w:rPr>
          <w:rFonts w:ascii="Times New Roman" w:hAnsi="Times New Roman" w:cs="Times New Roman"/>
        </w:rPr>
        <w:t xml:space="preserve"> has</w:t>
      </w:r>
      <w:r w:rsidRPr="00705170">
        <w:rPr>
          <w:rFonts w:ascii="Times New Roman" w:hAnsi="Times New Roman" w:cs="Times New Roman"/>
        </w:rPr>
        <w:t xml:space="preserve"> </w:t>
      </w:r>
      <w:proofErr w:type="spellStart"/>
      <w:r w:rsidRPr="00705170">
        <w:rPr>
          <w:rFonts w:ascii="Times New Roman" w:hAnsi="Times New Roman" w:cs="Times New Roman"/>
        </w:rPr>
        <w:t>occurred</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rather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focuses</w:t>
      </w:r>
      <w:proofErr w:type="spellEnd"/>
      <w:r w:rsidRPr="00705170">
        <w:rPr>
          <w:rFonts w:ascii="Times New Roman" w:hAnsi="Times New Roman" w:cs="Times New Roman"/>
        </w:rPr>
        <w:t xml:space="preserve"> on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effect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conduct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basic</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interests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petitioning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shareholders</w:t>
      </w:r>
      <w:proofErr w:type="spellEnd"/>
      <w:r w:rsidRPr="00705170">
        <w:rPr>
          <w:rFonts w:ascii="Times New Roman" w:hAnsi="Times New Roman" w:cs="Times New Roman"/>
        </w:rPr>
        <w:t xml:space="preserve">. </w:t>
      </w:r>
      <w:r w:rsidR="00561ED5">
        <w:rPr>
          <w:rFonts w:ascii="Times New Roman" w:hAnsi="Times New Roman" w:cs="Times New Roman"/>
        </w:rPr>
        <w:t xml:space="preserve">Put in </w:t>
      </w:r>
      <w:proofErr w:type="spellStart"/>
      <w:r w:rsidR="00561ED5">
        <w:rPr>
          <w:rFonts w:ascii="Times New Roman" w:hAnsi="Times New Roman" w:cs="Times New Roman"/>
        </w:rPr>
        <w:t>terms</w:t>
      </w:r>
      <w:proofErr w:type="spellEnd"/>
      <w:r w:rsidR="00561ED5">
        <w:rPr>
          <w:rFonts w:ascii="Times New Roman" w:hAnsi="Times New Roman" w:cs="Times New Roman"/>
        </w:rPr>
        <w:t xml:space="preserve"> of </w:t>
      </w:r>
      <w:proofErr w:type="spellStart"/>
      <w:r w:rsidR="00561ED5">
        <w:rPr>
          <w:rFonts w:ascii="Times New Roman" w:hAnsi="Times New Roman" w:cs="Times New Roman"/>
        </w:rPr>
        <w:t>Turkish</w:t>
      </w:r>
      <w:proofErr w:type="spellEnd"/>
      <w:r w:rsidR="00561ED5">
        <w:rPr>
          <w:rFonts w:ascii="Times New Roman" w:hAnsi="Times New Roman" w:cs="Times New Roman"/>
        </w:rPr>
        <w:t xml:space="preserve"> </w:t>
      </w:r>
      <w:proofErr w:type="spellStart"/>
      <w:r w:rsidR="00561ED5">
        <w:rPr>
          <w:rFonts w:ascii="Times New Roman" w:hAnsi="Times New Roman" w:cs="Times New Roman"/>
        </w:rPr>
        <w:t>law</w:t>
      </w:r>
      <w:proofErr w:type="spellEnd"/>
      <w:r w:rsidR="00561ED5">
        <w:rPr>
          <w:rFonts w:ascii="Times New Roman" w:hAnsi="Times New Roman" w:cs="Times New Roman"/>
        </w:rPr>
        <w:t xml:space="preserve">, </w:t>
      </w:r>
      <w:proofErr w:type="spellStart"/>
      <w:r w:rsidR="00561ED5">
        <w:rPr>
          <w:rFonts w:ascii="Times New Roman" w:hAnsi="Times New Roman" w:cs="Times New Roman"/>
        </w:rPr>
        <w:t>w</w:t>
      </w:r>
      <w:r w:rsidRPr="00705170">
        <w:rPr>
          <w:rFonts w:ascii="Times New Roman" w:hAnsi="Times New Roman" w:cs="Times New Roman"/>
        </w:rPr>
        <w:t>hat</w:t>
      </w:r>
      <w:proofErr w:type="spellEnd"/>
      <w:r w:rsidRPr="00705170">
        <w:rPr>
          <w:rFonts w:ascii="Times New Roman" w:hAnsi="Times New Roman" w:cs="Times New Roman"/>
        </w:rPr>
        <w:t xml:space="preserve"> it </w:t>
      </w:r>
      <w:proofErr w:type="spellStart"/>
      <w:r w:rsidRPr="00705170">
        <w:rPr>
          <w:rFonts w:ascii="Times New Roman" w:hAnsi="Times New Roman" w:cs="Times New Roman"/>
        </w:rPr>
        <w:t>requires</w:t>
      </w:r>
      <w:proofErr w:type="spellEnd"/>
      <w:r w:rsidRPr="00705170">
        <w:rPr>
          <w:rFonts w:ascii="Times New Roman" w:hAnsi="Times New Roman" w:cs="Times New Roman"/>
        </w:rPr>
        <w:t xml:space="preserve"> is a </w:t>
      </w:r>
      <w:proofErr w:type="spellStart"/>
      <w:r w:rsidRPr="00705170">
        <w:rPr>
          <w:rFonts w:ascii="Times New Roman" w:hAnsi="Times New Roman" w:cs="Times New Roman"/>
        </w:rPr>
        <w:t>showing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that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there</w:t>
      </w:r>
      <w:proofErr w:type="spellEnd"/>
      <w:r w:rsidRPr="00705170">
        <w:rPr>
          <w:rFonts w:ascii="Times New Roman" w:hAnsi="Times New Roman" w:cs="Times New Roman"/>
        </w:rPr>
        <w:t xml:space="preserve"> is a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motivation</w:t>
      </w:r>
      <w:proofErr w:type="spellEnd"/>
      <w:r w:rsidRPr="00705170">
        <w:rPr>
          <w:rFonts w:ascii="Times New Roman" w:hAnsi="Times New Roman" w:cs="Times New Roman"/>
        </w:rPr>
        <w:t xml:space="preserve"> but a </w:t>
      </w:r>
      <w:proofErr w:type="spellStart"/>
      <w:r w:rsidRPr="00705170">
        <w:rPr>
          <w:rFonts w:ascii="Times New Roman" w:hAnsi="Times New Roman" w:cs="Times New Roman"/>
        </w:rPr>
        <w:t>frustrating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result</w:t>
      </w:r>
      <w:proofErr w:type="spellEnd"/>
      <w:r w:rsidRPr="00705170">
        <w:rPr>
          <w:rFonts w:ascii="Times New Roman" w:hAnsi="Times New Roman" w:cs="Times New Roman"/>
        </w:rPr>
        <w:t xml:space="preserve"> has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be </w:t>
      </w:r>
      <w:proofErr w:type="spellStart"/>
      <w:r w:rsidRPr="00705170">
        <w:rPr>
          <w:rFonts w:ascii="Times New Roman" w:hAnsi="Times New Roman" w:cs="Times New Roman"/>
        </w:rPr>
        <w:t>showed</w:t>
      </w:r>
      <w:proofErr w:type="spellEnd"/>
      <w:r w:rsidRPr="00705170">
        <w:rPr>
          <w:rFonts w:ascii="Times New Roman" w:hAnsi="Times New Roman" w:cs="Times New Roman"/>
        </w:rPr>
        <w:t xml:space="preserve">. As </w:t>
      </w:r>
      <w:proofErr w:type="spellStart"/>
      <w:r w:rsidRPr="00705170">
        <w:rPr>
          <w:rFonts w:ascii="Times New Roman" w:hAnsi="Times New Roman" w:cs="Times New Roman"/>
        </w:rPr>
        <w:t>embedded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the</w:t>
      </w:r>
      <w:proofErr w:type="spellEnd"/>
      <w:r w:rsidR="00561ED5">
        <w:rPr>
          <w:rFonts w:ascii="Times New Roman" w:hAnsi="Times New Roman" w:cs="Times New Roman"/>
        </w:rPr>
        <w:t xml:space="preserve"> </w:t>
      </w:r>
      <w:proofErr w:type="spellStart"/>
      <w:r w:rsidR="00561ED5">
        <w:rPr>
          <w:rFonts w:ascii="Times New Roman" w:hAnsi="Times New Roman" w:cs="Times New Roman"/>
        </w:rPr>
        <w:t>given</w:t>
      </w:r>
      <w:proofErr w:type="spellEnd"/>
      <w:r w:rsidRPr="00705170">
        <w:rPr>
          <w:rFonts w:ascii="Times New Roman" w:hAnsi="Times New Roman" w:cs="Times New Roman"/>
        </w:rPr>
        <w:t xml:space="preserve"> </w:t>
      </w:r>
      <w:proofErr w:type="spellStart"/>
      <w:r w:rsidR="00561ED5">
        <w:rPr>
          <w:rFonts w:ascii="Times New Roman" w:hAnsi="Times New Roman" w:cs="Times New Roman"/>
        </w:rPr>
        <w:t>words</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r w:rsidR="00561ED5">
        <w:rPr>
          <w:rFonts w:ascii="Times New Roman" w:hAnsi="Times New Roman" w:cs="Times New Roman"/>
        </w:rPr>
        <w:t>English</w:t>
      </w:r>
      <w:r w:rsidRPr="00705170">
        <w:rPr>
          <w:rFonts w:ascii="Times New Roman" w:hAnsi="Times New Roman" w:cs="Times New Roman"/>
        </w:rPr>
        <w:t xml:space="preserve"> </w:t>
      </w:r>
      <w:proofErr w:type="spellStart"/>
      <w:r w:rsidRPr="00705170">
        <w:rPr>
          <w:rFonts w:ascii="Times New Roman" w:hAnsi="Times New Roman" w:cs="Times New Roman"/>
        </w:rPr>
        <w:t>court</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minority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lastRenderedPageBreak/>
        <w:t>who</w:t>
      </w:r>
      <w:proofErr w:type="spellEnd"/>
      <w:r w:rsidRPr="00705170">
        <w:rPr>
          <w:rFonts w:ascii="Times New Roman" w:hAnsi="Times New Roman" w:cs="Times New Roman"/>
        </w:rPr>
        <w:t xml:space="preserve"> is </w:t>
      </w:r>
      <w:proofErr w:type="spellStart"/>
      <w:r w:rsidRPr="00705170">
        <w:rPr>
          <w:rFonts w:ascii="Times New Roman" w:hAnsi="Times New Roman" w:cs="Times New Roman"/>
        </w:rPr>
        <w:t>deprived</w:t>
      </w:r>
      <w:proofErr w:type="spellEnd"/>
      <w:r w:rsidRPr="00705170">
        <w:rPr>
          <w:rFonts w:ascii="Times New Roman" w:hAnsi="Times New Roman" w:cs="Times New Roman"/>
        </w:rPr>
        <w:t xml:space="preserve"> of his </w:t>
      </w:r>
      <w:proofErr w:type="spellStart"/>
      <w:r w:rsidRPr="00705170">
        <w:rPr>
          <w:rFonts w:ascii="Times New Roman" w:hAnsi="Times New Roman" w:cs="Times New Roman"/>
        </w:rPr>
        <w:t>right</w:t>
      </w:r>
      <w:proofErr w:type="spellEnd"/>
      <w:r w:rsidRPr="00705170">
        <w:rPr>
          <w:rFonts w:ascii="Times New Roman" w:hAnsi="Times New Roman" w:cs="Times New Roman"/>
        </w:rPr>
        <w:t xml:space="preserve"> as a </w:t>
      </w:r>
      <w:proofErr w:type="spellStart"/>
      <w:r w:rsidRPr="00705170">
        <w:rPr>
          <w:rFonts w:ascii="Times New Roman" w:hAnsi="Times New Roman" w:cs="Times New Roman"/>
        </w:rPr>
        <w:t>shareholder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to</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have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corporation’s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affairs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conducted</w:t>
      </w:r>
      <w:proofErr w:type="spellEnd"/>
      <w:r w:rsidRPr="00705170">
        <w:rPr>
          <w:rFonts w:ascii="Times New Roman" w:hAnsi="Times New Roman" w:cs="Times New Roman"/>
        </w:rPr>
        <w:t xml:space="preserve"> in </w:t>
      </w:r>
      <w:proofErr w:type="spellStart"/>
      <w:r w:rsidRPr="00705170">
        <w:rPr>
          <w:rFonts w:ascii="Times New Roman" w:hAnsi="Times New Roman" w:cs="Times New Roman"/>
        </w:rPr>
        <w:t>accordance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with</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corporate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contract</w:t>
      </w:r>
      <w:proofErr w:type="spellEnd"/>
      <w:r w:rsidRPr="00705170">
        <w:rPr>
          <w:rFonts w:ascii="Times New Roman" w:hAnsi="Times New Roman" w:cs="Times New Roman"/>
        </w:rPr>
        <w:t xml:space="preserve"> </w:t>
      </w:r>
      <w:proofErr w:type="spellStart"/>
      <w:r w:rsidR="00561ED5">
        <w:rPr>
          <w:rFonts w:ascii="Times New Roman" w:hAnsi="Times New Roman" w:cs="Times New Roman"/>
        </w:rPr>
        <w:t>should</w:t>
      </w:r>
      <w:proofErr w:type="spellEnd"/>
      <w:r w:rsidR="00561ED5">
        <w:rPr>
          <w:rFonts w:ascii="Times New Roman" w:hAnsi="Times New Roman" w:cs="Times New Roman"/>
        </w:rPr>
        <w:t xml:space="preserve"> </w:t>
      </w:r>
      <w:proofErr w:type="spellStart"/>
      <w:r w:rsidR="00561ED5">
        <w:rPr>
          <w:rFonts w:ascii="Times New Roman" w:hAnsi="Times New Roman" w:cs="Times New Roman"/>
        </w:rPr>
        <w:t>have</w:t>
      </w:r>
      <w:proofErr w:type="spellEnd"/>
      <w:r w:rsidR="00561ED5">
        <w:rPr>
          <w:rFonts w:ascii="Times New Roman" w:hAnsi="Times New Roman" w:cs="Times New Roman"/>
        </w:rPr>
        <w:t xml:space="preserve"> </w:t>
      </w:r>
      <w:proofErr w:type="spellStart"/>
      <w:r w:rsidR="00561ED5">
        <w:rPr>
          <w:rFonts w:ascii="Times New Roman" w:hAnsi="Times New Roman" w:cs="Times New Roman"/>
        </w:rPr>
        <w:t>the</w:t>
      </w:r>
      <w:proofErr w:type="spellEnd"/>
      <w:r w:rsidR="00561ED5">
        <w:rPr>
          <w:rFonts w:ascii="Times New Roman" w:hAnsi="Times New Roman" w:cs="Times New Roman"/>
        </w:rPr>
        <w:t xml:space="preserve"> “</w:t>
      </w:r>
      <w:proofErr w:type="spellStart"/>
      <w:r w:rsidR="00561ED5">
        <w:rPr>
          <w:rFonts w:ascii="Times New Roman" w:hAnsi="Times New Roman" w:cs="Times New Roman"/>
        </w:rPr>
        <w:t>just</w:t>
      </w:r>
      <w:proofErr w:type="spellEnd"/>
      <w:r w:rsidR="00561ED5">
        <w:rPr>
          <w:rFonts w:ascii="Times New Roman" w:hAnsi="Times New Roman" w:cs="Times New Roman"/>
        </w:rPr>
        <w:t xml:space="preserve"> </w:t>
      </w:r>
      <w:proofErr w:type="spellStart"/>
      <w:r w:rsidR="00561ED5">
        <w:rPr>
          <w:rFonts w:ascii="Times New Roman" w:hAnsi="Times New Roman" w:cs="Times New Roman"/>
        </w:rPr>
        <w:t>cause</w:t>
      </w:r>
      <w:proofErr w:type="spellEnd"/>
      <w:r w:rsidR="00561ED5">
        <w:rPr>
          <w:rFonts w:ascii="Times New Roman" w:hAnsi="Times New Roman" w:cs="Times New Roman"/>
        </w:rPr>
        <w:t xml:space="preserve">” </w:t>
      </w:r>
      <w:proofErr w:type="spellStart"/>
      <w:r w:rsidR="00561ED5">
        <w:rPr>
          <w:rFonts w:ascii="Times New Roman" w:hAnsi="Times New Roman" w:cs="Times New Roman"/>
        </w:rPr>
        <w:t>to</w:t>
      </w:r>
      <w:proofErr w:type="spellEnd"/>
      <w:r w:rsidR="00561ED5">
        <w:rPr>
          <w:rFonts w:ascii="Times New Roman" w:hAnsi="Times New Roman" w:cs="Times New Roman"/>
        </w:rPr>
        <w:t xml:space="preserve"> </w:t>
      </w:r>
      <w:proofErr w:type="spellStart"/>
      <w:r w:rsidR="00561ED5">
        <w:rPr>
          <w:rFonts w:ascii="Times New Roman" w:hAnsi="Times New Roman" w:cs="Times New Roman"/>
        </w:rPr>
        <w:t>petition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relief</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This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notion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makes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lawsuit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suitable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for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its</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embracement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non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pecuniary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private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benefit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extractions</w:t>
      </w:r>
      <w:proofErr w:type="spellEnd"/>
      <w:r w:rsidRPr="00705170">
        <w:rPr>
          <w:rFonts w:ascii="Times New Roman" w:hAnsi="Times New Roman" w:cs="Times New Roman"/>
        </w:rPr>
        <w:t>.</w:t>
      </w:r>
      <w:r w:rsidR="00087E63">
        <w:rPr>
          <w:rFonts w:ascii="Times New Roman" w:hAnsi="Times New Roman" w:cs="Times New Roman"/>
        </w:rPr>
        <w:t xml:space="preserve"> </w:t>
      </w:r>
      <w:proofErr w:type="spellStart"/>
      <w:r w:rsidR="00087E63">
        <w:rPr>
          <w:rFonts w:ascii="Times New Roman" w:hAnsi="Times New Roman" w:cs="Times New Roman"/>
        </w:rPr>
        <w:t>Accordingly</w:t>
      </w:r>
      <w:proofErr w:type="spellEnd"/>
      <w:r w:rsidR="00087E63">
        <w:rPr>
          <w:rFonts w:ascii="Times New Roman" w:hAnsi="Times New Roman" w:cs="Times New Roman"/>
        </w:rPr>
        <w:t xml:space="preserve">, a </w:t>
      </w:r>
      <w:proofErr w:type="spellStart"/>
      <w:r w:rsidR="00087E63">
        <w:rPr>
          <w:rFonts w:ascii="Times New Roman" w:hAnsi="Times New Roman" w:cs="Times New Roman"/>
        </w:rPr>
        <w:t>minority</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shareholder</w:t>
      </w:r>
      <w:proofErr w:type="spellEnd"/>
      <w:r w:rsidR="00087E63">
        <w:rPr>
          <w:rFonts w:ascii="Times New Roman" w:hAnsi="Times New Roman" w:cs="Times New Roman"/>
        </w:rPr>
        <w:t xml:space="preserve"> can </w:t>
      </w:r>
      <w:proofErr w:type="spellStart"/>
      <w:r w:rsidR="00087E63">
        <w:rPr>
          <w:rFonts w:ascii="Times New Roman" w:hAnsi="Times New Roman" w:cs="Times New Roman"/>
        </w:rPr>
        <w:t>successfully</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petition</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for</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judicial</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dissolution</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due</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to</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non</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pecuniary</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private</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benefit</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extractions</w:t>
      </w:r>
      <w:proofErr w:type="spellEnd"/>
      <w:r w:rsidR="00087E63">
        <w:rPr>
          <w:rFonts w:ascii="Times New Roman" w:hAnsi="Times New Roman" w:cs="Times New Roman"/>
        </w:rPr>
        <w:t xml:space="preserve"> done </w:t>
      </w:r>
      <w:proofErr w:type="spellStart"/>
      <w:r w:rsidR="00087E63">
        <w:rPr>
          <w:rFonts w:ascii="Times New Roman" w:hAnsi="Times New Roman" w:cs="Times New Roman"/>
        </w:rPr>
        <w:t>through</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both</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distorted</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management</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and</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external</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undertaking</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by</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either</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alleging</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that</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influencing</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shareholder’s</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own</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actions</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or</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the</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corporation’s</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inaction</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against</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external</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undertaking</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effects</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the</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corporation</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negatively</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and</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causes</w:t>
      </w:r>
      <w:proofErr w:type="spellEnd"/>
      <w:r w:rsidR="00087E63">
        <w:rPr>
          <w:rFonts w:ascii="Times New Roman" w:hAnsi="Times New Roman" w:cs="Times New Roman"/>
        </w:rPr>
        <w:t xml:space="preserve"> a </w:t>
      </w:r>
      <w:proofErr w:type="spellStart"/>
      <w:r w:rsidR="00087E63">
        <w:rPr>
          <w:rFonts w:ascii="Times New Roman" w:hAnsi="Times New Roman" w:cs="Times New Roman"/>
        </w:rPr>
        <w:t>distorted</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management</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violates</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the</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corporate</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contract</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and</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this</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gives</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the</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necessary</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just</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cause</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for</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dissolution</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and</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alternative</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remedies</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such</w:t>
      </w:r>
      <w:proofErr w:type="spellEnd"/>
      <w:r w:rsidR="00087E63">
        <w:rPr>
          <w:rFonts w:ascii="Times New Roman" w:hAnsi="Times New Roman" w:cs="Times New Roman"/>
        </w:rPr>
        <w:t xml:space="preserve"> as </w:t>
      </w:r>
      <w:proofErr w:type="spellStart"/>
      <w:r w:rsidR="00087E63">
        <w:rPr>
          <w:rFonts w:ascii="Times New Roman" w:hAnsi="Times New Roman" w:cs="Times New Roman"/>
        </w:rPr>
        <w:t>direct</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compensation</w:t>
      </w:r>
      <w:proofErr w:type="spellEnd"/>
      <w:r w:rsidR="00087E63">
        <w:rPr>
          <w:rFonts w:ascii="Times New Roman" w:hAnsi="Times New Roman" w:cs="Times New Roman"/>
        </w:rPr>
        <w:t xml:space="preserve"> as </w:t>
      </w:r>
      <w:proofErr w:type="spellStart"/>
      <w:r w:rsidR="00087E63">
        <w:rPr>
          <w:rFonts w:ascii="Times New Roman" w:hAnsi="Times New Roman" w:cs="Times New Roman"/>
        </w:rPr>
        <w:t>recommended</w:t>
      </w:r>
      <w:proofErr w:type="spellEnd"/>
      <w:r w:rsidR="00087E63">
        <w:rPr>
          <w:rFonts w:ascii="Times New Roman" w:hAnsi="Times New Roman" w:cs="Times New Roman"/>
        </w:rPr>
        <w:t xml:space="preserve"> in </w:t>
      </w:r>
      <w:proofErr w:type="spellStart"/>
      <w:r w:rsidR="00087E63">
        <w:rPr>
          <w:rFonts w:ascii="Times New Roman" w:hAnsi="Times New Roman" w:cs="Times New Roman"/>
        </w:rPr>
        <w:t>this</w:t>
      </w:r>
      <w:proofErr w:type="spellEnd"/>
      <w:r w:rsidR="00087E63">
        <w:rPr>
          <w:rFonts w:ascii="Times New Roman" w:hAnsi="Times New Roman" w:cs="Times New Roman"/>
        </w:rPr>
        <w:t xml:space="preserve"> </w:t>
      </w:r>
      <w:proofErr w:type="spellStart"/>
      <w:r w:rsidR="00087E63">
        <w:rPr>
          <w:rFonts w:ascii="Times New Roman" w:hAnsi="Times New Roman" w:cs="Times New Roman"/>
        </w:rPr>
        <w:t>study</w:t>
      </w:r>
      <w:proofErr w:type="spellEnd"/>
      <w:r w:rsidR="00087E63">
        <w:rPr>
          <w:rFonts w:ascii="Times New Roman" w:hAnsi="Times New Roman" w:cs="Times New Roman"/>
        </w:rPr>
        <w:t>.</w:t>
      </w:r>
    </w:p>
    <w:p w14:paraId="4DB36304" w14:textId="1E337516" w:rsidR="00450834" w:rsidRPr="00705170" w:rsidRDefault="00CC345F" w:rsidP="00512F24">
      <w:pPr>
        <w:spacing w:after="240" w:line="480" w:lineRule="auto"/>
        <w:ind w:firstLine="708"/>
        <w:jc w:val="both"/>
        <w:rPr>
          <w:rFonts w:ascii="Times New Roman" w:hAnsi="Times New Roman" w:cs="Times New Roman"/>
        </w:rPr>
      </w:pPr>
      <w:proofErr w:type="spellStart"/>
      <w:r w:rsidRPr="00705170">
        <w:rPr>
          <w:rFonts w:ascii="Times New Roman" w:hAnsi="Times New Roman" w:cs="Times New Roman"/>
        </w:rPr>
        <w:t>Thirdly</w:t>
      </w:r>
      <w:proofErr w:type="spellEnd"/>
      <w:r w:rsidRPr="00705170">
        <w:rPr>
          <w:rFonts w:ascii="Times New Roman" w:hAnsi="Times New Roman" w:cs="Times New Roman"/>
        </w:rPr>
        <w:t xml:space="preserve">, a </w:t>
      </w:r>
      <w:proofErr w:type="spellStart"/>
      <w:r w:rsidRPr="00705170">
        <w:rPr>
          <w:rFonts w:ascii="Times New Roman" w:hAnsi="Times New Roman" w:cs="Times New Roman"/>
        </w:rPr>
        <w:t>statutory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involuntary</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dissolution</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grounded</w:t>
      </w:r>
      <w:proofErr w:type="spellEnd"/>
      <w:r w:rsidRPr="00705170">
        <w:rPr>
          <w:rFonts w:ascii="Times New Roman" w:hAnsi="Times New Roman" w:cs="Times New Roman"/>
        </w:rPr>
        <w:t xml:space="preserve"> on</w:t>
      </w:r>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just</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cause</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interpreted</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through</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the</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reasonable</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expectations</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standard</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paves</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way</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for</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considering</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non</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pecuniary</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private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benefits</w:t>
      </w:r>
      <w:proofErr w:type="spellEnd"/>
      <w:r w:rsidR="00450834" w:rsidRPr="00705170">
        <w:rPr>
          <w:rFonts w:ascii="Times New Roman" w:hAnsi="Times New Roman" w:cs="Times New Roman"/>
        </w:rPr>
        <w:t xml:space="preserve"> of </w:t>
      </w:r>
      <w:proofErr w:type="spellStart"/>
      <w:r w:rsidR="00450834" w:rsidRPr="00705170">
        <w:rPr>
          <w:rFonts w:ascii="Times New Roman" w:hAnsi="Times New Roman" w:cs="Times New Roman"/>
        </w:rPr>
        <w:t>shareholders</w:t>
      </w:r>
      <w:proofErr w:type="spellEnd"/>
      <w:r w:rsidR="001A3D1E">
        <w:rPr>
          <w:rFonts w:ascii="Times New Roman" w:hAnsi="Times New Roman" w:cs="Times New Roman"/>
        </w:rPr>
        <w:t xml:space="preserve"> </w:t>
      </w:r>
      <w:proofErr w:type="spellStart"/>
      <w:r w:rsidR="001A3D1E">
        <w:rPr>
          <w:rFonts w:ascii="Times New Roman" w:hAnsi="Times New Roman" w:cs="Times New Roman"/>
        </w:rPr>
        <w:t>more</w:t>
      </w:r>
      <w:proofErr w:type="spellEnd"/>
      <w:r w:rsidR="001A3D1E">
        <w:rPr>
          <w:rFonts w:ascii="Times New Roman" w:hAnsi="Times New Roman" w:cs="Times New Roman"/>
        </w:rPr>
        <w:t xml:space="preserve"> </w:t>
      </w:r>
      <w:proofErr w:type="spellStart"/>
      <w:r w:rsidR="001A3D1E">
        <w:rPr>
          <w:rFonts w:ascii="Times New Roman" w:hAnsi="Times New Roman" w:cs="Times New Roman"/>
        </w:rPr>
        <w:t>than</w:t>
      </w:r>
      <w:proofErr w:type="spellEnd"/>
      <w:r w:rsidR="001A3D1E">
        <w:rPr>
          <w:rFonts w:ascii="Times New Roman" w:hAnsi="Times New Roman" w:cs="Times New Roman"/>
        </w:rPr>
        <w:t xml:space="preserve"> </w:t>
      </w:r>
      <w:proofErr w:type="spellStart"/>
      <w:r w:rsidR="001A3D1E">
        <w:rPr>
          <w:rFonts w:ascii="Times New Roman" w:hAnsi="Times New Roman" w:cs="Times New Roman"/>
        </w:rPr>
        <w:t>the</w:t>
      </w:r>
      <w:proofErr w:type="spellEnd"/>
      <w:r w:rsidR="001A3D1E">
        <w:rPr>
          <w:rFonts w:ascii="Times New Roman" w:hAnsi="Times New Roman" w:cs="Times New Roman"/>
        </w:rPr>
        <w:t xml:space="preserve"> </w:t>
      </w:r>
      <w:proofErr w:type="spellStart"/>
      <w:r w:rsidR="001A3D1E">
        <w:rPr>
          <w:rFonts w:ascii="Times New Roman" w:hAnsi="Times New Roman" w:cs="Times New Roman"/>
        </w:rPr>
        <w:t>current</w:t>
      </w:r>
      <w:proofErr w:type="spellEnd"/>
      <w:r w:rsidR="001A3D1E">
        <w:rPr>
          <w:rFonts w:ascii="Times New Roman" w:hAnsi="Times New Roman" w:cs="Times New Roman"/>
        </w:rPr>
        <w:t xml:space="preserve"> </w:t>
      </w:r>
      <w:proofErr w:type="spellStart"/>
      <w:r w:rsidR="001A3D1E">
        <w:rPr>
          <w:rFonts w:ascii="Times New Roman" w:hAnsi="Times New Roman" w:cs="Times New Roman"/>
        </w:rPr>
        <w:t>standards</w:t>
      </w:r>
      <w:proofErr w:type="spellEnd"/>
      <w:r w:rsidR="00450834" w:rsidRPr="00705170">
        <w:rPr>
          <w:rFonts w:ascii="Times New Roman" w:hAnsi="Times New Roman" w:cs="Times New Roman"/>
        </w:rPr>
        <w:t xml:space="preserve">. </w:t>
      </w:r>
      <w:proofErr w:type="spellStart"/>
      <w:r w:rsidR="001A3D1E">
        <w:rPr>
          <w:rFonts w:ascii="Times New Roman" w:hAnsi="Times New Roman" w:cs="Times New Roman"/>
        </w:rPr>
        <w:t>After</w:t>
      </w:r>
      <w:proofErr w:type="spellEnd"/>
      <w:r w:rsidR="001A3D1E">
        <w:rPr>
          <w:rFonts w:ascii="Times New Roman" w:hAnsi="Times New Roman" w:cs="Times New Roman"/>
        </w:rPr>
        <w:t xml:space="preserve"> </w:t>
      </w:r>
      <w:proofErr w:type="spellStart"/>
      <w:r w:rsidR="001A3D1E">
        <w:rPr>
          <w:rFonts w:ascii="Times New Roman" w:hAnsi="Times New Roman" w:cs="Times New Roman"/>
        </w:rPr>
        <w:t>all</w:t>
      </w:r>
      <w:proofErr w:type="spellEnd"/>
      <w:r w:rsidR="001A3D1E">
        <w:rPr>
          <w:rFonts w:ascii="Times New Roman" w:hAnsi="Times New Roman" w:cs="Times New Roman"/>
        </w:rPr>
        <w:t>, a</w:t>
      </w:r>
      <w:r w:rsidR="00450834" w:rsidRPr="00705170">
        <w:rPr>
          <w:rFonts w:ascii="Times New Roman" w:hAnsi="Times New Roman" w:cs="Times New Roman"/>
        </w:rPr>
        <w:t xml:space="preserve">s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Brenner</w:t>
      </w:r>
      <w:proofErr w:type="spellEnd"/>
      <w:r w:rsidR="00450834" w:rsidRPr="00705170">
        <w:rPr>
          <w:rFonts w:ascii="Times New Roman" w:hAnsi="Times New Roman" w:cs="Times New Roman"/>
        </w:rPr>
        <w:t xml:space="preserve"> v. </w:t>
      </w:r>
      <w:proofErr w:type="spellStart"/>
      <w:r w:rsidR="00450834" w:rsidRPr="00705170">
        <w:rPr>
          <w:rFonts w:ascii="Times New Roman" w:hAnsi="Times New Roman" w:cs="Times New Roman"/>
        </w:rPr>
        <w:t>Berkowitz</w:t>
      </w:r>
      <w:proofErr w:type="spellEnd"/>
      <w:r w:rsidR="00450834" w:rsidRPr="00705170">
        <w:rPr>
          <w:rFonts w:ascii="Times New Roman" w:hAnsi="Times New Roman" w:cs="Times New Roman"/>
        </w:rPr>
        <w:t xml:space="preserve">, 134 N.J. 488 (1993) </w:t>
      </w:r>
      <w:proofErr w:type="spellStart"/>
      <w:r w:rsidR="00450834" w:rsidRPr="00705170">
        <w:rPr>
          <w:rFonts w:ascii="Times New Roman" w:hAnsi="Times New Roman" w:cs="Times New Roman"/>
        </w:rPr>
        <w:t>court</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observed</w:t>
      </w:r>
      <w:proofErr w:type="spellEnd"/>
      <w:r w:rsidR="00450834" w:rsidRPr="00705170">
        <w:rPr>
          <w:rFonts w:ascii="Times New Roman" w:hAnsi="Times New Roman" w:cs="Times New Roman"/>
        </w:rPr>
        <w:t xml:space="preserve">, “in </w:t>
      </w:r>
      <w:proofErr w:type="spellStart"/>
      <w:r w:rsidR="00450834" w:rsidRPr="00705170">
        <w:rPr>
          <w:rFonts w:ascii="Times New Roman" w:hAnsi="Times New Roman" w:cs="Times New Roman"/>
        </w:rPr>
        <w:t>determining</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whether</w:t>
      </w:r>
      <w:proofErr w:type="spellEnd"/>
      <w:r w:rsidR="00450834" w:rsidRPr="00705170">
        <w:rPr>
          <w:rFonts w:ascii="Times New Roman" w:hAnsi="Times New Roman" w:cs="Times New Roman"/>
        </w:rPr>
        <w:t xml:space="preserve"> a </w:t>
      </w:r>
      <w:proofErr w:type="spellStart"/>
      <w:r w:rsidR="00450834" w:rsidRPr="00705170">
        <w:rPr>
          <w:rFonts w:ascii="Times New Roman" w:hAnsi="Times New Roman" w:cs="Times New Roman"/>
        </w:rPr>
        <w:t>shareholder’s</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expectations</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are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reasonable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and</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whether</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corporation</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or</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controlling</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shareholders</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or</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directors</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unreasonably</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thwarted</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them</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courts</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should</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consider</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even</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non</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monetary</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expectations</w:t>
      </w:r>
      <w:proofErr w:type="spellEnd"/>
      <w:r w:rsidR="00450834" w:rsidRPr="00705170">
        <w:rPr>
          <w:rFonts w:ascii="Times New Roman" w:hAnsi="Times New Roman" w:cs="Times New Roman"/>
        </w:rPr>
        <w:t xml:space="preserve"> of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shareholder</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and</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even</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termination</w:t>
      </w:r>
      <w:proofErr w:type="spellEnd"/>
      <w:r w:rsidR="00450834" w:rsidRPr="00705170">
        <w:rPr>
          <w:rFonts w:ascii="Times New Roman" w:hAnsi="Times New Roman" w:cs="Times New Roman"/>
        </w:rPr>
        <w:t xml:space="preserve"> of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employment</w:t>
      </w:r>
      <w:proofErr w:type="spellEnd"/>
      <w:r w:rsidR="00450834" w:rsidRPr="00705170">
        <w:rPr>
          <w:rFonts w:ascii="Times New Roman" w:hAnsi="Times New Roman" w:cs="Times New Roman"/>
        </w:rPr>
        <w:t xml:space="preserve"> of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shareholder’s</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children</w:t>
      </w:r>
      <w:proofErr w:type="spellEnd"/>
      <w:r w:rsidR="00450834" w:rsidRPr="00705170">
        <w:rPr>
          <w:rFonts w:ascii="Times New Roman" w:hAnsi="Times New Roman" w:cs="Times New Roman"/>
        </w:rPr>
        <w:t xml:space="preserve"> in </w:t>
      </w:r>
      <w:proofErr w:type="spellStart"/>
      <w:r w:rsidR="00450834" w:rsidRPr="00705170">
        <w:rPr>
          <w:rFonts w:ascii="Times New Roman" w:hAnsi="Times New Roman" w:cs="Times New Roman"/>
        </w:rPr>
        <w:t>certain</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situations</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may</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consistute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oppressive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conduct</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sufficient</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to</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constitute</w:t>
      </w:r>
      <w:proofErr w:type="spellEnd"/>
      <w:r w:rsidR="00450834" w:rsidRPr="00705170">
        <w:rPr>
          <w:rFonts w:ascii="Times New Roman" w:hAnsi="Times New Roman" w:cs="Times New Roman"/>
        </w:rPr>
        <w:t xml:space="preserve"> a </w:t>
      </w:r>
      <w:proofErr w:type="spellStart"/>
      <w:r w:rsidR="00450834" w:rsidRPr="00705170">
        <w:rPr>
          <w:rFonts w:ascii="Times New Roman" w:hAnsi="Times New Roman" w:cs="Times New Roman"/>
        </w:rPr>
        <w:t>violation</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under</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statute</w:t>
      </w:r>
      <w:proofErr w:type="spellEnd"/>
      <w:r w:rsidR="00450834" w:rsidRPr="00705170">
        <w:rPr>
          <w:rFonts w:ascii="Times New Roman" w:hAnsi="Times New Roman" w:cs="Times New Roman"/>
        </w:rPr>
        <w:t xml:space="preserve">”. </w:t>
      </w:r>
      <w:proofErr w:type="spellStart"/>
      <w:r w:rsidR="0072395F">
        <w:rPr>
          <w:rFonts w:ascii="Times New Roman" w:hAnsi="Times New Roman" w:cs="Times New Roman"/>
        </w:rPr>
        <w:t>Then</w:t>
      </w:r>
      <w:proofErr w:type="spellEnd"/>
      <w:r w:rsidR="0072395F">
        <w:rPr>
          <w:rFonts w:ascii="Times New Roman" w:hAnsi="Times New Roman" w:cs="Times New Roman"/>
        </w:rPr>
        <w:t xml:space="preserve">, </w:t>
      </w:r>
      <w:proofErr w:type="spellStart"/>
      <w:r w:rsidR="0072395F">
        <w:rPr>
          <w:rFonts w:ascii="Times New Roman" w:hAnsi="Times New Roman" w:cs="Times New Roman"/>
        </w:rPr>
        <w:t>j</w:t>
      </w:r>
      <w:r w:rsidR="00450834" w:rsidRPr="00705170">
        <w:rPr>
          <w:rFonts w:ascii="Times New Roman" w:hAnsi="Times New Roman" w:cs="Times New Roman"/>
        </w:rPr>
        <w:t>ust</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like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oppression</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doctrine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considers</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non</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pecuniary</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private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benefits</w:t>
      </w:r>
      <w:proofErr w:type="spellEnd"/>
      <w:r w:rsidR="00450834" w:rsidRPr="00705170">
        <w:rPr>
          <w:rFonts w:ascii="Times New Roman" w:hAnsi="Times New Roman" w:cs="Times New Roman"/>
        </w:rPr>
        <w:t xml:space="preserve"> o</w:t>
      </w:r>
      <w:r w:rsidRPr="00705170">
        <w:rPr>
          <w:rFonts w:ascii="Times New Roman" w:hAnsi="Times New Roman" w:cs="Times New Roman"/>
        </w:rPr>
        <w:t xml:space="preserve">f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dissenting</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shareholder</w:t>
      </w:r>
      <w:proofErr w:type="spellEnd"/>
      <w:r w:rsidR="0072395F">
        <w:rPr>
          <w:rFonts w:ascii="Times New Roman" w:hAnsi="Times New Roman" w:cs="Times New Roman"/>
        </w:rPr>
        <w:t xml:space="preserve"> </w:t>
      </w:r>
      <w:proofErr w:type="spellStart"/>
      <w:r w:rsidR="0072395F">
        <w:rPr>
          <w:rFonts w:ascii="Times New Roman" w:hAnsi="Times New Roman" w:cs="Times New Roman"/>
        </w:rPr>
        <w:t>through</w:t>
      </w:r>
      <w:proofErr w:type="spellEnd"/>
      <w:r w:rsidR="0072395F">
        <w:rPr>
          <w:rFonts w:ascii="Times New Roman" w:hAnsi="Times New Roman" w:cs="Times New Roman"/>
        </w:rPr>
        <w:t xml:space="preserve"> </w:t>
      </w:r>
      <w:proofErr w:type="spellStart"/>
      <w:r w:rsidR="0072395F">
        <w:rPr>
          <w:rFonts w:ascii="Times New Roman" w:hAnsi="Times New Roman" w:cs="Times New Roman"/>
        </w:rPr>
        <w:t>the</w:t>
      </w:r>
      <w:proofErr w:type="spellEnd"/>
      <w:r w:rsidR="0072395F">
        <w:rPr>
          <w:rFonts w:ascii="Times New Roman" w:hAnsi="Times New Roman" w:cs="Times New Roman"/>
        </w:rPr>
        <w:t xml:space="preserve"> </w:t>
      </w:r>
      <w:proofErr w:type="spellStart"/>
      <w:r w:rsidR="0072395F">
        <w:rPr>
          <w:rFonts w:ascii="Times New Roman" w:hAnsi="Times New Roman" w:cs="Times New Roman"/>
        </w:rPr>
        <w:t>reasonable</w:t>
      </w:r>
      <w:proofErr w:type="spellEnd"/>
      <w:r w:rsidR="0072395F">
        <w:rPr>
          <w:rFonts w:ascii="Times New Roman" w:hAnsi="Times New Roman" w:cs="Times New Roman"/>
        </w:rPr>
        <w:t xml:space="preserve"> </w:t>
      </w:r>
      <w:proofErr w:type="spellStart"/>
      <w:r w:rsidR="0072395F">
        <w:rPr>
          <w:rFonts w:ascii="Times New Roman" w:hAnsi="Times New Roman" w:cs="Times New Roman"/>
        </w:rPr>
        <w:t>expectations</w:t>
      </w:r>
      <w:proofErr w:type="spellEnd"/>
      <w:r w:rsidR="0072395F">
        <w:rPr>
          <w:rFonts w:ascii="Times New Roman" w:hAnsi="Times New Roman" w:cs="Times New Roman"/>
        </w:rPr>
        <w:t xml:space="preserve"> </w:t>
      </w:r>
      <w:proofErr w:type="spellStart"/>
      <w:r w:rsidR="0072395F">
        <w:rPr>
          <w:rFonts w:ascii="Times New Roman" w:hAnsi="Times New Roman" w:cs="Times New Roman"/>
        </w:rPr>
        <w:t>standard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the</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wider</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concept</w:t>
      </w:r>
      <w:proofErr w:type="spellEnd"/>
      <w:r w:rsidRPr="00705170">
        <w:rPr>
          <w:rFonts w:ascii="Times New Roman" w:hAnsi="Times New Roman" w:cs="Times New Roman"/>
        </w:rPr>
        <w:t xml:space="preserve"> of “</w:t>
      </w:r>
      <w:proofErr w:type="spellStart"/>
      <w:r w:rsidRPr="00705170">
        <w:rPr>
          <w:rFonts w:ascii="Times New Roman" w:hAnsi="Times New Roman" w:cs="Times New Roman"/>
        </w:rPr>
        <w:t>just</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causes</w:t>
      </w:r>
      <w:proofErr w:type="spellEnd"/>
      <w:r w:rsidRPr="00705170">
        <w:rPr>
          <w:rFonts w:ascii="Times New Roman" w:hAnsi="Times New Roman" w:cs="Times New Roman"/>
        </w:rPr>
        <w:t>”</w:t>
      </w:r>
      <w:r w:rsidR="00450834" w:rsidRPr="00705170">
        <w:rPr>
          <w:rFonts w:ascii="Times New Roman" w:hAnsi="Times New Roman" w:cs="Times New Roman"/>
        </w:rPr>
        <w:t xml:space="preserve"> can </w:t>
      </w:r>
      <w:proofErr w:type="spellStart"/>
      <w:r w:rsidR="00450834" w:rsidRPr="00705170">
        <w:rPr>
          <w:rFonts w:ascii="Times New Roman" w:hAnsi="Times New Roman" w:cs="Times New Roman"/>
        </w:rPr>
        <w:t>equally</w:t>
      </w:r>
      <w:proofErr w:type="spellEnd"/>
      <w:r w:rsidR="00450834" w:rsidRPr="00705170">
        <w:rPr>
          <w:rFonts w:ascii="Times New Roman" w:hAnsi="Times New Roman" w:cs="Times New Roman"/>
        </w:rPr>
        <w:t xml:space="preserve"> </w:t>
      </w:r>
      <w:proofErr w:type="spellStart"/>
      <w:r w:rsidRPr="00705170">
        <w:rPr>
          <w:rFonts w:ascii="Times New Roman" w:hAnsi="Times New Roman" w:cs="Times New Roman"/>
        </w:rPr>
        <w:t>and</w:t>
      </w:r>
      <w:proofErr w:type="spellEnd"/>
      <w:r w:rsidRPr="00705170">
        <w:rPr>
          <w:rFonts w:ascii="Times New Roman" w:hAnsi="Times New Roman" w:cs="Times New Roman"/>
        </w:rPr>
        <w:t xml:space="preserve"> </w:t>
      </w:r>
      <w:proofErr w:type="spellStart"/>
      <w:r w:rsidRPr="00705170">
        <w:rPr>
          <w:rFonts w:ascii="Times New Roman" w:hAnsi="Times New Roman" w:cs="Times New Roman"/>
        </w:rPr>
        <w:t>easily</w:t>
      </w:r>
      <w:proofErr w:type="spellEnd"/>
      <w:r w:rsidRPr="00705170">
        <w:rPr>
          <w:rFonts w:ascii="Times New Roman" w:hAnsi="Times New Roman" w:cs="Times New Roman"/>
        </w:rPr>
        <w:t xml:space="preserve"> </w:t>
      </w:r>
      <w:proofErr w:type="spellStart"/>
      <w:r w:rsidR="00450834" w:rsidRPr="00705170">
        <w:rPr>
          <w:rFonts w:ascii="Times New Roman" w:hAnsi="Times New Roman" w:cs="Times New Roman"/>
        </w:rPr>
        <w:t>consider</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non</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pecuniary</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private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benefits</w:t>
      </w:r>
      <w:proofErr w:type="spellEnd"/>
      <w:r w:rsidR="00450834" w:rsidRPr="00705170">
        <w:rPr>
          <w:rFonts w:ascii="Times New Roman" w:hAnsi="Times New Roman" w:cs="Times New Roman"/>
        </w:rPr>
        <w:t xml:space="preserve"> of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Pr="00705170">
        <w:rPr>
          <w:rFonts w:ascii="Times New Roman" w:hAnsi="Times New Roman" w:cs="Times New Roman"/>
        </w:rPr>
        <w:t>abusing</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shareholder</w:t>
      </w:r>
      <w:proofErr w:type="spellEnd"/>
      <w:r w:rsidR="00450834" w:rsidRPr="00705170">
        <w:rPr>
          <w:rFonts w:ascii="Times New Roman" w:hAnsi="Times New Roman" w:cs="Times New Roman"/>
        </w:rPr>
        <w:t xml:space="preserve"> in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determination</w:t>
      </w:r>
      <w:proofErr w:type="spellEnd"/>
      <w:r w:rsidR="00450834" w:rsidRPr="00705170">
        <w:rPr>
          <w:rFonts w:ascii="Times New Roman" w:hAnsi="Times New Roman" w:cs="Times New Roman"/>
        </w:rPr>
        <w:t xml:space="preserve"> of </w:t>
      </w:r>
      <w:proofErr w:type="spellStart"/>
      <w:r w:rsidR="00450834" w:rsidRPr="00705170">
        <w:rPr>
          <w:rFonts w:ascii="Times New Roman" w:hAnsi="Times New Roman" w:cs="Times New Roman"/>
        </w:rPr>
        <w:t>the</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conduct</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that</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consitutes</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just</w:t>
      </w:r>
      <w:proofErr w:type="spellEnd"/>
      <w:r w:rsidR="00450834" w:rsidRPr="00705170">
        <w:rPr>
          <w:rFonts w:ascii="Times New Roman" w:hAnsi="Times New Roman" w:cs="Times New Roman"/>
        </w:rPr>
        <w:t xml:space="preserve"> </w:t>
      </w:r>
      <w:proofErr w:type="spellStart"/>
      <w:r w:rsidR="00450834" w:rsidRPr="00705170">
        <w:rPr>
          <w:rFonts w:ascii="Times New Roman" w:hAnsi="Times New Roman" w:cs="Times New Roman"/>
        </w:rPr>
        <w:t>cause</w:t>
      </w:r>
      <w:proofErr w:type="spellEnd"/>
      <w:r w:rsidR="00450834" w:rsidRPr="00705170">
        <w:rPr>
          <w:rFonts w:ascii="Times New Roman" w:hAnsi="Times New Roman" w:cs="Times New Roman"/>
        </w:rPr>
        <w:t>”.</w:t>
      </w:r>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The</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reasonable</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expectations</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standard</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by</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covering</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all</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the</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rights</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expectations</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and</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basic</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principles</w:t>
      </w:r>
      <w:proofErr w:type="spellEnd"/>
      <w:r w:rsidR="00536DC8" w:rsidRPr="00705170">
        <w:rPr>
          <w:rFonts w:ascii="Times New Roman" w:hAnsi="Times New Roman" w:cs="Times New Roman"/>
        </w:rPr>
        <w:t xml:space="preserve"> of </w:t>
      </w:r>
      <w:proofErr w:type="spellStart"/>
      <w:r w:rsidR="00536DC8" w:rsidRPr="00705170">
        <w:rPr>
          <w:rFonts w:ascii="Times New Roman" w:hAnsi="Times New Roman" w:cs="Times New Roman"/>
        </w:rPr>
        <w:t>the</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corporate</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and</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securities</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laws</w:t>
      </w:r>
      <w:proofErr w:type="spellEnd"/>
      <w:r w:rsidR="00536DC8" w:rsidRPr="00705170">
        <w:rPr>
          <w:rStyle w:val="DipnotBavurusu"/>
          <w:rFonts w:ascii="Times New Roman" w:hAnsi="Times New Roman" w:cs="Times New Roman"/>
        </w:rPr>
        <w:footnoteReference w:id="1002"/>
      </w:r>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gives</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the</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lastRenderedPageBreak/>
        <w:t>petitioner</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the</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opportunity</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to</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demand</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relief</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against</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conduct</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which</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otherwise</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will</w:t>
      </w:r>
      <w:proofErr w:type="spellEnd"/>
      <w:r w:rsidR="00536DC8" w:rsidRPr="00705170">
        <w:rPr>
          <w:rFonts w:ascii="Times New Roman" w:hAnsi="Times New Roman" w:cs="Times New Roman"/>
        </w:rPr>
        <w:t xml:space="preserve"> not be </w:t>
      </w:r>
      <w:proofErr w:type="spellStart"/>
      <w:r w:rsidR="00536DC8" w:rsidRPr="00705170">
        <w:rPr>
          <w:rFonts w:ascii="Times New Roman" w:hAnsi="Times New Roman" w:cs="Times New Roman"/>
        </w:rPr>
        <w:t>covered</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by</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any</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statutory</w:t>
      </w:r>
      <w:proofErr w:type="spellEnd"/>
      <w:r w:rsidR="00536DC8" w:rsidRPr="00705170">
        <w:rPr>
          <w:rFonts w:ascii="Times New Roman" w:hAnsi="Times New Roman" w:cs="Times New Roman"/>
        </w:rPr>
        <w:t xml:space="preserve"> </w:t>
      </w:r>
      <w:proofErr w:type="spellStart"/>
      <w:r w:rsidR="00536DC8" w:rsidRPr="00705170">
        <w:rPr>
          <w:rFonts w:ascii="Times New Roman" w:hAnsi="Times New Roman" w:cs="Times New Roman"/>
        </w:rPr>
        <w:t>remedy</w:t>
      </w:r>
      <w:proofErr w:type="spellEnd"/>
      <w:r w:rsidR="00536DC8" w:rsidRPr="00705170">
        <w:rPr>
          <w:rFonts w:ascii="Times New Roman" w:hAnsi="Times New Roman" w:cs="Times New Roman"/>
        </w:rPr>
        <w:t>.</w:t>
      </w:r>
    </w:p>
    <w:p w14:paraId="00F708B7" w14:textId="371F9872" w:rsidR="005C5747" w:rsidRPr="00705170" w:rsidRDefault="00C01441" w:rsidP="00512F24">
      <w:pPr>
        <w:spacing w:after="240" w:line="480" w:lineRule="auto"/>
        <w:ind w:firstLine="708"/>
        <w:jc w:val="both"/>
        <w:rPr>
          <w:rFonts w:ascii="Times New Roman" w:hAnsi="Times New Roman" w:cs="Times New Roman"/>
          <w:b/>
        </w:rPr>
      </w:pPr>
      <w:r>
        <w:rPr>
          <w:rFonts w:ascii="Times New Roman" w:hAnsi="Times New Roman" w:cs="Times New Roman"/>
          <w:b/>
        </w:rPr>
        <w:t>5</w:t>
      </w:r>
      <w:r w:rsidR="003C4F4D">
        <w:rPr>
          <w:rFonts w:ascii="Times New Roman" w:hAnsi="Times New Roman" w:cs="Times New Roman"/>
          <w:b/>
        </w:rPr>
        <w:t>.7</w:t>
      </w:r>
      <w:r w:rsidR="0084032C" w:rsidRPr="00705170">
        <w:rPr>
          <w:rFonts w:ascii="Times New Roman" w:hAnsi="Times New Roman" w:cs="Times New Roman"/>
          <w:b/>
        </w:rPr>
        <w:t xml:space="preserve">. </w:t>
      </w:r>
      <w:proofErr w:type="spellStart"/>
      <w:r w:rsidR="0084032C" w:rsidRPr="00705170">
        <w:rPr>
          <w:rFonts w:ascii="Times New Roman" w:hAnsi="Times New Roman" w:cs="Times New Roman"/>
          <w:b/>
        </w:rPr>
        <w:t>Conclusion</w:t>
      </w:r>
      <w:proofErr w:type="spellEnd"/>
    </w:p>
    <w:p w14:paraId="640D24C3" w14:textId="651B3250" w:rsidR="008D18E5" w:rsidRDefault="0072395F" w:rsidP="004C421B">
      <w:pPr>
        <w:spacing w:after="240" w:line="48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judicial</w:t>
      </w:r>
      <w:proofErr w:type="spellEnd"/>
      <w:r>
        <w:rPr>
          <w:rFonts w:ascii="Times New Roman" w:hAnsi="Times New Roman" w:cs="Times New Roman"/>
        </w:rPr>
        <w:t xml:space="preserve"> </w:t>
      </w:r>
      <w:proofErr w:type="spellStart"/>
      <w:r>
        <w:rPr>
          <w:rFonts w:ascii="Times New Roman" w:hAnsi="Times New Roman" w:cs="Times New Roman"/>
        </w:rPr>
        <w:t>dissolution</w:t>
      </w:r>
      <w:proofErr w:type="spellEnd"/>
      <w:r>
        <w:rPr>
          <w:rFonts w:ascii="Times New Roman" w:hAnsi="Times New Roman" w:cs="Times New Roman"/>
        </w:rPr>
        <w:t xml:space="preserve"> </w:t>
      </w:r>
      <w:proofErr w:type="spellStart"/>
      <w:r>
        <w:rPr>
          <w:rFonts w:ascii="Times New Roman" w:hAnsi="Times New Roman" w:cs="Times New Roman"/>
        </w:rPr>
        <w:t>action</w:t>
      </w:r>
      <w:proofErr w:type="spellEnd"/>
      <w:r>
        <w:rPr>
          <w:rFonts w:ascii="Times New Roman" w:hAnsi="Times New Roman" w:cs="Times New Roman"/>
        </w:rPr>
        <w:t xml:space="preserve"> </w:t>
      </w:r>
      <w:proofErr w:type="spellStart"/>
      <w:r>
        <w:rPr>
          <w:rFonts w:ascii="Times New Roman" w:hAnsi="Times New Roman" w:cs="Times New Roman"/>
        </w:rPr>
        <w:t>under</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law</w:t>
      </w:r>
      <w:proofErr w:type="spellEnd"/>
      <w:r>
        <w:rPr>
          <w:rFonts w:ascii="Times New Roman" w:hAnsi="Times New Roman" w:cs="Times New Roman"/>
        </w:rPr>
        <w:t xml:space="preserve"> </w:t>
      </w:r>
      <w:proofErr w:type="spellStart"/>
      <w:r>
        <w:rPr>
          <w:rFonts w:ascii="Times New Roman" w:hAnsi="Times New Roman" w:cs="Times New Roman"/>
        </w:rPr>
        <w:t>represents</w:t>
      </w:r>
      <w:proofErr w:type="spellEnd"/>
      <w:r>
        <w:rPr>
          <w:rFonts w:ascii="Times New Roman" w:hAnsi="Times New Roman" w:cs="Times New Roman"/>
        </w:rPr>
        <w:t xml:space="preserve"> an </w:t>
      </w:r>
      <w:proofErr w:type="spellStart"/>
      <w:r>
        <w:rPr>
          <w:rFonts w:ascii="Times New Roman" w:hAnsi="Times New Roman" w:cs="Times New Roman"/>
        </w:rPr>
        <w:t>important</w:t>
      </w:r>
      <w:proofErr w:type="spellEnd"/>
      <w:r>
        <w:rPr>
          <w:rFonts w:ascii="Times New Roman" w:hAnsi="Times New Roman" w:cs="Times New Roman"/>
        </w:rPr>
        <w:t xml:space="preserve"> </w:t>
      </w:r>
      <w:proofErr w:type="spellStart"/>
      <w:r>
        <w:rPr>
          <w:rFonts w:ascii="Times New Roman" w:hAnsi="Times New Roman" w:cs="Times New Roman"/>
        </w:rPr>
        <w:t>feature</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TCC. </w:t>
      </w:r>
      <w:proofErr w:type="spellStart"/>
      <w:r>
        <w:rPr>
          <w:rFonts w:ascii="Times New Roman" w:hAnsi="Times New Roman" w:cs="Times New Roman"/>
        </w:rPr>
        <w:t>Still</w:t>
      </w:r>
      <w:proofErr w:type="spellEnd"/>
      <w:r>
        <w:rPr>
          <w:rFonts w:ascii="Times New Roman" w:hAnsi="Times New Roman" w:cs="Times New Roman"/>
        </w:rPr>
        <w:t xml:space="preserve">, as it is </w:t>
      </w:r>
      <w:proofErr w:type="spellStart"/>
      <w:r>
        <w:rPr>
          <w:rFonts w:ascii="Times New Roman" w:hAnsi="Times New Roman" w:cs="Times New Roman"/>
        </w:rPr>
        <w:t>shown</w:t>
      </w:r>
      <w:proofErr w:type="spellEnd"/>
      <w:r>
        <w:rPr>
          <w:rFonts w:ascii="Times New Roman" w:hAnsi="Times New Roman" w:cs="Times New Roman"/>
        </w:rPr>
        <w:t xml:space="preserve"> in </w:t>
      </w:r>
      <w:proofErr w:type="spellStart"/>
      <w:r>
        <w:rPr>
          <w:rFonts w:ascii="Times New Roman" w:hAnsi="Times New Roman" w:cs="Times New Roman"/>
        </w:rPr>
        <w:t>this</w:t>
      </w:r>
      <w:proofErr w:type="spellEnd"/>
      <w:r>
        <w:rPr>
          <w:rFonts w:ascii="Times New Roman" w:hAnsi="Times New Roman" w:cs="Times New Roman"/>
        </w:rPr>
        <w:t xml:space="preserve"> </w:t>
      </w:r>
      <w:proofErr w:type="spellStart"/>
      <w:r>
        <w:rPr>
          <w:rFonts w:ascii="Times New Roman" w:hAnsi="Times New Roman" w:cs="Times New Roman"/>
        </w:rPr>
        <w:t>Chapter</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law’s</w:t>
      </w:r>
      <w:proofErr w:type="spellEnd"/>
      <w:r>
        <w:rPr>
          <w:rFonts w:ascii="Times New Roman" w:hAnsi="Times New Roman" w:cs="Times New Roman"/>
        </w:rPr>
        <w:t xml:space="preserve"> </w:t>
      </w:r>
      <w:proofErr w:type="spellStart"/>
      <w:r>
        <w:rPr>
          <w:rFonts w:ascii="Times New Roman" w:hAnsi="Times New Roman" w:cs="Times New Roman"/>
        </w:rPr>
        <w:t>judicial</w:t>
      </w:r>
      <w:proofErr w:type="spellEnd"/>
      <w:r>
        <w:rPr>
          <w:rFonts w:ascii="Times New Roman" w:hAnsi="Times New Roman" w:cs="Times New Roman"/>
        </w:rPr>
        <w:t xml:space="preserve"> </w:t>
      </w:r>
      <w:proofErr w:type="spellStart"/>
      <w:r>
        <w:rPr>
          <w:rFonts w:ascii="Times New Roman" w:hAnsi="Times New Roman" w:cs="Times New Roman"/>
        </w:rPr>
        <w:t>dissolution</w:t>
      </w:r>
      <w:proofErr w:type="spellEnd"/>
      <w:r>
        <w:rPr>
          <w:rFonts w:ascii="Times New Roman" w:hAnsi="Times New Roman" w:cs="Times New Roman"/>
        </w:rPr>
        <w:t xml:space="preserve"> </w:t>
      </w:r>
      <w:proofErr w:type="spellStart"/>
      <w:r>
        <w:rPr>
          <w:rFonts w:ascii="Times New Roman" w:hAnsi="Times New Roman" w:cs="Times New Roman"/>
        </w:rPr>
        <w:t>statute</w:t>
      </w:r>
      <w:proofErr w:type="spellEnd"/>
      <w:r>
        <w:rPr>
          <w:rFonts w:ascii="Times New Roman" w:hAnsi="Times New Roman" w:cs="Times New Roman"/>
        </w:rPr>
        <w:t xml:space="preserve"> </w:t>
      </w:r>
      <w:proofErr w:type="spellStart"/>
      <w:r>
        <w:rPr>
          <w:rFonts w:ascii="Times New Roman" w:hAnsi="Times New Roman" w:cs="Times New Roman"/>
        </w:rPr>
        <w:t>presents</w:t>
      </w:r>
      <w:proofErr w:type="spellEnd"/>
      <w:r>
        <w:rPr>
          <w:rFonts w:ascii="Times New Roman" w:hAnsi="Times New Roman" w:cs="Times New Roman"/>
        </w:rPr>
        <w:t xml:space="preserve"> </w:t>
      </w:r>
      <w:proofErr w:type="spellStart"/>
      <w:r>
        <w:rPr>
          <w:rFonts w:ascii="Times New Roman" w:hAnsi="Times New Roman" w:cs="Times New Roman"/>
        </w:rPr>
        <w:t>unique</w:t>
      </w:r>
      <w:proofErr w:type="spellEnd"/>
      <w:r>
        <w:rPr>
          <w:rFonts w:ascii="Times New Roman" w:hAnsi="Times New Roman" w:cs="Times New Roman"/>
        </w:rPr>
        <w:t xml:space="preserve"> </w:t>
      </w:r>
      <w:proofErr w:type="spellStart"/>
      <w:r>
        <w:rPr>
          <w:rFonts w:ascii="Times New Roman" w:hAnsi="Times New Roman" w:cs="Times New Roman"/>
        </w:rPr>
        <w:t>problems</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current</w:t>
      </w:r>
      <w:proofErr w:type="spellEnd"/>
      <w:r>
        <w:rPr>
          <w:rFonts w:ascii="Times New Roman" w:hAnsi="Times New Roman" w:cs="Times New Roman"/>
        </w:rPr>
        <w:t xml:space="preserve"> </w:t>
      </w:r>
      <w:proofErr w:type="spellStart"/>
      <w:r>
        <w:rPr>
          <w:rFonts w:ascii="Times New Roman" w:hAnsi="Times New Roman" w:cs="Times New Roman"/>
        </w:rPr>
        <w:t>structure</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TCC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law</w:t>
      </w:r>
      <w:proofErr w:type="spellEnd"/>
      <w:r>
        <w:rPr>
          <w:rFonts w:ascii="Times New Roman" w:hAnsi="Times New Roman" w:cs="Times New Roman"/>
        </w:rPr>
        <w:t xml:space="preserve"> in general. </w:t>
      </w:r>
      <w:proofErr w:type="spellStart"/>
      <w:r>
        <w:rPr>
          <w:rFonts w:ascii="Times New Roman" w:hAnsi="Times New Roman" w:cs="Times New Roman"/>
        </w:rPr>
        <w:t>Despite</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evaluations</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commentators</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origin</w:t>
      </w:r>
      <w:proofErr w:type="spellEnd"/>
      <w:r>
        <w:rPr>
          <w:rFonts w:ascii="Times New Roman" w:hAnsi="Times New Roman" w:cs="Times New Roman"/>
        </w:rPr>
        <w:t xml:space="preserve"> </w:t>
      </w:r>
      <w:proofErr w:type="spellStart"/>
      <w:r>
        <w:rPr>
          <w:rFonts w:ascii="Times New Roman" w:hAnsi="Times New Roman" w:cs="Times New Roman"/>
        </w:rPr>
        <w:t>Swiss</w:t>
      </w:r>
      <w:proofErr w:type="spellEnd"/>
      <w:r>
        <w:rPr>
          <w:rFonts w:ascii="Times New Roman" w:hAnsi="Times New Roman" w:cs="Times New Roman"/>
        </w:rPr>
        <w:t xml:space="preserve"> </w:t>
      </w:r>
      <w:proofErr w:type="spellStart"/>
      <w:r>
        <w:rPr>
          <w:rFonts w:ascii="Times New Roman" w:hAnsi="Times New Roman" w:cs="Times New Roman"/>
        </w:rPr>
        <w:t>case</w:t>
      </w:r>
      <w:proofErr w:type="spellEnd"/>
      <w:r>
        <w:rPr>
          <w:rFonts w:ascii="Times New Roman" w:hAnsi="Times New Roman" w:cs="Times New Roman"/>
        </w:rPr>
        <w:t xml:space="preserve"> </w:t>
      </w:r>
      <w:proofErr w:type="spellStart"/>
      <w:r>
        <w:rPr>
          <w:rFonts w:ascii="Times New Roman" w:hAnsi="Times New Roman" w:cs="Times New Roman"/>
        </w:rPr>
        <w:t>law’s</w:t>
      </w:r>
      <w:proofErr w:type="spellEnd"/>
      <w:r>
        <w:rPr>
          <w:rFonts w:ascii="Times New Roman" w:hAnsi="Times New Roman" w:cs="Times New Roman"/>
        </w:rPr>
        <w:t xml:space="preserve"> </w:t>
      </w:r>
      <w:proofErr w:type="spellStart"/>
      <w:r>
        <w:rPr>
          <w:rFonts w:ascii="Times New Roman" w:hAnsi="Times New Roman" w:cs="Times New Roman"/>
        </w:rPr>
        <w:t>help</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law</w:t>
      </w:r>
      <w:proofErr w:type="spellEnd"/>
      <w:r>
        <w:rPr>
          <w:rFonts w:ascii="Times New Roman" w:hAnsi="Times New Roman" w:cs="Times New Roman"/>
        </w:rPr>
        <w:t xml:space="preserve"> has not yet </w:t>
      </w:r>
      <w:proofErr w:type="spellStart"/>
      <w:r>
        <w:rPr>
          <w:rFonts w:ascii="Times New Roman" w:hAnsi="Times New Roman" w:cs="Times New Roman"/>
        </w:rPr>
        <w:t>developed</w:t>
      </w:r>
      <w:proofErr w:type="spellEnd"/>
      <w:r>
        <w:rPr>
          <w:rFonts w:ascii="Times New Roman" w:hAnsi="Times New Roman" w:cs="Times New Roman"/>
        </w:rPr>
        <w:t xml:space="preserve"> </w:t>
      </w:r>
      <w:proofErr w:type="spellStart"/>
      <w:r>
        <w:rPr>
          <w:rFonts w:ascii="Times New Roman" w:hAnsi="Times New Roman" w:cs="Times New Roman"/>
        </w:rPr>
        <w:t>its</w:t>
      </w:r>
      <w:proofErr w:type="spellEnd"/>
      <w:r>
        <w:rPr>
          <w:rFonts w:ascii="Times New Roman" w:hAnsi="Times New Roman" w:cs="Times New Roman"/>
        </w:rPr>
        <w:t xml:space="preserve"> </w:t>
      </w:r>
      <w:proofErr w:type="spellStart"/>
      <w:r>
        <w:rPr>
          <w:rFonts w:ascii="Times New Roman" w:hAnsi="Times New Roman" w:cs="Times New Roman"/>
        </w:rPr>
        <w:t>own</w:t>
      </w:r>
      <w:proofErr w:type="spellEnd"/>
      <w:r>
        <w:rPr>
          <w:rFonts w:ascii="Times New Roman" w:hAnsi="Times New Roman" w:cs="Times New Roman"/>
        </w:rPr>
        <w:t xml:space="preserve"> </w:t>
      </w:r>
      <w:proofErr w:type="spellStart"/>
      <w:r>
        <w:rPr>
          <w:rFonts w:ascii="Times New Roman" w:hAnsi="Times New Roman" w:cs="Times New Roman"/>
        </w:rPr>
        <w:t>way</w:t>
      </w:r>
      <w:proofErr w:type="spellEnd"/>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dealing</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provision</w:t>
      </w:r>
      <w:proofErr w:type="spellEnd"/>
      <w:r w:rsidR="007231B5">
        <w:rPr>
          <w:rStyle w:val="DipnotBavurusu"/>
          <w:rFonts w:ascii="Times New Roman" w:hAnsi="Times New Roman" w:cs="Times New Roman"/>
        </w:rPr>
        <w:footnoteReference w:id="1003"/>
      </w:r>
      <w:r>
        <w:rPr>
          <w:rFonts w:ascii="Times New Roman" w:hAnsi="Times New Roman" w:cs="Times New Roman"/>
        </w:rPr>
        <w:t xml:space="preserve">. </w:t>
      </w:r>
      <w:proofErr w:type="spellStart"/>
      <w:r w:rsidR="00170DBD">
        <w:rPr>
          <w:rFonts w:ascii="Times New Roman" w:hAnsi="Times New Roman" w:cs="Times New Roman"/>
        </w:rPr>
        <w:t>Therefore</w:t>
      </w:r>
      <w:proofErr w:type="spellEnd"/>
      <w:r w:rsidR="00170DBD">
        <w:rPr>
          <w:rFonts w:ascii="Times New Roman" w:hAnsi="Times New Roman" w:cs="Times New Roman"/>
        </w:rPr>
        <w:t xml:space="preserve">, U.S. </w:t>
      </w:r>
      <w:proofErr w:type="spellStart"/>
      <w:r w:rsidR="00170DBD">
        <w:rPr>
          <w:rFonts w:ascii="Times New Roman" w:hAnsi="Times New Roman" w:cs="Times New Roman"/>
        </w:rPr>
        <w:t>law’s</w:t>
      </w:r>
      <w:proofErr w:type="spellEnd"/>
      <w:r w:rsidR="00170DBD">
        <w:rPr>
          <w:rFonts w:ascii="Times New Roman" w:hAnsi="Times New Roman" w:cs="Times New Roman"/>
        </w:rPr>
        <w:t xml:space="preserve"> “</w:t>
      </w:r>
      <w:proofErr w:type="spellStart"/>
      <w:r w:rsidR="00170DBD">
        <w:rPr>
          <w:rFonts w:ascii="Times New Roman" w:hAnsi="Times New Roman" w:cs="Times New Roman"/>
        </w:rPr>
        <w:t>reasonable</w:t>
      </w:r>
      <w:proofErr w:type="spellEnd"/>
      <w:r w:rsidR="00170DBD">
        <w:rPr>
          <w:rFonts w:ascii="Times New Roman" w:hAnsi="Times New Roman" w:cs="Times New Roman"/>
        </w:rPr>
        <w:t xml:space="preserve"> </w:t>
      </w:r>
      <w:proofErr w:type="spellStart"/>
      <w:r w:rsidR="00170DBD">
        <w:rPr>
          <w:rFonts w:ascii="Times New Roman" w:hAnsi="Times New Roman" w:cs="Times New Roman"/>
        </w:rPr>
        <w:t>expectations</w:t>
      </w:r>
      <w:proofErr w:type="spellEnd"/>
      <w:r w:rsidR="00170DBD">
        <w:rPr>
          <w:rFonts w:ascii="Times New Roman" w:hAnsi="Times New Roman" w:cs="Times New Roman"/>
        </w:rPr>
        <w:t xml:space="preserve">” </w:t>
      </w:r>
      <w:proofErr w:type="spellStart"/>
      <w:r w:rsidR="00170DBD">
        <w:rPr>
          <w:rFonts w:ascii="Times New Roman" w:hAnsi="Times New Roman" w:cs="Times New Roman"/>
        </w:rPr>
        <w:t>standard</w:t>
      </w:r>
      <w:proofErr w:type="spellEnd"/>
      <w:r w:rsidR="00170DBD">
        <w:rPr>
          <w:rFonts w:ascii="Times New Roman" w:hAnsi="Times New Roman" w:cs="Times New Roman"/>
        </w:rPr>
        <w:t xml:space="preserve"> can </w:t>
      </w:r>
      <w:proofErr w:type="spellStart"/>
      <w:r w:rsidR="00170DBD">
        <w:rPr>
          <w:rFonts w:ascii="Times New Roman" w:hAnsi="Times New Roman" w:cs="Times New Roman"/>
        </w:rPr>
        <w:t>give</w:t>
      </w:r>
      <w:proofErr w:type="spellEnd"/>
      <w:r w:rsidR="00170DBD">
        <w:rPr>
          <w:rFonts w:ascii="Times New Roman" w:hAnsi="Times New Roman" w:cs="Times New Roman"/>
        </w:rPr>
        <w:t xml:space="preserve"> a </w:t>
      </w:r>
      <w:proofErr w:type="spellStart"/>
      <w:r w:rsidR="00170DBD">
        <w:rPr>
          <w:rFonts w:ascii="Times New Roman" w:hAnsi="Times New Roman" w:cs="Times New Roman"/>
        </w:rPr>
        <w:t>hand</w:t>
      </w:r>
      <w:proofErr w:type="spellEnd"/>
      <w:r w:rsidR="00170DBD">
        <w:rPr>
          <w:rFonts w:ascii="Times New Roman" w:hAnsi="Times New Roman" w:cs="Times New Roman"/>
        </w:rPr>
        <w:t xml:space="preserve"> in </w:t>
      </w:r>
      <w:proofErr w:type="spellStart"/>
      <w:r w:rsidR="00170DBD">
        <w:rPr>
          <w:rFonts w:ascii="Times New Roman" w:hAnsi="Times New Roman" w:cs="Times New Roman"/>
        </w:rPr>
        <w:t>the</w:t>
      </w:r>
      <w:proofErr w:type="spellEnd"/>
      <w:r w:rsidR="00170DBD">
        <w:rPr>
          <w:rFonts w:ascii="Times New Roman" w:hAnsi="Times New Roman" w:cs="Times New Roman"/>
        </w:rPr>
        <w:t xml:space="preserve"> </w:t>
      </w:r>
      <w:proofErr w:type="spellStart"/>
      <w:r w:rsidR="00170DBD">
        <w:rPr>
          <w:rFonts w:ascii="Times New Roman" w:hAnsi="Times New Roman" w:cs="Times New Roman"/>
        </w:rPr>
        <w:t>establishment</w:t>
      </w:r>
      <w:proofErr w:type="spellEnd"/>
      <w:r w:rsidR="00170DBD">
        <w:rPr>
          <w:rFonts w:ascii="Times New Roman" w:hAnsi="Times New Roman" w:cs="Times New Roman"/>
        </w:rPr>
        <w:t xml:space="preserve"> of a legal </w:t>
      </w:r>
      <w:proofErr w:type="spellStart"/>
      <w:r w:rsidR="00170DBD">
        <w:rPr>
          <w:rFonts w:ascii="Times New Roman" w:hAnsi="Times New Roman" w:cs="Times New Roman"/>
        </w:rPr>
        <w:t>approach</w:t>
      </w:r>
      <w:proofErr w:type="spellEnd"/>
      <w:r w:rsidR="00170DBD">
        <w:rPr>
          <w:rFonts w:ascii="Times New Roman" w:hAnsi="Times New Roman" w:cs="Times New Roman"/>
        </w:rPr>
        <w:t xml:space="preserve"> </w:t>
      </w:r>
      <w:proofErr w:type="spellStart"/>
      <w:r w:rsidR="00170DBD">
        <w:rPr>
          <w:rFonts w:ascii="Times New Roman" w:hAnsi="Times New Roman" w:cs="Times New Roman"/>
        </w:rPr>
        <w:t>towards</w:t>
      </w:r>
      <w:proofErr w:type="spellEnd"/>
      <w:r w:rsidR="00170DBD">
        <w:rPr>
          <w:rFonts w:ascii="Times New Roman" w:hAnsi="Times New Roman" w:cs="Times New Roman"/>
        </w:rPr>
        <w:t xml:space="preserve"> </w:t>
      </w:r>
      <w:proofErr w:type="spellStart"/>
      <w:r w:rsidR="00170DBD">
        <w:rPr>
          <w:rFonts w:ascii="Times New Roman" w:hAnsi="Times New Roman" w:cs="Times New Roman"/>
        </w:rPr>
        <w:t>the</w:t>
      </w:r>
      <w:proofErr w:type="spellEnd"/>
      <w:r w:rsidR="00170DBD">
        <w:rPr>
          <w:rFonts w:ascii="Times New Roman" w:hAnsi="Times New Roman" w:cs="Times New Roman"/>
        </w:rPr>
        <w:t xml:space="preserve"> </w:t>
      </w:r>
      <w:proofErr w:type="spellStart"/>
      <w:r w:rsidR="00170DBD">
        <w:rPr>
          <w:rFonts w:ascii="Times New Roman" w:hAnsi="Times New Roman" w:cs="Times New Roman"/>
        </w:rPr>
        <w:t>provision</w:t>
      </w:r>
      <w:proofErr w:type="spellEnd"/>
      <w:r w:rsidR="00170DBD">
        <w:rPr>
          <w:rFonts w:ascii="Times New Roman" w:hAnsi="Times New Roman" w:cs="Times New Roman"/>
        </w:rPr>
        <w:t>.</w:t>
      </w:r>
    </w:p>
    <w:p w14:paraId="187352DB" w14:textId="21C9AEBF" w:rsidR="006809A6" w:rsidRPr="00A337AA" w:rsidRDefault="00170DBD" w:rsidP="00A337AA">
      <w:pPr>
        <w:spacing w:after="240" w:line="480" w:lineRule="auto"/>
        <w:jc w:val="both"/>
        <w:rPr>
          <w:rFonts w:ascii="Times New Roman" w:hAnsi="Times New Roman" w:cs="Times New Roman"/>
        </w:rPr>
      </w:pPr>
      <w:r>
        <w:rPr>
          <w:rFonts w:ascii="Times New Roman" w:hAnsi="Times New Roman" w:cs="Times New Roman"/>
        </w:rPr>
        <w:tab/>
      </w:r>
      <w:proofErr w:type="spellStart"/>
      <w:r w:rsidR="00D72F0B">
        <w:rPr>
          <w:rFonts w:ascii="Times New Roman" w:hAnsi="Times New Roman" w:cs="Times New Roman"/>
        </w:rPr>
        <w:t>Turkish</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judicial</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dissolution</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provision</w:t>
      </w:r>
      <w:proofErr w:type="spellEnd"/>
      <w:r w:rsidR="00D72F0B">
        <w:rPr>
          <w:rFonts w:ascii="Times New Roman" w:hAnsi="Times New Roman" w:cs="Times New Roman"/>
        </w:rPr>
        <w:t xml:space="preserve"> can yet </w:t>
      </w:r>
      <w:proofErr w:type="spellStart"/>
      <w:r w:rsidR="00D72F0B">
        <w:rPr>
          <w:rFonts w:ascii="Times New Roman" w:hAnsi="Times New Roman" w:cs="Times New Roman"/>
        </w:rPr>
        <w:t>play</w:t>
      </w:r>
      <w:proofErr w:type="spellEnd"/>
      <w:r w:rsidR="00D72F0B">
        <w:rPr>
          <w:rFonts w:ascii="Times New Roman" w:hAnsi="Times New Roman" w:cs="Times New Roman"/>
        </w:rPr>
        <w:t xml:space="preserve"> a </w:t>
      </w:r>
      <w:proofErr w:type="spellStart"/>
      <w:r w:rsidR="00D72F0B">
        <w:rPr>
          <w:rFonts w:ascii="Times New Roman" w:hAnsi="Times New Roman" w:cs="Times New Roman"/>
        </w:rPr>
        <w:t>big</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part</w:t>
      </w:r>
      <w:proofErr w:type="spellEnd"/>
      <w:r w:rsidR="00D72F0B">
        <w:rPr>
          <w:rFonts w:ascii="Times New Roman" w:hAnsi="Times New Roman" w:cs="Times New Roman"/>
        </w:rPr>
        <w:t xml:space="preserve"> in </w:t>
      </w:r>
      <w:proofErr w:type="spellStart"/>
      <w:r w:rsidR="00D72F0B">
        <w:rPr>
          <w:rFonts w:ascii="Times New Roman" w:hAnsi="Times New Roman" w:cs="Times New Roman"/>
        </w:rPr>
        <w:t>tracking</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and</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remedying</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influencing</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shareholder’s</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non</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pecuniary</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private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benefit</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extractions</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However</w:t>
      </w:r>
      <w:proofErr w:type="spellEnd"/>
      <w:r w:rsidR="00D72F0B">
        <w:rPr>
          <w:rFonts w:ascii="Times New Roman" w:hAnsi="Times New Roman" w:cs="Times New Roman"/>
        </w:rPr>
        <w:t xml:space="preserve">, in </w:t>
      </w:r>
      <w:proofErr w:type="spellStart"/>
      <w:r w:rsidR="00D72F0B">
        <w:rPr>
          <w:rFonts w:ascii="Times New Roman" w:hAnsi="Times New Roman" w:cs="Times New Roman"/>
        </w:rPr>
        <w:t>order</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to</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carry</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out</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this</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task</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the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provision’s</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just</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cause</w:t>
      </w:r>
      <w:proofErr w:type="spellEnd"/>
      <w:r w:rsidR="00D72F0B">
        <w:rPr>
          <w:rFonts w:ascii="Times New Roman" w:hAnsi="Times New Roman" w:cs="Times New Roman"/>
        </w:rPr>
        <w:t xml:space="preserve">” element </w:t>
      </w:r>
      <w:proofErr w:type="spellStart"/>
      <w:r w:rsidR="00D72F0B">
        <w:rPr>
          <w:rFonts w:ascii="Times New Roman" w:hAnsi="Times New Roman" w:cs="Times New Roman"/>
        </w:rPr>
        <w:t>and</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remedial</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nature</w:t>
      </w:r>
      <w:proofErr w:type="spellEnd"/>
      <w:r w:rsidR="00D72F0B">
        <w:rPr>
          <w:rFonts w:ascii="Times New Roman" w:hAnsi="Times New Roman" w:cs="Times New Roman"/>
        </w:rPr>
        <w:t xml:space="preserve"> has </w:t>
      </w:r>
      <w:proofErr w:type="spellStart"/>
      <w:r w:rsidR="00D72F0B">
        <w:rPr>
          <w:rFonts w:ascii="Times New Roman" w:hAnsi="Times New Roman" w:cs="Times New Roman"/>
        </w:rPr>
        <w:t>to</w:t>
      </w:r>
      <w:proofErr w:type="spellEnd"/>
      <w:r w:rsidR="00D72F0B">
        <w:rPr>
          <w:rFonts w:ascii="Times New Roman" w:hAnsi="Times New Roman" w:cs="Times New Roman"/>
        </w:rPr>
        <w:t xml:space="preserve"> be </w:t>
      </w:r>
      <w:proofErr w:type="spellStart"/>
      <w:r w:rsidR="00D72F0B">
        <w:rPr>
          <w:rFonts w:ascii="Times New Roman" w:hAnsi="Times New Roman" w:cs="Times New Roman"/>
        </w:rPr>
        <w:t>kneaded</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purposefully</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If</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the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just</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cause</w:t>
      </w:r>
      <w:proofErr w:type="spellEnd"/>
      <w:r w:rsidR="00D72F0B">
        <w:rPr>
          <w:rFonts w:ascii="Times New Roman" w:hAnsi="Times New Roman" w:cs="Times New Roman"/>
        </w:rPr>
        <w:t xml:space="preserve"> element is </w:t>
      </w:r>
      <w:proofErr w:type="spellStart"/>
      <w:r w:rsidR="00D72F0B">
        <w:rPr>
          <w:rFonts w:ascii="Times New Roman" w:hAnsi="Times New Roman" w:cs="Times New Roman"/>
        </w:rPr>
        <w:t>interpreted</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through</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the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reasonable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expectations</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standard</w:t>
      </w:r>
      <w:proofErr w:type="spellEnd"/>
      <w:r w:rsidR="00D72F0B">
        <w:rPr>
          <w:rFonts w:ascii="Times New Roman" w:hAnsi="Times New Roman" w:cs="Times New Roman"/>
        </w:rPr>
        <w:t xml:space="preserve"> </w:t>
      </w:r>
      <w:proofErr w:type="spellStart"/>
      <w:r w:rsidR="00D835D3">
        <w:rPr>
          <w:rFonts w:ascii="Times New Roman" w:hAnsi="Times New Roman" w:cs="Times New Roman"/>
        </w:rPr>
        <w:t>outlined</w:t>
      </w:r>
      <w:proofErr w:type="spellEnd"/>
      <w:r w:rsidR="00D835D3">
        <w:rPr>
          <w:rFonts w:ascii="Times New Roman" w:hAnsi="Times New Roman" w:cs="Times New Roman"/>
        </w:rPr>
        <w:t xml:space="preserve"> </w:t>
      </w:r>
      <w:proofErr w:type="spellStart"/>
      <w:r w:rsidR="007231B5">
        <w:rPr>
          <w:rFonts w:ascii="Times New Roman" w:hAnsi="Times New Roman" w:cs="Times New Roman"/>
        </w:rPr>
        <w:t>above</w:t>
      </w:r>
      <w:proofErr w:type="spellEnd"/>
      <w:r w:rsidR="004D5579">
        <w:rPr>
          <w:rFonts w:ascii="Times New Roman" w:hAnsi="Times New Roman" w:cs="Times New Roman"/>
        </w:rPr>
        <w:t xml:space="preserve"> </w:t>
      </w:r>
      <w:proofErr w:type="spellStart"/>
      <w:r w:rsidR="00D72F0B">
        <w:rPr>
          <w:rFonts w:ascii="Times New Roman" w:hAnsi="Times New Roman" w:cs="Times New Roman"/>
        </w:rPr>
        <w:t>and</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the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provisions</w:t>
      </w:r>
      <w:proofErr w:type="spellEnd"/>
      <w:r w:rsidR="007231B5">
        <w:rPr>
          <w:rFonts w:ascii="Times New Roman" w:hAnsi="Times New Roman" w:cs="Times New Roman"/>
        </w:rPr>
        <w:t>’</w:t>
      </w:r>
      <w:r w:rsidR="00D72F0B">
        <w:rPr>
          <w:rFonts w:ascii="Times New Roman" w:hAnsi="Times New Roman" w:cs="Times New Roman"/>
        </w:rPr>
        <w:t xml:space="preserve"> </w:t>
      </w:r>
      <w:proofErr w:type="spellStart"/>
      <w:r w:rsidR="00D72F0B">
        <w:rPr>
          <w:rFonts w:ascii="Times New Roman" w:hAnsi="Times New Roman" w:cs="Times New Roman"/>
        </w:rPr>
        <w:t>nature</w:t>
      </w:r>
      <w:proofErr w:type="spellEnd"/>
      <w:r w:rsidR="00D72F0B">
        <w:rPr>
          <w:rFonts w:ascii="Times New Roman" w:hAnsi="Times New Roman" w:cs="Times New Roman"/>
        </w:rPr>
        <w:t xml:space="preserve"> is </w:t>
      </w:r>
      <w:proofErr w:type="spellStart"/>
      <w:r w:rsidR="00D72F0B">
        <w:rPr>
          <w:rFonts w:ascii="Times New Roman" w:hAnsi="Times New Roman" w:cs="Times New Roman"/>
        </w:rPr>
        <w:t>considered</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while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finding</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out</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the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proper</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remedy</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such</w:t>
      </w:r>
      <w:proofErr w:type="spellEnd"/>
      <w:r w:rsidR="00D72F0B">
        <w:rPr>
          <w:rFonts w:ascii="Times New Roman" w:hAnsi="Times New Roman" w:cs="Times New Roman"/>
        </w:rPr>
        <w:t xml:space="preserve"> as </w:t>
      </w:r>
      <w:proofErr w:type="spellStart"/>
      <w:r w:rsidR="00D72F0B">
        <w:rPr>
          <w:rFonts w:ascii="Times New Roman" w:hAnsi="Times New Roman" w:cs="Times New Roman"/>
        </w:rPr>
        <w:t>direct</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compensation</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from</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the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influencer</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to</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the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petitioners</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the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judicial</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dissolution</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provision</w:t>
      </w:r>
      <w:proofErr w:type="spellEnd"/>
      <w:r w:rsidR="00D72F0B">
        <w:rPr>
          <w:rFonts w:ascii="Times New Roman" w:hAnsi="Times New Roman" w:cs="Times New Roman"/>
        </w:rPr>
        <w:t xml:space="preserve"> can be an </w:t>
      </w:r>
      <w:proofErr w:type="spellStart"/>
      <w:r w:rsidR="00D72F0B">
        <w:rPr>
          <w:rFonts w:ascii="Times New Roman" w:hAnsi="Times New Roman" w:cs="Times New Roman"/>
        </w:rPr>
        <w:t>effective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constraint</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against</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the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non</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pecuniary</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private</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benefit</w:t>
      </w:r>
      <w:proofErr w:type="spellEnd"/>
      <w:r w:rsidR="00D72F0B">
        <w:rPr>
          <w:rFonts w:ascii="Times New Roman" w:hAnsi="Times New Roman" w:cs="Times New Roman"/>
        </w:rPr>
        <w:t xml:space="preserve"> </w:t>
      </w:r>
      <w:proofErr w:type="spellStart"/>
      <w:r w:rsidR="00D72F0B">
        <w:rPr>
          <w:rFonts w:ascii="Times New Roman" w:hAnsi="Times New Roman" w:cs="Times New Roman"/>
        </w:rPr>
        <w:t>extractions</w:t>
      </w:r>
      <w:proofErr w:type="spellEnd"/>
      <w:r w:rsidR="00D72F0B">
        <w:rPr>
          <w:rFonts w:ascii="Times New Roman" w:hAnsi="Times New Roman" w:cs="Times New Roman"/>
        </w:rPr>
        <w:t>.</w:t>
      </w:r>
    </w:p>
    <w:p w14:paraId="79FCCB9A" w14:textId="5F20E4B5" w:rsidR="006809A6" w:rsidRPr="006809A6" w:rsidRDefault="006809A6" w:rsidP="006809A6">
      <w:pPr>
        <w:spacing w:after="240" w:line="480" w:lineRule="auto"/>
        <w:jc w:val="center"/>
        <w:rPr>
          <w:rFonts w:ascii="Times New Roman" w:hAnsi="Times New Roman" w:cs="Times New Roman"/>
          <w:b/>
          <w:lang w:val="en-US"/>
        </w:rPr>
      </w:pPr>
      <w:r w:rsidRPr="006809A6">
        <w:rPr>
          <w:rFonts w:ascii="Times New Roman" w:hAnsi="Times New Roman" w:cs="Times New Roman"/>
          <w:b/>
          <w:lang w:val="en-US"/>
        </w:rPr>
        <w:t>CHAPTER</w:t>
      </w:r>
      <w:r>
        <w:rPr>
          <w:rFonts w:ascii="Times New Roman" w:hAnsi="Times New Roman" w:cs="Times New Roman"/>
          <w:b/>
          <w:lang w:val="en-US"/>
        </w:rPr>
        <w:t xml:space="preserve"> V</w:t>
      </w:r>
      <w:r w:rsidR="0085756D">
        <w:rPr>
          <w:rFonts w:ascii="Times New Roman" w:hAnsi="Times New Roman" w:cs="Times New Roman"/>
          <w:b/>
          <w:lang w:val="en-US"/>
        </w:rPr>
        <w:t>I</w:t>
      </w:r>
    </w:p>
    <w:p w14:paraId="1B3E6584" w14:textId="19555724" w:rsidR="006809A6" w:rsidRPr="006809A6" w:rsidRDefault="006809A6" w:rsidP="006809A6">
      <w:pPr>
        <w:spacing w:after="240" w:line="480" w:lineRule="auto"/>
        <w:jc w:val="center"/>
        <w:rPr>
          <w:rFonts w:ascii="Times New Roman" w:hAnsi="Times New Roman" w:cs="Times New Roman"/>
          <w:b/>
          <w:lang w:val="en-US"/>
        </w:rPr>
      </w:pPr>
      <w:r w:rsidRPr="006809A6">
        <w:rPr>
          <w:rFonts w:ascii="Times New Roman" w:hAnsi="Times New Roman" w:cs="Times New Roman"/>
          <w:b/>
          <w:lang w:val="en-US"/>
        </w:rPr>
        <w:t>CONCLUSION</w:t>
      </w:r>
    </w:p>
    <w:p w14:paraId="1660DA7F" w14:textId="77777777" w:rsidR="006809A6" w:rsidRDefault="00D22749" w:rsidP="006809A6">
      <w:pPr>
        <w:spacing w:after="240" w:line="480" w:lineRule="auto"/>
        <w:ind w:firstLine="708"/>
        <w:jc w:val="both"/>
        <w:rPr>
          <w:rFonts w:ascii="Times New Roman" w:hAnsi="Times New Roman" w:cs="Times New Roman"/>
          <w:lang w:val="en-US"/>
        </w:rPr>
      </w:pPr>
      <w:r w:rsidRPr="002F3C5D">
        <w:rPr>
          <w:rFonts w:ascii="Times New Roman" w:hAnsi="Times New Roman" w:cs="Times New Roman"/>
          <w:lang w:val="en-US"/>
        </w:rPr>
        <w:lastRenderedPageBreak/>
        <w:t>Traditionally, corporate law is structured to deal with pecuniary benefit extractions of corporate constituents. However, constituents are also</w:t>
      </w:r>
      <w:r w:rsidR="006809A6">
        <w:rPr>
          <w:rFonts w:ascii="Times New Roman" w:hAnsi="Times New Roman" w:cs="Times New Roman"/>
          <w:lang w:val="en-US"/>
        </w:rPr>
        <w:t xml:space="preserve"> able to extract non- pecuniary </w:t>
      </w:r>
      <w:r w:rsidRPr="002F3C5D">
        <w:rPr>
          <w:rFonts w:ascii="Times New Roman" w:hAnsi="Times New Roman" w:cs="Times New Roman"/>
          <w:lang w:val="en-US"/>
        </w:rPr>
        <w:t>benefits from the corporation and these extractions poses as much as threat</w:t>
      </w:r>
      <w:r>
        <w:rPr>
          <w:rFonts w:ascii="Times New Roman" w:hAnsi="Times New Roman" w:cs="Times New Roman"/>
          <w:lang w:val="en-US"/>
        </w:rPr>
        <w:t xml:space="preserve"> as the pecuniary benefit extractions</w:t>
      </w:r>
      <w:r w:rsidRPr="002F3C5D">
        <w:rPr>
          <w:rFonts w:ascii="Times New Roman" w:hAnsi="Times New Roman" w:cs="Times New Roman"/>
          <w:lang w:val="en-US"/>
        </w:rPr>
        <w:t xml:space="preserve"> to the corporation itself and the economy in general, when publicly traded corporations are taken into consideration. Therefore, tracking and controlling non- pecuniary private benefit extractions through lega</w:t>
      </w:r>
      <w:r>
        <w:rPr>
          <w:rFonts w:ascii="Times New Roman" w:hAnsi="Times New Roman" w:cs="Times New Roman"/>
          <w:lang w:val="en-US"/>
        </w:rPr>
        <w:t>l mechanisms that will deter a</w:t>
      </w:r>
      <w:r w:rsidRPr="002F3C5D">
        <w:rPr>
          <w:rFonts w:ascii="Times New Roman" w:hAnsi="Times New Roman" w:cs="Times New Roman"/>
          <w:lang w:val="en-US"/>
        </w:rPr>
        <w:t xml:space="preserve"> main extractor, influencing shareholders,</w:t>
      </w:r>
      <w:r>
        <w:rPr>
          <w:rFonts w:ascii="Times New Roman" w:hAnsi="Times New Roman" w:cs="Times New Roman"/>
          <w:lang w:val="en-US"/>
        </w:rPr>
        <w:t xml:space="preserve"> and remedy the main sufferer, minority shareholders,</w:t>
      </w:r>
      <w:r w:rsidRPr="002F3C5D">
        <w:rPr>
          <w:rFonts w:ascii="Times New Roman" w:hAnsi="Times New Roman" w:cs="Times New Roman"/>
          <w:lang w:val="en-US"/>
        </w:rPr>
        <w:t xml:space="preserve"> bears importance. </w:t>
      </w:r>
    </w:p>
    <w:p w14:paraId="66CC4DB0" w14:textId="32F52FF6" w:rsidR="00DF56A3" w:rsidRDefault="00A50752" w:rsidP="00DF56A3">
      <w:pPr>
        <w:spacing w:after="240" w:line="480" w:lineRule="auto"/>
        <w:ind w:firstLine="708"/>
        <w:jc w:val="both"/>
        <w:rPr>
          <w:rFonts w:ascii="Times New Roman" w:hAnsi="Times New Roman" w:cs="Times New Roman"/>
          <w:lang w:val="en-US"/>
        </w:rPr>
      </w:pPr>
      <w:r>
        <w:rPr>
          <w:rFonts w:ascii="Times New Roman" w:hAnsi="Times New Roman" w:cs="Times New Roman"/>
          <w:lang w:val="en-US"/>
        </w:rPr>
        <w:t>While the measures aimed at tracking pecuniary private benefit extractions of shareholders seems to be sufficient to track the non- pecuniary private benefit extractions as well, this assertation fails, because t</w:t>
      </w:r>
      <w:r w:rsidR="00F31AA1">
        <w:rPr>
          <w:rFonts w:ascii="Times New Roman" w:hAnsi="Times New Roman" w:cs="Times New Roman"/>
          <w:lang w:val="en-US"/>
        </w:rPr>
        <w:t>his</w:t>
      </w:r>
      <w:r>
        <w:rPr>
          <w:rFonts w:ascii="Times New Roman" w:hAnsi="Times New Roman" w:cs="Times New Roman"/>
          <w:lang w:val="en-US"/>
        </w:rPr>
        <w:t xml:space="preserve"> transaction- based </w:t>
      </w:r>
      <w:r w:rsidR="003E3548">
        <w:rPr>
          <w:rFonts w:ascii="Times New Roman" w:hAnsi="Times New Roman" w:cs="Times New Roman"/>
          <w:lang w:val="en-US"/>
        </w:rPr>
        <w:t>system is</w:t>
      </w:r>
      <w:r w:rsidR="00F31AA1">
        <w:rPr>
          <w:rFonts w:ascii="Times New Roman" w:hAnsi="Times New Roman" w:cs="Times New Roman"/>
          <w:lang w:val="en-US"/>
        </w:rPr>
        <w:t xml:space="preserve"> mainly</w:t>
      </w:r>
      <w:r w:rsidR="003E3548">
        <w:rPr>
          <w:rFonts w:ascii="Times New Roman" w:hAnsi="Times New Roman" w:cs="Times New Roman"/>
          <w:lang w:val="en-US"/>
        </w:rPr>
        <w:t xml:space="preserve"> focused on the relatedness of the parties of a relationship or the value of the assets subject to the relationship. However, non- pecuniary private benefit extractions can easily go through these points </w:t>
      </w:r>
      <w:proofErr w:type="spellStart"/>
      <w:r w:rsidR="003E3548">
        <w:rPr>
          <w:rFonts w:ascii="Times New Roman" w:hAnsi="Times New Roman" w:cs="Times New Roman"/>
          <w:lang w:val="en-US"/>
        </w:rPr>
        <w:t>undetectedly</w:t>
      </w:r>
      <w:proofErr w:type="spellEnd"/>
      <w:r w:rsidR="003E3548">
        <w:rPr>
          <w:rFonts w:ascii="Times New Roman" w:hAnsi="Times New Roman" w:cs="Times New Roman"/>
          <w:lang w:val="en-US"/>
        </w:rPr>
        <w:t xml:space="preserve"> by taking the form of</w:t>
      </w:r>
      <w:r>
        <w:rPr>
          <w:rFonts w:ascii="Times New Roman" w:hAnsi="Times New Roman" w:cs="Times New Roman"/>
          <w:lang w:val="en-US"/>
        </w:rPr>
        <w:t xml:space="preserve"> distorted manage</w:t>
      </w:r>
      <w:r w:rsidR="00E11CAE">
        <w:rPr>
          <w:rFonts w:ascii="Times New Roman" w:hAnsi="Times New Roman" w:cs="Times New Roman"/>
          <w:lang w:val="en-US"/>
        </w:rPr>
        <w:t>ment or external undertaking. Still, these undetected extractions can be covered and remedied by the</w:t>
      </w:r>
      <w:r w:rsidR="0023414D">
        <w:rPr>
          <w:rFonts w:ascii="Times New Roman" w:hAnsi="Times New Roman" w:cs="Times New Roman"/>
          <w:lang w:val="en-US"/>
        </w:rPr>
        <w:t xml:space="preserve"> last resort mechanism of the corporate law</w:t>
      </w:r>
      <w:r w:rsidR="00F75C20">
        <w:rPr>
          <w:rFonts w:ascii="Times New Roman" w:hAnsi="Times New Roman" w:cs="Times New Roman"/>
          <w:lang w:val="en-US"/>
        </w:rPr>
        <w:t>:</w:t>
      </w:r>
      <w:r w:rsidR="0023414D">
        <w:rPr>
          <w:rFonts w:ascii="Times New Roman" w:hAnsi="Times New Roman" w:cs="Times New Roman"/>
          <w:lang w:val="en-US"/>
        </w:rPr>
        <w:t xml:space="preserve"> </w:t>
      </w:r>
      <w:r w:rsidR="00E11CAE">
        <w:rPr>
          <w:rFonts w:ascii="Times New Roman" w:hAnsi="Times New Roman" w:cs="Times New Roman"/>
          <w:lang w:val="en-US"/>
        </w:rPr>
        <w:t>judicial dissolution.</w:t>
      </w:r>
      <w:r w:rsidR="00F75C20">
        <w:rPr>
          <w:rFonts w:ascii="Times New Roman" w:hAnsi="Times New Roman" w:cs="Times New Roman"/>
          <w:lang w:val="en-US"/>
        </w:rPr>
        <w:t xml:space="preserve"> After all,</w:t>
      </w:r>
      <w:r w:rsidR="005F1625">
        <w:rPr>
          <w:rFonts w:ascii="Times New Roman" w:hAnsi="Times New Roman" w:cs="Times New Roman"/>
          <w:lang w:val="en-US"/>
        </w:rPr>
        <w:t xml:space="preserve"> </w:t>
      </w:r>
      <w:r w:rsidR="00F75C20" w:rsidRPr="00705170">
        <w:rPr>
          <w:rFonts w:ascii="Times New Roman" w:hAnsi="Times New Roman" w:cs="Times New Roman"/>
        </w:rPr>
        <w:t xml:space="preserve">a </w:t>
      </w:r>
      <w:proofErr w:type="spellStart"/>
      <w:r w:rsidR="00F75C20" w:rsidRPr="00705170">
        <w:rPr>
          <w:rFonts w:ascii="Times New Roman" w:hAnsi="Times New Roman" w:cs="Times New Roman"/>
        </w:rPr>
        <w:t>minority</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who</w:t>
      </w:r>
      <w:proofErr w:type="spellEnd"/>
      <w:r w:rsidR="00F75C20" w:rsidRPr="00705170">
        <w:rPr>
          <w:rFonts w:ascii="Times New Roman" w:hAnsi="Times New Roman" w:cs="Times New Roman"/>
        </w:rPr>
        <w:t xml:space="preserve"> is </w:t>
      </w:r>
      <w:proofErr w:type="spellStart"/>
      <w:r w:rsidR="00F75C20" w:rsidRPr="00705170">
        <w:rPr>
          <w:rFonts w:ascii="Times New Roman" w:hAnsi="Times New Roman" w:cs="Times New Roman"/>
        </w:rPr>
        <w:t>deprived</w:t>
      </w:r>
      <w:proofErr w:type="spellEnd"/>
      <w:r w:rsidR="00F75C20" w:rsidRPr="00705170">
        <w:rPr>
          <w:rFonts w:ascii="Times New Roman" w:hAnsi="Times New Roman" w:cs="Times New Roman"/>
        </w:rPr>
        <w:t xml:space="preserve"> of his </w:t>
      </w:r>
      <w:proofErr w:type="spellStart"/>
      <w:r w:rsidR="00F75C20" w:rsidRPr="00705170">
        <w:rPr>
          <w:rFonts w:ascii="Times New Roman" w:hAnsi="Times New Roman" w:cs="Times New Roman"/>
        </w:rPr>
        <w:t>right</w:t>
      </w:r>
      <w:proofErr w:type="spellEnd"/>
      <w:r w:rsidR="00F75C20" w:rsidRPr="00705170">
        <w:rPr>
          <w:rFonts w:ascii="Times New Roman" w:hAnsi="Times New Roman" w:cs="Times New Roman"/>
        </w:rPr>
        <w:t xml:space="preserve"> as a </w:t>
      </w:r>
      <w:proofErr w:type="spellStart"/>
      <w:r w:rsidR="00F75C20" w:rsidRPr="00705170">
        <w:rPr>
          <w:rFonts w:ascii="Times New Roman" w:hAnsi="Times New Roman" w:cs="Times New Roman"/>
        </w:rPr>
        <w:t>shareholder</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to</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have</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the</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corporation’s</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affairs</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conducted</w:t>
      </w:r>
      <w:proofErr w:type="spellEnd"/>
      <w:r w:rsidR="00F75C20" w:rsidRPr="00705170">
        <w:rPr>
          <w:rFonts w:ascii="Times New Roman" w:hAnsi="Times New Roman" w:cs="Times New Roman"/>
        </w:rPr>
        <w:t xml:space="preserve"> in </w:t>
      </w:r>
      <w:proofErr w:type="spellStart"/>
      <w:r w:rsidR="00F75C20" w:rsidRPr="00705170">
        <w:rPr>
          <w:rFonts w:ascii="Times New Roman" w:hAnsi="Times New Roman" w:cs="Times New Roman"/>
        </w:rPr>
        <w:t>accordance</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with</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the</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corporate</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contract</w:t>
      </w:r>
      <w:proofErr w:type="spellEnd"/>
      <w:r w:rsidR="00F75C20" w:rsidRPr="00705170">
        <w:rPr>
          <w:rFonts w:ascii="Times New Roman" w:hAnsi="Times New Roman" w:cs="Times New Roman"/>
        </w:rPr>
        <w:t xml:space="preserve"> </w:t>
      </w:r>
      <w:proofErr w:type="spellStart"/>
      <w:r w:rsidR="00F75C20">
        <w:rPr>
          <w:rFonts w:ascii="Times New Roman" w:hAnsi="Times New Roman" w:cs="Times New Roman"/>
        </w:rPr>
        <w:t>should</w:t>
      </w:r>
      <w:proofErr w:type="spellEnd"/>
      <w:r w:rsidR="00F75C20">
        <w:rPr>
          <w:rFonts w:ascii="Times New Roman" w:hAnsi="Times New Roman" w:cs="Times New Roman"/>
        </w:rPr>
        <w:t xml:space="preserve"> </w:t>
      </w:r>
      <w:proofErr w:type="spellStart"/>
      <w:r w:rsidR="00F75C20">
        <w:rPr>
          <w:rFonts w:ascii="Times New Roman" w:hAnsi="Times New Roman" w:cs="Times New Roman"/>
        </w:rPr>
        <w:t>have</w:t>
      </w:r>
      <w:proofErr w:type="spellEnd"/>
      <w:r w:rsidR="00F75C20">
        <w:rPr>
          <w:rFonts w:ascii="Times New Roman" w:hAnsi="Times New Roman" w:cs="Times New Roman"/>
        </w:rPr>
        <w:t xml:space="preserve"> </w:t>
      </w:r>
      <w:proofErr w:type="spellStart"/>
      <w:r w:rsidR="00F75C20">
        <w:rPr>
          <w:rFonts w:ascii="Times New Roman" w:hAnsi="Times New Roman" w:cs="Times New Roman"/>
        </w:rPr>
        <w:t>the</w:t>
      </w:r>
      <w:proofErr w:type="spellEnd"/>
      <w:r w:rsidR="00F75C20">
        <w:rPr>
          <w:rFonts w:ascii="Times New Roman" w:hAnsi="Times New Roman" w:cs="Times New Roman"/>
        </w:rPr>
        <w:t xml:space="preserve"> “</w:t>
      </w:r>
      <w:proofErr w:type="spellStart"/>
      <w:r w:rsidR="00F75C20">
        <w:rPr>
          <w:rFonts w:ascii="Times New Roman" w:hAnsi="Times New Roman" w:cs="Times New Roman"/>
        </w:rPr>
        <w:t>just</w:t>
      </w:r>
      <w:proofErr w:type="spellEnd"/>
      <w:r w:rsidR="00F75C20">
        <w:rPr>
          <w:rFonts w:ascii="Times New Roman" w:hAnsi="Times New Roman" w:cs="Times New Roman"/>
        </w:rPr>
        <w:t xml:space="preserve"> </w:t>
      </w:r>
      <w:proofErr w:type="spellStart"/>
      <w:r w:rsidR="00F75C20">
        <w:rPr>
          <w:rFonts w:ascii="Times New Roman" w:hAnsi="Times New Roman" w:cs="Times New Roman"/>
        </w:rPr>
        <w:t>cause</w:t>
      </w:r>
      <w:proofErr w:type="spellEnd"/>
      <w:r w:rsidR="00F75C20">
        <w:rPr>
          <w:rFonts w:ascii="Times New Roman" w:hAnsi="Times New Roman" w:cs="Times New Roman"/>
        </w:rPr>
        <w:t xml:space="preserve">” </w:t>
      </w:r>
      <w:proofErr w:type="spellStart"/>
      <w:r w:rsidR="00F75C20">
        <w:rPr>
          <w:rFonts w:ascii="Times New Roman" w:hAnsi="Times New Roman" w:cs="Times New Roman"/>
        </w:rPr>
        <w:t>to</w:t>
      </w:r>
      <w:proofErr w:type="spellEnd"/>
      <w:r w:rsidR="00F75C20">
        <w:rPr>
          <w:rFonts w:ascii="Times New Roman" w:hAnsi="Times New Roman" w:cs="Times New Roman"/>
        </w:rPr>
        <w:t xml:space="preserve"> </w:t>
      </w:r>
      <w:proofErr w:type="spellStart"/>
      <w:r w:rsidR="00F75C20">
        <w:rPr>
          <w:rFonts w:ascii="Times New Roman" w:hAnsi="Times New Roman" w:cs="Times New Roman"/>
        </w:rPr>
        <w:t>petition</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for</w:t>
      </w:r>
      <w:proofErr w:type="spellEnd"/>
      <w:r w:rsidR="00F75C20" w:rsidRPr="00705170">
        <w:rPr>
          <w:rFonts w:ascii="Times New Roman" w:hAnsi="Times New Roman" w:cs="Times New Roman"/>
        </w:rPr>
        <w:t xml:space="preserve"> a </w:t>
      </w:r>
      <w:proofErr w:type="spellStart"/>
      <w:r w:rsidR="00F75C20" w:rsidRPr="00705170">
        <w:rPr>
          <w:rFonts w:ascii="Times New Roman" w:hAnsi="Times New Roman" w:cs="Times New Roman"/>
        </w:rPr>
        <w:t>relief</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This</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notion</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makes</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the</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lawsuit</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suitable</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for</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its</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embracement</w:t>
      </w:r>
      <w:proofErr w:type="spellEnd"/>
      <w:r w:rsidR="00F75C20" w:rsidRPr="00705170">
        <w:rPr>
          <w:rFonts w:ascii="Times New Roman" w:hAnsi="Times New Roman" w:cs="Times New Roman"/>
        </w:rPr>
        <w:t xml:space="preserve"> of </w:t>
      </w:r>
      <w:proofErr w:type="spellStart"/>
      <w:r w:rsidR="00F75C20" w:rsidRPr="00705170">
        <w:rPr>
          <w:rFonts w:ascii="Times New Roman" w:hAnsi="Times New Roman" w:cs="Times New Roman"/>
        </w:rPr>
        <w:t>non</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pecuniary</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private</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benefit</w:t>
      </w:r>
      <w:proofErr w:type="spellEnd"/>
      <w:r w:rsidR="00F75C20" w:rsidRPr="00705170">
        <w:rPr>
          <w:rFonts w:ascii="Times New Roman" w:hAnsi="Times New Roman" w:cs="Times New Roman"/>
        </w:rPr>
        <w:t xml:space="preserve"> </w:t>
      </w:r>
      <w:proofErr w:type="spellStart"/>
      <w:r w:rsidR="00F75C20" w:rsidRPr="00705170">
        <w:rPr>
          <w:rFonts w:ascii="Times New Roman" w:hAnsi="Times New Roman" w:cs="Times New Roman"/>
        </w:rPr>
        <w:t>extractions</w:t>
      </w:r>
      <w:proofErr w:type="spellEnd"/>
      <w:r w:rsidR="00F75C20" w:rsidRPr="00705170">
        <w:rPr>
          <w:rFonts w:ascii="Times New Roman" w:hAnsi="Times New Roman" w:cs="Times New Roman"/>
        </w:rPr>
        <w:t>.</w:t>
      </w:r>
    </w:p>
    <w:p w14:paraId="1C4EC125" w14:textId="417670FB" w:rsidR="00375D93" w:rsidRDefault="00F31AA1" w:rsidP="00375D93">
      <w:pPr>
        <w:spacing w:after="240" w:line="480" w:lineRule="auto"/>
        <w:ind w:firstLine="708"/>
        <w:jc w:val="both"/>
        <w:rPr>
          <w:rFonts w:ascii="Times New Roman" w:hAnsi="Times New Roman" w:cs="Times New Roman"/>
          <w:lang w:val="en-US"/>
        </w:rPr>
      </w:pPr>
      <w:r>
        <w:rPr>
          <w:rFonts w:ascii="Times New Roman" w:hAnsi="Times New Roman" w:cs="Times New Roman"/>
          <w:lang w:val="en-US"/>
        </w:rPr>
        <w:t>Accordingly, t</w:t>
      </w:r>
      <w:r w:rsidR="00E3757B">
        <w:rPr>
          <w:rFonts w:ascii="Times New Roman" w:hAnsi="Times New Roman" w:cs="Times New Roman"/>
          <w:lang w:val="en-US"/>
        </w:rPr>
        <w:t>his study investigated</w:t>
      </w:r>
      <w:r w:rsidR="00E3757B" w:rsidRPr="002F3C5D">
        <w:rPr>
          <w:rFonts w:ascii="Times New Roman" w:hAnsi="Times New Roman" w:cs="Times New Roman"/>
          <w:lang w:val="en-US"/>
        </w:rPr>
        <w:t xml:space="preserve"> the loopholes present in the Turkish corporate law that are paving the way of non- pecuniary </w:t>
      </w:r>
      <w:r w:rsidR="00E3757B">
        <w:rPr>
          <w:rFonts w:ascii="Times New Roman" w:hAnsi="Times New Roman" w:cs="Times New Roman"/>
          <w:lang w:val="en-US"/>
        </w:rPr>
        <w:t xml:space="preserve">private </w:t>
      </w:r>
      <w:r w:rsidR="00E3757B" w:rsidRPr="002F3C5D">
        <w:rPr>
          <w:rFonts w:ascii="Times New Roman" w:hAnsi="Times New Roman" w:cs="Times New Roman"/>
          <w:lang w:val="en-US"/>
        </w:rPr>
        <w:t>benefit extractions in the context of publicly t</w:t>
      </w:r>
      <w:r>
        <w:rPr>
          <w:rFonts w:ascii="Times New Roman" w:hAnsi="Times New Roman" w:cs="Times New Roman"/>
          <w:lang w:val="en-US"/>
        </w:rPr>
        <w:t>raded corporations and</w:t>
      </w:r>
      <w:r w:rsidR="00E402F4">
        <w:rPr>
          <w:rFonts w:ascii="Times New Roman" w:hAnsi="Times New Roman" w:cs="Times New Roman"/>
          <w:lang w:val="en-US"/>
        </w:rPr>
        <w:t xml:space="preserve"> suggested</w:t>
      </w:r>
      <w:r w:rsidR="00E3757B" w:rsidRPr="002F3C5D">
        <w:rPr>
          <w:rFonts w:ascii="Times New Roman" w:hAnsi="Times New Roman" w:cs="Times New Roman"/>
          <w:lang w:val="en-US"/>
        </w:rPr>
        <w:t xml:space="preserve"> that the</w:t>
      </w:r>
      <w:r>
        <w:rPr>
          <w:rFonts w:ascii="Times New Roman" w:hAnsi="Times New Roman" w:cs="Times New Roman"/>
          <w:lang w:val="en-US"/>
        </w:rPr>
        <w:t xml:space="preserve"> Turkish</w:t>
      </w:r>
      <w:r w:rsidR="00E3757B" w:rsidRPr="002F3C5D">
        <w:rPr>
          <w:rFonts w:ascii="Times New Roman" w:hAnsi="Times New Roman" w:cs="Times New Roman"/>
          <w:lang w:val="en-US"/>
        </w:rPr>
        <w:t xml:space="preserve"> judicial dissolution statute can be used to control</w:t>
      </w:r>
      <w:r w:rsidR="00E3757B">
        <w:rPr>
          <w:rFonts w:ascii="Times New Roman" w:hAnsi="Times New Roman" w:cs="Times New Roman"/>
          <w:lang w:val="en-US"/>
        </w:rPr>
        <w:t xml:space="preserve"> and remedy</w:t>
      </w:r>
      <w:r w:rsidR="00E3757B" w:rsidRPr="002F3C5D">
        <w:rPr>
          <w:rFonts w:ascii="Times New Roman" w:hAnsi="Times New Roman" w:cs="Times New Roman"/>
          <w:lang w:val="en-US"/>
        </w:rPr>
        <w:t xml:space="preserve"> these extractions. To strengthe</w:t>
      </w:r>
      <w:r w:rsidR="00E3757B">
        <w:rPr>
          <w:rFonts w:ascii="Times New Roman" w:hAnsi="Times New Roman" w:cs="Times New Roman"/>
          <w:lang w:val="en-US"/>
        </w:rPr>
        <w:t>n the theoretical</w:t>
      </w:r>
      <w:r w:rsidR="00E3757B" w:rsidRPr="002F3C5D">
        <w:rPr>
          <w:rFonts w:ascii="Times New Roman" w:hAnsi="Times New Roman" w:cs="Times New Roman"/>
          <w:lang w:val="en-US"/>
        </w:rPr>
        <w:t xml:space="preserve"> </w:t>
      </w:r>
      <w:r w:rsidR="00E3757B">
        <w:rPr>
          <w:rFonts w:ascii="Times New Roman" w:hAnsi="Times New Roman" w:cs="Times New Roman"/>
          <w:lang w:val="en-US"/>
        </w:rPr>
        <w:t>foundation of this suggestion and the effectiveness of the statute, it proposed to adopt the “reasonable expectations</w:t>
      </w:r>
      <w:r w:rsidR="00B13643">
        <w:rPr>
          <w:rFonts w:ascii="Times New Roman" w:hAnsi="Times New Roman" w:cs="Times New Roman"/>
          <w:lang w:val="en-US"/>
        </w:rPr>
        <w:t xml:space="preserve">” standard used in the U.S. </w:t>
      </w:r>
      <w:r w:rsidR="00E3757B">
        <w:rPr>
          <w:rFonts w:ascii="Times New Roman" w:hAnsi="Times New Roman" w:cs="Times New Roman"/>
          <w:lang w:val="en-US"/>
        </w:rPr>
        <w:t xml:space="preserve">in the context of shareholder oppression law to define the “just cause” required for judicial </w:t>
      </w:r>
      <w:r w:rsidR="00E3757B">
        <w:rPr>
          <w:rFonts w:ascii="Times New Roman" w:hAnsi="Times New Roman" w:cs="Times New Roman"/>
          <w:lang w:val="en-US"/>
        </w:rPr>
        <w:lastRenderedPageBreak/>
        <w:t xml:space="preserve">dissolution and alternative remedies in Turkish law. Corollary, it recommended structuring the </w:t>
      </w:r>
      <w:r w:rsidR="00B13643">
        <w:rPr>
          <w:rFonts w:ascii="Times New Roman" w:hAnsi="Times New Roman" w:cs="Times New Roman"/>
          <w:lang w:val="en-US"/>
        </w:rPr>
        <w:t xml:space="preserve">reasonable expectations </w:t>
      </w:r>
      <w:r w:rsidR="00E3757B">
        <w:rPr>
          <w:rFonts w:ascii="Times New Roman" w:hAnsi="Times New Roman" w:cs="Times New Roman"/>
          <w:lang w:val="en-US"/>
        </w:rPr>
        <w:t>standard in a way that can be used for publicly traded corporations and rethinking the Turkish judicial dissolution provision accordingly</w:t>
      </w:r>
      <w:r w:rsidR="00DF56A3">
        <w:rPr>
          <w:rFonts w:ascii="Times New Roman" w:hAnsi="Times New Roman" w:cs="Times New Roman"/>
          <w:lang w:val="en-US"/>
        </w:rPr>
        <w:t>.</w:t>
      </w:r>
      <w:r w:rsidR="00375D93">
        <w:rPr>
          <w:rFonts w:ascii="Times New Roman" w:hAnsi="Times New Roman" w:cs="Times New Roman"/>
          <w:lang w:val="en-US"/>
        </w:rPr>
        <w:t xml:space="preserve"> </w:t>
      </w:r>
    </w:p>
    <w:p w14:paraId="31EBA142" w14:textId="74E5B476" w:rsidR="006C403A" w:rsidRPr="002F3C5D" w:rsidRDefault="00375D93" w:rsidP="00701686">
      <w:pPr>
        <w:spacing w:after="240" w:line="480" w:lineRule="auto"/>
        <w:ind w:firstLine="708"/>
        <w:jc w:val="both"/>
        <w:rPr>
          <w:rFonts w:ascii="Times New Roman" w:hAnsi="Times New Roman" w:cs="Times New Roman"/>
          <w:lang w:val="en-US"/>
        </w:rPr>
      </w:pPr>
      <w:r>
        <w:rPr>
          <w:rFonts w:ascii="Times New Roman" w:hAnsi="Times New Roman" w:cs="Times New Roman"/>
          <w:lang w:val="en-US"/>
        </w:rPr>
        <w:t xml:space="preserve">While </w:t>
      </w:r>
      <w:r w:rsidR="00B13643">
        <w:rPr>
          <w:rFonts w:ascii="Times New Roman" w:hAnsi="Times New Roman" w:cs="Times New Roman"/>
          <w:lang w:val="en-US"/>
        </w:rPr>
        <w:t>proposing to use</w:t>
      </w:r>
      <w:r>
        <w:rPr>
          <w:rFonts w:ascii="Times New Roman" w:hAnsi="Times New Roman" w:cs="Times New Roman"/>
          <w:lang w:val="en-US"/>
        </w:rPr>
        <w:t xml:space="preserve"> the judicial dissolution statute in the context of publicly traded corporations to remedy a shareholder frustration caused by another shareholder is controversial, it is not incompatible with the nature of the</w:t>
      </w:r>
      <w:r w:rsidR="001678A1">
        <w:rPr>
          <w:rFonts w:ascii="Times New Roman" w:hAnsi="Times New Roman" w:cs="Times New Roman"/>
          <w:lang w:val="en-US"/>
        </w:rPr>
        <w:t>se entiti</w:t>
      </w:r>
      <w:r w:rsidR="00B13643">
        <w:rPr>
          <w:rFonts w:ascii="Times New Roman" w:hAnsi="Times New Roman" w:cs="Times New Roman"/>
          <w:lang w:val="en-US"/>
        </w:rPr>
        <w:t>es and a</w:t>
      </w:r>
      <w:r w:rsidR="001678A1">
        <w:rPr>
          <w:rFonts w:ascii="Times New Roman" w:hAnsi="Times New Roman" w:cs="Times New Roman"/>
          <w:lang w:val="en-US"/>
        </w:rPr>
        <w:t xml:space="preserve"> </w:t>
      </w:r>
      <w:r>
        <w:rPr>
          <w:rFonts w:ascii="Times New Roman" w:hAnsi="Times New Roman" w:cs="Times New Roman"/>
          <w:lang w:val="en-US"/>
        </w:rPr>
        <w:t>judicial dissolution conception built on the reasonable expectations standard. However,</w:t>
      </w:r>
      <w:r w:rsidR="001678A1">
        <w:rPr>
          <w:rFonts w:ascii="Times New Roman" w:hAnsi="Times New Roman" w:cs="Times New Roman"/>
          <w:lang w:val="en-US"/>
        </w:rPr>
        <w:t xml:space="preserve"> to make this solution viable for remedying this frustration, the sources</w:t>
      </w:r>
      <w:r w:rsidR="003254BB">
        <w:rPr>
          <w:rFonts w:ascii="Times New Roman" w:hAnsi="Times New Roman" w:cs="Times New Roman"/>
          <w:lang w:val="en-US"/>
        </w:rPr>
        <w:t>,</w:t>
      </w:r>
      <w:r w:rsidR="001678A1">
        <w:rPr>
          <w:rFonts w:ascii="Times New Roman" w:hAnsi="Times New Roman" w:cs="Times New Roman"/>
          <w:lang w:val="en-US"/>
        </w:rPr>
        <w:t xml:space="preserve"> and interests that the reasonable expectations standard covers should narrowly tailored.</w:t>
      </w:r>
      <w:r w:rsidR="00701686">
        <w:rPr>
          <w:rFonts w:ascii="Times New Roman" w:hAnsi="Times New Roman" w:cs="Times New Roman"/>
          <w:lang w:val="en-US"/>
        </w:rPr>
        <w:t xml:space="preserve"> In order to use the reasonable expectations standard as a guideway for the just cause ground in Turkish law and provide an appropriate remedy </w:t>
      </w:r>
      <w:r w:rsidR="00B13643">
        <w:rPr>
          <w:rFonts w:ascii="Times New Roman" w:hAnsi="Times New Roman" w:cs="Times New Roman"/>
          <w:lang w:val="en-US"/>
        </w:rPr>
        <w:t xml:space="preserve">(direct compensation) </w:t>
      </w:r>
      <w:r w:rsidR="00701686">
        <w:rPr>
          <w:rFonts w:ascii="Times New Roman" w:hAnsi="Times New Roman" w:cs="Times New Roman"/>
          <w:lang w:val="en-US"/>
        </w:rPr>
        <w:t xml:space="preserve">for the non- pecuniary private benefit extractions, the current </w:t>
      </w:r>
      <w:r w:rsidR="00B13643">
        <w:rPr>
          <w:rFonts w:ascii="Times New Roman" w:hAnsi="Times New Roman" w:cs="Times New Roman"/>
          <w:lang w:val="en-US"/>
        </w:rPr>
        <w:t xml:space="preserve">Turkish </w:t>
      </w:r>
      <w:r w:rsidR="00701686">
        <w:rPr>
          <w:rFonts w:ascii="Times New Roman" w:hAnsi="Times New Roman" w:cs="Times New Roman"/>
          <w:lang w:val="en-US"/>
        </w:rPr>
        <w:t xml:space="preserve">provision should be </w:t>
      </w:r>
      <w:proofErr w:type="spellStart"/>
      <w:r w:rsidR="00701686">
        <w:rPr>
          <w:rFonts w:ascii="Times New Roman" w:hAnsi="Times New Roman" w:cs="Times New Roman"/>
          <w:lang w:val="en-US"/>
        </w:rPr>
        <w:t>flexibily</w:t>
      </w:r>
      <w:proofErr w:type="spellEnd"/>
      <w:r w:rsidR="00701686">
        <w:rPr>
          <w:rFonts w:ascii="Times New Roman" w:hAnsi="Times New Roman" w:cs="Times New Roman"/>
          <w:lang w:val="en-US"/>
        </w:rPr>
        <w:t xml:space="preserve"> interpreted in accordance with its inherent nature</w:t>
      </w:r>
      <w:r w:rsidR="003254BB">
        <w:rPr>
          <w:rFonts w:ascii="Times New Roman" w:hAnsi="Times New Roman" w:cs="Times New Roman"/>
          <w:lang w:val="en-US"/>
        </w:rPr>
        <w:t xml:space="preserve">. </w:t>
      </w:r>
      <w:r w:rsidR="006C403A" w:rsidRPr="002F3C5D">
        <w:rPr>
          <w:rFonts w:ascii="Times New Roman" w:hAnsi="Times New Roman" w:cs="Times New Roman"/>
          <w:lang w:val="en-US"/>
        </w:rPr>
        <w:t xml:space="preserve">It is envisioned that this </w:t>
      </w:r>
      <w:r w:rsidR="003254BB">
        <w:rPr>
          <w:rFonts w:ascii="Times New Roman" w:hAnsi="Times New Roman" w:cs="Times New Roman"/>
          <w:lang w:val="en-US"/>
        </w:rPr>
        <w:t>study</w:t>
      </w:r>
      <w:r w:rsidR="003254BB" w:rsidRPr="002F3C5D">
        <w:rPr>
          <w:rFonts w:ascii="Times New Roman" w:hAnsi="Times New Roman" w:cs="Times New Roman"/>
          <w:lang w:val="en-US"/>
        </w:rPr>
        <w:t xml:space="preserve"> </w:t>
      </w:r>
      <w:r w:rsidR="006C403A" w:rsidRPr="002F3C5D">
        <w:rPr>
          <w:rFonts w:ascii="Times New Roman" w:hAnsi="Times New Roman" w:cs="Times New Roman"/>
          <w:lang w:val="en-US"/>
        </w:rPr>
        <w:t>will guide practitioners in both theoretical and practical way to understand how to deal with non- pecuniary private benefit extractions.</w:t>
      </w:r>
    </w:p>
    <w:p w14:paraId="1104B5BA" w14:textId="0AE68014" w:rsidR="001F340A" w:rsidRPr="006C403A" w:rsidRDefault="005F1625" w:rsidP="006C403A">
      <w:pPr>
        <w:spacing w:after="240" w:line="480" w:lineRule="auto"/>
        <w:ind w:firstLine="708"/>
        <w:jc w:val="both"/>
        <w:rPr>
          <w:rFonts w:ascii="Times New Roman" w:hAnsi="Times New Roman" w:cs="Times New Roman"/>
          <w:lang w:val="en-US"/>
        </w:rPr>
      </w:pPr>
      <w:r>
        <w:rPr>
          <w:rFonts w:ascii="Times New Roman" w:hAnsi="Times New Roman" w:cs="Times New Roman"/>
          <w:lang w:val="en-US"/>
        </w:rPr>
        <w:t xml:space="preserve">The theoretical foundation of the involuntary dissolution statute combined with the reasonable expectations standard </w:t>
      </w:r>
      <w:r w:rsidR="00C91F50">
        <w:rPr>
          <w:rFonts w:ascii="Times New Roman" w:hAnsi="Times New Roman" w:cs="Times New Roman"/>
          <w:lang w:val="en-US"/>
        </w:rPr>
        <w:t>can make this</w:t>
      </w:r>
      <w:r>
        <w:rPr>
          <w:rFonts w:ascii="Times New Roman" w:hAnsi="Times New Roman" w:cs="Times New Roman"/>
          <w:lang w:val="en-US"/>
        </w:rPr>
        <w:t xml:space="preserve"> legal construction </w:t>
      </w:r>
      <w:r w:rsidR="00654A99">
        <w:rPr>
          <w:rFonts w:ascii="Times New Roman" w:hAnsi="Times New Roman" w:cs="Times New Roman"/>
          <w:lang w:val="en-US"/>
        </w:rPr>
        <w:t>a sufficient mechanism to track the</w:t>
      </w:r>
      <w:r w:rsidR="00C91F50">
        <w:rPr>
          <w:rFonts w:ascii="Times New Roman" w:hAnsi="Times New Roman" w:cs="Times New Roman"/>
          <w:lang w:val="en-US"/>
        </w:rPr>
        <w:t xml:space="preserve"> non- pecuniary private benefit extractions of influencing shareholders in</w:t>
      </w:r>
      <w:r w:rsidR="00025164">
        <w:rPr>
          <w:rFonts w:ascii="Times New Roman" w:hAnsi="Times New Roman" w:cs="Times New Roman"/>
          <w:lang w:val="en-US"/>
        </w:rPr>
        <w:t xml:space="preserve"> the context of</w:t>
      </w:r>
      <w:r w:rsidR="00C91F50">
        <w:rPr>
          <w:rFonts w:ascii="Times New Roman" w:hAnsi="Times New Roman" w:cs="Times New Roman"/>
          <w:lang w:val="en-US"/>
        </w:rPr>
        <w:t xml:space="preserve"> publicly traded corpor</w:t>
      </w:r>
      <w:r w:rsidR="00025164">
        <w:rPr>
          <w:rFonts w:ascii="Times New Roman" w:hAnsi="Times New Roman" w:cs="Times New Roman"/>
          <w:lang w:val="en-US"/>
        </w:rPr>
        <w:t xml:space="preserve">ations, not only in Turkey but also in various jurisdictions including the U.S. </w:t>
      </w:r>
      <w:r w:rsidR="00AF6B51">
        <w:rPr>
          <w:rFonts w:ascii="Times New Roman" w:hAnsi="Times New Roman" w:cs="Times New Roman"/>
          <w:lang w:val="en-US"/>
        </w:rPr>
        <w:t xml:space="preserve">After all, non- pecuniary private benefit issue is an institutional </w:t>
      </w:r>
      <w:r w:rsidR="003254BB">
        <w:rPr>
          <w:rFonts w:ascii="Times New Roman" w:hAnsi="Times New Roman" w:cs="Times New Roman"/>
          <w:lang w:val="en-US"/>
        </w:rPr>
        <w:t xml:space="preserve">(humankind) </w:t>
      </w:r>
      <w:r w:rsidR="00AF6B51">
        <w:rPr>
          <w:rFonts w:ascii="Times New Roman" w:hAnsi="Times New Roman" w:cs="Times New Roman"/>
          <w:lang w:val="en-US"/>
        </w:rPr>
        <w:t xml:space="preserve">reality and the judicial dissolution mechanism itself inherently </w:t>
      </w:r>
      <w:proofErr w:type="spellStart"/>
      <w:r w:rsidR="00AF6B51">
        <w:rPr>
          <w:rFonts w:ascii="Times New Roman" w:hAnsi="Times New Roman" w:cs="Times New Roman"/>
          <w:lang w:val="en-US"/>
        </w:rPr>
        <w:t>posseses</w:t>
      </w:r>
      <w:proofErr w:type="spellEnd"/>
      <w:r w:rsidR="00AF6B51">
        <w:rPr>
          <w:rFonts w:ascii="Times New Roman" w:hAnsi="Times New Roman" w:cs="Times New Roman"/>
          <w:lang w:val="en-US"/>
        </w:rPr>
        <w:t xml:space="preserve"> common features in even traditionally different jurisdictions such as the U.S. and Turkey.</w:t>
      </w:r>
      <w:r w:rsidR="00654A99">
        <w:rPr>
          <w:rFonts w:ascii="Times New Roman" w:hAnsi="Times New Roman" w:cs="Times New Roman"/>
          <w:lang w:val="en-US"/>
        </w:rPr>
        <w:t xml:space="preserve"> </w:t>
      </w:r>
    </w:p>
    <w:sectPr w:rsidR="001F340A" w:rsidRPr="006C403A" w:rsidSect="0033213B">
      <w:headerReference w:type="even" r:id="rId8"/>
      <w:head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A0EA" w14:textId="77777777" w:rsidR="005F5063" w:rsidRDefault="005F5063" w:rsidP="00345B92">
      <w:r>
        <w:separator/>
      </w:r>
    </w:p>
  </w:endnote>
  <w:endnote w:type="continuationSeparator" w:id="0">
    <w:p w14:paraId="15222B64" w14:textId="77777777" w:rsidR="005F5063" w:rsidRDefault="005F5063" w:rsidP="0034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00000003" w:usb1="00000000" w:usb2="00000000" w:usb3="00000000" w:csb0="00000001"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ystem Font">
    <w:altName w:val="Arial Unicode MS"/>
    <w:panose1 w:val="020B0604020202020204"/>
    <w:charset w:val="88"/>
    <w:family w:val="auto"/>
    <w:notTrueType/>
    <w:pitch w:val="fixed"/>
    <w:sig w:usb0="00000001" w:usb1="08080000" w:usb2="00000010" w:usb3="00000000" w:csb0="001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F214" w14:textId="77777777" w:rsidR="005F5063" w:rsidRDefault="005F5063" w:rsidP="00345B92">
      <w:r>
        <w:separator/>
      </w:r>
    </w:p>
  </w:footnote>
  <w:footnote w:type="continuationSeparator" w:id="0">
    <w:p w14:paraId="61F1B46C" w14:textId="77777777" w:rsidR="005F5063" w:rsidRDefault="005F5063" w:rsidP="00345B92">
      <w:r>
        <w:continuationSeparator/>
      </w:r>
    </w:p>
  </w:footnote>
  <w:footnote w:id="1">
    <w:p w14:paraId="7C67BFFF" w14:textId="7FCF248E" w:rsidR="00A337AA" w:rsidRPr="00A830AE" w:rsidRDefault="00A337AA" w:rsidP="00A830AE">
      <w:pPr>
        <w:pStyle w:val="NormalWeb"/>
        <w:spacing w:before="0" w:beforeAutospacing="0" w:after="0" w:afterAutospacing="0"/>
        <w:rPr>
          <w:rFonts w:ascii="Times New Roman" w:eastAsia="Times New Roman" w:hAnsi="Times New Roman"/>
          <w:sz w:val="24"/>
          <w:szCs w:val="24"/>
          <w:lang w:eastAsia="tr-TR"/>
        </w:rPr>
      </w:pPr>
      <w:r>
        <w:rPr>
          <w:rFonts w:ascii="Times New Roman" w:hAnsi="Times New Roman"/>
        </w:rPr>
        <w:t>*</w:t>
      </w:r>
      <w:r w:rsidR="008E1466">
        <w:rPr>
          <w:rFonts w:ascii="Times New Roman" w:hAnsi="Times New Roman"/>
        </w:rPr>
        <w:t xml:space="preserve"> </w:t>
      </w:r>
      <w:proofErr w:type="spellStart"/>
      <w:r w:rsidR="00A830AE">
        <w:rPr>
          <w:rFonts w:ascii="Times New Roman" w:hAnsi="Times New Roman"/>
        </w:rPr>
        <w:t>Assistant</w:t>
      </w:r>
      <w:proofErr w:type="spellEnd"/>
      <w:r w:rsidR="00A830AE">
        <w:rPr>
          <w:rFonts w:ascii="Times New Roman" w:hAnsi="Times New Roman"/>
        </w:rPr>
        <w:t xml:space="preserve"> </w:t>
      </w:r>
      <w:proofErr w:type="spellStart"/>
      <w:r w:rsidR="00A830AE">
        <w:rPr>
          <w:rFonts w:ascii="Times New Roman" w:hAnsi="Times New Roman"/>
        </w:rPr>
        <w:t>Professor</w:t>
      </w:r>
      <w:proofErr w:type="spellEnd"/>
      <w:r w:rsidR="00A830AE">
        <w:rPr>
          <w:rFonts w:ascii="Times New Roman" w:hAnsi="Times New Roman"/>
        </w:rPr>
        <w:t xml:space="preserve"> of </w:t>
      </w:r>
      <w:proofErr w:type="spellStart"/>
      <w:r w:rsidR="00A830AE">
        <w:rPr>
          <w:rFonts w:ascii="Times New Roman" w:hAnsi="Times New Roman"/>
        </w:rPr>
        <w:t>Law</w:t>
      </w:r>
      <w:proofErr w:type="spellEnd"/>
      <w:r w:rsidR="00A830AE">
        <w:rPr>
          <w:rFonts w:ascii="Times New Roman" w:hAnsi="Times New Roman"/>
        </w:rPr>
        <w:t xml:space="preserve">, </w:t>
      </w:r>
      <w:proofErr w:type="spellStart"/>
      <w:r w:rsidR="00A830AE">
        <w:rPr>
          <w:rFonts w:ascii="Times New Roman" w:hAnsi="Times New Roman"/>
        </w:rPr>
        <w:t>Istanbul</w:t>
      </w:r>
      <w:proofErr w:type="spellEnd"/>
      <w:r w:rsidR="00A830AE">
        <w:rPr>
          <w:rFonts w:ascii="Times New Roman" w:hAnsi="Times New Roman"/>
        </w:rPr>
        <w:t xml:space="preserve"> Kent </w:t>
      </w:r>
      <w:proofErr w:type="spellStart"/>
      <w:r w:rsidR="00A830AE">
        <w:rPr>
          <w:rFonts w:ascii="Times New Roman" w:hAnsi="Times New Roman"/>
        </w:rPr>
        <w:t>University</w:t>
      </w:r>
      <w:proofErr w:type="spellEnd"/>
      <w:r w:rsidR="00A830AE">
        <w:rPr>
          <w:rFonts w:ascii="Times New Roman" w:hAnsi="Times New Roman"/>
        </w:rPr>
        <w:t xml:space="preserve">, </w:t>
      </w:r>
      <w:r w:rsidR="00A830AE" w:rsidRPr="00A830AE">
        <w:rPr>
          <w:rFonts w:ascii="TimesNewRomanPSMT" w:eastAsia="Times New Roman" w:hAnsi="TimesNewRomanPSMT"/>
          <w:sz w:val="18"/>
          <w:szCs w:val="18"/>
          <w:lang w:eastAsia="tr-TR"/>
        </w:rPr>
        <w:t>ORCID: 0000-0001-7326-1859</w:t>
      </w:r>
      <w:r w:rsidR="00A830AE">
        <w:rPr>
          <w:rFonts w:ascii="Times New Roman" w:hAnsi="Times New Roman"/>
        </w:rPr>
        <w:t xml:space="preserve">, </w:t>
      </w:r>
      <w:hyperlink r:id="rId1" w:history="1">
        <w:r w:rsidR="00A830AE" w:rsidRPr="00FB0301">
          <w:rPr>
            <w:rStyle w:val="Kpr"/>
            <w:rFonts w:ascii="Times New Roman" w:hAnsi="Times New Roman"/>
          </w:rPr>
          <w:t>canpehlivanoglu@gmail.com</w:t>
        </w:r>
      </w:hyperlink>
      <w:r w:rsidR="00A830AE">
        <w:rPr>
          <w:rFonts w:ascii="Times New Roman" w:hAnsi="Times New Roman"/>
        </w:rPr>
        <w:t xml:space="preserve">. </w:t>
      </w:r>
      <w:r w:rsidR="008E1466">
        <w:rPr>
          <w:rFonts w:ascii="Times New Roman" w:hAnsi="Times New Roman"/>
        </w:rPr>
        <w:t xml:space="preserve"> </w:t>
      </w:r>
    </w:p>
    <w:p w14:paraId="1D445E42" w14:textId="09B83F79" w:rsidR="00D36541" w:rsidRPr="009975EA" w:rsidRDefault="00D36541" w:rsidP="00A830AE">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term “influencing shareholder” is</w:t>
      </w:r>
      <w:r w:rsidR="007F6B41">
        <w:rPr>
          <w:rFonts w:ascii="Times New Roman" w:hAnsi="Times New Roman" w:cs="Times New Roman"/>
          <w:sz w:val="20"/>
          <w:szCs w:val="20"/>
        </w:rPr>
        <w:t xml:space="preserve"> often</w:t>
      </w:r>
      <w:r w:rsidRPr="009975EA">
        <w:rPr>
          <w:rFonts w:ascii="Times New Roman" w:hAnsi="Times New Roman" w:cs="Times New Roman"/>
          <w:sz w:val="20"/>
          <w:szCs w:val="20"/>
        </w:rPr>
        <w:t xml:space="preserve"> used to refer to shareholders who have a controlling influence over corporate strategy decisions or shareholders who are using the “responsive” nature of the board of directors to achieve their goals (“…directors are responsive to the wishes of shareholders who </w:t>
      </w:r>
      <w:r>
        <w:rPr>
          <w:rFonts w:ascii="Times New Roman" w:hAnsi="Times New Roman" w:cs="Times New Roman"/>
          <w:sz w:val="20"/>
          <w:szCs w:val="20"/>
        </w:rPr>
        <w:t xml:space="preserve">elected them.” (F. Hodge O’Neal, </w:t>
      </w:r>
      <w:r w:rsidRPr="009975EA">
        <w:rPr>
          <w:rFonts w:ascii="Times New Roman" w:hAnsi="Times New Roman" w:cs="Times New Roman"/>
          <w:sz w:val="20"/>
          <w:szCs w:val="20"/>
        </w:rPr>
        <w:t xml:space="preserve">Robert B. Thompson, </w:t>
      </w:r>
      <w:r w:rsidRPr="00ED19F8">
        <w:rPr>
          <w:rFonts w:ascii="Times New Roman" w:hAnsi="Times New Roman" w:cs="Times New Roman"/>
          <w:i/>
          <w:sz w:val="20"/>
          <w:szCs w:val="20"/>
        </w:rPr>
        <w:t>O’Neal’s Oppression of Minority Shareholders</w:t>
      </w:r>
      <w:r>
        <w:rPr>
          <w:rFonts w:ascii="Times New Roman" w:hAnsi="Times New Roman" w:cs="Times New Roman"/>
          <w:sz w:val="20"/>
          <w:szCs w:val="20"/>
        </w:rPr>
        <w:t xml:space="preserve"> 3 (</w:t>
      </w:r>
      <w:r w:rsidRPr="009975EA">
        <w:rPr>
          <w:rFonts w:ascii="Times New Roman" w:hAnsi="Times New Roman" w:cs="Times New Roman"/>
          <w:sz w:val="20"/>
          <w:szCs w:val="20"/>
        </w:rPr>
        <w:t>2</w:t>
      </w:r>
      <w:r w:rsidRPr="009975EA">
        <w:rPr>
          <w:rFonts w:ascii="Times New Roman" w:hAnsi="Times New Roman" w:cs="Times New Roman"/>
          <w:sz w:val="20"/>
          <w:szCs w:val="20"/>
          <w:vertAlign w:val="superscript"/>
        </w:rPr>
        <w:t>nd</w:t>
      </w:r>
      <w:r>
        <w:rPr>
          <w:rFonts w:ascii="Times New Roman" w:hAnsi="Times New Roman" w:cs="Times New Roman"/>
          <w:sz w:val="20"/>
          <w:szCs w:val="20"/>
        </w:rPr>
        <w:t xml:space="preserve"> Ed., Vol. 1 (1997))</w:t>
      </w:r>
      <w:r w:rsidRPr="009975EA">
        <w:rPr>
          <w:rFonts w:ascii="Times New Roman" w:hAnsi="Times New Roman" w:cs="Times New Roman"/>
          <w:sz w:val="20"/>
          <w:szCs w:val="20"/>
        </w:rPr>
        <w:t>). Meanwhile, the “minority shareholder” term is used to refer any other shareholder that does not fit in the description of the “influencing shareholder”. See, Chapter 2.2.</w:t>
      </w:r>
    </w:p>
  </w:footnote>
  <w:footnote w:id="2">
    <w:p w14:paraId="62E0D5A7" w14:textId="1E41001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Maria Gutierrez, </w:t>
      </w:r>
      <w:r w:rsidRPr="009975EA">
        <w:rPr>
          <w:rFonts w:ascii="Times New Roman" w:hAnsi="Times New Roman" w:cs="Times New Roman"/>
          <w:sz w:val="20"/>
          <w:szCs w:val="20"/>
        </w:rPr>
        <w:t xml:space="preserve">Maria Isabel </w:t>
      </w:r>
      <w:proofErr w:type="spellStart"/>
      <w:r w:rsidRPr="009975EA">
        <w:rPr>
          <w:rFonts w:ascii="Times New Roman" w:hAnsi="Times New Roman" w:cs="Times New Roman"/>
          <w:sz w:val="20"/>
          <w:szCs w:val="20"/>
        </w:rPr>
        <w:t>Saez</w:t>
      </w:r>
      <w:proofErr w:type="spellEnd"/>
      <w:r w:rsidRPr="009975EA">
        <w:rPr>
          <w:rFonts w:ascii="Times New Roman" w:hAnsi="Times New Roman" w:cs="Times New Roman"/>
          <w:sz w:val="20"/>
          <w:szCs w:val="20"/>
        </w:rPr>
        <w:t xml:space="preserve">, </w:t>
      </w:r>
      <w:r w:rsidRPr="00ED19F8">
        <w:rPr>
          <w:rFonts w:ascii="Times New Roman" w:hAnsi="Times New Roman" w:cs="Times New Roman"/>
          <w:i/>
          <w:sz w:val="20"/>
          <w:szCs w:val="20"/>
        </w:rPr>
        <w:t>A Contractual Approach to Discipline Self-Dea</w:t>
      </w:r>
      <w:r>
        <w:rPr>
          <w:rFonts w:ascii="Times New Roman" w:hAnsi="Times New Roman" w:cs="Times New Roman"/>
          <w:i/>
          <w:sz w:val="20"/>
          <w:szCs w:val="20"/>
        </w:rPr>
        <w:t>ling by Controlling Shareholder</w:t>
      </w:r>
      <w:r>
        <w:rPr>
          <w:rFonts w:ascii="Times New Roman" w:hAnsi="Times New Roman" w:cs="Times New Roman"/>
          <w:sz w:val="20"/>
          <w:szCs w:val="20"/>
        </w:rPr>
        <w:t>s,</w:t>
      </w:r>
      <w:r w:rsidRPr="009975EA">
        <w:rPr>
          <w:rFonts w:ascii="Times New Roman" w:hAnsi="Times New Roman" w:cs="Times New Roman"/>
          <w:sz w:val="20"/>
          <w:szCs w:val="20"/>
        </w:rPr>
        <w:t xml:space="preserve"> </w:t>
      </w:r>
      <w:hyperlink r:id="rId2" w:history="1">
        <w:r w:rsidRPr="009975EA">
          <w:rPr>
            <w:rStyle w:val="Kpr"/>
            <w:rFonts w:ascii="Times New Roman" w:hAnsi="Times New Roman" w:cs="Times New Roman"/>
            <w:sz w:val="20"/>
            <w:szCs w:val="20"/>
          </w:rPr>
          <w:t>http://www.eea-esem.com/files/papers/eea-esem/2011/459/December2010.PDF</w:t>
        </w:r>
      </w:hyperlink>
      <w:r w:rsidRPr="009975EA">
        <w:rPr>
          <w:rFonts w:ascii="Times New Roman" w:hAnsi="Times New Roman" w:cs="Times New Roman"/>
          <w:sz w:val="20"/>
          <w:szCs w:val="20"/>
        </w:rPr>
        <w:t xml:space="preserve"> (Last vis</w:t>
      </w:r>
      <w:r>
        <w:rPr>
          <w:rFonts w:ascii="Times New Roman" w:hAnsi="Times New Roman" w:cs="Times New Roman"/>
          <w:sz w:val="20"/>
          <w:szCs w:val="20"/>
        </w:rPr>
        <w:t xml:space="preserve">ited: 01/01/2016) </w:t>
      </w:r>
      <w:r w:rsidR="007F6B41">
        <w:rPr>
          <w:rFonts w:ascii="Times New Roman" w:hAnsi="Times New Roman" w:cs="Times New Roman"/>
          <w:sz w:val="20"/>
          <w:szCs w:val="20"/>
        </w:rPr>
        <w:t>p.</w:t>
      </w:r>
      <w:r>
        <w:rPr>
          <w:rFonts w:ascii="Times New Roman" w:hAnsi="Times New Roman" w:cs="Times New Roman"/>
          <w:sz w:val="20"/>
          <w:szCs w:val="20"/>
        </w:rPr>
        <w:t xml:space="preserve"> 2.</w:t>
      </w:r>
    </w:p>
  </w:footnote>
  <w:footnote w:id="3">
    <w:p w14:paraId="6671530A" w14:textId="74720BA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Greta M. Fung, </w:t>
      </w:r>
      <w:r w:rsidRPr="00ED19F8">
        <w:rPr>
          <w:rFonts w:ascii="Times New Roman" w:hAnsi="Times New Roman" w:cs="Times New Roman"/>
          <w:i/>
          <w:sz w:val="20"/>
          <w:szCs w:val="20"/>
        </w:rPr>
        <w:t xml:space="preserve">A Common Goal </w:t>
      </w:r>
      <w:proofErr w:type="gramStart"/>
      <w:r w:rsidRPr="00ED19F8">
        <w:rPr>
          <w:rFonts w:ascii="Times New Roman" w:hAnsi="Times New Roman" w:cs="Times New Roman"/>
          <w:i/>
          <w:sz w:val="20"/>
          <w:szCs w:val="20"/>
        </w:rPr>
        <w:t>From</w:t>
      </w:r>
      <w:proofErr w:type="gramEnd"/>
      <w:r w:rsidRPr="00ED19F8">
        <w:rPr>
          <w:rFonts w:ascii="Times New Roman" w:hAnsi="Times New Roman" w:cs="Times New Roman"/>
          <w:i/>
          <w:sz w:val="20"/>
          <w:szCs w:val="20"/>
        </w:rPr>
        <w:t xml:space="preserve"> Two Different Paths: Protection of Minority Shareholders in Delaware and Canada</w:t>
      </w:r>
      <w:r>
        <w:rPr>
          <w:rFonts w:ascii="Times New Roman" w:hAnsi="Times New Roman" w:cs="Times New Roman"/>
          <w:sz w:val="20"/>
          <w:szCs w:val="20"/>
        </w:rPr>
        <w:t xml:space="preserve">, 57 Alb. L. Rev. 41, </w:t>
      </w:r>
      <w:r w:rsidR="007F6B41">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1.</w:t>
      </w:r>
    </w:p>
  </w:footnote>
  <w:footnote w:id="4">
    <w:p w14:paraId="20D5E25A"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Paramount</w:t>
      </w:r>
      <w:proofErr w:type="spellEnd"/>
      <w:r w:rsidRPr="009975EA">
        <w:rPr>
          <w:rFonts w:ascii="Times New Roman" w:hAnsi="Times New Roman" w:cs="Times New Roman"/>
          <w:color w:val="000000"/>
          <w:sz w:val="20"/>
          <w:szCs w:val="20"/>
        </w:rPr>
        <w:t xml:space="preserve"> Communications </w:t>
      </w:r>
      <w:proofErr w:type="spellStart"/>
      <w:r w:rsidRPr="009975EA">
        <w:rPr>
          <w:rFonts w:ascii="Times New Roman" w:hAnsi="Times New Roman" w:cs="Times New Roman"/>
          <w:color w:val="000000"/>
          <w:sz w:val="20"/>
          <w:szCs w:val="20"/>
        </w:rPr>
        <w:t>Inc</w:t>
      </w:r>
      <w:proofErr w:type="spellEnd"/>
      <w:r w:rsidRPr="009975EA">
        <w:rPr>
          <w:rFonts w:ascii="Times New Roman" w:hAnsi="Times New Roman" w:cs="Times New Roman"/>
          <w:color w:val="000000"/>
          <w:sz w:val="20"/>
          <w:szCs w:val="20"/>
        </w:rPr>
        <w:t xml:space="preserve">. v. QVC Network </w:t>
      </w:r>
      <w:proofErr w:type="spellStart"/>
      <w:r w:rsidRPr="009975EA">
        <w:rPr>
          <w:rFonts w:ascii="Times New Roman" w:hAnsi="Times New Roman" w:cs="Times New Roman"/>
          <w:color w:val="000000"/>
          <w:sz w:val="20"/>
          <w:szCs w:val="20"/>
        </w:rPr>
        <w:t>Inc</w:t>
      </w:r>
      <w:proofErr w:type="spellEnd"/>
      <w:r w:rsidRPr="009975EA">
        <w:rPr>
          <w:rFonts w:ascii="Times New Roman" w:hAnsi="Times New Roman" w:cs="Times New Roman"/>
          <w:color w:val="000000"/>
          <w:sz w:val="20"/>
          <w:szCs w:val="20"/>
        </w:rPr>
        <w:t xml:space="preserve">., 637 A.2d 34 (1993): </w:t>
      </w:r>
      <w:r w:rsidRPr="009975EA">
        <w:rPr>
          <w:rFonts w:ascii="Times New Roman" w:hAnsi="Times New Roman" w:cs="Times New Roman"/>
          <w:sz w:val="20"/>
          <w:szCs w:val="20"/>
        </w:rPr>
        <w:t>“</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absence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devices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w:t>
      </w:r>
      <w:r w:rsidRPr="009975EA">
        <w:rPr>
          <w:rFonts w:ascii="Times New Roman" w:hAnsi="Times New Roman" w:cs="Times New Roman"/>
          <w:color w:val="0000FF"/>
          <w:position w:val="13"/>
          <w:sz w:val="20"/>
          <w:szCs w:val="20"/>
        </w:rPr>
        <w:t xml:space="preserve"> </w:t>
      </w:r>
      <w:proofErr w:type="spellStart"/>
      <w:r w:rsidRPr="009975EA">
        <w:rPr>
          <w:rFonts w:ascii="Times New Roman" w:hAnsi="Times New Roman" w:cs="Times New Roman"/>
          <w:color w:val="000000"/>
          <w:sz w:val="20"/>
          <w:szCs w:val="20"/>
        </w:rPr>
        <w:t>stockholder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likely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become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formalities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is a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w:t>
      </w:r>
      <w:proofErr w:type="spellEnd"/>
      <w:r w:rsidRPr="009975EA">
        <w:rPr>
          <w:rFonts w:ascii="Times New Roman" w:hAnsi="Times New Roman" w:cs="Times New Roman"/>
          <w:color w:val="000000"/>
          <w:sz w:val="20"/>
          <w:szCs w:val="20"/>
        </w:rPr>
        <w:t>.”</w:t>
      </w:r>
    </w:p>
  </w:footnote>
  <w:footnote w:id="5">
    <w:p w14:paraId="1878C05D" w14:textId="3B3DFA3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“Behind the scenes” influence refers to the process in which the influencer shapes the corporate policy in accordance with his own wishes using informal</w:t>
      </w:r>
      <w:r>
        <w:rPr>
          <w:rFonts w:ascii="Times New Roman" w:hAnsi="Times New Roman" w:cs="Times New Roman"/>
          <w:sz w:val="20"/>
          <w:szCs w:val="20"/>
        </w:rPr>
        <w:t xml:space="preserve"> and external</w:t>
      </w:r>
      <w:r w:rsidRPr="009975EA">
        <w:rPr>
          <w:rFonts w:ascii="Times New Roman" w:hAnsi="Times New Roman" w:cs="Times New Roman"/>
          <w:sz w:val="20"/>
          <w:szCs w:val="20"/>
        </w:rPr>
        <w:t xml:space="preserve"> channels rather than a formal voting or communication; and “direct” influence refers to the process in which the formal channels of influence such as voting or communication are used, see</w:t>
      </w:r>
      <w:r w:rsidR="0085756D">
        <w:rPr>
          <w:rFonts w:ascii="Times New Roman" w:hAnsi="Times New Roman" w:cs="Times New Roman"/>
          <w:sz w:val="20"/>
          <w:szCs w:val="20"/>
        </w:rPr>
        <w:t>,</w:t>
      </w:r>
      <w:r w:rsidRPr="009975EA">
        <w:rPr>
          <w:rFonts w:ascii="Times New Roman" w:hAnsi="Times New Roman" w:cs="Times New Roman"/>
          <w:sz w:val="20"/>
          <w:szCs w:val="20"/>
        </w:rPr>
        <w:t xml:space="preserve"> Chapter 2.3.2.</w:t>
      </w:r>
    </w:p>
  </w:footnote>
  <w:footnote w:id="6">
    <w:p w14:paraId="6B786296"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Condec</w:t>
      </w:r>
      <w:proofErr w:type="spellEnd"/>
      <w:r w:rsidRPr="009975EA">
        <w:rPr>
          <w:rFonts w:ascii="Times New Roman" w:hAnsi="Times New Roman" w:cs="Times New Roman"/>
          <w:sz w:val="20"/>
          <w:szCs w:val="20"/>
        </w:rPr>
        <w:t xml:space="preserve"> Corp. v. </w:t>
      </w:r>
      <w:proofErr w:type="spellStart"/>
      <w:r w:rsidRPr="009975EA">
        <w:rPr>
          <w:rFonts w:ascii="Times New Roman" w:hAnsi="Times New Roman" w:cs="Times New Roman"/>
          <w:sz w:val="20"/>
          <w:szCs w:val="20"/>
        </w:rPr>
        <w:t>Lunkenheimer</w:t>
      </w:r>
      <w:proofErr w:type="spellEnd"/>
      <w:r w:rsidRPr="009975EA">
        <w:rPr>
          <w:rFonts w:ascii="Times New Roman" w:hAnsi="Times New Roman" w:cs="Times New Roman"/>
          <w:sz w:val="20"/>
          <w:szCs w:val="20"/>
        </w:rPr>
        <w:t xml:space="preserve"> Co., 43 Del. Ch. 353 (1967).</w:t>
      </w:r>
    </w:p>
  </w:footnote>
  <w:footnote w:id="7">
    <w:p w14:paraId="1045A1E6" w14:textId="09B641E4" w:rsidR="00D36541" w:rsidRPr="009975EA" w:rsidRDefault="00D36541" w:rsidP="006E54FB">
      <w:pPr>
        <w:pStyle w:val="DipnotMetni"/>
        <w:tabs>
          <w:tab w:val="left" w:pos="2117"/>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Chapter 2.1.1.</w:t>
      </w:r>
      <w:r>
        <w:rPr>
          <w:rFonts w:ascii="Times New Roman" w:hAnsi="Times New Roman" w:cs="Times New Roman"/>
          <w:sz w:val="20"/>
          <w:szCs w:val="20"/>
        </w:rPr>
        <w:tab/>
      </w:r>
    </w:p>
  </w:footnote>
  <w:footnote w:id="8">
    <w:p w14:paraId="19C8B5D4" w14:textId="5635D41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Style w:val="DipnotBavurusu"/>
          <w:rFonts w:ascii="Times New Roman" w:hAnsi="Times New Roman" w:cs="Times New Roman"/>
          <w:sz w:val="20"/>
          <w:szCs w:val="20"/>
        </w:rPr>
        <w:footnoteRef/>
      </w:r>
      <w:r w:rsidRPr="009975EA">
        <w:rPr>
          <w:rFonts w:ascii="Times New Roman" w:hAnsi="Times New Roman" w:cs="Times New Roman"/>
          <w:color w:val="000000" w:themeColor="text1"/>
          <w:sz w:val="20"/>
          <w:szCs w:val="20"/>
        </w:rPr>
        <w:t xml:space="preserve"> “</w:t>
      </w:r>
      <w:r w:rsidRPr="009975EA">
        <w:rPr>
          <w:rFonts w:ascii="Times New Roman" w:hAnsi="Times New Roman" w:cs="Times New Roman"/>
          <w:color w:val="000000" w:themeColor="text1"/>
          <w:sz w:val="20"/>
          <w:szCs w:val="20"/>
          <w:lang w:val="tr-TR"/>
        </w:rPr>
        <w:t>…</w:t>
      </w:r>
      <w:proofErr w:type="spellStart"/>
      <w:r w:rsidRPr="009975EA">
        <w:rPr>
          <w:rFonts w:ascii="Times New Roman" w:hAnsi="Times New Roman" w:cs="Times New Roman"/>
          <w:color w:val="000000" w:themeColor="text1"/>
          <w:sz w:val="20"/>
          <w:szCs w:val="20"/>
          <w:lang w:val="tr-TR"/>
        </w:rPr>
        <w:t>monitoring</w:t>
      </w:r>
      <w:proofErr w:type="spellEnd"/>
      <w:r w:rsidRPr="009975EA">
        <w:rPr>
          <w:rFonts w:ascii="Times New Roman" w:hAnsi="Times New Roman" w:cs="Times New Roman"/>
          <w:color w:val="000000" w:themeColor="text1"/>
          <w:sz w:val="20"/>
          <w:szCs w:val="20"/>
          <w:lang w:val="tr-TR"/>
        </w:rPr>
        <w:t xml:space="preserve"> of </w:t>
      </w:r>
      <w:proofErr w:type="spellStart"/>
      <w:r w:rsidRPr="009975EA">
        <w:rPr>
          <w:rFonts w:ascii="Times New Roman" w:hAnsi="Times New Roman" w:cs="Times New Roman"/>
          <w:color w:val="000000" w:themeColor="text1"/>
          <w:sz w:val="20"/>
          <w:szCs w:val="20"/>
          <w:lang w:val="tr-TR"/>
        </w:rPr>
        <w:t>the</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controlling</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shareholder</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extracting</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control</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rents</w:t>
      </w:r>
      <w:proofErr w:type="spellEnd"/>
      <w:r w:rsidRPr="009975EA">
        <w:rPr>
          <w:rFonts w:ascii="Times New Roman" w:hAnsi="Times New Roman" w:cs="Times New Roman"/>
          <w:color w:val="000000" w:themeColor="text1"/>
          <w:sz w:val="20"/>
          <w:szCs w:val="20"/>
          <w:lang w:val="tr-TR"/>
        </w:rPr>
        <w:t xml:space="preserve"> is not yet </w:t>
      </w:r>
      <w:proofErr w:type="spellStart"/>
      <w:r w:rsidRPr="009975EA">
        <w:rPr>
          <w:rFonts w:ascii="Times New Roman" w:hAnsi="Times New Roman" w:cs="Times New Roman"/>
          <w:color w:val="000000" w:themeColor="text1"/>
          <w:sz w:val="20"/>
          <w:szCs w:val="20"/>
          <w:lang w:val="tr-TR"/>
        </w:rPr>
        <w:t>adequately</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established</w:t>
      </w:r>
      <w:proofErr w:type="spellEnd"/>
      <w:r w:rsidRPr="009975EA">
        <w:rPr>
          <w:rFonts w:ascii="Times New Roman" w:hAnsi="Times New Roman" w:cs="Times New Roman"/>
          <w:color w:val="000000" w:themeColor="text1"/>
          <w:sz w:val="20"/>
          <w:szCs w:val="20"/>
          <w:lang w:val="tr-TR"/>
        </w:rPr>
        <w:t>.” (</w:t>
      </w:r>
      <w:proofErr w:type="spellStart"/>
      <w:r w:rsidRPr="009975EA">
        <w:rPr>
          <w:rFonts w:ascii="Times New Roman" w:hAnsi="Times New Roman" w:cs="Times New Roman"/>
          <w:color w:val="000000" w:themeColor="text1"/>
          <w:sz w:val="20"/>
          <w:szCs w:val="20"/>
          <w:lang w:val="tr-TR"/>
        </w:rPr>
        <w:t>Jeong</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Seo</w:t>
      </w:r>
      <w:proofErr w:type="spellEnd"/>
      <w:r w:rsidRPr="009975EA">
        <w:rPr>
          <w:rFonts w:ascii="Times New Roman" w:hAnsi="Times New Roman" w:cs="Times New Roman"/>
          <w:color w:val="000000" w:themeColor="text1"/>
          <w:sz w:val="20"/>
          <w:szCs w:val="20"/>
          <w:lang w:val="tr-TR"/>
        </w:rPr>
        <w:t xml:space="preserve">, </w:t>
      </w:r>
      <w:proofErr w:type="spellStart"/>
      <w:r w:rsidRPr="006E54FB">
        <w:rPr>
          <w:rFonts w:ascii="Times New Roman" w:hAnsi="Times New Roman" w:cs="Times New Roman"/>
          <w:i/>
          <w:color w:val="000000" w:themeColor="text1"/>
          <w:sz w:val="20"/>
          <w:szCs w:val="20"/>
          <w:lang w:val="tr-TR"/>
        </w:rPr>
        <w:t>Who</w:t>
      </w:r>
      <w:proofErr w:type="spellEnd"/>
      <w:r w:rsidRPr="006E54FB">
        <w:rPr>
          <w:rFonts w:ascii="Times New Roman" w:hAnsi="Times New Roman" w:cs="Times New Roman"/>
          <w:i/>
          <w:color w:val="000000" w:themeColor="text1"/>
          <w:sz w:val="20"/>
          <w:szCs w:val="20"/>
          <w:lang w:val="tr-TR"/>
        </w:rPr>
        <w:t xml:space="preserve"> </w:t>
      </w:r>
      <w:proofErr w:type="spellStart"/>
      <w:r w:rsidRPr="006E54FB">
        <w:rPr>
          <w:rFonts w:ascii="Times New Roman" w:hAnsi="Times New Roman" w:cs="Times New Roman"/>
          <w:i/>
          <w:color w:val="000000" w:themeColor="text1"/>
          <w:sz w:val="20"/>
          <w:szCs w:val="20"/>
          <w:lang w:val="tr-TR"/>
        </w:rPr>
        <w:t>Will</w:t>
      </w:r>
      <w:proofErr w:type="spellEnd"/>
      <w:r w:rsidRPr="006E54FB">
        <w:rPr>
          <w:rFonts w:ascii="Times New Roman" w:hAnsi="Times New Roman" w:cs="Times New Roman"/>
          <w:i/>
          <w:color w:val="000000" w:themeColor="text1"/>
          <w:sz w:val="20"/>
          <w:szCs w:val="20"/>
          <w:lang w:val="tr-TR"/>
        </w:rPr>
        <w:t xml:space="preserve"> Control Frankenstein? </w:t>
      </w:r>
      <w:proofErr w:type="spellStart"/>
      <w:r w:rsidRPr="006E54FB">
        <w:rPr>
          <w:rFonts w:ascii="Times New Roman" w:hAnsi="Times New Roman" w:cs="Times New Roman"/>
          <w:i/>
          <w:color w:val="000000" w:themeColor="text1"/>
          <w:sz w:val="20"/>
          <w:szCs w:val="20"/>
          <w:lang w:val="tr-TR"/>
        </w:rPr>
        <w:t>The</w:t>
      </w:r>
      <w:proofErr w:type="spellEnd"/>
      <w:r w:rsidRPr="006E54FB">
        <w:rPr>
          <w:rFonts w:ascii="Times New Roman" w:hAnsi="Times New Roman" w:cs="Times New Roman"/>
          <w:i/>
          <w:color w:val="000000" w:themeColor="text1"/>
          <w:sz w:val="20"/>
          <w:szCs w:val="20"/>
          <w:lang w:val="tr-TR"/>
        </w:rPr>
        <w:t xml:space="preserve"> </w:t>
      </w:r>
      <w:proofErr w:type="spellStart"/>
      <w:r w:rsidRPr="006E54FB">
        <w:rPr>
          <w:rFonts w:ascii="Times New Roman" w:hAnsi="Times New Roman" w:cs="Times New Roman"/>
          <w:i/>
          <w:color w:val="000000" w:themeColor="text1"/>
          <w:sz w:val="20"/>
          <w:szCs w:val="20"/>
          <w:lang w:val="tr-TR"/>
        </w:rPr>
        <w:t>Korean</w:t>
      </w:r>
      <w:proofErr w:type="spellEnd"/>
      <w:r w:rsidRPr="006E54FB">
        <w:rPr>
          <w:rFonts w:ascii="Times New Roman" w:hAnsi="Times New Roman" w:cs="Times New Roman"/>
          <w:i/>
          <w:color w:val="000000" w:themeColor="text1"/>
          <w:sz w:val="20"/>
          <w:szCs w:val="20"/>
          <w:lang w:val="tr-TR"/>
        </w:rPr>
        <w:t xml:space="preserve"> </w:t>
      </w:r>
      <w:proofErr w:type="spellStart"/>
      <w:r w:rsidRPr="006E54FB">
        <w:rPr>
          <w:rFonts w:ascii="Times New Roman" w:hAnsi="Times New Roman" w:cs="Times New Roman"/>
          <w:i/>
          <w:color w:val="000000" w:themeColor="text1"/>
          <w:sz w:val="20"/>
          <w:szCs w:val="20"/>
          <w:lang w:val="tr-TR"/>
        </w:rPr>
        <w:t>Chaebol’s</w:t>
      </w:r>
      <w:proofErr w:type="spellEnd"/>
      <w:r w:rsidRPr="006E54FB">
        <w:rPr>
          <w:rFonts w:ascii="Times New Roman" w:hAnsi="Times New Roman" w:cs="Times New Roman"/>
          <w:i/>
          <w:color w:val="000000" w:themeColor="text1"/>
          <w:sz w:val="20"/>
          <w:szCs w:val="20"/>
          <w:lang w:val="tr-TR"/>
        </w:rPr>
        <w:t xml:space="preserve"> </w:t>
      </w:r>
      <w:proofErr w:type="spellStart"/>
      <w:r w:rsidRPr="006E54FB">
        <w:rPr>
          <w:rFonts w:ascii="Times New Roman" w:hAnsi="Times New Roman" w:cs="Times New Roman"/>
          <w:i/>
          <w:color w:val="000000" w:themeColor="text1"/>
          <w:sz w:val="20"/>
          <w:szCs w:val="20"/>
          <w:lang w:val="tr-TR"/>
        </w:rPr>
        <w:t>Corporate</w:t>
      </w:r>
      <w:proofErr w:type="spellEnd"/>
      <w:r w:rsidRPr="006E54FB">
        <w:rPr>
          <w:rFonts w:ascii="Times New Roman" w:hAnsi="Times New Roman" w:cs="Times New Roman"/>
          <w:i/>
          <w:color w:val="000000" w:themeColor="text1"/>
          <w:sz w:val="20"/>
          <w:szCs w:val="20"/>
          <w:lang w:val="tr-TR"/>
        </w:rPr>
        <w:t xml:space="preserve"> </w:t>
      </w:r>
      <w:proofErr w:type="spellStart"/>
      <w:r w:rsidRPr="006E54FB">
        <w:rPr>
          <w:rFonts w:ascii="Times New Roman" w:hAnsi="Times New Roman" w:cs="Times New Roman"/>
          <w:i/>
          <w:color w:val="000000" w:themeColor="text1"/>
          <w:sz w:val="20"/>
          <w:szCs w:val="20"/>
          <w:lang w:val="tr-TR"/>
        </w:rPr>
        <w:t>Governance</w:t>
      </w:r>
      <w:proofErr w:type="spellEnd"/>
      <w:r w:rsidRPr="009975EA">
        <w:rPr>
          <w:rFonts w:ascii="Times New Roman" w:hAnsi="Times New Roman" w:cs="Times New Roman"/>
          <w:color w:val="000000" w:themeColor="text1"/>
          <w:sz w:val="20"/>
          <w:szCs w:val="20"/>
          <w:lang w:val="tr-TR"/>
        </w:rPr>
        <w:t xml:space="preserve">, 14 </w:t>
      </w:r>
      <w:proofErr w:type="spellStart"/>
      <w:r w:rsidRPr="009975EA">
        <w:rPr>
          <w:rFonts w:ascii="Times New Roman" w:hAnsi="Times New Roman" w:cs="Times New Roman"/>
          <w:color w:val="000000" w:themeColor="text1"/>
          <w:sz w:val="20"/>
          <w:szCs w:val="20"/>
          <w:lang w:val="tr-TR"/>
        </w:rPr>
        <w:t>Cardozo</w:t>
      </w:r>
      <w:proofErr w:type="spellEnd"/>
      <w:r w:rsidRPr="009975EA">
        <w:rPr>
          <w:rFonts w:ascii="Times New Roman" w:hAnsi="Times New Roman" w:cs="Times New Roman"/>
          <w:color w:val="000000" w:themeColor="text1"/>
          <w:sz w:val="20"/>
          <w:szCs w:val="20"/>
          <w:lang w:val="tr-TR"/>
        </w:rPr>
        <w:t xml:space="preserve"> J. </w:t>
      </w:r>
      <w:proofErr w:type="spellStart"/>
      <w:r w:rsidRPr="009975EA">
        <w:rPr>
          <w:rFonts w:ascii="Times New Roman" w:hAnsi="Times New Roman" w:cs="Times New Roman"/>
          <w:color w:val="000000" w:themeColor="text1"/>
          <w:sz w:val="20"/>
          <w:szCs w:val="20"/>
          <w:lang w:val="tr-TR"/>
        </w:rPr>
        <w:t>Int’l</w:t>
      </w:r>
      <w:proofErr w:type="spellEnd"/>
      <w:r w:rsidRPr="009975EA">
        <w:rPr>
          <w:rFonts w:ascii="Times New Roman" w:hAnsi="Times New Roman" w:cs="Times New Roman"/>
          <w:color w:val="000000" w:themeColor="text1"/>
          <w:sz w:val="20"/>
          <w:szCs w:val="20"/>
          <w:lang w:val="tr-TR"/>
        </w:rPr>
        <w:t xml:space="preserve"> &amp; </w:t>
      </w:r>
      <w:proofErr w:type="spellStart"/>
      <w:r w:rsidRPr="009975EA">
        <w:rPr>
          <w:rFonts w:ascii="Times New Roman" w:hAnsi="Times New Roman" w:cs="Times New Roman"/>
          <w:color w:val="000000" w:themeColor="text1"/>
          <w:sz w:val="20"/>
          <w:szCs w:val="20"/>
          <w:lang w:val="tr-TR"/>
        </w:rPr>
        <w:t>Comp</w:t>
      </w:r>
      <w:proofErr w:type="spellEnd"/>
      <w:r w:rsidRPr="009975EA">
        <w:rPr>
          <w:rFonts w:ascii="Times New Roman" w:hAnsi="Times New Roman" w:cs="Times New Roman"/>
          <w:color w:val="000000" w:themeColor="text1"/>
          <w:sz w:val="20"/>
          <w:szCs w:val="20"/>
          <w:lang w:val="tr-TR"/>
        </w:rPr>
        <w:t>. L. 21</w:t>
      </w:r>
      <w:r>
        <w:rPr>
          <w:rFonts w:ascii="Times New Roman" w:hAnsi="Times New Roman" w:cs="Times New Roman"/>
          <w:color w:val="000000" w:themeColor="text1"/>
          <w:sz w:val="20"/>
          <w:szCs w:val="20"/>
          <w:lang w:val="tr-TR"/>
        </w:rPr>
        <w:t xml:space="preserve"> at </w:t>
      </w:r>
      <w:r w:rsidRPr="009975EA">
        <w:rPr>
          <w:rFonts w:ascii="Times New Roman" w:hAnsi="Times New Roman" w:cs="Times New Roman"/>
          <w:color w:val="000000" w:themeColor="text1"/>
          <w:sz w:val="20"/>
          <w:szCs w:val="20"/>
          <w:lang w:val="tr-TR"/>
        </w:rPr>
        <w:t xml:space="preserve">29); </w:t>
      </w:r>
      <w:r w:rsidRPr="009975EA">
        <w:rPr>
          <w:rFonts w:ascii="Times New Roman" w:hAnsi="Times New Roman" w:cs="Times New Roman"/>
          <w:sz w:val="20"/>
          <w:szCs w:val="20"/>
        </w:rPr>
        <w:t xml:space="preserve">“Controlling shareholders tend to value non- pecuniary returns of control, deriving satisfaction and status from controlling the business” (Erica Gorga, </w:t>
      </w:r>
      <w:r w:rsidRPr="006E54FB">
        <w:rPr>
          <w:rFonts w:ascii="Times New Roman" w:hAnsi="Times New Roman" w:cs="Times New Roman"/>
          <w:i/>
          <w:sz w:val="20"/>
          <w:szCs w:val="20"/>
        </w:rPr>
        <w:t>Culture and Corporate Law Reform: A Case Study of Brazil</w:t>
      </w:r>
      <w:r w:rsidRPr="009975EA">
        <w:rPr>
          <w:rFonts w:ascii="Times New Roman" w:hAnsi="Times New Roman" w:cs="Times New Roman"/>
          <w:sz w:val="20"/>
          <w:szCs w:val="20"/>
        </w:rPr>
        <w:t>, 27 U. Pa.</w:t>
      </w:r>
      <w:r>
        <w:rPr>
          <w:rFonts w:ascii="Times New Roman" w:hAnsi="Times New Roman" w:cs="Times New Roman"/>
          <w:sz w:val="20"/>
          <w:szCs w:val="20"/>
        </w:rPr>
        <w:t xml:space="preserve"> J. Int’l Econ. L. 803 (2006) </w:t>
      </w:r>
      <w:r w:rsidR="007F6B41">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888); “Most prominently, private benefits should increase with firm size because larger firms offer potentially larger pecuniary and nonpecuniar</w:t>
      </w:r>
      <w:r>
        <w:rPr>
          <w:rFonts w:ascii="Times New Roman" w:hAnsi="Times New Roman" w:cs="Times New Roman"/>
          <w:sz w:val="20"/>
          <w:szCs w:val="20"/>
        </w:rPr>
        <w:t xml:space="preserve">y benefits” (Michael J. Barclay, </w:t>
      </w:r>
      <w:r w:rsidRPr="009975EA">
        <w:rPr>
          <w:rFonts w:ascii="Times New Roman" w:hAnsi="Times New Roman" w:cs="Times New Roman"/>
          <w:sz w:val="20"/>
          <w:szCs w:val="20"/>
        </w:rPr>
        <w:t xml:space="preserve">Clifford G. Holderness, </w:t>
      </w:r>
      <w:r w:rsidRPr="006E54FB">
        <w:rPr>
          <w:rFonts w:ascii="Times New Roman" w:hAnsi="Times New Roman" w:cs="Times New Roman"/>
          <w:i/>
          <w:sz w:val="20"/>
          <w:szCs w:val="20"/>
        </w:rPr>
        <w:t xml:space="preserve">Private Benefits </w:t>
      </w:r>
      <w:proofErr w:type="gramStart"/>
      <w:r w:rsidRPr="006E54FB">
        <w:rPr>
          <w:rFonts w:ascii="Times New Roman" w:hAnsi="Times New Roman" w:cs="Times New Roman"/>
          <w:i/>
          <w:sz w:val="20"/>
          <w:szCs w:val="20"/>
        </w:rPr>
        <w:t>From</w:t>
      </w:r>
      <w:proofErr w:type="gramEnd"/>
      <w:r w:rsidRPr="006E54FB">
        <w:rPr>
          <w:rFonts w:ascii="Times New Roman" w:hAnsi="Times New Roman" w:cs="Times New Roman"/>
          <w:i/>
          <w:sz w:val="20"/>
          <w:szCs w:val="20"/>
        </w:rPr>
        <w:t xml:space="preserve"> Control of Public Corporations</w:t>
      </w:r>
      <w:r w:rsidRPr="009975EA">
        <w:rPr>
          <w:rFonts w:ascii="Times New Roman" w:hAnsi="Times New Roman" w:cs="Times New Roman"/>
          <w:sz w:val="20"/>
          <w:szCs w:val="20"/>
        </w:rPr>
        <w:t>, Journal of F</w:t>
      </w:r>
      <w:r>
        <w:rPr>
          <w:rFonts w:ascii="Times New Roman" w:hAnsi="Times New Roman" w:cs="Times New Roman"/>
          <w:sz w:val="20"/>
          <w:szCs w:val="20"/>
        </w:rPr>
        <w:t xml:space="preserve">inancial Economics 25 (1989) at </w:t>
      </w:r>
      <w:r w:rsidRPr="009975EA">
        <w:rPr>
          <w:rFonts w:ascii="Times New Roman" w:hAnsi="Times New Roman" w:cs="Times New Roman"/>
          <w:sz w:val="20"/>
          <w:szCs w:val="20"/>
        </w:rPr>
        <w:t>385).</w:t>
      </w:r>
    </w:p>
  </w:footnote>
  <w:footnote w:id="9">
    <w:p w14:paraId="046AF42E" w14:textId="6A1763A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Ronald J. Gilson, </w:t>
      </w:r>
      <w:r w:rsidRPr="006E54FB">
        <w:rPr>
          <w:rFonts w:ascii="Times New Roman" w:hAnsi="Times New Roman" w:cs="Times New Roman"/>
          <w:i/>
          <w:sz w:val="20"/>
          <w:szCs w:val="20"/>
        </w:rPr>
        <w:t>Controlling Shareholders and Corporate Governance: Complicating the Comparative Taxonomy</w:t>
      </w:r>
      <w:r w:rsidRPr="009975EA">
        <w:rPr>
          <w:rFonts w:ascii="Times New Roman" w:hAnsi="Times New Roman" w:cs="Times New Roman"/>
          <w:sz w:val="20"/>
          <w:szCs w:val="20"/>
        </w:rPr>
        <w:t xml:space="preserve">, </w:t>
      </w:r>
      <w:hyperlink r:id="rId3" w:history="1">
        <w:r w:rsidRPr="009975EA">
          <w:rPr>
            <w:rStyle w:val="Kpr"/>
            <w:rFonts w:ascii="Times New Roman" w:hAnsi="Times New Roman" w:cs="Times New Roman"/>
            <w:sz w:val="20"/>
            <w:szCs w:val="20"/>
          </w:rPr>
          <w:t>http://law.stanford.edu/wp-content/uploads/sites/default/files/publication/257565/doc/slspublic/Controlling-Shareholders.pdf</w:t>
        </w:r>
      </w:hyperlink>
      <w:r>
        <w:rPr>
          <w:rFonts w:ascii="Times New Roman" w:hAnsi="Times New Roman" w:cs="Times New Roman"/>
          <w:sz w:val="20"/>
          <w:szCs w:val="20"/>
        </w:rPr>
        <w:t xml:space="preserve"> (Last visited: 10/10/2016), </w:t>
      </w:r>
      <w:r w:rsidR="007F6B41">
        <w:rPr>
          <w:rFonts w:ascii="Times New Roman" w:hAnsi="Times New Roman" w:cs="Times New Roman"/>
          <w:sz w:val="20"/>
          <w:szCs w:val="20"/>
        </w:rPr>
        <w:t>p.</w:t>
      </w:r>
      <w:r w:rsidRPr="009975EA">
        <w:rPr>
          <w:rFonts w:ascii="Times New Roman" w:hAnsi="Times New Roman" w:cs="Times New Roman"/>
          <w:sz w:val="20"/>
          <w:szCs w:val="20"/>
        </w:rPr>
        <w:t xml:space="preserve"> 1663.</w:t>
      </w:r>
    </w:p>
  </w:footnote>
  <w:footnote w:id="10">
    <w:p w14:paraId="520A2778" w14:textId="64F4F43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eastAsia="Times New Roman" w:hAnsi="Times New Roman" w:cs="Times New Roman"/>
          <w:sz w:val="20"/>
          <w:szCs w:val="20"/>
          <w:lang w:eastAsia="tr-TR"/>
        </w:rPr>
        <w:t>“Still, European jurisdictions are reluctant to hold controlling shareholders liable for having engaged in ‘unfair’ self-dealing as long as they are not formally part of management” and “corporate governance reforms have improved Corporate Law tools to deter directors, but not controlling shareholders, who are, in fact, the ones who tend to extract larger private beneﬁts in Europe.” (Gutierrez/</w:t>
      </w:r>
      <w:proofErr w:type="spellStart"/>
      <w:r w:rsidRPr="009975EA">
        <w:rPr>
          <w:rFonts w:ascii="Times New Roman" w:eastAsia="Times New Roman" w:hAnsi="Times New Roman" w:cs="Times New Roman"/>
          <w:sz w:val="20"/>
          <w:szCs w:val="20"/>
          <w:lang w:eastAsia="tr-TR"/>
        </w:rPr>
        <w:t>Saez</w:t>
      </w:r>
      <w:proofErr w:type="spellEnd"/>
      <w:r w:rsidRPr="009975EA">
        <w:rPr>
          <w:rFonts w:ascii="Times New Roman" w:eastAsia="Times New Roman" w:hAnsi="Times New Roman" w:cs="Times New Roman"/>
          <w:sz w:val="20"/>
          <w:szCs w:val="20"/>
          <w:lang w:eastAsia="tr-TR"/>
        </w:rPr>
        <w:t>, p.</w:t>
      </w:r>
      <w:r w:rsidR="007F6B41">
        <w:rPr>
          <w:rFonts w:ascii="Times New Roman" w:eastAsia="Times New Roman" w:hAnsi="Times New Roman" w:cs="Times New Roman"/>
          <w:sz w:val="20"/>
          <w:szCs w:val="20"/>
          <w:lang w:eastAsia="tr-TR"/>
        </w:rPr>
        <w:t xml:space="preserve"> </w:t>
      </w:r>
      <w:r w:rsidRPr="009975EA">
        <w:rPr>
          <w:rFonts w:ascii="Times New Roman" w:eastAsia="Times New Roman" w:hAnsi="Times New Roman" w:cs="Times New Roman"/>
          <w:sz w:val="20"/>
          <w:szCs w:val="20"/>
          <w:lang w:eastAsia="tr-TR"/>
        </w:rPr>
        <w:t xml:space="preserve">8); “There are also differences among our jurisdictions in the extent to which the extraction of private benefits via related- party transactions </w:t>
      </w:r>
      <w:proofErr w:type="gramStart"/>
      <w:r w:rsidRPr="009975EA">
        <w:rPr>
          <w:rFonts w:ascii="Times New Roman" w:eastAsia="Times New Roman" w:hAnsi="Times New Roman" w:cs="Times New Roman"/>
          <w:sz w:val="20"/>
          <w:szCs w:val="20"/>
          <w:lang w:eastAsia="tr-TR"/>
        </w:rPr>
        <w:t>is</w:t>
      </w:r>
      <w:proofErr w:type="gramEnd"/>
      <w:r w:rsidRPr="009975EA">
        <w:rPr>
          <w:rFonts w:ascii="Times New Roman" w:eastAsia="Times New Roman" w:hAnsi="Times New Roman" w:cs="Times New Roman"/>
          <w:sz w:val="20"/>
          <w:szCs w:val="20"/>
          <w:lang w:eastAsia="tr-TR"/>
        </w:rPr>
        <w:t xml:space="preserve"> constrained”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et.</w:t>
      </w:r>
      <w:r>
        <w:rPr>
          <w:rFonts w:ascii="Times New Roman" w:hAnsi="Times New Roman" w:cs="Times New Roman"/>
          <w:sz w:val="20"/>
          <w:szCs w:val="20"/>
        </w:rPr>
        <w:t xml:space="preserve"> al. Anatomy of Corporate Law 180</w:t>
      </w:r>
      <w:r w:rsidRPr="009975EA">
        <w:rPr>
          <w:rFonts w:ascii="Times New Roman" w:hAnsi="Times New Roman" w:cs="Times New Roman"/>
          <w:sz w:val="20"/>
          <w:szCs w:val="20"/>
        </w:rPr>
        <w:t xml:space="preserve"> (2</w:t>
      </w:r>
      <w:r w:rsidRPr="009975EA">
        <w:rPr>
          <w:rFonts w:ascii="Times New Roman" w:hAnsi="Times New Roman" w:cs="Times New Roman"/>
          <w:sz w:val="20"/>
          <w:szCs w:val="20"/>
          <w:vertAlign w:val="superscript"/>
        </w:rPr>
        <w:t>nd</w:t>
      </w:r>
      <w:r w:rsidRPr="009975EA">
        <w:rPr>
          <w:rFonts w:ascii="Times New Roman" w:hAnsi="Times New Roman" w:cs="Times New Roman"/>
          <w:sz w:val="20"/>
          <w:szCs w:val="20"/>
        </w:rPr>
        <w:t xml:space="preserve"> Ed. 2009)</w:t>
      </w:r>
      <w:r w:rsidRPr="009975EA">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w:t>
      </w:r>
    </w:p>
  </w:footnote>
  <w:footnote w:id="11">
    <w:p w14:paraId="16263A8B" w14:textId="3EDAE697" w:rsidR="00D36541" w:rsidRPr="009975EA" w:rsidRDefault="00D36541" w:rsidP="009975EA">
      <w:pPr>
        <w:shd w:val="clear" w:color="auto" w:fill="FFFFFF"/>
        <w:jc w:val="both"/>
        <w:rPr>
          <w:rFonts w:ascii="Times New Roman" w:eastAsia="Times New Roman" w:hAnsi="Times New Roman" w:cs="Times New Roman"/>
          <w:sz w:val="20"/>
          <w:szCs w:val="20"/>
          <w:lang w:eastAsia="tr-TR"/>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Delaware </w:t>
      </w:r>
      <w:proofErr w:type="spellStart"/>
      <w:r w:rsidRPr="009975EA">
        <w:rPr>
          <w:rFonts w:ascii="Times New Roman" w:hAnsi="Times New Roman" w:cs="Times New Roman"/>
          <w:sz w:val="20"/>
          <w:szCs w:val="20"/>
        </w:rPr>
        <w:t>courts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themselves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appear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suspicious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w:t>
      </w:r>
      <w:r>
        <w:rPr>
          <w:rFonts w:ascii="Times New Roman" w:hAnsi="Times New Roman" w:cs="Times New Roman"/>
          <w:sz w:val="20"/>
          <w:szCs w:val="20"/>
        </w:rPr>
        <w:t>h</w:t>
      </w:r>
      <w:r w:rsidRPr="009975EA">
        <w:rPr>
          <w:rFonts w:ascii="Times New Roman" w:hAnsi="Times New Roman" w:cs="Times New Roman"/>
          <w:sz w:val="20"/>
          <w:szCs w:val="20"/>
        </w:rPr>
        <w: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motivations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objectives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today’s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Evolving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types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developments</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institutional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exercise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power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test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foundation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Delaware </w:t>
      </w:r>
      <w:proofErr w:type="spellStart"/>
      <w:r w:rsidRPr="009975EA">
        <w:rPr>
          <w:rFonts w:ascii="Times New Roman" w:hAnsi="Times New Roman" w:cs="Times New Roman"/>
          <w:sz w:val="20"/>
          <w:szCs w:val="20"/>
        </w:rPr>
        <w:t>system</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Jill</w:t>
      </w:r>
      <w:proofErr w:type="spellEnd"/>
      <w:r w:rsidRPr="009975EA">
        <w:rPr>
          <w:rFonts w:ascii="Times New Roman" w:hAnsi="Times New Roman" w:cs="Times New Roman"/>
          <w:sz w:val="20"/>
          <w:szCs w:val="20"/>
        </w:rPr>
        <w:t xml:space="preserve"> E. </w:t>
      </w:r>
      <w:proofErr w:type="spellStart"/>
      <w:r w:rsidRPr="009975EA">
        <w:rPr>
          <w:rFonts w:ascii="Times New Roman" w:hAnsi="Times New Roman" w:cs="Times New Roman"/>
          <w:sz w:val="20"/>
          <w:szCs w:val="20"/>
        </w:rPr>
        <w:t>Fisch</w:t>
      </w:r>
      <w:proofErr w:type="spellEnd"/>
      <w:r w:rsidRPr="009975EA">
        <w:rPr>
          <w:rFonts w:ascii="Times New Roman" w:hAnsi="Times New Roman" w:cs="Times New Roman"/>
          <w:sz w:val="20"/>
          <w:szCs w:val="20"/>
        </w:rPr>
        <w:t xml:space="preserve">, </w:t>
      </w:r>
      <w:proofErr w:type="spellStart"/>
      <w:r w:rsidRPr="006E54FB">
        <w:rPr>
          <w:rFonts w:ascii="Times New Roman" w:hAnsi="Times New Roman" w:cs="Times New Roman"/>
          <w:i/>
          <w:sz w:val="20"/>
          <w:szCs w:val="20"/>
        </w:rPr>
        <w:t>Leave</w:t>
      </w:r>
      <w:proofErr w:type="spellEnd"/>
      <w:r w:rsidRPr="006E54FB">
        <w:rPr>
          <w:rFonts w:ascii="Times New Roman" w:hAnsi="Times New Roman" w:cs="Times New Roman"/>
          <w:i/>
          <w:sz w:val="20"/>
          <w:szCs w:val="20"/>
        </w:rPr>
        <w:t xml:space="preserve"> it </w:t>
      </w:r>
      <w:proofErr w:type="spellStart"/>
      <w:r w:rsidRPr="006E54FB">
        <w:rPr>
          <w:rFonts w:ascii="Times New Roman" w:hAnsi="Times New Roman" w:cs="Times New Roman"/>
          <w:i/>
          <w:sz w:val="20"/>
          <w:szCs w:val="20"/>
        </w:rPr>
        <w:t>to</w:t>
      </w:r>
      <w:proofErr w:type="spellEnd"/>
      <w:r w:rsidRPr="006E54FB">
        <w:rPr>
          <w:rFonts w:ascii="Times New Roman" w:hAnsi="Times New Roman" w:cs="Times New Roman"/>
          <w:i/>
          <w:sz w:val="20"/>
          <w:szCs w:val="20"/>
        </w:rPr>
        <w:t xml:space="preserve"> Delaware: </w:t>
      </w:r>
      <w:proofErr w:type="spellStart"/>
      <w:r w:rsidRPr="006E54FB">
        <w:rPr>
          <w:rFonts w:ascii="Times New Roman" w:hAnsi="Times New Roman" w:cs="Times New Roman"/>
          <w:i/>
          <w:sz w:val="20"/>
          <w:szCs w:val="20"/>
        </w:rPr>
        <w:t>Why</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Congress</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Should</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Stay</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Out</w:t>
      </w:r>
      <w:proofErr w:type="spellEnd"/>
      <w:r w:rsidRPr="006E54FB">
        <w:rPr>
          <w:rFonts w:ascii="Times New Roman" w:hAnsi="Times New Roman" w:cs="Times New Roman"/>
          <w:i/>
          <w:sz w:val="20"/>
          <w:szCs w:val="20"/>
        </w:rPr>
        <w:t xml:space="preserve"> of </w:t>
      </w:r>
      <w:proofErr w:type="spellStart"/>
      <w:r w:rsidRPr="006E54FB">
        <w:rPr>
          <w:rFonts w:ascii="Times New Roman" w:hAnsi="Times New Roman" w:cs="Times New Roman"/>
          <w:i/>
          <w:sz w:val="20"/>
          <w:szCs w:val="20"/>
        </w:rPr>
        <w:t>Corporate</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Governance</w:t>
      </w:r>
      <w:proofErr w:type="spellEnd"/>
      <w:r w:rsidRPr="009975EA">
        <w:rPr>
          <w:rFonts w:ascii="Times New Roman" w:hAnsi="Times New Roman" w:cs="Times New Roman"/>
          <w:sz w:val="20"/>
          <w:szCs w:val="20"/>
        </w:rPr>
        <w:t>, 3</w:t>
      </w:r>
      <w:r>
        <w:rPr>
          <w:rFonts w:ascii="Times New Roman" w:hAnsi="Times New Roman" w:cs="Times New Roman"/>
          <w:sz w:val="20"/>
          <w:szCs w:val="20"/>
        </w:rPr>
        <w:t xml:space="preserve">7 Del. J. </w:t>
      </w:r>
      <w:proofErr w:type="spellStart"/>
      <w:r>
        <w:rPr>
          <w:rFonts w:ascii="Times New Roman" w:hAnsi="Times New Roman" w:cs="Times New Roman"/>
          <w:sz w:val="20"/>
          <w:szCs w:val="20"/>
        </w:rPr>
        <w:t>Corp</w:t>
      </w:r>
      <w:proofErr w:type="spellEnd"/>
      <w:r>
        <w:rPr>
          <w:rFonts w:ascii="Times New Roman" w:hAnsi="Times New Roman" w:cs="Times New Roman"/>
          <w:sz w:val="20"/>
          <w:szCs w:val="20"/>
        </w:rPr>
        <w:t xml:space="preserve">. L. 731 (2013), </w:t>
      </w:r>
      <w:r w:rsidR="007F6B41">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781-782); “</w:t>
      </w:r>
      <w:proofErr w:type="spellStart"/>
      <w:r w:rsidRPr="009975EA">
        <w:rPr>
          <w:rFonts w:ascii="Times New Roman" w:hAnsi="Times New Roman" w:cs="Times New Roman"/>
          <w:color w:val="000000" w:themeColor="text1"/>
          <w:sz w:val="20"/>
          <w:szCs w:val="20"/>
        </w:rPr>
        <w:t>In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United </w:t>
      </w:r>
      <w:proofErr w:type="spellStart"/>
      <w:r w:rsidRPr="009975EA">
        <w:rPr>
          <w:rFonts w:ascii="Times New Roman" w:hAnsi="Times New Roman" w:cs="Times New Roman"/>
          <w:color w:val="000000" w:themeColor="text1"/>
          <w:sz w:val="20"/>
          <w:szCs w:val="20"/>
        </w:rPr>
        <w:t>States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example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courts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rely</w:t>
      </w:r>
      <w:proofErr w:type="spellEnd"/>
      <w:r w:rsidRPr="009975EA">
        <w:rPr>
          <w:rFonts w:ascii="Times New Roman" w:hAnsi="Times New Roman" w:cs="Times New Roman"/>
          <w:color w:val="000000" w:themeColor="text1"/>
          <w:sz w:val="20"/>
          <w:szCs w:val="20"/>
        </w:rPr>
        <w:t xml:space="preserve"> on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business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judgment</w:t>
      </w:r>
      <w:proofErr w:type="spellEnd"/>
      <w:r w:rsidRPr="009975EA">
        <w:rPr>
          <w:rFonts w:ascii="Times New Roman" w:hAnsi="Times New Roman" w:cs="Times New Roman"/>
          <w:color w:val="000000" w:themeColor="text1"/>
          <w:sz w:val="20"/>
          <w:szCs w:val="20"/>
        </w:rPr>
        <w:t xml:space="preserve"> rulet o </w:t>
      </w:r>
      <w:proofErr w:type="spellStart"/>
      <w:r w:rsidRPr="009975EA">
        <w:rPr>
          <w:rFonts w:ascii="Times New Roman" w:hAnsi="Times New Roman" w:cs="Times New Roman"/>
          <w:color w:val="000000" w:themeColor="text1"/>
          <w:sz w:val="20"/>
          <w:szCs w:val="20"/>
        </w:rPr>
        <w:t>protect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transactions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provide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non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monetary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benefits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insiders</w:t>
      </w:r>
      <w:proofErr w:type="spellEnd"/>
      <w:r w:rsidRPr="009975EA">
        <w:rPr>
          <w:rFonts w:ascii="Times New Roman" w:hAnsi="Times New Roman" w:cs="Times New Roman"/>
          <w:color w:val="000000" w:themeColor="text1"/>
          <w:sz w:val="20"/>
          <w:szCs w:val="20"/>
        </w:rPr>
        <w:t xml:space="preserve"> at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expense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outside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shareholders</w:t>
      </w:r>
      <w:proofErr w:type="spellEnd"/>
      <w:r w:rsidRPr="009975EA">
        <w:rPr>
          <w:rFonts w:ascii="Times New Roman" w:hAnsi="Times New Roman" w:cs="Times New Roman"/>
          <w:color w:val="000000" w:themeColor="text1"/>
          <w:sz w:val="20"/>
          <w:szCs w:val="20"/>
        </w:rPr>
        <w:t>…</w:t>
      </w:r>
      <w:r w:rsidR="00A337AA">
        <w:rPr>
          <w:rFonts w:ascii="Times New Roman" w:hAnsi="Times New Roman" w:cs="Times New Roman"/>
          <w:color w:val="000000" w:themeColor="text1"/>
          <w:sz w:val="20"/>
          <w:szCs w:val="20"/>
        </w:rPr>
        <w:t xml:space="preserve"> </w:t>
      </w:r>
      <w:r w:rsidRPr="009975EA">
        <w:rPr>
          <w:rFonts w:ascii="Times New Roman" w:hAnsi="Times New Roman" w:cs="Times New Roman"/>
          <w:color w:val="000000" w:themeColor="text1"/>
          <w:sz w:val="20"/>
          <w:szCs w:val="20"/>
        </w:rPr>
        <w:t xml:space="preserve">Not </w:t>
      </w:r>
      <w:proofErr w:type="spellStart"/>
      <w:r w:rsidRPr="009975EA">
        <w:rPr>
          <w:rFonts w:ascii="Times New Roman" w:hAnsi="Times New Roman" w:cs="Times New Roman"/>
          <w:color w:val="000000" w:themeColor="text1"/>
          <w:sz w:val="20"/>
          <w:szCs w:val="20"/>
        </w:rPr>
        <w:t>surprisingly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areas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where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abuse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minority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shareholders</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United </w:t>
      </w:r>
      <w:proofErr w:type="spellStart"/>
      <w:r w:rsidRPr="009975EA">
        <w:rPr>
          <w:rFonts w:ascii="Times New Roman" w:hAnsi="Times New Roman" w:cs="Times New Roman"/>
          <w:color w:val="000000" w:themeColor="text1"/>
          <w:sz w:val="20"/>
          <w:szCs w:val="20"/>
        </w:rPr>
        <w:t>States</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perceived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significant</w:t>
      </w:r>
      <w:proofErr w:type="spellEnd"/>
      <w:r w:rsidRPr="009975E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rPr>
        <w:t>Simon</w:t>
      </w:r>
      <w:proofErr w:type="spellEnd"/>
      <w:r>
        <w:rPr>
          <w:rFonts w:ascii="Times New Roman" w:hAnsi="Times New Roman" w:cs="Times New Roman"/>
          <w:color w:val="000000" w:themeColor="text1"/>
          <w:sz w:val="20"/>
          <w:szCs w:val="20"/>
        </w:rPr>
        <w:t xml:space="preserve"> Johnson, </w:t>
      </w:r>
      <w:proofErr w:type="spellStart"/>
      <w:r>
        <w:rPr>
          <w:rFonts w:ascii="Times New Roman" w:hAnsi="Times New Roman" w:cs="Times New Roman"/>
          <w:color w:val="000000" w:themeColor="text1"/>
          <w:sz w:val="20"/>
          <w:szCs w:val="20"/>
        </w:rPr>
        <w:t>Rafael</w:t>
      </w:r>
      <w:proofErr w:type="spellEnd"/>
      <w:r>
        <w:rPr>
          <w:rFonts w:ascii="Times New Roman" w:hAnsi="Times New Roman" w:cs="Times New Roman"/>
          <w:color w:val="000000" w:themeColor="text1"/>
          <w:sz w:val="20"/>
          <w:szCs w:val="20"/>
        </w:rPr>
        <w:t xml:space="preserve"> La Porta, </w:t>
      </w:r>
      <w:proofErr w:type="spellStart"/>
      <w:r>
        <w:rPr>
          <w:rFonts w:ascii="Times New Roman" w:hAnsi="Times New Roman" w:cs="Times New Roman"/>
          <w:color w:val="000000" w:themeColor="text1"/>
          <w:sz w:val="20"/>
          <w:szCs w:val="20"/>
        </w:rPr>
        <w:t>Florencio</w:t>
      </w:r>
      <w:proofErr w:type="spellEnd"/>
      <w:r>
        <w:rPr>
          <w:rFonts w:ascii="Times New Roman" w:hAnsi="Times New Roman" w:cs="Times New Roman"/>
          <w:color w:val="000000" w:themeColor="text1"/>
          <w:sz w:val="20"/>
          <w:szCs w:val="20"/>
        </w:rPr>
        <w:t xml:space="preserve"> Lopez-de-</w:t>
      </w:r>
      <w:proofErr w:type="spellStart"/>
      <w:r>
        <w:rPr>
          <w:rFonts w:ascii="Times New Roman" w:hAnsi="Times New Roman" w:cs="Times New Roman"/>
          <w:color w:val="000000" w:themeColor="text1"/>
          <w:sz w:val="20"/>
          <w:szCs w:val="20"/>
        </w:rPr>
        <w:t>Silanes</w:t>
      </w:r>
      <w:proofErr w:type="spellEnd"/>
      <w:r>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Andrei</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Shleifer</w:t>
      </w:r>
      <w:proofErr w:type="spellEnd"/>
      <w:r w:rsidRPr="009975EA">
        <w:rPr>
          <w:rFonts w:ascii="Times New Roman" w:hAnsi="Times New Roman" w:cs="Times New Roman"/>
          <w:color w:val="000000" w:themeColor="text1"/>
          <w:sz w:val="20"/>
          <w:szCs w:val="20"/>
        </w:rPr>
        <w:t xml:space="preserve">, </w:t>
      </w:r>
      <w:proofErr w:type="spellStart"/>
      <w:r w:rsidRPr="006E54FB">
        <w:rPr>
          <w:rFonts w:ascii="Times New Roman" w:hAnsi="Times New Roman" w:cs="Times New Roman"/>
          <w:i/>
          <w:color w:val="000000" w:themeColor="text1"/>
          <w:sz w:val="20"/>
          <w:szCs w:val="20"/>
        </w:rPr>
        <w:t>Tunnelling</w:t>
      </w:r>
      <w:proofErr w:type="spellEnd"/>
      <w:r w:rsidRPr="006E54FB">
        <w:rPr>
          <w:rFonts w:ascii="Times New Roman" w:hAnsi="Times New Roman" w:cs="Times New Roman"/>
          <w:i/>
          <w:color w:val="000000" w:themeColor="text1"/>
          <w:sz w:val="20"/>
          <w:szCs w:val="20"/>
        </w:rPr>
        <w:t>,</w:t>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American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Economic</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Review</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Vol</w:t>
      </w:r>
      <w:proofErr w:type="spellEnd"/>
      <w:r>
        <w:rPr>
          <w:rFonts w:ascii="Times New Roman" w:hAnsi="Times New Roman" w:cs="Times New Roman"/>
          <w:color w:val="000000" w:themeColor="text1"/>
          <w:sz w:val="20"/>
          <w:szCs w:val="20"/>
        </w:rPr>
        <w:t xml:space="preserve">. 90 No.2 (2000), </w:t>
      </w:r>
      <w:r w:rsidR="007F6B41">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 xml:space="preserve"> </w:t>
      </w:r>
      <w:r w:rsidRPr="009975EA">
        <w:rPr>
          <w:rFonts w:ascii="Times New Roman" w:hAnsi="Times New Roman" w:cs="Times New Roman"/>
          <w:color w:val="000000" w:themeColor="text1"/>
          <w:sz w:val="20"/>
          <w:szCs w:val="20"/>
        </w:rPr>
        <w:t>23)</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Line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Pilots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Ass’n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Intern</w:t>
      </w:r>
      <w:proofErr w:type="spellEnd"/>
      <w:r w:rsidRPr="009975EA">
        <w:rPr>
          <w:rFonts w:ascii="Times New Roman" w:hAnsi="Times New Roman" w:cs="Times New Roman"/>
          <w:sz w:val="20"/>
          <w:szCs w:val="20"/>
        </w:rPr>
        <w:t xml:space="preserve">. v. UAL </w:t>
      </w:r>
      <w:proofErr w:type="spellStart"/>
      <w:r w:rsidRPr="009975EA">
        <w:rPr>
          <w:rFonts w:ascii="Times New Roman" w:hAnsi="Times New Roman" w:cs="Times New Roman"/>
          <w:sz w:val="20"/>
          <w:szCs w:val="20"/>
        </w:rPr>
        <w:t>Corp</w:t>
      </w:r>
      <w:proofErr w:type="spellEnd"/>
      <w:r w:rsidRPr="009975EA">
        <w:rPr>
          <w:rFonts w:ascii="Times New Roman" w:hAnsi="Times New Roman" w:cs="Times New Roman"/>
          <w:sz w:val="20"/>
          <w:szCs w:val="20"/>
        </w:rPr>
        <w:t>., 717 F.</w:t>
      </w:r>
      <w:r w:rsidR="00A337A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Supp</w:t>
      </w:r>
      <w:proofErr w:type="spellEnd"/>
      <w:r w:rsidRPr="009975EA">
        <w:rPr>
          <w:rFonts w:ascii="Times New Roman" w:hAnsi="Times New Roman" w:cs="Times New Roman"/>
          <w:sz w:val="20"/>
          <w:szCs w:val="20"/>
        </w:rPr>
        <w:t>. 575 (1989):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evident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Delaware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considered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principles</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static</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precisely</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tools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premised</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sufficiently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flexible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adapted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growing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sophistication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community</w:t>
      </w:r>
      <w:proofErr w:type="spellEnd"/>
      <w:r w:rsidRPr="009975EA">
        <w:rPr>
          <w:rFonts w:ascii="Times New Roman" w:hAnsi="Times New Roman" w:cs="Times New Roman"/>
          <w:color w:val="000000"/>
          <w:sz w:val="20"/>
          <w:szCs w:val="20"/>
        </w:rPr>
        <w:t>.”</w:t>
      </w:r>
    </w:p>
  </w:footnote>
  <w:footnote w:id="12">
    <w:p w14:paraId="0DFC43CC" w14:textId="5E8315FB" w:rsidR="00C51E67" w:rsidRPr="00A337AA" w:rsidRDefault="00C51E67" w:rsidP="00A337AA">
      <w:pPr>
        <w:pStyle w:val="DipnotMetni"/>
        <w:jc w:val="both"/>
        <w:rPr>
          <w:rFonts w:ascii="Times New Roman" w:hAnsi="Times New Roman" w:cs="Times New Roman"/>
          <w:sz w:val="20"/>
          <w:szCs w:val="20"/>
          <w:lang w:val="tr-TR"/>
        </w:rPr>
      </w:pPr>
      <w:r w:rsidRPr="00A337AA">
        <w:rPr>
          <w:rStyle w:val="DipnotBavurusu"/>
          <w:rFonts w:ascii="Times New Roman" w:hAnsi="Times New Roman" w:cs="Times New Roman"/>
          <w:sz w:val="20"/>
          <w:szCs w:val="20"/>
        </w:rPr>
        <w:footnoteRef/>
      </w:r>
      <w:r w:rsidRPr="00A337AA">
        <w:rPr>
          <w:rFonts w:ascii="Times New Roman" w:hAnsi="Times New Roman" w:cs="Times New Roman"/>
          <w:sz w:val="20"/>
          <w:szCs w:val="20"/>
        </w:rPr>
        <w:t xml:space="preserve"> </w:t>
      </w:r>
      <w:r w:rsidR="008C3FEC">
        <w:rPr>
          <w:rFonts w:ascii="Times New Roman" w:hAnsi="Times New Roman" w:cs="Times New Roman"/>
          <w:sz w:val="20"/>
          <w:szCs w:val="20"/>
        </w:rPr>
        <w:t xml:space="preserve">Efforts diverting corporate value to individual purposes, including non- pecuniary benefits, are </w:t>
      </w:r>
      <w:proofErr w:type="spellStart"/>
      <w:r w:rsidR="008C3FEC">
        <w:rPr>
          <w:rFonts w:ascii="Times New Roman" w:hAnsi="Times New Roman" w:cs="Times New Roman"/>
          <w:sz w:val="20"/>
          <w:szCs w:val="20"/>
        </w:rPr>
        <w:t>refered</w:t>
      </w:r>
      <w:proofErr w:type="spellEnd"/>
      <w:r w:rsidR="008C3FEC">
        <w:rPr>
          <w:rFonts w:ascii="Times New Roman" w:hAnsi="Times New Roman" w:cs="Times New Roman"/>
          <w:sz w:val="20"/>
          <w:szCs w:val="20"/>
        </w:rPr>
        <w:t xml:space="preserve"> to as agency costs (Andrew William </w:t>
      </w:r>
      <w:proofErr w:type="spellStart"/>
      <w:r w:rsidR="008C3FEC">
        <w:rPr>
          <w:rFonts w:ascii="Times New Roman" w:hAnsi="Times New Roman" w:cs="Times New Roman"/>
          <w:sz w:val="20"/>
          <w:szCs w:val="20"/>
        </w:rPr>
        <w:t>Winden</w:t>
      </w:r>
      <w:proofErr w:type="spellEnd"/>
      <w:r w:rsidR="008C3FEC">
        <w:rPr>
          <w:rFonts w:ascii="Times New Roman" w:hAnsi="Times New Roman" w:cs="Times New Roman"/>
          <w:sz w:val="20"/>
          <w:szCs w:val="20"/>
        </w:rPr>
        <w:t xml:space="preserve">, Sunrise, Sunset: An Empirical and Theoretical Assessment of Dual- Class Stock Structures, 2018 Colum. Bus. L. Rev. 852 (2018), p. 894). </w:t>
      </w:r>
      <w:r w:rsidR="00D77906" w:rsidRPr="00A337AA">
        <w:rPr>
          <w:rFonts w:ascii="Times New Roman" w:hAnsi="Times New Roman" w:cs="Times New Roman"/>
          <w:sz w:val="20"/>
          <w:szCs w:val="20"/>
        </w:rPr>
        <w:t>Historically, agency problem in the context of corporations referred to the understanding that shareholders as the principals of the corporation require legal protection to control management as their agents, because without this legal protection those managers might be inclined to maximize their personal benefits rather than shareholder value (</w:t>
      </w:r>
      <w:r w:rsidR="00F77F14" w:rsidRPr="00A337AA">
        <w:rPr>
          <w:rFonts w:ascii="Times New Roman" w:hAnsi="Times New Roman" w:cs="Times New Roman"/>
          <w:sz w:val="20"/>
          <w:szCs w:val="20"/>
        </w:rPr>
        <w:t xml:space="preserve">Katharina </w:t>
      </w:r>
      <w:proofErr w:type="spellStart"/>
      <w:r w:rsidR="00F77F14" w:rsidRPr="00A337AA">
        <w:rPr>
          <w:rFonts w:ascii="Times New Roman" w:hAnsi="Times New Roman" w:cs="Times New Roman"/>
          <w:sz w:val="20"/>
          <w:szCs w:val="20"/>
        </w:rPr>
        <w:t>Pistor</w:t>
      </w:r>
      <w:proofErr w:type="spellEnd"/>
      <w:r w:rsidR="00F77F14" w:rsidRPr="00A337AA">
        <w:rPr>
          <w:rFonts w:ascii="Times New Roman" w:hAnsi="Times New Roman" w:cs="Times New Roman"/>
          <w:sz w:val="20"/>
          <w:szCs w:val="20"/>
        </w:rPr>
        <w:t xml:space="preserve">/Yoram </w:t>
      </w:r>
      <w:proofErr w:type="spellStart"/>
      <w:r w:rsidR="00F77F14" w:rsidRPr="00A337AA">
        <w:rPr>
          <w:rFonts w:ascii="Times New Roman" w:hAnsi="Times New Roman" w:cs="Times New Roman"/>
          <w:sz w:val="20"/>
          <w:szCs w:val="20"/>
        </w:rPr>
        <w:t>Keinan</w:t>
      </w:r>
      <w:proofErr w:type="spellEnd"/>
      <w:r w:rsidR="00F77F14" w:rsidRPr="00A337AA">
        <w:rPr>
          <w:rFonts w:ascii="Times New Roman" w:hAnsi="Times New Roman" w:cs="Times New Roman"/>
          <w:sz w:val="20"/>
          <w:szCs w:val="20"/>
        </w:rPr>
        <w:t xml:space="preserve">/Jan </w:t>
      </w:r>
      <w:proofErr w:type="spellStart"/>
      <w:r w:rsidR="00F77F14" w:rsidRPr="00A337AA">
        <w:rPr>
          <w:rFonts w:ascii="Times New Roman" w:hAnsi="Times New Roman" w:cs="Times New Roman"/>
          <w:sz w:val="20"/>
          <w:szCs w:val="20"/>
        </w:rPr>
        <w:t>Kleinheisterkamp</w:t>
      </w:r>
      <w:proofErr w:type="spellEnd"/>
      <w:r w:rsidR="00F77F14" w:rsidRPr="00A337AA">
        <w:rPr>
          <w:rFonts w:ascii="Times New Roman" w:hAnsi="Times New Roman" w:cs="Times New Roman"/>
          <w:sz w:val="20"/>
          <w:szCs w:val="20"/>
        </w:rPr>
        <w:t xml:space="preserve">/Mark D. West, </w:t>
      </w:r>
      <w:r w:rsidR="00F77F14" w:rsidRPr="00A337AA">
        <w:rPr>
          <w:rFonts w:ascii="Times New Roman" w:hAnsi="Times New Roman" w:cs="Times New Roman"/>
          <w:i/>
          <w:iCs/>
          <w:sz w:val="20"/>
          <w:szCs w:val="20"/>
        </w:rPr>
        <w:t>The Evolution of Corporate Law: A Cross- Country Comparison,</w:t>
      </w:r>
      <w:r w:rsidR="00F77F14" w:rsidRPr="00A337AA">
        <w:rPr>
          <w:rFonts w:ascii="Times New Roman" w:hAnsi="Times New Roman" w:cs="Times New Roman"/>
          <w:sz w:val="20"/>
          <w:szCs w:val="20"/>
        </w:rPr>
        <w:t xml:space="preserve"> 23 </w:t>
      </w:r>
      <w:r w:rsidR="00D77906" w:rsidRPr="00A337AA">
        <w:rPr>
          <w:rFonts w:ascii="Times New Roman" w:hAnsi="Times New Roman" w:cs="Times New Roman"/>
          <w:sz w:val="20"/>
          <w:szCs w:val="20"/>
        </w:rPr>
        <w:t xml:space="preserve">U. Pa. J. Int’l Econ. L. </w:t>
      </w:r>
      <w:r w:rsidR="00F77F14" w:rsidRPr="00A337AA">
        <w:rPr>
          <w:rFonts w:ascii="Times New Roman" w:hAnsi="Times New Roman" w:cs="Times New Roman"/>
          <w:sz w:val="20"/>
          <w:szCs w:val="20"/>
        </w:rPr>
        <w:t xml:space="preserve">791 (2014), </w:t>
      </w:r>
      <w:r w:rsidR="00D77906" w:rsidRPr="00A337AA">
        <w:rPr>
          <w:rFonts w:ascii="Times New Roman" w:hAnsi="Times New Roman" w:cs="Times New Roman"/>
          <w:sz w:val="20"/>
          <w:szCs w:val="20"/>
        </w:rPr>
        <w:t xml:space="preserve">at 796). </w:t>
      </w:r>
    </w:p>
  </w:footnote>
  <w:footnote w:id="13">
    <w:p w14:paraId="079437DF" w14:textId="4B46612A"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ability</w:t>
      </w:r>
      <w:proofErr w:type="spellEnd"/>
      <w:r w:rsidRPr="009975EA">
        <w:rPr>
          <w:rFonts w:ascii="Times New Roman" w:hAnsi="Times New Roman" w:cs="Times New Roman"/>
          <w:sz w:val="20"/>
          <w:szCs w:val="20"/>
        </w:rPr>
        <w:t xml:space="preserve"> of a </w:t>
      </w:r>
      <w:proofErr w:type="spellStart"/>
      <w:r w:rsidRPr="009975EA">
        <w:rPr>
          <w:rFonts w:ascii="Times New Roman" w:hAnsi="Times New Roman" w:cs="Times New Roman"/>
          <w:sz w:val="20"/>
          <w:szCs w:val="20"/>
        </w:rPr>
        <w:t>controlling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take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advantage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non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pecuniary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pernicious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result</w:t>
      </w:r>
      <w:proofErr w:type="spellEnd"/>
      <w:r w:rsidRPr="009975EA">
        <w:rPr>
          <w:rFonts w:ascii="Times New Roman" w:hAnsi="Times New Roman" w:cs="Times New Roman"/>
          <w:sz w:val="20"/>
          <w:szCs w:val="20"/>
        </w:rPr>
        <w:t xml:space="preserve"> can be </w:t>
      </w:r>
      <w:proofErr w:type="spellStart"/>
      <w:r w:rsidRPr="009975EA">
        <w:rPr>
          <w:rFonts w:ascii="Times New Roman" w:hAnsi="Times New Roman" w:cs="Times New Roman"/>
          <w:sz w:val="20"/>
          <w:szCs w:val="20"/>
        </w:rPr>
        <w:t>just</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financially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harmful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controlling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stakeholders</w:t>
      </w:r>
      <w:proofErr w:type="spellEnd"/>
      <w:r w:rsidRPr="009975EA">
        <w:rPr>
          <w:rFonts w:ascii="Times New Roman" w:hAnsi="Times New Roman" w:cs="Times New Roman"/>
          <w:sz w:val="20"/>
          <w:szCs w:val="20"/>
        </w:rPr>
        <w:t xml:space="preserve"> since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controlling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takes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advantage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either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type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benefit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pecuniary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pecuniary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may</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effectively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maximizing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controlling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utility</w:t>
      </w:r>
      <w:proofErr w:type="spellEnd"/>
      <w:r w:rsidRPr="009975EA">
        <w:rPr>
          <w:rFonts w:ascii="Times New Roman" w:hAnsi="Times New Roman" w:cs="Times New Roman"/>
          <w:sz w:val="20"/>
          <w:szCs w:val="20"/>
        </w:rPr>
        <w:t xml:space="preserve">’, but not </w:t>
      </w:r>
      <w:proofErr w:type="spellStart"/>
      <w:r w:rsidRPr="009975EA">
        <w:rPr>
          <w:rFonts w:ascii="Times New Roman" w:hAnsi="Times New Roman" w:cs="Times New Roman"/>
          <w:sz w:val="20"/>
          <w:szCs w:val="20"/>
        </w:rPr>
        <w:t>necessarily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maximizing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value</w:t>
      </w:r>
      <w:proofErr w:type="spellEnd"/>
      <w:r w:rsidRPr="009975EA">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corporation</w:t>
      </w:r>
      <w:proofErr w:type="spellEnd"/>
      <w:r>
        <w:rPr>
          <w:rFonts w:ascii="Times New Roman" w:hAnsi="Times New Roman" w:cs="Times New Roman"/>
          <w:sz w:val="20"/>
          <w:szCs w:val="20"/>
        </w:rPr>
        <w:t xml:space="preserve">’” (Dirk </w:t>
      </w:r>
      <w:proofErr w:type="spellStart"/>
      <w:r>
        <w:rPr>
          <w:rFonts w:ascii="Times New Roman" w:hAnsi="Times New Roman" w:cs="Times New Roman"/>
          <w:sz w:val="20"/>
          <w:szCs w:val="20"/>
        </w:rPr>
        <w:t>Schlimm</w:t>
      </w:r>
      <w:proofErr w:type="spellEnd"/>
      <w:r>
        <w:rPr>
          <w:rFonts w:ascii="Times New Roman" w:hAnsi="Times New Roman" w:cs="Times New Roman"/>
          <w:sz w:val="20"/>
          <w:szCs w:val="20"/>
        </w:rPr>
        <w:t xml:space="preserve">, Lisa </w:t>
      </w:r>
      <w:proofErr w:type="spellStart"/>
      <w:r>
        <w:rPr>
          <w:rFonts w:ascii="Times New Roman" w:hAnsi="Times New Roman" w:cs="Times New Roman"/>
          <w:sz w:val="20"/>
          <w:szCs w:val="20"/>
        </w:rPr>
        <w:t>Mezetti</w:t>
      </w:r>
      <w:proofErr w:type="spellEnd"/>
      <w:r>
        <w:rPr>
          <w:rFonts w:ascii="Times New Roman" w:hAnsi="Times New Roman" w:cs="Times New Roman"/>
          <w:sz w:val="20"/>
          <w:szCs w:val="20"/>
        </w:rPr>
        <w:t xml:space="preserve">, </w:t>
      </w:r>
      <w:r w:rsidRPr="009975EA">
        <w:rPr>
          <w:rFonts w:ascii="Times New Roman" w:hAnsi="Times New Roman" w:cs="Times New Roman"/>
          <w:sz w:val="20"/>
          <w:szCs w:val="20"/>
        </w:rPr>
        <w:t xml:space="preserve">Bernard S. </w:t>
      </w:r>
      <w:proofErr w:type="spellStart"/>
      <w:r w:rsidRPr="009975EA">
        <w:rPr>
          <w:rFonts w:ascii="Times New Roman" w:hAnsi="Times New Roman" w:cs="Times New Roman"/>
          <w:sz w:val="20"/>
          <w:szCs w:val="20"/>
        </w:rPr>
        <w:t>Sharfman</w:t>
      </w:r>
      <w:proofErr w:type="spellEnd"/>
      <w:r w:rsidRPr="009975EA">
        <w:rPr>
          <w:rFonts w:ascii="Times New Roman" w:hAnsi="Times New Roman" w:cs="Times New Roman"/>
          <w:sz w:val="20"/>
          <w:szCs w:val="20"/>
        </w:rPr>
        <w:t xml:space="preserve">, </w:t>
      </w:r>
      <w:proofErr w:type="spellStart"/>
      <w:r w:rsidRPr="006E54FB">
        <w:rPr>
          <w:rFonts w:ascii="Times New Roman" w:hAnsi="Times New Roman" w:cs="Times New Roman"/>
          <w:i/>
          <w:sz w:val="20"/>
          <w:szCs w:val="20"/>
        </w:rPr>
        <w:t>Corporate</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Governance</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and</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the</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Impact</w:t>
      </w:r>
      <w:proofErr w:type="spellEnd"/>
      <w:r w:rsidRPr="006E54FB">
        <w:rPr>
          <w:rFonts w:ascii="Times New Roman" w:hAnsi="Times New Roman" w:cs="Times New Roman"/>
          <w:i/>
          <w:sz w:val="20"/>
          <w:szCs w:val="20"/>
        </w:rPr>
        <w:t xml:space="preserve"> of </w:t>
      </w:r>
      <w:proofErr w:type="spellStart"/>
      <w:r w:rsidRPr="006E54FB">
        <w:rPr>
          <w:rFonts w:ascii="Times New Roman" w:hAnsi="Times New Roman" w:cs="Times New Roman"/>
          <w:i/>
          <w:sz w:val="20"/>
          <w:szCs w:val="20"/>
        </w:rPr>
        <w:t>Controlling</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Governance</w:t>
      </w:r>
      <w:proofErr w:type="spellEnd"/>
      <w:r w:rsidRPr="009975EA">
        <w:rPr>
          <w:rFonts w:ascii="Times New Roman" w:hAnsi="Times New Roman" w:cs="Times New Roman"/>
          <w:sz w:val="20"/>
          <w:szCs w:val="20"/>
        </w:rPr>
        <w:t xml:space="preserve"> Advisor </w:t>
      </w:r>
      <w:proofErr w:type="spellStart"/>
      <w:r w:rsidRPr="009975EA">
        <w:rPr>
          <w:rFonts w:ascii="Times New Roman" w:hAnsi="Times New Roman" w:cs="Times New Roman"/>
          <w:sz w:val="20"/>
          <w:szCs w:val="20"/>
        </w:rPr>
        <w:t>Vol</w:t>
      </w:r>
      <w:proofErr w:type="spellEnd"/>
      <w:r w:rsidRPr="009975EA">
        <w:rPr>
          <w:rFonts w:ascii="Times New Roman" w:hAnsi="Times New Roman" w:cs="Times New Roman"/>
          <w:sz w:val="20"/>
          <w:szCs w:val="20"/>
        </w:rPr>
        <w:t xml:space="preserve">. 18 </w:t>
      </w:r>
      <w:proofErr w:type="spellStart"/>
      <w:r w:rsidRPr="009975EA">
        <w:rPr>
          <w:rFonts w:ascii="Times New Roman" w:hAnsi="Times New Roman" w:cs="Times New Roman"/>
          <w:sz w:val="20"/>
          <w:szCs w:val="20"/>
        </w:rPr>
        <w:t>Issue</w:t>
      </w:r>
      <w:proofErr w:type="spellEnd"/>
      <w:r w:rsidRPr="009975EA">
        <w:rPr>
          <w:rFonts w:ascii="Times New Roman" w:hAnsi="Times New Roman" w:cs="Times New Roman"/>
          <w:sz w:val="20"/>
          <w:szCs w:val="20"/>
        </w:rPr>
        <w:t xml:space="preserve"> 1 (2010)</w:t>
      </w:r>
      <w:r>
        <w:rPr>
          <w:rFonts w:ascii="Times New Roman" w:hAnsi="Times New Roman" w:cs="Times New Roman"/>
          <w:sz w:val="20"/>
          <w:szCs w:val="20"/>
        </w:rPr>
        <w:t xml:space="preserve"> </w:t>
      </w:r>
      <w:r w:rsidR="007F6B41">
        <w:rPr>
          <w:rFonts w:ascii="Times New Roman" w:hAnsi="Times New Roman" w:cs="Times New Roman"/>
          <w:sz w:val="20"/>
          <w:szCs w:val="20"/>
        </w:rPr>
        <w:t>p.</w:t>
      </w:r>
      <w:r>
        <w:rPr>
          <w:rFonts w:ascii="Times New Roman" w:hAnsi="Times New Roman" w:cs="Times New Roman"/>
          <w:sz w:val="20"/>
          <w:szCs w:val="20"/>
        </w:rPr>
        <w:t xml:space="preserve"> 3</w:t>
      </w:r>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existence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i/>
          <w:iCs/>
          <w:color w:val="000000"/>
          <w:sz w:val="20"/>
          <w:szCs w:val="20"/>
        </w:rPr>
        <w:t>any</w:t>
      </w:r>
      <w:proofErr w:type="spellEnd"/>
      <w:r w:rsidRPr="009975EA">
        <w:rPr>
          <w:rFonts w:ascii="Times New Roman" w:hAnsi="Times New Roman" w:cs="Times New Roman"/>
          <w:i/>
          <w:iCs/>
          <w:color w:val="000000"/>
          <w:sz w:val="20"/>
          <w:szCs w:val="20"/>
        </w:rPr>
        <w:t xml:space="preserve"> </w:t>
      </w:r>
      <w:proofErr w:type="spellStart"/>
      <w:r w:rsidRPr="009975EA">
        <w:rPr>
          <w:rFonts w:ascii="Times New Roman" w:hAnsi="Times New Roman" w:cs="Times New Roman"/>
          <w:color w:val="000000"/>
          <w:sz w:val="20"/>
          <w:szCs w:val="20"/>
        </w:rPr>
        <w:t>private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benefit</w:t>
      </w:r>
      <w:proofErr w:type="spellEnd"/>
      <w:r w:rsidRPr="009975EA">
        <w:rPr>
          <w:rFonts w:ascii="Times New Roman" w:hAnsi="Times New Roman" w:cs="Times New Roman"/>
          <w:color w:val="000000"/>
          <w:sz w:val="20"/>
          <w:szCs w:val="20"/>
        </w:rPr>
        <w:t xml:space="preserve"> –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pecuniary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non-pecuniary</w:t>
      </w:r>
      <w:proofErr w:type="spellEnd"/>
      <w:r w:rsidRPr="009975EA">
        <w:rPr>
          <w:rFonts w:ascii="Times New Roman" w:hAnsi="Times New Roman" w:cs="Times New Roman"/>
          <w:color w:val="000000"/>
          <w:sz w:val="20"/>
          <w:szCs w:val="20"/>
        </w:rPr>
        <w:t xml:space="preserve"> –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is not </w:t>
      </w:r>
      <w:proofErr w:type="spellStart"/>
      <w:r w:rsidRPr="009975EA">
        <w:rPr>
          <w:rFonts w:ascii="Times New Roman" w:hAnsi="Times New Roman" w:cs="Times New Roman"/>
          <w:color w:val="000000"/>
          <w:sz w:val="20"/>
          <w:szCs w:val="20"/>
        </w:rPr>
        <w:t>shared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gives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owner</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incentive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deviate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maximization</w:t>
      </w:r>
      <w:proofErr w:type="spellEnd"/>
      <w:r w:rsidRPr="009975EA">
        <w:rPr>
          <w:rFonts w:ascii="Times New Roman" w:hAnsi="Times New Roman" w:cs="Times New Roman"/>
          <w:color w:val="000000"/>
          <w:sz w:val="20"/>
          <w:szCs w:val="20"/>
        </w:rPr>
        <w:t xml:space="preserve"> of total </w:t>
      </w:r>
      <w:proofErr w:type="spellStart"/>
      <w:r w:rsidRPr="009975EA">
        <w:rPr>
          <w:rFonts w:ascii="Times New Roman" w:hAnsi="Times New Roman" w:cs="Times New Roman"/>
          <w:color w:val="000000"/>
          <w:sz w:val="20"/>
          <w:szCs w:val="20"/>
        </w:rPr>
        <w:t>firm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Indeed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based</w:t>
      </w:r>
      <w:proofErr w:type="spellEnd"/>
      <w:r w:rsidRPr="009975EA">
        <w:rPr>
          <w:rFonts w:ascii="Times New Roman" w:hAnsi="Times New Roman" w:cs="Times New Roman"/>
          <w:color w:val="000000"/>
          <w:sz w:val="20"/>
          <w:szCs w:val="20"/>
        </w:rPr>
        <w:t xml:space="preserve"> on her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maximize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sum</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firm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her </w:t>
      </w:r>
      <w:proofErr w:type="spellStart"/>
      <w:r w:rsidRPr="009975EA">
        <w:rPr>
          <w:rFonts w:ascii="Times New Roman" w:hAnsi="Times New Roman" w:cs="Times New Roman"/>
          <w:color w:val="000000"/>
          <w:sz w:val="20"/>
          <w:szCs w:val="20"/>
        </w:rPr>
        <w:t>p</w:t>
      </w:r>
      <w:r>
        <w:rPr>
          <w:rFonts w:ascii="Times New Roman" w:hAnsi="Times New Roman" w:cs="Times New Roman"/>
          <w:color w:val="000000"/>
          <w:sz w:val="20"/>
          <w:szCs w:val="20"/>
        </w:rPr>
        <w:t>rivate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benefits</w:t>
      </w:r>
      <w:proofErr w:type="spellEnd"/>
      <w:r>
        <w:rPr>
          <w:rFonts w:ascii="Times New Roman" w:hAnsi="Times New Roman" w:cs="Times New Roman"/>
          <w:color w:val="000000"/>
          <w:sz w:val="20"/>
          <w:szCs w:val="20"/>
        </w:rPr>
        <w:t>” (</w:t>
      </w:r>
      <w:proofErr w:type="spellStart"/>
      <w:r>
        <w:rPr>
          <w:rFonts w:ascii="Times New Roman" w:hAnsi="Times New Roman" w:cs="Times New Roman"/>
          <w:color w:val="000000"/>
          <w:sz w:val="20"/>
          <w:szCs w:val="20"/>
        </w:rPr>
        <w:t>Olaf</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Ehrhardt</w:t>
      </w:r>
      <w:proofErr w:type="spellEnd"/>
      <w:r>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Eric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Nowak</w:t>
      </w:r>
      <w:proofErr w:type="spellEnd"/>
      <w:r w:rsidRPr="009975EA">
        <w:rPr>
          <w:rFonts w:ascii="Times New Roman" w:hAnsi="Times New Roman" w:cs="Times New Roman"/>
          <w:color w:val="000000"/>
          <w:sz w:val="20"/>
          <w:szCs w:val="20"/>
        </w:rPr>
        <w:t xml:space="preserve">, </w:t>
      </w:r>
      <w:proofErr w:type="spellStart"/>
      <w:r w:rsidRPr="006E54FB">
        <w:rPr>
          <w:rFonts w:ascii="Times New Roman" w:hAnsi="Times New Roman" w:cs="Times New Roman"/>
          <w:i/>
          <w:color w:val="000000"/>
          <w:sz w:val="20"/>
          <w:szCs w:val="20"/>
        </w:rPr>
        <w:t>Private</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Benefits</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and</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Minority</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Shareholder</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Expropriation</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Empirical</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Evidence</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from</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IPOs</w:t>
      </w:r>
      <w:proofErr w:type="spellEnd"/>
      <w:r w:rsidRPr="006E54FB">
        <w:rPr>
          <w:rFonts w:ascii="Times New Roman" w:hAnsi="Times New Roman" w:cs="Times New Roman"/>
          <w:i/>
          <w:color w:val="000000"/>
          <w:sz w:val="20"/>
          <w:szCs w:val="20"/>
        </w:rPr>
        <w:t xml:space="preserve"> of </w:t>
      </w:r>
      <w:proofErr w:type="spellStart"/>
      <w:r w:rsidRPr="006E54FB">
        <w:rPr>
          <w:rFonts w:ascii="Times New Roman" w:hAnsi="Times New Roman" w:cs="Times New Roman"/>
          <w:i/>
          <w:color w:val="000000"/>
          <w:sz w:val="20"/>
          <w:szCs w:val="20"/>
        </w:rPr>
        <w:t>German</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Family</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Owned</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Firms</w:t>
      </w:r>
      <w:proofErr w:type="spellEnd"/>
      <w:r w:rsidRPr="009975EA">
        <w:rPr>
          <w:rFonts w:ascii="Times New Roman" w:hAnsi="Times New Roman" w:cs="Times New Roman"/>
          <w:color w:val="000000"/>
          <w:sz w:val="20"/>
          <w:szCs w:val="20"/>
        </w:rPr>
        <w:t xml:space="preserve">, CFS </w:t>
      </w:r>
      <w:proofErr w:type="spellStart"/>
      <w:r w:rsidRPr="009975EA">
        <w:rPr>
          <w:rFonts w:ascii="Times New Roman" w:hAnsi="Times New Roman" w:cs="Times New Roman"/>
          <w:color w:val="000000"/>
          <w:sz w:val="20"/>
          <w:szCs w:val="20"/>
        </w:rPr>
        <w:t>Working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Paper</w:t>
      </w:r>
      <w:proofErr w:type="spellEnd"/>
      <w:r w:rsidRPr="009975EA">
        <w:rPr>
          <w:rFonts w:ascii="Times New Roman" w:hAnsi="Times New Roman" w:cs="Times New Roman"/>
          <w:color w:val="000000"/>
          <w:sz w:val="20"/>
          <w:szCs w:val="20"/>
        </w:rPr>
        <w:t xml:space="preserve"> No. 2001/10</w:t>
      </w:r>
      <w:r>
        <w:rPr>
          <w:rFonts w:ascii="Times New Roman" w:hAnsi="Times New Roman" w:cs="Times New Roman"/>
          <w:color w:val="000000"/>
          <w:sz w:val="20"/>
          <w:szCs w:val="20"/>
        </w:rPr>
        <w:t xml:space="preserve"> </w:t>
      </w:r>
      <w:r w:rsidR="007F6B41">
        <w:rPr>
          <w:rFonts w:ascii="Times New Roman" w:hAnsi="Times New Roman" w:cs="Times New Roman"/>
          <w:color w:val="000000"/>
          <w:sz w:val="20"/>
          <w:szCs w:val="20"/>
        </w:rPr>
        <w:t>p.</w:t>
      </w:r>
      <w:r>
        <w:rPr>
          <w:rFonts w:ascii="Times New Roman" w:hAnsi="Times New Roman" w:cs="Times New Roman"/>
          <w:color w:val="000000"/>
          <w:sz w:val="20"/>
          <w:szCs w:val="20"/>
        </w:rPr>
        <w:t xml:space="preserve"> </w:t>
      </w:r>
      <w:r w:rsidRPr="009975EA">
        <w:rPr>
          <w:rFonts w:ascii="Times New Roman" w:hAnsi="Times New Roman" w:cs="Times New Roman"/>
          <w:color w:val="000000"/>
          <w:sz w:val="20"/>
          <w:szCs w:val="20"/>
        </w:rPr>
        <w:t>6).</w:t>
      </w:r>
    </w:p>
  </w:footnote>
  <w:footnote w:id="14">
    <w:p w14:paraId="6FF1691D" w14:textId="77777777" w:rsidR="008E506F" w:rsidRPr="009975EA" w:rsidRDefault="008E506F" w:rsidP="008E506F">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Deterioration in profit margins does not only affect the amount of dividend that a shareholder might receive, but it also affects the price of the shares, so </w:t>
      </w:r>
      <w:r>
        <w:rPr>
          <w:rFonts w:ascii="Times New Roman" w:hAnsi="Times New Roman" w:cs="Times New Roman"/>
          <w:sz w:val="20"/>
          <w:szCs w:val="20"/>
        </w:rPr>
        <w:t xml:space="preserve">it </w:t>
      </w:r>
      <w:r w:rsidRPr="009975EA">
        <w:rPr>
          <w:rFonts w:ascii="Times New Roman" w:hAnsi="Times New Roman" w:cs="Times New Roman"/>
          <w:sz w:val="20"/>
          <w:szCs w:val="20"/>
        </w:rPr>
        <w:t xml:space="preserve">can decrease the amount of profit that a shareholder can realize by selling his share. (“…if a public corporation retains profits rather than </w:t>
      </w:r>
      <w:proofErr w:type="spellStart"/>
      <w:r w:rsidRPr="009975EA">
        <w:rPr>
          <w:rFonts w:ascii="Times New Roman" w:hAnsi="Times New Roman" w:cs="Times New Roman"/>
          <w:sz w:val="20"/>
          <w:szCs w:val="20"/>
        </w:rPr>
        <w:t>delaring</w:t>
      </w:r>
      <w:proofErr w:type="spellEnd"/>
      <w:r w:rsidRPr="009975EA">
        <w:rPr>
          <w:rFonts w:ascii="Times New Roman" w:hAnsi="Times New Roman" w:cs="Times New Roman"/>
          <w:sz w:val="20"/>
          <w:szCs w:val="20"/>
        </w:rPr>
        <w:t xml:space="preserve"> dividends, the price of the firm’s shares will rise accordingly.” (Douglas K. Moll, </w:t>
      </w:r>
      <w:r w:rsidRPr="006E54FB">
        <w:rPr>
          <w:rFonts w:ascii="Times New Roman" w:hAnsi="Times New Roman" w:cs="Times New Roman"/>
          <w:i/>
          <w:sz w:val="20"/>
          <w:szCs w:val="20"/>
        </w:rPr>
        <w:t>Shareholder Oppression &amp; Dividend Policy in the Close Corporation</w:t>
      </w:r>
      <w:r w:rsidRPr="009975EA">
        <w:rPr>
          <w:rFonts w:ascii="Times New Roman" w:hAnsi="Times New Roman" w:cs="Times New Roman"/>
          <w:sz w:val="20"/>
          <w:szCs w:val="20"/>
        </w:rPr>
        <w:t>, 60 Was</w:t>
      </w:r>
      <w:r>
        <w:rPr>
          <w:rFonts w:ascii="Times New Roman" w:hAnsi="Times New Roman" w:cs="Times New Roman"/>
          <w:sz w:val="20"/>
          <w:szCs w:val="20"/>
        </w:rPr>
        <w:t xml:space="preserve">h. &amp; Lee. L. Rev. 841 (2003), at </w:t>
      </w:r>
      <w:r w:rsidRPr="009975EA">
        <w:rPr>
          <w:rFonts w:ascii="Times New Roman" w:hAnsi="Times New Roman" w:cs="Times New Roman"/>
          <w:sz w:val="20"/>
          <w:szCs w:val="20"/>
        </w:rPr>
        <w:t>842))</w:t>
      </w:r>
    </w:p>
  </w:footnote>
  <w:footnote w:id="15">
    <w:p w14:paraId="57FEEDC3" w14:textId="53448AB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economics, the “second- best” solution represents the best outcome that can be realized, when some of the conditions necessary for the best (i.e., first- best) solution are not present. See, Kelvin </w:t>
      </w:r>
      <w:proofErr w:type="spellStart"/>
      <w:r w:rsidRPr="009975EA">
        <w:rPr>
          <w:rFonts w:ascii="Times New Roman" w:hAnsi="Times New Roman" w:cs="Times New Roman"/>
          <w:sz w:val="20"/>
          <w:szCs w:val="20"/>
        </w:rPr>
        <w:t>Lanch</w:t>
      </w:r>
      <w:r>
        <w:rPr>
          <w:rFonts w:ascii="Times New Roman" w:hAnsi="Times New Roman" w:cs="Times New Roman"/>
          <w:sz w:val="20"/>
          <w:szCs w:val="20"/>
        </w:rPr>
        <w:t>aster</w:t>
      </w:r>
      <w:proofErr w:type="spellEnd"/>
      <w:r>
        <w:rPr>
          <w:rFonts w:ascii="Times New Roman" w:hAnsi="Times New Roman" w:cs="Times New Roman"/>
          <w:sz w:val="20"/>
          <w:szCs w:val="20"/>
        </w:rPr>
        <w:t xml:space="preserve">, </w:t>
      </w:r>
      <w:r w:rsidRPr="009975EA">
        <w:rPr>
          <w:rFonts w:ascii="Times New Roman" w:hAnsi="Times New Roman" w:cs="Times New Roman"/>
          <w:sz w:val="20"/>
          <w:szCs w:val="20"/>
        </w:rPr>
        <w:t xml:space="preserve">Richard G. Lipsey, </w:t>
      </w:r>
      <w:r w:rsidRPr="006E54FB">
        <w:rPr>
          <w:rFonts w:ascii="Times New Roman" w:hAnsi="Times New Roman" w:cs="Times New Roman"/>
          <w:i/>
          <w:sz w:val="20"/>
          <w:szCs w:val="20"/>
        </w:rPr>
        <w:t>The General Theory of the Second Best</w:t>
      </w:r>
      <w:r w:rsidRPr="009975EA">
        <w:rPr>
          <w:rFonts w:ascii="Times New Roman" w:hAnsi="Times New Roman" w:cs="Times New Roman"/>
          <w:sz w:val="20"/>
          <w:szCs w:val="20"/>
        </w:rPr>
        <w:t>, The Review of Economic Studies</w:t>
      </w:r>
      <w:r>
        <w:rPr>
          <w:rFonts w:ascii="Times New Roman" w:hAnsi="Times New Roman" w:cs="Times New Roman"/>
          <w:sz w:val="20"/>
          <w:szCs w:val="20"/>
        </w:rPr>
        <w:t>, Vol. 24 No. 1 (1956- 1957) at</w:t>
      </w:r>
      <w:r w:rsidRPr="009975EA">
        <w:rPr>
          <w:rFonts w:ascii="Times New Roman" w:hAnsi="Times New Roman" w:cs="Times New Roman"/>
          <w:sz w:val="20"/>
          <w:szCs w:val="20"/>
        </w:rPr>
        <w:t xml:space="preserve"> 11: “It is well known that the attainment of a Paretian optimum requires the simultaneous fulfillment of all the optimum conditions. The general theorem for the </w:t>
      </w:r>
      <w:proofErr w:type="gramStart"/>
      <w:r w:rsidRPr="009975EA">
        <w:rPr>
          <w:rFonts w:ascii="Times New Roman" w:hAnsi="Times New Roman" w:cs="Times New Roman"/>
          <w:sz w:val="20"/>
          <w:szCs w:val="20"/>
        </w:rPr>
        <w:t>second best</w:t>
      </w:r>
      <w:proofErr w:type="gramEnd"/>
      <w:r w:rsidRPr="009975EA">
        <w:rPr>
          <w:rFonts w:ascii="Times New Roman" w:hAnsi="Times New Roman" w:cs="Times New Roman"/>
          <w:sz w:val="20"/>
          <w:szCs w:val="20"/>
        </w:rPr>
        <w:t xml:space="preserve"> optimum states that if there is introduced into a general equilibrium system a constraint which prevents the attainment of one of the Paretian conditions, the other Paretian conditions, although still attainable, are, in general, no longer desirable. In other words, given that one of the Paretian optimum conditions cannot be fulfilled, then an optimum situation can be achieved only by departing from all the other Paretian conditions. The </w:t>
      </w:r>
      <w:proofErr w:type="spellStart"/>
      <w:r w:rsidRPr="009975EA">
        <w:rPr>
          <w:rFonts w:ascii="Times New Roman" w:hAnsi="Times New Roman" w:cs="Times New Roman"/>
          <w:sz w:val="20"/>
          <w:szCs w:val="20"/>
        </w:rPr>
        <w:t>optimim</w:t>
      </w:r>
      <w:proofErr w:type="spellEnd"/>
      <w:r w:rsidRPr="009975EA">
        <w:rPr>
          <w:rFonts w:ascii="Times New Roman" w:hAnsi="Times New Roman" w:cs="Times New Roman"/>
          <w:sz w:val="20"/>
          <w:szCs w:val="20"/>
        </w:rPr>
        <w:t xml:space="preserve"> situation finally attained may be termed a second best optimum because it is achieved subject to a constraint which, by definition, prevents the attainment of a Paretian optimum.”</w:t>
      </w:r>
    </w:p>
  </w:footnote>
  <w:footnote w:id="16">
    <w:p w14:paraId="53A091F4" w14:textId="77777777" w:rsidR="00D36541" w:rsidRPr="009975EA" w:rsidRDefault="00D36541" w:rsidP="009975EA">
      <w:pPr>
        <w:widowControl w:val="0"/>
        <w:autoSpaceDE w:val="0"/>
        <w:autoSpaceDN w:val="0"/>
        <w:adjustRightInd w:val="0"/>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Matter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Kemp</w:t>
      </w:r>
      <w:proofErr w:type="spellEnd"/>
      <w:r w:rsidRPr="009975EA">
        <w:rPr>
          <w:rFonts w:ascii="Times New Roman" w:hAnsi="Times New Roman" w:cs="Times New Roman"/>
          <w:sz w:val="20"/>
          <w:szCs w:val="20"/>
        </w:rPr>
        <w:t xml:space="preserve"> &amp; </w:t>
      </w:r>
      <w:proofErr w:type="spellStart"/>
      <w:r w:rsidRPr="009975EA">
        <w:rPr>
          <w:rFonts w:ascii="Times New Roman" w:hAnsi="Times New Roman" w:cs="Times New Roman"/>
          <w:sz w:val="20"/>
          <w:szCs w:val="20"/>
        </w:rPr>
        <w:t>Beatley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64 N.Y. 2d 63 (1984): “</w:t>
      </w:r>
      <w:proofErr w:type="spellStart"/>
      <w:r w:rsidRPr="009975EA">
        <w:rPr>
          <w:rFonts w:ascii="Times New Roman" w:hAnsi="Times New Roman" w:cs="Times New Roman"/>
          <w:color w:val="000000"/>
          <w:sz w:val="20"/>
          <w:szCs w:val="20"/>
        </w:rPr>
        <w:t>Defining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distinct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illegality</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context</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considered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forums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question</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resolved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considering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refer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substantially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defeats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committing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particular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enterprise</w:t>
      </w:r>
      <w:proofErr w:type="spellEnd"/>
      <w:r w:rsidRPr="009975EA">
        <w:rPr>
          <w:rFonts w:ascii="Times New Roman" w:hAnsi="Times New Roman" w:cs="Times New Roman"/>
          <w:color w:val="000000"/>
          <w:sz w:val="20"/>
          <w:szCs w:val="20"/>
        </w:rPr>
        <w:t xml:space="preserve">”. </w:t>
      </w:r>
    </w:p>
  </w:footnote>
  <w:footnote w:id="17">
    <w:p w14:paraId="520C24F7" w14:textId="19268090"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Thus</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abuse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position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private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gain</w:t>
      </w:r>
      <w:proofErr w:type="spellEnd"/>
      <w:r w:rsidRPr="009975EA">
        <w:rPr>
          <w:rFonts w:ascii="Times New Roman" w:hAnsi="Times New Roman" w:cs="Times New Roman"/>
          <w:sz w:val="20"/>
          <w:szCs w:val="20"/>
        </w:rPr>
        <w:t xml:space="preserve"> at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expense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stockholder</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oppressive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conduct</w:t>
      </w:r>
      <w:proofErr w:type="spellEnd"/>
      <w:r w:rsidRPr="009975EA">
        <w:rPr>
          <w:rFonts w:ascii="Times New Roman" w:hAnsi="Times New Roman" w:cs="Times New Roman"/>
          <w:sz w:val="20"/>
          <w:szCs w:val="20"/>
        </w:rPr>
        <w:t xml:space="preserve">.” (Baker v. Commercial Body </w:t>
      </w:r>
      <w:proofErr w:type="spellStart"/>
      <w:r w:rsidRPr="009975EA">
        <w:rPr>
          <w:rFonts w:ascii="Times New Roman" w:hAnsi="Times New Roman" w:cs="Times New Roman"/>
          <w:sz w:val="20"/>
          <w:szCs w:val="20"/>
        </w:rPr>
        <w:t>Builders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264 Or. 614 (1973));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against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prohibition</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non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rata</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distributions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prohibitions</w:t>
      </w:r>
      <w:proofErr w:type="spellEnd"/>
      <w:r w:rsidRPr="009975EA">
        <w:rPr>
          <w:rFonts w:ascii="Times New Roman" w:hAnsi="Times New Roman" w:cs="Times New Roman"/>
          <w:color w:val="000000"/>
          <w:sz w:val="20"/>
          <w:szCs w:val="20"/>
        </w:rPr>
        <w:t xml:space="preserve"> on self-</w:t>
      </w:r>
      <w:proofErr w:type="spellStart"/>
      <w:r w:rsidRPr="009975EA">
        <w:rPr>
          <w:rFonts w:ascii="Times New Roman" w:hAnsi="Times New Roman" w:cs="Times New Roman"/>
          <w:color w:val="000000"/>
          <w:sz w:val="20"/>
          <w:szCs w:val="20"/>
        </w:rPr>
        <w:t>dealing</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doctrine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can be </w:t>
      </w:r>
      <w:proofErr w:type="spellStart"/>
      <w:r w:rsidRPr="009975EA">
        <w:rPr>
          <w:rFonts w:ascii="Times New Roman" w:hAnsi="Times New Roman" w:cs="Times New Roman"/>
          <w:color w:val="000000"/>
          <w:sz w:val="20"/>
          <w:szCs w:val="20"/>
        </w:rPr>
        <w:t>understood</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supplemental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response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this</w:t>
      </w:r>
      <w:proofErr w:type="spellEnd"/>
      <w:r>
        <w:rPr>
          <w:rFonts w:ascii="Times New Roman" w:hAnsi="Times New Roman" w:cs="Times New Roman"/>
          <w:color w:val="000000"/>
          <w:sz w:val="20"/>
          <w:szCs w:val="20"/>
        </w:rPr>
        <w:t xml:space="preserve"> problem.” (Edward B. </w:t>
      </w:r>
      <w:proofErr w:type="spellStart"/>
      <w:r>
        <w:rPr>
          <w:rFonts w:ascii="Times New Roman" w:hAnsi="Times New Roman" w:cs="Times New Roman"/>
          <w:color w:val="000000"/>
          <w:sz w:val="20"/>
          <w:szCs w:val="20"/>
        </w:rPr>
        <w:t>Rock</w:t>
      </w:r>
      <w:proofErr w:type="spellEnd"/>
      <w:r>
        <w:rPr>
          <w:rFonts w:ascii="Times New Roman" w:hAnsi="Times New Roman" w:cs="Times New Roman"/>
          <w:color w:val="000000"/>
          <w:sz w:val="20"/>
          <w:szCs w:val="20"/>
        </w:rPr>
        <w:t xml:space="preserve">, </w:t>
      </w:r>
      <w:r w:rsidRPr="009975EA">
        <w:rPr>
          <w:rFonts w:ascii="Times New Roman" w:hAnsi="Times New Roman" w:cs="Times New Roman"/>
          <w:color w:val="000000"/>
          <w:sz w:val="20"/>
          <w:szCs w:val="20"/>
        </w:rPr>
        <w:t xml:space="preserve">Michael L. </w:t>
      </w:r>
      <w:proofErr w:type="spellStart"/>
      <w:r w:rsidRPr="009975EA">
        <w:rPr>
          <w:rFonts w:ascii="Times New Roman" w:hAnsi="Times New Roman" w:cs="Times New Roman"/>
          <w:color w:val="000000"/>
          <w:sz w:val="20"/>
          <w:szCs w:val="20"/>
        </w:rPr>
        <w:t>Wachter</w:t>
      </w:r>
      <w:proofErr w:type="spellEnd"/>
      <w:r w:rsidRPr="009975EA">
        <w:rPr>
          <w:rFonts w:ascii="Times New Roman" w:hAnsi="Times New Roman" w:cs="Times New Roman"/>
          <w:color w:val="000000"/>
          <w:sz w:val="20"/>
          <w:szCs w:val="20"/>
        </w:rPr>
        <w:t xml:space="preserve">, </w:t>
      </w:r>
      <w:proofErr w:type="spellStart"/>
      <w:r w:rsidRPr="006E54FB">
        <w:rPr>
          <w:rFonts w:ascii="Times New Roman" w:hAnsi="Times New Roman" w:cs="Times New Roman"/>
          <w:i/>
          <w:color w:val="000000"/>
          <w:sz w:val="20"/>
          <w:szCs w:val="20"/>
        </w:rPr>
        <w:t>Waiting</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for</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the</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Omelet</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to</w:t>
      </w:r>
      <w:proofErr w:type="spellEnd"/>
      <w:r w:rsidRPr="006E54FB">
        <w:rPr>
          <w:rFonts w:ascii="Times New Roman" w:hAnsi="Times New Roman" w:cs="Times New Roman"/>
          <w:i/>
          <w:color w:val="000000"/>
          <w:sz w:val="20"/>
          <w:szCs w:val="20"/>
        </w:rPr>
        <w:t xml:space="preserve"> Set: </w:t>
      </w:r>
      <w:proofErr w:type="spellStart"/>
      <w:r w:rsidRPr="006E54FB">
        <w:rPr>
          <w:rFonts w:ascii="Times New Roman" w:hAnsi="Times New Roman" w:cs="Times New Roman"/>
          <w:i/>
          <w:color w:val="000000"/>
          <w:sz w:val="20"/>
          <w:szCs w:val="20"/>
        </w:rPr>
        <w:t>Match</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Specific</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Assets</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and</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Minority</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Oppression</w:t>
      </w:r>
      <w:proofErr w:type="spellEnd"/>
      <w:r w:rsidRPr="006E54FB">
        <w:rPr>
          <w:rFonts w:ascii="Times New Roman" w:hAnsi="Times New Roman" w:cs="Times New Roman"/>
          <w:i/>
          <w:color w:val="000000"/>
          <w:sz w:val="20"/>
          <w:szCs w:val="20"/>
        </w:rPr>
        <w:t xml:space="preserve"> in Close </w:t>
      </w:r>
      <w:proofErr w:type="spellStart"/>
      <w:r w:rsidRPr="006E54FB">
        <w:rPr>
          <w:rFonts w:ascii="Times New Roman" w:hAnsi="Times New Roman" w:cs="Times New Roman"/>
          <w:i/>
          <w:color w:val="000000"/>
          <w:sz w:val="20"/>
          <w:szCs w:val="20"/>
        </w:rPr>
        <w:t>Corporations</w:t>
      </w:r>
      <w:proofErr w:type="spellEnd"/>
      <w:r>
        <w:rPr>
          <w:rFonts w:ascii="Times New Roman" w:hAnsi="Times New Roman" w:cs="Times New Roman"/>
          <w:color w:val="000000"/>
          <w:sz w:val="20"/>
          <w:szCs w:val="20"/>
        </w:rPr>
        <w:t xml:space="preserve">, 24 J. </w:t>
      </w:r>
      <w:proofErr w:type="spellStart"/>
      <w:r>
        <w:rPr>
          <w:rFonts w:ascii="Times New Roman" w:hAnsi="Times New Roman" w:cs="Times New Roman"/>
          <w:color w:val="000000"/>
          <w:sz w:val="20"/>
          <w:szCs w:val="20"/>
        </w:rPr>
        <w:t>Corp</w:t>
      </w:r>
      <w:proofErr w:type="spellEnd"/>
      <w:r>
        <w:rPr>
          <w:rFonts w:ascii="Times New Roman" w:hAnsi="Times New Roman" w:cs="Times New Roman"/>
          <w:color w:val="000000"/>
          <w:sz w:val="20"/>
          <w:szCs w:val="20"/>
        </w:rPr>
        <w:t xml:space="preserve">. L. 913 (1999) </w:t>
      </w:r>
      <w:r w:rsidR="007F6B41">
        <w:rPr>
          <w:rFonts w:ascii="Times New Roman" w:hAnsi="Times New Roman" w:cs="Times New Roman"/>
          <w:color w:val="000000"/>
          <w:sz w:val="20"/>
          <w:szCs w:val="20"/>
        </w:rPr>
        <w:t>p.</w:t>
      </w:r>
      <w:r>
        <w:rPr>
          <w:rFonts w:ascii="Times New Roman" w:hAnsi="Times New Roman" w:cs="Times New Roman"/>
          <w:color w:val="000000"/>
          <w:sz w:val="20"/>
          <w:szCs w:val="20"/>
        </w:rPr>
        <w:t xml:space="preserve"> </w:t>
      </w:r>
      <w:r w:rsidRPr="009975EA">
        <w:rPr>
          <w:rFonts w:ascii="Times New Roman" w:hAnsi="Times New Roman" w:cs="Times New Roman"/>
          <w:color w:val="000000"/>
          <w:sz w:val="20"/>
          <w:szCs w:val="20"/>
        </w:rPr>
        <w:t>923);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viewed</w:t>
      </w:r>
      <w:proofErr w:type="spellEnd"/>
      <w:r w:rsidRPr="009975EA">
        <w:rPr>
          <w:rFonts w:ascii="Times New Roman" w:hAnsi="Times New Roman" w:cs="Times New Roman"/>
          <w:color w:val="000000"/>
          <w:sz w:val="20"/>
          <w:szCs w:val="20"/>
        </w:rPr>
        <w:t xml:space="preserve"> as an </w:t>
      </w:r>
      <w:proofErr w:type="spellStart"/>
      <w:r w:rsidRPr="009975EA">
        <w:rPr>
          <w:rFonts w:ascii="Times New Roman" w:hAnsi="Times New Roman" w:cs="Times New Roman"/>
          <w:color w:val="000000"/>
          <w:sz w:val="20"/>
          <w:szCs w:val="20"/>
        </w:rPr>
        <w:t>investment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centered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doctrine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implication</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liability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arises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investment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harmed</w:t>
      </w:r>
      <w:proofErr w:type="spellEnd"/>
      <w:r w:rsidRPr="009975EA">
        <w:rPr>
          <w:rFonts w:ascii="Times New Roman" w:hAnsi="Times New Roman" w:cs="Times New Roman"/>
          <w:color w:val="000000"/>
          <w:sz w:val="20"/>
          <w:szCs w:val="20"/>
        </w:rPr>
        <w:t>” (</w:t>
      </w:r>
      <w:r w:rsidRPr="009975EA">
        <w:rPr>
          <w:rFonts w:ascii="Times New Roman" w:hAnsi="Times New Roman" w:cs="Times New Roman"/>
          <w:sz w:val="20"/>
          <w:szCs w:val="20"/>
        </w:rPr>
        <w:t xml:space="preserve">Douglas </w:t>
      </w:r>
      <w:proofErr w:type="spellStart"/>
      <w:r w:rsidRPr="009975EA">
        <w:rPr>
          <w:rFonts w:ascii="Times New Roman" w:hAnsi="Times New Roman" w:cs="Times New Roman"/>
          <w:sz w:val="20"/>
          <w:szCs w:val="20"/>
        </w:rPr>
        <w:t>Moll</w:t>
      </w:r>
      <w:proofErr w:type="spellEnd"/>
      <w:r w:rsidRPr="009975EA">
        <w:rPr>
          <w:rFonts w:ascii="Times New Roman" w:hAnsi="Times New Roman" w:cs="Times New Roman"/>
          <w:sz w:val="20"/>
          <w:szCs w:val="20"/>
        </w:rPr>
        <w:t xml:space="preserve">, </w:t>
      </w:r>
      <w:proofErr w:type="spellStart"/>
      <w:r w:rsidRPr="006E54FB">
        <w:rPr>
          <w:rFonts w:ascii="Times New Roman" w:hAnsi="Times New Roman" w:cs="Times New Roman"/>
          <w:i/>
          <w:sz w:val="20"/>
          <w:szCs w:val="20"/>
        </w:rPr>
        <w:t>Shareholder</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Oppression</w:t>
      </w:r>
      <w:proofErr w:type="spellEnd"/>
      <w:r w:rsidRPr="006E54FB">
        <w:rPr>
          <w:rFonts w:ascii="Times New Roman" w:hAnsi="Times New Roman" w:cs="Times New Roman"/>
          <w:i/>
          <w:sz w:val="20"/>
          <w:szCs w:val="20"/>
        </w:rPr>
        <w:t xml:space="preserve"> v. </w:t>
      </w:r>
      <w:proofErr w:type="spellStart"/>
      <w:r w:rsidRPr="006E54FB">
        <w:rPr>
          <w:rFonts w:ascii="Times New Roman" w:hAnsi="Times New Roman" w:cs="Times New Roman"/>
          <w:i/>
          <w:sz w:val="20"/>
          <w:szCs w:val="20"/>
        </w:rPr>
        <w:t>Employment</w:t>
      </w:r>
      <w:proofErr w:type="spellEnd"/>
      <w:r w:rsidRPr="006E54FB">
        <w:rPr>
          <w:rFonts w:ascii="Times New Roman" w:hAnsi="Times New Roman" w:cs="Times New Roman"/>
          <w:i/>
          <w:sz w:val="20"/>
          <w:szCs w:val="20"/>
        </w:rPr>
        <w:t xml:space="preserve"> at </w:t>
      </w:r>
      <w:proofErr w:type="spellStart"/>
      <w:r w:rsidRPr="006E54FB">
        <w:rPr>
          <w:rFonts w:ascii="Times New Roman" w:hAnsi="Times New Roman" w:cs="Times New Roman"/>
          <w:i/>
          <w:sz w:val="20"/>
          <w:szCs w:val="20"/>
        </w:rPr>
        <w:t>Will</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In</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the</w:t>
      </w:r>
      <w:proofErr w:type="spellEnd"/>
      <w:r w:rsidRPr="006E54FB">
        <w:rPr>
          <w:rFonts w:ascii="Times New Roman" w:hAnsi="Times New Roman" w:cs="Times New Roman"/>
          <w:i/>
          <w:sz w:val="20"/>
          <w:szCs w:val="20"/>
        </w:rPr>
        <w:t xml:space="preserve"> Close Corporation: </w:t>
      </w:r>
      <w:proofErr w:type="spellStart"/>
      <w:r w:rsidRPr="006E54FB">
        <w:rPr>
          <w:rFonts w:ascii="Times New Roman" w:hAnsi="Times New Roman" w:cs="Times New Roman"/>
          <w:i/>
          <w:sz w:val="20"/>
          <w:szCs w:val="20"/>
        </w:rPr>
        <w:t>The</w:t>
      </w:r>
      <w:proofErr w:type="spellEnd"/>
      <w:r w:rsidRPr="006E54FB">
        <w:rPr>
          <w:rFonts w:ascii="Times New Roman" w:hAnsi="Times New Roman" w:cs="Times New Roman"/>
          <w:i/>
          <w:sz w:val="20"/>
          <w:szCs w:val="20"/>
        </w:rPr>
        <w:t xml:space="preserve"> </w:t>
      </w:r>
      <w:proofErr w:type="spellStart"/>
      <w:r w:rsidRPr="006E54FB">
        <w:rPr>
          <w:rFonts w:ascii="Times New Roman" w:hAnsi="Times New Roman" w:cs="Times New Roman"/>
          <w:i/>
          <w:sz w:val="20"/>
          <w:szCs w:val="20"/>
        </w:rPr>
        <w:t>Investment</w:t>
      </w:r>
      <w:proofErr w:type="spellEnd"/>
      <w:r w:rsidRPr="006E54FB">
        <w:rPr>
          <w:rFonts w:ascii="Times New Roman" w:hAnsi="Times New Roman" w:cs="Times New Roman"/>
          <w:i/>
          <w:sz w:val="20"/>
          <w:szCs w:val="20"/>
        </w:rPr>
        <w:t xml:space="preserve"> Model Solution</w:t>
      </w:r>
      <w:r w:rsidRPr="009975EA">
        <w:rPr>
          <w:rFonts w:ascii="Times New Roman" w:hAnsi="Times New Roman" w:cs="Times New Roman"/>
          <w:sz w:val="20"/>
          <w:szCs w:val="20"/>
        </w:rPr>
        <w:t xml:space="preserve">, 1999 </w:t>
      </w:r>
      <w:r>
        <w:rPr>
          <w:rFonts w:ascii="Times New Roman" w:hAnsi="Times New Roman" w:cs="Times New Roman"/>
          <w:sz w:val="20"/>
          <w:szCs w:val="20"/>
        </w:rPr>
        <w:t xml:space="preserve">U. III. L. </w:t>
      </w:r>
      <w:proofErr w:type="spellStart"/>
      <w:r>
        <w:rPr>
          <w:rFonts w:ascii="Times New Roman" w:hAnsi="Times New Roman" w:cs="Times New Roman"/>
          <w:sz w:val="20"/>
          <w:szCs w:val="20"/>
        </w:rPr>
        <w:t>Rev</w:t>
      </w:r>
      <w:proofErr w:type="spellEnd"/>
      <w:r>
        <w:rPr>
          <w:rFonts w:ascii="Times New Roman" w:hAnsi="Times New Roman" w:cs="Times New Roman"/>
          <w:sz w:val="20"/>
          <w:szCs w:val="20"/>
        </w:rPr>
        <w:t xml:space="preserve">. 517 (1999), </w:t>
      </w:r>
      <w:r w:rsidR="007F6B41">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551</w:t>
      </w:r>
      <w:r w:rsidRPr="009975EA">
        <w:rPr>
          <w:rFonts w:ascii="Times New Roman" w:hAnsi="Times New Roman" w:cs="Times New Roman"/>
          <w:color w:val="000000"/>
          <w:sz w:val="20"/>
          <w:szCs w:val="20"/>
        </w:rPr>
        <w:t>)</w:t>
      </w:r>
    </w:p>
  </w:footnote>
  <w:footnote w:id="18">
    <w:p w14:paraId="19C5D01A" w14:textId="1AFE88BD"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proofErr w:type="spellStart"/>
      <w:r w:rsidRPr="009975EA">
        <w:rPr>
          <w:rFonts w:ascii="Times New Roman" w:hAnsi="Times New Roman" w:cs="Times New Roman"/>
          <w:sz w:val="20"/>
          <w:szCs w:val="20"/>
        </w:rPr>
        <w:t>It</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acknowledged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oppressive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conduct</w:t>
      </w:r>
      <w:proofErr w:type="spellEnd"/>
      <w:r w:rsidRPr="009975EA">
        <w:rPr>
          <w:rFonts w:ascii="Times New Roman" w:hAnsi="Times New Roman" w:cs="Times New Roman"/>
          <w:sz w:val="20"/>
          <w:szCs w:val="20"/>
        </w:rPr>
        <w:t xml:space="preserve"> is not </w:t>
      </w:r>
      <w:proofErr w:type="spellStart"/>
      <w:r w:rsidRPr="009975EA">
        <w:rPr>
          <w:rFonts w:ascii="Times New Roman" w:hAnsi="Times New Roman" w:cs="Times New Roman"/>
          <w:sz w:val="20"/>
          <w:szCs w:val="20"/>
        </w:rPr>
        <w:t>unique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w:t>
      </w:r>
      <w:r w:rsidRPr="009975EA">
        <w:rPr>
          <w:rFonts w:ascii="Times New Roman" w:hAnsi="Times New Roman" w:cs="Times New Roman"/>
          <w:color w:val="000000"/>
          <w:sz w:val="20"/>
          <w:szCs w:val="20"/>
        </w:rPr>
        <w:t xml:space="preserve">An </w:t>
      </w:r>
      <w:proofErr w:type="spellStart"/>
      <w:r w:rsidRPr="009975EA">
        <w:rPr>
          <w:rFonts w:ascii="Times New Roman" w:hAnsi="Times New Roman" w:cs="Times New Roman"/>
          <w:color w:val="000000"/>
          <w:sz w:val="20"/>
          <w:szCs w:val="20"/>
        </w:rPr>
        <w:t>investor</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large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publicly-held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certainly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feel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i/>
          <w:iCs/>
          <w:color w:val="000000"/>
          <w:sz w:val="20"/>
          <w:szCs w:val="20"/>
        </w:rPr>
        <w:t>i.e</w:t>
      </w:r>
      <w:proofErr w:type="spellEnd"/>
      <w:r w:rsidRPr="009975EA">
        <w:rPr>
          <w:rFonts w:ascii="Times New Roman" w:hAnsi="Times New Roman" w:cs="Times New Roman"/>
          <w:i/>
          <w:iCs/>
          <w:color w:val="000000"/>
          <w:sz w:val="20"/>
          <w:szCs w:val="20"/>
        </w:rPr>
        <w:t>.</w:t>
      </w:r>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his </w:t>
      </w:r>
      <w:proofErr w:type="spellStart"/>
      <w:r w:rsidRPr="009975EA">
        <w:rPr>
          <w:rFonts w:ascii="Times New Roman" w:hAnsi="Times New Roman" w:cs="Times New Roman"/>
          <w:color w:val="000000"/>
          <w:sz w:val="20"/>
          <w:szCs w:val="20"/>
        </w:rPr>
        <w:t>investment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goals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thwarted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operation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engaged</w:t>
      </w:r>
      <w:proofErr w:type="spellEnd"/>
      <w:r w:rsidRPr="009975EA">
        <w:rPr>
          <w:rFonts w:ascii="Times New Roman" w:hAnsi="Times New Roman" w:cs="Times New Roman"/>
          <w:color w:val="000000"/>
          <w:sz w:val="20"/>
          <w:szCs w:val="20"/>
        </w:rPr>
        <w:t xml:space="preserve"> i</w:t>
      </w:r>
      <w:r>
        <w:rPr>
          <w:rFonts w:ascii="Times New Roman" w:hAnsi="Times New Roman" w:cs="Times New Roman"/>
          <w:color w:val="000000"/>
          <w:sz w:val="20"/>
          <w:szCs w:val="20"/>
        </w:rPr>
        <w:t>n “</w:t>
      </w:r>
      <w:proofErr w:type="spellStart"/>
      <w:r>
        <w:rPr>
          <w:rFonts w:ascii="Times New Roman" w:hAnsi="Times New Roman" w:cs="Times New Roman"/>
          <w:color w:val="000000"/>
          <w:sz w:val="20"/>
          <w:szCs w:val="20"/>
        </w:rPr>
        <w:t>bad</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acts</w:t>
      </w:r>
      <w:proofErr w:type="spellEnd"/>
      <w:r>
        <w:rPr>
          <w:rFonts w:ascii="Times New Roman" w:hAnsi="Times New Roman" w:cs="Times New Roman"/>
          <w:color w:val="000000"/>
          <w:sz w:val="20"/>
          <w:szCs w:val="20"/>
        </w:rPr>
        <w:t>.”” (</w:t>
      </w:r>
      <w:proofErr w:type="spellStart"/>
      <w:r>
        <w:rPr>
          <w:rFonts w:ascii="Times New Roman" w:hAnsi="Times New Roman" w:cs="Times New Roman"/>
          <w:color w:val="000000"/>
          <w:sz w:val="20"/>
          <w:szCs w:val="20"/>
        </w:rPr>
        <w:t>Ladd</w:t>
      </w:r>
      <w:proofErr w:type="spellEnd"/>
      <w:r>
        <w:rPr>
          <w:rFonts w:ascii="Times New Roman" w:hAnsi="Times New Roman" w:cs="Times New Roman"/>
          <w:color w:val="000000"/>
          <w:sz w:val="20"/>
          <w:szCs w:val="20"/>
        </w:rPr>
        <w:t xml:space="preserve"> A. </w:t>
      </w:r>
      <w:proofErr w:type="spellStart"/>
      <w:r>
        <w:rPr>
          <w:rFonts w:ascii="Times New Roman" w:hAnsi="Times New Roman" w:cs="Times New Roman"/>
          <w:color w:val="000000"/>
          <w:sz w:val="20"/>
          <w:szCs w:val="20"/>
        </w:rPr>
        <w:t>Hirsch</w:t>
      </w:r>
      <w:proofErr w:type="spellEnd"/>
      <w:r>
        <w:rPr>
          <w:rFonts w:ascii="Times New Roman" w:hAnsi="Times New Roman" w:cs="Times New Roman"/>
          <w:color w:val="000000"/>
          <w:sz w:val="20"/>
          <w:szCs w:val="20"/>
        </w:rPr>
        <w:t>, J</w:t>
      </w:r>
      <w:r w:rsidRPr="009975EA">
        <w:rPr>
          <w:rFonts w:ascii="Times New Roman" w:hAnsi="Times New Roman" w:cs="Times New Roman"/>
          <w:color w:val="000000"/>
          <w:sz w:val="20"/>
          <w:szCs w:val="20"/>
        </w:rPr>
        <w:t xml:space="preserve">ames D. </w:t>
      </w:r>
      <w:proofErr w:type="spellStart"/>
      <w:r w:rsidRPr="009975EA">
        <w:rPr>
          <w:rFonts w:ascii="Times New Roman" w:hAnsi="Times New Roman" w:cs="Times New Roman"/>
          <w:color w:val="000000"/>
          <w:sz w:val="20"/>
          <w:szCs w:val="20"/>
        </w:rPr>
        <w:t>Sheppard</w:t>
      </w:r>
      <w:proofErr w:type="spellEnd"/>
      <w:r w:rsidRPr="009975EA">
        <w:rPr>
          <w:rFonts w:ascii="Times New Roman" w:hAnsi="Times New Roman" w:cs="Times New Roman"/>
          <w:color w:val="000000"/>
          <w:sz w:val="20"/>
          <w:szCs w:val="20"/>
        </w:rPr>
        <w:t xml:space="preserve">, </w:t>
      </w:r>
      <w:proofErr w:type="spellStart"/>
      <w:r w:rsidRPr="006E54FB">
        <w:rPr>
          <w:rFonts w:ascii="Times New Roman" w:hAnsi="Times New Roman" w:cs="Times New Roman"/>
          <w:i/>
          <w:color w:val="000000"/>
          <w:sz w:val="20"/>
          <w:szCs w:val="20"/>
        </w:rPr>
        <w:t>Claims</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for</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Oppression</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By</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Minority</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Shareholders</w:t>
      </w:r>
      <w:proofErr w:type="spellEnd"/>
      <w:r w:rsidRPr="006E54FB">
        <w:rPr>
          <w:rFonts w:ascii="Times New Roman" w:hAnsi="Times New Roman" w:cs="Times New Roman"/>
          <w:i/>
          <w:color w:val="000000"/>
          <w:sz w:val="20"/>
          <w:szCs w:val="20"/>
        </w:rPr>
        <w:t xml:space="preserve"> in </w:t>
      </w:r>
      <w:proofErr w:type="spellStart"/>
      <w:r w:rsidRPr="006E54FB">
        <w:rPr>
          <w:rFonts w:ascii="Times New Roman" w:hAnsi="Times New Roman" w:cs="Times New Roman"/>
          <w:i/>
          <w:color w:val="000000"/>
          <w:sz w:val="20"/>
          <w:szCs w:val="20"/>
        </w:rPr>
        <w:t>Private</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Companies</w:t>
      </w:r>
      <w:proofErr w:type="spellEnd"/>
      <w:r w:rsidRPr="006E54FB">
        <w:rPr>
          <w:rFonts w:ascii="Times New Roman" w:hAnsi="Times New Roman" w:cs="Times New Roman"/>
          <w:i/>
          <w:color w:val="000000"/>
          <w:sz w:val="20"/>
          <w:szCs w:val="20"/>
        </w:rPr>
        <w:t xml:space="preserve"> Under Texas </w:t>
      </w:r>
      <w:proofErr w:type="spellStart"/>
      <w:r w:rsidRPr="006E54FB">
        <w:rPr>
          <w:rFonts w:ascii="Times New Roman" w:hAnsi="Times New Roman" w:cs="Times New Roman"/>
          <w:i/>
          <w:color w:val="000000"/>
          <w:sz w:val="20"/>
          <w:szCs w:val="20"/>
        </w:rPr>
        <w:t>and</w:t>
      </w:r>
      <w:proofErr w:type="spellEnd"/>
      <w:r w:rsidRPr="006E54FB">
        <w:rPr>
          <w:rFonts w:ascii="Times New Roman" w:hAnsi="Times New Roman" w:cs="Times New Roman"/>
          <w:i/>
          <w:color w:val="000000"/>
          <w:sz w:val="20"/>
          <w:szCs w:val="20"/>
        </w:rPr>
        <w:t xml:space="preserve"> Delaware </w:t>
      </w:r>
      <w:proofErr w:type="spellStart"/>
      <w:r w:rsidRPr="006E54FB">
        <w:rPr>
          <w:rFonts w:ascii="Times New Roman" w:hAnsi="Times New Roman" w:cs="Times New Roman"/>
          <w:i/>
          <w:color w:val="000000"/>
          <w:sz w:val="20"/>
          <w:szCs w:val="20"/>
        </w:rPr>
        <w:t>Law</w:t>
      </w:r>
      <w:proofErr w:type="spellEnd"/>
      <w:r w:rsidRPr="006E54FB">
        <w:rPr>
          <w:rFonts w:ascii="Times New Roman" w:hAnsi="Times New Roman" w:cs="Times New Roman"/>
          <w:i/>
          <w:color w:val="000000"/>
          <w:sz w:val="20"/>
          <w:szCs w:val="20"/>
        </w:rPr>
        <w:t xml:space="preserve">: A </w:t>
      </w:r>
      <w:proofErr w:type="spellStart"/>
      <w:r w:rsidRPr="006E54FB">
        <w:rPr>
          <w:rFonts w:ascii="Times New Roman" w:hAnsi="Times New Roman" w:cs="Times New Roman"/>
          <w:i/>
          <w:color w:val="000000"/>
          <w:sz w:val="20"/>
          <w:szCs w:val="20"/>
        </w:rPr>
        <w:t>Plaintiff’s</w:t>
      </w:r>
      <w:proofErr w:type="spellEnd"/>
      <w:r w:rsidRPr="006E54FB">
        <w:rPr>
          <w:rFonts w:ascii="Times New Roman" w:hAnsi="Times New Roman" w:cs="Times New Roman"/>
          <w:i/>
          <w:color w:val="000000"/>
          <w:sz w:val="20"/>
          <w:szCs w:val="20"/>
        </w:rPr>
        <w:t xml:space="preserve"> </w:t>
      </w:r>
      <w:proofErr w:type="spellStart"/>
      <w:r w:rsidRPr="006E54FB">
        <w:rPr>
          <w:rFonts w:ascii="Times New Roman" w:hAnsi="Times New Roman" w:cs="Times New Roman"/>
          <w:i/>
          <w:color w:val="000000"/>
          <w:sz w:val="20"/>
          <w:szCs w:val="20"/>
        </w:rPr>
        <w:t>Perspective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Presented</w:t>
      </w:r>
      <w:proofErr w:type="spellEnd"/>
      <w:r w:rsidRPr="009975EA">
        <w:rPr>
          <w:rFonts w:ascii="Times New Roman" w:hAnsi="Times New Roman" w:cs="Times New Roman"/>
          <w:color w:val="000000"/>
          <w:sz w:val="20"/>
          <w:szCs w:val="20"/>
        </w:rPr>
        <w:t xml:space="preserve">: 2012 </w:t>
      </w:r>
      <w:proofErr w:type="spellStart"/>
      <w:r w:rsidRPr="009975EA">
        <w:rPr>
          <w:rFonts w:ascii="Times New Roman" w:hAnsi="Times New Roman" w:cs="Times New Roman"/>
          <w:color w:val="000000"/>
          <w:sz w:val="20"/>
          <w:szCs w:val="20"/>
        </w:rPr>
        <w:t>Securities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Regulation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Business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Conferen</w:t>
      </w:r>
      <w:r>
        <w:rPr>
          <w:rFonts w:ascii="Times New Roman" w:hAnsi="Times New Roman" w:cs="Times New Roman"/>
          <w:color w:val="000000"/>
          <w:sz w:val="20"/>
          <w:szCs w:val="20"/>
        </w:rPr>
        <w:t xml:space="preserve">ce, </w:t>
      </w:r>
      <w:proofErr w:type="spellStart"/>
      <w:r>
        <w:rPr>
          <w:rFonts w:ascii="Times New Roman" w:hAnsi="Times New Roman" w:cs="Times New Roman"/>
          <w:color w:val="000000"/>
          <w:sz w:val="20"/>
          <w:szCs w:val="20"/>
        </w:rPr>
        <w:t>February</w:t>
      </w:r>
      <w:proofErr w:type="spellEnd"/>
      <w:r>
        <w:rPr>
          <w:rFonts w:ascii="Times New Roman" w:hAnsi="Times New Roman" w:cs="Times New Roman"/>
          <w:color w:val="000000"/>
          <w:sz w:val="20"/>
          <w:szCs w:val="20"/>
        </w:rPr>
        <w:t xml:space="preserve"> 10, 2012, Dallas, at</w:t>
      </w:r>
      <w:r w:rsidRPr="009975EA">
        <w:rPr>
          <w:rFonts w:ascii="Times New Roman" w:hAnsi="Times New Roman" w:cs="Times New Roman"/>
          <w:color w:val="000000"/>
          <w:sz w:val="20"/>
          <w:szCs w:val="20"/>
        </w:rPr>
        <w:t xml:space="preserve">.2); </w:t>
      </w:r>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both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public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similarly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affected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oppressive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conduct</w:t>
      </w:r>
      <w:proofErr w:type="spellEnd"/>
      <w:r w:rsidRPr="009975EA">
        <w:rPr>
          <w:rFonts w:ascii="Times New Roman" w:hAnsi="Times New Roman" w:cs="Times New Roman"/>
          <w:sz w:val="20"/>
          <w:szCs w:val="20"/>
        </w:rPr>
        <w:t xml:space="preserve">” (Douglas </w:t>
      </w:r>
      <w:proofErr w:type="spellStart"/>
      <w:r w:rsidRPr="009975EA">
        <w:rPr>
          <w:rFonts w:ascii="Times New Roman" w:hAnsi="Times New Roman" w:cs="Times New Roman"/>
          <w:sz w:val="20"/>
          <w:szCs w:val="20"/>
        </w:rPr>
        <w:t>Moll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Employment</w:t>
      </w:r>
      <w:proofErr w:type="spellEnd"/>
      <w:r w:rsidRPr="009975EA">
        <w:rPr>
          <w:rFonts w:ascii="Times New Roman" w:hAnsi="Times New Roman" w:cs="Times New Roman"/>
          <w:sz w:val="20"/>
          <w:szCs w:val="20"/>
        </w:rPr>
        <w:t xml:space="preserve"> at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footnote</w:t>
      </w:r>
      <w:proofErr w:type="spellEnd"/>
      <w:r w:rsidRPr="009975EA">
        <w:rPr>
          <w:rFonts w:ascii="Times New Roman" w:hAnsi="Times New Roman" w:cs="Times New Roman"/>
          <w:sz w:val="20"/>
          <w:szCs w:val="20"/>
        </w:rPr>
        <w:t xml:space="preserve"> 117); “</w:t>
      </w:r>
      <w:proofErr w:type="spellStart"/>
      <w:r w:rsidRPr="009975EA">
        <w:rPr>
          <w:rFonts w:ascii="Times New Roman" w:hAnsi="Times New Roman" w:cs="Times New Roman"/>
          <w:sz w:val="20"/>
          <w:szCs w:val="20"/>
        </w:rPr>
        <w:t>While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oppressive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conduct</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more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easily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found</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context</w:t>
      </w:r>
      <w:proofErr w:type="spellEnd"/>
      <w:r w:rsidRPr="009975EA">
        <w:rPr>
          <w:rFonts w:ascii="Times New Roman" w:hAnsi="Times New Roman" w:cs="Times New Roman"/>
          <w:sz w:val="20"/>
          <w:szCs w:val="20"/>
        </w:rPr>
        <w:t xml:space="preserve"> of a </w:t>
      </w:r>
      <w:proofErr w:type="spellStart"/>
      <w:r w:rsidRPr="009975EA">
        <w:rPr>
          <w:rFonts w:ascii="Times New Roman" w:hAnsi="Times New Roman" w:cs="Times New Roman"/>
          <w:sz w:val="20"/>
          <w:szCs w:val="20"/>
        </w:rPr>
        <w:t>close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aware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no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expressly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limiting</w:t>
      </w:r>
      <w:proofErr w:type="spellEnd"/>
      <w:r w:rsidRPr="009975EA">
        <w:rPr>
          <w:rFonts w:ascii="Times New Roman" w:hAnsi="Times New Roman" w:cs="Times New Roman"/>
          <w:sz w:val="20"/>
          <w:szCs w:val="20"/>
        </w:rPr>
        <w:t xml:space="preserve"> it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such</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context</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Redmon</w:t>
      </w:r>
      <w:proofErr w:type="spellEnd"/>
      <w:r w:rsidRPr="009975EA">
        <w:rPr>
          <w:rFonts w:ascii="Times New Roman" w:hAnsi="Times New Roman" w:cs="Times New Roman"/>
          <w:sz w:val="20"/>
          <w:szCs w:val="20"/>
        </w:rPr>
        <w:t xml:space="preserve"> v. Griffith, 202 S.W.3d 225 (2006)).</w:t>
      </w:r>
    </w:p>
  </w:footnote>
  <w:footnote w:id="19">
    <w:p w14:paraId="666B8D7B" w14:textId="05BE632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White v. Perkins, 213 Va. 129 (1972): “The word ‘oppressive’, as used in the statute does not carry an essential inference of imminent disaster; it can contemplate a continuing course of conduct. The word does not necessarily savor of fraud, and the absence of ‘mismanagement, or misapplication of assets’ does not prevent a finding… It is not synonymous with ‘illegal’ and ‘fraudulent’.”</w:t>
      </w:r>
    </w:p>
  </w:footnote>
  <w:footnote w:id="20">
    <w:p w14:paraId="70589213" w14:textId="3BB5DFFB" w:rsidR="008E506F" w:rsidRPr="009975EA" w:rsidRDefault="008E506F" w:rsidP="008E506F">
      <w:pPr>
        <w:pStyle w:val="DipnotMetni"/>
        <w:jc w:val="both"/>
        <w:rPr>
          <w:rFonts w:ascii="Times New Roman" w:hAnsi="Times New Roman" w:cs="Times New Roman"/>
          <w:sz w:val="20"/>
          <w:szCs w:val="20"/>
          <w:lang w:val="tr-TR"/>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lang w:val="tr-TR"/>
        </w:rPr>
        <w:t xml:space="preserve"> </w:t>
      </w:r>
      <w:r w:rsidRPr="009975EA">
        <w:rPr>
          <w:rFonts w:ascii="Times New Roman" w:hAnsi="Times New Roman" w:cs="Times New Roman"/>
          <w:bCs/>
          <w:position w:val="-3"/>
          <w:sz w:val="20"/>
          <w:szCs w:val="20"/>
          <w:lang w:val="tr-TR"/>
        </w:rPr>
        <w:t>“…</w:t>
      </w:r>
      <w:proofErr w:type="spellStart"/>
      <w:r w:rsidRPr="009975EA">
        <w:rPr>
          <w:rFonts w:ascii="Times New Roman" w:hAnsi="Times New Roman" w:cs="Times New Roman"/>
          <w:bCs/>
          <w:position w:val="-3"/>
          <w:sz w:val="20"/>
          <w:szCs w:val="20"/>
          <w:lang w:val="tr-TR"/>
        </w:rPr>
        <w:t>we</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have</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to</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remember</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that</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no</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laws</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no</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matter</w:t>
      </w:r>
      <w:proofErr w:type="spellEnd"/>
      <w:r w:rsidRPr="009975EA">
        <w:rPr>
          <w:rFonts w:ascii="Times New Roman" w:hAnsi="Times New Roman" w:cs="Times New Roman"/>
          <w:bCs/>
          <w:position w:val="-3"/>
          <w:sz w:val="20"/>
          <w:szCs w:val="20"/>
          <w:lang w:val="tr-TR"/>
        </w:rPr>
        <w:t xml:space="preserve"> how </w:t>
      </w:r>
      <w:proofErr w:type="spellStart"/>
      <w:r w:rsidRPr="009975EA">
        <w:rPr>
          <w:rFonts w:ascii="Times New Roman" w:hAnsi="Times New Roman" w:cs="Times New Roman"/>
          <w:bCs/>
          <w:position w:val="-3"/>
          <w:sz w:val="20"/>
          <w:szCs w:val="20"/>
          <w:lang w:val="tr-TR"/>
        </w:rPr>
        <w:t>sophisticated</w:t>
      </w:r>
      <w:proofErr w:type="spellEnd"/>
      <w:r w:rsidRPr="009975EA">
        <w:rPr>
          <w:rFonts w:ascii="Times New Roman" w:hAnsi="Times New Roman" w:cs="Times New Roman"/>
          <w:bCs/>
          <w:position w:val="-3"/>
          <w:sz w:val="20"/>
          <w:szCs w:val="20"/>
          <w:lang w:val="tr-TR"/>
        </w:rPr>
        <w:t xml:space="preserve"> in </w:t>
      </w:r>
      <w:proofErr w:type="spellStart"/>
      <w:r w:rsidRPr="009975EA">
        <w:rPr>
          <w:rFonts w:ascii="Times New Roman" w:hAnsi="Times New Roman" w:cs="Times New Roman"/>
          <w:bCs/>
          <w:position w:val="-3"/>
          <w:sz w:val="20"/>
          <w:szCs w:val="20"/>
          <w:lang w:val="tr-TR"/>
        </w:rPr>
        <w:t>their</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design</w:t>
      </w:r>
      <w:proofErr w:type="spellEnd"/>
      <w:r w:rsidRPr="009975EA">
        <w:rPr>
          <w:rFonts w:ascii="Times New Roman" w:hAnsi="Times New Roman" w:cs="Times New Roman"/>
          <w:bCs/>
          <w:position w:val="-3"/>
          <w:sz w:val="20"/>
          <w:szCs w:val="20"/>
          <w:lang w:val="tr-TR"/>
        </w:rPr>
        <w:t xml:space="preserve">, can </w:t>
      </w:r>
      <w:proofErr w:type="spellStart"/>
      <w:r w:rsidRPr="009975EA">
        <w:rPr>
          <w:rFonts w:ascii="Times New Roman" w:hAnsi="Times New Roman" w:cs="Times New Roman"/>
          <w:bCs/>
          <w:position w:val="-3"/>
          <w:sz w:val="20"/>
          <w:szCs w:val="20"/>
          <w:lang w:val="tr-TR"/>
        </w:rPr>
        <w:t>carry</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out</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the</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burden</w:t>
      </w:r>
      <w:proofErr w:type="spellEnd"/>
      <w:r w:rsidRPr="009975EA">
        <w:rPr>
          <w:rFonts w:ascii="Times New Roman" w:hAnsi="Times New Roman" w:cs="Times New Roman"/>
          <w:bCs/>
          <w:position w:val="-3"/>
          <w:sz w:val="20"/>
          <w:szCs w:val="20"/>
          <w:lang w:val="tr-TR"/>
        </w:rPr>
        <w:t xml:space="preserve"> of </w:t>
      </w:r>
      <w:proofErr w:type="spellStart"/>
      <w:r w:rsidRPr="009975EA">
        <w:rPr>
          <w:rFonts w:ascii="Times New Roman" w:hAnsi="Times New Roman" w:cs="Times New Roman"/>
          <w:bCs/>
          <w:position w:val="-3"/>
          <w:sz w:val="20"/>
          <w:szCs w:val="20"/>
          <w:lang w:val="tr-TR"/>
        </w:rPr>
        <w:t>social</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control</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through</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their</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threats</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alone</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To</w:t>
      </w:r>
      <w:proofErr w:type="spellEnd"/>
      <w:r w:rsidRPr="009975EA">
        <w:rPr>
          <w:rFonts w:ascii="Times New Roman" w:hAnsi="Times New Roman" w:cs="Times New Roman"/>
          <w:bCs/>
          <w:position w:val="-3"/>
          <w:sz w:val="20"/>
          <w:szCs w:val="20"/>
          <w:lang w:val="tr-TR"/>
        </w:rPr>
        <w:t xml:space="preserve"> be </w:t>
      </w:r>
      <w:proofErr w:type="spellStart"/>
      <w:r w:rsidRPr="009975EA">
        <w:rPr>
          <w:rFonts w:ascii="Times New Roman" w:hAnsi="Times New Roman" w:cs="Times New Roman"/>
          <w:bCs/>
          <w:position w:val="-3"/>
          <w:sz w:val="20"/>
          <w:szCs w:val="20"/>
          <w:lang w:val="tr-TR"/>
        </w:rPr>
        <w:t>really</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effective</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the</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law</w:t>
      </w:r>
      <w:proofErr w:type="spellEnd"/>
      <w:r w:rsidRPr="009975EA">
        <w:rPr>
          <w:rFonts w:ascii="Times New Roman" w:hAnsi="Times New Roman" w:cs="Times New Roman"/>
          <w:bCs/>
          <w:position w:val="-3"/>
          <w:sz w:val="20"/>
          <w:szCs w:val="20"/>
          <w:lang w:val="tr-TR"/>
        </w:rPr>
        <w:t xml:space="preserve"> has </w:t>
      </w:r>
      <w:proofErr w:type="spellStart"/>
      <w:r w:rsidRPr="009975EA">
        <w:rPr>
          <w:rFonts w:ascii="Times New Roman" w:hAnsi="Times New Roman" w:cs="Times New Roman"/>
          <w:bCs/>
          <w:position w:val="-3"/>
          <w:sz w:val="20"/>
          <w:szCs w:val="20"/>
          <w:lang w:val="tr-TR"/>
        </w:rPr>
        <w:t>to</w:t>
      </w:r>
      <w:proofErr w:type="spellEnd"/>
      <w:r w:rsidRPr="009975EA">
        <w:rPr>
          <w:rFonts w:ascii="Times New Roman" w:hAnsi="Times New Roman" w:cs="Times New Roman"/>
          <w:bCs/>
          <w:position w:val="-3"/>
          <w:sz w:val="20"/>
          <w:szCs w:val="20"/>
          <w:lang w:val="tr-TR"/>
        </w:rPr>
        <w:t xml:space="preserve"> be </w:t>
      </w:r>
      <w:proofErr w:type="spellStart"/>
      <w:r w:rsidRPr="009975EA">
        <w:rPr>
          <w:rFonts w:ascii="Times New Roman" w:hAnsi="Times New Roman" w:cs="Times New Roman"/>
          <w:bCs/>
          <w:position w:val="-3"/>
          <w:sz w:val="20"/>
          <w:szCs w:val="20"/>
          <w:lang w:val="tr-TR"/>
        </w:rPr>
        <w:t>able</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to</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persuade</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or</w:t>
      </w:r>
      <w:proofErr w:type="spellEnd"/>
      <w:r w:rsidRPr="009975EA">
        <w:rPr>
          <w:rFonts w:ascii="Times New Roman" w:hAnsi="Times New Roman" w:cs="Times New Roman"/>
          <w:bCs/>
          <w:position w:val="-3"/>
          <w:sz w:val="20"/>
          <w:szCs w:val="20"/>
          <w:lang w:val="tr-TR"/>
        </w:rPr>
        <w:t xml:space="preserve"> at </w:t>
      </w:r>
      <w:proofErr w:type="spellStart"/>
      <w:r w:rsidRPr="009975EA">
        <w:rPr>
          <w:rFonts w:ascii="Times New Roman" w:hAnsi="Times New Roman" w:cs="Times New Roman"/>
          <w:bCs/>
          <w:position w:val="-3"/>
          <w:sz w:val="20"/>
          <w:szCs w:val="20"/>
          <w:lang w:val="tr-TR"/>
        </w:rPr>
        <w:t>least</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make</w:t>
      </w:r>
      <w:proofErr w:type="spellEnd"/>
      <w:r w:rsidRPr="009975EA">
        <w:rPr>
          <w:rFonts w:ascii="Times New Roman" w:hAnsi="Times New Roman" w:cs="Times New Roman"/>
          <w:bCs/>
          <w:position w:val="-3"/>
          <w:sz w:val="20"/>
          <w:szCs w:val="20"/>
          <w:lang w:val="tr-TR"/>
        </w:rPr>
        <w:t xml:space="preserve"> sense </w:t>
      </w:r>
      <w:proofErr w:type="spellStart"/>
      <w:r w:rsidRPr="009975EA">
        <w:rPr>
          <w:rFonts w:ascii="Times New Roman" w:hAnsi="Times New Roman" w:cs="Times New Roman"/>
          <w:bCs/>
          <w:position w:val="-3"/>
          <w:sz w:val="20"/>
          <w:szCs w:val="20"/>
          <w:lang w:val="tr-TR"/>
        </w:rPr>
        <w:t>to</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the</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community</w:t>
      </w:r>
      <w:proofErr w:type="spellEnd"/>
      <w:r w:rsidRPr="009975EA">
        <w:rPr>
          <w:rFonts w:ascii="Times New Roman" w:hAnsi="Times New Roman" w:cs="Times New Roman"/>
          <w:bCs/>
          <w:position w:val="-3"/>
          <w:sz w:val="20"/>
          <w:szCs w:val="20"/>
          <w:lang w:val="tr-TR"/>
        </w:rPr>
        <w:t xml:space="preserve"> it is </w:t>
      </w:r>
      <w:proofErr w:type="spellStart"/>
      <w:r w:rsidRPr="009975EA">
        <w:rPr>
          <w:rFonts w:ascii="Times New Roman" w:hAnsi="Times New Roman" w:cs="Times New Roman"/>
          <w:bCs/>
          <w:position w:val="-3"/>
          <w:sz w:val="20"/>
          <w:szCs w:val="20"/>
          <w:lang w:val="tr-TR"/>
        </w:rPr>
        <w:t>supposed</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to</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govern</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And</w:t>
      </w:r>
      <w:proofErr w:type="spellEnd"/>
      <w:r w:rsidRPr="009975EA">
        <w:rPr>
          <w:rFonts w:ascii="Times New Roman" w:hAnsi="Times New Roman" w:cs="Times New Roman"/>
          <w:bCs/>
          <w:position w:val="-3"/>
          <w:sz w:val="20"/>
          <w:szCs w:val="20"/>
          <w:lang w:val="tr-TR"/>
        </w:rPr>
        <w:t xml:space="preserve"> it </w:t>
      </w:r>
      <w:proofErr w:type="spellStart"/>
      <w:r w:rsidRPr="009975EA">
        <w:rPr>
          <w:rFonts w:ascii="Times New Roman" w:hAnsi="Times New Roman" w:cs="Times New Roman"/>
          <w:bCs/>
          <w:position w:val="-3"/>
          <w:sz w:val="20"/>
          <w:szCs w:val="20"/>
          <w:lang w:val="tr-TR"/>
        </w:rPr>
        <w:t>must</w:t>
      </w:r>
      <w:proofErr w:type="spellEnd"/>
      <w:r w:rsidRPr="009975EA">
        <w:rPr>
          <w:rFonts w:ascii="Times New Roman" w:hAnsi="Times New Roman" w:cs="Times New Roman"/>
          <w:bCs/>
          <w:position w:val="-3"/>
          <w:sz w:val="20"/>
          <w:szCs w:val="20"/>
          <w:lang w:val="tr-TR"/>
        </w:rPr>
        <w:t xml:space="preserve"> be </w:t>
      </w:r>
      <w:proofErr w:type="spellStart"/>
      <w:r w:rsidRPr="009975EA">
        <w:rPr>
          <w:rFonts w:ascii="Times New Roman" w:hAnsi="Times New Roman" w:cs="Times New Roman"/>
          <w:bCs/>
          <w:position w:val="-3"/>
          <w:sz w:val="20"/>
          <w:szCs w:val="20"/>
          <w:lang w:val="tr-TR"/>
        </w:rPr>
        <w:t>kept</w:t>
      </w:r>
      <w:proofErr w:type="spellEnd"/>
      <w:r w:rsidRPr="009975EA">
        <w:rPr>
          <w:rFonts w:ascii="Times New Roman" w:hAnsi="Times New Roman" w:cs="Times New Roman"/>
          <w:bCs/>
          <w:position w:val="-3"/>
          <w:sz w:val="20"/>
          <w:szCs w:val="20"/>
          <w:lang w:val="tr-TR"/>
        </w:rPr>
        <w:t xml:space="preserve"> in </w:t>
      </w:r>
      <w:proofErr w:type="spellStart"/>
      <w:r w:rsidRPr="009975EA">
        <w:rPr>
          <w:rFonts w:ascii="Times New Roman" w:hAnsi="Times New Roman" w:cs="Times New Roman"/>
          <w:bCs/>
          <w:position w:val="-3"/>
          <w:sz w:val="20"/>
          <w:szCs w:val="20"/>
          <w:lang w:val="tr-TR"/>
        </w:rPr>
        <w:t>mind</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that</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the</w:t>
      </w:r>
      <w:proofErr w:type="spellEnd"/>
      <w:r w:rsidRPr="009975EA">
        <w:rPr>
          <w:rFonts w:ascii="Times New Roman" w:hAnsi="Times New Roman" w:cs="Times New Roman"/>
          <w:bCs/>
          <w:position w:val="-3"/>
          <w:sz w:val="20"/>
          <w:szCs w:val="20"/>
          <w:lang w:val="tr-TR"/>
        </w:rPr>
        <w:t xml:space="preserve"> </w:t>
      </w:r>
      <w:proofErr w:type="spellStart"/>
      <w:r w:rsidR="007F6B41">
        <w:rPr>
          <w:rFonts w:ascii="Times New Roman" w:hAnsi="Times New Roman" w:cs="Times New Roman"/>
          <w:bCs/>
          <w:position w:val="-3"/>
          <w:sz w:val="20"/>
          <w:szCs w:val="20"/>
          <w:lang w:val="tr-TR"/>
        </w:rPr>
        <w:t>c</w:t>
      </w:r>
      <w:r w:rsidRPr="009975EA">
        <w:rPr>
          <w:rFonts w:ascii="Times New Roman" w:hAnsi="Times New Roman" w:cs="Times New Roman"/>
          <w:bCs/>
          <w:position w:val="-3"/>
          <w:sz w:val="20"/>
          <w:szCs w:val="20"/>
          <w:lang w:val="tr-TR"/>
        </w:rPr>
        <w:t>orporation</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and</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the</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business</w:t>
      </w:r>
      <w:proofErr w:type="spellEnd"/>
      <w:r w:rsidRPr="009975EA">
        <w:rPr>
          <w:rFonts w:ascii="Times New Roman" w:hAnsi="Times New Roman" w:cs="Times New Roman"/>
          <w:bCs/>
          <w:position w:val="-3"/>
          <w:sz w:val="20"/>
          <w:szCs w:val="20"/>
          <w:lang w:val="tr-TR"/>
        </w:rPr>
        <w:t xml:space="preserve"> World) is </w:t>
      </w:r>
      <w:proofErr w:type="spellStart"/>
      <w:r w:rsidRPr="009975EA">
        <w:rPr>
          <w:rFonts w:ascii="Times New Roman" w:hAnsi="Times New Roman" w:cs="Times New Roman"/>
          <w:bCs/>
          <w:position w:val="-3"/>
          <w:sz w:val="20"/>
          <w:szCs w:val="20"/>
          <w:lang w:val="tr-TR"/>
        </w:rPr>
        <w:t>just</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that</w:t>
      </w:r>
      <w:proofErr w:type="spellEnd"/>
      <w:r w:rsidRPr="009975EA">
        <w:rPr>
          <w:rFonts w:ascii="Times New Roman" w:hAnsi="Times New Roman" w:cs="Times New Roman"/>
          <w:bCs/>
          <w:position w:val="-3"/>
          <w:sz w:val="20"/>
          <w:szCs w:val="20"/>
          <w:lang w:val="tr-TR"/>
        </w:rPr>
        <w:t xml:space="preserve">: a </w:t>
      </w:r>
      <w:proofErr w:type="spellStart"/>
      <w:r w:rsidRPr="009975EA">
        <w:rPr>
          <w:rFonts w:ascii="Times New Roman" w:hAnsi="Times New Roman" w:cs="Times New Roman"/>
          <w:bCs/>
          <w:position w:val="-3"/>
          <w:sz w:val="20"/>
          <w:szCs w:val="20"/>
          <w:lang w:val="tr-TR"/>
        </w:rPr>
        <w:t>commmunity</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It</w:t>
      </w:r>
      <w:proofErr w:type="spellEnd"/>
      <w:r w:rsidRPr="009975EA">
        <w:rPr>
          <w:rFonts w:ascii="Times New Roman" w:hAnsi="Times New Roman" w:cs="Times New Roman"/>
          <w:bCs/>
          <w:position w:val="-3"/>
          <w:sz w:val="20"/>
          <w:szCs w:val="20"/>
          <w:lang w:val="tr-TR"/>
        </w:rPr>
        <w:t xml:space="preserve"> has </w:t>
      </w:r>
      <w:proofErr w:type="spellStart"/>
      <w:r w:rsidRPr="009975EA">
        <w:rPr>
          <w:rFonts w:ascii="Times New Roman" w:hAnsi="Times New Roman" w:cs="Times New Roman"/>
          <w:bCs/>
          <w:position w:val="-3"/>
          <w:sz w:val="20"/>
          <w:szCs w:val="20"/>
          <w:lang w:val="tr-TR"/>
        </w:rPr>
        <w:t>its</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own</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attitudes</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norms</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customs</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habits</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and</w:t>
      </w:r>
      <w:proofErr w:type="spellEnd"/>
      <w:r w:rsidRPr="009975EA">
        <w:rPr>
          <w:rFonts w:ascii="Times New Roman" w:hAnsi="Times New Roman" w:cs="Times New Roman"/>
          <w:bCs/>
          <w:position w:val="-3"/>
          <w:sz w:val="20"/>
          <w:szCs w:val="20"/>
          <w:lang w:val="tr-TR"/>
        </w:rPr>
        <w:t xml:space="preserve"> </w:t>
      </w:r>
      <w:proofErr w:type="spellStart"/>
      <w:r w:rsidRPr="009975EA">
        <w:rPr>
          <w:rFonts w:ascii="Times New Roman" w:hAnsi="Times New Roman" w:cs="Times New Roman"/>
          <w:bCs/>
          <w:position w:val="-3"/>
          <w:sz w:val="20"/>
          <w:szCs w:val="20"/>
          <w:lang w:val="tr-TR"/>
        </w:rPr>
        <w:t>more</w:t>
      </w:r>
      <w:proofErr w:type="spellEnd"/>
      <w:r w:rsidRPr="009975EA">
        <w:rPr>
          <w:rFonts w:ascii="Times New Roman" w:hAnsi="Times New Roman" w:cs="Times New Roman"/>
          <w:bCs/>
          <w:position w:val="-3"/>
          <w:sz w:val="20"/>
          <w:szCs w:val="20"/>
          <w:lang w:val="tr-TR"/>
        </w:rPr>
        <w:t>”</w:t>
      </w:r>
      <w:r w:rsidR="007F6B41">
        <w:rPr>
          <w:rFonts w:ascii="Times New Roman" w:hAnsi="Times New Roman" w:cs="Times New Roman"/>
          <w:bCs/>
          <w:position w:val="-3"/>
          <w:sz w:val="20"/>
          <w:szCs w:val="20"/>
          <w:lang w:val="tr-TR"/>
        </w:rPr>
        <w:t xml:space="preserve"> </w:t>
      </w:r>
      <w:r w:rsidRPr="009975EA">
        <w:rPr>
          <w:rFonts w:ascii="Times New Roman" w:hAnsi="Times New Roman" w:cs="Times New Roman"/>
          <w:bCs/>
          <w:position w:val="-3"/>
          <w:sz w:val="20"/>
          <w:szCs w:val="20"/>
          <w:lang w:val="tr-TR"/>
        </w:rPr>
        <w:t>(</w:t>
      </w:r>
      <w:proofErr w:type="spellStart"/>
      <w:r w:rsidRPr="009975EA">
        <w:rPr>
          <w:rFonts w:ascii="Times New Roman" w:hAnsi="Times New Roman" w:cs="Times New Roman"/>
          <w:bCs/>
          <w:position w:val="-3"/>
          <w:sz w:val="20"/>
          <w:szCs w:val="20"/>
          <w:lang w:val="tr-TR"/>
        </w:rPr>
        <w:t>Christopher</w:t>
      </w:r>
      <w:proofErr w:type="spellEnd"/>
      <w:r w:rsidRPr="009975EA">
        <w:rPr>
          <w:rFonts w:ascii="Times New Roman" w:hAnsi="Times New Roman" w:cs="Times New Roman"/>
          <w:bCs/>
          <w:position w:val="-3"/>
          <w:sz w:val="20"/>
          <w:szCs w:val="20"/>
          <w:lang w:val="tr-TR"/>
        </w:rPr>
        <w:t xml:space="preserve"> D. Stone, </w:t>
      </w:r>
      <w:proofErr w:type="spellStart"/>
      <w:r w:rsidRPr="006E54FB">
        <w:rPr>
          <w:rFonts w:ascii="Times New Roman" w:hAnsi="Times New Roman" w:cs="Times New Roman"/>
          <w:bCs/>
          <w:i/>
          <w:position w:val="-3"/>
          <w:sz w:val="20"/>
          <w:szCs w:val="20"/>
          <w:lang w:val="tr-TR"/>
        </w:rPr>
        <w:t>Where</w:t>
      </w:r>
      <w:proofErr w:type="spellEnd"/>
      <w:r w:rsidRPr="006E54FB">
        <w:rPr>
          <w:rFonts w:ascii="Times New Roman" w:hAnsi="Times New Roman" w:cs="Times New Roman"/>
          <w:bCs/>
          <w:i/>
          <w:position w:val="-3"/>
          <w:sz w:val="20"/>
          <w:szCs w:val="20"/>
          <w:lang w:val="tr-TR"/>
        </w:rPr>
        <w:t xml:space="preserve"> </w:t>
      </w:r>
      <w:proofErr w:type="spellStart"/>
      <w:r w:rsidRPr="006E54FB">
        <w:rPr>
          <w:rFonts w:ascii="Times New Roman" w:hAnsi="Times New Roman" w:cs="Times New Roman"/>
          <w:bCs/>
          <w:i/>
          <w:position w:val="-3"/>
          <w:sz w:val="20"/>
          <w:szCs w:val="20"/>
          <w:lang w:val="tr-TR"/>
        </w:rPr>
        <w:t>the</w:t>
      </w:r>
      <w:proofErr w:type="spellEnd"/>
      <w:r w:rsidRPr="006E54FB">
        <w:rPr>
          <w:rFonts w:ascii="Times New Roman" w:hAnsi="Times New Roman" w:cs="Times New Roman"/>
          <w:bCs/>
          <w:i/>
          <w:position w:val="-3"/>
          <w:sz w:val="20"/>
          <w:szCs w:val="20"/>
          <w:lang w:val="tr-TR"/>
        </w:rPr>
        <w:t xml:space="preserve"> </w:t>
      </w:r>
      <w:proofErr w:type="spellStart"/>
      <w:r w:rsidRPr="006E54FB">
        <w:rPr>
          <w:rFonts w:ascii="Times New Roman" w:hAnsi="Times New Roman" w:cs="Times New Roman"/>
          <w:bCs/>
          <w:i/>
          <w:position w:val="-3"/>
          <w:sz w:val="20"/>
          <w:szCs w:val="20"/>
          <w:lang w:val="tr-TR"/>
        </w:rPr>
        <w:t>Law</w:t>
      </w:r>
      <w:proofErr w:type="spellEnd"/>
      <w:r w:rsidRPr="006E54FB">
        <w:rPr>
          <w:rFonts w:ascii="Times New Roman" w:hAnsi="Times New Roman" w:cs="Times New Roman"/>
          <w:bCs/>
          <w:i/>
          <w:position w:val="-3"/>
          <w:sz w:val="20"/>
          <w:szCs w:val="20"/>
          <w:lang w:val="tr-TR"/>
        </w:rPr>
        <w:t xml:space="preserve"> </w:t>
      </w:r>
      <w:proofErr w:type="spellStart"/>
      <w:r w:rsidRPr="006E54FB">
        <w:rPr>
          <w:rFonts w:ascii="Times New Roman" w:hAnsi="Times New Roman" w:cs="Times New Roman"/>
          <w:bCs/>
          <w:i/>
          <w:position w:val="-3"/>
          <w:sz w:val="20"/>
          <w:szCs w:val="20"/>
          <w:lang w:val="tr-TR"/>
        </w:rPr>
        <w:t>Ends</w:t>
      </w:r>
      <w:proofErr w:type="spellEnd"/>
      <w:r w:rsidRPr="006E54FB">
        <w:rPr>
          <w:rFonts w:ascii="Times New Roman" w:hAnsi="Times New Roman" w:cs="Times New Roman"/>
          <w:bCs/>
          <w:i/>
          <w:position w:val="-3"/>
          <w:sz w:val="20"/>
          <w:szCs w:val="20"/>
          <w:lang w:val="tr-TR"/>
        </w:rPr>
        <w:t xml:space="preserve">, </w:t>
      </w:r>
      <w:proofErr w:type="spellStart"/>
      <w:r w:rsidRPr="006E54FB">
        <w:rPr>
          <w:rFonts w:ascii="Times New Roman" w:hAnsi="Times New Roman" w:cs="Times New Roman"/>
          <w:bCs/>
          <w:i/>
          <w:position w:val="-3"/>
          <w:sz w:val="20"/>
          <w:szCs w:val="20"/>
          <w:lang w:val="tr-TR"/>
        </w:rPr>
        <w:t>The</w:t>
      </w:r>
      <w:proofErr w:type="spellEnd"/>
      <w:r w:rsidRPr="006E54FB">
        <w:rPr>
          <w:rFonts w:ascii="Times New Roman" w:hAnsi="Times New Roman" w:cs="Times New Roman"/>
          <w:bCs/>
          <w:i/>
          <w:position w:val="-3"/>
          <w:sz w:val="20"/>
          <w:szCs w:val="20"/>
          <w:lang w:val="tr-TR"/>
        </w:rPr>
        <w:t xml:space="preserve"> </w:t>
      </w:r>
      <w:proofErr w:type="spellStart"/>
      <w:r w:rsidRPr="006E54FB">
        <w:rPr>
          <w:rFonts w:ascii="Times New Roman" w:hAnsi="Times New Roman" w:cs="Times New Roman"/>
          <w:bCs/>
          <w:i/>
          <w:position w:val="-3"/>
          <w:sz w:val="20"/>
          <w:szCs w:val="20"/>
          <w:lang w:val="tr-TR"/>
        </w:rPr>
        <w:t>Social</w:t>
      </w:r>
      <w:proofErr w:type="spellEnd"/>
      <w:r w:rsidRPr="006E54FB">
        <w:rPr>
          <w:rFonts w:ascii="Times New Roman" w:hAnsi="Times New Roman" w:cs="Times New Roman"/>
          <w:bCs/>
          <w:i/>
          <w:position w:val="-3"/>
          <w:sz w:val="20"/>
          <w:szCs w:val="20"/>
          <w:lang w:val="tr-TR"/>
        </w:rPr>
        <w:t xml:space="preserve"> Control of </w:t>
      </w:r>
      <w:proofErr w:type="spellStart"/>
      <w:r w:rsidRPr="006E54FB">
        <w:rPr>
          <w:rFonts w:ascii="Times New Roman" w:hAnsi="Times New Roman" w:cs="Times New Roman"/>
          <w:bCs/>
          <w:i/>
          <w:position w:val="-3"/>
          <w:sz w:val="20"/>
          <w:szCs w:val="20"/>
          <w:lang w:val="tr-TR"/>
        </w:rPr>
        <w:t>Corporate</w:t>
      </w:r>
      <w:proofErr w:type="spellEnd"/>
      <w:r w:rsidRPr="006E54FB">
        <w:rPr>
          <w:rFonts w:ascii="Times New Roman" w:hAnsi="Times New Roman" w:cs="Times New Roman"/>
          <w:bCs/>
          <w:i/>
          <w:position w:val="-3"/>
          <w:sz w:val="20"/>
          <w:szCs w:val="20"/>
          <w:lang w:val="tr-TR"/>
        </w:rPr>
        <w:t xml:space="preserve"> </w:t>
      </w:r>
      <w:proofErr w:type="spellStart"/>
      <w:r w:rsidRPr="006E54FB">
        <w:rPr>
          <w:rFonts w:ascii="Times New Roman" w:hAnsi="Times New Roman" w:cs="Times New Roman"/>
          <w:bCs/>
          <w:i/>
          <w:position w:val="-3"/>
          <w:sz w:val="20"/>
          <w:szCs w:val="20"/>
          <w:lang w:val="tr-TR"/>
        </w:rPr>
        <w:t>Behavior</w:t>
      </w:r>
      <w:proofErr w:type="spellEnd"/>
      <w:r>
        <w:rPr>
          <w:rFonts w:ascii="Times New Roman" w:hAnsi="Times New Roman" w:cs="Times New Roman"/>
          <w:bCs/>
          <w:position w:val="-3"/>
          <w:sz w:val="20"/>
          <w:szCs w:val="20"/>
          <w:lang w:val="tr-TR"/>
        </w:rPr>
        <w:t xml:space="preserve"> 229 (</w:t>
      </w:r>
      <w:r w:rsidRPr="009975EA">
        <w:rPr>
          <w:rFonts w:ascii="Times New Roman" w:hAnsi="Times New Roman" w:cs="Times New Roman"/>
          <w:bCs/>
          <w:position w:val="-3"/>
          <w:sz w:val="20"/>
          <w:szCs w:val="20"/>
          <w:lang w:val="tr-TR"/>
        </w:rPr>
        <w:t>1975</w:t>
      </w:r>
      <w:r>
        <w:rPr>
          <w:rFonts w:ascii="Times New Roman" w:hAnsi="Times New Roman" w:cs="Times New Roman"/>
          <w:bCs/>
          <w:position w:val="-3"/>
          <w:sz w:val="20"/>
          <w:szCs w:val="20"/>
          <w:lang w:val="tr-TR"/>
        </w:rPr>
        <w:t>)</w:t>
      </w:r>
      <w:r w:rsidRPr="009975EA">
        <w:rPr>
          <w:rFonts w:ascii="Times New Roman" w:hAnsi="Times New Roman" w:cs="Times New Roman"/>
          <w:bCs/>
          <w:position w:val="-3"/>
          <w:sz w:val="20"/>
          <w:szCs w:val="20"/>
          <w:lang w:val="tr-TR"/>
        </w:rPr>
        <w:t>)</w:t>
      </w:r>
    </w:p>
  </w:footnote>
  <w:footnote w:id="21">
    <w:p w14:paraId="25B6D7FF" w14:textId="263D6EB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dissolution right is mainly a negotiating tool in situations of minority ‘oppression’, thus discouraging extreme forms of abuse ex a</w:t>
      </w:r>
      <w:r>
        <w:rPr>
          <w:rFonts w:ascii="Times New Roman" w:hAnsi="Times New Roman" w:cs="Times New Roman"/>
          <w:sz w:val="20"/>
          <w:szCs w:val="20"/>
        </w:rPr>
        <w:t>nte” (</w:t>
      </w:r>
      <w:proofErr w:type="spellStart"/>
      <w:r>
        <w:rPr>
          <w:rFonts w:ascii="Times New Roman" w:hAnsi="Times New Roman" w:cs="Times New Roman"/>
          <w:sz w:val="20"/>
          <w:szCs w:val="20"/>
        </w:rPr>
        <w:t>Kraakman</w:t>
      </w:r>
      <w:proofErr w:type="spellEnd"/>
      <w:r>
        <w:rPr>
          <w:rFonts w:ascii="Times New Roman" w:hAnsi="Times New Roman" w:cs="Times New Roman"/>
          <w:sz w:val="20"/>
          <w:szCs w:val="20"/>
        </w:rPr>
        <w:t xml:space="preserve">, et. al., </w:t>
      </w:r>
      <w:r w:rsidR="007F6B41">
        <w:rPr>
          <w:rFonts w:ascii="Times New Roman" w:hAnsi="Times New Roman" w:cs="Times New Roman"/>
          <w:sz w:val="20"/>
          <w:szCs w:val="20"/>
        </w:rPr>
        <w:t>p.</w:t>
      </w:r>
      <w:r w:rsidRPr="009975EA">
        <w:rPr>
          <w:rFonts w:ascii="Times New Roman" w:hAnsi="Times New Roman" w:cs="Times New Roman"/>
          <w:sz w:val="20"/>
          <w:szCs w:val="20"/>
        </w:rPr>
        <w:t xml:space="preserve"> 162)</w:t>
      </w:r>
    </w:p>
  </w:footnote>
  <w:footnote w:id="22">
    <w:p w14:paraId="2306CCA1" w14:textId="62F6304B" w:rsidR="00D36541" w:rsidRPr="009975EA" w:rsidRDefault="00D36541" w:rsidP="009975EA">
      <w:pPr>
        <w:pStyle w:val="p1"/>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This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study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could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have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simply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offered</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statutory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provision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added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related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statute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however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this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approach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would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have</w:t>
      </w:r>
      <w:proofErr w:type="spellEnd"/>
      <w:r w:rsidRPr="009975EA">
        <w:rPr>
          <w:rFonts w:ascii="Times New Roman" w:hAnsi="Times New Roman" w:cs="Times New Roman"/>
          <w:color w:val="000000" w:themeColor="text1"/>
          <w:sz w:val="20"/>
          <w:szCs w:val="20"/>
        </w:rPr>
        <w:t xml:space="preserve"> not </w:t>
      </w:r>
      <w:proofErr w:type="spellStart"/>
      <w:r w:rsidRPr="009975EA">
        <w:rPr>
          <w:rFonts w:ascii="Times New Roman" w:hAnsi="Times New Roman" w:cs="Times New Roman"/>
          <w:color w:val="000000" w:themeColor="text1"/>
          <w:sz w:val="20"/>
          <w:szCs w:val="20"/>
        </w:rPr>
        <w:t>provided</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viable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solution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near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future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would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have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lacked</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doctrinal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basis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solution</w:t>
      </w:r>
      <w:proofErr w:type="spellEnd"/>
      <w:r w:rsidRPr="009975EA">
        <w:rPr>
          <w:rFonts w:ascii="Times New Roman" w:hAnsi="Times New Roman" w:cs="Times New Roman"/>
          <w:color w:val="000000" w:themeColor="text1"/>
          <w:sz w:val="20"/>
          <w:szCs w:val="20"/>
        </w:rPr>
        <w:t xml:space="preserve"> can be </w:t>
      </w:r>
      <w:proofErr w:type="spellStart"/>
      <w:r w:rsidRPr="009975EA">
        <w:rPr>
          <w:rFonts w:ascii="Times New Roman" w:hAnsi="Times New Roman" w:cs="Times New Roman"/>
          <w:color w:val="000000" w:themeColor="text1"/>
          <w:sz w:val="20"/>
          <w:szCs w:val="20"/>
        </w:rPr>
        <w:t>built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upon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However</w:t>
      </w:r>
      <w:proofErr w:type="spellEnd"/>
      <w:r w:rsidRPr="009975EA">
        <w:rPr>
          <w:rFonts w:ascii="Times New Roman" w:hAnsi="Times New Roman" w:cs="Times New Roman"/>
          <w:color w:val="000000" w:themeColor="text1"/>
          <w:sz w:val="20"/>
          <w:szCs w:val="20"/>
        </w:rPr>
        <w:t xml:space="preserve">, it is </w:t>
      </w:r>
      <w:proofErr w:type="spellStart"/>
      <w:r w:rsidRPr="009975EA">
        <w:rPr>
          <w:rFonts w:ascii="Times New Roman" w:hAnsi="Times New Roman" w:cs="Times New Roman"/>
          <w:color w:val="000000" w:themeColor="text1"/>
          <w:sz w:val="20"/>
          <w:szCs w:val="20"/>
        </w:rPr>
        <w:t>important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note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some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jurisdictions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like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China</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India</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have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company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statutes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include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specific</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provisions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concerning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controlling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shareholder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abuses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wide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enough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cover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issue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stated</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this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study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China’s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Company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w:t>
      </w:r>
      <w:r>
        <w:rPr>
          <w:rFonts w:ascii="Times New Roman" w:hAnsi="Times New Roman" w:cs="Times New Roman"/>
          <w:color w:val="000000" w:themeColor="text1"/>
          <w:sz w:val="20"/>
          <w:szCs w:val="20"/>
        </w:rPr>
        <w:t>aw</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Article</w:t>
      </w:r>
      <w:proofErr w:type="spellEnd"/>
      <w:r>
        <w:rPr>
          <w:rFonts w:ascii="Times New Roman" w:hAnsi="Times New Roman" w:cs="Times New Roman"/>
          <w:color w:val="000000" w:themeColor="text1"/>
          <w:sz w:val="20"/>
          <w:szCs w:val="20"/>
        </w:rPr>
        <w:t xml:space="preserve"> 20, </w:t>
      </w:r>
      <w:proofErr w:type="spellStart"/>
      <w:r>
        <w:rPr>
          <w:rFonts w:ascii="Times New Roman" w:hAnsi="Times New Roman" w:cs="Times New Roman"/>
          <w:color w:val="000000" w:themeColor="text1"/>
          <w:sz w:val="20"/>
          <w:szCs w:val="20"/>
        </w:rPr>
        <w:t>see</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Colin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Hawes</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Kun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Luen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Alex</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Lay</w:t>
      </w:r>
      <w:proofErr w:type="spellEnd"/>
      <w:r>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Angus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Young</w:t>
      </w:r>
      <w:proofErr w:type="spellEnd"/>
      <w:r w:rsidRPr="009975EA">
        <w:rPr>
          <w:rFonts w:ascii="Times New Roman" w:hAnsi="Times New Roman" w:cs="Times New Roman"/>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The</w:t>
      </w:r>
      <w:proofErr w:type="spellEnd"/>
      <w:r w:rsidRPr="007E0633">
        <w:rPr>
          <w:rFonts w:ascii="Times New Roman" w:hAnsi="Times New Roman" w:cs="Times New Roman"/>
          <w:i/>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Chinese</w:t>
      </w:r>
      <w:proofErr w:type="spellEnd"/>
      <w:r w:rsidRPr="007E0633">
        <w:rPr>
          <w:rFonts w:ascii="Times New Roman" w:hAnsi="Times New Roman" w:cs="Times New Roman"/>
          <w:i/>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Oppression</w:t>
      </w:r>
      <w:proofErr w:type="spellEnd"/>
      <w:r w:rsidRPr="007E0633">
        <w:rPr>
          <w:rFonts w:ascii="Times New Roman" w:hAnsi="Times New Roman" w:cs="Times New Roman"/>
          <w:i/>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Remedy</w:t>
      </w:r>
      <w:proofErr w:type="spellEnd"/>
      <w:r w:rsidRPr="007E0633">
        <w:rPr>
          <w:rFonts w:ascii="Times New Roman" w:hAnsi="Times New Roman" w:cs="Times New Roman"/>
          <w:i/>
          <w:color w:val="000000" w:themeColor="text1"/>
          <w:sz w:val="20"/>
          <w:szCs w:val="20"/>
        </w:rPr>
        <w:t xml:space="preserve">: Creative </w:t>
      </w:r>
      <w:proofErr w:type="spellStart"/>
      <w:r w:rsidRPr="007E0633">
        <w:rPr>
          <w:rFonts w:ascii="Times New Roman" w:hAnsi="Times New Roman" w:cs="Times New Roman"/>
          <w:i/>
          <w:color w:val="000000" w:themeColor="text1"/>
          <w:sz w:val="20"/>
          <w:szCs w:val="20"/>
        </w:rPr>
        <w:t>Interpretations</w:t>
      </w:r>
      <w:proofErr w:type="spellEnd"/>
      <w:r w:rsidRPr="007E0633">
        <w:rPr>
          <w:rFonts w:ascii="Times New Roman" w:hAnsi="Times New Roman" w:cs="Times New Roman"/>
          <w:i/>
          <w:color w:val="000000" w:themeColor="text1"/>
          <w:sz w:val="20"/>
          <w:szCs w:val="20"/>
        </w:rPr>
        <w:t xml:space="preserve"> of </w:t>
      </w:r>
      <w:proofErr w:type="spellStart"/>
      <w:r w:rsidRPr="007E0633">
        <w:rPr>
          <w:rFonts w:ascii="Times New Roman" w:hAnsi="Times New Roman" w:cs="Times New Roman"/>
          <w:i/>
          <w:color w:val="000000" w:themeColor="text1"/>
          <w:sz w:val="20"/>
          <w:szCs w:val="20"/>
        </w:rPr>
        <w:t>Company</w:t>
      </w:r>
      <w:proofErr w:type="spellEnd"/>
      <w:r w:rsidRPr="007E0633">
        <w:rPr>
          <w:rFonts w:ascii="Times New Roman" w:hAnsi="Times New Roman" w:cs="Times New Roman"/>
          <w:i/>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Law</w:t>
      </w:r>
      <w:proofErr w:type="spellEnd"/>
      <w:r w:rsidRPr="007E0633">
        <w:rPr>
          <w:rFonts w:ascii="Times New Roman" w:hAnsi="Times New Roman" w:cs="Times New Roman"/>
          <w:i/>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by</w:t>
      </w:r>
      <w:proofErr w:type="spellEnd"/>
      <w:r w:rsidRPr="007E0633">
        <w:rPr>
          <w:rFonts w:ascii="Times New Roman" w:hAnsi="Times New Roman" w:cs="Times New Roman"/>
          <w:i/>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Chinese</w:t>
      </w:r>
      <w:proofErr w:type="spellEnd"/>
      <w:r w:rsidRPr="007E0633">
        <w:rPr>
          <w:rFonts w:ascii="Times New Roman" w:hAnsi="Times New Roman" w:cs="Times New Roman"/>
          <w:i/>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Courts</w:t>
      </w:r>
      <w:proofErr w:type="spellEnd"/>
      <w:r w:rsidRPr="009975EA">
        <w:rPr>
          <w:rFonts w:ascii="Times New Roman" w:hAnsi="Times New Roman" w:cs="Times New Roman"/>
          <w:color w:val="000000" w:themeColor="text1"/>
          <w:sz w:val="20"/>
          <w:szCs w:val="20"/>
        </w:rPr>
        <w:t xml:space="preserve">, </w:t>
      </w:r>
      <w:hyperlink r:id="rId4" w:history="1">
        <w:r w:rsidRPr="009975EA">
          <w:rPr>
            <w:rStyle w:val="Kpr"/>
            <w:rFonts w:ascii="Times New Roman" w:hAnsi="Times New Roman" w:cs="Times New Roman"/>
            <w:sz w:val="20"/>
            <w:szCs w:val="20"/>
          </w:rPr>
          <w:t>https://papers.ssrn.com/sol3/papers.cfm?abstract_id=2503754</w:t>
        </w:r>
      </w:hyperlink>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Last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visited</w:t>
      </w:r>
      <w:proofErr w:type="spellEnd"/>
      <w:r w:rsidRPr="009975EA">
        <w:rPr>
          <w:rFonts w:ascii="Times New Roman" w:hAnsi="Times New Roman" w:cs="Times New Roman"/>
          <w:color w:val="000000" w:themeColor="text1"/>
          <w:sz w:val="20"/>
          <w:szCs w:val="20"/>
        </w:rPr>
        <w:t xml:space="preserve">: 10/10/2016).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India’s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Companies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Act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Sec</w:t>
      </w:r>
      <w:proofErr w:type="spellEnd"/>
      <w:r>
        <w:rPr>
          <w:rFonts w:ascii="Times New Roman" w:hAnsi="Times New Roman" w:cs="Times New Roman"/>
          <w:color w:val="000000" w:themeColor="text1"/>
          <w:sz w:val="20"/>
          <w:szCs w:val="20"/>
        </w:rPr>
        <w:t xml:space="preserve">. 397, </w:t>
      </w:r>
      <w:proofErr w:type="spellStart"/>
      <w:r>
        <w:rPr>
          <w:rFonts w:ascii="Times New Roman" w:hAnsi="Times New Roman" w:cs="Times New Roman"/>
          <w:color w:val="000000" w:themeColor="text1"/>
          <w:sz w:val="20"/>
          <w:szCs w:val="20"/>
        </w:rPr>
        <w:t>see</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Vikramaditya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Khanna</w:t>
      </w:r>
      <w:proofErr w:type="spellEnd"/>
      <w:r>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Umakanth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Varottil</w:t>
      </w:r>
      <w:proofErr w:type="spellEnd"/>
      <w:r w:rsidRPr="009975EA">
        <w:rPr>
          <w:rFonts w:ascii="Times New Roman" w:hAnsi="Times New Roman" w:cs="Times New Roman"/>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The</w:t>
      </w:r>
      <w:proofErr w:type="spellEnd"/>
      <w:r w:rsidRPr="007E0633">
        <w:rPr>
          <w:rFonts w:ascii="Times New Roman" w:hAnsi="Times New Roman" w:cs="Times New Roman"/>
          <w:i/>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rarity</w:t>
      </w:r>
      <w:proofErr w:type="spellEnd"/>
      <w:r w:rsidRPr="007E0633">
        <w:rPr>
          <w:rFonts w:ascii="Times New Roman" w:hAnsi="Times New Roman" w:cs="Times New Roman"/>
          <w:i/>
          <w:color w:val="000000" w:themeColor="text1"/>
          <w:sz w:val="20"/>
          <w:szCs w:val="20"/>
        </w:rPr>
        <w:t xml:space="preserve"> of </w:t>
      </w:r>
      <w:proofErr w:type="spellStart"/>
      <w:r w:rsidRPr="007E0633">
        <w:rPr>
          <w:rFonts w:ascii="Times New Roman" w:hAnsi="Times New Roman" w:cs="Times New Roman"/>
          <w:i/>
          <w:color w:val="000000" w:themeColor="text1"/>
          <w:sz w:val="20"/>
          <w:szCs w:val="20"/>
        </w:rPr>
        <w:t>derivative</w:t>
      </w:r>
      <w:proofErr w:type="spellEnd"/>
      <w:r w:rsidRPr="007E0633">
        <w:rPr>
          <w:rFonts w:ascii="Times New Roman" w:hAnsi="Times New Roman" w:cs="Times New Roman"/>
          <w:i/>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actions</w:t>
      </w:r>
      <w:proofErr w:type="spellEnd"/>
      <w:r w:rsidRPr="007E0633">
        <w:rPr>
          <w:rFonts w:ascii="Times New Roman" w:hAnsi="Times New Roman" w:cs="Times New Roman"/>
          <w:i/>
          <w:color w:val="000000" w:themeColor="text1"/>
          <w:sz w:val="20"/>
          <w:szCs w:val="20"/>
        </w:rPr>
        <w:t xml:space="preserve"> in </w:t>
      </w:r>
      <w:proofErr w:type="spellStart"/>
      <w:r w:rsidRPr="007E0633">
        <w:rPr>
          <w:rFonts w:ascii="Times New Roman" w:hAnsi="Times New Roman" w:cs="Times New Roman"/>
          <w:i/>
          <w:color w:val="000000" w:themeColor="text1"/>
          <w:sz w:val="20"/>
          <w:szCs w:val="20"/>
        </w:rPr>
        <w:t>India</w:t>
      </w:r>
      <w:proofErr w:type="spellEnd"/>
      <w:r w:rsidRPr="007E0633">
        <w:rPr>
          <w:rFonts w:ascii="Times New Roman" w:hAnsi="Times New Roman" w:cs="Times New Roman"/>
          <w:i/>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reasons</w:t>
      </w:r>
      <w:proofErr w:type="spellEnd"/>
      <w:r w:rsidRPr="007E0633">
        <w:rPr>
          <w:rFonts w:ascii="Times New Roman" w:hAnsi="Times New Roman" w:cs="Times New Roman"/>
          <w:i/>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and</w:t>
      </w:r>
      <w:proofErr w:type="spellEnd"/>
      <w:r w:rsidRPr="007E0633">
        <w:rPr>
          <w:rFonts w:ascii="Times New Roman" w:hAnsi="Times New Roman" w:cs="Times New Roman"/>
          <w:i/>
          <w:color w:val="000000" w:themeColor="text1"/>
          <w:sz w:val="20"/>
          <w:szCs w:val="20"/>
        </w:rPr>
        <w:t xml:space="preserve"> </w:t>
      </w:r>
      <w:proofErr w:type="spellStart"/>
      <w:r w:rsidRPr="007E0633">
        <w:rPr>
          <w:rFonts w:ascii="Times New Roman" w:hAnsi="Times New Roman" w:cs="Times New Roman"/>
          <w:i/>
          <w:color w:val="000000" w:themeColor="text1"/>
          <w:sz w:val="20"/>
          <w:szCs w:val="20"/>
        </w:rPr>
        <w:t>consequences</w:t>
      </w:r>
      <w:proofErr w:type="spellEnd"/>
      <w:r w:rsidRPr="007E0633">
        <w:rPr>
          <w:rFonts w:ascii="Times New Roman" w:hAnsi="Times New Roman" w:cs="Times New Roman"/>
          <w:i/>
          <w:color w:val="000000" w:themeColor="text1"/>
          <w:sz w:val="20"/>
          <w:szCs w:val="20"/>
        </w:rPr>
        <w:t xml:space="preserve">, </w:t>
      </w:r>
      <w:proofErr w:type="spellStart"/>
      <w:r w:rsidRPr="007E0633">
        <w:rPr>
          <w:rFonts w:ascii="Times New Roman" w:hAnsi="Times New Roman" w:cs="Times New Roman"/>
          <w:i/>
          <w:color w:val="000000"/>
          <w:sz w:val="20"/>
          <w:szCs w:val="20"/>
        </w:rPr>
        <w:t>The</w:t>
      </w:r>
      <w:proofErr w:type="spellEnd"/>
      <w:r w:rsidRPr="007E0633">
        <w:rPr>
          <w:rFonts w:ascii="Times New Roman" w:hAnsi="Times New Roman" w:cs="Times New Roman"/>
          <w:i/>
          <w:color w:val="000000"/>
          <w:sz w:val="20"/>
          <w:szCs w:val="20"/>
        </w:rPr>
        <w:t xml:space="preserve"> </w:t>
      </w:r>
      <w:proofErr w:type="spellStart"/>
      <w:r w:rsidRPr="007E0633">
        <w:rPr>
          <w:rFonts w:ascii="Times New Roman" w:hAnsi="Times New Roman" w:cs="Times New Roman"/>
          <w:i/>
          <w:color w:val="000000"/>
          <w:sz w:val="20"/>
          <w:szCs w:val="20"/>
        </w:rPr>
        <w:t>Derivative</w:t>
      </w:r>
      <w:proofErr w:type="spellEnd"/>
      <w:r w:rsidRPr="007E0633">
        <w:rPr>
          <w:rFonts w:ascii="Times New Roman" w:hAnsi="Times New Roman" w:cs="Times New Roman"/>
          <w:i/>
          <w:color w:val="000000"/>
          <w:sz w:val="20"/>
          <w:szCs w:val="20"/>
        </w:rPr>
        <w:t xml:space="preserve"> Action in </w:t>
      </w:r>
      <w:proofErr w:type="spellStart"/>
      <w:r w:rsidRPr="007E0633">
        <w:rPr>
          <w:rFonts w:ascii="Times New Roman" w:hAnsi="Times New Roman" w:cs="Times New Roman"/>
          <w:i/>
          <w:color w:val="000000"/>
          <w:sz w:val="20"/>
          <w:szCs w:val="20"/>
        </w:rPr>
        <w:t>Asia</w:t>
      </w:r>
      <w:proofErr w:type="spellEnd"/>
      <w:r w:rsidRPr="007E0633">
        <w:rPr>
          <w:rFonts w:ascii="Times New Roman" w:hAnsi="Times New Roman" w:cs="Times New Roman"/>
          <w:i/>
          <w:color w:val="000000"/>
          <w:sz w:val="20"/>
          <w:szCs w:val="20"/>
        </w:rPr>
        <w:t xml:space="preserve">: A </w:t>
      </w:r>
      <w:proofErr w:type="spellStart"/>
      <w:r w:rsidRPr="007E0633">
        <w:rPr>
          <w:rFonts w:ascii="Times New Roman" w:hAnsi="Times New Roman" w:cs="Times New Roman"/>
          <w:i/>
          <w:color w:val="000000"/>
          <w:sz w:val="20"/>
          <w:szCs w:val="20"/>
        </w:rPr>
        <w:t>Comparative</w:t>
      </w:r>
      <w:proofErr w:type="spellEnd"/>
      <w:r w:rsidRPr="007E0633">
        <w:rPr>
          <w:rFonts w:ascii="Times New Roman" w:hAnsi="Times New Roman" w:cs="Times New Roman"/>
          <w:i/>
          <w:color w:val="000000"/>
          <w:sz w:val="20"/>
          <w:szCs w:val="20"/>
        </w:rPr>
        <w:t xml:space="preserve"> </w:t>
      </w:r>
      <w:proofErr w:type="spellStart"/>
      <w:r w:rsidRPr="007E0633">
        <w:rPr>
          <w:rFonts w:ascii="Times New Roman" w:hAnsi="Times New Roman" w:cs="Times New Roman"/>
          <w:i/>
          <w:color w:val="000000"/>
          <w:sz w:val="20"/>
          <w:szCs w:val="20"/>
        </w:rPr>
        <w:t>and</w:t>
      </w:r>
      <w:proofErr w:type="spellEnd"/>
      <w:r w:rsidRPr="007E0633">
        <w:rPr>
          <w:rFonts w:ascii="Times New Roman" w:hAnsi="Times New Roman" w:cs="Times New Roman"/>
          <w:i/>
          <w:color w:val="000000"/>
          <w:sz w:val="20"/>
          <w:szCs w:val="20"/>
        </w:rPr>
        <w:t xml:space="preserve"> </w:t>
      </w:r>
      <w:proofErr w:type="spellStart"/>
      <w:r w:rsidRPr="007E0633">
        <w:rPr>
          <w:rFonts w:ascii="Times New Roman" w:hAnsi="Times New Roman" w:cs="Times New Roman"/>
          <w:i/>
          <w:color w:val="000000"/>
          <w:sz w:val="20"/>
          <w:szCs w:val="20"/>
        </w:rPr>
        <w:t>Functional</w:t>
      </w:r>
      <w:proofErr w:type="spellEnd"/>
      <w:r w:rsidRPr="007E0633">
        <w:rPr>
          <w:rFonts w:ascii="Times New Roman" w:hAnsi="Times New Roman" w:cs="Times New Roman"/>
          <w:i/>
          <w:color w:val="000000"/>
          <w:sz w:val="20"/>
          <w:szCs w:val="20"/>
        </w:rPr>
        <w:t xml:space="preserve"> </w:t>
      </w:r>
      <w:proofErr w:type="spellStart"/>
      <w:r w:rsidRPr="007E0633">
        <w:rPr>
          <w:rFonts w:ascii="Times New Roman" w:hAnsi="Times New Roman" w:cs="Times New Roman"/>
          <w:i/>
          <w:color w:val="000000"/>
          <w:sz w:val="20"/>
          <w:szCs w:val="20"/>
        </w:rPr>
        <w:t>Approach</w:t>
      </w:r>
      <w:proofErr w:type="spellEnd"/>
      <w:r w:rsidRPr="009975EA">
        <w:rPr>
          <w:rFonts w:ascii="Times New Roman" w:hAnsi="Times New Roman" w:cs="Times New Roman"/>
          <w:color w:val="000000"/>
          <w:sz w:val="20"/>
          <w:szCs w:val="20"/>
        </w:rPr>
        <w:t xml:space="preserve">, Ed. Dan W. </w:t>
      </w:r>
      <w:proofErr w:type="spellStart"/>
      <w:r w:rsidRPr="009975EA">
        <w:rPr>
          <w:rFonts w:ascii="Times New Roman" w:hAnsi="Times New Roman" w:cs="Times New Roman"/>
          <w:color w:val="000000"/>
          <w:sz w:val="20"/>
          <w:szCs w:val="20"/>
        </w:rPr>
        <w:t>Puchniak</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Harald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Baum</w:t>
      </w:r>
      <w:proofErr w:type="spellEnd"/>
      <w:r>
        <w:rPr>
          <w:rFonts w:ascii="Times New Roman" w:hAnsi="Times New Roman" w:cs="Times New Roman"/>
          <w:color w:val="000000"/>
          <w:sz w:val="20"/>
          <w:szCs w:val="20"/>
        </w:rPr>
        <w:t xml:space="preserve">/Michael </w:t>
      </w:r>
      <w:proofErr w:type="spellStart"/>
      <w:r>
        <w:rPr>
          <w:rFonts w:ascii="Times New Roman" w:hAnsi="Times New Roman" w:cs="Times New Roman"/>
          <w:color w:val="000000"/>
          <w:sz w:val="20"/>
          <w:szCs w:val="20"/>
        </w:rPr>
        <w:t>Ewing</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Chow</w:t>
      </w:r>
      <w:proofErr w:type="spellEnd"/>
      <w:r>
        <w:rPr>
          <w:rFonts w:ascii="Times New Roman" w:hAnsi="Times New Roman" w:cs="Times New Roman"/>
          <w:color w:val="000000"/>
          <w:sz w:val="20"/>
          <w:szCs w:val="20"/>
        </w:rPr>
        <w:t>, 370- 372 (</w:t>
      </w:r>
      <w:r w:rsidRPr="009975EA">
        <w:rPr>
          <w:rFonts w:ascii="Times New Roman" w:hAnsi="Times New Roman" w:cs="Times New Roman"/>
          <w:color w:val="000000"/>
          <w:sz w:val="20"/>
          <w:szCs w:val="20"/>
        </w:rPr>
        <w:t>2012</w:t>
      </w:r>
      <w:r>
        <w:rPr>
          <w:rFonts w:ascii="Times New Roman" w:hAnsi="Times New Roman" w:cs="Times New Roman"/>
          <w:color w:val="000000"/>
          <w:sz w:val="20"/>
          <w:szCs w:val="20"/>
        </w:rPr>
        <w:t>)</w:t>
      </w:r>
      <w:r w:rsidRPr="009975EA">
        <w:rPr>
          <w:rFonts w:ascii="Times New Roman" w:hAnsi="Times New Roman" w:cs="Times New Roman"/>
          <w:color w:val="000000" w:themeColor="text1"/>
          <w:sz w:val="20"/>
          <w:szCs w:val="20"/>
        </w:rPr>
        <w:t xml:space="preserve">. </w:t>
      </w:r>
    </w:p>
  </w:footnote>
  <w:footnote w:id="23">
    <w:p w14:paraId="2AE3C4AF" w14:textId="6583B28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Dissolution rights are also listed among the legal strategies to constrain related- party transactions, see, </w:t>
      </w:r>
      <w:proofErr w:type="spellStart"/>
      <w:r w:rsidRPr="009975EA">
        <w:rPr>
          <w:rFonts w:ascii="Times New Roman" w:hAnsi="Times New Roman" w:cs="Times New Roman"/>
          <w:sz w:val="20"/>
          <w:szCs w:val="20"/>
        </w:rPr>
        <w:t>Kraakma</w:t>
      </w:r>
      <w:r>
        <w:rPr>
          <w:rFonts w:ascii="Times New Roman" w:hAnsi="Times New Roman" w:cs="Times New Roman"/>
          <w:sz w:val="20"/>
          <w:szCs w:val="20"/>
        </w:rPr>
        <w:t>n</w:t>
      </w:r>
      <w:proofErr w:type="spellEnd"/>
      <w:r>
        <w:rPr>
          <w:rFonts w:ascii="Times New Roman" w:hAnsi="Times New Roman" w:cs="Times New Roman"/>
          <w:sz w:val="20"/>
          <w:szCs w:val="20"/>
        </w:rPr>
        <w:t xml:space="preserve">, et. al., </w:t>
      </w:r>
      <w:r w:rsidR="007F6B41">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154.</w:t>
      </w:r>
    </w:p>
  </w:footnote>
  <w:footnote w:id="24">
    <w:p w14:paraId="79BB4CF3" w14:textId="57FE77F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remedy for illegal self- dealing might be compensation to the minority for the pro rata diminution in the value of the minority’s stock plus an injunction forbidding such conduct in the future” (Robert A. </w:t>
      </w:r>
      <w:proofErr w:type="spellStart"/>
      <w:r w:rsidRPr="009975EA">
        <w:rPr>
          <w:rFonts w:ascii="Times New Roman" w:hAnsi="Times New Roman" w:cs="Times New Roman"/>
          <w:sz w:val="20"/>
          <w:szCs w:val="20"/>
        </w:rPr>
        <w:t>Ragazzo</w:t>
      </w:r>
      <w:proofErr w:type="spellEnd"/>
      <w:r w:rsidRPr="009975EA">
        <w:rPr>
          <w:rFonts w:ascii="Times New Roman" w:hAnsi="Times New Roman" w:cs="Times New Roman"/>
          <w:sz w:val="20"/>
          <w:szCs w:val="20"/>
        </w:rPr>
        <w:t xml:space="preserve">, </w:t>
      </w:r>
      <w:r w:rsidRPr="007E0633">
        <w:rPr>
          <w:rFonts w:ascii="Times New Roman" w:hAnsi="Times New Roman" w:cs="Times New Roman"/>
          <w:i/>
          <w:sz w:val="20"/>
          <w:szCs w:val="20"/>
        </w:rPr>
        <w:t>Toward A Delaware Common Law of Closely Held Corporations</w:t>
      </w:r>
      <w:r>
        <w:rPr>
          <w:rFonts w:ascii="Times New Roman" w:hAnsi="Times New Roman" w:cs="Times New Roman"/>
          <w:sz w:val="20"/>
          <w:szCs w:val="20"/>
        </w:rPr>
        <w:t xml:space="preserve">, 77 Wash. U.L.Q. 1099 (1999) </w:t>
      </w:r>
      <w:r w:rsidR="007F6B41">
        <w:rPr>
          <w:rFonts w:ascii="Times New Roman" w:hAnsi="Times New Roman" w:cs="Times New Roman"/>
          <w:sz w:val="20"/>
          <w:szCs w:val="20"/>
        </w:rPr>
        <w:t>p.</w:t>
      </w:r>
      <w:r w:rsidRPr="009975EA">
        <w:rPr>
          <w:rFonts w:ascii="Times New Roman" w:hAnsi="Times New Roman" w:cs="Times New Roman"/>
          <w:sz w:val="20"/>
          <w:szCs w:val="20"/>
        </w:rPr>
        <w:t xml:space="preserve"> 1118). </w:t>
      </w:r>
    </w:p>
  </w:footnote>
  <w:footnote w:id="25">
    <w:p w14:paraId="4C4D1109" w14:textId="19D2159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Commentators state that judge- made or statutory oppression remedies create a potential judicial wild card that creates costly uncertainty (See: Paul G. Mahoney, </w:t>
      </w:r>
      <w:r w:rsidRPr="007E0633">
        <w:rPr>
          <w:rFonts w:ascii="Times New Roman" w:hAnsi="Times New Roman" w:cs="Times New Roman"/>
          <w:i/>
          <w:sz w:val="20"/>
          <w:szCs w:val="20"/>
        </w:rPr>
        <w:t>Trust and Opportunism in Close Corporations, The Concentrated Corporate Ownership</w:t>
      </w:r>
      <w:r>
        <w:rPr>
          <w:rFonts w:ascii="Times New Roman" w:hAnsi="Times New Roman" w:cs="Times New Roman"/>
          <w:sz w:val="20"/>
          <w:szCs w:val="20"/>
        </w:rPr>
        <w:t xml:space="preserve">, Ed. Randall K. </w:t>
      </w:r>
      <w:proofErr w:type="spellStart"/>
      <w:r>
        <w:rPr>
          <w:rFonts w:ascii="Times New Roman" w:hAnsi="Times New Roman" w:cs="Times New Roman"/>
          <w:sz w:val="20"/>
          <w:szCs w:val="20"/>
        </w:rPr>
        <w:t>Morck</w:t>
      </w:r>
      <w:proofErr w:type="spellEnd"/>
      <w:r>
        <w:rPr>
          <w:rFonts w:ascii="Times New Roman" w:hAnsi="Times New Roman" w:cs="Times New Roman"/>
          <w:sz w:val="20"/>
          <w:szCs w:val="20"/>
        </w:rPr>
        <w:t xml:space="preserve"> 194 (</w:t>
      </w:r>
      <w:r w:rsidRPr="009975EA">
        <w:rPr>
          <w:rFonts w:ascii="Times New Roman" w:hAnsi="Times New Roman" w:cs="Times New Roman"/>
          <w:sz w:val="20"/>
          <w:szCs w:val="20"/>
        </w:rPr>
        <w:t>2000</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26">
    <w:p w14:paraId="43935F0F" w14:textId="300096C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It is fair to ask why Delaware law is not used specifically for this part of the </w:t>
      </w:r>
      <w:r w:rsidR="00577772">
        <w:rPr>
          <w:rFonts w:ascii="Times New Roman" w:hAnsi="Times New Roman" w:cs="Times New Roman"/>
          <w:sz w:val="20"/>
          <w:szCs w:val="20"/>
        </w:rPr>
        <w:t>study</w:t>
      </w:r>
      <w:r w:rsidR="00577772" w:rsidRPr="009975EA">
        <w:rPr>
          <w:rFonts w:ascii="Times New Roman" w:hAnsi="Times New Roman" w:cs="Times New Roman"/>
          <w:sz w:val="20"/>
          <w:szCs w:val="20"/>
        </w:rPr>
        <w:t xml:space="preserve"> </w:t>
      </w:r>
      <w:r w:rsidRPr="009975EA">
        <w:rPr>
          <w:rFonts w:ascii="Times New Roman" w:hAnsi="Times New Roman" w:cs="Times New Roman"/>
          <w:sz w:val="20"/>
          <w:szCs w:val="20"/>
        </w:rPr>
        <w:t xml:space="preserve">as well. The answer would be the following: New York has played the dominant role on the development of the “reasonable expectations” standard (Charles W. Murdock, </w:t>
      </w:r>
      <w:r w:rsidRPr="005F60DD">
        <w:rPr>
          <w:rFonts w:ascii="Times New Roman" w:hAnsi="Times New Roman" w:cs="Times New Roman"/>
          <w:i/>
          <w:sz w:val="20"/>
          <w:szCs w:val="20"/>
        </w:rPr>
        <w:t>The Evolution of Effective Remedies for Minority Shareholders and Its Impact Upon Valuation of Minority Shares</w:t>
      </w:r>
      <w:r w:rsidRPr="009975EA">
        <w:rPr>
          <w:rFonts w:ascii="Times New Roman" w:hAnsi="Times New Roman" w:cs="Times New Roman"/>
          <w:sz w:val="20"/>
          <w:szCs w:val="20"/>
        </w:rPr>
        <w:t xml:space="preserve">, 65 </w:t>
      </w:r>
      <w:r>
        <w:rPr>
          <w:rFonts w:ascii="Times New Roman" w:hAnsi="Times New Roman" w:cs="Times New Roman"/>
          <w:sz w:val="20"/>
          <w:szCs w:val="20"/>
        </w:rPr>
        <w:t xml:space="preserve">Notre Dame L. Rev. 425 (1990) at </w:t>
      </w:r>
      <w:r w:rsidRPr="009975EA">
        <w:rPr>
          <w:rFonts w:ascii="Times New Roman" w:hAnsi="Times New Roman" w:cs="Times New Roman"/>
          <w:sz w:val="20"/>
          <w:szCs w:val="20"/>
        </w:rPr>
        <w:t>465), not Delaware. Also, there is a debate on whether Delaware law has a shareholder oppression doctrine in effect, and some argue that there is none (see, Chapter</w:t>
      </w:r>
      <w:r>
        <w:rPr>
          <w:rFonts w:ascii="Times New Roman" w:hAnsi="Times New Roman" w:cs="Times New Roman"/>
          <w:sz w:val="20"/>
          <w:szCs w:val="20"/>
        </w:rPr>
        <w:t xml:space="preserve"> V</w:t>
      </w:r>
      <w:r w:rsidRPr="009975EA">
        <w:rPr>
          <w:rFonts w:ascii="Times New Roman" w:hAnsi="Times New Roman" w:cs="Times New Roman"/>
          <w:sz w:val="20"/>
          <w:szCs w:val="20"/>
        </w:rPr>
        <w:t xml:space="preserve">). However, in the only case in which a Delaware court evaluated a shareholder oppression claim, </w:t>
      </w:r>
      <w:proofErr w:type="spellStart"/>
      <w:r w:rsidRPr="009975EA">
        <w:rPr>
          <w:rFonts w:ascii="Times New Roman" w:hAnsi="Times New Roman" w:cs="Times New Roman"/>
          <w:sz w:val="20"/>
          <w:szCs w:val="20"/>
        </w:rPr>
        <w:t>Litle</w:t>
      </w:r>
      <w:proofErr w:type="spellEnd"/>
      <w:r w:rsidRPr="009975EA">
        <w:rPr>
          <w:rFonts w:ascii="Times New Roman" w:hAnsi="Times New Roman" w:cs="Times New Roman"/>
          <w:sz w:val="20"/>
          <w:szCs w:val="20"/>
        </w:rPr>
        <w:t xml:space="preserve"> v. Waters (CA No. 12155, 1992 WL 25758 (Del. Ch. Feb. 11, 1992)), the Court used the “reasonable expectations” standard, and cited a New York case as the reference. Thus, this </w:t>
      </w:r>
      <w:r w:rsidR="00577772">
        <w:rPr>
          <w:rFonts w:ascii="Times New Roman" w:hAnsi="Times New Roman" w:cs="Times New Roman"/>
          <w:sz w:val="20"/>
          <w:szCs w:val="20"/>
        </w:rPr>
        <w:t>study</w:t>
      </w:r>
      <w:r w:rsidR="00577772" w:rsidRPr="009975EA">
        <w:rPr>
          <w:rFonts w:ascii="Times New Roman" w:hAnsi="Times New Roman" w:cs="Times New Roman"/>
          <w:sz w:val="20"/>
          <w:szCs w:val="20"/>
        </w:rPr>
        <w:t xml:space="preserve"> </w:t>
      </w:r>
      <w:r w:rsidRPr="009975EA">
        <w:rPr>
          <w:rFonts w:ascii="Times New Roman" w:hAnsi="Times New Roman" w:cs="Times New Roman"/>
          <w:sz w:val="20"/>
          <w:szCs w:val="20"/>
        </w:rPr>
        <w:t>chooses to evaluate the issue by building up on the Delaware and New York law, and will refer to other U.S. states’ evaluations, as well as the Model Business Corporation Act, when needed.</w:t>
      </w:r>
    </w:p>
  </w:footnote>
  <w:footnote w:id="27">
    <w:p w14:paraId="07B2A5A8" w14:textId="0B19F651"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Douglas K. </w:t>
      </w:r>
      <w:proofErr w:type="spellStart"/>
      <w:r w:rsidRPr="009975EA">
        <w:rPr>
          <w:rFonts w:ascii="Times New Roman" w:hAnsi="Times New Roman" w:cs="Times New Roman"/>
          <w:sz w:val="20"/>
          <w:szCs w:val="20"/>
        </w:rPr>
        <w:t>Moll</w:t>
      </w:r>
      <w:proofErr w:type="spellEnd"/>
      <w:r w:rsidRPr="009975EA">
        <w:rPr>
          <w:rFonts w:ascii="Times New Roman" w:hAnsi="Times New Roman" w:cs="Times New Roman"/>
          <w:sz w:val="20"/>
          <w:szCs w:val="20"/>
        </w:rPr>
        <w:t xml:space="preserve">, </w:t>
      </w:r>
      <w:proofErr w:type="spellStart"/>
      <w:r w:rsidRPr="005F60DD">
        <w:rPr>
          <w:rFonts w:ascii="Times New Roman" w:hAnsi="Times New Roman" w:cs="Times New Roman"/>
          <w:i/>
          <w:sz w:val="20"/>
          <w:szCs w:val="20"/>
        </w:rPr>
        <w:t>Shareholder</w:t>
      </w:r>
      <w:proofErr w:type="spellEnd"/>
      <w:r w:rsidRPr="005F60DD">
        <w:rPr>
          <w:rFonts w:ascii="Times New Roman" w:hAnsi="Times New Roman" w:cs="Times New Roman"/>
          <w:i/>
          <w:sz w:val="20"/>
          <w:szCs w:val="20"/>
        </w:rPr>
        <w:t xml:space="preserve"> </w:t>
      </w:r>
      <w:proofErr w:type="spellStart"/>
      <w:r w:rsidRPr="005F60DD">
        <w:rPr>
          <w:rFonts w:ascii="Times New Roman" w:hAnsi="Times New Roman" w:cs="Times New Roman"/>
          <w:i/>
          <w:sz w:val="20"/>
          <w:szCs w:val="20"/>
        </w:rPr>
        <w:t>Oppression</w:t>
      </w:r>
      <w:proofErr w:type="spellEnd"/>
      <w:r w:rsidRPr="005F60DD">
        <w:rPr>
          <w:rFonts w:ascii="Times New Roman" w:hAnsi="Times New Roman" w:cs="Times New Roman"/>
          <w:i/>
          <w:sz w:val="20"/>
          <w:szCs w:val="20"/>
        </w:rPr>
        <w:t xml:space="preserve"> &amp; </w:t>
      </w:r>
      <w:proofErr w:type="spellStart"/>
      <w:r w:rsidRPr="005F60DD">
        <w:rPr>
          <w:rFonts w:ascii="Times New Roman" w:hAnsi="Times New Roman" w:cs="Times New Roman"/>
          <w:i/>
          <w:sz w:val="20"/>
          <w:szCs w:val="20"/>
        </w:rPr>
        <w:t>Reasonable</w:t>
      </w:r>
      <w:proofErr w:type="spellEnd"/>
      <w:r w:rsidRPr="005F60DD">
        <w:rPr>
          <w:rFonts w:ascii="Times New Roman" w:hAnsi="Times New Roman" w:cs="Times New Roman"/>
          <w:i/>
          <w:sz w:val="20"/>
          <w:szCs w:val="20"/>
        </w:rPr>
        <w:t xml:space="preserve"> </w:t>
      </w:r>
      <w:proofErr w:type="spellStart"/>
      <w:r w:rsidRPr="005F60DD">
        <w:rPr>
          <w:rFonts w:ascii="Times New Roman" w:hAnsi="Times New Roman" w:cs="Times New Roman"/>
          <w:i/>
          <w:sz w:val="20"/>
          <w:szCs w:val="20"/>
        </w:rPr>
        <w:t>Expectations</w:t>
      </w:r>
      <w:proofErr w:type="spellEnd"/>
      <w:r w:rsidRPr="005F60DD">
        <w:rPr>
          <w:rFonts w:ascii="Times New Roman" w:hAnsi="Times New Roman" w:cs="Times New Roman"/>
          <w:i/>
          <w:sz w:val="20"/>
          <w:szCs w:val="20"/>
        </w:rPr>
        <w:t xml:space="preserve">: Of </w:t>
      </w:r>
      <w:proofErr w:type="spellStart"/>
      <w:r w:rsidRPr="005F60DD">
        <w:rPr>
          <w:rFonts w:ascii="Times New Roman" w:hAnsi="Times New Roman" w:cs="Times New Roman"/>
          <w:i/>
          <w:sz w:val="20"/>
          <w:szCs w:val="20"/>
        </w:rPr>
        <w:t>Change</w:t>
      </w:r>
      <w:proofErr w:type="spellEnd"/>
      <w:r w:rsidRPr="005F60DD">
        <w:rPr>
          <w:rFonts w:ascii="Times New Roman" w:hAnsi="Times New Roman" w:cs="Times New Roman"/>
          <w:i/>
          <w:sz w:val="20"/>
          <w:szCs w:val="20"/>
        </w:rPr>
        <w:t xml:space="preserve">, </w:t>
      </w:r>
      <w:proofErr w:type="spellStart"/>
      <w:r w:rsidRPr="005F60DD">
        <w:rPr>
          <w:rFonts w:ascii="Times New Roman" w:hAnsi="Times New Roman" w:cs="Times New Roman"/>
          <w:i/>
          <w:sz w:val="20"/>
          <w:szCs w:val="20"/>
        </w:rPr>
        <w:t>Gifts</w:t>
      </w:r>
      <w:proofErr w:type="spellEnd"/>
      <w:r w:rsidRPr="005F60DD">
        <w:rPr>
          <w:rFonts w:ascii="Times New Roman" w:hAnsi="Times New Roman" w:cs="Times New Roman"/>
          <w:i/>
          <w:sz w:val="20"/>
          <w:szCs w:val="20"/>
        </w:rPr>
        <w:t xml:space="preserve">, </w:t>
      </w:r>
      <w:proofErr w:type="spellStart"/>
      <w:r w:rsidRPr="005F60DD">
        <w:rPr>
          <w:rFonts w:ascii="Times New Roman" w:hAnsi="Times New Roman" w:cs="Times New Roman"/>
          <w:i/>
          <w:sz w:val="20"/>
          <w:szCs w:val="20"/>
        </w:rPr>
        <w:t>and</w:t>
      </w:r>
      <w:proofErr w:type="spellEnd"/>
      <w:r w:rsidRPr="005F60DD">
        <w:rPr>
          <w:rFonts w:ascii="Times New Roman" w:hAnsi="Times New Roman" w:cs="Times New Roman"/>
          <w:i/>
          <w:sz w:val="20"/>
          <w:szCs w:val="20"/>
        </w:rPr>
        <w:t xml:space="preserve"> </w:t>
      </w:r>
      <w:proofErr w:type="spellStart"/>
      <w:r w:rsidRPr="005F60DD">
        <w:rPr>
          <w:rFonts w:ascii="Times New Roman" w:hAnsi="Times New Roman" w:cs="Times New Roman"/>
          <w:i/>
          <w:sz w:val="20"/>
          <w:szCs w:val="20"/>
        </w:rPr>
        <w:t>Inheritances</w:t>
      </w:r>
      <w:proofErr w:type="spellEnd"/>
      <w:r w:rsidRPr="005F60DD">
        <w:rPr>
          <w:rFonts w:ascii="Times New Roman" w:hAnsi="Times New Roman" w:cs="Times New Roman"/>
          <w:i/>
          <w:sz w:val="20"/>
          <w:szCs w:val="20"/>
        </w:rPr>
        <w:t xml:space="preserve"> in Close Corporation </w:t>
      </w:r>
      <w:proofErr w:type="spellStart"/>
      <w:r w:rsidRPr="005F60DD">
        <w:rPr>
          <w:rFonts w:ascii="Times New Roman" w:hAnsi="Times New Roman" w:cs="Times New Roman"/>
          <w:i/>
          <w:sz w:val="20"/>
          <w:szCs w:val="20"/>
        </w:rPr>
        <w:t>Disputes</w:t>
      </w:r>
      <w:proofErr w:type="spellEnd"/>
      <w:r w:rsidRPr="009975EA">
        <w:rPr>
          <w:rFonts w:ascii="Times New Roman" w:hAnsi="Times New Roman" w:cs="Times New Roman"/>
          <w:sz w:val="20"/>
          <w:szCs w:val="20"/>
        </w:rPr>
        <w:t xml:space="preserve">, 86 </w:t>
      </w:r>
      <w:proofErr w:type="spellStart"/>
      <w:r w:rsidRPr="009975EA">
        <w:rPr>
          <w:rFonts w:ascii="Times New Roman" w:hAnsi="Times New Roman" w:cs="Times New Roman"/>
          <w:sz w:val="20"/>
          <w:szCs w:val="20"/>
        </w:rPr>
        <w:t>Minn</w:t>
      </w:r>
      <w:proofErr w:type="spellEnd"/>
      <w:r w:rsidRPr="009975EA">
        <w:rPr>
          <w:rFonts w:ascii="Times New Roman" w:hAnsi="Times New Roman" w:cs="Times New Roman"/>
          <w:sz w:val="20"/>
          <w:szCs w:val="20"/>
        </w:rPr>
        <w:t xml:space="preserve">. L. </w:t>
      </w:r>
      <w:proofErr w:type="spellStart"/>
      <w:r w:rsidRPr="009975EA">
        <w:rPr>
          <w:rFonts w:ascii="Times New Roman" w:hAnsi="Times New Roman" w:cs="Times New Roman"/>
          <w:sz w:val="20"/>
          <w:szCs w:val="20"/>
        </w:rPr>
        <w:t>Rev</w:t>
      </w:r>
      <w:proofErr w:type="spellEnd"/>
      <w:r>
        <w:rPr>
          <w:rFonts w:ascii="Times New Roman" w:hAnsi="Times New Roman" w:cs="Times New Roman"/>
          <w:sz w:val="20"/>
          <w:szCs w:val="20"/>
        </w:rPr>
        <w:t xml:space="preserve">. 717, </w:t>
      </w:r>
      <w:r w:rsidR="007F6B41">
        <w:rPr>
          <w:rFonts w:ascii="Times New Roman" w:hAnsi="Times New Roman" w:cs="Times New Roman"/>
          <w:sz w:val="20"/>
          <w:szCs w:val="20"/>
        </w:rPr>
        <w:t>p.</w:t>
      </w:r>
      <w:r w:rsidRPr="009975EA">
        <w:rPr>
          <w:rFonts w:ascii="Times New Roman" w:hAnsi="Times New Roman" w:cs="Times New Roman"/>
          <w:sz w:val="20"/>
          <w:szCs w:val="20"/>
        </w:rPr>
        <w:t xml:space="preserve"> 728- 731. </w:t>
      </w:r>
      <w:proofErr w:type="spellStart"/>
      <w:r w:rsidRPr="009975EA">
        <w:rPr>
          <w:rFonts w:ascii="Times New Roman" w:hAnsi="Times New Roman" w:cs="Times New Roman"/>
          <w:sz w:val="20"/>
          <w:szCs w:val="20"/>
        </w:rPr>
        <w:t>Matter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Kemp</w:t>
      </w:r>
      <w:proofErr w:type="spellEnd"/>
      <w:r w:rsidRPr="009975EA">
        <w:rPr>
          <w:rFonts w:ascii="Times New Roman" w:hAnsi="Times New Roman" w:cs="Times New Roman"/>
          <w:sz w:val="20"/>
          <w:szCs w:val="20"/>
        </w:rPr>
        <w:t xml:space="preserve"> &amp; </w:t>
      </w:r>
      <w:proofErr w:type="spellStart"/>
      <w:r w:rsidRPr="009975EA">
        <w:rPr>
          <w:rFonts w:ascii="Times New Roman" w:hAnsi="Times New Roman" w:cs="Times New Roman"/>
          <w:sz w:val="20"/>
          <w:szCs w:val="20"/>
        </w:rPr>
        <w:t>Beatl</w:t>
      </w:r>
      <w:r>
        <w:rPr>
          <w:rFonts w:ascii="Times New Roman" w:hAnsi="Times New Roman" w:cs="Times New Roman"/>
          <w:sz w:val="20"/>
          <w:szCs w:val="20"/>
        </w:rPr>
        <w:t>ey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w:t>
      </w:r>
      <w:proofErr w:type="spellEnd"/>
      <w:r>
        <w:rPr>
          <w:rFonts w:ascii="Times New Roman" w:hAnsi="Times New Roman" w:cs="Times New Roman"/>
          <w:sz w:val="20"/>
          <w:szCs w:val="20"/>
        </w:rPr>
        <w:t>., 64 N.Y. 2d 63 (1984)</w:t>
      </w:r>
      <w:r w:rsidRPr="009975EA">
        <w:rPr>
          <w:rFonts w:ascii="Times New Roman" w:hAnsi="Times New Roman" w:cs="Times New Roman"/>
          <w:sz w:val="20"/>
          <w:szCs w:val="20"/>
        </w:rPr>
        <w:t>: “</w:t>
      </w:r>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holds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utilizing</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complaining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means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identifying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measuring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alleged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oppressive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appropriate</w:t>
      </w:r>
      <w:proofErr w:type="spellEnd"/>
      <w:r w:rsidRPr="009975EA">
        <w:rPr>
          <w:rFonts w:ascii="Times New Roman" w:hAnsi="Times New Roman" w:cs="Times New Roman"/>
          <w:color w:val="000000"/>
          <w:sz w:val="20"/>
          <w:szCs w:val="20"/>
        </w:rPr>
        <w:t>.”</w:t>
      </w:r>
    </w:p>
  </w:footnote>
  <w:footnote w:id="28">
    <w:p w14:paraId="285B7455" w14:textId="2DC83E8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Tobias H. </w:t>
      </w:r>
      <w:proofErr w:type="spellStart"/>
      <w:r w:rsidRPr="009975EA">
        <w:rPr>
          <w:rFonts w:ascii="Times New Roman" w:hAnsi="Times New Roman" w:cs="Times New Roman"/>
          <w:sz w:val="20"/>
          <w:szCs w:val="20"/>
        </w:rPr>
        <w:t>Troger</w:t>
      </w:r>
      <w:proofErr w:type="spellEnd"/>
      <w:r w:rsidRPr="009975EA">
        <w:rPr>
          <w:rFonts w:ascii="Times New Roman" w:hAnsi="Times New Roman" w:cs="Times New Roman"/>
          <w:sz w:val="20"/>
          <w:szCs w:val="20"/>
        </w:rPr>
        <w:t xml:space="preserve">, </w:t>
      </w:r>
      <w:r w:rsidRPr="005F60DD">
        <w:rPr>
          <w:rFonts w:ascii="Times New Roman" w:hAnsi="Times New Roman" w:cs="Times New Roman"/>
          <w:i/>
          <w:sz w:val="20"/>
          <w:szCs w:val="20"/>
        </w:rPr>
        <w:t>Corporate Groups- A German’s European Perspective, German and Nordic Perspectives on Company Law and Capital Markets Law</w:t>
      </w:r>
      <w:r w:rsidRPr="009975EA">
        <w:rPr>
          <w:rFonts w:ascii="Times New Roman" w:hAnsi="Times New Roman" w:cs="Times New Roman"/>
          <w:sz w:val="20"/>
          <w:szCs w:val="20"/>
        </w:rPr>
        <w:t>, Ed. Holger Fleischer/Jesper Lau Han</w:t>
      </w:r>
      <w:r>
        <w:rPr>
          <w:rFonts w:ascii="Times New Roman" w:hAnsi="Times New Roman" w:cs="Times New Roman"/>
          <w:sz w:val="20"/>
          <w:szCs w:val="20"/>
        </w:rPr>
        <w:t>sen/Wolf- Georg Rince 174 (</w:t>
      </w:r>
      <w:r w:rsidRPr="009975EA">
        <w:rPr>
          <w:rFonts w:ascii="Times New Roman" w:hAnsi="Times New Roman" w:cs="Times New Roman"/>
          <w:sz w:val="20"/>
          <w:szCs w:val="20"/>
        </w:rPr>
        <w:t>2015</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29">
    <w:p w14:paraId="7C0A893E" w14:textId="61E583C5" w:rsidR="00D36541" w:rsidRPr="009975EA" w:rsidRDefault="00D36541" w:rsidP="009975EA">
      <w:pPr>
        <w:pStyle w:val="NormalWeb"/>
        <w:spacing w:before="0" w:beforeAutospacing="0" w:after="0" w:afterAutospacing="0"/>
        <w:jc w:val="both"/>
        <w:rPr>
          <w:rFonts w:ascii="Times New Roman" w:hAnsi="Times New Roman"/>
        </w:rPr>
      </w:pPr>
      <w:r w:rsidRPr="009975EA">
        <w:rPr>
          <w:rStyle w:val="DipnotBavurusu"/>
          <w:rFonts w:ascii="Times New Roman" w:hAnsi="Times New Roman"/>
        </w:rPr>
        <w:footnoteRef/>
      </w:r>
      <w:r w:rsidRPr="009975EA">
        <w:rPr>
          <w:rFonts w:ascii="Times New Roman" w:hAnsi="Times New Roman"/>
        </w:rPr>
        <w:t xml:space="preserve"> </w:t>
      </w:r>
      <w:proofErr w:type="spellStart"/>
      <w:r w:rsidRPr="009975EA">
        <w:rPr>
          <w:rFonts w:ascii="Times New Roman" w:hAnsi="Times New Roman"/>
        </w:rPr>
        <w:t>European</w:t>
      </w:r>
      <w:proofErr w:type="spellEnd"/>
      <w:r w:rsidRPr="009975EA">
        <w:rPr>
          <w:rFonts w:ascii="Times New Roman" w:hAnsi="Times New Roman"/>
        </w:rPr>
        <w:t xml:space="preserve"> </w:t>
      </w:r>
      <w:proofErr w:type="spellStart"/>
      <w:r w:rsidRPr="009975EA">
        <w:rPr>
          <w:rFonts w:ascii="Times New Roman" w:hAnsi="Times New Roman"/>
        </w:rPr>
        <w:t>Union</w:t>
      </w:r>
      <w:proofErr w:type="spellEnd"/>
      <w:r w:rsidRPr="009975EA">
        <w:rPr>
          <w:rFonts w:ascii="Times New Roman" w:hAnsi="Times New Roman"/>
        </w:rPr>
        <w:t xml:space="preserve"> </w:t>
      </w:r>
      <w:proofErr w:type="spellStart"/>
      <w:r w:rsidRPr="009975EA">
        <w:rPr>
          <w:rFonts w:ascii="Times New Roman" w:hAnsi="Times New Roman"/>
        </w:rPr>
        <w:t>stated</w:t>
      </w:r>
      <w:proofErr w:type="spellEnd"/>
      <w:r w:rsidRPr="009975EA">
        <w:rPr>
          <w:rFonts w:ascii="Times New Roman" w:hAnsi="Times New Roman"/>
        </w:rPr>
        <w:t xml:space="preserve"> “</w:t>
      </w:r>
      <w:proofErr w:type="spellStart"/>
      <w:r w:rsidRPr="009975EA">
        <w:rPr>
          <w:rFonts w:ascii="Times New Roman" w:hAnsi="Times New Roman"/>
        </w:rPr>
        <w:t>jobs</w:t>
      </w:r>
      <w:proofErr w:type="spellEnd"/>
      <w:r w:rsidRPr="009975EA">
        <w:rPr>
          <w:rFonts w:ascii="Times New Roman" w:hAnsi="Times New Roman"/>
        </w:rPr>
        <w:t xml:space="preserve"> </w:t>
      </w:r>
      <w:proofErr w:type="spellStart"/>
      <w:r w:rsidRPr="009975EA">
        <w:rPr>
          <w:rFonts w:ascii="Times New Roman" w:hAnsi="Times New Roman"/>
        </w:rPr>
        <w:t>and</w:t>
      </w:r>
      <w:proofErr w:type="spellEnd"/>
      <w:r w:rsidRPr="009975EA">
        <w:rPr>
          <w:rFonts w:ascii="Times New Roman" w:hAnsi="Times New Roman"/>
        </w:rPr>
        <w:t xml:space="preserve"> </w:t>
      </w:r>
      <w:proofErr w:type="spellStart"/>
      <w:r w:rsidRPr="009975EA">
        <w:rPr>
          <w:rFonts w:ascii="Times New Roman" w:hAnsi="Times New Roman"/>
        </w:rPr>
        <w:t>growth</w:t>
      </w:r>
      <w:proofErr w:type="spellEnd"/>
      <w:r w:rsidRPr="009975EA">
        <w:rPr>
          <w:rFonts w:ascii="Times New Roman" w:hAnsi="Times New Roman"/>
        </w:rPr>
        <w:t xml:space="preserve">” as </w:t>
      </w:r>
      <w:proofErr w:type="spellStart"/>
      <w:r w:rsidRPr="009975EA">
        <w:rPr>
          <w:rFonts w:ascii="Times New Roman" w:hAnsi="Times New Roman"/>
        </w:rPr>
        <w:t>Europe’s</w:t>
      </w:r>
      <w:proofErr w:type="spellEnd"/>
      <w:r w:rsidRPr="009975EA">
        <w:rPr>
          <w:rFonts w:ascii="Times New Roman" w:hAnsi="Times New Roman"/>
        </w:rPr>
        <w:t xml:space="preserve"> </w:t>
      </w:r>
      <w:proofErr w:type="spellStart"/>
      <w:r w:rsidRPr="009975EA">
        <w:rPr>
          <w:rFonts w:ascii="Times New Roman" w:hAnsi="Times New Roman"/>
        </w:rPr>
        <w:t>priority</w:t>
      </w:r>
      <w:proofErr w:type="spellEnd"/>
      <w:r w:rsidRPr="009975EA">
        <w:rPr>
          <w:rFonts w:ascii="Times New Roman" w:hAnsi="Times New Roman"/>
        </w:rPr>
        <w:t xml:space="preserve">, </w:t>
      </w:r>
      <w:proofErr w:type="spellStart"/>
      <w:r w:rsidRPr="009975EA">
        <w:rPr>
          <w:rFonts w:ascii="Times New Roman" w:hAnsi="Times New Roman"/>
        </w:rPr>
        <w:t>and</w:t>
      </w:r>
      <w:proofErr w:type="spellEnd"/>
      <w:r w:rsidRPr="009975EA">
        <w:rPr>
          <w:rFonts w:ascii="Times New Roman" w:hAnsi="Times New Roman"/>
        </w:rPr>
        <w:t xml:space="preserve"> </w:t>
      </w:r>
      <w:proofErr w:type="spellStart"/>
      <w:r w:rsidRPr="009975EA">
        <w:rPr>
          <w:rFonts w:ascii="Times New Roman" w:hAnsi="Times New Roman"/>
        </w:rPr>
        <w:t>declared</w:t>
      </w:r>
      <w:proofErr w:type="spellEnd"/>
      <w:r w:rsidRPr="009975EA">
        <w:rPr>
          <w:rFonts w:ascii="Times New Roman" w:hAnsi="Times New Roman"/>
        </w:rPr>
        <w:t xml:space="preserve"> </w:t>
      </w:r>
      <w:proofErr w:type="spellStart"/>
      <w:r w:rsidRPr="009975EA">
        <w:rPr>
          <w:rFonts w:ascii="Times New Roman" w:hAnsi="Times New Roman"/>
        </w:rPr>
        <w:t>unlocking</w:t>
      </w:r>
      <w:proofErr w:type="spellEnd"/>
      <w:r w:rsidRPr="009975EA">
        <w:rPr>
          <w:rFonts w:ascii="Times New Roman" w:hAnsi="Times New Roman"/>
        </w:rPr>
        <w:t xml:space="preserve"> </w:t>
      </w:r>
      <w:proofErr w:type="spellStart"/>
      <w:r w:rsidRPr="009975EA">
        <w:rPr>
          <w:rFonts w:ascii="Times New Roman" w:hAnsi="Times New Roman"/>
        </w:rPr>
        <w:t>investment</w:t>
      </w:r>
      <w:proofErr w:type="spellEnd"/>
      <w:r w:rsidRPr="009975EA">
        <w:rPr>
          <w:rFonts w:ascii="Times New Roman" w:hAnsi="Times New Roman"/>
        </w:rPr>
        <w:t xml:space="preserve"> in </w:t>
      </w:r>
      <w:proofErr w:type="spellStart"/>
      <w:r w:rsidRPr="009975EA">
        <w:rPr>
          <w:rFonts w:ascii="Times New Roman" w:hAnsi="Times New Roman"/>
        </w:rPr>
        <w:t>Europe’s</w:t>
      </w:r>
      <w:proofErr w:type="spellEnd"/>
      <w:r w:rsidRPr="009975EA">
        <w:rPr>
          <w:rFonts w:ascii="Times New Roman" w:hAnsi="Times New Roman"/>
        </w:rPr>
        <w:t xml:space="preserve"> </w:t>
      </w:r>
      <w:proofErr w:type="spellStart"/>
      <w:r w:rsidRPr="009975EA">
        <w:rPr>
          <w:rFonts w:ascii="Times New Roman" w:hAnsi="Times New Roman"/>
        </w:rPr>
        <w:t>companies</w:t>
      </w:r>
      <w:proofErr w:type="spellEnd"/>
      <w:r w:rsidRPr="009975EA">
        <w:rPr>
          <w:rFonts w:ascii="Times New Roman" w:hAnsi="Times New Roman"/>
        </w:rPr>
        <w:t xml:space="preserve"> as </w:t>
      </w:r>
      <w:proofErr w:type="spellStart"/>
      <w:r w:rsidRPr="009975EA">
        <w:rPr>
          <w:rFonts w:ascii="Times New Roman" w:hAnsi="Times New Roman"/>
        </w:rPr>
        <w:t>the</w:t>
      </w:r>
      <w:proofErr w:type="spellEnd"/>
      <w:r w:rsidRPr="009975EA">
        <w:rPr>
          <w:rFonts w:ascii="Times New Roman" w:hAnsi="Times New Roman"/>
        </w:rPr>
        <w:t xml:space="preserve"> </w:t>
      </w:r>
      <w:proofErr w:type="spellStart"/>
      <w:r w:rsidRPr="009975EA">
        <w:rPr>
          <w:rFonts w:ascii="Times New Roman" w:hAnsi="Times New Roman"/>
        </w:rPr>
        <w:t>key</w:t>
      </w:r>
      <w:proofErr w:type="spellEnd"/>
      <w:r w:rsidRPr="009975EA">
        <w:rPr>
          <w:rFonts w:ascii="Times New Roman" w:hAnsi="Times New Roman"/>
        </w:rPr>
        <w:t xml:space="preserve"> </w:t>
      </w:r>
      <w:proofErr w:type="spellStart"/>
      <w:r w:rsidRPr="009975EA">
        <w:rPr>
          <w:rFonts w:ascii="Times New Roman" w:hAnsi="Times New Roman"/>
        </w:rPr>
        <w:t>to</w:t>
      </w:r>
      <w:proofErr w:type="spellEnd"/>
      <w:r w:rsidRPr="009975EA">
        <w:rPr>
          <w:rFonts w:ascii="Times New Roman" w:hAnsi="Times New Roman"/>
        </w:rPr>
        <w:t xml:space="preserve"> </w:t>
      </w:r>
      <w:proofErr w:type="spellStart"/>
      <w:r w:rsidRPr="009975EA">
        <w:rPr>
          <w:rFonts w:ascii="Times New Roman" w:hAnsi="Times New Roman"/>
        </w:rPr>
        <w:t>growth</w:t>
      </w:r>
      <w:proofErr w:type="spellEnd"/>
      <w:r w:rsidRPr="009975EA">
        <w:rPr>
          <w:rFonts w:ascii="Times New Roman" w:hAnsi="Times New Roman"/>
        </w:rPr>
        <w:t xml:space="preserve"> (</w:t>
      </w:r>
      <w:proofErr w:type="spellStart"/>
      <w:r w:rsidRPr="009975EA">
        <w:rPr>
          <w:rFonts w:ascii="Times New Roman" w:hAnsi="Times New Roman"/>
          <w:i/>
        </w:rPr>
        <w:t>Green</w:t>
      </w:r>
      <w:proofErr w:type="spellEnd"/>
      <w:r w:rsidRPr="009975EA">
        <w:rPr>
          <w:rFonts w:ascii="Times New Roman" w:hAnsi="Times New Roman"/>
          <w:i/>
        </w:rPr>
        <w:t xml:space="preserve"> </w:t>
      </w:r>
      <w:proofErr w:type="spellStart"/>
      <w:r w:rsidRPr="009975EA">
        <w:rPr>
          <w:rFonts w:ascii="Times New Roman" w:hAnsi="Times New Roman"/>
          <w:i/>
        </w:rPr>
        <w:t>Paper</w:t>
      </w:r>
      <w:proofErr w:type="spellEnd"/>
      <w:r w:rsidRPr="009975EA">
        <w:rPr>
          <w:rFonts w:ascii="Times New Roman" w:hAnsi="Times New Roman"/>
          <w:i/>
        </w:rPr>
        <w:t xml:space="preserve">, </w:t>
      </w:r>
      <w:proofErr w:type="spellStart"/>
      <w:r w:rsidRPr="009975EA">
        <w:rPr>
          <w:rFonts w:ascii="Times New Roman" w:hAnsi="Times New Roman"/>
          <w:i/>
        </w:rPr>
        <w:t>Building</w:t>
      </w:r>
      <w:proofErr w:type="spellEnd"/>
      <w:r w:rsidRPr="009975EA">
        <w:rPr>
          <w:rFonts w:ascii="Times New Roman" w:hAnsi="Times New Roman"/>
          <w:i/>
        </w:rPr>
        <w:t xml:space="preserve"> a </w:t>
      </w:r>
      <w:proofErr w:type="spellStart"/>
      <w:r w:rsidRPr="009975EA">
        <w:rPr>
          <w:rFonts w:ascii="Times New Roman" w:hAnsi="Times New Roman"/>
          <w:i/>
        </w:rPr>
        <w:t>Capital</w:t>
      </w:r>
      <w:proofErr w:type="spellEnd"/>
      <w:r w:rsidRPr="009975EA">
        <w:rPr>
          <w:rFonts w:ascii="Times New Roman" w:hAnsi="Times New Roman"/>
          <w:i/>
        </w:rPr>
        <w:t xml:space="preserve"> </w:t>
      </w:r>
      <w:proofErr w:type="spellStart"/>
      <w:r w:rsidRPr="009975EA">
        <w:rPr>
          <w:rFonts w:ascii="Times New Roman" w:hAnsi="Times New Roman"/>
          <w:i/>
        </w:rPr>
        <w:t>Markets</w:t>
      </w:r>
      <w:proofErr w:type="spellEnd"/>
      <w:r w:rsidRPr="009975EA">
        <w:rPr>
          <w:rFonts w:ascii="Times New Roman" w:hAnsi="Times New Roman"/>
          <w:i/>
        </w:rPr>
        <w:t xml:space="preserve"> </w:t>
      </w:r>
      <w:proofErr w:type="spellStart"/>
      <w:r w:rsidRPr="009975EA">
        <w:rPr>
          <w:rFonts w:ascii="Times New Roman" w:hAnsi="Times New Roman"/>
          <w:i/>
        </w:rPr>
        <w:t>Union</w:t>
      </w:r>
      <w:proofErr w:type="spellEnd"/>
      <w:r w:rsidRPr="009975EA">
        <w:rPr>
          <w:rFonts w:ascii="Times New Roman" w:hAnsi="Times New Roman"/>
        </w:rPr>
        <w:t xml:space="preserve">, 02/18/2015, </w:t>
      </w:r>
      <w:hyperlink r:id="rId5" w:history="1">
        <w:r w:rsidRPr="009975EA">
          <w:rPr>
            <w:rStyle w:val="Kpr"/>
            <w:rFonts w:ascii="Times New Roman" w:hAnsi="Times New Roman"/>
          </w:rPr>
          <w:t>http://eur-lex.europa.eu/legal-content/EN/TXT/PDF/?uri=COM:2015:63:FIN&amp;from=EN</w:t>
        </w:r>
      </w:hyperlink>
      <w:r w:rsidRPr="009975EA">
        <w:rPr>
          <w:rFonts w:ascii="Times New Roman" w:hAnsi="Times New Roman"/>
        </w:rPr>
        <w:t xml:space="preserve"> (</w:t>
      </w:r>
      <w:proofErr w:type="spellStart"/>
      <w:r w:rsidRPr="009975EA">
        <w:rPr>
          <w:rFonts w:ascii="Times New Roman" w:hAnsi="Times New Roman"/>
        </w:rPr>
        <w:t>Last</w:t>
      </w:r>
      <w:proofErr w:type="spellEnd"/>
      <w:r w:rsidRPr="009975EA">
        <w:rPr>
          <w:rFonts w:ascii="Times New Roman" w:hAnsi="Times New Roman"/>
        </w:rPr>
        <w:t xml:space="preserve"> </w:t>
      </w:r>
      <w:proofErr w:type="spellStart"/>
      <w:r w:rsidRPr="009975EA">
        <w:rPr>
          <w:rFonts w:ascii="Times New Roman" w:hAnsi="Times New Roman"/>
        </w:rPr>
        <w:t>visited</w:t>
      </w:r>
      <w:proofErr w:type="spellEnd"/>
      <w:r w:rsidRPr="009975EA">
        <w:rPr>
          <w:rFonts w:ascii="Times New Roman" w:hAnsi="Times New Roman"/>
        </w:rPr>
        <w:t xml:space="preserve">: 11/15/2015)). </w:t>
      </w:r>
      <w:proofErr w:type="spellStart"/>
      <w:r w:rsidRPr="009975EA">
        <w:rPr>
          <w:rFonts w:ascii="Times New Roman" w:hAnsi="Times New Roman"/>
        </w:rPr>
        <w:t>Relationship</w:t>
      </w:r>
      <w:proofErr w:type="spellEnd"/>
      <w:r w:rsidRPr="009975EA">
        <w:rPr>
          <w:rFonts w:ascii="Times New Roman" w:hAnsi="Times New Roman"/>
        </w:rPr>
        <w:t xml:space="preserve"> </w:t>
      </w:r>
      <w:proofErr w:type="spellStart"/>
      <w:r w:rsidRPr="009975EA">
        <w:rPr>
          <w:rFonts w:ascii="Times New Roman" w:hAnsi="Times New Roman"/>
        </w:rPr>
        <w:t>between</w:t>
      </w:r>
      <w:proofErr w:type="spellEnd"/>
      <w:r w:rsidRPr="009975EA">
        <w:rPr>
          <w:rFonts w:ascii="Times New Roman" w:hAnsi="Times New Roman"/>
        </w:rPr>
        <w:t xml:space="preserve"> </w:t>
      </w:r>
      <w:proofErr w:type="spellStart"/>
      <w:r w:rsidRPr="009975EA">
        <w:rPr>
          <w:rFonts w:ascii="Times New Roman" w:hAnsi="Times New Roman"/>
        </w:rPr>
        <w:t>economic</w:t>
      </w:r>
      <w:proofErr w:type="spellEnd"/>
      <w:r w:rsidRPr="009975EA">
        <w:rPr>
          <w:rFonts w:ascii="Times New Roman" w:hAnsi="Times New Roman"/>
        </w:rPr>
        <w:t xml:space="preserve"> </w:t>
      </w:r>
      <w:proofErr w:type="spellStart"/>
      <w:r w:rsidRPr="009975EA">
        <w:rPr>
          <w:rFonts w:ascii="Times New Roman" w:hAnsi="Times New Roman"/>
        </w:rPr>
        <w:t>growth</w:t>
      </w:r>
      <w:proofErr w:type="spellEnd"/>
      <w:r w:rsidRPr="009975EA">
        <w:rPr>
          <w:rFonts w:ascii="Times New Roman" w:hAnsi="Times New Roman"/>
        </w:rPr>
        <w:t xml:space="preserve"> </w:t>
      </w:r>
      <w:proofErr w:type="spellStart"/>
      <w:r w:rsidRPr="009975EA">
        <w:rPr>
          <w:rFonts w:ascii="Times New Roman" w:hAnsi="Times New Roman"/>
        </w:rPr>
        <w:t>and</w:t>
      </w:r>
      <w:proofErr w:type="spellEnd"/>
      <w:r w:rsidRPr="009975EA">
        <w:rPr>
          <w:rFonts w:ascii="Times New Roman" w:hAnsi="Times New Roman"/>
        </w:rPr>
        <w:t xml:space="preserve"> </w:t>
      </w:r>
      <w:proofErr w:type="spellStart"/>
      <w:r w:rsidRPr="009975EA">
        <w:rPr>
          <w:rFonts w:ascii="Times New Roman" w:hAnsi="Times New Roman"/>
        </w:rPr>
        <w:t>corporations</w:t>
      </w:r>
      <w:proofErr w:type="spellEnd"/>
      <w:r w:rsidRPr="009975EA">
        <w:rPr>
          <w:rFonts w:ascii="Times New Roman" w:hAnsi="Times New Roman"/>
        </w:rPr>
        <w:t xml:space="preserve"> is </w:t>
      </w:r>
      <w:proofErr w:type="spellStart"/>
      <w:r w:rsidRPr="009975EA">
        <w:rPr>
          <w:rFonts w:ascii="Times New Roman" w:hAnsi="Times New Roman"/>
        </w:rPr>
        <w:t>also</w:t>
      </w:r>
      <w:proofErr w:type="spellEnd"/>
      <w:r w:rsidRPr="009975EA">
        <w:rPr>
          <w:rFonts w:ascii="Times New Roman" w:hAnsi="Times New Roman"/>
        </w:rPr>
        <w:t xml:space="preserve"> </w:t>
      </w:r>
      <w:proofErr w:type="spellStart"/>
      <w:r w:rsidRPr="009975EA">
        <w:rPr>
          <w:rFonts w:ascii="Times New Roman" w:hAnsi="Times New Roman"/>
        </w:rPr>
        <w:t>recently</w:t>
      </w:r>
      <w:proofErr w:type="spellEnd"/>
      <w:r w:rsidRPr="009975EA">
        <w:rPr>
          <w:rFonts w:ascii="Times New Roman" w:hAnsi="Times New Roman"/>
        </w:rPr>
        <w:t xml:space="preserve"> </w:t>
      </w:r>
      <w:proofErr w:type="spellStart"/>
      <w:r w:rsidRPr="009975EA">
        <w:rPr>
          <w:rFonts w:ascii="Times New Roman" w:hAnsi="Times New Roman"/>
        </w:rPr>
        <w:t>underlined</w:t>
      </w:r>
      <w:proofErr w:type="spellEnd"/>
      <w:r w:rsidRPr="009975EA">
        <w:rPr>
          <w:rFonts w:ascii="Times New Roman" w:hAnsi="Times New Roman"/>
        </w:rPr>
        <w:t xml:space="preserve"> in </w:t>
      </w:r>
      <w:proofErr w:type="spellStart"/>
      <w:r w:rsidRPr="009975EA">
        <w:rPr>
          <w:rFonts w:ascii="Times New Roman" w:hAnsi="Times New Roman"/>
        </w:rPr>
        <w:t>the</w:t>
      </w:r>
      <w:proofErr w:type="spellEnd"/>
      <w:r w:rsidRPr="009975EA">
        <w:rPr>
          <w:rFonts w:ascii="Times New Roman" w:hAnsi="Times New Roman"/>
        </w:rPr>
        <w:t xml:space="preserve"> </w:t>
      </w:r>
      <w:proofErr w:type="spellStart"/>
      <w:r w:rsidRPr="009975EA">
        <w:rPr>
          <w:rFonts w:ascii="Times New Roman" w:hAnsi="Times New Roman"/>
        </w:rPr>
        <w:t>preamble</w:t>
      </w:r>
      <w:proofErr w:type="spellEnd"/>
      <w:r w:rsidRPr="009975EA">
        <w:rPr>
          <w:rFonts w:ascii="Times New Roman" w:hAnsi="Times New Roman"/>
        </w:rPr>
        <w:t xml:space="preserve"> of </w:t>
      </w:r>
      <w:proofErr w:type="spellStart"/>
      <w:r w:rsidRPr="009975EA">
        <w:rPr>
          <w:rFonts w:ascii="Times New Roman" w:hAnsi="Times New Roman"/>
        </w:rPr>
        <w:t>USA’s</w:t>
      </w:r>
      <w:proofErr w:type="spellEnd"/>
      <w:r w:rsidRPr="009975EA">
        <w:rPr>
          <w:rFonts w:ascii="Times New Roman" w:hAnsi="Times New Roman"/>
        </w:rPr>
        <w:t xml:space="preserve"> Jumpstart </w:t>
      </w:r>
      <w:proofErr w:type="spellStart"/>
      <w:r w:rsidRPr="009975EA">
        <w:rPr>
          <w:rFonts w:ascii="Times New Roman" w:hAnsi="Times New Roman"/>
        </w:rPr>
        <w:t>Our</w:t>
      </w:r>
      <w:proofErr w:type="spellEnd"/>
      <w:r w:rsidRPr="009975EA">
        <w:rPr>
          <w:rFonts w:ascii="Times New Roman" w:hAnsi="Times New Roman"/>
        </w:rPr>
        <w:t xml:space="preserve"> Business </w:t>
      </w:r>
      <w:proofErr w:type="spellStart"/>
      <w:r w:rsidRPr="009975EA">
        <w:rPr>
          <w:rFonts w:ascii="Times New Roman" w:hAnsi="Times New Roman"/>
        </w:rPr>
        <w:t>Startups</w:t>
      </w:r>
      <w:proofErr w:type="spellEnd"/>
      <w:r w:rsidRPr="009975EA">
        <w:rPr>
          <w:rFonts w:ascii="Times New Roman" w:hAnsi="Times New Roman"/>
        </w:rPr>
        <w:t xml:space="preserve"> </w:t>
      </w:r>
      <w:proofErr w:type="spellStart"/>
      <w:r w:rsidRPr="009975EA">
        <w:rPr>
          <w:rFonts w:ascii="Times New Roman" w:hAnsi="Times New Roman"/>
        </w:rPr>
        <w:t>Act</w:t>
      </w:r>
      <w:proofErr w:type="spellEnd"/>
      <w:r w:rsidRPr="009975EA">
        <w:rPr>
          <w:rFonts w:ascii="Times New Roman" w:hAnsi="Times New Roman"/>
        </w:rPr>
        <w:t xml:space="preserve"> (H.R. 3606 (</w:t>
      </w:r>
      <w:proofErr w:type="spellStart"/>
      <w:r w:rsidRPr="009975EA">
        <w:rPr>
          <w:rFonts w:ascii="Times New Roman" w:hAnsi="Times New Roman"/>
        </w:rPr>
        <w:t>Apr</w:t>
      </w:r>
      <w:proofErr w:type="spellEnd"/>
      <w:r w:rsidRPr="009975EA">
        <w:rPr>
          <w:rFonts w:ascii="Times New Roman" w:hAnsi="Times New Roman"/>
        </w:rPr>
        <w:t xml:space="preserve">. 5, 2012)), </w:t>
      </w:r>
      <w:proofErr w:type="spellStart"/>
      <w:r w:rsidRPr="009975EA">
        <w:rPr>
          <w:rFonts w:ascii="Times New Roman" w:hAnsi="Times New Roman"/>
        </w:rPr>
        <w:t>by</w:t>
      </w:r>
      <w:proofErr w:type="spellEnd"/>
      <w:r w:rsidRPr="009975EA">
        <w:rPr>
          <w:rFonts w:ascii="Times New Roman" w:hAnsi="Times New Roman"/>
        </w:rPr>
        <w:t xml:space="preserve"> </w:t>
      </w:r>
      <w:proofErr w:type="spellStart"/>
      <w:r w:rsidRPr="009975EA">
        <w:rPr>
          <w:rFonts w:ascii="Times New Roman" w:hAnsi="Times New Roman"/>
        </w:rPr>
        <w:t>stating</w:t>
      </w:r>
      <w:proofErr w:type="spellEnd"/>
      <w:r w:rsidRPr="009975EA">
        <w:rPr>
          <w:rFonts w:ascii="Times New Roman" w:hAnsi="Times New Roman"/>
        </w:rPr>
        <w:t xml:space="preserve"> </w:t>
      </w:r>
      <w:proofErr w:type="spellStart"/>
      <w:r w:rsidRPr="009975EA">
        <w:rPr>
          <w:rFonts w:ascii="Times New Roman" w:hAnsi="Times New Roman"/>
        </w:rPr>
        <w:t>the</w:t>
      </w:r>
      <w:proofErr w:type="spellEnd"/>
      <w:r w:rsidRPr="009975EA">
        <w:rPr>
          <w:rFonts w:ascii="Times New Roman" w:hAnsi="Times New Roman"/>
        </w:rPr>
        <w:t xml:space="preserve"> </w:t>
      </w:r>
      <w:proofErr w:type="spellStart"/>
      <w:r w:rsidRPr="009975EA">
        <w:rPr>
          <w:rFonts w:ascii="Times New Roman" w:hAnsi="Times New Roman"/>
        </w:rPr>
        <w:t>regulation</w:t>
      </w:r>
      <w:proofErr w:type="spellEnd"/>
      <w:r w:rsidRPr="009975EA">
        <w:rPr>
          <w:rFonts w:ascii="Times New Roman" w:hAnsi="Times New Roman"/>
        </w:rPr>
        <w:t xml:space="preserve"> as “An </w:t>
      </w:r>
      <w:proofErr w:type="spellStart"/>
      <w:r w:rsidRPr="009975EA">
        <w:rPr>
          <w:rFonts w:ascii="Times New Roman" w:hAnsi="Times New Roman"/>
        </w:rPr>
        <w:t>Act</w:t>
      </w:r>
      <w:proofErr w:type="spellEnd"/>
      <w:r w:rsidRPr="009975EA">
        <w:rPr>
          <w:rFonts w:ascii="Times New Roman" w:hAnsi="Times New Roman"/>
        </w:rPr>
        <w:t xml:space="preserve"> </w:t>
      </w:r>
      <w:proofErr w:type="spellStart"/>
      <w:r w:rsidRPr="009975EA">
        <w:rPr>
          <w:rFonts w:ascii="Times New Roman" w:hAnsi="Times New Roman"/>
        </w:rPr>
        <w:t>to</w:t>
      </w:r>
      <w:proofErr w:type="spellEnd"/>
      <w:r w:rsidRPr="009975EA">
        <w:rPr>
          <w:rFonts w:ascii="Times New Roman" w:hAnsi="Times New Roman"/>
        </w:rPr>
        <w:t xml:space="preserve"> </w:t>
      </w:r>
      <w:proofErr w:type="spellStart"/>
      <w:r w:rsidRPr="009975EA">
        <w:rPr>
          <w:rFonts w:ascii="Times New Roman" w:hAnsi="Times New Roman"/>
        </w:rPr>
        <w:t>increase</w:t>
      </w:r>
      <w:proofErr w:type="spellEnd"/>
      <w:r w:rsidRPr="009975EA">
        <w:rPr>
          <w:rFonts w:ascii="Times New Roman" w:hAnsi="Times New Roman"/>
        </w:rPr>
        <w:t xml:space="preserve"> </w:t>
      </w:r>
      <w:proofErr w:type="spellStart"/>
      <w:r w:rsidRPr="009975EA">
        <w:rPr>
          <w:rFonts w:ascii="Times New Roman" w:hAnsi="Times New Roman"/>
        </w:rPr>
        <w:t>American</w:t>
      </w:r>
      <w:proofErr w:type="spellEnd"/>
      <w:r w:rsidRPr="009975EA">
        <w:rPr>
          <w:rFonts w:ascii="Times New Roman" w:hAnsi="Times New Roman"/>
        </w:rPr>
        <w:t xml:space="preserve"> </w:t>
      </w:r>
      <w:proofErr w:type="spellStart"/>
      <w:r w:rsidRPr="009975EA">
        <w:rPr>
          <w:rFonts w:ascii="Times New Roman" w:hAnsi="Times New Roman"/>
        </w:rPr>
        <w:t>job</w:t>
      </w:r>
      <w:proofErr w:type="spellEnd"/>
      <w:r w:rsidRPr="009975EA">
        <w:rPr>
          <w:rFonts w:ascii="Times New Roman" w:hAnsi="Times New Roman"/>
        </w:rPr>
        <w:t xml:space="preserve"> </w:t>
      </w:r>
      <w:proofErr w:type="spellStart"/>
      <w:r w:rsidRPr="009975EA">
        <w:rPr>
          <w:rFonts w:ascii="Times New Roman" w:hAnsi="Times New Roman"/>
        </w:rPr>
        <w:t>creation</w:t>
      </w:r>
      <w:proofErr w:type="spellEnd"/>
      <w:r w:rsidRPr="009975EA">
        <w:rPr>
          <w:rFonts w:ascii="Times New Roman" w:hAnsi="Times New Roman"/>
        </w:rPr>
        <w:t xml:space="preserve"> </w:t>
      </w:r>
      <w:proofErr w:type="spellStart"/>
      <w:r w:rsidRPr="009975EA">
        <w:rPr>
          <w:rFonts w:ascii="Times New Roman" w:hAnsi="Times New Roman"/>
        </w:rPr>
        <w:t>and</w:t>
      </w:r>
      <w:proofErr w:type="spellEnd"/>
      <w:r w:rsidRPr="009975EA">
        <w:rPr>
          <w:rFonts w:ascii="Times New Roman" w:hAnsi="Times New Roman"/>
        </w:rPr>
        <w:t xml:space="preserve"> </w:t>
      </w:r>
      <w:proofErr w:type="spellStart"/>
      <w:r w:rsidRPr="009975EA">
        <w:rPr>
          <w:rFonts w:ascii="Times New Roman" w:hAnsi="Times New Roman"/>
        </w:rPr>
        <w:t>economic</w:t>
      </w:r>
      <w:proofErr w:type="spellEnd"/>
      <w:r w:rsidRPr="009975EA">
        <w:rPr>
          <w:rFonts w:ascii="Times New Roman" w:hAnsi="Times New Roman"/>
        </w:rPr>
        <w:t xml:space="preserve"> </w:t>
      </w:r>
      <w:proofErr w:type="spellStart"/>
      <w:r w:rsidRPr="009975EA">
        <w:rPr>
          <w:rFonts w:ascii="Times New Roman" w:hAnsi="Times New Roman"/>
        </w:rPr>
        <w:t>growth</w:t>
      </w:r>
      <w:proofErr w:type="spellEnd"/>
      <w:r w:rsidRPr="009975EA">
        <w:rPr>
          <w:rFonts w:ascii="Times New Roman" w:hAnsi="Times New Roman"/>
        </w:rPr>
        <w:t xml:space="preserve"> </w:t>
      </w:r>
      <w:proofErr w:type="spellStart"/>
      <w:r w:rsidRPr="009975EA">
        <w:rPr>
          <w:rFonts w:ascii="Times New Roman" w:hAnsi="Times New Roman"/>
        </w:rPr>
        <w:t>by</w:t>
      </w:r>
      <w:proofErr w:type="spellEnd"/>
      <w:r w:rsidRPr="009975EA">
        <w:rPr>
          <w:rFonts w:ascii="Times New Roman" w:hAnsi="Times New Roman"/>
        </w:rPr>
        <w:t xml:space="preserve"> </w:t>
      </w:r>
      <w:proofErr w:type="spellStart"/>
      <w:r w:rsidRPr="009975EA">
        <w:rPr>
          <w:rFonts w:ascii="Times New Roman" w:hAnsi="Times New Roman"/>
        </w:rPr>
        <w:t>improving</w:t>
      </w:r>
      <w:proofErr w:type="spellEnd"/>
      <w:r w:rsidRPr="009975EA">
        <w:rPr>
          <w:rFonts w:ascii="Times New Roman" w:hAnsi="Times New Roman"/>
        </w:rPr>
        <w:t xml:space="preserve"> </w:t>
      </w:r>
      <w:proofErr w:type="spellStart"/>
      <w:r w:rsidRPr="009975EA">
        <w:rPr>
          <w:rFonts w:ascii="Times New Roman" w:hAnsi="Times New Roman"/>
        </w:rPr>
        <w:t>access</w:t>
      </w:r>
      <w:proofErr w:type="spellEnd"/>
      <w:r w:rsidRPr="009975EA">
        <w:rPr>
          <w:rFonts w:ascii="Times New Roman" w:hAnsi="Times New Roman"/>
        </w:rPr>
        <w:t xml:space="preserve"> </w:t>
      </w:r>
      <w:proofErr w:type="spellStart"/>
      <w:r w:rsidRPr="009975EA">
        <w:rPr>
          <w:rFonts w:ascii="Times New Roman" w:hAnsi="Times New Roman"/>
        </w:rPr>
        <w:t>to</w:t>
      </w:r>
      <w:proofErr w:type="spellEnd"/>
      <w:r w:rsidRPr="009975EA">
        <w:rPr>
          <w:rFonts w:ascii="Times New Roman" w:hAnsi="Times New Roman"/>
        </w:rPr>
        <w:t xml:space="preserve"> </w:t>
      </w:r>
      <w:proofErr w:type="spellStart"/>
      <w:r w:rsidRPr="009975EA">
        <w:rPr>
          <w:rFonts w:ascii="Times New Roman" w:hAnsi="Times New Roman"/>
        </w:rPr>
        <w:t>the</w:t>
      </w:r>
      <w:proofErr w:type="spellEnd"/>
      <w:r w:rsidRPr="009975EA">
        <w:rPr>
          <w:rFonts w:ascii="Times New Roman" w:hAnsi="Times New Roman"/>
        </w:rPr>
        <w:t xml:space="preserve"> </w:t>
      </w:r>
      <w:proofErr w:type="spellStart"/>
      <w:r w:rsidRPr="009975EA">
        <w:rPr>
          <w:rFonts w:ascii="Times New Roman" w:hAnsi="Times New Roman"/>
        </w:rPr>
        <w:t>public</w:t>
      </w:r>
      <w:proofErr w:type="spellEnd"/>
      <w:r w:rsidRPr="009975EA">
        <w:rPr>
          <w:rFonts w:ascii="Times New Roman" w:hAnsi="Times New Roman"/>
        </w:rPr>
        <w:t xml:space="preserve"> </w:t>
      </w:r>
      <w:proofErr w:type="spellStart"/>
      <w:r w:rsidRPr="009975EA">
        <w:rPr>
          <w:rFonts w:ascii="Times New Roman" w:hAnsi="Times New Roman"/>
        </w:rPr>
        <w:t>capital</w:t>
      </w:r>
      <w:proofErr w:type="spellEnd"/>
      <w:r w:rsidRPr="009975EA">
        <w:rPr>
          <w:rFonts w:ascii="Times New Roman" w:hAnsi="Times New Roman"/>
        </w:rPr>
        <w:t xml:space="preserve"> </w:t>
      </w:r>
      <w:proofErr w:type="spellStart"/>
      <w:r w:rsidRPr="009975EA">
        <w:rPr>
          <w:rFonts w:ascii="Times New Roman" w:hAnsi="Times New Roman"/>
        </w:rPr>
        <w:t>markets</w:t>
      </w:r>
      <w:proofErr w:type="spellEnd"/>
      <w:r w:rsidRPr="009975EA">
        <w:rPr>
          <w:rFonts w:ascii="Times New Roman" w:hAnsi="Times New Roman"/>
        </w:rPr>
        <w:t xml:space="preserve"> </w:t>
      </w:r>
      <w:proofErr w:type="spellStart"/>
      <w:r w:rsidRPr="009975EA">
        <w:rPr>
          <w:rFonts w:ascii="Times New Roman" w:hAnsi="Times New Roman"/>
        </w:rPr>
        <w:t>for</w:t>
      </w:r>
      <w:proofErr w:type="spellEnd"/>
      <w:r w:rsidRPr="009975EA">
        <w:rPr>
          <w:rFonts w:ascii="Times New Roman" w:hAnsi="Times New Roman"/>
        </w:rPr>
        <w:t xml:space="preserve"> </w:t>
      </w:r>
      <w:proofErr w:type="spellStart"/>
      <w:r w:rsidRPr="009975EA">
        <w:rPr>
          <w:rFonts w:ascii="Times New Roman" w:hAnsi="Times New Roman"/>
        </w:rPr>
        <w:t>emerging</w:t>
      </w:r>
      <w:proofErr w:type="spellEnd"/>
      <w:r w:rsidRPr="009975EA">
        <w:rPr>
          <w:rFonts w:ascii="Times New Roman" w:hAnsi="Times New Roman"/>
        </w:rPr>
        <w:t xml:space="preserve"> </w:t>
      </w:r>
      <w:proofErr w:type="spellStart"/>
      <w:r w:rsidRPr="009975EA">
        <w:rPr>
          <w:rFonts w:ascii="Times New Roman" w:hAnsi="Times New Roman"/>
        </w:rPr>
        <w:t>growth</w:t>
      </w:r>
      <w:proofErr w:type="spellEnd"/>
      <w:r w:rsidRPr="009975EA">
        <w:rPr>
          <w:rFonts w:ascii="Times New Roman" w:hAnsi="Times New Roman"/>
        </w:rPr>
        <w:t xml:space="preserve"> </w:t>
      </w:r>
      <w:proofErr w:type="spellStart"/>
      <w:r w:rsidRPr="009975EA">
        <w:rPr>
          <w:rFonts w:ascii="Times New Roman" w:hAnsi="Times New Roman"/>
        </w:rPr>
        <w:t>companies</w:t>
      </w:r>
      <w:proofErr w:type="spellEnd"/>
      <w:r w:rsidRPr="009975EA">
        <w:rPr>
          <w:rFonts w:ascii="Times New Roman" w:hAnsi="Times New Roman"/>
        </w:rPr>
        <w:t xml:space="preserve">”. </w:t>
      </w:r>
      <w:proofErr w:type="spellStart"/>
      <w:r w:rsidRPr="009975EA">
        <w:rPr>
          <w:rFonts w:ascii="Times New Roman" w:hAnsi="Times New Roman"/>
        </w:rPr>
        <w:t>Also</w:t>
      </w:r>
      <w:proofErr w:type="spellEnd"/>
      <w:r w:rsidRPr="009975EA">
        <w:rPr>
          <w:rFonts w:ascii="Times New Roman" w:hAnsi="Times New Roman"/>
        </w:rPr>
        <w:t xml:space="preserve"> </w:t>
      </w:r>
      <w:proofErr w:type="spellStart"/>
      <w:r w:rsidRPr="009975EA">
        <w:rPr>
          <w:rFonts w:ascii="Times New Roman" w:hAnsi="Times New Roman"/>
        </w:rPr>
        <w:t>see</w:t>
      </w:r>
      <w:proofErr w:type="spellEnd"/>
      <w:r w:rsidRPr="009975EA">
        <w:rPr>
          <w:rFonts w:ascii="Times New Roman" w:hAnsi="Times New Roman"/>
        </w:rPr>
        <w:t xml:space="preserve">: </w:t>
      </w:r>
      <w:proofErr w:type="spellStart"/>
      <w:r w:rsidRPr="009975EA">
        <w:rPr>
          <w:rFonts w:ascii="Times New Roman" w:hAnsi="Times New Roman"/>
        </w:rPr>
        <w:t>Kenneth</w:t>
      </w:r>
      <w:proofErr w:type="spellEnd"/>
      <w:r w:rsidRPr="009975EA">
        <w:rPr>
          <w:rFonts w:ascii="Times New Roman" w:hAnsi="Times New Roman"/>
        </w:rPr>
        <w:t xml:space="preserve"> W. Dam, </w:t>
      </w:r>
      <w:proofErr w:type="spellStart"/>
      <w:r w:rsidRPr="009975EA">
        <w:rPr>
          <w:rFonts w:ascii="Times New Roman" w:hAnsi="Times New Roman"/>
          <w:i/>
        </w:rPr>
        <w:t>Equity</w:t>
      </w:r>
      <w:proofErr w:type="spellEnd"/>
      <w:r w:rsidRPr="009975EA">
        <w:rPr>
          <w:rFonts w:ascii="Times New Roman" w:hAnsi="Times New Roman"/>
          <w:i/>
        </w:rPr>
        <w:t xml:space="preserve"> </w:t>
      </w:r>
      <w:proofErr w:type="spellStart"/>
      <w:r w:rsidRPr="009975EA">
        <w:rPr>
          <w:rFonts w:ascii="Times New Roman" w:hAnsi="Times New Roman"/>
          <w:i/>
        </w:rPr>
        <w:t>Markets</w:t>
      </w:r>
      <w:proofErr w:type="spellEnd"/>
      <w:r w:rsidRPr="009975EA">
        <w:rPr>
          <w:rFonts w:ascii="Times New Roman" w:hAnsi="Times New Roman"/>
          <w:i/>
        </w:rPr>
        <w:t xml:space="preserve">, </w:t>
      </w:r>
      <w:proofErr w:type="spellStart"/>
      <w:r w:rsidRPr="009975EA">
        <w:rPr>
          <w:rFonts w:ascii="Times New Roman" w:hAnsi="Times New Roman"/>
          <w:i/>
        </w:rPr>
        <w:t>The</w:t>
      </w:r>
      <w:proofErr w:type="spellEnd"/>
      <w:r w:rsidRPr="009975EA">
        <w:rPr>
          <w:rFonts w:ascii="Times New Roman" w:hAnsi="Times New Roman"/>
          <w:i/>
        </w:rPr>
        <w:t xml:space="preserve"> Corporation, </w:t>
      </w:r>
      <w:proofErr w:type="spellStart"/>
      <w:r w:rsidRPr="009975EA">
        <w:rPr>
          <w:rFonts w:ascii="Times New Roman" w:hAnsi="Times New Roman"/>
          <w:i/>
        </w:rPr>
        <w:t>and</w:t>
      </w:r>
      <w:proofErr w:type="spellEnd"/>
      <w:r w:rsidRPr="009975EA">
        <w:rPr>
          <w:rFonts w:ascii="Times New Roman" w:hAnsi="Times New Roman"/>
          <w:i/>
        </w:rPr>
        <w:t xml:space="preserve"> </w:t>
      </w:r>
      <w:proofErr w:type="spellStart"/>
      <w:r w:rsidRPr="009975EA">
        <w:rPr>
          <w:rFonts w:ascii="Times New Roman" w:hAnsi="Times New Roman"/>
          <w:i/>
        </w:rPr>
        <w:t>Economic</w:t>
      </w:r>
      <w:proofErr w:type="spellEnd"/>
      <w:r w:rsidRPr="009975EA">
        <w:rPr>
          <w:rFonts w:ascii="Times New Roman" w:hAnsi="Times New Roman"/>
          <w:i/>
        </w:rPr>
        <w:t xml:space="preserve"> Development,</w:t>
      </w:r>
      <w:r w:rsidRPr="009975EA">
        <w:rPr>
          <w:rFonts w:ascii="Times New Roman" w:hAnsi="Times New Roman"/>
        </w:rPr>
        <w:t xml:space="preserve"> </w:t>
      </w:r>
      <w:hyperlink r:id="rId6" w:history="1">
        <w:r w:rsidRPr="009975EA">
          <w:rPr>
            <w:rStyle w:val="Kpr"/>
            <w:rFonts w:ascii="Times New Roman" w:hAnsi="Times New Roman"/>
          </w:rPr>
          <w:t>http://chicagounbound.uchicago.edu/cgi/viewcontent.cgi?article=1195&amp;context=law_and_economics</w:t>
        </w:r>
      </w:hyperlink>
      <w:r w:rsidRPr="009975EA">
        <w:rPr>
          <w:rFonts w:ascii="Times New Roman" w:hAnsi="Times New Roman"/>
        </w:rPr>
        <w:t xml:space="preserve"> (</w:t>
      </w:r>
      <w:proofErr w:type="spellStart"/>
      <w:r w:rsidRPr="009975EA">
        <w:rPr>
          <w:rFonts w:ascii="Times New Roman" w:hAnsi="Times New Roman"/>
        </w:rPr>
        <w:t>Last</w:t>
      </w:r>
      <w:proofErr w:type="spellEnd"/>
      <w:r w:rsidRPr="009975EA">
        <w:rPr>
          <w:rFonts w:ascii="Times New Roman" w:hAnsi="Times New Roman"/>
        </w:rPr>
        <w:t xml:space="preserve"> </w:t>
      </w:r>
      <w:proofErr w:type="spellStart"/>
      <w:r w:rsidRPr="009975EA">
        <w:rPr>
          <w:rFonts w:ascii="Times New Roman" w:hAnsi="Times New Roman"/>
        </w:rPr>
        <w:t>visited</w:t>
      </w:r>
      <w:proofErr w:type="spellEnd"/>
      <w:r w:rsidRPr="009975EA">
        <w:rPr>
          <w:rFonts w:ascii="Times New Roman" w:hAnsi="Times New Roman"/>
        </w:rPr>
        <w:t xml:space="preserve">: 12/07/2015).  </w:t>
      </w:r>
      <w:proofErr w:type="spellStart"/>
      <w:r w:rsidRPr="009975EA">
        <w:rPr>
          <w:rFonts w:ascii="Times New Roman" w:hAnsi="Times New Roman"/>
        </w:rPr>
        <w:t>Similarly</w:t>
      </w:r>
      <w:proofErr w:type="spellEnd"/>
      <w:r w:rsidRPr="009975EA">
        <w:rPr>
          <w:rFonts w:ascii="Times New Roman" w:hAnsi="Times New Roman"/>
        </w:rPr>
        <w:t xml:space="preserve">, </w:t>
      </w:r>
      <w:proofErr w:type="spellStart"/>
      <w:r w:rsidRPr="009975EA">
        <w:rPr>
          <w:rFonts w:ascii="Times New Roman" w:hAnsi="Times New Roman"/>
        </w:rPr>
        <w:t>Constitutional</w:t>
      </w:r>
      <w:proofErr w:type="spellEnd"/>
      <w:r w:rsidRPr="009975EA">
        <w:rPr>
          <w:rFonts w:ascii="Times New Roman" w:hAnsi="Times New Roman"/>
        </w:rPr>
        <w:t xml:space="preserve"> Court of </w:t>
      </w:r>
      <w:proofErr w:type="spellStart"/>
      <w:r w:rsidRPr="009975EA">
        <w:rPr>
          <w:rFonts w:ascii="Times New Roman" w:hAnsi="Times New Roman"/>
        </w:rPr>
        <w:t>Republic</w:t>
      </w:r>
      <w:proofErr w:type="spellEnd"/>
      <w:r w:rsidRPr="009975EA">
        <w:rPr>
          <w:rFonts w:ascii="Times New Roman" w:hAnsi="Times New Roman"/>
        </w:rPr>
        <w:t xml:space="preserve"> of </w:t>
      </w:r>
      <w:proofErr w:type="spellStart"/>
      <w:r w:rsidRPr="009975EA">
        <w:rPr>
          <w:rFonts w:ascii="Times New Roman" w:hAnsi="Times New Roman"/>
        </w:rPr>
        <w:t>Turkey</w:t>
      </w:r>
      <w:proofErr w:type="spellEnd"/>
      <w:r w:rsidRPr="009975EA">
        <w:rPr>
          <w:rFonts w:ascii="Times New Roman" w:hAnsi="Times New Roman"/>
        </w:rPr>
        <w:t xml:space="preserve"> (</w:t>
      </w:r>
      <w:proofErr w:type="spellStart"/>
      <w:r w:rsidRPr="009975EA">
        <w:rPr>
          <w:rFonts w:ascii="Times New Roman" w:hAnsi="Times New Roman"/>
        </w:rPr>
        <w:t>Registration</w:t>
      </w:r>
      <w:proofErr w:type="spellEnd"/>
      <w:r w:rsidRPr="009975EA">
        <w:rPr>
          <w:rFonts w:ascii="Times New Roman" w:hAnsi="Times New Roman"/>
        </w:rPr>
        <w:t xml:space="preserve"> No: 1989/23 </w:t>
      </w:r>
      <w:proofErr w:type="spellStart"/>
      <w:r w:rsidRPr="009975EA">
        <w:rPr>
          <w:rFonts w:ascii="Times New Roman" w:hAnsi="Times New Roman"/>
        </w:rPr>
        <w:t>Judgment</w:t>
      </w:r>
      <w:proofErr w:type="spellEnd"/>
      <w:r w:rsidRPr="009975EA">
        <w:rPr>
          <w:rFonts w:ascii="Times New Roman" w:hAnsi="Times New Roman"/>
        </w:rPr>
        <w:t xml:space="preserve"> No: 1990/26 </w:t>
      </w:r>
      <w:proofErr w:type="spellStart"/>
      <w:r w:rsidRPr="009975EA">
        <w:rPr>
          <w:rFonts w:ascii="Times New Roman" w:hAnsi="Times New Roman"/>
        </w:rPr>
        <w:t>Date</w:t>
      </w:r>
      <w:proofErr w:type="spellEnd"/>
      <w:r w:rsidRPr="009975EA">
        <w:rPr>
          <w:rFonts w:ascii="Times New Roman" w:hAnsi="Times New Roman"/>
        </w:rPr>
        <w:t xml:space="preserve">: 10/25/1990) </w:t>
      </w:r>
      <w:proofErr w:type="spellStart"/>
      <w:r w:rsidRPr="009975EA">
        <w:rPr>
          <w:rFonts w:ascii="Times New Roman" w:hAnsi="Times New Roman"/>
        </w:rPr>
        <w:t>stated</w:t>
      </w:r>
      <w:proofErr w:type="spellEnd"/>
      <w:r w:rsidRPr="009975EA">
        <w:rPr>
          <w:rFonts w:ascii="Times New Roman" w:hAnsi="Times New Roman"/>
        </w:rPr>
        <w:t xml:space="preserve"> </w:t>
      </w:r>
      <w:proofErr w:type="spellStart"/>
      <w:r w:rsidRPr="009975EA">
        <w:rPr>
          <w:rFonts w:ascii="Times New Roman" w:hAnsi="Times New Roman"/>
        </w:rPr>
        <w:t>corporations</w:t>
      </w:r>
      <w:proofErr w:type="spellEnd"/>
      <w:r w:rsidRPr="009975EA">
        <w:rPr>
          <w:rFonts w:ascii="Times New Roman" w:hAnsi="Times New Roman"/>
        </w:rPr>
        <w:t xml:space="preserve"> as “</w:t>
      </w:r>
      <w:proofErr w:type="spellStart"/>
      <w:r w:rsidRPr="009975EA">
        <w:rPr>
          <w:rFonts w:ascii="Times New Roman" w:hAnsi="Times New Roman"/>
        </w:rPr>
        <w:t>one</w:t>
      </w:r>
      <w:proofErr w:type="spellEnd"/>
      <w:r w:rsidRPr="009975EA">
        <w:rPr>
          <w:rFonts w:ascii="Times New Roman" w:hAnsi="Times New Roman"/>
        </w:rPr>
        <w:t xml:space="preserve"> of </w:t>
      </w:r>
      <w:proofErr w:type="spellStart"/>
      <w:r w:rsidRPr="009975EA">
        <w:rPr>
          <w:rFonts w:ascii="Times New Roman" w:hAnsi="Times New Roman"/>
        </w:rPr>
        <w:t>the</w:t>
      </w:r>
      <w:proofErr w:type="spellEnd"/>
      <w:r w:rsidRPr="009975EA">
        <w:rPr>
          <w:rFonts w:ascii="Times New Roman" w:hAnsi="Times New Roman"/>
        </w:rPr>
        <w:t xml:space="preserve"> </w:t>
      </w:r>
      <w:proofErr w:type="spellStart"/>
      <w:r w:rsidRPr="009975EA">
        <w:rPr>
          <w:rFonts w:ascii="Times New Roman" w:hAnsi="Times New Roman"/>
        </w:rPr>
        <w:t>most</w:t>
      </w:r>
      <w:proofErr w:type="spellEnd"/>
      <w:r w:rsidRPr="009975EA">
        <w:rPr>
          <w:rFonts w:ascii="Times New Roman" w:hAnsi="Times New Roman"/>
        </w:rPr>
        <w:t xml:space="preserve"> </w:t>
      </w:r>
      <w:proofErr w:type="spellStart"/>
      <w:r w:rsidRPr="009975EA">
        <w:rPr>
          <w:rFonts w:ascii="Times New Roman" w:hAnsi="Times New Roman"/>
        </w:rPr>
        <w:t>important</w:t>
      </w:r>
      <w:proofErr w:type="spellEnd"/>
      <w:r w:rsidRPr="009975EA">
        <w:rPr>
          <w:rFonts w:ascii="Times New Roman" w:hAnsi="Times New Roman"/>
        </w:rPr>
        <w:t xml:space="preserve"> </w:t>
      </w:r>
      <w:proofErr w:type="spellStart"/>
      <w:r w:rsidRPr="009975EA">
        <w:rPr>
          <w:rFonts w:ascii="Times New Roman" w:hAnsi="Times New Roman"/>
        </w:rPr>
        <w:t>economic</w:t>
      </w:r>
      <w:proofErr w:type="spellEnd"/>
      <w:r w:rsidRPr="009975EA">
        <w:rPr>
          <w:rFonts w:ascii="Times New Roman" w:hAnsi="Times New Roman"/>
        </w:rPr>
        <w:t xml:space="preserve"> </w:t>
      </w:r>
      <w:proofErr w:type="spellStart"/>
      <w:r w:rsidRPr="009975EA">
        <w:rPr>
          <w:rFonts w:ascii="Times New Roman" w:hAnsi="Times New Roman"/>
        </w:rPr>
        <w:t>and</w:t>
      </w:r>
      <w:proofErr w:type="spellEnd"/>
      <w:r w:rsidRPr="009975EA">
        <w:rPr>
          <w:rFonts w:ascii="Times New Roman" w:hAnsi="Times New Roman"/>
        </w:rPr>
        <w:t xml:space="preserve"> </w:t>
      </w:r>
      <w:proofErr w:type="spellStart"/>
      <w:r w:rsidRPr="009975EA">
        <w:rPr>
          <w:rFonts w:ascii="Times New Roman" w:hAnsi="Times New Roman"/>
        </w:rPr>
        <w:t>social</w:t>
      </w:r>
      <w:proofErr w:type="spellEnd"/>
      <w:r w:rsidRPr="009975EA">
        <w:rPr>
          <w:rFonts w:ascii="Times New Roman" w:hAnsi="Times New Roman"/>
        </w:rPr>
        <w:t xml:space="preserve"> </w:t>
      </w:r>
      <w:proofErr w:type="spellStart"/>
      <w:r w:rsidRPr="009975EA">
        <w:rPr>
          <w:rFonts w:ascii="Times New Roman" w:hAnsi="Times New Roman"/>
        </w:rPr>
        <w:t>organization</w:t>
      </w:r>
      <w:proofErr w:type="spellEnd"/>
      <w:r w:rsidRPr="009975EA">
        <w:rPr>
          <w:rFonts w:ascii="Times New Roman" w:hAnsi="Times New Roman"/>
        </w:rPr>
        <w:t xml:space="preserve"> of modern </w:t>
      </w:r>
      <w:proofErr w:type="spellStart"/>
      <w:r w:rsidRPr="009975EA">
        <w:rPr>
          <w:rFonts w:ascii="Times New Roman" w:hAnsi="Times New Roman"/>
        </w:rPr>
        <w:t>times</w:t>
      </w:r>
      <w:proofErr w:type="spellEnd"/>
      <w:r w:rsidRPr="009975EA">
        <w:rPr>
          <w:rFonts w:ascii="Times New Roman" w:hAnsi="Times New Roman"/>
        </w:rPr>
        <w:t xml:space="preserve">” </w:t>
      </w:r>
      <w:proofErr w:type="spellStart"/>
      <w:r w:rsidRPr="009975EA">
        <w:rPr>
          <w:rFonts w:ascii="Times New Roman" w:hAnsi="Times New Roman"/>
        </w:rPr>
        <w:t>and</w:t>
      </w:r>
      <w:proofErr w:type="spellEnd"/>
      <w:r w:rsidRPr="009975EA">
        <w:rPr>
          <w:rFonts w:ascii="Times New Roman" w:hAnsi="Times New Roman"/>
        </w:rPr>
        <w:t xml:space="preserve"> </w:t>
      </w:r>
      <w:proofErr w:type="spellStart"/>
      <w:r w:rsidRPr="009975EA">
        <w:rPr>
          <w:rFonts w:ascii="Times New Roman" w:hAnsi="Times New Roman"/>
        </w:rPr>
        <w:t>acknowledges</w:t>
      </w:r>
      <w:proofErr w:type="spellEnd"/>
      <w:r w:rsidRPr="009975EA">
        <w:rPr>
          <w:rFonts w:ascii="Times New Roman" w:hAnsi="Times New Roman"/>
        </w:rPr>
        <w:t xml:space="preserve"> </w:t>
      </w:r>
      <w:proofErr w:type="spellStart"/>
      <w:r w:rsidRPr="009975EA">
        <w:rPr>
          <w:rFonts w:ascii="Times New Roman" w:hAnsi="Times New Roman"/>
        </w:rPr>
        <w:t>their</w:t>
      </w:r>
      <w:proofErr w:type="spellEnd"/>
      <w:r w:rsidRPr="009975EA">
        <w:rPr>
          <w:rFonts w:ascii="Times New Roman" w:hAnsi="Times New Roman"/>
        </w:rPr>
        <w:t xml:space="preserve"> role in </w:t>
      </w:r>
      <w:proofErr w:type="spellStart"/>
      <w:r w:rsidRPr="009975EA">
        <w:rPr>
          <w:rFonts w:ascii="Times New Roman" w:hAnsi="Times New Roman"/>
        </w:rPr>
        <w:t>economic</w:t>
      </w:r>
      <w:proofErr w:type="spellEnd"/>
      <w:r w:rsidRPr="009975EA">
        <w:rPr>
          <w:rFonts w:ascii="Times New Roman" w:hAnsi="Times New Roman"/>
        </w:rPr>
        <w:t xml:space="preserve"> </w:t>
      </w:r>
      <w:proofErr w:type="spellStart"/>
      <w:r w:rsidRPr="009975EA">
        <w:rPr>
          <w:rFonts w:ascii="Times New Roman" w:hAnsi="Times New Roman"/>
        </w:rPr>
        <w:t>developments</w:t>
      </w:r>
      <w:proofErr w:type="spellEnd"/>
      <w:r w:rsidRPr="009975EA">
        <w:rPr>
          <w:rFonts w:ascii="Times New Roman" w:hAnsi="Times New Roman"/>
        </w:rPr>
        <w:t xml:space="preserve"> of </w:t>
      </w:r>
      <w:proofErr w:type="spellStart"/>
      <w:r w:rsidRPr="009975EA">
        <w:rPr>
          <w:rFonts w:ascii="Times New Roman" w:hAnsi="Times New Roman"/>
        </w:rPr>
        <w:t>countries</w:t>
      </w:r>
      <w:proofErr w:type="spellEnd"/>
      <w:r w:rsidRPr="009975EA">
        <w:rPr>
          <w:rFonts w:ascii="Times New Roman" w:hAnsi="Times New Roman"/>
        </w:rPr>
        <w:t>.</w:t>
      </w:r>
    </w:p>
  </w:footnote>
  <w:footnote w:id="30">
    <w:p w14:paraId="3B400F6D" w14:textId="5C9CEC7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Timur </w:t>
      </w:r>
      <w:proofErr w:type="spellStart"/>
      <w:r w:rsidRPr="009975EA">
        <w:rPr>
          <w:rFonts w:ascii="Times New Roman" w:hAnsi="Times New Roman" w:cs="Times New Roman"/>
          <w:sz w:val="20"/>
          <w:szCs w:val="20"/>
        </w:rPr>
        <w:t>Kuran</w:t>
      </w:r>
      <w:proofErr w:type="spellEnd"/>
      <w:r w:rsidRPr="009975EA">
        <w:rPr>
          <w:rFonts w:ascii="Times New Roman" w:hAnsi="Times New Roman" w:cs="Times New Roman"/>
          <w:sz w:val="20"/>
          <w:szCs w:val="20"/>
        </w:rPr>
        <w:t xml:space="preserve">, </w:t>
      </w:r>
      <w:r w:rsidRPr="00F104CA">
        <w:rPr>
          <w:rFonts w:ascii="Times New Roman" w:hAnsi="Times New Roman" w:cs="Times New Roman"/>
          <w:i/>
          <w:sz w:val="20"/>
          <w:szCs w:val="20"/>
        </w:rPr>
        <w:t>Why the Middle East is Economically Underdeveloped: Historical Mechanism of Institutional Stagnation,</w:t>
      </w:r>
      <w:r w:rsidRPr="009975EA">
        <w:rPr>
          <w:rFonts w:ascii="Times New Roman" w:hAnsi="Times New Roman" w:cs="Times New Roman"/>
          <w:sz w:val="20"/>
          <w:szCs w:val="20"/>
        </w:rPr>
        <w:t xml:space="preserve"> </w:t>
      </w:r>
      <w:hyperlink r:id="rId7" w:history="1">
        <w:r w:rsidRPr="009975EA">
          <w:rPr>
            <w:rStyle w:val="Kpr"/>
            <w:rFonts w:ascii="Times New Roman" w:hAnsi="Times New Roman" w:cs="Times New Roman"/>
            <w:sz w:val="20"/>
            <w:szCs w:val="20"/>
          </w:rPr>
          <w:t>https://econ.duke.edu/uploads/assets/People/Kuran/Why%20ME%20underdeveloped.pdf</w:t>
        </w:r>
      </w:hyperlink>
      <w:r>
        <w:rPr>
          <w:rFonts w:ascii="Times New Roman" w:hAnsi="Times New Roman" w:cs="Times New Roman"/>
          <w:sz w:val="20"/>
          <w:szCs w:val="20"/>
        </w:rPr>
        <w:t xml:space="preserve"> (Last visited: 01/10/2016), </w:t>
      </w:r>
      <w:r w:rsidR="007F6B41">
        <w:rPr>
          <w:rFonts w:ascii="Times New Roman" w:hAnsi="Times New Roman" w:cs="Times New Roman"/>
          <w:sz w:val="20"/>
          <w:szCs w:val="20"/>
        </w:rPr>
        <w:t>p.</w:t>
      </w:r>
      <w:r w:rsidRPr="009975EA">
        <w:rPr>
          <w:rFonts w:ascii="Times New Roman" w:hAnsi="Times New Roman" w:cs="Times New Roman"/>
          <w:sz w:val="20"/>
          <w:szCs w:val="20"/>
        </w:rPr>
        <w:t xml:space="preserve"> 84.</w:t>
      </w:r>
    </w:p>
  </w:footnote>
  <w:footnote w:id="31">
    <w:p w14:paraId="239CA4D6" w14:textId="6E4C152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These measures are taking the form of legal, economic, cultural</w:t>
      </w:r>
      <w:r w:rsidR="007F6B41">
        <w:rPr>
          <w:rFonts w:ascii="Times New Roman" w:hAnsi="Times New Roman" w:cs="Times New Roman"/>
          <w:sz w:val="20"/>
          <w:szCs w:val="20"/>
        </w:rPr>
        <w:t>,</w:t>
      </w:r>
      <w:r w:rsidRPr="009975EA">
        <w:rPr>
          <w:rFonts w:ascii="Times New Roman" w:hAnsi="Times New Roman" w:cs="Times New Roman"/>
          <w:sz w:val="20"/>
          <w:szCs w:val="20"/>
        </w:rPr>
        <w:t xml:space="preserve"> and political measures. For example, corporate taxation is one of the legal measures that is used to promote doing business in corporate form in some parts of the world (See: Murat Can Pehlivanoglu, </w:t>
      </w:r>
      <w:r w:rsidRPr="009975EA">
        <w:rPr>
          <w:rFonts w:ascii="Times New Roman" w:hAnsi="Times New Roman" w:cs="Times New Roman"/>
          <w:i/>
          <w:sz w:val="20"/>
          <w:szCs w:val="20"/>
        </w:rPr>
        <w:t>An Essay on the Logic of Taxing Stock Corporations by the Corporate Tax Regime in Turkey</w:t>
      </w:r>
      <w:r w:rsidRPr="009975EA">
        <w:rPr>
          <w:rFonts w:ascii="Times New Roman" w:hAnsi="Times New Roman" w:cs="Times New Roman"/>
          <w:sz w:val="20"/>
          <w:szCs w:val="20"/>
        </w:rPr>
        <w:t xml:space="preserve">, Beykent University Law School Journal, June 2015 Vol: 1 Issue: 1). Recognizing corporations as a bearer of constitutional rights is another one, as this gives them immunities and protection from various threats, therefore, makes this body an attractive form (See: John J. Flynn, </w:t>
      </w:r>
      <w:r w:rsidRPr="009975EA">
        <w:rPr>
          <w:rFonts w:ascii="Times New Roman" w:hAnsi="Times New Roman" w:cs="Times New Roman"/>
          <w:i/>
          <w:sz w:val="20"/>
          <w:szCs w:val="20"/>
        </w:rPr>
        <w:t>“The Jurisprudence of Corporate Personhood: The Misuse of a Legal Concept”,</w:t>
      </w:r>
      <w:r w:rsidRPr="009975EA">
        <w:rPr>
          <w:rFonts w:ascii="Times New Roman" w:hAnsi="Times New Roman" w:cs="Times New Roman"/>
          <w:sz w:val="20"/>
          <w:szCs w:val="20"/>
        </w:rPr>
        <w:t xml:space="preserve"> Corporations and Society, Ed. Warren J. </w:t>
      </w:r>
      <w:proofErr w:type="gramStart"/>
      <w:r w:rsidRPr="009975EA">
        <w:rPr>
          <w:rFonts w:ascii="Times New Roman" w:hAnsi="Times New Roman" w:cs="Times New Roman"/>
          <w:sz w:val="20"/>
          <w:szCs w:val="20"/>
        </w:rPr>
        <w:t>Samuels</w:t>
      </w:r>
      <w:proofErr w:type="gramEnd"/>
      <w:r>
        <w:rPr>
          <w:rFonts w:ascii="Times New Roman" w:hAnsi="Times New Roman" w:cs="Times New Roman"/>
          <w:sz w:val="20"/>
          <w:szCs w:val="20"/>
        </w:rPr>
        <w:t xml:space="preserve"> and Arthur S. Miller (</w:t>
      </w:r>
      <w:r w:rsidRPr="009975EA">
        <w:rPr>
          <w:rFonts w:ascii="Times New Roman" w:hAnsi="Times New Roman" w:cs="Times New Roman"/>
          <w:sz w:val="20"/>
          <w:szCs w:val="20"/>
        </w:rPr>
        <w:t>1987</w:t>
      </w:r>
      <w:r>
        <w:rPr>
          <w:rFonts w:ascii="Times New Roman" w:hAnsi="Times New Roman" w:cs="Times New Roman"/>
          <w:sz w:val="20"/>
          <w:szCs w:val="20"/>
        </w:rPr>
        <w:t>)</w:t>
      </w:r>
      <w:r w:rsidRPr="009975EA">
        <w:rPr>
          <w:rFonts w:ascii="Times New Roman" w:hAnsi="Times New Roman" w:cs="Times New Roman"/>
          <w:sz w:val="20"/>
          <w:szCs w:val="20"/>
        </w:rPr>
        <w:t xml:space="preserve">). </w:t>
      </w:r>
    </w:p>
  </w:footnote>
  <w:footnote w:id="32">
    <w:p w14:paraId="6E8628F9" w14:textId="311C209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Note that, today, some corporations are even richer than some countries. For example, according to The Atlantic, if Apple Inc. were a country, it would be the 55th richest country in the world (</w:t>
      </w:r>
      <w:r>
        <w:rPr>
          <w:rFonts w:ascii="Times New Roman" w:hAnsi="Times New Roman" w:cs="Times New Roman"/>
          <w:sz w:val="20"/>
          <w:szCs w:val="20"/>
        </w:rPr>
        <w:t xml:space="preserve">“Apple is basically a small country now”, </w:t>
      </w:r>
      <w:hyperlink r:id="rId8" w:history="1">
        <w:r w:rsidRPr="009975EA">
          <w:rPr>
            <w:rStyle w:val="Kpr"/>
            <w:rFonts w:ascii="Times New Roman" w:hAnsi="Times New Roman" w:cs="Times New Roman"/>
            <w:sz w:val="20"/>
            <w:szCs w:val="20"/>
          </w:rPr>
          <w:t>http://www.theatlantic.com/technology/archive/2015/02/apple-is-basically-a-small-country-now/385385/</w:t>
        </w:r>
      </w:hyperlink>
      <w:r w:rsidRPr="009975EA">
        <w:rPr>
          <w:rFonts w:ascii="Times New Roman" w:hAnsi="Times New Roman" w:cs="Times New Roman"/>
          <w:sz w:val="20"/>
          <w:szCs w:val="20"/>
        </w:rPr>
        <w:t xml:space="preserve"> (Last visited: 10/10/2015)). It has a yearly net income of approximately 50 billion USD (</w:t>
      </w:r>
      <w:hyperlink r:id="rId9" w:history="1">
        <w:r w:rsidRPr="009975EA">
          <w:rPr>
            <w:rStyle w:val="Kpr"/>
            <w:rFonts w:ascii="Times New Roman" w:hAnsi="Times New Roman" w:cs="Times New Roman"/>
            <w:sz w:val="20"/>
            <w:szCs w:val="20"/>
          </w:rPr>
          <w:t>https://www.nyse.com/quote/XNAS:AAPL/company</w:t>
        </w:r>
      </w:hyperlink>
      <w:r w:rsidRPr="009975EA">
        <w:rPr>
          <w:rFonts w:ascii="Times New Roman" w:hAnsi="Times New Roman" w:cs="Times New Roman"/>
          <w:sz w:val="20"/>
          <w:szCs w:val="20"/>
        </w:rPr>
        <w:t xml:space="preserve"> (Last visited: 10/10/2015)). Like many other publicly traded corporations, it creates many jobs for people and currently has 66 000 employees in just USA (</w:t>
      </w:r>
      <w:hyperlink r:id="rId10" w:history="1">
        <w:r w:rsidRPr="009975EA">
          <w:rPr>
            <w:rStyle w:val="Kpr"/>
            <w:rFonts w:ascii="Times New Roman" w:hAnsi="Times New Roman" w:cs="Times New Roman"/>
            <w:sz w:val="20"/>
            <w:szCs w:val="20"/>
          </w:rPr>
          <w:t>http://www.apple.com/about/job-creation/</w:t>
        </w:r>
      </w:hyperlink>
      <w:r w:rsidRPr="009975EA">
        <w:rPr>
          <w:rFonts w:ascii="Times New Roman" w:hAnsi="Times New Roman" w:cs="Times New Roman"/>
          <w:sz w:val="20"/>
          <w:szCs w:val="20"/>
        </w:rPr>
        <w:t xml:space="preserve"> (Last visited: 10/10/2015)). These figures help to imagine the economic opportunities that a publicly held corporation can create in a society.</w:t>
      </w:r>
    </w:p>
  </w:footnote>
  <w:footnote w:id="33">
    <w:p w14:paraId="2BDEC16F" w14:textId="3B612E3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1A1A1A"/>
          <w:sz w:val="20"/>
          <w:szCs w:val="20"/>
        </w:rPr>
        <w:t xml:space="preserve">Anne Tucker, </w:t>
      </w:r>
      <w:r w:rsidRPr="009975EA">
        <w:rPr>
          <w:rFonts w:ascii="Times New Roman" w:hAnsi="Times New Roman" w:cs="Times New Roman"/>
          <w:i/>
          <w:color w:val="1A1A1A"/>
          <w:sz w:val="20"/>
          <w:szCs w:val="20"/>
        </w:rPr>
        <w:t>The Citizen Shareholder: Modernizing the Agency Paradigm to Reflect How and Why a Majority of Americans Invest in the Market</w:t>
      </w:r>
      <w:r>
        <w:rPr>
          <w:rFonts w:ascii="Times New Roman" w:hAnsi="Times New Roman" w:cs="Times New Roman"/>
          <w:color w:val="1A1A1A"/>
          <w:sz w:val="20"/>
          <w:szCs w:val="20"/>
        </w:rPr>
        <w:t xml:space="preserve"> </w:t>
      </w:r>
      <w:r w:rsidRPr="009975EA">
        <w:rPr>
          <w:rFonts w:ascii="Times New Roman" w:hAnsi="Times New Roman" w:cs="Times New Roman"/>
          <w:sz w:val="20"/>
          <w:szCs w:val="20"/>
        </w:rPr>
        <w:t xml:space="preserve">1333, </w:t>
      </w:r>
      <w:hyperlink r:id="rId11" w:history="1">
        <w:r w:rsidRPr="009975EA">
          <w:rPr>
            <w:rStyle w:val="Kpr"/>
            <w:rFonts w:ascii="Times New Roman" w:hAnsi="Times New Roman" w:cs="Times New Roman"/>
            <w:sz w:val="20"/>
            <w:szCs w:val="20"/>
          </w:rPr>
          <w:t>http://digitalcommons.law.seattleu.edu/sulr/vol35/iss4/13/</w:t>
        </w:r>
      </w:hyperlink>
      <w:r w:rsidRPr="009975EA">
        <w:rPr>
          <w:rFonts w:ascii="Times New Roman" w:hAnsi="Times New Roman" w:cs="Times New Roman"/>
          <w:sz w:val="20"/>
          <w:szCs w:val="20"/>
        </w:rPr>
        <w:t xml:space="preserve"> (Last visited: 10/10/2015).</w:t>
      </w:r>
    </w:p>
  </w:footnote>
  <w:footnote w:id="34">
    <w:p w14:paraId="1BAF853C"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 too-big-to-fail firm is one whose size, complexity, interconnectedness, and critical functions are such that, should the firm go unexpectedly into liquidation, the rest of the financial system and the economy would face severe adverse consequences.” (Ben S. Bernanke, Testimony, 10/09/2010, </w:t>
      </w:r>
      <w:hyperlink r:id="rId12" w:history="1">
        <w:r w:rsidRPr="009975EA">
          <w:rPr>
            <w:rStyle w:val="Kpr"/>
            <w:rFonts w:ascii="Times New Roman" w:hAnsi="Times New Roman" w:cs="Times New Roman"/>
            <w:sz w:val="20"/>
            <w:szCs w:val="20"/>
          </w:rPr>
          <w:t>http://www.federalreserve.gov/newsevents/testimony/bernanke20100902a.htm</w:t>
        </w:r>
      </w:hyperlink>
      <w:r w:rsidRPr="009975EA">
        <w:rPr>
          <w:rFonts w:ascii="Times New Roman" w:hAnsi="Times New Roman" w:cs="Times New Roman"/>
          <w:sz w:val="20"/>
          <w:szCs w:val="20"/>
        </w:rPr>
        <w:t xml:space="preserve"> (Last visited: 10/10/2015)). </w:t>
      </w:r>
    </w:p>
  </w:footnote>
  <w:footnote w:id="35">
    <w:p w14:paraId="33254365" w14:textId="6744A6D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According to a study, due to the changes in global competition and the economic environment, global corporate profits may fall as a share of GDP in the next decade, and this will make companies fight for a smaller slice of the profit pie (Playing to Win: The New Global Competition for Corporate Profits, </w:t>
      </w:r>
      <w:proofErr w:type="spellStart"/>
      <w:r w:rsidRPr="009975EA">
        <w:rPr>
          <w:rFonts w:ascii="Times New Roman" w:hAnsi="Times New Roman" w:cs="Times New Roman"/>
          <w:sz w:val="20"/>
          <w:szCs w:val="20"/>
        </w:rPr>
        <w:t>McKinsey&amp;Company</w:t>
      </w:r>
      <w:proofErr w:type="spellEnd"/>
      <w:r w:rsidRPr="009975EA">
        <w:rPr>
          <w:rFonts w:ascii="Times New Roman" w:hAnsi="Times New Roman" w:cs="Times New Roman"/>
          <w:sz w:val="20"/>
          <w:szCs w:val="20"/>
        </w:rPr>
        <w:t xml:space="preserve">, September 2015, </w:t>
      </w:r>
      <w:hyperlink r:id="rId13" w:history="1">
        <w:r w:rsidRPr="009975EA">
          <w:rPr>
            <w:rStyle w:val="Kpr"/>
            <w:rFonts w:ascii="Times New Roman" w:hAnsi="Times New Roman" w:cs="Times New Roman"/>
            <w:sz w:val="20"/>
            <w:szCs w:val="20"/>
          </w:rPr>
          <w:t>http://www.mckinsey.com/business-functions/strategy-and-corporate-finance/our-insights/the-new-global-competition-for-corporate-profits</w:t>
        </w:r>
      </w:hyperlink>
      <w:r>
        <w:rPr>
          <w:rFonts w:ascii="Times New Roman" w:hAnsi="Times New Roman" w:cs="Times New Roman"/>
          <w:sz w:val="20"/>
          <w:szCs w:val="20"/>
        </w:rPr>
        <w:t xml:space="preserve"> (Last visited: 10/10/2016))</w:t>
      </w:r>
      <w:r w:rsidRPr="009975EA">
        <w:rPr>
          <w:rFonts w:ascii="Times New Roman" w:hAnsi="Times New Roman" w:cs="Times New Roman"/>
          <w:sz w:val="20"/>
          <w:szCs w:val="20"/>
        </w:rPr>
        <w:t>.</w:t>
      </w:r>
    </w:p>
  </w:footnote>
  <w:footnote w:id="36">
    <w:p w14:paraId="379747C4" w14:textId="3E73C4FF" w:rsidR="00D36541" w:rsidRPr="009975EA" w:rsidRDefault="00D36541" w:rsidP="009975EA">
      <w:pPr>
        <w:widowControl w:val="0"/>
        <w:autoSpaceDE w:val="0"/>
        <w:autoSpaceDN w:val="0"/>
        <w:adjustRightInd w:val="0"/>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Emerging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Equity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Gap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McKinsey</w:t>
      </w:r>
      <w:proofErr w:type="spellEnd"/>
      <w:r w:rsidRPr="009975EA">
        <w:rPr>
          <w:rFonts w:ascii="Times New Roman" w:hAnsi="Times New Roman" w:cs="Times New Roman"/>
          <w:sz w:val="20"/>
          <w:szCs w:val="20"/>
        </w:rPr>
        <w:t xml:space="preserve"> Global </w:t>
      </w:r>
      <w:proofErr w:type="spellStart"/>
      <w:r w:rsidRPr="009975EA">
        <w:rPr>
          <w:rFonts w:ascii="Times New Roman" w:hAnsi="Times New Roman" w:cs="Times New Roman"/>
          <w:sz w:val="20"/>
          <w:szCs w:val="20"/>
        </w:rPr>
        <w:t>Institute</w:t>
      </w:r>
      <w:proofErr w:type="spellEnd"/>
      <w:r w:rsidRPr="009975EA">
        <w:rPr>
          <w:rFonts w:ascii="Times New Roman" w:hAnsi="Times New Roman" w:cs="Times New Roman"/>
          <w:sz w:val="20"/>
          <w:szCs w:val="20"/>
        </w:rPr>
        <w:t>, 2011</w:t>
      </w:r>
      <w:r>
        <w:rPr>
          <w:rFonts w:ascii="Times New Roman" w:hAnsi="Times New Roman" w:cs="Times New Roman"/>
          <w:sz w:val="20"/>
          <w:szCs w:val="20"/>
        </w:rPr>
        <w:t xml:space="preserve">, </w:t>
      </w:r>
      <w:hyperlink r:id="rId14" w:history="1">
        <w:r w:rsidRPr="00F30FF4">
          <w:rPr>
            <w:rStyle w:val="Kpr"/>
            <w:rFonts w:ascii="Times New Roman" w:hAnsi="Times New Roman" w:cs="Times New Roman"/>
            <w:sz w:val="20"/>
            <w:szCs w:val="20"/>
          </w:rPr>
          <w:t>http://www.mckinsey.com/industries/private-equity-and-principal-investors/our-insights/emerging-equity-gap</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10/10/2016)</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lang w:eastAsia="tr-TR"/>
        </w:rPr>
        <w:t>Together</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with</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the</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changing</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landscape</w:t>
      </w:r>
      <w:proofErr w:type="spellEnd"/>
      <w:r w:rsidRPr="009975EA">
        <w:rPr>
          <w:rFonts w:ascii="Times New Roman" w:hAnsi="Times New Roman" w:cs="Times New Roman"/>
          <w:sz w:val="20"/>
          <w:szCs w:val="20"/>
          <w:lang w:eastAsia="tr-TR"/>
        </w:rPr>
        <w:t xml:space="preserve"> of market, </w:t>
      </w:r>
      <w:proofErr w:type="spellStart"/>
      <w:r w:rsidRPr="009975EA">
        <w:rPr>
          <w:rFonts w:ascii="Times New Roman" w:hAnsi="Times New Roman" w:cs="Times New Roman"/>
          <w:sz w:val="20"/>
          <w:szCs w:val="20"/>
          <w:lang w:eastAsia="tr-TR"/>
        </w:rPr>
        <w:t>the</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following</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fact</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shows</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that</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threats</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to</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corporate</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wealth</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are</w:t>
      </w:r>
      <w:proofErr w:type="spellEnd"/>
      <w:r w:rsidRPr="009975EA">
        <w:rPr>
          <w:rFonts w:ascii="Times New Roman" w:hAnsi="Times New Roman" w:cs="Times New Roman"/>
          <w:sz w:val="20"/>
          <w:szCs w:val="20"/>
          <w:lang w:eastAsia="tr-TR"/>
        </w:rPr>
        <w:t xml:space="preserve"> not </w:t>
      </w:r>
      <w:proofErr w:type="spellStart"/>
      <w:r w:rsidRPr="009975EA">
        <w:rPr>
          <w:rFonts w:ascii="Times New Roman" w:hAnsi="Times New Roman" w:cs="Times New Roman"/>
          <w:sz w:val="20"/>
          <w:szCs w:val="20"/>
          <w:lang w:eastAsia="tr-TR"/>
        </w:rPr>
        <w:t>pure</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speculations</w:t>
      </w:r>
      <w:proofErr w:type="spellEnd"/>
      <w:r w:rsidRPr="009975EA">
        <w:rPr>
          <w:rFonts w:ascii="Times New Roman" w:hAnsi="Times New Roman" w:cs="Times New Roman"/>
          <w:sz w:val="20"/>
          <w:szCs w:val="20"/>
          <w:lang w:eastAsia="tr-TR"/>
        </w:rPr>
        <w:t xml:space="preserve"> but </w:t>
      </w:r>
      <w:proofErr w:type="spellStart"/>
      <w:r w:rsidRPr="009975EA">
        <w:rPr>
          <w:rFonts w:ascii="Times New Roman" w:hAnsi="Times New Roman" w:cs="Times New Roman"/>
          <w:sz w:val="20"/>
          <w:szCs w:val="20"/>
          <w:lang w:eastAsia="tr-TR"/>
        </w:rPr>
        <w:t>current</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rPr>
        <w:t>According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study</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lang w:eastAsia="tr-TR"/>
        </w:rPr>
        <w:t>corporations</w:t>
      </w:r>
      <w:proofErr w:type="spellEnd"/>
      <w:r w:rsidRPr="009975EA">
        <w:rPr>
          <w:rFonts w:ascii="Times New Roman" w:hAnsi="Times New Roman" w:cs="Times New Roman"/>
          <w:sz w:val="20"/>
          <w:szCs w:val="20"/>
          <w:lang w:eastAsia="tr-TR"/>
        </w:rPr>
        <w:t xml:space="preserve"> in </w:t>
      </w:r>
      <w:proofErr w:type="spellStart"/>
      <w:r w:rsidRPr="009975EA">
        <w:rPr>
          <w:rFonts w:ascii="Times New Roman" w:hAnsi="Times New Roman" w:cs="Times New Roman"/>
          <w:sz w:val="20"/>
          <w:szCs w:val="20"/>
          <w:lang w:eastAsia="tr-TR"/>
        </w:rPr>
        <w:t>the</w:t>
      </w:r>
      <w:proofErr w:type="spellEnd"/>
      <w:r w:rsidRPr="009975EA">
        <w:rPr>
          <w:rFonts w:ascii="Times New Roman" w:hAnsi="Times New Roman" w:cs="Times New Roman"/>
          <w:sz w:val="20"/>
          <w:szCs w:val="20"/>
          <w:lang w:eastAsia="tr-TR"/>
        </w:rPr>
        <w:t xml:space="preserve"> S&amp;P 500 in 1958 </w:t>
      </w:r>
      <w:proofErr w:type="spellStart"/>
      <w:r w:rsidRPr="009975EA">
        <w:rPr>
          <w:rFonts w:ascii="Times New Roman" w:hAnsi="Times New Roman" w:cs="Times New Roman"/>
          <w:sz w:val="20"/>
          <w:szCs w:val="20"/>
          <w:lang w:eastAsia="tr-TR"/>
        </w:rPr>
        <w:t>lasted</w:t>
      </w:r>
      <w:proofErr w:type="spellEnd"/>
      <w:r w:rsidRPr="009975EA">
        <w:rPr>
          <w:rFonts w:ascii="Times New Roman" w:hAnsi="Times New Roman" w:cs="Times New Roman"/>
          <w:sz w:val="20"/>
          <w:szCs w:val="20"/>
          <w:lang w:eastAsia="tr-TR"/>
        </w:rPr>
        <w:t xml:space="preserve"> in </w:t>
      </w:r>
      <w:proofErr w:type="spellStart"/>
      <w:r w:rsidRPr="009975EA">
        <w:rPr>
          <w:rFonts w:ascii="Times New Roman" w:hAnsi="Times New Roman" w:cs="Times New Roman"/>
          <w:sz w:val="20"/>
          <w:szCs w:val="20"/>
          <w:lang w:eastAsia="tr-TR"/>
        </w:rPr>
        <w:t>the</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index</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for</w:t>
      </w:r>
      <w:proofErr w:type="spellEnd"/>
      <w:r w:rsidRPr="009975EA">
        <w:rPr>
          <w:rFonts w:ascii="Times New Roman" w:hAnsi="Times New Roman" w:cs="Times New Roman"/>
          <w:sz w:val="20"/>
          <w:szCs w:val="20"/>
          <w:lang w:eastAsia="tr-TR"/>
        </w:rPr>
        <w:t xml:space="preserve"> 61 </w:t>
      </w:r>
      <w:proofErr w:type="spellStart"/>
      <w:r w:rsidRPr="009975EA">
        <w:rPr>
          <w:rFonts w:ascii="Times New Roman" w:hAnsi="Times New Roman" w:cs="Times New Roman"/>
          <w:sz w:val="20"/>
          <w:szCs w:val="20"/>
          <w:lang w:eastAsia="tr-TR"/>
        </w:rPr>
        <w:t>years</w:t>
      </w:r>
      <w:proofErr w:type="spellEnd"/>
      <w:r w:rsidRPr="009975EA">
        <w:rPr>
          <w:rFonts w:ascii="Times New Roman" w:hAnsi="Times New Roman" w:cs="Times New Roman"/>
          <w:sz w:val="20"/>
          <w:szCs w:val="20"/>
          <w:lang w:eastAsia="tr-TR"/>
        </w:rPr>
        <w:t xml:space="preserve">, on </w:t>
      </w:r>
      <w:proofErr w:type="spellStart"/>
      <w:r w:rsidRPr="009975EA">
        <w:rPr>
          <w:rFonts w:ascii="Times New Roman" w:hAnsi="Times New Roman" w:cs="Times New Roman"/>
          <w:sz w:val="20"/>
          <w:szCs w:val="20"/>
          <w:lang w:eastAsia="tr-TR"/>
        </w:rPr>
        <w:t>average</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By</w:t>
      </w:r>
      <w:proofErr w:type="spellEnd"/>
      <w:r w:rsidRPr="009975EA">
        <w:rPr>
          <w:rFonts w:ascii="Times New Roman" w:hAnsi="Times New Roman" w:cs="Times New Roman"/>
          <w:sz w:val="20"/>
          <w:szCs w:val="20"/>
          <w:lang w:eastAsia="tr-TR"/>
        </w:rPr>
        <w:t xml:space="preserve"> 1980, </w:t>
      </w:r>
      <w:proofErr w:type="spellStart"/>
      <w:r w:rsidRPr="009975EA">
        <w:rPr>
          <w:rFonts w:ascii="Times New Roman" w:hAnsi="Times New Roman" w:cs="Times New Roman"/>
          <w:sz w:val="20"/>
          <w:szCs w:val="20"/>
          <w:lang w:eastAsia="tr-TR"/>
        </w:rPr>
        <w:t>the</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average</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tenure</w:t>
      </w:r>
      <w:proofErr w:type="spellEnd"/>
      <w:r w:rsidRPr="009975EA">
        <w:rPr>
          <w:rFonts w:ascii="Times New Roman" w:hAnsi="Times New Roman" w:cs="Times New Roman"/>
          <w:sz w:val="20"/>
          <w:szCs w:val="20"/>
          <w:lang w:eastAsia="tr-TR"/>
        </w:rPr>
        <w:t xml:space="preserve"> had </w:t>
      </w:r>
      <w:proofErr w:type="spellStart"/>
      <w:r w:rsidRPr="009975EA">
        <w:rPr>
          <w:rFonts w:ascii="Times New Roman" w:hAnsi="Times New Roman" w:cs="Times New Roman"/>
          <w:sz w:val="20"/>
          <w:szCs w:val="20"/>
          <w:lang w:eastAsia="tr-TR"/>
        </w:rPr>
        <w:t>shrunk</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to</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about</w:t>
      </w:r>
      <w:proofErr w:type="spellEnd"/>
      <w:r w:rsidRPr="009975EA">
        <w:rPr>
          <w:rFonts w:ascii="Times New Roman" w:hAnsi="Times New Roman" w:cs="Times New Roman"/>
          <w:sz w:val="20"/>
          <w:szCs w:val="20"/>
          <w:lang w:eastAsia="tr-TR"/>
        </w:rPr>
        <w:t xml:space="preserve"> 25 </w:t>
      </w:r>
      <w:proofErr w:type="spellStart"/>
      <w:r w:rsidRPr="009975EA">
        <w:rPr>
          <w:rFonts w:ascii="Times New Roman" w:hAnsi="Times New Roman" w:cs="Times New Roman"/>
          <w:sz w:val="20"/>
          <w:szCs w:val="20"/>
          <w:lang w:eastAsia="tr-TR"/>
        </w:rPr>
        <w:t>years</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Today</w:t>
      </w:r>
      <w:proofErr w:type="spellEnd"/>
      <w:r w:rsidRPr="009975EA">
        <w:rPr>
          <w:rFonts w:ascii="Times New Roman" w:hAnsi="Times New Roman" w:cs="Times New Roman"/>
          <w:sz w:val="20"/>
          <w:szCs w:val="20"/>
          <w:lang w:eastAsia="tr-TR"/>
        </w:rPr>
        <w:t xml:space="preserve">, it </w:t>
      </w:r>
      <w:proofErr w:type="spellStart"/>
      <w:r w:rsidRPr="009975EA">
        <w:rPr>
          <w:rFonts w:ascii="Times New Roman" w:hAnsi="Times New Roman" w:cs="Times New Roman"/>
          <w:sz w:val="20"/>
          <w:szCs w:val="20"/>
          <w:lang w:eastAsia="tr-TR"/>
        </w:rPr>
        <w:t>stands</w:t>
      </w:r>
      <w:proofErr w:type="spellEnd"/>
      <w:r w:rsidRPr="009975EA">
        <w:rPr>
          <w:rFonts w:ascii="Times New Roman" w:hAnsi="Times New Roman" w:cs="Times New Roman"/>
          <w:sz w:val="20"/>
          <w:szCs w:val="20"/>
          <w:lang w:eastAsia="tr-TR"/>
        </w:rPr>
        <w:t xml:space="preserve"> at </w:t>
      </w:r>
      <w:proofErr w:type="spellStart"/>
      <w:r w:rsidRPr="009975EA">
        <w:rPr>
          <w:rFonts w:ascii="Times New Roman" w:hAnsi="Times New Roman" w:cs="Times New Roman"/>
          <w:sz w:val="20"/>
          <w:szCs w:val="20"/>
          <w:lang w:eastAsia="tr-TR"/>
        </w:rPr>
        <w:t>just</w:t>
      </w:r>
      <w:proofErr w:type="spellEnd"/>
      <w:r w:rsidRPr="009975EA">
        <w:rPr>
          <w:rFonts w:ascii="Times New Roman" w:hAnsi="Times New Roman" w:cs="Times New Roman"/>
          <w:sz w:val="20"/>
          <w:szCs w:val="20"/>
          <w:lang w:eastAsia="tr-TR"/>
        </w:rPr>
        <w:t xml:space="preserve"> 18 </w:t>
      </w:r>
      <w:proofErr w:type="spellStart"/>
      <w:r w:rsidRPr="009975EA">
        <w:rPr>
          <w:rFonts w:ascii="Times New Roman" w:hAnsi="Times New Roman" w:cs="Times New Roman"/>
          <w:sz w:val="20"/>
          <w:szCs w:val="20"/>
          <w:lang w:eastAsia="tr-TR"/>
        </w:rPr>
        <w:t>years</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based</w:t>
      </w:r>
      <w:proofErr w:type="spellEnd"/>
      <w:r w:rsidRPr="009975EA">
        <w:rPr>
          <w:rFonts w:ascii="Times New Roman" w:hAnsi="Times New Roman" w:cs="Times New Roman"/>
          <w:sz w:val="20"/>
          <w:szCs w:val="20"/>
          <w:lang w:eastAsia="tr-TR"/>
        </w:rPr>
        <w:t xml:space="preserve"> on seven </w:t>
      </w:r>
      <w:proofErr w:type="spellStart"/>
      <w:r w:rsidRPr="009975EA">
        <w:rPr>
          <w:rFonts w:ascii="Times New Roman" w:hAnsi="Times New Roman" w:cs="Times New Roman"/>
          <w:sz w:val="20"/>
          <w:szCs w:val="20"/>
          <w:lang w:eastAsia="tr-TR"/>
        </w:rPr>
        <w:t>year</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rolling</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averages</w:t>
      </w:r>
      <w:proofErr w:type="spellEnd"/>
      <w:r w:rsidRPr="009975EA">
        <w:rPr>
          <w:rFonts w:ascii="Times New Roman" w:hAnsi="Times New Roman" w:cs="Times New Roman"/>
          <w:sz w:val="20"/>
          <w:szCs w:val="20"/>
          <w:lang w:eastAsia="tr-TR"/>
        </w:rPr>
        <w:t>” (</w:t>
      </w:r>
      <w:proofErr w:type="spellStart"/>
      <w:r w:rsidRPr="009975EA">
        <w:rPr>
          <w:rFonts w:ascii="Times New Roman" w:hAnsi="Times New Roman" w:cs="Times New Roman"/>
          <w:sz w:val="20"/>
          <w:szCs w:val="20"/>
          <w:lang w:eastAsia="tr-TR"/>
        </w:rPr>
        <w:t>See</w:t>
      </w:r>
      <w:proofErr w:type="spellEnd"/>
      <w:r w:rsidRPr="009975EA">
        <w:rPr>
          <w:rFonts w:ascii="Times New Roman" w:hAnsi="Times New Roman" w:cs="Times New Roman"/>
          <w:sz w:val="20"/>
          <w:szCs w:val="20"/>
          <w:lang w:eastAsia="tr-TR"/>
        </w:rPr>
        <w:t xml:space="preserve">: Creative </w:t>
      </w:r>
      <w:proofErr w:type="spellStart"/>
      <w:r w:rsidRPr="009975EA">
        <w:rPr>
          <w:rFonts w:ascii="Times New Roman" w:hAnsi="Times New Roman" w:cs="Times New Roman"/>
          <w:sz w:val="20"/>
          <w:szCs w:val="20"/>
          <w:lang w:eastAsia="tr-TR"/>
        </w:rPr>
        <w:t>Destruction</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Whips</w:t>
      </w:r>
      <w:proofErr w:type="spellEnd"/>
      <w:r w:rsidRPr="009975EA">
        <w:rPr>
          <w:rFonts w:ascii="Times New Roman" w:hAnsi="Times New Roman" w:cs="Times New Roman"/>
          <w:sz w:val="20"/>
          <w:szCs w:val="20"/>
          <w:lang w:eastAsia="tr-TR"/>
        </w:rPr>
        <w:t xml:space="preserve"> Through </w:t>
      </w:r>
      <w:proofErr w:type="spellStart"/>
      <w:r w:rsidRPr="009975EA">
        <w:rPr>
          <w:rFonts w:ascii="Times New Roman" w:hAnsi="Times New Roman" w:cs="Times New Roman"/>
          <w:sz w:val="20"/>
          <w:szCs w:val="20"/>
          <w:lang w:eastAsia="tr-TR"/>
        </w:rPr>
        <w:t>Corporate</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America</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Innosight</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Winter</w:t>
      </w:r>
      <w:proofErr w:type="spellEnd"/>
      <w:r w:rsidRPr="009975EA">
        <w:rPr>
          <w:rFonts w:ascii="Times New Roman" w:hAnsi="Times New Roman" w:cs="Times New Roman"/>
          <w:sz w:val="20"/>
          <w:szCs w:val="20"/>
          <w:lang w:eastAsia="tr-TR"/>
        </w:rPr>
        <w:t xml:space="preserve"> 2012, </w:t>
      </w:r>
      <w:hyperlink r:id="rId15" w:history="1">
        <w:r w:rsidRPr="009975EA">
          <w:rPr>
            <w:rStyle w:val="Kpr"/>
            <w:rFonts w:ascii="Times New Roman" w:hAnsi="Times New Roman" w:cs="Times New Roman"/>
            <w:sz w:val="20"/>
            <w:szCs w:val="20"/>
            <w:lang w:eastAsia="tr-TR"/>
          </w:rPr>
          <w:t>http://www.innosight.com/innovation-resources/strategy-innovation/upload/creative-destruction-whips-through-corporate-america_final2015.pdf</w:t>
        </w:r>
      </w:hyperlink>
      <w:r w:rsidRPr="009975EA">
        <w:rPr>
          <w:rFonts w:ascii="Times New Roman" w:hAnsi="Times New Roman" w:cs="Times New Roman"/>
          <w:sz w:val="20"/>
          <w:szCs w:val="20"/>
          <w:lang w:eastAsia="tr-TR"/>
        </w:rPr>
        <w:t>, 04/15/2016).</w:t>
      </w:r>
    </w:p>
  </w:footnote>
  <w:footnote w:id="37">
    <w:p w14:paraId="03F4324F" w14:textId="0B0657E4" w:rsidR="008620ED" w:rsidRPr="004A739B" w:rsidRDefault="008620ED" w:rsidP="004A739B">
      <w:pPr>
        <w:pStyle w:val="DipnotMetni"/>
        <w:jc w:val="both"/>
        <w:rPr>
          <w:rFonts w:ascii="Times New Roman" w:hAnsi="Times New Roman" w:cs="Times New Roman"/>
          <w:sz w:val="20"/>
          <w:szCs w:val="20"/>
        </w:rPr>
      </w:pPr>
      <w:r w:rsidRPr="004A739B">
        <w:rPr>
          <w:rStyle w:val="DipnotBavurusu"/>
          <w:rFonts w:ascii="Times New Roman" w:hAnsi="Times New Roman" w:cs="Times New Roman"/>
          <w:sz w:val="20"/>
          <w:szCs w:val="20"/>
        </w:rPr>
        <w:footnoteRef/>
      </w:r>
      <w:r w:rsidRPr="004A739B">
        <w:rPr>
          <w:rFonts w:ascii="Times New Roman" w:hAnsi="Times New Roman" w:cs="Times New Roman"/>
          <w:sz w:val="20"/>
          <w:szCs w:val="20"/>
        </w:rPr>
        <w:t xml:space="preserve"> </w:t>
      </w:r>
      <w:r w:rsidR="00521945" w:rsidRPr="004A739B">
        <w:rPr>
          <w:rFonts w:ascii="Times New Roman" w:hAnsi="Times New Roman" w:cs="Times New Roman"/>
          <w:sz w:val="20"/>
          <w:szCs w:val="20"/>
        </w:rPr>
        <w:t>Minority shareholders of publicly traded corporations are worth to be specifically protected because of their importance in corporate, economic</w:t>
      </w:r>
      <w:r w:rsidR="007F6B41">
        <w:rPr>
          <w:rFonts w:ascii="Times New Roman" w:hAnsi="Times New Roman" w:cs="Times New Roman"/>
          <w:sz w:val="20"/>
          <w:szCs w:val="20"/>
        </w:rPr>
        <w:t>,</w:t>
      </w:r>
      <w:r w:rsidR="00521945" w:rsidRPr="004A739B">
        <w:rPr>
          <w:rFonts w:ascii="Times New Roman" w:hAnsi="Times New Roman" w:cs="Times New Roman"/>
          <w:sz w:val="20"/>
          <w:szCs w:val="20"/>
        </w:rPr>
        <w:t xml:space="preserve"> and social chain (</w:t>
      </w:r>
      <w:r w:rsidR="00521945" w:rsidRPr="00521945">
        <w:rPr>
          <w:rFonts w:ascii="Times New Roman" w:hAnsi="Times New Roman" w:cs="Times New Roman"/>
          <w:sz w:val="20"/>
          <w:szCs w:val="20"/>
        </w:rPr>
        <w:t xml:space="preserve">During the debates in the U.S. Congress on Securities Act of 1933 and Securities Exchange Act of 1934, Senators and Representatives opposed to those regulations were arguing that investors are “suckers” and “fools”, and they will remain so despite any efforts to protect them. Meanwhile, President Roosevelt was explaining that the legislative program was intended to protect investors. At the end, those opposing arguments failed. (John H. Walsh, </w:t>
      </w:r>
      <w:r w:rsidR="00521945" w:rsidRPr="00521945">
        <w:rPr>
          <w:rFonts w:ascii="Times New Roman" w:hAnsi="Times New Roman" w:cs="Times New Roman"/>
          <w:i/>
          <w:sz w:val="20"/>
          <w:szCs w:val="20"/>
        </w:rPr>
        <w:t>Can Regulation Protect “Suckers” and “Fools” From Themselves? Reflections on the Rhetoric of Investors and Investor Protection Under the Federal Securities Law</w:t>
      </w:r>
      <w:r w:rsidR="00521945" w:rsidRPr="00521945">
        <w:rPr>
          <w:rFonts w:ascii="Times New Roman" w:hAnsi="Times New Roman" w:cs="Times New Roman"/>
          <w:sz w:val="20"/>
          <w:szCs w:val="20"/>
        </w:rPr>
        <w:t>, 8 J.Bus.Sec.L.188, at 189)</w:t>
      </w:r>
      <w:r w:rsidR="00521945" w:rsidRPr="004A739B">
        <w:rPr>
          <w:rFonts w:ascii="Times New Roman" w:hAnsi="Times New Roman" w:cs="Times New Roman"/>
          <w:sz w:val="20"/>
          <w:szCs w:val="20"/>
        </w:rPr>
        <w:t>). Shareholders, like the investing public as a whole, are made up of both deep pocket and shallow pocket investors (e.g., an employee, retired person or a housewife), and they tunnel their savings to the capital market by especially doing direct or indirect (e.g. via hedge funds and pension funds (</w:t>
      </w:r>
      <w:r w:rsidR="00521945" w:rsidRPr="00521945">
        <w:rPr>
          <w:rFonts w:ascii="Times New Roman" w:hAnsi="Times New Roman" w:cs="Times New Roman"/>
          <w:sz w:val="20"/>
          <w:szCs w:val="20"/>
        </w:rPr>
        <w:t xml:space="preserve">Leo E. </w:t>
      </w:r>
      <w:proofErr w:type="spellStart"/>
      <w:r w:rsidR="00521945" w:rsidRPr="00521945">
        <w:rPr>
          <w:rFonts w:ascii="Times New Roman" w:hAnsi="Times New Roman" w:cs="Times New Roman"/>
          <w:sz w:val="20"/>
          <w:szCs w:val="20"/>
        </w:rPr>
        <w:t>Strine</w:t>
      </w:r>
      <w:proofErr w:type="spellEnd"/>
      <w:r w:rsidR="00521945" w:rsidRPr="00521945">
        <w:rPr>
          <w:rFonts w:ascii="Times New Roman" w:hAnsi="Times New Roman" w:cs="Times New Roman"/>
          <w:sz w:val="20"/>
          <w:szCs w:val="20"/>
        </w:rPr>
        <w:t xml:space="preserve"> names employees who are provided with an employer-provided supplement to contributions that are made to a 401(k) plans as “forced capitalists” (Leo E. </w:t>
      </w:r>
      <w:proofErr w:type="spellStart"/>
      <w:r w:rsidR="00521945" w:rsidRPr="00521945">
        <w:rPr>
          <w:rFonts w:ascii="Times New Roman" w:hAnsi="Times New Roman" w:cs="Times New Roman"/>
          <w:sz w:val="20"/>
          <w:szCs w:val="20"/>
        </w:rPr>
        <w:t>Strine</w:t>
      </w:r>
      <w:proofErr w:type="spellEnd"/>
      <w:r w:rsidR="00521945" w:rsidRPr="00521945">
        <w:rPr>
          <w:rFonts w:ascii="Times New Roman" w:hAnsi="Times New Roman" w:cs="Times New Roman"/>
          <w:sz w:val="20"/>
          <w:szCs w:val="20"/>
        </w:rPr>
        <w:t xml:space="preserve">, </w:t>
      </w:r>
      <w:r w:rsidR="00521945" w:rsidRPr="00521945">
        <w:rPr>
          <w:rFonts w:ascii="Times New Roman" w:hAnsi="Times New Roman" w:cs="Times New Roman"/>
          <w:i/>
          <w:sz w:val="20"/>
          <w:szCs w:val="20"/>
        </w:rPr>
        <w:t>Towards Common Sense and Common Ground? Reflections on the Shared Interest of Managers and Labor in a More Rational System of Corporate Governance</w:t>
      </w:r>
      <w:r w:rsidR="00521945" w:rsidRPr="00521945">
        <w:rPr>
          <w:rFonts w:ascii="Times New Roman" w:hAnsi="Times New Roman" w:cs="Times New Roman"/>
          <w:sz w:val="20"/>
          <w:szCs w:val="20"/>
        </w:rPr>
        <w:t xml:space="preserve">, </w:t>
      </w:r>
      <w:hyperlink r:id="rId16" w:history="1">
        <w:r w:rsidR="00521945" w:rsidRPr="00521945">
          <w:rPr>
            <w:rStyle w:val="Kpr"/>
            <w:rFonts w:ascii="Times New Roman" w:hAnsi="Times New Roman" w:cs="Times New Roman"/>
            <w:sz w:val="20"/>
            <w:szCs w:val="20"/>
          </w:rPr>
          <w:t>http://www.law.harvard.edu/programs/olin_center/papers/pdf/585.pdf</w:t>
        </w:r>
      </w:hyperlink>
      <w:r w:rsidR="00521945" w:rsidRPr="00521945">
        <w:rPr>
          <w:rFonts w:ascii="Times New Roman" w:hAnsi="Times New Roman" w:cs="Times New Roman"/>
          <w:sz w:val="20"/>
          <w:szCs w:val="20"/>
        </w:rPr>
        <w:t xml:space="preserve"> (Last visited: 10/10/2015), </w:t>
      </w:r>
      <w:r w:rsidR="007F6B41">
        <w:rPr>
          <w:rFonts w:ascii="Times New Roman" w:hAnsi="Times New Roman" w:cs="Times New Roman"/>
          <w:sz w:val="20"/>
          <w:szCs w:val="20"/>
        </w:rPr>
        <w:t>p.</w:t>
      </w:r>
      <w:r w:rsidR="00521945" w:rsidRPr="00521945">
        <w:rPr>
          <w:rFonts w:ascii="Times New Roman" w:hAnsi="Times New Roman" w:cs="Times New Roman"/>
          <w:sz w:val="20"/>
          <w:szCs w:val="20"/>
        </w:rPr>
        <w:t xml:space="preserve"> 6).</w:t>
      </w:r>
      <w:r w:rsidR="00521945" w:rsidRPr="004A739B">
        <w:rPr>
          <w:rFonts w:ascii="Times New Roman" w:hAnsi="Times New Roman" w:cs="Times New Roman"/>
          <w:sz w:val="20"/>
          <w:szCs w:val="20"/>
        </w:rPr>
        <w:t xml:space="preserve">)) investment in publicly traded corporations. They reinvest their savings back into business instead of amassing them under </w:t>
      </w:r>
      <w:proofErr w:type="gramStart"/>
      <w:r w:rsidR="00521945" w:rsidRPr="004A739B">
        <w:rPr>
          <w:rFonts w:ascii="Times New Roman" w:hAnsi="Times New Roman" w:cs="Times New Roman"/>
          <w:sz w:val="20"/>
          <w:szCs w:val="20"/>
        </w:rPr>
        <w:t>pillow,</w:t>
      </w:r>
      <w:r w:rsidR="007F6B41">
        <w:rPr>
          <w:rFonts w:ascii="Times New Roman" w:hAnsi="Times New Roman" w:cs="Times New Roman"/>
          <w:sz w:val="20"/>
          <w:szCs w:val="20"/>
        </w:rPr>
        <w:t xml:space="preserve"> </w:t>
      </w:r>
      <w:r w:rsidR="00521945" w:rsidRPr="004A739B">
        <w:rPr>
          <w:rFonts w:ascii="Times New Roman" w:hAnsi="Times New Roman" w:cs="Times New Roman"/>
          <w:sz w:val="20"/>
          <w:szCs w:val="20"/>
        </w:rPr>
        <w:t>and</w:t>
      </w:r>
      <w:proofErr w:type="gramEnd"/>
      <w:r w:rsidR="00521945" w:rsidRPr="004A739B">
        <w:rPr>
          <w:rFonts w:ascii="Times New Roman" w:hAnsi="Times New Roman" w:cs="Times New Roman"/>
          <w:sz w:val="20"/>
          <w:szCs w:val="20"/>
        </w:rPr>
        <w:t xml:space="preserve"> provide progress in the economy. It is important to set forth that “savings and formation of capital are same things” and “a capitalistic economy is based on the accumulation and availability of capital”</w:t>
      </w:r>
      <w:r w:rsidR="00521945" w:rsidRPr="00521945">
        <w:rPr>
          <w:rFonts w:ascii="Times New Roman" w:hAnsi="Times New Roman" w:cs="Times New Roman"/>
          <w:sz w:val="20"/>
          <w:szCs w:val="20"/>
        </w:rPr>
        <w:t xml:space="preserve"> (William C. Prather, </w:t>
      </w:r>
      <w:r w:rsidR="00521945" w:rsidRPr="00521945">
        <w:rPr>
          <w:rFonts w:ascii="Times New Roman" w:hAnsi="Times New Roman" w:cs="Times New Roman"/>
          <w:i/>
          <w:sz w:val="20"/>
          <w:szCs w:val="20"/>
        </w:rPr>
        <w:t>Savings Account</w:t>
      </w:r>
      <w:r w:rsidR="00521945" w:rsidRPr="00521945">
        <w:rPr>
          <w:rFonts w:ascii="Times New Roman" w:hAnsi="Times New Roman" w:cs="Times New Roman"/>
          <w:sz w:val="20"/>
          <w:szCs w:val="20"/>
        </w:rPr>
        <w:t xml:space="preserve"> 4 (6</w:t>
      </w:r>
      <w:r w:rsidR="00521945" w:rsidRPr="00521945">
        <w:rPr>
          <w:rFonts w:ascii="Times New Roman" w:hAnsi="Times New Roman" w:cs="Times New Roman"/>
          <w:sz w:val="20"/>
          <w:szCs w:val="20"/>
          <w:vertAlign w:val="superscript"/>
        </w:rPr>
        <w:t>th</w:t>
      </w:r>
      <w:r w:rsidR="00521945" w:rsidRPr="00521945">
        <w:rPr>
          <w:rFonts w:ascii="Times New Roman" w:hAnsi="Times New Roman" w:cs="Times New Roman"/>
          <w:sz w:val="20"/>
          <w:szCs w:val="20"/>
        </w:rPr>
        <w:t xml:space="preserve"> ed. 1981)</w:t>
      </w:r>
      <w:r w:rsidR="00521945" w:rsidRPr="004A739B">
        <w:rPr>
          <w:rFonts w:ascii="Times New Roman" w:hAnsi="Times New Roman" w:cs="Times New Roman"/>
          <w:sz w:val="20"/>
          <w:szCs w:val="20"/>
        </w:rPr>
        <w:t>). Therefore, any economic suffering of shareholders is in fact a suffering of businesses and the economy as a whole (</w:t>
      </w:r>
      <w:r w:rsidR="00521945" w:rsidRPr="00521945">
        <w:rPr>
          <w:rFonts w:ascii="Times New Roman" w:hAnsi="Times New Roman" w:cs="Times New Roman"/>
          <w:sz w:val="20"/>
          <w:szCs w:val="20"/>
        </w:rPr>
        <w:t xml:space="preserve">For example, in US economy, in 2014, about one-fifth of the borrowers sold stocks or bonds or borrowed against their retirement accounts to finance a home purchase (“Selling Stocks to Buy a Home”, The Wall Street Journal, M4, 10/23/2015). Drops in stock values, can affect down payment power of homebuyers directly, thus, create a domino effect in the economy. See: Luigi Zingales, </w:t>
      </w:r>
      <w:r w:rsidR="00521945" w:rsidRPr="00521945">
        <w:rPr>
          <w:rFonts w:ascii="Times New Roman" w:hAnsi="Times New Roman" w:cs="Times New Roman"/>
          <w:i/>
          <w:sz w:val="20"/>
          <w:szCs w:val="20"/>
        </w:rPr>
        <w:t>The Future of Securities Regulation</w:t>
      </w:r>
      <w:r w:rsidR="00521945" w:rsidRPr="00521945">
        <w:rPr>
          <w:rFonts w:ascii="Times New Roman" w:hAnsi="Times New Roman" w:cs="Times New Roman"/>
          <w:sz w:val="20"/>
          <w:szCs w:val="20"/>
        </w:rPr>
        <w:t xml:space="preserve">, </w:t>
      </w:r>
      <w:hyperlink r:id="rId17" w:history="1">
        <w:r w:rsidR="00521945" w:rsidRPr="00521945">
          <w:rPr>
            <w:rStyle w:val="Kpr"/>
            <w:rFonts w:ascii="Times New Roman" w:hAnsi="Times New Roman" w:cs="Times New Roman"/>
            <w:sz w:val="20"/>
            <w:szCs w:val="20"/>
          </w:rPr>
          <w:t>http://www.law.yale.edu/documents/pdf/cbl/Zingales_Future_Securities.pdf</w:t>
        </w:r>
      </w:hyperlink>
      <w:r w:rsidR="00521945" w:rsidRPr="00521945">
        <w:rPr>
          <w:rFonts w:ascii="Times New Roman" w:hAnsi="Times New Roman" w:cs="Times New Roman"/>
          <w:sz w:val="20"/>
          <w:szCs w:val="20"/>
        </w:rPr>
        <w:t xml:space="preserve"> (Last visited: 10/10/2015), </w:t>
      </w:r>
      <w:r w:rsidR="007F6B41">
        <w:rPr>
          <w:rFonts w:ascii="Times New Roman" w:hAnsi="Times New Roman" w:cs="Times New Roman"/>
          <w:sz w:val="20"/>
          <w:szCs w:val="20"/>
        </w:rPr>
        <w:t>p.</w:t>
      </w:r>
      <w:r w:rsidR="00521945" w:rsidRPr="00521945">
        <w:rPr>
          <w:rFonts w:ascii="Times New Roman" w:hAnsi="Times New Roman" w:cs="Times New Roman"/>
          <w:sz w:val="20"/>
          <w:szCs w:val="20"/>
        </w:rPr>
        <w:t xml:space="preserve"> 20</w:t>
      </w:r>
      <w:r w:rsidR="00521945" w:rsidRPr="004A739B">
        <w:rPr>
          <w:rFonts w:ascii="Times New Roman" w:hAnsi="Times New Roman" w:cs="Times New Roman"/>
          <w:sz w:val="20"/>
          <w:szCs w:val="20"/>
        </w:rPr>
        <w:t>). In addition to this, providing measures that protect shareholders; decreases the risk of loss for investors and so encourages people (remember, investing is a voluntary act) to reinvest their savings (</w:t>
      </w:r>
      <w:r w:rsidR="00521945" w:rsidRPr="00521945">
        <w:rPr>
          <w:rFonts w:ascii="Times New Roman" w:hAnsi="Times New Roman" w:cs="Times New Roman"/>
          <w:sz w:val="20"/>
          <w:szCs w:val="20"/>
        </w:rPr>
        <w:t xml:space="preserve">Barbara Black, </w:t>
      </w:r>
      <w:r w:rsidR="00521945" w:rsidRPr="00521945">
        <w:rPr>
          <w:rFonts w:ascii="Times New Roman" w:hAnsi="Times New Roman" w:cs="Times New Roman"/>
          <w:i/>
          <w:sz w:val="20"/>
          <w:szCs w:val="20"/>
        </w:rPr>
        <w:t xml:space="preserve">Behavioral </w:t>
      </w:r>
      <w:proofErr w:type="gramStart"/>
      <w:r w:rsidR="00521945" w:rsidRPr="00521945">
        <w:rPr>
          <w:rFonts w:ascii="Times New Roman" w:hAnsi="Times New Roman" w:cs="Times New Roman"/>
          <w:i/>
          <w:sz w:val="20"/>
          <w:szCs w:val="20"/>
        </w:rPr>
        <w:t>Economics</w:t>
      </w:r>
      <w:proofErr w:type="gramEnd"/>
      <w:r w:rsidR="00521945" w:rsidRPr="00521945">
        <w:rPr>
          <w:rFonts w:ascii="Times New Roman" w:hAnsi="Times New Roman" w:cs="Times New Roman"/>
          <w:i/>
          <w:sz w:val="20"/>
          <w:szCs w:val="20"/>
        </w:rPr>
        <w:t xml:space="preserve"> and Investor Protection: Reasonable Investors, Efficient Markets</w:t>
      </w:r>
      <w:r w:rsidR="00521945" w:rsidRPr="00521945">
        <w:rPr>
          <w:rFonts w:ascii="Times New Roman" w:hAnsi="Times New Roman" w:cs="Times New Roman"/>
          <w:sz w:val="20"/>
          <w:szCs w:val="20"/>
        </w:rPr>
        <w:t xml:space="preserve">, 44 Loy. U. Chi. L. J. 1493 (2013) </w:t>
      </w:r>
      <w:r w:rsidR="007F6B41">
        <w:rPr>
          <w:rFonts w:ascii="Times New Roman" w:hAnsi="Times New Roman" w:cs="Times New Roman"/>
          <w:sz w:val="20"/>
          <w:szCs w:val="20"/>
        </w:rPr>
        <w:t>p.</w:t>
      </w:r>
      <w:r w:rsidR="00521945" w:rsidRPr="00521945">
        <w:rPr>
          <w:rFonts w:ascii="Times New Roman" w:hAnsi="Times New Roman" w:cs="Times New Roman"/>
          <w:sz w:val="20"/>
          <w:szCs w:val="20"/>
        </w:rPr>
        <w:t xml:space="preserve"> 1495. When investors are protected by law, they are encouraged instinctively to finance companies because they believe that with legal protection, more of the firm’s profits would come back to them as interest or dividends (Rafael La Porta, Florencio Lopez-de-Manes, Andrei Shleifer, Robert </w:t>
      </w:r>
      <w:proofErr w:type="spellStart"/>
      <w:r w:rsidR="00521945" w:rsidRPr="00521945">
        <w:rPr>
          <w:rFonts w:ascii="Times New Roman" w:hAnsi="Times New Roman" w:cs="Times New Roman"/>
          <w:sz w:val="20"/>
          <w:szCs w:val="20"/>
        </w:rPr>
        <w:t>Vishny</w:t>
      </w:r>
      <w:proofErr w:type="spellEnd"/>
      <w:r w:rsidR="00521945" w:rsidRPr="00521945">
        <w:rPr>
          <w:rFonts w:ascii="Times New Roman" w:hAnsi="Times New Roman" w:cs="Times New Roman"/>
          <w:sz w:val="20"/>
          <w:szCs w:val="20"/>
        </w:rPr>
        <w:t xml:space="preserve">, </w:t>
      </w:r>
      <w:r w:rsidR="00521945" w:rsidRPr="00521945">
        <w:rPr>
          <w:rFonts w:ascii="Times New Roman" w:hAnsi="Times New Roman" w:cs="Times New Roman"/>
          <w:i/>
          <w:sz w:val="20"/>
          <w:szCs w:val="20"/>
        </w:rPr>
        <w:t>Investor Protection and Corporate Valuation</w:t>
      </w:r>
      <w:r w:rsidR="00521945" w:rsidRPr="00521945">
        <w:rPr>
          <w:rFonts w:ascii="Times New Roman" w:hAnsi="Times New Roman" w:cs="Times New Roman"/>
          <w:sz w:val="20"/>
          <w:szCs w:val="20"/>
        </w:rPr>
        <w:t xml:space="preserve"> (1999), </w:t>
      </w:r>
      <w:hyperlink r:id="rId18" w:history="1">
        <w:r w:rsidR="00521945" w:rsidRPr="00521945">
          <w:rPr>
            <w:rStyle w:val="Kpr"/>
            <w:rFonts w:ascii="Times New Roman" w:hAnsi="Times New Roman" w:cs="Times New Roman"/>
            <w:sz w:val="20"/>
            <w:szCs w:val="20"/>
          </w:rPr>
          <w:t>ftp://ftp.repec.org/opt/ReDIF/RePEc/fth/harver/hier1882.pdf</w:t>
        </w:r>
      </w:hyperlink>
      <w:r w:rsidR="00521945" w:rsidRPr="00521945">
        <w:rPr>
          <w:rFonts w:ascii="Times New Roman" w:hAnsi="Times New Roman" w:cs="Times New Roman"/>
          <w:sz w:val="20"/>
          <w:szCs w:val="20"/>
        </w:rPr>
        <w:t xml:space="preserve"> (Last visited: 10/10/2015), at 2)</w:t>
      </w:r>
      <w:r w:rsidR="00521945" w:rsidRPr="004A739B">
        <w:rPr>
          <w:rFonts w:ascii="Times New Roman" w:hAnsi="Times New Roman" w:cs="Times New Roman"/>
          <w:sz w:val="20"/>
          <w:szCs w:val="20"/>
        </w:rPr>
        <w:t>), thus activates the capitalist cycle. Today, countries that protect shareholders have more valuable stock markets, larger numbers of listed securities per capita and a higher rate of initial public offering (IPO) activity than the unprotecting countries</w:t>
      </w:r>
      <w:r w:rsidR="00521945" w:rsidRPr="00521945">
        <w:rPr>
          <w:rFonts w:ascii="Times New Roman" w:hAnsi="Times New Roman" w:cs="Times New Roman"/>
          <w:sz w:val="20"/>
          <w:szCs w:val="20"/>
        </w:rPr>
        <w:t xml:space="preserve"> (La Porta, Silanes, Schleifer, </w:t>
      </w:r>
      <w:proofErr w:type="spellStart"/>
      <w:r w:rsidR="00521945" w:rsidRPr="00521945">
        <w:rPr>
          <w:rFonts w:ascii="Times New Roman" w:hAnsi="Times New Roman" w:cs="Times New Roman"/>
          <w:sz w:val="20"/>
          <w:szCs w:val="20"/>
        </w:rPr>
        <w:t>Vishny</w:t>
      </w:r>
      <w:proofErr w:type="spellEnd"/>
      <w:r w:rsidR="00521945" w:rsidRPr="00521945">
        <w:rPr>
          <w:rFonts w:ascii="Times New Roman" w:hAnsi="Times New Roman" w:cs="Times New Roman"/>
          <w:sz w:val="20"/>
          <w:szCs w:val="20"/>
        </w:rPr>
        <w:t xml:space="preserve">, </w:t>
      </w:r>
      <w:r w:rsidR="00521945" w:rsidRPr="00521945">
        <w:rPr>
          <w:rFonts w:ascii="Times New Roman" w:hAnsi="Times New Roman" w:cs="Times New Roman"/>
          <w:i/>
          <w:sz w:val="20"/>
          <w:szCs w:val="20"/>
        </w:rPr>
        <w:t>Investor Protection: Origins, Consequences, Reform</w:t>
      </w:r>
      <w:r w:rsidR="00521945" w:rsidRPr="00521945">
        <w:rPr>
          <w:rFonts w:ascii="Times New Roman" w:hAnsi="Times New Roman" w:cs="Times New Roman"/>
          <w:sz w:val="20"/>
          <w:szCs w:val="20"/>
        </w:rPr>
        <w:t xml:space="preserve">, The World Bank, Financial Sector Discussion Paper No.1 (1999), </w:t>
      </w:r>
      <w:hyperlink r:id="rId19" w:history="1">
        <w:r w:rsidR="00521945" w:rsidRPr="00521945">
          <w:rPr>
            <w:rStyle w:val="Kpr"/>
            <w:rFonts w:ascii="Times New Roman" w:hAnsi="Times New Roman" w:cs="Times New Roman"/>
            <w:sz w:val="20"/>
            <w:szCs w:val="20"/>
          </w:rPr>
          <w:t>http://www1.worldbank.org/finance/assets/images/Fs01_web1.pdf</w:t>
        </w:r>
      </w:hyperlink>
      <w:r w:rsidR="00521945" w:rsidRPr="00521945">
        <w:rPr>
          <w:rFonts w:ascii="Times New Roman" w:hAnsi="Times New Roman" w:cs="Times New Roman"/>
          <w:sz w:val="20"/>
          <w:szCs w:val="20"/>
        </w:rPr>
        <w:t xml:space="preserve"> (Last visited:10/10/2015), </w:t>
      </w:r>
      <w:r w:rsidR="007F6B41">
        <w:rPr>
          <w:rFonts w:ascii="Times New Roman" w:hAnsi="Times New Roman" w:cs="Times New Roman"/>
          <w:sz w:val="20"/>
          <w:szCs w:val="20"/>
        </w:rPr>
        <w:t>p.</w:t>
      </w:r>
      <w:r w:rsidR="00521945" w:rsidRPr="00521945">
        <w:rPr>
          <w:rFonts w:ascii="Times New Roman" w:hAnsi="Times New Roman" w:cs="Times New Roman"/>
          <w:sz w:val="20"/>
          <w:szCs w:val="20"/>
        </w:rPr>
        <w:t xml:space="preserve"> 14)</w:t>
      </w:r>
      <w:r w:rsidR="00521945" w:rsidRPr="004A739B">
        <w:rPr>
          <w:rFonts w:ascii="Times New Roman" w:hAnsi="Times New Roman" w:cs="Times New Roman"/>
          <w:sz w:val="20"/>
          <w:szCs w:val="20"/>
        </w:rPr>
        <w:t xml:space="preserve">. </w:t>
      </w:r>
    </w:p>
  </w:footnote>
  <w:footnote w:id="38">
    <w:p w14:paraId="66A46EFE" w14:textId="3F814983" w:rsidR="008620ED" w:rsidRPr="009975EA" w:rsidRDefault="008620ED" w:rsidP="008620ED">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OECD Corporate Governance Factbook 2015, </w:t>
      </w:r>
      <w:hyperlink r:id="rId20" w:history="1">
        <w:r w:rsidRPr="009975EA">
          <w:rPr>
            <w:rStyle w:val="Kpr"/>
            <w:rFonts w:ascii="Times New Roman" w:hAnsi="Times New Roman" w:cs="Times New Roman"/>
            <w:sz w:val="20"/>
            <w:szCs w:val="20"/>
          </w:rPr>
          <w:t>http://www.oecd.org/daf/ca/Corporate-Governance-Factbook.pdf</w:t>
        </w:r>
      </w:hyperlink>
      <w:r>
        <w:rPr>
          <w:rFonts w:ascii="Times New Roman" w:hAnsi="Times New Roman" w:cs="Times New Roman"/>
          <w:sz w:val="20"/>
          <w:szCs w:val="20"/>
        </w:rPr>
        <w:t xml:space="preserve">, </w:t>
      </w:r>
      <w:r w:rsidR="007F6B41">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11.</w:t>
      </w:r>
    </w:p>
  </w:footnote>
  <w:footnote w:id="39">
    <w:p w14:paraId="4D42F744" w14:textId="12CB572E" w:rsidR="008620ED" w:rsidRPr="00521945" w:rsidRDefault="008620ED" w:rsidP="00521945">
      <w:pPr>
        <w:pStyle w:val="DipnotMetni"/>
        <w:jc w:val="both"/>
        <w:rPr>
          <w:rFonts w:ascii="Times New Roman" w:hAnsi="Times New Roman" w:cs="Times New Roman"/>
          <w:sz w:val="20"/>
          <w:szCs w:val="20"/>
        </w:rPr>
      </w:pPr>
      <w:r w:rsidRPr="00521945">
        <w:rPr>
          <w:rStyle w:val="DipnotBavurusu"/>
          <w:rFonts w:ascii="Times New Roman" w:hAnsi="Times New Roman" w:cs="Times New Roman"/>
          <w:sz w:val="20"/>
          <w:szCs w:val="20"/>
        </w:rPr>
        <w:footnoteRef/>
      </w:r>
      <w:r w:rsidRPr="00521945">
        <w:rPr>
          <w:rFonts w:ascii="Times New Roman" w:hAnsi="Times New Roman" w:cs="Times New Roman"/>
          <w:sz w:val="20"/>
          <w:szCs w:val="20"/>
        </w:rPr>
        <w:t xml:space="preserve"> “Controlling shareholders tend to value non- pecuniary returns of control, deriving satisfaction and status from controlling the business” (Erica Gorga</w:t>
      </w:r>
      <w:r w:rsidRPr="00521945">
        <w:rPr>
          <w:rFonts w:ascii="Times New Roman" w:hAnsi="Times New Roman" w:cs="Times New Roman"/>
          <w:i/>
          <w:sz w:val="20"/>
          <w:szCs w:val="20"/>
        </w:rPr>
        <w:t>, Culture and Corporate Law Reform: A Case Study of Brazil</w:t>
      </w:r>
      <w:r w:rsidRPr="00521945">
        <w:rPr>
          <w:rFonts w:ascii="Times New Roman" w:hAnsi="Times New Roman" w:cs="Times New Roman"/>
          <w:sz w:val="20"/>
          <w:szCs w:val="20"/>
        </w:rPr>
        <w:t xml:space="preserve">, 27 U. Pa. J. Int’l Econ. L. 803 (2006), </w:t>
      </w:r>
      <w:r w:rsidR="007F6B41">
        <w:rPr>
          <w:rFonts w:ascii="Times New Roman" w:hAnsi="Times New Roman" w:cs="Times New Roman"/>
          <w:sz w:val="20"/>
          <w:szCs w:val="20"/>
        </w:rPr>
        <w:t>p.</w:t>
      </w:r>
      <w:r w:rsidRPr="00521945">
        <w:rPr>
          <w:rFonts w:ascii="Times New Roman" w:hAnsi="Times New Roman" w:cs="Times New Roman"/>
          <w:sz w:val="20"/>
          <w:szCs w:val="20"/>
        </w:rPr>
        <w:t xml:space="preserve"> 888)</w:t>
      </w:r>
    </w:p>
  </w:footnote>
  <w:footnote w:id="40">
    <w:p w14:paraId="2B507569" w14:textId="134882C2" w:rsidR="00521945" w:rsidRPr="009975EA" w:rsidRDefault="00521945" w:rsidP="00521945">
      <w:pPr>
        <w:pStyle w:val="DipnotMetni"/>
        <w:jc w:val="both"/>
        <w:rPr>
          <w:rFonts w:ascii="Times New Roman" w:hAnsi="Times New Roman" w:cs="Times New Roman"/>
          <w:sz w:val="20"/>
          <w:szCs w:val="20"/>
        </w:rPr>
      </w:pPr>
      <w:r w:rsidRPr="00521945">
        <w:rPr>
          <w:rStyle w:val="DipnotBavurusu"/>
          <w:rFonts w:ascii="Times New Roman" w:hAnsi="Times New Roman" w:cs="Times New Roman"/>
          <w:sz w:val="20"/>
          <w:szCs w:val="20"/>
        </w:rPr>
        <w:footnoteRef/>
      </w:r>
      <w:r w:rsidRPr="00521945">
        <w:rPr>
          <w:rFonts w:ascii="Times New Roman" w:hAnsi="Times New Roman" w:cs="Times New Roman"/>
          <w:sz w:val="20"/>
          <w:szCs w:val="20"/>
        </w:rPr>
        <w:t xml:space="preserve"> Objectives and Principles of Securities Regulation, IOSCO, </w:t>
      </w:r>
      <w:hyperlink r:id="rId21" w:history="1">
        <w:r w:rsidRPr="00521945">
          <w:rPr>
            <w:rStyle w:val="Kpr"/>
            <w:rFonts w:ascii="Times New Roman" w:hAnsi="Times New Roman" w:cs="Times New Roman"/>
            <w:sz w:val="20"/>
            <w:szCs w:val="20"/>
          </w:rPr>
          <w:t>https://www.iosco.org/library/pubdocs/pdf/IOSCOPD323.pdf</w:t>
        </w:r>
      </w:hyperlink>
      <w:r w:rsidRPr="00521945">
        <w:rPr>
          <w:rFonts w:ascii="Times New Roman" w:hAnsi="Times New Roman" w:cs="Times New Roman"/>
          <w:sz w:val="20"/>
          <w:szCs w:val="20"/>
        </w:rPr>
        <w:t xml:space="preserve"> (Last visited: 10/10/2015), </w:t>
      </w:r>
      <w:r w:rsidR="004A739B">
        <w:rPr>
          <w:rFonts w:ascii="Times New Roman" w:hAnsi="Times New Roman" w:cs="Times New Roman"/>
          <w:sz w:val="20"/>
          <w:szCs w:val="20"/>
        </w:rPr>
        <w:t>p.</w:t>
      </w:r>
      <w:r w:rsidRPr="00521945">
        <w:rPr>
          <w:rFonts w:ascii="Times New Roman" w:hAnsi="Times New Roman" w:cs="Times New Roman"/>
          <w:sz w:val="20"/>
          <w:szCs w:val="20"/>
        </w:rPr>
        <w:t xml:space="preserve"> 1.</w:t>
      </w:r>
    </w:p>
  </w:footnote>
  <w:footnote w:id="41">
    <w:p w14:paraId="48B50407" w14:textId="59A70029" w:rsidR="00521945" w:rsidRPr="009975EA" w:rsidRDefault="00521945" w:rsidP="00521945">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the connection between securities market, economic growth and shareholder protection, see: Bernard S.</w:t>
      </w:r>
      <w:r w:rsidR="007F6B41">
        <w:rPr>
          <w:rFonts w:ascii="Times New Roman" w:hAnsi="Times New Roman" w:cs="Times New Roman"/>
          <w:sz w:val="20"/>
          <w:szCs w:val="20"/>
        </w:rPr>
        <w:t xml:space="preserve"> </w:t>
      </w:r>
      <w:r w:rsidRPr="009975EA">
        <w:rPr>
          <w:rFonts w:ascii="Times New Roman" w:hAnsi="Times New Roman" w:cs="Times New Roman"/>
          <w:sz w:val="20"/>
          <w:szCs w:val="20"/>
        </w:rPr>
        <w:t xml:space="preserve">Black, The Legal and Institutional Preconditions </w:t>
      </w:r>
      <w:proofErr w:type="gramStart"/>
      <w:r w:rsidRPr="009975EA">
        <w:rPr>
          <w:rFonts w:ascii="Times New Roman" w:hAnsi="Times New Roman" w:cs="Times New Roman"/>
          <w:sz w:val="20"/>
          <w:szCs w:val="20"/>
        </w:rPr>
        <w:t>For</w:t>
      </w:r>
      <w:proofErr w:type="gramEnd"/>
      <w:r w:rsidRPr="009975EA">
        <w:rPr>
          <w:rFonts w:ascii="Times New Roman" w:hAnsi="Times New Roman" w:cs="Times New Roman"/>
          <w:sz w:val="20"/>
          <w:szCs w:val="20"/>
        </w:rPr>
        <w:t xml:space="preserve"> Strong Securities Markets, UCLA Law Review (781) 2001.</w:t>
      </w:r>
      <w:r>
        <w:rPr>
          <w:rFonts w:ascii="Times New Roman" w:hAnsi="Times New Roman" w:cs="Times New Roman"/>
          <w:sz w:val="20"/>
          <w:szCs w:val="20"/>
        </w:rPr>
        <w:t xml:space="preserve"> </w:t>
      </w:r>
      <w:r w:rsidRPr="009975EA">
        <w:rPr>
          <w:rFonts w:ascii="Times New Roman" w:hAnsi="Times New Roman" w:cs="Times New Roman"/>
          <w:sz w:val="20"/>
          <w:szCs w:val="20"/>
        </w:rPr>
        <w:t xml:space="preserve">It is important to not to both overestimate and underestimate the impact of legal structure. It must be kept in mind that law itself, is only a part of the social wheel, functioning together with many other parts of the wheel. An American scholar, James Willard Hurst, puts forward this approach for the American corporate law as follows: </w:t>
      </w:r>
      <w:r w:rsidRPr="009975EA">
        <w:rPr>
          <w:rFonts w:ascii="Times New Roman" w:hAnsi="Times New Roman" w:cs="Times New Roman"/>
          <w:color w:val="000000"/>
          <w:sz w:val="20"/>
          <w:szCs w:val="20"/>
          <w:lang w:val="tr-TR"/>
        </w:rPr>
        <w:t>“</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say </w:t>
      </w:r>
      <w:proofErr w:type="spellStart"/>
      <w:r w:rsidRPr="009975EA">
        <w:rPr>
          <w:rFonts w:ascii="Times New Roman" w:hAnsi="Times New Roman" w:cs="Times New Roman"/>
          <w:color w:val="000000"/>
          <w:sz w:val="20"/>
          <w:szCs w:val="20"/>
          <w:lang w:val="tr-TR"/>
        </w:rPr>
        <w:t>that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corporation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law</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helped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multiply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enterprises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helped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technology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business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ambition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create</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larger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scale</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firm</w:t>
      </w:r>
      <w:proofErr w:type="spellEnd"/>
      <w:r w:rsidRPr="009975EA">
        <w:rPr>
          <w:rFonts w:ascii="Times New Roman" w:hAnsi="Times New Roman" w:cs="Times New Roman"/>
          <w:color w:val="000000"/>
          <w:sz w:val="20"/>
          <w:szCs w:val="20"/>
          <w:lang w:val="tr-TR"/>
        </w:rPr>
        <w:t xml:space="preserve"> is not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say </w:t>
      </w:r>
      <w:proofErr w:type="spellStart"/>
      <w:r w:rsidRPr="009975EA">
        <w:rPr>
          <w:rFonts w:ascii="Times New Roman" w:hAnsi="Times New Roman" w:cs="Times New Roman"/>
          <w:color w:val="000000"/>
          <w:sz w:val="20"/>
          <w:szCs w:val="20"/>
          <w:lang w:val="tr-TR"/>
        </w:rPr>
        <w:t>that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particular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corporation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law</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we</w:t>
      </w:r>
      <w:proofErr w:type="spellEnd"/>
      <w:r w:rsidRPr="009975EA">
        <w:rPr>
          <w:rFonts w:ascii="Times New Roman" w:hAnsi="Times New Roman" w:cs="Times New Roman"/>
          <w:color w:val="000000"/>
          <w:sz w:val="20"/>
          <w:szCs w:val="20"/>
          <w:lang w:val="tr-TR"/>
        </w:rPr>
        <w:t xml:space="preserve"> had </w:t>
      </w:r>
      <w:proofErr w:type="spellStart"/>
      <w:r w:rsidRPr="009975EA">
        <w:rPr>
          <w:rFonts w:ascii="Times New Roman" w:hAnsi="Times New Roman" w:cs="Times New Roman"/>
          <w:color w:val="000000"/>
          <w:sz w:val="20"/>
          <w:szCs w:val="20"/>
          <w:lang w:val="tr-TR"/>
        </w:rPr>
        <w:t>was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indispensable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outcomes</w:t>
      </w:r>
      <w:proofErr w:type="spellEnd"/>
      <w:r w:rsidRPr="009975EA">
        <w:rPr>
          <w:rFonts w:ascii="Times New Roman" w:hAnsi="Times New Roman" w:cs="Times New Roman"/>
          <w:color w:val="000000"/>
          <w:sz w:val="20"/>
          <w:szCs w:val="20"/>
          <w:lang w:val="tr-TR"/>
        </w:rPr>
        <w:t xml:space="preserve">. United </w:t>
      </w:r>
      <w:proofErr w:type="spellStart"/>
      <w:r w:rsidRPr="009975EA">
        <w:rPr>
          <w:rFonts w:ascii="Times New Roman" w:hAnsi="Times New Roman" w:cs="Times New Roman"/>
          <w:color w:val="000000"/>
          <w:sz w:val="20"/>
          <w:szCs w:val="20"/>
          <w:lang w:val="tr-TR"/>
        </w:rPr>
        <w:t>States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economic</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history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shows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much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ingenious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improvising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much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restless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energy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make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such</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thesis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plausible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However</w:t>
      </w:r>
      <w:proofErr w:type="spellEnd"/>
      <w:r w:rsidRPr="009975EA">
        <w:rPr>
          <w:rFonts w:ascii="Times New Roman" w:hAnsi="Times New Roman" w:cs="Times New Roman"/>
          <w:color w:val="000000"/>
          <w:sz w:val="20"/>
          <w:szCs w:val="20"/>
          <w:lang w:val="tr-TR"/>
        </w:rPr>
        <w:t>,</w:t>
      </w:r>
      <w:r w:rsidR="007F6B41">
        <w:rPr>
          <w:rFonts w:ascii="Times New Roman" w:hAnsi="Times New Roman" w:cs="Times New Roman"/>
          <w:color w:val="000000"/>
          <w:sz w:val="20"/>
          <w:szCs w:val="20"/>
          <w:lang w:val="tr-TR"/>
        </w:rPr>
        <w:t xml:space="preserve"> </w:t>
      </w:r>
      <w:r w:rsidRPr="009975EA">
        <w:rPr>
          <w:rFonts w:ascii="Times New Roman" w:hAnsi="Times New Roman" w:cs="Times New Roman"/>
          <w:color w:val="000000"/>
          <w:sz w:val="20"/>
          <w:szCs w:val="20"/>
          <w:lang w:val="tr-TR"/>
        </w:rPr>
        <w:t xml:space="preserve">it </w:t>
      </w:r>
      <w:proofErr w:type="spellStart"/>
      <w:r w:rsidRPr="009975EA">
        <w:rPr>
          <w:rFonts w:ascii="Times New Roman" w:hAnsi="Times New Roman" w:cs="Times New Roman"/>
          <w:color w:val="000000"/>
          <w:sz w:val="20"/>
          <w:szCs w:val="20"/>
          <w:lang w:val="tr-TR"/>
        </w:rPr>
        <w:t>would</w:t>
      </w:r>
      <w:proofErr w:type="spellEnd"/>
      <w:r w:rsidRPr="009975EA">
        <w:rPr>
          <w:rFonts w:ascii="Times New Roman" w:hAnsi="Times New Roman" w:cs="Times New Roman"/>
          <w:color w:val="000000"/>
          <w:sz w:val="20"/>
          <w:szCs w:val="20"/>
          <w:lang w:val="tr-TR"/>
        </w:rPr>
        <w:t xml:space="preserve"> be </w:t>
      </w:r>
      <w:proofErr w:type="spellStart"/>
      <w:r w:rsidRPr="009975EA">
        <w:rPr>
          <w:rFonts w:ascii="Times New Roman" w:hAnsi="Times New Roman" w:cs="Times New Roman"/>
          <w:color w:val="000000"/>
          <w:sz w:val="20"/>
          <w:szCs w:val="20"/>
          <w:lang w:val="tr-TR"/>
        </w:rPr>
        <w:t>equally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unreal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conclude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that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because</w:t>
      </w:r>
      <w:proofErr w:type="spellEnd"/>
      <w:r w:rsidRPr="009975EA">
        <w:rPr>
          <w:rFonts w:ascii="Times New Roman" w:hAnsi="Times New Roman" w:cs="Times New Roman"/>
          <w:color w:val="000000"/>
          <w:sz w:val="20"/>
          <w:szCs w:val="20"/>
          <w:lang w:val="tr-TR"/>
        </w:rPr>
        <w:t xml:space="preserve"> it </w:t>
      </w:r>
      <w:proofErr w:type="spellStart"/>
      <w:r w:rsidRPr="009975EA">
        <w:rPr>
          <w:rFonts w:ascii="Times New Roman" w:hAnsi="Times New Roman" w:cs="Times New Roman"/>
          <w:color w:val="000000"/>
          <w:sz w:val="20"/>
          <w:szCs w:val="20"/>
          <w:lang w:val="tr-TR"/>
        </w:rPr>
        <w:t>was</w:t>
      </w:r>
      <w:proofErr w:type="spellEnd"/>
      <w:r w:rsidRPr="009975EA">
        <w:rPr>
          <w:rFonts w:ascii="Times New Roman" w:hAnsi="Times New Roman" w:cs="Times New Roman"/>
          <w:color w:val="000000"/>
          <w:sz w:val="20"/>
          <w:szCs w:val="20"/>
          <w:lang w:val="tr-TR"/>
        </w:rPr>
        <w:t xml:space="preserve"> not </w:t>
      </w:r>
      <w:proofErr w:type="spellStart"/>
      <w:r w:rsidRPr="009975EA">
        <w:rPr>
          <w:rFonts w:ascii="Times New Roman" w:hAnsi="Times New Roman" w:cs="Times New Roman"/>
          <w:color w:val="000000"/>
          <w:sz w:val="20"/>
          <w:szCs w:val="20"/>
          <w:lang w:val="tr-TR"/>
        </w:rPr>
        <w:t>indispensable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corporation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law</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we</w:t>
      </w:r>
      <w:proofErr w:type="spellEnd"/>
      <w:r w:rsidRPr="009975EA">
        <w:rPr>
          <w:rFonts w:ascii="Times New Roman" w:hAnsi="Times New Roman" w:cs="Times New Roman"/>
          <w:color w:val="000000"/>
          <w:sz w:val="20"/>
          <w:szCs w:val="20"/>
          <w:lang w:val="tr-TR"/>
        </w:rPr>
        <w:t xml:space="preserve"> had </w:t>
      </w:r>
      <w:proofErr w:type="spellStart"/>
      <w:r w:rsidRPr="009975EA">
        <w:rPr>
          <w:rFonts w:ascii="Times New Roman" w:hAnsi="Times New Roman" w:cs="Times New Roman"/>
          <w:color w:val="000000"/>
          <w:sz w:val="20"/>
          <w:szCs w:val="20"/>
          <w:lang w:val="tr-TR"/>
        </w:rPr>
        <w:t>was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unimportant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business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outcomes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functional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needs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be </w:t>
      </w:r>
      <w:proofErr w:type="spellStart"/>
      <w:r w:rsidRPr="009975EA">
        <w:rPr>
          <w:rFonts w:ascii="Times New Roman" w:hAnsi="Times New Roman" w:cs="Times New Roman"/>
          <w:color w:val="000000"/>
          <w:sz w:val="20"/>
          <w:szCs w:val="20"/>
          <w:lang w:val="tr-TR"/>
        </w:rPr>
        <w:t>served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were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need</w:t>
      </w:r>
      <w:proofErr w:type="spellEnd"/>
      <w:r w:rsidRPr="009975EA">
        <w:rPr>
          <w:rFonts w:ascii="Times New Roman" w:hAnsi="Times New Roman" w:cs="Times New Roman"/>
          <w:color w:val="000000"/>
          <w:sz w:val="20"/>
          <w:szCs w:val="20"/>
          <w:lang w:val="tr-TR"/>
        </w:rPr>
        <w:t xml:space="preserve"> of a </w:t>
      </w:r>
      <w:proofErr w:type="spellStart"/>
      <w:r w:rsidRPr="009975EA">
        <w:rPr>
          <w:rFonts w:ascii="Times New Roman" w:hAnsi="Times New Roman" w:cs="Times New Roman"/>
          <w:color w:val="000000"/>
          <w:sz w:val="20"/>
          <w:szCs w:val="20"/>
          <w:lang w:val="tr-TR"/>
        </w:rPr>
        <w:t>workable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internal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division</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powers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within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business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organizations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need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attract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capital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with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appeals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varied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according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scale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risk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investors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goals</w:t>
      </w:r>
      <w:proofErr w:type="spellEnd"/>
      <w:r w:rsidRPr="009975EA">
        <w:rPr>
          <w:rFonts w:ascii="Times New Roman" w:hAnsi="Times New Roman" w:cs="Times New Roman"/>
          <w:color w:val="000000"/>
          <w:sz w:val="20"/>
          <w:szCs w:val="20"/>
          <w:lang w:val="tr-TR"/>
        </w:rPr>
        <w:t xml:space="preserve">. Had </w:t>
      </w:r>
      <w:proofErr w:type="spellStart"/>
      <w:r w:rsidRPr="009975EA">
        <w:rPr>
          <w:rFonts w:ascii="Times New Roman" w:hAnsi="Times New Roman" w:cs="Times New Roman"/>
          <w:color w:val="000000"/>
          <w:sz w:val="20"/>
          <w:szCs w:val="20"/>
          <w:lang w:val="tr-TR"/>
        </w:rPr>
        <w:t>we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devised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some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different</w:t>
      </w:r>
      <w:proofErr w:type="spellEnd"/>
      <w:r w:rsidRPr="009975EA">
        <w:rPr>
          <w:rFonts w:ascii="Times New Roman" w:hAnsi="Times New Roman" w:cs="Times New Roman"/>
          <w:color w:val="000000"/>
          <w:sz w:val="20"/>
          <w:szCs w:val="20"/>
          <w:lang w:val="tr-TR"/>
        </w:rPr>
        <w:t xml:space="preserve"> legal format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serve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needs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underlying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business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drives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would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have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required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that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other</w:t>
      </w:r>
      <w:proofErr w:type="spellEnd"/>
      <w:r w:rsidRPr="009975EA">
        <w:rPr>
          <w:rFonts w:ascii="Times New Roman" w:hAnsi="Times New Roman" w:cs="Times New Roman"/>
          <w:color w:val="000000"/>
          <w:sz w:val="20"/>
          <w:szCs w:val="20"/>
          <w:lang w:val="tr-TR"/>
        </w:rPr>
        <w:t xml:space="preserve"> form of </w:t>
      </w:r>
      <w:proofErr w:type="spellStart"/>
      <w:r w:rsidRPr="009975EA">
        <w:rPr>
          <w:rFonts w:ascii="Times New Roman" w:hAnsi="Times New Roman" w:cs="Times New Roman"/>
          <w:color w:val="000000"/>
          <w:sz w:val="20"/>
          <w:szCs w:val="20"/>
          <w:lang w:val="tr-TR"/>
        </w:rPr>
        <w:t>organization</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color w:val="000000"/>
          <w:sz w:val="20"/>
          <w:szCs w:val="20"/>
          <w:lang w:val="tr-TR"/>
        </w:rPr>
        <w:t>working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substance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must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resemble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corporation</w:t>
      </w:r>
      <w:proofErr w:type="spellEnd"/>
      <w:r w:rsidRPr="009975EA">
        <w:rPr>
          <w:rFonts w:ascii="Times New Roman" w:hAnsi="Times New Roman" w:cs="Times New Roman"/>
          <w:color w:val="000000"/>
          <w:sz w:val="20"/>
          <w:szCs w:val="20"/>
          <w:lang w:val="tr-TR"/>
        </w:rPr>
        <w:t xml:space="preserve">.” (James </w:t>
      </w:r>
      <w:proofErr w:type="spellStart"/>
      <w:r w:rsidRPr="009975EA">
        <w:rPr>
          <w:rFonts w:ascii="Times New Roman" w:hAnsi="Times New Roman" w:cs="Times New Roman"/>
          <w:color w:val="000000"/>
          <w:sz w:val="20"/>
          <w:szCs w:val="20"/>
          <w:lang w:val="tr-TR"/>
        </w:rPr>
        <w:t>Willard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Hurst</w:t>
      </w:r>
      <w:proofErr w:type="spellEnd"/>
      <w:r w:rsidRPr="009975EA">
        <w:rPr>
          <w:rFonts w:ascii="Times New Roman" w:hAnsi="Times New Roman" w:cs="Times New Roman"/>
          <w:color w:val="000000"/>
          <w:sz w:val="20"/>
          <w:szCs w:val="20"/>
          <w:lang w:val="tr-TR"/>
        </w:rPr>
        <w:t xml:space="preserve">, </w:t>
      </w:r>
      <w:proofErr w:type="spellStart"/>
      <w:r w:rsidRPr="009C7957">
        <w:rPr>
          <w:rFonts w:ascii="Times New Roman" w:hAnsi="Times New Roman" w:cs="Times New Roman"/>
          <w:i/>
          <w:color w:val="000000"/>
          <w:sz w:val="20"/>
          <w:szCs w:val="20"/>
          <w:lang w:val="tr-TR"/>
        </w:rPr>
        <w:t>The</w:t>
      </w:r>
      <w:proofErr w:type="spellEnd"/>
      <w:r w:rsidRPr="009C7957">
        <w:rPr>
          <w:rFonts w:ascii="Times New Roman" w:hAnsi="Times New Roman" w:cs="Times New Roman"/>
          <w:i/>
          <w:color w:val="000000"/>
          <w:sz w:val="20"/>
          <w:szCs w:val="20"/>
          <w:lang w:val="tr-TR"/>
        </w:rPr>
        <w:t xml:space="preserve"> </w:t>
      </w:r>
      <w:proofErr w:type="spellStart"/>
      <w:r w:rsidRPr="009C7957">
        <w:rPr>
          <w:rFonts w:ascii="Times New Roman" w:hAnsi="Times New Roman" w:cs="Times New Roman"/>
          <w:i/>
          <w:color w:val="000000"/>
          <w:sz w:val="20"/>
          <w:szCs w:val="20"/>
          <w:lang w:val="tr-TR"/>
        </w:rPr>
        <w:t>Legitimacy</w:t>
      </w:r>
      <w:proofErr w:type="spellEnd"/>
      <w:r w:rsidRPr="009C7957">
        <w:rPr>
          <w:rFonts w:ascii="Times New Roman" w:hAnsi="Times New Roman" w:cs="Times New Roman"/>
          <w:i/>
          <w:color w:val="000000"/>
          <w:sz w:val="20"/>
          <w:szCs w:val="20"/>
          <w:lang w:val="tr-TR"/>
        </w:rPr>
        <w:t xml:space="preserve"> of </w:t>
      </w:r>
      <w:proofErr w:type="spellStart"/>
      <w:r w:rsidRPr="009C7957">
        <w:rPr>
          <w:rFonts w:ascii="Times New Roman" w:hAnsi="Times New Roman" w:cs="Times New Roman"/>
          <w:i/>
          <w:color w:val="000000"/>
          <w:sz w:val="20"/>
          <w:szCs w:val="20"/>
          <w:lang w:val="tr-TR"/>
        </w:rPr>
        <w:t>the</w:t>
      </w:r>
      <w:proofErr w:type="spellEnd"/>
      <w:r w:rsidRPr="009C7957">
        <w:rPr>
          <w:rFonts w:ascii="Times New Roman" w:hAnsi="Times New Roman" w:cs="Times New Roman"/>
          <w:i/>
          <w:color w:val="000000"/>
          <w:sz w:val="20"/>
          <w:szCs w:val="20"/>
          <w:lang w:val="tr-TR"/>
        </w:rPr>
        <w:t xml:space="preserve"> Business Corporation in </w:t>
      </w:r>
      <w:proofErr w:type="spellStart"/>
      <w:r w:rsidRPr="009C7957">
        <w:rPr>
          <w:rFonts w:ascii="Times New Roman" w:hAnsi="Times New Roman" w:cs="Times New Roman"/>
          <w:i/>
          <w:color w:val="000000"/>
          <w:sz w:val="20"/>
          <w:szCs w:val="20"/>
          <w:lang w:val="tr-TR"/>
        </w:rPr>
        <w:t>the</w:t>
      </w:r>
      <w:proofErr w:type="spellEnd"/>
      <w:r w:rsidRPr="009C7957">
        <w:rPr>
          <w:rFonts w:ascii="Times New Roman" w:hAnsi="Times New Roman" w:cs="Times New Roman"/>
          <w:i/>
          <w:color w:val="000000"/>
          <w:sz w:val="20"/>
          <w:szCs w:val="20"/>
          <w:lang w:val="tr-TR"/>
        </w:rPr>
        <w:t xml:space="preserve"> </w:t>
      </w:r>
      <w:proofErr w:type="spellStart"/>
      <w:r w:rsidRPr="009C7957">
        <w:rPr>
          <w:rFonts w:ascii="Times New Roman" w:hAnsi="Times New Roman" w:cs="Times New Roman"/>
          <w:i/>
          <w:color w:val="000000"/>
          <w:sz w:val="20"/>
          <w:szCs w:val="20"/>
          <w:lang w:val="tr-TR"/>
        </w:rPr>
        <w:t>Law</w:t>
      </w:r>
      <w:proofErr w:type="spellEnd"/>
      <w:r w:rsidRPr="009C7957">
        <w:rPr>
          <w:rFonts w:ascii="Times New Roman" w:hAnsi="Times New Roman" w:cs="Times New Roman"/>
          <w:i/>
          <w:color w:val="000000"/>
          <w:sz w:val="20"/>
          <w:szCs w:val="20"/>
          <w:lang w:val="tr-TR"/>
        </w:rPr>
        <w:t xml:space="preserve"> of </w:t>
      </w:r>
      <w:proofErr w:type="spellStart"/>
      <w:r w:rsidRPr="009C7957">
        <w:rPr>
          <w:rFonts w:ascii="Times New Roman" w:hAnsi="Times New Roman" w:cs="Times New Roman"/>
          <w:i/>
          <w:color w:val="000000"/>
          <w:sz w:val="20"/>
          <w:szCs w:val="20"/>
          <w:lang w:val="tr-TR"/>
        </w:rPr>
        <w:t>the</w:t>
      </w:r>
      <w:proofErr w:type="spellEnd"/>
      <w:r w:rsidRPr="009C7957">
        <w:rPr>
          <w:rFonts w:ascii="Times New Roman" w:hAnsi="Times New Roman" w:cs="Times New Roman"/>
          <w:i/>
          <w:color w:val="000000"/>
          <w:sz w:val="20"/>
          <w:szCs w:val="20"/>
          <w:lang w:val="tr-TR"/>
        </w:rPr>
        <w:t xml:space="preserve"> United </w:t>
      </w:r>
      <w:proofErr w:type="spellStart"/>
      <w:r w:rsidRPr="009C7957">
        <w:rPr>
          <w:rFonts w:ascii="Times New Roman" w:hAnsi="Times New Roman" w:cs="Times New Roman"/>
          <w:i/>
          <w:color w:val="000000"/>
          <w:sz w:val="20"/>
          <w:szCs w:val="20"/>
          <w:lang w:val="tr-TR"/>
        </w:rPr>
        <w:t>States</w:t>
      </w:r>
      <w:proofErr w:type="spellEnd"/>
      <w:r w:rsidRPr="009C7957">
        <w:rPr>
          <w:rFonts w:ascii="Times New Roman" w:hAnsi="Times New Roman" w:cs="Times New Roman"/>
          <w:i/>
          <w:color w:val="000000"/>
          <w:sz w:val="20"/>
          <w:szCs w:val="20"/>
          <w:lang w:val="tr-TR"/>
        </w:rPr>
        <w:t xml:space="preserve"> 1780-1970</w:t>
      </w:r>
      <w:r>
        <w:rPr>
          <w:rFonts w:ascii="Times New Roman" w:hAnsi="Times New Roman" w:cs="Times New Roman"/>
          <w:color w:val="000000"/>
          <w:sz w:val="20"/>
          <w:szCs w:val="20"/>
          <w:lang w:val="tr-TR"/>
        </w:rPr>
        <w:t xml:space="preserve"> 159- 160 </w:t>
      </w:r>
      <w:r w:rsidRPr="009975EA">
        <w:rPr>
          <w:rFonts w:ascii="Times New Roman" w:hAnsi="Times New Roman" w:cs="Times New Roman"/>
          <w:color w:val="000000"/>
          <w:sz w:val="20"/>
          <w:szCs w:val="20"/>
          <w:lang w:val="tr-TR"/>
        </w:rPr>
        <w:t>(1970)</w:t>
      </w:r>
      <w:r>
        <w:rPr>
          <w:rFonts w:ascii="Times New Roman" w:hAnsi="Times New Roman" w:cs="Times New Roman"/>
          <w:color w:val="000000"/>
          <w:sz w:val="20"/>
          <w:szCs w:val="20"/>
          <w:lang w:val="tr-TR"/>
        </w:rPr>
        <w:t>)</w:t>
      </w:r>
      <w:r w:rsidRPr="009975EA">
        <w:rPr>
          <w:rFonts w:ascii="Times New Roman" w:hAnsi="Times New Roman" w:cs="Times New Roman"/>
          <w:sz w:val="20"/>
          <w:szCs w:val="20"/>
        </w:rPr>
        <w:t>.</w:t>
      </w:r>
    </w:p>
  </w:footnote>
  <w:footnote w:id="42">
    <w:p w14:paraId="4BB325D7" w14:textId="26C9CFD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Luca </w:t>
      </w:r>
      <w:proofErr w:type="spellStart"/>
      <w:r w:rsidRPr="009975EA">
        <w:rPr>
          <w:rFonts w:ascii="Times New Roman" w:hAnsi="Times New Roman" w:cs="Times New Roman"/>
          <w:sz w:val="20"/>
          <w:szCs w:val="20"/>
        </w:rPr>
        <w:t>Enriques</w:t>
      </w:r>
      <w:proofErr w:type="spellEnd"/>
      <w:r w:rsidRPr="009975EA">
        <w:rPr>
          <w:rFonts w:ascii="Times New Roman" w:hAnsi="Times New Roman" w:cs="Times New Roman"/>
          <w:sz w:val="20"/>
          <w:szCs w:val="20"/>
        </w:rPr>
        <w:t xml:space="preserve">, </w:t>
      </w:r>
      <w:r w:rsidRPr="0063222A">
        <w:rPr>
          <w:rFonts w:ascii="Times New Roman" w:hAnsi="Times New Roman" w:cs="Times New Roman"/>
          <w:i/>
          <w:sz w:val="20"/>
          <w:szCs w:val="20"/>
        </w:rPr>
        <w:t>Book Review: The Comparative Anatomy of Corporate Law</w:t>
      </w:r>
      <w:r>
        <w:rPr>
          <w:rFonts w:ascii="Times New Roman" w:hAnsi="Times New Roman" w:cs="Times New Roman"/>
          <w:i/>
          <w:sz w:val="20"/>
          <w:szCs w:val="20"/>
        </w:rPr>
        <w:t xml:space="preserve"> </w:t>
      </w:r>
      <w:r w:rsidRPr="0063222A">
        <w:rPr>
          <w:rFonts w:ascii="Times New Roman" w:hAnsi="Times New Roman" w:cs="Times New Roman"/>
          <w:i/>
          <w:sz w:val="20"/>
          <w:szCs w:val="20"/>
        </w:rPr>
        <w:t>(2004),</w:t>
      </w:r>
      <w:r w:rsidRPr="009975EA">
        <w:rPr>
          <w:rFonts w:ascii="Times New Roman" w:hAnsi="Times New Roman" w:cs="Times New Roman"/>
          <w:sz w:val="20"/>
          <w:szCs w:val="20"/>
        </w:rPr>
        <w:t xml:space="preserve"> </w:t>
      </w:r>
      <w:hyperlink r:id="rId22" w:history="1">
        <w:r w:rsidRPr="009975EA">
          <w:rPr>
            <w:rStyle w:val="Kpr"/>
            <w:rFonts w:ascii="Times New Roman" w:hAnsi="Times New Roman" w:cs="Times New Roman"/>
            <w:sz w:val="20"/>
            <w:szCs w:val="20"/>
          </w:rPr>
          <w:t>http://papers.ssrn.com/sol3/papers.cfm?abstract_id=621142</w:t>
        </w:r>
      </w:hyperlink>
      <w:r>
        <w:rPr>
          <w:rFonts w:ascii="Times New Roman" w:hAnsi="Times New Roman" w:cs="Times New Roman"/>
          <w:sz w:val="20"/>
          <w:szCs w:val="20"/>
        </w:rPr>
        <w:t xml:space="preserve">, at </w:t>
      </w:r>
      <w:r w:rsidRPr="009975EA">
        <w:rPr>
          <w:rFonts w:ascii="Times New Roman" w:hAnsi="Times New Roman" w:cs="Times New Roman"/>
          <w:sz w:val="20"/>
          <w:szCs w:val="20"/>
        </w:rPr>
        <w:t>24.</w:t>
      </w:r>
    </w:p>
  </w:footnote>
  <w:footnote w:id="43">
    <w:p w14:paraId="112E8D17" w14:textId="1E9FECB9" w:rsidR="008620ED" w:rsidRPr="004A739B" w:rsidRDefault="008620ED" w:rsidP="004A739B">
      <w:pPr>
        <w:pStyle w:val="DipnotMetni"/>
        <w:jc w:val="both"/>
        <w:rPr>
          <w:rFonts w:ascii="Times New Roman" w:hAnsi="Times New Roman" w:cs="Times New Roman"/>
          <w:sz w:val="20"/>
          <w:szCs w:val="20"/>
          <w:lang w:val="tr-TR"/>
        </w:rPr>
      </w:pPr>
      <w:r w:rsidRPr="004A739B">
        <w:rPr>
          <w:rStyle w:val="DipnotBavurusu"/>
          <w:rFonts w:ascii="Times New Roman" w:hAnsi="Times New Roman" w:cs="Times New Roman"/>
          <w:sz w:val="20"/>
          <w:szCs w:val="20"/>
        </w:rPr>
        <w:footnoteRef/>
      </w:r>
      <w:r w:rsidRPr="004A739B">
        <w:rPr>
          <w:rFonts w:ascii="Times New Roman" w:hAnsi="Times New Roman" w:cs="Times New Roman"/>
          <w:sz w:val="20"/>
          <w:szCs w:val="20"/>
        </w:rPr>
        <w:t xml:space="preserve"> Although not evaluated in the context of “non- pecuniary benefits”, scholars started to discuss alternative measures (e.g., corporate waste doctrine, fiduciary duties) which can control the political contributions made by corporations in U.S. after the Citizens United v. FEC 588 U.S. 310 (2010) decision(</w:t>
      </w:r>
      <w:r w:rsidRPr="008620ED">
        <w:rPr>
          <w:rFonts w:ascii="Times New Roman" w:hAnsi="Times New Roman" w:cs="Times New Roman"/>
          <w:sz w:val="20"/>
          <w:szCs w:val="20"/>
        </w:rPr>
        <w:t xml:space="preserve">See, Jonathan </w:t>
      </w:r>
      <w:proofErr w:type="spellStart"/>
      <w:r w:rsidRPr="008620ED">
        <w:rPr>
          <w:rFonts w:ascii="Times New Roman" w:hAnsi="Times New Roman" w:cs="Times New Roman"/>
          <w:sz w:val="20"/>
          <w:szCs w:val="20"/>
        </w:rPr>
        <w:t>Romiti</w:t>
      </w:r>
      <w:proofErr w:type="spellEnd"/>
      <w:r w:rsidRPr="008620ED">
        <w:rPr>
          <w:rFonts w:ascii="Times New Roman" w:hAnsi="Times New Roman" w:cs="Times New Roman"/>
          <w:sz w:val="20"/>
          <w:szCs w:val="20"/>
        </w:rPr>
        <w:t xml:space="preserve">, </w:t>
      </w:r>
      <w:r w:rsidRPr="008620ED">
        <w:rPr>
          <w:rFonts w:ascii="Times New Roman" w:hAnsi="Times New Roman" w:cs="Times New Roman"/>
          <w:i/>
          <w:sz w:val="20"/>
          <w:szCs w:val="20"/>
        </w:rPr>
        <w:t xml:space="preserve">Playing Politics with Shareholder Value: The Case for Applying Fiduciary Law to Corporate Political Donations </w:t>
      </w:r>
      <w:proofErr w:type="spellStart"/>
      <w:r w:rsidRPr="008620ED">
        <w:rPr>
          <w:rFonts w:ascii="Times New Roman" w:hAnsi="Times New Roman" w:cs="Times New Roman"/>
          <w:i/>
          <w:sz w:val="20"/>
          <w:szCs w:val="20"/>
        </w:rPr>
        <w:t>Potst</w:t>
      </w:r>
      <w:proofErr w:type="spellEnd"/>
      <w:r w:rsidRPr="008620ED">
        <w:rPr>
          <w:rFonts w:ascii="Times New Roman" w:hAnsi="Times New Roman" w:cs="Times New Roman"/>
          <w:i/>
          <w:sz w:val="20"/>
          <w:szCs w:val="20"/>
        </w:rPr>
        <w:t>- Citizens United</w:t>
      </w:r>
      <w:r w:rsidRPr="008620ED">
        <w:rPr>
          <w:rFonts w:ascii="Times New Roman" w:hAnsi="Times New Roman" w:cs="Times New Roman"/>
          <w:sz w:val="20"/>
          <w:szCs w:val="20"/>
        </w:rPr>
        <w:t xml:space="preserve">, 53 B.C.L. Rev. 737 (2012); Joseph K. Leahy, </w:t>
      </w:r>
      <w:r w:rsidRPr="008620ED">
        <w:rPr>
          <w:rFonts w:ascii="Times New Roman" w:hAnsi="Times New Roman" w:cs="Times New Roman"/>
          <w:i/>
          <w:sz w:val="20"/>
          <w:szCs w:val="20"/>
        </w:rPr>
        <w:t>Are Corporate Super Pac Contributions Waste or Self- Dealing? A Closer Look,</w:t>
      </w:r>
      <w:r w:rsidRPr="008620ED">
        <w:rPr>
          <w:rFonts w:ascii="Times New Roman" w:hAnsi="Times New Roman" w:cs="Times New Roman"/>
          <w:sz w:val="20"/>
          <w:szCs w:val="20"/>
        </w:rPr>
        <w:t xml:space="preserve"> 79 Mo. L. Rev. 283); Joseph K. Leahy, </w:t>
      </w:r>
      <w:r w:rsidRPr="008620ED">
        <w:rPr>
          <w:rFonts w:ascii="Times New Roman" w:hAnsi="Times New Roman" w:cs="Times New Roman"/>
          <w:i/>
          <w:sz w:val="20"/>
          <w:szCs w:val="20"/>
        </w:rPr>
        <w:t>Corporate Political Contributions as Bad Faith</w:t>
      </w:r>
      <w:r w:rsidRPr="008620ED">
        <w:rPr>
          <w:rFonts w:ascii="Times New Roman" w:hAnsi="Times New Roman" w:cs="Times New Roman"/>
          <w:sz w:val="20"/>
          <w:szCs w:val="20"/>
        </w:rPr>
        <w:t>, 86 U. Colo. L. Rev. 477 (2015).</w:t>
      </w:r>
      <w:r w:rsidRPr="004A739B">
        <w:rPr>
          <w:rFonts w:ascii="Times New Roman" w:hAnsi="Times New Roman" w:cs="Times New Roman"/>
          <w:sz w:val="20"/>
          <w:szCs w:val="20"/>
        </w:rPr>
        <w:t>).</w:t>
      </w:r>
    </w:p>
  </w:footnote>
  <w:footnote w:id="44">
    <w:p w14:paraId="1CE42E0F" w14:textId="6E5E46BF" w:rsidR="00521945" w:rsidRPr="009975EA" w:rsidRDefault="00521945" w:rsidP="00521945">
      <w:pPr>
        <w:jc w:val="both"/>
        <w:rPr>
          <w:rFonts w:ascii="Times New Roman" w:hAnsi="Times New Roman" w:cs="Times New Roman"/>
          <w:sz w:val="20"/>
          <w:szCs w:val="20"/>
        </w:rPr>
      </w:pPr>
      <w:r w:rsidRPr="00521945">
        <w:rPr>
          <w:rStyle w:val="DipnotBavurusu"/>
          <w:rFonts w:ascii="Times New Roman" w:hAnsi="Times New Roman" w:cs="Times New Roman"/>
          <w:sz w:val="20"/>
          <w:szCs w:val="20"/>
        </w:rPr>
        <w:footnoteRef/>
      </w:r>
      <w:r w:rsidRPr="00521945">
        <w:rPr>
          <w:rFonts w:ascii="Times New Roman" w:hAnsi="Times New Roman" w:cs="Times New Roman"/>
          <w:sz w:val="20"/>
          <w:szCs w:val="20"/>
        </w:rPr>
        <w:t xml:space="preserve"> </w:t>
      </w:r>
      <w:proofErr w:type="spellStart"/>
      <w:r w:rsidRPr="00521945">
        <w:rPr>
          <w:rFonts w:ascii="Times New Roman" w:hAnsi="Times New Roman" w:cs="Times New Roman"/>
          <w:sz w:val="20"/>
          <w:szCs w:val="20"/>
        </w:rPr>
        <w:t>Rafael</w:t>
      </w:r>
      <w:proofErr w:type="spellEnd"/>
      <w:r w:rsidRPr="00521945">
        <w:rPr>
          <w:rFonts w:ascii="Times New Roman" w:hAnsi="Times New Roman" w:cs="Times New Roman"/>
          <w:sz w:val="20"/>
          <w:szCs w:val="20"/>
        </w:rPr>
        <w:t xml:space="preserve"> La Porta, </w:t>
      </w:r>
      <w:proofErr w:type="spellStart"/>
      <w:r w:rsidRPr="00521945">
        <w:rPr>
          <w:rFonts w:ascii="Times New Roman" w:hAnsi="Times New Roman" w:cs="Times New Roman"/>
          <w:sz w:val="20"/>
          <w:szCs w:val="20"/>
        </w:rPr>
        <w:t>Florencio</w:t>
      </w:r>
      <w:proofErr w:type="spellEnd"/>
      <w:r w:rsidRPr="00521945">
        <w:rPr>
          <w:rFonts w:ascii="Times New Roman" w:hAnsi="Times New Roman" w:cs="Times New Roman"/>
          <w:sz w:val="20"/>
          <w:szCs w:val="20"/>
        </w:rPr>
        <w:t xml:space="preserve"> Lopez-de-</w:t>
      </w:r>
      <w:proofErr w:type="spellStart"/>
      <w:r w:rsidRPr="00521945">
        <w:rPr>
          <w:rFonts w:ascii="Times New Roman" w:hAnsi="Times New Roman" w:cs="Times New Roman"/>
          <w:sz w:val="20"/>
          <w:szCs w:val="20"/>
        </w:rPr>
        <w:t>Silanes</w:t>
      </w:r>
      <w:proofErr w:type="spellEnd"/>
      <w:r w:rsidRPr="00521945">
        <w:rPr>
          <w:rFonts w:ascii="Times New Roman" w:hAnsi="Times New Roman" w:cs="Times New Roman"/>
          <w:sz w:val="20"/>
          <w:szCs w:val="20"/>
        </w:rPr>
        <w:t xml:space="preserve">, </w:t>
      </w:r>
      <w:proofErr w:type="spellStart"/>
      <w:r w:rsidRPr="00521945">
        <w:rPr>
          <w:rFonts w:ascii="Times New Roman" w:hAnsi="Times New Roman" w:cs="Times New Roman"/>
          <w:sz w:val="20"/>
          <w:szCs w:val="20"/>
        </w:rPr>
        <w:t>Andrei</w:t>
      </w:r>
      <w:proofErr w:type="spellEnd"/>
      <w:r w:rsidRPr="00521945">
        <w:rPr>
          <w:rFonts w:ascii="Times New Roman" w:hAnsi="Times New Roman" w:cs="Times New Roman"/>
          <w:sz w:val="20"/>
          <w:szCs w:val="20"/>
        </w:rPr>
        <w:t xml:space="preserve"> </w:t>
      </w:r>
      <w:proofErr w:type="spellStart"/>
      <w:r w:rsidRPr="00521945">
        <w:rPr>
          <w:rFonts w:ascii="Times New Roman" w:hAnsi="Times New Roman" w:cs="Times New Roman"/>
          <w:sz w:val="20"/>
          <w:szCs w:val="20"/>
        </w:rPr>
        <w:t>Shleifer</w:t>
      </w:r>
      <w:proofErr w:type="spellEnd"/>
      <w:r w:rsidRPr="00521945">
        <w:rPr>
          <w:rFonts w:ascii="Times New Roman" w:hAnsi="Times New Roman" w:cs="Times New Roman"/>
          <w:sz w:val="20"/>
          <w:szCs w:val="20"/>
        </w:rPr>
        <w:t xml:space="preserve">, </w:t>
      </w:r>
      <w:proofErr w:type="spellStart"/>
      <w:r w:rsidRPr="00521945">
        <w:rPr>
          <w:rFonts w:ascii="Times New Roman" w:hAnsi="Times New Roman" w:cs="Times New Roman"/>
          <w:i/>
          <w:sz w:val="20"/>
          <w:szCs w:val="20"/>
        </w:rPr>
        <w:t>The</w:t>
      </w:r>
      <w:proofErr w:type="spellEnd"/>
      <w:r w:rsidRPr="00521945">
        <w:rPr>
          <w:rFonts w:ascii="Times New Roman" w:hAnsi="Times New Roman" w:cs="Times New Roman"/>
          <w:i/>
          <w:sz w:val="20"/>
          <w:szCs w:val="20"/>
        </w:rPr>
        <w:t xml:space="preserve"> </w:t>
      </w:r>
      <w:proofErr w:type="spellStart"/>
      <w:r w:rsidRPr="00521945">
        <w:rPr>
          <w:rFonts w:ascii="Times New Roman" w:hAnsi="Times New Roman" w:cs="Times New Roman"/>
          <w:i/>
          <w:sz w:val="20"/>
          <w:szCs w:val="20"/>
        </w:rPr>
        <w:t>Economic</w:t>
      </w:r>
      <w:proofErr w:type="spellEnd"/>
      <w:r w:rsidRPr="00521945">
        <w:rPr>
          <w:rFonts w:ascii="Times New Roman" w:hAnsi="Times New Roman" w:cs="Times New Roman"/>
          <w:i/>
          <w:sz w:val="20"/>
          <w:szCs w:val="20"/>
        </w:rPr>
        <w:t xml:space="preserve"> </w:t>
      </w:r>
      <w:proofErr w:type="spellStart"/>
      <w:r w:rsidRPr="00521945">
        <w:rPr>
          <w:rFonts w:ascii="Times New Roman" w:hAnsi="Times New Roman" w:cs="Times New Roman"/>
          <w:i/>
          <w:sz w:val="20"/>
          <w:szCs w:val="20"/>
        </w:rPr>
        <w:t>Consequences</w:t>
      </w:r>
      <w:proofErr w:type="spellEnd"/>
      <w:r w:rsidRPr="00521945">
        <w:rPr>
          <w:rFonts w:ascii="Times New Roman" w:hAnsi="Times New Roman" w:cs="Times New Roman"/>
          <w:i/>
          <w:sz w:val="20"/>
          <w:szCs w:val="20"/>
        </w:rPr>
        <w:t xml:space="preserve"> of Legal </w:t>
      </w:r>
      <w:proofErr w:type="spellStart"/>
      <w:r w:rsidRPr="00521945">
        <w:rPr>
          <w:rFonts w:ascii="Times New Roman" w:hAnsi="Times New Roman" w:cs="Times New Roman"/>
          <w:i/>
          <w:sz w:val="20"/>
          <w:szCs w:val="20"/>
        </w:rPr>
        <w:t>Origins</w:t>
      </w:r>
      <w:proofErr w:type="spellEnd"/>
      <w:r w:rsidRPr="00521945">
        <w:rPr>
          <w:rFonts w:ascii="Times New Roman" w:hAnsi="Times New Roman" w:cs="Times New Roman"/>
          <w:i/>
          <w:sz w:val="20"/>
          <w:szCs w:val="20"/>
        </w:rPr>
        <w:t xml:space="preserve"> </w:t>
      </w:r>
      <w:proofErr w:type="spellStart"/>
      <w:r w:rsidRPr="00521945">
        <w:rPr>
          <w:rFonts w:ascii="Times New Roman" w:hAnsi="Times New Roman" w:cs="Times New Roman"/>
          <w:i/>
          <w:sz w:val="20"/>
          <w:szCs w:val="20"/>
        </w:rPr>
        <w:t>Journal</w:t>
      </w:r>
      <w:proofErr w:type="spellEnd"/>
      <w:r w:rsidRPr="00521945">
        <w:rPr>
          <w:rFonts w:ascii="Times New Roman" w:hAnsi="Times New Roman" w:cs="Times New Roman"/>
          <w:i/>
          <w:sz w:val="20"/>
          <w:szCs w:val="20"/>
        </w:rPr>
        <w:t xml:space="preserve"> of </w:t>
      </w:r>
      <w:proofErr w:type="spellStart"/>
      <w:r w:rsidRPr="00521945">
        <w:rPr>
          <w:rFonts w:ascii="Times New Roman" w:hAnsi="Times New Roman" w:cs="Times New Roman"/>
          <w:i/>
          <w:sz w:val="20"/>
          <w:szCs w:val="20"/>
        </w:rPr>
        <w:t>Economic</w:t>
      </w:r>
      <w:proofErr w:type="spellEnd"/>
      <w:r w:rsidRPr="00521945">
        <w:rPr>
          <w:rFonts w:ascii="Times New Roman" w:hAnsi="Times New Roman" w:cs="Times New Roman"/>
          <w:i/>
          <w:sz w:val="20"/>
          <w:szCs w:val="20"/>
        </w:rPr>
        <w:t xml:space="preserve"> </w:t>
      </w:r>
      <w:proofErr w:type="spellStart"/>
      <w:r w:rsidRPr="00521945">
        <w:rPr>
          <w:rFonts w:ascii="Times New Roman" w:hAnsi="Times New Roman" w:cs="Times New Roman"/>
          <w:i/>
          <w:sz w:val="20"/>
          <w:szCs w:val="20"/>
        </w:rPr>
        <w:t>Literature</w:t>
      </w:r>
      <w:proofErr w:type="spellEnd"/>
      <w:r w:rsidRPr="00521945">
        <w:rPr>
          <w:rFonts w:ascii="Times New Roman" w:hAnsi="Times New Roman" w:cs="Times New Roman"/>
          <w:sz w:val="20"/>
          <w:szCs w:val="20"/>
        </w:rPr>
        <w:t xml:space="preserve">, </w:t>
      </w:r>
      <w:proofErr w:type="spellStart"/>
      <w:r w:rsidRPr="00521945">
        <w:rPr>
          <w:rFonts w:ascii="Times New Roman" w:hAnsi="Times New Roman" w:cs="Times New Roman"/>
          <w:sz w:val="20"/>
          <w:szCs w:val="20"/>
        </w:rPr>
        <w:t>Vol</w:t>
      </w:r>
      <w:proofErr w:type="spellEnd"/>
      <w:r w:rsidRPr="00521945">
        <w:rPr>
          <w:rFonts w:ascii="Times New Roman" w:hAnsi="Times New Roman" w:cs="Times New Roman"/>
          <w:sz w:val="20"/>
          <w:szCs w:val="20"/>
        </w:rPr>
        <w:t>. XLVI (</w:t>
      </w:r>
      <w:proofErr w:type="spellStart"/>
      <w:r w:rsidRPr="00521945">
        <w:rPr>
          <w:rFonts w:ascii="Times New Roman" w:hAnsi="Times New Roman" w:cs="Times New Roman"/>
          <w:sz w:val="20"/>
          <w:szCs w:val="20"/>
        </w:rPr>
        <w:t>June</w:t>
      </w:r>
      <w:proofErr w:type="spellEnd"/>
      <w:r w:rsidRPr="00521945">
        <w:rPr>
          <w:rFonts w:ascii="Times New Roman" w:hAnsi="Times New Roman" w:cs="Times New Roman"/>
          <w:sz w:val="20"/>
          <w:szCs w:val="20"/>
        </w:rPr>
        <w:t xml:space="preserve"> 2008) </w:t>
      </w:r>
      <w:r w:rsidR="007F6B41">
        <w:rPr>
          <w:rFonts w:ascii="Times New Roman" w:hAnsi="Times New Roman" w:cs="Times New Roman"/>
          <w:sz w:val="20"/>
          <w:szCs w:val="20"/>
        </w:rPr>
        <w:t>p.</w:t>
      </w:r>
      <w:r w:rsidRPr="00521945">
        <w:rPr>
          <w:rFonts w:ascii="Times New Roman" w:hAnsi="Times New Roman" w:cs="Times New Roman"/>
          <w:sz w:val="20"/>
          <w:szCs w:val="20"/>
        </w:rPr>
        <w:t xml:space="preserve"> 327.</w:t>
      </w:r>
      <w:r w:rsidRPr="00D902ED">
        <w:rPr>
          <w:rFonts w:ascii="Times New Roman" w:hAnsi="Times New Roman" w:cs="Times New Roman"/>
          <w:sz w:val="20"/>
          <w:szCs w:val="20"/>
        </w:rPr>
        <w:t xml:space="preserve"> As IOSCO </w:t>
      </w:r>
      <w:proofErr w:type="spellStart"/>
      <w:r w:rsidRPr="00D902ED">
        <w:rPr>
          <w:rFonts w:ascii="Times New Roman" w:hAnsi="Times New Roman" w:cs="Times New Roman"/>
          <w:sz w:val="20"/>
          <w:szCs w:val="20"/>
        </w:rPr>
        <w:t>stated</w:t>
      </w:r>
      <w:proofErr w:type="spellEnd"/>
      <w:r w:rsidRPr="00D902ED">
        <w:rPr>
          <w:rFonts w:ascii="Times New Roman" w:hAnsi="Times New Roman" w:cs="Times New Roman"/>
          <w:sz w:val="20"/>
          <w:szCs w:val="20"/>
        </w:rPr>
        <w:t xml:space="preserve">, global market </w:t>
      </w:r>
      <w:proofErr w:type="spellStart"/>
      <w:r w:rsidRPr="00D902ED">
        <w:rPr>
          <w:rFonts w:ascii="Times New Roman" w:hAnsi="Times New Roman" w:cs="Times New Roman"/>
          <w:sz w:val="20"/>
          <w:szCs w:val="20"/>
        </w:rPr>
        <w:t>place</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brings</w:t>
      </w:r>
      <w:proofErr w:type="spellEnd"/>
      <w:r w:rsidRPr="00D902ED">
        <w:rPr>
          <w:rFonts w:ascii="Times New Roman" w:hAnsi="Times New Roman" w:cs="Times New Roman"/>
          <w:sz w:val="20"/>
          <w:szCs w:val="20"/>
        </w:rPr>
        <w:t xml:space="preserve"> an </w:t>
      </w:r>
      <w:proofErr w:type="spellStart"/>
      <w:r w:rsidRPr="00D902ED">
        <w:rPr>
          <w:rFonts w:ascii="Times New Roman" w:hAnsi="Times New Roman" w:cs="Times New Roman"/>
          <w:sz w:val="20"/>
          <w:szCs w:val="20"/>
        </w:rPr>
        <w:t>increasing</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interdependence</w:t>
      </w:r>
      <w:proofErr w:type="spellEnd"/>
      <w:r w:rsidRPr="00D902ED">
        <w:rPr>
          <w:rFonts w:ascii="Times New Roman" w:hAnsi="Times New Roman" w:cs="Times New Roman"/>
          <w:sz w:val="20"/>
          <w:szCs w:val="20"/>
        </w:rPr>
        <w:t xml:space="preserve"> of </w:t>
      </w:r>
      <w:proofErr w:type="spellStart"/>
      <w:r w:rsidRPr="00D902ED">
        <w:rPr>
          <w:rFonts w:ascii="Times New Roman" w:hAnsi="Times New Roman" w:cs="Times New Roman"/>
          <w:sz w:val="20"/>
          <w:szCs w:val="20"/>
        </w:rPr>
        <w:t>regulators</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and</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the</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linkage</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among</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regulators</w:t>
      </w:r>
      <w:proofErr w:type="spellEnd"/>
      <w:r w:rsidRPr="00D902ED">
        <w:rPr>
          <w:rFonts w:ascii="Times New Roman" w:hAnsi="Times New Roman" w:cs="Times New Roman"/>
          <w:sz w:val="20"/>
          <w:szCs w:val="20"/>
        </w:rPr>
        <w:t xml:space="preserve"> can be “</w:t>
      </w:r>
      <w:proofErr w:type="spellStart"/>
      <w:r w:rsidRPr="00D902ED">
        <w:rPr>
          <w:rFonts w:ascii="Times New Roman" w:hAnsi="Times New Roman" w:cs="Times New Roman"/>
          <w:sz w:val="20"/>
          <w:szCs w:val="20"/>
        </w:rPr>
        <w:t>assisted</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by</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the</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development</w:t>
      </w:r>
      <w:proofErr w:type="spellEnd"/>
      <w:r w:rsidRPr="00D902ED">
        <w:rPr>
          <w:rFonts w:ascii="Times New Roman" w:hAnsi="Times New Roman" w:cs="Times New Roman"/>
          <w:sz w:val="20"/>
          <w:szCs w:val="20"/>
        </w:rPr>
        <w:t xml:space="preserve"> of a </w:t>
      </w:r>
      <w:proofErr w:type="spellStart"/>
      <w:r w:rsidRPr="00D902ED">
        <w:rPr>
          <w:rFonts w:ascii="Times New Roman" w:hAnsi="Times New Roman" w:cs="Times New Roman"/>
          <w:sz w:val="20"/>
          <w:szCs w:val="20"/>
        </w:rPr>
        <w:t>common</w:t>
      </w:r>
      <w:proofErr w:type="spellEnd"/>
      <w:r w:rsidRPr="00D902ED">
        <w:rPr>
          <w:rFonts w:ascii="Times New Roman" w:hAnsi="Times New Roman" w:cs="Times New Roman"/>
          <w:sz w:val="20"/>
          <w:szCs w:val="20"/>
        </w:rPr>
        <w:t xml:space="preserve"> set of </w:t>
      </w:r>
      <w:proofErr w:type="spellStart"/>
      <w:r w:rsidRPr="00D902ED">
        <w:rPr>
          <w:rFonts w:ascii="Times New Roman" w:hAnsi="Times New Roman" w:cs="Times New Roman"/>
          <w:sz w:val="20"/>
          <w:szCs w:val="20"/>
        </w:rPr>
        <w:t>guiding</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principles</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and</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shared</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regulatory</w:t>
      </w:r>
      <w:proofErr w:type="spellEnd"/>
      <w:r w:rsidRPr="00D902ED">
        <w:rPr>
          <w:rFonts w:ascii="Times New Roman" w:hAnsi="Times New Roman" w:cs="Times New Roman"/>
          <w:sz w:val="20"/>
          <w:szCs w:val="20"/>
        </w:rPr>
        <w:t xml:space="preserve"> </w:t>
      </w:r>
      <w:proofErr w:type="spellStart"/>
      <w:r w:rsidRPr="00D902ED">
        <w:rPr>
          <w:rFonts w:ascii="Times New Roman" w:hAnsi="Times New Roman" w:cs="Times New Roman"/>
          <w:sz w:val="20"/>
          <w:szCs w:val="20"/>
        </w:rPr>
        <w:t>objectives</w:t>
      </w:r>
      <w:proofErr w:type="spellEnd"/>
      <w:r w:rsidRPr="00D902ED">
        <w:rPr>
          <w:rFonts w:ascii="Times New Roman" w:hAnsi="Times New Roman" w:cs="Times New Roman"/>
          <w:sz w:val="20"/>
          <w:szCs w:val="20"/>
        </w:rPr>
        <w:t>” (</w:t>
      </w:r>
      <w:proofErr w:type="spellStart"/>
      <w:r w:rsidRPr="00521945">
        <w:rPr>
          <w:rFonts w:ascii="Times New Roman" w:hAnsi="Times New Roman" w:cs="Times New Roman"/>
          <w:sz w:val="20"/>
          <w:szCs w:val="20"/>
        </w:rPr>
        <w:t>Objectives</w:t>
      </w:r>
      <w:proofErr w:type="spellEnd"/>
      <w:r w:rsidRPr="00521945">
        <w:rPr>
          <w:rFonts w:ascii="Times New Roman" w:hAnsi="Times New Roman" w:cs="Times New Roman"/>
          <w:sz w:val="20"/>
          <w:szCs w:val="20"/>
        </w:rPr>
        <w:t xml:space="preserve"> </w:t>
      </w:r>
      <w:proofErr w:type="spellStart"/>
      <w:r w:rsidRPr="00521945">
        <w:rPr>
          <w:rFonts w:ascii="Times New Roman" w:hAnsi="Times New Roman" w:cs="Times New Roman"/>
          <w:sz w:val="20"/>
          <w:szCs w:val="20"/>
        </w:rPr>
        <w:t>and</w:t>
      </w:r>
      <w:proofErr w:type="spellEnd"/>
      <w:r w:rsidRPr="00521945">
        <w:rPr>
          <w:rFonts w:ascii="Times New Roman" w:hAnsi="Times New Roman" w:cs="Times New Roman"/>
          <w:sz w:val="20"/>
          <w:szCs w:val="20"/>
        </w:rPr>
        <w:t xml:space="preserve"> </w:t>
      </w:r>
      <w:proofErr w:type="spellStart"/>
      <w:r w:rsidRPr="00521945">
        <w:rPr>
          <w:rFonts w:ascii="Times New Roman" w:hAnsi="Times New Roman" w:cs="Times New Roman"/>
          <w:sz w:val="20"/>
          <w:szCs w:val="20"/>
        </w:rPr>
        <w:t>Principles</w:t>
      </w:r>
      <w:proofErr w:type="spellEnd"/>
      <w:r w:rsidRPr="00521945">
        <w:rPr>
          <w:rFonts w:ascii="Times New Roman" w:hAnsi="Times New Roman" w:cs="Times New Roman"/>
          <w:sz w:val="20"/>
          <w:szCs w:val="20"/>
        </w:rPr>
        <w:t xml:space="preserve"> of </w:t>
      </w:r>
      <w:proofErr w:type="spellStart"/>
      <w:r w:rsidRPr="00521945">
        <w:rPr>
          <w:rFonts w:ascii="Times New Roman" w:hAnsi="Times New Roman" w:cs="Times New Roman"/>
          <w:sz w:val="20"/>
          <w:szCs w:val="20"/>
        </w:rPr>
        <w:t>Securities</w:t>
      </w:r>
      <w:proofErr w:type="spellEnd"/>
      <w:r w:rsidRPr="00521945">
        <w:rPr>
          <w:rFonts w:ascii="Times New Roman" w:hAnsi="Times New Roman" w:cs="Times New Roman"/>
          <w:sz w:val="20"/>
          <w:szCs w:val="20"/>
        </w:rPr>
        <w:t xml:space="preserve"> </w:t>
      </w:r>
      <w:proofErr w:type="spellStart"/>
      <w:r w:rsidRPr="00521945">
        <w:rPr>
          <w:rFonts w:ascii="Times New Roman" w:hAnsi="Times New Roman" w:cs="Times New Roman"/>
          <w:sz w:val="20"/>
          <w:szCs w:val="20"/>
        </w:rPr>
        <w:t>Regulation</w:t>
      </w:r>
      <w:proofErr w:type="spellEnd"/>
      <w:r w:rsidRPr="00521945">
        <w:rPr>
          <w:rFonts w:ascii="Times New Roman" w:hAnsi="Times New Roman" w:cs="Times New Roman"/>
          <w:sz w:val="20"/>
          <w:szCs w:val="20"/>
        </w:rPr>
        <w:t>, p. 2</w:t>
      </w:r>
      <w:r w:rsidRPr="00D902ED">
        <w:rPr>
          <w:rFonts w:ascii="Times New Roman" w:hAnsi="Times New Roman" w:cs="Times New Roman"/>
          <w:sz w:val="20"/>
          <w:szCs w:val="20"/>
        </w:rPr>
        <w:t>).</w:t>
      </w:r>
      <w:r w:rsidRPr="00705170">
        <w:rPr>
          <w:rFonts w:ascii="Times New Roman" w:hAnsi="Times New Roman" w:cs="Times New Roman"/>
        </w:rPr>
        <w:t xml:space="preserve"> </w:t>
      </w:r>
      <w:r w:rsidRPr="00705170">
        <w:rPr>
          <w:rFonts w:ascii="Times New Roman" w:hAnsi="Times New Roman" w:cs="Times New Roman"/>
          <w:b/>
        </w:rPr>
        <w:t xml:space="preserve"> </w:t>
      </w:r>
    </w:p>
  </w:footnote>
  <w:footnote w:id="45">
    <w:p w14:paraId="7BAD45E0" w14:textId="30426A6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Note that while the law itself may not foresee or ban it, the fact that the society foresees and condemns an extraction can destroy people’s incentives to extract and prevent such extraction (“</w:t>
      </w:r>
      <w:proofErr w:type="spellStart"/>
      <w:r w:rsidRPr="009975EA">
        <w:rPr>
          <w:rFonts w:ascii="Times New Roman" w:hAnsi="Times New Roman" w:cs="Times New Roman"/>
          <w:color w:val="000000"/>
          <w:sz w:val="20"/>
          <w:szCs w:val="20"/>
          <w:lang w:val="tr-TR"/>
        </w:rPr>
        <w:t>Assuming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correct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characterizations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attitudes</w:t>
      </w:r>
      <w:proofErr w:type="spellEnd"/>
      <w:r w:rsidRPr="009975EA">
        <w:rPr>
          <w:rFonts w:ascii="Times New Roman" w:hAnsi="Times New Roman" w:cs="Times New Roman"/>
          <w:color w:val="000000"/>
          <w:sz w:val="20"/>
          <w:szCs w:val="20"/>
          <w:lang w:val="tr-TR"/>
        </w:rPr>
        <w:t xml:space="preserve"> in Britain, </w:t>
      </w:r>
      <w:proofErr w:type="spellStart"/>
      <w:r w:rsidRPr="009975EA">
        <w:rPr>
          <w:rFonts w:ascii="Times New Roman" w:hAnsi="Times New Roman" w:cs="Times New Roman"/>
          <w:color w:val="000000"/>
          <w:sz w:val="20"/>
          <w:szCs w:val="20"/>
          <w:lang w:val="tr-TR"/>
        </w:rPr>
        <w:t>proprietors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successfull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business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would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have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often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lacked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potent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non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pecuniary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incentives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retain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control</w:t>
      </w:r>
      <w:proofErr w:type="spellEnd"/>
      <w:r w:rsidRPr="009975EA">
        <w:rPr>
          <w:rFonts w:ascii="Times New Roman" w:hAnsi="Times New Roman" w:cs="Times New Roman"/>
          <w:color w:val="000000"/>
          <w:sz w:val="20"/>
          <w:szCs w:val="20"/>
          <w:lang w:val="tr-TR"/>
        </w:rPr>
        <w:t>” (</w:t>
      </w:r>
      <w:proofErr w:type="spellStart"/>
      <w:r w:rsidRPr="009975EA">
        <w:rPr>
          <w:rFonts w:ascii="Times New Roman" w:hAnsi="Times New Roman" w:cs="Times New Roman"/>
          <w:color w:val="000000"/>
          <w:sz w:val="20"/>
          <w:szCs w:val="20"/>
          <w:lang w:val="tr-TR"/>
        </w:rPr>
        <w:t>Brian</w:t>
      </w:r>
      <w:proofErr w:type="spellEnd"/>
      <w:r w:rsidRPr="009975EA">
        <w:rPr>
          <w:rFonts w:ascii="Times New Roman" w:hAnsi="Times New Roman" w:cs="Times New Roman"/>
          <w:color w:val="000000"/>
          <w:sz w:val="20"/>
          <w:szCs w:val="20"/>
          <w:lang w:val="tr-TR"/>
        </w:rPr>
        <w:t xml:space="preserve"> R. </w:t>
      </w:r>
      <w:proofErr w:type="spellStart"/>
      <w:r w:rsidRPr="009975EA">
        <w:rPr>
          <w:rFonts w:ascii="Times New Roman" w:hAnsi="Times New Roman" w:cs="Times New Roman"/>
          <w:color w:val="000000"/>
          <w:sz w:val="20"/>
          <w:szCs w:val="20"/>
          <w:lang w:val="tr-TR"/>
        </w:rPr>
        <w:t>Cheffins</w:t>
      </w:r>
      <w:proofErr w:type="spellEnd"/>
      <w:r w:rsidRPr="009975EA">
        <w:rPr>
          <w:rFonts w:ascii="Times New Roman" w:hAnsi="Times New Roman" w:cs="Times New Roman"/>
          <w:color w:val="000000"/>
          <w:sz w:val="20"/>
          <w:szCs w:val="20"/>
          <w:lang w:val="tr-TR"/>
        </w:rPr>
        <w:t xml:space="preserve">, </w:t>
      </w:r>
      <w:proofErr w:type="spellStart"/>
      <w:r w:rsidRPr="0044712D">
        <w:rPr>
          <w:rFonts w:ascii="Times New Roman" w:hAnsi="Times New Roman" w:cs="Times New Roman"/>
          <w:i/>
          <w:color w:val="000000"/>
          <w:sz w:val="20"/>
          <w:szCs w:val="20"/>
          <w:lang w:val="tr-TR"/>
        </w:rPr>
        <w:t>Corporate</w:t>
      </w:r>
      <w:proofErr w:type="spellEnd"/>
      <w:r w:rsidRPr="0044712D">
        <w:rPr>
          <w:rFonts w:ascii="Times New Roman" w:hAnsi="Times New Roman" w:cs="Times New Roman"/>
          <w:i/>
          <w:color w:val="000000"/>
          <w:sz w:val="20"/>
          <w:szCs w:val="20"/>
          <w:lang w:val="tr-TR"/>
        </w:rPr>
        <w:t xml:space="preserve"> </w:t>
      </w:r>
      <w:proofErr w:type="spellStart"/>
      <w:r w:rsidRPr="0044712D">
        <w:rPr>
          <w:rFonts w:ascii="Times New Roman" w:hAnsi="Times New Roman" w:cs="Times New Roman"/>
          <w:i/>
          <w:color w:val="000000"/>
          <w:sz w:val="20"/>
          <w:szCs w:val="20"/>
          <w:lang w:val="tr-TR"/>
        </w:rPr>
        <w:t>Ownership</w:t>
      </w:r>
      <w:proofErr w:type="spellEnd"/>
      <w:r w:rsidRPr="0044712D">
        <w:rPr>
          <w:rFonts w:ascii="Times New Roman" w:hAnsi="Times New Roman" w:cs="Times New Roman"/>
          <w:i/>
          <w:color w:val="000000"/>
          <w:sz w:val="20"/>
          <w:szCs w:val="20"/>
          <w:lang w:val="tr-TR"/>
        </w:rPr>
        <w:t xml:space="preserve"> </w:t>
      </w:r>
      <w:proofErr w:type="spellStart"/>
      <w:r w:rsidRPr="0044712D">
        <w:rPr>
          <w:rFonts w:ascii="Times New Roman" w:hAnsi="Times New Roman" w:cs="Times New Roman"/>
          <w:i/>
          <w:color w:val="000000"/>
          <w:sz w:val="20"/>
          <w:szCs w:val="20"/>
          <w:lang w:val="tr-TR"/>
        </w:rPr>
        <w:t>and</w:t>
      </w:r>
      <w:proofErr w:type="spellEnd"/>
      <w:r w:rsidRPr="0044712D">
        <w:rPr>
          <w:rFonts w:ascii="Times New Roman" w:hAnsi="Times New Roman" w:cs="Times New Roman"/>
          <w:i/>
          <w:color w:val="000000"/>
          <w:sz w:val="20"/>
          <w:szCs w:val="20"/>
          <w:lang w:val="tr-TR"/>
        </w:rPr>
        <w:t xml:space="preserve"> Control, British Business </w:t>
      </w:r>
      <w:proofErr w:type="spellStart"/>
      <w:r w:rsidRPr="0044712D">
        <w:rPr>
          <w:rFonts w:ascii="Times New Roman" w:hAnsi="Times New Roman" w:cs="Times New Roman"/>
          <w:i/>
          <w:color w:val="000000"/>
          <w:sz w:val="20"/>
          <w:szCs w:val="20"/>
          <w:lang w:val="tr-TR"/>
        </w:rPr>
        <w:t>Transformed</w:t>
      </w:r>
      <w:proofErr w:type="spellEnd"/>
      <w:r>
        <w:rPr>
          <w:rFonts w:ascii="Times New Roman" w:hAnsi="Times New Roman" w:cs="Times New Roman"/>
          <w:color w:val="000000"/>
          <w:sz w:val="20"/>
          <w:szCs w:val="20"/>
          <w:lang w:val="tr-TR"/>
        </w:rPr>
        <w:t xml:space="preserve"> 63 (</w:t>
      </w:r>
      <w:r w:rsidRPr="009975EA">
        <w:rPr>
          <w:rFonts w:ascii="Times New Roman" w:hAnsi="Times New Roman" w:cs="Times New Roman"/>
          <w:color w:val="000000"/>
          <w:sz w:val="20"/>
          <w:szCs w:val="20"/>
          <w:lang w:val="tr-TR"/>
        </w:rPr>
        <w:t>2008</w:t>
      </w:r>
      <w:r>
        <w:rPr>
          <w:rFonts w:ascii="Times New Roman" w:hAnsi="Times New Roman" w:cs="Times New Roman"/>
          <w:color w:val="000000"/>
          <w:sz w:val="20"/>
          <w:szCs w:val="20"/>
          <w:lang w:val="tr-TR"/>
        </w:rPr>
        <w:t>)</w:t>
      </w:r>
      <w:r w:rsidRPr="009975EA">
        <w:rPr>
          <w:rFonts w:ascii="Times New Roman" w:hAnsi="Times New Roman" w:cs="Times New Roman"/>
          <w:sz w:val="20"/>
          <w:szCs w:val="20"/>
        </w:rPr>
        <w:t xml:space="preserve">).  </w:t>
      </w:r>
    </w:p>
  </w:footnote>
  <w:footnote w:id="46">
    <w:p w14:paraId="5CE338E8" w14:textId="393D665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TCC Article 331: “A corporation may be incorporated to pursue any lawful economic purpose and subject.”.</w:t>
      </w:r>
    </w:p>
  </w:footnote>
  <w:footnote w:id="47">
    <w:p w14:paraId="76265BC2" w14:textId="09BAFC54" w:rsidR="00D34493" w:rsidRPr="004A739B" w:rsidRDefault="00D34493" w:rsidP="004A739B">
      <w:pPr>
        <w:jc w:val="both"/>
        <w:rPr>
          <w:rFonts w:ascii="Times New Roman" w:hAnsi="Times New Roman" w:cs="Times New Roman"/>
          <w:sz w:val="20"/>
          <w:szCs w:val="20"/>
        </w:rPr>
      </w:pPr>
      <w:r w:rsidRPr="004A739B">
        <w:rPr>
          <w:rStyle w:val="DipnotBavurusu"/>
          <w:rFonts w:ascii="Times New Roman" w:hAnsi="Times New Roman" w:cs="Times New Roman"/>
          <w:sz w:val="20"/>
          <w:szCs w:val="20"/>
        </w:rPr>
        <w:footnoteRef/>
      </w:r>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Shareholders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are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primary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investors</w:t>
      </w:r>
      <w:proofErr w:type="spellEnd"/>
      <w:r w:rsidRPr="004A739B">
        <w:rPr>
          <w:rFonts w:ascii="Times New Roman" w:hAnsi="Times New Roman" w:cs="Times New Roman"/>
          <w:sz w:val="20"/>
          <w:szCs w:val="20"/>
        </w:rPr>
        <w:t xml:space="preserve"> of a </w:t>
      </w:r>
      <w:proofErr w:type="spellStart"/>
      <w:r w:rsidRPr="004A739B">
        <w:rPr>
          <w:rFonts w:ascii="Times New Roman" w:hAnsi="Times New Roman" w:cs="Times New Roman"/>
          <w:sz w:val="20"/>
          <w:szCs w:val="20"/>
        </w:rPr>
        <w:t>corporation</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and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are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called</w:t>
      </w:r>
      <w:proofErr w:type="spellEnd"/>
      <w:r w:rsidRPr="004A739B">
        <w:rPr>
          <w:rFonts w:ascii="Times New Roman" w:hAnsi="Times New Roman" w:cs="Times New Roman"/>
          <w:sz w:val="20"/>
          <w:szCs w:val="20"/>
        </w:rPr>
        <w:t xml:space="preserve"> as </w:t>
      </w:r>
      <w:proofErr w:type="spellStart"/>
      <w:r w:rsidRPr="004A739B">
        <w:rPr>
          <w:rFonts w:ascii="Times New Roman" w:hAnsi="Times New Roman" w:cs="Times New Roman"/>
          <w:sz w:val="20"/>
          <w:szCs w:val="20"/>
        </w:rPr>
        <w:t>shareholders</w:t>
      </w:r>
      <w:proofErr w:type="spellEnd"/>
      <w:r w:rsidRPr="004A739B">
        <w:rPr>
          <w:rFonts w:ascii="Times New Roman" w:hAnsi="Times New Roman" w:cs="Times New Roman"/>
          <w:sz w:val="20"/>
          <w:szCs w:val="20"/>
        </w:rPr>
        <w:t xml:space="preserve"> as </w:t>
      </w:r>
      <w:proofErr w:type="spellStart"/>
      <w:r w:rsidRPr="004A739B">
        <w:rPr>
          <w:rFonts w:ascii="Times New Roman" w:hAnsi="Times New Roman" w:cs="Times New Roman"/>
          <w:sz w:val="20"/>
          <w:szCs w:val="20"/>
        </w:rPr>
        <w:t>they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invest</w:t>
      </w:r>
      <w:proofErr w:type="spellEnd"/>
      <w:r w:rsidRPr="004A739B">
        <w:rPr>
          <w:rFonts w:ascii="Times New Roman" w:hAnsi="Times New Roman" w:cs="Times New Roman"/>
          <w:sz w:val="20"/>
          <w:szCs w:val="20"/>
        </w:rPr>
        <w:t xml:space="preserve"> in “</w:t>
      </w:r>
      <w:proofErr w:type="spellStart"/>
      <w:r w:rsidRPr="004A739B">
        <w:rPr>
          <w:rFonts w:ascii="Times New Roman" w:hAnsi="Times New Roman" w:cs="Times New Roman"/>
          <w:sz w:val="20"/>
          <w:szCs w:val="20"/>
        </w:rPr>
        <w:t>shares</w:t>
      </w:r>
      <w:proofErr w:type="spellEnd"/>
      <w:r w:rsidRPr="004A739B">
        <w:rPr>
          <w:rFonts w:ascii="Times New Roman" w:hAnsi="Times New Roman" w:cs="Times New Roman"/>
          <w:sz w:val="20"/>
          <w:szCs w:val="20"/>
        </w:rPr>
        <w:t>”. Adam Smith, in his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Money Game” </w:t>
      </w:r>
      <w:proofErr w:type="spellStart"/>
      <w:r w:rsidRPr="004A739B">
        <w:rPr>
          <w:rFonts w:ascii="Times New Roman" w:hAnsi="Times New Roman" w:cs="Times New Roman"/>
          <w:sz w:val="20"/>
          <w:szCs w:val="20"/>
        </w:rPr>
        <w:t>book</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gives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following</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advice</w:t>
      </w:r>
      <w:proofErr w:type="spellEnd"/>
      <w:r w:rsidRPr="004A739B">
        <w:rPr>
          <w:rFonts w:ascii="Times New Roman" w:hAnsi="Times New Roman" w:cs="Times New Roman"/>
          <w:sz w:val="20"/>
          <w:szCs w:val="20"/>
        </w:rPr>
        <w:t xml:space="preserve"> on how </w:t>
      </w:r>
      <w:proofErr w:type="spellStart"/>
      <w:r w:rsidRPr="004A739B">
        <w:rPr>
          <w:rFonts w:ascii="Times New Roman" w:hAnsi="Times New Roman" w:cs="Times New Roman"/>
          <w:sz w:val="20"/>
          <w:szCs w:val="20"/>
        </w:rPr>
        <w:t>shares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should</w:t>
      </w:r>
      <w:proofErr w:type="spellEnd"/>
      <w:r w:rsidRPr="004A739B">
        <w:rPr>
          <w:rFonts w:ascii="Times New Roman" w:hAnsi="Times New Roman" w:cs="Times New Roman"/>
          <w:sz w:val="20"/>
          <w:szCs w:val="20"/>
        </w:rPr>
        <w:t xml:space="preserve"> be </w:t>
      </w:r>
      <w:proofErr w:type="spellStart"/>
      <w:r w:rsidRPr="004A739B">
        <w:rPr>
          <w:rFonts w:ascii="Times New Roman" w:hAnsi="Times New Roman" w:cs="Times New Roman"/>
          <w:sz w:val="20"/>
          <w:szCs w:val="20"/>
        </w:rPr>
        <w:t>viewed</w:t>
      </w:r>
      <w:proofErr w:type="spellEnd"/>
      <w:r w:rsidRPr="004A739B">
        <w:rPr>
          <w:rFonts w:ascii="Times New Roman" w:hAnsi="Times New Roman" w:cs="Times New Roman"/>
          <w:sz w:val="20"/>
          <w:szCs w:val="20"/>
        </w:rPr>
        <w:t xml:space="preserve">: “A </w:t>
      </w:r>
      <w:proofErr w:type="spellStart"/>
      <w:r w:rsidRPr="004A739B">
        <w:rPr>
          <w:rFonts w:ascii="Times New Roman" w:hAnsi="Times New Roman" w:cs="Times New Roman"/>
          <w:sz w:val="20"/>
          <w:szCs w:val="20"/>
        </w:rPr>
        <w:t>stock</w:t>
      </w:r>
      <w:proofErr w:type="spellEnd"/>
      <w:r w:rsidRPr="004A739B">
        <w:rPr>
          <w:rFonts w:ascii="Times New Roman" w:hAnsi="Times New Roman" w:cs="Times New Roman"/>
          <w:sz w:val="20"/>
          <w:szCs w:val="20"/>
        </w:rPr>
        <w:t xml:space="preserve"> is </w:t>
      </w:r>
      <w:proofErr w:type="spellStart"/>
      <w:r w:rsidRPr="004A739B">
        <w:rPr>
          <w:rFonts w:ascii="Times New Roman" w:hAnsi="Times New Roman" w:cs="Times New Roman"/>
          <w:sz w:val="20"/>
          <w:szCs w:val="20"/>
        </w:rPr>
        <w:t>for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all</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practical</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purposes</w:t>
      </w:r>
      <w:proofErr w:type="spellEnd"/>
      <w:r w:rsidRPr="004A739B">
        <w:rPr>
          <w:rFonts w:ascii="Times New Roman" w:hAnsi="Times New Roman" w:cs="Times New Roman"/>
          <w:sz w:val="20"/>
          <w:szCs w:val="20"/>
        </w:rPr>
        <w:t xml:space="preserve">, a </w:t>
      </w:r>
      <w:proofErr w:type="spellStart"/>
      <w:r w:rsidRPr="004A739B">
        <w:rPr>
          <w:rFonts w:ascii="Times New Roman" w:hAnsi="Times New Roman" w:cs="Times New Roman"/>
          <w:sz w:val="20"/>
          <w:szCs w:val="20"/>
        </w:rPr>
        <w:t>piece</w:t>
      </w:r>
      <w:proofErr w:type="spellEnd"/>
      <w:r w:rsidRPr="004A739B">
        <w:rPr>
          <w:rFonts w:ascii="Times New Roman" w:hAnsi="Times New Roman" w:cs="Times New Roman"/>
          <w:sz w:val="20"/>
          <w:szCs w:val="20"/>
        </w:rPr>
        <w:t xml:space="preserve"> of </w:t>
      </w:r>
      <w:proofErr w:type="spellStart"/>
      <w:r w:rsidRPr="004A739B">
        <w:rPr>
          <w:rFonts w:ascii="Times New Roman" w:hAnsi="Times New Roman" w:cs="Times New Roman"/>
          <w:sz w:val="20"/>
          <w:szCs w:val="20"/>
        </w:rPr>
        <w:t>paper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that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sits</w:t>
      </w:r>
      <w:proofErr w:type="spellEnd"/>
      <w:r w:rsidRPr="004A739B">
        <w:rPr>
          <w:rFonts w:ascii="Times New Roman" w:hAnsi="Times New Roman" w:cs="Times New Roman"/>
          <w:sz w:val="20"/>
          <w:szCs w:val="20"/>
        </w:rPr>
        <w:t xml:space="preserve"> in a bank </w:t>
      </w:r>
      <w:proofErr w:type="spellStart"/>
      <w:r w:rsidRPr="004A739B">
        <w:rPr>
          <w:rFonts w:ascii="Times New Roman" w:hAnsi="Times New Roman" w:cs="Times New Roman"/>
          <w:sz w:val="20"/>
          <w:szCs w:val="20"/>
        </w:rPr>
        <w:t>vault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Most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likely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you</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will</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never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see</w:t>
      </w:r>
      <w:proofErr w:type="spellEnd"/>
      <w:r w:rsidRPr="004A739B">
        <w:rPr>
          <w:rFonts w:ascii="Times New Roman" w:hAnsi="Times New Roman" w:cs="Times New Roman"/>
          <w:sz w:val="20"/>
          <w:szCs w:val="20"/>
        </w:rPr>
        <w:t xml:space="preserve"> it…</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most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important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important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thing</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to</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realise</w:t>
      </w:r>
      <w:proofErr w:type="spellEnd"/>
      <w:r w:rsidRPr="004A739B">
        <w:rPr>
          <w:rFonts w:ascii="Times New Roman" w:hAnsi="Times New Roman" w:cs="Times New Roman"/>
          <w:sz w:val="20"/>
          <w:szCs w:val="20"/>
        </w:rPr>
        <w:t xml:space="preserve"> is </w:t>
      </w:r>
      <w:proofErr w:type="spellStart"/>
      <w:r w:rsidRPr="004A739B">
        <w:rPr>
          <w:rFonts w:ascii="Times New Roman" w:hAnsi="Times New Roman" w:cs="Times New Roman"/>
          <w:sz w:val="20"/>
          <w:szCs w:val="20"/>
        </w:rPr>
        <w:t>simplistic</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stock</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doesn’t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know</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you</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own</w:t>
      </w:r>
      <w:proofErr w:type="spellEnd"/>
      <w:r w:rsidRPr="004A739B">
        <w:rPr>
          <w:rFonts w:ascii="Times New Roman" w:hAnsi="Times New Roman" w:cs="Times New Roman"/>
          <w:sz w:val="20"/>
          <w:szCs w:val="20"/>
        </w:rPr>
        <w:t xml:space="preserve"> it. </w:t>
      </w:r>
      <w:proofErr w:type="spellStart"/>
      <w:r w:rsidRPr="004A739B">
        <w:rPr>
          <w:rFonts w:ascii="Times New Roman" w:hAnsi="Times New Roman" w:cs="Times New Roman"/>
          <w:sz w:val="20"/>
          <w:szCs w:val="20"/>
        </w:rPr>
        <w:t>All</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those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marvelous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things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or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those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terrible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things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that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you</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feel</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about</w:t>
      </w:r>
      <w:proofErr w:type="spellEnd"/>
      <w:r w:rsidRPr="004A739B">
        <w:rPr>
          <w:rFonts w:ascii="Times New Roman" w:hAnsi="Times New Roman" w:cs="Times New Roman"/>
          <w:sz w:val="20"/>
          <w:szCs w:val="20"/>
        </w:rPr>
        <w:t xml:space="preserve"> a </w:t>
      </w:r>
      <w:proofErr w:type="spellStart"/>
      <w:r w:rsidRPr="004A739B">
        <w:rPr>
          <w:rFonts w:ascii="Times New Roman" w:hAnsi="Times New Roman" w:cs="Times New Roman"/>
          <w:sz w:val="20"/>
          <w:szCs w:val="20"/>
        </w:rPr>
        <w:t>stock</w:t>
      </w:r>
      <w:proofErr w:type="spellEnd"/>
      <w:r w:rsidRPr="004A739B">
        <w:rPr>
          <w:rFonts w:ascii="Times New Roman" w:hAnsi="Times New Roman" w:cs="Times New Roman"/>
          <w:sz w:val="20"/>
          <w:szCs w:val="20"/>
        </w:rPr>
        <w:t>…</w:t>
      </w:r>
      <w:proofErr w:type="spellStart"/>
      <w:r w:rsidRPr="004A739B">
        <w:rPr>
          <w:rFonts w:ascii="Times New Roman" w:hAnsi="Times New Roman" w:cs="Times New Roman"/>
          <w:sz w:val="20"/>
          <w:szCs w:val="20"/>
        </w:rPr>
        <w:t>are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unreciprocated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by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stock</w:t>
      </w:r>
      <w:proofErr w:type="spellEnd"/>
      <w:r w:rsidRPr="004A739B">
        <w:rPr>
          <w:rFonts w:ascii="Times New Roman" w:hAnsi="Times New Roman" w:cs="Times New Roman"/>
          <w:sz w:val="20"/>
          <w:szCs w:val="20"/>
        </w:rPr>
        <w:t>…</w:t>
      </w:r>
      <w:proofErr w:type="spellStart"/>
      <w:r w:rsidRPr="004A739B">
        <w:rPr>
          <w:rFonts w:ascii="Times New Roman" w:hAnsi="Times New Roman" w:cs="Times New Roman"/>
          <w:sz w:val="20"/>
          <w:szCs w:val="20"/>
        </w:rPr>
        <w:t>You</w:t>
      </w:r>
      <w:proofErr w:type="spellEnd"/>
      <w:r w:rsidRPr="004A739B">
        <w:rPr>
          <w:rFonts w:ascii="Times New Roman" w:hAnsi="Times New Roman" w:cs="Times New Roman"/>
          <w:sz w:val="20"/>
          <w:szCs w:val="20"/>
        </w:rPr>
        <w:t xml:space="preserve"> can be in </w:t>
      </w:r>
      <w:proofErr w:type="spellStart"/>
      <w:r w:rsidRPr="004A739B">
        <w:rPr>
          <w:rFonts w:ascii="Times New Roman" w:hAnsi="Times New Roman" w:cs="Times New Roman"/>
          <w:sz w:val="20"/>
          <w:szCs w:val="20"/>
        </w:rPr>
        <w:t>love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if</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you</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want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to</w:t>
      </w:r>
      <w:proofErr w:type="spellEnd"/>
      <w:r w:rsidRPr="004A739B">
        <w:rPr>
          <w:rFonts w:ascii="Times New Roman" w:hAnsi="Times New Roman" w:cs="Times New Roman"/>
          <w:sz w:val="20"/>
          <w:szCs w:val="20"/>
        </w:rPr>
        <w:t xml:space="preserve">, but </w:t>
      </w:r>
      <w:proofErr w:type="spellStart"/>
      <w:r w:rsidRPr="004A739B">
        <w:rPr>
          <w:rFonts w:ascii="Times New Roman" w:hAnsi="Times New Roman" w:cs="Times New Roman"/>
          <w:sz w:val="20"/>
          <w:szCs w:val="20"/>
        </w:rPr>
        <w:t>that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piece</w:t>
      </w:r>
      <w:proofErr w:type="spellEnd"/>
      <w:r w:rsidRPr="004A739B">
        <w:rPr>
          <w:rFonts w:ascii="Times New Roman" w:hAnsi="Times New Roman" w:cs="Times New Roman"/>
          <w:sz w:val="20"/>
          <w:szCs w:val="20"/>
        </w:rPr>
        <w:t xml:space="preserve"> of </w:t>
      </w:r>
      <w:proofErr w:type="spellStart"/>
      <w:r w:rsidRPr="004A739B">
        <w:rPr>
          <w:rFonts w:ascii="Times New Roman" w:hAnsi="Times New Roman" w:cs="Times New Roman"/>
          <w:sz w:val="20"/>
          <w:szCs w:val="20"/>
        </w:rPr>
        <w:t>paper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doesn’t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love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you</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and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unreciprocated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love</w:t>
      </w:r>
      <w:proofErr w:type="spellEnd"/>
      <w:r w:rsidRPr="004A739B">
        <w:rPr>
          <w:rFonts w:ascii="Times New Roman" w:hAnsi="Times New Roman" w:cs="Times New Roman"/>
          <w:sz w:val="20"/>
          <w:szCs w:val="20"/>
        </w:rPr>
        <w:t xml:space="preserve"> can </w:t>
      </w:r>
      <w:proofErr w:type="spellStart"/>
      <w:r w:rsidRPr="004A739B">
        <w:rPr>
          <w:rFonts w:ascii="Times New Roman" w:hAnsi="Times New Roman" w:cs="Times New Roman"/>
          <w:sz w:val="20"/>
          <w:szCs w:val="20"/>
        </w:rPr>
        <w:t>turn</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into</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masochism</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narcissism</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or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even</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worse</w:t>
      </w:r>
      <w:proofErr w:type="spellEnd"/>
      <w:r w:rsidRPr="004A739B">
        <w:rPr>
          <w:rFonts w:ascii="Times New Roman" w:hAnsi="Times New Roman" w:cs="Times New Roman"/>
          <w:sz w:val="20"/>
          <w:szCs w:val="20"/>
        </w:rPr>
        <w:t xml:space="preserve">, market </w:t>
      </w:r>
      <w:proofErr w:type="spellStart"/>
      <w:r w:rsidRPr="004A739B">
        <w:rPr>
          <w:rFonts w:ascii="Times New Roman" w:hAnsi="Times New Roman" w:cs="Times New Roman"/>
          <w:sz w:val="20"/>
          <w:szCs w:val="20"/>
        </w:rPr>
        <w:t>losses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and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unreciprocated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hate</w:t>
      </w:r>
      <w:proofErr w:type="spellEnd"/>
      <w:r w:rsidRPr="004A739B">
        <w:rPr>
          <w:rFonts w:ascii="Times New Roman" w:hAnsi="Times New Roman" w:cs="Times New Roman"/>
          <w:sz w:val="20"/>
          <w:szCs w:val="20"/>
        </w:rPr>
        <w:t>”</w:t>
      </w:r>
      <w:r w:rsidRPr="003C56E3">
        <w:rPr>
          <w:rFonts w:ascii="Times New Roman" w:hAnsi="Times New Roman" w:cs="Times New Roman"/>
          <w:sz w:val="20"/>
          <w:szCs w:val="20"/>
        </w:rPr>
        <w:t xml:space="preserve"> Adam Smith, </w:t>
      </w:r>
      <w:proofErr w:type="spellStart"/>
      <w:r w:rsidRPr="003C56E3">
        <w:rPr>
          <w:rFonts w:ascii="Times New Roman" w:hAnsi="Times New Roman" w:cs="Times New Roman"/>
          <w:i/>
          <w:sz w:val="20"/>
          <w:szCs w:val="20"/>
        </w:rPr>
        <w:t>The</w:t>
      </w:r>
      <w:proofErr w:type="spellEnd"/>
      <w:r w:rsidRPr="003C56E3">
        <w:rPr>
          <w:rFonts w:ascii="Times New Roman" w:hAnsi="Times New Roman" w:cs="Times New Roman"/>
          <w:i/>
          <w:sz w:val="20"/>
          <w:szCs w:val="20"/>
        </w:rPr>
        <w:t xml:space="preserve"> Money Game</w:t>
      </w:r>
      <w:r w:rsidRPr="003C56E3">
        <w:rPr>
          <w:rFonts w:ascii="Times New Roman" w:hAnsi="Times New Roman" w:cs="Times New Roman"/>
          <w:sz w:val="20"/>
          <w:szCs w:val="20"/>
        </w:rPr>
        <w:t xml:space="preserve"> 81 (1968</w:t>
      </w:r>
      <w:proofErr w:type="gramStart"/>
      <w:r w:rsidRPr="003C56E3">
        <w:rPr>
          <w:rFonts w:ascii="Times New Roman" w:hAnsi="Times New Roman" w:cs="Times New Roman"/>
          <w:sz w:val="20"/>
          <w:szCs w:val="20"/>
        </w:rPr>
        <w:t>).</w:t>
      </w:r>
      <w:r w:rsidRPr="004A739B">
        <w:rPr>
          <w:rFonts w:ascii="Times New Roman" w:hAnsi="Times New Roman" w:cs="Times New Roman"/>
          <w:sz w:val="20"/>
          <w:szCs w:val="20"/>
        </w:rPr>
        <w:t>.</w:t>
      </w:r>
      <w:proofErr w:type="gram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However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law</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regards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status</w:t>
      </w:r>
      <w:proofErr w:type="spellEnd"/>
      <w:r w:rsidRPr="004A739B">
        <w:rPr>
          <w:rFonts w:ascii="Times New Roman" w:hAnsi="Times New Roman" w:cs="Times New Roman"/>
          <w:sz w:val="20"/>
          <w:szCs w:val="20"/>
        </w:rPr>
        <w:t xml:space="preserve"> of </w:t>
      </w:r>
      <w:proofErr w:type="spellStart"/>
      <w:r w:rsidRPr="004A739B">
        <w:rPr>
          <w:rFonts w:ascii="Times New Roman" w:hAnsi="Times New Roman" w:cs="Times New Roman"/>
          <w:sz w:val="20"/>
          <w:szCs w:val="20"/>
        </w:rPr>
        <w:t>this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heartless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paper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much</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more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simplistic</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Shares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are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complex</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financial</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assets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consisting</w:t>
      </w:r>
      <w:proofErr w:type="spellEnd"/>
      <w:r w:rsidRPr="004A739B">
        <w:rPr>
          <w:rFonts w:ascii="Times New Roman" w:hAnsi="Times New Roman" w:cs="Times New Roman"/>
          <w:sz w:val="20"/>
          <w:szCs w:val="20"/>
        </w:rPr>
        <w:t xml:space="preserve"> of </w:t>
      </w:r>
      <w:proofErr w:type="spellStart"/>
      <w:r w:rsidRPr="004A739B">
        <w:rPr>
          <w:rFonts w:ascii="Times New Roman" w:hAnsi="Times New Roman" w:cs="Times New Roman"/>
          <w:sz w:val="20"/>
          <w:szCs w:val="20"/>
        </w:rPr>
        <w:t>contractual</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promises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made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by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one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person</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to</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another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including</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promise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to</w:t>
      </w:r>
      <w:proofErr w:type="spellEnd"/>
      <w:r w:rsidRPr="004A739B">
        <w:rPr>
          <w:rFonts w:ascii="Times New Roman" w:hAnsi="Times New Roman" w:cs="Times New Roman"/>
          <w:sz w:val="20"/>
          <w:szCs w:val="20"/>
        </w:rPr>
        <w:t xml:space="preserve"> pay </w:t>
      </w:r>
      <w:proofErr w:type="spellStart"/>
      <w:r w:rsidRPr="004A739B">
        <w:rPr>
          <w:rFonts w:ascii="Times New Roman" w:hAnsi="Times New Roman" w:cs="Times New Roman"/>
          <w:sz w:val="20"/>
          <w:szCs w:val="20"/>
        </w:rPr>
        <w:t>money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upon</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certain</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conditions</w:t>
      </w:r>
      <w:proofErr w:type="spellEnd"/>
      <w:r w:rsidRPr="004A739B">
        <w:rPr>
          <w:rFonts w:ascii="Times New Roman" w:hAnsi="Times New Roman" w:cs="Times New Roman"/>
          <w:sz w:val="20"/>
          <w:szCs w:val="20"/>
        </w:rPr>
        <w:t xml:space="preserve">, in </w:t>
      </w:r>
      <w:proofErr w:type="spellStart"/>
      <w:r w:rsidRPr="004A739B">
        <w:rPr>
          <w:rFonts w:ascii="Times New Roman" w:hAnsi="Times New Roman" w:cs="Times New Roman"/>
          <w:sz w:val="20"/>
          <w:szCs w:val="20"/>
        </w:rPr>
        <w:t>exchange</w:t>
      </w:r>
      <w:proofErr w:type="spellEnd"/>
      <w:r w:rsidRPr="004A739B">
        <w:rPr>
          <w:rFonts w:ascii="Times New Roman" w:hAnsi="Times New Roman" w:cs="Times New Roman"/>
          <w:sz w:val="20"/>
          <w:szCs w:val="20"/>
        </w:rPr>
        <w:t xml:space="preserve"> of </w:t>
      </w:r>
      <w:proofErr w:type="spellStart"/>
      <w:r w:rsidRPr="004A739B">
        <w:rPr>
          <w:rFonts w:ascii="Times New Roman" w:hAnsi="Times New Roman" w:cs="Times New Roman"/>
          <w:sz w:val="20"/>
          <w:szCs w:val="20"/>
        </w:rPr>
        <w:t>money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or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other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financial</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assets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given</w:t>
      </w:r>
      <w:proofErr w:type="spellEnd"/>
      <w:r w:rsidRPr="004A739B">
        <w:rPr>
          <w:rFonts w:ascii="Times New Roman" w:hAnsi="Times New Roman" w:cs="Times New Roman"/>
          <w:sz w:val="20"/>
          <w:szCs w:val="20"/>
        </w:rPr>
        <w:t xml:space="preserve"> in </w:t>
      </w:r>
      <w:proofErr w:type="spellStart"/>
      <w:r w:rsidRPr="004A739B">
        <w:rPr>
          <w:rFonts w:ascii="Times New Roman" w:hAnsi="Times New Roman" w:cs="Times New Roman"/>
          <w:sz w:val="20"/>
          <w:szCs w:val="20"/>
        </w:rPr>
        <w:t>advance</w:t>
      </w:r>
      <w:proofErr w:type="spellEnd"/>
      <w:r w:rsidRPr="004A739B">
        <w:rPr>
          <w:rFonts w:ascii="Times New Roman" w:hAnsi="Times New Roman" w:cs="Times New Roman"/>
          <w:sz w:val="20"/>
          <w:szCs w:val="20"/>
        </w:rPr>
        <w:t xml:space="preserve"> (</w:t>
      </w:r>
      <w:r w:rsidRPr="003C56E3">
        <w:rPr>
          <w:rFonts w:ascii="Times New Roman" w:hAnsi="Times New Roman" w:cs="Times New Roman"/>
          <w:sz w:val="20"/>
          <w:szCs w:val="20"/>
        </w:rPr>
        <w:t xml:space="preserve">Tamar </w:t>
      </w:r>
      <w:proofErr w:type="spellStart"/>
      <w:r w:rsidRPr="003C56E3">
        <w:rPr>
          <w:rFonts w:ascii="Times New Roman" w:hAnsi="Times New Roman" w:cs="Times New Roman"/>
          <w:sz w:val="20"/>
          <w:szCs w:val="20"/>
        </w:rPr>
        <w:t>Frankel</w:t>
      </w:r>
      <w:proofErr w:type="spellEnd"/>
      <w:r w:rsidRPr="003C56E3">
        <w:rPr>
          <w:rFonts w:ascii="Times New Roman" w:hAnsi="Times New Roman" w:cs="Times New Roman"/>
          <w:sz w:val="20"/>
          <w:szCs w:val="20"/>
        </w:rPr>
        <w:t xml:space="preserve">, </w:t>
      </w:r>
      <w:proofErr w:type="spellStart"/>
      <w:r w:rsidRPr="003C56E3">
        <w:rPr>
          <w:rFonts w:ascii="Times New Roman" w:hAnsi="Times New Roman" w:cs="Times New Roman"/>
          <w:i/>
          <w:sz w:val="20"/>
          <w:szCs w:val="20"/>
        </w:rPr>
        <w:t>The</w:t>
      </w:r>
      <w:proofErr w:type="spellEnd"/>
      <w:r w:rsidRPr="003C56E3">
        <w:rPr>
          <w:rFonts w:ascii="Times New Roman" w:hAnsi="Times New Roman" w:cs="Times New Roman"/>
          <w:i/>
          <w:sz w:val="20"/>
          <w:szCs w:val="20"/>
        </w:rPr>
        <w:t xml:space="preserve"> New Financial </w:t>
      </w:r>
      <w:proofErr w:type="spellStart"/>
      <w:r w:rsidRPr="003C56E3">
        <w:rPr>
          <w:rFonts w:ascii="Times New Roman" w:hAnsi="Times New Roman" w:cs="Times New Roman"/>
          <w:i/>
          <w:sz w:val="20"/>
          <w:szCs w:val="20"/>
        </w:rPr>
        <w:t>Assets</w:t>
      </w:r>
      <w:proofErr w:type="spellEnd"/>
      <w:r w:rsidRPr="003C56E3">
        <w:rPr>
          <w:rFonts w:ascii="Times New Roman" w:hAnsi="Times New Roman" w:cs="Times New Roman"/>
          <w:i/>
          <w:sz w:val="20"/>
          <w:szCs w:val="20"/>
        </w:rPr>
        <w:t xml:space="preserve">: </w:t>
      </w:r>
      <w:proofErr w:type="spellStart"/>
      <w:r w:rsidRPr="003C56E3">
        <w:rPr>
          <w:rFonts w:ascii="Times New Roman" w:hAnsi="Times New Roman" w:cs="Times New Roman"/>
          <w:i/>
          <w:sz w:val="20"/>
          <w:szCs w:val="20"/>
        </w:rPr>
        <w:t>Separating</w:t>
      </w:r>
      <w:proofErr w:type="spellEnd"/>
      <w:r w:rsidRPr="003C56E3">
        <w:rPr>
          <w:rFonts w:ascii="Times New Roman" w:hAnsi="Times New Roman" w:cs="Times New Roman"/>
          <w:i/>
          <w:sz w:val="20"/>
          <w:szCs w:val="20"/>
        </w:rPr>
        <w:t xml:space="preserve"> </w:t>
      </w:r>
      <w:proofErr w:type="spellStart"/>
      <w:r w:rsidRPr="003C56E3">
        <w:rPr>
          <w:rFonts w:ascii="Times New Roman" w:hAnsi="Times New Roman" w:cs="Times New Roman"/>
          <w:i/>
          <w:sz w:val="20"/>
          <w:szCs w:val="20"/>
        </w:rPr>
        <w:t>Ownership</w:t>
      </w:r>
      <w:proofErr w:type="spellEnd"/>
      <w:r w:rsidRPr="003C56E3">
        <w:rPr>
          <w:rFonts w:ascii="Times New Roman" w:hAnsi="Times New Roman" w:cs="Times New Roman"/>
          <w:i/>
          <w:sz w:val="20"/>
          <w:szCs w:val="20"/>
        </w:rPr>
        <w:t xml:space="preserve"> </w:t>
      </w:r>
      <w:proofErr w:type="spellStart"/>
      <w:r w:rsidRPr="003C56E3">
        <w:rPr>
          <w:rFonts w:ascii="Times New Roman" w:hAnsi="Times New Roman" w:cs="Times New Roman"/>
          <w:i/>
          <w:sz w:val="20"/>
          <w:szCs w:val="20"/>
        </w:rPr>
        <w:t>From</w:t>
      </w:r>
      <w:proofErr w:type="spellEnd"/>
      <w:r w:rsidRPr="003C56E3">
        <w:rPr>
          <w:rFonts w:ascii="Times New Roman" w:hAnsi="Times New Roman" w:cs="Times New Roman"/>
          <w:i/>
          <w:sz w:val="20"/>
          <w:szCs w:val="20"/>
        </w:rPr>
        <w:t xml:space="preserve"> Control</w:t>
      </w:r>
      <w:r w:rsidRPr="003C56E3">
        <w:rPr>
          <w:rFonts w:ascii="Times New Roman" w:hAnsi="Times New Roman" w:cs="Times New Roman"/>
          <w:sz w:val="20"/>
          <w:szCs w:val="20"/>
        </w:rPr>
        <w:t xml:space="preserve">, </w:t>
      </w:r>
      <w:hyperlink r:id="rId23" w:history="1">
        <w:r w:rsidRPr="003C56E3">
          <w:rPr>
            <w:rStyle w:val="Kpr"/>
            <w:rFonts w:ascii="Times New Roman" w:hAnsi="Times New Roman" w:cs="Times New Roman"/>
            <w:sz w:val="20"/>
            <w:szCs w:val="20"/>
          </w:rPr>
          <w:t>http://digitalcommons.law.seattleu.edu/cgi/viewcontent.cgi?article=1007&amp;context=sulr</w:t>
        </w:r>
      </w:hyperlink>
      <w:r w:rsidRPr="003C56E3">
        <w:rPr>
          <w:rFonts w:ascii="Times New Roman" w:hAnsi="Times New Roman" w:cs="Times New Roman"/>
          <w:sz w:val="20"/>
          <w:szCs w:val="20"/>
        </w:rPr>
        <w:t xml:space="preserve"> (</w:t>
      </w:r>
      <w:proofErr w:type="spellStart"/>
      <w:r w:rsidRPr="003C56E3">
        <w:rPr>
          <w:rFonts w:ascii="Times New Roman" w:hAnsi="Times New Roman" w:cs="Times New Roman"/>
          <w:sz w:val="20"/>
          <w:szCs w:val="20"/>
        </w:rPr>
        <w:t>Last</w:t>
      </w:r>
      <w:proofErr w:type="spellEnd"/>
      <w:r w:rsidRPr="003C56E3">
        <w:rPr>
          <w:rFonts w:ascii="Times New Roman" w:hAnsi="Times New Roman" w:cs="Times New Roman"/>
          <w:sz w:val="20"/>
          <w:szCs w:val="20"/>
        </w:rPr>
        <w:t xml:space="preserve"> </w:t>
      </w:r>
      <w:proofErr w:type="spellStart"/>
      <w:r w:rsidRPr="003C56E3">
        <w:rPr>
          <w:rFonts w:ascii="Times New Roman" w:hAnsi="Times New Roman" w:cs="Times New Roman"/>
          <w:sz w:val="20"/>
          <w:szCs w:val="20"/>
        </w:rPr>
        <w:t>visited</w:t>
      </w:r>
      <w:proofErr w:type="spellEnd"/>
      <w:r w:rsidRPr="003C56E3">
        <w:rPr>
          <w:rFonts w:ascii="Times New Roman" w:hAnsi="Times New Roman" w:cs="Times New Roman"/>
          <w:sz w:val="20"/>
          <w:szCs w:val="20"/>
        </w:rPr>
        <w:t>: 10/10/2016) at 934.</w:t>
      </w:r>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Turkish</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and</w:t>
      </w:r>
      <w:proofErr w:type="spellEnd"/>
      <w:r w:rsidRPr="004A739B">
        <w:rPr>
          <w:rFonts w:ascii="Times New Roman" w:hAnsi="Times New Roman" w:cs="Times New Roman"/>
          <w:sz w:val="20"/>
          <w:szCs w:val="20"/>
        </w:rPr>
        <w:t xml:space="preserve"> U.S. </w:t>
      </w:r>
      <w:proofErr w:type="spellStart"/>
      <w:r w:rsidRPr="004A739B">
        <w:rPr>
          <w:rFonts w:ascii="Times New Roman" w:hAnsi="Times New Roman" w:cs="Times New Roman"/>
          <w:sz w:val="20"/>
          <w:szCs w:val="20"/>
        </w:rPr>
        <w:t>laws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e.g</w:t>
      </w:r>
      <w:proofErr w:type="spellEnd"/>
      <w:r w:rsidRPr="004A739B">
        <w:rPr>
          <w:rFonts w:ascii="Times New Roman" w:hAnsi="Times New Roman" w:cs="Times New Roman"/>
          <w:sz w:val="20"/>
          <w:szCs w:val="20"/>
        </w:rPr>
        <w:t xml:space="preserve">. Delaware) </w:t>
      </w:r>
      <w:proofErr w:type="spellStart"/>
      <w:r w:rsidRPr="004A739B">
        <w:rPr>
          <w:rFonts w:ascii="Times New Roman" w:hAnsi="Times New Roman" w:cs="Times New Roman"/>
          <w:sz w:val="20"/>
          <w:szCs w:val="20"/>
        </w:rPr>
        <w:t>accepts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that</w:t>
      </w:r>
      <w:proofErr w:type="spellEnd"/>
      <w:r w:rsidRPr="004A739B">
        <w:rPr>
          <w:rFonts w:ascii="Times New Roman" w:hAnsi="Times New Roman" w:cs="Times New Roman"/>
          <w:sz w:val="20"/>
          <w:szCs w:val="20"/>
        </w:rPr>
        <w:t xml:space="preserve"> a </w:t>
      </w:r>
      <w:proofErr w:type="spellStart"/>
      <w:r w:rsidRPr="004A739B">
        <w:rPr>
          <w:rFonts w:ascii="Times New Roman" w:hAnsi="Times New Roman" w:cs="Times New Roman"/>
          <w:sz w:val="20"/>
          <w:szCs w:val="20"/>
        </w:rPr>
        <w:t>share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gives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its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holder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contractual</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rights</w:t>
      </w:r>
      <w:proofErr w:type="spellEnd"/>
      <w:r w:rsidRPr="004A739B">
        <w:rPr>
          <w:rFonts w:ascii="Times New Roman" w:hAnsi="Times New Roman" w:cs="Times New Roman"/>
          <w:sz w:val="20"/>
          <w:szCs w:val="20"/>
        </w:rPr>
        <w:t xml:space="preserve"> (</w:t>
      </w:r>
      <w:proofErr w:type="spellStart"/>
      <w:r w:rsidRPr="003C56E3">
        <w:rPr>
          <w:rFonts w:ascii="Times New Roman" w:hAnsi="Times New Roman" w:cs="Times New Roman"/>
          <w:color w:val="000000" w:themeColor="text1"/>
          <w:sz w:val="20"/>
          <w:szCs w:val="20"/>
        </w:rPr>
        <w:t>Constitutional</w:t>
      </w:r>
      <w:proofErr w:type="spellEnd"/>
      <w:r w:rsidRPr="003C56E3">
        <w:rPr>
          <w:rFonts w:ascii="Times New Roman" w:hAnsi="Times New Roman" w:cs="Times New Roman"/>
          <w:color w:val="000000" w:themeColor="text1"/>
          <w:sz w:val="20"/>
          <w:szCs w:val="20"/>
        </w:rPr>
        <w:t xml:space="preserve"> Court of </w:t>
      </w:r>
      <w:proofErr w:type="spellStart"/>
      <w:r w:rsidRPr="003C56E3">
        <w:rPr>
          <w:rFonts w:ascii="Times New Roman" w:hAnsi="Times New Roman" w:cs="Times New Roman"/>
          <w:color w:val="000000" w:themeColor="text1"/>
          <w:sz w:val="20"/>
          <w:szCs w:val="20"/>
        </w:rPr>
        <w:t>Republic</w:t>
      </w:r>
      <w:proofErr w:type="spellEnd"/>
      <w:r w:rsidRPr="003C56E3">
        <w:rPr>
          <w:rFonts w:ascii="Times New Roman" w:hAnsi="Times New Roman" w:cs="Times New Roman"/>
          <w:color w:val="000000" w:themeColor="text1"/>
          <w:sz w:val="20"/>
          <w:szCs w:val="20"/>
        </w:rPr>
        <w:t xml:space="preserve"> of </w:t>
      </w:r>
      <w:proofErr w:type="spellStart"/>
      <w:r w:rsidRPr="003C56E3">
        <w:rPr>
          <w:rFonts w:ascii="Times New Roman" w:hAnsi="Times New Roman" w:cs="Times New Roman"/>
          <w:color w:val="000000" w:themeColor="text1"/>
          <w:sz w:val="20"/>
          <w:szCs w:val="20"/>
        </w:rPr>
        <w:t>Turkey</w:t>
      </w:r>
      <w:proofErr w:type="spellEnd"/>
      <w:r w:rsidRPr="003C56E3">
        <w:rPr>
          <w:rFonts w:ascii="Times New Roman" w:hAnsi="Times New Roman" w:cs="Times New Roman"/>
          <w:color w:val="000000" w:themeColor="text1"/>
          <w:sz w:val="20"/>
          <w:szCs w:val="20"/>
        </w:rPr>
        <w:t xml:space="preserve"> R. 2015/29 J. 2015/95 D. 22/10/2015 (</w:t>
      </w:r>
      <w:proofErr w:type="spellStart"/>
      <w:r w:rsidRPr="003C56E3">
        <w:rPr>
          <w:rFonts w:ascii="Times New Roman" w:hAnsi="Times New Roman" w:cs="Times New Roman"/>
          <w:color w:val="000000" w:themeColor="text1"/>
          <w:sz w:val="20"/>
          <w:szCs w:val="20"/>
        </w:rPr>
        <w:t>stating</w:t>
      </w:r>
      <w:proofErr w:type="spellEnd"/>
      <w:r w:rsidRPr="003C56E3">
        <w:rPr>
          <w:rFonts w:ascii="Times New Roman" w:hAnsi="Times New Roman" w:cs="Times New Roman"/>
          <w:color w:val="000000" w:themeColor="text1"/>
          <w:sz w:val="20"/>
          <w:szCs w:val="20"/>
        </w:rPr>
        <w:t xml:space="preserve"> </w:t>
      </w:r>
      <w:proofErr w:type="spellStart"/>
      <w:r w:rsidRPr="003C56E3">
        <w:rPr>
          <w:rFonts w:ascii="Times New Roman" w:hAnsi="Times New Roman" w:cs="Times New Roman"/>
          <w:color w:val="000000" w:themeColor="text1"/>
          <w:sz w:val="20"/>
          <w:szCs w:val="20"/>
        </w:rPr>
        <w:t>status</w:t>
      </w:r>
      <w:proofErr w:type="spellEnd"/>
      <w:r w:rsidRPr="003C56E3">
        <w:rPr>
          <w:rFonts w:ascii="Times New Roman" w:hAnsi="Times New Roman" w:cs="Times New Roman"/>
          <w:color w:val="000000" w:themeColor="text1"/>
          <w:sz w:val="20"/>
          <w:szCs w:val="20"/>
        </w:rPr>
        <w:t xml:space="preserve"> of </w:t>
      </w:r>
      <w:proofErr w:type="spellStart"/>
      <w:r w:rsidRPr="003C56E3">
        <w:rPr>
          <w:rFonts w:ascii="Times New Roman" w:hAnsi="Times New Roman" w:cs="Times New Roman"/>
          <w:color w:val="000000" w:themeColor="text1"/>
          <w:sz w:val="20"/>
          <w:szCs w:val="20"/>
        </w:rPr>
        <w:t>securities</w:t>
      </w:r>
      <w:proofErr w:type="spellEnd"/>
      <w:r w:rsidRPr="003C56E3">
        <w:rPr>
          <w:rFonts w:ascii="Times New Roman" w:hAnsi="Times New Roman" w:cs="Times New Roman"/>
          <w:color w:val="000000" w:themeColor="text1"/>
          <w:sz w:val="20"/>
          <w:szCs w:val="20"/>
        </w:rPr>
        <w:t xml:space="preserve"> in </w:t>
      </w:r>
      <w:proofErr w:type="spellStart"/>
      <w:r w:rsidRPr="003C56E3">
        <w:rPr>
          <w:rFonts w:ascii="Times New Roman" w:hAnsi="Times New Roman" w:cs="Times New Roman"/>
          <w:color w:val="000000" w:themeColor="text1"/>
          <w:sz w:val="20"/>
          <w:szCs w:val="20"/>
        </w:rPr>
        <w:t>Turkish</w:t>
      </w:r>
      <w:proofErr w:type="spellEnd"/>
      <w:r w:rsidRPr="003C56E3">
        <w:rPr>
          <w:rFonts w:ascii="Times New Roman" w:hAnsi="Times New Roman" w:cs="Times New Roman"/>
          <w:color w:val="000000" w:themeColor="text1"/>
          <w:sz w:val="20"/>
          <w:szCs w:val="20"/>
        </w:rPr>
        <w:t xml:space="preserve"> </w:t>
      </w:r>
      <w:proofErr w:type="spellStart"/>
      <w:r w:rsidRPr="003C56E3">
        <w:rPr>
          <w:rFonts w:ascii="Times New Roman" w:hAnsi="Times New Roman" w:cs="Times New Roman"/>
          <w:color w:val="000000" w:themeColor="text1"/>
          <w:sz w:val="20"/>
          <w:szCs w:val="20"/>
        </w:rPr>
        <w:t>law</w:t>
      </w:r>
      <w:proofErr w:type="spellEnd"/>
      <w:r w:rsidRPr="003C56E3">
        <w:rPr>
          <w:rFonts w:ascii="Times New Roman" w:hAnsi="Times New Roman" w:cs="Times New Roman"/>
          <w:color w:val="000000" w:themeColor="text1"/>
          <w:sz w:val="20"/>
          <w:szCs w:val="20"/>
        </w:rPr>
        <w:t xml:space="preserve"> as </w:t>
      </w:r>
      <w:proofErr w:type="spellStart"/>
      <w:r w:rsidRPr="003C56E3">
        <w:rPr>
          <w:rFonts w:ascii="Times New Roman" w:hAnsi="Times New Roman" w:cs="Times New Roman"/>
          <w:color w:val="000000" w:themeColor="text1"/>
          <w:sz w:val="20"/>
          <w:szCs w:val="20"/>
        </w:rPr>
        <w:t>contractual</w:t>
      </w:r>
      <w:proofErr w:type="spellEnd"/>
      <w:r w:rsidRPr="003C56E3">
        <w:rPr>
          <w:rFonts w:ascii="Times New Roman" w:hAnsi="Times New Roman" w:cs="Times New Roman"/>
          <w:color w:val="000000" w:themeColor="text1"/>
          <w:sz w:val="20"/>
          <w:szCs w:val="20"/>
        </w:rPr>
        <w:t xml:space="preserve"> </w:t>
      </w:r>
      <w:proofErr w:type="spellStart"/>
      <w:r w:rsidRPr="003C56E3">
        <w:rPr>
          <w:rFonts w:ascii="Times New Roman" w:hAnsi="Times New Roman" w:cs="Times New Roman"/>
          <w:color w:val="000000" w:themeColor="text1"/>
          <w:sz w:val="20"/>
          <w:szCs w:val="20"/>
        </w:rPr>
        <w:t>rights</w:t>
      </w:r>
      <w:proofErr w:type="spellEnd"/>
      <w:r w:rsidRPr="003C56E3">
        <w:rPr>
          <w:rFonts w:ascii="Times New Roman" w:hAnsi="Times New Roman" w:cs="Times New Roman"/>
          <w:color w:val="000000" w:themeColor="text1"/>
          <w:sz w:val="20"/>
          <w:szCs w:val="20"/>
        </w:rPr>
        <w:t xml:space="preserve">). </w:t>
      </w:r>
      <w:hyperlink r:id="rId24" w:anchor="co_pp_sp_162_747" w:history="1">
        <w:proofErr w:type="spellStart"/>
        <w:r w:rsidRPr="003C56E3">
          <w:rPr>
            <w:rFonts w:ascii="Times New Roman" w:hAnsi="Times New Roman" w:cs="Times New Roman"/>
            <w:iCs/>
            <w:color w:val="000000" w:themeColor="text1"/>
            <w:sz w:val="20"/>
            <w:szCs w:val="20"/>
          </w:rPr>
          <w:t>Ellingwood</w:t>
        </w:r>
        <w:proofErr w:type="spellEnd"/>
        <w:r w:rsidRPr="003C56E3">
          <w:rPr>
            <w:rFonts w:ascii="Times New Roman" w:hAnsi="Times New Roman" w:cs="Times New Roman"/>
            <w:iCs/>
            <w:color w:val="000000" w:themeColor="text1"/>
            <w:sz w:val="20"/>
            <w:szCs w:val="20"/>
          </w:rPr>
          <w:t xml:space="preserve"> v. </w:t>
        </w:r>
        <w:proofErr w:type="spellStart"/>
        <w:r w:rsidRPr="003C56E3">
          <w:rPr>
            <w:rFonts w:ascii="Times New Roman" w:hAnsi="Times New Roman" w:cs="Times New Roman"/>
            <w:bCs/>
            <w:iCs/>
            <w:color w:val="000000" w:themeColor="text1"/>
            <w:sz w:val="20"/>
            <w:szCs w:val="20"/>
          </w:rPr>
          <w:t>Wolf's</w:t>
        </w:r>
        <w:proofErr w:type="spellEnd"/>
        <w:r w:rsidRPr="003C56E3">
          <w:rPr>
            <w:rFonts w:ascii="Times New Roman" w:hAnsi="Times New Roman" w:cs="Times New Roman"/>
            <w:iCs/>
            <w:color w:val="000000" w:themeColor="text1"/>
            <w:sz w:val="20"/>
            <w:szCs w:val="20"/>
          </w:rPr>
          <w:t xml:space="preserve"> </w:t>
        </w:r>
        <w:proofErr w:type="spellStart"/>
        <w:r w:rsidRPr="003C56E3">
          <w:rPr>
            <w:rFonts w:ascii="Times New Roman" w:hAnsi="Times New Roman" w:cs="Times New Roman"/>
            <w:bCs/>
            <w:iCs/>
            <w:color w:val="000000" w:themeColor="text1"/>
            <w:sz w:val="20"/>
            <w:szCs w:val="20"/>
          </w:rPr>
          <w:t>Head</w:t>
        </w:r>
        <w:proofErr w:type="spellEnd"/>
        <w:r w:rsidRPr="003C56E3">
          <w:rPr>
            <w:rFonts w:ascii="Times New Roman" w:hAnsi="Times New Roman" w:cs="Times New Roman"/>
            <w:iCs/>
            <w:color w:val="000000" w:themeColor="text1"/>
            <w:sz w:val="20"/>
            <w:szCs w:val="20"/>
          </w:rPr>
          <w:t xml:space="preserve"> </w:t>
        </w:r>
        <w:proofErr w:type="spellStart"/>
        <w:r w:rsidRPr="003C56E3">
          <w:rPr>
            <w:rFonts w:ascii="Times New Roman" w:hAnsi="Times New Roman" w:cs="Times New Roman"/>
            <w:bCs/>
            <w:iCs/>
            <w:color w:val="000000" w:themeColor="text1"/>
            <w:sz w:val="20"/>
            <w:szCs w:val="20"/>
          </w:rPr>
          <w:t>Oil</w:t>
        </w:r>
        <w:proofErr w:type="spellEnd"/>
        <w:r w:rsidRPr="003C56E3">
          <w:rPr>
            <w:rFonts w:ascii="Times New Roman" w:hAnsi="Times New Roman" w:cs="Times New Roman"/>
            <w:iCs/>
            <w:color w:val="000000" w:themeColor="text1"/>
            <w:sz w:val="20"/>
            <w:szCs w:val="20"/>
          </w:rPr>
          <w:t xml:space="preserve"> </w:t>
        </w:r>
        <w:proofErr w:type="spellStart"/>
        <w:r w:rsidRPr="003C56E3">
          <w:rPr>
            <w:rFonts w:ascii="Times New Roman" w:hAnsi="Times New Roman" w:cs="Times New Roman"/>
            <w:iCs/>
            <w:color w:val="000000" w:themeColor="text1"/>
            <w:sz w:val="20"/>
            <w:szCs w:val="20"/>
          </w:rPr>
          <w:t>Refining</w:t>
        </w:r>
        <w:proofErr w:type="spellEnd"/>
        <w:r w:rsidRPr="003C56E3">
          <w:rPr>
            <w:rFonts w:ascii="Times New Roman" w:hAnsi="Times New Roman" w:cs="Times New Roman"/>
            <w:iCs/>
            <w:color w:val="000000" w:themeColor="text1"/>
            <w:sz w:val="20"/>
            <w:szCs w:val="20"/>
          </w:rPr>
          <w:t xml:space="preserve"> </w:t>
        </w:r>
        <w:proofErr w:type="spellStart"/>
        <w:r w:rsidRPr="003C56E3">
          <w:rPr>
            <w:rFonts w:ascii="Times New Roman" w:hAnsi="Times New Roman" w:cs="Times New Roman"/>
            <w:iCs/>
            <w:color w:val="000000" w:themeColor="text1"/>
            <w:sz w:val="20"/>
            <w:szCs w:val="20"/>
          </w:rPr>
          <w:t>Co</w:t>
        </w:r>
        <w:proofErr w:type="spellEnd"/>
        <w:r w:rsidRPr="003C56E3">
          <w:rPr>
            <w:rFonts w:ascii="Times New Roman" w:hAnsi="Times New Roman" w:cs="Times New Roman"/>
            <w:iCs/>
            <w:color w:val="000000" w:themeColor="text1"/>
            <w:sz w:val="20"/>
            <w:szCs w:val="20"/>
          </w:rPr>
          <w:t>.,</w:t>
        </w:r>
        <w:r w:rsidRPr="003C56E3">
          <w:rPr>
            <w:rFonts w:ascii="Times New Roman" w:hAnsi="Times New Roman" w:cs="Times New Roman"/>
            <w:color w:val="000000" w:themeColor="text1"/>
            <w:sz w:val="20"/>
            <w:szCs w:val="20"/>
          </w:rPr>
          <w:t xml:space="preserve"> </w:t>
        </w:r>
        <w:r w:rsidRPr="003C56E3">
          <w:rPr>
            <w:rFonts w:ascii="Times New Roman" w:hAnsi="Times New Roman" w:cs="Times New Roman"/>
            <w:bCs/>
            <w:color w:val="000000" w:themeColor="text1"/>
            <w:sz w:val="20"/>
            <w:szCs w:val="20"/>
          </w:rPr>
          <w:t>38</w:t>
        </w:r>
        <w:r w:rsidRPr="003C56E3">
          <w:rPr>
            <w:rFonts w:ascii="Times New Roman" w:hAnsi="Times New Roman" w:cs="Times New Roman"/>
            <w:color w:val="000000" w:themeColor="text1"/>
            <w:sz w:val="20"/>
            <w:szCs w:val="20"/>
          </w:rPr>
          <w:t xml:space="preserve"> A.2d </w:t>
        </w:r>
        <w:r w:rsidRPr="003C56E3">
          <w:rPr>
            <w:rFonts w:ascii="Times New Roman" w:hAnsi="Times New Roman" w:cs="Times New Roman"/>
            <w:bCs/>
            <w:color w:val="000000" w:themeColor="text1"/>
            <w:sz w:val="20"/>
            <w:szCs w:val="20"/>
          </w:rPr>
          <w:t>743</w:t>
        </w:r>
        <w:r w:rsidRPr="003C56E3">
          <w:rPr>
            <w:rFonts w:ascii="Times New Roman" w:hAnsi="Times New Roman" w:cs="Times New Roman"/>
            <w:color w:val="000000" w:themeColor="text1"/>
            <w:sz w:val="20"/>
            <w:szCs w:val="20"/>
          </w:rPr>
          <w:t xml:space="preserve">, </w:t>
        </w:r>
        <w:r w:rsidRPr="003C56E3">
          <w:rPr>
            <w:rFonts w:ascii="Times New Roman" w:hAnsi="Times New Roman" w:cs="Times New Roman"/>
            <w:bCs/>
            <w:color w:val="000000" w:themeColor="text1"/>
            <w:sz w:val="20"/>
            <w:szCs w:val="20"/>
          </w:rPr>
          <w:t>747</w:t>
        </w:r>
        <w:r w:rsidRPr="003C56E3">
          <w:rPr>
            <w:rFonts w:ascii="Times New Roman" w:hAnsi="Times New Roman" w:cs="Times New Roman"/>
            <w:color w:val="000000" w:themeColor="text1"/>
            <w:sz w:val="20"/>
            <w:szCs w:val="20"/>
          </w:rPr>
          <w:t xml:space="preserve"> (</w:t>
        </w:r>
        <w:r w:rsidRPr="003C56E3">
          <w:rPr>
            <w:rFonts w:ascii="Times New Roman" w:hAnsi="Times New Roman" w:cs="Times New Roman"/>
            <w:bCs/>
            <w:color w:val="000000" w:themeColor="text1"/>
            <w:sz w:val="20"/>
            <w:szCs w:val="20"/>
          </w:rPr>
          <w:t>Del</w:t>
        </w:r>
        <w:r w:rsidRPr="003C56E3">
          <w:rPr>
            <w:rFonts w:ascii="Times New Roman" w:hAnsi="Times New Roman" w:cs="Times New Roman"/>
            <w:color w:val="000000" w:themeColor="text1"/>
            <w:sz w:val="20"/>
            <w:szCs w:val="20"/>
          </w:rPr>
          <w:t>.</w:t>
        </w:r>
        <w:r w:rsidRPr="003C56E3">
          <w:rPr>
            <w:rFonts w:ascii="Times New Roman" w:hAnsi="Times New Roman" w:cs="Times New Roman"/>
            <w:bCs/>
            <w:color w:val="000000" w:themeColor="text1"/>
            <w:sz w:val="20"/>
            <w:szCs w:val="20"/>
          </w:rPr>
          <w:t>194</w:t>
        </w:r>
        <w:r w:rsidRPr="003C56E3">
          <w:rPr>
            <w:rFonts w:ascii="Times New Roman" w:hAnsi="Times New Roman" w:cs="Times New Roman"/>
            <w:bCs/>
            <w:color w:val="000000" w:themeColor="text1"/>
            <w:sz w:val="20"/>
            <w:szCs w:val="20"/>
          </w:rPr>
          <w:t>4</w:t>
        </w:r>
        <w:r w:rsidRPr="003C56E3">
          <w:rPr>
            <w:rFonts w:ascii="Times New Roman" w:hAnsi="Times New Roman" w:cs="Times New Roman"/>
            <w:color w:val="000000" w:themeColor="text1"/>
            <w:sz w:val="20"/>
            <w:szCs w:val="20"/>
          </w:rPr>
          <w:t>)</w:t>
        </w:r>
      </w:hyperlink>
      <w:r w:rsidRPr="003C56E3">
        <w:rPr>
          <w:rFonts w:ascii="Times New Roman" w:hAnsi="Times New Roman" w:cs="Times New Roman"/>
          <w:color w:val="000000" w:themeColor="text1"/>
          <w:sz w:val="20"/>
          <w:szCs w:val="20"/>
        </w:rPr>
        <w:t xml:space="preserve"> (</w:t>
      </w:r>
      <w:proofErr w:type="spellStart"/>
      <w:r w:rsidRPr="003C56E3">
        <w:rPr>
          <w:rFonts w:ascii="Times New Roman" w:hAnsi="Times New Roman" w:cs="Times New Roman"/>
          <w:color w:val="000000" w:themeColor="text1"/>
          <w:sz w:val="20"/>
          <w:szCs w:val="20"/>
        </w:rPr>
        <w:t>stating</w:t>
      </w:r>
      <w:proofErr w:type="spellEnd"/>
      <w:r w:rsidRPr="003C56E3">
        <w:rPr>
          <w:rFonts w:ascii="Times New Roman" w:hAnsi="Times New Roman" w:cs="Times New Roman"/>
          <w:color w:val="000000" w:themeColor="text1"/>
          <w:sz w:val="20"/>
          <w:szCs w:val="20"/>
        </w:rPr>
        <w:t xml:space="preserve"> </w:t>
      </w:r>
      <w:proofErr w:type="spellStart"/>
      <w:r w:rsidRPr="003C56E3">
        <w:rPr>
          <w:rFonts w:ascii="Times New Roman" w:hAnsi="Times New Roman" w:cs="Times New Roman"/>
          <w:color w:val="000000" w:themeColor="text1"/>
          <w:sz w:val="20"/>
          <w:szCs w:val="20"/>
        </w:rPr>
        <w:t>rights</w:t>
      </w:r>
      <w:proofErr w:type="spellEnd"/>
      <w:r w:rsidRPr="003C56E3">
        <w:rPr>
          <w:rFonts w:ascii="Times New Roman" w:hAnsi="Times New Roman" w:cs="Times New Roman"/>
          <w:color w:val="000000" w:themeColor="text1"/>
          <w:sz w:val="20"/>
          <w:szCs w:val="20"/>
        </w:rPr>
        <w:t xml:space="preserve"> of </w:t>
      </w:r>
      <w:proofErr w:type="spellStart"/>
      <w:r w:rsidRPr="003C56E3">
        <w:rPr>
          <w:rFonts w:ascii="Times New Roman" w:hAnsi="Times New Roman" w:cs="Times New Roman"/>
          <w:color w:val="000000" w:themeColor="text1"/>
          <w:sz w:val="20"/>
          <w:szCs w:val="20"/>
        </w:rPr>
        <w:t>stockholders</w:t>
      </w:r>
      <w:proofErr w:type="spellEnd"/>
      <w:r w:rsidRPr="003C56E3">
        <w:rPr>
          <w:rFonts w:ascii="Times New Roman" w:hAnsi="Times New Roman" w:cs="Times New Roman"/>
          <w:color w:val="000000" w:themeColor="text1"/>
          <w:sz w:val="20"/>
          <w:szCs w:val="20"/>
        </w:rPr>
        <w:t xml:space="preserve"> </w:t>
      </w:r>
      <w:proofErr w:type="spellStart"/>
      <w:r w:rsidRPr="003C56E3">
        <w:rPr>
          <w:rFonts w:ascii="Times New Roman" w:hAnsi="Times New Roman" w:cs="Times New Roman"/>
          <w:color w:val="000000" w:themeColor="text1"/>
          <w:sz w:val="20"/>
          <w:szCs w:val="20"/>
        </w:rPr>
        <w:t>are</w:t>
      </w:r>
      <w:proofErr w:type="spellEnd"/>
      <w:r w:rsidRPr="003C56E3">
        <w:rPr>
          <w:rFonts w:ascii="Times New Roman" w:hAnsi="Times New Roman" w:cs="Times New Roman"/>
          <w:color w:val="000000" w:themeColor="text1"/>
          <w:sz w:val="20"/>
          <w:szCs w:val="20"/>
        </w:rPr>
        <w:t xml:space="preserve"> </w:t>
      </w:r>
      <w:proofErr w:type="spellStart"/>
      <w:r w:rsidRPr="003C56E3">
        <w:rPr>
          <w:rFonts w:ascii="Times New Roman" w:hAnsi="Times New Roman" w:cs="Times New Roman"/>
          <w:color w:val="000000" w:themeColor="text1"/>
          <w:sz w:val="20"/>
          <w:szCs w:val="20"/>
        </w:rPr>
        <w:t>contract</w:t>
      </w:r>
      <w:proofErr w:type="spellEnd"/>
      <w:r w:rsidRPr="003C56E3">
        <w:rPr>
          <w:rFonts w:ascii="Times New Roman" w:hAnsi="Times New Roman" w:cs="Times New Roman"/>
          <w:color w:val="000000" w:themeColor="text1"/>
          <w:sz w:val="20"/>
          <w:szCs w:val="20"/>
        </w:rPr>
        <w:t xml:space="preserve"> </w:t>
      </w:r>
      <w:proofErr w:type="spellStart"/>
      <w:r w:rsidRPr="003C56E3">
        <w:rPr>
          <w:rFonts w:ascii="Times New Roman" w:hAnsi="Times New Roman" w:cs="Times New Roman"/>
          <w:color w:val="000000" w:themeColor="text1"/>
          <w:sz w:val="20"/>
          <w:szCs w:val="20"/>
        </w:rPr>
        <w:t>rights</w:t>
      </w:r>
      <w:proofErr w:type="spellEnd"/>
      <w:r w:rsidRPr="003C56E3">
        <w:rPr>
          <w:rFonts w:ascii="Times New Roman" w:hAnsi="Times New Roman" w:cs="Times New Roman"/>
          <w:color w:val="000000" w:themeColor="text1"/>
          <w:sz w:val="20"/>
          <w:szCs w:val="20"/>
        </w:rPr>
        <w:t>)</w:t>
      </w:r>
      <w:r w:rsidRPr="004A739B">
        <w:rPr>
          <w:rFonts w:ascii="Times New Roman" w:hAnsi="Times New Roman" w:cs="Times New Roman"/>
          <w:lang w:val="en-US" w:eastAsia="en-US"/>
        </w:rPr>
        <w:t xml:space="preserve">). </w:t>
      </w:r>
      <w:r w:rsidRPr="004A739B">
        <w:rPr>
          <w:rFonts w:ascii="Times New Roman" w:hAnsi="Times New Roman" w:cs="Times New Roman"/>
          <w:sz w:val="20"/>
          <w:szCs w:val="20"/>
        </w:rPr>
        <w:t xml:space="preserve"> </w:t>
      </w:r>
    </w:p>
  </w:footnote>
  <w:footnote w:id="48">
    <w:p w14:paraId="140B1598" w14:textId="07B2D60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Del. Code Ch. 1 Title 8 Sec. 101 (b): “A corporation may be incorporated or organized under this chapter to conduct or promote any lawful business or purposes, except as may otherwise </w:t>
      </w:r>
      <w:proofErr w:type="spellStart"/>
      <w:r w:rsidRPr="009975EA">
        <w:rPr>
          <w:rFonts w:ascii="Times New Roman" w:hAnsi="Times New Roman" w:cs="Times New Roman"/>
          <w:sz w:val="20"/>
          <w:szCs w:val="20"/>
        </w:rPr>
        <w:t>provided</w:t>
      </w:r>
      <w:proofErr w:type="spellEnd"/>
      <w:r w:rsidRPr="009975EA">
        <w:rPr>
          <w:rFonts w:ascii="Times New Roman" w:hAnsi="Times New Roman" w:cs="Times New Roman"/>
          <w:sz w:val="20"/>
          <w:szCs w:val="20"/>
        </w:rPr>
        <w:t xml:space="preserve"> by the Constitution or other law of this State.”</w:t>
      </w:r>
    </w:p>
  </w:footnote>
  <w:footnote w:id="49">
    <w:p w14:paraId="5CF7C784" w14:textId="3A3C761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example, rules limiting corporations’ donations to political parties for elections, civil rights acts prohibiting corporations’ right to refuse to do business with people due to religious grounds, tax law, or rules of competition law controlling how a corporation treats a competitor can limit the benefits a shareholder can extract from his investment. </w:t>
      </w:r>
    </w:p>
    <w:p w14:paraId="08481E9F" w14:textId="06FD1E35" w:rsidR="00D36541" w:rsidRPr="009975EA" w:rsidRDefault="00D36541" w:rsidP="009975EA">
      <w:pPr>
        <w:pStyle w:val="DipnotMetni"/>
        <w:jc w:val="both"/>
        <w:rPr>
          <w:rFonts w:ascii="Times New Roman" w:hAnsi="Times New Roman" w:cs="Times New Roman"/>
          <w:color w:val="000000" w:themeColor="text1"/>
          <w:sz w:val="20"/>
          <w:szCs w:val="20"/>
        </w:rPr>
      </w:pPr>
      <w:r w:rsidRPr="009975EA">
        <w:rPr>
          <w:rFonts w:ascii="Times New Roman" w:hAnsi="Times New Roman" w:cs="Times New Roman"/>
          <w:color w:val="000000" w:themeColor="text1"/>
          <w:sz w:val="20"/>
          <w:szCs w:val="20"/>
        </w:rPr>
        <w:t xml:space="preserve">Likewise, a corporation’s obligation to abide by some rules due to its registration with an international organization might restrict how it operates. For example, soccer clubs competing in Europe’s UEFA club competitions are required to comply with the Financial Fair Play rules implemented by the organization, thus they must organize their finances according to the “break- even” rules therein, or face administrative sanctions (See: Valerie Kaplan, </w:t>
      </w:r>
      <w:r w:rsidRPr="0044712D">
        <w:rPr>
          <w:rFonts w:ascii="Times New Roman" w:hAnsi="Times New Roman" w:cs="Times New Roman"/>
          <w:i/>
          <w:color w:val="000000" w:themeColor="text1"/>
          <w:sz w:val="20"/>
          <w:szCs w:val="20"/>
        </w:rPr>
        <w:t xml:space="preserve">UEFA Financial </w:t>
      </w:r>
      <w:proofErr w:type="spellStart"/>
      <w:r w:rsidRPr="0044712D">
        <w:rPr>
          <w:rFonts w:ascii="Times New Roman" w:hAnsi="Times New Roman" w:cs="Times New Roman"/>
          <w:i/>
          <w:color w:val="000000" w:themeColor="text1"/>
          <w:sz w:val="20"/>
          <w:szCs w:val="20"/>
        </w:rPr>
        <w:t>Fairplay</w:t>
      </w:r>
      <w:proofErr w:type="spellEnd"/>
      <w:r w:rsidRPr="0044712D">
        <w:rPr>
          <w:rFonts w:ascii="Times New Roman" w:hAnsi="Times New Roman" w:cs="Times New Roman"/>
          <w:i/>
          <w:color w:val="000000" w:themeColor="text1"/>
          <w:sz w:val="20"/>
          <w:szCs w:val="20"/>
        </w:rPr>
        <w:t xml:space="preserve"> Regulations and European Union Antitrust Law Complication</w:t>
      </w:r>
      <w:r w:rsidRPr="009975EA">
        <w:rPr>
          <w:rFonts w:ascii="Times New Roman" w:hAnsi="Times New Roman" w:cs="Times New Roman"/>
          <w:color w:val="000000" w:themeColor="text1"/>
          <w:sz w:val="20"/>
          <w:szCs w:val="20"/>
        </w:rPr>
        <w:t xml:space="preserve">s, </w:t>
      </w:r>
      <w:hyperlink r:id="rId25" w:history="1">
        <w:r w:rsidRPr="009975EA">
          <w:rPr>
            <w:rStyle w:val="Kpr"/>
            <w:rFonts w:ascii="Times New Roman" w:hAnsi="Times New Roman" w:cs="Times New Roman"/>
            <w:sz w:val="20"/>
            <w:szCs w:val="20"/>
          </w:rPr>
          <w:t>http://law.emory.edu/eilr/content/volume-29/issue-4/comments/uefa-fairplay-european-union-antitrust.html</w:t>
        </w:r>
      </w:hyperlink>
      <w:r w:rsidRPr="009975EA">
        <w:rPr>
          <w:rFonts w:ascii="Times New Roman" w:hAnsi="Times New Roman" w:cs="Times New Roman"/>
          <w:color w:val="000000" w:themeColor="text1"/>
          <w:sz w:val="20"/>
          <w:szCs w:val="20"/>
        </w:rPr>
        <w:t xml:space="preserve">, Last visited: 27/12/2016). Hence, </w:t>
      </w:r>
      <w:proofErr w:type="gramStart"/>
      <w:r w:rsidRPr="009975EA">
        <w:rPr>
          <w:rFonts w:ascii="Times New Roman" w:hAnsi="Times New Roman" w:cs="Times New Roman"/>
          <w:color w:val="000000" w:themeColor="text1"/>
          <w:sz w:val="20"/>
          <w:szCs w:val="20"/>
        </w:rPr>
        <w:t>how</w:t>
      </w:r>
      <w:proofErr w:type="gramEnd"/>
      <w:r w:rsidRPr="009975EA">
        <w:rPr>
          <w:rFonts w:ascii="Times New Roman" w:hAnsi="Times New Roman" w:cs="Times New Roman"/>
          <w:color w:val="000000" w:themeColor="text1"/>
          <w:sz w:val="20"/>
          <w:szCs w:val="20"/>
        </w:rPr>
        <w:t xml:space="preserve"> and how much they spend money is under scrutiny, which constrains the investors extracting non- pecuniary benefits. </w:t>
      </w:r>
    </w:p>
  </w:footnote>
  <w:footnote w:id="50">
    <w:p w14:paraId="6ABB5B51" w14:textId="46572EC2"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Yop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Kang</w:t>
      </w:r>
      <w:proofErr w:type="spellEnd"/>
      <w:r w:rsidRPr="009975EA">
        <w:rPr>
          <w:rFonts w:ascii="Times New Roman" w:hAnsi="Times New Roman" w:cs="Times New Roman"/>
          <w:sz w:val="20"/>
          <w:szCs w:val="20"/>
        </w:rPr>
        <w:t xml:space="preserve">, </w:t>
      </w:r>
      <w:r w:rsidRPr="0044712D">
        <w:rPr>
          <w:rFonts w:ascii="Times New Roman" w:hAnsi="Times New Roman" w:cs="Times New Roman"/>
          <w:i/>
          <w:sz w:val="20"/>
          <w:szCs w:val="20"/>
        </w:rPr>
        <w:t>“</w:t>
      </w:r>
      <w:proofErr w:type="spellStart"/>
      <w:r w:rsidRPr="0044712D">
        <w:rPr>
          <w:rFonts w:ascii="Times New Roman" w:hAnsi="Times New Roman" w:cs="Times New Roman"/>
          <w:i/>
          <w:sz w:val="20"/>
          <w:szCs w:val="20"/>
        </w:rPr>
        <w:t>Generous</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Thieves</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The</w:t>
      </w:r>
      <w:proofErr w:type="spellEnd"/>
      <w:r w:rsidRPr="0044712D">
        <w:rPr>
          <w:rFonts w:ascii="Times New Roman" w:hAnsi="Times New Roman" w:cs="Times New Roman"/>
          <w:i/>
          <w:sz w:val="20"/>
          <w:szCs w:val="20"/>
        </w:rPr>
        <w:t xml:space="preserve"> Puzzle of </w:t>
      </w:r>
      <w:proofErr w:type="spellStart"/>
      <w:r w:rsidRPr="0044712D">
        <w:rPr>
          <w:rFonts w:ascii="Times New Roman" w:hAnsi="Times New Roman" w:cs="Times New Roman"/>
          <w:i/>
          <w:sz w:val="20"/>
          <w:szCs w:val="20"/>
        </w:rPr>
        <w:t>Controlling</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Shareholder</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Arrangements</w:t>
      </w:r>
      <w:proofErr w:type="spellEnd"/>
      <w:r w:rsidRPr="0044712D">
        <w:rPr>
          <w:rFonts w:ascii="Times New Roman" w:hAnsi="Times New Roman" w:cs="Times New Roman"/>
          <w:i/>
          <w:sz w:val="20"/>
          <w:szCs w:val="20"/>
        </w:rPr>
        <w:t xml:space="preserve"> in </w:t>
      </w:r>
      <w:proofErr w:type="spellStart"/>
      <w:r w:rsidRPr="0044712D">
        <w:rPr>
          <w:rFonts w:ascii="Times New Roman" w:hAnsi="Times New Roman" w:cs="Times New Roman"/>
          <w:i/>
          <w:sz w:val="20"/>
          <w:szCs w:val="20"/>
        </w:rPr>
        <w:t>Bad-Law</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Jurisdictions</w:t>
      </w:r>
      <w:proofErr w:type="spellEnd"/>
      <w:r w:rsidRPr="009975EA">
        <w:rPr>
          <w:rFonts w:ascii="Times New Roman" w:hAnsi="Times New Roman" w:cs="Times New Roman"/>
          <w:sz w:val="20"/>
          <w:szCs w:val="20"/>
        </w:rPr>
        <w:t xml:space="preserve">, 21 </w:t>
      </w:r>
      <w:proofErr w:type="spellStart"/>
      <w:r w:rsidRPr="009975EA">
        <w:rPr>
          <w:rFonts w:ascii="Times New Roman" w:hAnsi="Times New Roman" w:cs="Times New Roman"/>
          <w:sz w:val="20"/>
          <w:szCs w:val="20"/>
        </w:rPr>
        <w:t>Sta</w:t>
      </w:r>
      <w:r>
        <w:rPr>
          <w:rFonts w:ascii="Times New Roman" w:hAnsi="Times New Roman" w:cs="Times New Roman"/>
          <w:sz w:val="20"/>
          <w:szCs w:val="20"/>
        </w:rPr>
        <w:t>n</w:t>
      </w:r>
      <w:proofErr w:type="spellEnd"/>
      <w:r>
        <w:rPr>
          <w:rFonts w:ascii="Times New Roman" w:hAnsi="Times New Roman" w:cs="Times New Roman"/>
          <w:sz w:val="20"/>
          <w:szCs w:val="20"/>
        </w:rPr>
        <w:t xml:space="preserve">. J.L. </w:t>
      </w:r>
      <w:proofErr w:type="spellStart"/>
      <w:r>
        <w:rPr>
          <w:rFonts w:ascii="Times New Roman" w:hAnsi="Times New Roman" w:cs="Times New Roman"/>
          <w:sz w:val="20"/>
          <w:szCs w:val="20"/>
        </w:rPr>
        <w:t>Bus</w:t>
      </w:r>
      <w:proofErr w:type="spellEnd"/>
      <w:r>
        <w:rPr>
          <w:rFonts w:ascii="Times New Roman" w:hAnsi="Times New Roman" w:cs="Times New Roman"/>
          <w:sz w:val="20"/>
          <w:szCs w:val="20"/>
        </w:rPr>
        <w:t xml:space="preserve">. &amp; Fin. 57 (2015) at </w:t>
      </w:r>
      <w:r w:rsidRPr="009975EA">
        <w:rPr>
          <w:rFonts w:ascii="Times New Roman" w:hAnsi="Times New Roman" w:cs="Times New Roman"/>
          <w:sz w:val="20"/>
          <w:szCs w:val="20"/>
        </w:rPr>
        <w:t>87;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institutions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inclined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activist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associated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governments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labor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often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appear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driven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concerns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desire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increase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economic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performance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Leo</w:t>
      </w:r>
      <w:proofErr w:type="spellEnd"/>
      <w:r w:rsidRPr="009975EA">
        <w:rPr>
          <w:rFonts w:ascii="Times New Roman" w:hAnsi="Times New Roman" w:cs="Times New Roman"/>
          <w:sz w:val="20"/>
          <w:szCs w:val="20"/>
        </w:rPr>
        <w:t xml:space="preserve"> E. </w:t>
      </w:r>
      <w:proofErr w:type="spellStart"/>
      <w:r w:rsidRPr="009975EA">
        <w:rPr>
          <w:rFonts w:ascii="Times New Roman" w:hAnsi="Times New Roman" w:cs="Times New Roman"/>
          <w:sz w:val="20"/>
          <w:szCs w:val="20"/>
        </w:rPr>
        <w:t>Strine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Jr</w:t>
      </w:r>
      <w:proofErr w:type="spellEnd"/>
      <w:r w:rsidRPr="009975EA">
        <w:rPr>
          <w:rFonts w:ascii="Times New Roman" w:hAnsi="Times New Roman" w:cs="Times New Roman"/>
          <w:sz w:val="20"/>
          <w:szCs w:val="20"/>
        </w:rPr>
        <w:t xml:space="preserve">., </w:t>
      </w:r>
      <w:proofErr w:type="spellStart"/>
      <w:r w:rsidRPr="0044712D">
        <w:rPr>
          <w:rFonts w:ascii="Times New Roman" w:hAnsi="Times New Roman" w:cs="Times New Roman"/>
          <w:i/>
          <w:sz w:val="20"/>
          <w:szCs w:val="20"/>
        </w:rPr>
        <w:t>Toward</w:t>
      </w:r>
      <w:proofErr w:type="spellEnd"/>
      <w:r w:rsidRPr="0044712D">
        <w:rPr>
          <w:rFonts w:ascii="Times New Roman" w:hAnsi="Times New Roman" w:cs="Times New Roman"/>
          <w:i/>
          <w:sz w:val="20"/>
          <w:szCs w:val="20"/>
        </w:rPr>
        <w:t xml:space="preserve"> a True </w:t>
      </w:r>
      <w:proofErr w:type="spellStart"/>
      <w:r w:rsidRPr="0044712D">
        <w:rPr>
          <w:rFonts w:ascii="Times New Roman" w:hAnsi="Times New Roman" w:cs="Times New Roman"/>
          <w:i/>
          <w:sz w:val="20"/>
          <w:szCs w:val="20"/>
        </w:rPr>
        <w:t>Corporate</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Republic</w:t>
      </w:r>
      <w:proofErr w:type="spellEnd"/>
      <w:r w:rsidRPr="0044712D">
        <w:rPr>
          <w:rFonts w:ascii="Times New Roman" w:hAnsi="Times New Roman" w:cs="Times New Roman"/>
          <w:i/>
          <w:sz w:val="20"/>
          <w:szCs w:val="20"/>
        </w:rPr>
        <w:t xml:space="preserve">: A </w:t>
      </w:r>
      <w:proofErr w:type="spellStart"/>
      <w:r w:rsidRPr="0044712D">
        <w:rPr>
          <w:rFonts w:ascii="Times New Roman" w:hAnsi="Times New Roman" w:cs="Times New Roman"/>
          <w:i/>
          <w:sz w:val="20"/>
          <w:szCs w:val="20"/>
        </w:rPr>
        <w:t>Traditionalist</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Response</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to</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Bebchuk’s</w:t>
      </w:r>
      <w:proofErr w:type="spellEnd"/>
      <w:r w:rsidRPr="0044712D">
        <w:rPr>
          <w:rFonts w:ascii="Times New Roman" w:hAnsi="Times New Roman" w:cs="Times New Roman"/>
          <w:i/>
          <w:sz w:val="20"/>
          <w:szCs w:val="20"/>
        </w:rPr>
        <w:t xml:space="preserve"> Solution </w:t>
      </w:r>
      <w:proofErr w:type="spellStart"/>
      <w:r w:rsidRPr="0044712D">
        <w:rPr>
          <w:rFonts w:ascii="Times New Roman" w:hAnsi="Times New Roman" w:cs="Times New Roman"/>
          <w:i/>
          <w:sz w:val="20"/>
          <w:szCs w:val="20"/>
        </w:rPr>
        <w:t>for</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Improving</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Corporate</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America</w:t>
      </w:r>
      <w:proofErr w:type="spellEnd"/>
      <w:r w:rsidRPr="009975EA">
        <w:rPr>
          <w:rFonts w:ascii="Times New Roman" w:hAnsi="Times New Roman" w:cs="Times New Roman"/>
          <w:sz w:val="20"/>
          <w:szCs w:val="20"/>
        </w:rPr>
        <w:t>, 1</w:t>
      </w:r>
      <w:r>
        <w:rPr>
          <w:rFonts w:ascii="Times New Roman" w:hAnsi="Times New Roman" w:cs="Times New Roman"/>
          <w:sz w:val="20"/>
          <w:szCs w:val="20"/>
        </w:rPr>
        <w:t xml:space="preserve">19 </w:t>
      </w:r>
      <w:proofErr w:type="spellStart"/>
      <w:r>
        <w:rPr>
          <w:rFonts w:ascii="Times New Roman" w:hAnsi="Times New Roman" w:cs="Times New Roman"/>
          <w:sz w:val="20"/>
          <w:szCs w:val="20"/>
        </w:rPr>
        <w:t>Harv</w:t>
      </w:r>
      <w:proofErr w:type="spellEnd"/>
      <w:r>
        <w:rPr>
          <w:rFonts w:ascii="Times New Roman" w:hAnsi="Times New Roman" w:cs="Times New Roman"/>
          <w:sz w:val="20"/>
          <w:szCs w:val="20"/>
        </w:rPr>
        <w:t xml:space="preserve">. L. </w:t>
      </w:r>
      <w:proofErr w:type="spellStart"/>
      <w:r>
        <w:rPr>
          <w:rFonts w:ascii="Times New Roman" w:hAnsi="Times New Roman" w:cs="Times New Roman"/>
          <w:sz w:val="20"/>
          <w:szCs w:val="20"/>
        </w:rPr>
        <w:t>Rev</w:t>
      </w:r>
      <w:proofErr w:type="spellEnd"/>
      <w:r>
        <w:rPr>
          <w:rFonts w:ascii="Times New Roman" w:hAnsi="Times New Roman" w:cs="Times New Roman"/>
          <w:sz w:val="20"/>
          <w:szCs w:val="20"/>
        </w:rPr>
        <w:t xml:space="preserve">. 1759 (2006) at </w:t>
      </w:r>
      <w:r w:rsidRPr="009975EA">
        <w:rPr>
          <w:rFonts w:ascii="Times New Roman" w:hAnsi="Times New Roman" w:cs="Times New Roman"/>
          <w:sz w:val="20"/>
          <w:szCs w:val="20"/>
        </w:rPr>
        <w:t>1765)</w:t>
      </w:r>
    </w:p>
  </w:footnote>
  <w:footnote w:id="51">
    <w:p w14:paraId="5CDE7C69" w14:textId="29B3E8EC" w:rsidR="00BB5A44" w:rsidRPr="004A739B" w:rsidRDefault="00BB5A44" w:rsidP="004A739B">
      <w:pPr>
        <w:jc w:val="both"/>
        <w:rPr>
          <w:rFonts w:ascii="Times New Roman" w:hAnsi="Times New Roman" w:cs="Times New Roman"/>
          <w:sz w:val="20"/>
          <w:szCs w:val="20"/>
        </w:rPr>
      </w:pPr>
      <w:r w:rsidRPr="004A739B">
        <w:rPr>
          <w:rStyle w:val="DipnotBavurusu"/>
          <w:sz w:val="20"/>
          <w:szCs w:val="20"/>
        </w:rPr>
        <w:footnoteRef/>
      </w:r>
      <w:r w:rsidRPr="004A739B">
        <w:rPr>
          <w:sz w:val="20"/>
          <w:szCs w:val="20"/>
        </w:rPr>
        <w:t xml:space="preserve"> </w:t>
      </w:r>
      <w:proofErr w:type="spellStart"/>
      <w:r w:rsidRPr="004A739B">
        <w:rPr>
          <w:rFonts w:ascii="Times New Roman" w:hAnsi="Times New Roman" w:cs="Times New Roman"/>
          <w:sz w:val="20"/>
          <w:szCs w:val="20"/>
        </w:rPr>
        <w:t>All</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over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world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national</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laws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recognize</w:t>
      </w:r>
      <w:proofErr w:type="spellEnd"/>
      <w:r w:rsidRPr="004A739B">
        <w:rPr>
          <w:rFonts w:ascii="Times New Roman" w:hAnsi="Times New Roman" w:cs="Times New Roman"/>
          <w:sz w:val="20"/>
          <w:szCs w:val="20"/>
        </w:rPr>
        <w:t xml:space="preserve"> a </w:t>
      </w:r>
      <w:proofErr w:type="spellStart"/>
      <w:r w:rsidRPr="004A739B">
        <w:rPr>
          <w:rFonts w:ascii="Times New Roman" w:hAnsi="Times New Roman" w:cs="Times New Roman"/>
          <w:sz w:val="20"/>
          <w:szCs w:val="20"/>
        </w:rPr>
        <w:t>variety</w:t>
      </w:r>
      <w:proofErr w:type="spellEnd"/>
      <w:r w:rsidRPr="004A739B">
        <w:rPr>
          <w:rFonts w:ascii="Times New Roman" w:hAnsi="Times New Roman" w:cs="Times New Roman"/>
          <w:sz w:val="20"/>
          <w:szCs w:val="20"/>
        </w:rPr>
        <w:t xml:space="preserve"> of legal </w:t>
      </w:r>
      <w:proofErr w:type="spellStart"/>
      <w:r w:rsidRPr="004A739B">
        <w:rPr>
          <w:rFonts w:ascii="Times New Roman" w:hAnsi="Times New Roman" w:cs="Times New Roman"/>
          <w:sz w:val="20"/>
          <w:szCs w:val="20"/>
        </w:rPr>
        <w:t>units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through</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which</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individuals</w:t>
      </w:r>
      <w:proofErr w:type="spellEnd"/>
      <w:r w:rsidRPr="004A739B">
        <w:rPr>
          <w:rFonts w:ascii="Times New Roman" w:hAnsi="Times New Roman" w:cs="Times New Roman"/>
          <w:sz w:val="20"/>
          <w:szCs w:val="20"/>
        </w:rPr>
        <w:t xml:space="preserve"> can </w:t>
      </w:r>
      <w:proofErr w:type="spellStart"/>
      <w:r w:rsidRPr="004A739B">
        <w:rPr>
          <w:rFonts w:ascii="Times New Roman" w:hAnsi="Times New Roman" w:cs="Times New Roman"/>
          <w:sz w:val="20"/>
          <w:szCs w:val="20"/>
        </w:rPr>
        <w:t>conduct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their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profit-oriented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activities</w:t>
      </w:r>
      <w:proofErr w:type="spellEnd"/>
      <w:r w:rsidRPr="004A739B">
        <w:rPr>
          <w:rFonts w:ascii="Times New Roman" w:hAnsi="Times New Roman" w:cs="Times New Roman"/>
          <w:sz w:val="20"/>
          <w:szCs w:val="20"/>
        </w:rPr>
        <w:t xml:space="preserve">. People, </w:t>
      </w:r>
      <w:proofErr w:type="spellStart"/>
      <w:r w:rsidRPr="004A739B">
        <w:rPr>
          <w:rFonts w:ascii="Times New Roman" w:hAnsi="Times New Roman" w:cs="Times New Roman"/>
          <w:sz w:val="20"/>
          <w:szCs w:val="20"/>
        </w:rPr>
        <w:t>who</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want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to</w:t>
      </w:r>
      <w:proofErr w:type="spellEnd"/>
      <w:r w:rsidRPr="004A739B">
        <w:rPr>
          <w:rFonts w:ascii="Times New Roman" w:hAnsi="Times New Roman" w:cs="Times New Roman"/>
          <w:sz w:val="20"/>
          <w:szCs w:val="20"/>
        </w:rPr>
        <w:t xml:space="preserve"> do </w:t>
      </w:r>
      <w:proofErr w:type="spellStart"/>
      <w:r w:rsidRPr="004A739B">
        <w:rPr>
          <w:rFonts w:ascii="Times New Roman" w:hAnsi="Times New Roman" w:cs="Times New Roman"/>
          <w:sz w:val="20"/>
          <w:szCs w:val="20"/>
        </w:rPr>
        <w:t>business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or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have</w:t>
      </w:r>
      <w:proofErr w:type="spellEnd"/>
      <w:r w:rsidRPr="004A739B">
        <w:rPr>
          <w:rFonts w:ascii="Times New Roman" w:hAnsi="Times New Roman" w:cs="Times New Roman"/>
          <w:sz w:val="20"/>
          <w:szCs w:val="20"/>
        </w:rPr>
        <w:t xml:space="preserve"> a </w:t>
      </w:r>
      <w:proofErr w:type="spellStart"/>
      <w:r w:rsidRPr="004A739B">
        <w:rPr>
          <w:rFonts w:ascii="Times New Roman" w:hAnsi="Times New Roman" w:cs="Times New Roman"/>
          <w:sz w:val="20"/>
          <w:szCs w:val="20"/>
        </w:rPr>
        <w:t>stake</w:t>
      </w:r>
      <w:proofErr w:type="spellEnd"/>
      <w:r w:rsidRPr="004A739B">
        <w:rPr>
          <w:rFonts w:ascii="Times New Roman" w:hAnsi="Times New Roman" w:cs="Times New Roman"/>
          <w:sz w:val="20"/>
          <w:szCs w:val="20"/>
        </w:rPr>
        <w:t xml:space="preserve"> in, </w:t>
      </w:r>
      <w:proofErr w:type="spellStart"/>
      <w:r w:rsidRPr="004A739B">
        <w:rPr>
          <w:rFonts w:ascii="Times New Roman" w:hAnsi="Times New Roman" w:cs="Times New Roman"/>
          <w:sz w:val="20"/>
          <w:szCs w:val="20"/>
        </w:rPr>
        <w:t>generally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voluntarily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choose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best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suitable</w:t>
      </w:r>
      <w:proofErr w:type="spellEnd"/>
      <w:r w:rsidRPr="004A739B">
        <w:rPr>
          <w:rFonts w:ascii="Times New Roman" w:hAnsi="Times New Roman" w:cs="Times New Roman"/>
          <w:sz w:val="20"/>
          <w:szCs w:val="20"/>
        </w:rPr>
        <w:t xml:space="preserve"> legal model </w:t>
      </w:r>
      <w:proofErr w:type="spellStart"/>
      <w:r w:rsidRPr="004A739B">
        <w:rPr>
          <w:rFonts w:ascii="Times New Roman" w:hAnsi="Times New Roman" w:cs="Times New Roman"/>
          <w:sz w:val="20"/>
          <w:szCs w:val="20"/>
        </w:rPr>
        <w:t>for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themselves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among</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provided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ones</w:t>
      </w:r>
      <w:proofErr w:type="spellEnd"/>
      <w:r w:rsidRPr="004A739B">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Although</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there</w:t>
      </w:r>
      <w:proofErr w:type="spellEnd"/>
      <w:r w:rsidRPr="00BB5A44">
        <w:rPr>
          <w:rFonts w:ascii="Times New Roman" w:hAnsi="Times New Roman" w:cs="Times New Roman"/>
          <w:sz w:val="20"/>
          <w:szCs w:val="20"/>
        </w:rPr>
        <w:t xml:space="preserve"> is </w:t>
      </w:r>
      <w:proofErr w:type="spellStart"/>
      <w:r w:rsidRPr="00BB5A44">
        <w:rPr>
          <w:rFonts w:ascii="Times New Roman" w:hAnsi="Times New Roman" w:cs="Times New Roman"/>
          <w:sz w:val="20"/>
          <w:szCs w:val="20"/>
        </w:rPr>
        <w:t>freedom</w:t>
      </w:r>
      <w:proofErr w:type="spellEnd"/>
      <w:r w:rsidRPr="00BB5A44">
        <w:rPr>
          <w:rFonts w:ascii="Times New Roman" w:hAnsi="Times New Roman" w:cs="Times New Roman"/>
          <w:sz w:val="20"/>
          <w:szCs w:val="20"/>
        </w:rPr>
        <w:t xml:space="preserve"> of </w:t>
      </w:r>
      <w:proofErr w:type="spellStart"/>
      <w:r w:rsidRPr="00BB5A44">
        <w:rPr>
          <w:rFonts w:ascii="Times New Roman" w:hAnsi="Times New Roman" w:cs="Times New Roman"/>
          <w:sz w:val="20"/>
          <w:szCs w:val="20"/>
        </w:rPr>
        <w:t>choice</w:t>
      </w:r>
      <w:proofErr w:type="spellEnd"/>
      <w:r w:rsidRPr="00BB5A44">
        <w:rPr>
          <w:rFonts w:ascii="Times New Roman" w:hAnsi="Times New Roman" w:cs="Times New Roman"/>
          <w:sz w:val="20"/>
          <w:szCs w:val="20"/>
        </w:rPr>
        <w:t xml:space="preserve"> in </w:t>
      </w:r>
      <w:proofErr w:type="spellStart"/>
      <w:r w:rsidRPr="00BB5A44">
        <w:rPr>
          <w:rFonts w:ascii="Times New Roman" w:hAnsi="Times New Roman" w:cs="Times New Roman"/>
          <w:sz w:val="20"/>
          <w:szCs w:val="20"/>
        </w:rPr>
        <w:t>terms</w:t>
      </w:r>
      <w:proofErr w:type="spellEnd"/>
      <w:r w:rsidRPr="00BB5A44">
        <w:rPr>
          <w:rFonts w:ascii="Times New Roman" w:hAnsi="Times New Roman" w:cs="Times New Roman"/>
          <w:sz w:val="20"/>
          <w:szCs w:val="20"/>
        </w:rPr>
        <w:t xml:space="preserve"> of legal </w:t>
      </w:r>
      <w:proofErr w:type="spellStart"/>
      <w:r w:rsidRPr="00BB5A44">
        <w:rPr>
          <w:rFonts w:ascii="Times New Roman" w:hAnsi="Times New Roman" w:cs="Times New Roman"/>
          <w:sz w:val="20"/>
          <w:szCs w:val="20"/>
        </w:rPr>
        <w:t>models</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for</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some</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types</w:t>
      </w:r>
      <w:proofErr w:type="spellEnd"/>
      <w:r w:rsidRPr="00BB5A44">
        <w:rPr>
          <w:rFonts w:ascii="Times New Roman" w:hAnsi="Times New Roman" w:cs="Times New Roman"/>
          <w:sz w:val="20"/>
          <w:szCs w:val="20"/>
        </w:rPr>
        <w:t xml:space="preserve"> of </w:t>
      </w:r>
      <w:proofErr w:type="spellStart"/>
      <w:r w:rsidRPr="00BB5A44">
        <w:rPr>
          <w:rFonts w:ascii="Times New Roman" w:hAnsi="Times New Roman" w:cs="Times New Roman"/>
          <w:sz w:val="20"/>
          <w:szCs w:val="20"/>
        </w:rPr>
        <w:t>business</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activities</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like</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banking</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and</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insurance</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selection</w:t>
      </w:r>
      <w:proofErr w:type="spellEnd"/>
      <w:r w:rsidRPr="00BB5A44">
        <w:rPr>
          <w:rFonts w:ascii="Times New Roman" w:hAnsi="Times New Roman" w:cs="Times New Roman"/>
          <w:sz w:val="20"/>
          <w:szCs w:val="20"/>
        </w:rPr>
        <w:t xml:space="preserve"> of </w:t>
      </w:r>
      <w:proofErr w:type="spellStart"/>
      <w:r w:rsidRPr="00BB5A44">
        <w:rPr>
          <w:rFonts w:ascii="Times New Roman" w:hAnsi="Times New Roman" w:cs="Times New Roman"/>
          <w:sz w:val="20"/>
          <w:szCs w:val="20"/>
        </w:rPr>
        <w:t>some</w:t>
      </w:r>
      <w:proofErr w:type="spellEnd"/>
      <w:r w:rsidRPr="00BB5A44">
        <w:rPr>
          <w:rFonts w:ascii="Times New Roman" w:hAnsi="Times New Roman" w:cs="Times New Roman"/>
          <w:sz w:val="20"/>
          <w:szCs w:val="20"/>
        </w:rPr>
        <w:t xml:space="preserve"> legal </w:t>
      </w:r>
      <w:proofErr w:type="spellStart"/>
      <w:r w:rsidRPr="00BB5A44">
        <w:rPr>
          <w:rFonts w:ascii="Times New Roman" w:hAnsi="Times New Roman" w:cs="Times New Roman"/>
          <w:sz w:val="20"/>
          <w:szCs w:val="20"/>
        </w:rPr>
        <w:t>models</w:t>
      </w:r>
      <w:proofErr w:type="spellEnd"/>
      <w:r w:rsidRPr="00BB5A44">
        <w:rPr>
          <w:rFonts w:ascii="Times New Roman" w:hAnsi="Times New Roman" w:cs="Times New Roman"/>
          <w:sz w:val="20"/>
          <w:szCs w:val="20"/>
        </w:rPr>
        <w:t xml:space="preserve"> can be </w:t>
      </w:r>
      <w:proofErr w:type="spellStart"/>
      <w:r w:rsidRPr="00BB5A44">
        <w:rPr>
          <w:rFonts w:ascii="Times New Roman" w:hAnsi="Times New Roman" w:cs="Times New Roman"/>
          <w:sz w:val="20"/>
          <w:szCs w:val="20"/>
        </w:rPr>
        <w:t>mandatory</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to</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carry</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out</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that</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specific</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activity</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For</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example</w:t>
      </w:r>
      <w:proofErr w:type="spellEnd"/>
      <w:r w:rsidRPr="00BB5A44">
        <w:rPr>
          <w:rFonts w:ascii="Times New Roman" w:hAnsi="Times New Roman" w:cs="Times New Roman"/>
          <w:sz w:val="20"/>
          <w:szCs w:val="20"/>
        </w:rPr>
        <w:t xml:space="preserve">, in Delaware/U.S., a limited </w:t>
      </w:r>
      <w:proofErr w:type="spellStart"/>
      <w:r w:rsidRPr="00BB5A44">
        <w:rPr>
          <w:rFonts w:ascii="Times New Roman" w:hAnsi="Times New Roman" w:cs="Times New Roman"/>
          <w:sz w:val="20"/>
          <w:szCs w:val="20"/>
        </w:rPr>
        <w:t>liability</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company</w:t>
      </w:r>
      <w:proofErr w:type="spellEnd"/>
      <w:r w:rsidRPr="00BB5A44">
        <w:rPr>
          <w:rFonts w:ascii="Times New Roman" w:hAnsi="Times New Roman" w:cs="Times New Roman"/>
          <w:sz w:val="20"/>
          <w:szCs w:val="20"/>
        </w:rPr>
        <w:t xml:space="preserve"> is </w:t>
      </w:r>
      <w:proofErr w:type="spellStart"/>
      <w:r w:rsidRPr="00BB5A44">
        <w:rPr>
          <w:rFonts w:ascii="Times New Roman" w:hAnsi="Times New Roman" w:cs="Times New Roman"/>
          <w:sz w:val="20"/>
          <w:szCs w:val="20"/>
        </w:rPr>
        <w:t>barred</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from</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the</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business</w:t>
      </w:r>
      <w:proofErr w:type="spellEnd"/>
      <w:r w:rsidRPr="00BB5A44">
        <w:rPr>
          <w:rFonts w:ascii="Times New Roman" w:hAnsi="Times New Roman" w:cs="Times New Roman"/>
          <w:sz w:val="20"/>
          <w:szCs w:val="20"/>
        </w:rPr>
        <w:t xml:space="preserve"> of </w:t>
      </w:r>
      <w:proofErr w:type="spellStart"/>
      <w:r w:rsidRPr="00BB5A44">
        <w:rPr>
          <w:rFonts w:ascii="Times New Roman" w:hAnsi="Times New Roman" w:cs="Times New Roman"/>
          <w:sz w:val="20"/>
          <w:szCs w:val="20"/>
        </w:rPr>
        <w:t>banking</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according</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to</w:t>
      </w:r>
      <w:proofErr w:type="spellEnd"/>
      <w:r w:rsidRPr="00BB5A44">
        <w:rPr>
          <w:rFonts w:ascii="Times New Roman" w:hAnsi="Times New Roman" w:cs="Times New Roman"/>
          <w:sz w:val="20"/>
          <w:szCs w:val="20"/>
        </w:rPr>
        <w:t xml:space="preserve"> Del. </w:t>
      </w:r>
      <w:proofErr w:type="spellStart"/>
      <w:r w:rsidRPr="00BB5A44">
        <w:rPr>
          <w:rFonts w:ascii="Times New Roman" w:hAnsi="Times New Roman" w:cs="Times New Roman"/>
          <w:sz w:val="20"/>
          <w:szCs w:val="20"/>
        </w:rPr>
        <w:t>Code</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Title</w:t>
      </w:r>
      <w:proofErr w:type="spellEnd"/>
      <w:r w:rsidRPr="00BB5A44">
        <w:rPr>
          <w:rFonts w:ascii="Times New Roman" w:hAnsi="Times New Roman" w:cs="Times New Roman"/>
          <w:sz w:val="20"/>
          <w:szCs w:val="20"/>
        </w:rPr>
        <w:t xml:space="preserve"> 6 </w:t>
      </w:r>
      <w:proofErr w:type="spellStart"/>
      <w:r w:rsidRPr="00BB5A44">
        <w:rPr>
          <w:rFonts w:ascii="Times New Roman" w:hAnsi="Times New Roman" w:cs="Times New Roman"/>
          <w:sz w:val="20"/>
          <w:szCs w:val="20"/>
        </w:rPr>
        <w:t>Chapter</w:t>
      </w:r>
      <w:proofErr w:type="spellEnd"/>
      <w:r w:rsidRPr="00BB5A44">
        <w:rPr>
          <w:rFonts w:ascii="Times New Roman" w:hAnsi="Times New Roman" w:cs="Times New Roman"/>
          <w:sz w:val="20"/>
          <w:szCs w:val="20"/>
        </w:rPr>
        <w:t xml:space="preserve"> 18 </w:t>
      </w:r>
      <w:proofErr w:type="spellStart"/>
      <w:r w:rsidRPr="00BB5A44">
        <w:rPr>
          <w:rFonts w:ascii="Times New Roman" w:hAnsi="Times New Roman" w:cs="Times New Roman"/>
          <w:sz w:val="20"/>
          <w:szCs w:val="20"/>
        </w:rPr>
        <w:t>Sec</w:t>
      </w:r>
      <w:proofErr w:type="spellEnd"/>
      <w:r w:rsidRPr="00BB5A44">
        <w:rPr>
          <w:rFonts w:ascii="Times New Roman" w:hAnsi="Times New Roman" w:cs="Times New Roman"/>
          <w:sz w:val="20"/>
          <w:szCs w:val="20"/>
        </w:rPr>
        <w:t xml:space="preserve">. 18-106 </w:t>
      </w:r>
      <w:proofErr w:type="spellStart"/>
      <w:r w:rsidRPr="00BB5A44">
        <w:rPr>
          <w:rFonts w:ascii="Times New Roman" w:hAnsi="Times New Roman" w:cs="Times New Roman"/>
          <w:sz w:val="20"/>
          <w:szCs w:val="20"/>
        </w:rPr>
        <w:t>and</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only</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corporations</w:t>
      </w:r>
      <w:proofErr w:type="spellEnd"/>
      <w:r w:rsidRPr="00BB5A44">
        <w:rPr>
          <w:rFonts w:ascii="Times New Roman" w:hAnsi="Times New Roman" w:cs="Times New Roman"/>
          <w:sz w:val="20"/>
          <w:szCs w:val="20"/>
        </w:rPr>
        <w:t xml:space="preserve"> can do </w:t>
      </w:r>
      <w:proofErr w:type="spellStart"/>
      <w:r w:rsidRPr="00BB5A44">
        <w:rPr>
          <w:rFonts w:ascii="Times New Roman" w:hAnsi="Times New Roman" w:cs="Times New Roman"/>
          <w:sz w:val="20"/>
          <w:szCs w:val="20"/>
        </w:rPr>
        <w:t>banking</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business</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Still</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banking</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power</w:t>
      </w:r>
      <w:proofErr w:type="spellEnd"/>
      <w:r w:rsidRPr="00BB5A44">
        <w:rPr>
          <w:rFonts w:ascii="Times New Roman" w:hAnsi="Times New Roman" w:cs="Times New Roman"/>
          <w:sz w:val="20"/>
          <w:szCs w:val="20"/>
        </w:rPr>
        <w:t xml:space="preserve"> of </w:t>
      </w:r>
      <w:proofErr w:type="spellStart"/>
      <w:r w:rsidRPr="00BB5A44">
        <w:rPr>
          <w:rFonts w:ascii="Times New Roman" w:hAnsi="Times New Roman" w:cs="Times New Roman"/>
          <w:sz w:val="20"/>
          <w:szCs w:val="20"/>
        </w:rPr>
        <w:t>corporations</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are</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denied</w:t>
      </w:r>
      <w:proofErr w:type="spellEnd"/>
      <w:r w:rsidRPr="00BB5A44">
        <w:rPr>
          <w:rFonts w:ascii="Times New Roman" w:hAnsi="Times New Roman" w:cs="Times New Roman"/>
          <w:sz w:val="20"/>
          <w:szCs w:val="20"/>
        </w:rPr>
        <w:t xml:space="preserve"> (Del. </w:t>
      </w:r>
      <w:proofErr w:type="spellStart"/>
      <w:r w:rsidRPr="00BB5A44">
        <w:rPr>
          <w:rFonts w:ascii="Times New Roman" w:hAnsi="Times New Roman" w:cs="Times New Roman"/>
          <w:sz w:val="20"/>
          <w:szCs w:val="20"/>
        </w:rPr>
        <w:t>Code</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Title</w:t>
      </w:r>
      <w:proofErr w:type="spellEnd"/>
      <w:r w:rsidRPr="00BB5A44">
        <w:rPr>
          <w:rFonts w:ascii="Times New Roman" w:hAnsi="Times New Roman" w:cs="Times New Roman"/>
          <w:sz w:val="20"/>
          <w:szCs w:val="20"/>
        </w:rPr>
        <w:t xml:space="preserve"> 8 </w:t>
      </w:r>
      <w:proofErr w:type="spellStart"/>
      <w:r w:rsidRPr="00BB5A44">
        <w:rPr>
          <w:rFonts w:ascii="Times New Roman" w:hAnsi="Times New Roman" w:cs="Times New Roman"/>
          <w:sz w:val="20"/>
          <w:szCs w:val="20"/>
        </w:rPr>
        <w:t>Chap</w:t>
      </w:r>
      <w:proofErr w:type="spellEnd"/>
      <w:r w:rsidRPr="00BB5A44">
        <w:rPr>
          <w:rFonts w:ascii="Times New Roman" w:hAnsi="Times New Roman" w:cs="Times New Roman"/>
          <w:sz w:val="20"/>
          <w:szCs w:val="20"/>
        </w:rPr>
        <w:t xml:space="preserve">. 1 </w:t>
      </w:r>
      <w:proofErr w:type="spellStart"/>
      <w:r w:rsidRPr="00BB5A44">
        <w:rPr>
          <w:rFonts w:ascii="Times New Roman" w:hAnsi="Times New Roman" w:cs="Times New Roman"/>
          <w:sz w:val="20"/>
          <w:szCs w:val="20"/>
        </w:rPr>
        <w:t>Sec</w:t>
      </w:r>
      <w:proofErr w:type="spellEnd"/>
      <w:r w:rsidRPr="00BB5A44">
        <w:rPr>
          <w:rFonts w:ascii="Times New Roman" w:hAnsi="Times New Roman" w:cs="Times New Roman"/>
          <w:sz w:val="20"/>
          <w:szCs w:val="20"/>
        </w:rPr>
        <w:t xml:space="preserve">. 126), </w:t>
      </w:r>
      <w:proofErr w:type="spellStart"/>
      <w:r w:rsidRPr="00BB5A44">
        <w:rPr>
          <w:rFonts w:ascii="Times New Roman" w:hAnsi="Times New Roman" w:cs="Times New Roman"/>
          <w:sz w:val="20"/>
          <w:szCs w:val="20"/>
        </w:rPr>
        <w:t>unless</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the</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corporation</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complies</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with</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the</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statutory</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requirements</w:t>
      </w:r>
      <w:proofErr w:type="spellEnd"/>
      <w:r w:rsidRPr="00BB5A44">
        <w:rPr>
          <w:rFonts w:ascii="Times New Roman" w:hAnsi="Times New Roman" w:cs="Times New Roman"/>
          <w:sz w:val="20"/>
          <w:szCs w:val="20"/>
        </w:rPr>
        <w:t xml:space="preserve"> of </w:t>
      </w:r>
      <w:proofErr w:type="spellStart"/>
      <w:r w:rsidRPr="00BB5A44">
        <w:rPr>
          <w:rFonts w:ascii="Times New Roman" w:hAnsi="Times New Roman" w:cs="Times New Roman"/>
          <w:sz w:val="20"/>
          <w:szCs w:val="20"/>
        </w:rPr>
        <w:t>the</w:t>
      </w:r>
      <w:proofErr w:type="spellEnd"/>
      <w:r w:rsidRPr="00BB5A44">
        <w:rPr>
          <w:rFonts w:ascii="Times New Roman" w:hAnsi="Times New Roman" w:cs="Times New Roman"/>
          <w:sz w:val="20"/>
          <w:szCs w:val="20"/>
        </w:rPr>
        <w:t xml:space="preserve"> Del. </w:t>
      </w:r>
      <w:proofErr w:type="spellStart"/>
      <w:r w:rsidRPr="00BB5A44">
        <w:rPr>
          <w:rFonts w:ascii="Times New Roman" w:hAnsi="Times New Roman" w:cs="Times New Roman"/>
          <w:sz w:val="20"/>
          <w:szCs w:val="20"/>
        </w:rPr>
        <w:t>Code</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Title</w:t>
      </w:r>
      <w:proofErr w:type="spellEnd"/>
      <w:r w:rsidRPr="00BB5A44">
        <w:rPr>
          <w:rFonts w:ascii="Times New Roman" w:hAnsi="Times New Roman" w:cs="Times New Roman"/>
          <w:sz w:val="20"/>
          <w:szCs w:val="20"/>
        </w:rPr>
        <w:t xml:space="preserve"> 5 </w:t>
      </w:r>
      <w:proofErr w:type="spellStart"/>
      <w:r w:rsidRPr="00BB5A44">
        <w:rPr>
          <w:rFonts w:ascii="Times New Roman" w:hAnsi="Times New Roman" w:cs="Times New Roman"/>
          <w:sz w:val="20"/>
          <w:szCs w:val="20"/>
        </w:rPr>
        <w:t>Chapter</w:t>
      </w:r>
      <w:proofErr w:type="spellEnd"/>
      <w:r w:rsidRPr="00BB5A44">
        <w:rPr>
          <w:rFonts w:ascii="Times New Roman" w:hAnsi="Times New Roman" w:cs="Times New Roman"/>
          <w:sz w:val="20"/>
          <w:szCs w:val="20"/>
        </w:rPr>
        <w:t xml:space="preserve"> 7 (</w:t>
      </w:r>
      <w:proofErr w:type="spellStart"/>
      <w:r w:rsidRPr="00BB5A44">
        <w:rPr>
          <w:rFonts w:ascii="Times New Roman" w:hAnsi="Times New Roman" w:cs="Times New Roman"/>
          <w:sz w:val="20"/>
          <w:szCs w:val="20"/>
        </w:rPr>
        <w:t>For</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further</w:t>
      </w:r>
      <w:proofErr w:type="spellEnd"/>
      <w:r w:rsidRPr="00BB5A44">
        <w:rPr>
          <w:rFonts w:ascii="Times New Roman" w:hAnsi="Times New Roman" w:cs="Times New Roman"/>
          <w:sz w:val="20"/>
          <w:szCs w:val="20"/>
        </w:rPr>
        <w:t xml:space="preserve"> US </w:t>
      </w:r>
      <w:proofErr w:type="spellStart"/>
      <w:r w:rsidRPr="00BB5A44">
        <w:rPr>
          <w:rFonts w:ascii="Times New Roman" w:hAnsi="Times New Roman" w:cs="Times New Roman"/>
          <w:sz w:val="20"/>
          <w:szCs w:val="20"/>
        </w:rPr>
        <w:t>Law</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restrictions</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see</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Chester</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Rohrlich</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i/>
          <w:sz w:val="20"/>
          <w:szCs w:val="20"/>
        </w:rPr>
        <w:t>Organizing</w:t>
      </w:r>
      <w:proofErr w:type="spellEnd"/>
      <w:r w:rsidRPr="00BB5A44">
        <w:rPr>
          <w:rFonts w:ascii="Times New Roman" w:hAnsi="Times New Roman" w:cs="Times New Roman"/>
          <w:i/>
          <w:sz w:val="20"/>
          <w:szCs w:val="20"/>
        </w:rPr>
        <w:t xml:space="preserve"> </w:t>
      </w:r>
      <w:proofErr w:type="spellStart"/>
      <w:r w:rsidRPr="00BB5A44">
        <w:rPr>
          <w:rFonts w:ascii="Times New Roman" w:hAnsi="Times New Roman" w:cs="Times New Roman"/>
          <w:i/>
          <w:sz w:val="20"/>
          <w:szCs w:val="20"/>
        </w:rPr>
        <w:t>Corporate</w:t>
      </w:r>
      <w:proofErr w:type="spellEnd"/>
      <w:r w:rsidRPr="00BB5A44">
        <w:rPr>
          <w:rFonts w:ascii="Times New Roman" w:hAnsi="Times New Roman" w:cs="Times New Roman"/>
          <w:i/>
          <w:sz w:val="20"/>
          <w:szCs w:val="20"/>
        </w:rPr>
        <w:t xml:space="preserve"> </w:t>
      </w:r>
      <w:proofErr w:type="spellStart"/>
      <w:r w:rsidRPr="00BB5A44">
        <w:rPr>
          <w:rFonts w:ascii="Times New Roman" w:hAnsi="Times New Roman" w:cs="Times New Roman"/>
          <w:i/>
          <w:sz w:val="20"/>
          <w:szCs w:val="20"/>
        </w:rPr>
        <w:t>and</w:t>
      </w:r>
      <w:proofErr w:type="spellEnd"/>
      <w:r w:rsidRPr="00BB5A44">
        <w:rPr>
          <w:rFonts w:ascii="Times New Roman" w:hAnsi="Times New Roman" w:cs="Times New Roman"/>
          <w:i/>
          <w:sz w:val="20"/>
          <w:szCs w:val="20"/>
        </w:rPr>
        <w:t xml:space="preserve"> </w:t>
      </w:r>
      <w:proofErr w:type="spellStart"/>
      <w:r w:rsidRPr="00BB5A44">
        <w:rPr>
          <w:rFonts w:ascii="Times New Roman" w:hAnsi="Times New Roman" w:cs="Times New Roman"/>
          <w:i/>
          <w:sz w:val="20"/>
          <w:szCs w:val="20"/>
        </w:rPr>
        <w:t>Other</w:t>
      </w:r>
      <w:proofErr w:type="spellEnd"/>
      <w:r w:rsidRPr="00BB5A44">
        <w:rPr>
          <w:rFonts w:ascii="Times New Roman" w:hAnsi="Times New Roman" w:cs="Times New Roman"/>
          <w:i/>
          <w:sz w:val="20"/>
          <w:szCs w:val="20"/>
        </w:rPr>
        <w:t xml:space="preserve"> Business Enterprises</w:t>
      </w:r>
      <w:r w:rsidRPr="00BB5A44">
        <w:rPr>
          <w:rFonts w:ascii="Times New Roman" w:hAnsi="Times New Roman" w:cs="Times New Roman"/>
          <w:sz w:val="20"/>
          <w:szCs w:val="20"/>
        </w:rPr>
        <w:t xml:space="preserve"> 3-11 (1949)).</w:t>
      </w:r>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invest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their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money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sometimes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together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with</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their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effort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labor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into</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model </w:t>
      </w:r>
      <w:proofErr w:type="spellStart"/>
      <w:r w:rsidRPr="004A739B">
        <w:rPr>
          <w:rFonts w:ascii="Times New Roman" w:hAnsi="Times New Roman" w:cs="Times New Roman"/>
          <w:sz w:val="20"/>
          <w:szCs w:val="20"/>
        </w:rPr>
        <w:t>that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choose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Indeed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Latin </w:t>
      </w:r>
      <w:proofErr w:type="spellStart"/>
      <w:r w:rsidRPr="004A739B">
        <w:rPr>
          <w:rFonts w:ascii="Times New Roman" w:hAnsi="Times New Roman" w:cs="Times New Roman"/>
          <w:sz w:val="20"/>
          <w:szCs w:val="20"/>
        </w:rPr>
        <w:t>origin</w:t>
      </w:r>
      <w:proofErr w:type="spellEnd"/>
      <w:r w:rsidRPr="004A739B">
        <w:rPr>
          <w:rFonts w:ascii="Times New Roman" w:hAnsi="Times New Roman" w:cs="Times New Roman"/>
          <w:sz w:val="20"/>
          <w:szCs w:val="20"/>
        </w:rPr>
        <w:t xml:space="preserve"> of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word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invest</w:t>
      </w:r>
      <w:proofErr w:type="spellEnd"/>
      <w:r w:rsidRPr="004A739B">
        <w:rPr>
          <w:rFonts w:ascii="Times New Roman" w:hAnsi="Times New Roman" w:cs="Times New Roman"/>
          <w:sz w:val="20"/>
          <w:szCs w:val="20"/>
        </w:rPr>
        <w:t>”, “</w:t>
      </w:r>
      <w:proofErr w:type="spellStart"/>
      <w:r w:rsidRPr="004A739B">
        <w:rPr>
          <w:rFonts w:ascii="Times New Roman" w:hAnsi="Times New Roman" w:cs="Times New Roman"/>
          <w:sz w:val="20"/>
          <w:szCs w:val="20"/>
        </w:rPr>
        <w:t>vestire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signals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strong</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connection</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between</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invested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business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and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investor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by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it’s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meanings</w:t>
      </w:r>
      <w:proofErr w:type="spellEnd"/>
      <w:r w:rsidRPr="004A739B">
        <w:rPr>
          <w:rFonts w:ascii="Times New Roman" w:hAnsi="Times New Roman" w:cs="Times New Roman"/>
          <w:sz w:val="20"/>
          <w:szCs w:val="20"/>
        </w:rPr>
        <w:t>; “</w:t>
      </w:r>
      <w:proofErr w:type="spellStart"/>
      <w:r w:rsidRPr="004A739B">
        <w:rPr>
          <w:rFonts w:ascii="Times New Roman" w:hAnsi="Times New Roman" w:cs="Times New Roman"/>
          <w:sz w:val="20"/>
          <w:szCs w:val="20"/>
        </w:rPr>
        <w:t>to</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dress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clothe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wrap</w:t>
      </w:r>
      <w:proofErr w:type="spellEnd"/>
      <w:r w:rsidRPr="004A739B">
        <w:rPr>
          <w:rFonts w:ascii="Times New Roman" w:hAnsi="Times New Roman" w:cs="Times New Roman"/>
          <w:sz w:val="20"/>
          <w:szCs w:val="20"/>
        </w:rPr>
        <w:t xml:space="preserve"> in </w:t>
      </w:r>
      <w:proofErr w:type="spellStart"/>
      <w:r w:rsidRPr="004A739B">
        <w:rPr>
          <w:rFonts w:ascii="Times New Roman" w:hAnsi="Times New Roman" w:cs="Times New Roman"/>
          <w:sz w:val="20"/>
          <w:szCs w:val="20"/>
        </w:rPr>
        <w:t>robes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envelope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or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surround</w:t>
      </w:r>
      <w:proofErr w:type="spellEnd"/>
      <w:r w:rsidRPr="004A739B">
        <w:rPr>
          <w:rFonts w:ascii="Times New Roman" w:hAnsi="Times New Roman" w:cs="Times New Roman"/>
          <w:sz w:val="20"/>
          <w:szCs w:val="20"/>
        </w:rPr>
        <w:t>” (</w:t>
      </w:r>
      <w:proofErr w:type="spellStart"/>
      <w:r w:rsidRPr="00BB5A44">
        <w:rPr>
          <w:rFonts w:ascii="Times New Roman" w:hAnsi="Times New Roman" w:cs="Times New Roman"/>
          <w:sz w:val="20"/>
          <w:szCs w:val="20"/>
        </w:rPr>
        <w:t>Jason</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sz w:val="20"/>
          <w:szCs w:val="20"/>
        </w:rPr>
        <w:t>Zweig</w:t>
      </w:r>
      <w:proofErr w:type="spellEnd"/>
      <w:r w:rsidRPr="00BB5A44">
        <w:rPr>
          <w:rFonts w:ascii="Times New Roman" w:hAnsi="Times New Roman" w:cs="Times New Roman"/>
          <w:sz w:val="20"/>
          <w:szCs w:val="20"/>
        </w:rPr>
        <w:t xml:space="preserve">, </w:t>
      </w:r>
      <w:proofErr w:type="spellStart"/>
      <w:r w:rsidRPr="00BB5A44">
        <w:rPr>
          <w:rFonts w:ascii="Times New Roman" w:hAnsi="Times New Roman" w:cs="Times New Roman"/>
          <w:i/>
          <w:sz w:val="20"/>
          <w:szCs w:val="20"/>
        </w:rPr>
        <w:t>The</w:t>
      </w:r>
      <w:proofErr w:type="spellEnd"/>
      <w:r w:rsidRPr="00BB5A44">
        <w:rPr>
          <w:rFonts w:ascii="Times New Roman" w:hAnsi="Times New Roman" w:cs="Times New Roman"/>
          <w:i/>
          <w:sz w:val="20"/>
          <w:szCs w:val="20"/>
        </w:rPr>
        <w:t xml:space="preserve"> </w:t>
      </w:r>
      <w:proofErr w:type="spellStart"/>
      <w:r w:rsidRPr="00BB5A44">
        <w:rPr>
          <w:rFonts w:ascii="Times New Roman" w:hAnsi="Times New Roman" w:cs="Times New Roman"/>
          <w:i/>
          <w:sz w:val="20"/>
          <w:szCs w:val="20"/>
        </w:rPr>
        <w:t>Devil’s</w:t>
      </w:r>
      <w:proofErr w:type="spellEnd"/>
      <w:r w:rsidRPr="00BB5A44">
        <w:rPr>
          <w:rFonts w:ascii="Times New Roman" w:hAnsi="Times New Roman" w:cs="Times New Roman"/>
          <w:i/>
          <w:sz w:val="20"/>
          <w:szCs w:val="20"/>
        </w:rPr>
        <w:t xml:space="preserve"> Financial Dictionary</w:t>
      </w:r>
      <w:r w:rsidRPr="00BB5A44">
        <w:rPr>
          <w:rFonts w:ascii="Times New Roman" w:hAnsi="Times New Roman" w:cs="Times New Roman"/>
          <w:sz w:val="20"/>
          <w:szCs w:val="20"/>
        </w:rPr>
        <w:t xml:space="preserve"> 119 (2015))</w:t>
      </w:r>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In</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this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context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publicly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traded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corporation</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one</w:t>
      </w:r>
      <w:proofErr w:type="spellEnd"/>
      <w:r w:rsidRPr="004A739B">
        <w:rPr>
          <w:rFonts w:ascii="Times New Roman" w:hAnsi="Times New Roman" w:cs="Times New Roman"/>
          <w:sz w:val="20"/>
          <w:szCs w:val="20"/>
        </w:rPr>
        <w:t xml:space="preserve"> of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legal </w:t>
      </w:r>
      <w:proofErr w:type="spellStart"/>
      <w:r w:rsidRPr="004A739B">
        <w:rPr>
          <w:rFonts w:ascii="Times New Roman" w:hAnsi="Times New Roman" w:cs="Times New Roman"/>
          <w:sz w:val="20"/>
          <w:szCs w:val="20"/>
        </w:rPr>
        <w:t>models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for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profit-oriented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activities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appears</w:t>
      </w:r>
      <w:proofErr w:type="spellEnd"/>
      <w:r w:rsidRPr="004A739B">
        <w:rPr>
          <w:rFonts w:ascii="Times New Roman" w:hAnsi="Times New Roman" w:cs="Times New Roman"/>
          <w:sz w:val="20"/>
          <w:szCs w:val="20"/>
        </w:rPr>
        <w:t xml:space="preserve"> as </w:t>
      </w:r>
      <w:proofErr w:type="spellStart"/>
      <w:r w:rsidRPr="004A739B">
        <w:rPr>
          <w:rFonts w:ascii="Times New Roman" w:hAnsi="Times New Roman" w:cs="Times New Roman"/>
          <w:sz w:val="20"/>
          <w:szCs w:val="20"/>
        </w:rPr>
        <w:t>one</w:t>
      </w:r>
      <w:proofErr w:type="spellEnd"/>
      <w:r w:rsidRPr="004A739B">
        <w:rPr>
          <w:rFonts w:ascii="Times New Roman" w:hAnsi="Times New Roman" w:cs="Times New Roman"/>
          <w:sz w:val="20"/>
          <w:szCs w:val="20"/>
        </w:rPr>
        <w:t xml:space="preserve"> of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easiest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models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to</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have</w:t>
      </w:r>
      <w:proofErr w:type="spellEnd"/>
      <w:r w:rsidRPr="004A739B">
        <w:rPr>
          <w:rFonts w:ascii="Times New Roman" w:hAnsi="Times New Roman" w:cs="Times New Roman"/>
          <w:sz w:val="20"/>
          <w:szCs w:val="20"/>
        </w:rPr>
        <w:t xml:space="preserve"> a </w:t>
      </w:r>
      <w:proofErr w:type="spellStart"/>
      <w:r w:rsidRPr="004A739B">
        <w:rPr>
          <w:rFonts w:ascii="Times New Roman" w:hAnsi="Times New Roman" w:cs="Times New Roman"/>
          <w:sz w:val="20"/>
          <w:szCs w:val="20"/>
        </w:rPr>
        <w:t>stake</w:t>
      </w:r>
      <w:proofErr w:type="spellEnd"/>
      <w:r w:rsidRPr="004A739B">
        <w:rPr>
          <w:rFonts w:ascii="Times New Roman" w:hAnsi="Times New Roman" w:cs="Times New Roman"/>
          <w:sz w:val="20"/>
          <w:szCs w:val="20"/>
        </w:rPr>
        <w:t xml:space="preserve"> in </w:t>
      </w:r>
      <w:proofErr w:type="spellStart"/>
      <w:r w:rsidRPr="004A739B">
        <w:rPr>
          <w:rFonts w:ascii="Times New Roman" w:hAnsi="Times New Roman" w:cs="Times New Roman"/>
          <w:sz w:val="20"/>
          <w:szCs w:val="20"/>
        </w:rPr>
        <w:t>and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hardest</w:t>
      </w:r>
      <w:proofErr w:type="spellEnd"/>
      <w:r w:rsidRPr="004A739B">
        <w:rPr>
          <w:rFonts w:ascii="Times New Roman" w:hAnsi="Times New Roman" w:cs="Times New Roman"/>
          <w:sz w:val="20"/>
          <w:szCs w:val="20"/>
        </w:rPr>
        <w:t xml:space="preserve"> model </w:t>
      </w:r>
      <w:proofErr w:type="spellStart"/>
      <w:r w:rsidRPr="004A739B">
        <w:rPr>
          <w:rFonts w:ascii="Times New Roman" w:hAnsi="Times New Roman" w:cs="Times New Roman"/>
          <w:sz w:val="20"/>
          <w:szCs w:val="20"/>
        </w:rPr>
        <w:t>to</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turn</w:t>
      </w:r>
      <w:proofErr w:type="spellEnd"/>
      <w:r w:rsidRPr="004A739B">
        <w:rPr>
          <w:rFonts w:ascii="Times New Roman" w:hAnsi="Times New Roman" w:cs="Times New Roman"/>
          <w:sz w:val="20"/>
          <w:szCs w:val="20"/>
        </w:rPr>
        <w:t xml:space="preserve"> a </w:t>
      </w:r>
      <w:proofErr w:type="spellStart"/>
      <w:r w:rsidRPr="004A739B">
        <w:rPr>
          <w:rFonts w:ascii="Times New Roman" w:hAnsi="Times New Roman" w:cs="Times New Roman"/>
          <w:sz w:val="20"/>
          <w:szCs w:val="20"/>
        </w:rPr>
        <w:t>business</w:t>
      </w:r>
      <w:proofErr w:type="spellEnd"/>
      <w:r w:rsidRPr="004A739B">
        <w:rPr>
          <w:rFonts w:ascii="Times New Roman" w:hAnsi="Times New Roman" w:cs="Times New Roman"/>
          <w:sz w:val="20"/>
          <w:szCs w:val="20"/>
        </w:rPr>
        <w:t xml:space="preserve"> in: </w:t>
      </w:r>
      <w:proofErr w:type="spellStart"/>
      <w:r w:rsidRPr="004A739B">
        <w:rPr>
          <w:rFonts w:ascii="Times New Roman" w:hAnsi="Times New Roman" w:cs="Times New Roman"/>
          <w:sz w:val="20"/>
          <w:szCs w:val="20"/>
        </w:rPr>
        <w:t>It</w:t>
      </w:r>
      <w:proofErr w:type="spellEnd"/>
      <w:r w:rsidRPr="004A739B">
        <w:rPr>
          <w:rFonts w:ascii="Times New Roman" w:hAnsi="Times New Roman" w:cs="Times New Roman"/>
          <w:sz w:val="20"/>
          <w:szCs w:val="20"/>
        </w:rPr>
        <w:t xml:space="preserve"> is </w:t>
      </w:r>
      <w:proofErr w:type="spellStart"/>
      <w:r w:rsidRPr="004A739B">
        <w:rPr>
          <w:rFonts w:ascii="Times New Roman" w:hAnsi="Times New Roman" w:cs="Times New Roman"/>
          <w:sz w:val="20"/>
          <w:szCs w:val="20"/>
        </w:rPr>
        <w:t>one</w:t>
      </w:r>
      <w:proofErr w:type="spellEnd"/>
      <w:r w:rsidRPr="004A739B">
        <w:rPr>
          <w:rFonts w:ascii="Times New Roman" w:hAnsi="Times New Roman" w:cs="Times New Roman"/>
          <w:sz w:val="20"/>
          <w:szCs w:val="20"/>
        </w:rPr>
        <w:t xml:space="preserve"> of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easiest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to</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have</w:t>
      </w:r>
      <w:proofErr w:type="spellEnd"/>
      <w:r w:rsidRPr="004A739B">
        <w:rPr>
          <w:rFonts w:ascii="Times New Roman" w:hAnsi="Times New Roman" w:cs="Times New Roman"/>
          <w:sz w:val="20"/>
          <w:szCs w:val="20"/>
        </w:rPr>
        <w:t xml:space="preserve"> a </w:t>
      </w:r>
      <w:proofErr w:type="spellStart"/>
      <w:r w:rsidRPr="004A739B">
        <w:rPr>
          <w:rFonts w:ascii="Times New Roman" w:hAnsi="Times New Roman" w:cs="Times New Roman"/>
          <w:sz w:val="20"/>
          <w:szCs w:val="20"/>
        </w:rPr>
        <w:t>stake</w:t>
      </w:r>
      <w:proofErr w:type="spellEnd"/>
      <w:r w:rsidRPr="004A739B">
        <w:rPr>
          <w:rFonts w:ascii="Times New Roman" w:hAnsi="Times New Roman" w:cs="Times New Roman"/>
          <w:sz w:val="20"/>
          <w:szCs w:val="20"/>
        </w:rPr>
        <w:t xml:space="preserve"> in </w:t>
      </w:r>
      <w:proofErr w:type="spellStart"/>
      <w:r w:rsidRPr="004A739B">
        <w:rPr>
          <w:rFonts w:ascii="Times New Roman" w:hAnsi="Times New Roman" w:cs="Times New Roman"/>
          <w:sz w:val="20"/>
          <w:szCs w:val="20"/>
        </w:rPr>
        <w:t>because</w:t>
      </w:r>
      <w:proofErr w:type="spellEnd"/>
      <w:r w:rsidRPr="004A739B">
        <w:rPr>
          <w:rFonts w:ascii="Times New Roman" w:hAnsi="Times New Roman" w:cs="Times New Roman"/>
          <w:sz w:val="20"/>
          <w:szCs w:val="20"/>
        </w:rPr>
        <w:t xml:space="preserve"> it is </w:t>
      </w:r>
      <w:proofErr w:type="spellStart"/>
      <w:r w:rsidRPr="004A739B">
        <w:rPr>
          <w:rFonts w:ascii="Times New Roman" w:hAnsi="Times New Roman" w:cs="Times New Roman"/>
          <w:sz w:val="20"/>
          <w:szCs w:val="20"/>
        </w:rPr>
        <w:t>reachable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for</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investing</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through</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stock</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markets</w:t>
      </w:r>
      <w:proofErr w:type="spellEnd"/>
      <w:r w:rsidRPr="004A739B">
        <w:rPr>
          <w:rFonts w:ascii="Times New Roman" w:hAnsi="Times New Roman" w:cs="Times New Roman"/>
          <w:sz w:val="20"/>
          <w:szCs w:val="20"/>
        </w:rPr>
        <w:t xml:space="preserve">; it is </w:t>
      </w:r>
      <w:proofErr w:type="spellStart"/>
      <w:r w:rsidRPr="004A739B">
        <w:rPr>
          <w:rFonts w:ascii="Times New Roman" w:hAnsi="Times New Roman" w:cs="Times New Roman"/>
          <w:sz w:val="20"/>
          <w:szCs w:val="20"/>
        </w:rPr>
        <w:t>one</w:t>
      </w:r>
      <w:proofErr w:type="spellEnd"/>
      <w:r w:rsidRPr="004A739B">
        <w:rPr>
          <w:rFonts w:ascii="Times New Roman" w:hAnsi="Times New Roman" w:cs="Times New Roman"/>
          <w:sz w:val="20"/>
          <w:szCs w:val="20"/>
        </w:rPr>
        <w:t xml:space="preserve"> of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hardest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to</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turn</w:t>
      </w:r>
      <w:proofErr w:type="spellEnd"/>
      <w:r w:rsidRPr="004A739B">
        <w:rPr>
          <w:rFonts w:ascii="Times New Roman" w:hAnsi="Times New Roman" w:cs="Times New Roman"/>
          <w:sz w:val="20"/>
          <w:szCs w:val="20"/>
        </w:rPr>
        <w:t xml:space="preserve"> a </w:t>
      </w:r>
      <w:proofErr w:type="spellStart"/>
      <w:r w:rsidRPr="004A739B">
        <w:rPr>
          <w:rFonts w:ascii="Times New Roman" w:hAnsi="Times New Roman" w:cs="Times New Roman"/>
          <w:sz w:val="20"/>
          <w:szCs w:val="20"/>
        </w:rPr>
        <w:t>business</w:t>
      </w:r>
      <w:proofErr w:type="spellEnd"/>
      <w:r w:rsidRPr="004A739B">
        <w:rPr>
          <w:rFonts w:ascii="Times New Roman" w:hAnsi="Times New Roman" w:cs="Times New Roman"/>
          <w:sz w:val="20"/>
          <w:szCs w:val="20"/>
        </w:rPr>
        <w:t xml:space="preserve"> in </w:t>
      </w:r>
      <w:proofErr w:type="spellStart"/>
      <w:r w:rsidRPr="004A739B">
        <w:rPr>
          <w:rFonts w:ascii="Times New Roman" w:hAnsi="Times New Roman" w:cs="Times New Roman"/>
          <w:sz w:val="20"/>
          <w:szCs w:val="20"/>
        </w:rPr>
        <w:t>because</w:t>
      </w:r>
      <w:proofErr w:type="spellEnd"/>
      <w:r w:rsidRPr="004A739B">
        <w:rPr>
          <w:rFonts w:ascii="Times New Roman" w:hAnsi="Times New Roman" w:cs="Times New Roman"/>
          <w:sz w:val="20"/>
          <w:szCs w:val="20"/>
        </w:rPr>
        <w:t xml:space="preserve"> it has </w:t>
      </w:r>
      <w:proofErr w:type="spellStart"/>
      <w:r w:rsidRPr="004A739B">
        <w:rPr>
          <w:rFonts w:ascii="Times New Roman" w:hAnsi="Times New Roman" w:cs="Times New Roman"/>
          <w:sz w:val="20"/>
          <w:szCs w:val="20"/>
        </w:rPr>
        <w:t>to</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comply</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with</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vast</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ocean</w:t>
      </w:r>
      <w:proofErr w:type="spellEnd"/>
      <w:r w:rsidRPr="004A739B">
        <w:rPr>
          <w:rFonts w:ascii="Times New Roman" w:hAnsi="Times New Roman" w:cs="Times New Roman"/>
          <w:sz w:val="20"/>
          <w:szCs w:val="20"/>
        </w:rPr>
        <w:t xml:space="preserve"> of </w:t>
      </w:r>
      <w:proofErr w:type="spellStart"/>
      <w:r w:rsidRPr="004A739B">
        <w:rPr>
          <w:rFonts w:ascii="Times New Roman" w:hAnsi="Times New Roman" w:cs="Times New Roman"/>
          <w:sz w:val="20"/>
          <w:szCs w:val="20"/>
        </w:rPr>
        <w:t>regulations</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and</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cope</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with</w:t>
      </w:r>
      <w:proofErr w:type="spellEnd"/>
      <w:r w:rsidRPr="004A739B">
        <w:rPr>
          <w:rFonts w:ascii="Times New Roman" w:hAnsi="Times New Roman" w:cs="Times New Roman"/>
          <w:sz w:val="20"/>
          <w:szCs w:val="20"/>
        </w:rPr>
        <w:t xml:space="preserve"> </w:t>
      </w:r>
      <w:proofErr w:type="spellStart"/>
      <w:r w:rsidRPr="004A739B">
        <w:rPr>
          <w:rFonts w:ascii="Times New Roman" w:hAnsi="Times New Roman" w:cs="Times New Roman"/>
          <w:sz w:val="20"/>
          <w:szCs w:val="20"/>
        </w:rPr>
        <w:t>the</w:t>
      </w:r>
      <w:proofErr w:type="spellEnd"/>
      <w:r w:rsidRPr="004A739B">
        <w:rPr>
          <w:rFonts w:ascii="Times New Roman" w:hAnsi="Times New Roman" w:cs="Times New Roman"/>
          <w:sz w:val="20"/>
          <w:szCs w:val="20"/>
        </w:rPr>
        <w:t xml:space="preserve"> market </w:t>
      </w:r>
      <w:proofErr w:type="spellStart"/>
      <w:r w:rsidRPr="004A739B">
        <w:rPr>
          <w:rFonts w:ascii="Times New Roman" w:hAnsi="Times New Roman" w:cs="Times New Roman"/>
          <w:sz w:val="20"/>
          <w:szCs w:val="20"/>
        </w:rPr>
        <w:t>forces</w:t>
      </w:r>
      <w:proofErr w:type="spellEnd"/>
      <w:r w:rsidRPr="004A739B">
        <w:rPr>
          <w:rFonts w:ascii="Times New Roman" w:hAnsi="Times New Roman" w:cs="Times New Roman"/>
          <w:sz w:val="20"/>
          <w:szCs w:val="20"/>
        </w:rPr>
        <w:t>.</w:t>
      </w:r>
    </w:p>
  </w:footnote>
  <w:footnote w:id="52">
    <w:p w14:paraId="356E7FEA" w14:textId="76F7F67B"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Although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following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passage</w:t>
      </w:r>
      <w:proofErr w:type="spellEnd"/>
      <w:r w:rsidRPr="009975EA">
        <w:rPr>
          <w:rFonts w:ascii="Times New Roman" w:hAnsi="Times New Roman" w:cs="Times New Roman"/>
          <w:sz w:val="20"/>
          <w:szCs w:val="20"/>
        </w:rPr>
        <w:t xml:space="preserve"> is not </w:t>
      </w:r>
      <w:proofErr w:type="spellStart"/>
      <w:r w:rsidRPr="009975EA">
        <w:rPr>
          <w:rFonts w:ascii="Times New Roman" w:hAnsi="Times New Roman" w:cs="Times New Roman"/>
          <w:sz w:val="20"/>
          <w:szCs w:val="20"/>
        </w:rPr>
        <w:t>written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purpose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illustrating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private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distinction</w:t>
      </w:r>
      <w:proofErr w:type="spellEnd"/>
      <w:r w:rsidRPr="009975EA">
        <w:rPr>
          <w:rFonts w:ascii="Times New Roman" w:hAnsi="Times New Roman" w:cs="Times New Roman"/>
          <w:sz w:val="20"/>
          <w:szCs w:val="20"/>
        </w:rPr>
        <w:t xml:space="preserve">, it </w:t>
      </w:r>
      <w:proofErr w:type="spellStart"/>
      <w:r w:rsidRPr="009975EA">
        <w:rPr>
          <w:rFonts w:ascii="Times New Roman" w:hAnsi="Times New Roman" w:cs="Times New Roman"/>
          <w:sz w:val="20"/>
          <w:szCs w:val="20"/>
        </w:rPr>
        <w:t>represents</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good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summary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distinction</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widely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wealth</w:t>
      </w:r>
      <w:proofErr w:type="spellEnd"/>
      <w:r w:rsidRPr="009975EA">
        <w:rPr>
          <w:rFonts w:ascii="Times New Roman" w:hAnsi="Times New Roman" w:cs="Times New Roman"/>
          <w:color w:val="1C1C1C"/>
          <w:sz w:val="20"/>
          <w:szCs w:val="20"/>
        </w:rPr>
        <w:t xml:space="preserve"> </w:t>
      </w:r>
      <w:r w:rsidRPr="009975EA">
        <w:rPr>
          <w:rFonts w:ascii="Times New Roman" w:hAnsi="Times New Roman" w:cs="Times New Roman"/>
          <w:color w:val="000000"/>
          <w:sz w:val="20"/>
          <w:szCs w:val="20"/>
        </w:rPr>
        <w:t xml:space="preserve">is not </w:t>
      </w:r>
      <w:proofErr w:type="spellStart"/>
      <w:r w:rsidRPr="009975EA">
        <w:rPr>
          <w:rFonts w:ascii="Times New Roman" w:hAnsi="Times New Roman" w:cs="Times New Roman"/>
          <w:color w:val="000000"/>
          <w:sz w:val="20"/>
          <w:szCs w:val="20"/>
        </w:rPr>
        <w:t>affected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performance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condition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results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holding </w:t>
      </w:r>
      <w:proofErr w:type="spellStart"/>
      <w:r w:rsidRPr="009975EA">
        <w:rPr>
          <w:rFonts w:ascii="Times New Roman" w:hAnsi="Times New Roman" w:cs="Times New Roman"/>
          <w:color w:val="000000"/>
          <w:sz w:val="20"/>
          <w:szCs w:val="20"/>
        </w:rPr>
        <w:t>diversified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portfolios</w:t>
      </w:r>
      <w:proofErr w:type="spellEnd"/>
      <w:r w:rsidRPr="009975EA">
        <w:rPr>
          <w:rFonts w:ascii="Times New Roman" w:hAnsi="Times New Roman" w:cs="Times New Roman"/>
          <w:color w:val="000000"/>
          <w:sz w:val="20"/>
          <w:szCs w:val="20"/>
        </w:rPr>
        <w:t xml:space="preserve"> in an </w:t>
      </w:r>
      <w:proofErr w:type="spellStart"/>
      <w:r w:rsidRPr="009975EA">
        <w:rPr>
          <w:rFonts w:ascii="Times New Roman" w:hAnsi="Times New Roman" w:cs="Times New Roman"/>
          <w:color w:val="000000"/>
          <w:sz w:val="20"/>
          <w:szCs w:val="20"/>
        </w:rPr>
        <w:t>efficient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market.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circumstance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maximize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although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differ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over</w:t>
      </w:r>
      <w:proofErr w:type="spellEnd"/>
      <w:r w:rsidRPr="009975EA">
        <w:rPr>
          <w:rFonts w:ascii="Times New Roman" w:hAnsi="Times New Roman" w:cs="Times New Roman"/>
          <w:color w:val="000000"/>
          <w:sz w:val="20"/>
          <w:szCs w:val="20"/>
        </w:rPr>
        <w:t xml:space="preserve"> how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best</w:t>
      </w:r>
      <w:proofErr w:type="spellEnd"/>
      <w:r w:rsidRPr="009975EA">
        <w:rPr>
          <w:rFonts w:ascii="Times New Roman" w:hAnsi="Times New Roman" w:cs="Times New Roman"/>
          <w:color w:val="000000"/>
          <w:sz w:val="20"/>
          <w:szCs w:val="20"/>
        </w:rPr>
        <w:t xml:space="preserve"> </w:t>
      </w:r>
      <w:proofErr w:type="spellStart"/>
      <w:proofErr w:type="gramStart"/>
      <w:r w:rsidRPr="009975EA">
        <w:rPr>
          <w:rFonts w:ascii="Times New Roman" w:hAnsi="Times New Roman" w:cs="Times New Roman"/>
          <w:color w:val="000000"/>
          <w:sz w:val="20"/>
          <w:szCs w:val="20"/>
        </w:rPr>
        <w:t>accomplished</w:t>
      </w:r>
      <w:proofErr w:type="spellEnd"/>
      <w:r w:rsidRPr="009975EA">
        <w:rPr>
          <w:rFonts w:ascii="Times New Roman" w:hAnsi="Times New Roman" w:cs="Times New Roman"/>
          <w:color w:val="000000"/>
          <w:sz w:val="20"/>
          <w:szCs w:val="20"/>
        </w:rPr>
        <w:t>)--</w:t>
      </w:r>
      <w:proofErr w:type="spellStart"/>
      <w:proofErr w:type="gramEnd"/>
      <w:r w:rsidRPr="009975EA">
        <w:rPr>
          <w:rFonts w:ascii="Times New Roman" w:hAnsi="Times New Roman" w:cs="Times New Roman"/>
          <w:color w:val="000000"/>
          <w:sz w:val="20"/>
          <w:szCs w:val="20"/>
        </w:rPr>
        <w:t>what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economists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unanimity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principle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However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commitment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profit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maximization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hold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gain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activities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ways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example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owns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tavern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across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street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factories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different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view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closing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tavern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owner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closing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closing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plant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best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w:t>
      </w:r>
      <w:r>
        <w:rPr>
          <w:rFonts w:ascii="Times New Roman" w:hAnsi="Times New Roman" w:cs="Times New Roman"/>
          <w:sz w:val="20"/>
          <w:szCs w:val="20"/>
        </w:rPr>
        <w:t xml:space="preserve">” (Ronald J. </w:t>
      </w:r>
      <w:proofErr w:type="spellStart"/>
      <w:r>
        <w:rPr>
          <w:rFonts w:ascii="Times New Roman" w:hAnsi="Times New Roman" w:cs="Times New Roman"/>
          <w:sz w:val="20"/>
          <w:szCs w:val="20"/>
        </w:rPr>
        <w:t>Gilson</w:t>
      </w:r>
      <w:proofErr w:type="spellEnd"/>
      <w:r>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Curtis</w:t>
      </w:r>
      <w:proofErr w:type="spellEnd"/>
      <w:r w:rsidRPr="009975EA">
        <w:rPr>
          <w:rFonts w:ascii="Times New Roman" w:hAnsi="Times New Roman" w:cs="Times New Roman"/>
          <w:sz w:val="20"/>
          <w:szCs w:val="20"/>
        </w:rPr>
        <w:t xml:space="preserve"> J. </w:t>
      </w:r>
      <w:proofErr w:type="spellStart"/>
      <w:r w:rsidRPr="009975EA">
        <w:rPr>
          <w:rFonts w:ascii="Times New Roman" w:hAnsi="Times New Roman" w:cs="Times New Roman"/>
          <w:sz w:val="20"/>
          <w:szCs w:val="20"/>
        </w:rPr>
        <w:t>Milhaupt</w:t>
      </w:r>
      <w:proofErr w:type="spellEnd"/>
      <w:r w:rsidRPr="009975EA">
        <w:rPr>
          <w:rFonts w:ascii="Times New Roman" w:hAnsi="Times New Roman" w:cs="Times New Roman"/>
          <w:sz w:val="20"/>
          <w:szCs w:val="20"/>
        </w:rPr>
        <w:t xml:space="preserve">, </w:t>
      </w:r>
      <w:proofErr w:type="spellStart"/>
      <w:r w:rsidRPr="0044712D">
        <w:rPr>
          <w:rFonts w:ascii="Times New Roman" w:hAnsi="Times New Roman" w:cs="Times New Roman"/>
          <w:i/>
          <w:sz w:val="20"/>
          <w:szCs w:val="20"/>
        </w:rPr>
        <w:t>Sovereign</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Wealth</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Funds</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and</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Corporate</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Governance</w:t>
      </w:r>
      <w:proofErr w:type="spellEnd"/>
      <w:r w:rsidRPr="0044712D">
        <w:rPr>
          <w:rFonts w:ascii="Times New Roman" w:hAnsi="Times New Roman" w:cs="Times New Roman"/>
          <w:i/>
          <w:sz w:val="20"/>
          <w:szCs w:val="20"/>
        </w:rPr>
        <w:t xml:space="preserve">: A </w:t>
      </w:r>
      <w:proofErr w:type="spellStart"/>
      <w:r w:rsidRPr="0044712D">
        <w:rPr>
          <w:rFonts w:ascii="Times New Roman" w:hAnsi="Times New Roman" w:cs="Times New Roman"/>
          <w:i/>
          <w:sz w:val="20"/>
          <w:szCs w:val="20"/>
        </w:rPr>
        <w:t>Minimalist</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Response</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to</w:t>
      </w:r>
      <w:proofErr w:type="spellEnd"/>
      <w:r w:rsidRPr="0044712D">
        <w:rPr>
          <w:rFonts w:ascii="Times New Roman" w:hAnsi="Times New Roman" w:cs="Times New Roman"/>
          <w:i/>
          <w:sz w:val="20"/>
          <w:szCs w:val="20"/>
        </w:rPr>
        <w:t xml:space="preserve"> </w:t>
      </w:r>
      <w:proofErr w:type="spellStart"/>
      <w:r w:rsidRPr="0044712D">
        <w:rPr>
          <w:rFonts w:ascii="Times New Roman" w:hAnsi="Times New Roman" w:cs="Times New Roman"/>
          <w:i/>
          <w:sz w:val="20"/>
          <w:szCs w:val="20"/>
        </w:rPr>
        <w:t>the</w:t>
      </w:r>
      <w:proofErr w:type="spellEnd"/>
      <w:r w:rsidRPr="0044712D">
        <w:rPr>
          <w:rFonts w:ascii="Times New Roman" w:hAnsi="Times New Roman" w:cs="Times New Roman"/>
          <w:i/>
          <w:sz w:val="20"/>
          <w:szCs w:val="20"/>
        </w:rPr>
        <w:t xml:space="preserve"> New </w:t>
      </w:r>
      <w:proofErr w:type="spellStart"/>
      <w:r w:rsidRPr="0044712D">
        <w:rPr>
          <w:rFonts w:ascii="Times New Roman" w:hAnsi="Times New Roman" w:cs="Times New Roman"/>
          <w:i/>
          <w:sz w:val="20"/>
          <w:szCs w:val="20"/>
        </w:rPr>
        <w:t>Mercantilism</w:t>
      </w:r>
      <w:proofErr w:type="spellEnd"/>
      <w:r w:rsidRPr="009975EA">
        <w:rPr>
          <w:rFonts w:ascii="Times New Roman" w:hAnsi="Times New Roman" w:cs="Times New Roman"/>
          <w:sz w:val="20"/>
          <w:szCs w:val="20"/>
        </w:rPr>
        <w:t xml:space="preserve">, </w:t>
      </w:r>
      <w:r>
        <w:rPr>
          <w:rFonts w:ascii="Times New Roman" w:hAnsi="Times New Roman" w:cs="Times New Roman"/>
          <w:sz w:val="20"/>
          <w:szCs w:val="20"/>
        </w:rPr>
        <w:t xml:space="preserve">60 </w:t>
      </w:r>
      <w:proofErr w:type="spellStart"/>
      <w:r>
        <w:rPr>
          <w:rFonts w:ascii="Times New Roman" w:hAnsi="Times New Roman" w:cs="Times New Roman"/>
          <w:sz w:val="20"/>
          <w:szCs w:val="20"/>
        </w:rPr>
        <w:t>Stan</w:t>
      </w:r>
      <w:proofErr w:type="spellEnd"/>
      <w:r>
        <w:rPr>
          <w:rFonts w:ascii="Times New Roman" w:hAnsi="Times New Roman" w:cs="Times New Roman"/>
          <w:sz w:val="20"/>
          <w:szCs w:val="20"/>
        </w:rPr>
        <w:t xml:space="preserve">. L. </w:t>
      </w:r>
      <w:proofErr w:type="spellStart"/>
      <w:r>
        <w:rPr>
          <w:rFonts w:ascii="Times New Roman" w:hAnsi="Times New Roman" w:cs="Times New Roman"/>
          <w:sz w:val="20"/>
          <w:szCs w:val="20"/>
        </w:rPr>
        <w:t>Rev</w:t>
      </w:r>
      <w:proofErr w:type="spellEnd"/>
      <w:r>
        <w:rPr>
          <w:rFonts w:ascii="Times New Roman" w:hAnsi="Times New Roman" w:cs="Times New Roman"/>
          <w:sz w:val="20"/>
          <w:szCs w:val="20"/>
        </w:rPr>
        <w:t xml:space="preserve">. 1345 (2008) at </w:t>
      </w:r>
      <w:r w:rsidRPr="009975EA">
        <w:rPr>
          <w:rFonts w:ascii="Times New Roman" w:hAnsi="Times New Roman" w:cs="Times New Roman"/>
          <w:sz w:val="20"/>
          <w:szCs w:val="20"/>
        </w:rPr>
        <w:t>1361)</w:t>
      </w:r>
    </w:p>
  </w:footnote>
  <w:footnote w:id="53">
    <w:p w14:paraId="51CB684B" w14:textId="21190092"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though</w:t>
      </w:r>
      <w:proofErr w:type="spellEnd"/>
      <w:r w:rsidRPr="009975EA">
        <w:rPr>
          <w:rFonts w:ascii="Times New Roman" w:hAnsi="Times New Roman" w:cs="Times New Roman"/>
          <w:sz w:val="20"/>
          <w:szCs w:val="20"/>
        </w:rPr>
        <w:t xml:space="preserve"> it is not </w:t>
      </w:r>
      <w:proofErr w:type="spellStart"/>
      <w:r w:rsidRPr="009975EA">
        <w:rPr>
          <w:rFonts w:ascii="Times New Roman" w:hAnsi="Times New Roman" w:cs="Times New Roman"/>
          <w:sz w:val="20"/>
          <w:szCs w:val="20"/>
        </w:rPr>
        <w:t>defined</w:t>
      </w:r>
      <w:proofErr w:type="spellEnd"/>
      <w:r w:rsidRPr="009975EA">
        <w:rPr>
          <w:rFonts w:ascii="Times New Roman" w:hAnsi="Times New Roman" w:cs="Times New Roman"/>
          <w:sz w:val="20"/>
          <w:szCs w:val="20"/>
        </w:rPr>
        <w:t xml:space="preserve"> in a </w:t>
      </w:r>
      <w:proofErr w:type="spellStart"/>
      <w:r w:rsidRPr="009975EA">
        <w:rPr>
          <w:rFonts w:ascii="Times New Roman" w:hAnsi="Times New Roman" w:cs="Times New Roman"/>
          <w:sz w:val="20"/>
          <w:szCs w:val="20"/>
        </w:rPr>
        <w:t>strict</w:t>
      </w:r>
      <w:proofErr w:type="spellEnd"/>
      <w:r w:rsidRPr="009975EA">
        <w:rPr>
          <w:rFonts w:ascii="Times New Roman" w:hAnsi="Times New Roman" w:cs="Times New Roman"/>
          <w:sz w:val="20"/>
          <w:szCs w:val="20"/>
        </w:rPr>
        <w:t xml:space="preserve"> legal sense,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catch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commonly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understood</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including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everything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controlling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get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out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position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minority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receiving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proportionate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Hofstetter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Size </w:t>
      </w:r>
      <w:proofErr w:type="spellStart"/>
      <w:r w:rsidRPr="009975EA">
        <w:rPr>
          <w:rFonts w:ascii="Times New Roman" w:hAnsi="Times New Roman" w:cs="Times New Roman"/>
          <w:sz w:val="20"/>
          <w:szCs w:val="20"/>
        </w:rPr>
        <w:t>Does</w:t>
      </w:r>
      <w:proofErr w:type="spellEnd"/>
      <w:r w:rsidRPr="009975EA">
        <w:rPr>
          <w:rFonts w:ascii="Times New Roman" w:hAnsi="Times New Roman" w:cs="Times New Roman"/>
          <w:sz w:val="20"/>
          <w:szCs w:val="20"/>
        </w:rPr>
        <w:t xml:space="preserve"> Not Fit </w:t>
      </w:r>
      <w:proofErr w:type="spellStart"/>
      <w:r w:rsidRPr="009975EA">
        <w:rPr>
          <w:rFonts w:ascii="Times New Roman" w:hAnsi="Times New Roman" w:cs="Times New Roman"/>
          <w:sz w:val="20"/>
          <w:szCs w:val="20"/>
        </w:rPr>
        <w:t>All</w:t>
      </w:r>
      <w:proofErr w:type="spellEnd"/>
      <w:r w:rsidRPr="009975EA">
        <w:rPr>
          <w:rFonts w:ascii="Times New Roman" w:hAnsi="Times New Roman" w:cs="Times New Roman"/>
          <w:sz w:val="20"/>
          <w:szCs w:val="20"/>
        </w:rPr>
        <w:t xml:space="preserve">, p.616);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Sinclair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Oil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w:t>
      </w:r>
      <w:proofErr w:type="spellEnd"/>
      <w:r w:rsidRPr="009975EA">
        <w:rPr>
          <w:rFonts w:ascii="Times New Roman" w:hAnsi="Times New Roman" w:cs="Times New Roman"/>
          <w:color w:val="000000"/>
          <w:sz w:val="20"/>
          <w:szCs w:val="20"/>
        </w:rPr>
        <w:t xml:space="preserve">. v. </w:t>
      </w:r>
      <w:proofErr w:type="spellStart"/>
      <w:r w:rsidRPr="009975EA">
        <w:rPr>
          <w:rFonts w:ascii="Times New Roman" w:hAnsi="Times New Roman" w:cs="Times New Roman"/>
          <w:color w:val="000000"/>
          <w:sz w:val="20"/>
          <w:szCs w:val="20"/>
        </w:rPr>
        <w:t>Levien</w:t>
      </w:r>
      <w:proofErr w:type="spellEnd"/>
      <w:r w:rsidRPr="009975EA">
        <w:rPr>
          <w:rFonts w:ascii="Times New Roman" w:hAnsi="Times New Roman" w:cs="Times New Roman"/>
          <w:color w:val="000000"/>
          <w:sz w:val="20"/>
          <w:szCs w:val="20"/>
        </w:rPr>
        <w:t xml:space="preserve">, 280 A.2d 717 (1971),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following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about</w:t>
      </w:r>
      <w:proofErr w:type="spellEnd"/>
      <w:r w:rsidRPr="009975EA">
        <w:rPr>
          <w:rFonts w:ascii="Times New Roman" w:hAnsi="Times New Roman" w:cs="Times New Roman"/>
          <w:color w:val="000000"/>
          <w:sz w:val="20"/>
          <w:szCs w:val="20"/>
        </w:rPr>
        <w:t xml:space="preserve"> self- </w:t>
      </w:r>
      <w:proofErr w:type="spellStart"/>
      <w:r w:rsidRPr="009975EA">
        <w:rPr>
          <w:rFonts w:ascii="Times New Roman" w:hAnsi="Times New Roman" w:cs="Times New Roman"/>
          <w:color w:val="000000"/>
          <w:sz w:val="20"/>
          <w:szCs w:val="20"/>
        </w:rPr>
        <w:t>dealing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techniques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extracting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private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benefits</w:t>
      </w:r>
      <w:proofErr w:type="spellEnd"/>
      <w:r w:rsidRPr="009975EA">
        <w:rPr>
          <w:rFonts w:ascii="Times New Roman" w:hAnsi="Times New Roman" w:cs="Times New Roman"/>
          <w:color w:val="000000"/>
          <w:sz w:val="20"/>
          <w:szCs w:val="20"/>
        </w:rPr>
        <w:t xml:space="preserve">: </w:t>
      </w:r>
      <w:r w:rsidRPr="009975EA">
        <w:rPr>
          <w:rFonts w:ascii="Times New Roman" w:hAnsi="Times New Roman" w:cs="Times New Roman"/>
          <w:sz w:val="20"/>
          <w:szCs w:val="20"/>
        </w:rPr>
        <w:t>“</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resulted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great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sums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money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transferred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Sinven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Sinclair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However</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proportionate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money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received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Sinven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Sinclair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received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nothing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Sinven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exclusion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were</w:t>
      </w:r>
      <w:proofErr w:type="spellEnd"/>
      <w:r w:rsidRPr="009975EA">
        <w:rPr>
          <w:rFonts w:ascii="Times New Roman" w:hAnsi="Times New Roman" w:cs="Times New Roman"/>
          <w:color w:val="000000"/>
          <w:sz w:val="20"/>
          <w:szCs w:val="20"/>
        </w:rPr>
        <w:t xml:space="preserve"> not self- </w:t>
      </w:r>
      <w:proofErr w:type="spellStart"/>
      <w:r w:rsidRPr="009975EA">
        <w:rPr>
          <w:rFonts w:ascii="Times New Roman" w:hAnsi="Times New Roman" w:cs="Times New Roman"/>
          <w:color w:val="000000"/>
          <w:sz w:val="20"/>
          <w:szCs w:val="20"/>
        </w:rPr>
        <w:t>dealing</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Cheffins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notes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information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flow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retainment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access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preferential</w:t>
      </w:r>
      <w:proofErr w:type="spellEnd"/>
      <w:r w:rsidRPr="009975EA">
        <w:rPr>
          <w:rFonts w:ascii="Times New Roman" w:hAnsi="Times New Roman" w:cs="Times New Roman"/>
          <w:sz w:val="20"/>
          <w:szCs w:val="20"/>
        </w:rPr>
        <w:t xml:space="preserve"> data” is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associated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investment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Cheffins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Ownership</w:t>
      </w:r>
      <w:proofErr w:type="spellEnd"/>
      <w:r>
        <w:rPr>
          <w:rFonts w:ascii="Times New Roman" w:hAnsi="Times New Roman" w:cs="Times New Roman"/>
          <w:sz w:val="20"/>
          <w:szCs w:val="20"/>
        </w:rPr>
        <w:t xml:space="preserve">, at </w:t>
      </w:r>
      <w:r w:rsidRPr="009975EA">
        <w:rPr>
          <w:rFonts w:ascii="Times New Roman" w:hAnsi="Times New Roman" w:cs="Times New Roman"/>
          <w:sz w:val="20"/>
          <w:szCs w:val="20"/>
        </w:rPr>
        <w:t xml:space="preserve">62). </w:t>
      </w:r>
      <w:proofErr w:type="spellStart"/>
      <w:r w:rsidRPr="009975EA">
        <w:rPr>
          <w:rFonts w:ascii="Times New Roman" w:hAnsi="Times New Roman" w:cs="Times New Roman"/>
          <w:sz w:val="20"/>
          <w:szCs w:val="20"/>
        </w:rPr>
        <w:t>Unless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w:t>
      </w:r>
      <w:proofErr w:type="spellEnd"/>
      <w:r w:rsidRPr="009975EA">
        <w:rPr>
          <w:rFonts w:ascii="Times New Roman" w:hAnsi="Times New Roman" w:cs="Times New Roman"/>
          <w:sz w:val="20"/>
          <w:szCs w:val="20"/>
        </w:rPr>
        <w:t xml:space="preserve"> is not </w:t>
      </w:r>
      <w:proofErr w:type="spellStart"/>
      <w:r w:rsidRPr="009975EA">
        <w:rPr>
          <w:rFonts w:ascii="Times New Roman" w:hAnsi="Times New Roman" w:cs="Times New Roman"/>
          <w:sz w:val="20"/>
          <w:szCs w:val="20"/>
        </w:rPr>
        <w:t>available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it </w:t>
      </w:r>
      <w:proofErr w:type="spellStart"/>
      <w:r w:rsidRPr="009975EA">
        <w:rPr>
          <w:rFonts w:ascii="Times New Roman" w:hAnsi="Times New Roman" w:cs="Times New Roman"/>
          <w:sz w:val="20"/>
          <w:szCs w:val="20"/>
        </w:rPr>
        <w:t>cannot</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regarded</w:t>
      </w:r>
      <w:proofErr w:type="spellEnd"/>
      <w:r w:rsidRPr="009975EA">
        <w:rPr>
          <w:rFonts w:ascii="Times New Roman" w:hAnsi="Times New Roman" w:cs="Times New Roman"/>
          <w:sz w:val="20"/>
          <w:szCs w:val="20"/>
        </w:rPr>
        <w:t xml:space="preserve"> as a “</w:t>
      </w:r>
      <w:proofErr w:type="spellStart"/>
      <w:r w:rsidRPr="009975EA">
        <w:rPr>
          <w:rFonts w:ascii="Times New Roman" w:hAnsi="Times New Roman" w:cs="Times New Roman"/>
          <w:sz w:val="20"/>
          <w:szCs w:val="20"/>
        </w:rPr>
        <w:t>private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because</w:t>
      </w:r>
      <w:proofErr w:type="spellEnd"/>
      <w:r w:rsidRPr="009975EA">
        <w:rPr>
          <w:rFonts w:ascii="Times New Roman" w:hAnsi="Times New Roman" w:cs="Times New Roman"/>
          <w:sz w:val="20"/>
          <w:szCs w:val="20"/>
        </w:rPr>
        <w:t xml:space="preserve"> it is not a </w:t>
      </w:r>
      <w:proofErr w:type="spellStart"/>
      <w:r w:rsidRPr="009975EA">
        <w:rPr>
          <w:rFonts w:ascii="Times New Roman" w:hAnsi="Times New Roman" w:cs="Times New Roman"/>
          <w:sz w:val="20"/>
          <w:szCs w:val="20"/>
        </w:rPr>
        <w:t>benefit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received</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exclusion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w:t>
      </w:r>
    </w:p>
  </w:footnote>
  <w:footnote w:id="54">
    <w:p w14:paraId="5AB47ABA" w14:textId="58310BE6" w:rsidR="00D36541" w:rsidRPr="009975EA" w:rsidRDefault="00D36541" w:rsidP="009975EA">
      <w:pPr>
        <w:pStyle w:val="DipnotMetni"/>
        <w:tabs>
          <w:tab w:val="left" w:pos="5817"/>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example, a shareholder can earn a reputation for being a director- friendly shareholder while he is a shareholder of a corporation, and this might give him the opportunity to receive more favorable investment deals from competitor corporations in th</w:t>
      </w:r>
      <w:r>
        <w:rPr>
          <w:rFonts w:ascii="Times New Roman" w:hAnsi="Times New Roman" w:cs="Times New Roman"/>
          <w:sz w:val="20"/>
          <w:szCs w:val="20"/>
        </w:rPr>
        <w:t xml:space="preserve">e future (Warren Buffett is </w:t>
      </w:r>
      <w:r w:rsidRPr="009975EA">
        <w:rPr>
          <w:rFonts w:ascii="Times New Roman" w:hAnsi="Times New Roman" w:cs="Times New Roman"/>
          <w:sz w:val="20"/>
          <w:szCs w:val="20"/>
        </w:rPr>
        <w:t>a good example of this case, see, Linda Sandler, Buffett’s Savior Role Lands Him Deals Other Holders Can’t Get, WSJ, 14/08/1989). While the reputation itself is a non- pecuniary private benefit, the fact that it is extracted and later used to acquire a pecuniary benefit (favorable future investment) makes it a pecuniary benefit in terms of the distinction of this study, because it brings a benefit that can be monetarily expressed.</w:t>
      </w:r>
    </w:p>
  </w:footnote>
  <w:footnote w:id="55">
    <w:p w14:paraId="036CD75F" w14:textId="19DD6EE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Gilson, p. 1663. “The private benefits can be pecuniary, including higher salaries for individual </w:t>
      </w:r>
      <w:proofErr w:type="spellStart"/>
      <w:r w:rsidRPr="009975EA">
        <w:rPr>
          <w:rFonts w:ascii="Times New Roman" w:hAnsi="Times New Roman" w:cs="Times New Roman"/>
          <w:sz w:val="20"/>
          <w:szCs w:val="20"/>
        </w:rPr>
        <w:t>blockholders</w:t>
      </w:r>
      <w:proofErr w:type="spellEnd"/>
      <w:r w:rsidRPr="009975EA">
        <w:rPr>
          <w:rFonts w:ascii="Times New Roman" w:hAnsi="Times New Roman" w:cs="Times New Roman"/>
          <w:sz w:val="20"/>
          <w:szCs w:val="20"/>
        </w:rPr>
        <w:t xml:space="preserve"> or below-market transfer prices for corporate </w:t>
      </w:r>
      <w:proofErr w:type="spellStart"/>
      <w:r w:rsidRPr="009975EA">
        <w:rPr>
          <w:rFonts w:ascii="Times New Roman" w:hAnsi="Times New Roman" w:cs="Times New Roman"/>
          <w:sz w:val="20"/>
          <w:szCs w:val="20"/>
        </w:rPr>
        <w:t>bl</w:t>
      </w:r>
      <w:r>
        <w:rPr>
          <w:rFonts w:ascii="Times New Roman" w:hAnsi="Times New Roman" w:cs="Times New Roman"/>
          <w:sz w:val="20"/>
          <w:szCs w:val="20"/>
        </w:rPr>
        <w:t>ockholders</w:t>
      </w:r>
      <w:proofErr w:type="spellEnd"/>
      <w:r>
        <w:rPr>
          <w:rFonts w:ascii="Times New Roman" w:hAnsi="Times New Roman" w:cs="Times New Roman"/>
          <w:sz w:val="20"/>
          <w:szCs w:val="20"/>
        </w:rPr>
        <w:t xml:space="preserve">” (Michael J. Barclay, </w:t>
      </w:r>
      <w:r w:rsidRPr="009975EA">
        <w:rPr>
          <w:rFonts w:ascii="Times New Roman" w:hAnsi="Times New Roman" w:cs="Times New Roman"/>
          <w:sz w:val="20"/>
          <w:szCs w:val="20"/>
        </w:rPr>
        <w:t xml:space="preserve">Clifford G. Holderness, </w:t>
      </w:r>
      <w:r w:rsidRPr="0044712D">
        <w:rPr>
          <w:rFonts w:ascii="Times New Roman" w:hAnsi="Times New Roman" w:cs="Times New Roman"/>
          <w:i/>
          <w:sz w:val="20"/>
          <w:szCs w:val="20"/>
        </w:rPr>
        <w:t xml:space="preserve">Private Benefits </w:t>
      </w:r>
      <w:proofErr w:type="gramStart"/>
      <w:r w:rsidRPr="0044712D">
        <w:rPr>
          <w:rFonts w:ascii="Times New Roman" w:hAnsi="Times New Roman" w:cs="Times New Roman"/>
          <w:i/>
          <w:sz w:val="20"/>
          <w:szCs w:val="20"/>
        </w:rPr>
        <w:t>From</w:t>
      </w:r>
      <w:proofErr w:type="gramEnd"/>
      <w:r w:rsidRPr="0044712D">
        <w:rPr>
          <w:rFonts w:ascii="Times New Roman" w:hAnsi="Times New Roman" w:cs="Times New Roman"/>
          <w:i/>
          <w:sz w:val="20"/>
          <w:szCs w:val="20"/>
        </w:rPr>
        <w:t xml:space="preserve"> Control of Public Corporations,</w:t>
      </w:r>
      <w:r w:rsidRPr="009975EA">
        <w:rPr>
          <w:rFonts w:ascii="Times New Roman" w:hAnsi="Times New Roman" w:cs="Times New Roman"/>
          <w:sz w:val="20"/>
          <w:szCs w:val="20"/>
        </w:rPr>
        <w:t xml:space="preserve"> Journal of F</w:t>
      </w:r>
      <w:r>
        <w:rPr>
          <w:rFonts w:ascii="Times New Roman" w:hAnsi="Times New Roman" w:cs="Times New Roman"/>
          <w:sz w:val="20"/>
          <w:szCs w:val="20"/>
        </w:rPr>
        <w:t xml:space="preserve">inancial Economics 25 (1985) </w:t>
      </w:r>
      <w:r w:rsidR="003C56E3">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374).</w:t>
      </w:r>
    </w:p>
  </w:footnote>
  <w:footnote w:id="56">
    <w:p w14:paraId="018F0DFD" w14:textId="2F0B8A73" w:rsidR="00D36541" w:rsidRPr="009975EA" w:rsidRDefault="00D36541" w:rsidP="009975EA">
      <w:pPr>
        <w:pStyle w:val="DipnotMetni"/>
        <w:tabs>
          <w:tab w:val="left" w:pos="7842"/>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Gilson, p. 1663. “Private benefits need not come from the firm’s cash flow, however. For example, there may be nonpecuniary control amenities for individual </w:t>
      </w:r>
      <w:proofErr w:type="spellStart"/>
      <w:r w:rsidRPr="009975EA">
        <w:rPr>
          <w:rFonts w:ascii="Times New Roman" w:hAnsi="Times New Roman" w:cs="Times New Roman"/>
          <w:sz w:val="20"/>
          <w:szCs w:val="20"/>
        </w:rPr>
        <w:t>blockholders</w:t>
      </w:r>
      <w:proofErr w:type="spellEnd"/>
      <w:r w:rsidRPr="009975EA">
        <w:rPr>
          <w:rFonts w:ascii="Times New Roman" w:hAnsi="Times New Roman" w:cs="Times New Roman"/>
          <w:sz w:val="20"/>
          <w:szCs w:val="20"/>
        </w:rPr>
        <w:t xml:space="preserve"> or synergies in production for corporate </w:t>
      </w:r>
      <w:proofErr w:type="spellStart"/>
      <w:r w:rsidRPr="009975EA">
        <w:rPr>
          <w:rFonts w:ascii="Times New Roman" w:hAnsi="Times New Roman" w:cs="Times New Roman"/>
          <w:sz w:val="20"/>
          <w:szCs w:val="20"/>
        </w:rPr>
        <w:t>blockholders</w:t>
      </w:r>
      <w:proofErr w:type="spellEnd"/>
      <w:r w:rsidRPr="009975EA">
        <w:rPr>
          <w:rFonts w:ascii="Times New Roman" w:hAnsi="Times New Roman" w:cs="Times New Roman"/>
          <w:sz w:val="20"/>
          <w:szCs w:val="20"/>
        </w:rPr>
        <w:t>” (Barclay/Holderness, p.374).</w:t>
      </w:r>
      <w:r w:rsidRPr="009975EA">
        <w:rPr>
          <w:rFonts w:ascii="Times New Roman" w:hAnsi="Times New Roman" w:cs="Times New Roman"/>
          <w:sz w:val="20"/>
          <w:szCs w:val="20"/>
        </w:rPr>
        <w:tab/>
      </w:r>
    </w:p>
  </w:footnote>
  <w:footnote w:id="57">
    <w:p w14:paraId="68185868" w14:textId="0274857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 scholar, expressing a similar point, is against making a generalization: “The assumption that all non- pecuniary private benefits are idiosyncratic to the corporate controller is problematic, and it is most likely incorrect.” (Alessio M. </w:t>
      </w:r>
      <w:proofErr w:type="spellStart"/>
      <w:r w:rsidRPr="009975EA">
        <w:rPr>
          <w:rFonts w:ascii="Times New Roman" w:hAnsi="Times New Roman" w:cs="Times New Roman"/>
          <w:sz w:val="20"/>
          <w:szCs w:val="20"/>
        </w:rPr>
        <w:t>Pacces</w:t>
      </w:r>
      <w:proofErr w:type="spellEnd"/>
      <w:r w:rsidRPr="009975EA">
        <w:rPr>
          <w:rFonts w:ascii="Times New Roman" w:hAnsi="Times New Roman" w:cs="Times New Roman"/>
          <w:sz w:val="20"/>
          <w:szCs w:val="20"/>
        </w:rPr>
        <w:t xml:space="preserve">, </w:t>
      </w:r>
      <w:r w:rsidRPr="0044712D">
        <w:rPr>
          <w:rFonts w:ascii="Times New Roman" w:hAnsi="Times New Roman" w:cs="Times New Roman"/>
          <w:i/>
          <w:sz w:val="20"/>
          <w:szCs w:val="20"/>
        </w:rPr>
        <w:t xml:space="preserve">Rethinking Corporate Governance, </w:t>
      </w:r>
      <w:proofErr w:type="gramStart"/>
      <w:r w:rsidRPr="0044712D">
        <w:rPr>
          <w:rFonts w:ascii="Times New Roman" w:hAnsi="Times New Roman" w:cs="Times New Roman"/>
          <w:i/>
          <w:sz w:val="20"/>
          <w:szCs w:val="20"/>
        </w:rPr>
        <w:t>The</w:t>
      </w:r>
      <w:proofErr w:type="gramEnd"/>
      <w:r w:rsidRPr="0044712D">
        <w:rPr>
          <w:rFonts w:ascii="Times New Roman" w:hAnsi="Times New Roman" w:cs="Times New Roman"/>
          <w:i/>
          <w:sz w:val="20"/>
          <w:szCs w:val="20"/>
        </w:rPr>
        <w:t xml:space="preserve"> law and economics of control powers</w:t>
      </w:r>
      <w:r>
        <w:rPr>
          <w:rFonts w:ascii="Times New Roman" w:hAnsi="Times New Roman" w:cs="Times New Roman"/>
          <w:sz w:val="20"/>
          <w:szCs w:val="20"/>
        </w:rPr>
        <w:t xml:space="preserve"> 86 (</w:t>
      </w:r>
      <w:r w:rsidRPr="009975EA">
        <w:rPr>
          <w:rFonts w:ascii="Times New Roman" w:hAnsi="Times New Roman" w:cs="Times New Roman"/>
          <w:sz w:val="20"/>
          <w:szCs w:val="20"/>
        </w:rPr>
        <w:t>2012</w:t>
      </w:r>
      <w:r>
        <w:rPr>
          <w:rFonts w:ascii="Times New Roman" w:hAnsi="Times New Roman" w:cs="Times New Roman"/>
          <w:sz w:val="20"/>
          <w:szCs w:val="20"/>
        </w:rPr>
        <w:t>)</w:t>
      </w:r>
      <w:r w:rsidRPr="009975EA">
        <w:rPr>
          <w:rFonts w:ascii="Times New Roman" w:hAnsi="Times New Roman" w:cs="Times New Roman"/>
          <w:sz w:val="20"/>
          <w:szCs w:val="20"/>
        </w:rPr>
        <w:t xml:space="preserve">) However, as it is evaluated below, this </w:t>
      </w:r>
      <w:proofErr w:type="spellStart"/>
      <w:r w:rsidRPr="009975EA">
        <w:rPr>
          <w:rFonts w:ascii="Times New Roman" w:hAnsi="Times New Roman" w:cs="Times New Roman"/>
          <w:sz w:val="20"/>
          <w:szCs w:val="20"/>
        </w:rPr>
        <w:t>idiosynractic</w:t>
      </w:r>
      <w:proofErr w:type="spellEnd"/>
      <w:r w:rsidRPr="009975EA">
        <w:rPr>
          <w:rFonts w:ascii="Times New Roman" w:hAnsi="Times New Roman" w:cs="Times New Roman"/>
          <w:sz w:val="20"/>
          <w:szCs w:val="20"/>
        </w:rPr>
        <w:t xml:space="preserve"> nature deserves a special focus for especially state- controlled corporations.</w:t>
      </w:r>
    </w:p>
  </w:footnote>
  <w:footnote w:id="58">
    <w:p w14:paraId="09048226" w14:textId="71DD2CC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Enriques</w:t>
      </w:r>
      <w:proofErr w:type="spellEnd"/>
      <w:r w:rsidRPr="009975EA">
        <w:rPr>
          <w:rFonts w:ascii="Times New Roman" w:hAnsi="Times New Roman" w:cs="Times New Roman"/>
          <w:sz w:val="20"/>
          <w:szCs w:val="20"/>
        </w:rPr>
        <w:t>/Gilson/</w:t>
      </w:r>
      <w:proofErr w:type="spellStart"/>
      <w:r w:rsidRPr="009975EA">
        <w:rPr>
          <w:rFonts w:ascii="Times New Roman" w:hAnsi="Times New Roman" w:cs="Times New Roman"/>
          <w:sz w:val="20"/>
          <w:szCs w:val="20"/>
        </w:rPr>
        <w:t>Pacces</w:t>
      </w:r>
      <w:proofErr w:type="spellEnd"/>
      <w:r w:rsidRPr="009975EA">
        <w:rPr>
          <w:rFonts w:ascii="Times New Roman" w:hAnsi="Times New Roman" w:cs="Times New Roman"/>
          <w:sz w:val="20"/>
          <w:szCs w:val="20"/>
        </w:rPr>
        <w:t xml:space="preserve">, </w:t>
      </w:r>
      <w:r w:rsidRPr="0044712D">
        <w:rPr>
          <w:rFonts w:ascii="Times New Roman" w:hAnsi="Times New Roman" w:cs="Times New Roman"/>
          <w:i/>
          <w:sz w:val="20"/>
          <w:szCs w:val="20"/>
        </w:rPr>
        <w:t>The Case for an Unbiased Takeover Law (With an Application to the European Union)</w:t>
      </w:r>
      <w:r>
        <w:rPr>
          <w:rFonts w:ascii="Times New Roman" w:hAnsi="Times New Roman" w:cs="Times New Roman"/>
          <w:sz w:val="20"/>
          <w:szCs w:val="20"/>
        </w:rPr>
        <w:t xml:space="preserve">, 4 Harv. Bus. L. Rev. 85, </w:t>
      </w:r>
      <w:r w:rsidR="003C56E3">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98.</w:t>
      </w:r>
    </w:p>
  </w:footnote>
  <w:footnote w:id="59">
    <w:p w14:paraId="64493CFF" w14:textId="6906A9C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“Related party transactions are </w:t>
      </w:r>
      <w:proofErr w:type="spellStart"/>
      <w:r w:rsidRPr="009975EA">
        <w:rPr>
          <w:rFonts w:ascii="Times New Roman" w:hAnsi="Times New Roman" w:cs="Times New Roman"/>
          <w:sz w:val="20"/>
          <w:szCs w:val="20"/>
        </w:rPr>
        <w:t>evidendt</w:t>
      </w:r>
      <w:proofErr w:type="spellEnd"/>
      <w:r w:rsidRPr="009975EA">
        <w:rPr>
          <w:rFonts w:ascii="Times New Roman" w:hAnsi="Times New Roman" w:cs="Times New Roman"/>
          <w:sz w:val="20"/>
          <w:szCs w:val="20"/>
        </w:rPr>
        <w:t xml:space="preserve"> as one of the major ways through which controlling shareholders divert corporate resources to themselves.” (Yu- </w:t>
      </w:r>
      <w:proofErr w:type="spellStart"/>
      <w:r w:rsidRPr="009975EA">
        <w:rPr>
          <w:rFonts w:ascii="Times New Roman" w:hAnsi="Times New Roman" w:cs="Times New Roman"/>
          <w:sz w:val="20"/>
          <w:szCs w:val="20"/>
        </w:rPr>
        <w:t>Hsin</w:t>
      </w:r>
      <w:proofErr w:type="spellEnd"/>
      <w:r w:rsidRPr="009975EA">
        <w:rPr>
          <w:rFonts w:ascii="Times New Roman" w:hAnsi="Times New Roman" w:cs="Times New Roman"/>
          <w:sz w:val="20"/>
          <w:szCs w:val="20"/>
        </w:rPr>
        <w:t xml:space="preserve"> Lin, </w:t>
      </w:r>
      <w:r w:rsidRPr="0044712D">
        <w:rPr>
          <w:rFonts w:ascii="Times New Roman" w:hAnsi="Times New Roman" w:cs="Times New Roman"/>
          <w:i/>
          <w:sz w:val="20"/>
          <w:szCs w:val="20"/>
        </w:rPr>
        <w:t xml:space="preserve">Overseeing Controlling Shareholders: Do Independent Directors Constrain </w:t>
      </w:r>
      <w:proofErr w:type="spellStart"/>
      <w:r w:rsidRPr="0044712D">
        <w:rPr>
          <w:rFonts w:ascii="Times New Roman" w:hAnsi="Times New Roman" w:cs="Times New Roman"/>
          <w:i/>
          <w:sz w:val="20"/>
          <w:szCs w:val="20"/>
        </w:rPr>
        <w:t>Tunelling</w:t>
      </w:r>
      <w:proofErr w:type="spellEnd"/>
      <w:r w:rsidRPr="0044712D">
        <w:rPr>
          <w:rFonts w:ascii="Times New Roman" w:hAnsi="Times New Roman" w:cs="Times New Roman"/>
          <w:i/>
          <w:sz w:val="20"/>
          <w:szCs w:val="20"/>
        </w:rPr>
        <w:t xml:space="preserve"> in </w:t>
      </w:r>
      <w:proofErr w:type="gramStart"/>
      <w:r w:rsidRPr="0044712D">
        <w:rPr>
          <w:rFonts w:ascii="Times New Roman" w:hAnsi="Times New Roman" w:cs="Times New Roman"/>
          <w:i/>
          <w:sz w:val="20"/>
          <w:szCs w:val="20"/>
        </w:rPr>
        <w:t>Taiwan?,</w:t>
      </w:r>
      <w:proofErr w:type="gramEnd"/>
      <w:r w:rsidRPr="009975EA">
        <w:rPr>
          <w:rFonts w:ascii="Times New Roman" w:hAnsi="Times New Roman" w:cs="Times New Roman"/>
          <w:sz w:val="20"/>
          <w:szCs w:val="20"/>
        </w:rPr>
        <w:t xml:space="preserve"> 12 San</w:t>
      </w:r>
      <w:r>
        <w:rPr>
          <w:rFonts w:ascii="Times New Roman" w:hAnsi="Times New Roman" w:cs="Times New Roman"/>
          <w:sz w:val="20"/>
          <w:szCs w:val="20"/>
        </w:rPr>
        <w:t xml:space="preserve"> Diego Int’l L.J. 363 (2011) </w:t>
      </w:r>
      <w:r w:rsidR="003C56E3">
        <w:rPr>
          <w:rFonts w:ascii="Times New Roman" w:hAnsi="Times New Roman" w:cs="Times New Roman"/>
          <w:sz w:val="20"/>
          <w:szCs w:val="20"/>
        </w:rPr>
        <w:t>p.</w:t>
      </w:r>
      <w:r w:rsidRPr="009975EA">
        <w:rPr>
          <w:rFonts w:ascii="Times New Roman" w:hAnsi="Times New Roman" w:cs="Times New Roman"/>
          <w:sz w:val="20"/>
          <w:szCs w:val="20"/>
        </w:rPr>
        <w:t xml:space="preserve"> 365)</w:t>
      </w:r>
    </w:p>
  </w:footnote>
  <w:footnote w:id="60">
    <w:p w14:paraId="0D01AE1F" w14:textId="604381C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Simon Johnson, Rafael La Porta, </w:t>
      </w:r>
      <w:r w:rsidRPr="009975EA">
        <w:rPr>
          <w:rFonts w:ascii="Times New Roman" w:hAnsi="Times New Roman" w:cs="Times New Roman"/>
          <w:sz w:val="20"/>
          <w:szCs w:val="20"/>
        </w:rPr>
        <w:t>Florencio Lopez-</w:t>
      </w:r>
      <w:r>
        <w:rPr>
          <w:rFonts w:ascii="Times New Roman" w:hAnsi="Times New Roman" w:cs="Times New Roman"/>
          <w:sz w:val="20"/>
          <w:szCs w:val="20"/>
        </w:rPr>
        <w:t xml:space="preserve"> de – Silanes, </w:t>
      </w:r>
      <w:r w:rsidRPr="009975EA">
        <w:rPr>
          <w:rFonts w:ascii="Times New Roman" w:hAnsi="Times New Roman" w:cs="Times New Roman"/>
          <w:sz w:val="20"/>
          <w:szCs w:val="20"/>
        </w:rPr>
        <w:t xml:space="preserve">Andrei Shleifer, </w:t>
      </w:r>
      <w:r w:rsidRPr="0044712D">
        <w:rPr>
          <w:rFonts w:ascii="Times New Roman" w:hAnsi="Times New Roman" w:cs="Times New Roman"/>
          <w:i/>
          <w:sz w:val="20"/>
          <w:szCs w:val="20"/>
        </w:rPr>
        <w:t>“Tunneling”,</w:t>
      </w:r>
      <w:r w:rsidRPr="009975EA">
        <w:rPr>
          <w:rFonts w:ascii="Times New Roman" w:hAnsi="Times New Roman" w:cs="Times New Roman"/>
          <w:sz w:val="20"/>
          <w:szCs w:val="20"/>
        </w:rPr>
        <w:t xml:space="preserve"> Capital Markets and Company Law, Ed. Klaus</w:t>
      </w:r>
      <w:r>
        <w:rPr>
          <w:rFonts w:ascii="Times New Roman" w:hAnsi="Times New Roman" w:cs="Times New Roman"/>
          <w:sz w:val="20"/>
          <w:szCs w:val="20"/>
        </w:rPr>
        <w:t xml:space="preserve"> J. </w:t>
      </w:r>
      <w:proofErr w:type="spellStart"/>
      <w:r>
        <w:rPr>
          <w:rFonts w:ascii="Times New Roman" w:hAnsi="Times New Roman" w:cs="Times New Roman"/>
          <w:sz w:val="20"/>
          <w:szCs w:val="20"/>
        </w:rPr>
        <w:t>Hopt</w:t>
      </w:r>
      <w:proofErr w:type="spellEnd"/>
      <w:r>
        <w:rPr>
          <w:rFonts w:ascii="Times New Roman" w:hAnsi="Times New Roman" w:cs="Times New Roman"/>
          <w:sz w:val="20"/>
          <w:szCs w:val="20"/>
        </w:rPr>
        <w:t xml:space="preserve">/Eddy </w:t>
      </w:r>
      <w:proofErr w:type="spellStart"/>
      <w:r>
        <w:rPr>
          <w:rFonts w:ascii="Times New Roman" w:hAnsi="Times New Roman" w:cs="Times New Roman"/>
          <w:sz w:val="20"/>
          <w:szCs w:val="20"/>
        </w:rPr>
        <w:t>Wymeersch</w:t>
      </w:r>
      <w:proofErr w:type="spellEnd"/>
      <w:r>
        <w:rPr>
          <w:rFonts w:ascii="Times New Roman" w:hAnsi="Times New Roman" w:cs="Times New Roman"/>
          <w:sz w:val="20"/>
          <w:szCs w:val="20"/>
        </w:rPr>
        <w:t xml:space="preserve"> 612 (</w:t>
      </w:r>
      <w:r w:rsidRPr="009975EA">
        <w:rPr>
          <w:rFonts w:ascii="Times New Roman" w:hAnsi="Times New Roman" w:cs="Times New Roman"/>
          <w:sz w:val="20"/>
          <w:szCs w:val="20"/>
        </w:rPr>
        <w:t>2003</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61">
    <w:p w14:paraId="14818539" w14:textId="38FC7C87" w:rsidR="00D36541" w:rsidRPr="009975EA" w:rsidRDefault="00D36541" w:rsidP="009975EA">
      <w:pPr>
        <w:widowControl w:val="0"/>
        <w:autoSpaceDE w:val="0"/>
        <w:autoSpaceDN w:val="0"/>
        <w:adjustRightInd w:val="0"/>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Erica</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Gorga</w:t>
      </w:r>
      <w:proofErr w:type="spellEnd"/>
      <w:r w:rsidRPr="009975EA">
        <w:rPr>
          <w:rFonts w:ascii="Times New Roman" w:hAnsi="Times New Roman" w:cs="Times New Roman"/>
          <w:color w:val="000000" w:themeColor="text1"/>
          <w:sz w:val="20"/>
          <w:szCs w:val="20"/>
        </w:rPr>
        <w:t xml:space="preserve">, </w:t>
      </w:r>
      <w:proofErr w:type="spellStart"/>
      <w:r w:rsidRPr="0044712D">
        <w:rPr>
          <w:rFonts w:ascii="Times New Roman" w:hAnsi="Times New Roman" w:cs="Times New Roman"/>
          <w:i/>
          <w:color w:val="000000" w:themeColor="text1"/>
          <w:sz w:val="20"/>
          <w:szCs w:val="20"/>
        </w:rPr>
        <w:t>Culture</w:t>
      </w:r>
      <w:proofErr w:type="spellEnd"/>
      <w:r w:rsidRPr="0044712D">
        <w:rPr>
          <w:rFonts w:ascii="Times New Roman" w:hAnsi="Times New Roman" w:cs="Times New Roman"/>
          <w:i/>
          <w:color w:val="000000" w:themeColor="text1"/>
          <w:sz w:val="20"/>
          <w:szCs w:val="20"/>
        </w:rPr>
        <w:t xml:space="preserve"> </w:t>
      </w:r>
      <w:proofErr w:type="spellStart"/>
      <w:r w:rsidRPr="0044712D">
        <w:rPr>
          <w:rFonts w:ascii="Times New Roman" w:hAnsi="Times New Roman" w:cs="Times New Roman"/>
          <w:i/>
          <w:color w:val="000000" w:themeColor="text1"/>
          <w:sz w:val="20"/>
          <w:szCs w:val="20"/>
        </w:rPr>
        <w:t>and</w:t>
      </w:r>
      <w:proofErr w:type="spellEnd"/>
      <w:r w:rsidRPr="0044712D">
        <w:rPr>
          <w:rFonts w:ascii="Times New Roman" w:hAnsi="Times New Roman" w:cs="Times New Roman"/>
          <w:i/>
          <w:color w:val="000000" w:themeColor="text1"/>
          <w:sz w:val="20"/>
          <w:szCs w:val="20"/>
        </w:rPr>
        <w:t xml:space="preserve"> </w:t>
      </w:r>
      <w:proofErr w:type="spellStart"/>
      <w:r w:rsidRPr="0044712D">
        <w:rPr>
          <w:rFonts w:ascii="Times New Roman" w:hAnsi="Times New Roman" w:cs="Times New Roman"/>
          <w:i/>
          <w:color w:val="000000" w:themeColor="text1"/>
          <w:sz w:val="20"/>
          <w:szCs w:val="20"/>
        </w:rPr>
        <w:t>Corporate</w:t>
      </w:r>
      <w:proofErr w:type="spellEnd"/>
      <w:r w:rsidRPr="0044712D">
        <w:rPr>
          <w:rFonts w:ascii="Times New Roman" w:hAnsi="Times New Roman" w:cs="Times New Roman"/>
          <w:i/>
          <w:color w:val="000000" w:themeColor="text1"/>
          <w:sz w:val="20"/>
          <w:szCs w:val="20"/>
        </w:rPr>
        <w:t xml:space="preserve"> </w:t>
      </w:r>
      <w:proofErr w:type="spellStart"/>
      <w:r w:rsidRPr="0044712D">
        <w:rPr>
          <w:rFonts w:ascii="Times New Roman" w:hAnsi="Times New Roman" w:cs="Times New Roman"/>
          <w:i/>
          <w:color w:val="000000" w:themeColor="text1"/>
          <w:sz w:val="20"/>
          <w:szCs w:val="20"/>
        </w:rPr>
        <w:t>Law</w:t>
      </w:r>
      <w:proofErr w:type="spellEnd"/>
      <w:r w:rsidRPr="0044712D">
        <w:rPr>
          <w:rFonts w:ascii="Times New Roman" w:hAnsi="Times New Roman" w:cs="Times New Roman"/>
          <w:i/>
          <w:color w:val="000000" w:themeColor="text1"/>
          <w:sz w:val="20"/>
          <w:szCs w:val="20"/>
        </w:rPr>
        <w:t xml:space="preserve"> Reform: A Case </w:t>
      </w:r>
      <w:proofErr w:type="spellStart"/>
      <w:r w:rsidRPr="0044712D">
        <w:rPr>
          <w:rFonts w:ascii="Times New Roman" w:hAnsi="Times New Roman" w:cs="Times New Roman"/>
          <w:i/>
          <w:color w:val="000000" w:themeColor="text1"/>
          <w:sz w:val="20"/>
          <w:szCs w:val="20"/>
        </w:rPr>
        <w:t>Study</w:t>
      </w:r>
      <w:proofErr w:type="spellEnd"/>
      <w:r w:rsidRPr="0044712D">
        <w:rPr>
          <w:rFonts w:ascii="Times New Roman" w:hAnsi="Times New Roman" w:cs="Times New Roman"/>
          <w:i/>
          <w:color w:val="000000" w:themeColor="text1"/>
          <w:sz w:val="20"/>
          <w:szCs w:val="20"/>
        </w:rPr>
        <w:t xml:space="preserve"> of </w:t>
      </w:r>
      <w:proofErr w:type="spellStart"/>
      <w:r w:rsidRPr="0044712D">
        <w:rPr>
          <w:rFonts w:ascii="Times New Roman" w:hAnsi="Times New Roman" w:cs="Times New Roman"/>
          <w:i/>
          <w:color w:val="000000" w:themeColor="text1"/>
          <w:sz w:val="20"/>
          <w:szCs w:val="20"/>
        </w:rPr>
        <w:t>Brazil</w:t>
      </w:r>
      <w:proofErr w:type="spellEnd"/>
      <w:r w:rsidRPr="009975EA">
        <w:rPr>
          <w:rFonts w:ascii="Times New Roman" w:hAnsi="Times New Roman" w:cs="Times New Roman"/>
          <w:color w:val="000000" w:themeColor="text1"/>
          <w:sz w:val="20"/>
          <w:szCs w:val="20"/>
        </w:rPr>
        <w:t>, 27</w:t>
      </w:r>
      <w:r>
        <w:rPr>
          <w:rFonts w:ascii="Times New Roman" w:hAnsi="Times New Roman" w:cs="Times New Roman"/>
          <w:color w:val="000000" w:themeColor="text1"/>
          <w:sz w:val="20"/>
          <w:szCs w:val="20"/>
        </w:rPr>
        <w:t xml:space="preserve"> U. </w:t>
      </w:r>
      <w:proofErr w:type="spellStart"/>
      <w:r>
        <w:rPr>
          <w:rFonts w:ascii="Times New Roman" w:hAnsi="Times New Roman" w:cs="Times New Roman"/>
          <w:color w:val="000000" w:themeColor="text1"/>
          <w:sz w:val="20"/>
          <w:szCs w:val="20"/>
        </w:rPr>
        <w:t>Pa</w:t>
      </w:r>
      <w:proofErr w:type="spellEnd"/>
      <w:r>
        <w:rPr>
          <w:rFonts w:ascii="Times New Roman" w:hAnsi="Times New Roman" w:cs="Times New Roman"/>
          <w:color w:val="000000" w:themeColor="text1"/>
          <w:sz w:val="20"/>
          <w:szCs w:val="20"/>
        </w:rPr>
        <w:t xml:space="preserve">. J. </w:t>
      </w:r>
      <w:proofErr w:type="spellStart"/>
      <w:r>
        <w:rPr>
          <w:rFonts w:ascii="Times New Roman" w:hAnsi="Times New Roman" w:cs="Times New Roman"/>
          <w:color w:val="000000" w:themeColor="text1"/>
          <w:sz w:val="20"/>
          <w:szCs w:val="20"/>
        </w:rPr>
        <w:t>Int'l</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Econ</w:t>
      </w:r>
      <w:proofErr w:type="spellEnd"/>
      <w:r>
        <w:rPr>
          <w:rFonts w:ascii="Times New Roman" w:hAnsi="Times New Roman" w:cs="Times New Roman"/>
          <w:color w:val="000000" w:themeColor="text1"/>
          <w:sz w:val="20"/>
          <w:szCs w:val="20"/>
        </w:rPr>
        <w:t>. L. 803 at</w:t>
      </w:r>
      <w:r w:rsidRPr="009975EA">
        <w:rPr>
          <w:rFonts w:ascii="Times New Roman" w:hAnsi="Times New Roman" w:cs="Times New Roman"/>
          <w:color w:val="000000" w:themeColor="text1"/>
          <w:sz w:val="20"/>
          <w:szCs w:val="20"/>
        </w:rPr>
        <w:t>.8.</w:t>
      </w:r>
    </w:p>
  </w:footnote>
  <w:footnote w:id="62">
    <w:p w14:paraId="47E0AAC2" w14:textId="456B5ABD" w:rsidR="00D36541" w:rsidRPr="009975EA" w:rsidRDefault="00D36541" w:rsidP="009975EA">
      <w:pPr>
        <w:pStyle w:val="DipnotMetni"/>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“The ways in which a member’s interests may be prejudiced are almost unlimited.” (</w:t>
      </w:r>
      <w:proofErr w:type="spellStart"/>
      <w:r w:rsidRPr="009975EA">
        <w:rPr>
          <w:rFonts w:ascii="Times New Roman" w:hAnsi="Times New Roman" w:cs="Times New Roman"/>
          <w:color w:val="000000" w:themeColor="text1"/>
          <w:sz w:val="20"/>
          <w:szCs w:val="20"/>
          <w:lang w:val="tr-TR"/>
        </w:rPr>
        <w:t>Robin</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Hollington</w:t>
      </w:r>
      <w:proofErr w:type="spellEnd"/>
      <w:r w:rsidRPr="009975EA">
        <w:rPr>
          <w:rFonts w:ascii="Times New Roman" w:hAnsi="Times New Roman" w:cs="Times New Roman"/>
          <w:color w:val="000000" w:themeColor="text1"/>
          <w:sz w:val="20"/>
          <w:szCs w:val="20"/>
          <w:lang w:val="tr-TR"/>
        </w:rPr>
        <w:t xml:space="preserve"> Q.C., </w:t>
      </w:r>
      <w:proofErr w:type="spellStart"/>
      <w:r w:rsidRPr="0044712D">
        <w:rPr>
          <w:rFonts w:ascii="Times New Roman" w:hAnsi="Times New Roman" w:cs="Times New Roman"/>
          <w:i/>
          <w:color w:val="000000" w:themeColor="text1"/>
          <w:sz w:val="20"/>
          <w:szCs w:val="20"/>
          <w:lang w:val="tr-TR"/>
        </w:rPr>
        <w:t>Shareholders</w:t>
      </w:r>
      <w:proofErr w:type="spellEnd"/>
      <w:r w:rsidRPr="0044712D">
        <w:rPr>
          <w:rFonts w:ascii="Times New Roman" w:hAnsi="Times New Roman" w:cs="Times New Roman"/>
          <w:i/>
          <w:color w:val="000000" w:themeColor="text1"/>
          <w:sz w:val="20"/>
          <w:szCs w:val="20"/>
          <w:lang w:val="tr-TR"/>
        </w:rPr>
        <w:t xml:space="preserve">’ </w:t>
      </w:r>
      <w:proofErr w:type="spellStart"/>
      <w:r w:rsidRPr="0044712D">
        <w:rPr>
          <w:rFonts w:ascii="Times New Roman" w:hAnsi="Times New Roman" w:cs="Times New Roman"/>
          <w:i/>
          <w:color w:val="000000" w:themeColor="text1"/>
          <w:sz w:val="20"/>
          <w:szCs w:val="20"/>
          <w:lang w:val="tr-TR"/>
        </w:rPr>
        <w:t>Rights</w:t>
      </w:r>
      <w:proofErr w:type="spellEnd"/>
      <w:r>
        <w:rPr>
          <w:rFonts w:ascii="Times New Roman" w:hAnsi="Times New Roman" w:cs="Times New Roman"/>
          <w:color w:val="000000" w:themeColor="text1"/>
          <w:sz w:val="20"/>
          <w:szCs w:val="20"/>
          <w:lang w:val="tr-TR"/>
        </w:rPr>
        <w:t xml:space="preserve"> 171 (6. </w:t>
      </w:r>
      <w:proofErr w:type="spellStart"/>
      <w:r>
        <w:rPr>
          <w:rFonts w:ascii="Times New Roman" w:hAnsi="Times New Roman" w:cs="Times New Roman"/>
          <w:color w:val="000000" w:themeColor="text1"/>
          <w:sz w:val="20"/>
          <w:szCs w:val="20"/>
          <w:lang w:val="tr-TR"/>
        </w:rPr>
        <w:t>ed</w:t>
      </w:r>
      <w:proofErr w:type="spellEnd"/>
      <w:r>
        <w:rPr>
          <w:rFonts w:ascii="Times New Roman" w:hAnsi="Times New Roman" w:cs="Times New Roman"/>
          <w:color w:val="000000" w:themeColor="text1"/>
          <w:sz w:val="20"/>
          <w:szCs w:val="20"/>
          <w:lang w:val="tr-TR"/>
        </w:rPr>
        <w:t>,</w:t>
      </w:r>
      <w:r w:rsidRPr="009975EA">
        <w:rPr>
          <w:rFonts w:ascii="Times New Roman" w:hAnsi="Times New Roman" w:cs="Times New Roman"/>
          <w:color w:val="000000" w:themeColor="text1"/>
          <w:sz w:val="20"/>
          <w:szCs w:val="20"/>
          <w:lang w:val="tr-TR"/>
        </w:rPr>
        <w:t xml:space="preserve"> </w:t>
      </w:r>
      <w:r>
        <w:rPr>
          <w:rFonts w:ascii="Times New Roman" w:hAnsi="Times New Roman" w:cs="Times New Roman"/>
          <w:color w:val="000000" w:themeColor="text1"/>
          <w:sz w:val="20"/>
          <w:szCs w:val="20"/>
          <w:lang w:val="tr-TR"/>
        </w:rPr>
        <w:t>(</w:t>
      </w:r>
      <w:r w:rsidRPr="009975EA">
        <w:rPr>
          <w:rFonts w:ascii="Times New Roman" w:hAnsi="Times New Roman" w:cs="Times New Roman"/>
          <w:color w:val="000000" w:themeColor="text1"/>
          <w:sz w:val="20"/>
          <w:szCs w:val="20"/>
          <w:lang w:val="tr-TR"/>
        </w:rPr>
        <w:t>2010</w:t>
      </w:r>
      <w:r>
        <w:rPr>
          <w:rFonts w:ascii="Times New Roman" w:hAnsi="Times New Roman" w:cs="Times New Roman"/>
          <w:color w:val="000000" w:themeColor="text1"/>
          <w:sz w:val="20"/>
          <w:szCs w:val="20"/>
          <w:lang w:val="tr-TR"/>
        </w:rPr>
        <w:t>))</w:t>
      </w:r>
      <w:r w:rsidRPr="009975EA">
        <w:rPr>
          <w:rFonts w:ascii="Times New Roman" w:hAnsi="Times New Roman" w:cs="Times New Roman"/>
          <w:color w:val="000000" w:themeColor="text1"/>
          <w:sz w:val="20"/>
          <w:szCs w:val="20"/>
        </w:rPr>
        <w:t>)</w:t>
      </w:r>
    </w:p>
  </w:footnote>
  <w:footnote w:id="63">
    <w:p w14:paraId="748064FF" w14:textId="5673D3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Hofstetter uses the “internal benefits of control” and “external benefits of control” distinction to express a similar but different </w:t>
      </w:r>
      <w:proofErr w:type="spellStart"/>
      <w:r w:rsidRPr="009975EA">
        <w:rPr>
          <w:rFonts w:ascii="Times New Roman" w:hAnsi="Times New Roman" w:cs="Times New Roman"/>
          <w:sz w:val="20"/>
          <w:szCs w:val="20"/>
        </w:rPr>
        <w:t>differenciation</w:t>
      </w:r>
      <w:proofErr w:type="spellEnd"/>
      <w:r w:rsidRPr="009975EA">
        <w:rPr>
          <w:rFonts w:ascii="Times New Roman" w:hAnsi="Times New Roman" w:cs="Times New Roman"/>
          <w:sz w:val="20"/>
          <w:szCs w:val="20"/>
        </w:rPr>
        <w:t xml:space="preserve"> (Hofstetter, One Size Does Not Fit All, p. 617). </w:t>
      </w:r>
    </w:p>
  </w:footnote>
  <w:footnote w:id="64">
    <w:p w14:paraId="1D69F931" w14:textId="2D1D8E3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Harold </w:t>
      </w:r>
      <w:proofErr w:type="spellStart"/>
      <w:r>
        <w:rPr>
          <w:rFonts w:ascii="Times New Roman" w:hAnsi="Times New Roman" w:cs="Times New Roman"/>
          <w:sz w:val="20"/>
          <w:szCs w:val="20"/>
        </w:rPr>
        <w:t>Demsetz</w:t>
      </w:r>
      <w:proofErr w:type="spellEnd"/>
      <w:r>
        <w:rPr>
          <w:rFonts w:ascii="Times New Roman" w:hAnsi="Times New Roman" w:cs="Times New Roman"/>
          <w:sz w:val="20"/>
          <w:szCs w:val="20"/>
        </w:rPr>
        <w:t xml:space="preserve">, </w:t>
      </w:r>
      <w:r w:rsidRPr="009975EA">
        <w:rPr>
          <w:rFonts w:ascii="Times New Roman" w:hAnsi="Times New Roman" w:cs="Times New Roman"/>
          <w:sz w:val="20"/>
          <w:szCs w:val="20"/>
        </w:rPr>
        <w:t xml:space="preserve">Kenneth Lehn, </w:t>
      </w:r>
      <w:r w:rsidRPr="0044712D">
        <w:rPr>
          <w:rFonts w:ascii="Times New Roman" w:hAnsi="Times New Roman" w:cs="Times New Roman"/>
          <w:i/>
          <w:sz w:val="20"/>
          <w:szCs w:val="20"/>
        </w:rPr>
        <w:t>The Structure of Corporate Ownership: Causes and Consequences</w:t>
      </w:r>
      <w:r w:rsidRPr="009975EA">
        <w:rPr>
          <w:rFonts w:ascii="Times New Roman" w:hAnsi="Times New Roman" w:cs="Times New Roman"/>
          <w:sz w:val="20"/>
          <w:szCs w:val="20"/>
        </w:rPr>
        <w:t>, Journal of Political Economy</w:t>
      </w:r>
      <w:r>
        <w:rPr>
          <w:rFonts w:ascii="Times New Roman" w:hAnsi="Times New Roman" w:cs="Times New Roman"/>
          <w:sz w:val="20"/>
          <w:szCs w:val="20"/>
        </w:rPr>
        <w:t xml:space="preserve">, 1985, Vol. 93 No. 6 (1985) at </w:t>
      </w:r>
      <w:r w:rsidRPr="009975EA">
        <w:rPr>
          <w:rFonts w:ascii="Times New Roman" w:hAnsi="Times New Roman" w:cs="Times New Roman"/>
          <w:sz w:val="20"/>
          <w:szCs w:val="20"/>
        </w:rPr>
        <w:t xml:space="preserve">1161. It is presumed that stockholders act in their own best economic interests when they vote (Unitrin, Inc. v. American General Corp., 651 A.2d 1361 (1995)), however, as underlined, this is just a “presumption”. “For example, the Steinbrenner family, even if they have spent a lot of money to run the New York Yankees, is compensated (at least partially) when the New York Yankees win the World Series championship (of course, the Steinbrenner family may expect financial benefits from the team as well)” (Sang </w:t>
      </w:r>
      <w:proofErr w:type="spellStart"/>
      <w:r w:rsidRPr="009975EA">
        <w:rPr>
          <w:rFonts w:ascii="Times New Roman" w:hAnsi="Times New Roman" w:cs="Times New Roman"/>
          <w:sz w:val="20"/>
          <w:szCs w:val="20"/>
        </w:rPr>
        <w:t>Yop</w:t>
      </w:r>
      <w:proofErr w:type="spellEnd"/>
      <w:r w:rsidRPr="009975EA">
        <w:rPr>
          <w:rFonts w:ascii="Times New Roman" w:hAnsi="Times New Roman" w:cs="Times New Roman"/>
          <w:sz w:val="20"/>
          <w:szCs w:val="20"/>
        </w:rPr>
        <w:t xml:space="preserve"> Kang, </w:t>
      </w:r>
      <w:r w:rsidRPr="00DF2E3D">
        <w:rPr>
          <w:rFonts w:ascii="Times New Roman" w:hAnsi="Times New Roman" w:cs="Times New Roman"/>
          <w:i/>
          <w:sz w:val="20"/>
          <w:szCs w:val="20"/>
        </w:rPr>
        <w:t>Understanding the Controlling Shareholder Regimes,</w:t>
      </w:r>
      <w:r w:rsidRPr="009975EA">
        <w:rPr>
          <w:rFonts w:ascii="Times New Roman" w:hAnsi="Times New Roman" w:cs="Times New Roman"/>
          <w:sz w:val="20"/>
          <w:szCs w:val="20"/>
        </w:rPr>
        <w:t xml:space="preserve"> JSD Dissertation (2011) </w:t>
      </w:r>
      <w:hyperlink r:id="rId26" w:history="1">
        <w:r w:rsidRPr="009975EA">
          <w:rPr>
            <w:rStyle w:val="Kpr"/>
            <w:rFonts w:ascii="Times New Roman" w:hAnsi="Times New Roman" w:cs="Times New Roman"/>
            <w:sz w:val="20"/>
            <w:szCs w:val="20"/>
          </w:rPr>
          <w:t>https://academiccommons.columbia.edu/catalog/ac%3A132059</w:t>
        </w:r>
      </w:hyperlink>
      <w:r w:rsidRPr="009975EA">
        <w:rPr>
          <w:rFonts w:ascii="Times New Roman" w:hAnsi="Times New Roman" w:cs="Times New Roman"/>
          <w:sz w:val="20"/>
          <w:szCs w:val="20"/>
        </w:rPr>
        <w:t>, footnote 72).</w:t>
      </w:r>
    </w:p>
  </w:footnote>
  <w:footnote w:id="65">
    <w:p w14:paraId="624C600A" w14:textId="77777777" w:rsidR="005243AC" w:rsidRPr="009975EA" w:rsidRDefault="005243AC" w:rsidP="005243AC">
      <w:pPr>
        <w:widowControl w:val="0"/>
        <w:autoSpaceDE w:val="0"/>
        <w:autoSpaceDN w:val="0"/>
        <w:adjustRightInd w:val="0"/>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Today</w:t>
      </w:r>
      <w:proofErr w:type="spellEnd"/>
      <w:r w:rsidRPr="009975EA">
        <w:rPr>
          <w:rFonts w:ascii="Times New Roman" w:hAnsi="Times New Roman" w:cs="Times New Roman"/>
          <w:sz w:val="20"/>
          <w:szCs w:val="20"/>
        </w:rPr>
        <w:t xml:space="preserve">, it is </w:t>
      </w:r>
      <w:proofErr w:type="spellStart"/>
      <w:r w:rsidRPr="009975EA">
        <w:rPr>
          <w:rFonts w:ascii="Times New Roman" w:hAnsi="Times New Roman" w:cs="Times New Roman"/>
          <w:sz w:val="20"/>
          <w:szCs w:val="20"/>
        </w:rPr>
        <w:t>easy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contribute</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political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campaigns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disclosing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position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concealing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donations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casual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transactions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there</w:t>
      </w:r>
      <w:proofErr w:type="spellEnd"/>
      <w:r w:rsidRPr="009975EA">
        <w:rPr>
          <w:rFonts w:ascii="Times New Roman" w:hAnsi="Times New Roman" w:cs="Times New Roman"/>
          <w:sz w:val="20"/>
          <w:szCs w:val="20"/>
        </w:rPr>
        <w:t xml:space="preserve"> is a </w:t>
      </w:r>
      <w:proofErr w:type="spellStart"/>
      <w:r w:rsidRPr="009975EA">
        <w:rPr>
          <w:rFonts w:ascii="Times New Roman" w:hAnsi="Times New Roman" w:cs="Times New Roman"/>
          <w:sz w:val="20"/>
          <w:szCs w:val="20"/>
        </w:rPr>
        <w:t>cap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restricts</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person’s</w:t>
      </w:r>
      <w:proofErr w:type="spellEnd"/>
      <w:r w:rsidRPr="009975EA">
        <w:rPr>
          <w:rFonts w:ascii="Times New Roman" w:hAnsi="Times New Roman" w:cs="Times New Roman"/>
          <w:sz w:val="20"/>
          <w:szCs w:val="20"/>
        </w:rPr>
        <w:t xml:space="preserve"> total </w:t>
      </w:r>
      <w:proofErr w:type="spellStart"/>
      <w:r w:rsidRPr="009975EA">
        <w:rPr>
          <w:rFonts w:ascii="Times New Roman" w:hAnsi="Times New Roman" w:cs="Times New Roman"/>
          <w:sz w:val="20"/>
          <w:szCs w:val="20"/>
        </w:rPr>
        <w:t>contribution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amount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political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campaigns</w:t>
      </w:r>
      <w:proofErr w:type="spellEnd"/>
      <w:r w:rsidRPr="009975EA">
        <w:rPr>
          <w:rFonts w:ascii="Times New Roman" w:hAnsi="Times New Roman" w:cs="Times New Roman"/>
          <w:sz w:val="20"/>
          <w:szCs w:val="20"/>
        </w:rPr>
        <w:t xml:space="preserve">, it is </w:t>
      </w:r>
      <w:proofErr w:type="spellStart"/>
      <w:r w:rsidRPr="009975EA">
        <w:rPr>
          <w:rFonts w:ascii="Times New Roman" w:hAnsi="Times New Roman" w:cs="Times New Roman"/>
          <w:sz w:val="20"/>
          <w:szCs w:val="20"/>
        </w:rPr>
        <w:t>ineffective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conducts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danger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letting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happen</w:t>
      </w:r>
      <w:proofErr w:type="spellEnd"/>
      <w:r w:rsidRPr="009975EA">
        <w:rPr>
          <w:rFonts w:ascii="Times New Roman" w:hAnsi="Times New Roman" w:cs="Times New Roman"/>
          <w:sz w:val="20"/>
          <w:szCs w:val="20"/>
        </w:rPr>
        <w:t xml:space="preserve"> can be </w:t>
      </w:r>
      <w:proofErr w:type="spellStart"/>
      <w:r w:rsidRPr="009975EA">
        <w:rPr>
          <w:rFonts w:ascii="Times New Roman" w:hAnsi="Times New Roman" w:cs="Times New Roman"/>
          <w:sz w:val="20"/>
          <w:szCs w:val="20"/>
        </w:rPr>
        <w:t>understood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US </w:t>
      </w:r>
      <w:proofErr w:type="spellStart"/>
      <w:r w:rsidRPr="009975EA">
        <w:rPr>
          <w:rFonts w:ascii="Times New Roman" w:hAnsi="Times New Roman" w:cs="Times New Roman"/>
          <w:sz w:val="20"/>
          <w:szCs w:val="20"/>
        </w:rPr>
        <w:t>experience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reading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following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report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Politico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regarding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excessive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contributions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themeColor="text1"/>
          <w:sz w:val="20"/>
          <w:szCs w:val="20"/>
        </w:rPr>
        <w:t>Taken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together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trend </w:t>
      </w:r>
      <w:proofErr w:type="spellStart"/>
      <w:r w:rsidRPr="009975EA">
        <w:rPr>
          <w:rFonts w:ascii="Times New Roman" w:hAnsi="Times New Roman" w:cs="Times New Roman"/>
          <w:color w:val="000000" w:themeColor="text1"/>
          <w:sz w:val="20"/>
          <w:szCs w:val="20"/>
        </w:rPr>
        <w:t>lines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reflect</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new</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political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reality</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which</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handful</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superaffluent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partisans</w:t>
      </w:r>
      <w:proofErr w:type="spellEnd"/>
      <w:r w:rsidRPr="009975EA">
        <w:rPr>
          <w:rFonts w:ascii="Times New Roman" w:hAnsi="Times New Roman" w:cs="Times New Roman"/>
          <w:color w:val="000000" w:themeColor="text1"/>
          <w:sz w:val="20"/>
          <w:szCs w:val="20"/>
        </w:rPr>
        <w:t xml:space="preserve"> can </w:t>
      </w:r>
      <w:proofErr w:type="spellStart"/>
      <w:r w:rsidRPr="009975EA">
        <w:rPr>
          <w:rFonts w:ascii="Times New Roman" w:hAnsi="Times New Roman" w:cs="Times New Roman"/>
          <w:color w:val="000000" w:themeColor="text1"/>
          <w:sz w:val="20"/>
          <w:szCs w:val="20"/>
        </w:rPr>
        <w:t>exert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more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sway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over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campaign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landscape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millions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donors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more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average</w:t>
      </w:r>
      <w:proofErr w:type="spellEnd"/>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themeColor="text1"/>
          <w:sz w:val="20"/>
          <w:szCs w:val="20"/>
        </w:rPr>
        <w:t>means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say </w:t>
      </w:r>
      <w:proofErr w:type="spellStart"/>
      <w:r w:rsidRPr="009975EA">
        <w:rPr>
          <w:rFonts w:ascii="Times New Roman" w:hAnsi="Times New Roman" w:cs="Times New Roman"/>
          <w:color w:val="000000" w:themeColor="text1"/>
          <w:sz w:val="20"/>
          <w:szCs w:val="20"/>
        </w:rPr>
        <w:t>nothing</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overwhelming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majority</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voters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who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never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spend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much</w:t>
      </w:r>
      <w:proofErr w:type="spellEnd"/>
      <w:r w:rsidRPr="009975EA">
        <w:rPr>
          <w:rFonts w:ascii="Times New Roman" w:hAnsi="Times New Roman" w:cs="Times New Roman"/>
          <w:color w:val="000000" w:themeColor="text1"/>
          <w:sz w:val="20"/>
          <w:szCs w:val="20"/>
        </w:rPr>
        <w:t xml:space="preserve"> as a </w:t>
      </w:r>
      <w:proofErr w:type="spellStart"/>
      <w:r w:rsidRPr="009975EA">
        <w:rPr>
          <w:rFonts w:ascii="Times New Roman" w:hAnsi="Times New Roman" w:cs="Times New Roman"/>
          <w:color w:val="000000" w:themeColor="text1"/>
          <w:sz w:val="20"/>
          <w:szCs w:val="20"/>
        </w:rPr>
        <w:t>single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dime</w:t>
      </w:r>
      <w:proofErr w:type="spellEnd"/>
      <w:r w:rsidRPr="009975EA">
        <w:rPr>
          <w:rFonts w:ascii="Times New Roman" w:hAnsi="Times New Roman" w:cs="Times New Roman"/>
          <w:color w:val="000000" w:themeColor="text1"/>
          <w:sz w:val="20"/>
          <w:szCs w:val="20"/>
        </w:rPr>
        <w:t xml:space="preserve"> on </w:t>
      </w:r>
      <w:proofErr w:type="spellStart"/>
      <w:r w:rsidRPr="009975EA">
        <w:rPr>
          <w:rFonts w:ascii="Times New Roman" w:hAnsi="Times New Roman" w:cs="Times New Roman"/>
          <w:color w:val="000000" w:themeColor="text1"/>
          <w:sz w:val="20"/>
          <w:szCs w:val="20"/>
        </w:rPr>
        <w:t>politics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Center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Responsive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Politics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estimates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only</w:t>
      </w:r>
      <w:proofErr w:type="spellEnd"/>
      <w:r w:rsidRPr="009975EA">
        <w:rPr>
          <w:rFonts w:ascii="Times New Roman" w:hAnsi="Times New Roman" w:cs="Times New Roman"/>
          <w:color w:val="000000" w:themeColor="text1"/>
          <w:sz w:val="20"/>
          <w:szCs w:val="20"/>
        </w:rPr>
        <w:t xml:space="preserve"> 0.28 </w:t>
      </w:r>
      <w:proofErr w:type="spellStart"/>
      <w:r w:rsidRPr="009975EA">
        <w:rPr>
          <w:rFonts w:ascii="Times New Roman" w:hAnsi="Times New Roman" w:cs="Times New Roman"/>
          <w:color w:val="000000" w:themeColor="text1"/>
          <w:sz w:val="20"/>
          <w:szCs w:val="20"/>
        </w:rPr>
        <w:t>percent</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American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adults</w:t>
      </w:r>
      <w:proofErr w:type="spellEnd"/>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themeColor="text1"/>
          <w:sz w:val="20"/>
          <w:szCs w:val="20"/>
        </w:rPr>
        <w:t>donate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campaigns</w:t>
      </w:r>
      <w:proofErr w:type="spellEnd"/>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themeColor="text1"/>
          <w:sz w:val="20"/>
          <w:szCs w:val="20"/>
        </w:rPr>
        <w:t>See</w:t>
      </w:r>
      <w:proofErr w:type="spellEnd"/>
      <w:r w:rsidRPr="009975E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“Top </w:t>
      </w:r>
      <w:proofErr w:type="spellStart"/>
      <w:r>
        <w:rPr>
          <w:rFonts w:ascii="Times New Roman" w:hAnsi="Times New Roman" w:cs="Times New Roman"/>
          <w:color w:val="000000" w:themeColor="text1"/>
          <w:sz w:val="20"/>
          <w:szCs w:val="20"/>
        </w:rPr>
        <w:t>political</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donors</w:t>
      </w:r>
      <w:proofErr w:type="spellEnd"/>
      <w:r>
        <w:rPr>
          <w:rFonts w:ascii="Times New Roman" w:hAnsi="Times New Roman" w:cs="Times New Roman"/>
          <w:color w:val="000000" w:themeColor="text1"/>
          <w:sz w:val="20"/>
          <w:szCs w:val="20"/>
        </w:rPr>
        <w:t>”,</w:t>
      </w:r>
      <w:r w:rsidRPr="009975EA">
        <w:rPr>
          <w:rFonts w:ascii="Times New Roman" w:hAnsi="Times New Roman" w:cs="Times New Roman"/>
          <w:color w:val="000000" w:themeColor="text1"/>
          <w:sz w:val="20"/>
          <w:szCs w:val="20"/>
        </w:rPr>
        <w:t xml:space="preserve"> </w:t>
      </w:r>
      <w:hyperlink r:id="rId27" w:history="1">
        <w:r w:rsidRPr="009975EA">
          <w:rPr>
            <w:rStyle w:val="Kpr"/>
            <w:rFonts w:ascii="Times New Roman" w:hAnsi="Times New Roman" w:cs="Times New Roman"/>
            <w:sz w:val="20"/>
            <w:szCs w:val="20"/>
          </w:rPr>
          <w:t>http://www.politico.com/story/2014/12/top-political-donors-113833</w:t>
        </w:r>
      </w:hyperlink>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Last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visited</w:t>
      </w:r>
      <w:proofErr w:type="spellEnd"/>
      <w:r w:rsidRPr="009975EA">
        <w:rPr>
          <w:rFonts w:ascii="Times New Roman" w:hAnsi="Times New Roman" w:cs="Times New Roman"/>
          <w:color w:val="000000" w:themeColor="text1"/>
          <w:sz w:val="20"/>
          <w:szCs w:val="20"/>
        </w:rPr>
        <w:t xml:space="preserve">: 01/16/2016)). </w:t>
      </w:r>
    </w:p>
  </w:footnote>
  <w:footnote w:id="66">
    <w:p w14:paraId="06A40402" w14:textId="1DFC48C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Sang </w:t>
      </w:r>
      <w:proofErr w:type="spellStart"/>
      <w:r w:rsidRPr="009975EA">
        <w:rPr>
          <w:rFonts w:ascii="Times New Roman" w:hAnsi="Times New Roman" w:cs="Times New Roman"/>
          <w:sz w:val="20"/>
          <w:szCs w:val="20"/>
        </w:rPr>
        <w:t>Yop</w:t>
      </w:r>
      <w:proofErr w:type="spellEnd"/>
      <w:r w:rsidRPr="009975EA">
        <w:rPr>
          <w:rFonts w:ascii="Times New Roman" w:hAnsi="Times New Roman" w:cs="Times New Roman"/>
          <w:sz w:val="20"/>
          <w:szCs w:val="20"/>
        </w:rPr>
        <w:t xml:space="preserve"> Kang, </w:t>
      </w:r>
      <w:r w:rsidRPr="00DF2E3D">
        <w:rPr>
          <w:rFonts w:ascii="Times New Roman" w:hAnsi="Times New Roman" w:cs="Times New Roman"/>
          <w:i/>
          <w:sz w:val="20"/>
          <w:szCs w:val="20"/>
        </w:rPr>
        <w:t>Re- Envisioning the Controlling Shareholder Regime: Why Controlling Shareholders and Minority Shareholders Often Embrace</w:t>
      </w:r>
      <w:r>
        <w:rPr>
          <w:rFonts w:ascii="Times New Roman" w:hAnsi="Times New Roman" w:cs="Times New Roman"/>
          <w:sz w:val="20"/>
          <w:szCs w:val="20"/>
        </w:rPr>
        <w:t xml:space="preserve">, 16 U. Pa. J. Bus. L. 843, </w:t>
      </w:r>
      <w:r w:rsidR="003C56E3">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895</w:t>
      </w:r>
    </w:p>
  </w:footnote>
  <w:footnote w:id="67">
    <w:p w14:paraId="2802F9CD" w14:textId="003E140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rational choice model of human behavior postulates that individuals ‘can perfectly process available information about alternative courses of action…can rank possible outcomes in order of expected utility…and can choose the course of action that will maximize their personal expected utility’…There are good reasons to believe, however, that reliance on such </w:t>
      </w:r>
      <w:proofErr w:type="spellStart"/>
      <w:r w:rsidRPr="009975EA">
        <w:rPr>
          <w:rFonts w:ascii="Times New Roman" w:hAnsi="Times New Roman" w:cs="Times New Roman"/>
          <w:sz w:val="20"/>
          <w:szCs w:val="20"/>
        </w:rPr>
        <w:t>assumptins</w:t>
      </w:r>
      <w:proofErr w:type="spellEnd"/>
      <w:r w:rsidRPr="009975EA">
        <w:rPr>
          <w:rFonts w:ascii="Times New Roman" w:hAnsi="Times New Roman" w:cs="Times New Roman"/>
          <w:sz w:val="20"/>
          <w:szCs w:val="20"/>
        </w:rPr>
        <w:t xml:space="preserve"> of rationality and efficiency in information processing is misplaced. Human decision- making processes are not always governed by reason. A </w:t>
      </w:r>
      <w:proofErr w:type="spellStart"/>
      <w:r w:rsidRPr="009975EA">
        <w:rPr>
          <w:rFonts w:ascii="Times New Roman" w:hAnsi="Times New Roman" w:cs="Times New Roman"/>
          <w:sz w:val="20"/>
          <w:szCs w:val="20"/>
        </w:rPr>
        <w:t>susbstantial</w:t>
      </w:r>
      <w:proofErr w:type="spellEnd"/>
      <w:r w:rsidRPr="009975EA">
        <w:rPr>
          <w:rFonts w:ascii="Times New Roman" w:hAnsi="Times New Roman" w:cs="Times New Roman"/>
          <w:sz w:val="20"/>
          <w:szCs w:val="20"/>
        </w:rPr>
        <w:t xml:space="preserve"> amount of behavioral evidence reveals that people do not consistently act in accordance with rational choice theory” (Susanna Kim Ripken, </w:t>
      </w:r>
      <w:r w:rsidRPr="00DF2E3D">
        <w:rPr>
          <w:rFonts w:ascii="Times New Roman" w:hAnsi="Times New Roman" w:cs="Times New Roman"/>
          <w:i/>
          <w:sz w:val="20"/>
          <w:szCs w:val="20"/>
        </w:rPr>
        <w:t xml:space="preserve">The </w:t>
      </w:r>
      <w:proofErr w:type="gramStart"/>
      <w:r w:rsidRPr="00DF2E3D">
        <w:rPr>
          <w:rFonts w:ascii="Times New Roman" w:hAnsi="Times New Roman" w:cs="Times New Roman"/>
          <w:i/>
          <w:sz w:val="20"/>
          <w:szCs w:val="20"/>
        </w:rPr>
        <w:t>Dangers</w:t>
      </w:r>
      <w:proofErr w:type="gramEnd"/>
      <w:r w:rsidRPr="00DF2E3D">
        <w:rPr>
          <w:rFonts w:ascii="Times New Roman" w:hAnsi="Times New Roman" w:cs="Times New Roman"/>
          <w:i/>
          <w:sz w:val="20"/>
          <w:szCs w:val="20"/>
        </w:rPr>
        <w:t xml:space="preserve"> and Drawbacks of the Disclosure Antidote: Toward a More Substantive Approach to Securities Regulation</w:t>
      </w:r>
      <w:r w:rsidRPr="009975EA">
        <w:rPr>
          <w:rFonts w:ascii="Times New Roman" w:hAnsi="Times New Roman" w:cs="Times New Roman"/>
          <w:sz w:val="20"/>
          <w:szCs w:val="20"/>
        </w:rPr>
        <w:t xml:space="preserve">, </w:t>
      </w:r>
      <w:r>
        <w:rPr>
          <w:rFonts w:ascii="Times New Roman" w:hAnsi="Times New Roman" w:cs="Times New Roman"/>
          <w:sz w:val="20"/>
          <w:szCs w:val="20"/>
        </w:rPr>
        <w:t>58 Baylor L. Rev. 139 (2006), at</w:t>
      </w:r>
      <w:r w:rsidRPr="009975EA">
        <w:rPr>
          <w:rFonts w:ascii="Times New Roman" w:hAnsi="Times New Roman" w:cs="Times New Roman"/>
          <w:sz w:val="20"/>
          <w:szCs w:val="20"/>
        </w:rPr>
        <w:t xml:space="preserve"> 156-158).</w:t>
      </w:r>
    </w:p>
  </w:footnote>
  <w:footnote w:id="68">
    <w:p w14:paraId="133A6AC3" w14:textId="359D3EE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lang w:val="tr-TR"/>
        </w:rPr>
        <w:t>“</w:t>
      </w:r>
      <w:proofErr w:type="spellStart"/>
      <w:r w:rsidRPr="009975EA">
        <w:rPr>
          <w:rFonts w:ascii="Times New Roman" w:hAnsi="Times New Roman" w:cs="Times New Roman"/>
          <w:color w:val="000000"/>
          <w:sz w:val="20"/>
          <w:szCs w:val="20"/>
          <w:lang w:val="tr-TR"/>
        </w:rPr>
        <w:t>There</w:t>
      </w:r>
      <w:proofErr w:type="spellEnd"/>
      <w:r w:rsidRPr="009975EA">
        <w:rPr>
          <w:rFonts w:ascii="Times New Roman" w:hAnsi="Times New Roman" w:cs="Times New Roman"/>
          <w:color w:val="000000"/>
          <w:sz w:val="20"/>
          <w:szCs w:val="20"/>
          <w:lang w:val="tr-TR"/>
        </w:rPr>
        <w:t xml:space="preserve"> can, </w:t>
      </w:r>
      <w:proofErr w:type="spellStart"/>
      <w:r w:rsidRPr="009975EA">
        <w:rPr>
          <w:rFonts w:ascii="Times New Roman" w:hAnsi="Times New Roman" w:cs="Times New Roman"/>
          <w:color w:val="000000"/>
          <w:sz w:val="20"/>
          <w:szCs w:val="20"/>
          <w:lang w:val="tr-TR"/>
        </w:rPr>
        <w:t>for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example</w:t>
      </w:r>
      <w:proofErr w:type="spellEnd"/>
      <w:r w:rsidRPr="009975EA">
        <w:rPr>
          <w:rFonts w:ascii="Times New Roman" w:hAnsi="Times New Roman" w:cs="Times New Roman"/>
          <w:color w:val="000000"/>
          <w:sz w:val="20"/>
          <w:szCs w:val="20"/>
          <w:lang w:val="tr-TR"/>
        </w:rPr>
        <w:t xml:space="preserve">, be a </w:t>
      </w:r>
      <w:proofErr w:type="spellStart"/>
      <w:r w:rsidRPr="009975EA">
        <w:rPr>
          <w:rFonts w:ascii="Times New Roman" w:hAnsi="Times New Roman" w:cs="Times New Roman"/>
          <w:color w:val="000000"/>
          <w:sz w:val="20"/>
          <w:szCs w:val="20"/>
          <w:lang w:val="tr-TR"/>
        </w:rPr>
        <w:t>dynastic</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angle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with</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founder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successor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from</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same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family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orchaestrating</w:t>
      </w:r>
      <w:proofErr w:type="spellEnd"/>
      <w:r w:rsidRPr="009975EA">
        <w:rPr>
          <w:rFonts w:ascii="Times New Roman" w:hAnsi="Times New Roman" w:cs="Times New Roman"/>
          <w:color w:val="000000"/>
          <w:sz w:val="20"/>
          <w:szCs w:val="20"/>
          <w:lang w:val="tr-TR"/>
        </w:rPr>
        <w:t xml:space="preserve"> his </w:t>
      </w:r>
      <w:proofErr w:type="spellStart"/>
      <w:r w:rsidRPr="009975EA">
        <w:rPr>
          <w:rFonts w:ascii="Times New Roman" w:hAnsi="Times New Roman" w:cs="Times New Roman"/>
          <w:color w:val="000000"/>
          <w:sz w:val="20"/>
          <w:szCs w:val="20"/>
          <w:lang w:val="tr-TR"/>
        </w:rPr>
        <w:t>replacement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by</w:t>
      </w:r>
      <w:proofErr w:type="spellEnd"/>
      <w:r w:rsidRPr="009975EA">
        <w:rPr>
          <w:rFonts w:ascii="Times New Roman" w:hAnsi="Times New Roman" w:cs="Times New Roman"/>
          <w:color w:val="000000"/>
          <w:sz w:val="20"/>
          <w:szCs w:val="20"/>
          <w:lang w:val="tr-TR"/>
        </w:rPr>
        <w:t xml:space="preserve"> his </w:t>
      </w:r>
      <w:proofErr w:type="spellStart"/>
      <w:r w:rsidRPr="009975EA">
        <w:rPr>
          <w:rFonts w:ascii="Times New Roman" w:hAnsi="Times New Roman" w:cs="Times New Roman"/>
          <w:color w:val="000000"/>
          <w:sz w:val="20"/>
          <w:szCs w:val="20"/>
          <w:lang w:val="tr-TR"/>
        </w:rPr>
        <w:t>children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other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relatives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so</w:t>
      </w:r>
      <w:proofErr w:type="spellEnd"/>
      <w:r w:rsidRPr="009975EA">
        <w:rPr>
          <w:rFonts w:ascii="Times New Roman" w:hAnsi="Times New Roman" w:cs="Times New Roman"/>
          <w:color w:val="000000"/>
          <w:sz w:val="20"/>
          <w:szCs w:val="20"/>
          <w:lang w:val="tr-TR"/>
        </w:rPr>
        <w:t xml:space="preserve"> as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give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them</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head</w:t>
      </w:r>
      <w:proofErr w:type="spellEnd"/>
      <w:r w:rsidRPr="009975EA">
        <w:rPr>
          <w:rFonts w:ascii="Times New Roman" w:hAnsi="Times New Roman" w:cs="Times New Roman"/>
          <w:color w:val="000000"/>
          <w:sz w:val="20"/>
          <w:szCs w:val="20"/>
          <w:lang w:val="tr-TR"/>
        </w:rPr>
        <w:t xml:space="preserve"> start in life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secure</w:t>
      </w:r>
      <w:proofErr w:type="spellEnd"/>
      <w:r w:rsidRPr="009975EA">
        <w:rPr>
          <w:rFonts w:ascii="Times New Roman" w:hAnsi="Times New Roman" w:cs="Times New Roman"/>
          <w:color w:val="000000"/>
          <w:sz w:val="20"/>
          <w:szCs w:val="20"/>
          <w:lang w:val="tr-TR"/>
        </w:rPr>
        <w:t xml:space="preserve"> his </w:t>
      </w:r>
      <w:proofErr w:type="spellStart"/>
      <w:r w:rsidRPr="009975EA">
        <w:rPr>
          <w:rFonts w:ascii="Times New Roman" w:hAnsi="Times New Roman" w:cs="Times New Roman"/>
          <w:color w:val="000000"/>
          <w:sz w:val="20"/>
          <w:szCs w:val="20"/>
          <w:lang w:val="tr-TR"/>
        </w:rPr>
        <w:t>own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legacy</w:t>
      </w:r>
      <w:proofErr w:type="spellEnd"/>
      <w:r w:rsidRPr="009975EA">
        <w:rPr>
          <w:rFonts w:ascii="Times New Roman" w:hAnsi="Times New Roman" w:cs="Times New Roman"/>
          <w:color w:val="000000"/>
          <w:sz w:val="20"/>
          <w:szCs w:val="20"/>
          <w:lang w:val="tr-TR"/>
        </w:rPr>
        <w:t>.” (</w:t>
      </w:r>
      <w:proofErr w:type="spellStart"/>
      <w:r w:rsidRPr="009975EA">
        <w:rPr>
          <w:rFonts w:ascii="Times New Roman" w:hAnsi="Times New Roman" w:cs="Times New Roman"/>
          <w:color w:val="000000"/>
          <w:sz w:val="20"/>
          <w:szCs w:val="20"/>
          <w:lang w:val="tr-TR"/>
        </w:rPr>
        <w:t>Brian</w:t>
      </w:r>
      <w:proofErr w:type="spellEnd"/>
      <w:r w:rsidRPr="009975EA">
        <w:rPr>
          <w:rFonts w:ascii="Times New Roman" w:hAnsi="Times New Roman" w:cs="Times New Roman"/>
          <w:color w:val="000000"/>
          <w:sz w:val="20"/>
          <w:szCs w:val="20"/>
          <w:lang w:val="tr-TR"/>
        </w:rPr>
        <w:t xml:space="preserve"> R. </w:t>
      </w:r>
      <w:proofErr w:type="spellStart"/>
      <w:r w:rsidRPr="009975EA">
        <w:rPr>
          <w:rFonts w:ascii="Times New Roman" w:hAnsi="Times New Roman" w:cs="Times New Roman"/>
          <w:color w:val="000000"/>
          <w:sz w:val="20"/>
          <w:szCs w:val="20"/>
          <w:lang w:val="tr-TR"/>
        </w:rPr>
        <w:t>Cheffins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Corporate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Ownership</w:t>
      </w:r>
      <w:proofErr w:type="spellEnd"/>
      <w:r w:rsidRPr="009975EA">
        <w:rPr>
          <w:rFonts w:ascii="Times New Roman" w:hAnsi="Times New Roman" w:cs="Times New Roman"/>
          <w:color w:val="000000"/>
          <w:sz w:val="20"/>
          <w:szCs w:val="20"/>
          <w:lang w:val="tr-TR"/>
        </w:rPr>
        <w:t>, p.63)</w:t>
      </w:r>
    </w:p>
  </w:footnote>
  <w:footnote w:id="69">
    <w:p w14:paraId="22DD0A23" w14:textId="06FFFDA5" w:rsidR="00D36541" w:rsidRPr="009975EA" w:rsidRDefault="00D36541" w:rsidP="009975EA">
      <w:pPr>
        <w:widowControl w:val="0"/>
        <w:autoSpaceDE w:val="0"/>
        <w:autoSpaceDN w:val="0"/>
        <w:adjustRightInd w:val="0"/>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private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include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financial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benefits</w:t>
      </w:r>
      <w:proofErr w:type="spellEnd"/>
      <w:r w:rsidRPr="009975EA">
        <w:rPr>
          <w:rFonts w:ascii="Times New Roman" w:hAnsi="Times New Roman" w:cs="Times New Roman"/>
          <w:sz w:val="20"/>
          <w:szCs w:val="20"/>
        </w:rPr>
        <w:t xml:space="preserve"> he can </w:t>
      </w:r>
      <w:proofErr w:type="spellStart"/>
      <w:r w:rsidRPr="009975EA">
        <w:rPr>
          <w:rFonts w:ascii="Times New Roman" w:hAnsi="Times New Roman" w:cs="Times New Roman"/>
          <w:sz w:val="20"/>
          <w:szCs w:val="20"/>
        </w:rPr>
        <w:t>extract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through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prestige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being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publicly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recognized</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founder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heir</w:t>
      </w:r>
      <w:proofErr w:type="spellEnd"/>
      <w:r w:rsidRPr="009975EA">
        <w:rPr>
          <w:rFonts w:ascii="Times New Roman" w:hAnsi="Times New Roman" w:cs="Times New Roman"/>
          <w:sz w:val="20"/>
          <w:szCs w:val="20"/>
        </w:rPr>
        <w:t xml:space="preserve"> of an </w:t>
      </w:r>
      <w:proofErr w:type="spellStart"/>
      <w:r w:rsidRPr="009975EA">
        <w:rPr>
          <w:rFonts w:ascii="Times New Roman" w:hAnsi="Times New Roman" w:cs="Times New Roman"/>
          <w:sz w:val="20"/>
          <w:szCs w:val="20"/>
        </w:rPr>
        <w:t>important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enterprise</w:t>
      </w:r>
      <w:proofErr w:type="spellEnd"/>
      <w:r w:rsidRPr="009975EA">
        <w:rPr>
          <w:rFonts w:ascii="Times New Roman" w:hAnsi="Times New Roman" w:cs="Times New Roman"/>
          <w:sz w:val="20"/>
          <w:szCs w:val="20"/>
        </w:rPr>
        <w:t>.”</w:t>
      </w:r>
      <w:r w:rsidRPr="009975EA">
        <w:rPr>
          <w:rFonts w:ascii="MS Mincho" w:eastAsia="MS Mincho" w:hAnsi="MS Mincho" w:cs="MS Mincho"/>
          <w:sz w:val="20"/>
          <w:szCs w:val="20"/>
        </w:rPr>
        <w:t> </w:t>
      </w:r>
      <w:r w:rsidRPr="009975EA">
        <w:rPr>
          <w:rFonts w:ascii="Times New Roman" w:eastAsia="MS Mincho" w:hAnsi="Times New Roman" w:cs="Times New Roman"/>
          <w:sz w:val="20"/>
          <w:szCs w:val="20"/>
        </w:rPr>
        <w:t>(</w:t>
      </w:r>
      <w:r w:rsidRPr="009975EA">
        <w:rPr>
          <w:rFonts w:ascii="Times New Roman" w:hAnsi="Times New Roman" w:cs="Times New Roman"/>
          <w:sz w:val="20"/>
          <w:szCs w:val="20"/>
        </w:rPr>
        <w:t xml:space="preserve">Karl </w:t>
      </w:r>
      <w:proofErr w:type="spellStart"/>
      <w:r w:rsidRPr="009975EA">
        <w:rPr>
          <w:rFonts w:ascii="Times New Roman" w:hAnsi="Times New Roman" w:cs="Times New Roman"/>
          <w:sz w:val="20"/>
          <w:szCs w:val="20"/>
        </w:rPr>
        <w:t>Hofstetter</w:t>
      </w:r>
      <w:proofErr w:type="spellEnd"/>
      <w:r w:rsidRPr="009975EA">
        <w:rPr>
          <w:rFonts w:ascii="Times New Roman" w:hAnsi="Times New Roman" w:cs="Times New Roman"/>
          <w:sz w:val="20"/>
          <w:szCs w:val="20"/>
        </w:rPr>
        <w:t xml:space="preserve">, </w:t>
      </w:r>
      <w:proofErr w:type="spellStart"/>
      <w:r w:rsidRPr="00DF2E3D">
        <w:rPr>
          <w:rFonts w:ascii="Times New Roman" w:hAnsi="Times New Roman" w:cs="Times New Roman"/>
          <w:i/>
          <w:sz w:val="20"/>
          <w:szCs w:val="20"/>
        </w:rPr>
        <w:t>One</w:t>
      </w:r>
      <w:proofErr w:type="spellEnd"/>
      <w:r w:rsidRPr="00DF2E3D">
        <w:rPr>
          <w:rFonts w:ascii="Times New Roman" w:hAnsi="Times New Roman" w:cs="Times New Roman"/>
          <w:i/>
          <w:sz w:val="20"/>
          <w:szCs w:val="20"/>
        </w:rPr>
        <w:t xml:space="preserve"> Size </w:t>
      </w:r>
      <w:proofErr w:type="spellStart"/>
      <w:r w:rsidRPr="00DF2E3D">
        <w:rPr>
          <w:rFonts w:ascii="Times New Roman" w:hAnsi="Times New Roman" w:cs="Times New Roman"/>
          <w:i/>
          <w:sz w:val="20"/>
          <w:szCs w:val="20"/>
        </w:rPr>
        <w:t>Does</w:t>
      </w:r>
      <w:proofErr w:type="spellEnd"/>
      <w:r w:rsidRPr="00DF2E3D">
        <w:rPr>
          <w:rFonts w:ascii="Times New Roman" w:hAnsi="Times New Roman" w:cs="Times New Roman"/>
          <w:i/>
          <w:sz w:val="20"/>
          <w:szCs w:val="20"/>
        </w:rPr>
        <w:t xml:space="preserve"> not Fit </w:t>
      </w:r>
      <w:proofErr w:type="spellStart"/>
      <w:r w:rsidRPr="00DF2E3D">
        <w:rPr>
          <w:rFonts w:ascii="Times New Roman" w:hAnsi="Times New Roman" w:cs="Times New Roman"/>
          <w:i/>
          <w:sz w:val="20"/>
          <w:szCs w:val="20"/>
        </w:rPr>
        <w:t>All</w:t>
      </w:r>
      <w:proofErr w:type="spellEnd"/>
      <w:r w:rsidRPr="00DF2E3D">
        <w:rPr>
          <w:rFonts w:ascii="Times New Roman" w:hAnsi="Times New Roman" w:cs="Times New Roman"/>
          <w:i/>
          <w:sz w:val="20"/>
          <w:szCs w:val="20"/>
        </w:rPr>
        <w:t xml:space="preserve">: </w:t>
      </w:r>
      <w:proofErr w:type="spellStart"/>
      <w:r w:rsidRPr="00DF2E3D">
        <w:rPr>
          <w:rFonts w:ascii="Times New Roman" w:hAnsi="Times New Roman" w:cs="Times New Roman"/>
          <w:i/>
          <w:sz w:val="20"/>
          <w:szCs w:val="20"/>
        </w:rPr>
        <w:t>Corporate</w:t>
      </w:r>
      <w:proofErr w:type="spellEnd"/>
      <w:r w:rsidRPr="00DF2E3D">
        <w:rPr>
          <w:rFonts w:ascii="Times New Roman" w:hAnsi="Times New Roman" w:cs="Times New Roman"/>
          <w:i/>
          <w:sz w:val="20"/>
          <w:szCs w:val="20"/>
        </w:rPr>
        <w:t xml:space="preserve"> </w:t>
      </w:r>
      <w:proofErr w:type="spellStart"/>
      <w:r w:rsidRPr="00DF2E3D">
        <w:rPr>
          <w:rFonts w:ascii="Times New Roman" w:hAnsi="Times New Roman" w:cs="Times New Roman"/>
          <w:i/>
          <w:sz w:val="20"/>
          <w:szCs w:val="20"/>
        </w:rPr>
        <w:t>Governance</w:t>
      </w:r>
      <w:proofErr w:type="spellEnd"/>
      <w:r w:rsidRPr="00DF2E3D">
        <w:rPr>
          <w:rFonts w:ascii="Times New Roman" w:hAnsi="Times New Roman" w:cs="Times New Roman"/>
          <w:i/>
          <w:sz w:val="20"/>
          <w:szCs w:val="20"/>
        </w:rPr>
        <w:t xml:space="preserve"> </w:t>
      </w:r>
      <w:proofErr w:type="spellStart"/>
      <w:r w:rsidRPr="00DF2E3D">
        <w:rPr>
          <w:rFonts w:ascii="Times New Roman" w:hAnsi="Times New Roman" w:cs="Times New Roman"/>
          <w:i/>
          <w:sz w:val="20"/>
          <w:szCs w:val="20"/>
        </w:rPr>
        <w:t>For</w:t>
      </w:r>
      <w:proofErr w:type="spellEnd"/>
      <w:r w:rsidRPr="00DF2E3D">
        <w:rPr>
          <w:rFonts w:ascii="Times New Roman" w:hAnsi="Times New Roman" w:cs="Times New Roman"/>
          <w:i/>
          <w:sz w:val="20"/>
          <w:szCs w:val="20"/>
        </w:rPr>
        <w:t xml:space="preserve"> “</w:t>
      </w:r>
      <w:proofErr w:type="spellStart"/>
      <w:r w:rsidRPr="00DF2E3D">
        <w:rPr>
          <w:rFonts w:ascii="Times New Roman" w:hAnsi="Times New Roman" w:cs="Times New Roman"/>
          <w:i/>
          <w:sz w:val="20"/>
          <w:szCs w:val="20"/>
        </w:rPr>
        <w:t>Controlled</w:t>
      </w:r>
      <w:proofErr w:type="spellEnd"/>
      <w:r w:rsidRPr="00DF2E3D">
        <w:rPr>
          <w:rFonts w:ascii="Times New Roman" w:hAnsi="Times New Roman" w:cs="Times New Roman"/>
          <w:i/>
          <w:sz w:val="20"/>
          <w:szCs w:val="20"/>
        </w:rPr>
        <w:t xml:space="preserve"> </w:t>
      </w:r>
      <w:proofErr w:type="spellStart"/>
      <w:r w:rsidRPr="00DF2E3D">
        <w:rPr>
          <w:rFonts w:ascii="Times New Roman" w:hAnsi="Times New Roman" w:cs="Times New Roman"/>
          <w:i/>
          <w:sz w:val="20"/>
          <w:szCs w:val="20"/>
        </w:rPr>
        <w:t>Companies</w:t>
      </w:r>
      <w:proofErr w:type="spellEnd"/>
      <w:r w:rsidRPr="00DF2E3D">
        <w:rPr>
          <w:rFonts w:ascii="Times New Roman" w:hAnsi="Times New Roman" w:cs="Times New Roman"/>
          <w:i/>
          <w:sz w:val="20"/>
          <w:szCs w:val="20"/>
        </w:rPr>
        <w:t>”,</w:t>
      </w:r>
      <w:r w:rsidRPr="009975EA">
        <w:rPr>
          <w:rFonts w:ascii="Times New Roman" w:hAnsi="Times New Roman" w:cs="Times New Roman"/>
          <w:sz w:val="20"/>
          <w:szCs w:val="20"/>
        </w:rPr>
        <w:t xml:space="preserve"> 31 N.C. J. </w:t>
      </w:r>
      <w:proofErr w:type="spellStart"/>
      <w:r w:rsidRPr="009975EA">
        <w:rPr>
          <w:rFonts w:ascii="Times New Roman" w:hAnsi="Times New Roman" w:cs="Times New Roman"/>
          <w:sz w:val="20"/>
          <w:szCs w:val="20"/>
        </w:rPr>
        <w:t>Int'l</w:t>
      </w:r>
      <w:proofErr w:type="spellEnd"/>
      <w:r w:rsidRPr="009975EA">
        <w:rPr>
          <w:rFonts w:ascii="Times New Roman" w:hAnsi="Times New Roman" w:cs="Times New Roman"/>
          <w:sz w:val="20"/>
          <w:szCs w:val="20"/>
        </w:rPr>
        <w:t xml:space="preserve"> L. &amp; Com. </w:t>
      </w:r>
      <w:proofErr w:type="spellStart"/>
      <w:r w:rsidRPr="009975EA">
        <w:rPr>
          <w:rFonts w:ascii="Times New Roman" w:hAnsi="Times New Roman" w:cs="Times New Roman"/>
          <w:sz w:val="20"/>
          <w:szCs w:val="20"/>
        </w:rPr>
        <w:t>Reg</w:t>
      </w:r>
      <w:proofErr w:type="spellEnd"/>
      <w:r w:rsidRPr="009975EA">
        <w:rPr>
          <w:rFonts w:ascii="Times New Roman" w:hAnsi="Times New Roman" w:cs="Times New Roman"/>
          <w:sz w:val="20"/>
          <w:szCs w:val="20"/>
        </w:rPr>
        <w:t xml:space="preserve">. 597, </w:t>
      </w:r>
      <w:r w:rsidR="003C56E3">
        <w:rPr>
          <w:rFonts w:ascii="Times New Roman" w:eastAsia="MS Mincho" w:hAnsi="Times New Roman" w:cs="Times New Roman"/>
          <w:sz w:val="20"/>
          <w:szCs w:val="20"/>
        </w:rPr>
        <w:t>p.</w:t>
      </w:r>
      <w:r>
        <w:rPr>
          <w:rFonts w:ascii="Times New Roman" w:eastAsia="MS Mincho" w:hAnsi="Times New Roman" w:cs="Times New Roman"/>
          <w:sz w:val="20"/>
          <w:szCs w:val="20"/>
        </w:rPr>
        <w:t xml:space="preserve"> </w:t>
      </w:r>
      <w:r w:rsidRPr="009975EA">
        <w:rPr>
          <w:rFonts w:ascii="Times New Roman" w:eastAsia="MS Mincho" w:hAnsi="Times New Roman" w:cs="Times New Roman"/>
          <w:sz w:val="20"/>
          <w:szCs w:val="20"/>
        </w:rPr>
        <w:t>619)</w:t>
      </w:r>
    </w:p>
  </w:footnote>
  <w:footnote w:id="70">
    <w:p w14:paraId="27370C0B" w14:textId="601F4D7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Note that the political power here refers to the individual’s political reputation and influence. It does not include a particular corporation’s power to influence the social agenda or the well-being of the economy of the country. </w:t>
      </w:r>
    </w:p>
  </w:footnote>
  <w:footnote w:id="71">
    <w:p w14:paraId="25593517" w14:textId="2D6E0823" w:rsidR="00D36541" w:rsidRPr="009975EA" w:rsidRDefault="00D36541" w:rsidP="009975EA">
      <w:pPr>
        <w:widowControl w:val="0"/>
        <w:autoSpaceDE w:val="0"/>
        <w:autoSpaceDN w:val="0"/>
        <w:adjustRightInd w:val="0"/>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color w:val="000000" w:themeColor="text1"/>
          <w:sz w:val="20"/>
          <w:szCs w:val="20"/>
        </w:rPr>
        <w:footnoteRef/>
      </w:r>
      <w:proofErr w:type="spellStart"/>
      <w:r w:rsidRPr="009975EA">
        <w:rPr>
          <w:rFonts w:ascii="Times New Roman" w:hAnsi="Times New Roman" w:cs="Times New Roman"/>
          <w:color w:val="000000" w:themeColor="text1"/>
          <w:sz w:val="20"/>
          <w:szCs w:val="20"/>
        </w:rPr>
        <w:t>Burkhar</w:t>
      </w:r>
      <w:r>
        <w:rPr>
          <w:rFonts w:ascii="Times New Roman" w:hAnsi="Times New Roman" w:cs="Times New Roman"/>
          <w:color w:val="000000" w:themeColor="text1"/>
          <w:sz w:val="20"/>
          <w:szCs w:val="20"/>
        </w:rPr>
        <w:t>t</w:t>
      </w:r>
      <w:proofErr w:type="spellEnd"/>
      <w:r>
        <w:rPr>
          <w:rFonts w:ascii="Times New Roman" w:hAnsi="Times New Roman" w:cs="Times New Roman"/>
          <w:color w:val="000000" w:themeColor="text1"/>
          <w:sz w:val="20"/>
          <w:szCs w:val="20"/>
        </w:rPr>
        <w:t xml:space="preserve">, Michael, </w:t>
      </w:r>
      <w:proofErr w:type="spellStart"/>
      <w:r>
        <w:rPr>
          <w:rFonts w:ascii="Times New Roman" w:hAnsi="Times New Roman" w:cs="Times New Roman"/>
          <w:color w:val="000000" w:themeColor="text1"/>
          <w:sz w:val="20"/>
          <w:szCs w:val="20"/>
        </w:rPr>
        <w:t>Fausto</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Panunzi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Andrei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Shleifer</w:t>
      </w:r>
      <w:proofErr w:type="spellEnd"/>
      <w:r>
        <w:rPr>
          <w:rFonts w:ascii="Times New Roman" w:hAnsi="Times New Roman" w:cs="Times New Roman"/>
          <w:color w:val="000000" w:themeColor="text1"/>
          <w:sz w:val="20"/>
          <w:szCs w:val="20"/>
        </w:rPr>
        <w:t>,</w:t>
      </w:r>
      <w:r w:rsidRPr="009975EA">
        <w:rPr>
          <w:rFonts w:ascii="Times New Roman" w:hAnsi="Times New Roman" w:cs="Times New Roman"/>
          <w:color w:val="000000" w:themeColor="text1"/>
          <w:sz w:val="20"/>
          <w:szCs w:val="20"/>
        </w:rPr>
        <w:t xml:space="preserve"> “</w:t>
      </w:r>
      <w:hyperlink r:id="rId28" w:history="1">
        <w:r w:rsidRPr="00DF2E3D">
          <w:rPr>
            <w:rFonts w:ascii="Times New Roman" w:hAnsi="Times New Roman" w:cs="Times New Roman"/>
            <w:i/>
            <w:color w:val="000000" w:themeColor="text1"/>
            <w:sz w:val="20"/>
            <w:szCs w:val="20"/>
          </w:rPr>
          <w:t>Family Firms</w:t>
        </w:r>
      </w:hyperlink>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Journal</w:t>
      </w:r>
      <w:proofErr w:type="spellEnd"/>
      <w:r>
        <w:rPr>
          <w:rFonts w:ascii="Times New Roman" w:hAnsi="Times New Roman" w:cs="Times New Roman"/>
          <w:color w:val="000000" w:themeColor="text1"/>
          <w:sz w:val="20"/>
          <w:szCs w:val="20"/>
        </w:rPr>
        <w:t xml:space="preserve"> of Finance 58 (5), </w:t>
      </w:r>
      <w:r w:rsidR="003C56E3">
        <w:rPr>
          <w:rFonts w:ascii="Times New Roman" w:hAnsi="Times New Roman" w:cs="Times New Roman"/>
          <w:color w:val="000000" w:themeColor="text1"/>
          <w:sz w:val="20"/>
          <w:szCs w:val="20"/>
        </w:rPr>
        <w:t>p.</w:t>
      </w:r>
      <w:r w:rsidRPr="009975EA">
        <w:rPr>
          <w:rFonts w:ascii="Times New Roman" w:hAnsi="Times New Roman" w:cs="Times New Roman"/>
          <w:color w:val="000000" w:themeColor="text1"/>
          <w:sz w:val="20"/>
          <w:szCs w:val="20"/>
        </w:rPr>
        <w:t xml:space="preserve"> 2168: “A </w:t>
      </w:r>
      <w:proofErr w:type="spellStart"/>
      <w:r w:rsidRPr="009975EA">
        <w:rPr>
          <w:rFonts w:ascii="Times New Roman" w:hAnsi="Times New Roman" w:cs="Times New Roman"/>
          <w:color w:val="000000" w:themeColor="text1"/>
          <w:sz w:val="20"/>
          <w:szCs w:val="20"/>
        </w:rPr>
        <w:t>founder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derive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pleasure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from</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having</w:t>
      </w:r>
      <w:proofErr w:type="spellEnd"/>
      <w:r w:rsidRPr="009975EA">
        <w:rPr>
          <w:rFonts w:ascii="Times New Roman" w:hAnsi="Times New Roman" w:cs="Times New Roman"/>
          <w:color w:val="000000" w:themeColor="text1"/>
          <w:sz w:val="20"/>
          <w:szCs w:val="20"/>
        </w:rPr>
        <w:t xml:space="preserve"> his </w:t>
      </w:r>
      <w:proofErr w:type="spellStart"/>
      <w:r w:rsidRPr="009975EA">
        <w:rPr>
          <w:rFonts w:ascii="Times New Roman" w:hAnsi="Times New Roman" w:cs="Times New Roman"/>
          <w:color w:val="000000" w:themeColor="text1"/>
          <w:sz w:val="20"/>
          <w:szCs w:val="20"/>
        </w:rPr>
        <w:t>child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run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company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bears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family</w:t>
      </w:r>
      <w:proofErr w:type="spellEnd"/>
      <w:r w:rsidRPr="009975EA">
        <w:rPr>
          <w:rFonts w:ascii="Times New Roman" w:hAnsi="Times New Roman" w:cs="Times New Roman"/>
          <w:color w:val="000000" w:themeColor="text1"/>
          <w:sz w:val="20"/>
          <w:szCs w:val="20"/>
        </w:rPr>
        <w:t xml:space="preserve"> name.” As an </w:t>
      </w:r>
      <w:proofErr w:type="spellStart"/>
      <w:r w:rsidRPr="009975EA">
        <w:rPr>
          <w:rFonts w:ascii="Times New Roman" w:hAnsi="Times New Roman" w:cs="Times New Roman"/>
          <w:color w:val="000000" w:themeColor="text1"/>
          <w:sz w:val="20"/>
          <w:szCs w:val="20"/>
        </w:rPr>
        <w:t>example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investing</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people</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shareholder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likes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Rupert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Murdoch’s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political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contribution</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corporate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money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Republican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Party’s</w:t>
      </w:r>
      <w:proofErr w:type="spellEnd"/>
      <w:r w:rsidRPr="009975EA">
        <w:rPr>
          <w:rFonts w:ascii="Times New Roman" w:hAnsi="Times New Roman" w:cs="Times New Roman"/>
          <w:color w:val="000000" w:themeColor="text1"/>
          <w:sz w:val="20"/>
          <w:szCs w:val="20"/>
        </w:rPr>
        <w:t xml:space="preserve"> John </w:t>
      </w:r>
      <w:proofErr w:type="spellStart"/>
      <w:r w:rsidRPr="009975EA">
        <w:rPr>
          <w:rFonts w:ascii="Times New Roman" w:hAnsi="Times New Roman" w:cs="Times New Roman"/>
          <w:color w:val="000000" w:themeColor="text1"/>
          <w:sz w:val="20"/>
          <w:szCs w:val="20"/>
        </w:rPr>
        <w:t>Kasich</w:t>
      </w:r>
      <w:proofErr w:type="spellEnd"/>
      <w:r w:rsidRPr="009975EA">
        <w:rPr>
          <w:rFonts w:ascii="Times New Roman" w:hAnsi="Times New Roman" w:cs="Times New Roman"/>
          <w:color w:val="000000" w:themeColor="text1"/>
          <w:sz w:val="20"/>
          <w:szCs w:val="20"/>
        </w:rPr>
        <w:t xml:space="preserve"> can be </w:t>
      </w:r>
      <w:proofErr w:type="spellStart"/>
      <w:r w:rsidRPr="009975EA">
        <w:rPr>
          <w:rFonts w:ascii="Times New Roman" w:hAnsi="Times New Roman" w:cs="Times New Roman"/>
          <w:color w:val="000000" w:themeColor="text1"/>
          <w:sz w:val="20"/>
          <w:szCs w:val="20"/>
        </w:rPr>
        <w:t>given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When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asked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about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decision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contribute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John </w:t>
      </w:r>
      <w:proofErr w:type="spellStart"/>
      <w:r w:rsidRPr="009975EA">
        <w:rPr>
          <w:rFonts w:ascii="Times New Roman" w:hAnsi="Times New Roman" w:cs="Times New Roman"/>
          <w:color w:val="000000" w:themeColor="text1"/>
          <w:sz w:val="20"/>
          <w:szCs w:val="20"/>
        </w:rPr>
        <w:t>Kasich’s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political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campaign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Murdoch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reportedly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admitted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this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decision</w:t>
      </w:r>
      <w:proofErr w:type="spellEnd"/>
      <w:r w:rsidRPr="009975EA">
        <w:rPr>
          <w:rFonts w:ascii="Times New Roman" w:hAnsi="Times New Roman" w:cs="Times New Roman"/>
          <w:color w:val="000000" w:themeColor="text1"/>
          <w:sz w:val="20"/>
          <w:szCs w:val="20"/>
        </w:rPr>
        <w:t xml:space="preserve"> has </w:t>
      </w:r>
      <w:proofErr w:type="spellStart"/>
      <w:r w:rsidRPr="009975EA">
        <w:rPr>
          <w:rFonts w:ascii="Times New Roman" w:hAnsi="Times New Roman" w:cs="Times New Roman"/>
          <w:color w:val="000000" w:themeColor="text1"/>
          <w:sz w:val="20"/>
          <w:szCs w:val="20"/>
        </w:rPr>
        <w:t>no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business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purpose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was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instead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given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just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support</w:t>
      </w:r>
      <w:proofErr w:type="spellEnd"/>
      <w:r w:rsidRPr="009975EA">
        <w:rPr>
          <w:rFonts w:ascii="Times New Roman" w:hAnsi="Times New Roman" w:cs="Times New Roman"/>
          <w:color w:val="000000" w:themeColor="text1"/>
          <w:sz w:val="20"/>
          <w:szCs w:val="20"/>
        </w:rPr>
        <w:t xml:space="preserve"> his </w:t>
      </w:r>
      <w:proofErr w:type="spellStart"/>
      <w:r w:rsidRPr="009975EA">
        <w:rPr>
          <w:rFonts w:ascii="Times New Roman" w:hAnsi="Times New Roman" w:cs="Times New Roman"/>
          <w:color w:val="000000" w:themeColor="text1"/>
          <w:sz w:val="20"/>
          <w:szCs w:val="20"/>
        </w:rPr>
        <w:t>friend</w:t>
      </w:r>
      <w:proofErr w:type="spellEnd"/>
      <w:r w:rsidRPr="009975EA">
        <w:rPr>
          <w:rFonts w:ascii="Times New Roman" w:hAnsi="Times New Roman" w:cs="Times New Roman"/>
          <w:color w:val="000000" w:themeColor="text1"/>
          <w:sz w:val="20"/>
          <w:szCs w:val="20"/>
        </w:rPr>
        <w:t xml:space="preserve"> John </w:t>
      </w:r>
      <w:proofErr w:type="spellStart"/>
      <w:r w:rsidRPr="009975EA">
        <w:rPr>
          <w:rFonts w:ascii="Times New Roman" w:hAnsi="Times New Roman" w:cs="Times New Roman"/>
          <w:color w:val="000000" w:themeColor="text1"/>
          <w:sz w:val="20"/>
          <w:szCs w:val="20"/>
        </w:rPr>
        <w:t>Kasich</w:t>
      </w:r>
      <w:proofErr w:type="spellEnd"/>
      <w:r w:rsidRPr="009975EA">
        <w:rPr>
          <w:rFonts w:ascii="Times New Roman" w:hAnsi="Times New Roman" w:cs="Times New Roman"/>
          <w:color w:val="000000" w:themeColor="text1"/>
          <w:sz w:val="20"/>
          <w:szCs w:val="20"/>
        </w:rPr>
        <w:t xml:space="preserve"> (Donald B. </w:t>
      </w:r>
      <w:proofErr w:type="spellStart"/>
      <w:r w:rsidRPr="009975EA">
        <w:rPr>
          <w:rFonts w:ascii="Times New Roman" w:hAnsi="Times New Roman" w:cs="Times New Roman"/>
          <w:color w:val="000000" w:themeColor="text1"/>
          <w:sz w:val="20"/>
          <w:szCs w:val="20"/>
        </w:rPr>
        <w:t>Tobin</w:t>
      </w:r>
      <w:proofErr w:type="spellEnd"/>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themeColor="text1"/>
          <w:sz w:val="20"/>
          <w:szCs w:val="20"/>
        </w:rPr>
        <w:t>CEOs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Shouldn’t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Use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Treasury</w:t>
      </w:r>
      <w:proofErr w:type="spellEnd"/>
      <w:r w:rsidRPr="009975EA">
        <w:rPr>
          <w:rFonts w:ascii="Times New Roman" w:hAnsi="Times New Roman" w:cs="Times New Roman"/>
          <w:color w:val="000000" w:themeColor="text1"/>
          <w:sz w:val="20"/>
          <w:szCs w:val="20"/>
        </w:rPr>
        <w:t xml:space="preserve"> as </w:t>
      </w:r>
      <w:proofErr w:type="spellStart"/>
      <w:r w:rsidRPr="009975EA">
        <w:rPr>
          <w:rFonts w:ascii="Times New Roman" w:hAnsi="Times New Roman" w:cs="Times New Roman"/>
          <w:color w:val="000000" w:themeColor="text1"/>
          <w:sz w:val="20"/>
          <w:szCs w:val="20"/>
        </w:rPr>
        <w:t>Personal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Political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Piggy</w:t>
      </w:r>
      <w:proofErr w:type="spellEnd"/>
      <w:r w:rsidRPr="009975EA">
        <w:rPr>
          <w:rFonts w:ascii="Times New Roman" w:hAnsi="Times New Roman" w:cs="Times New Roman"/>
          <w:color w:val="000000" w:themeColor="text1"/>
          <w:sz w:val="20"/>
          <w:szCs w:val="20"/>
        </w:rPr>
        <w:t xml:space="preserve"> Bank”, </w:t>
      </w:r>
      <w:hyperlink r:id="rId29" w:history="1">
        <w:r w:rsidRPr="009975EA">
          <w:rPr>
            <w:rStyle w:val="Kpr"/>
            <w:rFonts w:ascii="Times New Roman" w:hAnsi="Times New Roman" w:cs="Times New Roman"/>
            <w:sz w:val="20"/>
            <w:szCs w:val="20"/>
          </w:rPr>
          <w:t>http://www.rollcall.com/news/51140-1.html</w:t>
        </w:r>
      </w:hyperlink>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Last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visited</w:t>
      </w:r>
      <w:proofErr w:type="spellEnd"/>
      <w:r w:rsidRPr="009975EA">
        <w:rPr>
          <w:rFonts w:ascii="Times New Roman" w:hAnsi="Times New Roman" w:cs="Times New Roman"/>
          <w:color w:val="000000" w:themeColor="text1"/>
          <w:sz w:val="20"/>
          <w:szCs w:val="20"/>
        </w:rPr>
        <w:t>: 23/10/2016).</w:t>
      </w:r>
    </w:p>
  </w:footnote>
  <w:footnote w:id="72">
    <w:p w14:paraId="6A566CAC" w14:textId="2F669A3C" w:rsidR="00D36541" w:rsidRPr="009975EA" w:rsidRDefault="00D36541" w:rsidP="009975EA">
      <w:pPr>
        <w:widowControl w:val="0"/>
        <w:autoSpaceDE w:val="0"/>
        <w:autoSpaceDN w:val="0"/>
        <w:adjustRightInd w:val="0"/>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Shlensky</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Wrigley</w:t>
      </w:r>
      <w:proofErr w:type="spellEnd"/>
      <w:r w:rsidRPr="009975EA">
        <w:rPr>
          <w:rFonts w:ascii="Times New Roman" w:hAnsi="Times New Roman" w:cs="Times New Roman"/>
          <w:sz w:val="20"/>
          <w:szCs w:val="20"/>
        </w:rPr>
        <w:t xml:space="preserve">, 95 Ill.App.2d 173 (1968), </w:t>
      </w:r>
      <w:proofErr w:type="spellStart"/>
      <w:r w:rsidRPr="009975EA">
        <w:rPr>
          <w:rFonts w:ascii="Times New Roman" w:hAnsi="Times New Roman" w:cs="Times New Roman"/>
          <w:sz w:val="20"/>
          <w:szCs w:val="20"/>
        </w:rPr>
        <w:t>minority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derivative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lawsuit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alleged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Wrigley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president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majority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operating</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baseball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team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refused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install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lights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team’s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stadium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due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personal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opinions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reasons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regarding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welfare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because</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thought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baseball</w:t>
      </w:r>
      <w:proofErr w:type="spellEnd"/>
      <w:r w:rsidRPr="009975EA">
        <w:rPr>
          <w:rFonts w:ascii="Times New Roman" w:hAnsi="Times New Roman" w:cs="Times New Roman"/>
          <w:sz w:val="20"/>
          <w:szCs w:val="20"/>
        </w:rPr>
        <w:t xml:space="preserve"> is a </w:t>
      </w:r>
      <w:proofErr w:type="spellStart"/>
      <w:r w:rsidRPr="009975EA">
        <w:rPr>
          <w:rFonts w:ascii="Times New Roman" w:hAnsi="Times New Roman" w:cs="Times New Roman"/>
          <w:sz w:val="20"/>
          <w:szCs w:val="20"/>
        </w:rPr>
        <w:t>daytime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sport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installation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lights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baseball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games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have</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deteriorating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effect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upon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surrounding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neighborhood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thus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team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was</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play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games</w:t>
      </w:r>
      <w:proofErr w:type="spellEnd"/>
      <w:r w:rsidRPr="009975EA">
        <w:rPr>
          <w:rFonts w:ascii="Times New Roman" w:hAnsi="Times New Roman" w:cs="Times New Roman"/>
          <w:sz w:val="20"/>
          <w:szCs w:val="20"/>
        </w:rPr>
        <w:t xml:space="preserve"> at </w:t>
      </w:r>
      <w:proofErr w:type="spellStart"/>
      <w:r w:rsidRPr="009975EA">
        <w:rPr>
          <w:rFonts w:ascii="Times New Roman" w:hAnsi="Times New Roman" w:cs="Times New Roman"/>
          <w:sz w:val="20"/>
          <w:szCs w:val="20"/>
        </w:rPr>
        <w:t>nights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lowering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attandence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hence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revenue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direct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reason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detoriating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financial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condition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Although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rejected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arguments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itself</w:t>
      </w:r>
      <w:proofErr w:type="spellEnd"/>
      <w:r w:rsidRPr="009975EA">
        <w:rPr>
          <w:rFonts w:ascii="Times New Roman" w:hAnsi="Times New Roman" w:cs="Times New Roman"/>
          <w:sz w:val="20"/>
          <w:szCs w:val="20"/>
        </w:rPr>
        <w:t xml:space="preserve"> can be </w:t>
      </w:r>
      <w:proofErr w:type="spellStart"/>
      <w:r w:rsidRPr="009975EA">
        <w:rPr>
          <w:rFonts w:ascii="Times New Roman" w:hAnsi="Times New Roman" w:cs="Times New Roman"/>
          <w:sz w:val="20"/>
          <w:szCs w:val="20"/>
        </w:rPr>
        <w:t>regarded</w:t>
      </w:r>
      <w:proofErr w:type="spellEnd"/>
      <w:r w:rsidRPr="009975EA">
        <w:rPr>
          <w:rFonts w:ascii="Times New Roman" w:hAnsi="Times New Roman" w:cs="Times New Roman"/>
          <w:sz w:val="20"/>
          <w:szCs w:val="20"/>
        </w:rPr>
        <w:t xml:space="preserve"> as an </w:t>
      </w:r>
      <w:proofErr w:type="spellStart"/>
      <w:r w:rsidRPr="009975EA">
        <w:rPr>
          <w:rFonts w:ascii="Times New Roman" w:hAnsi="Times New Roman" w:cs="Times New Roman"/>
          <w:sz w:val="20"/>
          <w:szCs w:val="20"/>
        </w:rPr>
        <w:t>interesting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of how a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can </w:t>
      </w:r>
      <w:proofErr w:type="spellStart"/>
      <w:r w:rsidRPr="009975EA">
        <w:rPr>
          <w:rFonts w:ascii="Times New Roman" w:hAnsi="Times New Roman" w:cs="Times New Roman"/>
          <w:sz w:val="20"/>
          <w:szCs w:val="20"/>
        </w:rPr>
        <w:t>obtain</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non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pecuniary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keeping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baseball’s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daytime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sport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letting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neighbourhood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deteriorate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harm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minority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at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same</w:t>
      </w:r>
      <w:proofErr w:type="spellEnd"/>
      <w:r w:rsidRPr="009975EA">
        <w:rPr>
          <w:rFonts w:ascii="Times New Roman" w:hAnsi="Times New Roman" w:cs="Times New Roman"/>
          <w:sz w:val="20"/>
          <w:szCs w:val="20"/>
        </w:rPr>
        <w:t xml:space="preserve"> time. </w:t>
      </w:r>
    </w:p>
    <w:p w14:paraId="109400F7" w14:textId="352C2D29" w:rsidR="00D36541" w:rsidRPr="009975EA" w:rsidRDefault="00D36541" w:rsidP="009975EA">
      <w:pPr>
        <w:widowControl w:val="0"/>
        <w:autoSpaceDE w:val="0"/>
        <w:autoSpaceDN w:val="0"/>
        <w:adjustRightInd w:val="0"/>
        <w:jc w:val="both"/>
        <w:rPr>
          <w:rFonts w:ascii="Times New Roman" w:hAnsi="Times New Roman" w:cs="Times New Roman"/>
          <w:sz w:val="20"/>
          <w:szCs w:val="20"/>
        </w:rPr>
      </w:pPr>
      <w:r w:rsidRPr="009975EA">
        <w:rPr>
          <w:rFonts w:ascii="Times New Roman" w:hAnsi="Times New Roman" w:cs="Times New Roman"/>
          <w:sz w:val="20"/>
          <w:szCs w:val="20"/>
        </w:rPr>
        <w:t xml:space="preserve">A </w:t>
      </w:r>
      <w:proofErr w:type="spellStart"/>
      <w:r w:rsidRPr="009975EA">
        <w:rPr>
          <w:rFonts w:ascii="Times New Roman" w:hAnsi="Times New Roman" w:cs="Times New Roman"/>
          <w:sz w:val="20"/>
          <w:szCs w:val="20"/>
        </w:rPr>
        <w:t>more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recent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can be </w:t>
      </w:r>
      <w:proofErr w:type="spellStart"/>
      <w:r w:rsidRPr="009975EA">
        <w:rPr>
          <w:rFonts w:ascii="Times New Roman" w:hAnsi="Times New Roman" w:cs="Times New Roman"/>
          <w:sz w:val="20"/>
          <w:szCs w:val="20"/>
        </w:rPr>
        <w:t>given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England</w:t>
      </w:r>
      <w:proofErr w:type="spellEnd"/>
      <w:r w:rsidRPr="009975EA">
        <w:rPr>
          <w:rFonts w:ascii="Times New Roman" w:hAnsi="Times New Roman" w:cs="Times New Roman"/>
          <w:sz w:val="20"/>
          <w:szCs w:val="20"/>
        </w:rPr>
        <w:t xml:space="preserve">. Russian </w:t>
      </w:r>
      <w:proofErr w:type="spellStart"/>
      <w:r w:rsidRPr="009975EA">
        <w:rPr>
          <w:rFonts w:ascii="Times New Roman" w:hAnsi="Times New Roman" w:cs="Times New Roman"/>
          <w:sz w:val="20"/>
          <w:szCs w:val="20"/>
        </w:rPr>
        <w:t>businessman</w:t>
      </w:r>
      <w:proofErr w:type="spellEnd"/>
      <w:r w:rsidRPr="009975EA">
        <w:rPr>
          <w:rFonts w:ascii="Times New Roman" w:hAnsi="Times New Roman" w:cs="Times New Roman"/>
          <w:sz w:val="20"/>
          <w:szCs w:val="20"/>
        </w:rPr>
        <w:t xml:space="preserve"> Roman </w:t>
      </w:r>
      <w:proofErr w:type="spellStart"/>
      <w:r w:rsidRPr="009975EA">
        <w:rPr>
          <w:rFonts w:ascii="Times New Roman" w:hAnsi="Times New Roman" w:cs="Times New Roman"/>
          <w:sz w:val="20"/>
          <w:szCs w:val="20"/>
        </w:rPr>
        <w:t>Abramovich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bought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English </w:t>
      </w:r>
      <w:proofErr w:type="spellStart"/>
      <w:r w:rsidRPr="009975EA">
        <w:rPr>
          <w:rFonts w:ascii="Times New Roman" w:hAnsi="Times New Roman" w:cs="Times New Roman"/>
          <w:sz w:val="20"/>
          <w:szCs w:val="20"/>
        </w:rPr>
        <w:t>soccer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club</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Chelsea</w:t>
      </w:r>
      <w:proofErr w:type="spellEnd"/>
      <w:r w:rsidRPr="009975EA">
        <w:rPr>
          <w:rFonts w:ascii="Times New Roman" w:hAnsi="Times New Roman" w:cs="Times New Roman"/>
          <w:sz w:val="20"/>
          <w:szCs w:val="20"/>
        </w:rPr>
        <w:t xml:space="preserve"> FC </w:t>
      </w:r>
      <w:proofErr w:type="spellStart"/>
      <w:r w:rsidRPr="009975EA">
        <w:rPr>
          <w:rFonts w:ascii="Times New Roman" w:hAnsi="Times New Roman" w:cs="Times New Roman"/>
          <w:sz w:val="20"/>
          <w:szCs w:val="20"/>
        </w:rPr>
        <w:t>plc</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public</w:t>
      </w:r>
      <w:proofErr w:type="spellEnd"/>
      <w:r w:rsidRPr="009975EA">
        <w:rPr>
          <w:rFonts w:ascii="Times New Roman" w:hAnsi="Times New Roman" w:cs="Times New Roman"/>
          <w:sz w:val="20"/>
          <w:szCs w:val="20"/>
        </w:rPr>
        <w:t xml:space="preserve"> limited </w:t>
      </w:r>
      <w:proofErr w:type="spellStart"/>
      <w:r w:rsidRPr="009975EA">
        <w:rPr>
          <w:rFonts w:ascii="Times New Roman" w:hAnsi="Times New Roman" w:cs="Times New Roman"/>
          <w:sz w:val="20"/>
          <w:szCs w:val="20"/>
        </w:rPr>
        <w:t>company</w:t>
      </w:r>
      <w:proofErr w:type="spellEnd"/>
      <w:r w:rsidRPr="009975EA">
        <w:rPr>
          <w:rFonts w:ascii="Times New Roman" w:hAnsi="Times New Roman" w:cs="Times New Roman"/>
          <w:sz w:val="20"/>
          <w:szCs w:val="20"/>
        </w:rPr>
        <w:t xml:space="preserve"> in United </w:t>
      </w:r>
      <w:proofErr w:type="spellStart"/>
      <w:r w:rsidRPr="009975EA">
        <w:rPr>
          <w:rFonts w:ascii="Times New Roman" w:hAnsi="Times New Roman" w:cs="Times New Roman"/>
          <w:sz w:val="20"/>
          <w:szCs w:val="20"/>
        </w:rPr>
        <w:t>Kingdom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140 </w:t>
      </w:r>
      <w:proofErr w:type="spellStart"/>
      <w:r w:rsidRPr="009975EA">
        <w:rPr>
          <w:rFonts w:ascii="Times New Roman" w:hAnsi="Times New Roman" w:cs="Times New Roman"/>
          <w:sz w:val="20"/>
          <w:szCs w:val="20"/>
        </w:rPr>
        <w:t>million</w:t>
      </w:r>
      <w:proofErr w:type="spellEnd"/>
      <w:r w:rsidRPr="009975EA">
        <w:rPr>
          <w:rFonts w:ascii="Times New Roman" w:hAnsi="Times New Roman" w:cs="Times New Roman"/>
          <w:sz w:val="20"/>
          <w:szCs w:val="20"/>
        </w:rPr>
        <w:t xml:space="preserve"> GBP in 2003, </w:t>
      </w:r>
      <w:proofErr w:type="spellStart"/>
      <w:r w:rsidRPr="009975EA">
        <w:rPr>
          <w:rFonts w:ascii="Times New Roman" w:hAnsi="Times New Roman" w:cs="Times New Roman"/>
          <w:sz w:val="20"/>
          <w:szCs w:val="20"/>
        </w:rPr>
        <w:t>wanted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club</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transfer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Ukrainian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striker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Andriy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Shevchenko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despite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club</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managers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negative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opinion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According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Telegraph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Abramovich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Shevchenko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were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friends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talking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frequently</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phone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wives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were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meeting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shopping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live</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different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countries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before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Shevchenko’s</w:t>
      </w:r>
      <w:proofErr w:type="spellEnd"/>
      <w:r w:rsidRPr="009975EA">
        <w:rPr>
          <w:rFonts w:ascii="Times New Roman" w:hAnsi="Times New Roman" w:cs="Times New Roman"/>
          <w:sz w:val="20"/>
          <w:szCs w:val="20"/>
        </w:rPr>
        <w:t xml:space="preserve"> transfer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Chelsea</w:t>
      </w:r>
      <w:proofErr w:type="spellEnd"/>
      <w:r w:rsidRPr="009975EA">
        <w:rPr>
          <w:rFonts w:ascii="Times New Roman" w:hAnsi="Times New Roman" w:cs="Times New Roman"/>
          <w:sz w:val="20"/>
          <w:szCs w:val="20"/>
        </w:rPr>
        <w:t xml:space="preserve"> in 2006 (</w:t>
      </w:r>
      <w:hyperlink r:id="rId30" w:history="1">
        <w:r w:rsidRPr="0017580F">
          <w:rPr>
            <w:rStyle w:val="Kpr"/>
            <w:rFonts w:ascii="Times New Roman" w:hAnsi="Times New Roman" w:cs="Times New Roman"/>
            <w:sz w:val="20"/>
            <w:szCs w:val="20"/>
          </w:rPr>
          <w:t>http://www.telegraph.co.uk/sport/football/2337467/Mutual-friendship-clinched-transfer.html</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10/10/2016)</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Although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Shevchenko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strikers</w:t>
      </w:r>
      <w:proofErr w:type="spellEnd"/>
      <w:r w:rsidRPr="009975EA">
        <w:rPr>
          <w:rFonts w:ascii="Times New Roman" w:hAnsi="Times New Roman" w:cs="Times New Roman"/>
          <w:sz w:val="20"/>
          <w:szCs w:val="20"/>
        </w:rPr>
        <w:t xml:space="preserve"> in Europe at </w:t>
      </w:r>
      <w:proofErr w:type="spellStart"/>
      <w:r w:rsidRPr="009975EA">
        <w:rPr>
          <w:rFonts w:ascii="Times New Roman" w:hAnsi="Times New Roman" w:cs="Times New Roman"/>
          <w:sz w:val="20"/>
          <w:szCs w:val="20"/>
        </w:rPr>
        <w:t>those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times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cost</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fortune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Chelsea</w:t>
      </w:r>
      <w:proofErr w:type="spellEnd"/>
      <w:r w:rsidRPr="009975EA">
        <w:rPr>
          <w:rFonts w:ascii="Times New Roman" w:hAnsi="Times New Roman" w:cs="Times New Roman"/>
          <w:sz w:val="20"/>
          <w:szCs w:val="20"/>
        </w:rPr>
        <w:t xml:space="preserve"> FC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transfer (30 </w:t>
      </w:r>
      <w:proofErr w:type="spellStart"/>
      <w:r w:rsidRPr="009975EA">
        <w:rPr>
          <w:rFonts w:ascii="Times New Roman" w:hAnsi="Times New Roman" w:cs="Times New Roman"/>
          <w:sz w:val="20"/>
          <w:szCs w:val="20"/>
        </w:rPr>
        <w:t>million</w:t>
      </w:r>
      <w:proofErr w:type="spellEnd"/>
      <w:r w:rsidRPr="009975EA">
        <w:rPr>
          <w:rFonts w:ascii="Times New Roman" w:hAnsi="Times New Roman" w:cs="Times New Roman"/>
          <w:sz w:val="20"/>
          <w:szCs w:val="20"/>
        </w:rPr>
        <w:t xml:space="preserve"> GBP transfer </w:t>
      </w:r>
      <w:proofErr w:type="spellStart"/>
      <w:r w:rsidRPr="009975EA">
        <w:rPr>
          <w:rFonts w:ascii="Times New Roman" w:hAnsi="Times New Roman" w:cs="Times New Roman"/>
          <w:sz w:val="20"/>
          <w:szCs w:val="20"/>
        </w:rPr>
        <w:t>fee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5.2 </w:t>
      </w:r>
      <w:proofErr w:type="spellStart"/>
      <w:r w:rsidRPr="009975EA">
        <w:rPr>
          <w:rFonts w:ascii="Times New Roman" w:hAnsi="Times New Roman" w:cs="Times New Roman"/>
          <w:sz w:val="20"/>
          <w:szCs w:val="20"/>
        </w:rPr>
        <w:t>million</w:t>
      </w:r>
      <w:proofErr w:type="spellEnd"/>
      <w:r w:rsidRPr="009975EA">
        <w:rPr>
          <w:rFonts w:ascii="Times New Roman" w:hAnsi="Times New Roman" w:cs="Times New Roman"/>
          <w:sz w:val="20"/>
          <w:szCs w:val="20"/>
        </w:rPr>
        <w:t xml:space="preserve"> GBP </w:t>
      </w:r>
      <w:proofErr w:type="spellStart"/>
      <w:r w:rsidRPr="009975EA">
        <w:rPr>
          <w:rFonts w:ascii="Times New Roman" w:hAnsi="Times New Roman" w:cs="Times New Roman"/>
          <w:sz w:val="20"/>
          <w:szCs w:val="20"/>
        </w:rPr>
        <w:t>yearly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salary</w:t>
      </w:r>
      <w:proofErr w:type="spellEnd"/>
      <w:r w:rsidRPr="009975EA">
        <w:rPr>
          <w:rFonts w:ascii="Times New Roman" w:hAnsi="Times New Roman" w:cs="Times New Roman"/>
          <w:sz w:val="20"/>
          <w:szCs w:val="20"/>
        </w:rPr>
        <w:t xml:space="preserve">; </w:t>
      </w:r>
      <w:hyperlink r:id="rId31" w:history="1">
        <w:r w:rsidRPr="0017580F">
          <w:rPr>
            <w:rStyle w:val="Kpr"/>
            <w:rFonts w:ascii="Times New Roman" w:hAnsi="Times New Roman" w:cs="Times New Roman"/>
            <w:sz w:val="20"/>
            <w:szCs w:val="20"/>
          </w:rPr>
          <w:t>https://www.theguardian.com/football/2007/jan/13/newsstory.sport</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10/10/2016)</w:t>
      </w:r>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was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frequently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left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out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Chelsea</w:t>
      </w:r>
      <w:proofErr w:type="spellEnd"/>
      <w:r w:rsidRPr="009975EA">
        <w:rPr>
          <w:rFonts w:ascii="Times New Roman" w:hAnsi="Times New Roman" w:cs="Times New Roman"/>
          <w:sz w:val="20"/>
          <w:szCs w:val="20"/>
        </w:rPr>
        <w:t xml:space="preserve"> FC </w:t>
      </w:r>
      <w:proofErr w:type="spellStart"/>
      <w:r w:rsidRPr="009975EA">
        <w:rPr>
          <w:rFonts w:ascii="Times New Roman" w:hAnsi="Times New Roman" w:cs="Times New Roman"/>
          <w:sz w:val="20"/>
          <w:szCs w:val="20"/>
        </w:rPr>
        <w:t>squad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club</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manager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performed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poorly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during</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spell</w:t>
      </w:r>
      <w:proofErr w:type="spellEnd"/>
      <w:r w:rsidRPr="009975EA">
        <w:rPr>
          <w:rFonts w:ascii="Times New Roman" w:hAnsi="Times New Roman" w:cs="Times New Roman"/>
          <w:sz w:val="20"/>
          <w:szCs w:val="20"/>
        </w:rPr>
        <w:t xml:space="preserve"> at </w:t>
      </w:r>
      <w:proofErr w:type="spellStart"/>
      <w:r w:rsidRPr="009975EA">
        <w:rPr>
          <w:rFonts w:ascii="Times New Roman" w:hAnsi="Times New Roman" w:cs="Times New Roman"/>
          <w:sz w:val="20"/>
          <w:szCs w:val="20"/>
        </w:rPr>
        <w:t>Chelsea</w:t>
      </w:r>
      <w:proofErr w:type="spellEnd"/>
      <w:r w:rsidRPr="009975EA">
        <w:rPr>
          <w:rFonts w:ascii="Times New Roman" w:hAnsi="Times New Roman" w:cs="Times New Roman"/>
          <w:sz w:val="20"/>
          <w:szCs w:val="20"/>
        </w:rPr>
        <w:t xml:space="preserve"> FC,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seen</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worst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transfers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club</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history</w:t>
      </w:r>
      <w:proofErr w:type="spellEnd"/>
      <w:r w:rsidRPr="009975EA">
        <w:rPr>
          <w:rFonts w:ascii="Times New Roman" w:hAnsi="Times New Roman" w:cs="Times New Roman"/>
          <w:sz w:val="20"/>
          <w:szCs w:val="20"/>
        </w:rPr>
        <w:t xml:space="preserve"> (</w:t>
      </w:r>
      <w:hyperlink r:id="rId32" w:history="1">
        <w:r w:rsidRPr="0017580F">
          <w:rPr>
            <w:rStyle w:val="Kpr"/>
            <w:rFonts w:ascii="Times New Roman" w:hAnsi="Times New Roman" w:cs="Times New Roman"/>
            <w:sz w:val="20"/>
            <w:szCs w:val="20"/>
          </w:rPr>
          <w:t>http://www.dailymail.co.uk/sport/football/article-3145665/Chelsea-transfers-10-best-10-worst-Premier-League-signings.html</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10/10/2016)</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Chelsea</w:t>
      </w:r>
      <w:proofErr w:type="spellEnd"/>
      <w:r w:rsidRPr="009975EA">
        <w:rPr>
          <w:rFonts w:ascii="Times New Roman" w:hAnsi="Times New Roman" w:cs="Times New Roman"/>
          <w:sz w:val="20"/>
          <w:szCs w:val="20"/>
        </w:rPr>
        <w:t xml:space="preserve"> FC </w:t>
      </w:r>
      <w:proofErr w:type="spellStart"/>
      <w:r w:rsidRPr="009975EA">
        <w:rPr>
          <w:rFonts w:ascii="Times New Roman" w:hAnsi="Times New Roman" w:cs="Times New Roman"/>
          <w:sz w:val="20"/>
          <w:szCs w:val="20"/>
        </w:rPr>
        <w:t>plc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Abramovich</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ultimate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controlling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party</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company’s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parent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company</w:t>
      </w:r>
      <w:proofErr w:type="spellEnd"/>
      <w:r w:rsidRPr="009975EA">
        <w:rPr>
          <w:rFonts w:ascii="Times New Roman" w:hAnsi="Times New Roman" w:cs="Times New Roman"/>
          <w:sz w:val="20"/>
          <w:szCs w:val="20"/>
        </w:rPr>
        <w:t xml:space="preserve"> (</w:t>
      </w:r>
      <w:hyperlink r:id="rId33" w:history="1">
        <w:r w:rsidRPr="0017580F">
          <w:rPr>
            <w:rStyle w:val="Kpr"/>
            <w:rFonts w:ascii="Times New Roman" w:hAnsi="Times New Roman" w:cs="Times New Roman"/>
            <w:sz w:val="20"/>
            <w:szCs w:val="20"/>
          </w:rPr>
          <w:t>http://www.chelseafc.com/the-club/about-chelsea-football-club/club-personnel.html</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10/10/2016)</w:t>
      </w:r>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understood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facts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controlling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Abrahamovic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increased</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psychic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satisfaction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transferring</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close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friend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club</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watching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play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club</w:t>
      </w:r>
      <w:proofErr w:type="spellEnd"/>
      <w:r w:rsidRPr="009975EA">
        <w:rPr>
          <w:rFonts w:ascii="Times New Roman" w:hAnsi="Times New Roman" w:cs="Times New Roman"/>
          <w:sz w:val="20"/>
          <w:szCs w:val="20"/>
        </w:rPr>
        <w:t xml:space="preserve">; but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didn’t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project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suffered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both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financial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sportive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damage</w:t>
      </w:r>
      <w:proofErr w:type="spellEnd"/>
      <w:r w:rsidRPr="009975EA">
        <w:rPr>
          <w:rFonts w:ascii="Times New Roman" w:hAnsi="Times New Roman" w:cs="Times New Roman"/>
          <w:sz w:val="20"/>
          <w:szCs w:val="20"/>
        </w:rPr>
        <w:t xml:space="preserve"> as a </w:t>
      </w:r>
      <w:proofErr w:type="spellStart"/>
      <w:r w:rsidRPr="009975EA">
        <w:rPr>
          <w:rFonts w:ascii="Times New Roman" w:hAnsi="Times New Roman" w:cs="Times New Roman"/>
          <w:sz w:val="20"/>
          <w:szCs w:val="20"/>
        </w:rPr>
        <w:t>result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move</w:t>
      </w:r>
      <w:proofErr w:type="spellEnd"/>
      <w:r w:rsidRPr="009975EA">
        <w:rPr>
          <w:rFonts w:ascii="Times New Roman" w:hAnsi="Times New Roman" w:cs="Times New Roman"/>
          <w:sz w:val="20"/>
          <w:szCs w:val="20"/>
        </w:rPr>
        <w:t>.</w:t>
      </w:r>
    </w:p>
    <w:p w14:paraId="18F5CE96" w14:textId="4BF1780A" w:rsidR="00D36541" w:rsidRPr="009975EA" w:rsidRDefault="00D36541" w:rsidP="009975EA">
      <w:pPr>
        <w:widowControl w:val="0"/>
        <w:autoSpaceDE w:val="0"/>
        <w:autoSpaceDN w:val="0"/>
        <w:adjustRightInd w:val="0"/>
        <w:jc w:val="both"/>
        <w:rPr>
          <w:rFonts w:ascii="Times New Roman" w:hAnsi="Times New Roman" w:cs="Times New Roman"/>
          <w:sz w:val="20"/>
          <w:szCs w:val="20"/>
        </w:rPr>
      </w:pPr>
      <w:proofErr w:type="spellStart"/>
      <w:r w:rsidRPr="009975EA">
        <w:rPr>
          <w:rFonts w:ascii="Times New Roman" w:hAnsi="Times New Roman" w:cs="Times New Roman"/>
          <w:sz w:val="20"/>
          <w:szCs w:val="20"/>
        </w:rPr>
        <w:t>There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further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recent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England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soccer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club</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Reading’s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co-owner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businesswoman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stunned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a self- </w:t>
      </w:r>
      <w:proofErr w:type="spellStart"/>
      <w:r w:rsidRPr="009975EA">
        <w:rPr>
          <w:rFonts w:ascii="Times New Roman" w:hAnsi="Times New Roman" w:cs="Times New Roman"/>
          <w:sz w:val="20"/>
          <w:szCs w:val="20"/>
        </w:rPr>
        <w:t>penned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club</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song</w:t>
      </w:r>
      <w:proofErr w:type="spellEnd"/>
      <w:r w:rsidRPr="009975EA">
        <w:rPr>
          <w:rFonts w:ascii="Times New Roman" w:hAnsi="Times New Roman" w:cs="Times New Roman"/>
          <w:sz w:val="20"/>
          <w:szCs w:val="20"/>
        </w:rPr>
        <w:t xml:space="preserve"> in 2015. </w:t>
      </w:r>
      <w:proofErr w:type="spellStart"/>
      <w:r w:rsidRPr="009975EA">
        <w:rPr>
          <w:rFonts w:ascii="Times New Roman" w:hAnsi="Times New Roman" w:cs="Times New Roman"/>
          <w:sz w:val="20"/>
          <w:szCs w:val="20"/>
        </w:rPr>
        <w:t>Similarly</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Malaysian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businessman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who</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controlling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Cardiff City </w:t>
      </w:r>
      <w:proofErr w:type="spellStart"/>
      <w:r w:rsidRPr="009975EA">
        <w:rPr>
          <w:rFonts w:ascii="Times New Roman" w:hAnsi="Times New Roman" w:cs="Times New Roman"/>
          <w:sz w:val="20"/>
          <w:szCs w:val="20"/>
        </w:rPr>
        <w:t>soccer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club</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sought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change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colors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club</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soccer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jersey’s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thinks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commercially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successful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Simon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Chadwick</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Why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Southeast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Asian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football</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still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struggling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accepted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respected</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global </w:t>
      </w:r>
      <w:proofErr w:type="spellStart"/>
      <w:r w:rsidRPr="009975EA">
        <w:rPr>
          <w:rFonts w:ascii="Times New Roman" w:hAnsi="Times New Roman" w:cs="Times New Roman"/>
          <w:sz w:val="20"/>
          <w:szCs w:val="20"/>
        </w:rPr>
        <w:t>stage</w:t>
      </w:r>
      <w:proofErr w:type="spellEnd"/>
      <w:r w:rsidRPr="009975EA">
        <w:rPr>
          <w:rFonts w:ascii="Times New Roman" w:hAnsi="Times New Roman" w:cs="Times New Roman"/>
          <w:sz w:val="20"/>
          <w:szCs w:val="20"/>
        </w:rPr>
        <w:t xml:space="preserve">”, </w:t>
      </w:r>
      <w:hyperlink r:id="rId34" w:history="1">
        <w:r w:rsidRPr="009975EA">
          <w:rPr>
            <w:rStyle w:val="Kpr"/>
            <w:rFonts w:ascii="Times New Roman" w:hAnsi="Times New Roman" w:cs="Times New Roman"/>
            <w:sz w:val="20"/>
            <w:szCs w:val="20"/>
          </w:rPr>
          <w:t>http://www.scmp.com/sport/soccer/article/2054449/why-southeast-asian-football-still-struggling-be-accepted-and-respected</w:t>
        </w:r>
      </w:hyperlink>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visited</w:t>
      </w:r>
      <w:proofErr w:type="spellEnd"/>
      <w:r w:rsidRPr="009975EA">
        <w:rPr>
          <w:rFonts w:ascii="Times New Roman" w:hAnsi="Times New Roman" w:cs="Times New Roman"/>
          <w:sz w:val="20"/>
          <w:szCs w:val="20"/>
        </w:rPr>
        <w:t>: 14/12/2016).</w:t>
      </w:r>
    </w:p>
  </w:footnote>
  <w:footnote w:id="73">
    <w:p w14:paraId="67F13E38" w14:textId="2D114E8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“Media attention could be </w:t>
      </w:r>
      <w:proofErr w:type="spellStart"/>
      <w:r w:rsidRPr="009975EA">
        <w:rPr>
          <w:rFonts w:ascii="Times New Roman" w:hAnsi="Times New Roman" w:cs="Times New Roman"/>
          <w:sz w:val="20"/>
          <w:szCs w:val="20"/>
        </w:rPr>
        <w:t>anaother</w:t>
      </w:r>
      <w:proofErr w:type="spellEnd"/>
      <w:r w:rsidRPr="009975EA">
        <w:rPr>
          <w:rFonts w:ascii="Times New Roman" w:hAnsi="Times New Roman" w:cs="Times New Roman"/>
          <w:sz w:val="20"/>
          <w:szCs w:val="20"/>
        </w:rPr>
        <w:t xml:space="preserve"> form of non- pecuniary benefits to a controlling shareholder who would like to be famous” (Sang </w:t>
      </w:r>
      <w:proofErr w:type="spellStart"/>
      <w:r w:rsidRPr="009975EA">
        <w:rPr>
          <w:rFonts w:ascii="Times New Roman" w:hAnsi="Times New Roman" w:cs="Times New Roman"/>
          <w:sz w:val="20"/>
          <w:szCs w:val="20"/>
        </w:rPr>
        <w:t>Yop</w:t>
      </w:r>
      <w:proofErr w:type="spellEnd"/>
      <w:r w:rsidRPr="009975EA">
        <w:rPr>
          <w:rFonts w:ascii="Times New Roman" w:hAnsi="Times New Roman" w:cs="Times New Roman"/>
          <w:sz w:val="20"/>
          <w:szCs w:val="20"/>
        </w:rPr>
        <w:t xml:space="preserve"> Kang, Re- Envisioning the Controlling Shareholder Regime, footnote 137).</w:t>
      </w:r>
    </w:p>
  </w:footnote>
  <w:footnote w:id="74">
    <w:p w14:paraId="29031594" w14:textId="6766449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Also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can be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buzz</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associated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owning</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major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potential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entree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elite </w:t>
      </w:r>
      <w:proofErr w:type="spellStart"/>
      <w:r w:rsidRPr="009975EA">
        <w:rPr>
          <w:rFonts w:ascii="Times New Roman" w:hAnsi="Times New Roman" w:cs="Times New Roman"/>
          <w:color w:val="000000"/>
          <w:sz w:val="20"/>
          <w:szCs w:val="20"/>
        </w:rPr>
        <w:t>circles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occupied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leading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politicans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wealthy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instance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Simon</w:t>
      </w:r>
      <w:proofErr w:type="spellEnd"/>
      <w:r w:rsidRPr="009975EA">
        <w:rPr>
          <w:rFonts w:ascii="Times New Roman" w:hAnsi="Times New Roman" w:cs="Times New Roman"/>
          <w:color w:val="000000"/>
          <w:sz w:val="20"/>
          <w:szCs w:val="20"/>
        </w:rPr>
        <w:t xml:space="preserve"> Marks,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dominated</w:t>
      </w:r>
      <w:proofErr w:type="spellEnd"/>
      <w:r w:rsidRPr="009975EA">
        <w:rPr>
          <w:rFonts w:ascii="Times New Roman" w:hAnsi="Times New Roman" w:cs="Times New Roman"/>
          <w:color w:val="000000"/>
          <w:sz w:val="20"/>
          <w:szCs w:val="20"/>
        </w:rPr>
        <w:t xml:space="preserve"> Marks &amp; </w:t>
      </w:r>
      <w:proofErr w:type="spellStart"/>
      <w:r w:rsidRPr="009975EA">
        <w:rPr>
          <w:rFonts w:ascii="Times New Roman" w:hAnsi="Times New Roman" w:cs="Times New Roman"/>
          <w:color w:val="000000"/>
          <w:sz w:val="20"/>
          <w:szCs w:val="20"/>
        </w:rPr>
        <w:t>Specer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until</w:t>
      </w:r>
      <w:proofErr w:type="spellEnd"/>
      <w:r w:rsidRPr="009975EA">
        <w:rPr>
          <w:rFonts w:ascii="Times New Roman" w:hAnsi="Times New Roman" w:cs="Times New Roman"/>
          <w:color w:val="000000"/>
          <w:sz w:val="20"/>
          <w:szCs w:val="20"/>
        </w:rPr>
        <w:t xml:space="preserve"> his </w:t>
      </w:r>
      <w:proofErr w:type="spellStart"/>
      <w:r w:rsidRPr="009975EA">
        <w:rPr>
          <w:rFonts w:ascii="Times New Roman" w:hAnsi="Times New Roman" w:cs="Times New Roman"/>
          <w:color w:val="000000"/>
          <w:sz w:val="20"/>
          <w:szCs w:val="20"/>
        </w:rPr>
        <w:t>death</w:t>
      </w:r>
      <w:proofErr w:type="spellEnd"/>
      <w:r w:rsidRPr="009975EA">
        <w:rPr>
          <w:rFonts w:ascii="Times New Roman" w:hAnsi="Times New Roman" w:cs="Times New Roman"/>
          <w:color w:val="000000"/>
          <w:sz w:val="20"/>
          <w:szCs w:val="20"/>
        </w:rPr>
        <w:t xml:space="preserve"> in 1964 ‘</w:t>
      </w:r>
      <w:proofErr w:type="spellStart"/>
      <w:r w:rsidRPr="009975EA">
        <w:rPr>
          <w:rFonts w:ascii="Times New Roman" w:hAnsi="Times New Roman" w:cs="Times New Roman"/>
          <w:color w:val="000000"/>
          <w:sz w:val="20"/>
          <w:szCs w:val="20"/>
        </w:rPr>
        <w:t>enjoyed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trappings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wealth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influence</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gave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him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politicans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allure</w:t>
      </w:r>
      <w:proofErr w:type="spellEnd"/>
      <w:r w:rsidRPr="009975EA">
        <w:rPr>
          <w:rFonts w:ascii="Times New Roman" w:hAnsi="Times New Roman" w:cs="Times New Roman"/>
          <w:color w:val="000000"/>
          <w:sz w:val="20"/>
          <w:szCs w:val="20"/>
        </w:rPr>
        <w:t xml:space="preserve"> of film </w:t>
      </w:r>
      <w:proofErr w:type="spellStart"/>
      <w:r w:rsidRPr="009975EA">
        <w:rPr>
          <w:rFonts w:ascii="Times New Roman" w:hAnsi="Times New Roman" w:cs="Times New Roman"/>
          <w:color w:val="000000"/>
          <w:sz w:val="20"/>
          <w:szCs w:val="20"/>
        </w:rPr>
        <w:t>stars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celebrities</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Brian</w:t>
      </w:r>
      <w:proofErr w:type="spellEnd"/>
      <w:r w:rsidRPr="009975EA">
        <w:rPr>
          <w:rFonts w:ascii="Times New Roman" w:hAnsi="Times New Roman" w:cs="Times New Roman"/>
          <w:color w:val="000000"/>
          <w:sz w:val="20"/>
          <w:szCs w:val="20"/>
        </w:rPr>
        <w:t xml:space="preserve"> R. </w:t>
      </w:r>
      <w:proofErr w:type="spellStart"/>
      <w:r w:rsidRPr="009975EA">
        <w:rPr>
          <w:rFonts w:ascii="Times New Roman" w:hAnsi="Times New Roman" w:cs="Times New Roman"/>
          <w:color w:val="000000"/>
          <w:sz w:val="20"/>
          <w:szCs w:val="20"/>
        </w:rPr>
        <w:t>Cheffins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Ownership</w:t>
      </w:r>
      <w:proofErr w:type="spellEnd"/>
      <w:r w:rsidRPr="009975EA">
        <w:rPr>
          <w:rFonts w:ascii="Times New Roman" w:hAnsi="Times New Roman" w:cs="Times New Roman"/>
          <w:color w:val="000000"/>
          <w:sz w:val="20"/>
          <w:szCs w:val="20"/>
        </w:rPr>
        <w:t xml:space="preserve">, p.63). </w:t>
      </w:r>
      <w:proofErr w:type="spellStart"/>
      <w:r w:rsidRPr="009975EA">
        <w:rPr>
          <w:rFonts w:ascii="Times New Roman" w:hAnsi="Times New Roman" w:cs="Times New Roman"/>
          <w:color w:val="000000"/>
          <w:sz w:val="20"/>
          <w:szCs w:val="20"/>
        </w:rPr>
        <w:t>Similarly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virtue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owning</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field</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businessman</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join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country’s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president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political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trips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engage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high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circle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relationships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lobbying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w:t>
      </w:r>
      <w:proofErr w:type="spellEnd"/>
      <w:r w:rsidRPr="009975EA">
        <w:rPr>
          <w:rFonts w:ascii="Times New Roman" w:hAnsi="Times New Roman" w:cs="Times New Roman"/>
          <w:color w:val="000000"/>
          <w:sz w:val="20"/>
          <w:szCs w:val="20"/>
        </w:rPr>
        <w:t xml:space="preserve">. </w:t>
      </w:r>
    </w:p>
    <w:p w14:paraId="3B73BE5F" w14:textId="71DFD8CD" w:rsidR="00D36541" w:rsidRPr="009975EA" w:rsidRDefault="00D36541" w:rsidP="009975EA">
      <w:pPr>
        <w:widowControl w:val="0"/>
        <w:autoSpaceDE w:val="0"/>
        <w:autoSpaceDN w:val="0"/>
        <w:adjustRightInd w:val="0"/>
        <w:jc w:val="both"/>
        <w:rPr>
          <w:rFonts w:ascii="Times New Roman" w:hAnsi="Times New Roman" w:cs="Times New Roman"/>
          <w:sz w:val="20"/>
          <w:szCs w:val="20"/>
        </w:rPr>
      </w:pP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Donald </w:t>
      </w:r>
      <w:proofErr w:type="spellStart"/>
      <w:r w:rsidRPr="009975EA">
        <w:rPr>
          <w:rFonts w:ascii="Times New Roman" w:hAnsi="Times New Roman" w:cs="Times New Roman"/>
          <w:sz w:val="20"/>
          <w:szCs w:val="20"/>
        </w:rPr>
        <w:t>Trump’s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cure</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reputation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public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persona</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maintainance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affected</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decisions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After</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was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elected</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President</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order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focus</w:t>
      </w:r>
      <w:proofErr w:type="spellEnd"/>
      <w:r w:rsidRPr="009975EA">
        <w:rPr>
          <w:rFonts w:ascii="Times New Roman" w:hAnsi="Times New Roman" w:cs="Times New Roman"/>
          <w:sz w:val="20"/>
          <w:szCs w:val="20"/>
        </w:rPr>
        <w:t xml:space="preserve"> on his </w:t>
      </w:r>
      <w:proofErr w:type="spellStart"/>
      <w:r w:rsidRPr="009975EA">
        <w:rPr>
          <w:rFonts w:ascii="Times New Roman" w:hAnsi="Times New Roman" w:cs="Times New Roman"/>
          <w:sz w:val="20"/>
          <w:szCs w:val="20"/>
        </w:rPr>
        <w:t>Presidency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maintain</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public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persona</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suitable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it, he </w:t>
      </w:r>
      <w:proofErr w:type="spellStart"/>
      <w:r w:rsidRPr="009975EA">
        <w:rPr>
          <w:rFonts w:ascii="Times New Roman" w:hAnsi="Times New Roman" w:cs="Times New Roman"/>
          <w:sz w:val="20"/>
          <w:szCs w:val="20"/>
        </w:rPr>
        <w:t>settled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three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lawsuits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against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of his </w:t>
      </w:r>
      <w:proofErr w:type="spellStart"/>
      <w:r w:rsidRPr="009975EA">
        <w:rPr>
          <w:rFonts w:ascii="Times New Roman" w:hAnsi="Times New Roman" w:cs="Times New Roman"/>
          <w:sz w:val="20"/>
          <w:szCs w:val="20"/>
        </w:rPr>
        <w:t>ventures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Trump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Univesity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25 </w:t>
      </w:r>
      <w:proofErr w:type="spellStart"/>
      <w:r w:rsidRPr="009975EA">
        <w:rPr>
          <w:rFonts w:ascii="Times New Roman" w:hAnsi="Times New Roman" w:cs="Times New Roman"/>
          <w:sz w:val="20"/>
          <w:szCs w:val="20"/>
        </w:rPr>
        <w:t>million</w:t>
      </w:r>
      <w:proofErr w:type="spellEnd"/>
      <w:r w:rsidRPr="009975EA">
        <w:rPr>
          <w:rFonts w:ascii="Times New Roman" w:hAnsi="Times New Roman" w:cs="Times New Roman"/>
          <w:sz w:val="20"/>
          <w:szCs w:val="20"/>
        </w:rPr>
        <w:t xml:space="preserve"> USD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avoided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testify</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trial</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Trump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Organization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spokesperson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said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Trump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settled</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order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devote</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full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attention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important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issues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facing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our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great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nation</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Katie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Lobosco</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Drew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Griffin</w:t>
      </w:r>
      <w:proofErr w:type="spellEnd"/>
      <w:r w:rsidRPr="009975EA">
        <w:rPr>
          <w:rFonts w:ascii="Times New Roman" w:hAnsi="Times New Roman" w:cs="Times New Roman"/>
          <w:sz w:val="20"/>
          <w:szCs w:val="20"/>
        </w:rPr>
        <w:t xml:space="preserve">, “Donald </w:t>
      </w:r>
      <w:proofErr w:type="spellStart"/>
      <w:r w:rsidRPr="009975EA">
        <w:rPr>
          <w:rFonts w:ascii="Times New Roman" w:hAnsi="Times New Roman" w:cs="Times New Roman"/>
          <w:sz w:val="20"/>
          <w:szCs w:val="20"/>
        </w:rPr>
        <w:t>Trump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settles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Trump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University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lawsuits</w:t>
      </w:r>
      <w:proofErr w:type="spellEnd"/>
      <w:r w:rsidRPr="009975EA">
        <w:rPr>
          <w:rFonts w:ascii="Times New Roman" w:hAnsi="Times New Roman" w:cs="Times New Roman"/>
          <w:sz w:val="20"/>
          <w:szCs w:val="20"/>
        </w:rPr>
        <w:t xml:space="preserve">”, CNN, 18/11/2016, </w:t>
      </w:r>
      <w:hyperlink r:id="rId35" w:history="1">
        <w:r w:rsidRPr="009975EA">
          <w:rPr>
            <w:rStyle w:val="Kpr"/>
            <w:rFonts w:ascii="Times New Roman" w:hAnsi="Times New Roman" w:cs="Times New Roman"/>
            <w:sz w:val="20"/>
            <w:szCs w:val="20"/>
          </w:rPr>
          <w:t>http://money.cnn.com/2016/11/18/news/trump-university-settlement/)</w:t>
        </w:r>
      </w:hyperlink>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understood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Trump’s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decision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based</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maximizing</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non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pecuniary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private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avoiding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minimization</w:t>
      </w:r>
      <w:proofErr w:type="spellEnd"/>
      <w:r w:rsidRPr="009975EA">
        <w:rPr>
          <w:rFonts w:ascii="Times New Roman" w:hAnsi="Times New Roman" w:cs="Times New Roman"/>
          <w:sz w:val="20"/>
          <w:szCs w:val="20"/>
        </w:rPr>
        <w:t xml:space="preserve"> of his </w:t>
      </w:r>
      <w:proofErr w:type="spellStart"/>
      <w:r w:rsidRPr="009975EA">
        <w:rPr>
          <w:rFonts w:ascii="Times New Roman" w:hAnsi="Times New Roman" w:cs="Times New Roman"/>
          <w:sz w:val="20"/>
          <w:szCs w:val="20"/>
        </w:rPr>
        <w:t>non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pecuniary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private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than</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economically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driven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decision</w:t>
      </w:r>
      <w:proofErr w:type="spellEnd"/>
      <w:r w:rsidRPr="009975EA">
        <w:rPr>
          <w:rFonts w:ascii="Times New Roman" w:hAnsi="Times New Roman" w:cs="Times New Roman"/>
          <w:sz w:val="20"/>
          <w:szCs w:val="20"/>
        </w:rPr>
        <w:t xml:space="preserve">. </w:t>
      </w:r>
    </w:p>
  </w:footnote>
  <w:footnote w:id="75">
    <w:p w14:paraId="765F945F" w14:textId="09DFCAC5" w:rsidR="00D36541" w:rsidRPr="009975EA" w:rsidRDefault="00D36541" w:rsidP="009975EA">
      <w:pPr>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Astroturf</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used</w:t>
      </w:r>
      <w:proofErr w:type="spellEnd"/>
      <w:r w:rsidRPr="009975EA">
        <w:rPr>
          <w:rFonts w:ascii="Times New Roman" w:hAnsi="Times New Roman" w:cs="Times New Roman"/>
          <w:sz w:val="20"/>
          <w:szCs w:val="20"/>
        </w:rPr>
        <w:t xml:space="preserve"> as a </w:t>
      </w:r>
      <w:proofErr w:type="spellStart"/>
      <w:r w:rsidRPr="009975EA">
        <w:rPr>
          <w:rFonts w:ascii="Times New Roman" w:hAnsi="Times New Roman" w:cs="Times New Roman"/>
          <w:sz w:val="20"/>
          <w:szCs w:val="20"/>
        </w:rPr>
        <w:t>term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opposite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grassroots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Koch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Brothers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spending</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money</w:t>
      </w:r>
      <w:proofErr w:type="spellEnd"/>
      <w:r w:rsidRPr="009975EA">
        <w:rPr>
          <w:rFonts w:ascii="Times New Roman" w:hAnsi="Times New Roman" w:cs="Times New Roman"/>
          <w:sz w:val="20"/>
          <w:szCs w:val="20"/>
        </w:rPr>
        <w:t xml:space="preserve"> can be </w:t>
      </w:r>
      <w:proofErr w:type="spellStart"/>
      <w:r w:rsidRPr="009975EA">
        <w:rPr>
          <w:rFonts w:ascii="Times New Roman" w:hAnsi="Times New Roman" w:cs="Times New Roman"/>
          <w:sz w:val="20"/>
          <w:szCs w:val="20"/>
        </w:rPr>
        <w:t>given</w:t>
      </w:r>
      <w:proofErr w:type="spellEnd"/>
      <w:r w:rsidRPr="009975EA">
        <w:rPr>
          <w:rFonts w:ascii="Times New Roman" w:hAnsi="Times New Roman" w:cs="Times New Roman"/>
          <w:sz w:val="20"/>
          <w:szCs w:val="20"/>
        </w:rPr>
        <w:t xml:space="preserve"> as a </w:t>
      </w:r>
      <w:proofErr w:type="spellStart"/>
      <w:r w:rsidRPr="009975EA">
        <w:rPr>
          <w:rFonts w:ascii="Times New Roman" w:hAnsi="Times New Roman" w:cs="Times New Roman"/>
          <w:sz w:val="20"/>
          <w:szCs w:val="20"/>
        </w:rPr>
        <w:t>good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astroturf</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political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movements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It</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said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Koch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Brothers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playbook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make</w:t>
      </w:r>
      <w:proofErr w:type="spellEnd"/>
      <w:r w:rsidRPr="009975EA">
        <w:rPr>
          <w:rFonts w:ascii="Times New Roman" w:hAnsi="Times New Roman" w:cs="Times New Roman"/>
          <w:sz w:val="20"/>
          <w:szCs w:val="20"/>
        </w:rPr>
        <w:t xml:space="preserve"> sure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ideas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via</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profit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organizations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outside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look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like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esttablished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sponsored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concerned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citizens</w:t>
      </w:r>
      <w:proofErr w:type="spellEnd"/>
      <w:r w:rsidRPr="009975EA">
        <w:rPr>
          <w:rFonts w:ascii="Times New Roman" w:hAnsi="Times New Roman" w:cs="Times New Roman"/>
          <w:sz w:val="20"/>
          <w:szCs w:val="20"/>
        </w:rPr>
        <w:t xml:space="preserve">, but in </w:t>
      </w:r>
      <w:proofErr w:type="spellStart"/>
      <w:r w:rsidRPr="009975EA">
        <w:rPr>
          <w:rFonts w:ascii="Times New Roman" w:hAnsi="Times New Roman" w:cs="Times New Roman"/>
          <w:sz w:val="20"/>
          <w:szCs w:val="20"/>
        </w:rPr>
        <w:t>fact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fake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populist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movements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secretly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manufactured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Koch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Brothers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friends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profit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organizations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ideas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before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selling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candidates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running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advertisements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staging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education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media</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events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targeting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political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opponents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filing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lawsuits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Jane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Mayer</w:t>
      </w:r>
      <w:proofErr w:type="spellEnd"/>
      <w:r w:rsidRPr="009975EA">
        <w:rPr>
          <w:rFonts w:ascii="Times New Roman" w:hAnsi="Times New Roman" w:cs="Times New Roman"/>
          <w:sz w:val="20"/>
          <w:szCs w:val="20"/>
        </w:rPr>
        <w:t xml:space="preserve">, Dark Money,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Hidden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History</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Billionaires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Behind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Rise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Radical</w:t>
      </w:r>
      <w:proofErr w:type="spellEnd"/>
      <w:r w:rsidRPr="009975EA">
        <w:rPr>
          <w:rFonts w:ascii="Times New Roman" w:hAnsi="Times New Roman" w:cs="Times New Roman"/>
          <w:sz w:val="20"/>
          <w:szCs w:val="20"/>
        </w:rPr>
        <w:t xml:space="preserve"> Right, New York 2016, p.159). </w:t>
      </w:r>
    </w:p>
    <w:p w14:paraId="4BCBF6E6" w14:textId="56D6E80A"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sz w:val="20"/>
          <w:szCs w:val="20"/>
        </w:rPr>
        <w:t xml:space="preserve">A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can </w:t>
      </w:r>
      <w:proofErr w:type="spellStart"/>
      <w:r w:rsidRPr="009975EA">
        <w:rPr>
          <w:rFonts w:ascii="Times New Roman" w:hAnsi="Times New Roman" w:cs="Times New Roman"/>
          <w:sz w:val="20"/>
          <w:szCs w:val="20"/>
        </w:rPr>
        <w:t>tunnel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money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institutions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return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provide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pecuniary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declaring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excessive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dividends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oil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production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partly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owned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newspaper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declare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excessive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dividens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during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some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periods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year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enrich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newspaper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return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provides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astroturfing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oil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production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activities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Although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declaration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dividens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good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minority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well</w:t>
      </w:r>
      <w:proofErr w:type="spellEnd"/>
      <w:r w:rsidRPr="009975EA">
        <w:rPr>
          <w:rFonts w:ascii="Times New Roman" w:hAnsi="Times New Roman" w:cs="Times New Roman"/>
          <w:sz w:val="20"/>
          <w:szCs w:val="20"/>
        </w:rPr>
        <w:t xml:space="preserve"> at </w:t>
      </w:r>
      <w:proofErr w:type="spellStart"/>
      <w:r w:rsidRPr="009975EA">
        <w:rPr>
          <w:rFonts w:ascii="Times New Roman" w:hAnsi="Times New Roman" w:cs="Times New Roman"/>
          <w:sz w:val="20"/>
          <w:szCs w:val="20"/>
        </w:rPr>
        <w:t>first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prevent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expanding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deprieve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greater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long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returns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argument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asserted</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color w:val="000000"/>
          <w:sz w:val="20"/>
          <w:szCs w:val="20"/>
        </w:rPr>
        <w:t>Sinclair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Oil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w:t>
      </w:r>
      <w:proofErr w:type="spellEnd"/>
      <w:r w:rsidRPr="009975EA">
        <w:rPr>
          <w:rFonts w:ascii="Times New Roman" w:hAnsi="Times New Roman" w:cs="Times New Roman"/>
          <w:color w:val="000000"/>
          <w:sz w:val="20"/>
          <w:szCs w:val="20"/>
        </w:rPr>
        <w:t xml:space="preserve">. v. </w:t>
      </w:r>
      <w:proofErr w:type="spellStart"/>
      <w:r w:rsidRPr="009975EA">
        <w:rPr>
          <w:rFonts w:ascii="Times New Roman" w:hAnsi="Times New Roman" w:cs="Times New Roman"/>
          <w:color w:val="000000"/>
          <w:sz w:val="20"/>
          <w:szCs w:val="20"/>
        </w:rPr>
        <w:t>Levien</w:t>
      </w:r>
      <w:proofErr w:type="spellEnd"/>
      <w:r w:rsidRPr="009975EA">
        <w:rPr>
          <w:rFonts w:ascii="Times New Roman" w:hAnsi="Times New Roman" w:cs="Times New Roman"/>
          <w:color w:val="000000"/>
          <w:sz w:val="20"/>
          <w:szCs w:val="20"/>
        </w:rPr>
        <w:t>, 280 A.2d 717 (1971):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motives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causing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declaration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dividends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immaterial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unless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plaintiff</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show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payments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resulted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improper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motives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amounted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plaintiff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contends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payments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drained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Sinven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cash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extent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prevented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expanding</w:t>
      </w:r>
      <w:proofErr w:type="spellEnd"/>
      <w:r w:rsidRPr="009975EA">
        <w:rPr>
          <w:rFonts w:ascii="Times New Roman" w:hAnsi="Times New Roman" w:cs="Times New Roman"/>
          <w:color w:val="000000"/>
          <w:sz w:val="20"/>
          <w:szCs w:val="20"/>
        </w:rPr>
        <w:t>.”)</w:t>
      </w:r>
    </w:p>
  </w:footnote>
  <w:footnote w:id="76">
    <w:p w14:paraId="6ACBAF17" w14:textId="4F2C08D0" w:rsidR="00D36541" w:rsidRPr="009975EA" w:rsidRDefault="00D36541" w:rsidP="009975EA">
      <w:pPr>
        <w:widowControl w:val="0"/>
        <w:autoSpaceDE w:val="0"/>
        <w:autoSpaceDN w:val="0"/>
        <w:adjustRightInd w:val="0"/>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recent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is Donald </w:t>
      </w:r>
      <w:proofErr w:type="spellStart"/>
      <w:r w:rsidRPr="009975EA">
        <w:rPr>
          <w:rFonts w:ascii="Times New Roman" w:hAnsi="Times New Roman" w:cs="Times New Roman"/>
          <w:sz w:val="20"/>
          <w:szCs w:val="20"/>
        </w:rPr>
        <w:t>Trump’s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candidacy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U.S. </w:t>
      </w:r>
      <w:proofErr w:type="spellStart"/>
      <w:r w:rsidRPr="009975EA">
        <w:rPr>
          <w:rFonts w:ascii="Times New Roman" w:hAnsi="Times New Roman" w:cs="Times New Roman"/>
          <w:sz w:val="20"/>
          <w:szCs w:val="20"/>
        </w:rPr>
        <w:t>presidency</w:t>
      </w:r>
      <w:proofErr w:type="spellEnd"/>
      <w:r w:rsidRPr="009975EA">
        <w:rPr>
          <w:rFonts w:ascii="Times New Roman" w:hAnsi="Times New Roman" w:cs="Times New Roman"/>
          <w:sz w:val="20"/>
          <w:szCs w:val="20"/>
        </w:rPr>
        <w:t xml:space="preserve">. Donald </w:t>
      </w:r>
      <w:proofErr w:type="spellStart"/>
      <w:r w:rsidRPr="009975EA">
        <w:rPr>
          <w:rFonts w:ascii="Times New Roman" w:hAnsi="Times New Roman" w:cs="Times New Roman"/>
          <w:sz w:val="20"/>
          <w:szCs w:val="20"/>
        </w:rPr>
        <w:t>Trump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staked</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presidential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campaign</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being</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savvy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businessman</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advertised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himself</w:t>
      </w:r>
      <w:proofErr w:type="spellEnd"/>
      <w:r w:rsidRPr="009975EA">
        <w:rPr>
          <w:rFonts w:ascii="Times New Roman" w:hAnsi="Times New Roman" w:cs="Times New Roman"/>
          <w:sz w:val="20"/>
          <w:szCs w:val="20"/>
        </w:rPr>
        <w:t xml:space="preserve"> as a </w:t>
      </w:r>
      <w:proofErr w:type="spellStart"/>
      <w:r w:rsidRPr="009975EA">
        <w:rPr>
          <w:rFonts w:ascii="Times New Roman" w:hAnsi="Times New Roman" w:cs="Times New Roman"/>
          <w:sz w:val="20"/>
          <w:szCs w:val="20"/>
        </w:rPr>
        <w:t>wealthy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successful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businessman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thus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convinced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people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he is a </w:t>
      </w:r>
      <w:proofErr w:type="spellStart"/>
      <w:r w:rsidRPr="009975EA">
        <w:rPr>
          <w:rFonts w:ascii="Times New Roman" w:hAnsi="Times New Roman" w:cs="Times New Roman"/>
          <w:sz w:val="20"/>
          <w:szCs w:val="20"/>
        </w:rPr>
        <w:t>good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leader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make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good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deals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country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create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economic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progress</w:t>
      </w:r>
      <w:proofErr w:type="spellEnd"/>
      <w:r w:rsidRPr="009975EA">
        <w:rPr>
          <w:rFonts w:ascii="Times New Roman" w:hAnsi="Times New Roman" w:cs="Times New Roman"/>
          <w:sz w:val="20"/>
          <w:szCs w:val="20"/>
        </w:rPr>
        <w:t xml:space="preserve"> (</w:t>
      </w:r>
      <w:hyperlink r:id="rId36" w:history="1">
        <w:r w:rsidRPr="00FD379D">
          <w:rPr>
            <w:rStyle w:val="Kpr"/>
            <w:rFonts w:ascii="Times New Roman" w:hAnsi="Times New Roman" w:cs="Times New Roman"/>
            <w:sz w:val="20"/>
            <w:szCs w:val="20"/>
          </w:rPr>
          <w:t>http://www.bbc.com/news/election-us-2016-37533263</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10/10/2016)</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words</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used</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success</w:t>
      </w:r>
      <w:proofErr w:type="spellEnd"/>
      <w:r w:rsidRPr="009975EA">
        <w:rPr>
          <w:rFonts w:ascii="Times New Roman" w:hAnsi="Times New Roman" w:cs="Times New Roman"/>
          <w:sz w:val="20"/>
          <w:szCs w:val="20"/>
        </w:rPr>
        <w:t xml:space="preserve"> as a </w:t>
      </w:r>
      <w:proofErr w:type="spellStart"/>
      <w:r w:rsidRPr="009975EA">
        <w:rPr>
          <w:rFonts w:ascii="Times New Roman" w:hAnsi="Times New Roman" w:cs="Times New Roman"/>
          <w:sz w:val="20"/>
          <w:szCs w:val="20"/>
        </w:rPr>
        <w:t>predictor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political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success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openly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continuously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referred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empire</w:t>
      </w:r>
      <w:proofErr w:type="spellEnd"/>
      <w:r w:rsidRPr="009975EA">
        <w:rPr>
          <w:rFonts w:ascii="Times New Roman" w:hAnsi="Times New Roman" w:cs="Times New Roman"/>
          <w:sz w:val="20"/>
          <w:szCs w:val="20"/>
        </w:rPr>
        <w:t xml:space="preserve"> (</w:t>
      </w:r>
      <w:hyperlink r:id="rId37" w:history="1">
        <w:r w:rsidRPr="00FD379D">
          <w:rPr>
            <w:rStyle w:val="Kpr"/>
            <w:rFonts w:ascii="Times New Roman" w:hAnsi="Times New Roman" w:cs="Times New Roman"/>
            <w:sz w:val="20"/>
            <w:szCs w:val="20"/>
          </w:rPr>
          <w:t>http://www.independent.co.uk/news/world/americas/us-elections/why-donald-trump-isn-t-the-successful-businessman-he-claims-to-be-us-elections-republican-politics-7173666.html</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10/10/2016)).</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However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due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proposals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comments</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created</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hatred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towards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himself</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hyperlink r:id="rId38" w:history="1">
        <w:r w:rsidRPr="00FD379D">
          <w:rPr>
            <w:rStyle w:val="Kpr"/>
            <w:rFonts w:ascii="Times New Roman" w:hAnsi="Times New Roman" w:cs="Times New Roman"/>
            <w:sz w:val="20"/>
            <w:szCs w:val="20"/>
          </w:rPr>
          <w:t>http://www.dailymail.co.uk/news/article-3355593/Trumps-image-removed-Dubai-development-amid-uproar.html</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10/10/2016))</w:t>
      </w:r>
      <w:r w:rsidRPr="009975EA">
        <w:rPr>
          <w:rFonts w:ascii="Times New Roman" w:hAnsi="Times New Roman" w:cs="Times New Roman"/>
          <w:sz w:val="20"/>
          <w:szCs w:val="20"/>
        </w:rPr>
        <w:t xml:space="preserve">, but </w:t>
      </w:r>
      <w:proofErr w:type="spellStart"/>
      <w:r w:rsidRPr="009975EA">
        <w:rPr>
          <w:rFonts w:ascii="Times New Roman" w:hAnsi="Times New Roman" w:cs="Times New Roman"/>
          <w:sz w:val="20"/>
          <w:szCs w:val="20"/>
        </w:rPr>
        <w:t>nevertheless</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believed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candidacy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beneficial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hyperlink r:id="rId39" w:history="1">
        <w:r w:rsidRPr="00FD379D">
          <w:rPr>
            <w:rStyle w:val="Kpr"/>
            <w:rFonts w:ascii="Times New Roman" w:hAnsi="Times New Roman" w:cs="Times New Roman"/>
            <w:sz w:val="20"/>
            <w:szCs w:val="20"/>
          </w:rPr>
          <w:t>http://www.foxnews.com/politics/2016/09/30/trump-presidential-campaign-could-be-good-for-his-hotels.html</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10/10/2016).</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Accordingly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short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before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election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some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claimed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Trump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started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sabotage</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own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candidacy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because</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never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truly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intended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president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rather</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planned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channel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sentiment</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created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campaign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businesses</w:t>
      </w:r>
      <w:proofErr w:type="spellEnd"/>
      <w:r w:rsidRPr="009975EA">
        <w:rPr>
          <w:rFonts w:ascii="Times New Roman" w:hAnsi="Times New Roman" w:cs="Times New Roman"/>
          <w:sz w:val="20"/>
          <w:szCs w:val="20"/>
        </w:rPr>
        <w:t xml:space="preserve"> (Michael </w:t>
      </w:r>
      <w:proofErr w:type="spellStart"/>
      <w:r w:rsidRPr="009975EA">
        <w:rPr>
          <w:rFonts w:ascii="Times New Roman" w:hAnsi="Times New Roman" w:cs="Times New Roman"/>
          <w:sz w:val="20"/>
          <w:szCs w:val="20"/>
        </w:rPr>
        <w:t>Moore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Trump</w:t>
      </w:r>
      <w:proofErr w:type="spellEnd"/>
      <w:r w:rsidRPr="009975EA">
        <w:rPr>
          <w:rFonts w:ascii="Times New Roman" w:hAnsi="Times New Roman" w:cs="Times New Roman"/>
          <w:sz w:val="20"/>
          <w:szCs w:val="20"/>
        </w:rPr>
        <w:t xml:space="preserve"> Is Self- </w:t>
      </w:r>
      <w:proofErr w:type="spellStart"/>
      <w:r w:rsidRPr="009975EA">
        <w:rPr>
          <w:rFonts w:ascii="Times New Roman" w:hAnsi="Times New Roman" w:cs="Times New Roman"/>
          <w:sz w:val="20"/>
          <w:szCs w:val="20"/>
        </w:rPr>
        <w:t>Sabotagin</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Campaign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Because</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Never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Wanted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Job</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First </w:t>
      </w:r>
      <w:proofErr w:type="spellStart"/>
      <w:r w:rsidRPr="009975EA">
        <w:rPr>
          <w:rFonts w:ascii="Times New Roman" w:hAnsi="Times New Roman" w:cs="Times New Roman"/>
          <w:sz w:val="20"/>
          <w:szCs w:val="20"/>
        </w:rPr>
        <w:t>Place</w:t>
      </w:r>
      <w:proofErr w:type="spellEnd"/>
      <w:r w:rsidRPr="009975EA">
        <w:rPr>
          <w:rFonts w:ascii="Times New Roman" w:hAnsi="Times New Roman" w:cs="Times New Roman"/>
          <w:sz w:val="20"/>
          <w:szCs w:val="20"/>
        </w:rPr>
        <w:t xml:space="preserve">, </w:t>
      </w:r>
      <w:hyperlink r:id="rId40" w:history="1">
        <w:r w:rsidRPr="00FD379D">
          <w:rPr>
            <w:rStyle w:val="Kpr"/>
            <w:rFonts w:ascii="Times New Roman" w:hAnsi="Times New Roman" w:cs="Times New Roman"/>
            <w:sz w:val="20"/>
            <w:szCs w:val="20"/>
          </w:rPr>
          <w:t>http://www.huffingtonpost.com/michael-moore/trump-self-sabotage_b_11545026.html</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10/10/2016))</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However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affect</w:t>
      </w:r>
      <w:proofErr w:type="spellEnd"/>
      <w:r w:rsidRPr="009975EA">
        <w:rPr>
          <w:rFonts w:ascii="Times New Roman" w:hAnsi="Times New Roman" w:cs="Times New Roman"/>
          <w:sz w:val="20"/>
          <w:szCs w:val="20"/>
        </w:rPr>
        <w:t xml:space="preserve"> of his </w:t>
      </w:r>
      <w:proofErr w:type="spellStart"/>
      <w:r w:rsidRPr="009975EA">
        <w:rPr>
          <w:rFonts w:ascii="Times New Roman" w:hAnsi="Times New Roman" w:cs="Times New Roman"/>
          <w:sz w:val="20"/>
          <w:szCs w:val="20"/>
        </w:rPr>
        <w:t>campaign</w:t>
      </w:r>
      <w:proofErr w:type="spellEnd"/>
      <w:r w:rsidRPr="009975EA">
        <w:rPr>
          <w:rFonts w:ascii="Times New Roman" w:hAnsi="Times New Roman" w:cs="Times New Roman"/>
          <w:sz w:val="20"/>
          <w:szCs w:val="20"/>
        </w:rPr>
        <w:t xml:space="preserve"> on his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unknown</w:t>
      </w:r>
      <w:proofErr w:type="spellEnd"/>
      <w:r w:rsidRPr="009975EA">
        <w:rPr>
          <w:rFonts w:ascii="Times New Roman" w:hAnsi="Times New Roman" w:cs="Times New Roman"/>
          <w:sz w:val="20"/>
          <w:szCs w:val="20"/>
        </w:rPr>
        <w:t xml:space="preserve"> yet.   </w:t>
      </w:r>
    </w:p>
    <w:p w14:paraId="2C802CC3" w14:textId="513FF9E8" w:rsidR="00D36541" w:rsidRPr="009975EA" w:rsidRDefault="00D36541" w:rsidP="009975EA">
      <w:pPr>
        <w:widowControl w:val="0"/>
        <w:autoSpaceDE w:val="0"/>
        <w:autoSpaceDN w:val="0"/>
        <w:adjustRightInd w:val="0"/>
        <w:jc w:val="both"/>
        <w:rPr>
          <w:rFonts w:ascii="Times New Roman" w:eastAsia="System Font" w:hAnsi="Times New Roman" w:cs="Times New Roman"/>
          <w:color w:val="000000"/>
          <w:sz w:val="20"/>
          <w:szCs w:val="20"/>
        </w:rPr>
      </w:pPr>
      <w:r w:rsidRPr="009975EA">
        <w:rPr>
          <w:rFonts w:ascii="Times New Roman" w:hAnsi="Times New Roman" w:cs="Times New Roman"/>
          <w:sz w:val="20"/>
          <w:szCs w:val="20"/>
        </w:rPr>
        <w:t xml:space="preserve">A </w:t>
      </w:r>
      <w:proofErr w:type="spellStart"/>
      <w:r w:rsidRPr="009975EA">
        <w:rPr>
          <w:rFonts w:ascii="Times New Roman" w:hAnsi="Times New Roman" w:cs="Times New Roman"/>
          <w:sz w:val="20"/>
          <w:szCs w:val="20"/>
        </w:rPr>
        <w:t>presidential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candidate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like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Trump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effect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well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being</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he is a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unconventional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ways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Trump</w:t>
      </w:r>
      <w:proofErr w:type="spellEnd"/>
      <w:r w:rsidRPr="009975EA">
        <w:rPr>
          <w:rFonts w:ascii="Times New Roman" w:hAnsi="Times New Roman" w:cs="Times New Roman"/>
          <w:sz w:val="20"/>
          <w:szCs w:val="20"/>
        </w:rPr>
        <w:t xml:space="preserve"> has </w:t>
      </w:r>
      <w:proofErr w:type="spellStart"/>
      <w:r w:rsidRPr="009975EA">
        <w:rPr>
          <w:rFonts w:ascii="Times New Roman" w:hAnsi="Times New Roman" w:cs="Times New Roman"/>
          <w:sz w:val="20"/>
          <w:szCs w:val="20"/>
        </w:rPr>
        <w:t>made</w:t>
      </w:r>
      <w:proofErr w:type="spellEnd"/>
      <w:r w:rsidRPr="009975EA">
        <w:rPr>
          <w:rFonts w:ascii="Times New Roman" w:hAnsi="Times New Roman" w:cs="Times New Roman"/>
          <w:sz w:val="20"/>
          <w:szCs w:val="20"/>
        </w:rPr>
        <w:t xml:space="preserve"> it </w:t>
      </w:r>
      <w:proofErr w:type="spellStart"/>
      <w:r w:rsidRPr="009975EA">
        <w:rPr>
          <w:rFonts w:ascii="Times New Roman" w:hAnsi="Times New Roman" w:cs="Times New Roman"/>
          <w:sz w:val="20"/>
          <w:szCs w:val="20"/>
        </w:rPr>
        <w:t>clear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he is a fan of </w:t>
      </w:r>
      <w:proofErr w:type="spellStart"/>
      <w:r w:rsidRPr="009975EA">
        <w:rPr>
          <w:rFonts w:ascii="Times New Roman" w:hAnsi="Times New Roman" w:cs="Times New Roman"/>
          <w:sz w:val="20"/>
          <w:szCs w:val="20"/>
        </w:rPr>
        <w:t>private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prisons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immigration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policy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signaled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might</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even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greater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numbers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immigrant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lock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ups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thus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after</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got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elected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stock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prices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private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prison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skyrocketed</w:t>
      </w:r>
      <w:proofErr w:type="spellEnd"/>
      <w:r w:rsidRPr="009975EA">
        <w:rPr>
          <w:rFonts w:ascii="Times New Roman" w:hAnsi="Times New Roman" w:cs="Times New Roman"/>
          <w:sz w:val="20"/>
          <w:szCs w:val="20"/>
        </w:rPr>
        <w:t xml:space="preserve"> (</w:t>
      </w:r>
      <w:hyperlink r:id="rId41" w:history="1">
        <w:r w:rsidRPr="00FD379D">
          <w:rPr>
            <w:rStyle w:val="Kpr"/>
            <w:rFonts w:ascii="Times New Roman" w:eastAsia="System Font" w:hAnsi="Times New Roman" w:cs="Times New Roman"/>
            <w:sz w:val="20"/>
            <w:szCs w:val="20"/>
          </w:rPr>
          <w:t>http://www.aljazeera.com/indepth/opinion/2016/11/stop-private-prisons-161126142726748.html</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10/10/2016))</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makes</w:t>
      </w:r>
      <w:proofErr w:type="spellEnd"/>
      <w:r w:rsidRPr="009975EA">
        <w:rPr>
          <w:rFonts w:ascii="Times New Roman" w:hAnsi="Times New Roman" w:cs="Times New Roman"/>
          <w:sz w:val="20"/>
          <w:szCs w:val="20"/>
        </w:rPr>
        <w:t xml:space="preserve"> it </w:t>
      </w:r>
      <w:proofErr w:type="spellStart"/>
      <w:r w:rsidRPr="009975EA">
        <w:rPr>
          <w:rFonts w:ascii="Times New Roman" w:hAnsi="Times New Roman" w:cs="Times New Roman"/>
          <w:sz w:val="20"/>
          <w:szCs w:val="20"/>
        </w:rPr>
        <w:t>possible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imagine</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businessman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speaks</w:t>
      </w:r>
      <w:proofErr w:type="spellEnd"/>
      <w:r w:rsidRPr="009975EA">
        <w:rPr>
          <w:rFonts w:ascii="Times New Roman" w:hAnsi="Times New Roman" w:cs="Times New Roman"/>
          <w:sz w:val="20"/>
          <w:szCs w:val="20"/>
        </w:rPr>
        <w:t xml:space="preserve"> on an </w:t>
      </w:r>
      <w:proofErr w:type="spellStart"/>
      <w:r w:rsidRPr="009975EA">
        <w:rPr>
          <w:rFonts w:ascii="Times New Roman" w:hAnsi="Times New Roman" w:cs="Times New Roman"/>
          <w:sz w:val="20"/>
          <w:szCs w:val="20"/>
        </w:rPr>
        <w:t>issue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improve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competitor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holds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during</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election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campaign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increase</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political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power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value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he is holding </w:t>
      </w:r>
      <w:proofErr w:type="spellStart"/>
      <w:r w:rsidRPr="009975EA">
        <w:rPr>
          <w:rFonts w:ascii="Times New Roman" w:hAnsi="Times New Roman" w:cs="Times New Roman"/>
          <w:sz w:val="20"/>
          <w:szCs w:val="20"/>
        </w:rPr>
        <w:t>might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decrease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suffer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Trump’s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criticism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Vanity</w:t>
      </w:r>
      <w:proofErr w:type="spellEnd"/>
      <w:r w:rsidRPr="009975EA">
        <w:rPr>
          <w:rFonts w:ascii="Times New Roman" w:hAnsi="Times New Roman" w:cs="Times New Roman"/>
          <w:sz w:val="20"/>
          <w:szCs w:val="20"/>
        </w:rPr>
        <w:t xml:space="preserve"> Fair magazine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mocking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really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numbers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caused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magazine </w:t>
      </w:r>
      <w:proofErr w:type="spellStart"/>
      <w:r w:rsidRPr="009975EA">
        <w:rPr>
          <w:rFonts w:ascii="Times New Roman" w:hAnsi="Times New Roman" w:cs="Times New Roman"/>
          <w:sz w:val="20"/>
          <w:szCs w:val="20"/>
        </w:rPr>
        <w:t>notch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highest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number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subscritptions</w:t>
      </w:r>
      <w:proofErr w:type="spellEnd"/>
      <w:r w:rsidRPr="009975EA">
        <w:rPr>
          <w:rFonts w:ascii="Times New Roman" w:hAnsi="Times New Roman" w:cs="Times New Roman"/>
          <w:sz w:val="20"/>
          <w:szCs w:val="20"/>
        </w:rPr>
        <w:t xml:space="preserve"> ever </w:t>
      </w:r>
      <w:proofErr w:type="spellStart"/>
      <w:r w:rsidRPr="009975EA">
        <w:rPr>
          <w:rFonts w:ascii="Times New Roman" w:hAnsi="Times New Roman" w:cs="Times New Roman"/>
          <w:sz w:val="20"/>
          <w:szCs w:val="20"/>
        </w:rPr>
        <w:t>sold</w:t>
      </w:r>
      <w:proofErr w:type="spellEnd"/>
      <w:r w:rsidRPr="009975EA">
        <w:rPr>
          <w:rFonts w:ascii="Times New Roman" w:hAnsi="Times New Roman" w:cs="Times New Roman"/>
          <w:sz w:val="20"/>
          <w:szCs w:val="20"/>
        </w:rPr>
        <w:t xml:space="preserve"> in a </w:t>
      </w:r>
      <w:proofErr w:type="spellStart"/>
      <w:r w:rsidRPr="009975EA">
        <w:rPr>
          <w:rFonts w:ascii="Times New Roman" w:hAnsi="Times New Roman" w:cs="Times New Roman"/>
          <w:sz w:val="20"/>
          <w:szCs w:val="20"/>
        </w:rPr>
        <w:t>single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day</w:t>
      </w:r>
      <w:proofErr w:type="spellEnd"/>
      <w:r w:rsidRPr="009975EA">
        <w:rPr>
          <w:rFonts w:ascii="Times New Roman" w:hAnsi="Times New Roman" w:cs="Times New Roman"/>
          <w:sz w:val="20"/>
          <w:szCs w:val="20"/>
        </w:rPr>
        <w:t xml:space="preserve"> (</w:t>
      </w:r>
      <w:hyperlink r:id="rId42" w:history="1">
        <w:r w:rsidRPr="00FD379D">
          <w:rPr>
            <w:rStyle w:val="Kpr"/>
            <w:rFonts w:ascii="Times New Roman" w:hAnsi="Times New Roman" w:cs="Times New Roman"/>
            <w:sz w:val="20"/>
            <w:szCs w:val="20"/>
          </w:rPr>
          <w:t>http://www.independent.co.uk/news/world/americas/vanity-fair-subscriptions-100-fold-donald-trump-tweet-restaurant-review-a7481201.html</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10/10/2016))</w:t>
      </w:r>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similar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negative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effect</w:t>
      </w:r>
      <w:proofErr w:type="spellEnd"/>
      <w:r w:rsidRPr="009975EA">
        <w:rPr>
          <w:rFonts w:ascii="Times New Roman" w:hAnsi="Times New Roman" w:cs="Times New Roman"/>
          <w:sz w:val="20"/>
          <w:szCs w:val="20"/>
        </w:rPr>
        <w:t xml:space="preserve"> can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take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place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if</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same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person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wants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increase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taxes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certain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just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like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Trump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does</w:t>
      </w:r>
      <w:proofErr w:type="spellEnd"/>
      <w:r w:rsidRPr="009975EA">
        <w:rPr>
          <w:rFonts w:ascii="Times New Roman" w:hAnsi="Times New Roman" w:cs="Times New Roman"/>
          <w:sz w:val="20"/>
          <w:szCs w:val="20"/>
        </w:rPr>
        <w:t xml:space="preserve"> (</w:t>
      </w:r>
      <w:hyperlink r:id="rId43" w:history="1">
        <w:r w:rsidRPr="00FD379D">
          <w:rPr>
            <w:rStyle w:val="Kpr"/>
            <w:rFonts w:ascii="Times New Roman" w:hAnsi="Times New Roman" w:cs="Times New Roman"/>
            <w:sz w:val="20"/>
            <w:szCs w:val="20"/>
          </w:rPr>
          <w:t>http://www.reuters.com/article/us-usa-trump-rexnord-idUSKBN13S0PU</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10/10/2016))</w:t>
      </w:r>
      <w:r w:rsidRPr="009975EA">
        <w:rPr>
          <w:rFonts w:ascii="Times New Roman" w:hAnsi="Times New Roman" w:cs="Times New Roman"/>
          <w:sz w:val="20"/>
          <w:szCs w:val="20"/>
        </w:rPr>
        <w:t xml:space="preserve">.  </w:t>
      </w:r>
    </w:p>
  </w:footnote>
  <w:footnote w:id="77">
    <w:p w14:paraId="2EAA9ACD" w14:textId="11B68DF3" w:rsidR="00444A86" w:rsidRPr="0047452F" w:rsidRDefault="00444A86"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00552917" w:rsidRPr="0047452F">
        <w:rPr>
          <w:rFonts w:ascii="Times New Roman" w:hAnsi="Times New Roman" w:cs="Times New Roman"/>
          <w:sz w:val="20"/>
          <w:szCs w:val="20"/>
        </w:rPr>
        <w:t xml:space="preserve">Similarly, in cases where the board of directors uses a shareholder’s reputation for the benefit of the corporation but causes a damage to that shareholder, </w:t>
      </w:r>
      <w:r w:rsidR="00A9057B">
        <w:rPr>
          <w:rFonts w:ascii="Times New Roman" w:hAnsi="Times New Roman" w:cs="Times New Roman"/>
          <w:sz w:val="20"/>
          <w:szCs w:val="20"/>
        </w:rPr>
        <w:t xml:space="preserve">the </w:t>
      </w:r>
      <w:r w:rsidR="00552917" w:rsidRPr="0047452F">
        <w:rPr>
          <w:rFonts w:ascii="Times New Roman" w:hAnsi="Times New Roman" w:cs="Times New Roman"/>
          <w:sz w:val="20"/>
          <w:szCs w:val="20"/>
        </w:rPr>
        <w:t xml:space="preserve">aggrieved shareholder has the right to request compensation of his non- pecuniary damages from the directors, see, </w:t>
      </w:r>
      <w:r w:rsidRPr="0047452F">
        <w:rPr>
          <w:rFonts w:ascii="Times New Roman" w:hAnsi="Times New Roman" w:cs="Times New Roman"/>
          <w:sz w:val="20"/>
          <w:szCs w:val="20"/>
          <w:lang w:val="tr-TR"/>
        </w:rPr>
        <w:t xml:space="preserve">Murat Can Pehlivanoğlu, </w:t>
      </w:r>
      <w:r w:rsidR="00552917" w:rsidRPr="0047452F">
        <w:rPr>
          <w:rFonts w:ascii="Times New Roman" w:hAnsi="Times New Roman" w:cs="Times New Roman"/>
          <w:i/>
          <w:iCs/>
          <w:sz w:val="20"/>
          <w:szCs w:val="20"/>
          <w:lang w:val="tr-TR"/>
        </w:rPr>
        <w:t>Pay Sahiplerinin Manevi Tazminat Hakkı ve Yönetim Kurulu Üyelerinin Sorumluluğu</w:t>
      </w:r>
      <w:r w:rsidR="00552917" w:rsidRPr="0047452F">
        <w:rPr>
          <w:rFonts w:ascii="Times New Roman" w:hAnsi="Times New Roman" w:cs="Times New Roman"/>
          <w:sz w:val="20"/>
          <w:szCs w:val="20"/>
          <w:lang w:val="tr-TR"/>
        </w:rPr>
        <w:t>, 38 BATİDER 199 (2022), at 222</w:t>
      </w:r>
      <w:r w:rsidR="003C2766">
        <w:rPr>
          <w:rFonts w:ascii="Times New Roman" w:hAnsi="Times New Roman" w:cs="Times New Roman"/>
          <w:sz w:val="20"/>
          <w:szCs w:val="20"/>
          <w:lang w:val="tr-TR"/>
        </w:rPr>
        <w:t xml:space="preserve"> (Pehlivanoğlu, 2022)</w:t>
      </w:r>
      <w:r w:rsidR="00552917" w:rsidRPr="0047452F">
        <w:rPr>
          <w:rFonts w:ascii="Times New Roman" w:hAnsi="Times New Roman" w:cs="Times New Roman"/>
          <w:sz w:val="20"/>
          <w:szCs w:val="20"/>
          <w:lang w:val="tr-TR"/>
        </w:rPr>
        <w:t>.</w:t>
      </w:r>
    </w:p>
  </w:footnote>
  <w:footnote w:id="78">
    <w:p w14:paraId="0B19C749" w14:textId="196856B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Non- pecuniary private benefits </w:t>
      </w:r>
      <w:proofErr w:type="gramStart"/>
      <w:r w:rsidRPr="009975EA">
        <w:rPr>
          <w:rFonts w:ascii="Times New Roman" w:hAnsi="Times New Roman" w:cs="Times New Roman"/>
          <w:sz w:val="20"/>
          <w:szCs w:val="20"/>
        </w:rPr>
        <w:t>is</w:t>
      </w:r>
      <w:proofErr w:type="gramEnd"/>
      <w:r w:rsidRPr="009975EA">
        <w:rPr>
          <w:rFonts w:ascii="Times New Roman" w:hAnsi="Times New Roman" w:cs="Times New Roman"/>
          <w:sz w:val="20"/>
          <w:szCs w:val="20"/>
        </w:rPr>
        <w:t xml:space="preserve"> not only available for shareholders: “…the prospect of participating in the growth and the increased value of the business, and the challenge, the independence, the prestige, the feeling of achievement, and the other intangible benefits of being part of the management…” (Ingle v. </w:t>
      </w:r>
      <w:proofErr w:type="spellStart"/>
      <w:r w:rsidRPr="009975EA">
        <w:rPr>
          <w:rFonts w:ascii="Times New Roman" w:hAnsi="Times New Roman" w:cs="Times New Roman"/>
          <w:sz w:val="20"/>
          <w:szCs w:val="20"/>
        </w:rPr>
        <w:t>Glamore</w:t>
      </w:r>
      <w:proofErr w:type="spellEnd"/>
      <w:r w:rsidRPr="009975EA">
        <w:rPr>
          <w:rFonts w:ascii="Times New Roman" w:hAnsi="Times New Roman" w:cs="Times New Roman"/>
          <w:sz w:val="20"/>
          <w:szCs w:val="20"/>
        </w:rPr>
        <w:t xml:space="preserve"> Motor Sales, Inc., 73 N.Y.2d 183 (1989) (Hancock, J., dissenting)).</w:t>
      </w:r>
    </w:p>
  </w:footnote>
  <w:footnote w:id="79">
    <w:p w14:paraId="1271C0FB" w14:textId="43A2F3C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According to Constitutional Court of Republic of Turkey, legal status of some corporations differs from other corporations due to their capacity, arising from their level of capital, to affect social and economic texture of the society widely (Registration No: 2010/10 Judgment No: 2011/110 Date: 06/30/2011).</w:t>
      </w:r>
    </w:p>
  </w:footnote>
  <w:footnote w:id="80">
    <w:p w14:paraId="50FC4CDF" w14:textId="77777777" w:rsidR="002F242A" w:rsidRPr="009975EA" w:rsidRDefault="002F242A" w:rsidP="002F242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John </w:t>
      </w:r>
      <w:proofErr w:type="spellStart"/>
      <w:r>
        <w:rPr>
          <w:rFonts w:ascii="Times New Roman" w:hAnsi="Times New Roman" w:cs="Times New Roman"/>
          <w:sz w:val="20"/>
          <w:szCs w:val="20"/>
        </w:rPr>
        <w:t>Armour</w:t>
      </w:r>
      <w:proofErr w:type="spellEnd"/>
      <w:r>
        <w:rPr>
          <w:rFonts w:ascii="Times New Roman" w:hAnsi="Times New Roman" w:cs="Times New Roman"/>
          <w:sz w:val="20"/>
          <w:szCs w:val="20"/>
        </w:rPr>
        <w:t xml:space="preserve">, Henry </w:t>
      </w:r>
      <w:proofErr w:type="spellStart"/>
      <w:r>
        <w:rPr>
          <w:rFonts w:ascii="Times New Roman" w:hAnsi="Times New Roman" w:cs="Times New Roman"/>
          <w:sz w:val="20"/>
          <w:szCs w:val="20"/>
        </w:rPr>
        <w:t>Hansmann</w:t>
      </w:r>
      <w:proofErr w:type="spellEnd"/>
      <w:r>
        <w:rPr>
          <w:rFonts w:ascii="Times New Roman" w:hAnsi="Times New Roman" w:cs="Times New Roman"/>
          <w:sz w:val="20"/>
          <w:szCs w:val="20"/>
        </w:rPr>
        <w:t xml:space="preserve">, </w:t>
      </w:r>
      <w:r w:rsidRPr="009975EA">
        <w:rPr>
          <w:rFonts w:ascii="Times New Roman" w:hAnsi="Times New Roman" w:cs="Times New Roman"/>
          <w:sz w:val="20"/>
          <w:szCs w:val="20"/>
        </w:rPr>
        <w:t xml:space="preserve">Reiner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xml:space="preserve">, </w:t>
      </w:r>
      <w:r w:rsidRPr="00296147">
        <w:rPr>
          <w:rFonts w:ascii="Times New Roman" w:hAnsi="Times New Roman" w:cs="Times New Roman"/>
          <w:i/>
          <w:sz w:val="20"/>
          <w:szCs w:val="20"/>
        </w:rPr>
        <w:t xml:space="preserve">The Essential Elements of Corporate Law: What is Corporate </w:t>
      </w:r>
      <w:proofErr w:type="gramStart"/>
      <w:r w:rsidRPr="00296147">
        <w:rPr>
          <w:rFonts w:ascii="Times New Roman" w:hAnsi="Times New Roman" w:cs="Times New Roman"/>
          <w:i/>
          <w:sz w:val="20"/>
          <w:szCs w:val="20"/>
        </w:rPr>
        <w:t>Law?</w:t>
      </w:r>
      <w:r w:rsidRPr="009975EA">
        <w:rPr>
          <w:rFonts w:ascii="Times New Roman" w:hAnsi="Times New Roman" w:cs="Times New Roman"/>
          <w:sz w:val="20"/>
          <w:szCs w:val="20"/>
        </w:rPr>
        <w:t>,</w:t>
      </w:r>
      <w:proofErr w:type="gramEnd"/>
      <w:r w:rsidRPr="009975EA">
        <w:rPr>
          <w:rFonts w:ascii="Times New Roman" w:hAnsi="Times New Roman" w:cs="Times New Roman"/>
          <w:sz w:val="20"/>
          <w:szCs w:val="20"/>
        </w:rPr>
        <w:t xml:space="preserve"> The Harvard John M. Olin Discussion Paper Series, Di</w:t>
      </w:r>
      <w:r>
        <w:rPr>
          <w:rFonts w:ascii="Times New Roman" w:hAnsi="Times New Roman" w:cs="Times New Roman"/>
          <w:sz w:val="20"/>
          <w:szCs w:val="20"/>
        </w:rPr>
        <w:t xml:space="preserve">scussion Paper No. 643 7/2009 at </w:t>
      </w:r>
      <w:r w:rsidRPr="009975EA">
        <w:rPr>
          <w:rFonts w:ascii="Times New Roman" w:hAnsi="Times New Roman" w:cs="Times New Roman"/>
          <w:sz w:val="20"/>
          <w:szCs w:val="20"/>
        </w:rPr>
        <w:t>26.</w:t>
      </w:r>
    </w:p>
  </w:footnote>
  <w:footnote w:id="81">
    <w:p w14:paraId="57D45A13" w14:textId="4764376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Loh</w:t>
      </w:r>
      <w:proofErr w:type="spellEnd"/>
      <w:r>
        <w:rPr>
          <w:rFonts w:ascii="Times New Roman" w:hAnsi="Times New Roman" w:cs="Times New Roman"/>
          <w:sz w:val="20"/>
          <w:szCs w:val="20"/>
        </w:rPr>
        <w:t xml:space="preserve"> Siew </w:t>
      </w:r>
      <w:proofErr w:type="spellStart"/>
      <w:r>
        <w:rPr>
          <w:rFonts w:ascii="Times New Roman" w:hAnsi="Times New Roman" w:cs="Times New Roman"/>
          <w:sz w:val="20"/>
          <w:szCs w:val="20"/>
        </w:rPr>
        <w:t>Cheang</w:t>
      </w:r>
      <w:proofErr w:type="spellEnd"/>
      <w:r>
        <w:rPr>
          <w:rFonts w:ascii="Times New Roman" w:hAnsi="Times New Roman" w:cs="Times New Roman"/>
          <w:sz w:val="20"/>
          <w:szCs w:val="20"/>
        </w:rPr>
        <w:t xml:space="preserve">, </w:t>
      </w:r>
      <w:r w:rsidRPr="009975EA">
        <w:rPr>
          <w:rFonts w:ascii="Times New Roman" w:hAnsi="Times New Roman" w:cs="Times New Roman"/>
          <w:sz w:val="20"/>
          <w:szCs w:val="20"/>
        </w:rPr>
        <w:t xml:space="preserve">William M.F. Wong, </w:t>
      </w:r>
      <w:r w:rsidRPr="00BF000E">
        <w:rPr>
          <w:rFonts w:ascii="Times New Roman" w:hAnsi="Times New Roman" w:cs="Times New Roman"/>
          <w:i/>
          <w:sz w:val="20"/>
          <w:szCs w:val="20"/>
        </w:rPr>
        <w:t xml:space="preserve">Company Law </w:t>
      </w:r>
      <w:proofErr w:type="gramStart"/>
      <w:r w:rsidRPr="00BF000E">
        <w:rPr>
          <w:rFonts w:ascii="Times New Roman" w:hAnsi="Times New Roman" w:cs="Times New Roman"/>
          <w:i/>
          <w:sz w:val="20"/>
          <w:szCs w:val="20"/>
        </w:rPr>
        <w:t>Powers</w:t>
      </w:r>
      <w:proofErr w:type="gramEnd"/>
      <w:r w:rsidRPr="00BF000E">
        <w:rPr>
          <w:rFonts w:ascii="Times New Roman" w:hAnsi="Times New Roman" w:cs="Times New Roman"/>
          <w:i/>
          <w:sz w:val="20"/>
          <w:szCs w:val="20"/>
        </w:rPr>
        <w:t xml:space="preserve"> and Accountability</w:t>
      </w:r>
      <w:r>
        <w:rPr>
          <w:rFonts w:ascii="Times New Roman" w:hAnsi="Times New Roman" w:cs="Times New Roman"/>
          <w:i/>
          <w:sz w:val="20"/>
          <w:szCs w:val="20"/>
        </w:rPr>
        <w:t xml:space="preserve"> </w:t>
      </w:r>
      <w:r>
        <w:rPr>
          <w:rFonts w:ascii="Times New Roman" w:hAnsi="Times New Roman" w:cs="Times New Roman"/>
          <w:sz w:val="20"/>
          <w:szCs w:val="20"/>
        </w:rPr>
        <w:t>667 (2003)</w:t>
      </w:r>
      <w:r w:rsidRPr="009975EA">
        <w:rPr>
          <w:rFonts w:ascii="Times New Roman" w:hAnsi="Times New Roman" w:cs="Times New Roman"/>
          <w:sz w:val="20"/>
          <w:szCs w:val="20"/>
        </w:rPr>
        <w:t>.</w:t>
      </w:r>
    </w:p>
  </w:footnote>
  <w:footnote w:id="82">
    <w:p w14:paraId="0B770AF0" w14:textId="35F7F12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Case of OAO </w:t>
      </w:r>
      <w:proofErr w:type="spellStart"/>
      <w:r w:rsidRPr="009975EA">
        <w:rPr>
          <w:rFonts w:ascii="Times New Roman" w:hAnsi="Times New Roman" w:cs="Times New Roman"/>
          <w:sz w:val="20"/>
          <w:szCs w:val="20"/>
        </w:rPr>
        <w:t>Neftyanaya</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Kompaniya</w:t>
      </w:r>
      <w:proofErr w:type="spellEnd"/>
      <w:r w:rsidRPr="009975EA">
        <w:rPr>
          <w:rFonts w:ascii="Times New Roman" w:hAnsi="Times New Roman" w:cs="Times New Roman"/>
          <w:sz w:val="20"/>
          <w:szCs w:val="20"/>
        </w:rPr>
        <w:t xml:space="preserve"> Yukos v. Russia, EHCR Application No. 14902/04 (</w:t>
      </w:r>
      <w:proofErr w:type="spellStart"/>
      <w:r w:rsidRPr="009975EA">
        <w:rPr>
          <w:rFonts w:ascii="Times New Roman" w:hAnsi="Times New Roman" w:cs="Times New Roman"/>
          <w:sz w:val="20"/>
          <w:szCs w:val="20"/>
        </w:rPr>
        <w:t>Bushev</w:t>
      </w:r>
      <w:proofErr w:type="spellEnd"/>
      <w:r w:rsidRPr="009975EA">
        <w:rPr>
          <w:rFonts w:ascii="Times New Roman" w:hAnsi="Times New Roman" w:cs="Times New Roman"/>
          <w:sz w:val="20"/>
          <w:szCs w:val="20"/>
        </w:rPr>
        <w:t>, J. dissenting): “As a general rule, a shareholder accepts a risk of devaluation of the relevant shares on account of mismanagement or other reasons.</w:t>
      </w:r>
      <w:proofErr w:type="gramStart"/>
      <w:r w:rsidRPr="009975EA">
        <w:rPr>
          <w:rFonts w:ascii="Times New Roman" w:hAnsi="Times New Roman" w:cs="Times New Roman"/>
          <w:sz w:val="20"/>
          <w:szCs w:val="20"/>
        </w:rPr>
        <w:t>” ;</w:t>
      </w:r>
      <w:proofErr w:type="gramEnd"/>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Re </w:t>
      </w:r>
      <w:proofErr w:type="spellStart"/>
      <w:r w:rsidRPr="009975EA">
        <w:rPr>
          <w:rFonts w:ascii="Times New Roman" w:hAnsi="Times New Roman" w:cs="Times New Roman"/>
          <w:color w:val="000000"/>
          <w:sz w:val="20"/>
          <w:szCs w:val="20"/>
        </w:rPr>
        <w:t>Elgindata</w:t>
      </w:r>
      <w:proofErr w:type="spellEnd"/>
      <w:r w:rsidRPr="009975EA">
        <w:rPr>
          <w:rFonts w:ascii="Times New Roman" w:hAnsi="Times New Roman" w:cs="Times New Roman"/>
          <w:color w:val="000000"/>
          <w:sz w:val="20"/>
          <w:szCs w:val="20"/>
        </w:rPr>
        <w:t xml:space="preserve"> Ltd [1991] BCLC 959, 994a- 994b, Warner J: “…a shareholder acquires shares in a company knowing that their value will depend in some measure on the competence of the management. He takes the risk that the management may prove not to be of the highest quality.”</w:t>
      </w:r>
    </w:p>
  </w:footnote>
  <w:footnote w:id="83">
    <w:p w14:paraId="3531C156" w14:textId="2688984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This will also be coherent with the Turkish capital market law’s economic and macroprudential approach. </w:t>
      </w:r>
      <w:proofErr w:type="gramStart"/>
      <w:r w:rsidRPr="009975EA">
        <w:rPr>
          <w:rFonts w:ascii="Times New Roman" w:hAnsi="Times New Roman" w:cs="Times New Roman"/>
          <w:sz w:val="20"/>
          <w:szCs w:val="20"/>
        </w:rPr>
        <w:t>”A</w:t>
      </w:r>
      <w:proofErr w:type="gram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microprudential</w:t>
      </w:r>
      <w:proofErr w:type="spellEnd"/>
      <w:r w:rsidRPr="009975EA">
        <w:rPr>
          <w:rFonts w:ascii="Times New Roman" w:hAnsi="Times New Roman" w:cs="Times New Roman"/>
          <w:sz w:val="20"/>
          <w:szCs w:val="20"/>
        </w:rPr>
        <w:t xml:space="preserve"> approach is one in which regulation is partial equilibrium in its conception and aimed at preventing the costly failure of financial institutions. By contrast, a ‘macroprudential’ approach recognizes the importance of general equilibrium </w:t>
      </w:r>
      <w:proofErr w:type="gramStart"/>
      <w:r w:rsidRPr="009975EA">
        <w:rPr>
          <w:rFonts w:ascii="Times New Roman" w:hAnsi="Times New Roman" w:cs="Times New Roman"/>
          <w:sz w:val="20"/>
          <w:szCs w:val="20"/>
        </w:rPr>
        <w:t>effects, and</w:t>
      </w:r>
      <w:proofErr w:type="gramEnd"/>
      <w:r w:rsidRPr="009975EA">
        <w:rPr>
          <w:rFonts w:ascii="Times New Roman" w:hAnsi="Times New Roman" w:cs="Times New Roman"/>
          <w:sz w:val="20"/>
          <w:szCs w:val="20"/>
        </w:rPr>
        <w:t xml:space="preserve"> seeks to safeguard the syst</w:t>
      </w:r>
      <w:r>
        <w:rPr>
          <w:rFonts w:ascii="Times New Roman" w:hAnsi="Times New Roman" w:cs="Times New Roman"/>
          <w:sz w:val="20"/>
          <w:szCs w:val="20"/>
        </w:rPr>
        <w:t xml:space="preserve">em as a whole (Samuel G. Hanson, Anil K. Kashyap, Jeremy C. Stein, </w:t>
      </w:r>
      <w:r w:rsidRPr="00BF000E">
        <w:rPr>
          <w:rFonts w:ascii="Times New Roman" w:hAnsi="Times New Roman" w:cs="Times New Roman"/>
          <w:i/>
          <w:sz w:val="20"/>
          <w:szCs w:val="20"/>
        </w:rPr>
        <w:t>A Macroprudential Approach to Financial Regulation</w:t>
      </w:r>
      <w:r w:rsidRPr="009975EA">
        <w:rPr>
          <w:rFonts w:ascii="Times New Roman" w:hAnsi="Times New Roman" w:cs="Times New Roman"/>
          <w:sz w:val="20"/>
          <w:szCs w:val="20"/>
        </w:rPr>
        <w:t>, Journal of Economic Perspecti</w:t>
      </w:r>
      <w:r>
        <w:rPr>
          <w:rFonts w:ascii="Times New Roman" w:hAnsi="Times New Roman" w:cs="Times New Roman"/>
          <w:sz w:val="20"/>
          <w:szCs w:val="20"/>
        </w:rPr>
        <w:t xml:space="preserve">ves (Vol.25 No.1 Winter 2011), </w:t>
      </w:r>
      <w:r w:rsidR="003C56E3">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 xml:space="preserve">3). In the Official Comment to CML, it is stated that provisions should always take issuer-investor-transaction elements into consideration all together and thus treat publicly traded corporation as an element of the whole </w:t>
      </w:r>
      <w:proofErr w:type="gramStart"/>
      <w:r w:rsidRPr="009975EA">
        <w:rPr>
          <w:rFonts w:ascii="Times New Roman" w:hAnsi="Times New Roman" w:cs="Times New Roman"/>
          <w:sz w:val="20"/>
          <w:szCs w:val="20"/>
        </w:rPr>
        <w:t>market, and</w:t>
      </w:r>
      <w:proofErr w:type="gramEnd"/>
      <w:r w:rsidRPr="009975EA">
        <w:rPr>
          <w:rFonts w:ascii="Times New Roman" w:hAnsi="Times New Roman" w:cs="Times New Roman"/>
          <w:sz w:val="20"/>
          <w:szCs w:val="20"/>
        </w:rPr>
        <w:t xml:space="preserve"> have an economic logic (Official Comment to CML, p.12 and 23).</w:t>
      </w:r>
    </w:p>
  </w:footnote>
  <w:footnote w:id="84">
    <w:p w14:paraId="48148F03" w14:textId="2BCF6E79" w:rsidR="00D36541" w:rsidRPr="009975EA" w:rsidRDefault="00D36541" w:rsidP="009975EA">
      <w:pPr>
        <w:widowControl w:val="0"/>
        <w:tabs>
          <w:tab w:val="left" w:pos="220"/>
          <w:tab w:val="left" w:pos="720"/>
        </w:tabs>
        <w:autoSpaceDE w:val="0"/>
        <w:autoSpaceDN w:val="0"/>
        <w:adjustRightInd w:val="0"/>
        <w:jc w:val="both"/>
        <w:rPr>
          <w:rFonts w:ascii="Times New Roman" w:eastAsia="MS Mincho"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better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can </w:t>
      </w:r>
      <w:proofErr w:type="spellStart"/>
      <w:r w:rsidRPr="009975EA">
        <w:rPr>
          <w:rFonts w:ascii="Times New Roman" w:hAnsi="Times New Roman" w:cs="Times New Roman"/>
          <w:sz w:val="20"/>
          <w:szCs w:val="20"/>
        </w:rPr>
        <w:t>protect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themselves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using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voting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power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hold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management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directors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responsible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markets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rely</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actions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regulators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striking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needed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balance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United </w:t>
      </w:r>
      <w:proofErr w:type="spellStart"/>
      <w:r w:rsidRPr="009975EA">
        <w:rPr>
          <w:rFonts w:ascii="Times New Roman" w:hAnsi="Times New Roman" w:cs="Times New Roman"/>
          <w:sz w:val="20"/>
          <w:szCs w:val="20"/>
        </w:rPr>
        <w:t>States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needs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mindful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it is </w:t>
      </w:r>
      <w:proofErr w:type="spellStart"/>
      <w:r w:rsidRPr="009975EA">
        <w:rPr>
          <w:rFonts w:ascii="Times New Roman" w:hAnsi="Times New Roman" w:cs="Times New Roman"/>
          <w:sz w:val="20"/>
          <w:szCs w:val="20"/>
        </w:rPr>
        <w:t>ultimately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greatest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interest</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efficient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regulation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because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they</w:t>
      </w:r>
      <w:proofErr w:type="spellEnd"/>
      <w:r w:rsidRPr="009975EA">
        <w:rPr>
          <w:rFonts w:ascii="Times New Roman" w:hAnsi="Times New Roman" w:cs="Times New Roman"/>
          <w:sz w:val="20"/>
          <w:szCs w:val="20"/>
        </w:rPr>
        <w:t xml:space="preserve"> pay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reduced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value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cost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such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regulation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exceeds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Committee</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Capital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Markets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Regulation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Interim</w:t>
      </w:r>
      <w:proofErr w:type="spellEnd"/>
      <w:r w:rsidRPr="009975EA">
        <w:rPr>
          <w:rFonts w:ascii="Times New Roman" w:hAnsi="Times New Roman" w:cs="Times New Roman"/>
          <w:sz w:val="20"/>
          <w:szCs w:val="20"/>
        </w:rPr>
        <w:t xml:space="preserve"> Report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Committee</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Capital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Markets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Regulation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Novermber</w:t>
      </w:r>
      <w:proofErr w:type="spellEnd"/>
      <w:r w:rsidRPr="009975EA">
        <w:rPr>
          <w:rFonts w:ascii="Times New Roman" w:hAnsi="Times New Roman" w:cs="Times New Roman"/>
          <w:sz w:val="20"/>
          <w:szCs w:val="20"/>
        </w:rPr>
        <w:t xml:space="preserve"> 30, 2006, </w:t>
      </w:r>
      <w:hyperlink r:id="rId44" w:history="1">
        <w:r w:rsidRPr="009975EA">
          <w:rPr>
            <w:rStyle w:val="Kpr"/>
            <w:rFonts w:ascii="Times New Roman" w:hAnsi="Times New Roman" w:cs="Times New Roman"/>
            <w:sz w:val="20"/>
            <w:szCs w:val="20"/>
          </w:rPr>
          <w:t>http://capmktsreg.org/app/uploads/2014/08/Committees-November-2006-Interim-Report.pdf</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xml:space="preserve">: 10/10/2016) </w:t>
      </w:r>
      <w:r w:rsidR="003C56E3">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xi)</w:t>
      </w:r>
    </w:p>
  </w:footnote>
  <w:footnote w:id="85">
    <w:p w14:paraId="17CD2654"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lang w:val="tr-TR"/>
        </w:rPr>
        <w:t>Nixon</w:t>
      </w:r>
      <w:proofErr w:type="spellEnd"/>
      <w:r w:rsidRPr="009975EA">
        <w:rPr>
          <w:rFonts w:ascii="Times New Roman" w:hAnsi="Times New Roman" w:cs="Times New Roman"/>
          <w:color w:val="000000"/>
          <w:sz w:val="20"/>
          <w:szCs w:val="20"/>
          <w:lang w:val="tr-TR"/>
        </w:rPr>
        <w:t xml:space="preserve"> v. </w:t>
      </w:r>
      <w:proofErr w:type="spellStart"/>
      <w:r w:rsidRPr="009975EA">
        <w:rPr>
          <w:rFonts w:ascii="Times New Roman" w:hAnsi="Times New Roman" w:cs="Times New Roman"/>
          <w:color w:val="000000"/>
          <w:sz w:val="20"/>
          <w:szCs w:val="20"/>
          <w:lang w:val="tr-TR"/>
        </w:rPr>
        <w:t>Blackwell</w:t>
      </w:r>
      <w:proofErr w:type="spellEnd"/>
      <w:r w:rsidRPr="009975EA">
        <w:rPr>
          <w:rFonts w:ascii="Times New Roman" w:hAnsi="Times New Roman" w:cs="Times New Roman"/>
          <w:color w:val="000000"/>
          <w:sz w:val="20"/>
          <w:szCs w:val="20"/>
          <w:lang w:val="tr-TR"/>
        </w:rPr>
        <w:t xml:space="preserve">, 626 A.2d 1366 (1993): </w:t>
      </w:r>
      <w:r w:rsidRPr="009975EA">
        <w:rPr>
          <w:rFonts w:ascii="Times New Roman" w:hAnsi="Times New Roman" w:cs="Times New Roman"/>
          <w:sz w:val="20"/>
          <w:szCs w:val="20"/>
        </w:rPr>
        <w:t>“</w:t>
      </w:r>
      <w:r w:rsidRPr="009975EA">
        <w:rPr>
          <w:rFonts w:ascii="Times New Roman" w:hAnsi="Times New Roman" w:cs="Times New Roman"/>
          <w:color w:val="000000"/>
          <w:sz w:val="20"/>
          <w:szCs w:val="20"/>
          <w:lang w:val="tr-TR"/>
        </w:rPr>
        <w:t xml:space="preserve">A </w:t>
      </w:r>
      <w:proofErr w:type="spellStart"/>
      <w:r w:rsidRPr="009975EA">
        <w:rPr>
          <w:rFonts w:ascii="Times New Roman" w:hAnsi="Times New Roman" w:cs="Times New Roman"/>
          <w:color w:val="000000"/>
          <w:sz w:val="20"/>
          <w:szCs w:val="20"/>
          <w:lang w:val="tr-TR"/>
        </w:rPr>
        <w:t>stockholder</w:t>
      </w:r>
      <w:proofErr w:type="spellEnd"/>
      <w:r w:rsidRPr="009975EA">
        <w:rPr>
          <w:rFonts w:ascii="Times New Roman" w:hAnsi="Times New Roman" w:cs="Times New Roman"/>
          <w:color w:val="000000"/>
          <w:sz w:val="20"/>
          <w:szCs w:val="20"/>
          <w:lang w:val="tr-TR"/>
        </w:rPr>
        <w:t>…</w:t>
      </w:r>
      <w:proofErr w:type="spellStart"/>
      <w:r w:rsidRPr="009975EA">
        <w:rPr>
          <w:rFonts w:ascii="Times New Roman" w:hAnsi="Times New Roman" w:cs="Times New Roman"/>
          <w:color w:val="000000"/>
          <w:sz w:val="20"/>
          <w:szCs w:val="20"/>
          <w:lang w:val="tr-TR"/>
        </w:rPr>
        <w:t>who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pays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those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shares</w:t>
      </w:r>
      <w:proofErr w:type="spellEnd"/>
      <w:r w:rsidRPr="009975EA">
        <w:rPr>
          <w:rFonts w:ascii="Times New Roman" w:hAnsi="Times New Roman" w:cs="Times New Roman"/>
          <w:color w:val="000000"/>
          <w:sz w:val="20"/>
          <w:szCs w:val="20"/>
          <w:lang w:val="tr-TR"/>
        </w:rPr>
        <w:t xml:space="preserve">…can </w:t>
      </w:r>
      <w:proofErr w:type="spellStart"/>
      <w:r w:rsidRPr="009975EA">
        <w:rPr>
          <w:rFonts w:ascii="Times New Roman" w:hAnsi="Times New Roman" w:cs="Times New Roman"/>
          <w:color w:val="000000"/>
          <w:sz w:val="20"/>
          <w:szCs w:val="20"/>
          <w:lang w:val="tr-TR"/>
        </w:rPr>
        <w:t>make</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business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judgment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whether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buy </w:t>
      </w:r>
      <w:proofErr w:type="spellStart"/>
      <w:r w:rsidRPr="009975EA">
        <w:rPr>
          <w:rFonts w:ascii="Times New Roman" w:hAnsi="Times New Roman" w:cs="Times New Roman"/>
          <w:color w:val="000000"/>
          <w:sz w:val="20"/>
          <w:szCs w:val="20"/>
          <w:lang w:val="tr-TR"/>
        </w:rPr>
        <w:t>into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such</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minority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position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if</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so</w:t>
      </w:r>
      <w:proofErr w:type="spellEnd"/>
      <w:r w:rsidRPr="009975EA">
        <w:rPr>
          <w:rFonts w:ascii="Times New Roman" w:hAnsi="Times New Roman" w:cs="Times New Roman"/>
          <w:color w:val="000000"/>
          <w:sz w:val="20"/>
          <w:szCs w:val="20"/>
          <w:lang w:val="tr-TR"/>
        </w:rPr>
        <w:t xml:space="preserve"> on </w:t>
      </w:r>
      <w:proofErr w:type="spellStart"/>
      <w:r w:rsidRPr="009975EA">
        <w:rPr>
          <w:rFonts w:ascii="Times New Roman" w:hAnsi="Times New Roman" w:cs="Times New Roman"/>
          <w:color w:val="000000"/>
          <w:sz w:val="20"/>
          <w:szCs w:val="20"/>
          <w:lang w:val="tr-TR"/>
        </w:rPr>
        <w:t>what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terms</w:t>
      </w:r>
      <w:proofErr w:type="spellEnd"/>
      <w:r w:rsidRPr="009975EA">
        <w:rPr>
          <w:rFonts w:ascii="Times New Roman" w:hAnsi="Times New Roman" w:cs="Times New Roman"/>
          <w:color w:val="000000"/>
          <w:sz w:val="20"/>
          <w:szCs w:val="20"/>
          <w:lang w:val="tr-TR"/>
        </w:rPr>
        <w:t>.”</w:t>
      </w:r>
    </w:p>
  </w:footnote>
  <w:footnote w:id="86">
    <w:p w14:paraId="34441299" w14:textId="35C55F7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Nightingale &amp; Associates, LLC v. Hopkins, F. Supp. 2d (2008) WL 4848765. For example, Alibaba company decided to have its IPO in NYSE rather than HKEX to let the current shareholders keep the control of the company, because HKEX Listing Rules was not permitting the share structure that Alibaba wanted to preserve the current control scheme (Enoch </w:t>
      </w:r>
      <w:proofErr w:type="spellStart"/>
      <w:r w:rsidRPr="009975EA">
        <w:rPr>
          <w:rFonts w:ascii="Times New Roman" w:hAnsi="Times New Roman" w:cs="Times New Roman"/>
          <w:sz w:val="20"/>
          <w:szCs w:val="20"/>
        </w:rPr>
        <w:t>Yiu</w:t>
      </w:r>
      <w:proofErr w:type="spellEnd"/>
      <w:r w:rsidRPr="009975EA">
        <w:rPr>
          <w:rFonts w:ascii="Times New Roman" w:hAnsi="Times New Roman" w:cs="Times New Roman"/>
          <w:sz w:val="20"/>
          <w:szCs w:val="20"/>
        </w:rPr>
        <w:t xml:space="preserve">, Outdated fintech regulations hurting Hong Kong, Jack Ma says, SCMP, </w:t>
      </w:r>
      <w:hyperlink r:id="rId45" w:history="1">
        <w:r w:rsidRPr="009975EA">
          <w:rPr>
            <w:rStyle w:val="Kpr"/>
            <w:rFonts w:ascii="Times New Roman" w:hAnsi="Times New Roman" w:cs="Times New Roman"/>
            <w:sz w:val="20"/>
            <w:szCs w:val="20"/>
          </w:rPr>
          <w:t>http://www.scmp.com/business/companies/article/2042400/hong-kong-must-reform-financial-rules-attract-new-economy-ipos</w:t>
        </w:r>
      </w:hyperlink>
      <w:r w:rsidRPr="009975EA">
        <w:rPr>
          <w:rFonts w:ascii="Times New Roman" w:hAnsi="Times New Roman" w:cs="Times New Roman"/>
          <w:sz w:val="20"/>
          <w:szCs w:val="20"/>
        </w:rPr>
        <w:t>, Last visited: 10/10/2016). While this is not related to the choice of law issue regarding oppression, it is an example of how legal market is respecting and providing options for parties’ choices.</w:t>
      </w:r>
    </w:p>
  </w:footnote>
  <w:footnote w:id="87">
    <w:p w14:paraId="66B79E58" w14:textId="6609DB9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 majority of the corporate actions or external undertakings resulting an extraction of private non- pecuniary benefit are not covered by the ambit of the disclosure obligations, because they will be regarded as actions within the ordinary course of business or will not be regarded as material. For example, U.S. federal securities law require publicly traded corporations to report certain material corporate events on a current basis, in addition to the annual and quarterly reports, by using Form 8-K (which was updated in accordance with Sarbanes Oxley Act Sec. 409); however, any action within the ordinary course of business will not easily qualify as an issue that should be disclosed on a current basis according to this form (see: Fast Answers, Form 8-K, SEC, </w:t>
      </w:r>
      <w:hyperlink r:id="rId46" w:history="1">
        <w:r w:rsidRPr="009975EA">
          <w:rPr>
            <w:rStyle w:val="Kpr"/>
            <w:rFonts w:ascii="Times New Roman" w:hAnsi="Times New Roman" w:cs="Times New Roman"/>
            <w:sz w:val="20"/>
            <w:szCs w:val="20"/>
          </w:rPr>
          <w:t>https://www.sec.gov/answers/form8k.htm)</w:t>
        </w:r>
      </w:hyperlink>
      <w:r w:rsidRPr="009975EA">
        <w:rPr>
          <w:rFonts w:ascii="Times New Roman" w:hAnsi="Times New Roman" w:cs="Times New Roman"/>
          <w:sz w:val="20"/>
          <w:szCs w:val="20"/>
        </w:rPr>
        <w:t xml:space="preserve">. Similarly, Turkish capital markets law also requires publicly traded corporations to report certain material events on a current basis, and again, actions within the ordinary course of business will not easily </w:t>
      </w:r>
      <w:proofErr w:type="spellStart"/>
      <w:r w:rsidRPr="009975EA">
        <w:rPr>
          <w:rFonts w:ascii="Times New Roman" w:hAnsi="Times New Roman" w:cs="Times New Roman"/>
          <w:sz w:val="20"/>
          <w:szCs w:val="20"/>
        </w:rPr>
        <w:t>quliafy</w:t>
      </w:r>
      <w:proofErr w:type="spellEnd"/>
      <w:r w:rsidRPr="009975EA">
        <w:rPr>
          <w:rFonts w:ascii="Times New Roman" w:hAnsi="Times New Roman" w:cs="Times New Roman"/>
          <w:sz w:val="20"/>
          <w:szCs w:val="20"/>
        </w:rPr>
        <w:t xml:space="preserve"> as an issue that should be disclosed (see, II- 15.1 numbered </w:t>
      </w:r>
      <w:proofErr w:type="spellStart"/>
      <w:r w:rsidRPr="009975EA">
        <w:rPr>
          <w:rFonts w:ascii="Times New Roman" w:hAnsi="Times New Roman" w:cs="Times New Roman"/>
          <w:sz w:val="20"/>
          <w:szCs w:val="20"/>
        </w:rPr>
        <w:t>Comminique</w:t>
      </w:r>
      <w:proofErr w:type="spellEnd"/>
      <w:r w:rsidRPr="009975EA">
        <w:rPr>
          <w:rFonts w:ascii="Times New Roman" w:hAnsi="Times New Roman" w:cs="Times New Roman"/>
          <w:sz w:val="20"/>
          <w:szCs w:val="20"/>
        </w:rPr>
        <w:t xml:space="preserve"> on Material Events Disclosure). In addition to these, some stock exchanges are also requiring, by their listing requirements, timely disclosure of events which might reasonably be </w:t>
      </w:r>
      <w:proofErr w:type="spellStart"/>
      <w:r w:rsidRPr="009975EA">
        <w:rPr>
          <w:rFonts w:ascii="Times New Roman" w:hAnsi="Times New Roman" w:cs="Times New Roman"/>
          <w:sz w:val="20"/>
          <w:szCs w:val="20"/>
        </w:rPr>
        <w:t>expeted</w:t>
      </w:r>
      <w:proofErr w:type="spellEnd"/>
      <w:r w:rsidRPr="009975EA">
        <w:rPr>
          <w:rFonts w:ascii="Times New Roman" w:hAnsi="Times New Roman" w:cs="Times New Roman"/>
          <w:sz w:val="20"/>
          <w:szCs w:val="20"/>
        </w:rPr>
        <w:t xml:space="preserve"> to materially affect the market for the securities (see, New York Stock Exchange Listed Company Manuel Sec. 202.05).</w:t>
      </w:r>
    </w:p>
  </w:footnote>
  <w:footnote w:id="88">
    <w:p w14:paraId="4BACDEBD" w14:textId="7928CA4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While speaking on corporate political activity, Kwak notes the following: “But required disclosure is neither a panacea nor the sole possible remedy to the problems presented by corporate political activity…although disclosure alone would potentially curb some questionable corporate political </w:t>
      </w:r>
      <w:proofErr w:type="spellStart"/>
      <w:r w:rsidRPr="009975EA">
        <w:rPr>
          <w:rFonts w:ascii="Times New Roman" w:hAnsi="Times New Roman" w:cs="Times New Roman"/>
          <w:sz w:val="20"/>
          <w:szCs w:val="20"/>
        </w:rPr>
        <w:t>activites</w:t>
      </w:r>
      <w:proofErr w:type="spellEnd"/>
      <w:r w:rsidRPr="009975EA">
        <w:rPr>
          <w:rFonts w:ascii="Times New Roman" w:hAnsi="Times New Roman" w:cs="Times New Roman"/>
          <w:sz w:val="20"/>
          <w:szCs w:val="20"/>
        </w:rPr>
        <w:t xml:space="preserve"> at the margin, it would not on its own give shareholders the power to do anything about spending that they opposed for either </w:t>
      </w:r>
      <w:proofErr w:type="spellStart"/>
      <w:r w:rsidRPr="009975EA">
        <w:rPr>
          <w:rFonts w:ascii="Times New Roman" w:hAnsi="Times New Roman" w:cs="Times New Roman"/>
          <w:sz w:val="20"/>
          <w:szCs w:val="20"/>
        </w:rPr>
        <w:t>poitical</w:t>
      </w:r>
      <w:proofErr w:type="spellEnd"/>
      <w:r w:rsidRPr="009975EA">
        <w:rPr>
          <w:rFonts w:ascii="Times New Roman" w:hAnsi="Times New Roman" w:cs="Times New Roman"/>
          <w:sz w:val="20"/>
          <w:szCs w:val="20"/>
        </w:rPr>
        <w:t xml:space="preserve"> or shareholder value reasons.” (James Kwak, </w:t>
      </w:r>
      <w:r w:rsidRPr="00BF000E">
        <w:rPr>
          <w:rFonts w:ascii="Times New Roman" w:hAnsi="Times New Roman" w:cs="Times New Roman"/>
          <w:i/>
          <w:sz w:val="20"/>
          <w:szCs w:val="20"/>
        </w:rPr>
        <w:t>Corporate Law Constraints on Political Spending</w:t>
      </w:r>
      <w:r w:rsidRPr="009975EA">
        <w:rPr>
          <w:rFonts w:ascii="Times New Roman" w:hAnsi="Times New Roman" w:cs="Times New Roman"/>
          <w:sz w:val="20"/>
          <w:szCs w:val="20"/>
        </w:rPr>
        <w:t xml:space="preserve">, 18 </w:t>
      </w:r>
      <w:r>
        <w:rPr>
          <w:rFonts w:ascii="Times New Roman" w:hAnsi="Times New Roman" w:cs="Times New Roman"/>
          <w:sz w:val="20"/>
          <w:szCs w:val="20"/>
        </w:rPr>
        <w:t xml:space="preserve">N.C. Banking Inst. 251 (2013), </w:t>
      </w:r>
      <w:r w:rsidR="003C56E3">
        <w:rPr>
          <w:rFonts w:ascii="Times New Roman" w:hAnsi="Times New Roman" w:cs="Times New Roman"/>
          <w:sz w:val="20"/>
          <w:szCs w:val="20"/>
        </w:rPr>
        <w:t>p.</w:t>
      </w:r>
      <w:r w:rsidRPr="009975EA">
        <w:rPr>
          <w:rFonts w:ascii="Times New Roman" w:hAnsi="Times New Roman" w:cs="Times New Roman"/>
          <w:sz w:val="20"/>
          <w:szCs w:val="20"/>
        </w:rPr>
        <w:t xml:space="preserve"> 263)</w:t>
      </w:r>
    </w:p>
  </w:footnote>
  <w:footnote w:id="89">
    <w:p w14:paraId="36D8839A" w14:textId="3784E4C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reality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however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markets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perfect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efficiency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level</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market is a </w:t>
      </w:r>
      <w:proofErr w:type="spellStart"/>
      <w:r w:rsidRPr="009975EA">
        <w:rPr>
          <w:rFonts w:ascii="Times New Roman" w:hAnsi="Times New Roman" w:cs="Times New Roman"/>
          <w:color w:val="000000"/>
          <w:sz w:val="20"/>
          <w:szCs w:val="20"/>
        </w:rPr>
        <w:t>function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economic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legal </w:t>
      </w:r>
      <w:proofErr w:type="spellStart"/>
      <w:r w:rsidRPr="009975EA">
        <w:rPr>
          <w:rFonts w:ascii="Times New Roman" w:hAnsi="Times New Roman" w:cs="Times New Roman"/>
          <w:color w:val="000000"/>
          <w:sz w:val="20"/>
          <w:szCs w:val="20"/>
        </w:rPr>
        <w:t>conditions</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given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jurisdiction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a market is not </w:t>
      </w:r>
      <w:proofErr w:type="spellStart"/>
      <w:r w:rsidRPr="009975EA">
        <w:rPr>
          <w:rFonts w:ascii="Times New Roman" w:hAnsi="Times New Roman" w:cs="Times New Roman"/>
          <w:color w:val="000000"/>
          <w:sz w:val="20"/>
          <w:szCs w:val="20"/>
        </w:rPr>
        <w:t>sufficiently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efficient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accurately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different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securities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nonintervention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fail as an </w:t>
      </w:r>
      <w:proofErr w:type="spellStart"/>
      <w:r w:rsidRPr="009975EA">
        <w:rPr>
          <w:rFonts w:ascii="Times New Roman" w:hAnsi="Times New Roman" w:cs="Times New Roman"/>
          <w:color w:val="000000"/>
          <w:sz w:val="20"/>
          <w:szCs w:val="20"/>
        </w:rPr>
        <w:t>effective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solution</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Goshen</w:t>
      </w:r>
      <w:proofErr w:type="spellEnd"/>
      <w:r w:rsidRPr="009975EA">
        <w:rPr>
          <w:rFonts w:ascii="Times New Roman" w:hAnsi="Times New Roman" w:cs="Times New Roman"/>
          <w:color w:val="000000"/>
          <w:sz w:val="20"/>
          <w:szCs w:val="20"/>
        </w:rPr>
        <w:t>, p. 405)</w:t>
      </w:r>
    </w:p>
  </w:footnote>
  <w:footnote w:id="90">
    <w:p w14:paraId="0F1ABBCD" w14:textId="1A451E6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magical (and logical) wording of the following line hinders the truth that there are prerequisites for a publicity system to work: “…publicity is justly recommended as a remedy for social and industrial diseases. Sunlight is said to be the best of disinfectants; electric light the most efficient policeman.” (Louis D. Brandeis, </w:t>
      </w:r>
      <w:r w:rsidRPr="00BF000E">
        <w:rPr>
          <w:rFonts w:ascii="Times New Roman" w:hAnsi="Times New Roman" w:cs="Times New Roman"/>
          <w:i/>
          <w:sz w:val="20"/>
          <w:szCs w:val="20"/>
        </w:rPr>
        <w:t>“What Publicity Can Do</w:t>
      </w:r>
      <w:r w:rsidRPr="009975EA">
        <w:rPr>
          <w:rFonts w:ascii="Times New Roman" w:hAnsi="Times New Roman" w:cs="Times New Roman"/>
          <w:sz w:val="20"/>
          <w:szCs w:val="20"/>
        </w:rPr>
        <w:t>”, Harper</w:t>
      </w:r>
      <w:r>
        <w:rPr>
          <w:rFonts w:ascii="Times New Roman" w:hAnsi="Times New Roman" w:cs="Times New Roman"/>
          <w:sz w:val="20"/>
          <w:szCs w:val="20"/>
        </w:rPr>
        <w:t xml:space="preserve">’s Weekly, December 20, 1913, </w:t>
      </w:r>
      <w:r w:rsidR="003C56E3">
        <w:rPr>
          <w:rFonts w:ascii="Times New Roman" w:hAnsi="Times New Roman" w:cs="Times New Roman"/>
          <w:sz w:val="20"/>
          <w:szCs w:val="20"/>
        </w:rPr>
        <w:t>p.</w:t>
      </w:r>
      <w:r>
        <w:rPr>
          <w:rFonts w:ascii="Times New Roman" w:hAnsi="Times New Roman" w:cs="Times New Roman"/>
          <w:sz w:val="20"/>
          <w:szCs w:val="20"/>
        </w:rPr>
        <w:t xml:space="preserve"> 10</w:t>
      </w:r>
      <w:r w:rsidRPr="009975EA">
        <w:rPr>
          <w:rFonts w:ascii="Times New Roman" w:hAnsi="Times New Roman" w:cs="Times New Roman"/>
          <w:sz w:val="20"/>
          <w:szCs w:val="20"/>
        </w:rPr>
        <w:t>)</w:t>
      </w:r>
    </w:p>
  </w:footnote>
  <w:footnote w:id="91">
    <w:p w14:paraId="1CE57527"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Gilson/Milhaupt, p. 1363 and 1368.</w:t>
      </w:r>
    </w:p>
  </w:footnote>
  <w:footnote w:id="92">
    <w:p w14:paraId="61057A42" w14:textId="79A062B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“Wall Street Rule” or “Wall Street Walk” is “the process by which shareholders indicate their disagreement with management decisions by selling their stock” (Eric A. Welter, </w:t>
      </w:r>
      <w:r w:rsidRPr="00BF000E">
        <w:rPr>
          <w:rFonts w:ascii="Times New Roman" w:hAnsi="Times New Roman" w:cs="Times New Roman"/>
          <w:i/>
          <w:sz w:val="20"/>
          <w:szCs w:val="20"/>
        </w:rPr>
        <w:t>The Shareholder Proposal Rule: A Change to Certainty</w:t>
      </w:r>
      <w:r>
        <w:rPr>
          <w:rFonts w:ascii="Times New Roman" w:hAnsi="Times New Roman" w:cs="Times New Roman"/>
          <w:sz w:val="20"/>
          <w:szCs w:val="20"/>
        </w:rPr>
        <w:t xml:space="preserve">, 60 Geo. Wash. L. Rev. 1980, </w:t>
      </w:r>
      <w:r w:rsidR="003C56E3">
        <w:rPr>
          <w:rFonts w:ascii="Times New Roman" w:hAnsi="Times New Roman" w:cs="Times New Roman"/>
          <w:sz w:val="20"/>
          <w:szCs w:val="20"/>
        </w:rPr>
        <w:t>p.</w:t>
      </w:r>
      <w:r w:rsidRPr="009975EA">
        <w:rPr>
          <w:rFonts w:ascii="Times New Roman" w:hAnsi="Times New Roman" w:cs="Times New Roman"/>
          <w:sz w:val="20"/>
          <w:szCs w:val="20"/>
        </w:rPr>
        <w:t xml:space="preserve"> 1982).</w:t>
      </w:r>
    </w:p>
  </w:footnote>
  <w:footnote w:id="93">
    <w:p w14:paraId="2A302925" w14:textId="77777777" w:rsidR="00D36541" w:rsidRPr="009975EA" w:rsidRDefault="00D36541" w:rsidP="009975EA">
      <w:pPr>
        <w:widowControl w:val="0"/>
        <w:autoSpaceDE w:val="0"/>
        <w:autoSpaceDN w:val="0"/>
        <w:adjustRightInd w:val="0"/>
        <w:jc w:val="both"/>
        <w:rPr>
          <w:rFonts w:ascii="Times New Roman" w:hAnsi="Times New Roman" w:cs="Times New Roman"/>
          <w:color w:val="262626"/>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262626"/>
          <w:sz w:val="20"/>
          <w:szCs w:val="20"/>
        </w:rPr>
        <w:t xml:space="preserve">As Henry G. </w:t>
      </w:r>
      <w:proofErr w:type="spellStart"/>
      <w:r w:rsidRPr="009975EA">
        <w:rPr>
          <w:rFonts w:ascii="Times New Roman" w:hAnsi="Times New Roman" w:cs="Times New Roman"/>
          <w:color w:val="262626"/>
          <w:sz w:val="20"/>
          <w:szCs w:val="20"/>
        </w:rPr>
        <w:t>Manne</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have</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said</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shareholders</w:t>
      </w:r>
      <w:proofErr w:type="spellEnd"/>
      <w:r w:rsidRPr="009975EA">
        <w:rPr>
          <w:rFonts w:ascii="Times New Roman" w:hAnsi="Times New Roman" w:cs="Times New Roman"/>
          <w:color w:val="262626"/>
          <w:sz w:val="20"/>
          <w:szCs w:val="20"/>
        </w:rPr>
        <w:t xml:space="preserve"> of a </w:t>
      </w:r>
      <w:proofErr w:type="spellStart"/>
      <w:r w:rsidRPr="009975EA">
        <w:rPr>
          <w:rFonts w:ascii="Times New Roman" w:hAnsi="Times New Roman" w:cs="Times New Roman"/>
          <w:color w:val="262626"/>
          <w:sz w:val="20"/>
          <w:szCs w:val="20"/>
        </w:rPr>
        <w:t>corporation</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have</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entered</w:t>
      </w:r>
      <w:proofErr w:type="spellEnd"/>
      <w:r w:rsidRPr="009975EA">
        <w:rPr>
          <w:rFonts w:ascii="Times New Roman" w:hAnsi="Times New Roman" w:cs="Times New Roman"/>
          <w:color w:val="262626"/>
          <w:sz w:val="20"/>
          <w:szCs w:val="20"/>
        </w:rPr>
        <w:t xml:space="preserve"> a </w:t>
      </w:r>
      <w:proofErr w:type="spellStart"/>
      <w:r w:rsidRPr="009975EA">
        <w:rPr>
          <w:rFonts w:ascii="Times New Roman" w:hAnsi="Times New Roman" w:cs="Times New Roman"/>
          <w:color w:val="262626"/>
          <w:sz w:val="20"/>
          <w:szCs w:val="20"/>
        </w:rPr>
        <w:t>perfectly</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well</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understood</w:t>
      </w:r>
      <w:proofErr w:type="spellEnd"/>
      <w:r w:rsidRPr="009975EA">
        <w:rPr>
          <w:rFonts w:ascii="Times New Roman" w:hAnsi="Times New Roman" w:cs="Times New Roman"/>
          <w:color w:val="262626"/>
          <w:sz w:val="20"/>
          <w:szCs w:val="20"/>
        </w:rPr>
        <w:t xml:space="preserve"> risk-</w:t>
      </w:r>
      <w:proofErr w:type="spellStart"/>
      <w:r w:rsidRPr="009975EA">
        <w:rPr>
          <w:rFonts w:ascii="Times New Roman" w:hAnsi="Times New Roman" w:cs="Times New Roman"/>
          <w:color w:val="262626"/>
          <w:sz w:val="20"/>
          <w:szCs w:val="20"/>
        </w:rPr>
        <w:t>assumption</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contract</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and</w:t>
      </w:r>
      <w:proofErr w:type="spellEnd"/>
      <w:r w:rsidRPr="009975EA">
        <w:rPr>
          <w:rFonts w:ascii="Times New Roman" w:hAnsi="Times New Roman" w:cs="Times New Roman"/>
          <w:color w:val="262626"/>
          <w:sz w:val="20"/>
          <w:szCs w:val="20"/>
        </w:rPr>
        <w:t xml:space="preserve"> can </w:t>
      </w:r>
      <w:proofErr w:type="spellStart"/>
      <w:r w:rsidRPr="009975EA">
        <w:rPr>
          <w:rFonts w:ascii="Times New Roman" w:hAnsi="Times New Roman" w:cs="Times New Roman"/>
          <w:color w:val="262626"/>
          <w:sz w:val="20"/>
          <w:szCs w:val="20"/>
        </w:rPr>
        <w:t>exit</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their</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corporate</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citizenship</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for</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the</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cost</w:t>
      </w:r>
      <w:proofErr w:type="spellEnd"/>
      <w:r w:rsidRPr="009975EA">
        <w:rPr>
          <w:rFonts w:ascii="Times New Roman" w:hAnsi="Times New Roman" w:cs="Times New Roman"/>
          <w:color w:val="262626"/>
          <w:sz w:val="20"/>
          <w:szCs w:val="20"/>
        </w:rPr>
        <w:t xml:space="preserve"> of a </w:t>
      </w:r>
      <w:proofErr w:type="spellStart"/>
      <w:r w:rsidRPr="009975EA">
        <w:rPr>
          <w:rFonts w:ascii="Times New Roman" w:hAnsi="Times New Roman" w:cs="Times New Roman"/>
          <w:color w:val="262626"/>
          <w:sz w:val="20"/>
          <w:szCs w:val="20"/>
        </w:rPr>
        <w:t>stock</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broker's</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sales</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commission</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The</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essence</w:t>
      </w:r>
      <w:proofErr w:type="spellEnd"/>
      <w:r w:rsidRPr="009975EA">
        <w:rPr>
          <w:rFonts w:ascii="Times New Roman" w:hAnsi="Times New Roman" w:cs="Times New Roman"/>
          <w:color w:val="262626"/>
          <w:sz w:val="20"/>
          <w:szCs w:val="20"/>
        </w:rPr>
        <w:t xml:space="preserve"> of </w:t>
      </w:r>
      <w:proofErr w:type="spellStart"/>
      <w:r w:rsidRPr="009975EA">
        <w:rPr>
          <w:rFonts w:ascii="Times New Roman" w:hAnsi="Times New Roman" w:cs="Times New Roman"/>
          <w:color w:val="262626"/>
          <w:sz w:val="20"/>
          <w:szCs w:val="20"/>
        </w:rPr>
        <w:t>individual</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shareholder</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participation</w:t>
      </w:r>
      <w:proofErr w:type="spellEnd"/>
      <w:r w:rsidRPr="009975EA">
        <w:rPr>
          <w:rFonts w:ascii="Times New Roman" w:hAnsi="Times New Roman" w:cs="Times New Roman"/>
          <w:color w:val="262626"/>
          <w:sz w:val="20"/>
          <w:szCs w:val="20"/>
        </w:rPr>
        <w:t xml:space="preserve"> is ‘</w:t>
      </w:r>
      <w:proofErr w:type="spellStart"/>
      <w:r w:rsidRPr="009975EA">
        <w:rPr>
          <w:rFonts w:ascii="Times New Roman" w:hAnsi="Times New Roman" w:cs="Times New Roman"/>
          <w:color w:val="262626"/>
          <w:sz w:val="20"/>
          <w:szCs w:val="20"/>
        </w:rPr>
        <w:t>exit</w:t>
      </w:r>
      <w:proofErr w:type="spellEnd"/>
      <w:r w:rsidRPr="009975EA">
        <w:rPr>
          <w:rFonts w:ascii="Times New Roman" w:hAnsi="Times New Roman" w:cs="Times New Roman"/>
          <w:color w:val="262626"/>
          <w:sz w:val="20"/>
          <w:szCs w:val="20"/>
        </w:rPr>
        <w:t>,’ not ‘</w:t>
      </w:r>
      <w:proofErr w:type="spellStart"/>
      <w:r w:rsidRPr="009975EA">
        <w:rPr>
          <w:rFonts w:ascii="Times New Roman" w:hAnsi="Times New Roman" w:cs="Times New Roman"/>
          <w:color w:val="262626"/>
          <w:sz w:val="20"/>
          <w:szCs w:val="20"/>
        </w:rPr>
        <w:t>voice</w:t>
      </w:r>
      <w:proofErr w:type="spellEnd"/>
      <w:r w:rsidRPr="009975EA">
        <w:rPr>
          <w:rFonts w:ascii="Times New Roman" w:hAnsi="Times New Roman" w:cs="Times New Roman"/>
          <w:color w:val="262626"/>
          <w:sz w:val="20"/>
          <w:szCs w:val="20"/>
        </w:rPr>
        <w:t>.</w:t>
      </w:r>
      <w:proofErr w:type="gramStart"/>
      <w:r w:rsidRPr="009975EA">
        <w:rPr>
          <w:rFonts w:ascii="Times New Roman" w:hAnsi="Times New Roman" w:cs="Times New Roman"/>
          <w:color w:val="262626"/>
          <w:sz w:val="20"/>
          <w:szCs w:val="20"/>
        </w:rPr>
        <w:t>’”(</w:t>
      </w:r>
      <w:proofErr w:type="spellStart"/>
      <w:proofErr w:type="gramEnd"/>
      <w:r w:rsidRPr="009975EA">
        <w:rPr>
          <w:rFonts w:ascii="Times New Roman" w:hAnsi="Times New Roman" w:cs="Times New Roman"/>
          <w:i/>
          <w:color w:val="262626"/>
          <w:sz w:val="20"/>
          <w:szCs w:val="20"/>
        </w:rPr>
        <w:t>Citizen</w:t>
      </w:r>
      <w:proofErr w:type="spellEnd"/>
      <w:r w:rsidRPr="009975EA">
        <w:rPr>
          <w:rFonts w:ascii="Times New Roman" w:hAnsi="Times New Roman" w:cs="Times New Roman"/>
          <w:i/>
          <w:color w:val="262626"/>
          <w:sz w:val="20"/>
          <w:szCs w:val="20"/>
        </w:rPr>
        <w:t xml:space="preserve"> </w:t>
      </w:r>
      <w:proofErr w:type="spellStart"/>
      <w:r w:rsidRPr="009975EA">
        <w:rPr>
          <w:rFonts w:ascii="Times New Roman" w:hAnsi="Times New Roman" w:cs="Times New Roman"/>
          <w:i/>
          <w:color w:val="262626"/>
          <w:sz w:val="20"/>
          <w:szCs w:val="20"/>
        </w:rPr>
        <w:t>Donaldson</w:t>
      </w:r>
      <w:proofErr w:type="spellEnd"/>
      <w:r w:rsidRPr="009975EA">
        <w:rPr>
          <w:rFonts w:ascii="Times New Roman" w:hAnsi="Times New Roman" w:cs="Times New Roman"/>
          <w:color w:val="262626"/>
          <w:sz w:val="20"/>
          <w:szCs w:val="20"/>
        </w:rPr>
        <w:t xml:space="preserve">, 7 </w:t>
      </w:r>
      <w:proofErr w:type="spellStart"/>
      <w:r w:rsidRPr="009975EA">
        <w:rPr>
          <w:rFonts w:ascii="Times New Roman" w:hAnsi="Times New Roman" w:cs="Times New Roman"/>
          <w:color w:val="262626"/>
          <w:sz w:val="20"/>
          <w:szCs w:val="20"/>
        </w:rPr>
        <w:t>August</w:t>
      </w:r>
      <w:proofErr w:type="spellEnd"/>
      <w:r w:rsidRPr="009975EA">
        <w:rPr>
          <w:rFonts w:ascii="Times New Roman" w:hAnsi="Times New Roman" w:cs="Times New Roman"/>
          <w:color w:val="262626"/>
          <w:sz w:val="20"/>
          <w:szCs w:val="20"/>
        </w:rPr>
        <w:t xml:space="preserve"> 2003, Wall Street </w:t>
      </w:r>
      <w:proofErr w:type="spellStart"/>
      <w:r w:rsidRPr="009975EA">
        <w:rPr>
          <w:rFonts w:ascii="Times New Roman" w:hAnsi="Times New Roman" w:cs="Times New Roman"/>
          <w:color w:val="262626"/>
          <w:sz w:val="20"/>
          <w:szCs w:val="20"/>
        </w:rPr>
        <w:t>Journal</w:t>
      </w:r>
      <w:proofErr w:type="spellEnd"/>
      <w:r w:rsidRPr="009975EA">
        <w:rPr>
          <w:rFonts w:ascii="Times New Roman" w:hAnsi="Times New Roman" w:cs="Times New Roman"/>
          <w:color w:val="262626"/>
          <w:sz w:val="20"/>
          <w:szCs w:val="20"/>
        </w:rPr>
        <w:t xml:space="preserve">, </w:t>
      </w:r>
      <w:hyperlink r:id="rId47" w:history="1">
        <w:r w:rsidRPr="009975EA">
          <w:rPr>
            <w:rStyle w:val="Kpr"/>
            <w:rFonts w:ascii="Times New Roman" w:hAnsi="Times New Roman" w:cs="Times New Roman"/>
            <w:sz w:val="20"/>
            <w:szCs w:val="20"/>
          </w:rPr>
          <w:t>http://www.wsj.com/articles/SB106021603064104800</w:t>
        </w:r>
      </w:hyperlink>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Last</w:t>
      </w:r>
      <w:proofErr w:type="spellEnd"/>
      <w:r w:rsidRPr="009975EA">
        <w:rPr>
          <w:rFonts w:ascii="Times New Roman" w:hAnsi="Times New Roman" w:cs="Times New Roman"/>
          <w:color w:val="262626"/>
          <w:sz w:val="20"/>
          <w:szCs w:val="20"/>
        </w:rPr>
        <w:t xml:space="preserve"> </w:t>
      </w:r>
      <w:proofErr w:type="spellStart"/>
      <w:r w:rsidRPr="009975EA">
        <w:rPr>
          <w:rFonts w:ascii="Times New Roman" w:hAnsi="Times New Roman" w:cs="Times New Roman"/>
          <w:color w:val="262626"/>
          <w:sz w:val="20"/>
          <w:szCs w:val="20"/>
        </w:rPr>
        <w:t>visited</w:t>
      </w:r>
      <w:proofErr w:type="spellEnd"/>
      <w:r w:rsidRPr="009975EA">
        <w:rPr>
          <w:rFonts w:ascii="Times New Roman" w:hAnsi="Times New Roman" w:cs="Times New Roman"/>
          <w:color w:val="262626"/>
          <w:sz w:val="20"/>
          <w:szCs w:val="20"/>
        </w:rPr>
        <w:t xml:space="preserve">: 10/10/2015)). </w:t>
      </w:r>
    </w:p>
  </w:footnote>
  <w:footnote w:id="94">
    <w:p w14:paraId="657DB737" w14:textId="1C49FA51"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Experts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traditionally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characterized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corporation</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capable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escaping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managerial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liquid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securities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markets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However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markets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discount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firm's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managerial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underperformance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destroys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wealth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escape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selling</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constrains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decreasing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firm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largely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shorn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her </w:t>
      </w:r>
      <w:proofErr w:type="spellStart"/>
      <w:r w:rsidRPr="009975EA">
        <w:rPr>
          <w:rFonts w:ascii="Times New Roman" w:hAnsi="Times New Roman" w:cs="Times New Roman"/>
          <w:color w:val="000000"/>
          <w:sz w:val="20"/>
          <w:szCs w:val="20"/>
        </w:rPr>
        <w:t>investment</w:t>
      </w:r>
      <w:proofErr w:type="spellEnd"/>
      <w:r w:rsidRPr="009975EA">
        <w:rPr>
          <w:rFonts w:ascii="Times New Roman" w:hAnsi="Times New Roman" w:cs="Times New Roman"/>
          <w:color w:val="000000"/>
          <w:sz w:val="20"/>
          <w:szCs w:val="20"/>
        </w:rPr>
        <w:t xml:space="preserve">.” (Park </w:t>
      </w:r>
      <w:proofErr w:type="spellStart"/>
      <w:r w:rsidRPr="009975EA">
        <w:rPr>
          <w:rFonts w:ascii="Times New Roman" w:hAnsi="Times New Roman" w:cs="Times New Roman"/>
          <w:color w:val="000000"/>
          <w:sz w:val="20"/>
          <w:szCs w:val="20"/>
        </w:rPr>
        <w:t>McGinty</w:t>
      </w:r>
      <w:proofErr w:type="spellEnd"/>
      <w:r w:rsidRPr="009975EA">
        <w:rPr>
          <w:rFonts w:ascii="Times New Roman" w:hAnsi="Times New Roman" w:cs="Times New Roman"/>
          <w:color w:val="000000"/>
          <w:sz w:val="20"/>
          <w:szCs w:val="20"/>
        </w:rPr>
        <w:t xml:space="preserve">, </w:t>
      </w:r>
      <w:proofErr w:type="spellStart"/>
      <w:r w:rsidRPr="00BF000E">
        <w:rPr>
          <w:rFonts w:ascii="Times New Roman" w:hAnsi="Times New Roman" w:cs="Times New Roman"/>
          <w:i/>
          <w:color w:val="000000"/>
          <w:sz w:val="20"/>
          <w:szCs w:val="20"/>
        </w:rPr>
        <w:t>Replacing</w:t>
      </w:r>
      <w:proofErr w:type="spellEnd"/>
      <w:r w:rsidRPr="00BF000E">
        <w:rPr>
          <w:rFonts w:ascii="Times New Roman" w:hAnsi="Times New Roman" w:cs="Times New Roman"/>
          <w:i/>
          <w:color w:val="000000"/>
          <w:sz w:val="20"/>
          <w:szCs w:val="20"/>
        </w:rPr>
        <w:t xml:space="preserve"> </w:t>
      </w:r>
      <w:proofErr w:type="spellStart"/>
      <w:r w:rsidRPr="00BF000E">
        <w:rPr>
          <w:rFonts w:ascii="Times New Roman" w:hAnsi="Times New Roman" w:cs="Times New Roman"/>
          <w:i/>
          <w:color w:val="000000"/>
          <w:sz w:val="20"/>
          <w:szCs w:val="20"/>
        </w:rPr>
        <w:t>Hostile</w:t>
      </w:r>
      <w:proofErr w:type="spellEnd"/>
      <w:r w:rsidRPr="00BF000E">
        <w:rPr>
          <w:rFonts w:ascii="Times New Roman" w:hAnsi="Times New Roman" w:cs="Times New Roman"/>
          <w:i/>
          <w:color w:val="000000"/>
          <w:sz w:val="20"/>
          <w:szCs w:val="20"/>
        </w:rPr>
        <w:t xml:space="preserve"> </w:t>
      </w:r>
      <w:proofErr w:type="spellStart"/>
      <w:r w:rsidRPr="00BF000E">
        <w:rPr>
          <w:rFonts w:ascii="Times New Roman" w:hAnsi="Times New Roman" w:cs="Times New Roman"/>
          <w:i/>
          <w:color w:val="000000"/>
          <w:sz w:val="20"/>
          <w:szCs w:val="20"/>
        </w:rPr>
        <w:t>Takeovers</w:t>
      </w:r>
      <w:proofErr w:type="spellEnd"/>
      <w:r w:rsidRPr="00BF000E">
        <w:rPr>
          <w:rFonts w:ascii="Times New Roman" w:hAnsi="Times New Roman" w:cs="Times New Roman"/>
          <w:i/>
          <w:color w:val="000000"/>
          <w:sz w:val="20"/>
          <w:szCs w:val="20"/>
        </w:rPr>
        <w:t>,</w:t>
      </w:r>
      <w:r w:rsidRPr="009975EA">
        <w:rPr>
          <w:rFonts w:ascii="Times New Roman" w:hAnsi="Times New Roman" w:cs="Times New Roman"/>
          <w:color w:val="000000"/>
          <w:sz w:val="20"/>
          <w:szCs w:val="20"/>
        </w:rPr>
        <w:t xml:space="preserve"> 144 U. </w:t>
      </w:r>
      <w:proofErr w:type="spellStart"/>
      <w:r w:rsidRPr="009975EA">
        <w:rPr>
          <w:rFonts w:ascii="Times New Roman" w:hAnsi="Times New Roman" w:cs="Times New Roman"/>
          <w:color w:val="000000"/>
          <w:sz w:val="20"/>
          <w:szCs w:val="20"/>
        </w:rPr>
        <w:t>Pa</w:t>
      </w:r>
      <w:proofErr w:type="spellEnd"/>
      <w:r w:rsidRPr="009975EA">
        <w:rPr>
          <w:rFonts w:ascii="Times New Roman" w:hAnsi="Times New Roman" w:cs="Times New Roman"/>
          <w:color w:val="000000"/>
          <w:sz w:val="20"/>
          <w:szCs w:val="20"/>
        </w:rPr>
        <w:t>.</w:t>
      </w:r>
      <w:r>
        <w:rPr>
          <w:rFonts w:ascii="Times New Roman" w:hAnsi="Times New Roman" w:cs="Times New Roman"/>
          <w:color w:val="000000"/>
          <w:sz w:val="20"/>
          <w:szCs w:val="20"/>
        </w:rPr>
        <w:t xml:space="preserve"> L. </w:t>
      </w:r>
      <w:proofErr w:type="spellStart"/>
      <w:r>
        <w:rPr>
          <w:rFonts w:ascii="Times New Roman" w:hAnsi="Times New Roman" w:cs="Times New Roman"/>
          <w:color w:val="000000"/>
          <w:sz w:val="20"/>
          <w:szCs w:val="20"/>
        </w:rPr>
        <w:t>Rev</w:t>
      </w:r>
      <w:proofErr w:type="spellEnd"/>
      <w:r>
        <w:rPr>
          <w:rFonts w:ascii="Times New Roman" w:hAnsi="Times New Roman" w:cs="Times New Roman"/>
          <w:color w:val="000000"/>
          <w:sz w:val="20"/>
          <w:szCs w:val="20"/>
        </w:rPr>
        <w:t xml:space="preserve">. 983, </w:t>
      </w:r>
      <w:r w:rsidR="003C56E3">
        <w:rPr>
          <w:rFonts w:ascii="Times New Roman" w:hAnsi="Times New Roman" w:cs="Times New Roman"/>
          <w:color w:val="000000"/>
          <w:sz w:val="20"/>
          <w:szCs w:val="20"/>
        </w:rPr>
        <w:t>p.</w:t>
      </w:r>
      <w:r w:rsidRPr="009975EA">
        <w:rPr>
          <w:rFonts w:ascii="Times New Roman" w:hAnsi="Times New Roman" w:cs="Times New Roman"/>
          <w:color w:val="000000"/>
          <w:sz w:val="20"/>
          <w:szCs w:val="20"/>
        </w:rPr>
        <w:t xml:space="preserve"> 991) </w:t>
      </w:r>
    </w:p>
  </w:footnote>
  <w:footnote w:id="95">
    <w:p w14:paraId="761347F3" w14:textId="6AD4BBF6"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F. </w:t>
      </w:r>
      <w:proofErr w:type="spellStart"/>
      <w:r w:rsidRPr="009975EA">
        <w:rPr>
          <w:rFonts w:ascii="Times New Roman" w:hAnsi="Times New Roman" w:cs="Times New Roman"/>
          <w:color w:val="000000"/>
          <w:sz w:val="20"/>
          <w:szCs w:val="20"/>
        </w:rPr>
        <w:t>Hodge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O'Neal</w:t>
      </w:r>
      <w:proofErr w:type="spellEnd"/>
      <w:r w:rsidRPr="009975EA">
        <w:rPr>
          <w:rFonts w:ascii="Times New Roman" w:hAnsi="Times New Roman" w:cs="Times New Roman"/>
          <w:color w:val="000000"/>
          <w:sz w:val="20"/>
          <w:szCs w:val="20"/>
        </w:rPr>
        <w:t xml:space="preserve">, </w:t>
      </w:r>
      <w:proofErr w:type="spellStart"/>
      <w:r w:rsidRPr="00BF000E">
        <w:rPr>
          <w:rFonts w:ascii="Times New Roman" w:hAnsi="Times New Roman" w:cs="Times New Roman"/>
          <w:i/>
          <w:color w:val="000000"/>
          <w:sz w:val="20"/>
          <w:szCs w:val="20"/>
        </w:rPr>
        <w:t>Oppugnancy</w:t>
      </w:r>
      <w:proofErr w:type="spellEnd"/>
      <w:r w:rsidRPr="00BF000E">
        <w:rPr>
          <w:rFonts w:ascii="Times New Roman" w:hAnsi="Times New Roman" w:cs="Times New Roman"/>
          <w:i/>
          <w:color w:val="000000"/>
          <w:sz w:val="20"/>
          <w:szCs w:val="20"/>
        </w:rPr>
        <w:t xml:space="preserve"> </w:t>
      </w:r>
      <w:proofErr w:type="spellStart"/>
      <w:r w:rsidRPr="00BF000E">
        <w:rPr>
          <w:rFonts w:ascii="Times New Roman" w:hAnsi="Times New Roman" w:cs="Times New Roman"/>
          <w:i/>
          <w:color w:val="000000"/>
          <w:sz w:val="20"/>
          <w:szCs w:val="20"/>
        </w:rPr>
        <w:t>and</w:t>
      </w:r>
      <w:proofErr w:type="spellEnd"/>
      <w:r w:rsidRPr="00BF000E">
        <w:rPr>
          <w:rFonts w:ascii="Times New Roman" w:hAnsi="Times New Roman" w:cs="Times New Roman"/>
          <w:i/>
          <w:color w:val="000000"/>
          <w:sz w:val="20"/>
          <w:szCs w:val="20"/>
        </w:rPr>
        <w:t xml:space="preserve"> </w:t>
      </w:r>
      <w:proofErr w:type="spellStart"/>
      <w:r w:rsidRPr="00BF000E">
        <w:rPr>
          <w:rFonts w:ascii="Times New Roman" w:hAnsi="Times New Roman" w:cs="Times New Roman"/>
          <w:i/>
          <w:color w:val="000000"/>
          <w:sz w:val="20"/>
          <w:szCs w:val="20"/>
        </w:rPr>
        <w:t>Oppression</w:t>
      </w:r>
      <w:proofErr w:type="spellEnd"/>
      <w:r w:rsidRPr="00BF000E">
        <w:rPr>
          <w:rFonts w:ascii="Times New Roman" w:hAnsi="Times New Roman" w:cs="Times New Roman"/>
          <w:i/>
          <w:color w:val="000000"/>
          <w:sz w:val="20"/>
          <w:szCs w:val="20"/>
        </w:rPr>
        <w:t xml:space="preserve"> in Close </w:t>
      </w:r>
      <w:proofErr w:type="spellStart"/>
      <w:r w:rsidRPr="00BF000E">
        <w:rPr>
          <w:rFonts w:ascii="Times New Roman" w:hAnsi="Times New Roman" w:cs="Times New Roman"/>
          <w:i/>
          <w:color w:val="000000"/>
          <w:sz w:val="20"/>
          <w:szCs w:val="20"/>
        </w:rPr>
        <w:t>Corporations</w:t>
      </w:r>
      <w:proofErr w:type="spellEnd"/>
      <w:r w:rsidRPr="00BF000E">
        <w:rPr>
          <w:rFonts w:ascii="Times New Roman" w:hAnsi="Times New Roman" w:cs="Times New Roman"/>
          <w:i/>
          <w:color w:val="000000"/>
          <w:sz w:val="20"/>
          <w:szCs w:val="20"/>
        </w:rPr>
        <w:t xml:space="preserve">: </w:t>
      </w:r>
      <w:proofErr w:type="spellStart"/>
      <w:r w:rsidRPr="00BF000E">
        <w:rPr>
          <w:rFonts w:ascii="Times New Roman" w:hAnsi="Times New Roman" w:cs="Times New Roman"/>
          <w:i/>
          <w:color w:val="000000"/>
          <w:sz w:val="20"/>
          <w:szCs w:val="20"/>
        </w:rPr>
        <w:t>Remedies</w:t>
      </w:r>
      <w:proofErr w:type="spellEnd"/>
      <w:r w:rsidRPr="00BF000E">
        <w:rPr>
          <w:rFonts w:ascii="Times New Roman" w:hAnsi="Times New Roman" w:cs="Times New Roman"/>
          <w:i/>
          <w:color w:val="000000"/>
          <w:sz w:val="20"/>
          <w:szCs w:val="20"/>
        </w:rPr>
        <w:t xml:space="preserve"> in </w:t>
      </w:r>
      <w:proofErr w:type="spellStart"/>
      <w:r w:rsidRPr="00BF000E">
        <w:rPr>
          <w:rFonts w:ascii="Times New Roman" w:hAnsi="Times New Roman" w:cs="Times New Roman"/>
          <w:i/>
          <w:color w:val="000000"/>
          <w:sz w:val="20"/>
          <w:szCs w:val="20"/>
        </w:rPr>
        <w:t>America</w:t>
      </w:r>
      <w:proofErr w:type="spellEnd"/>
      <w:r w:rsidRPr="00BF000E">
        <w:rPr>
          <w:rFonts w:ascii="Times New Roman" w:hAnsi="Times New Roman" w:cs="Times New Roman"/>
          <w:i/>
          <w:color w:val="000000"/>
          <w:sz w:val="20"/>
          <w:szCs w:val="20"/>
        </w:rPr>
        <w:t xml:space="preserve"> </w:t>
      </w:r>
      <w:proofErr w:type="spellStart"/>
      <w:r w:rsidRPr="00BF000E">
        <w:rPr>
          <w:rFonts w:ascii="Times New Roman" w:hAnsi="Times New Roman" w:cs="Times New Roman"/>
          <w:i/>
          <w:color w:val="000000"/>
          <w:sz w:val="20"/>
          <w:szCs w:val="20"/>
        </w:rPr>
        <w:t>and</w:t>
      </w:r>
      <w:proofErr w:type="spellEnd"/>
      <w:r w:rsidRPr="00BF000E">
        <w:rPr>
          <w:rFonts w:ascii="Times New Roman" w:hAnsi="Times New Roman" w:cs="Times New Roman"/>
          <w:i/>
          <w:color w:val="000000"/>
          <w:sz w:val="20"/>
          <w:szCs w:val="20"/>
        </w:rPr>
        <w:t xml:space="preserve"> Britain</w:t>
      </w:r>
      <w:r w:rsidRPr="009975EA">
        <w:rPr>
          <w:rFonts w:ascii="Times New Roman" w:hAnsi="Times New Roman" w:cs="Times New Roman"/>
          <w:color w:val="000000"/>
          <w:sz w:val="20"/>
          <w:szCs w:val="20"/>
        </w:rPr>
        <w:t xml:space="preserve">, 1 B.C. </w:t>
      </w:r>
      <w:r>
        <w:rPr>
          <w:rFonts w:ascii="Times New Roman" w:hAnsi="Times New Roman" w:cs="Times New Roman"/>
          <w:color w:val="000000"/>
          <w:sz w:val="20"/>
          <w:szCs w:val="20"/>
        </w:rPr>
        <w:t xml:space="preserve">INDUS. &amp; COM. L. REV. 1, (1959) at </w:t>
      </w:r>
      <w:r w:rsidRPr="009975EA">
        <w:rPr>
          <w:rFonts w:ascii="Times New Roman" w:hAnsi="Times New Roman" w:cs="Times New Roman"/>
          <w:sz w:val="20"/>
          <w:szCs w:val="20"/>
        </w:rPr>
        <w:t>2.</w:t>
      </w:r>
    </w:p>
  </w:footnote>
  <w:footnote w:id="96">
    <w:p w14:paraId="0EB69DA8" w14:textId="433F9AD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 scholar signals the same point while writing on dissolution: “Even though the dissenting shareholders are paid the full value of their pro rata </w:t>
      </w:r>
      <w:proofErr w:type="spellStart"/>
      <w:r w:rsidRPr="009975EA">
        <w:rPr>
          <w:rFonts w:ascii="Times New Roman" w:hAnsi="Times New Roman" w:cs="Times New Roman"/>
          <w:sz w:val="20"/>
          <w:szCs w:val="20"/>
        </w:rPr>
        <w:t>interst</w:t>
      </w:r>
      <w:proofErr w:type="spellEnd"/>
      <w:r w:rsidRPr="009975EA">
        <w:rPr>
          <w:rFonts w:ascii="Times New Roman" w:hAnsi="Times New Roman" w:cs="Times New Roman"/>
          <w:sz w:val="20"/>
          <w:szCs w:val="20"/>
        </w:rPr>
        <w:t xml:space="preserve"> in the corporation’s tangible assets, they may </w:t>
      </w:r>
      <w:proofErr w:type="spellStart"/>
      <w:r w:rsidRPr="009975EA">
        <w:rPr>
          <w:rFonts w:ascii="Times New Roman" w:hAnsi="Times New Roman" w:cs="Times New Roman"/>
          <w:sz w:val="20"/>
          <w:szCs w:val="20"/>
        </w:rPr>
        <w:t>stil</w:t>
      </w:r>
      <w:proofErr w:type="spellEnd"/>
      <w:r w:rsidRPr="009975EA">
        <w:rPr>
          <w:rFonts w:ascii="Times New Roman" w:hAnsi="Times New Roman" w:cs="Times New Roman"/>
          <w:sz w:val="20"/>
          <w:szCs w:val="20"/>
        </w:rPr>
        <w:t xml:space="preserve"> be seriously prejudiced. In the case of a publicly financed corporation, they are inevitably forced to sacrifice their contributions toward the cost of organizing and promoting the corporation. Shareholders are obviously not made whole when all they receive is their pro rate share of the corporation’s assets, exclusive of the expense of promotion…Unjustified dissolution results in the loss of the value inherent in an accumulation of capital- the life- breath of corporate </w:t>
      </w:r>
      <w:proofErr w:type="spellStart"/>
      <w:r w:rsidRPr="009975EA">
        <w:rPr>
          <w:rFonts w:ascii="Times New Roman" w:hAnsi="Times New Roman" w:cs="Times New Roman"/>
          <w:sz w:val="20"/>
          <w:szCs w:val="20"/>
        </w:rPr>
        <w:t>entrerprise</w:t>
      </w:r>
      <w:proofErr w:type="spellEnd"/>
      <w:r w:rsidRPr="009975EA">
        <w:rPr>
          <w:rFonts w:ascii="Times New Roman" w:hAnsi="Times New Roman" w:cs="Times New Roman"/>
          <w:sz w:val="20"/>
          <w:szCs w:val="20"/>
        </w:rPr>
        <w:t xml:space="preserve">. Thus, the distribution of tangible assets can never give the stockholder his full proportionate interest in the property of the corporation because the asset of ‘accumulated capital’ ceases to exist on dissolution” (George D. </w:t>
      </w:r>
      <w:proofErr w:type="spellStart"/>
      <w:r w:rsidRPr="009975EA">
        <w:rPr>
          <w:rFonts w:ascii="Times New Roman" w:hAnsi="Times New Roman" w:cs="Times New Roman"/>
          <w:sz w:val="20"/>
          <w:szCs w:val="20"/>
        </w:rPr>
        <w:t>Hornstein</w:t>
      </w:r>
      <w:proofErr w:type="spellEnd"/>
      <w:r w:rsidRPr="009975EA">
        <w:rPr>
          <w:rFonts w:ascii="Times New Roman" w:hAnsi="Times New Roman" w:cs="Times New Roman"/>
          <w:sz w:val="20"/>
          <w:szCs w:val="20"/>
        </w:rPr>
        <w:t xml:space="preserve">, </w:t>
      </w:r>
      <w:r w:rsidRPr="00BF000E">
        <w:rPr>
          <w:rFonts w:ascii="Times New Roman" w:hAnsi="Times New Roman" w:cs="Times New Roman"/>
          <w:i/>
          <w:sz w:val="20"/>
          <w:szCs w:val="20"/>
        </w:rPr>
        <w:t xml:space="preserve">Voluntary Dissolution- A New Development in </w:t>
      </w:r>
      <w:proofErr w:type="spellStart"/>
      <w:r w:rsidRPr="00BF000E">
        <w:rPr>
          <w:rFonts w:ascii="Times New Roman" w:hAnsi="Times New Roman" w:cs="Times New Roman"/>
          <w:i/>
          <w:sz w:val="20"/>
          <w:szCs w:val="20"/>
        </w:rPr>
        <w:t>Intracorporate</w:t>
      </w:r>
      <w:proofErr w:type="spellEnd"/>
      <w:r w:rsidRPr="00BF000E">
        <w:rPr>
          <w:rFonts w:ascii="Times New Roman" w:hAnsi="Times New Roman" w:cs="Times New Roman"/>
          <w:i/>
          <w:sz w:val="20"/>
          <w:szCs w:val="20"/>
        </w:rPr>
        <w:t xml:space="preserve"> Abuse</w:t>
      </w:r>
      <w:r>
        <w:rPr>
          <w:rFonts w:ascii="Times New Roman" w:hAnsi="Times New Roman" w:cs="Times New Roman"/>
          <w:sz w:val="20"/>
          <w:szCs w:val="20"/>
        </w:rPr>
        <w:t xml:space="preserve">, 51 Yale L.J. 64 (1941), </w:t>
      </w:r>
      <w:r w:rsidR="003C56E3">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69)</w:t>
      </w:r>
    </w:p>
  </w:footnote>
  <w:footnote w:id="97">
    <w:p w14:paraId="0B3AEC2E" w14:textId="52F40E84" w:rsidR="00D36541" w:rsidRPr="009975EA" w:rsidRDefault="00D36541" w:rsidP="009975EA">
      <w:pPr>
        <w:pStyle w:val="DipnotMetni"/>
        <w:jc w:val="both"/>
        <w:rPr>
          <w:rFonts w:ascii="Times New Roman" w:hAnsi="Times New Roman" w:cs="Times New Roman"/>
          <w:sz w:val="20"/>
          <w:szCs w:val="20"/>
          <w:lang w:val="tr-TR"/>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the implications of this approach, see the Australian case, </w:t>
      </w:r>
      <w:proofErr w:type="spellStart"/>
      <w:r w:rsidRPr="009975EA">
        <w:rPr>
          <w:rFonts w:ascii="Times New Roman" w:hAnsi="Times New Roman" w:cs="Times New Roman"/>
          <w:sz w:val="20"/>
          <w:szCs w:val="20"/>
        </w:rPr>
        <w:t>Gambotto</w:t>
      </w:r>
      <w:proofErr w:type="spellEnd"/>
      <w:r w:rsidRPr="009975EA">
        <w:rPr>
          <w:rFonts w:ascii="Times New Roman" w:hAnsi="Times New Roman" w:cs="Times New Roman"/>
          <w:sz w:val="20"/>
          <w:szCs w:val="20"/>
        </w:rPr>
        <w:t xml:space="preserve"> v. WCP Ltd (1995) 182 CLR 432.</w:t>
      </w:r>
    </w:p>
  </w:footnote>
  <w:footnote w:id="98">
    <w:p w14:paraId="02B5EFC9" w14:textId="763DD9B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“As to controlling shareholders’ extraction of private benefits of control, dominant owners’ political influence is likely to be an effective constraint on public enforcement.”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et. al, p.177)</w:t>
      </w:r>
    </w:p>
  </w:footnote>
  <w:footnote w:id="99">
    <w:p w14:paraId="5500A932" w14:textId="77777777" w:rsidR="006E44C3" w:rsidRPr="009975EA" w:rsidRDefault="006E44C3" w:rsidP="006E44C3">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significant role for nonpecuniary benefits of control has macroeconomic effects that impact a country as a whole” (Gilson, p. 1667).</w:t>
      </w:r>
    </w:p>
  </w:footnote>
  <w:footnote w:id="100">
    <w:p w14:paraId="78E5EBA4" w14:textId="77777777" w:rsidR="00D36541" w:rsidRPr="009975EA" w:rsidRDefault="00D36541" w:rsidP="009975EA">
      <w:pPr>
        <w:widowControl w:val="0"/>
        <w:autoSpaceDE w:val="0"/>
        <w:autoSpaceDN w:val="0"/>
        <w:adjustRightInd w:val="0"/>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According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a U.S. Court, a </w:t>
      </w:r>
      <w:proofErr w:type="spellStart"/>
      <w:r w:rsidRPr="009975EA">
        <w:rPr>
          <w:rFonts w:ascii="Times New Roman" w:hAnsi="Times New Roman" w:cs="Times New Roman"/>
          <w:sz w:val="20"/>
          <w:szCs w:val="20"/>
        </w:rPr>
        <w:t>similar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approach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held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Congress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insider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issue</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Congress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intended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Exchange </w:t>
      </w:r>
      <w:proofErr w:type="spellStart"/>
      <w:r w:rsidRPr="009975EA">
        <w:rPr>
          <w:rFonts w:ascii="Times New Roman" w:hAnsi="Times New Roman" w:cs="Times New Roman"/>
          <w:sz w:val="20"/>
          <w:szCs w:val="20"/>
        </w:rPr>
        <w:t>Act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eliminate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idea</w:t>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use</w:t>
      </w:r>
      <w:proofErr w:type="spellEnd"/>
      <w:r w:rsidRPr="009975EA">
        <w:rPr>
          <w:rFonts w:ascii="Times New Roman" w:hAnsi="Times New Roman" w:cs="Times New Roman"/>
          <w:color w:val="000000" w:themeColor="text1"/>
          <w:sz w:val="20"/>
          <w:szCs w:val="20"/>
        </w:rPr>
        <w:t xml:space="preserve"> of inside </w:t>
      </w:r>
      <w:proofErr w:type="spellStart"/>
      <w:r w:rsidRPr="009975EA">
        <w:rPr>
          <w:rFonts w:ascii="Times New Roman" w:hAnsi="Times New Roman" w:cs="Times New Roman"/>
          <w:color w:val="000000" w:themeColor="text1"/>
          <w:sz w:val="20"/>
          <w:szCs w:val="20"/>
        </w:rPr>
        <w:t>information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personal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advantage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was</w:t>
      </w:r>
      <w:proofErr w:type="spellEnd"/>
      <w:r w:rsidRPr="009975EA">
        <w:rPr>
          <w:rFonts w:ascii="Times New Roman" w:hAnsi="Times New Roman" w:cs="Times New Roman"/>
          <w:color w:val="000000" w:themeColor="text1"/>
          <w:sz w:val="20"/>
          <w:szCs w:val="20"/>
        </w:rPr>
        <w:t xml:space="preserve"> a normal </w:t>
      </w:r>
      <w:proofErr w:type="spellStart"/>
      <w:r w:rsidRPr="009975EA">
        <w:rPr>
          <w:rFonts w:ascii="Times New Roman" w:hAnsi="Times New Roman" w:cs="Times New Roman"/>
          <w:color w:val="000000" w:themeColor="text1"/>
          <w:sz w:val="20"/>
          <w:szCs w:val="20"/>
        </w:rPr>
        <w:t>emolument</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corporate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office</w:t>
      </w:r>
      <w:proofErr w:type="spellEnd"/>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bCs/>
          <w:color w:val="000000" w:themeColor="text1"/>
          <w:sz w:val="20"/>
          <w:szCs w:val="20"/>
        </w:rPr>
        <w:t>Securities</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and</w:t>
      </w:r>
      <w:proofErr w:type="spellEnd"/>
      <w:r w:rsidRPr="009975EA">
        <w:rPr>
          <w:rFonts w:ascii="Times New Roman" w:hAnsi="Times New Roman" w:cs="Times New Roman"/>
          <w:bCs/>
          <w:color w:val="000000" w:themeColor="text1"/>
          <w:sz w:val="20"/>
          <w:szCs w:val="20"/>
        </w:rPr>
        <w:t xml:space="preserve"> Exchange </w:t>
      </w:r>
      <w:proofErr w:type="spellStart"/>
      <w:r w:rsidRPr="009975EA">
        <w:rPr>
          <w:rFonts w:ascii="Times New Roman" w:hAnsi="Times New Roman" w:cs="Times New Roman"/>
          <w:bCs/>
          <w:color w:val="000000" w:themeColor="text1"/>
          <w:sz w:val="20"/>
          <w:szCs w:val="20"/>
        </w:rPr>
        <w:t>Commission</w:t>
      </w:r>
      <w:proofErr w:type="spellEnd"/>
      <w:r w:rsidRPr="009975EA">
        <w:rPr>
          <w:rFonts w:ascii="Times New Roman" w:hAnsi="Times New Roman" w:cs="Times New Roman"/>
          <w:bCs/>
          <w:color w:val="000000" w:themeColor="text1"/>
          <w:sz w:val="20"/>
          <w:szCs w:val="20"/>
        </w:rPr>
        <w:t xml:space="preserve"> v. Texas </w:t>
      </w:r>
      <w:proofErr w:type="spellStart"/>
      <w:r w:rsidRPr="009975EA">
        <w:rPr>
          <w:rFonts w:ascii="Times New Roman" w:hAnsi="Times New Roman" w:cs="Times New Roman"/>
          <w:bCs/>
          <w:color w:val="000000" w:themeColor="text1"/>
          <w:sz w:val="20"/>
          <w:szCs w:val="20"/>
        </w:rPr>
        <w:t>Gulf</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Sulphur</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Co</w:t>
      </w:r>
      <w:proofErr w:type="spellEnd"/>
      <w:r w:rsidRPr="009975EA">
        <w:rPr>
          <w:rFonts w:ascii="Times New Roman" w:hAnsi="Times New Roman" w:cs="Times New Roman"/>
          <w:bCs/>
          <w:color w:val="000000" w:themeColor="text1"/>
          <w:sz w:val="20"/>
          <w:szCs w:val="20"/>
        </w:rPr>
        <w:t xml:space="preserve">., 401 F.2d 833 (1968), </w:t>
      </w:r>
      <w:r w:rsidRPr="009975EA">
        <w:rPr>
          <w:rFonts w:ascii="Times New Roman" w:hAnsi="Times New Roman" w:cs="Times New Roman"/>
          <w:color w:val="000000" w:themeColor="text1"/>
          <w:sz w:val="20"/>
          <w:szCs w:val="20"/>
        </w:rPr>
        <w:t xml:space="preserve">at </w:t>
      </w:r>
      <w:proofErr w:type="spellStart"/>
      <w:r w:rsidRPr="009975EA">
        <w:rPr>
          <w:rFonts w:ascii="Times New Roman" w:hAnsi="Times New Roman" w:cs="Times New Roman"/>
          <w:color w:val="000000" w:themeColor="text1"/>
          <w:sz w:val="20"/>
          <w:szCs w:val="20"/>
        </w:rPr>
        <w:t>footnote</w:t>
      </w:r>
      <w:proofErr w:type="spellEnd"/>
      <w:r w:rsidRPr="009975EA">
        <w:rPr>
          <w:rFonts w:ascii="Times New Roman" w:hAnsi="Times New Roman" w:cs="Times New Roman"/>
          <w:color w:val="000000" w:themeColor="text1"/>
          <w:sz w:val="20"/>
          <w:szCs w:val="20"/>
        </w:rPr>
        <w:t xml:space="preserve"> 9)</w:t>
      </w:r>
    </w:p>
  </w:footnote>
  <w:footnote w:id="101">
    <w:p w14:paraId="278DE8F7"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Bassick</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Aetna</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Explosives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246 Fed. 974, 993 (1917): “A </w:t>
      </w:r>
      <w:proofErr w:type="spellStart"/>
      <w:r w:rsidRPr="009975EA">
        <w:rPr>
          <w:rFonts w:ascii="Times New Roman" w:hAnsi="Times New Roman" w:cs="Times New Roman"/>
          <w:sz w:val="20"/>
          <w:szCs w:val="20"/>
        </w:rPr>
        <w:t>great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deal</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important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country</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necessarily</w:t>
      </w:r>
      <w:proofErr w:type="spellEnd"/>
      <w:r w:rsidRPr="009975EA">
        <w:rPr>
          <w:rFonts w:ascii="Times New Roman" w:hAnsi="Times New Roman" w:cs="Times New Roman"/>
          <w:sz w:val="20"/>
          <w:szCs w:val="20"/>
        </w:rPr>
        <w:t xml:space="preserve"> </w:t>
      </w:r>
      <w:proofErr w:type="gramStart"/>
      <w:r w:rsidRPr="009975EA">
        <w:rPr>
          <w:rFonts w:ascii="Times New Roman" w:hAnsi="Times New Roman" w:cs="Times New Roman"/>
          <w:sz w:val="20"/>
          <w:szCs w:val="20"/>
        </w:rPr>
        <w:t>done</w:t>
      </w:r>
      <w:proofErr w:type="gram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form. </w:t>
      </w:r>
      <w:proofErr w:type="spellStart"/>
      <w:r w:rsidRPr="009975EA">
        <w:rPr>
          <w:rFonts w:ascii="Times New Roman" w:hAnsi="Times New Roman" w:cs="Times New Roman"/>
          <w:sz w:val="20"/>
          <w:szCs w:val="20"/>
        </w:rPr>
        <w:t>Sufficient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capital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cannot</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obtained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large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enterprises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aid</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public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It</w:t>
      </w:r>
      <w:proofErr w:type="spellEnd"/>
      <w:r w:rsidRPr="009975EA">
        <w:rPr>
          <w:rFonts w:ascii="Times New Roman" w:hAnsi="Times New Roman" w:cs="Times New Roman"/>
          <w:sz w:val="20"/>
          <w:szCs w:val="20"/>
        </w:rPr>
        <w:t xml:space="preserve"> is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ultimate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interest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projection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prosecution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large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enterprises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public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must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feel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confident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just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appeal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go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unheeded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Latimer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Holdings</w:t>
      </w:r>
      <w:proofErr w:type="spellEnd"/>
      <w:r w:rsidRPr="009975EA">
        <w:rPr>
          <w:rFonts w:ascii="Times New Roman" w:hAnsi="Times New Roman" w:cs="Times New Roman"/>
          <w:sz w:val="20"/>
          <w:szCs w:val="20"/>
        </w:rPr>
        <w:t xml:space="preserve"> Ltd.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Powell</w:t>
      </w:r>
      <w:proofErr w:type="spellEnd"/>
      <w:r w:rsidRPr="009975EA">
        <w:rPr>
          <w:rFonts w:ascii="Times New Roman" w:hAnsi="Times New Roman" w:cs="Times New Roman"/>
          <w:sz w:val="20"/>
          <w:szCs w:val="20"/>
        </w:rPr>
        <w:t>-v-</w:t>
      </w:r>
      <w:proofErr w:type="spellStart"/>
      <w:r w:rsidRPr="009975EA">
        <w:rPr>
          <w:rFonts w:ascii="Times New Roman" w:hAnsi="Times New Roman" w:cs="Times New Roman"/>
          <w:sz w:val="20"/>
          <w:szCs w:val="20"/>
        </w:rPr>
        <w:t>Sea</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Holdings</w:t>
      </w:r>
      <w:proofErr w:type="spellEnd"/>
      <w:r w:rsidRPr="009975EA">
        <w:rPr>
          <w:rFonts w:ascii="Times New Roman" w:hAnsi="Times New Roman" w:cs="Times New Roman"/>
          <w:sz w:val="20"/>
          <w:szCs w:val="20"/>
        </w:rPr>
        <w:t xml:space="preserve"> Ltd. [2004] NZCA 226: “</w:t>
      </w:r>
      <w:proofErr w:type="spellStart"/>
      <w:r w:rsidRPr="009975EA">
        <w:rPr>
          <w:rFonts w:ascii="Times New Roman" w:hAnsi="Times New Roman" w:cs="Times New Roman"/>
          <w:iCs/>
          <w:color w:val="000000"/>
          <w:sz w:val="20"/>
          <w:szCs w:val="20"/>
        </w:rPr>
        <w:t>In</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our</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view</w:t>
      </w:r>
      <w:proofErr w:type="spellEnd"/>
      <w:r w:rsidRPr="009975EA">
        <w:rPr>
          <w:rFonts w:ascii="Times New Roman" w:hAnsi="Times New Roman" w:cs="Times New Roman"/>
          <w:iCs/>
          <w:color w:val="000000"/>
          <w:sz w:val="20"/>
          <w:szCs w:val="20"/>
        </w:rPr>
        <w:t xml:space="preserve">, s174 can </w:t>
      </w:r>
      <w:proofErr w:type="spellStart"/>
      <w:r w:rsidRPr="009975EA">
        <w:rPr>
          <w:rFonts w:ascii="Times New Roman" w:hAnsi="Times New Roman" w:cs="Times New Roman"/>
          <w:iCs/>
          <w:color w:val="000000"/>
          <w:sz w:val="20"/>
          <w:szCs w:val="20"/>
        </w:rPr>
        <w:t>and</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does</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apply</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to</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listed</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companies</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with</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tradeable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shares</w:t>
      </w:r>
      <w:proofErr w:type="spellEnd"/>
      <w:r w:rsidRPr="009975EA">
        <w:rPr>
          <w:rFonts w:ascii="Times New Roman" w:hAnsi="Times New Roman" w:cs="Times New Roman"/>
          <w:iCs/>
          <w:color w:val="000000"/>
          <w:sz w:val="20"/>
          <w:szCs w:val="20"/>
        </w:rPr>
        <w:t xml:space="preserve">, but </w:t>
      </w:r>
      <w:proofErr w:type="spellStart"/>
      <w:r w:rsidRPr="009975EA">
        <w:rPr>
          <w:rFonts w:ascii="Times New Roman" w:hAnsi="Times New Roman" w:cs="Times New Roman"/>
          <w:iCs/>
          <w:color w:val="000000"/>
          <w:sz w:val="20"/>
          <w:szCs w:val="20"/>
        </w:rPr>
        <w:t>the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considerations</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which</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will</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apply</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to</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them</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will</w:t>
      </w:r>
      <w:proofErr w:type="spellEnd"/>
      <w:r w:rsidRPr="009975EA">
        <w:rPr>
          <w:rFonts w:ascii="Times New Roman" w:hAnsi="Times New Roman" w:cs="Times New Roman"/>
          <w:iCs/>
          <w:color w:val="000000"/>
          <w:sz w:val="20"/>
          <w:szCs w:val="20"/>
        </w:rPr>
        <w:t xml:space="preserve"> not </w:t>
      </w:r>
      <w:proofErr w:type="spellStart"/>
      <w:r w:rsidRPr="009975EA">
        <w:rPr>
          <w:rFonts w:ascii="Times New Roman" w:hAnsi="Times New Roman" w:cs="Times New Roman"/>
          <w:iCs/>
          <w:color w:val="000000"/>
          <w:sz w:val="20"/>
          <w:szCs w:val="20"/>
        </w:rPr>
        <w:t>necessarily</w:t>
      </w:r>
      <w:proofErr w:type="spellEnd"/>
      <w:r w:rsidRPr="009975EA">
        <w:rPr>
          <w:rFonts w:ascii="Times New Roman" w:hAnsi="Times New Roman" w:cs="Times New Roman"/>
          <w:iCs/>
          <w:color w:val="000000"/>
          <w:sz w:val="20"/>
          <w:szCs w:val="20"/>
        </w:rPr>
        <w:t xml:space="preserve"> be </w:t>
      </w:r>
      <w:proofErr w:type="spellStart"/>
      <w:r w:rsidRPr="009975EA">
        <w:rPr>
          <w:rFonts w:ascii="Times New Roman" w:hAnsi="Times New Roman" w:cs="Times New Roman"/>
          <w:iCs/>
          <w:color w:val="000000"/>
          <w:sz w:val="20"/>
          <w:szCs w:val="20"/>
        </w:rPr>
        <w:t>the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same</w:t>
      </w:r>
      <w:proofErr w:type="spellEnd"/>
      <w:r w:rsidRPr="009975EA">
        <w:rPr>
          <w:rFonts w:ascii="Times New Roman" w:hAnsi="Times New Roman" w:cs="Times New Roman"/>
          <w:iCs/>
          <w:color w:val="000000"/>
          <w:sz w:val="20"/>
          <w:szCs w:val="20"/>
        </w:rPr>
        <w:t xml:space="preserve"> as </w:t>
      </w:r>
      <w:proofErr w:type="spellStart"/>
      <w:r w:rsidRPr="009975EA">
        <w:rPr>
          <w:rFonts w:ascii="Times New Roman" w:hAnsi="Times New Roman" w:cs="Times New Roman"/>
          <w:iCs/>
          <w:color w:val="000000"/>
          <w:sz w:val="20"/>
          <w:szCs w:val="20"/>
        </w:rPr>
        <w:t>obtain</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with</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respect</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to</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closely</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held</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companies</w:t>
      </w:r>
      <w:proofErr w:type="spellEnd"/>
      <w:r w:rsidRPr="009975EA">
        <w:rPr>
          <w:rFonts w:ascii="Times New Roman" w:hAnsi="Times New Roman" w:cs="Times New Roman"/>
          <w:iCs/>
          <w:color w:val="000000"/>
          <w:sz w:val="20"/>
          <w:szCs w:val="20"/>
        </w:rPr>
        <w:t xml:space="preserve">. But it </w:t>
      </w:r>
      <w:proofErr w:type="spellStart"/>
      <w:r w:rsidRPr="009975EA">
        <w:rPr>
          <w:rFonts w:ascii="Times New Roman" w:hAnsi="Times New Roman" w:cs="Times New Roman"/>
          <w:iCs/>
          <w:color w:val="000000"/>
          <w:sz w:val="20"/>
          <w:szCs w:val="20"/>
        </w:rPr>
        <w:t>would</w:t>
      </w:r>
      <w:proofErr w:type="spellEnd"/>
      <w:r w:rsidRPr="009975EA">
        <w:rPr>
          <w:rFonts w:ascii="Times New Roman" w:hAnsi="Times New Roman" w:cs="Times New Roman"/>
          <w:iCs/>
          <w:color w:val="000000"/>
          <w:sz w:val="20"/>
          <w:szCs w:val="20"/>
        </w:rPr>
        <w:t xml:space="preserve"> be </w:t>
      </w:r>
      <w:proofErr w:type="spellStart"/>
      <w:r w:rsidRPr="009975EA">
        <w:rPr>
          <w:rFonts w:ascii="Times New Roman" w:hAnsi="Times New Roman" w:cs="Times New Roman"/>
          <w:iCs/>
          <w:color w:val="000000"/>
          <w:sz w:val="20"/>
          <w:szCs w:val="20"/>
        </w:rPr>
        <w:t>quite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wrong</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for</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the</w:t>
      </w:r>
      <w:proofErr w:type="spellEnd"/>
      <w:r w:rsidRPr="009975EA">
        <w:rPr>
          <w:rFonts w:ascii="Times New Roman" w:hAnsi="Times New Roman" w:cs="Times New Roman"/>
          <w:iCs/>
          <w:color w:val="000000"/>
          <w:sz w:val="20"/>
          <w:szCs w:val="20"/>
        </w:rPr>
        <w:t xml:space="preserve"> New </w:t>
      </w:r>
      <w:proofErr w:type="spellStart"/>
      <w:r w:rsidRPr="009975EA">
        <w:rPr>
          <w:rFonts w:ascii="Times New Roman" w:hAnsi="Times New Roman" w:cs="Times New Roman"/>
          <w:iCs/>
          <w:color w:val="000000"/>
          <w:sz w:val="20"/>
          <w:szCs w:val="20"/>
        </w:rPr>
        <w:t>Zealand</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corporate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community</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to</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think</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that</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the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activities</w:t>
      </w:r>
      <w:proofErr w:type="spellEnd"/>
      <w:r w:rsidRPr="009975EA">
        <w:rPr>
          <w:rFonts w:ascii="Times New Roman" w:hAnsi="Times New Roman" w:cs="Times New Roman"/>
          <w:iCs/>
          <w:color w:val="000000"/>
          <w:sz w:val="20"/>
          <w:szCs w:val="20"/>
        </w:rPr>
        <w:t xml:space="preserve"> of </w:t>
      </w:r>
      <w:proofErr w:type="spellStart"/>
      <w:r w:rsidRPr="009975EA">
        <w:rPr>
          <w:rFonts w:ascii="Times New Roman" w:hAnsi="Times New Roman" w:cs="Times New Roman"/>
          <w:iCs/>
          <w:color w:val="000000"/>
          <w:sz w:val="20"/>
          <w:szCs w:val="20"/>
        </w:rPr>
        <w:t>listed</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companies</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are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beyond</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the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reach</w:t>
      </w:r>
      <w:proofErr w:type="spellEnd"/>
      <w:r w:rsidRPr="009975EA">
        <w:rPr>
          <w:rFonts w:ascii="Times New Roman" w:hAnsi="Times New Roman" w:cs="Times New Roman"/>
          <w:iCs/>
          <w:color w:val="000000"/>
          <w:sz w:val="20"/>
          <w:szCs w:val="20"/>
        </w:rPr>
        <w:t xml:space="preserve"> of </w:t>
      </w:r>
      <w:proofErr w:type="spellStart"/>
      <w:r w:rsidRPr="009975EA">
        <w:rPr>
          <w:rFonts w:ascii="Times New Roman" w:hAnsi="Times New Roman" w:cs="Times New Roman"/>
          <w:iCs/>
          <w:color w:val="000000"/>
          <w:sz w:val="20"/>
          <w:szCs w:val="20"/>
        </w:rPr>
        <w:t>this</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provision</w:t>
      </w:r>
      <w:proofErr w:type="spellEnd"/>
      <w:r w:rsidRPr="009975EA">
        <w:rPr>
          <w:rFonts w:ascii="Times New Roman" w:hAnsi="Times New Roman" w:cs="Times New Roman"/>
          <w:iCs/>
          <w:color w:val="000000"/>
          <w:sz w:val="20"/>
          <w:szCs w:val="20"/>
        </w:rPr>
        <w:t>.</w:t>
      </w:r>
      <w:r w:rsidRPr="009975EA">
        <w:rPr>
          <w:rFonts w:ascii="Times New Roman" w:hAnsi="Times New Roman" w:cs="Times New Roman"/>
          <w:color w:val="000000"/>
          <w:sz w:val="20"/>
          <w:szCs w:val="20"/>
        </w:rPr>
        <w:t xml:space="preserve">” </w:t>
      </w:r>
    </w:p>
  </w:footnote>
  <w:footnote w:id="102">
    <w:p w14:paraId="09D9E260" w14:textId="036A4785" w:rsidR="00D36541" w:rsidRPr="009975EA" w:rsidRDefault="00D36541" w:rsidP="009975EA">
      <w:pPr>
        <w:widowControl w:val="0"/>
        <w:autoSpaceDE w:val="0"/>
        <w:autoSpaceDN w:val="0"/>
        <w:adjustRightInd w:val="0"/>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006E44C3" w:rsidRPr="009975EA">
        <w:rPr>
          <w:rFonts w:ascii="Times New Roman" w:hAnsi="Times New Roman" w:cs="Times New Roman"/>
          <w:sz w:val="20"/>
          <w:szCs w:val="20"/>
        </w:rPr>
        <w:t xml:space="preserve">“Investor </w:t>
      </w:r>
      <w:proofErr w:type="spellStart"/>
      <w:r w:rsidR="006E44C3" w:rsidRPr="009975EA">
        <w:rPr>
          <w:rFonts w:ascii="Times New Roman" w:hAnsi="Times New Roman" w:cs="Times New Roman"/>
          <w:sz w:val="20"/>
          <w:szCs w:val="20"/>
        </w:rPr>
        <w:t>protection</w:t>
      </w:r>
      <w:proofErr w:type="spellEnd"/>
      <w:r w:rsidR="006E44C3" w:rsidRPr="009975EA">
        <w:rPr>
          <w:rFonts w:ascii="Times New Roman" w:hAnsi="Times New Roman" w:cs="Times New Roman"/>
          <w:sz w:val="20"/>
          <w:szCs w:val="20"/>
        </w:rPr>
        <w:t xml:space="preserve"> </w:t>
      </w:r>
      <w:proofErr w:type="spellStart"/>
      <w:r w:rsidR="006E44C3" w:rsidRPr="009975EA">
        <w:rPr>
          <w:rFonts w:ascii="Times New Roman" w:hAnsi="Times New Roman" w:cs="Times New Roman"/>
          <w:sz w:val="20"/>
          <w:szCs w:val="20"/>
        </w:rPr>
        <w:t>legislation</w:t>
      </w:r>
      <w:proofErr w:type="spellEnd"/>
      <w:r w:rsidR="006E44C3" w:rsidRPr="009975EA">
        <w:rPr>
          <w:rFonts w:ascii="Times New Roman" w:hAnsi="Times New Roman" w:cs="Times New Roman"/>
          <w:sz w:val="20"/>
          <w:szCs w:val="20"/>
        </w:rPr>
        <w:t xml:space="preserve"> is </w:t>
      </w:r>
      <w:proofErr w:type="spellStart"/>
      <w:r w:rsidR="006E44C3" w:rsidRPr="009975EA">
        <w:rPr>
          <w:rFonts w:ascii="Times New Roman" w:hAnsi="Times New Roman" w:cs="Times New Roman"/>
          <w:sz w:val="20"/>
          <w:szCs w:val="20"/>
        </w:rPr>
        <w:t>designed</w:t>
      </w:r>
      <w:proofErr w:type="spellEnd"/>
      <w:r w:rsidR="006E44C3" w:rsidRPr="009975EA">
        <w:rPr>
          <w:rFonts w:ascii="Times New Roman" w:hAnsi="Times New Roman" w:cs="Times New Roman"/>
          <w:sz w:val="20"/>
          <w:szCs w:val="20"/>
        </w:rPr>
        <w:t xml:space="preserve"> </w:t>
      </w:r>
      <w:proofErr w:type="spellStart"/>
      <w:r w:rsidR="006E44C3" w:rsidRPr="009975EA">
        <w:rPr>
          <w:rFonts w:ascii="Times New Roman" w:hAnsi="Times New Roman" w:cs="Times New Roman"/>
          <w:sz w:val="20"/>
          <w:szCs w:val="20"/>
        </w:rPr>
        <w:t>to</w:t>
      </w:r>
      <w:proofErr w:type="spellEnd"/>
      <w:r w:rsidR="006E44C3" w:rsidRPr="009975EA">
        <w:rPr>
          <w:rFonts w:ascii="Times New Roman" w:hAnsi="Times New Roman" w:cs="Times New Roman"/>
          <w:sz w:val="20"/>
          <w:szCs w:val="20"/>
        </w:rPr>
        <w:t xml:space="preserve"> </w:t>
      </w:r>
      <w:proofErr w:type="spellStart"/>
      <w:r w:rsidR="006E44C3" w:rsidRPr="009975EA">
        <w:rPr>
          <w:rFonts w:ascii="Times New Roman" w:hAnsi="Times New Roman" w:cs="Times New Roman"/>
          <w:sz w:val="20"/>
          <w:szCs w:val="20"/>
        </w:rPr>
        <w:t>induce</w:t>
      </w:r>
      <w:proofErr w:type="spellEnd"/>
      <w:r w:rsidR="006E44C3" w:rsidRPr="009975EA">
        <w:rPr>
          <w:rFonts w:ascii="Times New Roman" w:hAnsi="Times New Roman" w:cs="Times New Roman"/>
          <w:sz w:val="20"/>
          <w:szCs w:val="20"/>
        </w:rPr>
        <w:t xml:space="preserve"> </w:t>
      </w:r>
      <w:proofErr w:type="spellStart"/>
      <w:r w:rsidR="006E44C3" w:rsidRPr="009975EA">
        <w:rPr>
          <w:rFonts w:ascii="Times New Roman" w:hAnsi="Times New Roman" w:cs="Times New Roman"/>
          <w:sz w:val="20"/>
          <w:szCs w:val="20"/>
        </w:rPr>
        <w:t>retail</w:t>
      </w:r>
      <w:proofErr w:type="spellEnd"/>
      <w:r w:rsidR="006E44C3" w:rsidRPr="009975EA">
        <w:rPr>
          <w:rFonts w:ascii="Times New Roman" w:hAnsi="Times New Roman" w:cs="Times New Roman"/>
          <w:sz w:val="20"/>
          <w:szCs w:val="20"/>
        </w:rPr>
        <w:t xml:space="preserve"> </w:t>
      </w:r>
      <w:proofErr w:type="spellStart"/>
      <w:r w:rsidR="006E44C3" w:rsidRPr="009975EA">
        <w:rPr>
          <w:rFonts w:ascii="Times New Roman" w:hAnsi="Times New Roman" w:cs="Times New Roman"/>
          <w:sz w:val="20"/>
          <w:szCs w:val="20"/>
        </w:rPr>
        <w:t>investors</w:t>
      </w:r>
      <w:proofErr w:type="spellEnd"/>
      <w:r w:rsidR="006E44C3" w:rsidRPr="009975EA">
        <w:rPr>
          <w:rFonts w:ascii="Times New Roman" w:hAnsi="Times New Roman" w:cs="Times New Roman"/>
          <w:sz w:val="20"/>
          <w:szCs w:val="20"/>
        </w:rPr>
        <w:t xml:space="preserve"> </w:t>
      </w:r>
      <w:proofErr w:type="spellStart"/>
      <w:r w:rsidR="006E44C3" w:rsidRPr="009975EA">
        <w:rPr>
          <w:rFonts w:ascii="Times New Roman" w:hAnsi="Times New Roman" w:cs="Times New Roman"/>
          <w:sz w:val="20"/>
          <w:szCs w:val="20"/>
        </w:rPr>
        <w:t>to</w:t>
      </w:r>
      <w:proofErr w:type="spellEnd"/>
      <w:r w:rsidR="006E44C3" w:rsidRPr="009975EA">
        <w:rPr>
          <w:rFonts w:ascii="Times New Roman" w:hAnsi="Times New Roman" w:cs="Times New Roman"/>
          <w:sz w:val="20"/>
          <w:szCs w:val="20"/>
        </w:rPr>
        <w:t xml:space="preserve"> </w:t>
      </w:r>
      <w:proofErr w:type="spellStart"/>
      <w:r w:rsidR="006E44C3" w:rsidRPr="009975EA">
        <w:rPr>
          <w:rFonts w:ascii="Times New Roman" w:hAnsi="Times New Roman" w:cs="Times New Roman"/>
          <w:sz w:val="20"/>
          <w:szCs w:val="20"/>
        </w:rPr>
        <w:t>take</w:t>
      </w:r>
      <w:proofErr w:type="spellEnd"/>
      <w:r w:rsidR="006E44C3" w:rsidRPr="009975EA">
        <w:rPr>
          <w:rFonts w:ascii="Times New Roman" w:hAnsi="Times New Roman" w:cs="Times New Roman"/>
          <w:sz w:val="20"/>
          <w:szCs w:val="20"/>
        </w:rPr>
        <w:t xml:space="preserve"> </w:t>
      </w:r>
      <w:proofErr w:type="spellStart"/>
      <w:r w:rsidR="006E44C3" w:rsidRPr="009975EA">
        <w:rPr>
          <w:rFonts w:ascii="Times New Roman" w:hAnsi="Times New Roman" w:cs="Times New Roman"/>
          <w:sz w:val="20"/>
          <w:szCs w:val="20"/>
        </w:rPr>
        <w:t>risks</w:t>
      </w:r>
      <w:proofErr w:type="spellEnd"/>
      <w:r w:rsidR="006E44C3" w:rsidRPr="009975EA">
        <w:rPr>
          <w:rFonts w:ascii="Times New Roman" w:hAnsi="Times New Roman" w:cs="Times New Roman"/>
          <w:sz w:val="20"/>
          <w:szCs w:val="20"/>
        </w:rPr>
        <w:t xml:space="preserve">.” (John J. A. </w:t>
      </w:r>
      <w:proofErr w:type="spellStart"/>
      <w:r w:rsidR="006E44C3" w:rsidRPr="009975EA">
        <w:rPr>
          <w:rFonts w:ascii="Times New Roman" w:hAnsi="Times New Roman" w:cs="Times New Roman"/>
          <w:sz w:val="20"/>
          <w:szCs w:val="20"/>
        </w:rPr>
        <w:t>Burke</w:t>
      </w:r>
      <w:proofErr w:type="spellEnd"/>
      <w:r w:rsidR="006E44C3" w:rsidRPr="009975EA">
        <w:rPr>
          <w:rFonts w:ascii="Times New Roman" w:hAnsi="Times New Roman" w:cs="Times New Roman"/>
          <w:sz w:val="20"/>
          <w:szCs w:val="20"/>
        </w:rPr>
        <w:t xml:space="preserve">, </w:t>
      </w:r>
      <w:r w:rsidR="006E44C3" w:rsidRPr="00321FCE">
        <w:rPr>
          <w:rFonts w:ascii="Times New Roman" w:hAnsi="Times New Roman" w:cs="Times New Roman"/>
          <w:i/>
          <w:sz w:val="20"/>
          <w:szCs w:val="20"/>
        </w:rPr>
        <w:t xml:space="preserve">Investor </w:t>
      </w:r>
      <w:proofErr w:type="spellStart"/>
      <w:r w:rsidR="006E44C3" w:rsidRPr="00321FCE">
        <w:rPr>
          <w:rFonts w:ascii="Times New Roman" w:hAnsi="Times New Roman" w:cs="Times New Roman"/>
          <w:i/>
          <w:sz w:val="20"/>
          <w:szCs w:val="20"/>
        </w:rPr>
        <w:t>Protection</w:t>
      </w:r>
      <w:proofErr w:type="spellEnd"/>
      <w:r w:rsidR="006E44C3" w:rsidRPr="00321FCE">
        <w:rPr>
          <w:rFonts w:ascii="Times New Roman" w:hAnsi="Times New Roman" w:cs="Times New Roman"/>
          <w:i/>
          <w:sz w:val="20"/>
          <w:szCs w:val="20"/>
        </w:rPr>
        <w:t xml:space="preserve"> </w:t>
      </w:r>
      <w:proofErr w:type="spellStart"/>
      <w:r w:rsidR="006E44C3" w:rsidRPr="00321FCE">
        <w:rPr>
          <w:rFonts w:ascii="Times New Roman" w:hAnsi="Times New Roman" w:cs="Times New Roman"/>
          <w:i/>
          <w:sz w:val="20"/>
          <w:szCs w:val="20"/>
        </w:rPr>
        <w:t>under</w:t>
      </w:r>
      <w:proofErr w:type="spellEnd"/>
      <w:r w:rsidR="006E44C3" w:rsidRPr="00321FCE">
        <w:rPr>
          <w:rFonts w:ascii="Times New Roman" w:hAnsi="Times New Roman" w:cs="Times New Roman"/>
          <w:i/>
          <w:sz w:val="20"/>
          <w:szCs w:val="20"/>
        </w:rPr>
        <w:t xml:space="preserve"> MIFIDL </w:t>
      </w:r>
      <w:proofErr w:type="spellStart"/>
      <w:r w:rsidR="006E44C3" w:rsidRPr="00321FCE">
        <w:rPr>
          <w:rFonts w:ascii="Times New Roman" w:hAnsi="Times New Roman" w:cs="Times New Roman"/>
          <w:i/>
          <w:sz w:val="20"/>
          <w:szCs w:val="20"/>
        </w:rPr>
        <w:t>Cure</w:t>
      </w:r>
      <w:proofErr w:type="spellEnd"/>
      <w:r w:rsidR="006E44C3" w:rsidRPr="00321FCE">
        <w:rPr>
          <w:rFonts w:ascii="Times New Roman" w:hAnsi="Times New Roman" w:cs="Times New Roman"/>
          <w:i/>
          <w:sz w:val="20"/>
          <w:szCs w:val="20"/>
        </w:rPr>
        <w:t xml:space="preserve"> </w:t>
      </w:r>
      <w:proofErr w:type="spellStart"/>
      <w:r w:rsidR="006E44C3" w:rsidRPr="00321FCE">
        <w:rPr>
          <w:rFonts w:ascii="Times New Roman" w:hAnsi="Times New Roman" w:cs="Times New Roman"/>
          <w:i/>
          <w:sz w:val="20"/>
          <w:szCs w:val="20"/>
        </w:rPr>
        <w:t>Worse</w:t>
      </w:r>
      <w:proofErr w:type="spellEnd"/>
      <w:r w:rsidR="006E44C3" w:rsidRPr="00321FCE">
        <w:rPr>
          <w:rFonts w:ascii="Times New Roman" w:hAnsi="Times New Roman" w:cs="Times New Roman"/>
          <w:i/>
          <w:sz w:val="20"/>
          <w:szCs w:val="20"/>
        </w:rPr>
        <w:t xml:space="preserve"> </w:t>
      </w:r>
      <w:proofErr w:type="spellStart"/>
      <w:r w:rsidR="006E44C3" w:rsidRPr="00321FCE">
        <w:rPr>
          <w:rFonts w:ascii="Times New Roman" w:hAnsi="Times New Roman" w:cs="Times New Roman"/>
          <w:i/>
          <w:sz w:val="20"/>
          <w:szCs w:val="20"/>
        </w:rPr>
        <w:t>Than</w:t>
      </w:r>
      <w:proofErr w:type="spellEnd"/>
      <w:r w:rsidR="006E44C3" w:rsidRPr="00321FCE">
        <w:rPr>
          <w:rFonts w:ascii="Times New Roman" w:hAnsi="Times New Roman" w:cs="Times New Roman"/>
          <w:i/>
          <w:sz w:val="20"/>
          <w:szCs w:val="20"/>
        </w:rPr>
        <w:t xml:space="preserve"> </w:t>
      </w:r>
      <w:proofErr w:type="spellStart"/>
      <w:r w:rsidR="006E44C3" w:rsidRPr="00321FCE">
        <w:rPr>
          <w:rFonts w:ascii="Times New Roman" w:hAnsi="Times New Roman" w:cs="Times New Roman"/>
          <w:i/>
          <w:sz w:val="20"/>
          <w:szCs w:val="20"/>
        </w:rPr>
        <w:t>the</w:t>
      </w:r>
      <w:proofErr w:type="spellEnd"/>
      <w:r w:rsidR="006E44C3" w:rsidRPr="00321FCE">
        <w:rPr>
          <w:rFonts w:ascii="Times New Roman" w:hAnsi="Times New Roman" w:cs="Times New Roman"/>
          <w:i/>
          <w:sz w:val="20"/>
          <w:szCs w:val="20"/>
        </w:rPr>
        <w:t xml:space="preserve"> </w:t>
      </w:r>
      <w:proofErr w:type="spellStart"/>
      <w:r w:rsidR="006E44C3" w:rsidRPr="00321FCE">
        <w:rPr>
          <w:rFonts w:ascii="Times New Roman" w:hAnsi="Times New Roman" w:cs="Times New Roman"/>
          <w:i/>
          <w:sz w:val="20"/>
          <w:szCs w:val="20"/>
        </w:rPr>
        <w:t>Disease</w:t>
      </w:r>
      <w:proofErr w:type="spellEnd"/>
      <w:r w:rsidR="006E44C3" w:rsidRPr="009975EA">
        <w:rPr>
          <w:rFonts w:ascii="Times New Roman" w:hAnsi="Times New Roman" w:cs="Times New Roman"/>
          <w:sz w:val="20"/>
          <w:szCs w:val="20"/>
        </w:rPr>
        <w:t xml:space="preserve">, </w:t>
      </w:r>
      <w:hyperlink r:id="rId48" w:history="1">
        <w:r w:rsidR="006E44C3" w:rsidRPr="00FD379D">
          <w:rPr>
            <w:rStyle w:val="Kpr"/>
            <w:rFonts w:ascii="Times New Roman" w:hAnsi="Times New Roman" w:cs="Times New Roman"/>
            <w:sz w:val="20"/>
            <w:szCs w:val="20"/>
          </w:rPr>
          <w:t>http://eilfe.com/wp-content/uploads/2013/02/JournalofLawFinance.pdf</w:t>
        </w:r>
      </w:hyperlink>
      <w:r w:rsidR="006E44C3">
        <w:rPr>
          <w:rFonts w:ascii="Times New Roman" w:hAnsi="Times New Roman" w:cs="Times New Roman"/>
          <w:sz w:val="20"/>
          <w:szCs w:val="20"/>
        </w:rPr>
        <w:t xml:space="preserve"> (</w:t>
      </w:r>
      <w:proofErr w:type="spellStart"/>
      <w:r w:rsidR="006E44C3">
        <w:rPr>
          <w:rFonts w:ascii="Times New Roman" w:hAnsi="Times New Roman" w:cs="Times New Roman"/>
          <w:sz w:val="20"/>
          <w:szCs w:val="20"/>
        </w:rPr>
        <w:t>Last</w:t>
      </w:r>
      <w:proofErr w:type="spellEnd"/>
      <w:r w:rsidR="006E44C3">
        <w:rPr>
          <w:rFonts w:ascii="Times New Roman" w:hAnsi="Times New Roman" w:cs="Times New Roman"/>
          <w:sz w:val="20"/>
          <w:szCs w:val="20"/>
        </w:rPr>
        <w:t xml:space="preserve"> </w:t>
      </w:r>
      <w:proofErr w:type="spellStart"/>
      <w:r w:rsidR="006E44C3">
        <w:rPr>
          <w:rFonts w:ascii="Times New Roman" w:hAnsi="Times New Roman" w:cs="Times New Roman"/>
          <w:sz w:val="20"/>
          <w:szCs w:val="20"/>
        </w:rPr>
        <w:t>visited</w:t>
      </w:r>
      <w:proofErr w:type="spellEnd"/>
      <w:r w:rsidR="006E44C3">
        <w:rPr>
          <w:rFonts w:ascii="Times New Roman" w:hAnsi="Times New Roman" w:cs="Times New Roman"/>
          <w:sz w:val="20"/>
          <w:szCs w:val="20"/>
        </w:rPr>
        <w:t xml:space="preserve">: 10/10/2016) </w:t>
      </w:r>
      <w:r w:rsidR="003C56E3">
        <w:rPr>
          <w:rFonts w:ascii="Times New Roman" w:hAnsi="Times New Roman" w:cs="Times New Roman"/>
          <w:sz w:val="20"/>
          <w:szCs w:val="20"/>
        </w:rPr>
        <w:t>p.</w:t>
      </w:r>
      <w:r w:rsidR="006E44C3" w:rsidRPr="009975EA">
        <w:rPr>
          <w:rFonts w:ascii="Times New Roman" w:hAnsi="Times New Roman" w:cs="Times New Roman"/>
          <w:sz w:val="20"/>
          <w:szCs w:val="20"/>
        </w:rPr>
        <w:t xml:space="preserve"> 7)</w:t>
      </w:r>
      <w:r w:rsidR="006E44C3">
        <w:rPr>
          <w:rFonts w:ascii="Times New Roman" w:hAnsi="Times New Roman" w:cs="Times New Roman"/>
          <w:sz w:val="20"/>
          <w:szCs w:val="20"/>
        </w:rPr>
        <w:t>.</w:t>
      </w:r>
    </w:p>
  </w:footnote>
  <w:footnote w:id="103">
    <w:p w14:paraId="2579C912" w14:textId="5C5E9EC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w:t>
      </w:r>
      <w:r w:rsidRPr="009975EA">
        <w:rPr>
          <w:rFonts w:ascii="Times New Roman" w:hAnsi="Times New Roman" w:cs="Times New Roman"/>
          <w:color w:val="000000"/>
          <w:sz w:val="20"/>
          <w:szCs w:val="20"/>
          <w:lang w:val="tr-TR"/>
        </w:rPr>
        <w:t xml:space="preserve">Marine Bank v. </w:t>
      </w:r>
      <w:proofErr w:type="spellStart"/>
      <w:r w:rsidRPr="009975EA">
        <w:rPr>
          <w:rFonts w:ascii="Times New Roman" w:hAnsi="Times New Roman" w:cs="Times New Roman"/>
          <w:color w:val="000000"/>
          <w:sz w:val="20"/>
          <w:szCs w:val="20"/>
          <w:lang w:val="tr-TR"/>
        </w:rPr>
        <w:t>Weaver</w:t>
      </w:r>
      <w:proofErr w:type="spellEnd"/>
      <w:r w:rsidRPr="009975EA">
        <w:rPr>
          <w:rFonts w:ascii="Times New Roman" w:hAnsi="Times New Roman" w:cs="Times New Roman"/>
          <w:color w:val="000000"/>
          <w:sz w:val="20"/>
          <w:szCs w:val="20"/>
          <w:lang w:val="tr-TR"/>
        </w:rPr>
        <w:t xml:space="preserve">, SCOTUS 455 U.S. 551 (1982), </w:t>
      </w:r>
      <w:proofErr w:type="spellStart"/>
      <w:r w:rsidRPr="009975EA">
        <w:rPr>
          <w:rFonts w:ascii="Times New Roman" w:hAnsi="Times New Roman" w:cs="Times New Roman"/>
          <w:color w:val="000000"/>
          <w:sz w:val="20"/>
          <w:szCs w:val="20"/>
          <w:lang w:val="tr-TR"/>
        </w:rPr>
        <w:t>stating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Securities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Act</w:t>
      </w:r>
      <w:proofErr w:type="spellEnd"/>
      <w:r w:rsidRPr="009975EA">
        <w:rPr>
          <w:rFonts w:ascii="Times New Roman" w:hAnsi="Times New Roman" w:cs="Times New Roman"/>
          <w:color w:val="000000"/>
          <w:sz w:val="20"/>
          <w:szCs w:val="20"/>
          <w:lang w:val="tr-TR"/>
        </w:rPr>
        <w:t xml:space="preserve"> of 1934 </w:t>
      </w:r>
      <w:r w:rsidRPr="009975EA">
        <w:rPr>
          <w:rFonts w:ascii="Times New Roman" w:hAnsi="Times New Roman" w:cs="Times New Roman"/>
          <w:sz w:val="20"/>
          <w:szCs w:val="20"/>
        </w:rPr>
        <w:t xml:space="preserve">“was adopted to restore investors’ confidence in the financial markets”. </w:t>
      </w:r>
    </w:p>
  </w:footnote>
  <w:footnote w:id="104">
    <w:p w14:paraId="52A96D65"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Report of the </w:t>
      </w:r>
      <w:proofErr w:type="gramStart"/>
      <w:r w:rsidRPr="009975EA">
        <w:rPr>
          <w:rFonts w:ascii="Times New Roman" w:hAnsi="Times New Roman" w:cs="Times New Roman"/>
          <w:sz w:val="20"/>
          <w:szCs w:val="20"/>
        </w:rPr>
        <w:t>High Level</w:t>
      </w:r>
      <w:proofErr w:type="gramEnd"/>
      <w:r w:rsidRPr="009975EA">
        <w:rPr>
          <w:rFonts w:ascii="Times New Roman" w:hAnsi="Times New Roman" w:cs="Times New Roman"/>
          <w:sz w:val="20"/>
          <w:szCs w:val="20"/>
        </w:rPr>
        <w:t xml:space="preserve"> Group of Company Law Experts on a Modern Regulatory Framework For Company Law in Europe, p.29.</w:t>
      </w:r>
    </w:p>
  </w:footnote>
  <w:footnote w:id="105">
    <w:p w14:paraId="48D6900F" w14:textId="6C1B943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xml:space="preserve"> et. al., p. 49. LC Capital Master Fund, Ltd. v. James, 990 A.2d 435 (2010): “Corporate law must work in practice to serve the best interests of society and investors in creating wealth.”</w:t>
      </w:r>
    </w:p>
  </w:footnote>
  <w:footnote w:id="106">
    <w:p w14:paraId="66FFF3A0" w14:textId="23E2A8D0" w:rsidR="00D36541" w:rsidRPr="009975EA" w:rsidRDefault="00D36541" w:rsidP="00997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competing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regulatory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philosophies</w:t>
      </w:r>
      <w:proofErr w:type="spellEnd"/>
      <w:r w:rsidRPr="009975EA">
        <w:rPr>
          <w:rFonts w:ascii="Times New Roman" w:hAnsi="Times New Roman" w:cs="Times New Roman"/>
          <w:color w:val="000000"/>
          <w:sz w:val="20"/>
          <w:szCs w:val="20"/>
        </w:rPr>
        <w:t xml:space="preserve"> rest on </w:t>
      </w:r>
      <w:proofErr w:type="spellStart"/>
      <w:r w:rsidRPr="009975EA">
        <w:rPr>
          <w:rFonts w:ascii="Times New Roman" w:hAnsi="Times New Roman" w:cs="Times New Roman"/>
          <w:color w:val="000000"/>
          <w:sz w:val="20"/>
          <w:szCs w:val="20"/>
        </w:rPr>
        <w:t>two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differing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theories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illustrative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referred</w:t>
      </w:r>
      <w:proofErr w:type="spellEnd"/>
      <w:r w:rsidRPr="009975EA">
        <w:rPr>
          <w:rFonts w:ascii="Times New Roman" w:hAnsi="Times New Roman" w:cs="Times New Roman"/>
          <w:color w:val="000000"/>
          <w:sz w:val="20"/>
          <w:szCs w:val="20"/>
        </w:rPr>
        <w:t xml:space="preserve"> here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freedom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regulatory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policy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former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understands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simply</w:t>
      </w:r>
      <w:proofErr w:type="spellEnd"/>
      <w:r w:rsidRPr="009975EA">
        <w:rPr>
          <w:rFonts w:ascii="Times New Roman" w:hAnsi="Times New Roman" w:cs="Times New Roman"/>
          <w:color w:val="000000"/>
          <w:sz w:val="20"/>
          <w:szCs w:val="20"/>
        </w:rPr>
        <w:t xml:space="preserve"> put, as a model </w:t>
      </w:r>
      <w:proofErr w:type="spellStart"/>
      <w:r w:rsidRPr="009975EA">
        <w:rPr>
          <w:rFonts w:ascii="Times New Roman" w:hAnsi="Times New Roman" w:cs="Times New Roman"/>
          <w:color w:val="000000"/>
          <w:sz w:val="20"/>
          <w:szCs w:val="20"/>
        </w:rPr>
        <w:t>provided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order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simplify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privately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negotiated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understands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governmental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specification</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regulatory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framework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neither</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waived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latter</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tradition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followed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Continental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European</w:t>
      </w:r>
      <w:proofErr w:type="spellEnd"/>
      <w:r w:rsidRPr="009975EA">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corporate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law</w:t>
      </w:r>
      <w:proofErr w:type="spellEnd"/>
      <w:r>
        <w:rPr>
          <w:rFonts w:ascii="Times New Roman" w:hAnsi="Times New Roman" w:cs="Times New Roman"/>
          <w:color w:val="000000"/>
          <w:sz w:val="20"/>
          <w:szCs w:val="20"/>
        </w:rPr>
        <w:t>…” (</w:t>
      </w:r>
      <w:proofErr w:type="spellStart"/>
      <w:r>
        <w:rPr>
          <w:rFonts w:ascii="Times New Roman" w:hAnsi="Times New Roman" w:cs="Times New Roman"/>
          <w:color w:val="000000"/>
          <w:sz w:val="20"/>
          <w:szCs w:val="20"/>
        </w:rPr>
        <w:t>Gunter</w:t>
      </w:r>
      <w:proofErr w:type="spellEnd"/>
      <w:r>
        <w:rPr>
          <w:rFonts w:ascii="Times New Roman" w:hAnsi="Times New Roman" w:cs="Times New Roman"/>
          <w:color w:val="000000"/>
          <w:sz w:val="20"/>
          <w:szCs w:val="20"/>
        </w:rPr>
        <w:t xml:space="preserve"> H. </w:t>
      </w:r>
      <w:proofErr w:type="spellStart"/>
      <w:r>
        <w:rPr>
          <w:rFonts w:ascii="Times New Roman" w:hAnsi="Times New Roman" w:cs="Times New Roman"/>
          <w:color w:val="000000"/>
          <w:sz w:val="20"/>
          <w:szCs w:val="20"/>
        </w:rPr>
        <w:t>Roth</w:t>
      </w:r>
      <w:proofErr w:type="spellEnd"/>
      <w:r>
        <w:rPr>
          <w:rFonts w:ascii="Times New Roman" w:hAnsi="Times New Roman" w:cs="Times New Roman"/>
          <w:color w:val="000000"/>
          <w:sz w:val="20"/>
          <w:szCs w:val="20"/>
        </w:rPr>
        <w:t xml:space="preserve">, </w:t>
      </w:r>
      <w:r w:rsidRPr="009975EA">
        <w:rPr>
          <w:rFonts w:ascii="Times New Roman" w:hAnsi="Times New Roman" w:cs="Times New Roman"/>
          <w:color w:val="000000"/>
          <w:sz w:val="20"/>
          <w:szCs w:val="20"/>
        </w:rPr>
        <w:t xml:space="preserve">Peter </w:t>
      </w:r>
      <w:proofErr w:type="spellStart"/>
      <w:r w:rsidRPr="009975EA">
        <w:rPr>
          <w:rFonts w:ascii="Times New Roman" w:hAnsi="Times New Roman" w:cs="Times New Roman"/>
          <w:color w:val="000000"/>
          <w:sz w:val="20"/>
          <w:szCs w:val="20"/>
        </w:rPr>
        <w:t>Kindler</w:t>
      </w:r>
      <w:proofErr w:type="spellEnd"/>
      <w:r w:rsidRPr="009975EA">
        <w:rPr>
          <w:rFonts w:ascii="Times New Roman" w:hAnsi="Times New Roman" w:cs="Times New Roman"/>
          <w:color w:val="000000"/>
          <w:sz w:val="20"/>
          <w:szCs w:val="20"/>
        </w:rPr>
        <w:t xml:space="preserve">, </w:t>
      </w:r>
      <w:proofErr w:type="spellStart"/>
      <w:r w:rsidRPr="00321FCE">
        <w:rPr>
          <w:rFonts w:ascii="Times New Roman" w:hAnsi="Times New Roman" w:cs="Times New Roman"/>
          <w:i/>
          <w:color w:val="000000"/>
          <w:sz w:val="20"/>
          <w:szCs w:val="20"/>
        </w:rPr>
        <w:t>The</w:t>
      </w:r>
      <w:proofErr w:type="spellEnd"/>
      <w:r w:rsidRPr="00321FCE">
        <w:rPr>
          <w:rFonts w:ascii="Times New Roman" w:hAnsi="Times New Roman" w:cs="Times New Roman"/>
          <w:i/>
          <w:color w:val="000000"/>
          <w:sz w:val="20"/>
          <w:szCs w:val="20"/>
        </w:rPr>
        <w:t xml:space="preserve"> </w:t>
      </w:r>
      <w:proofErr w:type="spellStart"/>
      <w:r w:rsidRPr="00321FCE">
        <w:rPr>
          <w:rFonts w:ascii="Times New Roman" w:hAnsi="Times New Roman" w:cs="Times New Roman"/>
          <w:i/>
          <w:color w:val="000000"/>
          <w:sz w:val="20"/>
          <w:szCs w:val="20"/>
        </w:rPr>
        <w:t>Spirit</w:t>
      </w:r>
      <w:proofErr w:type="spellEnd"/>
      <w:r w:rsidRPr="00321FCE">
        <w:rPr>
          <w:rFonts w:ascii="Times New Roman" w:hAnsi="Times New Roman" w:cs="Times New Roman"/>
          <w:i/>
          <w:color w:val="000000"/>
          <w:sz w:val="20"/>
          <w:szCs w:val="20"/>
        </w:rPr>
        <w:t xml:space="preserve"> of </w:t>
      </w:r>
      <w:proofErr w:type="spellStart"/>
      <w:r w:rsidRPr="00321FCE">
        <w:rPr>
          <w:rFonts w:ascii="Times New Roman" w:hAnsi="Times New Roman" w:cs="Times New Roman"/>
          <w:i/>
          <w:color w:val="000000"/>
          <w:sz w:val="20"/>
          <w:szCs w:val="20"/>
        </w:rPr>
        <w:t>Corporate</w:t>
      </w:r>
      <w:proofErr w:type="spellEnd"/>
      <w:r w:rsidRPr="00321FCE">
        <w:rPr>
          <w:rFonts w:ascii="Times New Roman" w:hAnsi="Times New Roman" w:cs="Times New Roman"/>
          <w:i/>
          <w:color w:val="000000"/>
          <w:sz w:val="20"/>
          <w:szCs w:val="20"/>
        </w:rPr>
        <w:t xml:space="preserve"> </w:t>
      </w:r>
      <w:proofErr w:type="spellStart"/>
      <w:r w:rsidRPr="00321FCE">
        <w:rPr>
          <w:rFonts w:ascii="Times New Roman" w:hAnsi="Times New Roman" w:cs="Times New Roman"/>
          <w:i/>
          <w:color w:val="000000"/>
          <w:sz w:val="20"/>
          <w:szCs w:val="20"/>
        </w:rPr>
        <w:t>Law</w:t>
      </w:r>
      <w:proofErr w:type="spellEnd"/>
      <w:r w:rsidRPr="009975EA">
        <w:rPr>
          <w:rFonts w:ascii="Times New Roman" w:hAnsi="Times New Roman" w:cs="Times New Roman"/>
          <w:color w:val="000000"/>
          <w:sz w:val="20"/>
          <w:szCs w:val="20"/>
        </w:rPr>
        <w:t xml:space="preserve"> </w:t>
      </w:r>
      <w:r>
        <w:rPr>
          <w:rFonts w:ascii="Times New Roman" w:hAnsi="Times New Roman" w:cs="Times New Roman"/>
          <w:color w:val="000000"/>
          <w:sz w:val="20"/>
          <w:szCs w:val="20"/>
        </w:rPr>
        <w:t>3 (</w:t>
      </w:r>
      <w:r w:rsidRPr="009975EA">
        <w:rPr>
          <w:rFonts w:ascii="Times New Roman" w:hAnsi="Times New Roman" w:cs="Times New Roman"/>
          <w:color w:val="000000"/>
          <w:sz w:val="20"/>
          <w:szCs w:val="20"/>
        </w:rPr>
        <w:t>2013</w:t>
      </w:r>
      <w:r>
        <w:rPr>
          <w:rFonts w:ascii="Times New Roman" w:hAnsi="Times New Roman" w:cs="Times New Roman"/>
          <w:color w:val="000000"/>
          <w:sz w:val="20"/>
          <w:szCs w:val="20"/>
        </w:rPr>
        <w:t>)</w:t>
      </w:r>
      <w:r w:rsidRPr="009975EA">
        <w:rPr>
          <w:rFonts w:ascii="Times New Roman" w:hAnsi="Times New Roman" w:cs="Times New Roman"/>
          <w:color w:val="000000"/>
          <w:sz w:val="20"/>
          <w:szCs w:val="20"/>
        </w:rPr>
        <w:t>)</w:t>
      </w:r>
    </w:p>
  </w:footnote>
  <w:footnote w:id="107">
    <w:p w14:paraId="6A617D84" w14:textId="08DEACF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Ross Grantham, </w:t>
      </w:r>
      <w:r w:rsidRPr="00321FCE">
        <w:rPr>
          <w:rFonts w:ascii="Times New Roman" w:hAnsi="Times New Roman" w:cs="Times New Roman"/>
          <w:i/>
          <w:sz w:val="20"/>
          <w:szCs w:val="20"/>
        </w:rPr>
        <w:t>The Rights of Company Shareholders</w:t>
      </w:r>
      <w:r w:rsidRPr="009975EA">
        <w:rPr>
          <w:rFonts w:ascii="Times New Roman" w:hAnsi="Times New Roman" w:cs="Times New Roman"/>
          <w:sz w:val="20"/>
          <w:szCs w:val="20"/>
        </w:rPr>
        <w:t>, Cambridge Law J</w:t>
      </w:r>
      <w:r>
        <w:rPr>
          <w:rFonts w:ascii="Times New Roman" w:hAnsi="Times New Roman" w:cs="Times New Roman"/>
          <w:sz w:val="20"/>
          <w:szCs w:val="20"/>
        </w:rPr>
        <w:t xml:space="preserve">ournal 67 (3), November 1998, </w:t>
      </w:r>
      <w:r w:rsidR="003C56E3">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578.</w:t>
      </w:r>
    </w:p>
  </w:footnote>
  <w:footnote w:id="108">
    <w:p w14:paraId="39192AA3" w14:textId="539336F5" w:rsidR="00D36541" w:rsidRPr="009975EA" w:rsidRDefault="00D36541" w:rsidP="00321FCE">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Grantham, p. 580.</w:t>
      </w:r>
      <w:r>
        <w:rPr>
          <w:rFonts w:ascii="Times New Roman" w:hAnsi="Times New Roman" w:cs="Times New Roman"/>
          <w:sz w:val="20"/>
          <w:szCs w:val="20"/>
        </w:rPr>
        <w:tab/>
      </w:r>
    </w:p>
  </w:footnote>
  <w:footnote w:id="109">
    <w:p w14:paraId="15858875" w14:textId="54BDFDE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Jens </w:t>
      </w:r>
      <w:proofErr w:type="spellStart"/>
      <w:r w:rsidRPr="009975EA">
        <w:rPr>
          <w:rFonts w:ascii="Times New Roman" w:hAnsi="Times New Roman" w:cs="Times New Roman"/>
          <w:sz w:val="20"/>
          <w:szCs w:val="20"/>
        </w:rPr>
        <w:t>Dammann</w:t>
      </w:r>
      <w:proofErr w:type="spellEnd"/>
      <w:r w:rsidRPr="009975EA">
        <w:rPr>
          <w:rFonts w:ascii="Times New Roman" w:hAnsi="Times New Roman" w:cs="Times New Roman"/>
          <w:sz w:val="20"/>
          <w:szCs w:val="20"/>
        </w:rPr>
        <w:t xml:space="preserve">, </w:t>
      </w:r>
      <w:r w:rsidRPr="00321FCE">
        <w:rPr>
          <w:rFonts w:ascii="Times New Roman" w:hAnsi="Times New Roman" w:cs="Times New Roman"/>
          <w:i/>
          <w:sz w:val="20"/>
          <w:szCs w:val="20"/>
        </w:rPr>
        <w:t>The Mandatory Law Puzzle: Redefining American Exceptionalism in Corporate Law,</w:t>
      </w:r>
      <w:r>
        <w:rPr>
          <w:rFonts w:ascii="Times New Roman" w:hAnsi="Times New Roman" w:cs="Times New Roman"/>
          <w:sz w:val="20"/>
          <w:szCs w:val="20"/>
        </w:rPr>
        <w:t xml:space="preserve"> 65 Hastings L. J. 441, </w:t>
      </w:r>
      <w:r w:rsidR="003C56E3">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444.</w:t>
      </w:r>
    </w:p>
  </w:footnote>
  <w:footnote w:id="110">
    <w:p w14:paraId="3ED0B0CB" w14:textId="0F5F9AE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Frank H. Easterbrook, </w:t>
      </w:r>
      <w:r w:rsidRPr="009975EA">
        <w:rPr>
          <w:rFonts w:ascii="Times New Roman" w:hAnsi="Times New Roman" w:cs="Times New Roman"/>
          <w:sz w:val="20"/>
          <w:szCs w:val="20"/>
        </w:rPr>
        <w:t xml:space="preserve">Daniel R. </w:t>
      </w:r>
      <w:proofErr w:type="spellStart"/>
      <w:r w:rsidRPr="009975EA">
        <w:rPr>
          <w:rFonts w:ascii="Times New Roman" w:hAnsi="Times New Roman" w:cs="Times New Roman"/>
          <w:sz w:val="20"/>
          <w:szCs w:val="20"/>
        </w:rPr>
        <w:t>Fischel</w:t>
      </w:r>
      <w:proofErr w:type="spellEnd"/>
      <w:r w:rsidRPr="00321FCE">
        <w:rPr>
          <w:rFonts w:ascii="Times New Roman" w:hAnsi="Times New Roman" w:cs="Times New Roman"/>
          <w:i/>
          <w:sz w:val="20"/>
          <w:szCs w:val="20"/>
        </w:rPr>
        <w:t>, The Economic Structure of Corporate La</w:t>
      </w:r>
      <w:r>
        <w:rPr>
          <w:rFonts w:ascii="Times New Roman" w:hAnsi="Times New Roman" w:cs="Times New Roman"/>
          <w:sz w:val="20"/>
          <w:szCs w:val="20"/>
        </w:rPr>
        <w:t>w 12 (</w:t>
      </w:r>
      <w:r w:rsidRPr="009975EA">
        <w:rPr>
          <w:rFonts w:ascii="Times New Roman" w:hAnsi="Times New Roman" w:cs="Times New Roman"/>
          <w:sz w:val="20"/>
          <w:szCs w:val="20"/>
        </w:rPr>
        <w:t>1991</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111">
    <w:p w14:paraId="03304E9C" w14:textId="2DD9DBC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“Yet some deference should be shown the corporation’s status as a legal </w:t>
      </w:r>
      <w:proofErr w:type="spellStart"/>
      <w:r w:rsidRPr="009975EA">
        <w:rPr>
          <w:rFonts w:ascii="Times New Roman" w:hAnsi="Times New Roman" w:cs="Times New Roman"/>
          <w:sz w:val="20"/>
          <w:szCs w:val="20"/>
        </w:rPr>
        <w:t>peson</w:t>
      </w:r>
      <w:proofErr w:type="spellEnd"/>
      <w:r w:rsidRPr="009975EA">
        <w:rPr>
          <w:rFonts w:ascii="Times New Roman" w:hAnsi="Times New Roman" w:cs="Times New Roman"/>
          <w:sz w:val="20"/>
          <w:szCs w:val="20"/>
        </w:rPr>
        <w:t xml:space="preserve">. Corporate </w:t>
      </w:r>
      <w:proofErr w:type="spellStart"/>
      <w:r w:rsidRPr="009975EA">
        <w:rPr>
          <w:rFonts w:ascii="Times New Roman" w:hAnsi="Times New Roman" w:cs="Times New Roman"/>
          <w:sz w:val="20"/>
          <w:szCs w:val="20"/>
        </w:rPr>
        <w:t>consitituents</w:t>
      </w:r>
      <w:proofErr w:type="spellEnd"/>
      <w:r w:rsidRPr="009975EA">
        <w:rPr>
          <w:rFonts w:ascii="Times New Roman" w:hAnsi="Times New Roman" w:cs="Times New Roman"/>
          <w:sz w:val="20"/>
          <w:szCs w:val="20"/>
        </w:rPr>
        <w:t xml:space="preserve"> contract not with each other, but with the corporation…The various constituencies thus must be (and are) linked to the nexus and not to each other.” (Stephen M. Bainbridge, </w:t>
      </w:r>
      <w:r w:rsidRPr="00321FCE">
        <w:rPr>
          <w:rFonts w:ascii="Times New Roman" w:hAnsi="Times New Roman" w:cs="Times New Roman"/>
          <w:i/>
          <w:sz w:val="20"/>
          <w:szCs w:val="20"/>
        </w:rPr>
        <w:t>Director Primacy: The Means and Ends of Corporate Governance</w:t>
      </w:r>
      <w:r w:rsidRPr="009975EA">
        <w:rPr>
          <w:rFonts w:ascii="Times New Roman" w:hAnsi="Times New Roman" w:cs="Times New Roman"/>
          <w:sz w:val="20"/>
          <w:szCs w:val="20"/>
        </w:rPr>
        <w:t>, UCLA, School of Law Res</w:t>
      </w:r>
      <w:r>
        <w:rPr>
          <w:rFonts w:ascii="Times New Roman" w:hAnsi="Times New Roman" w:cs="Times New Roman"/>
          <w:sz w:val="20"/>
          <w:szCs w:val="20"/>
        </w:rPr>
        <w:t xml:space="preserve">earch Paper No. 02- 06 (2002), </w:t>
      </w:r>
      <w:r w:rsidR="003C56E3">
        <w:rPr>
          <w:rFonts w:ascii="Times New Roman" w:hAnsi="Times New Roman" w:cs="Times New Roman"/>
          <w:sz w:val="20"/>
          <w:szCs w:val="20"/>
        </w:rPr>
        <w:t xml:space="preserve">p. </w:t>
      </w:r>
      <w:r w:rsidRPr="009975EA">
        <w:rPr>
          <w:rFonts w:ascii="Times New Roman" w:hAnsi="Times New Roman" w:cs="Times New Roman"/>
          <w:sz w:val="20"/>
          <w:szCs w:val="20"/>
        </w:rPr>
        <w:t>8-9)</w:t>
      </w:r>
    </w:p>
  </w:footnote>
  <w:footnote w:id="112">
    <w:p w14:paraId="09260B2D" w14:textId="2061BA5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Christopher A. Riley, </w:t>
      </w:r>
      <w:r w:rsidRPr="00321FCE">
        <w:rPr>
          <w:rFonts w:ascii="Times New Roman" w:hAnsi="Times New Roman" w:cs="Times New Roman"/>
          <w:i/>
          <w:sz w:val="20"/>
          <w:szCs w:val="20"/>
        </w:rPr>
        <w:t>Contracting Out of Company Law: Section 459 of the Companies Act 1985 and the Role of the Courts</w:t>
      </w:r>
      <w:r w:rsidRPr="009975EA">
        <w:rPr>
          <w:rFonts w:ascii="Times New Roman" w:hAnsi="Times New Roman" w:cs="Times New Roman"/>
          <w:sz w:val="20"/>
          <w:szCs w:val="20"/>
        </w:rPr>
        <w:t>, The Modern Law Review 55:6 (1992),</w:t>
      </w:r>
      <w:r>
        <w:rPr>
          <w:rFonts w:ascii="Times New Roman" w:hAnsi="Times New Roman" w:cs="Times New Roman"/>
          <w:sz w:val="20"/>
          <w:szCs w:val="20"/>
        </w:rPr>
        <w:t xml:space="preserve"> </w:t>
      </w:r>
      <w:r w:rsidR="003C56E3">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785.</w:t>
      </w:r>
    </w:p>
  </w:footnote>
  <w:footnote w:id="113">
    <w:p w14:paraId="671B2FBD" w14:textId="0FD242F3" w:rsidR="00D36541" w:rsidRPr="009975EA" w:rsidRDefault="00D36541" w:rsidP="00321FCE">
      <w:pPr>
        <w:pStyle w:val="DipnotMetni"/>
        <w:tabs>
          <w:tab w:val="left" w:pos="3096"/>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Grantham, p.579</w:t>
      </w:r>
      <w:r>
        <w:rPr>
          <w:rFonts w:ascii="Times New Roman" w:hAnsi="Times New Roman" w:cs="Times New Roman"/>
          <w:sz w:val="20"/>
          <w:szCs w:val="20"/>
        </w:rPr>
        <w:tab/>
      </w:r>
    </w:p>
  </w:footnote>
  <w:footnote w:id="114">
    <w:p w14:paraId="19035741" w14:textId="66C1068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Frank H.</w:t>
      </w:r>
      <w:r>
        <w:rPr>
          <w:rFonts w:ascii="Times New Roman" w:hAnsi="Times New Roman" w:cs="Times New Roman"/>
          <w:sz w:val="20"/>
          <w:szCs w:val="20"/>
        </w:rPr>
        <w:t xml:space="preserve"> Easterbrook/Daniel R. </w:t>
      </w:r>
      <w:proofErr w:type="spellStart"/>
      <w:r>
        <w:rPr>
          <w:rFonts w:ascii="Times New Roman" w:hAnsi="Times New Roman" w:cs="Times New Roman"/>
          <w:sz w:val="20"/>
          <w:szCs w:val="20"/>
        </w:rPr>
        <w:t>Fischel</w:t>
      </w:r>
      <w:proofErr w:type="spellEnd"/>
      <w:r w:rsidRPr="009975EA">
        <w:rPr>
          <w:rFonts w:ascii="Times New Roman" w:hAnsi="Times New Roman" w:cs="Times New Roman"/>
          <w:sz w:val="20"/>
          <w:szCs w:val="20"/>
        </w:rPr>
        <w:t>, p. 236- 237.</w:t>
      </w:r>
    </w:p>
  </w:footnote>
  <w:footnote w:id="115">
    <w:p w14:paraId="30371A2D"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Easterbrook/</w:t>
      </w:r>
      <w:proofErr w:type="spellStart"/>
      <w:r w:rsidRPr="009975EA">
        <w:rPr>
          <w:rFonts w:ascii="Times New Roman" w:hAnsi="Times New Roman" w:cs="Times New Roman"/>
          <w:sz w:val="20"/>
          <w:szCs w:val="20"/>
        </w:rPr>
        <w:t>Fischel</w:t>
      </w:r>
      <w:proofErr w:type="spellEnd"/>
      <w:r w:rsidRPr="009975EA">
        <w:rPr>
          <w:rFonts w:ascii="Times New Roman" w:hAnsi="Times New Roman" w:cs="Times New Roman"/>
          <w:sz w:val="20"/>
          <w:szCs w:val="20"/>
        </w:rPr>
        <w:t>, p.15</w:t>
      </w:r>
    </w:p>
  </w:footnote>
  <w:footnote w:id="116">
    <w:p w14:paraId="4CF407B7" w14:textId="77777777" w:rsidR="00D36541" w:rsidRPr="009975EA" w:rsidRDefault="00D36541" w:rsidP="009975EA">
      <w:pPr>
        <w:pStyle w:val="DipnotMetni"/>
        <w:tabs>
          <w:tab w:val="left" w:pos="2940"/>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Easterbrook/</w:t>
      </w:r>
      <w:proofErr w:type="spellStart"/>
      <w:r w:rsidRPr="009975EA">
        <w:rPr>
          <w:rFonts w:ascii="Times New Roman" w:hAnsi="Times New Roman" w:cs="Times New Roman"/>
          <w:sz w:val="20"/>
          <w:szCs w:val="20"/>
        </w:rPr>
        <w:t>Fischel</w:t>
      </w:r>
      <w:proofErr w:type="spellEnd"/>
      <w:r w:rsidRPr="009975EA">
        <w:rPr>
          <w:rFonts w:ascii="Times New Roman" w:hAnsi="Times New Roman" w:cs="Times New Roman"/>
          <w:sz w:val="20"/>
          <w:szCs w:val="20"/>
        </w:rPr>
        <w:t xml:space="preserve">, p.15. </w:t>
      </w:r>
      <w:r w:rsidRPr="009975EA">
        <w:rPr>
          <w:rFonts w:ascii="Times New Roman" w:hAnsi="Times New Roman" w:cs="Times New Roman"/>
          <w:sz w:val="20"/>
          <w:szCs w:val="20"/>
        </w:rPr>
        <w:tab/>
      </w:r>
    </w:p>
  </w:footnote>
  <w:footnote w:id="117">
    <w:p w14:paraId="48D8C960"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Easterbrook/</w:t>
      </w:r>
      <w:proofErr w:type="spellStart"/>
      <w:r w:rsidRPr="009975EA">
        <w:rPr>
          <w:rFonts w:ascii="Times New Roman" w:hAnsi="Times New Roman" w:cs="Times New Roman"/>
          <w:sz w:val="20"/>
          <w:szCs w:val="20"/>
        </w:rPr>
        <w:t>Fischel</w:t>
      </w:r>
      <w:proofErr w:type="spellEnd"/>
      <w:r w:rsidRPr="009975EA">
        <w:rPr>
          <w:rFonts w:ascii="Times New Roman" w:hAnsi="Times New Roman" w:cs="Times New Roman"/>
          <w:sz w:val="20"/>
          <w:szCs w:val="20"/>
        </w:rPr>
        <w:t>, p.35.</w:t>
      </w:r>
    </w:p>
  </w:footnote>
  <w:footnote w:id="118">
    <w:p w14:paraId="503B2D9B"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“Under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expanded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choice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conception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ideally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standard</w:t>
      </w:r>
      <w:proofErr w:type="spellEnd"/>
      <w:r w:rsidRPr="009975EA">
        <w:rPr>
          <w:rFonts w:ascii="Times New Roman" w:hAnsi="Times New Roman" w:cs="Times New Roman"/>
          <w:sz w:val="20"/>
          <w:szCs w:val="20"/>
        </w:rPr>
        <w:t xml:space="preserve"> form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match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results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costless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bargaining</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Cheffins</w:t>
      </w:r>
      <w:proofErr w:type="spellEnd"/>
      <w:r w:rsidRPr="009975EA">
        <w:rPr>
          <w:rFonts w:ascii="Times New Roman" w:hAnsi="Times New Roman" w:cs="Times New Roman"/>
          <w:sz w:val="20"/>
          <w:szCs w:val="20"/>
        </w:rPr>
        <w:t>, p.787)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supply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implicit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consistent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prefer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reduce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cost</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Mahoney</w:t>
      </w:r>
      <w:proofErr w:type="spellEnd"/>
      <w:r w:rsidRPr="009975EA">
        <w:rPr>
          <w:rFonts w:ascii="Times New Roman" w:hAnsi="Times New Roman" w:cs="Times New Roman"/>
          <w:color w:val="000000"/>
          <w:sz w:val="20"/>
          <w:szCs w:val="20"/>
        </w:rPr>
        <w:t>, p.193)</w:t>
      </w:r>
    </w:p>
  </w:footnote>
  <w:footnote w:id="119">
    <w:p w14:paraId="3FB2562B" w14:textId="128F51E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Roberta Romano, </w:t>
      </w:r>
      <w:r w:rsidRPr="00321FCE">
        <w:rPr>
          <w:rFonts w:ascii="Times New Roman" w:hAnsi="Times New Roman" w:cs="Times New Roman"/>
          <w:i/>
          <w:sz w:val="20"/>
          <w:szCs w:val="20"/>
        </w:rPr>
        <w:t>The Sarbanes- Oxley Act and the Making of Quack Corporate Governance,</w:t>
      </w:r>
      <w:r>
        <w:rPr>
          <w:rFonts w:ascii="Times New Roman" w:hAnsi="Times New Roman" w:cs="Times New Roman"/>
          <w:sz w:val="20"/>
          <w:szCs w:val="20"/>
        </w:rPr>
        <w:t xml:space="preserve"> 114 Yale L. J. 1521, at </w:t>
      </w:r>
      <w:r w:rsidRPr="009975EA">
        <w:rPr>
          <w:rFonts w:ascii="Times New Roman" w:hAnsi="Times New Roman" w:cs="Times New Roman"/>
          <w:sz w:val="20"/>
          <w:szCs w:val="20"/>
        </w:rPr>
        <w:t>1596.</w:t>
      </w:r>
    </w:p>
  </w:footnote>
  <w:footnote w:id="120">
    <w:p w14:paraId="37A097D9"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Easterbrook/</w:t>
      </w:r>
      <w:proofErr w:type="spellStart"/>
      <w:r w:rsidRPr="009975EA">
        <w:rPr>
          <w:rFonts w:ascii="Times New Roman" w:hAnsi="Times New Roman" w:cs="Times New Roman"/>
          <w:sz w:val="20"/>
          <w:szCs w:val="20"/>
        </w:rPr>
        <w:t>Fischel</w:t>
      </w:r>
      <w:proofErr w:type="spellEnd"/>
      <w:r w:rsidRPr="009975EA">
        <w:rPr>
          <w:rFonts w:ascii="Times New Roman" w:hAnsi="Times New Roman" w:cs="Times New Roman"/>
          <w:sz w:val="20"/>
          <w:szCs w:val="20"/>
        </w:rPr>
        <w:t>, p.276.</w:t>
      </w:r>
    </w:p>
  </w:footnote>
  <w:footnote w:id="121">
    <w:p w14:paraId="13150D51" w14:textId="5380663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Alastair Hudson, </w:t>
      </w:r>
      <w:r w:rsidRPr="00D55048">
        <w:rPr>
          <w:rFonts w:ascii="Times New Roman" w:hAnsi="Times New Roman" w:cs="Times New Roman"/>
          <w:i/>
          <w:sz w:val="20"/>
          <w:szCs w:val="20"/>
        </w:rPr>
        <w:t>Securities Law</w:t>
      </w:r>
      <w:r>
        <w:rPr>
          <w:rFonts w:ascii="Times New Roman" w:hAnsi="Times New Roman" w:cs="Times New Roman"/>
          <w:sz w:val="20"/>
          <w:szCs w:val="20"/>
        </w:rPr>
        <w:t xml:space="preserve"> 324 (</w:t>
      </w:r>
      <w:r w:rsidRPr="009975EA">
        <w:rPr>
          <w:rFonts w:ascii="Times New Roman" w:hAnsi="Times New Roman" w:cs="Times New Roman"/>
          <w:sz w:val="20"/>
          <w:szCs w:val="20"/>
        </w:rPr>
        <w:t>2008</w:t>
      </w:r>
      <w:r>
        <w:rPr>
          <w:rFonts w:ascii="Times New Roman" w:hAnsi="Times New Roman" w:cs="Times New Roman"/>
          <w:sz w:val="20"/>
          <w:szCs w:val="20"/>
        </w:rPr>
        <w:t>).</w:t>
      </w:r>
    </w:p>
  </w:footnote>
  <w:footnote w:id="122">
    <w:p w14:paraId="26EE2CB6" w14:textId="49457F2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articles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may</w:t>
      </w:r>
      <w:proofErr w:type="spellEnd"/>
      <w:r w:rsidRPr="009975EA">
        <w:rPr>
          <w:rFonts w:ascii="Times New Roman" w:hAnsi="Times New Roman" w:cs="Times New Roman"/>
          <w:color w:val="000000"/>
          <w:sz w:val="20"/>
          <w:szCs w:val="20"/>
          <w:lang w:val="tr-TR"/>
        </w:rPr>
        <w:t xml:space="preserve"> not be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only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contractual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terms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relationship</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between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company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shareholder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company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shareholder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may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establish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additional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contractual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arrangements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governing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their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relationship</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additional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agreements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typical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where</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different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class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shares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created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issued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such</w:t>
      </w:r>
      <w:proofErr w:type="spellEnd"/>
      <w:r w:rsidRPr="009975EA">
        <w:rPr>
          <w:rFonts w:ascii="Times New Roman" w:hAnsi="Times New Roman" w:cs="Times New Roman"/>
          <w:color w:val="000000"/>
          <w:sz w:val="20"/>
          <w:szCs w:val="20"/>
          <w:lang w:val="tr-TR"/>
        </w:rPr>
        <w:t xml:space="preserve"> as </w:t>
      </w:r>
      <w:proofErr w:type="spellStart"/>
      <w:r w:rsidRPr="009975EA">
        <w:rPr>
          <w:rFonts w:ascii="Times New Roman" w:hAnsi="Times New Roman" w:cs="Times New Roman"/>
          <w:color w:val="000000"/>
          <w:sz w:val="20"/>
          <w:szCs w:val="20"/>
          <w:lang w:val="tr-TR"/>
        </w:rPr>
        <w:t>preference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redeemable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terms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issue</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these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typically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contained</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issue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document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supplement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provisions</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articles</w:t>
      </w:r>
      <w:proofErr w:type="spellEnd"/>
      <w:r w:rsidRPr="009975EA">
        <w:rPr>
          <w:rFonts w:ascii="Times New Roman" w:hAnsi="Times New Roman" w:cs="Times New Roman"/>
          <w:color w:val="000000"/>
          <w:sz w:val="20"/>
          <w:szCs w:val="20"/>
          <w:lang w:val="tr-TR"/>
        </w:rPr>
        <w:t>.” (</w:t>
      </w:r>
      <w:r w:rsidRPr="009975EA">
        <w:rPr>
          <w:rFonts w:ascii="Times New Roman" w:hAnsi="Times New Roman" w:cs="Times New Roman"/>
          <w:sz w:val="20"/>
          <w:szCs w:val="20"/>
        </w:rPr>
        <w:t>Susan McLaughlin</w:t>
      </w:r>
      <w:r w:rsidRPr="006559C9">
        <w:rPr>
          <w:rFonts w:ascii="Times New Roman" w:hAnsi="Times New Roman" w:cs="Times New Roman"/>
          <w:i/>
          <w:sz w:val="20"/>
          <w:szCs w:val="20"/>
        </w:rPr>
        <w:t>, Unlocking Company Law</w:t>
      </w:r>
      <w:r>
        <w:rPr>
          <w:rFonts w:ascii="Times New Roman" w:hAnsi="Times New Roman" w:cs="Times New Roman"/>
          <w:sz w:val="20"/>
          <w:szCs w:val="20"/>
        </w:rPr>
        <w:t xml:space="preserve"> 148 (</w:t>
      </w:r>
      <w:r w:rsidRPr="009975EA">
        <w:rPr>
          <w:rFonts w:ascii="Times New Roman" w:hAnsi="Times New Roman" w:cs="Times New Roman"/>
          <w:sz w:val="20"/>
          <w:szCs w:val="20"/>
        </w:rPr>
        <w:t>2. Ed, 2012</w:t>
      </w:r>
      <w:r>
        <w:rPr>
          <w:rFonts w:ascii="Times New Roman" w:hAnsi="Times New Roman" w:cs="Times New Roman"/>
          <w:sz w:val="20"/>
          <w:szCs w:val="20"/>
        </w:rPr>
        <w:t>)).</w:t>
      </w:r>
    </w:p>
  </w:footnote>
  <w:footnote w:id="123">
    <w:p w14:paraId="6FCB4B53" w14:textId="0B01B56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Hudson, p.329. The legal nature of the marketing material (prospectus) shows the rationale of accepting its terms as the additional terms of the corporate contract: The term ‘prospectus’ is well understood to refer to a document soliciting the public to acquire securities from the issuer, and the use of the term “prospectus” to refer to public solicitations explains why securities laws grant buyers a right to rescind or sue for damages without proof of fraud or reliance if there is a violation of the statutory prospectus requirements, because the information therein determines the market price of the security (Gustafson v. </w:t>
      </w:r>
      <w:proofErr w:type="spellStart"/>
      <w:r w:rsidRPr="009975EA">
        <w:rPr>
          <w:rFonts w:ascii="Times New Roman" w:hAnsi="Times New Roman" w:cs="Times New Roman"/>
          <w:sz w:val="20"/>
          <w:szCs w:val="20"/>
        </w:rPr>
        <w:t>Alloyd</w:t>
      </w:r>
      <w:proofErr w:type="spellEnd"/>
      <w:r w:rsidRPr="009975EA">
        <w:rPr>
          <w:rFonts w:ascii="Times New Roman" w:hAnsi="Times New Roman" w:cs="Times New Roman"/>
          <w:sz w:val="20"/>
          <w:szCs w:val="20"/>
        </w:rPr>
        <w:t xml:space="preserve"> Co., Inc., 513 U.S. 561 (1995)). </w:t>
      </w:r>
    </w:p>
  </w:footnote>
  <w:footnote w:id="124">
    <w:p w14:paraId="03F0EDD7" w14:textId="6AF83FC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Hudson, p.534. “The relation between a corporation and a preferred shareholder is one of contract, especially as to the preferential right secured by the terms of the issue” (Schaad v. Hotel Easton Co., 369 Pa. 486 (1952)). </w:t>
      </w:r>
    </w:p>
  </w:footnote>
  <w:footnote w:id="125">
    <w:p w14:paraId="1AA901CD" w14:textId="5141A629"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Ronald </w:t>
      </w:r>
      <w:proofErr w:type="spellStart"/>
      <w:r w:rsidRPr="009975EA">
        <w:rPr>
          <w:rFonts w:ascii="Times New Roman" w:hAnsi="Times New Roman" w:cs="Times New Roman"/>
          <w:sz w:val="20"/>
          <w:szCs w:val="20"/>
        </w:rPr>
        <w:t>Coase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outlines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concept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transaction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costs</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follows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carry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out</w:t>
      </w:r>
      <w:proofErr w:type="spellEnd"/>
      <w:r w:rsidRPr="009975EA">
        <w:rPr>
          <w:rFonts w:ascii="Times New Roman" w:hAnsi="Times New Roman" w:cs="Times New Roman"/>
          <w:sz w:val="20"/>
          <w:szCs w:val="20"/>
        </w:rPr>
        <w:t xml:space="preserve"> a market </w:t>
      </w:r>
      <w:proofErr w:type="spellStart"/>
      <w:r w:rsidRPr="009975EA">
        <w:rPr>
          <w:rFonts w:ascii="Times New Roman" w:hAnsi="Times New Roman" w:cs="Times New Roman"/>
          <w:sz w:val="20"/>
          <w:szCs w:val="20"/>
        </w:rPr>
        <w:t>transaction</w:t>
      </w:r>
      <w:proofErr w:type="spellEnd"/>
      <w:r w:rsidRPr="009975EA">
        <w:rPr>
          <w:rFonts w:ascii="Times New Roman" w:hAnsi="Times New Roman" w:cs="Times New Roman"/>
          <w:sz w:val="20"/>
          <w:szCs w:val="20"/>
        </w:rPr>
        <w:t xml:space="preserve"> it is </w:t>
      </w:r>
      <w:proofErr w:type="spellStart"/>
      <w:r w:rsidRPr="009975EA">
        <w:rPr>
          <w:rFonts w:ascii="Times New Roman" w:hAnsi="Times New Roman" w:cs="Times New Roman"/>
          <w:sz w:val="20"/>
          <w:szCs w:val="20"/>
        </w:rPr>
        <w:t>necessary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discover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who</w:t>
      </w:r>
      <w:proofErr w:type="spellEnd"/>
      <w:r w:rsidRPr="009975EA">
        <w:rPr>
          <w:rFonts w:ascii="Times New Roman" w:hAnsi="Times New Roman" w:cs="Times New Roman"/>
          <w:sz w:val="20"/>
          <w:szCs w:val="20"/>
        </w:rPr>
        <w:t xml:space="preserve"> it is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wishes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inform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people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wishes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what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conduct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negotiations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leading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bargain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draw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contract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undertake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inspection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needed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make</w:t>
      </w:r>
      <w:proofErr w:type="spellEnd"/>
      <w:r w:rsidRPr="009975EA">
        <w:rPr>
          <w:rFonts w:ascii="Times New Roman" w:hAnsi="Times New Roman" w:cs="Times New Roman"/>
          <w:sz w:val="20"/>
          <w:szCs w:val="20"/>
        </w:rPr>
        <w:t xml:space="preserve"> sure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contract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observed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These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operations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costly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sufficiently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costly</w:t>
      </w:r>
      <w:proofErr w:type="spellEnd"/>
      <w:r w:rsidRPr="009975EA">
        <w:rPr>
          <w:rFonts w:ascii="Times New Roman" w:hAnsi="Times New Roman" w:cs="Times New Roman"/>
          <w:sz w:val="20"/>
          <w:szCs w:val="20"/>
        </w:rPr>
        <w:t xml:space="preserve"> at </w:t>
      </w:r>
      <w:proofErr w:type="spellStart"/>
      <w:r w:rsidRPr="009975EA">
        <w:rPr>
          <w:rFonts w:ascii="Times New Roman" w:hAnsi="Times New Roman" w:cs="Times New Roman"/>
          <w:sz w:val="20"/>
          <w:szCs w:val="20"/>
        </w:rPr>
        <w:t>any</w:t>
      </w:r>
      <w:proofErr w:type="spellEnd"/>
      <w:r w:rsidRPr="009975EA">
        <w:rPr>
          <w:rFonts w:ascii="Times New Roman" w:hAnsi="Times New Roman" w:cs="Times New Roman"/>
          <w:sz w:val="20"/>
          <w:szCs w:val="20"/>
        </w:rPr>
        <w:t xml:space="preserve"> rate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prevent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transactions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would</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carried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out</w:t>
      </w:r>
      <w:proofErr w:type="spellEnd"/>
      <w:r w:rsidRPr="009975EA">
        <w:rPr>
          <w:rFonts w:ascii="Times New Roman" w:hAnsi="Times New Roman" w:cs="Times New Roman"/>
          <w:sz w:val="20"/>
          <w:szCs w:val="20"/>
        </w:rPr>
        <w:t xml:space="preserve"> in a </w:t>
      </w:r>
      <w:proofErr w:type="spellStart"/>
      <w:r w:rsidRPr="009975EA">
        <w:rPr>
          <w:rFonts w:ascii="Times New Roman" w:hAnsi="Times New Roman" w:cs="Times New Roman"/>
          <w:sz w:val="20"/>
          <w:szCs w:val="20"/>
        </w:rPr>
        <w:t>world</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pricing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system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worked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cost</w:t>
      </w:r>
      <w:proofErr w:type="spellEnd"/>
      <w:r w:rsidRPr="009975EA">
        <w:rPr>
          <w:rFonts w:ascii="Times New Roman" w:hAnsi="Times New Roman" w:cs="Times New Roman"/>
          <w:sz w:val="20"/>
          <w:szCs w:val="20"/>
        </w:rPr>
        <w:t>.” (</w:t>
      </w:r>
      <w:r w:rsidRPr="009975EA">
        <w:rPr>
          <w:rFonts w:ascii="Times New Roman" w:hAnsi="Times New Roman" w:cs="Times New Roman"/>
          <w:color w:val="000000"/>
          <w:sz w:val="20"/>
          <w:szCs w:val="20"/>
        </w:rPr>
        <w:t xml:space="preserve">R.H. </w:t>
      </w:r>
      <w:proofErr w:type="spellStart"/>
      <w:r w:rsidRPr="009975EA">
        <w:rPr>
          <w:rFonts w:ascii="Times New Roman" w:hAnsi="Times New Roman" w:cs="Times New Roman"/>
          <w:color w:val="000000"/>
          <w:sz w:val="20"/>
          <w:szCs w:val="20"/>
        </w:rPr>
        <w:t>Coase</w:t>
      </w:r>
      <w:proofErr w:type="spellEnd"/>
      <w:r w:rsidRPr="009975EA">
        <w:rPr>
          <w:rFonts w:ascii="Times New Roman" w:hAnsi="Times New Roman" w:cs="Times New Roman"/>
          <w:color w:val="000000"/>
          <w:sz w:val="20"/>
          <w:szCs w:val="20"/>
        </w:rPr>
        <w:t xml:space="preserve">, </w:t>
      </w:r>
      <w:proofErr w:type="spellStart"/>
      <w:r w:rsidRPr="006559C9">
        <w:rPr>
          <w:rFonts w:ascii="Times New Roman" w:hAnsi="Times New Roman" w:cs="Times New Roman"/>
          <w:i/>
          <w:color w:val="000000"/>
          <w:sz w:val="20"/>
          <w:szCs w:val="20"/>
        </w:rPr>
        <w:t>The</w:t>
      </w:r>
      <w:proofErr w:type="spellEnd"/>
      <w:r w:rsidRPr="006559C9">
        <w:rPr>
          <w:rFonts w:ascii="Times New Roman" w:hAnsi="Times New Roman" w:cs="Times New Roman"/>
          <w:i/>
          <w:color w:val="000000"/>
          <w:sz w:val="20"/>
          <w:szCs w:val="20"/>
        </w:rPr>
        <w:t xml:space="preserve"> Problem of </w:t>
      </w:r>
      <w:proofErr w:type="spellStart"/>
      <w:r w:rsidRPr="006559C9">
        <w:rPr>
          <w:rFonts w:ascii="Times New Roman" w:hAnsi="Times New Roman" w:cs="Times New Roman"/>
          <w:i/>
          <w:color w:val="000000"/>
          <w:sz w:val="20"/>
          <w:szCs w:val="20"/>
        </w:rPr>
        <w:t>Social</w:t>
      </w:r>
      <w:proofErr w:type="spellEnd"/>
      <w:r w:rsidRPr="006559C9">
        <w:rPr>
          <w:rFonts w:ascii="Times New Roman" w:hAnsi="Times New Roman" w:cs="Times New Roman"/>
          <w:i/>
          <w:color w:val="000000"/>
          <w:sz w:val="20"/>
          <w:szCs w:val="20"/>
        </w:rPr>
        <w:t xml:space="preserve"> </w:t>
      </w:r>
      <w:proofErr w:type="spellStart"/>
      <w:r w:rsidRPr="006559C9">
        <w:rPr>
          <w:rFonts w:ascii="Times New Roman" w:hAnsi="Times New Roman" w:cs="Times New Roman"/>
          <w:i/>
          <w:color w:val="000000"/>
          <w:sz w:val="20"/>
          <w:szCs w:val="20"/>
        </w:rPr>
        <w:t>Cost</w:t>
      </w:r>
      <w:proofErr w:type="spellEnd"/>
      <w:r>
        <w:rPr>
          <w:rFonts w:ascii="Times New Roman" w:hAnsi="Times New Roman" w:cs="Times New Roman"/>
          <w:color w:val="000000"/>
          <w:sz w:val="20"/>
          <w:szCs w:val="20"/>
        </w:rPr>
        <w:t xml:space="preserve">, 3 J. </w:t>
      </w:r>
      <w:proofErr w:type="spellStart"/>
      <w:r>
        <w:rPr>
          <w:rFonts w:ascii="Times New Roman" w:hAnsi="Times New Roman" w:cs="Times New Roman"/>
          <w:color w:val="000000"/>
          <w:sz w:val="20"/>
          <w:szCs w:val="20"/>
        </w:rPr>
        <w:t>Law</w:t>
      </w:r>
      <w:proofErr w:type="spellEnd"/>
      <w:r>
        <w:rPr>
          <w:rFonts w:ascii="Times New Roman" w:hAnsi="Times New Roman" w:cs="Times New Roman"/>
          <w:color w:val="000000"/>
          <w:sz w:val="20"/>
          <w:szCs w:val="20"/>
        </w:rPr>
        <w:t xml:space="preserve"> &amp; </w:t>
      </w:r>
      <w:proofErr w:type="spellStart"/>
      <w:r>
        <w:rPr>
          <w:rFonts w:ascii="Times New Roman" w:hAnsi="Times New Roman" w:cs="Times New Roman"/>
          <w:color w:val="000000"/>
          <w:sz w:val="20"/>
          <w:szCs w:val="20"/>
        </w:rPr>
        <w:t>Econ</w:t>
      </w:r>
      <w:proofErr w:type="spellEnd"/>
      <w:r>
        <w:rPr>
          <w:rFonts w:ascii="Times New Roman" w:hAnsi="Times New Roman" w:cs="Times New Roman"/>
          <w:color w:val="000000"/>
          <w:sz w:val="20"/>
          <w:szCs w:val="20"/>
        </w:rPr>
        <w:t xml:space="preserve">. 1 (1960) </w:t>
      </w:r>
      <w:r w:rsidR="00891F39">
        <w:rPr>
          <w:rFonts w:ascii="Times New Roman" w:hAnsi="Times New Roman" w:cs="Times New Roman"/>
          <w:color w:val="000000"/>
          <w:sz w:val="20"/>
          <w:szCs w:val="20"/>
        </w:rPr>
        <w:t>p.</w:t>
      </w:r>
      <w:r>
        <w:rPr>
          <w:rFonts w:ascii="Times New Roman" w:hAnsi="Times New Roman" w:cs="Times New Roman"/>
          <w:color w:val="000000"/>
          <w:sz w:val="20"/>
          <w:szCs w:val="20"/>
        </w:rPr>
        <w:t xml:space="preserve"> </w:t>
      </w:r>
      <w:r w:rsidRPr="009975EA">
        <w:rPr>
          <w:rFonts w:ascii="Times New Roman" w:hAnsi="Times New Roman" w:cs="Times New Roman"/>
          <w:color w:val="000000"/>
          <w:sz w:val="20"/>
          <w:szCs w:val="20"/>
        </w:rPr>
        <w:t>15</w:t>
      </w:r>
      <w:r w:rsidRPr="009975EA">
        <w:rPr>
          <w:rFonts w:ascii="Times New Roman" w:hAnsi="Times New Roman" w:cs="Times New Roman"/>
          <w:sz w:val="20"/>
          <w:szCs w:val="20"/>
        </w:rPr>
        <w:t>)</w:t>
      </w:r>
    </w:p>
  </w:footnote>
  <w:footnote w:id="126">
    <w:p w14:paraId="0BEFA02F" w14:textId="6957F76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historical evolution of securities law in England can be traced to recognize this nature of the securities law: </w:t>
      </w:r>
      <w:r w:rsidRPr="009975EA">
        <w:rPr>
          <w:rFonts w:ascii="Times New Roman" w:hAnsi="Times New Roman" w:cs="Times New Roman"/>
          <w:color w:val="000000"/>
          <w:sz w:val="20"/>
          <w:szCs w:val="20"/>
          <w:lang w:val="tr-TR"/>
        </w:rPr>
        <w:t>“</w:t>
      </w:r>
      <w:proofErr w:type="spellStart"/>
      <w:r w:rsidRPr="009975EA">
        <w:rPr>
          <w:rFonts w:ascii="Times New Roman" w:hAnsi="Times New Roman" w:cs="Times New Roman"/>
          <w:color w:val="000000"/>
          <w:sz w:val="20"/>
          <w:szCs w:val="20"/>
          <w:lang w:val="tr-TR"/>
        </w:rPr>
        <w:t>Even</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Victorian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period</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promoters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before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company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acquired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its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distinct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persnality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would</w:t>
      </w:r>
      <w:proofErr w:type="spellEnd"/>
      <w:r w:rsidRPr="009975EA">
        <w:rPr>
          <w:rFonts w:ascii="Times New Roman" w:hAnsi="Times New Roman" w:cs="Times New Roman"/>
          <w:color w:val="000000"/>
          <w:sz w:val="20"/>
          <w:szCs w:val="20"/>
          <w:lang w:val="tr-TR"/>
        </w:rPr>
        <w:t xml:space="preserve"> be </w:t>
      </w:r>
      <w:proofErr w:type="spellStart"/>
      <w:r w:rsidRPr="009975EA">
        <w:rPr>
          <w:rFonts w:ascii="Times New Roman" w:hAnsi="Times New Roman" w:cs="Times New Roman"/>
          <w:color w:val="000000"/>
          <w:sz w:val="20"/>
          <w:szCs w:val="20"/>
          <w:lang w:val="tr-TR"/>
        </w:rPr>
        <w:t>some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advertising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literature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which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sought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induce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investors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spend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their</w:t>
      </w:r>
      <w:proofErr w:type="spellEnd"/>
      <w:r w:rsidRPr="009975EA">
        <w:rPr>
          <w:rFonts w:ascii="Times New Roman" w:hAnsi="Times New Roman" w:cs="Times New Roman"/>
          <w:color w:val="000000"/>
          <w:sz w:val="20"/>
          <w:szCs w:val="20"/>
          <w:lang w:val="tr-TR"/>
        </w:rPr>
        <w:t xml:space="preserve"> Money on </w:t>
      </w:r>
      <w:proofErr w:type="spellStart"/>
      <w:r w:rsidRPr="009975EA">
        <w:rPr>
          <w:rFonts w:ascii="Times New Roman" w:hAnsi="Times New Roman" w:cs="Times New Roman"/>
          <w:color w:val="000000"/>
          <w:sz w:val="20"/>
          <w:szCs w:val="20"/>
          <w:lang w:val="tr-TR"/>
        </w:rPr>
        <w:t>acquiring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securities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given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kind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This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advertising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material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was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known</w:t>
      </w:r>
      <w:proofErr w:type="spellEnd"/>
      <w:r w:rsidRPr="009975EA">
        <w:rPr>
          <w:rFonts w:ascii="Times New Roman" w:hAnsi="Times New Roman" w:cs="Times New Roman"/>
          <w:color w:val="000000"/>
          <w:sz w:val="20"/>
          <w:szCs w:val="20"/>
          <w:lang w:val="tr-TR"/>
        </w:rPr>
        <w:t xml:space="preserve"> as a </w:t>
      </w:r>
      <w:proofErr w:type="spellStart"/>
      <w:r w:rsidRPr="009975EA">
        <w:rPr>
          <w:rFonts w:ascii="Times New Roman" w:hAnsi="Times New Roman" w:cs="Times New Roman"/>
          <w:color w:val="000000"/>
          <w:sz w:val="20"/>
          <w:szCs w:val="20"/>
          <w:lang w:val="tr-TR"/>
        </w:rPr>
        <w:t>prospectus</w:t>
      </w:r>
      <w:proofErr w:type="spellEnd"/>
      <w:r w:rsidRPr="009975EA">
        <w:rPr>
          <w:rFonts w:ascii="Times New Roman" w:hAnsi="Times New Roman" w:cs="Times New Roman"/>
          <w:color w:val="000000"/>
          <w:sz w:val="20"/>
          <w:szCs w:val="20"/>
          <w:lang w:val="tr-TR"/>
        </w:rPr>
        <w:t xml:space="preserve">” (Hudson, p.23). </w:t>
      </w:r>
      <w:proofErr w:type="spellStart"/>
      <w:r w:rsidRPr="009975EA">
        <w:rPr>
          <w:rFonts w:ascii="Times New Roman" w:hAnsi="Times New Roman" w:cs="Times New Roman"/>
          <w:color w:val="000000"/>
          <w:sz w:val="20"/>
          <w:szCs w:val="20"/>
          <w:lang w:val="tr-TR"/>
        </w:rPr>
        <w:t>Consequently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common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law</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dealing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with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investment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contracts</w:t>
      </w:r>
      <w:proofErr w:type="spellEnd"/>
      <w:r w:rsidRPr="009975EA">
        <w:rPr>
          <w:rFonts w:ascii="Times New Roman" w:hAnsi="Times New Roman" w:cs="Times New Roman"/>
          <w:color w:val="000000"/>
          <w:sz w:val="20"/>
          <w:szCs w:val="20"/>
          <w:lang w:val="tr-TR"/>
        </w:rPr>
        <w:t xml:space="preserve"> has </w:t>
      </w:r>
      <w:proofErr w:type="spellStart"/>
      <w:r w:rsidRPr="009975EA">
        <w:rPr>
          <w:rFonts w:ascii="Times New Roman" w:hAnsi="Times New Roman" w:cs="Times New Roman"/>
          <w:color w:val="000000"/>
          <w:sz w:val="20"/>
          <w:szCs w:val="20"/>
          <w:lang w:val="tr-TR"/>
        </w:rPr>
        <w:t>dealt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frequently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with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provisions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prospectuses</w:t>
      </w:r>
      <w:proofErr w:type="spellEnd"/>
      <w:r w:rsidRPr="009975EA">
        <w:rPr>
          <w:rFonts w:ascii="Times New Roman" w:hAnsi="Times New Roman" w:cs="Times New Roman"/>
          <w:color w:val="000000"/>
          <w:sz w:val="20"/>
          <w:szCs w:val="20"/>
          <w:lang w:val="tr-TR"/>
        </w:rPr>
        <w:t xml:space="preserve"> (Hudson, p.24).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offer</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securities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their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acquisiton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constituted</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contract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principal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focus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litigation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therefore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tended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focus</w:t>
      </w:r>
      <w:proofErr w:type="spellEnd"/>
      <w:r w:rsidRPr="009975EA">
        <w:rPr>
          <w:rFonts w:ascii="Times New Roman" w:hAnsi="Times New Roman" w:cs="Times New Roman"/>
          <w:color w:val="000000"/>
          <w:sz w:val="20"/>
          <w:szCs w:val="20"/>
          <w:lang w:val="tr-TR"/>
        </w:rPr>
        <w:t xml:space="preserve"> on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question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whether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not </w:t>
      </w:r>
      <w:proofErr w:type="spellStart"/>
      <w:r w:rsidRPr="009975EA">
        <w:rPr>
          <w:rFonts w:ascii="Times New Roman" w:hAnsi="Times New Roman" w:cs="Times New Roman"/>
          <w:color w:val="000000"/>
          <w:sz w:val="20"/>
          <w:szCs w:val="20"/>
          <w:lang w:val="tr-TR"/>
        </w:rPr>
        <w:t>those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promoters</w:t>
      </w:r>
      <w:proofErr w:type="spellEnd"/>
      <w:r w:rsidRPr="009975EA">
        <w:rPr>
          <w:rFonts w:ascii="Times New Roman" w:hAnsi="Times New Roman" w:cs="Times New Roman"/>
          <w:color w:val="000000"/>
          <w:sz w:val="20"/>
          <w:szCs w:val="20"/>
          <w:lang w:val="tr-TR"/>
        </w:rPr>
        <w:t xml:space="preserve"> had </w:t>
      </w:r>
      <w:proofErr w:type="spellStart"/>
      <w:r w:rsidRPr="009975EA">
        <w:rPr>
          <w:rFonts w:ascii="Times New Roman" w:hAnsi="Times New Roman" w:cs="Times New Roman"/>
          <w:color w:val="000000"/>
          <w:sz w:val="20"/>
          <w:szCs w:val="20"/>
          <w:lang w:val="tr-TR"/>
        </w:rPr>
        <w:t>commited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fraud</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marketing of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company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had </w:t>
      </w:r>
      <w:proofErr w:type="spellStart"/>
      <w:r w:rsidRPr="009975EA">
        <w:rPr>
          <w:rFonts w:ascii="Times New Roman" w:hAnsi="Times New Roman" w:cs="Times New Roman"/>
          <w:color w:val="000000"/>
          <w:sz w:val="20"/>
          <w:szCs w:val="20"/>
          <w:lang w:val="tr-TR"/>
        </w:rPr>
        <w:t>some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negligent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misrepresentation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misstatement</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formation</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contract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sale</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shares</w:t>
      </w:r>
      <w:proofErr w:type="spellEnd"/>
      <w:r w:rsidRPr="009975EA">
        <w:rPr>
          <w:rFonts w:ascii="Times New Roman" w:hAnsi="Times New Roman" w:cs="Times New Roman"/>
          <w:color w:val="000000"/>
          <w:sz w:val="20"/>
          <w:szCs w:val="20"/>
          <w:lang w:val="tr-TR"/>
        </w:rPr>
        <w:t xml:space="preserve"> (Hudson, p.22). </w:t>
      </w:r>
      <w:proofErr w:type="spellStart"/>
      <w:r w:rsidRPr="009975EA">
        <w:rPr>
          <w:rFonts w:ascii="Times New Roman" w:hAnsi="Times New Roman" w:cs="Times New Roman"/>
          <w:color w:val="000000"/>
          <w:sz w:val="20"/>
          <w:szCs w:val="20"/>
          <w:lang w:val="tr-TR"/>
        </w:rPr>
        <w:t>Similarly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advisors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company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whether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not </w:t>
      </w:r>
      <w:proofErr w:type="spellStart"/>
      <w:r w:rsidRPr="009975EA">
        <w:rPr>
          <w:rFonts w:ascii="Times New Roman" w:hAnsi="Times New Roman" w:cs="Times New Roman"/>
          <w:color w:val="000000"/>
          <w:sz w:val="20"/>
          <w:szCs w:val="20"/>
          <w:lang w:val="tr-TR"/>
        </w:rPr>
        <w:t>they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were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directors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that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company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partners</w:t>
      </w:r>
      <w:proofErr w:type="spellEnd"/>
      <w:r w:rsidRPr="009975EA">
        <w:rPr>
          <w:rFonts w:ascii="Times New Roman" w:hAnsi="Times New Roman" w:cs="Times New Roman"/>
          <w:color w:val="000000"/>
          <w:sz w:val="20"/>
          <w:szCs w:val="20"/>
          <w:lang w:val="tr-TR"/>
        </w:rPr>
        <w:t xml:space="preserve"> in a </w:t>
      </w:r>
      <w:proofErr w:type="spellStart"/>
      <w:r w:rsidRPr="009975EA">
        <w:rPr>
          <w:rFonts w:ascii="Times New Roman" w:hAnsi="Times New Roman" w:cs="Times New Roman"/>
          <w:color w:val="000000"/>
          <w:sz w:val="20"/>
          <w:szCs w:val="20"/>
          <w:lang w:val="tr-TR"/>
        </w:rPr>
        <w:t>joint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stock</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company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also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faced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similar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liability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involvement</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making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dissemination</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such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statements</w:t>
      </w:r>
      <w:proofErr w:type="spellEnd"/>
      <w:r w:rsidRPr="009975EA">
        <w:rPr>
          <w:rFonts w:ascii="Times New Roman" w:hAnsi="Times New Roman" w:cs="Times New Roman"/>
          <w:color w:val="000000"/>
          <w:sz w:val="20"/>
          <w:szCs w:val="20"/>
          <w:lang w:val="tr-TR"/>
        </w:rPr>
        <w:t xml:space="preserve"> (Hudson, p.22).</w:t>
      </w:r>
    </w:p>
  </w:footnote>
  <w:footnote w:id="127">
    <w:p w14:paraId="4289AB7C" w14:textId="6F6C5E91" w:rsidR="00D36541" w:rsidRPr="009975EA" w:rsidRDefault="00D36541" w:rsidP="009975EA">
      <w:pPr>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securities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worth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claims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entitle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owner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make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upon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assets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earnings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issuer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voting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power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accompanie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claims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deciding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whether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buy </w:t>
      </w:r>
      <w:proofErr w:type="spellStart"/>
      <w:r w:rsidRPr="009975EA">
        <w:rPr>
          <w:rFonts w:ascii="Times New Roman" w:hAnsi="Times New Roman" w:cs="Times New Roman"/>
          <w:sz w:val="20"/>
          <w:szCs w:val="20"/>
        </w:rPr>
        <w: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sell</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security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thus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requires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reliable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information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gramStart"/>
      <w:r w:rsidRPr="009975EA">
        <w:rPr>
          <w:rFonts w:ascii="Times New Roman" w:hAnsi="Times New Roman" w:cs="Times New Roman"/>
          <w:sz w:val="20"/>
          <w:szCs w:val="20"/>
        </w:rPr>
        <w:t>data</w:t>
      </w:r>
      <w:proofErr w:type="gram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investors</w:t>
      </w:r>
      <w:proofErr w:type="spellEnd"/>
      <w:r w:rsidRPr="009975EA">
        <w:rPr>
          <w:rFonts w:ascii="Times New Roman" w:hAnsi="Times New Roman" w:cs="Times New Roman"/>
          <w:sz w:val="20"/>
          <w:szCs w:val="20"/>
        </w:rPr>
        <w:t xml:space="preserve"> can </w:t>
      </w:r>
      <w:proofErr w:type="spellStart"/>
      <w:r w:rsidRPr="009975EA">
        <w:rPr>
          <w:rFonts w:ascii="Times New Roman" w:hAnsi="Times New Roman" w:cs="Times New Roman"/>
          <w:sz w:val="20"/>
          <w:szCs w:val="20"/>
        </w:rPr>
        <w:t>attempt</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reasonable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estimate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present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value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bundle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rights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ownership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confers</w:t>
      </w:r>
      <w:proofErr w:type="spellEnd"/>
      <w:r w:rsidRPr="009975EA">
        <w:rPr>
          <w:rFonts w:ascii="Times New Roman" w:hAnsi="Times New Roman" w:cs="Times New Roman"/>
          <w:sz w:val="20"/>
          <w:szCs w:val="20"/>
        </w:rPr>
        <w:t>”</w:t>
      </w:r>
      <w:r>
        <w:rPr>
          <w:rFonts w:ascii="Times New Roman" w:hAnsi="Times New Roman" w:cs="Times New Roman"/>
          <w:color w:val="000000"/>
          <w:sz w:val="20"/>
          <w:szCs w:val="20"/>
        </w:rPr>
        <w:t xml:space="preserve"> (James D. </w:t>
      </w:r>
      <w:proofErr w:type="spellStart"/>
      <w:r>
        <w:rPr>
          <w:rFonts w:ascii="Times New Roman" w:hAnsi="Times New Roman" w:cs="Times New Roman"/>
          <w:color w:val="000000"/>
          <w:sz w:val="20"/>
          <w:szCs w:val="20"/>
        </w:rPr>
        <w:t>Cox</w:t>
      </w:r>
      <w:proofErr w:type="spellEnd"/>
      <w:r>
        <w:rPr>
          <w:rFonts w:ascii="Times New Roman" w:hAnsi="Times New Roman" w:cs="Times New Roman"/>
          <w:color w:val="000000"/>
          <w:sz w:val="20"/>
          <w:szCs w:val="20"/>
        </w:rPr>
        <w:t xml:space="preserve">, Robert W. </w:t>
      </w:r>
      <w:proofErr w:type="spellStart"/>
      <w:r>
        <w:rPr>
          <w:rFonts w:ascii="Times New Roman" w:hAnsi="Times New Roman" w:cs="Times New Roman"/>
          <w:color w:val="000000"/>
          <w:sz w:val="20"/>
          <w:szCs w:val="20"/>
        </w:rPr>
        <w:t>Hillman</w:t>
      </w:r>
      <w:proofErr w:type="spellEnd"/>
      <w:r>
        <w:rPr>
          <w:rFonts w:ascii="Times New Roman" w:hAnsi="Times New Roman" w:cs="Times New Roman"/>
          <w:color w:val="000000"/>
          <w:sz w:val="20"/>
          <w:szCs w:val="20"/>
        </w:rPr>
        <w:t xml:space="preserve">, </w:t>
      </w:r>
      <w:r w:rsidRPr="009975EA">
        <w:rPr>
          <w:rFonts w:ascii="Times New Roman" w:hAnsi="Times New Roman" w:cs="Times New Roman"/>
          <w:color w:val="000000"/>
          <w:sz w:val="20"/>
          <w:szCs w:val="20"/>
        </w:rPr>
        <w:t xml:space="preserve">Donald C. </w:t>
      </w:r>
      <w:proofErr w:type="spellStart"/>
      <w:r w:rsidRPr="009975EA">
        <w:rPr>
          <w:rFonts w:ascii="Times New Roman" w:hAnsi="Times New Roman" w:cs="Times New Roman"/>
          <w:color w:val="000000"/>
          <w:sz w:val="20"/>
          <w:szCs w:val="20"/>
        </w:rPr>
        <w:t>Langevoort</w:t>
      </w:r>
      <w:proofErr w:type="spellEnd"/>
      <w:r w:rsidRPr="009975EA">
        <w:rPr>
          <w:rFonts w:ascii="Times New Roman" w:hAnsi="Times New Roman" w:cs="Times New Roman"/>
          <w:color w:val="000000"/>
          <w:sz w:val="20"/>
          <w:szCs w:val="20"/>
        </w:rPr>
        <w:t xml:space="preserve">, </w:t>
      </w:r>
      <w:proofErr w:type="spellStart"/>
      <w:r w:rsidRPr="006559C9">
        <w:rPr>
          <w:rFonts w:ascii="Times New Roman" w:hAnsi="Times New Roman" w:cs="Times New Roman"/>
          <w:i/>
          <w:color w:val="000000"/>
          <w:sz w:val="20"/>
          <w:szCs w:val="20"/>
        </w:rPr>
        <w:t>Securities</w:t>
      </w:r>
      <w:proofErr w:type="spellEnd"/>
      <w:r w:rsidRPr="006559C9">
        <w:rPr>
          <w:rFonts w:ascii="Times New Roman" w:hAnsi="Times New Roman" w:cs="Times New Roman"/>
          <w:i/>
          <w:color w:val="000000"/>
          <w:sz w:val="20"/>
          <w:szCs w:val="20"/>
        </w:rPr>
        <w:t xml:space="preserve"> </w:t>
      </w:r>
      <w:proofErr w:type="spellStart"/>
      <w:r w:rsidRPr="006559C9">
        <w:rPr>
          <w:rFonts w:ascii="Times New Roman" w:hAnsi="Times New Roman" w:cs="Times New Roman"/>
          <w:i/>
          <w:color w:val="000000"/>
          <w:sz w:val="20"/>
          <w:szCs w:val="20"/>
        </w:rPr>
        <w:t>Regulation</w:t>
      </w:r>
      <w:proofErr w:type="spellEnd"/>
      <w:r>
        <w:rPr>
          <w:rFonts w:ascii="Times New Roman" w:hAnsi="Times New Roman" w:cs="Times New Roman"/>
          <w:color w:val="000000"/>
          <w:sz w:val="20"/>
          <w:szCs w:val="20"/>
        </w:rPr>
        <w:t xml:space="preserve"> 1 (3. Ed. </w:t>
      </w:r>
      <w:r w:rsidRPr="009975EA">
        <w:rPr>
          <w:rFonts w:ascii="Times New Roman" w:hAnsi="Times New Roman" w:cs="Times New Roman"/>
          <w:color w:val="000000"/>
          <w:sz w:val="20"/>
          <w:szCs w:val="20"/>
        </w:rPr>
        <w:t>2001</w:t>
      </w:r>
      <w:r>
        <w:rPr>
          <w:rFonts w:ascii="Times New Roman" w:hAnsi="Times New Roman" w:cs="Times New Roman"/>
          <w:color w:val="000000"/>
          <w:sz w:val="20"/>
          <w:szCs w:val="20"/>
        </w:rPr>
        <w:t>))</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Securities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rules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working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preserve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integrity</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marketplace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protecting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fraud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manipulations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bears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connection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informational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needs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component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Investing</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after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all</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voluntary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can </w:t>
      </w:r>
      <w:proofErr w:type="spellStart"/>
      <w:r w:rsidRPr="009975EA">
        <w:rPr>
          <w:rFonts w:ascii="Times New Roman" w:hAnsi="Times New Roman" w:cs="Times New Roman"/>
          <w:sz w:val="20"/>
          <w:szCs w:val="20"/>
        </w:rPr>
        <w:t>obtain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some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money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if</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make</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offer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attractive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existing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alternatives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Easterbrook</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Fischel</w:t>
      </w:r>
      <w:proofErr w:type="spellEnd"/>
      <w:r w:rsidRPr="009975EA">
        <w:rPr>
          <w:rFonts w:ascii="Times New Roman" w:hAnsi="Times New Roman" w:cs="Times New Roman"/>
          <w:sz w:val="20"/>
          <w:szCs w:val="20"/>
        </w:rPr>
        <w:t xml:space="preserve">, p.283). </w:t>
      </w:r>
      <w:proofErr w:type="spellStart"/>
      <w:r w:rsidRPr="009975EA">
        <w:rPr>
          <w:rFonts w:ascii="Times New Roman" w:hAnsi="Times New Roman" w:cs="Times New Roman"/>
          <w:sz w:val="20"/>
          <w:szCs w:val="20"/>
        </w:rPr>
        <w:t>Mechanisms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ability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distinguish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between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good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bad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offers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rata</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accordingly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both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society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Easterbrook</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Fischel</w:t>
      </w:r>
      <w:proofErr w:type="spellEnd"/>
      <w:r w:rsidRPr="009975EA">
        <w:rPr>
          <w:rFonts w:ascii="Times New Roman" w:hAnsi="Times New Roman" w:cs="Times New Roman"/>
          <w:sz w:val="20"/>
          <w:szCs w:val="20"/>
        </w:rPr>
        <w:t>, p.280.).</w:t>
      </w:r>
    </w:p>
  </w:footnote>
  <w:footnote w:id="128">
    <w:p w14:paraId="72D40D48" w14:textId="69565D5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Kirshnan</w:t>
      </w:r>
      <w:proofErr w:type="spellEnd"/>
      <w:r w:rsidRPr="009975EA">
        <w:rPr>
          <w:rFonts w:ascii="Times New Roman" w:hAnsi="Times New Roman" w:cs="Times New Roman"/>
          <w:sz w:val="20"/>
          <w:szCs w:val="20"/>
        </w:rPr>
        <w:t xml:space="preserve"> S. </w:t>
      </w:r>
      <w:proofErr w:type="spellStart"/>
      <w:r w:rsidRPr="009975EA">
        <w:rPr>
          <w:rFonts w:ascii="Times New Roman" w:hAnsi="Times New Roman" w:cs="Times New Roman"/>
          <w:sz w:val="20"/>
          <w:szCs w:val="20"/>
        </w:rPr>
        <w:t>Chittur</w:t>
      </w:r>
      <w:proofErr w:type="spellEnd"/>
      <w:r w:rsidRPr="009975EA">
        <w:rPr>
          <w:rFonts w:ascii="Times New Roman" w:hAnsi="Times New Roman" w:cs="Times New Roman"/>
          <w:sz w:val="20"/>
          <w:szCs w:val="20"/>
        </w:rPr>
        <w:t xml:space="preserve">, </w:t>
      </w:r>
      <w:r w:rsidRPr="006559C9">
        <w:rPr>
          <w:rFonts w:ascii="Times New Roman" w:hAnsi="Times New Roman" w:cs="Times New Roman"/>
          <w:i/>
          <w:sz w:val="20"/>
          <w:szCs w:val="20"/>
        </w:rPr>
        <w:t>Resolving Close Corporation Conflicts: A Fresh Approach</w:t>
      </w:r>
      <w:r w:rsidRPr="009975EA">
        <w:rPr>
          <w:rFonts w:ascii="Times New Roman" w:hAnsi="Times New Roman" w:cs="Times New Roman"/>
          <w:sz w:val="20"/>
          <w:szCs w:val="20"/>
        </w:rPr>
        <w:t>, 10 Harv. J</w:t>
      </w:r>
      <w:r>
        <w:rPr>
          <w:rFonts w:ascii="Times New Roman" w:hAnsi="Times New Roman" w:cs="Times New Roman"/>
          <w:sz w:val="20"/>
          <w:szCs w:val="20"/>
        </w:rPr>
        <w:t xml:space="preserve">. L. &amp; Pub. </w:t>
      </w:r>
      <w:proofErr w:type="spellStart"/>
      <w:r>
        <w:rPr>
          <w:rFonts w:ascii="Times New Roman" w:hAnsi="Times New Roman" w:cs="Times New Roman"/>
          <w:sz w:val="20"/>
          <w:szCs w:val="20"/>
        </w:rPr>
        <w:t>Pol’y</w:t>
      </w:r>
      <w:proofErr w:type="spellEnd"/>
      <w:r>
        <w:rPr>
          <w:rFonts w:ascii="Times New Roman" w:hAnsi="Times New Roman" w:cs="Times New Roman"/>
          <w:sz w:val="20"/>
          <w:szCs w:val="20"/>
        </w:rPr>
        <w:t xml:space="preserve"> 129 (1987), at </w:t>
      </w:r>
      <w:r w:rsidRPr="009975EA">
        <w:rPr>
          <w:rFonts w:ascii="Times New Roman" w:hAnsi="Times New Roman" w:cs="Times New Roman"/>
          <w:sz w:val="20"/>
          <w:szCs w:val="20"/>
        </w:rPr>
        <w:t>159. Western Foundry Co. V. Wicker, 403 III.260 (1949): “The terms of this contract are embodied in the charter of the corporation and in the appropriate provisions of the corporation statute in force at the time the articles of incorporation were adopted.”</w:t>
      </w:r>
    </w:p>
  </w:footnote>
  <w:footnote w:id="129">
    <w:p w14:paraId="15D77D0B" w14:textId="7FF8835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Crocker v. Waltham Watch Co., 315 Mass. 397 (1994).</w:t>
      </w:r>
    </w:p>
  </w:footnote>
  <w:footnote w:id="130">
    <w:p w14:paraId="4048D588" w14:textId="02FC186C"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McLaughlin</w:t>
      </w:r>
      <w:proofErr w:type="spellEnd"/>
      <w:r w:rsidRPr="009975EA">
        <w:rPr>
          <w:rFonts w:ascii="Times New Roman" w:hAnsi="Times New Roman" w:cs="Times New Roman"/>
          <w:sz w:val="20"/>
          <w:szCs w:val="20"/>
        </w:rPr>
        <w:t xml:space="preserve">, p. 148.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limited </w:t>
      </w:r>
      <w:proofErr w:type="spellStart"/>
      <w:r w:rsidRPr="009975EA">
        <w:rPr>
          <w:rFonts w:ascii="Times New Roman" w:hAnsi="Times New Roman" w:cs="Times New Roman"/>
          <w:sz w:val="20"/>
          <w:szCs w:val="20"/>
        </w:rPr>
        <w:t>liability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company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context</w:t>
      </w:r>
      <w:proofErr w:type="spellEnd"/>
      <w:r w:rsidRPr="009975EA">
        <w:rPr>
          <w:rFonts w:ascii="Times New Roman" w:hAnsi="Times New Roman" w:cs="Times New Roman"/>
          <w:sz w:val="20"/>
          <w:szCs w:val="20"/>
        </w:rPr>
        <w:t xml:space="preserve">, but </w:t>
      </w:r>
      <w:proofErr w:type="spellStart"/>
      <w:r w:rsidRPr="009975EA">
        <w:rPr>
          <w:rFonts w:ascii="Times New Roman" w:hAnsi="Times New Roman" w:cs="Times New Roman"/>
          <w:sz w:val="20"/>
          <w:szCs w:val="20"/>
        </w:rPr>
        <w:t>still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applicable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a Delaware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held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following</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contractarian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view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discounts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attributes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r w:rsidRPr="009975EA">
        <w:rPr>
          <w:rFonts w:ascii="Times New Roman" w:hAnsi="Times New Roman" w:cs="Times New Roman"/>
          <w:color w:val="1C1C1C"/>
          <w:sz w:val="20"/>
          <w:szCs w:val="20"/>
        </w:rPr>
        <w:t xml:space="preserve">LLC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sovereign</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authorize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separate</w:t>
      </w:r>
      <w:proofErr w:type="spellEnd"/>
      <w:r w:rsidRPr="009975EA">
        <w:rPr>
          <w:rFonts w:ascii="Times New Roman" w:hAnsi="Times New Roman" w:cs="Times New Roman"/>
          <w:color w:val="000000"/>
          <w:sz w:val="20"/>
          <w:szCs w:val="20"/>
        </w:rPr>
        <w:t xml:space="preserve"> legal </w:t>
      </w:r>
      <w:proofErr w:type="spellStart"/>
      <w:r w:rsidRPr="009975EA">
        <w:rPr>
          <w:rFonts w:ascii="Times New Roman" w:hAnsi="Times New Roman" w:cs="Times New Roman"/>
          <w:color w:val="000000"/>
          <w:sz w:val="20"/>
          <w:szCs w:val="20"/>
        </w:rPr>
        <w:t>existence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potentially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perpetual</w:t>
      </w:r>
      <w:proofErr w:type="spellEnd"/>
      <w:r w:rsidRPr="009975EA">
        <w:rPr>
          <w:rFonts w:ascii="Times New Roman" w:hAnsi="Times New Roman" w:cs="Times New Roman"/>
          <w:color w:val="000000"/>
          <w:sz w:val="20"/>
          <w:szCs w:val="20"/>
        </w:rPr>
        <w:t xml:space="preserve"> life,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limited </w:t>
      </w:r>
      <w:proofErr w:type="spellStart"/>
      <w:r w:rsidRPr="009975EA">
        <w:rPr>
          <w:rFonts w:ascii="Times New Roman" w:hAnsi="Times New Roman" w:cs="Times New Roman"/>
          <w:color w:val="000000"/>
          <w:sz w:val="20"/>
          <w:szCs w:val="20"/>
        </w:rPr>
        <w:t>liability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members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w:t>
      </w:r>
      <w:proofErr w:type="spellEnd"/>
      <w:r w:rsidRPr="009975EA">
        <w:rPr>
          <w:rFonts w:ascii="Times New Roman" w:hAnsi="Times New Roman" w:cs="Times New Roman"/>
          <w:color w:val="000000"/>
          <w:sz w:val="20"/>
          <w:szCs w:val="20"/>
        </w:rPr>
        <w:t xml:space="preserve"> </w:t>
      </w:r>
      <w:r w:rsidRPr="009975EA">
        <w:rPr>
          <w:rFonts w:ascii="Times New Roman" w:hAnsi="Times New Roman" w:cs="Times New Roman"/>
          <w:color w:val="0000FF"/>
          <w:sz w:val="20"/>
          <w:szCs w:val="20"/>
        </w:rPr>
        <w:t>6 Del. C. §§ 18–201</w:t>
      </w:r>
      <w:r w:rsidRPr="009975EA">
        <w:rPr>
          <w:rFonts w:ascii="Times New Roman" w:hAnsi="Times New Roman" w:cs="Times New Roman"/>
          <w:color w:val="000000"/>
          <w:sz w:val="20"/>
          <w:szCs w:val="20"/>
        </w:rPr>
        <w:t xml:space="preserve">, </w:t>
      </w:r>
      <w:r w:rsidRPr="009975EA">
        <w:rPr>
          <w:rFonts w:ascii="Times New Roman" w:hAnsi="Times New Roman" w:cs="Times New Roman"/>
          <w:color w:val="0000FF"/>
          <w:sz w:val="20"/>
          <w:szCs w:val="20"/>
        </w:rPr>
        <w:t>18– 303</w:t>
      </w:r>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sovereign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makes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available</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entity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attributes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themselves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entity</w:t>
      </w:r>
      <w:proofErr w:type="spellEnd"/>
      <w:r w:rsidRPr="009975EA">
        <w:rPr>
          <w:rFonts w:ascii="Times New Roman" w:hAnsi="Times New Roman" w:cs="Times New Roman"/>
          <w:color w:val="000000"/>
          <w:sz w:val="20"/>
          <w:szCs w:val="20"/>
        </w:rPr>
        <w:t xml:space="preserve"> is not </w:t>
      </w:r>
      <w:proofErr w:type="spellStart"/>
      <w:r w:rsidRPr="009975EA">
        <w:rPr>
          <w:rFonts w:ascii="Times New Roman" w:hAnsi="Times New Roman" w:cs="Times New Roman"/>
          <w:color w:val="000000"/>
          <w:sz w:val="20"/>
          <w:szCs w:val="20"/>
        </w:rPr>
        <w:t>purely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contractual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entity</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taken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advantage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benefits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sovereign</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provided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sovereign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retains</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turn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calls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preserving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ability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sovereign's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oversee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necessary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entity</w:t>
      </w:r>
      <w:proofErr w:type="spellEnd"/>
      <w:r w:rsidRPr="009975EA">
        <w:rPr>
          <w:rFonts w:ascii="Times New Roman" w:hAnsi="Times New Roman" w:cs="Times New Roman"/>
          <w:color w:val="000000"/>
          <w:sz w:val="20"/>
          <w:szCs w:val="20"/>
        </w:rPr>
        <w:t xml:space="preserve">. Put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directly</w:t>
      </w:r>
      <w:proofErr w:type="spellEnd"/>
      <w:r w:rsidRPr="009975EA">
        <w:rPr>
          <w:rFonts w:ascii="Times New Roman" w:hAnsi="Times New Roman" w:cs="Times New Roman"/>
          <w:color w:val="000000"/>
          <w:sz w:val="20"/>
          <w:szCs w:val="20"/>
        </w:rPr>
        <w:t xml:space="preserve">, an </w:t>
      </w:r>
      <w:r w:rsidRPr="009975EA">
        <w:rPr>
          <w:rFonts w:ascii="Times New Roman" w:hAnsi="Times New Roman" w:cs="Times New Roman"/>
          <w:color w:val="1C1C1C"/>
          <w:sz w:val="20"/>
          <w:szCs w:val="20"/>
        </w:rPr>
        <w:t xml:space="preserve">LLC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is not an </w:t>
      </w:r>
      <w:proofErr w:type="spellStart"/>
      <w:r w:rsidRPr="009975EA">
        <w:rPr>
          <w:rFonts w:ascii="Times New Roman" w:hAnsi="Times New Roman" w:cs="Times New Roman"/>
          <w:color w:val="000000"/>
          <w:sz w:val="20"/>
          <w:szCs w:val="20"/>
        </w:rPr>
        <w:t>exclusively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private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among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members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precisely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r w:rsidRPr="009975EA">
        <w:rPr>
          <w:rFonts w:ascii="Times New Roman" w:hAnsi="Times New Roman" w:cs="Times New Roman"/>
          <w:color w:val="1C1C1C"/>
          <w:sz w:val="20"/>
          <w:szCs w:val="20"/>
        </w:rPr>
        <w:t xml:space="preserve">LLC </w:t>
      </w:r>
      <w:r w:rsidRPr="009975EA">
        <w:rPr>
          <w:rFonts w:ascii="Times New Roman" w:hAnsi="Times New Roman" w:cs="Times New Roman"/>
          <w:color w:val="000000"/>
          <w:sz w:val="20"/>
          <w:szCs w:val="20"/>
        </w:rPr>
        <w:t xml:space="preserve">has </w:t>
      </w:r>
      <w:proofErr w:type="spellStart"/>
      <w:r w:rsidRPr="009975EA">
        <w:rPr>
          <w:rFonts w:ascii="Times New Roman" w:hAnsi="Times New Roman" w:cs="Times New Roman"/>
          <w:color w:val="000000"/>
          <w:sz w:val="20"/>
          <w:szCs w:val="20"/>
        </w:rPr>
        <w:t>powers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State</w:t>
      </w:r>
      <w:proofErr w:type="spellEnd"/>
      <w:r w:rsidRPr="009975EA">
        <w:rPr>
          <w:rFonts w:ascii="Times New Roman" w:hAnsi="Times New Roman" w:cs="Times New Roman"/>
          <w:color w:val="000000"/>
          <w:sz w:val="20"/>
          <w:szCs w:val="20"/>
        </w:rPr>
        <w:t xml:space="preserve"> of Delaware can </w:t>
      </w:r>
      <w:proofErr w:type="spellStart"/>
      <w:r w:rsidRPr="009975EA">
        <w:rPr>
          <w:rFonts w:ascii="Times New Roman" w:hAnsi="Times New Roman" w:cs="Times New Roman"/>
          <w:color w:val="000000"/>
          <w:sz w:val="20"/>
          <w:szCs w:val="20"/>
        </w:rPr>
        <w:t>confer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affect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third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at a minimum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account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LLC's</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separate</w:t>
      </w:r>
      <w:proofErr w:type="spellEnd"/>
      <w:r w:rsidRPr="009975EA">
        <w:rPr>
          <w:rFonts w:ascii="Times New Roman" w:hAnsi="Times New Roman" w:cs="Times New Roman"/>
          <w:color w:val="000000"/>
          <w:sz w:val="20"/>
          <w:szCs w:val="20"/>
        </w:rPr>
        <w:t xml:space="preserve"> legal </w:t>
      </w:r>
      <w:proofErr w:type="spellStart"/>
      <w:r w:rsidRPr="009975EA">
        <w:rPr>
          <w:rFonts w:ascii="Times New Roman" w:hAnsi="Times New Roman" w:cs="Times New Roman"/>
          <w:color w:val="000000"/>
          <w:sz w:val="20"/>
          <w:szCs w:val="20"/>
        </w:rPr>
        <w:t>existence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members</w:t>
      </w:r>
      <w:proofErr w:type="spellEnd"/>
      <w:r w:rsidRPr="009975EA">
        <w:rPr>
          <w:rFonts w:ascii="Times New Roman" w:hAnsi="Times New Roman" w:cs="Times New Roman"/>
          <w:color w:val="000000"/>
          <w:sz w:val="20"/>
          <w:szCs w:val="20"/>
        </w:rPr>
        <w:t xml:space="preserve">' limited </w:t>
      </w:r>
      <w:proofErr w:type="spellStart"/>
      <w:r w:rsidRPr="009975EA">
        <w:rPr>
          <w:rFonts w:ascii="Times New Roman" w:hAnsi="Times New Roman" w:cs="Times New Roman"/>
          <w:color w:val="000000"/>
          <w:sz w:val="20"/>
          <w:szCs w:val="20"/>
        </w:rPr>
        <w:t>liability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shield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Just</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1C1C1C"/>
          <w:sz w:val="20"/>
          <w:szCs w:val="20"/>
        </w:rPr>
        <w:t>LLCs</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purely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private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is not a </w:t>
      </w:r>
      <w:proofErr w:type="spellStart"/>
      <w:r w:rsidRPr="009975EA">
        <w:rPr>
          <w:rFonts w:ascii="Times New Roman" w:hAnsi="Times New Roman" w:cs="Times New Roman"/>
          <w:color w:val="000000"/>
          <w:sz w:val="20"/>
          <w:szCs w:val="20"/>
        </w:rPr>
        <w:t>purely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private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affair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involves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claims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priority</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process</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re </w:t>
      </w:r>
      <w:proofErr w:type="spellStart"/>
      <w:r w:rsidRPr="009975EA">
        <w:rPr>
          <w:rFonts w:ascii="Times New Roman" w:hAnsi="Times New Roman" w:cs="Times New Roman"/>
          <w:color w:val="000000"/>
          <w:sz w:val="20"/>
          <w:szCs w:val="20"/>
        </w:rPr>
        <w:t>Carlisle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Etcetera</w:t>
      </w:r>
      <w:proofErr w:type="spellEnd"/>
      <w:r w:rsidRPr="009975EA">
        <w:rPr>
          <w:rFonts w:ascii="Times New Roman" w:hAnsi="Times New Roman" w:cs="Times New Roman"/>
          <w:color w:val="000000"/>
          <w:sz w:val="20"/>
          <w:szCs w:val="20"/>
        </w:rPr>
        <w:t xml:space="preserve"> LLC, 2015 WL 1947027 (A.3d 2015))</w:t>
      </w:r>
    </w:p>
  </w:footnote>
  <w:footnote w:id="131">
    <w:p w14:paraId="22BA2505" w14:textId="7AD319F2" w:rsidR="00D36541" w:rsidRPr="009975EA" w:rsidRDefault="00D36541" w:rsidP="009975EA">
      <w:pPr>
        <w:pStyle w:val="DipnotMetni"/>
        <w:tabs>
          <w:tab w:val="left" w:pos="2865"/>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McLaughlin, p. 148. This point is stated as follows for Turkish law: “Corporations’ articles of incorporation are also subject to the generic mandatory provisions of the 6098 numbered Code of Obligations’ Article 26 and 27, hence, a corporation’s purpose cannot violate public policy, public interest, mandatory rules of statutes, </w:t>
      </w:r>
      <w:proofErr w:type="spellStart"/>
      <w:r w:rsidRPr="009975EA">
        <w:rPr>
          <w:rFonts w:ascii="Times New Roman" w:hAnsi="Times New Roman" w:cs="Times New Roman"/>
          <w:sz w:val="20"/>
          <w:szCs w:val="20"/>
          <w:lang w:val="tr-TR"/>
        </w:rPr>
        <w:t>morality</w:t>
      </w:r>
      <w:proofErr w:type="spellEnd"/>
      <w:r w:rsidRPr="009975EA">
        <w:rPr>
          <w:rFonts w:ascii="Times New Roman" w:hAnsi="Times New Roman" w:cs="Times New Roman"/>
          <w:sz w:val="20"/>
          <w:szCs w:val="20"/>
          <w:lang w:val="tr-TR"/>
        </w:rPr>
        <w:t xml:space="preserve">, </w:t>
      </w:r>
      <w:proofErr w:type="spellStart"/>
      <w:r w:rsidRPr="009975EA">
        <w:rPr>
          <w:rFonts w:ascii="Times New Roman" w:hAnsi="Times New Roman" w:cs="Times New Roman"/>
          <w:sz w:val="20"/>
          <w:szCs w:val="20"/>
          <w:lang w:val="tr-TR"/>
        </w:rPr>
        <w:t>fundamental</w:t>
      </w:r>
      <w:proofErr w:type="spellEnd"/>
      <w:r w:rsidRPr="009975EA">
        <w:rPr>
          <w:rFonts w:ascii="Times New Roman" w:hAnsi="Times New Roman" w:cs="Times New Roman"/>
          <w:sz w:val="20"/>
          <w:szCs w:val="20"/>
          <w:lang w:val="tr-TR"/>
        </w:rPr>
        <w:t xml:space="preserve"> </w:t>
      </w:r>
      <w:proofErr w:type="spellStart"/>
      <w:r w:rsidRPr="009975EA">
        <w:rPr>
          <w:rFonts w:ascii="Times New Roman" w:hAnsi="Times New Roman" w:cs="Times New Roman"/>
          <w:sz w:val="20"/>
          <w:szCs w:val="20"/>
          <w:lang w:val="tr-TR"/>
        </w:rPr>
        <w:t>personal</w:t>
      </w:r>
      <w:proofErr w:type="spellEnd"/>
      <w:r w:rsidRPr="009975EA">
        <w:rPr>
          <w:rFonts w:ascii="Times New Roman" w:hAnsi="Times New Roman" w:cs="Times New Roman"/>
          <w:sz w:val="20"/>
          <w:szCs w:val="20"/>
          <w:lang w:val="tr-TR"/>
        </w:rPr>
        <w:t xml:space="preserve"> </w:t>
      </w:r>
      <w:proofErr w:type="spellStart"/>
      <w:r w:rsidRPr="009975EA">
        <w:rPr>
          <w:rFonts w:ascii="Times New Roman" w:hAnsi="Times New Roman" w:cs="Times New Roman"/>
          <w:sz w:val="20"/>
          <w:szCs w:val="20"/>
          <w:lang w:val="tr-TR"/>
        </w:rPr>
        <w:t>right</w:t>
      </w:r>
      <w:proofErr w:type="spellEnd"/>
      <w:r w:rsidRPr="009975EA">
        <w:rPr>
          <w:rFonts w:ascii="Times New Roman" w:hAnsi="Times New Roman" w:cs="Times New Roman"/>
          <w:sz w:val="20"/>
          <w:szCs w:val="20"/>
          <w:lang w:val="tr-TR"/>
        </w:rPr>
        <w:t xml:space="preserve"> </w:t>
      </w:r>
      <w:proofErr w:type="spellStart"/>
      <w:r w:rsidRPr="009975EA">
        <w:rPr>
          <w:rFonts w:ascii="Times New Roman" w:hAnsi="Times New Roman" w:cs="Times New Roman"/>
          <w:sz w:val="20"/>
          <w:szCs w:val="20"/>
          <w:lang w:val="tr-TR"/>
        </w:rPr>
        <w:t>or</w:t>
      </w:r>
      <w:proofErr w:type="spellEnd"/>
      <w:r w:rsidRPr="009975EA">
        <w:rPr>
          <w:rFonts w:ascii="Times New Roman" w:hAnsi="Times New Roman" w:cs="Times New Roman"/>
          <w:sz w:val="20"/>
          <w:szCs w:val="20"/>
          <w:lang w:val="tr-TR"/>
        </w:rPr>
        <w:t xml:space="preserve"> be </w:t>
      </w:r>
      <w:proofErr w:type="spellStart"/>
      <w:r w:rsidRPr="009975EA">
        <w:rPr>
          <w:rFonts w:ascii="Times New Roman" w:hAnsi="Times New Roman" w:cs="Times New Roman"/>
          <w:sz w:val="20"/>
          <w:szCs w:val="20"/>
          <w:lang w:val="tr-TR"/>
        </w:rPr>
        <w:t>impossible</w:t>
      </w:r>
      <w:proofErr w:type="spellEnd"/>
      <w:r w:rsidRPr="009975EA">
        <w:rPr>
          <w:rFonts w:ascii="Times New Roman" w:hAnsi="Times New Roman" w:cs="Times New Roman"/>
          <w:sz w:val="20"/>
          <w:szCs w:val="20"/>
          <w:lang w:val="tr-TR"/>
        </w:rPr>
        <w:t xml:space="preserve">” (Hasan </w:t>
      </w:r>
      <w:proofErr w:type="spellStart"/>
      <w:r w:rsidRPr="009975EA">
        <w:rPr>
          <w:rFonts w:ascii="Times New Roman" w:hAnsi="Times New Roman" w:cs="Times New Roman"/>
          <w:sz w:val="20"/>
          <w:szCs w:val="20"/>
          <w:lang w:val="tr-TR"/>
        </w:rPr>
        <w:t>Pulasli</w:t>
      </w:r>
      <w:proofErr w:type="spellEnd"/>
      <w:r w:rsidRPr="009975EA">
        <w:rPr>
          <w:rFonts w:ascii="Times New Roman" w:hAnsi="Times New Roman" w:cs="Times New Roman"/>
          <w:sz w:val="20"/>
          <w:szCs w:val="20"/>
          <w:lang w:val="tr-TR"/>
        </w:rPr>
        <w:t xml:space="preserve">, </w:t>
      </w:r>
      <w:r w:rsidRPr="006559C9">
        <w:rPr>
          <w:rFonts w:ascii="Times New Roman" w:hAnsi="Times New Roman" w:cs="Times New Roman"/>
          <w:i/>
          <w:sz w:val="20"/>
          <w:szCs w:val="20"/>
          <w:lang w:val="tr-TR"/>
        </w:rPr>
        <w:t xml:space="preserve">Yeni </w:t>
      </w:r>
      <w:proofErr w:type="spellStart"/>
      <w:r w:rsidRPr="006559C9">
        <w:rPr>
          <w:rFonts w:ascii="Times New Roman" w:hAnsi="Times New Roman" w:cs="Times New Roman"/>
          <w:i/>
          <w:sz w:val="20"/>
          <w:szCs w:val="20"/>
          <w:lang w:val="tr-TR"/>
        </w:rPr>
        <w:t>Sirketler</w:t>
      </w:r>
      <w:proofErr w:type="spellEnd"/>
      <w:r w:rsidRPr="006559C9">
        <w:rPr>
          <w:rFonts w:ascii="Times New Roman" w:hAnsi="Times New Roman" w:cs="Times New Roman"/>
          <w:i/>
          <w:sz w:val="20"/>
          <w:szCs w:val="20"/>
          <w:lang w:val="tr-TR"/>
        </w:rPr>
        <w:t xml:space="preserve"> Hukuku Genel Esaslar</w:t>
      </w:r>
      <w:r>
        <w:rPr>
          <w:rFonts w:ascii="Times New Roman" w:hAnsi="Times New Roman" w:cs="Times New Roman"/>
          <w:sz w:val="20"/>
          <w:szCs w:val="20"/>
          <w:lang w:val="tr-TR"/>
        </w:rPr>
        <w:t xml:space="preserve"> 396 (</w:t>
      </w:r>
      <w:r w:rsidRPr="009975EA">
        <w:rPr>
          <w:rFonts w:ascii="Times New Roman" w:hAnsi="Times New Roman" w:cs="Times New Roman"/>
          <w:sz w:val="20"/>
          <w:szCs w:val="20"/>
          <w:lang w:val="tr-TR"/>
        </w:rPr>
        <w:t>2012</w:t>
      </w:r>
      <w:r>
        <w:rPr>
          <w:rFonts w:ascii="Times New Roman" w:hAnsi="Times New Roman" w:cs="Times New Roman"/>
          <w:sz w:val="20"/>
          <w:szCs w:val="20"/>
          <w:lang w:val="tr-TR"/>
        </w:rPr>
        <w:t>)</w:t>
      </w:r>
      <w:r w:rsidRPr="009975EA">
        <w:rPr>
          <w:rFonts w:ascii="Times New Roman" w:hAnsi="Times New Roman" w:cs="Times New Roman"/>
          <w:sz w:val="20"/>
          <w:szCs w:val="20"/>
          <w:lang w:val="tr-TR"/>
        </w:rPr>
        <w:t>).</w:t>
      </w:r>
      <w:r w:rsidRPr="009975EA">
        <w:rPr>
          <w:rFonts w:ascii="Times New Roman" w:hAnsi="Times New Roman" w:cs="Times New Roman"/>
          <w:sz w:val="20"/>
          <w:szCs w:val="20"/>
        </w:rPr>
        <w:tab/>
      </w:r>
    </w:p>
  </w:footnote>
  <w:footnote w:id="132">
    <w:p w14:paraId="25456480" w14:textId="65C11DC4"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nexus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understanding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legal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analogized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standard</w:t>
      </w:r>
      <w:proofErr w:type="spellEnd"/>
      <w:r w:rsidRPr="009975EA">
        <w:rPr>
          <w:rFonts w:ascii="Times New Roman" w:hAnsi="Times New Roman" w:cs="Times New Roman"/>
          <w:color w:val="000000"/>
          <w:sz w:val="20"/>
          <w:szCs w:val="20"/>
        </w:rPr>
        <w:t xml:space="preserve"> form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voluntarily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adopted</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perhaps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modifications</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standard</w:t>
      </w:r>
      <w:proofErr w:type="spellEnd"/>
      <w:r w:rsidRPr="009975EA">
        <w:rPr>
          <w:rFonts w:ascii="Times New Roman" w:hAnsi="Times New Roman" w:cs="Times New Roman"/>
          <w:color w:val="000000"/>
          <w:sz w:val="20"/>
          <w:szCs w:val="20"/>
        </w:rPr>
        <w:t xml:space="preserve"> form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principal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area</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facilitate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private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ordering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reducing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bargaining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costs</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Stephen</w:t>
      </w:r>
      <w:proofErr w:type="spellEnd"/>
      <w:r w:rsidRPr="009975EA">
        <w:rPr>
          <w:rFonts w:ascii="Times New Roman" w:hAnsi="Times New Roman" w:cs="Times New Roman"/>
          <w:color w:val="000000"/>
          <w:sz w:val="20"/>
          <w:szCs w:val="20"/>
        </w:rPr>
        <w:t xml:space="preserve"> M. </w:t>
      </w:r>
      <w:proofErr w:type="spellStart"/>
      <w:r w:rsidRPr="009975EA">
        <w:rPr>
          <w:rFonts w:ascii="Times New Roman" w:hAnsi="Times New Roman" w:cs="Times New Roman"/>
          <w:color w:val="000000"/>
          <w:sz w:val="20"/>
          <w:szCs w:val="20"/>
        </w:rPr>
        <w:t>Bainbridge</w:t>
      </w:r>
      <w:proofErr w:type="spellEnd"/>
      <w:r w:rsidRPr="009975EA">
        <w:rPr>
          <w:rFonts w:ascii="Times New Roman" w:hAnsi="Times New Roman" w:cs="Times New Roman"/>
          <w:color w:val="000000"/>
          <w:sz w:val="20"/>
          <w:szCs w:val="20"/>
        </w:rPr>
        <w:t xml:space="preserve">, </w:t>
      </w:r>
      <w:proofErr w:type="spellStart"/>
      <w:r w:rsidRPr="006559C9">
        <w:rPr>
          <w:rFonts w:ascii="Times New Roman" w:hAnsi="Times New Roman" w:cs="Times New Roman"/>
          <w:i/>
          <w:color w:val="000000"/>
          <w:sz w:val="20"/>
          <w:szCs w:val="20"/>
        </w:rPr>
        <w:t>Director</w:t>
      </w:r>
      <w:proofErr w:type="spellEnd"/>
      <w:r w:rsidRPr="006559C9">
        <w:rPr>
          <w:rFonts w:ascii="Times New Roman" w:hAnsi="Times New Roman" w:cs="Times New Roman"/>
          <w:i/>
          <w:color w:val="000000"/>
          <w:sz w:val="20"/>
          <w:szCs w:val="20"/>
        </w:rPr>
        <w:t xml:space="preserve"> </w:t>
      </w:r>
      <w:proofErr w:type="spellStart"/>
      <w:r w:rsidRPr="006559C9">
        <w:rPr>
          <w:rFonts w:ascii="Times New Roman" w:hAnsi="Times New Roman" w:cs="Times New Roman"/>
          <w:i/>
          <w:color w:val="000000"/>
          <w:sz w:val="20"/>
          <w:szCs w:val="20"/>
        </w:rPr>
        <w:t>Primacy</w:t>
      </w:r>
      <w:proofErr w:type="spellEnd"/>
      <w:r w:rsidRPr="006559C9">
        <w:rPr>
          <w:rFonts w:ascii="Times New Roman" w:hAnsi="Times New Roman" w:cs="Times New Roman"/>
          <w:i/>
          <w:color w:val="000000"/>
          <w:sz w:val="20"/>
          <w:szCs w:val="20"/>
        </w:rPr>
        <w:t xml:space="preserve"> </w:t>
      </w:r>
      <w:proofErr w:type="spellStart"/>
      <w:r w:rsidRPr="006559C9">
        <w:rPr>
          <w:rFonts w:ascii="Times New Roman" w:hAnsi="Times New Roman" w:cs="Times New Roman"/>
          <w:i/>
          <w:color w:val="000000"/>
          <w:sz w:val="20"/>
          <w:szCs w:val="20"/>
        </w:rPr>
        <w:t>and</w:t>
      </w:r>
      <w:proofErr w:type="spellEnd"/>
      <w:r w:rsidRPr="006559C9">
        <w:rPr>
          <w:rFonts w:ascii="Times New Roman" w:hAnsi="Times New Roman" w:cs="Times New Roman"/>
          <w:i/>
          <w:color w:val="000000"/>
          <w:sz w:val="20"/>
          <w:szCs w:val="20"/>
        </w:rPr>
        <w:t xml:space="preserve"> </w:t>
      </w:r>
      <w:proofErr w:type="spellStart"/>
      <w:r w:rsidRPr="006559C9">
        <w:rPr>
          <w:rFonts w:ascii="Times New Roman" w:hAnsi="Times New Roman" w:cs="Times New Roman"/>
          <w:i/>
          <w:color w:val="000000"/>
          <w:sz w:val="20"/>
          <w:szCs w:val="20"/>
        </w:rPr>
        <w:t>Shareholder</w:t>
      </w:r>
      <w:proofErr w:type="spellEnd"/>
      <w:r w:rsidRPr="006559C9">
        <w:rPr>
          <w:rFonts w:ascii="Times New Roman" w:hAnsi="Times New Roman" w:cs="Times New Roman"/>
          <w:i/>
          <w:color w:val="000000"/>
          <w:sz w:val="20"/>
          <w:szCs w:val="20"/>
        </w:rPr>
        <w:t xml:space="preserve"> </w:t>
      </w:r>
      <w:proofErr w:type="spellStart"/>
      <w:r w:rsidRPr="006559C9">
        <w:rPr>
          <w:rFonts w:ascii="Times New Roman" w:hAnsi="Times New Roman" w:cs="Times New Roman"/>
          <w:i/>
          <w:color w:val="000000"/>
          <w:sz w:val="20"/>
          <w:szCs w:val="20"/>
        </w:rPr>
        <w:t>Disempowerment</w:t>
      </w:r>
      <w:proofErr w:type="spellEnd"/>
      <w:r w:rsidRPr="009975EA">
        <w:rPr>
          <w:rFonts w:ascii="Times New Roman" w:hAnsi="Times New Roman" w:cs="Times New Roman"/>
          <w:color w:val="000000"/>
          <w:sz w:val="20"/>
          <w:szCs w:val="20"/>
        </w:rPr>
        <w:t>, Harvar</w:t>
      </w:r>
      <w:r>
        <w:rPr>
          <w:rFonts w:ascii="Times New Roman" w:hAnsi="Times New Roman" w:cs="Times New Roman"/>
          <w:color w:val="000000"/>
          <w:sz w:val="20"/>
          <w:szCs w:val="20"/>
        </w:rPr>
        <w:t xml:space="preserve">d </w:t>
      </w:r>
      <w:proofErr w:type="spellStart"/>
      <w:r>
        <w:rPr>
          <w:rFonts w:ascii="Times New Roman" w:hAnsi="Times New Roman" w:cs="Times New Roman"/>
          <w:color w:val="000000"/>
          <w:sz w:val="20"/>
          <w:szCs w:val="20"/>
        </w:rPr>
        <w:t>Law</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Review</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Vol</w:t>
      </w:r>
      <w:proofErr w:type="spellEnd"/>
      <w:r>
        <w:rPr>
          <w:rFonts w:ascii="Times New Roman" w:hAnsi="Times New Roman" w:cs="Times New Roman"/>
          <w:color w:val="000000"/>
          <w:sz w:val="20"/>
          <w:szCs w:val="20"/>
        </w:rPr>
        <w:t xml:space="preserve">. 119 (2006) at </w:t>
      </w:r>
      <w:r w:rsidRPr="009975EA">
        <w:rPr>
          <w:rFonts w:ascii="Times New Roman" w:hAnsi="Times New Roman" w:cs="Times New Roman"/>
          <w:color w:val="000000"/>
          <w:sz w:val="20"/>
          <w:szCs w:val="20"/>
        </w:rPr>
        <w:t>18)</w:t>
      </w:r>
    </w:p>
  </w:footnote>
  <w:footnote w:id="133">
    <w:p w14:paraId="37B200B1" w14:textId="5FE41EF3"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191919"/>
          <w:sz w:val="20"/>
          <w:szCs w:val="20"/>
        </w:rPr>
        <w:t>Posner</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illustrates</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this</w:t>
      </w:r>
      <w:proofErr w:type="spellEnd"/>
      <w:r w:rsidRPr="009975EA">
        <w:rPr>
          <w:rFonts w:ascii="Times New Roman" w:hAnsi="Times New Roman" w:cs="Times New Roman"/>
          <w:color w:val="191919"/>
          <w:sz w:val="20"/>
          <w:szCs w:val="20"/>
        </w:rPr>
        <w:t xml:space="preserve"> as </w:t>
      </w:r>
      <w:proofErr w:type="spellStart"/>
      <w:r w:rsidRPr="009975EA">
        <w:rPr>
          <w:rFonts w:ascii="Times New Roman" w:hAnsi="Times New Roman" w:cs="Times New Roman"/>
          <w:color w:val="191919"/>
          <w:sz w:val="20"/>
          <w:szCs w:val="20"/>
        </w:rPr>
        <w:t>follows</w:t>
      </w:r>
      <w:proofErr w:type="spellEnd"/>
      <w:r w:rsidRPr="009975EA">
        <w:rPr>
          <w:rFonts w:ascii="Times New Roman" w:hAnsi="Times New Roman" w:cs="Times New Roman"/>
          <w:color w:val="191919"/>
          <w:sz w:val="20"/>
          <w:szCs w:val="20"/>
        </w:rPr>
        <w:t>: “…</w:t>
      </w:r>
      <w:proofErr w:type="spellStart"/>
      <w:r w:rsidRPr="009975EA">
        <w:rPr>
          <w:rFonts w:ascii="Times New Roman" w:hAnsi="Times New Roman" w:cs="Times New Roman"/>
          <w:color w:val="191919"/>
          <w:sz w:val="20"/>
          <w:szCs w:val="20"/>
        </w:rPr>
        <w:t>the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rules</w:t>
      </w:r>
      <w:proofErr w:type="spellEnd"/>
      <w:r w:rsidRPr="009975EA">
        <w:rPr>
          <w:rFonts w:ascii="Times New Roman" w:hAnsi="Times New Roman" w:cs="Times New Roman"/>
          <w:color w:val="191919"/>
          <w:sz w:val="20"/>
          <w:szCs w:val="20"/>
        </w:rPr>
        <w:t xml:space="preserve"> of Corporation </w:t>
      </w:r>
      <w:proofErr w:type="spellStart"/>
      <w:r w:rsidRPr="009975EA">
        <w:rPr>
          <w:rFonts w:ascii="Times New Roman" w:hAnsi="Times New Roman" w:cs="Times New Roman"/>
          <w:color w:val="191919"/>
          <w:sz w:val="20"/>
          <w:szCs w:val="20"/>
        </w:rPr>
        <w:t>law</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limiting</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the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payment</w:t>
      </w:r>
      <w:proofErr w:type="spellEnd"/>
      <w:r w:rsidRPr="009975EA">
        <w:rPr>
          <w:rFonts w:ascii="Times New Roman" w:hAnsi="Times New Roman" w:cs="Times New Roman"/>
          <w:color w:val="191919"/>
          <w:sz w:val="20"/>
          <w:szCs w:val="20"/>
        </w:rPr>
        <w:t xml:space="preserve"> of </w:t>
      </w:r>
      <w:proofErr w:type="spellStart"/>
      <w:r w:rsidRPr="009975EA">
        <w:rPr>
          <w:rFonts w:ascii="Times New Roman" w:hAnsi="Times New Roman" w:cs="Times New Roman"/>
          <w:color w:val="191919"/>
          <w:sz w:val="20"/>
          <w:szCs w:val="20"/>
        </w:rPr>
        <w:t>dividends</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to</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the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amount</w:t>
      </w:r>
      <w:proofErr w:type="spellEnd"/>
      <w:r w:rsidRPr="009975EA">
        <w:rPr>
          <w:rFonts w:ascii="Times New Roman" w:hAnsi="Times New Roman" w:cs="Times New Roman"/>
          <w:color w:val="191919"/>
          <w:sz w:val="20"/>
          <w:szCs w:val="20"/>
        </w:rPr>
        <w:t xml:space="preserve"> of “</w:t>
      </w:r>
      <w:proofErr w:type="spellStart"/>
      <w:r w:rsidRPr="009975EA">
        <w:rPr>
          <w:rFonts w:ascii="Times New Roman" w:hAnsi="Times New Roman" w:cs="Times New Roman"/>
          <w:color w:val="191919"/>
          <w:sz w:val="20"/>
          <w:szCs w:val="20"/>
        </w:rPr>
        <w:t>earned</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surplus</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shown</w:t>
      </w:r>
      <w:proofErr w:type="spellEnd"/>
      <w:r w:rsidRPr="009975EA">
        <w:rPr>
          <w:rFonts w:ascii="Times New Roman" w:hAnsi="Times New Roman" w:cs="Times New Roman"/>
          <w:color w:val="191919"/>
          <w:sz w:val="20"/>
          <w:szCs w:val="20"/>
        </w:rPr>
        <w:t xml:space="preserve"> on </w:t>
      </w:r>
      <w:proofErr w:type="spellStart"/>
      <w:r w:rsidRPr="009975EA">
        <w:rPr>
          <w:rFonts w:ascii="Times New Roman" w:hAnsi="Times New Roman" w:cs="Times New Roman"/>
          <w:color w:val="191919"/>
          <w:sz w:val="20"/>
          <w:szCs w:val="20"/>
        </w:rPr>
        <w:t>the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corporation’s</w:t>
      </w:r>
      <w:proofErr w:type="spellEnd"/>
      <w:r w:rsidRPr="009975EA">
        <w:rPr>
          <w:rFonts w:ascii="Times New Roman" w:hAnsi="Times New Roman" w:cs="Times New Roman"/>
          <w:color w:val="191919"/>
          <w:sz w:val="20"/>
          <w:szCs w:val="20"/>
        </w:rPr>
        <w:t xml:space="preserve"> boks </w:t>
      </w:r>
      <w:proofErr w:type="spellStart"/>
      <w:r w:rsidRPr="009975EA">
        <w:rPr>
          <w:rFonts w:ascii="Times New Roman" w:hAnsi="Times New Roman" w:cs="Times New Roman"/>
          <w:color w:val="191919"/>
          <w:sz w:val="20"/>
          <w:szCs w:val="20"/>
        </w:rPr>
        <w:t>give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reditors</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one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kind</w:t>
      </w:r>
      <w:proofErr w:type="spellEnd"/>
      <w:r w:rsidRPr="009975EA">
        <w:rPr>
          <w:rFonts w:ascii="Times New Roman" w:hAnsi="Times New Roman" w:cs="Times New Roman"/>
          <w:color w:val="191919"/>
          <w:sz w:val="20"/>
          <w:szCs w:val="20"/>
        </w:rPr>
        <w:t xml:space="preserve"> of </w:t>
      </w:r>
      <w:proofErr w:type="spellStart"/>
      <w:r w:rsidRPr="009975EA">
        <w:rPr>
          <w:rFonts w:ascii="Times New Roman" w:hAnsi="Times New Roman" w:cs="Times New Roman"/>
          <w:color w:val="191919"/>
          <w:sz w:val="20"/>
          <w:szCs w:val="20"/>
        </w:rPr>
        <w:t>protection</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against</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attempts</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by</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borrowers</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to</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increase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the</w:t>
      </w:r>
      <w:proofErr w:type="spellEnd"/>
      <w:r w:rsidRPr="009975EA">
        <w:rPr>
          <w:rFonts w:ascii="Times New Roman" w:hAnsi="Times New Roman" w:cs="Times New Roman"/>
          <w:color w:val="191919"/>
          <w:sz w:val="20"/>
          <w:szCs w:val="20"/>
        </w:rPr>
        <w:t xml:space="preserve"> risk of </w:t>
      </w:r>
      <w:proofErr w:type="spellStart"/>
      <w:r w:rsidRPr="009975EA">
        <w:rPr>
          <w:rFonts w:ascii="Times New Roman" w:hAnsi="Times New Roman" w:cs="Times New Roman"/>
          <w:color w:val="191919"/>
          <w:sz w:val="20"/>
          <w:szCs w:val="20"/>
        </w:rPr>
        <w:t>default</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after</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the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loan</w:t>
      </w:r>
      <w:proofErr w:type="spellEnd"/>
      <w:r w:rsidRPr="009975EA">
        <w:rPr>
          <w:rFonts w:ascii="Times New Roman" w:hAnsi="Times New Roman" w:cs="Times New Roman"/>
          <w:color w:val="191919"/>
          <w:sz w:val="20"/>
          <w:szCs w:val="20"/>
        </w:rPr>
        <w:t xml:space="preserve"> has </w:t>
      </w:r>
      <w:proofErr w:type="spellStart"/>
      <w:r w:rsidRPr="009975EA">
        <w:rPr>
          <w:rFonts w:ascii="Times New Roman" w:hAnsi="Times New Roman" w:cs="Times New Roman"/>
          <w:color w:val="191919"/>
          <w:sz w:val="20"/>
          <w:szCs w:val="20"/>
        </w:rPr>
        <w:t>been</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made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protection</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we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have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seen</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that</w:t>
      </w:r>
      <w:proofErr w:type="spellEnd"/>
      <w:r w:rsidRPr="009975EA">
        <w:rPr>
          <w:rFonts w:ascii="Times New Roman" w:hAnsi="Times New Roman" w:cs="Times New Roman"/>
          <w:color w:val="191919"/>
          <w:sz w:val="20"/>
          <w:szCs w:val="20"/>
        </w:rPr>
        <w:t xml:space="preserve"> in </w:t>
      </w:r>
      <w:proofErr w:type="spellStart"/>
      <w:r w:rsidRPr="009975EA">
        <w:rPr>
          <w:rFonts w:ascii="Times New Roman" w:hAnsi="Times New Roman" w:cs="Times New Roman"/>
          <w:color w:val="191919"/>
          <w:sz w:val="20"/>
          <w:szCs w:val="20"/>
        </w:rPr>
        <w:t>absence</w:t>
      </w:r>
      <w:proofErr w:type="spellEnd"/>
      <w:r w:rsidRPr="009975EA">
        <w:rPr>
          <w:rFonts w:ascii="Times New Roman" w:hAnsi="Times New Roman" w:cs="Times New Roman"/>
          <w:color w:val="191919"/>
          <w:sz w:val="20"/>
          <w:szCs w:val="20"/>
        </w:rPr>
        <w:t xml:space="preserve"> of a legal </w:t>
      </w:r>
      <w:proofErr w:type="spellStart"/>
      <w:r w:rsidRPr="009975EA">
        <w:rPr>
          <w:rFonts w:ascii="Times New Roman" w:hAnsi="Times New Roman" w:cs="Times New Roman"/>
          <w:color w:val="191919"/>
          <w:sz w:val="20"/>
          <w:szCs w:val="20"/>
        </w:rPr>
        <w:t>rule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creditors</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would</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probably</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write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expressly</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into</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each</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loan</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contract</w:t>
      </w:r>
      <w:proofErr w:type="spellEnd"/>
      <w:r w:rsidRPr="009975EA">
        <w:rPr>
          <w:rFonts w:ascii="Times New Roman" w:hAnsi="Times New Roman" w:cs="Times New Roman"/>
          <w:color w:val="191919"/>
          <w:sz w:val="20"/>
          <w:szCs w:val="20"/>
        </w:rPr>
        <w:t>…</w:t>
      </w:r>
      <w:proofErr w:type="spellStart"/>
      <w:r w:rsidRPr="009975EA">
        <w:rPr>
          <w:rFonts w:ascii="Times New Roman" w:hAnsi="Times New Roman" w:cs="Times New Roman"/>
          <w:color w:val="191919"/>
          <w:sz w:val="20"/>
          <w:szCs w:val="20"/>
        </w:rPr>
        <w:t>If</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corporations</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laws</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were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amended</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to</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drop</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all</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limitations</w:t>
      </w:r>
      <w:proofErr w:type="spellEnd"/>
      <w:r w:rsidRPr="009975EA">
        <w:rPr>
          <w:rFonts w:ascii="Times New Roman" w:hAnsi="Times New Roman" w:cs="Times New Roman"/>
          <w:color w:val="191919"/>
          <w:sz w:val="20"/>
          <w:szCs w:val="20"/>
        </w:rPr>
        <w:t xml:space="preserve"> on </w:t>
      </w:r>
      <w:proofErr w:type="spellStart"/>
      <w:r w:rsidRPr="009975EA">
        <w:rPr>
          <w:rFonts w:ascii="Times New Roman" w:hAnsi="Times New Roman" w:cs="Times New Roman"/>
          <w:color w:val="191919"/>
          <w:sz w:val="20"/>
          <w:szCs w:val="20"/>
        </w:rPr>
        <w:t>the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payment</w:t>
      </w:r>
      <w:proofErr w:type="spellEnd"/>
      <w:r w:rsidRPr="009975EA">
        <w:rPr>
          <w:rFonts w:ascii="Times New Roman" w:hAnsi="Times New Roman" w:cs="Times New Roman"/>
          <w:color w:val="191919"/>
          <w:sz w:val="20"/>
          <w:szCs w:val="20"/>
        </w:rPr>
        <w:t xml:space="preserve"> of </w:t>
      </w:r>
      <w:proofErr w:type="spellStart"/>
      <w:r w:rsidRPr="009975EA">
        <w:rPr>
          <w:rFonts w:ascii="Times New Roman" w:hAnsi="Times New Roman" w:cs="Times New Roman"/>
          <w:color w:val="191919"/>
          <w:sz w:val="20"/>
          <w:szCs w:val="20"/>
        </w:rPr>
        <w:t>dividens</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creditors</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who</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wanted</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dividedn</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limitations</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would</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simply</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have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to</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require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that</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they</w:t>
      </w:r>
      <w:proofErr w:type="spellEnd"/>
      <w:r w:rsidRPr="009975EA">
        <w:rPr>
          <w:rFonts w:ascii="Times New Roman" w:hAnsi="Times New Roman" w:cs="Times New Roman"/>
          <w:color w:val="191919"/>
          <w:sz w:val="20"/>
          <w:szCs w:val="20"/>
        </w:rPr>
        <w:t xml:space="preserve"> be </w:t>
      </w:r>
      <w:proofErr w:type="spellStart"/>
      <w:r w:rsidRPr="009975EA">
        <w:rPr>
          <w:rFonts w:ascii="Times New Roman" w:hAnsi="Times New Roman" w:cs="Times New Roman"/>
          <w:color w:val="191919"/>
          <w:sz w:val="20"/>
          <w:szCs w:val="20"/>
        </w:rPr>
        <w:t>written</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into</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the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loan</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agreement</w:t>
      </w:r>
      <w:proofErr w:type="spellEnd"/>
      <w:r w:rsidRPr="009975EA">
        <w:rPr>
          <w:rFonts w:ascii="Times New Roman" w:hAnsi="Times New Roman" w:cs="Times New Roman"/>
          <w:color w:val="191919"/>
          <w:sz w:val="20"/>
          <w:szCs w:val="20"/>
        </w:rPr>
        <w:t>.” (</w:t>
      </w:r>
      <w:r w:rsidRPr="009975EA">
        <w:rPr>
          <w:rFonts w:ascii="Times New Roman" w:hAnsi="Times New Roman" w:cs="Times New Roman"/>
          <w:color w:val="000000"/>
          <w:sz w:val="20"/>
          <w:szCs w:val="20"/>
        </w:rPr>
        <w:t xml:space="preserve">Richard A. </w:t>
      </w:r>
      <w:proofErr w:type="spellStart"/>
      <w:r w:rsidRPr="009975EA">
        <w:rPr>
          <w:rFonts w:ascii="Times New Roman" w:hAnsi="Times New Roman" w:cs="Times New Roman"/>
          <w:color w:val="000000"/>
          <w:sz w:val="20"/>
          <w:szCs w:val="20"/>
        </w:rPr>
        <w:t>Posner</w:t>
      </w:r>
      <w:proofErr w:type="spellEnd"/>
      <w:r w:rsidRPr="009975EA">
        <w:rPr>
          <w:rFonts w:ascii="Times New Roman" w:hAnsi="Times New Roman" w:cs="Times New Roman"/>
          <w:color w:val="000000"/>
          <w:sz w:val="20"/>
          <w:szCs w:val="20"/>
        </w:rPr>
        <w:t xml:space="preserve">, </w:t>
      </w:r>
      <w:proofErr w:type="spellStart"/>
      <w:r w:rsidRPr="006559C9">
        <w:rPr>
          <w:rFonts w:ascii="Times New Roman" w:hAnsi="Times New Roman" w:cs="Times New Roman"/>
          <w:i/>
          <w:color w:val="000000"/>
          <w:sz w:val="20"/>
          <w:szCs w:val="20"/>
        </w:rPr>
        <w:t>Economic</w:t>
      </w:r>
      <w:proofErr w:type="spellEnd"/>
      <w:r w:rsidRPr="006559C9">
        <w:rPr>
          <w:rFonts w:ascii="Times New Roman" w:hAnsi="Times New Roman" w:cs="Times New Roman"/>
          <w:i/>
          <w:color w:val="000000"/>
          <w:sz w:val="20"/>
          <w:szCs w:val="20"/>
        </w:rPr>
        <w:t xml:space="preserve"> Analysis of </w:t>
      </w:r>
      <w:proofErr w:type="spellStart"/>
      <w:r w:rsidRPr="006559C9">
        <w:rPr>
          <w:rFonts w:ascii="Times New Roman" w:hAnsi="Times New Roman" w:cs="Times New Roman"/>
          <w:i/>
          <w:color w:val="000000"/>
          <w:sz w:val="20"/>
          <w:szCs w:val="20"/>
        </w:rPr>
        <w:t>Law</w:t>
      </w:r>
      <w:proofErr w:type="spellEnd"/>
      <w:r>
        <w:rPr>
          <w:rFonts w:ascii="Times New Roman" w:hAnsi="Times New Roman" w:cs="Times New Roman"/>
          <w:i/>
          <w:color w:val="000000"/>
          <w:sz w:val="20"/>
          <w:szCs w:val="20"/>
        </w:rPr>
        <w:t xml:space="preserve"> </w:t>
      </w:r>
      <w:r>
        <w:rPr>
          <w:rFonts w:ascii="Times New Roman" w:hAnsi="Times New Roman" w:cs="Times New Roman"/>
          <w:color w:val="000000"/>
          <w:sz w:val="20"/>
          <w:szCs w:val="20"/>
        </w:rPr>
        <w:t xml:space="preserve">294- 295 </w:t>
      </w:r>
      <w:r>
        <w:rPr>
          <w:rFonts w:ascii="Times New Roman" w:hAnsi="Times New Roman" w:cs="Times New Roman"/>
          <w:i/>
          <w:color w:val="000000"/>
          <w:sz w:val="20"/>
          <w:szCs w:val="20"/>
        </w:rPr>
        <w:t>(</w:t>
      </w:r>
      <w:r>
        <w:rPr>
          <w:rFonts w:ascii="Times New Roman" w:hAnsi="Times New Roman" w:cs="Times New Roman"/>
          <w:color w:val="000000"/>
          <w:sz w:val="20"/>
          <w:szCs w:val="20"/>
        </w:rPr>
        <w:t>2. Ed.</w:t>
      </w:r>
      <w:r w:rsidRPr="009975EA">
        <w:rPr>
          <w:rFonts w:ascii="Times New Roman" w:hAnsi="Times New Roman" w:cs="Times New Roman"/>
          <w:color w:val="000000"/>
          <w:sz w:val="20"/>
          <w:szCs w:val="20"/>
        </w:rPr>
        <w:t xml:space="preserve"> 1977</w:t>
      </w:r>
      <w:r>
        <w:rPr>
          <w:rFonts w:ascii="Times New Roman" w:hAnsi="Times New Roman" w:cs="Times New Roman"/>
          <w:color w:val="000000"/>
          <w:sz w:val="20"/>
          <w:szCs w:val="20"/>
        </w:rPr>
        <w:t>)</w:t>
      </w:r>
      <w:r>
        <w:rPr>
          <w:rFonts w:ascii="Times New Roman" w:hAnsi="Times New Roman" w:cs="Times New Roman"/>
          <w:color w:val="191919"/>
          <w:sz w:val="20"/>
          <w:szCs w:val="20"/>
        </w:rPr>
        <w:t>)</w:t>
      </w:r>
      <w:r w:rsidRPr="009975EA">
        <w:rPr>
          <w:rFonts w:ascii="Times New Roman" w:hAnsi="Times New Roman" w:cs="Times New Roman"/>
          <w:color w:val="191919"/>
          <w:sz w:val="20"/>
          <w:szCs w:val="20"/>
        </w:rPr>
        <w:t>; “</w:t>
      </w:r>
      <w:proofErr w:type="spellStart"/>
      <w:r w:rsidRPr="009975EA">
        <w:rPr>
          <w:rFonts w:ascii="Times New Roman" w:hAnsi="Times New Roman" w:cs="Times New Roman"/>
          <w:color w:val="000000"/>
          <w:sz w:val="20"/>
          <w:szCs w:val="20"/>
        </w:rPr>
        <w:t>We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therefore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perform</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thought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experiment</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costlessly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bargain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question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adopt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adopt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bargain</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default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w:t>
      </w:r>
      <w:proofErr w:type="spellEnd"/>
      <w:r w:rsidRPr="009975EA">
        <w:rPr>
          <w:rFonts w:ascii="Times New Roman" w:hAnsi="Times New Roman" w:cs="Times New Roman"/>
          <w:color w:val="000000"/>
          <w:sz w:val="20"/>
          <w:szCs w:val="20"/>
        </w:rPr>
        <w:t>.</w:t>
      </w:r>
      <w:r w:rsidRPr="009975EA">
        <w:rPr>
          <w:rFonts w:ascii="Times New Roman" w:hAnsi="Times New Roman" w:cs="Times New Roman"/>
          <w:color w:val="191919"/>
          <w:sz w:val="20"/>
          <w:szCs w:val="20"/>
        </w:rPr>
        <w:t>” (</w:t>
      </w:r>
      <w:proofErr w:type="spellStart"/>
      <w:r w:rsidRPr="009975EA">
        <w:rPr>
          <w:rFonts w:ascii="Times New Roman" w:hAnsi="Times New Roman" w:cs="Times New Roman"/>
          <w:color w:val="191919"/>
          <w:sz w:val="20"/>
          <w:szCs w:val="20"/>
        </w:rPr>
        <w:t>Bainbridge</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Director</w:t>
      </w:r>
      <w:proofErr w:type="spellEnd"/>
      <w:r w:rsidRPr="009975EA">
        <w:rPr>
          <w:rFonts w:ascii="Times New Roman" w:hAnsi="Times New Roman" w:cs="Times New Roman"/>
          <w:color w:val="191919"/>
          <w:sz w:val="20"/>
          <w:szCs w:val="20"/>
        </w:rPr>
        <w:t xml:space="preserve"> </w:t>
      </w:r>
      <w:proofErr w:type="spellStart"/>
      <w:r w:rsidRPr="009975EA">
        <w:rPr>
          <w:rFonts w:ascii="Times New Roman" w:hAnsi="Times New Roman" w:cs="Times New Roman"/>
          <w:color w:val="191919"/>
          <w:sz w:val="20"/>
          <w:szCs w:val="20"/>
        </w:rPr>
        <w:t>Primacy</w:t>
      </w:r>
      <w:proofErr w:type="spellEnd"/>
      <w:r w:rsidRPr="009975EA">
        <w:rPr>
          <w:rFonts w:ascii="Times New Roman" w:hAnsi="Times New Roman" w:cs="Times New Roman"/>
          <w:color w:val="191919"/>
          <w:sz w:val="20"/>
          <w:szCs w:val="20"/>
        </w:rPr>
        <w:t>, p.18).</w:t>
      </w:r>
    </w:p>
  </w:footnote>
  <w:footnote w:id="134">
    <w:p w14:paraId="134E4BC9" w14:textId="49B5D68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statutory norms were not problems for public corporations, because the norms themselves mirrored the governance structures favored by public corporations. They were, however, a problem for the close </w:t>
      </w:r>
      <w:proofErr w:type="gramStart"/>
      <w:r w:rsidRPr="009975EA">
        <w:rPr>
          <w:rFonts w:ascii="Times New Roman" w:hAnsi="Times New Roman" w:cs="Times New Roman"/>
          <w:sz w:val="20"/>
          <w:szCs w:val="20"/>
        </w:rPr>
        <w:t>corporations</w:t>
      </w:r>
      <w:proofErr w:type="gramEnd"/>
      <w:r w:rsidRPr="009975EA">
        <w:rPr>
          <w:rFonts w:ascii="Times New Roman" w:hAnsi="Times New Roman" w:cs="Times New Roman"/>
          <w:sz w:val="20"/>
          <w:szCs w:val="20"/>
        </w:rPr>
        <w:t xml:space="preserve"> participants who desired to change those governance mechanisms.” (Harwell Wells, </w:t>
      </w:r>
      <w:r w:rsidRPr="006559C9">
        <w:rPr>
          <w:rFonts w:ascii="Times New Roman" w:hAnsi="Times New Roman" w:cs="Times New Roman"/>
          <w:i/>
          <w:sz w:val="20"/>
          <w:szCs w:val="20"/>
        </w:rPr>
        <w:t xml:space="preserve">The Rise of the Close </w:t>
      </w:r>
      <w:proofErr w:type="gramStart"/>
      <w:r w:rsidRPr="006559C9">
        <w:rPr>
          <w:rFonts w:ascii="Times New Roman" w:hAnsi="Times New Roman" w:cs="Times New Roman"/>
          <w:i/>
          <w:sz w:val="20"/>
          <w:szCs w:val="20"/>
        </w:rPr>
        <w:t>Corporation</w:t>
      </w:r>
      <w:proofErr w:type="gramEnd"/>
      <w:r w:rsidRPr="006559C9">
        <w:rPr>
          <w:rFonts w:ascii="Times New Roman" w:hAnsi="Times New Roman" w:cs="Times New Roman"/>
          <w:i/>
          <w:sz w:val="20"/>
          <w:szCs w:val="20"/>
        </w:rPr>
        <w:t xml:space="preserve"> and the Making of Corporation Law</w:t>
      </w:r>
      <w:r w:rsidRPr="009975EA">
        <w:rPr>
          <w:rFonts w:ascii="Times New Roman" w:hAnsi="Times New Roman" w:cs="Times New Roman"/>
          <w:sz w:val="20"/>
          <w:szCs w:val="20"/>
        </w:rPr>
        <w:t>, 5 B</w:t>
      </w:r>
      <w:r>
        <w:rPr>
          <w:rFonts w:ascii="Times New Roman" w:hAnsi="Times New Roman" w:cs="Times New Roman"/>
          <w:sz w:val="20"/>
          <w:szCs w:val="20"/>
        </w:rPr>
        <w:t xml:space="preserve">erkeley Bus. L.J. 263 (2008) at </w:t>
      </w:r>
      <w:r w:rsidRPr="009975EA">
        <w:rPr>
          <w:rFonts w:ascii="Times New Roman" w:hAnsi="Times New Roman" w:cs="Times New Roman"/>
          <w:sz w:val="20"/>
          <w:szCs w:val="20"/>
        </w:rPr>
        <w:t>287)</w:t>
      </w:r>
    </w:p>
  </w:footnote>
  <w:footnote w:id="135">
    <w:p w14:paraId="5638C390" w14:textId="3C921175"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phrase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long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contracts</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generally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used</w:t>
      </w:r>
      <w:proofErr w:type="spellEnd"/>
      <w:r w:rsidRPr="009975EA">
        <w:rPr>
          <w:rFonts w:ascii="Times New Roman" w:hAnsi="Times New Roman" w:cs="Times New Roman"/>
          <w:sz w:val="20"/>
          <w:szCs w:val="20"/>
        </w:rPr>
        <w:t xml:space="preserve"> as a </w:t>
      </w:r>
      <w:proofErr w:type="spellStart"/>
      <w:r w:rsidRPr="009975EA">
        <w:rPr>
          <w:rFonts w:ascii="Times New Roman" w:hAnsi="Times New Roman" w:cs="Times New Roman"/>
          <w:sz w:val="20"/>
          <w:szCs w:val="20"/>
        </w:rPr>
        <w:t>synonym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relational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contracts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Melvin</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Eisenberg</w:t>
      </w:r>
      <w:proofErr w:type="spellEnd"/>
      <w:r w:rsidRPr="009975EA">
        <w:rPr>
          <w:rFonts w:ascii="Times New Roman" w:hAnsi="Times New Roman" w:cs="Times New Roman"/>
          <w:sz w:val="20"/>
          <w:szCs w:val="20"/>
        </w:rPr>
        <w:t xml:space="preserve">, </w:t>
      </w:r>
      <w:proofErr w:type="spellStart"/>
      <w:r w:rsidRPr="006559C9">
        <w:rPr>
          <w:rFonts w:ascii="Times New Roman" w:hAnsi="Times New Roman" w:cs="Times New Roman"/>
          <w:i/>
          <w:sz w:val="20"/>
          <w:szCs w:val="20"/>
        </w:rPr>
        <w:t>Why</w:t>
      </w:r>
      <w:proofErr w:type="spellEnd"/>
      <w:r w:rsidRPr="006559C9">
        <w:rPr>
          <w:rFonts w:ascii="Times New Roman" w:hAnsi="Times New Roman" w:cs="Times New Roman"/>
          <w:i/>
          <w:sz w:val="20"/>
          <w:szCs w:val="20"/>
        </w:rPr>
        <w:t xml:space="preserve"> </w:t>
      </w:r>
      <w:proofErr w:type="spellStart"/>
      <w:r w:rsidRPr="006559C9">
        <w:rPr>
          <w:rFonts w:ascii="Times New Roman" w:hAnsi="Times New Roman" w:cs="Times New Roman"/>
          <w:i/>
          <w:sz w:val="20"/>
          <w:szCs w:val="20"/>
        </w:rPr>
        <w:t>There</w:t>
      </w:r>
      <w:proofErr w:type="spellEnd"/>
      <w:r w:rsidRPr="006559C9">
        <w:rPr>
          <w:rFonts w:ascii="Times New Roman" w:hAnsi="Times New Roman" w:cs="Times New Roman"/>
          <w:i/>
          <w:sz w:val="20"/>
          <w:szCs w:val="20"/>
        </w:rPr>
        <w:t xml:space="preserve"> is No </w:t>
      </w:r>
      <w:proofErr w:type="spellStart"/>
      <w:r w:rsidRPr="006559C9">
        <w:rPr>
          <w:rFonts w:ascii="Times New Roman" w:hAnsi="Times New Roman" w:cs="Times New Roman"/>
          <w:i/>
          <w:sz w:val="20"/>
          <w:szCs w:val="20"/>
        </w:rPr>
        <w:t>Law</w:t>
      </w:r>
      <w:proofErr w:type="spellEnd"/>
      <w:r w:rsidRPr="006559C9">
        <w:rPr>
          <w:rFonts w:ascii="Times New Roman" w:hAnsi="Times New Roman" w:cs="Times New Roman"/>
          <w:i/>
          <w:sz w:val="20"/>
          <w:szCs w:val="20"/>
        </w:rPr>
        <w:t xml:space="preserve"> of </w:t>
      </w:r>
      <w:proofErr w:type="spellStart"/>
      <w:r w:rsidRPr="006559C9">
        <w:rPr>
          <w:rFonts w:ascii="Times New Roman" w:hAnsi="Times New Roman" w:cs="Times New Roman"/>
          <w:i/>
          <w:sz w:val="20"/>
          <w:szCs w:val="20"/>
        </w:rPr>
        <w:t>Relational</w:t>
      </w:r>
      <w:proofErr w:type="spellEnd"/>
      <w:r w:rsidRPr="006559C9">
        <w:rPr>
          <w:rFonts w:ascii="Times New Roman" w:hAnsi="Times New Roman" w:cs="Times New Roman"/>
          <w:i/>
          <w:sz w:val="20"/>
          <w:szCs w:val="20"/>
        </w:rPr>
        <w:t xml:space="preserve"> </w:t>
      </w:r>
      <w:proofErr w:type="spellStart"/>
      <w:r w:rsidRPr="006559C9">
        <w:rPr>
          <w:rFonts w:ascii="Times New Roman" w:hAnsi="Times New Roman" w:cs="Times New Roman"/>
          <w:i/>
          <w:sz w:val="20"/>
          <w:szCs w:val="20"/>
        </w:rPr>
        <w:t>Contracts</w:t>
      </w:r>
      <w:proofErr w:type="spellEnd"/>
      <w:r w:rsidRPr="006559C9">
        <w:rPr>
          <w:rFonts w:ascii="Times New Roman" w:hAnsi="Times New Roman" w:cs="Times New Roman"/>
          <w:i/>
          <w:sz w:val="20"/>
          <w:szCs w:val="20"/>
        </w:rPr>
        <w:t>,</w:t>
      </w:r>
      <w:r>
        <w:rPr>
          <w:rFonts w:ascii="Times New Roman" w:hAnsi="Times New Roman" w:cs="Times New Roman"/>
          <w:sz w:val="20"/>
          <w:szCs w:val="20"/>
        </w:rPr>
        <w:t xml:space="preserve"> 94 </w:t>
      </w:r>
      <w:proofErr w:type="spellStart"/>
      <w:r>
        <w:rPr>
          <w:rFonts w:ascii="Times New Roman" w:hAnsi="Times New Roman" w:cs="Times New Roman"/>
          <w:sz w:val="20"/>
          <w:szCs w:val="20"/>
        </w:rPr>
        <w:t>Nw</w:t>
      </w:r>
      <w:proofErr w:type="spellEnd"/>
      <w:r>
        <w:rPr>
          <w:rFonts w:ascii="Times New Roman" w:hAnsi="Times New Roman" w:cs="Times New Roman"/>
          <w:sz w:val="20"/>
          <w:szCs w:val="20"/>
        </w:rPr>
        <w:t xml:space="preserve">. U.L. </w:t>
      </w:r>
      <w:proofErr w:type="spellStart"/>
      <w:r>
        <w:rPr>
          <w:rFonts w:ascii="Times New Roman" w:hAnsi="Times New Roman" w:cs="Times New Roman"/>
          <w:sz w:val="20"/>
          <w:szCs w:val="20"/>
        </w:rPr>
        <w:t>Rev</w:t>
      </w:r>
      <w:proofErr w:type="spellEnd"/>
      <w:r>
        <w:rPr>
          <w:rFonts w:ascii="Times New Roman" w:hAnsi="Times New Roman" w:cs="Times New Roman"/>
          <w:sz w:val="20"/>
          <w:szCs w:val="20"/>
        </w:rPr>
        <w:t xml:space="preserve">. 805 (2000), at </w:t>
      </w:r>
      <w:r w:rsidRPr="009975EA">
        <w:rPr>
          <w:rFonts w:ascii="Times New Roman" w:hAnsi="Times New Roman" w:cs="Times New Roman"/>
          <w:sz w:val="20"/>
          <w:szCs w:val="20"/>
        </w:rPr>
        <w:t xml:space="preserve">814). </w:t>
      </w:r>
      <w:proofErr w:type="spellStart"/>
      <w:r w:rsidRPr="009975EA">
        <w:rPr>
          <w:rFonts w:ascii="Times New Roman" w:hAnsi="Times New Roman" w:cs="Times New Roman"/>
          <w:sz w:val="20"/>
          <w:szCs w:val="20"/>
        </w:rPr>
        <w:t>However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usage</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misleading</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a </w:t>
      </w:r>
      <w:proofErr w:type="spellStart"/>
      <w:r w:rsidRPr="009975EA">
        <w:rPr>
          <w:rFonts w:ascii="Times New Roman" w:hAnsi="Times New Roman" w:cs="Times New Roman"/>
          <w:color w:val="000000"/>
          <w:sz w:val="20"/>
          <w:szCs w:val="20"/>
        </w:rPr>
        <w:t>long-term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fixed-rent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lease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tenant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responsible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maintenance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insurance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taxes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involve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little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relationship</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between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landlord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tenant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Similarly</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long-term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lease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equipment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aircraft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almost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between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long</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periodic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payments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contrast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two-week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remodel</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room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highly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relational</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a </w:t>
      </w:r>
      <w:proofErr w:type="spellStart"/>
      <w:r w:rsidRPr="009975EA">
        <w:rPr>
          <w:rFonts w:ascii="Times New Roman" w:hAnsi="Times New Roman" w:cs="Times New Roman"/>
          <w:color w:val="000000"/>
          <w:sz w:val="20"/>
          <w:szCs w:val="20"/>
        </w:rPr>
        <w:t>one-day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between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photographer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portrait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sitter</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Eisenberg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p.814) </w:t>
      </w:r>
      <w:proofErr w:type="spellStart"/>
      <w:r w:rsidRPr="009975EA">
        <w:rPr>
          <w:rFonts w:ascii="Times New Roman" w:hAnsi="Times New Roman" w:cs="Times New Roman"/>
          <w:color w:val="000000"/>
          <w:sz w:val="20"/>
          <w:szCs w:val="20"/>
        </w:rPr>
        <w:t>Therefore</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spectrum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approach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discreteness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accurate</w:t>
      </w:r>
      <w:proofErr w:type="spellEnd"/>
      <w:r w:rsidRPr="009975EA">
        <w:rPr>
          <w:rFonts w:ascii="Times New Roman" w:hAnsi="Times New Roman" w:cs="Times New Roman"/>
          <w:color w:val="000000"/>
          <w:sz w:val="20"/>
          <w:szCs w:val="20"/>
        </w:rPr>
        <w:t xml:space="preserve">: </w:t>
      </w:r>
      <w:r w:rsidRPr="009975EA">
        <w:rPr>
          <w:rFonts w:ascii="Times New Roman" w:hAnsi="Times New Roman" w:cs="Times New Roman"/>
          <w:sz w:val="20"/>
          <w:szCs w:val="20"/>
        </w:rPr>
        <w:t>“</w:t>
      </w:r>
      <w:proofErr w:type="spellStart"/>
      <w:r w:rsidRPr="009975EA">
        <w:rPr>
          <w:rFonts w:ascii="Times New Roman" w:hAnsi="Times New Roman" w:cs="Times New Roman"/>
          <w:color w:val="000000"/>
          <w:sz w:val="20"/>
          <w:szCs w:val="20"/>
        </w:rPr>
        <w:t>Macneil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sometimes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treats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discreteness</w:t>
      </w:r>
      <w:proofErr w:type="spellEnd"/>
      <w:r w:rsidRPr="009975EA">
        <w:rPr>
          <w:rFonts w:ascii="Times New Roman" w:hAnsi="Times New Roman" w:cs="Times New Roman"/>
          <w:color w:val="000000"/>
          <w:sz w:val="20"/>
          <w:szCs w:val="20"/>
        </w:rPr>
        <w:t xml:space="preserve"> as an </w:t>
      </w:r>
      <w:proofErr w:type="spellStart"/>
      <w:r w:rsidRPr="009975EA">
        <w:rPr>
          <w:rFonts w:ascii="Times New Roman" w:hAnsi="Times New Roman" w:cs="Times New Roman"/>
          <w:color w:val="000000"/>
          <w:sz w:val="20"/>
          <w:szCs w:val="20"/>
        </w:rPr>
        <w:t>end</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spectrum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rather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definition</w:t>
      </w:r>
      <w:proofErr w:type="spellEnd"/>
      <w:r w:rsidRPr="009975EA">
        <w:rPr>
          <w:rFonts w:ascii="Times New Roman" w:hAnsi="Times New Roman" w:cs="Times New Roman"/>
          <w:color w:val="000000"/>
          <w:sz w:val="20"/>
          <w:szCs w:val="20"/>
        </w:rPr>
        <w:t xml:space="preserve"> of a body of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Under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approach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characterized</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lying</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discrete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end</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spectrum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it has </w:t>
      </w:r>
      <w:proofErr w:type="spellStart"/>
      <w:r w:rsidRPr="009975EA">
        <w:rPr>
          <w:rFonts w:ascii="Times New Roman" w:hAnsi="Times New Roman" w:cs="Times New Roman"/>
          <w:color w:val="000000"/>
          <w:sz w:val="20"/>
          <w:szCs w:val="20"/>
        </w:rPr>
        <w:t>less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certain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characteristics</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example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personal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cooperative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burdens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less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units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exchange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difficult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measure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lying</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end</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spectrum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it has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relevant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characteristics</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Eisenberg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p.813) </w:t>
      </w:r>
    </w:p>
  </w:footnote>
  <w:footnote w:id="136">
    <w:p w14:paraId="15679931" w14:textId="02F4546C"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Manuel A. </w:t>
      </w:r>
      <w:proofErr w:type="spellStart"/>
      <w:r w:rsidRPr="009975EA">
        <w:rPr>
          <w:rFonts w:ascii="Times New Roman" w:hAnsi="Times New Roman" w:cs="Times New Roman"/>
          <w:sz w:val="20"/>
          <w:szCs w:val="20"/>
        </w:rPr>
        <w:t>Utset</w:t>
      </w:r>
      <w:proofErr w:type="spellEnd"/>
      <w:r w:rsidRPr="009975EA">
        <w:rPr>
          <w:rFonts w:ascii="Times New Roman" w:hAnsi="Times New Roman" w:cs="Times New Roman"/>
          <w:sz w:val="20"/>
          <w:szCs w:val="20"/>
        </w:rPr>
        <w:t xml:space="preserve">, </w:t>
      </w:r>
      <w:r w:rsidRPr="006559C9">
        <w:rPr>
          <w:rFonts w:ascii="Times New Roman" w:hAnsi="Times New Roman" w:cs="Times New Roman"/>
          <w:i/>
          <w:sz w:val="20"/>
          <w:szCs w:val="20"/>
        </w:rPr>
        <w:t xml:space="preserve">A </w:t>
      </w:r>
      <w:proofErr w:type="spellStart"/>
      <w:r w:rsidRPr="006559C9">
        <w:rPr>
          <w:rFonts w:ascii="Times New Roman" w:hAnsi="Times New Roman" w:cs="Times New Roman"/>
          <w:i/>
          <w:sz w:val="20"/>
          <w:szCs w:val="20"/>
        </w:rPr>
        <w:t>Theory</w:t>
      </w:r>
      <w:proofErr w:type="spellEnd"/>
      <w:r w:rsidRPr="006559C9">
        <w:rPr>
          <w:rFonts w:ascii="Times New Roman" w:hAnsi="Times New Roman" w:cs="Times New Roman"/>
          <w:i/>
          <w:sz w:val="20"/>
          <w:szCs w:val="20"/>
        </w:rPr>
        <w:t xml:space="preserve"> of Self- Control </w:t>
      </w:r>
      <w:proofErr w:type="spellStart"/>
      <w:r w:rsidRPr="006559C9">
        <w:rPr>
          <w:rFonts w:ascii="Times New Roman" w:hAnsi="Times New Roman" w:cs="Times New Roman"/>
          <w:i/>
          <w:sz w:val="20"/>
          <w:szCs w:val="20"/>
        </w:rPr>
        <w:t>Problems</w:t>
      </w:r>
      <w:proofErr w:type="spellEnd"/>
      <w:r w:rsidRPr="006559C9">
        <w:rPr>
          <w:rFonts w:ascii="Times New Roman" w:hAnsi="Times New Roman" w:cs="Times New Roman"/>
          <w:i/>
          <w:sz w:val="20"/>
          <w:szCs w:val="20"/>
        </w:rPr>
        <w:t xml:space="preserve"> </w:t>
      </w:r>
      <w:proofErr w:type="spellStart"/>
      <w:r w:rsidRPr="006559C9">
        <w:rPr>
          <w:rFonts w:ascii="Times New Roman" w:hAnsi="Times New Roman" w:cs="Times New Roman"/>
          <w:i/>
          <w:sz w:val="20"/>
          <w:szCs w:val="20"/>
        </w:rPr>
        <w:t>and</w:t>
      </w:r>
      <w:proofErr w:type="spellEnd"/>
      <w:r w:rsidRPr="006559C9">
        <w:rPr>
          <w:rFonts w:ascii="Times New Roman" w:hAnsi="Times New Roman" w:cs="Times New Roman"/>
          <w:i/>
          <w:sz w:val="20"/>
          <w:szCs w:val="20"/>
        </w:rPr>
        <w:t xml:space="preserve"> </w:t>
      </w:r>
      <w:proofErr w:type="spellStart"/>
      <w:r w:rsidRPr="006559C9">
        <w:rPr>
          <w:rFonts w:ascii="Times New Roman" w:hAnsi="Times New Roman" w:cs="Times New Roman"/>
          <w:i/>
          <w:sz w:val="20"/>
          <w:szCs w:val="20"/>
        </w:rPr>
        <w:t>Incomplete</w:t>
      </w:r>
      <w:proofErr w:type="spellEnd"/>
      <w:r w:rsidRPr="006559C9">
        <w:rPr>
          <w:rFonts w:ascii="Times New Roman" w:hAnsi="Times New Roman" w:cs="Times New Roman"/>
          <w:i/>
          <w:sz w:val="20"/>
          <w:szCs w:val="20"/>
        </w:rPr>
        <w:t xml:space="preserve"> </w:t>
      </w:r>
      <w:proofErr w:type="spellStart"/>
      <w:r w:rsidRPr="006559C9">
        <w:rPr>
          <w:rFonts w:ascii="Times New Roman" w:hAnsi="Times New Roman" w:cs="Times New Roman"/>
          <w:i/>
          <w:sz w:val="20"/>
          <w:szCs w:val="20"/>
        </w:rPr>
        <w:t>Contracting</w:t>
      </w:r>
      <w:proofErr w:type="spellEnd"/>
      <w:r w:rsidRPr="006559C9">
        <w:rPr>
          <w:rFonts w:ascii="Times New Roman" w:hAnsi="Times New Roman" w:cs="Times New Roman"/>
          <w:i/>
          <w:sz w:val="20"/>
          <w:szCs w:val="20"/>
        </w:rPr>
        <w:t xml:space="preserve">: </w:t>
      </w:r>
      <w:proofErr w:type="spellStart"/>
      <w:r w:rsidRPr="006559C9">
        <w:rPr>
          <w:rFonts w:ascii="Times New Roman" w:hAnsi="Times New Roman" w:cs="Times New Roman"/>
          <w:i/>
          <w:sz w:val="20"/>
          <w:szCs w:val="20"/>
        </w:rPr>
        <w:t>The</w:t>
      </w:r>
      <w:proofErr w:type="spellEnd"/>
      <w:r w:rsidRPr="006559C9">
        <w:rPr>
          <w:rFonts w:ascii="Times New Roman" w:hAnsi="Times New Roman" w:cs="Times New Roman"/>
          <w:i/>
          <w:sz w:val="20"/>
          <w:szCs w:val="20"/>
        </w:rPr>
        <w:t xml:space="preserve"> Case of </w:t>
      </w:r>
      <w:proofErr w:type="spellStart"/>
      <w:r w:rsidRPr="006559C9">
        <w:rPr>
          <w:rFonts w:ascii="Times New Roman" w:hAnsi="Times New Roman" w:cs="Times New Roman"/>
          <w:i/>
          <w:sz w:val="20"/>
          <w:szCs w:val="20"/>
        </w:rPr>
        <w:t>Shareholder</w:t>
      </w:r>
      <w:proofErr w:type="spellEnd"/>
      <w:r w:rsidRPr="006559C9">
        <w:rPr>
          <w:rFonts w:ascii="Times New Roman" w:hAnsi="Times New Roman" w:cs="Times New Roman"/>
          <w:i/>
          <w:sz w:val="20"/>
          <w:szCs w:val="20"/>
        </w:rPr>
        <w:t xml:space="preserve"> </w:t>
      </w:r>
      <w:proofErr w:type="spellStart"/>
      <w:r w:rsidRPr="006559C9">
        <w:rPr>
          <w:rFonts w:ascii="Times New Roman" w:hAnsi="Times New Roman" w:cs="Times New Roman"/>
          <w:i/>
          <w:sz w:val="20"/>
          <w:szCs w:val="20"/>
        </w:rPr>
        <w:t>Contracts</w:t>
      </w:r>
      <w:proofErr w:type="spellEnd"/>
      <w:r w:rsidRPr="006559C9">
        <w:rPr>
          <w:rFonts w:ascii="Times New Roman" w:hAnsi="Times New Roman" w:cs="Times New Roman"/>
          <w:i/>
          <w:sz w:val="20"/>
          <w:szCs w:val="20"/>
        </w:rPr>
        <w:t>,</w:t>
      </w:r>
      <w:r>
        <w:rPr>
          <w:rFonts w:ascii="Times New Roman" w:hAnsi="Times New Roman" w:cs="Times New Roman"/>
          <w:sz w:val="20"/>
          <w:szCs w:val="20"/>
        </w:rPr>
        <w:t xml:space="preserve"> 2003 </w:t>
      </w:r>
      <w:proofErr w:type="spellStart"/>
      <w:r>
        <w:rPr>
          <w:rFonts w:ascii="Times New Roman" w:hAnsi="Times New Roman" w:cs="Times New Roman"/>
          <w:sz w:val="20"/>
          <w:szCs w:val="20"/>
        </w:rPr>
        <w:t>Utah</w:t>
      </w:r>
      <w:proofErr w:type="spellEnd"/>
      <w:r>
        <w:rPr>
          <w:rFonts w:ascii="Times New Roman" w:hAnsi="Times New Roman" w:cs="Times New Roman"/>
          <w:sz w:val="20"/>
          <w:szCs w:val="20"/>
        </w:rPr>
        <w:t xml:space="preserve"> L. </w:t>
      </w:r>
      <w:proofErr w:type="spellStart"/>
      <w:r>
        <w:rPr>
          <w:rFonts w:ascii="Times New Roman" w:hAnsi="Times New Roman" w:cs="Times New Roman"/>
          <w:sz w:val="20"/>
          <w:szCs w:val="20"/>
        </w:rPr>
        <w:t>Rev</w:t>
      </w:r>
      <w:proofErr w:type="spellEnd"/>
      <w:r>
        <w:rPr>
          <w:rFonts w:ascii="Times New Roman" w:hAnsi="Times New Roman" w:cs="Times New Roman"/>
          <w:sz w:val="20"/>
          <w:szCs w:val="20"/>
        </w:rPr>
        <w:t xml:space="preserve">. 1329, at 1332; Charles J. </w:t>
      </w:r>
      <w:proofErr w:type="spellStart"/>
      <w:r>
        <w:rPr>
          <w:rFonts w:ascii="Times New Roman" w:hAnsi="Times New Roman" w:cs="Times New Roman"/>
          <w:sz w:val="20"/>
          <w:szCs w:val="20"/>
        </w:rPr>
        <w:t>Goetz</w:t>
      </w:r>
      <w:proofErr w:type="spellEnd"/>
      <w:r>
        <w:rPr>
          <w:rFonts w:ascii="Times New Roman" w:hAnsi="Times New Roman" w:cs="Times New Roman"/>
          <w:sz w:val="20"/>
          <w:szCs w:val="20"/>
        </w:rPr>
        <w:t xml:space="preserve">, </w:t>
      </w:r>
      <w:r w:rsidRPr="009975EA">
        <w:rPr>
          <w:rFonts w:ascii="Times New Roman" w:hAnsi="Times New Roman" w:cs="Times New Roman"/>
          <w:sz w:val="20"/>
          <w:szCs w:val="20"/>
        </w:rPr>
        <w:t xml:space="preserve">Robert E. </w:t>
      </w:r>
      <w:proofErr w:type="spellStart"/>
      <w:r w:rsidRPr="009975EA">
        <w:rPr>
          <w:rFonts w:ascii="Times New Roman" w:hAnsi="Times New Roman" w:cs="Times New Roman"/>
          <w:sz w:val="20"/>
          <w:szCs w:val="20"/>
        </w:rPr>
        <w:t>Scott</w:t>
      </w:r>
      <w:proofErr w:type="spellEnd"/>
      <w:r w:rsidRPr="009975EA">
        <w:rPr>
          <w:rFonts w:ascii="Times New Roman" w:hAnsi="Times New Roman" w:cs="Times New Roman"/>
          <w:sz w:val="20"/>
          <w:szCs w:val="20"/>
        </w:rPr>
        <w:t xml:space="preserve">, </w:t>
      </w:r>
      <w:proofErr w:type="spellStart"/>
      <w:r w:rsidRPr="006559C9">
        <w:rPr>
          <w:rFonts w:ascii="Times New Roman" w:hAnsi="Times New Roman" w:cs="Times New Roman"/>
          <w:i/>
          <w:sz w:val="20"/>
          <w:szCs w:val="20"/>
        </w:rPr>
        <w:t>Principles</w:t>
      </w:r>
      <w:proofErr w:type="spellEnd"/>
      <w:r w:rsidRPr="006559C9">
        <w:rPr>
          <w:rFonts w:ascii="Times New Roman" w:hAnsi="Times New Roman" w:cs="Times New Roman"/>
          <w:i/>
          <w:sz w:val="20"/>
          <w:szCs w:val="20"/>
        </w:rPr>
        <w:t xml:space="preserve"> of </w:t>
      </w:r>
      <w:proofErr w:type="spellStart"/>
      <w:r w:rsidRPr="006559C9">
        <w:rPr>
          <w:rFonts w:ascii="Times New Roman" w:hAnsi="Times New Roman" w:cs="Times New Roman"/>
          <w:i/>
          <w:sz w:val="20"/>
          <w:szCs w:val="20"/>
        </w:rPr>
        <w:t>Relational</w:t>
      </w:r>
      <w:proofErr w:type="spellEnd"/>
      <w:r w:rsidRPr="006559C9">
        <w:rPr>
          <w:rFonts w:ascii="Times New Roman" w:hAnsi="Times New Roman" w:cs="Times New Roman"/>
          <w:i/>
          <w:sz w:val="20"/>
          <w:szCs w:val="20"/>
        </w:rPr>
        <w:t xml:space="preserve"> </w:t>
      </w:r>
      <w:proofErr w:type="spellStart"/>
      <w:r w:rsidRPr="006559C9">
        <w:rPr>
          <w:rFonts w:ascii="Times New Roman" w:hAnsi="Times New Roman" w:cs="Times New Roman"/>
          <w:i/>
          <w:sz w:val="20"/>
          <w:szCs w:val="20"/>
        </w:rPr>
        <w:t>Contracts</w:t>
      </w:r>
      <w:proofErr w:type="spellEnd"/>
      <w:r>
        <w:rPr>
          <w:rFonts w:ascii="Times New Roman" w:hAnsi="Times New Roman" w:cs="Times New Roman"/>
          <w:sz w:val="20"/>
          <w:szCs w:val="20"/>
        </w:rPr>
        <w:t xml:space="preserve">, 67 </w:t>
      </w:r>
      <w:proofErr w:type="spellStart"/>
      <w:r>
        <w:rPr>
          <w:rFonts w:ascii="Times New Roman" w:hAnsi="Times New Roman" w:cs="Times New Roman"/>
          <w:sz w:val="20"/>
          <w:szCs w:val="20"/>
        </w:rPr>
        <w:t>Va</w:t>
      </w:r>
      <w:proofErr w:type="spellEnd"/>
      <w:r>
        <w:rPr>
          <w:rFonts w:ascii="Times New Roman" w:hAnsi="Times New Roman" w:cs="Times New Roman"/>
          <w:sz w:val="20"/>
          <w:szCs w:val="20"/>
        </w:rPr>
        <w:t xml:space="preserve">. L. </w:t>
      </w:r>
      <w:proofErr w:type="spellStart"/>
      <w:r>
        <w:rPr>
          <w:rFonts w:ascii="Times New Roman" w:hAnsi="Times New Roman" w:cs="Times New Roman"/>
          <w:sz w:val="20"/>
          <w:szCs w:val="20"/>
        </w:rPr>
        <w:t>Rev</w:t>
      </w:r>
      <w:proofErr w:type="spellEnd"/>
      <w:r>
        <w:rPr>
          <w:rFonts w:ascii="Times New Roman" w:hAnsi="Times New Roman" w:cs="Times New Roman"/>
          <w:sz w:val="20"/>
          <w:szCs w:val="20"/>
        </w:rPr>
        <w:t>. 1089 (1981), at</w:t>
      </w:r>
      <w:r w:rsidRPr="009975EA">
        <w:rPr>
          <w:rFonts w:ascii="Times New Roman" w:hAnsi="Times New Roman" w:cs="Times New Roman"/>
          <w:sz w:val="20"/>
          <w:szCs w:val="20"/>
        </w:rPr>
        <w:t xml:space="preserve"> 1091- 1092: “</w:t>
      </w:r>
      <w:r w:rsidRPr="009975EA">
        <w:rPr>
          <w:rFonts w:ascii="Times New Roman" w:hAnsi="Times New Roman" w:cs="Times New Roman"/>
          <w:color w:val="000000"/>
          <w:sz w:val="20"/>
          <w:szCs w:val="20"/>
        </w:rPr>
        <w:t xml:space="preserve">A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relational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incapable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reducing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important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arrangement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well-defined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obligations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definitive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obligations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impractical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inability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identify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uncertain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conditions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inability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characterize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complex</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adaptations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adequately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contingencies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themselves</w:t>
      </w:r>
      <w:proofErr w:type="spellEnd"/>
      <w:r w:rsidRPr="009975EA">
        <w:rPr>
          <w:rFonts w:ascii="Times New Roman" w:hAnsi="Times New Roman" w:cs="Times New Roman"/>
          <w:color w:val="000000"/>
          <w:sz w:val="20"/>
          <w:szCs w:val="20"/>
        </w:rPr>
        <w:t xml:space="preserve"> can be </w:t>
      </w:r>
      <w:proofErr w:type="spellStart"/>
      <w:r w:rsidRPr="009975EA">
        <w:rPr>
          <w:rFonts w:ascii="Times New Roman" w:hAnsi="Times New Roman" w:cs="Times New Roman"/>
          <w:color w:val="000000"/>
          <w:sz w:val="20"/>
          <w:szCs w:val="20"/>
        </w:rPr>
        <w:t>identified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advance</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discussion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below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illustrates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likely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short-term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fit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conceptualization</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temporal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extension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w:t>
      </w:r>
      <w:proofErr w:type="spellEnd"/>
      <w:r w:rsidRPr="009975EA">
        <w:rPr>
          <w:rFonts w:ascii="Times New Roman" w:hAnsi="Times New Roman" w:cs="Times New Roman"/>
          <w:color w:val="000000"/>
          <w:sz w:val="20"/>
          <w:szCs w:val="20"/>
        </w:rPr>
        <w:t xml:space="preserve"> se is not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characteristic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conventional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generally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reduce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performance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standards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rather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obligations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create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unique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interdependent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relationships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unknown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contingencies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intricacy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responses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prevent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specification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precise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performance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standards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Complexity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uncertainty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conceptually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distinct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roles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although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frequently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operate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combination</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137">
    <w:p w14:paraId="5975D50D" w14:textId="5E90456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William J. Aceves, </w:t>
      </w:r>
      <w:r w:rsidRPr="006559C9">
        <w:rPr>
          <w:rFonts w:ascii="Times New Roman" w:hAnsi="Times New Roman" w:cs="Times New Roman"/>
          <w:i/>
          <w:sz w:val="20"/>
          <w:szCs w:val="20"/>
        </w:rPr>
        <w:t>The Economic Analysis of International Law: Transaction Cost Economics and the Concept of State Practice</w:t>
      </w:r>
      <w:r w:rsidRPr="009975EA">
        <w:rPr>
          <w:rFonts w:ascii="Times New Roman" w:hAnsi="Times New Roman" w:cs="Times New Roman"/>
          <w:sz w:val="20"/>
          <w:szCs w:val="20"/>
        </w:rPr>
        <w:t xml:space="preserve">, 17 </w:t>
      </w:r>
      <w:proofErr w:type="spellStart"/>
      <w:r w:rsidRPr="009975EA">
        <w:rPr>
          <w:rFonts w:ascii="Times New Roman" w:hAnsi="Times New Roman" w:cs="Times New Roman"/>
          <w:sz w:val="20"/>
          <w:szCs w:val="20"/>
        </w:rPr>
        <w:t>U.Pa</w:t>
      </w:r>
      <w:proofErr w:type="spellEnd"/>
      <w:r w:rsidRPr="009975EA">
        <w:rPr>
          <w:rFonts w:ascii="Times New Roman" w:hAnsi="Times New Roman" w:cs="Times New Roman"/>
          <w:sz w:val="20"/>
          <w:szCs w:val="20"/>
        </w:rPr>
        <w:t>.</w:t>
      </w:r>
      <w:r>
        <w:rPr>
          <w:rFonts w:ascii="Times New Roman" w:hAnsi="Times New Roman" w:cs="Times New Roman"/>
          <w:sz w:val="20"/>
          <w:szCs w:val="20"/>
        </w:rPr>
        <w:t xml:space="preserve"> J. </w:t>
      </w:r>
      <w:proofErr w:type="spellStart"/>
      <w:r>
        <w:rPr>
          <w:rFonts w:ascii="Times New Roman" w:hAnsi="Times New Roman" w:cs="Times New Roman"/>
          <w:sz w:val="20"/>
          <w:szCs w:val="20"/>
        </w:rPr>
        <w:t>In’l</w:t>
      </w:r>
      <w:proofErr w:type="spellEnd"/>
      <w:r>
        <w:rPr>
          <w:rFonts w:ascii="Times New Roman" w:hAnsi="Times New Roman" w:cs="Times New Roman"/>
          <w:sz w:val="20"/>
          <w:szCs w:val="20"/>
        </w:rPr>
        <w:t xml:space="preserve"> Econ. L. 995 (1996), </w:t>
      </w:r>
      <w:r w:rsidR="00891F39">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1002.</w:t>
      </w:r>
    </w:p>
  </w:footnote>
  <w:footnote w:id="138">
    <w:p w14:paraId="5B9D05B8" w14:textId="2F93F0F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Armour</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Hansmann</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p. 21.</w:t>
      </w:r>
    </w:p>
  </w:footnote>
  <w:footnote w:id="139">
    <w:p w14:paraId="1178BF10" w14:textId="143C405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parties cannot engage in explicit bargaining over many aspects of their interaction because they cannot foresee every possible contingency that might befall their venture” (Terry A. O’Neill, p. 659).</w:t>
      </w:r>
    </w:p>
  </w:footnote>
  <w:footnote w:id="140">
    <w:p w14:paraId="1A4EA0DC" w14:textId="08762632"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Recall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relational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set </w:t>
      </w:r>
      <w:proofErr w:type="spellStart"/>
      <w:r w:rsidRPr="009975EA">
        <w:rPr>
          <w:rFonts w:ascii="Times New Roman" w:hAnsi="Times New Roman" w:cs="Times New Roman"/>
          <w:color w:val="000000"/>
          <w:sz w:val="20"/>
          <w:szCs w:val="20"/>
        </w:rPr>
        <w:t>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obligations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formal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document</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particular</w:t>
      </w:r>
      <w:proofErr w:type="spellEnd"/>
      <w:r w:rsidRPr="009975EA">
        <w:rPr>
          <w:rFonts w:ascii="Times New Roman" w:hAnsi="Times New Roman" w:cs="Times New Roman"/>
          <w:color w:val="000000"/>
          <w:sz w:val="20"/>
          <w:szCs w:val="20"/>
        </w:rPr>
        <w:t xml:space="preserve"> time at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do not </w:t>
      </w:r>
      <w:proofErr w:type="spellStart"/>
      <w:r w:rsidRPr="009975EA">
        <w:rPr>
          <w:rFonts w:ascii="Times New Roman" w:hAnsi="Times New Roman" w:cs="Times New Roman"/>
          <w:color w:val="000000"/>
          <w:sz w:val="20"/>
          <w:szCs w:val="20"/>
        </w:rPr>
        <w:t>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equitable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discretion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ignoring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fundamental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manner</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participants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bargains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Mohamed</w:t>
      </w:r>
      <w:proofErr w:type="spellEnd"/>
      <w:r w:rsidRPr="009975EA">
        <w:rPr>
          <w:rFonts w:ascii="Times New Roman" w:hAnsi="Times New Roman" w:cs="Times New Roman"/>
          <w:sz w:val="20"/>
          <w:szCs w:val="20"/>
        </w:rPr>
        <w:t xml:space="preserve"> F.</w:t>
      </w:r>
      <w:r>
        <w:rPr>
          <w:rFonts w:ascii="Times New Roman" w:hAnsi="Times New Roman" w:cs="Times New Roman"/>
          <w:sz w:val="20"/>
          <w:szCs w:val="20"/>
        </w:rPr>
        <w:t xml:space="preserve"> </w:t>
      </w:r>
      <w:proofErr w:type="spellStart"/>
      <w:r>
        <w:rPr>
          <w:rFonts w:ascii="Times New Roman" w:hAnsi="Times New Roman" w:cs="Times New Roman"/>
          <w:sz w:val="20"/>
          <w:szCs w:val="20"/>
        </w:rPr>
        <w:t>Khimji</w:t>
      </w:r>
      <w:proofErr w:type="spellEnd"/>
      <w:r>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Viner</w:t>
      </w:r>
      <w:proofErr w:type="spellEnd"/>
      <w:r w:rsidRPr="009975EA">
        <w:rPr>
          <w:rFonts w:ascii="Times New Roman" w:hAnsi="Times New Roman" w:cs="Times New Roman"/>
          <w:sz w:val="20"/>
          <w:szCs w:val="20"/>
        </w:rPr>
        <w:t xml:space="preserve">, </w:t>
      </w:r>
      <w:proofErr w:type="spellStart"/>
      <w:r w:rsidRPr="001C0348">
        <w:rPr>
          <w:rFonts w:ascii="Times New Roman" w:hAnsi="Times New Roman" w:cs="Times New Roman"/>
          <w:i/>
          <w:sz w:val="20"/>
          <w:szCs w:val="20"/>
        </w:rPr>
        <w:t>Oppression</w:t>
      </w:r>
      <w:proofErr w:type="spellEnd"/>
      <w:r w:rsidRPr="001C0348">
        <w:rPr>
          <w:rFonts w:ascii="Times New Roman" w:hAnsi="Times New Roman" w:cs="Times New Roman"/>
          <w:i/>
          <w:sz w:val="20"/>
          <w:szCs w:val="20"/>
        </w:rPr>
        <w:t xml:space="preserve">- </w:t>
      </w:r>
      <w:proofErr w:type="spellStart"/>
      <w:r w:rsidRPr="001C0348">
        <w:rPr>
          <w:rFonts w:ascii="Times New Roman" w:hAnsi="Times New Roman" w:cs="Times New Roman"/>
          <w:i/>
          <w:sz w:val="20"/>
          <w:szCs w:val="20"/>
        </w:rPr>
        <w:t>Reducing</w:t>
      </w:r>
      <w:proofErr w:type="spellEnd"/>
      <w:r w:rsidRPr="001C0348">
        <w:rPr>
          <w:rFonts w:ascii="Times New Roman" w:hAnsi="Times New Roman" w:cs="Times New Roman"/>
          <w:i/>
          <w:sz w:val="20"/>
          <w:szCs w:val="20"/>
        </w:rPr>
        <w:t xml:space="preserve"> </w:t>
      </w:r>
      <w:proofErr w:type="spellStart"/>
      <w:r w:rsidRPr="001C0348">
        <w:rPr>
          <w:rFonts w:ascii="Times New Roman" w:hAnsi="Times New Roman" w:cs="Times New Roman"/>
          <w:i/>
          <w:sz w:val="20"/>
          <w:szCs w:val="20"/>
        </w:rPr>
        <w:t>Canadian</w:t>
      </w:r>
      <w:proofErr w:type="spellEnd"/>
      <w:r w:rsidRPr="001C0348">
        <w:rPr>
          <w:rFonts w:ascii="Times New Roman" w:hAnsi="Times New Roman" w:cs="Times New Roman"/>
          <w:i/>
          <w:sz w:val="20"/>
          <w:szCs w:val="20"/>
        </w:rPr>
        <w:t xml:space="preserve"> </w:t>
      </w:r>
      <w:proofErr w:type="spellStart"/>
      <w:r w:rsidRPr="001C0348">
        <w:rPr>
          <w:rFonts w:ascii="Times New Roman" w:hAnsi="Times New Roman" w:cs="Times New Roman"/>
          <w:i/>
          <w:sz w:val="20"/>
          <w:szCs w:val="20"/>
        </w:rPr>
        <w:t>Corporate</w:t>
      </w:r>
      <w:proofErr w:type="spellEnd"/>
      <w:r w:rsidRPr="001C0348">
        <w:rPr>
          <w:rFonts w:ascii="Times New Roman" w:hAnsi="Times New Roman" w:cs="Times New Roman"/>
          <w:i/>
          <w:sz w:val="20"/>
          <w:szCs w:val="20"/>
        </w:rPr>
        <w:t xml:space="preserve"> </w:t>
      </w:r>
      <w:proofErr w:type="spellStart"/>
      <w:r w:rsidRPr="001C0348">
        <w:rPr>
          <w:rFonts w:ascii="Times New Roman" w:hAnsi="Times New Roman" w:cs="Times New Roman"/>
          <w:i/>
          <w:sz w:val="20"/>
          <w:szCs w:val="20"/>
        </w:rPr>
        <w:t>Law</w:t>
      </w:r>
      <w:proofErr w:type="spellEnd"/>
      <w:r w:rsidRPr="001C0348">
        <w:rPr>
          <w:rFonts w:ascii="Times New Roman" w:hAnsi="Times New Roman" w:cs="Times New Roman"/>
          <w:i/>
          <w:sz w:val="20"/>
          <w:szCs w:val="20"/>
        </w:rPr>
        <w:t xml:space="preserve"> </w:t>
      </w:r>
      <w:proofErr w:type="spellStart"/>
      <w:r w:rsidRPr="001C0348">
        <w:rPr>
          <w:rFonts w:ascii="Times New Roman" w:hAnsi="Times New Roman" w:cs="Times New Roman"/>
          <w:i/>
          <w:sz w:val="20"/>
          <w:szCs w:val="20"/>
        </w:rPr>
        <w:t>to</w:t>
      </w:r>
      <w:proofErr w:type="spellEnd"/>
      <w:r w:rsidRPr="001C0348">
        <w:rPr>
          <w:rFonts w:ascii="Times New Roman" w:hAnsi="Times New Roman" w:cs="Times New Roman"/>
          <w:i/>
          <w:sz w:val="20"/>
          <w:szCs w:val="20"/>
        </w:rPr>
        <w:t xml:space="preserve"> a </w:t>
      </w:r>
      <w:proofErr w:type="spellStart"/>
      <w:r w:rsidRPr="001C0348">
        <w:rPr>
          <w:rFonts w:ascii="Times New Roman" w:hAnsi="Times New Roman" w:cs="Times New Roman"/>
          <w:i/>
          <w:sz w:val="20"/>
          <w:szCs w:val="20"/>
        </w:rPr>
        <w:t>Muddy</w:t>
      </w:r>
      <w:proofErr w:type="spellEnd"/>
      <w:r w:rsidRPr="001C0348">
        <w:rPr>
          <w:rFonts w:ascii="Times New Roman" w:hAnsi="Times New Roman" w:cs="Times New Roman"/>
          <w:i/>
          <w:sz w:val="20"/>
          <w:szCs w:val="20"/>
        </w:rPr>
        <w:t xml:space="preserve"> </w:t>
      </w:r>
      <w:proofErr w:type="spellStart"/>
      <w:r w:rsidRPr="001C0348">
        <w:rPr>
          <w:rFonts w:ascii="Times New Roman" w:hAnsi="Times New Roman" w:cs="Times New Roman"/>
          <w:i/>
          <w:sz w:val="20"/>
          <w:szCs w:val="20"/>
        </w:rPr>
        <w:t>Default</w:t>
      </w:r>
      <w:proofErr w:type="spellEnd"/>
      <w:r w:rsidRPr="009975EA">
        <w:rPr>
          <w:rFonts w:ascii="Times New Roman" w:hAnsi="Times New Roman" w:cs="Times New Roman"/>
          <w:sz w:val="20"/>
          <w:szCs w:val="20"/>
        </w:rPr>
        <w:t xml:space="preserve">, </w:t>
      </w:r>
      <w:r>
        <w:rPr>
          <w:rFonts w:ascii="Times New Roman" w:hAnsi="Times New Roman" w:cs="Times New Roman"/>
          <w:sz w:val="20"/>
          <w:szCs w:val="20"/>
        </w:rPr>
        <w:t xml:space="preserve">47 </w:t>
      </w:r>
      <w:proofErr w:type="spellStart"/>
      <w:r>
        <w:rPr>
          <w:rFonts w:ascii="Times New Roman" w:hAnsi="Times New Roman" w:cs="Times New Roman"/>
          <w:sz w:val="20"/>
          <w:szCs w:val="20"/>
        </w:rPr>
        <w:t>Ottawa</w:t>
      </w:r>
      <w:proofErr w:type="spellEnd"/>
      <w:r>
        <w:rPr>
          <w:rFonts w:ascii="Times New Roman" w:hAnsi="Times New Roman" w:cs="Times New Roman"/>
          <w:sz w:val="20"/>
          <w:szCs w:val="20"/>
        </w:rPr>
        <w:t xml:space="preserve"> L. </w:t>
      </w:r>
      <w:proofErr w:type="spellStart"/>
      <w:r>
        <w:rPr>
          <w:rFonts w:ascii="Times New Roman" w:hAnsi="Times New Roman" w:cs="Times New Roman"/>
          <w:sz w:val="20"/>
          <w:szCs w:val="20"/>
        </w:rPr>
        <w:t>Rev</w:t>
      </w:r>
      <w:proofErr w:type="spellEnd"/>
      <w:r>
        <w:rPr>
          <w:rFonts w:ascii="Times New Roman" w:hAnsi="Times New Roman" w:cs="Times New Roman"/>
          <w:sz w:val="20"/>
          <w:szCs w:val="20"/>
        </w:rPr>
        <w:t xml:space="preserve">. 123 (2015), at </w:t>
      </w:r>
      <w:r w:rsidRPr="009975EA">
        <w:rPr>
          <w:rFonts w:ascii="Times New Roman" w:hAnsi="Times New Roman" w:cs="Times New Roman"/>
          <w:sz w:val="20"/>
          <w:szCs w:val="20"/>
        </w:rPr>
        <w:t>150)</w:t>
      </w:r>
    </w:p>
  </w:footnote>
  <w:footnote w:id="141">
    <w:p w14:paraId="061F6425" w14:textId="469F9174"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As a </w:t>
      </w:r>
      <w:proofErr w:type="spellStart"/>
      <w:r w:rsidRPr="009975EA">
        <w:rPr>
          <w:rFonts w:ascii="Times New Roman" w:hAnsi="Times New Roman" w:cs="Times New Roman"/>
          <w:color w:val="000000"/>
          <w:sz w:val="20"/>
          <w:szCs w:val="20"/>
        </w:rPr>
        <w:t>result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devise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govern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obligations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disputes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between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turn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role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be not </w:t>
      </w:r>
      <w:proofErr w:type="spellStart"/>
      <w:r w:rsidRPr="009975EA">
        <w:rPr>
          <w:rFonts w:ascii="Times New Roman" w:hAnsi="Times New Roman" w:cs="Times New Roman"/>
          <w:color w:val="000000"/>
          <w:sz w:val="20"/>
          <w:szCs w:val="20"/>
        </w:rPr>
        <w:t>merely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enforce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also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obligations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not, in </w:t>
      </w:r>
      <w:proofErr w:type="spellStart"/>
      <w:r w:rsidRPr="009975EA">
        <w:rPr>
          <w:rFonts w:ascii="Times New Roman" w:hAnsi="Times New Roman" w:cs="Times New Roman"/>
          <w:color w:val="000000"/>
          <w:sz w:val="20"/>
          <w:szCs w:val="20"/>
        </w:rPr>
        <w:t>fact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agreed</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xml:space="preserve">” (Terry A. </w:t>
      </w:r>
      <w:proofErr w:type="spellStart"/>
      <w:r w:rsidRPr="009975EA">
        <w:rPr>
          <w:rFonts w:ascii="Times New Roman" w:hAnsi="Times New Roman" w:cs="Times New Roman"/>
          <w:sz w:val="20"/>
          <w:szCs w:val="20"/>
        </w:rPr>
        <w:t>O’Neill</w:t>
      </w:r>
      <w:proofErr w:type="spellEnd"/>
      <w:r w:rsidRPr="009975EA">
        <w:rPr>
          <w:rFonts w:ascii="Times New Roman" w:hAnsi="Times New Roman" w:cs="Times New Roman"/>
          <w:sz w:val="20"/>
          <w:szCs w:val="20"/>
        </w:rPr>
        <w:t>, p. 659)</w:t>
      </w:r>
    </w:p>
  </w:footnote>
  <w:footnote w:id="142">
    <w:p w14:paraId="4858816C" w14:textId="1957883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Acaves</w:t>
      </w:r>
      <w:proofErr w:type="spellEnd"/>
      <w:r w:rsidRPr="009975EA">
        <w:rPr>
          <w:rFonts w:ascii="Times New Roman" w:hAnsi="Times New Roman" w:cs="Times New Roman"/>
          <w:sz w:val="20"/>
          <w:szCs w:val="20"/>
        </w:rPr>
        <w:t>, p. 1002.</w:t>
      </w:r>
    </w:p>
  </w:footnote>
  <w:footnote w:id="143">
    <w:p w14:paraId="437E80AC"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Court cannot protect parties from a bad </w:t>
      </w:r>
      <w:proofErr w:type="gramStart"/>
      <w:r w:rsidRPr="009975EA">
        <w:rPr>
          <w:rFonts w:ascii="Times New Roman" w:hAnsi="Times New Roman" w:cs="Times New Roman"/>
          <w:sz w:val="20"/>
          <w:szCs w:val="20"/>
        </w:rPr>
        <w:t>bargain</w:t>
      </w:r>
      <w:proofErr w:type="gramEnd"/>
      <w:r w:rsidRPr="009975EA">
        <w:rPr>
          <w:rFonts w:ascii="Times New Roman" w:hAnsi="Times New Roman" w:cs="Times New Roman"/>
          <w:sz w:val="20"/>
          <w:szCs w:val="20"/>
        </w:rPr>
        <w:t xml:space="preserve"> and it will not protect them from bad luck” (Concord Auto Auction, Inc. v. Rustin, 627 </w:t>
      </w:r>
      <w:proofErr w:type="spellStart"/>
      <w:r w:rsidRPr="009975EA">
        <w:rPr>
          <w:rFonts w:ascii="Times New Roman" w:hAnsi="Times New Roman" w:cs="Times New Roman"/>
          <w:sz w:val="20"/>
          <w:szCs w:val="20"/>
        </w:rPr>
        <w:t>F.Supp</w:t>
      </w:r>
      <w:proofErr w:type="spellEnd"/>
      <w:r w:rsidRPr="009975EA">
        <w:rPr>
          <w:rFonts w:ascii="Times New Roman" w:hAnsi="Times New Roman" w:cs="Times New Roman"/>
          <w:sz w:val="20"/>
          <w:szCs w:val="20"/>
        </w:rPr>
        <w:t>. 1526 (1986)).</w:t>
      </w:r>
    </w:p>
  </w:footnote>
  <w:footnote w:id="144">
    <w:p w14:paraId="71D5BF9D"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Utset</w:t>
      </w:r>
      <w:proofErr w:type="spellEnd"/>
      <w:r w:rsidRPr="009975EA">
        <w:rPr>
          <w:rFonts w:ascii="Times New Roman" w:hAnsi="Times New Roman" w:cs="Times New Roman"/>
          <w:sz w:val="20"/>
          <w:szCs w:val="20"/>
        </w:rPr>
        <w:t>, p.1346- 1347.</w:t>
      </w:r>
    </w:p>
  </w:footnote>
  <w:footnote w:id="145">
    <w:p w14:paraId="155F0C75" w14:textId="507306C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Eric J. </w:t>
      </w:r>
      <w:proofErr w:type="spellStart"/>
      <w:r w:rsidRPr="009975EA">
        <w:rPr>
          <w:rFonts w:ascii="Times New Roman" w:hAnsi="Times New Roman" w:cs="Times New Roman"/>
          <w:sz w:val="20"/>
          <w:szCs w:val="20"/>
        </w:rPr>
        <w:t>Gouvin</w:t>
      </w:r>
      <w:proofErr w:type="spellEnd"/>
      <w:r w:rsidRPr="009975EA">
        <w:rPr>
          <w:rFonts w:ascii="Times New Roman" w:hAnsi="Times New Roman" w:cs="Times New Roman"/>
          <w:sz w:val="20"/>
          <w:szCs w:val="20"/>
        </w:rPr>
        <w:t xml:space="preserve">, </w:t>
      </w:r>
      <w:r w:rsidRPr="001C0348">
        <w:rPr>
          <w:rFonts w:ascii="Times New Roman" w:hAnsi="Times New Roman" w:cs="Times New Roman"/>
          <w:i/>
          <w:sz w:val="20"/>
          <w:szCs w:val="20"/>
        </w:rPr>
        <w:t>Resolving the Subsidiary Director’s Dilemma</w:t>
      </w:r>
      <w:r>
        <w:rPr>
          <w:rFonts w:ascii="Times New Roman" w:hAnsi="Times New Roman" w:cs="Times New Roman"/>
          <w:sz w:val="20"/>
          <w:szCs w:val="20"/>
        </w:rPr>
        <w:t>, 47 Hastings L.J. 287 (1996), at</w:t>
      </w:r>
      <w:r w:rsidRPr="009975EA">
        <w:rPr>
          <w:rFonts w:ascii="Times New Roman" w:hAnsi="Times New Roman" w:cs="Times New Roman"/>
          <w:sz w:val="20"/>
          <w:szCs w:val="20"/>
        </w:rPr>
        <w:t>.330.</w:t>
      </w:r>
    </w:p>
  </w:footnote>
  <w:footnote w:id="146">
    <w:p w14:paraId="1229D52F" w14:textId="2911486B"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concept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color w:val="000000"/>
          <w:sz w:val="20"/>
          <w:szCs w:val="20"/>
        </w:rPr>
        <w:t>rational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apathy</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usually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used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context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defined</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MS Mincho" w:eastAsia="MS Mincho" w:hAnsi="MS Mincho" w:cs="MS Mincho"/>
          <w:color w:val="000000"/>
          <w:sz w:val="20"/>
          <w:szCs w:val="20"/>
        </w:rPr>
        <w:t> </w:t>
      </w:r>
      <w:proofErr w:type="spellStart"/>
      <w:r w:rsidRPr="009975EA">
        <w:rPr>
          <w:rFonts w:ascii="Times New Roman" w:hAnsi="Times New Roman" w:cs="Times New Roman"/>
          <w:color w:val="000000"/>
          <w:sz w:val="20"/>
          <w:szCs w:val="20"/>
        </w:rPr>
        <w:t>indifference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voter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usually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feels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assumption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his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her </w:t>
      </w:r>
      <w:proofErr w:type="spellStart"/>
      <w:r w:rsidRPr="009975EA">
        <w:rPr>
          <w:rFonts w:ascii="Times New Roman" w:hAnsi="Times New Roman" w:cs="Times New Roman"/>
          <w:color w:val="000000"/>
          <w:sz w:val="20"/>
          <w:szCs w:val="20"/>
        </w:rPr>
        <w:t>vote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influence</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conclusion</w:t>
      </w:r>
      <w:proofErr w:type="spellEnd"/>
      <w:r w:rsidRPr="009975EA">
        <w:rPr>
          <w:rFonts w:ascii="Times New Roman" w:hAnsi="Times New Roman" w:cs="Times New Roman"/>
          <w:color w:val="000000"/>
          <w:sz w:val="20"/>
          <w:szCs w:val="20"/>
        </w:rPr>
        <w:t xml:space="preserve"> of an </w:t>
      </w:r>
      <w:proofErr w:type="spellStart"/>
      <w:r w:rsidRPr="009975EA">
        <w:rPr>
          <w:rFonts w:ascii="Times New Roman" w:hAnsi="Times New Roman" w:cs="Times New Roman"/>
          <w:color w:val="000000"/>
          <w:sz w:val="20"/>
          <w:szCs w:val="20"/>
        </w:rPr>
        <w:t>election</w:t>
      </w:r>
      <w:proofErr w:type="spellEnd"/>
      <w:r w:rsidRPr="009975EA">
        <w:rPr>
          <w:rFonts w:ascii="Times New Roman" w:hAnsi="Times New Roman" w:cs="Times New Roman"/>
          <w:color w:val="000000"/>
          <w:sz w:val="20"/>
          <w:szCs w:val="20"/>
        </w:rPr>
        <w:t>” (</w:t>
      </w:r>
      <w:r w:rsidRPr="009975EA">
        <w:rPr>
          <w:rFonts w:ascii="Times New Roman" w:hAnsi="Times New Roman" w:cs="Times New Roman"/>
          <w:color w:val="0000FF"/>
          <w:sz w:val="20"/>
          <w:szCs w:val="20"/>
        </w:rPr>
        <w:t xml:space="preserve">http://thelawdictionary.org/rational-apathy/ </w:t>
      </w:r>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Last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visited</w:t>
      </w:r>
      <w:proofErr w:type="spellEnd"/>
      <w:r w:rsidRPr="009975EA">
        <w:rPr>
          <w:rFonts w:ascii="Times New Roman" w:hAnsi="Times New Roman" w:cs="Times New Roman"/>
          <w:color w:val="000000"/>
          <w:sz w:val="20"/>
          <w:szCs w:val="20"/>
        </w:rPr>
        <w:t>: 10/10/2015)).</w:t>
      </w:r>
    </w:p>
  </w:footnote>
  <w:footnote w:id="147">
    <w:p w14:paraId="3024E7B1" w14:textId="7093DEE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“It is generally assumed that participants in corporations would bargain for protection against oppression and unfair prejudice if bargaining were costless” (Cheffins, p. 789).</w:t>
      </w:r>
    </w:p>
  </w:footnote>
  <w:footnote w:id="148">
    <w:p w14:paraId="12D93C4F" w14:textId="1E6125E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Michael E. </w:t>
      </w:r>
      <w:proofErr w:type="spellStart"/>
      <w:r w:rsidRPr="009975EA">
        <w:rPr>
          <w:rFonts w:ascii="Times New Roman" w:hAnsi="Times New Roman" w:cs="Times New Roman"/>
          <w:sz w:val="20"/>
          <w:szCs w:val="20"/>
        </w:rPr>
        <w:t>DeBow</w:t>
      </w:r>
      <w:proofErr w:type="spellEnd"/>
      <w:r w:rsidRPr="009975EA">
        <w:rPr>
          <w:rFonts w:ascii="Times New Roman" w:hAnsi="Times New Roman" w:cs="Times New Roman"/>
          <w:sz w:val="20"/>
          <w:szCs w:val="20"/>
        </w:rPr>
        <w:t>, “</w:t>
      </w:r>
      <w:r w:rsidRPr="001C0348">
        <w:rPr>
          <w:rFonts w:ascii="Times New Roman" w:hAnsi="Times New Roman" w:cs="Times New Roman"/>
          <w:i/>
          <w:sz w:val="20"/>
          <w:szCs w:val="20"/>
        </w:rPr>
        <w:t>Oppression” of Minority Shareholders: Contract, Not Tort</w:t>
      </w:r>
      <w:r w:rsidRPr="009975EA">
        <w:rPr>
          <w:rFonts w:ascii="Times New Roman" w:hAnsi="Times New Roman" w:cs="Times New Roman"/>
          <w:sz w:val="20"/>
          <w:szCs w:val="20"/>
        </w:rPr>
        <w:t>, 54 Ala. L</w:t>
      </w:r>
      <w:r>
        <w:rPr>
          <w:rFonts w:ascii="Times New Roman" w:hAnsi="Times New Roman" w:cs="Times New Roman"/>
          <w:sz w:val="20"/>
          <w:szCs w:val="20"/>
        </w:rPr>
        <w:t xml:space="preserve">aw. 128 (1993), at </w:t>
      </w:r>
      <w:r w:rsidRPr="009975EA">
        <w:rPr>
          <w:rFonts w:ascii="Times New Roman" w:hAnsi="Times New Roman" w:cs="Times New Roman"/>
          <w:sz w:val="20"/>
          <w:szCs w:val="20"/>
        </w:rPr>
        <w:t>128.</w:t>
      </w:r>
    </w:p>
  </w:footnote>
  <w:footnote w:id="149">
    <w:p w14:paraId="32EB4F5C" w14:textId="31ED3AF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Sandra K. Miller, </w:t>
      </w:r>
      <w:r w:rsidRPr="001C0348">
        <w:rPr>
          <w:rFonts w:ascii="Times New Roman" w:hAnsi="Times New Roman" w:cs="Times New Roman"/>
          <w:i/>
          <w:sz w:val="20"/>
          <w:szCs w:val="20"/>
        </w:rPr>
        <w:t>Minority Shareholder Oppression in the Private Company in the European Community: A Comparative Analysis of the German, United Kingdom, and French “Close Corporation Problem”,</w:t>
      </w:r>
      <w:r>
        <w:rPr>
          <w:rFonts w:ascii="Times New Roman" w:hAnsi="Times New Roman" w:cs="Times New Roman"/>
          <w:sz w:val="20"/>
          <w:szCs w:val="20"/>
        </w:rPr>
        <w:t xml:space="preserve"> 30 Cornell Int’l L. J. 381, at </w:t>
      </w:r>
      <w:r w:rsidRPr="009975EA">
        <w:rPr>
          <w:rFonts w:ascii="Times New Roman" w:hAnsi="Times New Roman" w:cs="Times New Roman"/>
          <w:sz w:val="20"/>
          <w:szCs w:val="20"/>
        </w:rPr>
        <w:t>392).</w:t>
      </w:r>
    </w:p>
  </w:footnote>
  <w:footnote w:id="150">
    <w:p w14:paraId="085039CB" w14:textId="78B39B5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Anupam </w:t>
      </w:r>
      <w:proofErr w:type="spellStart"/>
      <w:r w:rsidRPr="009975EA">
        <w:rPr>
          <w:rFonts w:ascii="Times New Roman" w:hAnsi="Times New Roman" w:cs="Times New Roman"/>
          <w:sz w:val="20"/>
          <w:szCs w:val="20"/>
        </w:rPr>
        <w:t>Chander</w:t>
      </w:r>
      <w:proofErr w:type="spellEnd"/>
      <w:r w:rsidRPr="009975EA">
        <w:rPr>
          <w:rFonts w:ascii="Times New Roman" w:hAnsi="Times New Roman" w:cs="Times New Roman"/>
          <w:sz w:val="20"/>
          <w:szCs w:val="20"/>
        </w:rPr>
        <w:t xml:space="preserve">, </w:t>
      </w:r>
      <w:r w:rsidRPr="001C0348">
        <w:rPr>
          <w:rFonts w:ascii="Times New Roman" w:hAnsi="Times New Roman" w:cs="Times New Roman"/>
          <w:i/>
          <w:sz w:val="20"/>
          <w:szCs w:val="20"/>
        </w:rPr>
        <w:t>Minorities, Shareholder and Otherwise</w:t>
      </w:r>
      <w:r>
        <w:rPr>
          <w:rFonts w:ascii="Times New Roman" w:hAnsi="Times New Roman" w:cs="Times New Roman"/>
          <w:sz w:val="20"/>
          <w:szCs w:val="20"/>
        </w:rPr>
        <w:t xml:space="preserve">, 113 Yale L. J. 119 (2003), at </w:t>
      </w:r>
      <w:r w:rsidRPr="009975EA">
        <w:rPr>
          <w:rFonts w:ascii="Times New Roman" w:hAnsi="Times New Roman" w:cs="Times New Roman"/>
          <w:sz w:val="20"/>
          <w:szCs w:val="20"/>
        </w:rPr>
        <w:t>144.</w:t>
      </w:r>
    </w:p>
  </w:footnote>
  <w:footnote w:id="151">
    <w:p w14:paraId="08C5CB29" w14:textId="3841934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Melvin Aron Eisenberg, </w:t>
      </w:r>
      <w:r w:rsidRPr="001C0348">
        <w:rPr>
          <w:rFonts w:ascii="Times New Roman" w:hAnsi="Times New Roman" w:cs="Times New Roman"/>
          <w:i/>
          <w:sz w:val="20"/>
          <w:szCs w:val="20"/>
        </w:rPr>
        <w:t>Contractual Freedom in Corporate Law: Articles &amp; Comments; The Structure of Corporation Law,</w:t>
      </w:r>
      <w:r>
        <w:rPr>
          <w:rFonts w:ascii="Times New Roman" w:hAnsi="Times New Roman" w:cs="Times New Roman"/>
          <w:sz w:val="20"/>
          <w:szCs w:val="20"/>
        </w:rPr>
        <w:t xml:space="preserve"> 89 Colum L. Rev. 1461, at</w:t>
      </w:r>
      <w:r w:rsidRPr="009975EA">
        <w:rPr>
          <w:rFonts w:ascii="Times New Roman" w:hAnsi="Times New Roman" w:cs="Times New Roman"/>
          <w:sz w:val="20"/>
          <w:szCs w:val="20"/>
        </w:rPr>
        <w:t xml:space="preserve"> 1485.</w:t>
      </w:r>
    </w:p>
  </w:footnote>
  <w:footnote w:id="152">
    <w:p w14:paraId="270F9007" w14:textId="4B995CF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“Some mandatory rules may survive because they mimic the market: they would be universally adopted by contract assuming the parties thought about them” (Bernard S. Black, </w:t>
      </w:r>
      <w:r w:rsidRPr="001C0348">
        <w:rPr>
          <w:rFonts w:ascii="Times New Roman" w:hAnsi="Times New Roman" w:cs="Times New Roman"/>
          <w:i/>
          <w:sz w:val="20"/>
          <w:szCs w:val="20"/>
        </w:rPr>
        <w:t>Legal Theory: Is Corporate Law Trivial?: A Political and Economic Analysis,</w:t>
      </w:r>
      <w:r w:rsidRPr="009975EA">
        <w:rPr>
          <w:rFonts w:ascii="Times New Roman" w:hAnsi="Times New Roman" w:cs="Times New Roman"/>
          <w:sz w:val="20"/>
          <w:szCs w:val="20"/>
        </w:rPr>
        <w:t xml:space="preserve"> 84 Nw. U.L. Rev. 542 (19</w:t>
      </w:r>
      <w:r>
        <w:rPr>
          <w:rFonts w:ascii="Times New Roman" w:hAnsi="Times New Roman" w:cs="Times New Roman"/>
          <w:sz w:val="20"/>
          <w:szCs w:val="20"/>
        </w:rPr>
        <w:t xml:space="preserve">90), at </w:t>
      </w:r>
      <w:r w:rsidRPr="009975EA">
        <w:rPr>
          <w:rFonts w:ascii="Times New Roman" w:hAnsi="Times New Roman" w:cs="Times New Roman"/>
          <w:sz w:val="20"/>
          <w:szCs w:val="20"/>
        </w:rPr>
        <w:t>551); “It is simply not plausible…to suggest that the legislature and the courts have sought to develop the law exclusively on the basis of what, ex ante, the parties would have agreed to had transaction costs not been prohibitive. On the contrary, it is clear that both Parliament and the courts have been motivated by other considerations.” (Grantham, p. 581)</w:t>
      </w:r>
    </w:p>
  </w:footnote>
  <w:footnote w:id="153">
    <w:p w14:paraId="7D32FF34" w14:textId="45FBBCE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Armour</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Hansmann</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p.20.</w:t>
      </w:r>
    </w:p>
  </w:footnote>
  <w:footnote w:id="154">
    <w:p w14:paraId="5D624E18" w14:textId="6044AFF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Armour</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Hansmann</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xml:space="preserve">, p.20. </w:t>
      </w:r>
    </w:p>
  </w:footnote>
  <w:footnote w:id="155">
    <w:p w14:paraId="00A06A4F" w14:textId="31B0A81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Of course, the more a statutory framework is mandatory in nature, the more the legislative bodies assume the full responsibility for the balance and effectiveness of the framework (Fleischer, p.20).</w:t>
      </w:r>
    </w:p>
  </w:footnote>
  <w:footnote w:id="156">
    <w:p w14:paraId="17C0002E" w14:textId="5FC2E6A4"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failure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build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against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appropriating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wealth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plausibly</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result</w:t>
      </w:r>
      <w:proofErr w:type="spellEnd"/>
      <w:r w:rsidRPr="009975EA">
        <w:rPr>
          <w:rFonts w:ascii="Times New Roman" w:hAnsi="Times New Roman" w:cs="Times New Roman"/>
          <w:color w:val="000000"/>
          <w:sz w:val="20"/>
          <w:szCs w:val="20"/>
        </w:rPr>
        <w:t xml:space="preserve">, not of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desire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permit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appropriation</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rather</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prohibitive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cost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writing</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achieve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result</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Mahoney</w:t>
      </w:r>
      <w:proofErr w:type="spellEnd"/>
      <w:r w:rsidRPr="009975EA">
        <w:rPr>
          <w:rFonts w:ascii="Times New Roman" w:hAnsi="Times New Roman" w:cs="Times New Roman"/>
          <w:color w:val="000000"/>
          <w:sz w:val="20"/>
          <w:szCs w:val="20"/>
        </w:rPr>
        <w:t>, p.193),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strong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limit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private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benefits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extracted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entrepreneurs</w:t>
      </w:r>
      <w:proofErr w:type="spellEnd"/>
      <w:r w:rsidRPr="009975EA">
        <w:rPr>
          <w:rFonts w:ascii="Times New Roman" w:hAnsi="Times New Roman" w:cs="Times New Roman"/>
          <w:color w:val="000000"/>
          <w:sz w:val="20"/>
          <w:szCs w:val="20"/>
        </w:rPr>
        <w:t xml:space="preserve"> a</w:t>
      </w:r>
      <w:r>
        <w:rPr>
          <w:rFonts w:ascii="Times New Roman" w:hAnsi="Times New Roman" w:cs="Times New Roman"/>
          <w:color w:val="000000"/>
          <w:sz w:val="20"/>
          <w:szCs w:val="20"/>
        </w:rPr>
        <w:t xml:space="preserve">t </w:t>
      </w:r>
      <w:proofErr w:type="spellStart"/>
      <w:r>
        <w:rPr>
          <w:rFonts w:ascii="Times New Roman" w:hAnsi="Times New Roman" w:cs="Times New Roman"/>
          <w:color w:val="000000"/>
          <w:sz w:val="20"/>
          <w:szCs w:val="20"/>
        </w:rPr>
        <w:t>their</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expense</w:t>
      </w:r>
      <w:proofErr w:type="spellEnd"/>
      <w:r>
        <w:rPr>
          <w:rFonts w:ascii="Times New Roman" w:hAnsi="Times New Roman" w:cs="Times New Roman"/>
          <w:color w:val="000000"/>
          <w:sz w:val="20"/>
          <w:szCs w:val="20"/>
        </w:rPr>
        <w:t>.” (</w:t>
      </w:r>
      <w:proofErr w:type="spellStart"/>
      <w:r>
        <w:rPr>
          <w:rFonts w:ascii="Times New Roman" w:hAnsi="Times New Roman" w:cs="Times New Roman"/>
          <w:color w:val="000000"/>
          <w:sz w:val="20"/>
          <w:szCs w:val="20"/>
        </w:rPr>
        <w:t>Marco</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Pagano</w:t>
      </w:r>
      <w:proofErr w:type="spellEnd"/>
      <w:r>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Paolo</w:t>
      </w:r>
      <w:proofErr w:type="spellEnd"/>
      <w:r w:rsidRPr="009975EA">
        <w:rPr>
          <w:rFonts w:ascii="Times New Roman" w:hAnsi="Times New Roman" w:cs="Times New Roman"/>
          <w:color w:val="000000"/>
          <w:sz w:val="20"/>
          <w:szCs w:val="20"/>
        </w:rPr>
        <w:t xml:space="preserve"> F. </w:t>
      </w:r>
      <w:proofErr w:type="spellStart"/>
      <w:r w:rsidRPr="009975EA">
        <w:rPr>
          <w:rFonts w:ascii="Times New Roman" w:hAnsi="Times New Roman" w:cs="Times New Roman"/>
          <w:color w:val="000000"/>
          <w:sz w:val="20"/>
          <w:szCs w:val="20"/>
        </w:rPr>
        <w:t>Volpin</w:t>
      </w:r>
      <w:proofErr w:type="spellEnd"/>
      <w:r w:rsidRPr="009975EA">
        <w:rPr>
          <w:rFonts w:ascii="Times New Roman" w:hAnsi="Times New Roman" w:cs="Times New Roman"/>
          <w:color w:val="000000"/>
          <w:sz w:val="20"/>
          <w:szCs w:val="20"/>
        </w:rPr>
        <w:t xml:space="preserve">, </w:t>
      </w:r>
      <w:proofErr w:type="spellStart"/>
      <w:r w:rsidRPr="00FC345A">
        <w:rPr>
          <w:rFonts w:ascii="Times New Roman" w:hAnsi="Times New Roman" w:cs="Times New Roman"/>
          <w:i/>
          <w:color w:val="000000"/>
          <w:sz w:val="20"/>
          <w:szCs w:val="20"/>
        </w:rPr>
        <w:t>The</w:t>
      </w:r>
      <w:proofErr w:type="spellEnd"/>
      <w:r w:rsidRPr="00FC345A">
        <w:rPr>
          <w:rFonts w:ascii="Times New Roman" w:hAnsi="Times New Roman" w:cs="Times New Roman"/>
          <w:i/>
          <w:color w:val="000000"/>
          <w:sz w:val="20"/>
          <w:szCs w:val="20"/>
        </w:rPr>
        <w:t xml:space="preserve"> </w:t>
      </w:r>
      <w:proofErr w:type="spellStart"/>
      <w:r w:rsidRPr="00FC345A">
        <w:rPr>
          <w:rFonts w:ascii="Times New Roman" w:hAnsi="Times New Roman" w:cs="Times New Roman"/>
          <w:i/>
          <w:color w:val="000000"/>
          <w:sz w:val="20"/>
          <w:szCs w:val="20"/>
        </w:rPr>
        <w:t>Political</w:t>
      </w:r>
      <w:proofErr w:type="spellEnd"/>
      <w:r w:rsidRPr="00FC345A">
        <w:rPr>
          <w:rFonts w:ascii="Times New Roman" w:hAnsi="Times New Roman" w:cs="Times New Roman"/>
          <w:i/>
          <w:color w:val="000000"/>
          <w:sz w:val="20"/>
          <w:szCs w:val="20"/>
        </w:rPr>
        <w:t xml:space="preserve"> </w:t>
      </w:r>
      <w:proofErr w:type="spellStart"/>
      <w:r w:rsidRPr="00FC345A">
        <w:rPr>
          <w:rFonts w:ascii="Times New Roman" w:hAnsi="Times New Roman" w:cs="Times New Roman"/>
          <w:i/>
          <w:color w:val="000000"/>
          <w:sz w:val="20"/>
          <w:szCs w:val="20"/>
        </w:rPr>
        <w:t>Economy</w:t>
      </w:r>
      <w:proofErr w:type="spellEnd"/>
      <w:r w:rsidRPr="00FC345A">
        <w:rPr>
          <w:rFonts w:ascii="Times New Roman" w:hAnsi="Times New Roman" w:cs="Times New Roman"/>
          <w:i/>
          <w:color w:val="000000"/>
          <w:sz w:val="20"/>
          <w:szCs w:val="20"/>
        </w:rPr>
        <w:t xml:space="preserve"> of </w:t>
      </w:r>
      <w:proofErr w:type="spellStart"/>
      <w:r w:rsidRPr="00FC345A">
        <w:rPr>
          <w:rFonts w:ascii="Times New Roman" w:hAnsi="Times New Roman" w:cs="Times New Roman"/>
          <w:i/>
          <w:color w:val="000000"/>
          <w:sz w:val="20"/>
          <w:szCs w:val="20"/>
        </w:rPr>
        <w:t>Corporate</w:t>
      </w:r>
      <w:proofErr w:type="spellEnd"/>
      <w:r w:rsidRPr="00FC345A">
        <w:rPr>
          <w:rFonts w:ascii="Times New Roman" w:hAnsi="Times New Roman" w:cs="Times New Roman"/>
          <w:i/>
          <w:color w:val="000000"/>
          <w:sz w:val="20"/>
          <w:szCs w:val="20"/>
        </w:rPr>
        <w:t xml:space="preserve"> </w:t>
      </w:r>
      <w:proofErr w:type="spellStart"/>
      <w:r w:rsidRPr="00FC345A">
        <w:rPr>
          <w:rFonts w:ascii="Times New Roman" w:hAnsi="Times New Roman" w:cs="Times New Roman"/>
          <w:i/>
          <w:color w:val="000000"/>
          <w:sz w:val="20"/>
          <w:szCs w:val="20"/>
        </w:rPr>
        <w:t>Governance</w:t>
      </w:r>
      <w:proofErr w:type="spellEnd"/>
      <w:r w:rsidRPr="009975EA">
        <w:rPr>
          <w:rFonts w:ascii="Times New Roman" w:hAnsi="Times New Roman" w:cs="Times New Roman"/>
          <w:color w:val="000000"/>
          <w:sz w:val="20"/>
          <w:szCs w:val="20"/>
        </w:rPr>
        <w:t xml:space="preserve">, </w:t>
      </w:r>
      <w:hyperlink r:id="rId49" w:anchor="page_scan_tab_contents" w:history="1">
        <w:r w:rsidRPr="009975EA">
          <w:rPr>
            <w:rStyle w:val="Kpr"/>
            <w:rFonts w:ascii="Times New Roman" w:hAnsi="Times New Roman" w:cs="Times New Roman"/>
            <w:sz w:val="20"/>
            <w:szCs w:val="20"/>
          </w:rPr>
          <w:t>https://www.jstor.org/stable/4132703?seq=1#page_scan_tab_contents</w:t>
        </w:r>
      </w:hyperlink>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Last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visited</w:t>
      </w:r>
      <w:proofErr w:type="spellEnd"/>
      <w:r>
        <w:rPr>
          <w:rFonts w:ascii="Times New Roman" w:hAnsi="Times New Roman" w:cs="Times New Roman"/>
          <w:color w:val="000000"/>
          <w:sz w:val="20"/>
          <w:szCs w:val="20"/>
        </w:rPr>
        <w:t xml:space="preserve">: 10/10/2016), </w:t>
      </w:r>
      <w:r w:rsidR="00891F39">
        <w:rPr>
          <w:rFonts w:ascii="Times New Roman" w:hAnsi="Times New Roman" w:cs="Times New Roman"/>
          <w:color w:val="000000"/>
          <w:sz w:val="20"/>
          <w:szCs w:val="20"/>
        </w:rPr>
        <w:t>p.</w:t>
      </w:r>
      <w:r>
        <w:rPr>
          <w:rFonts w:ascii="Times New Roman" w:hAnsi="Times New Roman" w:cs="Times New Roman"/>
          <w:color w:val="000000"/>
          <w:sz w:val="20"/>
          <w:szCs w:val="20"/>
        </w:rPr>
        <w:t xml:space="preserve"> </w:t>
      </w:r>
      <w:r w:rsidRPr="009975EA">
        <w:rPr>
          <w:rFonts w:ascii="Times New Roman" w:hAnsi="Times New Roman" w:cs="Times New Roman"/>
          <w:color w:val="000000"/>
          <w:sz w:val="20"/>
          <w:szCs w:val="20"/>
        </w:rPr>
        <w:t>1006)</w:t>
      </w:r>
    </w:p>
  </w:footnote>
  <w:footnote w:id="157">
    <w:p w14:paraId="3BD3B496"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“Under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expanded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choice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conception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ideally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standard</w:t>
      </w:r>
      <w:proofErr w:type="spellEnd"/>
      <w:r w:rsidRPr="009975EA">
        <w:rPr>
          <w:rFonts w:ascii="Times New Roman" w:hAnsi="Times New Roman" w:cs="Times New Roman"/>
          <w:sz w:val="20"/>
          <w:szCs w:val="20"/>
        </w:rPr>
        <w:t xml:space="preserve"> form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match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results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costless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bargaining</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Cheffins</w:t>
      </w:r>
      <w:proofErr w:type="spellEnd"/>
      <w:r w:rsidRPr="009975EA">
        <w:rPr>
          <w:rFonts w:ascii="Times New Roman" w:hAnsi="Times New Roman" w:cs="Times New Roman"/>
          <w:sz w:val="20"/>
          <w:szCs w:val="20"/>
        </w:rPr>
        <w:t>, p.787)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supply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implicit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consistent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prefer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reduce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cost</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Mahoney</w:t>
      </w:r>
      <w:proofErr w:type="spellEnd"/>
      <w:r w:rsidRPr="009975EA">
        <w:rPr>
          <w:rFonts w:ascii="Times New Roman" w:hAnsi="Times New Roman" w:cs="Times New Roman"/>
          <w:color w:val="000000"/>
          <w:sz w:val="20"/>
          <w:szCs w:val="20"/>
        </w:rPr>
        <w:t>, p.193)</w:t>
      </w:r>
    </w:p>
  </w:footnote>
  <w:footnote w:id="158">
    <w:p w14:paraId="43C3AA18" w14:textId="77777777" w:rsidR="00D36541" w:rsidRPr="009975EA" w:rsidRDefault="00D36541" w:rsidP="009975EA">
      <w:pPr>
        <w:pStyle w:val="DipnotMetni"/>
        <w:tabs>
          <w:tab w:val="left" w:pos="5931"/>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Cheffins, p. 789.</w:t>
      </w:r>
      <w:r w:rsidRPr="009975EA">
        <w:rPr>
          <w:rFonts w:ascii="Times New Roman" w:hAnsi="Times New Roman" w:cs="Times New Roman"/>
          <w:sz w:val="20"/>
          <w:szCs w:val="20"/>
        </w:rPr>
        <w:tab/>
      </w:r>
    </w:p>
  </w:footnote>
  <w:footnote w:id="159">
    <w:p w14:paraId="44613F1F"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the discussion of this approach in the context of corporate profit- social welfare </w:t>
      </w:r>
      <w:proofErr w:type="spellStart"/>
      <w:r w:rsidRPr="009975EA">
        <w:rPr>
          <w:rFonts w:ascii="Times New Roman" w:hAnsi="Times New Roman" w:cs="Times New Roman"/>
          <w:sz w:val="20"/>
          <w:szCs w:val="20"/>
        </w:rPr>
        <w:t>allignment</w:t>
      </w:r>
      <w:proofErr w:type="spellEnd"/>
      <w:r w:rsidRPr="009975EA">
        <w:rPr>
          <w:rFonts w:ascii="Times New Roman" w:hAnsi="Times New Roman" w:cs="Times New Roman"/>
          <w:sz w:val="20"/>
          <w:szCs w:val="20"/>
        </w:rPr>
        <w:t>, see: Easterbrook/</w:t>
      </w:r>
      <w:proofErr w:type="spellStart"/>
      <w:r w:rsidRPr="009975EA">
        <w:rPr>
          <w:rFonts w:ascii="Times New Roman" w:hAnsi="Times New Roman" w:cs="Times New Roman"/>
          <w:sz w:val="20"/>
          <w:szCs w:val="20"/>
        </w:rPr>
        <w:t>Fischel</w:t>
      </w:r>
      <w:proofErr w:type="spellEnd"/>
      <w:r w:rsidRPr="009975EA">
        <w:rPr>
          <w:rFonts w:ascii="Times New Roman" w:hAnsi="Times New Roman" w:cs="Times New Roman"/>
          <w:sz w:val="20"/>
          <w:szCs w:val="20"/>
        </w:rPr>
        <w:t>, p.39.</w:t>
      </w:r>
    </w:p>
  </w:footnote>
  <w:footnote w:id="160">
    <w:p w14:paraId="3DAB5A47" w14:textId="169D80F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Christian </w:t>
      </w:r>
      <w:proofErr w:type="spellStart"/>
      <w:r w:rsidRPr="009975EA">
        <w:rPr>
          <w:rFonts w:ascii="Times New Roman" w:hAnsi="Times New Roman" w:cs="Times New Roman"/>
          <w:sz w:val="20"/>
          <w:szCs w:val="20"/>
        </w:rPr>
        <w:t>Kersting</w:t>
      </w:r>
      <w:proofErr w:type="spellEnd"/>
      <w:r w:rsidRPr="009975EA">
        <w:rPr>
          <w:rFonts w:ascii="Times New Roman" w:hAnsi="Times New Roman" w:cs="Times New Roman"/>
          <w:sz w:val="20"/>
          <w:szCs w:val="20"/>
        </w:rPr>
        <w:t xml:space="preserve">, </w:t>
      </w:r>
      <w:r w:rsidRPr="00FC345A">
        <w:rPr>
          <w:rFonts w:ascii="Times New Roman" w:hAnsi="Times New Roman" w:cs="Times New Roman"/>
          <w:i/>
          <w:sz w:val="20"/>
          <w:szCs w:val="20"/>
        </w:rPr>
        <w:t>The Role of Shareholders in Public Companies in Germany, German and Nordic Perspectives on Company Law and Capital Markets Law</w:t>
      </w:r>
      <w:r>
        <w:rPr>
          <w:rFonts w:ascii="Times New Roman" w:hAnsi="Times New Roman" w:cs="Times New Roman"/>
          <w:sz w:val="20"/>
          <w:szCs w:val="20"/>
        </w:rPr>
        <w:t xml:space="preserve"> 119, </w:t>
      </w:r>
      <w:r w:rsidRPr="009975EA">
        <w:rPr>
          <w:rFonts w:ascii="Times New Roman" w:hAnsi="Times New Roman" w:cs="Times New Roman"/>
          <w:sz w:val="20"/>
          <w:szCs w:val="20"/>
        </w:rPr>
        <w:t>Ed. Holger Fleischer/Jespe</w:t>
      </w:r>
      <w:r>
        <w:rPr>
          <w:rFonts w:ascii="Times New Roman" w:hAnsi="Times New Roman" w:cs="Times New Roman"/>
          <w:sz w:val="20"/>
          <w:szCs w:val="20"/>
        </w:rPr>
        <w:t>r Lau Hansen/Wolf- Georg Rince (</w:t>
      </w:r>
      <w:r w:rsidRPr="009975EA">
        <w:rPr>
          <w:rFonts w:ascii="Times New Roman" w:hAnsi="Times New Roman" w:cs="Times New Roman"/>
          <w:sz w:val="20"/>
          <w:szCs w:val="20"/>
        </w:rPr>
        <w:t>2015</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161">
    <w:p w14:paraId="7D48E9B0" w14:textId="25BE59BE" w:rsidR="00D36541" w:rsidRPr="009975EA" w:rsidRDefault="00D36541" w:rsidP="00FC345A">
      <w:pPr>
        <w:pStyle w:val="DipnotMetni"/>
        <w:tabs>
          <w:tab w:val="left" w:pos="3154"/>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Chapter 2.2.1</w:t>
      </w:r>
      <w:r w:rsidRPr="00BC0C4B">
        <w:rPr>
          <w:rFonts w:ascii="Times New Roman" w:hAnsi="Times New Roman" w:cs="Times New Roman"/>
          <w:sz w:val="20"/>
          <w:szCs w:val="20"/>
        </w:rPr>
        <w:t>.</w:t>
      </w:r>
      <w:r w:rsidR="00BC0C4B" w:rsidRPr="00BC0C4B">
        <w:rPr>
          <w:rFonts w:ascii="Times New Roman" w:hAnsi="Times New Roman" w:cs="Times New Roman"/>
          <w:sz w:val="20"/>
          <w:szCs w:val="20"/>
        </w:rPr>
        <w:t xml:space="preserve"> </w:t>
      </w:r>
      <w:r w:rsidR="00BC0C4B" w:rsidRPr="0047452F">
        <w:rPr>
          <w:rFonts w:ascii="Times New Roman" w:hAnsi="Times New Roman" w:cs="Times New Roman"/>
          <w:sz w:val="20"/>
          <w:szCs w:val="20"/>
        </w:rPr>
        <w:t xml:space="preserve">For instance, while the holder of non- voting shares </w:t>
      </w:r>
      <w:proofErr w:type="gramStart"/>
      <w:r w:rsidR="00BC0C4B" w:rsidRPr="0047452F">
        <w:rPr>
          <w:rFonts w:ascii="Times New Roman" w:hAnsi="Times New Roman" w:cs="Times New Roman"/>
          <w:sz w:val="20"/>
          <w:szCs w:val="20"/>
        </w:rPr>
        <w:t>do</w:t>
      </w:r>
      <w:proofErr w:type="gramEnd"/>
      <w:r w:rsidR="00BC0C4B" w:rsidRPr="0047452F">
        <w:rPr>
          <w:rFonts w:ascii="Times New Roman" w:hAnsi="Times New Roman" w:cs="Times New Roman"/>
          <w:sz w:val="20"/>
          <w:szCs w:val="20"/>
        </w:rPr>
        <w:t xml:space="preserve"> not have a power to control the corporate machinery, because he lacks the voting power in the decision- making structure of the corporation (intralegal perspective), he can still have a controlling power over the corporation under the extralegal perspective: After all, investors can always vote with their feet and dollars or through other mechanisms explained below.</w:t>
      </w:r>
      <w:r w:rsidRPr="00BC0C4B">
        <w:rPr>
          <w:rFonts w:ascii="Times New Roman" w:hAnsi="Times New Roman" w:cs="Times New Roman"/>
          <w:sz w:val="20"/>
          <w:szCs w:val="20"/>
        </w:rPr>
        <w:tab/>
      </w:r>
    </w:p>
  </w:footnote>
  <w:footnote w:id="162">
    <w:p w14:paraId="2163DE93" w14:textId="7D46D9A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Kaplan v. Centex Corp., 284 A.2d 119 (1971): “’Control’ and ‘domination’ are here used in the ordinary meaning of the </w:t>
      </w:r>
      <w:proofErr w:type="gramStart"/>
      <w:r w:rsidRPr="009975EA">
        <w:rPr>
          <w:rFonts w:ascii="Times New Roman" w:hAnsi="Times New Roman" w:cs="Times New Roman"/>
          <w:sz w:val="20"/>
          <w:szCs w:val="20"/>
        </w:rPr>
        <w:t>words</w:t>
      </w:r>
      <w:proofErr w:type="gramEnd"/>
      <w:r w:rsidRPr="009975EA">
        <w:rPr>
          <w:rFonts w:ascii="Times New Roman" w:hAnsi="Times New Roman" w:cs="Times New Roman"/>
          <w:sz w:val="20"/>
          <w:szCs w:val="20"/>
        </w:rPr>
        <w:t xml:space="preserve"> and they may be exercised directly or through nominees. But, at minimum, the words imply (in actual exercise) a direction of corporate conduct in such a way as to comport with the wishes or interests of the corporation (or persons) doing the controlling”. </w:t>
      </w:r>
    </w:p>
  </w:footnote>
  <w:footnote w:id="163">
    <w:p w14:paraId="08497F50" w14:textId="077D92F2" w:rsidR="00D20742" w:rsidRPr="0047452F" w:rsidRDefault="00D20742"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To avoid any doubt, influencing shareholder term is </w:t>
      </w:r>
      <w:proofErr w:type="spellStart"/>
      <w:r w:rsidRPr="0047452F">
        <w:rPr>
          <w:rFonts w:ascii="Times New Roman" w:hAnsi="Times New Roman" w:cs="Times New Roman"/>
          <w:sz w:val="20"/>
          <w:szCs w:val="20"/>
          <w:lang w:val="tr-TR"/>
        </w:rPr>
        <w:t>different</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than</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the</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beneficial</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owner</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term</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because</w:t>
      </w:r>
      <w:proofErr w:type="spellEnd"/>
      <w:r w:rsidRPr="0047452F">
        <w:rPr>
          <w:rFonts w:ascii="Times New Roman" w:hAnsi="Times New Roman" w:cs="Times New Roman"/>
          <w:sz w:val="20"/>
          <w:szCs w:val="20"/>
          <w:lang w:val="tr-TR"/>
        </w:rPr>
        <w:t xml:space="preserve"> a </w:t>
      </w:r>
      <w:proofErr w:type="spellStart"/>
      <w:r w:rsidRPr="0047452F">
        <w:rPr>
          <w:rFonts w:ascii="Times New Roman" w:hAnsi="Times New Roman" w:cs="Times New Roman"/>
          <w:sz w:val="20"/>
          <w:szCs w:val="20"/>
          <w:lang w:val="tr-TR"/>
        </w:rPr>
        <w:t>beneficial</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owner</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refers</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to</w:t>
      </w:r>
      <w:proofErr w:type="spellEnd"/>
      <w:r w:rsidRPr="0047452F">
        <w:rPr>
          <w:rFonts w:ascii="Times New Roman" w:hAnsi="Times New Roman" w:cs="Times New Roman"/>
          <w:sz w:val="20"/>
          <w:szCs w:val="20"/>
          <w:lang w:val="tr-TR"/>
        </w:rPr>
        <w:t xml:space="preserve"> a </w:t>
      </w:r>
      <w:proofErr w:type="spellStart"/>
      <w:r w:rsidRPr="0047452F">
        <w:rPr>
          <w:rFonts w:ascii="Times New Roman" w:hAnsi="Times New Roman" w:cs="Times New Roman"/>
          <w:sz w:val="20"/>
          <w:szCs w:val="20"/>
          <w:lang w:val="tr-TR"/>
        </w:rPr>
        <w:t>person</w:t>
      </w:r>
      <w:proofErr w:type="spellEnd"/>
      <w:r w:rsidRPr="0047452F">
        <w:rPr>
          <w:rFonts w:ascii="Times New Roman" w:hAnsi="Times New Roman" w:cs="Times New Roman"/>
          <w:sz w:val="20"/>
          <w:szCs w:val="20"/>
          <w:lang w:val="tr-TR"/>
        </w:rPr>
        <w:t xml:space="preserve"> (in </w:t>
      </w:r>
      <w:proofErr w:type="spellStart"/>
      <w:r w:rsidRPr="0047452F">
        <w:rPr>
          <w:rFonts w:ascii="Times New Roman" w:hAnsi="Times New Roman" w:cs="Times New Roman"/>
          <w:sz w:val="20"/>
          <w:szCs w:val="20"/>
          <w:lang w:val="tr-TR"/>
        </w:rPr>
        <w:t>most</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cases</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hiding</w:t>
      </w:r>
      <w:proofErr w:type="spellEnd"/>
      <w:r w:rsidRPr="0047452F">
        <w:rPr>
          <w:rFonts w:ascii="Times New Roman" w:hAnsi="Times New Roman" w:cs="Times New Roman"/>
          <w:sz w:val="20"/>
          <w:szCs w:val="20"/>
          <w:lang w:val="tr-TR"/>
        </w:rPr>
        <w:t xml:space="preserve"> his </w:t>
      </w:r>
      <w:proofErr w:type="spellStart"/>
      <w:r w:rsidRPr="0047452F">
        <w:rPr>
          <w:rFonts w:ascii="Times New Roman" w:hAnsi="Times New Roman" w:cs="Times New Roman"/>
          <w:sz w:val="20"/>
          <w:szCs w:val="20"/>
          <w:lang w:val="tr-TR"/>
        </w:rPr>
        <w:t>identity</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behind</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complex</w:t>
      </w:r>
      <w:proofErr w:type="spellEnd"/>
      <w:r w:rsidRPr="0047452F">
        <w:rPr>
          <w:rFonts w:ascii="Times New Roman" w:hAnsi="Times New Roman" w:cs="Times New Roman"/>
          <w:sz w:val="20"/>
          <w:szCs w:val="20"/>
          <w:lang w:val="tr-TR"/>
        </w:rPr>
        <w:t xml:space="preserve"> network of legal </w:t>
      </w:r>
      <w:proofErr w:type="spellStart"/>
      <w:r w:rsidRPr="0047452F">
        <w:rPr>
          <w:rFonts w:ascii="Times New Roman" w:hAnsi="Times New Roman" w:cs="Times New Roman"/>
          <w:sz w:val="20"/>
          <w:szCs w:val="20"/>
          <w:lang w:val="tr-TR"/>
        </w:rPr>
        <w:t>relationships</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whereas</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influencing</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shareholder</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does</w:t>
      </w:r>
      <w:proofErr w:type="spellEnd"/>
      <w:r w:rsidRPr="0047452F">
        <w:rPr>
          <w:rFonts w:ascii="Times New Roman" w:hAnsi="Times New Roman" w:cs="Times New Roman"/>
          <w:sz w:val="20"/>
          <w:szCs w:val="20"/>
          <w:lang w:val="tr-TR"/>
        </w:rPr>
        <w:t xml:space="preserve"> not </w:t>
      </w:r>
      <w:proofErr w:type="spellStart"/>
      <w:r w:rsidRPr="0047452F">
        <w:rPr>
          <w:rFonts w:ascii="Times New Roman" w:hAnsi="Times New Roman" w:cs="Times New Roman"/>
          <w:sz w:val="20"/>
          <w:szCs w:val="20"/>
          <w:lang w:val="tr-TR"/>
        </w:rPr>
        <w:t>try</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to</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hide</w:t>
      </w:r>
      <w:proofErr w:type="spellEnd"/>
      <w:r w:rsidRPr="0047452F">
        <w:rPr>
          <w:rFonts w:ascii="Times New Roman" w:hAnsi="Times New Roman" w:cs="Times New Roman"/>
          <w:sz w:val="20"/>
          <w:szCs w:val="20"/>
          <w:lang w:val="tr-TR"/>
        </w:rPr>
        <w:t xml:space="preserve"> his </w:t>
      </w:r>
      <w:proofErr w:type="spellStart"/>
      <w:r w:rsidRPr="0047452F">
        <w:rPr>
          <w:rFonts w:ascii="Times New Roman" w:hAnsi="Times New Roman" w:cs="Times New Roman"/>
          <w:sz w:val="20"/>
          <w:szCs w:val="20"/>
          <w:lang w:val="tr-TR"/>
        </w:rPr>
        <w:t>identity</w:t>
      </w:r>
      <w:proofErr w:type="spellEnd"/>
      <w:r w:rsidRPr="0047452F">
        <w:rPr>
          <w:rFonts w:ascii="Times New Roman" w:hAnsi="Times New Roman" w:cs="Times New Roman"/>
          <w:sz w:val="20"/>
          <w:szCs w:val="20"/>
          <w:lang w:val="tr-TR"/>
        </w:rPr>
        <w:t xml:space="preserve">, but </w:t>
      </w:r>
      <w:proofErr w:type="spellStart"/>
      <w:r w:rsidRPr="0047452F">
        <w:rPr>
          <w:rFonts w:ascii="Times New Roman" w:hAnsi="Times New Roman" w:cs="Times New Roman"/>
          <w:sz w:val="20"/>
          <w:szCs w:val="20"/>
          <w:lang w:val="tr-TR"/>
        </w:rPr>
        <w:t>to</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the</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opposite</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intends</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to</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build</w:t>
      </w:r>
      <w:proofErr w:type="spellEnd"/>
      <w:r w:rsidRPr="0047452F">
        <w:rPr>
          <w:rFonts w:ascii="Times New Roman" w:hAnsi="Times New Roman" w:cs="Times New Roman"/>
          <w:sz w:val="20"/>
          <w:szCs w:val="20"/>
          <w:lang w:val="tr-TR"/>
        </w:rPr>
        <w:t xml:space="preserve"> a </w:t>
      </w:r>
      <w:proofErr w:type="spellStart"/>
      <w:r w:rsidRPr="0047452F">
        <w:rPr>
          <w:rFonts w:ascii="Times New Roman" w:hAnsi="Times New Roman" w:cs="Times New Roman"/>
          <w:sz w:val="20"/>
          <w:szCs w:val="20"/>
          <w:lang w:val="tr-TR"/>
        </w:rPr>
        <w:t>persona</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explicitly</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through</w:t>
      </w:r>
      <w:proofErr w:type="spellEnd"/>
      <w:r w:rsidRPr="0047452F">
        <w:rPr>
          <w:rFonts w:ascii="Times New Roman" w:hAnsi="Times New Roman" w:cs="Times New Roman"/>
          <w:sz w:val="20"/>
          <w:szCs w:val="20"/>
          <w:lang w:val="tr-TR"/>
        </w:rPr>
        <w:t xml:space="preserve"> his </w:t>
      </w:r>
      <w:proofErr w:type="spellStart"/>
      <w:r w:rsidRPr="0047452F">
        <w:rPr>
          <w:rFonts w:ascii="Times New Roman" w:hAnsi="Times New Roman" w:cs="Times New Roman"/>
          <w:sz w:val="20"/>
          <w:szCs w:val="20"/>
          <w:lang w:val="tr-TR"/>
        </w:rPr>
        <w:t>shareholder</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position</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by</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disclosing</w:t>
      </w:r>
      <w:proofErr w:type="spellEnd"/>
      <w:r w:rsidRPr="0047452F">
        <w:rPr>
          <w:rFonts w:ascii="Times New Roman" w:hAnsi="Times New Roman" w:cs="Times New Roman"/>
          <w:sz w:val="20"/>
          <w:szCs w:val="20"/>
          <w:lang w:val="tr-TR"/>
        </w:rPr>
        <w:t xml:space="preserve"> it </w:t>
      </w:r>
      <w:proofErr w:type="spellStart"/>
      <w:r w:rsidRPr="0047452F">
        <w:rPr>
          <w:rFonts w:ascii="Times New Roman" w:hAnsi="Times New Roman" w:cs="Times New Roman"/>
          <w:sz w:val="20"/>
          <w:szCs w:val="20"/>
          <w:lang w:val="tr-TR"/>
        </w:rPr>
        <w:t>to</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the</w:t>
      </w:r>
      <w:proofErr w:type="spellEnd"/>
      <w:r w:rsidRPr="0047452F">
        <w:rPr>
          <w:rFonts w:ascii="Times New Roman" w:hAnsi="Times New Roman" w:cs="Times New Roman"/>
          <w:sz w:val="20"/>
          <w:szCs w:val="20"/>
          <w:lang w:val="tr-TR"/>
        </w:rPr>
        <w:t xml:space="preserve"> rest of </w:t>
      </w:r>
      <w:proofErr w:type="spellStart"/>
      <w:r w:rsidRPr="0047452F">
        <w:rPr>
          <w:rFonts w:ascii="Times New Roman" w:hAnsi="Times New Roman" w:cs="Times New Roman"/>
          <w:sz w:val="20"/>
          <w:szCs w:val="20"/>
          <w:lang w:val="tr-TR"/>
        </w:rPr>
        <w:t>the</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world</w:t>
      </w:r>
      <w:proofErr w:type="spellEnd"/>
      <w:r w:rsidRPr="0047452F">
        <w:rPr>
          <w:rFonts w:ascii="Times New Roman" w:hAnsi="Times New Roman" w:cs="Times New Roman"/>
          <w:sz w:val="20"/>
          <w:szCs w:val="20"/>
          <w:lang w:val="tr-TR"/>
        </w:rPr>
        <w:t xml:space="preserve">. </w:t>
      </w:r>
    </w:p>
  </w:footnote>
  <w:footnote w:id="164">
    <w:p w14:paraId="5193CF67" w14:textId="6CAB28B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Kaplan v. Centex Corp., 284 A.2d 119 (1971).</w:t>
      </w:r>
    </w:p>
  </w:footnote>
  <w:footnote w:id="165">
    <w:p w14:paraId="032C68E9" w14:textId="0354952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lang w:val="tr-TR"/>
        </w:rPr>
        <w:t xml:space="preserve">“…a </w:t>
      </w:r>
      <w:proofErr w:type="spellStart"/>
      <w:r w:rsidRPr="009975EA">
        <w:rPr>
          <w:rFonts w:ascii="Times New Roman" w:hAnsi="Times New Roman" w:cs="Times New Roman"/>
          <w:color w:val="000000"/>
          <w:sz w:val="20"/>
          <w:szCs w:val="20"/>
          <w:lang w:val="tr-TR"/>
        </w:rPr>
        <w:t>shareholder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group</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shareholders</w:t>
      </w:r>
      <w:proofErr w:type="spellEnd"/>
      <w:r w:rsidRPr="009975EA">
        <w:rPr>
          <w:rFonts w:ascii="Times New Roman" w:hAnsi="Times New Roman" w:cs="Times New Roman"/>
          <w:color w:val="000000"/>
          <w:sz w:val="20"/>
          <w:szCs w:val="20"/>
          <w:lang w:val="tr-TR"/>
        </w:rPr>
        <w:t xml:space="preserve"> can be </w:t>
      </w:r>
      <w:proofErr w:type="spellStart"/>
      <w:r w:rsidRPr="009975EA">
        <w:rPr>
          <w:rFonts w:ascii="Times New Roman" w:hAnsi="Times New Roman" w:cs="Times New Roman"/>
          <w:color w:val="000000"/>
          <w:sz w:val="20"/>
          <w:szCs w:val="20"/>
          <w:lang w:val="tr-TR"/>
        </w:rPr>
        <w:t>regarded</w:t>
      </w:r>
      <w:proofErr w:type="spellEnd"/>
      <w:r w:rsidRPr="009975EA">
        <w:rPr>
          <w:rFonts w:ascii="Times New Roman" w:hAnsi="Times New Roman" w:cs="Times New Roman"/>
          <w:color w:val="000000"/>
          <w:sz w:val="20"/>
          <w:szCs w:val="20"/>
          <w:lang w:val="tr-TR"/>
        </w:rPr>
        <w:t xml:space="preserve"> as </w:t>
      </w:r>
      <w:proofErr w:type="spellStart"/>
      <w:r w:rsidRPr="009975EA">
        <w:rPr>
          <w:rFonts w:ascii="Times New Roman" w:hAnsi="Times New Roman" w:cs="Times New Roman"/>
          <w:color w:val="000000"/>
          <w:sz w:val="20"/>
          <w:szCs w:val="20"/>
          <w:lang w:val="tr-TR"/>
        </w:rPr>
        <w:t>having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control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when</w:t>
      </w:r>
      <w:proofErr w:type="spellEnd"/>
      <w:r w:rsidRPr="009975EA">
        <w:rPr>
          <w:rFonts w:ascii="Times New Roman" w:hAnsi="Times New Roman" w:cs="Times New Roman"/>
          <w:color w:val="000000"/>
          <w:sz w:val="20"/>
          <w:szCs w:val="20"/>
          <w:lang w:val="tr-TR"/>
        </w:rPr>
        <w:t xml:space="preserve"> it is </w:t>
      </w:r>
      <w:proofErr w:type="spellStart"/>
      <w:r w:rsidRPr="009975EA">
        <w:rPr>
          <w:rFonts w:ascii="Times New Roman" w:hAnsi="Times New Roman" w:cs="Times New Roman"/>
          <w:color w:val="000000"/>
          <w:sz w:val="20"/>
          <w:szCs w:val="20"/>
          <w:lang w:val="tr-TR"/>
        </w:rPr>
        <w:t>likely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that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would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win</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contested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vote</w:t>
      </w:r>
      <w:proofErr w:type="spellEnd"/>
      <w:r w:rsidRPr="009975EA">
        <w:rPr>
          <w:rFonts w:ascii="Times New Roman" w:hAnsi="Times New Roman" w:cs="Times New Roman"/>
          <w:color w:val="000000"/>
          <w:sz w:val="20"/>
          <w:szCs w:val="20"/>
          <w:lang w:val="tr-TR"/>
        </w:rPr>
        <w:t xml:space="preserve">.” (J.E. Parkinson, </w:t>
      </w:r>
      <w:proofErr w:type="spellStart"/>
      <w:r w:rsidRPr="00FC345A">
        <w:rPr>
          <w:rFonts w:ascii="Times New Roman" w:hAnsi="Times New Roman" w:cs="Times New Roman"/>
          <w:i/>
          <w:color w:val="000000"/>
          <w:sz w:val="20"/>
          <w:szCs w:val="20"/>
          <w:lang w:val="tr-TR"/>
        </w:rPr>
        <w:t>Corporate</w:t>
      </w:r>
      <w:proofErr w:type="spellEnd"/>
      <w:r w:rsidRPr="00FC345A">
        <w:rPr>
          <w:rFonts w:ascii="Times New Roman" w:hAnsi="Times New Roman" w:cs="Times New Roman"/>
          <w:i/>
          <w:color w:val="000000"/>
          <w:sz w:val="20"/>
          <w:szCs w:val="20"/>
          <w:lang w:val="tr-TR"/>
        </w:rPr>
        <w:t xml:space="preserve"> </w:t>
      </w:r>
      <w:proofErr w:type="spellStart"/>
      <w:r w:rsidRPr="00FC345A">
        <w:rPr>
          <w:rFonts w:ascii="Times New Roman" w:hAnsi="Times New Roman" w:cs="Times New Roman"/>
          <w:i/>
          <w:color w:val="000000"/>
          <w:sz w:val="20"/>
          <w:szCs w:val="20"/>
          <w:lang w:val="tr-TR"/>
        </w:rPr>
        <w:t>Power</w:t>
      </w:r>
      <w:proofErr w:type="spellEnd"/>
      <w:r w:rsidRPr="00FC345A">
        <w:rPr>
          <w:rFonts w:ascii="Times New Roman" w:hAnsi="Times New Roman" w:cs="Times New Roman"/>
          <w:i/>
          <w:color w:val="000000"/>
          <w:sz w:val="20"/>
          <w:szCs w:val="20"/>
          <w:lang w:val="tr-TR"/>
        </w:rPr>
        <w:t xml:space="preserve"> </w:t>
      </w:r>
      <w:proofErr w:type="spellStart"/>
      <w:r w:rsidRPr="00FC345A">
        <w:rPr>
          <w:rFonts w:ascii="Times New Roman" w:hAnsi="Times New Roman" w:cs="Times New Roman"/>
          <w:i/>
          <w:color w:val="000000"/>
          <w:sz w:val="20"/>
          <w:szCs w:val="20"/>
          <w:lang w:val="tr-TR"/>
        </w:rPr>
        <w:t>and</w:t>
      </w:r>
      <w:proofErr w:type="spellEnd"/>
      <w:r w:rsidRPr="00FC345A">
        <w:rPr>
          <w:rFonts w:ascii="Times New Roman" w:hAnsi="Times New Roman" w:cs="Times New Roman"/>
          <w:i/>
          <w:color w:val="000000"/>
          <w:sz w:val="20"/>
          <w:szCs w:val="20"/>
          <w:lang w:val="tr-TR"/>
        </w:rPr>
        <w:t xml:space="preserve"> </w:t>
      </w:r>
      <w:proofErr w:type="spellStart"/>
      <w:r w:rsidRPr="00FC345A">
        <w:rPr>
          <w:rFonts w:ascii="Times New Roman" w:hAnsi="Times New Roman" w:cs="Times New Roman"/>
          <w:i/>
          <w:color w:val="000000"/>
          <w:sz w:val="20"/>
          <w:szCs w:val="20"/>
          <w:lang w:val="tr-TR"/>
        </w:rPr>
        <w:t>Responsibility</w:t>
      </w:r>
      <w:proofErr w:type="spellEnd"/>
      <w:r w:rsidRPr="009975EA">
        <w:rPr>
          <w:rFonts w:ascii="Times New Roman" w:hAnsi="Times New Roman" w:cs="Times New Roman"/>
          <w:color w:val="000000"/>
          <w:sz w:val="20"/>
          <w:szCs w:val="20"/>
          <w:lang w:val="tr-TR"/>
        </w:rPr>
        <w:t xml:space="preserve"> </w:t>
      </w:r>
      <w:r>
        <w:rPr>
          <w:rFonts w:ascii="Times New Roman" w:hAnsi="Times New Roman" w:cs="Times New Roman"/>
          <w:color w:val="000000"/>
          <w:sz w:val="20"/>
          <w:szCs w:val="20"/>
          <w:lang w:val="tr-TR"/>
        </w:rPr>
        <w:t>60 (</w:t>
      </w:r>
      <w:r w:rsidRPr="009975EA">
        <w:rPr>
          <w:rFonts w:ascii="Times New Roman" w:hAnsi="Times New Roman" w:cs="Times New Roman"/>
          <w:color w:val="000000"/>
          <w:sz w:val="20"/>
          <w:szCs w:val="20"/>
          <w:lang w:val="tr-TR"/>
        </w:rPr>
        <w:t>1993</w:t>
      </w:r>
      <w:r>
        <w:rPr>
          <w:rFonts w:ascii="Times New Roman" w:hAnsi="Times New Roman" w:cs="Times New Roman"/>
          <w:color w:val="000000"/>
          <w:sz w:val="20"/>
          <w:szCs w:val="20"/>
          <w:lang w:val="tr-TR"/>
        </w:rPr>
        <w:t>)</w:t>
      </w:r>
      <w:r w:rsidRPr="009975EA">
        <w:rPr>
          <w:rFonts w:ascii="Times New Roman" w:hAnsi="Times New Roman" w:cs="Times New Roman"/>
          <w:color w:val="000000"/>
          <w:sz w:val="20"/>
          <w:szCs w:val="20"/>
          <w:lang w:val="tr-TR"/>
        </w:rPr>
        <w:t>)</w:t>
      </w:r>
    </w:p>
  </w:footnote>
  <w:footnote w:id="166">
    <w:p w14:paraId="3CEB2304" w14:textId="48AAEFA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“…influence can be exercised by means other than voting; a significant shareholder need not always cast a vote to sway management.” (Gilson/Milhaupt, p.1353)</w:t>
      </w:r>
    </w:p>
  </w:footnote>
  <w:footnote w:id="167">
    <w:p w14:paraId="2A9C74A9" w14:textId="0272DC8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Gilson/Milhaupt, p. 1364.</w:t>
      </w:r>
    </w:p>
  </w:footnote>
  <w:footnote w:id="168">
    <w:p w14:paraId="3ED82E47"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 recent example of this in the political context took place in South Korea. There, President Park “is accused of letting her confidante Choi Soon- </w:t>
      </w:r>
      <w:proofErr w:type="spellStart"/>
      <w:r w:rsidRPr="009975EA">
        <w:rPr>
          <w:rFonts w:ascii="Times New Roman" w:hAnsi="Times New Roman" w:cs="Times New Roman"/>
          <w:sz w:val="20"/>
          <w:szCs w:val="20"/>
        </w:rPr>
        <w:t>sil</w:t>
      </w:r>
      <w:proofErr w:type="spellEnd"/>
      <w:r w:rsidRPr="009975EA">
        <w:rPr>
          <w:rFonts w:ascii="Times New Roman" w:hAnsi="Times New Roman" w:cs="Times New Roman"/>
          <w:sz w:val="20"/>
          <w:szCs w:val="20"/>
        </w:rPr>
        <w:t xml:space="preserve">, who does not hold an official government post, view confidential documents and presidential speeches. Choi is accused of using her relationship with Park to accumulate millions of dollars in donations to her foundation.” (Madison Park, Growing South Korean protests demand President Park’s resignation, </w:t>
      </w:r>
      <w:hyperlink r:id="rId50" w:history="1">
        <w:r w:rsidRPr="009975EA">
          <w:rPr>
            <w:rStyle w:val="Kpr"/>
            <w:rFonts w:ascii="Times New Roman" w:hAnsi="Times New Roman" w:cs="Times New Roman"/>
            <w:sz w:val="20"/>
            <w:szCs w:val="20"/>
          </w:rPr>
          <w:t>http://edition.cnn.com/2016/11/26/asia/south-korea-mass-protests/index.html</w:t>
        </w:r>
      </w:hyperlink>
      <w:r w:rsidRPr="009975EA">
        <w:rPr>
          <w:rFonts w:ascii="Times New Roman" w:hAnsi="Times New Roman" w:cs="Times New Roman"/>
          <w:sz w:val="20"/>
          <w:szCs w:val="20"/>
        </w:rPr>
        <w:t>, Last visited: 27/11/2016)</w:t>
      </w:r>
    </w:p>
  </w:footnote>
  <w:footnote w:id="169">
    <w:p w14:paraId="0F6185BD" w14:textId="683458A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fiduciary duties of corporate insiders, and the ability of derivative suits to enforce them, have been cited as a possible constraint on corporate political activity…Today, derivative suits claiming a breach of fiduciary duty face a difficult uphill battle, primarily because of the importance of business judgment rule in fending off challenges to insiders’ decisions” (Kwak, p. 265). If the protection that a jurisdiction gives to bad faith business decisions differs, then the managers will not be safe from liability for damages caused by the decisions influenced behind the scenes (Rosenthal v. Rosenthal, 543 A.2d 348 (1988): “The business judgment rule does not, however, protect business decisions that result from fraud or bad faith”.). But then, of course, the bad faith should be proved, however, the mere fact that the shareholder discussed an issue with the manager does not necessarily mean the manager took that decision in bad faith.</w:t>
      </w:r>
    </w:p>
  </w:footnote>
  <w:footnote w:id="170">
    <w:p w14:paraId="06743163" w14:textId="53170F3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John Pound, </w:t>
      </w:r>
      <w:r w:rsidRPr="00FC345A">
        <w:rPr>
          <w:rFonts w:ascii="Times New Roman" w:hAnsi="Times New Roman" w:cs="Times New Roman"/>
          <w:i/>
          <w:sz w:val="20"/>
          <w:szCs w:val="20"/>
        </w:rPr>
        <w:t>The Rise of the Political Model of Corporate Governance and Corporate Control</w:t>
      </w:r>
      <w:r w:rsidRPr="009975EA">
        <w:rPr>
          <w:rFonts w:ascii="Times New Roman" w:hAnsi="Times New Roman" w:cs="Times New Roman"/>
          <w:sz w:val="20"/>
          <w:szCs w:val="20"/>
        </w:rPr>
        <w:t>, 68</w:t>
      </w:r>
      <w:r>
        <w:rPr>
          <w:rFonts w:ascii="Times New Roman" w:hAnsi="Times New Roman" w:cs="Times New Roman"/>
          <w:sz w:val="20"/>
          <w:szCs w:val="20"/>
        </w:rPr>
        <w:t xml:space="preserve"> N.Y.U. L. Rev. 1003 (1993), </w:t>
      </w:r>
      <w:r w:rsidR="00F37175">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1032.</w:t>
      </w:r>
    </w:p>
  </w:footnote>
  <w:footnote w:id="171">
    <w:p w14:paraId="32976368"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lang w:val="tr-TR"/>
        </w:rPr>
        <w:t>Regular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periodic</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access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corporate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franchise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gives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shareholders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like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public</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citizens</w:t>
      </w:r>
      <w:proofErr w:type="spellEnd"/>
      <w:r w:rsidRPr="009975EA">
        <w:rPr>
          <w:rFonts w:ascii="Times New Roman" w:hAnsi="Times New Roman" w:cs="Times New Roman"/>
          <w:color w:val="000000"/>
          <w:sz w:val="20"/>
          <w:szCs w:val="20"/>
          <w:lang w:val="tr-TR"/>
        </w:rPr>
        <w:t xml:space="preserve"> in a </w:t>
      </w:r>
      <w:proofErr w:type="spellStart"/>
      <w:r w:rsidRPr="009975EA">
        <w:rPr>
          <w:rFonts w:ascii="Times New Roman" w:hAnsi="Times New Roman" w:cs="Times New Roman"/>
          <w:color w:val="000000"/>
          <w:sz w:val="20"/>
          <w:szCs w:val="20"/>
          <w:lang w:val="tr-TR"/>
        </w:rPr>
        <w:t>democracy</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baseline</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power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That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power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however</w:t>
      </w:r>
      <w:proofErr w:type="spellEnd"/>
      <w:r w:rsidRPr="009975EA">
        <w:rPr>
          <w:rFonts w:ascii="Times New Roman" w:hAnsi="Times New Roman" w:cs="Times New Roman"/>
          <w:color w:val="000000"/>
          <w:sz w:val="20"/>
          <w:szCs w:val="20"/>
          <w:lang w:val="tr-TR"/>
        </w:rPr>
        <w:t xml:space="preserve">, is not </w:t>
      </w:r>
      <w:proofErr w:type="spellStart"/>
      <w:r w:rsidRPr="009975EA">
        <w:rPr>
          <w:rFonts w:ascii="Times New Roman" w:hAnsi="Times New Roman" w:cs="Times New Roman"/>
          <w:color w:val="000000"/>
          <w:sz w:val="20"/>
          <w:szCs w:val="20"/>
          <w:lang w:val="tr-TR"/>
        </w:rPr>
        <w:t>manifested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merely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through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formal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voting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challenges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Instead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power</w:t>
      </w:r>
      <w:proofErr w:type="spellEnd"/>
      <w:r w:rsidRPr="009975EA">
        <w:rPr>
          <w:rFonts w:ascii="Times New Roman" w:hAnsi="Times New Roman" w:cs="Times New Roman"/>
          <w:color w:val="000000"/>
          <w:sz w:val="20"/>
          <w:szCs w:val="20"/>
          <w:lang w:val="tr-TR"/>
        </w:rPr>
        <w:t xml:space="preserve"> can be </w:t>
      </w:r>
      <w:proofErr w:type="spellStart"/>
      <w:r w:rsidRPr="009975EA">
        <w:rPr>
          <w:rFonts w:ascii="Times New Roman" w:hAnsi="Times New Roman" w:cs="Times New Roman"/>
          <w:color w:val="000000"/>
          <w:sz w:val="20"/>
          <w:szCs w:val="20"/>
          <w:lang w:val="tr-TR"/>
        </w:rPr>
        <w:t>exercised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through</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rich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variety</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means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may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include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simple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communication</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concerns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from</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shareholders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management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private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negotiation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between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shareholders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management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directors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rallying</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support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specific</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issues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policy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changes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establishment</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formal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lobbying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campaigns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Underlying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each</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these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informal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initiatives</w:t>
      </w:r>
      <w:proofErr w:type="spellEnd"/>
      <w:r w:rsidRPr="009975EA">
        <w:rPr>
          <w:rFonts w:ascii="Times New Roman" w:hAnsi="Times New Roman" w:cs="Times New Roman"/>
          <w:color w:val="000000"/>
          <w:sz w:val="20"/>
          <w:szCs w:val="20"/>
          <w:lang w:val="tr-TR"/>
        </w:rPr>
        <w:t xml:space="preserve"> is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veiled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threat</w:t>
      </w:r>
      <w:proofErr w:type="spellEnd"/>
      <w:r w:rsidRPr="009975EA">
        <w:rPr>
          <w:rFonts w:ascii="Times New Roman" w:hAnsi="Times New Roman" w:cs="Times New Roman"/>
          <w:color w:val="000000"/>
          <w:sz w:val="20"/>
          <w:szCs w:val="20"/>
          <w:lang w:val="tr-TR"/>
        </w:rPr>
        <w:t xml:space="preserve"> of a </w:t>
      </w:r>
      <w:proofErr w:type="spellStart"/>
      <w:r w:rsidRPr="009975EA">
        <w:rPr>
          <w:rFonts w:ascii="Times New Roman" w:hAnsi="Times New Roman" w:cs="Times New Roman"/>
          <w:color w:val="000000"/>
          <w:sz w:val="20"/>
          <w:szCs w:val="20"/>
          <w:lang w:val="tr-TR"/>
        </w:rPr>
        <w:t>voting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challenge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aimed</w:t>
      </w:r>
      <w:proofErr w:type="spellEnd"/>
      <w:r w:rsidRPr="009975EA">
        <w:rPr>
          <w:rFonts w:ascii="Times New Roman" w:hAnsi="Times New Roman" w:cs="Times New Roman"/>
          <w:color w:val="000000"/>
          <w:sz w:val="20"/>
          <w:szCs w:val="20"/>
          <w:lang w:val="tr-TR"/>
        </w:rPr>
        <w:t xml:space="preserve"> at board </w:t>
      </w:r>
      <w:proofErr w:type="spellStart"/>
      <w:r w:rsidRPr="009975EA">
        <w:rPr>
          <w:rFonts w:ascii="Times New Roman" w:hAnsi="Times New Roman" w:cs="Times New Roman"/>
          <w:color w:val="000000"/>
          <w:sz w:val="20"/>
          <w:szCs w:val="20"/>
          <w:lang w:val="tr-TR"/>
        </w:rPr>
        <w:t>representation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control</w:t>
      </w:r>
      <w:proofErr w:type="spellEnd"/>
      <w:r w:rsidRPr="009975EA">
        <w:rPr>
          <w:rFonts w:ascii="Times New Roman" w:hAnsi="Times New Roman" w:cs="Times New Roman"/>
          <w:color w:val="000000"/>
          <w:sz w:val="20"/>
          <w:szCs w:val="20"/>
          <w:lang w:val="tr-TR"/>
        </w:rPr>
        <w:t>.”</w:t>
      </w:r>
      <w:r w:rsidRPr="009975EA">
        <w:rPr>
          <w:rFonts w:ascii="Times New Roman" w:hAnsi="Times New Roman" w:cs="Times New Roman"/>
          <w:sz w:val="20"/>
          <w:szCs w:val="20"/>
        </w:rPr>
        <w:t xml:space="preserve"> (Pound, p.1012)</w:t>
      </w:r>
    </w:p>
  </w:footnote>
  <w:footnote w:id="172">
    <w:p w14:paraId="1CEE78FC" w14:textId="26C701B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re El Paso Corp. Shareholder Litigation, 41 A.3d 432 (2012).</w:t>
      </w:r>
    </w:p>
  </w:footnote>
  <w:footnote w:id="173">
    <w:p w14:paraId="74CD4859" w14:textId="1DAF4B30" w:rsidR="00D36541" w:rsidRPr="009975EA" w:rsidRDefault="00D36541" w:rsidP="00FC345A">
      <w:pPr>
        <w:pStyle w:val="DipnotMetni"/>
        <w:tabs>
          <w:tab w:val="center" w:pos="4320"/>
          <w:tab w:val="left" w:pos="4795"/>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Pound, p.1028.</w:t>
      </w:r>
      <w:r w:rsidRPr="009975EA">
        <w:rPr>
          <w:rFonts w:ascii="Times New Roman" w:hAnsi="Times New Roman" w:cs="Times New Roman"/>
          <w:sz w:val="20"/>
          <w:szCs w:val="20"/>
        </w:rPr>
        <w:tab/>
      </w:r>
      <w:r>
        <w:rPr>
          <w:rFonts w:ascii="Times New Roman" w:hAnsi="Times New Roman" w:cs="Times New Roman"/>
          <w:sz w:val="20"/>
          <w:szCs w:val="20"/>
        </w:rPr>
        <w:tab/>
      </w:r>
    </w:p>
  </w:footnote>
  <w:footnote w:id="174">
    <w:p w14:paraId="628E087D" w14:textId="10CBB15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“More than one- third of the funds also influenced managers [of public corporations] more directly through letters or direct negotiations.” (Paul Rose, </w:t>
      </w:r>
      <w:r w:rsidRPr="00FC345A">
        <w:rPr>
          <w:rFonts w:ascii="Times New Roman" w:hAnsi="Times New Roman" w:cs="Times New Roman"/>
          <w:i/>
          <w:sz w:val="20"/>
          <w:szCs w:val="20"/>
        </w:rPr>
        <w:t xml:space="preserve">Common </w:t>
      </w:r>
      <w:proofErr w:type="gramStart"/>
      <w:r w:rsidRPr="00FC345A">
        <w:rPr>
          <w:rFonts w:ascii="Times New Roman" w:hAnsi="Times New Roman" w:cs="Times New Roman"/>
          <w:i/>
          <w:sz w:val="20"/>
          <w:szCs w:val="20"/>
        </w:rPr>
        <w:t>Agency</w:t>
      </w:r>
      <w:proofErr w:type="gramEnd"/>
      <w:r w:rsidRPr="00FC345A">
        <w:rPr>
          <w:rFonts w:ascii="Times New Roman" w:hAnsi="Times New Roman" w:cs="Times New Roman"/>
          <w:i/>
          <w:sz w:val="20"/>
          <w:szCs w:val="20"/>
        </w:rPr>
        <w:t xml:space="preserve"> and the Public Corporation,</w:t>
      </w:r>
      <w:r w:rsidRPr="009975EA">
        <w:rPr>
          <w:rFonts w:ascii="Times New Roman" w:hAnsi="Times New Roman" w:cs="Times New Roman"/>
          <w:sz w:val="20"/>
          <w:szCs w:val="20"/>
        </w:rPr>
        <w:t xml:space="preserve"> </w:t>
      </w:r>
      <w:r>
        <w:rPr>
          <w:rFonts w:ascii="Times New Roman" w:hAnsi="Times New Roman" w:cs="Times New Roman"/>
          <w:sz w:val="20"/>
          <w:szCs w:val="20"/>
        </w:rPr>
        <w:t xml:space="preserve">63 </w:t>
      </w:r>
      <w:proofErr w:type="spellStart"/>
      <w:r>
        <w:rPr>
          <w:rFonts w:ascii="Times New Roman" w:hAnsi="Times New Roman" w:cs="Times New Roman"/>
          <w:sz w:val="20"/>
          <w:szCs w:val="20"/>
        </w:rPr>
        <w:t>Vand</w:t>
      </w:r>
      <w:proofErr w:type="spellEnd"/>
      <w:r>
        <w:rPr>
          <w:rFonts w:ascii="Times New Roman" w:hAnsi="Times New Roman" w:cs="Times New Roman"/>
          <w:sz w:val="20"/>
          <w:szCs w:val="20"/>
        </w:rPr>
        <w:t xml:space="preserve">. L. Rev. 1355 (2010), at </w:t>
      </w:r>
      <w:r w:rsidRPr="009975EA">
        <w:rPr>
          <w:rFonts w:ascii="Times New Roman" w:hAnsi="Times New Roman" w:cs="Times New Roman"/>
          <w:sz w:val="20"/>
          <w:szCs w:val="20"/>
        </w:rPr>
        <w:t>1365)</w:t>
      </w:r>
    </w:p>
  </w:footnote>
  <w:footnote w:id="175">
    <w:p w14:paraId="025D67AF"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themeColor="text1"/>
          <w:sz w:val="20"/>
          <w:szCs w:val="20"/>
        </w:rPr>
        <w:t>“</w:t>
      </w:r>
      <w:proofErr w:type="spellStart"/>
      <w:r w:rsidRPr="009975EA">
        <w:rPr>
          <w:rFonts w:ascii="Times New Roman" w:hAnsi="Times New Roman" w:cs="Times New Roman"/>
          <w:color w:val="000000" w:themeColor="text1"/>
          <w:sz w:val="20"/>
          <w:szCs w:val="20"/>
        </w:rPr>
        <w:t>Like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other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stockholders</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controlling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stockholder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must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live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with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informed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sufficiently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careful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good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faith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loyal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business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decisions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directors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unless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DGCL </w:t>
      </w:r>
      <w:proofErr w:type="spellStart"/>
      <w:r w:rsidRPr="009975EA">
        <w:rPr>
          <w:rFonts w:ascii="Times New Roman" w:hAnsi="Times New Roman" w:cs="Times New Roman"/>
          <w:color w:val="000000" w:themeColor="text1"/>
          <w:sz w:val="20"/>
          <w:szCs w:val="20"/>
        </w:rPr>
        <w:t>requires</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vote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is a </w:t>
      </w:r>
      <w:proofErr w:type="spellStart"/>
      <w:r w:rsidRPr="009975EA">
        <w:rPr>
          <w:rFonts w:ascii="Times New Roman" w:hAnsi="Times New Roman" w:cs="Times New Roman"/>
          <w:color w:val="000000" w:themeColor="text1"/>
          <w:sz w:val="20"/>
          <w:szCs w:val="20"/>
        </w:rPr>
        <w:t>central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premise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our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law</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which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vests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most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managerial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power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over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board,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not in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stockholders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iCs/>
          <w:color w:val="000000" w:themeColor="text1"/>
          <w:sz w:val="20"/>
          <w:szCs w:val="20"/>
        </w:rPr>
        <w:t>Hollinger</w:t>
      </w:r>
      <w:proofErr w:type="spellEnd"/>
      <w:r w:rsidRPr="009975EA">
        <w:rPr>
          <w:rFonts w:ascii="Times New Roman" w:hAnsi="Times New Roman" w:cs="Times New Roman"/>
          <w:iCs/>
          <w:color w:val="000000" w:themeColor="text1"/>
          <w:sz w:val="20"/>
          <w:szCs w:val="20"/>
        </w:rPr>
        <w:t xml:space="preserve"> </w:t>
      </w:r>
      <w:proofErr w:type="spellStart"/>
      <w:r w:rsidRPr="009975EA">
        <w:rPr>
          <w:rFonts w:ascii="Times New Roman" w:hAnsi="Times New Roman" w:cs="Times New Roman"/>
          <w:iCs/>
          <w:color w:val="000000" w:themeColor="text1"/>
          <w:sz w:val="20"/>
          <w:szCs w:val="20"/>
        </w:rPr>
        <w:t>Inc</w:t>
      </w:r>
      <w:proofErr w:type="spellEnd"/>
      <w:r w:rsidRPr="009975EA">
        <w:rPr>
          <w:rFonts w:ascii="Times New Roman" w:hAnsi="Times New Roman" w:cs="Times New Roman"/>
          <w:iCs/>
          <w:color w:val="000000" w:themeColor="text1"/>
          <w:sz w:val="20"/>
          <w:szCs w:val="20"/>
        </w:rPr>
        <w:t xml:space="preserve">. v. </w:t>
      </w:r>
      <w:proofErr w:type="spellStart"/>
      <w:r w:rsidRPr="009975EA">
        <w:rPr>
          <w:rFonts w:ascii="Times New Roman" w:hAnsi="Times New Roman" w:cs="Times New Roman"/>
          <w:iCs/>
          <w:color w:val="000000" w:themeColor="text1"/>
          <w:sz w:val="20"/>
          <w:szCs w:val="20"/>
        </w:rPr>
        <w:t>Hollinger</w:t>
      </w:r>
      <w:proofErr w:type="spellEnd"/>
      <w:r w:rsidRPr="009975EA">
        <w:rPr>
          <w:rFonts w:ascii="Times New Roman" w:hAnsi="Times New Roman" w:cs="Times New Roman"/>
          <w:iCs/>
          <w:color w:val="000000" w:themeColor="text1"/>
          <w:sz w:val="20"/>
          <w:szCs w:val="20"/>
        </w:rPr>
        <w:t xml:space="preserve"> </w:t>
      </w:r>
      <w:proofErr w:type="spellStart"/>
      <w:r w:rsidRPr="009975EA">
        <w:rPr>
          <w:rFonts w:ascii="Times New Roman" w:hAnsi="Times New Roman" w:cs="Times New Roman"/>
          <w:iCs/>
          <w:color w:val="000000" w:themeColor="text1"/>
          <w:sz w:val="20"/>
          <w:szCs w:val="20"/>
        </w:rPr>
        <w:t>Int'l</w:t>
      </w:r>
      <w:proofErr w:type="spellEnd"/>
      <w:r w:rsidRPr="009975EA">
        <w:rPr>
          <w:rFonts w:ascii="Times New Roman" w:hAnsi="Times New Roman" w:cs="Times New Roman"/>
          <w:iCs/>
          <w:color w:val="000000" w:themeColor="text1"/>
          <w:sz w:val="20"/>
          <w:szCs w:val="20"/>
        </w:rPr>
        <w:t xml:space="preserve">, </w:t>
      </w:r>
      <w:proofErr w:type="spellStart"/>
      <w:r w:rsidRPr="009975EA">
        <w:rPr>
          <w:rFonts w:ascii="Times New Roman" w:hAnsi="Times New Roman" w:cs="Times New Roman"/>
          <w:iCs/>
          <w:color w:val="000000" w:themeColor="text1"/>
          <w:sz w:val="20"/>
          <w:szCs w:val="20"/>
        </w:rPr>
        <w:t>Inc</w:t>
      </w:r>
      <w:proofErr w:type="spellEnd"/>
      <w:r w:rsidRPr="009975EA">
        <w:rPr>
          <w:rFonts w:ascii="Times New Roman" w:hAnsi="Times New Roman" w:cs="Times New Roman"/>
          <w:iCs/>
          <w:color w:val="000000" w:themeColor="text1"/>
          <w:sz w:val="20"/>
          <w:szCs w:val="20"/>
        </w:rPr>
        <w:t xml:space="preserve">., 858 A.2d 342 </w:t>
      </w:r>
    </w:p>
  </w:footnote>
  <w:footnote w:id="176">
    <w:p w14:paraId="67747E11" w14:textId="1F17AAC4" w:rsidR="002B38B6" w:rsidRPr="0047452F" w:rsidRDefault="002B38B6"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A commentator explains this as follows: “The raw power to vote the board out of office is not the nexus of the shareholder oversight process. Rather, the mere existence of this baseline voting entitlement itself allows shareholders pursue a wide variety of less structured, ongoing forms of monitoring that do not directly revolve around the election of the board. One such monitoring tactic is the initiation of more limited voting challenges, such as a proposal to change corporate governance structure or to elect a single director. A second tactic is informal, between elections negotiation and lobbying on specific aspects of corporate policy. The existence of baseline electoral power, together with the threat of its regular exercise, create the necessary leverage for these more informal tactics” (</w:t>
      </w:r>
      <w:r w:rsidRPr="002B38B6">
        <w:rPr>
          <w:rFonts w:ascii="Times New Roman" w:hAnsi="Times New Roman" w:cs="Times New Roman"/>
          <w:sz w:val="20"/>
          <w:szCs w:val="20"/>
        </w:rPr>
        <w:t>Pound, p.1029).</w:t>
      </w:r>
    </w:p>
  </w:footnote>
  <w:footnote w:id="177">
    <w:p w14:paraId="567346F4" w14:textId="53514659"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Commentators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underline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notion</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context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sovereign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wealth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fund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investment</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follows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Even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 xml:space="preserve"> of SWF-</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suspended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SWF </w:t>
      </w:r>
      <w:proofErr w:type="spellStart"/>
      <w:r w:rsidRPr="009975EA">
        <w:rPr>
          <w:rFonts w:ascii="Times New Roman" w:hAnsi="Times New Roman" w:cs="Times New Roman"/>
          <w:color w:val="000000"/>
          <w:sz w:val="20"/>
          <w:szCs w:val="20"/>
        </w:rPr>
        <w:t>still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influence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strategically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portfolio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portfolio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hopes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infusions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SWF; </w:t>
      </w:r>
      <w:proofErr w:type="spellStart"/>
      <w:r w:rsidRPr="009975EA">
        <w:rPr>
          <w:rFonts w:ascii="Times New Roman" w:hAnsi="Times New Roman" w:cs="Times New Roman"/>
          <w:color w:val="000000"/>
          <w:sz w:val="20"/>
          <w:szCs w:val="20"/>
        </w:rPr>
        <w:t>simple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reciprocity</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operate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SWF </w:t>
      </w:r>
      <w:proofErr w:type="spellStart"/>
      <w:r w:rsidRPr="009975EA">
        <w:rPr>
          <w:rFonts w:ascii="Times New Roman" w:hAnsi="Times New Roman" w:cs="Times New Roman"/>
          <w:color w:val="000000"/>
          <w:sz w:val="20"/>
          <w:szCs w:val="20"/>
        </w:rPr>
        <w:t>having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invoke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portfolio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formal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governance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structure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casts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shadow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long</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portfolio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knows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SWF </w:t>
      </w:r>
      <w:proofErr w:type="spellStart"/>
      <w:r w:rsidRPr="009975EA">
        <w:rPr>
          <w:rFonts w:ascii="Times New Roman" w:hAnsi="Times New Roman" w:cs="Times New Roman"/>
          <w:color w:val="000000"/>
          <w:sz w:val="20"/>
          <w:szCs w:val="20"/>
        </w:rPr>
        <w:t>wants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portfolio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desire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equity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favorable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allow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SWF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influence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portfolio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behavior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despite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lack</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voting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Gilson</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Milhaupt</w:t>
      </w:r>
      <w:proofErr w:type="spellEnd"/>
      <w:r w:rsidRPr="009975EA">
        <w:rPr>
          <w:rFonts w:ascii="Times New Roman" w:hAnsi="Times New Roman" w:cs="Times New Roman"/>
          <w:sz w:val="20"/>
          <w:szCs w:val="20"/>
        </w:rPr>
        <w:t>, p. 1366)</w:t>
      </w:r>
    </w:p>
  </w:footnote>
  <w:footnote w:id="178">
    <w:p w14:paraId="358E07B3" w14:textId="0B1CE2E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re RJR Nabisco, Inc. Shareholders Litigation, 14 Del. J. Corp. L. 1132 (1989): “Greed is not the only human emotion that can pull one from the path of propriety; so </w:t>
      </w:r>
      <w:proofErr w:type="spellStart"/>
      <w:r w:rsidRPr="009975EA">
        <w:rPr>
          <w:rFonts w:ascii="Times New Roman" w:hAnsi="Times New Roman" w:cs="Times New Roman"/>
          <w:sz w:val="20"/>
          <w:szCs w:val="20"/>
        </w:rPr>
        <w:t>migh</w:t>
      </w:r>
      <w:proofErr w:type="spellEnd"/>
      <w:r w:rsidRPr="009975EA">
        <w:rPr>
          <w:rFonts w:ascii="Times New Roman" w:hAnsi="Times New Roman" w:cs="Times New Roman"/>
          <w:sz w:val="20"/>
          <w:szCs w:val="20"/>
        </w:rPr>
        <w:t xml:space="preserve"> hatred, lust, envy, revenge, or, as is here alleged, shame or pride. </w:t>
      </w:r>
      <w:proofErr w:type="gramStart"/>
      <w:r w:rsidRPr="009975EA">
        <w:rPr>
          <w:rFonts w:ascii="Times New Roman" w:hAnsi="Times New Roman" w:cs="Times New Roman"/>
          <w:sz w:val="20"/>
          <w:szCs w:val="20"/>
        </w:rPr>
        <w:t>Indeed</w:t>
      </w:r>
      <w:proofErr w:type="gramEnd"/>
      <w:r w:rsidRPr="009975EA">
        <w:rPr>
          <w:rFonts w:ascii="Times New Roman" w:hAnsi="Times New Roman" w:cs="Times New Roman"/>
          <w:sz w:val="20"/>
          <w:szCs w:val="20"/>
        </w:rPr>
        <w:t xml:space="preserve"> any human emotion may cause a director to place his own interests, preferences or appetites before the welfare of the corporation.”</w:t>
      </w:r>
    </w:p>
  </w:footnote>
  <w:footnote w:id="179">
    <w:p w14:paraId="6B00A288" w14:textId="3E84395C" w:rsidR="00D36541" w:rsidRPr="009975EA" w:rsidRDefault="00D36541" w:rsidP="009975EA">
      <w:pPr>
        <w:pStyle w:val="DipnotMetni"/>
        <w:jc w:val="both"/>
        <w:rPr>
          <w:rFonts w:ascii="Times New Roman" w:hAnsi="Times New Roman" w:cs="Times New Roman"/>
          <w:sz w:val="20"/>
          <w:szCs w:val="20"/>
          <w:lang w:val="tr-TR"/>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“…directors are responsive to the wishes of shareholders who </w:t>
      </w:r>
      <w:r>
        <w:rPr>
          <w:rFonts w:ascii="Times New Roman" w:hAnsi="Times New Roman" w:cs="Times New Roman"/>
          <w:sz w:val="20"/>
          <w:szCs w:val="20"/>
        </w:rPr>
        <w:t xml:space="preserve">elected them.” (O’Neal, </w:t>
      </w:r>
      <w:r w:rsidRPr="009975EA">
        <w:rPr>
          <w:rFonts w:ascii="Times New Roman" w:hAnsi="Times New Roman" w:cs="Times New Roman"/>
          <w:sz w:val="20"/>
          <w:szCs w:val="20"/>
        </w:rPr>
        <w:t xml:space="preserve">Thompson, </w:t>
      </w:r>
      <w:r w:rsidRPr="001C32F4">
        <w:rPr>
          <w:rFonts w:ascii="Times New Roman" w:hAnsi="Times New Roman" w:cs="Times New Roman"/>
          <w:i/>
          <w:sz w:val="20"/>
          <w:szCs w:val="20"/>
        </w:rPr>
        <w:t>O’Neal’s Oppression</w:t>
      </w:r>
      <w:r>
        <w:rPr>
          <w:rFonts w:ascii="Times New Roman" w:hAnsi="Times New Roman" w:cs="Times New Roman"/>
          <w:i/>
          <w:sz w:val="20"/>
          <w:szCs w:val="20"/>
        </w:rPr>
        <w:t xml:space="preserve">, </w:t>
      </w:r>
      <w:r w:rsidRPr="009975EA">
        <w:rPr>
          <w:rFonts w:ascii="Times New Roman" w:hAnsi="Times New Roman" w:cs="Times New Roman"/>
          <w:sz w:val="20"/>
          <w:szCs w:val="20"/>
        </w:rPr>
        <w:t>p.3). For a study on the boards’ responsiveness to shareholders that examined the issue in relation with shareholde</w:t>
      </w:r>
      <w:r>
        <w:rPr>
          <w:rFonts w:ascii="Times New Roman" w:hAnsi="Times New Roman" w:cs="Times New Roman"/>
          <w:sz w:val="20"/>
          <w:szCs w:val="20"/>
        </w:rPr>
        <w:t xml:space="preserve">r proposals, see: </w:t>
      </w:r>
      <w:proofErr w:type="spellStart"/>
      <w:r>
        <w:rPr>
          <w:rFonts w:ascii="Times New Roman" w:hAnsi="Times New Roman" w:cs="Times New Roman"/>
          <w:sz w:val="20"/>
          <w:szCs w:val="20"/>
        </w:rPr>
        <w:t>Yonca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Ertimur</w:t>
      </w:r>
      <w:proofErr w:type="spellEnd"/>
      <w:r>
        <w:rPr>
          <w:rFonts w:ascii="Times New Roman" w:hAnsi="Times New Roman" w:cs="Times New Roman"/>
          <w:sz w:val="20"/>
          <w:szCs w:val="20"/>
        </w:rPr>
        <w:t xml:space="preserve">, Fabrizio </w:t>
      </w:r>
      <w:proofErr w:type="spellStart"/>
      <w:r>
        <w:rPr>
          <w:rFonts w:ascii="Times New Roman" w:hAnsi="Times New Roman" w:cs="Times New Roman"/>
          <w:sz w:val="20"/>
          <w:szCs w:val="20"/>
        </w:rPr>
        <w:t>Ferri</w:t>
      </w:r>
      <w:proofErr w:type="spellEnd"/>
      <w:r>
        <w:rPr>
          <w:rFonts w:ascii="Times New Roman" w:hAnsi="Times New Roman" w:cs="Times New Roman"/>
          <w:sz w:val="20"/>
          <w:szCs w:val="20"/>
        </w:rPr>
        <w:t xml:space="preserve">, </w:t>
      </w:r>
      <w:r w:rsidRPr="009975EA">
        <w:rPr>
          <w:rFonts w:ascii="Times New Roman" w:hAnsi="Times New Roman" w:cs="Times New Roman"/>
          <w:sz w:val="20"/>
          <w:szCs w:val="20"/>
        </w:rPr>
        <w:t xml:space="preserve">Stephen R. </w:t>
      </w:r>
      <w:proofErr w:type="spellStart"/>
      <w:r w:rsidRPr="009975EA">
        <w:rPr>
          <w:rFonts w:ascii="Times New Roman" w:hAnsi="Times New Roman" w:cs="Times New Roman"/>
          <w:sz w:val="20"/>
          <w:szCs w:val="20"/>
        </w:rPr>
        <w:t>Stubben</w:t>
      </w:r>
      <w:proofErr w:type="spellEnd"/>
      <w:r w:rsidRPr="009975EA">
        <w:rPr>
          <w:rFonts w:ascii="Times New Roman" w:hAnsi="Times New Roman" w:cs="Times New Roman"/>
          <w:sz w:val="20"/>
          <w:szCs w:val="20"/>
        </w:rPr>
        <w:t xml:space="preserve">, </w:t>
      </w:r>
      <w:r w:rsidRPr="001C32F4">
        <w:rPr>
          <w:rFonts w:ascii="Times New Roman" w:hAnsi="Times New Roman" w:cs="Times New Roman"/>
          <w:i/>
          <w:sz w:val="20"/>
          <w:szCs w:val="20"/>
        </w:rPr>
        <w:t>Board of Directors’ Responsiveness to Shareholders: Evidence from Shareholder Proposals</w:t>
      </w:r>
      <w:r w:rsidRPr="009975EA">
        <w:rPr>
          <w:rFonts w:ascii="Times New Roman" w:hAnsi="Times New Roman" w:cs="Times New Roman"/>
          <w:sz w:val="20"/>
          <w:szCs w:val="20"/>
        </w:rPr>
        <w:t xml:space="preserve">, </w:t>
      </w:r>
      <w:hyperlink r:id="rId51" w:history="1">
        <w:r w:rsidRPr="009975EA">
          <w:rPr>
            <w:rStyle w:val="Kpr"/>
            <w:rFonts w:ascii="Times New Roman" w:hAnsi="Times New Roman" w:cs="Times New Roman"/>
            <w:sz w:val="20"/>
            <w:szCs w:val="20"/>
          </w:rPr>
          <w:t>http://www.hbs.edu/faculty/Publication%20Files/08-048_182eb805-b8f6-4f7a-bf04-2dd08ad52ae1.pdf</w:t>
        </w:r>
      </w:hyperlink>
      <w:r>
        <w:rPr>
          <w:rFonts w:ascii="Times New Roman" w:hAnsi="Times New Roman" w:cs="Times New Roman"/>
          <w:sz w:val="20"/>
          <w:szCs w:val="20"/>
        </w:rPr>
        <w:t xml:space="preserve"> (</w:t>
      </w:r>
      <w:r w:rsidRPr="009975EA">
        <w:rPr>
          <w:rFonts w:ascii="Times New Roman" w:hAnsi="Times New Roman" w:cs="Times New Roman"/>
          <w:sz w:val="20"/>
          <w:szCs w:val="20"/>
        </w:rPr>
        <w:t>Last visited: 10/10/2016</w:t>
      </w:r>
      <w:r>
        <w:rPr>
          <w:rFonts w:ascii="Times New Roman" w:hAnsi="Times New Roman" w:cs="Times New Roman"/>
          <w:sz w:val="20"/>
          <w:szCs w:val="20"/>
        </w:rPr>
        <w:t>)</w:t>
      </w:r>
      <w:r w:rsidRPr="009975EA">
        <w:rPr>
          <w:rFonts w:ascii="Times New Roman" w:hAnsi="Times New Roman" w:cs="Times New Roman"/>
          <w:sz w:val="20"/>
          <w:szCs w:val="20"/>
        </w:rPr>
        <w:t xml:space="preserve">. </w:t>
      </w:r>
    </w:p>
  </w:footnote>
  <w:footnote w:id="180">
    <w:p w14:paraId="12681938"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“First, the political process was not immune from the problem of self- dealing by active investors.” (Pound, p. 1032)</w:t>
      </w:r>
    </w:p>
  </w:footnote>
  <w:footnote w:id="181">
    <w:p w14:paraId="3E9C3CB4" w14:textId="6A10D56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Burt v. Burt Boiler Works, Inc., 360 So.2d 327 (1978). “Majority rule may also fail to check opportunistic behavior by shareholders if they can use private negotiations with management to obtain greenmail-type payments in exchange for agreeing to support managerial interests. There are numerous strategies that large investors can employ in their relations </w:t>
      </w:r>
      <w:proofErr w:type="spellStart"/>
      <w:r w:rsidRPr="009975EA">
        <w:rPr>
          <w:rFonts w:ascii="Times New Roman" w:hAnsi="Times New Roman" w:cs="Times New Roman"/>
          <w:sz w:val="20"/>
          <w:szCs w:val="20"/>
        </w:rPr>
        <w:t>wih</w:t>
      </w:r>
      <w:proofErr w:type="spellEnd"/>
      <w:r w:rsidRPr="009975EA">
        <w:rPr>
          <w:rFonts w:ascii="Times New Roman" w:hAnsi="Times New Roman" w:cs="Times New Roman"/>
          <w:sz w:val="20"/>
          <w:szCs w:val="20"/>
        </w:rPr>
        <w:t xml:space="preserve"> management to further their private interests.” (Iman </w:t>
      </w:r>
      <w:proofErr w:type="spellStart"/>
      <w:r w:rsidRPr="009975EA">
        <w:rPr>
          <w:rFonts w:ascii="Times New Roman" w:hAnsi="Times New Roman" w:cs="Times New Roman"/>
          <w:sz w:val="20"/>
          <w:szCs w:val="20"/>
        </w:rPr>
        <w:t>Anabtawi</w:t>
      </w:r>
      <w:proofErr w:type="spellEnd"/>
      <w:r w:rsidRPr="009975EA">
        <w:rPr>
          <w:rFonts w:ascii="Times New Roman" w:hAnsi="Times New Roman" w:cs="Times New Roman"/>
          <w:sz w:val="20"/>
          <w:szCs w:val="20"/>
        </w:rPr>
        <w:t xml:space="preserve">, </w:t>
      </w:r>
      <w:r w:rsidRPr="001C32F4">
        <w:rPr>
          <w:rFonts w:ascii="Times New Roman" w:hAnsi="Times New Roman" w:cs="Times New Roman"/>
          <w:i/>
          <w:sz w:val="20"/>
          <w:szCs w:val="20"/>
        </w:rPr>
        <w:t>Some Skepticism About Increasing Shareholder Power</w:t>
      </w:r>
      <w:r>
        <w:rPr>
          <w:rFonts w:ascii="Times New Roman" w:hAnsi="Times New Roman" w:cs="Times New Roman"/>
          <w:sz w:val="20"/>
          <w:szCs w:val="20"/>
        </w:rPr>
        <w:t xml:space="preserve">, 53 UCLA L. Rev. 561 (2006), at </w:t>
      </w:r>
      <w:r w:rsidRPr="009975EA">
        <w:rPr>
          <w:rFonts w:ascii="Times New Roman" w:hAnsi="Times New Roman" w:cs="Times New Roman"/>
          <w:sz w:val="20"/>
          <w:szCs w:val="20"/>
        </w:rPr>
        <w:t>596)</w:t>
      </w:r>
    </w:p>
  </w:footnote>
  <w:footnote w:id="182">
    <w:p w14:paraId="0AD1AA8C" w14:textId="067D02CC" w:rsidR="00D36541" w:rsidRPr="009975EA" w:rsidRDefault="00D36541" w:rsidP="009975EA">
      <w:pPr>
        <w:pStyle w:val="p1"/>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 Steven M. </w:t>
      </w:r>
      <w:proofErr w:type="spellStart"/>
      <w:r>
        <w:rPr>
          <w:rFonts w:ascii="Times New Roman" w:hAnsi="Times New Roman" w:cs="Times New Roman"/>
          <w:color w:val="000000" w:themeColor="text1"/>
          <w:sz w:val="20"/>
          <w:szCs w:val="20"/>
        </w:rPr>
        <w:t>Davidoff</w:t>
      </w:r>
      <w:proofErr w:type="spellEnd"/>
      <w:r>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themeColor="text1"/>
          <w:sz w:val="20"/>
          <w:szCs w:val="20"/>
        </w:rPr>
        <w:t>In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Silicon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Valley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Chieftains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Hold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Sway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With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Few</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Checks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Balances</w:t>
      </w:r>
      <w:proofErr w:type="spellEnd"/>
      <w:r w:rsidRPr="009975EA">
        <w:rPr>
          <w:rFonts w:ascii="Times New Roman" w:hAnsi="Times New Roman" w:cs="Times New Roman"/>
          <w:color w:val="000000" w:themeColor="text1"/>
          <w:sz w:val="20"/>
          <w:szCs w:val="20"/>
        </w:rPr>
        <w:t>”, New York Times, 05/07/2012: “</w:t>
      </w:r>
      <w:proofErr w:type="spellStart"/>
      <w:r w:rsidRPr="009975EA">
        <w:rPr>
          <w:rFonts w:ascii="Times New Roman" w:hAnsi="Times New Roman" w:cs="Times New Roman"/>
          <w:color w:val="000000" w:themeColor="text1"/>
          <w:sz w:val="20"/>
          <w:szCs w:val="20"/>
        </w:rPr>
        <w:t>In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Valley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however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idea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visionary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chief</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executive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dominates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may</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little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room</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input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from</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directors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This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sentiment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was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voiced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recently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Hastings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chief</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Netflix</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director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Facebook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Microsoft. </w:t>
      </w:r>
      <w:proofErr w:type="spellStart"/>
      <w:r w:rsidRPr="009975EA">
        <w:rPr>
          <w:rFonts w:ascii="Times New Roman" w:hAnsi="Times New Roman" w:cs="Times New Roman"/>
          <w:color w:val="000000" w:themeColor="text1"/>
          <w:sz w:val="20"/>
          <w:szCs w:val="20"/>
        </w:rPr>
        <w:t>Speaking</w:t>
      </w:r>
      <w:proofErr w:type="spellEnd"/>
      <w:r w:rsidRPr="009975EA">
        <w:rPr>
          <w:rFonts w:ascii="Times New Roman" w:hAnsi="Times New Roman" w:cs="Times New Roman"/>
          <w:color w:val="000000" w:themeColor="text1"/>
          <w:sz w:val="20"/>
          <w:szCs w:val="20"/>
        </w:rPr>
        <w:t xml:space="preserve"> at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Stanford Directors' </w:t>
      </w:r>
      <w:proofErr w:type="spellStart"/>
      <w:r w:rsidRPr="009975EA">
        <w:rPr>
          <w:rFonts w:ascii="Times New Roman" w:hAnsi="Times New Roman" w:cs="Times New Roman"/>
          <w:color w:val="000000" w:themeColor="text1"/>
          <w:sz w:val="20"/>
          <w:szCs w:val="20"/>
        </w:rPr>
        <w:t>College</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yearly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retreat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where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public</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company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directors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learn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art of </w:t>
      </w:r>
      <w:proofErr w:type="spellStart"/>
      <w:r w:rsidRPr="009975EA">
        <w:rPr>
          <w:rFonts w:ascii="Times New Roman" w:hAnsi="Times New Roman" w:cs="Times New Roman"/>
          <w:color w:val="000000" w:themeColor="text1"/>
          <w:sz w:val="20"/>
          <w:szCs w:val="20"/>
        </w:rPr>
        <w:t>being</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director</w:t>
      </w:r>
      <w:proofErr w:type="spellEnd"/>
      <w:r w:rsidRPr="009975EA">
        <w:rPr>
          <w:rFonts w:ascii="Times New Roman" w:hAnsi="Times New Roman" w:cs="Times New Roman"/>
          <w:color w:val="000000" w:themeColor="text1"/>
          <w:sz w:val="20"/>
          <w:szCs w:val="20"/>
        </w:rPr>
        <w:t xml:space="preserve">, he </w:t>
      </w:r>
      <w:proofErr w:type="spellStart"/>
      <w:r w:rsidRPr="009975EA">
        <w:rPr>
          <w:rFonts w:ascii="Times New Roman" w:hAnsi="Times New Roman" w:cs="Times New Roman"/>
          <w:color w:val="000000" w:themeColor="text1"/>
          <w:sz w:val="20"/>
          <w:szCs w:val="20"/>
        </w:rPr>
        <w:t>reportedly</w:t>
      </w:r>
      <w:proofErr w:type="spellEnd"/>
      <w:r w:rsidRPr="009975EA">
        <w:rPr>
          <w:rFonts w:ascii="Times New Roman" w:hAnsi="Times New Roman" w:cs="Times New Roman"/>
          <w:color w:val="000000" w:themeColor="text1"/>
          <w:sz w:val="20"/>
          <w:szCs w:val="20"/>
        </w:rPr>
        <w:t xml:space="preserve"> cast </w:t>
      </w:r>
      <w:proofErr w:type="spellStart"/>
      <w:r w:rsidRPr="009975EA">
        <w:rPr>
          <w:rFonts w:ascii="Times New Roman" w:hAnsi="Times New Roman" w:cs="Times New Roman"/>
          <w:color w:val="000000" w:themeColor="text1"/>
          <w:sz w:val="20"/>
          <w:szCs w:val="20"/>
        </w:rPr>
        <w:t>skepticism</w:t>
      </w:r>
      <w:proofErr w:type="spellEnd"/>
      <w:r w:rsidRPr="009975EA">
        <w:rPr>
          <w:rFonts w:ascii="Times New Roman" w:hAnsi="Times New Roman" w:cs="Times New Roman"/>
          <w:color w:val="000000" w:themeColor="text1"/>
          <w:sz w:val="20"/>
          <w:szCs w:val="20"/>
        </w:rPr>
        <w:t xml:space="preserve"> on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traditional</w:t>
      </w:r>
      <w:proofErr w:type="spellEnd"/>
      <w:r w:rsidRPr="009975EA">
        <w:rPr>
          <w:rFonts w:ascii="Times New Roman" w:hAnsi="Times New Roman" w:cs="Times New Roman"/>
          <w:color w:val="000000" w:themeColor="text1"/>
          <w:sz w:val="20"/>
          <w:szCs w:val="20"/>
        </w:rPr>
        <w:t xml:space="preserve"> board model. </w:t>
      </w:r>
      <w:proofErr w:type="spellStart"/>
      <w:r w:rsidRPr="009975EA">
        <w:rPr>
          <w:rFonts w:ascii="Times New Roman" w:hAnsi="Times New Roman" w:cs="Times New Roman"/>
          <w:color w:val="000000" w:themeColor="text1"/>
          <w:sz w:val="20"/>
          <w:szCs w:val="20"/>
        </w:rPr>
        <w:t>According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Kevin</w:t>
      </w:r>
      <w:proofErr w:type="spellEnd"/>
      <w:r w:rsidRPr="009975EA">
        <w:rPr>
          <w:rFonts w:ascii="Times New Roman" w:hAnsi="Times New Roman" w:cs="Times New Roman"/>
          <w:color w:val="000000" w:themeColor="text1"/>
          <w:sz w:val="20"/>
          <w:szCs w:val="20"/>
        </w:rPr>
        <w:t xml:space="preserve"> M. </w:t>
      </w:r>
      <w:proofErr w:type="spellStart"/>
      <w:r w:rsidRPr="009975EA">
        <w:rPr>
          <w:rFonts w:ascii="Times New Roman" w:hAnsi="Times New Roman" w:cs="Times New Roman"/>
          <w:color w:val="000000" w:themeColor="text1"/>
          <w:sz w:val="20"/>
          <w:szCs w:val="20"/>
        </w:rPr>
        <w:t>LaCroix</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D&amp;O </w:t>
      </w:r>
      <w:proofErr w:type="spellStart"/>
      <w:r w:rsidRPr="009975EA">
        <w:rPr>
          <w:rFonts w:ascii="Times New Roman" w:hAnsi="Times New Roman" w:cs="Times New Roman"/>
          <w:color w:val="000000" w:themeColor="text1"/>
          <w:sz w:val="20"/>
          <w:szCs w:val="20"/>
        </w:rPr>
        <w:t>Diary</w:t>
      </w:r>
      <w:proofErr w:type="spellEnd"/>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themeColor="text1"/>
          <w:sz w:val="20"/>
          <w:szCs w:val="20"/>
        </w:rPr>
        <w:t>Hastings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said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several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times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board of a </w:t>
      </w:r>
      <w:proofErr w:type="spellStart"/>
      <w:r w:rsidRPr="009975EA">
        <w:rPr>
          <w:rFonts w:ascii="Times New Roman" w:hAnsi="Times New Roman" w:cs="Times New Roman"/>
          <w:color w:val="000000" w:themeColor="text1"/>
          <w:sz w:val="20"/>
          <w:szCs w:val="20"/>
        </w:rPr>
        <w:t>large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publicly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traded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company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fundamental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job</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replace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compensate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C.E.O.' </w:t>
      </w:r>
      <w:proofErr w:type="spellStart"/>
      <w:r w:rsidRPr="009975EA">
        <w:rPr>
          <w:rFonts w:ascii="Times New Roman" w:hAnsi="Times New Roman" w:cs="Times New Roman"/>
          <w:color w:val="000000" w:themeColor="text1"/>
          <w:sz w:val="20"/>
          <w:szCs w:val="20"/>
        </w:rPr>
        <w:t>Where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company</w:t>
      </w:r>
      <w:proofErr w:type="spellEnd"/>
      <w:r w:rsidRPr="009975EA">
        <w:rPr>
          <w:rFonts w:ascii="Times New Roman" w:hAnsi="Times New Roman" w:cs="Times New Roman"/>
          <w:color w:val="000000" w:themeColor="text1"/>
          <w:sz w:val="20"/>
          <w:szCs w:val="20"/>
        </w:rPr>
        <w:t xml:space="preserve"> has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resources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hire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outside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consultants</w:t>
      </w:r>
      <w:proofErr w:type="spellEnd"/>
      <w:r w:rsidRPr="009975EA">
        <w:rPr>
          <w:rFonts w:ascii="Times New Roman" w:hAnsi="Times New Roman" w:cs="Times New Roman"/>
          <w:color w:val="000000" w:themeColor="text1"/>
          <w:sz w:val="20"/>
          <w:szCs w:val="20"/>
        </w:rPr>
        <w:t xml:space="preserve"> as </w:t>
      </w:r>
      <w:proofErr w:type="spellStart"/>
      <w:r w:rsidRPr="009975EA">
        <w:rPr>
          <w:rFonts w:ascii="Times New Roman" w:hAnsi="Times New Roman" w:cs="Times New Roman"/>
          <w:color w:val="000000" w:themeColor="text1"/>
          <w:sz w:val="20"/>
          <w:szCs w:val="20"/>
        </w:rPr>
        <w:t>needed</w:t>
      </w:r>
      <w:proofErr w:type="spellEnd"/>
      <w:r w:rsidRPr="009975EA">
        <w:rPr>
          <w:rFonts w:ascii="Times New Roman" w:hAnsi="Times New Roman" w:cs="Times New Roman"/>
          <w:color w:val="000000" w:themeColor="text1"/>
          <w:sz w:val="20"/>
          <w:szCs w:val="20"/>
        </w:rPr>
        <w:t xml:space="preserve">, it is not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board's</w:t>
      </w:r>
      <w:proofErr w:type="spellEnd"/>
      <w:r w:rsidRPr="009975EA">
        <w:rPr>
          <w:rFonts w:ascii="Times New Roman" w:hAnsi="Times New Roman" w:cs="Times New Roman"/>
          <w:color w:val="000000" w:themeColor="text1"/>
          <w:sz w:val="20"/>
          <w:szCs w:val="20"/>
        </w:rPr>
        <w:t xml:space="preserve"> role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offer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counsel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advice</w:t>
      </w:r>
      <w:proofErr w:type="spellEnd"/>
      <w:r w:rsidRPr="009975EA">
        <w:rPr>
          <w:rFonts w:ascii="Times New Roman" w:hAnsi="Times New Roman" w:cs="Times New Roman"/>
          <w:color w:val="000000" w:themeColor="text1"/>
          <w:sz w:val="20"/>
          <w:szCs w:val="20"/>
        </w:rPr>
        <w:t>.''…</w:t>
      </w:r>
      <w:proofErr w:type="spellStart"/>
      <w:r w:rsidRPr="009975EA">
        <w:rPr>
          <w:rFonts w:ascii="Times New Roman" w:hAnsi="Times New Roman" w:cs="Times New Roman"/>
          <w:color w:val="000000" w:themeColor="text1"/>
          <w:sz w:val="20"/>
          <w:szCs w:val="20"/>
        </w:rPr>
        <w:t>So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new</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thing</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Silicon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Valley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appears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public</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companies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run</w:t>
      </w:r>
      <w:proofErr w:type="spellEnd"/>
      <w:r w:rsidRPr="009975EA">
        <w:rPr>
          <w:rFonts w:ascii="Times New Roman" w:hAnsi="Times New Roman" w:cs="Times New Roman"/>
          <w:color w:val="000000" w:themeColor="text1"/>
          <w:sz w:val="20"/>
          <w:szCs w:val="20"/>
        </w:rPr>
        <w:t xml:space="preserve"> as </w:t>
      </w:r>
      <w:proofErr w:type="spellStart"/>
      <w:r w:rsidRPr="009975EA">
        <w:rPr>
          <w:rFonts w:ascii="Times New Roman" w:hAnsi="Times New Roman" w:cs="Times New Roman"/>
          <w:color w:val="000000" w:themeColor="text1"/>
          <w:sz w:val="20"/>
          <w:szCs w:val="20"/>
        </w:rPr>
        <w:t>private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ones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without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significant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input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from</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boards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shareholders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This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leaves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wunderkinder</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Internet </w:t>
      </w:r>
      <w:proofErr w:type="spellStart"/>
      <w:r w:rsidRPr="009975EA">
        <w:rPr>
          <w:rFonts w:ascii="Times New Roman" w:hAnsi="Times New Roman" w:cs="Times New Roman"/>
          <w:color w:val="000000" w:themeColor="text1"/>
          <w:sz w:val="20"/>
          <w:szCs w:val="20"/>
        </w:rPr>
        <w:t>free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run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their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companies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without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interference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question</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whether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this</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merely</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bubble</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corporate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governance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or</w:t>
      </w:r>
      <w:proofErr w:type="spellEnd"/>
      <w:r w:rsidRPr="009975EA">
        <w:rPr>
          <w:rFonts w:ascii="Times New Roman" w:hAnsi="Times New Roman" w:cs="Times New Roman"/>
          <w:color w:val="000000" w:themeColor="text1"/>
          <w:sz w:val="20"/>
          <w:szCs w:val="20"/>
        </w:rPr>
        <w:t xml:space="preserve"> a trend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will</w:t>
      </w:r>
      <w:proofErr w:type="spellEnd"/>
      <w:r w:rsidRPr="009975EA">
        <w:rPr>
          <w:rFonts w:ascii="Times New Roman" w:hAnsi="Times New Roman" w:cs="Times New Roman"/>
          <w:color w:val="000000" w:themeColor="text1"/>
          <w:sz w:val="20"/>
          <w:szCs w:val="20"/>
        </w:rPr>
        <w:t xml:space="preserve"> spread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rest of </w:t>
      </w:r>
      <w:proofErr w:type="spellStart"/>
      <w:r w:rsidRPr="009975EA">
        <w:rPr>
          <w:rFonts w:ascii="Times New Roman" w:hAnsi="Times New Roman" w:cs="Times New Roman"/>
          <w:color w:val="000000" w:themeColor="text1"/>
          <w:sz w:val="20"/>
          <w:szCs w:val="20"/>
        </w:rPr>
        <w:t>corporate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America</w:t>
      </w:r>
      <w:proofErr w:type="spellEnd"/>
      <w:r w:rsidRPr="009975EA">
        <w:rPr>
          <w:rFonts w:ascii="Times New Roman" w:hAnsi="Times New Roman" w:cs="Times New Roman"/>
          <w:color w:val="000000" w:themeColor="text1"/>
          <w:sz w:val="20"/>
          <w:szCs w:val="20"/>
        </w:rPr>
        <w:t>.”</w:t>
      </w:r>
    </w:p>
  </w:footnote>
  <w:footnote w:id="183">
    <w:p w14:paraId="168696B1" w14:textId="335A60E0"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Pound, p.1008. </w:t>
      </w:r>
    </w:p>
  </w:footnote>
  <w:footnote w:id="184">
    <w:p w14:paraId="70C52EBD" w14:textId="36AEE76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fact, the fiduciary duty obligation imposed on majority shareholders in some U.S. jurisdictions is partly based on the assumption that elected directors and officers, in exercising their discretionary authority, will favor the interests of the majority shareholders because of the ability of these shareholders to control the outcome of a shareholder vote and to select or remove directors (J.A.C. Hetherington, </w:t>
      </w:r>
      <w:r w:rsidRPr="001C32F4">
        <w:rPr>
          <w:rFonts w:ascii="Times New Roman" w:hAnsi="Times New Roman" w:cs="Times New Roman"/>
          <w:i/>
          <w:sz w:val="20"/>
          <w:szCs w:val="20"/>
        </w:rPr>
        <w:t>Defining the Scope of Controlling Shareholders’ Fiduciary Responsibilities</w:t>
      </w:r>
      <w:r w:rsidRPr="009975EA">
        <w:rPr>
          <w:rFonts w:ascii="Times New Roman" w:hAnsi="Times New Roman" w:cs="Times New Roman"/>
          <w:sz w:val="20"/>
          <w:szCs w:val="20"/>
        </w:rPr>
        <w:t xml:space="preserve">, 22 </w:t>
      </w:r>
      <w:r>
        <w:rPr>
          <w:rFonts w:ascii="Times New Roman" w:hAnsi="Times New Roman" w:cs="Times New Roman"/>
          <w:sz w:val="20"/>
          <w:szCs w:val="20"/>
        </w:rPr>
        <w:t xml:space="preserve">Wake Forest L. Rev. 9 (1987), </w:t>
      </w:r>
      <w:r w:rsidR="00F37175">
        <w:rPr>
          <w:rFonts w:ascii="Times New Roman" w:hAnsi="Times New Roman" w:cs="Times New Roman"/>
          <w:sz w:val="20"/>
          <w:szCs w:val="20"/>
        </w:rPr>
        <w:t>p.</w:t>
      </w:r>
      <w:r w:rsidRPr="009975EA">
        <w:rPr>
          <w:rFonts w:ascii="Times New Roman" w:hAnsi="Times New Roman" w:cs="Times New Roman"/>
          <w:sz w:val="20"/>
          <w:szCs w:val="20"/>
        </w:rPr>
        <w:t xml:space="preserve"> 12).</w:t>
      </w:r>
    </w:p>
  </w:footnote>
  <w:footnote w:id="185">
    <w:p w14:paraId="620EECC6" w14:textId="6EF0260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 Joseph A. </w:t>
      </w:r>
      <w:proofErr w:type="spellStart"/>
      <w:r>
        <w:rPr>
          <w:rFonts w:ascii="Times New Roman" w:hAnsi="Times New Roman" w:cs="Times New Roman"/>
          <w:color w:val="000000" w:themeColor="text1"/>
          <w:sz w:val="20"/>
          <w:szCs w:val="20"/>
        </w:rPr>
        <w:t>McCahery</w:t>
      </w:r>
      <w:proofErr w:type="spellEnd"/>
      <w:r>
        <w:rPr>
          <w:rFonts w:ascii="Times New Roman" w:hAnsi="Times New Roman" w:cs="Times New Roman"/>
          <w:color w:val="000000" w:themeColor="text1"/>
          <w:sz w:val="20"/>
          <w:szCs w:val="20"/>
        </w:rPr>
        <w:t xml:space="preserve">, </w:t>
      </w:r>
      <w:r w:rsidRPr="009975EA">
        <w:rPr>
          <w:rFonts w:ascii="Times New Roman" w:hAnsi="Times New Roman" w:cs="Times New Roman"/>
          <w:color w:val="000000" w:themeColor="text1"/>
          <w:sz w:val="20"/>
          <w:szCs w:val="20"/>
        </w:rPr>
        <w:t xml:space="preserve">Zacharias Sautner/Laura T. Starks, </w:t>
      </w:r>
      <w:r w:rsidRPr="001C32F4">
        <w:rPr>
          <w:rFonts w:ascii="Times New Roman" w:hAnsi="Times New Roman" w:cs="Times New Roman"/>
          <w:i/>
          <w:color w:val="000000" w:themeColor="text1"/>
          <w:sz w:val="20"/>
          <w:szCs w:val="20"/>
        </w:rPr>
        <w:t>Behind the Scenes: The Corporate Governance Prefe</w:t>
      </w:r>
      <w:r w:rsidRPr="001C32F4">
        <w:rPr>
          <w:rFonts w:ascii="Times New Roman" w:hAnsi="Times New Roman" w:cs="Times New Roman"/>
          <w:i/>
          <w:sz w:val="20"/>
          <w:szCs w:val="20"/>
        </w:rPr>
        <w:t xml:space="preserve">rences of Institutional Investors, </w:t>
      </w:r>
      <w:r w:rsidRPr="009975EA">
        <w:rPr>
          <w:rFonts w:ascii="Times New Roman" w:hAnsi="Times New Roman" w:cs="Times New Roman"/>
          <w:sz w:val="20"/>
          <w:szCs w:val="20"/>
        </w:rPr>
        <w:t xml:space="preserve">February 2015, </w:t>
      </w:r>
      <w:hyperlink r:id="rId52" w:history="1">
        <w:r w:rsidRPr="009975EA">
          <w:rPr>
            <w:rStyle w:val="Kpr"/>
            <w:rFonts w:ascii="Times New Roman" w:hAnsi="Times New Roman" w:cs="Times New Roman"/>
            <w:sz w:val="20"/>
            <w:szCs w:val="20"/>
          </w:rPr>
          <w:t>http://abfer.org/docs/2015/program-2/behind-the-scenes-the-corporate-governance-preferences-of-institutional-investors.pdf</w:t>
        </w:r>
      </w:hyperlink>
      <w:r>
        <w:rPr>
          <w:rFonts w:ascii="Times New Roman" w:hAnsi="Times New Roman" w:cs="Times New Roman"/>
          <w:sz w:val="20"/>
          <w:szCs w:val="20"/>
        </w:rPr>
        <w:t xml:space="preserve"> (Last visited: 10/10/2016) </w:t>
      </w:r>
      <w:r w:rsidR="00F37175">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7.</w:t>
      </w:r>
    </w:p>
  </w:footnote>
  <w:footnote w:id="186">
    <w:p w14:paraId="444FBE5F"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w:t>
      </w:r>
      <w:proofErr w:type="spellStart"/>
      <w:r w:rsidRPr="009975EA">
        <w:rPr>
          <w:rFonts w:ascii="Times New Roman" w:hAnsi="Times New Roman" w:cs="Times New Roman"/>
          <w:sz w:val="20"/>
          <w:szCs w:val="20"/>
        </w:rPr>
        <w:t>McCahery</w:t>
      </w:r>
      <w:proofErr w:type="spellEnd"/>
      <w:r w:rsidRPr="009975EA">
        <w:rPr>
          <w:rFonts w:ascii="Times New Roman" w:hAnsi="Times New Roman" w:cs="Times New Roman"/>
          <w:sz w:val="20"/>
          <w:szCs w:val="20"/>
        </w:rPr>
        <w:t xml:space="preserve">, et. al. for references of related studies. </w:t>
      </w:r>
    </w:p>
  </w:footnote>
  <w:footnote w:id="187">
    <w:p w14:paraId="42471396" w14:textId="3CF05E3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John Holland, </w:t>
      </w:r>
      <w:r w:rsidRPr="001C32F4">
        <w:rPr>
          <w:rFonts w:ascii="Times New Roman" w:hAnsi="Times New Roman" w:cs="Times New Roman"/>
          <w:i/>
          <w:sz w:val="20"/>
          <w:szCs w:val="20"/>
        </w:rPr>
        <w:t>The Corporate Governance Role of Financial Institutions in Their Investee Companies</w:t>
      </w:r>
      <w:r>
        <w:rPr>
          <w:rFonts w:ascii="Times New Roman" w:hAnsi="Times New Roman" w:cs="Times New Roman"/>
          <w:sz w:val="20"/>
          <w:szCs w:val="20"/>
        </w:rPr>
        <w:t xml:space="preserve">, </w:t>
      </w:r>
      <w:r>
        <w:rPr>
          <w:rFonts w:ascii="Times New Roman" w:hAnsi="Times New Roman" w:cs="Times New Roman"/>
          <w:i/>
          <w:sz w:val="20"/>
          <w:szCs w:val="20"/>
        </w:rPr>
        <w:t xml:space="preserve">ACCA Research Report 46 </w:t>
      </w:r>
      <w:r w:rsidRPr="001C32F4">
        <w:rPr>
          <w:rFonts w:ascii="Times New Roman" w:hAnsi="Times New Roman" w:cs="Times New Roman"/>
          <w:sz w:val="20"/>
          <w:szCs w:val="20"/>
        </w:rPr>
        <w:t>26</w:t>
      </w:r>
      <w:r w:rsidRPr="009975EA">
        <w:rPr>
          <w:rFonts w:ascii="Times New Roman" w:hAnsi="Times New Roman" w:cs="Times New Roman"/>
          <w:sz w:val="20"/>
          <w:szCs w:val="20"/>
        </w:rPr>
        <w:t xml:space="preserve"> </w:t>
      </w:r>
      <w:r>
        <w:rPr>
          <w:rFonts w:ascii="Times New Roman" w:hAnsi="Times New Roman" w:cs="Times New Roman"/>
          <w:sz w:val="20"/>
          <w:szCs w:val="20"/>
        </w:rPr>
        <w:t>(1995)</w:t>
      </w:r>
      <w:r w:rsidRPr="009975EA">
        <w:rPr>
          <w:rFonts w:ascii="Times New Roman" w:hAnsi="Times New Roman" w:cs="Times New Roman"/>
          <w:sz w:val="20"/>
          <w:szCs w:val="20"/>
        </w:rPr>
        <w:t>.</w:t>
      </w:r>
    </w:p>
  </w:footnote>
  <w:footnote w:id="188">
    <w:p w14:paraId="3BC72980"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Holland, p. 32.</w:t>
      </w:r>
    </w:p>
  </w:footnote>
  <w:footnote w:id="189">
    <w:p w14:paraId="628FDC54"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Holland, p.33.</w:t>
      </w:r>
    </w:p>
  </w:footnote>
  <w:footnote w:id="190">
    <w:p w14:paraId="440471A2"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Holland, p. 48.</w:t>
      </w:r>
    </w:p>
  </w:footnote>
  <w:footnote w:id="191">
    <w:p w14:paraId="79883C00"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Holland, p.35.</w:t>
      </w:r>
    </w:p>
  </w:footnote>
  <w:footnote w:id="192">
    <w:p w14:paraId="7A72B845"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McCahery</w:t>
      </w:r>
      <w:proofErr w:type="spellEnd"/>
      <w:r w:rsidRPr="009975EA">
        <w:rPr>
          <w:rFonts w:ascii="Times New Roman" w:hAnsi="Times New Roman" w:cs="Times New Roman"/>
          <w:sz w:val="20"/>
          <w:szCs w:val="20"/>
        </w:rPr>
        <w:t>, et. al, p.1.</w:t>
      </w:r>
    </w:p>
  </w:footnote>
  <w:footnote w:id="193">
    <w:p w14:paraId="1E141B0A"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McCahery</w:t>
      </w:r>
      <w:proofErr w:type="spellEnd"/>
      <w:r w:rsidRPr="009975EA">
        <w:rPr>
          <w:rFonts w:ascii="Times New Roman" w:hAnsi="Times New Roman" w:cs="Times New Roman"/>
          <w:sz w:val="20"/>
          <w:szCs w:val="20"/>
        </w:rPr>
        <w:t>, et. al, p.8.</w:t>
      </w:r>
    </w:p>
  </w:footnote>
  <w:footnote w:id="194">
    <w:p w14:paraId="045E1EBC"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McCahery</w:t>
      </w:r>
      <w:proofErr w:type="spellEnd"/>
      <w:r w:rsidRPr="009975EA">
        <w:rPr>
          <w:rFonts w:ascii="Times New Roman" w:hAnsi="Times New Roman" w:cs="Times New Roman"/>
          <w:sz w:val="20"/>
          <w:szCs w:val="20"/>
        </w:rPr>
        <w:t>, et. al, p.8.</w:t>
      </w:r>
    </w:p>
  </w:footnote>
  <w:footnote w:id="195">
    <w:p w14:paraId="29CDCC71"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Our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results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consistent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studies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individual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institutions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engage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behind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scenes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Carleton</w:t>
      </w:r>
      <w:proofErr w:type="spellEnd"/>
      <w:r w:rsidRPr="009975EA">
        <w:rPr>
          <w:rFonts w:ascii="Times New Roman" w:hAnsi="Times New Roman" w:cs="Times New Roman"/>
          <w:color w:val="000000"/>
          <w:sz w:val="20"/>
          <w:szCs w:val="20"/>
        </w:rPr>
        <w:t xml:space="preserve">, Nelson,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Weisbach</w:t>
      </w:r>
      <w:proofErr w:type="spellEnd"/>
      <w:r w:rsidRPr="009975EA">
        <w:rPr>
          <w:rFonts w:ascii="Times New Roman" w:hAnsi="Times New Roman" w:cs="Times New Roman"/>
          <w:color w:val="000000"/>
          <w:sz w:val="20"/>
          <w:szCs w:val="20"/>
        </w:rPr>
        <w:t xml:space="preserve"> (1998), </w:t>
      </w:r>
      <w:proofErr w:type="spellStart"/>
      <w:r w:rsidRPr="009975EA">
        <w:rPr>
          <w:rFonts w:ascii="Times New Roman" w:hAnsi="Times New Roman" w:cs="Times New Roman"/>
          <w:color w:val="000000"/>
          <w:sz w:val="20"/>
          <w:szCs w:val="20"/>
        </w:rPr>
        <w:t>Becht</w:t>
      </w:r>
      <w:proofErr w:type="spellEnd"/>
      <w:r w:rsidRPr="009975EA">
        <w:rPr>
          <w:rFonts w:ascii="Times New Roman" w:hAnsi="Times New Roman" w:cs="Times New Roman"/>
          <w:color w:val="000000"/>
          <w:sz w:val="20"/>
          <w:szCs w:val="20"/>
        </w:rPr>
        <w:t xml:space="preserve"> et al. (2009),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Dimson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Karakas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w:t>
      </w:r>
      <w:proofErr w:type="spellEnd"/>
      <w:r w:rsidRPr="009975EA">
        <w:rPr>
          <w:rFonts w:ascii="Times New Roman" w:hAnsi="Times New Roman" w:cs="Times New Roman"/>
          <w:color w:val="000000"/>
          <w:sz w:val="20"/>
          <w:szCs w:val="20"/>
        </w:rPr>
        <w:t xml:space="preserve"> (2014)),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Brav</w:t>
      </w:r>
      <w:proofErr w:type="spellEnd"/>
      <w:r w:rsidRPr="009975EA">
        <w:rPr>
          <w:rFonts w:ascii="Times New Roman" w:hAnsi="Times New Roman" w:cs="Times New Roman"/>
          <w:color w:val="000000"/>
          <w:sz w:val="20"/>
          <w:szCs w:val="20"/>
        </w:rPr>
        <w:t xml:space="preserve"> et al. (</w:t>
      </w:r>
      <w:proofErr w:type="gramStart"/>
      <w:r w:rsidRPr="009975EA">
        <w:rPr>
          <w:rFonts w:ascii="Times New Roman" w:hAnsi="Times New Roman" w:cs="Times New Roman"/>
          <w:color w:val="000000"/>
          <w:sz w:val="20"/>
          <w:szCs w:val="20"/>
        </w:rPr>
        <w:t>2008a</w:t>
      </w:r>
      <w:proofErr w:type="gram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document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hedge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funds</w:t>
      </w:r>
      <w:proofErr w:type="spellEnd"/>
      <w:r w:rsidRPr="009975EA">
        <w:rPr>
          <w:rFonts w:ascii="Times New Roman" w:hAnsi="Times New Roman" w:cs="Times New Roman"/>
          <w:color w:val="000000"/>
          <w:sz w:val="20"/>
          <w:szCs w:val="20"/>
        </w:rPr>
        <w:t xml:space="preserve"> (48% of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sample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very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active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seeking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communication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results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suggest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private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discussions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restricted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particular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types</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rather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general </w:t>
      </w:r>
      <w:proofErr w:type="spellStart"/>
      <w:r w:rsidRPr="009975EA">
        <w:rPr>
          <w:rFonts w:ascii="Times New Roman" w:hAnsi="Times New Roman" w:cs="Times New Roman"/>
          <w:color w:val="000000"/>
          <w:sz w:val="20"/>
          <w:szCs w:val="20"/>
        </w:rPr>
        <w:t>phenomenon</w:t>
      </w:r>
      <w:proofErr w:type="spellEnd"/>
      <w:r w:rsidRPr="009975EA">
        <w:rPr>
          <w:rFonts w:ascii="Times New Roman" w:hAnsi="Times New Roman" w:cs="Times New Roman"/>
          <w:color w:val="000000"/>
          <w:sz w:val="20"/>
          <w:szCs w:val="20"/>
        </w:rPr>
        <w:t xml:space="preserve">.” </w:t>
      </w:r>
      <w:r w:rsidRPr="009975EA">
        <w:rPr>
          <w:rFonts w:ascii="Times New Roman" w:hAnsi="Times New Roman" w:cs="Times New Roman"/>
          <w:sz w:val="20"/>
          <w:szCs w:val="20"/>
        </w:rPr>
        <w:t>p.8.</w:t>
      </w:r>
    </w:p>
  </w:footnote>
  <w:footnote w:id="196">
    <w:p w14:paraId="5728E317" w14:textId="5CE5386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Michaell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Edkins</w:t>
      </w:r>
      <w:proofErr w:type="spellEnd"/>
      <w:r w:rsidRPr="009975EA">
        <w:rPr>
          <w:rFonts w:ascii="Times New Roman" w:hAnsi="Times New Roman" w:cs="Times New Roman"/>
          <w:sz w:val="20"/>
          <w:szCs w:val="20"/>
        </w:rPr>
        <w:t xml:space="preserve">, global </w:t>
      </w:r>
      <w:proofErr w:type="spellStart"/>
      <w:r w:rsidRPr="009975EA">
        <w:rPr>
          <w:rFonts w:ascii="Times New Roman" w:hAnsi="Times New Roman" w:cs="Times New Roman"/>
          <w:sz w:val="20"/>
          <w:szCs w:val="20"/>
        </w:rPr>
        <w:t>head</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governance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responsible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investment</w:t>
      </w:r>
      <w:proofErr w:type="spellEnd"/>
      <w:r w:rsidRPr="009975EA">
        <w:rPr>
          <w:rFonts w:ascii="Times New Roman" w:hAnsi="Times New Roman" w:cs="Times New Roman"/>
          <w:sz w:val="20"/>
          <w:szCs w:val="20"/>
        </w:rPr>
        <w:t xml:space="preserve"> at </w:t>
      </w:r>
      <w:proofErr w:type="spellStart"/>
      <w:r w:rsidRPr="009975EA">
        <w:rPr>
          <w:rFonts w:ascii="Times New Roman" w:hAnsi="Times New Roman" w:cs="Times New Roman"/>
          <w:sz w:val="20"/>
          <w:szCs w:val="20"/>
        </w:rPr>
        <w:t>Blackrock</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our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experience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private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engagement</w:t>
      </w:r>
      <w:proofErr w:type="spellEnd"/>
      <w:r w:rsidRPr="009975EA">
        <w:rPr>
          <w:rFonts w:ascii="Times New Roman" w:hAnsi="Times New Roman" w:cs="Times New Roman"/>
          <w:sz w:val="20"/>
          <w:szCs w:val="20"/>
        </w:rPr>
        <w:t xml:space="preserve">) has a </w:t>
      </w:r>
      <w:proofErr w:type="spellStart"/>
      <w:r w:rsidRPr="009975EA">
        <w:rPr>
          <w:rFonts w:ascii="Times New Roman" w:hAnsi="Times New Roman" w:cs="Times New Roman"/>
          <w:sz w:val="20"/>
          <w:szCs w:val="20"/>
        </w:rPr>
        <w:t>degree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traction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management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we</w:t>
      </w:r>
      <w:proofErr w:type="spellEnd"/>
      <w:r w:rsidRPr="009975EA">
        <w:rPr>
          <w:rFonts w:ascii="Times New Roman" w:hAnsi="Times New Roman" w:cs="Times New Roman"/>
          <w:sz w:val="20"/>
          <w:szCs w:val="20"/>
        </w:rPr>
        <w:t xml:space="preserve"> can </w:t>
      </w:r>
      <w:proofErr w:type="spellStart"/>
      <w:r w:rsidRPr="009975EA">
        <w:rPr>
          <w:rFonts w:ascii="Times New Roman" w:hAnsi="Times New Roman" w:cs="Times New Roman"/>
          <w:sz w:val="20"/>
          <w:szCs w:val="20"/>
        </w:rPr>
        <w:t>raise</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issue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having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dictate</w:t>
      </w:r>
      <w:proofErr w:type="spellEnd"/>
      <w:r w:rsidRPr="009975EA">
        <w:rPr>
          <w:rFonts w:ascii="Times New Roman" w:hAnsi="Times New Roman" w:cs="Times New Roman"/>
          <w:sz w:val="20"/>
          <w:szCs w:val="20"/>
        </w:rPr>
        <w:t xml:space="preserve"> how </w:t>
      </w:r>
      <w:proofErr w:type="spellStart"/>
      <w:r w:rsidRPr="009975EA">
        <w:rPr>
          <w:rFonts w:ascii="Times New Roman" w:hAnsi="Times New Roman" w:cs="Times New Roman"/>
          <w:sz w:val="20"/>
          <w:szCs w:val="20"/>
        </w:rPr>
        <w:t>management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should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address</w:t>
      </w:r>
      <w:proofErr w:type="spellEnd"/>
      <w:r w:rsidRPr="009975EA">
        <w:rPr>
          <w:rFonts w:ascii="Times New Roman" w:hAnsi="Times New Roman" w:cs="Times New Roman"/>
          <w:sz w:val="20"/>
          <w:szCs w:val="20"/>
        </w:rPr>
        <w:t xml:space="preserve"> it.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way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always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weakness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proposal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route</w:t>
      </w:r>
      <w:proofErr w:type="spellEnd"/>
      <w:r w:rsidRPr="009975EA">
        <w:rPr>
          <w:rFonts w:ascii="Times New Roman" w:hAnsi="Times New Roman" w:cs="Times New Roman"/>
          <w:sz w:val="20"/>
          <w:szCs w:val="20"/>
        </w:rPr>
        <w:t>.”</w:t>
      </w:r>
      <w:r>
        <w:rPr>
          <w:rFonts w:ascii="Times New Roman" w:hAnsi="Times New Roman" w:cs="Times New Roman"/>
          <w:sz w:val="20"/>
          <w:szCs w:val="20"/>
        </w:rPr>
        <w:t xml:space="preserve"> </w:t>
      </w:r>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Barry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Burr</w:t>
      </w:r>
      <w:proofErr w:type="spellEnd"/>
      <w:r w:rsidRPr="009975EA">
        <w:rPr>
          <w:rFonts w:ascii="Times New Roman" w:hAnsi="Times New Roman" w:cs="Times New Roman"/>
          <w:sz w:val="20"/>
          <w:szCs w:val="20"/>
        </w:rPr>
        <w:t xml:space="preserve">, </w:t>
      </w:r>
      <w:r w:rsidRPr="001C32F4">
        <w:rPr>
          <w:rFonts w:ascii="Times New Roman" w:hAnsi="Times New Roman" w:cs="Times New Roman"/>
          <w:i/>
          <w:sz w:val="20"/>
          <w:szCs w:val="20"/>
        </w:rPr>
        <w:t xml:space="preserve">Money </w:t>
      </w:r>
      <w:proofErr w:type="spellStart"/>
      <w:r w:rsidRPr="001C32F4">
        <w:rPr>
          <w:rFonts w:ascii="Times New Roman" w:hAnsi="Times New Roman" w:cs="Times New Roman"/>
          <w:i/>
          <w:sz w:val="20"/>
          <w:szCs w:val="20"/>
        </w:rPr>
        <w:t>Managers</w:t>
      </w:r>
      <w:proofErr w:type="spellEnd"/>
      <w:r w:rsidRPr="001C32F4">
        <w:rPr>
          <w:rFonts w:ascii="Times New Roman" w:hAnsi="Times New Roman" w:cs="Times New Roman"/>
          <w:i/>
          <w:sz w:val="20"/>
          <w:szCs w:val="20"/>
        </w:rPr>
        <w:t xml:space="preserve"> </w:t>
      </w:r>
      <w:proofErr w:type="spellStart"/>
      <w:r w:rsidRPr="001C32F4">
        <w:rPr>
          <w:rFonts w:ascii="Times New Roman" w:hAnsi="Times New Roman" w:cs="Times New Roman"/>
          <w:i/>
          <w:sz w:val="20"/>
          <w:szCs w:val="20"/>
        </w:rPr>
        <w:t>increasing</w:t>
      </w:r>
      <w:proofErr w:type="spellEnd"/>
      <w:r w:rsidRPr="001C32F4">
        <w:rPr>
          <w:rFonts w:ascii="Times New Roman" w:hAnsi="Times New Roman" w:cs="Times New Roman"/>
          <w:i/>
          <w:sz w:val="20"/>
          <w:szCs w:val="20"/>
        </w:rPr>
        <w:t xml:space="preserve"> </w:t>
      </w:r>
      <w:proofErr w:type="spellStart"/>
      <w:r w:rsidRPr="001C32F4">
        <w:rPr>
          <w:rFonts w:ascii="Times New Roman" w:hAnsi="Times New Roman" w:cs="Times New Roman"/>
          <w:i/>
          <w:sz w:val="20"/>
          <w:szCs w:val="20"/>
        </w:rPr>
        <w:t>activism</w:t>
      </w:r>
      <w:proofErr w:type="spellEnd"/>
      <w:r w:rsidRPr="001C32F4">
        <w:rPr>
          <w:rFonts w:ascii="Times New Roman" w:hAnsi="Times New Roman" w:cs="Times New Roman"/>
          <w:i/>
          <w:sz w:val="20"/>
          <w:szCs w:val="20"/>
        </w:rPr>
        <w:t xml:space="preserve"> on </w:t>
      </w:r>
      <w:proofErr w:type="spellStart"/>
      <w:r w:rsidRPr="001C32F4">
        <w:rPr>
          <w:rFonts w:ascii="Times New Roman" w:hAnsi="Times New Roman" w:cs="Times New Roman"/>
          <w:i/>
          <w:sz w:val="20"/>
          <w:szCs w:val="20"/>
        </w:rPr>
        <w:t>governance</w:t>
      </w:r>
      <w:proofErr w:type="spellEnd"/>
      <w:r w:rsidRPr="001C32F4">
        <w:rPr>
          <w:rFonts w:ascii="Times New Roman" w:hAnsi="Times New Roman" w:cs="Times New Roman"/>
          <w:i/>
          <w:sz w:val="20"/>
          <w:szCs w:val="20"/>
        </w:rPr>
        <w:t xml:space="preserve">- but </w:t>
      </w:r>
      <w:proofErr w:type="spellStart"/>
      <w:r w:rsidRPr="001C32F4">
        <w:rPr>
          <w:rFonts w:ascii="Times New Roman" w:hAnsi="Times New Roman" w:cs="Times New Roman"/>
          <w:i/>
          <w:sz w:val="20"/>
          <w:szCs w:val="20"/>
        </w:rPr>
        <w:t>quietly</w:t>
      </w:r>
      <w:proofErr w:type="spellEnd"/>
      <w:r w:rsidRPr="001C32F4">
        <w:rPr>
          <w:rFonts w:ascii="Times New Roman" w:hAnsi="Times New Roman" w:cs="Times New Roman"/>
          <w:i/>
          <w:sz w:val="20"/>
          <w:szCs w:val="20"/>
        </w:rPr>
        <w:t xml:space="preserve">, </w:t>
      </w:r>
      <w:proofErr w:type="spellStart"/>
      <w:r w:rsidRPr="001C32F4">
        <w:rPr>
          <w:rFonts w:ascii="Times New Roman" w:hAnsi="Times New Roman" w:cs="Times New Roman"/>
          <w:i/>
          <w:sz w:val="20"/>
          <w:szCs w:val="20"/>
        </w:rPr>
        <w:t>Pensions</w:t>
      </w:r>
      <w:proofErr w:type="spellEnd"/>
      <w:r w:rsidRPr="001C32F4">
        <w:rPr>
          <w:rFonts w:ascii="Times New Roman" w:hAnsi="Times New Roman" w:cs="Times New Roman"/>
          <w:i/>
          <w:sz w:val="20"/>
          <w:szCs w:val="20"/>
        </w:rPr>
        <w:t xml:space="preserve"> </w:t>
      </w:r>
      <w:proofErr w:type="spellStart"/>
      <w:r w:rsidRPr="001C32F4">
        <w:rPr>
          <w:rFonts w:ascii="Times New Roman" w:hAnsi="Times New Roman" w:cs="Times New Roman"/>
          <w:i/>
          <w:sz w:val="20"/>
          <w:szCs w:val="20"/>
        </w:rPr>
        <w:t>and</w:t>
      </w:r>
      <w:proofErr w:type="spellEnd"/>
      <w:r w:rsidRPr="001C32F4">
        <w:rPr>
          <w:rFonts w:ascii="Times New Roman" w:hAnsi="Times New Roman" w:cs="Times New Roman"/>
          <w:i/>
          <w:sz w:val="20"/>
          <w:szCs w:val="20"/>
        </w:rPr>
        <w:t xml:space="preserve"> </w:t>
      </w:r>
      <w:proofErr w:type="spellStart"/>
      <w:r w:rsidRPr="001C32F4">
        <w:rPr>
          <w:rFonts w:ascii="Times New Roman" w:hAnsi="Times New Roman" w:cs="Times New Roman"/>
          <w:i/>
          <w:sz w:val="20"/>
          <w:szCs w:val="20"/>
        </w:rPr>
        <w:t>Investments</w:t>
      </w:r>
      <w:proofErr w:type="spellEnd"/>
      <w:r w:rsidRPr="009975EA">
        <w:rPr>
          <w:rFonts w:ascii="Times New Roman" w:hAnsi="Times New Roman" w:cs="Times New Roman"/>
          <w:sz w:val="20"/>
          <w:szCs w:val="20"/>
        </w:rPr>
        <w:t xml:space="preserve">, </w:t>
      </w:r>
      <w:r w:rsidRPr="009975EA">
        <w:rPr>
          <w:rFonts w:ascii="Times New Roman" w:hAnsi="Times New Roman" w:cs="Times New Roman"/>
          <w:color w:val="0000FF"/>
          <w:sz w:val="20"/>
          <w:szCs w:val="20"/>
        </w:rPr>
        <w:t>http://www.pionline.com/article/20120319/PRINT/303199980/moneyM managersMincreasingMactivismM</w:t>
      </w:r>
      <w:r>
        <w:rPr>
          <w:rFonts w:ascii="Times New Roman" w:hAnsi="Times New Roman" w:cs="Times New Roman"/>
          <w:color w:val="0000FF"/>
          <w:sz w:val="20"/>
          <w:szCs w:val="20"/>
        </w:rPr>
        <w:t xml:space="preserve">onMgovernanceM8212MbutMquietly, </w:t>
      </w:r>
      <w:proofErr w:type="spellStart"/>
      <w:r>
        <w:rPr>
          <w:rFonts w:ascii="Times New Roman" w:hAnsi="Times New Roman" w:cs="Times New Roman"/>
          <w:color w:val="000000" w:themeColor="text1"/>
          <w:sz w:val="20"/>
          <w:szCs w:val="20"/>
        </w:rPr>
        <w:t>Last</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visited</w:t>
      </w:r>
      <w:proofErr w:type="spellEnd"/>
      <w:r>
        <w:rPr>
          <w:rFonts w:ascii="Times New Roman" w:hAnsi="Times New Roman" w:cs="Times New Roman"/>
          <w:color w:val="000000" w:themeColor="text1"/>
          <w:sz w:val="20"/>
          <w:szCs w:val="20"/>
        </w:rPr>
        <w:t>: 10/10/2016</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w:t>
      </w:r>
      <w:proofErr w:type="gramStart"/>
      <w:r w:rsidRPr="009975EA">
        <w:rPr>
          <w:rFonts w:ascii="Times New Roman" w:hAnsi="Times New Roman" w:cs="Times New Roman"/>
          <w:sz w:val="20"/>
          <w:szCs w:val="20"/>
        </w:rPr>
        <w:t>Pound</w:t>
      </w:r>
      <w:proofErr w:type="gramEnd"/>
      <w:r w:rsidRPr="009975EA">
        <w:rPr>
          <w:rFonts w:ascii="Times New Roman" w:hAnsi="Times New Roman" w:cs="Times New Roman"/>
          <w:sz w:val="20"/>
          <w:szCs w:val="20"/>
        </w:rPr>
        <w:t xml:space="preserve">, p. 1054- 1057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Anabtawi</w:t>
      </w:r>
      <w:proofErr w:type="spellEnd"/>
      <w:r w:rsidRPr="009975EA">
        <w:rPr>
          <w:rFonts w:ascii="Times New Roman" w:hAnsi="Times New Roman" w:cs="Times New Roman"/>
          <w:sz w:val="20"/>
          <w:szCs w:val="20"/>
        </w:rPr>
        <w:t>, p.597.</w:t>
      </w:r>
    </w:p>
  </w:footnote>
  <w:footnote w:id="197">
    <w:p w14:paraId="596EAA83"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U.S. securities law, Item 407(f) of Regulation S- K requires corporations to disclose whether its board of directors provides a process for shareholders to send communications to the board. However, this regulation does not require the </w:t>
      </w:r>
      <w:proofErr w:type="gramStart"/>
      <w:r w:rsidRPr="009975EA">
        <w:rPr>
          <w:rFonts w:ascii="Times New Roman" w:hAnsi="Times New Roman" w:cs="Times New Roman"/>
          <w:sz w:val="20"/>
          <w:szCs w:val="20"/>
        </w:rPr>
        <w:t>presence</w:t>
      </w:r>
      <w:proofErr w:type="gramEnd"/>
      <w:r w:rsidRPr="009975EA">
        <w:rPr>
          <w:rFonts w:ascii="Times New Roman" w:hAnsi="Times New Roman" w:cs="Times New Roman"/>
          <w:sz w:val="20"/>
          <w:szCs w:val="20"/>
        </w:rPr>
        <w:t xml:space="preserve"> or the content of the communication be disclosed. For solicitation rules, see: 17 CFR 240.14-1 to 13.</w:t>
      </w:r>
    </w:p>
  </w:footnote>
  <w:footnote w:id="198">
    <w:p w14:paraId="2FE359E2" w14:textId="0DEF723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 commentator, writing in another context, states the following: “At most, it might be argued that future shareholders should not be misled about the scope of a company’s powers and that, since it is legitimate for them to assume that the company enjoys the full range of statutory powers, the absence of any indication to the contrary is positively misleading…” (Eilis </w:t>
      </w:r>
      <w:proofErr w:type="spellStart"/>
      <w:r w:rsidRPr="009975EA">
        <w:rPr>
          <w:rFonts w:ascii="Times New Roman" w:hAnsi="Times New Roman" w:cs="Times New Roman"/>
          <w:sz w:val="20"/>
          <w:szCs w:val="20"/>
        </w:rPr>
        <w:t>Ferran</w:t>
      </w:r>
      <w:proofErr w:type="spellEnd"/>
      <w:r w:rsidRPr="009975EA">
        <w:rPr>
          <w:rFonts w:ascii="Times New Roman" w:hAnsi="Times New Roman" w:cs="Times New Roman"/>
          <w:sz w:val="20"/>
          <w:szCs w:val="20"/>
        </w:rPr>
        <w:t xml:space="preserve">, </w:t>
      </w:r>
      <w:r w:rsidRPr="001C32F4">
        <w:rPr>
          <w:rFonts w:ascii="Times New Roman" w:hAnsi="Times New Roman" w:cs="Times New Roman"/>
          <w:i/>
          <w:sz w:val="20"/>
          <w:szCs w:val="20"/>
        </w:rPr>
        <w:t>The Decision of the House of Lords in Russell v. Northern Bank Development Corporation Limited,</w:t>
      </w:r>
      <w:r w:rsidRPr="009975EA">
        <w:rPr>
          <w:rFonts w:ascii="Times New Roman" w:hAnsi="Times New Roman" w:cs="Times New Roman"/>
          <w:sz w:val="20"/>
          <w:szCs w:val="20"/>
        </w:rPr>
        <w:t xml:space="preserve"> </w:t>
      </w:r>
      <w:r>
        <w:rPr>
          <w:rFonts w:ascii="Times New Roman" w:hAnsi="Times New Roman" w:cs="Times New Roman"/>
          <w:sz w:val="20"/>
          <w:szCs w:val="20"/>
        </w:rPr>
        <w:t xml:space="preserve">53 Cambridge L.J. 343 (1994) </w:t>
      </w:r>
      <w:r w:rsidR="00F37175">
        <w:rPr>
          <w:rFonts w:ascii="Times New Roman" w:hAnsi="Times New Roman" w:cs="Times New Roman"/>
          <w:sz w:val="20"/>
          <w:szCs w:val="20"/>
        </w:rPr>
        <w:t>p.</w:t>
      </w:r>
      <w:r w:rsidRPr="009975EA">
        <w:rPr>
          <w:rFonts w:ascii="Times New Roman" w:hAnsi="Times New Roman" w:cs="Times New Roman"/>
          <w:sz w:val="20"/>
          <w:szCs w:val="20"/>
        </w:rPr>
        <w:t xml:space="preserve"> 365)</w:t>
      </w:r>
    </w:p>
  </w:footnote>
  <w:footnote w:id="199">
    <w:p w14:paraId="05904F31" w14:textId="77777777" w:rsidR="00D36541" w:rsidRPr="009975EA" w:rsidRDefault="00D36541" w:rsidP="009975EA">
      <w:pPr>
        <w:pStyle w:val="DipnotMetni"/>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themeColor="text1"/>
          <w:sz w:val="20"/>
          <w:szCs w:val="20"/>
        </w:rPr>
        <w:t>It is beyond this study’s scope to suggest any “art of persuasion” for plaintiffs.</w:t>
      </w:r>
    </w:p>
  </w:footnote>
  <w:footnote w:id="200">
    <w:p w14:paraId="62F45D1C" w14:textId="35FDB77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 shadow director is a person in accordance with whose directions or instructions the directors of the corporation are accustomed to act” (Ian M. Ramsay, </w:t>
      </w:r>
      <w:r w:rsidRPr="001C32F4">
        <w:rPr>
          <w:rFonts w:ascii="Times New Roman" w:hAnsi="Times New Roman" w:cs="Times New Roman"/>
          <w:i/>
          <w:sz w:val="20"/>
          <w:szCs w:val="20"/>
        </w:rPr>
        <w:t>Allocating Liability in Corporate Groups: An Australian Perspective,</w:t>
      </w:r>
      <w:r w:rsidRPr="009975EA">
        <w:rPr>
          <w:rFonts w:ascii="Times New Roman" w:hAnsi="Times New Roman" w:cs="Times New Roman"/>
          <w:sz w:val="20"/>
          <w:szCs w:val="20"/>
        </w:rPr>
        <w:t xml:space="preserve"> 13 C</w:t>
      </w:r>
      <w:r>
        <w:rPr>
          <w:rFonts w:ascii="Times New Roman" w:hAnsi="Times New Roman" w:cs="Times New Roman"/>
          <w:sz w:val="20"/>
          <w:szCs w:val="20"/>
        </w:rPr>
        <w:t xml:space="preserve">onn. J. Int’l L. 329 (1999), </w:t>
      </w:r>
      <w:r w:rsidR="00F37175">
        <w:rPr>
          <w:rFonts w:ascii="Times New Roman" w:hAnsi="Times New Roman" w:cs="Times New Roman"/>
          <w:sz w:val="20"/>
          <w:szCs w:val="20"/>
        </w:rPr>
        <w:t>p.</w:t>
      </w:r>
      <w:r w:rsidRPr="009975EA">
        <w:rPr>
          <w:rFonts w:ascii="Times New Roman" w:hAnsi="Times New Roman" w:cs="Times New Roman"/>
          <w:sz w:val="20"/>
          <w:szCs w:val="20"/>
        </w:rPr>
        <w:t xml:space="preserve"> 350). </w:t>
      </w:r>
    </w:p>
  </w:footnote>
  <w:footnote w:id="201">
    <w:p w14:paraId="0F1D75AA" w14:textId="22386150" w:rsidR="00D36541" w:rsidRPr="009975EA" w:rsidRDefault="00D36541" w:rsidP="009975EA">
      <w:pPr>
        <w:pStyle w:val="p1"/>
        <w:jc w:val="both"/>
        <w:rPr>
          <w:rFonts w:ascii="Times New Roman" w:hAnsi="Times New Roman" w:cs="Times New Roman"/>
          <w:color w:val="auto"/>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example</w:t>
      </w:r>
      <w:proofErr w:type="spellEnd"/>
      <w:r w:rsidRPr="009975EA">
        <w:rPr>
          <w:rFonts w:ascii="Times New Roman" w:hAnsi="Times New Roman" w:cs="Times New Roman"/>
          <w:color w:val="000000" w:themeColor="text1"/>
          <w:sz w:val="20"/>
          <w:szCs w:val="20"/>
        </w:rPr>
        <w:t xml:space="preserve">, Donald </w:t>
      </w:r>
      <w:proofErr w:type="spellStart"/>
      <w:r w:rsidRPr="009975EA">
        <w:rPr>
          <w:rFonts w:ascii="Times New Roman" w:hAnsi="Times New Roman" w:cs="Times New Roman"/>
          <w:color w:val="000000" w:themeColor="text1"/>
          <w:sz w:val="20"/>
          <w:szCs w:val="20"/>
        </w:rPr>
        <w:t>Trump’s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harsh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comments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about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Mexican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immigrants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Macy’s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decided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stop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sell</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Trump</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branded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clothing</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its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stores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Shan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Li</w:t>
      </w:r>
      <w:proofErr w:type="spellEnd"/>
      <w:r w:rsidRPr="009975EA">
        <w:rPr>
          <w:rFonts w:ascii="Times New Roman" w:hAnsi="Times New Roman" w:cs="Times New Roman"/>
          <w:color w:val="000000" w:themeColor="text1"/>
          <w:sz w:val="20"/>
          <w:szCs w:val="20"/>
        </w:rPr>
        <w:t>/</w:t>
      </w:r>
      <w:proofErr w:type="spellStart"/>
      <w:r w:rsidRPr="009975EA">
        <w:rPr>
          <w:rFonts w:ascii="Times New Roman" w:hAnsi="Times New Roman" w:cs="Times New Roman"/>
          <w:color w:val="000000" w:themeColor="text1"/>
          <w:sz w:val="20"/>
          <w:szCs w:val="20"/>
        </w:rPr>
        <w:t>Stephen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Battaglio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Trump’s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losses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mount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after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incendiary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remarks</w:t>
      </w:r>
      <w:proofErr w:type="spellEnd"/>
      <w:r w:rsidRPr="009975EA">
        <w:rPr>
          <w:rFonts w:ascii="Times New Roman" w:hAnsi="Times New Roman" w:cs="Times New Roman"/>
          <w:color w:val="000000" w:themeColor="text1"/>
          <w:sz w:val="20"/>
          <w:szCs w:val="20"/>
        </w:rPr>
        <w:t xml:space="preserve">, </w:t>
      </w:r>
      <w:hyperlink r:id="rId53" w:history="1">
        <w:r w:rsidRPr="009975EA">
          <w:rPr>
            <w:rStyle w:val="Kpr"/>
            <w:rFonts w:ascii="Times New Roman" w:hAnsi="Times New Roman" w:cs="Times New Roman"/>
            <w:color w:val="000000" w:themeColor="text1"/>
            <w:sz w:val="20"/>
            <w:szCs w:val="20"/>
          </w:rPr>
          <w:t>http://www.latimes.com/business/la-fi-trump-woes-20150710-story.html</w:t>
        </w:r>
      </w:hyperlink>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Last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visited</w:t>
      </w:r>
      <w:proofErr w:type="spellEnd"/>
      <w:r w:rsidRPr="009975EA">
        <w:rPr>
          <w:rFonts w:ascii="Times New Roman" w:hAnsi="Times New Roman" w:cs="Times New Roman"/>
          <w:color w:val="000000" w:themeColor="text1"/>
          <w:sz w:val="20"/>
          <w:szCs w:val="20"/>
        </w:rPr>
        <w:t xml:space="preserve">: 30/11/2016). </w:t>
      </w:r>
      <w:proofErr w:type="spellStart"/>
      <w:r w:rsidRPr="009975EA">
        <w:rPr>
          <w:rFonts w:ascii="Times New Roman" w:hAnsi="Times New Roman" w:cs="Times New Roman"/>
          <w:color w:val="000000" w:themeColor="text1"/>
          <w:sz w:val="20"/>
          <w:szCs w:val="20"/>
        </w:rPr>
        <w:t>Similarly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some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other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businesses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cancelled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their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contracts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with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entities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owned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Trump</w:t>
      </w:r>
      <w:proofErr w:type="spellEnd"/>
      <w:r w:rsidRPr="009975EA">
        <w:rPr>
          <w:rFonts w:ascii="Times New Roman" w:hAnsi="Times New Roman" w:cs="Times New Roman"/>
          <w:color w:val="000000" w:themeColor="text1"/>
          <w:sz w:val="20"/>
          <w:szCs w:val="20"/>
        </w:rPr>
        <w:t xml:space="preserve"> (Daniel </w:t>
      </w:r>
      <w:proofErr w:type="spellStart"/>
      <w:r w:rsidRPr="009975EA">
        <w:rPr>
          <w:rFonts w:ascii="Times New Roman" w:hAnsi="Times New Roman" w:cs="Times New Roman"/>
          <w:color w:val="000000" w:themeColor="text1"/>
          <w:sz w:val="20"/>
          <w:szCs w:val="20"/>
        </w:rPr>
        <w:t>Bukszpan</w:t>
      </w:r>
      <w:proofErr w:type="spellEnd"/>
      <w:r w:rsidRPr="009975EA">
        <w:rPr>
          <w:rFonts w:ascii="Times New Roman" w:hAnsi="Times New Roman" w:cs="Times New Roman"/>
          <w:color w:val="000000" w:themeColor="text1"/>
          <w:sz w:val="20"/>
          <w:szCs w:val="20"/>
        </w:rPr>
        <w:t xml:space="preserve">, Donald </w:t>
      </w:r>
      <w:proofErr w:type="spellStart"/>
      <w:r w:rsidRPr="009975EA">
        <w:rPr>
          <w:rFonts w:ascii="Times New Roman" w:hAnsi="Times New Roman" w:cs="Times New Roman"/>
          <w:color w:val="000000" w:themeColor="text1"/>
          <w:sz w:val="20"/>
          <w:szCs w:val="20"/>
        </w:rPr>
        <w:t>Trump</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Lost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All</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These</w:t>
      </w:r>
      <w:proofErr w:type="spellEnd"/>
      <w:r w:rsidRPr="009975EA">
        <w:rPr>
          <w:rFonts w:ascii="Times New Roman" w:hAnsi="Times New Roman" w:cs="Times New Roman"/>
          <w:color w:val="000000" w:themeColor="text1"/>
          <w:sz w:val="20"/>
          <w:szCs w:val="20"/>
        </w:rPr>
        <w:t xml:space="preserve"> Business </w:t>
      </w:r>
      <w:proofErr w:type="spellStart"/>
      <w:r w:rsidRPr="009975EA">
        <w:rPr>
          <w:rFonts w:ascii="Times New Roman" w:hAnsi="Times New Roman" w:cs="Times New Roman"/>
          <w:color w:val="000000" w:themeColor="text1"/>
          <w:sz w:val="20"/>
          <w:szCs w:val="20"/>
        </w:rPr>
        <w:t>Deals</w:t>
      </w:r>
      <w:proofErr w:type="spellEnd"/>
      <w:r w:rsidRPr="009975EA">
        <w:rPr>
          <w:rFonts w:ascii="Times New Roman" w:hAnsi="Times New Roman" w:cs="Times New Roman"/>
          <w:color w:val="000000" w:themeColor="text1"/>
          <w:sz w:val="20"/>
          <w:szCs w:val="20"/>
        </w:rPr>
        <w:t xml:space="preserve"> Since </w:t>
      </w:r>
      <w:proofErr w:type="spellStart"/>
      <w:r w:rsidRPr="009975EA">
        <w:rPr>
          <w:rFonts w:ascii="Times New Roman" w:hAnsi="Times New Roman" w:cs="Times New Roman"/>
          <w:color w:val="000000" w:themeColor="text1"/>
          <w:sz w:val="20"/>
          <w:szCs w:val="20"/>
        </w:rPr>
        <w:t>June</w:t>
      </w:r>
      <w:proofErr w:type="spellEnd"/>
      <w:r w:rsidRPr="009975EA">
        <w:rPr>
          <w:rFonts w:ascii="Times New Roman" w:hAnsi="Times New Roman" w:cs="Times New Roman"/>
          <w:color w:val="000000" w:themeColor="text1"/>
          <w:sz w:val="20"/>
          <w:szCs w:val="20"/>
        </w:rPr>
        <w:t xml:space="preserve">, </w:t>
      </w:r>
      <w:hyperlink r:id="rId54" w:history="1">
        <w:r w:rsidRPr="009975EA">
          <w:rPr>
            <w:rStyle w:val="Kpr"/>
            <w:rFonts w:ascii="Times New Roman" w:hAnsi="Times New Roman" w:cs="Times New Roman"/>
            <w:color w:val="000000" w:themeColor="text1"/>
            <w:sz w:val="20"/>
            <w:szCs w:val="20"/>
          </w:rPr>
          <w:t>http://fortune.com/2015/12/17/donald-trump-deals-lost/</w:t>
        </w:r>
      </w:hyperlink>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Last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visited</w:t>
      </w:r>
      <w:proofErr w:type="spellEnd"/>
      <w:r w:rsidRPr="009975EA">
        <w:rPr>
          <w:rFonts w:ascii="Times New Roman" w:hAnsi="Times New Roman" w:cs="Times New Roman"/>
          <w:color w:val="000000" w:themeColor="text1"/>
          <w:sz w:val="20"/>
          <w:szCs w:val="20"/>
        </w:rPr>
        <w:t xml:space="preserve">: 10/10/2016). </w:t>
      </w:r>
      <w:proofErr w:type="spellStart"/>
      <w:r w:rsidRPr="009975EA">
        <w:rPr>
          <w:rFonts w:ascii="Times New Roman" w:hAnsi="Times New Roman" w:cs="Times New Roman"/>
          <w:color w:val="000000" w:themeColor="text1"/>
          <w:sz w:val="20"/>
          <w:szCs w:val="20"/>
        </w:rPr>
        <w:t>Moreover</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December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survey</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American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consumer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opinion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fielded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BAV </w:t>
      </w:r>
      <w:proofErr w:type="spellStart"/>
      <w:r w:rsidRPr="009975EA">
        <w:rPr>
          <w:rFonts w:ascii="Times New Roman" w:hAnsi="Times New Roman" w:cs="Times New Roman"/>
          <w:color w:val="000000" w:themeColor="text1"/>
          <w:sz w:val="20"/>
          <w:szCs w:val="20"/>
        </w:rPr>
        <w:t>Consulting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division</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advertising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marketing </w:t>
      </w:r>
      <w:proofErr w:type="spellStart"/>
      <w:r w:rsidRPr="009975EA">
        <w:rPr>
          <w:rFonts w:ascii="Times New Roman" w:hAnsi="Times New Roman" w:cs="Times New Roman"/>
          <w:color w:val="000000" w:themeColor="text1"/>
          <w:sz w:val="20"/>
          <w:szCs w:val="20"/>
        </w:rPr>
        <w:t>giant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auto"/>
          <w:sz w:val="20"/>
          <w:szCs w:val="20"/>
        </w:rPr>
        <w:t>Young</w:t>
      </w:r>
      <w:proofErr w:type="spellEnd"/>
      <w:r w:rsidRPr="009975EA">
        <w:rPr>
          <w:rFonts w:ascii="Times New Roman" w:hAnsi="Times New Roman" w:cs="Times New Roman"/>
          <w:color w:val="auto"/>
          <w:sz w:val="20"/>
          <w:szCs w:val="20"/>
        </w:rPr>
        <w:t xml:space="preserve"> &amp; </w:t>
      </w:r>
      <w:proofErr w:type="spellStart"/>
      <w:r w:rsidRPr="009975EA">
        <w:rPr>
          <w:rFonts w:ascii="Times New Roman" w:hAnsi="Times New Roman" w:cs="Times New Roman"/>
          <w:color w:val="auto"/>
          <w:sz w:val="20"/>
          <w:szCs w:val="20"/>
        </w:rPr>
        <w:t>Rubicam</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and</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the</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largest</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and</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longest</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running</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study</w:t>
      </w:r>
      <w:proofErr w:type="spellEnd"/>
      <w:r w:rsidRPr="009975EA">
        <w:rPr>
          <w:rFonts w:ascii="Times New Roman" w:hAnsi="Times New Roman" w:cs="Times New Roman"/>
          <w:color w:val="auto"/>
          <w:sz w:val="20"/>
          <w:szCs w:val="20"/>
        </w:rPr>
        <w:t xml:space="preserve"> of </w:t>
      </w:r>
      <w:proofErr w:type="spellStart"/>
      <w:r w:rsidRPr="009975EA">
        <w:rPr>
          <w:rFonts w:ascii="Times New Roman" w:hAnsi="Times New Roman" w:cs="Times New Roman"/>
          <w:color w:val="auto"/>
          <w:sz w:val="20"/>
          <w:szCs w:val="20"/>
        </w:rPr>
        <w:t>brands</w:t>
      </w:r>
      <w:proofErr w:type="spellEnd"/>
      <w:r w:rsidRPr="009975EA">
        <w:rPr>
          <w:rFonts w:ascii="Times New Roman" w:hAnsi="Times New Roman" w:cs="Times New Roman"/>
          <w:color w:val="auto"/>
          <w:sz w:val="20"/>
          <w:szCs w:val="20"/>
        </w:rPr>
        <w:t xml:space="preserve"> in </w:t>
      </w:r>
      <w:proofErr w:type="spellStart"/>
      <w:r w:rsidRPr="009975EA">
        <w:rPr>
          <w:rFonts w:ascii="Times New Roman" w:hAnsi="Times New Roman" w:cs="Times New Roman"/>
          <w:color w:val="auto"/>
          <w:sz w:val="20"/>
          <w:szCs w:val="20"/>
        </w:rPr>
        <w:t>the</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world</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found</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that</w:t>
      </w:r>
      <w:proofErr w:type="spellEnd"/>
      <w:r w:rsidRPr="009975EA">
        <w:rPr>
          <w:rFonts w:ascii="Times New Roman" w:hAnsi="Times New Roman" w:cs="Times New Roman"/>
          <w:color w:val="auto"/>
          <w:sz w:val="20"/>
          <w:szCs w:val="20"/>
        </w:rPr>
        <w:t xml:space="preserve"> since Donald </w:t>
      </w:r>
      <w:proofErr w:type="spellStart"/>
      <w:r w:rsidRPr="009975EA">
        <w:rPr>
          <w:rFonts w:ascii="Times New Roman" w:hAnsi="Times New Roman" w:cs="Times New Roman"/>
          <w:color w:val="auto"/>
          <w:sz w:val="20"/>
          <w:szCs w:val="20"/>
        </w:rPr>
        <w:t>Trump’s</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run</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for</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president</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the</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Trump</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brand</w:t>
      </w:r>
      <w:proofErr w:type="spellEnd"/>
      <w:r w:rsidRPr="009975EA">
        <w:rPr>
          <w:rFonts w:ascii="Times New Roman" w:hAnsi="Times New Roman" w:cs="Times New Roman"/>
          <w:color w:val="auto"/>
          <w:sz w:val="20"/>
          <w:szCs w:val="20"/>
        </w:rPr>
        <w:t xml:space="preserve"> has </w:t>
      </w:r>
      <w:proofErr w:type="spellStart"/>
      <w:r w:rsidRPr="009975EA">
        <w:rPr>
          <w:rFonts w:ascii="Times New Roman" w:hAnsi="Times New Roman" w:cs="Times New Roman"/>
          <w:color w:val="auto"/>
          <w:sz w:val="20"/>
          <w:szCs w:val="20"/>
        </w:rPr>
        <w:t>lost</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the</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confidence</w:t>
      </w:r>
      <w:proofErr w:type="spellEnd"/>
      <w:r w:rsidRPr="009975EA">
        <w:rPr>
          <w:rFonts w:ascii="Times New Roman" w:hAnsi="Times New Roman" w:cs="Times New Roman"/>
          <w:color w:val="auto"/>
          <w:sz w:val="20"/>
          <w:szCs w:val="20"/>
        </w:rPr>
        <w:t xml:space="preserve"> of </w:t>
      </w:r>
      <w:proofErr w:type="spellStart"/>
      <w:r w:rsidRPr="009975EA">
        <w:rPr>
          <w:rFonts w:ascii="Times New Roman" w:hAnsi="Times New Roman" w:cs="Times New Roman"/>
          <w:color w:val="auto"/>
          <w:sz w:val="20"/>
          <w:szCs w:val="20"/>
        </w:rPr>
        <w:t>the</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people</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who</w:t>
      </w:r>
      <w:proofErr w:type="spellEnd"/>
      <w:r w:rsidRPr="009975EA">
        <w:rPr>
          <w:rFonts w:ascii="Times New Roman" w:hAnsi="Times New Roman" w:cs="Times New Roman"/>
          <w:color w:val="auto"/>
          <w:sz w:val="20"/>
          <w:szCs w:val="20"/>
        </w:rPr>
        <w:t xml:space="preserve"> can </w:t>
      </w:r>
      <w:proofErr w:type="spellStart"/>
      <w:r w:rsidRPr="009975EA">
        <w:rPr>
          <w:rFonts w:ascii="Times New Roman" w:hAnsi="Times New Roman" w:cs="Times New Roman"/>
          <w:color w:val="auto"/>
          <w:sz w:val="20"/>
          <w:szCs w:val="20"/>
        </w:rPr>
        <w:t>afford</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to</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stay</w:t>
      </w:r>
      <w:proofErr w:type="spellEnd"/>
      <w:r w:rsidRPr="009975EA">
        <w:rPr>
          <w:rFonts w:ascii="Times New Roman" w:hAnsi="Times New Roman" w:cs="Times New Roman"/>
          <w:color w:val="auto"/>
          <w:sz w:val="20"/>
          <w:szCs w:val="20"/>
        </w:rPr>
        <w:t xml:space="preserve"> at </w:t>
      </w:r>
      <w:proofErr w:type="spellStart"/>
      <w:r w:rsidRPr="009975EA">
        <w:rPr>
          <w:rFonts w:ascii="Times New Roman" w:hAnsi="Times New Roman" w:cs="Times New Roman"/>
          <w:color w:val="auto"/>
          <w:sz w:val="20"/>
          <w:szCs w:val="20"/>
        </w:rPr>
        <w:t>one</w:t>
      </w:r>
      <w:proofErr w:type="spellEnd"/>
      <w:r w:rsidRPr="009975EA">
        <w:rPr>
          <w:rFonts w:ascii="Times New Roman" w:hAnsi="Times New Roman" w:cs="Times New Roman"/>
          <w:color w:val="auto"/>
          <w:sz w:val="20"/>
          <w:szCs w:val="20"/>
        </w:rPr>
        <w:t xml:space="preserve"> of his </w:t>
      </w:r>
      <w:proofErr w:type="spellStart"/>
      <w:r w:rsidRPr="009975EA">
        <w:rPr>
          <w:rFonts w:ascii="Times New Roman" w:hAnsi="Times New Roman" w:cs="Times New Roman"/>
          <w:color w:val="auto"/>
          <w:sz w:val="20"/>
          <w:szCs w:val="20"/>
        </w:rPr>
        <w:t>hotels</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play</w:t>
      </w:r>
      <w:proofErr w:type="spellEnd"/>
      <w:r w:rsidRPr="009975EA">
        <w:rPr>
          <w:rFonts w:ascii="Times New Roman" w:hAnsi="Times New Roman" w:cs="Times New Roman"/>
          <w:color w:val="auto"/>
          <w:sz w:val="20"/>
          <w:szCs w:val="20"/>
        </w:rPr>
        <w:t xml:space="preserve"> at </w:t>
      </w:r>
      <w:proofErr w:type="spellStart"/>
      <w:r w:rsidRPr="009975EA">
        <w:rPr>
          <w:rFonts w:ascii="Times New Roman" w:hAnsi="Times New Roman" w:cs="Times New Roman"/>
          <w:color w:val="auto"/>
          <w:sz w:val="20"/>
          <w:szCs w:val="20"/>
        </w:rPr>
        <w:t>one</w:t>
      </w:r>
      <w:proofErr w:type="spellEnd"/>
      <w:r w:rsidRPr="009975EA">
        <w:rPr>
          <w:rFonts w:ascii="Times New Roman" w:hAnsi="Times New Roman" w:cs="Times New Roman"/>
          <w:color w:val="auto"/>
          <w:sz w:val="20"/>
          <w:szCs w:val="20"/>
        </w:rPr>
        <w:t xml:space="preserve"> of his </w:t>
      </w:r>
      <w:proofErr w:type="spellStart"/>
      <w:r w:rsidRPr="009975EA">
        <w:rPr>
          <w:rFonts w:ascii="Times New Roman" w:hAnsi="Times New Roman" w:cs="Times New Roman"/>
          <w:color w:val="auto"/>
          <w:sz w:val="20"/>
          <w:szCs w:val="20"/>
        </w:rPr>
        <w:t>country</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clubs</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or</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purchase</w:t>
      </w:r>
      <w:proofErr w:type="spellEnd"/>
      <w:r w:rsidRPr="009975EA">
        <w:rPr>
          <w:rFonts w:ascii="Times New Roman" w:hAnsi="Times New Roman" w:cs="Times New Roman"/>
          <w:color w:val="auto"/>
          <w:sz w:val="20"/>
          <w:szCs w:val="20"/>
        </w:rPr>
        <w:t xml:space="preserve"> a </w:t>
      </w:r>
      <w:proofErr w:type="spellStart"/>
      <w:r w:rsidRPr="009975EA">
        <w:rPr>
          <w:rFonts w:ascii="Times New Roman" w:hAnsi="Times New Roman" w:cs="Times New Roman"/>
          <w:color w:val="auto"/>
          <w:sz w:val="20"/>
          <w:szCs w:val="20"/>
        </w:rPr>
        <w:t>home</w:t>
      </w:r>
      <w:proofErr w:type="spellEnd"/>
      <w:r w:rsidRPr="009975EA">
        <w:rPr>
          <w:rFonts w:ascii="Times New Roman" w:hAnsi="Times New Roman" w:cs="Times New Roman"/>
          <w:color w:val="auto"/>
          <w:sz w:val="20"/>
          <w:szCs w:val="20"/>
        </w:rPr>
        <w:t xml:space="preserve"> in </w:t>
      </w:r>
      <w:proofErr w:type="spellStart"/>
      <w:r w:rsidRPr="009975EA">
        <w:rPr>
          <w:rFonts w:ascii="Times New Roman" w:hAnsi="Times New Roman" w:cs="Times New Roman"/>
          <w:color w:val="auto"/>
          <w:sz w:val="20"/>
          <w:szCs w:val="20"/>
        </w:rPr>
        <w:t>one</w:t>
      </w:r>
      <w:proofErr w:type="spellEnd"/>
      <w:r w:rsidRPr="009975EA">
        <w:rPr>
          <w:rFonts w:ascii="Times New Roman" w:hAnsi="Times New Roman" w:cs="Times New Roman"/>
          <w:color w:val="auto"/>
          <w:sz w:val="20"/>
          <w:szCs w:val="20"/>
        </w:rPr>
        <w:t xml:space="preserve"> of his </w:t>
      </w:r>
      <w:proofErr w:type="spellStart"/>
      <w:r w:rsidRPr="009975EA">
        <w:rPr>
          <w:rFonts w:ascii="Times New Roman" w:hAnsi="Times New Roman" w:cs="Times New Roman"/>
          <w:color w:val="auto"/>
          <w:sz w:val="20"/>
          <w:szCs w:val="20"/>
        </w:rPr>
        <w:t>developments</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It</w:t>
      </w:r>
      <w:proofErr w:type="spellEnd"/>
      <w:r w:rsidRPr="009975EA">
        <w:rPr>
          <w:rFonts w:ascii="Times New Roman" w:hAnsi="Times New Roman" w:cs="Times New Roman"/>
          <w:color w:val="auto"/>
          <w:sz w:val="20"/>
          <w:szCs w:val="20"/>
        </w:rPr>
        <w:t xml:space="preserve"> is </w:t>
      </w:r>
      <w:proofErr w:type="spellStart"/>
      <w:r w:rsidRPr="009975EA">
        <w:rPr>
          <w:rFonts w:ascii="Times New Roman" w:hAnsi="Times New Roman" w:cs="Times New Roman"/>
          <w:color w:val="auto"/>
          <w:sz w:val="20"/>
          <w:szCs w:val="20"/>
        </w:rPr>
        <w:t>also</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rapidly</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losing</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its</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association</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with</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the</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gilded</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traits</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Trump</w:t>
      </w:r>
      <w:proofErr w:type="spellEnd"/>
      <w:r w:rsidRPr="009975EA">
        <w:rPr>
          <w:rFonts w:ascii="Times New Roman" w:hAnsi="Times New Roman" w:cs="Times New Roman"/>
          <w:color w:val="auto"/>
          <w:sz w:val="20"/>
          <w:szCs w:val="20"/>
        </w:rPr>
        <w:t xml:space="preserve"> has </w:t>
      </w:r>
      <w:proofErr w:type="spellStart"/>
      <w:r w:rsidRPr="009975EA">
        <w:rPr>
          <w:rFonts w:ascii="Times New Roman" w:hAnsi="Times New Roman" w:cs="Times New Roman"/>
          <w:color w:val="auto"/>
          <w:sz w:val="20"/>
          <w:szCs w:val="20"/>
        </w:rPr>
        <w:t>long</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promoted</w:t>
      </w:r>
      <w:proofErr w:type="spellEnd"/>
      <w:r w:rsidRPr="009975EA">
        <w:rPr>
          <w:rFonts w:ascii="Times New Roman" w:hAnsi="Times New Roman" w:cs="Times New Roman"/>
          <w:color w:val="auto"/>
          <w:sz w:val="20"/>
          <w:szCs w:val="20"/>
        </w:rPr>
        <w:t xml:space="preserve"> as </w:t>
      </w:r>
      <w:proofErr w:type="spellStart"/>
      <w:r w:rsidRPr="009975EA">
        <w:rPr>
          <w:rFonts w:ascii="Times New Roman" w:hAnsi="Times New Roman" w:cs="Times New Roman"/>
          <w:color w:val="auto"/>
          <w:sz w:val="20"/>
          <w:szCs w:val="20"/>
        </w:rPr>
        <w:t>the</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essence</w:t>
      </w:r>
      <w:proofErr w:type="spellEnd"/>
      <w:r w:rsidRPr="009975EA">
        <w:rPr>
          <w:rFonts w:ascii="Times New Roman" w:hAnsi="Times New Roman" w:cs="Times New Roman"/>
          <w:color w:val="auto"/>
          <w:sz w:val="20"/>
          <w:szCs w:val="20"/>
        </w:rPr>
        <w:t xml:space="preserve"> of his </w:t>
      </w:r>
      <w:proofErr w:type="spellStart"/>
      <w:r w:rsidRPr="009975EA">
        <w:rPr>
          <w:rFonts w:ascii="Times New Roman" w:hAnsi="Times New Roman" w:cs="Times New Roman"/>
          <w:color w:val="auto"/>
          <w:sz w:val="20"/>
          <w:szCs w:val="20"/>
        </w:rPr>
        <w:t>business</w:t>
      </w:r>
      <w:proofErr w:type="spellEnd"/>
      <w:r w:rsidRPr="009975EA">
        <w:rPr>
          <w:rFonts w:ascii="Times New Roman" w:hAnsi="Times New Roman" w:cs="Times New Roman"/>
          <w:color w:val="auto"/>
          <w:sz w:val="20"/>
          <w:szCs w:val="20"/>
        </w:rPr>
        <w:t>” (</w:t>
      </w:r>
      <w:proofErr w:type="spellStart"/>
      <w:r w:rsidRPr="009975EA">
        <w:rPr>
          <w:rFonts w:ascii="Times New Roman" w:hAnsi="Times New Roman" w:cs="Times New Roman"/>
          <w:color w:val="auto"/>
          <w:sz w:val="20"/>
          <w:szCs w:val="20"/>
        </w:rPr>
        <w:t>Will</w:t>
      </w:r>
      <w:proofErr w:type="spellEnd"/>
      <w:r w:rsidRPr="009975EA">
        <w:rPr>
          <w:rFonts w:ascii="Times New Roman" w:hAnsi="Times New Roman" w:cs="Times New Roman"/>
          <w:color w:val="auto"/>
          <w:sz w:val="20"/>
          <w:szCs w:val="20"/>
        </w:rPr>
        <w:t xml:space="preserve"> Johnson/Michael </w:t>
      </w:r>
      <w:proofErr w:type="spellStart"/>
      <w:r w:rsidRPr="009975EA">
        <w:rPr>
          <w:rFonts w:ascii="Times New Roman" w:hAnsi="Times New Roman" w:cs="Times New Roman"/>
          <w:color w:val="auto"/>
          <w:sz w:val="20"/>
          <w:szCs w:val="20"/>
        </w:rPr>
        <w:t>D’Antonio</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Trump’s</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Campaign</w:t>
      </w:r>
      <w:proofErr w:type="spellEnd"/>
      <w:r w:rsidRPr="009975EA">
        <w:rPr>
          <w:rFonts w:ascii="Times New Roman" w:hAnsi="Times New Roman" w:cs="Times New Roman"/>
          <w:color w:val="auto"/>
          <w:sz w:val="20"/>
          <w:szCs w:val="20"/>
        </w:rPr>
        <w:t xml:space="preserve"> Is </w:t>
      </w:r>
      <w:proofErr w:type="spellStart"/>
      <w:r w:rsidRPr="009975EA">
        <w:rPr>
          <w:rFonts w:ascii="Times New Roman" w:hAnsi="Times New Roman" w:cs="Times New Roman"/>
          <w:color w:val="auto"/>
          <w:sz w:val="20"/>
          <w:szCs w:val="20"/>
        </w:rPr>
        <w:t>Damaging</w:t>
      </w:r>
      <w:proofErr w:type="spellEnd"/>
      <w:r w:rsidRPr="009975EA">
        <w:rPr>
          <w:rFonts w:ascii="Times New Roman" w:hAnsi="Times New Roman" w:cs="Times New Roman"/>
          <w:color w:val="auto"/>
          <w:sz w:val="20"/>
          <w:szCs w:val="20"/>
        </w:rPr>
        <w:t xml:space="preserve"> His </w:t>
      </w:r>
      <w:proofErr w:type="spellStart"/>
      <w:r w:rsidRPr="009975EA">
        <w:rPr>
          <w:rFonts w:ascii="Times New Roman" w:hAnsi="Times New Roman" w:cs="Times New Roman"/>
          <w:color w:val="auto"/>
          <w:sz w:val="20"/>
          <w:szCs w:val="20"/>
        </w:rPr>
        <w:t>Brand</w:t>
      </w:r>
      <w:proofErr w:type="spellEnd"/>
      <w:r w:rsidRPr="009975EA">
        <w:rPr>
          <w:rFonts w:ascii="Times New Roman" w:hAnsi="Times New Roman" w:cs="Times New Roman"/>
          <w:color w:val="auto"/>
          <w:sz w:val="20"/>
          <w:szCs w:val="20"/>
        </w:rPr>
        <w:t xml:space="preserve">, </w:t>
      </w:r>
      <w:hyperlink r:id="rId55" w:history="1">
        <w:r w:rsidRPr="009975EA">
          <w:rPr>
            <w:rStyle w:val="Kpr"/>
            <w:rFonts w:ascii="Times New Roman" w:hAnsi="Times New Roman" w:cs="Times New Roman"/>
            <w:sz w:val="20"/>
            <w:szCs w:val="20"/>
          </w:rPr>
          <w:t>http://www.politico.com/magazine/story/2016/01/donald-trump-2016-brand-business-213515</w:t>
        </w:r>
      </w:hyperlink>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Last</w:t>
      </w:r>
      <w:proofErr w:type="spellEnd"/>
      <w:r w:rsidRPr="009975EA">
        <w:rPr>
          <w:rFonts w:ascii="Times New Roman" w:hAnsi="Times New Roman" w:cs="Times New Roman"/>
          <w:color w:val="auto"/>
          <w:sz w:val="20"/>
          <w:szCs w:val="20"/>
        </w:rPr>
        <w:t xml:space="preserve"> </w:t>
      </w:r>
      <w:proofErr w:type="spellStart"/>
      <w:r w:rsidRPr="009975EA">
        <w:rPr>
          <w:rFonts w:ascii="Times New Roman" w:hAnsi="Times New Roman" w:cs="Times New Roman"/>
          <w:color w:val="auto"/>
          <w:sz w:val="20"/>
          <w:szCs w:val="20"/>
        </w:rPr>
        <w:t>visited</w:t>
      </w:r>
      <w:proofErr w:type="spellEnd"/>
      <w:r w:rsidRPr="009975EA">
        <w:rPr>
          <w:rFonts w:ascii="Times New Roman" w:hAnsi="Times New Roman" w:cs="Times New Roman"/>
          <w:color w:val="auto"/>
          <w:sz w:val="20"/>
          <w:szCs w:val="20"/>
        </w:rPr>
        <w:t>: 30/11/2016)</w:t>
      </w:r>
    </w:p>
  </w:footnote>
  <w:footnote w:id="202">
    <w:p w14:paraId="517537FD" w14:textId="60A8253A" w:rsidR="00D36541" w:rsidRPr="009975EA" w:rsidRDefault="00D36541" w:rsidP="001C32F4">
      <w:pPr>
        <w:pStyle w:val="DipnotMetni"/>
        <w:tabs>
          <w:tab w:val="left" w:pos="7416"/>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Jones v. H.F. Ahmanson &amp; Co., 1Cal. 3d 93, 108 (1969).</w:t>
      </w:r>
      <w:r>
        <w:rPr>
          <w:rFonts w:ascii="Times New Roman" w:hAnsi="Times New Roman" w:cs="Times New Roman"/>
          <w:sz w:val="20"/>
          <w:szCs w:val="20"/>
        </w:rPr>
        <w:tab/>
      </w:r>
    </w:p>
  </w:footnote>
  <w:footnote w:id="203">
    <w:p w14:paraId="18B741A2"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RKO Theatres v. Trenton- New Brunswick Theatres Co., 9 </w:t>
      </w:r>
      <w:proofErr w:type="spellStart"/>
      <w:r w:rsidRPr="009975EA">
        <w:rPr>
          <w:rFonts w:ascii="Times New Roman" w:hAnsi="Times New Roman" w:cs="Times New Roman"/>
          <w:sz w:val="20"/>
          <w:szCs w:val="20"/>
        </w:rPr>
        <w:t>N.</w:t>
      </w:r>
      <w:proofErr w:type="gramStart"/>
      <w:r w:rsidRPr="009975EA">
        <w:rPr>
          <w:rFonts w:ascii="Times New Roman" w:hAnsi="Times New Roman" w:cs="Times New Roman"/>
          <w:sz w:val="20"/>
          <w:szCs w:val="20"/>
        </w:rPr>
        <w:t>J.Super</w:t>
      </w:r>
      <w:proofErr w:type="spellEnd"/>
      <w:proofErr w:type="gramEnd"/>
      <w:r w:rsidRPr="009975EA">
        <w:rPr>
          <w:rFonts w:ascii="Times New Roman" w:hAnsi="Times New Roman" w:cs="Times New Roman"/>
          <w:sz w:val="20"/>
          <w:szCs w:val="20"/>
        </w:rPr>
        <w:t>. 401 (1950).</w:t>
      </w:r>
    </w:p>
  </w:footnote>
  <w:footnote w:id="204">
    <w:p w14:paraId="1D28551F"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Blasius Industries, Inc. v. Atlas Corp. 564 A.2d 651 (Del. Ch. 1988).</w:t>
      </w:r>
    </w:p>
  </w:footnote>
  <w:footnote w:id="205">
    <w:p w14:paraId="495DAFAE"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Davis v. Sheerin, 754 S.W.2d 375 (1988).</w:t>
      </w:r>
    </w:p>
  </w:footnote>
  <w:footnote w:id="206">
    <w:p w14:paraId="2A297929" w14:textId="61744A5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Andrew P. Campbell, </w:t>
      </w:r>
      <w:r w:rsidRPr="001C32F4">
        <w:rPr>
          <w:rFonts w:ascii="Times New Roman" w:hAnsi="Times New Roman" w:cs="Times New Roman"/>
          <w:i/>
          <w:sz w:val="20"/>
          <w:szCs w:val="20"/>
        </w:rPr>
        <w:t xml:space="preserve">Litigating Minority Shareholder </w:t>
      </w:r>
      <w:proofErr w:type="gramStart"/>
      <w:r w:rsidRPr="001C32F4">
        <w:rPr>
          <w:rFonts w:ascii="Times New Roman" w:hAnsi="Times New Roman" w:cs="Times New Roman"/>
          <w:i/>
          <w:sz w:val="20"/>
          <w:szCs w:val="20"/>
        </w:rPr>
        <w:t>Rights</w:t>
      </w:r>
      <w:proofErr w:type="gramEnd"/>
      <w:r w:rsidRPr="001C32F4">
        <w:rPr>
          <w:rFonts w:ascii="Times New Roman" w:hAnsi="Times New Roman" w:cs="Times New Roman"/>
          <w:i/>
          <w:sz w:val="20"/>
          <w:szCs w:val="20"/>
        </w:rPr>
        <w:t xml:space="preserve"> and the New Tort of Oppression,</w:t>
      </w:r>
      <w:r>
        <w:rPr>
          <w:rFonts w:ascii="Times New Roman" w:hAnsi="Times New Roman" w:cs="Times New Roman"/>
          <w:sz w:val="20"/>
          <w:szCs w:val="20"/>
        </w:rPr>
        <w:t xml:space="preserve"> 53 Ala. Law. 108 (1992), </w:t>
      </w:r>
      <w:r w:rsidR="00F37175">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108.</w:t>
      </w:r>
    </w:p>
  </w:footnote>
  <w:footnote w:id="207">
    <w:p w14:paraId="6EEA943F" w14:textId="4555AE79" w:rsidR="00D36541" w:rsidRPr="009975EA" w:rsidRDefault="00D36541" w:rsidP="009975EA">
      <w:pPr>
        <w:widowControl w:val="0"/>
        <w:autoSpaceDE w:val="0"/>
        <w:autoSpaceDN w:val="0"/>
        <w:adjustRightInd w:val="0"/>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bCs/>
          <w:color w:val="000000" w:themeColor="text1"/>
          <w:sz w:val="20"/>
          <w:szCs w:val="20"/>
        </w:rPr>
        <w:t>Exadaktilos</w:t>
      </w:r>
      <w:proofErr w:type="spellEnd"/>
      <w:r w:rsidRPr="009975EA">
        <w:rPr>
          <w:rFonts w:ascii="Times New Roman" w:hAnsi="Times New Roman" w:cs="Times New Roman"/>
          <w:bCs/>
          <w:color w:val="000000" w:themeColor="text1"/>
          <w:sz w:val="20"/>
          <w:szCs w:val="20"/>
        </w:rPr>
        <w:t xml:space="preserve"> v. </w:t>
      </w:r>
      <w:proofErr w:type="spellStart"/>
      <w:r w:rsidRPr="009975EA">
        <w:rPr>
          <w:rFonts w:ascii="Times New Roman" w:hAnsi="Times New Roman" w:cs="Times New Roman"/>
          <w:bCs/>
          <w:color w:val="000000" w:themeColor="text1"/>
          <w:sz w:val="20"/>
          <w:szCs w:val="20"/>
        </w:rPr>
        <w:t>Cinnaminson</w:t>
      </w:r>
      <w:proofErr w:type="spellEnd"/>
      <w:r w:rsidRPr="009975EA">
        <w:rPr>
          <w:rFonts w:ascii="Times New Roman" w:hAnsi="Times New Roman" w:cs="Times New Roman"/>
          <w:bCs/>
          <w:color w:val="000000" w:themeColor="text1"/>
          <w:sz w:val="20"/>
          <w:szCs w:val="20"/>
        </w:rPr>
        <w:t xml:space="preserve"> Realty </w:t>
      </w:r>
      <w:proofErr w:type="spellStart"/>
      <w:r w:rsidRPr="009975EA">
        <w:rPr>
          <w:rFonts w:ascii="Times New Roman" w:hAnsi="Times New Roman" w:cs="Times New Roman"/>
          <w:bCs/>
          <w:color w:val="000000" w:themeColor="text1"/>
          <w:sz w:val="20"/>
          <w:szCs w:val="20"/>
        </w:rPr>
        <w:t>Co</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Inc</w:t>
      </w:r>
      <w:proofErr w:type="spellEnd"/>
      <w:r w:rsidRPr="009975EA">
        <w:rPr>
          <w:rFonts w:ascii="Times New Roman" w:hAnsi="Times New Roman" w:cs="Times New Roman"/>
          <w:bCs/>
          <w:color w:val="000000" w:themeColor="text1"/>
          <w:sz w:val="20"/>
          <w:szCs w:val="20"/>
        </w:rPr>
        <w:t xml:space="preserve">., 167 </w:t>
      </w:r>
      <w:proofErr w:type="spellStart"/>
      <w:r w:rsidRPr="009975EA">
        <w:rPr>
          <w:rFonts w:ascii="Times New Roman" w:hAnsi="Times New Roman" w:cs="Times New Roman"/>
          <w:bCs/>
          <w:color w:val="000000" w:themeColor="text1"/>
          <w:sz w:val="20"/>
          <w:szCs w:val="20"/>
        </w:rPr>
        <w:t>N.</w:t>
      </w:r>
      <w:proofErr w:type="gramStart"/>
      <w:r w:rsidRPr="009975EA">
        <w:rPr>
          <w:rFonts w:ascii="Times New Roman" w:hAnsi="Times New Roman" w:cs="Times New Roman"/>
          <w:bCs/>
          <w:color w:val="000000" w:themeColor="text1"/>
          <w:sz w:val="20"/>
          <w:szCs w:val="20"/>
        </w:rPr>
        <w:t>J.Super</w:t>
      </w:r>
      <w:proofErr w:type="spellEnd"/>
      <w:proofErr w:type="gramEnd"/>
      <w:r w:rsidRPr="009975EA">
        <w:rPr>
          <w:rFonts w:ascii="Times New Roman" w:hAnsi="Times New Roman" w:cs="Times New Roman"/>
          <w:bCs/>
          <w:color w:val="000000" w:themeColor="text1"/>
          <w:sz w:val="20"/>
          <w:szCs w:val="20"/>
        </w:rPr>
        <w:t>. 141 (1979):</w:t>
      </w:r>
      <w:r w:rsidRPr="009975EA">
        <w:rPr>
          <w:rFonts w:ascii="Times New Roman" w:hAnsi="Times New Roman" w:cs="Times New Roman"/>
          <w:b/>
          <w:bCs/>
          <w:color w:val="000000" w:themeColor="text1"/>
          <w:sz w:val="20"/>
          <w:szCs w:val="20"/>
        </w:rPr>
        <w:t xml:space="preserve"> </w:t>
      </w:r>
      <w:r w:rsidRPr="009975EA">
        <w:rPr>
          <w:rFonts w:ascii="Times New Roman" w:hAnsi="Times New Roman" w:cs="Times New Roman"/>
          <w:color w:val="000000" w:themeColor="text1"/>
          <w:sz w:val="20"/>
          <w:szCs w:val="20"/>
        </w:rPr>
        <w:t>“…</w:t>
      </w:r>
      <w:proofErr w:type="spellStart"/>
      <w:r w:rsidRPr="009975EA">
        <w:rPr>
          <w:rFonts w:ascii="Times New Roman" w:hAnsi="Times New Roman" w:cs="Times New Roman"/>
          <w:color w:val="000000" w:themeColor="text1"/>
          <w:sz w:val="20"/>
          <w:szCs w:val="20"/>
        </w:rPr>
        <w:t>freeze-out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maneuvers</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close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constitute</w:t>
      </w:r>
      <w:proofErr w:type="spellEnd"/>
      <w:r w:rsidRPr="009975EA">
        <w:rPr>
          <w:rFonts w:ascii="Times New Roman" w:hAnsi="Times New Roman" w:cs="Times New Roman"/>
          <w:color w:val="000000" w:themeColor="text1"/>
          <w:sz w:val="20"/>
          <w:szCs w:val="20"/>
        </w:rPr>
        <w:t xml:space="preserve"> an </w:t>
      </w:r>
      <w:proofErr w:type="spellStart"/>
      <w:r w:rsidRPr="009975EA">
        <w:rPr>
          <w:rFonts w:ascii="Times New Roman" w:hAnsi="Times New Roman" w:cs="Times New Roman"/>
          <w:color w:val="000000" w:themeColor="text1"/>
          <w:sz w:val="20"/>
          <w:szCs w:val="20"/>
        </w:rPr>
        <w:t>abuse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corporate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power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Traditional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principles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corporate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law</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such</w:t>
      </w:r>
      <w:proofErr w:type="spellEnd"/>
      <w:r w:rsidRPr="009975EA">
        <w:rPr>
          <w:rFonts w:ascii="Times New Roman" w:hAnsi="Times New Roman" w:cs="Times New Roman"/>
          <w:color w:val="000000" w:themeColor="text1"/>
          <w:sz w:val="20"/>
          <w:szCs w:val="20"/>
        </w:rPr>
        <w:t xml:space="preserve"> as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business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judgment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rule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have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failed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curb</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this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abuse</w:t>
      </w:r>
      <w:proofErr w:type="spellEnd"/>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themeColor="text1"/>
          <w:sz w:val="20"/>
          <w:szCs w:val="20"/>
        </w:rPr>
        <w:t>In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United </w:t>
      </w:r>
      <w:proofErr w:type="spellStart"/>
      <w:r w:rsidRPr="009975EA">
        <w:rPr>
          <w:rFonts w:ascii="Times New Roman" w:hAnsi="Times New Roman" w:cs="Times New Roman"/>
          <w:color w:val="000000" w:themeColor="text1"/>
          <w:sz w:val="20"/>
          <w:szCs w:val="20"/>
        </w:rPr>
        <w:t>States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example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courts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rely</w:t>
      </w:r>
      <w:proofErr w:type="spellEnd"/>
      <w:r w:rsidRPr="009975EA">
        <w:rPr>
          <w:rFonts w:ascii="Times New Roman" w:hAnsi="Times New Roman" w:cs="Times New Roman"/>
          <w:color w:val="000000" w:themeColor="text1"/>
          <w:sz w:val="20"/>
          <w:szCs w:val="20"/>
        </w:rPr>
        <w:t xml:space="preserve"> on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business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judgment</w:t>
      </w:r>
      <w:proofErr w:type="spellEnd"/>
      <w:r w:rsidRPr="009975EA">
        <w:rPr>
          <w:rFonts w:ascii="Times New Roman" w:hAnsi="Times New Roman" w:cs="Times New Roman"/>
          <w:color w:val="000000" w:themeColor="text1"/>
          <w:sz w:val="20"/>
          <w:szCs w:val="20"/>
        </w:rPr>
        <w:t xml:space="preserve"> rulet o </w:t>
      </w:r>
      <w:proofErr w:type="spellStart"/>
      <w:r w:rsidRPr="009975EA">
        <w:rPr>
          <w:rFonts w:ascii="Times New Roman" w:hAnsi="Times New Roman" w:cs="Times New Roman"/>
          <w:color w:val="000000" w:themeColor="text1"/>
          <w:sz w:val="20"/>
          <w:szCs w:val="20"/>
        </w:rPr>
        <w:t>protect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transactions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provide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non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monetary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benefits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insiders</w:t>
      </w:r>
      <w:proofErr w:type="spellEnd"/>
      <w:r w:rsidRPr="009975EA">
        <w:rPr>
          <w:rFonts w:ascii="Times New Roman" w:hAnsi="Times New Roman" w:cs="Times New Roman"/>
          <w:color w:val="000000" w:themeColor="text1"/>
          <w:sz w:val="20"/>
          <w:szCs w:val="20"/>
        </w:rPr>
        <w:t xml:space="preserve"> at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expense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outside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shareholders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empire-</w:t>
      </w:r>
      <w:proofErr w:type="gramStart"/>
      <w:r w:rsidRPr="009975EA">
        <w:rPr>
          <w:rFonts w:ascii="Times New Roman" w:hAnsi="Times New Roman" w:cs="Times New Roman"/>
          <w:color w:val="000000" w:themeColor="text1"/>
          <w:sz w:val="20"/>
          <w:szCs w:val="20"/>
        </w:rPr>
        <w:t>building</w:t>
      </w:r>
      <w:proofErr w:type="spellEnd"/>
      <w:r w:rsidRPr="009975EA">
        <w:rPr>
          <w:rFonts w:ascii="Times New Roman" w:hAnsi="Times New Roman" w:cs="Times New Roman"/>
          <w:color w:val="000000" w:themeColor="text1"/>
          <w:sz w:val="20"/>
          <w:szCs w:val="20"/>
        </w:rPr>
        <w:t>)…</w:t>
      </w:r>
      <w:proofErr w:type="gramEnd"/>
      <w:r w:rsidRPr="009975EA">
        <w:rPr>
          <w:rFonts w:ascii="Times New Roman" w:hAnsi="Times New Roman" w:cs="Times New Roman"/>
          <w:color w:val="000000" w:themeColor="text1"/>
          <w:sz w:val="20"/>
          <w:szCs w:val="20"/>
        </w:rPr>
        <w:t xml:space="preserve">Not </w:t>
      </w:r>
      <w:proofErr w:type="spellStart"/>
      <w:r w:rsidRPr="009975EA">
        <w:rPr>
          <w:rFonts w:ascii="Times New Roman" w:hAnsi="Times New Roman" w:cs="Times New Roman"/>
          <w:color w:val="000000" w:themeColor="text1"/>
          <w:sz w:val="20"/>
          <w:szCs w:val="20"/>
        </w:rPr>
        <w:t>surprisingly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areas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where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abuse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minority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shareholders</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United </w:t>
      </w:r>
      <w:proofErr w:type="spellStart"/>
      <w:r w:rsidRPr="009975EA">
        <w:rPr>
          <w:rFonts w:ascii="Times New Roman" w:hAnsi="Times New Roman" w:cs="Times New Roman"/>
          <w:color w:val="000000" w:themeColor="text1"/>
          <w:sz w:val="20"/>
          <w:szCs w:val="20"/>
        </w:rPr>
        <w:t>States</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perceived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be </w:t>
      </w:r>
      <w:proofErr w:type="spellStart"/>
      <w:r>
        <w:rPr>
          <w:rFonts w:ascii="Times New Roman" w:hAnsi="Times New Roman" w:cs="Times New Roman"/>
          <w:color w:val="000000" w:themeColor="text1"/>
          <w:sz w:val="20"/>
          <w:szCs w:val="20"/>
        </w:rPr>
        <w:t>significant</w:t>
      </w:r>
      <w:proofErr w:type="spellEnd"/>
      <w:r>
        <w:rPr>
          <w:rFonts w:ascii="Times New Roman" w:hAnsi="Times New Roman" w:cs="Times New Roman"/>
          <w:color w:val="000000" w:themeColor="text1"/>
          <w:sz w:val="20"/>
          <w:szCs w:val="20"/>
        </w:rPr>
        <w:t>.” (</w:t>
      </w:r>
      <w:proofErr w:type="spellStart"/>
      <w:r>
        <w:rPr>
          <w:rFonts w:ascii="Times New Roman" w:hAnsi="Times New Roman" w:cs="Times New Roman"/>
          <w:color w:val="000000" w:themeColor="text1"/>
          <w:sz w:val="20"/>
          <w:szCs w:val="20"/>
        </w:rPr>
        <w:t>Simon</w:t>
      </w:r>
      <w:proofErr w:type="spellEnd"/>
      <w:r>
        <w:rPr>
          <w:rFonts w:ascii="Times New Roman" w:hAnsi="Times New Roman" w:cs="Times New Roman"/>
          <w:color w:val="000000" w:themeColor="text1"/>
          <w:sz w:val="20"/>
          <w:szCs w:val="20"/>
        </w:rPr>
        <w:t xml:space="preserve"> Johnson, </w:t>
      </w:r>
      <w:proofErr w:type="spellStart"/>
      <w:r>
        <w:rPr>
          <w:rFonts w:ascii="Times New Roman" w:hAnsi="Times New Roman" w:cs="Times New Roman"/>
          <w:color w:val="000000" w:themeColor="text1"/>
          <w:sz w:val="20"/>
          <w:szCs w:val="20"/>
        </w:rPr>
        <w:t>Rafael</w:t>
      </w:r>
      <w:proofErr w:type="spellEnd"/>
      <w:r>
        <w:rPr>
          <w:rFonts w:ascii="Times New Roman" w:hAnsi="Times New Roman" w:cs="Times New Roman"/>
          <w:color w:val="000000" w:themeColor="text1"/>
          <w:sz w:val="20"/>
          <w:szCs w:val="20"/>
        </w:rPr>
        <w:t xml:space="preserve"> La Porta, </w:t>
      </w:r>
      <w:proofErr w:type="spellStart"/>
      <w:r>
        <w:rPr>
          <w:rFonts w:ascii="Times New Roman" w:hAnsi="Times New Roman" w:cs="Times New Roman"/>
          <w:color w:val="000000" w:themeColor="text1"/>
          <w:sz w:val="20"/>
          <w:szCs w:val="20"/>
        </w:rPr>
        <w:t>Florencio</w:t>
      </w:r>
      <w:proofErr w:type="spellEnd"/>
      <w:r>
        <w:rPr>
          <w:rFonts w:ascii="Times New Roman" w:hAnsi="Times New Roman" w:cs="Times New Roman"/>
          <w:color w:val="000000" w:themeColor="text1"/>
          <w:sz w:val="20"/>
          <w:szCs w:val="20"/>
        </w:rPr>
        <w:t xml:space="preserve"> Lopez-de-</w:t>
      </w:r>
      <w:proofErr w:type="spellStart"/>
      <w:r>
        <w:rPr>
          <w:rFonts w:ascii="Times New Roman" w:hAnsi="Times New Roman" w:cs="Times New Roman"/>
          <w:color w:val="000000" w:themeColor="text1"/>
          <w:sz w:val="20"/>
          <w:szCs w:val="20"/>
        </w:rPr>
        <w:t>Silanes</w:t>
      </w:r>
      <w:proofErr w:type="spellEnd"/>
      <w:r>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Andrei</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Shleifer</w:t>
      </w:r>
      <w:proofErr w:type="spellEnd"/>
      <w:r w:rsidRPr="009975EA">
        <w:rPr>
          <w:rFonts w:ascii="Times New Roman" w:hAnsi="Times New Roman" w:cs="Times New Roman"/>
          <w:color w:val="000000" w:themeColor="text1"/>
          <w:sz w:val="20"/>
          <w:szCs w:val="20"/>
        </w:rPr>
        <w:t xml:space="preserve">, </w:t>
      </w:r>
      <w:proofErr w:type="spellStart"/>
      <w:r w:rsidRPr="001C32F4">
        <w:rPr>
          <w:rFonts w:ascii="Times New Roman" w:hAnsi="Times New Roman" w:cs="Times New Roman"/>
          <w:i/>
          <w:color w:val="000000" w:themeColor="text1"/>
          <w:sz w:val="20"/>
          <w:szCs w:val="20"/>
        </w:rPr>
        <w:t>Tunnelling</w:t>
      </w:r>
      <w:proofErr w:type="spellEnd"/>
      <w:r w:rsidRPr="001C32F4">
        <w:rPr>
          <w:rFonts w:ascii="Times New Roman" w:hAnsi="Times New Roman" w:cs="Times New Roman"/>
          <w:i/>
          <w:color w:val="000000" w:themeColor="text1"/>
          <w:sz w:val="20"/>
          <w:szCs w:val="20"/>
        </w:rPr>
        <w:t>,</w:t>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American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Economic</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Review</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Vol</w:t>
      </w:r>
      <w:proofErr w:type="spellEnd"/>
      <w:r>
        <w:rPr>
          <w:rFonts w:ascii="Times New Roman" w:hAnsi="Times New Roman" w:cs="Times New Roman"/>
          <w:color w:val="000000" w:themeColor="text1"/>
          <w:sz w:val="20"/>
          <w:szCs w:val="20"/>
        </w:rPr>
        <w:t xml:space="preserve">. 90 No.2 (2000) </w:t>
      </w:r>
      <w:r w:rsidR="00F37175">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 xml:space="preserve"> </w:t>
      </w:r>
      <w:r w:rsidRPr="009975EA">
        <w:rPr>
          <w:rFonts w:ascii="Times New Roman" w:hAnsi="Times New Roman" w:cs="Times New Roman"/>
          <w:color w:val="000000" w:themeColor="text1"/>
          <w:sz w:val="20"/>
          <w:szCs w:val="20"/>
        </w:rPr>
        <w:t>23)</w:t>
      </w:r>
    </w:p>
  </w:footnote>
  <w:footnote w:id="208">
    <w:p w14:paraId="03EAD048" w14:textId="5CAFA4B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Fix v. Fix Material Co., Inc., 538 S.W.2d 351 (1976): “…the law places equitable limits on the actions of controlling shareholders which might operate to the detriment of the minority…”</w:t>
      </w:r>
    </w:p>
  </w:footnote>
  <w:footnote w:id="209">
    <w:p w14:paraId="726F773B"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broad outline, our major jurisdictions rely heavily on approval- by disinterested directors, shareholders, or both- as the primary check on managerial transactions and on standards as the primary check on controlling shareholders transactions. In addition, when it comes to listed companies, all jurisdictions nowadays follow the lead of U.S. securities law in providing for the mandatory disclosure of related-party transactions…”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et. al., p. 177-178).</w:t>
      </w:r>
    </w:p>
  </w:footnote>
  <w:footnote w:id="210">
    <w:p w14:paraId="6C7E2571" w14:textId="7F55DF9A" w:rsidR="00D36541" w:rsidRPr="009975EA" w:rsidRDefault="00D36541" w:rsidP="009975EA">
      <w:pPr>
        <w:widowControl w:val="0"/>
        <w:autoSpaceDE w:val="0"/>
        <w:autoSpaceDN w:val="0"/>
        <w:adjustRightInd w:val="0"/>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efficient</w:t>
      </w:r>
      <w:proofErr w:type="spellEnd"/>
      <w:r w:rsidRPr="009975EA">
        <w:rPr>
          <w:rFonts w:ascii="Times New Roman" w:hAnsi="Times New Roman" w:cs="Times New Roman"/>
          <w:sz w:val="20"/>
          <w:szCs w:val="20"/>
        </w:rPr>
        <w:t xml:space="preserve"> legal </w:t>
      </w:r>
      <w:proofErr w:type="spellStart"/>
      <w:r w:rsidRPr="009975EA">
        <w:rPr>
          <w:rFonts w:ascii="Times New Roman" w:hAnsi="Times New Roman" w:cs="Times New Roman"/>
          <w:sz w:val="20"/>
          <w:szCs w:val="20"/>
        </w:rPr>
        <w:t>rules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must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differentiate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between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different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forms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priv</w:t>
      </w:r>
      <w:r>
        <w:rPr>
          <w:rFonts w:ascii="Times New Roman" w:hAnsi="Times New Roman" w:cs="Times New Roman"/>
          <w:sz w:val="20"/>
          <w:szCs w:val="20"/>
        </w:rPr>
        <w:t>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benefits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control</w:t>
      </w:r>
      <w:proofErr w:type="spellEnd"/>
      <w:r>
        <w:rPr>
          <w:rFonts w:ascii="Times New Roman" w:hAnsi="Times New Roman" w:cs="Times New Roman"/>
          <w:sz w:val="20"/>
          <w:szCs w:val="20"/>
        </w:rPr>
        <w:t>.” (</w:t>
      </w:r>
      <w:proofErr w:type="spellStart"/>
      <w:r w:rsidRPr="009975EA">
        <w:rPr>
          <w:rFonts w:ascii="Times New Roman" w:hAnsi="Times New Roman" w:cs="Times New Roman"/>
          <w:sz w:val="20"/>
          <w:szCs w:val="20"/>
        </w:rPr>
        <w:t>Hofstetter</w:t>
      </w:r>
      <w:proofErr w:type="spellEnd"/>
      <w:r w:rsidRPr="009975EA">
        <w:rPr>
          <w:rFonts w:ascii="Times New Roman" w:hAnsi="Times New Roman" w:cs="Times New Roman"/>
          <w:sz w:val="20"/>
          <w:szCs w:val="20"/>
        </w:rPr>
        <w:t xml:space="preserve">, </w:t>
      </w:r>
      <w:proofErr w:type="spellStart"/>
      <w:r w:rsidRPr="001C32F4">
        <w:rPr>
          <w:rFonts w:ascii="Times New Roman" w:hAnsi="Times New Roman" w:cs="Times New Roman"/>
          <w:i/>
          <w:sz w:val="20"/>
          <w:szCs w:val="20"/>
        </w:rPr>
        <w:t>One</w:t>
      </w:r>
      <w:proofErr w:type="spellEnd"/>
      <w:r>
        <w:rPr>
          <w:rFonts w:ascii="Times New Roman" w:hAnsi="Times New Roman" w:cs="Times New Roman"/>
          <w:sz w:val="20"/>
          <w:szCs w:val="20"/>
        </w:rPr>
        <w:t xml:space="preserve"> Size, p. </w:t>
      </w:r>
      <w:r w:rsidRPr="009975EA">
        <w:rPr>
          <w:rFonts w:ascii="Times New Roman" w:hAnsi="Times New Roman" w:cs="Times New Roman"/>
          <w:sz w:val="20"/>
          <w:szCs w:val="20"/>
        </w:rPr>
        <w:t xml:space="preserve">662)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similar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approach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commenting</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implications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different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treatment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non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pecuniary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w:t>
      </w:r>
      <w:r>
        <w:rPr>
          <w:rFonts w:ascii="Times New Roman" w:hAnsi="Times New Roman" w:cs="Times New Roman"/>
          <w:sz w:val="20"/>
          <w:szCs w:val="20"/>
        </w:rPr>
        <w:t>ivate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benefits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Pacces</w:t>
      </w:r>
      <w:proofErr w:type="spellEnd"/>
      <w:r w:rsidRPr="009975EA">
        <w:rPr>
          <w:rFonts w:ascii="Times New Roman" w:hAnsi="Times New Roman" w:cs="Times New Roman"/>
          <w:sz w:val="20"/>
          <w:szCs w:val="20"/>
        </w:rPr>
        <w:t>, p. 223.</w:t>
      </w:r>
    </w:p>
  </w:footnote>
  <w:footnote w:id="211">
    <w:p w14:paraId="3E6F522B" w14:textId="54D5CB73" w:rsidR="00D36541" w:rsidRPr="009975EA" w:rsidRDefault="00D36541" w:rsidP="004B1D6F">
      <w:pPr>
        <w:pStyle w:val="DipnotMetni"/>
        <w:tabs>
          <w:tab w:val="left" w:pos="8294"/>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As for Delaware’s transaction- base</w:t>
      </w:r>
      <w:r>
        <w:rPr>
          <w:rFonts w:ascii="Times New Roman" w:hAnsi="Times New Roman" w:cs="Times New Roman"/>
          <w:sz w:val="20"/>
          <w:szCs w:val="20"/>
        </w:rPr>
        <w:t xml:space="preserve">d system, see generally: </w:t>
      </w:r>
      <w:r w:rsidRPr="009975EA">
        <w:rPr>
          <w:rFonts w:ascii="Times New Roman" w:hAnsi="Times New Roman" w:cs="Times New Roman"/>
          <w:sz w:val="20"/>
          <w:szCs w:val="20"/>
        </w:rPr>
        <w:t xml:space="preserve">Jens </w:t>
      </w:r>
      <w:proofErr w:type="spellStart"/>
      <w:r w:rsidRPr="009975EA">
        <w:rPr>
          <w:rFonts w:ascii="Times New Roman" w:hAnsi="Times New Roman" w:cs="Times New Roman"/>
          <w:sz w:val="20"/>
          <w:szCs w:val="20"/>
        </w:rPr>
        <w:t>Dammann</w:t>
      </w:r>
      <w:proofErr w:type="spellEnd"/>
      <w:r w:rsidRPr="009975EA">
        <w:rPr>
          <w:rFonts w:ascii="Times New Roman" w:hAnsi="Times New Roman" w:cs="Times New Roman"/>
          <w:sz w:val="20"/>
          <w:szCs w:val="20"/>
        </w:rPr>
        <w:t xml:space="preserve">, </w:t>
      </w:r>
      <w:r w:rsidRPr="000E3EED">
        <w:rPr>
          <w:rFonts w:ascii="Times New Roman" w:hAnsi="Times New Roman" w:cs="Times New Roman"/>
          <w:i/>
          <w:sz w:val="20"/>
          <w:szCs w:val="20"/>
        </w:rPr>
        <w:t>Corporate Ostracism: Freezing Out Controlling Shareholders,</w:t>
      </w:r>
      <w:r>
        <w:rPr>
          <w:rFonts w:ascii="Times New Roman" w:hAnsi="Times New Roman" w:cs="Times New Roman"/>
          <w:sz w:val="20"/>
          <w:szCs w:val="20"/>
        </w:rPr>
        <w:t xml:space="preserve"> 33 Iowa J. Corp. L. 681.</w:t>
      </w:r>
      <w:r>
        <w:rPr>
          <w:rFonts w:ascii="Times New Roman" w:hAnsi="Times New Roman" w:cs="Times New Roman"/>
          <w:sz w:val="20"/>
          <w:szCs w:val="20"/>
        </w:rPr>
        <w:tab/>
      </w:r>
    </w:p>
  </w:footnote>
  <w:footnote w:id="212">
    <w:p w14:paraId="2265944E" w14:textId="031325E3"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Furlow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stresses</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similar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point</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context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director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liability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lack</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financial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interest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does</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show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decision</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given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proper</w:t>
      </w:r>
      <w:proofErr w:type="spellEnd"/>
      <w:r w:rsidRPr="009975EA">
        <w:rPr>
          <w:rFonts w:ascii="Times New Roman" w:hAnsi="Times New Roman" w:cs="Times New Roman"/>
          <w:sz w:val="20"/>
          <w:szCs w:val="20"/>
        </w:rPr>
        <w:t xml:space="preserve"> motive: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challenged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independent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disinterested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does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guarantee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satisfied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loyalty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merely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means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impartiality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compromised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financial</w:t>
      </w:r>
      <w:proofErr w:type="spellEnd"/>
      <w:r w:rsidRPr="009975EA">
        <w:rPr>
          <w:rFonts w:ascii="Times New Roman" w:hAnsi="Times New Roman" w:cs="Times New Roman"/>
          <w:color w:val="000000"/>
          <w:sz w:val="20"/>
          <w:szCs w:val="20"/>
        </w:rPr>
        <w:t xml:space="preserve"> self-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Clark</w:t>
      </w:r>
      <w:proofErr w:type="spellEnd"/>
      <w:r w:rsidRPr="009975EA">
        <w:rPr>
          <w:rFonts w:ascii="Times New Roman" w:hAnsi="Times New Roman" w:cs="Times New Roman"/>
          <w:color w:val="000000"/>
          <w:sz w:val="20"/>
          <w:szCs w:val="20"/>
        </w:rPr>
        <w:t xml:space="preserve"> W. </w:t>
      </w:r>
      <w:proofErr w:type="spellStart"/>
      <w:r w:rsidRPr="009975EA">
        <w:rPr>
          <w:rFonts w:ascii="Times New Roman" w:hAnsi="Times New Roman" w:cs="Times New Roman"/>
          <w:color w:val="000000"/>
          <w:sz w:val="20"/>
          <w:szCs w:val="20"/>
        </w:rPr>
        <w:t>Furlow</w:t>
      </w:r>
      <w:proofErr w:type="spellEnd"/>
      <w:r w:rsidRPr="009975EA">
        <w:rPr>
          <w:rFonts w:ascii="Times New Roman" w:hAnsi="Times New Roman" w:cs="Times New Roman"/>
          <w:color w:val="000000"/>
          <w:sz w:val="20"/>
          <w:szCs w:val="20"/>
        </w:rPr>
        <w:t xml:space="preserve">, </w:t>
      </w:r>
      <w:proofErr w:type="spellStart"/>
      <w:r w:rsidRPr="004B1D6F">
        <w:rPr>
          <w:rFonts w:ascii="Times New Roman" w:hAnsi="Times New Roman" w:cs="Times New Roman"/>
          <w:i/>
          <w:color w:val="000000"/>
          <w:sz w:val="20"/>
          <w:szCs w:val="20"/>
        </w:rPr>
        <w:t>Good</w:t>
      </w:r>
      <w:proofErr w:type="spellEnd"/>
      <w:r w:rsidRPr="004B1D6F">
        <w:rPr>
          <w:rFonts w:ascii="Times New Roman" w:hAnsi="Times New Roman" w:cs="Times New Roman"/>
          <w:i/>
          <w:color w:val="000000"/>
          <w:sz w:val="20"/>
          <w:szCs w:val="20"/>
        </w:rPr>
        <w:t xml:space="preserve"> </w:t>
      </w:r>
      <w:proofErr w:type="spellStart"/>
      <w:r w:rsidRPr="004B1D6F">
        <w:rPr>
          <w:rFonts w:ascii="Times New Roman" w:hAnsi="Times New Roman" w:cs="Times New Roman"/>
          <w:i/>
          <w:color w:val="000000"/>
          <w:sz w:val="20"/>
          <w:szCs w:val="20"/>
        </w:rPr>
        <w:t>Faith</w:t>
      </w:r>
      <w:proofErr w:type="spellEnd"/>
      <w:r w:rsidRPr="004B1D6F">
        <w:rPr>
          <w:rFonts w:ascii="Times New Roman" w:hAnsi="Times New Roman" w:cs="Times New Roman"/>
          <w:i/>
          <w:color w:val="000000"/>
          <w:sz w:val="20"/>
          <w:szCs w:val="20"/>
        </w:rPr>
        <w:t xml:space="preserve">, </w:t>
      </w:r>
      <w:proofErr w:type="spellStart"/>
      <w:r w:rsidRPr="004B1D6F">
        <w:rPr>
          <w:rFonts w:ascii="Times New Roman" w:hAnsi="Times New Roman" w:cs="Times New Roman"/>
          <w:i/>
          <w:color w:val="000000"/>
          <w:sz w:val="20"/>
          <w:szCs w:val="20"/>
        </w:rPr>
        <w:t>Fiduciary</w:t>
      </w:r>
      <w:proofErr w:type="spellEnd"/>
      <w:r w:rsidRPr="004B1D6F">
        <w:rPr>
          <w:rFonts w:ascii="Times New Roman" w:hAnsi="Times New Roman" w:cs="Times New Roman"/>
          <w:i/>
          <w:color w:val="000000"/>
          <w:sz w:val="20"/>
          <w:szCs w:val="20"/>
        </w:rPr>
        <w:t xml:space="preserve"> </w:t>
      </w:r>
      <w:proofErr w:type="spellStart"/>
      <w:r w:rsidRPr="004B1D6F">
        <w:rPr>
          <w:rFonts w:ascii="Times New Roman" w:hAnsi="Times New Roman" w:cs="Times New Roman"/>
          <w:i/>
          <w:color w:val="000000"/>
          <w:sz w:val="20"/>
          <w:szCs w:val="20"/>
        </w:rPr>
        <w:t>Duties</w:t>
      </w:r>
      <w:proofErr w:type="spellEnd"/>
      <w:r w:rsidRPr="004B1D6F">
        <w:rPr>
          <w:rFonts w:ascii="Times New Roman" w:hAnsi="Times New Roman" w:cs="Times New Roman"/>
          <w:i/>
          <w:color w:val="000000"/>
          <w:sz w:val="20"/>
          <w:szCs w:val="20"/>
        </w:rPr>
        <w:t xml:space="preserve">, </w:t>
      </w:r>
      <w:proofErr w:type="spellStart"/>
      <w:r w:rsidRPr="004B1D6F">
        <w:rPr>
          <w:rFonts w:ascii="Times New Roman" w:hAnsi="Times New Roman" w:cs="Times New Roman"/>
          <w:i/>
          <w:color w:val="000000"/>
          <w:sz w:val="20"/>
          <w:szCs w:val="20"/>
        </w:rPr>
        <w:t>and</w:t>
      </w:r>
      <w:proofErr w:type="spellEnd"/>
      <w:r w:rsidRPr="004B1D6F">
        <w:rPr>
          <w:rFonts w:ascii="Times New Roman" w:hAnsi="Times New Roman" w:cs="Times New Roman"/>
          <w:i/>
          <w:color w:val="000000"/>
          <w:sz w:val="20"/>
          <w:szCs w:val="20"/>
        </w:rPr>
        <w:t xml:space="preserve"> </w:t>
      </w:r>
      <w:proofErr w:type="spellStart"/>
      <w:r w:rsidRPr="004B1D6F">
        <w:rPr>
          <w:rFonts w:ascii="Times New Roman" w:hAnsi="Times New Roman" w:cs="Times New Roman"/>
          <w:i/>
          <w:color w:val="000000"/>
          <w:sz w:val="20"/>
          <w:szCs w:val="20"/>
        </w:rPr>
        <w:t>the</w:t>
      </w:r>
      <w:proofErr w:type="spellEnd"/>
      <w:r w:rsidRPr="004B1D6F">
        <w:rPr>
          <w:rFonts w:ascii="Times New Roman" w:hAnsi="Times New Roman" w:cs="Times New Roman"/>
          <w:i/>
          <w:color w:val="000000"/>
          <w:sz w:val="20"/>
          <w:szCs w:val="20"/>
        </w:rPr>
        <w:t xml:space="preserve"> Business </w:t>
      </w:r>
      <w:proofErr w:type="spellStart"/>
      <w:r w:rsidRPr="004B1D6F">
        <w:rPr>
          <w:rFonts w:ascii="Times New Roman" w:hAnsi="Times New Roman" w:cs="Times New Roman"/>
          <w:i/>
          <w:color w:val="000000"/>
          <w:sz w:val="20"/>
          <w:szCs w:val="20"/>
        </w:rPr>
        <w:t>Judgment</w:t>
      </w:r>
      <w:proofErr w:type="spellEnd"/>
      <w:r w:rsidRPr="004B1D6F">
        <w:rPr>
          <w:rFonts w:ascii="Times New Roman" w:hAnsi="Times New Roman" w:cs="Times New Roman"/>
          <w:i/>
          <w:color w:val="000000"/>
          <w:sz w:val="20"/>
          <w:szCs w:val="20"/>
        </w:rPr>
        <w:t xml:space="preserve"> </w:t>
      </w:r>
      <w:proofErr w:type="spellStart"/>
      <w:r w:rsidRPr="004B1D6F">
        <w:rPr>
          <w:rFonts w:ascii="Times New Roman" w:hAnsi="Times New Roman" w:cs="Times New Roman"/>
          <w:i/>
          <w:color w:val="000000"/>
          <w:sz w:val="20"/>
          <w:szCs w:val="20"/>
        </w:rPr>
        <w:t>Rule</w:t>
      </w:r>
      <w:proofErr w:type="spellEnd"/>
      <w:r w:rsidRPr="004B1D6F">
        <w:rPr>
          <w:rFonts w:ascii="Times New Roman" w:hAnsi="Times New Roman" w:cs="Times New Roman"/>
          <w:i/>
          <w:color w:val="000000"/>
          <w:sz w:val="20"/>
          <w:szCs w:val="20"/>
        </w:rPr>
        <w:t xml:space="preserve"> in Delaware,</w:t>
      </w:r>
      <w:r w:rsidRPr="009975E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2009 </w:t>
      </w:r>
      <w:proofErr w:type="spellStart"/>
      <w:r>
        <w:rPr>
          <w:rFonts w:ascii="Times New Roman" w:hAnsi="Times New Roman" w:cs="Times New Roman"/>
          <w:color w:val="000000"/>
          <w:sz w:val="20"/>
          <w:szCs w:val="20"/>
        </w:rPr>
        <w:t>Utah</w:t>
      </w:r>
      <w:proofErr w:type="spellEnd"/>
      <w:r>
        <w:rPr>
          <w:rFonts w:ascii="Times New Roman" w:hAnsi="Times New Roman" w:cs="Times New Roman"/>
          <w:color w:val="000000"/>
          <w:sz w:val="20"/>
          <w:szCs w:val="20"/>
        </w:rPr>
        <w:t xml:space="preserve"> L. </w:t>
      </w:r>
      <w:proofErr w:type="spellStart"/>
      <w:r>
        <w:rPr>
          <w:rFonts w:ascii="Times New Roman" w:hAnsi="Times New Roman" w:cs="Times New Roman"/>
          <w:color w:val="000000"/>
          <w:sz w:val="20"/>
          <w:szCs w:val="20"/>
        </w:rPr>
        <w:t>Rev</w:t>
      </w:r>
      <w:proofErr w:type="spellEnd"/>
      <w:r>
        <w:rPr>
          <w:rFonts w:ascii="Times New Roman" w:hAnsi="Times New Roman" w:cs="Times New Roman"/>
          <w:color w:val="000000"/>
          <w:sz w:val="20"/>
          <w:szCs w:val="20"/>
        </w:rPr>
        <w:t xml:space="preserve">. 1061 (2009) </w:t>
      </w:r>
      <w:r w:rsidR="00F37175">
        <w:rPr>
          <w:rFonts w:ascii="Times New Roman" w:hAnsi="Times New Roman" w:cs="Times New Roman"/>
          <w:color w:val="000000"/>
          <w:sz w:val="20"/>
          <w:szCs w:val="20"/>
        </w:rPr>
        <w:t>p.</w:t>
      </w:r>
      <w:r>
        <w:rPr>
          <w:rFonts w:ascii="Times New Roman" w:hAnsi="Times New Roman" w:cs="Times New Roman"/>
          <w:color w:val="000000"/>
          <w:sz w:val="20"/>
          <w:szCs w:val="20"/>
        </w:rPr>
        <w:t xml:space="preserve"> </w:t>
      </w:r>
      <w:r w:rsidRPr="009975EA">
        <w:rPr>
          <w:rFonts w:ascii="Times New Roman" w:hAnsi="Times New Roman" w:cs="Times New Roman"/>
          <w:color w:val="000000"/>
          <w:sz w:val="20"/>
          <w:szCs w:val="20"/>
        </w:rPr>
        <w:t xml:space="preserve">1087) </w:t>
      </w:r>
    </w:p>
  </w:footnote>
  <w:footnote w:id="213">
    <w:p w14:paraId="2F233956"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Hollis v. Hill, 232 F. 3d 460 (2000).</w:t>
      </w:r>
    </w:p>
  </w:footnote>
  <w:footnote w:id="214">
    <w:p w14:paraId="755B68A3" w14:textId="75C387D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“Cases appearing as bad management may be lawful according to the statute, articles of incorporation, or duty of good faith.” (Sumer, p. 213).</w:t>
      </w:r>
    </w:p>
  </w:footnote>
  <w:footnote w:id="215">
    <w:p w14:paraId="3FDA1507"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At 349.</w:t>
      </w:r>
    </w:p>
  </w:footnote>
  <w:footnote w:id="216">
    <w:p w14:paraId="2C6591F3" w14:textId="77777777" w:rsidR="00D36541" w:rsidRPr="009975EA" w:rsidRDefault="00D36541" w:rsidP="009975EA">
      <w:pPr>
        <w:pStyle w:val="DipnotMetni"/>
        <w:tabs>
          <w:tab w:val="left" w:pos="3179"/>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At 384.</w:t>
      </w:r>
      <w:r w:rsidRPr="009975EA">
        <w:rPr>
          <w:rFonts w:ascii="Times New Roman" w:hAnsi="Times New Roman" w:cs="Times New Roman"/>
          <w:sz w:val="20"/>
          <w:szCs w:val="20"/>
        </w:rPr>
        <w:tab/>
      </w:r>
    </w:p>
  </w:footnote>
  <w:footnote w:id="217">
    <w:p w14:paraId="4F9CDA0A"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At 384.</w:t>
      </w:r>
    </w:p>
  </w:footnote>
  <w:footnote w:id="218">
    <w:p w14:paraId="4F658567" w14:textId="77777777" w:rsidR="00D36541" w:rsidRPr="009975EA" w:rsidRDefault="00D36541" w:rsidP="009975EA">
      <w:pPr>
        <w:widowControl w:val="0"/>
        <w:tabs>
          <w:tab w:val="right" w:pos="8640"/>
        </w:tabs>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At 385. </w:t>
      </w:r>
      <w:r w:rsidRPr="009975EA">
        <w:rPr>
          <w:rFonts w:ascii="Times New Roman" w:hAnsi="Times New Roman" w:cs="Times New Roman"/>
          <w:sz w:val="20"/>
          <w:szCs w:val="20"/>
        </w:rPr>
        <w:tab/>
      </w:r>
    </w:p>
  </w:footnote>
  <w:footnote w:id="219">
    <w:p w14:paraId="04BB9D1C"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At 385.</w:t>
      </w:r>
    </w:p>
  </w:footnote>
  <w:footnote w:id="220">
    <w:p w14:paraId="49AE5FAF" w14:textId="2CE3035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Legal certainty </w:t>
      </w:r>
      <w:proofErr w:type="gramStart"/>
      <w:r w:rsidRPr="009975EA">
        <w:rPr>
          <w:rFonts w:ascii="Times New Roman" w:hAnsi="Times New Roman" w:cs="Times New Roman"/>
          <w:sz w:val="20"/>
          <w:szCs w:val="20"/>
        </w:rPr>
        <w:t>principle</w:t>
      </w:r>
      <w:proofErr w:type="gramEnd"/>
      <w:r w:rsidRPr="009975EA">
        <w:rPr>
          <w:rFonts w:ascii="Times New Roman" w:hAnsi="Times New Roman" w:cs="Times New Roman"/>
          <w:sz w:val="20"/>
          <w:szCs w:val="20"/>
        </w:rPr>
        <w:t xml:space="preserve"> advocates for “clearly defined legal rules that enable people to ‘know the nature of their rights and obligations and be able to plan their actions with some confidence about the legal consequences” (John A. Lovett, </w:t>
      </w:r>
      <w:r w:rsidRPr="00C96A28">
        <w:rPr>
          <w:rFonts w:ascii="Times New Roman" w:hAnsi="Times New Roman" w:cs="Times New Roman"/>
          <w:i/>
          <w:sz w:val="20"/>
          <w:szCs w:val="20"/>
        </w:rPr>
        <w:t>On the Principle of Legal Certainty in the Louisiana Civil Law Tradition: From the Manifesto to the Great Repealing Act and Beyond</w:t>
      </w:r>
      <w:r w:rsidRPr="009975EA">
        <w:rPr>
          <w:rFonts w:ascii="Times New Roman" w:hAnsi="Times New Roman" w:cs="Times New Roman"/>
          <w:sz w:val="20"/>
          <w:szCs w:val="20"/>
        </w:rPr>
        <w:t>, 63 La. L. Rev. 1397 (2003</w:t>
      </w:r>
      <w:r>
        <w:rPr>
          <w:rFonts w:ascii="Times New Roman" w:hAnsi="Times New Roman" w:cs="Times New Roman"/>
          <w:sz w:val="20"/>
          <w:szCs w:val="20"/>
        </w:rPr>
        <w:t xml:space="preserve">), at </w:t>
      </w:r>
      <w:r w:rsidRPr="009975EA">
        <w:rPr>
          <w:rFonts w:ascii="Times New Roman" w:hAnsi="Times New Roman" w:cs="Times New Roman"/>
          <w:sz w:val="20"/>
          <w:szCs w:val="20"/>
        </w:rPr>
        <w:t>1397). Stroud v. Grace, 606 A.2d 75 (1992): “</w:t>
      </w:r>
      <w:proofErr w:type="spellStart"/>
      <w:r w:rsidRPr="009975EA">
        <w:rPr>
          <w:rFonts w:ascii="Times New Roman" w:hAnsi="Times New Roman" w:cs="Times New Roman"/>
          <w:color w:val="000000"/>
          <w:sz w:val="20"/>
          <w:szCs w:val="20"/>
          <w:lang w:val="tr-TR"/>
        </w:rPr>
        <w:t>It</w:t>
      </w:r>
      <w:proofErr w:type="spellEnd"/>
      <w:r w:rsidRPr="009975EA">
        <w:rPr>
          <w:rFonts w:ascii="Times New Roman" w:hAnsi="Times New Roman" w:cs="Times New Roman"/>
          <w:color w:val="000000"/>
          <w:sz w:val="20"/>
          <w:szCs w:val="20"/>
          <w:lang w:val="tr-TR"/>
        </w:rPr>
        <w:t xml:space="preserve"> is </w:t>
      </w:r>
      <w:proofErr w:type="spellStart"/>
      <w:r w:rsidRPr="009975EA">
        <w:rPr>
          <w:rFonts w:ascii="Times New Roman" w:hAnsi="Times New Roman" w:cs="Times New Roman"/>
          <w:color w:val="000000"/>
          <w:sz w:val="20"/>
          <w:szCs w:val="20"/>
          <w:lang w:val="tr-TR"/>
        </w:rPr>
        <w:t>important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that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there</w:t>
      </w:r>
      <w:proofErr w:type="spellEnd"/>
      <w:r w:rsidRPr="009975EA">
        <w:rPr>
          <w:rFonts w:ascii="Times New Roman" w:hAnsi="Times New Roman" w:cs="Times New Roman"/>
          <w:color w:val="000000"/>
          <w:sz w:val="20"/>
          <w:szCs w:val="20"/>
          <w:lang w:val="tr-TR"/>
        </w:rPr>
        <w:t xml:space="preserve"> be </w:t>
      </w:r>
      <w:proofErr w:type="spellStart"/>
      <w:r w:rsidRPr="009975EA">
        <w:rPr>
          <w:rFonts w:ascii="Times New Roman" w:hAnsi="Times New Roman" w:cs="Times New Roman"/>
          <w:bCs/>
          <w:color w:val="1C1C1C"/>
          <w:sz w:val="20"/>
          <w:szCs w:val="20"/>
          <w:lang w:val="tr-TR"/>
        </w:rPr>
        <w:t>certainty</w:t>
      </w:r>
      <w:proofErr w:type="spellEnd"/>
      <w:r w:rsidRPr="009975EA">
        <w:rPr>
          <w:rFonts w:ascii="Times New Roman" w:hAnsi="Times New Roman" w:cs="Times New Roman"/>
          <w:bCs/>
          <w:color w:val="1C1C1C"/>
          <w:sz w:val="20"/>
          <w:szCs w:val="20"/>
          <w:lang w:val="tr-TR"/>
        </w:rPr>
        <w:t xml:space="preserve"> </w:t>
      </w:r>
      <w:r w:rsidRPr="009975EA">
        <w:rPr>
          <w:rFonts w:ascii="Times New Roman" w:hAnsi="Times New Roman" w:cs="Times New Roman"/>
          <w:color w:val="000000"/>
          <w:sz w:val="20"/>
          <w:szCs w:val="20"/>
          <w:lang w:val="tr-TR"/>
        </w:rPr>
        <w:t xml:space="preserve">in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bCs/>
          <w:color w:val="1C1C1C"/>
          <w:sz w:val="20"/>
          <w:szCs w:val="20"/>
          <w:lang w:val="tr-TR"/>
        </w:rPr>
        <w:t>law</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emphasize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that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Court of </w:t>
      </w:r>
      <w:proofErr w:type="spellStart"/>
      <w:r w:rsidRPr="009975EA">
        <w:rPr>
          <w:rFonts w:ascii="Times New Roman" w:hAnsi="Times New Roman" w:cs="Times New Roman"/>
          <w:color w:val="000000"/>
          <w:sz w:val="20"/>
          <w:szCs w:val="20"/>
          <w:lang w:val="tr-TR"/>
        </w:rPr>
        <w:t>Chancery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must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act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with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caution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restraint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when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ignoring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clear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language</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General </w:t>
      </w:r>
      <w:r w:rsidRPr="009975EA">
        <w:rPr>
          <w:rFonts w:ascii="Times New Roman" w:hAnsi="Times New Roman" w:cs="Times New Roman"/>
          <w:bCs/>
          <w:color w:val="1C1C1C"/>
          <w:sz w:val="20"/>
          <w:szCs w:val="20"/>
          <w:lang w:val="tr-TR"/>
        </w:rPr>
        <w:t xml:space="preserve">Corporation </w:t>
      </w:r>
      <w:proofErr w:type="spellStart"/>
      <w:r w:rsidRPr="009975EA">
        <w:rPr>
          <w:rFonts w:ascii="Times New Roman" w:hAnsi="Times New Roman" w:cs="Times New Roman"/>
          <w:bCs/>
          <w:color w:val="1C1C1C"/>
          <w:sz w:val="20"/>
          <w:szCs w:val="20"/>
          <w:lang w:val="tr-TR"/>
        </w:rPr>
        <w:t>Law</w:t>
      </w:r>
      <w:proofErr w:type="spellEnd"/>
      <w:r w:rsidRPr="009975EA">
        <w:rPr>
          <w:rFonts w:ascii="Times New Roman" w:hAnsi="Times New Roman" w:cs="Times New Roman"/>
          <w:bCs/>
          <w:color w:val="1C1C1C"/>
          <w:sz w:val="20"/>
          <w:szCs w:val="20"/>
          <w:lang w:val="tr-TR"/>
        </w:rPr>
        <w:t xml:space="preserve"> </w:t>
      </w:r>
      <w:r w:rsidRPr="009975EA">
        <w:rPr>
          <w:rFonts w:ascii="Times New Roman" w:hAnsi="Times New Roman" w:cs="Times New Roman"/>
          <w:color w:val="000000"/>
          <w:sz w:val="20"/>
          <w:szCs w:val="20"/>
          <w:lang w:val="tr-TR"/>
        </w:rPr>
        <w:t xml:space="preserve">in </w:t>
      </w:r>
      <w:proofErr w:type="spellStart"/>
      <w:r w:rsidRPr="009975EA">
        <w:rPr>
          <w:rFonts w:ascii="Times New Roman" w:hAnsi="Times New Roman" w:cs="Times New Roman"/>
          <w:color w:val="000000"/>
          <w:sz w:val="20"/>
          <w:szCs w:val="20"/>
          <w:lang w:val="tr-TR"/>
        </w:rPr>
        <w:t>favor</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other</w:t>
      </w:r>
      <w:proofErr w:type="spellEnd"/>
      <w:r w:rsidRPr="009975EA">
        <w:rPr>
          <w:rFonts w:ascii="Times New Roman" w:hAnsi="Times New Roman" w:cs="Times New Roman"/>
          <w:color w:val="000000"/>
          <w:sz w:val="20"/>
          <w:szCs w:val="20"/>
          <w:lang w:val="tr-TR"/>
        </w:rPr>
        <w:t xml:space="preserve"> </w:t>
      </w:r>
      <w:r w:rsidRPr="009975EA">
        <w:rPr>
          <w:rFonts w:ascii="Times New Roman" w:hAnsi="Times New Roman" w:cs="Times New Roman"/>
          <w:bCs/>
          <w:color w:val="1C1C1C"/>
          <w:sz w:val="20"/>
          <w:szCs w:val="20"/>
          <w:lang w:val="tr-TR"/>
        </w:rPr>
        <w:t xml:space="preserve">legal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equitable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bCs/>
          <w:color w:val="1C1C1C"/>
          <w:sz w:val="20"/>
          <w:szCs w:val="20"/>
          <w:lang w:val="tr-TR"/>
        </w:rPr>
        <w:t>principles</w:t>
      </w:r>
      <w:proofErr w:type="spellEnd"/>
      <w:r w:rsidRPr="009975EA">
        <w:rPr>
          <w:rFonts w:ascii="Times New Roman" w:hAnsi="Times New Roman" w:cs="Times New Roman"/>
          <w:color w:val="000000"/>
          <w:sz w:val="20"/>
          <w:szCs w:val="20"/>
          <w:lang w:val="tr-TR"/>
        </w:rPr>
        <w:t>.”</w:t>
      </w:r>
    </w:p>
  </w:footnote>
  <w:footnote w:id="221">
    <w:p w14:paraId="5923F26B" w14:textId="10A12559"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question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transactions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involving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conflicting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efficient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inefficient</w:t>
      </w:r>
      <w:proofErr w:type="spellEnd"/>
      <w:r w:rsidRPr="009975EA">
        <w:rPr>
          <w:rFonts w:ascii="Times New Roman" w:hAnsi="Times New Roman" w:cs="Times New Roman"/>
          <w:color w:val="000000"/>
          <w:sz w:val="20"/>
          <w:szCs w:val="20"/>
        </w:rPr>
        <w:t xml:space="preserve"> is at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root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self-</w:t>
      </w:r>
      <w:proofErr w:type="spellStart"/>
      <w:r w:rsidRPr="009975EA">
        <w:rPr>
          <w:rFonts w:ascii="Times New Roman" w:hAnsi="Times New Roman" w:cs="Times New Roman"/>
          <w:color w:val="000000"/>
          <w:sz w:val="20"/>
          <w:szCs w:val="20"/>
        </w:rPr>
        <w:t>dealing</w:t>
      </w:r>
      <w:proofErr w:type="spellEnd"/>
      <w:r w:rsidRPr="009975EA">
        <w:rPr>
          <w:rFonts w:ascii="Times New Roman" w:hAnsi="Times New Roman" w:cs="Times New Roman"/>
          <w:color w:val="000000"/>
          <w:sz w:val="20"/>
          <w:szCs w:val="20"/>
        </w:rPr>
        <w:t xml:space="preserve"> problem.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position w:val="-3"/>
          <w:sz w:val="20"/>
          <w:szCs w:val="20"/>
        </w:rPr>
        <w:t>this</w:t>
      </w:r>
      <w:proofErr w:type="spellEnd"/>
      <w:r w:rsidRPr="009975EA">
        <w:rPr>
          <w:rFonts w:ascii="Times New Roman" w:hAnsi="Times New Roman" w:cs="Times New Roman"/>
          <w:color w:val="000000"/>
          <w:position w:val="-3"/>
          <w:sz w:val="20"/>
          <w:szCs w:val="20"/>
        </w:rPr>
        <w:t xml:space="preserve"> </w:t>
      </w:r>
      <w:proofErr w:type="spellStart"/>
      <w:r w:rsidRPr="009975EA">
        <w:rPr>
          <w:rFonts w:ascii="Times New Roman" w:hAnsi="Times New Roman" w:cs="Times New Roman"/>
          <w:color w:val="000000"/>
          <w:position w:val="2"/>
          <w:sz w:val="20"/>
          <w:szCs w:val="20"/>
        </w:rPr>
        <w:t>reason</w:t>
      </w:r>
      <w:proofErr w:type="spellEnd"/>
      <w:r w:rsidRPr="009975EA">
        <w:rPr>
          <w:rFonts w:ascii="Times New Roman" w:hAnsi="Times New Roman" w:cs="Times New Roman"/>
          <w:color w:val="000000"/>
          <w:position w:val="2"/>
          <w:sz w:val="20"/>
          <w:szCs w:val="20"/>
        </w:rPr>
        <w:t xml:space="preserve">, </w:t>
      </w:r>
      <w:r w:rsidRPr="009975EA">
        <w:rPr>
          <w:rFonts w:ascii="Times New Roman" w:hAnsi="Times New Roman" w:cs="Times New Roman"/>
          <w:color w:val="000000"/>
          <w:sz w:val="20"/>
          <w:szCs w:val="20"/>
        </w:rPr>
        <w:t xml:space="preserve">an </w:t>
      </w:r>
      <w:proofErr w:type="spellStart"/>
      <w:r w:rsidRPr="009975EA">
        <w:rPr>
          <w:rFonts w:ascii="Times New Roman" w:hAnsi="Times New Roman" w:cs="Times New Roman"/>
          <w:color w:val="000000"/>
          <w:sz w:val="20"/>
          <w:szCs w:val="20"/>
        </w:rPr>
        <w:t>adequate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problem </w:t>
      </w:r>
      <w:proofErr w:type="spellStart"/>
      <w:r w:rsidRPr="009975EA">
        <w:rPr>
          <w:rFonts w:ascii="Times New Roman" w:hAnsi="Times New Roman" w:cs="Times New Roman"/>
          <w:color w:val="000000"/>
          <w:sz w:val="20"/>
          <w:szCs w:val="20"/>
        </w:rPr>
        <w:t>requires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mechanisms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position w:val="2"/>
          <w:sz w:val="20"/>
          <w:szCs w:val="20"/>
        </w:rPr>
        <w:t>distinguish</w:t>
      </w:r>
      <w:proofErr w:type="spellEnd"/>
      <w:r w:rsidRPr="009975EA">
        <w:rPr>
          <w:rFonts w:ascii="Times New Roman" w:hAnsi="Times New Roman" w:cs="Times New Roman"/>
          <w:color w:val="000000"/>
          <w:position w:val="2"/>
          <w:sz w:val="20"/>
          <w:szCs w:val="20"/>
        </w:rPr>
        <w:t xml:space="preserve"> </w:t>
      </w:r>
      <w:proofErr w:type="spellStart"/>
      <w:r w:rsidRPr="009975EA">
        <w:rPr>
          <w:rFonts w:ascii="Times New Roman" w:hAnsi="Times New Roman" w:cs="Times New Roman"/>
          <w:color w:val="000000"/>
          <w:sz w:val="20"/>
          <w:szCs w:val="20"/>
        </w:rPr>
        <w:t>between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efficient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inefficient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deals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Zohar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Goshen</w:t>
      </w:r>
      <w:proofErr w:type="spellEnd"/>
      <w:r w:rsidRPr="009975EA">
        <w:rPr>
          <w:rFonts w:ascii="Times New Roman" w:hAnsi="Times New Roman" w:cs="Times New Roman"/>
          <w:color w:val="000000"/>
          <w:sz w:val="20"/>
          <w:szCs w:val="20"/>
        </w:rPr>
        <w:t xml:space="preserve">, </w:t>
      </w:r>
      <w:proofErr w:type="spellStart"/>
      <w:r w:rsidRPr="00C96A28">
        <w:rPr>
          <w:rFonts w:ascii="Times New Roman" w:hAnsi="Times New Roman" w:cs="Times New Roman"/>
          <w:i/>
          <w:color w:val="000000"/>
          <w:sz w:val="20"/>
          <w:szCs w:val="20"/>
        </w:rPr>
        <w:t>The</w:t>
      </w:r>
      <w:proofErr w:type="spellEnd"/>
      <w:r w:rsidRPr="00C96A28">
        <w:rPr>
          <w:rFonts w:ascii="Times New Roman" w:hAnsi="Times New Roman" w:cs="Times New Roman"/>
          <w:i/>
          <w:color w:val="000000"/>
          <w:sz w:val="20"/>
          <w:szCs w:val="20"/>
        </w:rPr>
        <w:t xml:space="preserve"> </w:t>
      </w:r>
      <w:proofErr w:type="spellStart"/>
      <w:r w:rsidRPr="00C96A28">
        <w:rPr>
          <w:rFonts w:ascii="Times New Roman" w:hAnsi="Times New Roman" w:cs="Times New Roman"/>
          <w:i/>
          <w:color w:val="000000"/>
          <w:sz w:val="20"/>
          <w:szCs w:val="20"/>
        </w:rPr>
        <w:t>Efficiency</w:t>
      </w:r>
      <w:proofErr w:type="spellEnd"/>
      <w:r w:rsidRPr="00C96A28">
        <w:rPr>
          <w:rFonts w:ascii="Times New Roman" w:hAnsi="Times New Roman" w:cs="Times New Roman"/>
          <w:i/>
          <w:color w:val="000000"/>
          <w:sz w:val="20"/>
          <w:szCs w:val="20"/>
        </w:rPr>
        <w:t xml:space="preserve"> of </w:t>
      </w:r>
      <w:proofErr w:type="spellStart"/>
      <w:r w:rsidRPr="00C96A28">
        <w:rPr>
          <w:rFonts w:ascii="Times New Roman" w:hAnsi="Times New Roman" w:cs="Times New Roman"/>
          <w:i/>
          <w:color w:val="000000"/>
          <w:sz w:val="20"/>
          <w:szCs w:val="20"/>
        </w:rPr>
        <w:t>Controlling</w:t>
      </w:r>
      <w:proofErr w:type="spellEnd"/>
      <w:r w:rsidRPr="00C96A28">
        <w:rPr>
          <w:rFonts w:ascii="Times New Roman" w:hAnsi="Times New Roman" w:cs="Times New Roman"/>
          <w:i/>
          <w:color w:val="000000"/>
          <w:sz w:val="20"/>
          <w:szCs w:val="20"/>
        </w:rPr>
        <w:t xml:space="preserve"> </w:t>
      </w:r>
      <w:proofErr w:type="spellStart"/>
      <w:r w:rsidRPr="00C96A28">
        <w:rPr>
          <w:rFonts w:ascii="Times New Roman" w:hAnsi="Times New Roman" w:cs="Times New Roman"/>
          <w:i/>
          <w:color w:val="000000"/>
          <w:sz w:val="20"/>
          <w:szCs w:val="20"/>
        </w:rPr>
        <w:t>Corporate</w:t>
      </w:r>
      <w:proofErr w:type="spellEnd"/>
      <w:r w:rsidRPr="00C96A28">
        <w:rPr>
          <w:rFonts w:ascii="Times New Roman" w:hAnsi="Times New Roman" w:cs="Times New Roman"/>
          <w:i/>
          <w:color w:val="000000"/>
          <w:sz w:val="20"/>
          <w:szCs w:val="20"/>
        </w:rPr>
        <w:t xml:space="preserve"> Self- </w:t>
      </w:r>
      <w:proofErr w:type="spellStart"/>
      <w:r w:rsidRPr="00C96A28">
        <w:rPr>
          <w:rFonts w:ascii="Times New Roman" w:hAnsi="Times New Roman" w:cs="Times New Roman"/>
          <w:i/>
          <w:color w:val="000000"/>
          <w:sz w:val="20"/>
          <w:szCs w:val="20"/>
        </w:rPr>
        <w:t>Dealing</w:t>
      </w:r>
      <w:proofErr w:type="spellEnd"/>
      <w:r w:rsidRPr="00C96A28">
        <w:rPr>
          <w:rFonts w:ascii="Times New Roman" w:hAnsi="Times New Roman" w:cs="Times New Roman"/>
          <w:i/>
          <w:color w:val="000000"/>
          <w:sz w:val="20"/>
          <w:szCs w:val="20"/>
        </w:rPr>
        <w:t xml:space="preserve">: </w:t>
      </w:r>
      <w:proofErr w:type="spellStart"/>
      <w:r w:rsidRPr="00C96A28">
        <w:rPr>
          <w:rFonts w:ascii="Times New Roman" w:hAnsi="Times New Roman" w:cs="Times New Roman"/>
          <w:i/>
          <w:color w:val="000000"/>
          <w:sz w:val="20"/>
          <w:szCs w:val="20"/>
        </w:rPr>
        <w:t>Theory</w:t>
      </w:r>
      <w:proofErr w:type="spellEnd"/>
      <w:r w:rsidRPr="00C96A28">
        <w:rPr>
          <w:rFonts w:ascii="Times New Roman" w:hAnsi="Times New Roman" w:cs="Times New Roman"/>
          <w:i/>
          <w:color w:val="000000"/>
          <w:sz w:val="20"/>
          <w:szCs w:val="20"/>
        </w:rPr>
        <w:t xml:space="preserve"> </w:t>
      </w:r>
      <w:proofErr w:type="spellStart"/>
      <w:r w:rsidRPr="00C96A28">
        <w:rPr>
          <w:rFonts w:ascii="Times New Roman" w:hAnsi="Times New Roman" w:cs="Times New Roman"/>
          <w:i/>
          <w:color w:val="000000"/>
          <w:sz w:val="20"/>
          <w:szCs w:val="20"/>
        </w:rPr>
        <w:t>Meets</w:t>
      </w:r>
      <w:proofErr w:type="spellEnd"/>
      <w:r w:rsidRPr="00C96A28">
        <w:rPr>
          <w:rFonts w:ascii="Times New Roman" w:hAnsi="Times New Roman" w:cs="Times New Roman"/>
          <w:i/>
          <w:color w:val="000000"/>
          <w:sz w:val="20"/>
          <w:szCs w:val="20"/>
        </w:rPr>
        <w:t xml:space="preserve"> </w:t>
      </w:r>
      <w:proofErr w:type="spellStart"/>
      <w:r w:rsidRPr="00C96A28">
        <w:rPr>
          <w:rFonts w:ascii="Times New Roman" w:hAnsi="Times New Roman" w:cs="Times New Roman"/>
          <w:i/>
          <w:color w:val="000000"/>
          <w:sz w:val="20"/>
          <w:szCs w:val="20"/>
        </w:rPr>
        <w:t>Reality</w:t>
      </w:r>
      <w:proofErr w:type="spellEnd"/>
      <w:r>
        <w:rPr>
          <w:rFonts w:ascii="Times New Roman" w:hAnsi="Times New Roman" w:cs="Times New Roman"/>
          <w:color w:val="000000"/>
          <w:sz w:val="20"/>
          <w:szCs w:val="20"/>
        </w:rPr>
        <w:t xml:space="preserve">, 91 Cal. L. </w:t>
      </w:r>
      <w:proofErr w:type="spellStart"/>
      <w:r>
        <w:rPr>
          <w:rFonts w:ascii="Times New Roman" w:hAnsi="Times New Roman" w:cs="Times New Roman"/>
          <w:color w:val="000000"/>
          <w:sz w:val="20"/>
          <w:szCs w:val="20"/>
        </w:rPr>
        <w:t>Rev</w:t>
      </w:r>
      <w:proofErr w:type="spellEnd"/>
      <w:r>
        <w:rPr>
          <w:rFonts w:ascii="Times New Roman" w:hAnsi="Times New Roman" w:cs="Times New Roman"/>
          <w:color w:val="000000"/>
          <w:sz w:val="20"/>
          <w:szCs w:val="20"/>
        </w:rPr>
        <w:t xml:space="preserve">. 393 (2003), </w:t>
      </w:r>
      <w:r w:rsidR="00F37175">
        <w:rPr>
          <w:rFonts w:ascii="Times New Roman" w:hAnsi="Times New Roman" w:cs="Times New Roman"/>
          <w:color w:val="000000"/>
          <w:sz w:val="20"/>
          <w:szCs w:val="20"/>
        </w:rPr>
        <w:t>p.</w:t>
      </w:r>
      <w:r>
        <w:rPr>
          <w:rFonts w:ascii="Times New Roman" w:hAnsi="Times New Roman" w:cs="Times New Roman"/>
          <w:color w:val="000000"/>
          <w:sz w:val="20"/>
          <w:szCs w:val="20"/>
        </w:rPr>
        <w:t xml:space="preserve"> </w:t>
      </w:r>
      <w:r w:rsidRPr="009975EA">
        <w:rPr>
          <w:rFonts w:ascii="Times New Roman" w:hAnsi="Times New Roman" w:cs="Times New Roman"/>
          <w:color w:val="000000"/>
          <w:sz w:val="20"/>
          <w:szCs w:val="20"/>
        </w:rPr>
        <w:t>401</w:t>
      </w:r>
      <w:r w:rsidRPr="009975EA">
        <w:rPr>
          <w:rFonts w:ascii="Times New Roman" w:hAnsi="Times New Roman" w:cs="Times New Roman"/>
          <w:sz w:val="20"/>
          <w:szCs w:val="20"/>
        </w:rPr>
        <w:t>)</w:t>
      </w:r>
    </w:p>
  </w:footnote>
  <w:footnote w:id="222">
    <w:p w14:paraId="062C2B2A" w14:textId="37AE3A7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this sense, standards used to track these benefits such as “reasonable expectations” may inherently violate this principle. See, J.C. Bruno, </w:t>
      </w:r>
      <w:r w:rsidRPr="00C96A28">
        <w:rPr>
          <w:rFonts w:ascii="Times New Roman" w:hAnsi="Times New Roman" w:cs="Times New Roman"/>
          <w:i/>
          <w:sz w:val="20"/>
          <w:szCs w:val="20"/>
        </w:rPr>
        <w:t>“Reasonable Expectations”- A Primer on an Oppressive Standard,</w:t>
      </w:r>
      <w:r w:rsidRPr="009975EA">
        <w:rPr>
          <w:rFonts w:ascii="Times New Roman" w:hAnsi="Times New Roman" w:cs="Times New Roman"/>
          <w:sz w:val="20"/>
          <w:szCs w:val="20"/>
        </w:rPr>
        <w:t xml:space="preserve"> 71 Mich. B.J. 434 (1992), stating that “reasonable expectations” test would create instability and uncertainty in the field of corporate law. </w:t>
      </w:r>
    </w:p>
  </w:footnote>
  <w:footnote w:id="223">
    <w:p w14:paraId="034F5A2A"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drive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predictability</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particularly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strong</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areas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define legal </w:t>
      </w:r>
      <w:proofErr w:type="spellStart"/>
      <w:r w:rsidRPr="009975EA">
        <w:rPr>
          <w:rFonts w:ascii="Times New Roman" w:hAnsi="Times New Roman" w:cs="Times New Roman"/>
          <w:sz w:val="20"/>
          <w:szCs w:val="20"/>
        </w:rPr>
        <w:t>relationships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stranges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engaged</w:t>
      </w:r>
      <w:proofErr w:type="spellEnd"/>
      <w:r w:rsidRPr="009975EA">
        <w:rPr>
          <w:rFonts w:ascii="Times New Roman" w:hAnsi="Times New Roman" w:cs="Times New Roman"/>
          <w:sz w:val="20"/>
          <w:szCs w:val="20"/>
        </w:rPr>
        <w:t xml:space="preserve"> in an </w:t>
      </w:r>
      <w:proofErr w:type="spellStart"/>
      <w:r w:rsidRPr="009975EA">
        <w:rPr>
          <w:rFonts w:ascii="Times New Roman" w:hAnsi="Times New Roman" w:cs="Times New Roman"/>
          <w:sz w:val="20"/>
          <w:szCs w:val="20"/>
        </w:rPr>
        <w:t>onging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family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religious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kind</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social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relationship</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Lovett</w:t>
      </w:r>
      <w:proofErr w:type="spellEnd"/>
      <w:r w:rsidRPr="009975EA">
        <w:rPr>
          <w:rFonts w:ascii="Times New Roman" w:hAnsi="Times New Roman" w:cs="Times New Roman"/>
          <w:sz w:val="20"/>
          <w:szCs w:val="20"/>
        </w:rPr>
        <w:t>, p.1397)</w:t>
      </w:r>
    </w:p>
  </w:footnote>
  <w:footnote w:id="224">
    <w:p w14:paraId="1642A7E5"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“At the same time, the value of legal certainty is often understood from a specific philosophical and political orientation- grounded in the theories of separation of powers and legal positivism- that seeks to limit a judge’s discretionary power to render decisions based on sources and </w:t>
      </w:r>
      <w:proofErr w:type="spellStart"/>
      <w:r w:rsidRPr="009975EA">
        <w:rPr>
          <w:rFonts w:ascii="Times New Roman" w:hAnsi="Times New Roman" w:cs="Times New Roman"/>
          <w:sz w:val="20"/>
          <w:szCs w:val="20"/>
        </w:rPr>
        <w:t>consideratons</w:t>
      </w:r>
      <w:proofErr w:type="spellEnd"/>
      <w:r w:rsidRPr="009975EA">
        <w:rPr>
          <w:rFonts w:ascii="Times New Roman" w:hAnsi="Times New Roman" w:cs="Times New Roman"/>
          <w:sz w:val="20"/>
          <w:szCs w:val="20"/>
        </w:rPr>
        <w:t xml:space="preserve"> other than the rules expressly stated in the positive law”. (Lovett, p.1398)</w:t>
      </w:r>
    </w:p>
  </w:footnote>
  <w:footnote w:id="225">
    <w:p w14:paraId="34C293B1" w14:textId="3D2C0AD6" w:rsidR="0022324A" w:rsidRPr="009975EA" w:rsidRDefault="0022324A" w:rsidP="0022324A">
      <w:pPr>
        <w:widowControl w:val="0"/>
        <w:autoSpaceDE w:val="0"/>
        <w:autoSpaceDN w:val="0"/>
        <w:adjustRightInd w:val="0"/>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Minority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presence of dominant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long</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reduction</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managerial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agency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costs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greater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costs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private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w:t>
      </w:r>
      <w:r>
        <w:rPr>
          <w:rFonts w:ascii="Times New Roman" w:hAnsi="Times New Roman" w:cs="Times New Roman"/>
          <w:sz w:val="20"/>
          <w:szCs w:val="20"/>
        </w:rPr>
        <w:t>efits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control</w:t>
      </w:r>
      <w:proofErr w:type="spellEnd"/>
      <w:r>
        <w:rPr>
          <w:rFonts w:ascii="Times New Roman" w:hAnsi="Times New Roman" w:cs="Times New Roman"/>
          <w:sz w:val="20"/>
          <w:szCs w:val="20"/>
        </w:rPr>
        <w:t xml:space="preserve"> (Ronald </w:t>
      </w:r>
      <w:proofErr w:type="spellStart"/>
      <w:r>
        <w:rPr>
          <w:rFonts w:ascii="Times New Roman" w:hAnsi="Times New Roman" w:cs="Times New Roman"/>
          <w:sz w:val="20"/>
          <w:szCs w:val="20"/>
        </w:rPr>
        <w:t>Gibson</w:t>
      </w:r>
      <w:proofErr w:type="spellEnd"/>
      <w:r>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Jeffrey</w:t>
      </w:r>
      <w:proofErr w:type="spellEnd"/>
      <w:r w:rsidRPr="009975EA">
        <w:rPr>
          <w:rFonts w:ascii="Times New Roman" w:hAnsi="Times New Roman" w:cs="Times New Roman"/>
          <w:sz w:val="20"/>
          <w:szCs w:val="20"/>
        </w:rPr>
        <w:t xml:space="preserve"> Gordon, </w:t>
      </w:r>
      <w:proofErr w:type="spellStart"/>
      <w:r w:rsidRPr="009975EA">
        <w:rPr>
          <w:rFonts w:ascii="Times New Roman" w:hAnsi="Times New Roman" w:cs="Times New Roman"/>
          <w:i/>
          <w:sz w:val="20"/>
          <w:szCs w:val="20"/>
        </w:rPr>
        <w:t>Controlling</w:t>
      </w:r>
      <w:proofErr w:type="spellEnd"/>
      <w:r w:rsidRPr="009975EA">
        <w:rPr>
          <w:rFonts w:ascii="Times New Roman" w:hAnsi="Times New Roman" w:cs="Times New Roman"/>
          <w:i/>
          <w:sz w:val="20"/>
          <w:szCs w:val="20"/>
        </w:rPr>
        <w:t xml:space="preserve"> </w:t>
      </w:r>
      <w:proofErr w:type="spellStart"/>
      <w:r w:rsidRPr="009975EA">
        <w:rPr>
          <w:rFonts w:ascii="Times New Roman" w:hAnsi="Times New Roman" w:cs="Times New Roman"/>
          <w:i/>
          <w:sz w:val="20"/>
          <w:szCs w:val="20"/>
        </w:rPr>
        <w:t>Controlling</w:t>
      </w:r>
      <w:proofErr w:type="spellEnd"/>
      <w:r w:rsidRPr="009975EA">
        <w:rPr>
          <w:rFonts w:ascii="Times New Roman" w:hAnsi="Times New Roman" w:cs="Times New Roman"/>
          <w:i/>
          <w:sz w:val="20"/>
          <w:szCs w:val="20"/>
        </w:rPr>
        <w:t xml:space="preserve"> </w:t>
      </w:r>
      <w:proofErr w:type="spellStart"/>
      <w:r w:rsidRPr="009975EA">
        <w:rPr>
          <w:rFonts w:ascii="Times New Roman" w:hAnsi="Times New Roman" w:cs="Times New Roman"/>
          <w:i/>
          <w:sz w:val="20"/>
          <w:szCs w:val="20"/>
        </w:rPr>
        <w:t>Shareholders</w:t>
      </w:r>
      <w:proofErr w:type="spellEnd"/>
      <w:r>
        <w:rPr>
          <w:rFonts w:ascii="Times New Roman" w:hAnsi="Times New Roman" w:cs="Times New Roman"/>
          <w:sz w:val="20"/>
          <w:szCs w:val="20"/>
        </w:rPr>
        <w:t xml:space="preserve">, 152 </w:t>
      </w:r>
      <w:proofErr w:type="spellStart"/>
      <w:r>
        <w:rPr>
          <w:rFonts w:ascii="Times New Roman" w:hAnsi="Times New Roman" w:cs="Times New Roman"/>
          <w:sz w:val="20"/>
          <w:szCs w:val="20"/>
        </w:rPr>
        <w:t>U.PA.</w:t>
      </w:r>
      <w:proofErr w:type="gramStart"/>
      <w:r>
        <w:rPr>
          <w:rFonts w:ascii="Times New Roman" w:hAnsi="Times New Roman" w:cs="Times New Roman"/>
          <w:sz w:val="20"/>
          <w:szCs w:val="20"/>
        </w:rPr>
        <w:t>L.Rev</w:t>
      </w:r>
      <w:proofErr w:type="spellEnd"/>
      <w:proofErr w:type="gramEnd"/>
      <w:r>
        <w:rPr>
          <w:rFonts w:ascii="Times New Roman" w:hAnsi="Times New Roman" w:cs="Times New Roman"/>
          <w:sz w:val="20"/>
          <w:szCs w:val="20"/>
        </w:rPr>
        <w:t xml:space="preserve">. 785 (2003) at </w:t>
      </w:r>
      <w:r w:rsidRPr="009975EA">
        <w:rPr>
          <w:rFonts w:ascii="Times New Roman" w:hAnsi="Times New Roman" w:cs="Times New Roman"/>
          <w:sz w:val="20"/>
          <w:szCs w:val="20"/>
        </w:rPr>
        <w:t xml:space="preserve">786).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a </w:t>
      </w:r>
      <w:r w:rsidR="00F37175">
        <w:rPr>
          <w:rFonts w:ascii="Times New Roman" w:hAnsi="Times New Roman" w:cs="Times New Roman"/>
          <w:sz w:val="20"/>
          <w:szCs w:val="20"/>
        </w:rPr>
        <w:pgNum/>
      </w:r>
      <w:proofErr w:type="spellStart"/>
      <w:r w:rsidR="00F37175">
        <w:rPr>
          <w:rFonts w:ascii="Times New Roman" w:hAnsi="Times New Roman" w:cs="Times New Roman"/>
          <w:sz w:val="20"/>
          <w:szCs w:val="20"/>
        </w:rPr>
        <w:t>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controlling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more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likely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focus</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building</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leading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position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take</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longer-term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view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growth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needed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accomplish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goal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contrast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widely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held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public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must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answer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every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quarter</w:t>
      </w:r>
      <w:proofErr w:type="spellEnd"/>
      <w:r w:rsidRPr="009975EA">
        <w:rPr>
          <w:rFonts w:ascii="Times New Roman" w:hAnsi="Times New Roman" w:cs="Times New Roman"/>
          <w:sz w:val="20"/>
          <w:szCs w:val="20"/>
        </w:rPr>
        <w:t xml:space="preserve"> </w:t>
      </w:r>
      <w:r w:rsidR="00F37175">
        <w:rPr>
          <w:rFonts w:ascii="Times New Roman" w:hAnsi="Times New Roman" w:cs="Times New Roman"/>
          <w:sz w:val="20"/>
          <w:szCs w:val="20"/>
        </w:rPr>
        <w:pgNum/>
      </w:r>
      <w:proofErr w:type="spellStart"/>
      <w:r w:rsidR="00F37175">
        <w:rPr>
          <w:rFonts w:ascii="Times New Roman" w:hAnsi="Times New Roman" w:cs="Times New Roman"/>
          <w:sz w:val="20"/>
          <w:szCs w:val="20"/>
        </w:rPr>
        <w:t>orpora</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focused</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maximizing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earnings</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immediate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w:t>
      </w:r>
      <w:proofErr w:type="spellEnd"/>
      <w:r w:rsidRPr="009975EA">
        <w:rPr>
          <w:rFonts w:ascii="Times New Roman" w:hAnsi="Times New Roman" w:cs="Times New Roman"/>
          <w:sz w:val="20"/>
          <w:szCs w:val="20"/>
        </w:rPr>
        <w:t>”</w:t>
      </w:r>
      <w:r>
        <w:rPr>
          <w:rFonts w:ascii="Times New Roman" w:hAnsi="Times New Roman" w:cs="Times New Roman"/>
          <w:sz w:val="20"/>
          <w:szCs w:val="20"/>
        </w:rPr>
        <w:t xml:space="preserve"> </w:t>
      </w:r>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Playing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New Global </w:t>
      </w:r>
      <w:proofErr w:type="spellStart"/>
      <w:r w:rsidRPr="009975EA">
        <w:rPr>
          <w:rFonts w:ascii="Times New Roman" w:hAnsi="Times New Roman" w:cs="Times New Roman"/>
          <w:sz w:val="20"/>
          <w:szCs w:val="20"/>
        </w:rPr>
        <w:t>Competition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Profits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McKinse</w:t>
      </w:r>
      <w:r>
        <w:rPr>
          <w:rFonts w:ascii="Times New Roman" w:hAnsi="Times New Roman" w:cs="Times New Roman"/>
          <w:sz w:val="20"/>
          <w:szCs w:val="20"/>
        </w:rPr>
        <w:t>y&amp;Company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Executive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Summary</w:t>
      </w:r>
      <w:proofErr w:type="spellEnd"/>
      <w:r>
        <w:rPr>
          <w:rFonts w:ascii="Times New Roman" w:hAnsi="Times New Roman" w:cs="Times New Roman"/>
          <w:sz w:val="20"/>
          <w:szCs w:val="20"/>
        </w:rPr>
        <w:t xml:space="preserve"> </w:t>
      </w:r>
      <w:r w:rsidR="00F37175">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 xml:space="preserve">8). </w:t>
      </w:r>
    </w:p>
  </w:footnote>
  <w:footnote w:id="226">
    <w:p w14:paraId="162FBD3C" w14:textId="7332DB58"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Dammann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Ostracism</w:t>
      </w:r>
      <w:proofErr w:type="spellEnd"/>
      <w:r w:rsidRPr="009975EA">
        <w:rPr>
          <w:rFonts w:ascii="Times New Roman" w:hAnsi="Times New Roman" w:cs="Times New Roman"/>
          <w:sz w:val="20"/>
          <w:szCs w:val="20"/>
        </w:rPr>
        <w:t>, p.706-707.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possible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certain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situations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transaction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interested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available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group</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example</w:t>
      </w:r>
      <w:proofErr w:type="spellEnd"/>
      <w:r w:rsidRPr="009975EA">
        <w:rPr>
          <w:rFonts w:ascii="Times New Roman" w:hAnsi="Times New Roman" w:cs="Times New Roman"/>
          <w:color w:val="000000"/>
          <w:sz w:val="20"/>
          <w:szCs w:val="20"/>
        </w:rPr>
        <w:t xml:space="preserve">, a </w:t>
      </w:r>
      <w:proofErr w:type="spellStart"/>
      <w:r w:rsidR="00F37175">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credit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circumstances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loan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taken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owners</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cheapest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Indeed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cases</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important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transaction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simply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impossible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self- </w:t>
      </w:r>
      <w:proofErr w:type="spellStart"/>
      <w:r w:rsidRPr="009975EA">
        <w:rPr>
          <w:rFonts w:ascii="Times New Roman" w:hAnsi="Times New Roman" w:cs="Times New Roman"/>
          <w:color w:val="000000"/>
          <w:sz w:val="20"/>
          <w:szCs w:val="20"/>
        </w:rPr>
        <w:t>dealing</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Goshen</w:t>
      </w:r>
      <w:proofErr w:type="spellEnd"/>
      <w:r w:rsidRPr="009975EA">
        <w:rPr>
          <w:rFonts w:ascii="Times New Roman" w:hAnsi="Times New Roman" w:cs="Times New Roman"/>
          <w:color w:val="000000"/>
          <w:sz w:val="20"/>
          <w:szCs w:val="20"/>
        </w:rPr>
        <w:t>, p.400)</w:t>
      </w:r>
    </w:p>
  </w:footnote>
  <w:footnote w:id="227">
    <w:p w14:paraId="5E2D3472" w14:textId="615A0B9D" w:rsidR="00035E79" w:rsidRPr="0047452F" w:rsidRDefault="00035E79">
      <w:pPr>
        <w:pStyle w:val="DipnotMetni"/>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003C2766" w:rsidRPr="0047452F">
        <w:rPr>
          <w:rFonts w:ascii="Times New Roman" w:hAnsi="Times New Roman" w:cs="Times New Roman"/>
          <w:sz w:val="20"/>
          <w:szCs w:val="20"/>
        </w:rPr>
        <w:t>Pehlivanoğlu, 2022</w:t>
      </w:r>
      <w:r w:rsidR="00F37175">
        <w:rPr>
          <w:rFonts w:ascii="Times New Roman" w:hAnsi="Times New Roman" w:cs="Times New Roman"/>
          <w:sz w:val="20"/>
          <w:szCs w:val="20"/>
        </w:rPr>
        <w:t>,</w:t>
      </w:r>
      <w:r w:rsidR="003C2766" w:rsidRPr="0047452F">
        <w:rPr>
          <w:rFonts w:ascii="Times New Roman" w:hAnsi="Times New Roman" w:cs="Times New Roman"/>
          <w:sz w:val="20"/>
          <w:szCs w:val="20"/>
        </w:rPr>
        <w:t xml:space="preserve"> </w:t>
      </w:r>
      <w:r w:rsidR="00F37175">
        <w:rPr>
          <w:rFonts w:ascii="Times New Roman" w:hAnsi="Times New Roman" w:cs="Times New Roman"/>
          <w:sz w:val="20"/>
          <w:szCs w:val="20"/>
        </w:rPr>
        <w:t>p.</w:t>
      </w:r>
      <w:r w:rsidR="003C2766" w:rsidRPr="0047452F">
        <w:rPr>
          <w:rFonts w:ascii="Times New Roman" w:hAnsi="Times New Roman" w:cs="Times New Roman"/>
          <w:sz w:val="20"/>
          <w:szCs w:val="20"/>
        </w:rPr>
        <w:t xml:space="preserve"> 201.</w:t>
      </w:r>
    </w:p>
  </w:footnote>
  <w:footnote w:id="228">
    <w:p w14:paraId="407B6463" w14:textId="63D0AA73" w:rsidR="00D36541" w:rsidRPr="009975EA" w:rsidRDefault="00D36541" w:rsidP="009975EA">
      <w:pPr>
        <w:jc w:val="both"/>
        <w:outlineLvl w:val="0"/>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Pr>
          <w:rFonts w:ascii="Times New Roman" w:hAnsi="Times New Roman" w:cs="Times New Roman"/>
          <w:sz w:val="20"/>
          <w:szCs w:val="20"/>
          <w:lang w:eastAsia="tr-TR"/>
        </w:rPr>
        <w:t>Olaf</w:t>
      </w:r>
      <w:proofErr w:type="spellEnd"/>
      <w:r>
        <w:rPr>
          <w:rFonts w:ascii="Times New Roman" w:hAnsi="Times New Roman" w:cs="Times New Roman"/>
          <w:sz w:val="20"/>
          <w:szCs w:val="20"/>
          <w:lang w:eastAsia="tr-TR"/>
        </w:rPr>
        <w:t xml:space="preserve"> </w:t>
      </w:r>
      <w:proofErr w:type="spellStart"/>
      <w:r>
        <w:rPr>
          <w:rFonts w:ascii="Times New Roman" w:hAnsi="Times New Roman" w:cs="Times New Roman"/>
          <w:sz w:val="20"/>
          <w:szCs w:val="20"/>
          <w:lang w:eastAsia="tr-TR"/>
        </w:rPr>
        <w:t>Ehrhardt</w:t>
      </w:r>
      <w:proofErr w:type="spellEnd"/>
      <w:r>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Eric</w:t>
      </w:r>
      <w:proofErr w:type="spellEnd"/>
      <w:r w:rsidRPr="009975EA">
        <w:rPr>
          <w:rFonts w:ascii="Times New Roman" w:hAnsi="Times New Roman" w:cs="Times New Roman"/>
          <w:sz w:val="20"/>
          <w:szCs w:val="20"/>
          <w:lang w:eastAsia="tr-TR"/>
        </w:rPr>
        <w:t xml:space="preserve"> </w:t>
      </w:r>
      <w:proofErr w:type="spellStart"/>
      <w:r w:rsidRPr="009975EA">
        <w:rPr>
          <w:rFonts w:ascii="Times New Roman" w:hAnsi="Times New Roman" w:cs="Times New Roman"/>
          <w:sz w:val="20"/>
          <w:szCs w:val="20"/>
          <w:lang w:eastAsia="tr-TR"/>
        </w:rPr>
        <w:t>Nowak</w:t>
      </w:r>
      <w:proofErr w:type="spellEnd"/>
      <w:r w:rsidRPr="009975EA">
        <w:rPr>
          <w:rFonts w:ascii="Times New Roman" w:hAnsi="Times New Roman" w:cs="Times New Roman"/>
          <w:sz w:val="20"/>
          <w:szCs w:val="20"/>
          <w:lang w:eastAsia="tr-TR"/>
        </w:rPr>
        <w:t xml:space="preserve">, </w:t>
      </w:r>
      <w:proofErr w:type="spellStart"/>
      <w:r w:rsidRPr="00C96A28">
        <w:rPr>
          <w:rFonts w:ascii="Times New Roman" w:hAnsi="Times New Roman" w:cs="Times New Roman"/>
          <w:i/>
          <w:sz w:val="20"/>
          <w:szCs w:val="20"/>
          <w:lang w:eastAsia="tr-TR"/>
        </w:rPr>
        <w:t>Private</w:t>
      </w:r>
      <w:proofErr w:type="spellEnd"/>
      <w:r w:rsidRPr="00C96A28">
        <w:rPr>
          <w:rFonts w:ascii="Times New Roman" w:hAnsi="Times New Roman" w:cs="Times New Roman"/>
          <w:i/>
          <w:sz w:val="20"/>
          <w:szCs w:val="20"/>
          <w:lang w:eastAsia="tr-TR"/>
        </w:rPr>
        <w:t xml:space="preserve"> </w:t>
      </w:r>
      <w:proofErr w:type="spellStart"/>
      <w:r w:rsidRPr="00C96A28">
        <w:rPr>
          <w:rFonts w:ascii="Times New Roman" w:hAnsi="Times New Roman" w:cs="Times New Roman"/>
          <w:i/>
          <w:sz w:val="20"/>
          <w:szCs w:val="20"/>
          <w:lang w:eastAsia="tr-TR"/>
        </w:rPr>
        <w:t>Benefits</w:t>
      </w:r>
      <w:proofErr w:type="spellEnd"/>
      <w:r w:rsidRPr="00C96A28">
        <w:rPr>
          <w:rFonts w:ascii="Times New Roman" w:hAnsi="Times New Roman" w:cs="Times New Roman"/>
          <w:i/>
          <w:sz w:val="20"/>
          <w:szCs w:val="20"/>
          <w:lang w:eastAsia="tr-TR"/>
        </w:rPr>
        <w:t xml:space="preserve"> </w:t>
      </w:r>
      <w:proofErr w:type="spellStart"/>
      <w:r w:rsidRPr="00C96A28">
        <w:rPr>
          <w:rFonts w:ascii="Times New Roman" w:hAnsi="Times New Roman" w:cs="Times New Roman"/>
          <w:i/>
          <w:sz w:val="20"/>
          <w:szCs w:val="20"/>
          <w:lang w:eastAsia="tr-TR"/>
        </w:rPr>
        <w:t>and</w:t>
      </w:r>
      <w:proofErr w:type="spellEnd"/>
      <w:r w:rsidRPr="00C96A28">
        <w:rPr>
          <w:rFonts w:ascii="Times New Roman" w:hAnsi="Times New Roman" w:cs="Times New Roman"/>
          <w:i/>
          <w:sz w:val="20"/>
          <w:szCs w:val="20"/>
          <w:lang w:eastAsia="tr-TR"/>
        </w:rPr>
        <w:t xml:space="preserve"> </w:t>
      </w:r>
      <w:proofErr w:type="spellStart"/>
      <w:r w:rsidRPr="00C96A28">
        <w:rPr>
          <w:rFonts w:ascii="Times New Roman" w:hAnsi="Times New Roman" w:cs="Times New Roman"/>
          <w:i/>
          <w:sz w:val="20"/>
          <w:szCs w:val="20"/>
          <w:lang w:eastAsia="tr-TR"/>
        </w:rPr>
        <w:t>Minority</w:t>
      </w:r>
      <w:proofErr w:type="spellEnd"/>
      <w:r w:rsidRPr="00C96A28">
        <w:rPr>
          <w:rFonts w:ascii="Times New Roman" w:hAnsi="Times New Roman" w:cs="Times New Roman"/>
          <w:i/>
          <w:sz w:val="20"/>
          <w:szCs w:val="20"/>
          <w:lang w:eastAsia="tr-TR"/>
        </w:rPr>
        <w:t xml:space="preserve"> </w:t>
      </w:r>
      <w:proofErr w:type="spellStart"/>
      <w:r w:rsidRPr="00C96A28">
        <w:rPr>
          <w:rFonts w:ascii="Times New Roman" w:hAnsi="Times New Roman" w:cs="Times New Roman"/>
          <w:i/>
          <w:sz w:val="20"/>
          <w:szCs w:val="20"/>
          <w:lang w:eastAsia="tr-TR"/>
        </w:rPr>
        <w:t>Shareholder</w:t>
      </w:r>
      <w:proofErr w:type="spellEnd"/>
      <w:r w:rsidRPr="00C96A28">
        <w:rPr>
          <w:rFonts w:ascii="Times New Roman" w:hAnsi="Times New Roman" w:cs="Times New Roman"/>
          <w:i/>
          <w:sz w:val="20"/>
          <w:szCs w:val="20"/>
          <w:lang w:eastAsia="tr-TR"/>
        </w:rPr>
        <w:t xml:space="preserve"> </w:t>
      </w:r>
      <w:proofErr w:type="spellStart"/>
      <w:proofErr w:type="gramStart"/>
      <w:r w:rsidRPr="00C96A28">
        <w:rPr>
          <w:rFonts w:ascii="Times New Roman" w:hAnsi="Times New Roman" w:cs="Times New Roman"/>
          <w:i/>
          <w:sz w:val="20"/>
          <w:szCs w:val="20"/>
          <w:lang w:eastAsia="tr-TR"/>
        </w:rPr>
        <w:t>Expropriation</w:t>
      </w:r>
      <w:proofErr w:type="spellEnd"/>
      <w:r w:rsidRPr="00C96A28">
        <w:rPr>
          <w:rFonts w:ascii="Times New Roman" w:hAnsi="Times New Roman" w:cs="Times New Roman"/>
          <w:i/>
          <w:sz w:val="20"/>
          <w:szCs w:val="20"/>
          <w:lang w:eastAsia="tr-TR"/>
        </w:rPr>
        <w:t xml:space="preserve"> -</w:t>
      </w:r>
      <w:proofErr w:type="gramEnd"/>
      <w:r w:rsidRPr="00C96A28">
        <w:rPr>
          <w:rFonts w:ascii="Times New Roman" w:hAnsi="Times New Roman" w:cs="Times New Roman"/>
          <w:i/>
          <w:sz w:val="20"/>
          <w:szCs w:val="20"/>
          <w:lang w:eastAsia="tr-TR"/>
        </w:rPr>
        <w:t xml:space="preserve"> </w:t>
      </w:r>
      <w:proofErr w:type="spellStart"/>
      <w:r w:rsidRPr="00C96A28">
        <w:rPr>
          <w:rFonts w:ascii="Times New Roman" w:hAnsi="Times New Roman" w:cs="Times New Roman"/>
          <w:i/>
          <w:sz w:val="20"/>
          <w:szCs w:val="20"/>
          <w:lang w:eastAsia="tr-TR"/>
        </w:rPr>
        <w:t>Empirical</w:t>
      </w:r>
      <w:proofErr w:type="spellEnd"/>
      <w:r w:rsidRPr="00C96A28">
        <w:rPr>
          <w:rFonts w:ascii="Times New Roman" w:hAnsi="Times New Roman" w:cs="Times New Roman"/>
          <w:i/>
          <w:sz w:val="20"/>
          <w:szCs w:val="20"/>
          <w:lang w:eastAsia="tr-TR"/>
        </w:rPr>
        <w:t xml:space="preserve"> </w:t>
      </w:r>
      <w:proofErr w:type="spellStart"/>
      <w:r w:rsidRPr="00C96A28">
        <w:rPr>
          <w:rFonts w:ascii="Times New Roman" w:hAnsi="Times New Roman" w:cs="Times New Roman"/>
          <w:i/>
          <w:sz w:val="20"/>
          <w:szCs w:val="20"/>
          <w:lang w:eastAsia="tr-TR"/>
        </w:rPr>
        <w:t>Evidence</w:t>
      </w:r>
      <w:proofErr w:type="spellEnd"/>
      <w:r w:rsidRPr="00C96A28">
        <w:rPr>
          <w:rFonts w:ascii="Times New Roman" w:hAnsi="Times New Roman" w:cs="Times New Roman"/>
          <w:i/>
          <w:sz w:val="20"/>
          <w:szCs w:val="20"/>
          <w:lang w:eastAsia="tr-TR"/>
        </w:rPr>
        <w:t xml:space="preserve"> </w:t>
      </w:r>
      <w:proofErr w:type="spellStart"/>
      <w:r w:rsidRPr="00C96A28">
        <w:rPr>
          <w:rFonts w:ascii="Times New Roman" w:hAnsi="Times New Roman" w:cs="Times New Roman"/>
          <w:i/>
          <w:sz w:val="20"/>
          <w:szCs w:val="20"/>
          <w:lang w:eastAsia="tr-TR"/>
        </w:rPr>
        <w:t>from</w:t>
      </w:r>
      <w:proofErr w:type="spellEnd"/>
      <w:r w:rsidRPr="00C96A28">
        <w:rPr>
          <w:rFonts w:ascii="Times New Roman" w:hAnsi="Times New Roman" w:cs="Times New Roman"/>
          <w:i/>
          <w:sz w:val="20"/>
          <w:szCs w:val="20"/>
          <w:lang w:eastAsia="tr-TR"/>
        </w:rPr>
        <w:t xml:space="preserve"> </w:t>
      </w:r>
      <w:proofErr w:type="spellStart"/>
      <w:r w:rsidRPr="00C96A28">
        <w:rPr>
          <w:rFonts w:ascii="Times New Roman" w:hAnsi="Times New Roman" w:cs="Times New Roman"/>
          <w:i/>
          <w:sz w:val="20"/>
          <w:szCs w:val="20"/>
          <w:lang w:eastAsia="tr-TR"/>
        </w:rPr>
        <w:t>IPOs</w:t>
      </w:r>
      <w:proofErr w:type="spellEnd"/>
      <w:r w:rsidRPr="00C96A28">
        <w:rPr>
          <w:rFonts w:ascii="Times New Roman" w:hAnsi="Times New Roman" w:cs="Times New Roman"/>
          <w:i/>
          <w:sz w:val="20"/>
          <w:szCs w:val="20"/>
          <w:lang w:eastAsia="tr-TR"/>
        </w:rPr>
        <w:t xml:space="preserve"> of </w:t>
      </w:r>
      <w:proofErr w:type="spellStart"/>
      <w:r w:rsidRPr="00C96A28">
        <w:rPr>
          <w:rFonts w:ascii="Times New Roman" w:hAnsi="Times New Roman" w:cs="Times New Roman"/>
          <w:i/>
          <w:sz w:val="20"/>
          <w:szCs w:val="20"/>
          <w:lang w:eastAsia="tr-TR"/>
        </w:rPr>
        <w:t>German</w:t>
      </w:r>
      <w:proofErr w:type="spellEnd"/>
      <w:r w:rsidRPr="00C96A28">
        <w:rPr>
          <w:rFonts w:ascii="Times New Roman" w:hAnsi="Times New Roman" w:cs="Times New Roman"/>
          <w:i/>
          <w:sz w:val="20"/>
          <w:szCs w:val="20"/>
          <w:lang w:eastAsia="tr-TR"/>
        </w:rPr>
        <w:t xml:space="preserve"> </w:t>
      </w:r>
      <w:proofErr w:type="spellStart"/>
      <w:r w:rsidRPr="00C96A28">
        <w:rPr>
          <w:rFonts w:ascii="Times New Roman" w:hAnsi="Times New Roman" w:cs="Times New Roman"/>
          <w:i/>
          <w:sz w:val="20"/>
          <w:szCs w:val="20"/>
          <w:lang w:eastAsia="tr-TR"/>
        </w:rPr>
        <w:t>Family-Owned</w:t>
      </w:r>
      <w:proofErr w:type="spellEnd"/>
      <w:r w:rsidRPr="00C96A28">
        <w:rPr>
          <w:rFonts w:ascii="Times New Roman" w:hAnsi="Times New Roman" w:cs="Times New Roman"/>
          <w:i/>
          <w:sz w:val="20"/>
          <w:szCs w:val="20"/>
          <w:lang w:eastAsia="tr-TR"/>
        </w:rPr>
        <w:t xml:space="preserve"> </w:t>
      </w:r>
      <w:proofErr w:type="spellStart"/>
      <w:r w:rsidRPr="00C96A28">
        <w:rPr>
          <w:rFonts w:ascii="Times New Roman" w:hAnsi="Times New Roman" w:cs="Times New Roman"/>
          <w:i/>
          <w:sz w:val="20"/>
          <w:szCs w:val="20"/>
          <w:lang w:eastAsia="tr-TR"/>
        </w:rPr>
        <w:t>Firms</w:t>
      </w:r>
      <w:proofErr w:type="spellEnd"/>
      <w:r w:rsidRPr="009975EA">
        <w:rPr>
          <w:rFonts w:ascii="Times New Roman" w:hAnsi="Times New Roman" w:cs="Times New Roman"/>
          <w:sz w:val="20"/>
          <w:szCs w:val="20"/>
          <w:lang w:eastAsia="tr-TR"/>
        </w:rPr>
        <w:t xml:space="preserve">, </w:t>
      </w:r>
      <w:hyperlink r:id="rId56" w:history="1">
        <w:r w:rsidRPr="009975EA">
          <w:rPr>
            <w:rStyle w:val="Kpr"/>
            <w:rFonts w:ascii="Times New Roman" w:hAnsi="Times New Roman" w:cs="Times New Roman"/>
            <w:sz w:val="20"/>
            <w:szCs w:val="20"/>
            <w:lang w:eastAsia="tr-TR"/>
          </w:rPr>
          <w:t>http://www.ipo-underpricing.com/Downloads/Ehrhardt_Private%20Benefits.pdf</w:t>
        </w:r>
      </w:hyperlink>
      <w:r>
        <w:rPr>
          <w:rFonts w:ascii="Times New Roman" w:hAnsi="Times New Roman" w:cs="Times New Roman"/>
          <w:sz w:val="20"/>
          <w:szCs w:val="20"/>
          <w:lang w:eastAsia="tr-TR"/>
        </w:rPr>
        <w:t xml:space="preserve"> (</w:t>
      </w:r>
      <w:proofErr w:type="spellStart"/>
      <w:r>
        <w:rPr>
          <w:rFonts w:ascii="Times New Roman" w:hAnsi="Times New Roman" w:cs="Times New Roman"/>
          <w:sz w:val="20"/>
          <w:szCs w:val="20"/>
          <w:lang w:eastAsia="tr-TR"/>
        </w:rPr>
        <w:t>Last</w:t>
      </w:r>
      <w:proofErr w:type="spellEnd"/>
      <w:r>
        <w:rPr>
          <w:rFonts w:ascii="Times New Roman" w:hAnsi="Times New Roman" w:cs="Times New Roman"/>
          <w:sz w:val="20"/>
          <w:szCs w:val="20"/>
          <w:lang w:eastAsia="tr-TR"/>
        </w:rPr>
        <w:t xml:space="preserve"> </w:t>
      </w:r>
      <w:proofErr w:type="spellStart"/>
      <w:r>
        <w:rPr>
          <w:rFonts w:ascii="Times New Roman" w:hAnsi="Times New Roman" w:cs="Times New Roman"/>
          <w:sz w:val="20"/>
          <w:szCs w:val="20"/>
          <w:lang w:eastAsia="tr-TR"/>
        </w:rPr>
        <w:t>visited</w:t>
      </w:r>
      <w:proofErr w:type="spellEnd"/>
      <w:r>
        <w:rPr>
          <w:rFonts w:ascii="Times New Roman" w:hAnsi="Times New Roman" w:cs="Times New Roman"/>
          <w:sz w:val="20"/>
          <w:szCs w:val="20"/>
          <w:lang w:eastAsia="tr-TR"/>
        </w:rPr>
        <w:t>: 10/10/2016) at 6.</w:t>
      </w:r>
    </w:p>
  </w:footnote>
  <w:footnote w:id="229">
    <w:p w14:paraId="58C70FA4" w14:textId="1B46B8A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Jens </w:t>
      </w:r>
      <w:proofErr w:type="spellStart"/>
      <w:r w:rsidRPr="009975EA">
        <w:rPr>
          <w:rFonts w:ascii="Times New Roman" w:hAnsi="Times New Roman" w:cs="Times New Roman"/>
          <w:sz w:val="20"/>
          <w:szCs w:val="20"/>
        </w:rPr>
        <w:t>Dammann</w:t>
      </w:r>
      <w:proofErr w:type="spellEnd"/>
      <w:r w:rsidRPr="009975EA">
        <w:rPr>
          <w:rFonts w:ascii="Times New Roman" w:hAnsi="Times New Roman" w:cs="Times New Roman"/>
          <w:sz w:val="20"/>
          <w:szCs w:val="20"/>
        </w:rPr>
        <w:t xml:space="preserve">, </w:t>
      </w:r>
      <w:r w:rsidRPr="000E3EED">
        <w:rPr>
          <w:rFonts w:ascii="Times New Roman" w:hAnsi="Times New Roman" w:cs="Times New Roman"/>
          <w:i/>
          <w:sz w:val="20"/>
          <w:szCs w:val="20"/>
        </w:rPr>
        <w:t>Corporate Ostracism</w:t>
      </w:r>
      <w:r>
        <w:rPr>
          <w:rFonts w:ascii="Times New Roman" w:hAnsi="Times New Roman" w:cs="Times New Roman"/>
          <w:i/>
          <w:sz w:val="20"/>
          <w:szCs w:val="20"/>
        </w:rPr>
        <w:t xml:space="preserve">, </w:t>
      </w:r>
      <w:r>
        <w:rPr>
          <w:rFonts w:ascii="Times New Roman" w:hAnsi="Times New Roman" w:cs="Times New Roman"/>
          <w:sz w:val="20"/>
          <w:szCs w:val="20"/>
        </w:rPr>
        <w:t>p.</w:t>
      </w:r>
      <w:r w:rsidRPr="009975EA">
        <w:rPr>
          <w:rFonts w:ascii="Times New Roman" w:hAnsi="Times New Roman" w:cs="Times New Roman"/>
          <w:sz w:val="20"/>
          <w:szCs w:val="20"/>
        </w:rPr>
        <w:t xml:space="preserve"> 692.</w:t>
      </w:r>
    </w:p>
  </w:footnote>
  <w:footnote w:id="230">
    <w:p w14:paraId="67AFF312" w14:textId="2D18B0DE" w:rsidR="00D36541" w:rsidRPr="009975EA" w:rsidRDefault="00D36541" w:rsidP="000E3EED">
      <w:pPr>
        <w:pStyle w:val="DipnotMetni"/>
        <w:tabs>
          <w:tab w:val="left" w:pos="7556"/>
          <w:tab w:val="left" w:pos="8352"/>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Dammann</w:t>
      </w:r>
      <w:proofErr w:type="spellEnd"/>
      <w:r w:rsidRPr="009975EA">
        <w:rPr>
          <w:rFonts w:ascii="Times New Roman" w:hAnsi="Times New Roman" w:cs="Times New Roman"/>
          <w:sz w:val="20"/>
          <w:szCs w:val="20"/>
        </w:rPr>
        <w:t xml:space="preserve">, </w:t>
      </w:r>
      <w:r w:rsidRPr="000E3EED">
        <w:rPr>
          <w:rFonts w:ascii="Times New Roman" w:hAnsi="Times New Roman" w:cs="Times New Roman"/>
          <w:i/>
          <w:sz w:val="20"/>
          <w:szCs w:val="20"/>
        </w:rPr>
        <w:t>Corporate Ostracism</w:t>
      </w:r>
      <w:r w:rsidRPr="009975EA">
        <w:rPr>
          <w:rFonts w:ascii="Times New Roman" w:hAnsi="Times New Roman" w:cs="Times New Roman"/>
          <w:sz w:val="20"/>
          <w:szCs w:val="20"/>
        </w:rPr>
        <w:t>, p.696.</w:t>
      </w:r>
      <w:r w:rsidRPr="009975EA">
        <w:rPr>
          <w:rFonts w:ascii="Times New Roman" w:hAnsi="Times New Roman" w:cs="Times New Roman"/>
          <w:sz w:val="20"/>
          <w:szCs w:val="20"/>
        </w:rPr>
        <w:tab/>
      </w:r>
      <w:r>
        <w:rPr>
          <w:rFonts w:ascii="Times New Roman" w:hAnsi="Times New Roman" w:cs="Times New Roman"/>
          <w:sz w:val="20"/>
          <w:szCs w:val="20"/>
        </w:rPr>
        <w:tab/>
      </w:r>
    </w:p>
  </w:footnote>
  <w:footnote w:id="231">
    <w:p w14:paraId="640CFA57"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Dammann</w:t>
      </w:r>
      <w:proofErr w:type="spellEnd"/>
      <w:r w:rsidRPr="009975EA">
        <w:rPr>
          <w:rFonts w:ascii="Times New Roman" w:hAnsi="Times New Roman" w:cs="Times New Roman"/>
          <w:sz w:val="20"/>
          <w:szCs w:val="20"/>
        </w:rPr>
        <w:t>, Corporate Ostracism, p. 692.</w:t>
      </w:r>
    </w:p>
  </w:footnote>
  <w:footnote w:id="232">
    <w:p w14:paraId="60ECBEA9"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Dammann</w:t>
      </w:r>
      <w:proofErr w:type="spellEnd"/>
      <w:r w:rsidRPr="009975EA">
        <w:rPr>
          <w:rFonts w:ascii="Times New Roman" w:hAnsi="Times New Roman" w:cs="Times New Roman"/>
          <w:sz w:val="20"/>
          <w:szCs w:val="20"/>
        </w:rPr>
        <w:t>, Corporate Ostracism, p. 692 and 742.</w:t>
      </w:r>
    </w:p>
  </w:footnote>
  <w:footnote w:id="233">
    <w:p w14:paraId="755B382D"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Dammann</w:t>
      </w:r>
      <w:proofErr w:type="spellEnd"/>
      <w:r w:rsidRPr="009975EA">
        <w:rPr>
          <w:rFonts w:ascii="Times New Roman" w:hAnsi="Times New Roman" w:cs="Times New Roman"/>
          <w:sz w:val="20"/>
          <w:szCs w:val="20"/>
        </w:rPr>
        <w:t>, Corporate Ostracism, p. 696.</w:t>
      </w:r>
    </w:p>
  </w:footnote>
  <w:footnote w:id="234">
    <w:p w14:paraId="47870DEF"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Dammann</w:t>
      </w:r>
      <w:proofErr w:type="spellEnd"/>
      <w:r w:rsidRPr="009975EA">
        <w:rPr>
          <w:rFonts w:ascii="Times New Roman" w:hAnsi="Times New Roman" w:cs="Times New Roman"/>
          <w:sz w:val="20"/>
          <w:szCs w:val="20"/>
        </w:rPr>
        <w:t>, Corporate Ostracism, p. 744.</w:t>
      </w:r>
    </w:p>
  </w:footnote>
  <w:footnote w:id="235">
    <w:p w14:paraId="232E5FC5"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Dammann</w:t>
      </w:r>
      <w:proofErr w:type="spellEnd"/>
      <w:r w:rsidRPr="009975EA">
        <w:rPr>
          <w:rFonts w:ascii="Times New Roman" w:hAnsi="Times New Roman" w:cs="Times New Roman"/>
          <w:sz w:val="20"/>
          <w:szCs w:val="20"/>
        </w:rPr>
        <w:t>, Corporate Ostracism, p. 711.</w:t>
      </w:r>
    </w:p>
  </w:footnote>
  <w:footnote w:id="236">
    <w:p w14:paraId="1B6D18A2"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et. al., p. 175.</w:t>
      </w:r>
    </w:p>
  </w:footnote>
  <w:footnote w:id="237">
    <w:p w14:paraId="4356B493" w14:textId="2E0CC22B" w:rsidR="00D36541" w:rsidRPr="009975EA" w:rsidRDefault="00D36541" w:rsidP="009975EA">
      <w:pPr>
        <w:widowControl w:val="0"/>
        <w:autoSpaceDE w:val="0"/>
        <w:autoSpaceDN w:val="0"/>
        <w:adjustRightInd w:val="0"/>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third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possibility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bCs/>
          <w:color w:val="1C1C1C"/>
          <w:sz w:val="20"/>
          <w:szCs w:val="20"/>
        </w:rPr>
        <w:t>non</w:t>
      </w:r>
      <w:r w:rsidRPr="009975EA">
        <w:rPr>
          <w:rFonts w:ascii="Times New Roman" w:hAnsi="Times New Roman" w:cs="Times New Roman"/>
          <w:sz w:val="20"/>
          <w:szCs w:val="20"/>
        </w:rPr>
        <w:t>-</w:t>
      </w:r>
      <w:r w:rsidRPr="009975EA">
        <w:rPr>
          <w:rFonts w:ascii="Times New Roman" w:hAnsi="Times New Roman" w:cs="Times New Roman"/>
          <w:bCs/>
          <w:color w:val="1C1C1C"/>
          <w:sz w:val="20"/>
          <w:szCs w:val="20"/>
        </w:rPr>
        <w:t>pecuniary</w:t>
      </w:r>
      <w:proofErr w:type="spellEnd"/>
      <w:r w:rsidRPr="009975EA">
        <w:rPr>
          <w:rFonts w:ascii="Times New Roman" w:hAnsi="Times New Roman" w:cs="Times New Roman"/>
          <w:bCs/>
          <w:color w:val="1C1C1C"/>
          <w:sz w:val="20"/>
          <w:szCs w:val="20"/>
        </w:rPr>
        <w:t xml:space="preserve"> </w:t>
      </w:r>
      <w:proofErr w:type="spellStart"/>
      <w:r w:rsidRPr="009975EA">
        <w:rPr>
          <w:rFonts w:ascii="Times New Roman" w:hAnsi="Times New Roman" w:cs="Times New Roman"/>
          <w:sz w:val="20"/>
          <w:szCs w:val="20"/>
        </w:rPr>
        <w:t>benefits</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controlling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bCs/>
          <w:color w:val="1C1C1C"/>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ability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enter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transactions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firm</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unfavorable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terms</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theory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generally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disdains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kind</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private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benefit</w:t>
      </w:r>
      <w:proofErr w:type="spellEnd"/>
      <w:r w:rsidRPr="009975EA">
        <w:rPr>
          <w:rFonts w:ascii="Times New Roman" w:hAnsi="Times New Roman" w:cs="Times New Roman"/>
          <w:sz w:val="20"/>
          <w:szCs w:val="20"/>
        </w:rPr>
        <w:t xml:space="preserve">, as it </w:t>
      </w:r>
      <w:proofErr w:type="spellStart"/>
      <w:r w:rsidRPr="009975EA">
        <w:rPr>
          <w:rFonts w:ascii="Times New Roman" w:hAnsi="Times New Roman" w:cs="Times New Roman"/>
          <w:sz w:val="20"/>
          <w:szCs w:val="20"/>
        </w:rPr>
        <w:t>hurts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minority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investors</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minority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bCs/>
          <w:color w:val="1C1C1C"/>
          <w:sz w:val="20"/>
          <w:szCs w:val="20"/>
        </w:rPr>
        <w:t>shareholder</w:t>
      </w:r>
      <w:proofErr w:type="spellEnd"/>
      <w:r w:rsidRPr="009975EA">
        <w:rPr>
          <w:rFonts w:ascii="Times New Roman" w:hAnsi="Times New Roman" w:cs="Times New Roman"/>
          <w:bCs/>
          <w:color w:val="1C1C1C"/>
          <w:sz w:val="20"/>
          <w:szCs w:val="20"/>
        </w:rPr>
        <w:t xml:space="preserve"> </w:t>
      </w:r>
      <w:proofErr w:type="spellStart"/>
      <w:r w:rsidRPr="009975EA">
        <w:rPr>
          <w:rFonts w:ascii="Times New Roman" w:hAnsi="Times New Roman" w:cs="Times New Roman"/>
          <w:sz w:val="20"/>
          <w:szCs w:val="20"/>
        </w:rPr>
        <w:t>protection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improves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potential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shield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against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holdup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diminish</w:t>
      </w:r>
      <w:proofErr w:type="spellEnd"/>
      <w:r w:rsidRPr="009975EA">
        <w:rPr>
          <w:rFonts w:ascii="Times New Roman" w:hAnsi="Times New Roman" w:cs="Times New Roman"/>
          <w:sz w:val="20"/>
          <w:szCs w:val="20"/>
        </w:rPr>
        <w:t>” (</w:t>
      </w:r>
      <w:proofErr w:type="gramStart"/>
      <w:r w:rsidRPr="009975EA">
        <w:rPr>
          <w:rFonts w:ascii="Times New Roman" w:hAnsi="Times New Roman" w:cs="Times New Roman"/>
          <w:sz w:val="20"/>
          <w:szCs w:val="20"/>
        </w:rPr>
        <w:t>Martin</w:t>
      </w:r>
      <w:proofErr w:type="gram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Gelter</w:t>
      </w:r>
      <w:proofErr w:type="spellEnd"/>
      <w:r w:rsidRPr="009975EA">
        <w:rPr>
          <w:rFonts w:ascii="Times New Roman" w:hAnsi="Times New Roman" w:cs="Times New Roman"/>
          <w:sz w:val="20"/>
          <w:szCs w:val="20"/>
        </w:rPr>
        <w:t xml:space="preserve">, </w:t>
      </w:r>
      <w:proofErr w:type="spellStart"/>
      <w:r w:rsidRPr="000E3EED">
        <w:rPr>
          <w:rFonts w:ascii="Times New Roman" w:hAnsi="Times New Roman" w:cs="Times New Roman"/>
          <w:i/>
          <w:sz w:val="20"/>
          <w:szCs w:val="20"/>
        </w:rPr>
        <w:t>The</w:t>
      </w:r>
      <w:proofErr w:type="spellEnd"/>
      <w:r w:rsidRPr="000E3EED">
        <w:rPr>
          <w:rFonts w:ascii="Times New Roman" w:hAnsi="Times New Roman" w:cs="Times New Roman"/>
          <w:i/>
          <w:sz w:val="20"/>
          <w:szCs w:val="20"/>
        </w:rPr>
        <w:t xml:space="preserve"> Dark Side of </w:t>
      </w:r>
      <w:proofErr w:type="spellStart"/>
      <w:r w:rsidRPr="000E3EED">
        <w:rPr>
          <w:rFonts w:ascii="Times New Roman" w:hAnsi="Times New Roman" w:cs="Times New Roman"/>
          <w:i/>
          <w:sz w:val="20"/>
          <w:szCs w:val="20"/>
        </w:rPr>
        <w:t>Shareholder</w:t>
      </w:r>
      <w:proofErr w:type="spellEnd"/>
      <w:r w:rsidRPr="000E3EED">
        <w:rPr>
          <w:rFonts w:ascii="Times New Roman" w:hAnsi="Times New Roman" w:cs="Times New Roman"/>
          <w:i/>
          <w:sz w:val="20"/>
          <w:szCs w:val="20"/>
        </w:rPr>
        <w:t xml:space="preserve"> </w:t>
      </w:r>
      <w:proofErr w:type="spellStart"/>
      <w:r w:rsidRPr="000E3EED">
        <w:rPr>
          <w:rFonts w:ascii="Times New Roman" w:hAnsi="Times New Roman" w:cs="Times New Roman"/>
          <w:i/>
          <w:sz w:val="20"/>
          <w:szCs w:val="20"/>
        </w:rPr>
        <w:t>Influence</w:t>
      </w:r>
      <w:proofErr w:type="spellEnd"/>
      <w:r w:rsidRPr="000E3EED">
        <w:rPr>
          <w:rFonts w:ascii="Times New Roman" w:hAnsi="Times New Roman" w:cs="Times New Roman"/>
          <w:i/>
          <w:sz w:val="20"/>
          <w:szCs w:val="20"/>
        </w:rPr>
        <w:t xml:space="preserve">: </w:t>
      </w:r>
      <w:proofErr w:type="spellStart"/>
      <w:r w:rsidRPr="000E3EED">
        <w:rPr>
          <w:rFonts w:ascii="Times New Roman" w:hAnsi="Times New Roman" w:cs="Times New Roman"/>
          <w:i/>
          <w:sz w:val="20"/>
          <w:szCs w:val="20"/>
        </w:rPr>
        <w:t>Maganerial</w:t>
      </w:r>
      <w:proofErr w:type="spellEnd"/>
      <w:r w:rsidRPr="000E3EED">
        <w:rPr>
          <w:rFonts w:ascii="Times New Roman" w:hAnsi="Times New Roman" w:cs="Times New Roman"/>
          <w:i/>
          <w:sz w:val="20"/>
          <w:szCs w:val="20"/>
        </w:rPr>
        <w:t xml:space="preserve"> </w:t>
      </w:r>
      <w:proofErr w:type="spellStart"/>
      <w:r w:rsidRPr="000E3EED">
        <w:rPr>
          <w:rFonts w:ascii="Times New Roman" w:hAnsi="Times New Roman" w:cs="Times New Roman"/>
          <w:i/>
          <w:sz w:val="20"/>
          <w:szCs w:val="20"/>
        </w:rPr>
        <w:t>Autonomy</w:t>
      </w:r>
      <w:proofErr w:type="spellEnd"/>
      <w:r w:rsidRPr="000E3EED">
        <w:rPr>
          <w:rFonts w:ascii="Times New Roman" w:hAnsi="Times New Roman" w:cs="Times New Roman"/>
          <w:i/>
          <w:sz w:val="20"/>
          <w:szCs w:val="20"/>
        </w:rPr>
        <w:t xml:space="preserve"> </w:t>
      </w:r>
      <w:proofErr w:type="spellStart"/>
      <w:r w:rsidRPr="000E3EED">
        <w:rPr>
          <w:rFonts w:ascii="Times New Roman" w:hAnsi="Times New Roman" w:cs="Times New Roman"/>
          <w:i/>
          <w:sz w:val="20"/>
          <w:szCs w:val="20"/>
        </w:rPr>
        <w:t>and</w:t>
      </w:r>
      <w:proofErr w:type="spellEnd"/>
      <w:r w:rsidRPr="000E3EED">
        <w:rPr>
          <w:rFonts w:ascii="Times New Roman" w:hAnsi="Times New Roman" w:cs="Times New Roman"/>
          <w:i/>
          <w:sz w:val="20"/>
          <w:szCs w:val="20"/>
        </w:rPr>
        <w:t xml:space="preserve"> </w:t>
      </w:r>
      <w:proofErr w:type="spellStart"/>
      <w:r w:rsidRPr="000E3EED">
        <w:rPr>
          <w:rFonts w:ascii="Times New Roman" w:hAnsi="Times New Roman" w:cs="Times New Roman"/>
          <w:i/>
          <w:sz w:val="20"/>
          <w:szCs w:val="20"/>
        </w:rPr>
        <w:t>Stakeholder</w:t>
      </w:r>
      <w:proofErr w:type="spellEnd"/>
      <w:r w:rsidRPr="000E3EED">
        <w:rPr>
          <w:rFonts w:ascii="Times New Roman" w:hAnsi="Times New Roman" w:cs="Times New Roman"/>
          <w:i/>
          <w:sz w:val="20"/>
          <w:szCs w:val="20"/>
        </w:rPr>
        <w:t xml:space="preserve"> </w:t>
      </w:r>
      <w:proofErr w:type="spellStart"/>
      <w:r w:rsidRPr="000E3EED">
        <w:rPr>
          <w:rFonts w:ascii="Times New Roman" w:hAnsi="Times New Roman" w:cs="Times New Roman"/>
          <w:i/>
          <w:sz w:val="20"/>
          <w:szCs w:val="20"/>
        </w:rPr>
        <w:t>Orientation</w:t>
      </w:r>
      <w:proofErr w:type="spellEnd"/>
      <w:r w:rsidRPr="000E3EED">
        <w:rPr>
          <w:rFonts w:ascii="Times New Roman" w:hAnsi="Times New Roman" w:cs="Times New Roman"/>
          <w:i/>
          <w:sz w:val="20"/>
          <w:szCs w:val="20"/>
        </w:rPr>
        <w:t xml:space="preserve"> in </w:t>
      </w:r>
      <w:proofErr w:type="spellStart"/>
      <w:r w:rsidRPr="000E3EED">
        <w:rPr>
          <w:rFonts w:ascii="Times New Roman" w:hAnsi="Times New Roman" w:cs="Times New Roman"/>
          <w:i/>
          <w:sz w:val="20"/>
          <w:szCs w:val="20"/>
        </w:rPr>
        <w:t>Comparative</w:t>
      </w:r>
      <w:proofErr w:type="spellEnd"/>
      <w:r w:rsidRPr="000E3EED">
        <w:rPr>
          <w:rFonts w:ascii="Times New Roman" w:hAnsi="Times New Roman" w:cs="Times New Roman"/>
          <w:i/>
          <w:sz w:val="20"/>
          <w:szCs w:val="20"/>
        </w:rPr>
        <w:t xml:space="preserve"> </w:t>
      </w:r>
      <w:proofErr w:type="spellStart"/>
      <w:r w:rsidRPr="000E3EED">
        <w:rPr>
          <w:rFonts w:ascii="Times New Roman" w:hAnsi="Times New Roman" w:cs="Times New Roman"/>
          <w:i/>
          <w:sz w:val="20"/>
          <w:szCs w:val="20"/>
        </w:rPr>
        <w:t>Corporate</w:t>
      </w:r>
      <w:proofErr w:type="spellEnd"/>
      <w:r w:rsidRPr="000E3EED">
        <w:rPr>
          <w:rFonts w:ascii="Times New Roman" w:hAnsi="Times New Roman" w:cs="Times New Roman"/>
          <w:i/>
          <w:sz w:val="20"/>
          <w:szCs w:val="20"/>
        </w:rPr>
        <w:t xml:space="preserve"> </w:t>
      </w:r>
      <w:proofErr w:type="spellStart"/>
      <w:r w:rsidRPr="000E3EED">
        <w:rPr>
          <w:rFonts w:ascii="Times New Roman" w:hAnsi="Times New Roman" w:cs="Times New Roman"/>
          <w:i/>
          <w:sz w:val="20"/>
          <w:szCs w:val="20"/>
        </w:rPr>
        <w:t>Governance</w:t>
      </w:r>
      <w:proofErr w:type="spellEnd"/>
      <w:r w:rsidRPr="000E3EED">
        <w:rPr>
          <w:rFonts w:ascii="Times New Roman" w:hAnsi="Times New Roman" w:cs="Times New Roman"/>
          <w:i/>
          <w:sz w:val="20"/>
          <w:szCs w:val="20"/>
        </w:rPr>
        <w:t>,</w:t>
      </w:r>
      <w:r>
        <w:rPr>
          <w:rFonts w:ascii="Times New Roman" w:hAnsi="Times New Roman" w:cs="Times New Roman"/>
          <w:sz w:val="20"/>
          <w:szCs w:val="20"/>
        </w:rPr>
        <w:t xml:space="preserve"> 50 </w:t>
      </w:r>
      <w:proofErr w:type="spellStart"/>
      <w:r>
        <w:rPr>
          <w:rFonts w:ascii="Times New Roman" w:hAnsi="Times New Roman" w:cs="Times New Roman"/>
          <w:sz w:val="20"/>
          <w:szCs w:val="20"/>
        </w:rPr>
        <w:t>Harv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Int’l</w:t>
      </w:r>
      <w:proofErr w:type="spellEnd"/>
      <w:r>
        <w:rPr>
          <w:rFonts w:ascii="Times New Roman" w:hAnsi="Times New Roman" w:cs="Times New Roman"/>
          <w:sz w:val="20"/>
          <w:szCs w:val="20"/>
        </w:rPr>
        <w:t xml:space="preserve"> L.J. 129 at</w:t>
      </w:r>
      <w:r w:rsidRPr="009975EA">
        <w:rPr>
          <w:rFonts w:ascii="Times New Roman" w:hAnsi="Times New Roman" w:cs="Times New Roman"/>
          <w:sz w:val="20"/>
          <w:szCs w:val="20"/>
        </w:rPr>
        <w:t xml:space="preserve">.167). </w:t>
      </w:r>
      <w:proofErr w:type="spellStart"/>
      <w:r w:rsidRPr="009975EA">
        <w:rPr>
          <w:rFonts w:ascii="Times New Roman" w:hAnsi="Times New Roman" w:cs="Times New Roman"/>
          <w:sz w:val="20"/>
          <w:szCs w:val="20"/>
        </w:rPr>
        <w:t>Although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writer</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study’s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opinion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mistakenly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calls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kind</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benefit</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non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pecuniary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he </w:t>
      </w:r>
      <w:proofErr w:type="spellStart"/>
      <w:r w:rsidRPr="009975EA">
        <w:rPr>
          <w:rFonts w:ascii="Times New Roman" w:hAnsi="Times New Roman" w:cs="Times New Roman"/>
          <w:sz w:val="20"/>
          <w:szCs w:val="20"/>
        </w:rPr>
        <w:t>correctly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points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evidence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suggests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kind</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bCs/>
          <w:color w:val="1C1C1C"/>
          <w:sz w:val="20"/>
          <w:szCs w:val="20"/>
        </w:rPr>
        <w:t>shareholder</w:t>
      </w:r>
      <w:proofErr w:type="spellEnd"/>
      <w:r w:rsidRPr="009975EA">
        <w:rPr>
          <w:rFonts w:ascii="Times New Roman" w:hAnsi="Times New Roman" w:cs="Times New Roman"/>
          <w:bCs/>
          <w:color w:val="1C1C1C"/>
          <w:sz w:val="20"/>
          <w:szCs w:val="20"/>
        </w:rPr>
        <w:t xml:space="preserve"> </w:t>
      </w:r>
      <w:proofErr w:type="spellStart"/>
      <w:r w:rsidRPr="009975EA">
        <w:rPr>
          <w:rFonts w:ascii="Times New Roman" w:hAnsi="Times New Roman" w:cs="Times New Roman"/>
          <w:sz w:val="20"/>
          <w:szCs w:val="20"/>
        </w:rPr>
        <w:t>protection</w:t>
      </w:r>
      <w:proofErr w:type="spellEnd"/>
      <w:r w:rsidRPr="009975EA">
        <w:rPr>
          <w:rFonts w:ascii="Times New Roman" w:hAnsi="Times New Roman" w:cs="Times New Roman"/>
          <w:sz w:val="20"/>
          <w:szCs w:val="20"/>
        </w:rPr>
        <w:t xml:space="preserve"> has </w:t>
      </w:r>
      <w:proofErr w:type="spellStart"/>
      <w:r w:rsidRPr="009975EA">
        <w:rPr>
          <w:rFonts w:ascii="Times New Roman" w:hAnsi="Times New Roman" w:cs="Times New Roman"/>
          <w:sz w:val="20"/>
          <w:szCs w:val="20"/>
        </w:rPr>
        <w:t>increased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over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years</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several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major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jurisdictions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Gelter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Footnote</w:t>
      </w:r>
      <w:proofErr w:type="spellEnd"/>
      <w:r w:rsidRPr="009975EA">
        <w:rPr>
          <w:rFonts w:ascii="Times New Roman" w:hAnsi="Times New Roman" w:cs="Times New Roman"/>
          <w:sz w:val="20"/>
          <w:szCs w:val="20"/>
        </w:rPr>
        <w:t xml:space="preserve"> 240).</w:t>
      </w:r>
    </w:p>
  </w:footnote>
  <w:footnote w:id="238">
    <w:p w14:paraId="537AFD8C" w14:textId="2A725D6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“Private benefits are </w:t>
      </w:r>
      <w:r>
        <w:rPr>
          <w:rFonts w:ascii="Times New Roman" w:hAnsi="Times New Roman" w:cs="Times New Roman"/>
          <w:sz w:val="20"/>
          <w:szCs w:val="20"/>
        </w:rPr>
        <w:t>not a problem per se” (</w:t>
      </w:r>
      <w:proofErr w:type="spellStart"/>
      <w:r>
        <w:rPr>
          <w:rFonts w:ascii="Times New Roman" w:hAnsi="Times New Roman" w:cs="Times New Roman"/>
          <w:sz w:val="20"/>
          <w:szCs w:val="20"/>
        </w:rPr>
        <w:t>Enriques</w:t>
      </w:r>
      <w:proofErr w:type="spellEnd"/>
      <w:r>
        <w:rPr>
          <w:rFonts w:ascii="Times New Roman" w:hAnsi="Times New Roman" w:cs="Times New Roman"/>
          <w:sz w:val="20"/>
          <w:szCs w:val="20"/>
        </w:rPr>
        <w:t xml:space="preserve">, Gilson, </w:t>
      </w:r>
      <w:proofErr w:type="spellStart"/>
      <w:r w:rsidRPr="009975EA">
        <w:rPr>
          <w:rFonts w:ascii="Times New Roman" w:hAnsi="Times New Roman" w:cs="Times New Roman"/>
          <w:sz w:val="20"/>
          <w:szCs w:val="20"/>
        </w:rPr>
        <w:t>Pacces</w:t>
      </w:r>
      <w:proofErr w:type="spellEnd"/>
      <w:r w:rsidRPr="009975EA">
        <w:rPr>
          <w:rFonts w:ascii="Times New Roman" w:hAnsi="Times New Roman" w:cs="Times New Roman"/>
          <w:sz w:val="20"/>
          <w:szCs w:val="20"/>
        </w:rPr>
        <w:t xml:space="preserve">, </w:t>
      </w:r>
      <w:r w:rsidRPr="000E3EED">
        <w:rPr>
          <w:rFonts w:ascii="Times New Roman" w:hAnsi="Times New Roman" w:cs="Times New Roman"/>
          <w:i/>
          <w:sz w:val="20"/>
          <w:szCs w:val="20"/>
        </w:rPr>
        <w:t>The Case for an Unbiased Takeover Law (With an Application to the European Union)</w:t>
      </w:r>
      <w:r>
        <w:rPr>
          <w:rFonts w:ascii="Times New Roman" w:hAnsi="Times New Roman" w:cs="Times New Roman"/>
          <w:sz w:val="20"/>
          <w:szCs w:val="20"/>
        </w:rPr>
        <w:t xml:space="preserve">, 4 Harv. Bus. L. Rev. 85 at </w:t>
      </w:r>
      <w:r w:rsidRPr="009975EA">
        <w:rPr>
          <w:rFonts w:ascii="Times New Roman" w:hAnsi="Times New Roman" w:cs="Times New Roman"/>
          <w:sz w:val="20"/>
          <w:szCs w:val="20"/>
        </w:rPr>
        <w:t>98).</w:t>
      </w:r>
    </w:p>
  </w:footnote>
  <w:footnote w:id="239">
    <w:p w14:paraId="305DBD66" w14:textId="6089EC4F" w:rsidR="00D36541" w:rsidRPr="009975EA" w:rsidRDefault="00D36541" w:rsidP="000E3EED">
      <w:pPr>
        <w:pStyle w:val="DipnotMetni"/>
        <w:tabs>
          <w:tab w:val="left" w:pos="2592"/>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Pacces</w:t>
      </w:r>
      <w:proofErr w:type="spellEnd"/>
      <w:r w:rsidRPr="009975EA">
        <w:rPr>
          <w:rFonts w:ascii="Times New Roman" w:hAnsi="Times New Roman" w:cs="Times New Roman"/>
          <w:sz w:val="20"/>
          <w:szCs w:val="20"/>
        </w:rPr>
        <w:t>, p. 91 and 99.</w:t>
      </w:r>
      <w:r>
        <w:rPr>
          <w:rFonts w:ascii="Times New Roman" w:hAnsi="Times New Roman" w:cs="Times New Roman"/>
          <w:sz w:val="20"/>
          <w:szCs w:val="20"/>
        </w:rPr>
        <w:tab/>
      </w:r>
    </w:p>
  </w:footnote>
  <w:footnote w:id="240">
    <w:p w14:paraId="1737CE38" w14:textId="5A779DE4" w:rsidR="00D36541" w:rsidRPr="009975EA" w:rsidRDefault="00D36541" w:rsidP="009975EA">
      <w:pPr>
        <w:pStyle w:val="NormalWeb"/>
        <w:spacing w:before="0" w:beforeAutospacing="0" w:after="0" w:afterAutospacing="0"/>
        <w:jc w:val="both"/>
        <w:rPr>
          <w:rFonts w:ascii="Times New Roman" w:hAnsi="Times New Roman"/>
          <w:color w:val="000000" w:themeColor="text1"/>
          <w:lang w:eastAsia="tr-TR"/>
        </w:rPr>
      </w:pPr>
      <w:r w:rsidRPr="009975EA">
        <w:rPr>
          <w:rStyle w:val="DipnotBavurusu"/>
          <w:rFonts w:ascii="Times New Roman" w:hAnsi="Times New Roman"/>
        </w:rPr>
        <w:footnoteRef/>
      </w:r>
      <w:r w:rsidRPr="009975EA">
        <w:rPr>
          <w:rFonts w:ascii="Times New Roman" w:hAnsi="Times New Roman"/>
        </w:rPr>
        <w:t xml:space="preserve"> “</w:t>
      </w:r>
      <w:proofErr w:type="spellStart"/>
      <w:r w:rsidRPr="009975EA">
        <w:rPr>
          <w:rFonts w:ascii="Times New Roman" w:hAnsi="Times New Roman"/>
        </w:rPr>
        <w:t>When</w:t>
      </w:r>
      <w:proofErr w:type="spellEnd"/>
      <w:r w:rsidRPr="009975EA">
        <w:rPr>
          <w:rFonts w:ascii="Times New Roman" w:hAnsi="Times New Roman"/>
        </w:rPr>
        <w:t xml:space="preserve"> an </w:t>
      </w:r>
      <w:proofErr w:type="spellStart"/>
      <w:r w:rsidRPr="009975EA">
        <w:rPr>
          <w:rFonts w:ascii="Times New Roman" w:hAnsi="Times New Roman"/>
        </w:rPr>
        <w:t>investor</w:t>
      </w:r>
      <w:proofErr w:type="spellEnd"/>
      <w:r w:rsidRPr="009975EA">
        <w:rPr>
          <w:rFonts w:ascii="Times New Roman" w:hAnsi="Times New Roman"/>
        </w:rPr>
        <w:t xml:space="preserve"> </w:t>
      </w:r>
      <w:proofErr w:type="spellStart"/>
      <w:r w:rsidRPr="009975EA">
        <w:rPr>
          <w:rFonts w:ascii="Times New Roman" w:hAnsi="Times New Roman"/>
        </w:rPr>
        <w:t>purchases</w:t>
      </w:r>
      <w:proofErr w:type="spellEnd"/>
      <w:r w:rsidRPr="009975EA">
        <w:rPr>
          <w:rFonts w:ascii="Times New Roman" w:hAnsi="Times New Roman"/>
        </w:rPr>
        <w:t xml:space="preserve"> </w:t>
      </w:r>
      <w:proofErr w:type="spellStart"/>
      <w:r w:rsidRPr="009975EA">
        <w:rPr>
          <w:rFonts w:ascii="Times New Roman" w:hAnsi="Times New Roman"/>
        </w:rPr>
        <w:t>equity</w:t>
      </w:r>
      <w:proofErr w:type="spellEnd"/>
      <w:r w:rsidRPr="009975EA">
        <w:rPr>
          <w:rFonts w:ascii="Times New Roman" w:hAnsi="Times New Roman"/>
        </w:rPr>
        <w:t xml:space="preserve"> </w:t>
      </w:r>
      <w:proofErr w:type="spellStart"/>
      <w:r w:rsidRPr="009975EA">
        <w:rPr>
          <w:rFonts w:ascii="Times New Roman" w:hAnsi="Times New Roman"/>
        </w:rPr>
        <w:t>securities</w:t>
      </w:r>
      <w:proofErr w:type="spellEnd"/>
      <w:r w:rsidRPr="009975EA">
        <w:rPr>
          <w:rFonts w:ascii="Times New Roman" w:hAnsi="Times New Roman"/>
        </w:rPr>
        <w:t xml:space="preserve"> in a </w:t>
      </w:r>
      <w:proofErr w:type="spellStart"/>
      <w:r w:rsidRPr="009975EA">
        <w:rPr>
          <w:rFonts w:ascii="Times New Roman" w:hAnsi="Times New Roman"/>
        </w:rPr>
        <w:t>public</w:t>
      </w:r>
      <w:proofErr w:type="spellEnd"/>
      <w:r w:rsidRPr="009975EA">
        <w:rPr>
          <w:rFonts w:ascii="Times New Roman" w:hAnsi="Times New Roman"/>
        </w:rPr>
        <w:t xml:space="preserve"> </w:t>
      </w:r>
      <w:proofErr w:type="spellStart"/>
      <w:r w:rsidRPr="009975EA">
        <w:rPr>
          <w:rFonts w:ascii="Times New Roman" w:hAnsi="Times New Roman"/>
        </w:rPr>
        <w:t>company</w:t>
      </w:r>
      <w:proofErr w:type="spellEnd"/>
      <w:r w:rsidRPr="009975EA">
        <w:rPr>
          <w:rFonts w:ascii="Times New Roman" w:hAnsi="Times New Roman"/>
        </w:rPr>
        <w:t xml:space="preserve">, he </w:t>
      </w:r>
      <w:proofErr w:type="spellStart"/>
      <w:r w:rsidRPr="009975EA">
        <w:rPr>
          <w:rFonts w:ascii="Times New Roman" w:hAnsi="Times New Roman"/>
        </w:rPr>
        <w:t>reasonably</w:t>
      </w:r>
      <w:proofErr w:type="spellEnd"/>
      <w:r w:rsidRPr="009975EA">
        <w:rPr>
          <w:rFonts w:ascii="Times New Roman" w:hAnsi="Times New Roman"/>
        </w:rPr>
        <w:t xml:space="preserve"> </w:t>
      </w:r>
      <w:proofErr w:type="spellStart"/>
      <w:r w:rsidRPr="009975EA">
        <w:rPr>
          <w:rFonts w:ascii="Times New Roman" w:hAnsi="Times New Roman"/>
        </w:rPr>
        <w:t>expects</w:t>
      </w:r>
      <w:proofErr w:type="spellEnd"/>
      <w:r w:rsidRPr="009975EA">
        <w:rPr>
          <w:rFonts w:ascii="Times New Roman" w:hAnsi="Times New Roman"/>
        </w:rPr>
        <w:t xml:space="preserve"> </w:t>
      </w:r>
      <w:proofErr w:type="spellStart"/>
      <w:r w:rsidRPr="009975EA">
        <w:rPr>
          <w:rFonts w:ascii="Times New Roman" w:hAnsi="Times New Roman"/>
        </w:rPr>
        <w:t>that</w:t>
      </w:r>
      <w:proofErr w:type="spellEnd"/>
      <w:r w:rsidRPr="009975EA">
        <w:rPr>
          <w:rFonts w:ascii="Times New Roman" w:hAnsi="Times New Roman"/>
        </w:rPr>
        <w:t xml:space="preserve"> </w:t>
      </w:r>
      <w:proofErr w:type="spellStart"/>
      <w:r w:rsidRPr="009975EA">
        <w:rPr>
          <w:rFonts w:ascii="Times New Roman" w:hAnsi="Times New Roman"/>
        </w:rPr>
        <w:t>the</w:t>
      </w:r>
      <w:proofErr w:type="spellEnd"/>
      <w:r w:rsidRPr="009975EA">
        <w:rPr>
          <w:rFonts w:ascii="Times New Roman" w:hAnsi="Times New Roman"/>
        </w:rPr>
        <w:t xml:space="preserve"> </w:t>
      </w:r>
      <w:proofErr w:type="spellStart"/>
      <w:r w:rsidRPr="009975EA">
        <w:rPr>
          <w:rFonts w:ascii="Times New Roman" w:hAnsi="Times New Roman"/>
        </w:rPr>
        <w:t>issuer</w:t>
      </w:r>
      <w:proofErr w:type="spellEnd"/>
      <w:r w:rsidRPr="009975EA">
        <w:rPr>
          <w:rFonts w:ascii="Times New Roman" w:hAnsi="Times New Roman"/>
        </w:rPr>
        <w:t xml:space="preserve"> has </w:t>
      </w:r>
      <w:proofErr w:type="spellStart"/>
      <w:r w:rsidRPr="009975EA">
        <w:rPr>
          <w:rFonts w:ascii="Times New Roman" w:hAnsi="Times New Roman"/>
        </w:rPr>
        <w:t>the</w:t>
      </w:r>
      <w:proofErr w:type="spellEnd"/>
      <w:r w:rsidRPr="009975EA">
        <w:rPr>
          <w:rFonts w:ascii="Times New Roman" w:hAnsi="Times New Roman"/>
        </w:rPr>
        <w:t xml:space="preserve"> </w:t>
      </w:r>
      <w:proofErr w:type="spellStart"/>
      <w:r w:rsidRPr="009975EA">
        <w:rPr>
          <w:rFonts w:ascii="Times New Roman" w:hAnsi="Times New Roman"/>
        </w:rPr>
        <w:t>burden</w:t>
      </w:r>
      <w:proofErr w:type="spellEnd"/>
      <w:r w:rsidRPr="009975EA">
        <w:rPr>
          <w:rFonts w:ascii="Times New Roman" w:hAnsi="Times New Roman"/>
        </w:rPr>
        <w:t xml:space="preserve"> of </w:t>
      </w:r>
      <w:proofErr w:type="spellStart"/>
      <w:r w:rsidRPr="009975EA">
        <w:rPr>
          <w:rFonts w:ascii="Times New Roman" w:hAnsi="Times New Roman"/>
        </w:rPr>
        <w:t>justifying</w:t>
      </w:r>
      <w:proofErr w:type="spellEnd"/>
      <w:r w:rsidRPr="009975EA">
        <w:rPr>
          <w:rFonts w:ascii="Times New Roman" w:hAnsi="Times New Roman"/>
        </w:rPr>
        <w:t xml:space="preserve"> </w:t>
      </w:r>
      <w:proofErr w:type="spellStart"/>
      <w:r w:rsidRPr="009975EA">
        <w:rPr>
          <w:rFonts w:ascii="Times New Roman" w:hAnsi="Times New Roman"/>
        </w:rPr>
        <w:t>any</w:t>
      </w:r>
      <w:proofErr w:type="spellEnd"/>
      <w:r w:rsidRPr="009975EA">
        <w:rPr>
          <w:rFonts w:ascii="Times New Roman" w:hAnsi="Times New Roman"/>
        </w:rPr>
        <w:t xml:space="preserve"> </w:t>
      </w:r>
      <w:proofErr w:type="spellStart"/>
      <w:r w:rsidRPr="009975EA">
        <w:rPr>
          <w:rFonts w:ascii="Times New Roman" w:hAnsi="Times New Roman"/>
        </w:rPr>
        <w:t>actions</w:t>
      </w:r>
      <w:proofErr w:type="spellEnd"/>
      <w:r w:rsidRPr="009975EA">
        <w:rPr>
          <w:rFonts w:ascii="Times New Roman" w:hAnsi="Times New Roman"/>
        </w:rPr>
        <w:t xml:space="preserve"> </w:t>
      </w:r>
      <w:proofErr w:type="spellStart"/>
      <w:r w:rsidRPr="009975EA">
        <w:rPr>
          <w:rFonts w:ascii="Times New Roman" w:hAnsi="Times New Roman"/>
        </w:rPr>
        <w:t>which</w:t>
      </w:r>
      <w:proofErr w:type="spellEnd"/>
      <w:r w:rsidRPr="009975EA">
        <w:rPr>
          <w:rFonts w:ascii="Times New Roman" w:hAnsi="Times New Roman"/>
        </w:rPr>
        <w:t xml:space="preserve"> </w:t>
      </w:r>
      <w:proofErr w:type="spellStart"/>
      <w:r w:rsidRPr="009975EA">
        <w:rPr>
          <w:rFonts w:ascii="Times New Roman" w:hAnsi="Times New Roman"/>
        </w:rPr>
        <w:t>would</w:t>
      </w:r>
      <w:proofErr w:type="spellEnd"/>
      <w:r w:rsidRPr="009975EA">
        <w:rPr>
          <w:rFonts w:ascii="Times New Roman" w:hAnsi="Times New Roman"/>
        </w:rPr>
        <w:t xml:space="preserve"> </w:t>
      </w:r>
      <w:proofErr w:type="spellStart"/>
      <w:r w:rsidRPr="009975EA">
        <w:rPr>
          <w:rFonts w:ascii="Times New Roman" w:hAnsi="Times New Roman"/>
        </w:rPr>
        <w:t>result</w:t>
      </w:r>
      <w:proofErr w:type="spellEnd"/>
      <w:r w:rsidRPr="009975EA">
        <w:rPr>
          <w:rFonts w:ascii="Times New Roman" w:hAnsi="Times New Roman"/>
        </w:rPr>
        <w:t xml:space="preserve"> in </w:t>
      </w:r>
      <w:proofErr w:type="spellStart"/>
      <w:r w:rsidRPr="009975EA">
        <w:rPr>
          <w:rFonts w:ascii="Times New Roman" w:hAnsi="Times New Roman"/>
        </w:rPr>
        <w:t>depriving</w:t>
      </w:r>
      <w:proofErr w:type="spellEnd"/>
      <w:r w:rsidRPr="009975EA">
        <w:rPr>
          <w:rFonts w:ascii="Times New Roman" w:hAnsi="Times New Roman"/>
        </w:rPr>
        <w:t xml:space="preserve"> </w:t>
      </w:r>
      <w:proofErr w:type="spellStart"/>
      <w:r w:rsidRPr="009975EA">
        <w:rPr>
          <w:rFonts w:ascii="Times New Roman" w:hAnsi="Times New Roman"/>
        </w:rPr>
        <w:t>him</w:t>
      </w:r>
      <w:proofErr w:type="spellEnd"/>
      <w:r w:rsidRPr="009975EA">
        <w:rPr>
          <w:rFonts w:ascii="Times New Roman" w:hAnsi="Times New Roman"/>
        </w:rPr>
        <w:t xml:space="preserve"> of </w:t>
      </w:r>
      <w:proofErr w:type="spellStart"/>
      <w:r w:rsidRPr="009975EA">
        <w:rPr>
          <w:rFonts w:ascii="Times New Roman" w:hAnsi="Times New Roman"/>
        </w:rPr>
        <w:t>the</w:t>
      </w:r>
      <w:proofErr w:type="spellEnd"/>
      <w:r w:rsidRPr="009975EA">
        <w:rPr>
          <w:rFonts w:ascii="Times New Roman" w:hAnsi="Times New Roman"/>
        </w:rPr>
        <w:t xml:space="preserve"> </w:t>
      </w:r>
      <w:proofErr w:type="spellStart"/>
      <w:r w:rsidRPr="009975EA">
        <w:rPr>
          <w:rFonts w:ascii="Times New Roman" w:hAnsi="Times New Roman"/>
        </w:rPr>
        <w:t>characteristics</w:t>
      </w:r>
      <w:proofErr w:type="spellEnd"/>
      <w:r w:rsidRPr="009975EA">
        <w:rPr>
          <w:rFonts w:ascii="Times New Roman" w:hAnsi="Times New Roman"/>
        </w:rPr>
        <w:t xml:space="preserve"> </w:t>
      </w:r>
      <w:proofErr w:type="spellStart"/>
      <w:r w:rsidRPr="009975EA">
        <w:rPr>
          <w:rFonts w:ascii="Times New Roman" w:hAnsi="Times New Roman"/>
        </w:rPr>
        <w:t>inherent</w:t>
      </w:r>
      <w:proofErr w:type="spellEnd"/>
      <w:r w:rsidRPr="009975EA">
        <w:rPr>
          <w:rFonts w:ascii="Times New Roman" w:hAnsi="Times New Roman"/>
        </w:rPr>
        <w:t xml:space="preserve"> in his </w:t>
      </w:r>
      <w:proofErr w:type="spellStart"/>
      <w:r w:rsidRPr="009975EA">
        <w:rPr>
          <w:rFonts w:ascii="Times New Roman" w:hAnsi="Times New Roman"/>
        </w:rPr>
        <w:t>investment</w:t>
      </w:r>
      <w:proofErr w:type="spellEnd"/>
      <w:r w:rsidRPr="009975EA">
        <w:rPr>
          <w:rFonts w:ascii="Times New Roman" w:hAnsi="Times New Roman"/>
        </w:rPr>
        <w:t xml:space="preserve"> in </w:t>
      </w:r>
      <w:proofErr w:type="spellStart"/>
      <w:r w:rsidRPr="009975EA">
        <w:rPr>
          <w:rFonts w:ascii="Times New Roman" w:hAnsi="Times New Roman"/>
        </w:rPr>
        <w:t>publicly</w:t>
      </w:r>
      <w:proofErr w:type="spellEnd"/>
      <w:r w:rsidRPr="009975EA">
        <w:rPr>
          <w:rFonts w:ascii="Times New Roman" w:hAnsi="Times New Roman"/>
        </w:rPr>
        <w:t xml:space="preserve"> </w:t>
      </w:r>
      <w:proofErr w:type="spellStart"/>
      <w:r w:rsidRPr="009975EA">
        <w:rPr>
          <w:rFonts w:ascii="Times New Roman" w:hAnsi="Times New Roman"/>
        </w:rPr>
        <w:t>traded</w:t>
      </w:r>
      <w:proofErr w:type="spellEnd"/>
      <w:r w:rsidRPr="009975EA">
        <w:rPr>
          <w:rFonts w:ascii="Times New Roman" w:hAnsi="Times New Roman"/>
        </w:rPr>
        <w:t xml:space="preserve"> </w:t>
      </w:r>
      <w:proofErr w:type="spellStart"/>
      <w:r w:rsidRPr="009975EA">
        <w:rPr>
          <w:rFonts w:ascii="Times New Roman" w:hAnsi="Times New Roman"/>
        </w:rPr>
        <w:t>securities</w:t>
      </w:r>
      <w:proofErr w:type="spellEnd"/>
      <w:r w:rsidRPr="009975EA">
        <w:rPr>
          <w:rFonts w:ascii="Times New Roman" w:hAnsi="Times New Roman"/>
        </w:rPr>
        <w:t>” (</w:t>
      </w:r>
      <w:proofErr w:type="spellStart"/>
      <w:r w:rsidRPr="009975EA">
        <w:rPr>
          <w:rFonts w:ascii="Times New Roman" w:hAnsi="Times New Roman"/>
          <w:lang w:eastAsia="tr-TR"/>
        </w:rPr>
        <w:t>Securities</w:t>
      </w:r>
      <w:proofErr w:type="spellEnd"/>
      <w:r w:rsidRPr="009975EA">
        <w:rPr>
          <w:rFonts w:ascii="Times New Roman" w:hAnsi="Times New Roman"/>
          <w:lang w:eastAsia="tr-TR"/>
        </w:rPr>
        <w:t xml:space="preserve"> Exchange </w:t>
      </w:r>
      <w:proofErr w:type="spellStart"/>
      <w:r w:rsidRPr="009975EA">
        <w:rPr>
          <w:rFonts w:ascii="Times New Roman" w:hAnsi="Times New Roman"/>
          <w:lang w:eastAsia="tr-TR"/>
        </w:rPr>
        <w:t>Act</w:t>
      </w:r>
      <w:proofErr w:type="spellEnd"/>
      <w:r w:rsidRPr="009975EA">
        <w:rPr>
          <w:rFonts w:ascii="Times New Roman" w:hAnsi="Times New Roman"/>
          <w:lang w:eastAsia="tr-TR"/>
        </w:rPr>
        <w:t xml:space="preserve"> </w:t>
      </w:r>
      <w:proofErr w:type="spellStart"/>
      <w:r w:rsidRPr="009975EA">
        <w:rPr>
          <w:rFonts w:ascii="Times New Roman" w:hAnsi="Times New Roman"/>
          <w:lang w:eastAsia="tr-TR"/>
        </w:rPr>
        <w:t>Release</w:t>
      </w:r>
      <w:proofErr w:type="spellEnd"/>
      <w:r w:rsidRPr="009975EA">
        <w:rPr>
          <w:rFonts w:ascii="Times New Roman" w:hAnsi="Times New Roman"/>
          <w:lang w:eastAsia="tr-TR"/>
        </w:rPr>
        <w:t xml:space="preserve"> No. 33-5884, </w:t>
      </w:r>
      <w:proofErr w:type="spellStart"/>
      <w:r w:rsidRPr="009975EA">
        <w:rPr>
          <w:rFonts w:ascii="Times New Roman" w:hAnsi="Times New Roman"/>
          <w:lang w:eastAsia="tr-TR"/>
        </w:rPr>
        <w:t>Securities</w:t>
      </w:r>
      <w:proofErr w:type="spellEnd"/>
      <w:r w:rsidRPr="009975EA">
        <w:rPr>
          <w:rFonts w:ascii="Times New Roman" w:hAnsi="Times New Roman"/>
          <w:lang w:eastAsia="tr-TR"/>
        </w:rPr>
        <w:t xml:space="preserve"> </w:t>
      </w:r>
      <w:proofErr w:type="spellStart"/>
      <w:r w:rsidRPr="009975EA">
        <w:rPr>
          <w:rFonts w:ascii="Times New Roman" w:hAnsi="Times New Roman"/>
          <w:lang w:eastAsia="tr-TR"/>
        </w:rPr>
        <w:t>Act</w:t>
      </w:r>
      <w:proofErr w:type="spellEnd"/>
      <w:r w:rsidRPr="009975EA">
        <w:rPr>
          <w:rFonts w:ascii="Times New Roman" w:hAnsi="Times New Roman"/>
          <w:lang w:eastAsia="tr-TR"/>
        </w:rPr>
        <w:t xml:space="preserve"> </w:t>
      </w:r>
      <w:proofErr w:type="spellStart"/>
      <w:r w:rsidRPr="009975EA">
        <w:rPr>
          <w:rFonts w:ascii="Times New Roman" w:hAnsi="Times New Roman"/>
          <w:lang w:eastAsia="tr-TR"/>
        </w:rPr>
        <w:t>Release</w:t>
      </w:r>
      <w:proofErr w:type="spellEnd"/>
      <w:r w:rsidRPr="009975EA">
        <w:rPr>
          <w:rFonts w:ascii="Times New Roman" w:hAnsi="Times New Roman"/>
          <w:lang w:eastAsia="tr-TR"/>
        </w:rPr>
        <w:t xml:space="preserve"> No. 34-14185, 42 Fed. </w:t>
      </w:r>
      <w:proofErr w:type="spellStart"/>
      <w:r w:rsidRPr="009975EA">
        <w:rPr>
          <w:rFonts w:ascii="Times New Roman" w:hAnsi="Times New Roman"/>
          <w:lang w:eastAsia="tr-TR"/>
        </w:rPr>
        <w:t>Reg</w:t>
      </w:r>
      <w:proofErr w:type="spellEnd"/>
      <w:r w:rsidRPr="009975EA">
        <w:rPr>
          <w:rFonts w:ascii="Times New Roman" w:hAnsi="Times New Roman"/>
          <w:lang w:eastAsia="tr-TR"/>
        </w:rPr>
        <w:t xml:space="preserve">. 60,090 (1977) (J.A.C. </w:t>
      </w:r>
      <w:proofErr w:type="spellStart"/>
      <w:r w:rsidRPr="009975EA">
        <w:rPr>
          <w:rFonts w:ascii="Times New Roman" w:hAnsi="Times New Roman"/>
          <w:lang w:eastAsia="tr-TR"/>
        </w:rPr>
        <w:t>Hetherington</w:t>
      </w:r>
      <w:proofErr w:type="spellEnd"/>
      <w:r w:rsidRPr="009975EA">
        <w:rPr>
          <w:rFonts w:ascii="Times New Roman" w:hAnsi="Times New Roman"/>
          <w:lang w:eastAsia="tr-TR"/>
        </w:rPr>
        <w:t xml:space="preserve">, </w:t>
      </w:r>
      <w:proofErr w:type="spellStart"/>
      <w:r w:rsidRPr="000E3EED">
        <w:rPr>
          <w:rFonts w:ascii="Times New Roman" w:hAnsi="Times New Roman"/>
          <w:i/>
          <w:lang w:eastAsia="tr-TR"/>
        </w:rPr>
        <w:t>When</w:t>
      </w:r>
      <w:proofErr w:type="spellEnd"/>
      <w:r w:rsidRPr="000E3EED">
        <w:rPr>
          <w:rFonts w:ascii="Times New Roman" w:hAnsi="Times New Roman"/>
          <w:i/>
          <w:lang w:eastAsia="tr-TR"/>
        </w:rPr>
        <w:t xml:space="preserve"> </w:t>
      </w:r>
      <w:proofErr w:type="spellStart"/>
      <w:r w:rsidRPr="000E3EED">
        <w:rPr>
          <w:rFonts w:ascii="Times New Roman" w:hAnsi="Times New Roman"/>
          <w:i/>
          <w:lang w:eastAsia="tr-TR"/>
        </w:rPr>
        <w:t>the</w:t>
      </w:r>
      <w:proofErr w:type="spellEnd"/>
      <w:r w:rsidRPr="000E3EED">
        <w:rPr>
          <w:rFonts w:ascii="Times New Roman" w:hAnsi="Times New Roman"/>
          <w:i/>
          <w:lang w:eastAsia="tr-TR"/>
        </w:rPr>
        <w:t xml:space="preserve"> </w:t>
      </w:r>
      <w:proofErr w:type="spellStart"/>
      <w:r w:rsidRPr="000E3EED">
        <w:rPr>
          <w:rFonts w:ascii="Times New Roman" w:hAnsi="Times New Roman"/>
          <w:i/>
          <w:lang w:eastAsia="tr-TR"/>
        </w:rPr>
        <w:t>Sleepers</w:t>
      </w:r>
      <w:proofErr w:type="spellEnd"/>
      <w:r w:rsidRPr="000E3EED">
        <w:rPr>
          <w:rFonts w:ascii="Times New Roman" w:hAnsi="Times New Roman"/>
          <w:i/>
          <w:lang w:eastAsia="tr-TR"/>
        </w:rPr>
        <w:t xml:space="preserve"> </w:t>
      </w:r>
      <w:proofErr w:type="spellStart"/>
      <w:r w:rsidRPr="000E3EED">
        <w:rPr>
          <w:rFonts w:ascii="Times New Roman" w:hAnsi="Times New Roman"/>
          <w:i/>
          <w:lang w:eastAsia="tr-TR"/>
        </w:rPr>
        <w:t>Wakes</w:t>
      </w:r>
      <w:proofErr w:type="spellEnd"/>
      <w:r w:rsidRPr="000E3EED">
        <w:rPr>
          <w:rFonts w:ascii="Times New Roman" w:hAnsi="Times New Roman"/>
          <w:i/>
          <w:lang w:eastAsia="tr-TR"/>
        </w:rPr>
        <w:t xml:space="preserve">: </w:t>
      </w:r>
      <w:proofErr w:type="spellStart"/>
      <w:r w:rsidRPr="000E3EED">
        <w:rPr>
          <w:rFonts w:ascii="Times New Roman" w:hAnsi="Times New Roman"/>
          <w:i/>
          <w:color w:val="000000" w:themeColor="text1"/>
          <w:lang w:eastAsia="tr-TR"/>
        </w:rPr>
        <w:t>Reactions</w:t>
      </w:r>
      <w:proofErr w:type="spellEnd"/>
      <w:r w:rsidRPr="000E3EED">
        <w:rPr>
          <w:rFonts w:ascii="Times New Roman" w:hAnsi="Times New Roman"/>
          <w:i/>
          <w:color w:val="000000" w:themeColor="text1"/>
          <w:lang w:eastAsia="tr-TR"/>
        </w:rPr>
        <w:t xml:space="preserve"> on </w:t>
      </w:r>
      <w:proofErr w:type="spellStart"/>
      <w:r w:rsidRPr="000E3EED">
        <w:rPr>
          <w:rFonts w:ascii="Times New Roman" w:hAnsi="Times New Roman"/>
          <w:i/>
          <w:color w:val="000000" w:themeColor="text1"/>
          <w:lang w:eastAsia="tr-TR"/>
        </w:rPr>
        <w:t>Corporate</w:t>
      </w:r>
      <w:proofErr w:type="spellEnd"/>
      <w:r w:rsidRPr="000E3EED">
        <w:rPr>
          <w:rFonts w:ascii="Times New Roman" w:hAnsi="Times New Roman"/>
          <w:i/>
          <w:color w:val="000000" w:themeColor="text1"/>
          <w:lang w:eastAsia="tr-TR"/>
        </w:rPr>
        <w:t xml:space="preserve"> </w:t>
      </w:r>
      <w:proofErr w:type="spellStart"/>
      <w:proofErr w:type="gramStart"/>
      <w:r w:rsidRPr="000E3EED">
        <w:rPr>
          <w:rFonts w:ascii="Times New Roman" w:hAnsi="Times New Roman"/>
          <w:i/>
          <w:color w:val="000000" w:themeColor="text1"/>
          <w:lang w:eastAsia="tr-TR"/>
        </w:rPr>
        <w:t>Governance</w:t>
      </w:r>
      <w:proofErr w:type="spellEnd"/>
      <w:r w:rsidRPr="000E3EED">
        <w:rPr>
          <w:rFonts w:ascii="Times New Roman" w:hAnsi="Times New Roman"/>
          <w:i/>
          <w:color w:val="000000" w:themeColor="text1"/>
          <w:lang w:eastAsia="tr-TR"/>
        </w:rPr>
        <w:t xml:space="preserve">  </w:t>
      </w:r>
      <w:proofErr w:type="spellStart"/>
      <w:r w:rsidRPr="000E3EED">
        <w:rPr>
          <w:rFonts w:ascii="Times New Roman" w:hAnsi="Times New Roman"/>
          <w:i/>
          <w:color w:val="000000" w:themeColor="text1"/>
          <w:lang w:eastAsia="tr-TR"/>
        </w:rPr>
        <w:t>and</w:t>
      </w:r>
      <w:proofErr w:type="spellEnd"/>
      <w:proofErr w:type="gramEnd"/>
      <w:r w:rsidRPr="000E3EED">
        <w:rPr>
          <w:rFonts w:ascii="Times New Roman" w:hAnsi="Times New Roman"/>
          <w:i/>
          <w:color w:val="000000" w:themeColor="text1"/>
          <w:lang w:eastAsia="tr-TR"/>
        </w:rPr>
        <w:t xml:space="preserve"> </w:t>
      </w:r>
      <w:proofErr w:type="spellStart"/>
      <w:r w:rsidRPr="000E3EED">
        <w:rPr>
          <w:rFonts w:ascii="Times New Roman" w:hAnsi="Times New Roman"/>
          <w:i/>
          <w:color w:val="000000" w:themeColor="text1"/>
          <w:lang w:eastAsia="tr-TR"/>
        </w:rPr>
        <w:t>Shareholder</w:t>
      </w:r>
      <w:proofErr w:type="spellEnd"/>
      <w:r w:rsidRPr="000E3EED">
        <w:rPr>
          <w:rFonts w:ascii="Times New Roman" w:hAnsi="Times New Roman"/>
          <w:i/>
          <w:color w:val="000000" w:themeColor="text1"/>
          <w:lang w:eastAsia="tr-TR"/>
        </w:rPr>
        <w:t xml:space="preserve"> </w:t>
      </w:r>
      <w:proofErr w:type="spellStart"/>
      <w:r w:rsidRPr="000E3EED">
        <w:rPr>
          <w:rFonts w:ascii="Times New Roman" w:hAnsi="Times New Roman"/>
          <w:i/>
          <w:color w:val="000000" w:themeColor="text1"/>
          <w:lang w:eastAsia="tr-TR"/>
        </w:rPr>
        <w:t>Rights</w:t>
      </w:r>
      <w:proofErr w:type="spellEnd"/>
      <w:r w:rsidRPr="009975EA">
        <w:rPr>
          <w:rFonts w:ascii="Times New Roman" w:hAnsi="Times New Roman"/>
          <w:color w:val="000000" w:themeColor="text1"/>
          <w:lang w:eastAsia="tr-TR"/>
        </w:rPr>
        <w:t xml:space="preserve">,  </w:t>
      </w:r>
      <w:hyperlink r:id="rId57" w:history="1">
        <w:r w:rsidRPr="009975EA">
          <w:rPr>
            <w:rStyle w:val="Kpr"/>
            <w:rFonts w:ascii="Times New Roman" w:hAnsi="Times New Roman"/>
            <w:color w:val="000000" w:themeColor="text1"/>
            <w:lang w:eastAsia="tr-TR"/>
          </w:rPr>
          <w:t>http://scholarlycommons.law.hofstra.edu/cgi/viewcontent.cgi?article=1272&amp;context=hlr</w:t>
        </w:r>
      </w:hyperlink>
      <w:r>
        <w:rPr>
          <w:rFonts w:ascii="Times New Roman" w:hAnsi="Times New Roman"/>
          <w:color w:val="000000" w:themeColor="text1"/>
          <w:lang w:eastAsia="tr-TR"/>
        </w:rPr>
        <w:t xml:space="preserve"> (</w:t>
      </w:r>
      <w:proofErr w:type="spellStart"/>
      <w:r>
        <w:rPr>
          <w:rFonts w:ascii="Times New Roman" w:hAnsi="Times New Roman"/>
          <w:color w:val="000000" w:themeColor="text1"/>
          <w:lang w:eastAsia="tr-TR"/>
        </w:rPr>
        <w:t>Last</w:t>
      </w:r>
      <w:proofErr w:type="spellEnd"/>
      <w:r>
        <w:rPr>
          <w:rFonts w:ascii="Times New Roman" w:hAnsi="Times New Roman"/>
          <w:color w:val="000000" w:themeColor="text1"/>
          <w:lang w:eastAsia="tr-TR"/>
        </w:rPr>
        <w:t xml:space="preserve"> </w:t>
      </w:r>
      <w:proofErr w:type="spellStart"/>
      <w:r>
        <w:rPr>
          <w:rFonts w:ascii="Times New Roman" w:hAnsi="Times New Roman"/>
          <w:color w:val="000000" w:themeColor="text1"/>
          <w:lang w:eastAsia="tr-TR"/>
        </w:rPr>
        <w:t>visited</w:t>
      </w:r>
      <w:proofErr w:type="spellEnd"/>
      <w:r>
        <w:rPr>
          <w:rFonts w:ascii="Times New Roman" w:hAnsi="Times New Roman"/>
          <w:color w:val="000000" w:themeColor="text1"/>
          <w:lang w:eastAsia="tr-TR"/>
        </w:rPr>
        <w:t>: 10/10/2016) at</w:t>
      </w:r>
      <w:r w:rsidRPr="009975EA">
        <w:rPr>
          <w:rFonts w:ascii="Times New Roman" w:hAnsi="Times New Roman"/>
          <w:color w:val="000000" w:themeColor="text1"/>
          <w:lang w:eastAsia="tr-TR"/>
        </w:rPr>
        <w:t xml:space="preserve"> 250)).</w:t>
      </w:r>
    </w:p>
  </w:footnote>
  <w:footnote w:id="241">
    <w:p w14:paraId="1F25C5A3" w14:textId="77777777" w:rsidR="00D36541" w:rsidRPr="009975EA" w:rsidRDefault="00D36541" w:rsidP="009975EA">
      <w:pPr>
        <w:pStyle w:val="DipnotMetni"/>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Stanley J. Wilkes v. Springside Nursing Home, Inc. &amp; others, 370 Mass. 842 (1976).</w:t>
      </w:r>
    </w:p>
  </w:footnote>
  <w:footnote w:id="242">
    <w:p w14:paraId="071BC09B"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Wheeler</w:t>
      </w:r>
      <w:proofErr w:type="spellEnd"/>
      <w:r w:rsidRPr="009975EA">
        <w:rPr>
          <w:rFonts w:ascii="Times New Roman" w:hAnsi="Times New Roman" w:cs="Times New Roman"/>
          <w:bCs/>
          <w:color w:val="000000" w:themeColor="text1"/>
          <w:sz w:val="20"/>
          <w:szCs w:val="20"/>
        </w:rPr>
        <w:t xml:space="preserve"> v. </w:t>
      </w:r>
      <w:proofErr w:type="spellStart"/>
      <w:r w:rsidRPr="009975EA">
        <w:rPr>
          <w:rFonts w:ascii="Times New Roman" w:hAnsi="Times New Roman" w:cs="Times New Roman"/>
          <w:bCs/>
          <w:color w:val="000000" w:themeColor="text1"/>
          <w:sz w:val="20"/>
          <w:szCs w:val="20"/>
        </w:rPr>
        <w:t>Pullman</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Iron</w:t>
      </w:r>
      <w:proofErr w:type="spellEnd"/>
      <w:r w:rsidRPr="009975EA">
        <w:rPr>
          <w:rFonts w:ascii="Times New Roman" w:hAnsi="Times New Roman" w:cs="Times New Roman"/>
          <w:bCs/>
          <w:color w:val="000000" w:themeColor="text1"/>
          <w:sz w:val="20"/>
          <w:szCs w:val="20"/>
        </w:rPr>
        <w:t xml:space="preserve"> &amp; Steel </w:t>
      </w:r>
      <w:proofErr w:type="spellStart"/>
      <w:r w:rsidRPr="009975EA">
        <w:rPr>
          <w:rFonts w:ascii="Times New Roman" w:hAnsi="Times New Roman" w:cs="Times New Roman"/>
          <w:bCs/>
          <w:color w:val="000000" w:themeColor="text1"/>
          <w:sz w:val="20"/>
          <w:szCs w:val="20"/>
        </w:rPr>
        <w:t>Co</w:t>
      </w:r>
      <w:proofErr w:type="spellEnd"/>
      <w:r w:rsidRPr="009975EA">
        <w:rPr>
          <w:rFonts w:ascii="Times New Roman" w:hAnsi="Times New Roman" w:cs="Times New Roman"/>
          <w:bCs/>
          <w:color w:val="000000" w:themeColor="text1"/>
          <w:sz w:val="20"/>
          <w:szCs w:val="20"/>
        </w:rPr>
        <w:t xml:space="preserve">., 17 L.R.A. 818 (1892): </w:t>
      </w:r>
      <w:r w:rsidRPr="009975EA">
        <w:rPr>
          <w:rFonts w:ascii="Times New Roman" w:hAnsi="Times New Roman" w:cs="Times New Roman"/>
          <w:color w:val="000000" w:themeColor="text1"/>
          <w:sz w:val="20"/>
          <w:szCs w:val="20"/>
        </w:rPr>
        <w:t>“</w:t>
      </w:r>
      <w:proofErr w:type="spellStart"/>
      <w:r w:rsidRPr="009975EA">
        <w:rPr>
          <w:rFonts w:ascii="Times New Roman" w:hAnsi="Times New Roman" w:cs="Times New Roman"/>
          <w:color w:val="000000" w:themeColor="text1"/>
          <w:sz w:val="20"/>
          <w:szCs w:val="20"/>
        </w:rPr>
        <w:t>Every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one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purchasing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subscribing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stock</w:t>
      </w:r>
      <w:proofErr w:type="spellEnd"/>
      <w:r w:rsidRPr="009975EA">
        <w:rPr>
          <w:rFonts w:ascii="Times New Roman" w:hAnsi="Times New Roman" w:cs="Times New Roman"/>
          <w:color w:val="000000" w:themeColor="text1"/>
          <w:sz w:val="20"/>
          <w:szCs w:val="20"/>
        </w:rPr>
        <w:t xml:space="preserve"> in a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impliedly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agrees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he </w:t>
      </w:r>
      <w:proofErr w:type="spellStart"/>
      <w:r w:rsidRPr="009975EA">
        <w:rPr>
          <w:rFonts w:ascii="Times New Roman" w:hAnsi="Times New Roman" w:cs="Times New Roman"/>
          <w:color w:val="000000" w:themeColor="text1"/>
          <w:sz w:val="20"/>
          <w:szCs w:val="20"/>
        </w:rPr>
        <w:t>will</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bound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acts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proceedings</w:t>
      </w:r>
      <w:proofErr w:type="spellEnd"/>
      <w:r w:rsidRPr="009975EA">
        <w:rPr>
          <w:rFonts w:ascii="Times New Roman" w:hAnsi="Times New Roman" w:cs="Times New Roman"/>
          <w:color w:val="000000" w:themeColor="text1"/>
          <w:sz w:val="20"/>
          <w:szCs w:val="20"/>
        </w:rPr>
        <w:t xml:space="preserve"> </w:t>
      </w:r>
      <w:proofErr w:type="gramStart"/>
      <w:r w:rsidRPr="009975EA">
        <w:rPr>
          <w:rFonts w:ascii="Times New Roman" w:hAnsi="Times New Roman" w:cs="Times New Roman"/>
          <w:color w:val="000000" w:themeColor="text1"/>
          <w:sz w:val="20"/>
          <w:szCs w:val="20"/>
        </w:rPr>
        <w:t>done</w:t>
      </w:r>
      <w:proofErr w:type="gram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sanctioned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majority</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shareholders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agents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duly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chosen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such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majority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within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scope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powers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conferred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charter.”</w:t>
      </w:r>
    </w:p>
  </w:footnote>
  <w:footnote w:id="243">
    <w:p w14:paraId="4EB8AB3C"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Johnson/Porta/Silanes/Shleifer, p.617.</w:t>
      </w:r>
    </w:p>
  </w:footnote>
  <w:footnote w:id="244">
    <w:p w14:paraId="1A8DF62F" w14:textId="0B2F3EB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“…when private benefits involve neither distortion nor diversion of the firm’s surplus, they fill in the gaps of market (contractual) incompleteness. In other words, they account for some value that would have not been </w:t>
      </w:r>
      <w:r>
        <w:rPr>
          <w:rFonts w:ascii="Times New Roman" w:hAnsi="Times New Roman" w:cs="Times New Roman"/>
          <w:sz w:val="20"/>
          <w:szCs w:val="20"/>
        </w:rPr>
        <w:t>produced otherwise” (</w:t>
      </w:r>
      <w:proofErr w:type="spellStart"/>
      <w:r>
        <w:rPr>
          <w:rFonts w:ascii="Times New Roman" w:hAnsi="Times New Roman" w:cs="Times New Roman"/>
          <w:sz w:val="20"/>
          <w:szCs w:val="20"/>
        </w:rPr>
        <w:t>Pacces</w:t>
      </w:r>
      <w:proofErr w:type="spellEnd"/>
      <w:r w:rsidRPr="009975EA">
        <w:rPr>
          <w:rFonts w:ascii="Times New Roman" w:hAnsi="Times New Roman" w:cs="Times New Roman"/>
          <w:sz w:val="20"/>
          <w:szCs w:val="20"/>
        </w:rPr>
        <w:t>, p. 92).</w:t>
      </w:r>
    </w:p>
  </w:footnote>
  <w:footnote w:id="245">
    <w:p w14:paraId="55F5E251" w14:textId="7917EDD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details of the corporate defamation claims, see; Norman Redlich</w:t>
      </w:r>
      <w:r w:rsidRPr="000E3EED">
        <w:rPr>
          <w:rFonts w:ascii="Times New Roman" w:hAnsi="Times New Roman" w:cs="Times New Roman"/>
          <w:i/>
          <w:sz w:val="20"/>
          <w:szCs w:val="20"/>
        </w:rPr>
        <w:t>, The Publicly Held Corporation as Defamation Plaintiff,</w:t>
      </w:r>
      <w:r w:rsidRPr="009975EA">
        <w:rPr>
          <w:rFonts w:ascii="Times New Roman" w:hAnsi="Times New Roman" w:cs="Times New Roman"/>
          <w:sz w:val="20"/>
          <w:szCs w:val="20"/>
        </w:rPr>
        <w:t xml:space="preserve"> 39 St. Louis U. L.J. 1167 (1995).</w:t>
      </w:r>
    </w:p>
  </w:footnote>
  <w:footnote w:id="246">
    <w:p w14:paraId="2172D945" w14:textId="7681049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Cheff</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Mathes</w:t>
      </w:r>
      <w:proofErr w:type="spellEnd"/>
      <w:r w:rsidRPr="009975EA">
        <w:rPr>
          <w:rFonts w:ascii="Times New Roman" w:hAnsi="Times New Roman" w:cs="Times New Roman"/>
          <w:sz w:val="20"/>
          <w:szCs w:val="20"/>
        </w:rPr>
        <w:t xml:space="preserve">, 41 Del. </w:t>
      </w:r>
      <w:proofErr w:type="spellStart"/>
      <w:r w:rsidRPr="009975EA">
        <w:rPr>
          <w:rFonts w:ascii="Times New Roman" w:hAnsi="Times New Roman" w:cs="Times New Roman"/>
          <w:sz w:val="20"/>
          <w:szCs w:val="20"/>
        </w:rPr>
        <w:t>Ch</w:t>
      </w:r>
      <w:proofErr w:type="spellEnd"/>
      <w:r w:rsidRPr="009975EA">
        <w:rPr>
          <w:rFonts w:ascii="Times New Roman" w:hAnsi="Times New Roman" w:cs="Times New Roman"/>
          <w:sz w:val="20"/>
          <w:szCs w:val="20"/>
        </w:rPr>
        <w:t xml:space="preserve">. 494 (1964),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Delaware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evaluated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boards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buy- </w:t>
      </w:r>
      <w:proofErr w:type="spellStart"/>
      <w:r w:rsidRPr="009975EA">
        <w:rPr>
          <w:rFonts w:ascii="Times New Roman" w:hAnsi="Times New Roman" w:cs="Times New Roman"/>
          <w:sz w:val="20"/>
          <w:szCs w:val="20"/>
        </w:rPr>
        <w:t>out</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due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his </w:t>
      </w:r>
      <w:proofErr w:type="spellStart"/>
      <w:r w:rsidRPr="009975EA">
        <w:rPr>
          <w:rFonts w:ascii="Times New Roman" w:hAnsi="Times New Roman" w:cs="Times New Roman"/>
          <w:sz w:val="20"/>
          <w:szCs w:val="20"/>
        </w:rPr>
        <w:t>poor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reputation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laid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down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following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decision</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if</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actions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board </w:t>
      </w:r>
      <w:proofErr w:type="spellStart"/>
      <w:r w:rsidRPr="009975EA">
        <w:rPr>
          <w:rFonts w:ascii="Times New Roman" w:hAnsi="Times New Roman" w:cs="Times New Roman"/>
          <w:sz w:val="20"/>
          <w:szCs w:val="20"/>
        </w:rPr>
        <w:t>were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motivated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sincere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belief</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buying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out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dissident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necessary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maintain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board </w:t>
      </w:r>
      <w:proofErr w:type="spellStart"/>
      <w:r w:rsidRPr="009975EA">
        <w:rPr>
          <w:rFonts w:ascii="Times New Roman" w:hAnsi="Times New Roman" w:cs="Times New Roman"/>
          <w:sz w:val="20"/>
          <w:szCs w:val="20"/>
        </w:rPr>
        <w:t>believed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proper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practices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board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not be </w:t>
      </w:r>
      <w:proofErr w:type="spellStart"/>
      <w:r w:rsidRPr="009975EA">
        <w:rPr>
          <w:rFonts w:ascii="Times New Roman" w:hAnsi="Times New Roman" w:cs="Times New Roman"/>
          <w:sz w:val="20"/>
          <w:szCs w:val="20"/>
        </w:rPr>
        <w:t>held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liable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decision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hindsight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indicates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decision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was</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wisest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course</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Accordingly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opinion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evidence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presented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below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leads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inevitably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conclusion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board of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investigation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receipt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professional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advice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personal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observations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contradictory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Maremont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his </w:t>
      </w:r>
      <w:proofErr w:type="spellStart"/>
      <w:r w:rsidRPr="009975EA">
        <w:rPr>
          <w:rFonts w:ascii="Times New Roman" w:hAnsi="Times New Roman" w:cs="Times New Roman"/>
          <w:color w:val="000000"/>
          <w:sz w:val="20"/>
          <w:szCs w:val="20"/>
        </w:rPr>
        <w:t>explanation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believed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justification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threat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continued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existence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Holland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least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existence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present</w:t>
      </w:r>
      <w:proofErr w:type="spellEnd"/>
      <w:r w:rsidRPr="009975EA">
        <w:rPr>
          <w:rFonts w:ascii="Times New Roman" w:hAnsi="Times New Roman" w:cs="Times New Roman"/>
          <w:color w:val="000000"/>
          <w:sz w:val="20"/>
          <w:szCs w:val="20"/>
        </w:rPr>
        <w:t xml:space="preserve"> form,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plan of </w:t>
      </w:r>
      <w:proofErr w:type="spellStart"/>
      <w:r w:rsidRPr="009975EA">
        <w:rPr>
          <w:rFonts w:ascii="Times New Roman" w:hAnsi="Times New Roman" w:cs="Times New Roman"/>
          <w:color w:val="000000"/>
          <w:sz w:val="20"/>
          <w:szCs w:val="20"/>
        </w:rPr>
        <w:t>Maremont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countinue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building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w:t>
      </w:r>
      <w:proofErr w:type="spellEnd"/>
      <w:r w:rsidRPr="009975EA">
        <w:rPr>
          <w:rFonts w:ascii="Times New Roman" w:hAnsi="Times New Roman" w:cs="Times New Roman"/>
          <w:color w:val="000000"/>
          <w:sz w:val="20"/>
          <w:szCs w:val="20"/>
        </w:rPr>
        <w:t xml:space="preserve"> his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holdings</w:t>
      </w:r>
      <w:proofErr w:type="spellEnd"/>
      <w:r w:rsidRPr="009975EA">
        <w:rPr>
          <w:rFonts w:ascii="Times New Roman" w:hAnsi="Times New Roman" w:cs="Times New Roman"/>
          <w:sz w:val="20"/>
          <w:szCs w:val="20"/>
        </w:rPr>
        <w:t>”.</w:t>
      </w:r>
    </w:p>
  </w:footnote>
  <w:footnote w:id="247">
    <w:p w14:paraId="6CD2E74D" w14:textId="21BF3501" w:rsidR="00253590" w:rsidRPr="0047452F" w:rsidRDefault="00253590" w:rsidP="0047452F">
      <w:pPr>
        <w:jc w:val="both"/>
        <w:rPr>
          <w:rFonts w:ascii="Times New Roman" w:hAnsi="Times New Roman" w:cs="Times New Roman"/>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Today</w:t>
      </w:r>
      <w:proofErr w:type="spellEnd"/>
      <w:r w:rsidR="00016A2F" w:rsidRPr="0047452F">
        <w:rPr>
          <w:rFonts w:ascii="Times New Roman" w:hAnsi="Times New Roman" w:cs="Times New Roman"/>
          <w:sz w:val="20"/>
          <w:szCs w:val="20"/>
        </w:rPr>
        <w:t xml:space="preserve">, in </w:t>
      </w:r>
      <w:proofErr w:type="spellStart"/>
      <w:r w:rsidR="00016A2F" w:rsidRPr="0047452F">
        <w:rPr>
          <w:rFonts w:ascii="Times New Roman" w:hAnsi="Times New Roman" w:cs="Times New Roman"/>
          <w:sz w:val="20"/>
          <w:szCs w:val="20"/>
        </w:rPr>
        <w:t>Turkish</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law</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only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one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type</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business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enterprise</w:t>
      </w:r>
      <w:proofErr w:type="spellEnd"/>
      <w:r w:rsidR="00016A2F" w:rsidRPr="0047452F">
        <w:rPr>
          <w:rFonts w:ascii="Times New Roman" w:hAnsi="Times New Roman" w:cs="Times New Roman"/>
          <w:sz w:val="20"/>
          <w:szCs w:val="20"/>
        </w:rPr>
        <w:t xml:space="preserve"> can </w:t>
      </w:r>
      <w:proofErr w:type="spellStart"/>
      <w:r w:rsidR="00016A2F" w:rsidRPr="0047452F">
        <w:rPr>
          <w:rFonts w:ascii="Times New Roman" w:hAnsi="Times New Roman" w:cs="Times New Roman"/>
          <w:sz w:val="20"/>
          <w:szCs w:val="20"/>
        </w:rPr>
        <w:t>become</w:t>
      </w:r>
      <w:proofErr w:type="spellEnd"/>
      <w:r w:rsidR="00016A2F" w:rsidRPr="0047452F">
        <w:rPr>
          <w:rFonts w:ascii="Times New Roman" w:hAnsi="Times New Roman" w:cs="Times New Roman"/>
          <w:sz w:val="20"/>
          <w:szCs w:val="20"/>
        </w:rPr>
        <w:t xml:space="preserve"> a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traded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one</w:t>
      </w:r>
      <w:proofErr w:type="spellEnd"/>
      <w:r w:rsidR="00016A2F" w:rsidRPr="004745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Commenting</w:t>
      </w:r>
      <w:proofErr w:type="spellEnd"/>
      <w:r w:rsidR="00016A2F" w:rsidRPr="00016A2F">
        <w:rPr>
          <w:rFonts w:ascii="Times New Roman" w:hAnsi="Times New Roman" w:cs="Times New Roman"/>
          <w:sz w:val="20"/>
          <w:szCs w:val="20"/>
        </w:rPr>
        <w:t xml:space="preserve"> on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prior</w:t>
      </w:r>
      <w:proofErr w:type="spellEnd"/>
      <w:r w:rsidR="00016A2F" w:rsidRPr="00016A2F">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Capital</w:t>
      </w:r>
      <w:proofErr w:type="spellEnd"/>
      <w:r w:rsidR="00222D33">
        <w:rPr>
          <w:rFonts w:ascii="Times New Roman" w:hAnsi="Times New Roman" w:cs="Times New Roman"/>
          <w:sz w:val="20"/>
          <w:szCs w:val="20"/>
        </w:rPr>
        <w:t xml:space="preserve"> Market </w:t>
      </w:r>
      <w:proofErr w:type="spellStart"/>
      <w:r w:rsidR="00222D33">
        <w:rPr>
          <w:rFonts w:ascii="Times New Roman" w:hAnsi="Times New Roman" w:cs="Times New Roman"/>
          <w:sz w:val="20"/>
          <w:szCs w:val="20"/>
        </w:rPr>
        <w:t>Law</w:t>
      </w:r>
      <w:proofErr w:type="spellEnd"/>
      <w:r w:rsidR="00016A2F" w:rsidRPr="00016A2F">
        <w:rPr>
          <w:rFonts w:ascii="Times New Roman" w:hAnsi="Times New Roman" w:cs="Times New Roman"/>
          <w:sz w:val="20"/>
          <w:szCs w:val="20"/>
        </w:rPr>
        <w:t xml:space="preserve">, a </w:t>
      </w:r>
      <w:proofErr w:type="spellStart"/>
      <w:r w:rsidR="00016A2F" w:rsidRPr="00016A2F">
        <w:rPr>
          <w:rFonts w:ascii="Times New Roman" w:hAnsi="Times New Roman" w:cs="Times New Roman"/>
          <w:sz w:val="20"/>
          <w:szCs w:val="20"/>
        </w:rPr>
        <w:t>scholar</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states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following</w:t>
      </w:r>
      <w:proofErr w:type="spellEnd"/>
      <w:r w:rsidR="00016A2F" w:rsidRPr="00016A2F">
        <w:rPr>
          <w:rFonts w:ascii="Times New Roman" w:hAnsi="Times New Roman" w:cs="Times New Roman"/>
          <w:sz w:val="20"/>
          <w:szCs w:val="20"/>
        </w:rPr>
        <w:t xml:space="preserve">: “A </w:t>
      </w:r>
      <w:proofErr w:type="spellStart"/>
      <w:r w:rsidR="00016A2F" w:rsidRPr="00016A2F">
        <w:rPr>
          <w:rFonts w:ascii="Times New Roman" w:hAnsi="Times New Roman" w:cs="Times New Roman"/>
          <w:sz w:val="20"/>
          <w:szCs w:val="20"/>
        </w:rPr>
        <w:t>public</w:t>
      </w:r>
      <w:proofErr w:type="spellEnd"/>
      <w:r w:rsidR="00016A2F" w:rsidRPr="00016A2F">
        <w:rPr>
          <w:rFonts w:ascii="Times New Roman" w:hAnsi="Times New Roman" w:cs="Times New Roman"/>
          <w:sz w:val="20"/>
          <w:szCs w:val="20"/>
        </w:rPr>
        <w:t xml:space="preserve"> limited </w:t>
      </w:r>
      <w:proofErr w:type="spellStart"/>
      <w:r w:rsidR="00016A2F" w:rsidRPr="00016A2F">
        <w:rPr>
          <w:rFonts w:ascii="Times New Roman" w:hAnsi="Times New Roman" w:cs="Times New Roman"/>
          <w:sz w:val="20"/>
          <w:szCs w:val="20"/>
        </w:rPr>
        <w:t>company</w:t>
      </w:r>
      <w:proofErr w:type="spellEnd"/>
      <w:r w:rsidR="00016A2F" w:rsidRPr="00016A2F">
        <w:rPr>
          <w:rFonts w:ascii="Times New Roman" w:hAnsi="Times New Roman" w:cs="Times New Roman"/>
          <w:sz w:val="20"/>
          <w:szCs w:val="20"/>
        </w:rPr>
        <w:t xml:space="preserve"> is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only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type</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company</w:t>
      </w:r>
      <w:proofErr w:type="spellEnd"/>
      <w:r w:rsidR="00016A2F" w:rsidRPr="00016A2F">
        <w:rPr>
          <w:rFonts w:ascii="Times New Roman" w:hAnsi="Times New Roman" w:cs="Times New Roman"/>
          <w:sz w:val="20"/>
          <w:szCs w:val="20"/>
        </w:rPr>
        <w:t xml:space="preserve"> on </w:t>
      </w:r>
      <w:proofErr w:type="spellStart"/>
      <w:r w:rsidR="00016A2F" w:rsidRPr="00016A2F">
        <w:rPr>
          <w:rFonts w:ascii="Times New Roman" w:hAnsi="Times New Roman" w:cs="Times New Roman"/>
          <w:sz w:val="20"/>
          <w:szCs w:val="20"/>
        </w:rPr>
        <w:t>which</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right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to</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offer</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its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shares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to</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public</w:t>
      </w:r>
      <w:proofErr w:type="spellEnd"/>
      <w:r w:rsidR="00016A2F" w:rsidRPr="00016A2F">
        <w:rPr>
          <w:rFonts w:ascii="Times New Roman" w:hAnsi="Times New Roman" w:cs="Times New Roman"/>
          <w:sz w:val="20"/>
          <w:szCs w:val="20"/>
        </w:rPr>
        <w:t xml:space="preserve"> is </w:t>
      </w:r>
      <w:proofErr w:type="spellStart"/>
      <w:r w:rsidR="00016A2F" w:rsidRPr="00016A2F">
        <w:rPr>
          <w:rFonts w:ascii="Times New Roman" w:hAnsi="Times New Roman" w:cs="Times New Roman"/>
          <w:sz w:val="20"/>
          <w:szCs w:val="20"/>
        </w:rPr>
        <w:t>conferred</w:t>
      </w:r>
      <w:proofErr w:type="spellEnd"/>
      <w:r w:rsidR="00016A2F" w:rsidRPr="00016A2F">
        <w:rPr>
          <w:rFonts w:ascii="Times New Roman" w:hAnsi="Times New Roman" w:cs="Times New Roman"/>
          <w:sz w:val="20"/>
          <w:szCs w:val="20"/>
        </w:rPr>
        <w:t xml:space="preserve">” (Sibel </w:t>
      </w:r>
      <w:proofErr w:type="spellStart"/>
      <w:r w:rsidR="00016A2F" w:rsidRPr="00016A2F">
        <w:rPr>
          <w:rFonts w:ascii="Times New Roman" w:hAnsi="Times New Roman" w:cs="Times New Roman"/>
          <w:sz w:val="20"/>
          <w:szCs w:val="20"/>
        </w:rPr>
        <w:t>Hacimahmutoglu</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problems</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minority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protection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and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their</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solutions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within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legal </w:t>
      </w:r>
      <w:proofErr w:type="spellStart"/>
      <w:r w:rsidR="00016A2F" w:rsidRPr="00016A2F">
        <w:rPr>
          <w:rFonts w:ascii="Times New Roman" w:hAnsi="Times New Roman" w:cs="Times New Roman"/>
          <w:sz w:val="20"/>
          <w:szCs w:val="20"/>
        </w:rPr>
        <w:t>framework</w:t>
      </w:r>
      <w:proofErr w:type="spellEnd"/>
      <w:r w:rsidR="00016A2F" w:rsidRPr="00016A2F">
        <w:rPr>
          <w:rFonts w:ascii="Times New Roman" w:hAnsi="Times New Roman" w:cs="Times New Roman"/>
          <w:sz w:val="20"/>
          <w:szCs w:val="20"/>
        </w:rPr>
        <w:t xml:space="preserve"> in </w:t>
      </w:r>
      <w:proofErr w:type="spellStart"/>
      <w:r w:rsidR="00016A2F" w:rsidRPr="00016A2F">
        <w:rPr>
          <w:rFonts w:ascii="Times New Roman" w:hAnsi="Times New Roman" w:cs="Times New Roman"/>
          <w:sz w:val="20"/>
          <w:szCs w:val="20"/>
        </w:rPr>
        <w:t>Turkish</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corporate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governance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Journal</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Banking</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Regulation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Vol</w:t>
      </w:r>
      <w:proofErr w:type="spellEnd"/>
      <w:r w:rsidR="00016A2F" w:rsidRPr="00016A2F">
        <w:rPr>
          <w:rFonts w:ascii="Times New Roman" w:hAnsi="Times New Roman" w:cs="Times New Roman"/>
          <w:sz w:val="20"/>
          <w:szCs w:val="20"/>
        </w:rPr>
        <w:t xml:space="preserve">. 8 (2007), p.133). </w:t>
      </w:r>
      <w:proofErr w:type="spellStart"/>
      <w:r w:rsidR="00016A2F" w:rsidRPr="0047452F">
        <w:rPr>
          <w:rFonts w:ascii="Times New Roman" w:hAnsi="Times New Roman" w:cs="Times New Roman"/>
          <w:sz w:val="20"/>
          <w:szCs w:val="20"/>
        </w:rPr>
        <w:t>This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type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w:t>
      </w:r>
      <w:proofErr w:type="spellEnd"/>
      <w:r w:rsidR="00016A2F" w:rsidRPr="0047452F">
        <w:rPr>
          <w:rFonts w:ascii="Times New Roman" w:hAnsi="Times New Roman" w:cs="Times New Roman"/>
          <w:sz w:val="20"/>
          <w:szCs w:val="20"/>
        </w:rPr>
        <w:t xml:space="preserve">, is </w:t>
      </w:r>
      <w:proofErr w:type="spellStart"/>
      <w:r w:rsidR="00016A2F" w:rsidRPr="0047452F">
        <w:rPr>
          <w:rFonts w:ascii="Times New Roman" w:hAnsi="Times New Roman" w:cs="Times New Roman"/>
          <w:sz w:val="20"/>
          <w:szCs w:val="20"/>
        </w:rPr>
        <w:t>mainly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governed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by</w:t>
      </w:r>
      <w:proofErr w:type="spellEnd"/>
      <w:r w:rsidR="00016A2F" w:rsidRPr="0047452F">
        <w:rPr>
          <w:rFonts w:ascii="Times New Roman" w:hAnsi="Times New Roman" w:cs="Times New Roman"/>
          <w:sz w:val="20"/>
          <w:szCs w:val="20"/>
        </w:rPr>
        <w:t xml:space="preserve"> 6102 </w:t>
      </w:r>
      <w:proofErr w:type="spellStart"/>
      <w:r w:rsidR="00016A2F" w:rsidRPr="0047452F">
        <w:rPr>
          <w:rFonts w:ascii="Times New Roman" w:hAnsi="Times New Roman" w:cs="Times New Roman"/>
          <w:sz w:val="20"/>
          <w:szCs w:val="20"/>
        </w:rPr>
        <w:t>numbered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Turkish</w:t>
      </w:r>
      <w:proofErr w:type="spellEnd"/>
      <w:r w:rsidR="00016A2F" w:rsidRPr="0047452F">
        <w:rPr>
          <w:rFonts w:ascii="Times New Roman" w:hAnsi="Times New Roman" w:cs="Times New Roman"/>
          <w:sz w:val="20"/>
          <w:szCs w:val="20"/>
        </w:rPr>
        <w:t xml:space="preserve"> Commercial </w:t>
      </w:r>
      <w:proofErr w:type="spellStart"/>
      <w:r w:rsidR="00016A2F" w:rsidRPr="0047452F">
        <w:rPr>
          <w:rFonts w:ascii="Times New Roman" w:hAnsi="Times New Roman" w:cs="Times New Roman"/>
          <w:sz w:val="20"/>
          <w:szCs w:val="20"/>
        </w:rPr>
        <w:t>Code</w:t>
      </w:r>
      <w:proofErr w:type="spellEnd"/>
      <w:r w:rsidR="00016A2F" w:rsidRPr="0047452F">
        <w:rPr>
          <w:rFonts w:ascii="Times New Roman" w:hAnsi="Times New Roman" w:cs="Times New Roman"/>
          <w:sz w:val="20"/>
          <w:szCs w:val="20"/>
        </w:rPr>
        <w:t xml:space="preserve"> (TCC); </w:t>
      </w:r>
      <w:proofErr w:type="spellStart"/>
      <w:r w:rsidR="00016A2F" w:rsidRPr="0047452F">
        <w:rPr>
          <w:rFonts w:ascii="Times New Roman" w:hAnsi="Times New Roman" w:cs="Times New Roman"/>
          <w:sz w:val="20"/>
          <w:szCs w:val="20"/>
        </w:rPr>
        <w:t>however</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Code</w:t>
      </w:r>
      <w:proofErr w:type="spellEnd"/>
      <w:r w:rsidR="00016A2F" w:rsidRPr="0047452F">
        <w:rPr>
          <w:rFonts w:ascii="Times New Roman" w:hAnsi="Times New Roman" w:cs="Times New Roman"/>
          <w:sz w:val="20"/>
          <w:szCs w:val="20"/>
        </w:rPr>
        <w:t xml:space="preserve"> is not </w:t>
      </w:r>
      <w:proofErr w:type="spellStart"/>
      <w:r w:rsidR="00016A2F" w:rsidRPr="0047452F">
        <w:rPr>
          <w:rFonts w:ascii="Times New Roman" w:hAnsi="Times New Roman" w:cs="Times New Roman"/>
          <w:sz w:val="20"/>
          <w:szCs w:val="20"/>
        </w:rPr>
        <w:t>specifically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devoted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regulation</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traded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version</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w:t>
      </w:r>
      <w:proofErr w:type="spellEnd"/>
      <w:r w:rsidR="00016A2F" w:rsidRPr="004745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During</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times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when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abolished</w:t>
      </w:r>
      <w:proofErr w:type="spellEnd"/>
      <w:r w:rsidR="00016A2F" w:rsidRPr="00016A2F">
        <w:rPr>
          <w:rFonts w:ascii="Times New Roman" w:hAnsi="Times New Roman" w:cs="Times New Roman"/>
          <w:sz w:val="20"/>
          <w:szCs w:val="20"/>
        </w:rPr>
        <w:t xml:space="preserve"> TCC </w:t>
      </w:r>
      <w:proofErr w:type="spellStart"/>
      <w:r w:rsidR="00016A2F" w:rsidRPr="00016A2F">
        <w:rPr>
          <w:rFonts w:ascii="Times New Roman" w:hAnsi="Times New Roman" w:cs="Times New Roman"/>
          <w:sz w:val="20"/>
          <w:szCs w:val="20"/>
        </w:rPr>
        <w:t>was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still</w:t>
      </w:r>
      <w:proofErr w:type="spellEnd"/>
      <w:r w:rsidR="00016A2F" w:rsidRPr="00016A2F">
        <w:rPr>
          <w:rFonts w:ascii="Times New Roman" w:hAnsi="Times New Roman" w:cs="Times New Roman"/>
          <w:sz w:val="20"/>
          <w:szCs w:val="20"/>
        </w:rPr>
        <w:t xml:space="preserve"> in </w:t>
      </w:r>
      <w:proofErr w:type="spellStart"/>
      <w:r w:rsidR="00016A2F" w:rsidRPr="00016A2F">
        <w:rPr>
          <w:rFonts w:ascii="Times New Roman" w:hAnsi="Times New Roman" w:cs="Times New Roman"/>
          <w:sz w:val="20"/>
          <w:szCs w:val="20"/>
        </w:rPr>
        <w:t>force</w:t>
      </w:r>
      <w:proofErr w:type="spellEnd"/>
      <w:r w:rsidR="00016A2F" w:rsidRPr="00016A2F">
        <w:rPr>
          <w:rFonts w:ascii="Times New Roman" w:hAnsi="Times New Roman" w:cs="Times New Roman"/>
          <w:sz w:val="20"/>
          <w:szCs w:val="20"/>
        </w:rPr>
        <w:t xml:space="preserve">, it </w:t>
      </w:r>
      <w:proofErr w:type="spellStart"/>
      <w:r w:rsidR="00016A2F" w:rsidRPr="00016A2F">
        <w:rPr>
          <w:rFonts w:ascii="Times New Roman" w:hAnsi="Times New Roman" w:cs="Times New Roman"/>
          <w:sz w:val="20"/>
          <w:szCs w:val="20"/>
        </w:rPr>
        <w:t>was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argued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that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corporation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that</w:t>
      </w:r>
      <w:proofErr w:type="spellEnd"/>
      <w:r w:rsidR="00016A2F" w:rsidRPr="00016A2F">
        <w:rPr>
          <w:rFonts w:ascii="Times New Roman" w:hAnsi="Times New Roman" w:cs="Times New Roman"/>
          <w:sz w:val="20"/>
          <w:szCs w:val="20"/>
        </w:rPr>
        <w:t xml:space="preserve"> TCC </w:t>
      </w:r>
      <w:proofErr w:type="spellStart"/>
      <w:r w:rsidR="00016A2F" w:rsidRPr="00016A2F">
        <w:rPr>
          <w:rFonts w:ascii="Times New Roman" w:hAnsi="Times New Roman" w:cs="Times New Roman"/>
          <w:sz w:val="20"/>
          <w:szCs w:val="20"/>
        </w:rPr>
        <w:t>was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regulating</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was</w:t>
      </w:r>
      <w:proofErr w:type="spellEnd"/>
      <w:r w:rsidR="00016A2F" w:rsidRPr="00016A2F">
        <w:rPr>
          <w:rFonts w:ascii="Times New Roman" w:hAnsi="Times New Roman" w:cs="Times New Roman"/>
          <w:sz w:val="20"/>
          <w:szCs w:val="20"/>
        </w:rPr>
        <w:t xml:space="preserve"> in </w:t>
      </w:r>
      <w:proofErr w:type="spellStart"/>
      <w:r w:rsidR="00016A2F" w:rsidRPr="00016A2F">
        <w:rPr>
          <w:rFonts w:ascii="Times New Roman" w:hAnsi="Times New Roman" w:cs="Times New Roman"/>
          <w:sz w:val="20"/>
          <w:szCs w:val="20"/>
        </w:rPr>
        <w:t>essence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publicly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held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corporation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and</w:t>
      </w:r>
      <w:proofErr w:type="spellEnd"/>
      <w:r w:rsidR="00016A2F" w:rsidRPr="00016A2F">
        <w:rPr>
          <w:rFonts w:ascii="Times New Roman" w:hAnsi="Times New Roman" w:cs="Times New Roman"/>
          <w:sz w:val="20"/>
          <w:szCs w:val="20"/>
        </w:rPr>
        <w:t xml:space="preserve"> not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closely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held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one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Tugrul</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Ansay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i/>
          <w:sz w:val="20"/>
          <w:szCs w:val="20"/>
        </w:rPr>
        <w:t>Cagdas</w:t>
      </w:r>
      <w:proofErr w:type="spellEnd"/>
      <w:r w:rsidR="00016A2F" w:rsidRPr="00016A2F">
        <w:rPr>
          <w:rFonts w:ascii="Times New Roman" w:hAnsi="Times New Roman" w:cs="Times New Roman"/>
          <w:i/>
          <w:sz w:val="20"/>
          <w:szCs w:val="20"/>
        </w:rPr>
        <w:t xml:space="preserve"> Anonim </w:t>
      </w:r>
      <w:proofErr w:type="spellStart"/>
      <w:r w:rsidR="00016A2F" w:rsidRPr="00016A2F">
        <w:rPr>
          <w:rFonts w:ascii="Times New Roman" w:hAnsi="Times New Roman" w:cs="Times New Roman"/>
          <w:i/>
          <w:sz w:val="20"/>
          <w:szCs w:val="20"/>
        </w:rPr>
        <w:t>Sirketlerin</w:t>
      </w:r>
      <w:proofErr w:type="spellEnd"/>
      <w:r w:rsidR="00016A2F" w:rsidRPr="00016A2F">
        <w:rPr>
          <w:rFonts w:ascii="Times New Roman" w:hAnsi="Times New Roman" w:cs="Times New Roman"/>
          <w:i/>
          <w:sz w:val="20"/>
          <w:szCs w:val="20"/>
        </w:rPr>
        <w:t xml:space="preserve"> </w:t>
      </w:r>
      <w:proofErr w:type="spellStart"/>
      <w:r w:rsidR="00016A2F" w:rsidRPr="00016A2F">
        <w:rPr>
          <w:rFonts w:ascii="Times New Roman" w:hAnsi="Times New Roman" w:cs="Times New Roman"/>
          <w:i/>
          <w:sz w:val="20"/>
          <w:szCs w:val="20"/>
        </w:rPr>
        <w:t>Sorunlari</w:t>
      </w:r>
      <w:proofErr w:type="spellEnd"/>
      <w:r w:rsidR="00016A2F" w:rsidRPr="00016A2F">
        <w:rPr>
          <w:rFonts w:ascii="Times New Roman" w:hAnsi="Times New Roman" w:cs="Times New Roman"/>
          <w:i/>
          <w:sz w:val="20"/>
          <w:szCs w:val="20"/>
        </w:rPr>
        <w:t xml:space="preserve"> ve </w:t>
      </w:r>
      <w:proofErr w:type="spellStart"/>
      <w:r w:rsidR="00016A2F" w:rsidRPr="00016A2F">
        <w:rPr>
          <w:rFonts w:ascii="Times New Roman" w:hAnsi="Times New Roman" w:cs="Times New Roman"/>
          <w:i/>
          <w:sz w:val="20"/>
          <w:szCs w:val="20"/>
        </w:rPr>
        <w:t>Turk</w:t>
      </w:r>
      <w:proofErr w:type="spellEnd"/>
      <w:r w:rsidR="00016A2F" w:rsidRPr="00016A2F">
        <w:rPr>
          <w:rFonts w:ascii="Times New Roman" w:hAnsi="Times New Roman" w:cs="Times New Roman"/>
          <w:i/>
          <w:sz w:val="20"/>
          <w:szCs w:val="20"/>
        </w:rPr>
        <w:t xml:space="preserve"> Anonim </w:t>
      </w:r>
      <w:proofErr w:type="spellStart"/>
      <w:r w:rsidR="00016A2F" w:rsidRPr="00016A2F">
        <w:rPr>
          <w:rFonts w:ascii="Times New Roman" w:hAnsi="Times New Roman" w:cs="Times New Roman"/>
          <w:i/>
          <w:sz w:val="20"/>
          <w:szCs w:val="20"/>
        </w:rPr>
        <w:t>Sirketleri</w:t>
      </w:r>
      <w:proofErr w:type="spellEnd"/>
      <w:r w:rsidR="00016A2F" w:rsidRPr="00016A2F">
        <w:rPr>
          <w:rFonts w:ascii="Times New Roman" w:hAnsi="Times New Roman" w:cs="Times New Roman"/>
          <w:sz w:val="20"/>
          <w:szCs w:val="20"/>
        </w:rPr>
        <w:t xml:space="preserve"> 45 (1971)).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Official</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Comment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to</w:t>
      </w:r>
      <w:proofErr w:type="spellEnd"/>
      <w:r w:rsidR="00016A2F" w:rsidRPr="00016A2F">
        <w:rPr>
          <w:rFonts w:ascii="Times New Roman" w:hAnsi="Times New Roman" w:cs="Times New Roman"/>
          <w:sz w:val="20"/>
          <w:szCs w:val="20"/>
        </w:rPr>
        <w:t xml:space="preserve"> TCC </w:t>
      </w:r>
      <w:proofErr w:type="spellStart"/>
      <w:r w:rsidR="00016A2F" w:rsidRPr="00016A2F">
        <w:rPr>
          <w:rFonts w:ascii="Times New Roman" w:hAnsi="Times New Roman" w:cs="Times New Roman"/>
          <w:sz w:val="20"/>
          <w:szCs w:val="20"/>
        </w:rPr>
        <w:t>explicitly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states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that</w:t>
      </w:r>
      <w:proofErr w:type="spellEnd"/>
      <w:r w:rsidR="00016A2F" w:rsidRPr="00016A2F">
        <w:rPr>
          <w:rFonts w:ascii="Times New Roman" w:hAnsi="Times New Roman" w:cs="Times New Roman"/>
          <w:sz w:val="20"/>
          <w:szCs w:val="20"/>
        </w:rPr>
        <w:t xml:space="preserve"> TCC is not </w:t>
      </w:r>
      <w:proofErr w:type="spellStart"/>
      <w:r w:rsidR="00016A2F" w:rsidRPr="00016A2F">
        <w:rPr>
          <w:rFonts w:ascii="Times New Roman" w:hAnsi="Times New Roman" w:cs="Times New Roman"/>
          <w:sz w:val="20"/>
          <w:szCs w:val="20"/>
        </w:rPr>
        <w:t>frameworked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to</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regulate</w:t>
      </w:r>
      <w:proofErr w:type="spellEnd"/>
      <w:r w:rsidR="00016A2F" w:rsidRPr="00016A2F">
        <w:rPr>
          <w:rFonts w:ascii="Times New Roman" w:hAnsi="Times New Roman" w:cs="Times New Roman"/>
          <w:sz w:val="20"/>
          <w:szCs w:val="20"/>
        </w:rPr>
        <w:t xml:space="preserve"> a </w:t>
      </w:r>
      <w:proofErr w:type="spellStart"/>
      <w:r w:rsidR="00016A2F" w:rsidRPr="00016A2F">
        <w:rPr>
          <w:rFonts w:ascii="Times New Roman" w:hAnsi="Times New Roman" w:cs="Times New Roman"/>
          <w:sz w:val="20"/>
          <w:szCs w:val="20"/>
        </w:rPr>
        <w:t>specific</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type</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corporation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so</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implicitly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claims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that</w:t>
      </w:r>
      <w:proofErr w:type="spellEnd"/>
      <w:r w:rsidR="00016A2F" w:rsidRPr="00016A2F">
        <w:rPr>
          <w:rFonts w:ascii="Times New Roman" w:hAnsi="Times New Roman" w:cs="Times New Roman"/>
          <w:sz w:val="20"/>
          <w:szCs w:val="20"/>
        </w:rPr>
        <w:t xml:space="preserve"> it </w:t>
      </w:r>
      <w:proofErr w:type="spellStart"/>
      <w:r w:rsidR="00016A2F" w:rsidRPr="00016A2F">
        <w:rPr>
          <w:rFonts w:ascii="Times New Roman" w:hAnsi="Times New Roman" w:cs="Times New Roman"/>
          <w:sz w:val="20"/>
          <w:szCs w:val="20"/>
        </w:rPr>
        <w:t>tailored</w:t>
      </w:r>
      <w:proofErr w:type="spellEnd"/>
      <w:r w:rsidR="00016A2F" w:rsidRPr="00016A2F">
        <w:rPr>
          <w:rFonts w:ascii="Times New Roman" w:hAnsi="Times New Roman" w:cs="Times New Roman"/>
          <w:sz w:val="20"/>
          <w:szCs w:val="20"/>
        </w:rPr>
        <w:t xml:space="preserve"> a </w:t>
      </w:r>
      <w:proofErr w:type="spellStart"/>
      <w:r w:rsidR="00016A2F" w:rsidRPr="00016A2F">
        <w:rPr>
          <w:rFonts w:ascii="Times New Roman" w:hAnsi="Times New Roman" w:cs="Times New Roman"/>
          <w:sz w:val="20"/>
          <w:szCs w:val="20"/>
        </w:rPr>
        <w:t>suitable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suit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for</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all</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both</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close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and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publicly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traded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corprations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Official</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Comment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to</w:t>
      </w:r>
      <w:proofErr w:type="spellEnd"/>
      <w:r w:rsidR="00016A2F" w:rsidRPr="00016A2F">
        <w:rPr>
          <w:rFonts w:ascii="Times New Roman" w:hAnsi="Times New Roman" w:cs="Times New Roman"/>
          <w:sz w:val="20"/>
          <w:szCs w:val="20"/>
        </w:rPr>
        <w:t xml:space="preserve"> TCC </w:t>
      </w:r>
      <w:proofErr w:type="spellStart"/>
      <w:r w:rsidR="00016A2F" w:rsidRPr="00016A2F">
        <w:rPr>
          <w:rFonts w:ascii="Times New Roman" w:hAnsi="Times New Roman" w:cs="Times New Roman"/>
          <w:sz w:val="20"/>
          <w:szCs w:val="20"/>
        </w:rPr>
        <w:t>Article</w:t>
      </w:r>
      <w:proofErr w:type="spellEnd"/>
      <w:r w:rsidR="00016A2F" w:rsidRPr="00016A2F">
        <w:rPr>
          <w:rFonts w:ascii="Times New Roman" w:hAnsi="Times New Roman" w:cs="Times New Roman"/>
          <w:sz w:val="20"/>
          <w:szCs w:val="20"/>
        </w:rPr>
        <w:t xml:space="preserve"> 338). </w:t>
      </w:r>
      <w:proofErr w:type="spellStart"/>
      <w:r w:rsidR="00016A2F" w:rsidRPr="00016A2F">
        <w:rPr>
          <w:rFonts w:ascii="Times New Roman" w:hAnsi="Times New Roman" w:cs="Times New Roman"/>
          <w:sz w:val="20"/>
          <w:szCs w:val="20"/>
        </w:rPr>
        <w:t>Nowadays</w:t>
      </w:r>
      <w:proofErr w:type="spellEnd"/>
      <w:r w:rsidR="00016A2F" w:rsidRPr="00016A2F">
        <w:rPr>
          <w:rFonts w:ascii="Times New Roman" w:hAnsi="Times New Roman" w:cs="Times New Roman"/>
          <w:sz w:val="20"/>
          <w:szCs w:val="20"/>
        </w:rPr>
        <w:t xml:space="preserve">, as </w:t>
      </w:r>
      <w:proofErr w:type="spellStart"/>
      <w:r w:rsidR="00016A2F" w:rsidRPr="00016A2F">
        <w:rPr>
          <w:rFonts w:ascii="Times New Roman" w:hAnsi="Times New Roman" w:cs="Times New Roman"/>
          <w:sz w:val="20"/>
          <w:szCs w:val="20"/>
        </w:rPr>
        <w:t>publicly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held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ones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are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extensively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subject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to</w:t>
      </w:r>
      <w:proofErr w:type="spellEnd"/>
      <w:r w:rsidR="00016A2F" w:rsidRPr="00016A2F">
        <w:rPr>
          <w:rFonts w:ascii="Times New Roman" w:hAnsi="Times New Roman" w:cs="Times New Roman"/>
          <w:sz w:val="20"/>
          <w:szCs w:val="20"/>
        </w:rPr>
        <w:t xml:space="preserve"> </w:t>
      </w:r>
      <w:r w:rsidR="00222D33">
        <w:rPr>
          <w:rFonts w:ascii="Times New Roman" w:hAnsi="Times New Roman" w:cs="Times New Roman"/>
          <w:sz w:val="20"/>
          <w:szCs w:val="20"/>
        </w:rPr>
        <w:t xml:space="preserve">6362 </w:t>
      </w:r>
      <w:proofErr w:type="spellStart"/>
      <w:r w:rsidR="00222D33">
        <w:rPr>
          <w:rFonts w:ascii="Times New Roman" w:hAnsi="Times New Roman" w:cs="Times New Roman"/>
          <w:sz w:val="20"/>
          <w:szCs w:val="20"/>
        </w:rPr>
        <w:t>numbered</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Capital</w:t>
      </w:r>
      <w:proofErr w:type="spellEnd"/>
      <w:r w:rsidR="00222D33">
        <w:rPr>
          <w:rFonts w:ascii="Times New Roman" w:hAnsi="Times New Roman" w:cs="Times New Roman"/>
          <w:sz w:val="20"/>
          <w:szCs w:val="20"/>
        </w:rPr>
        <w:t xml:space="preserve"> Market </w:t>
      </w:r>
      <w:proofErr w:type="spellStart"/>
      <w:r w:rsidR="00222D33">
        <w:rPr>
          <w:rFonts w:ascii="Times New Roman" w:hAnsi="Times New Roman" w:cs="Times New Roman"/>
          <w:sz w:val="20"/>
          <w:szCs w:val="20"/>
        </w:rPr>
        <w:t>Law</w:t>
      </w:r>
      <w:proofErr w:type="spellEnd"/>
      <w:r w:rsidR="00222D33">
        <w:rPr>
          <w:rFonts w:ascii="Times New Roman" w:hAnsi="Times New Roman" w:cs="Times New Roman"/>
          <w:sz w:val="20"/>
          <w:szCs w:val="20"/>
        </w:rPr>
        <w:t xml:space="preserve"> (CML)</w:t>
      </w:r>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while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still</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remaining</w:t>
      </w:r>
      <w:proofErr w:type="spellEnd"/>
      <w:r w:rsidR="00016A2F" w:rsidRPr="00016A2F">
        <w:rPr>
          <w:rFonts w:ascii="Times New Roman" w:hAnsi="Times New Roman" w:cs="Times New Roman"/>
          <w:sz w:val="20"/>
          <w:szCs w:val="20"/>
        </w:rPr>
        <w:t xml:space="preserve"> in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scope</w:t>
      </w:r>
      <w:proofErr w:type="spellEnd"/>
      <w:r w:rsidR="00016A2F" w:rsidRPr="00016A2F">
        <w:rPr>
          <w:rFonts w:ascii="Times New Roman" w:hAnsi="Times New Roman" w:cs="Times New Roman"/>
          <w:sz w:val="20"/>
          <w:szCs w:val="20"/>
        </w:rPr>
        <w:t xml:space="preserve"> of TCC, </w:t>
      </w:r>
      <w:proofErr w:type="spellStart"/>
      <w:r w:rsidR="00016A2F" w:rsidRPr="00016A2F">
        <w:rPr>
          <w:rFonts w:ascii="Times New Roman" w:hAnsi="Times New Roman" w:cs="Times New Roman"/>
          <w:sz w:val="20"/>
          <w:szCs w:val="20"/>
        </w:rPr>
        <w:t>that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old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argument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lost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its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importance</w:t>
      </w:r>
      <w:proofErr w:type="spellEnd"/>
      <w:r w:rsidR="00016A2F" w:rsidRPr="00016A2F">
        <w:rPr>
          <w:rFonts w:ascii="Times New Roman" w:hAnsi="Times New Roman" w:cs="Times New Roman"/>
          <w:sz w:val="20"/>
          <w:szCs w:val="20"/>
        </w:rPr>
        <w:t xml:space="preserve">. A </w:t>
      </w:r>
      <w:proofErr w:type="spellStart"/>
      <w:r w:rsidR="00016A2F" w:rsidRPr="00016A2F">
        <w:rPr>
          <w:rFonts w:ascii="Times New Roman" w:hAnsi="Times New Roman" w:cs="Times New Roman"/>
          <w:sz w:val="20"/>
          <w:szCs w:val="20"/>
        </w:rPr>
        <w:t>similar</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argument</w:t>
      </w:r>
      <w:proofErr w:type="spellEnd"/>
      <w:r w:rsidR="00016A2F" w:rsidRPr="00016A2F">
        <w:rPr>
          <w:rFonts w:ascii="Times New Roman" w:hAnsi="Times New Roman" w:cs="Times New Roman"/>
          <w:sz w:val="20"/>
          <w:szCs w:val="20"/>
        </w:rPr>
        <w:t xml:space="preserve"> is </w:t>
      </w:r>
      <w:proofErr w:type="spellStart"/>
      <w:r w:rsidR="00016A2F" w:rsidRPr="00016A2F">
        <w:rPr>
          <w:rFonts w:ascii="Times New Roman" w:hAnsi="Times New Roman" w:cs="Times New Roman"/>
          <w:sz w:val="20"/>
          <w:szCs w:val="20"/>
        </w:rPr>
        <w:t>also</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claimed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for</w:t>
      </w:r>
      <w:proofErr w:type="spellEnd"/>
      <w:r w:rsidR="00016A2F" w:rsidRPr="00016A2F">
        <w:rPr>
          <w:rFonts w:ascii="Times New Roman" w:hAnsi="Times New Roman" w:cs="Times New Roman"/>
          <w:sz w:val="20"/>
          <w:szCs w:val="20"/>
        </w:rPr>
        <w:t xml:space="preserve"> U.S. </w:t>
      </w:r>
      <w:proofErr w:type="spellStart"/>
      <w:r w:rsidR="00016A2F" w:rsidRPr="00016A2F">
        <w:rPr>
          <w:rFonts w:ascii="Times New Roman" w:hAnsi="Times New Roman" w:cs="Times New Roman"/>
          <w:sz w:val="20"/>
          <w:szCs w:val="20"/>
        </w:rPr>
        <w:t>law</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expressing</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that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corporate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law</w:t>
      </w:r>
      <w:proofErr w:type="spellEnd"/>
      <w:r w:rsidR="00016A2F" w:rsidRPr="00016A2F">
        <w:rPr>
          <w:rFonts w:ascii="Times New Roman" w:hAnsi="Times New Roman" w:cs="Times New Roman"/>
          <w:sz w:val="20"/>
          <w:szCs w:val="20"/>
        </w:rPr>
        <w:t xml:space="preserve"> is </w:t>
      </w:r>
      <w:proofErr w:type="spellStart"/>
      <w:r w:rsidR="00016A2F" w:rsidRPr="00016A2F">
        <w:rPr>
          <w:rFonts w:ascii="Times New Roman" w:hAnsi="Times New Roman" w:cs="Times New Roman"/>
          <w:sz w:val="20"/>
          <w:szCs w:val="20"/>
        </w:rPr>
        <w:t>designed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for</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large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corporations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with</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many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owners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and</w:t>
      </w:r>
      <w:proofErr w:type="spellEnd"/>
      <w:r w:rsidR="00016A2F" w:rsidRPr="00016A2F">
        <w:rPr>
          <w:rFonts w:ascii="Times New Roman" w:hAnsi="Times New Roman" w:cs="Times New Roman"/>
          <w:sz w:val="20"/>
          <w:szCs w:val="20"/>
        </w:rPr>
        <w:t xml:space="preserve"> it </w:t>
      </w:r>
      <w:proofErr w:type="spellStart"/>
      <w:r w:rsidR="00016A2F" w:rsidRPr="00016A2F">
        <w:rPr>
          <w:rFonts w:ascii="Times New Roman" w:hAnsi="Times New Roman" w:cs="Times New Roman"/>
          <w:sz w:val="20"/>
          <w:szCs w:val="20"/>
        </w:rPr>
        <w:t>assumes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that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ownership</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will</w:t>
      </w:r>
      <w:proofErr w:type="spellEnd"/>
      <w:r w:rsidR="00016A2F" w:rsidRPr="00016A2F">
        <w:rPr>
          <w:rFonts w:ascii="Times New Roman" w:hAnsi="Times New Roman" w:cs="Times New Roman"/>
          <w:sz w:val="20"/>
          <w:szCs w:val="20"/>
        </w:rPr>
        <w:t xml:space="preserve"> be </w:t>
      </w:r>
      <w:proofErr w:type="spellStart"/>
      <w:r w:rsidR="00016A2F" w:rsidRPr="00016A2F">
        <w:rPr>
          <w:rFonts w:ascii="Times New Roman" w:hAnsi="Times New Roman" w:cs="Times New Roman"/>
          <w:sz w:val="20"/>
          <w:szCs w:val="20"/>
        </w:rPr>
        <w:t>passive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and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separated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from</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control</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Stephen</w:t>
      </w:r>
      <w:proofErr w:type="spellEnd"/>
      <w:r w:rsidR="00016A2F" w:rsidRPr="00016A2F">
        <w:rPr>
          <w:rFonts w:ascii="Times New Roman" w:hAnsi="Times New Roman" w:cs="Times New Roman"/>
          <w:sz w:val="20"/>
          <w:szCs w:val="20"/>
        </w:rPr>
        <w:t xml:space="preserve"> M. </w:t>
      </w:r>
      <w:proofErr w:type="spellStart"/>
      <w:r w:rsidR="00016A2F" w:rsidRPr="00016A2F">
        <w:rPr>
          <w:rFonts w:ascii="Times New Roman" w:hAnsi="Times New Roman" w:cs="Times New Roman"/>
          <w:sz w:val="20"/>
          <w:szCs w:val="20"/>
        </w:rPr>
        <w:t>Bainbridge</w:t>
      </w:r>
      <w:proofErr w:type="spellEnd"/>
      <w:r w:rsidR="00016A2F" w:rsidRPr="00016A2F">
        <w:rPr>
          <w:rFonts w:ascii="Times New Roman" w:hAnsi="Times New Roman" w:cs="Times New Roman"/>
          <w:sz w:val="20"/>
          <w:szCs w:val="20"/>
        </w:rPr>
        <w:t xml:space="preserve">, </w:t>
      </w:r>
      <w:r w:rsidR="00016A2F" w:rsidRPr="00016A2F">
        <w:rPr>
          <w:rFonts w:ascii="Times New Roman" w:hAnsi="Times New Roman" w:cs="Times New Roman"/>
          <w:i/>
          <w:sz w:val="20"/>
          <w:szCs w:val="20"/>
        </w:rPr>
        <w:t xml:space="preserve">Corporation </w:t>
      </w:r>
      <w:proofErr w:type="spellStart"/>
      <w:r w:rsidR="00016A2F" w:rsidRPr="00016A2F">
        <w:rPr>
          <w:rFonts w:ascii="Times New Roman" w:hAnsi="Times New Roman" w:cs="Times New Roman"/>
          <w:i/>
          <w:sz w:val="20"/>
          <w:szCs w:val="20"/>
        </w:rPr>
        <w:t>Law</w:t>
      </w:r>
      <w:proofErr w:type="spellEnd"/>
      <w:r w:rsidR="00016A2F" w:rsidRPr="00016A2F">
        <w:rPr>
          <w:rFonts w:ascii="Times New Roman" w:hAnsi="Times New Roman" w:cs="Times New Roman"/>
          <w:i/>
          <w:sz w:val="20"/>
          <w:szCs w:val="20"/>
        </w:rPr>
        <w:t xml:space="preserve"> </w:t>
      </w:r>
      <w:proofErr w:type="spellStart"/>
      <w:r w:rsidR="00016A2F" w:rsidRPr="00016A2F">
        <w:rPr>
          <w:rFonts w:ascii="Times New Roman" w:hAnsi="Times New Roman" w:cs="Times New Roman"/>
          <w:i/>
          <w:sz w:val="20"/>
          <w:szCs w:val="20"/>
        </w:rPr>
        <w:t>and</w:t>
      </w:r>
      <w:proofErr w:type="spellEnd"/>
      <w:r w:rsidR="00016A2F" w:rsidRPr="00016A2F">
        <w:rPr>
          <w:rFonts w:ascii="Times New Roman" w:hAnsi="Times New Roman" w:cs="Times New Roman"/>
          <w:i/>
          <w:sz w:val="20"/>
          <w:szCs w:val="20"/>
        </w:rPr>
        <w:t xml:space="preserve"> </w:t>
      </w:r>
      <w:proofErr w:type="spellStart"/>
      <w:r w:rsidR="00016A2F" w:rsidRPr="00016A2F">
        <w:rPr>
          <w:rFonts w:ascii="Times New Roman" w:hAnsi="Times New Roman" w:cs="Times New Roman"/>
          <w:i/>
          <w:sz w:val="20"/>
          <w:szCs w:val="20"/>
        </w:rPr>
        <w:t>Economics</w:t>
      </w:r>
      <w:proofErr w:type="spellEnd"/>
      <w:r w:rsidR="00016A2F" w:rsidRPr="00016A2F">
        <w:rPr>
          <w:rFonts w:ascii="Times New Roman" w:hAnsi="Times New Roman" w:cs="Times New Roman"/>
          <w:sz w:val="20"/>
          <w:szCs w:val="20"/>
        </w:rPr>
        <w:t xml:space="preserve"> 830 (2002)).</w:t>
      </w:r>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When</w:t>
      </w:r>
      <w:proofErr w:type="spellEnd"/>
      <w:r w:rsidR="00016A2F" w:rsidRPr="0047452F">
        <w:rPr>
          <w:rFonts w:ascii="Times New Roman" w:hAnsi="Times New Roman" w:cs="Times New Roman"/>
          <w:sz w:val="20"/>
          <w:szCs w:val="20"/>
        </w:rPr>
        <w:t xml:space="preserve"> a </w:t>
      </w:r>
      <w:proofErr w:type="spellStart"/>
      <w:r w:rsidR="00016A2F" w:rsidRPr="0047452F">
        <w:rPr>
          <w:rFonts w:ascii="Times New Roman" w:hAnsi="Times New Roman" w:cs="Times New Roman"/>
          <w:sz w:val="20"/>
          <w:szCs w:val="20"/>
        </w:rPr>
        <w:t>corporation</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becomes</w:t>
      </w:r>
      <w:proofErr w:type="spellEnd"/>
      <w:r w:rsidR="00016A2F" w:rsidRPr="0047452F">
        <w:rPr>
          <w:rFonts w:ascii="Times New Roman" w:hAnsi="Times New Roman" w:cs="Times New Roman"/>
          <w:sz w:val="20"/>
          <w:szCs w:val="20"/>
        </w:rPr>
        <w:t xml:space="preserve"> a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traded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one</w:t>
      </w:r>
      <w:proofErr w:type="spellEnd"/>
      <w:r w:rsidR="00016A2F" w:rsidRPr="0047452F">
        <w:rPr>
          <w:rFonts w:ascii="Times New Roman" w:hAnsi="Times New Roman" w:cs="Times New Roman"/>
          <w:sz w:val="20"/>
          <w:szCs w:val="20"/>
        </w:rPr>
        <w:t xml:space="preserve">, it is </w:t>
      </w:r>
      <w:proofErr w:type="spellStart"/>
      <w:r w:rsidR="00016A2F" w:rsidRPr="0047452F">
        <w:rPr>
          <w:rFonts w:ascii="Times New Roman" w:hAnsi="Times New Roman" w:cs="Times New Roman"/>
          <w:sz w:val="20"/>
          <w:szCs w:val="20"/>
        </w:rPr>
        <w:t>subject</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provisions</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both</w:t>
      </w:r>
      <w:proofErr w:type="spellEnd"/>
      <w:r w:rsidR="00016A2F" w:rsidRPr="0047452F">
        <w:rPr>
          <w:rFonts w:ascii="Times New Roman" w:hAnsi="Times New Roman" w:cs="Times New Roman"/>
          <w:sz w:val="20"/>
          <w:szCs w:val="20"/>
        </w:rPr>
        <w:t xml:space="preserve"> TCC </w:t>
      </w:r>
      <w:proofErr w:type="spellStart"/>
      <w:r w:rsidR="00016A2F" w:rsidRPr="0047452F">
        <w:rPr>
          <w:rFonts w:ascii="Times New Roman" w:hAnsi="Times New Roman" w:cs="Times New Roman"/>
          <w:sz w:val="20"/>
          <w:szCs w:val="20"/>
        </w:rPr>
        <w:t>and</w:t>
      </w:r>
      <w:proofErr w:type="spellEnd"/>
      <w:r w:rsidR="00016A2F" w:rsidRPr="0047452F">
        <w:rPr>
          <w:rFonts w:ascii="Times New Roman" w:hAnsi="Times New Roman" w:cs="Times New Roman"/>
          <w:sz w:val="20"/>
          <w:szCs w:val="20"/>
        </w:rPr>
        <w:t xml:space="preserve"> CML. </w:t>
      </w:r>
      <w:proofErr w:type="spellStart"/>
      <w:r w:rsidR="00016A2F" w:rsidRPr="0047452F">
        <w:rPr>
          <w:rFonts w:ascii="Times New Roman" w:hAnsi="Times New Roman" w:cs="Times New Roman"/>
          <w:sz w:val="20"/>
          <w:szCs w:val="20"/>
        </w:rPr>
        <w:t>In</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addition</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these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stock</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exchange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regulations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are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also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governing</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traded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(in </w:t>
      </w:r>
      <w:proofErr w:type="spellStart"/>
      <w:r w:rsidR="00016A2F" w:rsidRPr="0047452F">
        <w:rPr>
          <w:rFonts w:ascii="Times New Roman" w:hAnsi="Times New Roman" w:cs="Times New Roman"/>
          <w:sz w:val="20"/>
          <w:szCs w:val="20"/>
        </w:rPr>
        <w:t>Turkish</w:t>
      </w:r>
      <w:proofErr w:type="spellEnd"/>
      <w:r w:rsidR="00016A2F" w:rsidRPr="0047452F">
        <w:rPr>
          <w:rFonts w:ascii="Times New Roman" w:hAnsi="Times New Roman" w:cs="Times New Roman"/>
          <w:sz w:val="20"/>
          <w:szCs w:val="20"/>
        </w:rPr>
        <w:t xml:space="preserve">, “anonim </w:t>
      </w:r>
      <w:proofErr w:type="spellStart"/>
      <w:r w:rsidR="00016A2F" w:rsidRPr="0047452F">
        <w:rPr>
          <w:rFonts w:ascii="Times New Roman" w:hAnsi="Times New Roman" w:cs="Times New Roman"/>
          <w:sz w:val="20"/>
          <w:szCs w:val="20"/>
        </w:rPr>
        <w:t>sirket</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are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accepted</w:t>
      </w:r>
      <w:proofErr w:type="spellEnd"/>
      <w:r w:rsidR="00016A2F" w:rsidRPr="0047452F">
        <w:rPr>
          <w:rFonts w:ascii="Times New Roman" w:hAnsi="Times New Roman" w:cs="Times New Roman"/>
          <w:sz w:val="20"/>
          <w:szCs w:val="20"/>
        </w:rPr>
        <w:t xml:space="preserve"> as </w:t>
      </w:r>
      <w:proofErr w:type="spellStart"/>
      <w:r w:rsidR="00016A2F" w:rsidRPr="0047452F">
        <w:rPr>
          <w:rFonts w:ascii="Times New Roman" w:hAnsi="Times New Roman" w:cs="Times New Roman"/>
          <w:sz w:val="20"/>
          <w:szCs w:val="20"/>
        </w:rPr>
        <w:t>business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enterprises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with</w:t>
      </w:r>
      <w:proofErr w:type="spellEnd"/>
      <w:r w:rsidR="00016A2F" w:rsidRPr="0047452F">
        <w:rPr>
          <w:rFonts w:ascii="Times New Roman" w:hAnsi="Times New Roman" w:cs="Times New Roman"/>
          <w:sz w:val="20"/>
          <w:szCs w:val="20"/>
        </w:rPr>
        <w:t xml:space="preserve"> legal </w:t>
      </w:r>
      <w:proofErr w:type="spellStart"/>
      <w:r w:rsidR="00016A2F" w:rsidRPr="0047452F">
        <w:rPr>
          <w:rFonts w:ascii="Times New Roman" w:hAnsi="Times New Roman" w:cs="Times New Roman"/>
          <w:sz w:val="20"/>
          <w:szCs w:val="20"/>
        </w:rPr>
        <w:t>personality</w:t>
      </w:r>
      <w:proofErr w:type="spellEnd"/>
      <w:r w:rsidR="00016A2F" w:rsidRPr="004745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Currently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many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sources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are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translating</w:t>
      </w:r>
      <w:proofErr w:type="spellEnd"/>
      <w:r w:rsidR="00016A2F" w:rsidRPr="00016A2F">
        <w:rPr>
          <w:rFonts w:ascii="Times New Roman" w:hAnsi="Times New Roman" w:cs="Times New Roman"/>
          <w:sz w:val="20"/>
          <w:szCs w:val="20"/>
        </w:rPr>
        <w:t xml:space="preserve"> “anonim </w:t>
      </w:r>
      <w:proofErr w:type="spellStart"/>
      <w:r w:rsidR="00016A2F" w:rsidRPr="00016A2F">
        <w:rPr>
          <w:rFonts w:ascii="Times New Roman" w:hAnsi="Times New Roman" w:cs="Times New Roman"/>
          <w:sz w:val="20"/>
          <w:szCs w:val="20"/>
        </w:rPr>
        <w:t>sirket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to</w:t>
      </w:r>
      <w:proofErr w:type="spellEnd"/>
      <w:r w:rsidR="00016A2F" w:rsidRPr="00016A2F">
        <w:rPr>
          <w:rFonts w:ascii="Times New Roman" w:hAnsi="Times New Roman" w:cs="Times New Roman"/>
          <w:sz w:val="20"/>
          <w:szCs w:val="20"/>
        </w:rPr>
        <w:t xml:space="preserve"> English as “</w:t>
      </w:r>
      <w:proofErr w:type="spellStart"/>
      <w:r w:rsidR="00016A2F" w:rsidRPr="00016A2F">
        <w:rPr>
          <w:rFonts w:ascii="Times New Roman" w:hAnsi="Times New Roman" w:cs="Times New Roman"/>
          <w:sz w:val="20"/>
          <w:szCs w:val="20"/>
        </w:rPr>
        <w:t>joint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stock</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company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or</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joint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stock</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corporation</w:t>
      </w:r>
      <w:proofErr w:type="spellEnd"/>
      <w:r w:rsidR="00016A2F" w:rsidRPr="00016A2F">
        <w:rPr>
          <w:rFonts w:ascii="Times New Roman" w:hAnsi="Times New Roman" w:cs="Times New Roman"/>
          <w:sz w:val="20"/>
          <w:szCs w:val="20"/>
        </w:rPr>
        <w:t xml:space="preserve">”. As </w:t>
      </w:r>
      <w:proofErr w:type="spellStart"/>
      <w:r w:rsidR="00016A2F" w:rsidRPr="00016A2F">
        <w:rPr>
          <w:rFonts w:ascii="Times New Roman" w:hAnsi="Times New Roman" w:cs="Times New Roman"/>
          <w:sz w:val="20"/>
          <w:szCs w:val="20"/>
        </w:rPr>
        <w:t>some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scholars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pointed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out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while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explaining</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reason</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translating</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German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company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type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Aktiengesellschaft</w:t>
      </w:r>
      <w:proofErr w:type="spellEnd"/>
      <w:r w:rsidR="00016A2F" w:rsidRPr="00016A2F">
        <w:rPr>
          <w:rFonts w:ascii="Times New Roman" w:hAnsi="Times New Roman" w:cs="Times New Roman"/>
          <w:sz w:val="20"/>
          <w:szCs w:val="20"/>
        </w:rPr>
        <w:t>” as “</w:t>
      </w:r>
      <w:proofErr w:type="spellStart"/>
      <w:r w:rsidR="00016A2F" w:rsidRPr="00016A2F">
        <w:rPr>
          <w:rFonts w:ascii="Times New Roman" w:hAnsi="Times New Roman" w:cs="Times New Roman"/>
          <w:sz w:val="20"/>
          <w:szCs w:val="20"/>
        </w:rPr>
        <w:t>joint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stock</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company</w:t>
      </w:r>
      <w:proofErr w:type="spellEnd"/>
      <w:r w:rsidR="00016A2F" w:rsidRPr="00016A2F">
        <w:rPr>
          <w:rFonts w:ascii="Times New Roman" w:hAnsi="Times New Roman" w:cs="Times New Roman"/>
          <w:sz w:val="20"/>
          <w:szCs w:val="20"/>
        </w:rPr>
        <w:t xml:space="preserve">” in English, </w:t>
      </w:r>
      <w:proofErr w:type="spellStart"/>
      <w:r w:rsidR="00016A2F" w:rsidRPr="00016A2F">
        <w:rPr>
          <w:rFonts w:ascii="Times New Roman" w:hAnsi="Times New Roman" w:cs="Times New Roman"/>
          <w:sz w:val="20"/>
          <w:szCs w:val="20"/>
        </w:rPr>
        <w:t>this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translation</w:t>
      </w:r>
      <w:proofErr w:type="spellEnd"/>
      <w:r w:rsidR="00016A2F" w:rsidRPr="00016A2F">
        <w:rPr>
          <w:rFonts w:ascii="Times New Roman" w:hAnsi="Times New Roman" w:cs="Times New Roman"/>
          <w:sz w:val="20"/>
          <w:szCs w:val="20"/>
        </w:rPr>
        <w:t xml:space="preserve"> has </w:t>
      </w:r>
      <w:proofErr w:type="spellStart"/>
      <w:r w:rsidR="00016A2F" w:rsidRPr="00016A2F">
        <w:rPr>
          <w:rFonts w:ascii="Times New Roman" w:hAnsi="Times New Roman" w:cs="Times New Roman"/>
          <w:sz w:val="20"/>
          <w:szCs w:val="20"/>
        </w:rPr>
        <w:t>its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reason</w:t>
      </w:r>
      <w:proofErr w:type="spellEnd"/>
      <w:r w:rsidR="00016A2F" w:rsidRPr="00016A2F">
        <w:rPr>
          <w:rFonts w:ascii="Times New Roman" w:hAnsi="Times New Roman" w:cs="Times New Roman"/>
          <w:sz w:val="20"/>
          <w:szCs w:val="20"/>
        </w:rPr>
        <w:t xml:space="preserve"> in </w:t>
      </w:r>
      <w:proofErr w:type="spellStart"/>
      <w:r w:rsidR="00016A2F" w:rsidRPr="00016A2F">
        <w:rPr>
          <w:rFonts w:ascii="Times New Roman" w:hAnsi="Times New Roman" w:cs="Times New Roman"/>
          <w:sz w:val="20"/>
          <w:szCs w:val="20"/>
        </w:rPr>
        <w:t>historical</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facts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rather</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than</w:t>
      </w:r>
      <w:proofErr w:type="spellEnd"/>
      <w:r w:rsidR="00016A2F" w:rsidRPr="00016A2F">
        <w:rPr>
          <w:rFonts w:ascii="Times New Roman" w:hAnsi="Times New Roman" w:cs="Times New Roman"/>
          <w:sz w:val="20"/>
          <w:szCs w:val="20"/>
        </w:rPr>
        <w:t xml:space="preserve"> legal </w:t>
      </w:r>
      <w:proofErr w:type="spellStart"/>
      <w:r w:rsidR="00016A2F" w:rsidRPr="00016A2F">
        <w:rPr>
          <w:rFonts w:ascii="Times New Roman" w:hAnsi="Times New Roman" w:cs="Times New Roman"/>
          <w:sz w:val="20"/>
          <w:szCs w:val="20"/>
        </w:rPr>
        <w:t>facts</w:t>
      </w:r>
      <w:proofErr w:type="spellEnd"/>
      <w:r w:rsidR="00016A2F" w:rsidRPr="00016A2F">
        <w:rPr>
          <w:rFonts w:ascii="Times New Roman" w:hAnsi="Times New Roman" w:cs="Times New Roman"/>
          <w:sz w:val="20"/>
          <w:szCs w:val="20"/>
        </w:rPr>
        <w:t xml:space="preserve"> (</w:t>
      </w:r>
      <w:r w:rsidR="00016A2F" w:rsidRPr="00016A2F">
        <w:rPr>
          <w:rFonts w:ascii="Times New Roman" w:hAnsi="Times New Roman" w:cs="Times New Roman"/>
          <w:color w:val="000000"/>
          <w:sz w:val="20"/>
          <w:szCs w:val="20"/>
        </w:rPr>
        <w:t xml:space="preserve">Jean J. </w:t>
      </w:r>
      <w:proofErr w:type="spellStart"/>
      <w:r w:rsidR="00016A2F" w:rsidRPr="00016A2F">
        <w:rPr>
          <w:rFonts w:ascii="Times New Roman" w:hAnsi="Times New Roman" w:cs="Times New Roman"/>
          <w:color w:val="000000"/>
          <w:sz w:val="20"/>
          <w:szCs w:val="20"/>
        </w:rPr>
        <w:t>du</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Plessis</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Bernhard</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Großfeld</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Ingo</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Saenger</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Otto</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Sandrock</w:t>
      </w:r>
      <w:proofErr w:type="spellEnd"/>
      <w:r w:rsidR="00016A2F" w:rsidRPr="00016A2F">
        <w:rPr>
          <w:rFonts w:ascii="Times New Roman" w:hAnsi="Times New Roman" w:cs="Times New Roman"/>
          <w:color w:val="000000"/>
          <w:sz w:val="20"/>
          <w:szCs w:val="20"/>
        </w:rPr>
        <w:t xml:space="preserve">, </w:t>
      </w:r>
      <w:r w:rsidR="00016A2F" w:rsidRPr="00016A2F">
        <w:rPr>
          <w:rFonts w:ascii="Times New Roman" w:hAnsi="Times New Roman" w:cs="Times New Roman"/>
          <w:i/>
          <w:color w:val="000000"/>
          <w:sz w:val="20"/>
          <w:szCs w:val="20"/>
        </w:rPr>
        <w:t xml:space="preserve">An </w:t>
      </w:r>
      <w:proofErr w:type="spellStart"/>
      <w:r w:rsidR="00016A2F" w:rsidRPr="00016A2F">
        <w:rPr>
          <w:rFonts w:ascii="Times New Roman" w:hAnsi="Times New Roman" w:cs="Times New Roman"/>
          <w:i/>
          <w:color w:val="000000"/>
          <w:sz w:val="20"/>
          <w:szCs w:val="20"/>
        </w:rPr>
        <w:t>Overview</w:t>
      </w:r>
      <w:proofErr w:type="spellEnd"/>
      <w:r w:rsidR="00016A2F" w:rsidRPr="00016A2F">
        <w:rPr>
          <w:rFonts w:ascii="Times New Roman" w:hAnsi="Times New Roman" w:cs="Times New Roman"/>
          <w:i/>
          <w:color w:val="000000"/>
          <w:sz w:val="20"/>
          <w:szCs w:val="20"/>
        </w:rPr>
        <w:t xml:space="preserve"> of </w:t>
      </w:r>
      <w:proofErr w:type="spellStart"/>
      <w:r w:rsidR="00016A2F" w:rsidRPr="00016A2F">
        <w:rPr>
          <w:rFonts w:ascii="Times New Roman" w:hAnsi="Times New Roman" w:cs="Times New Roman"/>
          <w:i/>
          <w:color w:val="000000"/>
          <w:sz w:val="20"/>
          <w:szCs w:val="20"/>
        </w:rPr>
        <w:t>German</w:t>
      </w:r>
      <w:proofErr w:type="spellEnd"/>
      <w:r w:rsidR="00016A2F" w:rsidRPr="00016A2F">
        <w:rPr>
          <w:rFonts w:ascii="Times New Roman" w:hAnsi="Times New Roman" w:cs="Times New Roman"/>
          <w:i/>
          <w:color w:val="000000"/>
          <w:sz w:val="20"/>
          <w:szCs w:val="20"/>
        </w:rPr>
        <w:t xml:space="preserve"> Business </w:t>
      </w:r>
      <w:proofErr w:type="spellStart"/>
      <w:r w:rsidR="00016A2F" w:rsidRPr="00016A2F">
        <w:rPr>
          <w:rFonts w:ascii="Times New Roman" w:hAnsi="Times New Roman" w:cs="Times New Roman"/>
          <w:i/>
          <w:color w:val="000000"/>
          <w:sz w:val="20"/>
          <w:szCs w:val="20"/>
        </w:rPr>
        <w:t>or</w:t>
      </w:r>
      <w:proofErr w:type="spellEnd"/>
      <w:r w:rsidR="00016A2F" w:rsidRPr="00016A2F">
        <w:rPr>
          <w:rFonts w:ascii="Times New Roman" w:hAnsi="Times New Roman" w:cs="Times New Roman"/>
          <w:i/>
          <w:color w:val="000000"/>
          <w:sz w:val="20"/>
          <w:szCs w:val="20"/>
        </w:rPr>
        <w:t xml:space="preserve"> Enterprise </w:t>
      </w:r>
      <w:proofErr w:type="spellStart"/>
      <w:r w:rsidR="00016A2F" w:rsidRPr="00016A2F">
        <w:rPr>
          <w:rFonts w:ascii="Times New Roman" w:hAnsi="Times New Roman" w:cs="Times New Roman"/>
          <w:i/>
          <w:color w:val="000000"/>
          <w:sz w:val="20"/>
          <w:szCs w:val="20"/>
        </w:rPr>
        <w:t>Law</w:t>
      </w:r>
      <w:proofErr w:type="spellEnd"/>
      <w:r w:rsidR="00016A2F" w:rsidRPr="00016A2F">
        <w:rPr>
          <w:rFonts w:ascii="Times New Roman" w:hAnsi="Times New Roman" w:cs="Times New Roman"/>
          <w:i/>
          <w:color w:val="000000"/>
          <w:sz w:val="20"/>
          <w:szCs w:val="20"/>
        </w:rPr>
        <w:t xml:space="preserve"> </w:t>
      </w:r>
      <w:proofErr w:type="spellStart"/>
      <w:r w:rsidR="00016A2F" w:rsidRPr="00016A2F">
        <w:rPr>
          <w:rFonts w:ascii="Times New Roman" w:hAnsi="Times New Roman" w:cs="Times New Roman"/>
          <w:i/>
          <w:color w:val="000000"/>
          <w:sz w:val="20"/>
          <w:szCs w:val="20"/>
        </w:rPr>
        <w:t>and</w:t>
      </w:r>
      <w:proofErr w:type="spellEnd"/>
      <w:r w:rsidR="00016A2F" w:rsidRPr="00016A2F">
        <w:rPr>
          <w:rFonts w:ascii="Times New Roman" w:hAnsi="Times New Roman" w:cs="Times New Roman"/>
          <w:i/>
          <w:color w:val="000000"/>
          <w:sz w:val="20"/>
          <w:szCs w:val="20"/>
        </w:rPr>
        <w:t xml:space="preserve"> </w:t>
      </w:r>
      <w:proofErr w:type="spellStart"/>
      <w:r w:rsidR="00016A2F" w:rsidRPr="00016A2F">
        <w:rPr>
          <w:rFonts w:ascii="Times New Roman" w:hAnsi="Times New Roman" w:cs="Times New Roman"/>
          <w:i/>
          <w:color w:val="000000"/>
          <w:sz w:val="20"/>
          <w:szCs w:val="20"/>
        </w:rPr>
        <w:t>the</w:t>
      </w:r>
      <w:proofErr w:type="spellEnd"/>
      <w:r w:rsidR="00016A2F" w:rsidRPr="00016A2F">
        <w:rPr>
          <w:rFonts w:ascii="Times New Roman" w:hAnsi="Times New Roman" w:cs="Times New Roman"/>
          <w:i/>
          <w:color w:val="000000"/>
          <w:sz w:val="20"/>
          <w:szCs w:val="20"/>
        </w:rPr>
        <w:t xml:space="preserve"> </w:t>
      </w:r>
      <w:proofErr w:type="spellStart"/>
      <w:r w:rsidR="00016A2F" w:rsidRPr="00016A2F">
        <w:rPr>
          <w:rFonts w:ascii="Times New Roman" w:hAnsi="Times New Roman" w:cs="Times New Roman"/>
          <w:i/>
          <w:color w:val="000000"/>
          <w:sz w:val="20"/>
          <w:szCs w:val="20"/>
        </w:rPr>
        <w:t>One-Tier</w:t>
      </w:r>
      <w:proofErr w:type="spellEnd"/>
      <w:r w:rsidR="00016A2F" w:rsidRPr="00016A2F">
        <w:rPr>
          <w:rFonts w:ascii="Times New Roman" w:hAnsi="Times New Roman" w:cs="Times New Roman"/>
          <w:i/>
          <w:color w:val="000000"/>
          <w:sz w:val="20"/>
          <w:szCs w:val="20"/>
        </w:rPr>
        <w:t xml:space="preserve"> </w:t>
      </w:r>
      <w:proofErr w:type="spellStart"/>
      <w:r w:rsidR="00016A2F" w:rsidRPr="00016A2F">
        <w:rPr>
          <w:rFonts w:ascii="Times New Roman" w:hAnsi="Times New Roman" w:cs="Times New Roman"/>
          <w:i/>
          <w:color w:val="000000"/>
          <w:sz w:val="20"/>
          <w:szCs w:val="20"/>
        </w:rPr>
        <w:t>and</w:t>
      </w:r>
      <w:proofErr w:type="spellEnd"/>
      <w:r w:rsidR="00016A2F" w:rsidRPr="00016A2F">
        <w:rPr>
          <w:rFonts w:ascii="Times New Roman" w:hAnsi="Times New Roman" w:cs="Times New Roman"/>
          <w:i/>
          <w:color w:val="000000"/>
          <w:sz w:val="20"/>
          <w:szCs w:val="20"/>
        </w:rPr>
        <w:t xml:space="preserve"> </w:t>
      </w:r>
      <w:proofErr w:type="spellStart"/>
      <w:r w:rsidR="00016A2F" w:rsidRPr="00016A2F">
        <w:rPr>
          <w:rFonts w:ascii="Times New Roman" w:hAnsi="Times New Roman" w:cs="Times New Roman"/>
          <w:i/>
          <w:color w:val="000000"/>
          <w:sz w:val="20"/>
          <w:szCs w:val="20"/>
        </w:rPr>
        <w:t>Two-Tier</w:t>
      </w:r>
      <w:proofErr w:type="spellEnd"/>
      <w:r w:rsidR="00016A2F" w:rsidRPr="00016A2F">
        <w:rPr>
          <w:rFonts w:ascii="Times New Roman" w:hAnsi="Times New Roman" w:cs="Times New Roman"/>
          <w:i/>
          <w:color w:val="000000"/>
          <w:sz w:val="20"/>
          <w:szCs w:val="20"/>
        </w:rPr>
        <w:t xml:space="preserve"> Board </w:t>
      </w:r>
      <w:proofErr w:type="spellStart"/>
      <w:r w:rsidR="00016A2F" w:rsidRPr="00016A2F">
        <w:rPr>
          <w:rFonts w:ascii="Times New Roman" w:hAnsi="Times New Roman" w:cs="Times New Roman"/>
          <w:i/>
          <w:color w:val="000000"/>
          <w:sz w:val="20"/>
          <w:szCs w:val="20"/>
        </w:rPr>
        <w:t>Systems</w:t>
      </w:r>
      <w:proofErr w:type="spellEnd"/>
      <w:r w:rsidR="00016A2F" w:rsidRPr="00016A2F">
        <w:rPr>
          <w:rFonts w:ascii="Times New Roman" w:hAnsi="Times New Roman" w:cs="Times New Roman"/>
          <w:i/>
          <w:color w:val="000000"/>
          <w:sz w:val="20"/>
          <w:szCs w:val="20"/>
        </w:rPr>
        <w:t xml:space="preserve"> </w:t>
      </w:r>
      <w:proofErr w:type="spellStart"/>
      <w:r w:rsidR="00016A2F" w:rsidRPr="00016A2F">
        <w:rPr>
          <w:rFonts w:ascii="Times New Roman" w:hAnsi="Times New Roman" w:cs="Times New Roman"/>
          <w:i/>
          <w:color w:val="000000"/>
          <w:sz w:val="20"/>
          <w:szCs w:val="20"/>
        </w:rPr>
        <w:t>Contrasted</w:t>
      </w:r>
      <w:proofErr w:type="spellEnd"/>
      <w:r w:rsidR="00016A2F" w:rsidRPr="00016A2F">
        <w:rPr>
          <w:rFonts w:ascii="Times New Roman" w:hAnsi="Times New Roman" w:cs="Times New Roman"/>
          <w:color w:val="000000"/>
          <w:sz w:val="20"/>
          <w:szCs w:val="20"/>
        </w:rPr>
        <w:t xml:space="preserve">, </w:t>
      </w:r>
      <w:hyperlink r:id="rId58" w:history="1">
        <w:r w:rsidR="00016A2F" w:rsidRPr="00016A2F">
          <w:rPr>
            <w:rStyle w:val="Kpr"/>
            <w:rFonts w:ascii="Times New Roman" w:hAnsi="Times New Roman" w:cs="Times New Roman"/>
            <w:sz w:val="20"/>
            <w:szCs w:val="20"/>
          </w:rPr>
          <w:t>http://webcache.googleusercontent.com/search?q=cache:lGxds4ADX4sJ:www.springer.com/cda/content/document/cda_downloaddocument/9783642230042-c1.pdf%3FSGWID%3D0-0-45-1275843-p174267777+&amp;cd=1&amp;hl=tr&amp;ct=clnk&amp;gl=us&amp;client=safari</w:t>
        </w:r>
      </w:hyperlink>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Last</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visited</w:t>
      </w:r>
      <w:proofErr w:type="spellEnd"/>
      <w:r w:rsidR="00016A2F" w:rsidRPr="00016A2F">
        <w:rPr>
          <w:rFonts w:ascii="Times New Roman" w:hAnsi="Times New Roman" w:cs="Times New Roman"/>
          <w:color w:val="000000"/>
          <w:sz w:val="20"/>
          <w:szCs w:val="20"/>
        </w:rPr>
        <w:t xml:space="preserve">: 10/10/2016, at 5). </w:t>
      </w:r>
      <w:proofErr w:type="spellStart"/>
      <w:r w:rsidR="00016A2F" w:rsidRPr="00016A2F">
        <w:rPr>
          <w:rFonts w:ascii="Times New Roman" w:hAnsi="Times New Roman" w:cs="Times New Roman"/>
          <w:color w:val="000000"/>
          <w:sz w:val="20"/>
          <w:szCs w:val="20"/>
        </w:rPr>
        <w:t>Even</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the</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Turkish</w:t>
      </w:r>
      <w:proofErr w:type="spellEnd"/>
      <w:r w:rsidR="00016A2F" w:rsidRPr="00016A2F">
        <w:rPr>
          <w:rFonts w:ascii="Times New Roman" w:hAnsi="Times New Roman" w:cs="Times New Roman"/>
          <w:color w:val="000000"/>
          <w:sz w:val="20"/>
          <w:szCs w:val="20"/>
        </w:rPr>
        <w:t xml:space="preserve"> name </w:t>
      </w:r>
      <w:proofErr w:type="spellStart"/>
      <w:r w:rsidR="00016A2F" w:rsidRPr="00016A2F">
        <w:rPr>
          <w:rFonts w:ascii="Times New Roman" w:hAnsi="Times New Roman" w:cs="Times New Roman"/>
          <w:color w:val="000000"/>
          <w:sz w:val="20"/>
          <w:szCs w:val="20"/>
        </w:rPr>
        <w:t>for</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this</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corporation</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comes</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from</w:t>
      </w:r>
      <w:proofErr w:type="spellEnd"/>
      <w:r w:rsidR="00016A2F" w:rsidRPr="00016A2F">
        <w:rPr>
          <w:rFonts w:ascii="Times New Roman" w:hAnsi="Times New Roman" w:cs="Times New Roman"/>
          <w:color w:val="000000"/>
          <w:sz w:val="20"/>
          <w:szCs w:val="20"/>
        </w:rPr>
        <w:t xml:space="preserve"> a </w:t>
      </w:r>
      <w:proofErr w:type="spellStart"/>
      <w:r w:rsidR="00016A2F" w:rsidRPr="00016A2F">
        <w:rPr>
          <w:rFonts w:ascii="Times New Roman" w:hAnsi="Times New Roman" w:cs="Times New Roman"/>
          <w:color w:val="000000"/>
          <w:sz w:val="20"/>
          <w:szCs w:val="20"/>
        </w:rPr>
        <w:t>bad</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translation</w:t>
      </w:r>
      <w:proofErr w:type="spellEnd"/>
      <w:r w:rsidR="00016A2F" w:rsidRPr="00016A2F">
        <w:rPr>
          <w:rFonts w:ascii="Times New Roman" w:hAnsi="Times New Roman" w:cs="Times New Roman"/>
          <w:color w:val="000000"/>
          <w:sz w:val="20"/>
          <w:szCs w:val="20"/>
        </w:rPr>
        <w:t xml:space="preserve"> of a French </w:t>
      </w:r>
      <w:proofErr w:type="spellStart"/>
      <w:r w:rsidR="00016A2F" w:rsidRPr="00016A2F">
        <w:rPr>
          <w:rFonts w:ascii="Times New Roman" w:hAnsi="Times New Roman" w:cs="Times New Roman"/>
          <w:color w:val="000000"/>
          <w:sz w:val="20"/>
          <w:szCs w:val="20"/>
        </w:rPr>
        <w:t>company</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type</w:t>
      </w:r>
      <w:proofErr w:type="spellEnd"/>
      <w:r w:rsidR="00016A2F" w:rsidRPr="00016A2F">
        <w:rPr>
          <w:rFonts w:ascii="Times New Roman" w:hAnsi="Times New Roman" w:cs="Times New Roman"/>
          <w:color w:val="000000"/>
          <w:sz w:val="20"/>
          <w:szCs w:val="20"/>
        </w:rPr>
        <w:t xml:space="preserve"> name “</w:t>
      </w:r>
      <w:proofErr w:type="spellStart"/>
      <w:r w:rsidR="00016A2F" w:rsidRPr="00016A2F">
        <w:rPr>
          <w:rFonts w:ascii="Times New Roman" w:hAnsi="Times New Roman" w:cs="Times New Roman"/>
          <w:color w:val="000000"/>
          <w:sz w:val="20"/>
          <w:szCs w:val="20"/>
        </w:rPr>
        <w:t>societe</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anonyme</w:t>
      </w:r>
      <w:proofErr w:type="spellEnd"/>
      <w:r w:rsidR="00016A2F" w:rsidRPr="00016A2F">
        <w:rPr>
          <w:rFonts w:ascii="Times New Roman" w:hAnsi="Times New Roman" w:cs="Times New Roman"/>
          <w:color w:val="000000"/>
          <w:sz w:val="20"/>
          <w:szCs w:val="20"/>
        </w:rPr>
        <w:t>” (</w:t>
      </w:r>
      <w:proofErr w:type="spellStart"/>
      <w:r w:rsidR="00016A2F" w:rsidRPr="00016A2F">
        <w:rPr>
          <w:rFonts w:ascii="Times New Roman" w:hAnsi="Times New Roman" w:cs="Times New Roman"/>
          <w:color w:val="000000"/>
          <w:sz w:val="20"/>
          <w:szCs w:val="20"/>
        </w:rPr>
        <w:t>the</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first</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Turkish</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corporate</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statute</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was</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taken</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modeled</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after</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France’s</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Recently</w:t>
      </w:r>
      <w:proofErr w:type="spellEnd"/>
      <w:r w:rsidR="00016A2F" w:rsidRPr="00016A2F">
        <w:rPr>
          <w:rFonts w:ascii="Times New Roman" w:hAnsi="Times New Roman" w:cs="Times New Roman"/>
          <w:color w:val="000000"/>
          <w:sz w:val="20"/>
          <w:szCs w:val="20"/>
        </w:rPr>
        <w:t xml:space="preserve">, in </w:t>
      </w:r>
      <w:proofErr w:type="spellStart"/>
      <w:r w:rsidR="00016A2F" w:rsidRPr="00016A2F">
        <w:rPr>
          <w:rFonts w:ascii="Times New Roman" w:hAnsi="Times New Roman" w:cs="Times New Roman"/>
          <w:color w:val="000000"/>
          <w:sz w:val="20"/>
          <w:szCs w:val="20"/>
        </w:rPr>
        <w:t>the</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Official</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Comment</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to</w:t>
      </w:r>
      <w:proofErr w:type="spellEnd"/>
      <w:r w:rsidR="00016A2F" w:rsidRPr="00016A2F">
        <w:rPr>
          <w:rFonts w:ascii="Times New Roman" w:hAnsi="Times New Roman" w:cs="Times New Roman"/>
          <w:color w:val="000000"/>
          <w:sz w:val="20"/>
          <w:szCs w:val="20"/>
        </w:rPr>
        <w:t xml:space="preserve"> TCC (</w:t>
      </w:r>
      <w:proofErr w:type="spellStart"/>
      <w:r w:rsidR="00016A2F" w:rsidRPr="00016A2F">
        <w:rPr>
          <w:rFonts w:ascii="Times New Roman" w:hAnsi="Times New Roman" w:cs="Times New Roman"/>
          <w:color w:val="000000"/>
          <w:sz w:val="20"/>
          <w:szCs w:val="20"/>
        </w:rPr>
        <w:t>Official</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Comment</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to</w:t>
      </w:r>
      <w:proofErr w:type="spellEnd"/>
      <w:r w:rsidR="00016A2F" w:rsidRPr="00016A2F">
        <w:rPr>
          <w:rFonts w:ascii="Times New Roman" w:hAnsi="Times New Roman" w:cs="Times New Roman"/>
          <w:color w:val="000000"/>
          <w:sz w:val="20"/>
          <w:szCs w:val="20"/>
        </w:rPr>
        <w:t xml:space="preserve"> CML, p.11), it is </w:t>
      </w:r>
      <w:proofErr w:type="spellStart"/>
      <w:r w:rsidR="00016A2F" w:rsidRPr="00016A2F">
        <w:rPr>
          <w:rFonts w:ascii="Times New Roman" w:hAnsi="Times New Roman" w:cs="Times New Roman"/>
          <w:color w:val="000000"/>
          <w:sz w:val="20"/>
          <w:szCs w:val="20"/>
        </w:rPr>
        <w:t>written</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that</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the</w:t>
      </w:r>
      <w:proofErr w:type="spellEnd"/>
      <w:r w:rsidR="00016A2F" w:rsidRPr="00016A2F">
        <w:rPr>
          <w:rFonts w:ascii="Times New Roman" w:hAnsi="Times New Roman" w:cs="Times New Roman"/>
          <w:color w:val="000000"/>
          <w:sz w:val="20"/>
          <w:szCs w:val="20"/>
        </w:rPr>
        <w:t xml:space="preserve"> US </w:t>
      </w:r>
      <w:proofErr w:type="spellStart"/>
      <w:r w:rsidR="00016A2F" w:rsidRPr="00016A2F">
        <w:rPr>
          <w:rFonts w:ascii="Times New Roman" w:hAnsi="Times New Roman" w:cs="Times New Roman"/>
          <w:color w:val="000000"/>
          <w:sz w:val="20"/>
          <w:szCs w:val="20"/>
        </w:rPr>
        <w:t>equivalent</w:t>
      </w:r>
      <w:proofErr w:type="spellEnd"/>
      <w:r w:rsidR="00016A2F" w:rsidRPr="00016A2F">
        <w:rPr>
          <w:rFonts w:ascii="Times New Roman" w:hAnsi="Times New Roman" w:cs="Times New Roman"/>
          <w:color w:val="000000"/>
          <w:sz w:val="20"/>
          <w:szCs w:val="20"/>
        </w:rPr>
        <w:t xml:space="preserve"> of </w:t>
      </w:r>
      <w:proofErr w:type="spellStart"/>
      <w:r w:rsidR="00016A2F" w:rsidRPr="00016A2F">
        <w:rPr>
          <w:rFonts w:ascii="Times New Roman" w:hAnsi="Times New Roman" w:cs="Times New Roman"/>
          <w:color w:val="000000"/>
          <w:sz w:val="20"/>
          <w:szCs w:val="20"/>
        </w:rPr>
        <w:t>the</w:t>
      </w:r>
      <w:proofErr w:type="spellEnd"/>
      <w:r w:rsidR="00016A2F" w:rsidRPr="00016A2F">
        <w:rPr>
          <w:rFonts w:ascii="Times New Roman" w:hAnsi="Times New Roman" w:cs="Times New Roman"/>
          <w:color w:val="000000"/>
          <w:sz w:val="20"/>
          <w:szCs w:val="20"/>
        </w:rPr>
        <w:t xml:space="preserve"> “anonim </w:t>
      </w:r>
      <w:proofErr w:type="spellStart"/>
      <w:r w:rsidR="00016A2F" w:rsidRPr="00016A2F">
        <w:rPr>
          <w:rFonts w:ascii="Times New Roman" w:hAnsi="Times New Roman" w:cs="Times New Roman"/>
          <w:color w:val="000000"/>
          <w:sz w:val="20"/>
          <w:szCs w:val="20"/>
        </w:rPr>
        <w:t>sirket</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law</w:t>
      </w:r>
      <w:proofErr w:type="spellEnd"/>
      <w:r w:rsidR="00016A2F" w:rsidRPr="00016A2F">
        <w:rPr>
          <w:rFonts w:ascii="Times New Roman" w:hAnsi="Times New Roman" w:cs="Times New Roman"/>
          <w:color w:val="000000"/>
          <w:sz w:val="20"/>
          <w:szCs w:val="20"/>
        </w:rPr>
        <w:t xml:space="preserve"> is “</w:t>
      </w:r>
      <w:proofErr w:type="spellStart"/>
      <w:r w:rsidR="00016A2F" w:rsidRPr="00016A2F">
        <w:rPr>
          <w:rFonts w:ascii="Times New Roman" w:hAnsi="Times New Roman" w:cs="Times New Roman"/>
          <w:color w:val="000000"/>
          <w:sz w:val="20"/>
          <w:szCs w:val="20"/>
        </w:rPr>
        <w:t>corporation</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law</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Turkish</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scholars</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also</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opine</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that</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the</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entity</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which</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American</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calls</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corporation</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refers</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to</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the</w:t>
      </w:r>
      <w:proofErr w:type="spellEnd"/>
      <w:r w:rsidR="00016A2F" w:rsidRPr="00016A2F">
        <w:rPr>
          <w:rFonts w:ascii="Times New Roman" w:hAnsi="Times New Roman" w:cs="Times New Roman"/>
          <w:color w:val="000000"/>
          <w:sz w:val="20"/>
          <w:szCs w:val="20"/>
        </w:rPr>
        <w:t xml:space="preserve"> “anonim </w:t>
      </w:r>
      <w:proofErr w:type="spellStart"/>
      <w:r w:rsidR="00016A2F" w:rsidRPr="00016A2F">
        <w:rPr>
          <w:rFonts w:ascii="Times New Roman" w:hAnsi="Times New Roman" w:cs="Times New Roman"/>
          <w:color w:val="000000"/>
          <w:sz w:val="20"/>
          <w:szCs w:val="20"/>
        </w:rPr>
        <w:t>sirket</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entity</w:t>
      </w:r>
      <w:proofErr w:type="spellEnd"/>
      <w:r w:rsidR="00016A2F" w:rsidRPr="00016A2F">
        <w:rPr>
          <w:rFonts w:ascii="Times New Roman" w:hAnsi="Times New Roman" w:cs="Times New Roman"/>
          <w:color w:val="000000"/>
          <w:sz w:val="20"/>
          <w:szCs w:val="20"/>
        </w:rPr>
        <w:t xml:space="preserve"> in </w:t>
      </w:r>
      <w:proofErr w:type="spellStart"/>
      <w:r w:rsidR="00016A2F" w:rsidRPr="00016A2F">
        <w:rPr>
          <w:rFonts w:ascii="Times New Roman" w:hAnsi="Times New Roman" w:cs="Times New Roman"/>
          <w:color w:val="000000"/>
          <w:sz w:val="20"/>
          <w:szCs w:val="20"/>
        </w:rPr>
        <w:t>Turkish</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law</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Oguz</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Imregun</w:t>
      </w:r>
      <w:proofErr w:type="spellEnd"/>
      <w:r w:rsidR="00016A2F" w:rsidRPr="00016A2F">
        <w:rPr>
          <w:rFonts w:ascii="Times New Roman" w:hAnsi="Times New Roman" w:cs="Times New Roman"/>
          <w:color w:val="000000"/>
          <w:sz w:val="20"/>
          <w:szCs w:val="20"/>
        </w:rPr>
        <w:t xml:space="preserve">, </w:t>
      </w:r>
      <w:r w:rsidR="00016A2F" w:rsidRPr="00016A2F">
        <w:rPr>
          <w:rFonts w:ascii="Times New Roman" w:hAnsi="Times New Roman" w:cs="Times New Roman"/>
          <w:i/>
          <w:color w:val="000000"/>
          <w:sz w:val="20"/>
          <w:szCs w:val="20"/>
        </w:rPr>
        <w:t xml:space="preserve">Amerikan </w:t>
      </w:r>
      <w:proofErr w:type="spellStart"/>
      <w:r w:rsidR="00016A2F" w:rsidRPr="00016A2F">
        <w:rPr>
          <w:rFonts w:ascii="Times New Roman" w:hAnsi="Times New Roman" w:cs="Times New Roman"/>
          <w:i/>
          <w:color w:val="000000"/>
          <w:sz w:val="20"/>
          <w:szCs w:val="20"/>
        </w:rPr>
        <w:t>Ortakliklar</w:t>
      </w:r>
      <w:proofErr w:type="spellEnd"/>
      <w:r w:rsidR="00016A2F" w:rsidRPr="00016A2F">
        <w:rPr>
          <w:rFonts w:ascii="Times New Roman" w:hAnsi="Times New Roman" w:cs="Times New Roman"/>
          <w:i/>
          <w:color w:val="000000"/>
          <w:sz w:val="20"/>
          <w:szCs w:val="20"/>
        </w:rPr>
        <w:t xml:space="preserve"> Hukukunun Ana </w:t>
      </w:r>
      <w:proofErr w:type="spellStart"/>
      <w:r w:rsidR="00016A2F" w:rsidRPr="00016A2F">
        <w:rPr>
          <w:rFonts w:ascii="Times New Roman" w:hAnsi="Times New Roman" w:cs="Times New Roman"/>
          <w:i/>
          <w:color w:val="000000"/>
          <w:sz w:val="20"/>
          <w:szCs w:val="20"/>
        </w:rPr>
        <w:t>Hatlari</w:t>
      </w:r>
      <w:proofErr w:type="spellEnd"/>
      <w:r w:rsidR="00016A2F" w:rsidRPr="00016A2F">
        <w:rPr>
          <w:rFonts w:ascii="Times New Roman" w:hAnsi="Times New Roman" w:cs="Times New Roman"/>
          <w:color w:val="000000"/>
          <w:sz w:val="20"/>
          <w:szCs w:val="20"/>
        </w:rPr>
        <w:t xml:space="preserve"> 35 (1969)) </w:t>
      </w:r>
      <w:proofErr w:type="spellStart"/>
      <w:r w:rsidR="00016A2F" w:rsidRPr="00016A2F">
        <w:rPr>
          <w:rFonts w:ascii="Times New Roman" w:hAnsi="Times New Roman" w:cs="Times New Roman"/>
          <w:color w:val="000000"/>
          <w:sz w:val="20"/>
          <w:szCs w:val="20"/>
        </w:rPr>
        <w:t>Thus</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this</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study</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chooses</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to</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stick</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to</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its</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own</w:t>
      </w:r>
      <w:proofErr w:type="spellEnd"/>
      <w:r w:rsidR="00016A2F" w:rsidRPr="00016A2F">
        <w:rPr>
          <w:rFonts w:ascii="Times New Roman" w:hAnsi="Times New Roman" w:cs="Times New Roman"/>
          <w:color w:val="000000"/>
          <w:sz w:val="20"/>
          <w:szCs w:val="20"/>
        </w:rPr>
        <w:t xml:space="preserve"> </w:t>
      </w:r>
      <w:proofErr w:type="spellStart"/>
      <w:r w:rsidR="00016A2F" w:rsidRPr="00016A2F">
        <w:rPr>
          <w:rFonts w:ascii="Times New Roman" w:hAnsi="Times New Roman" w:cs="Times New Roman"/>
          <w:color w:val="000000"/>
          <w:sz w:val="20"/>
          <w:szCs w:val="20"/>
        </w:rPr>
        <w:t>translation</w:t>
      </w:r>
      <w:proofErr w:type="spellEnd"/>
      <w:r w:rsidR="00016A2F" w:rsidRPr="00016A2F">
        <w:rPr>
          <w:rFonts w:ascii="Times New Roman" w:hAnsi="Times New Roman" w:cs="Times New Roman"/>
          <w:color w:val="000000"/>
          <w:sz w:val="20"/>
          <w:szCs w:val="20"/>
        </w:rPr>
        <w:t xml:space="preserve">. </w:t>
      </w:r>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Due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statement</w:t>
      </w:r>
      <w:proofErr w:type="spellEnd"/>
      <w:r w:rsidR="00016A2F" w:rsidRPr="0047452F">
        <w:rPr>
          <w:rFonts w:ascii="Times New Roman" w:hAnsi="Times New Roman" w:cs="Times New Roman"/>
          <w:sz w:val="20"/>
          <w:szCs w:val="20"/>
        </w:rPr>
        <w:t xml:space="preserve"> of CML </w:t>
      </w:r>
      <w:proofErr w:type="spellStart"/>
      <w:r w:rsidR="00016A2F" w:rsidRPr="0047452F">
        <w:rPr>
          <w:rFonts w:ascii="Times New Roman" w:hAnsi="Times New Roman" w:cs="Times New Roman"/>
          <w:sz w:val="20"/>
          <w:szCs w:val="20"/>
        </w:rPr>
        <w:t>that</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issue</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shares</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non-public</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is not </w:t>
      </w:r>
      <w:proofErr w:type="spellStart"/>
      <w:r w:rsidR="00016A2F" w:rsidRPr="0047452F">
        <w:rPr>
          <w:rFonts w:ascii="Times New Roman" w:hAnsi="Times New Roman" w:cs="Times New Roman"/>
          <w:sz w:val="20"/>
          <w:szCs w:val="20"/>
        </w:rPr>
        <w:t>subject</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provisions</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this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statute</w:t>
      </w:r>
      <w:proofErr w:type="spellEnd"/>
      <w:r w:rsidR="00016A2F" w:rsidRPr="0047452F">
        <w:rPr>
          <w:rFonts w:ascii="Times New Roman" w:hAnsi="Times New Roman" w:cs="Times New Roman"/>
          <w:sz w:val="20"/>
          <w:szCs w:val="20"/>
        </w:rPr>
        <w:t xml:space="preserve"> (CML </w:t>
      </w:r>
      <w:proofErr w:type="spellStart"/>
      <w:r w:rsidR="00016A2F" w:rsidRPr="0047452F">
        <w:rPr>
          <w:rFonts w:ascii="Times New Roman" w:hAnsi="Times New Roman" w:cs="Times New Roman"/>
          <w:sz w:val="20"/>
          <w:szCs w:val="20"/>
        </w:rPr>
        <w:t>Article</w:t>
      </w:r>
      <w:proofErr w:type="spellEnd"/>
      <w:r w:rsidR="00016A2F" w:rsidRPr="0047452F">
        <w:rPr>
          <w:rFonts w:ascii="Times New Roman" w:hAnsi="Times New Roman" w:cs="Times New Roman"/>
          <w:sz w:val="20"/>
          <w:szCs w:val="20"/>
        </w:rPr>
        <w:t xml:space="preserve"> 2(1)) (</w:t>
      </w:r>
      <w:proofErr w:type="spellStart"/>
      <w:r w:rsidR="00016A2F" w:rsidRPr="00016A2F">
        <w:rPr>
          <w:rFonts w:ascii="Times New Roman" w:hAnsi="Times New Roman" w:cs="Times New Roman"/>
          <w:sz w:val="20"/>
          <w:szCs w:val="20"/>
        </w:rPr>
        <w:t>Note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that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this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exception</w:t>
      </w:r>
      <w:proofErr w:type="spellEnd"/>
      <w:r w:rsidR="00016A2F" w:rsidRPr="00016A2F">
        <w:rPr>
          <w:rFonts w:ascii="Times New Roman" w:hAnsi="Times New Roman" w:cs="Times New Roman"/>
          <w:sz w:val="20"/>
          <w:szCs w:val="20"/>
        </w:rPr>
        <w:t xml:space="preserve"> is </w:t>
      </w:r>
      <w:proofErr w:type="spellStart"/>
      <w:r w:rsidR="00016A2F" w:rsidRPr="00016A2F">
        <w:rPr>
          <w:rFonts w:ascii="Times New Roman" w:hAnsi="Times New Roman" w:cs="Times New Roman"/>
          <w:sz w:val="20"/>
          <w:szCs w:val="20"/>
        </w:rPr>
        <w:t>only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valid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for</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one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type</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only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capital</w:t>
      </w:r>
      <w:proofErr w:type="spellEnd"/>
      <w:r w:rsidR="00016A2F" w:rsidRPr="00016A2F">
        <w:rPr>
          <w:rFonts w:ascii="Times New Roman" w:hAnsi="Times New Roman" w:cs="Times New Roman"/>
          <w:sz w:val="20"/>
          <w:szCs w:val="20"/>
        </w:rPr>
        <w:t xml:space="preserve"> market </w:t>
      </w:r>
      <w:proofErr w:type="spellStart"/>
      <w:r w:rsidR="00016A2F" w:rsidRPr="00016A2F">
        <w:rPr>
          <w:rFonts w:ascii="Times New Roman" w:hAnsi="Times New Roman" w:cs="Times New Roman"/>
          <w:sz w:val="20"/>
          <w:szCs w:val="20"/>
        </w:rPr>
        <w:t>instrument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shares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and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one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type</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issuer</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non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public</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corporations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Consequently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if</w:t>
      </w:r>
      <w:proofErr w:type="spellEnd"/>
      <w:r w:rsidR="00016A2F" w:rsidRPr="00016A2F">
        <w:rPr>
          <w:rFonts w:ascii="Times New Roman" w:hAnsi="Times New Roman" w:cs="Times New Roman"/>
          <w:sz w:val="20"/>
          <w:szCs w:val="20"/>
        </w:rPr>
        <w:t xml:space="preserve"> a </w:t>
      </w:r>
      <w:proofErr w:type="spellStart"/>
      <w:r w:rsidR="00016A2F" w:rsidRPr="00016A2F">
        <w:rPr>
          <w:rFonts w:ascii="Times New Roman" w:hAnsi="Times New Roman" w:cs="Times New Roman"/>
          <w:sz w:val="20"/>
          <w:szCs w:val="20"/>
        </w:rPr>
        <w:t>non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public</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corporation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issues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debt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securities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this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issue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will</w:t>
      </w:r>
      <w:proofErr w:type="spellEnd"/>
      <w:r w:rsidR="00016A2F" w:rsidRPr="00016A2F">
        <w:rPr>
          <w:rFonts w:ascii="Times New Roman" w:hAnsi="Times New Roman" w:cs="Times New Roman"/>
          <w:sz w:val="20"/>
          <w:szCs w:val="20"/>
        </w:rPr>
        <w:t xml:space="preserve"> be </w:t>
      </w:r>
      <w:proofErr w:type="spellStart"/>
      <w:r w:rsidR="00016A2F" w:rsidRPr="00016A2F">
        <w:rPr>
          <w:rFonts w:ascii="Times New Roman" w:hAnsi="Times New Roman" w:cs="Times New Roman"/>
          <w:sz w:val="20"/>
          <w:szCs w:val="20"/>
        </w:rPr>
        <w:t>within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scope</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CML (</w:t>
      </w:r>
      <w:proofErr w:type="spellStart"/>
      <w:r w:rsidR="00016A2F" w:rsidRPr="00016A2F">
        <w:rPr>
          <w:rFonts w:ascii="Times New Roman" w:hAnsi="Times New Roman" w:cs="Times New Roman"/>
          <w:sz w:val="20"/>
          <w:szCs w:val="20"/>
        </w:rPr>
        <w:t>Yanli</w:t>
      </w:r>
      <w:proofErr w:type="spellEnd"/>
      <w:r w:rsidR="00016A2F" w:rsidRPr="00016A2F">
        <w:rPr>
          <w:rFonts w:ascii="Times New Roman" w:hAnsi="Times New Roman" w:cs="Times New Roman"/>
          <w:sz w:val="20"/>
          <w:szCs w:val="20"/>
        </w:rPr>
        <w:t xml:space="preserve">, Sermaye </w:t>
      </w:r>
      <w:proofErr w:type="spellStart"/>
      <w:r w:rsidR="00016A2F" w:rsidRPr="00016A2F">
        <w:rPr>
          <w:rFonts w:ascii="Times New Roman" w:hAnsi="Times New Roman" w:cs="Times New Roman"/>
          <w:sz w:val="20"/>
          <w:szCs w:val="20"/>
        </w:rPr>
        <w:t>Piyasasi</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Araci</w:t>
      </w:r>
      <w:proofErr w:type="spellEnd"/>
      <w:r w:rsidR="00016A2F" w:rsidRPr="00016A2F">
        <w:rPr>
          <w:rFonts w:ascii="Times New Roman" w:hAnsi="Times New Roman" w:cs="Times New Roman"/>
          <w:sz w:val="20"/>
          <w:szCs w:val="20"/>
        </w:rPr>
        <w:t>, p.10)</w:t>
      </w:r>
      <w:r w:rsidR="00016A2F" w:rsidRPr="0047452F">
        <w:rPr>
          <w:rFonts w:ascii="Times New Roman" w:hAnsi="Times New Roman" w:cs="Times New Roman"/>
          <w:sz w:val="20"/>
          <w:szCs w:val="20"/>
        </w:rPr>
        <w:t xml:space="preserve">), it can be </w:t>
      </w:r>
      <w:proofErr w:type="spellStart"/>
      <w:r w:rsidR="00016A2F" w:rsidRPr="0047452F">
        <w:rPr>
          <w:rFonts w:ascii="Times New Roman" w:hAnsi="Times New Roman" w:cs="Times New Roman"/>
          <w:sz w:val="20"/>
          <w:szCs w:val="20"/>
        </w:rPr>
        <w:t>said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that</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Turkish</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capital</w:t>
      </w:r>
      <w:proofErr w:type="spellEnd"/>
      <w:r w:rsidR="00016A2F" w:rsidRPr="0047452F">
        <w:rPr>
          <w:rFonts w:ascii="Times New Roman" w:hAnsi="Times New Roman" w:cs="Times New Roman"/>
          <w:sz w:val="20"/>
          <w:szCs w:val="20"/>
        </w:rPr>
        <w:t xml:space="preserve"> market </w:t>
      </w:r>
      <w:proofErr w:type="spellStart"/>
      <w:r w:rsidR="00016A2F" w:rsidRPr="0047452F">
        <w:rPr>
          <w:rFonts w:ascii="Times New Roman" w:hAnsi="Times New Roman" w:cs="Times New Roman"/>
          <w:sz w:val="20"/>
          <w:szCs w:val="20"/>
        </w:rPr>
        <w:t>law</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classifies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as </w:t>
      </w:r>
      <w:proofErr w:type="spellStart"/>
      <w:r w:rsidR="00016A2F" w:rsidRPr="0047452F">
        <w:rPr>
          <w:rFonts w:ascii="Times New Roman" w:hAnsi="Times New Roman" w:cs="Times New Roman"/>
          <w:sz w:val="20"/>
          <w:szCs w:val="20"/>
        </w:rPr>
        <w:t>public</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and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non-public</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ones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Still</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this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classification</w:t>
      </w:r>
      <w:proofErr w:type="spellEnd"/>
      <w:r w:rsidR="00016A2F" w:rsidRPr="0047452F">
        <w:rPr>
          <w:rFonts w:ascii="Times New Roman" w:hAnsi="Times New Roman" w:cs="Times New Roman"/>
          <w:sz w:val="20"/>
          <w:szCs w:val="20"/>
        </w:rPr>
        <w:t xml:space="preserve"> is not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ultimate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one</w:t>
      </w:r>
      <w:proofErr w:type="spellEnd"/>
      <w:r w:rsidR="00016A2F" w:rsidRPr="0047452F">
        <w:rPr>
          <w:rFonts w:ascii="Times New Roman" w:hAnsi="Times New Roman" w:cs="Times New Roman"/>
          <w:sz w:val="20"/>
          <w:szCs w:val="20"/>
        </w:rPr>
        <w:t xml:space="preserve">. Under </w:t>
      </w:r>
      <w:proofErr w:type="spellStart"/>
      <w:r w:rsidR="00016A2F" w:rsidRPr="0047452F">
        <w:rPr>
          <w:rFonts w:ascii="Times New Roman" w:hAnsi="Times New Roman" w:cs="Times New Roman"/>
          <w:sz w:val="20"/>
          <w:szCs w:val="20"/>
        </w:rPr>
        <w:t>this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statute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term</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held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w:t>
      </w:r>
      <w:proofErr w:type="spellEnd"/>
      <w:r w:rsidR="00016A2F" w:rsidRPr="0047452F">
        <w:rPr>
          <w:rFonts w:ascii="Times New Roman" w:hAnsi="Times New Roman" w:cs="Times New Roman"/>
          <w:sz w:val="20"/>
          <w:szCs w:val="20"/>
        </w:rPr>
        <w:t xml:space="preserve">” is </w:t>
      </w:r>
      <w:proofErr w:type="spellStart"/>
      <w:r w:rsidR="00016A2F" w:rsidRPr="0047452F">
        <w:rPr>
          <w:rFonts w:ascii="Times New Roman" w:hAnsi="Times New Roman" w:cs="Times New Roman"/>
          <w:sz w:val="20"/>
          <w:szCs w:val="20"/>
        </w:rPr>
        <w:t>being</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used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refer</w:t>
      </w:r>
      <w:proofErr w:type="spellEnd"/>
      <w:r w:rsidR="00016A2F" w:rsidRPr="0047452F">
        <w:rPr>
          <w:rFonts w:ascii="Times New Roman" w:hAnsi="Times New Roman" w:cs="Times New Roman"/>
          <w:sz w:val="20"/>
          <w:szCs w:val="20"/>
        </w:rPr>
        <w:t xml:space="preserve"> “a </w:t>
      </w:r>
      <w:proofErr w:type="spellStart"/>
      <w:r w:rsidR="00016A2F" w:rsidRPr="0047452F">
        <w:rPr>
          <w:rFonts w:ascii="Times New Roman" w:hAnsi="Times New Roman" w:cs="Times New Roman"/>
          <w:sz w:val="20"/>
          <w:szCs w:val="20"/>
        </w:rPr>
        <w:t>corporation</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whose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shares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are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offered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public</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or</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are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deemed</w:t>
      </w:r>
      <w:proofErr w:type="spellEnd"/>
      <w:r w:rsidR="00016A2F" w:rsidRPr="0047452F">
        <w:rPr>
          <w:rFonts w:ascii="Times New Roman" w:hAnsi="Times New Roman" w:cs="Times New Roman"/>
          <w:sz w:val="20"/>
          <w:szCs w:val="20"/>
        </w:rPr>
        <w:t xml:space="preserve"> be </w:t>
      </w:r>
      <w:proofErr w:type="spellStart"/>
      <w:r w:rsidR="00016A2F" w:rsidRPr="0047452F">
        <w:rPr>
          <w:rFonts w:ascii="Times New Roman" w:hAnsi="Times New Roman" w:cs="Times New Roman"/>
          <w:sz w:val="20"/>
          <w:szCs w:val="20"/>
        </w:rPr>
        <w:t>offered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public</w:t>
      </w:r>
      <w:proofErr w:type="spellEnd"/>
      <w:r w:rsidR="00016A2F" w:rsidRPr="0047452F">
        <w:rPr>
          <w:rFonts w:ascii="Times New Roman" w:hAnsi="Times New Roman" w:cs="Times New Roman"/>
          <w:sz w:val="20"/>
          <w:szCs w:val="20"/>
        </w:rPr>
        <w:t>”</w:t>
      </w:r>
      <w:r w:rsidR="005405E9">
        <w:rPr>
          <w:rFonts w:ascii="Times New Roman" w:hAnsi="Times New Roman" w:cs="Times New Roman"/>
          <w:sz w:val="20"/>
          <w:szCs w:val="20"/>
        </w:rPr>
        <w:t xml:space="preserve">, </w:t>
      </w:r>
      <w:proofErr w:type="spellStart"/>
      <w:r w:rsidR="005405E9">
        <w:rPr>
          <w:rFonts w:ascii="Times New Roman" w:hAnsi="Times New Roman" w:cs="Times New Roman"/>
          <w:sz w:val="20"/>
          <w:szCs w:val="20"/>
        </w:rPr>
        <w:t>excluding</w:t>
      </w:r>
      <w:proofErr w:type="spellEnd"/>
      <w:r w:rsidR="005405E9">
        <w:rPr>
          <w:rFonts w:ascii="Times New Roman" w:hAnsi="Times New Roman" w:cs="Times New Roman"/>
          <w:sz w:val="20"/>
          <w:szCs w:val="20"/>
        </w:rPr>
        <w:t xml:space="preserve"> </w:t>
      </w:r>
      <w:proofErr w:type="spellStart"/>
      <w:r w:rsidR="005405E9">
        <w:rPr>
          <w:rFonts w:ascii="Times New Roman" w:hAnsi="Times New Roman" w:cs="Times New Roman"/>
          <w:sz w:val="20"/>
          <w:szCs w:val="20"/>
        </w:rPr>
        <w:t>ones</w:t>
      </w:r>
      <w:proofErr w:type="spellEnd"/>
      <w:r w:rsidR="005405E9">
        <w:rPr>
          <w:rFonts w:ascii="Times New Roman" w:hAnsi="Times New Roman" w:cs="Times New Roman"/>
          <w:sz w:val="20"/>
          <w:szCs w:val="20"/>
        </w:rPr>
        <w:t xml:space="preserve"> </w:t>
      </w:r>
      <w:proofErr w:type="spellStart"/>
      <w:r w:rsidR="005405E9">
        <w:rPr>
          <w:rFonts w:ascii="Times New Roman" w:hAnsi="Times New Roman" w:cs="Times New Roman"/>
          <w:sz w:val="20"/>
          <w:szCs w:val="20"/>
        </w:rPr>
        <w:t>collected</w:t>
      </w:r>
      <w:proofErr w:type="spellEnd"/>
      <w:r w:rsidR="00016A2F" w:rsidRPr="0047452F">
        <w:rPr>
          <w:rFonts w:ascii="Times New Roman" w:hAnsi="Times New Roman" w:cs="Times New Roman"/>
          <w:sz w:val="20"/>
          <w:szCs w:val="20"/>
        </w:rPr>
        <w:t xml:space="preserve"> </w:t>
      </w:r>
      <w:proofErr w:type="spellStart"/>
      <w:r w:rsidR="005405E9">
        <w:rPr>
          <w:rFonts w:ascii="Times New Roman" w:hAnsi="Times New Roman" w:cs="Times New Roman"/>
          <w:sz w:val="20"/>
          <w:szCs w:val="20"/>
        </w:rPr>
        <w:t>money</w:t>
      </w:r>
      <w:proofErr w:type="spellEnd"/>
      <w:r w:rsidR="005405E9">
        <w:rPr>
          <w:rFonts w:ascii="Times New Roman" w:hAnsi="Times New Roman" w:cs="Times New Roman"/>
          <w:sz w:val="20"/>
          <w:szCs w:val="20"/>
        </w:rPr>
        <w:t xml:space="preserve"> </w:t>
      </w:r>
      <w:proofErr w:type="spellStart"/>
      <w:r w:rsidR="005405E9">
        <w:rPr>
          <w:rFonts w:ascii="Times New Roman" w:hAnsi="Times New Roman" w:cs="Times New Roman"/>
          <w:sz w:val="20"/>
          <w:szCs w:val="20"/>
        </w:rPr>
        <w:t>through</w:t>
      </w:r>
      <w:proofErr w:type="spellEnd"/>
      <w:r w:rsidR="005405E9">
        <w:rPr>
          <w:rFonts w:ascii="Times New Roman" w:hAnsi="Times New Roman" w:cs="Times New Roman"/>
          <w:sz w:val="20"/>
          <w:szCs w:val="20"/>
        </w:rPr>
        <w:t xml:space="preserve"> </w:t>
      </w:r>
      <w:proofErr w:type="spellStart"/>
      <w:r w:rsidR="005405E9">
        <w:rPr>
          <w:rFonts w:ascii="Times New Roman" w:hAnsi="Times New Roman" w:cs="Times New Roman"/>
          <w:sz w:val="20"/>
          <w:szCs w:val="20"/>
        </w:rPr>
        <w:t>crowdfunding</w:t>
      </w:r>
      <w:proofErr w:type="spellEnd"/>
      <w:r w:rsidR="005405E9">
        <w:rPr>
          <w:rFonts w:ascii="Times New Roman" w:hAnsi="Times New Roman" w:cs="Times New Roman"/>
          <w:sz w:val="20"/>
          <w:szCs w:val="20"/>
        </w:rPr>
        <w:t xml:space="preserve"> </w:t>
      </w:r>
      <w:proofErr w:type="spellStart"/>
      <w:r w:rsidR="005405E9">
        <w:rPr>
          <w:rFonts w:ascii="Times New Roman" w:hAnsi="Times New Roman" w:cs="Times New Roman"/>
          <w:sz w:val="20"/>
          <w:szCs w:val="20"/>
        </w:rPr>
        <w:t>platforms</w:t>
      </w:r>
      <w:proofErr w:type="spellEnd"/>
      <w:r w:rsidR="005405E9">
        <w:rPr>
          <w:rFonts w:ascii="Times New Roman" w:hAnsi="Times New Roman" w:cs="Times New Roman"/>
          <w:sz w:val="20"/>
          <w:szCs w:val="20"/>
        </w:rPr>
        <w:t xml:space="preserve"> </w:t>
      </w:r>
      <w:r w:rsidR="00016A2F" w:rsidRPr="0047452F">
        <w:rPr>
          <w:rFonts w:ascii="Times New Roman" w:hAnsi="Times New Roman" w:cs="Times New Roman"/>
          <w:sz w:val="20"/>
          <w:szCs w:val="20"/>
        </w:rPr>
        <w:t xml:space="preserve">(CML </w:t>
      </w:r>
      <w:proofErr w:type="spellStart"/>
      <w:r w:rsidR="00016A2F" w:rsidRPr="0047452F">
        <w:rPr>
          <w:rFonts w:ascii="Times New Roman" w:hAnsi="Times New Roman" w:cs="Times New Roman"/>
          <w:sz w:val="20"/>
          <w:szCs w:val="20"/>
        </w:rPr>
        <w:t>Article</w:t>
      </w:r>
      <w:proofErr w:type="spellEnd"/>
      <w:r w:rsidR="00016A2F" w:rsidRPr="0047452F">
        <w:rPr>
          <w:rFonts w:ascii="Times New Roman" w:hAnsi="Times New Roman" w:cs="Times New Roman"/>
          <w:sz w:val="20"/>
          <w:szCs w:val="20"/>
        </w:rPr>
        <w:t xml:space="preserve"> 3(1)(e)) </w:t>
      </w:r>
      <w:proofErr w:type="spellStart"/>
      <w:r w:rsidR="00016A2F" w:rsidRPr="0047452F">
        <w:rPr>
          <w:rFonts w:ascii="Times New Roman" w:hAnsi="Times New Roman" w:cs="Times New Roman"/>
          <w:sz w:val="20"/>
          <w:szCs w:val="20"/>
        </w:rPr>
        <w:t>and</w:t>
      </w:r>
      <w:proofErr w:type="spellEnd"/>
      <w:r w:rsidR="00016A2F" w:rsidRPr="0047452F">
        <w:rPr>
          <w:rFonts w:ascii="Times New Roman" w:hAnsi="Times New Roman" w:cs="Times New Roman"/>
          <w:sz w:val="20"/>
          <w:szCs w:val="20"/>
        </w:rPr>
        <w:t xml:space="preserve"> “a </w:t>
      </w:r>
      <w:proofErr w:type="spellStart"/>
      <w:r w:rsidR="00016A2F" w:rsidRPr="0047452F">
        <w:rPr>
          <w:rFonts w:ascii="Times New Roman" w:hAnsi="Times New Roman" w:cs="Times New Roman"/>
          <w:sz w:val="20"/>
          <w:szCs w:val="20"/>
        </w:rPr>
        <w:t>corporation</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whose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shares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are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traded</w:t>
      </w:r>
      <w:proofErr w:type="spellEnd"/>
      <w:r w:rsidR="00016A2F" w:rsidRPr="0047452F">
        <w:rPr>
          <w:rFonts w:ascii="Times New Roman" w:hAnsi="Times New Roman" w:cs="Times New Roman"/>
          <w:sz w:val="20"/>
          <w:szCs w:val="20"/>
        </w:rPr>
        <w:t xml:space="preserve"> on an </w:t>
      </w:r>
      <w:proofErr w:type="spellStart"/>
      <w:r w:rsidR="00016A2F" w:rsidRPr="0047452F">
        <w:rPr>
          <w:rFonts w:ascii="Times New Roman" w:hAnsi="Times New Roman" w:cs="Times New Roman"/>
          <w:sz w:val="20"/>
          <w:szCs w:val="20"/>
        </w:rPr>
        <w:t>exchange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or</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who</w:t>
      </w:r>
      <w:proofErr w:type="spellEnd"/>
      <w:r w:rsidR="00016A2F" w:rsidRPr="0047452F">
        <w:rPr>
          <w:rFonts w:ascii="Times New Roman" w:hAnsi="Times New Roman" w:cs="Times New Roman"/>
          <w:sz w:val="20"/>
          <w:szCs w:val="20"/>
        </w:rPr>
        <w:t xml:space="preserve"> has </w:t>
      </w:r>
      <w:proofErr w:type="spellStart"/>
      <w:r w:rsidR="00016A2F" w:rsidRPr="0047452F">
        <w:rPr>
          <w:rFonts w:ascii="Times New Roman" w:hAnsi="Times New Roman" w:cs="Times New Roman"/>
          <w:sz w:val="20"/>
          <w:szCs w:val="20"/>
        </w:rPr>
        <w:t>more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than</w:t>
      </w:r>
      <w:proofErr w:type="spellEnd"/>
      <w:r w:rsidR="00016A2F" w:rsidRPr="0047452F">
        <w:rPr>
          <w:rFonts w:ascii="Times New Roman" w:hAnsi="Times New Roman" w:cs="Times New Roman"/>
          <w:sz w:val="20"/>
          <w:szCs w:val="20"/>
        </w:rPr>
        <w:t xml:space="preserve"> 500 </w:t>
      </w:r>
      <w:proofErr w:type="spellStart"/>
      <w:r w:rsidR="00016A2F" w:rsidRPr="0047452F">
        <w:rPr>
          <w:rFonts w:ascii="Times New Roman" w:hAnsi="Times New Roman" w:cs="Times New Roman"/>
          <w:sz w:val="20"/>
          <w:szCs w:val="20"/>
        </w:rPr>
        <w:t>shareholders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are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deemed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held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corporations</w:t>
      </w:r>
      <w:proofErr w:type="spellEnd"/>
      <w:r w:rsidR="0012765F">
        <w:rPr>
          <w:rFonts w:ascii="Times New Roman" w:hAnsi="Times New Roman" w:cs="Times New Roman"/>
          <w:sz w:val="20"/>
          <w:szCs w:val="20"/>
        </w:rPr>
        <w:t xml:space="preserve">, </w:t>
      </w:r>
      <w:proofErr w:type="spellStart"/>
      <w:r w:rsidR="0012765F">
        <w:rPr>
          <w:rFonts w:ascii="Times New Roman" w:hAnsi="Times New Roman" w:cs="Times New Roman"/>
          <w:sz w:val="20"/>
          <w:szCs w:val="20"/>
        </w:rPr>
        <w:t>with</w:t>
      </w:r>
      <w:proofErr w:type="spellEnd"/>
      <w:r w:rsidR="0012765F">
        <w:rPr>
          <w:rFonts w:ascii="Times New Roman" w:hAnsi="Times New Roman" w:cs="Times New Roman"/>
          <w:sz w:val="20"/>
          <w:szCs w:val="20"/>
        </w:rPr>
        <w:t xml:space="preserve"> </w:t>
      </w:r>
      <w:proofErr w:type="spellStart"/>
      <w:r w:rsidR="0012765F">
        <w:rPr>
          <w:rFonts w:ascii="Times New Roman" w:hAnsi="Times New Roman" w:cs="Times New Roman"/>
          <w:sz w:val="20"/>
          <w:szCs w:val="20"/>
        </w:rPr>
        <w:t>the</w:t>
      </w:r>
      <w:proofErr w:type="spellEnd"/>
      <w:r w:rsidR="0012765F">
        <w:rPr>
          <w:rFonts w:ascii="Times New Roman" w:hAnsi="Times New Roman" w:cs="Times New Roman"/>
          <w:sz w:val="20"/>
          <w:szCs w:val="20"/>
        </w:rPr>
        <w:t xml:space="preserve"> </w:t>
      </w:r>
      <w:proofErr w:type="spellStart"/>
      <w:r w:rsidR="0012765F">
        <w:rPr>
          <w:rFonts w:ascii="Times New Roman" w:hAnsi="Times New Roman" w:cs="Times New Roman"/>
          <w:sz w:val="20"/>
          <w:szCs w:val="20"/>
        </w:rPr>
        <w:t>exception</w:t>
      </w:r>
      <w:proofErr w:type="spellEnd"/>
      <w:r w:rsidR="0012765F">
        <w:rPr>
          <w:rFonts w:ascii="Times New Roman" w:hAnsi="Times New Roman" w:cs="Times New Roman"/>
          <w:sz w:val="20"/>
          <w:szCs w:val="20"/>
        </w:rPr>
        <w:t xml:space="preserve"> of </w:t>
      </w:r>
      <w:proofErr w:type="spellStart"/>
      <w:r w:rsidR="0012765F">
        <w:rPr>
          <w:rFonts w:ascii="Times New Roman" w:hAnsi="Times New Roman" w:cs="Times New Roman"/>
          <w:sz w:val="20"/>
          <w:szCs w:val="20"/>
        </w:rPr>
        <w:t>corporations</w:t>
      </w:r>
      <w:proofErr w:type="spellEnd"/>
      <w:r w:rsidR="0012765F">
        <w:rPr>
          <w:rFonts w:ascii="Times New Roman" w:hAnsi="Times New Roman" w:cs="Times New Roman"/>
          <w:sz w:val="20"/>
          <w:szCs w:val="20"/>
        </w:rPr>
        <w:t xml:space="preserve"> </w:t>
      </w:r>
      <w:proofErr w:type="spellStart"/>
      <w:r w:rsidR="0012765F">
        <w:rPr>
          <w:rFonts w:ascii="Times New Roman" w:hAnsi="Times New Roman" w:cs="Times New Roman"/>
          <w:sz w:val="20"/>
          <w:szCs w:val="20"/>
        </w:rPr>
        <w:t>benefited</w:t>
      </w:r>
      <w:proofErr w:type="spellEnd"/>
      <w:r w:rsidR="0012765F">
        <w:rPr>
          <w:rFonts w:ascii="Times New Roman" w:hAnsi="Times New Roman" w:cs="Times New Roman"/>
          <w:sz w:val="20"/>
          <w:szCs w:val="20"/>
        </w:rPr>
        <w:t xml:space="preserve"> </w:t>
      </w:r>
      <w:proofErr w:type="spellStart"/>
      <w:r w:rsidR="0012765F">
        <w:rPr>
          <w:rFonts w:ascii="Times New Roman" w:hAnsi="Times New Roman" w:cs="Times New Roman"/>
          <w:sz w:val="20"/>
          <w:szCs w:val="20"/>
        </w:rPr>
        <w:t>from</w:t>
      </w:r>
      <w:proofErr w:type="spellEnd"/>
      <w:r w:rsidR="0012765F">
        <w:rPr>
          <w:rFonts w:ascii="Times New Roman" w:hAnsi="Times New Roman" w:cs="Times New Roman"/>
          <w:sz w:val="20"/>
          <w:szCs w:val="20"/>
        </w:rPr>
        <w:t xml:space="preserve"> </w:t>
      </w:r>
      <w:proofErr w:type="spellStart"/>
      <w:r w:rsidR="0012765F">
        <w:rPr>
          <w:rFonts w:ascii="Times New Roman" w:hAnsi="Times New Roman" w:cs="Times New Roman"/>
          <w:sz w:val="20"/>
          <w:szCs w:val="20"/>
        </w:rPr>
        <w:t>crowdfunding</w:t>
      </w:r>
      <w:proofErr w:type="spellEnd"/>
      <w:r w:rsidR="00016A2F" w:rsidRPr="0047452F">
        <w:rPr>
          <w:rFonts w:ascii="Times New Roman" w:hAnsi="Times New Roman" w:cs="Times New Roman"/>
          <w:sz w:val="20"/>
          <w:szCs w:val="20"/>
        </w:rPr>
        <w:t xml:space="preserve"> (CML </w:t>
      </w:r>
      <w:proofErr w:type="spellStart"/>
      <w:r w:rsidR="00016A2F" w:rsidRPr="0047452F">
        <w:rPr>
          <w:rFonts w:ascii="Times New Roman" w:hAnsi="Times New Roman" w:cs="Times New Roman"/>
          <w:sz w:val="20"/>
          <w:szCs w:val="20"/>
        </w:rPr>
        <w:t>Article</w:t>
      </w:r>
      <w:proofErr w:type="spellEnd"/>
      <w:r w:rsidR="00016A2F" w:rsidRPr="0047452F">
        <w:rPr>
          <w:rFonts w:ascii="Times New Roman" w:hAnsi="Times New Roman" w:cs="Times New Roman"/>
          <w:sz w:val="20"/>
          <w:szCs w:val="20"/>
        </w:rPr>
        <w:t xml:space="preserve"> 16(1)). </w:t>
      </w:r>
      <w:proofErr w:type="spellStart"/>
      <w:r w:rsidR="00016A2F" w:rsidRPr="0047452F">
        <w:rPr>
          <w:rFonts w:ascii="Times New Roman" w:hAnsi="Times New Roman" w:cs="Times New Roman"/>
          <w:sz w:val="20"/>
          <w:szCs w:val="20"/>
        </w:rPr>
        <w:t>This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being</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said</w:t>
      </w:r>
      <w:proofErr w:type="spellEnd"/>
      <w:r w:rsidR="00016A2F" w:rsidRPr="0047452F">
        <w:rPr>
          <w:rFonts w:ascii="Times New Roman" w:hAnsi="Times New Roman" w:cs="Times New Roman"/>
          <w:sz w:val="20"/>
          <w:szCs w:val="20"/>
        </w:rPr>
        <w:t xml:space="preserve">, CML </w:t>
      </w:r>
      <w:proofErr w:type="spellStart"/>
      <w:r w:rsidR="00016A2F" w:rsidRPr="0047452F">
        <w:rPr>
          <w:rFonts w:ascii="Times New Roman" w:hAnsi="Times New Roman" w:cs="Times New Roman"/>
          <w:sz w:val="20"/>
          <w:szCs w:val="20"/>
        </w:rPr>
        <w:t>provides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exemptions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According</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Article</w:t>
      </w:r>
      <w:proofErr w:type="spellEnd"/>
      <w:r w:rsidR="00016A2F" w:rsidRPr="0047452F">
        <w:rPr>
          <w:rFonts w:ascii="Times New Roman" w:hAnsi="Times New Roman" w:cs="Times New Roman"/>
          <w:sz w:val="20"/>
          <w:szCs w:val="20"/>
        </w:rPr>
        <w:t xml:space="preserve"> 33, </w:t>
      </w:r>
      <w:proofErr w:type="spellStart"/>
      <w:r w:rsidR="00016A2F" w:rsidRPr="0047452F">
        <w:rPr>
          <w:rFonts w:ascii="Times New Roman" w:hAnsi="Times New Roman" w:cs="Times New Roman"/>
          <w:sz w:val="20"/>
          <w:szCs w:val="20"/>
        </w:rPr>
        <w:t>some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securities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issues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and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that</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are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deemed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held</w:t>
      </w:r>
      <w:proofErr w:type="spellEnd"/>
      <w:r w:rsidR="00016A2F" w:rsidRPr="0047452F">
        <w:rPr>
          <w:rFonts w:ascii="Times New Roman" w:hAnsi="Times New Roman" w:cs="Times New Roman"/>
          <w:sz w:val="20"/>
          <w:szCs w:val="20"/>
        </w:rPr>
        <w:t xml:space="preserve">” can be </w:t>
      </w:r>
      <w:proofErr w:type="spellStart"/>
      <w:r w:rsidR="00016A2F" w:rsidRPr="0047452F">
        <w:rPr>
          <w:rFonts w:ascii="Times New Roman" w:hAnsi="Times New Roman" w:cs="Times New Roman"/>
          <w:sz w:val="20"/>
          <w:szCs w:val="20"/>
        </w:rPr>
        <w:t>exempt</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from</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certain</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requirements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and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even</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from</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scope</w:t>
      </w:r>
      <w:proofErr w:type="spellEnd"/>
      <w:r w:rsidR="00016A2F" w:rsidRPr="0047452F">
        <w:rPr>
          <w:rFonts w:ascii="Times New Roman" w:hAnsi="Times New Roman" w:cs="Times New Roman"/>
          <w:sz w:val="20"/>
          <w:szCs w:val="20"/>
        </w:rPr>
        <w:t xml:space="preserve"> of CML </w:t>
      </w:r>
      <w:proofErr w:type="spellStart"/>
      <w:r w:rsidR="00016A2F" w:rsidRPr="0047452F">
        <w:rPr>
          <w:rFonts w:ascii="Times New Roman" w:hAnsi="Times New Roman" w:cs="Times New Roman"/>
          <w:sz w:val="20"/>
          <w:szCs w:val="20"/>
        </w:rPr>
        <w:t>by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governing</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authority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Capital</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Markets</w:t>
      </w:r>
      <w:proofErr w:type="spellEnd"/>
      <w:r w:rsidR="00016A2F" w:rsidRPr="0047452F">
        <w:rPr>
          <w:rFonts w:ascii="Times New Roman" w:hAnsi="Times New Roman" w:cs="Times New Roman"/>
          <w:sz w:val="20"/>
          <w:szCs w:val="20"/>
        </w:rPr>
        <w:t xml:space="preserve"> Board of </w:t>
      </w:r>
      <w:proofErr w:type="spellStart"/>
      <w:r w:rsidR="00016A2F" w:rsidRPr="0047452F">
        <w:rPr>
          <w:rFonts w:ascii="Times New Roman" w:hAnsi="Times New Roman" w:cs="Times New Roman"/>
          <w:sz w:val="20"/>
          <w:szCs w:val="20"/>
        </w:rPr>
        <w:t>Turkey</w:t>
      </w:r>
      <w:proofErr w:type="spellEnd"/>
      <w:r w:rsidR="00016A2F" w:rsidRPr="0047452F">
        <w:rPr>
          <w:rFonts w:ascii="Times New Roman" w:hAnsi="Times New Roman" w:cs="Times New Roman"/>
          <w:sz w:val="20"/>
          <w:szCs w:val="20"/>
        </w:rPr>
        <w:t xml:space="preserve"> (CMB), in presence of </w:t>
      </w:r>
      <w:proofErr w:type="spellStart"/>
      <w:r w:rsidR="00016A2F" w:rsidRPr="0047452F">
        <w:rPr>
          <w:rFonts w:ascii="Times New Roman" w:hAnsi="Times New Roman" w:cs="Times New Roman"/>
          <w:sz w:val="20"/>
          <w:szCs w:val="20"/>
        </w:rPr>
        <w:t>certain</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conditions</w:t>
      </w:r>
      <w:proofErr w:type="spellEnd"/>
      <w:r w:rsidR="00016A2F" w:rsidRPr="004745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For</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example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if</w:t>
      </w:r>
      <w:proofErr w:type="spellEnd"/>
      <w:r w:rsidR="00016A2F" w:rsidRPr="00016A2F">
        <w:rPr>
          <w:rFonts w:ascii="Times New Roman" w:hAnsi="Times New Roman" w:cs="Times New Roman"/>
          <w:sz w:val="20"/>
          <w:szCs w:val="20"/>
        </w:rPr>
        <w:t xml:space="preserve"> a </w:t>
      </w:r>
      <w:proofErr w:type="spellStart"/>
      <w:r w:rsidR="00016A2F" w:rsidRPr="00016A2F">
        <w:rPr>
          <w:rFonts w:ascii="Times New Roman" w:hAnsi="Times New Roman" w:cs="Times New Roman"/>
          <w:sz w:val="20"/>
          <w:szCs w:val="20"/>
        </w:rPr>
        <w:t>corporation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which</w:t>
      </w:r>
      <w:proofErr w:type="spellEnd"/>
      <w:r w:rsidR="00016A2F" w:rsidRPr="00016A2F">
        <w:rPr>
          <w:rFonts w:ascii="Times New Roman" w:hAnsi="Times New Roman" w:cs="Times New Roman"/>
          <w:sz w:val="20"/>
          <w:szCs w:val="20"/>
        </w:rPr>
        <w:t xml:space="preserve"> is </w:t>
      </w:r>
      <w:proofErr w:type="spellStart"/>
      <w:r w:rsidR="00016A2F" w:rsidRPr="00016A2F">
        <w:rPr>
          <w:rFonts w:ascii="Times New Roman" w:hAnsi="Times New Roman" w:cs="Times New Roman"/>
          <w:sz w:val="20"/>
          <w:szCs w:val="20"/>
        </w:rPr>
        <w:t>deemed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publicly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held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due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to</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its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number</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shareholders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does</w:t>
      </w:r>
      <w:proofErr w:type="spellEnd"/>
      <w:r w:rsidR="00016A2F" w:rsidRPr="00016A2F">
        <w:rPr>
          <w:rFonts w:ascii="Times New Roman" w:hAnsi="Times New Roman" w:cs="Times New Roman"/>
          <w:sz w:val="20"/>
          <w:szCs w:val="20"/>
        </w:rPr>
        <w:t xml:space="preserve"> not </w:t>
      </w:r>
      <w:proofErr w:type="spellStart"/>
      <w:r w:rsidR="00016A2F" w:rsidRPr="00016A2F">
        <w:rPr>
          <w:rFonts w:ascii="Times New Roman" w:hAnsi="Times New Roman" w:cs="Times New Roman"/>
          <w:sz w:val="20"/>
          <w:szCs w:val="20"/>
        </w:rPr>
        <w:t>want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to</w:t>
      </w:r>
      <w:proofErr w:type="spellEnd"/>
      <w:r w:rsidR="00016A2F" w:rsidRPr="00016A2F">
        <w:rPr>
          <w:rFonts w:ascii="Times New Roman" w:hAnsi="Times New Roman" w:cs="Times New Roman"/>
          <w:sz w:val="20"/>
          <w:szCs w:val="20"/>
        </w:rPr>
        <w:t xml:space="preserve"> be </w:t>
      </w:r>
      <w:proofErr w:type="spellStart"/>
      <w:r w:rsidR="00016A2F" w:rsidRPr="00016A2F">
        <w:rPr>
          <w:rFonts w:ascii="Times New Roman" w:hAnsi="Times New Roman" w:cs="Times New Roman"/>
          <w:sz w:val="20"/>
          <w:szCs w:val="20"/>
        </w:rPr>
        <w:t>listed</w:t>
      </w:r>
      <w:proofErr w:type="spellEnd"/>
      <w:r w:rsidR="00016A2F" w:rsidRPr="00016A2F">
        <w:rPr>
          <w:rFonts w:ascii="Times New Roman" w:hAnsi="Times New Roman" w:cs="Times New Roman"/>
          <w:sz w:val="20"/>
          <w:szCs w:val="20"/>
        </w:rPr>
        <w:t xml:space="preserve"> on a </w:t>
      </w:r>
      <w:proofErr w:type="spellStart"/>
      <w:r w:rsidR="00016A2F" w:rsidRPr="00016A2F">
        <w:rPr>
          <w:rFonts w:ascii="Times New Roman" w:hAnsi="Times New Roman" w:cs="Times New Roman"/>
          <w:sz w:val="20"/>
          <w:szCs w:val="20"/>
        </w:rPr>
        <w:t>stock</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exchange</w:t>
      </w:r>
      <w:proofErr w:type="spellEnd"/>
      <w:r w:rsidR="00016A2F" w:rsidRPr="00016A2F">
        <w:rPr>
          <w:rFonts w:ascii="Times New Roman" w:hAnsi="Times New Roman" w:cs="Times New Roman"/>
          <w:sz w:val="20"/>
          <w:szCs w:val="20"/>
        </w:rPr>
        <w:t xml:space="preserve"> can, </w:t>
      </w:r>
      <w:proofErr w:type="spellStart"/>
      <w:r w:rsidR="00016A2F" w:rsidRPr="00016A2F">
        <w:rPr>
          <w:rFonts w:ascii="Times New Roman" w:hAnsi="Times New Roman" w:cs="Times New Roman"/>
          <w:sz w:val="20"/>
          <w:szCs w:val="20"/>
        </w:rPr>
        <w:t>by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shareholder</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approval</w:t>
      </w:r>
      <w:proofErr w:type="spellEnd"/>
      <w:r w:rsidR="00016A2F" w:rsidRPr="00016A2F">
        <w:rPr>
          <w:rFonts w:ascii="Times New Roman" w:hAnsi="Times New Roman" w:cs="Times New Roman"/>
          <w:sz w:val="20"/>
          <w:szCs w:val="20"/>
        </w:rPr>
        <w:t xml:space="preserve">, be </w:t>
      </w:r>
      <w:proofErr w:type="spellStart"/>
      <w:r w:rsidR="00016A2F" w:rsidRPr="00016A2F">
        <w:rPr>
          <w:rFonts w:ascii="Times New Roman" w:hAnsi="Times New Roman" w:cs="Times New Roman"/>
          <w:sz w:val="20"/>
          <w:szCs w:val="20"/>
        </w:rPr>
        <w:t>exempted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from</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scope</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CML (</w:t>
      </w:r>
      <w:proofErr w:type="spellStart"/>
      <w:r w:rsidR="00016A2F" w:rsidRPr="00016A2F">
        <w:rPr>
          <w:rFonts w:ascii="Times New Roman" w:hAnsi="Times New Roman" w:cs="Times New Roman"/>
          <w:sz w:val="20"/>
          <w:szCs w:val="20"/>
        </w:rPr>
        <w:t>Comminique</w:t>
      </w:r>
      <w:proofErr w:type="spellEnd"/>
      <w:r w:rsidR="00016A2F" w:rsidRPr="00016A2F">
        <w:rPr>
          <w:rFonts w:ascii="Times New Roman" w:hAnsi="Times New Roman" w:cs="Times New Roman"/>
          <w:sz w:val="20"/>
          <w:szCs w:val="20"/>
        </w:rPr>
        <w:t xml:space="preserve"> on </w:t>
      </w:r>
      <w:proofErr w:type="spellStart"/>
      <w:r w:rsidR="00016A2F" w:rsidRPr="00016A2F">
        <w:rPr>
          <w:rFonts w:ascii="Times New Roman" w:hAnsi="Times New Roman" w:cs="Times New Roman"/>
          <w:sz w:val="20"/>
          <w:szCs w:val="20"/>
        </w:rPr>
        <w:t>Principles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Pertaining</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to</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Removal</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Corporations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from</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Scope</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Law</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and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Obligations</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Trading</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Shares</w:t>
      </w:r>
      <w:proofErr w:type="spellEnd"/>
      <w:r w:rsidR="00016A2F" w:rsidRPr="00016A2F">
        <w:rPr>
          <w:rFonts w:ascii="Times New Roman" w:hAnsi="Times New Roman" w:cs="Times New Roman"/>
          <w:sz w:val="20"/>
          <w:szCs w:val="20"/>
        </w:rPr>
        <w:t xml:space="preserve"> on Exchange, </w:t>
      </w:r>
      <w:proofErr w:type="spellStart"/>
      <w:r w:rsidR="00016A2F" w:rsidRPr="00016A2F">
        <w:rPr>
          <w:rFonts w:ascii="Times New Roman" w:hAnsi="Times New Roman" w:cs="Times New Roman"/>
          <w:sz w:val="20"/>
          <w:szCs w:val="20"/>
        </w:rPr>
        <w:t>Article</w:t>
      </w:r>
      <w:proofErr w:type="spellEnd"/>
      <w:r w:rsidR="00016A2F" w:rsidRPr="00016A2F">
        <w:rPr>
          <w:rFonts w:ascii="Times New Roman" w:hAnsi="Times New Roman" w:cs="Times New Roman"/>
          <w:sz w:val="20"/>
          <w:szCs w:val="20"/>
        </w:rPr>
        <w:t xml:space="preserve"> 5(1), </w:t>
      </w:r>
      <w:proofErr w:type="spellStart"/>
      <w:r w:rsidR="00016A2F" w:rsidRPr="00016A2F">
        <w:rPr>
          <w:rFonts w:ascii="Times New Roman" w:hAnsi="Times New Roman" w:cs="Times New Roman"/>
          <w:sz w:val="20"/>
          <w:szCs w:val="20"/>
        </w:rPr>
        <w:t>Official</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Gazette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Date</w:t>
      </w:r>
      <w:proofErr w:type="spellEnd"/>
      <w:r w:rsidR="00016A2F" w:rsidRPr="00016A2F">
        <w:rPr>
          <w:rFonts w:ascii="Times New Roman" w:hAnsi="Times New Roman" w:cs="Times New Roman"/>
          <w:sz w:val="20"/>
          <w:szCs w:val="20"/>
        </w:rPr>
        <w:t xml:space="preserve">: 30/12/2013 </w:t>
      </w:r>
      <w:proofErr w:type="spellStart"/>
      <w:r w:rsidR="00016A2F" w:rsidRPr="00016A2F">
        <w:rPr>
          <w:rFonts w:ascii="Times New Roman" w:hAnsi="Times New Roman" w:cs="Times New Roman"/>
          <w:sz w:val="20"/>
          <w:szCs w:val="20"/>
        </w:rPr>
        <w:t>Number</w:t>
      </w:r>
      <w:proofErr w:type="spellEnd"/>
      <w:r w:rsidR="00016A2F" w:rsidRPr="00016A2F">
        <w:rPr>
          <w:rFonts w:ascii="Times New Roman" w:hAnsi="Times New Roman" w:cs="Times New Roman"/>
          <w:sz w:val="20"/>
          <w:szCs w:val="20"/>
        </w:rPr>
        <w:t>: 28867 (</w:t>
      </w:r>
      <w:proofErr w:type="spellStart"/>
      <w:r w:rsidR="00016A2F" w:rsidRPr="00016A2F">
        <w:rPr>
          <w:rFonts w:ascii="Times New Roman" w:hAnsi="Times New Roman" w:cs="Times New Roman"/>
          <w:sz w:val="20"/>
          <w:szCs w:val="20"/>
        </w:rPr>
        <w:t>Repea</w:t>
      </w:r>
      <w:r w:rsidR="00222D33">
        <w:rPr>
          <w:rFonts w:ascii="Times New Roman" w:hAnsi="Times New Roman" w:cs="Times New Roman"/>
          <w:sz w:val="20"/>
          <w:szCs w:val="20"/>
        </w:rPr>
        <w:t>t</w:t>
      </w:r>
      <w:r w:rsidR="00016A2F" w:rsidRPr="00016A2F">
        <w:rPr>
          <w:rFonts w:ascii="Times New Roman" w:hAnsi="Times New Roman" w:cs="Times New Roman"/>
          <w:sz w:val="20"/>
          <w:szCs w:val="20"/>
        </w:rPr>
        <w:t>ed</w:t>
      </w:r>
      <w:proofErr w:type="spellEnd"/>
      <w:r w:rsidR="00016A2F" w:rsidRPr="00016A2F">
        <w:rPr>
          <w:rFonts w:ascii="Times New Roman" w:hAnsi="Times New Roman" w:cs="Times New Roman"/>
          <w:sz w:val="20"/>
          <w:szCs w:val="20"/>
        </w:rPr>
        <w:t xml:space="preserve">)). </w:t>
      </w:r>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Another</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principle</w:t>
      </w:r>
      <w:proofErr w:type="spellEnd"/>
      <w:r w:rsidR="00016A2F" w:rsidRPr="0047452F">
        <w:rPr>
          <w:rFonts w:ascii="Times New Roman" w:hAnsi="Times New Roman" w:cs="Times New Roman"/>
          <w:sz w:val="20"/>
          <w:szCs w:val="20"/>
        </w:rPr>
        <w:t xml:space="preserve"> of CML, </w:t>
      </w:r>
      <w:proofErr w:type="spellStart"/>
      <w:r w:rsidR="00016A2F" w:rsidRPr="0047452F">
        <w:rPr>
          <w:rFonts w:ascii="Times New Roman" w:hAnsi="Times New Roman" w:cs="Times New Roman"/>
          <w:sz w:val="20"/>
          <w:szCs w:val="20"/>
        </w:rPr>
        <w:t>which</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changes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classification</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is </w:t>
      </w:r>
      <w:proofErr w:type="spellStart"/>
      <w:r w:rsidR="00016A2F" w:rsidRPr="0047452F">
        <w:rPr>
          <w:rFonts w:ascii="Times New Roman" w:hAnsi="Times New Roman" w:cs="Times New Roman"/>
          <w:sz w:val="20"/>
          <w:szCs w:val="20"/>
        </w:rPr>
        <w:t>that</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if</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shares</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who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are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deemed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held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are</w:t>
      </w:r>
      <w:proofErr w:type="spellEnd"/>
      <w:r w:rsidR="00016A2F" w:rsidRPr="0047452F">
        <w:rPr>
          <w:rFonts w:ascii="Times New Roman" w:hAnsi="Times New Roman" w:cs="Times New Roman"/>
          <w:sz w:val="20"/>
          <w:szCs w:val="20"/>
        </w:rPr>
        <w:t xml:space="preserve"> not </w:t>
      </w:r>
      <w:proofErr w:type="spellStart"/>
      <w:r w:rsidR="00016A2F" w:rsidRPr="0047452F">
        <w:rPr>
          <w:rFonts w:ascii="Times New Roman" w:hAnsi="Times New Roman" w:cs="Times New Roman"/>
          <w:sz w:val="20"/>
          <w:szCs w:val="20"/>
        </w:rPr>
        <w:t>traded</w:t>
      </w:r>
      <w:proofErr w:type="spellEnd"/>
      <w:r w:rsidR="00016A2F" w:rsidRPr="0047452F">
        <w:rPr>
          <w:rFonts w:ascii="Times New Roman" w:hAnsi="Times New Roman" w:cs="Times New Roman"/>
          <w:sz w:val="20"/>
          <w:szCs w:val="20"/>
        </w:rPr>
        <w:t xml:space="preserve"> on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exchange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these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have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apply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exchange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and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have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their</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shares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traded</w:t>
      </w:r>
      <w:proofErr w:type="spellEnd"/>
      <w:r w:rsidR="00016A2F" w:rsidRPr="0047452F">
        <w:rPr>
          <w:rFonts w:ascii="Times New Roman" w:hAnsi="Times New Roman" w:cs="Times New Roman"/>
          <w:sz w:val="20"/>
          <w:szCs w:val="20"/>
        </w:rPr>
        <w:t xml:space="preserve"> on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exchange</w:t>
      </w:r>
      <w:proofErr w:type="spellEnd"/>
      <w:r w:rsidR="00016A2F" w:rsidRPr="0047452F">
        <w:rPr>
          <w:rFonts w:ascii="Times New Roman" w:hAnsi="Times New Roman" w:cs="Times New Roman"/>
          <w:sz w:val="20"/>
          <w:szCs w:val="20"/>
        </w:rPr>
        <w:t xml:space="preserve"> (CML </w:t>
      </w:r>
      <w:proofErr w:type="spellStart"/>
      <w:r w:rsidR="00016A2F" w:rsidRPr="0047452F">
        <w:rPr>
          <w:rFonts w:ascii="Times New Roman" w:hAnsi="Times New Roman" w:cs="Times New Roman"/>
          <w:sz w:val="20"/>
          <w:szCs w:val="20"/>
        </w:rPr>
        <w:t>Article</w:t>
      </w:r>
      <w:proofErr w:type="spellEnd"/>
      <w:r w:rsidR="00016A2F" w:rsidRPr="0047452F">
        <w:rPr>
          <w:rFonts w:ascii="Times New Roman" w:hAnsi="Times New Roman" w:cs="Times New Roman"/>
          <w:sz w:val="20"/>
          <w:szCs w:val="20"/>
        </w:rPr>
        <w:t xml:space="preserve"> 16(2)). </w:t>
      </w:r>
      <w:proofErr w:type="spellStart"/>
      <w:r w:rsidR="00016A2F" w:rsidRPr="0047452F">
        <w:rPr>
          <w:rFonts w:ascii="Times New Roman" w:hAnsi="Times New Roman" w:cs="Times New Roman"/>
          <w:sz w:val="20"/>
          <w:szCs w:val="20"/>
        </w:rPr>
        <w:t>Thus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while</w:t>
      </w:r>
      <w:proofErr w:type="spellEnd"/>
      <w:r w:rsidR="00016A2F" w:rsidRPr="0047452F">
        <w:rPr>
          <w:rFonts w:ascii="Times New Roman" w:hAnsi="Times New Roman" w:cs="Times New Roman"/>
          <w:sz w:val="20"/>
          <w:szCs w:val="20"/>
        </w:rPr>
        <w:t xml:space="preserve"> a </w:t>
      </w:r>
      <w:proofErr w:type="spellStart"/>
      <w:r w:rsidR="00016A2F" w:rsidRPr="0047452F">
        <w:rPr>
          <w:rFonts w:ascii="Times New Roman" w:hAnsi="Times New Roman" w:cs="Times New Roman"/>
          <w:sz w:val="20"/>
          <w:szCs w:val="20"/>
        </w:rPr>
        <w:t>corporation</w:t>
      </w:r>
      <w:proofErr w:type="spellEnd"/>
      <w:r w:rsidR="00016A2F" w:rsidRPr="0047452F">
        <w:rPr>
          <w:rFonts w:ascii="Times New Roman" w:hAnsi="Times New Roman" w:cs="Times New Roman"/>
          <w:sz w:val="20"/>
          <w:szCs w:val="20"/>
        </w:rPr>
        <w:t xml:space="preserve"> can </w:t>
      </w:r>
      <w:proofErr w:type="spellStart"/>
      <w:r w:rsidR="00016A2F" w:rsidRPr="0047452F">
        <w:rPr>
          <w:rFonts w:ascii="Times New Roman" w:hAnsi="Times New Roman" w:cs="Times New Roman"/>
          <w:sz w:val="20"/>
          <w:szCs w:val="20"/>
        </w:rPr>
        <w:t>run</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away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from</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being</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listed</w:t>
      </w:r>
      <w:proofErr w:type="spellEnd"/>
      <w:r w:rsidR="00016A2F" w:rsidRPr="0047452F">
        <w:rPr>
          <w:rFonts w:ascii="Times New Roman" w:hAnsi="Times New Roman" w:cs="Times New Roman"/>
          <w:sz w:val="20"/>
          <w:szCs w:val="20"/>
        </w:rPr>
        <w:t xml:space="preserve"> on an </w:t>
      </w:r>
      <w:proofErr w:type="spellStart"/>
      <w:r w:rsidR="00016A2F" w:rsidRPr="0047452F">
        <w:rPr>
          <w:rFonts w:ascii="Times New Roman" w:hAnsi="Times New Roman" w:cs="Times New Roman"/>
          <w:sz w:val="20"/>
          <w:szCs w:val="20"/>
        </w:rPr>
        <w:t>exchange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for</w:t>
      </w:r>
      <w:proofErr w:type="spellEnd"/>
      <w:r w:rsidR="00016A2F" w:rsidRPr="0047452F">
        <w:rPr>
          <w:rFonts w:ascii="Times New Roman" w:hAnsi="Times New Roman" w:cs="Times New Roman"/>
          <w:sz w:val="20"/>
          <w:szCs w:val="20"/>
        </w:rPr>
        <w:t xml:space="preserve"> a limited time </w:t>
      </w:r>
      <w:proofErr w:type="spellStart"/>
      <w:r w:rsidR="00016A2F" w:rsidRPr="0047452F">
        <w:rPr>
          <w:rFonts w:ascii="Times New Roman" w:hAnsi="Times New Roman" w:cs="Times New Roman"/>
          <w:sz w:val="20"/>
          <w:szCs w:val="20"/>
        </w:rPr>
        <w:t>by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carrying</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out</w:t>
      </w:r>
      <w:proofErr w:type="spellEnd"/>
      <w:r w:rsidR="00016A2F" w:rsidRPr="0047452F">
        <w:rPr>
          <w:rFonts w:ascii="Times New Roman" w:hAnsi="Times New Roman" w:cs="Times New Roman"/>
          <w:sz w:val="20"/>
          <w:szCs w:val="20"/>
        </w:rPr>
        <w:t xml:space="preserve"> a </w:t>
      </w:r>
      <w:proofErr w:type="spellStart"/>
      <w:r w:rsidR="00016A2F" w:rsidRPr="0047452F">
        <w:rPr>
          <w:rFonts w:ascii="Times New Roman" w:hAnsi="Times New Roman" w:cs="Times New Roman"/>
          <w:sz w:val="20"/>
          <w:szCs w:val="20"/>
        </w:rPr>
        <w:t>public</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offering</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without</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being</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listed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Communique</w:t>
      </w:r>
      <w:proofErr w:type="spellEnd"/>
      <w:r w:rsidR="00016A2F" w:rsidRPr="0047452F">
        <w:rPr>
          <w:rFonts w:ascii="Times New Roman" w:hAnsi="Times New Roman" w:cs="Times New Roman"/>
          <w:sz w:val="20"/>
          <w:szCs w:val="20"/>
        </w:rPr>
        <w:t xml:space="preserve"> on </w:t>
      </w:r>
      <w:proofErr w:type="spellStart"/>
      <w:r w:rsidR="00016A2F" w:rsidRPr="0047452F">
        <w:rPr>
          <w:rFonts w:ascii="Times New Roman" w:hAnsi="Times New Roman" w:cs="Times New Roman"/>
          <w:sz w:val="20"/>
          <w:szCs w:val="20"/>
        </w:rPr>
        <w:t>Sales</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Capital</w:t>
      </w:r>
      <w:proofErr w:type="spellEnd"/>
      <w:r w:rsidR="00016A2F" w:rsidRPr="0047452F">
        <w:rPr>
          <w:rFonts w:ascii="Times New Roman" w:hAnsi="Times New Roman" w:cs="Times New Roman"/>
          <w:sz w:val="20"/>
          <w:szCs w:val="20"/>
        </w:rPr>
        <w:t xml:space="preserve"> Market Instruments (II-5.2), </w:t>
      </w:r>
      <w:proofErr w:type="spellStart"/>
      <w:r w:rsidR="00016A2F" w:rsidRPr="0047452F">
        <w:rPr>
          <w:rFonts w:ascii="Times New Roman" w:hAnsi="Times New Roman" w:cs="Times New Roman"/>
          <w:sz w:val="20"/>
          <w:szCs w:val="20"/>
        </w:rPr>
        <w:t>Article</w:t>
      </w:r>
      <w:proofErr w:type="spellEnd"/>
      <w:r w:rsidR="00016A2F" w:rsidRPr="0047452F">
        <w:rPr>
          <w:rFonts w:ascii="Times New Roman" w:hAnsi="Times New Roman" w:cs="Times New Roman"/>
          <w:sz w:val="20"/>
          <w:szCs w:val="20"/>
        </w:rPr>
        <w:t xml:space="preserve"> 13(1)), it </w:t>
      </w:r>
      <w:proofErr w:type="spellStart"/>
      <w:r w:rsidR="00016A2F" w:rsidRPr="0047452F">
        <w:rPr>
          <w:rFonts w:ascii="Times New Roman" w:hAnsi="Times New Roman" w:cs="Times New Roman"/>
          <w:sz w:val="20"/>
          <w:szCs w:val="20"/>
        </w:rPr>
        <w:t>cannot</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escape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forever</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from</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being</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listed</w:t>
      </w:r>
      <w:proofErr w:type="spellEnd"/>
      <w:r w:rsidR="00016A2F" w:rsidRPr="0047452F">
        <w:rPr>
          <w:rFonts w:ascii="Times New Roman" w:hAnsi="Times New Roman" w:cs="Times New Roman"/>
          <w:sz w:val="20"/>
          <w:szCs w:val="20"/>
        </w:rPr>
        <w:t xml:space="preserve"> on an </w:t>
      </w:r>
      <w:proofErr w:type="spellStart"/>
      <w:r w:rsidR="00016A2F" w:rsidRPr="0047452F">
        <w:rPr>
          <w:rFonts w:ascii="Times New Roman" w:hAnsi="Times New Roman" w:cs="Times New Roman"/>
          <w:sz w:val="20"/>
          <w:szCs w:val="20"/>
        </w:rPr>
        <w:t>exchange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Turkish</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capital</w:t>
      </w:r>
      <w:proofErr w:type="spellEnd"/>
      <w:r w:rsidR="00016A2F" w:rsidRPr="0047452F">
        <w:rPr>
          <w:rFonts w:ascii="Times New Roman" w:hAnsi="Times New Roman" w:cs="Times New Roman"/>
          <w:sz w:val="20"/>
          <w:szCs w:val="20"/>
        </w:rPr>
        <w:t xml:space="preserve"> market </w:t>
      </w:r>
      <w:proofErr w:type="spellStart"/>
      <w:r w:rsidR="00016A2F" w:rsidRPr="0047452F">
        <w:rPr>
          <w:rFonts w:ascii="Times New Roman" w:hAnsi="Times New Roman" w:cs="Times New Roman"/>
          <w:sz w:val="20"/>
          <w:szCs w:val="20"/>
        </w:rPr>
        <w:t>law</w:t>
      </w:r>
      <w:proofErr w:type="spellEnd"/>
      <w:r w:rsidR="00016A2F" w:rsidRPr="0047452F">
        <w:rPr>
          <w:rFonts w:ascii="Times New Roman" w:hAnsi="Times New Roman" w:cs="Times New Roman"/>
          <w:sz w:val="20"/>
          <w:szCs w:val="20"/>
        </w:rPr>
        <w:t xml:space="preserve"> has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ultimate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purpose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make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all</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held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a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traded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one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Thus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status</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being</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held</w:t>
      </w:r>
      <w:proofErr w:type="spellEnd"/>
      <w:r w:rsidR="00016A2F" w:rsidRPr="0047452F">
        <w:rPr>
          <w:rFonts w:ascii="Times New Roman" w:hAnsi="Times New Roman" w:cs="Times New Roman"/>
          <w:sz w:val="20"/>
          <w:szCs w:val="20"/>
        </w:rPr>
        <w:t xml:space="preserve"> is an </w:t>
      </w:r>
      <w:proofErr w:type="spellStart"/>
      <w:r w:rsidR="00016A2F" w:rsidRPr="0047452F">
        <w:rPr>
          <w:rFonts w:ascii="Times New Roman" w:hAnsi="Times New Roman" w:cs="Times New Roman"/>
          <w:sz w:val="20"/>
          <w:szCs w:val="20"/>
        </w:rPr>
        <w:t>interim</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one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reasons</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this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policy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are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stated</w:t>
      </w:r>
      <w:proofErr w:type="spellEnd"/>
      <w:r w:rsidR="00016A2F" w:rsidRPr="0047452F">
        <w:rPr>
          <w:rFonts w:ascii="Times New Roman" w:hAnsi="Times New Roman" w:cs="Times New Roman"/>
          <w:sz w:val="20"/>
          <w:szCs w:val="20"/>
        </w:rPr>
        <w:t xml:space="preserve"> as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have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harmony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with</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EU </w:t>
      </w:r>
      <w:proofErr w:type="spellStart"/>
      <w:r w:rsidR="00016A2F" w:rsidRPr="0047452F">
        <w:rPr>
          <w:rFonts w:ascii="Times New Roman" w:hAnsi="Times New Roman" w:cs="Times New Roman"/>
          <w:sz w:val="20"/>
          <w:szCs w:val="20"/>
        </w:rPr>
        <w:t>approach</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which</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only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accepts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being</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traded</w:t>
      </w:r>
      <w:proofErr w:type="spellEnd"/>
      <w:r w:rsidR="00016A2F" w:rsidRPr="0047452F">
        <w:rPr>
          <w:rFonts w:ascii="Times New Roman" w:hAnsi="Times New Roman" w:cs="Times New Roman"/>
          <w:sz w:val="20"/>
          <w:szCs w:val="20"/>
        </w:rPr>
        <w:t xml:space="preserve"> on </w:t>
      </w:r>
      <w:proofErr w:type="spellStart"/>
      <w:r w:rsidR="00016A2F" w:rsidRPr="0047452F">
        <w:rPr>
          <w:rFonts w:ascii="Times New Roman" w:hAnsi="Times New Roman" w:cs="Times New Roman"/>
          <w:sz w:val="20"/>
          <w:szCs w:val="20"/>
        </w:rPr>
        <w:t>exchanges</w:t>
      </w:r>
      <w:proofErr w:type="spellEnd"/>
      <w:r w:rsidR="00016A2F" w:rsidRPr="0047452F">
        <w:rPr>
          <w:rFonts w:ascii="Times New Roman" w:hAnsi="Times New Roman" w:cs="Times New Roman"/>
          <w:sz w:val="20"/>
          <w:szCs w:val="20"/>
        </w:rPr>
        <w:t xml:space="preserve"> as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traded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and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provide</w:t>
      </w:r>
      <w:proofErr w:type="spellEnd"/>
      <w:r w:rsidR="00016A2F" w:rsidRPr="0047452F">
        <w:rPr>
          <w:rFonts w:ascii="Times New Roman" w:hAnsi="Times New Roman" w:cs="Times New Roman"/>
          <w:sz w:val="20"/>
          <w:szCs w:val="20"/>
        </w:rPr>
        <w:t xml:space="preserve"> an </w:t>
      </w:r>
      <w:proofErr w:type="spellStart"/>
      <w:r w:rsidR="00016A2F" w:rsidRPr="0047452F">
        <w:rPr>
          <w:rFonts w:ascii="Times New Roman" w:hAnsi="Times New Roman" w:cs="Times New Roman"/>
          <w:sz w:val="20"/>
          <w:szCs w:val="20"/>
        </w:rPr>
        <w:t>effective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structure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for</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protection</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traded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shareholders</w:t>
      </w:r>
      <w:proofErr w:type="spellEnd"/>
      <w:r w:rsidR="00016A2F" w:rsidRPr="0047452F">
        <w:rPr>
          <w:rFonts w:ascii="Times New Roman" w:hAnsi="Times New Roman" w:cs="Times New Roman"/>
          <w:sz w:val="20"/>
          <w:szCs w:val="20"/>
        </w:rPr>
        <w:t xml:space="preserve">, as it is </w:t>
      </w:r>
      <w:proofErr w:type="spellStart"/>
      <w:r w:rsidR="00016A2F" w:rsidRPr="0047452F">
        <w:rPr>
          <w:rFonts w:ascii="Times New Roman" w:hAnsi="Times New Roman" w:cs="Times New Roman"/>
          <w:sz w:val="20"/>
          <w:szCs w:val="20"/>
        </w:rPr>
        <w:t>economically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more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meaningful</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protect</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ones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who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invested</w:t>
      </w:r>
      <w:proofErr w:type="spellEnd"/>
      <w:r w:rsidR="00016A2F" w:rsidRPr="0047452F">
        <w:rPr>
          <w:rFonts w:ascii="Times New Roman" w:hAnsi="Times New Roman" w:cs="Times New Roman"/>
          <w:sz w:val="20"/>
          <w:szCs w:val="20"/>
        </w:rPr>
        <w:t xml:space="preserve"> in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of a </w:t>
      </w:r>
      <w:proofErr w:type="spellStart"/>
      <w:r w:rsidR="00016A2F" w:rsidRPr="0047452F">
        <w:rPr>
          <w:rFonts w:ascii="Times New Roman" w:hAnsi="Times New Roman" w:cs="Times New Roman"/>
          <w:sz w:val="20"/>
          <w:szCs w:val="20"/>
        </w:rPr>
        <w:t>certain</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sizes</w:t>
      </w:r>
      <w:proofErr w:type="spellEnd"/>
      <w:r w:rsidR="00016A2F" w:rsidRPr="0047452F">
        <w:rPr>
          <w:rFonts w:ascii="Times New Roman" w:hAnsi="Times New Roman" w:cs="Times New Roman"/>
          <w:sz w:val="20"/>
          <w:szCs w:val="20"/>
        </w:rPr>
        <w:t>” (</w:t>
      </w:r>
      <w:proofErr w:type="spellStart"/>
      <w:r w:rsidR="00016A2F" w:rsidRPr="0047452F">
        <w:rPr>
          <w:rFonts w:ascii="Times New Roman" w:hAnsi="Times New Roman" w:cs="Times New Roman"/>
          <w:sz w:val="20"/>
          <w:szCs w:val="20"/>
        </w:rPr>
        <w:t>Official</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Comment</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to</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Article</w:t>
      </w:r>
      <w:proofErr w:type="spellEnd"/>
      <w:r w:rsidR="00016A2F" w:rsidRPr="0047452F">
        <w:rPr>
          <w:rFonts w:ascii="Times New Roman" w:hAnsi="Times New Roman" w:cs="Times New Roman"/>
          <w:sz w:val="20"/>
          <w:szCs w:val="20"/>
        </w:rPr>
        <w:t xml:space="preserve"> 16 of CML) (</w:t>
      </w:r>
      <w:proofErr w:type="spellStart"/>
      <w:r w:rsidR="00016A2F" w:rsidRPr="00016A2F">
        <w:rPr>
          <w:rFonts w:ascii="Times New Roman" w:hAnsi="Times New Roman" w:cs="Times New Roman"/>
          <w:sz w:val="20"/>
          <w:szCs w:val="20"/>
        </w:rPr>
        <w:t>In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Official</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Comment</w:t>
      </w:r>
      <w:proofErr w:type="spellEnd"/>
      <w:r w:rsidR="00016A2F" w:rsidRPr="00016A2F">
        <w:rPr>
          <w:rFonts w:ascii="Times New Roman" w:hAnsi="Times New Roman" w:cs="Times New Roman"/>
          <w:sz w:val="20"/>
          <w:szCs w:val="20"/>
        </w:rPr>
        <w:t xml:space="preserve"> of TCC, </w:t>
      </w:r>
      <w:proofErr w:type="spellStart"/>
      <w:r w:rsidR="00016A2F" w:rsidRPr="00016A2F">
        <w:rPr>
          <w:rFonts w:ascii="Times New Roman" w:hAnsi="Times New Roman" w:cs="Times New Roman"/>
          <w:sz w:val="20"/>
          <w:szCs w:val="20"/>
        </w:rPr>
        <w:t>which</w:t>
      </w:r>
      <w:proofErr w:type="spellEnd"/>
      <w:r w:rsidR="00016A2F" w:rsidRPr="00016A2F">
        <w:rPr>
          <w:rFonts w:ascii="Times New Roman" w:hAnsi="Times New Roman" w:cs="Times New Roman"/>
          <w:sz w:val="20"/>
          <w:szCs w:val="20"/>
        </w:rPr>
        <w:t xml:space="preserve"> is a </w:t>
      </w:r>
      <w:proofErr w:type="spellStart"/>
      <w:r w:rsidR="00016A2F" w:rsidRPr="00016A2F">
        <w:rPr>
          <w:rFonts w:ascii="Times New Roman" w:hAnsi="Times New Roman" w:cs="Times New Roman"/>
          <w:sz w:val="20"/>
          <w:szCs w:val="20"/>
        </w:rPr>
        <w:t>prior</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text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to</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CML, it is </w:t>
      </w:r>
      <w:proofErr w:type="spellStart"/>
      <w:r w:rsidR="00016A2F" w:rsidRPr="00016A2F">
        <w:rPr>
          <w:rFonts w:ascii="Times New Roman" w:hAnsi="Times New Roman" w:cs="Times New Roman"/>
          <w:sz w:val="20"/>
          <w:szCs w:val="20"/>
        </w:rPr>
        <w:t>stated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that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keeping</w:t>
      </w:r>
      <w:proofErr w:type="spellEnd"/>
      <w:r w:rsidR="00016A2F" w:rsidRPr="00016A2F">
        <w:rPr>
          <w:rFonts w:ascii="Times New Roman" w:hAnsi="Times New Roman" w:cs="Times New Roman"/>
          <w:sz w:val="20"/>
          <w:szCs w:val="20"/>
        </w:rPr>
        <w:t xml:space="preserve"> a </w:t>
      </w:r>
      <w:proofErr w:type="spellStart"/>
      <w:r w:rsidR="00016A2F" w:rsidRPr="00016A2F">
        <w:rPr>
          <w:rFonts w:ascii="Times New Roman" w:hAnsi="Times New Roman" w:cs="Times New Roman"/>
          <w:sz w:val="20"/>
          <w:szCs w:val="20"/>
        </w:rPr>
        <w:t>group</w:t>
      </w:r>
      <w:proofErr w:type="spellEnd"/>
      <w:r w:rsidR="00016A2F" w:rsidRPr="00016A2F">
        <w:rPr>
          <w:rFonts w:ascii="Times New Roman" w:hAnsi="Times New Roman" w:cs="Times New Roman"/>
          <w:sz w:val="20"/>
          <w:szCs w:val="20"/>
        </w:rPr>
        <w:t xml:space="preserve"> of </w:t>
      </w:r>
      <w:proofErr w:type="spellStart"/>
      <w:r w:rsidR="00016A2F" w:rsidRPr="00016A2F">
        <w:rPr>
          <w:rFonts w:ascii="Times New Roman" w:hAnsi="Times New Roman" w:cs="Times New Roman"/>
          <w:sz w:val="20"/>
          <w:szCs w:val="20"/>
        </w:rPr>
        <w:t>corporations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publicly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held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corporation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between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corporation</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and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publicly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traded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corporation</w:t>
      </w:r>
      <w:proofErr w:type="spellEnd"/>
      <w:r w:rsidR="00016A2F" w:rsidRPr="00016A2F">
        <w:rPr>
          <w:rFonts w:ascii="Times New Roman" w:hAnsi="Times New Roman" w:cs="Times New Roman"/>
          <w:sz w:val="20"/>
          <w:szCs w:val="20"/>
        </w:rPr>
        <w:t xml:space="preserve"> is a </w:t>
      </w:r>
      <w:proofErr w:type="spellStart"/>
      <w:r w:rsidR="00016A2F" w:rsidRPr="00016A2F">
        <w:rPr>
          <w:rFonts w:ascii="Times New Roman" w:hAnsi="Times New Roman" w:cs="Times New Roman"/>
          <w:sz w:val="20"/>
          <w:szCs w:val="20"/>
        </w:rPr>
        <w:t>policy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issue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that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must</w:t>
      </w:r>
      <w:proofErr w:type="spellEnd"/>
      <w:r w:rsidR="00016A2F" w:rsidRPr="00016A2F">
        <w:rPr>
          <w:rFonts w:ascii="Times New Roman" w:hAnsi="Times New Roman" w:cs="Times New Roman"/>
          <w:sz w:val="20"/>
          <w:szCs w:val="20"/>
        </w:rPr>
        <w:t xml:space="preserve"> be </w:t>
      </w:r>
      <w:proofErr w:type="spellStart"/>
      <w:r w:rsidR="00016A2F" w:rsidRPr="00016A2F">
        <w:rPr>
          <w:rFonts w:ascii="Times New Roman" w:hAnsi="Times New Roman" w:cs="Times New Roman"/>
          <w:sz w:val="20"/>
          <w:szCs w:val="20"/>
        </w:rPr>
        <w:t>evaluated</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Official</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Comment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to</w:t>
      </w:r>
      <w:proofErr w:type="spellEnd"/>
      <w:r w:rsidR="00016A2F" w:rsidRPr="00016A2F">
        <w:rPr>
          <w:rFonts w:ascii="Times New Roman" w:hAnsi="Times New Roman" w:cs="Times New Roman"/>
          <w:sz w:val="20"/>
          <w:szCs w:val="20"/>
        </w:rPr>
        <w:t xml:space="preserve"> TCC, p. 39).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structure</w:t>
      </w:r>
      <w:proofErr w:type="spellEnd"/>
      <w:r w:rsidR="00016A2F" w:rsidRPr="00016A2F">
        <w:rPr>
          <w:rFonts w:ascii="Times New Roman" w:hAnsi="Times New Roman" w:cs="Times New Roman"/>
          <w:sz w:val="20"/>
          <w:szCs w:val="20"/>
        </w:rPr>
        <w:t xml:space="preserve"> of CML </w:t>
      </w:r>
      <w:proofErr w:type="spellStart"/>
      <w:r w:rsidR="00016A2F" w:rsidRPr="00016A2F">
        <w:rPr>
          <w:rFonts w:ascii="Times New Roman" w:hAnsi="Times New Roman" w:cs="Times New Roman"/>
          <w:sz w:val="20"/>
          <w:szCs w:val="20"/>
        </w:rPr>
        <w:t>shows</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that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the</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policy</w:t>
      </w:r>
      <w:proofErr w:type="spellEnd"/>
      <w:r w:rsidR="00016A2F" w:rsidRPr="00016A2F">
        <w:rPr>
          <w:rFonts w:ascii="Times New Roman" w:hAnsi="Times New Roman" w:cs="Times New Roman"/>
          <w:sz w:val="20"/>
          <w:szCs w:val="20"/>
        </w:rPr>
        <w:t xml:space="preserve"> in </w:t>
      </w:r>
      <w:proofErr w:type="spellStart"/>
      <w:r w:rsidR="00016A2F" w:rsidRPr="00016A2F">
        <w:rPr>
          <w:rFonts w:ascii="Times New Roman" w:hAnsi="Times New Roman" w:cs="Times New Roman"/>
          <w:sz w:val="20"/>
          <w:szCs w:val="20"/>
        </w:rPr>
        <w:t>Turkey</w:t>
      </w:r>
      <w:proofErr w:type="spellEnd"/>
      <w:r w:rsidR="00016A2F" w:rsidRPr="00016A2F">
        <w:rPr>
          <w:rFonts w:ascii="Times New Roman" w:hAnsi="Times New Roman" w:cs="Times New Roman"/>
          <w:sz w:val="20"/>
          <w:szCs w:val="20"/>
        </w:rPr>
        <w:t xml:space="preserve"> is </w:t>
      </w:r>
      <w:proofErr w:type="spellStart"/>
      <w:r w:rsidR="00016A2F" w:rsidRPr="00016A2F">
        <w:rPr>
          <w:rFonts w:ascii="Times New Roman" w:hAnsi="Times New Roman" w:cs="Times New Roman"/>
          <w:sz w:val="20"/>
          <w:szCs w:val="20"/>
        </w:rPr>
        <w:t>to</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keep</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that</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group</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only</w:t>
      </w:r>
      <w:proofErr w:type="spellEnd"/>
      <w:r w:rsidR="00016A2F" w:rsidRPr="00016A2F">
        <w:rPr>
          <w:rFonts w:ascii="Times New Roman" w:hAnsi="Times New Roman" w:cs="Times New Roman"/>
          <w:sz w:val="20"/>
          <w:szCs w:val="20"/>
        </w:rPr>
        <w:t xml:space="preserve"> </w:t>
      </w:r>
      <w:proofErr w:type="spellStart"/>
      <w:r w:rsidR="00016A2F" w:rsidRPr="00016A2F">
        <w:rPr>
          <w:rFonts w:ascii="Times New Roman" w:hAnsi="Times New Roman" w:cs="Times New Roman"/>
          <w:sz w:val="20"/>
          <w:szCs w:val="20"/>
        </w:rPr>
        <w:t>for</w:t>
      </w:r>
      <w:proofErr w:type="spellEnd"/>
      <w:r w:rsidR="00016A2F" w:rsidRPr="00016A2F">
        <w:rPr>
          <w:rFonts w:ascii="Times New Roman" w:hAnsi="Times New Roman" w:cs="Times New Roman"/>
          <w:sz w:val="20"/>
          <w:szCs w:val="20"/>
        </w:rPr>
        <w:t xml:space="preserve"> a limited </w:t>
      </w:r>
      <w:proofErr w:type="spellStart"/>
      <w:r w:rsidR="00016A2F" w:rsidRPr="00016A2F">
        <w:rPr>
          <w:rFonts w:ascii="Times New Roman" w:hAnsi="Times New Roman" w:cs="Times New Roman"/>
          <w:sz w:val="20"/>
          <w:szCs w:val="20"/>
        </w:rPr>
        <w:t>period</w:t>
      </w:r>
      <w:proofErr w:type="spellEnd"/>
      <w:r w:rsidR="00016A2F" w:rsidRPr="00016A2F">
        <w:rPr>
          <w:rFonts w:ascii="Times New Roman" w:hAnsi="Times New Roman" w:cs="Times New Roman"/>
          <w:sz w:val="20"/>
          <w:szCs w:val="20"/>
        </w:rPr>
        <w:t xml:space="preserve"> of time.</w:t>
      </w:r>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In</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conclusion</w:t>
      </w:r>
      <w:proofErr w:type="spellEnd"/>
      <w:r w:rsidR="00016A2F" w:rsidRPr="0047452F">
        <w:rPr>
          <w:rFonts w:ascii="Times New Roman" w:hAnsi="Times New Roman" w:cs="Times New Roman"/>
          <w:sz w:val="20"/>
          <w:szCs w:val="20"/>
        </w:rPr>
        <w:t xml:space="preserve">, it can be </w:t>
      </w:r>
      <w:proofErr w:type="spellStart"/>
      <w:r w:rsidR="00016A2F" w:rsidRPr="0047452F">
        <w:rPr>
          <w:rFonts w:ascii="Times New Roman" w:hAnsi="Times New Roman" w:cs="Times New Roman"/>
          <w:sz w:val="20"/>
          <w:szCs w:val="20"/>
        </w:rPr>
        <w:t>said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that</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the</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real</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classification</w:t>
      </w:r>
      <w:proofErr w:type="spellEnd"/>
      <w:r w:rsidR="00016A2F" w:rsidRPr="0047452F">
        <w:rPr>
          <w:rFonts w:ascii="Times New Roman" w:hAnsi="Times New Roman" w:cs="Times New Roman"/>
          <w:sz w:val="20"/>
          <w:szCs w:val="20"/>
        </w:rPr>
        <w:t xml:space="preserve"> of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under</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Turkish</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capital</w:t>
      </w:r>
      <w:proofErr w:type="spellEnd"/>
      <w:r w:rsidR="00016A2F" w:rsidRPr="0047452F">
        <w:rPr>
          <w:rFonts w:ascii="Times New Roman" w:hAnsi="Times New Roman" w:cs="Times New Roman"/>
          <w:sz w:val="20"/>
          <w:szCs w:val="20"/>
        </w:rPr>
        <w:t xml:space="preserve"> market </w:t>
      </w:r>
      <w:proofErr w:type="spellStart"/>
      <w:r w:rsidR="00016A2F" w:rsidRPr="0047452F">
        <w:rPr>
          <w:rFonts w:ascii="Times New Roman" w:hAnsi="Times New Roman" w:cs="Times New Roman"/>
          <w:sz w:val="20"/>
          <w:szCs w:val="20"/>
        </w:rPr>
        <w:t>law</w:t>
      </w:r>
      <w:proofErr w:type="spellEnd"/>
      <w:r w:rsidR="00016A2F" w:rsidRPr="0047452F">
        <w:rPr>
          <w:rFonts w:ascii="Times New Roman" w:hAnsi="Times New Roman" w:cs="Times New Roman"/>
          <w:sz w:val="20"/>
          <w:szCs w:val="20"/>
        </w:rPr>
        <w:t xml:space="preserve"> is (1)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and</w:t>
      </w:r>
      <w:proofErr w:type="spellEnd"/>
      <w:r w:rsidR="00016A2F" w:rsidRPr="0047452F">
        <w:rPr>
          <w:rFonts w:ascii="Times New Roman" w:hAnsi="Times New Roman" w:cs="Times New Roman"/>
          <w:sz w:val="20"/>
          <w:szCs w:val="20"/>
        </w:rPr>
        <w:t xml:space="preserve"> (2) </w:t>
      </w:r>
      <w:proofErr w:type="spellStart"/>
      <w:r w:rsidR="00016A2F" w:rsidRPr="0047452F">
        <w:rPr>
          <w:rFonts w:ascii="Times New Roman" w:hAnsi="Times New Roman" w:cs="Times New Roman"/>
          <w:sz w:val="20"/>
          <w:szCs w:val="20"/>
        </w:rPr>
        <w:t>publicly</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traded</w:t>
      </w:r>
      <w:proofErr w:type="spellEnd"/>
      <w:r w:rsidR="00016A2F" w:rsidRPr="0047452F">
        <w:rPr>
          <w:rFonts w:ascii="Times New Roman" w:hAnsi="Times New Roman" w:cs="Times New Roman"/>
          <w:sz w:val="20"/>
          <w:szCs w:val="20"/>
        </w:rPr>
        <w:t xml:space="preserve"> </w:t>
      </w:r>
      <w:proofErr w:type="spellStart"/>
      <w:r w:rsidR="00016A2F" w:rsidRPr="0047452F">
        <w:rPr>
          <w:rFonts w:ascii="Times New Roman" w:hAnsi="Times New Roman" w:cs="Times New Roman"/>
          <w:sz w:val="20"/>
          <w:szCs w:val="20"/>
        </w:rPr>
        <w:t>corporations</w:t>
      </w:r>
      <w:proofErr w:type="spellEnd"/>
      <w:r w:rsidR="00016A2F" w:rsidRPr="0047452F">
        <w:rPr>
          <w:rFonts w:ascii="Times New Roman" w:hAnsi="Times New Roman" w:cs="Times New Roman"/>
          <w:sz w:val="20"/>
          <w:szCs w:val="20"/>
        </w:rPr>
        <w:t>.</w:t>
      </w:r>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However</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after</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the</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regulation</w:t>
      </w:r>
      <w:proofErr w:type="spellEnd"/>
      <w:r w:rsidR="00222D33">
        <w:rPr>
          <w:rFonts w:ascii="Times New Roman" w:hAnsi="Times New Roman" w:cs="Times New Roman"/>
          <w:sz w:val="20"/>
          <w:szCs w:val="20"/>
        </w:rPr>
        <w:t xml:space="preserve"> of </w:t>
      </w:r>
      <w:proofErr w:type="spellStart"/>
      <w:r w:rsidR="00222D33">
        <w:rPr>
          <w:rFonts w:ascii="Times New Roman" w:hAnsi="Times New Roman" w:cs="Times New Roman"/>
          <w:sz w:val="20"/>
          <w:szCs w:val="20"/>
        </w:rPr>
        <w:t>collecting</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money</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through</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crowdfunding</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platforms</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by</w:t>
      </w:r>
      <w:proofErr w:type="spellEnd"/>
      <w:r w:rsidR="00222D33">
        <w:rPr>
          <w:rFonts w:ascii="Times New Roman" w:hAnsi="Times New Roman" w:cs="Times New Roman"/>
          <w:sz w:val="20"/>
          <w:szCs w:val="20"/>
        </w:rPr>
        <w:t xml:space="preserve"> CML, </w:t>
      </w:r>
      <w:proofErr w:type="spellStart"/>
      <w:r w:rsidR="00222D33">
        <w:rPr>
          <w:rFonts w:ascii="Times New Roman" w:hAnsi="Times New Roman" w:cs="Times New Roman"/>
          <w:sz w:val="20"/>
          <w:szCs w:val="20"/>
        </w:rPr>
        <w:t>corporations</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which</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collected</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money</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through</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crowdfunding</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became</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subject</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to</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another</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mid</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regime</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see</w:t>
      </w:r>
      <w:proofErr w:type="spellEnd"/>
      <w:r w:rsidR="00222D33">
        <w:rPr>
          <w:rFonts w:ascii="Times New Roman" w:hAnsi="Times New Roman" w:cs="Times New Roman"/>
          <w:sz w:val="20"/>
          <w:szCs w:val="20"/>
        </w:rPr>
        <w:t xml:space="preserve">, III- 35/A.2 </w:t>
      </w:r>
      <w:proofErr w:type="spellStart"/>
      <w:r w:rsidR="00222D33">
        <w:rPr>
          <w:rFonts w:ascii="Times New Roman" w:hAnsi="Times New Roman" w:cs="Times New Roman"/>
          <w:sz w:val="20"/>
          <w:szCs w:val="20"/>
        </w:rPr>
        <w:t>Crowdfunding</w:t>
      </w:r>
      <w:proofErr w:type="spellEnd"/>
      <w:r w:rsidR="00222D33">
        <w:rPr>
          <w:rFonts w:ascii="Times New Roman" w:hAnsi="Times New Roman" w:cs="Times New Roman"/>
          <w:sz w:val="20"/>
          <w:szCs w:val="20"/>
        </w:rPr>
        <w:t xml:space="preserve"> </w:t>
      </w:r>
      <w:proofErr w:type="spellStart"/>
      <w:r w:rsidR="00222D33">
        <w:rPr>
          <w:rFonts w:ascii="Times New Roman" w:hAnsi="Times New Roman" w:cs="Times New Roman"/>
          <w:sz w:val="20"/>
          <w:szCs w:val="20"/>
        </w:rPr>
        <w:t>Communique</w:t>
      </w:r>
      <w:proofErr w:type="spellEnd"/>
      <w:r w:rsidR="00222D33">
        <w:rPr>
          <w:rFonts w:ascii="Times New Roman" w:hAnsi="Times New Roman" w:cs="Times New Roman"/>
          <w:sz w:val="20"/>
          <w:szCs w:val="20"/>
        </w:rPr>
        <w:t xml:space="preserve">.  </w:t>
      </w:r>
    </w:p>
  </w:footnote>
  <w:footnote w:id="248">
    <w:p w14:paraId="648B953A" w14:textId="725FD153" w:rsidR="00F448D6" w:rsidRPr="0047452F" w:rsidRDefault="00F448D6" w:rsidP="0047452F">
      <w:pPr>
        <w:widowControl w:val="0"/>
        <w:autoSpaceDE w:val="0"/>
        <w:autoSpaceDN w:val="0"/>
        <w:adjustRightInd w:val="0"/>
        <w:jc w:val="both"/>
        <w:rPr>
          <w:rFonts w:ascii="Times New Roman" w:hAnsi="Times New Roman" w:cs="Times New Roman"/>
          <w:sz w:val="20"/>
          <w:szCs w:val="20"/>
        </w:rPr>
      </w:pPr>
      <w:r>
        <w:rPr>
          <w:rStyle w:val="DipnotBavurusu"/>
        </w:rPr>
        <w:footnoteRef/>
      </w:r>
      <w:r>
        <w:t xml:space="preserve"> </w:t>
      </w:r>
      <w:proofErr w:type="spellStart"/>
      <w:r w:rsidRPr="007B7B51">
        <w:rPr>
          <w:rFonts w:ascii="Times New Roman" w:hAnsi="Times New Roman" w:cs="Times New Roman"/>
          <w:sz w:val="20"/>
          <w:szCs w:val="20"/>
        </w:rPr>
        <w:t>It</w:t>
      </w:r>
      <w:proofErr w:type="spellEnd"/>
      <w:r w:rsidRPr="007B7B51">
        <w:rPr>
          <w:rFonts w:ascii="Times New Roman" w:hAnsi="Times New Roman" w:cs="Times New Roman"/>
          <w:sz w:val="20"/>
          <w:szCs w:val="20"/>
        </w:rPr>
        <w:t xml:space="preserve"> is </w:t>
      </w:r>
      <w:proofErr w:type="spellStart"/>
      <w:r w:rsidRPr="007B7B51">
        <w:rPr>
          <w:rFonts w:ascii="Times New Roman" w:hAnsi="Times New Roman" w:cs="Times New Roman"/>
          <w:sz w:val="20"/>
          <w:szCs w:val="20"/>
        </w:rPr>
        <w:t>argued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are</w:t>
      </w:r>
      <w:proofErr w:type="spellEnd"/>
      <w:r w:rsidRPr="007B7B51">
        <w:rPr>
          <w:rFonts w:ascii="Times New Roman" w:hAnsi="Times New Roman" w:cs="Times New Roman"/>
          <w:sz w:val="20"/>
          <w:szCs w:val="20"/>
        </w:rPr>
        <w:t xml:space="preserve"> not </w:t>
      </w:r>
      <w:proofErr w:type="spellStart"/>
      <w:r w:rsidRPr="007B7B51">
        <w:rPr>
          <w:rFonts w:ascii="Times New Roman" w:hAnsi="Times New Roman" w:cs="Times New Roman"/>
          <w:sz w:val="20"/>
          <w:szCs w:val="20"/>
        </w:rPr>
        <w:t>merely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entities</w:t>
      </w:r>
      <w:proofErr w:type="spellEnd"/>
      <w:r w:rsidRPr="007B7B51">
        <w:rPr>
          <w:rFonts w:ascii="Times New Roman" w:hAnsi="Times New Roman" w:cs="Times New Roman"/>
          <w:sz w:val="20"/>
          <w:szCs w:val="20"/>
        </w:rPr>
        <w:t xml:space="preserve"> but in </w:t>
      </w:r>
      <w:proofErr w:type="spellStart"/>
      <w:r w:rsidRPr="007B7B51">
        <w:rPr>
          <w:rFonts w:ascii="Times New Roman" w:hAnsi="Times New Roman" w:cs="Times New Roman"/>
          <w:sz w:val="20"/>
          <w:szCs w:val="20"/>
        </w:rPr>
        <w:t>fact</w:t>
      </w:r>
      <w:proofErr w:type="spellEnd"/>
      <w:r w:rsidRPr="007B7B51">
        <w:rPr>
          <w:rFonts w:ascii="Times New Roman" w:hAnsi="Times New Roman" w:cs="Times New Roman"/>
          <w:sz w:val="20"/>
          <w:szCs w:val="20"/>
        </w:rPr>
        <w:t xml:space="preserve"> a “</w:t>
      </w:r>
      <w:proofErr w:type="spellStart"/>
      <w:r w:rsidRPr="007B7B51">
        <w:rPr>
          <w:rFonts w:ascii="Times New Roman" w:hAnsi="Times New Roman" w:cs="Times New Roman"/>
          <w:sz w:val="20"/>
          <w:szCs w:val="20"/>
        </w:rPr>
        <w:t>nexus</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contracts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or</w:t>
      </w:r>
      <w:proofErr w:type="spellEnd"/>
      <w:r w:rsidRPr="007B7B51">
        <w:rPr>
          <w:rFonts w:ascii="Times New Roman" w:hAnsi="Times New Roman" w:cs="Times New Roman"/>
          <w:sz w:val="20"/>
          <w:szCs w:val="20"/>
        </w:rPr>
        <w:t xml:space="preserve"> a “set of </w:t>
      </w:r>
      <w:proofErr w:type="spellStart"/>
      <w:r w:rsidRPr="007B7B51">
        <w:rPr>
          <w:rFonts w:ascii="Times New Roman" w:hAnsi="Times New Roman" w:cs="Times New Roman"/>
          <w:sz w:val="20"/>
          <w:szCs w:val="20"/>
        </w:rPr>
        <w:t>implicit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explicit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contracts</w:t>
      </w:r>
      <w:proofErr w:type="spellEnd"/>
      <w:r w:rsidRPr="007B7B51">
        <w:rPr>
          <w:rFonts w:ascii="Times New Roman" w:hAnsi="Times New Roman" w:cs="Times New Roman"/>
          <w:sz w:val="20"/>
          <w:szCs w:val="20"/>
        </w:rPr>
        <w:t>” (</w:t>
      </w:r>
      <w:proofErr w:type="spellStart"/>
      <w:r w:rsidRPr="00F448D6">
        <w:rPr>
          <w:rFonts w:ascii="Times New Roman" w:hAnsi="Times New Roman" w:cs="Times New Roman"/>
          <w:sz w:val="20"/>
          <w:szCs w:val="20"/>
        </w:rPr>
        <w:t>Easterbrook</w:t>
      </w:r>
      <w:proofErr w:type="spellEnd"/>
      <w:r w:rsidRPr="00F448D6">
        <w:rPr>
          <w:rFonts w:ascii="Times New Roman" w:hAnsi="Times New Roman" w:cs="Times New Roman"/>
          <w:sz w:val="20"/>
          <w:szCs w:val="20"/>
        </w:rPr>
        <w:t>/</w:t>
      </w:r>
      <w:proofErr w:type="spellStart"/>
      <w:r w:rsidRPr="00F448D6">
        <w:rPr>
          <w:rFonts w:ascii="Times New Roman" w:hAnsi="Times New Roman" w:cs="Times New Roman"/>
          <w:sz w:val="20"/>
          <w:szCs w:val="20"/>
        </w:rPr>
        <w:t>Fischel</w:t>
      </w:r>
      <w:proofErr w:type="spellEnd"/>
      <w:r w:rsidRPr="00F448D6">
        <w:rPr>
          <w:rFonts w:ascii="Times New Roman" w:hAnsi="Times New Roman" w:cs="Times New Roman"/>
          <w:sz w:val="20"/>
          <w:szCs w:val="20"/>
        </w:rPr>
        <w:t>, p.12)</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description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refers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actors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engage</w:t>
      </w:r>
      <w:proofErr w:type="spellEnd"/>
      <w:r w:rsidRPr="007B7B51">
        <w:rPr>
          <w:rFonts w:ascii="Times New Roman" w:hAnsi="Times New Roman" w:cs="Times New Roman"/>
          <w:sz w:val="20"/>
          <w:szCs w:val="20"/>
        </w:rPr>
        <w:t xml:space="preserve"> in an </w:t>
      </w:r>
      <w:proofErr w:type="spellStart"/>
      <w:r w:rsidRPr="007B7B51">
        <w:rPr>
          <w:rFonts w:ascii="Times New Roman" w:hAnsi="Times New Roman" w:cs="Times New Roman"/>
          <w:sz w:val="20"/>
          <w:szCs w:val="20"/>
        </w:rPr>
        <w:t>association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production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employees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managers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investors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warranty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holders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tort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claim</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holders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arrangements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among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them</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both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contract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law</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based</w:t>
      </w:r>
      <w:proofErr w:type="spellEnd"/>
      <w:r w:rsidRPr="007B7B51">
        <w:rPr>
          <w:rFonts w:ascii="Times New Roman" w:hAnsi="Times New Roman" w:cs="Times New Roman"/>
          <w:sz w:val="20"/>
          <w:szCs w:val="20"/>
        </w:rPr>
        <w:t>) (</w:t>
      </w:r>
      <w:proofErr w:type="spellStart"/>
      <w:r w:rsidRPr="00F448D6">
        <w:rPr>
          <w:rFonts w:ascii="Times New Roman" w:hAnsi="Times New Roman" w:cs="Times New Roman"/>
          <w:sz w:val="20"/>
          <w:szCs w:val="20"/>
        </w:rPr>
        <w:t>Easterbrook</w:t>
      </w:r>
      <w:proofErr w:type="spellEnd"/>
      <w:r w:rsidRPr="00F448D6">
        <w:rPr>
          <w:rFonts w:ascii="Times New Roman" w:hAnsi="Times New Roman" w:cs="Times New Roman"/>
          <w:sz w:val="20"/>
          <w:szCs w:val="20"/>
        </w:rPr>
        <w:t>/</w:t>
      </w:r>
      <w:proofErr w:type="spellStart"/>
      <w:r w:rsidRPr="00F448D6">
        <w:rPr>
          <w:rFonts w:ascii="Times New Roman" w:hAnsi="Times New Roman" w:cs="Times New Roman"/>
          <w:sz w:val="20"/>
          <w:szCs w:val="20"/>
        </w:rPr>
        <w:t>Fischel</w:t>
      </w:r>
      <w:proofErr w:type="spellEnd"/>
      <w:r w:rsidRPr="00F448D6">
        <w:rPr>
          <w:rFonts w:ascii="Times New Roman" w:hAnsi="Times New Roman" w:cs="Times New Roman"/>
          <w:sz w:val="20"/>
          <w:szCs w:val="20"/>
        </w:rPr>
        <w:t>, p.12.</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nature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arises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following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common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conflicts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legal </w:t>
      </w:r>
      <w:proofErr w:type="spellStart"/>
      <w:r w:rsidRPr="007B7B51">
        <w:rPr>
          <w:rFonts w:ascii="Times New Roman" w:hAnsi="Times New Roman" w:cs="Times New Roman"/>
          <w:sz w:val="20"/>
          <w:szCs w:val="20"/>
        </w:rPr>
        <w:t>problems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these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entities</w:t>
      </w:r>
      <w:proofErr w:type="spellEnd"/>
      <w:r w:rsidRPr="007B7B51">
        <w:rPr>
          <w:rFonts w:ascii="Times New Roman" w:hAnsi="Times New Roman" w:cs="Times New Roman"/>
          <w:sz w:val="20"/>
          <w:szCs w:val="20"/>
        </w:rPr>
        <w:t>: “</w:t>
      </w:r>
      <w:proofErr w:type="spellStart"/>
      <w:r w:rsidRPr="007B7B51">
        <w:rPr>
          <w:rFonts w:ascii="Times New Roman" w:hAnsi="Times New Roman" w:cs="Times New Roman"/>
          <w:sz w:val="20"/>
          <w:szCs w:val="20"/>
        </w:rPr>
        <w:t>Conflicts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between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managers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shareholders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conflicts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among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shareholders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conflicts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between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shareholders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other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constituencies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including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creditors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employees</w:t>
      </w:r>
      <w:proofErr w:type="spellEnd"/>
      <w:r w:rsidRPr="007B7B51">
        <w:rPr>
          <w:rFonts w:ascii="Times New Roman" w:hAnsi="Times New Roman" w:cs="Times New Roman"/>
          <w:sz w:val="20"/>
          <w:szCs w:val="20"/>
        </w:rPr>
        <w:t>”</w:t>
      </w:r>
      <w:r w:rsidRPr="007B7B51">
        <w:rPr>
          <w:rStyle w:val="DipnotBavurusu"/>
          <w:rFonts w:ascii="Times New Roman" w:hAnsi="Times New Roman" w:cs="Times New Roman"/>
          <w:sz w:val="20"/>
          <w:szCs w:val="20"/>
        </w:rPr>
        <w:t xml:space="preserve"> </w:t>
      </w:r>
      <w:r w:rsidRPr="007B7B51">
        <w:rPr>
          <w:rFonts w:ascii="Times New Roman" w:hAnsi="Times New Roman" w:cs="Times New Roman"/>
          <w:sz w:val="20"/>
          <w:szCs w:val="20"/>
        </w:rPr>
        <w:t>(</w:t>
      </w:r>
      <w:proofErr w:type="spellStart"/>
      <w:r w:rsidRPr="00F448D6">
        <w:rPr>
          <w:rFonts w:ascii="Times New Roman" w:hAnsi="Times New Roman" w:cs="Times New Roman"/>
          <w:sz w:val="20"/>
          <w:szCs w:val="20"/>
        </w:rPr>
        <w:t>Kraakman</w:t>
      </w:r>
      <w:proofErr w:type="spellEnd"/>
      <w:r w:rsidRPr="00F448D6">
        <w:rPr>
          <w:rFonts w:ascii="Times New Roman" w:hAnsi="Times New Roman" w:cs="Times New Roman"/>
          <w:sz w:val="20"/>
          <w:szCs w:val="20"/>
        </w:rPr>
        <w:t>, et. al., p.22.</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classification</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legal </w:t>
      </w:r>
      <w:proofErr w:type="spellStart"/>
      <w:r w:rsidRPr="007B7B51">
        <w:rPr>
          <w:rFonts w:ascii="Times New Roman" w:hAnsi="Times New Roman" w:cs="Times New Roman"/>
          <w:sz w:val="20"/>
          <w:szCs w:val="20"/>
        </w:rPr>
        <w:t>nature</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relationship</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between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shareholders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shareholders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relationship</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among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themselves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depends</w:t>
      </w:r>
      <w:proofErr w:type="spellEnd"/>
      <w:r w:rsidRPr="007B7B51">
        <w:rPr>
          <w:rFonts w:ascii="Times New Roman" w:hAnsi="Times New Roman" w:cs="Times New Roman"/>
          <w:sz w:val="20"/>
          <w:szCs w:val="20"/>
        </w:rPr>
        <w:t xml:space="preserve"> on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law</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jurisdiction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relationship</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takes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place</w:t>
      </w:r>
      <w:proofErr w:type="spellEnd"/>
      <w:r w:rsidRPr="007B7B51">
        <w:rPr>
          <w:rStyle w:val="DipnotBavurusu"/>
          <w:rFonts w:ascii="Times New Roman" w:hAnsi="Times New Roman" w:cs="Times New Roman"/>
          <w:sz w:val="20"/>
          <w:szCs w:val="20"/>
        </w:rPr>
        <w:t xml:space="preserve"> </w:t>
      </w:r>
      <w:r w:rsidRPr="007B7B51">
        <w:rPr>
          <w:rFonts w:ascii="Times New Roman" w:hAnsi="Times New Roman" w:cs="Times New Roman"/>
          <w:sz w:val="20"/>
          <w:szCs w:val="20"/>
        </w:rPr>
        <w:t>(</w:t>
      </w:r>
      <w:proofErr w:type="spellStart"/>
      <w:r w:rsidRPr="00F448D6">
        <w:rPr>
          <w:rFonts w:ascii="Times New Roman" w:hAnsi="Times New Roman" w:cs="Times New Roman"/>
          <w:sz w:val="20"/>
          <w:szCs w:val="20"/>
        </w:rPr>
        <w:t>The</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two</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opposite</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theories</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regarding</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the</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evaluation</w:t>
      </w:r>
      <w:proofErr w:type="spellEnd"/>
      <w:r w:rsidRPr="00F448D6">
        <w:rPr>
          <w:rFonts w:ascii="Times New Roman" w:hAnsi="Times New Roman" w:cs="Times New Roman"/>
          <w:sz w:val="20"/>
          <w:szCs w:val="20"/>
        </w:rPr>
        <w:t xml:space="preserve"> of </w:t>
      </w:r>
      <w:proofErr w:type="spellStart"/>
      <w:r w:rsidRPr="00F448D6">
        <w:rPr>
          <w:rFonts w:ascii="Times New Roman" w:hAnsi="Times New Roman" w:cs="Times New Roman"/>
          <w:sz w:val="20"/>
          <w:szCs w:val="20"/>
        </w:rPr>
        <w:t>the</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relationship</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corporate</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consituents</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are</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the</w:t>
      </w:r>
      <w:proofErr w:type="spellEnd"/>
      <w:r w:rsidRPr="00F448D6">
        <w:rPr>
          <w:rFonts w:ascii="Times New Roman" w:hAnsi="Times New Roman" w:cs="Times New Roman"/>
          <w:sz w:val="20"/>
          <w:szCs w:val="20"/>
        </w:rPr>
        <w:t xml:space="preserve"> (1) </w:t>
      </w:r>
      <w:proofErr w:type="spellStart"/>
      <w:r w:rsidRPr="00F448D6">
        <w:rPr>
          <w:rFonts w:ascii="Times New Roman" w:hAnsi="Times New Roman" w:cs="Times New Roman"/>
          <w:sz w:val="20"/>
          <w:szCs w:val="20"/>
        </w:rPr>
        <w:t>institutional</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theory</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and</w:t>
      </w:r>
      <w:proofErr w:type="spellEnd"/>
      <w:r w:rsidRPr="00F448D6">
        <w:rPr>
          <w:rFonts w:ascii="Times New Roman" w:hAnsi="Times New Roman" w:cs="Times New Roman"/>
          <w:sz w:val="20"/>
          <w:szCs w:val="20"/>
        </w:rPr>
        <w:t xml:space="preserve"> (2) </w:t>
      </w:r>
      <w:proofErr w:type="spellStart"/>
      <w:r w:rsidRPr="00F448D6">
        <w:rPr>
          <w:rFonts w:ascii="Times New Roman" w:hAnsi="Times New Roman" w:cs="Times New Roman"/>
          <w:sz w:val="20"/>
          <w:szCs w:val="20"/>
        </w:rPr>
        <w:t>contractual</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theory</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While</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the</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institutional</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theory</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dominates</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the</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Continental</w:t>
      </w:r>
      <w:proofErr w:type="spellEnd"/>
      <w:r w:rsidRPr="00F448D6">
        <w:rPr>
          <w:rFonts w:ascii="Times New Roman" w:hAnsi="Times New Roman" w:cs="Times New Roman"/>
          <w:sz w:val="20"/>
          <w:szCs w:val="20"/>
        </w:rPr>
        <w:t xml:space="preserve"> Europe </w:t>
      </w:r>
      <w:proofErr w:type="spellStart"/>
      <w:r w:rsidRPr="00F448D6">
        <w:rPr>
          <w:rFonts w:ascii="Times New Roman" w:hAnsi="Times New Roman" w:cs="Times New Roman"/>
          <w:sz w:val="20"/>
          <w:szCs w:val="20"/>
        </w:rPr>
        <w:t>jurisdictions</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the</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contractual</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theory</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leads</w:t>
      </w:r>
      <w:proofErr w:type="spellEnd"/>
      <w:r w:rsidRPr="00F448D6">
        <w:rPr>
          <w:rFonts w:ascii="Times New Roman" w:hAnsi="Times New Roman" w:cs="Times New Roman"/>
          <w:sz w:val="20"/>
          <w:szCs w:val="20"/>
        </w:rPr>
        <w:t xml:space="preserve"> in </w:t>
      </w:r>
      <w:proofErr w:type="spellStart"/>
      <w:r w:rsidRPr="00F448D6">
        <w:rPr>
          <w:rFonts w:ascii="Times New Roman" w:hAnsi="Times New Roman" w:cs="Times New Roman"/>
          <w:sz w:val="20"/>
          <w:szCs w:val="20"/>
        </w:rPr>
        <w:t>Anglo</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Saxon</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jurisdictions</w:t>
      </w:r>
      <w:proofErr w:type="spellEnd"/>
      <w:r w:rsidRPr="00F448D6">
        <w:rPr>
          <w:rFonts w:ascii="Times New Roman" w:hAnsi="Times New Roman" w:cs="Times New Roman"/>
          <w:sz w:val="20"/>
          <w:szCs w:val="20"/>
        </w:rPr>
        <w:t xml:space="preserve"> (Sibel </w:t>
      </w:r>
      <w:proofErr w:type="spellStart"/>
      <w:r w:rsidRPr="00F448D6">
        <w:rPr>
          <w:rFonts w:ascii="Times New Roman" w:hAnsi="Times New Roman" w:cs="Times New Roman"/>
          <w:sz w:val="20"/>
          <w:szCs w:val="20"/>
        </w:rPr>
        <w:t>Hacimahmutoglu</w:t>
      </w:r>
      <w:proofErr w:type="spellEnd"/>
      <w:r w:rsidRPr="00F448D6">
        <w:rPr>
          <w:rFonts w:ascii="Times New Roman" w:hAnsi="Times New Roman" w:cs="Times New Roman"/>
          <w:sz w:val="20"/>
          <w:szCs w:val="20"/>
        </w:rPr>
        <w:t xml:space="preserve">, </w:t>
      </w:r>
      <w:r w:rsidRPr="00F448D6">
        <w:rPr>
          <w:rFonts w:ascii="Times New Roman" w:hAnsi="Times New Roman" w:cs="Times New Roman"/>
          <w:i/>
          <w:sz w:val="20"/>
          <w:szCs w:val="20"/>
        </w:rPr>
        <w:t xml:space="preserve">AT Komisyonu’nun </w:t>
      </w:r>
      <w:proofErr w:type="spellStart"/>
      <w:r w:rsidRPr="00F448D6">
        <w:rPr>
          <w:rFonts w:ascii="Times New Roman" w:hAnsi="Times New Roman" w:cs="Times New Roman"/>
          <w:i/>
          <w:sz w:val="20"/>
          <w:szCs w:val="20"/>
        </w:rPr>
        <w:t>Ortakligin</w:t>
      </w:r>
      <w:proofErr w:type="spellEnd"/>
      <w:r w:rsidRPr="00F448D6">
        <w:rPr>
          <w:rFonts w:ascii="Times New Roman" w:hAnsi="Times New Roman" w:cs="Times New Roman"/>
          <w:i/>
          <w:sz w:val="20"/>
          <w:szCs w:val="20"/>
        </w:rPr>
        <w:t xml:space="preserve"> </w:t>
      </w:r>
      <w:proofErr w:type="spellStart"/>
      <w:r w:rsidRPr="00F448D6">
        <w:rPr>
          <w:rFonts w:ascii="Times New Roman" w:hAnsi="Times New Roman" w:cs="Times New Roman"/>
          <w:i/>
          <w:sz w:val="20"/>
          <w:szCs w:val="20"/>
        </w:rPr>
        <w:t>Kontrolunu</w:t>
      </w:r>
      <w:proofErr w:type="spellEnd"/>
      <w:r w:rsidRPr="00F448D6">
        <w:rPr>
          <w:rFonts w:ascii="Times New Roman" w:hAnsi="Times New Roman" w:cs="Times New Roman"/>
          <w:i/>
          <w:sz w:val="20"/>
          <w:szCs w:val="20"/>
        </w:rPr>
        <w:t xml:space="preserve"> Ele </w:t>
      </w:r>
      <w:proofErr w:type="spellStart"/>
      <w:r w:rsidRPr="00F448D6">
        <w:rPr>
          <w:rFonts w:ascii="Times New Roman" w:hAnsi="Times New Roman" w:cs="Times New Roman"/>
          <w:i/>
          <w:sz w:val="20"/>
          <w:szCs w:val="20"/>
        </w:rPr>
        <w:t>Gecirme</w:t>
      </w:r>
      <w:proofErr w:type="spellEnd"/>
      <w:r w:rsidRPr="00F448D6">
        <w:rPr>
          <w:rFonts w:ascii="Times New Roman" w:hAnsi="Times New Roman" w:cs="Times New Roman"/>
          <w:i/>
          <w:sz w:val="20"/>
          <w:szCs w:val="20"/>
        </w:rPr>
        <w:t xml:space="preserve"> </w:t>
      </w:r>
      <w:proofErr w:type="spellStart"/>
      <w:r w:rsidRPr="00F448D6">
        <w:rPr>
          <w:rFonts w:ascii="Times New Roman" w:hAnsi="Times New Roman" w:cs="Times New Roman"/>
          <w:i/>
          <w:sz w:val="20"/>
          <w:szCs w:val="20"/>
        </w:rPr>
        <w:t>Araci</w:t>
      </w:r>
      <w:proofErr w:type="spellEnd"/>
      <w:r w:rsidRPr="00F448D6">
        <w:rPr>
          <w:rFonts w:ascii="Times New Roman" w:hAnsi="Times New Roman" w:cs="Times New Roman"/>
          <w:i/>
          <w:sz w:val="20"/>
          <w:szCs w:val="20"/>
        </w:rPr>
        <w:t xml:space="preserve"> Olarak Pay Alim </w:t>
      </w:r>
      <w:proofErr w:type="spellStart"/>
      <w:r w:rsidRPr="00F448D6">
        <w:rPr>
          <w:rFonts w:ascii="Times New Roman" w:hAnsi="Times New Roman" w:cs="Times New Roman"/>
          <w:i/>
          <w:sz w:val="20"/>
          <w:szCs w:val="20"/>
        </w:rPr>
        <w:t>Onerisine</w:t>
      </w:r>
      <w:proofErr w:type="spellEnd"/>
      <w:r w:rsidRPr="00F448D6">
        <w:rPr>
          <w:rFonts w:ascii="Times New Roman" w:hAnsi="Times New Roman" w:cs="Times New Roman"/>
          <w:i/>
          <w:sz w:val="20"/>
          <w:szCs w:val="20"/>
        </w:rPr>
        <w:t xml:space="preserve"> </w:t>
      </w:r>
      <w:proofErr w:type="spellStart"/>
      <w:r w:rsidRPr="00F448D6">
        <w:rPr>
          <w:rFonts w:ascii="Times New Roman" w:hAnsi="Times New Roman" w:cs="Times New Roman"/>
          <w:i/>
          <w:sz w:val="20"/>
          <w:szCs w:val="20"/>
        </w:rPr>
        <w:t>Iliskin</w:t>
      </w:r>
      <w:proofErr w:type="spellEnd"/>
      <w:r w:rsidRPr="00F448D6">
        <w:rPr>
          <w:rFonts w:ascii="Times New Roman" w:hAnsi="Times New Roman" w:cs="Times New Roman"/>
          <w:i/>
          <w:sz w:val="20"/>
          <w:szCs w:val="20"/>
        </w:rPr>
        <w:t xml:space="preserve"> 13. </w:t>
      </w:r>
      <w:proofErr w:type="spellStart"/>
      <w:r w:rsidRPr="00F448D6">
        <w:rPr>
          <w:rFonts w:ascii="Times New Roman" w:hAnsi="Times New Roman" w:cs="Times New Roman"/>
          <w:i/>
          <w:sz w:val="20"/>
          <w:szCs w:val="20"/>
        </w:rPr>
        <w:t>Ortakliklar</w:t>
      </w:r>
      <w:proofErr w:type="spellEnd"/>
      <w:r w:rsidRPr="00F448D6">
        <w:rPr>
          <w:rFonts w:ascii="Times New Roman" w:hAnsi="Times New Roman" w:cs="Times New Roman"/>
          <w:i/>
          <w:sz w:val="20"/>
          <w:szCs w:val="20"/>
        </w:rPr>
        <w:t xml:space="preserve"> Hukuku </w:t>
      </w:r>
      <w:proofErr w:type="spellStart"/>
      <w:r w:rsidRPr="00F448D6">
        <w:rPr>
          <w:rFonts w:ascii="Times New Roman" w:hAnsi="Times New Roman" w:cs="Times New Roman"/>
          <w:i/>
          <w:sz w:val="20"/>
          <w:szCs w:val="20"/>
        </w:rPr>
        <w:t>Yonerge</w:t>
      </w:r>
      <w:proofErr w:type="spellEnd"/>
      <w:r w:rsidRPr="00F448D6">
        <w:rPr>
          <w:rFonts w:ascii="Times New Roman" w:hAnsi="Times New Roman" w:cs="Times New Roman"/>
          <w:i/>
          <w:sz w:val="20"/>
          <w:szCs w:val="20"/>
        </w:rPr>
        <w:t xml:space="preserve"> Teklifi </w:t>
      </w:r>
      <w:proofErr w:type="spellStart"/>
      <w:r w:rsidRPr="00F448D6">
        <w:rPr>
          <w:rFonts w:ascii="Times New Roman" w:hAnsi="Times New Roman" w:cs="Times New Roman"/>
          <w:i/>
          <w:sz w:val="20"/>
          <w:szCs w:val="20"/>
        </w:rPr>
        <w:t>Uzerine</w:t>
      </w:r>
      <w:proofErr w:type="spellEnd"/>
      <w:r w:rsidRPr="00F448D6">
        <w:rPr>
          <w:rFonts w:ascii="Times New Roman" w:hAnsi="Times New Roman" w:cs="Times New Roman"/>
          <w:i/>
          <w:sz w:val="20"/>
          <w:szCs w:val="20"/>
        </w:rPr>
        <w:t xml:space="preserve"> Bir </w:t>
      </w:r>
      <w:proofErr w:type="spellStart"/>
      <w:r w:rsidRPr="00F448D6">
        <w:rPr>
          <w:rFonts w:ascii="Times New Roman" w:hAnsi="Times New Roman" w:cs="Times New Roman"/>
          <w:i/>
          <w:sz w:val="20"/>
          <w:szCs w:val="20"/>
        </w:rPr>
        <w:t>Inceleme</w:t>
      </w:r>
      <w:proofErr w:type="spellEnd"/>
      <w:r w:rsidRPr="00F448D6">
        <w:rPr>
          <w:rFonts w:ascii="Times New Roman" w:hAnsi="Times New Roman" w:cs="Times New Roman"/>
          <w:sz w:val="20"/>
          <w:szCs w:val="20"/>
        </w:rPr>
        <w:t>, 21 Banka Huk. Dergisi 95 (2001), at 100)</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regards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relationship</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between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shareholder</w:t>
      </w:r>
      <w:proofErr w:type="spellEnd"/>
      <w:r w:rsidRPr="007B7B51">
        <w:rPr>
          <w:rFonts w:ascii="Times New Roman" w:hAnsi="Times New Roman" w:cs="Times New Roman"/>
          <w:sz w:val="20"/>
          <w:szCs w:val="20"/>
        </w:rPr>
        <w:t xml:space="preserve"> is </w:t>
      </w:r>
      <w:proofErr w:type="spellStart"/>
      <w:r w:rsidRPr="007B7B51">
        <w:rPr>
          <w:rFonts w:ascii="Times New Roman" w:hAnsi="Times New Roman" w:cs="Times New Roman"/>
          <w:sz w:val="20"/>
          <w:szCs w:val="20"/>
        </w:rPr>
        <w:t>accepted</w:t>
      </w:r>
      <w:proofErr w:type="spellEnd"/>
      <w:r w:rsidRPr="007B7B51">
        <w:rPr>
          <w:rFonts w:ascii="Times New Roman" w:hAnsi="Times New Roman" w:cs="Times New Roman"/>
          <w:sz w:val="20"/>
          <w:szCs w:val="20"/>
        </w:rPr>
        <w:t xml:space="preserve"> as a </w:t>
      </w:r>
      <w:proofErr w:type="spellStart"/>
      <w:r w:rsidRPr="007B7B51">
        <w:rPr>
          <w:rFonts w:ascii="Times New Roman" w:hAnsi="Times New Roman" w:cs="Times New Roman"/>
          <w:sz w:val="20"/>
          <w:szCs w:val="20"/>
        </w:rPr>
        <w:t>contractual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relationship</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both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Turkish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Delaware </w:t>
      </w:r>
      <w:proofErr w:type="spellStart"/>
      <w:r w:rsidRPr="007B7B51">
        <w:rPr>
          <w:rFonts w:ascii="Times New Roman" w:hAnsi="Times New Roman" w:cs="Times New Roman"/>
          <w:sz w:val="20"/>
          <w:szCs w:val="20"/>
        </w:rPr>
        <w:t>law</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terms</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relationship</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based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primarily</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articles</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incorporation</w:t>
      </w:r>
      <w:proofErr w:type="spellEnd"/>
      <w:r w:rsidRPr="007B7B51">
        <w:rPr>
          <w:rStyle w:val="DipnotBavurusu"/>
          <w:rFonts w:ascii="Times New Roman" w:hAnsi="Times New Roman" w:cs="Times New Roman"/>
          <w:sz w:val="20"/>
          <w:szCs w:val="20"/>
        </w:rPr>
        <w:t xml:space="preserve"> </w:t>
      </w:r>
      <w:r w:rsidRPr="007B7B51">
        <w:rPr>
          <w:rFonts w:ascii="Times New Roman" w:hAnsi="Times New Roman" w:cs="Times New Roman"/>
          <w:sz w:val="20"/>
          <w:szCs w:val="20"/>
        </w:rPr>
        <w:t>(</w:t>
      </w:r>
      <w:proofErr w:type="spellStart"/>
      <w:r w:rsidRPr="00F448D6">
        <w:rPr>
          <w:rFonts w:ascii="Times New Roman" w:hAnsi="Times New Roman" w:cs="Times New Roman"/>
          <w:sz w:val="20"/>
          <w:szCs w:val="20"/>
        </w:rPr>
        <w:t>For</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Turkish</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law</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see</w:t>
      </w:r>
      <w:proofErr w:type="spellEnd"/>
      <w:r w:rsidRPr="00F448D6">
        <w:rPr>
          <w:rFonts w:ascii="Times New Roman" w:hAnsi="Times New Roman" w:cs="Times New Roman"/>
          <w:sz w:val="20"/>
          <w:szCs w:val="20"/>
        </w:rPr>
        <w:t xml:space="preserve">, Tekinalp, p.83 </w:t>
      </w:r>
      <w:proofErr w:type="spellStart"/>
      <w:r w:rsidRPr="00F448D6">
        <w:rPr>
          <w:rFonts w:ascii="Times New Roman" w:hAnsi="Times New Roman" w:cs="Times New Roman"/>
          <w:sz w:val="20"/>
          <w:szCs w:val="20"/>
        </w:rPr>
        <w:t>and</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for</w:t>
      </w:r>
      <w:proofErr w:type="spellEnd"/>
      <w:r w:rsidRPr="00F448D6">
        <w:rPr>
          <w:rFonts w:ascii="Times New Roman" w:hAnsi="Times New Roman" w:cs="Times New Roman"/>
          <w:sz w:val="20"/>
          <w:szCs w:val="20"/>
        </w:rPr>
        <w:t xml:space="preserve"> Delaware </w:t>
      </w:r>
      <w:proofErr w:type="spellStart"/>
      <w:r w:rsidRPr="00F448D6">
        <w:rPr>
          <w:rFonts w:ascii="Times New Roman" w:hAnsi="Times New Roman" w:cs="Times New Roman"/>
          <w:sz w:val="20"/>
          <w:szCs w:val="20"/>
        </w:rPr>
        <w:t>law</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see</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Boilermakers</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Local</w:t>
      </w:r>
      <w:proofErr w:type="spellEnd"/>
      <w:r w:rsidRPr="00F448D6">
        <w:rPr>
          <w:rFonts w:ascii="Times New Roman" w:hAnsi="Times New Roman" w:cs="Times New Roman"/>
          <w:sz w:val="20"/>
          <w:szCs w:val="20"/>
        </w:rPr>
        <w:t xml:space="preserve"> 154 </w:t>
      </w:r>
      <w:proofErr w:type="spellStart"/>
      <w:r w:rsidRPr="00F448D6">
        <w:rPr>
          <w:rFonts w:ascii="Times New Roman" w:hAnsi="Times New Roman" w:cs="Times New Roman"/>
          <w:sz w:val="20"/>
          <w:szCs w:val="20"/>
        </w:rPr>
        <w:t>Retirement</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Fund</w:t>
      </w:r>
      <w:proofErr w:type="spellEnd"/>
      <w:r w:rsidRPr="00F448D6">
        <w:rPr>
          <w:rFonts w:ascii="Times New Roman" w:hAnsi="Times New Roman" w:cs="Times New Roman"/>
          <w:sz w:val="20"/>
          <w:szCs w:val="20"/>
        </w:rPr>
        <w:t xml:space="preserve"> v. Chevron </w:t>
      </w:r>
      <w:proofErr w:type="spellStart"/>
      <w:r w:rsidRPr="00F448D6">
        <w:rPr>
          <w:rFonts w:ascii="Times New Roman" w:hAnsi="Times New Roman" w:cs="Times New Roman"/>
          <w:sz w:val="20"/>
          <w:szCs w:val="20"/>
        </w:rPr>
        <w:t>Corp</w:t>
      </w:r>
      <w:proofErr w:type="spellEnd"/>
      <w:r w:rsidRPr="00F448D6">
        <w:rPr>
          <w:rFonts w:ascii="Times New Roman" w:hAnsi="Times New Roman" w:cs="Times New Roman"/>
          <w:sz w:val="20"/>
          <w:szCs w:val="20"/>
        </w:rPr>
        <w:t>., 73 A.3d 934 (2013).</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While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assertion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also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leads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principle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relationship</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between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shareholders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among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themselves</w:t>
      </w:r>
      <w:proofErr w:type="spellEnd"/>
      <w:r w:rsidRPr="007B7B51">
        <w:rPr>
          <w:rFonts w:ascii="Times New Roman" w:hAnsi="Times New Roman" w:cs="Times New Roman"/>
          <w:sz w:val="20"/>
          <w:szCs w:val="20"/>
        </w:rPr>
        <w:t xml:space="preserve"> is </w:t>
      </w:r>
      <w:proofErr w:type="spellStart"/>
      <w:r w:rsidRPr="007B7B51">
        <w:rPr>
          <w:rFonts w:ascii="Times New Roman" w:hAnsi="Times New Roman" w:cs="Times New Roman"/>
          <w:sz w:val="20"/>
          <w:szCs w:val="20"/>
        </w:rPr>
        <w:t>contractual</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nature</w:t>
      </w:r>
      <w:proofErr w:type="spellEnd"/>
      <w:r w:rsidRPr="007B7B51">
        <w:rPr>
          <w:rFonts w:ascii="Times New Roman" w:hAnsi="Times New Roman" w:cs="Times New Roman"/>
          <w:sz w:val="20"/>
          <w:szCs w:val="20"/>
        </w:rPr>
        <w:t xml:space="preserve"> in Delaware</w:t>
      </w:r>
      <w:r w:rsidRPr="007B7B51">
        <w:rPr>
          <w:rStyle w:val="DipnotBavurusu"/>
          <w:rFonts w:ascii="Times New Roman" w:hAnsi="Times New Roman" w:cs="Times New Roman"/>
          <w:sz w:val="20"/>
          <w:szCs w:val="20"/>
        </w:rPr>
        <w:t xml:space="preserve"> </w:t>
      </w:r>
      <w:r w:rsidRPr="007B7B51">
        <w:rPr>
          <w:rFonts w:ascii="Times New Roman" w:hAnsi="Times New Roman" w:cs="Times New Roman"/>
          <w:sz w:val="20"/>
          <w:szCs w:val="20"/>
        </w:rPr>
        <w:t>(</w:t>
      </w:r>
      <w:r w:rsidRPr="00F448D6">
        <w:rPr>
          <w:rFonts w:ascii="Times New Roman" w:hAnsi="Times New Roman" w:cs="Times New Roman"/>
          <w:sz w:val="20"/>
          <w:szCs w:val="20"/>
        </w:rPr>
        <w:t xml:space="preserve">Morris v. </w:t>
      </w:r>
      <w:proofErr w:type="spellStart"/>
      <w:r w:rsidRPr="00F448D6">
        <w:rPr>
          <w:rFonts w:ascii="Times New Roman" w:hAnsi="Times New Roman" w:cs="Times New Roman"/>
          <w:sz w:val="20"/>
          <w:szCs w:val="20"/>
        </w:rPr>
        <w:t>American</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Public</w:t>
      </w:r>
      <w:proofErr w:type="spellEnd"/>
      <w:r w:rsidRPr="00F448D6">
        <w:rPr>
          <w:rFonts w:ascii="Times New Roman" w:hAnsi="Times New Roman" w:cs="Times New Roman"/>
          <w:sz w:val="20"/>
          <w:szCs w:val="20"/>
        </w:rPr>
        <w:t xml:space="preserve"> Utilities </w:t>
      </w:r>
      <w:proofErr w:type="spellStart"/>
      <w:r w:rsidRPr="00F448D6">
        <w:rPr>
          <w:rFonts w:ascii="Times New Roman" w:hAnsi="Times New Roman" w:cs="Times New Roman"/>
          <w:sz w:val="20"/>
          <w:szCs w:val="20"/>
        </w:rPr>
        <w:t>Co</w:t>
      </w:r>
      <w:proofErr w:type="spellEnd"/>
      <w:r w:rsidRPr="00F448D6">
        <w:rPr>
          <w:rFonts w:ascii="Times New Roman" w:hAnsi="Times New Roman" w:cs="Times New Roman"/>
          <w:sz w:val="20"/>
          <w:szCs w:val="20"/>
        </w:rPr>
        <w:t xml:space="preserve">., 14 Del. </w:t>
      </w:r>
      <w:proofErr w:type="spellStart"/>
      <w:r w:rsidRPr="00F448D6">
        <w:rPr>
          <w:rFonts w:ascii="Times New Roman" w:hAnsi="Times New Roman" w:cs="Times New Roman"/>
          <w:sz w:val="20"/>
          <w:szCs w:val="20"/>
        </w:rPr>
        <w:t>Ch</w:t>
      </w:r>
      <w:proofErr w:type="spellEnd"/>
      <w:r w:rsidRPr="00F448D6">
        <w:rPr>
          <w:rFonts w:ascii="Times New Roman" w:hAnsi="Times New Roman" w:cs="Times New Roman"/>
          <w:sz w:val="20"/>
          <w:szCs w:val="20"/>
        </w:rPr>
        <w:t>. 136 (1923): “…</w:t>
      </w:r>
      <w:r w:rsidRPr="00F448D6">
        <w:rPr>
          <w:rFonts w:ascii="Times New Roman" w:hAnsi="Times New Roman" w:cs="Times New Roman"/>
          <w:color w:val="000000"/>
          <w:sz w:val="20"/>
          <w:szCs w:val="20"/>
        </w:rPr>
        <w:t xml:space="preserve">it is </w:t>
      </w:r>
      <w:proofErr w:type="spellStart"/>
      <w:r w:rsidRPr="00F448D6">
        <w:rPr>
          <w:rFonts w:ascii="Times New Roman" w:hAnsi="Times New Roman" w:cs="Times New Roman"/>
          <w:color w:val="000000"/>
          <w:sz w:val="20"/>
          <w:szCs w:val="20"/>
        </w:rPr>
        <w:t>spoken</w:t>
      </w:r>
      <w:proofErr w:type="spellEnd"/>
      <w:r w:rsidRPr="00F448D6">
        <w:rPr>
          <w:rFonts w:ascii="Times New Roman" w:hAnsi="Times New Roman" w:cs="Times New Roman"/>
          <w:color w:val="000000"/>
          <w:sz w:val="20"/>
          <w:szCs w:val="20"/>
        </w:rPr>
        <w:t xml:space="preserve"> of as “a </w:t>
      </w:r>
      <w:proofErr w:type="spellStart"/>
      <w:r w:rsidRPr="00F448D6">
        <w:rPr>
          <w:rFonts w:ascii="Times New Roman" w:hAnsi="Times New Roman" w:cs="Times New Roman"/>
          <w:color w:val="000000"/>
          <w:sz w:val="20"/>
          <w:szCs w:val="20"/>
        </w:rPr>
        <w:t>dual</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contract</w:t>
      </w:r>
      <w:proofErr w:type="spellEnd"/>
      <w:r w:rsidRPr="00F448D6">
        <w:rPr>
          <w:rFonts w:ascii="Times New Roman" w:hAnsi="Times New Roman" w:cs="Times New Roman"/>
          <w:color w:val="000000"/>
          <w:sz w:val="20"/>
          <w:szCs w:val="20"/>
        </w:rPr>
        <w:t>--</w:t>
      </w:r>
      <w:proofErr w:type="spellStart"/>
      <w:r w:rsidRPr="00F448D6">
        <w:rPr>
          <w:rFonts w:ascii="Times New Roman" w:hAnsi="Times New Roman" w:cs="Times New Roman"/>
          <w:color w:val="000000"/>
          <w:sz w:val="20"/>
          <w:szCs w:val="20"/>
        </w:rPr>
        <w:t>one</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between</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the</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state</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and</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the</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corporation</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and</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its</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stockholders</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the</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other</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between</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the</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corporation</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and</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its</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stockholders</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That</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there</w:t>
      </w:r>
      <w:proofErr w:type="spellEnd"/>
      <w:r w:rsidRPr="00F448D6">
        <w:rPr>
          <w:rFonts w:ascii="Times New Roman" w:hAnsi="Times New Roman" w:cs="Times New Roman"/>
          <w:color w:val="000000"/>
          <w:sz w:val="20"/>
          <w:szCs w:val="20"/>
        </w:rPr>
        <w:t xml:space="preserve"> is a </w:t>
      </w:r>
      <w:proofErr w:type="spellStart"/>
      <w:r w:rsidRPr="00F448D6">
        <w:rPr>
          <w:rFonts w:ascii="Times New Roman" w:hAnsi="Times New Roman" w:cs="Times New Roman"/>
          <w:color w:val="000000"/>
          <w:sz w:val="20"/>
          <w:szCs w:val="20"/>
        </w:rPr>
        <w:t>third</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aspect</w:t>
      </w:r>
      <w:proofErr w:type="spellEnd"/>
      <w:r w:rsidRPr="00F448D6">
        <w:rPr>
          <w:rFonts w:ascii="Times New Roman" w:hAnsi="Times New Roman" w:cs="Times New Roman"/>
          <w:color w:val="000000"/>
          <w:sz w:val="20"/>
          <w:szCs w:val="20"/>
        </w:rPr>
        <w:t xml:space="preserve"> in </w:t>
      </w:r>
      <w:proofErr w:type="spellStart"/>
      <w:r w:rsidRPr="00F448D6">
        <w:rPr>
          <w:rFonts w:ascii="Times New Roman" w:hAnsi="Times New Roman" w:cs="Times New Roman"/>
          <w:color w:val="000000"/>
          <w:sz w:val="20"/>
          <w:szCs w:val="20"/>
        </w:rPr>
        <w:t>which</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the</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contract</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may</w:t>
      </w:r>
      <w:proofErr w:type="spellEnd"/>
      <w:r w:rsidRPr="00F448D6">
        <w:rPr>
          <w:rFonts w:ascii="Times New Roman" w:hAnsi="Times New Roman" w:cs="Times New Roman"/>
          <w:color w:val="000000"/>
          <w:sz w:val="20"/>
          <w:szCs w:val="20"/>
        </w:rPr>
        <w:t xml:space="preserve"> be </w:t>
      </w:r>
      <w:proofErr w:type="spellStart"/>
      <w:r w:rsidRPr="00F448D6">
        <w:rPr>
          <w:rFonts w:ascii="Times New Roman" w:hAnsi="Times New Roman" w:cs="Times New Roman"/>
          <w:color w:val="000000"/>
          <w:sz w:val="20"/>
          <w:szCs w:val="20"/>
        </w:rPr>
        <w:t>regarded</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would</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appear</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clear</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for</w:t>
      </w:r>
      <w:proofErr w:type="spellEnd"/>
      <w:r w:rsidRPr="00F448D6">
        <w:rPr>
          <w:rFonts w:ascii="Times New Roman" w:hAnsi="Times New Roman" w:cs="Times New Roman"/>
          <w:color w:val="000000"/>
          <w:sz w:val="20"/>
          <w:szCs w:val="20"/>
        </w:rPr>
        <w:t xml:space="preserve"> not </w:t>
      </w:r>
      <w:proofErr w:type="spellStart"/>
      <w:r w:rsidRPr="00F448D6">
        <w:rPr>
          <w:rFonts w:ascii="Times New Roman" w:hAnsi="Times New Roman" w:cs="Times New Roman"/>
          <w:color w:val="000000"/>
          <w:sz w:val="20"/>
          <w:szCs w:val="20"/>
        </w:rPr>
        <w:t>only</w:t>
      </w:r>
      <w:proofErr w:type="spellEnd"/>
      <w:r w:rsidRPr="00F448D6">
        <w:rPr>
          <w:rFonts w:ascii="Times New Roman" w:hAnsi="Times New Roman" w:cs="Times New Roman"/>
          <w:color w:val="000000"/>
          <w:sz w:val="20"/>
          <w:szCs w:val="20"/>
        </w:rPr>
        <w:t xml:space="preserve"> is </w:t>
      </w:r>
      <w:proofErr w:type="spellStart"/>
      <w:r w:rsidRPr="00F448D6">
        <w:rPr>
          <w:rFonts w:ascii="Times New Roman" w:hAnsi="Times New Roman" w:cs="Times New Roman"/>
          <w:color w:val="000000"/>
          <w:sz w:val="20"/>
          <w:szCs w:val="20"/>
        </w:rPr>
        <w:t>there</w:t>
      </w:r>
      <w:proofErr w:type="spellEnd"/>
      <w:r w:rsidRPr="00F448D6">
        <w:rPr>
          <w:rFonts w:ascii="Times New Roman" w:hAnsi="Times New Roman" w:cs="Times New Roman"/>
          <w:color w:val="000000"/>
          <w:sz w:val="20"/>
          <w:szCs w:val="20"/>
        </w:rPr>
        <w:t xml:space="preserve"> a </w:t>
      </w:r>
      <w:proofErr w:type="spellStart"/>
      <w:r w:rsidRPr="00F448D6">
        <w:rPr>
          <w:rFonts w:ascii="Times New Roman" w:hAnsi="Times New Roman" w:cs="Times New Roman"/>
          <w:color w:val="000000"/>
          <w:sz w:val="20"/>
          <w:szCs w:val="20"/>
        </w:rPr>
        <w:t>contractual</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tie</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binding</w:t>
      </w:r>
      <w:proofErr w:type="spellEnd"/>
      <w:r w:rsidRPr="00F448D6">
        <w:rPr>
          <w:rFonts w:ascii="Times New Roman" w:hAnsi="Times New Roman" w:cs="Times New Roman"/>
          <w:color w:val="000000"/>
          <w:sz w:val="20"/>
          <w:szCs w:val="20"/>
        </w:rPr>
        <w:t xml:space="preserve"> in </w:t>
      </w:r>
      <w:proofErr w:type="spellStart"/>
      <w:r w:rsidRPr="00F448D6">
        <w:rPr>
          <w:rFonts w:ascii="Times New Roman" w:hAnsi="Times New Roman" w:cs="Times New Roman"/>
          <w:color w:val="000000"/>
          <w:sz w:val="20"/>
          <w:szCs w:val="20"/>
        </w:rPr>
        <w:t>the</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two</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respects</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observed</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by</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the</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Utah</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court</w:t>
      </w:r>
      <w:proofErr w:type="spellEnd"/>
      <w:r w:rsidRPr="00F448D6">
        <w:rPr>
          <w:rFonts w:ascii="Times New Roman" w:hAnsi="Times New Roman" w:cs="Times New Roman"/>
          <w:color w:val="000000"/>
          <w:sz w:val="20"/>
          <w:szCs w:val="20"/>
        </w:rPr>
        <w:t xml:space="preserve"> but </w:t>
      </w:r>
      <w:proofErr w:type="spellStart"/>
      <w:r w:rsidRPr="00F448D6">
        <w:rPr>
          <w:rFonts w:ascii="Times New Roman" w:hAnsi="Times New Roman" w:cs="Times New Roman"/>
          <w:color w:val="000000"/>
          <w:sz w:val="20"/>
          <w:szCs w:val="20"/>
        </w:rPr>
        <w:t>there</w:t>
      </w:r>
      <w:proofErr w:type="spellEnd"/>
      <w:r w:rsidRPr="00F448D6">
        <w:rPr>
          <w:rFonts w:ascii="Times New Roman" w:hAnsi="Times New Roman" w:cs="Times New Roman"/>
          <w:color w:val="000000"/>
          <w:sz w:val="20"/>
          <w:szCs w:val="20"/>
        </w:rPr>
        <w:t xml:space="preserve"> is as </w:t>
      </w:r>
      <w:proofErr w:type="spellStart"/>
      <w:r w:rsidRPr="00F448D6">
        <w:rPr>
          <w:rFonts w:ascii="Times New Roman" w:hAnsi="Times New Roman" w:cs="Times New Roman"/>
          <w:color w:val="000000"/>
          <w:sz w:val="20"/>
          <w:szCs w:val="20"/>
        </w:rPr>
        <w:t>well</w:t>
      </w:r>
      <w:proofErr w:type="spellEnd"/>
      <w:r w:rsidRPr="00F448D6">
        <w:rPr>
          <w:rFonts w:ascii="Times New Roman" w:hAnsi="Times New Roman" w:cs="Times New Roman"/>
          <w:color w:val="000000"/>
          <w:sz w:val="20"/>
          <w:szCs w:val="20"/>
        </w:rPr>
        <w:t xml:space="preserve"> a </w:t>
      </w:r>
      <w:proofErr w:type="spellStart"/>
      <w:r w:rsidRPr="00F448D6">
        <w:rPr>
          <w:rFonts w:ascii="Times New Roman" w:hAnsi="Times New Roman" w:cs="Times New Roman"/>
          <w:color w:val="000000"/>
          <w:sz w:val="20"/>
          <w:szCs w:val="20"/>
        </w:rPr>
        <w:t>contractual</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relation</w:t>
      </w:r>
      <w:proofErr w:type="spellEnd"/>
      <w:r w:rsidRPr="00F448D6">
        <w:rPr>
          <w:rFonts w:ascii="Times New Roman" w:hAnsi="Times New Roman" w:cs="Times New Roman"/>
          <w:color w:val="000000"/>
          <w:sz w:val="20"/>
          <w:szCs w:val="20"/>
        </w:rPr>
        <w:t xml:space="preserve"> in </w:t>
      </w:r>
      <w:proofErr w:type="spellStart"/>
      <w:r w:rsidRPr="00F448D6">
        <w:rPr>
          <w:rFonts w:ascii="Times New Roman" w:hAnsi="Times New Roman" w:cs="Times New Roman"/>
          <w:color w:val="000000"/>
          <w:sz w:val="20"/>
          <w:szCs w:val="20"/>
        </w:rPr>
        <w:t>many</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particulars</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existing</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between</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the</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stockholders</w:t>
      </w:r>
      <w:proofErr w:type="spellEnd"/>
      <w:r w:rsidRPr="00F448D6">
        <w:rPr>
          <w:rFonts w:ascii="Times New Roman" w:hAnsi="Times New Roman" w:cs="Times New Roman"/>
          <w:color w:val="000000"/>
          <w:sz w:val="20"/>
          <w:szCs w:val="20"/>
        </w:rPr>
        <w:t xml:space="preserve"> </w:t>
      </w:r>
      <w:proofErr w:type="spellStart"/>
      <w:r w:rsidRPr="00F448D6">
        <w:rPr>
          <w:rFonts w:ascii="Times New Roman" w:hAnsi="Times New Roman" w:cs="Times New Roman"/>
          <w:color w:val="000000"/>
          <w:sz w:val="20"/>
          <w:szCs w:val="20"/>
        </w:rPr>
        <w:t>inter</w:t>
      </w:r>
      <w:proofErr w:type="spellEnd"/>
      <w:r w:rsidRPr="00F448D6">
        <w:rPr>
          <w:rFonts w:ascii="Times New Roman" w:hAnsi="Times New Roman" w:cs="Times New Roman"/>
          <w:color w:val="000000"/>
          <w:sz w:val="20"/>
          <w:szCs w:val="20"/>
        </w:rPr>
        <w:t xml:space="preserve"> sese.”</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issue</w:t>
      </w:r>
      <w:proofErr w:type="spellEnd"/>
      <w:r w:rsidRPr="007B7B51">
        <w:rPr>
          <w:rFonts w:ascii="Times New Roman" w:hAnsi="Times New Roman" w:cs="Times New Roman"/>
          <w:sz w:val="20"/>
          <w:szCs w:val="20"/>
        </w:rPr>
        <w:t xml:space="preserve"> is </w:t>
      </w:r>
      <w:proofErr w:type="spellStart"/>
      <w:r w:rsidRPr="007B7B51">
        <w:rPr>
          <w:rFonts w:ascii="Times New Roman" w:hAnsi="Times New Roman" w:cs="Times New Roman"/>
          <w:sz w:val="20"/>
          <w:szCs w:val="20"/>
        </w:rPr>
        <w:t>subject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debate</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Turkish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law</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it is </w:t>
      </w:r>
      <w:proofErr w:type="spellStart"/>
      <w:r w:rsidRPr="007B7B51">
        <w:rPr>
          <w:rFonts w:ascii="Times New Roman" w:hAnsi="Times New Roman" w:cs="Times New Roman"/>
          <w:sz w:val="20"/>
          <w:szCs w:val="20"/>
        </w:rPr>
        <w:t>generally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claimed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there</w:t>
      </w:r>
      <w:proofErr w:type="spellEnd"/>
      <w:r w:rsidRPr="007B7B51">
        <w:rPr>
          <w:rFonts w:ascii="Times New Roman" w:hAnsi="Times New Roman" w:cs="Times New Roman"/>
          <w:sz w:val="20"/>
          <w:szCs w:val="20"/>
        </w:rPr>
        <w:t xml:space="preserve"> is </w:t>
      </w:r>
      <w:proofErr w:type="spellStart"/>
      <w:r w:rsidRPr="007B7B51">
        <w:rPr>
          <w:rFonts w:ascii="Times New Roman" w:hAnsi="Times New Roman" w:cs="Times New Roman"/>
          <w:sz w:val="20"/>
          <w:szCs w:val="20"/>
        </w:rPr>
        <w:t>no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contractual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relationship</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among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them</w:t>
      </w:r>
      <w:proofErr w:type="spellEnd"/>
      <w:r w:rsidRPr="007B7B51">
        <w:rPr>
          <w:rFonts w:ascii="Times New Roman" w:hAnsi="Times New Roman" w:cs="Times New Roman"/>
          <w:sz w:val="20"/>
          <w:szCs w:val="20"/>
        </w:rPr>
        <w:t xml:space="preserve"> (</w:t>
      </w:r>
      <w:r w:rsidRPr="00F448D6">
        <w:rPr>
          <w:rFonts w:ascii="Times New Roman" w:hAnsi="Times New Roman" w:cs="Times New Roman"/>
          <w:sz w:val="20"/>
          <w:szCs w:val="20"/>
        </w:rPr>
        <w:t xml:space="preserve">N. </w:t>
      </w:r>
      <w:proofErr w:type="spellStart"/>
      <w:r w:rsidRPr="00F448D6">
        <w:rPr>
          <w:rFonts w:ascii="Times New Roman" w:hAnsi="Times New Roman" w:cs="Times New Roman"/>
          <w:sz w:val="20"/>
          <w:szCs w:val="20"/>
        </w:rPr>
        <w:t>Fusun</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Nomer</w:t>
      </w:r>
      <w:proofErr w:type="spellEnd"/>
      <w:r w:rsidRPr="00F448D6">
        <w:rPr>
          <w:rFonts w:ascii="Times New Roman" w:hAnsi="Times New Roman" w:cs="Times New Roman"/>
          <w:sz w:val="20"/>
          <w:szCs w:val="20"/>
        </w:rPr>
        <w:t xml:space="preserve">, </w:t>
      </w:r>
      <w:r w:rsidRPr="00F448D6">
        <w:rPr>
          <w:rFonts w:ascii="Times New Roman" w:hAnsi="Times New Roman" w:cs="Times New Roman"/>
          <w:i/>
          <w:sz w:val="20"/>
          <w:szCs w:val="20"/>
        </w:rPr>
        <w:t xml:space="preserve">Anonim </w:t>
      </w:r>
      <w:proofErr w:type="spellStart"/>
      <w:r w:rsidRPr="00F448D6">
        <w:rPr>
          <w:rFonts w:ascii="Times New Roman" w:hAnsi="Times New Roman" w:cs="Times New Roman"/>
          <w:i/>
          <w:sz w:val="20"/>
          <w:szCs w:val="20"/>
        </w:rPr>
        <w:t>Ortaklikta</w:t>
      </w:r>
      <w:proofErr w:type="spellEnd"/>
      <w:r w:rsidRPr="00F448D6">
        <w:rPr>
          <w:rFonts w:ascii="Times New Roman" w:hAnsi="Times New Roman" w:cs="Times New Roman"/>
          <w:i/>
          <w:sz w:val="20"/>
          <w:szCs w:val="20"/>
        </w:rPr>
        <w:t xml:space="preserve"> Pay Sahibinin Sadakat </w:t>
      </w:r>
      <w:proofErr w:type="spellStart"/>
      <w:r w:rsidRPr="00F448D6">
        <w:rPr>
          <w:rFonts w:ascii="Times New Roman" w:hAnsi="Times New Roman" w:cs="Times New Roman"/>
          <w:i/>
          <w:sz w:val="20"/>
          <w:szCs w:val="20"/>
        </w:rPr>
        <w:t>Yukumlulugu</w:t>
      </w:r>
      <w:proofErr w:type="spellEnd"/>
      <w:r w:rsidRPr="00F448D6">
        <w:rPr>
          <w:rFonts w:ascii="Times New Roman" w:hAnsi="Times New Roman" w:cs="Times New Roman"/>
          <w:sz w:val="20"/>
          <w:szCs w:val="20"/>
        </w:rPr>
        <w:t xml:space="preserve"> 81, </w:t>
      </w:r>
      <w:proofErr w:type="spellStart"/>
      <w:r w:rsidRPr="00F448D6">
        <w:rPr>
          <w:rFonts w:ascii="Times New Roman" w:hAnsi="Times New Roman" w:cs="Times New Roman"/>
          <w:sz w:val="20"/>
          <w:szCs w:val="20"/>
        </w:rPr>
        <w:t>Doctoral</w:t>
      </w:r>
      <w:proofErr w:type="spellEnd"/>
      <w:r w:rsidRPr="00F448D6">
        <w:rPr>
          <w:rFonts w:ascii="Times New Roman" w:hAnsi="Times New Roman" w:cs="Times New Roman"/>
          <w:sz w:val="20"/>
          <w:szCs w:val="20"/>
        </w:rPr>
        <w:t xml:space="preserve"> </w:t>
      </w:r>
      <w:proofErr w:type="spellStart"/>
      <w:r w:rsidRPr="00F448D6">
        <w:rPr>
          <w:rFonts w:ascii="Times New Roman" w:hAnsi="Times New Roman" w:cs="Times New Roman"/>
          <w:sz w:val="20"/>
          <w:szCs w:val="20"/>
        </w:rPr>
        <w:t>Dissertation</w:t>
      </w:r>
      <w:proofErr w:type="spellEnd"/>
      <w:r w:rsidRPr="00F448D6">
        <w:rPr>
          <w:rFonts w:ascii="Times New Roman" w:hAnsi="Times New Roman" w:cs="Times New Roman"/>
          <w:sz w:val="20"/>
          <w:szCs w:val="20"/>
        </w:rPr>
        <w:t xml:space="preserve"> (1998)</w:t>
      </w:r>
      <w:r w:rsidRPr="007B7B51">
        <w:rPr>
          <w:rFonts w:ascii="Times New Roman" w:hAnsi="Times New Roman" w:cs="Times New Roman"/>
          <w:sz w:val="20"/>
          <w:szCs w:val="20"/>
        </w:rPr>
        <w:t xml:space="preserve">). </w:t>
      </w:r>
    </w:p>
  </w:footnote>
  <w:footnote w:id="249">
    <w:p w14:paraId="4A66D5DB" w14:textId="0CABB4B3" w:rsidR="00D36541" w:rsidRPr="009975EA" w:rsidRDefault="00D36541" w:rsidP="00F448D6">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2002</w:t>
      </w:r>
      <w:r>
        <w:rPr>
          <w:rFonts w:ascii="Times New Roman" w:hAnsi="Times New Roman" w:cs="Times New Roman"/>
          <w:sz w:val="20"/>
          <w:szCs w:val="20"/>
        </w:rPr>
        <w:t>/706 K. 2002/3409 T. 11/04/2002</w:t>
      </w:r>
      <w:r w:rsidRPr="009975EA">
        <w:rPr>
          <w:rFonts w:ascii="Times New Roman" w:hAnsi="Times New Roman" w:cs="Times New Roman"/>
          <w:sz w:val="20"/>
          <w:szCs w:val="20"/>
        </w:rPr>
        <w:t>: “If the shareholders… engaged in malicious transactions, these issues can only be made subject of an involuntary dissolution or compensation claim.”</w:t>
      </w:r>
    </w:p>
  </w:footnote>
  <w:footnote w:id="250">
    <w:p w14:paraId="76B7077C" w14:textId="2A861B6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Official Gazette Number: 24607 Date: 08/12/2001.</w:t>
      </w:r>
    </w:p>
  </w:footnote>
  <w:footnote w:id="251">
    <w:p w14:paraId="3F0B92A9" w14:textId="623286E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Official Gazette Number: 27836 Date: 04//02/2011.</w:t>
      </w:r>
    </w:p>
  </w:footnote>
  <w:footnote w:id="252">
    <w:p w14:paraId="65D3A1F6" w14:textId="090BE6B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Erdogan </w:t>
      </w:r>
      <w:proofErr w:type="spellStart"/>
      <w:r w:rsidRPr="009975EA">
        <w:rPr>
          <w:rFonts w:ascii="Times New Roman" w:hAnsi="Times New Roman" w:cs="Times New Roman"/>
          <w:sz w:val="20"/>
          <w:szCs w:val="20"/>
        </w:rPr>
        <w:t>Moroglu</w:t>
      </w:r>
      <w:proofErr w:type="spellEnd"/>
      <w:r w:rsidRPr="009975EA">
        <w:rPr>
          <w:rFonts w:ascii="Times New Roman" w:hAnsi="Times New Roman" w:cs="Times New Roman"/>
          <w:sz w:val="20"/>
          <w:szCs w:val="20"/>
        </w:rPr>
        <w:t xml:space="preserve">, </w:t>
      </w:r>
      <w:proofErr w:type="spellStart"/>
      <w:r w:rsidRPr="006F5205">
        <w:rPr>
          <w:rFonts w:ascii="Times New Roman" w:hAnsi="Times New Roman" w:cs="Times New Roman"/>
          <w:i/>
          <w:sz w:val="20"/>
          <w:szCs w:val="20"/>
        </w:rPr>
        <w:t>Anonim</w:t>
      </w:r>
      <w:proofErr w:type="spellEnd"/>
      <w:r w:rsidRPr="006F5205">
        <w:rPr>
          <w:rFonts w:ascii="Times New Roman" w:hAnsi="Times New Roman" w:cs="Times New Roman"/>
          <w:i/>
          <w:sz w:val="20"/>
          <w:szCs w:val="20"/>
        </w:rPr>
        <w:t xml:space="preserve"> </w:t>
      </w:r>
      <w:proofErr w:type="spellStart"/>
      <w:r w:rsidRPr="006F5205">
        <w:rPr>
          <w:rFonts w:ascii="Times New Roman" w:hAnsi="Times New Roman" w:cs="Times New Roman"/>
          <w:i/>
          <w:sz w:val="20"/>
          <w:szCs w:val="20"/>
        </w:rPr>
        <w:t>Ortaklikta</w:t>
      </w:r>
      <w:proofErr w:type="spellEnd"/>
      <w:r w:rsidRPr="006F5205">
        <w:rPr>
          <w:rFonts w:ascii="Times New Roman" w:hAnsi="Times New Roman" w:cs="Times New Roman"/>
          <w:i/>
          <w:sz w:val="20"/>
          <w:szCs w:val="20"/>
        </w:rPr>
        <w:t xml:space="preserve"> </w:t>
      </w:r>
      <w:proofErr w:type="spellStart"/>
      <w:r w:rsidRPr="006F5205">
        <w:rPr>
          <w:rFonts w:ascii="Times New Roman" w:hAnsi="Times New Roman" w:cs="Times New Roman"/>
          <w:i/>
          <w:sz w:val="20"/>
          <w:szCs w:val="20"/>
        </w:rPr>
        <w:t>Cogunluk</w:t>
      </w:r>
      <w:proofErr w:type="spellEnd"/>
      <w:r w:rsidRPr="006F5205">
        <w:rPr>
          <w:rFonts w:ascii="Times New Roman" w:hAnsi="Times New Roman" w:cs="Times New Roman"/>
          <w:i/>
          <w:sz w:val="20"/>
          <w:szCs w:val="20"/>
        </w:rPr>
        <w:t xml:space="preserve"> Pay </w:t>
      </w:r>
      <w:proofErr w:type="spellStart"/>
      <w:r w:rsidRPr="006F5205">
        <w:rPr>
          <w:rFonts w:ascii="Times New Roman" w:hAnsi="Times New Roman" w:cs="Times New Roman"/>
          <w:i/>
          <w:sz w:val="20"/>
          <w:szCs w:val="20"/>
        </w:rPr>
        <w:t>Sahiplerinin</w:t>
      </w:r>
      <w:proofErr w:type="spellEnd"/>
      <w:r w:rsidRPr="006F5205">
        <w:rPr>
          <w:rFonts w:ascii="Times New Roman" w:hAnsi="Times New Roman" w:cs="Times New Roman"/>
          <w:i/>
          <w:sz w:val="20"/>
          <w:szCs w:val="20"/>
        </w:rPr>
        <w:t xml:space="preserve"> </w:t>
      </w:r>
      <w:proofErr w:type="spellStart"/>
      <w:r w:rsidRPr="006F5205">
        <w:rPr>
          <w:rFonts w:ascii="Times New Roman" w:hAnsi="Times New Roman" w:cs="Times New Roman"/>
          <w:i/>
          <w:sz w:val="20"/>
          <w:szCs w:val="20"/>
        </w:rPr>
        <w:t>Azinlik</w:t>
      </w:r>
      <w:proofErr w:type="spellEnd"/>
      <w:r w:rsidRPr="006F5205">
        <w:rPr>
          <w:rFonts w:ascii="Times New Roman" w:hAnsi="Times New Roman" w:cs="Times New Roman"/>
          <w:i/>
          <w:sz w:val="20"/>
          <w:szCs w:val="20"/>
        </w:rPr>
        <w:t xml:space="preserve"> ve </w:t>
      </w:r>
      <w:proofErr w:type="spellStart"/>
      <w:r w:rsidRPr="006F5205">
        <w:rPr>
          <w:rFonts w:ascii="Times New Roman" w:hAnsi="Times New Roman" w:cs="Times New Roman"/>
          <w:i/>
          <w:sz w:val="20"/>
          <w:szCs w:val="20"/>
        </w:rPr>
        <w:t>Imtiyazli</w:t>
      </w:r>
      <w:proofErr w:type="spellEnd"/>
      <w:r w:rsidRPr="006F5205">
        <w:rPr>
          <w:rFonts w:ascii="Times New Roman" w:hAnsi="Times New Roman" w:cs="Times New Roman"/>
          <w:i/>
          <w:sz w:val="20"/>
          <w:szCs w:val="20"/>
        </w:rPr>
        <w:t xml:space="preserve"> Pay </w:t>
      </w:r>
      <w:proofErr w:type="spellStart"/>
      <w:r w:rsidRPr="006F5205">
        <w:rPr>
          <w:rFonts w:ascii="Times New Roman" w:hAnsi="Times New Roman" w:cs="Times New Roman"/>
          <w:i/>
          <w:sz w:val="20"/>
          <w:szCs w:val="20"/>
        </w:rPr>
        <w:t>Sahiplerine</w:t>
      </w:r>
      <w:proofErr w:type="spellEnd"/>
      <w:r w:rsidRPr="006F5205">
        <w:rPr>
          <w:rFonts w:ascii="Times New Roman" w:hAnsi="Times New Roman" w:cs="Times New Roman"/>
          <w:i/>
          <w:sz w:val="20"/>
          <w:szCs w:val="20"/>
        </w:rPr>
        <w:t xml:space="preserve"> </w:t>
      </w:r>
      <w:proofErr w:type="spellStart"/>
      <w:r w:rsidRPr="006F5205">
        <w:rPr>
          <w:rFonts w:ascii="Times New Roman" w:hAnsi="Times New Roman" w:cs="Times New Roman"/>
          <w:i/>
          <w:sz w:val="20"/>
          <w:szCs w:val="20"/>
        </w:rPr>
        <w:t>Karsi</w:t>
      </w:r>
      <w:proofErr w:type="spellEnd"/>
      <w:r w:rsidRPr="006F5205">
        <w:rPr>
          <w:rFonts w:ascii="Times New Roman" w:hAnsi="Times New Roman" w:cs="Times New Roman"/>
          <w:i/>
          <w:sz w:val="20"/>
          <w:szCs w:val="20"/>
        </w:rPr>
        <w:t xml:space="preserve"> </w:t>
      </w:r>
      <w:proofErr w:type="spellStart"/>
      <w:r w:rsidRPr="006F5205">
        <w:rPr>
          <w:rFonts w:ascii="Times New Roman" w:hAnsi="Times New Roman" w:cs="Times New Roman"/>
          <w:i/>
          <w:sz w:val="20"/>
          <w:szCs w:val="20"/>
        </w:rPr>
        <w:t>Korunmasi</w:t>
      </w:r>
      <w:proofErr w:type="spellEnd"/>
      <w:r w:rsidRPr="009975EA">
        <w:rPr>
          <w:rFonts w:ascii="Times New Roman" w:hAnsi="Times New Roman" w:cs="Times New Roman"/>
          <w:sz w:val="20"/>
          <w:szCs w:val="20"/>
        </w:rPr>
        <w:t xml:space="preserve">, 17 </w:t>
      </w:r>
      <w:r>
        <w:rPr>
          <w:rFonts w:ascii="Times New Roman" w:hAnsi="Times New Roman" w:cs="Times New Roman"/>
          <w:sz w:val="20"/>
          <w:szCs w:val="20"/>
        </w:rPr>
        <w:t xml:space="preserve">Banka </w:t>
      </w:r>
      <w:proofErr w:type="spellStart"/>
      <w:r>
        <w:rPr>
          <w:rFonts w:ascii="Times New Roman" w:hAnsi="Times New Roman" w:cs="Times New Roman"/>
          <w:sz w:val="20"/>
          <w:szCs w:val="20"/>
        </w:rPr>
        <w:t>Huk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47 (1993), at </w:t>
      </w:r>
      <w:r w:rsidRPr="009975EA">
        <w:rPr>
          <w:rFonts w:ascii="Times New Roman" w:hAnsi="Times New Roman" w:cs="Times New Roman"/>
          <w:sz w:val="20"/>
          <w:szCs w:val="20"/>
        </w:rPr>
        <w:t>52- 53.</w:t>
      </w:r>
    </w:p>
  </w:footnote>
  <w:footnote w:id="253">
    <w:p w14:paraId="5EE8043B" w14:textId="44322F6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Tugrul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Ansay</w:t>
      </w:r>
      <w:proofErr w:type="spellEnd"/>
      <w:r w:rsidRPr="009975EA">
        <w:rPr>
          <w:rFonts w:ascii="Times New Roman" w:hAnsi="Times New Roman" w:cs="Times New Roman"/>
          <w:sz w:val="20"/>
          <w:szCs w:val="20"/>
        </w:rPr>
        <w:t xml:space="preserve">, </w:t>
      </w:r>
      <w:proofErr w:type="spellStart"/>
      <w:r w:rsidRPr="006F5205">
        <w:rPr>
          <w:rFonts w:ascii="Times New Roman" w:hAnsi="Times New Roman" w:cs="Times New Roman"/>
          <w:i/>
          <w:sz w:val="20"/>
          <w:szCs w:val="20"/>
        </w:rPr>
        <w:t>Anonim</w:t>
      </w:r>
      <w:proofErr w:type="spellEnd"/>
      <w:r w:rsidRPr="006F5205">
        <w:rPr>
          <w:rFonts w:ascii="Times New Roman" w:hAnsi="Times New Roman" w:cs="Times New Roman"/>
          <w:i/>
          <w:sz w:val="20"/>
          <w:szCs w:val="20"/>
        </w:rPr>
        <w:t xml:space="preserve"> </w:t>
      </w:r>
      <w:proofErr w:type="spellStart"/>
      <w:r w:rsidRPr="006F5205">
        <w:rPr>
          <w:rFonts w:ascii="Times New Roman" w:hAnsi="Times New Roman" w:cs="Times New Roman"/>
          <w:i/>
          <w:sz w:val="20"/>
          <w:szCs w:val="20"/>
        </w:rPr>
        <w:t>Sirket</w:t>
      </w:r>
      <w:proofErr w:type="spellEnd"/>
      <w:r w:rsidRPr="006F5205">
        <w:rPr>
          <w:rFonts w:ascii="Times New Roman" w:hAnsi="Times New Roman" w:cs="Times New Roman"/>
          <w:i/>
          <w:sz w:val="20"/>
          <w:szCs w:val="20"/>
        </w:rPr>
        <w:t xml:space="preserve"> </w:t>
      </w:r>
      <w:proofErr w:type="spellStart"/>
      <w:r w:rsidRPr="006F5205">
        <w:rPr>
          <w:rFonts w:ascii="Times New Roman" w:hAnsi="Times New Roman" w:cs="Times New Roman"/>
          <w:i/>
          <w:sz w:val="20"/>
          <w:szCs w:val="20"/>
        </w:rPr>
        <w:t>Idare</w:t>
      </w:r>
      <w:proofErr w:type="spellEnd"/>
      <w:r w:rsidRPr="006F5205">
        <w:rPr>
          <w:rFonts w:ascii="Times New Roman" w:hAnsi="Times New Roman" w:cs="Times New Roman"/>
          <w:i/>
          <w:sz w:val="20"/>
          <w:szCs w:val="20"/>
        </w:rPr>
        <w:t xml:space="preserve"> </w:t>
      </w:r>
      <w:proofErr w:type="spellStart"/>
      <w:r w:rsidRPr="006F5205">
        <w:rPr>
          <w:rFonts w:ascii="Times New Roman" w:hAnsi="Times New Roman" w:cs="Times New Roman"/>
          <w:i/>
          <w:sz w:val="20"/>
          <w:szCs w:val="20"/>
        </w:rPr>
        <w:t>Meclisi</w:t>
      </w:r>
      <w:proofErr w:type="spellEnd"/>
      <w:r w:rsidRPr="006F5205">
        <w:rPr>
          <w:rFonts w:ascii="Times New Roman" w:hAnsi="Times New Roman" w:cs="Times New Roman"/>
          <w:i/>
          <w:sz w:val="20"/>
          <w:szCs w:val="20"/>
        </w:rPr>
        <w:t xml:space="preserve"> </w:t>
      </w:r>
      <w:proofErr w:type="spellStart"/>
      <w:r w:rsidRPr="006F5205">
        <w:rPr>
          <w:rFonts w:ascii="Times New Roman" w:hAnsi="Times New Roman" w:cs="Times New Roman"/>
          <w:i/>
          <w:sz w:val="20"/>
          <w:szCs w:val="20"/>
        </w:rPr>
        <w:t>Kararlarinin</w:t>
      </w:r>
      <w:proofErr w:type="spellEnd"/>
      <w:r w:rsidRPr="006F5205">
        <w:rPr>
          <w:rFonts w:ascii="Times New Roman" w:hAnsi="Times New Roman" w:cs="Times New Roman"/>
          <w:i/>
          <w:sz w:val="20"/>
          <w:szCs w:val="20"/>
        </w:rPr>
        <w:t xml:space="preserve"> </w:t>
      </w:r>
      <w:proofErr w:type="spellStart"/>
      <w:r w:rsidRPr="006F5205">
        <w:rPr>
          <w:rFonts w:ascii="Times New Roman" w:hAnsi="Times New Roman" w:cs="Times New Roman"/>
          <w:i/>
          <w:sz w:val="20"/>
          <w:szCs w:val="20"/>
        </w:rPr>
        <w:t>Iptali</w:t>
      </w:r>
      <w:proofErr w:type="spellEnd"/>
      <w:r w:rsidRPr="006F5205">
        <w:rPr>
          <w:rFonts w:ascii="Times New Roman" w:hAnsi="Times New Roman" w:cs="Times New Roman"/>
          <w:i/>
          <w:sz w:val="20"/>
          <w:szCs w:val="20"/>
        </w:rPr>
        <w:t xml:space="preserve"> </w:t>
      </w:r>
      <w:proofErr w:type="spellStart"/>
      <w:r w:rsidRPr="006F5205">
        <w:rPr>
          <w:rFonts w:ascii="Times New Roman" w:hAnsi="Times New Roman" w:cs="Times New Roman"/>
          <w:i/>
          <w:sz w:val="20"/>
          <w:szCs w:val="20"/>
        </w:rPr>
        <w:t>Meselesi</w:t>
      </w:r>
      <w:proofErr w:type="spellEnd"/>
      <w:r w:rsidRPr="009975EA">
        <w:rPr>
          <w:rFonts w:ascii="Times New Roman" w:hAnsi="Times New Roman" w:cs="Times New Roman"/>
          <w:sz w:val="20"/>
          <w:szCs w:val="20"/>
        </w:rPr>
        <w:t xml:space="preserve">, 2 </w:t>
      </w:r>
      <w:r>
        <w:rPr>
          <w:rFonts w:ascii="Times New Roman" w:hAnsi="Times New Roman" w:cs="Times New Roman"/>
          <w:sz w:val="20"/>
          <w:szCs w:val="20"/>
        </w:rPr>
        <w:t xml:space="preserve">Banka </w:t>
      </w:r>
      <w:proofErr w:type="spellStart"/>
      <w:r>
        <w:rPr>
          <w:rFonts w:ascii="Times New Roman" w:hAnsi="Times New Roman" w:cs="Times New Roman"/>
          <w:sz w:val="20"/>
          <w:szCs w:val="20"/>
        </w:rPr>
        <w:t>Huk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371 (1964) at</w:t>
      </w:r>
      <w:r w:rsidRPr="009975EA">
        <w:rPr>
          <w:rFonts w:ascii="Times New Roman" w:hAnsi="Times New Roman" w:cs="Times New Roman"/>
          <w:sz w:val="20"/>
          <w:szCs w:val="20"/>
        </w:rPr>
        <w:t>.382.</w:t>
      </w:r>
    </w:p>
  </w:footnote>
  <w:footnote w:id="254">
    <w:p w14:paraId="44DF3E82" w14:textId="51BA78E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Moroglu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Ortaklikta</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Cogunluk</w:t>
      </w:r>
      <w:proofErr w:type="spellEnd"/>
      <w:r w:rsidRPr="009975EA">
        <w:rPr>
          <w:rFonts w:ascii="Times New Roman" w:hAnsi="Times New Roman" w:cs="Times New Roman"/>
          <w:sz w:val="20"/>
          <w:szCs w:val="20"/>
        </w:rPr>
        <w:t xml:space="preserve">, p.54. The Dutch case of Kip and </w:t>
      </w:r>
      <w:proofErr w:type="spellStart"/>
      <w:r w:rsidRPr="009975EA">
        <w:rPr>
          <w:rFonts w:ascii="Times New Roman" w:hAnsi="Times New Roman" w:cs="Times New Roman"/>
          <w:sz w:val="20"/>
          <w:szCs w:val="20"/>
        </w:rPr>
        <w:t>Sloetjes</w:t>
      </w:r>
      <w:proofErr w:type="spellEnd"/>
      <w:r w:rsidRPr="009975EA">
        <w:rPr>
          <w:rFonts w:ascii="Times New Roman" w:hAnsi="Times New Roman" w:cs="Times New Roman"/>
          <w:sz w:val="20"/>
          <w:szCs w:val="20"/>
        </w:rPr>
        <w:t xml:space="preserve"> v. Rabobank [NJ 1997, 662 (HR 1997)] presents a good example of this issue. “In this case a bank negligently withdrew credit from a group of corporations, and subsequently forced the shareholders- who personally had granted security for the obligations of the corp</w:t>
      </w:r>
      <w:r>
        <w:rPr>
          <w:rFonts w:ascii="Times New Roman" w:hAnsi="Times New Roman" w:cs="Times New Roman"/>
          <w:sz w:val="20"/>
          <w:szCs w:val="20"/>
        </w:rPr>
        <w:t>oration- to sell their shares” (</w:t>
      </w:r>
      <w:r w:rsidRPr="009975EA">
        <w:rPr>
          <w:rFonts w:ascii="Times New Roman" w:hAnsi="Times New Roman" w:cs="Times New Roman"/>
          <w:sz w:val="20"/>
          <w:szCs w:val="20"/>
        </w:rPr>
        <w:t xml:space="preserve">Karel </w:t>
      </w:r>
      <w:proofErr w:type="spellStart"/>
      <w:r w:rsidRPr="009975EA">
        <w:rPr>
          <w:rFonts w:ascii="Times New Roman" w:hAnsi="Times New Roman" w:cs="Times New Roman"/>
          <w:sz w:val="20"/>
          <w:szCs w:val="20"/>
        </w:rPr>
        <w:t>Frielink</w:t>
      </w:r>
      <w:proofErr w:type="spellEnd"/>
      <w:r w:rsidRPr="009975EA">
        <w:rPr>
          <w:rFonts w:ascii="Times New Roman" w:hAnsi="Times New Roman" w:cs="Times New Roman"/>
          <w:sz w:val="20"/>
          <w:szCs w:val="20"/>
        </w:rPr>
        <w:t xml:space="preserve">, </w:t>
      </w:r>
      <w:r w:rsidRPr="006F5205">
        <w:rPr>
          <w:rFonts w:ascii="Times New Roman" w:hAnsi="Times New Roman" w:cs="Times New Roman"/>
          <w:i/>
          <w:sz w:val="20"/>
          <w:szCs w:val="20"/>
        </w:rPr>
        <w:t>No Derivative Action in Curacao: A claim based on tort is possible though</w:t>
      </w:r>
      <w:r w:rsidRPr="009975EA">
        <w:rPr>
          <w:rFonts w:ascii="Times New Roman" w:hAnsi="Times New Roman" w:cs="Times New Roman"/>
          <w:sz w:val="20"/>
          <w:szCs w:val="20"/>
        </w:rPr>
        <w:t xml:space="preserve">, Karel’s Legal Blog, 02/09/2015,  </w:t>
      </w:r>
      <w:hyperlink r:id="rId59" w:history="1">
        <w:r w:rsidRPr="00C60D5E">
          <w:rPr>
            <w:rStyle w:val="Kpr"/>
            <w:rFonts w:ascii="Times New Roman" w:hAnsi="Times New Roman" w:cs="Times New Roman"/>
            <w:sz w:val="20"/>
            <w:szCs w:val="20"/>
          </w:rPr>
          <w:t>http://www.curacao-law.com/2015/09/02/no-derivative-action-in-curacao/</w:t>
        </w:r>
      </w:hyperlink>
      <w:r>
        <w:rPr>
          <w:rFonts w:ascii="Times New Roman" w:hAnsi="Times New Roman" w:cs="Times New Roman"/>
          <w:sz w:val="20"/>
          <w:szCs w:val="20"/>
        </w:rPr>
        <w:t xml:space="preserve"> (Last visited: 10/10/2016)</w:t>
      </w:r>
      <w:r w:rsidRPr="009975EA">
        <w:rPr>
          <w:rFonts w:ascii="Times New Roman" w:hAnsi="Times New Roman" w:cs="Times New Roman"/>
          <w:sz w:val="20"/>
          <w:szCs w:val="20"/>
        </w:rPr>
        <w:t>). The case involved “a claim for damages by shareholders against a third party on the basis of an alleged wrong to the shareholders in their own right which had allegedly forced them to sell their shares at a very disadvantageous price”, the court “affirmed shareholders’ right in principle to claim damages for an individual injury” and “considered, inter alia, that in the case concerned, payment of damages to the corporation would not repair the shareholder’s alleged injury (viz. the loss resulting from the sale of their shares)” (</w:t>
      </w:r>
      <w:proofErr w:type="spellStart"/>
      <w:r w:rsidRPr="009975EA">
        <w:rPr>
          <w:rFonts w:ascii="Times New Roman" w:hAnsi="Times New Roman" w:cs="Times New Roman"/>
          <w:sz w:val="20"/>
          <w:szCs w:val="20"/>
        </w:rPr>
        <w:t>Wouter</w:t>
      </w:r>
      <w:proofErr w:type="spellEnd"/>
      <w:r w:rsidRPr="009975EA">
        <w:rPr>
          <w:rFonts w:ascii="Times New Roman" w:hAnsi="Times New Roman" w:cs="Times New Roman"/>
          <w:sz w:val="20"/>
          <w:szCs w:val="20"/>
        </w:rPr>
        <w:t xml:space="preserve"> H.F.M. </w:t>
      </w:r>
      <w:proofErr w:type="spellStart"/>
      <w:r w:rsidRPr="009975EA">
        <w:rPr>
          <w:rFonts w:ascii="Times New Roman" w:hAnsi="Times New Roman" w:cs="Times New Roman"/>
          <w:sz w:val="20"/>
          <w:szCs w:val="20"/>
        </w:rPr>
        <w:t>Cortenraad</w:t>
      </w:r>
      <w:proofErr w:type="spellEnd"/>
      <w:r w:rsidRPr="009975EA">
        <w:rPr>
          <w:rFonts w:ascii="Times New Roman" w:hAnsi="Times New Roman" w:cs="Times New Roman"/>
          <w:sz w:val="20"/>
          <w:szCs w:val="20"/>
        </w:rPr>
        <w:t xml:space="preserve">, </w:t>
      </w:r>
      <w:r w:rsidRPr="00467DB8">
        <w:rPr>
          <w:rFonts w:ascii="Times New Roman" w:hAnsi="Times New Roman" w:cs="Times New Roman"/>
          <w:i/>
          <w:sz w:val="20"/>
          <w:szCs w:val="20"/>
        </w:rPr>
        <w:t>The Corporate Paradox: Economic Realities of the Corporate Form of Organization</w:t>
      </w:r>
      <w:r>
        <w:rPr>
          <w:rFonts w:ascii="Times New Roman" w:hAnsi="Times New Roman" w:cs="Times New Roman"/>
          <w:sz w:val="20"/>
          <w:szCs w:val="20"/>
        </w:rPr>
        <w:t xml:space="preserve"> 242</w:t>
      </w:r>
      <w:r w:rsidRPr="009975EA">
        <w:rPr>
          <w:rFonts w:ascii="Times New Roman" w:hAnsi="Times New Roman" w:cs="Times New Roman"/>
          <w:sz w:val="20"/>
          <w:szCs w:val="20"/>
        </w:rPr>
        <w:t xml:space="preserve"> </w:t>
      </w:r>
      <w:r>
        <w:rPr>
          <w:rFonts w:ascii="Times New Roman" w:hAnsi="Times New Roman" w:cs="Times New Roman"/>
          <w:sz w:val="20"/>
          <w:szCs w:val="20"/>
        </w:rPr>
        <w:t>(</w:t>
      </w:r>
      <w:r w:rsidRPr="009975EA">
        <w:rPr>
          <w:rFonts w:ascii="Times New Roman" w:hAnsi="Times New Roman" w:cs="Times New Roman"/>
          <w:sz w:val="20"/>
          <w:szCs w:val="20"/>
        </w:rPr>
        <w:t>2001</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255">
    <w:p w14:paraId="30D8FD72" w14:textId="1E19A48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Ali </w:t>
      </w:r>
      <w:proofErr w:type="spellStart"/>
      <w:r w:rsidRPr="009975EA">
        <w:rPr>
          <w:rFonts w:ascii="Times New Roman" w:hAnsi="Times New Roman" w:cs="Times New Roman"/>
          <w:sz w:val="20"/>
          <w:szCs w:val="20"/>
        </w:rPr>
        <w:t>Pasli</w:t>
      </w:r>
      <w:proofErr w:type="spellEnd"/>
      <w:r w:rsidRPr="009975EA">
        <w:rPr>
          <w:rFonts w:ascii="Times New Roman" w:hAnsi="Times New Roman" w:cs="Times New Roman"/>
          <w:sz w:val="20"/>
          <w:szCs w:val="20"/>
        </w:rPr>
        <w:t>,</w:t>
      </w:r>
      <w:r w:rsidRPr="006F5205">
        <w:rPr>
          <w:rFonts w:ascii="Times New Roman" w:hAnsi="Times New Roman" w:cs="Times New Roman"/>
          <w:i/>
          <w:sz w:val="20"/>
          <w:szCs w:val="20"/>
        </w:rPr>
        <w:t xml:space="preserve"> Special Status of Controllers of Joint Stock Corporations</w:t>
      </w:r>
      <w:r w:rsidRPr="009975EA">
        <w:rPr>
          <w:rFonts w:ascii="Times New Roman" w:hAnsi="Times New Roman" w:cs="Times New Roman"/>
          <w:sz w:val="20"/>
          <w:szCs w:val="20"/>
        </w:rPr>
        <w:t xml:space="preserve">, </w:t>
      </w:r>
      <w:hyperlink r:id="rId60" w:history="1">
        <w:r w:rsidRPr="009975EA">
          <w:rPr>
            <w:rStyle w:val="Kpr"/>
            <w:rFonts w:ascii="Times New Roman" w:hAnsi="Times New Roman" w:cs="Times New Roman"/>
            <w:sz w:val="20"/>
            <w:szCs w:val="20"/>
          </w:rPr>
          <w:t>http://www.journals.istanbul.edu.tr/iuhfm/article/download/1023010512/1023009749</w:t>
        </w:r>
      </w:hyperlink>
      <w:r w:rsidRPr="009975EA">
        <w:rPr>
          <w:rFonts w:ascii="Times New Roman" w:hAnsi="Times New Roman" w:cs="Times New Roman"/>
          <w:color w:val="13009B"/>
          <w:sz w:val="20"/>
          <w:szCs w:val="20"/>
        </w:rPr>
        <w:t xml:space="preserve"> </w:t>
      </w:r>
      <w:r w:rsidRPr="009975EA">
        <w:rPr>
          <w:rFonts w:ascii="Times New Roman" w:hAnsi="Times New Roman" w:cs="Times New Roman"/>
          <w:sz w:val="20"/>
          <w:szCs w:val="20"/>
        </w:rPr>
        <w:t>(Last visited: 10/10/2015)).</w:t>
      </w:r>
    </w:p>
    <w:p w14:paraId="58C9793A" w14:textId="05A72AEE" w:rsidR="00D36541" w:rsidRPr="009975EA" w:rsidRDefault="00D36541" w:rsidP="009975EA">
      <w:pPr>
        <w:pStyle w:val="DipnotMetni"/>
        <w:jc w:val="both"/>
        <w:rPr>
          <w:rFonts w:ascii="Times New Roman" w:hAnsi="Times New Roman" w:cs="Times New Roman"/>
          <w:sz w:val="20"/>
          <w:szCs w:val="20"/>
        </w:rPr>
      </w:pPr>
      <w:r w:rsidRPr="009975EA">
        <w:rPr>
          <w:rFonts w:ascii="Times New Roman" w:hAnsi="Times New Roman" w:cs="Times New Roman"/>
          <w:sz w:val="20"/>
          <w:szCs w:val="20"/>
          <w:lang w:val="tr-TR"/>
        </w:rPr>
        <w:t>“</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instance</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controlling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shareholders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groups</w:t>
      </w:r>
      <w:proofErr w:type="spellEnd"/>
      <w:r w:rsidRPr="009975EA">
        <w:rPr>
          <w:rFonts w:ascii="Times New Roman" w:hAnsi="Times New Roman" w:cs="Times New Roman"/>
          <w:color w:val="000000"/>
          <w:sz w:val="20"/>
          <w:szCs w:val="20"/>
          <w:lang w:val="tr-TR"/>
        </w:rPr>
        <w:t xml:space="preserve"> has in </w:t>
      </w:r>
      <w:proofErr w:type="spellStart"/>
      <w:r w:rsidRPr="009975EA">
        <w:rPr>
          <w:rFonts w:ascii="Times New Roman" w:hAnsi="Times New Roman" w:cs="Times New Roman"/>
          <w:color w:val="000000"/>
          <w:sz w:val="20"/>
          <w:szCs w:val="20"/>
          <w:lang w:val="tr-TR"/>
        </w:rPr>
        <w:t>some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jurisdictions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concept</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duties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other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shareholders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color w:val="000000"/>
          <w:sz w:val="20"/>
          <w:szCs w:val="20"/>
          <w:lang w:val="tr-TR"/>
        </w:rPr>
        <w:t>some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instances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company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instance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bCs/>
          <w:color w:val="000000"/>
          <w:sz w:val="20"/>
          <w:szCs w:val="20"/>
          <w:lang w:val="tr-TR"/>
        </w:rPr>
        <w:t>Israel</w:t>
      </w:r>
      <w:proofErr w:type="spellEnd"/>
      <w:r w:rsidRPr="009975EA">
        <w:rPr>
          <w:rFonts w:ascii="Times New Roman" w:hAnsi="Times New Roman" w:cs="Times New Roman"/>
          <w:bCs/>
          <w:color w:val="000000"/>
          <w:sz w:val="20"/>
          <w:szCs w:val="20"/>
          <w:lang w:val="tr-TR"/>
        </w:rPr>
        <w:t xml:space="preserve"> </w:t>
      </w:r>
      <w:r w:rsidRPr="009975EA">
        <w:rPr>
          <w:rFonts w:ascii="Times New Roman" w:hAnsi="Times New Roman" w:cs="Times New Roman"/>
          <w:color w:val="000000"/>
          <w:sz w:val="20"/>
          <w:szCs w:val="20"/>
          <w:lang w:val="tr-TR"/>
        </w:rPr>
        <w:t xml:space="preserve">has an </w:t>
      </w:r>
      <w:proofErr w:type="spellStart"/>
      <w:r w:rsidRPr="009975EA">
        <w:rPr>
          <w:rFonts w:ascii="Times New Roman" w:hAnsi="Times New Roman" w:cs="Times New Roman"/>
          <w:color w:val="000000"/>
          <w:sz w:val="20"/>
          <w:szCs w:val="20"/>
          <w:lang w:val="tr-TR"/>
        </w:rPr>
        <w:t>explicit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duty</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controlling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shareholders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other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shareholders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bCs/>
          <w:color w:val="000000"/>
          <w:sz w:val="20"/>
          <w:szCs w:val="20"/>
          <w:lang w:val="tr-TR"/>
        </w:rPr>
        <w:t>Belgium</w:t>
      </w:r>
      <w:proofErr w:type="spellEnd"/>
      <w:r w:rsidRPr="009975EA">
        <w:rPr>
          <w:rFonts w:ascii="Times New Roman" w:hAnsi="Times New Roman" w:cs="Times New Roman"/>
          <w:color w:val="000000"/>
          <w:sz w:val="20"/>
          <w:szCs w:val="20"/>
          <w:lang w:val="tr-TR"/>
        </w:rPr>
        <w:t xml:space="preserve">, </w:t>
      </w:r>
      <w:r w:rsidRPr="009975EA">
        <w:rPr>
          <w:rFonts w:ascii="Times New Roman" w:hAnsi="Times New Roman" w:cs="Times New Roman"/>
          <w:bCs/>
          <w:color w:val="000000"/>
          <w:sz w:val="20"/>
          <w:szCs w:val="20"/>
          <w:lang w:val="tr-TR"/>
        </w:rPr>
        <w:t>France</w:t>
      </w:r>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bCs/>
          <w:color w:val="000000"/>
          <w:sz w:val="20"/>
          <w:szCs w:val="20"/>
          <w:lang w:val="tr-TR"/>
        </w:rPr>
        <w:t>Italy</w:t>
      </w:r>
      <w:proofErr w:type="spellEnd"/>
      <w:r w:rsidRPr="009975EA">
        <w:rPr>
          <w:rFonts w:ascii="Times New Roman" w:hAnsi="Times New Roman" w:cs="Times New Roman"/>
          <w:bCs/>
          <w:color w:val="000000"/>
          <w:sz w:val="20"/>
          <w:szCs w:val="20"/>
          <w:lang w:val="tr-TR"/>
        </w:rPr>
        <w:t xml:space="preserve"> </w:t>
      </w:r>
      <w:proofErr w:type="spellStart"/>
      <w:r w:rsidRPr="009975EA">
        <w:rPr>
          <w:rFonts w:ascii="Times New Roman" w:hAnsi="Times New Roman" w:cs="Times New Roman"/>
          <w:color w:val="000000"/>
          <w:sz w:val="20"/>
          <w:szCs w:val="20"/>
          <w:lang w:val="tr-TR"/>
        </w:rPr>
        <w:t>have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provisions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concerning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abuse</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other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shareholders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by</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majority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investor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bCs/>
          <w:color w:val="000000"/>
          <w:sz w:val="20"/>
          <w:szCs w:val="20"/>
          <w:lang w:val="tr-TR"/>
        </w:rPr>
        <w:t>India</w:t>
      </w:r>
      <w:proofErr w:type="spellEnd"/>
      <w:r w:rsidRPr="009975EA">
        <w:rPr>
          <w:rFonts w:ascii="Times New Roman" w:hAnsi="Times New Roman" w:cs="Times New Roman"/>
          <w:bCs/>
          <w:color w:val="000000"/>
          <w:sz w:val="20"/>
          <w:szCs w:val="20"/>
          <w:lang w:val="tr-TR"/>
        </w:rPr>
        <w:t xml:space="preserve"> </w:t>
      </w:r>
      <w:proofErr w:type="spellStart"/>
      <w:r w:rsidRPr="009975EA">
        <w:rPr>
          <w:rFonts w:ascii="Times New Roman" w:hAnsi="Times New Roman" w:cs="Times New Roman"/>
          <w:color w:val="000000"/>
          <w:sz w:val="20"/>
          <w:szCs w:val="20"/>
          <w:lang w:val="tr-TR"/>
        </w:rPr>
        <w:t>also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recognises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oppression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controlling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shareholders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with</w:t>
      </w:r>
      <w:proofErr w:type="spellEnd"/>
      <w:r w:rsidRPr="009975EA">
        <w:rPr>
          <w:rFonts w:ascii="Times New Roman" w:hAnsi="Times New Roman" w:cs="Times New Roman"/>
          <w:color w:val="000000"/>
          <w:sz w:val="20"/>
          <w:szCs w:val="20"/>
          <w:lang w:val="tr-TR"/>
        </w:rPr>
        <w:t xml:space="preserve"> 393 </w:t>
      </w:r>
      <w:proofErr w:type="spellStart"/>
      <w:r w:rsidRPr="009975EA">
        <w:rPr>
          <w:rFonts w:ascii="Times New Roman" w:hAnsi="Times New Roman" w:cs="Times New Roman"/>
          <w:color w:val="000000"/>
          <w:sz w:val="20"/>
          <w:szCs w:val="20"/>
          <w:lang w:val="tr-TR"/>
        </w:rPr>
        <w:t>cases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lodged</w:t>
      </w:r>
      <w:proofErr w:type="spellEnd"/>
      <w:r w:rsidRPr="009975EA">
        <w:rPr>
          <w:rFonts w:ascii="Times New Roman" w:hAnsi="Times New Roman" w:cs="Times New Roman"/>
          <w:color w:val="000000"/>
          <w:sz w:val="20"/>
          <w:szCs w:val="20"/>
          <w:lang w:val="tr-TR"/>
        </w:rPr>
        <w:t xml:space="preserve"> in 2010 </w:t>
      </w:r>
      <w:proofErr w:type="spellStart"/>
      <w:r w:rsidRPr="009975EA">
        <w:rPr>
          <w:rFonts w:ascii="Times New Roman" w:hAnsi="Times New Roman" w:cs="Times New Roman"/>
          <w:color w:val="000000"/>
          <w:sz w:val="20"/>
          <w:szCs w:val="20"/>
          <w:lang w:val="tr-TR"/>
        </w:rPr>
        <w:t>However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all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rights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need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enforcement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either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public</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private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this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appears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weak</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very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few</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cases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if</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brought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each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year</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reviewed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jurisdictions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particular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derivative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law</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suits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rare</w:t>
      </w:r>
      <w:proofErr w:type="spellEnd"/>
      <w:r w:rsidRPr="009975EA">
        <w:rPr>
          <w:rFonts w:ascii="Times New Roman" w:hAnsi="Times New Roman" w:cs="Times New Roman"/>
          <w:color w:val="000000"/>
          <w:sz w:val="20"/>
          <w:szCs w:val="20"/>
          <w:lang w:val="tr-TR"/>
        </w:rPr>
        <w:t xml:space="preserve"> since </w:t>
      </w:r>
      <w:proofErr w:type="spellStart"/>
      <w:r w:rsidRPr="009975EA">
        <w:rPr>
          <w:rFonts w:ascii="Times New Roman" w:hAnsi="Times New Roman" w:cs="Times New Roman"/>
          <w:color w:val="000000"/>
          <w:sz w:val="20"/>
          <w:szCs w:val="20"/>
          <w:lang w:val="tr-TR"/>
        </w:rPr>
        <w:t>financial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incentives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lacking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i/>
          <w:iCs/>
          <w:color w:val="000000"/>
          <w:sz w:val="20"/>
          <w:szCs w:val="20"/>
          <w:lang w:val="tr-TR"/>
        </w:rPr>
        <w:t>i.e</w:t>
      </w:r>
      <w:proofErr w:type="spellEnd"/>
      <w:r w:rsidRPr="009975EA">
        <w:rPr>
          <w:rFonts w:ascii="Times New Roman" w:hAnsi="Times New Roman" w:cs="Times New Roman"/>
          <w:i/>
          <w:iCs/>
          <w:color w:val="000000"/>
          <w:sz w:val="20"/>
          <w:szCs w:val="20"/>
          <w:lang w:val="tr-TR"/>
        </w:rPr>
        <w:t xml:space="preserve">. </w:t>
      </w:r>
      <w:proofErr w:type="spellStart"/>
      <w:r w:rsidRPr="009975EA">
        <w:rPr>
          <w:rFonts w:ascii="Times New Roman" w:hAnsi="Times New Roman" w:cs="Times New Roman"/>
          <w:color w:val="000000"/>
          <w:sz w:val="20"/>
          <w:szCs w:val="20"/>
          <w:lang w:val="tr-TR"/>
        </w:rPr>
        <w:t>litigants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might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have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cover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all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costs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action</w:t>
      </w:r>
      <w:proofErr w:type="spellEnd"/>
      <w:r w:rsidRPr="009975EA">
        <w:rPr>
          <w:rFonts w:ascii="Times New Roman" w:hAnsi="Times New Roman" w:cs="Times New Roman"/>
          <w:color w:val="000000"/>
          <w:sz w:val="20"/>
          <w:szCs w:val="20"/>
          <w:lang w:val="tr-TR"/>
        </w:rPr>
        <w:t xml:space="preserve"> but </w:t>
      </w:r>
      <w:proofErr w:type="spellStart"/>
      <w:r w:rsidRPr="009975EA">
        <w:rPr>
          <w:rFonts w:ascii="Times New Roman" w:hAnsi="Times New Roman" w:cs="Times New Roman"/>
          <w:color w:val="000000"/>
          <w:sz w:val="20"/>
          <w:szCs w:val="20"/>
          <w:lang w:val="tr-TR"/>
        </w:rPr>
        <w:t>awards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paid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company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However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both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bCs/>
          <w:color w:val="000000"/>
          <w:sz w:val="20"/>
          <w:szCs w:val="20"/>
          <w:lang w:val="tr-TR"/>
        </w:rPr>
        <w:t>Israel</w:t>
      </w:r>
      <w:proofErr w:type="spellEnd"/>
      <w:r w:rsidRPr="009975EA">
        <w:rPr>
          <w:rFonts w:ascii="Times New Roman" w:hAnsi="Times New Roman" w:cs="Times New Roman"/>
          <w:bCs/>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bCs/>
          <w:color w:val="000000"/>
          <w:sz w:val="20"/>
          <w:szCs w:val="20"/>
          <w:lang w:val="tr-TR"/>
        </w:rPr>
        <w:t>India</w:t>
      </w:r>
      <w:proofErr w:type="spellEnd"/>
      <w:r w:rsidRPr="009975EA">
        <w:rPr>
          <w:rFonts w:ascii="Times New Roman" w:hAnsi="Times New Roman" w:cs="Times New Roman"/>
          <w:bCs/>
          <w:color w:val="000000"/>
          <w:sz w:val="20"/>
          <w:szCs w:val="20"/>
          <w:lang w:val="tr-TR"/>
        </w:rPr>
        <w:t xml:space="preserve"> </w:t>
      </w:r>
      <w:proofErr w:type="spellStart"/>
      <w:r w:rsidRPr="009975EA">
        <w:rPr>
          <w:rFonts w:ascii="Times New Roman" w:hAnsi="Times New Roman" w:cs="Times New Roman"/>
          <w:color w:val="000000"/>
          <w:sz w:val="20"/>
          <w:szCs w:val="20"/>
          <w:lang w:val="tr-TR"/>
        </w:rPr>
        <w:t>have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taken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propose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take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steps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improve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situation</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bCs/>
          <w:color w:val="000000"/>
          <w:sz w:val="20"/>
          <w:szCs w:val="20"/>
          <w:lang w:val="tr-TR"/>
        </w:rPr>
        <w:t>Israel</w:t>
      </w:r>
      <w:proofErr w:type="spellEnd"/>
      <w:r w:rsidRPr="009975EA">
        <w:rPr>
          <w:rFonts w:ascii="Times New Roman" w:hAnsi="Times New Roman" w:cs="Times New Roman"/>
          <w:bCs/>
          <w:color w:val="000000"/>
          <w:sz w:val="20"/>
          <w:szCs w:val="20"/>
          <w:lang w:val="tr-TR"/>
        </w:rPr>
        <w:t xml:space="preserve"> </w:t>
      </w:r>
      <w:r w:rsidRPr="009975EA">
        <w:rPr>
          <w:rFonts w:ascii="Times New Roman" w:hAnsi="Times New Roman" w:cs="Times New Roman"/>
          <w:color w:val="000000"/>
          <w:sz w:val="20"/>
          <w:szCs w:val="20"/>
          <w:lang w:val="tr-TR"/>
        </w:rPr>
        <w:t xml:space="preserve">a </w:t>
      </w:r>
      <w:proofErr w:type="spellStart"/>
      <w:r w:rsidRPr="009975EA">
        <w:rPr>
          <w:rFonts w:ascii="Times New Roman" w:hAnsi="Times New Roman" w:cs="Times New Roman"/>
          <w:color w:val="000000"/>
          <w:sz w:val="20"/>
          <w:szCs w:val="20"/>
          <w:lang w:val="tr-TR"/>
        </w:rPr>
        <w:t>specialised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court</w:t>
      </w:r>
      <w:proofErr w:type="spellEnd"/>
      <w:r w:rsidRPr="009975EA">
        <w:rPr>
          <w:rFonts w:ascii="Times New Roman" w:hAnsi="Times New Roman" w:cs="Times New Roman"/>
          <w:color w:val="000000"/>
          <w:sz w:val="20"/>
          <w:szCs w:val="20"/>
          <w:lang w:val="tr-TR"/>
        </w:rPr>
        <w:t xml:space="preserve"> has </w:t>
      </w:r>
      <w:proofErr w:type="spellStart"/>
      <w:r w:rsidRPr="009975EA">
        <w:rPr>
          <w:rFonts w:ascii="Times New Roman" w:hAnsi="Times New Roman" w:cs="Times New Roman"/>
          <w:color w:val="000000"/>
          <w:sz w:val="20"/>
          <w:szCs w:val="20"/>
          <w:lang w:val="tr-TR"/>
        </w:rPr>
        <w:t>been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established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regulator</w:t>
      </w:r>
      <w:proofErr w:type="spellEnd"/>
      <w:r w:rsidRPr="009975EA">
        <w:rPr>
          <w:rFonts w:ascii="Times New Roman" w:hAnsi="Times New Roman" w:cs="Times New Roman"/>
          <w:color w:val="000000"/>
          <w:sz w:val="20"/>
          <w:szCs w:val="20"/>
          <w:lang w:val="tr-TR"/>
        </w:rPr>
        <w:t xml:space="preserve"> can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does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support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derivative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other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actions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financially</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bCs/>
          <w:color w:val="000000"/>
          <w:sz w:val="20"/>
          <w:szCs w:val="20"/>
          <w:lang w:val="tr-TR"/>
        </w:rPr>
        <w:t>India</w:t>
      </w:r>
      <w:proofErr w:type="spellEnd"/>
      <w:r w:rsidRPr="009975EA">
        <w:rPr>
          <w:rFonts w:ascii="Times New Roman" w:hAnsi="Times New Roman" w:cs="Times New Roman"/>
          <w:bCs/>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security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regulator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established</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fund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support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derivative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suits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financially</w:t>
      </w:r>
      <w:proofErr w:type="spellEnd"/>
      <w:r w:rsidRPr="009975EA">
        <w:rPr>
          <w:rFonts w:ascii="Times New Roman" w:hAnsi="Times New Roman" w:cs="Times New Roman"/>
          <w:color w:val="000000"/>
          <w:sz w:val="20"/>
          <w:szCs w:val="20"/>
          <w:lang w:val="tr-TR"/>
        </w:rPr>
        <w:t xml:space="preserve">. </w:t>
      </w:r>
      <w:r w:rsidRPr="009975EA">
        <w:rPr>
          <w:rFonts w:ascii="Times New Roman" w:hAnsi="Times New Roman" w:cs="Times New Roman"/>
          <w:bCs/>
          <w:color w:val="000000"/>
          <w:sz w:val="20"/>
          <w:szCs w:val="20"/>
          <w:lang w:val="tr-TR"/>
        </w:rPr>
        <w:t xml:space="preserve">France </w:t>
      </w:r>
      <w:r w:rsidRPr="009975EA">
        <w:rPr>
          <w:rFonts w:ascii="Times New Roman" w:hAnsi="Times New Roman" w:cs="Times New Roman"/>
          <w:color w:val="000000"/>
          <w:sz w:val="20"/>
          <w:szCs w:val="20"/>
          <w:lang w:val="tr-TR"/>
        </w:rPr>
        <w:t xml:space="preserve">has </w:t>
      </w:r>
      <w:proofErr w:type="spellStart"/>
      <w:r w:rsidRPr="009975EA">
        <w:rPr>
          <w:rFonts w:ascii="Times New Roman" w:hAnsi="Times New Roman" w:cs="Times New Roman"/>
          <w:color w:val="000000"/>
          <w:sz w:val="20"/>
          <w:szCs w:val="20"/>
          <w:lang w:val="tr-TR"/>
        </w:rPr>
        <w:t>some</w:t>
      </w:r>
      <w:proofErr w:type="spellEnd"/>
      <w:r w:rsidRPr="009975EA">
        <w:rPr>
          <w:rFonts w:ascii="Times New Roman" w:hAnsi="Times New Roman" w:cs="Times New Roman"/>
          <w:color w:val="000000"/>
          <w:sz w:val="20"/>
          <w:szCs w:val="20"/>
          <w:lang w:val="tr-TR"/>
        </w:rPr>
        <w:t xml:space="preserve"> limited </w:t>
      </w:r>
      <w:proofErr w:type="spellStart"/>
      <w:r w:rsidRPr="009975EA">
        <w:rPr>
          <w:rFonts w:ascii="Times New Roman" w:hAnsi="Times New Roman" w:cs="Times New Roman"/>
          <w:color w:val="000000"/>
          <w:sz w:val="20"/>
          <w:szCs w:val="20"/>
          <w:lang w:val="tr-TR"/>
        </w:rPr>
        <w:t>powers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discovery</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color w:val="000000"/>
          <w:sz w:val="20"/>
          <w:szCs w:val="20"/>
          <w:lang w:val="tr-TR"/>
        </w:rPr>
        <w:t>which</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judge</w:t>
      </w:r>
      <w:proofErr w:type="spellEnd"/>
      <w:r w:rsidRPr="009975EA">
        <w:rPr>
          <w:rFonts w:ascii="Times New Roman" w:hAnsi="Times New Roman" w:cs="Times New Roman"/>
          <w:color w:val="000000"/>
          <w:sz w:val="20"/>
          <w:szCs w:val="20"/>
          <w:lang w:val="tr-TR"/>
        </w:rPr>
        <w:t xml:space="preserve"> can </w:t>
      </w:r>
      <w:proofErr w:type="spellStart"/>
      <w:r w:rsidRPr="009975EA">
        <w:rPr>
          <w:rFonts w:ascii="Times New Roman" w:hAnsi="Times New Roman" w:cs="Times New Roman"/>
          <w:color w:val="000000"/>
          <w:sz w:val="20"/>
          <w:szCs w:val="20"/>
          <w:lang w:val="tr-TR"/>
        </w:rPr>
        <w:t>require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release</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documents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to</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litigants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Efficient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effective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public</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enforcement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appears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important</w:t>
      </w:r>
      <w:proofErr w:type="spellEnd"/>
      <w:r w:rsidRPr="009975EA">
        <w:rPr>
          <w:rFonts w:ascii="Times New Roman" w:hAnsi="Times New Roman" w:cs="Times New Roman"/>
          <w:color w:val="000000"/>
          <w:sz w:val="20"/>
          <w:szCs w:val="20"/>
          <w:lang w:val="tr-TR"/>
        </w:rPr>
        <w:t xml:space="preserve"> as market </w:t>
      </w:r>
      <w:proofErr w:type="spellStart"/>
      <w:r w:rsidRPr="009975EA">
        <w:rPr>
          <w:rFonts w:ascii="Times New Roman" w:hAnsi="Times New Roman" w:cs="Times New Roman"/>
          <w:color w:val="000000"/>
          <w:sz w:val="20"/>
          <w:szCs w:val="20"/>
          <w:lang w:val="tr-TR"/>
        </w:rPr>
        <w:t>mechanisms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remain</w:t>
      </w:r>
      <w:proofErr w:type="spellEnd"/>
      <w:r w:rsidRPr="009975EA">
        <w:rPr>
          <w:rFonts w:ascii="Times New Roman" w:hAnsi="Times New Roman" w:cs="Times New Roman"/>
          <w:color w:val="000000"/>
          <w:sz w:val="20"/>
          <w:szCs w:val="20"/>
          <w:lang w:val="tr-TR"/>
        </w:rPr>
        <w:t xml:space="preserve"> limited in </w:t>
      </w:r>
      <w:proofErr w:type="spellStart"/>
      <w:r w:rsidRPr="009975EA">
        <w:rPr>
          <w:rFonts w:ascii="Times New Roman" w:hAnsi="Times New Roman" w:cs="Times New Roman"/>
          <w:color w:val="000000"/>
          <w:sz w:val="20"/>
          <w:szCs w:val="20"/>
          <w:lang w:val="tr-TR"/>
        </w:rPr>
        <w:t>jurisdictions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with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concentrated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ownership</w:t>
      </w:r>
      <w:proofErr w:type="spellEnd"/>
      <w:r w:rsidRPr="009975EA">
        <w:rPr>
          <w:rFonts w:ascii="Times New Roman" w:hAnsi="Times New Roman" w:cs="Times New Roman"/>
          <w:color w:val="000000"/>
          <w:sz w:val="20"/>
          <w:szCs w:val="20"/>
          <w:lang w:val="tr-TR"/>
        </w:rPr>
        <w:t>.” (</w:t>
      </w:r>
      <w:r w:rsidRPr="009975EA">
        <w:rPr>
          <w:rFonts w:ascii="Times New Roman" w:hAnsi="Times New Roman" w:cs="Times New Roman"/>
          <w:sz w:val="20"/>
          <w:szCs w:val="20"/>
        </w:rPr>
        <w:t xml:space="preserve">OECD (2012), </w:t>
      </w:r>
      <w:r w:rsidRPr="006F5205">
        <w:rPr>
          <w:rFonts w:ascii="Times New Roman" w:hAnsi="Times New Roman" w:cs="Times New Roman"/>
          <w:i/>
          <w:sz w:val="20"/>
          <w:szCs w:val="20"/>
        </w:rPr>
        <w:t>Related Party Transactions and Minority Shareholder Rights</w:t>
      </w:r>
      <w:r w:rsidRPr="009975EA">
        <w:rPr>
          <w:rFonts w:ascii="Times New Roman" w:hAnsi="Times New Roman" w:cs="Times New Roman"/>
          <w:sz w:val="20"/>
          <w:szCs w:val="20"/>
        </w:rPr>
        <w:t>, OECD Publishing, p.14</w:t>
      </w:r>
      <w:r w:rsidRPr="009975EA">
        <w:rPr>
          <w:rFonts w:ascii="Times New Roman" w:hAnsi="Times New Roman" w:cs="Times New Roman"/>
          <w:color w:val="000000"/>
          <w:sz w:val="20"/>
          <w:szCs w:val="20"/>
          <w:lang w:val="tr-TR"/>
        </w:rPr>
        <w:t>)</w:t>
      </w:r>
    </w:p>
  </w:footnote>
  <w:footnote w:id="256">
    <w:p w14:paraId="49B9B88B" w14:textId="3468E2E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Zühtü</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Aytaç</w:t>
      </w:r>
      <w:proofErr w:type="spellEnd"/>
      <w:r w:rsidRPr="009975EA">
        <w:rPr>
          <w:rFonts w:ascii="Times New Roman" w:hAnsi="Times New Roman" w:cs="Times New Roman"/>
          <w:sz w:val="20"/>
          <w:szCs w:val="20"/>
        </w:rPr>
        <w:t xml:space="preserve">, </w:t>
      </w:r>
      <w:r w:rsidRPr="006F5205">
        <w:rPr>
          <w:rFonts w:ascii="Times New Roman" w:hAnsi="Times New Roman" w:cs="Times New Roman"/>
          <w:i/>
          <w:sz w:val="20"/>
          <w:szCs w:val="20"/>
        </w:rPr>
        <w:t>Liability of Board of Directors Arising from the Unlawful use of Control</w:t>
      </w:r>
      <w:r w:rsidRPr="009975EA">
        <w:rPr>
          <w:rFonts w:ascii="Times New Roman" w:hAnsi="Times New Roman" w:cs="Times New Roman"/>
          <w:sz w:val="20"/>
          <w:szCs w:val="20"/>
        </w:rPr>
        <w:t>,</w:t>
      </w:r>
      <w:r>
        <w:rPr>
          <w:rFonts w:ascii="Times New Roman" w:hAnsi="Times New Roman" w:cs="Times New Roman"/>
          <w:sz w:val="20"/>
          <w:szCs w:val="20"/>
        </w:rPr>
        <w:t xml:space="preserve"> BATIDER C. XXIX Sa.4 (2013) at</w:t>
      </w:r>
      <w:r w:rsidRPr="009975EA">
        <w:rPr>
          <w:rFonts w:ascii="Times New Roman" w:hAnsi="Times New Roman" w:cs="Times New Roman"/>
          <w:sz w:val="20"/>
          <w:szCs w:val="20"/>
        </w:rPr>
        <w:t xml:space="preserve"> 18-19.</w:t>
      </w:r>
    </w:p>
  </w:footnote>
  <w:footnote w:id="257">
    <w:p w14:paraId="4E464F8C" w14:textId="5993701C" w:rsidR="00253590" w:rsidRPr="0047452F" w:rsidRDefault="00253590" w:rsidP="0047452F">
      <w:pPr>
        <w:jc w:val="both"/>
        <w:rPr>
          <w:rFonts w:ascii="Times New Roman" w:hAnsi="Times New Roman" w:cs="Times New Roman"/>
          <w:sz w:val="20"/>
          <w:szCs w:val="20"/>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Due</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to</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the</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statement</w:t>
      </w:r>
      <w:proofErr w:type="spellEnd"/>
      <w:r w:rsidRPr="0047452F">
        <w:rPr>
          <w:rFonts w:ascii="Times New Roman" w:hAnsi="Times New Roman" w:cs="Times New Roman"/>
          <w:sz w:val="20"/>
          <w:szCs w:val="20"/>
        </w:rPr>
        <w:t xml:space="preserve"> in </w:t>
      </w:r>
      <w:proofErr w:type="spellStart"/>
      <w:r w:rsidRPr="0047452F">
        <w:rPr>
          <w:rFonts w:ascii="Times New Roman" w:hAnsi="Times New Roman" w:cs="Times New Roman"/>
          <w:sz w:val="20"/>
          <w:szCs w:val="20"/>
        </w:rPr>
        <w:t>the</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Article</w:t>
      </w:r>
      <w:proofErr w:type="spellEnd"/>
      <w:r w:rsidRPr="0047452F">
        <w:rPr>
          <w:rFonts w:ascii="Times New Roman" w:hAnsi="Times New Roman" w:cs="Times New Roman"/>
          <w:sz w:val="20"/>
          <w:szCs w:val="20"/>
        </w:rPr>
        <w:t xml:space="preserve"> 340 </w:t>
      </w:r>
      <w:proofErr w:type="spellStart"/>
      <w:r w:rsidRPr="0047452F">
        <w:rPr>
          <w:rFonts w:ascii="Times New Roman" w:hAnsi="Times New Roman" w:cs="Times New Roman"/>
          <w:sz w:val="20"/>
          <w:szCs w:val="20"/>
        </w:rPr>
        <w:t>that</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The</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articles</w:t>
      </w:r>
      <w:proofErr w:type="spellEnd"/>
      <w:r w:rsidRPr="0047452F">
        <w:rPr>
          <w:rFonts w:ascii="Times New Roman" w:hAnsi="Times New Roman" w:cs="Times New Roman"/>
          <w:sz w:val="20"/>
          <w:szCs w:val="20"/>
        </w:rPr>
        <w:t xml:space="preserve"> of </w:t>
      </w:r>
      <w:proofErr w:type="spellStart"/>
      <w:r w:rsidRPr="0047452F">
        <w:rPr>
          <w:rFonts w:ascii="Times New Roman" w:hAnsi="Times New Roman" w:cs="Times New Roman"/>
          <w:sz w:val="20"/>
          <w:szCs w:val="20"/>
        </w:rPr>
        <w:t>incorporation</w:t>
      </w:r>
      <w:proofErr w:type="spellEnd"/>
      <w:r w:rsidRPr="0047452F">
        <w:rPr>
          <w:rFonts w:ascii="Times New Roman" w:hAnsi="Times New Roman" w:cs="Times New Roman"/>
          <w:sz w:val="20"/>
          <w:szCs w:val="20"/>
        </w:rPr>
        <w:t xml:space="preserve"> </w:t>
      </w:r>
      <w:proofErr w:type="spellStart"/>
      <w:r w:rsidR="00F37175">
        <w:rPr>
          <w:rFonts w:ascii="Times New Roman" w:hAnsi="Times New Roman" w:cs="Times New Roman"/>
          <w:sz w:val="20"/>
          <w:szCs w:val="20"/>
        </w:rPr>
        <w:t>shall</w:t>
      </w:r>
      <w:proofErr w:type="spellEnd"/>
      <w:r w:rsidR="00F37175">
        <w:rPr>
          <w:rFonts w:ascii="Times New Roman" w:hAnsi="Times New Roman" w:cs="Times New Roman"/>
          <w:sz w:val="20"/>
          <w:szCs w:val="20"/>
        </w:rPr>
        <w:t xml:space="preserve"> not</w:t>
      </w:r>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deviate</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from</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the</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provisions</w:t>
      </w:r>
      <w:proofErr w:type="spellEnd"/>
      <w:r w:rsidRPr="0047452F">
        <w:rPr>
          <w:rFonts w:ascii="Times New Roman" w:hAnsi="Times New Roman" w:cs="Times New Roman"/>
          <w:sz w:val="20"/>
          <w:szCs w:val="20"/>
        </w:rPr>
        <w:t xml:space="preserve"> of </w:t>
      </w:r>
      <w:proofErr w:type="spellStart"/>
      <w:r w:rsidRPr="0047452F">
        <w:rPr>
          <w:rFonts w:ascii="Times New Roman" w:hAnsi="Times New Roman" w:cs="Times New Roman"/>
          <w:sz w:val="20"/>
          <w:szCs w:val="20"/>
        </w:rPr>
        <w:t>this</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Statute</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unless</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the</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Statute</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explicitly</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permits</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the</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deviation</w:t>
      </w:r>
      <w:proofErr w:type="spellEnd"/>
      <w:r w:rsidRPr="0047452F">
        <w:rPr>
          <w:rFonts w:ascii="Times New Roman" w:hAnsi="Times New Roman" w:cs="Times New Roman"/>
          <w:sz w:val="20"/>
          <w:szCs w:val="20"/>
        </w:rPr>
        <w:t xml:space="preserve">”, it can be </w:t>
      </w:r>
      <w:proofErr w:type="spellStart"/>
      <w:r w:rsidRPr="0047452F">
        <w:rPr>
          <w:rFonts w:ascii="Times New Roman" w:hAnsi="Times New Roman" w:cs="Times New Roman"/>
          <w:sz w:val="20"/>
          <w:szCs w:val="20"/>
        </w:rPr>
        <w:t>concluded</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that</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the</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Turkish</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corporate</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law</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relies</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strongly</w:t>
      </w:r>
      <w:proofErr w:type="spellEnd"/>
      <w:r w:rsidRPr="0047452F">
        <w:rPr>
          <w:rFonts w:ascii="Times New Roman" w:hAnsi="Times New Roman" w:cs="Times New Roman"/>
          <w:sz w:val="20"/>
          <w:szCs w:val="20"/>
        </w:rPr>
        <w:t xml:space="preserve"> on </w:t>
      </w:r>
      <w:proofErr w:type="spellStart"/>
      <w:r w:rsidRPr="0047452F">
        <w:rPr>
          <w:rFonts w:ascii="Times New Roman" w:hAnsi="Times New Roman" w:cs="Times New Roman"/>
          <w:sz w:val="20"/>
          <w:szCs w:val="20"/>
        </w:rPr>
        <w:t>mandatory</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corporate</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law</w:t>
      </w:r>
      <w:proofErr w:type="spellEnd"/>
      <w:r w:rsidRPr="0047452F">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Official</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Comment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to</w:t>
      </w:r>
      <w:proofErr w:type="spellEnd"/>
      <w:r w:rsidRPr="00253590">
        <w:rPr>
          <w:rFonts w:ascii="Times New Roman" w:hAnsi="Times New Roman" w:cs="Times New Roman"/>
          <w:sz w:val="20"/>
          <w:szCs w:val="20"/>
        </w:rPr>
        <w:t xml:space="preserve"> TCC </w:t>
      </w:r>
      <w:proofErr w:type="spellStart"/>
      <w:r w:rsidRPr="00253590">
        <w:rPr>
          <w:rFonts w:ascii="Times New Roman" w:hAnsi="Times New Roman" w:cs="Times New Roman"/>
          <w:sz w:val="20"/>
          <w:szCs w:val="20"/>
        </w:rPr>
        <w:t>Article</w:t>
      </w:r>
      <w:proofErr w:type="spellEnd"/>
      <w:r w:rsidRPr="00253590">
        <w:rPr>
          <w:rFonts w:ascii="Times New Roman" w:hAnsi="Times New Roman" w:cs="Times New Roman"/>
          <w:sz w:val="20"/>
          <w:szCs w:val="20"/>
        </w:rPr>
        <w:t xml:space="preserve"> 340 </w:t>
      </w:r>
      <w:proofErr w:type="spellStart"/>
      <w:r w:rsidRPr="00253590">
        <w:rPr>
          <w:rFonts w:ascii="Times New Roman" w:hAnsi="Times New Roman" w:cs="Times New Roman"/>
          <w:sz w:val="20"/>
          <w:szCs w:val="20"/>
        </w:rPr>
        <w:t>states</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that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German</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law</w:t>
      </w:r>
      <w:proofErr w:type="spellEnd"/>
      <w:r w:rsidRPr="00253590">
        <w:rPr>
          <w:rFonts w:ascii="Times New Roman" w:hAnsi="Times New Roman" w:cs="Times New Roman"/>
          <w:sz w:val="20"/>
          <w:szCs w:val="20"/>
        </w:rPr>
        <w:t xml:space="preserve"> is </w:t>
      </w:r>
      <w:proofErr w:type="spellStart"/>
      <w:r w:rsidRPr="00253590">
        <w:rPr>
          <w:rFonts w:ascii="Times New Roman" w:hAnsi="Times New Roman" w:cs="Times New Roman"/>
          <w:sz w:val="20"/>
          <w:szCs w:val="20"/>
        </w:rPr>
        <w:t>the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inspiration</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for</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this</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provision</w:t>
      </w:r>
      <w:proofErr w:type="spellEnd"/>
      <w:r w:rsidRPr="00253590">
        <w:rPr>
          <w:rFonts w:ascii="Times New Roman" w:hAnsi="Times New Roman" w:cs="Times New Roman"/>
          <w:sz w:val="20"/>
          <w:szCs w:val="20"/>
        </w:rPr>
        <w:t>. “</w:t>
      </w:r>
      <w:proofErr w:type="spellStart"/>
      <w:r w:rsidRPr="00253590">
        <w:rPr>
          <w:rFonts w:ascii="Times New Roman" w:hAnsi="Times New Roman" w:cs="Times New Roman"/>
          <w:sz w:val="20"/>
          <w:szCs w:val="20"/>
        </w:rPr>
        <w:t>Internationally</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this</w:t>
      </w:r>
      <w:proofErr w:type="spellEnd"/>
      <w:r w:rsidRPr="00253590">
        <w:rPr>
          <w:rFonts w:ascii="Times New Roman" w:hAnsi="Times New Roman" w:cs="Times New Roman"/>
          <w:sz w:val="20"/>
          <w:szCs w:val="20"/>
        </w:rPr>
        <w:t xml:space="preserve"> U.S. – </w:t>
      </w:r>
      <w:proofErr w:type="spellStart"/>
      <w:r w:rsidRPr="00253590">
        <w:rPr>
          <w:rFonts w:ascii="Times New Roman" w:hAnsi="Times New Roman" w:cs="Times New Roman"/>
          <w:sz w:val="20"/>
          <w:szCs w:val="20"/>
        </w:rPr>
        <w:t>style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libertarianism</w:t>
      </w:r>
      <w:proofErr w:type="spellEnd"/>
      <w:r w:rsidRPr="00253590">
        <w:rPr>
          <w:rFonts w:ascii="Times New Roman" w:hAnsi="Times New Roman" w:cs="Times New Roman"/>
          <w:sz w:val="20"/>
          <w:szCs w:val="20"/>
        </w:rPr>
        <w:t xml:space="preserve"> in </w:t>
      </w:r>
      <w:proofErr w:type="spellStart"/>
      <w:r w:rsidRPr="00253590">
        <w:rPr>
          <w:rFonts w:ascii="Times New Roman" w:hAnsi="Times New Roman" w:cs="Times New Roman"/>
          <w:sz w:val="20"/>
          <w:szCs w:val="20"/>
        </w:rPr>
        <w:t>corporate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law</w:t>
      </w:r>
      <w:proofErr w:type="spellEnd"/>
      <w:r w:rsidRPr="00253590">
        <w:rPr>
          <w:rFonts w:ascii="Times New Roman" w:hAnsi="Times New Roman" w:cs="Times New Roman"/>
          <w:sz w:val="20"/>
          <w:szCs w:val="20"/>
        </w:rPr>
        <w:t xml:space="preserve"> is </w:t>
      </w:r>
      <w:proofErr w:type="spellStart"/>
      <w:r w:rsidRPr="00253590">
        <w:rPr>
          <w:rFonts w:ascii="Times New Roman" w:hAnsi="Times New Roman" w:cs="Times New Roman"/>
          <w:sz w:val="20"/>
          <w:szCs w:val="20"/>
        </w:rPr>
        <w:t>the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exception</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rather</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than</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rule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Most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foreign</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corporate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law</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systems</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rely</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strongly</w:t>
      </w:r>
      <w:proofErr w:type="spellEnd"/>
      <w:r w:rsidRPr="00253590">
        <w:rPr>
          <w:rFonts w:ascii="Times New Roman" w:hAnsi="Times New Roman" w:cs="Times New Roman"/>
          <w:sz w:val="20"/>
          <w:szCs w:val="20"/>
        </w:rPr>
        <w:t xml:space="preserve"> on </w:t>
      </w:r>
      <w:proofErr w:type="spellStart"/>
      <w:r w:rsidRPr="00253590">
        <w:rPr>
          <w:rFonts w:ascii="Times New Roman" w:hAnsi="Times New Roman" w:cs="Times New Roman"/>
          <w:sz w:val="20"/>
          <w:szCs w:val="20"/>
        </w:rPr>
        <w:t>mandatory</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corporate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law</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In</w:t>
      </w:r>
      <w:proofErr w:type="spellEnd"/>
      <w:r w:rsidRPr="00253590">
        <w:rPr>
          <w:rFonts w:ascii="Times New Roman" w:hAnsi="Times New Roman" w:cs="Times New Roman"/>
          <w:sz w:val="20"/>
          <w:szCs w:val="20"/>
        </w:rPr>
        <w:t xml:space="preserve"> France, </w:t>
      </w:r>
      <w:proofErr w:type="spellStart"/>
      <w:r w:rsidRPr="00253590">
        <w:rPr>
          <w:rFonts w:ascii="Times New Roman" w:hAnsi="Times New Roman" w:cs="Times New Roman"/>
          <w:sz w:val="20"/>
          <w:szCs w:val="20"/>
        </w:rPr>
        <w:t>for</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example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law</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governing</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public</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corporations</w:t>
      </w:r>
      <w:proofErr w:type="spellEnd"/>
      <w:r w:rsidRPr="00253590">
        <w:rPr>
          <w:rFonts w:ascii="Times New Roman" w:hAnsi="Times New Roman" w:cs="Times New Roman"/>
          <w:sz w:val="20"/>
          <w:szCs w:val="20"/>
        </w:rPr>
        <w:t xml:space="preserve"> is </w:t>
      </w:r>
      <w:proofErr w:type="spellStart"/>
      <w:r w:rsidRPr="00253590">
        <w:rPr>
          <w:rFonts w:ascii="Times New Roman" w:hAnsi="Times New Roman" w:cs="Times New Roman"/>
          <w:sz w:val="20"/>
          <w:szCs w:val="20"/>
        </w:rPr>
        <w:t>notorious</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for</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leaving</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little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room</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for</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private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ordering</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and</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German</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corporate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law</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goes</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so</w:t>
      </w:r>
      <w:proofErr w:type="spellEnd"/>
      <w:r w:rsidRPr="00253590">
        <w:rPr>
          <w:rFonts w:ascii="Times New Roman" w:hAnsi="Times New Roman" w:cs="Times New Roman"/>
          <w:sz w:val="20"/>
          <w:szCs w:val="20"/>
        </w:rPr>
        <w:t xml:space="preserve"> far as </w:t>
      </w:r>
      <w:proofErr w:type="spellStart"/>
      <w:r w:rsidRPr="00253590">
        <w:rPr>
          <w:rFonts w:ascii="Times New Roman" w:hAnsi="Times New Roman" w:cs="Times New Roman"/>
          <w:sz w:val="20"/>
          <w:szCs w:val="20"/>
        </w:rPr>
        <w:t>to</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provide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that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all</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provisions</w:t>
      </w:r>
      <w:proofErr w:type="spellEnd"/>
      <w:r w:rsidRPr="00253590">
        <w:rPr>
          <w:rFonts w:ascii="Times New Roman" w:hAnsi="Times New Roman" w:cs="Times New Roman"/>
          <w:sz w:val="20"/>
          <w:szCs w:val="20"/>
        </w:rPr>
        <w:t xml:space="preserve"> in </w:t>
      </w:r>
      <w:proofErr w:type="spellStart"/>
      <w:r w:rsidRPr="00253590">
        <w:rPr>
          <w:rFonts w:ascii="Times New Roman" w:hAnsi="Times New Roman" w:cs="Times New Roman"/>
          <w:sz w:val="20"/>
          <w:szCs w:val="20"/>
        </w:rPr>
        <w:t>the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German</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Stock</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Corporations</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Act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are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mandatory</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unless</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indicated</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otherwise</w:t>
      </w:r>
      <w:proofErr w:type="spellEnd"/>
      <w:r w:rsidRPr="00253590">
        <w:rPr>
          <w:rFonts w:ascii="Times New Roman" w:hAnsi="Times New Roman" w:cs="Times New Roman"/>
          <w:sz w:val="20"/>
          <w:szCs w:val="20"/>
        </w:rPr>
        <w:t>” (</w:t>
      </w:r>
      <w:proofErr w:type="spellStart"/>
      <w:r w:rsidRPr="00253590">
        <w:rPr>
          <w:rFonts w:ascii="Times New Roman" w:hAnsi="Times New Roman" w:cs="Times New Roman"/>
          <w:sz w:val="20"/>
          <w:szCs w:val="20"/>
        </w:rPr>
        <w:t>Jens</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Dammann</w:t>
      </w:r>
      <w:proofErr w:type="spellEnd"/>
      <w:r w:rsidRPr="00253590">
        <w:rPr>
          <w:rFonts w:ascii="Times New Roman" w:hAnsi="Times New Roman" w:cs="Times New Roman"/>
          <w:i/>
          <w:sz w:val="20"/>
          <w:szCs w:val="20"/>
        </w:rPr>
        <w:t xml:space="preserve">, </w:t>
      </w:r>
      <w:proofErr w:type="spellStart"/>
      <w:r w:rsidRPr="00253590">
        <w:rPr>
          <w:rFonts w:ascii="Times New Roman" w:hAnsi="Times New Roman" w:cs="Times New Roman"/>
          <w:i/>
          <w:sz w:val="20"/>
          <w:szCs w:val="20"/>
        </w:rPr>
        <w:t>The</w:t>
      </w:r>
      <w:proofErr w:type="spellEnd"/>
      <w:r w:rsidRPr="00253590">
        <w:rPr>
          <w:rFonts w:ascii="Times New Roman" w:hAnsi="Times New Roman" w:cs="Times New Roman"/>
          <w:i/>
          <w:sz w:val="20"/>
          <w:szCs w:val="20"/>
        </w:rPr>
        <w:t xml:space="preserve"> </w:t>
      </w:r>
      <w:proofErr w:type="spellStart"/>
      <w:r w:rsidRPr="00253590">
        <w:rPr>
          <w:rFonts w:ascii="Times New Roman" w:hAnsi="Times New Roman" w:cs="Times New Roman"/>
          <w:i/>
          <w:sz w:val="20"/>
          <w:szCs w:val="20"/>
        </w:rPr>
        <w:t>Mandatory</w:t>
      </w:r>
      <w:proofErr w:type="spellEnd"/>
      <w:r w:rsidRPr="00253590">
        <w:rPr>
          <w:rFonts w:ascii="Times New Roman" w:hAnsi="Times New Roman" w:cs="Times New Roman"/>
          <w:i/>
          <w:sz w:val="20"/>
          <w:szCs w:val="20"/>
        </w:rPr>
        <w:t xml:space="preserve"> </w:t>
      </w:r>
      <w:proofErr w:type="spellStart"/>
      <w:r w:rsidRPr="00253590">
        <w:rPr>
          <w:rFonts w:ascii="Times New Roman" w:hAnsi="Times New Roman" w:cs="Times New Roman"/>
          <w:i/>
          <w:sz w:val="20"/>
          <w:szCs w:val="20"/>
        </w:rPr>
        <w:t>Law</w:t>
      </w:r>
      <w:proofErr w:type="spellEnd"/>
      <w:r w:rsidRPr="00253590">
        <w:rPr>
          <w:rFonts w:ascii="Times New Roman" w:hAnsi="Times New Roman" w:cs="Times New Roman"/>
          <w:i/>
          <w:sz w:val="20"/>
          <w:szCs w:val="20"/>
        </w:rPr>
        <w:t xml:space="preserve"> Puzzle: </w:t>
      </w:r>
      <w:proofErr w:type="spellStart"/>
      <w:r w:rsidRPr="00253590">
        <w:rPr>
          <w:rFonts w:ascii="Times New Roman" w:hAnsi="Times New Roman" w:cs="Times New Roman"/>
          <w:i/>
          <w:sz w:val="20"/>
          <w:szCs w:val="20"/>
        </w:rPr>
        <w:t>Redefining</w:t>
      </w:r>
      <w:proofErr w:type="spellEnd"/>
      <w:r w:rsidRPr="00253590">
        <w:rPr>
          <w:rFonts w:ascii="Times New Roman" w:hAnsi="Times New Roman" w:cs="Times New Roman"/>
          <w:i/>
          <w:sz w:val="20"/>
          <w:szCs w:val="20"/>
        </w:rPr>
        <w:t xml:space="preserve"> </w:t>
      </w:r>
      <w:proofErr w:type="spellStart"/>
      <w:r w:rsidRPr="00253590">
        <w:rPr>
          <w:rFonts w:ascii="Times New Roman" w:hAnsi="Times New Roman" w:cs="Times New Roman"/>
          <w:i/>
          <w:sz w:val="20"/>
          <w:szCs w:val="20"/>
        </w:rPr>
        <w:t>American</w:t>
      </w:r>
      <w:proofErr w:type="spellEnd"/>
      <w:r w:rsidRPr="00253590">
        <w:rPr>
          <w:rFonts w:ascii="Times New Roman" w:hAnsi="Times New Roman" w:cs="Times New Roman"/>
          <w:i/>
          <w:sz w:val="20"/>
          <w:szCs w:val="20"/>
        </w:rPr>
        <w:t xml:space="preserve"> </w:t>
      </w:r>
      <w:proofErr w:type="spellStart"/>
      <w:r w:rsidRPr="00253590">
        <w:rPr>
          <w:rFonts w:ascii="Times New Roman" w:hAnsi="Times New Roman" w:cs="Times New Roman"/>
          <w:i/>
          <w:sz w:val="20"/>
          <w:szCs w:val="20"/>
        </w:rPr>
        <w:t>Exceptionalism</w:t>
      </w:r>
      <w:proofErr w:type="spellEnd"/>
      <w:r w:rsidRPr="00253590">
        <w:rPr>
          <w:rFonts w:ascii="Times New Roman" w:hAnsi="Times New Roman" w:cs="Times New Roman"/>
          <w:i/>
          <w:sz w:val="20"/>
          <w:szCs w:val="20"/>
        </w:rPr>
        <w:t xml:space="preserve"> in </w:t>
      </w:r>
      <w:proofErr w:type="spellStart"/>
      <w:r w:rsidRPr="00253590">
        <w:rPr>
          <w:rFonts w:ascii="Times New Roman" w:hAnsi="Times New Roman" w:cs="Times New Roman"/>
          <w:i/>
          <w:sz w:val="20"/>
          <w:szCs w:val="20"/>
        </w:rPr>
        <w:t>Corporate</w:t>
      </w:r>
      <w:proofErr w:type="spellEnd"/>
      <w:r w:rsidRPr="00253590">
        <w:rPr>
          <w:rFonts w:ascii="Times New Roman" w:hAnsi="Times New Roman" w:cs="Times New Roman"/>
          <w:i/>
          <w:sz w:val="20"/>
          <w:szCs w:val="20"/>
        </w:rPr>
        <w:t xml:space="preserve"> </w:t>
      </w:r>
      <w:proofErr w:type="spellStart"/>
      <w:r w:rsidRPr="00253590">
        <w:rPr>
          <w:rFonts w:ascii="Times New Roman" w:hAnsi="Times New Roman" w:cs="Times New Roman"/>
          <w:i/>
          <w:sz w:val="20"/>
          <w:szCs w:val="20"/>
        </w:rPr>
        <w:t>Law</w:t>
      </w:r>
      <w:proofErr w:type="spellEnd"/>
      <w:r w:rsidRPr="00253590">
        <w:rPr>
          <w:rFonts w:ascii="Times New Roman" w:hAnsi="Times New Roman" w:cs="Times New Roman"/>
          <w:i/>
          <w:sz w:val="20"/>
          <w:szCs w:val="20"/>
        </w:rPr>
        <w:t xml:space="preserve">, 65 </w:t>
      </w:r>
      <w:proofErr w:type="spellStart"/>
      <w:r w:rsidRPr="00253590">
        <w:rPr>
          <w:rFonts w:ascii="Times New Roman" w:hAnsi="Times New Roman" w:cs="Times New Roman"/>
          <w:i/>
          <w:sz w:val="20"/>
          <w:szCs w:val="20"/>
        </w:rPr>
        <w:t>Hastings</w:t>
      </w:r>
      <w:proofErr w:type="spellEnd"/>
      <w:r w:rsidRPr="00253590">
        <w:rPr>
          <w:rFonts w:ascii="Times New Roman" w:hAnsi="Times New Roman" w:cs="Times New Roman"/>
          <w:i/>
          <w:sz w:val="20"/>
          <w:szCs w:val="20"/>
        </w:rPr>
        <w:t xml:space="preserve"> L.J. 441</w:t>
      </w:r>
      <w:r w:rsidRPr="00253590">
        <w:rPr>
          <w:rFonts w:ascii="Times New Roman" w:hAnsi="Times New Roman" w:cs="Times New Roman"/>
          <w:sz w:val="20"/>
          <w:szCs w:val="20"/>
        </w:rPr>
        <w:t xml:space="preserve"> (2014), at 444).</w:t>
      </w:r>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rather</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than</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having</w:t>
      </w:r>
      <w:proofErr w:type="spellEnd"/>
      <w:r w:rsidRPr="0047452F">
        <w:rPr>
          <w:rFonts w:ascii="Times New Roman" w:hAnsi="Times New Roman" w:cs="Times New Roman"/>
          <w:sz w:val="20"/>
          <w:szCs w:val="20"/>
        </w:rPr>
        <w:t xml:space="preserve"> an </w:t>
      </w:r>
      <w:proofErr w:type="spellStart"/>
      <w:r w:rsidRPr="0047452F">
        <w:rPr>
          <w:rFonts w:ascii="Times New Roman" w:hAnsi="Times New Roman" w:cs="Times New Roman"/>
          <w:sz w:val="20"/>
          <w:szCs w:val="20"/>
        </w:rPr>
        <w:t>enabling</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nature</w:t>
      </w:r>
      <w:proofErr w:type="spellEnd"/>
      <w:r w:rsidRPr="0047452F">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However</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recent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case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law</w:t>
      </w:r>
      <w:proofErr w:type="spellEnd"/>
      <w:r w:rsidRPr="00253590">
        <w:rPr>
          <w:rFonts w:ascii="Times New Roman" w:hAnsi="Times New Roman" w:cs="Times New Roman"/>
          <w:sz w:val="20"/>
          <w:szCs w:val="20"/>
        </w:rPr>
        <w:t xml:space="preserve"> (T.C. </w:t>
      </w:r>
      <w:proofErr w:type="spellStart"/>
      <w:r w:rsidRPr="00253590">
        <w:rPr>
          <w:rFonts w:ascii="Times New Roman" w:hAnsi="Times New Roman" w:cs="Times New Roman"/>
          <w:sz w:val="20"/>
          <w:szCs w:val="20"/>
        </w:rPr>
        <w:t>Yargitay</w:t>
      </w:r>
      <w:proofErr w:type="spellEnd"/>
      <w:r w:rsidRPr="00253590">
        <w:rPr>
          <w:rFonts w:ascii="Times New Roman" w:hAnsi="Times New Roman" w:cs="Times New Roman"/>
          <w:sz w:val="20"/>
          <w:szCs w:val="20"/>
        </w:rPr>
        <w:t xml:space="preserve"> 11. HD E. 2014/15813 K. 2015/8851 T. 07/07/2015) </w:t>
      </w:r>
      <w:proofErr w:type="spellStart"/>
      <w:r w:rsidRPr="00253590">
        <w:rPr>
          <w:rFonts w:ascii="Times New Roman" w:hAnsi="Times New Roman" w:cs="Times New Roman"/>
          <w:sz w:val="20"/>
          <w:szCs w:val="20"/>
        </w:rPr>
        <w:t>suggests</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that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similar</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to</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what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Official</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Comment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to</w:t>
      </w:r>
      <w:proofErr w:type="spellEnd"/>
      <w:r w:rsidRPr="00253590">
        <w:rPr>
          <w:rFonts w:ascii="Times New Roman" w:hAnsi="Times New Roman" w:cs="Times New Roman"/>
          <w:sz w:val="20"/>
          <w:szCs w:val="20"/>
        </w:rPr>
        <w:t xml:space="preserve"> TCC </w:t>
      </w:r>
      <w:proofErr w:type="spellStart"/>
      <w:r w:rsidRPr="00253590">
        <w:rPr>
          <w:rFonts w:ascii="Times New Roman" w:hAnsi="Times New Roman" w:cs="Times New Roman"/>
          <w:sz w:val="20"/>
          <w:szCs w:val="20"/>
        </w:rPr>
        <w:t>Article</w:t>
      </w:r>
      <w:proofErr w:type="spellEnd"/>
      <w:r w:rsidRPr="00253590">
        <w:rPr>
          <w:rFonts w:ascii="Times New Roman" w:hAnsi="Times New Roman" w:cs="Times New Roman"/>
          <w:sz w:val="20"/>
          <w:szCs w:val="20"/>
        </w:rPr>
        <w:t xml:space="preserve"> 340 </w:t>
      </w:r>
      <w:proofErr w:type="spellStart"/>
      <w:r w:rsidRPr="00253590">
        <w:rPr>
          <w:rFonts w:ascii="Times New Roman" w:hAnsi="Times New Roman" w:cs="Times New Roman"/>
          <w:sz w:val="20"/>
          <w:szCs w:val="20"/>
        </w:rPr>
        <w:t>expresses</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despite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Article</w:t>
      </w:r>
      <w:proofErr w:type="spellEnd"/>
      <w:r w:rsidRPr="00253590">
        <w:rPr>
          <w:rFonts w:ascii="Times New Roman" w:hAnsi="Times New Roman" w:cs="Times New Roman"/>
          <w:sz w:val="20"/>
          <w:szCs w:val="20"/>
        </w:rPr>
        <w:t xml:space="preserve"> 340 </w:t>
      </w:r>
      <w:proofErr w:type="spellStart"/>
      <w:r w:rsidRPr="00253590">
        <w:rPr>
          <w:rFonts w:ascii="Times New Roman" w:hAnsi="Times New Roman" w:cs="Times New Roman"/>
          <w:sz w:val="20"/>
          <w:szCs w:val="20"/>
        </w:rPr>
        <w:t>explicit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language</w:t>
      </w:r>
      <w:proofErr w:type="spellEnd"/>
      <w:r w:rsidRPr="00253590">
        <w:rPr>
          <w:rFonts w:ascii="Times New Roman" w:hAnsi="Times New Roman" w:cs="Times New Roman"/>
          <w:sz w:val="20"/>
          <w:szCs w:val="20"/>
        </w:rPr>
        <w:t xml:space="preserve">) as </w:t>
      </w:r>
      <w:proofErr w:type="spellStart"/>
      <w:r w:rsidRPr="00253590">
        <w:rPr>
          <w:rFonts w:ascii="Times New Roman" w:hAnsi="Times New Roman" w:cs="Times New Roman"/>
          <w:sz w:val="20"/>
          <w:szCs w:val="20"/>
        </w:rPr>
        <w:t>long</w:t>
      </w:r>
      <w:proofErr w:type="spellEnd"/>
      <w:r w:rsidRPr="00253590">
        <w:rPr>
          <w:rFonts w:ascii="Times New Roman" w:hAnsi="Times New Roman" w:cs="Times New Roman"/>
          <w:sz w:val="20"/>
          <w:szCs w:val="20"/>
        </w:rPr>
        <w:t xml:space="preserve"> as a </w:t>
      </w:r>
      <w:proofErr w:type="spellStart"/>
      <w:r w:rsidRPr="00253590">
        <w:rPr>
          <w:rFonts w:ascii="Times New Roman" w:hAnsi="Times New Roman" w:cs="Times New Roman"/>
          <w:sz w:val="20"/>
          <w:szCs w:val="20"/>
        </w:rPr>
        <w:t>statutory</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provision</w:t>
      </w:r>
      <w:proofErr w:type="spellEnd"/>
      <w:r w:rsidRPr="00253590">
        <w:rPr>
          <w:rFonts w:ascii="Times New Roman" w:hAnsi="Times New Roman" w:cs="Times New Roman"/>
          <w:sz w:val="20"/>
          <w:szCs w:val="20"/>
        </w:rPr>
        <w:t xml:space="preserve"> is not </w:t>
      </w:r>
      <w:proofErr w:type="spellStart"/>
      <w:r w:rsidRPr="00253590">
        <w:rPr>
          <w:rFonts w:ascii="Times New Roman" w:hAnsi="Times New Roman" w:cs="Times New Roman"/>
          <w:sz w:val="20"/>
          <w:szCs w:val="20"/>
        </w:rPr>
        <w:t>conclusive</w:t>
      </w:r>
      <w:proofErr w:type="spellEnd"/>
      <w:r w:rsidRPr="00253590">
        <w:rPr>
          <w:rFonts w:ascii="Times New Roman" w:hAnsi="Times New Roman" w:cs="Times New Roman"/>
          <w:sz w:val="20"/>
          <w:szCs w:val="20"/>
        </w:rPr>
        <w:t xml:space="preserve"> in </w:t>
      </w:r>
      <w:proofErr w:type="spellStart"/>
      <w:r w:rsidRPr="00253590">
        <w:rPr>
          <w:rFonts w:ascii="Times New Roman" w:hAnsi="Times New Roman" w:cs="Times New Roman"/>
          <w:sz w:val="20"/>
          <w:szCs w:val="20"/>
        </w:rPr>
        <w:t>nature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articles</w:t>
      </w:r>
      <w:proofErr w:type="spellEnd"/>
      <w:r w:rsidRPr="00253590">
        <w:rPr>
          <w:rFonts w:ascii="Times New Roman" w:hAnsi="Times New Roman" w:cs="Times New Roman"/>
          <w:sz w:val="20"/>
          <w:szCs w:val="20"/>
        </w:rPr>
        <w:t xml:space="preserve"> of </w:t>
      </w:r>
      <w:proofErr w:type="spellStart"/>
      <w:r w:rsidRPr="00253590">
        <w:rPr>
          <w:rFonts w:ascii="Times New Roman" w:hAnsi="Times New Roman" w:cs="Times New Roman"/>
          <w:sz w:val="20"/>
          <w:szCs w:val="20"/>
        </w:rPr>
        <w:t>incorporation</w:t>
      </w:r>
      <w:proofErr w:type="spellEnd"/>
      <w:r w:rsidRPr="00253590">
        <w:rPr>
          <w:rFonts w:ascii="Times New Roman" w:hAnsi="Times New Roman" w:cs="Times New Roman"/>
          <w:sz w:val="20"/>
          <w:szCs w:val="20"/>
        </w:rPr>
        <w:t xml:space="preserve"> can </w:t>
      </w:r>
      <w:proofErr w:type="spellStart"/>
      <w:r w:rsidRPr="00253590">
        <w:rPr>
          <w:rFonts w:ascii="Times New Roman" w:hAnsi="Times New Roman" w:cs="Times New Roman"/>
          <w:sz w:val="20"/>
          <w:szCs w:val="20"/>
        </w:rPr>
        <w:t>include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supplementary</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terms</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regarding</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issue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provision</w:t>
      </w:r>
      <w:proofErr w:type="spellEnd"/>
      <w:r w:rsidRPr="00253590">
        <w:rPr>
          <w:rFonts w:ascii="Times New Roman" w:hAnsi="Times New Roman" w:cs="Times New Roman"/>
          <w:sz w:val="20"/>
          <w:szCs w:val="20"/>
        </w:rPr>
        <w:t xml:space="preserve"> is </w:t>
      </w:r>
      <w:proofErr w:type="spellStart"/>
      <w:r w:rsidRPr="00253590">
        <w:rPr>
          <w:rFonts w:ascii="Times New Roman" w:hAnsi="Times New Roman" w:cs="Times New Roman"/>
          <w:sz w:val="20"/>
          <w:szCs w:val="20"/>
        </w:rPr>
        <w:t>framing</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Moreover</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recent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commentary</w:t>
      </w:r>
      <w:proofErr w:type="spellEnd"/>
      <w:r w:rsidRPr="00253590">
        <w:rPr>
          <w:rFonts w:ascii="Times New Roman" w:hAnsi="Times New Roman" w:cs="Times New Roman"/>
          <w:sz w:val="20"/>
          <w:szCs w:val="20"/>
        </w:rPr>
        <w:t xml:space="preserve"> (Rauf Karasu, </w:t>
      </w:r>
      <w:r w:rsidRPr="00253590">
        <w:rPr>
          <w:rFonts w:ascii="Times New Roman" w:hAnsi="Times New Roman" w:cs="Times New Roman"/>
          <w:i/>
          <w:sz w:val="20"/>
          <w:szCs w:val="20"/>
        </w:rPr>
        <w:t xml:space="preserve">Emredici </w:t>
      </w:r>
      <w:proofErr w:type="spellStart"/>
      <w:r w:rsidRPr="00253590">
        <w:rPr>
          <w:rFonts w:ascii="Times New Roman" w:hAnsi="Times New Roman" w:cs="Times New Roman"/>
          <w:i/>
          <w:sz w:val="20"/>
          <w:szCs w:val="20"/>
        </w:rPr>
        <w:t>Hukumler</w:t>
      </w:r>
      <w:proofErr w:type="spellEnd"/>
      <w:r w:rsidRPr="00253590">
        <w:rPr>
          <w:rFonts w:ascii="Times New Roman" w:hAnsi="Times New Roman" w:cs="Times New Roman"/>
          <w:i/>
          <w:sz w:val="20"/>
          <w:szCs w:val="20"/>
        </w:rPr>
        <w:t xml:space="preserve"> </w:t>
      </w:r>
      <w:proofErr w:type="spellStart"/>
      <w:r w:rsidRPr="00253590">
        <w:rPr>
          <w:rFonts w:ascii="Times New Roman" w:hAnsi="Times New Roman" w:cs="Times New Roman"/>
          <w:i/>
          <w:sz w:val="20"/>
          <w:szCs w:val="20"/>
        </w:rPr>
        <w:t>Ilkesinin</w:t>
      </w:r>
      <w:proofErr w:type="spellEnd"/>
      <w:r w:rsidRPr="00253590">
        <w:rPr>
          <w:rFonts w:ascii="Times New Roman" w:hAnsi="Times New Roman" w:cs="Times New Roman"/>
          <w:i/>
          <w:sz w:val="20"/>
          <w:szCs w:val="20"/>
        </w:rPr>
        <w:t xml:space="preserve"> </w:t>
      </w:r>
      <w:proofErr w:type="spellStart"/>
      <w:r w:rsidRPr="00253590">
        <w:rPr>
          <w:rFonts w:ascii="Times New Roman" w:hAnsi="Times New Roman" w:cs="Times New Roman"/>
          <w:i/>
          <w:sz w:val="20"/>
          <w:szCs w:val="20"/>
        </w:rPr>
        <w:t>Kapali</w:t>
      </w:r>
      <w:proofErr w:type="spellEnd"/>
      <w:r w:rsidRPr="00253590">
        <w:rPr>
          <w:rFonts w:ascii="Times New Roman" w:hAnsi="Times New Roman" w:cs="Times New Roman"/>
          <w:i/>
          <w:sz w:val="20"/>
          <w:szCs w:val="20"/>
        </w:rPr>
        <w:t xml:space="preserve"> Tip Anonim </w:t>
      </w:r>
      <w:proofErr w:type="spellStart"/>
      <w:r w:rsidRPr="00253590">
        <w:rPr>
          <w:rFonts w:ascii="Times New Roman" w:hAnsi="Times New Roman" w:cs="Times New Roman"/>
          <w:i/>
          <w:sz w:val="20"/>
          <w:szCs w:val="20"/>
        </w:rPr>
        <w:t>Sirketler</w:t>
      </w:r>
      <w:proofErr w:type="spellEnd"/>
      <w:r w:rsidRPr="00253590">
        <w:rPr>
          <w:rFonts w:ascii="Times New Roman" w:hAnsi="Times New Roman" w:cs="Times New Roman"/>
          <w:i/>
          <w:sz w:val="20"/>
          <w:szCs w:val="20"/>
        </w:rPr>
        <w:t xml:space="preserve"> ve Limited </w:t>
      </w:r>
      <w:proofErr w:type="spellStart"/>
      <w:r w:rsidRPr="00253590">
        <w:rPr>
          <w:rFonts w:ascii="Times New Roman" w:hAnsi="Times New Roman" w:cs="Times New Roman"/>
          <w:i/>
          <w:sz w:val="20"/>
          <w:szCs w:val="20"/>
        </w:rPr>
        <w:t>Sirketler</w:t>
      </w:r>
      <w:proofErr w:type="spellEnd"/>
      <w:r w:rsidRPr="00253590">
        <w:rPr>
          <w:rFonts w:ascii="Times New Roman" w:hAnsi="Times New Roman" w:cs="Times New Roman"/>
          <w:i/>
          <w:sz w:val="20"/>
          <w:szCs w:val="20"/>
        </w:rPr>
        <w:t xml:space="preserve"> </w:t>
      </w:r>
      <w:proofErr w:type="spellStart"/>
      <w:r w:rsidRPr="00253590">
        <w:rPr>
          <w:rFonts w:ascii="Times New Roman" w:hAnsi="Times New Roman" w:cs="Times New Roman"/>
          <w:i/>
          <w:sz w:val="20"/>
          <w:szCs w:val="20"/>
        </w:rPr>
        <w:t>Acisindan</w:t>
      </w:r>
      <w:proofErr w:type="spellEnd"/>
      <w:r w:rsidRPr="00253590">
        <w:rPr>
          <w:rFonts w:ascii="Times New Roman" w:hAnsi="Times New Roman" w:cs="Times New Roman"/>
          <w:i/>
          <w:sz w:val="20"/>
          <w:szCs w:val="20"/>
        </w:rPr>
        <w:t xml:space="preserve"> </w:t>
      </w:r>
      <w:proofErr w:type="spellStart"/>
      <w:r w:rsidRPr="00253590">
        <w:rPr>
          <w:rFonts w:ascii="Times New Roman" w:hAnsi="Times New Roman" w:cs="Times New Roman"/>
          <w:i/>
          <w:sz w:val="20"/>
          <w:szCs w:val="20"/>
        </w:rPr>
        <w:t>Dogurdugu</w:t>
      </w:r>
      <w:proofErr w:type="spellEnd"/>
      <w:r w:rsidRPr="00253590">
        <w:rPr>
          <w:rFonts w:ascii="Times New Roman" w:hAnsi="Times New Roman" w:cs="Times New Roman"/>
          <w:i/>
          <w:sz w:val="20"/>
          <w:szCs w:val="20"/>
        </w:rPr>
        <w:t xml:space="preserve"> Sorunlar ve </w:t>
      </w:r>
      <w:proofErr w:type="spellStart"/>
      <w:r w:rsidRPr="00253590">
        <w:rPr>
          <w:rFonts w:ascii="Times New Roman" w:hAnsi="Times New Roman" w:cs="Times New Roman"/>
          <w:i/>
          <w:sz w:val="20"/>
          <w:szCs w:val="20"/>
        </w:rPr>
        <w:t>Cozum</w:t>
      </w:r>
      <w:proofErr w:type="spellEnd"/>
      <w:r w:rsidRPr="00253590">
        <w:rPr>
          <w:rFonts w:ascii="Times New Roman" w:hAnsi="Times New Roman" w:cs="Times New Roman"/>
          <w:i/>
          <w:sz w:val="20"/>
          <w:szCs w:val="20"/>
        </w:rPr>
        <w:t xml:space="preserve"> </w:t>
      </w:r>
      <w:proofErr w:type="spellStart"/>
      <w:r w:rsidRPr="00253590">
        <w:rPr>
          <w:rFonts w:ascii="Times New Roman" w:hAnsi="Times New Roman" w:cs="Times New Roman"/>
          <w:i/>
          <w:sz w:val="20"/>
          <w:szCs w:val="20"/>
        </w:rPr>
        <w:t>Onerileri</w:t>
      </w:r>
      <w:proofErr w:type="spellEnd"/>
      <w:r w:rsidRPr="00253590">
        <w:rPr>
          <w:rFonts w:ascii="Times New Roman" w:hAnsi="Times New Roman" w:cs="Times New Roman"/>
          <w:sz w:val="20"/>
          <w:szCs w:val="20"/>
        </w:rPr>
        <w:t xml:space="preserve">, Ticaret ve Fikri </w:t>
      </w:r>
      <w:proofErr w:type="spellStart"/>
      <w:r w:rsidRPr="00253590">
        <w:rPr>
          <w:rFonts w:ascii="Times New Roman" w:hAnsi="Times New Roman" w:cs="Times New Roman"/>
          <w:sz w:val="20"/>
          <w:szCs w:val="20"/>
        </w:rPr>
        <w:t>Mulkiyet</w:t>
      </w:r>
      <w:proofErr w:type="spellEnd"/>
      <w:r w:rsidRPr="00253590">
        <w:rPr>
          <w:rFonts w:ascii="Times New Roman" w:hAnsi="Times New Roman" w:cs="Times New Roman"/>
          <w:sz w:val="20"/>
          <w:szCs w:val="20"/>
        </w:rPr>
        <w:t xml:space="preserve"> Hukuku Dergisi 2015/1 (2015)) </w:t>
      </w:r>
      <w:proofErr w:type="spellStart"/>
      <w:r w:rsidRPr="00253590">
        <w:rPr>
          <w:rFonts w:ascii="Times New Roman" w:hAnsi="Times New Roman" w:cs="Times New Roman"/>
          <w:sz w:val="20"/>
          <w:szCs w:val="20"/>
        </w:rPr>
        <w:t>argues</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that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even</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when</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language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does</w:t>
      </w:r>
      <w:proofErr w:type="spellEnd"/>
      <w:r w:rsidRPr="00253590">
        <w:rPr>
          <w:rFonts w:ascii="Times New Roman" w:hAnsi="Times New Roman" w:cs="Times New Roman"/>
          <w:sz w:val="20"/>
          <w:szCs w:val="20"/>
        </w:rPr>
        <w:t xml:space="preserve"> not </w:t>
      </w:r>
      <w:proofErr w:type="spellStart"/>
      <w:r w:rsidRPr="00253590">
        <w:rPr>
          <w:rFonts w:ascii="Times New Roman" w:hAnsi="Times New Roman" w:cs="Times New Roman"/>
          <w:sz w:val="20"/>
          <w:szCs w:val="20"/>
        </w:rPr>
        <w:t>explicitly</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permit</w:t>
      </w:r>
      <w:proofErr w:type="spellEnd"/>
      <w:r w:rsidRPr="00253590">
        <w:rPr>
          <w:rFonts w:ascii="Times New Roman" w:hAnsi="Times New Roman" w:cs="Times New Roman"/>
          <w:sz w:val="20"/>
          <w:szCs w:val="20"/>
        </w:rPr>
        <w:t xml:space="preserve"> an </w:t>
      </w:r>
      <w:proofErr w:type="spellStart"/>
      <w:r w:rsidRPr="00253590">
        <w:rPr>
          <w:rFonts w:ascii="Times New Roman" w:hAnsi="Times New Roman" w:cs="Times New Roman"/>
          <w:sz w:val="20"/>
          <w:szCs w:val="20"/>
        </w:rPr>
        <w:t>alteration</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provision</w:t>
      </w:r>
      <w:proofErr w:type="spellEnd"/>
      <w:r w:rsidRPr="00253590">
        <w:rPr>
          <w:rFonts w:ascii="Times New Roman" w:hAnsi="Times New Roman" w:cs="Times New Roman"/>
          <w:sz w:val="20"/>
          <w:szCs w:val="20"/>
        </w:rPr>
        <w:t xml:space="preserve"> can be </w:t>
      </w:r>
      <w:proofErr w:type="spellStart"/>
      <w:r w:rsidRPr="00253590">
        <w:rPr>
          <w:rFonts w:ascii="Times New Roman" w:hAnsi="Times New Roman" w:cs="Times New Roman"/>
          <w:sz w:val="20"/>
          <w:szCs w:val="20"/>
        </w:rPr>
        <w:t>still</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altered</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by</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articles</w:t>
      </w:r>
      <w:proofErr w:type="spellEnd"/>
      <w:r w:rsidRPr="00253590">
        <w:rPr>
          <w:rFonts w:ascii="Times New Roman" w:hAnsi="Times New Roman" w:cs="Times New Roman"/>
          <w:sz w:val="20"/>
          <w:szCs w:val="20"/>
        </w:rPr>
        <w:t xml:space="preserve"> of </w:t>
      </w:r>
      <w:proofErr w:type="spellStart"/>
      <w:r w:rsidRPr="00253590">
        <w:rPr>
          <w:rFonts w:ascii="Times New Roman" w:hAnsi="Times New Roman" w:cs="Times New Roman"/>
          <w:sz w:val="20"/>
          <w:szCs w:val="20"/>
        </w:rPr>
        <w:t>incorporation</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if</w:t>
      </w:r>
      <w:proofErr w:type="spellEnd"/>
      <w:r w:rsidRPr="00253590">
        <w:rPr>
          <w:rFonts w:ascii="Times New Roman" w:hAnsi="Times New Roman" w:cs="Times New Roman"/>
          <w:sz w:val="20"/>
          <w:szCs w:val="20"/>
        </w:rPr>
        <w:t xml:space="preserve"> an </w:t>
      </w:r>
      <w:proofErr w:type="spellStart"/>
      <w:r w:rsidRPr="00253590">
        <w:rPr>
          <w:rFonts w:ascii="Times New Roman" w:hAnsi="Times New Roman" w:cs="Times New Roman"/>
          <w:sz w:val="20"/>
          <w:szCs w:val="20"/>
        </w:rPr>
        <w:t>interpretation</w:t>
      </w:r>
      <w:proofErr w:type="spellEnd"/>
      <w:r w:rsidRPr="00253590">
        <w:rPr>
          <w:rFonts w:ascii="Times New Roman" w:hAnsi="Times New Roman" w:cs="Times New Roman"/>
          <w:sz w:val="20"/>
          <w:szCs w:val="20"/>
        </w:rPr>
        <w:t xml:space="preserve"> of </w:t>
      </w:r>
      <w:proofErr w:type="spellStart"/>
      <w:r w:rsidRPr="00253590">
        <w:rPr>
          <w:rFonts w:ascii="Times New Roman" w:hAnsi="Times New Roman" w:cs="Times New Roman"/>
          <w:sz w:val="20"/>
          <w:szCs w:val="20"/>
        </w:rPr>
        <w:t>the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legislative</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intent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would</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permit</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this</w:t>
      </w:r>
      <w:proofErr w:type="spellEnd"/>
      <w:r w:rsidRPr="00253590">
        <w:rPr>
          <w:rFonts w:ascii="Times New Roman" w:hAnsi="Times New Roman" w:cs="Times New Roman"/>
          <w:sz w:val="20"/>
          <w:szCs w:val="20"/>
        </w:rPr>
        <w:t xml:space="preserve"> </w:t>
      </w:r>
      <w:proofErr w:type="spellStart"/>
      <w:r w:rsidRPr="00253590">
        <w:rPr>
          <w:rFonts w:ascii="Times New Roman" w:hAnsi="Times New Roman" w:cs="Times New Roman"/>
          <w:sz w:val="20"/>
          <w:szCs w:val="20"/>
        </w:rPr>
        <w:t>alteration</w:t>
      </w:r>
      <w:proofErr w:type="spellEnd"/>
      <w:r w:rsidRPr="00253590">
        <w:rPr>
          <w:rFonts w:ascii="Times New Roman" w:hAnsi="Times New Roman" w:cs="Times New Roman"/>
          <w:sz w:val="20"/>
          <w:szCs w:val="20"/>
        </w:rPr>
        <w:t>.</w:t>
      </w:r>
    </w:p>
  </w:footnote>
  <w:footnote w:id="258">
    <w:p w14:paraId="43810005" w14:textId="3BFD9011" w:rsidR="00D36541" w:rsidRPr="009975EA" w:rsidRDefault="00D36541" w:rsidP="00253590">
      <w:pPr>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Writing</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German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has a </w:t>
      </w:r>
      <w:proofErr w:type="spellStart"/>
      <w:r w:rsidRPr="009975EA">
        <w:rPr>
          <w:rFonts w:ascii="Times New Roman" w:hAnsi="Times New Roman" w:cs="Times New Roman"/>
          <w:sz w:val="20"/>
          <w:szCs w:val="20"/>
        </w:rPr>
        <w:t>similar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structure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Turkish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Fleischer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notes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derivative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well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developed</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German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compared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U.S.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instead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rescission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challenge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validity</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resolutions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passed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organs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forceful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weapon</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hands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minority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have</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institutional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function</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Holger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Fleischer</w:t>
      </w:r>
      <w:proofErr w:type="spellEnd"/>
      <w:r w:rsidRPr="009975EA">
        <w:rPr>
          <w:rFonts w:ascii="Times New Roman" w:hAnsi="Times New Roman" w:cs="Times New Roman"/>
          <w:sz w:val="20"/>
          <w:szCs w:val="20"/>
        </w:rPr>
        <w:t xml:space="preserve">, </w:t>
      </w:r>
      <w:r w:rsidRPr="00467DB8">
        <w:rPr>
          <w:rFonts w:ascii="Times New Roman" w:hAnsi="Times New Roman" w:cs="Times New Roman"/>
          <w:i/>
          <w:sz w:val="20"/>
          <w:szCs w:val="20"/>
        </w:rPr>
        <w:t xml:space="preserve">A Guide </w:t>
      </w:r>
      <w:proofErr w:type="spellStart"/>
      <w:r w:rsidRPr="00467DB8">
        <w:rPr>
          <w:rFonts w:ascii="Times New Roman" w:hAnsi="Times New Roman" w:cs="Times New Roman"/>
          <w:i/>
          <w:sz w:val="20"/>
          <w:szCs w:val="20"/>
        </w:rPr>
        <w:t>to</w:t>
      </w:r>
      <w:proofErr w:type="spellEnd"/>
      <w:r w:rsidRPr="00467DB8">
        <w:rPr>
          <w:rFonts w:ascii="Times New Roman" w:hAnsi="Times New Roman" w:cs="Times New Roman"/>
          <w:i/>
          <w:sz w:val="20"/>
          <w:szCs w:val="20"/>
        </w:rPr>
        <w:t xml:space="preserve"> </w:t>
      </w:r>
      <w:proofErr w:type="spellStart"/>
      <w:r w:rsidRPr="00467DB8">
        <w:rPr>
          <w:rFonts w:ascii="Times New Roman" w:hAnsi="Times New Roman" w:cs="Times New Roman"/>
          <w:i/>
          <w:sz w:val="20"/>
          <w:szCs w:val="20"/>
        </w:rPr>
        <w:t>German</w:t>
      </w:r>
      <w:proofErr w:type="spellEnd"/>
      <w:r w:rsidRPr="00467DB8">
        <w:rPr>
          <w:rFonts w:ascii="Times New Roman" w:hAnsi="Times New Roman" w:cs="Times New Roman"/>
          <w:i/>
          <w:sz w:val="20"/>
          <w:szCs w:val="20"/>
        </w:rPr>
        <w:t xml:space="preserve"> </w:t>
      </w:r>
      <w:proofErr w:type="spellStart"/>
      <w:r w:rsidRPr="00467DB8">
        <w:rPr>
          <w:rFonts w:ascii="Times New Roman" w:hAnsi="Times New Roman" w:cs="Times New Roman"/>
          <w:i/>
          <w:sz w:val="20"/>
          <w:szCs w:val="20"/>
        </w:rPr>
        <w:t>Company</w:t>
      </w:r>
      <w:proofErr w:type="spellEnd"/>
      <w:r w:rsidRPr="00467DB8">
        <w:rPr>
          <w:rFonts w:ascii="Times New Roman" w:hAnsi="Times New Roman" w:cs="Times New Roman"/>
          <w:i/>
          <w:sz w:val="20"/>
          <w:szCs w:val="20"/>
        </w:rPr>
        <w:t xml:space="preserve"> </w:t>
      </w:r>
      <w:proofErr w:type="spellStart"/>
      <w:r w:rsidRPr="00467DB8">
        <w:rPr>
          <w:rFonts w:ascii="Times New Roman" w:hAnsi="Times New Roman" w:cs="Times New Roman"/>
          <w:i/>
          <w:sz w:val="20"/>
          <w:szCs w:val="20"/>
        </w:rPr>
        <w:t>Law</w:t>
      </w:r>
      <w:proofErr w:type="spellEnd"/>
      <w:r w:rsidRPr="00467DB8">
        <w:rPr>
          <w:rFonts w:ascii="Times New Roman" w:hAnsi="Times New Roman" w:cs="Times New Roman"/>
          <w:i/>
          <w:sz w:val="20"/>
          <w:szCs w:val="20"/>
        </w:rPr>
        <w:t xml:space="preserve"> </w:t>
      </w:r>
      <w:proofErr w:type="spellStart"/>
      <w:r w:rsidRPr="00467DB8">
        <w:rPr>
          <w:rFonts w:ascii="Times New Roman" w:hAnsi="Times New Roman" w:cs="Times New Roman"/>
          <w:i/>
          <w:sz w:val="20"/>
          <w:szCs w:val="20"/>
        </w:rPr>
        <w:t>for</w:t>
      </w:r>
      <w:proofErr w:type="spellEnd"/>
      <w:r w:rsidRPr="00467DB8">
        <w:rPr>
          <w:rFonts w:ascii="Times New Roman" w:hAnsi="Times New Roman" w:cs="Times New Roman"/>
          <w:i/>
          <w:sz w:val="20"/>
          <w:szCs w:val="20"/>
        </w:rPr>
        <w:t xml:space="preserve"> International </w:t>
      </w:r>
      <w:proofErr w:type="spellStart"/>
      <w:r w:rsidRPr="00467DB8">
        <w:rPr>
          <w:rFonts w:ascii="Times New Roman" w:hAnsi="Times New Roman" w:cs="Times New Roman"/>
          <w:i/>
          <w:sz w:val="20"/>
          <w:szCs w:val="20"/>
        </w:rPr>
        <w:t>Lawyers</w:t>
      </w:r>
      <w:proofErr w:type="spellEnd"/>
      <w:r w:rsidRPr="00467DB8">
        <w:rPr>
          <w:rFonts w:ascii="Times New Roman" w:hAnsi="Times New Roman" w:cs="Times New Roman"/>
          <w:i/>
          <w:sz w:val="20"/>
          <w:szCs w:val="20"/>
        </w:rPr>
        <w:t xml:space="preserve">- </w:t>
      </w:r>
      <w:proofErr w:type="spellStart"/>
      <w:r w:rsidRPr="00467DB8">
        <w:rPr>
          <w:rFonts w:ascii="Times New Roman" w:hAnsi="Times New Roman" w:cs="Times New Roman"/>
          <w:i/>
          <w:sz w:val="20"/>
          <w:szCs w:val="20"/>
        </w:rPr>
        <w:t>Distinctive</w:t>
      </w:r>
      <w:proofErr w:type="spellEnd"/>
      <w:r w:rsidRPr="00467DB8">
        <w:rPr>
          <w:rFonts w:ascii="Times New Roman" w:hAnsi="Times New Roman" w:cs="Times New Roman"/>
          <w:i/>
          <w:sz w:val="20"/>
          <w:szCs w:val="20"/>
        </w:rPr>
        <w:t xml:space="preserve"> </w:t>
      </w:r>
      <w:proofErr w:type="spellStart"/>
      <w:r w:rsidRPr="00467DB8">
        <w:rPr>
          <w:rFonts w:ascii="Times New Roman" w:hAnsi="Times New Roman" w:cs="Times New Roman"/>
          <w:i/>
          <w:sz w:val="20"/>
          <w:szCs w:val="20"/>
        </w:rPr>
        <w:t>Features</w:t>
      </w:r>
      <w:proofErr w:type="spellEnd"/>
      <w:r w:rsidRPr="00467DB8">
        <w:rPr>
          <w:rFonts w:ascii="Times New Roman" w:hAnsi="Times New Roman" w:cs="Times New Roman"/>
          <w:i/>
          <w:sz w:val="20"/>
          <w:szCs w:val="20"/>
        </w:rPr>
        <w:t xml:space="preserve">, </w:t>
      </w:r>
      <w:proofErr w:type="spellStart"/>
      <w:r w:rsidRPr="00467DB8">
        <w:rPr>
          <w:rFonts w:ascii="Times New Roman" w:hAnsi="Times New Roman" w:cs="Times New Roman"/>
          <w:i/>
          <w:sz w:val="20"/>
          <w:szCs w:val="20"/>
        </w:rPr>
        <w:t>Particularities</w:t>
      </w:r>
      <w:proofErr w:type="spellEnd"/>
      <w:r w:rsidRPr="00467DB8">
        <w:rPr>
          <w:rFonts w:ascii="Times New Roman" w:hAnsi="Times New Roman" w:cs="Times New Roman"/>
          <w:i/>
          <w:sz w:val="20"/>
          <w:szCs w:val="20"/>
        </w:rPr>
        <w:t xml:space="preserve">, </w:t>
      </w:r>
      <w:proofErr w:type="spellStart"/>
      <w:r w:rsidRPr="00467DB8">
        <w:rPr>
          <w:rFonts w:ascii="Times New Roman" w:hAnsi="Times New Roman" w:cs="Times New Roman"/>
          <w:i/>
          <w:sz w:val="20"/>
          <w:szCs w:val="20"/>
        </w:rPr>
        <w:t>Idiosyncrasies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Max</w:t>
      </w:r>
      <w:proofErr w:type="spellEnd"/>
      <w:r w:rsidRPr="009975EA">
        <w:rPr>
          <w:rFonts w:ascii="Times New Roman" w:hAnsi="Times New Roman" w:cs="Times New Roman"/>
          <w:sz w:val="20"/>
          <w:szCs w:val="20"/>
        </w:rPr>
        <w:t xml:space="preserve"> Planck </w:t>
      </w:r>
      <w:proofErr w:type="spellStart"/>
      <w:r w:rsidRPr="009975EA">
        <w:rPr>
          <w:rFonts w:ascii="Times New Roman" w:hAnsi="Times New Roman" w:cs="Times New Roman"/>
          <w:sz w:val="20"/>
          <w:szCs w:val="20"/>
        </w:rPr>
        <w:t>Private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w:t>
      </w:r>
      <w:r>
        <w:rPr>
          <w:rFonts w:ascii="Times New Roman" w:hAnsi="Times New Roman" w:cs="Times New Roman"/>
          <w:sz w:val="20"/>
          <w:szCs w:val="20"/>
        </w:rPr>
        <w:t>esearch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Paper</w:t>
      </w:r>
      <w:proofErr w:type="spellEnd"/>
      <w:r>
        <w:rPr>
          <w:rFonts w:ascii="Times New Roman" w:hAnsi="Times New Roman" w:cs="Times New Roman"/>
          <w:sz w:val="20"/>
          <w:szCs w:val="20"/>
        </w:rPr>
        <w:t xml:space="preserve"> No. 15/8 (2015), at </w:t>
      </w:r>
      <w:r w:rsidRPr="009975EA">
        <w:rPr>
          <w:rFonts w:ascii="Times New Roman" w:hAnsi="Times New Roman" w:cs="Times New Roman"/>
          <w:sz w:val="20"/>
          <w:szCs w:val="20"/>
        </w:rPr>
        <w:t>23)</w:t>
      </w:r>
    </w:p>
  </w:footnote>
  <w:footnote w:id="259">
    <w:p w14:paraId="020DF861" w14:textId="3E76399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specific provisions are criticized by some scholars as they are too complicated, lack practicability and legal theory (See: </w:t>
      </w:r>
      <w:proofErr w:type="spellStart"/>
      <w:r>
        <w:rPr>
          <w:rFonts w:ascii="Times New Roman" w:hAnsi="Times New Roman" w:cs="Times New Roman"/>
          <w:color w:val="000000"/>
          <w:sz w:val="20"/>
          <w:szCs w:val="20"/>
        </w:rPr>
        <w:t>Caglar</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Manavgat</w:t>
      </w:r>
      <w:proofErr w:type="spellEnd"/>
      <w:r>
        <w:rPr>
          <w:rFonts w:ascii="Times New Roman" w:hAnsi="Times New Roman" w:cs="Times New Roman"/>
          <w:color w:val="000000"/>
          <w:sz w:val="20"/>
          <w:szCs w:val="20"/>
        </w:rPr>
        <w:t xml:space="preserve">, </w:t>
      </w:r>
      <w:proofErr w:type="spellStart"/>
      <w:r w:rsidRPr="00467DB8">
        <w:rPr>
          <w:rFonts w:ascii="Times New Roman" w:hAnsi="Times New Roman" w:cs="Times New Roman"/>
          <w:i/>
          <w:color w:val="000000"/>
          <w:sz w:val="20"/>
          <w:szCs w:val="20"/>
        </w:rPr>
        <w:t>Bagimsiz</w:t>
      </w:r>
      <w:proofErr w:type="spellEnd"/>
      <w:r w:rsidRPr="00467DB8">
        <w:rPr>
          <w:rFonts w:ascii="Times New Roman" w:hAnsi="Times New Roman" w:cs="Times New Roman"/>
          <w:i/>
          <w:color w:val="000000"/>
          <w:sz w:val="20"/>
          <w:szCs w:val="20"/>
        </w:rPr>
        <w:t xml:space="preserve"> </w:t>
      </w:r>
      <w:proofErr w:type="spellStart"/>
      <w:r w:rsidRPr="00467DB8">
        <w:rPr>
          <w:rFonts w:ascii="Times New Roman" w:hAnsi="Times New Roman" w:cs="Times New Roman"/>
          <w:i/>
          <w:color w:val="000000"/>
          <w:sz w:val="20"/>
          <w:szCs w:val="20"/>
        </w:rPr>
        <w:t>Yonetim</w:t>
      </w:r>
      <w:proofErr w:type="spellEnd"/>
      <w:r w:rsidRPr="00467DB8">
        <w:rPr>
          <w:rFonts w:ascii="Times New Roman" w:hAnsi="Times New Roman" w:cs="Times New Roman"/>
          <w:i/>
          <w:color w:val="000000"/>
          <w:sz w:val="20"/>
          <w:szCs w:val="20"/>
        </w:rPr>
        <w:t xml:space="preserve"> </w:t>
      </w:r>
      <w:proofErr w:type="spellStart"/>
      <w:r w:rsidRPr="00467DB8">
        <w:rPr>
          <w:rFonts w:ascii="Times New Roman" w:hAnsi="Times New Roman" w:cs="Times New Roman"/>
          <w:i/>
          <w:color w:val="000000"/>
          <w:sz w:val="20"/>
          <w:szCs w:val="20"/>
        </w:rPr>
        <w:t>Kurulu</w:t>
      </w:r>
      <w:proofErr w:type="spellEnd"/>
      <w:r w:rsidRPr="00467DB8">
        <w:rPr>
          <w:rFonts w:ascii="Times New Roman" w:hAnsi="Times New Roman" w:cs="Times New Roman"/>
          <w:i/>
          <w:color w:val="000000"/>
          <w:sz w:val="20"/>
          <w:szCs w:val="20"/>
        </w:rPr>
        <w:t xml:space="preserve"> </w:t>
      </w:r>
      <w:proofErr w:type="spellStart"/>
      <w:r w:rsidRPr="00467DB8">
        <w:rPr>
          <w:rFonts w:ascii="Times New Roman" w:hAnsi="Times New Roman" w:cs="Times New Roman"/>
          <w:i/>
          <w:color w:val="000000"/>
          <w:sz w:val="20"/>
          <w:szCs w:val="20"/>
        </w:rPr>
        <w:t>Uyelerinin</w:t>
      </w:r>
      <w:proofErr w:type="spellEnd"/>
      <w:r w:rsidRPr="00467DB8">
        <w:rPr>
          <w:rFonts w:ascii="Times New Roman" w:hAnsi="Times New Roman" w:cs="Times New Roman"/>
          <w:i/>
          <w:color w:val="000000"/>
          <w:sz w:val="20"/>
          <w:szCs w:val="20"/>
        </w:rPr>
        <w:t xml:space="preserve"> </w:t>
      </w:r>
      <w:proofErr w:type="spellStart"/>
      <w:r w:rsidRPr="00467DB8">
        <w:rPr>
          <w:rFonts w:ascii="Times New Roman" w:hAnsi="Times New Roman" w:cs="Times New Roman"/>
          <w:i/>
          <w:color w:val="000000"/>
          <w:sz w:val="20"/>
          <w:szCs w:val="20"/>
        </w:rPr>
        <w:t>Islevleri</w:t>
      </w:r>
      <w:proofErr w:type="spellEnd"/>
      <w:r w:rsidRPr="00467DB8">
        <w:rPr>
          <w:rFonts w:ascii="Times New Roman" w:hAnsi="Times New Roman" w:cs="Times New Roman"/>
          <w:i/>
          <w:color w:val="000000"/>
          <w:sz w:val="20"/>
          <w:szCs w:val="20"/>
        </w:rPr>
        <w:t xml:space="preserve"> ve </w:t>
      </w:r>
      <w:proofErr w:type="spellStart"/>
      <w:r w:rsidRPr="00467DB8">
        <w:rPr>
          <w:rFonts w:ascii="Times New Roman" w:hAnsi="Times New Roman" w:cs="Times New Roman"/>
          <w:i/>
          <w:color w:val="000000"/>
          <w:sz w:val="20"/>
          <w:szCs w:val="20"/>
        </w:rPr>
        <w:t>Sahip</w:t>
      </w:r>
      <w:proofErr w:type="spellEnd"/>
      <w:r w:rsidRPr="00467DB8">
        <w:rPr>
          <w:rFonts w:ascii="Times New Roman" w:hAnsi="Times New Roman" w:cs="Times New Roman"/>
          <w:i/>
          <w:color w:val="000000"/>
          <w:sz w:val="20"/>
          <w:szCs w:val="20"/>
        </w:rPr>
        <w:t xml:space="preserve"> </w:t>
      </w:r>
      <w:proofErr w:type="spellStart"/>
      <w:r w:rsidRPr="00467DB8">
        <w:rPr>
          <w:rFonts w:ascii="Times New Roman" w:hAnsi="Times New Roman" w:cs="Times New Roman"/>
          <w:i/>
          <w:color w:val="000000"/>
          <w:sz w:val="20"/>
          <w:szCs w:val="20"/>
        </w:rPr>
        <w:t>Olmalari</w:t>
      </w:r>
      <w:proofErr w:type="spellEnd"/>
      <w:r w:rsidRPr="00467DB8">
        <w:rPr>
          <w:rFonts w:ascii="Times New Roman" w:hAnsi="Times New Roman" w:cs="Times New Roman"/>
          <w:i/>
          <w:color w:val="000000"/>
          <w:sz w:val="20"/>
          <w:szCs w:val="20"/>
        </w:rPr>
        <w:t xml:space="preserve"> </w:t>
      </w:r>
      <w:proofErr w:type="spellStart"/>
      <w:r w:rsidRPr="00467DB8">
        <w:rPr>
          <w:rFonts w:ascii="Times New Roman" w:hAnsi="Times New Roman" w:cs="Times New Roman"/>
          <w:i/>
          <w:color w:val="000000"/>
          <w:sz w:val="20"/>
          <w:szCs w:val="20"/>
        </w:rPr>
        <w:t>Gereken</w:t>
      </w:r>
      <w:proofErr w:type="spellEnd"/>
      <w:r w:rsidRPr="00467DB8">
        <w:rPr>
          <w:rFonts w:ascii="Times New Roman" w:hAnsi="Times New Roman" w:cs="Times New Roman"/>
          <w:i/>
          <w:color w:val="000000"/>
          <w:sz w:val="20"/>
          <w:szCs w:val="20"/>
        </w:rPr>
        <w:t xml:space="preserve"> </w:t>
      </w:r>
      <w:proofErr w:type="spellStart"/>
      <w:r w:rsidRPr="00467DB8">
        <w:rPr>
          <w:rFonts w:ascii="Times New Roman" w:hAnsi="Times New Roman" w:cs="Times New Roman"/>
          <w:i/>
          <w:color w:val="000000"/>
          <w:sz w:val="20"/>
          <w:szCs w:val="20"/>
        </w:rPr>
        <w:t>Nitelikler</w:t>
      </w:r>
      <w:proofErr w:type="spellEnd"/>
      <w:r w:rsidRPr="009975EA">
        <w:rPr>
          <w:rFonts w:ascii="Times New Roman" w:hAnsi="Times New Roman" w:cs="Times New Roman"/>
          <w:color w:val="000000"/>
          <w:sz w:val="20"/>
          <w:szCs w:val="20"/>
        </w:rPr>
        <w:t>, BATIDER March 2014 Volume XXX I</w:t>
      </w:r>
      <w:r>
        <w:rPr>
          <w:rFonts w:ascii="Times New Roman" w:hAnsi="Times New Roman" w:cs="Times New Roman"/>
          <w:color w:val="000000"/>
          <w:sz w:val="20"/>
          <w:szCs w:val="20"/>
        </w:rPr>
        <w:t xml:space="preserve">ssue 1, p.62 and </w:t>
      </w:r>
      <w:proofErr w:type="spellStart"/>
      <w:r>
        <w:rPr>
          <w:rFonts w:ascii="Times New Roman" w:hAnsi="Times New Roman" w:cs="Times New Roman"/>
          <w:color w:val="000000"/>
          <w:sz w:val="20"/>
          <w:szCs w:val="20"/>
        </w:rPr>
        <w:t>Zuhtu</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Aytac</w:t>
      </w:r>
      <w:proofErr w:type="spellEnd"/>
      <w:r w:rsidRPr="00467DB8">
        <w:rPr>
          <w:rFonts w:ascii="Times New Roman" w:hAnsi="Times New Roman" w:cs="Times New Roman"/>
          <w:i/>
          <w:color w:val="000000"/>
          <w:sz w:val="20"/>
          <w:szCs w:val="20"/>
        </w:rPr>
        <w:t>, Liability of Board of Directors Arising from the Unlawful Use of Control</w:t>
      </w:r>
      <w:r w:rsidRPr="009975EA">
        <w:rPr>
          <w:rFonts w:ascii="Times New Roman" w:hAnsi="Times New Roman" w:cs="Times New Roman"/>
          <w:color w:val="000000"/>
          <w:sz w:val="20"/>
          <w:szCs w:val="20"/>
        </w:rPr>
        <w:t>, BATIDER Dec. 2013 Vol. XXIX Issue 4)</w:t>
      </w:r>
      <w:r w:rsidRPr="009975EA">
        <w:rPr>
          <w:rFonts w:ascii="Times New Roman" w:hAnsi="Times New Roman" w:cs="Times New Roman"/>
          <w:sz w:val="20"/>
          <w:szCs w:val="20"/>
        </w:rPr>
        <w:t xml:space="preserve">. </w:t>
      </w:r>
    </w:p>
  </w:footnote>
  <w:footnote w:id="260">
    <w:p w14:paraId="0D9D7B2E"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Aytac</w:t>
      </w:r>
      <w:proofErr w:type="spellEnd"/>
      <w:r w:rsidRPr="009975EA">
        <w:rPr>
          <w:rFonts w:ascii="Times New Roman" w:hAnsi="Times New Roman" w:cs="Times New Roman"/>
          <w:sz w:val="20"/>
          <w:szCs w:val="20"/>
        </w:rPr>
        <w:t>, p.11-13.</w:t>
      </w:r>
    </w:p>
  </w:footnote>
  <w:footnote w:id="261">
    <w:p w14:paraId="6D8B4E4D" w14:textId="5C720C2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w:t>
      </w:r>
      <w:proofErr w:type="spellStart"/>
      <w:r w:rsidRPr="009975EA">
        <w:rPr>
          <w:rFonts w:ascii="Times New Roman" w:hAnsi="Times New Roman" w:cs="Times New Roman"/>
          <w:sz w:val="20"/>
          <w:szCs w:val="20"/>
        </w:rPr>
        <w:t>Aytac</w:t>
      </w:r>
      <w:proofErr w:type="spellEnd"/>
      <w:r w:rsidRPr="009975EA">
        <w:rPr>
          <w:rFonts w:ascii="Times New Roman" w:hAnsi="Times New Roman" w:cs="Times New Roman"/>
          <w:sz w:val="20"/>
          <w:szCs w:val="20"/>
        </w:rPr>
        <w:t>, p.11-13.</w:t>
      </w:r>
      <w:r w:rsidR="00CE4B13">
        <w:rPr>
          <w:rFonts w:ascii="Times New Roman" w:hAnsi="Times New Roman" w:cs="Times New Roman"/>
          <w:sz w:val="20"/>
          <w:szCs w:val="20"/>
        </w:rPr>
        <w:t xml:space="preserve"> For a commentary on how shadow director theory may apply, see, </w:t>
      </w:r>
      <w:proofErr w:type="spellStart"/>
      <w:r w:rsidR="00CE4B13">
        <w:rPr>
          <w:rFonts w:ascii="Times New Roman" w:hAnsi="Times New Roman" w:cs="Times New Roman"/>
          <w:sz w:val="20"/>
          <w:szCs w:val="20"/>
        </w:rPr>
        <w:t>Cafer</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Eminoğlu</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Anonim</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Şirket</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Özelinde</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Fiili</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Yönetim</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Organı</w:t>
      </w:r>
      <w:proofErr w:type="spellEnd"/>
      <w:r w:rsidR="00CE4B13">
        <w:rPr>
          <w:rFonts w:ascii="Times New Roman" w:hAnsi="Times New Roman" w:cs="Times New Roman"/>
          <w:sz w:val="20"/>
          <w:szCs w:val="20"/>
        </w:rPr>
        <w:t xml:space="preserve"> (2022); for lifting the corporate veil, see, </w:t>
      </w:r>
      <w:proofErr w:type="spellStart"/>
      <w:r w:rsidR="00CE4B13">
        <w:rPr>
          <w:rFonts w:ascii="Times New Roman" w:hAnsi="Times New Roman" w:cs="Times New Roman"/>
          <w:sz w:val="20"/>
          <w:szCs w:val="20"/>
        </w:rPr>
        <w:t>Veliye</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Yanlı</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Anonim</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Ortaklıkta</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Tüzel</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Kişilik</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Perdesinin</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Kaldırılması</w:t>
      </w:r>
      <w:proofErr w:type="spellEnd"/>
      <w:r w:rsidR="00CE4B13">
        <w:rPr>
          <w:rFonts w:ascii="Times New Roman" w:hAnsi="Times New Roman" w:cs="Times New Roman"/>
          <w:sz w:val="20"/>
          <w:szCs w:val="20"/>
        </w:rPr>
        <w:t xml:space="preserve"> (2000); for shareholder fiduciary duties, see, </w:t>
      </w:r>
      <w:proofErr w:type="spellStart"/>
      <w:r w:rsidR="00CE4B13">
        <w:rPr>
          <w:rFonts w:ascii="Times New Roman" w:hAnsi="Times New Roman" w:cs="Times New Roman"/>
          <w:sz w:val="20"/>
          <w:szCs w:val="20"/>
        </w:rPr>
        <w:t>Ömer</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Teoman</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Yaşayan</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Ticaret</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Hukuku</w:t>
      </w:r>
      <w:proofErr w:type="spellEnd"/>
      <w:r w:rsidR="00CE4B13">
        <w:rPr>
          <w:rFonts w:ascii="Times New Roman" w:hAnsi="Times New Roman" w:cs="Times New Roman"/>
          <w:sz w:val="20"/>
          <w:szCs w:val="20"/>
        </w:rPr>
        <w:t xml:space="preserve"> </w:t>
      </w:r>
      <w:proofErr w:type="spellStart"/>
      <w:r w:rsidR="00CE4B13">
        <w:rPr>
          <w:rFonts w:ascii="Times New Roman" w:hAnsi="Times New Roman" w:cs="Times New Roman"/>
          <w:sz w:val="20"/>
          <w:szCs w:val="20"/>
        </w:rPr>
        <w:t>Kitap</w:t>
      </w:r>
      <w:proofErr w:type="spellEnd"/>
      <w:r w:rsidR="00CE4B13">
        <w:rPr>
          <w:rFonts w:ascii="Times New Roman" w:hAnsi="Times New Roman" w:cs="Times New Roman"/>
          <w:sz w:val="20"/>
          <w:szCs w:val="20"/>
        </w:rPr>
        <w:t xml:space="preserve"> 12 (2008), p. 35- 42.</w:t>
      </w:r>
    </w:p>
  </w:footnote>
  <w:footnote w:id="262">
    <w:p w14:paraId="76468D5C" w14:textId="219BF02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Aytaç</w:t>
      </w:r>
      <w:proofErr w:type="spellEnd"/>
      <w:r w:rsidRPr="009975EA">
        <w:rPr>
          <w:rFonts w:ascii="Times New Roman" w:hAnsi="Times New Roman" w:cs="Times New Roman"/>
          <w:sz w:val="20"/>
          <w:szCs w:val="20"/>
        </w:rPr>
        <w:t>, p. 52</w:t>
      </w:r>
    </w:p>
  </w:footnote>
  <w:footnote w:id="263">
    <w:p w14:paraId="05E1EAC4" w14:textId="0115BEE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Michael P. Dooley, </w:t>
      </w:r>
      <w:r w:rsidRPr="009975EA">
        <w:rPr>
          <w:rFonts w:ascii="Times New Roman" w:hAnsi="Times New Roman" w:cs="Times New Roman"/>
          <w:sz w:val="20"/>
          <w:szCs w:val="20"/>
        </w:rPr>
        <w:t>Michael D. Goldman</w:t>
      </w:r>
      <w:r w:rsidRPr="00EF1A8C">
        <w:rPr>
          <w:rFonts w:ascii="Times New Roman" w:hAnsi="Times New Roman" w:cs="Times New Roman"/>
          <w:i/>
          <w:sz w:val="20"/>
          <w:szCs w:val="20"/>
        </w:rPr>
        <w:t>, Some Comparisons Between the Model Business Corporation Act and the Delaware General Corporation Law,</w:t>
      </w:r>
      <w:r>
        <w:rPr>
          <w:rFonts w:ascii="Times New Roman" w:hAnsi="Times New Roman" w:cs="Times New Roman"/>
          <w:sz w:val="20"/>
          <w:szCs w:val="20"/>
        </w:rPr>
        <w:t xml:space="preserve"> 56 Bus. Law. 737 (2001), </w:t>
      </w:r>
      <w:r w:rsidR="00F37175">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749.</w:t>
      </w:r>
    </w:p>
  </w:footnote>
  <w:footnote w:id="264">
    <w:p w14:paraId="3BF3CD78" w14:textId="2765A2F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Klopot</w:t>
      </w:r>
      <w:proofErr w:type="spellEnd"/>
      <w:r w:rsidRPr="009975EA">
        <w:rPr>
          <w:rFonts w:ascii="Times New Roman" w:hAnsi="Times New Roman" w:cs="Times New Roman"/>
          <w:sz w:val="20"/>
          <w:szCs w:val="20"/>
        </w:rPr>
        <w:t xml:space="preserve"> v. Northrup, 131 Conn. 14 (1944).</w:t>
      </w:r>
    </w:p>
  </w:footnote>
  <w:footnote w:id="265">
    <w:p w14:paraId="3D6CA498" w14:textId="3A484D4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 Hodge O’Neal, </w:t>
      </w:r>
      <w:r w:rsidRPr="00AE32DD">
        <w:rPr>
          <w:rFonts w:ascii="Times New Roman" w:hAnsi="Times New Roman" w:cs="Times New Roman"/>
          <w:i/>
          <w:sz w:val="20"/>
          <w:szCs w:val="20"/>
        </w:rPr>
        <w:t>Oppression of Minority Shareholders: Protecting Minority Rights,</w:t>
      </w:r>
      <w:r w:rsidRPr="009975EA">
        <w:rPr>
          <w:rFonts w:ascii="Times New Roman" w:hAnsi="Times New Roman" w:cs="Times New Roman"/>
          <w:sz w:val="20"/>
          <w:szCs w:val="20"/>
        </w:rPr>
        <w:t xml:space="preserve"> 35 </w:t>
      </w:r>
      <w:proofErr w:type="spellStart"/>
      <w:r w:rsidRPr="009975EA">
        <w:rPr>
          <w:rFonts w:ascii="Times New Roman" w:hAnsi="Times New Roman" w:cs="Times New Roman"/>
          <w:sz w:val="20"/>
          <w:szCs w:val="20"/>
        </w:rPr>
        <w:t>Clev</w:t>
      </w:r>
      <w:proofErr w:type="spellEnd"/>
      <w:r w:rsidRPr="009975EA">
        <w:rPr>
          <w:rFonts w:ascii="Times New Roman" w:hAnsi="Times New Roman" w:cs="Times New Roman"/>
          <w:sz w:val="20"/>
          <w:szCs w:val="20"/>
        </w:rPr>
        <w:t>. S</w:t>
      </w:r>
      <w:r>
        <w:rPr>
          <w:rFonts w:ascii="Times New Roman" w:hAnsi="Times New Roman" w:cs="Times New Roman"/>
          <w:sz w:val="20"/>
          <w:szCs w:val="20"/>
        </w:rPr>
        <w:t xml:space="preserve">t. L. Rev. 121 (1987), </w:t>
      </w:r>
      <w:r w:rsidR="00F37175">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134.</w:t>
      </w:r>
    </w:p>
  </w:footnote>
  <w:footnote w:id="266">
    <w:p w14:paraId="18D961A9" w14:textId="02C85AB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Barry M. Wertheimer, </w:t>
      </w:r>
      <w:r w:rsidRPr="00AE32DD">
        <w:rPr>
          <w:rFonts w:ascii="Times New Roman" w:hAnsi="Times New Roman" w:cs="Times New Roman"/>
          <w:i/>
          <w:sz w:val="20"/>
          <w:szCs w:val="20"/>
        </w:rPr>
        <w:t xml:space="preserve">The Shareholders’ Appraisal Remedy and How </w:t>
      </w:r>
      <w:proofErr w:type="spellStart"/>
      <w:r w:rsidRPr="00AE32DD">
        <w:rPr>
          <w:rFonts w:ascii="Times New Roman" w:hAnsi="Times New Roman" w:cs="Times New Roman"/>
          <w:i/>
          <w:sz w:val="20"/>
          <w:szCs w:val="20"/>
        </w:rPr>
        <w:t>Coruts</w:t>
      </w:r>
      <w:proofErr w:type="spellEnd"/>
      <w:r w:rsidRPr="00AE32DD">
        <w:rPr>
          <w:rFonts w:ascii="Times New Roman" w:hAnsi="Times New Roman" w:cs="Times New Roman"/>
          <w:i/>
          <w:sz w:val="20"/>
          <w:szCs w:val="20"/>
        </w:rPr>
        <w:t xml:space="preserve"> Determine Fair Value</w:t>
      </w:r>
      <w:r>
        <w:rPr>
          <w:rFonts w:ascii="Times New Roman" w:hAnsi="Times New Roman" w:cs="Times New Roman"/>
          <w:sz w:val="20"/>
          <w:szCs w:val="20"/>
        </w:rPr>
        <w:t xml:space="preserve">, 47 Duke L.J. 613 (1998), </w:t>
      </w:r>
      <w:r w:rsidR="00F37175">
        <w:rPr>
          <w:rFonts w:ascii="Times New Roman" w:hAnsi="Times New Roman" w:cs="Times New Roman"/>
          <w:sz w:val="20"/>
          <w:szCs w:val="20"/>
        </w:rPr>
        <w:t>p.</w:t>
      </w:r>
      <w:r w:rsidRPr="009975EA">
        <w:rPr>
          <w:rFonts w:ascii="Times New Roman" w:hAnsi="Times New Roman" w:cs="Times New Roman"/>
          <w:sz w:val="20"/>
          <w:szCs w:val="20"/>
        </w:rPr>
        <w:t xml:space="preserve"> 613.</w:t>
      </w:r>
    </w:p>
  </w:footnote>
  <w:footnote w:id="267">
    <w:p w14:paraId="20094C14" w14:textId="236E1EF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et. al., p. 205.</w:t>
      </w:r>
    </w:p>
  </w:footnote>
  <w:footnote w:id="268">
    <w:p w14:paraId="1B3C8866" w14:textId="4BACD88C"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Voeller</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Neilston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Warehouse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311 U.S. 531 (1941), </w:t>
      </w:r>
      <w:proofErr w:type="spellStart"/>
      <w:r w:rsidRPr="009975EA">
        <w:rPr>
          <w:rFonts w:ascii="Times New Roman" w:hAnsi="Times New Roman" w:cs="Times New Roman"/>
          <w:sz w:val="20"/>
          <w:szCs w:val="20"/>
        </w:rPr>
        <w:t>Footnote</w:t>
      </w:r>
      <w:proofErr w:type="spellEnd"/>
      <w:r w:rsidRPr="009975EA">
        <w:rPr>
          <w:rFonts w:ascii="Times New Roman" w:hAnsi="Times New Roman" w:cs="Times New Roman"/>
          <w:sz w:val="20"/>
          <w:szCs w:val="20"/>
        </w:rPr>
        <w:t xml:space="preserve"> 6: “</w:t>
      </w:r>
      <w:r w:rsidRPr="009975EA">
        <w:rPr>
          <w:rFonts w:ascii="Times New Roman" w:hAnsi="Times New Roman" w:cs="Times New Roman"/>
          <w:color w:val="000000"/>
          <w:sz w:val="20"/>
          <w:szCs w:val="20"/>
        </w:rPr>
        <w:t xml:space="preserve">At </w:t>
      </w:r>
      <w:proofErr w:type="spellStart"/>
      <w:r w:rsidRPr="009975EA">
        <w:rPr>
          <w:rFonts w:ascii="Times New Roman" w:hAnsi="Times New Roman" w:cs="Times New Roman"/>
          <w:color w:val="000000"/>
          <w:sz w:val="20"/>
          <w:szCs w:val="20"/>
        </w:rPr>
        <w:t>common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unanimous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prerequisite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fundamental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changes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made</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possible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arbitrary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establish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nuisance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refusal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cooperate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meet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situation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legislatures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authorized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making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changes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however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opened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victimization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solve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dilemma, </w:t>
      </w:r>
      <w:proofErr w:type="spellStart"/>
      <w:r w:rsidRPr="009975EA">
        <w:rPr>
          <w:rFonts w:ascii="Times New Roman" w:hAnsi="Times New Roman" w:cs="Times New Roman"/>
          <w:color w:val="000000"/>
          <w:sz w:val="20"/>
          <w:szCs w:val="20"/>
        </w:rPr>
        <w:t>statutes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permitting</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dissenting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recover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appraised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widely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adopted</w:t>
      </w:r>
      <w:proofErr w:type="spellEnd"/>
      <w:r w:rsidRPr="009975EA">
        <w:rPr>
          <w:rFonts w:ascii="Times New Roman" w:hAnsi="Times New Roman" w:cs="Times New Roman"/>
          <w:color w:val="000000"/>
          <w:sz w:val="20"/>
          <w:szCs w:val="20"/>
        </w:rPr>
        <w:t>.”</w:t>
      </w:r>
    </w:p>
  </w:footnote>
  <w:footnote w:id="269">
    <w:p w14:paraId="70B4BD4A" w14:textId="3229B282"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Model </w:t>
      </w:r>
      <w:proofErr w:type="spellStart"/>
      <w:r w:rsidRPr="009975EA">
        <w:rPr>
          <w:rFonts w:ascii="Times New Roman" w:hAnsi="Times New Roman" w:cs="Times New Roman"/>
          <w:color w:val="000000"/>
          <w:sz w:val="20"/>
          <w:szCs w:val="20"/>
        </w:rPr>
        <w:t>Bus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w:t>
      </w:r>
      <w:proofErr w:type="spellEnd"/>
      <w:r w:rsidRPr="009975EA">
        <w:rPr>
          <w:rFonts w:ascii="Times New Roman" w:hAnsi="Times New Roman" w:cs="Times New Roman"/>
          <w:color w:val="000000"/>
          <w:sz w:val="20"/>
          <w:szCs w:val="20"/>
        </w:rPr>
        <w:t xml:space="preserve">. 13.01 </w:t>
      </w:r>
      <w:proofErr w:type="spellStart"/>
      <w:r w:rsidRPr="009975EA">
        <w:rPr>
          <w:rFonts w:ascii="Times New Roman" w:hAnsi="Times New Roman" w:cs="Times New Roman"/>
          <w:color w:val="000000"/>
          <w:sz w:val="20"/>
          <w:szCs w:val="20"/>
        </w:rPr>
        <w:t>Official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Comment</w:t>
      </w:r>
      <w:proofErr w:type="spellEnd"/>
      <w:r w:rsidRPr="009975EA">
        <w:rPr>
          <w:rFonts w:ascii="Times New Roman" w:hAnsi="Times New Roman" w:cs="Times New Roman"/>
          <w:color w:val="000000"/>
          <w:sz w:val="20"/>
          <w:szCs w:val="20"/>
        </w:rPr>
        <w:t xml:space="preserve">. 1 (2007) on </w:t>
      </w:r>
      <w:proofErr w:type="spellStart"/>
      <w:r w:rsidRPr="009975EA">
        <w:rPr>
          <w:rFonts w:ascii="Times New Roman" w:hAnsi="Times New Roman" w:cs="Times New Roman"/>
          <w:color w:val="000000"/>
          <w:sz w:val="20"/>
          <w:szCs w:val="20"/>
        </w:rPr>
        <w:t>appraisal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Paramount</w:t>
      </w:r>
      <w:proofErr w:type="spellEnd"/>
      <w:r w:rsidRPr="009975EA">
        <w:rPr>
          <w:rFonts w:ascii="Times New Roman" w:hAnsi="Times New Roman" w:cs="Times New Roman"/>
          <w:color w:val="000000"/>
          <w:sz w:val="20"/>
          <w:szCs w:val="20"/>
        </w:rPr>
        <w:t xml:space="preserve"> Communications </w:t>
      </w:r>
      <w:proofErr w:type="spellStart"/>
      <w:r w:rsidRPr="009975EA">
        <w:rPr>
          <w:rFonts w:ascii="Times New Roman" w:hAnsi="Times New Roman" w:cs="Times New Roman"/>
          <w:color w:val="000000"/>
          <w:sz w:val="20"/>
          <w:szCs w:val="20"/>
        </w:rPr>
        <w:t>Inc</w:t>
      </w:r>
      <w:proofErr w:type="spellEnd"/>
      <w:r w:rsidRPr="009975EA">
        <w:rPr>
          <w:rFonts w:ascii="Times New Roman" w:hAnsi="Times New Roman" w:cs="Times New Roman"/>
          <w:color w:val="000000"/>
          <w:sz w:val="20"/>
          <w:szCs w:val="20"/>
        </w:rPr>
        <w:t xml:space="preserve">. v. QVC Network </w:t>
      </w:r>
      <w:proofErr w:type="spellStart"/>
      <w:r w:rsidRPr="009975EA">
        <w:rPr>
          <w:rFonts w:ascii="Times New Roman" w:hAnsi="Times New Roman" w:cs="Times New Roman"/>
          <w:color w:val="000000"/>
          <w:sz w:val="20"/>
          <w:szCs w:val="20"/>
        </w:rPr>
        <w:t>Inc</w:t>
      </w:r>
      <w:proofErr w:type="spellEnd"/>
      <w:r w:rsidRPr="009975EA">
        <w:rPr>
          <w:rFonts w:ascii="Times New Roman" w:hAnsi="Times New Roman" w:cs="Times New Roman"/>
          <w:color w:val="000000"/>
          <w:sz w:val="20"/>
          <w:szCs w:val="20"/>
        </w:rPr>
        <w:t xml:space="preserve">., 637 A.2d 34 (1993), </w:t>
      </w:r>
      <w:proofErr w:type="spellStart"/>
      <w:r w:rsidRPr="009975EA">
        <w:rPr>
          <w:rFonts w:ascii="Times New Roman" w:hAnsi="Times New Roman" w:cs="Times New Roman"/>
          <w:color w:val="000000"/>
          <w:sz w:val="20"/>
          <w:szCs w:val="20"/>
        </w:rPr>
        <w:t>explaining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rationale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enhanced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scrutiny</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sale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change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control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transactions</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Absent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effective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solely</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w:t>
      </w:r>
      <w:proofErr w:type="spellEnd"/>
      <w:r w:rsidRPr="009975EA">
        <w:rPr>
          <w:rFonts w:ascii="Times New Roman" w:hAnsi="Times New Roman" w:cs="Times New Roman"/>
          <w:color w:val="000000"/>
          <w:sz w:val="20"/>
          <w:szCs w:val="20"/>
        </w:rPr>
        <w:t xml:space="preserve">, since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influence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ballot</w:t>
      </w:r>
      <w:proofErr w:type="spellEnd"/>
      <w:r w:rsidRPr="009975EA">
        <w:rPr>
          <w:rFonts w:ascii="Times New Roman" w:hAnsi="Times New Roman" w:cs="Times New Roman"/>
          <w:color w:val="000000"/>
          <w:sz w:val="20"/>
          <w:szCs w:val="20"/>
        </w:rPr>
        <w:t xml:space="preserve">… Board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circumstances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presented</w:t>
      </w:r>
      <w:proofErr w:type="spellEnd"/>
      <w:r w:rsidRPr="009975EA">
        <w:rPr>
          <w:rFonts w:ascii="Times New Roman" w:hAnsi="Times New Roman" w:cs="Times New Roman"/>
          <w:color w:val="000000"/>
          <w:sz w:val="20"/>
          <w:szCs w:val="20"/>
        </w:rPr>
        <w:t xml:space="preserve"> here is </w:t>
      </w:r>
      <w:proofErr w:type="spellStart"/>
      <w:r w:rsidRPr="009975EA">
        <w:rPr>
          <w:rFonts w:ascii="Times New Roman" w:hAnsi="Times New Roman" w:cs="Times New Roman"/>
          <w:color w:val="000000"/>
          <w:sz w:val="20"/>
          <w:szCs w:val="20"/>
        </w:rPr>
        <w:t>subject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enhanced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scrutiny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scrutiny</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mandated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threatened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diminution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current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w:t>
      </w:r>
      <w:proofErr w:type="spellEnd"/>
      <w:r w:rsidRPr="009975EA">
        <w:rPr>
          <w:rFonts w:ascii="Times New Roman" w:hAnsi="Times New Roman" w:cs="Times New Roman"/>
          <w:color w:val="000000"/>
          <w:sz w:val="20"/>
          <w:szCs w:val="20"/>
        </w:rPr>
        <w:t xml:space="preserve">; (b)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asset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belonging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control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premium</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being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never</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available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(c)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traditional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concern</w:t>
      </w:r>
      <w:proofErr w:type="spellEnd"/>
      <w:r w:rsidRPr="009975EA">
        <w:rPr>
          <w:rFonts w:ascii="Times New Roman" w:hAnsi="Times New Roman" w:cs="Times New Roman"/>
          <w:color w:val="000000"/>
          <w:sz w:val="20"/>
          <w:szCs w:val="20"/>
        </w:rPr>
        <w:t xml:space="preserve"> of Delaware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impede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w:t>
      </w:r>
    </w:p>
  </w:footnote>
  <w:footnote w:id="270">
    <w:p w14:paraId="65E327AB" w14:textId="22467316" w:rsidR="00D36541" w:rsidRPr="009975EA" w:rsidRDefault="00D36541" w:rsidP="009975EA">
      <w:pPr>
        <w:pStyle w:val="DipnotMetni"/>
        <w:tabs>
          <w:tab w:val="left" w:pos="5817"/>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Dooley/Goldman, p. 750- 756.</w:t>
      </w:r>
      <w:r w:rsidRPr="009975EA">
        <w:rPr>
          <w:rFonts w:ascii="Times New Roman" w:hAnsi="Times New Roman" w:cs="Times New Roman"/>
          <w:sz w:val="20"/>
          <w:szCs w:val="20"/>
        </w:rPr>
        <w:tab/>
      </w:r>
    </w:p>
  </w:footnote>
  <w:footnote w:id="271">
    <w:p w14:paraId="75FFE3DA" w14:textId="07E417E4"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xml:space="preserve">, et. al., p. 205. </w:t>
      </w:r>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approval</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required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transactions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changes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constitution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support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proposition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members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run</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choose</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Janice</w:t>
      </w:r>
      <w:proofErr w:type="spellEnd"/>
      <w:r w:rsidRPr="009975EA">
        <w:rPr>
          <w:rFonts w:ascii="Times New Roman" w:hAnsi="Times New Roman" w:cs="Times New Roman"/>
          <w:color w:val="000000"/>
          <w:sz w:val="20"/>
          <w:szCs w:val="20"/>
        </w:rPr>
        <w:t xml:space="preserve"> Dean</w:t>
      </w:r>
      <w:r w:rsidRPr="00AE32DD">
        <w:rPr>
          <w:rFonts w:ascii="Times New Roman" w:hAnsi="Times New Roman" w:cs="Times New Roman"/>
          <w:i/>
          <w:color w:val="000000"/>
          <w:sz w:val="20"/>
          <w:szCs w:val="20"/>
        </w:rPr>
        <w:t xml:space="preserve">, </w:t>
      </w:r>
      <w:proofErr w:type="spellStart"/>
      <w:r w:rsidRPr="00AE32DD">
        <w:rPr>
          <w:rFonts w:ascii="Times New Roman" w:hAnsi="Times New Roman" w:cs="Times New Roman"/>
          <w:i/>
          <w:color w:val="000000"/>
          <w:sz w:val="20"/>
          <w:szCs w:val="20"/>
        </w:rPr>
        <w:t>Directing</w:t>
      </w:r>
      <w:proofErr w:type="spellEnd"/>
      <w:r w:rsidRPr="00AE32DD">
        <w:rPr>
          <w:rFonts w:ascii="Times New Roman" w:hAnsi="Times New Roman" w:cs="Times New Roman"/>
          <w:i/>
          <w:color w:val="000000"/>
          <w:sz w:val="20"/>
          <w:szCs w:val="20"/>
        </w:rPr>
        <w:t xml:space="preserve"> </w:t>
      </w:r>
      <w:proofErr w:type="spellStart"/>
      <w:r w:rsidRPr="00AE32DD">
        <w:rPr>
          <w:rFonts w:ascii="Times New Roman" w:hAnsi="Times New Roman" w:cs="Times New Roman"/>
          <w:i/>
          <w:color w:val="000000"/>
          <w:sz w:val="20"/>
          <w:szCs w:val="20"/>
        </w:rPr>
        <w:t>Public</w:t>
      </w:r>
      <w:proofErr w:type="spellEnd"/>
      <w:r w:rsidRPr="00AE32DD">
        <w:rPr>
          <w:rFonts w:ascii="Times New Roman" w:hAnsi="Times New Roman" w:cs="Times New Roman"/>
          <w:i/>
          <w:color w:val="000000"/>
          <w:sz w:val="20"/>
          <w:szCs w:val="20"/>
        </w:rPr>
        <w:t xml:space="preserve"> </w:t>
      </w:r>
      <w:proofErr w:type="spellStart"/>
      <w:r w:rsidRPr="00AE32DD">
        <w:rPr>
          <w:rFonts w:ascii="Times New Roman" w:hAnsi="Times New Roman" w:cs="Times New Roman"/>
          <w:i/>
          <w:color w:val="000000"/>
          <w:sz w:val="20"/>
          <w:szCs w:val="20"/>
        </w:rPr>
        <w:t>Companies</w:t>
      </w:r>
      <w:proofErr w:type="spellEnd"/>
      <w:r w:rsidRPr="00AE32DD">
        <w:rPr>
          <w:rFonts w:ascii="Times New Roman" w:hAnsi="Times New Roman" w:cs="Times New Roman"/>
          <w:i/>
          <w:color w:val="000000"/>
          <w:sz w:val="20"/>
          <w:szCs w:val="20"/>
        </w:rPr>
        <w:t xml:space="preserve">: </w:t>
      </w:r>
      <w:proofErr w:type="spellStart"/>
      <w:r w:rsidRPr="00AE32DD">
        <w:rPr>
          <w:rFonts w:ascii="Times New Roman" w:hAnsi="Times New Roman" w:cs="Times New Roman"/>
          <w:i/>
          <w:color w:val="000000"/>
          <w:sz w:val="20"/>
          <w:szCs w:val="20"/>
        </w:rPr>
        <w:t>Company</w:t>
      </w:r>
      <w:proofErr w:type="spellEnd"/>
      <w:r w:rsidRPr="00AE32DD">
        <w:rPr>
          <w:rFonts w:ascii="Times New Roman" w:hAnsi="Times New Roman" w:cs="Times New Roman"/>
          <w:i/>
          <w:color w:val="000000"/>
          <w:sz w:val="20"/>
          <w:szCs w:val="20"/>
        </w:rPr>
        <w:t xml:space="preserve"> </w:t>
      </w:r>
      <w:proofErr w:type="spellStart"/>
      <w:r w:rsidRPr="00AE32DD">
        <w:rPr>
          <w:rFonts w:ascii="Times New Roman" w:hAnsi="Times New Roman" w:cs="Times New Roman"/>
          <w:i/>
          <w:color w:val="000000"/>
          <w:sz w:val="20"/>
          <w:szCs w:val="20"/>
        </w:rPr>
        <w:t>Law</w:t>
      </w:r>
      <w:proofErr w:type="spellEnd"/>
      <w:r w:rsidRPr="00AE32DD">
        <w:rPr>
          <w:rFonts w:ascii="Times New Roman" w:hAnsi="Times New Roman" w:cs="Times New Roman"/>
          <w:i/>
          <w:color w:val="000000"/>
          <w:sz w:val="20"/>
          <w:szCs w:val="20"/>
        </w:rPr>
        <w:t xml:space="preserve"> </w:t>
      </w:r>
      <w:proofErr w:type="spellStart"/>
      <w:r w:rsidRPr="00AE32DD">
        <w:rPr>
          <w:rFonts w:ascii="Times New Roman" w:hAnsi="Times New Roman" w:cs="Times New Roman"/>
          <w:i/>
          <w:color w:val="000000"/>
          <w:sz w:val="20"/>
          <w:szCs w:val="20"/>
        </w:rPr>
        <w:t>and</w:t>
      </w:r>
      <w:proofErr w:type="spellEnd"/>
      <w:r w:rsidRPr="00AE32DD">
        <w:rPr>
          <w:rFonts w:ascii="Times New Roman" w:hAnsi="Times New Roman" w:cs="Times New Roman"/>
          <w:i/>
          <w:color w:val="000000"/>
          <w:sz w:val="20"/>
          <w:szCs w:val="20"/>
        </w:rPr>
        <w:t xml:space="preserve"> </w:t>
      </w:r>
      <w:proofErr w:type="spellStart"/>
      <w:r w:rsidRPr="00AE32DD">
        <w:rPr>
          <w:rFonts w:ascii="Times New Roman" w:hAnsi="Times New Roman" w:cs="Times New Roman"/>
          <w:i/>
          <w:color w:val="000000"/>
          <w:sz w:val="20"/>
          <w:szCs w:val="20"/>
        </w:rPr>
        <w:t>the</w:t>
      </w:r>
      <w:proofErr w:type="spellEnd"/>
      <w:r w:rsidRPr="00AE32DD">
        <w:rPr>
          <w:rFonts w:ascii="Times New Roman" w:hAnsi="Times New Roman" w:cs="Times New Roman"/>
          <w:i/>
          <w:color w:val="000000"/>
          <w:sz w:val="20"/>
          <w:szCs w:val="20"/>
        </w:rPr>
        <w:t xml:space="preserve"> </w:t>
      </w:r>
      <w:proofErr w:type="spellStart"/>
      <w:r w:rsidRPr="00AE32DD">
        <w:rPr>
          <w:rFonts w:ascii="Times New Roman" w:hAnsi="Times New Roman" w:cs="Times New Roman"/>
          <w:i/>
          <w:color w:val="000000"/>
          <w:sz w:val="20"/>
          <w:szCs w:val="20"/>
        </w:rPr>
        <w:t>Stakeholder</w:t>
      </w:r>
      <w:proofErr w:type="spellEnd"/>
      <w:r w:rsidRPr="00AE32DD">
        <w:rPr>
          <w:rFonts w:ascii="Times New Roman" w:hAnsi="Times New Roman" w:cs="Times New Roman"/>
          <w:i/>
          <w:color w:val="000000"/>
          <w:sz w:val="20"/>
          <w:szCs w:val="20"/>
        </w:rPr>
        <w:t xml:space="preserve"> </w:t>
      </w:r>
      <w:proofErr w:type="spellStart"/>
      <w:r w:rsidRPr="00AE32DD">
        <w:rPr>
          <w:rFonts w:ascii="Times New Roman" w:hAnsi="Times New Roman" w:cs="Times New Roman"/>
          <w:i/>
          <w:color w:val="000000"/>
          <w:sz w:val="20"/>
          <w:szCs w:val="20"/>
        </w:rPr>
        <w:t>Society</w:t>
      </w:r>
      <w:proofErr w:type="spellEnd"/>
      <w:r>
        <w:rPr>
          <w:rFonts w:ascii="Times New Roman" w:hAnsi="Times New Roman" w:cs="Times New Roman"/>
          <w:color w:val="000000"/>
          <w:sz w:val="20"/>
          <w:szCs w:val="20"/>
        </w:rPr>
        <w:t xml:space="preserve"> 36 (</w:t>
      </w:r>
      <w:r w:rsidRPr="009975EA">
        <w:rPr>
          <w:rFonts w:ascii="Times New Roman" w:hAnsi="Times New Roman" w:cs="Times New Roman"/>
          <w:color w:val="000000"/>
          <w:sz w:val="20"/>
          <w:szCs w:val="20"/>
        </w:rPr>
        <w:t>2001</w:t>
      </w:r>
      <w:r>
        <w:rPr>
          <w:rFonts w:ascii="Times New Roman" w:hAnsi="Times New Roman" w:cs="Times New Roman"/>
          <w:color w:val="000000"/>
          <w:sz w:val="20"/>
          <w:szCs w:val="20"/>
        </w:rPr>
        <w:t>)</w:t>
      </w:r>
      <w:r w:rsidRPr="009975EA">
        <w:rPr>
          <w:rFonts w:ascii="Times New Roman" w:hAnsi="Times New Roman" w:cs="Times New Roman"/>
          <w:color w:val="000000"/>
          <w:sz w:val="20"/>
          <w:szCs w:val="20"/>
        </w:rPr>
        <w:t>)</w:t>
      </w:r>
    </w:p>
  </w:footnote>
  <w:footnote w:id="272">
    <w:p w14:paraId="6BAE51F3" w14:textId="11DEBFD5" w:rsidR="00D36541" w:rsidRPr="009975EA" w:rsidRDefault="00D36541" w:rsidP="00AE32DD">
      <w:pPr>
        <w:pStyle w:val="DipnotMetni"/>
        <w:tabs>
          <w:tab w:val="left" w:pos="6394"/>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Official Comment to CML Article 24.</w:t>
      </w:r>
      <w:r>
        <w:rPr>
          <w:rFonts w:ascii="Times New Roman" w:hAnsi="Times New Roman" w:cs="Times New Roman"/>
          <w:sz w:val="20"/>
          <w:szCs w:val="20"/>
        </w:rPr>
        <w:tab/>
      </w:r>
    </w:p>
  </w:footnote>
  <w:footnote w:id="273">
    <w:p w14:paraId="581704A5" w14:textId="4C1F305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Communique on Significant Transactions and the Retirement Right (“Significant Transactions </w:t>
      </w:r>
      <w:proofErr w:type="spellStart"/>
      <w:r w:rsidRPr="009975EA">
        <w:rPr>
          <w:rFonts w:ascii="Times New Roman" w:hAnsi="Times New Roman" w:cs="Times New Roman"/>
          <w:sz w:val="20"/>
          <w:szCs w:val="20"/>
        </w:rPr>
        <w:t>Comminique</w:t>
      </w:r>
      <w:proofErr w:type="spellEnd"/>
      <w:r w:rsidRPr="009975EA">
        <w:rPr>
          <w:rFonts w:ascii="Times New Roman" w:hAnsi="Times New Roman" w:cs="Times New Roman"/>
          <w:sz w:val="20"/>
          <w:szCs w:val="20"/>
        </w:rPr>
        <w:t xml:space="preserve">”), Official Gazette Number: </w:t>
      </w:r>
      <w:r w:rsidR="0030786B">
        <w:rPr>
          <w:rFonts w:ascii="Times New Roman" w:hAnsi="Times New Roman" w:cs="Times New Roman"/>
          <w:sz w:val="20"/>
          <w:szCs w:val="20"/>
        </w:rPr>
        <w:t>31168</w:t>
      </w:r>
      <w:r w:rsidR="0030786B" w:rsidRPr="009975EA">
        <w:rPr>
          <w:rFonts w:ascii="Times New Roman" w:hAnsi="Times New Roman" w:cs="Times New Roman"/>
          <w:sz w:val="20"/>
          <w:szCs w:val="20"/>
        </w:rPr>
        <w:t xml:space="preserve"> </w:t>
      </w:r>
      <w:r w:rsidRPr="009975EA">
        <w:rPr>
          <w:rFonts w:ascii="Times New Roman" w:hAnsi="Times New Roman" w:cs="Times New Roman"/>
          <w:sz w:val="20"/>
          <w:szCs w:val="20"/>
        </w:rPr>
        <w:t>Date: 2</w:t>
      </w:r>
      <w:r w:rsidR="0030786B">
        <w:rPr>
          <w:rFonts w:ascii="Times New Roman" w:hAnsi="Times New Roman" w:cs="Times New Roman"/>
          <w:sz w:val="20"/>
          <w:szCs w:val="20"/>
        </w:rPr>
        <w:t>7</w:t>
      </w:r>
      <w:r w:rsidRPr="009975EA">
        <w:rPr>
          <w:rFonts w:ascii="Times New Roman" w:hAnsi="Times New Roman" w:cs="Times New Roman"/>
          <w:sz w:val="20"/>
          <w:szCs w:val="20"/>
        </w:rPr>
        <w:t>/</w:t>
      </w:r>
      <w:r w:rsidR="0030786B">
        <w:rPr>
          <w:rFonts w:ascii="Times New Roman" w:hAnsi="Times New Roman" w:cs="Times New Roman"/>
          <w:sz w:val="20"/>
          <w:szCs w:val="20"/>
        </w:rPr>
        <w:t>06</w:t>
      </w:r>
      <w:r w:rsidRPr="009975EA">
        <w:rPr>
          <w:rFonts w:ascii="Times New Roman" w:hAnsi="Times New Roman" w:cs="Times New Roman"/>
          <w:sz w:val="20"/>
          <w:szCs w:val="20"/>
        </w:rPr>
        <w:t>/20</w:t>
      </w:r>
      <w:r w:rsidR="0030786B">
        <w:rPr>
          <w:rFonts w:ascii="Times New Roman" w:hAnsi="Times New Roman" w:cs="Times New Roman"/>
          <w:sz w:val="20"/>
          <w:szCs w:val="20"/>
        </w:rPr>
        <w:t>20</w:t>
      </w:r>
      <w:r w:rsidRPr="009975EA">
        <w:rPr>
          <w:rFonts w:ascii="Times New Roman" w:hAnsi="Times New Roman" w:cs="Times New Roman"/>
          <w:sz w:val="20"/>
          <w:szCs w:val="20"/>
        </w:rPr>
        <w:t xml:space="preserve">. </w:t>
      </w:r>
    </w:p>
  </w:footnote>
  <w:footnote w:id="274">
    <w:p w14:paraId="4E2E1990" w14:textId="43FF6161" w:rsidR="001659DC" w:rsidRPr="0047452F" w:rsidRDefault="001659DC" w:rsidP="0047452F">
      <w:pPr>
        <w:pStyle w:val="DipnotMetni"/>
        <w:jc w:val="both"/>
        <w:rPr>
          <w:lang w:val="tr-TR"/>
        </w:rPr>
      </w:pPr>
      <w:r>
        <w:rPr>
          <w:rStyle w:val="DipnotBavurusu"/>
        </w:rPr>
        <w:footnoteRef/>
      </w:r>
      <w:r>
        <w:t xml:space="preserve"> </w:t>
      </w:r>
      <w:proofErr w:type="spellStart"/>
      <w:r>
        <w:rPr>
          <w:rFonts w:ascii="Times New Roman" w:hAnsi="Times New Roman" w:cs="Times New Roman"/>
          <w:sz w:val="20"/>
          <w:szCs w:val="20"/>
          <w:lang w:val="tr-TR"/>
        </w:rPr>
        <w:t>However</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there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are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also</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provisions</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having</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the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same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effect</w:t>
      </w:r>
      <w:proofErr w:type="spellEnd"/>
      <w:r>
        <w:rPr>
          <w:rFonts w:ascii="Times New Roman" w:hAnsi="Times New Roman" w:cs="Times New Roman"/>
          <w:sz w:val="20"/>
          <w:szCs w:val="20"/>
          <w:lang w:val="tr-TR"/>
        </w:rPr>
        <w:t xml:space="preserve"> in TCC </w:t>
      </w:r>
      <w:proofErr w:type="spellStart"/>
      <w:r>
        <w:rPr>
          <w:rFonts w:ascii="Times New Roman" w:hAnsi="Times New Roman" w:cs="Times New Roman"/>
          <w:sz w:val="20"/>
          <w:szCs w:val="20"/>
          <w:lang w:val="tr-TR"/>
        </w:rPr>
        <w:t>regime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For</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instance</w:t>
      </w:r>
      <w:proofErr w:type="spellEnd"/>
      <w:r w:rsidRPr="001443B1">
        <w:rPr>
          <w:rFonts w:ascii="Times New Roman" w:hAnsi="Times New Roman" w:cs="Times New Roman"/>
          <w:sz w:val="20"/>
          <w:szCs w:val="20"/>
          <w:lang w:val="tr-TR"/>
        </w:rPr>
        <w:t xml:space="preserve">, in </w:t>
      </w:r>
      <w:proofErr w:type="spellStart"/>
      <w:r w:rsidRPr="001443B1">
        <w:rPr>
          <w:rFonts w:ascii="Times New Roman" w:hAnsi="Times New Roman" w:cs="Times New Roman"/>
          <w:sz w:val="20"/>
          <w:szCs w:val="20"/>
          <w:lang w:val="tr-TR"/>
        </w:rPr>
        <w:t>cases</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where</w:t>
      </w:r>
      <w:proofErr w:type="spellEnd"/>
      <w:r w:rsidRPr="001443B1">
        <w:rPr>
          <w:rFonts w:ascii="Times New Roman" w:hAnsi="Times New Roman" w:cs="Times New Roman"/>
          <w:sz w:val="20"/>
          <w:szCs w:val="20"/>
          <w:lang w:val="tr-TR"/>
        </w:rPr>
        <w:t xml:space="preserve"> a </w:t>
      </w:r>
      <w:proofErr w:type="spellStart"/>
      <w:r w:rsidRPr="001443B1">
        <w:rPr>
          <w:rFonts w:ascii="Times New Roman" w:hAnsi="Times New Roman" w:cs="Times New Roman"/>
          <w:sz w:val="20"/>
          <w:szCs w:val="20"/>
          <w:lang w:val="tr-TR"/>
        </w:rPr>
        <w:t>transaction</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may</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cause</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loss</w:t>
      </w:r>
      <w:proofErr w:type="spellEnd"/>
      <w:r w:rsidRPr="001443B1">
        <w:rPr>
          <w:rFonts w:ascii="Times New Roman" w:hAnsi="Times New Roman" w:cs="Times New Roman"/>
          <w:sz w:val="20"/>
          <w:szCs w:val="20"/>
          <w:lang w:val="tr-TR"/>
        </w:rPr>
        <w:t xml:space="preserve"> in </w:t>
      </w:r>
      <w:proofErr w:type="spellStart"/>
      <w:r w:rsidRPr="001443B1">
        <w:rPr>
          <w:rFonts w:ascii="Times New Roman" w:hAnsi="Times New Roman" w:cs="Times New Roman"/>
          <w:sz w:val="20"/>
          <w:szCs w:val="20"/>
          <w:lang w:val="tr-TR"/>
        </w:rPr>
        <w:t>capital</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or</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indebtness</w:t>
      </w:r>
      <w:proofErr w:type="spellEnd"/>
      <w:r w:rsidRPr="001443B1">
        <w:rPr>
          <w:rFonts w:ascii="Times New Roman" w:hAnsi="Times New Roman" w:cs="Times New Roman"/>
          <w:sz w:val="20"/>
          <w:szCs w:val="20"/>
          <w:lang w:val="tr-TR"/>
        </w:rPr>
        <w:t xml:space="preserve"> as </w:t>
      </w:r>
      <w:proofErr w:type="spellStart"/>
      <w:r w:rsidRPr="001443B1">
        <w:rPr>
          <w:rFonts w:ascii="Times New Roman" w:hAnsi="Times New Roman" w:cs="Times New Roman"/>
          <w:sz w:val="20"/>
          <w:szCs w:val="20"/>
          <w:lang w:val="tr-TR"/>
        </w:rPr>
        <w:t>shown</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under</w:t>
      </w:r>
      <w:proofErr w:type="spellEnd"/>
      <w:r w:rsidRPr="001443B1">
        <w:rPr>
          <w:rFonts w:ascii="Times New Roman" w:hAnsi="Times New Roman" w:cs="Times New Roman"/>
          <w:sz w:val="20"/>
          <w:szCs w:val="20"/>
          <w:lang w:val="tr-TR"/>
        </w:rPr>
        <w:t xml:space="preserve"> TCC Art. 376, board of </w:t>
      </w:r>
      <w:proofErr w:type="spellStart"/>
      <w:r w:rsidRPr="001443B1">
        <w:rPr>
          <w:rFonts w:ascii="Times New Roman" w:hAnsi="Times New Roman" w:cs="Times New Roman"/>
          <w:sz w:val="20"/>
          <w:szCs w:val="20"/>
          <w:lang w:val="tr-TR"/>
        </w:rPr>
        <w:t>directors</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are</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required</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to</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get</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shareholders</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consent</w:t>
      </w:r>
      <w:proofErr w:type="spellEnd"/>
      <w:r w:rsidRPr="001443B1">
        <w:rPr>
          <w:rFonts w:ascii="Times New Roman" w:hAnsi="Times New Roman" w:cs="Times New Roman"/>
          <w:sz w:val="20"/>
          <w:szCs w:val="20"/>
          <w:lang w:val="tr-TR"/>
        </w:rPr>
        <w:t xml:space="preserve">, </w:t>
      </w:r>
      <w:proofErr w:type="spellStart"/>
      <w:r w:rsidRPr="001443B1">
        <w:rPr>
          <w:rFonts w:ascii="Times New Roman" w:hAnsi="Times New Roman" w:cs="Times New Roman"/>
          <w:sz w:val="20"/>
          <w:szCs w:val="20"/>
          <w:lang w:val="tr-TR"/>
        </w:rPr>
        <w:t>see</w:t>
      </w:r>
      <w:proofErr w:type="spellEnd"/>
      <w:r w:rsidRPr="001443B1">
        <w:rPr>
          <w:rFonts w:ascii="Times New Roman" w:hAnsi="Times New Roman" w:cs="Times New Roman"/>
          <w:sz w:val="20"/>
          <w:szCs w:val="20"/>
          <w:lang w:val="tr-TR"/>
        </w:rPr>
        <w:t xml:space="preserve">, Ömer Teoman, Yaşayan Ticaret Hukuku (Hukuki Mütalaalar), İstanbul 2012 at 111- 116.   </w:t>
      </w:r>
    </w:p>
  </w:footnote>
  <w:footnote w:id="275">
    <w:p w14:paraId="016E1897" w14:textId="7BC14EB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et. al., p.241.</w:t>
      </w:r>
    </w:p>
  </w:footnote>
  <w:footnote w:id="276">
    <w:p w14:paraId="5FAA0DBE" w14:textId="77777777" w:rsidR="00D36541" w:rsidRPr="009975EA" w:rsidRDefault="00D36541" w:rsidP="009975EA">
      <w:pPr>
        <w:pStyle w:val="DipnotMetni"/>
        <w:tabs>
          <w:tab w:val="left" w:pos="5147"/>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O’Neal, Oppression of Minority Shareholders, p.138.</w:t>
      </w:r>
      <w:r w:rsidRPr="009975EA">
        <w:rPr>
          <w:rFonts w:ascii="Times New Roman" w:hAnsi="Times New Roman" w:cs="Times New Roman"/>
          <w:sz w:val="20"/>
          <w:szCs w:val="20"/>
        </w:rPr>
        <w:tab/>
      </w:r>
    </w:p>
  </w:footnote>
  <w:footnote w:id="277">
    <w:p w14:paraId="19DE0E30" w14:textId="77777777" w:rsidR="00D36541" w:rsidRPr="009975EA" w:rsidRDefault="00D36541" w:rsidP="009975EA">
      <w:pPr>
        <w:pStyle w:val="DipnotMetni"/>
        <w:tabs>
          <w:tab w:val="left" w:pos="59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O’Neal, Oppression of Minority Shareholders, p.139.</w:t>
      </w:r>
      <w:r w:rsidRPr="009975EA">
        <w:rPr>
          <w:rFonts w:ascii="Times New Roman" w:hAnsi="Times New Roman" w:cs="Times New Roman"/>
          <w:sz w:val="20"/>
          <w:szCs w:val="20"/>
        </w:rPr>
        <w:tab/>
      </w:r>
    </w:p>
  </w:footnote>
  <w:footnote w:id="278">
    <w:p w14:paraId="7616B4ED" w14:textId="552D622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et. al., p. 174.</w:t>
      </w:r>
    </w:p>
  </w:footnote>
  <w:footnote w:id="279">
    <w:p w14:paraId="29957331" w14:textId="334F859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Luis H. Gutierrez, </w:t>
      </w:r>
      <w:r w:rsidRPr="009975EA">
        <w:rPr>
          <w:rFonts w:ascii="Times New Roman" w:hAnsi="Times New Roman" w:cs="Times New Roman"/>
          <w:sz w:val="20"/>
          <w:szCs w:val="20"/>
        </w:rPr>
        <w:t>Carlos Pombo</w:t>
      </w:r>
      <w:r w:rsidRPr="00AE32DD">
        <w:rPr>
          <w:rFonts w:ascii="Times New Roman" w:hAnsi="Times New Roman" w:cs="Times New Roman"/>
          <w:i/>
          <w:sz w:val="20"/>
          <w:szCs w:val="20"/>
        </w:rPr>
        <w:t>, “Corporate Governance and Firm Valuation in Colombia”, Investor Protection and Corporate Governance</w:t>
      </w:r>
      <w:r>
        <w:rPr>
          <w:rFonts w:ascii="Times New Roman" w:hAnsi="Times New Roman" w:cs="Times New Roman"/>
          <w:sz w:val="20"/>
          <w:szCs w:val="20"/>
        </w:rPr>
        <w:t xml:space="preserve"> 373</w:t>
      </w:r>
      <w:r w:rsidRPr="009975EA">
        <w:rPr>
          <w:rFonts w:ascii="Times New Roman" w:hAnsi="Times New Roman" w:cs="Times New Roman"/>
          <w:sz w:val="20"/>
          <w:szCs w:val="20"/>
        </w:rPr>
        <w:t xml:space="preserve">, Ed. Alberto Chong/Florencio Lopez-de-Silanes, </w:t>
      </w:r>
      <w:r>
        <w:rPr>
          <w:rFonts w:ascii="Times New Roman" w:hAnsi="Times New Roman" w:cs="Times New Roman"/>
          <w:sz w:val="20"/>
          <w:szCs w:val="20"/>
        </w:rPr>
        <w:t>(2007).</w:t>
      </w:r>
    </w:p>
  </w:footnote>
  <w:footnote w:id="280">
    <w:p w14:paraId="5647D8B4" w14:textId="0DDAA46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Pierre- Henri </w:t>
      </w:r>
      <w:proofErr w:type="spellStart"/>
      <w:r>
        <w:rPr>
          <w:rFonts w:ascii="Times New Roman" w:hAnsi="Times New Roman" w:cs="Times New Roman"/>
          <w:sz w:val="20"/>
          <w:szCs w:val="20"/>
        </w:rPr>
        <w:t>Conac</w:t>
      </w:r>
      <w:proofErr w:type="spellEnd"/>
      <w:r>
        <w:rPr>
          <w:rFonts w:ascii="Times New Roman" w:hAnsi="Times New Roman" w:cs="Times New Roman"/>
          <w:sz w:val="20"/>
          <w:szCs w:val="20"/>
        </w:rPr>
        <w:t xml:space="preserve">, Luca </w:t>
      </w:r>
      <w:proofErr w:type="spellStart"/>
      <w:r>
        <w:rPr>
          <w:rFonts w:ascii="Times New Roman" w:hAnsi="Times New Roman" w:cs="Times New Roman"/>
          <w:sz w:val="20"/>
          <w:szCs w:val="20"/>
        </w:rPr>
        <w:t>Enriques</w:t>
      </w:r>
      <w:proofErr w:type="spellEnd"/>
      <w:r>
        <w:rPr>
          <w:rFonts w:ascii="Times New Roman" w:hAnsi="Times New Roman" w:cs="Times New Roman"/>
          <w:sz w:val="20"/>
          <w:szCs w:val="20"/>
        </w:rPr>
        <w:t xml:space="preserve">, </w:t>
      </w:r>
      <w:r w:rsidRPr="009975EA">
        <w:rPr>
          <w:rFonts w:ascii="Times New Roman" w:hAnsi="Times New Roman" w:cs="Times New Roman"/>
          <w:sz w:val="20"/>
          <w:szCs w:val="20"/>
        </w:rPr>
        <w:t xml:space="preserve">Martin </w:t>
      </w:r>
      <w:proofErr w:type="spellStart"/>
      <w:r w:rsidRPr="009975EA">
        <w:rPr>
          <w:rFonts w:ascii="Times New Roman" w:hAnsi="Times New Roman" w:cs="Times New Roman"/>
          <w:sz w:val="20"/>
          <w:szCs w:val="20"/>
        </w:rPr>
        <w:t>Gelter</w:t>
      </w:r>
      <w:proofErr w:type="spellEnd"/>
      <w:r w:rsidRPr="009975EA">
        <w:rPr>
          <w:rFonts w:ascii="Times New Roman" w:hAnsi="Times New Roman" w:cs="Times New Roman"/>
          <w:sz w:val="20"/>
          <w:szCs w:val="20"/>
        </w:rPr>
        <w:t xml:space="preserve">, </w:t>
      </w:r>
      <w:r w:rsidRPr="00AE32DD">
        <w:rPr>
          <w:rFonts w:ascii="Times New Roman" w:hAnsi="Times New Roman" w:cs="Times New Roman"/>
          <w:i/>
          <w:sz w:val="20"/>
          <w:szCs w:val="20"/>
        </w:rPr>
        <w:t xml:space="preserve">Constraining Dominant Shareholders’ Self- Dealing: The Legal Framework in France, </w:t>
      </w:r>
      <w:proofErr w:type="gramStart"/>
      <w:r w:rsidRPr="00AE32DD">
        <w:rPr>
          <w:rFonts w:ascii="Times New Roman" w:hAnsi="Times New Roman" w:cs="Times New Roman"/>
          <w:i/>
          <w:sz w:val="20"/>
          <w:szCs w:val="20"/>
        </w:rPr>
        <w:t>Germany</w:t>
      </w:r>
      <w:proofErr w:type="gramEnd"/>
      <w:r w:rsidRPr="00AE32DD">
        <w:rPr>
          <w:rFonts w:ascii="Times New Roman" w:hAnsi="Times New Roman" w:cs="Times New Roman"/>
          <w:i/>
          <w:sz w:val="20"/>
          <w:szCs w:val="20"/>
        </w:rPr>
        <w:t xml:space="preserve"> and Italy</w:t>
      </w:r>
      <w:r>
        <w:rPr>
          <w:rFonts w:ascii="Times New Roman" w:hAnsi="Times New Roman" w:cs="Times New Roman"/>
          <w:sz w:val="20"/>
          <w:szCs w:val="20"/>
        </w:rPr>
        <w:t xml:space="preserve">, ECFR 4/2007, at </w:t>
      </w:r>
      <w:r w:rsidRPr="009975EA">
        <w:rPr>
          <w:rFonts w:ascii="Times New Roman" w:hAnsi="Times New Roman" w:cs="Times New Roman"/>
          <w:sz w:val="20"/>
          <w:szCs w:val="20"/>
        </w:rPr>
        <w:t>496.</w:t>
      </w:r>
    </w:p>
  </w:footnote>
  <w:footnote w:id="281">
    <w:p w14:paraId="50E80F61" w14:textId="60419DE0" w:rsidR="00D36541" w:rsidRPr="009975EA" w:rsidRDefault="00D36541" w:rsidP="00AE32DD">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et. al., p. 174.</w:t>
      </w:r>
      <w:r>
        <w:rPr>
          <w:rFonts w:ascii="Times New Roman" w:hAnsi="Times New Roman" w:cs="Times New Roman"/>
          <w:sz w:val="20"/>
          <w:szCs w:val="20"/>
        </w:rPr>
        <w:tab/>
      </w:r>
    </w:p>
  </w:footnote>
  <w:footnote w:id="282">
    <w:p w14:paraId="6F2A8E27" w14:textId="3F8F304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et. al., p. 174.</w:t>
      </w:r>
    </w:p>
  </w:footnote>
  <w:footnote w:id="283">
    <w:p w14:paraId="35C7A903" w14:textId="7B672C5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There are also other fields of law, like tax law, that deals with related- party transactions extensively.</w:t>
      </w:r>
    </w:p>
  </w:footnote>
  <w:footnote w:id="284">
    <w:p w14:paraId="57416A74" w14:textId="105C927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Simeon </w:t>
      </w:r>
      <w:proofErr w:type="spellStart"/>
      <w:r>
        <w:rPr>
          <w:rFonts w:ascii="Times New Roman" w:hAnsi="Times New Roman" w:cs="Times New Roman"/>
          <w:sz w:val="20"/>
          <w:szCs w:val="20"/>
        </w:rPr>
        <w:t>Djankov</w:t>
      </w:r>
      <w:proofErr w:type="spellEnd"/>
      <w:r>
        <w:rPr>
          <w:rFonts w:ascii="Times New Roman" w:hAnsi="Times New Roman" w:cs="Times New Roman"/>
          <w:sz w:val="20"/>
          <w:szCs w:val="20"/>
        </w:rPr>
        <w:t xml:space="preserve">, </w:t>
      </w:r>
      <w:r w:rsidRPr="009975EA">
        <w:rPr>
          <w:rFonts w:ascii="Times New Roman" w:hAnsi="Times New Roman" w:cs="Times New Roman"/>
          <w:sz w:val="20"/>
          <w:szCs w:val="20"/>
        </w:rPr>
        <w:t>Rafael La P</w:t>
      </w:r>
      <w:r>
        <w:rPr>
          <w:rFonts w:ascii="Times New Roman" w:hAnsi="Times New Roman" w:cs="Times New Roman"/>
          <w:sz w:val="20"/>
          <w:szCs w:val="20"/>
        </w:rPr>
        <w:t xml:space="preserve">orta, Florencio Lopez-de-Silanes, </w:t>
      </w:r>
      <w:r w:rsidRPr="009975EA">
        <w:rPr>
          <w:rFonts w:ascii="Times New Roman" w:hAnsi="Times New Roman" w:cs="Times New Roman"/>
          <w:sz w:val="20"/>
          <w:szCs w:val="20"/>
        </w:rPr>
        <w:t xml:space="preserve">Andrei Shleifer, </w:t>
      </w:r>
      <w:r w:rsidRPr="00AE32DD">
        <w:rPr>
          <w:rFonts w:ascii="Times New Roman" w:hAnsi="Times New Roman" w:cs="Times New Roman"/>
          <w:i/>
          <w:sz w:val="20"/>
          <w:szCs w:val="20"/>
        </w:rPr>
        <w:t>The Law and Economics of Self- Dealing</w:t>
      </w:r>
      <w:r w:rsidRPr="009975EA">
        <w:rPr>
          <w:rFonts w:ascii="Times New Roman" w:hAnsi="Times New Roman" w:cs="Times New Roman"/>
          <w:sz w:val="20"/>
          <w:szCs w:val="20"/>
        </w:rPr>
        <w:t xml:space="preserve">, Journal of </w:t>
      </w:r>
      <w:r>
        <w:rPr>
          <w:rFonts w:ascii="Times New Roman" w:hAnsi="Times New Roman" w:cs="Times New Roman"/>
          <w:sz w:val="20"/>
          <w:szCs w:val="20"/>
        </w:rPr>
        <w:t xml:space="preserve">Financial Economics 88 (2008), at </w:t>
      </w:r>
      <w:r w:rsidRPr="009975EA">
        <w:rPr>
          <w:rFonts w:ascii="Times New Roman" w:hAnsi="Times New Roman" w:cs="Times New Roman"/>
          <w:sz w:val="20"/>
          <w:szCs w:val="20"/>
        </w:rPr>
        <w:t>431.</w:t>
      </w:r>
    </w:p>
  </w:footnote>
  <w:footnote w:id="285">
    <w:p w14:paraId="7398598C" w14:textId="47D25DF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et. al., p.60.</w:t>
      </w:r>
    </w:p>
  </w:footnote>
  <w:footnote w:id="286">
    <w:p w14:paraId="638572E0" w14:textId="3F6B828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Kraakman</w:t>
      </w:r>
      <w:proofErr w:type="spellEnd"/>
      <w:r w:rsidRPr="009975EA">
        <w:rPr>
          <w:rFonts w:ascii="Times New Roman" w:hAnsi="Times New Roman" w:cs="Times New Roman"/>
          <w:sz w:val="20"/>
          <w:szCs w:val="20"/>
        </w:rPr>
        <w:t>, et. al., p. 175. For a theoretical distinction between these preferred solutions, see, Goshen, p.398.</w:t>
      </w:r>
    </w:p>
  </w:footnote>
  <w:footnote w:id="287">
    <w:p w14:paraId="43C00A0B" w14:textId="5B71D545" w:rsidR="00D36541" w:rsidRPr="009975EA" w:rsidRDefault="00D36541" w:rsidP="009975EA">
      <w:pPr>
        <w:pStyle w:val="DipnotMetni"/>
        <w:jc w:val="both"/>
        <w:rPr>
          <w:rFonts w:ascii="Times New Roman" w:hAnsi="Times New Roman" w:cs="Times New Roman"/>
          <w:sz w:val="20"/>
          <w:szCs w:val="20"/>
          <w:lang w:val="tr-TR"/>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Murat Can Pehlivanoglu, </w:t>
      </w:r>
      <w:r w:rsidRPr="00AE32DD">
        <w:rPr>
          <w:rFonts w:ascii="Times New Roman" w:hAnsi="Times New Roman" w:cs="Times New Roman"/>
          <w:i/>
          <w:sz w:val="20"/>
          <w:szCs w:val="20"/>
        </w:rPr>
        <w:t>Concealed Distribution of Capital in Publicly Held Joint Stock Corporations in Turkish Capital Market Law and Corporate Tax Law: An Approach From “Transaction” and “Associated Persons” Terms’ Aspects</w:t>
      </w:r>
      <w:r>
        <w:rPr>
          <w:rFonts w:ascii="Times New Roman" w:hAnsi="Times New Roman" w:cs="Times New Roman"/>
          <w:sz w:val="20"/>
          <w:szCs w:val="20"/>
        </w:rPr>
        <w:t>, LL.M. Thesis (</w:t>
      </w:r>
      <w:r w:rsidRPr="009975EA">
        <w:rPr>
          <w:rFonts w:ascii="Times New Roman" w:hAnsi="Times New Roman" w:cs="Times New Roman"/>
          <w:sz w:val="20"/>
          <w:szCs w:val="20"/>
        </w:rPr>
        <w:t>2015</w:t>
      </w:r>
      <w:r>
        <w:rPr>
          <w:rFonts w:ascii="Times New Roman" w:hAnsi="Times New Roman" w:cs="Times New Roman"/>
          <w:sz w:val="20"/>
          <w:szCs w:val="20"/>
        </w:rPr>
        <w:t>)</w:t>
      </w:r>
      <w:r w:rsidRPr="009975EA">
        <w:rPr>
          <w:rFonts w:ascii="Times New Roman" w:hAnsi="Times New Roman" w:cs="Times New Roman"/>
          <w:sz w:val="20"/>
          <w:szCs w:val="20"/>
        </w:rPr>
        <w:t xml:space="preserve">, </w:t>
      </w:r>
      <w:hyperlink r:id="rId61" w:history="1">
        <w:r w:rsidRPr="00C60D5E">
          <w:rPr>
            <w:rStyle w:val="Kpr"/>
            <w:rFonts w:ascii="Times New Roman" w:hAnsi="Times New Roman" w:cs="Times New Roman"/>
            <w:sz w:val="20"/>
            <w:szCs w:val="20"/>
          </w:rPr>
          <w:t>https://tez.yok.gov.tr/UlusalTezMerkezi/tezSorguSonucYeni.jsp</w:t>
        </w:r>
      </w:hyperlink>
      <w:r>
        <w:rPr>
          <w:rFonts w:ascii="Times New Roman" w:hAnsi="Times New Roman" w:cs="Times New Roman"/>
          <w:sz w:val="20"/>
          <w:szCs w:val="20"/>
        </w:rPr>
        <w:t xml:space="preserve"> (Last visited: 10/10/2016) at </w:t>
      </w:r>
      <w:r w:rsidRPr="009975EA">
        <w:rPr>
          <w:rFonts w:ascii="Times New Roman" w:hAnsi="Times New Roman" w:cs="Times New Roman"/>
          <w:sz w:val="20"/>
          <w:szCs w:val="20"/>
        </w:rPr>
        <w:t>1.</w:t>
      </w:r>
    </w:p>
  </w:footnote>
  <w:footnote w:id="288">
    <w:p w14:paraId="135D8F71" w14:textId="7C3D2E5F" w:rsidR="00D36541" w:rsidRPr="0047452F" w:rsidRDefault="00D36541" w:rsidP="009975EA">
      <w:pPr>
        <w:pStyle w:val="DipnotMetni"/>
        <w:jc w:val="both"/>
        <w:rPr>
          <w:rFonts w:ascii="Times New Roman" w:hAnsi="Times New Roman" w:cs="Times New Roman"/>
          <w:i/>
          <w:iCs/>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Conac</w:t>
      </w:r>
      <w:proofErr w:type="spellEnd"/>
      <w:r w:rsidRPr="009975EA">
        <w:rPr>
          <w:rFonts w:ascii="Times New Roman" w:hAnsi="Times New Roman" w:cs="Times New Roman"/>
          <w:sz w:val="20"/>
          <w:szCs w:val="20"/>
        </w:rPr>
        <w:t>, et. al., p. 502.</w:t>
      </w:r>
      <w:r w:rsidR="00854999">
        <w:rPr>
          <w:rFonts w:ascii="Times New Roman" w:hAnsi="Times New Roman" w:cs="Times New Roman"/>
          <w:sz w:val="20"/>
          <w:szCs w:val="20"/>
        </w:rPr>
        <w:t xml:space="preserve"> TCC Art. 480(3) prohibits return of capital to shareholders and payment of any </w:t>
      </w:r>
      <w:proofErr w:type="gramStart"/>
      <w:r w:rsidR="00854999">
        <w:rPr>
          <w:rFonts w:ascii="Times New Roman" w:hAnsi="Times New Roman" w:cs="Times New Roman"/>
          <w:sz w:val="20"/>
          <w:szCs w:val="20"/>
        </w:rPr>
        <w:t>interest for</w:t>
      </w:r>
      <w:proofErr w:type="gramEnd"/>
      <w:r w:rsidR="00854999">
        <w:rPr>
          <w:rFonts w:ascii="Times New Roman" w:hAnsi="Times New Roman" w:cs="Times New Roman"/>
          <w:sz w:val="20"/>
          <w:szCs w:val="20"/>
        </w:rPr>
        <w:t xml:space="preserve"> capital unless Art. 510 conditions are satisfied. It is claimed that TCC Art. 480(3) may be used to avoid concealed distribution of capital,</w:t>
      </w:r>
      <w:r w:rsidR="00902A88">
        <w:rPr>
          <w:rFonts w:ascii="Times New Roman" w:hAnsi="Times New Roman" w:cs="Times New Roman"/>
          <w:sz w:val="20"/>
          <w:szCs w:val="20"/>
        </w:rPr>
        <w:t xml:space="preserve"> and Article 512 for concealed distribution of income,</w:t>
      </w:r>
      <w:r w:rsidR="00854999">
        <w:rPr>
          <w:rFonts w:ascii="Times New Roman" w:hAnsi="Times New Roman" w:cs="Times New Roman"/>
          <w:sz w:val="20"/>
          <w:szCs w:val="20"/>
        </w:rPr>
        <w:t xml:space="preserve"> see, </w:t>
      </w:r>
      <w:proofErr w:type="spellStart"/>
      <w:r w:rsidR="00902A88">
        <w:rPr>
          <w:rFonts w:ascii="Times New Roman" w:hAnsi="Times New Roman" w:cs="Times New Roman"/>
          <w:sz w:val="20"/>
          <w:szCs w:val="20"/>
        </w:rPr>
        <w:t>Aydın</w:t>
      </w:r>
      <w:proofErr w:type="spellEnd"/>
      <w:r w:rsidR="00902A88">
        <w:rPr>
          <w:rFonts w:ascii="Times New Roman" w:hAnsi="Times New Roman" w:cs="Times New Roman"/>
          <w:sz w:val="20"/>
          <w:szCs w:val="20"/>
        </w:rPr>
        <w:t xml:space="preserve"> </w:t>
      </w:r>
      <w:proofErr w:type="spellStart"/>
      <w:r w:rsidR="00902A88">
        <w:rPr>
          <w:rFonts w:ascii="Times New Roman" w:hAnsi="Times New Roman" w:cs="Times New Roman"/>
          <w:sz w:val="20"/>
          <w:szCs w:val="20"/>
        </w:rPr>
        <w:t>Çelik</w:t>
      </w:r>
      <w:proofErr w:type="spellEnd"/>
      <w:r w:rsidR="00902A88">
        <w:rPr>
          <w:rFonts w:ascii="Times New Roman" w:hAnsi="Times New Roman" w:cs="Times New Roman"/>
          <w:sz w:val="20"/>
          <w:szCs w:val="20"/>
        </w:rPr>
        <w:t xml:space="preserve">, </w:t>
      </w:r>
      <w:proofErr w:type="spellStart"/>
      <w:r w:rsidR="00902A88">
        <w:rPr>
          <w:rFonts w:ascii="Times New Roman" w:hAnsi="Times New Roman" w:cs="Times New Roman"/>
          <w:sz w:val="20"/>
          <w:szCs w:val="20"/>
        </w:rPr>
        <w:t>Anonim</w:t>
      </w:r>
      <w:proofErr w:type="spellEnd"/>
      <w:r w:rsidR="00902A88">
        <w:rPr>
          <w:rFonts w:ascii="Times New Roman" w:hAnsi="Times New Roman" w:cs="Times New Roman"/>
          <w:sz w:val="20"/>
          <w:szCs w:val="20"/>
        </w:rPr>
        <w:t xml:space="preserve"> </w:t>
      </w:r>
      <w:proofErr w:type="spellStart"/>
      <w:r w:rsidR="00902A88">
        <w:rPr>
          <w:rFonts w:ascii="Times New Roman" w:hAnsi="Times New Roman" w:cs="Times New Roman"/>
          <w:sz w:val="20"/>
          <w:szCs w:val="20"/>
        </w:rPr>
        <w:t>Ortaklıkta</w:t>
      </w:r>
      <w:proofErr w:type="spellEnd"/>
      <w:r w:rsidR="00902A88">
        <w:rPr>
          <w:rFonts w:ascii="Times New Roman" w:hAnsi="Times New Roman" w:cs="Times New Roman"/>
          <w:sz w:val="20"/>
          <w:szCs w:val="20"/>
        </w:rPr>
        <w:t xml:space="preserve"> </w:t>
      </w:r>
      <w:proofErr w:type="spellStart"/>
      <w:r w:rsidR="00902A88">
        <w:rPr>
          <w:rFonts w:ascii="Times New Roman" w:hAnsi="Times New Roman" w:cs="Times New Roman"/>
          <w:sz w:val="20"/>
          <w:szCs w:val="20"/>
        </w:rPr>
        <w:t>Malvarlığı</w:t>
      </w:r>
      <w:proofErr w:type="spellEnd"/>
      <w:r w:rsidR="00902A88">
        <w:rPr>
          <w:rFonts w:ascii="Times New Roman" w:hAnsi="Times New Roman" w:cs="Times New Roman"/>
          <w:sz w:val="20"/>
          <w:szCs w:val="20"/>
        </w:rPr>
        <w:t xml:space="preserve"> (2021), p. 419.</w:t>
      </w:r>
      <w:r w:rsidR="00AF76C2">
        <w:rPr>
          <w:rFonts w:ascii="Times New Roman" w:hAnsi="Times New Roman" w:cs="Times New Roman"/>
          <w:sz w:val="20"/>
          <w:szCs w:val="20"/>
        </w:rPr>
        <w:t xml:space="preserve"> However, commentators have no unified </w:t>
      </w:r>
      <w:proofErr w:type="spellStart"/>
      <w:r w:rsidR="00AF76C2">
        <w:rPr>
          <w:rFonts w:ascii="Times New Roman" w:hAnsi="Times New Roman" w:cs="Times New Roman"/>
          <w:sz w:val="20"/>
          <w:szCs w:val="20"/>
        </w:rPr>
        <w:t>opinon</w:t>
      </w:r>
      <w:proofErr w:type="spellEnd"/>
      <w:r w:rsidR="00AF76C2">
        <w:rPr>
          <w:rFonts w:ascii="Times New Roman" w:hAnsi="Times New Roman" w:cs="Times New Roman"/>
          <w:sz w:val="20"/>
          <w:szCs w:val="20"/>
        </w:rPr>
        <w:t xml:space="preserve"> about such approach, see, </w:t>
      </w:r>
      <w:proofErr w:type="spellStart"/>
      <w:r w:rsidR="000A08CD">
        <w:rPr>
          <w:rFonts w:ascii="Times New Roman" w:hAnsi="Times New Roman" w:cs="Times New Roman"/>
          <w:sz w:val="20"/>
          <w:szCs w:val="20"/>
        </w:rPr>
        <w:t>Funda</w:t>
      </w:r>
      <w:proofErr w:type="spellEnd"/>
      <w:r w:rsidR="000A08CD">
        <w:rPr>
          <w:rFonts w:ascii="Times New Roman" w:hAnsi="Times New Roman" w:cs="Times New Roman"/>
          <w:sz w:val="20"/>
          <w:szCs w:val="20"/>
        </w:rPr>
        <w:t xml:space="preserve"> </w:t>
      </w:r>
      <w:proofErr w:type="spellStart"/>
      <w:r w:rsidR="000A08CD">
        <w:rPr>
          <w:rFonts w:ascii="Times New Roman" w:hAnsi="Times New Roman" w:cs="Times New Roman"/>
          <w:sz w:val="20"/>
          <w:szCs w:val="20"/>
        </w:rPr>
        <w:t>Özdin</w:t>
      </w:r>
      <w:proofErr w:type="spellEnd"/>
      <w:r w:rsidR="000A08CD">
        <w:rPr>
          <w:rFonts w:ascii="Times New Roman" w:hAnsi="Times New Roman" w:cs="Times New Roman"/>
          <w:sz w:val="20"/>
          <w:szCs w:val="20"/>
        </w:rPr>
        <w:t xml:space="preserve">, </w:t>
      </w:r>
      <w:r w:rsidR="000A08CD" w:rsidRPr="0047452F">
        <w:rPr>
          <w:rFonts w:ascii="Times New Roman" w:hAnsi="Times New Roman" w:cs="Times New Roman"/>
          <w:i/>
          <w:iCs/>
          <w:sz w:val="20"/>
          <w:szCs w:val="20"/>
        </w:rPr>
        <w:t>“</w:t>
      </w:r>
      <w:proofErr w:type="spellStart"/>
      <w:r w:rsidR="000A08CD" w:rsidRPr="0047452F">
        <w:rPr>
          <w:rFonts w:ascii="Times New Roman" w:hAnsi="Times New Roman" w:cs="Times New Roman"/>
          <w:i/>
          <w:iCs/>
          <w:sz w:val="20"/>
          <w:szCs w:val="20"/>
        </w:rPr>
        <w:t>Sermayenin</w:t>
      </w:r>
      <w:proofErr w:type="spellEnd"/>
      <w:r w:rsidR="000A08CD" w:rsidRPr="0047452F">
        <w:rPr>
          <w:rFonts w:ascii="Times New Roman" w:hAnsi="Times New Roman" w:cs="Times New Roman"/>
          <w:i/>
          <w:iCs/>
          <w:sz w:val="20"/>
          <w:szCs w:val="20"/>
        </w:rPr>
        <w:t xml:space="preserve"> </w:t>
      </w:r>
      <w:proofErr w:type="spellStart"/>
      <w:r w:rsidR="000A08CD" w:rsidRPr="0047452F">
        <w:rPr>
          <w:rFonts w:ascii="Times New Roman" w:hAnsi="Times New Roman" w:cs="Times New Roman"/>
          <w:i/>
          <w:iCs/>
          <w:sz w:val="20"/>
          <w:szCs w:val="20"/>
        </w:rPr>
        <w:t>İadesi</w:t>
      </w:r>
      <w:proofErr w:type="spellEnd"/>
      <w:r w:rsidR="000A08CD" w:rsidRPr="0047452F">
        <w:rPr>
          <w:rFonts w:ascii="Times New Roman" w:hAnsi="Times New Roman" w:cs="Times New Roman"/>
          <w:i/>
          <w:iCs/>
          <w:sz w:val="20"/>
          <w:szCs w:val="20"/>
        </w:rPr>
        <w:t xml:space="preserve"> </w:t>
      </w:r>
      <w:proofErr w:type="spellStart"/>
      <w:proofErr w:type="gramStart"/>
      <w:r w:rsidR="000A08CD" w:rsidRPr="0047452F">
        <w:rPr>
          <w:rFonts w:ascii="Times New Roman" w:hAnsi="Times New Roman" w:cs="Times New Roman"/>
          <w:i/>
          <w:iCs/>
          <w:sz w:val="20"/>
          <w:szCs w:val="20"/>
        </w:rPr>
        <w:t>Yasağı”nın</w:t>
      </w:r>
      <w:proofErr w:type="spellEnd"/>
      <w:proofErr w:type="gramEnd"/>
      <w:r w:rsidR="000A08CD" w:rsidRPr="0047452F">
        <w:rPr>
          <w:rFonts w:ascii="Times New Roman" w:hAnsi="Times New Roman" w:cs="Times New Roman"/>
          <w:i/>
          <w:iCs/>
          <w:sz w:val="20"/>
          <w:szCs w:val="20"/>
        </w:rPr>
        <w:t xml:space="preserve"> (TTK m. 480/3) </w:t>
      </w:r>
      <w:proofErr w:type="spellStart"/>
      <w:r w:rsidR="000A08CD" w:rsidRPr="0047452F">
        <w:rPr>
          <w:rFonts w:ascii="Times New Roman" w:hAnsi="Times New Roman" w:cs="Times New Roman"/>
          <w:i/>
          <w:iCs/>
          <w:sz w:val="20"/>
          <w:szCs w:val="20"/>
        </w:rPr>
        <w:t>Örtülü</w:t>
      </w:r>
      <w:proofErr w:type="spellEnd"/>
      <w:r w:rsidR="000A08CD" w:rsidRPr="0047452F">
        <w:rPr>
          <w:rFonts w:ascii="Times New Roman" w:hAnsi="Times New Roman" w:cs="Times New Roman"/>
          <w:i/>
          <w:iCs/>
          <w:sz w:val="20"/>
          <w:szCs w:val="20"/>
        </w:rPr>
        <w:t xml:space="preserve"> </w:t>
      </w:r>
      <w:proofErr w:type="spellStart"/>
      <w:r w:rsidR="000A08CD" w:rsidRPr="0047452F">
        <w:rPr>
          <w:rFonts w:ascii="Times New Roman" w:hAnsi="Times New Roman" w:cs="Times New Roman"/>
          <w:i/>
          <w:iCs/>
          <w:sz w:val="20"/>
          <w:szCs w:val="20"/>
        </w:rPr>
        <w:t>Malvarlığı</w:t>
      </w:r>
      <w:proofErr w:type="spellEnd"/>
      <w:r w:rsidR="000A08CD" w:rsidRPr="0047452F">
        <w:rPr>
          <w:rFonts w:ascii="Times New Roman" w:hAnsi="Times New Roman" w:cs="Times New Roman"/>
          <w:i/>
          <w:iCs/>
          <w:sz w:val="20"/>
          <w:szCs w:val="20"/>
        </w:rPr>
        <w:t xml:space="preserve"> </w:t>
      </w:r>
      <w:proofErr w:type="spellStart"/>
      <w:r w:rsidR="000A08CD" w:rsidRPr="0047452F">
        <w:rPr>
          <w:rFonts w:ascii="Times New Roman" w:hAnsi="Times New Roman" w:cs="Times New Roman"/>
          <w:i/>
          <w:iCs/>
          <w:sz w:val="20"/>
          <w:szCs w:val="20"/>
        </w:rPr>
        <w:t>Aktarımının</w:t>
      </w:r>
      <w:proofErr w:type="spellEnd"/>
      <w:r w:rsidR="000A08CD" w:rsidRPr="0047452F">
        <w:rPr>
          <w:rFonts w:ascii="Times New Roman" w:hAnsi="Times New Roman" w:cs="Times New Roman"/>
          <w:i/>
          <w:iCs/>
          <w:sz w:val="20"/>
          <w:szCs w:val="20"/>
        </w:rPr>
        <w:t xml:space="preserve"> </w:t>
      </w:r>
      <w:proofErr w:type="spellStart"/>
      <w:r w:rsidR="000A08CD" w:rsidRPr="0047452F">
        <w:rPr>
          <w:rFonts w:ascii="Times New Roman" w:hAnsi="Times New Roman" w:cs="Times New Roman"/>
          <w:i/>
          <w:iCs/>
          <w:sz w:val="20"/>
          <w:szCs w:val="20"/>
        </w:rPr>
        <w:t>Önlenmesi</w:t>
      </w:r>
      <w:proofErr w:type="spellEnd"/>
      <w:r w:rsidR="000A08CD" w:rsidRPr="0047452F">
        <w:rPr>
          <w:rFonts w:ascii="Times New Roman" w:hAnsi="Times New Roman" w:cs="Times New Roman"/>
          <w:i/>
          <w:iCs/>
          <w:sz w:val="20"/>
          <w:szCs w:val="20"/>
        </w:rPr>
        <w:t xml:space="preserve"> </w:t>
      </w:r>
      <w:proofErr w:type="spellStart"/>
      <w:r w:rsidR="000A08CD" w:rsidRPr="0047452F">
        <w:rPr>
          <w:rFonts w:ascii="Times New Roman" w:hAnsi="Times New Roman" w:cs="Times New Roman"/>
          <w:i/>
          <w:iCs/>
          <w:sz w:val="20"/>
          <w:szCs w:val="20"/>
        </w:rPr>
        <w:t>Açısından</w:t>
      </w:r>
      <w:proofErr w:type="spellEnd"/>
      <w:r w:rsidR="000A08CD" w:rsidRPr="0047452F">
        <w:rPr>
          <w:rFonts w:ascii="Times New Roman" w:hAnsi="Times New Roman" w:cs="Times New Roman"/>
          <w:i/>
          <w:iCs/>
          <w:sz w:val="20"/>
          <w:szCs w:val="20"/>
        </w:rPr>
        <w:t xml:space="preserve"> </w:t>
      </w:r>
      <w:proofErr w:type="spellStart"/>
      <w:r w:rsidR="000A08CD" w:rsidRPr="0047452F">
        <w:rPr>
          <w:rFonts w:ascii="Times New Roman" w:hAnsi="Times New Roman" w:cs="Times New Roman"/>
          <w:i/>
          <w:iCs/>
          <w:sz w:val="20"/>
          <w:szCs w:val="20"/>
        </w:rPr>
        <w:t>Geniş</w:t>
      </w:r>
      <w:proofErr w:type="spellEnd"/>
      <w:r w:rsidR="000A08CD" w:rsidRPr="0047452F">
        <w:rPr>
          <w:rFonts w:ascii="Times New Roman" w:hAnsi="Times New Roman" w:cs="Times New Roman"/>
          <w:i/>
          <w:iCs/>
          <w:sz w:val="20"/>
          <w:szCs w:val="20"/>
        </w:rPr>
        <w:t xml:space="preserve"> </w:t>
      </w:r>
      <w:proofErr w:type="spellStart"/>
      <w:r w:rsidR="000A08CD" w:rsidRPr="0047452F">
        <w:rPr>
          <w:rFonts w:ascii="Times New Roman" w:hAnsi="Times New Roman" w:cs="Times New Roman"/>
          <w:i/>
          <w:iCs/>
          <w:sz w:val="20"/>
          <w:szCs w:val="20"/>
        </w:rPr>
        <w:t>Yorumlanması</w:t>
      </w:r>
      <w:proofErr w:type="spellEnd"/>
      <w:r w:rsidR="000A08CD" w:rsidRPr="0047452F">
        <w:rPr>
          <w:rFonts w:ascii="Times New Roman" w:hAnsi="Times New Roman" w:cs="Times New Roman"/>
          <w:i/>
          <w:iCs/>
          <w:sz w:val="20"/>
          <w:szCs w:val="20"/>
        </w:rPr>
        <w:t xml:space="preserve"> </w:t>
      </w:r>
      <w:proofErr w:type="spellStart"/>
      <w:r w:rsidR="000A08CD" w:rsidRPr="0047452F">
        <w:rPr>
          <w:rFonts w:ascii="Times New Roman" w:hAnsi="Times New Roman" w:cs="Times New Roman"/>
          <w:i/>
          <w:iCs/>
          <w:sz w:val="20"/>
          <w:szCs w:val="20"/>
        </w:rPr>
        <w:t>Zorunluluğu</w:t>
      </w:r>
      <w:proofErr w:type="spellEnd"/>
      <w:r w:rsidR="000A08CD" w:rsidRPr="0047452F">
        <w:rPr>
          <w:rFonts w:ascii="Times New Roman" w:hAnsi="Times New Roman" w:cs="Times New Roman"/>
          <w:i/>
          <w:iCs/>
          <w:sz w:val="20"/>
          <w:szCs w:val="20"/>
        </w:rPr>
        <w:t xml:space="preserve">- Alman ve </w:t>
      </w:r>
      <w:proofErr w:type="spellStart"/>
      <w:r w:rsidR="000A08CD" w:rsidRPr="0047452F">
        <w:rPr>
          <w:rFonts w:ascii="Times New Roman" w:hAnsi="Times New Roman" w:cs="Times New Roman"/>
          <w:i/>
          <w:iCs/>
          <w:sz w:val="20"/>
          <w:szCs w:val="20"/>
        </w:rPr>
        <w:t>İsviçre</w:t>
      </w:r>
      <w:proofErr w:type="spellEnd"/>
      <w:r w:rsidR="000A08CD" w:rsidRPr="0047452F">
        <w:rPr>
          <w:rFonts w:ascii="Times New Roman" w:hAnsi="Times New Roman" w:cs="Times New Roman"/>
          <w:i/>
          <w:iCs/>
          <w:sz w:val="20"/>
          <w:szCs w:val="20"/>
        </w:rPr>
        <w:t xml:space="preserve"> </w:t>
      </w:r>
      <w:proofErr w:type="spellStart"/>
      <w:r w:rsidR="000A08CD" w:rsidRPr="0047452F">
        <w:rPr>
          <w:rFonts w:ascii="Times New Roman" w:hAnsi="Times New Roman" w:cs="Times New Roman"/>
          <w:i/>
          <w:iCs/>
          <w:sz w:val="20"/>
          <w:szCs w:val="20"/>
        </w:rPr>
        <w:t>Hukukları</w:t>
      </w:r>
      <w:proofErr w:type="spellEnd"/>
      <w:r w:rsidR="000A08CD" w:rsidRPr="0047452F">
        <w:rPr>
          <w:rFonts w:ascii="Times New Roman" w:hAnsi="Times New Roman" w:cs="Times New Roman"/>
          <w:i/>
          <w:iCs/>
          <w:sz w:val="20"/>
          <w:szCs w:val="20"/>
        </w:rPr>
        <w:t xml:space="preserve"> </w:t>
      </w:r>
      <w:proofErr w:type="spellStart"/>
      <w:r w:rsidR="000A08CD" w:rsidRPr="0047452F">
        <w:rPr>
          <w:rFonts w:ascii="Times New Roman" w:hAnsi="Times New Roman" w:cs="Times New Roman"/>
          <w:i/>
          <w:iCs/>
          <w:sz w:val="20"/>
          <w:szCs w:val="20"/>
        </w:rPr>
        <w:t>ile</w:t>
      </w:r>
      <w:proofErr w:type="spellEnd"/>
      <w:r w:rsidR="000A08CD" w:rsidRPr="0047452F">
        <w:rPr>
          <w:rFonts w:ascii="Times New Roman" w:hAnsi="Times New Roman" w:cs="Times New Roman"/>
          <w:i/>
          <w:iCs/>
          <w:sz w:val="20"/>
          <w:szCs w:val="20"/>
        </w:rPr>
        <w:t xml:space="preserve"> </w:t>
      </w:r>
      <w:proofErr w:type="spellStart"/>
      <w:r w:rsidR="000A08CD" w:rsidRPr="0047452F">
        <w:rPr>
          <w:rFonts w:ascii="Times New Roman" w:hAnsi="Times New Roman" w:cs="Times New Roman"/>
          <w:i/>
          <w:iCs/>
          <w:sz w:val="20"/>
          <w:szCs w:val="20"/>
        </w:rPr>
        <w:t>Karşılaştırılmalı</w:t>
      </w:r>
      <w:proofErr w:type="spellEnd"/>
      <w:r w:rsidR="000A08CD" w:rsidRPr="0047452F">
        <w:rPr>
          <w:rFonts w:ascii="Times New Roman" w:hAnsi="Times New Roman" w:cs="Times New Roman"/>
          <w:i/>
          <w:iCs/>
          <w:sz w:val="20"/>
          <w:szCs w:val="20"/>
        </w:rPr>
        <w:t xml:space="preserve"> </w:t>
      </w:r>
      <w:proofErr w:type="spellStart"/>
      <w:r w:rsidR="000A08CD" w:rsidRPr="0047452F">
        <w:rPr>
          <w:rFonts w:ascii="Times New Roman" w:hAnsi="Times New Roman" w:cs="Times New Roman"/>
          <w:i/>
          <w:iCs/>
          <w:sz w:val="20"/>
          <w:szCs w:val="20"/>
        </w:rPr>
        <w:t>Olarak</w:t>
      </w:r>
      <w:proofErr w:type="spellEnd"/>
      <w:r w:rsidR="000A08CD" w:rsidRPr="0047452F">
        <w:rPr>
          <w:rFonts w:ascii="Times New Roman" w:hAnsi="Times New Roman" w:cs="Times New Roman"/>
          <w:i/>
          <w:iCs/>
          <w:sz w:val="20"/>
          <w:szCs w:val="20"/>
        </w:rPr>
        <w:t>-</w:t>
      </w:r>
      <w:r w:rsidR="000A08CD">
        <w:rPr>
          <w:rFonts w:ascii="Times New Roman" w:hAnsi="Times New Roman" w:cs="Times New Roman"/>
          <w:sz w:val="20"/>
          <w:szCs w:val="20"/>
        </w:rPr>
        <w:t xml:space="preserve">, </w:t>
      </w:r>
      <w:proofErr w:type="spellStart"/>
      <w:r w:rsidR="000A08CD">
        <w:rPr>
          <w:rFonts w:ascii="Times New Roman" w:hAnsi="Times New Roman" w:cs="Times New Roman"/>
          <w:sz w:val="20"/>
          <w:szCs w:val="20"/>
        </w:rPr>
        <w:t>Tüzel</w:t>
      </w:r>
      <w:proofErr w:type="spellEnd"/>
      <w:r w:rsidR="000A08CD">
        <w:rPr>
          <w:rFonts w:ascii="Times New Roman" w:hAnsi="Times New Roman" w:cs="Times New Roman"/>
          <w:sz w:val="20"/>
          <w:szCs w:val="20"/>
        </w:rPr>
        <w:t xml:space="preserve"> </w:t>
      </w:r>
      <w:proofErr w:type="spellStart"/>
      <w:r w:rsidR="000A08CD">
        <w:rPr>
          <w:rFonts w:ascii="Times New Roman" w:hAnsi="Times New Roman" w:cs="Times New Roman"/>
          <w:sz w:val="20"/>
          <w:szCs w:val="20"/>
        </w:rPr>
        <w:t>Kişilik</w:t>
      </w:r>
      <w:proofErr w:type="spellEnd"/>
      <w:r w:rsidR="000A08CD">
        <w:rPr>
          <w:rFonts w:ascii="Times New Roman" w:hAnsi="Times New Roman" w:cs="Times New Roman"/>
          <w:sz w:val="20"/>
          <w:szCs w:val="20"/>
        </w:rPr>
        <w:t xml:space="preserve"> </w:t>
      </w:r>
      <w:proofErr w:type="spellStart"/>
      <w:r w:rsidR="000A08CD">
        <w:rPr>
          <w:rFonts w:ascii="Times New Roman" w:hAnsi="Times New Roman" w:cs="Times New Roman"/>
          <w:sz w:val="20"/>
          <w:szCs w:val="20"/>
        </w:rPr>
        <w:t>Penceresinden</w:t>
      </w:r>
      <w:proofErr w:type="spellEnd"/>
      <w:r w:rsidR="000A08CD">
        <w:rPr>
          <w:rFonts w:ascii="Times New Roman" w:hAnsi="Times New Roman" w:cs="Times New Roman"/>
          <w:sz w:val="20"/>
          <w:szCs w:val="20"/>
        </w:rPr>
        <w:t xml:space="preserve"> </w:t>
      </w:r>
      <w:proofErr w:type="spellStart"/>
      <w:r w:rsidR="000A08CD">
        <w:rPr>
          <w:rFonts w:ascii="Times New Roman" w:hAnsi="Times New Roman" w:cs="Times New Roman"/>
          <w:sz w:val="20"/>
          <w:szCs w:val="20"/>
        </w:rPr>
        <w:t>Anonim</w:t>
      </w:r>
      <w:proofErr w:type="spellEnd"/>
      <w:r w:rsidR="000A08CD">
        <w:rPr>
          <w:rFonts w:ascii="Times New Roman" w:hAnsi="Times New Roman" w:cs="Times New Roman"/>
          <w:sz w:val="20"/>
          <w:szCs w:val="20"/>
        </w:rPr>
        <w:t xml:space="preserve"> </w:t>
      </w:r>
      <w:proofErr w:type="spellStart"/>
      <w:r w:rsidR="000A08CD">
        <w:rPr>
          <w:rFonts w:ascii="Times New Roman" w:hAnsi="Times New Roman" w:cs="Times New Roman"/>
          <w:sz w:val="20"/>
          <w:szCs w:val="20"/>
        </w:rPr>
        <w:t>Ortaklık</w:t>
      </w:r>
      <w:proofErr w:type="spellEnd"/>
      <w:r w:rsidR="000A08CD">
        <w:rPr>
          <w:rFonts w:ascii="Times New Roman" w:hAnsi="Times New Roman" w:cs="Times New Roman"/>
          <w:sz w:val="20"/>
          <w:szCs w:val="20"/>
        </w:rPr>
        <w:t xml:space="preserve"> </w:t>
      </w:r>
      <w:proofErr w:type="spellStart"/>
      <w:r w:rsidR="000A08CD">
        <w:rPr>
          <w:rFonts w:ascii="Times New Roman" w:hAnsi="Times New Roman" w:cs="Times New Roman"/>
          <w:sz w:val="20"/>
          <w:szCs w:val="20"/>
        </w:rPr>
        <w:t>Sempozyumu</w:t>
      </w:r>
      <w:proofErr w:type="spellEnd"/>
      <w:r w:rsidR="000A08CD">
        <w:rPr>
          <w:rFonts w:ascii="Times New Roman" w:hAnsi="Times New Roman" w:cs="Times New Roman"/>
          <w:sz w:val="20"/>
          <w:szCs w:val="20"/>
        </w:rPr>
        <w:t xml:space="preserve"> (Ed. </w:t>
      </w:r>
      <w:proofErr w:type="spellStart"/>
      <w:r w:rsidR="000A08CD">
        <w:rPr>
          <w:rFonts w:ascii="Times New Roman" w:hAnsi="Times New Roman" w:cs="Times New Roman"/>
          <w:sz w:val="20"/>
          <w:szCs w:val="20"/>
        </w:rPr>
        <w:t>Havva</w:t>
      </w:r>
      <w:proofErr w:type="spellEnd"/>
      <w:r w:rsidR="000A08CD">
        <w:rPr>
          <w:rFonts w:ascii="Times New Roman" w:hAnsi="Times New Roman" w:cs="Times New Roman"/>
          <w:sz w:val="20"/>
          <w:szCs w:val="20"/>
        </w:rPr>
        <w:t xml:space="preserve"> </w:t>
      </w:r>
      <w:proofErr w:type="spellStart"/>
      <w:r w:rsidR="000A08CD">
        <w:rPr>
          <w:rFonts w:ascii="Times New Roman" w:hAnsi="Times New Roman" w:cs="Times New Roman"/>
          <w:sz w:val="20"/>
          <w:szCs w:val="20"/>
        </w:rPr>
        <w:t>Karagöz</w:t>
      </w:r>
      <w:proofErr w:type="spellEnd"/>
      <w:r w:rsidR="000A08CD">
        <w:rPr>
          <w:rFonts w:ascii="Times New Roman" w:hAnsi="Times New Roman" w:cs="Times New Roman"/>
          <w:sz w:val="20"/>
          <w:szCs w:val="20"/>
        </w:rPr>
        <w:t xml:space="preserve"> et. al.) 85 (2021)</w:t>
      </w:r>
      <w:r w:rsidR="00AF76C2">
        <w:rPr>
          <w:rFonts w:ascii="Times New Roman" w:hAnsi="Times New Roman" w:cs="Times New Roman"/>
          <w:sz w:val="20"/>
          <w:szCs w:val="20"/>
        </w:rPr>
        <w:t xml:space="preserve">. </w:t>
      </w:r>
    </w:p>
  </w:footnote>
  <w:footnote w:id="289">
    <w:p w14:paraId="07549B60" w14:textId="000FB80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Halit</w:t>
      </w:r>
      <w:proofErr w:type="spellEnd"/>
      <w:r w:rsidRPr="009975EA">
        <w:rPr>
          <w:rFonts w:ascii="Times New Roman" w:hAnsi="Times New Roman" w:cs="Times New Roman"/>
          <w:sz w:val="20"/>
          <w:szCs w:val="20"/>
        </w:rPr>
        <w:t xml:space="preserve"> Aker, </w:t>
      </w:r>
      <w:r w:rsidRPr="00AE32DD">
        <w:rPr>
          <w:rFonts w:ascii="Times New Roman" w:hAnsi="Times New Roman" w:cs="Times New Roman"/>
          <w:i/>
          <w:sz w:val="20"/>
          <w:szCs w:val="20"/>
        </w:rPr>
        <w:t xml:space="preserve">Hakim </w:t>
      </w:r>
      <w:proofErr w:type="spellStart"/>
      <w:r w:rsidRPr="00AE32DD">
        <w:rPr>
          <w:rFonts w:ascii="Times New Roman" w:hAnsi="Times New Roman" w:cs="Times New Roman"/>
          <w:i/>
          <w:sz w:val="20"/>
          <w:szCs w:val="20"/>
        </w:rPr>
        <w:t>Isletme</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ile</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Bagimli</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Sirket</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Arasindaki</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Hukuki</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Iliski</w:t>
      </w:r>
      <w:proofErr w:type="spellEnd"/>
      <w:r w:rsidRPr="00AE32DD">
        <w:rPr>
          <w:rFonts w:ascii="Times New Roman" w:hAnsi="Times New Roman" w:cs="Times New Roman"/>
          <w:i/>
          <w:sz w:val="20"/>
          <w:szCs w:val="20"/>
        </w:rPr>
        <w:t xml:space="preserve"> ve Hakim </w:t>
      </w:r>
      <w:proofErr w:type="spellStart"/>
      <w:r w:rsidRPr="00AE32DD">
        <w:rPr>
          <w:rFonts w:ascii="Times New Roman" w:hAnsi="Times New Roman" w:cs="Times New Roman"/>
          <w:i/>
          <w:sz w:val="20"/>
          <w:szCs w:val="20"/>
        </w:rPr>
        <w:t>Isletmenin</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Sadakat</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Borcu</w:t>
      </w:r>
      <w:proofErr w:type="spellEnd"/>
      <w:r w:rsidRPr="009975EA">
        <w:rPr>
          <w:rFonts w:ascii="Times New Roman" w:hAnsi="Times New Roman" w:cs="Times New Roman"/>
          <w:sz w:val="20"/>
          <w:szCs w:val="20"/>
        </w:rPr>
        <w:t>, 22 B</w:t>
      </w:r>
      <w:r>
        <w:rPr>
          <w:rFonts w:ascii="Times New Roman" w:hAnsi="Times New Roman" w:cs="Times New Roman"/>
          <w:sz w:val="20"/>
          <w:szCs w:val="20"/>
        </w:rPr>
        <w:t xml:space="preserve">anka </w:t>
      </w:r>
      <w:proofErr w:type="spellStart"/>
      <w:r>
        <w:rPr>
          <w:rFonts w:ascii="Times New Roman" w:hAnsi="Times New Roman" w:cs="Times New Roman"/>
          <w:sz w:val="20"/>
          <w:szCs w:val="20"/>
        </w:rPr>
        <w:t>Huk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153 (2003), at </w:t>
      </w:r>
      <w:r w:rsidRPr="009975EA">
        <w:rPr>
          <w:rFonts w:ascii="Times New Roman" w:hAnsi="Times New Roman" w:cs="Times New Roman"/>
          <w:sz w:val="20"/>
          <w:szCs w:val="20"/>
        </w:rPr>
        <w:t xml:space="preserve">185. For example, in Delaware, “rather than expanding the statutory sections governing dividends and stock redemptions to other types of transactions, Delaware law evaluates claims about improper transfer payments and self- dealing under the rubric of fiduciary duty” (Quadrant Structured Products Co., Ltd. v. </w:t>
      </w:r>
      <w:proofErr w:type="spellStart"/>
      <w:r w:rsidRPr="009975EA">
        <w:rPr>
          <w:rFonts w:ascii="Times New Roman" w:hAnsi="Times New Roman" w:cs="Times New Roman"/>
          <w:sz w:val="20"/>
          <w:szCs w:val="20"/>
        </w:rPr>
        <w:t>Vertin</w:t>
      </w:r>
      <w:proofErr w:type="spellEnd"/>
      <w:r w:rsidRPr="009975EA">
        <w:rPr>
          <w:rFonts w:ascii="Times New Roman" w:hAnsi="Times New Roman" w:cs="Times New Roman"/>
          <w:sz w:val="20"/>
          <w:szCs w:val="20"/>
        </w:rPr>
        <w:t>, 102 A.3d 155 (2014)).</w:t>
      </w:r>
    </w:p>
  </w:footnote>
  <w:footnote w:id="290">
    <w:p w14:paraId="34320332" w14:textId="6002912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Official Comment to CML Article 17.</w:t>
      </w:r>
    </w:p>
  </w:footnote>
  <w:footnote w:id="291">
    <w:p w14:paraId="37F14A44" w14:textId="28284B7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Pehlivanoglu, p.23.</w:t>
      </w:r>
    </w:p>
  </w:footnote>
  <w:footnote w:id="292">
    <w:p w14:paraId="074DA3A4" w14:textId="3B547D2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T.C.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19. CD E. 2016/11171 K. 2016/21824 T. 25/10/2016.</w:t>
      </w:r>
    </w:p>
  </w:footnote>
  <w:footnote w:id="293">
    <w:p w14:paraId="29EEB2EF" w14:textId="211E929F" w:rsidR="00D36541" w:rsidRPr="009975EA" w:rsidRDefault="00D36541" w:rsidP="009975EA">
      <w:pPr>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“Transfer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consideration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charged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goods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services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intagible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properties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transacted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between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related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parties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w:t>
      </w:r>
      <w:proofErr w:type="spellEnd"/>
      <w:r w:rsidRPr="009975EA">
        <w:rPr>
          <w:rFonts w:ascii="Times New Roman" w:hAnsi="Times New Roman" w:cs="Times New Roman"/>
          <w:sz w:val="20"/>
          <w:szCs w:val="20"/>
        </w:rPr>
        <w:t xml:space="preserve"> “transfer </w:t>
      </w:r>
      <w:proofErr w:type="spellStart"/>
      <w:r w:rsidRPr="009975EA">
        <w:rPr>
          <w:rFonts w:ascii="Times New Roman" w:hAnsi="Times New Roman" w:cs="Times New Roman"/>
          <w:sz w:val="20"/>
          <w:szCs w:val="20"/>
        </w:rPr>
        <w:t>pricing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refers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process</w:t>
      </w:r>
      <w:proofErr w:type="spellEnd"/>
      <w:r w:rsidRPr="009975EA">
        <w:rPr>
          <w:rFonts w:ascii="Times New Roman" w:hAnsi="Times New Roman" w:cs="Times New Roman"/>
          <w:sz w:val="20"/>
          <w:szCs w:val="20"/>
        </w:rPr>
        <w:t xml:space="preserve"> in general (Pehlivanoglu, p. 22).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primary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component</w:t>
      </w:r>
      <w:proofErr w:type="spellEnd"/>
      <w:r w:rsidRPr="009975EA">
        <w:rPr>
          <w:rFonts w:ascii="Times New Roman" w:hAnsi="Times New Roman" w:cs="Times New Roman"/>
          <w:sz w:val="20"/>
          <w:szCs w:val="20"/>
        </w:rPr>
        <w:t xml:space="preserve"> of a transfer </w:t>
      </w:r>
      <w:proofErr w:type="spellStart"/>
      <w:r w:rsidRPr="009975EA">
        <w:rPr>
          <w:rFonts w:ascii="Times New Roman" w:hAnsi="Times New Roman" w:cs="Times New Roman"/>
          <w:sz w:val="20"/>
          <w:szCs w:val="20"/>
        </w:rPr>
        <w:t>pricing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process</w:t>
      </w:r>
      <w:proofErr w:type="spellEnd"/>
      <w:r w:rsidRPr="009975EA">
        <w:rPr>
          <w:rFonts w:ascii="Times New Roman" w:hAnsi="Times New Roman" w:cs="Times New Roman"/>
          <w:sz w:val="20"/>
          <w:szCs w:val="20"/>
        </w:rPr>
        <w:t xml:space="preserve"> is a </w:t>
      </w:r>
      <w:proofErr w:type="spellStart"/>
      <w:r w:rsidRPr="009975EA">
        <w:rPr>
          <w:rFonts w:ascii="Times New Roman" w:hAnsi="Times New Roman" w:cs="Times New Roman"/>
          <w:sz w:val="20"/>
          <w:szCs w:val="20"/>
        </w:rPr>
        <w:t>transaction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taking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place</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words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there</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no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transaction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there</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no</w:t>
      </w:r>
      <w:proofErr w:type="spellEnd"/>
      <w:r w:rsidRPr="009975EA">
        <w:rPr>
          <w:rFonts w:ascii="Times New Roman" w:hAnsi="Times New Roman" w:cs="Times New Roman"/>
          <w:sz w:val="20"/>
          <w:szCs w:val="20"/>
        </w:rPr>
        <w:t xml:space="preserve"> transfer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(Pehlivanoglu, p. 23). Rules on transfer </w:t>
      </w:r>
      <w:proofErr w:type="spellStart"/>
      <w:r w:rsidRPr="009975EA">
        <w:rPr>
          <w:rFonts w:ascii="Times New Roman" w:hAnsi="Times New Roman" w:cs="Times New Roman"/>
          <w:sz w:val="20"/>
          <w:szCs w:val="20"/>
        </w:rPr>
        <w:t>pricing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determine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whether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“transfer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identical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parties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dealing</w:t>
      </w:r>
      <w:proofErr w:type="spellEnd"/>
      <w:r w:rsidRPr="009975EA">
        <w:rPr>
          <w:rFonts w:ascii="Times New Roman" w:hAnsi="Times New Roman" w:cs="Times New Roman"/>
          <w:sz w:val="20"/>
          <w:szCs w:val="20"/>
        </w:rPr>
        <w:t xml:space="preserve"> at “</w:t>
      </w:r>
      <w:proofErr w:type="spellStart"/>
      <w:r w:rsidRPr="009975EA">
        <w:rPr>
          <w:rFonts w:ascii="Times New Roman" w:hAnsi="Times New Roman" w:cs="Times New Roman"/>
          <w:sz w:val="20"/>
          <w:szCs w:val="20"/>
        </w:rPr>
        <w:t>arm’s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length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would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have</w:t>
      </w:r>
      <w:proofErr w:type="spellEnd"/>
      <w:r w:rsidRPr="009975EA">
        <w:rPr>
          <w:rFonts w:ascii="Times New Roman" w:hAnsi="Times New Roman" w:cs="Times New Roman"/>
          <w:sz w:val="20"/>
          <w:szCs w:val="20"/>
        </w:rPr>
        <w:t xml:space="preserve"> set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using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standards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compares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transactions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shows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whether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is not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parties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dealing</w:t>
      </w:r>
      <w:proofErr w:type="spellEnd"/>
      <w:r w:rsidRPr="009975EA">
        <w:rPr>
          <w:rFonts w:ascii="Times New Roman" w:hAnsi="Times New Roman" w:cs="Times New Roman"/>
          <w:sz w:val="20"/>
          <w:szCs w:val="20"/>
        </w:rPr>
        <w:t xml:space="preserve"> at </w:t>
      </w:r>
      <w:proofErr w:type="spellStart"/>
      <w:r w:rsidRPr="009975EA">
        <w:rPr>
          <w:rFonts w:ascii="Times New Roman" w:hAnsi="Times New Roman" w:cs="Times New Roman"/>
          <w:sz w:val="20"/>
          <w:szCs w:val="20"/>
        </w:rPr>
        <w:t>arm’s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length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would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reached</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violates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length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principle</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dangerous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because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violation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suggests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transaction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may</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acting</w:t>
      </w:r>
      <w:proofErr w:type="spellEnd"/>
      <w:r w:rsidRPr="009975EA">
        <w:rPr>
          <w:rFonts w:ascii="Times New Roman" w:hAnsi="Times New Roman" w:cs="Times New Roman"/>
          <w:sz w:val="20"/>
          <w:szCs w:val="20"/>
        </w:rPr>
        <w:t xml:space="preserve"> as a </w:t>
      </w:r>
      <w:proofErr w:type="spellStart"/>
      <w:r w:rsidRPr="009975EA">
        <w:rPr>
          <w:rFonts w:ascii="Times New Roman" w:hAnsi="Times New Roman" w:cs="Times New Roman"/>
          <w:sz w:val="20"/>
          <w:szCs w:val="20"/>
        </w:rPr>
        <w:t>cover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fund</w:t>
      </w:r>
      <w:proofErr w:type="spellEnd"/>
      <w:r w:rsidRPr="009975EA">
        <w:rPr>
          <w:rFonts w:ascii="Times New Roman" w:hAnsi="Times New Roman" w:cs="Times New Roman"/>
          <w:sz w:val="20"/>
          <w:szCs w:val="20"/>
        </w:rPr>
        <w:t xml:space="preserve"> transfer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party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would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otherwise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violate</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statute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if</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transferred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rules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statute</w:t>
      </w:r>
      <w:proofErr w:type="spellEnd"/>
      <w:r w:rsidRPr="009975EA">
        <w:rPr>
          <w:rFonts w:ascii="Times New Roman" w:hAnsi="Times New Roman" w:cs="Times New Roman"/>
          <w:sz w:val="20"/>
          <w:szCs w:val="20"/>
        </w:rPr>
        <w:t xml:space="preserve"> (Pehlivanoglu, p.28).</w:t>
      </w:r>
    </w:p>
  </w:footnote>
  <w:footnote w:id="294">
    <w:p w14:paraId="004D30E1" w14:textId="0C1DA14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Pehlivanoglu, p. 23.</w:t>
      </w:r>
    </w:p>
  </w:footnote>
  <w:footnote w:id="295">
    <w:p w14:paraId="781D762F" w14:textId="5110E2E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19 CD E. 2015/4724 K. 2016/16728 T. 27/04/2016.</w:t>
      </w:r>
    </w:p>
  </w:footnote>
  <w:footnote w:id="296">
    <w:p w14:paraId="77088D2D" w14:textId="79E6FF4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example, see, Turkish Accounting Principles, TMS 24 on Related Party Statements, Article 9, </w:t>
      </w:r>
      <w:hyperlink r:id="rId62" w:history="1">
        <w:r w:rsidRPr="009975EA">
          <w:rPr>
            <w:rStyle w:val="Kpr"/>
            <w:rFonts w:ascii="Times New Roman" w:hAnsi="Times New Roman" w:cs="Times New Roman"/>
            <w:sz w:val="20"/>
            <w:szCs w:val="20"/>
          </w:rPr>
          <w:t>http://kgk.gov.tr/DynamicContentDetail/6538/TMS/TFRS-2017-Seti</w:t>
        </w:r>
      </w:hyperlink>
      <w:r w:rsidRPr="009975EA">
        <w:rPr>
          <w:rFonts w:ascii="Times New Roman" w:hAnsi="Times New Roman" w:cs="Times New Roman"/>
          <w:sz w:val="20"/>
          <w:szCs w:val="20"/>
        </w:rPr>
        <w:t xml:space="preserve">, Last visited: 10/03/2017. </w:t>
      </w:r>
    </w:p>
  </w:footnote>
  <w:footnote w:id="297">
    <w:p w14:paraId="60B71671" w14:textId="638F5FC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Note that the “relatedness” required under these provisions are different than the ones under the rules of corporate groups, which deals with the issue form a “control” perspective (See, Chapter </w:t>
      </w:r>
      <w:r w:rsidR="00F37175">
        <w:rPr>
          <w:rFonts w:ascii="Times New Roman" w:hAnsi="Times New Roman" w:cs="Times New Roman"/>
          <w:sz w:val="20"/>
          <w:szCs w:val="20"/>
        </w:rPr>
        <w:t>3</w:t>
      </w:r>
      <w:r w:rsidRPr="009975EA">
        <w:rPr>
          <w:rFonts w:ascii="Times New Roman" w:hAnsi="Times New Roman" w:cs="Times New Roman"/>
          <w:sz w:val="20"/>
          <w:szCs w:val="20"/>
        </w:rPr>
        <w:t>.2.2.). However, these provisions only require there to be a relation between the parties (Pehlivanoglu, p. 106).</w:t>
      </w:r>
    </w:p>
  </w:footnote>
  <w:footnote w:id="298">
    <w:p w14:paraId="7F4990A9" w14:textId="500F358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fact that these provisions cover similar or affiliated corporate actions that some other provisions, such as rules on corporate groups or insider trading, also covers requires the determination of their provisions in way to enforce all effectively, in accordance with the legislative intent. For an examination of this problem, see, </w:t>
      </w:r>
      <w:proofErr w:type="spellStart"/>
      <w:r w:rsidRPr="009975EA">
        <w:rPr>
          <w:rFonts w:ascii="Times New Roman" w:hAnsi="Times New Roman" w:cs="Times New Roman"/>
          <w:sz w:val="20"/>
          <w:szCs w:val="20"/>
        </w:rPr>
        <w:t>Caglar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Manavgat</w:t>
      </w:r>
      <w:proofErr w:type="spellEnd"/>
      <w:r w:rsidRPr="009975EA">
        <w:rPr>
          <w:rFonts w:ascii="Times New Roman" w:hAnsi="Times New Roman" w:cs="Times New Roman"/>
          <w:sz w:val="20"/>
          <w:szCs w:val="20"/>
        </w:rPr>
        <w:t xml:space="preserve">, </w:t>
      </w:r>
      <w:proofErr w:type="spellStart"/>
      <w:r w:rsidRPr="00AE32DD">
        <w:rPr>
          <w:rFonts w:ascii="Times New Roman" w:hAnsi="Times New Roman" w:cs="Times New Roman"/>
          <w:i/>
          <w:sz w:val="20"/>
          <w:szCs w:val="20"/>
        </w:rPr>
        <w:t>Ortulu</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Kazanc</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Aktariminin</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Ortakliklar</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Toplulugu</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Duzenlemelerindeki</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Sinirlari</w:t>
      </w:r>
      <w:proofErr w:type="spellEnd"/>
      <w:r w:rsidRPr="009975EA">
        <w:rPr>
          <w:rFonts w:ascii="Times New Roman" w:hAnsi="Times New Roman" w:cs="Times New Roman"/>
          <w:sz w:val="20"/>
          <w:szCs w:val="20"/>
        </w:rPr>
        <w:t xml:space="preserve">, 31 Banka </w:t>
      </w:r>
      <w:proofErr w:type="spellStart"/>
      <w:r w:rsidRPr="009975EA">
        <w:rPr>
          <w:rFonts w:ascii="Times New Roman" w:hAnsi="Times New Roman" w:cs="Times New Roman"/>
          <w:sz w:val="20"/>
          <w:szCs w:val="20"/>
        </w:rPr>
        <w:t>Huk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Dergisi</w:t>
      </w:r>
      <w:proofErr w:type="spellEnd"/>
      <w:r w:rsidRPr="009975EA">
        <w:rPr>
          <w:rFonts w:ascii="Times New Roman" w:hAnsi="Times New Roman" w:cs="Times New Roman"/>
          <w:sz w:val="20"/>
          <w:szCs w:val="20"/>
        </w:rPr>
        <w:t xml:space="preserve"> 87 (2015).</w:t>
      </w:r>
    </w:p>
  </w:footnote>
  <w:footnote w:id="299">
    <w:p w14:paraId="7DE43562" w14:textId="08E6BC1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lang w:val="en-US"/>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Yargıtay 11. HD E. 2005/3321 K: 2006/3772 T: 10/04/2006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dealt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concealed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distribution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abolished</w:t>
      </w:r>
      <w:proofErr w:type="spellEnd"/>
      <w:r w:rsidRPr="009975EA">
        <w:rPr>
          <w:rFonts w:ascii="Times New Roman" w:hAnsi="Times New Roman" w:cs="Times New Roman"/>
          <w:color w:val="000000"/>
          <w:sz w:val="20"/>
          <w:szCs w:val="20"/>
        </w:rPr>
        <w:t xml:space="preserve"> CML,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r w:rsidRPr="009975EA">
        <w:rPr>
          <w:rFonts w:ascii="Times New Roman" w:hAnsi="Times New Roman" w:cs="Times New Roman"/>
          <w:color w:val="000000"/>
          <w:sz w:val="20"/>
          <w:szCs w:val="20"/>
          <w:lang w:val="en-US"/>
        </w:rPr>
        <w:t xml:space="preserve">which is in need of building factories and facilities for its business of electricity production and transmission, would always need cement; thus, if it refrains to exercise its pre- </w:t>
      </w:r>
      <w:proofErr w:type="spellStart"/>
      <w:r w:rsidRPr="009975EA">
        <w:rPr>
          <w:rFonts w:ascii="Times New Roman" w:hAnsi="Times New Roman" w:cs="Times New Roman"/>
          <w:color w:val="000000"/>
          <w:sz w:val="20"/>
          <w:szCs w:val="20"/>
          <w:lang w:val="en-US"/>
        </w:rPr>
        <w:t>emptive</w:t>
      </w:r>
      <w:proofErr w:type="spellEnd"/>
      <w:r w:rsidRPr="009975EA">
        <w:rPr>
          <w:rFonts w:ascii="Times New Roman" w:hAnsi="Times New Roman" w:cs="Times New Roman"/>
          <w:color w:val="000000"/>
          <w:sz w:val="20"/>
          <w:szCs w:val="20"/>
          <w:lang w:val="en-US"/>
        </w:rPr>
        <w:t xml:space="preserve"> rights in a share capital increase, this action would cause damage to the corporation and its shareholders, and this action is a concealed distribution. However, the related provision of the annulled CML did not include a requirement of “an increase in the profits or assets of the related parties”.</w:t>
      </w:r>
    </w:p>
  </w:footnote>
  <w:footnote w:id="300">
    <w:p w14:paraId="21D14257" w14:textId="6F98827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Karl Hofstetter, </w:t>
      </w:r>
      <w:r w:rsidRPr="00AE32DD">
        <w:rPr>
          <w:rFonts w:ascii="Times New Roman" w:hAnsi="Times New Roman" w:cs="Times New Roman"/>
          <w:i/>
          <w:sz w:val="20"/>
          <w:szCs w:val="20"/>
        </w:rPr>
        <w:t xml:space="preserve">Parent Responsibility </w:t>
      </w:r>
      <w:proofErr w:type="gramStart"/>
      <w:r w:rsidRPr="00AE32DD">
        <w:rPr>
          <w:rFonts w:ascii="Times New Roman" w:hAnsi="Times New Roman" w:cs="Times New Roman"/>
          <w:i/>
          <w:sz w:val="20"/>
          <w:szCs w:val="20"/>
        </w:rPr>
        <w:t>For</w:t>
      </w:r>
      <w:proofErr w:type="gramEnd"/>
      <w:r w:rsidRPr="00AE32DD">
        <w:rPr>
          <w:rFonts w:ascii="Times New Roman" w:hAnsi="Times New Roman" w:cs="Times New Roman"/>
          <w:i/>
          <w:sz w:val="20"/>
          <w:szCs w:val="20"/>
        </w:rPr>
        <w:t xml:space="preserve"> Subsidiary Corporations: Evaluating European Trends</w:t>
      </w:r>
      <w:r w:rsidRPr="009975EA">
        <w:rPr>
          <w:rFonts w:ascii="Times New Roman" w:hAnsi="Times New Roman" w:cs="Times New Roman"/>
          <w:sz w:val="20"/>
          <w:szCs w:val="20"/>
        </w:rPr>
        <w:t>, 39 In</w:t>
      </w:r>
      <w:r>
        <w:rPr>
          <w:rFonts w:ascii="Times New Roman" w:hAnsi="Times New Roman" w:cs="Times New Roman"/>
          <w:sz w:val="20"/>
          <w:szCs w:val="20"/>
        </w:rPr>
        <w:t xml:space="preserve">t'l &amp; Comp. L.Q. 576 (1990), at </w:t>
      </w:r>
      <w:r w:rsidRPr="009975EA">
        <w:rPr>
          <w:rFonts w:ascii="Times New Roman" w:hAnsi="Times New Roman" w:cs="Times New Roman"/>
          <w:sz w:val="20"/>
          <w:szCs w:val="20"/>
        </w:rPr>
        <w:t>576.</w:t>
      </w:r>
    </w:p>
  </w:footnote>
  <w:footnote w:id="301">
    <w:p w14:paraId="209D2350" w14:textId="3CA53A0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Phillip I. Blumberg, </w:t>
      </w:r>
      <w:r w:rsidRPr="00AE32DD">
        <w:rPr>
          <w:rFonts w:ascii="Times New Roman" w:hAnsi="Times New Roman" w:cs="Times New Roman"/>
          <w:i/>
          <w:sz w:val="20"/>
          <w:szCs w:val="20"/>
        </w:rPr>
        <w:t>Limited Liability and Corporate Groups</w:t>
      </w:r>
      <w:r>
        <w:rPr>
          <w:rFonts w:ascii="Times New Roman" w:hAnsi="Times New Roman" w:cs="Times New Roman"/>
          <w:sz w:val="20"/>
          <w:szCs w:val="20"/>
        </w:rPr>
        <w:t xml:space="preserve">, 11 J. Corp. L. 573 (1985), at </w:t>
      </w:r>
      <w:r w:rsidRPr="009975EA">
        <w:rPr>
          <w:rFonts w:ascii="Times New Roman" w:hAnsi="Times New Roman" w:cs="Times New Roman"/>
          <w:sz w:val="20"/>
          <w:szCs w:val="20"/>
        </w:rPr>
        <w:t>607.</w:t>
      </w:r>
    </w:p>
  </w:footnote>
  <w:footnote w:id="302">
    <w:p w14:paraId="53775781" w14:textId="29AF9E7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OECD (2012), Related Party Transactions and Minority Shareholder Rights, p.9 and 11.</w:t>
      </w:r>
    </w:p>
  </w:footnote>
  <w:footnote w:id="303">
    <w:p w14:paraId="3F4E2BD6" w14:textId="4C6C8F0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Thomas W. </w:t>
      </w:r>
      <w:proofErr w:type="spellStart"/>
      <w:r w:rsidRPr="009975EA">
        <w:rPr>
          <w:rFonts w:ascii="Times New Roman" w:hAnsi="Times New Roman" w:cs="Times New Roman"/>
          <w:sz w:val="20"/>
          <w:szCs w:val="20"/>
        </w:rPr>
        <w:t>Walde</w:t>
      </w:r>
      <w:proofErr w:type="spellEnd"/>
      <w:r w:rsidRPr="009975EA">
        <w:rPr>
          <w:rFonts w:ascii="Times New Roman" w:hAnsi="Times New Roman" w:cs="Times New Roman"/>
          <w:sz w:val="20"/>
          <w:szCs w:val="20"/>
        </w:rPr>
        <w:t xml:space="preserve">, </w:t>
      </w:r>
      <w:r w:rsidRPr="00AE32DD">
        <w:rPr>
          <w:rFonts w:ascii="Times New Roman" w:hAnsi="Times New Roman" w:cs="Times New Roman"/>
          <w:i/>
          <w:sz w:val="20"/>
          <w:szCs w:val="20"/>
        </w:rPr>
        <w:t>Parent- Subsidiary Relations in the Integrated Corporate System: A Comparison of American and German Law,</w:t>
      </w:r>
      <w:r w:rsidRPr="009975EA">
        <w:rPr>
          <w:rFonts w:ascii="Times New Roman" w:hAnsi="Times New Roman" w:cs="Times New Roman"/>
          <w:sz w:val="20"/>
          <w:szCs w:val="20"/>
        </w:rPr>
        <w:t xml:space="preserve"> 9 J.</w:t>
      </w:r>
      <w:r>
        <w:rPr>
          <w:rFonts w:ascii="Times New Roman" w:hAnsi="Times New Roman" w:cs="Times New Roman"/>
          <w:sz w:val="20"/>
          <w:szCs w:val="20"/>
        </w:rPr>
        <w:t xml:space="preserve"> Int’l L. &amp; Econ. 455 (1974) at </w:t>
      </w:r>
      <w:r w:rsidRPr="009975EA">
        <w:rPr>
          <w:rFonts w:ascii="Times New Roman" w:hAnsi="Times New Roman" w:cs="Times New Roman"/>
          <w:sz w:val="20"/>
          <w:szCs w:val="20"/>
        </w:rPr>
        <w:t>493.</w:t>
      </w:r>
    </w:p>
  </w:footnote>
  <w:footnote w:id="304">
    <w:p w14:paraId="17C6F1A9" w14:textId="18B4DFE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notion that this construction gives the controller of the corporate group an ability to take advantage of the subsidiaries represents the disadvantages. The methods which the controller can take advantage of the subsidiaries can be illustrated as follows: For example, subsidiaries can sell their products at reduced prices to parents, buy goods and services from parents at inflated prices, pay excessive management fees to the parents, declare excessive dividends, or engage in transactions at the request of their parents that the subsidiaries never would have undertaken on their own (</w:t>
      </w:r>
      <w:proofErr w:type="spellStart"/>
      <w:r w:rsidRPr="009975EA">
        <w:rPr>
          <w:rFonts w:ascii="Times New Roman" w:hAnsi="Times New Roman" w:cs="Times New Roman"/>
          <w:sz w:val="20"/>
          <w:szCs w:val="20"/>
        </w:rPr>
        <w:t>Gouvin</w:t>
      </w:r>
      <w:proofErr w:type="spellEnd"/>
      <w:r w:rsidRPr="009975EA">
        <w:rPr>
          <w:rFonts w:ascii="Times New Roman" w:hAnsi="Times New Roman" w:cs="Times New Roman"/>
          <w:sz w:val="20"/>
          <w:szCs w:val="20"/>
        </w:rPr>
        <w:t>, p.290).</w:t>
      </w:r>
    </w:p>
  </w:footnote>
  <w:footnote w:id="305">
    <w:p w14:paraId="3A6F2D4D" w14:textId="04EF401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Ian M. Ramsay, </w:t>
      </w:r>
      <w:r w:rsidRPr="00AE32DD">
        <w:rPr>
          <w:rFonts w:ascii="Times New Roman" w:hAnsi="Times New Roman" w:cs="Times New Roman"/>
          <w:i/>
          <w:sz w:val="20"/>
          <w:szCs w:val="20"/>
        </w:rPr>
        <w:t>Allocating Liability in Corporate Groups: An Australian Perspective,</w:t>
      </w:r>
      <w:r w:rsidRPr="009975EA">
        <w:rPr>
          <w:rFonts w:ascii="Times New Roman" w:hAnsi="Times New Roman" w:cs="Times New Roman"/>
          <w:sz w:val="20"/>
          <w:szCs w:val="20"/>
        </w:rPr>
        <w:t xml:space="preserve"> 13 </w:t>
      </w:r>
      <w:r>
        <w:rPr>
          <w:rFonts w:ascii="Times New Roman" w:hAnsi="Times New Roman" w:cs="Times New Roman"/>
          <w:sz w:val="20"/>
          <w:szCs w:val="20"/>
        </w:rPr>
        <w:t xml:space="preserve">Conn. J. Int’l L. 329 (1999), at </w:t>
      </w:r>
      <w:r w:rsidRPr="009975EA">
        <w:rPr>
          <w:rFonts w:ascii="Times New Roman" w:hAnsi="Times New Roman" w:cs="Times New Roman"/>
          <w:sz w:val="20"/>
          <w:szCs w:val="20"/>
        </w:rPr>
        <w:t>329.</w:t>
      </w:r>
    </w:p>
  </w:footnote>
  <w:footnote w:id="306">
    <w:p w14:paraId="7EC61F8B" w14:textId="7BB7B231" w:rsidR="00D36541" w:rsidRPr="009975EA" w:rsidRDefault="00D36541" w:rsidP="00AE32DD">
      <w:pPr>
        <w:pStyle w:val="DipnotMetni"/>
        <w:tabs>
          <w:tab w:val="left" w:pos="3586"/>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Ramsay, p.329.</w:t>
      </w:r>
      <w:r>
        <w:rPr>
          <w:rFonts w:ascii="Times New Roman" w:hAnsi="Times New Roman" w:cs="Times New Roman"/>
          <w:sz w:val="20"/>
          <w:szCs w:val="20"/>
        </w:rPr>
        <w:tab/>
      </w:r>
    </w:p>
  </w:footnote>
  <w:footnote w:id="307">
    <w:p w14:paraId="484D9D89" w14:textId="7BB099C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While its provisions are based on the principle of </w:t>
      </w:r>
      <w:proofErr w:type="gramStart"/>
      <w:r w:rsidRPr="009975EA">
        <w:rPr>
          <w:rFonts w:ascii="Times New Roman" w:hAnsi="Times New Roman" w:cs="Times New Roman"/>
          <w:sz w:val="20"/>
          <w:szCs w:val="20"/>
        </w:rPr>
        <w:t>control, and</w:t>
      </w:r>
      <w:proofErr w:type="gramEnd"/>
      <w:r w:rsidRPr="009975EA">
        <w:rPr>
          <w:rFonts w:ascii="Times New Roman" w:hAnsi="Times New Roman" w:cs="Times New Roman"/>
          <w:sz w:val="20"/>
          <w:szCs w:val="20"/>
        </w:rPr>
        <w:t xml:space="preserve"> does not mention the “common management” standard that the German law uses in the corporate groups context (</w:t>
      </w:r>
      <w:proofErr w:type="spellStart"/>
      <w:r w:rsidRPr="009975EA">
        <w:rPr>
          <w:rFonts w:ascii="Times New Roman" w:hAnsi="Times New Roman" w:cs="Times New Roman"/>
          <w:sz w:val="20"/>
          <w:szCs w:val="20"/>
        </w:rPr>
        <w:t>Unal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Tekinalp</w:t>
      </w:r>
      <w:proofErr w:type="spellEnd"/>
      <w:r w:rsidRPr="009975EA">
        <w:rPr>
          <w:rFonts w:ascii="Times New Roman" w:hAnsi="Times New Roman" w:cs="Times New Roman"/>
          <w:sz w:val="20"/>
          <w:szCs w:val="20"/>
        </w:rPr>
        <w:t xml:space="preserve">, </w:t>
      </w:r>
      <w:r w:rsidRPr="00AE32DD">
        <w:rPr>
          <w:rFonts w:ascii="Times New Roman" w:hAnsi="Times New Roman" w:cs="Times New Roman"/>
          <w:i/>
          <w:sz w:val="20"/>
          <w:szCs w:val="20"/>
        </w:rPr>
        <w:t>Liability for Breach of Trust in Corporate Groups, Festschrift f</w:t>
      </w:r>
      <w:proofErr w:type="spellStart"/>
      <w:r w:rsidRPr="00AE32DD">
        <w:rPr>
          <w:rFonts w:ascii="Times New Roman" w:hAnsi="Times New Roman" w:cs="Times New Roman"/>
          <w:i/>
          <w:sz w:val="20"/>
          <w:szCs w:val="20"/>
          <w:lang w:val="tr-TR"/>
        </w:rPr>
        <w:t>ür</w:t>
      </w:r>
      <w:proofErr w:type="spellEnd"/>
      <w:r w:rsidRPr="00AE32DD">
        <w:rPr>
          <w:rFonts w:ascii="Times New Roman" w:hAnsi="Times New Roman" w:cs="Times New Roman"/>
          <w:i/>
          <w:sz w:val="20"/>
          <w:szCs w:val="20"/>
          <w:lang w:val="tr-TR"/>
        </w:rPr>
        <w:t xml:space="preserve"> </w:t>
      </w:r>
      <w:r w:rsidRPr="00AE32DD">
        <w:rPr>
          <w:rFonts w:ascii="Times New Roman" w:hAnsi="Times New Roman" w:cs="Times New Roman"/>
          <w:i/>
          <w:sz w:val="20"/>
          <w:szCs w:val="20"/>
        </w:rPr>
        <w:t xml:space="preserve">Klaus J. </w:t>
      </w:r>
      <w:proofErr w:type="spellStart"/>
      <w:r w:rsidRPr="00AE32DD">
        <w:rPr>
          <w:rFonts w:ascii="Times New Roman" w:hAnsi="Times New Roman" w:cs="Times New Roman"/>
          <w:i/>
          <w:sz w:val="20"/>
          <w:szCs w:val="20"/>
        </w:rPr>
        <w:t>Hopt</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zum</w:t>
      </w:r>
      <w:proofErr w:type="spellEnd"/>
      <w:r w:rsidRPr="00AE32DD">
        <w:rPr>
          <w:rFonts w:ascii="Times New Roman" w:hAnsi="Times New Roman" w:cs="Times New Roman"/>
          <w:i/>
          <w:sz w:val="20"/>
          <w:szCs w:val="20"/>
        </w:rPr>
        <w:t xml:space="preserve"> 70. </w:t>
      </w:r>
      <w:proofErr w:type="spellStart"/>
      <w:r w:rsidRPr="00AE32DD">
        <w:rPr>
          <w:rFonts w:ascii="Times New Roman" w:hAnsi="Times New Roman" w:cs="Times New Roman"/>
          <w:i/>
          <w:sz w:val="20"/>
          <w:szCs w:val="20"/>
        </w:rPr>
        <w:t>Geburtstag</w:t>
      </w:r>
      <w:proofErr w:type="spellEnd"/>
      <w:r w:rsidRPr="00AE32DD">
        <w:rPr>
          <w:rFonts w:ascii="Times New Roman" w:hAnsi="Times New Roman" w:cs="Times New Roman"/>
          <w:i/>
          <w:sz w:val="20"/>
          <w:szCs w:val="20"/>
        </w:rPr>
        <w:t xml:space="preserve"> am 24 August 2010: </w:t>
      </w:r>
      <w:proofErr w:type="spellStart"/>
      <w:r w:rsidRPr="00AE32DD">
        <w:rPr>
          <w:rFonts w:ascii="Times New Roman" w:hAnsi="Times New Roman" w:cs="Times New Roman"/>
          <w:i/>
          <w:sz w:val="20"/>
          <w:szCs w:val="20"/>
        </w:rPr>
        <w:t>Unternehmen</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Markt</w:t>
      </w:r>
      <w:proofErr w:type="spellEnd"/>
      <w:r w:rsidRPr="00AE32DD">
        <w:rPr>
          <w:rFonts w:ascii="Times New Roman" w:hAnsi="Times New Roman" w:cs="Times New Roman"/>
          <w:i/>
          <w:sz w:val="20"/>
          <w:szCs w:val="20"/>
        </w:rPr>
        <w:t xml:space="preserve"> und </w:t>
      </w:r>
      <w:proofErr w:type="spellStart"/>
      <w:r w:rsidRPr="00AE32DD">
        <w:rPr>
          <w:rFonts w:ascii="Times New Roman" w:hAnsi="Times New Roman" w:cs="Times New Roman"/>
          <w:i/>
          <w:sz w:val="20"/>
          <w:szCs w:val="20"/>
        </w:rPr>
        <w:t>Verantwortung</w:t>
      </w:r>
      <w:proofErr w:type="spellEnd"/>
      <w:r w:rsidRPr="009975EA">
        <w:rPr>
          <w:rFonts w:ascii="Times New Roman" w:hAnsi="Times New Roman" w:cs="Times New Roman"/>
          <w:sz w:val="20"/>
          <w:szCs w:val="20"/>
        </w:rPr>
        <w:t xml:space="preserve"> </w:t>
      </w:r>
      <w:r>
        <w:rPr>
          <w:rFonts w:ascii="Times New Roman" w:hAnsi="Times New Roman" w:cs="Times New Roman"/>
          <w:sz w:val="20"/>
          <w:szCs w:val="20"/>
        </w:rPr>
        <w:t xml:space="preserve">1437, </w:t>
      </w:r>
      <w:r w:rsidRPr="009975EA">
        <w:rPr>
          <w:rFonts w:ascii="Times New Roman" w:hAnsi="Times New Roman" w:cs="Times New Roman"/>
          <w:sz w:val="20"/>
          <w:szCs w:val="20"/>
        </w:rPr>
        <w:t xml:space="preserve">Ed. Stefan </w:t>
      </w:r>
      <w:proofErr w:type="spellStart"/>
      <w:r w:rsidRPr="009975EA">
        <w:rPr>
          <w:rFonts w:ascii="Times New Roman" w:hAnsi="Times New Roman" w:cs="Times New Roman"/>
          <w:sz w:val="20"/>
          <w:szCs w:val="20"/>
        </w:rPr>
        <w:t>Grundmann</w:t>
      </w:r>
      <w:proofErr w:type="spellEnd"/>
      <w:r w:rsidRPr="009975EA">
        <w:rPr>
          <w:rFonts w:ascii="Times New Roman" w:hAnsi="Times New Roman" w:cs="Times New Roman"/>
          <w:sz w:val="20"/>
          <w:szCs w:val="20"/>
        </w:rPr>
        <w:t xml:space="preserve">, Brigitte </w:t>
      </w:r>
      <w:proofErr w:type="spellStart"/>
      <w:r w:rsidRPr="009975EA">
        <w:rPr>
          <w:rFonts w:ascii="Times New Roman" w:hAnsi="Times New Roman" w:cs="Times New Roman"/>
          <w:sz w:val="20"/>
          <w:szCs w:val="20"/>
        </w:rPr>
        <w:t>Haar</w:t>
      </w:r>
      <w:proofErr w:type="spellEnd"/>
      <w:r w:rsidRPr="009975EA">
        <w:rPr>
          <w:rFonts w:ascii="Times New Roman" w:hAnsi="Times New Roman" w:cs="Times New Roman"/>
          <w:sz w:val="20"/>
          <w:szCs w:val="20"/>
        </w:rPr>
        <w:t xml:space="preserve">, Hanno </w:t>
      </w:r>
      <w:proofErr w:type="spellStart"/>
      <w:r w:rsidRPr="009975EA">
        <w:rPr>
          <w:rFonts w:ascii="Times New Roman" w:hAnsi="Times New Roman" w:cs="Times New Roman"/>
          <w:sz w:val="20"/>
          <w:szCs w:val="20"/>
        </w:rPr>
        <w:t>Mer</w:t>
      </w:r>
      <w:r>
        <w:rPr>
          <w:rFonts w:ascii="Times New Roman" w:hAnsi="Times New Roman" w:cs="Times New Roman"/>
          <w:sz w:val="20"/>
          <w:szCs w:val="20"/>
        </w:rPr>
        <w:t>kt</w:t>
      </w:r>
      <w:proofErr w:type="spellEnd"/>
      <w:r>
        <w:rPr>
          <w:rFonts w:ascii="Times New Roman" w:hAnsi="Times New Roman" w:cs="Times New Roman"/>
          <w:sz w:val="20"/>
          <w:szCs w:val="20"/>
        </w:rPr>
        <w:t>, et. al., (2010)</w:t>
      </w:r>
      <w:r w:rsidRPr="009975EA">
        <w:rPr>
          <w:rFonts w:ascii="Times New Roman" w:hAnsi="Times New Roman" w:cs="Times New Roman"/>
          <w:sz w:val="20"/>
          <w:szCs w:val="20"/>
        </w:rPr>
        <w:t xml:space="preserve">), this does not preclude the Turkish system from being situated under the “enterprise principle” in the entity- enterprise </w:t>
      </w:r>
      <w:proofErr w:type="gramStart"/>
      <w:r w:rsidRPr="009975EA">
        <w:rPr>
          <w:rFonts w:ascii="Times New Roman" w:hAnsi="Times New Roman" w:cs="Times New Roman"/>
          <w:sz w:val="20"/>
          <w:szCs w:val="20"/>
        </w:rPr>
        <w:t>principle</w:t>
      </w:r>
      <w:proofErr w:type="gramEnd"/>
      <w:r w:rsidRPr="009975EA">
        <w:rPr>
          <w:rFonts w:ascii="Times New Roman" w:hAnsi="Times New Roman" w:cs="Times New Roman"/>
          <w:sz w:val="20"/>
          <w:szCs w:val="20"/>
        </w:rPr>
        <w:t xml:space="preserve"> distinction, because the fact that the parent can be liable for actions taken by the subsidiary shows that the group is treated as a single unit in certain circumstances for the establishment of liability.</w:t>
      </w:r>
    </w:p>
  </w:footnote>
  <w:footnote w:id="308">
    <w:p w14:paraId="22B5669E" w14:textId="0E599EF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As the Official Comment to TCC puts forward, the rules on corporate groups in Turkish law differs from its German equivalent and has unique features, even though German law is used as a model for the provision (Official Comment to TCC Law of Corporate Groups Section). One of the points that Turkish law differs from German law is that Turkish law applies the related provisions to all kinds of companies, including corporations (TCC Article 195(1)). </w:t>
      </w:r>
    </w:p>
  </w:footnote>
  <w:footnote w:id="309">
    <w:p w14:paraId="4CA5CE43" w14:textId="7F7A4FE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Official Comment to TCC Law of Corporate Groups Section.</w:t>
      </w:r>
    </w:p>
  </w:footnote>
  <w:footnote w:id="310">
    <w:p w14:paraId="0F14E55E" w14:textId="6C8E6D9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Gul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xml:space="preserve">, </w:t>
      </w:r>
      <w:proofErr w:type="spellStart"/>
      <w:r w:rsidRPr="00AE32DD">
        <w:rPr>
          <w:rFonts w:ascii="Times New Roman" w:hAnsi="Times New Roman" w:cs="Times New Roman"/>
          <w:i/>
          <w:sz w:val="20"/>
          <w:szCs w:val="20"/>
        </w:rPr>
        <w:t>Sirketler</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Toplulugu</w:t>
      </w:r>
      <w:proofErr w:type="spellEnd"/>
      <w:r w:rsidRPr="00AE32DD">
        <w:rPr>
          <w:rFonts w:ascii="Times New Roman" w:hAnsi="Times New Roman" w:cs="Times New Roman"/>
          <w:i/>
          <w:sz w:val="20"/>
          <w:szCs w:val="20"/>
        </w:rPr>
        <w:t>,</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Bankacilar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Dergisi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Sayi</w:t>
      </w:r>
      <w:proofErr w:type="spellEnd"/>
      <w:r w:rsidRPr="009975EA">
        <w:rPr>
          <w:rFonts w:ascii="Times New Roman" w:hAnsi="Times New Roman" w:cs="Times New Roman"/>
          <w:sz w:val="20"/>
          <w:szCs w:val="20"/>
        </w:rPr>
        <w:t xml:space="preserve"> 7</w:t>
      </w:r>
      <w:r>
        <w:rPr>
          <w:rFonts w:ascii="Times New Roman" w:hAnsi="Times New Roman" w:cs="Times New Roman"/>
          <w:sz w:val="20"/>
          <w:szCs w:val="20"/>
        </w:rPr>
        <w:t xml:space="preserve">9 </w:t>
      </w:r>
      <w:proofErr w:type="spellStart"/>
      <w:r>
        <w:rPr>
          <w:rFonts w:ascii="Times New Roman" w:hAnsi="Times New Roman" w:cs="Times New Roman"/>
          <w:sz w:val="20"/>
          <w:szCs w:val="20"/>
        </w:rPr>
        <w:t>Aralik</w:t>
      </w:r>
      <w:proofErr w:type="spellEnd"/>
      <w:r>
        <w:rPr>
          <w:rFonts w:ascii="Times New Roman" w:hAnsi="Times New Roman" w:cs="Times New Roman"/>
          <w:sz w:val="20"/>
          <w:szCs w:val="20"/>
        </w:rPr>
        <w:t xml:space="preserve"> 2011, at </w:t>
      </w:r>
      <w:r w:rsidRPr="009975EA">
        <w:rPr>
          <w:rFonts w:ascii="Times New Roman" w:hAnsi="Times New Roman" w:cs="Times New Roman"/>
          <w:sz w:val="20"/>
          <w:szCs w:val="20"/>
        </w:rPr>
        <w:t>91.</w:t>
      </w:r>
    </w:p>
  </w:footnote>
  <w:footnote w:id="311">
    <w:p w14:paraId="542F970E" w14:textId="678862F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As a corollary of this definition, TCC Article 195(3) states that the parent can exert its control over a subsidiary through both directly </w:t>
      </w:r>
      <w:proofErr w:type="gramStart"/>
      <w:r w:rsidRPr="009975EA">
        <w:rPr>
          <w:rFonts w:ascii="Times New Roman" w:hAnsi="Times New Roman" w:cs="Times New Roman"/>
          <w:sz w:val="20"/>
          <w:szCs w:val="20"/>
        </w:rPr>
        <w:t>or</w:t>
      </w:r>
      <w:proofErr w:type="gramEnd"/>
      <w:r w:rsidRPr="009975EA">
        <w:rPr>
          <w:rFonts w:ascii="Times New Roman" w:hAnsi="Times New Roman" w:cs="Times New Roman"/>
          <w:sz w:val="20"/>
          <w:szCs w:val="20"/>
        </w:rPr>
        <w:t xml:space="preserve"> indirectly via other subsidiaries. </w:t>
      </w:r>
    </w:p>
  </w:footnote>
  <w:footnote w:id="312">
    <w:p w14:paraId="48B832C0" w14:textId="02E4711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p. 92.</w:t>
      </w:r>
    </w:p>
  </w:footnote>
  <w:footnote w:id="313">
    <w:p w14:paraId="235657BB" w14:textId="5519093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Hofstetter, Parent Responsibility, p. 580.</w:t>
      </w:r>
    </w:p>
  </w:footnote>
  <w:footnote w:id="314">
    <w:p w14:paraId="43DCB92A" w14:textId="5B2A958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example, in a wholly- </w:t>
      </w:r>
      <w:proofErr w:type="spellStart"/>
      <w:r w:rsidRPr="009975EA">
        <w:rPr>
          <w:rFonts w:ascii="Times New Roman" w:hAnsi="Times New Roman" w:cs="Times New Roman"/>
          <w:sz w:val="20"/>
          <w:szCs w:val="20"/>
        </w:rPr>
        <w:t>owed</w:t>
      </w:r>
      <w:proofErr w:type="spellEnd"/>
      <w:r w:rsidRPr="009975EA">
        <w:rPr>
          <w:rFonts w:ascii="Times New Roman" w:hAnsi="Times New Roman" w:cs="Times New Roman"/>
          <w:sz w:val="20"/>
          <w:szCs w:val="20"/>
        </w:rPr>
        <w:t xml:space="preserve"> subsidiary, there are no other shareholders except the parent corporation, so the conflict of interests that this relationship creates may be primarily regulated on the threat it poses to creditors. This differing notion is also recognized in U.S. law. In Anadarko Petroleum Corp. v. Panhandle Eastern Corp., 545 A.2d 1171 (1988), the Delaware court opined that “in a parent and wholly- owned subsidiary context, the directors of the subsidiary are obligate only to manage the affairs of the subsidiary in the best interest of the parent and its shareholders” and “a parent does not owe a fiduciary duty to its wholly owned subsidiary”.</w:t>
      </w:r>
    </w:p>
  </w:footnote>
  <w:footnote w:id="315">
    <w:p w14:paraId="50B22B9A" w14:textId="188F4EA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p. 95.</w:t>
      </w:r>
    </w:p>
  </w:footnote>
  <w:footnote w:id="316">
    <w:p w14:paraId="00E969E7" w14:textId="3082AA5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Official Comment to TCC Article 195.</w:t>
      </w:r>
    </w:p>
  </w:footnote>
  <w:footnote w:id="317">
    <w:p w14:paraId="1C0CED70" w14:textId="2AE4B3E1" w:rsidR="00D36541" w:rsidRPr="009975EA" w:rsidRDefault="00D36541" w:rsidP="009975EA">
      <w:pPr>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should</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noted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TCC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gives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parent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ability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transform</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subsidiary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wholly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owned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integrate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further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parent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holds</w:t>
      </w:r>
      <w:proofErr w:type="spellEnd"/>
      <w:r w:rsidRPr="009975EA">
        <w:rPr>
          <w:rFonts w:ascii="Times New Roman" w:hAnsi="Times New Roman" w:cs="Times New Roman"/>
          <w:sz w:val="20"/>
          <w:szCs w:val="20"/>
        </w:rPr>
        <w:t xml:space="preserve"> at </w:t>
      </w:r>
      <w:proofErr w:type="spellStart"/>
      <w:r w:rsidRPr="009975EA">
        <w:rPr>
          <w:rFonts w:ascii="Times New Roman" w:hAnsi="Times New Roman" w:cs="Times New Roman"/>
          <w:sz w:val="20"/>
          <w:szCs w:val="20"/>
        </w:rPr>
        <w:t>least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ninty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percent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both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voting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right</w:t>
      </w:r>
      <w:proofErr w:type="spellEnd"/>
      <w:r w:rsidRPr="009975EA">
        <w:rPr>
          <w:rFonts w:ascii="Times New Roman" w:hAnsi="Times New Roman" w:cs="Times New Roman"/>
          <w:sz w:val="20"/>
          <w:szCs w:val="20"/>
        </w:rPr>
        <w:t xml:space="preserve"> has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buy- </w:t>
      </w:r>
      <w:proofErr w:type="spellStart"/>
      <w:r w:rsidRPr="009975EA">
        <w:rPr>
          <w:rFonts w:ascii="Times New Roman" w:hAnsi="Times New Roman" w:cs="Times New Roman"/>
          <w:sz w:val="20"/>
          <w:szCs w:val="20"/>
        </w:rPr>
        <w:t>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minority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if</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minority</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causing</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deadlock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substantial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problems</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operation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Article</w:t>
      </w:r>
      <w:proofErr w:type="spellEnd"/>
      <w:r w:rsidRPr="009975EA">
        <w:rPr>
          <w:rFonts w:ascii="Times New Roman" w:hAnsi="Times New Roman" w:cs="Times New Roman"/>
          <w:sz w:val="20"/>
          <w:szCs w:val="20"/>
        </w:rPr>
        <w:t xml:space="preserve"> 208). </w:t>
      </w:r>
      <w:proofErr w:type="spellStart"/>
      <w:r w:rsidRPr="009975EA">
        <w:rPr>
          <w:rFonts w:ascii="Times New Roman" w:hAnsi="Times New Roman" w:cs="Times New Roman"/>
          <w:sz w:val="20"/>
          <w:szCs w:val="20"/>
        </w:rPr>
        <w:t>However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provision</w:t>
      </w:r>
      <w:proofErr w:type="spellEnd"/>
      <w:r w:rsidRPr="009975EA">
        <w:rPr>
          <w:rFonts w:ascii="Times New Roman" w:hAnsi="Times New Roman" w:cs="Times New Roman"/>
          <w:sz w:val="20"/>
          <w:szCs w:val="20"/>
        </w:rPr>
        <w:t xml:space="preserve"> is not </w:t>
      </w:r>
      <w:proofErr w:type="spellStart"/>
      <w:r w:rsidRPr="009975EA">
        <w:rPr>
          <w:rFonts w:ascii="Times New Roman" w:hAnsi="Times New Roman" w:cs="Times New Roman"/>
          <w:sz w:val="20"/>
          <w:szCs w:val="20"/>
        </w:rPr>
        <w:t>applicable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publicly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due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explicit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preemption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CML </w:t>
      </w:r>
      <w:proofErr w:type="spellStart"/>
      <w:r w:rsidRPr="009975EA">
        <w:rPr>
          <w:rFonts w:ascii="Times New Roman" w:hAnsi="Times New Roman" w:cs="Times New Roman"/>
          <w:sz w:val="20"/>
          <w:szCs w:val="20"/>
        </w:rPr>
        <w:t>Article</w:t>
      </w:r>
      <w:proofErr w:type="spellEnd"/>
      <w:r w:rsidRPr="009975EA">
        <w:rPr>
          <w:rFonts w:ascii="Times New Roman" w:hAnsi="Times New Roman" w:cs="Times New Roman"/>
          <w:sz w:val="20"/>
          <w:szCs w:val="20"/>
        </w:rPr>
        <w:t xml:space="preserve"> 27/3 </w:t>
      </w:r>
      <w:proofErr w:type="spellStart"/>
      <w:r w:rsidRPr="009975EA">
        <w:rPr>
          <w:rFonts w:ascii="Times New Roman" w:hAnsi="Times New Roman" w:cs="Times New Roman"/>
          <w:sz w:val="20"/>
          <w:szCs w:val="20"/>
        </w:rPr>
        <w:t>provided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TCC </w:t>
      </w:r>
      <w:proofErr w:type="spellStart"/>
      <w:r w:rsidRPr="009975EA">
        <w:rPr>
          <w:rFonts w:ascii="Times New Roman" w:hAnsi="Times New Roman" w:cs="Times New Roman"/>
          <w:sz w:val="20"/>
          <w:szCs w:val="20"/>
        </w:rPr>
        <w:t>Article</w:t>
      </w:r>
      <w:proofErr w:type="spellEnd"/>
      <w:r w:rsidRPr="009975EA">
        <w:rPr>
          <w:rFonts w:ascii="Times New Roman" w:hAnsi="Times New Roman" w:cs="Times New Roman"/>
          <w:sz w:val="20"/>
          <w:szCs w:val="20"/>
        </w:rPr>
        <w:t xml:space="preserve"> 208.</w:t>
      </w:r>
    </w:p>
  </w:footnote>
  <w:footnote w:id="318">
    <w:p w14:paraId="358C2CB2" w14:textId="7DB321C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Veliye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Yanli</w:t>
      </w:r>
      <w:proofErr w:type="spellEnd"/>
      <w:r w:rsidRPr="009975EA">
        <w:rPr>
          <w:rFonts w:ascii="Times New Roman" w:hAnsi="Times New Roman" w:cs="Times New Roman"/>
          <w:sz w:val="20"/>
          <w:szCs w:val="20"/>
        </w:rPr>
        <w:t xml:space="preserve">, </w:t>
      </w:r>
      <w:r w:rsidRPr="00AE32DD">
        <w:rPr>
          <w:rFonts w:ascii="Times New Roman" w:hAnsi="Times New Roman" w:cs="Times New Roman"/>
          <w:i/>
          <w:sz w:val="20"/>
          <w:szCs w:val="20"/>
        </w:rPr>
        <w:t>Dominion Agreements,</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Regesta</w:t>
      </w:r>
      <w:proofErr w:type="spellEnd"/>
      <w:r w:rsidRPr="009975EA">
        <w:rPr>
          <w:rFonts w:ascii="Times New Roman" w:hAnsi="Times New Roman" w:cs="Times New Roman"/>
          <w:sz w:val="20"/>
          <w:szCs w:val="20"/>
        </w:rPr>
        <w:t xml:space="preserve"> V</w:t>
      </w:r>
      <w:r>
        <w:rPr>
          <w:rFonts w:ascii="Times New Roman" w:hAnsi="Times New Roman" w:cs="Times New Roman"/>
          <w:sz w:val="20"/>
          <w:szCs w:val="20"/>
        </w:rPr>
        <w:t>ol. 3 Issue. 1 2013/1 (2013), at</w:t>
      </w:r>
      <w:r w:rsidRPr="009975EA">
        <w:rPr>
          <w:rFonts w:ascii="Times New Roman" w:hAnsi="Times New Roman" w:cs="Times New Roman"/>
          <w:sz w:val="20"/>
          <w:szCs w:val="20"/>
        </w:rPr>
        <w:t xml:space="preserve"> 5. While </w:t>
      </w:r>
      <w:proofErr w:type="spellStart"/>
      <w:r w:rsidRPr="009975EA">
        <w:rPr>
          <w:rFonts w:ascii="Times New Roman" w:hAnsi="Times New Roman" w:cs="Times New Roman"/>
          <w:sz w:val="20"/>
          <w:szCs w:val="20"/>
        </w:rPr>
        <w:t>Yanli</w:t>
      </w:r>
      <w:proofErr w:type="spellEnd"/>
      <w:r w:rsidRPr="009975EA">
        <w:rPr>
          <w:rFonts w:ascii="Times New Roman" w:hAnsi="Times New Roman" w:cs="Times New Roman"/>
          <w:sz w:val="20"/>
          <w:szCs w:val="20"/>
        </w:rPr>
        <w:t xml:space="preserve"> uses the “dominion contract” term to refer “domination contract”, </w:t>
      </w:r>
      <w:proofErr w:type="spellStart"/>
      <w:r w:rsidRPr="009975EA">
        <w:rPr>
          <w:rFonts w:ascii="Times New Roman" w:hAnsi="Times New Roman" w:cs="Times New Roman"/>
          <w:sz w:val="20"/>
          <w:szCs w:val="20"/>
        </w:rPr>
        <w:t>Walde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interchangebly</w:t>
      </w:r>
      <w:proofErr w:type="spellEnd"/>
      <w:r w:rsidRPr="009975EA">
        <w:rPr>
          <w:rFonts w:ascii="Times New Roman" w:hAnsi="Times New Roman" w:cs="Times New Roman"/>
          <w:sz w:val="20"/>
          <w:szCs w:val="20"/>
        </w:rPr>
        <w:t xml:space="preserve"> uses the “domination contract” or “enterprise contract” terms to refer to same concept (</w:t>
      </w:r>
      <w:proofErr w:type="spellStart"/>
      <w:r w:rsidRPr="009975EA">
        <w:rPr>
          <w:rFonts w:ascii="Times New Roman" w:hAnsi="Times New Roman" w:cs="Times New Roman"/>
          <w:sz w:val="20"/>
          <w:szCs w:val="20"/>
        </w:rPr>
        <w:t>Walde</w:t>
      </w:r>
      <w:proofErr w:type="spellEnd"/>
      <w:r w:rsidRPr="009975EA">
        <w:rPr>
          <w:rFonts w:ascii="Times New Roman" w:hAnsi="Times New Roman" w:cs="Times New Roman"/>
          <w:sz w:val="20"/>
          <w:szCs w:val="20"/>
        </w:rPr>
        <w:t>, p. 495).</w:t>
      </w:r>
    </w:p>
  </w:footnote>
  <w:footnote w:id="319">
    <w:p w14:paraId="20C251A2" w14:textId="2F38636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Yanli</w:t>
      </w:r>
      <w:proofErr w:type="spellEnd"/>
      <w:r w:rsidRPr="009975EA">
        <w:rPr>
          <w:rFonts w:ascii="Times New Roman" w:hAnsi="Times New Roman" w:cs="Times New Roman"/>
          <w:sz w:val="20"/>
          <w:szCs w:val="20"/>
        </w:rPr>
        <w:t>, Dominion Agreements, p. 8.</w:t>
      </w:r>
    </w:p>
  </w:footnote>
  <w:footnote w:id="320">
    <w:p w14:paraId="18E6E5C8" w14:textId="65FB58E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this respect, compared with the “management agreements” which generally confers the authority regarding day-to-day operation of the corporation (California Corporate Code Sec. 300(a): “The board may delegate the management of the day-to-day operation of the business of the corporation to a management company or other person provided that the business and affairs of the corporation shall be managed and all corporate powers shall be exercised under the ultimate direction of the board.”), the “dominion contract” represents a contract that confers all the discretion of the board of directors, including the power to make ultimate decisions regarding the corporation.</w:t>
      </w:r>
    </w:p>
  </w:footnote>
  <w:footnote w:id="321">
    <w:p w14:paraId="47149D76" w14:textId="25C54BAC" w:rsidR="00D36541" w:rsidRPr="009975EA" w:rsidRDefault="00D36541" w:rsidP="009975EA">
      <w:pPr>
        <w:pStyle w:val="DipnotMetni"/>
        <w:tabs>
          <w:tab w:val="left" w:pos="4206"/>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Yanli</w:t>
      </w:r>
      <w:proofErr w:type="spellEnd"/>
      <w:r w:rsidRPr="009975EA">
        <w:rPr>
          <w:rFonts w:ascii="Times New Roman" w:hAnsi="Times New Roman" w:cs="Times New Roman"/>
          <w:sz w:val="20"/>
          <w:szCs w:val="20"/>
        </w:rPr>
        <w:t>, Dominion Agreements, p. 8.</w:t>
      </w:r>
      <w:r w:rsidRPr="009975EA">
        <w:rPr>
          <w:rFonts w:ascii="Times New Roman" w:hAnsi="Times New Roman" w:cs="Times New Roman"/>
          <w:sz w:val="20"/>
          <w:szCs w:val="20"/>
        </w:rPr>
        <w:tab/>
      </w:r>
    </w:p>
  </w:footnote>
  <w:footnote w:id="322">
    <w:p w14:paraId="157C5038" w14:textId="4EF6A10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Yanli</w:t>
      </w:r>
      <w:proofErr w:type="spellEnd"/>
      <w:r w:rsidRPr="009975EA">
        <w:rPr>
          <w:rFonts w:ascii="Times New Roman" w:hAnsi="Times New Roman" w:cs="Times New Roman"/>
          <w:sz w:val="20"/>
          <w:szCs w:val="20"/>
        </w:rPr>
        <w:t>, Dominion Agreements, p.11.</w:t>
      </w:r>
    </w:p>
  </w:footnote>
  <w:footnote w:id="323">
    <w:p w14:paraId="42080B7F" w14:textId="2BA5202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Trade Registry Regulation (Official Gazette Date: 27/01/2013 Number: 28541), Article 106(2) and Regulation on the Procedures and Principles of the Corporation’s General </w:t>
      </w:r>
      <w:proofErr w:type="spellStart"/>
      <w:r w:rsidRPr="009975EA">
        <w:rPr>
          <w:rFonts w:ascii="Times New Roman" w:hAnsi="Times New Roman" w:cs="Times New Roman"/>
          <w:sz w:val="20"/>
          <w:szCs w:val="20"/>
        </w:rPr>
        <w:t>Aseembly’s</w:t>
      </w:r>
      <w:proofErr w:type="spellEnd"/>
      <w:r w:rsidRPr="009975EA">
        <w:rPr>
          <w:rFonts w:ascii="Times New Roman" w:hAnsi="Times New Roman" w:cs="Times New Roman"/>
          <w:sz w:val="20"/>
          <w:szCs w:val="20"/>
        </w:rPr>
        <w:t xml:space="preserve"> and Participatory State Representatives (Official Gazette Date: 28/11/2012 Number: 28481) Article 30(h).</w:t>
      </w:r>
    </w:p>
  </w:footnote>
  <w:footnote w:id="324">
    <w:p w14:paraId="667ABE1F" w14:textId="681E9C2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p. 94.</w:t>
      </w:r>
    </w:p>
  </w:footnote>
  <w:footnote w:id="325">
    <w:p w14:paraId="74B301EE" w14:textId="3D5AF4A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Aytac</w:t>
      </w:r>
      <w:proofErr w:type="spellEnd"/>
      <w:r w:rsidRPr="009975EA">
        <w:rPr>
          <w:rFonts w:ascii="Times New Roman" w:hAnsi="Times New Roman" w:cs="Times New Roman"/>
          <w:sz w:val="20"/>
          <w:szCs w:val="20"/>
        </w:rPr>
        <w:t>, p. 16.</w:t>
      </w:r>
    </w:p>
  </w:footnote>
  <w:footnote w:id="326">
    <w:p w14:paraId="4ED883D2" w14:textId="014EBF4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TCC Official Comment to Article 195.</w:t>
      </w:r>
    </w:p>
  </w:footnote>
  <w:footnote w:id="327">
    <w:p w14:paraId="3AD9952D" w14:textId="1F4B12B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Okutan</w:t>
      </w:r>
      <w:proofErr w:type="spellEnd"/>
      <w:r w:rsidR="00264340">
        <w:rPr>
          <w:rFonts w:ascii="Times New Roman" w:hAnsi="Times New Roman" w:cs="Times New Roman"/>
          <w:sz w:val="20"/>
          <w:szCs w:val="20"/>
        </w:rPr>
        <w:t>, p.</w:t>
      </w:r>
      <w:r w:rsidRPr="009975EA">
        <w:rPr>
          <w:rFonts w:ascii="Times New Roman" w:hAnsi="Times New Roman" w:cs="Times New Roman"/>
          <w:sz w:val="20"/>
          <w:szCs w:val="20"/>
        </w:rPr>
        <w:t xml:space="preserve"> 96-97.</w:t>
      </w:r>
    </w:p>
  </w:footnote>
  <w:footnote w:id="328">
    <w:p w14:paraId="61AB14C3" w14:textId="190DB92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p.101.</w:t>
      </w:r>
    </w:p>
  </w:footnote>
  <w:footnote w:id="329">
    <w:p w14:paraId="22E0DC14" w14:textId="6C04AB4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Ersin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AE32DD">
        <w:rPr>
          <w:rFonts w:ascii="Times New Roman" w:hAnsi="Times New Roman" w:cs="Times New Roman"/>
          <w:i/>
          <w:sz w:val="20"/>
          <w:szCs w:val="20"/>
        </w:rPr>
        <w:t>Sirketler</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Toplulugunda</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Hakimiyetin</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Kotuye</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Kullanilmasindan</w:t>
      </w:r>
      <w:proofErr w:type="spellEnd"/>
      <w:r w:rsidRPr="00AE32DD">
        <w:rPr>
          <w:rFonts w:ascii="Times New Roman" w:hAnsi="Times New Roman" w:cs="Times New Roman"/>
          <w:i/>
          <w:sz w:val="20"/>
          <w:szCs w:val="20"/>
        </w:rPr>
        <w:t xml:space="preserve"> Dogan </w:t>
      </w:r>
      <w:proofErr w:type="spellStart"/>
      <w:r w:rsidRPr="00AE32DD">
        <w:rPr>
          <w:rFonts w:ascii="Times New Roman" w:hAnsi="Times New Roman" w:cs="Times New Roman"/>
          <w:i/>
          <w:sz w:val="20"/>
          <w:szCs w:val="20"/>
        </w:rPr>
        <w:t>Sorumluluk</w:t>
      </w:r>
      <w:proofErr w:type="spell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Davalari</w:t>
      </w:r>
      <w:proofErr w:type="spellEnd"/>
      <w:r w:rsidRPr="00AE32DD">
        <w:rPr>
          <w:rFonts w:ascii="Times New Roman" w:hAnsi="Times New Roman" w:cs="Times New Roman"/>
          <w:i/>
          <w:sz w:val="20"/>
          <w:szCs w:val="20"/>
        </w:rPr>
        <w:t>,</w:t>
      </w:r>
      <w:r w:rsidRPr="009975EA">
        <w:rPr>
          <w:rFonts w:ascii="Times New Roman" w:hAnsi="Times New Roman" w:cs="Times New Roman"/>
          <w:sz w:val="20"/>
          <w:szCs w:val="20"/>
        </w:rPr>
        <w:t xml:space="preserve"> Galatasaray </w:t>
      </w:r>
      <w:proofErr w:type="spellStart"/>
      <w:r w:rsidRPr="009975EA">
        <w:rPr>
          <w:rFonts w:ascii="Times New Roman" w:hAnsi="Times New Roman" w:cs="Times New Roman"/>
          <w:sz w:val="20"/>
          <w:szCs w:val="20"/>
        </w:rPr>
        <w:t>Universitesi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Hukuk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Fak</w:t>
      </w:r>
      <w:r>
        <w:rPr>
          <w:rFonts w:ascii="Times New Roman" w:hAnsi="Times New Roman" w:cs="Times New Roman"/>
          <w:sz w:val="20"/>
          <w:szCs w:val="20"/>
        </w:rPr>
        <w:t>ultesi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2013/2 (2013) at </w:t>
      </w:r>
      <w:r w:rsidRPr="009975EA">
        <w:rPr>
          <w:rFonts w:ascii="Times New Roman" w:hAnsi="Times New Roman" w:cs="Times New Roman"/>
          <w:sz w:val="20"/>
          <w:szCs w:val="20"/>
        </w:rPr>
        <w:t>23.</w:t>
      </w:r>
    </w:p>
  </w:footnote>
  <w:footnote w:id="330">
    <w:p w14:paraId="18798117" w14:textId="2841715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Vito Roberto, </w:t>
      </w:r>
      <w:r w:rsidRPr="009975EA">
        <w:rPr>
          <w:rFonts w:ascii="Times New Roman" w:hAnsi="Times New Roman" w:cs="Times New Roman"/>
          <w:sz w:val="20"/>
          <w:szCs w:val="20"/>
        </w:rPr>
        <w:t xml:space="preserve">Corinne Widmer, </w:t>
      </w:r>
      <w:r w:rsidRPr="00AE32DD">
        <w:rPr>
          <w:rFonts w:ascii="Times New Roman" w:hAnsi="Times New Roman" w:cs="Times New Roman"/>
          <w:i/>
          <w:sz w:val="20"/>
          <w:szCs w:val="20"/>
        </w:rPr>
        <w:t xml:space="preserve">Tort Liability for </w:t>
      </w:r>
      <w:proofErr w:type="spellStart"/>
      <w:r w:rsidRPr="00AE32DD">
        <w:rPr>
          <w:rFonts w:ascii="Times New Roman" w:hAnsi="Times New Roman" w:cs="Times New Roman"/>
          <w:i/>
          <w:sz w:val="20"/>
          <w:szCs w:val="20"/>
        </w:rPr>
        <w:t>Servises</w:t>
      </w:r>
      <w:proofErr w:type="spellEnd"/>
      <w:r w:rsidRPr="00AE32DD">
        <w:rPr>
          <w:rFonts w:ascii="Times New Roman" w:hAnsi="Times New Roman" w:cs="Times New Roman"/>
          <w:i/>
          <w:sz w:val="20"/>
          <w:szCs w:val="20"/>
        </w:rPr>
        <w:t xml:space="preserve">: Where Did We Come from, Where Are We Going </w:t>
      </w:r>
      <w:proofErr w:type="gramStart"/>
      <w:r w:rsidRPr="00AE32DD">
        <w:rPr>
          <w:rFonts w:ascii="Times New Roman" w:hAnsi="Times New Roman" w:cs="Times New Roman"/>
          <w:i/>
          <w:sz w:val="20"/>
          <w:szCs w:val="20"/>
        </w:rPr>
        <w:t>to?,</w:t>
      </w:r>
      <w:proofErr w:type="gramEnd"/>
      <w:r w:rsidRPr="00AE32DD">
        <w:rPr>
          <w:rFonts w:ascii="Times New Roman" w:hAnsi="Times New Roman" w:cs="Times New Roman"/>
          <w:i/>
          <w:sz w:val="20"/>
          <w:szCs w:val="20"/>
        </w:rPr>
        <w:t xml:space="preserve"> </w:t>
      </w:r>
      <w:proofErr w:type="spellStart"/>
      <w:r w:rsidRPr="00AE32DD">
        <w:rPr>
          <w:rFonts w:ascii="Times New Roman" w:hAnsi="Times New Roman" w:cs="Times New Roman"/>
          <w:i/>
          <w:sz w:val="20"/>
          <w:szCs w:val="20"/>
        </w:rPr>
        <w:t>XVIth</w:t>
      </w:r>
      <w:proofErr w:type="spellEnd"/>
      <w:r w:rsidRPr="00AE32DD">
        <w:rPr>
          <w:rFonts w:ascii="Times New Roman" w:hAnsi="Times New Roman" w:cs="Times New Roman"/>
          <w:i/>
          <w:sz w:val="20"/>
          <w:szCs w:val="20"/>
        </w:rPr>
        <w:t xml:space="preserve"> International Congress of Comparative Law</w:t>
      </w:r>
      <w:r>
        <w:rPr>
          <w:rFonts w:ascii="Times New Roman" w:hAnsi="Times New Roman" w:cs="Times New Roman"/>
          <w:sz w:val="20"/>
          <w:szCs w:val="20"/>
        </w:rPr>
        <w:t xml:space="preserve"> 208 (</w:t>
      </w:r>
      <w:r w:rsidRPr="009975EA">
        <w:rPr>
          <w:rFonts w:ascii="Times New Roman" w:hAnsi="Times New Roman" w:cs="Times New Roman"/>
          <w:sz w:val="20"/>
          <w:szCs w:val="20"/>
        </w:rPr>
        <w:t>2002</w:t>
      </w:r>
      <w:r>
        <w:rPr>
          <w:rFonts w:ascii="Times New Roman" w:hAnsi="Times New Roman" w:cs="Times New Roman"/>
          <w:sz w:val="20"/>
          <w:szCs w:val="20"/>
        </w:rPr>
        <w:t>)</w:t>
      </w:r>
      <w:r w:rsidRPr="009975EA">
        <w:rPr>
          <w:rFonts w:ascii="Times New Roman" w:hAnsi="Times New Roman" w:cs="Times New Roman"/>
          <w:sz w:val="20"/>
          <w:szCs w:val="20"/>
        </w:rPr>
        <w:t xml:space="preserve">. Commentators opine that historically, the breach of trust doctrine was meant to compensate for alleged shortcomings of tort law, whereas culpa in </w:t>
      </w:r>
      <w:proofErr w:type="spellStart"/>
      <w:r w:rsidRPr="009975EA">
        <w:rPr>
          <w:rFonts w:ascii="Times New Roman" w:hAnsi="Times New Roman" w:cs="Times New Roman"/>
          <w:sz w:val="20"/>
          <w:szCs w:val="20"/>
        </w:rPr>
        <w:t>contrahendo</w:t>
      </w:r>
      <w:proofErr w:type="spellEnd"/>
      <w:r w:rsidRPr="009975EA">
        <w:rPr>
          <w:rFonts w:ascii="Times New Roman" w:hAnsi="Times New Roman" w:cs="Times New Roman"/>
          <w:sz w:val="20"/>
          <w:szCs w:val="20"/>
        </w:rPr>
        <w:t xml:space="preserve"> typically deals with the </w:t>
      </w:r>
      <w:proofErr w:type="spellStart"/>
      <w:r w:rsidRPr="009975EA">
        <w:rPr>
          <w:rFonts w:ascii="Times New Roman" w:hAnsi="Times New Roman" w:cs="Times New Roman"/>
          <w:sz w:val="20"/>
          <w:szCs w:val="20"/>
        </w:rPr>
        <w:t>breasch</w:t>
      </w:r>
      <w:proofErr w:type="spellEnd"/>
      <w:r w:rsidRPr="009975EA">
        <w:rPr>
          <w:rFonts w:ascii="Times New Roman" w:hAnsi="Times New Roman" w:cs="Times New Roman"/>
          <w:sz w:val="20"/>
          <w:szCs w:val="20"/>
        </w:rPr>
        <w:t xml:space="preserve"> of contract- related precontractual duties like good faith and fair dealing (Roberto/Widmer, p.</w:t>
      </w:r>
      <w:r w:rsidR="00264340">
        <w:rPr>
          <w:rFonts w:ascii="Times New Roman" w:hAnsi="Times New Roman" w:cs="Times New Roman"/>
          <w:sz w:val="20"/>
          <w:szCs w:val="20"/>
        </w:rPr>
        <w:t xml:space="preserve"> </w:t>
      </w:r>
      <w:r w:rsidRPr="009975EA">
        <w:rPr>
          <w:rFonts w:ascii="Times New Roman" w:hAnsi="Times New Roman" w:cs="Times New Roman"/>
          <w:sz w:val="20"/>
          <w:szCs w:val="20"/>
        </w:rPr>
        <w:t>217).</w:t>
      </w:r>
    </w:p>
  </w:footnote>
  <w:footnote w:id="331">
    <w:p w14:paraId="21A5BF6F" w14:textId="01E52CE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Regarding the concept of “loss” in this section of the statute,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xml:space="preserve"> opines that the “loss” suggested here has a wider scope than the “damage” concept used in contracts law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p.</w:t>
      </w:r>
      <w:r w:rsidR="00264340">
        <w:rPr>
          <w:rFonts w:ascii="Times New Roman" w:hAnsi="Times New Roman" w:cs="Times New Roman"/>
          <w:sz w:val="20"/>
          <w:szCs w:val="20"/>
        </w:rPr>
        <w:t xml:space="preserve"> </w:t>
      </w:r>
      <w:r w:rsidRPr="009975EA">
        <w:rPr>
          <w:rFonts w:ascii="Times New Roman" w:hAnsi="Times New Roman" w:cs="Times New Roman"/>
          <w:sz w:val="20"/>
          <w:szCs w:val="20"/>
        </w:rPr>
        <w:t>97).</w:t>
      </w:r>
    </w:p>
  </w:footnote>
  <w:footnote w:id="332">
    <w:p w14:paraId="68A01D2D" w14:textId="4EAF0B7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p. 99.</w:t>
      </w:r>
    </w:p>
  </w:footnote>
  <w:footnote w:id="333">
    <w:p w14:paraId="575FF1A3" w14:textId="1DDDFC2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Sirketler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Toplulugu</w:t>
      </w:r>
      <w:proofErr w:type="spellEnd"/>
      <w:r w:rsidRPr="009975EA">
        <w:rPr>
          <w:rFonts w:ascii="Times New Roman" w:hAnsi="Times New Roman" w:cs="Times New Roman"/>
          <w:sz w:val="20"/>
          <w:szCs w:val="20"/>
        </w:rPr>
        <w:t>, p.27.</w:t>
      </w:r>
    </w:p>
  </w:footnote>
  <w:footnote w:id="334">
    <w:p w14:paraId="40C7F426" w14:textId="33864B2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p. 100.</w:t>
      </w:r>
    </w:p>
  </w:footnote>
  <w:footnote w:id="335">
    <w:p w14:paraId="23D92DA0" w14:textId="7981A4B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TCC 209: “</w:t>
      </w:r>
      <w:proofErr w:type="spellStart"/>
      <w:r w:rsidRPr="009975EA">
        <w:rPr>
          <w:rFonts w:ascii="Times New Roman" w:hAnsi="Times New Roman" w:cs="Times New Roman"/>
          <w:iCs/>
          <w:color w:val="000000"/>
          <w:sz w:val="20"/>
          <w:szCs w:val="20"/>
        </w:rPr>
        <w:t>In</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situations</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where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the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reputation</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that</w:t>
      </w:r>
      <w:proofErr w:type="spellEnd"/>
      <w:r w:rsidRPr="009975EA">
        <w:rPr>
          <w:rFonts w:ascii="Times New Roman" w:hAnsi="Times New Roman" w:cs="Times New Roman"/>
          <w:iCs/>
          <w:color w:val="000000"/>
          <w:sz w:val="20"/>
          <w:szCs w:val="20"/>
        </w:rPr>
        <w:t xml:space="preserve"> a </w:t>
      </w:r>
      <w:proofErr w:type="spellStart"/>
      <w:r w:rsidRPr="009975EA">
        <w:rPr>
          <w:rFonts w:ascii="Times New Roman" w:hAnsi="Times New Roman" w:cs="Times New Roman"/>
          <w:iCs/>
          <w:color w:val="000000"/>
          <w:sz w:val="20"/>
          <w:szCs w:val="20"/>
        </w:rPr>
        <w:t>corporate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group</w:t>
      </w:r>
      <w:proofErr w:type="spellEnd"/>
      <w:r w:rsidRPr="009975EA">
        <w:rPr>
          <w:rFonts w:ascii="Times New Roman" w:hAnsi="Times New Roman" w:cs="Times New Roman"/>
          <w:iCs/>
          <w:color w:val="000000"/>
          <w:sz w:val="20"/>
          <w:szCs w:val="20"/>
        </w:rPr>
        <w:t xml:space="preserve"> has </w:t>
      </w:r>
      <w:proofErr w:type="spellStart"/>
      <w:r w:rsidRPr="009975EA">
        <w:rPr>
          <w:rFonts w:ascii="Times New Roman" w:hAnsi="Times New Roman" w:cs="Times New Roman"/>
          <w:iCs/>
          <w:color w:val="000000"/>
          <w:sz w:val="20"/>
          <w:szCs w:val="20"/>
        </w:rPr>
        <w:t>built</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up</w:t>
      </w:r>
      <w:proofErr w:type="spellEnd"/>
      <w:r w:rsidRPr="009975EA">
        <w:rPr>
          <w:rFonts w:ascii="Times New Roman" w:hAnsi="Times New Roman" w:cs="Times New Roman"/>
          <w:iCs/>
          <w:color w:val="000000"/>
          <w:sz w:val="20"/>
          <w:szCs w:val="20"/>
        </w:rPr>
        <w:t xml:space="preserve"> in </w:t>
      </w:r>
      <w:proofErr w:type="spellStart"/>
      <w:r w:rsidRPr="009975EA">
        <w:rPr>
          <w:rFonts w:ascii="Times New Roman" w:hAnsi="Times New Roman" w:cs="Times New Roman"/>
          <w:iCs/>
          <w:color w:val="000000"/>
          <w:sz w:val="20"/>
          <w:szCs w:val="20"/>
        </w:rPr>
        <w:t>public</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or</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among</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consumers</w:t>
      </w:r>
      <w:proofErr w:type="spellEnd"/>
      <w:r w:rsidRPr="009975EA">
        <w:rPr>
          <w:rFonts w:ascii="Times New Roman" w:hAnsi="Times New Roman" w:cs="Times New Roman"/>
          <w:iCs/>
          <w:color w:val="000000"/>
          <w:sz w:val="20"/>
          <w:szCs w:val="20"/>
        </w:rPr>
        <w:t xml:space="preserve"> has </w:t>
      </w:r>
      <w:proofErr w:type="spellStart"/>
      <w:r w:rsidRPr="009975EA">
        <w:rPr>
          <w:rFonts w:ascii="Times New Roman" w:hAnsi="Times New Roman" w:cs="Times New Roman"/>
          <w:iCs/>
          <w:color w:val="000000"/>
          <w:sz w:val="20"/>
          <w:szCs w:val="20"/>
        </w:rPr>
        <w:t>reached</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such</w:t>
      </w:r>
      <w:proofErr w:type="spellEnd"/>
      <w:r w:rsidRPr="009975EA">
        <w:rPr>
          <w:rFonts w:ascii="Times New Roman" w:hAnsi="Times New Roman" w:cs="Times New Roman"/>
          <w:iCs/>
          <w:color w:val="000000"/>
          <w:sz w:val="20"/>
          <w:szCs w:val="20"/>
        </w:rPr>
        <w:t xml:space="preserve"> a </w:t>
      </w:r>
      <w:proofErr w:type="spellStart"/>
      <w:r w:rsidRPr="009975EA">
        <w:rPr>
          <w:rFonts w:ascii="Times New Roman" w:hAnsi="Times New Roman" w:cs="Times New Roman"/>
          <w:iCs/>
          <w:color w:val="000000"/>
          <w:sz w:val="20"/>
          <w:szCs w:val="20"/>
        </w:rPr>
        <w:t>level</w:t>
      </w:r>
      <w:proofErr w:type="spellEnd"/>
      <w:r w:rsidRPr="009975EA">
        <w:rPr>
          <w:rFonts w:ascii="Times New Roman" w:hAnsi="Times New Roman" w:cs="Times New Roman"/>
          <w:iCs/>
          <w:color w:val="000000"/>
          <w:sz w:val="20"/>
          <w:szCs w:val="20"/>
        </w:rPr>
        <w:t xml:space="preserve"> as </w:t>
      </w:r>
      <w:proofErr w:type="spellStart"/>
      <w:r w:rsidRPr="009975EA">
        <w:rPr>
          <w:rFonts w:ascii="Times New Roman" w:hAnsi="Times New Roman" w:cs="Times New Roman"/>
          <w:iCs/>
          <w:color w:val="000000"/>
          <w:sz w:val="20"/>
          <w:szCs w:val="20"/>
        </w:rPr>
        <w:t>to</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inspire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confidence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the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parent</w:t>
      </w:r>
      <w:proofErr w:type="spellEnd"/>
      <w:r w:rsidRPr="009975EA">
        <w:rPr>
          <w:rFonts w:ascii="Times New Roman" w:hAnsi="Times New Roman" w:cs="Times New Roman"/>
          <w:iCs/>
          <w:color w:val="000000"/>
          <w:sz w:val="20"/>
          <w:szCs w:val="20"/>
        </w:rPr>
        <w:t xml:space="preserve"> is </w:t>
      </w:r>
      <w:proofErr w:type="spellStart"/>
      <w:r w:rsidRPr="009975EA">
        <w:rPr>
          <w:rFonts w:ascii="Times New Roman" w:hAnsi="Times New Roman" w:cs="Times New Roman"/>
          <w:iCs/>
          <w:color w:val="000000"/>
          <w:sz w:val="20"/>
          <w:szCs w:val="20"/>
        </w:rPr>
        <w:t>responsible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for</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the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trust</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that</w:t>
      </w:r>
      <w:proofErr w:type="spellEnd"/>
      <w:r w:rsidRPr="009975EA">
        <w:rPr>
          <w:rFonts w:ascii="Times New Roman" w:hAnsi="Times New Roman" w:cs="Times New Roman"/>
          <w:iCs/>
          <w:color w:val="000000"/>
          <w:sz w:val="20"/>
          <w:szCs w:val="20"/>
        </w:rPr>
        <w:t xml:space="preserve"> is </w:t>
      </w:r>
      <w:proofErr w:type="spellStart"/>
      <w:r w:rsidRPr="009975EA">
        <w:rPr>
          <w:rFonts w:ascii="Times New Roman" w:hAnsi="Times New Roman" w:cs="Times New Roman"/>
          <w:iCs/>
          <w:color w:val="000000"/>
          <w:sz w:val="20"/>
          <w:szCs w:val="20"/>
        </w:rPr>
        <w:t>inspired</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by</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the</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use</w:t>
      </w:r>
      <w:proofErr w:type="spellEnd"/>
      <w:r w:rsidRPr="009975EA">
        <w:rPr>
          <w:rFonts w:ascii="Times New Roman" w:hAnsi="Times New Roman" w:cs="Times New Roman"/>
          <w:iCs/>
          <w:color w:val="000000"/>
          <w:sz w:val="20"/>
          <w:szCs w:val="20"/>
        </w:rPr>
        <w:t xml:space="preserve"> of </w:t>
      </w:r>
      <w:proofErr w:type="spellStart"/>
      <w:r w:rsidRPr="009975EA">
        <w:rPr>
          <w:rFonts w:ascii="Times New Roman" w:hAnsi="Times New Roman" w:cs="Times New Roman"/>
          <w:iCs/>
          <w:color w:val="000000"/>
          <w:sz w:val="20"/>
          <w:szCs w:val="20"/>
        </w:rPr>
        <w:t>that</w:t>
      </w:r>
      <w:proofErr w:type="spellEnd"/>
      <w:r w:rsidRPr="009975EA">
        <w:rPr>
          <w:rFonts w:ascii="Times New Roman" w:hAnsi="Times New Roman" w:cs="Times New Roman"/>
          <w:iCs/>
          <w:color w:val="000000"/>
          <w:sz w:val="20"/>
          <w:szCs w:val="20"/>
        </w:rPr>
        <w:t xml:space="preserve"> </w:t>
      </w:r>
      <w:proofErr w:type="spellStart"/>
      <w:r w:rsidRPr="009975EA">
        <w:rPr>
          <w:rFonts w:ascii="Times New Roman" w:hAnsi="Times New Roman" w:cs="Times New Roman"/>
          <w:iCs/>
          <w:color w:val="000000"/>
          <w:sz w:val="20"/>
          <w:szCs w:val="20"/>
        </w:rPr>
        <w:t>reputation</w:t>
      </w:r>
      <w:proofErr w:type="spellEnd"/>
      <w:r w:rsidRPr="009975EA">
        <w:rPr>
          <w:rFonts w:ascii="Times New Roman" w:hAnsi="Times New Roman" w:cs="Times New Roman"/>
          <w:iCs/>
          <w:color w:val="000000"/>
          <w:sz w:val="20"/>
          <w:szCs w:val="20"/>
        </w:rPr>
        <w:t>.”</w:t>
      </w:r>
    </w:p>
  </w:footnote>
  <w:footnote w:id="336">
    <w:p w14:paraId="7E28339E" w14:textId="1F3475D9"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decision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development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provision</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Wibru</w:t>
      </w:r>
      <w:proofErr w:type="spellEnd"/>
      <w:r w:rsidRPr="009975EA">
        <w:rPr>
          <w:rFonts w:ascii="Times New Roman" w:hAnsi="Times New Roman" w:cs="Times New Roman"/>
          <w:sz w:val="20"/>
          <w:szCs w:val="20"/>
        </w:rPr>
        <w:t xml:space="preserve"> Holding AG/</w:t>
      </w:r>
      <w:proofErr w:type="spellStart"/>
      <w:r w:rsidRPr="009975EA">
        <w:rPr>
          <w:rFonts w:ascii="Times New Roman" w:hAnsi="Times New Roman" w:cs="Times New Roman"/>
          <w:sz w:val="20"/>
          <w:szCs w:val="20"/>
        </w:rPr>
        <w:t>Swissair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Beteiligungen</w:t>
      </w:r>
      <w:proofErr w:type="spellEnd"/>
      <w:r w:rsidRPr="009975EA">
        <w:rPr>
          <w:rFonts w:ascii="Times New Roman" w:hAnsi="Times New Roman" w:cs="Times New Roman"/>
          <w:sz w:val="20"/>
          <w:szCs w:val="20"/>
        </w:rPr>
        <w:t xml:space="preserve"> AG BGE 120 II 331 </w:t>
      </w:r>
      <w:proofErr w:type="spellStart"/>
      <w:r w:rsidRPr="009975EA">
        <w:rPr>
          <w:rFonts w:ascii="Times New Roman" w:hAnsi="Times New Roman" w:cs="Times New Roman"/>
          <w:sz w:val="20"/>
          <w:szCs w:val="20"/>
        </w:rPr>
        <w:t>decision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commentator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summarizes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case</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follows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hand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question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Swissair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1C1C1C"/>
          <w:sz w:val="20"/>
          <w:szCs w:val="20"/>
        </w:rPr>
        <w:t>held</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liable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creditors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claims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bankrupt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subsidiary</w:t>
      </w:r>
      <w:proofErr w:type="spellEnd"/>
      <w:r w:rsidRPr="009975EA">
        <w:rPr>
          <w:rFonts w:ascii="Times New Roman" w:hAnsi="Times New Roman" w:cs="Times New Roman"/>
          <w:color w:val="000000"/>
          <w:sz w:val="20"/>
          <w:szCs w:val="20"/>
        </w:rPr>
        <w:t xml:space="preserve">, IGR </w:t>
      </w:r>
      <w:r w:rsidRPr="009975EA">
        <w:rPr>
          <w:rFonts w:ascii="Times New Roman" w:hAnsi="Times New Roman" w:cs="Times New Roman"/>
          <w:color w:val="1C1C1C"/>
          <w:sz w:val="20"/>
          <w:szCs w:val="20"/>
        </w:rPr>
        <w:t xml:space="preserve">Holding </w:t>
      </w:r>
      <w:r w:rsidRPr="009975EA">
        <w:rPr>
          <w:rFonts w:ascii="Times New Roman" w:hAnsi="Times New Roman" w:cs="Times New Roman"/>
          <w:color w:val="000000"/>
          <w:sz w:val="20"/>
          <w:szCs w:val="20"/>
        </w:rPr>
        <w:t xml:space="preserve">Golf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Country </w:t>
      </w:r>
      <w:proofErr w:type="spellStart"/>
      <w:r w:rsidRPr="009975EA">
        <w:rPr>
          <w:rFonts w:ascii="Times New Roman" w:hAnsi="Times New Roman" w:cs="Times New Roman"/>
          <w:color w:val="000000"/>
          <w:sz w:val="20"/>
          <w:szCs w:val="20"/>
        </w:rPr>
        <w:t>Residences</w:t>
      </w:r>
      <w:proofErr w:type="spellEnd"/>
      <w:r w:rsidRPr="009975EA">
        <w:rPr>
          <w:rFonts w:ascii="Times New Roman" w:hAnsi="Times New Roman" w:cs="Times New Roman"/>
          <w:color w:val="000000"/>
          <w:sz w:val="20"/>
          <w:szCs w:val="20"/>
        </w:rPr>
        <w:t xml:space="preserve"> </w:t>
      </w:r>
      <w:r w:rsidRPr="009975EA">
        <w:rPr>
          <w:rFonts w:ascii="Times New Roman" w:hAnsi="Times New Roman" w:cs="Times New Roman"/>
          <w:color w:val="1C1C1C"/>
          <w:sz w:val="20"/>
          <w:szCs w:val="20"/>
        </w:rPr>
        <w:t>AG</w:t>
      </w:r>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IGR's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letter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paper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advertising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brochure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title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pages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contained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Swissair</w:t>
      </w:r>
      <w:proofErr w:type="spellEnd"/>
      <w:r w:rsidRPr="009975EA">
        <w:rPr>
          <w:rFonts w:ascii="Times New Roman" w:hAnsi="Times New Roman" w:cs="Times New Roman"/>
          <w:color w:val="000000"/>
          <w:sz w:val="20"/>
          <w:szCs w:val="20"/>
        </w:rPr>
        <w:t xml:space="preserve"> logo in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footers</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well</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“IGR is a </w:t>
      </w:r>
      <w:proofErr w:type="spellStart"/>
      <w:r w:rsidRPr="009975EA">
        <w:rPr>
          <w:rFonts w:ascii="Times New Roman" w:hAnsi="Times New Roman" w:cs="Times New Roman"/>
          <w:color w:val="000000"/>
          <w:sz w:val="20"/>
          <w:szCs w:val="20"/>
        </w:rPr>
        <w:t>Swissair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Federal Court </w:t>
      </w:r>
      <w:proofErr w:type="spellStart"/>
      <w:r w:rsidRPr="009975EA">
        <w:rPr>
          <w:rFonts w:ascii="Times New Roman" w:hAnsi="Times New Roman" w:cs="Times New Roman"/>
          <w:color w:val="1C1C1C"/>
          <w:sz w:val="20"/>
          <w:szCs w:val="20"/>
        </w:rPr>
        <w:t>held</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statements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inspired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confidence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confidence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gained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way</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lost</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legally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relevant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manner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IGR </w:t>
      </w:r>
      <w:proofErr w:type="spellStart"/>
      <w:r w:rsidRPr="009975EA">
        <w:rPr>
          <w:rFonts w:ascii="Times New Roman" w:hAnsi="Times New Roman" w:cs="Times New Roman"/>
          <w:color w:val="000000"/>
          <w:sz w:val="20"/>
          <w:szCs w:val="20"/>
        </w:rPr>
        <w:t>did</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observe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Swissair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standards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professional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behaviour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caused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Swissair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intervene</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Swissair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did</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intervene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Federal Court </w:t>
      </w:r>
      <w:proofErr w:type="spellStart"/>
      <w:r w:rsidRPr="009975EA">
        <w:rPr>
          <w:rFonts w:ascii="Times New Roman" w:hAnsi="Times New Roman" w:cs="Times New Roman"/>
          <w:color w:val="1C1C1C"/>
          <w:sz w:val="20"/>
          <w:szCs w:val="20"/>
        </w:rPr>
        <w:t>ruled</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Swissair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1C1C1C"/>
          <w:sz w:val="20"/>
          <w:szCs w:val="20"/>
        </w:rPr>
        <w:t>held</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liable</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result</w:t>
      </w:r>
      <w:proofErr w:type="spellEnd"/>
      <w:r w:rsidRPr="009975EA">
        <w:rPr>
          <w:rFonts w:ascii="Times New Roman" w:hAnsi="Times New Roman" w:cs="Times New Roman"/>
          <w:color w:val="000000"/>
          <w:sz w:val="20"/>
          <w:szCs w:val="20"/>
        </w:rPr>
        <w:t xml:space="preserve"> of “general </w:t>
      </w:r>
      <w:proofErr w:type="spellStart"/>
      <w:r w:rsidRPr="009975EA">
        <w:rPr>
          <w:rFonts w:ascii="Times New Roman" w:hAnsi="Times New Roman" w:cs="Times New Roman"/>
          <w:color w:val="000000"/>
          <w:sz w:val="20"/>
          <w:szCs w:val="20"/>
        </w:rPr>
        <w:t>principles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liability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arising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culpa</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contrahendo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key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w:t>
      </w:r>
      <w:proofErr w:type="spellEnd"/>
      <w:r w:rsidRPr="009975EA">
        <w:rPr>
          <w:rFonts w:ascii="Times New Roman" w:hAnsi="Times New Roman" w:cs="Times New Roman"/>
          <w:color w:val="000000"/>
          <w:sz w:val="20"/>
          <w:szCs w:val="20"/>
        </w:rPr>
        <w:t xml:space="preserve"> is not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legal </w:t>
      </w:r>
      <w:proofErr w:type="spellStart"/>
      <w:r w:rsidRPr="009975EA">
        <w:rPr>
          <w:rFonts w:ascii="Times New Roman" w:hAnsi="Times New Roman" w:cs="Times New Roman"/>
          <w:color w:val="000000"/>
          <w:sz w:val="20"/>
          <w:szCs w:val="20"/>
        </w:rPr>
        <w:t>principle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culpa</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contrahendo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possible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understand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looking</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what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happened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outside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legal </w:t>
      </w:r>
      <w:proofErr w:type="spellStart"/>
      <w:r w:rsidRPr="009975EA">
        <w:rPr>
          <w:rFonts w:ascii="Times New Roman" w:hAnsi="Times New Roman" w:cs="Times New Roman"/>
          <w:color w:val="000000"/>
          <w:sz w:val="20"/>
          <w:szCs w:val="20"/>
        </w:rPr>
        <w:t>system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emergence</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order</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economy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several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years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molded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independence</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subsidiary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point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view</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assets</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put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different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perspective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dependent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subsidiaries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greater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greater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subsidiary's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advertising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affiliation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group</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becomes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nothing</w:t>
      </w:r>
      <w:proofErr w:type="spellEnd"/>
      <w:r w:rsidRPr="009975EA">
        <w:rPr>
          <w:rFonts w:ascii="Times New Roman" w:hAnsi="Times New Roman" w:cs="Times New Roman"/>
          <w:color w:val="000000"/>
          <w:sz w:val="20"/>
          <w:szCs w:val="20"/>
        </w:rPr>
        <w:t xml:space="preserve"> else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social</w:t>
      </w:r>
      <w:proofErr w:type="spellEnd"/>
      <w:r w:rsidRPr="009975EA">
        <w:rPr>
          <w:rFonts w:ascii="Times New Roman" w:hAnsi="Times New Roman" w:cs="Times New Roman"/>
          <w:color w:val="000000"/>
          <w:sz w:val="20"/>
          <w:szCs w:val="20"/>
        </w:rPr>
        <w:t xml:space="preserve"> norm,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does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apply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legal </w:t>
      </w:r>
      <w:proofErr w:type="spellStart"/>
      <w:r w:rsidRPr="009975EA">
        <w:rPr>
          <w:rFonts w:ascii="Times New Roman" w:hAnsi="Times New Roman" w:cs="Times New Roman"/>
          <w:color w:val="000000"/>
          <w:sz w:val="20"/>
          <w:szCs w:val="20"/>
        </w:rPr>
        <w:t>purposes</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rather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sociological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purposes</w:t>
      </w:r>
      <w:proofErr w:type="spellEnd"/>
      <w:r w:rsidRPr="009975EA">
        <w:rPr>
          <w:rFonts w:ascii="Times New Roman" w:hAnsi="Times New Roman" w:cs="Times New Roman"/>
          <w:color w:val="000000"/>
          <w:sz w:val="20"/>
          <w:szCs w:val="20"/>
        </w:rPr>
        <w:t xml:space="preserve"> (it has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stabilised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economy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counter-factually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social</w:t>
      </w:r>
      <w:proofErr w:type="spellEnd"/>
      <w:r w:rsidRPr="009975EA">
        <w:rPr>
          <w:rFonts w:ascii="Times New Roman" w:hAnsi="Times New Roman" w:cs="Times New Roman"/>
          <w:color w:val="000000"/>
          <w:sz w:val="20"/>
          <w:szCs w:val="20"/>
        </w:rPr>
        <w:t xml:space="preserve"> norm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absorbed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Federal Court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transformed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a legal norm </w:t>
      </w:r>
      <w:proofErr w:type="spellStart"/>
      <w:r w:rsidRPr="009975EA">
        <w:rPr>
          <w:rFonts w:ascii="Times New Roman" w:hAnsi="Times New Roman" w:cs="Times New Roman"/>
          <w:color w:val="000000"/>
          <w:sz w:val="20"/>
          <w:szCs w:val="20"/>
        </w:rPr>
        <w:t>through</w:t>
      </w:r>
      <w:proofErr w:type="spellEnd"/>
      <w:r w:rsidRPr="009975EA">
        <w:rPr>
          <w:rFonts w:ascii="Times New Roman" w:hAnsi="Times New Roman" w:cs="Times New Roman"/>
          <w:color w:val="000000"/>
          <w:sz w:val="20"/>
          <w:szCs w:val="20"/>
        </w:rPr>
        <w:t xml:space="preserve"> legal </w:t>
      </w:r>
      <w:proofErr w:type="spellStart"/>
      <w:r w:rsidRPr="009975EA">
        <w:rPr>
          <w:rFonts w:ascii="Times New Roman" w:hAnsi="Times New Roman" w:cs="Times New Roman"/>
          <w:color w:val="000000"/>
          <w:sz w:val="20"/>
          <w:szCs w:val="20"/>
        </w:rPr>
        <w:t>morphogenesis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Marc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Amstutz</w:t>
      </w:r>
      <w:proofErr w:type="spellEnd"/>
      <w:r w:rsidRPr="009975EA">
        <w:rPr>
          <w:rFonts w:ascii="Times New Roman" w:hAnsi="Times New Roman" w:cs="Times New Roman"/>
          <w:sz w:val="20"/>
          <w:szCs w:val="20"/>
        </w:rPr>
        <w:t xml:space="preserve">, </w:t>
      </w:r>
      <w:proofErr w:type="spellStart"/>
      <w:r w:rsidRPr="007607C8">
        <w:rPr>
          <w:rFonts w:ascii="Times New Roman" w:hAnsi="Times New Roman" w:cs="Times New Roman"/>
          <w:i/>
          <w:sz w:val="20"/>
          <w:szCs w:val="20"/>
        </w:rPr>
        <w:t>The</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Letter</w:t>
      </w:r>
      <w:proofErr w:type="spellEnd"/>
      <w:r w:rsidRPr="007607C8">
        <w:rPr>
          <w:rFonts w:ascii="Times New Roman" w:hAnsi="Times New Roman" w:cs="Times New Roman"/>
          <w:i/>
          <w:sz w:val="20"/>
          <w:szCs w:val="20"/>
        </w:rPr>
        <w:t xml:space="preserve"> of </w:t>
      </w:r>
      <w:proofErr w:type="spellStart"/>
      <w:r w:rsidRPr="007607C8">
        <w:rPr>
          <w:rFonts w:ascii="Times New Roman" w:hAnsi="Times New Roman" w:cs="Times New Roman"/>
          <w:i/>
          <w:sz w:val="20"/>
          <w:szCs w:val="20"/>
        </w:rPr>
        <w:t>the</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Law</w:t>
      </w:r>
      <w:proofErr w:type="spellEnd"/>
      <w:r w:rsidRPr="007607C8">
        <w:rPr>
          <w:rFonts w:ascii="Times New Roman" w:hAnsi="Times New Roman" w:cs="Times New Roman"/>
          <w:i/>
          <w:sz w:val="20"/>
          <w:szCs w:val="20"/>
        </w:rPr>
        <w:t xml:space="preserve">: Legal </w:t>
      </w:r>
      <w:proofErr w:type="spellStart"/>
      <w:r w:rsidRPr="007607C8">
        <w:rPr>
          <w:rFonts w:ascii="Times New Roman" w:hAnsi="Times New Roman" w:cs="Times New Roman"/>
          <w:i/>
          <w:sz w:val="20"/>
          <w:szCs w:val="20"/>
        </w:rPr>
        <w:t>Reasoning</w:t>
      </w:r>
      <w:proofErr w:type="spellEnd"/>
      <w:r w:rsidRPr="007607C8">
        <w:rPr>
          <w:rFonts w:ascii="Times New Roman" w:hAnsi="Times New Roman" w:cs="Times New Roman"/>
          <w:i/>
          <w:sz w:val="20"/>
          <w:szCs w:val="20"/>
        </w:rPr>
        <w:t xml:space="preserve"> in a </w:t>
      </w:r>
      <w:proofErr w:type="spellStart"/>
      <w:r w:rsidRPr="007607C8">
        <w:rPr>
          <w:rFonts w:ascii="Times New Roman" w:hAnsi="Times New Roman" w:cs="Times New Roman"/>
          <w:i/>
          <w:sz w:val="20"/>
          <w:szCs w:val="20"/>
        </w:rPr>
        <w:t>Societal</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Perspective</w:t>
      </w:r>
      <w:proofErr w:type="spellEnd"/>
      <w:r w:rsidRPr="007607C8">
        <w:rPr>
          <w:rFonts w:ascii="Times New Roman" w:hAnsi="Times New Roman" w:cs="Times New Roman"/>
          <w:i/>
          <w:sz w:val="20"/>
          <w:szCs w:val="20"/>
        </w:rPr>
        <w:t>,</w:t>
      </w:r>
      <w:r>
        <w:rPr>
          <w:rFonts w:ascii="Times New Roman" w:hAnsi="Times New Roman" w:cs="Times New Roman"/>
          <w:sz w:val="20"/>
          <w:szCs w:val="20"/>
        </w:rPr>
        <w:t xml:space="preserve"> 10 </w:t>
      </w:r>
      <w:proofErr w:type="spellStart"/>
      <w:r>
        <w:rPr>
          <w:rFonts w:ascii="Times New Roman" w:hAnsi="Times New Roman" w:cs="Times New Roman"/>
          <w:sz w:val="20"/>
          <w:szCs w:val="20"/>
        </w:rPr>
        <w:t>German</w:t>
      </w:r>
      <w:proofErr w:type="spellEnd"/>
      <w:r>
        <w:rPr>
          <w:rFonts w:ascii="Times New Roman" w:hAnsi="Times New Roman" w:cs="Times New Roman"/>
          <w:sz w:val="20"/>
          <w:szCs w:val="20"/>
        </w:rPr>
        <w:t xml:space="preserve"> L.J. 361 (2009) </w:t>
      </w:r>
      <w:r w:rsidR="00264340">
        <w:rPr>
          <w:rFonts w:ascii="Times New Roman" w:hAnsi="Times New Roman" w:cs="Times New Roman"/>
          <w:sz w:val="20"/>
          <w:szCs w:val="20"/>
        </w:rPr>
        <w:t>p</w:t>
      </w:r>
      <w:r w:rsidRPr="009975EA">
        <w:rPr>
          <w:rFonts w:ascii="Times New Roman" w:hAnsi="Times New Roman" w:cs="Times New Roman"/>
          <w:sz w:val="20"/>
          <w:szCs w:val="20"/>
        </w:rPr>
        <w:t>.</w:t>
      </w:r>
      <w:r w:rsidR="00264340">
        <w:rPr>
          <w:rFonts w:ascii="Times New Roman" w:hAnsi="Times New Roman" w:cs="Times New Roman"/>
          <w:sz w:val="20"/>
          <w:szCs w:val="20"/>
        </w:rPr>
        <w:t xml:space="preserve"> </w:t>
      </w:r>
      <w:r w:rsidRPr="009975EA">
        <w:rPr>
          <w:rFonts w:ascii="Times New Roman" w:hAnsi="Times New Roman" w:cs="Times New Roman"/>
          <w:sz w:val="20"/>
          <w:szCs w:val="20"/>
        </w:rPr>
        <w:t>378)</w:t>
      </w:r>
    </w:p>
  </w:footnote>
  <w:footnote w:id="337">
    <w:p w14:paraId="43DD10BD" w14:textId="41FCF69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xml:space="preserve">, p. 102. </w:t>
      </w:r>
    </w:p>
  </w:footnote>
  <w:footnote w:id="338">
    <w:p w14:paraId="29E455BE" w14:textId="2F41FBD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Roberto/Widmer, p.216. </w:t>
      </w:r>
    </w:p>
  </w:footnote>
  <w:footnote w:id="339">
    <w:p w14:paraId="3976A8D8"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In order for a mother company to incur a liability vis-à-vis a creditor of a daughter company, the mother company must make a declaration of intent which supports the daughter company with respect to the daughter company’s business partner, which opens the way for entering into the contract, and which “provides comfort” to such a third party or, at the very least, it must engage in acts and evince attitudes which one, on the basis of life experiences, imply such as statement. There is no requirement that such a statement of intent be in the form of a </w:t>
      </w:r>
      <w:proofErr w:type="gramStart"/>
      <w:r w:rsidRPr="009975EA">
        <w:rPr>
          <w:rFonts w:ascii="Times New Roman" w:hAnsi="Times New Roman" w:cs="Times New Roman"/>
          <w:color w:val="000000"/>
          <w:sz w:val="20"/>
          <w:szCs w:val="20"/>
        </w:rPr>
        <w:t>guarantee</w:t>
      </w:r>
      <w:proofErr w:type="gramEnd"/>
      <w:r w:rsidRPr="009975EA">
        <w:rPr>
          <w:rFonts w:ascii="Times New Roman" w:hAnsi="Times New Roman" w:cs="Times New Roman"/>
          <w:color w:val="000000"/>
          <w:sz w:val="20"/>
          <w:szCs w:val="20"/>
        </w:rPr>
        <w:t xml:space="preserve"> agreement or a surety declaration.</w:t>
      </w:r>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Tekinalp</w:t>
      </w:r>
      <w:proofErr w:type="spellEnd"/>
      <w:r w:rsidRPr="009975EA">
        <w:rPr>
          <w:rFonts w:ascii="Times New Roman" w:hAnsi="Times New Roman" w:cs="Times New Roman"/>
          <w:sz w:val="20"/>
          <w:szCs w:val="20"/>
        </w:rPr>
        <w:t>, Liability for Breach of Trust, p.1443)</w:t>
      </w:r>
    </w:p>
  </w:footnote>
  <w:footnote w:id="340">
    <w:p w14:paraId="5E6A8B0D" w14:textId="22F29432"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Okutan, p. 102. </w:t>
      </w:r>
    </w:p>
  </w:footnote>
  <w:footnote w:id="341">
    <w:p w14:paraId="234C3974" w14:textId="20C588F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p.103.</w:t>
      </w:r>
    </w:p>
  </w:footnote>
  <w:footnote w:id="342">
    <w:p w14:paraId="7730DEAA" w14:textId="17BB668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Gul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xml:space="preserve"> Nilsson</w:t>
      </w:r>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Sirketler</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Toplulugunda</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Guvenden</w:t>
      </w:r>
      <w:proofErr w:type="spellEnd"/>
      <w:r w:rsidRPr="007607C8">
        <w:rPr>
          <w:rFonts w:ascii="Times New Roman" w:hAnsi="Times New Roman" w:cs="Times New Roman"/>
          <w:i/>
          <w:sz w:val="20"/>
          <w:szCs w:val="20"/>
        </w:rPr>
        <w:t xml:space="preserve"> Dogan </w:t>
      </w:r>
      <w:proofErr w:type="spellStart"/>
      <w:r w:rsidRPr="007607C8">
        <w:rPr>
          <w:rFonts w:ascii="Times New Roman" w:hAnsi="Times New Roman" w:cs="Times New Roman"/>
          <w:i/>
          <w:sz w:val="20"/>
          <w:szCs w:val="20"/>
        </w:rPr>
        <w:t>Sorumluluk</w:t>
      </w:r>
      <w:proofErr w:type="spellEnd"/>
      <w:r w:rsidRPr="009975EA">
        <w:rPr>
          <w:rFonts w:ascii="Times New Roman" w:hAnsi="Times New Roman" w:cs="Times New Roman"/>
          <w:sz w:val="20"/>
          <w:szCs w:val="20"/>
        </w:rPr>
        <w:t xml:space="preserve">, Galatasaray </w:t>
      </w:r>
      <w:proofErr w:type="spellStart"/>
      <w:r w:rsidRPr="009975EA">
        <w:rPr>
          <w:rFonts w:ascii="Times New Roman" w:hAnsi="Times New Roman" w:cs="Times New Roman"/>
          <w:sz w:val="20"/>
          <w:szCs w:val="20"/>
        </w:rPr>
        <w:t>Universitesi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Hukuk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Fak</w:t>
      </w:r>
      <w:r>
        <w:rPr>
          <w:rFonts w:ascii="Times New Roman" w:hAnsi="Times New Roman" w:cs="Times New Roman"/>
          <w:sz w:val="20"/>
          <w:szCs w:val="20"/>
        </w:rPr>
        <w:t>ultesi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2013/2 (2013), at </w:t>
      </w:r>
      <w:r w:rsidRPr="009975EA">
        <w:rPr>
          <w:rFonts w:ascii="Times New Roman" w:hAnsi="Times New Roman" w:cs="Times New Roman"/>
          <w:sz w:val="20"/>
          <w:szCs w:val="20"/>
        </w:rPr>
        <w:t>47.</w:t>
      </w:r>
    </w:p>
  </w:footnote>
  <w:footnote w:id="343">
    <w:p w14:paraId="751FCC03"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Hofstetter, p. 582.</w:t>
      </w:r>
    </w:p>
  </w:footnote>
  <w:footnote w:id="344">
    <w:p w14:paraId="1CD04C07" w14:textId="77777777" w:rsidR="00D36541" w:rsidRPr="009975EA" w:rsidRDefault="00D36541" w:rsidP="009975EA">
      <w:pPr>
        <w:pStyle w:val="DipnotMetni"/>
        <w:tabs>
          <w:tab w:val="left" w:pos="3108"/>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p.97.</w:t>
      </w:r>
      <w:r w:rsidRPr="009975EA">
        <w:rPr>
          <w:rFonts w:ascii="Times New Roman" w:hAnsi="Times New Roman" w:cs="Times New Roman"/>
          <w:sz w:val="20"/>
          <w:szCs w:val="20"/>
        </w:rPr>
        <w:tab/>
      </w:r>
    </w:p>
  </w:footnote>
  <w:footnote w:id="345">
    <w:p w14:paraId="7E0171AB" w14:textId="51A689F4" w:rsidR="00D36541" w:rsidRPr="009975EA" w:rsidRDefault="00D36541" w:rsidP="007607C8">
      <w:pPr>
        <w:pStyle w:val="DipnotMetni"/>
        <w:tabs>
          <w:tab w:val="right" w:pos="9406"/>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Turgut </w:t>
      </w:r>
      <w:proofErr w:type="spellStart"/>
      <w:r w:rsidRPr="009975EA">
        <w:rPr>
          <w:rFonts w:ascii="Times New Roman" w:hAnsi="Times New Roman" w:cs="Times New Roman"/>
          <w:sz w:val="20"/>
          <w:szCs w:val="20"/>
        </w:rPr>
        <w:t>Cankorel</w:t>
      </w:r>
      <w:proofErr w:type="spellEnd"/>
      <w:r w:rsidRPr="007607C8">
        <w:rPr>
          <w:rFonts w:ascii="Times New Roman" w:hAnsi="Times New Roman" w:cs="Times New Roman"/>
          <w:i/>
          <w:sz w:val="20"/>
          <w:szCs w:val="20"/>
        </w:rPr>
        <w:t xml:space="preserve">, Shareholder Fiduciary Duties: A Review of Turkey’s New “Group of </w:t>
      </w:r>
      <w:proofErr w:type="spellStart"/>
      <w:r w:rsidRPr="007607C8">
        <w:rPr>
          <w:rFonts w:ascii="Times New Roman" w:hAnsi="Times New Roman" w:cs="Times New Roman"/>
          <w:i/>
          <w:sz w:val="20"/>
          <w:szCs w:val="20"/>
        </w:rPr>
        <w:t>Compaies</w:t>
      </w:r>
      <w:proofErr w:type="spellEnd"/>
      <w:r w:rsidRPr="007607C8">
        <w:rPr>
          <w:rFonts w:ascii="Times New Roman" w:hAnsi="Times New Roman" w:cs="Times New Roman"/>
          <w:i/>
          <w:sz w:val="20"/>
          <w:szCs w:val="20"/>
        </w:rPr>
        <w:t>” Regime in the Light of Delaware Fiduciary Duty Law</w:t>
      </w:r>
      <w:r>
        <w:rPr>
          <w:rFonts w:ascii="Times New Roman" w:hAnsi="Times New Roman" w:cs="Times New Roman"/>
          <w:sz w:val="20"/>
          <w:szCs w:val="20"/>
        </w:rPr>
        <w:t xml:space="preserve">, </w:t>
      </w:r>
      <w:r w:rsidRPr="007607C8">
        <w:rPr>
          <w:rFonts w:ascii="Times New Roman" w:hAnsi="Times New Roman" w:cs="Times New Roman"/>
          <w:sz w:val="20"/>
          <w:szCs w:val="20"/>
        </w:rPr>
        <w:t>The Turkish Commercial Law Review</w:t>
      </w:r>
      <w:r w:rsidRPr="009975EA">
        <w:rPr>
          <w:rFonts w:ascii="Times New Roman" w:hAnsi="Times New Roman" w:cs="Times New Roman"/>
          <w:sz w:val="20"/>
          <w:szCs w:val="20"/>
        </w:rPr>
        <w:t>, Vol. 1 Issue.</w:t>
      </w:r>
      <w:r>
        <w:rPr>
          <w:rFonts w:ascii="Times New Roman" w:hAnsi="Times New Roman" w:cs="Times New Roman"/>
          <w:sz w:val="20"/>
          <w:szCs w:val="20"/>
        </w:rPr>
        <w:t xml:space="preserve"> 1 February 2015 (2015), at </w:t>
      </w:r>
      <w:r w:rsidRPr="009975EA">
        <w:rPr>
          <w:rFonts w:ascii="Times New Roman" w:hAnsi="Times New Roman" w:cs="Times New Roman"/>
          <w:sz w:val="20"/>
          <w:szCs w:val="20"/>
        </w:rPr>
        <w:t>64.</w:t>
      </w:r>
      <w:r>
        <w:rPr>
          <w:rFonts w:ascii="Times New Roman" w:hAnsi="Times New Roman" w:cs="Times New Roman"/>
          <w:sz w:val="20"/>
          <w:szCs w:val="20"/>
        </w:rPr>
        <w:tab/>
      </w:r>
    </w:p>
  </w:footnote>
  <w:footnote w:id="346">
    <w:p w14:paraId="1872B81E"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Article 105(1): “A corporate group, in the context of Article 195(4) of the statute, consists of at least two subsidiary companies that are directly or indirectly bound to another company. A corporate group, in terms of Article 195(5) of the statute, also forms when at least two subsidiary companies are directly or indirectly bound to an entity, and that entity is regarded as the controller of the group. The controller is regarded as the parent, and the subsidiaries are regarded as the daughter companies.”</w:t>
      </w:r>
    </w:p>
  </w:footnote>
  <w:footnote w:id="347">
    <w:p w14:paraId="040E0848" w14:textId="37F4C464" w:rsidR="00D36541" w:rsidRPr="009975EA" w:rsidRDefault="00D36541" w:rsidP="009975EA">
      <w:pPr>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While</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can </w:t>
      </w:r>
      <w:proofErr w:type="spellStart"/>
      <w:r w:rsidRPr="009975EA">
        <w:rPr>
          <w:rFonts w:ascii="Times New Roman" w:hAnsi="Times New Roman" w:cs="Times New Roman"/>
          <w:sz w:val="20"/>
          <w:szCs w:val="20"/>
        </w:rPr>
        <w:t>stick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interpretation</w:t>
      </w:r>
      <w:proofErr w:type="spellEnd"/>
      <w:r w:rsidRPr="009975EA">
        <w:rPr>
          <w:rFonts w:ascii="Times New Roman" w:hAnsi="Times New Roman" w:cs="Times New Roman"/>
          <w:sz w:val="20"/>
          <w:szCs w:val="20"/>
        </w:rPr>
        <w:t xml:space="preserve">, it </w:t>
      </w:r>
      <w:proofErr w:type="spellStart"/>
      <w:r w:rsidRPr="009975EA">
        <w:rPr>
          <w:rFonts w:ascii="Times New Roman" w:hAnsi="Times New Roman" w:cs="Times New Roman"/>
          <w:sz w:val="20"/>
          <w:szCs w:val="20"/>
        </w:rPr>
        <w:t>might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rule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claiming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is a </w:t>
      </w:r>
      <w:proofErr w:type="spellStart"/>
      <w:r w:rsidRPr="009975EA">
        <w:rPr>
          <w:rFonts w:ascii="Times New Roman" w:hAnsi="Times New Roman" w:cs="Times New Roman"/>
          <w:sz w:val="20"/>
          <w:szCs w:val="20"/>
        </w:rPr>
        <w:t>secondary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legislation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it </w:t>
      </w:r>
      <w:proofErr w:type="spellStart"/>
      <w:r w:rsidRPr="009975EA">
        <w:rPr>
          <w:rFonts w:ascii="Times New Roman" w:hAnsi="Times New Roman" w:cs="Times New Roman"/>
          <w:sz w:val="20"/>
          <w:szCs w:val="20"/>
        </w:rPr>
        <w:t>mentions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something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statute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does</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explicitly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says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controller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subsidiary</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sufficient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formation</w:t>
      </w:r>
      <w:proofErr w:type="spellEnd"/>
      <w:r w:rsidRPr="009975EA">
        <w:rPr>
          <w:rFonts w:ascii="Times New Roman" w:hAnsi="Times New Roman" w:cs="Times New Roman"/>
          <w:sz w:val="20"/>
          <w:szCs w:val="20"/>
        </w:rPr>
        <w:t xml:space="preserve"> of a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group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there</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no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decision</w:t>
      </w:r>
      <w:proofErr w:type="spellEnd"/>
      <w:r w:rsidRPr="009975EA">
        <w:rPr>
          <w:rFonts w:ascii="Times New Roman" w:hAnsi="Times New Roman" w:cs="Times New Roman"/>
          <w:sz w:val="20"/>
          <w:szCs w:val="20"/>
        </w:rPr>
        <w:t xml:space="preserve"> as of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interprets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provisions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groups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interpretation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secondary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legislation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provides</w:t>
      </w:r>
      <w:proofErr w:type="spellEnd"/>
      <w:r w:rsidRPr="009975EA">
        <w:rPr>
          <w:rFonts w:ascii="Times New Roman" w:hAnsi="Times New Roman" w:cs="Times New Roman"/>
          <w:sz w:val="20"/>
          <w:szCs w:val="20"/>
        </w:rPr>
        <w:t xml:space="preserve"> is in </w:t>
      </w:r>
      <w:proofErr w:type="spellStart"/>
      <w:r w:rsidRPr="009975EA">
        <w:rPr>
          <w:rFonts w:ascii="Times New Roman" w:hAnsi="Times New Roman" w:cs="Times New Roman"/>
          <w:sz w:val="20"/>
          <w:szCs w:val="20"/>
        </w:rPr>
        <w:t>effect</w:t>
      </w:r>
      <w:proofErr w:type="spellEnd"/>
      <w:r w:rsidRPr="009975EA">
        <w:rPr>
          <w:rFonts w:ascii="Times New Roman" w:hAnsi="Times New Roman" w:cs="Times New Roman"/>
          <w:sz w:val="20"/>
          <w:szCs w:val="20"/>
        </w:rPr>
        <w:t>.</w:t>
      </w:r>
    </w:p>
  </w:footnote>
  <w:footnote w:id="348">
    <w:p w14:paraId="211B98C2" w14:textId="5C0B2B7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Chapter 2.2.</w:t>
      </w:r>
    </w:p>
  </w:footnote>
  <w:footnote w:id="349">
    <w:p w14:paraId="4FCAC098" w14:textId="43A1549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Walde</w:t>
      </w:r>
      <w:proofErr w:type="spellEnd"/>
      <w:r w:rsidRPr="009975EA">
        <w:rPr>
          <w:rFonts w:ascii="Times New Roman" w:hAnsi="Times New Roman" w:cs="Times New Roman"/>
          <w:sz w:val="20"/>
          <w:szCs w:val="20"/>
        </w:rPr>
        <w:t>, p. 501.</w:t>
      </w:r>
    </w:p>
  </w:footnote>
  <w:footnote w:id="350">
    <w:p w14:paraId="1564337A" w14:textId="19C9A28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“Control should not arise from coincidences and be built on a certain basis.” (Gul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xml:space="preserve"> Nilsson, </w:t>
      </w:r>
      <w:r w:rsidRPr="007607C8">
        <w:rPr>
          <w:rFonts w:ascii="Times New Roman" w:hAnsi="Times New Roman" w:cs="Times New Roman"/>
          <w:i/>
          <w:sz w:val="20"/>
          <w:szCs w:val="20"/>
        </w:rPr>
        <w:t xml:space="preserve">Turk </w:t>
      </w:r>
      <w:proofErr w:type="spellStart"/>
      <w:r w:rsidRPr="007607C8">
        <w:rPr>
          <w:rFonts w:ascii="Times New Roman" w:hAnsi="Times New Roman" w:cs="Times New Roman"/>
          <w:i/>
          <w:sz w:val="20"/>
          <w:szCs w:val="20"/>
        </w:rPr>
        <w:t>Ticaret</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Kanunu</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Tasarisi’na</w:t>
      </w:r>
      <w:proofErr w:type="spellEnd"/>
      <w:r w:rsidRPr="007607C8">
        <w:rPr>
          <w:rFonts w:ascii="Times New Roman" w:hAnsi="Times New Roman" w:cs="Times New Roman"/>
          <w:i/>
          <w:sz w:val="20"/>
          <w:szCs w:val="20"/>
        </w:rPr>
        <w:t xml:space="preserve"> Gore </w:t>
      </w:r>
      <w:proofErr w:type="spellStart"/>
      <w:r w:rsidRPr="007607C8">
        <w:rPr>
          <w:rFonts w:ascii="Times New Roman" w:hAnsi="Times New Roman" w:cs="Times New Roman"/>
          <w:i/>
          <w:sz w:val="20"/>
          <w:szCs w:val="20"/>
        </w:rPr>
        <w:t>Sirketler</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Toplulugu</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Hukuku</w:t>
      </w:r>
      <w:proofErr w:type="spellEnd"/>
      <w:r>
        <w:rPr>
          <w:rFonts w:ascii="Times New Roman" w:hAnsi="Times New Roman" w:cs="Times New Roman"/>
          <w:sz w:val="20"/>
          <w:szCs w:val="20"/>
        </w:rPr>
        <w:t xml:space="preserve"> 139 (2009)</w:t>
      </w:r>
      <w:r w:rsidRPr="009975EA">
        <w:rPr>
          <w:rFonts w:ascii="Times New Roman" w:hAnsi="Times New Roman" w:cs="Times New Roman"/>
          <w:sz w:val="20"/>
          <w:szCs w:val="20"/>
        </w:rPr>
        <w:t>)</w:t>
      </w:r>
    </w:p>
  </w:footnote>
  <w:footnote w:id="351">
    <w:p w14:paraId="576C76C5" w14:textId="20A79DB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xml:space="preserve">, Turk </w:t>
      </w:r>
      <w:proofErr w:type="spellStart"/>
      <w:r w:rsidRPr="009975EA">
        <w:rPr>
          <w:rFonts w:ascii="Times New Roman" w:hAnsi="Times New Roman" w:cs="Times New Roman"/>
          <w:sz w:val="20"/>
          <w:szCs w:val="20"/>
        </w:rPr>
        <w:t>Ticaret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Kanunu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Tasari</w:t>
      </w:r>
      <w:proofErr w:type="spellEnd"/>
      <w:r w:rsidRPr="009975EA">
        <w:rPr>
          <w:rFonts w:ascii="Times New Roman" w:hAnsi="Times New Roman" w:cs="Times New Roman"/>
          <w:sz w:val="20"/>
          <w:szCs w:val="20"/>
        </w:rPr>
        <w:t>, p. 250.</w:t>
      </w:r>
    </w:p>
  </w:footnote>
  <w:footnote w:id="352">
    <w:p w14:paraId="2A3E44E7" w14:textId="3A99D2E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Chapter </w:t>
      </w:r>
      <w:r w:rsidR="00264340">
        <w:rPr>
          <w:rFonts w:ascii="Times New Roman" w:hAnsi="Times New Roman" w:cs="Times New Roman"/>
          <w:sz w:val="20"/>
          <w:szCs w:val="20"/>
        </w:rPr>
        <w:t>4</w:t>
      </w:r>
      <w:r w:rsidRPr="009975EA">
        <w:rPr>
          <w:rFonts w:ascii="Times New Roman" w:hAnsi="Times New Roman" w:cs="Times New Roman"/>
          <w:sz w:val="20"/>
          <w:szCs w:val="20"/>
        </w:rPr>
        <w:t>.4.</w:t>
      </w:r>
    </w:p>
  </w:footnote>
  <w:footnote w:id="353">
    <w:p w14:paraId="6F2F9A22" w14:textId="7A327F4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example, in the context of investor activists, commentators note that investor activists want companies to disclose how they spend corporate treasury money on politics not only because this is their money, but also because of their generally</w:t>
      </w:r>
      <w:r w:rsidRPr="009975EA">
        <w:rPr>
          <w:rFonts w:ascii="Calibri" w:eastAsia="Calibri" w:hAnsi="Calibri" w:cs="Calibri"/>
          <w:sz w:val="20"/>
          <w:szCs w:val="20"/>
        </w:rPr>
        <w:t>‐</w:t>
      </w:r>
      <w:r w:rsidRPr="009975EA">
        <w:rPr>
          <w:rFonts w:ascii="Times New Roman" w:hAnsi="Times New Roman" w:cs="Times New Roman"/>
          <w:sz w:val="20"/>
          <w:szCs w:val="20"/>
        </w:rPr>
        <w:t xml:space="preserve">held belief that political spending can pose risks to shareholder value, but majority of the companies that appear to spend from their treasuries do not report to investors on this spending (See generally, </w:t>
      </w:r>
      <w:r w:rsidRPr="009975EA">
        <w:rPr>
          <w:rFonts w:ascii="Times New Roman" w:hAnsi="Times New Roman" w:cs="Times New Roman"/>
          <w:color w:val="000000"/>
          <w:sz w:val="20"/>
          <w:szCs w:val="20"/>
        </w:rPr>
        <w:t>Heidi Welsh &amp; Robin Young, Corporate Governance of Political Expenditures: 2011 Benchmark Report on S&amp;P 500 Companies, Sustainable Investments Institute (Si2) 33-34 (2011), http:// www.irrcinstitute.org/pdf/ Political_Spending_Report_Nov_10_2011.pdf, Last visited: 10/10/2016</w:t>
      </w:r>
      <w:r w:rsidRPr="009975EA">
        <w:rPr>
          <w:rFonts w:ascii="Times New Roman" w:hAnsi="Times New Roman" w:cs="Times New Roman"/>
          <w:sz w:val="20"/>
          <w:szCs w:val="20"/>
        </w:rPr>
        <w:t xml:space="preserve">). </w:t>
      </w:r>
    </w:p>
  </w:footnote>
  <w:footnote w:id="354">
    <w:p w14:paraId="4D0D52C5" w14:textId="3A3DF12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Chapter </w:t>
      </w:r>
      <w:r w:rsidR="00264340">
        <w:rPr>
          <w:rFonts w:ascii="Times New Roman" w:hAnsi="Times New Roman" w:cs="Times New Roman"/>
          <w:sz w:val="20"/>
          <w:szCs w:val="20"/>
        </w:rPr>
        <w:t>5</w:t>
      </w:r>
      <w:r w:rsidRPr="009975EA">
        <w:rPr>
          <w:rFonts w:ascii="Times New Roman" w:hAnsi="Times New Roman" w:cs="Times New Roman"/>
          <w:sz w:val="20"/>
          <w:szCs w:val="20"/>
        </w:rPr>
        <w:t>.3.</w:t>
      </w:r>
    </w:p>
  </w:footnote>
  <w:footnote w:id="355">
    <w:p w14:paraId="10C6F2DE" w14:textId="6C6F897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Aytac</w:t>
      </w:r>
      <w:proofErr w:type="spellEnd"/>
      <w:r w:rsidRPr="009975EA">
        <w:rPr>
          <w:rFonts w:ascii="Times New Roman" w:hAnsi="Times New Roman" w:cs="Times New Roman"/>
          <w:sz w:val="20"/>
          <w:szCs w:val="20"/>
        </w:rPr>
        <w:t>, p.43.</w:t>
      </w:r>
    </w:p>
  </w:footnote>
  <w:footnote w:id="356">
    <w:p w14:paraId="16B54E8C" w14:textId="6FCCEDD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Chapter 2.2.</w:t>
      </w:r>
    </w:p>
  </w:footnote>
  <w:footnote w:id="357">
    <w:p w14:paraId="672067FE" w14:textId="298C61E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example, a similar authority is also given under Article 96, but this provision is focused on violations of the capital market institutions, which are defined as; investment firms, collective investment schemes, independent audit firms, appraisal firms and credit rating agencies, portfolio management companies, mortgage finance institutions, housing finance and asset finance funds, asset leasing companies, central clearing institution, central depository </w:t>
      </w:r>
      <w:proofErr w:type="spellStart"/>
      <w:r w:rsidRPr="009975EA">
        <w:rPr>
          <w:rFonts w:ascii="Times New Roman" w:hAnsi="Times New Roman" w:cs="Times New Roman"/>
          <w:sz w:val="20"/>
          <w:szCs w:val="20"/>
        </w:rPr>
        <w:t>instutiton</w:t>
      </w:r>
      <w:proofErr w:type="spellEnd"/>
      <w:r w:rsidRPr="009975EA">
        <w:rPr>
          <w:rFonts w:ascii="Times New Roman" w:hAnsi="Times New Roman" w:cs="Times New Roman"/>
          <w:sz w:val="20"/>
          <w:szCs w:val="20"/>
        </w:rPr>
        <w:t>, trade repositories, and other institutions determined by the CMB (Article 35); thus not all publicly traded corporations- but only specific ones- are subject to this article, so the article is beyond the scope of this study.</w:t>
      </w:r>
    </w:p>
  </w:footnote>
  <w:footnote w:id="358">
    <w:p w14:paraId="49561C44" w14:textId="4814B21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generally, </w:t>
      </w:r>
      <w:proofErr w:type="spellStart"/>
      <w:r w:rsidRPr="009975EA">
        <w:rPr>
          <w:rFonts w:ascii="Times New Roman" w:hAnsi="Times New Roman" w:cs="Times New Roman"/>
          <w:sz w:val="20"/>
          <w:szCs w:val="20"/>
        </w:rPr>
        <w:t>Caglar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Manavgat</w:t>
      </w:r>
      <w:proofErr w:type="spellEnd"/>
      <w:r w:rsidRPr="009975EA">
        <w:rPr>
          <w:rFonts w:ascii="Times New Roman" w:hAnsi="Times New Roman" w:cs="Times New Roman"/>
          <w:sz w:val="20"/>
          <w:szCs w:val="20"/>
        </w:rPr>
        <w:t xml:space="preserve">, </w:t>
      </w:r>
      <w:proofErr w:type="spellStart"/>
      <w:r w:rsidRPr="007607C8">
        <w:rPr>
          <w:rFonts w:ascii="Times New Roman" w:hAnsi="Times New Roman" w:cs="Times New Roman"/>
          <w:i/>
          <w:sz w:val="20"/>
          <w:szCs w:val="20"/>
        </w:rPr>
        <w:t>Sermaye</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Piyasasi</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Kanunu’nun</w:t>
      </w:r>
      <w:proofErr w:type="spellEnd"/>
      <w:r w:rsidRPr="007607C8">
        <w:rPr>
          <w:rFonts w:ascii="Times New Roman" w:hAnsi="Times New Roman" w:cs="Times New Roman"/>
          <w:i/>
          <w:sz w:val="20"/>
          <w:szCs w:val="20"/>
        </w:rPr>
        <w:t xml:space="preserve"> 46.1.C. </w:t>
      </w:r>
      <w:proofErr w:type="spellStart"/>
      <w:r w:rsidRPr="007607C8">
        <w:rPr>
          <w:rFonts w:ascii="Times New Roman" w:hAnsi="Times New Roman" w:cs="Times New Roman"/>
          <w:i/>
          <w:sz w:val="20"/>
          <w:szCs w:val="20"/>
        </w:rPr>
        <w:t>Hukmu</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Cercevesinde</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Sermaye</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Piyasasi</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Kurulu’nun</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Hukuka</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Aykiriligin</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Tespiti</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veya</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Iptal</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Davasi</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Acma</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Yetkisinin</w:t>
      </w:r>
      <w:proofErr w:type="spellEnd"/>
      <w:r w:rsidRPr="007607C8">
        <w:rPr>
          <w:rFonts w:ascii="Times New Roman" w:hAnsi="Times New Roman" w:cs="Times New Roman"/>
          <w:i/>
          <w:sz w:val="20"/>
          <w:szCs w:val="20"/>
        </w:rPr>
        <w:t xml:space="preserve"> </w:t>
      </w:r>
      <w:proofErr w:type="spellStart"/>
      <w:r w:rsidRPr="007607C8">
        <w:rPr>
          <w:rFonts w:ascii="Times New Roman" w:hAnsi="Times New Roman" w:cs="Times New Roman"/>
          <w:i/>
          <w:sz w:val="20"/>
          <w:szCs w:val="20"/>
        </w:rPr>
        <w:t>Kapsami</w:t>
      </w:r>
      <w:proofErr w:type="spellEnd"/>
      <w:r w:rsidRPr="009975EA">
        <w:rPr>
          <w:rFonts w:ascii="Times New Roman" w:hAnsi="Times New Roman" w:cs="Times New Roman"/>
          <w:sz w:val="20"/>
          <w:szCs w:val="20"/>
        </w:rPr>
        <w:t xml:space="preserve">, 27 Banka </w:t>
      </w:r>
      <w:proofErr w:type="spellStart"/>
      <w:r w:rsidRPr="009975EA">
        <w:rPr>
          <w:rFonts w:ascii="Times New Roman" w:hAnsi="Times New Roman" w:cs="Times New Roman"/>
          <w:sz w:val="20"/>
          <w:szCs w:val="20"/>
        </w:rPr>
        <w:t>Huk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Dergisi</w:t>
      </w:r>
      <w:proofErr w:type="spellEnd"/>
      <w:r w:rsidRPr="009975EA">
        <w:rPr>
          <w:rFonts w:ascii="Times New Roman" w:hAnsi="Times New Roman" w:cs="Times New Roman"/>
          <w:sz w:val="20"/>
          <w:szCs w:val="20"/>
        </w:rPr>
        <w:t xml:space="preserve"> 43 (2011).</w:t>
      </w:r>
    </w:p>
  </w:footnote>
  <w:footnote w:id="359">
    <w:p w14:paraId="5A0702FF" w14:textId="46AAD35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Manavgat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Sermaye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Piyasasi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Kanunu</w:t>
      </w:r>
      <w:proofErr w:type="spellEnd"/>
      <w:r w:rsidRPr="009975EA">
        <w:rPr>
          <w:rFonts w:ascii="Times New Roman" w:hAnsi="Times New Roman" w:cs="Times New Roman"/>
          <w:sz w:val="20"/>
          <w:szCs w:val="20"/>
        </w:rPr>
        <w:t>, p. 49.</w:t>
      </w:r>
    </w:p>
  </w:footnote>
  <w:footnote w:id="360">
    <w:p w14:paraId="7F88EB89" w14:textId="295BD33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298, opining that several enforcement provisions can be used to take measures against any substantial loss that a corporation has.</w:t>
      </w:r>
    </w:p>
  </w:footnote>
  <w:footnote w:id="361">
    <w:p w14:paraId="25E04E7A" w14:textId="5C91A474"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regards</w:t>
      </w:r>
      <w:proofErr w:type="spellEnd"/>
      <w:r w:rsidRPr="009975EA">
        <w:rPr>
          <w:rFonts w:ascii="Times New Roman" w:hAnsi="Times New Roman" w:cs="Times New Roman"/>
          <w:sz w:val="20"/>
          <w:szCs w:val="20"/>
        </w:rPr>
        <w:t xml:space="preserve">, in U.S.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held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following</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Indeed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Commission</w:t>
      </w:r>
      <w:proofErr w:type="spellEnd"/>
      <w:r w:rsidRPr="009975EA">
        <w:rPr>
          <w:rFonts w:ascii="Times New Roman" w:hAnsi="Times New Roman" w:cs="Times New Roman"/>
          <w:color w:val="000000"/>
          <w:sz w:val="20"/>
          <w:szCs w:val="20"/>
        </w:rPr>
        <w:t xml:space="preserve"> has a </w:t>
      </w:r>
      <w:proofErr w:type="spellStart"/>
      <w:r w:rsidRPr="009975EA">
        <w:rPr>
          <w:rFonts w:ascii="Times New Roman" w:hAnsi="Times New Roman" w:cs="Times New Roman"/>
          <w:color w:val="000000"/>
          <w:sz w:val="20"/>
          <w:szCs w:val="20"/>
        </w:rPr>
        <w:t>unique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obligation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consider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effect</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new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efficiency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competition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formation</w:t>
      </w:r>
      <w:proofErr w:type="spellEnd"/>
      <w:r w:rsidRPr="009975EA">
        <w:rPr>
          <w:rFonts w:ascii="Times New Roman" w:hAnsi="Times New Roman" w:cs="Times New Roman"/>
          <w:color w:val="000000"/>
          <w:sz w:val="20"/>
          <w:szCs w:val="20"/>
        </w:rPr>
        <w:t xml:space="preserve">,” </w:t>
      </w:r>
      <w:r w:rsidRPr="009975EA">
        <w:rPr>
          <w:rFonts w:ascii="Times New Roman" w:hAnsi="Times New Roman" w:cs="Times New Roman"/>
          <w:color w:val="0000FF"/>
          <w:sz w:val="20"/>
          <w:szCs w:val="20"/>
        </w:rPr>
        <w:t>15 U.S.C. §§ 78c(f)</w:t>
      </w:r>
      <w:r w:rsidRPr="009975EA">
        <w:rPr>
          <w:rFonts w:ascii="Times New Roman" w:hAnsi="Times New Roman" w:cs="Times New Roman"/>
          <w:color w:val="000000"/>
          <w:sz w:val="20"/>
          <w:szCs w:val="20"/>
        </w:rPr>
        <w:t xml:space="preserve">, </w:t>
      </w:r>
      <w:r w:rsidRPr="009975EA">
        <w:rPr>
          <w:rFonts w:ascii="Times New Roman" w:hAnsi="Times New Roman" w:cs="Times New Roman"/>
          <w:color w:val="0000FF"/>
          <w:sz w:val="20"/>
          <w:szCs w:val="20"/>
        </w:rPr>
        <w:t>78w(a)(2)</w:t>
      </w:r>
      <w:r w:rsidRPr="009975EA">
        <w:rPr>
          <w:rFonts w:ascii="Times New Roman" w:hAnsi="Times New Roman" w:cs="Times New Roman"/>
          <w:color w:val="000000"/>
          <w:sz w:val="20"/>
          <w:szCs w:val="20"/>
        </w:rPr>
        <w:t xml:space="preserve">, </w:t>
      </w:r>
      <w:proofErr w:type="gramStart"/>
      <w:r w:rsidRPr="009975EA">
        <w:rPr>
          <w:rFonts w:ascii="Times New Roman" w:hAnsi="Times New Roman" w:cs="Times New Roman"/>
          <w:color w:val="0000FF"/>
          <w:sz w:val="20"/>
          <w:szCs w:val="20"/>
        </w:rPr>
        <w:t>80a</w:t>
      </w:r>
      <w:proofErr w:type="gramEnd"/>
      <w:r w:rsidRPr="009975EA">
        <w:rPr>
          <w:rFonts w:ascii="Times New Roman" w:hAnsi="Times New Roman" w:cs="Times New Roman"/>
          <w:color w:val="0000FF"/>
          <w:sz w:val="20"/>
          <w:szCs w:val="20"/>
        </w:rPr>
        <w:t>–2(c)</w:t>
      </w:r>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failure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apprise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itself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Congress</w:t>
      </w:r>
      <w:proofErr w:type="spellEnd"/>
      <w:r w:rsidRPr="009975EA">
        <w:rPr>
          <w:rFonts w:ascii="Times New Roman" w:hAnsi="Times New Roman" w:cs="Times New Roman"/>
          <w:color w:val="000000"/>
          <w:sz w:val="20"/>
          <w:szCs w:val="20"/>
        </w:rPr>
        <w:t xml:space="preserve">—of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economic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consequences</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proposed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regulation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makes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promulgation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arbitrary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capricious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not in </w:t>
      </w:r>
      <w:proofErr w:type="spellStart"/>
      <w:r w:rsidRPr="009975EA">
        <w:rPr>
          <w:rFonts w:ascii="Times New Roman" w:hAnsi="Times New Roman" w:cs="Times New Roman"/>
          <w:color w:val="000000"/>
          <w:sz w:val="20"/>
          <w:szCs w:val="20"/>
        </w:rPr>
        <w:t>accordance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xml:space="preserve">” (Business </w:t>
      </w:r>
      <w:proofErr w:type="spellStart"/>
      <w:r w:rsidRPr="009975EA">
        <w:rPr>
          <w:rFonts w:ascii="Times New Roman" w:hAnsi="Times New Roman" w:cs="Times New Roman"/>
          <w:sz w:val="20"/>
          <w:szCs w:val="20"/>
        </w:rPr>
        <w:t>Roundtable</w:t>
      </w:r>
      <w:proofErr w:type="spellEnd"/>
      <w:r w:rsidRPr="009975EA">
        <w:rPr>
          <w:rFonts w:ascii="Times New Roman" w:hAnsi="Times New Roman" w:cs="Times New Roman"/>
          <w:sz w:val="20"/>
          <w:szCs w:val="20"/>
        </w:rPr>
        <w:t xml:space="preserve"> v. SEC, 647 F.3d 1144 (2011)</w:t>
      </w:r>
    </w:p>
  </w:footnote>
  <w:footnote w:id="362">
    <w:p w14:paraId="27AFBBCE" w14:textId="11362A13"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Pryor</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Municipal</w:t>
      </w:r>
      <w:proofErr w:type="spellEnd"/>
      <w:r w:rsidRPr="009975EA">
        <w:rPr>
          <w:rFonts w:ascii="Times New Roman" w:hAnsi="Times New Roman" w:cs="Times New Roman"/>
          <w:sz w:val="20"/>
          <w:szCs w:val="20"/>
        </w:rPr>
        <w:t xml:space="preserve"> Court, 25 Cal.3d 238 (1979),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expressed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problems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associated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vague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statutes</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follows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vague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language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creates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danger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police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prosecutors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judges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juries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sufficient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standards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opening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arbitrary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discriminatory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enforcement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363">
    <w:p w14:paraId="26437DFB" w14:textId="1952029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the concerns regarding legal commands’ promulgation as rules and standards, see generally; Louis Kaplow, </w:t>
      </w:r>
      <w:r w:rsidRPr="007607C8">
        <w:rPr>
          <w:rFonts w:ascii="Times New Roman" w:hAnsi="Times New Roman" w:cs="Times New Roman"/>
          <w:i/>
          <w:sz w:val="20"/>
          <w:szCs w:val="20"/>
        </w:rPr>
        <w:t>Rules Versus Standards: An Economic Analysis</w:t>
      </w:r>
      <w:r w:rsidRPr="009975EA">
        <w:rPr>
          <w:rFonts w:ascii="Times New Roman" w:hAnsi="Times New Roman" w:cs="Times New Roman"/>
          <w:sz w:val="20"/>
          <w:szCs w:val="20"/>
        </w:rPr>
        <w:t>, 42 Duke L.J. 557 (1992).</w:t>
      </w:r>
    </w:p>
  </w:footnote>
  <w:footnote w:id="364">
    <w:p w14:paraId="0BFDEC96" w14:textId="7558D58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Stephen A. Smith, “</w:t>
      </w:r>
      <w:r w:rsidRPr="00063171">
        <w:rPr>
          <w:rFonts w:ascii="Times New Roman" w:hAnsi="Times New Roman" w:cs="Times New Roman"/>
          <w:i/>
          <w:sz w:val="20"/>
          <w:szCs w:val="20"/>
        </w:rPr>
        <w:t>The Reasonable Expectations of the Parties”: An Unhelpful Concept,</w:t>
      </w:r>
      <w:r w:rsidRPr="009975EA">
        <w:rPr>
          <w:rFonts w:ascii="Times New Roman" w:hAnsi="Times New Roman" w:cs="Times New Roman"/>
          <w:sz w:val="20"/>
          <w:szCs w:val="20"/>
        </w:rPr>
        <w:t xml:space="preserve"> </w:t>
      </w:r>
      <w:r>
        <w:rPr>
          <w:rFonts w:ascii="Times New Roman" w:hAnsi="Times New Roman" w:cs="Times New Roman"/>
          <w:sz w:val="20"/>
          <w:szCs w:val="20"/>
        </w:rPr>
        <w:t xml:space="preserve">48 Can. Bus. L.J. 366 (2009), </w:t>
      </w:r>
      <w:r w:rsidR="0052169A">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367</w:t>
      </w:r>
      <w:r>
        <w:rPr>
          <w:rFonts w:ascii="Times New Roman" w:hAnsi="Times New Roman" w:cs="Times New Roman"/>
          <w:sz w:val="20"/>
          <w:szCs w:val="20"/>
        </w:rPr>
        <w:t>.</w:t>
      </w:r>
    </w:p>
  </w:footnote>
  <w:footnote w:id="365">
    <w:p w14:paraId="65DF5AC2" w14:textId="5016ADD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Bailey H. </w:t>
      </w:r>
      <w:proofErr w:type="spellStart"/>
      <w:r w:rsidRPr="009975EA">
        <w:rPr>
          <w:rFonts w:ascii="Times New Roman" w:hAnsi="Times New Roman" w:cs="Times New Roman"/>
          <w:sz w:val="20"/>
          <w:szCs w:val="20"/>
        </w:rPr>
        <w:t>Kuklin</w:t>
      </w:r>
      <w:proofErr w:type="spellEnd"/>
      <w:r w:rsidRPr="009975EA">
        <w:rPr>
          <w:rFonts w:ascii="Times New Roman" w:hAnsi="Times New Roman" w:cs="Times New Roman"/>
          <w:sz w:val="20"/>
          <w:szCs w:val="20"/>
        </w:rPr>
        <w:t xml:space="preserve">, </w:t>
      </w:r>
      <w:r w:rsidRPr="005162B1">
        <w:rPr>
          <w:rFonts w:ascii="Times New Roman" w:hAnsi="Times New Roman" w:cs="Times New Roman"/>
          <w:i/>
          <w:sz w:val="20"/>
          <w:szCs w:val="20"/>
        </w:rPr>
        <w:t>The Plausibility of Legally Protecting Reasonable Expectations</w:t>
      </w:r>
      <w:r w:rsidRPr="009975EA">
        <w:rPr>
          <w:rFonts w:ascii="Times New Roman" w:hAnsi="Times New Roman" w:cs="Times New Roman"/>
          <w:sz w:val="20"/>
          <w:szCs w:val="20"/>
        </w:rPr>
        <w:t>, 32 Val</w:t>
      </w:r>
      <w:r>
        <w:rPr>
          <w:rFonts w:ascii="Times New Roman" w:hAnsi="Times New Roman" w:cs="Times New Roman"/>
          <w:sz w:val="20"/>
          <w:szCs w:val="20"/>
        </w:rPr>
        <w:t xml:space="preserve">. U. L. Rev. 19, p.28. Smith, at </w:t>
      </w:r>
      <w:r w:rsidRPr="009975EA">
        <w:rPr>
          <w:rFonts w:ascii="Times New Roman" w:hAnsi="Times New Roman" w:cs="Times New Roman"/>
          <w:sz w:val="20"/>
          <w:szCs w:val="20"/>
        </w:rPr>
        <w:t xml:space="preserve">368: “As a matter of ordinary language, however, ‘the reasonable expectations of the parties” could mean different things. ‘Reasonable’ could mean ‘rational’…or ‘normal’…or ‘moral’…and no doubt many other things as well. The ‘expectations of the parties’ </w:t>
      </w:r>
      <w:proofErr w:type="gramStart"/>
      <w:r w:rsidRPr="009975EA">
        <w:rPr>
          <w:rFonts w:ascii="Times New Roman" w:hAnsi="Times New Roman" w:cs="Times New Roman"/>
          <w:sz w:val="20"/>
          <w:szCs w:val="20"/>
        </w:rPr>
        <w:t>is</w:t>
      </w:r>
      <w:proofErr w:type="gramEnd"/>
      <w:r w:rsidRPr="009975EA">
        <w:rPr>
          <w:rFonts w:ascii="Times New Roman" w:hAnsi="Times New Roman" w:cs="Times New Roman"/>
          <w:sz w:val="20"/>
          <w:szCs w:val="20"/>
        </w:rPr>
        <w:t xml:space="preserve"> equally ambiguous.”</w:t>
      </w:r>
    </w:p>
  </w:footnote>
  <w:footnote w:id="366">
    <w:p w14:paraId="1F60AD4E" w14:textId="61402BA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Westfair Foods Ltd. </w:t>
      </w:r>
      <w:r w:rsidR="0052169A" w:rsidRPr="009975EA">
        <w:rPr>
          <w:rFonts w:ascii="Times New Roman" w:hAnsi="Times New Roman" w:cs="Times New Roman"/>
          <w:sz w:val="20"/>
          <w:szCs w:val="20"/>
        </w:rPr>
        <w:t>V</w:t>
      </w:r>
      <w:r w:rsidRPr="009975EA">
        <w:rPr>
          <w:rFonts w:ascii="Times New Roman" w:hAnsi="Times New Roman" w:cs="Times New Roman"/>
          <w:sz w:val="20"/>
          <w:szCs w:val="20"/>
        </w:rPr>
        <w:t xml:space="preserve">. Watt, 1991 ABCA 122, </w:t>
      </w:r>
      <w:proofErr w:type="spellStart"/>
      <w:r w:rsidRPr="009975EA">
        <w:rPr>
          <w:rFonts w:ascii="Times New Roman" w:hAnsi="Times New Roman" w:cs="Times New Roman"/>
          <w:sz w:val="20"/>
          <w:szCs w:val="20"/>
        </w:rPr>
        <w:t>Karens</w:t>
      </w:r>
      <w:proofErr w:type="spellEnd"/>
      <w:r w:rsidRPr="009975EA">
        <w:rPr>
          <w:rFonts w:ascii="Times New Roman" w:hAnsi="Times New Roman" w:cs="Times New Roman"/>
          <w:sz w:val="20"/>
          <w:szCs w:val="20"/>
        </w:rPr>
        <w:t xml:space="preserve"> JA.</w:t>
      </w:r>
    </w:p>
  </w:footnote>
  <w:footnote w:id="367">
    <w:p w14:paraId="40015F35"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same standard is also used in different contexts of the U.S. corporate law, separate from the oppression case. For example, in Elliott Associates, L.P. v. </w:t>
      </w:r>
      <w:proofErr w:type="spellStart"/>
      <w:r w:rsidRPr="009975EA">
        <w:rPr>
          <w:rFonts w:ascii="Times New Roman" w:hAnsi="Times New Roman" w:cs="Times New Roman"/>
          <w:sz w:val="20"/>
          <w:szCs w:val="20"/>
        </w:rPr>
        <w:t>Avatex</w:t>
      </w:r>
      <w:proofErr w:type="spellEnd"/>
      <w:r w:rsidRPr="009975EA">
        <w:rPr>
          <w:rFonts w:ascii="Times New Roman" w:hAnsi="Times New Roman" w:cs="Times New Roman"/>
          <w:sz w:val="20"/>
          <w:szCs w:val="20"/>
        </w:rPr>
        <w:t xml:space="preserve"> Corp. 715 A.2d 843 (1998), the Delaware court expressed that the reasonable expectations standard can be used to determine the rights of preferred shareholders if there is ambiguity in the contract. </w:t>
      </w:r>
    </w:p>
  </w:footnote>
  <w:footnote w:id="368">
    <w:p w14:paraId="13D5BDC2" w14:textId="6C03B77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Stephen J. Ware, </w:t>
      </w:r>
      <w:r w:rsidRPr="005162B1">
        <w:rPr>
          <w:rFonts w:ascii="Times New Roman" w:hAnsi="Times New Roman" w:cs="Times New Roman"/>
          <w:i/>
          <w:sz w:val="20"/>
          <w:szCs w:val="20"/>
        </w:rPr>
        <w:t>A Critique of the Reasonable Expectations Doctrine</w:t>
      </w:r>
      <w:r w:rsidRPr="009975EA">
        <w:rPr>
          <w:rFonts w:ascii="Times New Roman" w:hAnsi="Times New Roman" w:cs="Times New Roman"/>
          <w:sz w:val="20"/>
          <w:szCs w:val="20"/>
        </w:rPr>
        <w:t>, University of Chicago Law Revie</w:t>
      </w:r>
      <w:r>
        <w:rPr>
          <w:rFonts w:ascii="Times New Roman" w:hAnsi="Times New Roman" w:cs="Times New Roman"/>
          <w:sz w:val="20"/>
          <w:szCs w:val="20"/>
        </w:rPr>
        <w:t xml:space="preserve">w, Vol. 56 Issue 4 (1989), </w:t>
      </w:r>
      <w:r w:rsidR="0052169A">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1466.</w:t>
      </w:r>
    </w:p>
  </w:footnote>
  <w:footnote w:id="369">
    <w:p w14:paraId="5B4FB7CD" w14:textId="2120C2B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 David </w:t>
      </w:r>
      <w:proofErr w:type="spellStart"/>
      <w:r w:rsidRPr="009975EA">
        <w:rPr>
          <w:rFonts w:ascii="Times New Roman" w:hAnsi="Times New Roman" w:cs="Times New Roman"/>
          <w:sz w:val="20"/>
          <w:szCs w:val="20"/>
        </w:rPr>
        <w:t>Slawson</w:t>
      </w:r>
      <w:proofErr w:type="spellEnd"/>
      <w:r w:rsidRPr="009975EA">
        <w:rPr>
          <w:rFonts w:ascii="Times New Roman" w:hAnsi="Times New Roman" w:cs="Times New Roman"/>
          <w:sz w:val="20"/>
          <w:szCs w:val="20"/>
        </w:rPr>
        <w:t xml:space="preserve">, </w:t>
      </w:r>
      <w:r w:rsidRPr="005162B1">
        <w:rPr>
          <w:rFonts w:ascii="Times New Roman" w:hAnsi="Times New Roman" w:cs="Times New Roman"/>
          <w:i/>
          <w:sz w:val="20"/>
          <w:szCs w:val="20"/>
        </w:rPr>
        <w:t>Binding Promises: The Late 20</w:t>
      </w:r>
      <w:r w:rsidRPr="005162B1">
        <w:rPr>
          <w:rFonts w:ascii="Times New Roman" w:hAnsi="Times New Roman" w:cs="Times New Roman"/>
          <w:i/>
          <w:sz w:val="20"/>
          <w:szCs w:val="20"/>
          <w:vertAlign w:val="superscript"/>
        </w:rPr>
        <w:t>th</w:t>
      </w:r>
      <w:r w:rsidRPr="005162B1">
        <w:rPr>
          <w:rFonts w:ascii="Times New Roman" w:hAnsi="Times New Roman" w:cs="Times New Roman"/>
          <w:i/>
          <w:sz w:val="20"/>
          <w:szCs w:val="20"/>
        </w:rPr>
        <w:t>-Century Reformation of Contract Law</w:t>
      </w:r>
      <w:r>
        <w:rPr>
          <w:rFonts w:ascii="Times New Roman" w:hAnsi="Times New Roman" w:cs="Times New Roman"/>
          <w:sz w:val="20"/>
          <w:szCs w:val="20"/>
        </w:rPr>
        <w:t xml:space="preserve"> 73</w:t>
      </w:r>
      <w:r w:rsidRPr="009975EA">
        <w:rPr>
          <w:rFonts w:ascii="Times New Roman" w:hAnsi="Times New Roman" w:cs="Times New Roman"/>
          <w:sz w:val="20"/>
          <w:szCs w:val="20"/>
        </w:rPr>
        <w:t xml:space="preserve"> </w:t>
      </w:r>
      <w:r>
        <w:rPr>
          <w:rFonts w:ascii="Times New Roman" w:hAnsi="Times New Roman" w:cs="Times New Roman"/>
          <w:sz w:val="20"/>
          <w:szCs w:val="20"/>
        </w:rPr>
        <w:t>(</w:t>
      </w:r>
      <w:r w:rsidRPr="009975EA">
        <w:rPr>
          <w:rFonts w:ascii="Times New Roman" w:hAnsi="Times New Roman" w:cs="Times New Roman"/>
          <w:sz w:val="20"/>
          <w:szCs w:val="20"/>
        </w:rPr>
        <w:t>1996</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370">
    <w:p w14:paraId="1C4B255E" w14:textId="6D56C7D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Maya </w:t>
      </w:r>
      <w:proofErr w:type="spellStart"/>
      <w:r w:rsidRPr="009975EA">
        <w:rPr>
          <w:rFonts w:ascii="Times New Roman" w:hAnsi="Times New Roman" w:cs="Times New Roman"/>
          <w:sz w:val="20"/>
          <w:szCs w:val="20"/>
        </w:rPr>
        <w:t>Sigron</w:t>
      </w:r>
      <w:proofErr w:type="spellEnd"/>
      <w:r w:rsidRPr="009975EA">
        <w:rPr>
          <w:rFonts w:ascii="Times New Roman" w:hAnsi="Times New Roman" w:cs="Times New Roman"/>
          <w:sz w:val="20"/>
          <w:szCs w:val="20"/>
        </w:rPr>
        <w:t xml:space="preserve">, </w:t>
      </w:r>
      <w:r w:rsidRPr="005162B1">
        <w:rPr>
          <w:rFonts w:ascii="Times New Roman" w:hAnsi="Times New Roman" w:cs="Times New Roman"/>
          <w:i/>
          <w:sz w:val="20"/>
          <w:szCs w:val="20"/>
        </w:rPr>
        <w:t>Legitimate Expectations Under Article 1 of Protocol No.1 to the European Convention on Human Rights</w:t>
      </w:r>
      <w:r>
        <w:rPr>
          <w:rFonts w:ascii="Times New Roman" w:hAnsi="Times New Roman" w:cs="Times New Roman"/>
          <w:i/>
          <w:sz w:val="20"/>
          <w:szCs w:val="20"/>
        </w:rPr>
        <w:t xml:space="preserve"> </w:t>
      </w:r>
      <w:r>
        <w:rPr>
          <w:rFonts w:ascii="Times New Roman" w:hAnsi="Times New Roman" w:cs="Times New Roman"/>
          <w:sz w:val="20"/>
          <w:szCs w:val="20"/>
        </w:rPr>
        <w:t>44</w:t>
      </w:r>
      <w:r w:rsidRPr="009975EA">
        <w:rPr>
          <w:rFonts w:ascii="Times New Roman" w:hAnsi="Times New Roman" w:cs="Times New Roman"/>
          <w:sz w:val="20"/>
          <w:szCs w:val="20"/>
        </w:rPr>
        <w:t xml:space="preserve"> </w:t>
      </w:r>
      <w:r>
        <w:rPr>
          <w:rFonts w:ascii="Times New Roman" w:hAnsi="Times New Roman" w:cs="Times New Roman"/>
          <w:sz w:val="20"/>
          <w:szCs w:val="20"/>
        </w:rPr>
        <w:t>(</w:t>
      </w:r>
      <w:r w:rsidRPr="009975EA">
        <w:rPr>
          <w:rFonts w:ascii="Times New Roman" w:hAnsi="Times New Roman" w:cs="Times New Roman"/>
          <w:sz w:val="20"/>
          <w:szCs w:val="20"/>
        </w:rPr>
        <w:t>2014</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371">
    <w:p w14:paraId="640BF279" w14:textId="0932724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Bontempo</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Lare</w:t>
      </w:r>
      <w:proofErr w:type="spellEnd"/>
      <w:r w:rsidRPr="009975EA">
        <w:rPr>
          <w:rFonts w:ascii="Times New Roman" w:hAnsi="Times New Roman" w:cs="Times New Roman"/>
          <w:sz w:val="20"/>
          <w:szCs w:val="20"/>
        </w:rPr>
        <w:t>, 444 Md. 344 (2015): “…the ‘reasonable expectations’ doctrine is the test for oppressive conduct…”</w:t>
      </w:r>
    </w:p>
  </w:footnote>
  <w:footnote w:id="372">
    <w:p w14:paraId="6F6CA407" w14:textId="65A3198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John E. Davidian, </w:t>
      </w:r>
      <w:r w:rsidRPr="005162B1">
        <w:rPr>
          <w:rFonts w:ascii="Times New Roman" w:hAnsi="Times New Roman" w:cs="Times New Roman"/>
          <w:i/>
          <w:sz w:val="20"/>
          <w:szCs w:val="20"/>
        </w:rPr>
        <w:t>Corporate Dissolution in New York: Liberalizing the Rights of Minority Shareholders</w:t>
      </w:r>
      <w:r w:rsidRPr="009975EA">
        <w:rPr>
          <w:rFonts w:ascii="Times New Roman" w:hAnsi="Times New Roman" w:cs="Times New Roman"/>
          <w:sz w:val="20"/>
          <w:szCs w:val="20"/>
        </w:rPr>
        <w:t>, St. John’s Law Revie</w:t>
      </w:r>
      <w:r>
        <w:rPr>
          <w:rFonts w:ascii="Times New Roman" w:hAnsi="Times New Roman" w:cs="Times New Roman"/>
          <w:sz w:val="20"/>
          <w:szCs w:val="20"/>
        </w:rPr>
        <w:t xml:space="preserve">w: Vol. 56 </w:t>
      </w:r>
      <w:proofErr w:type="spellStart"/>
      <w:r>
        <w:rPr>
          <w:rFonts w:ascii="Times New Roman" w:hAnsi="Times New Roman" w:cs="Times New Roman"/>
          <w:sz w:val="20"/>
          <w:szCs w:val="20"/>
        </w:rPr>
        <w:t>Iss</w:t>
      </w:r>
      <w:proofErr w:type="spellEnd"/>
      <w:r>
        <w:rPr>
          <w:rFonts w:ascii="Times New Roman" w:hAnsi="Times New Roman" w:cs="Times New Roman"/>
          <w:sz w:val="20"/>
          <w:szCs w:val="20"/>
        </w:rPr>
        <w:t xml:space="preserve">. 1, Article 2, </w:t>
      </w:r>
      <w:r w:rsidR="0052169A">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49 and 59.</w:t>
      </w:r>
      <w:r w:rsidR="003E49BE">
        <w:rPr>
          <w:rFonts w:ascii="Times New Roman" w:hAnsi="Times New Roman" w:cs="Times New Roman"/>
          <w:sz w:val="20"/>
          <w:szCs w:val="20"/>
        </w:rPr>
        <w:t xml:space="preserve"> </w:t>
      </w:r>
    </w:p>
  </w:footnote>
  <w:footnote w:id="373">
    <w:p w14:paraId="7BA3C2EE" w14:textId="4EF15219" w:rsidR="003E49BE" w:rsidRPr="0047452F" w:rsidRDefault="003E49BE"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Pr="003E49BE">
        <w:rPr>
          <w:rFonts w:ascii="Times New Roman" w:hAnsi="Times New Roman" w:cs="Times New Roman"/>
          <w:sz w:val="20"/>
          <w:szCs w:val="20"/>
        </w:rPr>
        <w:t>The “reasonable expectations” standard is only one of the three standards that the courts use to determine whether an oppressive conduct has occurred or not (Moll, Dividend Policy, p. 853).</w:t>
      </w:r>
    </w:p>
  </w:footnote>
  <w:footnote w:id="374">
    <w:p w14:paraId="722C7FDD"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 H. O’Neal, Squeeze- Outs of Minority Shareholders, 1975, p. 525.</w:t>
      </w:r>
    </w:p>
  </w:footnote>
  <w:footnote w:id="375">
    <w:p w14:paraId="303236B3" w14:textId="77777777" w:rsidR="00D36541" w:rsidRPr="009975EA" w:rsidRDefault="00D36541" w:rsidP="009975EA">
      <w:pPr>
        <w:pStyle w:val="NormalWeb"/>
        <w:spacing w:before="0" w:beforeAutospacing="0" w:after="0" w:afterAutospacing="0"/>
        <w:jc w:val="both"/>
        <w:rPr>
          <w:rFonts w:ascii="Times New Roman" w:hAnsi="Times New Roman"/>
          <w:lang w:eastAsia="zh-CN"/>
        </w:rPr>
      </w:pPr>
      <w:r w:rsidRPr="009975EA">
        <w:rPr>
          <w:rStyle w:val="DipnotBavurusu"/>
          <w:rFonts w:ascii="Times New Roman" w:hAnsi="Times New Roman"/>
        </w:rPr>
        <w:footnoteRef/>
      </w:r>
      <w:r w:rsidRPr="009975EA">
        <w:rPr>
          <w:rFonts w:ascii="Times New Roman" w:hAnsi="Times New Roman"/>
        </w:rPr>
        <w:t xml:space="preserve"> </w:t>
      </w:r>
      <w:proofErr w:type="spellStart"/>
      <w:r w:rsidRPr="009975EA">
        <w:rPr>
          <w:rFonts w:ascii="Times New Roman" w:hAnsi="Times New Roman"/>
        </w:rPr>
        <w:t>See</w:t>
      </w:r>
      <w:proofErr w:type="spellEnd"/>
      <w:r w:rsidRPr="009975EA">
        <w:rPr>
          <w:rFonts w:ascii="Times New Roman" w:hAnsi="Times New Roman"/>
        </w:rPr>
        <w:t xml:space="preserve"> </w:t>
      </w:r>
      <w:proofErr w:type="spellStart"/>
      <w:r w:rsidRPr="009975EA">
        <w:rPr>
          <w:rFonts w:ascii="Times New Roman" w:hAnsi="Times New Roman"/>
        </w:rPr>
        <w:t>generally</w:t>
      </w:r>
      <w:proofErr w:type="spellEnd"/>
      <w:r w:rsidRPr="009975EA">
        <w:rPr>
          <w:rFonts w:ascii="Times New Roman" w:hAnsi="Times New Roman"/>
        </w:rPr>
        <w:t xml:space="preserve">: </w:t>
      </w:r>
      <w:proofErr w:type="spellStart"/>
      <w:r w:rsidRPr="009975EA">
        <w:rPr>
          <w:rFonts w:ascii="Times New Roman" w:hAnsi="Times New Roman"/>
          <w:lang w:eastAsia="zh-CN"/>
        </w:rPr>
        <w:t>Allen</w:t>
      </w:r>
      <w:proofErr w:type="spellEnd"/>
      <w:r w:rsidRPr="009975EA">
        <w:rPr>
          <w:rFonts w:ascii="Times New Roman" w:hAnsi="Times New Roman"/>
          <w:lang w:eastAsia="zh-CN"/>
        </w:rPr>
        <w:t xml:space="preserve"> B. </w:t>
      </w:r>
      <w:proofErr w:type="spellStart"/>
      <w:r w:rsidRPr="009975EA">
        <w:rPr>
          <w:rFonts w:ascii="Times New Roman" w:hAnsi="Times New Roman"/>
          <w:lang w:eastAsia="zh-CN"/>
        </w:rPr>
        <w:t>Afterman</w:t>
      </w:r>
      <w:proofErr w:type="spellEnd"/>
      <w:r w:rsidRPr="009975EA">
        <w:rPr>
          <w:rFonts w:ascii="Times New Roman" w:hAnsi="Times New Roman"/>
          <w:lang w:eastAsia="zh-CN"/>
        </w:rPr>
        <w:t xml:space="preserve">, </w:t>
      </w:r>
      <w:proofErr w:type="spellStart"/>
      <w:r w:rsidRPr="009975EA">
        <w:rPr>
          <w:rFonts w:ascii="Times New Roman" w:hAnsi="Times New Roman"/>
          <w:i/>
          <w:iCs/>
          <w:lang w:eastAsia="zh-CN"/>
        </w:rPr>
        <w:t>Statutory</w:t>
      </w:r>
      <w:proofErr w:type="spellEnd"/>
      <w:r w:rsidRPr="009975EA">
        <w:rPr>
          <w:rFonts w:ascii="Times New Roman" w:hAnsi="Times New Roman"/>
          <w:i/>
          <w:iCs/>
          <w:lang w:eastAsia="zh-CN"/>
        </w:rPr>
        <w:t xml:space="preserve"> </w:t>
      </w:r>
      <w:proofErr w:type="spellStart"/>
      <w:r w:rsidRPr="009975EA">
        <w:rPr>
          <w:rFonts w:ascii="Times New Roman" w:hAnsi="Times New Roman"/>
          <w:i/>
          <w:iCs/>
          <w:lang w:eastAsia="zh-CN"/>
        </w:rPr>
        <w:t>Protection</w:t>
      </w:r>
      <w:proofErr w:type="spellEnd"/>
      <w:r w:rsidRPr="009975EA">
        <w:rPr>
          <w:rFonts w:ascii="Times New Roman" w:hAnsi="Times New Roman"/>
          <w:i/>
          <w:iCs/>
          <w:lang w:eastAsia="zh-CN"/>
        </w:rPr>
        <w:t xml:space="preserve"> </w:t>
      </w:r>
      <w:proofErr w:type="spellStart"/>
      <w:r w:rsidRPr="009975EA">
        <w:rPr>
          <w:rFonts w:ascii="Times New Roman" w:hAnsi="Times New Roman"/>
          <w:i/>
          <w:iCs/>
          <w:lang w:eastAsia="zh-CN"/>
        </w:rPr>
        <w:t>for</w:t>
      </w:r>
      <w:proofErr w:type="spellEnd"/>
      <w:r w:rsidRPr="009975EA">
        <w:rPr>
          <w:rFonts w:ascii="Times New Roman" w:hAnsi="Times New Roman"/>
          <w:i/>
          <w:iCs/>
          <w:lang w:eastAsia="zh-CN"/>
        </w:rPr>
        <w:t xml:space="preserve"> </w:t>
      </w:r>
      <w:proofErr w:type="spellStart"/>
      <w:r w:rsidRPr="009975EA">
        <w:rPr>
          <w:rFonts w:ascii="Times New Roman" w:hAnsi="Times New Roman"/>
          <w:i/>
          <w:iCs/>
          <w:lang w:eastAsia="zh-CN"/>
        </w:rPr>
        <w:t>Oppressed</w:t>
      </w:r>
      <w:proofErr w:type="spellEnd"/>
      <w:r w:rsidRPr="009975EA">
        <w:rPr>
          <w:rFonts w:ascii="Times New Roman" w:hAnsi="Times New Roman"/>
          <w:i/>
          <w:iCs/>
          <w:lang w:eastAsia="zh-CN"/>
        </w:rPr>
        <w:t xml:space="preserve"> </w:t>
      </w:r>
      <w:proofErr w:type="spellStart"/>
      <w:r w:rsidRPr="009975EA">
        <w:rPr>
          <w:rFonts w:ascii="Times New Roman" w:hAnsi="Times New Roman"/>
          <w:i/>
          <w:iCs/>
          <w:lang w:eastAsia="zh-CN"/>
        </w:rPr>
        <w:t>Minority</w:t>
      </w:r>
      <w:proofErr w:type="spellEnd"/>
      <w:r w:rsidRPr="009975EA">
        <w:rPr>
          <w:rFonts w:ascii="Times New Roman" w:hAnsi="Times New Roman"/>
          <w:i/>
          <w:iCs/>
          <w:lang w:eastAsia="zh-CN"/>
        </w:rPr>
        <w:t xml:space="preserve"> </w:t>
      </w:r>
      <w:proofErr w:type="spellStart"/>
      <w:r w:rsidRPr="009975EA">
        <w:rPr>
          <w:rFonts w:ascii="Times New Roman" w:hAnsi="Times New Roman"/>
          <w:i/>
          <w:iCs/>
          <w:lang w:eastAsia="zh-CN"/>
        </w:rPr>
        <w:t>Shareholders</w:t>
      </w:r>
      <w:proofErr w:type="spellEnd"/>
      <w:r w:rsidRPr="009975EA">
        <w:rPr>
          <w:rFonts w:ascii="Times New Roman" w:hAnsi="Times New Roman"/>
          <w:i/>
          <w:iCs/>
          <w:lang w:eastAsia="zh-CN"/>
        </w:rPr>
        <w:t xml:space="preserve">: A Model </w:t>
      </w:r>
      <w:proofErr w:type="spellStart"/>
      <w:r w:rsidRPr="009975EA">
        <w:rPr>
          <w:rFonts w:ascii="Times New Roman" w:hAnsi="Times New Roman"/>
          <w:i/>
          <w:iCs/>
          <w:lang w:eastAsia="zh-CN"/>
        </w:rPr>
        <w:t>for</w:t>
      </w:r>
      <w:proofErr w:type="spellEnd"/>
      <w:r w:rsidRPr="009975EA">
        <w:rPr>
          <w:rFonts w:ascii="Times New Roman" w:hAnsi="Times New Roman"/>
          <w:i/>
          <w:iCs/>
          <w:lang w:eastAsia="zh-CN"/>
        </w:rPr>
        <w:t xml:space="preserve"> Reform</w:t>
      </w:r>
      <w:r w:rsidRPr="009975EA">
        <w:rPr>
          <w:rFonts w:ascii="Times New Roman" w:hAnsi="Times New Roman"/>
          <w:lang w:eastAsia="zh-CN"/>
        </w:rPr>
        <w:t xml:space="preserve">, 55 VA. L. REV. 1043 (1969) </w:t>
      </w:r>
    </w:p>
  </w:footnote>
  <w:footnote w:id="376">
    <w:p w14:paraId="11693CC8" w14:textId="77777777" w:rsidR="00D36541" w:rsidRPr="009975EA" w:rsidRDefault="00D36541" w:rsidP="009975EA">
      <w:pPr>
        <w:pStyle w:val="NormalWeb"/>
        <w:spacing w:before="0" w:beforeAutospacing="0" w:after="0" w:afterAutospacing="0"/>
        <w:jc w:val="both"/>
        <w:rPr>
          <w:rFonts w:ascii="Times New Roman" w:hAnsi="Times New Roman"/>
          <w:lang w:eastAsia="zh-CN"/>
        </w:rPr>
      </w:pPr>
      <w:r w:rsidRPr="009975EA">
        <w:rPr>
          <w:rStyle w:val="DipnotBavurusu"/>
          <w:rFonts w:ascii="Times New Roman" w:hAnsi="Times New Roman"/>
        </w:rPr>
        <w:footnoteRef/>
      </w:r>
      <w:r w:rsidRPr="009975EA">
        <w:rPr>
          <w:rFonts w:ascii="Times New Roman" w:hAnsi="Times New Roman"/>
        </w:rPr>
        <w:t xml:space="preserve"> 2 </w:t>
      </w:r>
      <w:proofErr w:type="spellStart"/>
      <w:r w:rsidRPr="009975EA">
        <w:rPr>
          <w:rFonts w:ascii="Times New Roman" w:hAnsi="Times New Roman"/>
        </w:rPr>
        <w:t>All</w:t>
      </w:r>
      <w:proofErr w:type="spellEnd"/>
      <w:r w:rsidRPr="009975EA">
        <w:rPr>
          <w:rFonts w:ascii="Times New Roman" w:hAnsi="Times New Roman"/>
        </w:rPr>
        <w:t xml:space="preserve"> E.R. [1972] 492, 2 W.L.R. 1289: “…</w:t>
      </w:r>
      <w:proofErr w:type="spellStart"/>
      <w:r w:rsidRPr="009975EA">
        <w:rPr>
          <w:rFonts w:ascii="Times New Roman" w:hAnsi="Times New Roman"/>
          <w:color w:val="232323"/>
          <w:lang w:eastAsia="zh-CN"/>
        </w:rPr>
        <w:t>are</w:t>
      </w:r>
      <w:proofErr w:type="spellEnd"/>
      <w:r w:rsidRPr="009975EA">
        <w:rPr>
          <w:rFonts w:ascii="Times New Roman" w:hAnsi="Times New Roman"/>
          <w:color w:val="232323"/>
          <w:lang w:eastAsia="zh-CN"/>
        </w:rPr>
        <w:t xml:space="preserve"> a </w:t>
      </w:r>
      <w:proofErr w:type="spellStart"/>
      <w:r w:rsidRPr="009975EA">
        <w:rPr>
          <w:rFonts w:ascii="Times New Roman" w:hAnsi="Times New Roman"/>
          <w:color w:val="232323"/>
          <w:lang w:eastAsia="zh-CN"/>
        </w:rPr>
        <w:t>recognition</w:t>
      </w:r>
      <w:proofErr w:type="spellEnd"/>
      <w:r w:rsidRPr="009975EA">
        <w:rPr>
          <w:rFonts w:ascii="Times New Roman" w:hAnsi="Times New Roman"/>
          <w:color w:val="232323"/>
          <w:lang w:eastAsia="zh-CN"/>
        </w:rPr>
        <w:t xml:space="preserve"> of </w:t>
      </w:r>
      <w:proofErr w:type="spellStart"/>
      <w:r w:rsidRPr="009975EA">
        <w:rPr>
          <w:rFonts w:ascii="Times New Roman" w:hAnsi="Times New Roman"/>
          <w:color w:val="232323"/>
          <w:lang w:eastAsia="zh-CN"/>
        </w:rPr>
        <w:t>the</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fact</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that</w:t>
      </w:r>
      <w:proofErr w:type="spellEnd"/>
      <w:r w:rsidRPr="009975EA">
        <w:rPr>
          <w:rFonts w:ascii="Times New Roman" w:hAnsi="Times New Roman"/>
          <w:color w:val="232323"/>
          <w:lang w:eastAsia="zh-CN"/>
        </w:rPr>
        <w:t xml:space="preserve"> a limited </w:t>
      </w:r>
      <w:proofErr w:type="spellStart"/>
      <w:r w:rsidRPr="009975EA">
        <w:rPr>
          <w:rFonts w:ascii="Times New Roman" w:hAnsi="Times New Roman"/>
          <w:color w:val="232323"/>
          <w:lang w:eastAsia="zh-CN"/>
        </w:rPr>
        <w:t>company</w:t>
      </w:r>
      <w:proofErr w:type="spellEnd"/>
      <w:r w:rsidRPr="009975EA">
        <w:rPr>
          <w:rFonts w:ascii="Times New Roman" w:hAnsi="Times New Roman"/>
          <w:color w:val="232323"/>
          <w:lang w:eastAsia="zh-CN"/>
        </w:rPr>
        <w:t xml:space="preserve"> is </w:t>
      </w:r>
      <w:proofErr w:type="spellStart"/>
      <w:r w:rsidRPr="009975EA">
        <w:rPr>
          <w:rFonts w:ascii="Times New Roman" w:hAnsi="Times New Roman"/>
          <w:color w:val="232323"/>
          <w:lang w:eastAsia="zh-CN"/>
        </w:rPr>
        <w:t>more</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than</w:t>
      </w:r>
      <w:proofErr w:type="spellEnd"/>
      <w:r w:rsidRPr="009975EA">
        <w:rPr>
          <w:rFonts w:ascii="Times New Roman" w:hAnsi="Times New Roman"/>
          <w:color w:val="232323"/>
          <w:lang w:eastAsia="zh-CN"/>
        </w:rPr>
        <w:t xml:space="preserve"> a </w:t>
      </w:r>
      <w:proofErr w:type="spellStart"/>
      <w:r w:rsidRPr="009975EA">
        <w:rPr>
          <w:rFonts w:ascii="Times New Roman" w:hAnsi="Times New Roman"/>
          <w:color w:val="232323"/>
          <w:lang w:eastAsia="zh-CN"/>
        </w:rPr>
        <w:t>mere</w:t>
      </w:r>
      <w:proofErr w:type="spellEnd"/>
      <w:r w:rsidRPr="009975EA">
        <w:rPr>
          <w:rFonts w:ascii="Times New Roman" w:hAnsi="Times New Roman"/>
          <w:color w:val="232323"/>
          <w:lang w:eastAsia="zh-CN"/>
        </w:rPr>
        <w:t xml:space="preserve"> legal </w:t>
      </w:r>
      <w:proofErr w:type="spellStart"/>
      <w:r w:rsidRPr="009975EA">
        <w:rPr>
          <w:rFonts w:ascii="Times New Roman" w:hAnsi="Times New Roman"/>
          <w:color w:val="232323"/>
          <w:lang w:eastAsia="zh-CN"/>
        </w:rPr>
        <w:t>entity</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with</w:t>
      </w:r>
      <w:proofErr w:type="spellEnd"/>
      <w:r w:rsidRPr="009975EA">
        <w:rPr>
          <w:rFonts w:ascii="Times New Roman" w:hAnsi="Times New Roman"/>
          <w:color w:val="232323"/>
          <w:lang w:eastAsia="zh-CN"/>
        </w:rPr>
        <w:t xml:space="preserve"> a </w:t>
      </w:r>
      <w:proofErr w:type="spellStart"/>
      <w:r w:rsidRPr="009975EA">
        <w:rPr>
          <w:rFonts w:ascii="Times New Roman" w:hAnsi="Times New Roman"/>
          <w:color w:val="232323"/>
          <w:lang w:eastAsia="zh-CN"/>
        </w:rPr>
        <w:t>personality</w:t>
      </w:r>
      <w:proofErr w:type="spellEnd"/>
      <w:r w:rsidRPr="009975EA">
        <w:rPr>
          <w:rFonts w:ascii="Times New Roman" w:hAnsi="Times New Roman"/>
          <w:color w:val="232323"/>
          <w:lang w:eastAsia="zh-CN"/>
        </w:rPr>
        <w:t xml:space="preserve"> in </w:t>
      </w:r>
      <w:proofErr w:type="spellStart"/>
      <w:r w:rsidRPr="009975EA">
        <w:rPr>
          <w:rFonts w:ascii="Times New Roman" w:hAnsi="Times New Roman"/>
          <w:color w:val="232323"/>
          <w:lang w:eastAsia="zh-CN"/>
        </w:rPr>
        <w:t>law</w:t>
      </w:r>
      <w:proofErr w:type="spellEnd"/>
      <w:r w:rsidRPr="009975EA">
        <w:rPr>
          <w:rFonts w:ascii="Times New Roman" w:hAnsi="Times New Roman"/>
          <w:color w:val="232323"/>
          <w:lang w:eastAsia="zh-CN"/>
        </w:rPr>
        <w:t xml:space="preserve"> of </w:t>
      </w:r>
      <w:proofErr w:type="spellStart"/>
      <w:r w:rsidRPr="009975EA">
        <w:rPr>
          <w:rFonts w:ascii="Times New Roman" w:hAnsi="Times New Roman"/>
          <w:color w:val="232323"/>
          <w:lang w:eastAsia="zh-CN"/>
        </w:rPr>
        <w:t>its</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own</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that</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there</w:t>
      </w:r>
      <w:proofErr w:type="spellEnd"/>
      <w:r w:rsidRPr="009975EA">
        <w:rPr>
          <w:rFonts w:ascii="Times New Roman" w:hAnsi="Times New Roman"/>
          <w:color w:val="232323"/>
          <w:lang w:eastAsia="zh-CN"/>
        </w:rPr>
        <w:t xml:space="preserve"> is </w:t>
      </w:r>
      <w:proofErr w:type="spellStart"/>
      <w:r w:rsidRPr="009975EA">
        <w:rPr>
          <w:rFonts w:ascii="Times New Roman" w:hAnsi="Times New Roman"/>
          <w:color w:val="232323"/>
          <w:lang w:eastAsia="zh-CN"/>
        </w:rPr>
        <w:t>room</w:t>
      </w:r>
      <w:proofErr w:type="spellEnd"/>
      <w:r w:rsidRPr="009975EA">
        <w:rPr>
          <w:rFonts w:ascii="Times New Roman" w:hAnsi="Times New Roman"/>
          <w:color w:val="232323"/>
          <w:lang w:eastAsia="zh-CN"/>
        </w:rPr>
        <w:t xml:space="preserve"> in </w:t>
      </w:r>
      <w:proofErr w:type="spellStart"/>
      <w:r w:rsidRPr="009975EA">
        <w:rPr>
          <w:rFonts w:ascii="Times New Roman" w:hAnsi="Times New Roman"/>
          <w:color w:val="232323"/>
          <w:lang w:eastAsia="zh-CN"/>
        </w:rPr>
        <w:t>company</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law</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for</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recognition</w:t>
      </w:r>
      <w:proofErr w:type="spellEnd"/>
      <w:r w:rsidRPr="009975EA">
        <w:rPr>
          <w:rFonts w:ascii="Times New Roman" w:hAnsi="Times New Roman"/>
          <w:color w:val="232323"/>
          <w:lang w:eastAsia="zh-CN"/>
        </w:rPr>
        <w:t xml:space="preserve"> of </w:t>
      </w:r>
      <w:proofErr w:type="spellStart"/>
      <w:r w:rsidRPr="009975EA">
        <w:rPr>
          <w:rFonts w:ascii="Times New Roman" w:hAnsi="Times New Roman"/>
          <w:color w:val="232323"/>
          <w:lang w:eastAsia="zh-CN"/>
        </w:rPr>
        <w:t>the</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fact</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that</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behind</w:t>
      </w:r>
      <w:proofErr w:type="spellEnd"/>
      <w:r w:rsidRPr="009975EA">
        <w:rPr>
          <w:rFonts w:ascii="Times New Roman" w:hAnsi="Times New Roman"/>
          <w:color w:val="232323"/>
          <w:lang w:eastAsia="zh-CN"/>
        </w:rPr>
        <w:t xml:space="preserve"> it, </w:t>
      </w:r>
      <w:proofErr w:type="spellStart"/>
      <w:r w:rsidRPr="009975EA">
        <w:rPr>
          <w:rFonts w:ascii="Times New Roman" w:hAnsi="Times New Roman"/>
          <w:color w:val="232323"/>
          <w:lang w:eastAsia="zh-CN"/>
        </w:rPr>
        <w:t>or</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amongst</w:t>
      </w:r>
      <w:proofErr w:type="spellEnd"/>
      <w:r w:rsidRPr="009975EA">
        <w:rPr>
          <w:rFonts w:ascii="Times New Roman" w:hAnsi="Times New Roman"/>
          <w:color w:val="232323"/>
          <w:lang w:eastAsia="zh-CN"/>
        </w:rPr>
        <w:t xml:space="preserve"> it, </w:t>
      </w:r>
      <w:proofErr w:type="spellStart"/>
      <w:r w:rsidRPr="009975EA">
        <w:rPr>
          <w:rFonts w:ascii="Times New Roman" w:hAnsi="Times New Roman"/>
          <w:color w:val="232323"/>
          <w:lang w:eastAsia="zh-CN"/>
        </w:rPr>
        <w:t>there</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are</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individuals</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with</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rights</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expectations</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and</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obligations</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inter</w:t>
      </w:r>
      <w:proofErr w:type="spellEnd"/>
      <w:r w:rsidRPr="009975EA">
        <w:rPr>
          <w:rFonts w:ascii="Times New Roman" w:hAnsi="Times New Roman"/>
          <w:color w:val="232323"/>
          <w:lang w:eastAsia="zh-CN"/>
        </w:rPr>
        <w:t xml:space="preserve"> se </w:t>
      </w:r>
      <w:proofErr w:type="spellStart"/>
      <w:r w:rsidRPr="009975EA">
        <w:rPr>
          <w:rFonts w:ascii="Times New Roman" w:hAnsi="Times New Roman"/>
          <w:color w:val="232323"/>
          <w:lang w:eastAsia="zh-CN"/>
        </w:rPr>
        <w:t>which</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are</w:t>
      </w:r>
      <w:proofErr w:type="spellEnd"/>
      <w:r w:rsidRPr="009975EA">
        <w:rPr>
          <w:rFonts w:ascii="Times New Roman" w:hAnsi="Times New Roman"/>
          <w:color w:val="232323"/>
          <w:lang w:eastAsia="zh-CN"/>
        </w:rPr>
        <w:t xml:space="preserve"> not </w:t>
      </w:r>
      <w:proofErr w:type="spellStart"/>
      <w:r w:rsidRPr="009975EA">
        <w:rPr>
          <w:rFonts w:ascii="Times New Roman" w:hAnsi="Times New Roman"/>
          <w:color w:val="232323"/>
          <w:lang w:eastAsia="zh-CN"/>
        </w:rPr>
        <w:t>necessarily</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submerged</w:t>
      </w:r>
      <w:proofErr w:type="spellEnd"/>
      <w:r w:rsidRPr="009975EA">
        <w:rPr>
          <w:rFonts w:ascii="Times New Roman" w:hAnsi="Times New Roman"/>
          <w:color w:val="232323"/>
          <w:lang w:eastAsia="zh-CN"/>
        </w:rPr>
        <w:t xml:space="preserve"> in </w:t>
      </w:r>
      <w:proofErr w:type="spellStart"/>
      <w:r w:rsidRPr="009975EA">
        <w:rPr>
          <w:rFonts w:ascii="Times New Roman" w:hAnsi="Times New Roman"/>
          <w:color w:val="232323"/>
          <w:lang w:eastAsia="zh-CN"/>
        </w:rPr>
        <w:t>the</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company</w:t>
      </w:r>
      <w:proofErr w:type="spellEnd"/>
      <w:r w:rsidRPr="009975EA">
        <w:rPr>
          <w:rFonts w:ascii="Times New Roman" w:hAnsi="Times New Roman"/>
          <w:color w:val="232323"/>
          <w:lang w:eastAsia="zh-CN"/>
        </w:rPr>
        <w:t xml:space="preserve"> </w:t>
      </w:r>
      <w:proofErr w:type="spellStart"/>
      <w:r w:rsidRPr="009975EA">
        <w:rPr>
          <w:rFonts w:ascii="Times New Roman" w:hAnsi="Times New Roman"/>
          <w:color w:val="232323"/>
          <w:lang w:eastAsia="zh-CN"/>
        </w:rPr>
        <w:t>structure</w:t>
      </w:r>
      <w:proofErr w:type="spellEnd"/>
      <w:r w:rsidRPr="009975EA">
        <w:rPr>
          <w:rFonts w:ascii="Times New Roman" w:hAnsi="Times New Roman"/>
          <w:color w:val="232323"/>
          <w:lang w:eastAsia="zh-CN"/>
        </w:rPr>
        <w:t>.”</w:t>
      </w:r>
    </w:p>
  </w:footnote>
  <w:footnote w:id="377">
    <w:p w14:paraId="4D979330" w14:textId="3D17A8F6"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167 </w:t>
      </w:r>
      <w:proofErr w:type="spellStart"/>
      <w:r w:rsidRPr="009975EA">
        <w:rPr>
          <w:rFonts w:ascii="Times New Roman" w:hAnsi="Times New Roman" w:cs="Times New Roman"/>
          <w:sz w:val="20"/>
          <w:szCs w:val="20"/>
        </w:rPr>
        <w:t>N.</w:t>
      </w:r>
      <w:proofErr w:type="gramStart"/>
      <w:r w:rsidRPr="009975EA">
        <w:rPr>
          <w:rFonts w:ascii="Times New Roman" w:hAnsi="Times New Roman" w:cs="Times New Roman"/>
          <w:sz w:val="20"/>
          <w:szCs w:val="20"/>
        </w:rPr>
        <w:t>J.Super</w:t>
      </w:r>
      <w:proofErr w:type="spellEnd"/>
      <w:proofErr w:type="gramEnd"/>
      <w:r w:rsidRPr="009975EA">
        <w:rPr>
          <w:rFonts w:ascii="Times New Roman" w:hAnsi="Times New Roman" w:cs="Times New Roman"/>
          <w:sz w:val="20"/>
          <w:szCs w:val="20"/>
        </w:rPr>
        <w:t xml:space="preserve">. 141 (1979) </w:t>
      </w:r>
      <w:r w:rsidR="0052169A">
        <w:rPr>
          <w:rFonts w:ascii="Times New Roman" w:hAnsi="Times New Roman" w:cs="Times New Roman"/>
          <w:sz w:val="20"/>
          <w:szCs w:val="20"/>
        </w:rPr>
        <w:t>p.</w:t>
      </w:r>
      <w:r w:rsidRPr="009975EA">
        <w:rPr>
          <w:rFonts w:ascii="Times New Roman" w:hAnsi="Times New Roman" w:cs="Times New Roman"/>
          <w:sz w:val="20"/>
          <w:szCs w:val="20"/>
        </w:rPr>
        <w:t xml:space="preserve"> 155: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circumstances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arrangements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personal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relationships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frequently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formation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generate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certain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among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concerning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respective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roles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affairs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including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earnings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preclude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drawing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conclusions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impact</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particular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on a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consideration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role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he is </w:t>
      </w:r>
      <w:proofErr w:type="spellStart"/>
      <w:r w:rsidRPr="009975EA">
        <w:rPr>
          <w:rFonts w:ascii="Times New Roman" w:hAnsi="Times New Roman" w:cs="Times New Roman"/>
          <w:color w:val="000000"/>
          <w:sz w:val="20"/>
          <w:szCs w:val="20"/>
        </w:rPr>
        <w:t>expected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Accordingly</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determine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initially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understanding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regard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Armed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information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then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acted</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fashion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contrary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understanding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language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statute</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oppressively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toward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378">
    <w:p w14:paraId="13551486" w14:textId="1C2E3E3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Cynthia S. Grandfield, </w:t>
      </w:r>
      <w:r w:rsidRPr="005162B1">
        <w:rPr>
          <w:rFonts w:ascii="Times New Roman" w:hAnsi="Times New Roman" w:cs="Times New Roman"/>
          <w:i/>
          <w:sz w:val="20"/>
          <w:szCs w:val="20"/>
        </w:rPr>
        <w:t>The Reasonable Expectations of Minority Shareholders in Closely Held Corporations: The Morality of Small Businesses</w:t>
      </w:r>
      <w:r w:rsidRPr="009975EA">
        <w:rPr>
          <w:rFonts w:ascii="Times New Roman" w:hAnsi="Times New Roman" w:cs="Times New Roman"/>
          <w:sz w:val="20"/>
          <w:szCs w:val="20"/>
        </w:rPr>
        <w:t>, 1</w:t>
      </w:r>
      <w:r>
        <w:rPr>
          <w:rFonts w:ascii="Times New Roman" w:hAnsi="Times New Roman" w:cs="Times New Roman"/>
          <w:sz w:val="20"/>
          <w:szCs w:val="20"/>
        </w:rPr>
        <w:t>4 DePaul Bus. L.J. 381 (2002) at</w:t>
      </w:r>
      <w:r w:rsidRPr="009975EA">
        <w:rPr>
          <w:rFonts w:ascii="Times New Roman" w:hAnsi="Times New Roman" w:cs="Times New Roman"/>
          <w:sz w:val="20"/>
          <w:szCs w:val="20"/>
        </w:rPr>
        <w:t>.387.</w:t>
      </w:r>
    </w:p>
  </w:footnote>
  <w:footnote w:id="379">
    <w:p w14:paraId="131A458B" w14:textId="4F23384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Harry J. </w:t>
      </w:r>
      <w:proofErr w:type="spellStart"/>
      <w:r w:rsidRPr="009975EA">
        <w:rPr>
          <w:rFonts w:ascii="Times New Roman" w:hAnsi="Times New Roman" w:cs="Times New Roman"/>
          <w:sz w:val="20"/>
          <w:szCs w:val="20"/>
        </w:rPr>
        <w:t>Haynsworth</w:t>
      </w:r>
      <w:proofErr w:type="spellEnd"/>
      <w:r w:rsidRPr="009975EA">
        <w:rPr>
          <w:rFonts w:ascii="Times New Roman" w:hAnsi="Times New Roman" w:cs="Times New Roman"/>
          <w:sz w:val="20"/>
          <w:szCs w:val="20"/>
        </w:rPr>
        <w:t xml:space="preserve">, </w:t>
      </w:r>
      <w:proofErr w:type="spellStart"/>
      <w:r w:rsidRPr="005162B1">
        <w:rPr>
          <w:rFonts w:ascii="Times New Roman" w:hAnsi="Times New Roman" w:cs="Times New Roman"/>
          <w:i/>
          <w:sz w:val="20"/>
          <w:szCs w:val="20"/>
        </w:rPr>
        <w:t>The</w:t>
      </w:r>
      <w:proofErr w:type="spellEnd"/>
      <w:r w:rsidRPr="005162B1">
        <w:rPr>
          <w:rFonts w:ascii="Times New Roman" w:hAnsi="Times New Roman" w:cs="Times New Roman"/>
          <w:i/>
          <w:sz w:val="20"/>
          <w:szCs w:val="20"/>
        </w:rPr>
        <w:t xml:space="preserve"> </w:t>
      </w:r>
      <w:proofErr w:type="spellStart"/>
      <w:r w:rsidRPr="005162B1">
        <w:rPr>
          <w:rFonts w:ascii="Times New Roman" w:hAnsi="Times New Roman" w:cs="Times New Roman"/>
          <w:i/>
          <w:sz w:val="20"/>
          <w:szCs w:val="20"/>
        </w:rPr>
        <w:t>Effectivesness</w:t>
      </w:r>
      <w:proofErr w:type="spellEnd"/>
      <w:r w:rsidRPr="005162B1">
        <w:rPr>
          <w:rFonts w:ascii="Times New Roman" w:hAnsi="Times New Roman" w:cs="Times New Roman"/>
          <w:i/>
          <w:sz w:val="20"/>
          <w:szCs w:val="20"/>
        </w:rPr>
        <w:t xml:space="preserve"> of </w:t>
      </w:r>
      <w:proofErr w:type="spellStart"/>
      <w:r w:rsidRPr="005162B1">
        <w:rPr>
          <w:rFonts w:ascii="Times New Roman" w:hAnsi="Times New Roman" w:cs="Times New Roman"/>
          <w:i/>
          <w:sz w:val="20"/>
          <w:szCs w:val="20"/>
        </w:rPr>
        <w:t>Involuntary</w:t>
      </w:r>
      <w:proofErr w:type="spellEnd"/>
      <w:r w:rsidRPr="005162B1">
        <w:rPr>
          <w:rFonts w:ascii="Times New Roman" w:hAnsi="Times New Roman" w:cs="Times New Roman"/>
          <w:i/>
          <w:sz w:val="20"/>
          <w:szCs w:val="20"/>
        </w:rPr>
        <w:t xml:space="preserve"> </w:t>
      </w:r>
      <w:proofErr w:type="spellStart"/>
      <w:r w:rsidRPr="005162B1">
        <w:rPr>
          <w:rFonts w:ascii="Times New Roman" w:hAnsi="Times New Roman" w:cs="Times New Roman"/>
          <w:i/>
          <w:sz w:val="20"/>
          <w:szCs w:val="20"/>
        </w:rPr>
        <w:t>Dissolution</w:t>
      </w:r>
      <w:proofErr w:type="spellEnd"/>
      <w:r w:rsidRPr="005162B1">
        <w:rPr>
          <w:rFonts w:ascii="Times New Roman" w:hAnsi="Times New Roman" w:cs="Times New Roman"/>
          <w:i/>
          <w:sz w:val="20"/>
          <w:szCs w:val="20"/>
        </w:rPr>
        <w:t xml:space="preserve"> </w:t>
      </w:r>
      <w:proofErr w:type="spellStart"/>
      <w:r w:rsidRPr="005162B1">
        <w:rPr>
          <w:rFonts w:ascii="Times New Roman" w:hAnsi="Times New Roman" w:cs="Times New Roman"/>
          <w:i/>
          <w:sz w:val="20"/>
          <w:szCs w:val="20"/>
        </w:rPr>
        <w:t>Suits</w:t>
      </w:r>
      <w:proofErr w:type="spellEnd"/>
      <w:r w:rsidRPr="005162B1">
        <w:rPr>
          <w:rFonts w:ascii="Times New Roman" w:hAnsi="Times New Roman" w:cs="Times New Roman"/>
          <w:i/>
          <w:sz w:val="20"/>
          <w:szCs w:val="20"/>
        </w:rPr>
        <w:t xml:space="preserve"> as a </w:t>
      </w:r>
      <w:proofErr w:type="spellStart"/>
      <w:r w:rsidRPr="005162B1">
        <w:rPr>
          <w:rFonts w:ascii="Times New Roman" w:hAnsi="Times New Roman" w:cs="Times New Roman"/>
          <w:i/>
          <w:sz w:val="20"/>
          <w:szCs w:val="20"/>
        </w:rPr>
        <w:t>Remedy</w:t>
      </w:r>
      <w:proofErr w:type="spellEnd"/>
      <w:r w:rsidRPr="005162B1">
        <w:rPr>
          <w:rFonts w:ascii="Times New Roman" w:hAnsi="Times New Roman" w:cs="Times New Roman"/>
          <w:i/>
          <w:sz w:val="20"/>
          <w:szCs w:val="20"/>
        </w:rPr>
        <w:t xml:space="preserve"> </w:t>
      </w:r>
      <w:proofErr w:type="spellStart"/>
      <w:r w:rsidRPr="005162B1">
        <w:rPr>
          <w:rFonts w:ascii="Times New Roman" w:hAnsi="Times New Roman" w:cs="Times New Roman"/>
          <w:i/>
          <w:sz w:val="20"/>
          <w:szCs w:val="20"/>
        </w:rPr>
        <w:t>for</w:t>
      </w:r>
      <w:proofErr w:type="spellEnd"/>
      <w:r w:rsidRPr="005162B1">
        <w:rPr>
          <w:rFonts w:ascii="Times New Roman" w:hAnsi="Times New Roman" w:cs="Times New Roman"/>
          <w:i/>
          <w:sz w:val="20"/>
          <w:szCs w:val="20"/>
        </w:rPr>
        <w:t xml:space="preserve"> Close Corporation </w:t>
      </w:r>
      <w:proofErr w:type="spellStart"/>
      <w:r w:rsidRPr="005162B1">
        <w:rPr>
          <w:rFonts w:ascii="Times New Roman" w:hAnsi="Times New Roman" w:cs="Times New Roman"/>
          <w:i/>
          <w:sz w:val="20"/>
          <w:szCs w:val="20"/>
        </w:rPr>
        <w:t>Dissension</w:t>
      </w:r>
      <w:proofErr w:type="spellEnd"/>
      <w:r w:rsidRPr="005162B1">
        <w:rPr>
          <w:rFonts w:ascii="Times New Roman" w:hAnsi="Times New Roman" w:cs="Times New Roman"/>
          <w:i/>
          <w:sz w:val="20"/>
          <w:szCs w:val="20"/>
        </w:rPr>
        <w:t>,</w:t>
      </w:r>
      <w:r w:rsidRPr="009975EA">
        <w:rPr>
          <w:rFonts w:ascii="Times New Roman" w:hAnsi="Times New Roman" w:cs="Times New Roman"/>
          <w:sz w:val="20"/>
          <w:szCs w:val="20"/>
        </w:rPr>
        <w:t xml:space="preserve"> 35 </w:t>
      </w:r>
      <w:proofErr w:type="spellStart"/>
      <w:r w:rsidRPr="009975EA">
        <w:rPr>
          <w:rFonts w:ascii="Times New Roman" w:hAnsi="Times New Roman" w:cs="Times New Roman"/>
          <w:sz w:val="20"/>
          <w:szCs w:val="20"/>
        </w:rPr>
        <w:t>Clev</w:t>
      </w:r>
      <w:proofErr w:type="spellEnd"/>
      <w:r w:rsidRPr="009975EA">
        <w:rPr>
          <w:rFonts w:ascii="Times New Roman" w:hAnsi="Times New Roman" w:cs="Times New Roman"/>
          <w:sz w:val="20"/>
          <w:szCs w:val="20"/>
        </w:rPr>
        <w:t xml:space="preserve">. St. L. </w:t>
      </w:r>
      <w:proofErr w:type="spellStart"/>
      <w:r w:rsidRPr="009975EA">
        <w:rPr>
          <w:rFonts w:ascii="Times New Roman" w:hAnsi="Times New Roman" w:cs="Times New Roman"/>
          <w:sz w:val="20"/>
          <w:szCs w:val="20"/>
        </w:rPr>
        <w:t>Rev</w:t>
      </w:r>
      <w:proofErr w:type="spellEnd"/>
      <w:r w:rsidRPr="009975EA">
        <w:rPr>
          <w:rFonts w:ascii="Times New Roman" w:hAnsi="Times New Roman" w:cs="Times New Roman"/>
          <w:sz w:val="20"/>
          <w:szCs w:val="20"/>
        </w:rPr>
        <w:t xml:space="preserve">. 25 (1987), </w:t>
      </w:r>
      <w:hyperlink r:id="rId63" w:history="1">
        <w:r w:rsidRPr="009975EA">
          <w:rPr>
            <w:rStyle w:val="Kpr"/>
            <w:rFonts w:ascii="Times New Roman" w:hAnsi="Times New Roman" w:cs="Times New Roman"/>
            <w:sz w:val="20"/>
            <w:szCs w:val="20"/>
          </w:rPr>
          <w:t>http://engagedscholarship.csuohio.edu/clevstlrev/vol35/iss1/5</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xml:space="preserve">: 10/10/2016) at </w:t>
      </w:r>
      <w:r w:rsidRPr="009975EA">
        <w:rPr>
          <w:rFonts w:ascii="Times New Roman" w:hAnsi="Times New Roman" w:cs="Times New Roman"/>
          <w:sz w:val="20"/>
          <w:szCs w:val="20"/>
        </w:rPr>
        <w:t>37.</w:t>
      </w:r>
    </w:p>
  </w:footnote>
  <w:footnote w:id="380">
    <w:p w14:paraId="71EA9C57" w14:textId="7C6AA0C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Brian R. Cheffins, </w:t>
      </w:r>
      <w:r w:rsidRPr="005162B1">
        <w:rPr>
          <w:rFonts w:ascii="Times New Roman" w:hAnsi="Times New Roman" w:cs="Times New Roman"/>
          <w:i/>
          <w:sz w:val="20"/>
          <w:szCs w:val="20"/>
        </w:rPr>
        <w:t>An Economic Analysis of the Oppression Remedy: Working towards a More Coherent Picture of Corporate Law</w:t>
      </w:r>
      <w:r>
        <w:rPr>
          <w:rFonts w:ascii="Times New Roman" w:hAnsi="Times New Roman" w:cs="Times New Roman"/>
          <w:sz w:val="20"/>
          <w:szCs w:val="20"/>
        </w:rPr>
        <w:t>, 40 U.T.L.J. 775, at</w:t>
      </w:r>
      <w:r w:rsidRPr="009975EA">
        <w:rPr>
          <w:rFonts w:ascii="Times New Roman" w:hAnsi="Times New Roman" w:cs="Times New Roman"/>
          <w:sz w:val="20"/>
          <w:szCs w:val="20"/>
        </w:rPr>
        <w:t xml:space="preserve"> 782- 783; “Protecting ‘reasonable expectations’ has the ring of contract law…” (James D. Cox, </w:t>
      </w:r>
      <w:r w:rsidRPr="005162B1">
        <w:rPr>
          <w:rFonts w:ascii="Times New Roman" w:hAnsi="Times New Roman" w:cs="Times New Roman"/>
          <w:i/>
          <w:sz w:val="20"/>
          <w:szCs w:val="20"/>
        </w:rPr>
        <w:t xml:space="preserve">Corporate </w:t>
      </w:r>
      <w:proofErr w:type="gramStart"/>
      <w:r w:rsidRPr="005162B1">
        <w:rPr>
          <w:rFonts w:ascii="Times New Roman" w:hAnsi="Times New Roman" w:cs="Times New Roman"/>
          <w:i/>
          <w:sz w:val="20"/>
          <w:szCs w:val="20"/>
        </w:rPr>
        <w:t>Law</w:t>
      </w:r>
      <w:proofErr w:type="gramEnd"/>
      <w:r w:rsidRPr="005162B1">
        <w:rPr>
          <w:rFonts w:ascii="Times New Roman" w:hAnsi="Times New Roman" w:cs="Times New Roman"/>
          <w:i/>
          <w:sz w:val="20"/>
          <w:szCs w:val="20"/>
        </w:rPr>
        <w:t xml:space="preserve"> and the Limits of Private Ordering</w:t>
      </w:r>
      <w:r w:rsidRPr="009975EA">
        <w:rPr>
          <w:rFonts w:ascii="Times New Roman" w:hAnsi="Times New Roman" w:cs="Times New Roman"/>
          <w:sz w:val="20"/>
          <w:szCs w:val="20"/>
        </w:rPr>
        <w:t>, 9</w:t>
      </w:r>
      <w:r>
        <w:rPr>
          <w:rFonts w:ascii="Times New Roman" w:hAnsi="Times New Roman" w:cs="Times New Roman"/>
          <w:sz w:val="20"/>
          <w:szCs w:val="20"/>
        </w:rPr>
        <w:t xml:space="preserve">3 Wash. U.L. Rev. 257 (2015) at </w:t>
      </w:r>
      <w:r w:rsidRPr="009975EA">
        <w:rPr>
          <w:rFonts w:ascii="Times New Roman" w:hAnsi="Times New Roman" w:cs="Times New Roman"/>
          <w:sz w:val="20"/>
          <w:szCs w:val="20"/>
        </w:rPr>
        <w:t>267)</w:t>
      </w:r>
    </w:p>
  </w:footnote>
  <w:footnote w:id="381">
    <w:p w14:paraId="115DBDF5" w14:textId="7744F9C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Benjamin Means, </w:t>
      </w:r>
      <w:r w:rsidRPr="005162B1">
        <w:rPr>
          <w:rFonts w:ascii="Times New Roman" w:hAnsi="Times New Roman" w:cs="Times New Roman"/>
          <w:i/>
          <w:sz w:val="20"/>
          <w:szCs w:val="20"/>
        </w:rPr>
        <w:t>The Vacuity of Wilkes</w:t>
      </w:r>
      <w:r w:rsidRPr="009975EA">
        <w:rPr>
          <w:rFonts w:ascii="Times New Roman" w:hAnsi="Times New Roman" w:cs="Times New Roman"/>
          <w:sz w:val="20"/>
          <w:szCs w:val="20"/>
        </w:rPr>
        <w:t>, 33 W.</w:t>
      </w:r>
      <w:r>
        <w:rPr>
          <w:rFonts w:ascii="Times New Roman" w:hAnsi="Times New Roman" w:cs="Times New Roman"/>
          <w:sz w:val="20"/>
          <w:szCs w:val="20"/>
        </w:rPr>
        <w:t xml:space="preserve"> New Eng. L. Rev. 433 (2011) at </w:t>
      </w:r>
      <w:r w:rsidRPr="009975EA">
        <w:rPr>
          <w:rFonts w:ascii="Times New Roman" w:hAnsi="Times New Roman" w:cs="Times New Roman"/>
          <w:sz w:val="20"/>
          <w:szCs w:val="20"/>
        </w:rPr>
        <w:t>464.</w:t>
      </w:r>
    </w:p>
  </w:footnote>
  <w:footnote w:id="382">
    <w:p w14:paraId="58612BB3"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Terry A. O’Neill, p. 691.</w:t>
      </w:r>
    </w:p>
  </w:footnote>
  <w:footnote w:id="383">
    <w:p w14:paraId="507CB44F"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Cheffins, p. 785.</w:t>
      </w:r>
    </w:p>
  </w:footnote>
  <w:footnote w:id="384">
    <w:p w14:paraId="5B1E1A88" w14:textId="43AAF89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Terry A. O’Neill, Self- Interest and Concern for Others in the Owner- Managed Firm: A Suggested Approach to Dissolution and Fiduciary Obligation in Close Corporations, 22 Seton Hall L. Rev. 646, p.659. </w:t>
      </w:r>
    </w:p>
  </w:footnote>
  <w:footnote w:id="385">
    <w:p w14:paraId="12708FBC" w14:textId="2857133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Benjamin Means, A Contractual Approach to Shareholder Oppression Law, 79 Fordham L. Rev. 1161 (2010), p.1187.</w:t>
      </w:r>
    </w:p>
  </w:footnote>
  <w:footnote w:id="386">
    <w:p w14:paraId="26C14408" w14:textId="10EF840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Means, A Contractual Approach, p. 1192- 1193.</w:t>
      </w:r>
    </w:p>
  </w:footnote>
  <w:footnote w:id="387">
    <w:p w14:paraId="2CECB976" w14:textId="28A7A7A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Terry A. O’Neill, Self- Interest and Concern for Others in the Owner- Managed Firm: A Suggested Approach to Dissolution and Fiduciary Obligation in Close Corporations, 22 Seton Hall L. Rev. 646, p.659.</w:t>
      </w:r>
    </w:p>
  </w:footnote>
  <w:footnote w:id="388">
    <w:p w14:paraId="271C31EB" w14:textId="4FA7C59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Means, A Contractual Approach, p. 1194.</w:t>
      </w:r>
    </w:p>
  </w:footnote>
  <w:footnote w:id="389">
    <w:p w14:paraId="2104E4BC" w14:textId="27A010F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view of the business entity as a “nexus of contracts” was conceptually born as a result of the avid acceptance </w:t>
      </w:r>
      <w:proofErr w:type="spellStart"/>
      <w:r w:rsidRPr="009975EA">
        <w:rPr>
          <w:rFonts w:ascii="Times New Roman" w:hAnsi="Times New Roman" w:cs="Times New Roman"/>
          <w:sz w:val="20"/>
          <w:szCs w:val="20"/>
        </w:rPr>
        <w:t>tht</w:t>
      </w:r>
      <w:proofErr w:type="spellEnd"/>
      <w:r w:rsidRPr="009975EA">
        <w:rPr>
          <w:rFonts w:ascii="Times New Roman" w:hAnsi="Times New Roman" w:cs="Times New Roman"/>
          <w:sz w:val="20"/>
          <w:szCs w:val="20"/>
        </w:rPr>
        <w:t xml:space="preserve"> the law and economics theory found within business law.” (Mary- Hunter Morris, </w:t>
      </w:r>
      <w:proofErr w:type="gramStart"/>
      <w:r w:rsidRPr="003746F1">
        <w:rPr>
          <w:rFonts w:ascii="Times New Roman" w:hAnsi="Times New Roman" w:cs="Times New Roman"/>
          <w:i/>
          <w:sz w:val="20"/>
          <w:szCs w:val="20"/>
        </w:rPr>
        <w:t>Only</w:t>
      </w:r>
      <w:proofErr w:type="gramEnd"/>
      <w:r w:rsidRPr="003746F1">
        <w:rPr>
          <w:rFonts w:ascii="Times New Roman" w:hAnsi="Times New Roman" w:cs="Times New Roman"/>
          <w:i/>
          <w:sz w:val="20"/>
          <w:szCs w:val="20"/>
        </w:rPr>
        <w:t xml:space="preserve"> “The </w:t>
      </w:r>
      <w:proofErr w:type="spellStart"/>
      <w:r w:rsidRPr="003746F1">
        <w:rPr>
          <w:rFonts w:ascii="Times New Roman" w:hAnsi="Times New Roman" w:cs="Times New Roman"/>
          <w:i/>
          <w:sz w:val="20"/>
          <w:szCs w:val="20"/>
        </w:rPr>
        <w:t>Punctilo</w:t>
      </w:r>
      <w:proofErr w:type="spellEnd"/>
      <w:r w:rsidRPr="003746F1">
        <w:rPr>
          <w:rFonts w:ascii="Times New Roman" w:hAnsi="Times New Roman" w:cs="Times New Roman"/>
          <w:i/>
          <w:sz w:val="20"/>
          <w:szCs w:val="20"/>
        </w:rPr>
        <w:t xml:space="preserve">” If I Say So: How </w:t>
      </w:r>
      <w:proofErr w:type="spellStart"/>
      <w:r w:rsidRPr="003746F1">
        <w:rPr>
          <w:rFonts w:ascii="Times New Roman" w:hAnsi="Times New Roman" w:cs="Times New Roman"/>
          <w:i/>
          <w:sz w:val="20"/>
          <w:szCs w:val="20"/>
        </w:rPr>
        <w:t>Contactual</w:t>
      </w:r>
      <w:proofErr w:type="spellEnd"/>
      <w:r w:rsidRPr="003746F1">
        <w:rPr>
          <w:rFonts w:ascii="Times New Roman" w:hAnsi="Times New Roman" w:cs="Times New Roman"/>
          <w:i/>
          <w:sz w:val="20"/>
          <w:szCs w:val="20"/>
        </w:rPr>
        <w:t xml:space="preserve"> Limitations on Fiduciary Duties Deny Protection to Victims of Oppressive Freeze- outs Within Private Business Entities</w:t>
      </w:r>
      <w:r w:rsidRPr="009975EA">
        <w:rPr>
          <w:rFonts w:ascii="Times New Roman" w:hAnsi="Times New Roman" w:cs="Times New Roman"/>
          <w:sz w:val="20"/>
          <w:szCs w:val="20"/>
        </w:rPr>
        <w:t>,</w:t>
      </w:r>
      <w:r>
        <w:rPr>
          <w:rFonts w:ascii="Times New Roman" w:hAnsi="Times New Roman" w:cs="Times New Roman"/>
          <w:sz w:val="20"/>
          <w:szCs w:val="20"/>
        </w:rPr>
        <w:t xml:space="preserve"> 10 </w:t>
      </w:r>
      <w:proofErr w:type="spellStart"/>
      <w:r>
        <w:rPr>
          <w:rFonts w:ascii="Times New Roman" w:hAnsi="Times New Roman" w:cs="Times New Roman"/>
          <w:sz w:val="20"/>
          <w:szCs w:val="20"/>
        </w:rPr>
        <w:t>Duq</w:t>
      </w:r>
      <w:proofErr w:type="spellEnd"/>
      <w:r>
        <w:rPr>
          <w:rFonts w:ascii="Times New Roman" w:hAnsi="Times New Roman" w:cs="Times New Roman"/>
          <w:sz w:val="20"/>
          <w:szCs w:val="20"/>
        </w:rPr>
        <w:t xml:space="preserve">. Bus. L.J. 73 (2008), at </w:t>
      </w:r>
      <w:r w:rsidRPr="009975EA">
        <w:rPr>
          <w:rFonts w:ascii="Times New Roman" w:hAnsi="Times New Roman" w:cs="Times New Roman"/>
          <w:sz w:val="20"/>
          <w:szCs w:val="20"/>
        </w:rPr>
        <w:t>77)</w:t>
      </w:r>
    </w:p>
  </w:footnote>
  <w:footnote w:id="390">
    <w:p w14:paraId="1093A67B" w14:textId="74139760" w:rsidR="00D36541" w:rsidRPr="009975EA" w:rsidRDefault="00D36541" w:rsidP="003746F1">
      <w:pPr>
        <w:pStyle w:val="DipnotMetni"/>
        <w:tabs>
          <w:tab w:val="center" w:pos="4703"/>
          <w:tab w:val="left" w:pos="5342"/>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Cheffins, p. 792- 793.</w:t>
      </w:r>
      <w:r w:rsidRPr="009975EA">
        <w:rPr>
          <w:rFonts w:ascii="Times New Roman" w:hAnsi="Times New Roman" w:cs="Times New Roman"/>
          <w:sz w:val="20"/>
          <w:szCs w:val="20"/>
        </w:rPr>
        <w:tab/>
      </w:r>
      <w:r>
        <w:rPr>
          <w:rFonts w:ascii="Times New Roman" w:hAnsi="Times New Roman" w:cs="Times New Roman"/>
          <w:sz w:val="20"/>
          <w:szCs w:val="20"/>
        </w:rPr>
        <w:tab/>
      </w:r>
    </w:p>
  </w:footnote>
  <w:footnote w:id="391">
    <w:p w14:paraId="17114395" w14:textId="303759F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precise content of the parties’ declarations and of the contract, respectively, is to be determined according to the rules of interpretation. These rules primarily refer to the parties’ actual will…as it is recognizably, </w:t>
      </w:r>
      <w:proofErr w:type="spellStart"/>
      <w:r w:rsidRPr="009975EA">
        <w:rPr>
          <w:rFonts w:ascii="Times New Roman" w:hAnsi="Times New Roman" w:cs="Times New Roman"/>
          <w:sz w:val="20"/>
          <w:szCs w:val="20"/>
        </w:rPr>
        <w:t>expliticlty</w:t>
      </w:r>
      <w:proofErr w:type="spellEnd"/>
      <w:r w:rsidRPr="009975EA">
        <w:rPr>
          <w:rFonts w:ascii="Times New Roman" w:hAnsi="Times New Roman" w:cs="Times New Roman"/>
          <w:sz w:val="20"/>
          <w:szCs w:val="20"/>
        </w:rPr>
        <w:t xml:space="preserve"> or implicitly, expressed in the declarations. If an actual and mutual will of parties concerning a certain issue cannot be derived from the contract, the gap in the contract may be filled by reconstructing the hypothetical will of the parties by </w:t>
      </w:r>
      <w:proofErr w:type="spellStart"/>
      <w:r w:rsidRPr="009975EA">
        <w:rPr>
          <w:rFonts w:ascii="Times New Roman" w:hAnsi="Times New Roman" w:cs="Times New Roman"/>
          <w:sz w:val="20"/>
          <w:szCs w:val="20"/>
        </w:rPr>
        <w:t>complemantary</w:t>
      </w:r>
      <w:proofErr w:type="spellEnd"/>
      <w:r w:rsidRPr="009975EA">
        <w:rPr>
          <w:rFonts w:ascii="Times New Roman" w:hAnsi="Times New Roman" w:cs="Times New Roman"/>
          <w:sz w:val="20"/>
          <w:szCs w:val="20"/>
        </w:rPr>
        <w:t xml:space="preserve"> interpretation…This is a method by which the solution to a certain question is extrapolated from the parties’ will </w:t>
      </w:r>
      <w:proofErr w:type="spellStart"/>
      <w:r w:rsidRPr="009975EA">
        <w:rPr>
          <w:rFonts w:ascii="Times New Roman" w:hAnsi="Times New Roman" w:cs="Times New Roman"/>
          <w:sz w:val="20"/>
          <w:szCs w:val="20"/>
        </w:rPr>
        <w:t>concercing</w:t>
      </w:r>
      <w:proofErr w:type="spellEnd"/>
      <w:r w:rsidRPr="009975EA">
        <w:rPr>
          <w:rFonts w:ascii="Times New Roman" w:hAnsi="Times New Roman" w:cs="Times New Roman"/>
          <w:sz w:val="20"/>
          <w:szCs w:val="20"/>
        </w:rPr>
        <w:t xml:space="preserve"> other matters. This concept allows the courts to sustain the contract while flexib</w:t>
      </w:r>
      <w:r>
        <w:rPr>
          <w:rFonts w:ascii="Times New Roman" w:hAnsi="Times New Roman" w:cs="Times New Roman"/>
          <w:sz w:val="20"/>
          <w:szCs w:val="20"/>
        </w:rPr>
        <w:t xml:space="preserve">ly adapting it…” (Ewoud </w:t>
      </w:r>
      <w:proofErr w:type="spellStart"/>
      <w:r>
        <w:rPr>
          <w:rFonts w:ascii="Times New Roman" w:hAnsi="Times New Roman" w:cs="Times New Roman"/>
          <w:sz w:val="20"/>
          <w:szCs w:val="20"/>
        </w:rPr>
        <w:t>Hondius</w:t>
      </w:r>
      <w:proofErr w:type="spellEnd"/>
      <w:r>
        <w:rPr>
          <w:rFonts w:ascii="Times New Roman" w:hAnsi="Times New Roman" w:cs="Times New Roman"/>
          <w:sz w:val="20"/>
          <w:szCs w:val="20"/>
        </w:rPr>
        <w:t xml:space="preserve">, </w:t>
      </w:r>
      <w:r w:rsidRPr="009975EA">
        <w:rPr>
          <w:rFonts w:ascii="Times New Roman" w:hAnsi="Times New Roman" w:cs="Times New Roman"/>
          <w:sz w:val="20"/>
          <w:szCs w:val="20"/>
        </w:rPr>
        <w:t xml:space="preserve">Hans Christoph </w:t>
      </w:r>
      <w:proofErr w:type="spellStart"/>
      <w:r w:rsidRPr="009975EA">
        <w:rPr>
          <w:rFonts w:ascii="Times New Roman" w:hAnsi="Times New Roman" w:cs="Times New Roman"/>
          <w:sz w:val="20"/>
          <w:szCs w:val="20"/>
        </w:rPr>
        <w:t>Grigoleit</w:t>
      </w:r>
      <w:proofErr w:type="spellEnd"/>
      <w:r w:rsidRPr="009975EA">
        <w:rPr>
          <w:rFonts w:ascii="Times New Roman" w:hAnsi="Times New Roman" w:cs="Times New Roman"/>
          <w:sz w:val="20"/>
          <w:szCs w:val="20"/>
        </w:rPr>
        <w:t xml:space="preserve">, </w:t>
      </w:r>
      <w:r w:rsidRPr="003746F1">
        <w:rPr>
          <w:rFonts w:ascii="Times New Roman" w:hAnsi="Times New Roman" w:cs="Times New Roman"/>
          <w:i/>
          <w:sz w:val="20"/>
          <w:szCs w:val="20"/>
        </w:rPr>
        <w:t>Unexpected Circumstances in European Contract Law</w:t>
      </w:r>
      <w:r>
        <w:rPr>
          <w:rFonts w:ascii="Times New Roman" w:hAnsi="Times New Roman" w:cs="Times New Roman"/>
          <w:sz w:val="20"/>
          <w:szCs w:val="20"/>
        </w:rPr>
        <w:t xml:space="preserve"> 60 (</w:t>
      </w:r>
      <w:r w:rsidRPr="009975EA">
        <w:rPr>
          <w:rFonts w:ascii="Times New Roman" w:hAnsi="Times New Roman" w:cs="Times New Roman"/>
          <w:sz w:val="20"/>
          <w:szCs w:val="20"/>
        </w:rPr>
        <w:t>2011</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392">
    <w:p w14:paraId="4076EA6F" w14:textId="0C09F8C1" w:rsidR="00D36541" w:rsidRPr="009975EA" w:rsidRDefault="00D36541" w:rsidP="003746F1">
      <w:pPr>
        <w:pStyle w:val="DipnotMetni"/>
        <w:tabs>
          <w:tab w:val="left" w:pos="8424"/>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Application of Topper, 433 N.Y.S.2d 359 (1980).</w:t>
      </w:r>
      <w:r>
        <w:rPr>
          <w:rFonts w:ascii="Times New Roman" w:hAnsi="Times New Roman" w:cs="Times New Roman"/>
          <w:sz w:val="20"/>
          <w:szCs w:val="20"/>
        </w:rPr>
        <w:tab/>
      </w:r>
    </w:p>
  </w:footnote>
  <w:footnote w:id="393">
    <w:p w14:paraId="34A3CDD2" w14:textId="37C2FACC"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create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oblige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party</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whim</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personal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served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conversion</w:t>
      </w:r>
      <w:proofErr w:type="spellEnd"/>
      <w:r w:rsidRPr="009975EA">
        <w:rPr>
          <w:rFonts w:ascii="Times New Roman" w:hAnsi="Times New Roman" w:cs="Times New Roman"/>
          <w:color w:val="000000"/>
          <w:sz w:val="20"/>
          <w:szCs w:val="20"/>
        </w:rPr>
        <w:t xml:space="preserve"> of an </w:t>
      </w:r>
      <w:proofErr w:type="spellStart"/>
      <w:r w:rsidRPr="009975EA">
        <w:rPr>
          <w:rFonts w:ascii="Times New Roman" w:hAnsi="Times New Roman" w:cs="Times New Roman"/>
          <w:color w:val="000000"/>
          <w:sz w:val="20"/>
          <w:szCs w:val="20"/>
        </w:rPr>
        <w:t>expectancy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right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permit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rewriting</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limitation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except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what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insured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logic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justification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enlarge</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insurance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policy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match</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insured's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permit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rewriting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basis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Progressive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w:t>
      </w:r>
      <w:proofErr w:type="spellEnd"/>
      <w:r w:rsidRPr="009975EA">
        <w:rPr>
          <w:rFonts w:ascii="Times New Roman" w:hAnsi="Times New Roman" w:cs="Times New Roman"/>
          <w:color w:val="000000"/>
          <w:sz w:val="20"/>
          <w:szCs w:val="20"/>
        </w:rPr>
        <w:t xml:space="preserve">. V. </w:t>
      </w:r>
      <w:proofErr w:type="spellStart"/>
      <w:r w:rsidRPr="009975EA">
        <w:rPr>
          <w:rFonts w:ascii="Times New Roman" w:hAnsi="Times New Roman" w:cs="Times New Roman"/>
          <w:color w:val="000000"/>
          <w:sz w:val="20"/>
          <w:szCs w:val="20"/>
        </w:rPr>
        <w:t>Marnel</w:t>
      </w:r>
      <w:proofErr w:type="spellEnd"/>
      <w:r w:rsidRPr="009975EA">
        <w:rPr>
          <w:rFonts w:ascii="Times New Roman" w:hAnsi="Times New Roman" w:cs="Times New Roman"/>
          <w:color w:val="000000"/>
          <w:sz w:val="20"/>
          <w:szCs w:val="20"/>
        </w:rPr>
        <w:t xml:space="preserve">, 587 F. </w:t>
      </w:r>
      <w:proofErr w:type="spellStart"/>
      <w:r w:rsidRPr="009975EA">
        <w:rPr>
          <w:rFonts w:ascii="Times New Roman" w:hAnsi="Times New Roman" w:cs="Times New Roman"/>
          <w:color w:val="000000"/>
          <w:sz w:val="20"/>
          <w:szCs w:val="20"/>
        </w:rPr>
        <w:t>Supp</w:t>
      </w:r>
      <w:proofErr w:type="spellEnd"/>
      <w:r w:rsidRPr="009975EA">
        <w:rPr>
          <w:rFonts w:ascii="Times New Roman" w:hAnsi="Times New Roman" w:cs="Times New Roman"/>
          <w:color w:val="000000"/>
          <w:sz w:val="20"/>
          <w:szCs w:val="20"/>
        </w:rPr>
        <w:t>. 622 (1983)</w:t>
      </w:r>
      <w:r w:rsidRPr="009975EA">
        <w:rPr>
          <w:rFonts w:ascii="Times New Roman" w:hAnsi="Times New Roman" w:cs="Times New Roman"/>
          <w:sz w:val="20"/>
          <w:szCs w:val="20"/>
        </w:rPr>
        <w:t>)</w:t>
      </w:r>
    </w:p>
  </w:footnote>
  <w:footnote w:id="394">
    <w:p w14:paraId="003FFE2C" w14:textId="2151130C"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notion</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underlined</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context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insurance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a U.S. federal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follows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likely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resort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a Connecticut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significantly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acknowledged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view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i/>
          <w:iCs/>
          <w:color w:val="000000"/>
          <w:sz w:val="20"/>
          <w:szCs w:val="20"/>
        </w:rPr>
        <w:t>Insurance</w:t>
      </w:r>
      <w:proofErr w:type="spellEnd"/>
      <w:r w:rsidRPr="009975EA">
        <w:rPr>
          <w:rFonts w:ascii="Times New Roman" w:hAnsi="Times New Roman" w:cs="Times New Roman"/>
          <w:i/>
          <w:iCs/>
          <w:color w:val="000000"/>
          <w:sz w:val="20"/>
          <w:szCs w:val="20"/>
        </w:rPr>
        <w:t xml:space="preserve"> </w:t>
      </w:r>
      <w:proofErr w:type="spellStart"/>
      <w:r w:rsidRPr="009975EA">
        <w:rPr>
          <w:rFonts w:ascii="Times New Roman" w:hAnsi="Times New Roman" w:cs="Times New Roman"/>
          <w:i/>
          <w:iCs/>
          <w:color w:val="000000"/>
          <w:sz w:val="20"/>
          <w:szCs w:val="20"/>
        </w:rPr>
        <w:t>Law</w:t>
      </w:r>
      <w:proofErr w:type="spellEnd"/>
      <w:r w:rsidRPr="009975EA">
        <w:rPr>
          <w:rFonts w:ascii="Times New Roman" w:hAnsi="Times New Roman" w:cs="Times New Roman"/>
          <w:i/>
          <w:iCs/>
          <w:color w:val="000000"/>
          <w:sz w:val="20"/>
          <w:szCs w:val="20"/>
        </w:rPr>
        <w:t xml:space="preserve">, </w:t>
      </w:r>
      <w:proofErr w:type="spellStart"/>
      <w:r w:rsidRPr="009975EA">
        <w:rPr>
          <w:rFonts w:ascii="Times New Roman" w:hAnsi="Times New Roman" w:cs="Times New Roman"/>
          <w:i/>
          <w:iCs/>
          <w:color w:val="000000"/>
          <w:sz w:val="20"/>
          <w:szCs w:val="20"/>
        </w:rPr>
        <w:t>supra</w:t>
      </w:r>
      <w:proofErr w:type="spellEnd"/>
      <w:r w:rsidRPr="009975EA">
        <w:rPr>
          <w:rFonts w:ascii="Times New Roman" w:hAnsi="Times New Roman" w:cs="Times New Roman"/>
          <w:i/>
          <w:iCs/>
          <w:color w:val="000000"/>
          <w:sz w:val="20"/>
          <w:szCs w:val="20"/>
        </w:rPr>
        <w:t xml:space="preserve"> </w:t>
      </w:r>
      <w:r w:rsidRPr="009975EA">
        <w:rPr>
          <w:rFonts w:ascii="Times New Roman" w:hAnsi="Times New Roman" w:cs="Times New Roman"/>
          <w:color w:val="000000"/>
          <w:sz w:val="20"/>
          <w:szCs w:val="20"/>
        </w:rPr>
        <w:t xml:space="preserve">at 351,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be as an </w:t>
      </w:r>
      <w:proofErr w:type="spellStart"/>
      <w:r w:rsidRPr="009975EA">
        <w:rPr>
          <w:rFonts w:ascii="Times New Roman" w:hAnsi="Times New Roman" w:cs="Times New Roman"/>
          <w:color w:val="000000"/>
          <w:sz w:val="20"/>
          <w:szCs w:val="20"/>
        </w:rPr>
        <w:t>interpretative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tool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language</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policy</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ambiguous</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logic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used</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construction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tool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ambiguity</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policy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language</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Progressive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w:t>
      </w:r>
      <w:proofErr w:type="spellEnd"/>
      <w:r w:rsidRPr="009975EA">
        <w:rPr>
          <w:rFonts w:ascii="Times New Roman" w:hAnsi="Times New Roman" w:cs="Times New Roman"/>
          <w:color w:val="000000"/>
          <w:sz w:val="20"/>
          <w:szCs w:val="20"/>
        </w:rPr>
        <w:t xml:space="preserve">. V. </w:t>
      </w:r>
      <w:proofErr w:type="spellStart"/>
      <w:r w:rsidRPr="009975EA">
        <w:rPr>
          <w:rFonts w:ascii="Times New Roman" w:hAnsi="Times New Roman" w:cs="Times New Roman"/>
          <w:color w:val="000000"/>
          <w:sz w:val="20"/>
          <w:szCs w:val="20"/>
        </w:rPr>
        <w:t>Marnel</w:t>
      </w:r>
      <w:proofErr w:type="spellEnd"/>
      <w:r w:rsidRPr="009975EA">
        <w:rPr>
          <w:rFonts w:ascii="Times New Roman" w:hAnsi="Times New Roman" w:cs="Times New Roman"/>
          <w:color w:val="000000"/>
          <w:sz w:val="20"/>
          <w:szCs w:val="20"/>
        </w:rPr>
        <w:t xml:space="preserve">, 587 F. </w:t>
      </w:r>
      <w:proofErr w:type="spellStart"/>
      <w:r w:rsidRPr="009975EA">
        <w:rPr>
          <w:rFonts w:ascii="Times New Roman" w:hAnsi="Times New Roman" w:cs="Times New Roman"/>
          <w:color w:val="000000"/>
          <w:sz w:val="20"/>
          <w:szCs w:val="20"/>
        </w:rPr>
        <w:t>Supp</w:t>
      </w:r>
      <w:proofErr w:type="spellEnd"/>
      <w:r w:rsidRPr="009975EA">
        <w:rPr>
          <w:rFonts w:ascii="Times New Roman" w:hAnsi="Times New Roman" w:cs="Times New Roman"/>
          <w:color w:val="000000"/>
          <w:sz w:val="20"/>
          <w:szCs w:val="20"/>
        </w:rPr>
        <w:t xml:space="preserve">. 622 (1983))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Ware</w:t>
      </w:r>
      <w:proofErr w:type="spellEnd"/>
      <w:r w:rsidRPr="009975EA">
        <w:rPr>
          <w:rFonts w:ascii="Times New Roman" w:hAnsi="Times New Roman" w:cs="Times New Roman"/>
          <w:sz w:val="20"/>
          <w:szCs w:val="20"/>
        </w:rPr>
        <w:t xml:space="preserve"> (p.1461): “</w:t>
      </w:r>
      <w:proofErr w:type="spellStart"/>
      <w:r w:rsidRPr="009975EA">
        <w:rPr>
          <w:rFonts w:ascii="Times New Roman" w:hAnsi="Times New Roman" w:cs="Times New Roman"/>
          <w:color w:val="000000"/>
          <w:sz w:val="20"/>
          <w:szCs w:val="20"/>
        </w:rPr>
        <w:t>Traditionally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interpreting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written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focused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primarily</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language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Consideration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factors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beyond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four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corners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document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discouraged</w:t>
      </w:r>
      <w:proofErr w:type="spellEnd"/>
      <w:r w:rsidRPr="009975EA">
        <w:rPr>
          <w:rFonts w:ascii="Times New Roman" w:hAnsi="Times New Roman" w:cs="Times New Roman"/>
          <w:color w:val="000000"/>
          <w:sz w:val="20"/>
          <w:szCs w:val="20"/>
        </w:rPr>
        <w:t xml:space="preserve">. Modern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construing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standard</w:t>
      </w:r>
      <w:proofErr w:type="spellEnd"/>
      <w:r w:rsidRPr="009975EA">
        <w:rPr>
          <w:rFonts w:ascii="Times New Roman" w:hAnsi="Times New Roman" w:cs="Times New Roman"/>
          <w:color w:val="000000"/>
          <w:sz w:val="20"/>
          <w:szCs w:val="20"/>
        </w:rPr>
        <w:t xml:space="preserve"> form </w:t>
      </w:r>
      <w:proofErr w:type="spellStart"/>
      <w:r w:rsidRPr="009975EA">
        <w:rPr>
          <w:rFonts w:ascii="Times New Roman" w:hAnsi="Times New Roman" w:cs="Times New Roman"/>
          <w:color w:val="000000"/>
          <w:sz w:val="20"/>
          <w:szCs w:val="20"/>
        </w:rPr>
        <w:t>insurance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deviated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begun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aiding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insured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against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insurer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methods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tilt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insurance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disputes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favor</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insured</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doctrine</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395">
    <w:p w14:paraId="5136D7A6" w14:textId="42D8D98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Elliott Associates, L.P. v. </w:t>
      </w:r>
      <w:proofErr w:type="spellStart"/>
      <w:r w:rsidRPr="009975EA">
        <w:rPr>
          <w:rFonts w:ascii="Times New Roman" w:hAnsi="Times New Roman" w:cs="Times New Roman"/>
          <w:sz w:val="20"/>
          <w:szCs w:val="20"/>
        </w:rPr>
        <w:t>Avatex</w:t>
      </w:r>
      <w:proofErr w:type="spellEnd"/>
      <w:r w:rsidRPr="009975EA">
        <w:rPr>
          <w:rFonts w:ascii="Times New Roman" w:hAnsi="Times New Roman" w:cs="Times New Roman"/>
          <w:sz w:val="20"/>
          <w:szCs w:val="20"/>
        </w:rPr>
        <w:t xml:space="preserve"> Corp. 715 A.2d 843 (1998), the Delaware court held that rights distinguishing a preferred stock from common stock must be expressly and clearly stated in the articles of incorporation, and these rights will not be presumed or implied by the court, because the statute requires their explicit expression in the articles of incorporation. In this sense, while the integration clauses in contracts does not </w:t>
      </w:r>
      <w:proofErr w:type="spellStart"/>
      <w:r w:rsidRPr="009975EA">
        <w:rPr>
          <w:rFonts w:ascii="Times New Roman" w:hAnsi="Times New Roman" w:cs="Times New Roman"/>
          <w:sz w:val="20"/>
          <w:szCs w:val="20"/>
        </w:rPr>
        <w:t>effect</w:t>
      </w:r>
      <w:proofErr w:type="spellEnd"/>
      <w:r w:rsidRPr="009975EA">
        <w:rPr>
          <w:rFonts w:ascii="Times New Roman" w:hAnsi="Times New Roman" w:cs="Times New Roman"/>
          <w:sz w:val="20"/>
          <w:szCs w:val="20"/>
        </w:rPr>
        <w:t xml:space="preserve"> the court’s authority to imply or presume terms or interpret them accordingly when there is ambiguity (Eagle Industries, Inc. v. </w:t>
      </w:r>
      <w:proofErr w:type="spellStart"/>
      <w:r w:rsidRPr="009975EA">
        <w:rPr>
          <w:rFonts w:ascii="Times New Roman" w:hAnsi="Times New Roman" w:cs="Times New Roman"/>
          <w:sz w:val="20"/>
          <w:szCs w:val="20"/>
        </w:rPr>
        <w:t>DevVilbiss</w:t>
      </w:r>
      <w:proofErr w:type="spellEnd"/>
      <w:r w:rsidRPr="009975EA">
        <w:rPr>
          <w:rFonts w:ascii="Times New Roman" w:hAnsi="Times New Roman" w:cs="Times New Roman"/>
          <w:sz w:val="20"/>
          <w:szCs w:val="20"/>
        </w:rPr>
        <w:t xml:space="preserve"> Health Care, Inc., 702 A.2d 1228 (1997)), the Elliot Associates, L.P. v. </w:t>
      </w:r>
      <w:proofErr w:type="spellStart"/>
      <w:r w:rsidRPr="009975EA">
        <w:rPr>
          <w:rFonts w:ascii="Times New Roman" w:hAnsi="Times New Roman" w:cs="Times New Roman"/>
          <w:sz w:val="20"/>
          <w:szCs w:val="20"/>
        </w:rPr>
        <w:t>Avatex</w:t>
      </w:r>
      <w:proofErr w:type="spellEnd"/>
      <w:r w:rsidRPr="009975EA">
        <w:rPr>
          <w:rFonts w:ascii="Times New Roman" w:hAnsi="Times New Roman" w:cs="Times New Roman"/>
          <w:sz w:val="20"/>
          <w:szCs w:val="20"/>
        </w:rPr>
        <w:t xml:space="preserve"> Corp. decision shows that a statutory integration clause (i.e. requirement of express statement in articles) limits the courts’ authority to apply the same power of construction.</w:t>
      </w:r>
    </w:p>
  </w:footnote>
  <w:footnote w:id="396">
    <w:p w14:paraId="14006A46" w14:textId="702D41C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Mahoney, p.193.</w:t>
      </w:r>
    </w:p>
  </w:footnote>
  <w:footnote w:id="397">
    <w:p w14:paraId="5A0A49B4" w14:textId="63E23B7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Note that while the oppression issue is in most instances theoretically based on a contractual gap (</w:t>
      </w:r>
      <w:proofErr w:type="gramStart"/>
      <w:r w:rsidRPr="009975EA">
        <w:rPr>
          <w:rFonts w:ascii="Times New Roman" w:hAnsi="Times New Roman" w:cs="Times New Roman"/>
          <w:sz w:val="20"/>
          <w:szCs w:val="20"/>
        </w:rPr>
        <w:t>i.e.</w:t>
      </w:r>
      <w:proofErr w:type="gramEnd"/>
      <w:r w:rsidRPr="009975EA">
        <w:rPr>
          <w:rFonts w:ascii="Times New Roman" w:hAnsi="Times New Roman" w:cs="Times New Roman"/>
          <w:sz w:val="20"/>
          <w:szCs w:val="20"/>
        </w:rPr>
        <w:t xml:space="preserve"> silence), rather than an ambiguity, there may be circumstances that ambiguity can also be a reason, for example when a shareholders’ agreement is used together with the articles of incorporation to carve out shareholders’ rights.</w:t>
      </w:r>
    </w:p>
  </w:footnote>
  <w:footnote w:id="398">
    <w:p w14:paraId="78CAD76E" w14:textId="47BF41FA"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SI Management L.P. v. </w:t>
      </w:r>
      <w:proofErr w:type="spellStart"/>
      <w:r w:rsidRPr="009975EA">
        <w:rPr>
          <w:rFonts w:ascii="Times New Roman" w:hAnsi="Times New Roman" w:cs="Times New Roman"/>
          <w:sz w:val="20"/>
          <w:szCs w:val="20"/>
        </w:rPr>
        <w:t>Wininger</w:t>
      </w:r>
      <w:proofErr w:type="spellEnd"/>
      <w:r w:rsidRPr="009975EA">
        <w:rPr>
          <w:rFonts w:ascii="Times New Roman" w:hAnsi="Times New Roman" w:cs="Times New Roman"/>
          <w:sz w:val="20"/>
          <w:szCs w:val="20"/>
        </w:rPr>
        <w:t>, 707 A.2d 37 (1998): “</w:t>
      </w:r>
      <w:r w:rsidRPr="009975EA">
        <w:rPr>
          <w:rFonts w:ascii="Times New Roman" w:hAnsi="Times New Roman" w:cs="Times New Roman"/>
          <w:color w:val="000000"/>
          <w:sz w:val="20"/>
          <w:szCs w:val="20"/>
        </w:rPr>
        <w:t xml:space="preserve">A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considering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extrinsic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evidence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assumes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connection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between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contracting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revealed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evidence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articulated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Therefore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unless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extrinsic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evidence</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speak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provides</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incomplete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guide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interpret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contractual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language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it is </w:t>
      </w:r>
      <w:proofErr w:type="spellStart"/>
      <w:r w:rsidRPr="009975EA">
        <w:rPr>
          <w:rFonts w:ascii="Times New Roman" w:hAnsi="Times New Roman" w:cs="Times New Roman"/>
          <w:color w:val="000000"/>
          <w:sz w:val="20"/>
          <w:szCs w:val="20"/>
        </w:rPr>
        <w:t>proper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consider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extrinsic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evidence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bilateral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negotiations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is an </w:t>
      </w:r>
      <w:proofErr w:type="spellStart"/>
      <w:r w:rsidRPr="009975EA">
        <w:rPr>
          <w:rFonts w:ascii="Times New Roman" w:hAnsi="Times New Roman" w:cs="Times New Roman"/>
          <w:color w:val="000000"/>
          <w:sz w:val="20"/>
          <w:szCs w:val="20"/>
        </w:rPr>
        <w:t>ambiguous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product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negotiations</w:t>
      </w:r>
      <w:proofErr w:type="spellEnd"/>
      <w:r w:rsidRPr="009975EA">
        <w:rPr>
          <w:rFonts w:ascii="Times New Roman" w:hAnsi="Times New Roman" w:cs="Times New Roman"/>
          <w:color w:val="000000"/>
          <w:sz w:val="20"/>
          <w:szCs w:val="20"/>
        </w:rPr>
        <w:t xml:space="preserve">, as in </w:t>
      </w:r>
      <w:proofErr w:type="spellStart"/>
      <w:r w:rsidRPr="009975EA">
        <w:rPr>
          <w:rFonts w:ascii="Times New Roman" w:hAnsi="Times New Roman" w:cs="Times New Roman"/>
          <w:color w:val="000000"/>
          <w:sz w:val="20"/>
          <w:szCs w:val="20"/>
        </w:rPr>
        <w:t>Eagle</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399">
    <w:p w14:paraId="17ECB670" w14:textId="77777777" w:rsidR="00732873" w:rsidRPr="009975EA" w:rsidRDefault="00732873" w:rsidP="00732873">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Arguments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deflect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remedies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grounds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worth</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investment</w:t>
      </w:r>
      <w:proofErr w:type="spellEnd"/>
      <w:r w:rsidRPr="009975EA">
        <w:rPr>
          <w:rFonts w:ascii="Times New Roman" w:hAnsi="Times New Roman" w:cs="Times New Roman"/>
          <w:color w:val="000000"/>
          <w:sz w:val="20"/>
          <w:szCs w:val="20"/>
        </w:rPr>
        <w:t xml:space="preserve"> has not </w:t>
      </w:r>
      <w:proofErr w:type="spellStart"/>
      <w:r w:rsidRPr="009975EA">
        <w:rPr>
          <w:rFonts w:ascii="Times New Roman" w:hAnsi="Times New Roman" w:cs="Times New Roman"/>
          <w:color w:val="000000"/>
          <w:sz w:val="20"/>
          <w:szCs w:val="20"/>
        </w:rPr>
        <w:t>diminished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even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increased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countered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r w:rsidRPr="009975EA">
        <w:rPr>
          <w:rFonts w:ascii="Times New Roman" w:hAnsi="Times New Roman" w:cs="Times New Roman"/>
          <w:color w:val="0000FF"/>
          <w:sz w:val="20"/>
          <w:szCs w:val="20"/>
        </w:rPr>
        <w:t>BCL 1111</w:t>
      </w:r>
      <w:r w:rsidRPr="009975EA">
        <w:rPr>
          <w:rFonts w:ascii="Times New Roman" w:hAnsi="Times New Roman" w:cs="Times New Roman"/>
          <w:color w:val="000000"/>
          <w:sz w:val="20"/>
          <w:szCs w:val="20"/>
        </w:rPr>
        <w:t xml:space="preserve">(b)(3)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specifically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is not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denied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merely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could</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conducted</w:t>
      </w:r>
      <w:proofErr w:type="spellEnd"/>
      <w:r w:rsidRPr="009975EA">
        <w:rPr>
          <w:rFonts w:ascii="Times New Roman" w:hAnsi="Times New Roman" w:cs="Times New Roman"/>
          <w:color w:val="000000"/>
          <w:sz w:val="20"/>
          <w:szCs w:val="20"/>
        </w:rPr>
        <w:t xml:space="preserve"> at a </w:t>
      </w:r>
      <w:proofErr w:type="spellStart"/>
      <w:r w:rsidRPr="009975EA">
        <w:rPr>
          <w:rFonts w:ascii="Times New Roman" w:hAnsi="Times New Roman" w:cs="Times New Roman"/>
          <w:color w:val="000000"/>
          <w:sz w:val="20"/>
          <w:szCs w:val="20"/>
        </w:rPr>
        <w:t>profit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Court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determine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understanding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role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complaining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expected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evidence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submitted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Court can </w:t>
      </w:r>
      <w:proofErr w:type="spellStart"/>
      <w:r w:rsidRPr="009975EA">
        <w:rPr>
          <w:rFonts w:ascii="Times New Roman" w:hAnsi="Times New Roman" w:cs="Times New Roman"/>
          <w:color w:val="000000"/>
          <w:sz w:val="20"/>
          <w:szCs w:val="20"/>
        </w:rPr>
        <w:t>then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understanding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language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statute</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guilty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oppressive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toward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complaining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(Application of </w:t>
      </w:r>
      <w:proofErr w:type="spellStart"/>
      <w:r w:rsidRPr="009975EA">
        <w:rPr>
          <w:rFonts w:ascii="Times New Roman" w:hAnsi="Times New Roman" w:cs="Times New Roman"/>
          <w:color w:val="000000"/>
          <w:sz w:val="20"/>
          <w:szCs w:val="20"/>
        </w:rPr>
        <w:t>Topper</w:t>
      </w:r>
      <w:proofErr w:type="spellEnd"/>
      <w:r w:rsidRPr="009975EA">
        <w:rPr>
          <w:rFonts w:ascii="Times New Roman" w:hAnsi="Times New Roman" w:cs="Times New Roman"/>
          <w:color w:val="000000"/>
          <w:sz w:val="20"/>
          <w:szCs w:val="20"/>
        </w:rPr>
        <w:t>, 107 Misc.2d 25 (1980))</w:t>
      </w:r>
    </w:p>
  </w:footnote>
  <w:footnote w:id="400">
    <w:p w14:paraId="6F1FB549" w14:textId="77777777" w:rsidR="00732873" w:rsidRPr="009975EA" w:rsidRDefault="00732873" w:rsidP="00732873">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Brenner v. Berkowitz, 134 N.J. 488 (1993)</w:t>
      </w:r>
    </w:p>
  </w:footnote>
  <w:footnote w:id="401">
    <w:p w14:paraId="7BAB1F5E" w14:textId="734D9C17" w:rsidR="00E61A91" w:rsidRPr="0047452F" w:rsidRDefault="00E61A91" w:rsidP="0047452F">
      <w:pPr>
        <w:jc w:val="both"/>
        <w:outlineLvl w:val="0"/>
        <w:rPr>
          <w:rFonts w:ascii="Times New Roman" w:hAnsi="Times New Roman" w:cs="Times New Roman"/>
          <w:b/>
          <w:sz w:val="20"/>
          <w:szCs w:val="20"/>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w:t>
      </w:r>
      <w:proofErr w:type="spellEnd"/>
      <w:r w:rsidRPr="00E61A91">
        <w:rPr>
          <w:rFonts w:ascii="Times New Roman" w:hAnsi="Times New Roman" w:cs="Times New Roman"/>
          <w:sz w:val="20"/>
          <w:szCs w:val="20"/>
        </w:rPr>
        <w:t xml:space="preserve"> U.S.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as </w:t>
      </w:r>
      <w:proofErr w:type="spellStart"/>
      <w:r w:rsidRPr="00E61A91">
        <w:rPr>
          <w:rFonts w:ascii="Times New Roman" w:hAnsi="Times New Roman" w:cs="Times New Roman"/>
          <w:sz w:val="20"/>
          <w:szCs w:val="20"/>
        </w:rPr>
        <w:t>only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allowed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issue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shares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public</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be </w:t>
      </w:r>
      <w:proofErr w:type="spellStart"/>
      <w:r w:rsidRPr="00E61A91">
        <w:rPr>
          <w:rFonts w:ascii="Times New Roman" w:hAnsi="Times New Roman" w:cs="Times New Roman"/>
          <w:sz w:val="20"/>
          <w:szCs w:val="20"/>
        </w:rPr>
        <w:t>publicly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traded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via</w:t>
      </w:r>
      <w:proofErr w:type="spellEnd"/>
      <w:r w:rsidRPr="00E61A91">
        <w:rPr>
          <w:rFonts w:ascii="Times New Roman" w:hAnsi="Times New Roman" w:cs="Times New Roman"/>
          <w:sz w:val="20"/>
          <w:szCs w:val="20"/>
        </w:rPr>
        <w:t xml:space="preserve"> a </w:t>
      </w:r>
      <w:proofErr w:type="spellStart"/>
      <w:r w:rsidRPr="00E61A91">
        <w:rPr>
          <w:rFonts w:ascii="Times New Roman" w:hAnsi="Times New Roman" w:cs="Times New Roman"/>
          <w:sz w:val="20"/>
          <w:szCs w:val="20"/>
        </w:rPr>
        <w:t>stock</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exchange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However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ownership</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interests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units</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partnerships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limited </w:t>
      </w:r>
      <w:proofErr w:type="spellStart"/>
      <w:r w:rsidRPr="00E61A91">
        <w:rPr>
          <w:rFonts w:ascii="Times New Roman" w:hAnsi="Times New Roman" w:cs="Times New Roman"/>
          <w:sz w:val="20"/>
          <w:szCs w:val="20"/>
        </w:rPr>
        <w:t>liability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companies</w:t>
      </w:r>
      <w:proofErr w:type="spellEnd"/>
      <w:r w:rsidRPr="00E61A91">
        <w:rPr>
          <w:rFonts w:ascii="Times New Roman" w:hAnsi="Times New Roman" w:cs="Times New Roman"/>
          <w:sz w:val="20"/>
          <w:szCs w:val="20"/>
        </w:rPr>
        <w:t xml:space="preserve"> can </w:t>
      </w:r>
      <w:proofErr w:type="spellStart"/>
      <w:r w:rsidRPr="00E61A91">
        <w:rPr>
          <w:rFonts w:ascii="Times New Roman" w:hAnsi="Times New Roman" w:cs="Times New Roman"/>
          <w:sz w:val="20"/>
          <w:szCs w:val="20"/>
        </w:rPr>
        <w:t>also</w:t>
      </w:r>
      <w:proofErr w:type="spellEnd"/>
      <w:r w:rsidRPr="00E61A91">
        <w:rPr>
          <w:rFonts w:ascii="Times New Roman" w:hAnsi="Times New Roman" w:cs="Times New Roman"/>
          <w:sz w:val="20"/>
          <w:szCs w:val="20"/>
        </w:rPr>
        <w:t xml:space="preserve"> be </w:t>
      </w:r>
      <w:proofErr w:type="spellStart"/>
      <w:r w:rsidRPr="00E61A91">
        <w:rPr>
          <w:rFonts w:ascii="Times New Roman" w:hAnsi="Times New Roman" w:cs="Times New Roman"/>
          <w:sz w:val="20"/>
          <w:szCs w:val="20"/>
        </w:rPr>
        <w:t>publicly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traded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terms</w:t>
      </w:r>
      <w:proofErr w:type="spellEnd"/>
      <w:r w:rsidRPr="00E61A91">
        <w:rPr>
          <w:rFonts w:ascii="Times New Roman" w:hAnsi="Times New Roman" w:cs="Times New Roman"/>
          <w:sz w:val="20"/>
          <w:szCs w:val="20"/>
        </w:rPr>
        <w:t xml:space="preserve"> of U.S. </w:t>
      </w:r>
      <w:proofErr w:type="spellStart"/>
      <w:r w:rsidRPr="00E61A91">
        <w:rPr>
          <w:rFonts w:ascii="Times New Roman" w:hAnsi="Times New Roman" w:cs="Times New Roman"/>
          <w:sz w:val="20"/>
          <w:szCs w:val="20"/>
        </w:rPr>
        <w:t>tax</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if</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interests</w:t>
      </w:r>
      <w:proofErr w:type="spellEnd"/>
      <w:r w:rsidRPr="00E61A91">
        <w:rPr>
          <w:rFonts w:ascii="Times New Roman" w:hAnsi="Times New Roman" w:cs="Times New Roman"/>
          <w:sz w:val="20"/>
          <w:szCs w:val="20"/>
        </w:rPr>
        <w:t xml:space="preserve"> in </w:t>
      </w:r>
      <w:proofErr w:type="spellStart"/>
      <w:r w:rsidRPr="00E61A91">
        <w:rPr>
          <w:rFonts w:ascii="Times New Roman" w:hAnsi="Times New Roman" w:cs="Times New Roman"/>
          <w:sz w:val="20"/>
          <w:szCs w:val="20"/>
        </w:rPr>
        <w:t>any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partnership</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traded</w:t>
      </w:r>
      <w:proofErr w:type="spellEnd"/>
      <w:r w:rsidRPr="00E61A91">
        <w:rPr>
          <w:rFonts w:ascii="Times New Roman" w:hAnsi="Times New Roman" w:cs="Times New Roman"/>
          <w:sz w:val="20"/>
          <w:szCs w:val="20"/>
        </w:rPr>
        <w:t xml:space="preserve"> on an </w:t>
      </w:r>
      <w:proofErr w:type="spellStart"/>
      <w:r w:rsidRPr="00E61A91">
        <w:rPr>
          <w:rFonts w:ascii="Times New Roman" w:hAnsi="Times New Roman" w:cs="Times New Roman"/>
          <w:sz w:val="20"/>
          <w:szCs w:val="20"/>
        </w:rPr>
        <w:t>established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securities</w:t>
      </w:r>
      <w:proofErr w:type="spellEnd"/>
      <w:r w:rsidRPr="00E61A91">
        <w:rPr>
          <w:rFonts w:ascii="Times New Roman" w:hAnsi="Times New Roman" w:cs="Times New Roman"/>
          <w:sz w:val="20"/>
          <w:szCs w:val="20"/>
        </w:rPr>
        <w:t xml:space="preserve"> market </w:t>
      </w:r>
      <w:proofErr w:type="spellStart"/>
      <w:r w:rsidRPr="00E61A91">
        <w:rPr>
          <w:rFonts w:ascii="Times New Roman" w:hAnsi="Times New Roman" w:cs="Times New Roman"/>
          <w:sz w:val="20"/>
          <w:szCs w:val="20"/>
        </w:rPr>
        <w:t>or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readily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tradable</w:t>
      </w:r>
      <w:proofErr w:type="spellEnd"/>
      <w:r w:rsidRPr="00E61A91">
        <w:rPr>
          <w:rFonts w:ascii="Times New Roman" w:hAnsi="Times New Roman" w:cs="Times New Roman"/>
          <w:sz w:val="20"/>
          <w:szCs w:val="20"/>
        </w:rPr>
        <w:t xml:space="preserve"> on a </w:t>
      </w:r>
      <w:proofErr w:type="spellStart"/>
      <w:r w:rsidRPr="00E61A91">
        <w:rPr>
          <w:rFonts w:ascii="Times New Roman" w:hAnsi="Times New Roman" w:cs="Times New Roman"/>
          <w:sz w:val="20"/>
          <w:szCs w:val="20"/>
        </w:rPr>
        <w:t>secondary</w:t>
      </w:r>
      <w:proofErr w:type="spellEnd"/>
      <w:r w:rsidRPr="00E61A91">
        <w:rPr>
          <w:rFonts w:ascii="Times New Roman" w:hAnsi="Times New Roman" w:cs="Times New Roman"/>
          <w:sz w:val="20"/>
          <w:szCs w:val="20"/>
        </w:rPr>
        <w:t xml:space="preserve"> market, </w:t>
      </w:r>
      <w:proofErr w:type="spellStart"/>
      <w:r w:rsidRPr="00E61A91">
        <w:rPr>
          <w:rFonts w:ascii="Times New Roman" w:hAnsi="Times New Roman" w:cs="Times New Roman"/>
          <w:sz w:val="20"/>
          <w:szCs w:val="20"/>
        </w:rPr>
        <w:t>this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entity</w:t>
      </w:r>
      <w:proofErr w:type="spellEnd"/>
      <w:r w:rsidRPr="00E61A91">
        <w:rPr>
          <w:rFonts w:ascii="Times New Roman" w:hAnsi="Times New Roman" w:cs="Times New Roman"/>
          <w:sz w:val="20"/>
          <w:szCs w:val="20"/>
        </w:rPr>
        <w:t xml:space="preserve"> is </w:t>
      </w:r>
      <w:proofErr w:type="spellStart"/>
      <w:r w:rsidRPr="00E61A91">
        <w:rPr>
          <w:rFonts w:ascii="Times New Roman" w:hAnsi="Times New Roman" w:cs="Times New Roman"/>
          <w:sz w:val="20"/>
          <w:szCs w:val="20"/>
        </w:rPr>
        <w:t>called</w:t>
      </w:r>
      <w:proofErr w:type="spellEnd"/>
      <w:r w:rsidRPr="00E61A91">
        <w:rPr>
          <w:rFonts w:ascii="Times New Roman" w:hAnsi="Times New Roman" w:cs="Times New Roman"/>
          <w:sz w:val="20"/>
          <w:szCs w:val="20"/>
        </w:rPr>
        <w:t xml:space="preserve"> a “</w:t>
      </w:r>
      <w:proofErr w:type="spellStart"/>
      <w:r w:rsidRPr="00E61A91">
        <w:rPr>
          <w:rFonts w:ascii="Times New Roman" w:hAnsi="Times New Roman" w:cs="Times New Roman"/>
          <w:sz w:val="20"/>
          <w:szCs w:val="20"/>
        </w:rPr>
        <w:t>publicly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traded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partnership</w:t>
      </w:r>
      <w:proofErr w:type="spellEnd"/>
      <w:r w:rsidRPr="00E61A91">
        <w:rPr>
          <w:rFonts w:ascii="Times New Roman" w:hAnsi="Times New Roman" w:cs="Times New Roman"/>
          <w:sz w:val="20"/>
          <w:szCs w:val="20"/>
        </w:rPr>
        <w:t xml:space="preserve">” (IRC </w:t>
      </w:r>
      <w:proofErr w:type="spellStart"/>
      <w:r w:rsidRPr="00E61A91">
        <w:rPr>
          <w:rFonts w:ascii="Times New Roman" w:hAnsi="Times New Roman" w:cs="Times New Roman"/>
          <w:sz w:val="20"/>
          <w:szCs w:val="20"/>
        </w:rPr>
        <w:t>Sec</w:t>
      </w:r>
      <w:proofErr w:type="spellEnd"/>
      <w:r w:rsidRPr="00E61A91">
        <w:rPr>
          <w:rFonts w:ascii="Times New Roman" w:hAnsi="Times New Roman" w:cs="Times New Roman"/>
          <w:sz w:val="20"/>
          <w:szCs w:val="20"/>
        </w:rPr>
        <w:t xml:space="preserve">. 7704 (b)). </w:t>
      </w:r>
      <w:proofErr w:type="spellStart"/>
      <w:r w:rsidRPr="00E61A91">
        <w:rPr>
          <w:rFonts w:ascii="Times New Roman" w:hAnsi="Times New Roman" w:cs="Times New Roman"/>
          <w:sz w:val="20"/>
          <w:szCs w:val="20"/>
        </w:rPr>
        <w:t>In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terms</w:t>
      </w:r>
      <w:proofErr w:type="spellEnd"/>
      <w:r w:rsidRPr="00E61A91">
        <w:rPr>
          <w:rFonts w:ascii="Times New Roman" w:hAnsi="Times New Roman" w:cs="Times New Roman"/>
          <w:sz w:val="20"/>
          <w:szCs w:val="20"/>
        </w:rPr>
        <w:t xml:space="preserve"> of U.S. </w:t>
      </w:r>
      <w:proofErr w:type="spellStart"/>
      <w:r w:rsidRPr="00E61A91">
        <w:rPr>
          <w:rFonts w:ascii="Times New Roman" w:hAnsi="Times New Roman" w:cs="Times New Roman"/>
          <w:sz w:val="20"/>
          <w:szCs w:val="20"/>
        </w:rPr>
        <w:t>business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enterprise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(1) </w:t>
      </w:r>
      <w:proofErr w:type="spellStart"/>
      <w:r w:rsidRPr="00E61A91">
        <w:rPr>
          <w:rFonts w:ascii="Times New Roman" w:hAnsi="Times New Roman" w:cs="Times New Roman"/>
          <w:sz w:val="20"/>
          <w:szCs w:val="20"/>
        </w:rPr>
        <w:t>these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entities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called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master</w:t>
      </w:r>
      <w:proofErr w:type="spellEnd"/>
      <w:r w:rsidRPr="00E61A91">
        <w:rPr>
          <w:rFonts w:ascii="Times New Roman" w:hAnsi="Times New Roman" w:cs="Times New Roman"/>
          <w:sz w:val="20"/>
          <w:szCs w:val="20"/>
        </w:rPr>
        <w:t xml:space="preserve"> limited </w:t>
      </w:r>
      <w:proofErr w:type="spellStart"/>
      <w:r w:rsidRPr="00E61A91">
        <w:rPr>
          <w:rFonts w:ascii="Times New Roman" w:hAnsi="Times New Roman" w:cs="Times New Roman"/>
          <w:sz w:val="20"/>
          <w:szCs w:val="20"/>
        </w:rPr>
        <w:t>partnership</w:t>
      </w:r>
      <w:proofErr w:type="spellEnd"/>
      <w:r w:rsidRPr="00E61A91">
        <w:rPr>
          <w:rFonts w:ascii="Times New Roman" w:hAnsi="Times New Roman" w:cs="Times New Roman"/>
          <w:sz w:val="20"/>
          <w:szCs w:val="20"/>
        </w:rPr>
        <w:t xml:space="preserve">”, (2) </w:t>
      </w:r>
      <w:proofErr w:type="spellStart"/>
      <w:r w:rsidRPr="00E61A91">
        <w:rPr>
          <w:rFonts w:ascii="Times New Roman" w:hAnsi="Times New Roman" w:cs="Times New Roman"/>
          <w:sz w:val="20"/>
          <w:szCs w:val="20"/>
        </w:rPr>
        <w:t>they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established</w:t>
      </w:r>
      <w:proofErr w:type="spellEnd"/>
      <w:r w:rsidRPr="00E61A91">
        <w:rPr>
          <w:rFonts w:ascii="Times New Roman" w:hAnsi="Times New Roman" w:cs="Times New Roman"/>
          <w:sz w:val="20"/>
          <w:szCs w:val="20"/>
        </w:rPr>
        <w:t xml:space="preserve"> as “limited </w:t>
      </w:r>
      <w:proofErr w:type="spellStart"/>
      <w:r w:rsidRPr="00E61A91">
        <w:rPr>
          <w:rFonts w:ascii="Times New Roman" w:hAnsi="Times New Roman" w:cs="Times New Roman"/>
          <w:sz w:val="20"/>
          <w:szCs w:val="20"/>
        </w:rPr>
        <w:t>partnerships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under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(3) </w:t>
      </w:r>
      <w:proofErr w:type="spellStart"/>
      <w:r w:rsidRPr="00E61A91">
        <w:rPr>
          <w:rFonts w:ascii="Times New Roman" w:hAnsi="Times New Roman" w:cs="Times New Roman"/>
          <w:sz w:val="20"/>
          <w:szCs w:val="20"/>
        </w:rPr>
        <w:t>investors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buying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its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units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become</w:t>
      </w:r>
      <w:proofErr w:type="spellEnd"/>
      <w:r w:rsidRPr="00E61A91">
        <w:rPr>
          <w:rFonts w:ascii="Times New Roman" w:hAnsi="Times New Roman" w:cs="Times New Roman"/>
          <w:sz w:val="20"/>
          <w:szCs w:val="20"/>
        </w:rPr>
        <w:t xml:space="preserve"> a “limited partner”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be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member</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partnership</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along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with</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other</w:t>
      </w:r>
      <w:proofErr w:type="spellEnd"/>
      <w:r w:rsidRPr="00E61A91">
        <w:rPr>
          <w:rFonts w:ascii="Times New Roman" w:hAnsi="Times New Roman" w:cs="Times New Roman"/>
          <w:sz w:val="20"/>
          <w:szCs w:val="20"/>
        </w:rPr>
        <w:t xml:space="preserve"> “general partner(s)” (MLP </w:t>
      </w:r>
      <w:proofErr w:type="spellStart"/>
      <w:r w:rsidRPr="00E61A91">
        <w:rPr>
          <w:rFonts w:ascii="Times New Roman" w:hAnsi="Times New Roman" w:cs="Times New Roman"/>
          <w:sz w:val="20"/>
          <w:szCs w:val="20"/>
        </w:rPr>
        <w:t>Ass</w:t>
      </w:r>
      <w:proofErr w:type="spellEnd"/>
      <w:r w:rsidRPr="00E61A91">
        <w:rPr>
          <w:rFonts w:ascii="Times New Roman" w:hAnsi="Times New Roman" w:cs="Times New Roman"/>
          <w:sz w:val="20"/>
          <w:szCs w:val="20"/>
        </w:rPr>
        <w:t xml:space="preserve">., </w:t>
      </w:r>
      <w:hyperlink r:id="rId64" w:history="1">
        <w:r w:rsidRPr="00E61A91">
          <w:rPr>
            <w:rStyle w:val="Kpr"/>
            <w:rFonts w:ascii="Times New Roman" w:hAnsi="Times New Roman" w:cs="Times New Roman"/>
            <w:sz w:val="20"/>
            <w:szCs w:val="20"/>
          </w:rPr>
          <w:t>http://www.mlpassociation.org/mlp-101/</w:t>
        </w:r>
      </w:hyperlink>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Last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visited</w:t>
      </w:r>
      <w:proofErr w:type="spellEnd"/>
      <w:r w:rsidRPr="00E61A91">
        <w:rPr>
          <w:rFonts w:ascii="Times New Roman" w:hAnsi="Times New Roman" w:cs="Times New Roman"/>
          <w:sz w:val="20"/>
          <w:szCs w:val="20"/>
        </w:rPr>
        <w:t xml:space="preserve">: 10/10/2015)).  “Master limited </w:t>
      </w:r>
      <w:proofErr w:type="spellStart"/>
      <w:r w:rsidRPr="00E61A91">
        <w:rPr>
          <w:rFonts w:ascii="Times New Roman" w:hAnsi="Times New Roman" w:cs="Times New Roman"/>
          <w:sz w:val="20"/>
          <w:szCs w:val="20"/>
        </w:rPr>
        <w:t>partnership</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term</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sometimes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also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refer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publicly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traded</w:t>
      </w:r>
      <w:proofErr w:type="spellEnd"/>
      <w:r w:rsidRPr="00E61A91">
        <w:rPr>
          <w:rFonts w:ascii="Times New Roman" w:hAnsi="Times New Roman" w:cs="Times New Roman"/>
          <w:sz w:val="20"/>
          <w:szCs w:val="20"/>
        </w:rPr>
        <w:t xml:space="preserve"> limited </w:t>
      </w:r>
      <w:proofErr w:type="spellStart"/>
      <w:r w:rsidRPr="00E61A91">
        <w:rPr>
          <w:rFonts w:ascii="Times New Roman" w:hAnsi="Times New Roman" w:cs="Times New Roman"/>
          <w:sz w:val="20"/>
          <w:szCs w:val="20"/>
        </w:rPr>
        <w:t>liability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companies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if</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that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entity</w:t>
      </w:r>
      <w:proofErr w:type="spellEnd"/>
      <w:r w:rsidRPr="00E61A91">
        <w:rPr>
          <w:rFonts w:ascii="Times New Roman" w:hAnsi="Times New Roman" w:cs="Times New Roman"/>
          <w:sz w:val="20"/>
          <w:szCs w:val="20"/>
        </w:rPr>
        <w:t xml:space="preserve"> had </w:t>
      </w:r>
      <w:proofErr w:type="spellStart"/>
      <w:r w:rsidRPr="00E61A91">
        <w:rPr>
          <w:rFonts w:ascii="Times New Roman" w:hAnsi="Times New Roman" w:cs="Times New Roman"/>
          <w:sz w:val="20"/>
          <w:szCs w:val="20"/>
        </w:rPr>
        <w:t>chosen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be </w:t>
      </w:r>
      <w:proofErr w:type="spellStart"/>
      <w:r w:rsidRPr="00E61A91">
        <w:rPr>
          <w:rFonts w:ascii="Times New Roman" w:hAnsi="Times New Roman" w:cs="Times New Roman"/>
          <w:sz w:val="20"/>
          <w:szCs w:val="20"/>
        </w:rPr>
        <w:t>taxed</w:t>
      </w:r>
      <w:proofErr w:type="spellEnd"/>
      <w:r w:rsidRPr="00E61A91">
        <w:rPr>
          <w:rFonts w:ascii="Times New Roman" w:hAnsi="Times New Roman" w:cs="Times New Roman"/>
          <w:sz w:val="20"/>
          <w:szCs w:val="20"/>
        </w:rPr>
        <w:t xml:space="preserve"> as a </w:t>
      </w:r>
      <w:proofErr w:type="spellStart"/>
      <w:r w:rsidRPr="00E61A91">
        <w:rPr>
          <w:rFonts w:ascii="Times New Roman" w:hAnsi="Times New Roman" w:cs="Times New Roman"/>
          <w:sz w:val="20"/>
          <w:szCs w:val="20"/>
        </w:rPr>
        <w:t>partnership</w:t>
      </w:r>
      <w:proofErr w:type="spellEnd"/>
      <w:r w:rsidRPr="00E61A91">
        <w:rPr>
          <w:rFonts w:ascii="Times New Roman" w:hAnsi="Times New Roman" w:cs="Times New Roman"/>
          <w:sz w:val="20"/>
          <w:szCs w:val="20"/>
        </w:rPr>
        <w:t xml:space="preserve"> (MLP </w:t>
      </w:r>
      <w:proofErr w:type="spellStart"/>
      <w:r w:rsidRPr="00E61A91">
        <w:rPr>
          <w:rFonts w:ascii="Times New Roman" w:hAnsi="Times New Roman" w:cs="Times New Roman"/>
          <w:sz w:val="20"/>
          <w:szCs w:val="20"/>
        </w:rPr>
        <w:t>Ass</w:t>
      </w:r>
      <w:proofErr w:type="spellEnd"/>
      <w:r w:rsidRPr="00E61A91">
        <w:rPr>
          <w:rFonts w:ascii="Times New Roman" w:hAnsi="Times New Roman" w:cs="Times New Roman"/>
          <w:sz w:val="20"/>
          <w:szCs w:val="20"/>
        </w:rPr>
        <w:t xml:space="preserve">. </w:t>
      </w:r>
      <w:hyperlink r:id="rId65" w:history="1">
        <w:r w:rsidRPr="00E61A91">
          <w:rPr>
            <w:rStyle w:val="Kpr"/>
            <w:rFonts w:ascii="Times New Roman" w:hAnsi="Times New Roman" w:cs="Times New Roman"/>
            <w:sz w:val="20"/>
            <w:szCs w:val="20"/>
          </w:rPr>
          <w:t>http://www.mlpassociation.org/public-policy/mlp-laws-regulations/definition-of-publicly-traded-partnership/</w:t>
        </w:r>
      </w:hyperlink>
      <w:r w:rsidRPr="00E61A91">
        <w:rPr>
          <w:rFonts w:ascii="Times New Roman" w:hAnsi="Times New Roman" w:cs="Times New Roman"/>
          <w:sz w:val="20"/>
          <w:szCs w:val="20"/>
        </w:rPr>
        <w:t xml:space="preserve"> (10/10/2015)).  </w:t>
      </w:r>
      <w:proofErr w:type="spellStart"/>
      <w:r w:rsidRPr="00E61A91">
        <w:rPr>
          <w:rFonts w:ascii="Times New Roman" w:hAnsi="Times New Roman" w:cs="Times New Roman"/>
          <w:sz w:val="20"/>
          <w:szCs w:val="20"/>
        </w:rPr>
        <w:t>Both</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publicly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traded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partnership</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limited </w:t>
      </w:r>
      <w:proofErr w:type="spellStart"/>
      <w:r w:rsidRPr="00E61A91">
        <w:rPr>
          <w:rFonts w:ascii="Times New Roman" w:hAnsi="Times New Roman" w:cs="Times New Roman"/>
          <w:sz w:val="20"/>
          <w:szCs w:val="20"/>
        </w:rPr>
        <w:t>liability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company</w:t>
      </w:r>
      <w:proofErr w:type="spellEnd"/>
      <w:r w:rsidRPr="00E61A91">
        <w:rPr>
          <w:rFonts w:ascii="Times New Roman" w:hAnsi="Times New Roman" w:cs="Times New Roman"/>
          <w:sz w:val="20"/>
          <w:szCs w:val="20"/>
        </w:rPr>
        <w:t xml:space="preserve"> can </w:t>
      </w:r>
      <w:proofErr w:type="spellStart"/>
      <w:r w:rsidRPr="00E61A91">
        <w:rPr>
          <w:rFonts w:ascii="Times New Roman" w:hAnsi="Times New Roman" w:cs="Times New Roman"/>
          <w:sz w:val="20"/>
          <w:szCs w:val="20"/>
        </w:rPr>
        <w:t>issue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membership</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interests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these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not </w:t>
      </w:r>
      <w:proofErr w:type="spellStart"/>
      <w:r w:rsidRPr="00E61A91">
        <w:rPr>
          <w:rFonts w:ascii="Times New Roman" w:hAnsi="Times New Roman" w:cs="Times New Roman"/>
          <w:sz w:val="20"/>
          <w:szCs w:val="20"/>
        </w:rPr>
        <w:t>regarded</w:t>
      </w:r>
      <w:proofErr w:type="spellEnd"/>
      <w:r w:rsidRPr="00E61A91">
        <w:rPr>
          <w:rFonts w:ascii="Times New Roman" w:hAnsi="Times New Roman" w:cs="Times New Roman"/>
          <w:sz w:val="20"/>
          <w:szCs w:val="20"/>
        </w:rPr>
        <w:t xml:space="preserve"> as </w:t>
      </w:r>
      <w:proofErr w:type="spellStart"/>
      <w:r w:rsidRPr="00E61A91">
        <w:rPr>
          <w:rFonts w:ascii="Times New Roman" w:hAnsi="Times New Roman" w:cs="Times New Roman"/>
          <w:sz w:val="20"/>
          <w:szCs w:val="20"/>
        </w:rPr>
        <w:t>shares</w:t>
      </w:r>
      <w:proofErr w:type="spellEnd"/>
      <w:r w:rsidRPr="00E61A91">
        <w:rPr>
          <w:rFonts w:ascii="Times New Roman" w:hAnsi="Times New Roman" w:cs="Times New Roman"/>
          <w:sz w:val="20"/>
          <w:szCs w:val="20"/>
        </w:rPr>
        <w:t xml:space="preserve"> in </w:t>
      </w:r>
      <w:proofErr w:type="spellStart"/>
      <w:r w:rsidRPr="00E61A91">
        <w:rPr>
          <w:rFonts w:ascii="Times New Roman" w:hAnsi="Times New Roman" w:cs="Times New Roman"/>
          <w:sz w:val="20"/>
          <w:szCs w:val="20"/>
        </w:rPr>
        <w:t>corporate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these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not </w:t>
      </w:r>
      <w:proofErr w:type="spellStart"/>
      <w:r w:rsidRPr="00E61A91">
        <w:rPr>
          <w:rFonts w:ascii="Times New Roman" w:hAnsi="Times New Roman" w:cs="Times New Roman"/>
          <w:sz w:val="20"/>
          <w:szCs w:val="20"/>
        </w:rPr>
        <w:t>always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accepted</w:t>
      </w:r>
      <w:proofErr w:type="spellEnd"/>
      <w:r w:rsidRPr="00E61A91">
        <w:rPr>
          <w:rFonts w:ascii="Times New Roman" w:hAnsi="Times New Roman" w:cs="Times New Roman"/>
          <w:sz w:val="20"/>
          <w:szCs w:val="20"/>
        </w:rPr>
        <w:t xml:space="preserve"> as </w:t>
      </w:r>
      <w:proofErr w:type="spellStart"/>
      <w:r w:rsidRPr="00E61A91">
        <w:rPr>
          <w:rFonts w:ascii="Times New Roman" w:hAnsi="Times New Roman" w:cs="Times New Roman"/>
          <w:sz w:val="20"/>
          <w:szCs w:val="20"/>
        </w:rPr>
        <w:t>securities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For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example</w:t>
      </w:r>
      <w:proofErr w:type="spellEnd"/>
      <w:r w:rsidRPr="00E61A91">
        <w:rPr>
          <w:rFonts w:ascii="Times New Roman" w:hAnsi="Times New Roman" w:cs="Times New Roman"/>
          <w:sz w:val="20"/>
          <w:szCs w:val="20"/>
        </w:rPr>
        <w:t xml:space="preserve">, California </w:t>
      </w:r>
      <w:proofErr w:type="spellStart"/>
      <w:r w:rsidRPr="00E61A91">
        <w:rPr>
          <w:rFonts w:ascii="Times New Roman" w:hAnsi="Times New Roman" w:cs="Times New Roman"/>
          <w:sz w:val="20"/>
          <w:szCs w:val="20"/>
        </w:rPr>
        <w:t>corporate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does</w:t>
      </w:r>
      <w:proofErr w:type="spellEnd"/>
      <w:r w:rsidRPr="00E61A91">
        <w:rPr>
          <w:rFonts w:ascii="Times New Roman" w:hAnsi="Times New Roman" w:cs="Times New Roman"/>
          <w:sz w:val="20"/>
          <w:szCs w:val="20"/>
        </w:rPr>
        <w:t xml:space="preserve"> not </w:t>
      </w:r>
      <w:proofErr w:type="spellStart"/>
      <w:r w:rsidRPr="00E61A91">
        <w:rPr>
          <w:rFonts w:ascii="Times New Roman" w:hAnsi="Times New Roman" w:cs="Times New Roman"/>
          <w:sz w:val="20"/>
          <w:szCs w:val="20"/>
        </w:rPr>
        <w:t>accept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membership</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interests</w:t>
      </w:r>
      <w:proofErr w:type="spellEnd"/>
      <w:r w:rsidRPr="00E61A91">
        <w:rPr>
          <w:rFonts w:ascii="Times New Roman" w:hAnsi="Times New Roman" w:cs="Times New Roman"/>
          <w:sz w:val="20"/>
          <w:szCs w:val="20"/>
        </w:rPr>
        <w:t xml:space="preserve"> in a limited </w:t>
      </w:r>
      <w:proofErr w:type="spellStart"/>
      <w:r w:rsidRPr="00E61A91">
        <w:rPr>
          <w:rFonts w:ascii="Times New Roman" w:hAnsi="Times New Roman" w:cs="Times New Roman"/>
          <w:sz w:val="20"/>
          <w:szCs w:val="20"/>
        </w:rPr>
        <w:t>liability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company</w:t>
      </w:r>
      <w:proofErr w:type="spellEnd"/>
      <w:r w:rsidRPr="00E61A91">
        <w:rPr>
          <w:rFonts w:ascii="Times New Roman" w:hAnsi="Times New Roman" w:cs="Times New Roman"/>
          <w:sz w:val="20"/>
          <w:szCs w:val="20"/>
        </w:rPr>
        <w:t xml:space="preserve"> as a “</w:t>
      </w:r>
      <w:proofErr w:type="spellStart"/>
      <w:r w:rsidRPr="00E61A91">
        <w:rPr>
          <w:rFonts w:ascii="Times New Roman" w:hAnsi="Times New Roman" w:cs="Times New Roman"/>
          <w:sz w:val="20"/>
          <w:szCs w:val="20"/>
        </w:rPr>
        <w:t>security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if</w:t>
      </w:r>
      <w:proofErr w:type="spellEnd"/>
      <w:r w:rsidRPr="00E61A91">
        <w:rPr>
          <w:rFonts w:ascii="Times New Roman" w:hAnsi="Times New Roman" w:cs="Times New Roman"/>
          <w:sz w:val="20"/>
          <w:szCs w:val="20"/>
        </w:rPr>
        <w:t xml:space="preserve"> it can be </w:t>
      </w:r>
      <w:proofErr w:type="spellStart"/>
      <w:r w:rsidRPr="00E61A91">
        <w:rPr>
          <w:rFonts w:ascii="Times New Roman" w:hAnsi="Times New Roman" w:cs="Times New Roman"/>
          <w:sz w:val="20"/>
          <w:szCs w:val="20"/>
        </w:rPr>
        <w:t>proved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that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all</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company’s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members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actively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engaged</w:t>
      </w:r>
      <w:proofErr w:type="spellEnd"/>
      <w:r w:rsidRPr="00E61A91">
        <w:rPr>
          <w:rFonts w:ascii="Times New Roman" w:hAnsi="Times New Roman" w:cs="Times New Roman"/>
          <w:sz w:val="20"/>
          <w:szCs w:val="20"/>
        </w:rPr>
        <w:t xml:space="preserve"> as </w:t>
      </w:r>
      <w:proofErr w:type="spellStart"/>
      <w:r w:rsidRPr="00E61A91">
        <w:rPr>
          <w:rFonts w:ascii="Times New Roman" w:hAnsi="Times New Roman" w:cs="Times New Roman"/>
          <w:sz w:val="20"/>
          <w:szCs w:val="20"/>
        </w:rPr>
        <w:t>managers</w:t>
      </w:r>
      <w:proofErr w:type="spellEnd"/>
      <w:r w:rsidRPr="00E61A91">
        <w:rPr>
          <w:rFonts w:ascii="Times New Roman" w:hAnsi="Times New Roman" w:cs="Times New Roman"/>
          <w:sz w:val="20"/>
          <w:szCs w:val="20"/>
        </w:rPr>
        <w:t xml:space="preserve"> (Cal. </w:t>
      </w:r>
      <w:proofErr w:type="spellStart"/>
      <w:r w:rsidRPr="00E61A91">
        <w:rPr>
          <w:rFonts w:ascii="Times New Roman" w:hAnsi="Times New Roman" w:cs="Times New Roman"/>
          <w:sz w:val="20"/>
          <w:szCs w:val="20"/>
        </w:rPr>
        <w:t>Corp</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Code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Sec</w:t>
      </w:r>
      <w:proofErr w:type="spellEnd"/>
      <w:r w:rsidRPr="00E61A91">
        <w:rPr>
          <w:rFonts w:ascii="Times New Roman" w:hAnsi="Times New Roman" w:cs="Times New Roman"/>
          <w:sz w:val="20"/>
          <w:szCs w:val="20"/>
        </w:rPr>
        <w:t xml:space="preserve">. 25019). </w:t>
      </w:r>
      <w:proofErr w:type="spellStart"/>
      <w:r w:rsidRPr="00E61A91">
        <w:rPr>
          <w:rFonts w:ascii="Times New Roman" w:hAnsi="Times New Roman" w:cs="Times New Roman"/>
          <w:sz w:val="20"/>
          <w:szCs w:val="20"/>
        </w:rPr>
        <w:t>For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more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see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Larry</w:t>
      </w:r>
      <w:proofErr w:type="spellEnd"/>
      <w:r w:rsidRPr="00E61A91">
        <w:rPr>
          <w:rFonts w:ascii="Times New Roman" w:hAnsi="Times New Roman" w:cs="Times New Roman"/>
          <w:sz w:val="20"/>
          <w:szCs w:val="20"/>
        </w:rPr>
        <w:t xml:space="preserve"> E. </w:t>
      </w:r>
      <w:proofErr w:type="spellStart"/>
      <w:r w:rsidRPr="00E61A91">
        <w:rPr>
          <w:rFonts w:ascii="Times New Roman" w:hAnsi="Times New Roman" w:cs="Times New Roman"/>
          <w:sz w:val="20"/>
          <w:szCs w:val="20"/>
        </w:rPr>
        <w:t>Ribstein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i/>
          <w:sz w:val="20"/>
          <w:szCs w:val="20"/>
        </w:rPr>
        <w:t>Unincorporated</w:t>
      </w:r>
      <w:proofErr w:type="spellEnd"/>
      <w:r w:rsidRPr="00E61A91">
        <w:rPr>
          <w:rFonts w:ascii="Times New Roman" w:hAnsi="Times New Roman" w:cs="Times New Roman"/>
          <w:i/>
          <w:sz w:val="20"/>
          <w:szCs w:val="20"/>
        </w:rPr>
        <w:t xml:space="preserve"> Business </w:t>
      </w:r>
      <w:proofErr w:type="spellStart"/>
      <w:r w:rsidRPr="00E61A91">
        <w:rPr>
          <w:rFonts w:ascii="Times New Roman" w:hAnsi="Times New Roman" w:cs="Times New Roman"/>
          <w:i/>
          <w:sz w:val="20"/>
          <w:szCs w:val="20"/>
        </w:rPr>
        <w:t>Entities</w:t>
      </w:r>
      <w:proofErr w:type="spellEnd"/>
      <w:r w:rsidRPr="00E61A91">
        <w:rPr>
          <w:rFonts w:ascii="Times New Roman" w:hAnsi="Times New Roman" w:cs="Times New Roman"/>
          <w:sz w:val="20"/>
          <w:szCs w:val="20"/>
        </w:rPr>
        <w:t xml:space="preserve"> 282, 292 (1996)). </w:t>
      </w:r>
      <w:proofErr w:type="spellStart"/>
      <w:r w:rsidRPr="00E61A91">
        <w:rPr>
          <w:rFonts w:ascii="Times New Roman" w:hAnsi="Times New Roman" w:cs="Times New Roman"/>
          <w:sz w:val="20"/>
          <w:szCs w:val="20"/>
        </w:rPr>
        <w:t>Therefore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remains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only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entity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which</w:t>
      </w:r>
      <w:proofErr w:type="spellEnd"/>
      <w:r w:rsidRPr="00E61A91">
        <w:rPr>
          <w:rFonts w:ascii="Times New Roman" w:hAnsi="Times New Roman" w:cs="Times New Roman"/>
          <w:sz w:val="20"/>
          <w:szCs w:val="20"/>
        </w:rPr>
        <w:t xml:space="preserve"> can </w:t>
      </w:r>
      <w:proofErr w:type="spellStart"/>
      <w:r w:rsidRPr="00E61A91">
        <w:rPr>
          <w:rFonts w:ascii="Times New Roman" w:hAnsi="Times New Roman" w:cs="Times New Roman"/>
          <w:sz w:val="20"/>
          <w:szCs w:val="20"/>
        </w:rPr>
        <w:t>issue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shares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publicly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traded</w:t>
      </w:r>
      <w:proofErr w:type="spellEnd"/>
      <w:r w:rsidRPr="00E61A91">
        <w:rPr>
          <w:rFonts w:ascii="Times New Roman" w:hAnsi="Times New Roman" w:cs="Times New Roman"/>
          <w:sz w:val="20"/>
          <w:szCs w:val="20"/>
        </w:rPr>
        <w:t xml:space="preserve">), a </w:t>
      </w:r>
      <w:proofErr w:type="spellStart"/>
      <w:r w:rsidRPr="00E61A91">
        <w:rPr>
          <w:rFonts w:ascii="Times New Roman" w:hAnsi="Times New Roman" w:cs="Times New Roman"/>
          <w:sz w:val="20"/>
          <w:szCs w:val="20"/>
        </w:rPr>
        <w:t>business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entity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must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incorporate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before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going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public</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Robinson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Eppler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i/>
          <w:sz w:val="20"/>
          <w:szCs w:val="20"/>
        </w:rPr>
        <w:t>Going</w:t>
      </w:r>
      <w:proofErr w:type="spellEnd"/>
      <w:r w:rsidRPr="00E61A91">
        <w:rPr>
          <w:rFonts w:ascii="Times New Roman" w:hAnsi="Times New Roman" w:cs="Times New Roman"/>
          <w:i/>
          <w:sz w:val="20"/>
          <w:szCs w:val="20"/>
        </w:rPr>
        <w:t xml:space="preserve"> </w:t>
      </w:r>
      <w:proofErr w:type="spellStart"/>
      <w:r w:rsidRPr="00E61A91">
        <w:rPr>
          <w:rFonts w:ascii="Times New Roman" w:hAnsi="Times New Roman" w:cs="Times New Roman"/>
          <w:i/>
          <w:sz w:val="20"/>
          <w:szCs w:val="20"/>
        </w:rPr>
        <w:t>Public</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Securities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Series 5 (</w:t>
      </w:r>
      <w:proofErr w:type="spellStart"/>
      <w:r w:rsidRPr="00E61A91">
        <w:rPr>
          <w:rFonts w:ascii="Times New Roman" w:hAnsi="Times New Roman" w:cs="Times New Roman"/>
          <w:sz w:val="20"/>
          <w:szCs w:val="20"/>
        </w:rPr>
        <w:t>Vol</w:t>
      </w:r>
      <w:proofErr w:type="spellEnd"/>
      <w:r w:rsidRPr="00E61A91">
        <w:rPr>
          <w:rFonts w:ascii="Times New Roman" w:hAnsi="Times New Roman" w:cs="Times New Roman"/>
          <w:sz w:val="20"/>
          <w:szCs w:val="20"/>
        </w:rPr>
        <w:t xml:space="preserve">. 1, 1978)). </w:t>
      </w:r>
      <w:proofErr w:type="spellStart"/>
      <w:r w:rsidRPr="00E61A91">
        <w:rPr>
          <w:rFonts w:ascii="Times New Roman" w:hAnsi="Times New Roman" w:cs="Times New Roman"/>
          <w:sz w:val="20"/>
          <w:szCs w:val="20"/>
        </w:rPr>
        <w:t>Although</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federal </w:t>
      </w:r>
      <w:proofErr w:type="spellStart"/>
      <w:r w:rsidRPr="00E61A91">
        <w:rPr>
          <w:rFonts w:ascii="Times New Roman" w:hAnsi="Times New Roman" w:cs="Times New Roman"/>
          <w:sz w:val="20"/>
          <w:szCs w:val="20"/>
        </w:rPr>
        <w:t>government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could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have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provided</w:t>
      </w:r>
      <w:proofErr w:type="spellEnd"/>
      <w:r w:rsidRPr="00E61A91">
        <w:rPr>
          <w:rFonts w:ascii="Times New Roman" w:hAnsi="Times New Roman" w:cs="Times New Roman"/>
          <w:sz w:val="20"/>
          <w:szCs w:val="20"/>
        </w:rPr>
        <w:t xml:space="preserve"> a </w:t>
      </w:r>
      <w:proofErr w:type="spellStart"/>
      <w:r w:rsidRPr="00E61A91">
        <w:rPr>
          <w:rFonts w:ascii="Times New Roman" w:hAnsi="Times New Roman" w:cs="Times New Roman"/>
          <w:sz w:val="20"/>
          <w:szCs w:val="20"/>
        </w:rPr>
        <w:t>corporate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for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publicly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traded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corporations</w:t>
      </w:r>
      <w:proofErr w:type="spellEnd"/>
      <w:r w:rsidRPr="00E61A91">
        <w:rPr>
          <w:rFonts w:ascii="Times New Roman" w:hAnsi="Times New Roman" w:cs="Times New Roman"/>
          <w:sz w:val="20"/>
          <w:szCs w:val="20"/>
        </w:rPr>
        <w:t xml:space="preserve"> (U.S. </w:t>
      </w:r>
      <w:proofErr w:type="spellStart"/>
      <w:r w:rsidRPr="00E61A91">
        <w:rPr>
          <w:rFonts w:ascii="Times New Roman" w:hAnsi="Times New Roman" w:cs="Times New Roman"/>
          <w:sz w:val="20"/>
          <w:szCs w:val="20"/>
        </w:rPr>
        <w:t>Constitution’s</w:t>
      </w:r>
      <w:proofErr w:type="spellEnd"/>
      <w:r w:rsidRPr="00E61A91">
        <w:rPr>
          <w:rFonts w:ascii="Times New Roman" w:hAnsi="Times New Roman" w:cs="Times New Roman"/>
          <w:sz w:val="20"/>
          <w:szCs w:val="20"/>
        </w:rPr>
        <w:t xml:space="preserve"> “Commerce </w:t>
      </w:r>
      <w:proofErr w:type="spellStart"/>
      <w:r w:rsidRPr="00E61A91">
        <w:rPr>
          <w:rFonts w:ascii="Times New Roman" w:hAnsi="Times New Roman" w:cs="Times New Roman"/>
          <w:sz w:val="20"/>
          <w:szCs w:val="20"/>
        </w:rPr>
        <w:t>Clause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allows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Congress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preempt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involving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publicly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traded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corporations</w:t>
      </w:r>
      <w:proofErr w:type="spellEnd"/>
      <w:r w:rsidRPr="00E61A91">
        <w:rPr>
          <w:rFonts w:ascii="Times New Roman" w:hAnsi="Times New Roman" w:cs="Times New Roman"/>
          <w:sz w:val="20"/>
          <w:szCs w:val="20"/>
        </w:rPr>
        <w:t xml:space="preserve"> (Arthur R. </w:t>
      </w:r>
      <w:proofErr w:type="spellStart"/>
      <w:r w:rsidRPr="00E61A91">
        <w:rPr>
          <w:rFonts w:ascii="Times New Roman" w:hAnsi="Times New Roman" w:cs="Times New Roman"/>
          <w:sz w:val="20"/>
          <w:szCs w:val="20"/>
        </w:rPr>
        <w:t>Pinto</w:t>
      </w:r>
      <w:proofErr w:type="spellEnd"/>
      <w:r w:rsidRPr="00E61A91">
        <w:rPr>
          <w:rFonts w:ascii="Times New Roman" w:hAnsi="Times New Roman" w:cs="Times New Roman"/>
          <w:sz w:val="20"/>
          <w:szCs w:val="20"/>
        </w:rPr>
        <w:t xml:space="preserve">, </w:t>
      </w:r>
      <w:r w:rsidRPr="00E61A91">
        <w:rPr>
          <w:rFonts w:ascii="Times New Roman" w:hAnsi="Times New Roman" w:cs="Times New Roman"/>
          <w:i/>
          <w:sz w:val="20"/>
          <w:szCs w:val="20"/>
        </w:rPr>
        <w:t>“</w:t>
      </w:r>
      <w:proofErr w:type="spellStart"/>
      <w:r w:rsidRPr="00E61A91">
        <w:rPr>
          <w:rFonts w:ascii="Times New Roman" w:hAnsi="Times New Roman" w:cs="Times New Roman"/>
          <w:i/>
          <w:sz w:val="20"/>
          <w:szCs w:val="20"/>
        </w:rPr>
        <w:t>The</w:t>
      </w:r>
      <w:proofErr w:type="spellEnd"/>
      <w:r w:rsidRPr="00E61A91">
        <w:rPr>
          <w:rFonts w:ascii="Times New Roman" w:hAnsi="Times New Roman" w:cs="Times New Roman"/>
          <w:i/>
          <w:sz w:val="20"/>
          <w:szCs w:val="20"/>
        </w:rPr>
        <w:t xml:space="preserve"> United </w:t>
      </w:r>
      <w:proofErr w:type="spellStart"/>
      <w:r w:rsidRPr="00E61A91">
        <w:rPr>
          <w:rFonts w:ascii="Times New Roman" w:hAnsi="Times New Roman" w:cs="Times New Roman"/>
          <w:i/>
          <w:sz w:val="20"/>
          <w:szCs w:val="20"/>
        </w:rPr>
        <w:t>States</w:t>
      </w:r>
      <w:proofErr w:type="spellEnd"/>
      <w:r w:rsidRPr="00E61A91">
        <w:rPr>
          <w:rFonts w:ascii="Times New Roman" w:hAnsi="Times New Roman" w:cs="Times New Roman"/>
          <w:i/>
          <w:sz w:val="20"/>
          <w:szCs w:val="20"/>
        </w:rPr>
        <w:t>”,</w:t>
      </w:r>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Public</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Companies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Role of </w:t>
      </w:r>
      <w:proofErr w:type="spellStart"/>
      <w:r w:rsidRPr="00E61A91">
        <w:rPr>
          <w:rFonts w:ascii="Times New Roman" w:hAnsi="Times New Roman" w:cs="Times New Roman"/>
          <w:sz w:val="20"/>
          <w:szCs w:val="20"/>
        </w:rPr>
        <w:t>Shareholders</w:t>
      </w:r>
      <w:proofErr w:type="spellEnd"/>
      <w:r w:rsidRPr="00E61A91">
        <w:rPr>
          <w:rFonts w:ascii="Times New Roman" w:hAnsi="Times New Roman" w:cs="Times New Roman"/>
          <w:sz w:val="20"/>
          <w:szCs w:val="20"/>
        </w:rPr>
        <w:t xml:space="preserve"> 16, Ed. </w:t>
      </w:r>
      <w:proofErr w:type="spellStart"/>
      <w:r w:rsidRPr="00E61A91">
        <w:rPr>
          <w:rFonts w:ascii="Times New Roman" w:hAnsi="Times New Roman" w:cs="Times New Roman"/>
          <w:sz w:val="20"/>
          <w:szCs w:val="20"/>
        </w:rPr>
        <w:t>Sabrina</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Bruno</w:t>
      </w:r>
      <w:proofErr w:type="spellEnd"/>
      <w:r w:rsidRPr="00E61A91">
        <w:rPr>
          <w:rFonts w:ascii="Times New Roman" w:hAnsi="Times New Roman" w:cs="Times New Roman"/>
          <w:sz w:val="20"/>
          <w:szCs w:val="20"/>
        </w:rPr>
        <w:t>/</w:t>
      </w:r>
      <w:proofErr w:type="spellStart"/>
      <w:r w:rsidRPr="00E61A91">
        <w:rPr>
          <w:rFonts w:ascii="Times New Roman" w:hAnsi="Times New Roman" w:cs="Times New Roman"/>
          <w:sz w:val="20"/>
          <w:szCs w:val="20"/>
        </w:rPr>
        <w:t>Eugenio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Ruggiero</w:t>
      </w:r>
      <w:proofErr w:type="spellEnd"/>
      <w:r w:rsidRPr="00E61A91">
        <w:rPr>
          <w:rFonts w:ascii="Times New Roman" w:hAnsi="Times New Roman" w:cs="Times New Roman"/>
          <w:sz w:val="20"/>
          <w:szCs w:val="20"/>
        </w:rPr>
        <w:t xml:space="preserve"> (2011))), </w:t>
      </w:r>
      <w:proofErr w:type="spellStart"/>
      <w:r w:rsidRPr="00E61A91">
        <w:rPr>
          <w:rFonts w:ascii="Times New Roman" w:hAnsi="Times New Roman" w:cs="Times New Roman"/>
          <w:sz w:val="20"/>
          <w:szCs w:val="20"/>
        </w:rPr>
        <w:t>there</w:t>
      </w:r>
      <w:proofErr w:type="spellEnd"/>
      <w:r w:rsidRPr="00E61A91">
        <w:rPr>
          <w:rFonts w:ascii="Times New Roman" w:hAnsi="Times New Roman" w:cs="Times New Roman"/>
          <w:sz w:val="20"/>
          <w:szCs w:val="20"/>
        </w:rPr>
        <w:t xml:space="preserve"> is </w:t>
      </w:r>
      <w:proofErr w:type="spellStart"/>
      <w:r w:rsidRPr="00E61A91">
        <w:rPr>
          <w:rFonts w:ascii="Times New Roman" w:hAnsi="Times New Roman" w:cs="Times New Roman"/>
          <w:sz w:val="20"/>
          <w:szCs w:val="20"/>
        </w:rPr>
        <w:t>no</w:t>
      </w:r>
      <w:proofErr w:type="spellEnd"/>
      <w:r w:rsidRPr="00E61A91">
        <w:rPr>
          <w:rFonts w:ascii="Times New Roman" w:hAnsi="Times New Roman" w:cs="Times New Roman"/>
          <w:sz w:val="20"/>
          <w:szCs w:val="20"/>
        </w:rPr>
        <w:t xml:space="preserve"> general federal </w:t>
      </w:r>
      <w:proofErr w:type="spellStart"/>
      <w:r w:rsidRPr="00E61A91">
        <w:rPr>
          <w:rFonts w:ascii="Times New Roman" w:hAnsi="Times New Roman" w:cs="Times New Roman"/>
          <w:sz w:val="20"/>
          <w:szCs w:val="20"/>
        </w:rPr>
        <w:t>corporation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statute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have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authority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govern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internal</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affairs</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corporations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incorporated</w:t>
      </w:r>
      <w:proofErr w:type="spellEnd"/>
      <w:r w:rsidRPr="00E61A91">
        <w:rPr>
          <w:rFonts w:ascii="Times New Roman" w:hAnsi="Times New Roman" w:cs="Times New Roman"/>
          <w:sz w:val="20"/>
          <w:szCs w:val="20"/>
        </w:rPr>
        <w:t xml:space="preserve"> in </w:t>
      </w:r>
      <w:proofErr w:type="spellStart"/>
      <w:r w:rsidRPr="00E61A91">
        <w:rPr>
          <w:rFonts w:ascii="Times New Roman" w:hAnsi="Times New Roman" w:cs="Times New Roman"/>
          <w:sz w:val="20"/>
          <w:szCs w:val="20"/>
        </w:rPr>
        <w:t>their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w:t>
      </w:r>
      <w:proofErr w:type="spellEnd"/>
      <w:r w:rsidRPr="00E61A91">
        <w:rPr>
          <w:rFonts w:ascii="Times New Roman" w:hAnsi="Times New Roman" w:cs="Times New Roman"/>
          <w:sz w:val="20"/>
          <w:szCs w:val="20"/>
        </w:rPr>
        <w:t xml:space="preserve"> (</w:t>
      </w:r>
      <w:r w:rsidRPr="00E61A91">
        <w:rPr>
          <w:rFonts w:ascii="Times New Roman" w:hAnsi="Times New Roman" w:cs="Times New Roman"/>
          <w:color w:val="000000" w:themeColor="text1"/>
          <w:sz w:val="20"/>
          <w:szCs w:val="20"/>
        </w:rPr>
        <w:t xml:space="preserve">CTS </w:t>
      </w:r>
      <w:proofErr w:type="spellStart"/>
      <w:r w:rsidRPr="00E61A91">
        <w:rPr>
          <w:rFonts w:ascii="Times New Roman" w:hAnsi="Times New Roman" w:cs="Times New Roman"/>
          <w:color w:val="000000" w:themeColor="text1"/>
          <w:sz w:val="20"/>
          <w:szCs w:val="20"/>
        </w:rPr>
        <w:t>Corp</w:t>
      </w:r>
      <w:proofErr w:type="spellEnd"/>
      <w:r w:rsidRPr="00E61A91">
        <w:rPr>
          <w:rFonts w:ascii="Times New Roman" w:hAnsi="Times New Roman" w:cs="Times New Roman"/>
          <w:color w:val="000000" w:themeColor="text1"/>
          <w:sz w:val="20"/>
          <w:szCs w:val="20"/>
        </w:rPr>
        <w:t xml:space="preserve">. v. Dynamics </w:t>
      </w:r>
      <w:proofErr w:type="spellStart"/>
      <w:r w:rsidRPr="00E61A91">
        <w:rPr>
          <w:rFonts w:ascii="Times New Roman" w:hAnsi="Times New Roman" w:cs="Times New Roman"/>
          <w:color w:val="000000" w:themeColor="text1"/>
          <w:sz w:val="20"/>
          <w:szCs w:val="20"/>
        </w:rPr>
        <w:t>Corp</w:t>
      </w:r>
      <w:proofErr w:type="spellEnd"/>
      <w:r w:rsidRPr="00E61A91">
        <w:rPr>
          <w:rFonts w:ascii="Times New Roman" w:hAnsi="Times New Roman" w:cs="Times New Roman"/>
          <w:color w:val="000000" w:themeColor="text1"/>
          <w:sz w:val="20"/>
          <w:szCs w:val="20"/>
        </w:rPr>
        <w:t xml:space="preserve">., 481 U.S. 69 (1987) </w:t>
      </w:r>
      <w:proofErr w:type="spellStart"/>
      <w:r w:rsidRPr="00E61A91">
        <w:rPr>
          <w:rFonts w:ascii="Times New Roman" w:hAnsi="Times New Roman" w:cs="Times New Roman"/>
          <w:color w:val="000000" w:themeColor="text1"/>
          <w:sz w:val="20"/>
          <w:szCs w:val="20"/>
        </w:rPr>
        <w:t>and</w:t>
      </w:r>
      <w:proofErr w:type="spellEnd"/>
      <w:r w:rsidRPr="00E61A91">
        <w:rPr>
          <w:rFonts w:ascii="Times New Roman" w:hAnsi="Times New Roman" w:cs="Times New Roman"/>
          <w:color w:val="000000" w:themeColor="text1"/>
          <w:sz w:val="20"/>
          <w:szCs w:val="20"/>
        </w:rPr>
        <w:t xml:space="preserve"> </w:t>
      </w:r>
      <w:r w:rsidRPr="00E61A91">
        <w:rPr>
          <w:rFonts w:ascii="Times New Roman" w:hAnsi="Times New Roman" w:cs="Times New Roman"/>
          <w:sz w:val="20"/>
          <w:szCs w:val="20"/>
        </w:rPr>
        <w:t xml:space="preserve">Ellen S. </w:t>
      </w:r>
      <w:proofErr w:type="spellStart"/>
      <w:r w:rsidRPr="00E61A91">
        <w:rPr>
          <w:rFonts w:ascii="Times New Roman" w:hAnsi="Times New Roman" w:cs="Times New Roman"/>
          <w:sz w:val="20"/>
          <w:szCs w:val="20"/>
        </w:rPr>
        <w:t>Podgor</w:t>
      </w:r>
      <w:proofErr w:type="spellEnd"/>
      <w:r w:rsidRPr="00E61A91">
        <w:rPr>
          <w:rFonts w:ascii="Times New Roman" w:hAnsi="Times New Roman" w:cs="Times New Roman"/>
          <w:sz w:val="20"/>
          <w:szCs w:val="20"/>
        </w:rPr>
        <w:t xml:space="preserve">, John F. Cooper, </w:t>
      </w:r>
      <w:proofErr w:type="spellStart"/>
      <w:r w:rsidRPr="00E61A91">
        <w:rPr>
          <w:rFonts w:ascii="Times New Roman" w:hAnsi="Times New Roman" w:cs="Times New Roman"/>
          <w:i/>
          <w:sz w:val="20"/>
          <w:szCs w:val="20"/>
        </w:rPr>
        <w:t>Overview</w:t>
      </w:r>
      <w:proofErr w:type="spellEnd"/>
      <w:r w:rsidRPr="00E61A91">
        <w:rPr>
          <w:rFonts w:ascii="Times New Roman" w:hAnsi="Times New Roman" w:cs="Times New Roman"/>
          <w:i/>
          <w:sz w:val="20"/>
          <w:szCs w:val="20"/>
        </w:rPr>
        <w:t xml:space="preserve"> of U.S. </w:t>
      </w:r>
      <w:proofErr w:type="spellStart"/>
      <w:r w:rsidRPr="00E61A91">
        <w:rPr>
          <w:rFonts w:ascii="Times New Roman" w:hAnsi="Times New Roman" w:cs="Times New Roman"/>
          <w:i/>
          <w:sz w:val="20"/>
          <w:szCs w:val="20"/>
        </w:rPr>
        <w:t>Law</w:t>
      </w:r>
      <w:proofErr w:type="spellEnd"/>
      <w:r w:rsidRPr="00E61A91">
        <w:rPr>
          <w:rFonts w:ascii="Times New Roman" w:hAnsi="Times New Roman" w:cs="Times New Roman"/>
          <w:sz w:val="20"/>
          <w:szCs w:val="20"/>
        </w:rPr>
        <w:t xml:space="preserve"> 264 (2009). A Delaware </w:t>
      </w:r>
      <w:proofErr w:type="spellStart"/>
      <w:r w:rsidRPr="00E61A91">
        <w:rPr>
          <w:rFonts w:ascii="Times New Roman" w:hAnsi="Times New Roman" w:cs="Times New Roman"/>
          <w:sz w:val="20"/>
          <w:szCs w:val="20"/>
        </w:rPr>
        <w:t>court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explains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internal</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affairs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doctrine</w:t>
      </w:r>
      <w:proofErr w:type="spellEnd"/>
      <w:r w:rsidRPr="00E61A91">
        <w:rPr>
          <w:rFonts w:ascii="Times New Roman" w:hAnsi="Times New Roman" w:cs="Times New Roman"/>
          <w:sz w:val="20"/>
          <w:szCs w:val="20"/>
        </w:rPr>
        <w:t xml:space="preserve">” as </w:t>
      </w:r>
      <w:proofErr w:type="spellStart"/>
      <w:r w:rsidRPr="00E61A91">
        <w:rPr>
          <w:rFonts w:ascii="Times New Roman" w:hAnsi="Times New Roman" w:cs="Times New Roman"/>
          <w:sz w:val="20"/>
          <w:szCs w:val="20"/>
        </w:rPr>
        <w:t>follows</w:t>
      </w:r>
      <w:proofErr w:type="spellEnd"/>
      <w:r w:rsidRPr="00E61A91">
        <w:rPr>
          <w:rFonts w:ascii="Times New Roman" w:hAnsi="Times New Roman" w:cs="Times New Roman"/>
          <w:sz w:val="20"/>
          <w:szCs w:val="20"/>
        </w:rPr>
        <w:t>: “</w:t>
      </w:r>
      <w:proofErr w:type="spellStart"/>
      <w:r w:rsidRPr="00E61A91">
        <w:rPr>
          <w:rFonts w:ascii="Times New Roman" w:hAnsi="Times New Roman" w:cs="Times New Roman"/>
          <w:sz w:val="20"/>
          <w:szCs w:val="20"/>
        </w:rPr>
        <w:t>Internal</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affairs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involve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those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matters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which</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peculiar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relationships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among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or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between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its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current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officers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directors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shareholders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internal</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affairs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doctrine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requires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that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incorporation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should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determine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issues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relating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internal</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affairs</w:t>
      </w:r>
      <w:proofErr w:type="spellEnd"/>
      <w:r w:rsidRPr="00E61A91">
        <w:rPr>
          <w:rFonts w:ascii="Times New Roman" w:hAnsi="Times New Roman" w:cs="Times New Roman"/>
          <w:sz w:val="20"/>
          <w:szCs w:val="20"/>
        </w:rPr>
        <w:t>” (</w:t>
      </w:r>
      <w:proofErr w:type="spellStart"/>
      <w:r w:rsidRPr="00E61A91">
        <w:rPr>
          <w:rFonts w:ascii="Times New Roman" w:hAnsi="Times New Roman" w:cs="Times New Roman"/>
          <w:sz w:val="20"/>
          <w:szCs w:val="20"/>
        </w:rPr>
        <w:t>McDermott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Inc</w:t>
      </w:r>
      <w:proofErr w:type="spellEnd"/>
      <w:r w:rsidRPr="00E61A91">
        <w:rPr>
          <w:rFonts w:ascii="Times New Roman" w:hAnsi="Times New Roman" w:cs="Times New Roman"/>
          <w:sz w:val="20"/>
          <w:szCs w:val="20"/>
        </w:rPr>
        <w:t xml:space="preserve">. v. </w:t>
      </w:r>
      <w:proofErr w:type="spellStart"/>
      <w:r w:rsidRPr="00E61A91">
        <w:rPr>
          <w:rFonts w:ascii="Times New Roman" w:hAnsi="Times New Roman" w:cs="Times New Roman"/>
          <w:sz w:val="20"/>
          <w:szCs w:val="20"/>
        </w:rPr>
        <w:t>Lewis</w:t>
      </w:r>
      <w:proofErr w:type="spellEnd"/>
      <w:r w:rsidRPr="00E61A91">
        <w:rPr>
          <w:rFonts w:ascii="Times New Roman" w:hAnsi="Times New Roman" w:cs="Times New Roman"/>
          <w:sz w:val="20"/>
          <w:szCs w:val="20"/>
        </w:rPr>
        <w:t xml:space="preserve">, 531 A.2d 206 (Del. 1987)). </w:t>
      </w:r>
      <w:proofErr w:type="spellStart"/>
      <w:r w:rsidRPr="00E61A91">
        <w:rPr>
          <w:rFonts w:ascii="Times New Roman" w:hAnsi="Times New Roman" w:cs="Times New Roman"/>
          <w:sz w:val="20"/>
          <w:szCs w:val="20"/>
        </w:rPr>
        <w:t>In</w:t>
      </w:r>
      <w:proofErr w:type="spellEnd"/>
      <w:r w:rsidRPr="00E61A91">
        <w:rPr>
          <w:rFonts w:ascii="Times New Roman" w:hAnsi="Times New Roman" w:cs="Times New Roman"/>
          <w:sz w:val="20"/>
          <w:szCs w:val="20"/>
        </w:rPr>
        <w:t xml:space="preserve"> U.S., </w:t>
      </w:r>
      <w:proofErr w:type="spellStart"/>
      <w:r w:rsidRPr="00E61A91">
        <w:rPr>
          <w:rFonts w:ascii="Times New Roman" w:hAnsi="Times New Roman" w:cs="Times New Roman"/>
          <w:sz w:val="20"/>
          <w:szCs w:val="20"/>
        </w:rPr>
        <w:t>having</w:t>
      </w:r>
      <w:proofErr w:type="spellEnd"/>
      <w:r w:rsidRPr="00E61A91">
        <w:rPr>
          <w:rFonts w:ascii="Times New Roman" w:hAnsi="Times New Roman" w:cs="Times New Roman"/>
          <w:sz w:val="20"/>
          <w:szCs w:val="20"/>
        </w:rPr>
        <w:t xml:space="preserve"> a federal </w:t>
      </w:r>
      <w:proofErr w:type="spellStart"/>
      <w:r w:rsidRPr="00E61A91">
        <w:rPr>
          <w:rFonts w:ascii="Times New Roman" w:hAnsi="Times New Roman" w:cs="Times New Roman"/>
          <w:sz w:val="20"/>
          <w:szCs w:val="20"/>
        </w:rPr>
        <w:t>corporate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statute</w:t>
      </w:r>
      <w:proofErr w:type="spellEnd"/>
      <w:r w:rsidRPr="00E61A91">
        <w:rPr>
          <w:rFonts w:ascii="Times New Roman" w:hAnsi="Times New Roman" w:cs="Times New Roman"/>
          <w:sz w:val="20"/>
          <w:szCs w:val="20"/>
        </w:rPr>
        <w:t xml:space="preserve"> is </w:t>
      </w:r>
      <w:proofErr w:type="spellStart"/>
      <w:r w:rsidRPr="00E61A91">
        <w:rPr>
          <w:rFonts w:ascii="Times New Roman" w:hAnsi="Times New Roman" w:cs="Times New Roman"/>
          <w:sz w:val="20"/>
          <w:szCs w:val="20"/>
        </w:rPr>
        <w:t>considered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politically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unrealistic</w:t>
      </w:r>
      <w:proofErr w:type="spellEnd"/>
      <w:r w:rsidRPr="00E61A91">
        <w:rPr>
          <w:rFonts w:ascii="Times New Roman" w:hAnsi="Times New Roman" w:cs="Times New Roman"/>
          <w:sz w:val="20"/>
          <w:szCs w:val="20"/>
        </w:rPr>
        <w:t>” (</w:t>
      </w:r>
      <w:proofErr w:type="spellStart"/>
      <w:r w:rsidRPr="00E61A91">
        <w:rPr>
          <w:rFonts w:ascii="Times New Roman" w:hAnsi="Times New Roman" w:cs="Times New Roman"/>
          <w:sz w:val="20"/>
          <w:szCs w:val="20"/>
        </w:rPr>
        <w:t>Balotti</w:t>
      </w:r>
      <w:proofErr w:type="spellEnd"/>
      <w:r w:rsidRPr="00E61A91">
        <w:rPr>
          <w:rFonts w:ascii="Times New Roman" w:hAnsi="Times New Roman" w:cs="Times New Roman"/>
          <w:sz w:val="20"/>
          <w:szCs w:val="20"/>
        </w:rPr>
        <w:t>/</w:t>
      </w:r>
      <w:proofErr w:type="spellStart"/>
      <w:r w:rsidRPr="00E61A91">
        <w:rPr>
          <w:rFonts w:ascii="Times New Roman" w:hAnsi="Times New Roman" w:cs="Times New Roman"/>
          <w:sz w:val="20"/>
          <w:szCs w:val="20"/>
        </w:rPr>
        <w:t>Finkelstein</w:t>
      </w:r>
      <w:proofErr w:type="spellEnd"/>
      <w:r w:rsidRPr="00E61A91">
        <w:rPr>
          <w:rFonts w:ascii="Times New Roman" w:hAnsi="Times New Roman" w:cs="Times New Roman"/>
          <w:sz w:val="20"/>
          <w:szCs w:val="20"/>
        </w:rPr>
        <w:t xml:space="preserve">, p. G-15)). </w:t>
      </w:r>
      <w:proofErr w:type="spellStart"/>
      <w:r w:rsidRPr="00E61A91">
        <w:rPr>
          <w:rFonts w:ascii="Times New Roman" w:hAnsi="Times New Roman" w:cs="Times New Roman"/>
          <w:sz w:val="20"/>
          <w:szCs w:val="20"/>
        </w:rPr>
        <w:t>This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being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said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seems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vary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little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from</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bCs/>
          <w:color w:val="000000"/>
          <w:sz w:val="20"/>
          <w:szCs w:val="20"/>
        </w:rPr>
        <w:t>Brett</w:t>
      </w:r>
      <w:proofErr w:type="spellEnd"/>
      <w:r w:rsidRPr="00E61A91">
        <w:rPr>
          <w:rFonts w:ascii="Times New Roman" w:hAnsi="Times New Roman" w:cs="Times New Roman"/>
          <w:bCs/>
          <w:color w:val="000000"/>
          <w:sz w:val="20"/>
          <w:szCs w:val="20"/>
        </w:rPr>
        <w:t xml:space="preserve"> H. McDonnell, </w:t>
      </w:r>
      <w:proofErr w:type="spellStart"/>
      <w:r w:rsidRPr="00E61A91">
        <w:rPr>
          <w:rFonts w:ascii="Times New Roman" w:hAnsi="Times New Roman" w:cs="Times New Roman"/>
          <w:bCs/>
          <w:i/>
          <w:color w:val="000000"/>
          <w:sz w:val="20"/>
          <w:szCs w:val="20"/>
        </w:rPr>
        <w:t>Two</w:t>
      </w:r>
      <w:proofErr w:type="spellEnd"/>
      <w:r w:rsidRPr="00E61A91">
        <w:rPr>
          <w:rFonts w:ascii="Times New Roman" w:hAnsi="Times New Roman" w:cs="Times New Roman"/>
          <w:bCs/>
          <w:i/>
          <w:color w:val="000000"/>
          <w:sz w:val="20"/>
          <w:szCs w:val="20"/>
        </w:rPr>
        <w:t xml:space="preserve"> </w:t>
      </w:r>
      <w:proofErr w:type="spellStart"/>
      <w:r w:rsidRPr="00E61A91">
        <w:rPr>
          <w:rFonts w:ascii="Times New Roman" w:hAnsi="Times New Roman" w:cs="Times New Roman"/>
          <w:bCs/>
          <w:i/>
          <w:color w:val="000000"/>
          <w:sz w:val="20"/>
          <w:szCs w:val="20"/>
        </w:rPr>
        <w:t>Cheers</w:t>
      </w:r>
      <w:proofErr w:type="spellEnd"/>
      <w:r w:rsidRPr="00E61A91">
        <w:rPr>
          <w:rFonts w:ascii="Times New Roman" w:hAnsi="Times New Roman" w:cs="Times New Roman"/>
          <w:bCs/>
          <w:i/>
          <w:color w:val="000000"/>
          <w:sz w:val="20"/>
          <w:szCs w:val="20"/>
        </w:rPr>
        <w:t xml:space="preserve"> </w:t>
      </w:r>
      <w:proofErr w:type="spellStart"/>
      <w:r w:rsidRPr="00E61A91">
        <w:rPr>
          <w:rFonts w:ascii="Times New Roman" w:hAnsi="Times New Roman" w:cs="Times New Roman"/>
          <w:bCs/>
          <w:i/>
          <w:color w:val="000000"/>
          <w:sz w:val="20"/>
          <w:szCs w:val="20"/>
        </w:rPr>
        <w:t>for</w:t>
      </w:r>
      <w:proofErr w:type="spellEnd"/>
      <w:r w:rsidRPr="00E61A91">
        <w:rPr>
          <w:rFonts w:ascii="Times New Roman" w:hAnsi="Times New Roman" w:cs="Times New Roman"/>
          <w:bCs/>
          <w:i/>
          <w:color w:val="000000"/>
          <w:sz w:val="20"/>
          <w:szCs w:val="20"/>
        </w:rPr>
        <w:t xml:space="preserve"> </w:t>
      </w:r>
      <w:proofErr w:type="spellStart"/>
      <w:r w:rsidRPr="00E61A91">
        <w:rPr>
          <w:rFonts w:ascii="Times New Roman" w:hAnsi="Times New Roman" w:cs="Times New Roman"/>
          <w:bCs/>
          <w:i/>
          <w:color w:val="000000"/>
          <w:sz w:val="20"/>
          <w:szCs w:val="20"/>
        </w:rPr>
        <w:t>Corporate</w:t>
      </w:r>
      <w:proofErr w:type="spellEnd"/>
      <w:r w:rsidRPr="00E61A91">
        <w:rPr>
          <w:rFonts w:ascii="Times New Roman" w:hAnsi="Times New Roman" w:cs="Times New Roman"/>
          <w:bCs/>
          <w:i/>
          <w:color w:val="000000"/>
          <w:sz w:val="20"/>
          <w:szCs w:val="20"/>
        </w:rPr>
        <w:t xml:space="preserve"> </w:t>
      </w:r>
      <w:proofErr w:type="spellStart"/>
      <w:r w:rsidRPr="00E61A91">
        <w:rPr>
          <w:rFonts w:ascii="Times New Roman" w:hAnsi="Times New Roman" w:cs="Times New Roman"/>
          <w:bCs/>
          <w:i/>
          <w:color w:val="000000"/>
          <w:sz w:val="20"/>
          <w:szCs w:val="20"/>
        </w:rPr>
        <w:t>Law</w:t>
      </w:r>
      <w:proofErr w:type="spellEnd"/>
      <w:r w:rsidRPr="00E61A91">
        <w:rPr>
          <w:rFonts w:ascii="Times New Roman" w:hAnsi="Times New Roman" w:cs="Times New Roman"/>
          <w:bCs/>
          <w:i/>
          <w:color w:val="000000"/>
          <w:sz w:val="20"/>
          <w:szCs w:val="20"/>
        </w:rPr>
        <w:t xml:space="preserve"> </w:t>
      </w:r>
      <w:proofErr w:type="spellStart"/>
      <w:r w:rsidRPr="00E61A91">
        <w:rPr>
          <w:rFonts w:ascii="Times New Roman" w:hAnsi="Times New Roman" w:cs="Times New Roman"/>
          <w:bCs/>
          <w:i/>
          <w:color w:val="000000"/>
          <w:sz w:val="20"/>
          <w:szCs w:val="20"/>
        </w:rPr>
        <w:t>Federalism</w:t>
      </w:r>
      <w:proofErr w:type="spellEnd"/>
      <w:r w:rsidRPr="00E61A91">
        <w:rPr>
          <w:rFonts w:ascii="Times New Roman" w:hAnsi="Times New Roman" w:cs="Times New Roman"/>
          <w:bCs/>
          <w:color w:val="000000"/>
          <w:sz w:val="20"/>
          <w:szCs w:val="20"/>
        </w:rPr>
        <w:t xml:space="preserve">, 30 J. </w:t>
      </w:r>
      <w:proofErr w:type="spellStart"/>
      <w:r w:rsidRPr="00E61A91">
        <w:rPr>
          <w:rFonts w:ascii="Times New Roman" w:hAnsi="Times New Roman" w:cs="Times New Roman"/>
          <w:bCs/>
          <w:color w:val="000000"/>
          <w:sz w:val="20"/>
          <w:szCs w:val="20"/>
        </w:rPr>
        <w:t>Corp</w:t>
      </w:r>
      <w:proofErr w:type="spellEnd"/>
      <w:r w:rsidRPr="00E61A91">
        <w:rPr>
          <w:rFonts w:ascii="Times New Roman" w:hAnsi="Times New Roman" w:cs="Times New Roman"/>
          <w:bCs/>
          <w:color w:val="000000"/>
          <w:sz w:val="20"/>
          <w:szCs w:val="20"/>
        </w:rPr>
        <w:t>. L. 99 (2005) at 109</w:t>
      </w:r>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federal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plays</w:t>
      </w:r>
      <w:proofErr w:type="spellEnd"/>
      <w:r w:rsidRPr="00E61A91">
        <w:rPr>
          <w:rFonts w:ascii="Times New Roman" w:hAnsi="Times New Roman" w:cs="Times New Roman"/>
          <w:sz w:val="20"/>
          <w:szCs w:val="20"/>
        </w:rPr>
        <w:t xml:space="preserve"> a </w:t>
      </w:r>
      <w:proofErr w:type="spellStart"/>
      <w:r w:rsidRPr="00E61A91">
        <w:rPr>
          <w:rFonts w:ascii="Times New Roman" w:hAnsi="Times New Roman" w:cs="Times New Roman"/>
          <w:sz w:val="20"/>
          <w:szCs w:val="20"/>
        </w:rPr>
        <w:t>significant</w:t>
      </w:r>
      <w:proofErr w:type="spellEnd"/>
      <w:r w:rsidRPr="00E61A91">
        <w:rPr>
          <w:rFonts w:ascii="Times New Roman" w:hAnsi="Times New Roman" w:cs="Times New Roman"/>
          <w:sz w:val="20"/>
          <w:szCs w:val="20"/>
        </w:rPr>
        <w:t xml:space="preserve"> role in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functioning</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internal</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governance</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corporations</w:t>
      </w:r>
      <w:proofErr w:type="spellEnd"/>
      <w:r w:rsidRPr="00E61A91">
        <w:rPr>
          <w:rFonts w:ascii="Times New Roman" w:hAnsi="Times New Roman" w:cs="Times New Roman"/>
          <w:sz w:val="20"/>
          <w:szCs w:val="20"/>
        </w:rPr>
        <w:t xml:space="preserve"> (</w:t>
      </w:r>
      <w:proofErr w:type="spellStart"/>
      <w:r w:rsidRPr="00E61A91">
        <w:rPr>
          <w:rFonts w:ascii="Times New Roman" w:eastAsia="MS Mincho" w:hAnsi="Times New Roman" w:cs="Times New Roman"/>
          <w:sz w:val="20"/>
          <w:szCs w:val="20"/>
        </w:rPr>
        <w:t>Lucian</w:t>
      </w:r>
      <w:proofErr w:type="spellEnd"/>
      <w:r w:rsidRPr="00E61A91">
        <w:rPr>
          <w:rFonts w:ascii="Times New Roman" w:eastAsia="MS Mincho" w:hAnsi="Times New Roman" w:cs="Times New Roman"/>
          <w:sz w:val="20"/>
          <w:szCs w:val="20"/>
        </w:rPr>
        <w:t xml:space="preserve"> </w:t>
      </w:r>
      <w:proofErr w:type="spellStart"/>
      <w:r w:rsidRPr="00E61A91">
        <w:rPr>
          <w:rFonts w:ascii="Times New Roman" w:eastAsia="MS Mincho" w:hAnsi="Times New Roman" w:cs="Times New Roman"/>
          <w:sz w:val="20"/>
          <w:szCs w:val="20"/>
        </w:rPr>
        <w:t>Arye</w:t>
      </w:r>
      <w:proofErr w:type="spellEnd"/>
      <w:r w:rsidRPr="00E61A91">
        <w:rPr>
          <w:rFonts w:ascii="Times New Roman" w:eastAsia="MS Mincho" w:hAnsi="Times New Roman" w:cs="Times New Roman"/>
          <w:sz w:val="20"/>
          <w:szCs w:val="20"/>
        </w:rPr>
        <w:t xml:space="preserve"> </w:t>
      </w:r>
      <w:proofErr w:type="spellStart"/>
      <w:r w:rsidRPr="00E61A91">
        <w:rPr>
          <w:rFonts w:ascii="Times New Roman" w:eastAsia="MS Mincho" w:hAnsi="Times New Roman" w:cs="Times New Roman"/>
          <w:sz w:val="20"/>
          <w:szCs w:val="20"/>
        </w:rPr>
        <w:t>Bebchuk</w:t>
      </w:r>
      <w:proofErr w:type="spellEnd"/>
      <w:r w:rsidRPr="00E61A91">
        <w:rPr>
          <w:rFonts w:ascii="Times New Roman" w:eastAsia="MS Mincho" w:hAnsi="Times New Roman" w:cs="Times New Roman"/>
          <w:i/>
          <w:sz w:val="20"/>
          <w:szCs w:val="20"/>
        </w:rPr>
        <w:t xml:space="preserve">, </w:t>
      </w:r>
      <w:proofErr w:type="spellStart"/>
      <w:r w:rsidRPr="00E61A91">
        <w:rPr>
          <w:rFonts w:ascii="Times New Roman" w:eastAsia="MS Mincho" w:hAnsi="Times New Roman" w:cs="Times New Roman"/>
          <w:i/>
          <w:sz w:val="20"/>
          <w:szCs w:val="20"/>
        </w:rPr>
        <w:t>Federalism</w:t>
      </w:r>
      <w:proofErr w:type="spellEnd"/>
      <w:r w:rsidRPr="00E61A91">
        <w:rPr>
          <w:rFonts w:ascii="Times New Roman" w:eastAsia="MS Mincho" w:hAnsi="Times New Roman" w:cs="Times New Roman"/>
          <w:i/>
          <w:sz w:val="20"/>
          <w:szCs w:val="20"/>
        </w:rPr>
        <w:t xml:space="preserve"> </w:t>
      </w:r>
      <w:proofErr w:type="spellStart"/>
      <w:r w:rsidRPr="00E61A91">
        <w:rPr>
          <w:rFonts w:ascii="Times New Roman" w:eastAsia="MS Mincho" w:hAnsi="Times New Roman" w:cs="Times New Roman"/>
          <w:i/>
          <w:sz w:val="20"/>
          <w:szCs w:val="20"/>
        </w:rPr>
        <w:t>and</w:t>
      </w:r>
      <w:proofErr w:type="spellEnd"/>
      <w:r w:rsidRPr="00E61A91">
        <w:rPr>
          <w:rFonts w:ascii="Times New Roman" w:eastAsia="MS Mincho" w:hAnsi="Times New Roman" w:cs="Times New Roman"/>
          <w:i/>
          <w:sz w:val="20"/>
          <w:szCs w:val="20"/>
        </w:rPr>
        <w:t xml:space="preserve"> </w:t>
      </w:r>
      <w:proofErr w:type="spellStart"/>
      <w:r w:rsidRPr="00E61A91">
        <w:rPr>
          <w:rFonts w:ascii="Times New Roman" w:eastAsia="MS Mincho" w:hAnsi="Times New Roman" w:cs="Times New Roman"/>
          <w:i/>
          <w:sz w:val="20"/>
          <w:szCs w:val="20"/>
        </w:rPr>
        <w:t>the</w:t>
      </w:r>
      <w:proofErr w:type="spellEnd"/>
      <w:r w:rsidRPr="00E61A91">
        <w:rPr>
          <w:rFonts w:ascii="Times New Roman" w:eastAsia="MS Mincho" w:hAnsi="Times New Roman" w:cs="Times New Roman"/>
          <w:i/>
          <w:sz w:val="20"/>
          <w:szCs w:val="20"/>
        </w:rPr>
        <w:t xml:space="preserve"> Corporation: </w:t>
      </w:r>
      <w:proofErr w:type="spellStart"/>
      <w:r w:rsidRPr="00E61A91">
        <w:rPr>
          <w:rFonts w:ascii="Times New Roman" w:eastAsia="MS Mincho" w:hAnsi="Times New Roman" w:cs="Times New Roman"/>
          <w:i/>
          <w:sz w:val="20"/>
          <w:szCs w:val="20"/>
        </w:rPr>
        <w:t>Desirable</w:t>
      </w:r>
      <w:proofErr w:type="spellEnd"/>
      <w:r w:rsidRPr="00E61A91">
        <w:rPr>
          <w:rFonts w:ascii="Times New Roman" w:eastAsia="MS Mincho" w:hAnsi="Times New Roman" w:cs="Times New Roman"/>
          <w:i/>
          <w:sz w:val="20"/>
          <w:szCs w:val="20"/>
        </w:rPr>
        <w:t xml:space="preserve"> </w:t>
      </w:r>
      <w:proofErr w:type="spellStart"/>
      <w:r w:rsidRPr="00E61A91">
        <w:rPr>
          <w:rFonts w:ascii="Times New Roman" w:eastAsia="MS Mincho" w:hAnsi="Times New Roman" w:cs="Times New Roman"/>
          <w:i/>
          <w:sz w:val="20"/>
          <w:szCs w:val="20"/>
        </w:rPr>
        <w:t>Limits</w:t>
      </w:r>
      <w:proofErr w:type="spellEnd"/>
      <w:r w:rsidRPr="00E61A91">
        <w:rPr>
          <w:rFonts w:ascii="Times New Roman" w:eastAsia="MS Mincho" w:hAnsi="Times New Roman" w:cs="Times New Roman"/>
          <w:i/>
          <w:sz w:val="20"/>
          <w:szCs w:val="20"/>
        </w:rPr>
        <w:t xml:space="preserve"> on </w:t>
      </w:r>
      <w:proofErr w:type="spellStart"/>
      <w:r w:rsidRPr="00E61A91">
        <w:rPr>
          <w:rFonts w:ascii="Times New Roman" w:eastAsia="MS Mincho" w:hAnsi="Times New Roman" w:cs="Times New Roman"/>
          <w:i/>
          <w:sz w:val="20"/>
          <w:szCs w:val="20"/>
        </w:rPr>
        <w:t>State</w:t>
      </w:r>
      <w:proofErr w:type="spellEnd"/>
      <w:r w:rsidRPr="00E61A91">
        <w:rPr>
          <w:rFonts w:ascii="Times New Roman" w:eastAsia="MS Mincho" w:hAnsi="Times New Roman" w:cs="Times New Roman"/>
          <w:i/>
          <w:sz w:val="20"/>
          <w:szCs w:val="20"/>
        </w:rPr>
        <w:t xml:space="preserve"> </w:t>
      </w:r>
      <w:proofErr w:type="spellStart"/>
      <w:r w:rsidRPr="00E61A91">
        <w:rPr>
          <w:rFonts w:ascii="Times New Roman" w:eastAsia="MS Mincho" w:hAnsi="Times New Roman" w:cs="Times New Roman"/>
          <w:i/>
          <w:sz w:val="20"/>
          <w:szCs w:val="20"/>
        </w:rPr>
        <w:t>Competititon</w:t>
      </w:r>
      <w:proofErr w:type="spellEnd"/>
      <w:r w:rsidRPr="00E61A91">
        <w:rPr>
          <w:rFonts w:ascii="Times New Roman" w:eastAsia="MS Mincho" w:hAnsi="Times New Roman" w:cs="Times New Roman"/>
          <w:i/>
          <w:sz w:val="20"/>
          <w:szCs w:val="20"/>
        </w:rPr>
        <w:t xml:space="preserve"> in </w:t>
      </w:r>
      <w:proofErr w:type="spellStart"/>
      <w:r w:rsidRPr="00E61A91">
        <w:rPr>
          <w:rFonts w:ascii="Times New Roman" w:eastAsia="MS Mincho" w:hAnsi="Times New Roman" w:cs="Times New Roman"/>
          <w:i/>
          <w:sz w:val="20"/>
          <w:szCs w:val="20"/>
        </w:rPr>
        <w:t>Corporate</w:t>
      </w:r>
      <w:proofErr w:type="spellEnd"/>
      <w:r w:rsidRPr="00E61A91">
        <w:rPr>
          <w:rFonts w:ascii="Times New Roman" w:eastAsia="MS Mincho" w:hAnsi="Times New Roman" w:cs="Times New Roman"/>
          <w:i/>
          <w:sz w:val="20"/>
          <w:szCs w:val="20"/>
        </w:rPr>
        <w:t xml:space="preserve"> </w:t>
      </w:r>
      <w:proofErr w:type="spellStart"/>
      <w:r w:rsidRPr="00E61A91">
        <w:rPr>
          <w:rFonts w:ascii="Times New Roman" w:eastAsia="MS Mincho" w:hAnsi="Times New Roman" w:cs="Times New Roman"/>
          <w:i/>
          <w:sz w:val="20"/>
          <w:szCs w:val="20"/>
        </w:rPr>
        <w:t>Law</w:t>
      </w:r>
      <w:proofErr w:type="spellEnd"/>
      <w:r w:rsidRPr="00E61A91">
        <w:rPr>
          <w:rFonts w:ascii="Times New Roman" w:eastAsia="MS Mincho" w:hAnsi="Times New Roman" w:cs="Times New Roman"/>
          <w:sz w:val="20"/>
          <w:szCs w:val="20"/>
        </w:rPr>
        <w:t xml:space="preserve">, 105 </w:t>
      </w:r>
      <w:proofErr w:type="spellStart"/>
      <w:r w:rsidRPr="00E61A91">
        <w:rPr>
          <w:rFonts w:ascii="Times New Roman" w:eastAsia="MS Mincho" w:hAnsi="Times New Roman" w:cs="Times New Roman"/>
          <w:sz w:val="20"/>
          <w:szCs w:val="20"/>
        </w:rPr>
        <w:t>Harv</w:t>
      </w:r>
      <w:proofErr w:type="spellEnd"/>
      <w:r w:rsidRPr="00E61A91">
        <w:rPr>
          <w:rFonts w:ascii="Times New Roman" w:eastAsia="MS Mincho" w:hAnsi="Times New Roman" w:cs="Times New Roman"/>
          <w:sz w:val="20"/>
          <w:szCs w:val="20"/>
        </w:rPr>
        <w:t xml:space="preserve">. L. </w:t>
      </w:r>
      <w:proofErr w:type="spellStart"/>
      <w:r w:rsidRPr="00E61A91">
        <w:rPr>
          <w:rFonts w:ascii="Times New Roman" w:eastAsia="MS Mincho" w:hAnsi="Times New Roman" w:cs="Times New Roman"/>
          <w:sz w:val="20"/>
          <w:szCs w:val="20"/>
        </w:rPr>
        <w:t>Rev</w:t>
      </w:r>
      <w:proofErr w:type="spellEnd"/>
      <w:r w:rsidRPr="00E61A91">
        <w:rPr>
          <w:rFonts w:ascii="Times New Roman" w:eastAsia="MS Mincho" w:hAnsi="Times New Roman" w:cs="Times New Roman"/>
          <w:sz w:val="20"/>
          <w:szCs w:val="20"/>
        </w:rPr>
        <w:t>. 1435 (1992) at 1142</w:t>
      </w:r>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that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governs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corporations</w:t>
      </w:r>
      <w:proofErr w:type="spellEnd"/>
      <w:r w:rsidRPr="00E61A91">
        <w:rPr>
          <w:rFonts w:ascii="Times New Roman" w:hAnsi="Times New Roman" w:cs="Times New Roman"/>
          <w:sz w:val="20"/>
          <w:szCs w:val="20"/>
        </w:rPr>
        <w:t xml:space="preserve"> is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a </w:t>
      </w:r>
      <w:proofErr w:type="spellStart"/>
      <w:r w:rsidRPr="00E61A91">
        <w:rPr>
          <w:rFonts w:ascii="Times New Roman" w:hAnsi="Times New Roman" w:cs="Times New Roman"/>
          <w:sz w:val="20"/>
          <w:szCs w:val="20"/>
        </w:rPr>
        <w:t>large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extent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statutory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Ribstein</w:t>
      </w:r>
      <w:proofErr w:type="spellEnd"/>
      <w:r w:rsidRPr="00E61A91">
        <w:rPr>
          <w:rFonts w:ascii="Times New Roman" w:hAnsi="Times New Roman" w:cs="Times New Roman"/>
          <w:sz w:val="20"/>
          <w:szCs w:val="20"/>
        </w:rPr>
        <w:t xml:space="preserve">, p.1); in federal </w:t>
      </w:r>
      <w:proofErr w:type="spellStart"/>
      <w:r w:rsidRPr="00E61A91">
        <w:rPr>
          <w:rFonts w:ascii="Times New Roman" w:hAnsi="Times New Roman" w:cs="Times New Roman"/>
          <w:sz w:val="20"/>
          <w:szCs w:val="20"/>
        </w:rPr>
        <w:t>level</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securities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namely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Securities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Act</w:t>
      </w:r>
      <w:proofErr w:type="spellEnd"/>
      <w:r w:rsidRPr="00E61A91">
        <w:rPr>
          <w:rFonts w:ascii="Times New Roman" w:hAnsi="Times New Roman" w:cs="Times New Roman"/>
          <w:sz w:val="20"/>
          <w:szCs w:val="20"/>
        </w:rPr>
        <w:t xml:space="preserve"> of 1933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Securities</w:t>
      </w:r>
      <w:proofErr w:type="spellEnd"/>
      <w:r w:rsidRPr="00E61A91">
        <w:rPr>
          <w:rFonts w:ascii="Times New Roman" w:hAnsi="Times New Roman" w:cs="Times New Roman"/>
          <w:sz w:val="20"/>
          <w:szCs w:val="20"/>
        </w:rPr>
        <w:t xml:space="preserve"> Exchange </w:t>
      </w:r>
      <w:proofErr w:type="spellStart"/>
      <w:r w:rsidRPr="00E61A91">
        <w:rPr>
          <w:rFonts w:ascii="Times New Roman" w:hAnsi="Times New Roman" w:cs="Times New Roman"/>
          <w:sz w:val="20"/>
          <w:szCs w:val="20"/>
        </w:rPr>
        <w:t>Act</w:t>
      </w:r>
      <w:proofErr w:type="spellEnd"/>
      <w:r w:rsidRPr="00E61A91">
        <w:rPr>
          <w:rFonts w:ascii="Times New Roman" w:hAnsi="Times New Roman" w:cs="Times New Roman"/>
          <w:sz w:val="20"/>
          <w:szCs w:val="20"/>
        </w:rPr>
        <w:t xml:space="preserve"> of 1934)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tax</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addition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these</w:t>
      </w:r>
      <w:proofErr w:type="spellEnd"/>
      <w:r w:rsidRPr="00E61A91">
        <w:rPr>
          <w:rFonts w:ascii="Times New Roman" w:hAnsi="Times New Roman" w:cs="Times New Roman"/>
          <w:sz w:val="20"/>
          <w:szCs w:val="20"/>
        </w:rPr>
        <w:t xml:space="preserve"> federal </w:t>
      </w:r>
      <w:proofErr w:type="spellStart"/>
      <w:r w:rsidRPr="00E61A91">
        <w:rPr>
          <w:rFonts w:ascii="Times New Roman" w:hAnsi="Times New Roman" w:cs="Times New Roman"/>
          <w:sz w:val="20"/>
          <w:szCs w:val="20"/>
        </w:rPr>
        <w:t>regulations</w:t>
      </w:r>
      <w:proofErr w:type="spellEnd"/>
      <w:r w:rsidRPr="00E61A91">
        <w:rPr>
          <w:rFonts w:ascii="Times New Roman" w:hAnsi="Times New Roman" w:cs="Times New Roman"/>
          <w:sz w:val="20"/>
          <w:szCs w:val="20"/>
        </w:rPr>
        <w:t xml:space="preserve">; Williams </w:t>
      </w:r>
      <w:proofErr w:type="spellStart"/>
      <w:r w:rsidRPr="00E61A91">
        <w:rPr>
          <w:rFonts w:ascii="Times New Roman" w:hAnsi="Times New Roman" w:cs="Times New Roman"/>
          <w:sz w:val="20"/>
          <w:szCs w:val="20"/>
        </w:rPr>
        <w:t>Act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Foreign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Corrup</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Practices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Act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Sarbanes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Oxley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Act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Dodd</w:t>
      </w:r>
      <w:proofErr w:type="spellEnd"/>
      <w:r w:rsidRPr="00E61A91">
        <w:rPr>
          <w:rFonts w:ascii="Times New Roman" w:hAnsi="Times New Roman" w:cs="Times New Roman"/>
          <w:sz w:val="20"/>
          <w:szCs w:val="20"/>
        </w:rPr>
        <w:t xml:space="preserve">- Frank </w:t>
      </w:r>
      <w:proofErr w:type="spellStart"/>
      <w:r w:rsidRPr="00E61A91">
        <w:rPr>
          <w:rFonts w:ascii="Times New Roman" w:hAnsi="Times New Roman" w:cs="Times New Roman"/>
          <w:sz w:val="20"/>
          <w:szCs w:val="20"/>
        </w:rPr>
        <w:t>Act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listed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among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most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significant</w:t>
      </w:r>
      <w:proofErr w:type="spellEnd"/>
      <w:r w:rsidRPr="00E61A91">
        <w:rPr>
          <w:rFonts w:ascii="Times New Roman" w:hAnsi="Times New Roman" w:cs="Times New Roman"/>
          <w:sz w:val="20"/>
          <w:szCs w:val="20"/>
        </w:rPr>
        <w:t xml:space="preserve"> federal </w:t>
      </w:r>
      <w:proofErr w:type="spellStart"/>
      <w:r w:rsidRPr="00E61A91">
        <w:rPr>
          <w:rFonts w:ascii="Times New Roman" w:hAnsi="Times New Roman" w:cs="Times New Roman"/>
          <w:sz w:val="20"/>
          <w:szCs w:val="20"/>
        </w:rPr>
        <w:t>intrusions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Fisch</w:t>
      </w:r>
      <w:proofErr w:type="spellEnd"/>
      <w:r w:rsidRPr="00E61A91">
        <w:rPr>
          <w:rFonts w:ascii="Times New Roman" w:hAnsi="Times New Roman" w:cs="Times New Roman"/>
          <w:sz w:val="20"/>
          <w:szCs w:val="20"/>
        </w:rPr>
        <w:t xml:space="preserve">, p. 739)),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in </w:t>
      </w:r>
      <w:proofErr w:type="spellStart"/>
      <w:r w:rsidRPr="00E61A91">
        <w:rPr>
          <w:rFonts w:ascii="Times New Roman" w:hAnsi="Times New Roman" w:cs="Times New Roman"/>
          <w:sz w:val="20"/>
          <w:szCs w:val="20"/>
        </w:rPr>
        <w:t>state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level</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Delaware’s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It</w:t>
      </w:r>
      <w:proofErr w:type="spellEnd"/>
      <w:r w:rsidRPr="00E61A91">
        <w:rPr>
          <w:rFonts w:ascii="Times New Roman" w:hAnsi="Times New Roman" w:cs="Times New Roman"/>
          <w:sz w:val="20"/>
          <w:szCs w:val="20"/>
        </w:rPr>
        <w:t xml:space="preserve"> is </w:t>
      </w:r>
      <w:proofErr w:type="spellStart"/>
      <w:r w:rsidRPr="00E61A91">
        <w:rPr>
          <w:rFonts w:ascii="Times New Roman" w:hAnsi="Times New Roman" w:cs="Times New Roman"/>
          <w:sz w:val="20"/>
          <w:szCs w:val="20"/>
        </w:rPr>
        <w:t>said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that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Delaware’s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real</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competitor</w:t>
      </w:r>
      <w:proofErr w:type="spellEnd"/>
      <w:r w:rsidRPr="00E61A91">
        <w:rPr>
          <w:rFonts w:ascii="Times New Roman" w:hAnsi="Times New Roman" w:cs="Times New Roman"/>
          <w:sz w:val="20"/>
          <w:szCs w:val="20"/>
        </w:rPr>
        <w:t xml:space="preserve"> is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federal </w:t>
      </w:r>
      <w:proofErr w:type="spellStart"/>
      <w:r w:rsidRPr="00E61A91">
        <w:rPr>
          <w:rFonts w:ascii="Times New Roman" w:hAnsi="Times New Roman" w:cs="Times New Roman"/>
          <w:sz w:val="20"/>
          <w:szCs w:val="20"/>
        </w:rPr>
        <w:t>government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rather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than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other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Fisch</w:t>
      </w:r>
      <w:proofErr w:type="spellEnd"/>
      <w:r w:rsidRPr="00E61A91">
        <w:rPr>
          <w:rFonts w:ascii="Times New Roman" w:hAnsi="Times New Roman" w:cs="Times New Roman"/>
          <w:sz w:val="20"/>
          <w:szCs w:val="20"/>
        </w:rPr>
        <w:t xml:space="preserve">, p.738). </w:t>
      </w:r>
      <w:proofErr w:type="spellStart"/>
      <w:r w:rsidRPr="00E61A91">
        <w:rPr>
          <w:rFonts w:ascii="Times New Roman" w:hAnsi="Times New Roman" w:cs="Times New Roman"/>
          <w:sz w:val="20"/>
          <w:szCs w:val="20"/>
        </w:rPr>
        <w:t>Delaware’s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constitutional</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amendment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allowing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SEC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certify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questions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Delaware </w:t>
      </w:r>
      <w:proofErr w:type="spellStart"/>
      <w:r w:rsidRPr="00E61A91">
        <w:rPr>
          <w:rFonts w:ascii="Times New Roman" w:hAnsi="Times New Roman" w:cs="Times New Roman"/>
          <w:sz w:val="20"/>
          <w:szCs w:val="20"/>
        </w:rPr>
        <w:t>Supreme</w:t>
      </w:r>
      <w:proofErr w:type="spellEnd"/>
      <w:r w:rsidRPr="00E61A91">
        <w:rPr>
          <w:rFonts w:ascii="Times New Roman" w:hAnsi="Times New Roman" w:cs="Times New Roman"/>
          <w:sz w:val="20"/>
          <w:szCs w:val="20"/>
        </w:rPr>
        <w:t xml:space="preserve"> Court is </w:t>
      </w:r>
      <w:proofErr w:type="spellStart"/>
      <w:r w:rsidRPr="00E61A91">
        <w:rPr>
          <w:rFonts w:ascii="Times New Roman" w:hAnsi="Times New Roman" w:cs="Times New Roman"/>
          <w:sz w:val="20"/>
          <w:szCs w:val="20"/>
        </w:rPr>
        <w:t>given</w:t>
      </w:r>
      <w:proofErr w:type="spellEnd"/>
      <w:r w:rsidRPr="00E61A91">
        <w:rPr>
          <w:rFonts w:ascii="Times New Roman" w:hAnsi="Times New Roman" w:cs="Times New Roman"/>
          <w:sz w:val="20"/>
          <w:szCs w:val="20"/>
        </w:rPr>
        <w:t xml:space="preserve"> as an </w:t>
      </w:r>
      <w:proofErr w:type="spellStart"/>
      <w:r w:rsidRPr="00E61A91">
        <w:rPr>
          <w:rFonts w:ascii="Times New Roman" w:hAnsi="Times New Roman" w:cs="Times New Roman"/>
          <w:sz w:val="20"/>
          <w:szCs w:val="20"/>
        </w:rPr>
        <w:t>interesting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example</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outcome</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this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competition</w:t>
      </w:r>
      <w:proofErr w:type="spellEnd"/>
      <w:r w:rsidRPr="00E61A91">
        <w:rPr>
          <w:rFonts w:ascii="Times New Roman" w:hAnsi="Times New Roman" w:cs="Times New Roman"/>
          <w:sz w:val="20"/>
          <w:szCs w:val="20"/>
        </w:rPr>
        <w:t>: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SEC </w:t>
      </w:r>
      <w:proofErr w:type="spellStart"/>
      <w:r w:rsidRPr="00E61A91">
        <w:rPr>
          <w:rFonts w:ascii="Times New Roman" w:hAnsi="Times New Roman" w:cs="Times New Roman"/>
          <w:sz w:val="20"/>
          <w:szCs w:val="20"/>
        </w:rPr>
        <w:t>certification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procedure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was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unprecedented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reflecting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another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example</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Delaware’s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innovation</w:t>
      </w:r>
      <w:proofErr w:type="spellEnd"/>
      <w:r w:rsidRPr="00E61A91">
        <w:rPr>
          <w:rFonts w:ascii="Times New Roman" w:hAnsi="Times New Roman" w:cs="Times New Roman"/>
          <w:sz w:val="20"/>
          <w:szCs w:val="20"/>
        </w:rPr>
        <w:t xml:space="preserve"> in </w:t>
      </w:r>
      <w:proofErr w:type="spellStart"/>
      <w:r w:rsidRPr="00E61A91">
        <w:rPr>
          <w:rFonts w:ascii="Times New Roman" w:hAnsi="Times New Roman" w:cs="Times New Roman"/>
          <w:sz w:val="20"/>
          <w:szCs w:val="20"/>
        </w:rPr>
        <w:t>its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lawmaking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structure</w:t>
      </w:r>
      <w:proofErr w:type="spellEnd"/>
      <w:r w:rsidRPr="00E61A91">
        <w:rPr>
          <w:rFonts w:ascii="Times New Roman" w:hAnsi="Times New Roman" w:cs="Times New Roman"/>
          <w:sz w:val="20"/>
          <w:szCs w:val="20"/>
        </w:rPr>
        <w:t>…</w:t>
      </w:r>
      <w:proofErr w:type="spellStart"/>
      <w:r w:rsidRPr="00E61A91">
        <w:rPr>
          <w:rFonts w:ascii="Times New Roman" w:hAnsi="Times New Roman" w:cs="Times New Roman"/>
          <w:sz w:val="20"/>
          <w:szCs w:val="20"/>
        </w:rPr>
        <w:t>Delaware’s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adoption</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new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certification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procedure</w:t>
      </w:r>
      <w:proofErr w:type="spellEnd"/>
      <w:r w:rsidRPr="00E61A91">
        <w:rPr>
          <w:rFonts w:ascii="Times New Roman" w:hAnsi="Times New Roman" w:cs="Times New Roman"/>
          <w:sz w:val="20"/>
          <w:szCs w:val="20"/>
        </w:rPr>
        <w:t xml:space="preserve"> can be </w:t>
      </w:r>
      <w:proofErr w:type="spellStart"/>
      <w:r w:rsidRPr="00E61A91">
        <w:rPr>
          <w:rFonts w:ascii="Times New Roman" w:hAnsi="Times New Roman" w:cs="Times New Roman"/>
          <w:sz w:val="20"/>
          <w:szCs w:val="20"/>
        </w:rPr>
        <w:t>understood</w:t>
      </w:r>
      <w:proofErr w:type="spellEnd"/>
      <w:r w:rsidRPr="00E61A91">
        <w:rPr>
          <w:rFonts w:ascii="Times New Roman" w:hAnsi="Times New Roman" w:cs="Times New Roman"/>
          <w:sz w:val="20"/>
          <w:szCs w:val="20"/>
        </w:rPr>
        <w:t xml:space="preserve"> as a </w:t>
      </w:r>
      <w:proofErr w:type="spellStart"/>
      <w:r w:rsidRPr="00E61A91">
        <w:rPr>
          <w:rFonts w:ascii="Times New Roman" w:hAnsi="Times New Roman" w:cs="Times New Roman"/>
          <w:sz w:val="20"/>
          <w:szCs w:val="20"/>
        </w:rPr>
        <w:t>from</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reverse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federalization</w:t>
      </w:r>
      <w:proofErr w:type="spellEnd"/>
      <w:r w:rsidRPr="00E61A91">
        <w:rPr>
          <w:rFonts w:ascii="Times New Roman" w:hAnsi="Times New Roman" w:cs="Times New Roman"/>
          <w:sz w:val="20"/>
          <w:szCs w:val="20"/>
        </w:rPr>
        <w:t>…</w:t>
      </w:r>
      <w:proofErr w:type="spellStart"/>
      <w:r w:rsidRPr="00E61A91">
        <w:rPr>
          <w:rFonts w:ascii="Times New Roman" w:hAnsi="Times New Roman" w:cs="Times New Roman"/>
          <w:sz w:val="20"/>
          <w:szCs w:val="20"/>
        </w:rPr>
        <w:t>Certification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also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expands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scope</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authoritative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resolutins</w:t>
      </w:r>
      <w:proofErr w:type="spellEnd"/>
      <w:r w:rsidRPr="00E61A91">
        <w:rPr>
          <w:rFonts w:ascii="Times New Roman" w:hAnsi="Times New Roman" w:cs="Times New Roman"/>
          <w:sz w:val="20"/>
          <w:szCs w:val="20"/>
        </w:rPr>
        <w:t xml:space="preserve"> of Delaware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allowing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for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both</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greate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predictability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increased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responsiveness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problematic</w:t>
      </w:r>
      <w:proofErr w:type="spellEnd"/>
      <w:r w:rsidRPr="00E61A91">
        <w:rPr>
          <w:rFonts w:ascii="Times New Roman" w:hAnsi="Times New Roman" w:cs="Times New Roman"/>
          <w:sz w:val="20"/>
          <w:szCs w:val="20"/>
        </w:rPr>
        <w:t xml:space="preserve"> legal </w:t>
      </w:r>
      <w:proofErr w:type="spellStart"/>
      <w:r w:rsidRPr="00E61A91">
        <w:rPr>
          <w:rFonts w:ascii="Times New Roman" w:hAnsi="Times New Roman" w:cs="Times New Roman"/>
          <w:sz w:val="20"/>
          <w:szCs w:val="20"/>
        </w:rPr>
        <w:t>issues</w:t>
      </w:r>
      <w:proofErr w:type="spellEnd"/>
      <w:r w:rsidRPr="00E61A91">
        <w:rPr>
          <w:rFonts w:ascii="Times New Roman" w:hAnsi="Times New Roman" w:cs="Times New Roman"/>
          <w:sz w:val="20"/>
          <w:szCs w:val="20"/>
        </w:rPr>
        <w:t>.” (</w:t>
      </w:r>
      <w:proofErr w:type="spellStart"/>
      <w:r w:rsidRPr="00E61A91">
        <w:rPr>
          <w:rFonts w:ascii="Times New Roman" w:hAnsi="Times New Roman" w:cs="Times New Roman"/>
          <w:sz w:val="20"/>
          <w:szCs w:val="20"/>
        </w:rPr>
        <w:t>Fisch</w:t>
      </w:r>
      <w:proofErr w:type="spellEnd"/>
      <w:r w:rsidRPr="00E61A91">
        <w:rPr>
          <w:rFonts w:ascii="Times New Roman" w:hAnsi="Times New Roman" w:cs="Times New Roman"/>
          <w:sz w:val="20"/>
          <w:szCs w:val="20"/>
        </w:rPr>
        <w:t xml:space="preserve">, p.772)),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leading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sources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Another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highly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regarded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source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both</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practitioners</w:t>
      </w:r>
      <w:proofErr w:type="spellEnd"/>
      <w:r w:rsidRPr="00E61A91">
        <w:rPr>
          <w:rFonts w:ascii="Times New Roman" w:hAnsi="Times New Roman" w:cs="Times New Roman"/>
          <w:sz w:val="20"/>
          <w:szCs w:val="20"/>
        </w:rPr>
        <w:t xml:space="preserve"> is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Model Business Corporation </w:t>
      </w:r>
      <w:proofErr w:type="spellStart"/>
      <w:r w:rsidRPr="00E61A91">
        <w:rPr>
          <w:rFonts w:ascii="Times New Roman" w:hAnsi="Times New Roman" w:cs="Times New Roman"/>
          <w:sz w:val="20"/>
          <w:szCs w:val="20"/>
        </w:rPr>
        <w:t>Act</w:t>
      </w:r>
      <w:proofErr w:type="spellEnd"/>
      <w:r w:rsidRPr="00E61A91">
        <w:rPr>
          <w:rFonts w:ascii="Times New Roman" w:hAnsi="Times New Roman" w:cs="Times New Roman"/>
          <w:sz w:val="20"/>
          <w:szCs w:val="20"/>
        </w:rPr>
        <w:t xml:space="preserve"> (MBCA) of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American</w:t>
      </w:r>
      <w:proofErr w:type="spellEnd"/>
      <w:r w:rsidRPr="00E61A91">
        <w:rPr>
          <w:rFonts w:ascii="Times New Roman" w:hAnsi="Times New Roman" w:cs="Times New Roman"/>
          <w:sz w:val="20"/>
          <w:szCs w:val="20"/>
        </w:rPr>
        <w:t xml:space="preserve"> Bar </w:t>
      </w:r>
      <w:proofErr w:type="spellStart"/>
      <w:r w:rsidRPr="00E61A91">
        <w:rPr>
          <w:rFonts w:ascii="Times New Roman" w:hAnsi="Times New Roman" w:cs="Times New Roman"/>
          <w:sz w:val="20"/>
          <w:szCs w:val="20"/>
        </w:rPr>
        <w:t>Association</w:t>
      </w:r>
      <w:proofErr w:type="spellEnd"/>
      <w:r w:rsidRPr="00E61A91">
        <w:rPr>
          <w:rFonts w:ascii="Times New Roman" w:hAnsi="Times New Roman" w:cs="Times New Roman"/>
          <w:sz w:val="20"/>
          <w:szCs w:val="20"/>
        </w:rPr>
        <w:t xml:space="preserve"> (Arthur D. </w:t>
      </w:r>
      <w:proofErr w:type="spellStart"/>
      <w:r w:rsidRPr="00E61A91">
        <w:rPr>
          <w:rFonts w:ascii="Times New Roman" w:hAnsi="Times New Roman" w:cs="Times New Roman"/>
          <w:sz w:val="20"/>
          <w:szCs w:val="20"/>
        </w:rPr>
        <w:t>Wolfe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Frederick</w:t>
      </w:r>
      <w:proofErr w:type="spellEnd"/>
      <w:r w:rsidRPr="00E61A91">
        <w:rPr>
          <w:rFonts w:ascii="Times New Roman" w:hAnsi="Times New Roman" w:cs="Times New Roman"/>
          <w:sz w:val="20"/>
          <w:szCs w:val="20"/>
        </w:rPr>
        <w:t xml:space="preserve"> J. </w:t>
      </w:r>
      <w:proofErr w:type="spellStart"/>
      <w:r w:rsidRPr="00E61A91">
        <w:rPr>
          <w:rFonts w:ascii="Times New Roman" w:hAnsi="Times New Roman" w:cs="Times New Roman"/>
          <w:sz w:val="20"/>
          <w:szCs w:val="20"/>
        </w:rPr>
        <w:t>Naffizger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i/>
          <w:sz w:val="20"/>
          <w:szCs w:val="20"/>
        </w:rPr>
        <w:t>The</w:t>
      </w:r>
      <w:proofErr w:type="spellEnd"/>
      <w:r w:rsidRPr="00E61A91">
        <w:rPr>
          <w:rFonts w:ascii="Times New Roman" w:hAnsi="Times New Roman" w:cs="Times New Roman"/>
          <w:i/>
          <w:sz w:val="20"/>
          <w:szCs w:val="20"/>
        </w:rPr>
        <w:t xml:space="preserve"> </w:t>
      </w:r>
      <w:proofErr w:type="spellStart"/>
      <w:r w:rsidRPr="00E61A91">
        <w:rPr>
          <w:rFonts w:ascii="Times New Roman" w:hAnsi="Times New Roman" w:cs="Times New Roman"/>
          <w:i/>
          <w:sz w:val="20"/>
          <w:szCs w:val="20"/>
        </w:rPr>
        <w:t>Law</w:t>
      </w:r>
      <w:proofErr w:type="spellEnd"/>
      <w:r w:rsidRPr="00E61A91">
        <w:rPr>
          <w:rFonts w:ascii="Times New Roman" w:hAnsi="Times New Roman" w:cs="Times New Roman"/>
          <w:i/>
          <w:sz w:val="20"/>
          <w:szCs w:val="20"/>
        </w:rPr>
        <w:t xml:space="preserve"> of </w:t>
      </w:r>
      <w:proofErr w:type="spellStart"/>
      <w:r w:rsidRPr="00E61A91">
        <w:rPr>
          <w:rFonts w:ascii="Times New Roman" w:hAnsi="Times New Roman" w:cs="Times New Roman"/>
          <w:i/>
          <w:sz w:val="20"/>
          <w:szCs w:val="20"/>
        </w:rPr>
        <w:t>American</w:t>
      </w:r>
      <w:proofErr w:type="spellEnd"/>
      <w:r w:rsidRPr="00E61A91">
        <w:rPr>
          <w:rFonts w:ascii="Times New Roman" w:hAnsi="Times New Roman" w:cs="Times New Roman"/>
          <w:i/>
          <w:sz w:val="20"/>
          <w:szCs w:val="20"/>
        </w:rPr>
        <w:t xml:space="preserve"> Business </w:t>
      </w:r>
      <w:proofErr w:type="spellStart"/>
      <w:r w:rsidRPr="00E61A91">
        <w:rPr>
          <w:rFonts w:ascii="Times New Roman" w:hAnsi="Times New Roman" w:cs="Times New Roman"/>
          <w:i/>
          <w:sz w:val="20"/>
          <w:szCs w:val="20"/>
        </w:rPr>
        <w:t>Organizations</w:t>
      </w:r>
      <w:proofErr w:type="spellEnd"/>
      <w:r w:rsidRPr="00E61A91">
        <w:rPr>
          <w:rFonts w:ascii="Times New Roman" w:hAnsi="Times New Roman" w:cs="Times New Roman"/>
          <w:i/>
          <w:sz w:val="20"/>
          <w:szCs w:val="20"/>
        </w:rPr>
        <w:t xml:space="preserve">: An </w:t>
      </w:r>
      <w:proofErr w:type="spellStart"/>
      <w:r w:rsidRPr="00E61A91">
        <w:rPr>
          <w:rFonts w:ascii="Times New Roman" w:hAnsi="Times New Roman" w:cs="Times New Roman"/>
          <w:i/>
          <w:sz w:val="20"/>
          <w:szCs w:val="20"/>
        </w:rPr>
        <w:t>Environmental</w:t>
      </w:r>
      <w:proofErr w:type="spellEnd"/>
      <w:r w:rsidRPr="00E61A91">
        <w:rPr>
          <w:rFonts w:ascii="Times New Roman" w:hAnsi="Times New Roman" w:cs="Times New Roman"/>
          <w:i/>
          <w:sz w:val="20"/>
          <w:szCs w:val="20"/>
        </w:rPr>
        <w:t xml:space="preserve"> </w:t>
      </w:r>
      <w:proofErr w:type="spellStart"/>
      <w:r w:rsidRPr="00E61A91">
        <w:rPr>
          <w:rFonts w:ascii="Times New Roman" w:hAnsi="Times New Roman" w:cs="Times New Roman"/>
          <w:i/>
          <w:sz w:val="20"/>
          <w:szCs w:val="20"/>
        </w:rPr>
        <w:t>Approach</w:t>
      </w:r>
      <w:proofErr w:type="spellEnd"/>
      <w:r w:rsidRPr="00E61A91">
        <w:rPr>
          <w:rFonts w:ascii="Times New Roman" w:hAnsi="Times New Roman" w:cs="Times New Roman"/>
          <w:sz w:val="20"/>
          <w:szCs w:val="20"/>
        </w:rPr>
        <w:t xml:space="preserve"> 281 (1984). </w:t>
      </w:r>
      <w:r w:rsidRPr="00E61A91">
        <w:rPr>
          <w:rFonts w:ascii="Times New Roman" w:hAnsi="Times New Roman" w:cs="Times New Roman"/>
          <w:bCs/>
          <w:color w:val="000000"/>
          <w:sz w:val="20"/>
          <w:szCs w:val="20"/>
        </w:rPr>
        <w:t xml:space="preserve">“A </w:t>
      </w:r>
      <w:proofErr w:type="spellStart"/>
      <w:r w:rsidRPr="00E61A91">
        <w:rPr>
          <w:rFonts w:ascii="Times New Roman" w:hAnsi="Times New Roman" w:cs="Times New Roman"/>
          <w:bCs/>
          <w:color w:val="000000"/>
          <w:sz w:val="20"/>
          <w:szCs w:val="20"/>
        </w:rPr>
        <w:t>majority</w:t>
      </w:r>
      <w:proofErr w:type="spellEnd"/>
      <w:r w:rsidRPr="00E61A91">
        <w:rPr>
          <w:rFonts w:ascii="Times New Roman" w:hAnsi="Times New Roman" w:cs="Times New Roman"/>
          <w:bCs/>
          <w:color w:val="000000"/>
          <w:sz w:val="20"/>
          <w:szCs w:val="20"/>
        </w:rPr>
        <w:t xml:space="preserve"> of </w:t>
      </w:r>
      <w:proofErr w:type="spellStart"/>
      <w:r w:rsidRPr="00E61A91">
        <w:rPr>
          <w:rFonts w:ascii="Times New Roman" w:hAnsi="Times New Roman" w:cs="Times New Roman"/>
          <w:bCs/>
          <w:color w:val="000000"/>
          <w:sz w:val="20"/>
          <w:szCs w:val="20"/>
        </w:rPr>
        <w:t>states</w:t>
      </w:r>
      <w:proofErr w:type="spellEnd"/>
      <w:r w:rsidRPr="00E61A91">
        <w:rPr>
          <w:rFonts w:ascii="Times New Roman" w:hAnsi="Times New Roman" w:cs="Times New Roman"/>
          <w:bCs/>
          <w:color w:val="000000"/>
          <w:sz w:val="20"/>
          <w:szCs w:val="20"/>
        </w:rPr>
        <w:t xml:space="preserve"> </w:t>
      </w:r>
      <w:proofErr w:type="spellStart"/>
      <w:r w:rsidRPr="00E61A91">
        <w:rPr>
          <w:rFonts w:ascii="Times New Roman" w:hAnsi="Times New Roman" w:cs="Times New Roman"/>
          <w:bCs/>
          <w:color w:val="000000"/>
          <w:sz w:val="20"/>
          <w:szCs w:val="20"/>
        </w:rPr>
        <w:t>within</w:t>
      </w:r>
      <w:proofErr w:type="spellEnd"/>
      <w:r w:rsidRPr="00E61A91">
        <w:rPr>
          <w:rFonts w:ascii="Times New Roman" w:hAnsi="Times New Roman" w:cs="Times New Roman"/>
          <w:bCs/>
          <w:color w:val="000000"/>
          <w:sz w:val="20"/>
          <w:szCs w:val="20"/>
        </w:rPr>
        <w:t xml:space="preserve"> </w:t>
      </w:r>
      <w:proofErr w:type="spellStart"/>
      <w:r w:rsidRPr="00E61A91">
        <w:rPr>
          <w:rFonts w:ascii="Times New Roman" w:hAnsi="Times New Roman" w:cs="Times New Roman"/>
          <w:bCs/>
          <w:color w:val="000000"/>
          <w:sz w:val="20"/>
          <w:szCs w:val="20"/>
        </w:rPr>
        <w:t>the</w:t>
      </w:r>
      <w:proofErr w:type="spellEnd"/>
      <w:r w:rsidRPr="00E61A91">
        <w:rPr>
          <w:rFonts w:ascii="Times New Roman" w:hAnsi="Times New Roman" w:cs="Times New Roman"/>
          <w:bCs/>
          <w:color w:val="000000"/>
          <w:sz w:val="20"/>
          <w:szCs w:val="20"/>
        </w:rPr>
        <w:t xml:space="preserve"> U.S. </w:t>
      </w:r>
      <w:proofErr w:type="spellStart"/>
      <w:r w:rsidRPr="00E61A91">
        <w:rPr>
          <w:rFonts w:ascii="Times New Roman" w:hAnsi="Times New Roman" w:cs="Times New Roman"/>
          <w:bCs/>
          <w:color w:val="000000"/>
          <w:sz w:val="20"/>
          <w:szCs w:val="20"/>
        </w:rPr>
        <w:t>have</w:t>
      </w:r>
      <w:proofErr w:type="spellEnd"/>
      <w:r w:rsidRPr="00E61A91">
        <w:rPr>
          <w:rFonts w:ascii="Times New Roman" w:hAnsi="Times New Roman" w:cs="Times New Roman"/>
          <w:bCs/>
          <w:color w:val="000000"/>
          <w:sz w:val="20"/>
          <w:szCs w:val="20"/>
        </w:rPr>
        <w:t xml:space="preserve"> </w:t>
      </w:r>
      <w:proofErr w:type="spellStart"/>
      <w:r w:rsidRPr="00E61A91">
        <w:rPr>
          <w:rFonts w:ascii="Times New Roman" w:hAnsi="Times New Roman" w:cs="Times New Roman"/>
          <w:bCs/>
          <w:color w:val="000000"/>
          <w:sz w:val="20"/>
          <w:szCs w:val="20"/>
        </w:rPr>
        <w:t>largely</w:t>
      </w:r>
      <w:proofErr w:type="spellEnd"/>
      <w:r w:rsidRPr="00E61A91">
        <w:rPr>
          <w:rFonts w:ascii="Times New Roman" w:hAnsi="Times New Roman" w:cs="Times New Roman"/>
          <w:bCs/>
          <w:color w:val="000000"/>
          <w:sz w:val="20"/>
          <w:szCs w:val="20"/>
        </w:rPr>
        <w:t xml:space="preserve"> </w:t>
      </w:r>
      <w:proofErr w:type="spellStart"/>
      <w:r w:rsidRPr="00E61A91">
        <w:rPr>
          <w:rFonts w:ascii="Times New Roman" w:hAnsi="Times New Roman" w:cs="Times New Roman"/>
          <w:bCs/>
          <w:color w:val="000000"/>
          <w:sz w:val="20"/>
          <w:szCs w:val="20"/>
        </w:rPr>
        <w:t>adopted</w:t>
      </w:r>
      <w:proofErr w:type="spellEnd"/>
      <w:r w:rsidRPr="00E61A91">
        <w:rPr>
          <w:rFonts w:ascii="Times New Roman" w:hAnsi="Times New Roman" w:cs="Times New Roman"/>
          <w:bCs/>
          <w:color w:val="000000"/>
          <w:sz w:val="20"/>
          <w:szCs w:val="20"/>
        </w:rPr>
        <w:t xml:space="preserve"> a </w:t>
      </w:r>
      <w:proofErr w:type="spellStart"/>
      <w:r w:rsidRPr="00E61A91">
        <w:rPr>
          <w:rFonts w:ascii="Times New Roman" w:hAnsi="Times New Roman" w:cs="Times New Roman"/>
          <w:bCs/>
          <w:color w:val="000000"/>
          <w:sz w:val="20"/>
          <w:szCs w:val="20"/>
        </w:rPr>
        <w:t>version</w:t>
      </w:r>
      <w:proofErr w:type="spellEnd"/>
      <w:r w:rsidRPr="00E61A91">
        <w:rPr>
          <w:rFonts w:ascii="Times New Roman" w:hAnsi="Times New Roman" w:cs="Times New Roman"/>
          <w:bCs/>
          <w:color w:val="000000"/>
          <w:sz w:val="20"/>
          <w:szCs w:val="20"/>
        </w:rPr>
        <w:t xml:space="preserve"> of Model Business Corporation </w:t>
      </w:r>
      <w:proofErr w:type="spellStart"/>
      <w:r w:rsidRPr="00E61A91">
        <w:rPr>
          <w:rFonts w:ascii="Times New Roman" w:hAnsi="Times New Roman" w:cs="Times New Roman"/>
          <w:bCs/>
          <w:color w:val="000000"/>
          <w:sz w:val="20"/>
          <w:szCs w:val="20"/>
        </w:rPr>
        <w:t>Act</w:t>
      </w:r>
      <w:proofErr w:type="spellEnd"/>
      <w:r w:rsidRPr="00E61A91">
        <w:rPr>
          <w:rFonts w:ascii="Times New Roman" w:hAnsi="Times New Roman" w:cs="Times New Roman"/>
          <w:bCs/>
          <w:color w:val="000000"/>
          <w:sz w:val="20"/>
          <w:szCs w:val="20"/>
        </w:rPr>
        <w:t xml:space="preserve"> (MBCA), </w:t>
      </w:r>
      <w:proofErr w:type="spellStart"/>
      <w:r w:rsidRPr="00E61A91">
        <w:rPr>
          <w:rFonts w:ascii="Times New Roman" w:hAnsi="Times New Roman" w:cs="Times New Roman"/>
          <w:bCs/>
          <w:color w:val="000000"/>
          <w:sz w:val="20"/>
          <w:szCs w:val="20"/>
        </w:rPr>
        <w:t>Thus</w:t>
      </w:r>
      <w:proofErr w:type="spellEnd"/>
      <w:r w:rsidRPr="00E61A91">
        <w:rPr>
          <w:rFonts w:ascii="Times New Roman" w:hAnsi="Times New Roman" w:cs="Times New Roman"/>
          <w:bCs/>
          <w:color w:val="000000"/>
          <w:sz w:val="20"/>
          <w:szCs w:val="20"/>
        </w:rPr>
        <w:t xml:space="preserve">, </w:t>
      </w:r>
      <w:proofErr w:type="spellStart"/>
      <w:r w:rsidRPr="00E61A91">
        <w:rPr>
          <w:rFonts w:ascii="Times New Roman" w:hAnsi="Times New Roman" w:cs="Times New Roman"/>
          <w:bCs/>
          <w:color w:val="000000"/>
          <w:sz w:val="20"/>
          <w:szCs w:val="20"/>
        </w:rPr>
        <w:t>when</w:t>
      </w:r>
      <w:proofErr w:type="spellEnd"/>
      <w:r w:rsidRPr="00E61A91">
        <w:rPr>
          <w:rFonts w:ascii="Times New Roman" w:hAnsi="Times New Roman" w:cs="Times New Roman"/>
          <w:bCs/>
          <w:color w:val="000000"/>
          <w:sz w:val="20"/>
          <w:szCs w:val="20"/>
        </w:rPr>
        <w:t xml:space="preserve"> a Corporation is </w:t>
      </w:r>
      <w:proofErr w:type="spellStart"/>
      <w:r w:rsidRPr="00E61A91">
        <w:rPr>
          <w:rFonts w:ascii="Times New Roman" w:hAnsi="Times New Roman" w:cs="Times New Roman"/>
          <w:bCs/>
          <w:color w:val="000000"/>
          <w:sz w:val="20"/>
          <w:szCs w:val="20"/>
        </w:rPr>
        <w:t>choosing</w:t>
      </w:r>
      <w:proofErr w:type="spellEnd"/>
      <w:r w:rsidRPr="00E61A91">
        <w:rPr>
          <w:rFonts w:ascii="Times New Roman" w:hAnsi="Times New Roman" w:cs="Times New Roman"/>
          <w:bCs/>
          <w:color w:val="000000"/>
          <w:sz w:val="20"/>
          <w:szCs w:val="20"/>
        </w:rPr>
        <w:t xml:space="preserve"> </w:t>
      </w:r>
      <w:proofErr w:type="spellStart"/>
      <w:r w:rsidRPr="00E61A91">
        <w:rPr>
          <w:rFonts w:ascii="Times New Roman" w:hAnsi="Times New Roman" w:cs="Times New Roman"/>
          <w:bCs/>
          <w:color w:val="000000"/>
          <w:sz w:val="20"/>
          <w:szCs w:val="20"/>
        </w:rPr>
        <w:t>whether</w:t>
      </w:r>
      <w:proofErr w:type="spellEnd"/>
      <w:r w:rsidRPr="00E61A91">
        <w:rPr>
          <w:rFonts w:ascii="Times New Roman" w:hAnsi="Times New Roman" w:cs="Times New Roman"/>
          <w:bCs/>
          <w:color w:val="000000"/>
          <w:sz w:val="20"/>
          <w:szCs w:val="20"/>
        </w:rPr>
        <w:t xml:space="preserve"> </w:t>
      </w:r>
      <w:proofErr w:type="spellStart"/>
      <w:r w:rsidRPr="00E61A91">
        <w:rPr>
          <w:rFonts w:ascii="Times New Roman" w:hAnsi="Times New Roman" w:cs="Times New Roman"/>
          <w:bCs/>
          <w:color w:val="000000"/>
          <w:sz w:val="20"/>
          <w:szCs w:val="20"/>
        </w:rPr>
        <w:t>to</w:t>
      </w:r>
      <w:proofErr w:type="spellEnd"/>
      <w:r w:rsidRPr="00E61A91">
        <w:rPr>
          <w:rFonts w:ascii="Times New Roman" w:hAnsi="Times New Roman" w:cs="Times New Roman"/>
          <w:bCs/>
          <w:color w:val="000000"/>
          <w:sz w:val="20"/>
          <w:szCs w:val="20"/>
        </w:rPr>
        <w:t xml:space="preserve"> </w:t>
      </w:r>
      <w:proofErr w:type="spellStart"/>
      <w:r w:rsidRPr="00E61A91">
        <w:rPr>
          <w:rFonts w:ascii="Times New Roman" w:hAnsi="Times New Roman" w:cs="Times New Roman"/>
          <w:bCs/>
          <w:color w:val="000000"/>
          <w:sz w:val="20"/>
          <w:szCs w:val="20"/>
        </w:rPr>
        <w:t>incirporate</w:t>
      </w:r>
      <w:proofErr w:type="spellEnd"/>
      <w:r w:rsidRPr="00E61A91">
        <w:rPr>
          <w:rFonts w:ascii="Times New Roman" w:hAnsi="Times New Roman" w:cs="Times New Roman"/>
          <w:bCs/>
          <w:color w:val="000000"/>
          <w:sz w:val="20"/>
          <w:szCs w:val="20"/>
        </w:rPr>
        <w:t xml:space="preserve"> in is </w:t>
      </w:r>
      <w:proofErr w:type="spellStart"/>
      <w:r w:rsidRPr="00E61A91">
        <w:rPr>
          <w:rFonts w:ascii="Times New Roman" w:hAnsi="Times New Roman" w:cs="Times New Roman"/>
          <w:bCs/>
          <w:color w:val="000000"/>
          <w:sz w:val="20"/>
          <w:szCs w:val="20"/>
        </w:rPr>
        <w:t>home</w:t>
      </w:r>
      <w:proofErr w:type="spellEnd"/>
      <w:r w:rsidRPr="00E61A91">
        <w:rPr>
          <w:rFonts w:ascii="Times New Roman" w:hAnsi="Times New Roman" w:cs="Times New Roman"/>
          <w:bCs/>
          <w:color w:val="000000"/>
          <w:sz w:val="20"/>
          <w:szCs w:val="20"/>
        </w:rPr>
        <w:t xml:space="preserve"> </w:t>
      </w:r>
      <w:proofErr w:type="spellStart"/>
      <w:r w:rsidRPr="00E61A91">
        <w:rPr>
          <w:rFonts w:ascii="Times New Roman" w:hAnsi="Times New Roman" w:cs="Times New Roman"/>
          <w:bCs/>
          <w:color w:val="000000"/>
          <w:sz w:val="20"/>
          <w:szCs w:val="20"/>
        </w:rPr>
        <w:t>state</w:t>
      </w:r>
      <w:proofErr w:type="spellEnd"/>
      <w:r w:rsidRPr="00E61A91">
        <w:rPr>
          <w:rFonts w:ascii="Times New Roman" w:hAnsi="Times New Roman" w:cs="Times New Roman"/>
          <w:bCs/>
          <w:color w:val="000000"/>
          <w:sz w:val="20"/>
          <w:szCs w:val="20"/>
        </w:rPr>
        <w:t xml:space="preserve"> </w:t>
      </w:r>
      <w:proofErr w:type="spellStart"/>
      <w:r w:rsidRPr="00E61A91">
        <w:rPr>
          <w:rFonts w:ascii="Times New Roman" w:hAnsi="Times New Roman" w:cs="Times New Roman"/>
          <w:bCs/>
          <w:color w:val="000000"/>
          <w:sz w:val="20"/>
          <w:szCs w:val="20"/>
        </w:rPr>
        <w:t>or</w:t>
      </w:r>
      <w:proofErr w:type="spellEnd"/>
      <w:r w:rsidRPr="00E61A91">
        <w:rPr>
          <w:rFonts w:ascii="Times New Roman" w:hAnsi="Times New Roman" w:cs="Times New Roman"/>
          <w:bCs/>
          <w:color w:val="000000"/>
          <w:sz w:val="20"/>
          <w:szCs w:val="20"/>
        </w:rPr>
        <w:t xml:space="preserve"> in Delaware, it is </w:t>
      </w:r>
      <w:proofErr w:type="spellStart"/>
      <w:r w:rsidRPr="00E61A91">
        <w:rPr>
          <w:rFonts w:ascii="Times New Roman" w:hAnsi="Times New Roman" w:cs="Times New Roman"/>
          <w:bCs/>
          <w:color w:val="000000"/>
          <w:sz w:val="20"/>
          <w:szCs w:val="20"/>
        </w:rPr>
        <w:t>usually</w:t>
      </w:r>
      <w:proofErr w:type="spellEnd"/>
      <w:r w:rsidRPr="00E61A91">
        <w:rPr>
          <w:rFonts w:ascii="Times New Roman" w:hAnsi="Times New Roman" w:cs="Times New Roman"/>
          <w:bCs/>
          <w:color w:val="000000"/>
          <w:sz w:val="20"/>
          <w:szCs w:val="20"/>
        </w:rPr>
        <w:t xml:space="preserve"> </w:t>
      </w:r>
      <w:proofErr w:type="spellStart"/>
      <w:r w:rsidRPr="00E61A91">
        <w:rPr>
          <w:rFonts w:ascii="Times New Roman" w:hAnsi="Times New Roman" w:cs="Times New Roman"/>
          <w:bCs/>
          <w:color w:val="000000"/>
          <w:sz w:val="20"/>
          <w:szCs w:val="20"/>
        </w:rPr>
        <w:t>choosing</w:t>
      </w:r>
      <w:proofErr w:type="spellEnd"/>
      <w:r w:rsidRPr="00E61A91">
        <w:rPr>
          <w:rFonts w:ascii="Times New Roman" w:hAnsi="Times New Roman" w:cs="Times New Roman"/>
          <w:bCs/>
          <w:color w:val="000000"/>
          <w:sz w:val="20"/>
          <w:szCs w:val="20"/>
        </w:rPr>
        <w:t xml:space="preserve"> </w:t>
      </w:r>
      <w:proofErr w:type="spellStart"/>
      <w:r w:rsidRPr="00E61A91">
        <w:rPr>
          <w:rFonts w:ascii="Times New Roman" w:hAnsi="Times New Roman" w:cs="Times New Roman"/>
          <w:bCs/>
          <w:color w:val="000000"/>
          <w:sz w:val="20"/>
          <w:szCs w:val="20"/>
        </w:rPr>
        <w:t>between</w:t>
      </w:r>
      <w:proofErr w:type="spellEnd"/>
      <w:r w:rsidRPr="00E61A91">
        <w:rPr>
          <w:rFonts w:ascii="Times New Roman" w:hAnsi="Times New Roman" w:cs="Times New Roman"/>
          <w:bCs/>
          <w:color w:val="000000"/>
          <w:sz w:val="20"/>
          <w:szCs w:val="20"/>
        </w:rPr>
        <w:t xml:space="preserve"> a </w:t>
      </w:r>
      <w:proofErr w:type="spellStart"/>
      <w:r w:rsidRPr="00E61A91">
        <w:rPr>
          <w:rFonts w:ascii="Times New Roman" w:hAnsi="Times New Roman" w:cs="Times New Roman"/>
          <w:bCs/>
          <w:color w:val="000000"/>
          <w:sz w:val="20"/>
          <w:szCs w:val="20"/>
        </w:rPr>
        <w:t>version</w:t>
      </w:r>
      <w:proofErr w:type="spellEnd"/>
      <w:r w:rsidRPr="00E61A91">
        <w:rPr>
          <w:rFonts w:ascii="Times New Roman" w:hAnsi="Times New Roman" w:cs="Times New Roman"/>
          <w:bCs/>
          <w:color w:val="000000"/>
          <w:sz w:val="20"/>
          <w:szCs w:val="20"/>
        </w:rPr>
        <w:t xml:space="preserve"> of </w:t>
      </w:r>
      <w:proofErr w:type="spellStart"/>
      <w:r w:rsidRPr="00E61A91">
        <w:rPr>
          <w:rFonts w:ascii="Times New Roman" w:hAnsi="Times New Roman" w:cs="Times New Roman"/>
          <w:bCs/>
          <w:color w:val="000000"/>
          <w:sz w:val="20"/>
          <w:szCs w:val="20"/>
        </w:rPr>
        <w:t>the</w:t>
      </w:r>
      <w:proofErr w:type="spellEnd"/>
      <w:r w:rsidRPr="00E61A91">
        <w:rPr>
          <w:rFonts w:ascii="Times New Roman" w:hAnsi="Times New Roman" w:cs="Times New Roman"/>
          <w:bCs/>
          <w:color w:val="000000"/>
          <w:sz w:val="20"/>
          <w:szCs w:val="20"/>
        </w:rPr>
        <w:t xml:space="preserve"> MBCA </w:t>
      </w:r>
      <w:proofErr w:type="spellStart"/>
      <w:r w:rsidRPr="00E61A91">
        <w:rPr>
          <w:rFonts w:ascii="Times New Roman" w:hAnsi="Times New Roman" w:cs="Times New Roman"/>
          <w:bCs/>
          <w:color w:val="000000"/>
          <w:sz w:val="20"/>
          <w:szCs w:val="20"/>
        </w:rPr>
        <w:t>and</w:t>
      </w:r>
      <w:proofErr w:type="spellEnd"/>
      <w:r w:rsidRPr="00E61A91">
        <w:rPr>
          <w:rFonts w:ascii="Times New Roman" w:hAnsi="Times New Roman" w:cs="Times New Roman"/>
          <w:bCs/>
          <w:color w:val="000000"/>
          <w:sz w:val="20"/>
          <w:szCs w:val="20"/>
        </w:rPr>
        <w:t xml:space="preserve"> </w:t>
      </w:r>
      <w:proofErr w:type="spellStart"/>
      <w:r w:rsidRPr="00E61A91">
        <w:rPr>
          <w:rFonts w:ascii="Times New Roman" w:hAnsi="Times New Roman" w:cs="Times New Roman"/>
          <w:bCs/>
          <w:color w:val="000000"/>
          <w:sz w:val="20"/>
          <w:szCs w:val="20"/>
        </w:rPr>
        <w:t>the</w:t>
      </w:r>
      <w:proofErr w:type="spellEnd"/>
      <w:r w:rsidRPr="00E61A91">
        <w:rPr>
          <w:rFonts w:ascii="Times New Roman" w:hAnsi="Times New Roman" w:cs="Times New Roman"/>
          <w:bCs/>
          <w:color w:val="000000"/>
          <w:sz w:val="20"/>
          <w:szCs w:val="20"/>
        </w:rPr>
        <w:t xml:space="preserve"> Delaware General Corporation </w:t>
      </w:r>
      <w:proofErr w:type="spellStart"/>
      <w:r w:rsidRPr="00E61A91">
        <w:rPr>
          <w:rFonts w:ascii="Times New Roman" w:hAnsi="Times New Roman" w:cs="Times New Roman"/>
          <w:bCs/>
          <w:color w:val="000000"/>
          <w:sz w:val="20"/>
          <w:szCs w:val="20"/>
        </w:rPr>
        <w:t>Law</w:t>
      </w:r>
      <w:proofErr w:type="spellEnd"/>
      <w:r w:rsidRPr="00E61A91">
        <w:rPr>
          <w:rFonts w:ascii="Times New Roman" w:hAnsi="Times New Roman" w:cs="Times New Roman"/>
          <w:bCs/>
          <w:color w:val="000000"/>
          <w:sz w:val="20"/>
          <w:szCs w:val="20"/>
        </w:rPr>
        <w:t>.” (</w:t>
      </w:r>
      <w:proofErr w:type="spellStart"/>
      <w:r w:rsidRPr="00E61A91">
        <w:rPr>
          <w:rFonts w:ascii="Times New Roman" w:hAnsi="Times New Roman" w:cs="Times New Roman"/>
          <w:bCs/>
          <w:color w:val="000000"/>
          <w:sz w:val="20"/>
          <w:szCs w:val="20"/>
        </w:rPr>
        <w:t>Brett</w:t>
      </w:r>
      <w:proofErr w:type="spellEnd"/>
      <w:r w:rsidRPr="00E61A91">
        <w:rPr>
          <w:rFonts w:ascii="Times New Roman" w:hAnsi="Times New Roman" w:cs="Times New Roman"/>
          <w:bCs/>
          <w:color w:val="000000"/>
          <w:sz w:val="20"/>
          <w:szCs w:val="20"/>
        </w:rPr>
        <w:t xml:space="preserve"> H. McDonnell, p.129)</w:t>
      </w:r>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addition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these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stock</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exchange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regulations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securities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blue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sky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which</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vary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widely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from</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w:t>
      </w:r>
      <w:proofErr w:type="spellEnd"/>
      <w:r w:rsidRPr="00E61A91">
        <w:rPr>
          <w:rFonts w:ascii="Times New Roman" w:hAnsi="Times New Roman" w:cs="Times New Roman"/>
          <w:sz w:val="20"/>
          <w:szCs w:val="20"/>
        </w:rPr>
        <w:t xml:space="preserve"> (but </w:t>
      </w:r>
      <w:proofErr w:type="spellStart"/>
      <w:r w:rsidRPr="00E61A91">
        <w:rPr>
          <w:rFonts w:ascii="Times New Roman" w:hAnsi="Times New Roman" w:cs="Times New Roman"/>
          <w:sz w:val="20"/>
          <w:szCs w:val="20"/>
        </w:rPr>
        <w:t>most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similar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Uniform</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Securities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Act</w:t>
      </w:r>
      <w:proofErr w:type="spellEnd"/>
      <w:r w:rsidRPr="00E61A91">
        <w:rPr>
          <w:rFonts w:ascii="Times New Roman" w:hAnsi="Times New Roman" w:cs="Times New Roman"/>
          <w:sz w:val="20"/>
          <w:szCs w:val="20"/>
        </w:rPr>
        <w:t xml:space="preserve">) (William </w:t>
      </w:r>
      <w:proofErr w:type="spellStart"/>
      <w:r w:rsidRPr="00E61A91">
        <w:rPr>
          <w:rFonts w:ascii="Times New Roman" w:hAnsi="Times New Roman" w:cs="Times New Roman"/>
          <w:sz w:val="20"/>
          <w:szCs w:val="20"/>
        </w:rPr>
        <w:t>Burnham</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i/>
          <w:sz w:val="20"/>
          <w:szCs w:val="20"/>
        </w:rPr>
        <w:t>Introduction</w:t>
      </w:r>
      <w:proofErr w:type="spellEnd"/>
      <w:r w:rsidRPr="00E61A91">
        <w:rPr>
          <w:rFonts w:ascii="Times New Roman" w:hAnsi="Times New Roman" w:cs="Times New Roman"/>
          <w:i/>
          <w:sz w:val="20"/>
          <w:szCs w:val="20"/>
        </w:rPr>
        <w:t xml:space="preserve"> </w:t>
      </w:r>
      <w:proofErr w:type="spellStart"/>
      <w:r w:rsidRPr="00E61A91">
        <w:rPr>
          <w:rFonts w:ascii="Times New Roman" w:hAnsi="Times New Roman" w:cs="Times New Roman"/>
          <w:i/>
          <w:sz w:val="20"/>
          <w:szCs w:val="20"/>
        </w:rPr>
        <w:t>to</w:t>
      </w:r>
      <w:proofErr w:type="spellEnd"/>
      <w:r w:rsidRPr="00E61A91">
        <w:rPr>
          <w:rFonts w:ascii="Times New Roman" w:hAnsi="Times New Roman" w:cs="Times New Roman"/>
          <w:i/>
          <w:sz w:val="20"/>
          <w:szCs w:val="20"/>
        </w:rPr>
        <w:t xml:space="preserve"> </w:t>
      </w:r>
      <w:proofErr w:type="spellStart"/>
      <w:r w:rsidRPr="00E61A91">
        <w:rPr>
          <w:rFonts w:ascii="Times New Roman" w:hAnsi="Times New Roman" w:cs="Times New Roman"/>
          <w:i/>
          <w:sz w:val="20"/>
          <w:szCs w:val="20"/>
        </w:rPr>
        <w:t>the</w:t>
      </w:r>
      <w:proofErr w:type="spellEnd"/>
      <w:r w:rsidRPr="00E61A91">
        <w:rPr>
          <w:rFonts w:ascii="Times New Roman" w:hAnsi="Times New Roman" w:cs="Times New Roman"/>
          <w:i/>
          <w:sz w:val="20"/>
          <w:szCs w:val="20"/>
        </w:rPr>
        <w:t xml:space="preserve"> </w:t>
      </w:r>
      <w:proofErr w:type="spellStart"/>
      <w:r w:rsidRPr="00E61A91">
        <w:rPr>
          <w:rFonts w:ascii="Times New Roman" w:hAnsi="Times New Roman" w:cs="Times New Roman"/>
          <w:i/>
          <w:sz w:val="20"/>
          <w:szCs w:val="20"/>
        </w:rPr>
        <w:t>Law</w:t>
      </w:r>
      <w:proofErr w:type="spellEnd"/>
      <w:r w:rsidRPr="00E61A91">
        <w:rPr>
          <w:rFonts w:ascii="Times New Roman" w:hAnsi="Times New Roman" w:cs="Times New Roman"/>
          <w:i/>
          <w:sz w:val="20"/>
          <w:szCs w:val="20"/>
        </w:rPr>
        <w:t xml:space="preserve"> </w:t>
      </w:r>
      <w:proofErr w:type="spellStart"/>
      <w:r w:rsidRPr="00E61A91">
        <w:rPr>
          <w:rFonts w:ascii="Times New Roman" w:hAnsi="Times New Roman" w:cs="Times New Roman"/>
          <w:i/>
          <w:sz w:val="20"/>
          <w:szCs w:val="20"/>
        </w:rPr>
        <w:t>and</w:t>
      </w:r>
      <w:proofErr w:type="spellEnd"/>
      <w:r w:rsidRPr="00E61A91">
        <w:rPr>
          <w:rFonts w:ascii="Times New Roman" w:hAnsi="Times New Roman" w:cs="Times New Roman"/>
          <w:i/>
          <w:sz w:val="20"/>
          <w:szCs w:val="20"/>
        </w:rPr>
        <w:t xml:space="preserve"> Legal </w:t>
      </w:r>
      <w:proofErr w:type="spellStart"/>
      <w:r w:rsidRPr="00E61A91">
        <w:rPr>
          <w:rFonts w:ascii="Times New Roman" w:hAnsi="Times New Roman" w:cs="Times New Roman"/>
          <w:i/>
          <w:sz w:val="20"/>
          <w:szCs w:val="20"/>
        </w:rPr>
        <w:t>System</w:t>
      </w:r>
      <w:proofErr w:type="spellEnd"/>
      <w:r w:rsidRPr="00E61A91">
        <w:rPr>
          <w:rFonts w:ascii="Times New Roman" w:hAnsi="Times New Roman" w:cs="Times New Roman"/>
          <w:i/>
          <w:sz w:val="20"/>
          <w:szCs w:val="20"/>
        </w:rPr>
        <w:t xml:space="preserve"> of </w:t>
      </w:r>
      <w:proofErr w:type="spellStart"/>
      <w:r w:rsidRPr="00E61A91">
        <w:rPr>
          <w:rFonts w:ascii="Times New Roman" w:hAnsi="Times New Roman" w:cs="Times New Roman"/>
          <w:i/>
          <w:sz w:val="20"/>
          <w:szCs w:val="20"/>
        </w:rPr>
        <w:t>the</w:t>
      </w:r>
      <w:proofErr w:type="spellEnd"/>
      <w:r w:rsidRPr="00E61A91">
        <w:rPr>
          <w:rFonts w:ascii="Times New Roman" w:hAnsi="Times New Roman" w:cs="Times New Roman"/>
          <w:i/>
          <w:sz w:val="20"/>
          <w:szCs w:val="20"/>
        </w:rPr>
        <w:t xml:space="preserve"> </w:t>
      </w:r>
      <w:proofErr w:type="spellStart"/>
      <w:r w:rsidRPr="00E61A91">
        <w:rPr>
          <w:rFonts w:ascii="Times New Roman" w:hAnsi="Times New Roman" w:cs="Times New Roman"/>
          <w:i/>
          <w:sz w:val="20"/>
          <w:szCs w:val="20"/>
        </w:rPr>
        <w:t>Unitd</w:t>
      </w:r>
      <w:proofErr w:type="spellEnd"/>
      <w:r w:rsidRPr="00E61A91">
        <w:rPr>
          <w:rFonts w:ascii="Times New Roman" w:hAnsi="Times New Roman" w:cs="Times New Roman"/>
          <w:i/>
          <w:sz w:val="20"/>
          <w:szCs w:val="20"/>
        </w:rPr>
        <w:t xml:space="preserve"> </w:t>
      </w:r>
      <w:proofErr w:type="spellStart"/>
      <w:r w:rsidRPr="00E61A91">
        <w:rPr>
          <w:rFonts w:ascii="Times New Roman" w:hAnsi="Times New Roman" w:cs="Times New Roman"/>
          <w:i/>
          <w:sz w:val="20"/>
          <w:szCs w:val="20"/>
        </w:rPr>
        <w:t>States</w:t>
      </w:r>
      <w:proofErr w:type="spellEnd"/>
      <w:r w:rsidRPr="00E61A91">
        <w:rPr>
          <w:rFonts w:ascii="Times New Roman" w:hAnsi="Times New Roman" w:cs="Times New Roman"/>
          <w:sz w:val="20"/>
          <w:szCs w:val="20"/>
        </w:rPr>
        <w:t xml:space="preserve"> 604 (2011)),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also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regulating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these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Note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that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listed</w:t>
      </w:r>
      <w:proofErr w:type="spellEnd"/>
      <w:r w:rsidRPr="00E61A91">
        <w:rPr>
          <w:rFonts w:ascii="Times New Roman" w:hAnsi="Times New Roman" w:cs="Times New Roman"/>
          <w:sz w:val="20"/>
          <w:szCs w:val="20"/>
        </w:rPr>
        <w:t xml:space="preserve"> on </w:t>
      </w:r>
      <w:proofErr w:type="spellStart"/>
      <w:r w:rsidRPr="00E61A91">
        <w:rPr>
          <w:rFonts w:ascii="Times New Roman" w:hAnsi="Times New Roman" w:cs="Times New Roman"/>
          <w:sz w:val="20"/>
          <w:szCs w:val="20"/>
        </w:rPr>
        <w:t>exchanges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like</w:t>
      </w:r>
      <w:proofErr w:type="spellEnd"/>
      <w:r w:rsidRPr="00E61A91">
        <w:rPr>
          <w:rFonts w:ascii="Times New Roman" w:hAnsi="Times New Roman" w:cs="Times New Roman"/>
          <w:sz w:val="20"/>
          <w:szCs w:val="20"/>
        </w:rPr>
        <w:t xml:space="preserve"> NYSE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subject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a limited </w:t>
      </w:r>
      <w:proofErr w:type="spellStart"/>
      <w:r w:rsidRPr="00E61A91">
        <w:rPr>
          <w:rFonts w:ascii="Times New Roman" w:hAnsi="Times New Roman" w:cs="Times New Roman"/>
          <w:sz w:val="20"/>
          <w:szCs w:val="20"/>
        </w:rPr>
        <w:t>scope</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state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securities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laws</w:t>
      </w:r>
      <w:proofErr w:type="spellEnd"/>
      <w:r w:rsidRPr="00E61A91">
        <w:rPr>
          <w:rFonts w:ascii="Times New Roman" w:hAnsi="Times New Roman" w:cs="Times New Roman"/>
          <w:sz w:val="20"/>
          <w:szCs w:val="20"/>
        </w:rPr>
        <w:t xml:space="preserve">, as federal </w:t>
      </w:r>
      <w:proofErr w:type="spellStart"/>
      <w:r w:rsidRPr="00E61A91">
        <w:rPr>
          <w:rFonts w:ascii="Times New Roman" w:hAnsi="Times New Roman" w:cs="Times New Roman"/>
          <w:sz w:val="20"/>
          <w:szCs w:val="20"/>
        </w:rPr>
        <w:t>securities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provide</w:t>
      </w:r>
      <w:proofErr w:type="spellEnd"/>
      <w:r w:rsidRPr="00E61A91">
        <w:rPr>
          <w:rFonts w:ascii="Times New Roman" w:hAnsi="Times New Roman" w:cs="Times New Roman"/>
          <w:sz w:val="20"/>
          <w:szCs w:val="20"/>
        </w:rPr>
        <w:t xml:space="preserve"> a </w:t>
      </w:r>
      <w:proofErr w:type="spellStart"/>
      <w:r w:rsidRPr="00E61A91">
        <w:rPr>
          <w:rFonts w:ascii="Times New Roman" w:hAnsi="Times New Roman" w:cs="Times New Roman"/>
          <w:sz w:val="20"/>
          <w:szCs w:val="20"/>
        </w:rPr>
        <w:t>vast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exemption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scope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for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them</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Securities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Act</w:t>
      </w:r>
      <w:proofErr w:type="spellEnd"/>
      <w:r w:rsidRPr="00E61A91">
        <w:rPr>
          <w:rFonts w:ascii="Times New Roman" w:hAnsi="Times New Roman" w:cs="Times New Roman"/>
          <w:sz w:val="20"/>
          <w:szCs w:val="20"/>
        </w:rPr>
        <w:t xml:space="preserve"> of 1933, </w:t>
      </w:r>
      <w:proofErr w:type="spellStart"/>
      <w:r w:rsidRPr="00E61A91">
        <w:rPr>
          <w:rFonts w:ascii="Times New Roman" w:hAnsi="Times New Roman" w:cs="Times New Roman"/>
          <w:sz w:val="20"/>
          <w:szCs w:val="20"/>
        </w:rPr>
        <w:t>Sec</w:t>
      </w:r>
      <w:proofErr w:type="spellEnd"/>
      <w:r w:rsidRPr="00E61A91">
        <w:rPr>
          <w:rFonts w:ascii="Times New Roman" w:hAnsi="Times New Roman" w:cs="Times New Roman"/>
          <w:sz w:val="20"/>
          <w:szCs w:val="20"/>
        </w:rPr>
        <w:t xml:space="preserve">. 18)). </w:t>
      </w:r>
      <w:proofErr w:type="spellStart"/>
      <w:r w:rsidRPr="00E61A91">
        <w:rPr>
          <w:rFonts w:ascii="Times New Roman" w:hAnsi="Times New Roman" w:cs="Times New Roman"/>
          <w:sz w:val="20"/>
          <w:szCs w:val="20"/>
        </w:rPr>
        <w:t>There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also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other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specific</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like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tax</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banking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bankruptcy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insolvency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which</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effect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corporate</w:t>
      </w:r>
      <w:proofErr w:type="spellEnd"/>
      <w:r w:rsidRPr="00E61A91">
        <w:rPr>
          <w:rFonts w:ascii="Times New Roman" w:hAnsi="Times New Roman" w:cs="Times New Roman"/>
          <w:sz w:val="20"/>
          <w:szCs w:val="20"/>
        </w:rPr>
        <w:t xml:space="preserve"> life, but </w:t>
      </w:r>
      <w:proofErr w:type="spellStart"/>
      <w:r w:rsidRPr="00E61A91">
        <w:rPr>
          <w:rFonts w:ascii="Times New Roman" w:hAnsi="Times New Roman" w:cs="Times New Roman"/>
          <w:sz w:val="20"/>
          <w:szCs w:val="20"/>
        </w:rPr>
        <w:t>they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will</w:t>
      </w:r>
      <w:proofErr w:type="spellEnd"/>
      <w:r w:rsidRPr="00E61A91">
        <w:rPr>
          <w:rFonts w:ascii="Times New Roman" w:hAnsi="Times New Roman" w:cs="Times New Roman"/>
          <w:sz w:val="20"/>
          <w:szCs w:val="20"/>
        </w:rPr>
        <w:t xml:space="preserve"> not be </w:t>
      </w:r>
      <w:proofErr w:type="spellStart"/>
      <w:r w:rsidRPr="00E61A91">
        <w:rPr>
          <w:rFonts w:ascii="Times New Roman" w:hAnsi="Times New Roman" w:cs="Times New Roman"/>
          <w:sz w:val="20"/>
          <w:szCs w:val="20"/>
        </w:rPr>
        <w:t>mentioned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unless</w:t>
      </w:r>
      <w:proofErr w:type="spellEnd"/>
      <w:r w:rsidRPr="00E61A91">
        <w:rPr>
          <w:rFonts w:ascii="Times New Roman" w:hAnsi="Times New Roman" w:cs="Times New Roman"/>
          <w:sz w:val="20"/>
          <w:szCs w:val="20"/>
        </w:rPr>
        <w:t xml:space="preserve"> it is </w:t>
      </w:r>
      <w:proofErr w:type="spellStart"/>
      <w:r w:rsidRPr="00E61A91">
        <w:rPr>
          <w:rFonts w:ascii="Times New Roman" w:hAnsi="Times New Roman" w:cs="Times New Roman"/>
          <w:sz w:val="20"/>
          <w:szCs w:val="20"/>
        </w:rPr>
        <w:t>relevant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this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study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Similarly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instead</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defining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or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types</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corporations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several</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statutes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like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Delaware’s</w:t>
      </w:r>
      <w:proofErr w:type="spellEnd"/>
      <w:r w:rsidRPr="00E61A91">
        <w:rPr>
          <w:rFonts w:ascii="Times New Roman" w:hAnsi="Times New Roman" w:cs="Times New Roman"/>
          <w:sz w:val="20"/>
          <w:szCs w:val="20"/>
        </w:rPr>
        <w:t xml:space="preserve">, define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closely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held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w:t>
      </w:r>
      <w:proofErr w:type="spellEnd"/>
      <w:r w:rsidRPr="00E61A91">
        <w:rPr>
          <w:rFonts w:ascii="Times New Roman" w:hAnsi="Times New Roman" w:cs="Times New Roman"/>
          <w:sz w:val="20"/>
          <w:szCs w:val="20"/>
        </w:rPr>
        <w:t xml:space="preserve">” (James D. </w:t>
      </w:r>
      <w:proofErr w:type="spellStart"/>
      <w:r w:rsidRPr="00E61A91">
        <w:rPr>
          <w:rFonts w:ascii="Times New Roman" w:hAnsi="Times New Roman" w:cs="Times New Roman"/>
          <w:sz w:val="20"/>
          <w:szCs w:val="20"/>
        </w:rPr>
        <w:t>Cox</w:t>
      </w:r>
      <w:proofErr w:type="spellEnd"/>
      <w:r w:rsidRPr="00E61A91">
        <w:rPr>
          <w:rFonts w:ascii="Times New Roman" w:hAnsi="Times New Roman" w:cs="Times New Roman"/>
          <w:sz w:val="20"/>
          <w:szCs w:val="20"/>
        </w:rPr>
        <w:t xml:space="preserve">, Thomas Lee </w:t>
      </w:r>
      <w:proofErr w:type="spellStart"/>
      <w:r w:rsidRPr="00E61A91">
        <w:rPr>
          <w:rFonts w:ascii="Times New Roman" w:hAnsi="Times New Roman" w:cs="Times New Roman"/>
          <w:sz w:val="20"/>
          <w:szCs w:val="20"/>
        </w:rPr>
        <w:t>Hazen</w:t>
      </w:r>
      <w:proofErr w:type="spellEnd"/>
      <w:r w:rsidRPr="00E61A91">
        <w:rPr>
          <w:rFonts w:ascii="Times New Roman" w:hAnsi="Times New Roman" w:cs="Times New Roman"/>
          <w:sz w:val="20"/>
          <w:szCs w:val="20"/>
        </w:rPr>
        <w:t xml:space="preserve">, </w:t>
      </w:r>
      <w:r w:rsidRPr="00E61A91">
        <w:rPr>
          <w:rFonts w:ascii="Times New Roman" w:hAnsi="Times New Roman" w:cs="Times New Roman"/>
          <w:i/>
          <w:sz w:val="20"/>
          <w:szCs w:val="20"/>
        </w:rPr>
        <w:t xml:space="preserve">Corporation </w:t>
      </w:r>
      <w:proofErr w:type="spellStart"/>
      <w:r w:rsidRPr="00E61A91">
        <w:rPr>
          <w:rFonts w:ascii="Times New Roman" w:hAnsi="Times New Roman" w:cs="Times New Roman"/>
          <w:i/>
          <w:sz w:val="20"/>
          <w:szCs w:val="20"/>
        </w:rPr>
        <w:t>Law</w:t>
      </w:r>
      <w:proofErr w:type="spellEnd"/>
      <w:r w:rsidRPr="00E61A91">
        <w:rPr>
          <w:rFonts w:ascii="Times New Roman" w:hAnsi="Times New Roman" w:cs="Times New Roman"/>
          <w:sz w:val="20"/>
          <w:szCs w:val="20"/>
        </w:rPr>
        <w:t xml:space="preserve"> 13 (2012)). </w:t>
      </w:r>
      <w:proofErr w:type="spellStart"/>
      <w:r w:rsidRPr="00E61A91">
        <w:rPr>
          <w:rFonts w:ascii="Times New Roman" w:hAnsi="Times New Roman" w:cs="Times New Roman"/>
          <w:sz w:val="20"/>
          <w:szCs w:val="20"/>
        </w:rPr>
        <w:t>According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Title</w:t>
      </w:r>
      <w:proofErr w:type="spellEnd"/>
      <w:r w:rsidRPr="00E61A91">
        <w:rPr>
          <w:rFonts w:ascii="Times New Roman" w:hAnsi="Times New Roman" w:cs="Times New Roman"/>
          <w:sz w:val="20"/>
          <w:szCs w:val="20"/>
        </w:rPr>
        <w:t xml:space="preserve"> 8 </w:t>
      </w:r>
      <w:proofErr w:type="spellStart"/>
      <w:r w:rsidRPr="00E61A91">
        <w:rPr>
          <w:rFonts w:ascii="Times New Roman" w:hAnsi="Times New Roman" w:cs="Times New Roman"/>
          <w:sz w:val="20"/>
          <w:szCs w:val="20"/>
        </w:rPr>
        <w:t>Chapter</w:t>
      </w:r>
      <w:proofErr w:type="spellEnd"/>
      <w:r w:rsidRPr="00E61A91">
        <w:rPr>
          <w:rFonts w:ascii="Times New Roman" w:hAnsi="Times New Roman" w:cs="Times New Roman"/>
          <w:sz w:val="20"/>
          <w:szCs w:val="20"/>
        </w:rPr>
        <w:t xml:space="preserve"> 1 </w:t>
      </w:r>
      <w:proofErr w:type="spellStart"/>
      <w:r w:rsidRPr="00E61A91">
        <w:rPr>
          <w:rFonts w:ascii="Times New Roman" w:hAnsi="Times New Roman" w:cs="Times New Roman"/>
          <w:sz w:val="20"/>
          <w:szCs w:val="20"/>
        </w:rPr>
        <w:t>Section</w:t>
      </w:r>
      <w:proofErr w:type="spellEnd"/>
      <w:r w:rsidRPr="00E61A91">
        <w:rPr>
          <w:rFonts w:ascii="Times New Roman" w:hAnsi="Times New Roman" w:cs="Times New Roman"/>
          <w:sz w:val="20"/>
          <w:szCs w:val="20"/>
        </w:rPr>
        <w:t xml:space="preserve"> 341 of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Delaware </w:t>
      </w:r>
      <w:proofErr w:type="spellStart"/>
      <w:r w:rsidRPr="00E61A91">
        <w:rPr>
          <w:rFonts w:ascii="Times New Roman" w:hAnsi="Times New Roman" w:cs="Times New Roman"/>
          <w:sz w:val="20"/>
          <w:szCs w:val="20"/>
        </w:rPr>
        <w:t>Code</w:t>
      </w:r>
      <w:proofErr w:type="spellEnd"/>
      <w:r w:rsidRPr="00E61A91">
        <w:rPr>
          <w:rFonts w:ascii="Times New Roman" w:hAnsi="Times New Roman" w:cs="Times New Roman"/>
          <w:sz w:val="20"/>
          <w:szCs w:val="20"/>
        </w:rPr>
        <w:t xml:space="preserve">, a </w:t>
      </w:r>
      <w:proofErr w:type="spellStart"/>
      <w:r w:rsidRPr="00E61A91">
        <w:rPr>
          <w:rFonts w:ascii="Times New Roman" w:hAnsi="Times New Roman" w:cs="Times New Roman"/>
          <w:sz w:val="20"/>
          <w:szCs w:val="20"/>
        </w:rPr>
        <w:t>corporation</w:t>
      </w:r>
      <w:proofErr w:type="spellEnd"/>
      <w:r w:rsidRPr="00E61A91">
        <w:rPr>
          <w:rFonts w:ascii="Times New Roman" w:hAnsi="Times New Roman" w:cs="Times New Roman"/>
          <w:sz w:val="20"/>
          <w:szCs w:val="20"/>
        </w:rPr>
        <w:t xml:space="preserve"> can </w:t>
      </w:r>
      <w:proofErr w:type="spellStart"/>
      <w:r w:rsidRPr="00E61A91">
        <w:rPr>
          <w:rFonts w:ascii="Times New Roman" w:hAnsi="Times New Roman" w:cs="Times New Roman"/>
          <w:sz w:val="20"/>
          <w:szCs w:val="20"/>
        </w:rPr>
        <w:t>choose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be a “</w:t>
      </w:r>
      <w:proofErr w:type="spellStart"/>
      <w:r w:rsidRPr="00E61A91">
        <w:rPr>
          <w:rFonts w:ascii="Times New Roman" w:hAnsi="Times New Roman" w:cs="Times New Roman"/>
          <w:sz w:val="20"/>
          <w:szCs w:val="20"/>
        </w:rPr>
        <w:t>close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if</w:t>
      </w:r>
      <w:proofErr w:type="spellEnd"/>
      <w:r w:rsidRPr="00E61A91">
        <w:rPr>
          <w:rFonts w:ascii="Times New Roman" w:hAnsi="Times New Roman" w:cs="Times New Roman"/>
          <w:sz w:val="20"/>
          <w:szCs w:val="20"/>
        </w:rPr>
        <w:t xml:space="preserve"> it has </w:t>
      </w:r>
      <w:proofErr w:type="spellStart"/>
      <w:r w:rsidRPr="00E61A91">
        <w:rPr>
          <w:rFonts w:ascii="Times New Roman" w:hAnsi="Times New Roman" w:cs="Times New Roman"/>
          <w:sz w:val="20"/>
          <w:szCs w:val="20"/>
        </w:rPr>
        <w:t>no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more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than</w:t>
      </w:r>
      <w:proofErr w:type="spellEnd"/>
      <w:r w:rsidRPr="00E61A91">
        <w:rPr>
          <w:rFonts w:ascii="Times New Roman" w:hAnsi="Times New Roman" w:cs="Times New Roman"/>
          <w:sz w:val="20"/>
          <w:szCs w:val="20"/>
        </w:rPr>
        <w:t xml:space="preserve"> 30 </w:t>
      </w:r>
      <w:proofErr w:type="spellStart"/>
      <w:r w:rsidRPr="00E61A91">
        <w:rPr>
          <w:rFonts w:ascii="Times New Roman" w:hAnsi="Times New Roman" w:cs="Times New Roman"/>
          <w:sz w:val="20"/>
          <w:szCs w:val="20"/>
        </w:rPr>
        <w:t>shareholders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exclusive</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treasury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shares</w:t>
      </w:r>
      <w:proofErr w:type="spellEnd"/>
      <w:r w:rsidRPr="00E61A91">
        <w:rPr>
          <w:rFonts w:ascii="Times New Roman" w:hAnsi="Times New Roman" w:cs="Times New Roman"/>
          <w:sz w:val="20"/>
          <w:szCs w:val="20"/>
        </w:rPr>
        <w:t xml:space="preserve">), has at </w:t>
      </w:r>
      <w:proofErr w:type="spellStart"/>
      <w:r w:rsidRPr="00E61A91">
        <w:rPr>
          <w:rFonts w:ascii="Times New Roman" w:hAnsi="Times New Roman" w:cs="Times New Roman"/>
          <w:sz w:val="20"/>
          <w:szCs w:val="20"/>
        </w:rPr>
        <w:t>least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one</w:t>
      </w:r>
      <w:proofErr w:type="spellEnd"/>
      <w:r w:rsidRPr="00E61A91">
        <w:rPr>
          <w:rFonts w:ascii="Times New Roman" w:hAnsi="Times New Roman" w:cs="Times New Roman"/>
          <w:sz w:val="20"/>
          <w:szCs w:val="20"/>
        </w:rPr>
        <w:t xml:space="preserve"> transfer </w:t>
      </w:r>
      <w:proofErr w:type="spellStart"/>
      <w:r w:rsidRPr="00E61A91">
        <w:rPr>
          <w:rFonts w:ascii="Times New Roman" w:hAnsi="Times New Roman" w:cs="Times New Roman"/>
          <w:sz w:val="20"/>
          <w:szCs w:val="20"/>
        </w:rPr>
        <w:t>restrictions</w:t>
      </w:r>
      <w:proofErr w:type="spellEnd"/>
      <w:r w:rsidRPr="00E61A91">
        <w:rPr>
          <w:rFonts w:ascii="Times New Roman" w:hAnsi="Times New Roman" w:cs="Times New Roman"/>
          <w:sz w:val="20"/>
          <w:szCs w:val="20"/>
        </w:rPr>
        <w:t xml:space="preserve"> in </w:t>
      </w:r>
      <w:proofErr w:type="spellStart"/>
      <w:r w:rsidRPr="00E61A91">
        <w:rPr>
          <w:rFonts w:ascii="Times New Roman" w:hAnsi="Times New Roman" w:cs="Times New Roman"/>
          <w:sz w:val="20"/>
          <w:szCs w:val="20"/>
        </w:rPr>
        <w:t>all</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class</w:t>
      </w:r>
      <w:proofErr w:type="spellEnd"/>
      <w:r w:rsidRPr="00E61A91">
        <w:rPr>
          <w:rFonts w:ascii="Times New Roman" w:hAnsi="Times New Roman" w:cs="Times New Roman"/>
          <w:sz w:val="20"/>
          <w:szCs w:val="20"/>
        </w:rPr>
        <w:t xml:space="preserve"> of </w:t>
      </w:r>
      <w:proofErr w:type="spellStart"/>
      <w:r w:rsidRPr="00E61A91">
        <w:rPr>
          <w:rFonts w:ascii="Times New Roman" w:hAnsi="Times New Roman" w:cs="Times New Roman"/>
          <w:sz w:val="20"/>
          <w:szCs w:val="20"/>
        </w:rPr>
        <w:t>shares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promises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make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no</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public</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offering</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if</w:t>
      </w:r>
      <w:proofErr w:type="spellEnd"/>
      <w:r w:rsidRPr="00E61A91">
        <w:rPr>
          <w:rFonts w:ascii="Times New Roman" w:hAnsi="Times New Roman" w:cs="Times New Roman"/>
          <w:sz w:val="20"/>
          <w:szCs w:val="20"/>
        </w:rPr>
        <w:t xml:space="preserve"> it has </w:t>
      </w:r>
      <w:proofErr w:type="spellStart"/>
      <w:r w:rsidRPr="00E61A91">
        <w:rPr>
          <w:rFonts w:ascii="Times New Roman" w:hAnsi="Times New Roman" w:cs="Times New Roman"/>
          <w:sz w:val="20"/>
          <w:szCs w:val="20"/>
        </w:rPr>
        <w:t>other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traits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stated</w:t>
      </w:r>
      <w:proofErr w:type="spellEnd"/>
      <w:r w:rsidRPr="00E61A91">
        <w:rPr>
          <w:rFonts w:ascii="Times New Roman" w:hAnsi="Times New Roman" w:cs="Times New Roman"/>
          <w:sz w:val="20"/>
          <w:szCs w:val="20"/>
        </w:rPr>
        <w:t xml:space="preserve"> in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related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subchapter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Thus</w:t>
      </w:r>
      <w:proofErr w:type="spellEnd"/>
      <w:r w:rsidRPr="00E61A91">
        <w:rPr>
          <w:rFonts w:ascii="Times New Roman" w:hAnsi="Times New Roman" w:cs="Times New Roman"/>
          <w:sz w:val="20"/>
          <w:szCs w:val="20"/>
        </w:rPr>
        <w:t xml:space="preserve">, Delaware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does</w:t>
      </w:r>
      <w:proofErr w:type="spellEnd"/>
      <w:r w:rsidRPr="00E61A91">
        <w:rPr>
          <w:rFonts w:ascii="Times New Roman" w:hAnsi="Times New Roman" w:cs="Times New Roman"/>
          <w:sz w:val="20"/>
          <w:szCs w:val="20"/>
        </w:rPr>
        <w:t xml:space="preserve"> not </w:t>
      </w:r>
      <w:proofErr w:type="spellStart"/>
      <w:r w:rsidRPr="00E61A91">
        <w:rPr>
          <w:rFonts w:ascii="Times New Roman" w:hAnsi="Times New Roman" w:cs="Times New Roman"/>
          <w:sz w:val="20"/>
          <w:szCs w:val="20"/>
        </w:rPr>
        <w:t>make</w:t>
      </w:r>
      <w:proofErr w:type="spellEnd"/>
      <w:r w:rsidRPr="00E61A91">
        <w:rPr>
          <w:rFonts w:ascii="Times New Roman" w:hAnsi="Times New Roman" w:cs="Times New Roman"/>
          <w:sz w:val="20"/>
          <w:szCs w:val="20"/>
        </w:rPr>
        <w:t xml:space="preserve"> a </w:t>
      </w:r>
      <w:proofErr w:type="spellStart"/>
      <w:r w:rsidRPr="00E61A91">
        <w:rPr>
          <w:rFonts w:ascii="Times New Roman" w:hAnsi="Times New Roman" w:cs="Times New Roman"/>
          <w:sz w:val="20"/>
          <w:szCs w:val="20"/>
        </w:rPr>
        <w:t>distinction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between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publicly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traded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not </w:t>
      </w:r>
      <w:proofErr w:type="spellStart"/>
      <w:r w:rsidRPr="00E61A91">
        <w:rPr>
          <w:rFonts w:ascii="Times New Roman" w:hAnsi="Times New Roman" w:cs="Times New Roman"/>
          <w:sz w:val="20"/>
          <w:szCs w:val="20"/>
        </w:rPr>
        <w:t>traded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corporations</w:t>
      </w:r>
      <w:proofErr w:type="spellEnd"/>
      <w:r w:rsidRPr="00E61A91">
        <w:rPr>
          <w:rFonts w:ascii="Times New Roman" w:hAnsi="Times New Roman" w:cs="Times New Roman"/>
          <w:sz w:val="20"/>
          <w:szCs w:val="20"/>
        </w:rPr>
        <w:t xml:space="preserve">, but </w:t>
      </w:r>
      <w:proofErr w:type="spellStart"/>
      <w:r w:rsidRPr="00E61A91">
        <w:rPr>
          <w:rFonts w:ascii="Times New Roman" w:hAnsi="Times New Roman" w:cs="Times New Roman"/>
          <w:sz w:val="20"/>
          <w:szCs w:val="20"/>
        </w:rPr>
        <w:t>makes</w:t>
      </w:r>
      <w:proofErr w:type="spellEnd"/>
      <w:r w:rsidRPr="00E61A91">
        <w:rPr>
          <w:rFonts w:ascii="Times New Roman" w:hAnsi="Times New Roman" w:cs="Times New Roman"/>
          <w:sz w:val="20"/>
          <w:szCs w:val="20"/>
        </w:rPr>
        <w:t xml:space="preserve"> a </w:t>
      </w:r>
      <w:proofErr w:type="spellStart"/>
      <w:r w:rsidRPr="00E61A91">
        <w:rPr>
          <w:rFonts w:ascii="Times New Roman" w:hAnsi="Times New Roman" w:cs="Times New Roman"/>
          <w:sz w:val="20"/>
          <w:szCs w:val="20"/>
        </w:rPr>
        <w:t>distinction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between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close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In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this</w:t>
      </w:r>
      <w:proofErr w:type="spellEnd"/>
      <w:r w:rsidRPr="00E61A91">
        <w:rPr>
          <w:rFonts w:ascii="Times New Roman" w:hAnsi="Times New Roman" w:cs="Times New Roman"/>
          <w:sz w:val="20"/>
          <w:szCs w:val="20"/>
        </w:rPr>
        <w:t xml:space="preserve"> sense, </w:t>
      </w:r>
      <w:proofErr w:type="spellStart"/>
      <w:r w:rsidRPr="00E61A91">
        <w:rPr>
          <w:rFonts w:ascii="Times New Roman" w:hAnsi="Times New Roman" w:cs="Times New Roman"/>
          <w:sz w:val="20"/>
          <w:szCs w:val="20"/>
        </w:rPr>
        <w:t>for</w:t>
      </w:r>
      <w:proofErr w:type="spellEnd"/>
      <w:r w:rsidRPr="00E61A91">
        <w:rPr>
          <w:rFonts w:ascii="Times New Roman" w:hAnsi="Times New Roman" w:cs="Times New Roman"/>
          <w:sz w:val="20"/>
          <w:szCs w:val="20"/>
        </w:rPr>
        <w:t xml:space="preserve"> Delaware, it can be </w:t>
      </w:r>
      <w:proofErr w:type="spellStart"/>
      <w:r w:rsidRPr="00E61A91">
        <w:rPr>
          <w:rFonts w:ascii="Times New Roman" w:hAnsi="Times New Roman" w:cs="Times New Roman"/>
          <w:sz w:val="20"/>
          <w:szCs w:val="20"/>
        </w:rPr>
        <w:t>said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that</w:t>
      </w:r>
      <w:proofErr w:type="spellEnd"/>
      <w:r w:rsidRPr="00E61A91">
        <w:rPr>
          <w:rFonts w:ascii="Times New Roman" w:hAnsi="Times New Roman" w:cs="Times New Roman"/>
          <w:sz w:val="20"/>
          <w:szCs w:val="20"/>
        </w:rPr>
        <w:t xml:space="preserve"> a “normal” </w:t>
      </w:r>
      <w:proofErr w:type="spellStart"/>
      <w:r w:rsidRPr="00E61A91">
        <w:rPr>
          <w:rFonts w:ascii="Times New Roman" w:hAnsi="Times New Roman" w:cs="Times New Roman"/>
          <w:sz w:val="20"/>
          <w:szCs w:val="20"/>
        </w:rPr>
        <w:t>corporation</w:t>
      </w:r>
      <w:proofErr w:type="spellEnd"/>
      <w:r w:rsidRPr="00E61A91">
        <w:rPr>
          <w:rFonts w:ascii="Times New Roman" w:hAnsi="Times New Roman" w:cs="Times New Roman"/>
          <w:sz w:val="20"/>
          <w:szCs w:val="20"/>
        </w:rPr>
        <w:t xml:space="preserve"> is </w:t>
      </w:r>
      <w:proofErr w:type="spellStart"/>
      <w:r w:rsidRPr="00E61A91">
        <w:rPr>
          <w:rFonts w:ascii="Times New Roman" w:hAnsi="Times New Roman" w:cs="Times New Roman"/>
          <w:sz w:val="20"/>
          <w:szCs w:val="20"/>
        </w:rPr>
        <w:t>one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that</w:t>
      </w:r>
      <w:proofErr w:type="spellEnd"/>
      <w:r w:rsidRPr="00E61A91">
        <w:rPr>
          <w:rFonts w:ascii="Times New Roman" w:hAnsi="Times New Roman" w:cs="Times New Roman"/>
          <w:sz w:val="20"/>
          <w:szCs w:val="20"/>
        </w:rPr>
        <w:t xml:space="preserve"> is </w:t>
      </w:r>
      <w:proofErr w:type="spellStart"/>
      <w:r w:rsidRPr="00E61A91">
        <w:rPr>
          <w:rFonts w:ascii="Times New Roman" w:hAnsi="Times New Roman" w:cs="Times New Roman"/>
          <w:sz w:val="20"/>
          <w:szCs w:val="20"/>
        </w:rPr>
        <w:t>held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by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many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people</w:t>
      </w:r>
      <w:proofErr w:type="spellEnd"/>
      <w:r w:rsidRPr="00E61A91">
        <w:rPr>
          <w:rFonts w:ascii="Times New Roman" w:hAnsi="Times New Roman" w:cs="Times New Roman"/>
          <w:sz w:val="20"/>
          <w:szCs w:val="20"/>
        </w:rPr>
        <w:t xml:space="preserve"> (at </w:t>
      </w:r>
      <w:proofErr w:type="spellStart"/>
      <w:r w:rsidRPr="00E61A91">
        <w:rPr>
          <w:rFonts w:ascii="Times New Roman" w:hAnsi="Times New Roman" w:cs="Times New Roman"/>
          <w:sz w:val="20"/>
          <w:szCs w:val="20"/>
        </w:rPr>
        <w:t>least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more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than</w:t>
      </w:r>
      <w:proofErr w:type="spellEnd"/>
      <w:r w:rsidRPr="00E61A91">
        <w:rPr>
          <w:rFonts w:ascii="Times New Roman" w:hAnsi="Times New Roman" w:cs="Times New Roman"/>
          <w:sz w:val="20"/>
          <w:szCs w:val="20"/>
        </w:rPr>
        <w:t xml:space="preserve"> 30) </w:t>
      </w:r>
      <w:proofErr w:type="spellStart"/>
      <w:r w:rsidRPr="00E61A91">
        <w:rPr>
          <w:rFonts w:ascii="Times New Roman" w:hAnsi="Times New Roman" w:cs="Times New Roman"/>
          <w:sz w:val="20"/>
          <w:szCs w:val="20"/>
        </w:rPr>
        <w:t>and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law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holds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view</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that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every</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w:t>
      </w:r>
      <w:proofErr w:type="spellEnd"/>
      <w:r w:rsidRPr="00E61A91">
        <w:rPr>
          <w:rFonts w:ascii="Times New Roman" w:hAnsi="Times New Roman" w:cs="Times New Roman"/>
          <w:sz w:val="20"/>
          <w:szCs w:val="20"/>
        </w:rPr>
        <w:t xml:space="preserve"> is </w:t>
      </w:r>
      <w:proofErr w:type="spellStart"/>
      <w:r w:rsidRPr="00E61A91">
        <w:rPr>
          <w:rFonts w:ascii="Times New Roman" w:hAnsi="Times New Roman" w:cs="Times New Roman"/>
          <w:sz w:val="20"/>
          <w:szCs w:val="20"/>
        </w:rPr>
        <w:t>deemed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to</w:t>
      </w:r>
      <w:proofErr w:type="spellEnd"/>
      <w:r w:rsidRPr="00E61A91">
        <w:rPr>
          <w:rFonts w:ascii="Times New Roman" w:hAnsi="Times New Roman" w:cs="Times New Roman"/>
          <w:sz w:val="20"/>
          <w:szCs w:val="20"/>
        </w:rPr>
        <w:t xml:space="preserve"> be ‘</w:t>
      </w:r>
      <w:proofErr w:type="spellStart"/>
      <w:r w:rsidRPr="00E61A91">
        <w:rPr>
          <w:rFonts w:ascii="Times New Roman" w:hAnsi="Times New Roman" w:cs="Times New Roman"/>
          <w:sz w:val="20"/>
          <w:szCs w:val="20"/>
        </w:rPr>
        <w:t>public</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one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day</w:t>
      </w:r>
      <w:proofErr w:type="spellEnd"/>
      <w:r w:rsidRPr="00E61A91">
        <w:rPr>
          <w:rFonts w:ascii="Times New Roman" w:hAnsi="Times New Roman" w:cs="Times New Roman"/>
          <w:sz w:val="20"/>
          <w:szCs w:val="20"/>
        </w:rPr>
        <w:t>” (</w:t>
      </w:r>
      <w:proofErr w:type="spellStart"/>
      <w:r w:rsidRPr="00E61A91">
        <w:rPr>
          <w:rFonts w:ascii="Times New Roman" w:hAnsi="Times New Roman" w:cs="Times New Roman"/>
          <w:sz w:val="20"/>
          <w:szCs w:val="20"/>
        </w:rPr>
        <w:t>Similarly</w:t>
      </w:r>
      <w:proofErr w:type="spellEnd"/>
      <w:r w:rsidRPr="00E61A91">
        <w:rPr>
          <w:rFonts w:ascii="Times New Roman" w:hAnsi="Times New Roman" w:cs="Times New Roman"/>
          <w:sz w:val="20"/>
          <w:szCs w:val="20"/>
        </w:rPr>
        <w:t xml:space="preserve">, Harry G. </w:t>
      </w:r>
      <w:proofErr w:type="spellStart"/>
      <w:r w:rsidRPr="00E61A91">
        <w:rPr>
          <w:rFonts w:ascii="Times New Roman" w:hAnsi="Times New Roman" w:cs="Times New Roman"/>
          <w:sz w:val="20"/>
          <w:szCs w:val="20"/>
        </w:rPr>
        <w:t>Henn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that</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statutes</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were</w:t>
      </w:r>
      <w:proofErr w:type="spellEnd"/>
      <w:r w:rsidRPr="00E61A91">
        <w:rPr>
          <w:rFonts w:ascii="Times New Roman" w:hAnsi="Times New Roman" w:cs="Times New Roman"/>
          <w:sz w:val="20"/>
          <w:szCs w:val="20"/>
        </w:rPr>
        <w:t xml:space="preserve"> “not </w:t>
      </w:r>
      <w:proofErr w:type="spellStart"/>
      <w:r w:rsidRPr="00E61A91">
        <w:rPr>
          <w:rFonts w:ascii="Times New Roman" w:hAnsi="Times New Roman" w:cs="Times New Roman"/>
          <w:sz w:val="20"/>
          <w:szCs w:val="20"/>
        </w:rPr>
        <w:t>drafted</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with</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particular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concern</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for</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the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close</w:t>
      </w:r>
      <w:proofErr w:type="spellEnd"/>
      <w:r w:rsidRPr="00E61A91">
        <w:rPr>
          <w:rFonts w:ascii="Times New Roman" w:hAnsi="Times New Roman" w:cs="Times New Roman"/>
          <w:sz w:val="20"/>
          <w:szCs w:val="20"/>
        </w:rPr>
        <w:t xml:space="preserve"> </w:t>
      </w:r>
      <w:proofErr w:type="spellStart"/>
      <w:r w:rsidRPr="00E61A91">
        <w:rPr>
          <w:rFonts w:ascii="Times New Roman" w:hAnsi="Times New Roman" w:cs="Times New Roman"/>
          <w:sz w:val="20"/>
          <w:szCs w:val="20"/>
        </w:rPr>
        <w:t>corporation</w:t>
      </w:r>
      <w:proofErr w:type="spellEnd"/>
      <w:r w:rsidRPr="00E61A91">
        <w:rPr>
          <w:rFonts w:ascii="Times New Roman" w:hAnsi="Times New Roman" w:cs="Times New Roman"/>
          <w:sz w:val="20"/>
          <w:szCs w:val="20"/>
        </w:rPr>
        <w:t>” (</w:t>
      </w:r>
      <w:proofErr w:type="spellStart"/>
      <w:r w:rsidRPr="00E61A91">
        <w:rPr>
          <w:rFonts w:ascii="Times New Roman" w:hAnsi="Times New Roman" w:cs="Times New Roman"/>
          <w:sz w:val="20"/>
          <w:szCs w:val="20"/>
        </w:rPr>
        <w:t>Henn</w:t>
      </w:r>
      <w:proofErr w:type="spellEnd"/>
      <w:r w:rsidRPr="00E61A91">
        <w:rPr>
          <w:rFonts w:ascii="Times New Roman" w:hAnsi="Times New Roman" w:cs="Times New Roman"/>
          <w:sz w:val="20"/>
          <w:szCs w:val="20"/>
        </w:rPr>
        <w:t xml:space="preserve">, p. 404)). </w:t>
      </w:r>
    </w:p>
  </w:footnote>
  <w:footnote w:id="402">
    <w:p w14:paraId="154F1694" w14:textId="5D5D052E" w:rsidR="00D36541" w:rsidRPr="009975EA" w:rsidRDefault="00D36541" w:rsidP="00E61A91">
      <w:pPr>
        <w:pStyle w:val="DipnotMetni"/>
        <w:jc w:val="both"/>
        <w:rPr>
          <w:rFonts w:ascii="Times New Roman" w:hAnsi="Times New Roman" w:cs="Times New Roman"/>
          <w:sz w:val="20"/>
          <w:szCs w:val="20"/>
        </w:rPr>
      </w:pPr>
      <w:r w:rsidRPr="00E61A91">
        <w:rPr>
          <w:rStyle w:val="DipnotBavurusu"/>
          <w:rFonts w:ascii="Times New Roman" w:hAnsi="Times New Roman" w:cs="Times New Roman"/>
          <w:sz w:val="20"/>
          <w:szCs w:val="20"/>
        </w:rPr>
        <w:footnoteRef/>
      </w:r>
      <w:r w:rsidRPr="00E61A91">
        <w:rPr>
          <w:rFonts w:ascii="Times New Roman" w:hAnsi="Times New Roman" w:cs="Times New Roman"/>
          <w:sz w:val="20"/>
          <w:szCs w:val="20"/>
        </w:rPr>
        <w:t xml:space="preserve"> Terry A. O’Neill</w:t>
      </w:r>
      <w:r w:rsidRPr="009975EA">
        <w:rPr>
          <w:rFonts w:ascii="Times New Roman" w:hAnsi="Times New Roman" w:cs="Times New Roman"/>
          <w:sz w:val="20"/>
          <w:szCs w:val="20"/>
        </w:rPr>
        <w:t>, p. 695.</w:t>
      </w:r>
    </w:p>
  </w:footnote>
  <w:footnote w:id="403">
    <w:p w14:paraId="0B668285" w14:textId="29533F1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Brian R. Cheffins, </w:t>
      </w:r>
      <w:r w:rsidRPr="003746F1">
        <w:rPr>
          <w:rFonts w:ascii="Times New Roman" w:hAnsi="Times New Roman" w:cs="Times New Roman"/>
          <w:i/>
          <w:sz w:val="20"/>
          <w:szCs w:val="20"/>
        </w:rPr>
        <w:t>Company Law: Theory, Structure, and Operation</w:t>
      </w:r>
      <w:r>
        <w:rPr>
          <w:rFonts w:ascii="Times New Roman" w:hAnsi="Times New Roman" w:cs="Times New Roman"/>
          <w:sz w:val="20"/>
          <w:szCs w:val="20"/>
        </w:rPr>
        <w:t xml:space="preserve"> 470 (</w:t>
      </w:r>
      <w:r w:rsidRPr="009975EA">
        <w:rPr>
          <w:rFonts w:ascii="Times New Roman" w:hAnsi="Times New Roman" w:cs="Times New Roman"/>
          <w:sz w:val="20"/>
          <w:szCs w:val="20"/>
        </w:rPr>
        <w:t>1997</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404">
    <w:p w14:paraId="76A9E6E1"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Cheffins, Company Law, p. 467.</w:t>
      </w:r>
    </w:p>
  </w:footnote>
  <w:footnote w:id="405">
    <w:p w14:paraId="6F0B3946"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Cheffins, Company Law, p.66.</w:t>
      </w:r>
    </w:p>
  </w:footnote>
  <w:footnote w:id="406">
    <w:p w14:paraId="1CA1363B" w14:textId="77777777" w:rsidR="00D36541" w:rsidRPr="009975EA" w:rsidRDefault="00D36541" w:rsidP="009975EA">
      <w:pPr>
        <w:widowControl w:val="0"/>
        <w:autoSpaceDE w:val="0"/>
        <w:autoSpaceDN w:val="0"/>
        <w:adjustRightInd w:val="0"/>
        <w:jc w:val="both"/>
        <w:rPr>
          <w:rFonts w:ascii="Times New Roman" w:eastAsia="System Font"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Professor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Cheffins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illustrates</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in his </w:t>
      </w:r>
      <w:proofErr w:type="spellStart"/>
      <w:r w:rsidRPr="009975EA">
        <w:rPr>
          <w:rFonts w:ascii="Times New Roman" w:hAnsi="Times New Roman" w:cs="Times New Roman"/>
          <w:sz w:val="20"/>
          <w:szCs w:val="20"/>
        </w:rPr>
        <w:t>book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noting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following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incident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Cheffins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Company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p. 467): </w:t>
      </w:r>
      <w:proofErr w:type="spellStart"/>
      <w:r w:rsidRPr="009975EA">
        <w:rPr>
          <w:rFonts w:ascii="Times New Roman" w:hAnsi="Times New Roman" w:cs="Times New Roman"/>
          <w:sz w:val="20"/>
          <w:szCs w:val="20"/>
        </w:rPr>
        <w:t>Hollinger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Canadian</w:t>
      </w:r>
      <w:proofErr w:type="spellEnd"/>
      <w:r w:rsidRPr="009975EA">
        <w:rPr>
          <w:rFonts w:ascii="Times New Roman" w:hAnsi="Times New Roman" w:cs="Times New Roman"/>
          <w:sz w:val="20"/>
          <w:szCs w:val="20"/>
        </w:rPr>
        <w:t xml:space="preserve"> holding </w:t>
      </w:r>
      <w:proofErr w:type="spellStart"/>
      <w:r w:rsidRPr="009975EA">
        <w:rPr>
          <w:rFonts w:ascii="Times New Roman" w:hAnsi="Times New Roman" w:cs="Times New Roman"/>
          <w:sz w:val="20"/>
          <w:szCs w:val="20"/>
        </w:rPr>
        <w:t>company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controlled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Conrad</w:t>
      </w:r>
      <w:proofErr w:type="spellEnd"/>
      <w:r w:rsidRPr="009975EA">
        <w:rPr>
          <w:rFonts w:ascii="Times New Roman" w:hAnsi="Times New Roman" w:cs="Times New Roman"/>
          <w:sz w:val="20"/>
          <w:szCs w:val="20"/>
        </w:rPr>
        <w:t xml:space="preserve"> Black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controlled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Telegraph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reduced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its</w:t>
      </w:r>
      <w:proofErr w:type="spellEnd"/>
      <w:r w:rsidRPr="009975EA">
        <w:rPr>
          <w:rFonts w:ascii="Times New Roman" w:hAnsi="Times New Roman" w:cs="Times New Roman"/>
          <w:sz w:val="20"/>
          <w:szCs w:val="20"/>
        </w:rPr>
        <w:t xml:space="preserve"> holding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66 </w:t>
      </w:r>
      <w:proofErr w:type="spellStart"/>
      <w:r w:rsidRPr="009975EA">
        <w:rPr>
          <w:rFonts w:ascii="Times New Roman" w:hAnsi="Times New Roman" w:cs="Times New Roman"/>
          <w:sz w:val="20"/>
          <w:szCs w:val="20"/>
        </w:rPr>
        <w:t>per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57 </w:t>
      </w:r>
      <w:proofErr w:type="spellStart"/>
      <w:r w:rsidRPr="009975EA">
        <w:rPr>
          <w:rFonts w:ascii="Times New Roman" w:hAnsi="Times New Roman" w:cs="Times New Roman"/>
          <w:sz w:val="20"/>
          <w:szCs w:val="20"/>
        </w:rPr>
        <w:t>per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cent</w:t>
      </w:r>
      <w:proofErr w:type="spellEnd"/>
      <w:r w:rsidRPr="009975EA">
        <w:rPr>
          <w:rFonts w:ascii="Times New Roman" w:hAnsi="Times New Roman" w:cs="Times New Roman"/>
          <w:sz w:val="20"/>
          <w:szCs w:val="20"/>
        </w:rPr>
        <w:t xml:space="preserve"> in 1994. </w:t>
      </w:r>
      <w:proofErr w:type="spellStart"/>
      <w:r w:rsidRPr="009975EA">
        <w:rPr>
          <w:rFonts w:ascii="Times New Roman" w:hAnsi="Times New Roman" w:cs="Times New Roman"/>
          <w:sz w:val="20"/>
          <w:szCs w:val="20"/>
        </w:rPr>
        <w:t>Though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documentation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pertaining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said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nothing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Telegraph’s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pricing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policy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Mr</w:t>
      </w:r>
      <w:proofErr w:type="spellEnd"/>
      <w:r w:rsidRPr="009975EA">
        <w:rPr>
          <w:rFonts w:ascii="Times New Roman" w:hAnsi="Times New Roman" w:cs="Times New Roman"/>
          <w:sz w:val="20"/>
          <w:szCs w:val="20"/>
        </w:rPr>
        <w:t xml:space="preserve">. Black </w:t>
      </w:r>
      <w:proofErr w:type="spellStart"/>
      <w:r w:rsidRPr="009975EA">
        <w:rPr>
          <w:rFonts w:ascii="Times New Roman" w:hAnsi="Times New Roman" w:cs="Times New Roman"/>
          <w:sz w:val="20"/>
          <w:szCs w:val="20"/>
        </w:rPr>
        <w:t>gave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impression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he put </w:t>
      </w:r>
      <w:proofErr w:type="spellStart"/>
      <w:r w:rsidRPr="009975EA">
        <w:rPr>
          <w:rFonts w:ascii="Times New Roman" w:hAnsi="Times New Roman" w:cs="Times New Roman"/>
          <w:sz w:val="20"/>
          <w:szCs w:val="20"/>
        </w:rPr>
        <w:t>profit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before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circulation</w:t>
      </w:r>
      <w:proofErr w:type="spellEnd"/>
      <w:r w:rsidRPr="009975EA">
        <w:rPr>
          <w:rFonts w:ascii="Times New Roman" w:hAnsi="Times New Roman" w:cs="Times New Roman"/>
          <w:sz w:val="20"/>
          <w:szCs w:val="20"/>
        </w:rPr>
        <w:t xml:space="preserve">, but </w:t>
      </w:r>
      <w:proofErr w:type="spellStart"/>
      <w:r w:rsidRPr="009975EA">
        <w:rPr>
          <w:rFonts w:ascii="Times New Roman" w:hAnsi="Times New Roman" w:cs="Times New Roman"/>
          <w:sz w:val="20"/>
          <w:szCs w:val="20"/>
        </w:rPr>
        <w:t>after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Mr</w:t>
      </w:r>
      <w:proofErr w:type="spellEnd"/>
      <w:r w:rsidRPr="009975EA">
        <w:rPr>
          <w:rFonts w:ascii="Times New Roman" w:hAnsi="Times New Roman" w:cs="Times New Roman"/>
          <w:sz w:val="20"/>
          <w:szCs w:val="20"/>
        </w:rPr>
        <w:t xml:space="preserve">. Black </w:t>
      </w:r>
      <w:proofErr w:type="spellStart"/>
      <w:r w:rsidRPr="009975EA">
        <w:rPr>
          <w:rFonts w:ascii="Times New Roman" w:hAnsi="Times New Roman" w:cs="Times New Roman"/>
          <w:sz w:val="20"/>
          <w:szCs w:val="20"/>
        </w:rPr>
        <w:t>changed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track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joined</w:t>
      </w:r>
      <w:proofErr w:type="spellEnd"/>
      <w:r w:rsidRPr="009975EA">
        <w:rPr>
          <w:rFonts w:ascii="Times New Roman" w:hAnsi="Times New Roman" w:cs="Times New Roman"/>
          <w:sz w:val="20"/>
          <w:szCs w:val="20"/>
        </w:rPr>
        <w:t xml:space="preserve"> in a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Times,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caused</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major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fall</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prices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surprising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purchasers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details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w:t>
      </w:r>
      <w:hyperlink r:id="rId66" w:history="1">
        <w:r w:rsidRPr="009975EA">
          <w:rPr>
            <w:rStyle w:val="Kpr"/>
            <w:rFonts w:ascii="Times New Roman" w:eastAsia="System Font" w:hAnsi="Times New Roman" w:cs="Times New Roman"/>
            <w:sz w:val="20"/>
            <w:szCs w:val="20"/>
          </w:rPr>
          <w:t>http://www.independent.co.uk/news/business/cazenove-quits-as-broker...egraph-group-leading-city-firm-severs-link-with-conrad-1410892.html</w:t>
        </w:r>
      </w:hyperlink>
      <w:r w:rsidRPr="009975EA">
        <w:rPr>
          <w:rFonts w:ascii="Times New Roman" w:eastAsia="System Font" w:hAnsi="Times New Roman" w:cs="Times New Roman"/>
          <w:color w:val="000000"/>
          <w:sz w:val="20"/>
          <w:szCs w:val="20"/>
        </w:rPr>
        <w:t xml:space="preserve">, </w:t>
      </w:r>
      <w:proofErr w:type="spellStart"/>
      <w:r w:rsidRPr="009975EA">
        <w:rPr>
          <w:rFonts w:ascii="Times New Roman" w:eastAsia="System Font" w:hAnsi="Times New Roman" w:cs="Times New Roman"/>
          <w:color w:val="000000"/>
          <w:sz w:val="20"/>
          <w:szCs w:val="20"/>
        </w:rPr>
        <w:t>Last</w:t>
      </w:r>
      <w:proofErr w:type="spellEnd"/>
      <w:r w:rsidRPr="009975EA">
        <w:rPr>
          <w:rFonts w:ascii="Times New Roman" w:eastAsia="System Font" w:hAnsi="Times New Roman" w:cs="Times New Roman"/>
          <w:color w:val="000000"/>
          <w:sz w:val="20"/>
          <w:szCs w:val="20"/>
        </w:rPr>
        <w:t xml:space="preserve"> </w:t>
      </w:r>
      <w:proofErr w:type="spellStart"/>
      <w:r w:rsidRPr="009975EA">
        <w:rPr>
          <w:rFonts w:ascii="Times New Roman" w:eastAsia="System Font" w:hAnsi="Times New Roman" w:cs="Times New Roman"/>
          <w:color w:val="000000"/>
          <w:sz w:val="20"/>
          <w:szCs w:val="20"/>
        </w:rPr>
        <w:t>visited</w:t>
      </w:r>
      <w:proofErr w:type="spellEnd"/>
      <w:r w:rsidRPr="009975EA">
        <w:rPr>
          <w:rFonts w:ascii="Times New Roman" w:eastAsia="System Font" w:hAnsi="Times New Roman" w:cs="Times New Roman"/>
          <w:color w:val="000000"/>
          <w:sz w:val="20"/>
          <w:szCs w:val="20"/>
        </w:rPr>
        <w:t>: 02/11/2016</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conduct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might</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actionable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under</w:t>
      </w:r>
      <w:proofErr w:type="spellEnd"/>
      <w:r w:rsidRPr="009975EA">
        <w:rPr>
          <w:rFonts w:ascii="Times New Roman" w:hAnsi="Times New Roman" w:cs="Times New Roman"/>
          <w:sz w:val="20"/>
          <w:szCs w:val="20"/>
        </w:rPr>
        <w:t xml:space="preserve"> U.S.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if</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claim</w:t>
      </w:r>
      <w:proofErr w:type="spellEnd"/>
      <w:r w:rsidRPr="009975EA">
        <w:rPr>
          <w:rFonts w:ascii="Times New Roman" w:hAnsi="Times New Roman" w:cs="Times New Roman"/>
          <w:sz w:val="20"/>
          <w:szCs w:val="20"/>
        </w:rPr>
        <w:t xml:space="preserve"> can be </w:t>
      </w:r>
      <w:proofErr w:type="spellStart"/>
      <w:r w:rsidRPr="009975EA">
        <w:rPr>
          <w:rFonts w:ascii="Times New Roman" w:hAnsi="Times New Roman" w:cs="Times New Roman"/>
          <w:sz w:val="20"/>
          <w:szCs w:val="20"/>
        </w:rPr>
        <w:t>construed</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Sec</w:t>
      </w:r>
      <w:proofErr w:type="spellEnd"/>
      <w:r w:rsidRPr="009975EA">
        <w:rPr>
          <w:rFonts w:ascii="Times New Roman" w:hAnsi="Times New Roman" w:cs="Times New Roman"/>
          <w:sz w:val="20"/>
          <w:szCs w:val="20"/>
        </w:rPr>
        <w:t xml:space="preserve">. 10(b) of </w:t>
      </w:r>
      <w:proofErr w:type="spellStart"/>
      <w:r w:rsidRPr="009975EA">
        <w:rPr>
          <w:rFonts w:ascii="Times New Roman" w:hAnsi="Times New Roman" w:cs="Times New Roman"/>
          <w:sz w:val="20"/>
          <w:szCs w:val="20"/>
        </w:rPr>
        <w:t>Securities</w:t>
      </w:r>
      <w:proofErr w:type="spellEnd"/>
      <w:r w:rsidRPr="009975EA">
        <w:rPr>
          <w:rFonts w:ascii="Times New Roman" w:hAnsi="Times New Roman" w:cs="Times New Roman"/>
          <w:sz w:val="20"/>
          <w:szCs w:val="20"/>
        </w:rPr>
        <w:t xml:space="preserve"> Exchange </w:t>
      </w:r>
      <w:proofErr w:type="spellStart"/>
      <w:r w:rsidRPr="009975EA">
        <w:rPr>
          <w:rFonts w:ascii="Times New Roman" w:hAnsi="Times New Roman" w:cs="Times New Roman"/>
          <w:sz w:val="20"/>
          <w:szCs w:val="20"/>
        </w:rPr>
        <w:t>Act</w:t>
      </w:r>
      <w:proofErr w:type="spellEnd"/>
      <w:r w:rsidRPr="009975EA">
        <w:rPr>
          <w:rFonts w:ascii="Times New Roman" w:hAnsi="Times New Roman" w:cs="Times New Roman"/>
          <w:sz w:val="20"/>
          <w:szCs w:val="20"/>
        </w:rPr>
        <w:t xml:space="preserve"> of 1934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Rule</w:t>
      </w:r>
      <w:proofErr w:type="spellEnd"/>
      <w:r w:rsidRPr="009975EA">
        <w:rPr>
          <w:rFonts w:ascii="Times New Roman" w:hAnsi="Times New Roman" w:cs="Times New Roman"/>
          <w:sz w:val="20"/>
          <w:szCs w:val="20"/>
        </w:rPr>
        <w:t xml:space="preserve"> 10b- 5 </w:t>
      </w:r>
      <w:proofErr w:type="spellStart"/>
      <w:r w:rsidRPr="009975EA">
        <w:rPr>
          <w:rFonts w:ascii="Times New Roman" w:hAnsi="Times New Roman" w:cs="Times New Roman"/>
          <w:sz w:val="20"/>
          <w:szCs w:val="20"/>
        </w:rPr>
        <w:t>promulgated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However</w:t>
      </w:r>
      <w:proofErr w:type="spellEnd"/>
      <w:r w:rsidRPr="009975EA">
        <w:rPr>
          <w:rFonts w:ascii="Times New Roman" w:hAnsi="Times New Roman" w:cs="Times New Roman"/>
          <w:sz w:val="20"/>
          <w:szCs w:val="20"/>
        </w:rPr>
        <w:t xml:space="preserve">, it </w:t>
      </w:r>
      <w:proofErr w:type="spellStart"/>
      <w:r w:rsidRPr="009975EA">
        <w:rPr>
          <w:rFonts w:ascii="Times New Roman" w:hAnsi="Times New Roman" w:cs="Times New Roman"/>
          <w:sz w:val="20"/>
          <w:szCs w:val="20"/>
        </w:rPr>
        <w:t>must</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noted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rule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does</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protect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mismanagement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Santa</w:t>
      </w:r>
      <w:proofErr w:type="spellEnd"/>
      <w:r w:rsidRPr="009975EA">
        <w:rPr>
          <w:rFonts w:ascii="Times New Roman" w:hAnsi="Times New Roman" w:cs="Times New Roman"/>
          <w:sz w:val="20"/>
          <w:szCs w:val="20"/>
        </w:rPr>
        <w:t xml:space="preserve"> Fe </w:t>
      </w:r>
      <w:proofErr w:type="spellStart"/>
      <w:r w:rsidRPr="009975EA">
        <w:rPr>
          <w:rFonts w:ascii="Times New Roman" w:hAnsi="Times New Roman" w:cs="Times New Roman"/>
          <w:sz w:val="20"/>
          <w:szCs w:val="20"/>
        </w:rPr>
        <w:t>Industries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Green</w:t>
      </w:r>
      <w:proofErr w:type="spellEnd"/>
      <w:r w:rsidRPr="009975EA">
        <w:rPr>
          <w:rFonts w:ascii="Times New Roman" w:hAnsi="Times New Roman" w:cs="Times New Roman"/>
          <w:sz w:val="20"/>
          <w:szCs w:val="20"/>
        </w:rPr>
        <w:t>, 430 U.S. 462 (1977): “</w:t>
      </w:r>
      <w:r w:rsidRPr="009975EA">
        <w:rPr>
          <w:rFonts w:ascii="Times New Roman" w:hAnsi="Times New Roman" w:cs="Times New Roman"/>
          <w:iCs/>
          <w:sz w:val="20"/>
          <w:szCs w:val="20"/>
        </w:rPr>
        <w:t xml:space="preserve">But </w:t>
      </w:r>
      <w:proofErr w:type="spellStart"/>
      <w:r w:rsidRPr="009975EA">
        <w:rPr>
          <w:rFonts w:ascii="Times New Roman" w:hAnsi="Times New Roman" w:cs="Times New Roman"/>
          <w:iCs/>
          <w:sz w:val="20"/>
          <w:szCs w:val="20"/>
        </w:rPr>
        <w:t>we</w:t>
      </w:r>
      <w:proofErr w:type="spellEnd"/>
      <w:r w:rsidRPr="009975EA">
        <w:rPr>
          <w:rFonts w:ascii="Times New Roman" w:hAnsi="Times New Roman" w:cs="Times New Roman"/>
          <w:iCs/>
          <w:sz w:val="20"/>
          <w:szCs w:val="20"/>
        </w:rPr>
        <w:t xml:space="preserve"> do not </w:t>
      </w:r>
      <w:proofErr w:type="spellStart"/>
      <w:r w:rsidRPr="009975EA">
        <w:rPr>
          <w:rFonts w:ascii="Times New Roman" w:hAnsi="Times New Roman" w:cs="Times New Roman"/>
          <w:iCs/>
          <w:sz w:val="20"/>
          <w:szCs w:val="20"/>
        </w:rPr>
        <w:t>think</w:t>
      </w:r>
      <w:proofErr w:type="spellEnd"/>
      <w:r w:rsidRPr="009975EA">
        <w:rPr>
          <w:rFonts w:ascii="Times New Roman" w:hAnsi="Times New Roman" w:cs="Times New Roman"/>
          <w:iCs/>
          <w:sz w:val="20"/>
          <w:szCs w:val="20"/>
        </w:rPr>
        <w:t xml:space="preserve"> it </w:t>
      </w:r>
      <w:proofErr w:type="spellStart"/>
      <w:r w:rsidRPr="009975EA">
        <w:rPr>
          <w:rFonts w:ascii="Times New Roman" w:hAnsi="Times New Roman" w:cs="Times New Roman"/>
          <w:iCs/>
          <w:sz w:val="20"/>
          <w:szCs w:val="20"/>
        </w:rPr>
        <w:t>would</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have</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chosen</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this</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term</w:t>
      </w:r>
      <w:proofErr w:type="spellEnd"/>
      <w:r w:rsidRPr="009975EA">
        <w:rPr>
          <w:rFonts w:ascii="Times New Roman" w:hAnsi="Times New Roman" w:cs="Times New Roman"/>
          <w:iCs/>
          <w:sz w:val="20"/>
          <w:szCs w:val="20"/>
        </w:rPr>
        <w:t xml:space="preserve"> of art" </w:t>
      </w:r>
      <w:proofErr w:type="spellStart"/>
      <w:r w:rsidRPr="009975EA">
        <w:rPr>
          <w:rFonts w:ascii="Times New Roman" w:hAnsi="Times New Roman" w:cs="Times New Roman"/>
          <w:iCs/>
          <w:sz w:val="20"/>
          <w:szCs w:val="20"/>
        </w:rPr>
        <w:t>if</w:t>
      </w:r>
      <w:proofErr w:type="spellEnd"/>
      <w:r w:rsidRPr="009975EA">
        <w:rPr>
          <w:rFonts w:ascii="Times New Roman" w:hAnsi="Times New Roman" w:cs="Times New Roman"/>
          <w:iCs/>
          <w:sz w:val="20"/>
          <w:szCs w:val="20"/>
        </w:rPr>
        <w:t xml:space="preserve"> it had </w:t>
      </w:r>
      <w:proofErr w:type="spellStart"/>
      <w:r w:rsidRPr="009975EA">
        <w:rPr>
          <w:rFonts w:ascii="Times New Roman" w:hAnsi="Times New Roman" w:cs="Times New Roman"/>
          <w:iCs/>
          <w:sz w:val="20"/>
          <w:szCs w:val="20"/>
        </w:rPr>
        <w:t>meant</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to</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bring</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within</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the</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scope</w:t>
      </w:r>
      <w:proofErr w:type="spellEnd"/>
      <w:r w:rsidRPr="009975EA">
        <w:rPr>
          <w:rFonts w:ascii="Times New Roman" w:hAnsi="Times New Roman" w:cs="Times New Roman"/>
          <w:iCs/>
          <w:sz w:val="20"/>
          <w:szCs w:val="20"/>
        </w:rPr>
        <w:t xml:space="preserve"> of § 10(b) </w:t>
      </w:r>
      <w:proofErr w:type="spellStart"/>
      <w:r w:rsidRPr="009975EA">
        <w:rPr>
          <w:rFonts w:ascii="Times New Roman" w:hAnsi="Times New Roman" w:cs="Times New Roman"/>
          <w:iCs/>
          <w:sz w:val="20"/>
          <w:szCs w:val="20"/>
        </w:rPr>
        <w:t>instances</w:t>
      </w:r>
      <w:proofErr w:type="spellEnd"/>
      <w:r w:rsidRPr="009975EA">
        <w:rPr>
          <w:rFonts w:ascii="Times New Roman" w:hAnsi="Times New Roman" w:cs="Times New Roman"/>
          <w:iCs/>
          <w:sz w:val="20"/>
          <w:szCs w:val="20"/>
        </w:rPr>
        <w:t xml:space="preserve"> of </w:t>
      </w:r>
      <w:proofErr w:type="spellStart"/>
      <w:r w:rsidRPr="009975EA">
        <w:rPr>
          <w:rFonts w:ascii="Times New Roman" w:hAnsi="Times New Roman" w:cs="Times New Roman"/>
          <w:iCs/>
          <w:sz w:val="20"/>
          <w:szCs w:val="20"/>
        </w:rPr>
        <w:t>corporate</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mismanagement</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such</w:t>
      </w:r>
      <w:proofErr w:type="spellEnd"/>
      <w:r w:rsidRPr="009975EA">
        <w:rPr>
          <w:rFonts w:ascii="Times New Roman" w:hAnsi="Times New Roman" w:cs="Times New Roman"/>
          <w:iCs/>
          <w:sz w:val="20"/>
          <w:szCs w:val="20"/>
        </w:rPr>
        <w:t xml:space="preserve"> as </w:t>
      </w:r>
      <w:proofErr w:type="spellStart"/>
      <w:r w:rsidRPr="009975EA">
        <w:rPr>
          <w:rFonts w:ascii="Times New Roman" w:hAnsi="Times New Roman" w:cs="Times New Roman"/>
          <w:iCs/>
          <w:sz w:val="20"/>
          <w:szCs w:val="20"/>
        </w:rPr>
        <w:t>this</w:t>
      </w:r>
      <w:proofErr w:type="spellEnd"/>
      <w:r w:rsidRPr="009975EA">
        <w:rPr>
          <w:rFonts w:ascii="Times New Roman" w:hAnsi="Times New Roman" w:cs="Times New Roman"/>
          <w:iCs/>
          <w:sz w:val="20"/>
          <w:szCs w:val="20"/>
        </w:rPr>
        <w:t xml:space="preserve">, in </w:t>
      </w:r>
      <w:proofErr w:type="spellStart"/>
      <w:r w:rsidRPr="009975EA">
        <w:rPr>
          <w:rFonts w:ascii="Times New Roman" w:hAnsi="Times New Roman" w:cs="Times New Roman"/>
          <w:iCs/>
          <w:sz w:val="20"/>
          <w:szCs w:val="20"/>
        </w:rPr>
        <w:t>which</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the</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essence</w:t>
      </w:r>
      <w:proofErr w:type="spellEnd"/>
      <w:r w:rsidRPr="009975EA">
        <w:rPr>
          <w:rFonts w:ascii="Times New Roman" w:hAnsi="Times New Roman" w:cs="Times New Roman"/>
          <w:iCs/>
          <w:sz w:val="20"/>
          <w:szCs w:val="20"/>
        </w:rPr>
        <w:t xml:space="preserve"> of </w:t>
      </w:r>
      <w:proofErr w:type="spellStart"/>
      <w:r w:rsidRPr="009975EA">
        <w:rPr>
          <w:rFonts w:ascii="Times New Roman" w:hAnsi="Times New Roman" w:cs="Times New Roman"/>
          <w:iCs/>
          <w:sz w:val="20"/>
          <w:szCs w:val="20"/>
        </w:rPr>
        <w:t>the</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complaint</w:t>
      </w:r>
      <w:proofErr w:type="spellEnd"/>
      <w:r w:rsidRPr="009975EA">
        <w:rPr>
          <w:rFonts w:ascii="Times New Roman" w:hAnsi="Times New Roman" w:cs="Times New Roman"/>
          <w:iCs/>
          <w:sz w:val="20"/>
          <w:szCs w:val="20"/>
        </w:rPr>
        <w:t xml:space="preserve"> is </w:t>
      </w:r>
      <w:proofErr w:type="spellStart"/>
      <w:r w:rsidRPr="009975EA">
        <w:rPr>
          <w:rFonts w:ascii="Times New Roman" w:hAnsi="Times New Roman" w:cs="Times New Roman"/>
          <w:iCs/>
          <w:sz w:val="20"/>
          <w:szCs w:val="20"/>
        </w:rPr>
        <w:t>that</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shareholders</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were</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treated</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unfairly</w:t>
      </w:r>
      <w:proofErr w:type="spellEnd"/>
      <w:r w:rsidRPr="009975EA">
        <w:rPr>
          <w:rFonts w:ascii="Times New Roman" w:hAnsi="Times New Roman" w:cs="Times New Roman"/>
          <w:iCs/>
          <w:sz w:val="20"/>
          <w:szCs w:val="20"/>
        </w:rPr>
        <w:t xml:space="preserve"> </w:t>
      </w:r>
      <w:proofErr w:type="spellStart"/>
      <w:r w:rsidRPr="009975EA">
        <w:rPr>
          <w:rFonts w:ascii="Times New Roman" w:hAnsi="Times New Roman" w:cs="Times New Roman"/>
          <w:iCs/>
          <w:sz w:val="20"/>
          <w:szCs w:val="20"/>
        </w:rPr>
        <w:t>by</w:t>
      </w:r>
      <w:proofErr w:type="spellEnd"/>
      <w:r w:rsidRPr="009975EA">
        <w:rPr>
          <w:rFonts w:ascii="Times New Roman" w:hAnsi="Times New Roman" w:cs="Times New Roman"/>
          <w:iCs/>
          <w:sz w:val="20"/>
          <w:szCs w:val="20"/>
        </w:rPr>
        <w:t xml:space="preserve"> a </w:t>
      </w:r>
      <w:proofErr w:type="spellStart"/>
      <w:r w:rsidRPr="009975EA">
        <w:rPr>
          <w:rFonts w:ascii="Times New Roman" w:hAnsi="Times New Roman" w:cs="Times New Roman"/>
          <w:iCs/>
          <w:sz w:val="20"/>
          <w:szCs w:val="20"/>
        </w:rPr>
        <w:t>fiduciary</w:t>
      </w:r>
      <w:proofErr w:type="spellEnd"/>
      <w:r w:rsidRPr="009975EA">
        <w:rPr>
          <w:rFonts w:ascii="Times New Roman" w:hAnsi="Times New Roman" w:cs="Times New Roman"/>
          <w:iCs/>
          <w:sz w:val="20"/>
          <w:szCs w:val="20"/>
        </w:rPr>
        <w:t>.”</w:t>
      </w:r>
    </w:p>
  </w:footnote>
  <w:footnote w:id="407">
    <w:p w14:paraId="15998D1F" w14:textId="6C1A6AD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example, in Elliott Associates, L.P. v. </w:t>
      </w:r>
      <w:proofErr w:type="spellStart"/>
      <w:r w:rsidRPr="009975EA">
        <w:rPr>
          <w:rFonts w:ascii="Times New Roman" w:hAnsi="Times New Roman" w:cs="Times New Roman"/>
          <w:sz w:val="20"/>
          <w:szCs w:val="20"/>
        </w:rPr>
        <w:t>Avatex</w:t>
      </w:r>
      <w:proofErr w:type="spellEnd"/>
      <w:r w:rsidRPr="009975EA">
        <w:rPr>
          <w:rFonts w:ascii="Times New Roman" w:hAnsi="Times New Roman" w:cs="Times New Roman"/>
          <w:sz w:val="20"/>
          <w:szCs w:val="20"/>
        </w:rPr>
        <w:t xml:space="preserve"> Corp. 715 A.2d 843 (1998), the Delaware court expressed that the reasonable expectations standard can be used to determine the rights of preferred shareholders if there is ambiguity in the contract.</w:t>
      </w:r>
    </w:p>
  </w:footnote>
  <w:footnote w:id="408">
    <w:p w14:paraId="6120FE7A" w14:textId="7F5DF63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generally, Kaiser Aluminum Corp. v. Matheson, 681 A.2d 392 (1996) and Bank of New York Mellon v. Commerzbank Capital Funding Trust II, 65 A.3d 539 (2013) (“The ‘reasonable expectation of investors’ principle is a specialized application of the contra proferentem doctrine.”). For the connection between contra proferentem and reasonable expectations theory in a wider context, see, David J. Seno, </w:t>
      </w:r>
      <w:r w:rsidRPr="00440972">
        <w:rPr>
          <w:rFonts w:ascii="Times New Roman" w:hAnsi="Times New Roman" w:cs="Times New Roman"/>
          <w:i/>
          <w:sz w:val="20"/>
          <w:szCs w:val="20"/>
        </w:rPr>
        <w:t>The Doctrine of Reasonable Expectations in Insurance Law: What to Expect in Wisconsin</w:t>
      </w:r>
      <w:r w:rsidRPr="009975EA">
        <w:rPr>
          <w:rFonts w:ascii="Times New Roman" w:hAnsi="Times New Roman" w:cs="Times New Roman"/>
          <w:sz w:val="20"/>
          <w:szCs w:val="20"/>
        </w:rPr>
        <w:t xml:space="preserve">, 85 </w:t>
      </w:r>
      <w:proofErr w:type="spellStart"/>
      <w:r w:rsidRPr="009975EA">
        <w:rPr>
          <w:rFonts w:ascii="Times New Roman" w:hAnsi="Times New Roman" w:cs="Times New Roman"/>
          <w:sz w:val="20"/>
          <w:szCs w:val="20"/>
        </w:rPr>
        <w:t>Marq</w:t>
      </w:r>
      <w:proofErr w:type="spellEnd"/>
      <w:r w:rsidRPr="009975EA">
        <w:rPr>
          <w:rFonts w:ascii="Times New Roman" w:hAnsi="Times New Roman" w:cs="Times New Roman"/>
          <w:sz w:val="20"/>
          <w:szCs w:val="20"/>
        </w:rPr>
        <w:t>. L. Rev. 859 (2002).</w:t>
      </w:r>
    </w:p>
  </w:footnote>
  <w:footnote w:id="409">
    <w:p w14:paraId="757B03C4" w14:textId="274EBCC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Turkish law, </w:t>
      </w:r>
      <w:proofErr w:type="spellStart"/>
      <w:r w:rsidRPr="009975EA">
        <w:rPr>
          <w:rFonts w:ascii="Times New Roman" w:hAnsi="Times New Roman" w:cs="Times New Roman"/>
          <w:sz w:val="20"/>
          <w:szCs w:val="20"/>
        </w:rPr>
        <w:t>Moroglu</w:t>
      </w:r>
      <w:proofErr w:type="spellEnd"/>
      <w:r w:rsidRPr="009975EA">
        <w:rPr>
          <w:rFonts w:ascii="Times New Roman" w:hAnsi="Times New Roman" w:cs="Times New Roman"/>
          <w:sz w:val="20"/>
          <w:szCs w:val="20"/>
        </w:rPr>
        <w:t xml:space="preserve"> states that although the articles of incorporation initially represents a partnership agreement between the founders, once the incorporation takes place and the articles of incorporation is filed to appropriate state authority, the terms of the articles of incorporation tuns into terms that binds everyone who has a relationship with the corporation, thus this nature requires the terms of this document to be interpreted as objective rules of law in general, not as terms that only binds the </w:t>
      </w:r>
      <w:proofErr w:type="spellStart"/>
      <w:r w:rsidRPr="009975EA">
        <w:rPr>
          <w:rFonts w:ascii="Times New Roman" w:hAnsi="Times New Roman" w:cs="Times New Roman"/>
          <w:sz w:val="20"/>
          <w:szCs w:val="20"/>
        </w:rPr>
        <w:t>incorporaters</w:t>
      </w:r>
      <w:proofErr w:type="spellEnd"/>
      <w:r w:rsidRPr="009975EA">
        <w:rPr>
          <w:rFonts w:ascii="Times New Roman" w:hAnsi="Times New Roman" w:cs="Times New Roman"/>
          <w:sz w:val="20"/>
          <w:szCs w:val="20"/>
        </w:rPr>
        <w:t xml:space="preserve">; hence the terms can no more be interpreted in a way that investigates the </w:t>
      </w:r>
      <w:proofErr w:type="spellStart"/>
      <w:r w:rsidRPr="009975EA">
        <w:rPr>
          <w:rFonts w:ascii="Times New Roman" w:hAnsi="Times New Roman" w:cs="Times New Roman"/>
          <w:sz w:val="20"/>
          <w:szCs w:val="20"/>
        </w:rPr>
        <w:t>incorpora</w:t>
      </w:r>
      <w:r>
        <w:rPr>
          <w:rFonts w:ascii="Times New Roman" w:hAnsi="Times New Roman" w:cs="Times New Roman"/>
          <w:sz w:val="20"/>
          <w:szCs w:val="20"/>
        </w:rPr>
        <w:t>ters</w:t>
      </w:r>
      <w:proofErr w:type="spellEnd"/>
      <w:r>
        <w:rPr>
          <w:rFonts w:ascii="Times New Roman" w:hAnsi="Times New Roman" w:cs="Times New Roman"/>
          <w:sz w:val="20"/>
          <w:szCs w:val="20"/>
        </w:rPr>
        <w:t xml:space="preserve"> purpose (Erdogan </w:t>
      </w:r>
      <w:proofErr w:type="spellStart"/>
      <w:r>
        <w:rPr>
          <w:rFonts w:ascii="Times New Roman" w:hAnsi="Times New Roman" w:cs="Times New Roman"/>
          <w:sz w:val="20"/>
          <w:szCs w:val="20"/>
        </w:rPr>
        <w:t>Moroglu</w:t>
      </w:r>
      <w:proofErr w:type="spellEnd"/>
      <w:r>
        <w:rPr>
          <w:rFonts w:ascii="Times New Roman" w:hAnsi="Times New Roman" w:cs="Times New Roman"/>
          <w:sz w:val="20"/>
          <w:szCs w:val="20"/>
        </w:rPr>
        <w:t xml:space="preserve">, </w:t>
      </w:r>
      <w:proofErr w:type="spellStart"/>
      <w:r w:rsidRPr="00440972">
        <w:rPr>
          <w:rFonts w:ascii="Times New Roman" w:hAnsi="Times New Roman" w:cs="Times New Roman"/>
          <w:i/>
          <w:sz w:val="20"/>
          <w:szCs w:val="20"/>
        </w:rPr>
        <w:t>Anonim</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Ortaklik</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Anasozlesmesi</w:t>
      </w:r>
      <w:proofErr w:type="spellEnd"/>
      <w:r w:rsidRPr="00440972">
        <w:rPr>
          <w:rFonts w:ascii="Times New Roman" w:hAnsi="Times New Roman" w:cs="Times New Roman"/>
          <w:i/>
          <w:sz w:val="20"/>
          <w:szCs w:val="20"/>
        </w:rPr>
        <w:t xml:space="preserve"> ve </w:t>
      </w:r>
      <w:proofErr w:type="spellStart"/>
      <w:r w:rsidRPr="00440972">
        <w:rPr>
          <w:rFonts w:ascii="Times New Roman" w:hAnsi="Times New Roman" w:cs="Times New Roman"/>
          <w:i/>
          <w:sz w:val="20"/>
          <w:szCs w:val="20"/>
        </w:rPr>
        <w:t>Hukuki</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Niteligi</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Makaleler</w:t>
      </w:r>
      <w:proofErr w:type="spellEnd"/>
      <w:r w:rsidRPr="00440972">
        <w:rPr>
          <w:rFonts w:ascii="Times New Roman" w:hAnsi="Times New Roman" w:cs="Times New Roman"/>
          <w:i/>
          <w:sz w:val="20"/>
          <w:szCs w:val="20"/>
        </w:rPr>
        <w:t xml:space="preserve"> II</w:t>
      </w:r>
      <w:r>
        <w:rPr>
          <w:rFonts w:ascii="Times New Roman" w:hAnsi="Times New Roman" w:cs="Times New Roman"/>
          <w:sz w:val="20"/>
          <w:szCs w:val="20"/>
        </w:rPr>
        <w:t xml:space="preserve"> 19, 20 (</w:t>
      </w:r>
      <w:r w:rsidRPr="009975EA">
        <w:rPr>
          <w:rFonts w:ascii="Times New Roman" w:hAnsi="Times New Roman" w:cs="Times New Roman"/>
          <w:sz w:val="20"/>
          <w:szCs w:val="20"/>
        </w:rPr>
        <w:t>2006</w:t>
      </w:r>
      <w:r>
        <w:rPr>
          <w:rFonts w:ascii="Times New Roman" w:hAnsi="Times New Roman" w:cs="Times New Roman"/>
          <w:sz w:val="20"/>
          <w:szCs w:val="20"/>
        </w:rPr>
        <w:t>))</w:t>
      </w:r>
      <w:r w:rsidRPr="009975EA">
        <w:rPr>
          <w:rFonts w:ascii="Times New Roman" w:hAnsi="Times New Roman" w:cs="Times New Roman"/>
          <w:sz w:val="20"/>
          <w:szCs w:val="20"/>
        </w:rPr>
        <w:t>. On the other hand, the general rule laid down by Delaware courts is that courts look to general principles of contract construction in construing certificates of incorporation in general (Benchmark Capital Partners IV, L.P. v. Vague, 2002 WL 1732423 (2002)).</w:t>
      </w:r>
    </w:p>
  </w:footnote>
  <w:footnote w:id="410">
    <w:p w14:paraId="5F4D103E" w14:textId="03E6D13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“…some courts and commentators analogize close corporation shareholders to partners…” (Art, p.384). </w:t>
      </w:r>
    </w:p>
  </w:footnote>
  <w:footnote w:id="411">
    <w:p w14:paraId="51033AE5" w14:textId="594B543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Jaffe Commercial Finance Co. v. Harris, 119 III.App.3d 136 (1983): “By definition, a close corporation is one in which the stock is held in a few hands, or in a few </w:t>
      </w:r>
      <w:proofErr w:type="spellStart"/>
      <w:r w:rsidRPr="009975EA">
        <w:rPr>
          <w:rFonts w:ascii="Times New Roman" w:hAnsi="Times New Roman" w:cs="Times New Roman"/>
          <w:sz w:val="20"/>
          <w:szCs w:val="20"/>
        </w:rPr>
        <w:t>familis</w:t>
      </w:r>
      <w:proofErr w:type="spellEnd"/>
      <w:r w:rsidRPr="009975EA">
        <w:rPr>
          <w:rFonts w:ascii="Times New Roman" w:hAnsi="Times New Roman" w:cs="Times New Roman"/>
          <w:sz w:val="20"/>
          <w:szCs w:val="20"/>
        </w:rPr>
        <w:t>, and wherein it is not at all, or only rarely, bought or sold.”</w:t>
      </w:r>
    </w:p>
  </w:footnote>
  <w:footnote w:id="412">
    <w:p w14:paraId="663BE948" w14:textId="09665DE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Bank of New York Mellon v. Commerzbank Capital Funding Trust II, 65 A.3d 539 (2013), applying the reasonable expectations theory for the benefit of the holders of public securities.</w:t>
      </w:r>
    </w:p>
  </w:footnote>
  <w:footnote w:id="413">
    <w:p w14:paraId="22358F7F" w14:textId="4585429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publicly traded corporations, there is an obvious difficulty in determining whether the shareholders got what they bargained for” (Terry A. O’Neill, p.658).</w:t>
      </w:r>
    </w:p>
  </w:footnote>
  <w:footnote w:id="414">
    <w:p w14:paraId="70DBA2B0" w14:textId="2AF56D9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Rather than making a simple retail – institutional investor distinction, the following can be stated: “Investors can be divided into four major types: (1) the small individual investor…, (2) the large individual investor and family investor, (3) the institutional investor, (4) the program trader</w:t>
      </w:r>
      <w:r>
        <w:rPr>
          <w:rFonts w:ascii="Times New Roman" w:hAnsi="Times New Roman" w:cs="Times New Roman"/>
          <w:sz w:val="20"/>
          <w:szCs w:val="20"/>
        </w:rPr>
        <w:t xml:space="preserve">.” (John H. Matheson, </w:t>
      </w:r>
      <w:r w:rsidRPr="009975EA">
        <w:rPr>
          <w:rFonts w:ascii="Times New Roman" w:hAnsi="Times New Roman" w:cs="Times New Roman"/>
          <w:sz w:val="20"/>
          <w:szCs w:val="20"/>
        </w:rPr>
        <w:t xml:space="preserve">Brent A. Olson, </w:t>
      </w:r>
      <w:r w:rsidRPr="00440972">
        <w:rPr>
          <w:rFonts w:ascii="Times New Roman" w:hAnsi="Times New Roman" w:cs="Times New Roman"/>
          <w:i/>
          <w:sz w:val="20"/>
          <w:szCs w:val="20"/>
        </w:rPr>
        <w:t>Publicly Traded Corporations, Governance, Operation &amp; Regulation</w:t>
      </w:r>
      <w:r>
        <w:rPr>
          <w:rFonts w:ascii="Times New Roman" w:hAnsi="Times New Roman" w:cs="Times New Roman"/>
          <w:sz w:val="20"/>
          <w:szCs w:val="20"/>
        </w:rPr>
        <w:t xml:space="preserve"> </w:t>
      </w:r>
      <w:r w:rsidRPr="009975EA">
        <w:rPr>
          <w:rFonts w:ascii="Times New Roman" w:hAnsi="Times New Roman" w:cs="Times New Roman"/>
          <w:sz w:val="20"/>
          <w:szCs w:val="20"/>
        </w:rPr>
        <w:t>Chap. 2- Page 10</w:t>
      </w:r>
      <w:r>
        <w:rPr>
          <w:rFonts w:ascii="Times New Roman" w:hAnsi="Times New Roman" w:cs="Times New Roman"/>
          <w:sz w:val="20"/>
          <w:szCs w:val="20"/>
        </w:rPr>
        <w:t xml:space="preserve"> (1995)</w:t>
      </w:r>
      <w:r w:rsidRPr="009975EA">
        <w:rPr>
          <w:rFonts w:ascii="Times New Roman" w:hAnsi="Times New Roman" w:cs="Times New Roman"/>
          <w:sz w:val="20"/>
          <w:szCs w:val="20"/>
        </w:rPr>
        <w:t>)</w:t>
      </w:r>
    </w:p>
  </w:footnote>
  <w:footnote w:id="415">
    <w:p w14:paraId="34FD3C8A" w14:textId="42C41E1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Terry A. O’Neill</w:t>
      </w:r>
      <w:r w:rsidRPr="00440972">
        <w:rPr>
          <w:rFonts w:ascii="Times New Roman" w:hAnsi="Times New Roman" w:cs="Times New Roman"/>
          <w:i/>
          <w:sz w:val="20"/>
          <w:szCs w:val="20"/>
        </w:rPr>
        <w:t xml:space="preserve">, Self- Interest and Concern </w:t>
      </w:r>
      <w:proofErr w:type="gramStart"/>
      <w:r w:rsidRPr="00440972">
        <w:rPr>
          <w:rFonts w:ascii="Times New Roman" w:hAnsi="Times New Roman" w:cs="Times New Roman"/>
          <w:i/>
          <w:sz w:val="20"/>
          <w:szCs w:val="20"/>
        </w:rPr>
        <w:t>For</w:t>
      </w:r>
      <w:proofErr w:type="gramEnd"/>
      <w:r w:rsidRPr="00440972">
        <w:rPr>
          <w:rFonts w:ascii="Times New Roman" w:hAnsi="Times New Roman" w:cs="Times New Roman"/>
          <w:i/>
          <w:sz w:val="20"/>
          <w:szCs w:val="20"/>
        </w:rPr>
        <w:t xml:space="preserve"> Others in the Owner- Managed Firm: A Suggested Approach to Dissolution and Fiduciary Obligation in Close Corporations</w:t>
      </w:r>
      <w:r>
        <w:rPr>
          <w:rFonts w:ascii="Times New Roman" w:hAnsi="Times New Roman" w:cs="Times New Roman"/>
          <w:sz w:val="20"/>
          <w:szCs w:val="20"/>
        </w:rPr>
        <w:t>, 22 Seton Hall L. Rev. 646 at</w:t>
      </w:r>
      <w:r w:rsidRPr="009975EA">
        <w:rPr>
          <w:rFonts w:ascii="Times New Roman" w:hAnsi="Times New Roman" w:cs="Times New Roman"/>
          <w:sz w:val="20"/>
          <w:szCs w:val="20"/>
        </w:rPr>
        <w:t xml:space="preserve"> 664. </w:t>
      </w:r>
    </w:p>
  </w:footnote>
  <w:footnote w:id="416">
    <w:p w14:paraId="720844AF" w14:textId="02A3C562" w:rsidR="00D36541" w:rsidRPr="009975EA" w:rsidRDefault="00D36541" w:rsidP="00440972">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Terry A. O’Neill, p. 663.</w:t>
      </w:r>
      <w:r>
        <w:rPr>
          <w:rFonts w:ascii="Times New Roman" w:hAnsi="Times New Roman" w:cs="Times New Roman"/>
          <w:sz w:val="20"/>
          <w:szCs w:val="20"/>
        </w:rPr>
        <w:tab/>
      </w:r>
    </w:p>
  </w:footnote>
  <w:footnote w:id="417">
    <w:p w14:paraId="423FE383"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Exadaktilos</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Cinnaminson</w:t>
      </w:r>
      <w:proofErr w:type="spellEnd"/>
      <w:r w:rsidRPr="009975EA">
        <w:rPr>
          <w:rFonts w:ascii="Times New Roman" w:hAnsi="Times New Roman" w:cs="Times New Roman"/>
          <w:sz w:val="20"/>
          <w:szCs w:val="20"/>
        </w:rPr>
        <w:t xml:space="preserve"> Realty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xml:space="preserve">., 167 N.J. </w:t>
      </w:r>
      <w:proofErr w:type="spellStart"/>
      <w:r w:rsidRPr="009975EA">
        <w:rPr>
          <w:rFonts w:ascii="Times New Roman" w:hAnsi="Times New Roman" w:cs="Times New Roman"/>
          <w:sz w:val="20"/>
          <w:szCs w:val="20"/>
        </w:rPr>
        <w:t>Super</w:t>
      </w:r>
      <w:proofErr w:type="spellEnd"/>
      <w:r w:rsidRPr="009975EA">
        <w:rPr>
          <w:rFonts w:ascii="Times New Roman" w:hAnsi="Times New Roman" w:cs="Times New Roman"/>
          <w:sz w:val="20"/>
          <w:szCs w:val="20"/>
        </w:rPr>
        <w:t>. 141 (1979): “</w:t>
      </w:r>
      <w:proofErr w:type="spellStart"/>
      <w:r w:rsidRPr="009975EA">
        <w:rPr>
          <w:rFonts w:ascii="Times New Roman" w:hAnsi="Times New Roman" w:cs="Times New Roman"/>
          <w:color w:val="000000"/>
          <w:sz w:val="20"/>
          <w:szCs w:val="20"/>
        </w:rPr>
        <w:t>Large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usually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formed</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means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attracting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sale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participation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employment</w:t>
      </w:r>
      <w:proofErr w:type="spellEnd"/>
      <w:r w:rsidRPr="009975EA">
        <w:rPr>
          <w:rFonts w:ascii="Times New Roman" w:hAnsi="Times New Roman" w:cs="Times New Roman"/>
          <w:color w:val="000000"/>
          <w:sz w:val="20"/>
          <w:szCs w:val="20"/>
        </w:rPr>
        <w:t xml:space="preserve">. Profit is </w:t>
      </w:r>
      <w:proofErr w:type="spellStart"/>
      <w:r w:rsidRPr="009975EA">
        <w:rPr>
          <w:rFonts w:ascii="Times New Roman" w:hAnsi="Times New Roman" w:cs="Times New Roman"/>
          <w:color w:val="000000"/>
          <w:sz w:val="20"/>
          <w:szCs w:val="20"/>
        </w:rPr>
        <w:t>expected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payment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dividends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sale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at an </w:t>
      </w:r>
      <w:proofErr w:type="spellStart"/>
      <w:r w:rsidRPr="009975EA">
        <w:rPr>
          <w:rFonts w:ascii="Times New Roman" w:hAnsi="Times New Roman" w:cs="Times New Roman"/>
          <w:color w:val="000000"/>
          <w:sz w:val="20"/>
          <w:szCs w:val="20"/>
        </w:rPr>
        <w:t>appreciated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418">
    <w:p w14:paraId="2807EED6"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Terry A. O’Neill, p. 664.</w:t>
      </w:r>
    </w:p>
  </w:footnote>
  <w:footnote w:id="419">
    <w:p w14:paraId="53623DD7"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Terry A. </w:t>
      </w:r>
      <w:proofErr w:type="spellStart"/>
      <w:r w:rsidRPr="009975EA">
        <w:rPr>
          <w:rFonts w:ascii="Times New Roman" w:hAnsi="Times New Roman" w:cs="Times New Roman"/>
          <w:sz w:val="20"/>
          <w:szCs w:val="20"/>
        </w:rPr>
        <w:t>O’Neill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uses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analogy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managers</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publicly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follows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managers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directly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connected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relationship</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rather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linked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medium</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market.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context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separation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self-</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predominate</w:t>
      </w:r>
      <w:proofErr w:type="spellEnd"/>
      <w:r w:rsidRPr="009975EA">
        <w:rPr>
          <w:rFonts w:ascii="Times New Roman" w:hAnsi="Times New Roman" w:cs="Times New Roman"/>
          <w:color w:val="000000"/>
          <w:sz w:val="20"/>
          <w:szCs w:val="20"/>
        </w:rPr>
        <w:t xml:space="preserve">. A sense of </w:t>
      </w:r>
      <w:proofErr w:type="spellStart"/>
      <w:r w:rsidRPr="009975EA">
        <w:rPr>
          <w:rFonts w:ascii="Times New Roman" w:hAnsi="Times New Roman" w:cs="Times New Roman"/>
          <w:color w:val="000000"/>
          <w:sz w:val="20"/>
          <w:szCs w:val="20"/>
        </w:rPr>
        <w:t>responsibility</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managers</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present</w:t>
      </w:r>
      <w:proofErr w:type="spellEnd"/>
      <w:r w:rsidRPr="009975EA">
        <w:rPr>
          <w:rFonts w:ascii="Times New Roman" w:hAnsi="Times New Roman" w:cs="Times New Roman"/>
          <w:color w:val="000000"/>
          <w:sz w:val="20"/>
          <w:szCs w:val="20"/>
        </w:rPr>
        <w:t xml:space="preserve">, but it is not </w:t>
      </w:r>
      <w:proofErr w:type="spellStart"/>
      <w:r w:rsidRPr="009975EA">
        <w:rPr>
          <w:rFonts w:ascii="Times New Roman" w:hAnsi="Times New Roman" w:cs="Times New Roman"/>
          <w:color w:val="000000"/>
          <w:sz w:val="20"/>
          <w:szCs w:val="20"/>
        </w:rPr>
        <w:t>responsibility</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sense of </w:t>
      </w:r>
      <w:proofErr w:type="spellStart"/>
      <w:r w:rsidRPr="009975EA">
        <w:rPr>
          <w:rFonts w:ascii="Times New Roman" w:hAnsi="Times New Roman" w:cs="Times New Roman"/>
          <w:color w:val="000000"/>
          <w:sz w:val="20"/>
          <w:szCs w:val="20"/>
        </w:rPr>
        <w:t>responsiveness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needs</w:t>
      </w:r>
      <w:proofErr w:type="spellEnd"/>
      <w:r w:rsidRPr="009975EA">
        <w:rPr>
          <w:rFonts w:ascii="Times New Roman" w:hAnsi="Times New Roman" w:cs="Times New Roman"/>
          <w:color w:val="000000"/>
          <w:sz w:val="20"/>
          <w:szCs w:val="20"/>
        </w:rPr>
        <w:t xml:space="preserve"> of </w:t>
      </w:r>
      <w:proofErr w:type="spellStart"/>
      <w:proofErr w:type="gramStart"/>
      <w:r w:rsidRPr="009975EA">
        <w:rPr>
          <w:rFonts w:ascii="Times New Roman" w:hAnsi="Times New Roman" w:cs="Times New Roman"/>
          <w:color w:val="000000"/>
          <w:sz w:val="20"/>
          <w:szCs w:val="20"/>
        </w:rPr>
        <w:t>others</w:t>
      </w:r>
      <w:proofErr w:type="spellEnd"/>
      <w:r w:rsidRPr="009975EA">
        <w:rPr>
          <w:rFonts w:ascii="Times New Roman" w:hAnsi="Times New Roman" w:cs="Times New Roman"/>
          <w:color w:val="000000"/>
          <w:sz w:val="20"/>
          <w:szCs w:val="20"/>
        </w:rPr>
        <w:t xml:space="preserve">; </w:t>
      </w:r>
      <w:r w:rsidRPr="009975EA">
        <w:rPr>
          <w:rFonts w:ascii="Times New Roman" w:hAnsi="Times New Roman" w:cs="Times New Roman"/>
          <w:color w:val="0000FF"/>
          <w:position w:val="13"/>
          <w:sz w:val="20"/>
          <w:szCs w:val="20"/>
        </w:rPr>
        <w:t xml:space="preserve"> </w:t>
      </w:r>
      <w:r w:rsidRPr="009975EA">
        <w:rPr>
          <w:rFonts w:ascii="Times New Roman" w:hAnsi="Times New Roman" w:cs="Times New Roman"/>
          <w:color w:val="000000"/>
          <w:sz w:val="20"/>
          <w:szCs w:val="20"/>
        </w:rPr>
        <w:t>it</w:t>
      </w:r>
      <w:proofErr w:type="gram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rather</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personal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commitment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contractual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obligation</w:t>
      </w:r>
      <w:proofErr w:type="spellEnd"/>
      <w:r w:rsidRPr="009975EA">
        <w:rPr>
          <w:rFonts w:ascii="Times New Roman" w:hAnsi="Times New Roman" w:cs="Times New Roman"/>
          <w:color w:val="000000"/>
          <w:sz w:val="20"/>
          <w:szCs w:val="20"/>
        </w:rPr>
        <w:t xml:space="preserve">.” (Terry A. </w:t>
      </w:r>
      <w:proofErr w:type="spellStart"/>
      <w:r w:rsidRPr="009975EA">
        <w:rPr>
          <w:rFonts w:ascii="Times New Roman" w:hAnsi="Times New Roman" w:cs="Times New Roman"/>
          <w:color w:val="000000"/>
          <w:sz w:val="20"/>
          <w:szCs w:val="20"/>
        </w:rPr>
        <w:t>O’Neill</w:t>
      </w:r>
      <w:proofErr w:type="spellEnd"/>
      <w:r w:rsidRPr="009975EA">
        <w:rPr>
          <w:rFonts w:ascii="Times New Roman" w:hAnsi="Times New Roman" w:cs="Times New Roman"/>
          <w:color w:val="000000"/>
          <w:sz w:val="20"/>
          <w:szCs w:val="20"/>
        </w:rPr>
        <w:t>, p. 667)</w:t>
      </w:r>
    </w:p>
  </w:footnote>
  <w:footnote w:id="420">
    <w:p w14:paraId="04AA604F" w14:textId="5941921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Shareholder Oppression &amp; Reasonable Expectations: Of Change, Gifts, and Inheritances, p.766.</w:t>
      </w:r>
    </w:p>
  </w:footnote>
  <w:footnote w:id="421">
    <w:p w14:paraId="7AEB407C"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Cheffins, Company Law, p. 53 and 63.</w:t>
      </w:r>
    </w:p>
  </w:footnote>
  <w:footnote w:id="422">
    <w:p w14:paraId="3F28FCAF" w14:textId="5278A8E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Shareholder Oppression &amp; Reasonable Expectations: Of Change, Gifts, and Inheritances, p.767.</w:t>
      </w:r>
    </w:p>
  </w:footnote>
  <w:footnote w:id="423">
    <w:p w14:paraId="440E104A" w14:textId="5D5AAD3C"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Argo Data Resource </w:t>
      </w:r>
      <w:proofErr w:type="spellStart"/>
      <w:r w:rsidRPr="009975EA">
        <w:rPr>
          <w:rFonts w:ascii="Times New Roman" w:hAnsi="Times New Roman" w:cs="Times New Roman"/>
          <w:sz w:val="20"/>
          <w:szCs w:val="20"/>
        </w:rPr>
        <w:t>Corp</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Shagrithaya</w:t>
      </w:r>
      <w:proofErr w:type="spellEnd"/>
      <w:r w:rsidRPr="009975EA">
        <w:rPr>
          <w:rFonts w:ascii="Times New Roman" w:hAnsi="Times New Roman" w:cs="Times New Roman"/>
          <w:sz w:val="20"/>
          <w:szCs w:val="20"/>
        </w:rPr>
        <w:t>, 380 S.W.3d 249 (2012):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proof</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giving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particular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showing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circumstances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well</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central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join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venture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Examples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possible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employment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a say in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contrast</w:t>
      </w:r>
      <w:proofErr w:type="spellEnd"/>
      <w:r w:rsidRPr="009975EA">
        <w:rPr>
          <w:rFonts w:ascii="Times New Roman" w:hAnsi="Times New Roman" w:cs="Times New Roman"/>
          <w:color w:val="000000"/>
          <w:sz w:val="20"/>
          <w:szCs w:val="20"/>
        </w:rPr>
        <w:t xml:space="preserve">, general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being</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belong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absent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evidence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central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Examples</w:t>
      </w:r>
      <w:proofErr w:type="spellEnd"/>
      <w:r w:rsidRPr="009975EA">
        <w:rPr>
          <w:rFonts w:ascii="Times New Roman" w:hAnsi="Times New Roman" w:cs="Times New Roman"/>
          <w:color w:val="000000"/>
          <w:sz w:val="20"/>
          <w:szCs w:val="20"/>
        </w:rPr>
        <w:t xml:space="preserve"> of general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proportionate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participation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earnings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appreciation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inspect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records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voting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w:t>
      </w:r>
    </w:p>
  </w:footnote>
  <w:footnote w:id="424">
    <w:p w14:paraId="33DBB167" w14:textId="02823CA9"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Certainly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w:t>
      </w:r>
      <w:proofErr w:type="spellEnd"/>
      <w:r w:rsidRPr="009975EA">
        <w:rPr>
          <w:rFonts w:ascii="Times New Roman" w:hAnsi="Times New Roman" w:cs="Times New Roman"/>
          <w:color w:val="000000"/>
          <w:sz w:val="20"/>
          <w:szCs w:val="20"/>
        </w:rPr>
        <w:t xml:space="preserve"> is a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his </w:t>
      </w:r>
      <w:proofErr w:type="spellStart"/>
      <w:r w:rsidRPr="009975EA">
        <w:rPr>
          <w:rFonts w:ascii="Times New Roman" w:hAnsi="Times New Roman" w:cs="Times New Roman"/>
          <w:color w:val="000000"/>
          <w:sz w:val="20"/>
          <w:szCs w:val="20"/>
        </w:rPr>
        <w:t>certificates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evidence</w:t>
      </w:r>
      <w:proofErr w:type="spellEnd"/>
      <w:r w:rsidRPr="009975EA">
        <w:rPr>
          <w:rFonts w:ascii="Times New Roman" w:hAnsi="Times New Roman" w:cs="Times New Roman"/>
          <w:color w:val="000000"/>
          <w:sz w:val="20"/>
          <w:szCs w:val="20"/>
        </w:rPr>
        <w:t xml:space="preserve"> of it…</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he is </w:t>
      </w:r>
      <w:proofErr w:type="spellStart"/>
      <w:r w:rsidRPr="009975EA">
        <w:rPr>
          <w:rFonts w:ascii="Times New Roman" w:hAnsi="Times New Roman" w:cs="Times New Roman"/>
          <w:color w:val="000000"/>
          <w:sz w:val="20"/>
          <w:szCs w:val="20"/>
        </w:rPr>
        <w:t>entitled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corresponding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proportionate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entitled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property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devoted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existence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attainment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objects</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Eisner</w:t>
      </w:r>
      <w:proofErr w:type="spellEnd"/>
      <w:r w:rsidRPr="009975EA">
        <w:rPr>
          <w:rFonts w:ascii="Times New Roman" w:hAnsi="Times New Roman" w:cs="Times New Roman"/>
          <w:color w:val="000000"/>
          <w:sz w:val="20"/>
          <w:szCs w:val="20"/>
        </w:rPr>
        <w:t xml:space="preserve"> v. </w:t>
      </w:r>
      <w:proofErr w:type="spellStart"/>
      <w:r w:rsidRPr="009975EA">
        <w:rPr>
          <w:rFonts w:ascii="Times New Roman" w:hAnsi="Times New Roman" w:cs="Times New Roman"/>
          <w:color w:val="000000"/>
          <w:sz w:val="20"/>
          <w:szCs w:val="20"/>
        </w:rPr>
        <w:t>Macomber</w:t>
      </w:r>
      <w:proofErr w:type="spellEnd"/>
      <w:r w:rsidRPr="009975EA">
        <w:rPr>
          <w:rFonts w:ascii="Times New Roman" w:hAnsi="Times New Roman" w:cs="Times New Roman"/>
          <w:color w:val="000000"/>
          <w:sz w:val="20"/>
          <w:szCs w:val="20"/>
        </w:rPr>
        <w:t>, 252 U.S. 189 (1920))</w:t>
      </w:r>
    </w:p>
  </w:footnote>
  <w:footnote w:id="425">
    <w:p w14:paraId="2E15DE04"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Terry A. O’Neill states that the business judgment rule can be rationalized by the reasonable expectations theory (Terry A. O’Neill, p. 681). See, Joy v. North, 692 F. 2d 880 (1982): “…shareholders to a very real degree voluntarily undertake the risk of bad business judgment. Investors need not buy stock…Nor need investors buy stock in particular corporations. In the exercise of what is genuinely a free choice, the quality of a firm’s management is often </w:t>
      </w:r>
      <w:proofErr w:type="gramStart"/>
      <w:r w:rsidRPr="009975EA">
        <w:rPr>
          <w:rFonts w:ascii="Times New Roman" w:hAnsi="Times New Roman" w:cs="Times New Roman"/>
          <w:sz w:val="20"/>
          <w:szCs w:val="20"/>
        </w:rPr>
        <w:t>decisive</w:t>
      </w:r>
      <w:proofErr w:type="gramEnd"/>
      <w:r w:rsidRPr="009975EA">
        <w:rPr>
          <w:rFonts w:ascii="Times New Roman" w:hAnsi="Times New Roman" w:cs="Times New Roman"/>
          <w:sz w:val="20"/>
          <w:szCs w:val="20"/>
        </w:rPr>
        <w:t xml:space="preserve"> and information is available from professional advisors. Since shareholders can and do select among investments partly on the basis of management, the business judgment rule merely recognizes a certain voluntariness in undertaking the risk of bad business decisions.”</w:t>
      </w:r>
    </w:p>
  </w:footnote>
  <w:footnote w:id="426">
    <w:p w14:paraId="17F31ACB"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Boehringer v. </w:t>
      </w:r>
      <w:proofErr w:type="spellStart"/>
      <w:r w:rsidRPr="009975EA">
        <w:rPr>
          <w:rFonts w:ascii="Times New Roman" w:hAnsi="Times New Roman" w:cs="Times New Roman"/>
          <w:sz w:val="20"/>
          <w:szCs w:val="20"/>
        </w:rPr>
        <w:t>Konkel</w:t>
      </w:r>
      <w:proofErr w:type="spellEnd"/>
      <w:r w:rsidRPr="009975EA">
        <w:rPr>
          <w:rFonts w:ascii="Times New Roman" w:hAnsi="Times New Roman" w:cs="Times New Roman"/>
          <w:sz w:val="20"/>
          <w:szCs w:val="20"/>
        </w:rPr>
        <w:t>, 404 S. W. 3d 18 (2013).</w:t>
      </w:r>
    </w:p>
  </w:footnote>
  <w:footnote w:id="427">
    <w:p w14:paraId="5B9A7F42" w14:textId="38C6A25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a similar analogy, see, Boilermakers Local 154 Retirement Fund v. Chevron Corp., 73 A.3d 934 (2013): “…stockholders have assented to a contractual framework established by DGCL and the certificates of incorporation that explicitly recognizes that stockholders will be bound by bylaws adopted unilaterally by their boards. Under that clear contractual framework, the stockholders assent to not having </w:t>
      </w:r>
      <w:proofErr w:type="spellStart"/>
      <w:r w:rsidRPr="009975EA">
        <w:rPr>
          <w:rFonts w:ascii="Times New Roman" w:hAnsi="Times New Roman" w:cs="Times New Roman"/>
          <w:sz w:val="20"/>
          <w:szCs w:val="20"/>
        </w:rPr>
        <w:t>ti</w:t>
      </w:r>
      <w:proofErr w:type="spellEnd"/>
      <w:r w:rsidRPr="009975EA">
        <w:rPr>
          <w:rFonts w:ascii="Times New Roman" w:hAnsi="Times New Roman" w:cs="Times New Roman"/>
          <w:sz w:val="20"/>
          <w:szCs w:val="20"/>
        </w:rPr>
        <w:t xml:space="preserve"> assent to board- adopted bylaws.”</w:t>
      </w:r>
    </w:p>
  </w:footnote>
  <w:footnote w:id="428">
    <w:p w14:paraId="6457A154" w14:textId="67F18D4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TCC Article 340: “The articles of incorporation cannot deviate from the provisions of this Statute unless the Statute explicitly permits the deviation...”. </w:t>
      </w:r>
    </w:p>
  </w:footnote>
  <w:footnote w:id="429">
    <w:p w14:paraId="6B078762" w14:textId="7EB5FBC1"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Schaad</w:t>
      </w:r>
      <w:proofErr w:type="spellEnd"/>
      <w:r w:rsidRPr="009975EA">
        <w:rPr>
          <w:rFonts w:ascii="Times New Roman" w:hAnsi="Times New Roman" w:cs="Times New Roman"/>
          <w:sz w:val="20"/>
          <w:szCs w:val="20"/>
        </w:rPr>
        <w:t xml:space="preserve"> v. Hotel </w:t>
      </w:r>
      <w:proofErr w:type="spellStart"/>
      <w:r w:rsidRPr="009975EA">
        <w:rPr>
          <w:rFonts w:ascii="Times New Roman" w:hAnsi="Times New Roman" w:cs="Times New Roman"/>
          <w:sz w:val="20"/>
          <w:szCs w:val="20"/>
        </w:rPr>
        <w:t>Easton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369 </w:t>
      </w:r>
      <w:proofErr w:type="spellStart"/>
      <w:r w:rsidRPr="009975EA">
        <w:rPr>
          <w:rFonts w:ascii="Times New Roman" w:hAnsi="Times New Roman" w:cs="Times New Roman"/>
          <w:sz w:val="20"/>
          <w:szCs w:val="20"/>
        </w:rPr>
        <w:t>Pa</w:t>
      </w:r>
      <w:proofErr w:type="spellEnd"/>
      <w:r w:rsidRPr="009975EA">
        <w:rPr>
          <w:rFonts w:ascii="Times New Roman" w:hAnsi="Times New Roman" w:cs="Times New Roman"/>
          <w:sz w:val="20"/>
          <w:szCs w:val="20"/>
        </w:rPr>
        <w:t>. 486 (1952):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instance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embodied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by-laws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resolutions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issued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provisions</w:t>
      </w:r>
      <w:proofErr w:type="spellEnd"/>
      <w:r w:rsidRPr="009975EA">
        <w:rPr>
          <w:rFonts w:ascii="Times New Roman" w:hAnsi="Times New Roman" w:cs="Times New Roman"/>
          <w:color w:val="000000"/>
          <w:sz w:val="20"/>
          <w:szCs w:val="20"/>
        </w:rPr>
        <w:t xml:space="preserve"> set </w:t>
      </w:r>
      <w:proofErr w:type="spellStart"/>
      <w:r w:rsidRPr="009975EA">
        <w:rPr>
          <w:rFonts w:ascii="Times New Roman" w:hAnsi="Times New Roman" w:cs="Times New Roman"/>
          <w:color w:val="000000"/>
          <w:sz w:val="20"/>
          <w:szCs w:val="20"/>
        </w:rPr>
        <w:t>forth</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certificates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themselves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entering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existence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principle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firmly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established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were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force</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time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place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making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obligation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effect</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expressly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incorporated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430">
    <w:p w14:paraId="10D50D94"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Chittur</w:t>
      </w:r>
      <w:proofErr w:type="spellEnd"/>
      <w:r w:rsidRPr="009975EA">
        <w:rPr>
          <w:rFonts w:ascii="Times New Roman" w:hAnsi="Times New Roman" w:cs="Times New Roman"/>
          <w:sz w:val="20"/>
          <w:szCs w:val="20"/>
        </w:rPr>
        <w:t xml:space="preserve"> states the following: “Investment in a public corporation carries with </w:t>
      </w:r>
      <w:proofErr w:type="spellStart"/>
      <w:r w:rsidRPr="009975EA">
        <w:rPr>
          <w:rFonts w:ascii="Times New Roman" w:hAnsi="Times New Roman" w:cs="Times New Roman"/>
          <w:sz w:val="20"/>
          <w:szCs w:val="20"/>
        </w:rPr>
        <w:t>ait</w:t>
      </w:r>
      <w:proofErr w:type="spellEnd"/>
      <w:r w:rsidRPr="009975EA">
        <w:rPr>
          <w:rFonts w:ascii="Times New Roman" w:hAnsi="Times New Roman" w:cs="Times New Roman"/>
          <w:sz w:val="20"/>
          <w:szCs w:val="20"/>
        </w:rPr>
        <w:t xml:space="preserve"> an implicit power of attorney, permitting management to use the money invested for corporate purposes. This </w:t>
      </w:r>
      <w:proofErr w:type="gramStart"/>
      <w:r w:rsidRPr="009975EA">
        <w:rPr>
          <w:rFonts w:ascii="Times New Roman" w:hAnsi="Times New Roman" w:cs="Times New Roman"/>
          <w:sz w:val="20"/>
          <w:szCs w:val="20"/>
        </w:rPr>
        <w:t>grant</w:t>
      </w:r>
      <w:proofErr w:type="gramEnd"/>
      <w:r w:rsidRPr="009975EA">
        <w:rPr>
          <w:rFonts w:ascii="Times New Roman" w:hAnsi="Times New Roman" w:cs="Times New Roman"/>
          <w:sz w:val="20"/>
          <w:szCs w:val="20"/>
        </w:rPr>
        <w:t xml:space="preserve"> the close corporation does not involve same “standard form” contract, or the consequential grant of power. This grant is made on the clear understanding that it will not be revoked. Corporation statutes normally prohibit a ‘put option’ on common stock…The close corporation does not involve the same ‘standard form’ contract, or the consequential grant of power.” (</w:t>
      </w:r>
      <w:proofErr w:type="spellStart"/>
      <w:r w:rsidRPr="009975EA">
        <w:rPr>
          <w:rFonts w:ascii="Times New Roman" w:hAnsi="Times New Roman" w:cs="Times New Roman"/>
          <w:sz w:val="20"/>
          <w:szCs w:val="20"/>
        </w:rPr>
        <w:t>Chittur</w:t>
      </w:r>
      <w:proofErr w:type="spellEnd"/>
      <w:r w:rsidRPr="009975EA">
        <w:rPr>
          <w:rFonts w:ascii="Times New Roman" w:hAnsi="Times New Roman" w:cs="Times New Roman"/>
          <w:sz w:val="20"/>
          <w:szCs w:val="20"/>
        </w:rPr>
        <w:t xml:space="preserve">, p. 159). </w:t>
      </w:r>
    </w:p>
  </w:footnote>
  <w:footnote w:id="431">
    <w:p w14:paraId="5876961F" w14:textId="78709091"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Clark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p.156.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expectations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likely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reflect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governing</w:t>
      </w:r>
      <w:proofErr w:type="spellEnd"/>
      <w:r w:rsidRPr="009975EA">
        <w:rPr>
          <w:rFonts w:ascii="Times New Roman" w:hAnsi="Times New Roman" w:cs="Times New Roman"/>
          <w:sz w:val="20"/>
          <w:szCs w:val="20"/>
        </w:rPr>
        <w:t xml:space="preserve"> legal </w:t>
      </w:r>
      <w:proofErr w:type="spellStart"/>
      <w:r w:rsidRPr="009975EA">
        <w:rPr>
          <w:rFonts w:ascii="Times New Roman" w:hAnsi="Times New Roman" w:cs="Times New Roman"/>
          <w:sz w:val="20"/>
          <w:szCs w:val="20"/>
        </w:rPr>
        <w:t>regime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If</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regime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mandates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profit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mazimization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profit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maximization</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Einer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Elhauge</w:t>
      </w:r>
      <w:proofErr w:type="spellEnd"/>
      <w:r w:rsidRPr="009975EA">
        <w:rPr>
          <w:rFonts w:ascii="Times New Roman" w:hAnsi="Times New Roman" w:cs="Times New Roman"/>
          <w:sz w:val="20"/>
          <w:szCs w:val="20"/>
        </w:rPr>
        <w:t xml:space="preserve">, </w:t>
      </w:r>
      <w:proofErr w:type="spellStart"/>
      <w:r w:rsidRPr="00440972">
        <w:rPr>
          <w:rFonts w:ascii="Times New Roman" w:hAnsi="Times New Roman" w:cs="Times New Roman"/>
          <w:i/>
          <w:sz w:val="20"/>
          <w:szCs w:val="20"/>
        </w:rPr>
        <w:t>Sacrificing</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Corporate</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Profits</w:t>
      </w:r>
      <w:proofErr w:type="spellEnd"/>
      <w:r w:rsidRPr="00440972">
        <w:rPr>
          <w:rFonts w:ascii="Times New Roman" w:hAnsi="Times New Roman" w:cs="Times New Roman"/>
          <w:i/>
          <w:sz w:val="20"/>
          <w:szCs w:val="20"/>
        </w:rPr>
        <w:t xml:space="preserve"> in </w:t>
      </w:r>
      <w:proofErr w:type="spellStart"/>
      <w:r w:rsidRPr="00440972">
        <w:rPr>
          <w:rFonts w:ascii="Times New Roman" w:hAnsi="Times New Roman" w:cs="Times New Roman"/>
          <w:i/>
          <w:sz w:val="20"/>
          <w:szCs w:val="20"/>
        </w:rPr>
        <w:t>the</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Public</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Interest</w:t>
      </w:r>
      <w:proofErr w:type="spellEnd"/>
      <w:r w:rsidRPr="00440972">
        <w:rPr>
          <w:rFonts w:ascii="Times New Roman" w:hAnsi="Times New Roman" w:cs="Times New Roman"/>
          <w:i/>
          <w:sz w:val="20"/>
          <w:szCs w:val="20"/>
        </w:rPr>
        <w:t>,</w:t>
      </w:r>
      <w:r w:rsidRPr="009975EA">
        <w:rPr>
          <w:rFonts w:ascii="Times New Roman" w:hAnsi="Times New Roman" w:cs="Times New Roman"/>
          <w:sz w:val="20"/>
          <w:szCs w:val="20"/>
        </w:rPr>
        <w:t xml:space="preserve"> </w:t>
      </w:r>
      <w:r>
        <w:rPr>
          <w:rFonts w:ascii="Times New Roman" w:hAnsi="Times New Roman" w:cs="Times New Roman"/>
          <w:sz w:val="20"/>
          <w:szCs w:val="20"/>
        </w:rPr>
        <w:t xml:space="preserve">80 N.Y.U. L. </w:t>
      </w:r>
      <w:proofErr w:type="spellStart"/>
      <w:r>
        <w:rPr>
          <w:rFonts w:ascii="Times New Roman" w:hAnsi="Times New Roman" w:cs="Times New Roman"/>
          <w:sz w:val="20"/>
          <w:szCs w:val="20"/>
        </w:rPr>
        <w:t>Rev</w:t>
      </w:r>
      <w:proofErr w:type="spellEnd"/>
      <w:r>
        <w:rPr>
          <w:rFonts w:ascii="Times New Roman" w:hAnsi="Times New Roman" w:cs="Times New Roman"/>
          <w:sz w:val="20"/>
          <w:szCs w:val="20"/>
        </w:rPr>
        <w:t xml:space="preserve">. 733 (2005), at </w:t>
      </w:r>
      <w:r w:rsidRPr="009975EA">
        <w:rPr>
          <w:rFonts w:ascii="Times New Roman" w:hAnsi="Times New Roman" w:cs="Times New Roman"/>
          <w:sz w:val="20"/>
          <w:szCs w:val="20"/>
        </w:rPr>
        <w:t xml:space="preserve">788).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analogy</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stated</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contexts</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well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w:t>
      </w:r>
      <w:proofErr w:type="spellStart"/>
      <w:r>
        <w:rPr>
          <w:rFonts w:ascii="Times New Roman" w:hAnsi="Times New Roman" w:cs="Times New Roman"/>
          <w:color w:val="000000"/>
          <w:sz w:val="20"/>
          <w:szCs w:val="20"/>
        </w:rPr>
        <w:t>Lynn</w:t>
      </w:r>
      <w:proofErr w:type="spellEnd"/>
      <w:r>
        <w:rPr>
          <w:rFonts w:ascii="Times New Roman" w:hAnsi="Times New Roman" w:cs="Times New Roman"/>
          <w:color w:val="000000"/>
          <w:sz w:val="20"/>
          <w:szCs w:val="20"/>
        </w:rPr>
        <w:t xml:space="preserve"> M. </w:t>
      </w:r>
      <w:proofErr w:type="spellStart"/>
      <w:r>
        <w:rPr>
          <w:rFonts w:ascii="Times New Roman" w:hAnsi="Times New Roman" w:cs="Times New Roman"/>
          <w:color w:val="000000"/>
          <w:sz w:val="20"/>
          <w:szCs w:val="20"/>
        </w:rPr>
        <w:t>LoPucki</w:t>
      </w:r>
      <w:proofErr w:type="spellEnd"/>
      <w:r>
        <w:rPr>
          <w:rFonts w:ascii="Times New Roman" w:hAnsi="Times New Roman" w:cs="Times New Roman"/>
          <w:color w:val="000000"/>
          <w:sz w:val="20"/>
          <w:szCs w:val="20"/>
        </w:rPr>
        <w:t xml:space="preserve">, </w:t>
      </w:r>
      <w:r w:rsidRPr="009975EA">
        <w:rPr>
          <w:rFonts w:ascii="Times New Roman" w:hAnsi="Times New Roman" w:cs="Times New Roman"/>
          <w:color w:val="000000"/>
          <w:sz w:val="20"/>
          <w:szCs w:val="20"/>
        </w:rPr>
        <w:t xml:space="preserve">Elizabeth </w:t>
      </w:r>
      <w:proofErr w:type="spellStart"/>
      <w:r w:rsidRPr="009975EA">
        <w:rPr>
          <w:rFonts w:ascii="Times New Roman" w:hAnsi="Times New Roman" w:cs="Times New Roman"/>
          <w:color w:val="000000"/>
          <w:sz w:val="20"/>
          <w:szCs w:val="20"/>
        </w:rPr>
        <w:t>Warren</w:t>
      </w:r>
      <w:proofErr w:type="spellEnd"/>
      <w:r w:rsidRPr="009975EA">
        <w:rPr>
          <w:rFonts w:ascii="Times New Roman" w:hAnsi="Times New Roman" w:cs="Times New Roman"/>
          <w:color w:val="000000"/>
          <w:sz w:val="20"/>
          <w:szCs w:val="20"/>
        </w:rPr>
        <w:t xml:space="preserve">, </w:t>
      </w:r>
      <w:proofErr w:type="spellStart"/>
      <w:r w:rsidRPr="00440972">
        <w:rPr>
          <w:rFonts w:ascii="Times New Roman" w:hAnsi="Times New Roman" w:cs="Times New Roman"/>
          <w:i/>
          <w:color w:val="000000"/>
          <w:sz w:val="20"/>
          <w:szCs w:val="20"/>
        </w:rPr>
        <w:t>Secured</w:t>
      </w:r>
      <w:proofErr w:type="spellEnd"/>
      <w:r w:rsidRPr="00440972">
        <w:rPr>
          <w:rFonts w:ascii="Times New Roman" w:hAnsi="Times New Roman" w:cs="Times New Roman"/>
          <w:i/>
          <w:color w:val="000000"/>
          <w:sz w:val="20"/>
          <w:szCs w:val="20"/>
        </w:rPr>
        <w:t xml:space="preserve"> </w:t>
      </w:r>
      <w:proofErr w:type="spellStart"/>
      <w:r w:rsidRPr="00440972">
        <w:rPr>
          <w:rFonts w:ascii="Times New Roman" w:hAnsi="Times New Roman" w:cs="Times New Roman"/>
          <w:i/>
          <w:color w:val="000000"/>
          <w:sz w:val="20"/>
          <w:szCs w:val="20"/>
        </w:rPr>
        <w:t>Credit</w:t>
      </w:r>
      <w:proofErr w:type="spellEnd"/>
      <w:r w:rsidRPr="00440972">
        <w:rPr>
          <w:rFonts w:ascii="Times New Roman" w:hAnsi="Times New Roman" w:cs="Times New Roman"/>
          <w:i/>
          <w:color w:val="000000"/>
          <w:sz w:val="20"/>
          <w:szCs w:val="20"/>
        </w:rPr>
        <w:t xml:space="preserve">: A </w:t>
      </w:r>
      <w:proofErr w:type="spellStart"/>
      <w:r w:rsidRPr="00440972">
        <w:rPr>
          <w:rFonts w:ascii="Times New Roman" w:hAnsi="Times New Roman" w:cs="Times New Roman"/>
          <w:i/>
          <w:color w:val="000000"/>
          <w:sz w:val="20"/>
          <w:szCs w:val="20"/>
        </w:rPr>
        <w:t>Systems</w:t>
      </w:r>
      <w:proofErr w:type="spellEnd"/>
      <w:r w:rsidRPr="00440972">
        <w:rPr>
          <w:rFonts w:ascii="Times New Roman" w:hAnsi="Times New Roman" w:cs="Times New Roman"/>
          <w:i/>
          <w:color w:val="000000"/>
          <w:sz w:val="20"/>
          <w:szCs w:val="20"/>
        </w:rPr>
        <w:t xml:space="preserve"> </w:t>
      </w:r>
      <w:proofErr w:type="spellStart"/>
      <w:r w:rsidRPr="00440972">
        <w:rPr>
          <w:rFonts w:ascii="Times New Roman" w:hAnsi="Times New Roman" w:cs="Times New Roman"/>
          <w:i/>
          <w:color w:val="000000"/>
          <w:sz w:val="20"/>
          <w:szCs w:val="20"/>
        </w:rPr>
        <w:t>Approach</w:t>
      </w:r>
      <w:proofErr w:type="spellEnd"/>
      <w:r w:rsidRPr="009975EA">
        <w:rPr>
          <w:rFonts w:ascii="Times New Roman" w:hAnsi="Times New Roman" w:cs="Times New Roman"/>
          <w:color w:val="000000"/>
          <w:sz w:val="20"/>
          <w:szCs w:val="20"/>
        </w:rPr>
        <w:t xml:space="preserve"> 718 (2d ed. 1998)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possible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view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product</w:t>
      </w:r>
      <w:proofErr w:type="spellEnd"/>
      <w:r w:rsidRPr="009975EA">
        <w:rPr>
          <w:rFonts w:ascii="Times New Roman" w:hAnsi="Times New Roman" w:cs="Times New Roman"/>
          <w:color w:val="000000"/>
          <w:sz w:val="20"/>
          <w:szCs w:val="20"/>
        </w:rPr>
        <w:t xml:space="preserve"> of </w:t>
      </w:r>
      <w:proofErr w:type="spellStart"/>
      <w:proofErr w:type="gram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w:t>
      </w:r>
      <w:proofErr w:type="gramEnd"/>
      <w:r w:rsidRPr="009975EA">
        <w:rPr>
          <w:rFonts w:ascii="Times New Roman" w:hAnsi="Times New Roman" w:cs="Times New Roman"/>
          <w:color w:val="000000"/>
          <w:sz w:val="20"/>
          <w:szCs w:val="20"/>
        </w:rPr>
        <w:t xml:space="preserve"> But it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useful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view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product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Richard A. </w:t>
      </w:r>
      <w:proofErr w:type="spellStart"/>
      <w:r w:rsidRPr="009975EA">
        <w:rPr>
          <w:rFonts w:ascii="Times New Roman" w:hAnsi="Times New Roman" w:cs="Times New Roman"/>
          <w:color w:val="000000"/>
          <w:sz w:val="20"/>
          <w:szCs w:val="20"/>
        </w:rPr>
        <w:t>Epstein</w:t>
      </w:r>
      <w:proofErr w:type="spellEnd"/>
      <w:r w:rsidRPr="009975EA">
        <w:rPr>
          <w:rFonts w:ascii="Times New Roman" w:hAnsi="Times New Roman" w:cs="Times New Roman"/>
          <w:color w:val="000000"/>
          <w:sz w:val="20"/>
          <w:szCs w:val="20"/>
        </w:rPr>
        <w:t xml:space="preserve">, </w:t>
      </w:r>
      <w:proofErr w:type="spellStart"/>
      <w:r w:rsidRPr="00440972">
        <w:rPr>
          <w:rFonts w:ascii="Times New Roman" w:hAnsi="Times New Roman" w:cs="Times New Roman"/>
          <w:i/>
          <w:color w:val="000000"/>
          <w:sz w:val="20"/>
          <w:szCs w:val="20"/>
        </w:rPr>
        <w:t>Defenses</w:t>
      </w:r>
      <w:proofErr w:type="spellEnd"/>
      <w:r w:rsidRPr="00440972">
        <w:rPr>
          <w:rFonts w:ascii="Times New Roman" w:hAnsi="Times New Roman" w:cs="Times New Roman"/>
          <w:i/>
          <w:color w:val="000000"/>
          <w:sz w:val="20"/>
          <w:szCs w:val="20"/>
        </w:rPr>
        <w:t xml:space="preserve"> </w:t>
      </w:r>
      <w:proofErr w:type="spellStart"/>
      <w:r w:rsidRPr="00440972">
        <w:rPr>
          <w:rFonts w:ascii="Times New Roman" w:hAnsi="Times New Roman" w:cs="Times New Roman"/>
          <w:i/>
          <w:color w:val="000000"/>
          <w:sz w:val="20"/>
          <w:szCs w:val="20"/>
        </w:rPr>
        <w:t>and</w:t>
      </w:r>
      <w:proofErr w:type="spellEnd"/>
      <w:r w:rsidRPr="00440972">
        <w:rPr>
          <w:rFonts w:ascii="Times New Roman" w:hAnsi="Times New Roman" w:cs="Times New Roman"/>
          <w:i/>
          <w:color w:val="000000"/>
          <w:sz w:val="20"/>
          <w:szCs w:val="20"/>
        </w:rPr>
        <w:t xml:space="preserve"> </w:t>
      </w:r>
      <w:proofErr w:type="spellStart"/>
      <w:r w:rsidRPr="00440972">
        <w:rPr>
          <w:rFonts w:ascii="Times New Roman" w:hAnsi="Times New Roman" w:cs="Times New Roman"/>
          <w:i/>
          <w:color w:val="000000"/>
          <w:sz w:val="20"/>
          <w:szCs w:val="20"/>
        </w:rPr>
        <w:t>Subsequent</w:t>
      </w:r>
      <w:proofErr w:type="spellEnd"/>
      <w:r w:rsidRPr="00440972">
        <w:rPr>
          <w:rFonts w:ascii="Times New Roman" w:hAnsi="Times New Roman" w:cs="Times New Roman"/>
          <w:i/>
          <w:color w:val="000000"/>
          <w:sz w:val="20"/>
          <w:szCs w:val="20"/>
        </w:rPr>
        <w:t xml:space="preserve"> </w:t>
      </w:r>
      <w:proofErr w:type="spellStart"/>
      <w:r w:rsidRPr="00440972">
        <w:rPr>
          <w:rFonts w:ascii="Times New Roman" w:hAnsi="Times New Roman" w:cs="Times New Roman"/>
          <w:i/>
          <w:color w:val="000000"/>
          <w:sz w:val="20"/>
          <w:szCs w:val="20"/>
        </w:rPr>
        <w:t>Pleas</w:t>
      </w:r>
      <w:proofErr w:type="spellEnd"/>
      <w:r w:rsidRPr="00440972">
        <w:rPr>
          <w:rFonts w:ascii="Times New Roman" w:hAnsi="Times New Roman" w:cs="Times New Roman"/>
          <w:i/>
          <w:color w:val="000000"/>
          <w:sz w:val="20"/>
          <w:szCs w:val="20"/>
        </w:rPr>
        <w:t xml:space="preserve"> in a </w:t>
      </w:r>
      <w:proofErr w:type="spellStart"/>
      <w:r w:rsidRPr="00440972">
        <w:rPr>
          <w:rFonts w:ascii="Times New Roman" w:hAnsi="Times New Roman" w:cs="Times New Roman"/>
          <w:i/>
          <w:color w:val="000000"/>
          <w:sz w:val="20"/>
          <w:szCs w:val="20"/>
        </w:rPr>
        <w:t>System</w:t>
      </w:r>
      <w:proofErr w:type="spellEnd"/>
      <w:r w:rsidRPr="00440972">
        <w:rPr>
          <w:rFonts w:ascii="Times New Roman" w:hAnsi="Times New Roman" w:cs="Times New Roman"/>
          <w:i/>
          <w:color w:val="000000"/>
          <w:sz w:val="20"/>
          <w:szCs w:val="20"/>
        </w:rPr>
        <w:t xml:space="preserve"> of </w:t>
      </w:r>
      <w:proofErr w:type="spellStart"/>
      <w:r w:rsidRPr="00440972">
        <w:rPr>
          <w:rFonts w:ascii="Times New Roman" w:hAnsi="Times New Roman" w:cs="Times New Roman"/>
          <w:i/>
          <w:color w:val="000000"/>
          <w:sz w:val="20"/>
          <w:szCs w:val="20"/>
        </w:rPr>
        <w:t>Strict</w:t>
      </w:r>
      <w:proofErr w:type="spellEnd"/>
      <w:r w:rsidRPr="00440972">
        <w:rPr>
          <w:rFonts w:ascii="Times New Roman" w:hAnsi="Times New Roman" w:cs="Times New Roman"/>
          <w:i/>
          <w:color w:val="000000"/>
          <w:sz w:val="20"/>
          <w:szCs w:val="20"/>
        </w:rPr>
        <w:t xml:space="preserve"> </w:t>
      </w:r>
      <w:proofErr w:type="spellStart"/>
      <w:r w:rsidRPr="00440972">
        <w:rPr>
          <w:rFonts w:ascii="Times New Roman" w:hAnsi="Times New Roman" w:cs="Times New Roman"/>
          <w:i/>
          <w:color w:val="000000"/>
          <w:sz w:val="20"/>
          <w:szCs w:val="20"/>
        </w:rPr>
        <w:t>Liability</w:t>
      </w:r>
      <w:proofErr w:type="spellEnd"/>
      <w:r w:rsidRPr="009975EA">
        <w:rPr>
          <w:rFonts w:ascii="Times New Roman" w:hAnsi="Times New Roman" w:cs="Times New Roman"/>
          <w:color w:val="000000"/>
          <w:sz w:val="20"/>
          <w:szCs w:val="20"/>
        </w:rPr>
        <w:t>,</w:t>
      </w:r>
      <w:r>
        <w:rPr>
          <w:rFonts w:ascii="Times New Roman" w:hAnsi="Times New Roman" w:cs="Times New Roman"/>
          <w:color w:val="000000"/>
          <w:sz w:val="20"/>
          <w:szCs w:val="20"/>
        </w:rPr>
        <w:t xml:space="preserve"> 3 J. Legal </w:t>
      </w:r>
      <w:proofErr w:type="spellStart"/>
      <w:r>
        <w:rPr>
          <w:rFonts w:ascii="Times New Roman" w:hAnsi="Times New Roman" w:cs="Times New Roman"/>
          <w:color w:val="000000"/>
          <w:sz w:val="20"/>
          <w:szCs w:val="20"/>
        </w:rPr>
        <w:t>Stud</w:t>
      </w:r>
      <w:proofErr w:type="spellEnd"/>
      <w:r>
        <w:rPr>
          <w:rFonts w:ascii="Times New Roman" w:hAnsi="Times New Roman" w:cs="Times New Roman"/>
          <w:color w:val="000000"/>
          <w:sz w:val="20"/>
          <w:szCs w:val="20"/>
        </w:rPr>
        <w:t>. 165 (1974), at</w:t>
      </w:r>
      <w:r w:rsidRPr="009975EA">
        <w:rPr>
          <w:rFonts w:ascii="Times New Roman" w:hAnsi="Times New Roman" w:cs="Times New Roman"/>
          <w:color w:val="000000"/>
          <w:sz w:val="20"/>
          <w:szCs w:val="20"/>
        </w:rPr>
        <w:t xml:space="preserve"> 204 (“Rules </w:t>
      </w:r>
      <w:proofErr w:type="spellStart"/>
      <w:r w:rsidRPr="009975EA">
        <w:rPr>
          <w:rFonts w:ascii="Times New Roman" w:hAnsi="Times New Roman" w:cs="Times New Roman"/>
          <w:color w:val="000000"/>
          <w:sz w:val="20"/>
          <w:szCs w:val="20"/>
        </w:rPr>
        <w:t>determine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much</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determine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w:t>
      </w:r>
    </w:p>
  </w:footnote>
  <w:footnote w:id="432">
    <w:p w14:paraId="67318681" w14:textId="2B97CD3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Kuklin</w:t>
      </w:r>
      <w:proofErr w:type="spellEnd"/>
      <w:r w:rsidRPr="009975EA">
        <w:rPr>
          <w:rFonts w:ascii="Times New Roman" w:hAnsi="Times New Roman" w:cs="Times New Roman"/>
          <w:sz w:val="20"/>
          <w:szCs w:val="20"/>
        </w:rPr>
        <w:t>, p.33-34.</w:t>
      </w:r>
    </w:p>
  </w:footnote>
  <w:footnote w:id="433">
    <w:p w14:paraId="1D77D9A9" w14:textId="17E398D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“Corporations with more than fifty, thirty- five, or even twenty- five shareholders are not as likely to encompass the close relationships creating expectations different from the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expectations envisioned by the statutory norm.” (Thompson, Corporate Dissolution, p. 226).</w:t>
      </w:r>
    </w:p>
  </w:footnote>
  <w:footnote w:id="434">
    <w:p w14:paraId="4789B2A7" w14:textId="773548E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Schautteet</w:t>
      </w:r>
      <w:proofErr w:type="spellEnd"/>
      <w:r w:rsidRPr="009975EA">
        <w:rPr>
          <w:rFonts w:ascii="Times New Roman" w:hAnsi="Times New Roman" w:cs="Times New Roman"/>
          <w:sz w:val="20"/>
          <w:szCs w:val="20"/>
        </w:rPr>
        <w:t xml:space="preserve"> v. Chester Bank, 707 </w:t>
      </w:r>
      <w:proofErr w:type="spellStart"/>
      <w:r w:rsidRPr="009975EA">
        <w:rPr>
          <w:rFonts w:ascii="Times New Roman" w:hAnsi="Times New Roman" w:cs="Times New Roman"/>
          <w:sz w:val="20"/>
          <w:szCs w:val="20"/>
        </w:rPr>
        <w:t>F.Supp</w:t>
      </w:r>
      <w:proofErr w:type="spellEnd"/>
      <w:r w:rsidRPr="009975EA">
        <w:rPr>
          <w:rFonts w:ascii="Times New Roman" w:hAnsi="Times New Roman" w:cs="Times New Roman"/>
          <w:sz w:val="20"/>
          <w:szCs w:val="20"/>
        </w:rPr>
        <w:t xml:space="preserve">. 885 (1988): </w:t>
      </w:r>
      <w:r w:rsidRPr="009975EA">
        <w:rPr>
          <w:rFonts w:ascii="Times New Roman" w:hAnsi="Times New Roman" w:cs="Times New Roman"/>
          <w:color w:val="000000" w:themeColor="text1"/>
          <w:sz w:val="20"/>
          <w:szCs w:val="20"/>
        </w:rPr>
        <w:t xml:space="preserve">“The array of rights possessed by any particular shareholder may well vary from one corporation to the next, because shareholder rights may spring from many sources: (1) the corporations organic documents, (2) agreements between shareholders or </w:t>
      </w:r>
      <w:proofErr w:type="spellStart"/>
      <w:r w:rsidRPr="009975EA">
        <w:rPr>
          <w:rFonts w:ascii="Times New Roman" w:hAnsi="Times New Roman" w:cs="Times New Roman"/>
          <w:color w:val="000000" w:themeColor="text1"/>
          <w:sz w:val="20"/>
          <w:szCs w:val="20"/>
        </w:rPr>
        <w:t>beteween</w:t>
      </w:r>
      <w:proofErr w:type="spellEnd"/>
      <w:r w:rsidRPr="009975EA">
        <w:rPr>
          <w:rFonts w:ascii="Times New Roman" w:hAnsi="Times New Roman" w:cs="Times New Roman"/>
          <w:color w:val="000000" w:themeColor="text1"/>
          <w:sz w:val="20"/>
          <w:szCs w:val="20"/>
        </w:rPr>
        <w:t xml:space="preserve"> the corporation and shareholders, (3) statutory corporation law, and (4) decisional law governing the operation of corporations.”</w:t>
      </w:r>
    </w:p>
  </w:footnote>
  <w:footnote w:id="435">
    <w:p w14:paraId="4088C985" w14:textId="29394C5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themeColor="text1"/>
          <w:sz w:val="20"/>
          <w:szCs w:val="20"/>
        </w:rPr>
        <w:t>This notion is also accepted in English law for the determination of members’ interests under the unfair prejudicial conduct, which is the equivalent concept to oppression in the U.S.: “…</w:t>
      </w:r>
      <w:r w:rsidRPr="009975EA">
        <w:rPr>
          <w:rFonts w:ascii="Times New Roman" w:eastAsia="Times New Roman" w:hAnsi="Times New Roman" w:cs="Times New Roman"/>
          <w:color w:val="000000" w:themeColor="text1"/>
          <w:sz w:val="20"/>
          <w:szCs w:val="20"/>
          <w:shd w:val="clear" w:color="auto" w:fill="FFFFFF"/>
        </w:rPr>
        <w:t xml:space="preserve">there is no easy checklist of interests which are universally applicable to all members. Instead, one can merely identify a number of different sources. The first and most obvious source will be the shareholders’ personal rights. These will include relevant provisions from the company’s </w:t>
      </w:r>
      <w:proofErr w:type="spellStart"/>
      <w:r w:rsidRPr="009975EA">
        <w:rPr>
          <w:rFonts w:ascii="Times New Roman" w:eastAsia="Times New Roman" w:hAnsi="Times New Roman" w:cs="Times New Roman"/>
          <w:color w:val="000000" w:themeColor="text1"/>
          <w:sz w:val="20"/>
          <w:szCs w:val="20"/>
          <w:shd w:val="clear" w:color="auto" w:fill="FFFFFF"/>
        </w:rPr>
        <w:t>Mem~randuma~nd</w:t>
      </w:r>
      <w:proofErr w:type="spellEnd"/>
      <w:r w:rsidRPr="009975EA">
        <w:rPr>
          <w:rFonts w:ascii="Times New Roman" w:eastAsia="Times New Roman" w:hAnsi="Times New Roman" w:cs="Times New Roman"/>
          <w:color w:val="000000" w:themeColor="text1"/>
          <w:sz w:val="20"/>
          <w:szCs w:val="20"/>
          <w:shd w:val="clear" w:color="auto" w:fill="FFFFFF"/>
        </w:rPr>
        <w:t xml:space="preserve">~ Articles of Association, thus repeating the members’ own constitutional contract. Such rights will also be drawn from provisions in the Companies Act </w:t>
      </w:r>
      <w:r w:rsidRPr="009975EA">
        <w:rPr>
          <w:rFonts w:ascii="Times New Roman" w:eastAsia="Times New Roman" w:hAnsi="Times New Roman" w:cs="Times New Roman"/>
          <w:bCs/>
          <w:color w:val="000000" w:themeColor="text1"/>
          <w:sz w:val="20"/>
          <w:szCs w:val="20"/>
          <w:shd w:val="clear" w:color="auto" w:fill="FFFFFF"/>
        </w:rPr>
        <w:t xml:space="preserve">1985, </w:t>
      </w:r>
      <w:r w:rsidRPr="009975EA">
        <w:rPr>
          <w:rFonts w:ascii="Times New Roman" w:eastAsia="Times New Roman" w:hAnsi="Times New Roman" w:cs="Times New Roman"/>
          <w:color w:val="000000" w:themeColor="text1"/>
          <w:sz w:val="20"/>
          <w:szCs w:val="20"/>
          <w:shd w:val="clear" w:color="auto" w:fill="FFFFFF"/>
        </w:rPr>
        <w:t>thereby incorporating terms which, whether or not ‘agreed to,’ are mandatory already.</w:t>
      </w:r>
      <w:r w:rsidRPr="009975EA">
        <w:rPr>
          <w:rFonts w:ascii="Times New Roman" w:hAnsi="Times New Roman" w:cs="Times New Roman"/>
          <w:sz w:val="20"/>
          <w:szCs w:val="20"/>
        </w:rPr>
        <w:t>” (Riley, p.793)</w:t>
      </w:r>
    </w:p>
  </w:footnote>
  <w:footnote w:id="436">
    <w:p w14:paraId="675FF76A" w14:textId="202D393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Terry A. O’Neill, p.681.</w:t>
      </w:r>
    </w:p>
  </w:footnote>
  <w:footnote w:id="437">
    <w:p w14:paraId="454B0A71" w14:textId="0E19EDD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xml:space="preserve"> opines that the rules on the basic structure of the corporation, such as limited liability, represent rules concerning public policy and cannot be regarded as components of the shareholders’ rights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Shareholders’ Agreement, p. 119).</w:t>
      </w:r>
    </w:p>
  </w:footnote>
  <w:footnote w:id="438">
    <w:p w14:paraId="66AA8F86"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Michaud v. Morris, 603 So. 2d 886 (1992).</w:t>
      </w:r>
    </w:p>
  </w:footnote>
  <w:footnote w:id="439">
    <w:p w14:paraId="3850EC3C" w14:textId="1FDF51A0" w:rsidR="00D36541" w:rsidRPr="009975EA" w:rsidRDefault="00D36541" w:rsidP="00440972">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Boehringer v. </w:t>
      </w:r>
      <w:proofErr w:type="spellStart"/>
      <w:r w:rsidRPr="009975EA">
        <w:rPr>
          <w:rFonts w:ascii="Times New Roman" w:hAnsi="Times New Roman" w:cs="Times New Roman"/>
          <w:sz w:val="20"/>
          <w:szCs w:val="20"/>
        </w:rPr>
        <w:t>Konkel</w:t>
      </w:r>
      <w:proofErr w:type="spellEnd"/>
      <w:r w:rsidRPr="009975EA">
        <w:rPr>
          <w:rFonts w:ascii="Times New Roman" w:hAnsi="Times New Roman" w:cs="Times New Roman"/>
          <w:sz w:val="20"/>
          <w:szCs w:val="20"/>
        </w:rPr>
        <w:t>, 404 S.W. 3d 18 (2013).</w:t>
      </w:r>
      <w:r>
        <w:rPr>
          <w:rFonts w:ascii="Times New Roman" w:hAnsi="Times New Roman" w:cs="Times New Roman"/>
          <w:sz w:val="20"/>
          <w:szCs w:val="20"/>
        </w:rPr>
        <w:tab/>
      </w:r>
    </w:p>
  </w:footnote>
  <w:footnote w:id="440">
    <w:p w14:paraId="13838A7F"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Argo Data Resource Corp. v. </w:t>
      </w:r>
      <w:proofErr w:type="spellStart"/>
      <w:r w:rsidRPr="009975EA">
        <w:rPr>
          <w:rFonts w:ascii="Times New Roman" w:hAnsi="Times New Roman" w:cs="Times New Roman"/>
          <w:sz w:val="20"/>
          <w:szCs w:val="20"/>
        </w:rPr>
        <w:t>Shagrithaya</w:t>
      </w:r>
      <w:proofErr w:type="spellEnd"/>
      <w:r w:rsidRPr="009975EA">
        <w:rPr>
          <w:rFonts w:ascii="Times New Roman" w:hAnsi="Times New Roman" w:cs="Times New Roman"/>
          <w:sz w:val="20"/>
          <w:szCs w:val="20"/>
        </w:rPr>
        <w:t>, 380 S.W.3d 249 (2012).</w:t>
      </w:r>
    </w:p>
  </w:footnote>
  <w:footnote w:id="441">
    <w:p w14:paraId="3864F5AA" w14:textId="5B3BC05B" w:rsidR="00D36541" w:rsidRPr="009975EA" w:rsidRDefault="00D36541" w:rsidP="009975EA">
      <w:pPr>
        <w:pStyle w:val="p1"/>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Christos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Ravanides</w:t>
      </w:r>
      <w:proofErr w:type="spellEnd"/>
      <w:r w:rsidRPr="009975EA">
        <w:rPr>
          <w:rFonts w:ascii="Times New Roman" w:hAnsi="Times New Roman" w:cs="Times New Roman"/>
          <w:color w:val="000000" w:themeColor="text1"/>
          <w:sz w:val="20"/>
          <w:szCs w:val="20"/>
        </w:rPr>
        <w:t xml:space="preserve">, </w:t>
      </w:r>
      <w:proofErr w:type="spellStart"/>
      <w:r w:rsidRPr="00440972">
        <w:rPr>
          <w:rFonts w:ascii="Times New Roman" w:hAnsi="Times New Roman" w:cs="Times New Roman"/>
          <w:i/>
          <w:color w:val="000000" w:themeColor="text1"/>
          <w:sz w:val="20"/>
          <w:szCs w:val="20"/>
        </w:rPr>
        <w:t>Arbitration</w:t>
      </w:r>
      <w:proofErr w:type="spellEnd"/>
      <w:r w:rsidRPr="00440972">
        <w:rPr>
          <w:rFonts w:ascii="Times New Roman" w:hAnsi="Times New Roman" w:cs="Times New Roman"/>
          <w:i/>
          <w:color w:val="000000" w:themeColor="text1"/>
          <w:sz w:val="20"/>
          <w:szCs w:val="20"/>
        </w:rPr>
        <w:t xml:space="preserve"> </w:t>
      </w:r>
      <w:proofErr w:type="spellStart"/>
      <w:r w:rsidRPr="00440972">
        <w:rPr>
          <w:rFonts w:ascii="Times New Roman" w:hAnsi="Times New Roman" w:cs="Times New Roman"/>
          <w:i/>
          <w:color w:val="000000" w:themeColor="text1"/>
          <w:sz w:val="20"/>
          <w:szCs w:val="20"/>
        </w:rPr>
        <w:t>Clauses</w:t>
      </w:r>
      <w:proofErr w:type="spellEnd"/>
      <w:r w:rsidRPr="00440972">
        <w:rPr>
          <w:rFonts w:ascii="Times New Roman" w:hAnsi="Times New Roman" w:cs="Times New Roman"/>
          <w:i/>
          <w:color w:val="000000" w:themeColor="text1"/>
          <w:sz w:val="20"/>
          <w:szCs w:val="20"/>
        </w:rPr>
        <w:t xml:space="preserve"> in </w:t>
      </w:r>
      <w:proofErr w:type="spellStart"/>
      <w:r w:rsidRPr="00440972">
        <w:rPr>
          <w:rFonts w:ascii="Times New Roman" w:hAnsi="Times New Roman" w:cs="Times New Roman"/>
          <w:i/>
          <w:color w:val="000000" w:themeColor="text1"/>
          <w:sz w:val="20"/>
          <w:szCs w:val="20"/>
        </w:rPr>
        <w:t>Public</w:t>
      </w:r>
      <w:proofErr w:type="spellEnd"/>
      <w:r w:rsidRPr="00440972">
        <w:rPr>
          <w:rFonts w:ascii="Times New Roman" w:hAnsi="Times New Roman" w:cs="Times New Roman"/>
          <w:i/>
          <w:color w:val="000000" w:themeColor="text1"/>
          <w:sz w:val="20"/>
          <w:szCs w:val="20"/>
        </w:rPr>
        <w:t xml:space="preserve"> </w:t>
      </w:r>
      <w:proofErr w:type="spellStart"/>
      <w:r w:rsidRPr="00440972">
        <w:rPr>
          <w:rFonts w:ascii="Times New Roman" w:hAnsi="Times New Roman" w:cs="Times New Roman"/>
          <w:i/>
          <w:color w:val="000000" w:themeColor="text1"/>
          <w:sz w:val="20"/>
          <w:szCs w:val="20"/>
        </w:rPr>
        <w:t>Company</w:t>
      </w:r>
      <w:proofErr w:type="spellEnd"/>
      <w:r w:rsidRPr="00440972">
        <w:rPr>
          <w:rFonts w:ascii="Times New Roman" w:hAnsi="Times New Roman" w:cs="Times New Roman"/>
          <w:i/>
          <w:color w:val="000000" w:themeColor="text1"/>
          <w:sz w:val="20"/>
          <w:szCs w:val="20"/>
        </w:rPr>
        <w:t xml:space="preserve"> </w:t>
      </w:r>
      <w:proofErr w:type="spellStart"/>
      <w:r w:rsidRPr="00440972">
        <w:rPr>
          <w:rFonts w:ascii="Times New Roman" w:hAnsi="Times New Roman" w:cs="Times New Roman"/>
          <w:i/>
          <w:color w:val="000000" w:themeColor="text1"/>
          <w:sz w:val="20"/>
          <w:szCs w:val="20"/>
        </w:rPr>
        <w:t>Charters</w:t>
      </w:r>
      <w:proofErr w:type="spellEnd"/>
      <w:r w:rsidRPr="00440972">
        <w:rPr>
          <w:rFonts w:ascii="Times New Roman" w:hAnsi="Times New Roman" w:cs="Times New Roman"/>
          <w:i/>
          <w:color w:val="000000" w:themeColor="text1"/>
          <w:sz w:val="20"/>
          <w:szCs w:val="20"/>
        </w:rPr>
        <w:t xml:space="preserve">: An Expansion of </w:t>
      </w:r>
      <w:proofErr w:type="spellStart"/>
      <w:r w:rsidRPr="00440972">
        <w:rPr>
          <w:rFonts w:ascii="Times New Roman" w:hAnsi="Times New Roman" w:cs="Times New Roman"/>
          <w:i/>
          <w:color w:val="000000" w:themeColor="text1"/>
          <w:sz w:val="20"/>
          <w:szCs w:val="20"/>
        </w:rPr>
        <w:t>the</w:t>
      </w:r>
      <w:proofErr w:type="spellEnd"/>
      <w:r w:rsidRPr="00440972">
        <w:rPr>
          <w:rFonts w:ascii="Times New Roman" w:hAnsi="Times New Roman" w:cs="Times New Roman"/>
          <w:i/>
          <w:color w:val="000000" w:themeColor="text1"/>
          <w:sz w:val="20"/>
          <w:szCs w:val="20"/>
        </w:rPr>
        <w:t xml:space="preserve"> </w:t>
      </w:r>
      <w:proofErr w:type="spellStart"/>
      <w:r w:rsidRPr="00440972">
        <w:rPr>
          <w:rFonts w:ascii="Times New Roman" w:hAnsi="Times New Roman" w:cs="Times New Roman"/>
          <w:i/>
          <w:color w:val="000000" w:themeColor="text1"/>
          <w:sz w:val="20"/>
          <w:szCs w:val="20"/>
        </w:rPr>
        <w:t>Adr</w:t>
      </w:r>
      <w:proofErr w:type="spellEnd"/>
      <w:r w:rsidRPr="00440972">
        <w:rPr>
          <w:rFonts w:ascii="Times New Roman" w:hAnsi="Times New Roman" w:cs="Times New Roman"/>
          <w:i/>
          <w:color w:val="000000" w:themeColor="text1"/>
          <w:sz w:val="20"/>
          <w:szCs w:val="20"/>
        </w:rPr>
        <w:t xml:space="preserve"> </w:t>
      </w:r>
      <w:proofErr w:type="spellStart"/>
      <w:r w:rsidRPr="00440972">
        <w:rPr>
          <w:rFonts w:ascii="Times New Roman" w:hAnsi="Times New Roman" w:cs="Times New Roman"/>
          <w:i/>
          <w:color w:val="000000" w:themeColor="text1"/>
          <w:sz w:val="20"/>
          <w:szCs w:val="20"/>
        </w:rPr>
        <w:t>Elysian</w:t>
      </w:r>
      <w:proofErr w:type="spellEnd"/>
      <w:r w:rsidRPr="00440972">
        <w:rPr>
          <w:rFonts w:ascii="Times New Roman" w:hAnsi="Times New Roman" w:cs="Times New Roman"/>
          <w:i/>
          <w:color w:val="000000" w:themeColor="text1"/>
          <w:sz w:val="20"/>
          <w:szCs w:val="20"/>
        </w:rPr>
        <w:t xml:space="preserve"> </w:t>
      </w:r>
      <w:proofErr w:type="spellStart"/>
      <w:r w:rsidRPr="00440972">
        <w:rPr>
          <w:rFonts w:ascii="Times New Roman" w:hAnsi="Times New Roman" w:cs="Times New Roman"/>
          <w:i/>
          <w:color w:val="000000" w:themeColor="text1"/>
          <w:sz w:val="20"/>
          <w:szCs w:val="20"/>
        </w:rPr>
        <w:t>Fields</w:t>
      </w:r>
      <w:proofErr w:type="spellEnd"/>
      <w:r w:rsidRPr="00440972">
        <w:rPr>
          <w:rFonts w:ascii="Times New Roman" w:hAnsi="Times New Roman" w:cs="Times New Roman"/>
          <w:i/>
          <w:color w:val="000000" w:themeColor="text1"/>
          <w:sz w:val="20"/>
          <w:szCs w:val="20"/>
        </w:rPr>
        <w:t xml:space="preserve"> </w:t>
      </w:r>
      <w:proofErr w:type="spellStart"/>
      <w:r w:rsidRPr="00440972">
        <w:rPr>
          <w:rFonts w:ascii="Times New Roman" w:hAnsi="Times New Roman" w:cs="Times New Roman"/>
          <w:i/>
          <w:color w:val="000000" w:themeColor="text1"/>
          <w:sz w:val="20"/>
          <w:szCs w:val="20"/>
        </w:rPr>
        <w:t>or</w:t>
      </w:r>
      <w:proofErr w:type="spellEnd"/>
      <w:r w:rsidRPr="00440972">
        <w:rPr>
          <w:rFonts w:ascii="Times New Roman" w:hAnsi="Times New Roman" w:cs="Times New Roman"/>
          <w:i/>
          <w:color w:val="000000" w:themeColor="text1"/>
          <w:sz w:val="20"/>
          <w:szCs w:val="20"/>
        </w:rPr>
        <w:t xml:space="preserve"> A </w:t>
      </w:r>
      <w:proofErr w:type="spellStart"/>
      <w:r w:rsidRPr="00440972">
        <w:rPr>
          <w:rFonts w:ascii="Times New Roman" w:hAnsi="Times New Roman" w:cs="Times New Roman"/>
          <w:i/>
          <w:color w:val="000000" w:themeColor="text1"/>
          <w:sz w:val="20"/>
          <w:szCs w:val="20"/>
        </w:rPr>
        <w:t>Descent</w:t>
      </w:r>
      <w:proofErr w:type="spellEnd"/>
      <w:r w:rsidRPr="00440972">
        <w:rPr>
          <w:rFonts w:ascii="Times New Roman" w:hAnsi="Times New Roman" w:cs="Times New Roman"/>
          <w:i/>
          <w:color w:val="000000" w:themeColor="text1"/>
          <w:sz w:val="20"/>
          <w:szCs w:val="20"/>
        </w:rPr>
        <w:t xml:space="preserve"> </w:t>
      </w:r>
      <w:proofErr w:type="spellStart"/>
      <w:r w:rsidRPr="00440972">
        <w:rPr>
          <w:rFonts w:ascii="Times New Roman" w:hAnsi="Times New Roman" w:cs="Times New Roman"/>
          <w:i/>
          <w:color w:val="000000" w:themeColor="text1"/>
          <w:sz w:val="20"/>
          <w:szCs w:val="20"/>
        </w:rPr>
        <w:t>Into</w:t>
      </w:r>
      <w:proofErr w:type="spellEnd"/>
      <w:r w:rsidRPr="00440972">
        <w:rPr>
          <w:rFonts w:ascii="Times New Roman" w:hAnsi="Times New Roman" w:cs="Times New Roman"/>
          <w:i/>
          <w:color w:val="000000" w:themeColor="text1"/>
          <w:sz w:val="20"/>
          <w:szCs w:val="20"/>
        </w:rPr>
        <w:t xml:space="preserve"> </w:t>
      </w:r>
      <w:proofErr w:type="spellStart"/>
      <w:r w:rsidRPr="00440972">
        <w:rPr>
          <w:rFonts w:ascii="Times New Roman" w:hAnsi="Times New Roman" w:cs="Times New Roman"/>
          <w:i/>
          <w:color w:val="000000" w:themeColor="text1"/>
          <w:sz w:val="20"/>
          <w:szCs w:val="20"/>
        </w:rPr>
        <w:t>Hades</w:t>
      </w:r>
      <w:proofErr w:type="spellEnd"/>
      <w:r w:rsidRPr="00440972">
        <w:rPr>
          <w:rFonts w:ascii="Times New Roman" w:hAnsi="Times New Roman" w:cs="Times New Roman"/>
          <w:i/>
          <w:color w:val="000000" w:themeColor="text1"/>
          <w:sz w:val="20"/>
          <w:szCs w:val="20"/>
        </w:rPr>
        <w:t>,</w:t>
      </w:r>
      <w:r w:rsidRPr="009975EA">
        <w:rPr>
          <w:rFonts w:ascii="Times New Roman" w:hAnsi="Times New Roman" w:cs="Times New Roman"/>
          <w:color w:val="000000" w:themeColor="text1"/>
          <w:sz w:val="20"/>
          <w:szCs w:val="20"/>
        </w:rPr>
        <w:t xml:space="preserve"> 18 </w:t>
      </w:r>
      <w:proofErr w:type="spellStart"/>
      <w:r w:rsidRPr="009975EA">
        <w:rPr>
          <w:rFonts w:ascii="Times New Roman" w:hAnsi="Times New Roman" w:cs="Times New Roman"/>
          <w:color w:val="000000" w:themeColor="text1"/>
          <w:sz w:val="20"/>
          <w:szCs w:val="20"/>
        </w:rPr>
        <w:t>Am</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Rev</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Int’l</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Arb</w:t>
      </w:r>
      <w:proofErr w:type="spellEnd"/>
      <w:r>
        <w:rPr>
          <w:rFonts w:ascii="Times New Roman" w:hAnsi="Times New Roman" w:cs="Times New Roman"/>
          <w:color w:val="000000" w:themeColor="text1"/>
          <w:sz w:val="20"/>
          <w:szCs w:val="20"/>
        </w:rPr>
        <w:t xml:space="preserve">. 371 (2007), at </w:t>
      </w:r>
      <w:r w:rsidRPr="009975EA">
        <w:rPr>
          <w:rFonts w:ascii="Times New Roman" w:hAnsi="Times New Roman" w:cs="Times New Roman"/>
          <w:color w:val="000000" w:themeColor="text1"/>
          <w:sz w:val="20"/>
          <w:szCs w:val="20"/>
        </w:rPr>
        <w:t xml:space="preserve">412. </w:t>
      </w:r>
    </w:p>
  </w:footnote>
  <w:footnote w:id="442">
    <w:p w14:paraId="3557731C" w14:textId="154181E3" w:rsidR="00D36541" w:rsidRPr="009975EA" w:rsidRDefault="00D36541" w:rsidP="009975EA">
      <w:pPr>
        <w:jc w:val="both"/>
        <w:rPr>
          <w:rFonts w:ascii="Times New Roman" w:eastAsia="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After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all</w:t>
      </w:r>
      <w:proofErr w:type="spellEnd"/>
      <w:r w:rsidRPr="009975EA">
        <w:rPr>
          <w:rFonts w:ascii="Times New Roman" w:hAnsi="Times New Roman" w:cs="Times New Roman"/>
          <w:sz w:val="20"/>
          <w:szCs w:val="20"/>
        </w:rPr>
        <w:t xml:space="preserve"> Del. Gen. </w:t>
      </w:r>
      <w:proofErr w:type="spellStart"/>
      <w:r w:rsidRPr="009975EA">
        <w:rPr>
          <w:rFonts w:ascii="Times New Roman" w:hAnsi="Times New Roman" w:cs="Times New Roman"/>
          <w:sz w:val="20"/>
          <w:szCs w:val="20"/>
        </w:rPr>
        <w:t>Corp</w:t>
      </w:r>
      <w:proofErr w:type="spellEnd"/>
      <w:r w:rsidRPr="009975EA">
        <w:rPr>
          <w:rFonts w:ascii="Times New Roman" w:hAnsi="Times New Roman" w:cs="Times New Roman"/>
          <w:sz w:val="20"/>
          <w:szCs w:val="20"/>
        </w:rPr>
        <w:t xml:space="preserve">. L. </w:t>
      </w:r>
      <w:proofErr w:type="spellStart"/>
      <w:r w:rsidRPr="009975EA">
        <w:rPr>
          <w:rFonts w:ascii="Times New Roman" w:hAnsi="Times New Roman" w:cs="Times New Roman"/>
          <w:sz w:val="20"/>
          <w:szCs w:val="20"/>
        </w:rPr>
        <w:t>Sec</w:t>
      </w:r>
      <w:proofErr w:type="spellEnd"/>
      <w:r w:rsidRPr="009975EA">
        <w:rPr>
          <w:rFonts w:ascii="Times New Roman" w:hAnsi="Times New Roman" w:cs="Times New Roman"/>
          <w:sz w:val="20"/>
          <w:szCs w:val="20"/>
        </w:rPr>
        <w:t xml:space="preserve">. 141(a) has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following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language</w:t>
      </w:r>
      <w:proofErr w:type="spellEnd"/>
      <w:r w:rsidRPr="009975EA">
        <w:rPr>
          <w:rFonts w:ascii="Times New Roman" w:hAnsi="Times New Roman" w:cs="Times New Roman"/>
          <w:sz w:val="20"/>
          <w:szCs w:val="20"/>
        </w:rPr>
        <w:t>: “</w:t>
      </w:r>
      <w:proofErr w:type="spellStart"/>
      <w:r w:rsidRPr="009975EA">
        <w:rPr>
          <w:rFonts w:ascii="Times New Roman" w:eastAsia="Times New Roman" w:hAnsi="Times New Roman" w:cs="Times New Roman"/>
          <w:color w:val="222222"/>
          <w:sz w:val="20"/>
          <w:szCs w:val="20"/>
          <w:shd w:val="clear" w:color="auto" w:fill="FFFFFF"/>
        </w:rPr>
        <w:t>If</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any</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such</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provision</w:t>
      </w:r>
      <w:proofErr w:type="spellEnd"/>
      <w:r w:rsidRPr="009975EA">
        <w:rPr>
          <w:rFonts w:ascii="Times New Roman" w:eastAsia="Times New Roman" w:hAnsi="Times New Roman" w:cs="Times New Roman"/>
          <w:color w:val="222222"/>
          <w:sz w:val="20"/>
          <w:szCs w:val="20"/>
          <w:shd w:val="clear" w:color="auto" w:fill="FFFFFF"/>
        </w:rPr>
        <w:t xml:space="preserve"> is </w:t>
      </w:r>
      <w:proofErr w:type="spellStart"/>
      <w:r w:rsidRPr="009975EA">
        <w:rPr>
          <w:rFonts w:ascii="Times New Roman" w:eastAsia="Times New Roman" w:hAnsi="Times New Roman" w:cs="Times New Roman"/>
          <w:color w:val="222222"/>
          <w:sz w:val="20"/>
          <w:szCs w:val="20"/>
          <w:shd w:val="clear" w:color="auto" w:fill="FFFFFF"/>
        </w:rPr>
        <w:t>made</w:t>
      </w:r>
      <w:proofErr w:type="spellEnd"/>
      <w:r w:rsidRPr="009975EA">
        <w:rPr>
          <w:rFonts w:ascii="Times New Roman" w:eastAsia="Times New Roman" w:hAnsi="Times New Roman" w:cs="Times New Roman"/>
          <w:color w:val="222222"/>
          <w:sz w:val="20"/>
          <w:szCs w:val="20"/>
          <w:shd w:val="clear" w:color="auto" w:fill="FFFFFF"/>
        </w:rPr>
        <w:t xml:space="preserve"> in </w:t>
      </w:r>
      <w:proofErr w:type="spellStart"/>
      <w:r w:rsidRPr="009975EA">
        <w:rPr>
          <w:rFonts w:ascii="Times New Roman" w:eastAsia="Times New Roman" w:hAnsi="Times New Roman" w:cs="Times New Roman"/>
          <w:color w:val="222222"/>
          <w:sz w:val="20"/>
          <w:szCs w:val="20"/>
          <w:shd w:val="clear" w:color="auto" w:fill="FFFFFF"/>
        </w:rPr>
        <w:t>the</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certificate</w:t>
      </w:r>
      <w:proofErr w:type="spellEnd"/>
      <w:r w:rsidRPr="009975EA">
        <w:rPr>
          <w:rFonts w:ascii="Times New Roman" w:eastAsia="Times New Roman" w:hAnsi="Times New Roman" w:cs="Times New Roman"/>
          <w:color w:val="222222"/>
          <w:sz w:val="20"/>
          <w:szCs w:val="20"/>
          <w:shd w:val="clear" w:color="auto" w:fill="FFFFFF"/>
        </w:rPr>
        <w:t xml:space="preserve"> of </w:t>
      </w:r>
      <w:proofErr w:type="spellStart"/>
      <w:r w:rsidRPr="009975EA">
        <w:rPr>
          <w:rFonts w:ascii="Times New Roman" w:eastAsia="Times New Roman" w:hAnsi="Times New Roman" w:cs="Times New Roman"/>
          <w:color w:val="222222"/>
          <w:sz w:val="20"/>
          <w:szCs w:val="20"/>
          <w:shd w:val="clear" w:color="auto" w:fill="FFFFFF"/>
        </w:rPr>
        <w:t>incorporation</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the</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powers</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and</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duties</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conferred</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or</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imposed</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upon</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the</w:t>
      </w:r>
      <w:proofErr w:type="spellEnd"/>
      <w:r w:rsidRPr="009975EA">
        <w:rPr>
          <w:rFonts w:ascii="Times New Roman" w:eastAsia="Times New Roman" w:hAnsi="Times New Roman" w:cs="Times New Roman"/>
          <w:color w:val="222222"/>
          <w:sz w:val="20"/>
          <w:szCs w:val="20"/>
          <w:shd w:val="clear" w:color="auto" w:fill="FFFFFF"/>
        </w:rPr>
        <w:t xml:space="preserve"> board of </w:t>
      </w:r>
      <w:proofErr w:type="spellStart"/>
      <w:r w:rsidRPr="009975EA">
        <w:rPr>
          <w:rFonts w:ascii="Times New Roman" w:eastAsia="Times New Roman" w:hAnsi="Times New Roman" w:cs="Times New Roman"/>
          <w:color w:val="222222"/>
          <w:sz w:val="20"/>
          <w:szCs w:val="20"/>
          <w:shd w:val="clear" w:color="auto" w:fill="FFFFFF"/>
        </w:rPr>
        <w:t>directors</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by</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this</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chapter</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shall</w:t>
      </w:r>
      <w:proofErr w:type="spellEnd"/>
      <w:r w:rsidRPr="009975EA">
        <w:rPr>
          <w:rFonts w:ascii="Times New Roman" w:eastAsia="Times New Roman" w:hAnsi="Times New Roman" w:cs="Times New Roman"/>
          <w:color w:val="222222"/>
          <w:sz w:val="20"/>
          <w:szCs w:val="20"/>
          <w:shd w:val="clear" w:color="auto" w:fill="FFFFFF"/>
        </w:rPr>
        <w:t xml:space="preserve"> be </w:t>
      </w:r>
      <w:proofErr w:type="spellStart"/>
      <w:r w:rsidRPr="009975EA">
        <w:rPr>
          <w:rFonts w:ascii="Times New Roman" w:eastAsia="Times New Roman" w:hAnsi="Times New Roman" w:cs="Times New Roman"/>
          <w:color w:val="222222"/>
          <w:sz w:val="20"/>
          <w:szCs w:val="20"/>
          <w:shd w:val="clear" w:color="auto" w:fill="FFFFFF"/>
        </w:rPr>
        <w:t>exercised</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or</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performed</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to</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such</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extent</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and</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by</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such</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person</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or</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persons</w:t>
      </w:r>
      <w:proofErr w:type="spellEnd"/>
      <w:r w:rsidRPr="009975EA">
        <w:rPr>
          <w:rFonts w:ascii="Times New Roman" w:eastAsia="Times New Roman" w:hAnsi="Times New Roman" w:cs="Times New Roman"/>
          <w:color w:val="222222"/>
          <w:sz w:val="20"/>
          <w:szCs w:val="20"/>
          <w:shd w:val="clear" w:color="auto" w:fill="FFFFFF"/>
        </w:rPr>
        <w:t xml:space="preserve"> as </w:t>
      </w:r>
      <w:proofErr w:type="spellStart"/>
      <w:r w:rsidRPr="009975EA">
        <w:rPr>
          <w:rFonts w:ascii="Times New Roman" w:eastAsia="Times New Roman" w:hAnsi="Times New Roman" w:cs="Times New Roman"/>
          <w:color w:val="222222"/>
          <w:sz w:val="20"/>
          <w:szCs w:val="20"/>
          <w:shd w:val="clear" w:color="auto" w:fill="FFFFFF"/>
        </w:rPr>
        <w:t>shall</w:t>
      </w:r>
      <w:proofErr w:type="spellEnd"/>
      <w:r w:rsidRPr="009975EA">
        <w:rPr>
          <w:rFonts w:ascii="Times New Roman" w:eastAsia="Times New Roman" w:hAnsi="Times New Roman" w:cs="Times New Roman"/>
          <w:color w:val="222222"/>
          <w:sz w:val="20"/>
          <w:szCs w:val="20"/>
          <w:shd w:val="clear" w:color="auto" w:fill="FFFFFF"/>
        </w:rPr>
        <w:t xml:space="preserve"> be </w:t>
      </w:r>
      <w:proofErr w:type="spellStart"/>
      <w:r w:rsidRPr="009975EA">
        <w:rPr>
          <w:rFonts w:ascii="Times New Roman" w:eastAsia="Times New Roman" w:hAnsi="Times New Roman" w:cs="Times New Roman"/>
          <w:color w:val="222222"/>
          <w:sz w:val="20"/>
          <w:szCs w:val="20"/>
          <w:shd w:val="clear" w:color="auto" w:fill="FFFFFF"/>
        </w:rPr>
        <w:t>provided</w:t>
      </w:r>
      <w:proofErr w:type="spellEnd"/>
      <w:r w:rsidRPr="009975EA">
        <w:rPr>
          <w:rFonts w:ascii="Times New Roman" w:eastAsia="Times New Roman" w:hAnsi="Times New Roman" w:cs="Times New Roman"/>
          <w:color w:val="222222"/>
          <w:sz w:val="20"/>
          <w:szCs w:val="20"/>
          <w:shd w:val="clear" w:color="auto" w:fill="FFFFFF"/>
        </w:rPr>
        <w:t xml:space="preserve"> in </w:t>
      </w:r>
      <w:proofErr w:type="spellStart"/>
      <w:r w:rsidRPr="009975EA">
        <w:rPr>
          <w:rFonts w:ascii="Times New Roman" w:eastAsia="Times New Roman" w:hAnsi="Times New Roman" w:cs="Times New Roman"/>
          <w:color w:val="222222"/>
          <w:sz w:val="20"/>
          <w:szCs w:val="20"/>
          <w:shd w:val="clear" w:color="auto" w:fill="FFFFFF"/>
        </w:rPr>
        <w:t>the</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certificate</w:t>
      </w:r>
      <w:proofErr w:type="spellEnd"/>
      <w:r w:rsidRPr="009975EA">
        <w:rPr>
          <w:rFonts w:ascii="Times New Roman" w:eastAsia="Times New Roman" w:hAnsi="Times New Roman" w:cs="Times New Roman"/>
          <w:color w:val="222222"/>
          <w:sz w:val="20"/>
          <w:szCs w:val="20"/>
          <w:shd w:val="clear" w:color="auto" w:fill="FFFFFF"/>
        </w:rPr>
        <w:t xml:space="preserve"> of </w:t>
      </w:r>
      <w:proofErr w:type="spellStart"/>
      <w:r w:rsidRPr="009975EA">
        <w:rPr>
          <w:rFonts w:ascii="Times New Roman" w:eastAsia="Times New Roman" w:hAnsi="Times New Roman" w:cs="Times New Roman"/>
          <w:color w:val="222222"/>
          <w:sz w:val="20"/>
          <w:szCs w:val="20"/>
          <w:shd w:val="clear" w:color="auto" w:fill="FFFFFF"/>
        </w:rPr>
        <w:t>incorporation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Zion</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Kurtz</w:t>
      </w:r>
      <w:proofErr w:type="spellEnd"/>
      <w:r w:rsidRPr="009975EA">
        <w:rPr>
          <w:rFonts w:ascii="Times New Roman" w:hAnsi="Times New Roman" w:cs="Times New Roman"/>
          <w:sz w:val="20"/>
          <w:szCs w:val="20"/>
        </w:rPr>
        <w:t xml:space="preserve">, 50 N.Y.2d 92 (1980),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applying</w:t>
      </w:r>
      <w:proofErr w:type="spellEnd"/>
      <w:r w:rsidRPr="009975EA">
        <w:rPr>
          <w:rFonts w:ascii="Times New Roman" w:hAnsi="Times New Roman" w:cs="Times New Roman"/>
          <w:sz w:val="20"/>
          <w:szCs w:val="20"/>
        </w:rPr>
        <w:t xml:space="preserve"> Delaware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upheld</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provision</w:t>
      </w:r>
      <w:proofErr w:type="spellEnd"/>
      <w:r w:rsidRPr="009975EA">
        <w:rPr>
          <w:rFonts w:ascii="Times New Roman" w:hAnsi="Times New Roman" w:cs="Times New Roman"/>
          <w:sz w:val="20"/>
          <w:szCs w:val="20"/>
        </w:rPr>
        <w:t xml:space="preserve"> of a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agreement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intervenes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management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function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directors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formal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steps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required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statute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amending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articles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incorporation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have</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been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taken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themeColor="text1"/>
          <w:sz w:val="20"/>
          <w:szCs w:val="20"/>
        </w:rPr>
        <w:t>In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addition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this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expectation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regarding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board’s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management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power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will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only</w:t>
      </w:r>
      <w:proofErr w:type="spellEnd"/>
      <w:r w:rsidRPr="009975EA">
        <w:rPr>
          <w:rFonts w:ascii="Times New Roman" w:hAnsi="Times New Roman" w:cs="Times New Roman"/>
          <w:color w:val="000000" w:themeColor="text1"/>
          <w:sz w:val="20"/>
          <w:szCs w:val="20"/>
        </w:rPr>
        <w:t xml:space="preserve"> be a “</w:t>
      </w:r>
      <w:proofErr w:type="spellStart"/>
      <w:r w:rsidRPr="009975EA">
        <w:rPr>
          <w:rFonts w:ascii="Times New Roman" w:hAnsi="Times New Roman" w:cs="Times New Roman"/>
          <w:color w:val="000000" w:themeColor="text1"/>
          <w:sz w:val="20"/>
          <w:szCs w:val="20"/>
        </w:rPr>
        <w:t>reasonable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one</w:t>
      </w:r>
      <w:proofErr w:type="spellEnd"/>
      <w:r w:rsidRPr="009975EA">
        <w:rPr>
          <w:rFonts w:ascii="Times New Roman" w:hAnsi="Times New Roman" w:cs="Times New Roman"/>
          <w:color w:val="000000" w:themeColor="text1"/>
          <w:sz w:val="20"/>
          <w:szCs w:val="20"/>
        </w:rPr>
        <w:t xml:space="preserve"> in Delaware </w:t>
      </w:r>
      <w:proofErr w:type="spellStart"/>
      <w:r w:rsidRPr="009975EA">
        <w:rPr>
          <w:rFonts w:ascii="Times New Roman" w:hAnsi="Times New Roman" w:cs="Times New Roman"/>
          <w:color w:val="000000" w:themeColor="text1"/>
          <w:sz w:val="20"/>
          <w:szCs w:val="20"/>
        </w:rPr>
        <w:t>if</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one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did</w:t>
      </w:r>
      <w:proofErr w:type="spellEnd"/>
      <w:r w:rsidRPr="009975EA">
        <w:rPr>
          <w:rFonts w:ascii="Times New Roman" w:hAnsi="Times New Roman" w:cs="Times New Roman"/>
          <w:color w:val="000000" w:themeColor="text1"/>
          <w:sz w:val="20"/>
          <w:szCs w:val="20"/>
        </w:rPr>
        <w:t xml:space="preserve"> not </w:t>
      </w:r>
      <w:proofErr w:type="spellStart"/>
      <w:r w:rsidRPr="009975EA">
        <w:rPr>
          <w:rFonts w:ascii="Times New Roman" w:hAnsi="Times New Roman" w:cs="Times New Roman"/>
          <w:color w:val="000000" w:themeColor="text1"/>
          <w:sz w:val="20"/>
          <w:szCs w:val="20"/>
        </w:rPr>
        <w:t>elect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close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status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became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one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permitted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managed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stockholders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under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articles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incorporation</w:t>
      </w:r>
      <w:proofErr w:type="spellEnd"/>
      <w:r w:rsidRPr="009975EA">
        <w:rPr>
          <w:rFonts w:ascii="Times New Roman" w:hAnsi="Times New Roman" w:cs="Times New Roman"/>
          <w:color w:val="000000" w:themeColor="text1"/>
          <w:sz w:val="20"/>
          <w:szCs w:val="20"/>
        </w:rPr>
        <w:t xml:space="preserve"> (Del. </w:t>
      </w:r>
      <w:proofErr w:type="spellStart"/>
      <w:r w:rsidRPr="009975EA">
        <w:rPr>
          <w:rFonts w:ascii="Times New Roman" w:hAnsi="Times New Roman" w:cs="Times New Roman"/>
          <w:color w:val="000000" w:themeColor="text1"/>
          <w:sz w:val="20"/>
          <w:szCs w:val="20"/>
        </w:rPr>
        <w:t>Code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Tit</w:t>
      </w:r>
      <w:proofErr w:type="spellEnd"/>
      <w:r w:rsidRPr="009975EA">
        <w:rPr>
          <w:rFonts w:ascii="Times New Roman" w:hAnsi="Times New Roman" w:cs="Times New Roman"/>
          <w:color w:val="000000" w:themeColor="text1"/>
          <w:sz w:val="20"/>
          <w:szCs w:val="20"/>
        </w:rPr>
        <w:t xml:space="preserve">. 8 </w:t>
      </w:r>
      <w:proofErr w:type="spellStart"/>
      <w:r w:rsidRPr="009975EA">
        <w:rPr>
          <w:rFonts w:ascii="Times New Roman" w:hAnsi="Times New Roman" w:cs="Times New Roman"/>
          <w:color w:val="000000" w:themeColor="text1"/>
          <w:sz w:val="20"/>
          <w:szCs w:val="20"/>
        </w:rPr>
        <w:t>Sec</w:t>
      </w:r>
      <w:proofErr w:type="spellEnd"/>
      <w:r w:rsidRPr="009975EA">
        <w:rPr>
          <w:rFonts w:ascii="Times New Roman" w:hAnsi="Times New Roman" w:cs="Times New Roman"/>
          <w:color w:val="000000" w:themeColor="text1"/>
          <w:sz w:val="20"/>
          <w:szCs w:val="20"/>
        </w:rPr>
        <w:t>. 351: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certificate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incorporation</w:t>
      </w:r>
      <w:proofErr w:type="spellEnd"/>
      <w:r w:rsidRPr="009975EA">
        <w:rPr>
          <w:rFonts w:ascii="Times New Roman" w:hAnsi="Times New Roman" w:cs="Times New Roman"/>
          <w:color w:val="000000" w:themeColor="text1"/>
          <w:sz w:val="20"/>
          <w:szCs w:val="20"/>
        </w:rPr>
        <w:t xml:space="preserve"> of a </w:t>
      </w:r>
      <w:proofErr w:type="spellStart"/>
      <w:r w:rsidRPr="009975EA">
        <w:rPr>
          <w:rFonts w:ascii="Times New Roman" w:hAnsi="Times New Roman" w:cs="Times New Roman"/>
          <w:color w:val="000000" w:themeColor="text1"/>
          <w:sz w:val="20"/>
          <w:szCs w:val="20"/>
        </w:rPr>
        <w:t>close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provide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business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shall</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managed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stockholders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rather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a board of </w:t>
      </w:r>
      <w:proofErr w:type="spellStart"/>
      <w:r w:rsidRPr="009975EA">
        <w:rPr>
          <w:rFonts w:ascii="Times New Roman" w:hAnsi="Times New Roman" w:cs="Times New Roman"/>
          <w:color w:val="000000" w:themeColor="text1"/>
          <w:sz w:val="20"/>
          <w:szCs w:val="20"/>
        </w:rPr>
        <w:t>directors</w:t>
      </w:r>
      <w:proofErr w:type="spellEnd"/>
      <w:r w:rsidRPr="009975EA">
        <w:rPr>
          <w:rFonts w:ascii="Times New Roman" w:hAnsi="Times New Roman" w:cs="Times New Roman"/>
          <w:color w:val="000000" w:themeColor="text1"/>
          <w:sz w:val="20"/>
          <w:szCs w:val="20"/>
        </w:rPr>
        <w:t>.”).</w:t>
      </w:r>
    </w:p>
  </w:footnote>
  <w:footnote w:id="443">
    <w:p w14:paraId="60C50575" w14:textId="2A075BFE" w:rsidR="00F05D98" w:rsidRPr="0047452F" w:rsidRDefault="00F05D98" w:rsidP="0047452F">
      <w:pPr>
        <w:pStyle w:val="DipnotMetni"/>
        <w:jc w:val="both"/>
        <w:rPr>
          <w:rFonts w:ascii="Times New Roman" w:hAnsi="Times New Roman" w:cs="Times New Roman"/>
          <w:sz w:val="20"/>
          <w:szCs w:val="20"/>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“…it is agreed that the rights of a shareholder rest on contract; and if the contract, as expressed in the charter, the by- laws, or a statute, plainly requires the construction that in certain  circumstances dividends must be paid, the court will, as it must, adopt that construction and establish the obligation of the directors to declare a dividend, for there is no positive rule of law forbidding such a provision” (</w:t>
      </w:r>
      <w:r w:rsidRPr="00F05D98">
        <w:rPr>
          <w:rFonts w:ascii="Times New Roman" w:hAnsi="Times New Roman" w:cs="Times New Roman"/>
          <w:sz w:val="20"/>
          <w:szCs w:val="20"/>
        </w:rPr>
        <w:t>Crocker v. Waltham Watch Co., 315 Mass. 397 (1944)).</w:t>
      </w:r>
    </w:p>
  </w:footnote>
  <w:footnote w:id="444">
    <w:p w14:paraId="5D2457FC" w14:textId="0235DA18" w:rsidR="00D36541" w:rsidRPr="009975EA" w:rsidRDefault="00D36541" w:rsidP="009975EA">
      <w:pPr>
        <w:widowControl w:val="0"/>
        <w:autoSpaceDE w:val="0"/>
        <w:autoSpaceDN w:val="0"/>
        <w:adjustRightInd w:val="0"/>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important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pecuniary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of a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has is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dividend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right</w:t>
      </w:r>
      <w:proofErr w:type="spellEnd"/>
      <w:r w:rsidRPr="009975EA">
        <w:rPr>
          <w:rFonts w:ascii="Times New Roman" w:hAnsi="Times New Roman" w:cs="Times New Roman"/>
          <w:sz w:val="20"/>
          <w:szCs w:val="20"/>
        </w:rPr>
        <w:t xml:space="preserve">, in a </w:t>
      </w:r>
      <w:proofErr w:type="spellStart"/>
      <w:r w:rsidRPr="009975EA">
        <w:rPr>
          <w:rFonts w:ascii="Times New Roman" w:hAnsi="Times New Roman" w:cs="Times New Roman"/>
          <w:sz w:val="20"/>
          <w:szCs w:val="20"/>
        </w:rPr>
        <w:t>broader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meaning</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first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place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represents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right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work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procure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profit</w:t>
      </w:r>
      <w:proofErr w:type="spellEnd"/>
      <w:r w:rsidRPr="009975EA">
        <w:rPr>
          <w:rFonts w:ascii="Times New Roman" w:hAnsi="Times New Roman" w:cs="Times New Roman"/>
          <w:sz w:val="20"/>
          <w:szCs w:val="20"/>
        </w:rPr>
        <w:t xml:space="preserve">” (Veliye </w:t>
      </w:r>
      <w:proofErr w:type="spellStart"/>
      <w:r w:rsidRPr="009975EA">
        <w:rPr>
          <w:rFonts w:ascii="Times New Roman" w:hAnsi="Times New Roman" w:cs="Times New Roman"/>
          <w:sz w:val="20"/>
          <w:szCs w:val="20"/>
        </w:rPr>
        <w:t>Yanli</w:t>
      </w:r>
      <w:proofErr w:type="spellEnd"/>
      <w:r w:rsidRPr="00440972">
        <w:rPr>
          <w:rFonts w:ascii="Times New Roman" w:hAnsi="Times New Roman" w:cs="Times New Roman"/>
          <w:i/>
          <w:sz w:val="20"/>
          <w:szCs w:val="20"/>
        </w:rPr>
        <w:t xml:space="preserve">, Anonim </w:t>
      </w:r>
      <w:proofErr w:type="spellStart"/>
      <w:r w:rsidRPr="00440972">
        <w:rPr>
          <w:rFonts w:ascii="Times New Roman" w:hAnsi="Times New Roman" w:cs="Times New Roman"/>
          <w:i/>
          <w:sz w:val="20"/>
          <w:szCs w:val="20"/>
        </w:rPr>
        <w:t>Ortakliklarda</w:t>
      </w:r>
      <w:proofErr w:type="spellEnd"/>
      <w:r w:rsidRPr="00440972">
        <w:rPr>
          <w:rFonts w:ascii="Times New Roman" w:hAnsi="Times New Roman" w:cs="Times New Roman"/>
          <w:i/>
          <w:sz w:val="20"/>
          <w:szCs w:val="20"/>
        </w:rPr>
        <w:t xml:space="preserve"> Karin Tamamen Devrine </w:t>
      </w:r>
      <w:proofErr w:type="spellStart"/>
      <w:r w:rsidRPr="00440972">
        <w:rPr>
          <w:rFonts w:ascii="Times New Roman" w:hAnsi="Times New Roman" w:cs="Times New Roman"/>
          <w:i/>
          <w:sz w:val="20"/>
          <w:szCs w:val="20"/>
        </w:rPr>
        <w:t>Iliskin</w:t>
      </w:r>
      <w:proofErr w:type="spellEnd"/>
      <w:r w:rsidRPr="00440972">
        <w:rPr>
          <w:rFonts w:ascii="Times New Roman" w:hAnsi="Times New Roman" w:cs="Times New Roman"/>
          <w:i/>
          <w:sz w:val="20"/>
          <w:szCs w:val="20"/>
        </w:rPr>
        <w:t xml:space="preserve"> Bir Tasarruf </w:t>
      </w:r>
      <w:proofErr w:type="spellStart"/>
      <w:r w:rsidRPr="00440972">
        <w:rPr>
          <w:rFonts w:ascii="Times New Roman" w:hAnsi="Times New Roman" w:cs="Times New Roman"/>
          <w:i/>
          <w:sz w:val="20"/>
          <w:szCs w:val="20"/>
        </w:rPr>
        <w:t>Yapilabilir</w:t>
      </w:r>
      <w:proofErr w:type="spellEnd"/>
      <w:r w:rsidRPr="00440972">
        <w:rPr>
          <w:rFonts w:ascii="Times New Roman" w:hAnsi="Times New Roman" w:cs="Times New Roman"/>
          <w:i/>
          <w:sz w:val="20"/>
          <w:szCs w:val="20"/>
        </w:rPr>
        <w:t xml:space="preserve"> </w:t>
      </w:r>
      <w:proofErr w:type="gramStart"/>
      <w:r w:rsidRPr="00440972">
        <w:rPr>
          <w:rFonts w:ascii="Times New Roman" w:hAnsi="Times New Roman" w:cs="Times New Roman"/>
          <w:i/>
          <w:sz w:val="20"/>
          <w:szCs w:val="20"/>
        </w:rPr>
        <w:t>mi?,</w:t>
      </w:r>
      <w:proofErr w:type="gramEnd"/>
      <w:r>
        <w:rPr>
          <w:rFonts w:ascii="Times New Roman" w:hAnsi="Times New Roman" w:cs="Times New Roman"/>
          <w:sz w:val="20"/>
          <w:szCs w:val="20"/>
        </w:rPr>
        <w:t xml:space="preserve"> IHFM C. LV – S 4 (1997), at </w:t>
      </w:r>
      <w:r w:rsidRPr="009975EA">
        <w:rPr>
          <w:rFonts w:ascii="Times New Roman" w:hAnsi="Times New Roman" w:cs="Times New Roman"/>
          <w:sz w:val="20"/>
          <w:szCs w:val="20"/>
        </w:rPr>
        <w:t xml:space="preserve">201). A </w:t>
      </w:r>
      <w:proofErr w:type="spellStart"/>
      <w:r w:rsidRPr="009975EA">
        <w:rPr>
          <w:rFonts w:ascii="Times New Roman" w:hAnsi="Times New Roman" w:cs="Times New Roman"/>
          <w:sz w:val="20"/>
          <w:szCs w:val="20"/>
        </w:rPr>
        <w:t>similar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notion</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accepted</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U.S.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Eisner</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Macomber</w:t>
      </w:r>
      <w:proofErr w:type="spellEnd"/>
      <w:r w:rsidRPr="009975EA">
        <w:rPr>
          <w:rFonts w:ascii="Times New Roman" w:hAnsi="Times New Roman" w:cs="Times New Roman"/>
          <w:sz w:val="20"/>
          <w:szCs w:val="20"/>
        </w:rPr>
        <w:t xml:space="preserve">, 252 U.S. 189 (1920): </w:t>
      </w:r>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he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his </w:t>
      </w:r>
      <w:proofErr w:type="spellStart"/>
      <w:r w:rsidRPr="009975EA">
        <w:rPr>
          <w:rFonts w:ascii="Times New Roman" w:hAnsi="Times New Roman" w:cs="Times New Roman"/>
          <w:color w:val="000000"/>
          <w:sz w:val="20"/>
          <w:szCs w:val="20"/>
        </w:rPr>
        <w:t>assignors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immediate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remote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contributed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enterprise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he is </w:t>
      </w:r>
      <w:proofErr w:type="spellStart"/>
      <w:r w:rsidRPr="009975EA">
        <w:rPr>
          <w:rFonts w:ascii="Times New Roman" w:hAnsi="Times New Roman" w:cs="Times New Roman"/>
          <w:color w:val="000000"/>
          <w:sz w:val="20"/>
          <w:szCs w:val="20"/>
        </w:rPr>
        <w:t>entitled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corresponding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proportionate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entitled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property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devoted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existence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attainment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objects</w:t>
      </w:r>
      <w:proofErr w:type="spellEnd"/>
      <w:r w:rsidRPr="009975EA">
        <w:rPr>
          <w:rFonts w:ascii="Times New Roman" w:hAnsi="Times New Roman" w:cs="Times New Roman"/>
          <w:color w:val="000000"/>
          <w:sz w:val="20"/>
          <w:szCs w:val="20"/>
        </w:rPr>
        <w:t>…”</w:t>
      </w:r>
    </w:p>
  </w:footnote>
  <w:footnote w:id="445">
    <w:p w14:paraId="2A758B9D" w14:textId="7694317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Accordingly, it is stated that a corporate policy, materialized in a general assembly resolution, to not to declare any dividends or only in small amounts will be void (</w:t>
      </w:r>
      <w:proofErr w:type="spellStart"/>
      <w:r w:rsidRPr="009975EA">
        <w:rPr>
          <w:rFonts w:ascii="Times New Roman" w:hAnsi="Times New Roman" w:cs="Times New Roman"/>
          <w:sz w:val="20"/>
          <w:szCs w:val="20"/>
        </w:rPr>
        <w:t>Unal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Tekinalp</w:t>
      </w:r>
      <w:proofErr w:type="spellEnd"/>
      <w:r w:rsidRPr="009975EA">
        <w:rPr>
          <w:rFonts w:ascii="Times New Roman" w:hAnsi="Times New Roman" w:cs="Times New Roman"/>
          <w:sz w:val="20"/>
          <w:szCs w:val="20"/>
        </w:rPr>
        <w:t xml:space="preserve">, </w:t>
      </w:r>
      <w:r w:rsidRPr="00440972">
        <w:rPr>
          <w:rFonts w:ascii="Times New Roman" w:hAnsi="Times New Roman" w:cs="Times New Roman"/>
          <w:i/>
          <w:sz w:val="20"/>
          <w:szCs w:val="20"/>
        </w:rPr>
        <w:t xml:space="preserve">Yeni </w:t>
      </w:r>
      <w:proofErr w:type="spellStart"/>
      <w:r w:rsidRPr="00440972">
        <w:rPr>
          <w:rFonts w:ascii="Times New Roman" w:hAnsi="Times New Roman" w:cs="Times New Roman"/>
          <w:i/>
          <w:sz w:val="20"/>
          <w:szCs w:val="20"/>
        </w:rPr>
        <w:t>Anonim</w:t>
      </w:r>
      <w:proofErr w:type="spellEnd"/>
      <w:r w:rsidRPr="00440972">
        <w:rPr>
          <w:rFonts w:ascii="Times New Roman" w:hAnsi="Times New Roman" w:cs="Times New Roman"/>
          <w:i/>
          <w:sz w:val="20"/>
          <w:szCs w:val="20"/>
        </w:rPr>
        <w:t xml:space="preserve"> ve Limited </w:t>
      </w:r>
      <w:proofErr w:type="spellStart"/>
      <w:r w:rsidRPr="00440972">
        <w:rPr>
          <w:rFonts w:ascii="Times New Roman" w:hAnsi="Times New Roman" w:cs="Times New Roman"/>
          <w:i/>
          <w:sz w:val="20"/>
          <w:szCs w:val="20"/>
        </w:rPr>
        <w:t>Ortakliklar</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Hukukuku</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ile</w:t>
      </w:r>
      <w:proofErr w:type="spellEnd"/>
      <w:r>
        <w:rPr>
          <w:rFonts w:ascii="Times New Roman" w:hAnsi="Times New Roman" w:cs="Times New Roman"/>
          <w:i/>
          <w:sz w:val="20"/>
          <w:szCs w:val="20"/>
        </w:rPr>
        <w:t xml:space="preserve"> Tek Kisi </w:t>
      </w:r>
      <w:proofErr w:type="spellStart"/>
      <w:r>
        <w:rPr>
          <w:rFonts w:ascii="Times New Roman" w:hAnsi="Times New Roman" w:cs="Times New Roman"/>
          <w:i/>
          <w:sz w:val="20"/>
          <w:szCs w:val="20"/>
        </w:rPr>
        <w:t>Ortakliginin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Esaslari</w:t>
      </w:r>
      <w:proofErr w:type="spellEnd"/>
      <w:r>
        <w:rPr>
          <w:rFonts w:ascii="Times New Roman" w:hAnsi="Times New Roman" w:cs="Times New Roman"/>
          <w:i/>
          <w:sz w:val="20"/>
          <w:szCs w:val="20"/>
        </w:rPr>
        <w:t xml:space="preserve"> </w:t>
      </w:r>
      <w:r>
        <w:rPr>
          <w:rFonts w:ascii="Times New Roman" w:hAnsi="Times New Roman" w:cs="Times New Roman"/>
          <w:sz w:val="20"/>
          <w:szCs w:val="20"/>
        </w:rPr>
        <w:t>203 (</w:t>
      </w:r>
      <w:r w:rsidRPr="009975EA">
        <w:rPr>
          <w:rFonts w:ascii="Times New Roman" w:hAnsi="Times New Roman" w:cs="Times New Roman"/>
          <w:sz w:val="20"/>
          <w:szCs w:val="20"/>
        </w:rPr>
        <w:t>2011</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446">
    <w:p w14:paraId="02CBDBD0" w14:textId="02575F3E" w:rsidR="00D36541" w:rsidRPr="00A255C7" w:rsidRDefault="00D36541" w:rsidP="00A255C7">
      <w:pPr>
        <w:tabs>
          <w:tab w:val="left" w:pos="2025"/>
        </w:tabs>
        <w:jc w:val="both"/>
        <w:rPr>
          <w:rFonts w:ascii="Times New Roman" w:hAnsi="Times New Roman" w:cs="Times New Roman"/>
          <w:bCs/>
          <w:sz w:val="20"/>
          <w:szCs w:val="20"/>
          <w:lang w:val="en-US"/>
        </w:rPr>
      </w:pPr>
      <w:r w:rsidRPr="00A255C7">
        <w:rPr>
          <w:rStyle w:val="DipnotBavurusu"/>
          <w:rFonts w:ascii="Times New Roman" w:hAnsi="Times New Roman" w:cs="Times New Roman"/>
          <w:sz w:val="20"/>
          <w:szCs w:val="20"/>
        </w:rPr>
        <w:footnoteRef/>
      </w:r>
      <w:r w:rsidRPr="00A255C7">
        <w:rPr>
          <w:rFonts w:ascii="Times New Roman" w:hAnsi="Times New Roman" w:cs="Times New Roman"/>
          <w:sz w:val="20"/>
          <w:szCs w:val="20"/>
        </w:rPr>
        <w:t xml:space="preserve"> </w:t>
      </w:r>
      <w:r w:rsidR="00A255C7" w:rsidRPr="00A255C7">
        <w:rPr>
          <w:rFonts w:ascii="Times New Roman" w:hAnsi="Times New Roman" w:cs="Times New Roman"/>
          <w:bCs/>
          <w:sz w:val="20"/>
          <w:szCs w:val="20"/>
          <w:lang w:val="en-US"/>
        </w:rPr>
        <w:t>The conventional approach to protect the minority from the majority’s oppressive acts is to request annulment of general assembly resolutions based on the duty of good faith (</w:t>
      </w:r>
      <w:r w:rsidR="00A255C7" w:rsidRPr="00A255C7">
        <w:rPr>
          <w:rFonts w:ascii="Times New Roman" w:hAnsi="Times New Roman" w:cs="Times New Roman"/>
          <w:sz w:val="20"/>
          <w:szCs w:val="20"/>
        </w:rPr>
        <w:t xml:space="preserve">İsmail Doğanay, </w:t>
      </w:r>
      <w:r w:rsidR="00A255C7" w:rsidRPr="00A255C7">
        <w:rPr>
          <w:rFonts w:ascii="Times New Roman" w:hAnsi="Times New Roman" w:cs="Times New Roman"/>
          <w:i/>
          <w:iCs/>
          <w:sz w:val="20"/>
          <w:szCs w:val="20"/>
        </w:rPr>
        <w:t>Türk Ticaret Kanunu Şerhi C. 1</w:t>
      </w:r>
      <w:r w:rsidR="00A255C7">
        <w:rPr>
          <w:rFonts w:ascii="Times New Roman" w:hAnsi="Times New Roman" w:cs="Times New Roman"/>
          <w:sz w:val="20"/>
          <w:szCs w:val="20"/>
        </w:rPr>
        <w:t xml:space="preserve"> (</w:t>
      </w:r>
      <w:r w:rsidR="00A255C7" w:rsidRPr="00A255C7">
        <w:rPr>
          <w:rFonts w:ascii="Times New Roman" w:hAnsi="Times New Roman" w:cs="Times New Roman"/>
          <w:sz w:val="20"/>
          <w:szCs w:val="20"/>
        </w:rPr>
        <w:t>1990</w:t>
      </w:r>
      <w:r w:rsidR="00A255C7">
        <w:rPr>
          <w:rFonts w:ascii="Times New Roman" w:hAnsi="Times New Roman" w:cs="Times New Roman"/>
          <w:sz w:val="20"/>
          <w:szCs w:val="20"/>
        </w:rPr>
        <w:t>)</w:t>
      </w:r>
      <w:r w:rsidR="00A255C7" w:rsidRPr="00A255C7">
        <w:rPr>
          <w:rFonts w:ascii="Times New Roman" w:hAnsi="Times New Roman" w:cs="Times New Roman"/>
          <w:sz w:val="20"/>
          <w:szCs w:val="20"/>
        </w:rPr>
        <w:t>, s. 990</w:t>
      </w:r>
      <w:r w:rsidR="00A255C7" w:rsidRPr="00A255C7">
        <w:rPr>
          <w:rFonts w:ascii="Times New Roman" w:hAnsi="Times New Roman" w:cs="Times New Roman"/>
          <w:bCs/>
          <w:sz w:val="20"/>
          <w:szCs w:val="20"/>
          <w:lang w:val="en-US"/>
        </w:rPr>
        <w:t>).</w:t>
      </w:r>
      <w:proofErr w:type="spellStart"/>
      <w:r w:rsidRPr="00A255C7">
        <w:rPr>
          <w:rFonts w:ascii="Times New Roman" w:hAnsi="Times New Roman" w:cs="Times New Roman"/>
          <w:sz w:val="20"/>
          <w:szCs w:val="20"/>
        </w:rPr>
        <w:t>The</w:t>
      </w:r>
      <w:proofErr w:type="spellEnd"/>
      <w:r w:rsidRPr="00A255C7">
        <w:rPr>
          <w:rFonts w:ascii="Times New Roman" w:hAnsi="Times New Roman" w:cs="Times New Roman"/>
          <w:sz w:val="20"/>
          <w:szCs w:val="20"/>
        </w:rPr>
        <w:t xml:space="preserve"> </w:t>
      </w:r>
      <w:proofErr w:type="spellStart"/>
      <w:r w:rsidRPr="00A255C7">
        <w:rPr>
          <w:rFonts w:ascii="Times New Roman" w:hAnsi="Times New Roman" w:cs="Times New Roman"/>
          <w:sz w:val="20"/>
          <w:szCs w:val="20"/>
        </w:rPr>
        <w:t>same</w:t>
      </w:r>
      <w:proofErr w:type="spellEnd"/>
      <w:r w:rsidRPr="00A255C7">
        <w:rPr>
          <w:rFonts w:ascii="Times New Roman" w:hAnsi="Times New Roman" w:cs="Times New Roman"/>
          <w:sz w:val="20"/>
          <w:szCs w:val="20"/>
        </w:rPr>
        <w:t xml:space="preserve"> </w:t>
      </w:r>
      <w:proofErr w:type="spellStart"/>
      <w:r w:rsidRPr="00A255C7">
        <w:rPr>
          <w:rFonts w:ascii="Times New Roman" w:hAnsi="Times New Roman" w:cs="Times New Roman"/>
          <w:sz w:val="20"/>
          <w:szCs w:val="20"/>
        </w:rPr>
        <w:t>petition</w:t>
      </w:r>
      <w:proofErr w:type="spellEnd"/>
      <w:r w:rsidRPr="00A255C7">
        <w:rPr>
          <w:rFonts w:ascii="Times New Roman" w:hAnsi="Times New Roman" w:cs="Times New Roman"/>
          <w:sz w:val="20"/>
          <w:szCs w:val="20"/>
        </w:rPr>
        <w:t xml:space="preserve">, </w:t>
      </w:r>
      <w:proofErr w:type="spellStart"/>
      <w:r w:rsidRPr="00A255C7">
        <w:rPr>
          <w:rFonts w:ascii="Times New Roman" w:hAnsi="Times New Roman" w:cs="Times New Roman"/>
          <w:sz w:val="20"/>
          <w:szCs w:val="20"/>
        </w:rPr>
        <w:t>using</w:t>
      </w:r>
      <w:proofErr w:type="spellEnd"/>
      <w:r w:rsidRPr="00A255C7">
        <w:rPr>
          <w:rFonts w:ascii="Times New Roman" w:hAnsi="Times New Roman" w:cs="Times New Roman"/>
          <w:sz w:val="20"/>
          <w:szCs w:val="20"/>
        </w:rPr>
        <w:t xml:space="preserve"> the same grounds, can be presented to the court for the resolutions passed by the board of directors pursuant to Article 460 of TCC in corporations elected to have the authorized capital system and in publicly traded corporations that the board of directors uses the power to declare dividend in advance pursuant to Article 20 (2) of the CML.</w:t>
      </w:r>
    </w:p>
  </w:footnote>
  <w:footnote w:id="447">
    <w:p w14:paraId="102860BA" w14:textId="4F6E206D" w:rsidR="00FF31C9" w:rsidRPr="0047452F" w:rsidRDefault="00FF31C9"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00F37DFD" w:rsidRPr="0047452F">
        <w:rPr>
          <w:rFonts w:ascii="Times New Roman" w:hAnsi="Times New Roman" w:cs="Times New Roman"/>
          <w:sz w:val="20"/>
          <w:szCs w:val="20"/>
        </w:rPr>
        <w:t xml:space="preserve">For a detailed analysis of this principle, see, </w:t>
      </w:r>
      <w:proofErr w:type="spellStart"/>
      <w:r w:rsidR="00F37DFD" w:rsidRPr="0047452F">
        <w:rPr>
          <w:rFonts w:ascii="Times New Roman" w:hAnsi="Times New Roman" w:cs="Times New Roman"/>
          <w:sz w:val="20"/>
          <w:szCs w:val="20"/>
        </w:rPr>
        <w:t>Feyzan</w:t>
      </w:r>
      <w:proofErr w:type="spellEnd"/>
      <w:r w:rsidR="00F37DFD" w:rsidRPr="0047452F">
        <w:rPr>
          <w:rFonts w:ascii="Times New Roman" w:hAnsi="Times New Roman" w:cs="Times New Roman"/>
          <w:sz w:val="20"/>
          <w:szCs w:val="20"/>
        </w:rPr>
        <w:t xml:space="preserve"> </w:t>
      </w:r>
      <w:proofErr w:type="spellStart"/>
      <w:r w:rsidR="00F37DFD" w:rsidRPr="0047452F">
        <w:rPr>
          <w:rFonts w:ascii="Times New Roman" w:hAnsi="Times New Roman" w:cs="Times New Roman"/>
          <w:sz w:val="20"/>
          <w:szCs w:val="20"/>
        </w:rPr>
        <w:t>Hayal</w:t>
      </w:r>
      <w:proofErr w:type="spellEnd"/>
      <w:r w:rsidR="00F37DFD" w:rsidRPr="0047452F">
        <w:rPr>
          <w:rFonts w:ascii="Times New Roman" w:hAnsi="Times New Roman" w:cs="Times New Roman"/>
          <w:sz w:val="20"/>
          <w:szCs w:val="20"/>
        </w:rPr>
        <w:t xml:space="preserve"> </w:t>
      </w:r>
      <w:proofErr w:type="spellStart"/>
      <w:r w:rsidR="00F37DFD" w:rsidRPr="0047452F">
        <w:rPr>
          <w:rFonts w:ascii="Times New Roman" w:hAnsi="Times New Roman" w:cs="Times New Roman"/>
          <w:sz w:val="20"/>
          <w:szCs w:val="20"/>
        </w:rPr>
        <w:t>Şehirali</w:t>
      </w:r>
      <w:proofErr w:type="spellEnd"/>
      <w:r w:rsidR="00F37DFD" w:rsidRPr="0047452F">
        <w:rPr>
          <w:rFonts w:ascii="Times New Roman" w:hAnsi="Times New Roman" w:cs="Times New Roman"/>
          <w:sz w:val="20"/>
          <w:szCs w:val="20"/>
        </w:rPr>
        <w:t xml:space="preserve"> </w:t>
      </w:r>
      <w:proofErr w:type="spellStart"/>
      <w:r w:rsidR="00F37DFD" w:rsidRPr="0047452F">
        <w:rPr>
          <w:rFonts w:ascii="Times New Roman" w:hAnsi="Times New Roman" w:cs="Times New Roman"/>
          <w:sz w:val="20"/>
          <w:szCs w:val="20"/>
        </w:rPr>
        <w:t>Çelik</w:t>
      </w:r>
      <w:proofErr w:type="spellEnd"/>
      <w:r w:rsidR="00F37DFD" w:rsidRPr="0047452F">
        <w:rPr>
          <w:rFonts w:ascii="Times New Roman" w:hAnsi="Times New Roman" w:cs="Times New Roman"/>
          <w:sz w:val="20"/>
          <w:szCs w:val="20"/>
        </w:rPr>
        <w:t xml:space="preserve">, </w:t>
      </w:r>
      <w:r w:rsidR="00F37DFD" w:rsidRPr="0047452F">
        <w:rPr>
          <w:rFonts w:ascii="Times New Roman" w:hAnsi="Times New Roman" w:cs="Times New Roman"/>
          <w:i/>
          <w:iCs/>
          <w:sz w:val="20"/>
          <w:szCs w:val="20"/>
        </w:rPr>
        <w:t xml:space="preserve">TTK m. 408.2 </w:t>
      </w:r>
      <w:proofErr w:type="spellStart"/>
      <w:r w:rsidR="00F37DFD" w:rsidRPr="0047452F">
        <w:rPr>
          <w:rFonts w:ascii="Times New Roman" w:hAnsi="Times New Roman" w:cs="Times New Roman"/>
          <w:i/>
          <w:iCs/>
          <w:sz w:val="20"/>
          <w:szCs w:val="20"/>
        </w:rPr>
        <w:t>Dışında</w:t>
      </w:r>
      <w:proofErr w:type="spellEnd"/>
      <w:r w:rsidR="00F37DFD" w:rsidRPr="0047452F">
        <w:rPr>
          <w:rFonts w:ascii="Times New Roman" w:hAnsi="Times New Roman" w:cs="Times New Roman"/>
          <w:i/>
          <w:iCs/>
          <w:sz w:val="20"/>
          <w:szCs w:val="20"/>
        </w:rPr>
        <w:t xml:space="preserve"> </w:t>
      </w:r>
      <w:proofErr w:type="spellStart"/>
      <w:r w:rsidR="00F37DFD" w:rsidRPr="0047452F">
        <w:rPr>
          <w:rFonts w:ascii="Times New Roman" w:hAnsi="Times New Roman" w:cs="Times New Roman"/>
          <w:i/>
          <w:iCs/>
          <w:sz w:val="20"/>
          <w:szCs w:val="20"/>
        </w:rPr>
        <w:t>Düzenlenen</w:t>
      </w:r>
      <w:proofErr w:type="spellEnd"/>
      <w:r w:rsidR="00F37DFD" w:rsidRPr="0047452F">
        <w:rPr>
          <w:rFonts w:ascii="Times New Roman" w:hAnsi="Times New Roman" w:cs="Times New Roman"/>
          <w:i/>
          <w:iCs/>
          <w:sz w:val="20"/>
          <w:szCs w:val="20"/>
        </w:rPr>
        <w:t xml:space="preserve"> </w:t>
      </w:r>
      <w:proofErr w:type="spellStart"/>
      <w:r w:rsidR="00F37DFD" w:rsidRPr="0047452F">
        <w:rPr>
          <w:rFonts w:ascii="Times New Roman" w:hAnsi="Times New Roman" w:cs="Times New Roman"/>
          <w:i/>
          <w:iCs/>
          <w:sz w:val="20"/>
          <w:szCs w:val="20"/>
        </w:rPr>
        <w:t>Genel</w:t>
      </w:r>
      <w:proofErr w:type="spellEnd"/>
      <w:r w:rsidR="00F37DFD" w:rsidRPr="0047452F">
        <w:rPr>
          <w:rFonts w:ascii="Times New Roman" w:hAnsi="Times New Roman" w:cs="Times New Roman"/>
          <w:i/>
          <w:iCs/>
          <w:sz w:val="20"/>
          <w:szCs w:val="20"/>
        </w:rPr>
        <w:t xml:space="preserve"> </w:t>
      </w:r>
      <w:proofErr w:type="spellStart"/>
      <w:r w:rsidR="00F37DFD" w:rsidRPr="0047452F">
        <w:rPr>
          <w:rFonts w:ascii="Times New Roman" w:hAnsi="Times New Roman" w:cs="Times New Roman"/>
          <w:i/>
          <w:iCs/>
          <w:sz w:val="20"/>
          <w:szCs w:val="20"/>
        </w:rPr>
        <w:t>Kurul</w:t>
      </w:r>
      <w:proofErr w:type="spellEnd"/>
      <w:r w:rsidR="00F37DFD" w:rsidRPr="0047452F">
        <w:rPr>
          <w:rFonts w:ascii="Times New Roman" w:hAnsi="Times New Roman" w:cs="Times New Roman"/>
          <w:i/>
          <w:iCs/>
          <w:sz w:val="20"/>
          <w:szCs w:val="20"/>
        </w:rPr>
        <w:t xml:space="preserve"> </w:t>
      </w:r>
      <w:proofErr w:type="spellStart"/>
      <w:r w:rsidR="00F37DFD" w:rsidRPr="0047452F">
        <w:rPr>
          <w:rFonts w:ascii="Times New Roman" w:hAnsi="Times New Roman" w:cs="Times New Roman"/>
          <w:i/>
          <w:iCs/>
          <w:sz w:val="20"/>
          <w:szCs w:val="20"/>
        </w:rPr>
        <w:t>Yetilerinin</w:t>
      </w:r>
      <w:proofErr w:type="spellEnd"/>
      <w:r w:rsidR="00F37DFD" w:rsidRPr="0047452F">
        <w:rPr>
          <w:rFonts w:ascii="Times New Roman" w:hAnsi="Times New Roman" w:cs="Times New Roman"/>
          <w:i/>
          <w:iCs/>
          <w:sz w:val="20"/>
          <w:szCs w:val="20"/>
        </w:rPr>
        <w:t xml:space="preserve"> </w:t>
      </w:r>
      <w:proofErr w:type="spellStart"/>
      <w:r w:rsidR="00F37DFD" w:rsidRPr="0047452F">
        <w:rPr>
          <w:rFonts w:ascii="Times New Roman" w:hAnsi="Times New Roman" w:cs="Times New Roman"/>
          <w:i/>
          <w:iCs/>
          <w:sz w:val="20"/>
          <w:szCs w:val="20"/>
        </w:rPr>
        <w:t>Devredilmezliği</w:t>
      </w:r>
      <w:proofErr w:type="spellEnd"/>
      <w:r w:rsidR="00F37DFD" w:rsidRPr="0047452F">
        <w:rPr>
          <w:rFonts w:ascii="Times New Roman" w:hAnsi="Times New Roman" w:cs="Times New Roman"/>
          <w:i/>
          <w:iCs/>
          <w:sz w:val="20"/>
          <w:szCs w:val="20"/>
        </w:rPr>
        <w:t xml:space="preserve"> Kural </w:t>
      </w:r>
      <w:proofErr w:type="spellStart"/>
      <w:r w:rsidR="00F37DFD" w:rsidRPr="0047452F">
        <w:rPr>
          <w:rFonts w:ascii="Times New Roman" w:hAnsi="Times New Roman" w:cs="Times New Roman"/>
          <w:i/>
          <w:iCs/>
          <w:sz w:val="20"/>
          <w:szCs w:val="20"/>
        </w:rPr>
        <w:t>mı</w:t>
      </w:r>
      <w:proofErr w:type="spellEnd"/>
      <w:r w:rsidR="00F37DFD" w:rsidRPr="0047452F">
        <w:rPr>
          <w:rFonts w:ascii="Times New Roman" w:hAnsi="Times New Roman" w:cs="Times New Roman"/>
          <w:i/>
          <w:iCs/>
          <w:sz w:val="20"/>
          <w:szCs w:val="20"/>
        </w:rPr>
        <w:t xml:space="preserve">, </w:t>
      </w:r>
      <w:proofErr w:type="spellStart"/>
      <w:r w:rsidR="00F37DFD" w:rsidRPr="0047452F">
        <w:rPr>
          <w:rFonts w:ascii="Times New Roman" w:hAnsi="Times New Roman" w:cs="Times New Roman"/>
          <w:i/>
          <w:iCs/>
          <w:sz w:val="20"/>
          <w:szCs w:val="20"/>
        </w:rPr>
        <w:t>İstisna</w:t>
      </w:r>
      <w:proofErr w:type="spellEnd"/>
      <w:r w:rsidR="00F37DFD" w:rsidRPr="0047452F">
        <w:rPr>
          <w:rFonts w:ascii="Times New Roman" w:hAnsi="Times New Roman" w:cs="Times New Roman"/>
          <w:i/>
          <w:iCs/>
          <w:sz w:val="20"/>
          <w:szCs w:val="20"/>
        </w:rPr>
        <w:t xml:space="preserve"> </w:t>
      </w:r>
      <w:proofErr w:type="spellStart"/>
      <w:proofErr w:type="gramStart"/>
      <w:r w:rsidR="00F37DFD" w:rsidRPr="0047452F">
        <w:rPr>
          <w:rFonts w:ascii="Times New Roman" w:hAnsi="Times New Roman" w:cs="Times New Roman"/>
          <w:i/>
          <w:iCs/>
          <w:sz w:val="20"/>
          <w:szCs w:val="20"/>
        </w:rPr>
        <w:t>mı</w:t>
      </w:r>
      <w:proofErr w:type="spellEnd"/>
      <w:r w:rsidR="00F37DFD" w:rsidRPr="0047452F">
        <w:rPr>
          <w:rFonts w:ascii="Times New Roman" w:hAnsi="Times New Roman" w:cs="Times New Roman"/>
          <w:i/>
          <w:iCs/>
          <w:sz w:val="20"/>
          <w:szCs w:val="20"/>
        </w:rPr>
        <w:t>?</w:t>
      </w:r>
      <w:r w:rsidR="00F37DFD" w:rsidRPr="0047452F">
        <w:rPr>
          <w:rFonts w:ascii="Times New Roman" w:hAnsi="Times New Roman" w:cs="Times New Roman"/>
          <w:sz w:val="20"/>
          <w:szCs w:val="20"/>
        </w:rPr>
        <w:t>,</w:t>
      </w:r>
      <w:proofErr w:type="gramEnd"/>
      <w:r w:rsidR="00F37DFD" w:rsidRPr="0047452F">
        <w:rPr>
          <w:rFonts w:ascii="Times New Roman" w:hAnsi="Times New Roman" w:cs="Times New Roman"/>
          <w:sz w:val="20"/>
          <w:szCs w:val="20"/>
        </w:rPr>
        <w:t xml:space="preserve"> Prof. Dr. Hikmet Sami </w:t>
      </w:r>
      <w:proofErr w:type="spellStart"/>
      <w:r w:rsidR="00F37DFD" w:rsidRPr="0047452F">
        <w:rPr>
          <w:rFonts w:ascii="Times New Roman" w:hAnsi="Times New Roman" w:cs="Times New Roman"/>
          <w:sz w:val="20"/>
          <w:szCs w:val="20"/>
        </w:rPr>
        <w:t>Türk’e</w:t>
      </w:r>
      <w:proofErr w:type="spellEnd"/>
      <w:r w:rsidR="00F37DFD" w:rsidRPr="0047452F">
        <w:rPr>
          <w:rFonts w:ascii="Times New Roman" w:hAnsi="Times New Roman" w:cs="Times New Roman"/>
          <w:sz w:val="20"/>
          <w:szCs w:val="20"/>
        </w:rPr>
        <w:t xml:space="preserve"> </w:t>
      </w:r>
      <w:proofErr w:type="spellStart"/>
      <w:r w:rsidR="00F37DFD" w:rsidRPr="0047452F">
        <w:rPr>
          <w:rFonts w:ascii="Times New Roman" w:hAnsi="Times New Roman" w:cs="Times New Roman"/>
          <w:sz w:val="20"/>
          <w:szCs w:val="20"/>
        </w:rPr>
        <w:t>Armağan</w:t>
      </w:r>
      <w:proofErr w:type="spellEnd"/>
      <w:r w:rsidR="00F37DFD" w:rsidRPr="0047452F">
        <w:rPr>
          <w:rFonts w:ascii="Times New Roman" w:hAnsi="Times New Roman" w:cs="Times New Roman"/>
          <w:sz w:val="20"/>
          <w:szCs w:val="20"/>
        </w:rPr>
        <w:t xml:space="preserve"> (2017)</w:t>
      </w:r>
      <w:r w:rsidR="00F37DFD">
        <w:rPr>
          <w:rFonts w:ascii="Times New Roman" w:hAnsi="Times New Roman" w:cs="Times New Roman"/>
          <w:sz w:val="20"/>
          <w:szCs w:val="20"/>
        </w:rPr>
        <w:t>, p.</w:t>
      </w:r>
      <w:r w:rsidR="00F37DFD" w:rsidRPr="0047452F">
        <w:rPr>
          <w:rFonts w:ascii="Times New Roman" w:hAnsi="Times New Roman" w:cs="Times New Roman"/>
          <w:sz w:val="20"/>
          <w:szCs w:val="20"/>
        </w:rPr>
        <w:t xml:space="preserve"> 643- 667. </w:t>
      </w:r>
    </w:p>
  </w:footnote>
  <w:footnote w:id="448">
    <w:p w14:paraId="221BF3B5" w14:textId="42FBE62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Brian M. McCall, </w:t>
      </w:r>
      <w:r w:rsidRPr="00440972">
        <w:rPr>
          <w:rFonts w:ascii="Times New Roman" w:hAnsi="Times New Roman" w:cs="Times New Roman"/>
          <w:i/>
          <w:sz w:val="20"/>
          <w:szCs w:val="20"/>
        </w:rPr>
        <w:t xml:space="preserve">The </w:t>
      </w:r>
      <w:proofErr w:type="spellStart"/>
      <w:r w:rsidRPr="00440972">
        <w:rPr>
          <w:rFonts w:ascii="Times New Roman" w:hAnsi="Times New Roman" w:cs="Times New Roman"/>
          <w:i/>
          <w:sz w:val="20"/>
          <w:szCs w:val="20"/>
        </w:rPr>
        <w:t>Corporaton</w:t>
      </w:r>
      <w:proofErr w:type="spellEnd"/>
      <w:r w:rsidRPr="00440972">
        <w:rPr>
          <w:rFonts w:ascii="Times New Roman" w:hAnsi="Times New Roman" w:cs="Times New Roman"/>
          <w:i/>
          <w:sz w:val="20"/>
          <w:szCs w:val="20"/>
        </w:rPr>
        <w:t xml:space="preserve"> as Imperfect Society</w:t>
      </w:r>
      <w:r w:rsidRPr="009975EA">
        <w:rPr>
          <w:rFonts w:ascii="Times New Roman" w:hAnsi="Times New Roman" w:cs="Times New Roman"/>
          <w:sz w:val="20"/>
          <w:szCs w:val="20"/>
        </w:rPr>
        <w:t>, 36</w:t>
      </w:r>
      <w:r>
        <w:rPr>
          <w:rFonts w:ascii="Times New Roman" w:hAnsi="Times New Roman" w:cs="Times New Roman"/>
          <w:sz w:val="20"/>
          <w:szCs w:val="20"/>
        </w:rPr>
        <w:t xml:space="preserve"> Del. J. Corp. L. 509 (2011) at </w:t>
      </w:r>
      <w:r w:rsidRPr="009975EA">
        <w:rPr>
          <w:rFonts w:ascii="Times New Roman" w:hAnsi="Times New Roman" w:cs="Times New Roman"/>
          <w:sz w:val="20"/>
          <w:szCs w:val="20"/>
        </w:rPr>
        <w:t xml:space="preserve">535. Baltimore &amp; P.R. Co. v. Fifth Baptist Church, 108 U.S. 317 (1883): “Private corporations are but associations of individuals united for some common </w:t>
      </w:r>
      <w:proofErr w:type="gramStart"/>
      <w:r w:rsidRPr="009975EA">
        <w:rPr>
          <w:rFonts w:ascii="Times New Roman" w:hAnsi="Times New Roman" w:cs="Times New Roman"/>
          <w:sz w:val="20"/>
          <w:szCs w:val="20"/>
        </w:rPr>
        <w:t>purpose, and</w:t>
      </w:r>
      <w:proofErr w:type="gramEnd"/>
      <w:r w:rsidRPr="009975EA">
        <w:rPr>
          <w:rFonts w:ascii="Times New Roman" w:hAnsi="Times New Roman" w:cs="Times New Roman"/>
          <w:sz w:val="20"/>
          <w:szCs w:val="20"/>
        </w:rPr>
        <w:t xml:space="preserve"> permitted by the law to use a common name, and to change its members without a dissolution of the association.”</w:t>
      </w:r>
    </w:p>
  </w:footnote>
  <w:footnote w:id="449">
    <w:p w14:paraId="6C00CB9B" w14:textId="4353FAD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Geddes v. Anaconda Copper Mining Co., 254 U.S. 590 (1921).</w:t>
      </w:r>
    </w:p>
  </w:footnote>
  <w:footnote w:id="450">
    <w:p w14:paraId="39B728A1" w14:textId="2CABD1C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As noted in the seminal case U.S. case, Dodge v. Ford Motor Co. 204 Mich. 459 (1919), “</w:t>
      </w:r>
      <w:r w:rsidRPr="009975EA">
        <w:rPr>
          <w:rFonts w:ascii="Times New Roman" w:hAnsi="Times New Roman" w:cs="Times New Roman"/>
          <w:color w:val="000000"/>
          <w:sz w:val="20"/>
          <w:szCs w:val="20"/>
        </w:rPr>
        <w:t xml:space="preserve">A business corporation is organized and carried on primarily for the profit of the stockholders. The powers of the directors are to be employed </w:t>
      </w:r>
      <w:proofErr w:type="spellStart"/>
      <w:r w:rsidRPr="009975EA">
        <w:rPr>
          <w:rFonts w:ascii="Times New Roman" w:hAnsi="Times New Roman" w:cs="Times New Roman"/>
          <w:color w:val="000000"/>
          <w:sz w:val="20"/>
          <w:szCs w:val="20"/>
        </w:rPr>
        <w:t>fort hat</w:t>
      </w:r>
      <w:proofErr w:type="spellEnd"/>
      <w:r w:rsidRPr="009975EA">
        <w:rPr>
          <w:rFonts w:ascii="Times New Roman" w:hAnsi="Times New Roman" w:cs="Times New Roman"/>
          <w:color w:val="000000"/>
          <w:sz w:val="20"/>
          <w:szCs w:val="20"/>
        </w:rPr>
        <w:t xml:space="preserve"> end. The discretion of directors is to be exercised in the choice of means to attain that </w:t>
      </w:r>
      <w:proofErr w:type="gramStart"/>
      <w:r w:rsidRPr="009975EA">
        <w:rPr>
          <w:rFonts w:ascii="Times New Roman" w:hAnsi="Times New Roman" w:cs="Times New Roman"/>
          <w:color w:val="000000"/>
          <w:sz w:val="20"/>
          <w:szCs w:val="20"/>
        </w:rPr>
        <w:t>end, and</w:t>
      </w:r>
      <w:proofErr w:type="gramEnd"/>
      <w:r w:rsidRPr="009975EA">
        <w:rPr>
          <w:rFonts w:ascii="Times New Roman" w:hAnsi="Times New Roman" w:cs="Times New Roman"/>
          <w:color w:val="000000"/>
          <w:sz w:val="20"/>
          <w:szCs w:val="20"/>
        </w:rPr>
        <w:t xml:space="preserve"> does not extend to a change in the end itself…”.</w:t>
      </w:r>
    </w:p>
  </w:footnote>
  <w:footnote w:id="451">
    <w:p w14:paraId="781DE61E" w14:textId="77777777" w:rsidR="00D36541" w:rsidRPr="009975EA" w:rsidRDefault="00D36541" w:rsidP="009975EA">
      <w:pPr>
        <w:pStyle w:val="DipnotMetni"/>
        <w:tabs>
          <w:tab w:val="left" w:pos="2067"/>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McCall, p.545.</w:t>
      </w:r>
      <w:r w:rsidRPr="009975EA">
        <w:rPr>
          <w:rFonts w:ascii="Times New Roman" w:hAnsi="Times New Roman" w:cs="Times New Roman"/>
          <w:sz w:val="20"/>
          <w:szCs w:val="20"/>
        </w:rPr>
        <w:tab/>
      </w:r>
    </w:p>
  </w:footnote>
  <w:footnote w:id="452">
    <w:p w14:paraId="7BBED0DB" w14:textId="218C157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Austin v. Michigan Chamber of Commerce, 494 U.S. 652 (1990). </w:t>
      </w:r>
    </w:p>
  </w:footnote>
  <w:footnote w:id="453">
    <w:p w14:paraId="59420373" w14:textId="0F961A3F"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People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opposed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contributors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ideological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profits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Citizens</w:t>
      </w:r>
      <w:proofErr w:type="spellEnd"/>
      <w:r w:rsidRPr="009975EA">
        <w:rPr>
          <w:rFonts w:ascii="Times New Roman" w:hAnsi="Times New Roman" w:cs="Times New Roman"/>
          <w:color w:val="000000"/>
          <w:sz w:val="20"/>
          <w:szCs w:val="20"/>
        </w:rPr>
        <w:t xml:space="preserve"> United </w:t>
      </w:r>
      <w:proofErr w:type="spellStart"/>
      <w:r w:rsidRPr="009975EA">
        <w:rPr>
          <w:rFonts w:ascii="Times New Roman" w:hAnsi="Times New Roman" w:cs="Times New Roman"/>
          <w:color w:val="000000"/>
          <w:sz w:val="20"/>
          <w:szCs w:val="20"/>
        </w:rPr>
        <w:t>itself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represented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typically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authorize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money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help</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candidates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federal </w:t>
      </w:r>
      <w:proofErr w:type="spellStart"/>
      <w:r w:rsidRPr="009975EA">
        <w:rPr>
          <w:rFonts w:ascii="Times New Roman" w:hAnsi="Times New Roman" w:cs="Times New Roman"/>
          <w:color w:val="000000"/>
          <w:sz w:val="20"/>
          <w:szCs w:val="20"/>
        </w:rPr>
        <w:t>office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hinder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efforts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others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vying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positions</w:t>
      </w:r>
      <w:proofErr w:type="spellEnd"/>
      <w:r w:rsidRPr="009975EA">
        <w:rPr>
          <w:rFonts w:ascii="Times New Roman" w:hAnsi="Times New Roman" w:cs="Times New Roman"/>
          <w:color w:val="000000"/>
          <w:sz w:val="20"/>
          <w:szCs w:val="20"/>
        </w:rPr>
        <w:t xml:space="preserve"> of federal </w:t>
      </w:r>
      <w:proofErr w:type="spellStart"/>
      <w:r w:rsidRPr="009975EA">
        <w:rPr>
          <w:rFonts w:ascii="Times New Roman" w:hAnsi="Times New Roman" w:cs="Times New Roman"/>
          <w:color w:val="000000"/>
          <w:sz w:val="20"/>
          <w:szCs w:val="20"/>
        </w:rPr>
        <w:t>authority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Talking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about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merely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individuals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choose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organize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association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pursue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expressive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aims</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worse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unrealistic</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obscures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very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injustice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distortion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entailed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phenomenon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people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people’s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money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support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candidates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support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candidates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oppose</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Laurence</w:t>
      </w:r>
      <w:proofErr w:type="spellEnd"/>
      <w:r w:rsidRPr="009975EA">
        <w:rPr>
          <w:rFonts w:ascii="Times New Roman" w:hAnsi="Times New Roman" w:cs="Times New Roman"/>
          <w:sz w:val="20"/>
          <w:szCs w:val="20"/>
        </w:rPr>
        <w:t xml:space="preserve"> H. </w:t>
      </w:r>
      <w:proofErr w:type="spellStart"/>
      <w:r w:rsidRPr="009975EA">
        <w:rPr>
          <w:rFonts w:ascii="Times New Roman" w:hAnsi="Times New Roman" w:cs="Times New Roman"/>
          <w:sz w:val="20"/>
          <w:szCs w:val="20"/>
        </w:rPr>
        <w:t>Tribe</w:t>
      </w:r>
      <w:proofErr w:type="spellEnd"/>
      <w:r w:rsidRPr="009975EA">
        <w:rPr>
          <w:rFonts w:ascii="Times New Roman" w:hAnsi="Times New Roman" w:cs="Times New Roman"/>
          <w:sz w:val="20"/>
          <w:szCs w:val="20"/>
        </w:rPr>
        <w:t>, “</w:t>
      </w:r>
      <w:proofErr w:type="spellStart"/>
      <w:r w:rsidRPr="00440972">
        <w:rPr>
          <w:rFonts w:ascii="Times New Roman" w:hAnsi="Times New Roman" w:cs="Times New Roman"/>
          <w:i/>
          <w:sz w:val="20"/>
          <w:szCs w:val="20"/>
        </w:rPr>
        <w:t>Laurence</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Tribe</w:t>
      </w:r>
      <w:proofErr w:type="spellEnd"/>
      <w:r w:rsidRPr="00440972">
        <w:rPr>
          <w:rFonts w:ascii="Times New Roman" w:hAnsi="Times New Roman" w:cs="Times New Roman"/>
          <w:i/>
          <w:sz w:val="20"/>
          <w:szCs w:val="20"/>
        </w:rPr>
        <w:t xml:space="preserve"> on </w:t>
      </w:r>
      <w:proofErr w:type="spellStart"/>
      <w:r w:rsidRPr="00440972">
        <w:rPr>
          <w:rFonts w:ascii="Times New Roman" w:hAnsi="Times New Roman" w:cs="Times New Roman"/>
          <w:i/>
          <w:sz w:val="20"/>
          <w:szCs w:val="20"/>
        </w:rPr>
        <w:t>Citizens</w:t>
      </w:r>
      <w:proofErr w:type="spellEnd"/>
      <w:r w:rsidRPr="00440972">
        <w:rPr>
          <w:rFonts w:ascii="Times New Roman" w:hAnsi="Times New Roman" w:cs="Times New Roman"/>
          <w:i/>
          <w:sz w:val="20"/>
          <w:szCs w:val="20"/>
        </w:rPr>
        <w:t xml:space="preserve"> United v. Federal </w:t>
      </w:r>
      <w:proofErr w:type="spellStart"/>
      <w:r w:rsidRPr="00440972">
        <w:rPr>
          <w:rFonts w:ascii="Times New Roman" w:hAnsi="Times New Roman" w:cs="Times New Roman"/>
          <w:i/>
          <w:sz w:val="20"/>
          <w:szCs w:val="20"/>
        </w:rPr>
        <w:t>Election</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Commission</w:t>
      </w:r>
      <w:proofErr w:type="spellEnd"/>
      <w:r w:rsidRPr="00440972">
        <w:rPr>
          <w:rFonts w:ascii="Times New Roman" w:hAnsi="Times New Roman" w:cs="Times New Roman"/>
          <w:i/>
          <w:sz w:val="20"/>
          <w:szCs w:val="20"/>
        </w:rPr>
        <w:t>”</w:t>
      </w:r>
      <w:r w:rsidRPr="009975EA">
        <w:rPr>
          <w:rFonts w:ascii="Times New Roman" w:hAnsi="Times New Roman" w:cs="Times New Roman"/>
          <w:sz w:val="20"/>
          <w:szCs w:val="20"/>
        </w:rPr>
        <w:t xml:space="preserve">, Harvard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Today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January</w:t>
      </w:r>
      <w:proofErr w:type="spellEnd"/>
      <w:r w:rsidRPr="009975EA">
        <w:rPr>
          <w:rFonts w:ascii="Times New Roman" w:hAnsi="Times New Roman" w:cs="Times New Roman"/>
          <w:sz w:val="20"/>
          <w:szCs w:val="20"/>
        </w:rPr>
        <w:t xml:space="preserve"> 25, 2010, </w:t>
      </w:r>
      <w:hyperlink r:id="rId67" w:history="1">
        <w:r w:rsidRPr="009975EA">
          <w:rPr>
            <w:rStyle w:val="Kpr"/>
            <w:rFonts w:ascii="Times New Roman" w:hAnsi="Times New Roman" w:cs="Times New Roman"/>
            <w:sz w:val="20"/>
            <w:szCs w:val="20"/>
          </w:rPr>
          <w:t>http://today.law.harvard.edu/laurence-tribe-on-citizens-united-v-federal-election-commission/</w:t>
        </w:r>
      </w:hyperlink>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visited</w:t>
      </w:r>
      <w:proofErr w:type="spellEnd"/>
      <w:r w:rsidRPr="009975EA">
        <w:rPr>
          <w:rFonts w:ascii="Times New Roman" w:hAnsi="Times New Roman" w:cs="Times New Roman"/>
          <w:sz w:val="20"/>
          <w:szCs w:val="20"/>
        </w:rPr>
        <w:t>: 10/10/2016)</w:t>
      </w:r>
    </w:p>
  </w:footnote>
  <w:footnote w:id="454">
    <w:p w14:paraId="2ABC62BA" w14:textId="00ECD43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2005/10060 K. 2006/13738 T. 21/12/2006.</w:t>
      </w:r>
    </w:p>
  </w:footnote>
  <w:footnote w:id="455">
    <w:p w14:paraId="423BFCBB" w14:textId="4348147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Yanli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Ortakliklarda</w:t>
      </w:r>
      <w:proofErr w:type="spellEnd"/>
      <w:r w:rsidRPr="009975EA">
        <w:rPr>
          <w:rFonts w:ascii="Times New Roman" w:hAnsi="Times New Roman" w:cs="Times New Roman"/>
          <w:sz w:val="20"/>
          <w:szCs w:val="20"/>
        </w:rPr>
        <w:t xml:space="preserve"> Karin </w:t>
      </w:r>
      <w:proofErr w:type="spellStart"/>
      <w:r w:rsidRPr="009975EA">
        <w:rPr>
          <w:rFonts w:ascii="Times New Roman" w:hAnsi="Times New Roman" w:cs="Times New Roman"/>
          <w:sz w:val="20"/>
          <w:szCs w:val="20"/>
        </w:rPr>
        <w:t>Tama</w:t>
      </w:r>
      <w:r>
        <w:rPr>
          <w:rFonts w:ascii="Times New Roman" w:hAnsi="Times New Roman" w:cs="Times New Roman"/>
          <w:sz w:val="20"/>
          <w:szCs w:val="20"/>
        </w:rPr>
        <w:t>men</w:t>
      </w:r>
      <w:proofErr w:type="spellEnd"/>
      <w:r>
        <w:rPr>
          <w:rFonts w:ascii="Times New Roman" w:hAnsi="Times New Roman" w:cs="Times New Roman"/>
          <w:sz w:val="20"/>
          <w:szCs w:val="20"/>
        </w:rPr>
        <w:t xml:space="preserve">, </w:t>
      </w:r>
      <w:r w:rsidRPr="009975EA">
        <w:rPr>
          <w:rFonts w:ascii="Times New Roman" w:hAnsi="Times New Roman" w:cs="Times New Roman"/>
          <w:sz w:val="20"/>
          <w:szCs w:val="20"/>
        </w:rPr>
        <w:t>p.210.</w:t>
      </w:r>
    </w:p>
  </w:footnote>
  <w:footnote w:id="456">
    <w:p w14:paraId="539990D8"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Poroy/</w:t>
      </w:r>
      <w:proofErr w:type="spellStart"/>
      <w:r w:rsidRPr="009975EA">
        <w:rPr>
          <w:rFonts w:ascii="Times New Roman" w:hAnsi="Times New Roman" w:cs="Times New Roman"/>
          <w:sz w:val="20"/>
          <w:szCs w:val="20"/>
        </w:rPr>
        <w:t>Tekinalp</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p.212.  </w:t>
      </w:r>
    </w:p>
  </w:footnote>
  <w:footnote w:id="457">
    <w:p w14:paraId="2E89154F" w14:textId="29182F4C" w:rsidR="000D09D5" w:rsidRPr="0047452F" w:rsidRDefault="000D09D5">
      <w:pPr>
        <w:pStyle w:val="DipnotMetni"/>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proofErr w:type="spellStart"/>
      <w:r w:rsidR="00F37DFD" w:rsidRPr="0047452F">
        <w:rPr>
          <w:rFonts w:ascii="Times New Roman" w:hAnsi="Times New Roman" w:cs="Times New Roman"/>
          <w:sz w:val="20"/>
          <w:szCs w:val="20"/>
        </w:rPr>
        <w:t>Sevilay</w:t>
      </w:r>
      <w:proofErr w:type="spellEnd"/>
      <w:r w:rsidR="00F37DFD" w:rsidRPr="0047452F">
        <w:rPr>
          <w:rFonts w:ascii="Times New Roman" w:hAnsi="Times New Roman" w:cs="Times New Roman"/>
          <w:sz w:val="20"/>
          <w:szCs w:val="20"/>
        </w:rPr>
        <w:t xml:space="preserve"> </w:t>
      </w:r>
      <w:proofErr w:type="spellStart"/>
      <w:r w:rsidR="00F37DFD" w:rsidRPr="0047452F">
        <w:rPr>
          <w:rFonts w:ascii="Times New Roman" w:hAnsi="Times New Roman" w:cs="Times New Roman"/>
          <w:sz w:val="20"/>
          <w:szCs w:val="20"/>
        </w:rPr>
        <w:t>Uzunallı</w:t>
      </w:r>
      <w:proofErr w:type="spellEnd"/>
      <w:r w:rsidR="00F37DFD" w:rsidRPr="0047452F">
        <w:rPr>
          <w:rFonts w:ascii="Times New Roman" w:hAnsi="Times New Roman" w:cs="Times New Roman"/>
          <w:sz w:val="20"/>
          <w:szCs w:val="20"/>
        </w:rPr>
        <w:t xml:space="preserve">, </w:t>
      </w:r>
      <w:proofErr w:type="spellStart"/>
      <w:r w:rsidR="00F37DFD" w:rsidRPr="0047452F">
        <w:rPr>
          <w:rFonts w:ascii="Times New Roman" w:hAnsi="Times New Roman" w:cs="Times New Roman"/>
          <w:sz w:val="20"/>
          <w:szCs w:val="20"/>
        </w:rPr>
        <w:t>Anonim</w:t>
      </w:r>
      <w:proofErr w:type="spellEnd"/>
      <w:r w:rsidR="00F37DFD" w:rsidRPr="0047452F">
        <w:rPr>
          <w:rFonts w:ascii="Times New Roman" w:hAnsi="Times New Roman" w:cs="Times New Roman"/>
          <w:sz w:val="20"/>
          <w:szCs w:val="20"/>
        </w:rPr>
        <w:t xml:space="preserve"> </w:t>
      </w:r>
      <w:proofErr w:type="spellStart"/>
      <w:r w:rsidR="00F37DFD" w:rsidRPr="0047452F">
        <w:rPr>
          <w:rFonts w:ascii="Times New Roman" w:hAnsi="Times New Roman" w:cs="Times New Roman"/>
          <w:sz w:val="20"/>
          <w:szCs w:val="20"/>
        </w:rPr>
        <w:t>Şirkette</w:t>
      </w:r>
      <w:proofErr w:type="spellEnd"/>
      <w:r w:rsidR="00F37DFD" w:rsidRPr="0047452F">
        <w:rPr>
          <w:rFonts w:ascii="Times New Roman" w:hAnsi="Times New Roman" w:cs="Times New Roman"/>
          <w:sz w:val="20"/>
          <w:szCs w:val="20"/>
        </w:rPr>
        <w:t xml:space="preserve"> </w:t>
      </w:r>
      <w:proofErr w:type="spellStart"/>
      <w:r w:rsidR="00F37DFD" w:rsidRPr="0047452F">
        <w:rPr>
          <w:rFonts w:ascii="Times New Roman" w:hAnsi="Times New Roman" w:cs="Times New Roman"/>
          <w:sz w:val="20"/>
          <w:szCs w:val="20"/>
        </w:rPr>
        <w:t>İşletme</w:t>
      </w:r>
      <w:proofErr w:type="spellEnd"/>
      <w:r w:rsidR="00F37DFD" w:rsidRPr="0047452F">
        <w:rPr>
          <w:rFonts w:ascii="Times New Roman" w:hAnsi="Times New Roman" w:cs="Times New Roman"/>
          <w:sz w:val="20"/>
          <w:szCs w:val="20"/>
        </w:rPr>
        <w:t xml:space="preserve"> </w:t>
      </w:r>
      <w:proofErr w:type="spellStart"/>
      <w:r w:rsidR="00F37DFD" w:rsidRPr="0047452F">
        <w:rPr>
          <w:rFonts w:ascii="Times New Roman" w:hAnsi="Times New Roman" w:cs="Times New Roman"/>
          <w:sz w:val="20"/>
          <w:szCs w:val="20"/>
        </w:rPr>
        <w:t>Konusu</w:t>
      </w:r>
      <w:proofErr w:type="spellEnd"/>
      <w:r w:rsidR="00F37DFD" w:rsidRPr="0047452F">
        <w:rPr>
          <w:rFonts w:ascii="Times New Roman" w:hAnsi="Times New Roman" w:cs="Times New Roman"/>
          <w:sz w:val="20"/>
          <w:szCs w:val="20"/>
        </w:rPr>
        <w:t xml:space="preserve"> (2013), </w:t>
      </w:r>
      <w:r w:rsidR="00F37DFD">
        <w:rPr>
          <w:rFonts w:ascii="Times New Roman" w:hAnsi="Times New Roman" w:cs="Times New Roman"/>
          <w:sz w:val="20"/>
          <w:szCs w:val="20"/>
        </w:rPr>
        <w:t>p.</w:t>
      </w:r>
      <w:r w:rsidR="00F37DFD" w:rsidRPr="0047452F">
        <w:rPr>
          <w:rFonts w:ascii="Times New Roman" w:hAnsi="Times New Roman" w:cs="Times New Roman"/>
          <w:sz w:val="20"/>
          <w:szCs w:val="20"/>
        </w:rPr>
        <w:t xml:space="preserve"> 7.</w:t>
      </w:r>
    </w:p>
  </w:footnote>
  <w:footnote w:id="458">
    <w:p w14:paraId="455692CC" w14:textId="35CB452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Pulasli</w:t>
      </w:r>
      <w:proofErr w:type="spellEnd"/>
      <w:r w:rsidRPr="009975EA">
        <w:rPr>
          <w:rFonts w:ascii="Times New Roman" w:hAnsi="Times New Roman" w:cs="Times New Roman"/>
          <w:sz w:val="20"/>
          <w:szCs w:val="20"/>
        </w:rPr>
        <w:t>, p.826.</w:t>
      </w:r>
    </w:p>
  </w:footnote>
  <w:footnote w:id="459">
    <w:p w14:paraId="254A7E44" w14:textId="77777777" w:rsidR="00D36541" w:rsidRPr="009975EA" w:rsidRDefault="00D36541" w:rsidP="009975EA">
      <w:pPr>
        <w:pStyle w:val="DipnotMetni"/>
        <w:jc w:val="both"/>
        <w:rPr>
          <w:rFonts w:ascii="Times New Roman" w:hAnsi="Times New Roman" w:cs="Times New Roman"/>
          <w:sz w:val="20"/>
          <w:szCs w:val="20"/>
          <w:lang w:val="tr-TR"/>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Consitution</w:t>
      </w:r>
      <w:proofErr w:type="spellEnd"/>
      <w:r w:rsidRPr="009975EA">
        <w:rPr>
          <w:rFonts w:ascii="Times New Roman" w:hAnsi="Times New Roman" w:cs="Times New Roman"/>
          <w:sz w:val="20"/>
          <w:szCs w:val="20"/>
        </w:rPr>
        <w:t xml:space="preserve"> of the Republic of Turkey, Article 48(2): “The State shall take measures to ensure that private enterprises operate in accordance with national economic </w:t>
      </w:r>
      <w:proofErr w:type="spellStart"/>
      <w:r w:rsidRPr="009975EA">
        <w:rPr>
          <w:rFonts w:ascii="Times New Roman" w:hAnsi="Times New Roman" w:cs="Times New Roman"/>
          <w:sz w:val="20"/>
          <w:szCs w:val="20"/>
        </w:rPr>
        <w:t>requiremnts</w:t>
      </w:r>
      <w:proofErr w:type="spellEnd"/>
      <w:r w:rsidRPr="009975EA">
        <w:rPr>
          <w:rFonts w:ascii="Times New Roman" w:hAnsi="Times New Roman" w:cs="Times New Roman"/>
          <w:sz w:val="20"/>
          <w:szCs w:val="20"/>
        </w:rPr>
        <w:t xml:space="preserve"> and social </w:t>
      </w:r>
      <w:proofErr w:type="spellStart"/>
      <w:r w:rsidRPr="009975EA">
        <w:rPr>
          <w:rFonts w:ascii="Times New Roman" w:hAnsi="Times New Roman" w:cs="Times New Roman"/>
          <w:sz w:val="20"/>
          <w:szCs w:val="20"/>
        </w:rPr>
        <w:t>objectvies</w:t>
      </w:r>
      <w:proofErr w:type="spellEnd"/>
      <w:r w:rsidRPr="009975EA">
        <w:rPr>
          <w:rFonts w:ascii="Times New Roman" w:hAnsi="Times New Roman" w:cs="Times New Roman"/>
          <w:sz w:val="20"/>
          <w:szCs w:val="20"/>
        </w:rPr>
        <w:t xml:space="preserve"> and in security and stability.”</w:t>
      </w:r>
    </w:p>
  </w:footnote>
  <w:footnote w:id="460">
    <w:p w14:paraId="35DACE98" w14:textId="6A0DB07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Commentators express that the “economic purpose” requirement reflects legislators’ view that the corporation should play an active role in the economic life and act as one of the most important vehicles helping accumulation of capital (Gul </w:t>
      </w:r>
      <w:proofErr w:type="spellStart"/>
      <w:r w:rsidRPr="009975EA">
        <w:rPr>
          <w:rFonts w:ascii="Times New Roman" w:hAnsi="Times New Roman" w:cs="Times New Roman"/>
          <w:sz w:val="20"/>
          <w:szCs w:val="20"/>
        </w:rPr>
        <w:t>Okutan</w:t>
      </w:r>
      <w:proofErr w:type="spellEnd"/>
      <w:r w:rsidRPr="009975EA">
        <w:rPr>
          <w:rFonts w:ascii="Times New Roman" w:hAnsi="Times New Roman" w:cs="Times New Roman"/>
          <w:sz w:val="20"/>
          <w:szCs w:val="20"/>
        </w:rPr>
        <w:t xml:space="preserve"> Nilsson, </w:t>
      </w:r>
      <w:proofErr w:type="spellStart"/>
      <w:r w:rsidRPr="00440972">
        <w:rPr>
          <w:rFonts w:ascii="Times New Roman" w:hAnsi="Times New Roman" w:cs="Times New Roman"/>
          <w:i/>
          <w:sz w:val="20"/>
          <w:szCs w:val="20"/>
        </w:rPr>
        <w:t>Anonim</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Ortakliklarda</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Paysahipleri</w:t>
      </w:r>
      <w:proofErr w:type="spellEnd"/>
      <w:r w:rsidRPr="00440972">
        <w:rPr>
          <w:rFonts w:ascii="Times New Roman" w:hAnsi="Times New Roman" w:cs="Times New Roman"/>
          <w:i/>
          <w:sz w:val="20"/>
          <w:szCs w:val="20"/>
        </w:rPr>
        <w:t xml:space="preserve"> </w:t>
      </w:r>
      <w:proofErr w:type="spellStart"/>
      <w:r w:rsidRPr="00440972">
        <w:rPr>
          <w:rFonts w:ascii="Times New Roman" w:hAnsi="Times New Roman" w:cs="Times New Roman"/>
          <w:i/>
          <w:sz w:val="20"/>
          <w:szCs w:val="20"/>
        </w:rPr>
        <w:t>Sozlesmeleri</w:t>
      </w:r>
      <w:proofErr w:type="spellEnd"/>
      <w:r>
        <w:rPr>
          <w:rFonts w:ascii="Times New Roman" w:hAnsi="Times New Roman" w:cs="Times New Roman"/>
          <w:sz w:val="20"/>
          <w:szCs w:val="20"/>
        </w:rPr>
        <w:t xml:space="preserve"> 69 (</w:t>
      </w:r>
      <w:r w:rsidRPr="009975EA">
        <w:rPr>
          <w:rFonts w:ascii="Times New Roman" w:hAnsi="Times New Roman" w:cs="Times New Roman"/>
          <w:sz w:val="20"/>
          <w:szCs w:val="20"/>
        </w:rPr>
        <w:t>2001</w:t>
      </w:r>
      <w:r>
        <w:rPr>
          <w:rFonts w:ascii="Times New Roman" w:hAnsi="Times New Roman" w:cs="Times New Roman"/>
          <w:sz w:val="20"/>
          <w:szCs w:val="20"/>
        </w:rPr>
        <w:t>)</w:t>
      </w:r>
      <w:r w:rsidRPr="009975EA">
        <w:rPr>
          <w:rFonts w:ascii="Times New Roman" w:hAnsi="Times New Roman" w:cs="Times New Roman"/>
          <w:sz w:val="20"/>
          <w:szCs w:val="20"/>
        </w:rPr>
        <w:t xml:space="preserve">).  </w:t>
      </w:r>
    </w:p>
  </w:footnote>
  <w:footnote w:id="461">
    <w:p w14:paraId="55FC4F95" w14:textId="38F290A2" w:rsidR="000F5C7E" w:rsidRPr="0047452F" w:rsidRDefault="000F5C7E">
      <w:pPr>
        <w:pStyle w:val="DipnotMetni"/>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00F37DFD">
        <w:rPr>
          <w:rFonts w:ascii="Times New Roman" w:hAnsi="Times New Roman" w:cs="Times New Roman"/>
          <w:sz w:val="20"/>
          <w:szCs w:val="20"/>
        </w:rPr>
        <w:t xml:space="preserve">See, </w:t>
      </w:r>
      <w:proofErr w:type="spellStart"/>
      <w:r w:rsidR="00F37DFD" w:rsidRPr="0047452F">
        <w:rPr>
          <w:rFonts w:ascii="Times New Roman" w:hAnsi="Times New Roman" w:cs="Times New Roman"/>
          <w:sz w:val="20"/>
          <w:szCs w:val="20"/>
        </w:rPr>
        <w:t>Uzunallı</w:t>
      </w:r>
      <w:proofErr w:type="spellEnd"/>
      <w:r w:rsidR="00F37DFD" w:rsidRPr="0047452F">
        <w:rPr>
          <w:rFonts w:ascii="Times New Roman" w:hAnsi="Times New Roman" w:cs="Times New Roman"/>
          <w:sz w:val="20"/>
          <w:szCs w:val="20"/>
        </w:rPr>
        <w:t xml:space="preserve">, p. 143. </w:t>
      </w:r>
    </w:p>
  </w:footnote>
  <w:footnote w:id="462">
    <w:p w14:paraId="26347988"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Miner v. Belle Isle Ice Co., 17 L.R.A. 412 (1892): “…that the ultimate object of every ordinary trading corporation is the pecuniary gain of its stockholders; that it is for this purpose, and no other, that the capital has been advanced…”</w:t>
      </w:r>
    </w:p>
  </w:footnote>
  <w:footnote w:id="463">
    <w:p w14:paraId="462727DA" w14:textId="09C87C2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Alan R. </w:t>
      </w:r>
      <w:proofErr w:type="spellStart"/>
      <w:r>
        <w:rPr>
          <w:rFonts w:ascii="Times New Roman" w:hAnsi="Times New Roman" w:cs="Times New Roman"/>
          <w:sz w:val="20"/>
          <w:szCs w:val="20"/>
        </w:rPr>
        <w:t>Palmiter</w:t>
      </w:r>
      <w:proofErr w:type="spellEnd"/>
      <w:r>
        <w:rPr>
          <w:rFonts w:ascii="Times New Roman" w:hAnsi="Times New Roman" w:cs="Times New Roman"/>
          <w:sz w:val="20"/>
          <w:szCs w:val="20"/>
        </w:rPr>
        <w:t xml:space="preserve">, </w:t>
      </w:r>
      <w:r w:rsidRPr="009975EA">
        <w:rPr>
          <w:rFonts w:ascii="Times New Roman" w:hAnsi="Times New Roman" w:cs="Times New Roman"/>
          <w:sz w:val="20"/>
          <w:szCs w:val="20"/>
        </w:rPr>
        <w:t xml:space="preserve">Frank </w:t>
      </w:r>
      <w:proofErr w:type="spellStart"/>
      <w:r w:rsidRPr="009975EA">
        <w:rPr>
          <w:rFonts w:ascii="Times New Roman" w:hAnsi="Times New Roman" w:cs="Times New Roman"/>
          <w:sz w:val="20"/>
          <w:szCs w:val="20"/>
        </w:rPr>
        <w:t>Partnoy</w:t>
      </w:r>
      <w:proofErr w:type="spellEnd"/>
      <w:r w:rsidRPr="009975EA">
        <w:rPr>
          <w:rFonts w:ascii="Times New Roman" w:hAnsi="Times New Roman" w:cs="Times New Roman"/>
          <w:sz w:val="20"/>
          <w:szCs w:val="20"/>
        </w:rPr>
        <w:t xml:space="preserve">, </w:t>
      </w:r>
      <w:r w:rsidRPr="00323D66">
        <w:rPr>
          <w:rFonts w:ascii="Times New Roman" w:hAnsi="Times New Roman" w:cs="Times New Roman"/>
          <w:i/>
          <w:sz w:val="20"/>
          <w:szCs w:val="20"/>
        </w:rPr>
        <w:t>Corporations: A Contemporary Approach</w:t>
      </w:r>
      <w:r>
        <w:rPr>
          <w:rFonts w:ascii="Times New Roman" w:hAnsi="Times New Roman" w:cs="Times New Roman"/>
          <w:sz w:val="20"/>
          <w:szCs w:val="20"/>
        </w:rPr>
        <w:t xml:space="preserve"> 678</w:t>
      </w:r>
      <w:r w:rsidRPr="009975EA">
        <w:rPr>
          <w:rFonts w:ascii="Times New Roman" w:hAnsi="Times New Roman" w:cs="Times New Roman"/>
          <w:sz w:val="20"/>
          <w:szCs w:val="20"/>
        </w:rPr>
        <w:t xml:space="preserve"> </w:t>
      </w:r>
      <w:r>
        <w:rPr>
          <w:rFonts w:ascii="Times New Roman" w:hAnsi="Times New Roman" w:cs="Times New Roman"/>
          <w:sz w:val="20"/>
          <w:szCs w:val="20"/>
        </w:rPr>
        <w:t>(</w:t>
      </w:r>
      <w:r w:rsidRPr="009975EA">
        <w:rPr>
          <w:rFonts w:ascii="Times New Roman" w:hAnsi="Times New Roman" w:cs="Times New Roman"/>
          <w:sz w:val="20"/>
          <w:szCs w:val="20"/>
        </w:rPr>
        <w:t>2</w:t>
      </w:r>
      <w:r w:rsidRPr="009975EA">
        <w:rPr>
          <w:rFonts w:ascii="Times New Roman" w:hAnsi="Times New Roman" w:cs="Times New Roman"/>
          <w:sz w:val="20"/>
          <w:szCs w:val="20"/>
          <w:vertAlign w:val="superscript"/>
        </w:rPr>
        <w:t>nd</w:t>
      </w:r>
      <w:r w:rsidRPr="009975EA">
        <w:rPr>
          <w:rFonts w:ascii="Times New Roman" w:hAnsi="Times New Roman" w:cs="Times New Roman"/>
          <w:sz w:val="20"/>
          <w:szCs w:val="20"/>
        </w:rPr>
        <w:t xml:space="preserve"> Ed., 2014</w:t>
      </w:r>
      <w:r>
        <w:rPr>
          <w:rFonts w:ascii="Times New Roman" w:hAnsi="Times New Roman" w:cs="Times New Roman"/>
          <w:sz w:val="20"/>
          <w:szCs w:val="20"/>
        </w:rPr>
        <w:t xml:space="preserve">). See generally; Lyman Johnson, </w:t>
      </w:r>
      <w:r w:rsidRPr="009975EA">
        <w:rPr>
          <w:rFonts w:ascii="Times New Roman" w:hAnsi="Times New Roman" w:cs="Times New Roman"/>
          <w:sz w:val="20"/>
          <w:szCs w:val="20"/>
        </w:rPr>
        <w:t xml:space="preserve">David </w:t>
      </w:r>
      <w:proofErr w:type="spellStart"/>
      <w:r w:rsidRPr="009975EA">
        <w:rPr>
          <w:rFonts w:ascii="Times New Roman" w:hAnsi="Times New Roman" w:cs="Times New Roman"/>
          <w:sz w:val="20"/>
          <w:szCs w:val="20"/>
        </w:rPr>
        <w:t>Millon</w:t>
      </w:r>
      <w:proofErr w:type="spellEnd"/>
      <w:r w:rsidRPr="009975EA">
        <w:rPr>
          <w:rFonts w:ascii="Times New Roman" w:hAnsi="Times New Roman" w:cs="Times New Roman"/>
          <w:sz w:val="20"/>
          <w:szCs w:val="20"/>
        </w:rPr>
        <w:t xml:space="preserve">, </w:t>
      </w:r>
      <w:r w:rsidRPr="00323D66">
        <w:rPr>
          <w:rFonts w:ascii="Times New Roman" w:hAnsi="Times New Roman" w:cs="Times New Roman"/>
          <w:i/>
          <w:sz w:val="20"/>
          <w:szCs w:val="20"/>
        </w:rPr>
        <w:t>Corporate Law after Hobby Lobby</w:t>
      </w:r>
      <w:r w:rsidRPr="009975EA">
        <w:rPr>
          <w:rFonts w:ascii="Times New Roman" w:hAnsi="Times New Roman" w:cs="Times New Roman"/>
          <w:sz w:val="20"/>
          <w:szCs w:val="20"/>
        </w:rPr>
        <w:t>, Business Lawyer 70.1. (Nov. 2014).</w:t>
      </w:r>
    </w:p>
  </w:footnote>
  <w:footnote w:id="464">
    <w:p w14:paraId="6730C10A" w14:textId="60F8FAF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“Shareholder primacy permeates state corporate codes and case law in the form of fiduciary duties owed by corporate managers to the corporation” (Kevin V. Tu, </w:t>
      </w:r>
      <w:r w:rsidRPr="00323D66">
        <w:rPr>
          <w:rFonts w:ascii="Times New Roman" w:hAnsi="Times New Roman" w:cs="Times New Roman"/>
          <w:i/>
          <w:sz w:val="20"/>
          <w:szCs w:val="20"/>
        </w:rPr>
        <w:t>Socially Conscious Corporations and Shareholder Profit</w:t>
      </w:r>
      <w:r w:rsidRPr="009975EA">
        <w:rPr>
          <w:rFonts w:ascii="Times New Roman" w:hAnsi="Times New Roman" w:cs="Times New Roman"/>
          <w:sz w:val="20"/>
          <w:szCs w:val="20"/>
        </w:rPr>
        <w:t>, 84 G</w:t>
      </w:r>
      <w:r>
        <w:rPr>
          <w:rFonts w:ascii="Times New Roman" w:hAnsi="Times New Roman" w:cs="Times New Roman"/>
          <w:sz w:val="20"/>
          <w:szCs w:val="20"/>
        </w:rPr>
        <w:t xml:space="preserve">eo. Wash. L. Rev. 121 (2016), at </w:t>
      </w:r>
      <w:r w:rsidRPr="009975EA">
        <w:rPr>
          <w:rFonts w:ascii="Times New Roman" w:hAnsi="Times New Roman" w:cs="Times New Roman"/>
          <w:sz w:val="20"/>
          <w:szCs w:val="20"/>
        </w:rPr>
        <w:t>132).</w:t>
      </w:r>
    </w:p>
  </w:footnote>
  <w:footnote w:id="465">
    <w:p w14:paraId="546A9D95" w14:textId="77777777" w:rsidR="00D36541" w:rsidRPr="009975EA" w:rsidRDefault="00D36541" w:rsidP="009975EA">
      <w:pPr>
        <w:pStyle w:val="DipnotMetni"/>
        <w:tabs>
          <w:tab w:val="left" w:pos="2909"/>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proofErr w:type="spellStart"/>
      <w:r w:rsidRPr="009975EA">
        <w:rPr>
          <w:rFonts w:ascii="Times New Roman" w:hAnsi="Times New Roman" w:cs="Times New Roman"/>
          <w:sz w:val="20"/>
          <w:szCs w:val="20"/>
        </w:rPr>
        <w:t>Palmiter</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Partnoy</w:t>
      </w:r>
      <w:proofErr w:type="spellEnd"/>
      <w:r w:rsidRPr="009975EA">
        <w:rPr>
          <w:rFonts w:ascii="Times New Roman" w:hAnsi="Times New Roman" w:cs="Times New Roman"/>
          <w:sz w:val="20"/>
          <w:szCs w:val="20"/>
        </w:rPr>
        <w:t>, P. 679.</w:t>
      </w:r>
      <w:r w:rsidRPr="009975EA">
        <w:rPr>
          <w:rFonts w:ascii="Times New Roman" w:hAnsi="Times New Roman" w:cs="Times New Roman"/>
          <w:sz w:val="20"/>
          <w:szCs w:val="20"/>
        </w:rPr>
        <w:tab/>
      </w:r>
    </w:p>
  </w:footnote>
  <w:footnote w:id="466">
    <w:p w14:paraId="192C4E20" w14:textId="285094A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D. Gordon Smith, </w:t>
      </w:r>
      <w:r w:rsidRPr="00323D66">
        <w:rPr>
          <w:rFonts w:ascii="Times New Roman" w:hAnsi="Times New Roman" w:cs="Times New Roman"/>
          <w:i/>
          <w:sz w:val="20"/>
          <w:szCs w:val="20"/>
        </w:rPr>
        <w:t>The Shareholder Primacy Norm</w:t>
      </w:r>
      <w:r>
        <w:rPr>
          <w:rFonts w:ascii="Times New Roman" w:hAnsi="Times New Roman" w:cs="Times New Roman"/>
          <w:sz w:val="20"/>
          <w:szCs w:val="20"/>
        </w:rPr>
        <w:t>, 23 J. Corp. L. 277 (1998) at</w:t>
      </w:r>
      <w:r w:rsidRPr="009975EA">
        <w:rPr>
          <w:rFonts w:ascii="Times New Roman" w:hAnsi="Times New Roman" w:cs="Times New Roman"/>
          <w:sz w:val="20"/>
          <w:szCs w:val="20"/>
        </w:rPr>
        <w:t xml:space="preserve"> 278.</w:t>
      </w:r>
    </w:p>
  </w:footnote>
  <w:footnote w:id="467">
    <w:p w14:paraId="53BDD1CE" w14:textId="36640EAE" w:rsidR="00D36541" w:rsidRPr="009975EA" w:rsidRDefault="00D36541" w:rsidP="00323D66">
      <w:pPr>
        <w:pStyle w:val="DipnotMetni"/>
        <w:tabs>
          <w:tab w:val="left" w:pos="3902"/>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McCall, p.521.</w:t>
      </w:r>
      <w:r>
        <w:rPr>
          <w:rFonts w:ascii="Times New Roman" w:hAnsi="Times New Roman" w:cs="Times New Roman"/>
          <w:sz w:val="20"/>
          <w:szCs w:val="20"/>
        </w:rPr>
        <w:tab/>
      </w:r>
      <w:r>
        <w:rPr>
          <w:rFonts w:ascii="Times New Roman" w:hAnsi="Times New Roman" w:cs="Times New Roman"/>
          <w:sz w:val="20"/>
          <w:szCs w:val="20"/>
        </w:rPr>
        <w:tab/>
      </w:r>
    </w:p>
  </w:footnote>
  <w:footnote w:id="468">
    <w:p w14:paraId="34269DCF"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eBay Domestic Holdings, Inc. v. Newmark, 16 A.3d 1 (2010).</w:t>
      </w:r>
    </w:p>
  </w:footnote>
  <w:footnote w:id="469">
    <w:p w14:paraId="4880DD19"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Del. Code Title 8 Chapter 1 Sec. 361.</w:t>
      </w:r>
    </w:p>
  </w:footnote>
  <w:footnote w:id="470">
    <w:p w14:paraId="03E59114"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A.P. Smith </w:t>
      </w:r>
      <w:proofErr w:type="spellStart"/>
      <w:r w:rsidRPr="009975EA">
        <w:rPr>
          <w:rFonts w:ascii="Times New Roman" w:hAnsi="Times New Roman" w:cs="Times New Roman"/>
          <w:sz w:val="20"/>
          <w:szCs w:val="20"/>
        </w:rPr>
        <w:t>Mfg</w:t>
      </w:r>
      <w:proofErr w:type="spellEnd"/>
      <w:r w:rsidRPr="009975EA">
        <w:rPr>
          <w:rFonts w:ascii="Times New Roman" w:hAnsi="Times New Roman" w:cs="Times New Roman"/>
          <w:sz w:val="20"/>
          <w:szCs w:val="20"/>
        </w:rPr>
        <w:t xml:space="preserve">. Co. v. </w:t>
      </w:r>
      <w:proofErr w:type="spellStart"/>
      <w:r w:rsidRPr="009975EA">
        <w:rPr>
          <w:rFonts w:ascii="Times New Roman" w:hAnsi="Times New Roman" w:cs="Times New Roman"/>
          <w:sz w:val="20"/>
          <w:szCs w:val="20"/>
        </w:rPr>
        <w:t>Barlow</w:t>
      </w:r>
      <w:proofErr w:type="spellEnd"/>
      <w:r w:rsidRPr="009975EA">
        <w:rPr>
          <w:rFonts w:ascii="Times New Roman" w:hAnsi="Times New Roman" w:cs="Times New Roman"/>
          <w:sz w:val="20"/>
          <w:szCs w:val="20"/>
        </w:rPr>
        <w:t>, 13 N.J. 145 (1953): “</w:t>
      </w:r>
      <w:r w:rsidRPr="009975EA">
        <w:rPr>
          <w:rFonts w:ascii="Times New Roman" w:hAnsi="Times New Roman" w:cs="Times New Roman"/>
          <w:color w:val="000000"/>
          <w:sz w:val="20"/>
          <w:szCs w:val="20"/>
        </w:rPr>
        <w:t xml:space="preserve">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contrary</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preeminent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institution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higher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learning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modest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amount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limitations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imposed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enactments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voluntarily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made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belief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aid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welfare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advance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plaintiff</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private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part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community</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operates</w:t>
      </w:r>
      <w:proofErr w:type="spellEnd"/>
      <w:r w:rsidRPr="009975EA">
        <w:rPr>
          <w:rFonts w:ascii="Times New Roman" w:hAnsi="Times New Roman" w:cs="Times New Roman"/>
          <w:color w:val="000000"/>
          <w:sz w:val="20"/>
          <w:szCs w:val="20"/>
        </w:rPr>
        <w:t>.”</w:t>
      </w:r>
    </w:p>
  </w:footnote>
  <w:footnote w:id="471">
    <w:p w14:paraId="0C33E52C" w14:textId="7C28336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Colgate v. </w:t>
      </w:r>
      <w:proofErr w:type="spellStart"/>
      <w:r w:rsidRPr="009975EA">
        <w:rPr>
          <w:rFonts w:ascii="Times New Roman" w:hAnsi="Times New Roman" w:cs="Times New Roman"/>
          <w:sz w:val="20"/>
          <w:szCs w:val="20"/>
        </w:rPr>
        <w:t>Disthene</w:t>
      </w:r>
      <w:proofErr w:type="spellEnd"/>
      <w:r w:rsidRPr="009975EA">
        <w:rPr>
          <w:rFonts w:ascii="Times New Roman" w:hAnsi="Times New Roman" w:cs="Times New Roman"/>
          <w:sz w:val="20"/>
          <w:szCs w:val="20"/>
        </w:rPr>
        <w:t xml:space="preserve"> Group, 85 Va. Cir. 286 (2012): “There is no per se duty to maximize shareholder value in the short term.” Moreover, U.S. Supreme Court recently even </w:t>
      </w:r>
      <w:proofErr w:type="spellStart"/>
      <w:r w:rsidRPr="009975EA">
        <w:rPr>
          <w:rFonts w:ascii="Times New Roman" w:hAnsi="Times New Roman" w:cs="Times New Roman"/>
          <w:sz w:val="20"/>
          <w:szCs w:val="20"/>
        </w:rPr>
        <w:t>legitimazed</w:t>
      </w:r>
      <w:proofErr w:type="spellEnd"/>
      <w:r w:rsidRPr="009975EA">
        <w:rPr>
          <w:rFonts w:ascii="Times New Roman" w:hAnsi="Times New Roman" w:cs="Times New Roman"/>
          <w:sz w:val="20"/>
          <w:szCs w:val="20"/>
        </w:rPr>
        <w:t xml:space="preserve"> donations or any other policy which does not have a connection with the company’s long- run profitability (</w:t>
      </w:r>
      <w:r w:rsidRPr="009975EA">
        <w:rPr>
          <w:rFonts w:ascii="Times New Roman" w:eastAsia="Times New Roman" w:hAnsi="Times New Roman" w:cs="Times New Roman"/>
          <w:color w:val="444444"/>
          <w:sz w:val="20"/>
          <w:szCs w:val="20"/>
          <w:shd w:val="clear" w:color="auto" w:fill="FFFFFF"/>
        </w:rPr>
        <w:t>Burwell v. Hobby Lobby Stores, Inc., 134 S. Ct. 2751 (2014)</w:t>
      </w:r>
      <w:r w:rsidRPr="009975EA">
        <w:rPr>
          <w:rFonts w:ascii="Times New Roman" w:hAnsi="Times New Roman" w:cs="Times New Roman"/>
          <w:sz w:val="20"/>
          <w:szCs w:val="20"/>
        </w:rPr>
        <w:t xml:space="preserve">), and opined that any abuse arising from this evaluation can be controlled by the “procedures of corporate democracy” (Citizens United v. FEC 588 U.S. 310 (2010)). However, scholars underline the negative </w:t>
      </w:r>
      <w:proofErr w:type="spellStart"/>
      <w:r w:rsidRPr="009975EA">
        <w:rPr>
          <w:rFonts w:ascii="Times New Roman" w:hAnsi="Times New Roman" w:cs="Times New Roman"/>
          <w:sz w:val="20"/>
          <w:szCs w:val="20"/>
        </w:rPr>
        <w:t>affects</w:t>
      </w:r>
      <w:proofErr w:type="spellEnd"/>
      <w:r w:rsidRPr="009975EA">
        <w:rPr>
          <w:rFonts w:ascii="Times New Roman" w:hAnsi="Times New Roman" w:cs="Times New Roman"/>
          <w:sz w:val="20"/>
          <w:szCs w:val="20"/>
        </w:rPr>
        <w:t xml:space="preserve"> of this constitutional evaluation can have on corporate law and stated that this recognition can contravene with the corporate purpose of ea</w:t>
      </w:r>
      <w:r>
        <w:rPr>
          <w:rFonts w:ascii="Times New Roman" w:hAnsi="Times New Roman" w:cs="Times New Roman"/>
          <w:sz w:val="20"/>
          <w:szCs w:val="20"/>
        </w:rPr>
        <w:t xml:space="preserve">rning money (Robert M. Ackerman, </w:t>
      </w:r>
      <w:r w:rsidRPr="009975EA">
        <w:rPr>
          <w:rFonts w:ascii="Times New Roman" w:hAnsi="Times New Roman" w:cs="Times New Roman"/>
          <w:sz w:val="20"/>
          <w:szCs w:val="20"/>
        </w:rPr>
        <w:t xml:space="preserve">Lance Cole, </w:t>
      </w:r>
      <w:r w:rsidRPr="00323D66">
        <w:rPr>
          <w:rFonts w:ascii="Times New Roman" w:hAnsi="Times New Roman" w:cs="Times New Roman"/>
          <w:i/>
          <w:sz w:val="20"/>
          <w:szCs w:val="20"/>
        </w:rPr>
        <w:t>Making Corporate Law More Communitarian,</w:t>
      </w:r>
      <w:r w:rsidRPr="009975EA">
        <w:rPr>
          <w:rFonts w:ascii="Times New Roman" w:hAnsi="Times New Roman" w:cs="Times New Roman"/>
          <w:sz w:val="20"/>
          <w:szCs w:val="20"/>
        </w:rPr>
        <w:t xml:space="preserve"> </w:t>
      </w:r>
      <w:r>
        <w:rPr>
          <w:rFonts w:ascii="Times New Roman" w:hAnsi="Times New Roman" w:cs="Times New Roman"/>
          <w:sz w:val="20"/>
          <w:szCs w:val="20"/>
        </w:rPr>
        <w:t xml:space="preserve">81 Brook. L. Rev. 895 (2016) at </w:t>
      </w:r>
      <w:r w:rsidRPr="009975EA">
        <w:rPr>
          <w:rFonts w:ascii="Times New Roman" w:hAnsi="Times New Roman" w:cs="Times New Roman"/>
          <w:sz w:val="20"/>
          <w:szCs w:val="20"/>
        </w:rPr>
        <w:t>927).</w:t>
      </w:r>
    </w:p>
  </w:footnote>
  <w:footnote w:id="472">
    <w:p w14:paraId="765270F8" w14:textId="5A3D85C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example, TCC Article 523(3) states that even if there is no explicit term in the articles of incorporation, a corporation can form legal reserves to help the formation of associations working for its employee’s benefits and to make other donations.</w:t>
      </w:r>
    </w:p>
  </w:footnote>
  <w:footnote w:id="473">
    <w:p w14:paraId="4C84B4A2" w14:textId="159D3EF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Burcak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Yildiz</w:t>
      </w:r>
      <w:proofErr w:type="spellEnd"/>
      <w:r w:rsidRPr="009975EA">
        <w:rPr>
          <w:rFonts w:ascii="Times New Roman" w:hAnsi="Times New Roman" w:cs="Times New Roman"/>
          <w:sz w:val="20"/>
          <w:szCs w:val="20"/>
        </w:rPr>
        <w:t xml:space="preserve">, </w:t>
      </w:r>
      <w:proofErr w:type="spellStart"/>
      <w:r w:rsidRPr="00323D66">
        <w:rPr>
          <w:rFonts w:ascii="Times New Roman" w:hAnsi="Times New Roman" w:cs="Times New Roman"/>
          <w:i/>
          <w:sz w:val="20"/>
          <w:szCs w:val="20"/>
        </w:rPr>
        <w:t>Sirketlerin</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Ehliyetine</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Iliskin</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Olarak</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Ozellik</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Arz</w:t>
      </w:r>
      <w:proofErr w:type="spellEnd"/>
      <w:r w:rsidRPr="00323D66">
        <w:rPr>
          <w:rFonts w:ascii="Times New Roman" w:hAnsi="Times New Roman" w:cs="Times New Roman"/>
          <w:i/>
          <w:sz w:val="20"/>
          <w:szCs w:val="20"/>
        </w:rPr>
        <w:t xml:space="preserve"> Eden </w:t>
      </w:r>
      <w:proofErr w:type="spellStart"/>
      <w:r w:rsidRPr="00323D66">
        <w:rPr>
          <w:rFonts w:ascii="Times New Roman" w:hAnsi="Times New Roman" w:cs="Times New Roman"/>
          <w:i/>
          <w:sz w:val="20"/>
          <w:szCs w:val="20"/>
        </w:rPr>
        <w:t>Bazi</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Hukuki</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Islem</w:t>
      </w:r>
      <w:proofErr w:type="spellEnd"/>
      <w:r w:rsidRPr="00323D66">
        <w:rPr>
          <w:rFonts w:ascii="Times New Roman" w:hAnsi="Times New Roman" w:cs="Times New Roman"/>
          <w:i/>
          <w:sz w:val="20"/>
          <w:szCs w:val="20"/>
        </w:rPr>
        <w:t xml:space="preserve"> ve </w:t>
      </w:r>
      <w:proofErr w:type="spellStart"/>
      <w:r w:rsidRPr="00323D66">
        <w:rPr>
          <w:rFonts w:ascii="Times New Roman" w:hAnsi="Times New Roman" w:cs="Times New Roman"/>
          <w:i/>
          <w:sz w:val="20"/>
          <w:szCs w:val="20"/>
        </w:rPr>
        <w:t>Sozlesmeler</w:t>
      </w:r>
      <w:proofErr w:type="spellEnd"/>
      <w:r w:rsidRPr="009975EA">
        <w:rPr>
          <w:rFonts w:ascii="Times New Roman" w:hAnsi="Times New Roman" w:cs="Times New Roman"/>
          <w:sz w:val="20"/>
          <w:szCs w:val="20"/>
        </w:rPr>
        <w:t xml:space="preserve">, Ankara </w:t>
      </w:r>
      <w:proofErr w:type="spellStart"/>
      <w:r>
        <w:rPr>
          <w:rFonts w:ascii="Times New Roman" w:hAnsi="Times New Roman" w:cs="Times New Roman"/>
          <w:sz w:val="20"/>
          <w:szCs w:val="20"/>
        </w:rPr>
        <w:t>Barosu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2006/2 (2006) at 74</w:t>
      </w:r>
      <w:r w:rsidRPr="009975EA">
        <w:rPr>
          <w:rFonts w:ascii="Times New Roman" w:hAnsi="Times New Roman" w:cs="Times New Roman"/>
          <w:sz w:val="20"/>
          <w:szCs w:val="20"/>
        </w:rPr>
        <w:t xml:space="preserve">. Still, there are statutory </w:t>
      </w:r>
      <w:proofErr w:type="spellStart"/>
      <w:r w:rsidRPr="009975EA">
        <w:rPr>
          <w:rFonts w:ascii="Times New Roman" w:hAnsi="Times New Roman" w:cs="Times New Roman"/>
          <w:sz w:val="20"/>
          <w:szCs w:val="20"/>
        </w:rPr>
        <w:t>limitiations</w:t>
      </w:r>
      <w:proofErr w:type="spellEnd"/>
      <w:r w:rsidRPr="009975EA">
        <w:rPr>
          <w:rFonts w:ascii="Times New Roman" w:hAnsi="Times New Roman" w:cs="Times New Roman"/>
          <w:sz w:val="20"/>
          <w:szCs w:val="20"/>
        </w:rPr>
        <w:t xml:space="preserve"> concerning donations arising from political campaign finance law. That field of law impose monetary limits to corporation’s political donations to political parties (2820 numbered and 22/04/1983 dated Political Parties Law, Article 66) and bans corporate donations to presidential candidates (6721 numbered and 19/01/2012 dated President Election Law, Article 14(1)), but does not include any measure that tracks concealed (i.e., indirect) donations (</w:t>
      </w:r>
      <w:proofErr w:type="spellStart"/>
      <w:r w:rsidRPr="009975EA">
        <w:rPr>
          <w:rFonts w:ascii="Times New Roman" w:hAnsi="Times New Roman" w:cs="Times New Roman"/>
          <w:sz w:val="20"/>
          <w:szCs w:val="20"/>
        </w:rPr>
        <w:t>Ozlem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Celik</w:t>
      </w:r>
      <w:proofErr w:type="spellEnd"/>
      <w:r w:rsidRPr="009975EA">
        <w:rPr>
          <w:rFonts w:ascii="Times New Roman" w:hAnsi="Times New Roman" w:cs="Times New Roman"/>
          <w:sz w:val="20"/>
          <w:szCs w:val="20"/>
        </w:rPr>
        <w:t xml:space="preserve">, </w:t>
      </w:r>
      <w:r w:rsidRPr="00323D66">
        <w:rPr>
          <w:rFonts w:ascii="Times New Roman" w:hAnsi="Times New Roman" w:cs="Times New Roman"/>
          <w:i/>
          <w:sz w:val="20"/>
          <w:szCs w:val="20"/>
        </w:rPr>
        <w:t xml:space="preserve">Turk </w:t>
      </w:r>
      <w:proofErr w:type="spellStart"/>
      <w:r w:rsidRPr="00323D66">
        <w:rPr>
          <w:rFonts w:ascii="Times New Roman" w:hAnsi="Times New Roman" w:cs="Times New Roman"/>
          <w:i/>
          <w:sz w:val="20"/>
          <w:szCs w:val="20"/>
        </w:rPr>
        <w:t>Anayasa</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Hukukunda</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Siyasi</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Partilerin</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Gelir</w:t>
      </w:r>
      <w:proofErr w:type="spellEnd"/>
      <w:r w:rsidRPr="00323D66">
        <w:rPr>
          <w:rFonts w:ascii="Times New Roman" w:hAnsi="Times New Roman" w:cs="Times New Roman"/>
          <w:i/>
          <w:sz w:val="20"/>
          <w:szCs w:val="20"/>
        </w:rPr>
        <w:t xml:space="preserve"> ve </w:t>
      </w:r>
      <w:proofErr w:type="spellStart"/>
      <w:r w:rsidRPr="00323D66">
        <w:rPr>
          <w:rFonts w:ascii="Times New Roman" w:hAnsi="Times New Roman" w:cs="Times New Roman"/>
          <w:i/>
          <w:sz w:val="20"/>
          <w:szCs w:val="20"/>
        </w:rPr>
        <w:t>Giderlerinin</w:t>
      </w:r>
      <w:proofErr w:type="spellEnd"/>
      <w:r w:rsidRPr="00323D66">
        <w:rPr>
          <w:rFonts w:ascii="Times New Roman" w:hAnsi="Times New Roman" w:cs="Times New Roman"/>
          <w:i/>
          <w:sz w:val="20"/>
          <w:szCs w:val="20"/>
        </w:rPr>
        <w:t xml:space="preserve"> Mali </w:t>
      </w:r>
      <w:proofErr w:type="spellStart"/>
      <w:r w:rsidRPr="00323D66">
        <w:rPr>
          <w:rFonts w:ascii="Times New Roman" w:hAnsi="Times New Roman" w:cs="Times New Roman"/>
          <w:i/>
          <w:sz w:val="20"/>
          <w:szCs w:val="20"/>
        </w:rPr>
        <w:t>Denetimi</w:t>
      </w:r>
      <w:proofErr w:type="spellEnd"/>
      <w:r w:rsidRPr="00323D66">
        <w:rPr>
          <w:rFonts w:ascii="Times New Roman" w:hAnsi="Times New Roman" w:cs="Times New Roman"/>
          <w:i/>
          <w:sz w:val="20"/>
          <w:szCs w:val="20"/>
        </w:rPr>
        <w:t>,</w:t>
      </w:r>
      <w:r w:rsidRPr="009975EA">
        <w:rPr>
          <w:rFonts w:ascii="Times New Roman" w:hAnsi="Times New Roman" w:cs="Times New Roman"/>
          <w:sz w:val="20"/>
          <w:szCs w:val="20"/>
        </w:rPr>
        <w:t xml:space="preserve"> </w:t>
      </w:r>
      <w:hyperlink r:id="rId68" w:history="1">
        <w:r w:rsidRPr="009975EA">
          <w:rPr>
            <w:rStyle w:val="Kpr"/>
            <w:rFonts w:ascii="Times New Roman" w:hAnsi="Times New Roman" w:cs="Times New Roman"/>
            <w:sz w:val="20"/>
            <w:szCs w:val="20"/>
          </w:rPr>
          <w:t>http://hukuk.deu.edu.tr/dosyalar/dergiler/dergimiz-12-ozel/3-kamu/5-ozlemcelik.pdf</w:t>
        </w:r>
      </w:hyperlink>
      <w:r>
        <w:rPr>
          <w:rFonts w:ascii="Times New Roman" w:hAnsi="Times New Roman" w:cs="Times New Roman"/>
          <w:sz w:val="20"/>
          <w:szCs w:val="20"/>
        </w:rPr>
        <w:t xml:space="preserve"> (Last visited: 10/10/2016) at</w:t>
      </w:r>
      <w:r w:rsidRPr="009975EA">
        <w:rPr>
          <w:rFonts w:ascii="Times New Roman" w:hAnsi="Times New Roman" w:cs="Times New Roman"/>
          <w:sz w:val="20"/>
          <w:szCs w:val="20"/>
        </w:rPr>
        <w:t>1327).</w:t>
      </w:r>
    </w:p>
  </w:footnote>
  <w:footnote w:id="474">
    <w:p w14:paraId="4FA1EE0A" w14:textId="6A41A06A" w:rsidR="00D36541" w:rsidRPr="009975EA" w:rsidRDefault="00D36541" w:rsidP="009975EA">
      <w:pPr>
        <w:pStyle w:val="DipnotMetni"/>
        <w:tabs>
          <w:tab w:val="left" w:pos="4206"/>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Communique on Dividends, Article 6(3).</w:t>
      </w:r>
      <w:r w:rsidRPr="009975EA">
        <w:rPr>
          <w:rFonts w:ascii="Times New Roman" w:hAnsi="Times New Roman" w:cs="Times New Roman"/>
          <w:sz w:val="20"/>
          <w:szCs w:val="20"/>
        </w:rPr>
        <w:tab/>
      </w:r>
    </w:p>
  </w:footnote>
  <w:footnote w:id="475">
    <w:p w14:paraId="0CB74808" w14:textId="1741E18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2005/10060 K. 2006/13738 T. 21/12/2006.</w:t>
      </w:r>
    </w:p>
  </w:footnote>
  <w:footnote w:id="476">
    <w:p w14:paraId="652C52E5" w14:textId="136DF39F"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Quadrant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Structured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Products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Ltd. v. </w:t>
      </w:r>
      <w:proofErr w:type="spellStart"/>
      <w:r w:rsidRPr="009975EA">
        <w:rPr>
          <w:rFonts w:ascii="Times New Roman" w:hAnsi="Times New Roman" w:cs="Times New Roman"/>
          <w:sz w:val="20"/>
          <w:szCs w:val="20"/>
        </w:rPr>
        <w:t>Vertin</w:t>
      </w:r>
      <w:proofErr w:type="spellEnd"/>
      <w:r w:rsidRPr="009975EA">
        <w:rPr>
          <w:rFonts w:ascii="Times New Roman" w:hAnsi="Times New Roman" w:cs="Times New Roman"/>
          <w:sz w:val="20"/>
          <w:szCs w:val="20"/>
        </w:rPr>
        <w:t>, 102 A.3d 155 (2014):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strive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good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on an </w:t>
      </w:r>
      <w:proofErr w:type="spellStart"/>
      <w:r w:rsidRPr="009975EA">
        <w:rPr>
          <w:rFonts w:ascii="Times New Roman" w:hAnsi="Times New Roman" w:cs="Times New Roman"/>
          <w:color w:val="000000"/>
          <w:sz w:val="20"/>
          <w:szCs w:val="20"/>
        </w:rPr>
        <w:t>informed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basis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maximize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benefit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residual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claimants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ultimate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beneficiaries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firm's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solvent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residual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claimants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Consequently</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solvent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standard</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prudently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loyally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good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benefit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owners</w:t>
      </w:r>
      <w:proofErr w:type="spellEnd"/>
      <w:r w:rsidRPr="009975EA">
        <w:rPr>
          <w:rFonts w:ascii="Times New Roman" w:hAnsi="Times New Roman" w:cs="Times New Roman"/>
          <w:color w:val="000000"/>
          <w:sz w:val="20"/>
          <w:szCs w:val="20"/>
        </w:rPr>
        <w:t xml:space="preserve">.’” </w:t>
      </w:r>
    </w:p>
  </w:footnote>
  <w:footnote w:id="477">
    <w:p w14:paraId="3887BFB5" w14:textId="5EB06920" w:rsidR="00D36541" w:rsidRPr="009975EA" w:rsidRDefault="00D36541" w:rsidP="009975EA">
      <w:pPr>
        <w:pStyle w:val="DipnotMetni"/>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Eisner v. Macomber, 252 U.S. 189 (1920): “</w:t>
      </w:r>
      <w:proofErr w:type="spellStart"/>
      <w:r w:rsidRPr="009975EA">
        <w:rPr>
          <w:rFonts w:ascii="Times New Roman" w:hAnsi="Times New Roman" w:cs="Times New Roman"/>
          <w:color w:val="000000" w:themeColor="text1"/>
          <w:sz w:val="20"/>
          <w:szCs w:val="20"/>
          <w:lang w:val="tr-TR"/>
        </w:rPr>
        <w:t>The</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stockholder</w:t>
      </w:r>
      <w:proofErr w:type="spellEnd"/>
      <w:r w:rsidRPr="009975EA">
        <w:rPr>
          <w:rFonts w:ascii="Times New Roman" w:hAnsi="Times New Roman" w:cs="Times New Roman"/>
          <w:color w:val="000000" w:themeColor="text1"/>
          <w:sz w:val="20"/>
          <w:szCs w:val="20"/>
          <w:lang w:val="tr-TR"/>
        </w:rPr>
        <w:t xml:space="preserve"> has </w:t>
      </w:r>
      <w:proofErr w:type="spellStart"/>
      <w:r w:rsidRPr="009975EA">
        <w:rPr>
          <w:rFonts w:ascii="Times New Roman" w:hAnsi="Times New Roman" w:cs="Times New Roman"/>
          <w:color w:val="000000" w:themeColor="text1"/>
          <w:sz w:val="20"/>
          <w:szCs w:val="20"/>
          <w:lang w:val="tr-TR"/>
        </w:rPr>
        <w:t>the</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right</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to</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have</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the</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assets</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employed</w:t>
      </w:r>
      <w:proofErr w:type="spellEnd"/>
      <w:r w:rsidRPr="009975EA">
        <w:rPr>
          <w:rFonts w:ascii="Times New Roman" w:hAnsi="Times New Roman" w:cs="Times New Roman"/>
          <w:color w:val="000000" w:themeColor="text1"/>
          <w:sz w:val="20"/>
          <w:szCs w:val="20"/>
          <w:lang w:val="tr-TR"/>
        </w:rPr>
        <w:t xml:space="preserve"> in </w:t>
      </w:r>
      <w:proofErr w:type="spellStart"/>
      <w:r w:rsidRPr="009975EA">
        <w:rPr>
          <w:rFonts w:ascii="Times New Roman" w:hAnsi="Times New Roman" w:cs="Times New Roman"/>
          <w:color w:val="000000" w:themeColor="text1"/>
          <w:sz w:val="20"/>
          <w:szCs w:val="20"/>
          <w:lang w:val="tr-TR"/>
        </w:rPr>
        <w:t>the</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enterprise</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with</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the</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incidental</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rights</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mentioned</w:t>
      </w:r>
      <w:proofErr w:type="spellEnd"/>
      <w:r w:rsidRPr="009975EA">
        <w:rPr>
          <w:rFonts w:ascii="Times New Roman" w:hAnsi="Times New Roman" w:cs="Times New Roman"/>
          <w:color w:val="000000" w:themeColor="text1"/>
          <w:sz w:val="20"/>
          <w:szCs w:val="20"/>
          <w:lang w:val="tr-TR"/>
        </w:rPr>
        <w:t xml:space="preserve">; but, as </w:t>
      </w:r>
      <w:proofErr w:type="spellStart"/>
      <w:r w:rsidRPr="009975EA">
        <w:rPr>
          <w:rFonts w:ascii="Times New Roman" w:hAnsi="Times New Roman" w:cs="Times New Roman"/>
          <w:color w:val="000000" w:themeColor="text1"/>
          <w:sz w:val="20"/>
          <w:szCs w:val="20"/>
          <w:lang w:val="tr-TR"/>
        </w:rPr>
        <w:t>stockholder</w:t>
      </w:r>
      <w:proofErr w:type="spellEnd"/>
      <w:r w:rsidRPr="009975EA">
        <w:rPr>
          <w:rFonts w:ascii="Times New Roman" w:hAnsi="Times New Roman" w:cs="Times New Roman"/>
          <w:color w:val="000000" w:themeColor="text1"/>
          <w:sz w:val="20"/>
          <w:szCs w:val="20"/>
          <w:lang w:val="tr-TR"/>
        </w:rPr>
        <w:t xml:space="preserve">, he has </w:t>
      </w:r>
      <w:proofErr w:type="spellStart"/>
      <w:r w:rsidRPr="009975EA">
        <w:rPr>
          <w:rFonts w:ascii="Times New Roman" w:hAnsi="Times New Roman" w:cs="Times New Roman"/>
          <w:color w:val="000000" w:themeColor="text1"/>
          <w:sz w:val="20"/>
          <w:szCs w:val="20"/>
          <w:lang w:val="tr-TR"/>
        </w:rPr>
        <w:t>no</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right</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to</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withdraw</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only</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the</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right</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to</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persist</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subject</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to</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the</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risks</w:t>
      </w:r>
      <w:proofErr w:type="spellEnd"/>
      <w:r w:rsidRPr="009975EA">
        <w:rPr>
          <w:rFonts w:ascii="Times New Roman" w:hAnsi="Times New Roman" w:cs="Times New Roman"/>
          <w:color w:val="000000" w:themeColor="text1"/>
          <w:sz w:val="20"/>
          <w:szCs w:val="20"/>
          <w:lang w:val="tr-TR"/>
        </w:rPr>
        <w:t xml:space="preserve"> of </w:t>
      </w:r>
      <w:proofErr w:type="spellStart"/>
      <w:r w:rsidRPr="009975EA">
        <w:rPr>
          <w:rFonts w:ascii="Times New Roman" w:hAnsi="Times New Roman" w:cs="Times New Roman"/>
          <w:color w:val="000000" w:themeColor="text1"/>
          <w:sz w:val="20"/>
          <w:szCs w:val="20"/>
          <w:lang w:val="tr-TR"/>
        </w:rPr>
        <w:t>the</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enterprise</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and</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looking</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only</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to</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dividends</w:t>
      </w:r>
      <w:proofErr w:type="spellEnd"/>
      <w:r w:rsidRPr="009975EA">
        <w:rPr>
          <w:rFonts w:ascii="Times New Roman" w:hAnsi="Times New Roman" w:cs="Times New Roman"/>
          <w:color w:val="000000" w:themeColor="text1"/>
          <w:sz w:val="20"/>
          <w:szCs w:val="20"/>
          <w:lang w:val="tr-TR"/>
        </w:rPr>
        <w:t xml:space="preserve"> </w:t>
      </w:r>
      <w:proofErr w:type="spellStart"/>
      <w:r w:rsidRPr="009975EA">
        <w:rPr>
          <w:rFonts w:ascii="Times New Roman" w:hAnsi="Times New Roman" w:cs="Times New Roman"/>
          <w:color w:val="000000" w:themeColor="text1"/>
          <w:sz w:val="20"/>
          <w:szCs w:val="20"/>
          <w:lang w:val="tr-TR"/>
        </w:rPr>
        <w:t>for</w:t>
      </w:r>
      <w:proofErr w:type="spellEnd"/>
      <w:r w:rsidRPr="009975EA">
        <w:rPr>
          <w:rFonts w:ascii="Times New Roman" w:hAnsi="Times New Roman" w:cs="Times New Roman"/>
          <w:color w:val="000000" w:themeColor="text1"/>
          <w:sz w:val="20"/>
          <w:szCs w:val="20"/>
          <w:lang w:val="tr-TR"/>
        </w:rPr>
        <w:t xml:space="preserve"> his </w:t>
      </w:r>
      <w:proofErr w:type="spellStart"/>
      <w:r w:rsidRPr="009975EA">
        <w:rPr>
          <w:rFonts w:ascii="Times New Roman" w:hAnsi="Times New Roman" w:cs="Times New Roman"/>
          <w:color w:val="000000" w:themeColor="text1"/>
          <w:sz w:val="20"/>
          <w:szCs w:val="20"/>
          <w:lang w:val="tr-TR"/>
        </w:rPr>
        <w:t>return</w:t>
      </w:r>
      <w:proofErr w:type="spellEnd"/>
      <w:r w:rsidRPr="009975EA">
        <w:rPr>
          <w:rFonts w:ascii="Times New Roman" w:hAnsi="Times New Roman" w:cs="Times New Roman"/>
          <w:color w:val="000000" w:themeColor="text1"/>
          <w:sz w:val="20"/>
          <w:szCs w:val="20"/>
          <w:lang w:val="tr-TR"/>
        </w:rPr>
        <w:t>.”</w:t>
      </w:r>
    </w:p>
  </w:footnote>
  <w:footnote w:id="478">
    <w:p w14:paraId="6AC204F5" w14:textId="21E9368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Fix v. Fix Material Co., Inc., 538 S.W.2d 351 (1976).</w:t>
      </w:r>
    </w:p>
  </w:footnote>
  <w:footnote w:id="479">
    <w:p w14:paraId="295B8B9D" w14:textId="032E07F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Pr>
          <w:rFonts w:ascii="Times New Roman" w:hAnsi="Times New Roman" w:cs="Times New Roman"/>
          <w:color w:val="000000"/>
          <w:sz w:val="20"/>
          <w:szCs w:val="20"/>
        </w:rPr>
        <w:t xml:space="preserve">Geoffrey Morse, Enid A. Marshall, </w:t>
      </w:r>
      <w:r w:rsidRPr="009975EA">
        <w:rPr>
          <w:rFonts w:ascii="Times New Roman" w:hAnsi="Times New Roman" w:cs="Times New Roman"/>
          <w:color w:val="000000"/>
          <w:sz w:val="20"/>
          <w:szCs w:val="20"/>
        </w:rPr>
        <w:t xml:space="preserve">Richard Morris, </w:t>
      </w:r>
      <w:r w:rsidRPr="00323D66">
        <w:rPr>
          <w:rFonts w:ascii="Times New Roman" w:hAnsi="Times New Roman" w:cs="Times New Roman"/>
          <w:i/>
          <w:color w:val="000000"/>
          <w:sz w:val="20"/>
          <w:szCs w:val="20"/>
        </w:rPr>
        <w:t>Charlesworth’s Company Law</w:t>
      </w:r>
      <w:r>
        <w:rPr>
          <w:rFonts w:ascii="Times New Roman" w:hAnsi="Times New Roman" w:cs="Times New Roman"/>
          <w:color w:val="000000"/>
          <w:sz w:val="20"/>
          <w:szCs w:val="20"/>
        </w:rPr>
        <w:t xml:space="preserve"> 585, 586 (13th Ed. </w:t>
      </w:r>
      <w:r w:rsidRPr="009975EA">
        <w:rPr>
          <w:rFonts w:ascii="Times New Roman" w:hAnsi="Times New Roman" w:cs="Times New Roman"/>
          <w:color w:val="000000"/>
          <w:sz w:val="20"/>
          <w:szCs w:val="20"/>
        </w:rPr>
        <w:t>1987</w:t>
      </w:r>
      <w:r>
        <w:rPr>
          <w:rFonts w:ascii="Times New Roman" w:hAnsi="Times New Roman" w:cs="Times New Roman"/>
          <w:color w:val="000000"/>
          <w:sz w:val="20"/>
          <w:szCs w:val="20"/>
        </w:rPr>
        <w:t>).</w:t>
      </w:r>
    </w:p>
  </w:footnote>
  <w:footnote w:id="480">
    <w:p w14:paraId="44CFD6D2" w14:textId="433491E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generally; </w:t>
      </w:r>
      <w:proofErr w:type="spellStart"/>
      <w:r w:rsidRPr="009975EA">
        <w:rPr>
          <w:rFonts w:ascii="Times New Roman" w:hAnsi="Times New Roman" w:cs="Times New Roman"/>
          <w:sz w:val="20"/>
          <w:szCs w:val="20"/>
        </w:rPr>
        <w:t>Balotti</w:t>
      </w:r>
      <w:proofErr w:type="spellEnd"/>
      <w:r w:rsidRPr="009975EA">
        <w:rPr>
          <w:rFonts w:ascii="Times New Roman" w:hAnsi="Times New Roman" w:cs="Times New Roman"/>
          <w:sz w:val="20"/>
          <w:szCs w:val="20"/>
        </w:rPr>
        <w:t>/Finkelstein, Foreword.</w:t>
      </w:r>
    </w:p>
  </w:footnote>
  <w:footnote w:id="481">
    <w:p w14:paraId="149D1B75" w14:textId="4484068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Delaware, no corporation can pay dividen</w:t>
      </w:r>
      <w:r w:rsidR="002447EA">
        <w:rPr>
          <w:rFonts w:ascii="Times New Roman" w:hAnsi="Times New Roman" w:cs="Times New Roman"/>
          <w:sz w:val="20"/>
          <w:szCs w:val="20"/>
        </w:rPr>
        <w:t>d</w:t>
      </w:r>
      <w:r w:rsidRPr="009975EA">
        <w:rPr>
          <w:rFonts w:ascii="Times New Roman" w:hAnsi="Times New Roman" w:cs="Times New Roman"/>
          <w:sz w:val="20"/>
          <w:szCs w:val="20"/>
        </w:rPr>
        <w:t xml:space="preserve">s except in </w:t>
      </w:r>
      <w:proofErr w:type="spellStart"/>
      <w:r w:rsidRPr="009975EA">
        <w:rPr>
          <w:rFonts w:ascii="Times New Roman" w:hAnsi="Times New Roman" w:cs="Times New Roman"/>
          <w:sz w:val="20"/>
          <w:szCs w:val="20"/>
        </w:rPr>
        <w:t>accordane</w:t>
      </w:r>
      <w:proofErr w:type="spellEnd"/>
      <w:r w:rsidRPr="009975EA">
        <w:rPr>
          <w:rFonts w:ascii="Times New Roman" w:hAnsi="Times New Roman" w:cs="Times New Roman"/>
          <w:sz w:val="20"/>
          <w:szCs w:val="20"/>
        </w:rPr>
        <w:t xml:space="preserve"> with the statute (Del. Code Title 8 Sec. 173), and the statute permits dividends to be paid out of surplus or if there is no surplus, out of net profits in the same or preceding year (Del. Code Title 8 Sec. 170). </w:t>
      </w:r>
    </w:p>
  </w:footnote>
  <w:footnote w:id="482">
    <w:p w14:paraId="7A27428D" w14:textId="4511F42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Gabelli &amp; Co., Inc. v. Liggett Group Inc., 479 A.2d 276 (1984).</w:t>
      </w:r>
    </w:p>
  </w:footnote>
  <w:footnote w:id="483">
    <w:p w14:paraId="06971259" w14:textId="7A7E42F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“With respect to the economic rights, dividends are simply far less significant than the right to sell shares. Because the decision to pay dividends is </w:t>
      </w:r>
      <w:proofErr w:type="spellStart"/>
      <w:r w:rsidRPr="009975EA">
        <w:rPr>
          <w:rFonts w:ascii="Times New Roman" w:hAnsi="Times New Roman" w:cs="Times New Roman"/>
          <w:sz w:val="20"/>
          <w:szCs w:val="20"/>
        </w:rPr>
        <w:t>withi</w:t>
      </w:r>
      <w:proofErr w:type="spellEnd"/>
      <w:r w:rsidRPr="009975EA">
        <w:rPr>
          <w:rFonts w:ascii="Times New Roman" w:hAnsi="Times New Roman" w:cs="Times New Roman"/>
          <w:sz w:val="20"/>
          <w:szCs w:val="20"/>
        </w:rPr>
        <w:t xml:space="preserve"> the discretion of the board of directors, the legal ‘right’ to dividends is illusory.” (Julian Velasco, </w:t>
      </w:r>
      <w:r w:rsidRPr="00323D66">
        <w:rPr>
          <w:rFonts w:ascii="Times New Roman" w:hAnsi="Times New Roman" w:cs="Times New Roman"/>
          <w:i/>
          <w:sz w:val="20"/>
          <w:szCs w:val="20"/>
        </w:rPr>
        <w:t>The Fundamental Rights of the Shareholder</w:t>
      </w:r>
      <w:r w:rsidRPr="009975EA">
        <w:rPr>
          <w:rFonts w:ascii="Times New Roman" w:hAnsi="Times New Roman" w:cs="Times New Roman"/>
          <w:sz w:val="20"/>
          <w:szCs w:val="20"/>
        </w:rPr>
        <w:t>, 40 U</w:t>
      </w:r>
      <w:r>
        <w:rPr>
          <w:rFonts w:ascii="Times New Roman" w:hAnsi="Times New Roman" w:cs="Times New Roman"/>
          <w:sz w:val="20"/>
          <w:szCs w:val="20"/>
        </w:rPr>
        <w:t xml:space="preserve">.C. Davis L. Rev. 407 (2006) at </w:t>
      </w:r>
      <w:r w:rsidRPr="009975EA">
        <w:rPr>
          <w:rFonts w:ascii="Times New Roman" w:hAnsi="Times New Roman" w:cs="Times New Roman"/>
          <w:sz w:val="20"/>
          <w:szCs w:val="20"/>
        </w:rPr>
        <w:t xml:space="preserve">424). </w:t>
      </w:r>
    </w:p>
  </w:footnote>
  <w:footnote w:id="484">
    <w:p w14:paraId="000DF0C5" w14:textId="1B30E8B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Veliye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Yanli</w:t>
      </w:r>
      <w:proofErr w:type="spellEnd"/>
      <w:r>
        <w:rPr>
          <w:rFonts w:ascii="Times New Roman" w:hAnsi="Times New Roman" w:cs="Times New Roman"/>
          <w:sz w:val="20"/>
          <w:szCs w:val="20"/>
        </w:rPr>
        <w:t xml:space="preserve">, </w:t>
      </w:r>
      <w:r w:rsidRPr="00323D66">
        <w:rPr>
          <w:rFonts w:ascii="Times New Roman" w:hAnsi="Times New Roman" w:cs="Times New Roman"/>
          <w:i/>
          <w:sz w:val="20"/>
          <w:szCs w:val="20"/>
        </w:rPr>
        <w:t xml:space="preserve">Yeni </w:t>
      </w:r>
      <w:proofErr w:type="spellStart"/>
      <w:r w:rsidRPr="00323D66">
        <w:rPr>
          <w:rFonts w:ascii="Times New Roman" w:hAnsi="Times New Roman" w:cs="Times New Roman"/>
          <w:i/>
          <w:sz w:val="20"/>
          <w:szCs w:val="20"/>
        </w:rPr>
        <w:t>Ticaret</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Kanunu</w:t>
      </w:r>
      <w:proofErr w:type="spellEnd"/>
      <w:r w:rsidRPr="00323D66">
        <w:rPr>
          <w:rFonts w:ascii="Times New Roman" w:hAnsi="Times New Roman" w:cs="Times New Roman"/>
          <w:i/>
          <w:sz w:val="20"/>
          <w:szCs w:val="20"/>
        </w:rPr>
        <w:t xml:space="preserve"> ve </w:t>
      </w:r>
      <w:proofErr w:type="spellStart"/>
      <w:r w:rsidRPr="00323D66">
        <w:rPr>
          <w:rFonts w:ascii="Times New Roman" w:hAnsi="Times New Roman" w:cs="Times New Roman"/>
          <w:i/>
          <w:sz w:val="20"/>
          <w:szCs w:val="20"/>
        </w:rPr>
        <w:t>Anonim</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Sirketlerde</w:t>
      </w:r>
      <w:proofErr w:type="spellEnd"/>
      <w:r w:rsidRPr="00323D66">
        <w:rPr>
          <w:rFonts w:ascii="Times New Roman" w:hAnsi="Times New Roman" w:cs="Times New Roman"/>
          <w:i/>
          <w:sz w:val="20"/>
          <w:szCs w:val="20"/>
        </w:rPr>
        <w:t xml:space="preserve"> Kar </w:t>
      </w:r>
      <w:proofErr w:type="spellStart"/>
      <w:r w:rsidRPr="00323D66">
        <w:rPr>
          <w:rFonts w:ascii="Times New Roman" w:hAnsi="Times New Roman" w:cs="Times New Roman"/>
          <w:i/>
          <w:sz w:val="20"/>
          <w:szCs w:val="20"/>
        </w:rPr>
        <w:t>Dagitimi</w:t>
      </w:r>
      <w:proofErr w:type="spellEnd"/>
      <w:r w:rsidRPr="009975EA">
        <w:rPr>
          <w:rFonts w:ascii="Times New Roman" w:hAnsi="Times New Roman" w:cs="Times New Roman"/>
          <w:sz w:val="20"/>
          <w:szCs w:val="20"/>
        </w:rPr>
        <w:t>, BATIDER</w:t>
      </w:r>
      <w:r>
        <w:rPr>
          <w:rFonts w:ascii="Times New Roman" w:hAnsi="Times New Roman" w:cs="Times New Roman"/>
          <w:sz w:val="20"/>
          <w:szCs w:val="20"/>
        </w:rPr>
        <w:t xml:space="preserve"> Issue XXX No.1, Ankara 2014, at </w:t>
      </w:r>
      <w:r w:rsidRPr="009975EA">
        <w:rPr>
          <w:rFonts w:ascii="Times New Roman" w:hAnsi="Times New Roman" w:cs="Times New Roman"/>
          <w:sz w:val="20"/>
          <w:szCs w:val="20"/>
        </w:rPr>
        <w:t xml:space="preserve">30. In the context of publicly traded corporations, this authority is explicitly underlined in the Article 4(2)(a) of the Dividend </w:t>
      </w:r>
      <w:proofErr w:type="spellStart"/>
      <w:r w:rsidRPr="009975EA">
        <w:rPr>
          <w:rFonts w:ascii="Times New Roman" w:hAnsi="Times New Roman" w:cs="Times New Roman"/>
          <w:sz w:val="20"/>
          <w:szCs w:val="20"/>
        </w:rPr>
        <w:t>Comminique</w:t>
      </w:r>
      <w:proofErr w:type="spellEnd"/>
      <w:r w:rsidRPr="009975EA">
        <w:rPr>
          <w:rFonts w:ascii="Times New Roman" w:hAnsi="Times New Roman" w:cs="Times New Roman"/>
          <w:sz w:val="20"/>
          <w:szCs w:val="20"/>
        </w:rPr>
        <w:t xml:space="preserve">, which states that the “dividend distribution policy” of the corporation should contain information on “whether dividend will be distributed or not, and if so, rates of distribution”. On the other hand, this principle is subject to debate for non- publicly traded corporations (See generally, </w:t>
      </w:r>
      <w:proofErr w:type="spellStart"/>
      <w:r w:rsidRPr="009975EA">
        <w:rPr>
          <w:rFonts w:ascii="Times New Roman" w:hAnsi="Times New Roman" w:cs="Times New Roman"/>
          <w:sz w:val="20"/>
          <w:szCs w:val="20"/>
        </w:rPr>
        <w:t>Yanli</w:t>
      </w:r>
      <w:proofErr w:type="spellEnd"/>
      <w:r w:rsidRPr="009975EA">
        <w:rPr>
          <w:rFonts w:ascii="Times New Roman" w:hAnsi="Times New Roman" w:cs="Times New Roman"/>
          <w:sz w:val="20"/>
          <w:szCs w:val="20"/>
        </w:rPr>
        <w:t xml:space="preserve">, Yeni </w:t>
      </w:r>
      <w:proofErr w:type="spellStart"/>
      <w:r w:rsidRPr="009975EA">
        <w:rPr>
          <w:rFonts w:ascii="Times New Roman" w:hAnsi="Times New Roman" w:cs="Times New Roman"/>
          <w:sz w:val="20"/>
          <w:szCs w:val="20"/>
        </w:rPr>
        <w:t>Ticaret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Kanunu</w:t>
      </w:r>
      <w:proofErr w:type="spellEnd"/>
      <w:r w:rsidRPr="009975EA">
        <w:rPr>
          <w:rFonts w:ascii="Times New Roman" w:hAnsi="Times New Roman" w:cs="Times New Roman"/>
          <w:sz w:val="20"/>
          <w:szCs w:val="20"/>
        </w:rPr>
        <w:t xml:space="preserve">), and the authority to freely determine the dividend rates is also limited: For example, Article 7 of the Dividend </w:t>
      </w:r>
      <w:proofErr w:type="spellStart"/>
      <w:r w:rsidRPr="009975EA">
        <w:rPr>
          <w:rFonts w:ascii="Times New Roman" w:hAnsi="Times New Roman" w:cs="Times New Roman"/>
          <w:sz w:val="20"/>
          <w:szCs w:val="20"/>
        </w:rPr>
        <w:t>Comminique</w:t>
      </w:r>
      <w:proofErr w:type="spellEnd"/>
      <w:r w:rsidRPr="009975EA">
        <w:rPr>
          <w:rFonts w:ascii="Times New Roman" w:hAnsi="Times New Roman" w:cs="Times New Roman"/>
          <w:sz w:val="20"/>
          <w:szCs w:val="20"/>
        </w:rPr>
        <w:t xml:space="preserve"> states that non- publicly traded corporations’ rate of distribution of dividends cannot be less than twenty percent of the net distributable profits. Also, some courts opine that a non- publicly traded corporation should declare at least five percent of the profits as </w:t>
      </w:r>
      <w:proofErr w:type="gramStart"/>
      <w:r w:rsidRPr="009975EA">
        <w:rPr>
          <w:rFonts w:ascii="Times New Roman" w:hAnsi="Times New Roman" w:cs="Times New Roman"/>
          <w:sz w:val="20"/>
          <w:szCs w:val="20"/>
        </w:rPr>
        <w:t>dividends, when</w:t>
      </w:r>
      <w:proofErr w:type="gramEnd"/>
      <w:r w:rsidRPr="009975EA">
        <w:rPr>
          <w:rFonts w:ascii="Times New Roman" w:hAnsi="Times New Roman" w:cs="Times New Roman"/>
          <w:sz w:val="20"/>
          <w:szCs w:val="20"/>
        </w:rPr>
        <w:t xml:space="preserve"> the statuto</w:t>
      </w:r>
      <w:r>
        <w:rPr>
          <w:rFonts w:ascii="Times New Roman" w:hAnsi="Times New Roman" w:cs="Times New Roman"/>
          <w:sz w:val="20"/>
          <w:szCs w:val="20"/>
        </w:rPr>
        <w:t>ry reserves are filled up (</w:t>
      </w:r>
      <w:proofErr w:type="spellStart"/>
      <w:r w:rsidRPr="009975EA">
        <w:rPr>
          <w:rFonts w:ascii="Times New Roman" w:hAnsi="Times New Roman" w:cs="Times New Roman"/>
          <w:sz w:val="20"/>
          <w:szCs w:val="20"/>
        </w:rPr>
        <w:t>Sayistay</w:t>
      </w:r>
      <w:proofErr w:type="spellEnd"/>
      <w:r w:rsidRPr="009975EA">
        <w:rPr>
          <w:rFonts w:ascii="Times New Roman" w:hAnsi="Times New Roman" w:cs="Times New Roman"/>
          <w:sz w:val="20"/>
          <w:szCs w:val="20"/>
        </w:rPr>
        <w:t xml:space="preserve"> 7. D. K. 100 T. 14.4.2016).</w:t>
      </w:r>
    </w:p>
  </w:footnote>
  <w:footnote w:id="485">
    <w:p w14:paraId="631FC434" w14:textId="2508139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2012/13234 K. 2014/3514 T. 25/02/2014.</w:t>
      </w:r>
    </w:p>
  </w:footnote>
  <w:footnote w:id="486">
    <w:p w14:paraId="70644ECB" w14:textId="7EB10D4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TCC Article 509(2) states that dividends can be paid out of only net profit and free statutory reserves. It can be said that, by requiring satisfaction of certain conditions for accumulating funds in the reserves, TCC article 523 protects and guarantees shareholders’ right to </w:t>
      </w:r>
      <w:proofErr w:type="spellStart"/>
      <w:r w:rsidRPr="009975EA">
        <w:rPr>
          <w:rFonts w:ascii="Times New Roman" w:hAnsi="Times New Roman" w:cs="Times New Roman"/>
          <w:sz w:val="20"/>
          <w:szCs w:val="20"/>
        </w:rPr>
        <w:t>divindend</w:t>
      </w:r>
      <w:proofErr w:type="spellEnd"/>
      <w:r w:rsidRPr="009975EA">
        <w:rPr>
          <w:rFonts w:ascii="Times New Roman" w:hAnsi="Times New Roman" w:cs="Times New Roman"/>
          <w:sz w:val="20"/>
          <w:szCs w:val="20"/>
        </w:rPr>
        <w:t>. For a similar analogy concerning German law, see, Berger, p.714.</w:t>
      </w:r>
    </w:p>
  </w:footnote>
  <w:footnote w:id="487">
    <w:p w14:paraId="631D7712" w14:textId="505ED240"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Wabash</w:t>
      </w:r>
      <w:proofErr w:type="spellEnd"/>
      <w:r w:rsidRPr="009975EA">
        <w:rPr>
          <w:rFonts w:ascii="Times New Roman" w:hAnsi="Times New Roman" w:cs="Times New Roman"/>
          <w:sz w:val="20"/>
          <w:szCs w:val="20"/>
        </w:rPr>
        <w:t xml:space="preserve"> R.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Barclay</w:t>
      </w:r>
      <w:proofErr w:type="spellEnd"/>
      <w:r w:rsidRPr="009975EA">
        <w:rPr>
          <w:rFonts w:ascii="Times New Roman" w:hAnsi="Times New Roman" w:cs="Times New Roman"/>
          <w:sz w:val="20"/>
          <w:szCs w:val="20"/>
        </w:rPr>
        <w:t>, 280 U.S. 197 (1930):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man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instead</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bonds</w:t>
      </w:r>
      <w:proofErr w:type="spellEnd"/>
      <w:r w:rsidRPr="009975EA">
        <w:rPr>
          <w:rFonts w:ascii="Times New Roman" w:hAnsi="Times New Roman" w:cs="Times New Roman"/>
          <w:color w:val="000000"/>
          <w:sz w:val="20"/>
          <w:szCs w:val="20"/>
        </w:rPr>
        <w:t xml:space="preserve"> he </w:t>
      </w:r>
      <w:proofErr w:type="spellStart"/>
      <w:r w:rsidRPr="009975EA">
        <w:rPr>
          <w:rFonts w:ascii="Times New Roman" w:hAnsi="Times New Roman" w:cs="Times New Roman"/>
          <w:color w:val="000000"/>
          <w:sz w:val="20"/>
          <w:szCs w:val="20"/>
        </w:rPr>
        <w:t>takes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greater</w:t>
      </w:r>
      <w:proofErr w:type="spellEnd"/>
      <w:r w:rsidRPr="009975EA">
        <w:rPr>
          <w:rFonts w:ascii="Times New Roman" w:hAnsi="Times New Roman" w:cs="Times New Roman"/>
          <w:color w:val="000000"/>
          <w:sz w:val="20"/>
          <w:szCs w:val="20"/>
        </w:rPr>
        <w:t xml:space="preserve"> risk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No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suggests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he has a </w:t>
      </w:r>
      <w:proofErr w:type="spellStart"/>
      <w:r w:rsidRPr="009975EA">
        <w:rPr>
          <w:rFonts w:ascii="Times New Roman" w:hAnsi="Times New Roman" w:cs="Times New Roman"/>
          <w:color w:val="000000"/>
          <w:sz w:val="20"/>
          <w:szCs w:val="20"/>
        </w:rPr>
        <w:t>right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net </w:t>
      </w:r>
      <w:proofErr w:type="spellStart"/>
      <w:r w:rsidRPr="009975EA">
        <w:rPr>
          <w:rFonts w:ascii="Times New Roman" w:hAnsi="Times New Roman" w:cs="Times New Roman"/>
          <w:color w:val="000000"/>
          <w:sz w:val="20"/>
          <w:szCs w:val="20"/>
        </w:rPr>
        <w:t>earnings</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b/>
          <w:bCs/>
          <w:color w:val="000000"/>
          <w:sz w:val="20"/>
          <w:szCs w:val="20"/>
        </w:rPr>
        <w:t xml:space="preserve"> </w:t>
      </w:r>
      <w:proofErr w:type="spellStart"/>
      <w:r w:rsidRPr="009975EA">
        <w:rPr>
          <w:rFonts w:ascii="Times New Roman" w:hAnsi="Times New Roman" w:cs="Times New Roman"/>
          <w:color w:val="000000"/>
          <w:sz w:val="20"/>
          <w:szCs w:val="20"/>
        </w:rPr>
        <w:t>investment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presupposes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therefore</w:t>
      </w:r>
      <w:proofErr w:type="spellEnd"/>
      <w:r w:rsidRPr="009975EA">
        <w:rPr>
          <w:rFonts w:ascii="Times New Roman" w:hAnsi="Times New Roman" w:cs="Times New Roman"/>
          <w:b/>
          <w:bCs/>
          <w:i/>
          <w:iCs/>
          <w:color w:val="0B60C0"/>
          <w:sz w:val="20"/>
          <w:szCs w:val="20"/>
        </w:rPr>
        <w:t xml:space="preserve"> </w:t>
      </w:r>
      <w:proofErr w:type="spellStart"/>
      <w:r w:rsidRPr="009975EA">
        <w:rPr>
          <w:rFonts w:ascii="Times New Roman" w:hAnsi="Times New Roman" w:cs="Times New Roman"/>
          <w:color w:val="000000"/>
          <w:sz w:val="20"/>
          <w:szCs w:val="20"/>
        </w:rPr>
        <w:t>even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net </w:t>
      </w:r>
      <w:proofErr w:type="spellStart"/>
      <w:r w:rsidRPr="009975EA">
        <w:rPr>
          <w:rFonts w:ascii="Times New Roman" w:hAnsi="Times New Roman" w:cs="Times New Roman"/>
          <w:color w:val="000000"/>
          <w:sz w:val="20"/>
          <w:szCs w:val="20"/>
        </w:rPr>
        <w:t>earnings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holder</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preferred</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well</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common</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entitled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dividend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declared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 xml:space="preserve"> as can be </w:t>
      </w:r>
      <w:proofErr w:type="spellStart"/>
      <w:r w:rsidRPr="009975EA">
        <w:rPr>
          <w:rFonts w:ascii="Times New Roman" w:hAnsi="Times New Roman" w:cs="Times New Roman"/>
          <w:color w:val="000000"/>
          <w:sz w:val="20"/>
          <w:szCs w:val="20"/>
        </w:rPr>
        <w:t>applied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consistently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wise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administration</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going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concern</w:t>
      </w:r>
      <w:proofErr w:type="spellEnd"/>
      <w:r w:rsidRPr="009975EA">
        <w:rPr>
          <w:rFonts w:ascii="Times New Roman" w:hAnsi="Times New Roman" w:cs="Times New Roman"/>
          <w:color w:val="000000"/>
          <w:sz w:val="20"/>
          <w:szCs w:val="20"/>
        </w:rPr>
        <w:t>.”</w:t>
      </w:r>
    </w:p>
  </w:footnote>
  <w:footnote w:id="488">
    <w:p w14:paraId="02F9D16C" w14:textId="0AB6D519"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Argo Data Resource </w:t>
      </w:r>
      <w:proofErr w:type="spellStart"/>
      <w:r w:rsidRPr="009975EA">
        <w:rPr>
          <w:rFonts w:ascii="Times New Roman" w:hAnsi="Times New Roman" w:cs="Times New Roman"/>
          <w:sz w:val="20"/>
          <w:szCs w:val="20"/>
        </w:rPr>
        <w:t>Corp</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Shagrithaya</w:t>
      </w:r>
      <w:proofErr w:type="spellEnd"/>
      <w:r w:rsidRPr="009975EA">
        <w:rPr>
          <w:rFonts w:ascii="Times New Roman" w:hAnsi="Times New Roman" w:cs="Times New Roman"/>
          <w:sz w:val="20"/>
          <w:szCs w:val="20"/>
        </w:rPr>
        <w:t>, 380 S.W.3d 249 (2012): “</w:t>
      </w:r>
      <w:proofErr w:type="spellStart"/>
      <w:r w:rsidRPr="009975EA">
        <w:rPr>
          <w:rFonts w:ascii="Times New Roman" w:hAnsi="Times New Roman" w:cs="Times New Roman"/>
          <w:color w:val="000000"/>
          <w:sz w:val="20"/>
          <w:szCs w:val="20"/>
        </w:rPr>
        <w:t>Therefore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general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limited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sharing</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earnings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through</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appreciation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his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receiving</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proportional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board of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choose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issue</w:t>
      </w:r>
      <w:proofErr w:type="spellEnd"/>
      <w:r w:rsidRPr="009975EA">
        <w:rPr>
          <w:rFonts w:ascii="Times New Roman" w:hAnsi="Times New Roman" w:cs="Times New Roman"/>
          <w:color w:val="000000"/>
          <w:sz w:val="20"/>
          <w:szCs w:val="20"/>
        </w:rPr>
        <w:t>.”</w:t>
      </w:r>
    </w:p>
  </w:footnote>
  <w:footnote w:id="489">
    <w:p w14:paraId="4215D168" w14:textId="1030CD45" w:rsidR="00D36541" w:rsidRPr="009975EA" w:rsidRDefault="00D36541" w:rsidP="009975EA">
      <w:pPr>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Dodge v. Ford Motor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204 </w:t>
      </w:r>
      <w:proofErr w:type="spellStart"/>
      <w:r w:rsidRPr="009975EA">
        <w:rPr>
          <w:rFonts w:ascii="Times New Roman" w:hAnsi="Times New Roman" w:cs="Times New Roman"/>
          <w:sz w:val="20"/>
          <w:szCs w:val="20"/>
        </w:rPr>
        <w:t>Mich</w:t>
      </w:r>
      <w:proofErr w:type="spellEnd"/>
      <w:r w:rsidRPr="009975EA">
        <w:rPr>
          <w:rFonts w:ascii="Times New Roman" w:hAnsi="Times New Roman" w:cs="Times New Roman"/>
          <w:sz w:val="20"/>
          <w:szCs w:val="20"/>
        </w:rPr>
        <w:t>. 459 (1919): “</w:t>
      </w:r>
      <w:proofErr w:type="spellStart"/>
      <w:r w:rsidRPr="009975EA">
        <w:rPr>
          <w:rFonts w:ascii="Times New Roman" w:hAnsi="Times New Roman" w:cs="Times New Roman"/>
          <w:sz w:val="20"/>
          <w:szCs w:val="20"/>
        </w:rPr>
        <w:t>If</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majority</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directors</w:t>
      </w:r>
      <w:proofErr w:type="spellEnd"/>
      <w:r w:rsidRPr="009975EA">
        <w:rPr>
          <w:rFonts w:ascii="Times New Roman" w:hAnsi="Times New Roman" w:cs="Times New Roman"/>
          <w:sz w:val="20"/>
          <w:szCs w:val="20"/>
        </w:rPr>
        <w:t xml:space="preserve"> of a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refuse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declare</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dividend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distribute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profits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earned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company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feeling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aggrieved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obtain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relief</w:t>
      </w:r>
      <w:proofErr w:type="spellEnd"/>
      <w:r w:rsidRPr="009975EA">
        <w:rPr>
          <w:rFonts w:ascii="Times New Roman" w:hAnsi="Times New Roman" w:cs="Times New Roman"/>
          <w:sz w:val="20"/>
          <w:szCs w:val="20"/>
        </w:rPr>
        <w:t xml:space="preserve"> in a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equity</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hold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entire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profits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merely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enlarge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capacity</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company’s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would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defeat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just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expectations</w:t>
      </w:r>
      <w:proofErr w:type="spellEnd"/>
      <w:r w:rsidRPr="009975EA">
        <w:rPr>
          <w:rFonts w:ascii="Times New Roman" w:hAnsi="Times New Roman" w:cs="Times New Roman"/>
          <w:sz w:val="20"/>
          <w:szCs w:val="20"/>
        </w:rPr>
        <w:t xml:space="preserve">.”. </w:t>
      </w:r>
    </w:p>
  </w:footnote>
  <w:footnote w:id="490">
    <w:p w14:paraId="257C2F1C"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Baker v. Commercial Body Builders, Inc., 264 Or. 614 (1973).</w:t>
      </w:r>
    </w:p>
  </w:footnote>
  <w:footnote w:id="491">
    <w:p w14:paraId="038C5EDD" w14:textId="1496FB1A" w:rsidR="002B0602" w:rsidRPr="0047452F" w:rsidRDefault="002B0602"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00D17B7B" w:rsidRPr="0047452F">
        <w:rPr>
          <w:rFonts w:ascii="Times New Roman" w:hAnsi="Times New Roman" w:cs="Times New Roman"/>
          <w:sz w:val="20"/>
          <w:szCs w:val="20"/>
        </w:rPr>
        <w:t xml:space="preserve">See, Kemal </w:t>
      </w:r>
      <w:proofErr w:type="spellStart"/>
      <w:r w:rsidR="00D17B7B" w:rsidRPr="0047452F">
        <w:rPr>
          <w:rFonts w:ascii="Times New Roman" w:hAnsi="Times New Roman" w:cs="Times New Roman"/>
          <w:sz w:val="20"/>
          <w:szCs w:val="20"/>
        </w:rPr>
        <w:t>Bahriyeli</w:t>
      </w:r>
      <w:proofErr w:type="spellEnd"/>
      <w:r w:rsidR="00D17B7B" w:rsidRPr="0047452F">
        <w:rPr>
          <w:rFonts w:ascii="Times New Roman" w:hAnsi="Times New Roman" w:cs="Times New Roman"/>
          <w:sz w:val="20"/>
          <w:szCs w:val="20"/>
        </w:rPr>
        <w:t xml:space="preserve">, </w:t>
      </w:r>
      <w:r w:rsidR="00D17B7B" w:rsidRPr="0047452F">
        <w:rPr>
          <w:rFonts w:ascii="Times New Roman" w:hAnsi="Times New Roman" w:cs="Times New Roman"/>
          <w:i/>
          <w:iCs/>
          <w:sz w:val="20"/>
          <w:szCs w:val="20"/>
        </w:rPr>
        <w:t xml:space="preserve">Kar </w:t>
      </w:r>
      <w:proofErr w:type="spellStart"/>
      <w:r w:rsidR="00D17B7B" w:rsidRPr="0047452F">
        <w:rPr>
          <w:rFonts w:ascii="Times New Roman" w:hAnsi="Times New Roman" w:cs="Times New Roman"/>
          <w:i/>
          <w:iCs/>
          <w:sz w:val="20"/>
          <w:szCs w:val="20"/>
        </w:rPr>
        <w:t>Payı</w:t>
      </w:r>
      <w:proofErr w:type="spellEnd"/>
      <w:r w:rsidR="00D17B7B" w:rsidRPr="0047452F">
        <w:rPr>
          <w:rFonts w:ascii="Times New Roman" w:hAnsi="Times New Roman" w:cs="Times New Roman"/>
          <w:i/>
          <w:iCs/>
          <w:sz w:val="20"/>
          <w:szCs w:val="20"/>
        </w:rPr>
        <w:t xml:space="preserve"> </w:t>
      </w:r>
      <w:proofErr w:type="spellStart"/>
      <w:r w:rsidR="00D17B7B" w:rsidRPr="0047452F">
        <w:rPr>
          <w:rFonts w:ascii="Times New Roman" w:hAnsi="Times New Roman" w:cs="Times New Roman"/>
          <w:i/>
          <w:iCs/>
          <w:sz w:val="20"/>
          <w:szCs w:val="20"/>
        </w:rPr>
        <w:t>Ödenmemesi</w:t>
      </w:r>
      <w:proofErr w:type="spellEnd"/>
      <w:r w:rsidR="00D17B7B" w:rsidRPr="0047452F">
        <w:rPr>
          <w:rFonts w:ascii="Times New Roman" w:hAnsi="Times New Roman" w:cs="Times New Roman"/>
          <w:i/>
          <w:iCs/>
          <w:sz w:val="20"/>
          <w:szCs w:val="20"/>
        </w:rPr>
        <w:t xml:space="preserve"> </w:t>
      </w:r>
      <w:proofErr w:type="spellStart"/>
      <w:r w:rsidR="00D17B7B" w:rsidRPr="0047452F">
        <w:rPr>
          <w:rFonts w:ascii="Times New Roman" w:hAnsi="Times New Roman" w:cs="Times New Roman"/>
          <w:i/>
          <w:iCs/>
          <w:sz w:val="20"/>
          <w:szCs w:val="20"/>
        </w:rPr>
        <w:t>Nedeniyle</w:t>
      </w:r>
      <w:proofErr w:type="spellEnd"/>
      <w:r w:rsidR="00D17B7B" w:rsidRPr="0047452F">
        <w:rPr>
          <w:rFonts w:ascii="Times New Roman" w:hAnsi="Times New Roman" w:cs="Times New Roman"/>
          <w:i/>
          <w:iCs/>
          <w:sz w:val="20"/>
          <w:szCs w:val="20"/>
        </w:rPr>
        <w:t xml:space="preserve"> </w:t>
      </w:r>
      <w:proofErr w:type="spellStart"/>
      <w:r w:rsidR="00D17B7B" w:rsidRPr="0047452F">
        <w:rPr>
          <w:rFonts w:ascii="Times New Roman" w:hAnsi="Times New Roman" w:cs="Times New Roman"/>
          <w:i/>
          <w:iCs/>
          <w:sz w:val="20"/>
          <w:szCs w:val="20"/>
        </w:rPr>
        <w:t>Anonim</w:t>
      </w:r>
      <w:proofErr w:type="spellEnd"/>
      <w:r w:rsidR="00D17B7B" w:rsidRPr="0047452F">
        <w:rPr>
          <w:rFonts w:ascii="Times New Roman" w:hAnsi="Times New Roman" w:cs="Times New Roman"/>
          <w:i/>
          <w:iCs/>
          <w:sz w:val="20"/>
          <w:szCs w:val="20"/>
        </w:rPr>
        <w:t xml:space="preserve"> </w:t>
      </w:r>
      <w:proofErr w:type="spellStart"/>
      <w:r w:rsidR="00D17B7B" w:rsidRPr="0047452F">
        <w:rPr>
          <w:rFonts w:ascii="Times New Roman" w:hAnsi="Times New Roman" w:cs="Times New Roman"/>
          <w:i/>
          <w:iCs/>
          <w:sz w:val="20"/>
          <w:szCs w:val="20"/>
        </w:rPr>
        <w:t>Şirketin</w:t>
      </w:r>
      <w:proofErr w:type="spellEnd"/>
      <w:r w:rsidR="00D17B7B" w:rsidRPr="0047452F">
        <w:rPr>
          <w:rFonts w:ascii="Times New Roman" w:hAnsi="Times New Roman" w:cs="Times New Roman"/>
          <w:i/>
          <w:iCs/>
          <w:sz w:val="20"/>
          <w:szCs w:val="20"/>
        </w:rPr>
        <w:t xml:space="preserve"> </w:t>
      </w:r>
      <w:proofErr w:type="spellStart"/>
      <w:r w:rsidR="00D17B7B" w:rsidRPr="0047452F">
        <w:rPr>
          <w:rFonts w:ascii="Times New Roman" w:hAnsi="Times New Roman" w:cs="Times New Roman"/>
          <w:i/>
          <w:iCs/>
          <w:sz w:val="20"/>
          <w:szCs w:val="20"/>
        </w:rPr>
        <w:t>Haklı</w:t>
      </w:r>
      <w:proofErr w:type="spellEnd"/>
      <w:r w:rsidR="00D17B7B" w:rsidRPr="0047452F">
        <w:rPr>
          <w:rFonts w:ascii="Times New Roman" w:hAnsi="Times New Roman" w:cs="Times New Roman"/>
          <w:i/>
          <w:iCs/>
          <w:sz w:val="20"/>
          <w:szCs w:val="20"/>
        </w:rPr>
        <w:t xml:space="preserve"> </w:t>
      </w:r>
      <w:proofErr w:type="spellStart"/>
      <w:r w:rsidR="00D17B7B" w:rsidRPr="0047452F">
        <w:rPr>
          <w:rFonts w:ascii="Times New Roman" w:hAnsi="Times New Roman" w:cs="Times New Roman"/>
          <w:i/>
          <w:iCs/>
          <w:sz w:val="20"/>
          <w:szCs w:val="20"/>
        </w:rPr>
        <w:t>Sebeple</w:t>
      </w:r>
      <w:proofErr w:type="spellEnd"/>
      <w:r w:rsidR="00D17B7B" w:rsidRPr="0047452F">
        <w:rPr>
          <w:rFonts w:ascii="Times New Roman" w:hAnsi="Times New Roman" w:cs="Times New Roman"/>
          <w:i/>
          <w:iCs/>
          <w:sz w:val="20"/>
          <w:szCs w:val="20"/>
        </w:rPr>
        <w:t xml:space="preserve"> </w:t>
      </w:r>
      <w:proofErr w:type="spellStart"/>
      <w:r w:rsidR="00D17B7B" w:rsidRPr="0047452F">
        <w:rPr>
          <w:rFonts w:ascii="Times New Roman" w:hAnsi="Times New Roman" w:cs="Times New Roman"/>
          <w:i/>
          <w:iCs/>
          <w:sz w:val="20"/>
          <w:szCs w:val="20"/>
        </w:rPr>
        <w:t>Feshi</w:t>
      </w:r>
      <w:proofErr w:type="spellEnd"/>
      <w:r w:rsidR="00D17B7B" w:rsidRPr="0047452F">
        <w:rPr>
          <w:rFonts w:ascii="Times New Roman" w:hAnsi="Times New Roman" w:cs="Times New Roman"/>
          <w:sz w:val="20"/>
          <w:szCs w:val="20"/>
        </w:rPr>
        <w:t xml:space="preserve">, 11 TAAD 387 (2020). </w:t>
      </w:r>
    </w:p>
  </w:footnote>
  <w:footnote w:id="492">
    <w:p w14:paraId="54CAA0CE" w14:textId="369E9083"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commentator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writing</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Australian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mentions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following</w:t>
      </w:r>
      <w:proofErr w:type="spellEnd"/>
      <w:r w:rsidRPr="009975EA">
        <w:rPr>
          <w:rFonts w:ascii="Times New Roman" w:hAnsi="Times New Roman" w:cs="Times New Roman"/>
          <w:sz w:val="20"/>
          <w:szCs w:val="20"/>
        </w:rPr>
        <w:t>; “</w:t>
      </w:r>
      <w:r w:rsidRPr="009975EA">
        <w:rPr>
          <w:rFonts w:ascii="Times New Roman" w:hAnsi="Times New Roman" w:cs="Times New Roman"/>
          <w:color w:val="000000"/>
          <w:sz w:val="20"/>
          <w:szCs w:val="20"/>
        </w:rPr>
        <w:t xml:space="preserve">First,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found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benefit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related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best-known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involving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Independent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Resources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group</w:t>
      </w:r>
      <w:proofErr w:type="spellEnd"/>
      <w:r w:rsidRPr="009975EA">
        <w:rPr>
          <w:rFonts w:ascii="Times New Roman" w:hAnsi="Times New Roman" w:cs="Times New Roman"/>
          <w:color w:val="1C1C1C"/>
          <w:sz w:val="20"/>
          <w:szCs w:val="20"/>
        </w:rPr>
        <w:t xml:space="preserve"> </w:t>
      </w:r>
      <w:r w:rsidRPr="009975EA">
        <w:rPr>
          <w:rFonts w:ascii="Times New Roman" w:hAnsi="Times New Roman" w:cs="Times New Roman"/>
          <w:color w:val="000000"/>
          <w:sz w:val="20"/>
          <w:szCs w:val="20"/>
        </w:rPr>
        <w:t xml:space="preserve">of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w:t>
      </w:r>
      <w:r w:rsidRPr="009975EA">
        <w:rPr>
          <w:rFonts w:ascii="Times New Roman" w:hAnsi="Times New Roman" w:cs="Times New Roman"/>
          <w:color w:val="0000FF"/>
          <w:position w:val="13"/>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improperly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channeled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funds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way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constitute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Ramsay</w:t>
      </w:r>
      <w:proofErr w:type="spellEnd"/>
      <w:r w:rsidRPr="009975EA">
        <w:rPr>
          <w:rFonts w:ascii="Times New Roman" w:hAnsi="Times New Roman" w:cs="Times New Roman"/>
          <w:sz w:val="20"/>
          <w:szCs w:val="20"/>
        </w:rPr>
        <w:t>, p.353)</w:t>
      </w:r>
    </w:p>
  </w:footnote>
  <w:footnote w:id="493">
    <w:p w14:paraId="23B08B0E" w14:textId="1B2DB162" w:rsidR="002B0602" w:rsidRPr="0047452F" w:rsidRDefault="002B0602">
      <w:pPr>
        <w:pStyle w:val="DipnotMetni"/>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009508AE" w:rsidRPr="0047452F">
        <w:rPr>
          <w:rFonts w:ascii="Times New Roman" w:hAnsi="Times New Roman" w:cs="Times New Roman"/>
          <w:sz w:val="20"/>
          <w:szCs w:val="20"/>
        </w:rPr>
        <w:t xml:space="preserve">An activity against law or morals is viewed as a reason for involuntary dissolution, see, </w:t>
      </w:r>
      <w:proofErr w:type="spellStart"/>
      <w:r w:rsidR="009508AE" w:rsidRPr="0047452F">
        <w:rPr>
          <w:rFonts w:ascii="Times New Roman" w:hAnsi="Times New Roman" w:cs="Times New Roman"/>
          <w:sz w:val="20"/>
          <w:szCs w:val="20"/>
        </w:rPr>
        <w:t>Uzunallı</w:t>
      </w:r>
      <w:proofErr w:type="spellEnd"/>
      <w:r w:rsidR="009508AE" w:rsidRPr="0047452F">
        <w:rPr>
          <w:rFonts w:ascii="Times New Roman" w:hAnsi="Times New Roman" w:cs="Times New Roman"/>
          <w:sz w:val="20"/>
          <w:szCs w:val="20"/>
        </w:rPr>
        <w:t xml:space="preserve">, p. 158. </w:t>
      </w:r>
    </w:p>
  </w:footnote>
  <w:footnote w:id="494">
    <w:p w14:paraId="16EB11E3" w14:textId="3F904CC1"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Yet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historical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origins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board of </w:t>
      </w:r>
      <w:proofErr w:type="spellStart"/>
      <w:r w:rsidRPr="009975EA">
        <w:rPr>
          <w:rFonts w:ascii="Times New Roman" w:hAnsi="Times New Roman" w:cs="Times New Roman"/>
          <w:sz w:val="20"/>
          <w:szCs w:val="20"/>
        </w:rPr>
        <w:t>directors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show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opposite</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Significantly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rationale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boards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favored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modern </w:t>
      </w:r>
      <w:proofErr w:type="spellStart"/>
      <w:r w:rsidRPr="009975EA">
        <w:rPr>
          <w:rFonts w:ascii="Times New Roman" w:hAnsi="Times New Roman" w:cs="Times New Roman"/>
          <w:color w:val="000000"/>
          <w:sz w:val="20"/>
          <w:szCs w:val="20"/>
        </w:rPr>
        <w:t>scholars</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boards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exist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monitor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behalf</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passive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investors</w:t>
      </w:r>
      <w:proofErr w:type="spellEnd"/>
      <w:r w:rsidRPr="009975EA">
        <w:rPr>
          <w:rFonts w:ascii="Times New Roman" w:hAnsi="Times New Roman" w:cs="Times New Roman"/>
          <w:color w:val="000000"/>
          <w:sz w:val="20"/>
          <w:szCs w:val="20"/>
        </w:rPr>
        <w:t xml:space="preserve">—is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rationale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least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support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historical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origins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board.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board-</w:t>
      </w:r>
      <w:proofErr w:type="spellStart"/>
      <w:r w:rsidRPr="009975EA">
        <w:rPr>
          <w:rFonts w:ascii="Times New Roman" w:hAnsi="Times New Roman" w:cs="Times New Roman"/>
          <w:color w:val="000000"/>
          <w:sz w:val="20"/>
          <w:szCs w:val="20"/>
        </w:rPr>
        <w:t>centered</w:t>
      </w:r>
      <w:proofErr w:type="spellEnd"/>
      <w:r w:rsidRPr="009975EA">
        <w:rPr>
          <w:rFonts w:ascii="Times New Roman" w:hAnsi="Times New Roman" w:cs="Times New Roman"/>
          <w:color w:val="000000"/>
          <w:sz w:val="20"/>
          <w:szCs w:val="20"/>
        </w:rPr>
        <w:t xml:space="preserve"> model of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governance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did</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originate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joint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Instead</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a form of </w:t>
      </w:r>
      <w:proofErr w:type="spellStart"/>
      <w:r w:rsidRPr="009975EA">
        <w:rPr>
          <w:rFonts w:ascii="Times New Roman" w:hAnsi="Times New Roman" w:cs="Times New Roman"/>
          <w:color w:val="000000"/>
          <w:sz w:val="20"/>
          <w:szCs w:val="20"/>
        </w:rPr>
        <w:t>governance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joint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inherited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evolved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regulated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Merchant </w:t>
      </w:r>
      <w:proofErr w:type="spellStart"/>
      <w:r w:rsidRPr="009975EA">
        <w:rPr>
          <w:rFonts w:ascii="Times New Roman" w:hAnsi="Times New Roman" w:cs="Times New Roman"/>
          <w:color w:val="000000"/>
          <w:sz w:val="20"/>
          <w:szCs w:val="20"/>
        </w:rPr>
        <w:t>Adventurers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Merchants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Staple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regulated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members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conducted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hardly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needed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protection</w:t>
      </w:r>
      <w:proofErr w:type="spellEnd"/>
      <w:r w:rsidRPr="009975EA">
        <w:rPr>
          <w:rFonts w:ascii="Times New Roman" w:hAnsi="Times New Roman" w:cs="Times New Roman"/>
          <w:color w:val="000000"/>
          <w:sz w:val="20"/>
          <w:szCs w:val="20"/>
        </w:rPr>
        <w:t xml:space="preserve"> of a board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monitor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running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Instead</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having</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oversight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function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role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board in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earliest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legislative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passing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ordinances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regulate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membership</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adjudicative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hearing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disputes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involving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members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course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original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boards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did</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monitoring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function</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behalf</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passive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does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mean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board </w:t>
      </w:r>
      <w:proofErr w:type="spellStart"/>
      <w:r w:rsidRPr="009975EA">
        <w:rPr>
          <w:rFonts w:ascii="Times New Roman" w:hAnsi="Times New Roman" w:cs="Times New Roman"/>
          <w:color w:val="000000"/>
          <w:sz w:val="20"/>
          <w:szCs w:val="20"/>
        </w:rPr>
        <w:t>did</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evolve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primary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responsibility</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regulated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evolved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joint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History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biology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replete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institutions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organisms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originated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successfully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migrated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different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function</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xml:space="preserve">” (Franklin A. </w:t>
      </w:r>
      <w:proofErr w:type="spellStart"/>
      <w:r w:rsidRPr="009975EA">
        <w:rPr>
          <w:rFonts w:ascii="Times New Roman" w:hAnsi="Times New Roman" w:cs="Times New Roman"/>
          <w:sz w:val="20"/>
          <w:szCs w:val="20"/>
        </w:rPr>
        <w:t>Gevurtz</w:t>
      </w:r>
      <w:proofErr w:type="spellEnd"/>
      <w:r w:rsidRPr="009975EA">
        <w:rPr>
          <w:rFonts w:ascii="Times New Roman" w:hAnsi="Times New Roman" w:cs="Times New Roman"/>
          <w:sz w:val="20"/>
          <w:szCs w:val="20"/>
        </w:rPr>
        <w:t xml:space="preserve">, </w:t>
      </w:r>
      <w:proofErr w:type="spellStart"/>
      <w:r w:rsidRPr="00323D66">
        <w:rPr>
          <w:rFonts w:ascii="Times New Roman" w:hAnsi="Times New Roman" w:cs="Times New Roman"/>
          <w:i/>
          <w:sz w:val="20"/>
          <w:szCs w:val="20"/>
        </w:rPr>
        <w:t>The</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Historical</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and</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Political</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Origins</w:t>
      </w:r>
      <w:proofErr w:type="spellEnd"/>
      <w:r w:rsidRPr="00323D66">
        <w:rPr>
          <w:rFonts w:ascii="Times New Roman" w:hAnsi="Times New Roman" w:cs="Times New Roman"/>
          <w:i/>
          <w:sz w:val="20"/>
          <w:szCs w:val="20"/>
        </w:rPr>
        <w:t xml:space="preserve"> of </w:t>
      </w:r>
      <w:proofErr w:type="spellStart"/>
      <w:r w:rsidRPr="00323D66">
        <w:rPr>
          <w:rFonts w:ascii="Times New Roman" w:hAnsi="Times New Roman" w:cs="Times New Roman"/>
          <w:i/>
          <w:sz w:val="20"/>
          <w:szCs w:val="20"/>
        </w:rPr>
        <w:t>the</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Corporate</w:t>
      </w:r>
      <w:proofErr w:type="spellEnd"/>
      <w:r w:rsidRPr="00323D66">
        <w:rPr>
          <w:rFonts w:ascii="Times New Roman" w:hAnsi="Times New Roman" w:cs="Times New Roman"/>
          <w:i/>
          <w:sz w:val="20"/>
          <w:szCs w:val="20"/>
        </w:rPr>
        <w:t xml:space="preserve"> Board of Directors</w:t>
      </w:r>
      <w:r w:rsidRPr="009975EA">
        <w:rPr>
          <w:rFonts w:ascii="Times New Roman" w:hAnsi="Times New Roman" w:cs="Times New Roman"/>
          <w:sz w:val="20"/>
          <w:szCs w:val="20"/>
        </w:rPr>
        <w:t xml:space="preserve">, </w:t>
      </w:r>
      <w:hyperlink r:id="rId69" w:history="1">
        <w:r w:rsidRPr="009975EA">
          <w:rPr>
            <w:rStyle w:val="Kpr"/>
            <w:rFonts w:ascii="Times New Roman" w:hAnsi="Times New Roman" w:cs="Times New Roman"/>
            <w:sz w:val="20"/>
            <w:szCs w:val="20"/>
          </w:rPr>
          <w:t>http://scholarlycommons.law.hofstra.edu/cgi/viewcontent.cgi?article=2341&amp;context=hlr</w:t>
        </w:r>
      </w:hyperlink>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Visited</w:t>
      </w:r>
      <w:proofErr w:type="spellEnd"/>
      <w:r>
        <w:rPr>
          <w:rFonts w:ascii="Times New Roman" w:hAnsi="Times New Roman" w:cs="Times New Roman"/>
          <w:sz w:val="20"/>
          <w:szCs w:val="20"/>
        </w:rPr>
        <w:t xml:space="preserve">: 10/10/2016, at </w:t>
      </w:r>
      <w:r w:rsidRPr="009975EA">
        <w:rPr>
          <w:rFonts w:ascii="Times New Roman" w:hAnsi="Times New Roman" w:cs="Times New Roman"/>
          <w:sz w:val="20"/>
          <w:szCs w:val="20"/>
        </w:rPr>
        <w:t>169)</w:t>
      </w:r>
    </w:p>
  </w:footnote>
  <w:footnote w:id="495">
    <w:p w14:paraId="2948CBC8" w14:textId="7743ACFE" w:rsidR="00D36541" w:rsidRPr="009975EA" w:rsidRDefault="00D36541" w:rsidP="00323D66">
      <w:pPr>
        <w:pStyle w:val="DipnotMetni"/>
        <w:tabs>
          <w:tab w:val="left" w:pos="6365"/>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CA, Inc. v. AFSCME </w:t>
      </w:r>
      <w:proofErr w:type="spellStart"/>
      <w:r w:rsidRPr="009975EA">
        <w:rPr>
          <w:rFonts w:ascii="Times New Roman" w:hAnsi="Times New Roman" w:cs="Times New Roman"/>
          <w:sz w:val="20"/>
          <w:szCs w:val="20"/>
        </w:rPr>
        <w:t>Employees</w:t>
      </w:r>
      <w:proofErr w:type="spellEnd"/>
      <w:r w:rsidRPr="009975EA">
        <w:rPr>
          <w:rFonts w:ascii="Times New Roman" w:hAnsi="Times New Roman" w:cs="Times New Roman"/>
          <w:sz w:val="20"/>
          <w:szCs w:val="20"/>
        </w:rPr>
        <w:t xml:space="preserve"> Pension Plan, 953 A.2d 227 (2008).</w:t>
      </w:r>
      <w:r>
        <w:rPr>
          <w:rFonts w:ascii="Times New Roman" w:hAnsi="Times New Roman" w:cs="Times New Roman"/>
          <w:sz w:val="20"/>
          <w:szCs w:val="20"/>
        </w:rPr>
        <w:tab/>
      </w:r>
    </w:p>
  </w:footnote>
  <w:footnote w:id="496">
    <w:p w14:paraId="5861BF18" w14:textId="5F96DA73" w:rsidR="00DB6064" w:rsidRPr="0047452F" w:rsidRDefault="00DB6064">
      <w:pPr>
        <w:pStyle w:val="DipnotMetni"/>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00D17B7B" w:rsidRPr="0047452F">
        <w:rPr>
          <w:rFonts w:ascii="Times New Roman" w:hAnsi="Times New Roman" w:cs="Times New Roman"/>
          <w:sz w:val="20"/>
          <w:szCs w:val="20"/>
        </w:rPr>
        <w:t xml:space="preserve">For type strictness principle, </w:t>
      </w:r>
      <w:proofErr w:type="spellStart"/>
      <w:r w:rsidR="00D17B7B" w:rsidRPr="0047452F">
        <w:rPr>
          <w:rFonts w:ascii="Times New Roman" w:hAnsi="Times New Roman" w:cs="Times New Roman"/>
          <w:sz w:val="20"/>
          <w:szCs w:val="20"/>
        </w:rPr>
        <w:t>Abuzer</w:t>
      </w:r>
      <w:proofErr w:type="spellEnd"/>
      <w:r w:rsidR="00D17B7B" w:rsidRPr="0047452F">
        <w:rPr>
          <w:rFonts w:ascii="Times New Roman" w:hAnsi="Times New Roman" w:cs="Times New Roman"/>
          <w:sz w:val="20"/>
          <w:szCs w:val="20"/>
        </w:rPr>
        <w:t xml:space="preserve"> </w:t>
      </w:r>
      <w:proofErr w:type="spellStart"/>
      <w:r w:rsidR="00D17B7B" w:rsidRPr="0047452F">
        <w:rPr>
          <w:rFonts w:ascii="Times New Roman" w:hAnsi="Times New Roman" w:cs="Times New Roman"/>
          <w:sz w:val="20"/>
          <w:szCs w:val="20"/>
        </w:rPr>
        <w:t>Kendigelen</w:t>
      </w:r>
      <w:proofErr w:type="spellEnd"/>
      <w:r w:rsidR="00D17B7B" w:rsidRPr="0047452F">
        <w:rPr>
          <w:rFonts w:ascii="Times New Roman" w:hAnsi="Times New Roman" w:cs="Times New Roman"/>
          <w:sz w:val="20"/>
          <w:szCs w:val="20"/>
        </w:rPr>
        <w:t xml:space="preserve">/İsmail </w:t>
      </w:r>
      <w:proofErr w:type="spellStart"/>
      <w:r w:rsidR="00D17B7B" w:rsidRPr="0047452F">
        <w:rPr>
          <w:rFonts w:ascii="Times New Roman" w:hAnsi="Times New Roman" w:cs="Times New Roman"/>
          <w:sz w:val="20"/>
          <w:szCs w:val="20"/>
        </w:rPr>
        <w:t>Kırca</w:t>
      </w:r>
      <w:proofErr w:type="spellEnd"/>
      <w:r w:rsidR="00D17B7B" w:rsidRPr="0047452F">
        <w:rPr>
          <w:rFonts w:ascii="Times New Roman" w:hAnsi="Times New Roman" w:cs="Times New Roman"/>
          <w:sz w:val="20"/>
          <w:szCs w:val="20"/>
        </w:rPr>
        <w:t xml:space="preserve">, </w:t>
      </w:r>
      <w:proofErr w:type="spellStart"/>
      <w:r w:rsidR="00D17B7B" w:rsidRPr="0047452F">
        <w:rPr>
          <w:rFonts w:ascii="Times New Roman" w:hAnsi="Times New Roman" w:cs="Times New Roman"/>
          <w:sz w:val="20"/>
          <w:szCs w:val="20"/>
        </w:rPr>
        <w:t>Şirketler</w:t>
      </w:r>
      <w:proofErr w:type="spellEnd"/>
      <w:r w:rsidR="00D17B7B" w:rsidRPr="0047452F">
        <w:rPr>
          <w:rFonts w:ascii="Times New Roman" w:hAnsi="Times New Roman" w:cs="Times New Roman"/>
          <w:sz w:val="20"/>
          <w:szCs w:val="20"/>
        </w:rPr>
        <w:t xml:space="preserve"> </w:t>
      </w:r>
      <w:proofErr w:type="spellStart"/>
      <w:r w:rsidR="00D17B7B" w:rsidRPr="0047452F">
        <w:rPr>
          <w:rFonts w:ascii="Times New Roman" w:hAnsi="Times New Roman" w:cs="Times New Roman"/>
          <w:sz w:val="20"/>
          <w:szCs w:val="20"/>
        </w:rPr>
        <w:t>Hukuku</w:t>
      </w:r>
      <w:proofErr w:type="spellEnd"/>
      <w:r w:rsidR="00D17B7B" w:rsidRPr="0047452F">
        <w:rPr>
          <w:rFonts w:ascii="Times New Roman" w:hAnsi="Times New Roman" w:cs="Times New Roman"/>
          <w:sz w:val="20"/>
          <w:szCs w:val="20"/>
        </w:rPr>
        <w:t xml:space="preserve"> </w:t>
      </w:r>
      <w:proofErr w:type="spellStart"/>
      <w:r w:rsidR="00D17B7B" w:rsidRPr="0047452F">
        <w:rPr>
          <w:rFonts w:ascii="Times New Roman" w:hAnsi="Times New Roman" w:cs="Times New Roman"/>
          <w:sz w:val="20"/>
          <w:szCs w:val="20"/>
        </w:rPr>
        <w:t>Cilt</w:t>
      </w:r>
      <w:proofErr w:type="spellEnd"/>
      <w:r w:rsidR="00D17B7B" w:rsidRPr="0047452F">
        <w:rPr>
          <w:rFonts w:ascii="Times New Roman" w:hAnsi="Times New Roman" w:cs="Times New Roman"/>
          <w:sz w:val="20"/>
          <w:szCs w:val="20"/>
        </w:rPr>
        <w:t xml:space="preserve"> 1 (2021), p. 2- 4.</w:t>
      </w:r>
    </w:p>
  </w:footnote>
  <w:footnote w:id="497">
    <w:p w14:paraId="68BE75EB" w14:textId="1FBD41D2" w:rsidR="00D36541" w:rsidRPr="009975EA" w:rsidRDefault="00D36541" w:rsidP="009975EA">
      <w:pPr>
        <w:pStyle w:val="DipnotMetni"/>
        <w:tabs>
          <w:tab w:val="left" w:pos="2395"/>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Velasco, p. 418. </w:t>
      </w:r>
      <w:r w:rsidRPr="009975EA">
        <w:rPr>
          <w:rFonts w:ascii="Times New Roman" w:hAnsi="Times New Roman" w:cs="Times New Roman"/>
          <w:sz w:val="20"/>
          <w:szCs w:val="20"/>
        </w:rPr>
        <w:tab/>
      </w:r>
    </w:p>
  </w:footnote>
  <w:footnote w:id="498">
    <w:p w14:paraId="6DBEB666"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Velasco, p. 418.</w:t>
      </w:r>
    </w:p>
  </w:footnote>
  <w:footnote w:id="499">
    <w:p w14:paraId="486854D3"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Velasco, p. 419.</w:t>
      </w:r>
    </w:p>
  </w:footnote>
  <w:footnote w:id="500">
    <w:p w14:paraId="658B0089"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Paramount Communications Inc. v. QVC Network Inc., 637 A.2d 34 (1993).</w:t>
      </w:r>
    </w:p>
  </w:footnote>
  <w:footnote w:id="501">
    <w:p w14:paraId="1775496A" w14:textId="6FBE49A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When statutes specifically authorize “others” to run the corporation, management’s responsibility to exercise its powers in accordance with his duties is excused. The primary example of this in Delaware is Del. Code Title 8 Chapter 1 Sec. 351 (Sec.351(2); “Unless the context requires otherwise, the stockholders of the corporation shall be deemed to be directors for the purposes of applying provisions of this chapter…”), and in Turkey is TCC Article 205 (“Board of directors, managers and other responsible parties shall not be liable to the corporation and the shareholders for the compliance with the instructions in accordance with Article 203 and 204.”).</w:t>
      </w:r>
    </w:p>
  </w:footnote>
  <w:footnote w:id="502">
    <w:p w14:paraId="5EBFE251" w14:textId="4192EE53"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CA,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xml:space="preserve">. v. AFSCME </w:t>
      </w:r>
      <w:proofErr w:type="spellStart"/>
      <w:r w:rsidRPr="009975EA">
        <w:rPr>
          <w:rFonts w:ascii="Times New Roman" w:hAnsi="Times New Roman" w:cs="Times New Roman"/>
          <w:sz w:val="20"/>
          <w:szCs w:val="20"/>
        </w:rPr>
        <w:t>Employees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Pension</w:t>
      </w:r>
      <w:proofErr w:type="spellEnd"/>
      <w:r w:rsidRPr="009975EA">
        <w:rPr>
          <w:rFonts w:ascii="Times New Roman" w:hAnsi="Times New Roman" w:cs="Times New Roman"/>
          <w:sz w:val="20"/>
          <w:szCs w:val="20"/>
        </w:rPr>
        <w:t xml:space="preserve"> Plan, 953 A.2d 227 (2008):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Court has </w:t>
      </w:r>
      <w:proofErr w:type="spellStart"/>
      <w:r w:rsidRPr="009975EA">
        <w:rPr>
          <w:rFonts w:ascii="Times New Roman" w:hAnsi="Times New Roman" w:cs="Times New Roman"/>
          <w:color w:val="000000"/>
          <w:sz w:val="20"/>
          <w:szCs w:val="20"/>
        </w:rPr>
        <w:t>previously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invalidated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w:t>
      </w:r>
      <w:proofErr w:type="spellEnd"/>
      <w:r w:rsidRPr="009975EA">
        <w:rPr>
          <w:rFonts w:ascii="Times New Roman" w:hAnsi="Times New Roman" w:cs="Times New Roman"/>
          <w:color w:val="000000"/>
          <w:sz w:val="20"/>
          <w:szCs w:val="20"/>
        </w:rPr>
        <w:t xml:space="preserve"> a board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act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fashion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limit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exercise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323D66">
        <w:rPr>
          <w:rFonts w:ascii="Times New Roman" w:hAnsi="Times New Roman" w:cs="Times New Roman"/>
          <w:color w:val="000000" w:themeColor="text1"/>
          <w:sz w:val="20"/>
          <w:szCs w:val="20"/>
        </w:rPr>
        <w:t>Paramount</w:t>
      </w:r>
      <w:proofErr w:type="spellEnd"/>
      <w:r w:rsidRPr="00323D66">
        <w:rPr>
          <w:rFonts w:ascii="Times New Roman" w:hAnsi="Times New Roman" w:cs="Times New Roman"/>
          <w:color w:val="000000" w:themeColor="text1"/>
          <w:sz w:val="20"/>
          <w:szCs w:val="20"/>
        </w:rPr>
        <w:t xml:space="preserve"> Communications, </w:t>
      </w:r>
      <w:proofErr w:type="spellStart"/>
      <w:r w:rsidRPr="00323D66">
        <w:rPr>
          <w:rFonts w:ascii="Times New Roman" w:hAnsi="Times New Roman" w:cs="Times New Roman"/>
          <w:color w:val="000000" w:themeColor="text1"/>
          <w:sz w:val="20"/>
          <w:szCs w:val="20"/>
        </w:rPr>
        <w:t>Inc</w:t>
      </w:r>
      <w:proofErr w:type="spellEnd"/>
      <w:r w:rsidRPr="00323D66">
        <w:rPr>
          <w:rFonts w:ascii="Times New Roman" w:hAnsi="Times New Roman" w:cs="Times New Roman"/>
          <w:color w:val="000000" w:themeColor="text1"/>
          <w:sz w:val="20"/>
          <w:szCs w:val="20"/>
        </w:rPr>
        <w:t xml:space="preserve">. v. QVC Network, </w:t>
      </w:r>
      <w:proofErr w:type="spellStart"/>
      <w:r w:rsidRPr="00323D66">
        <w:rPr>
          <w:rFonts w:ascii="Times New Roman" w:hAnsi="Times New Roman" w:cs="Times New Roman"/>
          <w:color w:val="000000" w:themeColor="text1"/>
          <w:sz w:val="20"/>
          <w:szCs w:val="20"/>
        </w:rPr>
        <w:t>Inc</w:t>
      </w:r>
      <w:proofErr w:type="spellEnd"/>
      <w:r w:rsidRPr="00323D66">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sz w:val="20"/>
          <w:szCs w:val="20"/>
        </w:rPr>
        <w:t>we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invalidated</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shop</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merger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favored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bidder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Viacom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prevented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target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Paramount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communicating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competing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bidder</w:t>
      </w:r>
      <w:proofErr w:type="spellEnd"/>
      <w:r w:rsidRPr="009975EA">
        <w:rPr>
          <w:rFonts w:ascii="Times New Roman" w:hAnsi="Times New Roman" w:cs="Times New Roman"/>
          <w:color w:val="000000"/>
          <w:sz w:val="20"/>
          <w:szCs w:val="20"/>
        </w:rPr>
        <w:t xml:space="preserve"> (QVC)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competing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bid</w:t>
      </w:r>
      <w:proofErr w:type="spellEnd"/>
      <w:r w:rsidRPr="009975EA">
        <w:rPr>
          <w:rFonts w:ascii="Times New Roman" w:hAnsi="Times New Roman" w:cs="Times New Roman"/>
          <w:color w:val="000000"/>
          <w:sz w:val="20"/>
          <w:szCs w:val="20"/>
        </w:rPr>
        <w:t xml:space="preserve"> in an </w:t>
      </w:r>
      <w:proofErr w:type="spellStart"/>
      <w:r w:rsidRPr="009975EA">
        <w:rPr>
          <w:rFonts w:ascii="Times New Roman" w:hAnsi="Times New Roman" w:cs="Times New Roman"/>
          <w:color w:val="000000"/>
          <w:sz w:val="20"/>
          <w:szCs w:val="20"/>
        </w:rPr>
        <w:t>effort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obtain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highest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available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w:t>
      </w:r>
    </w:p>
  </w:footnote>
  <w:footnote w:id="503">
    <w:p w14:paraId="1E15D0BE" w14:textId="5A6A9EE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It is important the note that the statutory norm on board- decision making is not a norm that should be construed as that every stockholder in a corporation is entitled to have the benefit of the judgment of every other stockholder in the selection of a board of directors, because this part of the norm has been rendered obsolete because of the modern business being conducted by large corporations with many shareholders who generally does not exercise any independent judgment in these elections (Hart v. Bell, 222 Minn. 69 (1946)).</w:t>
      </w:r>
    </w:p>
  </w:footnote>
  <w:footnote w:id="504">
    <w:p w14:paraId="109FD662" w14:textId="0E3088CC" w:rsidR="00D36541" w:rsidRPr="009975EA" w:rsidRDefault="00D36541" w:rsidP="009975EA">
      <w:pPr>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However</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number</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grows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larger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likely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made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ordinary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course</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point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reached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norms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decisionmaking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although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based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whole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part</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should</w:t>
      </w:r>
      <w:proofErr w:type="spellEnd"/>
      <w:r w:rsidRPr="009975EA">
        <w:rPr>
          <w:rFonts w:ascii="Times New Roman" w:hAnsi="Times New Roman" w:cs="Times New Roman"/>
          <w:color w:val="000000"/>
          <w:sz w:val="20"/>
          <w:szCs w:val="20"/>
        </w:rPr>
        <w:t xml:space="preserve"> not be </w:t>
      </w:r>
      <w:proofErr w:type="spellStart"/>
      <w:r w:rsidRPr="009975EA">
        <w:rPr>
          <w:rFonts w:ascii="Times New Roman" w:hAnsi="Times New Roman" w:cs="Times New Roman"/>
          <w:color w:val="000000"/>
          <w:sz w:val="20"/>
          <w:szCs w:val="20"/>
        </w:rPr>
        <w:t>made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subject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variation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decisionmaking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should</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mandatory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rather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suppletory</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Melvin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Aaron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Eisenberg</w:t>
      </w:r>
      <w:proofErr w:type="spellEnd"/>
      <w:r w:rsidRPr="009975EA">
        <w:rPr>
          <w:rFonts w:ascii="Times New Roman" w:hAnsi="Times New Roman" w:cs="Times New Roman"/>
          <w:color w:val="000000"/>
          <w:sz w:val="20"/>
          <w:szCs w:val="20"/>
        </w:rPr>
        <w:t xml:space="preserve">, </w:t>
      </w:r>
      <w:proofErr w:type="spellStart"/>
      <w:r w:rsidRPr="00323D66">
        <w:rPr>
          <w:rFonts w:ascii="Times New Roman" w:hAnsi="Times New Roman" w:cs="Times New Roman"/>
          <w:i/>
          <w:color w:val="000000"/>
          <w:sz w:val="20"/>
          <w:szCs w:val="20"/>
        </w:rPr>
        <w:t>The</w:t>
      </w:r>
      <w:proofErr w:type="spellEnd"/>
      <w:r w:rsidRPr="00323D66">
        <w:rPr>
          <w:rFonts w:ascii="Times New Roman" w:hAnsi="Times New Roman" w:cs="Times New Roman"/>
          <w:i/>
          <w:color w:val="000000"/>
          <w:sz w:val="20"/>
          <w:szCs w:val="20"/>
        </w:rPr>
        <w:t xml:space="preserve"> Legal </w:t>
      </w:r>
      <w:proofErr w:type="spellStart"/>
      <w:r w:rsidRPr="00323D66">
        <w:rPr>
          <w:rFonts w:ascii="Times New Roman" w:hAnsi="Times New Roman" w:cs="Times New Roman"/>
          <w:i/>
          <w:color w:val="000000"/>
          <w:sz w:val="20"/>
          <w:szCs w:val="20"/>
        </w:rPr>
        <w:t>Roles</w:t>
      </w:r>
      <w:proofErr w:type="spellEnd"/>
      <w:r w:rsidRPr="00323D66">
        <w:rPr>
          <w:rFonts w:ascii="Times New Roman" w:hAnsi="Times New Roman" w:cs="Times New Roman"/>
          <w:i/>
          <w:color w:val="000000"/>
          <w:sz w:val="20"/>
          <w:szCs w:val="20"/>
        </w:rPr>
        <w:t xml:space="preserve"> of </w:t>
      </w:r>
      <w:proofErr w:type="spellStart"/>
      <w:r w:rsidRPr="00323D66">
        <w:rPr>
          <w:rFonts w:ascii="Times New Roman" w:hAnsi="Times New Roman" w:cs="Times New Roman"/>
          <w:i/>
          <w:color w:val="000000"/>
          <w:sz w:val="20"/>
          <w:szCs w:val="20"/>
        </w:rPr>
        <w:t>Shareholders</w:t>
      </w:r>
      <w:proofErr w:type="spellEnd"/>
      <w:r w:rsidRPr="00323D66">
        <w:rPr>
          <w:rFonts w:ascii="Times New Roman" w:hAnsi="Times New Roman" w:cs="Times New Roman"/>
          <w:i/>
          <w:color w:val="000000"/>
          <w:sz w:val="20"/>
          <w:szCs w:val="20"/>
        </w:rPr>
        <w:t xml:space="preserve"> </w:t>
      </w:r>
      <w:proofErr w:type="spellStart"/>
      <w:r w:rsidRPr="00323D66">
        <w:rPr>
          <w:rFonts w:ascii="Times New Roman" w:hAnsi="Times New Roman" w:cs="Times New Roman"/>
          <w:i/>
          <w:color w:val="000000"/>
          <w:sz w:val="20"/>
          <w:szCs w:val="20"/>
        </w:rPr>
        <w:t>and</w:t>
      </w:r>
      <w:proofErr w:type="spellEnd"/>
      <w:r w:rsidRPr="00323D66">
        <w:rPr>
          <w:rFonts w:ascii="Times New Roman" w:hAnsi="Times New Roman" w:cs="Times New Roman"/>
          <w:i/>
          <w:color w:val="000000"/>
          <w:sz w:val="20"/>
          <w:szCs w:val="20"/>
        </w:rPr>
        <w:t xml:space="preserve"> Management in Modern </w:t>
      </w:r>
      <w:proofErr w:type="spellStart"/>
      <w:r w:rsidRPr="00323D66">
        <w:rPr>
          <w:rFonts w:ascii="Times New Roman" w:hAnsi="Times New Roman" w:cs="Times New Roman"/>
          <w:i/>
          <w:color w:val="000000"/>
          <w:sz w:val="20"/>
          <w:szCs w:val="20"/>
        </w:rPr>
        <w:t>Corporate</w:t>
      </w:r>
      <w:proofErr w:type="spellEnd"/>
      <w:r w:rsidRPr="00323D66">
        <w:rPr>
          <w:rFonts w:ascii="Times New Roman" w:hAnsi="Times New Roman" w:cs="Times New Roman"/>
          <w:i/>
          <w:color w:val="000000"/>
          <w:sz w:val="20"/>
          <w:szCs w:val="20"/>
        </w:rPr>
        <w:t xml:space="preserve"> </w:t>
      </w:r>
      <w:proofErr w:type="spellStart"/>
      <w:r w:rsidRPr="00323D66">
        <w:rPr>
          <w:rFonts w:ascii="Times New Roman" w:hAnsi="Times New Roman" w:cs="Times New Roman"/>
          <w:i/>
          <w:color w:val="000000"/>
          <w:sz w:val="20"/>
          <w:szCs w:val="20"/>
        </w:rPr>
        <w:t>Decisionmaking</w:t>
      </w:r>
      <w:proofErr w:type="spellEnd"/>
      <w:r w:rsidRPr="00323D66">
        <w:rPr>
          <w:rFonts w:ascii="Times New Roman" w:hAnsi="Times New Roman" w:cs="Times New Roman"/>
          <w:i/>
          <w:color w:val="000000"/>
          <w:sz w:val="20"/>
          <w:szCs w:val="20"/>
        </w:rPr>
        <w:t>,</w:t>
      </w:r>
      <w:r>
        <w:rPr>
          <w:rFonts w:ascii="Times New Roman" w:hAnsi="Times New Roman" w:cs="Times New Roman"/>
          <w:color w:val="000000"/>
          <w:sz w:val="20"/>
          <w:szCs w:val="20"/>
        </w:rPr>
        <w:t xml:space="preserve"> 57 CAL. L. </w:t>
      </w:r>
      <w:proofErr w:type="spellStart"/>
      <w:r>
        <w:rPr>
          <w:rFonts w:ascii="Times New Roman" w:hAnsi="Times New Roman" w:cs="Times New Roman"/>
          <w:color w:val="000000"/>
          <w:sz w:val="20"/>
          <w:szCs w:val="20"/>
        </w:rPr>
        <w:t>Rev</w:t>
      </w:r>
      <w:proofErr w:type="spellEnd"/>
      <w:r>
        <w:rPr>
          <w:rFonts w:ascii="Times New Roman" w:hAnsi="Times New Roman" w:cs="Times New Roman"/>
          <w:color w:val="000000"/>
          <w:sz w:val="20"/>
          <w:szCs w:val="20"/>
        </w:rPr>
        <w:t>. 1 (1969), at</w:t>
      </w:r>
      <w:r w:rsidRPr="009975EA">
        <w:rPr>
          <w:rFonts w:ascii="Times New Roman" w:hAnsi="Times New Roman" w:cs="Times New Roman"/>
          <w:color w:val="000000"/>
          <w:sz w:val="20"/>
          <w:szCs w:val="20"/>
        </w:rPr>
        <w:t xml:space="preserve"> 54)</w:t>
      </w:r>
    </w:p>
  </w:footnote>
  <w:footnote w:id="505">
    <w:p w14:paraId="65057B07" w14:textId="2199D133" w:rsidR="00D36541" w:rsidRPr="009975EA" w:rsidRDefault="00D36541" w:rsidP="009975EA">
      <w:pPr>
        <w:pStyle w:val="DipnotMetni"/>
        <w:tabs>
          <w:tab w:val="left" w:pos="8526"/>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Gidwitz</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Lanzit</w:t>
      </w:r>
      <w:proofErr w:type="spellEnd"/>
      <w:r w:rsidRPr="009975EA">
        <w:rPr>
          <w:rFonts w:ascii="Times New Roman" w:hAnsi="Times New Roman" w:cs="Times New Roman"/>
          <w:sz w:val="20"/>
          <w:szCs w:val="20"/>
        </w:rPr>
        <w:t xml:space="preserve"> Corrugated Box Co., 20 III.2d 208 (1960).</w:t>
      </w:r>
      <w:r w:rsidRPr="009975EA">
        <w:rPr>
          <w:rFonts w:ascii="Times New Roman" w:hAnsi="Times New Roman" w:cs="Times New Roman"/>
          <w:sz w:val="20"/>
          <w:szCs w:val="20"/>
        </w:rPr>
        <w:tab/>
      </w:r>
    </w:p>
  </w:footnote>
  <w:footnote w:id="506">
    <w:p w14:paraId="27DD172E" w14:textId="503032A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Matter of Smith, 154 A.D.2d 537 (1989): “The fact that the petitioner’s attempt to become a member of the board of directors was frustrated cannot by itself amount to “oppressive actions” toward him. A stockholder has no vested right to become a director.”</w:t>
      </w:r>
    </w:p>
  </w:footnote>
  <w:footnote w:id="507">
    <w:p w14:paraId="6FA9AAA7" w14:textId="242BB03E" w:rsidR="00D36541" w:rsidRPr="009975EA" w:rsidRDefault="00D36541" w:rsidP="009975EA">
      <w:pPr>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Perlman</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Feldman</w:t>
      </w:r>
      <w:proofErr w:type="spellEnd"/>
      <w:r w:rsidRPr="009975EA">
        <w:rPr>
          <w:rFonts w:ascii="Times New Roman" w:hAnsi="Times New Roman" w:cs="Times New Roman"/>
          <w:sz w:val="20"/>
          <w:szCs w:val="20"/>
        </w:rPr>
        <w:t xml:space="preserve">, 219 F.2d 173 (1955), </w:t>
      </w:r>
      <w:proofErr w:type="spellStart"/>
      <w:r w:rsidRPr="009975EA">
        <w:rPr>
          <w:rFonts w:ascii="Times New Roman" w:hAnsi="Times New Roman" w:cs="Times New Roman"/>
          <w:sz w:val="20"/>
          <w:szCs w:val="20"/>
        </w:rPr>
        <w:t>Swan</w:t>
      </w:r>
      <w:proofErr w:type="spellEnd"/>
      <w:r w:rsidRPr="009975EA">
        <w:rPr>
          <w:rFonts w:ascii="Times New Roman" w:hAnsi="Times New Roman" w:cs="Times New Roman"/>
          <w:sz w:val="20"/>
          <w:szCs w:val="20"/>
        </w:rPr>
        <w:t>, J. (</w:t>
      </w:r>
      <w:proofErr w:type="spellStart"/>
      <w:r w:rsidRPr="009975EA">
        <w:rPr>
          <w:rFonts w:ascii="Times New Roman" w:hAnsi="Times New Roman" w:cs="Times New Roman"/>
          <w:sz w:val="20"/>
          <w:szCs w:val="20"/>
        </w:rPr>
        <w:t>dissenting</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affairs</w:t>
      </w:r>
      <w:proofErr w:type="spellEnd"/>
      <w:r w:rsidRPr="009975EA">
        <w:rPr>
          <w:rFonts w:ascii="Times New Roman" w:hAnsi="Times New Roman" w:cs="Times New Roman"/>
          <w:color w:val="000000"/>
          <w:sz w:val="20"/>
          <w:szCs w:val="20"/>
        </w:rPr>
        <w:t xml:space="preserve">, is an </w:t>
      </w:r>
      <w:proofErr w:type="spellStart"/>
      <w:r w:rsidRPr="009975EA">
        <w:rPr>
          <w:rFonts w:ascii="Times New Roman" w:hAnsi="Times New Roman" w:cs="Times New Roman"/>
          <w:color w:val="000000"/>
          <w:sz w:val="20"/>
          <w:szCs w:val="20"/>
        </w:rPr>
        <w:t>inseparable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incident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ownership</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
  </w:footnote>
  <w:footnote w:id="508">
    <w:p w14:paraId="75EC3198"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Velasco, p.408.</w:t>
      </w:r>
    </w:p>
  </w:footnote>
  <w:footnote w:id="509">
    <w:p w14:paraId="013796BF"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Voeller</w:t>
      </w:r>
      <w:proofErr w:type="spellEnd"/>
      <w:r w:rsidRPr="009975EA">
        <w:rPr>
          <w:rFonts w:ascii="Times New Roman" w:hAnsi="Times New Roman" w:cs="Times New Roman"/>
          <w:sz w:val="20"/>
          <w:szCs w:val="20"/>
        </w:rPr>
        <w:t xml:space="preserve"> v. Neilston Warehouse Co., 311 U.S. 531 (1941).</w:t>
      </w:r>
    </w:p>
  </w:footnote>
  <w:footnote w:id="510">
    <w:p w14:paraId="4C9EE10C" w14:textId="6428CF7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Bernard S. </w:t>
      </w:r>
      <w:proofErr w:type="spellStart"/>
      <w:r w:rsidRPr="009975EA">
        <w:rPr>
          <w:rFonts w:ascii="Times New Roman" w:hAnsi="Times New Roman" w:cs="Times New Roman"/>
          <w:sz w:val="20"/>
          <w:szCs w:val="20"/>
        </w:rPr>
        <w:t>Sharfman</w:t>
      </w:r>
      <w:proofErr w:type="spellEnd"/>
      <w:r w:rsidRPr="009975EA">
        <w:rPr>
          <w:rFonts w:ascii="Times New Roman" w:hAnsi="Times New Roman" w:cs="Times New Roman"/>
          <w:sz w:val="20"/>
          <w:szCs w:val="20"/>
        </w:rPr>
        <w:t xml:space="preserve">, </w:t>
      </w:r>
      <w:r w:rsidRPr="00323D66">
        <w:rPr>
          <w:rFonts w:ascii="Times New Roman" w:hAnsi="Times New Roman" w:cs="Times New Roman"/>
          <w:i/>
          <w:sz w:val="20"/>
          <w:szCs w:val="20"/>
        </w:rPr>
        <w:t>Shareholder Wealth Maximization and Its Implementation Under Corporate Law</w:t>
      </w:r>
      <w:r>
        <w:rPr>
          <w:rFonts w:ascii="Times New Roman" w:hAnsi="Times New Roman" w:cs="Times New Roman"/>
          <w:sz w:val="20"/>
          <w:szCs w:val="20"/>
        </w:rPr>
        <w:t xml:space="preserve">, 66 Fla. L. Rev. 389 (2015) at </w:t>
      </w:r>
      <w:r w:rsidRPr="009975EA">
        <w:rPr>
          <w:rFonts w:ascii="Times New Roman" w:hAnsi="Times New Roman" w:cs="Times New Roman"/>
          <w:sz w:val="20"/>
          <w:szCs w:val="20"/>
        </w:rPr>
        <w:t>402.</w:t>
      </w:r>
    </w:p>
  </w:footnote>
  <w:footnote w:id="511">
    <w:p w14:paraId="062C6407" w14:textId="002F97FB" w:rsidR="00D36541" w:rsidRPr="009975EA" w:rsidRDefault="00D36541" w:rsidP="00323D66">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Bainbridge, Director Primacy, footnote 52.</w:t>
      </w:r>
      <w:r>
        <w:rPr>
          <w:rFonts w:ascii="Times New Roman" w:hAnsi="Times New Roman" w:cs="Times New Roman"/>
          <w:sz w:val="20"/>
          <w:szCs w:val="20"/>
        </w:rPr>
        <w:tab/>
      </w:r>
    </w:p>
  </w:footnote>
  <w:footnote w:id="512">
    <w:p w14:paraId="126AEF88" w14:textId="2F8C072A" w:rsidR="00D36541" w:rsidRPr="009975EA" w:rsidRDefault="00D36541" w:rsidP="009975EA">
      <w:pPr>
        <w:pStyle w:val="DipnotMetni"/>
        <w:keepLines/>
        <w:pageBreakBefore/>
        <w:jc w:val="both"/>
        <w:rPr>
          <w:rFonts w:ascii="Times New Roman" w:hAnsi="Times New Roman" w:cs="Times New Roman"/>
          <w:sz w:val="20"/>
          <w:szCs w:val="20"/>
          <w:lang w:val="tr-TR"/>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Ballantine, p.123. Aransas Pass Harbor Co. v. Manning, 94 Tex. 558 (1901): “A majority </w:t>
      </w:r>
      <w:r w:rsidRPr="009975EA">
        <w:rPr>
          <w:rFonts w:ascii="Times New Roman" w:hAnsi="Times New Roman" w:cs="Times New Roman"/>
          <w:color w:val="000000"/>
          <w:sz w:val="20"/>
          <w:szCs w:val="20"/>
        </w:rPr>
        <w:t>of the stockholders, even all save one, cannot authorize a sale of the corporate assets, for the reason that every stockholder has the right to require the action of the legally constituted agency-the board of directors- in the management of its business.”</w:t>
      </w:r>
    </w:p>
  </w:footnote>
  <w:footnote w:id="513">
    <w:p w14:paraId="4A8DA6CE" w14:textId="05C370C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Del. Code. Title 8 Sec. 141(a): “…the powers and duties conferred or imposed upon the board of directors by this chapter…”</w:t>
      </w:r>
    </w:p>
  </w:footnote>
  <w:footnote w:id="514">
    <w:p w14:paraId="0576C0A3" w14:textId="0B16C90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McCall, p.516. Burrill v. Nahant Bank, 2 Metcalf 163 (1840): “…they do not exercise a delegated authority, in the sense in which the rule applies to agents and attorneys, who exercise the powers especially conferred on them and no others.”</w:t>
      </w:r>
    </w:p>
  </w:footnote>
  <w:footnote w:id="515">
    <w:p w14:paraId="18901E41" w14:textId="7F31447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Lamb v. Lehmann, 110 Ohio St. 59 (1924). </w:t>
      </w:r>
    </w:p>
  </w:footnote>
  <w:footnote w:id="516">
    <w:p w14:paraId="521A2061"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Simon v. Sevier County Co- operative </w:t>
      </w:r>
      <w:proofErr w:type="spellStart"/>
      <w:r w:rsidRPr="009975EA">
        <w:rPr>
          <w:rFonts w:ascii="Times New Roman" w:hAnsi="Times New Roman" w:cs="Times New Roman"/>
          <w:sz w:val="20"/>
          <w:szCs w:val="20"/>
        </w:rPr>
        <w:t>Ass’n</w:t>
      </w:r>
      <w:proofErr w:type="spellEnd"/>
      <w:r w:rsidRPr="009975EA">
        <w:rPr>
          <w:rFonts w:ascii="Times New Roman" w:hAnsi="Times New Roman" w:cs="Times New Roman"/>
          <w:sz w:val="20"/>
          <w:szCs w:val="20"/>
        </w:rPr>
        <w:t>, 54 Ark. 58 (1890).</w:t>
      </w:r>
    </w:p>
  </w:footnote>
  <w:footnote w:id="517">
    <w:p w14:paraId="45151294" w14:textId="276C329A"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Eclairs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Group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Ltd</w:t>
      </w:r>
      <w:proofErr w:type="spellEnd"/>
      <w:r w:rsidRPr="009975EA">
        <w:rPr>
          <w:rFonts w:ascii="Times New Roman" w:hAnsi="Times New Roman" w:cs="Times New Roman"/>
          <w:sz w:val="20"/>
          <w:szCs w:val="20"/>
        </w:rPr>
        <w:t xml:space="preserve"> v. JKX </w:t>
      </w:r>
      <w:proofErr w:type="spellStart"/>
      <w:r w:rsidRPr="009975EA">
        <w:rPr>
          <w:rFonts w:ascii="Times New Roman" w:hAnsi="Times New Roman" w:cs="Times New Roman"/>
          <w:sz w:val="20"/>
          <w:szCs w:val="20"/>
        </w:rPr>
        <w:t>Oil</w:t>
      </w:r>
      <w:proofErr w:type="spellEnd"/>
      <w:r w:rsidRPr="009975EA">
        <w:rPr>
          <w:rFonts w:ascii="Times New Roman" w:hAnsi="Times New Roman" w:cs="Times New Roman"/>
          <w:sz w:val="20"/>
          <w:szCs w:val="20"/>
        </w:rPr>
        <w:t xml:space="preserve"> &amp; </w:t>
      </w:r>
      <w:proofErr w:type="spellStart"/>
      <w:r w:rsidRPr="009975EA">
        <w:rPr>
          <w:rFonts w:ascii="Times New Roman" w:hAnsi="Times New Roman" w:cs="Times New Roman"/>
          <w:sz w:val="20"/>
          <w:szCs w:val="20"/>
        </w:rPr>
        <w:t>Gas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plc</w:t>
      </w:r>
      <w:proofErr w:type="spellEnd"/>
      <w:r w:rsidRPr="009975EA">
        <w:rPr>
          <w:rFonts w:ascii="Times New Roman" w:hAnsi="Times New Roman" w:cs="Times New Roman"/>
          <w:sz w:val="20"/>
          <w:szCs w:val="20"/>
        </w:rPr>
        <w:t xml:space="preserve"> [2015] UKSC 71: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exercise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conferred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broken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allow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themselves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influence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improper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w:t>
      </w:r>
      <w:proofErr w:type="spellEnd"/>
      <w:r w:rsidRPr="009975EA">
        <w:rPr>
          <w:rFonts w:ascii="Times New Roman" w:hAnsi="Times New Roman" w:cs="Times New Roman"/>
          <w:color w:val="000000"/>
          <w:sz w:val="20"/>
          <w:szCs w:val="20"/>
        </w:rPr>
        <w:t>.”</w:t>
      </w:r>
    </w:p>
  </w:footnote>
  <w:footnote w:id="518">
    <w:p w14:paraId="6A0A10E7" w14:textId="1FAEC19D"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TCC </w:t>
      </w:r>
      <w:proofErr w:type="spellStart"/>
      <w:r w:rsidRPr="009975EA">
        <w:rPr>
          <w:rFonts w:ascii="Times New Roman" w:hAnsi="Times New Roman" w:cs="Times New Roman"/>
          <w:sz w:val="20"/>
          <w:szCs w:val="20"/>
        </w:rPr>
        <w:t>Article</w:t>
      </w:r>
      <w:proofErr w:type="spellEnd"/>
      <w:r w:rsidRPr="009975EA">
        <w:rPr>
          <w:rFonts w:ascii="Times New Roman" w:hAnsi="Times New Roman" w:cs="Times New Roman"/>
          <w:sz w:val="20"/>
          <w:szCs w:val="20"/>
        </w:rPr>
        <w:t xml:space="preserve"> 369 </w:t>
      </w:r>
      <w:proofErr w:type="spellStart"/>
      <w:r w:rsidRPr="009975EA">
        <w:rPr>
          <w:rFonts w:ascii="Times New Roman" w:hAnsi="Times New Roman" w:cs="Times New Roman"/>
          <w:sz w:val="20"/>
          <w:szCs w:val="20"/>
        </w:rPr>
        <w:t>imposes</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duty</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care</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board of </w:t>
      </w:r>
      <w:proofErr w:type="spellStart"/>
      <w:r w:rsidRPr="009975EA">
        <w:rPr>
          <w:rFonts w:ascii="Times New Roman" w:hAnsi="Times New Roman" w:cs="Times New Roman"/>
          <w:sz w:val="20"/>
          <w:szCs w:val="20"/>
        </w:rPr>
        <w:t>directors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uses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cautious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manager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standard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replaced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prudent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businessman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standard</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statute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judgment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rule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evaluate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review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duty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Pulasli</w:t>
      </w:r>
      <w:proofErr w:type="spellEnd"/>
      <w:r w:rsidRPr="009975EA">
        <w:rPr>
          <w:rFonts w:ascii="Times New Roman" w:hAnsi="Times New Roman" w:cs="Times New Roman"/>
          <w:sz w:val="20"/>
          <w:szCs w:val="20"/>
        </w:rPr>
        <w:t xml:space="preserve">, p.643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Official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TCC </w:t>
      </w:r>
      <w:proofErr w:type="spellStart"/>
      <w:r w:rsidRPr="009975EA">
        <w:rPr>
          <w:rFonts w:ascii="Times New Roman" w:hAnsi="Times New Roman" w:cs="Times New Roman"/>
          <w:sz w:val="20"/>
          <w:szCs w:val="20"/>
        </w:rPr>
        <w:t>Article</w:t>
      </w:r>
      <w:proofErr w:type="spellEnd"/>
      <w:r w:rsidRPr="009975EA">
        <w:rPr>
          <w:rFonts w:ascii="Times New Roman" w:hAnsi="Times New Roman" w:cs="Times New Roman"/>
          <w:sz w:val="20"/>
          <w:szCs w:val="20"/>
        </w:rPr>
        <w:t xml:space="preserve"> 369(1)). </w:t>
      </w:r>
      <w:proofErr w:type="spellStart"/>
      <w:r w:rsidRPr="009975EA">
        <w:rPr>
          <w:rFonts w:ascii="Times New Roman" w:hAnsi="Times New Roman" w:cs="Times New Roman"/>
          <w:sz w:val="20"/>
          <w:szCs w:val="20"/>
        </w:rPr>
        <w:t>Commentators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opine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cautious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manager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standard</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imposes</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higher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duty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judgment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rule</w:t>
      </w:r>
      <w:proofErr w:type="spellEnd"/>
      <w:r w:rsidRPr="009975EA">
        <w:rPr>
          <w:rFonts w:ascii="Times New Roman" w:hAnsi="Times New Roman" w:cs="Times New Roman"/>
          <w:sz w:val="20"/>
          <w:szCs w:val="20"/>
        </w:rPr>
        <w:t xml:space="preserve"> but </w:t>
      </w:r>
      <w:proofErr w:type="spellStart"/>
      <w:r w:rsidRPr="009975EA">
        <w:rPr>
          <w:rFonts w:ascii="Times New Roman" w:hAnsi="Times New Roman" w:cs="Times New Roman"/>
          <w:sz w:val="20"/>
          <w:szCs w:val="20"/>
        </w:rPr>
        <w:t>less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prudent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businessman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rule</w:t>
      </w:r>
      <w:proofErr w:type="spellEnd"/>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Sibel </w:t>
      </w:r>
      <w:proofErr w:type="spellStart"/>
      <w:r w:rsidRPr="009975EA">
        <w:rPr>
          <w:rFonts w:ascii="Times New Roman" w:hAnsi="Times New Roman" w:cs="Times New Roman"/>
          <w:color w:val="000000"/>
          <w:sz w:val="20"/>
          <w:szCs w:val="20"/>
        </w:rPr>
        <w:t>Hacımahmutoğlu</w:t>
      </w:r>
      <w:proofErr w:type="spellEnd"/>
      <w:r w:rsidRPr="009975EA">
        <w:rPr>
          <w:rFonts w:ascii="Times New Roman" w:hAnsi="Times New Roman" w:cs="Times New Roman"/>
          <w:color w:val="000000"/>
          <w:sz w:val="20"/>
          <w:szCs w:val="20"/>
        </w:rPr>
        <w:t xml:space="preserve">, </w:t>
      </w:r>
      <w:proofErr w:type="spellStart"/>
      <w:r w:rsidRPr="00323D66">
        <w:rPr>
          <w:rFonts w:ascii="Times New Roman" w:hAnsi="Times New Roman" w:cs="Times New Roman"/>
          <w:i/>
          <w:color w:val="000000"/>
          <w:sz w:val="20"/>
          <w:szCs w:val="20"/>
        </w:rPr>
        <w:t>The</w:t>
      </w:r>
      <w:proofErr w:type="spellEnd"/>
      <w:r w:rsidRPr="00323D66">
        <w:rPr>
          <w:rFonts w:ascii="Times New Roman" w:hAnsi="Times New Roman" w:cs="Times New Roman"/>
          <w:i/>
          <w:color w:val="000000"/>
          <w:sz w:val="20"/>
          <w:szCs w:val="20"/>
        </w:rPr>
        <w:t xml:space="preserve"> Business </w:t>
      </w:r>
      <w:proofErr w:type="spellStart"/>
      <w:r w:rsidRPr="00323D66">
        <w:rPr>
          <w:rFonts w:ascii="Times New Roman" w:hAnsi="Times New Roman" w:cs="Times New Roman"/>
          <w:i/>
          <w:color w:val="000000"/>
          <w:sz w:val="20"/>
          <w:szCs w:val="20"/>
        </w:rPr>
        <w:t>Judgment</w:t>
      </w:r>
      <w:proofErr w:type="spellEnd"/>
      <w:r w:rsidRPr="00323D66">
        <w:rPr>
          <w:rFonts w:ascii="Times New Roman" w:hAnsi="Times New Roman" w:cs="Times New Roman"/>
          <w:i/>
          <w:color w:val="000000"/>
          <w:sz w:val="20"/>
          <w:szCs w:val="20"/>
        </w:rPr>
        <w:t xml:space="preserve"> </w:t>
      </w:r>
      <w:proofErr w:type="spellStart"/>
      <w:r w:rsidRPr="00323D66">
        <w:rPr>
          <w:rFonts w:ascii="Times New Roman" w:hAnsi="Times New Roman" w:cs="Times New Roman"/>
          <w:i/>
          <w:color w:val="000000"/>
          <w:sz w:val="20"/>
          <w:szCs w:val="20"/>
        </w:rPr>
        <w:t>Rule</w:t>
      </w:r>
      <w:proofErr w:type="spellEnd"/>
      <w:r w:rsidRPr="00323D66">
        <w:rPr>
          <w:rFonts w:ascii="Times New Roman" w:hAnsi="Times New Roman" w:cs="Times New Roman"/>
          <w:i/>
          <w:color w:val="000000"/>
          <w:sz w:val="20"/>
          <w:szCs w:val="20"/>
        </w:rPr>
        <w:t xml:space="preserve">: </w:t>
      </w:r>
      <w:proofErr w:type="spellStart"/>
      <w:r w:rsidRPr="00323D66">
        <w:rPr>
          <w:rFonts w:ascii="Times New Roman" w:hAnsi="Times New Roman" w:cs="Times New Roman"/>
          <w:i/>
          <w:color w:val="000000"/>
          <w:sz w:val="20"/>
          <w:szCs w:val="20"/>
        </w:rPr>
        <w:t>İşadamı</w:t>
      </w:r>
      <w:proofErr w:type="spellEnd"/>
      <w:r w:rsidRPr="00323D66">
        <w:rPr>
          <w:rFonts w:ascii="Times New Roman" w:hAnsi="Times New Roman" w:cs="Times New Roman"/>
          <w:i/>
          <w:color w:val="000000"/>
          <w:sz w:val="20"/>
          <w:szCs w:val="20"/>
        </w:rPr>
        <w:t xml:space="preserve"> Kararı Mı Yoksa Ticari Muhakeme Kuralı </w:t>
      </w:r>
      <w:proofErr w:type="gramStart"/>
      <w:r w:rsidRPr="00323D66">
        <w:rPr>
          <w:rFonts w:ascii="Times New Roman" w:hAnsi="Times New Roman" w:cs="Times New Roman"/>
          <w:i/>
          <w:color w:val="000000"/>
          <w:sz w:val="20"/>
          <w:szCs w:val="20"/>
        </w:rPr>
        <w:t>Mı?,</w:t>
      </w:r>
      <w:proofErr w:type="gramEnd"/>
      <w:r w:rsidRPr="009975EA">
        <w:rPr>
          <w:rFonts w:ascii="Times New Roman" w:hAnsi="Times New Roman" w:cs="Times New Roman"/>
          <w:color w:val="000000"/>
          <w:sz w:val="20"/>
          <w:szCs w:val="20"/>
        </w:rPr>
        <w:t xml:space="preserve"> BA</w:t>
      </w:r>
      <w:r>
        <w:rPr>
          <w:rFonts w:ascii="Times New Roman" w:hAnsi="Times New Roman" w:cs="Times New Roman"/>
          <w:color w:val="000000"/>
          <w:sz w:val="20"/>
          <w:szCs w:val="20"/>
        </w:rPr>
        <w:t xml:space="preserve">TIDER C.XXX S.4, Aralık 2014, at </w:t>
      </w:r>
      <w:r w:rsidRPr="009975EA">
        <w:rPr>
          <w:rFonts w:ascii="Times New Roman" w:hAnsi="Times New Roman" w:cs="Times New Roman"/>
          <w:color w:val="000000"/>
          <w:sz w:val="20"/>
          <w:szCs w:val="20"/>
        </w:rPr>
        <w:t>138</w:t>
      </w:r>
      <w:r w:rsidRPr="009975EA">
        <w:rPr>
          <w:rFonts w:ascii="Times New Roman" w:hAnsi="Times New Roman" w:cs="Times New Roman"/>
          <w:sz w:val="20"/>
          <w:szCs w:val="20"/>
        </w:rPr>
        <w:t xml:space="preserve">). </w:t>
      </w:r>
    </w:p>
  </w:footnote>
  <w:footnote w:id="519">
    <w:p w14:paraId="32D076B3" w14:textId="3A56F8D4"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MM </w:t>
      </w:r>
      <w:proofErr w:type="spellStart"/>
      <w:r w:rsidRPr="009975EA">
        <w:rPr>
          <w:rFonts w:ascii="Times New Roman" w:hAnsi="Times New Roman" w:cs="Times New Roman"/>
          <w:sz w:val="20"/>
          <w:szCs w:val="20"/>
        </w:rPr>
        <w:t>Companies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xml:space="preserve">. v. Liquid </w:t>
      </w:r>
      <w:proofErr w:type="spellStart"/>
      <w:r w:rsidRPr="009975EA">
        <w:rPr>
          <w:rFonts w:ascii="Times New Roman" w:hAnsi="Times New Roman" w:cs="Times New Roman"/>
          <w:sz w:val="20"/>
          <w:szCs w:val="20"/>
        </w:rPr>
        <w:t>Audio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813 A.2d 1118 (2003):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judgment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standard</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review</w:t>
      </w:r>
      <w:proofErr w:type="spellEnd"/>
      <w:r w:rsidRPr="009975EA">
        <w:rPr>
          <w:rFonts w:ascii="Times New Roman" w:hAnsi="Times New Roman" w:cs="Times New Roman"/>
          <w:color w:val="000000"/>
          <w:sz w:val="20"/>
          <w:szCs w:val="20"/>
        </w:rPr>
        <w:t xml:space="preserve">, is a </w:t>
      </w:r>
      <w:proofErr w:type="spellStart"/>
      <w:r w:rsidRPr="009975EA">
        <w:rPr>
          <w:rFonts w:ascii="Times New Roman" w:hAnsi="Times New Roman" w:cs="Times New Roman"/>
          <w:color w:val="000000"/>
          <w:sz w:val="20"/>
          <w:szCs w:val="20"/>
        </w:rPr>
        <w:t>common-law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recognition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authority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vested</w:t>
      </w:r>
      <w:proofErr w:type="spellEnd"/>
      <w:r w:rsidRPr="009975EA">
        <w:rPr>
          <w:rFonts w:ascii="Times New Roman" w:eastAsia="MS Mincho" w:hAnsi="Times New Roman" w:cs="Times New Roman"/>
          <w:color w:val="000000"/>
          <w:sz w:val="20"/>
          <w:szCs w:val="20"/>
        </w:rPr>
        <w:t xml:space="preserve"> </w:t>
      </w:r>
      <w:r w:rsidRPr="009975EA">
        <w:rPr>
          <w:rFonts w:ascii="Times New Roman" w:hAnsi="Times New Roman" w:cs="Times New Roman"/>
          <w:color w:val="000000"/>
          <w:sz w:val="20"/>
          <w:szCs w:val="20"/>
        </w:rPr>
        <w:t xml:space="preserve">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board of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Aronson</w:t>
      </w:r>
      <w:proofErr w:type="spellEnd"/>
      <w:r w:rsidRPr="009975EA">
        <w:rPr>
          <w:rFonts w:ascii="Times New Roman" w:hAnsi="Times New Roman" w:cs="Times New Roman"/>
          <w:color w:val="000000"/>
          <w:sz w:val="20"/>
          <w:szCs w:val="20"/>
        </w:rPr>
        <w:t xml:space="preserve"> v. </w:t>
      </w:r>
      <w:proofErr w:type="spellStart"/>
      <w:r w:rsidRPr="009975EA">
        <w:rPr>
          <w:rFonts w:ascii="Times New Roman" w:hAnsi="Times New Roman" w:cs="Times New Roman"/>
          <w:color w:val="000000"/>
          <w:sz w:val="20"/>
          <w:szCs w:val="20"/>
        </w:rPr>
        <w:t>Lewis</w:t>
      </w:r>
      <w:proofErr w:type="spellEnd"/>
      <w:r w:rsidRPr="009975EA">
        <w:rPr>
          <w:rFonts w:ascii="Times New Roman" w:hAnsi="Times New Roman" w:cs="Times New Roman"/>
          <w:color w:val="000000"/>
          <w:sz w:val="20"/>
          <w:szCs w:val="20"/>
        </w:rPr>
        <w:t>, 473 A.2d 805 (1984):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is a </w:t>
      </w:r>
      <w:proofErr w:type="spellStart"/>
      <w:r w:rsidRPr="009975EA">
        <w:rPr>
          <w:rFonts w:ascii="Times New Roman" w:hAnsi="Times New Roman" w:cs="Times New Roman"/>
          <w:color w:val="000000"/>
          <w:sz w:val="20"/>
          <w:szCs w:val="20"/>
        </w:rPr>
        <w:t>presumption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making</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acted</w:t>
      </w:r>
      <w:proofErr w:type="spellEnd"/>
      <w:r w:rsidRPr="009975EA">
        <w:rPr>
          <w:rFonts w:ascii="Times New Roman" w:hAnsi="Times New Roman" w:cs="Times New Roman"/>
          <w:color w:val="000000"/>
          <w:sz w:val="20"/>
          <w:szCs w:val="20"/>
        </w:rPr>
        <w:t xml:space="preserve"> on an </w:t>
      </w:r>
      <w:proofErr w:type="spellStart"/>
      <w:r w:rsidRPr="009975EA">
        <w:rPr>
          <w:rFonts w:ascii="Times New Roman" w:hAnsi="Times New Roman" w:cs="Times New Roman"/>
          <w:color w:val="000000"/>
          <w:sz w:val="20"/>
          <w:szCs w:val="20"/>
        </w:rPr>
        <w:t>informed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basis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good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honest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belief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taken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Absent</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abuse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discretion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judgment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respected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burden</w:t>
      </w:r>
      <w:proofErr w:type="spellEnd"/>
      <w:r w:rsidRPr="009975EA">
        <w:rPr>
          <w:rFonts w:ascii="Times New Roman" w:hAnsi="Times New Roman" w:cs="Times New Roman"/>
          <w:color w:val="000000"/>
          <w:sz w:val="20"/>
          <w:szCs w:val="20"/>
        </w:rPr>
        <w:t xml:space="preserve"> is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challenging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establish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rebutting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presumption</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However</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should</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noted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judgment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operates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cotnext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director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Tehcnically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speaking</w:t>
      </w:r>
      <w:proofErr w:type="spellEnd"/>
      <w:r w:rsidRPr="009975EA">
        <w:rPr>
          <w:rFonts w:ascii="Times New Roman" w:hAnsi="Times New Roman" w:cs="Times New Roman"/>
          <w:color w:val="000000"/>
          <w:sz w:val="20"/>
          <w:szCs w:val="20"/>
        </w:rPr>
        <w:t xml:space="preserve">, it has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roe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either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abdicated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functions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absent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conscious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w:t>
      </w:r>
      <w:proofErr w:type="spellEnd"/>
      <w:r w:rsidRPr="009975EA">
        <w:rPr>
          <w:rFonts w:ascii="Times New Roman" w:hAnsi="Times New Roman" w:cs="Times New Roman"/>
          <w:color w:val="000000"/>
          <w:sz w:val="20"/>
          <w:szCs w:val="20"/>
        </w:rPr>
        <w:t>.”</w:t>
      </w:r>
    </w:p>
  </w:footnote>
  <w:footnote w:id="520">
    <w:p w14:paraId="5A3FB02E" w14:textId="6255D12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Grimes v. Donald, 20 Del. J. Corp. L. 757 (1995).</w:t>
      </w:r>
    </w:p>
  </w:footnote>
  <w:footnote w:id="521">
    <w:p w14:paraId="383572E2" w14:textId="3486164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Omer </w:t>
      </w:r>
      <w:proofErr w:type="spellStart"/>
      <w:r w:rsidRPr="009975EA">
        <w:rPr>
          <w:rFonts w:ascii="Times New Roman" w:hAnsi="Times New Roman" w:cs="Times New Roman"/>
          <w:sz w:val="20"/>
          <w:szCs w:val="20"/>
        </w:rPr>
        <w:t>Korkut</w:t>
      </w:r>
      <w:proofErr w:type="spellEnd"/>
      <w:r w:rsidRPr="009975EA">
        <w:rPr>
          <w:rFonts w:ascii="Times New Roman" w:hAnsi="Times New Roman" w:cs="Times New Roman"/>
          <w:sz w:val="20"/>
          <w:szCs w:val="20"/>
        </w:rPr>
        <w:t xml:space="preserve">, </w:t>
      </w:r>
      <w:proofErr w:type="spellStart"/>
      <w:r w:rsidRPr="00323D66">
        <w:rPr>
          <w:rFonts w:ascii="Times New Roman" w:hAnsi="Times New Roman" w:cs="Times New Roman"/>
          <w:i/>
          <w:sz w:val="20"/>
          <w:szCs w:val="20"/>
        </w:rPr>
        <w:t>Anonim</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Sirketlerde</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Inancli</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Yonetim</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Kurulu</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Uyeligi</w:t>
      </w:r>
      <w:proofErr w:type="spellEnd"/>
      <w:r w:rsidRPr="00323D66">
        <w:rPr>
          <w:rFonts w:ascii="Times New Roman" w:hAnsi="Times New Roman" w:cs="Times New Roman"/>
          <w:i/>
          <w:sz w:val="20"/>
          <w:szCs w:val="20"/>
        </w:rPr>
        <w:t xml:space="preserve"> ve </w:t>
      </w:r>
      <w:proofErr w:type="spellStart"/>
      <w:r w:rsidRPr="00323D66">
        <w:rPr>
          <w:rFonts w:ascii="Times New Roman" w:hAnsi="Times New Roman" w:cs="Times New Roman"/>
          <w:i/>
          <w:sz w:val="20"/>
          <w:szCs w:val="20"/>
        </w:rPr>
        <w:t>Inancli</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Uyeye</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Verilebilecek</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Talimatlarin</w:t>
      </w:r>
      <w:proofErr w:type="spellEnd"/>
      <w:r w:rsidRPr="00323D66">
        <w:rPr>
          <w:rFonts w:ascii="Times New Roman" w:hAnsi="Times New Roman" w:cs="Times New Roman"/>
          <w:i/>
          <w:sz w:val="20"/>
          <w:szCs w:val="20"/>
        </w:rPr>
        <w:t xml:space="preserve"> </w:t>
      </w:r>
      <w:proofErr w:type="spellStart"/>
      <w:r w:rsidRPr="00323D66">
        <w:rPr>
          <w:rFonts w:ascii="Times New Roman" w:hAnsi="Times New Roman" w:cs="Times New Roman"/>
          <w:i/>
          <w:sz w:val="20"/>
          <w:szCs w:val="20"/>
        </w:rPr>
        <w:t>Siniri</w:t>
      </w:r>
      <w:proofErr w:type="spellEnd"/>
      <w:r w:rsidRPr="009975EA">
        <w:rPr>
          <w:rFonts w:ascii="Times New Roman" w:hAnsi="Times New Roman" w:cs="Times New Roman"/>
          <w:sz w:val="20"/>
          <w:szCs w:val="20"/>
        </w:rPr>
        <w:t>, Anka</w:t>
      </w:r>
      <w:r>
        <w:rPr>
          <w:rFonts w:ascii="Times New Roman" w:hAnsi="Times New Roman" w:cs="Times New Roman"/>
          <w:sz w:val="20"/>
          <w:szCs w:val="20"/>
        </w:rPr>
        <w:t xml:space="preserve">ra </w:t>
      </w:r>
      <w:proofErr w:type="spellStart"/>
      <w:r>
        <w:rPr>
          <w:rFonts w:ascii="Times New Roman" w:hAnsi="Times New Roman" w:cs="Times New Roman"/>
          <w:sz w:val="20"/>
          <w:szCs w:val="20"/>
        </w:rPr>
        <w:t>Barosu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65/3 (2007) at </w:t>
      </w:r>
      <w:r w:rsidRPr="009975EA">
        <w:rPr>
          <w:rFonts w:ascii="Times New Roman" w:hAnsi="Times New Roman" w:cs="Times New Roman"/>
          <w:sz w:val="20"/>
          <w:szCs w:val="20"/>
        </w:rPr>
        <w:t>135.</w:t>
      </w:r>
    </w:p>
  </w:footnote>
  <w:footnote w:id="522">
    <w:p w14:paraId="10AFA85B" w14:textId="04D55FC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Triggs</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Trigss</w:t>
      </w:r>
      <w:proofErr w:type="spellEnd"/>
      <w:r w:rsidRPr="009975EA">
        <w:rPr>
          <w:rFonts w:ascii="Times New Roman" w:hAnsi="Times New Roman" w:cs="Times New Roman"/>
          <w:sz w:val="20"/>
          <w:szCs w:val="20"/>
        </w:rPr>
        <w:t>, 46 N.Y.2d 305 (1978) (</w:t>
      </w:r>
      <w:proofErr w:type="spellStart"/>
      <w:r w:rsidRPr="009975EA">
        <w:rPr>
          <w:rFonts w:ascii="Times New Roman" w:hAnsi="Times New Roman" w:cs="Times New Roman"/>
          <w:sz w:val="20"/>
          <w:szCs w:val="20"/>
        </w:rPr>
        <w:t>Gabrielli</w:t>
      </w:r>
      <w:proofErr w:type="spellEnd"/>
      <w:r w:rsidRPr="009975EA">
        <w:rPr>
          <w:rFonts w:ascii="Times New Roman" w:hAnsi="Times New Roman" w:cs="Times New Roman"/>
          <w:sz w:val="20"/>
          <w:szCs w:val="20"/>
        </w:rPr>
        <w:t>, J., dissenting)</w:t>
      </w:r>
    </w:p>
  </w:footnote>
  <w:footnote w:id="523">
    <w:p w14:paraId="3EB97C4F" w14:textId="61CB0793"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Clark</w:t>
      </w:r>
      <w:proofErr w:type="spellEnd"/>
      <w:r w:rsidRPr="009975EA">
        <w:rPr>
          <w:rFonts w:ascii="Times New Roman" w:hAnsi="Times New Roman" w:cs="Times New Roman"/>
          <w:sz w:val="20"/>
          <w:szCs w:val="20"/>
        </w:rPr>
        <w:t xml:space="preserve"> v. Dodge, 269 N.Y. 410 (1936):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statutory</w:t>
      </w:r>
      <w:proofErr w:type="spellEnd"/>
      <w:r w:rsidRPr="009975EA">
        <w:rPr>
          <w:rFonts w:ascii="Times New Roman" w:hAnsi="Times New Roman" w:cs="Times New Roman"/>
          <w:sz w:val="20"/>
          <w:szCs w:val="20"/>
        </w:rPr>
        <w:t xml:space="preserve"> norm…</w:t>
      </w:r>
      <w:proofErr w:type="spellStart"/>
      <w:r w:rsidRPr="009975EA">
        <w:rPr>
          <w:rFonts w:ascii="Times New Roman" w:hAnsi="Times New Roman" w:cs="Times New Roman"/>
          <w:sz w:val="20"/>
          <w:szCs w:val="20"/>
        </w:rPr>
        <w:t>Where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directors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sole </w:t>
      </w:r>
      <w:proofErr w:type="spellStart"/>
      <w:r w:rsidRPr="009975EA">
        <w:rPr>
          <w:rFonts w:ascii="Times New Roman" w:hAnsi="Times New Roman" w:cs="Times New Roman"/>
          <w:sz w:val="20"/>
          <w:szCs w:val="20"/>
        </w:rPr>
        <w:t>stockholders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no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objection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enforcing</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agreement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among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vote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certain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people</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officers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There</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no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direct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decision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effect</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yet </w:t>
      </w:r>
      <w:proofErr w:type="spellStart"/>
      <w:r w:rsidRPr="009975EA">
        <w:rPr>
          <w:rFonts w:ascii="Times New Roman" w:hAnsi="Times New Roman" w:cs="Times New Roman"/>
          <w:sz w:val="20"/>
          <w:szCs w:val="20"/>
        </w:rPr>
        <w:t>there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strong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indications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such</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rule</w:t>
      </w:r>
      <w:proofErr w:type="spellEnd"/>
      <w:r w:rsidRPr="009975EA">
        <w:rPr>
          <w:rFonts w:ascii="Times New Roman" w:hAnsi="Times New Roman" w:cs="Times New Roman"/>
          <w:sz w:val="20"/>
          <w:szCs w:val="20"/>
        </w:rPr>
        <w:t xml:space="preserve"> has </w:t>
      </w:r>
      <w:proofErr w:type="spellStart"/>
      <w:r w:rsidRPr="009975EA">
        <w:rPr>
          <w:rFonts w:ascii="Times New Roman" w:hAnsi="Times New Roman" w:cs="Times New Roman"/>
          <w:sz w:val="20"/>
          <w:szCs w:val="20"/>
        </w:rPr>
        <w:t>long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recognized</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universal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do as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choose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concerns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assets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creditors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affected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complete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owners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invoked</w:t>
      </w:r>
      <w:proofErr w:type="spellEnd"/>
      <w:r w:rsidRPr="009975EA">
        <w:rPr>
          <w:rFonts w:ascii="Times New Roman" w:hAnsi="Times New Roman" w:cs="Times New Roman"/>
          <w:color w:val="000000"/>
          <w:sz w:val="20"/>
          <w:szCs w:val="20"/>
        </w:rPr>
        <w:t xml:space="preserve"> here.’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question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affected</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original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incorporation</w:t>
      </w:r>
      <w:proofErr w:type="spellEnd"/>
      <w:r w:rsidRPr="009975EA">
        <w:rPr>
          <w:rFonts w:ascii="Times New Roman" w:hAnsi="Times New Roman" w:cs="Times New Roman"/>
          <w:color w:val="000000"/>
          <w:sz w:val="20"/>
          <w:szCs w:val="20"/>
        </w:rPr>
        <w:t xml:space="preserve">, limit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respective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conflicting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standard</w:t>
      </w:r>
      <w:proofErr w:type="spellEnd"/>
      <w:r w:rsidRPr="009975EA">
        <w:rPr>
          <w:rFonts w:ascii="Times New Roman" w:hAnsi="Times New Roman" w:cs="Times New Roman"/>
          <w:color w:val="000000"/>
          <w:sz w:val="20"/>
          <w:szCs w:val="20"/>
        </w:rPr>
        <w:t>.”</w:t>
      </w:r>
    </w:p>
  </w:footnote>
  <w:footnote w:id="524">
    <w:p w14:paraId="76CB85E3" w14:textId="6D9E2E0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 commentator points this issue on the question whether the corporation can contract not to exercise its statutory powers as follows: “The concern with regard to future shareholders has at least two aspects: first, the general question whether there are circumstances in which investors’ expectations that the company has the powers which are conferred by statute should be defeasible…” (</w:t>
      </w:r>
      <w:proofErr w:type="spellStart"/>
      <w:r w:rsidRPr="009975EA">
        <w:rPr>
          <w:rFonts w:ascii="Times New Roman" w:hAnsi="Times New Roman" w:cs="Times New Roman"/>
          <w:sz w:val="20"/>
          <w:szCs w:val="20"/>
        </w:rPr>
        <w:t>Ferran</w:t>
      </w:r>
      <w:proofErr w:type="spellEnd"/>
      <w:r w:rsidRPr="009975EA">
        <w:rPr>
          <w:rFonts w:ascii="Times New Roman" w:hAnsi="Times New Roman" w:cs="Times New Roman"/>
          <w:sz w:val="20"/>
          <w:szCs w:val="20"/>
        </w:rPr>
        <w:t>, The Decision of the House of, p.358).</w:t>
      </w:r>
    </w:p>
  </w:footnote>
  <w:footnote w:id="525">
    <w:p w14:paraId="0E4DE135" w14:textId="5D78A03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Tekinalp</w:t>
      </w:r>
      <w:proofErr w:type="spellEnd"/>
      <w:r w:rsidRPr="009975EA">
        <w:rPr>
          <w:rFonts w:ascii="Times New Roman" w:hAnsi="Times New Roman" w:cs="Times New Roman"/>
          <w:sz w:val="20"/>
          <w:szCs w:val="20"/>
        </w:rPr>
        <w:t xml:space="preserve">, Yeni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p.106.</w:t>
      </w:r>
    </w:p>
  </w:footnote>
  <w:footnote w:id="526">
    <w:p w14:paraId="596BF77B" w14:textId="07F4C60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only case in which the statute implicitly permits the exercise of the unalienable and nondelegable duties in accordance with another party’s directions is the situations in which law of corporate groups apply (</w:t>
      </w:r>
      <w:proofErr w:type="spellStart"/>
      <w:r w:rsidRPr="009975EA">
        <w:rPr>
          <w:rFonts w:ascii="Times New Roman" w:hAnsi="Times New Roman" w:cs="Times New Roman"/>
          <w:sz w:val="20"/>
          <w:szCs w:val="20"/>
        </w:rPr>
        <w:t>Yanli</w:t>
      </w:r>
      <w:proofErr w:type="spellEnd"/>
      <w:r w:rsidRPr="009975EA">
        <w:rPr>
          <w:rFonts w:ascii="Times New Roman" w:hAnsi="Times New Roman" w:cs="Times New Roman"/>
          <w:sz w:val="20"/>
          <w:szCs w:val="20"/>
        </w:rPr>
        <w:t xml:space="preserve">, Dominion Agreements, p.9). </w:t>
      </w:r>
    </w:p>
  </w:footnote>
  <w:footnote w:id="527">
    <w:p w14:paraId="39ED2A9C" w14:textId="674E434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Commentators opine that board of directors of a corporation hold by only one shareholder or corporate groups can be deemed as agents or personal fiduciaries of the controlling shareholder, and the shareholder will be indirectly liable for the damages arising caused by this relationship (</w:t>
      </w:r>
      <w:proofErr w:type="spellStart"/>
      <w:r w:rsidRPr="009975EA">
        <w:rPr>
          <w:rFonts w:ascii="Times New Roman" w:hAnsi="Times New Roman" w:cs="Times New Roman"/>
          <w:sz w:val="20"/>
          <w:szCs w:val="20"/>
        </w:rPr>
        <w:t>Pulasli</w:t>
      </w:r>
      <w:proofErr w:type="spellEnd"/>
      <w:r w:rsidRPr="009975EA">
        <w:rPr>
          <w:rFonts w:ascii="Times New Roman" w:hAnsi="Times New Roman" w:cs="Times New Roman"/>
          <w:sz w:val="20"/>
          <w:szCs w:val="20"/>
        </w:rPr>
        <w:t>, p. 899).</w:t>
      </w:r>
    </w:p>
  </w:footnote>
  <w:footnote w:id="528">
    <w:p w14:paraId="0E16642D" w14:textId="19896526" w:rsidR="00D36541" w:rsidRPr="009975EA" w:rsidRDefault="00D36541" w:rsidP="009975EA">
      <w:pPr>
        <w:pStyle w:val="p1"/>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Ravanides</w:t>
      </w:r>
      <w:proofErr w:type="spellEnd"/>
      <w:r w:rsidRPr="009975EA">
        <w:rPr>
          <w:rFonts w:ascii="Times New Roman" w:hAnsi="Times New Roman" w:cs="Times New Roman"/>
          <w:color w:val="000000" w:themeColor="text1"/>
          <w:sz w:val="20"/>
          <w:szCs w:val="20"/>
        </w:rPr>
        <w:t>, p.412.</w:t>
      </w:r>
    </w:p>
  </w:footnote>
  <w:footnote w:id="529">
    <w:p w14:paraId="4C97473D" w14:textId="6A697922" w:rsidR="00D36541" w:rsidRPr="009975EA" w:rsidRDefault="00D36541" w:rsidP="009975EA">
      <w:pPr>
        <w:pStyle w:val="p1"/>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themeColor="text1"/>
          <w:sz w:val="20"/>
          <w:szCs w:val="20"/>
        </w:rPr>
        <w:t xml:space="preserve">Del. </w:t>
      </w:r>
      <w:proofErr w:type="spellStart"/>
      <w:r w:rsidRPr="009975EA">
        <w:rPr>
          <w:rFonts w:ascii="Times New Roman" w:hAnsi="Times New Roman" w:cs="Times New Roman"/>
          <w:color w:val="000000" w:themeColor="text1"/>
          <w:sz w:val="20"/>
          <w:szCs w:val="20"/>
        </w:rPr>
        <w:t>Code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Tit</w:t>
      </w:r>
      <w:proofErr w:type="spellEnd"/>
      <w:r w:rsidRPr="009975EA">
        <w:rPr>
          <w:rFonts w:ascii="Times New Roman" w:hAnsi="Times New Roman" w:cs="Times New Roman"/>
          <w:color w:val="000000" w:themeColor="text1"/>
          <w:sz w:val="20"/>
          <w:szCs w:val="20"/>
        </w:rPr>
        <w:t xml:space="preserve">. 8 </w:t>
      </w:r>
      <w:proofErr w:type="spellStart"/>
      <w:r w:rsidRPr="009975EA">
        <w:rPr>
          <w:rFonts w:ascii="Times New Roman" w:hAnsi="Times New Roman" w:cs="Times New Roman"/>
          <w:color w:val="000000" w:themeColor="text1"/>
          <w:sz w:val="20"/>
          <w:szCs w:val="20"/>
        </w:rPr>
        <w:t>Sec</w:t>
      </w:r>
      <w:proofErr w:type="spellEnd"/>
      <w:r w:rsidRPr="009975EA">
        <w:rPr>
          <w:rFonts w:ascii="Times New Roman" w:hAnsi="Times New Roman" w:cs="Times New Roman"/>
          <w:color w:val="000000" w:themeColor="text1"/>
          <w:sz w:val="20"/>
          <w:szCs w:val="20"/>
        </w:rPr>
        <w:t>. 351: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certificate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incorporation</w:t>
      </w:r>
      <w:proofErr w:type="spellEnd"/>
      <w:r w:rsidRPr="009975EA">
        <w:rPr>
          <w:rFonts w:ascii="Times New Roman" w:hAnsi="Times New Roman" w:cs="Times New Roman"/>
          <w:color w:val="000000" w:themeColor="text1"/>
          <w:sz w:val="20"/>
          <w:szCs w:val="20"/>
        </w:rPr>
        <w:t xml:space="preserve"> of a </w:t>
      </w:r>
      <w:proofErr w:type="spellStart"/>
      <w:r w:rsidRPr="009975EA">
        <w:rPr>
          <w:rFonts w:ascii="Times New Roman" w:hAnsi="Times New Roman" w:cs="Times New Roman"/>
          <w:color w:val="000000" w:themeColor="text1"/>
          <w:sz w:val="20"/>
          <w:szCs w:val="20"/>
        </w:rPr>
        <w:t>close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provide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business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shall</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managed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stockholders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rather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a board of </w:t>
      </w:r>
      <w:proofErr w:type="spellStart"/>
      <w:r w:rsidRPr="009975EA">
        <w:rPr>
          <w:rFonts w:ascii="Times New Roman" w:hAnsi="Times New Roman" w:cs="Times New Roman"/>
          <w:color w:val="000000" w:themeColor="text1"/>
          <w:sz w:val="20"/>
          <w:szCs w:val="20"/>
        </w:rPr>
        <w:t>directors</w:t>
      </w:r>
      <w:proofErr w:type="spellEnd"/>
      <w:r w:rsidRPr="009975EA">
        <w:rPr>
          <w:rFonts w:ascii="Times New Roman" w:hAnsi="Times New Roman" w:cs="Times New Roman"/>
          <w:color w:val="000000" w:themeColor="text1"/>
          <w:sz w:val="20"/>
          <w:szCs w:val="20"/>
        </w:rPr>
        <w:t>.”</w:t>
      </w:r>
    </w:p>
  </w:footnote>
  <w:footnote w:id="530">
    <w:p w14:paraId="2F99A486" w14:textId="5BFF36A4" w:rsidR="00D36541" w:rsidRPr="009975EA" w:rsidRDefault="00D36541" w:rsidP="009975EA">
      <w:pPr>
        <w:jc w:val="both"/>
        <w:rPr>
          <w:rFonts w:ascii="Times New Roman" w:eastAsia="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Del. Gen. </w:t>
      </w:r>
      <w:proofErr w:type="spellStart"/>
      <w:r w:rsidRPr="009975EA">
        <w:rPr>
          <w:rFonts w:ascii="Times New Roman" w:hAnsi="Times New Roman" w:cs="Times New Roman"/>
          <w:sz w:val="20"/>
          <w:szCs w:val="20"/>
        </w:rPr>
        <w:t>Corp</w:t>
      </w:r>
      <w:proofErr w:type="spellEnd"/>
      <w:r w:rsidRPr="009975EA">
        <w:rPr>
          <w:rFonts w:ascii="Times New Roman" w:hAnsi="Times New Roman" w:cs="Times New Roman"/>
          <w:sz w:val="20"/>
          <w:szCs w:val="20"/>
        </w:rPr>
        <w:t xml:space="preserve">. L. </w:t>
      </w:r>
      <w:proofErr w:type="spellStart"/>
      <w:r w:rsidRPr="009975EA">
        <w:rPr>
          <w:rFonts w:ascii="Times New Roman" w:hAnsi="Times New Roman" w:cs="Times New Roman"/>
          <w:sz w:val="20"/>
          <w:szCs w:val="20"/>
        </w:rPr>
        <w:t>Sec</w:t>
      </w:r>
      <w:proofErr w:type="spellEnd"/>
      <w:r w:rsidRPr="009975EA">
        <w:rPr>
          <w:rFonts w:ascii="Times New Roman" w:hAnsi="Times New Roman" w:cs="Times New Roman"/>
          <w:sz w:val="20"/>
          <w:szCs w:val="20"/>
        </w:rPr>
        <w:t xml:space="preserve">. 141(a) has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following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language</w:t>
      </w:r>
      <w:proofErr w:type="spellEnd"/>
      <w:r w:rsidRPr="009975EA">
        <w:rPr>
          <w:rFonts w:ascii="Times New Roman" w:hAnsi="Times New Roman" w:cs="Times New Roman"/>
          <w:sz w:val="20"/>
          <w:szCs w:val="20"/>
        </w:rPr>
        <w:t>: “</w:t>
      </w:r>
      <w:proofErr w:type="spellStart"/>
      <w:r w:rsidRPr="009975EA">
        <w:rPr>
          <w:rFonts w:ascii="Times New Roman" w:eastAsia="Times New Roman" w:hAnsi="Times New Roman" w:cs="Times New Roman"/>
          <w:color w:val="222222"/>
          <w:sz w:val="20"/>
          <w:szCs w:val="20"/>
          <w:shd w:val="clear" w:color="auto" w:fill="FFFFFF"/>
        </w:rPr>
        <w:t>If</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any</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such</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provision</w:t>
      </w:r>
      <w:proofErr w:type="spellEnd"/>
      <w:r w:rsidRPr="009975EA">
        <w:rPr>
          <w:rFonts w:ascii="Times New Roman" w:eastAsia="Times New Roman" w:hAnsi="Times New Roman" w:cs="Times New Roman"/>
          <w:color w:val="222222"/>
          <w:sz w:val="20"/>
          <w:szCs w:val="20"/>
          <w:shd w:val="clear" w:color="auto" w:fill="FFFFFF"/>
        </w:rPr>
        <w:t xml:space="preserve"> is </w:t>
      </w:r>
      <w:proofErr w:type="spellStart"/>
      <w:r w:rsidRPr="009975EA">
        <w:rPr>
          <w:rFonts w:ascii="Times New Roman" w:eastAsia="Times New Roman" w:hAnsi="Times New Roman" w:cs="Times New Roman"/>
          <w:color w:val="222222"/>
          <w:sz w:val="20"/>
          <w:szCs w:val="20"/>
          <w:shd w:val="clear" w:color="auto" w:fill="FFFFFF"/>
        </w:rPr>
        <w:t>made</w:t>
      </w:r>
      <w:proofErr w:type="spellEnd"/>
      <w:r w:rsidRPr="009975EA">
        <w:rPr>
          <w:rFonts w:ascii="Times New Roman" w:eastAsia="Times New Roman" w:hAnsi="Times New Roman" w:cs="Times New Roman"/>
          <w:color w:val="222222"/>
          <w:sz w:val="20"/>
          <w:szCs w:val="20"/>
          <w:shd w:val="clear" w:color="auto" w:fill="FFFFFF"/>
        </w:rPr>
        <w:t xml:space="preserve"> in </w:t>
      </w:r>
      <w:proofErr w:type="spellStart"/>
      <w:r w:rsidRPr="009975EA">
        <w:rPr>
          <w:rFonts w:ascii="Times New Roman" w:eastAsia="Times New Roman" w:hAnsi="Times New Roman" w:cs="Times New Roman"/>
          <w:color w:val="222222"/>
          <w:sz w:val="20"/>
          <w:szCs w:val="20"/>
          <w:shd w:val="clear" w:color="auto" w:fill="FFFFFF"/>
        </w:rPr>
        <w:t>the</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certificate</w:t>
      </w:r>
      <w:proofErr w:type="spellEnd"/>
      <w:r w:rsidRPr="009975EA">
        <w:rPr>
          <w:rFonts w:ascii="Times New Roman" w:eastAsia="Times New Roman" w:hAnsi="Times New Roman" w:cs="Times New Roman"/>
          <w:color w:val="222222"/>
          <w:sz w:val="20"/>
          <w:szCs w:val="20"/>
          <w:shd w:val="clear" w:color="auto" w:fill="FFFFFF"/>
        </w:rPr>
        <w:t xml:space="preserve"> of </w:t>
      </w:r>
      <w:proofErr w:type="spellStart"/>
      <w:r w:rsidRPr="009975EA">
        <w:rPr>
          <w:rFonts w:ascii="Times New Roman" w:eastAsia="Times New Roman" w:hAnsi="Times New Roman" w:cs="Times New Roman"/>
          <w:color w:val="222222"/>
          <w:sz w:val="20"/>
          <w:szCs w:val="20"/>
          <w:shd w:val="clear" w:color="auto" w:fill="FFFFFF"/>
        </w:rPr>
        <w:t>incorporation</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the</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powers</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and</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duties</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conferred</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or</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imposed</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upon</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the</w:t>
      </w:r>
      <w:proofErr w:type="spellEnd"/>
      <w:r w:rsidRPr="009975EA">
        <w:rPr>
          <w:rFonts w:ascii="Times New Roman" w:eastAsia="Times New Roman" w:hAnsi="Times New Roman" w:cs="Times New Roman"/>
          <w:color w:val="222222"/>
          <w:sz w:val="20"/>
          <w:szCs w:val="20"/>
          <w:shd w:val="clear" w:color="auto" w:fill="FFFFFF"/>
        </w:rPr>
        <w:t xml:space="preserve"> board of </w:t>
      </w:r>
      <w:proofErr w:type="spellStart"/>
      <w:r w:rsidRPr="009975EA">
        <w:rPr>
          <w:rFonts w:ascii="Times New Roman" w:eastAsia="Times New Roman" w:hAnsi="Times New Roman" w:cs="Times New Roman"/>
          <w:color w:val="222222"/>
          <w:sz w:val="20"/>
          <w:szCs w:val="20"/>
          <w:shd w:val="clear" w:color="auto" w:fill="FFFFFF"/>
        </w:rPr>
        <w:t>directors</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by</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this</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chapter</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shall</w:t>
      </w:r>
      <w:proofErr w:type="spellEnd"/>
      <w:r w:rsidRPr="009975EA">
        <w:rPr>
          <w:rFonts w:ascii="Times New Roman" w:eastAsia="Times New Roman" w:hAnsi="Times New Roman" w:cs="Times New Roman"/>
          <w:color w:val="222222"/>
          <w:sz w:val="20"/>
          <w:szCs w:val="20"/>
          <w:shd w:val="clear" w:color="auto" w:fill="FFFFFF"/>
        </w:rPr>
        <w:t xml:space="preserve"> be </w:t>
      </w:r>
      <w:proofErr w:type="spellStart"/>
      <w:r w:rsidRPr="009975EA">
        <w:rPr>
          <w:rFonts w:ascii="Times New Roman" w:eastAsia="Times New Roman" w:hAnsi="Times New Roman" w:cs="Times New Roman"/>
          <w:color w:val="222222"/>
          <w:sz w:val="20"/>
          <w:szCs w:val="20"/>
          <w:shd w:val="clear" w:color="auto" w:fill="FFFFFF"/>
        </w:rPr>
        <w:t>exercised</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or</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performed</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to</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such</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extent</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and</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by</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such</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person</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or</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persons</w:t>
      </w:r>
      <w:proofErr w:type="spellEnd"/>
      <w:r w:rsidRPr="009975EA">
        <w:rPr>
          <w:rFonts w:ascii="Times New Roman" w:eastAsia="Times New Roman" w:hAnsi="Times New Roman" w:cs="Times New Roman"/>
          <w:color w:val="222222"/>
          <w:sz w:val="20"/>
          <w:szCs w:val="20"/>
          <w:shd w:val="clear" w:color="auto" w:fill="FFFFFF"/>
        </w:rPr>
        <w:t xml:space="preserve"> as </w:t>
      </w:r>
      <w:proofErr w:type="spellStart"/>
      <w:r w:rsidRPr="009975EA">
        <w:rPr>
          <w:rFonts w:ascii="Times New Roman" w:eastAsia="Times New Roman" w:hAnsi="Times New Roman" w:cs="Times New Roman"/>
          <w:color w:val="222222"/>
          <w:sz w:val="20"/>
          <w:szCs w:val="20"/>
          <w:shd w:val="clear" w:color="auto" w:fill="FFFFFF"/>
        </w:rPr>
        <w:t>shall</w:t>
      </w:r>
      <w:proofErr w:type="spellEnd"/>
      <w:r w:rsidRPr="009975EA">
        <w:rPr>
          <w:rFonts w:ascii="Times New Roman" w:eastAsia="Times New Roman" w:hAnsi="Times New Roman" w:cs="Times New Roman"/>
          <w:color w:val="222222"/>
          <w:sz w:val="20"/>
          <w:szCs w:val="20"/>
          <w:shd w:val="clear" w:color="auto" w:fill="FFFFFF"/>
        </w:rPr>
        <w:t xml:space="preserve"> be </w:t>
      </w:r>
      <w:proofErr w:type="spellStart"/>
      <w:r w:rsidRPr="009975EA">
        <w:rPr>
          <w:rFonts w:ascii="Times New Roman" w:eastAsia="Times New Roman" w:hAnsi="Times New Roman" w:cs="Times New Roman"/>
          <w:color w:val="222222"/>
          <w:sz w:val="20"/>
          <w:szCs w:val="20"/>
          <w:shd w:val="clear" w:color="auto" w:fill="FFFFFF"/>
        </w:rPr>
        <w:t>provided</w:t>
      </w:r>
      <w:proofErr w:type="spellEnd"/>
      <w:r w:rsidRPr="009975EA">
        <w:rPr>
          <w:rFonts w:ascii="Times New Roman" w:eastAsia="Times New Roman" w:hAnsi="Times New Roman" w:cs="Times New Roman"/>
          <w:color w:val="222222"/>
          <w:sz w:val="20"/>
          <w:szCs w:val="20"/>
          <w:shd w:val="clear" w:color="auto" w:fill="FFFFFF"/>
        </w:rPr>
        <w:t xml:space="preserve"> in </w:t>
      </w:r>
      <w:proofErr w:type="spellStart"/>
      <w:r w:rsidRPr="009975EA">
        <w:rPr>
          <w:rFonts w:ascii="Times New Roman" w:eastAsia="Times New Roman" w:hAnsi="Times New Roman" w:cs="Times New Roman"/>
          <w:color w:val="222222"/>
          <w:sz w:val="20"/>
          <w:szCs w:val="20"/>
          <w:shd w:val="clear" w:color="auto" w:fill="FFFFFF"/>
        </w:rPr>
        <w:t>the</w:t>
      </w:r>
      <w:proofErr w:type="spellEnd"/>
      <w:r w:rsidRPr="009975EA">
        <w:rPr>
          <w:rFonts w:ascii="Times New Roman" w:eastAsia="Times New Roman" w:hAnsi="Times New Roman" w:cs="Times New Roman"/>
          <w:color w:val="222222"/>
          <w:sz w:val="20"/>
          <w:szCs w:val="20"/>
          <w:shd w:val="clear" w:color="auto" w:fill="FFFFFF"/>
        </w:rPr>
        <w:t xml:space="preserve"> </w:t>
      </w:r>
      <w:proofErr w:type="spellStart"/>
      <w:r w:rsidRPr="009975EA">
        <w:rPr>
          <w:rFonts w:ascii="Times New Roman" w:eastAsia="Times New Roman" w:hAnsi="Times New Roman" w:cs="Times New Roman"/>
          <w:color w:val="222222"/>
          <w:sz w:val="20"/>
          <w:szCs w:val="20"/>
          <w:shd w:val="clear" w:color="auto" w:fill="FFFFFF"/>
        </w:rPr>
        <w:t>certificate</w:t>
      </w:r>
      <w:proofErr w:type="spellEnd"/>
      <w:r w:rsidRPr="009975EA">
        <w:rPr>
          <w:rFonts w:ascii="Times New Roman" w:eastAsia="Times New Roman" w:hAnsi="Times New Roman" w:cs="Times New Roman"/>
          <w:color w:val="222222"/>
          <w:sz w:val="20"/>
          <w:szCs w:val="20"/>
          <w:shd w:val="clear" w:color="auto" w:fill="FFFFFF"/>
        </w:rPr>
        <w:t xml:space="preserve"> of </w:t>
      </w:r>
      <w:proofErr w:type="spellStart"/>
      <w:r w:rsidRPr="009975EA">
        <w:rPr>
          <w:rFonts w:ascii="Times New Roman" w:eastAsia="Times New Roman" w:hAnsi="Times New Roman" w:cs="Times New Roman"/>
          <w:color w:val="222222"/>
          <w:sz w:val="20"/>
          <w:szCs w:val="20"/>
          <w:shd w:val="clear" w:color="auto" w:fill="FFFFFF"/>
        </w:rPr>
        <w:t>incorporation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Zion</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Kurtz</w:t>
      </w:r>
      <w:proofErr w:type="spellEnd"/>
      <w:r w:rsidRPr="009975EA">
        <w:rPr>
          <w:rFonts w:ascii="Times New Roman" w:hAnsi="Times New Roman" w:cs="Times New Roman"/>
          <w:sz w:val="20"/>
          <w:szCs w:val="20"/>
        </w:rPr>
        <w:t xml:space="preserve">, 50 N.Y.2d 92 (1980),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applying</w:t>
      </w:r>
      <w:proofErr w:type="spellEnd"/>
      <w:r w:rsidRPr="009975EA">
        <w:rPr>
          <w:rFonts w:ascii="Times New Roman" w:hAnsi="Times New Roman" w:cs="Times New Roman"/>
          <w:sz w:val="20"/>
          <w:szCs w:val="20"/>
        </w:rPr>
        <w:t xml:space="preserve"> Delaware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upheld</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provision</w:t>
      </w:r>
      <w:proofErr w:type="spellEnd"/>
      <w:r w:rsidRPr="009975EA">
        <w:rPr>
          <w:rFonts w:ascii="Times New Roman" w:hAnsi="Times New Roman" w:cs="Times New Roman"/>
          <w:sz w:val="20"/>
          <w:szCs w:val="20"/>
        </w:rPr>
        <w:t xml:space="preserve"> of a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agreement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intervenes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management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function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directors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formal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steps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required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statute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amending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articles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incorporation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have</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been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taken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themeColor="text1"/>
          <w:sz w:val="20"/>
          <w:szCs w:val="20"/>
        </w:rPr>
        <w:t>In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addition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this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expectation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regarding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board’s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management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power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will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only</w:t>
      </w:r>
      <w:proofErr w:type="spellEnd"/>
      <w:r w:rsidRPr="009975EA">
        <w:rPr>
          <w:rFonts w:ascii="Times New Roman" w:hAnsi="Times New Roman" w:cs="Times New Roman"/>
          <w:color w:val="000000" w:themeColor="text1"/>
          <w:sz w:val="20"/>
          <w:szCs w:val="20"/>
        </w:rPr>
        <w:t xml:space="preserve"> be a “</w:t>
      </w:r>
      <w:proofErr w:type="spellStart"/>
      <w:r w:rsidRPr="009975EA">
        <w:rPr>
          <w:rFonts w:ascii="Times New Roman" w:hAnsi="Times New Roman" w:cs="Times New Roman"/>
          <w:color w:val="000000" w:themeColor="text1"/>
          <w:sz w:val="20"/>
          <w:szCs w:val="20"/>
        </w:rPr>
        <w:t>reasonable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one</w:t>
      </w:r>
      <w:proofErr w:type="spellEnd"/>
      <w:r w:rsidRPr="009975EA">
        <w:rPr>
          <w:rFonts w:ascii="Times New Roman" w:hAnsi="Times New Roman" w:cs="Times New Roman"/>
          <w:color w:val="000000" w:themeColor="text1"/>
          <w:sz w:val="20"/>
          <w:szCs w:val="20"/>
        </w:rPr>
        <w:t xml:space="preserve"> in Delaware </w:t>
      </w:r>
      <w:proofErr w:type="spellStart"/>
      <w:r w:rsidRPr="009975EA">
        <w:rPr>
          <w:rFonts w:ascii="Times New Roman" w:hAnsi="Times New Roman" w:cs="Times New Roman"/>
          <w:color w:val="000000" w:themeColor="text1"/>
          <w:sz w:val="20"/>
          <w:szCs w:val="20"/>
        </w:rPr>
        <w:t>if</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one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did</w:t>
      </w:r>
      <w:proofErr w:type="spellEnd"/>
      <w:r w:rsidRPr="009975EA">
        <w:rPr>
          <w:rFonts w:ascii="Times New Roman" w:hAnsi="Times New Roman" w:cs="Times New Roman"/>
          <w:color w:val="000000" w:themeColor="text1"/>
          <w:sz w:val="20"/>
          <w:szCs w:val="20"/>
        </w:rPr>
        <w:t xml:space="preserve"> not </w:t>
      </w:r>
      <w:proofErr w:type="spellStart"/>
      <w:r w:rsidRPr="009975EA">
        <w:rPr>
          <w:rFonts w:ascii="Times New Roman" w:hAnsi="Times New Roman" w:cs="Times New Roman"/>
          <w:color w:val="000000" w:themeColor="text1"/>
          <w:sz w:val="20"/>
          <w:szCs w:val="20"/>
        </w:rPr>
        <w:t>elect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close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status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became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one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permitted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managed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stockholders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under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articles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incorporation</w:t>
      </w:r>
      <w:proofErr w:type="spellEnd"/>
      <w:r w:rsidRPr="009975EA">
        <w:rPr>
          <w:rFonts w:ascii="Times New Roman" w:hAnsi="Times New Roman" w:cs="Times New Roman"/>
          <w:color w:val="000000" w:themeColor="text1"/>
          <w:sz w:val="20"/>
          <w:szCs w:val="20"/>
        </w:rPr>
        <w:t xml:space="preserve"> (Del. </w:t>
      </w:r>
      <w:proofErr w:type="spellStart"/>
      <w:r w:rsidRPr="009975EA">
        <w:rPr>
          <w:rFonts w:ascii="Times New Roman" w:hAnsi="Times New Roman" w:cs="Times New Roman"/>
          <w:color w:val="000000" w:themeColor="text1"/>
          <w:sz w:val="20"/>
          <w:szCs w:val="20"/>
        </w:rPr>
        <w:t>Code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Tit</w:t>
      </w:r>
      <w:proofErr w:type="spellEnd"/>
      <w:r w:rsidRPr="009975EA">
        <w:rPr>
          <w:rFonts w:ascii="Times New Roman" w:hAnsi="Times New Roman" w:cs="Times New Roman"/>
          <w:color w:val="000000" w:themeColor="text1"/>
          <w:sz w:val="20"/>
          <w:szCs w:val="20"/>
        </w:rPr>
        <w:t xml:space="preserve">. 8 </w:t>
      </w:r>
      <w:proofErr w:type="spellStart"/>
      <w:r w:rsidRPr="009975EA">
        <w:rPr>
          <w:rFonts w:ascii="Times New Roman" w:hAnsi="Times New Roman" w:cs="Times New Roman"/>
          <w:color w:val="000000" w:themeColor="text1"/>
          <w:sz w:val="20"/>
          <w:szCs w:val="20"/>
        </w:rPr>
        <w:t>Sec</w:t>
      </w:r>
      <w:proofErr w:type="spellEnd"/>
      <w:r w:rsidRPr="009975EA">
        <w:rPr>
          <w:rFonts w:ascii="Times New Roman" w:hAnsi="Times New Roman" w:cs="Times New Roman"/>
          <w:color w:val="000000" w:themeColor="text1"/>
          <w:sz w:val="20"/>
          <w:szCs w:val="20"/>
        </w:rPr>
        <w:t>. 351: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certificate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incorporation</w:t>
      </w:r>
      <w:proofErr w:type="spellEnd"/>
      <w:r w:rsidRPr="009975EA">
        <w:rPr>
          <w:rFonts w:ascii="Times New Roman" w:hAnsi="Times New Roman" w:cs="Times New Roman"/>
          <w:color w:val="000000" w:themeColor="text1"/>
          <w:sz w:val="20"/>
          <w:szCs w:val="20"/>
        </w:rPr>
        <w:t xml:space="preserve"> of a </w:t>
      </w:r>
      <w:proofErr w:type="spellStart"/>
      <w:r w:rsidRPr="009975EA">
        <w:rPr>
          <w:rFonts w:ascii="Times New Roman" w:hAnsi="Times New Roman" w:cs="Times New Roman"/>
          <w:color w:val="000000" w:themeColor="text1"/>
          <w:sz w:val="20"/>
          <w:szCs w:val="20"/>
        </w:rPr>
        <w:t>close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provide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business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shall</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managed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stockholders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rather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a board of </w:t>
      </w:r>
      <w:proofErr w:type="spellStart"/>
      <w:r w:rsidRPr="009975EA">
        <w:rPr>
          <w:rFonts w:ascii="Times New Roman" w:hAnsi="Times New Roman" w:cs="Times New Roman"/>
          <w:color w:val="000000" w:themeColor="text1"/>
          <w:sz w:val="20"/>
          <w:szCs w:val="20"/>
        </w:rPr>
        <w:t>directors</w:t>
      </w:r>
      <w:proofErr w:type="spellEnd"/>
      <w:r w:rsidRPr="009975EA">
        <w:rPr>
          <w:rFonts w:ascii="Times New Roman" w:hAnsi="Times New Roman" w:cs="Times New Roman"/>
          <w:color w:val="000000" w:themeColor="text1"/>
          <w:sz w:val="20"/>
          <w:szCs w:val="20"/>
        </w:rPr>
        <w:t>.”).</w:t>
      </w:r>
    </w:p>
  </w:footnote>
  <w:footnote w:id="531">
    <w:p w14:paraId="5E50EF69" w14:textId="240DAA3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Adams v. Clearance Corp., 35 Del. Ch. 459 (1956): “To the extent that the voting trust statute permits the delegation of the directors’ duty to vote stock, it is therefore an exception to the general rule of non- delegation, carved out by the statute itself.”</w:t>
      </w:r>
    </w:p>
  </w:footnote>
  <w:footnote w:id="532">
    <w:p w14:paraId="1E93D1ED" w14:textId="2D9A730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TCC Article 205: “Dependent company’s directors, managers and responsible parties cannot be held liable against the company and shareholders for their compliance with the instructions given in accordance with Article 203 and 204.”</w:t>
      </w:r>
    </w:p>
  </w:footnote>
  <w:footnote w:id="533">
    <w:p w14:paraId="26FA1B75" w14:textId="23EB14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Official Comment to CML, p.15.</w:t>
      </w:r>
    </w:p>
  </w:footnote>
  <w:footnote w:id="534">
    <w:p w14:paraId="6476FB4C" w14:textId="645BE40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Omer </w:t>
      </w:r>
      <w:proofErr w:type="spellStart"/>
      <w:r w:rsidRPr="009975EA">
        <w:rPr>
          <w:rFonts w:ascii="Times New Roman" w:hAnsi="Times New Roman" w:cs="Times New Roman"/>
          <w:sz w:val="20"/>
          <w:szCs w:val="20"/>
        </w:rPr>
        <w:t>Korkut</w:t>
      </w:r>
      <w:proofErr w:type="spellEnd"/>
      <w:r w:rsidRPr="009975EA">
        <w:rPr>
          <w:rFonts w:ascii="Times New Roman" w:hAnsi="Times New Roman" w:cs="Times New Roman"/>
          <w:sz w:val="20"/>
          <w:szCs w:val="20"/>
        </w:rPr>
        <w:t xml:space="preserve">, </w:t>
      </w:r>
      <w:proofErr w:type="spellStart"/>
      <w:r w:rsidRPr="00A14ABE">
        <w:rPr>
          <w:rFonts w:ascii="Times New Roman" w:hAnsi="Times New Roman" w:cs="Times New Roman"/>
          <w:i/>
          <w:sz w:val="20"/>
          <w:szCs w:val="20"/>
        </w:rPr>
        <w:t>Anonim</w:t>
      </w:r>
      <w:proofErr w:type="spellEnd"/>
      <w:r w:rsidRPr="00A14ABE">
        <w:rPr>
          <w:rFonts w:ascii="Times New Roman" w:hAnsi="Times New Roman" w:cs="Times New Roman"/>
          <w:i/>
          <w:sz w:val="20"/>
          <w:szCs w:val="20"/>
        </w:rPr>
        <w:t xml:space="preserve"> </w:t>
      </w:r>
      <w:proofErr w:type="spellStart"/>
      <w:r w:rsidRPr="00A14ABE">
        <w:rPr>
          <w:rFonts w:ascii="Times New Roman" w:hAnsi="Times New Roman" w:cs="Times New Roman"/>
          <w:i/>
          <w:sz w:val="20"/>
          <w:szCs w:val="20"/>
        </w:rPr>
        <w:t>Sirketlerde</w:t>
      </w:r>
      <w:proofErr w:type="spellEnd"/>
      <w:r w:rsidRPr="00A14ABE">
        <w:rPr>
          <w:rFonts w:ascii="Times New Roman" w:hAnsi="Times New Roman" w:cs="Times New Roman"/>
          <w:i/>
          <w:sz w:val="20"/>
          <w:szCs w:val="20"/>
        </w:rPr>
        <w:t xml:space="preserve"> </w:t>
      </w:r>
      <w:proofErr w:type="spellStart"/>
      <w:r w:rsidRPr="00A14ABE">
        <w:rPr>
          <w:rFonts w:ascii="Times New Roman" w:hAnsi="Times New Roman" w:cs="Times New Roman"/>
          <w:i/>
          <w:sz w:val="20"/>
          <w:szCs w:val="20"/>
        </w:rPr>
        <w:t>Inancli</w:t>
      </w:r>
      <w:proofErr w:type="spellEnd"/>
      <w:r w:rsidRPr="00A14ABE">
        <w:rPr>
          <w:rFonts w:ascii="Times New Roman" w:hAnsi="Times New Roman" w:cs="Times New Roman"/>
          <w:i/>
          <w:sz w:val="20"/>
          <w:szCs w:val="20"/>
        </w:rPr>
        <w:t xml:space="preserve"> </w:t>
      </w:r>
      <w:proofErr w:type="spellStart"/>
      <w:r w:rsidRPr="00A14ABE">
        <w:rPr>
          <w:rFonts w:ascii="Times New Roman" w:hAnsi="Times New Roman" w:cs="Times New Roman"/>
          <w:i/>
          <w:sz w:val="20"/>
          <w:szCs w:val="20"/>
        </w:rPr>
        <w:t>Yonetim</w:t>
      </w:r>
      <w:proofErr w:type="spellEnd"/>
      <w:r w:rsidRPr="00A14ABE">
        <w:rPr>
          <w:rFonts w:ascii="Times New Roman" w:hAnsi="Times New Roman" w:cs="Times New Roman"/>
          <w:i/>
          <w:sz w:val="20"/>
          <w:szCs w:val="20"/>
        </w:rPr>
        <w:t xml:space="preserve"> </w:t>
      </w:r>
      <w:proofErr w:type="spellStart"/>
      <w:r w:rsidRPr="00A14ABE">
        <w:rPr>
          <w:rFonts w:ascii="Times New Roman" w:hAnsi="Times New Roman" w:cs="Times New Roman"/>
          <w:i/>
          <w:sz w:val="20"/>
          <w:szCs w:val="20"/>
        </w:rPr>
        <w:t>Kurulu</w:t>
      </w:r>
      <w:proofErr w:type="spellEnd"/>
      <w:r w:rsidRPr="00A14ABE">
        <w:rPr>
          <w:rFonts w:ascii="Times New Roman" w:hAnsi="Times New Roman" w:cs="Times New Roman"/>
          <w:i/>
          <w:sz w:val="20"/>
          <w:szCs w:val="20"/>
        </w:rPr>
        <w:t xml:space="preserve"> </w:t>
      </w:r>
      <w:proofErr w:type="spellStart"/>
      <w:r w:rsidRPr="00A14ABE">
        <w:rPr>
          <w:rFonts w:ascii="Times New Roman" w:hAnsi="Times New Roman" w:cs="Times New Roman"/>
          <w:i/>
          <w:sz w:val="20"/>
          <w:szCs w:val="20"/>
        </w:rPr>
        <w:t>Uyeligi</w:t>
      </w:r>
      <w:proofErr w:type="spellEnd"/>
      <w:r>
        <w:rPr>
          <w:rFonts w:ascii="Times New Roman" w:hAnsi="Times New Roman" w:cs="Times New Roman"/>
          <w:i/>
          <w:sz w:val="20"/>
          <w:szCs w:val="20"/>
        </w:rPr>
        <w:t xml:space="preserve"> </w:t>
      </w:r>
      <w:r>
        <w:rPr>
          <w:rFonts w:ascii="Times New Roman" w:hAnsi="Times New Roman" w:cs="Times New Roman"/>
          <w:sz w:val="20"/>
          <w:szCs w:val="20"/>
        </w:rPr>
        <w:t>16, Doctoral Dissertation (</w:t>
      </w:r>
      <w:r w:rsidRPr="009975EA">
        <w:rPr>
          <w:rFonts w:ascii="Times New Roman" w:hAnsi="Times New Roman" w:cs="Times New Roman"/>
          <w:sz w:val="20"/>
          <w:szCs w:val="20"/>
        </w:rPr>
        <w:t>2006</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535">
    <w:p w14:paraId="6570B09E" w14:textId="75DDC90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It must be underlined that TCC does not prohibit a director to cut all ties with a shareholder, rather it requires the director to not to harm the remaining shareholders’ interests (</w:t>
      </w:r>
      <w:proofErr w:type="spellStart"/>
      <w:r w:rsidRPr="009975EA">
        <w:rPr>
          <w:rFonts w:ascii="Times New Roman" w:hAnsi="Times New Roman" w:cs="Times New Roman"/>
          <w:sz w:val="20"/>
          <w:szCs w:val="20"/>
        </w:rPr>
        <w:t>Korkut</w:t>
      </w:r>
      <w:proofErr w:type="spellEnd"/>
      <w:r w:rsidRPr="009975EA">
        <w:rPr>
          <w:rFonts w:ascii="Times New Roman" w:hAnsi="Times New Roman" w:cs="Times New Roman"/>
          <w:sz w:val="20"/>
          <w:szCs w:val="20"/>
        </w:rPr>
        <w:t>, p.10). In fact, the concept of “independent director” shows that all other directors are deemed dependent somehow. On the other hand, the independence of the “independent” directors, and if so for how long, is also questionable (OECD (2012), Related Party Transactions and Minority Shareho</w:t>
      </w:r>
      <w:r>
        <w:rPr>
          <w:rFonts w:ascii="Times New Roman" w:hAnsi="Times New Roman" w:cs="Times New Roman"/>
          <w:sz w:val="20"/>
          <w:szCs w:val="20"/>
        </w:rPr>
        <w:t xml:space="preserve">lder Rights, OECD Publishing, at </w:t>
      </w:r>
      <w:r w:rsidRPr="009975EA">
        <w:rPr>
          <w:rFonts w:ascii="Times New Roman" w:hAnsi="Times New Roman" w:cs="Times New Roman"/>
          <w:sz w:val="20"/>
          <w:szCs w:val="20"/>
        </w:rPr>
        <w:t>13).</w:t>
      </w:r>
    </w:p>
  </w:footnote>
  <w:footnote w:id="536">
    <w:p w14:paraId="51514F28" w14:textId="19C5B573"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re H.R. </w:t>
      </w:r>
      <w:proofErr w:type="spellStart"/>
      <w:r w:rsidRPr="009975EA">
        <w:rPr>
          <w:rFonts w:ascii="Times New Roman" w:hAnsi="Times New Roman" w:cs="Times New Roman"/>
          <w:sz w:val="20"/>
          <w:szCs w:val="20"/>
        </w:rPr>
        <w:t>Harmer</w:t>
      </w:r>
      <w:proofErr w:type="spellEnd"/>
      <w:r w:rsidRPr="009975EA">
        <w:rPr>
          <w:rFonts w:ascii="Times New Roman" w:hAnsi="Times New Roman" w:cs="Times New Roman"/>
          <w:sz w:val="20"/>
          <w:szCs w:val="20"/>
        </w:rPr>
        <w:t xml:space="preserve"> Ltd. [1959] 1 W.L.R. 62 (</w:t>
      </w:r>
      <w:proofErr w:type="spellStart"/>
      <w:r w:rsidRPr="009975EA">
        <w:rPr>
          <w:rFonts w:ascii="Times New Roman" w:hAnsi="Times New Roman" w:cs="Times New Roman"/>
          <w:sz w:val="20"/>
          <w:szCs w:val="20"/>
        </w:rPr>
        <w:t>Romer</w:t>
      </w:r>
      <w:proofErr w:type="spellEnd"/>
      <w:r w:rsidRPr="009975EA">
        <w:rPr>
          <w:rFonts w:ascii="Times New Roman" w:hAnsi="Times New Roman" w:cs="Times New Roman"/>
          <w:sz w:val="20"/>
          <w:szCs w:val="20"/>
        </w:rPr>
        <w:t xml:space="preserve"> L.J.): “</w:t>
      </w:r>
      <w:proofErr w:type="spellStart"/>
      <w:r w:rsidRPr="009975EA">
        <w:rPr>
          <w:rFonts w:ascii="Times New Roman" w:hAnsi="Times New Roman" w:cs="Times New Roman"/>
          <w:color w:val="000000"/>
          <w:sz w:val="20"/>
          <w:szCs w:val="20"/>
        </w:rPr>
        <w:t>Members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entitled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board </w:t>
      </w:r>
      <w:proofErr w:type="spellStart"/>
      <w:r w:rsidRPr="009975EA">
        <w:rPr>
          <w:rFonts w:ascii="Times New Roman" w:hAnsi="Times New Roman" w:cs="Times New Roman"/>
          <w:color w:val="000000"/>
          <w:sz w:val="20"/>
          <w:szCs w:val="20"/>
        </w:rPr>
        <w:t>shall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perform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functions</w:t>
      </w:r>
      <w:proofErr w:type="spellEnd"/>
      <w:r w:rsidRPr="009975EA">
        <w:rPr>
          <w:rFonts w:ascii="Times New Roman" w:hAnsi="Times New Roman" w:cs="Times New Roman"/>
          <w:color w:val="000000"/>
          <w:sz w:val="20"/>
          <w:szCs w:val="20"/>
        </w:rPr>
        <w:t xml:space="preserve"> as a board,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proceedings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shall</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carried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w:t>
      </w:r>
      <w:proofErr w:type="spellEnd"/>
      <w:r w:rsidRPr="009975EA">
        <w:rPr>
          <w:rFonts w:ascii="Times New Roman" w:hAnsi="Times New Roman" w:cs="Times New Roman"/>
          <w:color w:val="000000"/>
          <w:sz w:val="20"/>
          <w:szCs w:val="20"/>
        </w:rPr>
        <w:t xml:space="preserve"> in a normal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orthodox</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manner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entitled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benefit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collective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experience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each</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freely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express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views</w:t>
      </w:r>
      <w:proofErr w:type="spellEnd"/>
      <w:r w:rsidRPr="009975EA">
        <w:rPr>
          <w:rFonts w:ascii="Times New Roman" w:hAnsi="Times New Roman" w:cs="Times New Roman"/>
          <w:color w:val="000000"/>
          <w:sz w:val="20"/>
          <w:szCs w:val="20"/>
        </w:rPr>
        <w:t xml:space="preserve"> at board </w:t>
      </w:r>
      <w:proofErr w:type="spellStart"/>
      <w:r w:rsidRPr="009975EA">
        <w:rPr>
          <w:rFonts w:ascii="Times New Roman" w:hAnsi="Times New Roman" w:cs="Times New Roman"/>
          <w:color w:val="000000"/>
          <w:sz w:val="20"/>
          <w:szCs w:val="20"/>
        </w:rPr>
        <w:t>meetings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regard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shall</w:t>
      </w:r>
      <w:proofErr w:type="spellEnd"/>
      <w:r w:rsidRPr="009975EA">
        <w:rPr>
          <w:rFonts w:ascii="Times New Roman" w:hAnsi="Times New Roman" w:cs="Times New Roman"/>
          <w:color w:val="000000"/>
          <w:sz w:val="20"/>
          <w:szCs w:val="20"/>
        </w:rPr>
        <w:t xml:space="preserve"> be had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say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resolutions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properly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passed</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537">
    <w:p w14:paraId="2F358857" w14:textId="1570E2A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White v. Perkins, 213 Va. 129 (1972): “Oppression as a ground for corporate dissolution would appear to be of fairly recent origin.”</w:t>
      </w:r>
    </w:p>
  </w:footnote>
  <w:footnote w:id="538">
    <w:p w14:paraId="15190444" w14:textId="1223B96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Carol L. Kline, </w:t>
      </w:r>
      <w:r w:rsidRPr="00A14ABE">
        <w:rPr>
          <w:rFonts w:ascii="Times New Roman" w:hAnsi="Times New Roman" w:cs="Times New Roman"/>
          <w:i/>
          <w:sz w:val="20"/>
          <w:szCs w:val="20"/>
        </w:rPr>
        <w:t>Protecting Minority Shareholders in Close Corporations: Modeling Czech Investor Protections on German and the United States Law</w:t>
      </w:r>
      <w:r w:rsidRPr="009975EA">
        <w:rPr>
          <w:rFonts w:ascii="Times New Roman" w:hAnsi="Times New Roman" w:cs="Times New Roman"/>
          <w:sz w:val="20"/>
          <w:szCs w:val="20"/>
        </w:rPr>
        <w:t>, 23 B.C. Int’</w:t>
      </w:r>
      <w:r>
        <w:rPr>
          <w:rFonts w:ascii="Times New Roman" w:hAnsi="Times New Roman" w:cs="Times New Roman"/>
          <w:sz w:val="20"/>
          <w:szCs w:val="20"/>
        </w:rPr>
        <w:t xml:space="preserve">l &amp; Comp. L. Rev. 229 (2000) at </w:t>
      </w:r>
      <w:r w:rsidRPr="009975EA">
        <w:rPr>
          <w:rFonts w:ascii="Times New Roman" w:hAnsi="Times New Roman" w:cs="Times New Roman"/>
          <w:sz w:val="20"/>
          <w:szCs w:val="20"/>
        </w:rPr>
        <w:t>243.</w:t>
      </w:r>
    </w:p>
  </w:footnote>
  <w:footnote w:id="539">
    <w:p w14:paraId="143B3B06" w14:textId="694A525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Model Business Corporation Act, Official Text with Official Comment and Statutory Cross- References Rev</w:t>
      </w:r>
      <w:r>
        <w:rPr>
          <w:rFonts w:ascii="Times New Roman" w:hAnsi="Times New Roman" w:cs="Times New Roman"/>
          <w:sz w:val="20"/>
          <w:szCs w:val="20"/>
        </w:rPr>
        <w:t>ised through June 2005 (</w:t>
      </w:r>
      <w:r w:rsidRPr="009975EA">
        <w:rPr>
          <w:rFonts w:ascii="Times New Roman" w:hAnsi="Times New Roman" w:cs="Times New Roman"/>
          <w:sz w:val="20"/>
          <w:szCs w:val="20"/>
        </w:rPr>
        <w:t>2005</w:t>
      </w:r>
      <w:r>
        <w:rPr>
          <w:rFonts w:ascii="Times New Roman" w:hAnsi="Times New Roman" w:cs="Times New Roman"/>
          <w:sz w:val="20"/>
          <w:szCs w:val="20"/>
        </w:rPr>
        <w:t>)</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p.xix</w:t>
      </w:r>
      <w:proofErr w:type="spellEnd"/>
      <w:r w:rsidRPr="009975EA">
        <w:rPr>
          <w:rFonts w:ascii="Times New Roman" w:hAnsi="Times New Roman" w:cs="Times New Roman"/>
          <w:sz w:val="20"/>
          <w:szCs w:val="20"/>
        </w:rPr>
        <w:t>.</w:t>
      </w:r>
    </w:p>
  </w:footnote>
  <w:footnote w:id="540">
    <w:p w14:paraId="62A9C014" w14:textId="0BFBF72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MBCA Sec. 14.30(a)(2)(ii) (2010) states that the court may dissolve a corporation a proceeding by a shareholder if it is established that “the directors or those in control of the corporation have acted, are acting, or will act in a manner that is illegal, oppressive, or fraudulent”.</w:t>
      </w:r>
    </w:p>
  </w:footnote>
  <w:footnote w:id="541">
    <w:p w14:paraId="39064EA6" w14:textId="0FD180D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Simeon E. Baldwin, </w:t>
      </w:r>
      <w:r w:rsidRPr="00A14ABE">
        <w:rPr>
          <w:rFonts w:ascii="Times New Roman" w:hAnsi="Times New Roman" w:cs="Times New Roman"/>
          <w:i/>
          <w:sz w:val="20"/>
          <w:szCs w:val="20"/>
        </w:rPr>
        <w:t>Voting- Trusts</w:t>
      </w:r>
      <w:r>
        <w:rPr>
          <w:rFonts w:ascii="Times New Roman" w:hAnsi="Times New Roman" w:cs="Times New Roman"/>
          <w:sz w:val="20"/>
          <w:szCs w:val="20"/>
        </w:rPr>
        <w:t xml:space="preserve">, 1 Yale L. J. 1 (1891) at </w:t>
      </w:r>
      <w:r w:rsidRPr="009975EA">
        <w:rPr>
          <w:rFonts w:ascii="Times New Roman" w:hAnsi="Times New Roman" w:cs="Times New Roman"/>
          <w:sz w:val="20"/>
          <w:szCs w:val="20"/>
        </w:rPr>
        <w:t>14 and Hayden v. Official Hotel R.B. &amp; D. Co., 42 F.875 (1890).</w:t>
      </w:r>
    </w:p>
  </w:footnote>
  <w:footnote w:id="542">
    <w:p w14:paraId="420409DA"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Coffee, p. 1620.</w:t>
      </w:r>
    </w:p>
  </w:footnote>
  <w:footnote w:id="543">
    <w:p w14:paraId="3BFC301C" w14:textId="4D3C19A0" w:rsidR="00D36541" w:rsidRPr="009975EA" w:rsidRDefault="00D36541" w:rsidP="009975EA">
      <w:pPr>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general </w:t>
      </w:r>
      <w:proofErr w:type="spellStart"/>
      <w:r w:rsidRPr="009975EA">
        <w:rPr>
          <w:rFonts w:ascii="Times New Roman" w:hAnsi="Times New Roman" w:cs="Times New Roman"/>
          <w:sz w:val="20"/>
          <w:szCs w:val="20"/>
        </w:rPr>
        <w:t>rule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laid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down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U.S. </w:t>
      </w:r>
      <w:proofErr w:type="spellStart"/>
      <w:r w:rsidRPr="009975EA">
        <w:rPr>
          <w:rFonts w:ascii="Times New Roman" w:hAnsi="Times New Roman" w:cs="Times New Roman"/>
          <w:sz w:val="20"/>
          <w:szCs w:val="20"/>
        </w:rPr>
        <w:t>courts</w:t>
      </w:r>
      <w:proofErr w:type="spellEnd"/>
      <w:r w:rsidRPr="009975EA">
        <w:rPr>
          <w:rFonts w:ascii="Times New Roman" w:hAnsi="Times New Roman" w:cs="Times New Roman"/>
          <w:sz w:val="20"/>
          <w:szCs w:val="20"/>
        </w:rPr>
        <w:t xml:space="preserve"> had </w:t>
      </w:r>
      <w:proofErr w:type="spellStart"/>
      <w:r w:rsidRPr="009975EA">
        <w:rPr>
          <w:rFonts w:ascii="Times New Roman" w:hAnsi="Times New Roman" w:cs="Times New Roman"/>
          <w:sz w:val="20"/>
          <w:szCs w:val="20"/>
        </w:rPr>
        <w:t>been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refuse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recognize</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common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cause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action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Ritchie</w:t>
      </w:r>
      <w:proofErr w:type="spellEnd"/>
      <w:r w:rsidRPr="009975EA">
        <w:rPr>
          <w:rFonts w:ascii="Times New Roman" w:hAnsi="Times New Roman" w:cs="Times New Roman"/>
          <w:color w:val="000000"/>
          <w:sz w:val="20"/>
          <w:szCs w:val="20"/>
        </w:rPr>
        <w:t xml:space="preserve"> v. </w:t>
      </w:r>
      <w:proofErr w:type="spellStart"/>
      <w:r w:rsidRPr="009975EA">
        <w:rPr>
          <w:rFonts w:ascii="Times New Roman" w:hAnsi="Times New Roman" w:cs="Times New Roman"/>
          <w:color w:val="000000"/>
          <w:sz w:val="20"/>
          <w:szCs w:val="20"/>
        </w:rPr>
        <w:t>Rupe</w:t>
      </w:r>
      <w:proofErr w:type="spellEnd"/>
      <w:r w:rsidRPr="009975EA">
        <w:rPr>
          <w:rFonts w:ascii="Times New Roman" w:hAnsi="Times New Roman" w:cs="Times New Roman"/>
          <w:color w:val="000000"/>
          <w:sz w:val="20"/>
          <w:szCs w:val="20"/>
        </w:rPr>
        <w:t>, 443 S.W.3d 856 (2014)</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grant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dissolution</w:t>
      </w:r>
      <w:proofErr w:type="spellEnd"/>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F. </w:t>
      </w:r>
      <w:proofErr w:type="spellStart"/>
      <w:r w:rsidRPr="009975EA">
        <w:rPr>
          <w:rFonts w:ascii="Times New Roman" w:hAnsi="Times New Roman" w:cs="Times New Roman"/>
          <w:color w:val="000000"/>
          <w:sz w:val="20"/>
          <w:szCs w:val="20"/>
        </w:rPr>
        <w:t>Hodge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O'Neal</w:t>
      </w:r>
      <w:proofErr w:type="spellEnd"/>
      <w:r w:rsidRPr="00A14ABE">
        <w:rPr>
          <w:rFonts w:ascii="Times New Roman" w:hAnsi="Times New Roman" w:cs="Times New Roman"/>
          <w:i/>
          <w:color w:val="000000"/>
          <w:sz w:val="20"/>
          <w:szCs w:val="20"/>
        </w:rPr>
        <w:t xml:space="preserve">, </w:t>
      </w:r>
      <w:proofErr w:type="spellStart"/>
      <w:r w:rsidRPr="00A14ABE">
        <w:rPr>
          <w:rFonts w:ascii="Times New Roman" w:hAnsi="Times New Roman" w:cs="Times New Roman"/>
          <w:i/>
          <w:color w:val="000000"/>
          <w:sz w:val="20"/>
          <w:szCs w:val="20"/>
        </w:rPr>
        <w:t>Oppugnancy</w:t>
      </w:r>
      <w:proofErr w:type="spellEnd"/>
      <w:r w:rsidRPr="00A14ABE">
        <w:rPr>
          <w:rFonts w:ascii="Times New Roman" w:hAnsi="Times New Roman" w:cs="Times New Roman"/>
          <w:i/>
          <w:color w:val="000000"/>
          <w:sz w:val="20"/>
          <w:szCs w:val="20"/>
        </w:rPr>
        <w:t xml:space="preserve"> </w:t>
      </w:r>
      <w:proofErr w:type="spellStart"/>
      <w:r w:rsidRPr="00A14ABE">
        <w:rPr>
          <w:rFonts w:ascii="Times New Roman" w:hAnsi="Times New Roman" w:cs="Times New Roman"/>
          <w:i/>
          <w:color w:val="000000"/>
          <w:sz w:val="20"/>
          <w:szCs w:val="20"/>
        </w:rPr>
        <w:t>and</w:t>
      </w:r>
      <w:proofErr w:type="spellEnd"/>
      <w:r w:rsidRPr="00A14ABE">
        <w:rPr>
          <w:rFonts w:ascii="Times New Roman" w:hAnsi="Times New Roman" w:cs="Times New Roman"/>
          <w:i/>
          <w:color w:val="000000"/>
          <w:sz w:val="20"/>
          <w:szCs w:val="20"/>
        </w:rPr>
        <w:t xml:space="preserve"> </w:t>
      </w:r>
      <w:proofErr w:type="spellStart"/>
      <w:r w:rsidRPr="00A14ABE">
        <w:rPr>
          <w:rFonts w:ascii="Times New Roman" w:hAnsi="Times New Roman" w:cs="Times New Roman"/>
          <w:i/>
          <w:color w:val="000000"/>
          <w:sz w:val="20"/>
          <w:szCs w:val="20"/>
        </w:rPr>
        <w:t>Oppression</w:t>
      </w:r>
      <w:proofErr w:type="spellEnd"/>
      <w:r w:rsidRPr="00A14ABE">
        <w:rPr>
          <w:rFonts w:ascii="Times New Roman" w:hAnsi="Times New Roman" w:cs="Times New Roman"/>
          <w:i/>
          <w:color w:val="000000"/>
          <w:sz w:val="20"/>
          <w:szCs w:val="20"/>
        </w:rPr>
        <w:t xml:space="preserve"> in Close </w:t>
      </w:r>
      <w:proofErr w:type="spellStart"/>
      <w:r w:rsidRPr="00A14ABE">
        <w:rPr>
          <w:rFonts w:ascii="Times New Roman" w:hAnsi="Times New Roman" w:cs="Times New Roman"/>
          <w:i/>
          <w:color w:val="000000"/>
          <w:sz w:val="20"/>
          <w:szCs w:val="20"/>
        </w:rPr>
        <w:t>Corporations</w:t>
      </w:r>
      <w:proofErr w:type="spellEnd"/>
      <w:r w:rsidRPr="00A14ABE">
        <w:rPr>
          <w:rFonts w:ascii="Times New Roman" w:hAnsi="Times New Roman" w:cs="Times New Roman"/>
          <w:i/>
          <w:color w:val="000000"/>
          <w:sz w:val="20"/>
          <w:szCs w:val="20"/>
        </w:rPr>
        <w:t xml:space="preserve">: </w:t>
      </w:r>
      <w:proofErr w:type="spellStart"/>
      <w:r w:rsidRPr="00A14ABE">
        <w:rPr>
          <w:rFonts w:ascii="Times New Roman" w:hAnsi="Times New Roman" w:cs="Times New Roman"/>
          <w:i/>
          <w:color w:val="000000"/>
          <w:sz w:val="20"/>
          <w:szCs w:val="20"/>
        </w:rPr>
        <w:t>Remedies</w:t>
      </w:r>
      <w:proofErr w:type="spellEnd"/>
      <w:r w:rsidRPr="00A14ABE">
        <w:rPr>
          <w:rFonts w:ascii="Times New Roman" w:hAnsi="Times New Roman" w:cs="Times New Roman"/>
          <w:i/>
          <w:color w:val="000000"/>
          <w:sz w:val="20"/>
          <w:szCs w:val="20"/>
        </w:rPr>
        <w:t xml:space="preserve"> in </w:t>
      </w:r>
      <w:proofErr w:type="spellStart"/>
      <w:r w:rsidRPr="00A14ABE">
        <w:rPr>
          <w:rFonts w:ascii="Times New Roman" w:hAnsi="Times New Roman" w:cs="Times New Roman"/>
          <w:i/>
          <w:color w:val="000000"/>
          <w:sz w:val="20"/>
          <w:szCs w:val="20"/>
        </w:rPr>
        <w:t>America</w:t>
      </w:r>
      <w:proofErr w:type="spellEnd"/>
      <w:r w:rsidRPr="00A14ABE">
        <w:rPr>
          <w:rFonts w:ascii="Times New Roman" w:hAnsi="Times New Roman" w:cs="Times New Roman"/>
          <w:i/>
          <w:color w:val="000000"/>
          <w:sz w:val="20"/>
          <w:szCs w:val="20"/>
        </w:rPr>
        <w:t xml:space="preserve"> </w:t>
      </w:r>
      <w:proofErr w:type="spellStart"/>
      <w:r w:rsidRPr="00A14ABE">
        <w:rPr>
          <w:rFonts w:ascii="Times New Roman" w:hAnsi="Times New Roman" w:cs="Times New Roman"/>
          <w:i/>
          <w:color w:val="000000"/>
          <w:sz w:val="20"/>
          <w:szCs w:val="20"/>
        </w:rPr>
        <w:t>and</w:t>
      </w:r>
      <w:proofErr w:type="spellEnd"/>
      <w:r w:rsidRPr="00A14ABE">
        <w:rPr>
          <w:rFonts w:ascii="Times New Roman" w:hAnsi="Times New Roman" w:cs="Times New Roman"/>
          <w:i/>
          <w:color w:val="000000"/>
          <w:sz w:val="20"/>
          <w:szCs w:val="20"/>
        </w:rPr>
        <w:t xml:space="preserve"> Britain</w:t>
      </w:r>
      <w:r w:rsidRPr="009975EA">
        <w:rPr>
          <w:rFonts w:ascii="Times New Roman" w:hAnsi="Times New Roman" w:cs="Times New Roman"/>
          <w:color w:val="000000"/>
          <w:sz w:val="20"/>
          <w:szCs w:val="20"/>
        </w:rPr>
        <w:t>, 1 B.C. INDUS. &amp; COM. L. REV. 1, (1959)</w:t>
      </w:r>
      <w:r>
        <w:rPr>
          <w:rFonts w:ascii="Times New Roman" w:hAnsi="Times New Roman" w:cs="Times New Roman"/>
          <w:color w:val="000000"/>
          <w:sz w:val="20"/>
          <w:szCs w:val="20"/>
        </w:rPr>
        <w:t xml:space="preserve"> at </w:t>
      </w:r>
      <w:r w:rsidRPr="009975EA">
        <w:rPr>
          <w:rFonts w:ascii="Times New Roman" w:hAnsi="Times New Roman" w:cs="Times New Roman"/>
          <w:sz w:val="20"/>
          <w:szCs w:val="20"/>
        </w:rPr>
        <w:t xml:space="preserve">18-19)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oppression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Still</w:t>
      </w:r>
      <w:proofErr w:type="spellEnd"/>
      <w:r w:rsidRPr="009975EA">
        <w:rPr>
          <w:rFonts w:ascii="Times New Roman" w:hAnsi="Times New Roman" w:cs="Times New Roman"/>
          <w:sz w:val="20"/>
          <w:szCs w:val="20"/>
        </w:rPr>
        <w:t xml:space="preserve">, it </w:t>
      </w:r>
      <w:proofErr w:type="spellStart"/>
      <w:r w:rsidRPr="009975EA">
        <w:rPr>
          <w:rFonts w:ascii="Times New Roman" w:hAnsi="Times New Roman" w:cs="Times New Roman"/>
          <w:sz w:val="20"/>
          <w:szCs w:val="20"/>
        </w:rPr>
        <w:t>was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claimed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number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courts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general </w:t>
      </w:r>
      <w:proofErr w:type="spellStart"/>
      <w:r w:rsidRPr="009975EA">
        <w:rPr>
          <w:rFonts w:ascii="Times New Roman" w:hAnsi="Times New Roman" w:cs="Times New Roman"/>
          <w:sz w:val="20"/>
          <w:szCs w:val="20"/>
        </w:rPr>
        <w:t>common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rule</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courts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equity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possess</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inherent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power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protect</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minority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oppressive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abusive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conduct</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MacDonald</w:t>
      </w:r>
      <w:proofErr w:type="spellEnd"/>
      <w:r w:rsidRPr="009975EA">
        <w:rPr>
          <w:rFonts w:ascii="Times New Roman" w:hAnsi="Times New Roman" w:cs="Times New Roman"/>
          <w:sz w:val="20"/>
          <w:szCs w:val="20"/>
        </w:rPr>
        <w:t xml:space="preserve">, p.168.). </w:t>
      </w:r>
      <w:proofErr w:type="spellStart"/>
      <w:r w:rsidRPr="009975EA">
        <w:rPr>
          <w:rFonts w:ascii="Times New Roman" w:hAnsi="Times New Roman" w:cs="Times New Roman"/>
          <w:sz w:val="20"/>
          <w:szCs w:val="20"/>
        </w:rPr>
        <w:t>Even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when</w:t>
      </w:r>
      <w:proofErr w:type="spellEnd"/>
      <w:r w:rsidRPr="009975EA">
        <w:rPr>
          <w:rFonts w:ascii="Times New Roman" w:hAnsi="Times New Roman" w:cs="Times New Roman"/>
          <w:sz w:val="20"/>
          <w:szCs w:val="20"/>
        </w:rPr>
        <w:t xml:space="preserve"> it is </w:t>
      </w:r>
      <w:proofErr w:type="spellStart"/>
      <w:r w:rsidRPr="009975EA">
        <w:rPr>
          <w:rFonts w:ascii="Times New Roman" w:hAnsi="Times New Roman" w:cs="Times New Roman"/>
          <w:sz w:val="20"/>
          <w:szCs w:val="20"/>
        </w:rPr>
        <w:t>statutory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involuntary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dissolution</w:t>
      </w:r>
      <w:proofErr w:type="spellEnd"/>
      <w:r w:rsidRPr="009975EA">
        <w:rPr>
          <w:rFonts w:ascii="Times New Roman" w:hAnsi="Times New Roman" w:cs="Times New Roman"/>
          <w:sz w:val="20"/>
          <w:szCs w:val="20"/>
        </w:rPr>
        <w:t xml:space="preserve"> of a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seen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fundamentally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equitable</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nature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some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re </w:t>
      </w:r>
      <w:proofErr w:type="spellStart"/>
      <w:r w:rsidRPr="009975EA">
        <w:rPr>
          <w:rFonts w:ascii="Times New Roman" w:hAnsi="Times New Roman" w:cs="Times New Roman"/>
          <w:sz w:val="20"/>
          <w:szCs w:val="20"/>
        </w:rPr>
        <w:t>Lakeland</w:t>
      </w:r>
      <w:proofErr w:type="spellEnd"/>
      <w:r w:rsidRPr="009975EA">
        <w:rPr>
          <w:rFonts w:ascii="Times New Roman" w:hAnsi="Times New Roman" w:cs="Times New Roman"/>
          <w:sz w:val="20"/>
          <w:szCs w:val="20"/>
        </w:rPr>
        <w:t xml:space="preserve"> Development </w:t>
      </w:r>
      <w:proofErr w:type="spellStart"/>
      <w:r w:rsidRPr="009975EA">
        <w:rPr>
          <w:rFonts w:ascii="Times New Roman" w:hAnsi="Times New Roman" w:cs="Times New Roman"/>
          <w:sz w:val="20"/>
          <w:szCs w:val="20"/>
        </w:rPr>
        <w:t>Corp</w:t>
      </w:r>
      <w:proofErr w:type="spellEnd"/>
      <w:r w:rsidRPr="009975EA">
        <w:rPr>
          <w:rFonts w:ascii="Times New Roman" w:hAnsi="Times New Roman" w:cs="Times New Roman"/>
          <w:sz w:val="20"/>
          <w:szCs w:val="20"/>
        </w:rPr>
        <w:t xml:space="preserve">., 277 </w:t>
      </w:r>
      <w:proofErr w:type="spellStart"/>
      <w:r w:rsidRPr="009975EA">
        <w:rPr>
          <w:rFonts w:ascii="Times New Roman" w:hAnsi="Times New Roman" w:cs="Times New Roman"/>
          <w:sz w:val="20"/>
          <w:szCs w:val="20"/>
        </w:rPr>
        <w:t>Minn</w:t>
      </w:r>
      <w:proofErr w:type="spellEnd"/>
      <w:r w:rsidRPr="009975EA">
        <w:rPr>
          <w:rFonts w:ascii="Times New Roman" w:hAnsi="Times New Roman" w:cs="Times New Roman"/>
          <w:sz w:val="20"/>
          <w:szCs w:val="20"/>
        </w:rPr>
        <w:t xml:space="preserve">. 432 (1967)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Madugula</w:t>
      </w:r>
      <w:proofErr w:type="spellEnd"/>
      <w:r w:rsidRPr="009975EA">
        <w:rPr>
          <w:rFonts w:ascii="Times New Roman" w:hAnsi="Times New Roman" w:cs="Times New Roman"/>
          <w:color w:val="000000"/>
          <w:sz w:val="20"/>
          <w:szCs w:val="20"/>
        </w:rPr>
        <w:t xml:space="preserve"> v. </w:t>
      </w:r>
      <w:proofErr w:type="spellStart"/>
      <w:r w:rsidRPr="009975EA">
        <w:rPr>
          <w:rFonts w:ascii="Times New Roman" w:hAnsi="Times New Roman" w:cs="Times New Roman"/>
          <w:color w:val="000000"/>
          <w:sz w:val="20"/>
          <w:szCs w:val="20"/>
        </w:rPr>
        <w:t>Taub</w:t>
      </w:r>
      <w:proofErr w:type="spellEnd"/>
      <w:r w:rsidRPr="009975EA">
        <w:rPr>
          <w:rFonts w:ascii="Times New Roman" w:hAnsi="Times New Roman" w:cs="Times New Roman"/>
          <w:color w:val="000000"/>
          <w:sz w:val="20"/>
          <w:szCs w:val="20"/>
        </w:rPr>
        <w:t xml:space="preserve">, 496 </w:t>
      </w:r>
      <w:proofErr w:type="spellStart"/>
      <w:r w:rsidRPr="009975EA">
        <w:rPr>
          <w:rFonts w:ascii="Times New Roman" w:hAnsi="Times New Roman" w:cs="Times New Roman"/>
          <w:color w:val="000000"/>
          <w:sz w:val="20"/>
          <w:szCs w:val="20"/>
        </w:rPr>
        <w:t>Mich</w:t>
      </w:r>
      <w:proofErr w:type="spellEnd"/>
      <w:r w:rsidRPr="009975EA">
        <w:rPr>
          <w:rFonts w:ascii="Times New Roman" w:hAnsi="Times New Roman" w:cs="Times New Roman"/>
          <w:color w:val="000000"/>
          <w:sz w:val="20"/>
          <w:szCs w:val="20"/>
        </w:rPr>
        <w:t>. 685 (2014)</w:t>
      </w:r>
      <w:r w:rsidRPr="009975EA">
        <w:rPr>
          <w:rFonts w:ascii="Times New Roman" w:hAnsi="Times New Roman" w:cs="Times New Roman"/>
          <w:sz w:val="20"/>
          <w:szCs w:val="20"/>
        </w:rPr>
        <w:t xml:space="preserve">). </w:t>
      </w:r>
    </w:p>
  </w:footnote>
  <w:footnote w:id="544">
    <w:p w14:paraId="2FFAB7FA" w14:textId="0AAB449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Robert B. Thompson, </w:t>
      </w:r>
      <w:r w:rsidRPr="00A14ABE">
        <w:rPr>
          <w:rFonts w:ascii="Times New Roman" w:hAnsi="Times New Roman" w:cs="Times New Roman"/>
          <w:i/>
          <w:sz w:val="20"/>
          <w:szCs w:val="20"/>
        </w:rPr>
        <w:t xml:space="preserve">The Shareholder’s Cause of Action </w:t>
      </w:r>
      <w:proofErr w:type="gramStart"/>
      <w:r w:rsidRPr="00A14ABE">
        <w:rPr>
          <w:rFonts w:ascii="Times New Roman" w:hAnsi="Times New Roman" w:cs="Times New Roman"/>
          <w:i/>
          <w:sz w:val="20"/>
          <w:szCs w:val="20"/>
        </w:rPr>
        <w:t>For</w:t>
      </w:r>
      <w:proofErr w:type="gramEnd"/>
      <w:r w:rsidRPr="00A14ABE">
        <w:rPr>
          <w:rFonts w:ascii="Times New Roman" w:hAnsi="Times New Roman" w:cs="Times New Roman"/>
          <w:i/>
          <w:sz w:val="20"/>
          <w:szCs w:val="20"/>
        </w:rPr>
        <w:t xml:space="preserve"> Oppression,</w:t>
      </w:r>
      <w:r w:rsidRPr="009975EA">
        <w:rPr>
          <w:rFonts w:ascii="Times New Roman" w:hAnsi="Times New Roman" w:cs="Times New Roman"/>
          <w:sz w:val="20"/>
          <w:szCs w:val="20"/>
        </w:rPr>
        <w:t xml:space="preserve"> 48 Bu</w:t>
      </w:r>
      <w:r>
        <w:rPr>
          <w:rFonts w:ascii="Times New Roman" w:hAnsi="Times New Roman" w:cs="Times New Roman"/>
          <w:sz w:val="20"/>
          <w:szCs w:val="20"/>
        </w:rPr>
        <w:t>s. Law. 699 at</w:t>
      </w:r>
      <w:r w:rsidRPr="009975EA">
        <w:rPr>
          <w:rFonts w:ascii="Times New Roman" w:hAnsi="Times New Roman" w:cs="Times New Roman"/>
          <w:sz w:val="20"/>
          <w:szCs w:val="20"/>
        </w:rPr>
        <w:t xml:space="preserve"> 711.</w:t>
      </w:r>
    </w:p>
  </w:footnote>
  <w:footnote w:id="545">
    <w:p w14:paraId="7F1ECBF3" w14:textId="677222F9" w:rsidR="00D36541" w:rsidRPr="009975EA" w:rsidRDefault="00D36541" w:rsidP="00A14ABE">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Thompson, Corporate Dissolution, p. 206.</w:t>
      </w:r>
      <w:r>
        <w:rPr>
          <w:rFonts w:ascii="Times New Roman" w:hAnsi="Times New Roman" w:cs="Times New Roman"/>
          <w:sz w:val="20"/>
          <w:szCs w:val="20"/>
        </w:rPr>
        <w:tab/>
      </w:r>
    </w:p>
  </w:footnote>
  <w:footnote w:id="546">
    <w:p w14:paraId="77018867" w14:textId="7B79657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Kline, p.244.</w:t>
      </w:r>
    </w:p>
  </w:footnote>
  <w:footnote w:id="547">
    <w:p w14:paraId="72A10A93" w14:textId="445469B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example, in </w:t>
      </w:r>
      <w:proofErr w:type="spellStart"/>
      <w:r w:rsidRPr="009975EA">
        <w:rPr>
          <w:rFonts w:ascii="Times New Roman" w:hAnsi="Times New Roman" w:cs="Times New Roman"/>
          <w:sz w:val="20"/>
          <w:szCs w:val="20"/>
        </w:rPr>
        <w:t>Balvik</w:t>
      </w:r>
      <w:proofErr w:type="spellEnd"/>
      <w:r w:rsidRPr="009975EA">
        <w:rPr>
          <w:rFonts w:ascii="Times New Roman" w:hAnsi="Times New Roman" w:cs="Times New Roman"/>
          <w:sz w:val="20"/>
          <w:szCs w:val="20"/>
        </w:rPr>
        <w:t xml:space="preserve"> v. Sylvester, 411 N.W.2d 383 (1987), the North Dakota court acknowledged that the state’s corporation statute was derived from the MBCA, in which the oppressive conduct is not defined, the court referred to New York’s “reasonable expectations” standard for the evaluation of the case.</w:t>
      </w:r>
    </w:p>
  </w:footnote>
  <w:footnote w:id="548">
    <w:p w14:paraId="30908001" w14:textId="1006565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Reget</w:t>
      </w:r>
      <w:proofErr w:type="spellEnd"/>
      <w:r w:rsidRPr="009975EA">
        <w:rPr>
          <w:rFonts w:ascii="Times New Roman" w:hAnsi="Times New Roman" w:cs="Times New Roman"/>
          <w:sz w:val="20"/>
          <w:szCs w:val="20"/>
        </w:rPr>
        <w:t xml:space="preserve"> v. Paige, 242 Wis. 2d 278 (2001). “Under the oppression remedy…the judges only had a widely worded, open- ended statute…However, gradually the courts began to fashion coherent guidelines for the shaping of the discretion provided to them…” (John J. Chapman, </w:t>
      </w:r>
      <w:r w:rsidRPr="00A14ABE">
        <w:rPr>
          <w:rFonts w:ascii="Times New Roman" w:hAnsi="Times New Roman" w:cs="Times New Roman"/>
          <w:i/>
          <w:sz w:val="20"/>
          <w:szCs w:val="20"/>
        </w:rPr>
        <w:t>Corporate Oppression: Structuring Judicial Discretion,</w:t>
      </w:r>
      <w:r>
        <w:rPr>
          <w:rFonts w:ascii="Times New Roman" w:hAnsi="Times New Roman" w:cs="Times New Roman"/>
          <w:sz w:val="20"/>
          <w:szCs w:val="20"/>
        </w:rPr>
        <w:t xml:space="preserve"> 18 </w:t>
      </w:r>
      <w:proofErr w:type="spellStart"/>
      <w:r>
        <w:rPr>
          <w:rFonts w:ascii="Times New Roman" w:hAnsi="Times New Roman" w:cs="Times New Roman"/>
          <w:sz w:val="20"/>
          <w:szCs w:val="20"/>
        </w:rPr>
        <w:t>Advoc</w:t>
      </w:r>
      <w:proofErr w:type="spellEnd"/>
      <w:r>
        <w:rPr>
          <w:rFonts w:ascii="Times New Roman" w:hAnsi="Times New Roman" w:cs="Times New Roman"/>
          <w:sz w:val="20"/>
          <w:szCs w:val="20"/>
        </w:rPr>
        <w:t xml:space="preserve">. Q. 170 (1996) at </w:t>
      </w:r>
      <w:r w:rsidRPr="009975EA">
        <w:rPr>
          <w:rFonts w:ascii="Times New Roman" w:hAnsi="Times New Roman" w:cs="Times New Roman"/>
          <w:sz w:val="20"/>
          <w:szCs w:val="20"/>
        </w:rPr>
        <w:t>189).</w:t>
      </w:r>
    </w:p>
  </w:footnote>
  <w:footnote w:id="549">
    <w:p w14:paraId="372DF0CD" w14:textId="3192BA1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Ritchie v. </w:t>
      </w:r>
      <w:proofErr w:type="spellStart"/>
      <w:r w:rsidRPr="009975EA">
        <w:rPr>
          <w:rFonts w:ascii="Times New Roman" w:hAnsi="Times New Roman" w:cs="Times New Roman"/>
          <w:sz w:val="20"/>
          <w:szCs w:val="20"/>
        </w:rPr>
        <w:t>Rupe</w:t>
      </w:r>
      <w:proofErr w:type="spellEnd"/>
      <w:r w:rsidRPr="009975EA">
        <w:rPr>
          <w:rFonts w:ascii="Times New Roman" w:hAnsi="Times New Roman" w:cs="Times New Roman"/>
          <w:sz w:val="20"/>
          <w:szCs w:val="20"/>
        </w:rPr>
        <w:t>, 443 S.W.3d 856 (2014).</w:t>
      </w:r>
    </w:p>
  </w:footnote>
  <w:footnote w:id="550">
    <w:p w14:paraId="59EF3679" w14:textId="15682CC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Art, p.373.</w:t>
      </w:r>
    </w:p>
  </w:footnote>
  <w:footnote w:id="551">
    <w:p w14:paraId="594BBD0D" w14:textId="181B356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Kiriakides</w:t>
      </w:r>
      <w:proofErr w:type="spellEnd"/>
      <w:r w:rsidRPr="009975EA">
        <w:rPr>
          <w:rFonts w:ascii="Times New Roman" w:hAnsi="Times New Roman" w:cs="Times New Roman"/>
          <w:sz w:val="20"/>
          <w:szCs w:val="20"/>
        </w:rPr>
        <w:t xml:space="preserve"> v. Atlas Food Systems &amp; Services, Inc., 343 S.C. 587 (2001), citing the official comment to S.C. Code Ann. Sec. 33- 18- 400 (1990).</w:t>
      </w:r>
    </w:p>
  </w:footnote>
  <w:footnote w:id="552">
    <w:p w14:paraId="754AA606" w14:textId="2BBDD46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Bruno, </w:t>
      </w:r>
      <w:r w:rsidRPr="009975EA">
        <w:rPr>
          <w:rFonts w:ascii="Times New Roman" w:hAnsi="Times New Roman" w:cs="Times New Roman"/>
          <w:sz w:val="20"/>
          <w:szCs w:val="20"/>
        </w:rPr>
        <w:t>Reasonable Expectations</w:t>
      </w:r>
      <w:r>
        <w:rPr>
          <w:rFonts w:ascii="Times New Roman" w:hAnsi="Times New Roman" w:cs="Times New Roman"/>
          <w:sz w:val="20"/>
          <w:szCs w:val="20"/>
        </w:rPr>
        <w:t xml:space="preserve">, </w:t>
      </w:r>
      <w:r w:rsidRPr="009975EA">
        <w:rPr>
          <w:rFonts w:ascii="Times New Roman" w:hAnsi="Times New Roman" w:cs="Times New Roman"/>
          <w:sz w:val="20"/>
          <w:szCs w:val="20"/>
        </w:rPr>
        <w:t>p. 434.</w:t>
      </w:r>
    </w:p>
  </w:footnote>
  <w:footnote w:id="553">
    <w:p w14:paraId="04D8BE3B" w14:textId="7302E64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Scott v. Trans- System, Inc., 148 Wash.2d 701 (2003).</w:t>
      </w:r>
    </w:p>
  </w:footnote>
  <w:footnote w:id="554">
    <w:p w14:paraId="29B1B5C8" w14:textId="1EE7B216" w:rsidR="00D36541" w:rsidRPr="009975EA" w:rsidRDefault="00D36541" w:rsidP="00265F47">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Gimpel</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Bolstein</w:t>
      </w:r>
      <w:proofErr w:type="spellEnd"/>
      <w:r w:rsidRPr="009975EA">
        <w:rPr>
          <w:rFonts w:ascii="Times New Roman" w:hAnsi="Times New Roman" w:cs="Times New Roman"/>
          <w:sz w:val="20"/>
          <w:szCs w:val="20"/>
        </w:rPr>
        <w:t>, 477 N.Y.S.2d 1014 (1984)</w:t>
      </w:r>
      <w:r>
        <w:rPr>
          <w:rFonts w:ascii="Times New Roman" w:hAnsi="Times New Roman" w:cs="Times New Roman"/>
          <w:sz w:val="20"/>
          <w:szCs w:val="20"/>
        </w:rPr>
        <w:tab/>
      </w:r>
    </w:p>
  </w:footnote>
  <w:footnote w:id="555">
    <w:p w14:paraId="6C2D1AAF" w14:textId="315D705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O’Brein</w:t>
      </w:r>
      <w:proofErr w:type="spellEnd"/>
      <w:r w:rsidRPr="009975EA">
        <w:rPr>
          <w:rFonts w:ascii="Times New Roman" w:hAnsi="Times New Roman" w:cs="Times New Roman"/>
          <w:sz w:val="20"/>
          <w:szCs w:val="20"/>
        </w:rPr>
        <w:t xml:space="preserve"> v. Pearson, 449 Mass. 377 (2007): “The fiduciary duty of ‘utmost good faith and loyalty’ that shareholders in a close corporation owe to one another is derived from the strict standard of behavior applied to partnerships.”</w:t>
      </w:r>
    </w:p>
  </w:footnote>
  <w:footnote w:id="556">
    <w:p w14:paraId="2EBB1114" w14:textId="39AB264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MacDonald, p.170.</w:t>
      </w:r>
    </w:p>
  </w:footnote>
  <w:footnote w:id="557">
    <w:p w14:paraId="3154BDBF"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California’s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enactment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two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separate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provisions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cover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both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approaches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enacting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two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separate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subdivision</w:t>
      </w:r>
      <w:proofErr w:type="spellEnd"/>
      <w:r w:rsidRPr="009975EA">
        <w:rPr>
          <w:rFonts w:ascii="Times New Roman" w:hAnsi="Times New Roman" w:cs="Times New Roman"/>
          <w:color w:val="000000"/>
          <w:sz w:val="20"/>
          <w:szCs w:val="20"/>
        </w:rPr>
        <w:t xml:space="preserve"> (b)(4)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(b)(5),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Legislature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clearly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distinguished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between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cause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involuntary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based</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misconduct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specifically</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protection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complaining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Bauer</w:t>
      </w:r>
      <w:proofErr w:type="spellEnd"/>
      <w:r w:rsidRPr="009975EA">
        <w:rPr>
          <w:rFonts w:ascii="Times New Roman" w:hAnsi="Times New Roman" w:cs="Times New Roman"/>
          <w:color w:val="000000"/>
          <w:sz w:val="20"/>
          <w:szCs w:val="20"/>
        </w:rPr>
        <w:t xml:space="preserve"> v. </w:t>
      </w:r>
      <w:proofErr w:type="spellStart"/>
      <w:r w:rsidRPr="009975EA">
        <w:rPr>
          <w:rFonts w:ascii="Times New Roman" w:hAnsi="Times New Roman" w:cs="Times New Roman"/>
          <w:color w:val="000000"/>
          <w:sz w:val="20"/>
          <w:szCs w:val="20"/>
        </w:rPr>
        <w:t>Bauer</w:t>
      </w:r>
      <w:proofErr w:type="spellEnd"/>
      <w:r w:rsidRPr="009975EA">
        <w:rPr>
          <w:rFonts w:ascii="Times New Roman" w:hAnsi="Times New Roman" w:cs="Times New Roman"/>
          <w:color w:val="000000"/>
          <w:sz w:val="20"/>
          <w:szCs w:val="20"/>
        </w:rPr>
        <w:t>, 46 Cal.App.4th 1106 (1996))</w:t>
      </w:r>
    </w:p>
  </w:footnote>
  <w:footnote w:id="558">
    <w:p w14:paraId="0D74CD45" w14:textId="1A81F7A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Ragazzo</w:t>
      </w:r>
      <w:proofErr w:type="spellEnd"/>
      <w:r w:rsidRPr="009975EA">
        <w:rPr>
          <w:rFonts w:ascii="Times New Roman" w:hAnsi="Times New Roman" w:cs="Times New Roman"/>
          <w:sz w:val="20"/>
          <w:szCs w:val="20"/>
        </w:rPr>
        <w:t>, p.1106.</w:t>
      </w:r>
    </w:p>
  </w:footnote>
  <w:footnote w:id="559">
    <w:p w14:paraId="2DACE935" w14:textId="0BBD288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Robert C. Art, </w:t>
      </w:r>
      <w:r w:rsidRPr="00715739">
        <w:rPr>
          <w:rFonts w:ascii="Times New Roman" w:hAnsi="Times New Roman" w:cs="Times New Roman"/>
          <w:i/>
          <w:sz w:val="20"/>
          <w:szCs w:val="20"/>
        </w:rPr>
        <w:t>Shareholder Rights and Remedies in Close Corporations: Oppression, Fiduciary Duties, and Reasonable Expectations</w:t>
      </w:r>
      <w:r w:rsidRPr="009975EA">
        <w:rPr>
          <w:rFonts w:ascii="Times New Roman" w:hAnsi="Times New Roman" w:cs="Times New Roman"/>
          <w:sz w:val="20"/>
          <w:szCs w:val="20"/>
        </w:rPr>
        <w:t xml:space="preserve">, 28 J. </w:t>
      </w:r>
      <w:r>
        <w:rPr>
          <w:rFonts w:ascii="Times New Roman" w:hAnsi="Times New Roman" w:cs="Times New Roman"/>
          <w:sz w:val="20"/>
          <w:szCs w:val="20"/>
        </w:rPr>
        <w:t>Corp. L. 371 at</w:t>
      </w:r>
      <w:r w:rsidRPr="009975EA">
        <w:rPr>
          <w:rFonts w:ascii="Times New Roman" w:hAnsi="Times New Roman" w:cs="Times New Roman"/>
          <w:sz w:val="20"/>
          <w:szCs w:val="20"/>
        </w:rPr>
        <w:t>.418.</w:t>
      </w:r>
    </w:p>
  </w:footnote>
  <w:footnote w:id="560">
    <w:p w14:paraId="076E0C50" w14:textId="52619A11"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Some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commentator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opine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difference</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definitions</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most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instances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would</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effect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outcome</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approach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breach</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nearly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identical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except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phraseology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definition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wrongful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approaches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focus</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it had </w:t>
      </w:r>
      <w:proofErr w:type="spellStart"/>
      <w:r w:rsidRPr="009975EA">
        <w:rPr>
          <w:rFonts w:ascii="Times New Roman" w:hAnsi="Times New Roman" w:cs="Times New Roman"/>
          <w:color w:val="000000"/>
          <w:sz w:val="20"/>
          <w:szCs w:val="20"/>
        </w:rPr>
        <w:t>adequate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justification</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opposed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focusing</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consequences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(Art, p. 378); “</w:t>
      </w:r>
      <w:proofErr w:type="spellStart"/>
      <w:r w:rsidRPr="009975EA">
        <w:rPr>
          <w:rFonts w:ascii="Times New Roman" w:hAnsi="Times New Roman" w:cs="Times New Roman"/>
          <w:color w:val="000000"/>
          <w:sz w:val="20"/>
          <w:szCs w:val="20"/>
        </w:rPr>
        <w:t>Interestingly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examples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method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violations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fiduciary</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method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Consequently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holders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1C1C1C"/>
          <w:sz w:val="20"/>
          <w:szCs w:val="20"/>
        </w:rPr>
        <w:t>minority</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interests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obtain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relief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subject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application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standard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fiduciary</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approaches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interchangeably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leading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commentators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describe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 xml:space="preserve"> as “not </w:t>
      </w:r>
      <w:proofErr w:type="spellStart"/>
      <w:r w:rsidRPr="009975EA">
        <w:rPr>
          <w:rFonts w:ascii="Times New Roman" w:hAnsi="Times New Roman" w:cs="Times New Roman"/>
          <w:color w:val="000000"/>
          <w:sz w:val="20"/>
          <w:szCs w:val="20"/>
        </w:rPr>
        <w:t>contradictory</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violate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violate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(Morris, p.101- 102)</w:t>
      </w:r>
    </w:p>
  </w:footnote>
  <w:footnote w:id="561">
    <w:p w14:paraId="4C381E86" w14:textId="077FE24F" w:rsidR="00016A2F" w:rsidRPr="0047452F" w:rsidRDefault="00016A2F" w:rsidP="0047452F">
      <w:pPr>
        <w:jc w:val="both"/>
        <w:rPr>
          <w:rFonts w:ascii="Times New Roman" w:hAnsi="Times New Roman" w:cs="Times New Roman"/>
          <w:sz w:val="20"/>
          <w:szCs w:val="20"/>
        </w:rPr>
      </w:pPr>
      <w:r>
        <w:rPr>
          <w:rStyle w:val="DipnotBavurusu"/>
        </w:rPr>
        <w:footnoteRef/>
      </w:r>
      <w:r>
        <w:t xml:space="preserve"> </w:t>
      </w:r>
      <w:proofErr w:type="spellStart"/>
      <w:r w:rsidRPr="007B7B51">
        <w:rPr>
          <w:rFonts w:ascii="Times New Roman" w:hAnsi="Times New Roman" w:cs="Times New Roman"/>
          <w:sz w:val="20"/>
          <w:szCs w:val="20"/>
        </w:rPr>
        <w:t>When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definition</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publicly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traded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is </w:t>
      </w:r>
      <w:proofErr w:type="spellStart"/>
      <w:r w:rsidRPr="007B7B51">
        <w:rPr>
          <w:rFonts w:ascii="Times New Roman" w:hAnsi="Times New Roman" w:cs="Times New Roman"/>
          <w:sz w:val="20"/>
          <w:szCs w:val="20"/>
        </w:rPr>
        <w:t>traced</w:t>
      </w:r>
      <w:proofErr w:type="spellEnd"/>
      <w:r w:rsidRPr="007B7B51">
        <w:rPr>
          <w:rFonts w:ascii="Times New Roman" w:hAnsi="Times New Roman" w:cs="Times New Roman"/>
          <w:sz w:val="20"/>
          <w:szCs w:val="20"/>
        </w:rPr>
        <w:t xml:space="preserve"> in U.S. </w:t>
      </w:r>
      <w:proofErr w:type="spellStart"/>
      <w:r w:rsidRPr="007B7B51">
        <w:rPr>
          <w:rFonts w:ascii="Times New Roman" w:hAnsi="Times New Roman" w:cs="Times New Roman"/>
          <w:sz w:val="20"/>
          <w:szCs w:val="20"/>
        </w:rPr>
        <w:t>law</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no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such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precise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definition</w:t>
      </w:r>
      <w:proofErr w:type="spellEnd"/>
      <w:r w:rsidRPr="007B7B51">
        <w:rPr>
          <w:rFonts w:ascii="Times New Roman" w:hAnsi="Times New Roman" w:cs="Times New Roman"/>
          <w:sz w:val="20"/>
          <w:szCs w:val="20"/>
        </w:rPr>
        <w:t xml:space="preserve"> can be </w:t>
      </w:r>
      <w:proofErr w:type="spellStart"/>
      <w:r w:rsidRPr="007B7B51">
        <w:rPr>
          <w:rFonts w:ascii="Times New Roman" w:hAnsi="Times New Roman" w:cs="Times New Roman"/>
          <w:sz w:val="20"/>
          <w:szCs w:val="20"/>
        </w:rPr>
        <w:t>found</w:t>
      </w:r>
      <w:proofErr w:type="spellEnd"/>
      <w:r w:rsidRPr="007B7B51">
        <w:rPr>
          <w:rFonts w:ascii="Times New Roman" w:hAnsi="Times New Roman" w:cs="Times New Roman"/>
          <w:sz w:val="20"/>
          <w:szCs w:val="20"/>
        </w:rPr>
        <w:t xml:space="preserve">. Delaware </w:t>
      </w:r>
      <w:proofErr w:type="spellStart"/>
      <w:r w:rsidRPr="007B7B51">
        <w:rPr>
          <w:rFonts w:ascii="Times New Roman" w:hAnsi="Times New Roman" w:cs="Times New Roman"/>
          <w:sz w:val="20"/>
          <w:szCs w:val="20"/>
        </w:rPr>
        <w:t>law</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does</w:t>
      </w:r>
      <w:proofErr w:type="spellEnd"/>
      <w:r w:rsidRPr="007B7B51">
        <w:rPr>
          <w:rFonts w:ascii="Times New Roman" w:hAnsi="Times New Roman" w:cs="Times New Roman"/>
          <w:sz w:val="20"/>
          <w:szCs w:val="20"/>
        </w:rPr>
        <w:t xml:space="preserve"> not define </w:t>
      </w:r>
      <w:proofErr w:type="spellStart"/>
      <w:r w:rsidRPr="007B7B51">
        <w:rPr>
          <w:rFonts w:ascii="Times New Roman" w:hAnsi="Times New Roman" w:cs="Times New Roman"/>
          <w:sz w:val="20"/>
          <w:szCs w:val="20"/>
        </w:rPr>
        <w:t>these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however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eliminating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usage</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appraisal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rights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close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remedies</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some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Delaware </w:t>
      </w:r>
      <w:proofErr w:type="spellStart"/>
      <w:r w:rsidRPr="007B7B51">
        <w:rPr>
          <w:rFonts w:ascii="Times New Roman" w:hAnsi="Times New Roman" w:cs="Times New Roman"/>
          <w:sz w:val="20"/>
          <w:szCs w:val="20"/>
        </w:rPr>
        <w:t>signals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view</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According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Del. Gen. </w:t>
      </w:r>
      <w:proofErr w:type="spellStart"/>
      <w:r w:rsidRPr="007B7B51">
        <w:rPr>
          <w:rFonts w:ascii="Times New Roman" w:hAnsi="Times New Roman" w:cs="Times New Roman"/>
          <w:sz w:val="20"/>
          <w:szCs w:val="20"/>
        </w:rPr>
        <w:t>Corp</w:t>
      </w:r>
      <w:proofErr w:type="spellEnd"/>
      <w:r w:rsidRPr="007B7B51">
        <w:rPr>
          <w:rFonts w:ascii="Times New Roman" w:hAnsi="Times New Roman" w:cs="Times New Roman"/>
          <w:sz w:val="20"/>
          <w:szCs w:val="20"/>
        </w:rPr>
        <w:t xml:space="preserve">. L. </w:t>
      </w:r>
      <w:proofErr w:type="spellStart"/>
      <w:r w:rsidRPr="007B7B51">
        <w:rPr>
          <w:rFonts w:ascii="Times New Roman" w:hAnsi="Times New Roman" w:cs="Times New Roman"/>
          <w:sz w:val="20"/>
          <w:szCs w:val="20"/>
        </w:rPr>
        <w:t>Sec</w:t>
      </w:r>
      <w:proofErr w:type="spellEnd"/>
      <w:r w:rsidRPr="007B7B51">
        <w:rPr>
          <w:rFonts w:ascii="Times New Roman" w:hAnsi="Times New Roman" w:cs="Times New Roman"/>
          <w:sz w:val="20"/>
          <w:szCs w:val="20"/>
        </w:rPr>
        <w:t xml:space="preserve">. 262, </w:t>
      </w:r>
      <w:proofErr w:type="spellStart"/>
      <w:r w:rsidRPr="007B7B51">
        <w:rPr>
          <w:rFonts w:ascii="Times New Roman" w:hAnsi="Times New Roman" w:cs="Times New Roman"/>
          <w:sz w:val="20"/>
          <w:szCs w:val="20"/>
        </w:rPr>
        <w:t>appraisal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right</w:t>
      </w:r>
      <w:proofErr w:type="spellEnd"/>
      <w:r w:rsidRPr="007B7B51">
        <w:rPr>
          <w:rFonts w:ascii="Times New Roman" w:hAnsi="Times New Roman" w:cs="Times New Roman"/>
          <w:sz w:val="20"/>
          <w:szCs w:val="20"/>
        </w:rPr>
        <w:t xml:space="preserve"> is not </w:t>
      </w:r>
      <w:proofErr w:type="spellStart"/>
      <w:r w:rsidRPr="007B7B51">
        <w:rPr>
          <w:rFonts w:ascii="Times New Roman" w:hAnsi="Times New Roman" w:cs="Times New Roman"/>
          <w:sz w:val="20"/>
          <w:szCs w:val="20"/>
        </w:rPr>
        <w:t>available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shares</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stock</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listed</w:t>
      </w:r>
      <w:proofErr w:type="spellEnd"/>
      <w:r w:rsidRPr="007B7B51">
        <w:rPr>
          <w:rFonts w:ascii="Times New Roman" w:hAnsi="Times New Roman" w:cs="Times New Roman"/>
          <w:sz w:val="20"/>
          <w:szCs w:val="20"/>
        </w:rPr>
        <w:t xml:space="preserve"> on a </w:t>
      </w:r>
      <w:proofErr w:type="spellStart"/>
      <w:r w:rsidRPr="007B7B51">
        <w:rPr>
          <w:rFonts w:ascii="Times New Roman" w:hAnsi="Times New Roman" w:cs="Times New Roman"/>
          <w:sz w:val="20"/>
          <w:szCs w:val="20"/>
        </w:rPr>
        <w:t>national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exchange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held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more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than</w:t>
      </w:r>
      <w:proofErr w:type="spellEnd"/>
      <w:r w:rsidRPr="007B7B51">
        <w:rPr>
          <w:rFonts w:ascii="Times New Roman" w:hAnsi="Times New Roman" w:cs="Times New Roman"/>
          <w:sz w:val="20"/>
          <w:szCs w:val="20"/>
        </w:rPr>
        <w:t xml:space="preserve"> 2000 </w:t>
      </w:r>
      <w:proofErr w:type="spellStart"/>
      <w:r w:rsidRPr="007B7B51">
        <w:rPr>
          <w:rFonts w:ascii="Times New Roman" w:hAnsi="Times New Roman" w:cs="Times New Roman"/>
          <w:sz w:val="20"/>
          <w:szCs w:val="20"/>
        </w:rPr>
        <w:t>holders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being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said</w:t>
      </w:r>
      <w:proofErr w:type="spellEnd"/>
      <w:r w:rsidRPr="007B7B51">
        <w:rPr>
          <w:rFonts w:ascii="Times New Roman" w:hAnsi="Times New Roman" w:cs="Times New Roman"/>
          <w:sz w:val="20"/>
          <w:szCs w:val="20"/>
        </w:rPr>
        <w:t xml:space="preserve">, as </w:t>
      </w:r>
      <w:proofErr w:type="spellStart"/>
      <w:r w:rsidRPr="007B7B51">
        <w:rPr>
          <w:rFonts w:ascii="Times New Roman" w:hAnsi="Times New Roman" w:cs="Times New Roman"/>
          <w:sz w:val="20"/>
          <w:szCs w:val="20"/>
        </w:rPr>
        <w:t>expressed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above</w:t>
      </w:r>
      <w:proofErr w:type="spellEnd"/>
      <w:r w:rsidRPr="007B7B51">
        <w:rPr>
          <w:rFonts w:ascii="Times New Roman" w:hAnsi="Times New Roman" w:cs="Times New Roman"/>
          <w:sz w:val="20"/>
          <w:szCs w:val="20"/>
        </w:rPr>
        <w:t xml:space="preserve">, Del. Gen. </w:t>
      </w:r>
      <w:proofErr w:type="spellStart"/>
      <w:r w:rsidRPr="007B7B51">
        <w:rPr>
          <w:rFonts w:ascii="Times New Roman" w:hAnsi="Times New Roman" w:cs="Times New Roman"/>
          <w:sz w:val="20"/>
          <w:szCs w:val="20"/>
        </w:rPr>
        <w:t>Corp</w:t>
      </w:r>
      <w:proofErr w:type="spellEnd"/>
      <w:r w:rsidRPr="007B7B51">
        <w:rPr>
          <w:rFonts w:ascii="Times New Roman" w:hAnsi="Times New Roman" w:cs="Times New Roman"/>
          <w:sz w:val="20"/>
          <w:szCs w:val="20"/>
        </w:rPr>
        <w:t xml:space="preserve">. L. </w:t>
      </w:r>
      <w:proofErr w:type="spellStart"/>
      <w:r w:rsidRPr="007B7B51">
        <w:rPr>
          <w:rFonts w:ascii="Times New Roman" w:hAnsi="Times New Roman" w:cs="Times New Roman"/>
          <w:sz w:val="20"/>
          <w:szCs w:val="20"/>
        </w:rPr>
        <w:t>Sec</w:t>
      </w:r>
      <w:proofErr w:type="spellEnd"/>
      <w:r w:rsidRPr="007B7B51">
        <w:rPr>
          <w:rFonts w:ascii="Times New Roman" w:hAnsi="Times New Roman" w:cs="Times New Roman"/>
          <w:sz w:val="20"/>
          <w:szCs w:val="20"/>
        </w:rPr>
        <w:t xml:space="preserve">. 342 </w:t>
      </w:r>
      <w:proofErr w:type="spellStart"/>
      <w:r w:rsidRPr="007B7B51">
        <w:rPr>
          <w:rFonts w:ascii="Times New Roman" w:hAnsi="Times New Roman" w:cs="Times New Roman"/>
          <w:sz w:val="20"/>
          <w:szCs w:val="20"/>
        </w:rPr>
        <w:t>definition</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close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refers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ones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whose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stock</w:t>
      </w:r>
      <w:proofErr w:type="spellEnd"/>
      <w:r w:rsidRPr="007B7B51">
        <w:rPr>
          <w:rFonts w:ascii="Times New Roman" w:hAnsi="Times New Roman" w:cs="Times New Roman"/>
          <w:sz w:val="20"/>
          <w:szCs w:val="20"/>
        </w:rPr>
        <w:t xml:space="preserve"> is not </w:t>
      </w:r>
      <w:proofErr w:type="spellStart"/>
      <w:r w:rsidRPr="007B7B51">
        <w:rPr>
          <w:rFonts w:ascii="Times New Roman" w:hAnsi="Times New Roman" w:cs="Times New Roman"/>
          <w:sz w:val="20"/>
          <w:szCs w:val="20"/>
        </w:rPr>
        <w:t>hold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more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than</w:t>
      </w:r>
      <w:proofErr w:type="spellEnd"/>
      <w:r w:rsidRPr="007B7B51">
        <w:rPr>
          <w:rFonts w:ascii="Times New Roman" w:hAnsi="Times New Roman" w:cs="Times New Roman"/>
          <w:sz w:val="20"/>
          <w:szCs w:val="20"/>
        </w:rPr>
        <w:t xml:space="preserve"> 30 </w:t>
      </w:r>
      <w:proofErr w:type="spellStart"/>
      <w:r w:rsidRPr="007B7B51">
        <w:rPr>
          <w:rFonts w:ascii="Times New Roman" w:hAnsi="Times New Roman" w:cs="Times New Roman"/>
          <w:sz w:val="20"/>
          <w:szCs w:val="20"/>
        </w:rPr>
        <w:t>shareholders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were</w:t>
      </w:r>
      <w:proofErr w:type="spellEnd"/>
      <w:r w:rsidRPr="007B7B51">
        <w:rPr>
          <w:rFonts w:ascii="Times New Roman" w:hAnsi="Times New Roman" w:cs="Times New Roman"/>
          <w:sz w:val="20"/>
          <w:szCs w:val="20"/>
        </w:rPr>
        <w:t xml:space="preserve"> not </w:t>
      </w:r>
      <w:proofErr w:type="spellStart"/>
      <w:r w:rsidRPr="007B7B51">
        <w:rPr>
          <w:rFonts w:ascii="Times New Roman" w:hAnsi="Times New Roman" w:cs="Times New Roman"/>
          <w:sz w:val="20"/>
          <w:szCs w:val="20"/>
        </w:rPr>
        <w:t>subject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a </w:t>
      </w:r>
      <w:proofErr w:type="spellStart"/>
      <w:r w:rsidRPr="007B7B51">
        <w:rPr>
          <w:rFonts w:ascii="Times New Roman" w:hAnsi="Times New Roman" w:cs="Times New Roman"/>
          <w:sz w:val="20"/>
          <w:szCs w:val="20"/>
        </w:rPr>
        <w:t>public</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offering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Hence</w:t>
      </w:r>
      <w:proofErr w:type="spellEnd"/>
      <w:r w:rsidRPr="007B7B51">
        <w:rPr>
          <w:rFonts w:ascii="Times New Roman" w:hAnsi="Times New Roman" w:cs="Times New Roman"/>
          <w:sz w:val="20"/>
          <w:szCs w:val="20"/>
        </w:rPr>
        <w:t xml:space="preserve">, Delaware </w:t>
      </w:r>
      <w:proofErr w:type="spellStart"/>
      <w:r w:rsidRPr="007B7B51">
        <w:rPr>
          <w:rFonts w:ascii="Times New Roman" w:hAnsi="Times New Roman" w:cs="Times New Roman"/>
          <w:sz w:val="20"/>
          <w:szCs w:val="20"/>
        </w:rPr>
        <w:t>law</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does</w:t>
      </w:r>
      <w:proofErr w:type="spellEnd"/>
      <w:r w:rsidRPr="007B7B51">
        <w:rPr>
          <w:rFonts w:ascii="Times New Roman" w:hAnsi="Times New Roman" w:cs="Times New Roman"/>
          <w:sz w:val="20"/>
          <w:szCs w:val="20"/>
        </w:rPr>
        <w:t xml:space="preserve"> not </w:t>
      </w:r>
      <w:proofErr w:type="spellStart"/>
      <w:r w:rsidRPr="007B7B51">
        <w:rPr>
          <w:rFonts w:ascii="Times New Roman" w:hAnsi="Times New Roman" w:cs="Times New Roman"/>
          <w:sz w:val="20"/>
          <w:szCs w:val="20"/>
        </w:rPr>
        <w:t>give</w:t>
      </w:r>
      <w:proofErr w:type="spellEnd"/>
      <w:r w:rsidRPr="007B7B51">
        <w:rPr>
          <w:rFonts w:ascii="Times New Roman" w:hAnsi="Times New Roman" w:cs="Times New Roman"/>
          <w:sz w:val="20"/>
          <w:szCs w:val="20"/>
        </w:rPr>
        <w:t xml:space="preserve"> a </w:t>
      </w:r>
      <w:proofErr w:type="spellStart"/>
      <w:r w:rsidRPr="007B7B51">
        <w:rPr>
          <w:rFonts w:ascii="Times New Roman" w:hAnsi="Times New Roman" w:cs="Times New Roman"/>
          <w:sz w:val="20"/>
          <w:szCs w:val="20"/>
        </w:rPr>
        <w:t>hand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for</w:t>
      </w:r>
      <w:proofErr w:type="spellEnd"/>
      <w:r w:rsidRPr="007B7B51">
        <w:rPr>
          <w:rFonts w:ascii="Times New Roman" w:hAnsi="Times New Roman" w:cs="Times New Roman"/>
          <w:sz w:val="20"/>
          <w:szCs w:val="20"/>
        </w:rPr>
        <w:t xml:space="preserve"> a </w:t>
      </w:r>
      <w:proofErr w:type="spellStart"/>
      <w:r w:rsidRPr="007B7B51">
        <w:rPr>
          <w:rFonts w:ascii="Times New Roman" w:hAnsi="Times New Roman" w:cs="Times New Roman"/>
          <w:sz w:val="20"/>
          <w:szCs w:val="20"/>
        </w:rPr>
        <w:t>definition</w:t>
      </w:r>
      <w:proofErr w:type="spellEnd"/>
      <w:r w:rsidRPr="007B7B51">
        <w:rPr>
          <w:rFonts w:ascii="Times New Roman" w:hAnsi="Times New Roman" w:cs="Times New Roman"/>
          <w:sz w:val="20"/>
          <w:szCs w:val="20"/>
        </w:rPr>
        <w:t xml:space="preserve">.  On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other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hand</w:t>
      </w:r>
      <w:proofErr w:type="spellEnd"/>
      <w:r w:rsidRPr="007B7B51">
        <w:rPr>
          <w:rFonts w:ascii="Times New Roman" w:hAnsi="Times New Roman" w:cs="Times New Roman"/>
          <w:sz w:val="20"/>
          <w:szCs w:val="20"/>
        </w:rPr>
        <w:t xml:space="preserve">, MBCA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federal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laws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giving</w:t>
      </w:r>
      <w:proofErr w:type="spellEnd"/>
      <w:r w:rsidRPr="007B7B51">
        <w:rPr>
          <w:rFonts w:ascii="Times New Roman" w:hAnsi="Times New Roman" w:cs="Times New Roman"/>
          <w:sz w:val="20"/>
          <w:szCs w:val="20"/>
        </w:rPr>
        <w:t xml:space="preserve"> a </w:t>
      </w:r>
      <w:proofErr w:type="spellStart"/>
      <w:r w:rsidRPr="007B7B51">
        <w:rPr>
          <w:rFonts w:ascii="Times New Roman" w:hAnsi="Times New Roman" w:cs="Times New Roman"/>
          <w:sz w:val="20"/>
          <w:szCs w:val="20"/>
        </w:rPr>
        <w:t>hand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description</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publicly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traded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Some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other</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States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like</w:t>
      </w:r>
      <w:proofErr w:type="spellEnd"/>
      <w:r w:rsidRPr="00016A2F">
        <w:rPr>
          <w:rFonts w:ascii="Times New Roman" w:hAnsi="Times New Roman" w:cs="Times New Roman"/>
          <w:sz w:val="20"/>
          <w:szCs w:val="20"/>
        </w:rPr>
        <w:t xml:space="preserve"> California, define </w:t>
      </w:r>
      <w:proofErr w:type="spellStart"/>
      <w:r w:rsidRPr="00016A2F">
        <w:rPr>
          <w:rFonts w:ascii="Times New Roman" w:hAnsi="Times New Roman" w:cs="Times New Roman"/>
          <w:sz w:val="20"/>
          <w:szCs w:val="20"/>
        </w:rPr>
        <w:t>publicly</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traded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corporations</w:t>
      </w:r>
      <w:proofErr w:type="spellEnd"/>
      <w:r w:rsidRPr="00016A2F">
        <w:rPr>
          <w:rFonts w:ascii="Times New Roman" w:hAnsi="Times New Roman" w:cs="Times New Roman"/>
          <w:sz w:val="20"/>
          <w:szCs w:val="20"/>
        </w:rPr>
        <w:t xml:space="preserve">. California </w:t>
      </w:r>
      <w:proofErr w:type="spellStart"/>
      <w:r w:rsidRPr="00016A2F">
        <w:rPr>
          <w:rFonts w:ascii="Times New Roman" w:hAnsi="Times New Roman" w:cs="Times New Roman"/>
          <w:sz w:val="20"/>
          <w:szCs w:val="20"/>
        </w:rPr>
        <w:t>Corporations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Code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Sec</w:t>
      </w:r>
      <w:proofErr w:type="spellEnd"/>
      <w:r w:rsidRPr="00016A2F">
        <w:rPr>
          <w:rFonts w:ascii="Times New Roman" w:hAnsi="Times New Roman" w:cs="Times New Roman"/>
          <w:sz w:val="20"/>
          <w:szCs w:val="20"/>
        </w:rPr>
        <w:t xml:space="preserve">. 1502.1.(b)(1) </w:t>
      </w:r>
      <w:proofErr w:type="spellStart"/>
      <w:r w:rsidRPr="00016A2F">
        <w:rPr>
          <w:rFonts w:ascii="Times New Roman" w:hAnsi="Times New Roman" w:cs="Times New Roman"/>
          <w:sz w:val="20"/>
          <w:szCs w:val="20"/>
        </w:rPr>
        <w:t>defines</w:t>
      </w:r>
      <w:proofErr w:type="spellEnd"/>
      <w:r w:rsidRPr="00016A2F">
        <w:rPr>
          <w:rFonts w:ascii="Times New Roman" w:hAnsi="Times New Roman" w:cs="Times New Roman"/>
          <w:sz w:val="20"/>
          <w:szCs w:val="20"/>
        </w:rPr>
        <w:t xml:space="preserve"> it as </w:t>
      </w:r>
      <w:proofErr w:type="spellStart"/>
      <w:r w:rsidRPr="00016A2F">
        <w:rPr>
          <w:rFonts w:ascii="Times New Roman" w:hAnsi="Times New Roman" w:cs="Times New Roman"/>
          <w:sz w:val="20"/>
          <w:szCs w:val="20"/>
        </w:rPr>
        <w:t>follows</w:t>
      </w:r>
      <w:proofErr w:type="spellEnd"/>
      <w:r w:rsidRPr="00016A2F">
        <w:rPr>
          <w:rFonts w:ascii="Times New Roman" w:hAnsi="Times New Roman" w:cs="Times New Roman"/>
          <w:sz w:val="20"/>
          <w:szCs w:val="20"/>
        </w:rPr>
        <w:t>: "</w:t>
      </w:r>
      <w:proofErr w:type="spellStart"/>
      <w:r w:rsidRPr="00016A2F">
        <w:rPr>
          <w:rFonts w:ascii="Times New Roman" w:hAnsi="Times New Roman" w:cs="Times New Roman"/>
          <w:sz w:val="20"/>
          <w:szCs w:val="20"/>
        </w:rPr>
        <w:t>Publicly</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traded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corporation</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means</w:t>
      </w:r>
      <w:proofErr w:type="spellEnd"/>
      <w:r w:rsidRPr="00016A2F">
        <w:rPr>
          <w:rFonts w:ascii="Times New Roman" w:hAnsi="Times New Roman" w:cs="Times New Roman"/>
          <w:sz w:val="20"/>
          <w:szCs w:val="20"/>
        </w:rPr>
        <w:t xml:space="preserve"> a </w:t>
      </w:r>
      <w:proofErr w:type="spellStart"/>
      <w:r w:rsidRPr="00016A2F">
        <w:rPr>
          <w:rFonts w:ascii="Times New Roman" w:hAnsi="Times New Roman" w:cs="Times New Roman"/>
          <w:sz w:val="20"/>
          <w:szCs w:val="20"/>
        </w:rPr>
        <w:t>corporation</w:t>
      </w:r>
      <w:proofErr w:type="spellEnd"/>
      <w:r w:rsidRPr="00016A2F">
        <w:rPr>
          <w:rFonts w:ascii="Times New Roman" w:hAnsi="Times New Roman" w:cs="Times New Roman"/>
          <w:sz w:val="20"/>
          <w:szCs w:val="20"/>
        </w:rPr>
        <w:t xml:space="preserve">, as </w:t>
      </w:r>
      <w:proofErr w:type="spellStart"/>
      <w:r w:rsidRPr="00016A2F">
        <w:rPr>
          <w:rFonts w:ascii="Times New Roman" w:hAnsi="Times New Roman" w:cs="Times New Roman"/>
          <w:sz w:val="20"/>
          <w:szCs w:val="20"/>
        </w:rPr>
        <w:t>defined</w:t>
      </w:r>
      <w:proofErr w:type="spellEnd"/>
      <w:r w:rsidRPr="00016A2F">
        <w:rPr>
          <w:rFonts w:ascii="Times New Roman" w:hAnsi="Times New Roman" w:cs="Times New Roman"/>
          <w:sz w:val="20"/>
          <w:szCs w:val="20"/>
        </w:rPr>
        <w:t xml:space="preserve"> in </w:t>
      </w:r>
      <w:proofErr w:type="spellStart"/>
      <w:r w:rsidRPr="00016A2F">
        <w:rPr>
          <w:rFonts w:ascii="Times New Roman" w:hAnsi="Times New Roman" w:cs="Times New Roman"/>
          <w:sz w:val="20"/>
          <w:szCs w:val="20"/>
        </w:rPr>
        <w:t>Section</w:t>
      </w:r>
      <w:proofErr w:type="spellEnd"/>
      <w:r w:rsidRPr="00016A2F">
        <w:rPr>
          <w:rFonts w:ascii="Times New Roman" w:hAnsi="Times New Roman" w:cs="Times New Roman"/>
          <w:sz w:val="20"/>
          <w:szCs w:val="20"/>
        </w:rPr>
        <w:t xml:space="preserve"> 162, </w:t>
      </w:r>
      <w:proofErr w:type="spellStart"/>
      <w:r w:rsidRPr="00016A2F">
        <w:rPr>
          <w:rFonts w:ascii="Times New Roman" w:hAnsi="Times New Roman" w:cs="Times New Roman"/>
          <w:sz w:val="20"/>
          <w:szCs w:val="20"/>
        </w:rPr>
        <w:t>that</w:t>
      </w:r>
      <w:proofErr w:type="spellEnd"/>
      <w:r w:rsidRPr="00016A2F">
        <w:rPr>
          <w:rFonts w:ascii="Times New Roman" w:hAnsi="Times New Roman" w:cs="Times New Roman"/>
          <w:sz w:val="20"/>
          <w:szCs w:val="20"/>
        </w:rPr>
        <w:t xml:space="preserve"> is an </w:t>
      </w:r>
      <w:proofErr w:type="spellStart"/>
      <w:r w:rsidRPr="00016A2F">
        <w:rPr>
          <w:rFonts w:ascii="Times New Roman" w:hAnsi="Times New Roman" w:cs="Times New Roman"/>
          <w:sz w:val="20"/>
          <w:szCs w:val="20"/>
        </w:rPr>
        <w:t>issuer</w:t>
      </w:r>
      <w:proofErr w:type="spellEnd"/>
      <w:r w:rsidRPr="00016A2F">
        <w:rPr>
          <w:rFonts w:ascii="Times New Roman" w:hAnsi="Times New Roman" w:cs="Times New Roman"/>
          <w:sz w:val="20"/>
          <w:szCs w:val="20"/>
        </w:rPr>
        <w:t xml:space="preserve"> as </w:t>
      </w:r>
      <w:proofErr w:type="spellStart"/>
      <w:r w:rsidRPr="00016A2F">
        <w:rPr>
          <w:rFonts w:ascii="Times New Roman" w:hAnsi="Times New Roman" w:cs="Times New Roman"/>
          <w:sz w:val="20"/>
          <w:szCs w:val="20"/>
        </w:rPr>
        <w:t>defined</w:t>
      </w:r>
      <w:proofErr w:type="spellEnd"/>
      <w:r w:rsidRPr="00016A2F">
        <w:rPr>
          <w:rFonts w:ascii="Times New Roman" w:hAnsi="Times New Roman" w:cs="Times New Roman"/>
          <w:sz w:val="20"/>
          <w:szCs w:val="20"/>
        </w:rPr>
        <w:t xml:space="preserve"> in </w:t>
      </w:r>
      <w:proofErr w:type="spellStart"/>
      <w:r w:rsidRPr="00016A2F">
        <w:rPr>
          <w:rFonts w:ascii="Times New Roman" w:hAnsi="Times New Roman" w:cs="Times New Roman"/>
          <w:sz w:val="20"/>
          <w:szCs w:val="20"/>
        </w:rPr>
        <w:t>Section</w:t>
      </w:r>
      <w:proofErr w:type="spellEnd"/>
      <w:r w:rsidRPr="00016A2F">
        <w:rPr>
          <w:rFonts w:ascii="Times New Roman" w:hAnsi="Times New Roman" w:cs="Times New Roman"/>
          <w:sz w:val="20"/>
          <w:szCs w:val="20"/>
        </w:rPr>
        <w:t xml:space="preserve"> 3 of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Securities</w:t>
      </w:r>
      <w:proofErr w:type="spellEnd"/>
      <w:r w:rsidRPr="00016A2F">
        <w:rPr>
          <w:rFonts w:ascii="Times New Roman" w:hAnsi="Times New Roman" w:cs="Times New Roman"/>
          <w:sz w:val="20"/>
          <w:szCs w:val="20"/>
        </w:rPr>
        <w:t xml:space="preserve"> Exchange </w:t>
      </w:r>
      <w:proofErr w:type="spellStart"/>
      <w:r w:rsidRPr="00016A2F">
        <w:rPr>
          <w:rFonts w:ascii="Times New Roman" w:hAnsi="Times New Roman" w:cs="Times New Roman"/>
          <w:sz w:val="20"/>
          <w:szCs w:val="20"/>
        </w:rPr>
        <w:t>Act</w:t>
      </w:r>
      <w:proofErr w:type="spellEnd"/>
      <w:r w:rsidRPr="00016A2F">
        <w:rPr>
          <w:rFonts w:ascii="Times New Roman" w:hAnsi="Times New Roman" w:cs="Times New Roman"/>
          <w:sz w:val="20"/>
          <w:szCs w:val="20"/>
        </w:rPr>
        <w:t xml:space="preserve"> of 1934, as </w:t>
      </w:r>
      <w:proofErr w:type="spellStart"/>
      <w:r w:rsidRPr="00016A2F">
        <w:rPr>
          <w:rFonts w:ascii="Times New Roman" w:hAnsi="Times New Roman" w:cs="Times New Roman"/>
          <w:sz w:val="20"/>
          <w:szCs w:val="20"/>
        </w:rPr>
        <w:t>amended</w:t>
      </w:r>
      <w:proofErr w:type="spellEnd"/>
      <w:r w:rsidRPr="00016A2F">
        <w:rPr>
          <w:rFonts w:ascii="Times New Roman" w:hAnsi="Times New Roman" w:cs="Times New Roman"/>
          <w:sz w:val="20"/>
          <w:szCs w:val="20"/>
        </w:rPr>
        <w:t xml:space="preserve"> (15 U.S.C. </w:t>
      </w:r>
      <w:proofErr w:type="spellStart"/>
      <w:r w:rsidRPr="00016A2F">
        <w:rPr>
          <w:rFonts w:ascii="Times New Roman" w:hAnsi="Times New Roman" w:cs="Times New Roman"/>
          <w:sz w:val="20"/>
          <w:szCs w:val="20"/>
        </w:rPr>
        <w:t>Sec</w:t>
      </w:r>
      <w:proofErr w:type="spellEnd"/>
      <w:r w:rsidRPr="00016A2F">
        <w:rPr>
          <w:rFonts w:ascii="Times New Roman" w:hAnsi="Times New Roman" w:cs="Times New Roman"/>
          <w:sz w:val="20"/>
          <w:szCs w:val="20"/>
        </w:rPr>
        <w:t xml:space="preserve">. 78c), </w:t>
      </w:r>
      <w:proofErr w:type="spellStart"/>
      <w:r w:rsidRPr="00016A2F">
        <w:rPr>
          <w:rFonts w:ascii="Times New Roman" w:hAnsi="Times New Roman" w:cs="Times New Roman"/>
          <w:sz w:val="20"/>
          <w:szCs w:val="20"/>
        </w:rPr>
        <w:t>and</w:t>
      </w:r>
      <w:proofErr w:type="spellEnd"/>
      <w:r w:rsidRPr="00016A2F">
        <w:rPr>
          <w:rFonts w:ascii="Times New Roman" w:hAnsi="Times New Roman" w:cs="Times New Roman"/>
          <w:sz w:val="20"/>
          <w:szCs w:val="20"/>
        </w:rPr>
        <w:t xml:space="preserve"> has at </w:t>
      </w:r>
      <w:proofErr w:type="spellStart"/>
      <w:r w:rsidRPr="00016A2F">
        <w:rPr>
          <w:rFonts w:ascii="Times New Roman" w:hAnsi="Times New Roman" w:cs="Times New Roman"/>
          <w:sz w:val="20"/>
          <w:szCs w:val="20"/>
        </w:rPr>
        <w:t>least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one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class</w:t>
      </w:r>
      <w:proofErr w:type="spellEnd"/>
      <w:r w:rsidRPr="00016A2F">
        <w:rPr>
          <w:rFonts w:ascii="Times New Roman" w:hAnsi="Times New Roman" w:cs="Times New Roman"/>
          <w:sz w:val="20"/>
          <w:szCs w:val="20"/>
        </w:rPr>
        <w:t xml:space="preserve"> of </w:t>
      </w:r>
      <w:proofErr w:type="spellStart"/>
      <w:r w:rsidRPr="00016A2F">
        <w:rPr>
          <w:rFonts w:ascii="Times New Roman" w:hAnsi="Times New Roman" w:cs="Times New Roman"/>
          <w:sz w:val="20"/>
          <w:szCs w:val="20"/>
        </w:rPr>
        <w:t>securities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listed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or</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admitted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for</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trading</w:t>
      </w:r>
      <w:proofErr w:type="spellEnd"/>
      <w:r w:rsidRPr="00016A2F">
        <w:rPr>
          <w:rFonts w:ascii="Times New Roman" w:hAnsi="Times New Roman" w:cs="Times New Roman"/>
          <w:sz w:val="20"/>
          <w:szCs w:val="20"/>
        </w:rPr>
        <w:t xml:space="preserve"> on a </w:t>
      </w:r>
      <w:proofErr w:type="spellStart"/>
      <w:r w:rsidRPr="00016A2F">
        <w:rPr>
          <w:rFonts w:ascii="Times New Roman" w:hAnsi="Times New Roman" w:cs="Times New Roman"/>
          <w:sz w:val="20"/>
          <w:szCs w:val="20"/>
        </w:rPr>
        <w:t>national</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securities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exchange</w:t>
      </w:r>
      <w:proofErr w:type="spellEnd"/>
      <w:r w:rsidRPr="00016A2F">
        <w:rPr>
          <w:rFonts w:ascii="Times New Roman" w:hAnsi="Times New Roman" w:cs="Times New Roman"/>
          <w:sz w:val="20"/>
          <w:szCs w:val="20"/>
        </w:rPr>
        <w:t xml:space="preserve">, on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OTC </w:t>
      </w:r>
      <w:proofErr w:type="spellStart"/>
      <w:r w:rsidRPr="00016A2F">
        <w:rPr>
          <w:rFonts w:ascii="Times New Roman" w:hAnsi="Times New Roman" w:cs="Times New Roman"/>
          <w:sz w:val="20"/>
          <w:szCs w:val="20"/>
        </w:rPr>
        <w:t>Bulletin</w:t>
      </w:r>
      <w:proofErr w:type="spellEnd"/>
      <w:r w:rsidRPr="00016A2F">
        <w:rPr>
          <w:rFonts w:ascii="Times New Roman" w:hAnsi="Times New Roman" w:cs="Times New Roman"/>
          <w:sz w:val="20"/>
          <w:szCs w:val="20"/>
        </w:rPr>
        <w:t xml:space="preserve"> Board, </w:t>
      </w:r>
      <w:proofErr w:type="spellStart"/>
      <w:r w:rsidRPr="00016A2F">
        <w:rPr>
          <w:rFonts w:ascii="Times New Roman" w:hAnsi="Times New Roman" w:cs="Times New Roman"/>
          <w:sz w:val="20"/>
          <w:szCs w:val="20"/>
        </w:rPr>
        <w:t>or</w:t>
      </w:r>
      <w:proofErr w:type="spellEnd"/>
      <w:r w:rsidRPr="00016A2F">
        <w:rPr>
          <w:rFonts w:ascii="Times New Roman" w:hAnsi="Times New Roman" w:cs="Times New Roman"/>
          <w:sz w:val="20"/>
          <w:szCs w:val="20"/>
        </w:rPr>
        <w:t xml:space="preserve"> on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electronic</w:t>
      </w:r>
      <w:proofErr w:type="spellEnd"/>
      <w:r w:rsidRPr="00016A2F">
        <w:rPr>
          <w:rFonts w:ascii="Times New Roman" w:hAnsi="Times New Roman" w:cs="Times New Roman"/>
          <w:sz w:val="20"/>
          <w:szCs w:val="20"/>
        </w:rPr>
        <w:t xml:space="preserve"> service </w:t>
      </w:r>
      <w:proofErr w:type="spellStart"/>
      <w:r w:rsidRPr="00016A2F">
        <w:rPr>
          <w:rFonts w:ascii="Times New Roman" w:hAnsi="Times New Roman" w:cs="Times New Roman"/>
          <w:sz w:val="20"/>
          <w:szCs w:val="20"/>
        </w:rPr>
        <w:t>operated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by</w:t>
      </w:r>
      <w:proofErr w:type="spellEnd"/>
      <w:r w:rsidRPr="00016A2F">
        <w:rPr>
          <w:rFonts w:ascii="Times New Roman" w:hAnsi="Times New Roman" w:cs="Times New Roman"/>
          <w:sz w:val="20"/>
          <w:szCs w:val="20"/>
        </w:rPr>
        <w:t xml:space="preserve"> Pink OTC </w:t>
      </w:r>
      <w:proofErr w:type="spellStart"/>
      <w:r w:rsidRPr="00016A2F">
        <w:rPr>
          <w:rFonts w:ascii="Times New Roman" w:hAnsi="Times New Roman" w:cs="Times New Roman"/>
          <w:sz w:val="20"/>
          <w:szCs w:val="20"/>
        </w:rPr>
        <w:t>Markets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Inc</w:t>
      </w:r>
      <w:proofErr w:type="spellEnd"/>
      <w:r w:rsidRPr="00016A2F">
        <w:rPr>
          <w:rFonts w:ascii="Times New Roman" w:hAnsi="Times New Roman" w:cs="Times New Roman"/>
          <w:sz w:val="20"/>
          <w:szCs w:val="20"/>
        </w:rPr>
        <w:t>.”</w:t>
      </w:r>
      <w:r w:rsidRPr="007B7B51">
        <w:rPr>
          <w:rFonts w:ascii="Times New Roman" w:hAnsi="Times New Roman" w:cs="Times New Roman"/>
          <w:sz w:val="20"/>
          <w:szCs w:val="20"/>
        </w:rPr>
        <w:t xml:space="preserve">). MBCA </w:t>
      </w:r>
      <w:proofErr w:type="spellStart"/>
      <w:r w:rsidRPr="007B7B51">
        <w:rPr>
          <w:rFonts w:ascii="Times New Roman" w:hAnsi="Times New Roman" w:cs="Times New Roman"/>
          <w:sz w:val="20"/>
          <w:szCs w:val="20"/>
        </w:rPr>
        <w:t>defines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traded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using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term</w:t>
      </w:r>
      <w:proofErr w:type="spellEnd"/>
      <w:r w:rsidRPr="007B7B51">
        <w:rPr>
          <w:rFonts w:ascii="Times New Roman" w:hAnsi="Times New Roman" w:cs="Times New Roman"/>
          <w:sz w:val="20"/>
          <w:szCs w:val="20"/>
        </w:rPr>
        <w:t xml:space="preserve">) as “a </w:t>
      </w:r>
      <w:proofErr w:type="spellStart"/>
      <w:r w:rsidRPr="007B7B51">
        <w:rPr>
          <w:rFonts w:ascii="Times New Roman" w:hAnsi="Times New Roman" w:cs="Times New Roman"/>
          <w:sz w:val="20"/>
          <w:szCs w:val="20"/>
        </w:rPr>
        <w:t>corporation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has </w:t>
      </w:r>
      <w:proofErr w:type="spellStart"/>
      <w:r w:rsidRPr="007B7B51">
        <w:rPr>
          <w:rFonts w:ascii="Times New Roman" w:hAnsi="Times New Roman" w:cs="Times New Roman"/>
          <w:sz w:val="20"/>
          <w:szCs w:val="20"/>
        </w:rPr>
        <w:t>shares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listed</w:t>
      </w:r>
      <w:proofErr w:type="spellEnd"/>
      <w:r w:rsidRPr="007B7B51">
        <w:rPr>
          <w:rFonts w:ascii="Times New Roman" w:hAnsi="Times New Roman" w:cs="Times New Roman"/>
          <w:sz w:val="20"/>
          <w:szCs w:val="20"/>
        </w:rPr>
        <w:t xml:space="preserve"> on a </w:t>
      </w:r>
      <w:proofErr w:type="spellStart"/>
      <w:r w:rsidRPr="007B7B51">
        <w:rPr>
          <w:rFonts w:ascii="Times New Roman" w:hAnsi="Times New Roman" w:cs="Times New Roman"/>
          <w:sz w:val="20"/>
          <w:szCs w:val="20"/>
        </w:rPr>
        <w:t>national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exchange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regularly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traded</w:t>
      </w:r>
      <w:proofErr w:type="spellEnd"/>
      <w:r w:rsidRPr="007B7B51">
        <w:rPr>
          <w:rFonts w:ascii="Times New Roman" w:hAnsi="Times New Roman" w:cs="Times New Roman"/>
          <w:sz w:val="20"/>
          <w:szCs w:val="20"/>
        </w:rPr>
        <w:t xml:space="preserve"> in a market </w:t>
      </w:r>
      <w:proofErr w:type="spellStart"/>
      <w:r w:rsidRPr="007B7B51">
        <w:rPr>
          <w:rFonts w:ascii="Times New Roman" w:hAnsi="Times New Roman" w:cs="Times New Roman"/>
          <w:sz w:val="20"/>
          <w:szCs w:val="20"/>
        </w:rPr>
        <w:t>maintained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one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more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members</w:t>
      </w:r>
      <w:proofErr w:type="spellEnd"/>
      <w:r w:rsidRPr="007B7B51">
        <w:rPr>
          <w:rFonts w:ascii="Times New Roman" w:hAnsi="Times New Roman" w:cs="Times New Roman"/>
          <w:sz w:val="20"/>
          <w:szCs w:val="20"/>
        </w:rPr>
        <w:t xml:space="preserve"> of a </w:t>
      </w:r>
      <w:proofErr w:type="spellStart"/>
      <w:r w:rsidRPr="007B7B51">
        <w:rPr>
          <w:rFonts w:ascii="Times New Roman" w:hAnsi="Times New Roman" w:cs="Times New Roman"/>
          <w:sz w:val="20"/>
          <w:szCs w:val="20"/>
        </w:rPr>
        <w:t>national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association</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Section</w:t>
      </w:r>
      <w:proofErr w:type="spellEnd"/>
      <w:r w:rsidRPr="007B7B51">
        <w:rPr>
          <w:rFonts w:ascii="Times New Roman" w:hAnsi="Times New Roman" w:cs="Times New Roman"/>
          <w:sz w:val="20"/>
          <w:szCs w:val="20"/>
        </w:rPr>
        <w:t xml:space="preserve"> 1.40. (18A). </w:t>
      </w:r>
      <w:proofErr w:type="spellStart"/>
      <w:r w:rsidRPr="007B7B51">
        <w:rPr>
          <w:rFonts w:ascii="Times New Roman" w:hAnsi="Times New Roman" w:cs="Times New Roman"/>
          <w:sz w:val="20"/>
          <w:szCs w:val="20"/>
        </w:rPr>
        <w:t>In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Official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Comment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article</w:t>
      </w:r>
      <w:proofErr w:type="spellEnd"/>
      <w:r w:rsidRPr="007B7B51">
        <w:rPr>
          <w:rFonts w:ascii="Times New Roman" w:hAnsi="Times New Roman" w:cs="Times New Roman"/>
          <w:sz w:val="20"/>
          <w:szCs w:val="20"/>
        </w:rPr>
        <w:t xml:space="preserve">, it is </w:t>
      </w:r>
      <w:proofErr w:type="spellStart"/>
      <w:r w:rsidRPr="007B7B51">
        <w:rPr>
          <w:rFonts w:ascii="Times New Roman" w:hAnsi="Times New Roman" w:cs="Times New Roman"/>
          <w:sz w:val="20"/>
          <w:szCs w:val="20"/>
        </w:rPr>
        <w:t>written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term</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w:t>
      </w:r>
      <w:proofErr w:type="spellEnd"/>
      <w:proofErr w:type="gramStart"/>
      <w:r w:rsidRPr="007B7B51">
        <w:rPr>
          <w:rFonts w:ascii="Times New Roman" w:hAnsi="Times New Roman" w:cs="Times New Roman"/>
          <w:sz w:val="20"/>
          <w:szCs w:val="20"/>
        </w:rPr>
        <w:t>’….</w:t>
      </w:r>
      <w:proofErr w:type="gramEnd"/>
      <w:r w:rsidRPr="007B7B51">
        <w:rPr>
          <w:rFonts w:ascii="Times New Roman" w:hAnsi="Times New Roman" w:cs="Times New Roman"/>
          <w:sz w:val="20"/>
          <w:szCs w:val="20"/>
        </w:rPr>
        <w:t xml:space="preserve">is </w:t>
      </w:r>
      <w:proofErr w:type="spellStart"/>
      <w:r w:rsidRPr="007B7B51">
        <w:rPr>
          <w:rFonts w:ascii="Times New Roman" w:hAnsi="Times New Roman" w:cs="Times New Roman"/>
          <w:sz w:val="20"/>
          <w:szCs w:val="20"/>
        </w:rPr>
        <w:t>used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distinguish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held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from</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other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sense, MBCA </w:t>
      </w:r>
      <w:proofErr w:type="spellStart"/>
      <w:r w:rsidRPr="007B7B51">
        <w:rPr>
          <w:rFonts w:ascii="Times New Roman" w:hAnsi="Times New Roman" w:cs="Times New Roman"/>
          <w:sz w:val="20"/>
          <w:szCs w:val="20"/>
        </w:rPr>
        <w:t>chooses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term</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does</w:t>
      </w:r>
      <w:proofErr w:type="spellEnd"/>
      <w:r w:rsidRPr="007B7B51">
        <w:rPr>
          <w:rFonts w:ascii="Times New Roman" w:hAnsi="Times New Roman" w:cs="Times New Roman"/>
          <w:sz w:val="20"/>
          <w:szCs w:val="20"/>
        </w:rPr>
        <w:t xml:space="preserve"> not </w:t>
      </w:r>
      <w:proofErr w:type="spellStart"/>
      <w:r w:rsidRPr="007B7B51">
        <w:rPr>
          <w:rFonts w:ascii="Times New Roman" w:hAnsi="Times New Roman" w:cs="Times New Roman"/>
          <w:sz w:val="20"/>
          <w:szCs w:val="20"/>
        </w:rPr>
        <w:t>recognize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distinction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between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held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traded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study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makes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Nevertheless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approach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MBCA has, is </w:t>
      </w:r>
      <w:proofErr w:type="spellStart"/>
      <w:r w:rsidRPr="007B7B51">
        <w:rPr>
          <w:rFonts w:ascii="Times New Roman" w:hAnsi="Times New Roman" w:cs="Times New Roman"/>
          <w:sz w:val="20"/>
          <w:szCs w:val="20"/>
        </w:rPr>
        <w:t>consistent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U.S. </w:t>
      </w:r>
      <w:proofErr w:type="spellStart"/>
      <w:r w:rsidRPr="007B7B51">
        <w:rPr>
          <w:rFonts w:ascii="Times New Roman" w:hAnsi="Times New Roman" w:cs="Times New Roman"/>
          <w:sz w:val="20"/>
          <w:szCs w:val="20"/>
        </w:rPr>
        <w:t>view</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makes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no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distinction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between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chooses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deal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generally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offer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w:t>
      </w:r>
      <w:proofErr w:type="spellEnd"/>
      <w:r w:rsidRPr="007B7B51">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Schlesinger</w:t>
      </w:r>
      <w:proofErr w:type="spellEnd"/>
      <w:r w:rsidRPr="00016A2F">
        <w:rPr>
          <w:rFonts w:ascii="Times New Roman" w:hAnsi="Times New Roman" w:cs="Times New Roman"/>
          <w:sz w:val="20"/>
          <w:szCs w:val="20"/>
        </w:rPr>
        <w:t>, p.422.</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Without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making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distinction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between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U.S. federal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laws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prohibits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person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from</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offering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unless</w:t>
      </w:r>
      <w:proofErr w:type="spellEnd"/>
      <w:r w:rsidRPr="007B7B51">
        <w:rPr>
          <w:rFonts w:ascii="Times New Roman" w:hAnsi="Times New Roman" w:cs="Times New Roman"/>
          <w:sz w:val="20"/>
          <w:szCs w:val="20"/>
        </w:rPr>
        <w:t xml:space="preserve"> a </w:t>
      </w:r>
      <w:proofErr w:type="spellStart"/>
      <w:r w:rsidRPr="007B7B51">
        <w:rPr>
          <w:rFonts w:ascii="Times New Roman" w:hAnsi="Times New Roman" w:cs="Times New Roman"/>
          <w:sz w:val="20"/>
          <w:szCs w:val="20"/>
        </w:rPr>
        <w:t>registration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statement</w:t>
      </w:r>
      <w:proofErr w:type="spellEnd"/>
      <w:r w:rsidRPr="007B7B51">
        <w:rPr>
          <w:rFonts w:ascii="Times New Roman" w:hAnsi="Times New Roman" w:cs="Times New Roman"/>
          <w:sz w:val="20"/>
          <w:szCs w:val="20"/>
        </w:rPr>
        <w:t xml:space="preserve"> is </w:t>
      </w:r>
      <w:proofErr w:type="spellStart"/>
      <w:r w:rsidRPr="007B7B51">
        <w:rPr>
          <w:rFonts w:ascii="Times New Roman" w:hAnsi="Times New Roman" w:cs="Times New Roman"/>
          <w:sz w:val="20"/>
          <w:szCs w:val="20"/>
        </w:rPr>
        <w:t>filed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related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government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authority</w:t>
      </w:r>
      <w:proofErr w:type="spellEnd"/>
      <w:r w:rsidRPr="007B7B51">
        <w:rPr>
          <w:rFonts w:ascii="Times New Roman" w:hAnsi="Times New Roman" w:cs="Times New Roman"/>
          <w:sz w:val="20"/>
          <w:szCs w:val="20"/>
        </w:rPr>
        <w:t xml:space="preserve">, U.S.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Exchange </w:t>
      </w:r>
      <w:proofErr w:type="spellStart"/>
      <w:r w:rsidRPr="007B7B51">
        <w:rPr>
          <w:rFonts w:ascii="Times New Roman" w:hAnsi="Times New Roman" w:cs="Times New Roman"/>
          <w:sz w:val="20"/>
          <w:szCs w:val="20"/>
        </w:rPr>
        <w:t>Commission</w:t>
      </w:r>
      <w:proofErr w:type="spellEnd"/>
      <w:r w:rsidRPr="007B7B51">
        <w:rPr>
          <w:rFonts w:ascii="Times New Roman" w:hAnsi="Times New Roman" w:cs="Times New Roman"/>
          <w:sz w:val="20"/>
          <w:szCs w:val="20"/>
        </w:rPr>
        <w:t xml:space="preserve"> (SEC),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is in </w:t>
      </w:r>
      <w:proofErr w:type="spellStart"/>
      <w:r w:rsidRPr="007B7B51">
        <w:rPr>
          <w:rFonts w:ascii="Times New Roman" w:hAnsi="Times New Roman" w:cs="Times New Roman"/>
          <w:sz w:val="20"/>
          <w:szCs w:val="20"/>
        </w:rPr>
        <w:t>effect</w:t>
      </w:r>
      <w:proofErr w:type="spellEnd"/>
      <w:r w:rsidRPr="007B7B51">
        <w:rPr>
          <w:rFonts w:ascii="Times New Roman" w:hAnsi="Times New Roman" w:cs="Times New Roman"/>
          <w:sz w:val="20"/>
          <w:szCs w:val="20"/>
        </w:rPr>
        <w:t xml:space="preserve"> as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security</w:t>
      </w:r>
      <w:proofErr w:type="spellEnd"/>
      <w:r w:rsidRPr="007B7B51">
        <w:rPr>
          <w:rFonts w:ascii="Times New Roman" w:hAnsi="Times New Roman" w:cs="Times New Roman"/>
          <w:sz w:val="20"/>
          <w:szCs w:val="20"/>
        </w:rPr>
        <w:t xml:space="preserve"> (Sec.5,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Act</w:t>
      </w:r>
      <w:proofErr w:type="spellEnd"/>
      <w:r w:rsidRPr="007B7B51">
        <w:rPr>
          <w:rFonts w:ascii="Times New Roman" w:hAnsi="Times New Roman" w:cs="Times New Roman"/>
          <w:sz w:val="20"/>
          <w:szCs w:val="20"/>
        </w:rPr>
        <w:t xml:space="preserve"> of 1933) (</w:t>
      </w:r>
      <w:r w:rsidRPr="00016A2F">
        <w:rPr>
          <w:rFonts w:ascii="Times New Roman" w:hAnsi="Times New Roman" w:cs="Times New Roman"/>
          <w:sz w:val="20"/>
          <w:szCs w:val="20"/>
        </w:rPr>
        <w:t xml:space="preserve">SEC </w:t>
      </w:r>
      <w:proofErr w:type="spellStart"/>
      <w:r w:rsidRPr="00016A2F">
        <w:rPr>
          <w:rFonts w:ascii="Times New Roman" w:hAnsi="Times New Roman" w:cs="Times New Roman"/>
          <w:sz w:val="20"/>
          <w:szCs w:val="20"/>
        </w:rPr>
        <w:t>explains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reason</w:t>
      </w:r>
      <w:proofErr w:type="spellEnd"/>
      <w:r w:rsidRPr="00016A2F">
        <w:rPr>
          <w:rFonts w:ascii="Times New Roman" w:hAnsi="Times New Roman" w:cs="Times New Roman"/>
          <w:sz w:val="20"/>
          <w:szCs w:val="20"/>
        </w:rPr>
        <w:t xml:space="preserve"> of </w:t>
      </w:r>
      <w:proofErr w:type="spellStart"/>
      <w:r w:rsidRPr="00016A2F">
        <w:rPr>
          <w:rFonts w:ascii="Times New Roman" w:hAnsi="Times New Roman" w:cs="Times New Roman"/>
          <w:sz w:val="20"/>
          <w:szCs w:val="20"/>
        </w:rPr>
        <w:t>this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requirement</w:t>
      </w:r>
      <w:proofErr w:type="spellEnd"/>
      <w:r w:rsidRPr="00016A2F">
        <w:rPr>
          <w:rFonts w:ascii="Times New Roman" w:hAnsi="Times New Roman" w:cs="Times New Roman"/>
          <w:sz w:val="20"/>
          <w:szCs w:val="20"/>
        </w:rPr>
        <w:t xml:space="preserve"> as </w:t>
      </w:r>
      <w:proofErr w:type="spellStart"/>
      <w:r w:rsidRPr="00016A2F">
        <w:rPr>
          <w:rFonts w:ascii="Times New Roman" w:hAnsi="Times New Roman" w:cs="Times New Roman"/>
          <w:sz w:val="20"/>
          <w:szCs w:val="20"/>
        </w:rPr>
        <w:t>follows</w:t>
      </w:r>
      <w:proofErr w:type="spellEnd"/>
      <w:r w:rsidRPr="00016A2F">
        <w:rPr>
          <w:rFonts w:ascii="Times New Roman" w:hAnsi="Times New Roman" w:cs="Times New Roman"/>
          <w:sz w:val="20"/>
          <w:szCs w:val="20"/>
        </w:rPr>
        <w:t>: “</w:t>
      </w:r>
      <w:proofErr w:type="spellStart"/>
      <w:r w:rsidRPr="00016A2F">
        <w:rPr>
          <w:rFonts w:ascii="Times New Roman" w:hAnsi="Times New Roman" w:cs="Times New Roman"/>
          <w:sz w:val="20"/>
          <w:szCs w:val="20"/>
        </w:rPr>
        <w:t>Often</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referred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to</w:t>
      </w:r>
      <w:proofErr w:type="spellEnd"/>
      <w:r w:rsidRPr="00016A2F">
        <w:rPr>
          <w:rFonts w:ascii="Times New Roman" w:hAnsi="Times New Roman" w:cs="Times New Roman"/>
          <w:sz w:val="20"/>
          <w:szCs w:val="20"/>
        </w:rPr>
        <w:t xml:space="preserve"> as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truth</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insecurities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law</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Securities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Act</w:t>
      </w:r>
      <w:proofErr w:type="spellEnd"/>
      <w:r w:rsidRPr="00016A2F">
        <w:rPr>
          <w:rFonts w:ascii="Times New Roman" w:hAnsi="Times New Roman" w:cs="Times New Roman"/>
          <w:sz w:val="20"/>
          <w:szCs w:val="20"/>
        </w:rPr>
        <w:t xml:space="preserve"> of 1933 has </w:t>
      </w:r>
      <w:proofErr w:type="spellStart"/>
      <w:r w:rsidRPr="00016A2F">
        <w:rPr>
          <w:rFonts w:ascii="Times New Roman" w:hAnsi="Times New Roman" w:cs="Times New Roman"/>
          <w:sz w:val="20"/>
          <w:szCs w:val="20"/>
        </w:rPr>
        <w:t>two</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basic</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objectives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To</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require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that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investors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receive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financial</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and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other</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significant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information</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concerning</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securities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being</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offered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for</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public</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sale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and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to</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prohibit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deceit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misrepresentations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and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other</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fraud</w:t>
      </w:r>
      <w:proofErr w:type="spellEnd"/>
      <w:r w:rsidRPr="00016A2F">
        <w:rPr>
          <w:rFonts w:ascii="Times New Roman" w:hAnsi="Times New Roman" w:cs="Times New Roman"/>
          <w:sz w:val="20"/>
          <w:szCs w:val="20"/>
        </w:rPr>
        <w:t xml:space="preserve"> in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sale</w:t>
      </w:r>
      <w:proofErr w:type="spellEnd"/>
      <w:r w:rsidRPr="00016A2F">
        <w:rPr>
          <w:rFonts w:ascii="Times New Roman" w:hAnsi="Times New Roman" w:cs="Times New Roman"/>
          <w:sz w:val="20"/>
          <w:szCs w:val="20"/>
        </w:rPr>
        <w:t xml:space="preserve"> of </w:t>
      </w:r>
      <w:proofErr w:type="spellStart"/>
      <w:r w:rsidRPr="00016A2F">
        <w:rPr>
          <w:rFonts w:ascii="Times New Roman" w:hAnsi="Times New Roman" w:cs="Times New Roman"/>
          <w:sz w:val="20"/>
          <w:szCs w:val="20"/>
        </w:rPr>
        <w:t>securities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SEC </w:t>
      </w:r>
      <w:proofErr w:type="spellStart"/>
      <w:r w:rsidRPr="00016A2F">
        <w:rPr>
          <w:rFonts w:ascii="Times New Roman" w:hAnsi="Times New Roman" w:cs="Times New Roman"/>
          <w:sz w:val="20"/>
          <w:szCs w:val="20"/>
        </w:rPr>
        <w:t>accomplishes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these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goals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primarily</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by</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requiring</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that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companies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disclose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important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financial</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information</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through</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registration</w:t>
      </w:r>
      <w:proofErr w:type="spellEnd"/>
      <w:r w:rsidRPr="00016A2F">
        <w:rPr>
          <w:rFonts w:ascii="Times New Roman" w:hAnsi="Times New Roman" w:cs="Times New Roman"/>
          <w:sz w:val="20"/>
          <w:szCs w:val="20"/>
        </w:rPr>
        <w:t xml:space="preserve"> of </w:t>
      </w:r>
      <w:proofErr w:type="spellStart"/>
      <w:r w:rsidRPr="00016A2F">
        <w:rPr>
          <w:rFonts w:ascii="Times New Roman" w:hAnsi="Times New Roman" w:cs="Times New Roman"/>
          <w:sz w:val="20"/>
          <w:szCs w:val="20"/>
        </w:rPr>
        <w:t>securities</w:t>
      </w:r>
      <w:proofErr w:type="spellEnd"/>
      <w:r w:rsidRPr="00016A2F">
        <w:rPr>
          <w:rFonts w:ascii="Times New Roman" w:hAnsi="Times New Roman" w:cs="Times New Roman"/>
          <w:sz w:val="20"/>
          <w:szCs w:val="20"/>
        </w:rPr>
        <w:t>…</w:t>
      </w:r>
      <w:proofErr w:type="spellStart"/>
      <w:r w:rsidRPr="00016A2F">
        <w:rPr>
          <w:rFonts w:ascii="Times New Roman" w:hAnsi="Times New Roman" w:cs="Times New Roman"/>
          <w:sz w:val="20"/>
          <w:szCs w:val="20"/>
        </w:rPr>
        <w:t>This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information</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enables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investors</w:t>
      </w:r>
      <w:proofErr w:type="spellEnd"/>
      <w:r w:rsidRPr="00016A2F">
        <w:rPr>
          <w:rFonts w:ascii="Times New Roman" w:hAnsi="Times New Roman" w:cs="Times New Roman"/>
          <w:sz w:val="20"/>
          <w:szCs w:val="20"/>
        </w:rPr>
        <w:t xml:space="preserve">, not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government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to</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make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informed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judgments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about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whether</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to</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purchase</w:t>
      </w:r>
      <w:proofErr w:type="spellEnd"/>
      <w:r w:rsidRPr="00016A2F">
        <w:rPr>
          <w:rFonts w:ascii="Times New Roman" w:hAnsi="Times New Roman" w:cs="Times New Roman"/>
          <w:sz w:val="20"/>
          <w:szCs w:val="20"/>
        </w:rPr>
        <w:t xml:space="preserve"> a </w:t>
      </w:r>
      <w:proofErr w:type="spellStart"/>
      <w:r w:rsidRPr="00016A2F">
        <w:rPr>
          <w:rFonts w:ascii="Times New Roman" w:hAnsi="Times New Roman" w:cs="Times New Roman"/>
          <w:sz w:val="20"/>
          <w:szCs w:val="20"/>
        </w:rPr>
        <w:t>company’s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securities</w:t>
      </w:r>
      <w:proofErr w:type="spellEnd"/>
      <w:r w:rsidRPr="00016A2F">
        <w:rPr>
          <w:rFonts w:ascii="Times New Roman" w:hAnsi="Times New Roman" w:cs="Times New Roman"/>
          <w:sz w:val="20"/>
          <w:szCs w:val="20"/>
        </w:rPr>
        <w:t xml:space="preserve">” (SEC, </w:t>
      </w:r>
      <w:hyperlink r:id="rId70" w:history="1">
        <w:r w:rsidRPr="00016A2F">
          <w:rPr>
            <w:rStyle w:val="Kpr"/>
            <w:rFonts w:ascii="Times New Roman" w:hAnsi="Times New Roman" w:cs="Times New Roman"/>
            <w:sz w:val="20"/>
            <w:szCs w:val="20"/>
          </w:rPr>
          <w:t>http://www.sec.gov/answers/regis33.htm</w:t>
        </w:r>
      </w:hyperlink>
      <w:r w:rsidRPr="00016A2F">
        <w:rPr>
          <w:rFonts w:ascii="Times New Roman" w:hAnsi="Times New Roman" w:cs="Times New Roman"/>
          <w:sz w:val="20"/>
          <w:szCs w:val="20"/>
        </w:rPr>
        <w:t>).</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Still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these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laws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have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been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drafted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primary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application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larger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issuing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their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w:t>
      </w:r>
      <w:proofErr w:type="spellEnd"/>
      <w:r w:rsidRPr="007B7B51">
        <w:rPr>
          <w:rFonts w:ascii="Times New Roman" w:hAnsi="Times New Roman" w:cs="Times New Roman"/>
          <w:sz w:val="20"/>
          <w:szCs w:val="20"/>
        </w:rPr>
        <w:t>” (</w:t>
      </w:r>
      <w:proofErr w:type="spellStart"/>
      <w:r w:rsidRPr="00016A2F">
        <w:rPr>
          <w:rFonts w:ascii="Times New Roman" w:hAnsi="Times New Roman" w:cs="Times New Roman"/>
          <w:sz w:val="20"/>
          <w:szCs w:val="20"/>
        </w:rPr>
        <w:t>Henn</w:t>
      </w:r>
      <w:proofErr w:type="spellEnd"/>
      <w:r w:rsidRPr="00016A2F">
        <w:rPr>
          <w:rFonts w:ascii="Times New Roman" w:hAnsi="Times New Roman" w:cs="Times New Roman"/>
          <w:sz w:val="20"/>
          <w:szCs w:val="20"/>
        </w:rPr>
        <w:t>, p. 405</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exemptions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issues</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smaller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included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Act</w:t>
      </w:r>
      <w:proofErr w:type="spellEnd"/>
      <w:r w:rsidRPr="007B7B51">
        <w:rPr>
          <w:rFonts w:ascii="Times New Roman" w:hAnsi="Times New Roman" w:cs="Times New Roman"/>
          <w:sz w:val="20"/>
          <w:szCs w:val="20"/>
        </w:rPr>
        <w:t xml:space="preserve"> of 1933, </w:t>
      </w:r>
      <w:proofErr w:type="spellStart"/>
      <w:r w:rsidRPr="007B7B51">
        <w:rPr>
          <w:rFonts w:ascii="Times New Roman" w:hAnsi="Times New Roman" w:cs="Times New Roman"/>
          <w:sz w:val="20"/>
          <w:szCs w:val="20"/>
        </w:rPr>
        <w:t>Sec</w:t>
      </w:r>
      <w:proofErr w:type="spellEnd"/>
      <w:r w:rsidRPr="007B7B51">
        <w:rPr>
          <w:rFonts w:ascii="Times New Roman" w:hAnsi="Times New Roman" w:cs="Times New Roman"/>
          <w:sz w:val="20"/>
          <w:szCs w:val="20"/>
        </w:rPr>
        <w:t xml:space="preserve">. 3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4). </w:t>
      </w:r>
      <w:proofErr w:type="spellStart"/>
      <w:r w:rsidRPr="007B7B51">
        <w:rPr>
          <w:rFonts w:ascii="Times New Roman" w:hAnsi="Times New Roman" w:cs="Times New Roman"/>
          <w:sz w:val="20"/>
          <w:szCs w:val="20"/>
        </w:rPr>
        <w:t>Laws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require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some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larger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register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SEC </w:t>
      </w:r>
      <w:proofErr w:type="spellStart"/>
      <w:r w:rsidRPr="007B7B51">
        <w:rPr>
          <w:rFonts w:ascii="Times New Roman" w:hAnsi="Times New Roman" w:cs="Times New Roman"/>
          <w:sz w:val="20"/>
          <w:szCs w:val="20"/>
        </w:rPr>
        <w:t>even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though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have</w:t>
      </w:r>
      <w:proofErr w:type="spellEnd"/>
      <w:r w:rsidRPr="007B7B51">
        <w:rPr>
          <w:rFonts w:ascii="Times New Roman" w:hAnsi="Times New Roman" w:cs="Times New Roman"/>
          <w:sz w:val="20"/>
          <w:szCs w:val="20"/>
        </w:rPr>
        <w:t xml:space="preserve"> not </w:t>
      </w:r>
      <w:proofErr w:type="spellStart"/>
      <w:r w:rsidRPr="007B7B51">
        <w:rPr>
          <w:rFonts w:ascii="Times New Roman" w:hAnsi="Times New Roman" w:cs="Times New Roman"/>
          <w:sz w:val="20"/>
          <w:szCs w:val="20"/>
        </w:rPr>
        <w:t>issued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under</w:t>
      </w:r>
      <w:proofErr w:type="spellEnd"/>
      <w:r w:rsidRPr="007B7B51">
        <w:rPr>
          <w:rFonts w:ascii="Times New Roman" w:hAnsi="Times New Roman" w:cs="Times New Roman"/>
          <w:sz w:val="20"/>
          <w:szCs w:val="20"/>
        </w:rPr>
        <w:t xml:space="preserve"> a </w:t>
      </w:r>
      <w:proofErr w:type="spellStart"/>
      <w:r w:rsidRPr="007B7B51">
        <w:rPr>
          <w:rFonts w:ascii="Times New Roman" w:hAnsi="Times New Roman" w:cs="Times New Roman"/>
          <w:sz w:val="20"/>
          <w:szCs w:val="20"/>
        </w:rPr>
        <w:t>registration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statement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Exchange </w:t>
      </w:r>
      <w:proofErr w:type="spellStart"/>
      <w:r w:rsidRPr="007B7B51">
        <w:rPr>
          <w:rFonts w:ascii="Times New Roman" w:hAnsi="Times New Roman" w:cs="Times New Roman"/>
          <w:sz w:val="20"/>
          <w:szCs w:val="20"/>
        </w:rPr>
        <w:t>Act</w:t>
      </w:r>
      <w:proofErr w:type="spellEnd"/>
      <w:r w:rsidRPr="007B7B51">
        <w:rPr>
          <w:rFonts w:ascii="Times New Roman" w:hAnsi="Times New Roman" w:cs="Times New Roman"/>
          <w:sz w:val="20"/>
          <w:szCs w:val="20"/>
        </w:rPr>
        <w:t xml:space="preserve"> of 1934, </w:t>
      </w:r>
      <w:proofErr w:type="spellStart"/>
      <w:r w:rsidRPr="007B7B51">
        <w:rPr>
          <w:rFonts w:ascii="Times New Roman" w:hAnsi="Times New Roman" w:cs="Times New Roman"/>
          <w:sz w:val="20"/>
          <w:szCs w:val="20"/>
        </w:rPr>
        <w:t>Sec</w:t>
      </w:r>
      <w:proofErr w:type="spellEnd"/>
      <w:r w:rsidRPr="007B7B51">
        <w:rPr>
          <w:rFonts w:ascii="Times New Roman" w:hAnsi="Times New Roman" w:cs="Times New Roman"/>
          <w:sz w:val="20"/>
          <w:szCs w:val="20"/>
        </w:rPr>
        <w:t xml:space="preserve">. 12(g)(1)). </w:t>
      </w:r>
      <w:proofErr w:type="spellStart"/>
      <w:r w:rsidRPr="007B7B51">
        <w:rPr>
          <w:rFonts w:ascii="Times New Roman" w:hAnsi="Times New Roman" w:cs="Times New Roman"/>
          <w:sz w:val="20"/>
          <w:szCs w:val="20"/>
        </w:rPr>
        <w:t>Accordingly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Exchange </w:t>
      </w:r>
      <w:proofErr w:type="spellStart"/>
      <w:r w:rsidRPr="007B7B51">
        <w:rPr>
          <w:rFonts w:ascii="Times New Roman" w:hAnsi="Times New Roman" w:cs="Times New Roman"/>
          <w:sz w:val="20"/>
          <w:szCs w:val="20"/>
        </w:rPr>
        <w:t>Act</w:t>
      </w:r>
      <w:proofErr w:type="spellEnd"/>
      <w:r w:rsidRPr="007B7B51">
        <w:rPr>
          <w:rFonts w:ascii="Times New Roman" w:hAnsi="Times New Roman" w:cs="Times New Roman"/>
          <w:sz w:val="20"/>
          <w:szCs w:val="20"/>
        </w:rPr>
        <w:t xml:space="preserve"> of 1934 </w:t>
      </w:r>
      <w:proofErr w:type="spellStart"/>
      <w:r w:rsidRPr="007B7B51">
        <w:rPr>
          <w:rFonts w:ascii="Times New Roman" w:hAnsi="Times New Roman" w:cs="Times New Roman"/>
          <w:sz w:val="20"/>
          <w:szCs w:val="20"/>
        </w:rPr>
        <w:t>defines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held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traded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without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using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those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terms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explicitly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Section</w:t>
      </w:r>
      <w:proofErr w:type="spellEnd"/>
      <w:r w:rsidRPr="007B7B51">
        <w:rPr>
          <w:rFonts w:ascii="Times New Roman" w:hAnsi="Times New Roman" w:cs="Times New Roman"/>
          <w:sz w:val="20"/>
          <w:szCs w:val="20"/>
        </w:rPr>
        <w:t xml:space="preserve"> 3(a)(8) </w:t>
      </w:r>
      <w:proofErr w:type="spellStart"/>
      <w:r w:rsidRPr="007B7B51">
        <w:rPr>
          <w:rFonts w:ascii="Times New Roman" w:hAnsi="Times New Roman" w:cs="Times New Roman"/>
          <w:sz w:val="20"/>
          <w:szCs w:val="20"/>
        </w:rPr>
        <w:t>defines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issuer</w:t>
      </w:r>
      <w:proofErr w:type="spellEnd"/>
      <w:r w:rsidRPr="007B7B51">
        <w:rPr>
          <w:rFonts w:ascii="Times New Roman" w:hAnsi="Times New Roman" w:cs="Times New Roman"/>
          <w:sz w:val="20"/>
          <w:szCs w:val="20"/>
        </w:rPr>
        <w:t>” as “</w:t>
      </w:r>
      <w:proofErr w:type="spellStart"/>
      <w:r w:rsidRPr="007B7B51">
        <w:rPr>
          <w:rFonts w:ascii="Times New Roman" w:hAnsi="Times New Roman" w:cs="Times New Roman"/>
          <w:sz w:val="20"/>
          <w:szCs w:val="20"/>
        </w:rPr>
        <w:t>any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person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who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issues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proposes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issue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defines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person</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Section</w:t>
      </w:r>
      <w:proofErr w:type="spellEnd"/>
      <w:r w:rsidRPr="007B7B51">
        <w:rPr>
          <w:rFonts w:ascii="Times New Roman" w:hAnsi="Times New Roman" w:cs="Times New Roman"/>
          <w:sz w:val="20"/>
          <w:szCs w:val="20"/>
        </w:rPr>
        <w:t xml:space="preserve"> 3(a)(9) as “a </w:t>
      </w:r>
      <w:proofErr w:type="spellStart"/>
      <w:r w:rsidRPr="007B7B51">
        <w:rPr>
          <w:rFonts w:ascii="Times New Roman" w:hAnsi="Times New Roman" w:cs="Times New Roman"/>
          <w:sz w:val="20"/>
          <w:szCs w:val="20"/>
        </w:rPr>
        <w:t>natural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person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company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government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political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subdivision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agency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instrumentality</w:t>
      </w:r>
      <w:proofErr w:type="spellEnd"/>
      <w:r w:rsidRPr="007B7B51">
        <w:rPr>
          <w:rFonts w:ascii="Times New Roman" w:hAnsi="Times New Roman" w:cs="Times New Roman"/>
          <w:sz w:val="20"/>
          <w:szCs w:val="20"/>
        </w:rPr>
        <w:t xml:space="preserve"> of a </w:t>
      </w:r>
      <w:proofErr w:type="spellStart"/>
      <w:r w:rsidRPr="007B7B51">
        <w:rPr>
          <w:rFonts w:ascii="Times New Roman" w:hAnsi="Times New Roman" w:cs="Times New Roman"/>
          <w:sz w:val="20"/>
          <w:szCs w:val="20"/>
        </w:rPr>
        <w:t>government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thus</w:t>
      </w:r>
      <w:proofErr w:type="spellEnd"/>
      <w:r w:rsidRPr="007B7B51">
        <w:rPr>
          <w:rFonts w:ascii="Times New Roman" w:hAnsi="Times New Roman" w:cs="Times New Roman"/>
          <w:sz w:val="20"/>
          <w:szCs w:val="20"/>
        </w:rPr>
        <w:t xml:space="preserve">, a </w:t>
      </w:r>
      <w:proofErr w:type="spellStart"/>
      <w:r w:rsidRPr="007B7B51">
        <w:rPr>
          <w:rFonts w:ascii="Times New Roman" w:hAnsi="Times New Roman" w:cs="Times New Roman"/>
          <w:sz w:val="20"/>
          <w:szCs w:val="20"/>
        </w:rPr>
        <w:t>corporation</w:t>
      </w:r>
      <w:proofErr w:type="spellEnd"/>
      <w:r w:rsidRPr="007B7B51">
        <w:rPr>
          <w:rFonts w:ascii="Times New Roman" w:hAnsi="Times New Roman" w:cs="Times New Roman"/>
          <w:sz w:val="20"/>
          <w:szCs w:val="20"/>
        </w:rPr>
        <w:t xml:space="preserve"> is an </w:t>
      </w:r>
      <w:proofErr w:type="spellStart"/>
      <w:r w:rsidRPr="007B7B51">
        <w:rPr>
          <w:rFonts w:ascii="Times New Roman" w:hAnsi="Times New Roman" w:cs="Times New Roman"/>
          <w:sz w:val="20"/>
          <w:szCs w:val="20"/>
        </w:rPr>
        <w:t>issuer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under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statute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Firstly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section</w:t>
      </w:r>
      <w:proofErr w:type="spellEnd"/>
      <w:r w:rsidRPr="007B7B51">
        <w:rPr>
          <w:rFonts w:ascii="Times New Roman" w:hAnsi="Times New Roman" w:cs="Times New Roman"/>
          <w:sz w:val="20"/>
          <w:szCs w:val="20"/>
        </w:rPr>
        <w:t xml:space="preserve"> 12(b) </w:t>
      </w:r>
      <w:proofErr w:type="spellStart"/>
      <w:r w:rsidRPr="007B7B51">
        <w:rPr>
          <w:rFonts w:ascii="Times New Roman" w:hAnsi="Times New Roman" w:cs="Times New Roman"/>
          <w:sz w:val="20"/>
          <w:szCs w:val="20"/>
        </w:rPr>
        <w:t>requires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equity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debt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will</w:t>
      </w:r>
      <w:proofErr w:type="spellEnd"/>
      <w:r w:rsidRPr="007B7B51">
        <w:rPr>
          <w:rFonts w:ascii="Times New Roman" w:hAnsi="Times New Roman" w:cs="Times New Roman"/>
          <w:sz w:val="20"/>
          <w:szCs w:val="20"/>
        </w:rPr>
        <w:t xml:space="preserve"> be </w:t>
      </w:r>
      <w:proofErr w:type="spellStart"/>
      <w:r w:rsidRPr="007B7B51">
        <w:rPr>
          <w:rFonts w:ascii="Times New Roman" w:hAnsi="Times New Roman" w:cs="Times New Roman"/>
          <w:sz w:val="20"/>
          <w:szCs w:val="20"/>
        </w:rPr>
        <w:t>registered</w:t>
      </w:r>
      <w:proofErr w:type="spellEnd"/>
      <w:r w:rsidRPr="007B7B51">
        <w:rPr>
          <w:rFonts w:ascii="Times New Roman" w:hAnsi="Times New Roman" w:cs="Times New Roman"/>
          <w:sz w:val="20"/>
          <w:szCs w:val="20"/>
        </w:rPr>
        <w:t xml:space="preserve"> on a </w:t>
      </w:r>
      <w:proofErr w:type="spellStart"/>
      <w:r w:rsidRPr="007B7B51">
        <w:rPr>
          <w:rFonts w:ascii="Times New Roman" w:hAnsi="Times New Roman" w:cs="Times New Roman"/>
          <w:sz w:val="20"/>
          <w:szCs w:val="20"/>
        </w:rPr>
        <w:t>national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exchange</w:t>
      </w:r>
      <w:proofErr w:type="spellEnd"/>
      <w:r w:rsidRPr="007B7B51">
        <w:rPr>
          <w:rFonts w:ascii="Times New Roman" w:hAnsi="Times New Roman" w:cs="Times New Roman"/>
          <w:sz w:val="20"/>
          <w:szCs w:val="20"/>
        </w:rPr>
        <w:t xml:space="preserve"> be </w:t>
      </w:r>
      <w:proofErr w:type="spellStart"/>
      <w:r w:rsidRPr="007B7B51">
        <w:rPr>
          <w:rFonts w:ascii="Times New Roman" w:hAnsi="Times New Roman" w:cs="Times New Roman"/>
          <w:sz w:val="20"/>
          <w:szCs w:val="20"/>
        </w:rPr>
        <w:t>registered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SEC. </w:t>
      </w:r>
      <w:proofErr w:type="spellStart"/>
      <w:r w:rsidRPr="007B7B51">
        <w:rPr>
          <w:rFonts w:ascii="Times New Roman" w:hAnsi="Times New Roman" w:cs="Times New Roman"/>
          <w:sz w:val="20"/>
          <w:szCs w:val="20"/>
        </w:rPr>
        <w:t>Secondly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section</w:t>
      </w:r>
      <w:proofErr w:type="spellEnd"/>
      <w:r w:rsidRPr="007B7B51">
        <w:rPr>
          <w:rFonts w:ascii="Times New Roman" w:hAnsi="Times New Roman" w:cs="Times New Roman"/>
          <w:sz w:val="20"/>
          <w:szCs w:val="20"/>
        </w:rPr>
        <w:t xml:space="preserve"> 12(g)(1) </w:t>
      </w:r>
      <w:proofErr w:type="spellStart"/>
      <w:r w:rsidRPr="007B7B51">
        <w:rPr>
          <w:rFonts w:ascii="Times New Roman" w:hAnsi="Times New Roman" w:cs="Times New Roman"/>
          <w:sz w:val="20"/>
          <w:szCs w:val="20"/>
        </w:rPr>
        <w:t>requires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issuers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which</w:t>
      </w:r>
      <w:proofErr w:type="spellEnd"/>
      <w:r w:rsidRPr="007B7B51">
        <w:rPr>
          <w:rFonts w:ascii="Times New Roman" w:hAnsi="Times New Roman" w:cs="Times New Roman"/>
          <w:sz w:val="20"/>
          <w:szCs w:val="20"/>
        </w:rPr>
        <w:t xml:space="preserve"> has total </w:t>
      </w:r>
      <w:proofErr w:type="spellStart"/>
      <w:r w:rsidRPr="007B7B51">
        <w:rPr>
          <w:rFonts w:ascii="Times New Roman" w:hAnsi="Times New Roman" w:cs="Times New Roman"/>
          <w:sz w:val="20"/>
          <w:szCs w:val="20"/>
        </w:rPr>
        <w:t>assets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exceeding</w:t>
      </w:r>
      <w:proofErr w:type="spellEnd"/>
      <w:r w:rsidRPr="007B7B51">
        <w:rPr>
          <w:rFonts w:ascii="Times New Roman" w:hAnsi="Times New Roman" w:cs="Times New Roman"/>
          <w:sz w:val="20"/>
          <w:szCs w:val="20"/>
        </w:rPr>
        <w:t xml:space="preserve"> 10 </w:t>
      </w:r>
      <w:proofErr w:type="spellStart"/>
      <w:r w:rsidRPr="007B7B51">
        <w:rPr>
          <w:rFonts w:ascii="Times New Roman" w:hAnsi="Times New Roman" w:cs="Times New Roman"/>
          <w:sz w:val="20"/>
          <w:szCs w:val="20"/>
        </w:rPr>
        <w:t>million</w:t>
      </w:r>
      <w:proofErr w:type="spellEnd"/>
      <w:r w:rsidRPr="007B7B51">
        <w:rPr>
          <w:rFonts w:ascii="Times New Roman" w:hAnsi="Times New Roman" w:cs="Times New Roman"/>
          <w:sz w:val="20"/>
          <w:szCs w:val="20"/>
        </w:rPr>
        <w:t xml:space="preserve"> USD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a </w:t>
      </w:r>
      <w:proofErr w:type="spellStart"/>
      <w:r w:rsidRPr="007B7B51">
        <w:rPr>
          <w:rFonts w:ascii="Times New Roman" w:hAnsi="Times New Roman" w:cs="Times New Roman"/>
          <w:sz w:val="20"/>
          <w:szCs w:val="20"/>
        </w:rPr>
        <w:t>class</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equity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held</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record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either</w:t>
      </w:r>
      <w:proofErr w:type="spellEnd"/>
      <w:r w:rsidRPr="007B7B51">
        <w:rPr>
          <w:rFonts w:ascii="Times New Roman" w:hAnsi="Times New Roman" w:cs="Times New Roman"/>
          <w:sz w:val="20"/>
          <w:szCs w:val="20"/>
        </w:rPr>
        <w:t xml:space="preserve"> 2000 </w:t>
      </w:r>
      <w:proofErr w:type="spellStart"/>
      <w:r w:rsidRPr="007B7B51">
        <w:rPr>
          <w:rFonts w:ascii="Times New Roman" w:hAnsi="Times New Roman" w:cs="Times New Roman"/>
          <w:sz w:val="20"/>
          <w:szCs w:val="20"/>
        </w:rPr>
        <w:t>persons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or</w:t>
      </w:r>
      <w:proofErr w:type="spellEnd"/>
      <w:r w:rsidRPr="007B7B51">
        <w:rPr>
          <w:rFonts w:ascii="Times New Roman" w:hAnsi="Times New Roman" w:cs="Times New Roman"/>
          <w:sz w:val="20"/>
          <w:szCs w:val="20"/>
        </w:rPr>
        <w:t xml:space="preserve"> 500 </w:t>
      </w:r>
      <w:proofErr w:type="spellStart"/>
      <w:r w:rsidRPr="007B7B51">
        <w:rPr>
          <w:rFonts w:ascii="Times New Roman" w:hAnsi="Times New Roman" w:cs="Times New Roman"/>
          <w:sz w:val="20"/>
          <w:szCs w:val="20"/>
        </w:rPr>
        <w:t>unaccredited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investors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shall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register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such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filing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SEC (</w:t>
      </w:r>
      <w:proofErr w:type="spellStart"/>
      <w:r w:rsidRPr="00016A2F">
        <w:rPr>
          <w:rFonts w:ascii="Times New Roman" w:hAnsi="Times New Roman" w:cs="Times New Roman"/>
          <w:sz w:val="20"/>
          <w:szCs w:val="20"/>
        </w:rPr>
        <w:t>Note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that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pursuant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to</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JOBS </w:t>
      </w:r>
      <w:proofErr w:type="spellStart"/>
      <w:r w:rsidRPr="00016A2F">
        <w:rPr>
          <w:rFonts w:ascii="Times New Roman" w:hAnsi="Times New Roman" w:cs="Times New Roman"/>
          <w:sz w:val="20"/>
          <w:szCs w:val="20"/>
        </w:rPr>
        <w:t>Act</w:t>
      </w:r>
      <w:proofErr w:type="spellEnd"/>
      <w:r w:rsidRPr="00016A2F">
        <w:rPr>
          <w:rFonts w:ascii="Times New Roman" w:hAnsi="Times New Roman" w:cs="Times New Roman"/>
          <w:sz w:val="20"/>
          <w:szCs w:val="20"/>
        </w:rPr>
        <w:t xml:space="preserve">, SEC </w:t>
      </w:r>
      <w:proofErr w:type="spellStart"/>
      <w:r w:rsidRPr="00016A2F">
        <w:rPr>
          <w:rFonts w:ascii="Times New Roman" w:hAnsi="Times New Roman" w:cs="Times New Roman"/>
          <w:sz w:val="20"/>
          <w:szCs w:val="20"/>
        </w:rPr>
        <w:t>implemented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exceptions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to</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this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rule</w:t>
      </w:r>
      <w:proofErr w:type="spellEnd"/>
      <w:r w:rsidRPr="00016A2F">
        <w:rPr>
          <w:rFonts w:ascii="Times New Roman" w:hAnsi="Times New Roman" w:cs="Times New Roman"/>
          <w:sz w:val="20"/>
          <w:szCs w:val="20"/>
        </w:rPr>
        <w:t>.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rule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provides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that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securities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issued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pursuant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to</w:t>
      </w:r>
      <w:proofErr w:type="spellEnd"/>
      <w:r w:rsidRPr="00016A2F">
        <w:rPr>
          <w:rFonts w:ascii="Times New Roman" w:hAnsi="Times New Roman" w:cs="Times New Roman"/>
          <w:sz w:val="20"/>
          <w:szCs w:val="20"/>
        </w:rPr>
        <w:t xml:space="preserve"> an </w:t>
      </w:r>
      <w:proofErr w:type="spellStart"/>
      <w:r w:rsidRPr="00016A2F">
        <w:rPr>
          <w:rFonts w:ascii="Times New Roman" w:hAnsi="Times New Roman" w:cs="Times New Roman"/>
          <w:sz w:val="20"/>
          <w:szCs w:val="20"/>
        </w:rPr>
        <w:t>offering</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made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under</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Section</w:t>
      </w:r>
      <w:proofErr w:type="spellEnd"/>
      <w:r w:rsidRPr="00016A2F">
        <w:rPr>
          <w:rFonts w:ascii="Times New Roman" w:hAnsi="Times New Roman" w:cs="Times New Roman"/>
          <w:sz w:val="20"/>
          <w:szCs w:val="20"/>
        </w:rPr>
        <w:t xml:space="preserve"> 4(a)(6) </w:t>
      </w:r>
      <w:proofErr w:type="spellStart"/>
      <w:r w:rsidRPr="00016A2F">
        <w:rPr>
          <w:rFonts w:ascii="Times New Roman" w:hAnsi="Times New Roman" w:cs="Times New Roman"/>
          <w:sz w:val="20"/>
          <w:szCs w:val="20"/>
        </w:rPr>
        <w:t>are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exempted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from</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record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holder</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count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under</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Section</w:t>
      </w:r>
      <w:proofErr w:type="spellEnd"/>
      <w:r w:rsidRPr="00016A2F">
        <w:rPr>
          <w:rFonts w:ascii="Times New Roman" w:hAnsi="Times New Roman" w:cs="Times New Roman"/>
          <w:sz w:val="20"/>
          <w:szCs w:val="20"/>
        </w:rPr>
        <w:t xml:space="preserve"> 12(g)…</w:t>
      </w:r>
      <w:proofErr w:type="spellStart"/>
      <w:r w:rsidRPr="00016A2F">
        <w:rPr>
          <w:rFonts w:ascii="Times New Roman" w:hAnsi="Times New Roman" w:cs="Times New Roman"/>
          <w:sz w:val="20"/>
          <w:szCs w:val="20"/>
        </w:rPr>
        <w:t>Section</w:t>
      </w:r>
      <w:proofErr w:type="spellEnd"/>
      <w:r w:rsidRPr="00016A2F">
        <w:rPr>
          <w:rFonts w:ascii="Times New Roman" w:hAnsi="Times New Roman" w:cs="Times New Roman"/>
          <w:sz w:val="20"/>
          <w:szCs w:val="20"/>
        </w:rPr>
        <w:t xml:space="preserve"> 12(g) </w:t>
      </w:r>
      <w:proofErr w:type="spellStart"/>
      <w:r w:rsidRPr="00016A2F">
        <w:rPr>
          <w:rFonts w:ascii="Times New Roman" w:hAnsi="Times New Roman" w:cs="Times New Roman"/>
          <w:sz w:val="20"/>
          <w:szCs w:val="20"/>
        </w:rPr>
        <w:t>registration</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will</w:t>
      </w:r>
      <w:proofErr w:type="spellEnd"/>
      <w:r w:rsidRPr="00016A2F">
        <w:rPr>
          <w:rFonts w:ascii="Times New Roman" w:hAnsi="Times New Roman" w:cs="Times New Roman"/>
          <w:sz w:val="20"/>
          <w:szCs w:val="20"/>
        </w:rPr>
        <w:t xml:space="preserve"> be </w:t>
      </w:r>
      <w:proofErr w:type="spellStart"/>
      <w:r w:rsidRPr="00016A2F">
        <w:rPr>
          <w:rFonts w:ascii="Times New Roman" w:hAnsi="Times New Roman" w:cs="Times New Roman"/>
          <w:sz w:val="20"/>
          <w:szCs w:val="20"/>
        </w:rPr>
        <w:t>required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only</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if</w:t>
      </w:r>
      <w:proofErr w:type="spellEnd"/>
      <w:r w:rsidRPr="00016A2F">
        <w:rPr>
          <w:rFonts w:ascii="Times New Roman" w:hAnsi="Times New Roman" w:cs="Times New Roman"/>
          <w:sz w:val="20"/>
          <w:szCs w:val="20"/>
        </w:rPr>
        <w:t xml:space="preserve">, on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last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day</w:t>
      </w:r>
      <w:proofErr w:type="spellEnd"/>
      <w:r w:rsidRPr="00016A2F">
        <w:rPr>
          <w:rFonts w:ascii="Times New Roman" w:hAnsi="Times New Roman" w:cs="Times New Roman"/>
          <w:sz w:val="20"/>
          <w:szCs w:val="20"/>
        </w:rPr>
        <w:t xml:space="preserve"> of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fiscal</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year</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company</w:t>
      </w:r>
      <w:proofErr w:type="spellEnd"/>
      <w:r w:rsidRPr="00016A2F">
        <w:rPr>
          <w:rFonts w:ascii="Times New Roman" w:hAnsi="Times New Roman" w:cs="Times New Roman"/>
          <w:sz w:val="20"/>
          <w:szCs w:val="20"/>
        </w:rPr>
        <w:t xml:space="preserve"> has total </w:t>
      </w:r>
      <w:proofErr w:type="spellStart"/>
      <w:r w:rsidRPr="00016A2F">
        <w:rPr>
          <w:rFonts w:ascii="Times New Roman" w:hAnsi="Times New Roman" w:cs="Times New Roman"/>
          <w:sz w:val="20"/>
          <w:szCs w:val="20"/>
        </w:rPr>
        <w:t>assets</w:t>
      </w:r>
      <w:proofErr w:type="spellEnd"/>
      <w:r w:rsidRPr="00016A2F">
        <w:rPr>
          <w:rFonts w:ascii="Times New Roman" w:hAnsi="Times New Roman" w:cs="Times New Roman"/>
          <w:sz w:val="20"/>
          <w:szCs w:val="20"/>
        </w:rPr>
        <w:t xml:space="preserve"> in </w:t>
      </w:r>
      <w:proofErr w:type="spellStart"/>
      <w:r w:rsidRPr="00016A2F">
        <w:rPr>
          <w:rFonts w:ascii="Times New Roman" w:hAnsi="Times New Roman" w:cs="Times New Roman"/>
          <w:sz w:val="20"/>
          <w:szCs w:val="20"/>
        </w:rPr>
        <w:t>excess</w:t>
      </w:r>
      <w:proofErr w:type="spellEnd"/>
      <w:r w:rsidRPr="00016A2F">
        <w:rPr>
          <w:rFonts w:ascii="Times New Roman" w:hAnsi="Times New Roman" w:cs="Times New Roman"/>
          <w:sz w:val="20"/>
          <w:szCs w:val="20"/>
        </w:rPr>
        <w:t xml:space="preserve"> of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$25 </w:t>
      </w:r>
      <w:proofErr w:type="spellStart"/>
      <w:r w:rsidRPr="00016A2F">
        <w:rPr>
          <w:rFonts w:ascii="Times New Roman" w:hAnsi="Times New Roman" w:cs="Times New Roman"/>
          <w:sz w:val="20"/>
          <w:szCs w:val="20"/>
        </w:rPr>
        <w:t>million</w:t>
      </w:r>
      <w:proofErr w:type="spellEnd"/>
      <w:r w:rsidRPr="00016A2F">
        <w:rPr>
          <w:rFonts w:ascii="Times New Roman" w:hAnsi="Times New Roman" w:cs="Times New Roman"/>
          <w:sz w:val="20"/>
          <w:szCs w:val="20"/>
        </w:rPr>
        <w:t xml:space="preserve"> total </w:t>
      </w:r>
      <w:proofErr w:type="spellStart"/>
      <w:r w:rsidRPr="00016A2F">
        <w:rPr>
          <w:rFonts w:ascii="Times New Roman" w:hAnsi="Times New Roman" w:cs="Times New Roman"/>
          <w:sz w:val="20"/>
          <w:szCs w:val="20"/>
        </w:rPr>
        <w:t>asset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threshold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class</w:t>
      </w:r>
      <w:proofErr w:type="spellEnd"/>
      <w:r w:rsidRPr="00016A2F">
        <w:rPr>
          <w:rFonts w:ascii="Times New Roman" w:hAnsi="Times New Roman" w:cs="Times New Roman"/>
          <w:sz w:val="20"/>
          <w:szCs w:val="20"/>
        </w:rPr>
        <w:t xml:space="preserve"> of </w:t>
      </w:r>
      <w:proofErr w:type="spellStart"/>
      <w:r w:rsidRPr="00016A2F">
        <w:rPr>
          <w:rFonts w:ascii="Times New Roman" w:hAnsi="Times New Roman" w:cs="Times New Roman"/>
          <w:sz w:val="20"/>
          <w:szCs w:val="20"/>
        </w:rPr>
        <w:t>equity</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securities</w:t>
      </w:r>
      <w:proofErr w:type="spellEnd"/>
      <w:r w:rsidRPr="00016A2F">
        <w:rPr>
          <w:rFonts w:ascii="Times New Roman" w:hAnsi="Times New Roman" w:cs="Times New Roman"/>
          <w:sz w:val="20"/>
          <w:szCs w:val="20"/>
        </w:rPr>
        <w:t xml:space="preserve"> is </w:t>
      </w:r>
      <w:proofErr w:type="spellStart"/>
      <w:r w:rsidRPr="00016A2F">
        <w:rPr>
          <w:rFonts w:ascii="Times New Roman" w:hAnsi="Times New Roman" w:cs="Times New Roman"/>
          <w:sz w:val="20"/>
          <w:szCs w:val="20"/>
        </w:rPr>
        <w:t>held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by</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more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than</w:t>
      </w:r>
      <w:proofErr w:type="spellEnd"/>
      <w:r w:rsidRPr="00016A2F">
        <w:rPr>
          <w:rFonts w:ascii="Times New Roman" w:hAnsi="Times New Roman" w:cs="Times New Roman"/>
          <w:sz w:val="20"/>
          <w:szCs w:val="20"/>
        </w:rPr>
        <w:t xml:space="preserve"> 2,000 </w:t>
      </w:r>
      <w:proofErr w:type="spellStart"/>
      <w:r w:rsidRPr="00016A2F">
        <w:rPr>
          <w:rFonts w:ascii="Times New Roman" w:hAnsi="Times New Roman" w:cs="Times New Roman"/>
          <w:sz w:val="20"/>
          <w:szCs w:val="20"/>
        </w:rPr>
        <w:t>persons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or</w:t>
      </w:r>
      <w:proofErr w:type="spellEnd"/>
      <w:r w:rsidRPr="00016A2F">
        <w:rPr>
          <w:rFonts w:ascii="Times New Roman" w:hAnsi="Times New Roman" w:cs="Times New Roman"/>
          <w:sz w:val="20"/>
          <w:szCs w:val="20"/>
        </w:rPr>
        <w:t xml:space="preserve"> 500 </w:t>
      </w:r>
      <w:proofErr w:type="spellStart"/>
      <w:r w:rsidRPr="00016A2F">
        <w:rPr>
          <w:rFonts w:ascii="Times New Roman" w:hAnsi="Times New Roman" w:cs="Times New Roman"/>
          <w:sz w:val="20"/>
          <w:szCs w:val="20"/>
        </w:rPr>
        <w:t>persons</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who</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are</w:t>
      </w:r>
      <w:proofErr w:type="spellEnd"/>
      <w:r w:rsidRPr="00016A2F">
        <w:rPr>
          <w:rFonts w:ascii="Times New Roman" w:hAnsi="Times New Roman" w:cs="Times New Roman"/>
          <w:sz w:val="20"/>
          <w:szCs w:val="20"/>
        </w:rPr>
        <w:t xml:space="preserve"> not </w:t>
      </w:r>
      <w:proofErr w:type="spellStart"/>
      <w:r w:rsidRPr="00016A2F">
        <w:rPr>
          <w:rFonts w:ascii="Times New Roman" w:hAnsi="Times New Roman" w:cs="Times New Roman"/>
          <w:sz w:val="20"/>
          <w:szCs w:val="20"/>
        </w:rPr>
        <w:t>accredited</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investors</w:t>
      </w:r>
      <w:proofErr w:type="spellEnd"/>
      <w:r w:rsidRPr="00016A2F">
        <w:rPr>
          <w:rFonts w:ascii="Times New Roman" w:hAnsi="Times New Roman" w:cs="Times New Roman"/>
          <w:sz w:val="20"/>
          <w:szCs w:val="20"/>
        </w:rPr>
        <w:t xml:space="preserve">.” SEC Final </w:t>
      </w:r>
      <w:proofErr w:type="spellStart"/>
      <w:r w:rsidRPr="00016A2F">
        <w:rPr>
          <w:rFonts w:ascii="Times New Roman" w:hAnsi="Times New Roman" w:cs="Times New Roman"/>
          <w:sz w:val="20"/>
          <w:szCs w:val="20"/>
        </w:rPr>
        <w:t>Rule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Crowdfunding</w:t>
      </w:r>
      <w:proofErr w:type="spellEnd"/>
      <w:r w:rsidRPr="00016A2F">
        <w:rPr>
          <w:rFonts w:ascii="Times New Roman" w:hAnsi="Times New Roman" w:cs="Times New Roman"/>
          <w:sz w:val="20"/>
          <w:szCs w:val="20"/>
        </w:rPr>
        <w:t xml:space="preserve"> (p.330-331), </w:t>
      </w:r>
      <w:hyperlink r:id="rId71" w:history="1">
        <w:r w:rsidRPr="00016A2F">
          <w:rPr>
            <w:rStyle w:val="Kpr"/>
            <w:rFonts w:ascii="Times New Roman" w:hAnsi="Times New Roman" w:cs="Times New Roman"/>
            <w:sz w:val="20"/>
            <w:szCs w:val="20"/>
          </w:rPr>
          <w:t>https://www.sec.gov/rules/final/2015/33-9974.pdf</w:t>
        </w:r>
      </w:hyperlink>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Last</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visited</w:t>
      </w:r>
      <w:proofErr w:type="spellEnd"/>
      <w:r w:rsidRPr="00016A2F">
        <w:rPr>
          <w:rFonts w:ascii="Times New Roman" w:hAnsi="Times New Roman" w:cs="Times New Roman"/>
          <w:sz w:val="20"/>
          <w:szCs w:val="20"/>
        </w:rPr>
        <w:t>: 10/12/2016)</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According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SEC, </w:t>
      </w:r>
      <w:proofErr w:type="spellStart"/>
      <w:r w:rsidRPr="007B7B51">
        <w:rPr>
          <w:rFonts w:ascii="Times New Roman" w:hAnsi="Times New Roman" w:cs="Times New Roman"/>
          <w:sz w:val="20"/>
          <w:szCs w:val="20"/>
        </w:rPr>
        <w:t>legislative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intent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behind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rule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was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make</w:t>
      </w:r>
      <w:proofErr w:type="spellEnd"/>
      <w:r w:rsidRPr="007B7B51">
        <w:rPr>
          <w:rFonts w:ascii="Times New Roman" w:hAnsi="Times New Roman" w:cs="Times New Roman"/>
          <w:sz w:val="20"/>
          <w:szCs w:val="20"/>
        </w:rPr>
        <w:t xml:space="preserve"> sure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investors</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over-the-counter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w:t>
      </w:r>
      <w:proofErr w:type="spellEnd"/>
      <w:r w:rsidRPr="007B7B51">
        <w:rPr>
          <w:rFonts w:ascii="Times New Roman" w:hAnsi="Times New Roman" w:cs="Times New Roman"/>
          <w:sz w:val="20"/>
          <w:szCs w:val="20"/>
        </w:rPr>
        <w:t xml:space="preserve"> a </w:t>
      </w:r>
      <w:proofErr w:type="spellStart"/>
      <w:r w:rsidRPr="007B7B51">
        <w:rPr>
          <w:rFonts w:ascii="Times New Roman" w:hAnsi="Times New Roman" w:cs="Times New Roman"/>
          <w:sz w:val="20"/>
          <w:szCs w:val="20"/>
        </w:rPr>
        <w:t>significant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shareholder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base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provided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ongoing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information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about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their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investment</w:t>
      </w:r>
      <w:proofErr w:type="spellEnd"/>
      <w:r w:rsidRPr="007B7B51">
        <w:rPr>
          <w:rFonts w:ascii="Times New Roman" w:hAnsi="Times New Roman" w:cs="Times New Roman"/>
          <w:sz w:val="20"/>
          <w:szCs w:val="20"/>
        </w:rPr>
        <w:t xml:space="preserve"> (</w:t>
      </w:r>
      <w:r w:rsidRPr="00016A2F">
        <w:rPr>
          <w:rFonts w:ascii="Times New Roman" w:hAnsi="Times New Roman" w:cs="Times New Roman"/>
          <w:sz w:val="20"/>
          <w:szCs w:val="20"/>
        </w:rPr>
        <w:t xml:space="preserve">SEC Final </w:t>
      </w:r>
      <w:proofErr w:type="spellStart"/>
      <w:r w:rsidRPr="00016A2F">
        <w:rPr>
          <w:rFonts w:ascii="Times New Roman" w:hAnsi="Times New Roman" w:cs="Times New Roman"/>
          <w:sz w:val="20"/>
          <w:szCs w:val="20"/>
        </w:rPr>
        <w:t>Rule</w:t>
      </w:r>
      <w:proofErr w:type="spellEnd"/>
      <w:r w:rsidRPr="00016A2F">
        <w:rPr>
          <w:rFonts w:ascii="Times New Roman" w:hAnsi="Times New Roman" w:cs="Times New Roman"/>
          <w:sz w:val="20"/>
          <w:szCs w:val="20"/>
        </w:rPr>
        <w:t xml:space="preserve">: </w:t>
      </w:r>
      <w:proofErr w:type="spellStart"/>
      <w:r w:rsidRPr="00016A2F">
        <w:rPr>
          <w:rFonts w:ascii="Times New Roman" w:hAnsi="Times New Roman" w:cs="Times New Roman"/>
          <w:sz w:val="20"/>
          <w:szCs w:val="20"/>
        </w:rPr>
        <w:t>Crowdfunding</w:t>
      </w:r>
      <w:proofErr w:type="spellEnd"/>
      <w:r w:rsidRPr="00016A2F">
        <w:rPr>
          <w:rFonts w:ascii="Times New Roman" w:hAnsi="Times New Roman" w:cs="Times New Roman"/>
          <w:sz w:val="20"/>
          <w:szCs w:val="20"/>
        </w:rPr>
        <w:t>, p.332</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study’s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view</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Section</w:t>
      </w:r>
      <w:proofErr w:type="spellEnd"/>
      <w:r w:rsidRPr="007B7B51">
        <w:rPr>
          <w:rFonts w:ascii="Times New Roman" w:hAnsi="Times New Roman" w:cs="Times New Roman"/>
          <w:sz w:val="20"/>
          <w:szCs w:val="20"/>
        </w:rPr>
        <w:t xml:space="preserve"> 12(g)(1) is </w:t>
      </w:r>
      <w:proofErr w:type="spellStart"/>
      <w:r w:rsidRPr="007B7B51">
        <w:rPr>
          <w:rFonts w:ascii="Times New Roman" w:hAnsi="Times New Roman" w:cs="Times New Roman"/>
          <w:sz w:val="20"/>
          <w:szCs w:val="20"/>
        </w:rPr>
        <w:t>defining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held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thus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under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triggering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threshold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non-public</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whereas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Section</w:t>
      </w:r>
      <w:proofErr w:type="spellEnd"/>
      <w:r w:rsidRPr="007B7B51">
        <w:rPr>
          <w:rFonts w:ascii="Times New Roman" w:hAnsi="Times New Roman" w:cs="Times New Roman"/>
          <w:sz w:val="20"/>
          <w:szCs w:val="20"/>
        </w:rPr>
        <w:t xml:space="preserve"> 12(b) is </w:t>
      </w:r>
      <w:proofErr w:type="spellStart"/>
      <w:r w:rsidRPr="007B7B51">
        <w:rPr>
          <w:rFonts w:ascii="Times New Roman" w:hAnsi="Times New Roman" w:cs="Times New Roman"/>
          <w:sz w:val="20"/>
          <w:szCs w:val="20"/>
        </w:rPr>
        <w:t>defining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traded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must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also</w:t>
      </w:r>
      <w:proofErr w:type="spellEnd"/>
      <w:r w:rsidRPr="007B7B51">
        <w:rPr>
          <w:rFonts w:ascii="Times New Roman" w:hAnsi="Times New Roman" w:cs="Times New Roman"/>
          <w:sz w:val="20"/>
          <w:szCs w:val="20"/>
        </w:rPr>
        <w:t xml:space="preserve"> be </w:t>
      </w:r>
      <w:proofErr w:type="spellStart"/>
      <w:r w:rsidRPr="007B7B51">
        <w:rPr>
          <w:rFonts w:ascii="Times New Roman" w:hAnsi="Times New Roman" w:cs="Times New Roman"/>
          <w:sz w:val="20"/>
          <w:szCs w:val="20"/>
        </w:rPr>
        <w:t>noted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recently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using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title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Private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Company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Flexibility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Growth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article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amending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Act</w:t>
      </w:r>
      <w:proofErr w:type="spellEnd"/>
      <w:r w:rsidRPr="007B7B51">
        <w:rPr>
          <w:rFonts w:ascii="Times New Roman" w:hAnsi="Times New Roman" w:cs="Times New Roman"/>
          <w:sz w:val="20"/>
          <w:szCs w:val="20"/>
        </w:rPr>
        <w:t xml:space="preserve"> of 1934’s </w:t>
      </w:r>
      <w:proofErr w:type="spellStart"/>
      <w:r w:rsidRPr="007B7B51">
        <w:rPr>
          <w:rFonts w:ascii="Times New Roman" w:hAnsi="Times New Roman" w:cs="Times New Roman"/>
          <w:sz w:val="20"/>
          <w:szCs w:val="20"/>
        </w:rPr>
        <w:t>Sec</w:t>
      </w:r>
      <w:proofErr w:type="spellEnd"/>
      <w:r w:rsidRPr="007B7B51">
        <w:rPr>
          <w:rFonts w:ascii="Times New Roman" w:hAnsi="Times New Roman" w:cs="Times New Roman"/>
          <w:sz w:val="20"/>
          <w:szCs w:val="20"/>
        </w:rPr>
        <w:t xml:space="preserve">. 12(g)(1) in Jumpstart </w:t>
      </w:r>
      <w:proofErr w:type="spellStart"/>
      <w:r w:rsidRPr="007B7B51">
        <w:rPr>
          <w:rFonts w:ascii="Times New Roman" w:hAnsi="Times New Roman" w:cs="Times New Roman"/>
          <w:sz w:val="20"/>
          <w:szCs w:val="20"/>
        </w:rPr>
        <w:t>Our</w:t>
      </w:r>
      <w:proofErr w:type="spellEnd"/>
      <w:r w:rsidRPr="007B7B51">
        <w:rPr>
          <w:rFonts w:ascii="Times New Roman" w:hAnsi="Times New Roman" w:cs="Times New Roman"/>
          <w:sz w:val="20"/>
          <w:szCs w:val="20"/>
        </w:rPr>
        <w:t xml:space="preserve"> Business </w:t>
      </w:r>
      <w:proofErr w:type="spellStart"/>
      <w:r w:rsidRPr="007B7B51">
        <w:rPr>
          <w:rFonts w:ascii="Times New Roman" w:hAnsi="Times New Roman" w:cs="Times New Roman"/>
          <w:sz w:val="20"/>
          <w:szCs w:val="20"/>
        </w:rPr>
        <w:t>Startups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Act</w:t>
      </w:r>
      <w:proofErr w:type="spellEnd"/>
      <w:r w:rsidRPr="007B7B51">
        <w:rPr>
          <w:rFonts w:ascii="Times New Roman" w:hAnsi="Times New Roman" w:cs="Times New Roman"/>
          <w:sz w:val="20"/>
          <w:szCs w:val="20"/>
        </w:rPr>
        <w:t xml:space="preserve">, U.S. </w:t>
      </w:r>
      <w:proofErr w:type="spellStart"/>
      <w:r w:rsidRPr="007B7B51">
        <w:rPr>
          <w:rFonts w:ascii="Times New Roman" w:hAnsi="Times New Roman" w:cs="Times New Roman"/>
          <w:sz w:val="20"/>
          <w:szCs w:val="20"/>
        </w:rPr>
        <w:t>legislature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showed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view</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classifying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companies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stay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under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triggering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threshold</w:t>
      </w:r>
      <w:proofErr w:type="spellEnd"/>
      <w:r w:rsidRPr="007B7B51">
        <w:rPr>
          <w:rFonts w:ascii="Times New Roman" w:hAnsi="Times New Roman" w:cs="Times New Roman"/>
          <w:sz w:val="20"/>
          <w:szCs w:val="20"/>
        </w:rPr>
        <w:t xml:space="preserve"> as “</w:t>
      </w:r>
      <w:proofErr w:type="spellStart"/>
      <w:r w:rsidRPr="007B7B51">
        <w:rPr>
          <w:rFonts w:ascii="Times New Roman" w:hAnsi="Times New Roman" w:cs="Times New Roman"/>
          <w:sz w:val="20"/>
          <w:szCs w:val="20"/>
        </w:rPr>
        <w:t>private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ones</w:t>
      </w:r>
      <w:proofErr w:type="spellEnd"/>
      <w:r w:rsidRPr="007B7B51">
        <w:rPr>
          <w:rFonts w:ascii="Times New Roman" w:hAnsi="Times New Roman" w:cs="Times New Roman"/>
          <w:sz w:val="20"/>
          <w:szCs w:val="20"/>
        </w:rPr>
        <w:t xml:space="preserve">. </w:t>
      </w:r>
    </w:p>
  </w:footnote>
  <w:footnote w:id="562">
    <w:p w14:paraId="50435592" w14:textId="3347B8A4" w:rsidR="00D36541" w:rsidRPr="009975EA" w:rsidRDefault="00D36541" w:rsidP="00016A2F">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Douglas K. Moll</w:t>
      </w:r>
      <w:r w:rsidRPr="00715739">
        <w:rPr>
          <w:rFonts w:ascii="Times New Roman" w:hAnsi="Times New Roman" w:cs="Times New Roman"/>
          <w:i/>
          <w:sz w:val="20"/>
          <w:szCs w:val="20"/>
        </w:rPr>
        <w:t>, Shareholder Oppression in Texas Close Corporations: Majority Rule Isn’t What It Used to Be</w:t>
      </w:r>
      <w:r w:rsidRPr="009975EA">
        <w:rPr>
          <w:rFonts w:ascii="Times New Roman" w:hAnsi="Times New Roman" w:cs="Times New Roman"/>
          <w:sz w:val="20"/>
          <w:szCs w:val="20"/>
        </w:rPr>
        <w:t xml:space="preserve">, 9 </w:t>
      </w:r>
      <w:proofErr w:type="spellStart"/>
      <w:r w:rsidRPr="009975EA">
        <w:rPr>
          <w:rFonts w:ascii="Times New Roman" w:hAnsi="Times New Roman" w:cs="Times New Roman"/>
          <w:sz w:val="20"/>
          <w:szCs w:val="20"/>
        </w:rPr>
        <w:t>Hou</w:t>
      </w:r>
      <w:r>
        <w:rPr>
          <w:rFonts w:ascii="Times New Roman" w:hAnsi="Times New Roman" w:cs="Times New Roman"/>
          <w:sz w:val="20"/>
          <w:szCs w:val="20"/>
        </w:rPr>
        <w:t>s</w:t>
      </w:r>
      <w:proofErr w:type="spellEnd"/>
      <w:r>
        <w:rPr>
          <w:rFonts w:ascii="Times New Roman" w:hAnsi="Times New Roman" w:cs="Times New Roman"/>
          <w:sz w:val="20"/>
          <w:szCs w:val="20"/>
        </w:rPr>
        <w:t xml:space="preserve">. Bus. &amp; Tax L.J. 33 (2001) at </w:t>
      </w:r>
      <w:r w:rsidRPr="009975EA">
        <w:rPr>
          <w:rFonts w:ascii="Times New Roman" w:hAnsi="Times New Roman" w:cs="Times New Roman"/>
          <w:sz w:val="20"/>
          <w:szCs w:val="20"/>
        </w:rPr>
        <w:t>13.</w:t>
      </w:r>
    </w:p>
  </w:footnote>
  <w:footnote w:id="563">
    <w:p w14:paraId="6774A966" w14:textId="1CF8F82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Brenner v. Berkowitz, 134 N.J. 488 (1993).</w:t>
      </w:r>
    </w:p>
  </w:footnote>
  <w:footnote w:id="564">
    <w:p w14:paraId="0DAF55FD" w14:textId="7D0B614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F. Hodge O’Neal, </w:t>
      </w:r>
      <w:r w:rsidRPr="009975EA">
        <w:rPr>
          <w:rFonts w:ascii="Times New Roman" w:hAnsi="Times New Roman" w:cs="Times New Roman"/>
          <w:sz w:val="20"/>
          <w:szCs w:val="20"/>
        </w:rPr>
        <w:t>Ronald R. Janke</w:t>
      </w:r>
      <w:r w:rsidRPr="00715739">
        <w:rPr>
          <w:rFonts w:ascii="Times New Roman" w:hAnsi="Times New Roman" w:cs="Times New Roman"/>
          <w:i/>
          <w:sz w:val="20"/>
          <w:szCs w:val="20"/>
        </w:rPr>
        <w:t>, Utilizing Rule 10b-5 for Remedying Squeeze-Outs or Oppression of Minority Shareholders</w:t>
      </w:r>
      <w:r w:rsidRPr="009975EA">
        <w:rPr>
          <w:rFonts w:ascii="Times New Roman" w:hAnsi="Times New Roman" w:cs="Times New Roman"/>
          <w:sz w:val="20"/>
          <w:szCs w:val="20"/>
        </w:rPr>
        <w:t xml:space="preserve">, 16 Boston College Industrial and </w:t>
      </w:r>
      <w:r>
        <w:rPr>
          <w:rFonts w:ascii="Times New Roman" w:hAnsi="Times New Roman" w:cs="Times New Roman"/>
          <w:sz w:val="20"/>
          <w:szCs w:val="20"/>
        </w:rPr>
        <w:t xml:space="preserve">Commercial Law Review (1975) at </w:t>
      </w:r>
      <w:r w:rsidRPr="009975EA">
        <w:rPr>
          <w:rFonts w:ascii="Times New Roman" w:hAnsi="Times New Roman" w:cs="Times New Roman"/>
          <w:sz w:val="20"/>
          <w:szCs w:val="20"/>
        </w:rPr>
        <w:t>327.</w:t>
      </w:r>
    </w:p>
  </w:footnote>
  <w:footnote w:id="565">
    <w:p w14:paraId="485F4A0B" w14:textId="585D071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Ballard v. Roberson, 399 S.C. 588 (2012): “The concern and focus </w:t>
      </w:r>
      <w:proofErr w:type="gramStart"/>
      <w:r w:rsidRPr="009975EA">
        <w:rPr>
          <w:rFonts w:ascii="Times New Roman" w:hAnsi="Times New Roman" w:cs="Times New Roman"/>
          <w:sz w:val="20"/>
          <w:szCs w:val="20"/>
        </w:rPr>
        <w:t>in</w:t>
      </w:r>
      <w:proofErr w:type="gramEnd"/>
      <w:r w:rsidRPr="009975EA">
        <w:rPr>
          <w:rFonts w:ascii="Times New Roman" w:hAnsi="Times New Roman" w:cs="Times New Roman"/>
          <w:sz w:val="20"/>
          <w:szCs w:val="20"/>
        </w:rPr>
        <w:t xml:space="preserve"> shareholder oppression cases is that the minority ‘faces a trapped investment and an indefinite exclusion from participation in business returns’”.</w:t>
      </w:r>
    </w:p>
  </w:footnote>
  <w:footnote w:id="566">
    <w:p w14:paraId="0AA857F3" w14:textId="580CE8F3" w:rsidR="00D36541" w:rsidRPr="009975EA" w:rsidRDefault="00D36541" w:rsidP="00715739">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Employment at Will, p. 546.</w:t>
      </w:r>
      <w:r>
        <w:rPr>
          <w:rFonts w:ascii="Times New Roman" w:hAnsi="Times New Roman" w:cs="Times New Roman"/>
          <w:sz w:val="20"/>
          <w:szCs w:val="20"/>
        </w:rPr>
        <w:tab/>
      </w:r>
    </w:p>
  </w:footnote>
  <w:footnote w:id="567">
    <w:p w14:paraId="7742B17B"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Employment at Will, p. 551.</w:t>
      </w:r>
    </w:p>
  </w:footnote>
  <w:footnote w:id="568">
    <w:p w14:paraId="549FC254"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Employment at Will, p. 552.</w:t>
      </w:r>
    </w:p>
  </w:footnote>
  <w:footnote w:id="569">
    <w:p w14:paraId="4236AEAF" w14:textId="503DFDC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Shareholder Oppression in Texas, p.13. “It may be defined as the use of corporate control vested in the statutory majority of shareholders or the board of directors to eliminate minority shareholders from the enterprise or to reduce to relative insignificance their voting power or claims on corporate assets…Furthermore, it implies a purpose to force upon the minority shareholder a change which is not incident to any other business goal of the corporation” (</w:t>
      </w:r>
      <w:proofErr w:type="spellStart"/>
      <w:r w:rsidRPr="009975EA">
        <w:rPr>
          <w:rFonts w:ascii="Times New Roman" w:hAnsi="Times New Roman" w:cs="Times New Roman"/>
          <w:sz w:val="20"/>
          <w:szCs w:val="20"/>
        </w:rPr>
        <w:t>Gabhart</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Gabhart</w:t>
      </w:r>
      <w:proofErr w:type="spellEnd"/>
      <w:r w:rsidRPr="009975EA">
        <w:rPr>
          <w:rFonts w:ascii="Times New Roman" w:hAnsi="Times New Roman" w:cs="Times New Roman"/>
          <w:sz w:val="20"/>
          <w:szCs w:val="20"/>
        </w:rPr>
        <w:t>, 267 Ind. 370 (1977)).</w:t>
      </w:r>
    </w:p>
  </w:footnote>
  <w:footnote w:id="570">
    <w:p w14:paraId="3834A6BD"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Shareholder Oppression in Texas, p.14.</w:t>
      </w:r>
    </w:p>
  </w:footnote>
  <w:footnote w:id="571">
    <w:p w14:paraId="56ED76D4"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Muellenberg</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Bikon</w:t>
      </w:r>
      <w:proofErr w:type="spellEnd"/>
      <w:r w:rsidRPr="009975EA">
        <w:rPr>
          <w:rFonts w:ascii="Times New Roman" w:hAnsi="Times New Roman" w:cs="Times New Roman"/>
          <w:sz w:val="20"/>
          <w:szCs w:val="20"/>
        </w:rPr>
        <w:t xml:space="preserve"> Corp., 143 N.J. 168 (1996).</w:t>
      </w:r>
    </w:p>
  </w:footnote>
  <w:footnote w:id="572">
    <w:p w14:paraId="31973D12" w14:textId="48CEF61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O’Neal, Oppression of Minority Shareholders, p.131.</w:t>
      </w:r>
    </w:p>
  </w:footnote>
  <w:footnote w:id="573">
    <w:p w14:paraId="31A8ED95" w14:textId="4D73A4F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Garry D. </w:t>
      </w:r>
      <w:proofErr w:type="spellStart"/>
      <w:r w:rsidRPr="009975EA">
        <w:rPr>
          <w:rFonts w:ascii="Times New Roman" w:hAnsi="Times New Roman" w:cs="Times New Roman"/>
          <w:sz w:val="20"/>
          <w:szCs w:val="20"/>
        </w:rPr>
        <w:t>Justis</w:t>
      </w:r>
      <w:proofErr w:type="spellEnd"/>
      <w:r w:rsidRPr="009975EA">
        <w:rPr>
          <w:rFonts w:ascii="Times New Roman" w:hAnsi="Times New Roman" w:cs="Times New Roman"/>
          <w:sz w:val="20"/>
          <w:szCs w:val="20"/>
        </w:rPr>
        <w:t xml:space="preserve">, </w:t>
      </w:r>
      <w:proofErr w:type="gramStart"/>
      <w:r w:rsidRPr="00BF35A3">
        <w:rPr>
          <w:rFonts w:ascii="Times New Roman" w:hAnsi="Times New Roman" w:cs="Times New Roman"/>
          <w:i/>
          <w:sz w:val="20"/>
          <w:szCs w:val="20"/>
        </w:rPr>
        <w:t>Avoiding</w:t>
      </w:r>
      <w:proofErr w:type="gramEnd"/>
      <w:r w:rsidRPr="00BF35A3">
        <w:rPr>
          <w:rFonts w:ascii="Times New Roman" w:hAnsi="Times New Roman" w:cs="Times New Roman"/>
          <w:i/>
          <w:sz w:val="20"/>
          <w:szCs w:val="20"/>
        </w:rPr>
        <w:t xml:space="preserve"> a Minority Shareholder Oppression Claim in a Close Corporation in Missouri: The Impact of the New Close Corporation Statutes</w:t>
      </w:r>
      <w:r>
        <w:rPr>
          <w:rFonts w:ascii="Times New Roman" w:hAnsi="Times New Roman" w:cs="Times New Roman"/>
          <w:sz w:val="20"/>
          <w:szCs w:val="20"/>
        </w:rPr>
        <w:t xml:space="preserve">, 56 Mo. L. Rev. (2011) at </w:t>
      </w:r>
      <w:r w:rsidRPr="009975EA">
        <w:rPr>
          <w:rFonts w:ascii="Times New Roman" w:hAnsi="Times New Roman" w:cs="Times New Roman"/>
          <w:sz w:val="20"/>
          <w:szCs w:val="20"/>
        </w:rPr>
        <w:t>274.</w:t>
      </w:r>
    </w:p>
  </w:footnote>
  <w:footnote w:id="574">
    <w:p w14:paraId="1CF19402" w14:textId="688CC99C" w:rsidR="00D36541" w:rsidRPr="009975EA" w:rsidRDefault="00D36541" w:rsidP="00BF35A3">
      <w:pPr>
        <w:pStyle w:val="DipnotMetni"/>
        <w:tabs>
          <w:tab w:val="left" w:pos="5069"/>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Yanow</w:t>
      </w:r>
      <w:proofErr w:type="spellEnd"/>
      <w:r w:rsidRPr="009975EA">
        <w:rPr>
          <w:rFonts w:ascii="Times New Roman" w:hAnsi="Times New Roman" w:cs="Times New Roman"/>
          <w:sz w:val="20"/>
          <w:szCs w:val="20"/>
        </w:rPr>
        <w:t xml:space="preserve"> v. Teal Industries, Inc., 178 Conn. 262 (1979).</w:t>
      </w:r>
      <w:r>
        <w:rPr>
          <w:rFonts w:ascii="Times New Roman" w:hAnsi="Times New Roman" w:cs="Times New Roman"/>
          <w:sz w:val="20"/>
          <w:szCs w:val="20"/>
        </w:rPr>
        <w:tab/>
      </w:r>
    </w:p>
  </w:footnote>
  <w:footnote w:id="575">
    <w:p w14:paraId="6EF47882"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Shareholder Oppression in Texas, p.14.</w:t>
      </w:r>
    </w:p>
  </w:footnote>
  <w:footnote w:id="576">
    <w:p w14:paraId="2E16CFE9" w14:textId="74743D07" w:rsidR="00D36541" w:rsidRPr="009975EA" w:rsidRDefault="00D36541" w:rsidP="00BF35A3">
      <w:pPr>
        <w:pStyle w:val="DipnotMetni"/>
        <w:tabs>
          <w:tab w:val="left" w:pos="4104"/>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Davis v. Sheerin, 754 S.W.2d 375 (1988).</w:t>
      </w:r>
      <w:r>
        <w:rPr>
          <w:rFonts w:ascii="Times New Roman" w:hAnsi="Times New Roman" w:cs="Times New Roman"/>
          <w:sz w:val="20"/>
          <w:szCs w:val="20"/>
        </w:rPr>
        <w:tab/>
      </w:r>
    </w:p>
  </w:footnote>
  <w:footnote w:id="577">
    <w:p w14:paraId="4E0ED0DC" w14:textId="7F956D53"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Dividend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Policy</w:t>
      </w:r>
      <w:proofErr w:type="spellEnd"/>
      <w:r w:rsidRPr="009975EA">
        <w:rPr>
          <w:rFonts w:ascii="Times New Roman" w:hAnsi="Times New Roman" w:cs="Times New Roman"/>
          <w:sz w:val="20"/>
          <w:szCs w:val="20"/>
        </w:rPr>
        <w:t xml:space="preserve">, p. 848-849. </w:t>
      </w:r>
      <w:proofErr w:type="spellStart"/>
      <w:r w:rsidRPr="009975EA">
        <w:rPr>
          <w:rFonts w:ascii="Times New Roman" w:hAnsi="Times New Roman" w:cs="Times New Roman"/>
          <w:sz w:val="20"/>
          <w:szCs w:val="20"/>
        </w:rPr>
        <w:t>Gunzberg</w:t>
      </w:r>
      <w:proofErr w:type="spellEnd"/>
      <w:r w:rsidRPr="009975EA">
        <w:rPr>
          <w:rFonts w:ascii="Times New Roman" w:hAnsi="Times New Roman" w:cs="Times New Roman"/>
          <w:sz w:val="20"/>
          <w:szCs w:val="20"/>
        </w:rPr>
        <w:t xml:space="preserve"> v. Art- Lloyd Metal </w:t>
      </w:r>
      <w:proofErr w:type="spellStart"/>
      <w:r w:rsidRPr="009975EA">
        <w:rPr>
          <w:rFonts w:ascii="Times New Roman" w:hAnsi="Times New Roman" w:cs="Times New Roman"/>
          <w:sz w:val="20"/>
          <w:szCs w:val="20"/>
        </w:rPr>
        <w:t>Products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w:t>
      </w:r>
      <w:proofErr w:type="spellEnd"/>
      <w:r w:rsidRPr="009975EA">
        <w:rPr>
          <w:rFonts w:ascii="Times New Roman" w:hAnsi="Times New Roman" w:cs="Times New Roman"/>
          <w:sz w:val="20"/>
          <w:szCs w:val="20"/>
        </w:rPr>
        <w:t>., 112 A.D.2d 423 (1985): “</w:t>
      </w:r>
      <w:r w:rsidRPr="009975EA">
        <w:rPr>
          <w:rFonts w:ascii="Times New Roman" w:hAnsi="Times New Roman" w:cs="Times New Roman"/>
          <w:color w:val="000000"/>
          <w:sz w:val="20"/>
          <w:szCs w:val="20"/>
        </w:rPr>
        <w:t xml:space="preserve">As a </w:t>
      </w:r>
      <w:proofErr w:type="spellStart"/>
      <w:r w:rsidRPr="009975EA">
        <w:rPr>
          <w:rFonts w:ascii="Times New Roman" w:hAnsi="Times New Roman" w:cs="Times New Roman"/>
          <w:color w:val="000000"/>
          <w:sz w:val="20"/>
          <w:szCs w:val="20"/>
        </w:rPr>
        <w:t>result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history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taking</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active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running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demonstrated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had a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continue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employed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input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BF35A3">
        <w:rPr>
          <w:rFonts w:ascii="Times New Roman" w:hAnsi="Times New Roman" w:cs="Times New Roman"/>
          <w:color w:val="000000" w:themeColor="text1"/>
          <w:sz w:val="20"/>
          <w:szCs w:val="20"/>
        </w:rPr>
        <w:t>Matter</w:t>
      </w:r>
      <w:proofErr w:type="spellEnd"/>
      <w:r w:rsidRPr="00BF35A3">
        <w:rPr>
          <w:rFonts w:ascii="Times New Roman" w:hAnsi="Times New Roman" w:cs="Times New Roman"/>
          <w:color w:val="000000" w:themeColor="text1"/>
          <w:sz w:val="20"/>
          <w:szCs w:val="20"/>
        </w:rPr>
        <w:t xml:space="preserve"> of </w:t>
      </w:r>
      <w:proofErr w:type="spellStart"/>
      <w:r w:rsidRPr="00BF35A3">
        <w:rPr>
          <w:rFonts w:ascii="Times New Roman" w:hAnsi="Times New Roman" w:cs="Times New Roman"/>
          <w:color w:val="000000" w:themeColor="text1"/>
          <w:sz w:val="20"/>
          <w:szCs w:val="20"/>
        </w:rPr>
        <w:t>Kemp</w:t>
      </w:r>
      <w:proofErr w:type="spellEnd"/>
      <w:r w:rsidRPr="00BF35A3">
        <w:rPr>
          <w:rFonts w:ascii="Times New Roman" w:hAnsi="Times New Roman" w:cs="Times New Roman"/>
          <w:color w:val="000000" w:themeColor="text1"/>
          <w:sz w:val="20"/>
          <w:szCs w:val="20"/>
        </w:rPr>
        <w:t xml:space="preserve"> &amp; </w:t>
      </w:r>
      <w:proofErr w:type="spellStart"/>
      <w:r w:rsidRPr="00BF35A3">
        <w:rPr>
          <w:rFonts w:ascii="Times New Roman" w:hAnsi="Times New Roman" w:cs="Times New Roman"/>
          <w:color w:val="000000" w:themeColor="text1"/>
          <w:sz w:val="20"/>
          <w:szCs w:val="20"/>
        </w:rPr>
        <w:t>Beatley</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Gardstein</w:t>
      </w:r>
      <w:proofErr w:type="spellEnd"/>
      <w:r w:rsidRPr="00BF35A3">
        <w:rPr>
          <w:rFonts w:ascii="Times New Roman" w:hAnsi="Times New Roman" w:cs="Times New Roman"/>
          <w:color w:val="000000" w:themeColor="text1"/>
          <w:sz w:val="20"/>
          <w:szCs w:val="20"/>
        </w:rPr>
        <w:t>) (</w:t>
      </w:r>
      <w:proofErr w:type="spellStart"/>
      <w:r w:rsidRPr="00BF35A3">
        <w:rPr>
          <w:rFonts w:ascii="Times New Roman" w:hAnsi="Times New Roman" w:cs="Times New Roman"/>
          <w:color w:val="000000" w:themeColor="text1"/>
          <w:sz w:val="20"/>
          <w:szCs w:val="20"/>
        </w:rPr>
        <w:t>supra</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the</w:t>
      </w:r>
      <w:proofErr w:type="spellEnd"/>
      <w:r w:rsidRPr="00BF35A3">
        <w:rPr>
          <w:rFonts w:ascii="Times New Roman" w:hAnsi="Times New Roman" w:cs="Times New Roman"/>
          <w:color w:val="000000" w:themeColor="text1"/>
          <w:sz w:val="20"/>
          <w:szCs w:val="20"/>
        </w:rPr>
        <w:t xml:space="preserve"> </w:t>
      </w:r>
      <w:r w:rsidRPr="009975EA">
        <w:rPr>
          <w:rFonts w:ascii="Times New Roman" w:hAnsi="Times New Roman" w:cs="Times New Roman"/>
          <w:color w:val="000000"/>
          <w:sz w:val="20"/>
          <w:szCs w:val="20"/>
        </w:rPr>
        <w:t xml:space="preserve">Court of </w:t>
      </w:r>
      <w:proofErr w:type="spellStart"/>
      <w:r w:rsidRPr="009975EA">
        <w:rPr>
          <w:rFonts w:ascii="Times New Roman" w:hAnsi="Times New Roman" w:cs="Times New Roman"/>
          <w:color w:val="000000"/>
          <w:sz w:val="20"/>
          <w:szCs w:val="20"/>
        </w:rPr>
        <w:t>Appeals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acknowledged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realized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amount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earnings</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distributed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form of </w:t>
      </w:r>
      <w:proofErr w:type="spellStart"/>
      <w:r w:rsidRPr="009975EA">
        <w:rPr>
          <w:rFonts w:ascii="Times New Roman" w:hAnsi="Times New Roman" w:cs="Times New Roman"/>
          <w:color w:val="000000"/>
          <w:sz w:val="20"/>
          <w:szCs w:val="20"/>
        </w:rPr>
        <w:t>salaries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bonuses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retirement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benefits</w:t>
      </w:r>
      <w:proofErr w:type="spellEnd"/>
      <w:r w:rsidRPr="009975EA">
        <w:rPr>
          <w:rFonts w:ascii="Times New Roman" w:hAnsi="Times New Roman" w:cs="Times New Roman"/>
          <w:color w:val="000000"/>
          <w:sz w:val="20"/>
          <w:szCs w:val="20"/>
        </w:rPr>
        <w:t>.”</w:t>
      </w:r>
    </w:p>
  </w:footnote>
  <w:footnote w:id="578">
    <w:p w14:paraId="48EAA3FA" w14:textId="64043C2D"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Matter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Brach</w:t>
      </w:r>
      <w:proofErr w:type="spellEnd"/>
      <w:r w:rsidRPr="009975EA">
        <w:rPr>
          <w:rFonts w:ascii="Times New Roman" w:hAnsi="Times New Roman" w:cs="Times New Roman"/>
          <w:sz w:val="20"/>
          <w:szCs w:val="20"/>
        </w:rPr>
        <w:t>, 135 A.D.2d 711 (1987): “</w:t>
      </w:r>
      <w:proofErr w:type="spellStart"/>
      <w:r w:rsidRPr="009975EA">
        <w:rPr>
          <w:rFonts w:ascii="Times New Roman" w:hAnsi="Times New Roman" w:cs="Times New Roman"/>
          <w:color w:val="000000"/>
          <w:sz w:val="20"/>
          <w:szCs w:val="20"/>
        </w:rPr>
        <w:t>However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not be </w:t>
      </w:r>
      <w:proofErr w:type="spellStart"/>
      <w:r w:rsidRPr="009975EA">
        <w:rPr>
          <w:rFonts w:ascii="Times New Roman" w:hAnsi="Times New Roman" w:cs="Times New Roman"/>
          <w:color w:val="000000"/>
          <w:sz w:val="20"/>
          <w:szCs w:val="20"/>
        </w:rPr>
        <w:t>deemed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simply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subjective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hopes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desires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joining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venture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fulfilled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Disappointment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should</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necessarily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equated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’…Here,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merely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dissatisfaction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Ludmir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allegations</w:t>
      </w:r>
      <w:proofErr w:type="spellEnd"/>
      <w:r w:rsidRPr="009975EA">
        <w:rPr>
          <w:rFonts w:ascii="Times New Roman" w:hAnsi="Times New Roman" w:cs="Times New Roman"/>
          <w:color w:val="000000"/>
          <w:sz w:val="20"/>
          <w:szCs w:val="20"/>
        </w:rPr>
        <w:t xml:space="preserve"> do not </w:t>
      </w:r>
      <w:proofErr w:type="spellStart"/>
      <w:r w:rsidRPr="009975EA">
        <w:rPr>
          <w:rFonts w:ascii="Times New Roman" w:hAnsi="Times New Roman" w:cs="Times New Roman"/>
          <w:color w:val="000000"/>
          <w:sz w:val="20"/>
          <w:szCs w:val="20"/>
        </w:rPr>
        <w:t>support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finding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oppressive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substantially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defeated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xml:space="preserve">” ; Application of </w:t>
      </w:r>
      <w:proofErr w:type="spellStart"/>
      <w:r w:rsidRPr="009975EA">
        <w:rPr>
          <w:rFonts w:ascii="Times New Roman" w:hAnsi="Times New Roman" w:cs="Times New Roman"/>
          <w:sz w:val="20"/>
          <w:szCs w:val="20"/>
        </w:rPr>
        <w:t>Dubonnet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Scarfs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105 A.D.2d 339 (1985): “</w:t>
      </w:r>
      <w:proofErr w:type="spellStart"/>
      <w:r w:rsidRPr="009975EA">
        <w:rPr>
          <w:rFonts w:ascii="Times New Roman" w:hAnsi="Times New Roman" w:cs="Times New Roman"/>
          <w:color w:val="000000"/>
          <w:sz w:val="20"/>
          <w:szCs w:val="20"/>
        </w:rPr>
        <w:t>Needless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say,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closely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substantial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liquid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assets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stockholder</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personal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financial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problems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totally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unrelated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do not, in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themselves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grounds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meaning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BCL </w:t>
      </w:r>
      <w:proofErr w:type="spellStart"/>
      <w:r w:rsidRPr="009975EA">
        <w:rPr>
          <w:rFonts w:ascii="Times New Roman" w:hAnsi="Times New Roman" w:cs="Times New Roman"/>
          <w:color w:val="000000"/>
          <w:sz w:val="20"/>
          <w:szCs w:val="20"/>
        </w:rPr>
        <w:t>sections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legal </w:t>
      </w:r>
      <w:proofErr w:type="spellStart"/>
      <w:r w:rsidRPr="009975EA">
        <w:rPr>
          <w:rFonts w:ascii="Times New Roman" w:hAnsi="Times New Roman" w:cs="Times New Roman"/>
          <w:color w:val="000000"/>
          <w:sz w:val="20"/>
          <w:szCs w:val="20"/>
        </w:rPr>
        <w:t>authority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holds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is in </w:t>
      </w:r>
      <w:proofErr w:type="spellStart"/>
      <w:r w:rsidRPr="009975EA">
        <w:rPr>
          <w:rFonts w:ascii="Times New Roman" w:hAnsi="Times New Roman" w:cs="Times New Roman"/>
          <w:color w:val="000000"/>
          <w:sz w:val="20"/>
          <w:szCs w:val="20"/>
        </w:rPr>
        <w:t>personal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financial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difficulty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unrelated</w:t>
      </w:r>
      <w:proofErr w:type="spellEnd"/>
      <w:r w:rsidRPr="009975EA">
        <w:rPr>
          <w:rFonts w:ascii="Times New Roman" w:hAnsi="Times New Roman" w:cs="Times New Roman"/>
          <w:color w:val="000000"/>
          <w:sz w:val="20"/>
          <w:szCs w:val="20"/>
        </w:rPr>
        <w:t xml:space="preserve"> to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demand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bought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he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needs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satisfy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personal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creditors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demand</w:t>
      </w:r>
      <w:proofErr w:type="spellEnd"/>
      <w:r w:rsidRPr="009975EA">
        <w:rPr>
          <w:rFonts w:ascii="Times New Roman" w:hAnsi="Times New Roman" w:cs="Times New Roman"/>
          <w:color w:val="000000"/>
          <w:sz w:val="20"/>
          <w:szCs w:val="20"/>
        </w:rPr>
        <w:t xml:space="preserve"> is not </w:t>
      </w:r>
      <w:proofErr w:type="spellStart"/>
      <w:r w:rsidRPr="009975EA">
        <w:rPr>
          <w:rFonts w:ascii="Times New Roman" w:hAnsi="Times New Roman" w:cs="Times New Roman"/>
          <w:color w:val="000000"/>
          <w:sz w:val="20"/>
          <w:szCs w:val="20"/>
        </w:rPr>
        <w:t>complied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seek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579">
    <w:p w14:paraId="446DE361" w14:textId="6AEE834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Brenner v. Berkowitz, 134 N.J. 488 (1993).</w:t>
      </w:r>
    </w:p>
  </w:footnote>
  <w:footnote w:id="580">
    <w:p w14:paraId="0D8C7770" w14:textId="07BE822E"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Smith v. </w:t>
      </w:r>
      <w:proofErr w:type="spellStart"/>
      <w:r w:rsidRPr="009975EA">
        <w:rPr>
          <w:rFonts w:ascii="Times New Roman" w:hAnsi="Times New Roman" w:cs="Times New Roman"/>
          <w:sz w:val="20"/>
          <w:szCs w:val="20"/>
        </w:rPr>
        <w:t>Atlantic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Properties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xml:space="preserve">., 12 </w:t>
      </w:r>
      <w:proofErr w:type="spellStart"/>
      <w:r w:rsidRPr="009975EA">
        <w:rPr>
          <w:rFonts w:ascii="Times New Roman" w:hAnsi="Times New Roman" w:cs="Times New Roman"/>
          <w:sz w:val="20"/>
          <w:szCs w:val="20"/>
        </w:rPr>
        <w:t>Mass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App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Ct</w:t>
      </w:r>
      <w:proofErr w:type="spellEnd"/>
      <w:r w:rsidRPr="009975EA">
        <w:rPr>
          <w:rFonts w:ascii="Times New Roman" w:hAnsi="Times New Roman" w:cs="Times New Roman"/>
          <w:sz w:val="20"/>
          <w:szCs w:val="20"/>
        </w:rPr>
        <w:t>. 201 (1981): “</w:t>
      </w:r>
      <w:proofErr w:type="spellStart"/>
      <w:r w:rsidRPr="00BF35A3">
        <w:rPr>
          <w:rFonts w:ascii="Times New Roman" w:hAnsi="Times New Roman" w:cs="Times New Roman"/>
          <w:color w:val="000000" w:themeColor="text1"/>
          <w:sz w:val="20"/>
          <w:szCs w:val="20"/>
        </w:rPr>
        <w:t>In</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the</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Donahue</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case</w:t>
      </w:r>
      <w:proofErr w:type="spellEnd"/>
      <w:r w:rsidRPr="00BF35A3">
        <w:rPr>
          <w:rFonts w:ascii="Times New Roman" w:hAnsi="Times New Roman" w:cs="Times New Roman"/>
          <w:color w:val="000000" w:themeColor="text1"/>
          <w:sz w:val="20"/>
          <w:szCs w:val="20"/>
        </w:rPr>
        <w:t xml:space="preserve">, 367 </w:t>
      </w:r>
      <w:proofErr w:type="spellStart"/>
      <w:r w:rsidRPr="00BF35A3">
        <w:rPr>
          <w:rFonts w:ascii="Times New Roman" w:hAnsi="Times New Roman" w:cs="Times New Roman"/>
          <w:color w:val="000000" w:themeColor="text1"/>
          <w:sz w:val="20"/>
          <w:szCs w:val="20"/>
        </w:rPr>
        <w:t>Mass</w:t>
      </w:r>
      <w:proofErr w:type="spellEnd"/>
      <w:r w:rsidRPr="00BF35A3">
        <w:rPr>
          <w:rFonts w:ascii="Times New Roman" w:hAnsi="Times New Roman" w:cs="Times New Roman"/>
          <w:color w:val="000000" w:themeColor="text1"/>
          <w:sz w:val="20"/>
          <w:szCs w:val="20"/>
        </w:rPr>
        <w:t xml:space="preserve">. at 593 n. 17, 328 N.E.2d 505, </w:t>
      </w:r>
      <w:proofErr w:type="spellStart"/>
      <w:r w:rsidRPr="00BF35A3">
        <w:rPr>
          <w:rFonts w:ascii="Times New Roman" w:hAnsi="Times New Roman" w:cs="Times New Roman"/>
          <w:color w:val="000000" w:themeColor="text1"/>
          <w:sz w:val="20"/>
          <w:szCs w:val="20"/>
        </w:rPr>
        <w:t>the</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court</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recognized</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that</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cases</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may</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arise</w:t>
      </w:r>
      <w:proofErr w:type="spellEnd"/>
      <w:r w:rsidRPr="00BF35A3">
        <w:rPr>
          <w:rFonts w:ascii="Times New Roman" w:hAnsi="Times New Roman" w:cs="Times New Roman"/>
          <w:color w:val="000000" w:themeColor="text1"/>
          <w:sz w:val="20"/>
          <w:szCs w:val="20"/>
        </w:rPr>
        <w:t xml:space="preserve"> in </w:t>
      </w:r>
      <w:proofErr w:type="spellStart"/>
      <w:r w:rsidRPr="00BF35A3">
        <w:rPr>
          <w:rFonts w:ascii="Times New Roman" w:hAnsi="Times New Roman" w:cs="Times New Roman"/>
          <w:color w:val="000000" w:themeColor="text1"/>
          <w:sz w:val="20"/>
          <w:szCs w:val="20"/>
        </w:rPr>
        <w:t>which</w:t>
      </w:r>
      <w:proofErr w:type="spellEnd"/>
      <w:r w:rsidRPr="00BF35A3">
        <w:rPr>
          <w:rFonts w:ascii="Times New Roman" w:hAnsi="Times New Roman" w:cs="Times New Roman"/>
          <w:color w:val="000000" w:themeColor="text1"/>
          <w:sz w:val="20"/>
          <w:szCs w:val="20"/>
        </w:rPr>
        <w:t xml:space="preserve">, in a </w:t>
      </w:r>
      <w:proofErr w:type="spellStart"/>
      <w:r w:rsidRPr="00BF35A3">
        <w:rPr>
          <w:rFonts w:ascii="Times New Roman" w:hAnsi="Times New Roman" w:cs="Times New Roman"/>
          <w:color w:val="000000" w:themeColor="text1"/>
          <w:sz w:val="20"/>
          <w:szCs w:val="20"/>
        </w:rPr>
        <w:t>close</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corporation</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majority</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stockholders</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may</w:t>
      </w:r>
      <w:proofErr w:type="spellEnd"/>
      <w:r w:rsidRPr="00BF35A3">
        <w:rPr>
          <w:rFonts w:ascii="Times New Roman" w:hAnsi="Times New Roman" w:cs="Times New Roman"/>
          <w:color w:val="000000" w:themeColor="text1"/>
          <w:sz w:val="20"/>
          <w:szCs w:val="20"/>
        </w:rPr>
        <w:t xml:space="preserve"> </w:t>
      </w:r>
      <w:proofErr w:type="gramStart"/>
      <w:r w:rsidRPr="00BF35A3">
        <w:rPr>
          <w:rFonts w:ascii="Times New Roman" w:hAnsi="Times New Roman" w:cs="Times New Roman"/>
          <w:color w:val="000000" w:themeColor="text1"/>
          <w:sz w:val="20"/>
          <w:szCs w:val="20"/>
        </w:rPr>
        <w:t>ask</w:t>
      </w:r>
      <w:proofErr w:type="gram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protection</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from</w:t>
      </w:r>
      <w:proofErr w:type="spellEnd"/>
      <w:r w:rsidRPr="00BF35A3">
        <w:rPr>
          <w:rFonts w:ascii="Times New Roman" w:hAnsi="Times New Roman" w:cs="Times New Roman"/>
          <w:color w:val="000000" w:themeColor="text1"/>
          <w:sz w:val="20"/>
          <w:szCs w:val="20"/>
        </w:rPr>
        <w:t xml:space="preserve"> a </w:t>
      </w:r>
      <w:proofErr w:type="spellStart"/>
      <w:r w:rsidRPr="00BF35A3">
        <w:rPr>
          <w:rFonts w:ascii="Times New Roman" w:hAnsi="Times New Roman" w:cs="Times New Roman"/>
          <w:color w:val="000000" w:themeColor="text1"/>
          <w:sz w:val="20"/>
          <w:szCs w:val="20"/>
        </w:rPr>
        <w:t>minority</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stockholder</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Such</w:t>
      </w:r>
      <w:proofErr w:type="spellEnd"/>
      <w:r w:rsidRPr="00BF35A3">
        <w:rPr>
          <w:rFonts w:ascii="Times New Roman" w:hAnsi="Times New Roman" w:cs="Times New Roman"/>
          <w:color w:val="000000" w:themeColor="text1"/>
          <w:sz w:val="20"/>
          <w:szCs w:val="20"/>
        </w:rPr>
        <w:t xml:space="preserve"> an </w:t>
      </w:r>
      <w:proofErr w:type="spellStart"/>
      <w:r w:rsidRPr="00BF35A3">
        <w:rPr>
          <w:rFonts w:ascii="Times New Roman" w:hAnsi="Times New Roman" w:cs="Times New Roman"/>
          <w:color w:val="000000" w:themeColor="text1"/>
          <w:sz w:val="20"/>
          <w:szCs w:val="20"/>
        </w:rPr>
        <w:t>instance</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arises</w:t>
      </w:r>
      <w:proofErr w:type="spellEnd"/>
      <w:r w:rsidRPr="00BF35A3">
        <w:rPr>
          <w:rFonts w:ascii="Times New Roman" w:hAnsi="Times New Roman" w:cs="Times New Roman"/>
          <w:color w:val="000000" w:themeColor="text1"/>
          <w:sz w:val="20"/>
          <w:szCs w:val="20"/>
        </w:rPr>
        <w:t xml:space="preserve"> in </w:t>
      </w:r>
      <w:proofErr w:type="spellStart"/>
      <w:r w:rsidRPr="00BF35A3">
        <w:rPr>
          <w:rFonts w:ascii="Times New Roman" w:hAnsi="Times New Roman" w:cs="Times New Roman"/>
          <w:color w:val="000000" w:themeColor="text1"/>
          <w:sz w:val="20"/>
          <w:szCs w:val="20"/>
        </w:rPr>
        <w:t>the</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present</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case</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because</w:t>
      </w:r>
      <w:proofErr w:type="spellEnd"/>
      <w:r w:rsidRPr="00BF35A3">
        <w:rPr>
          <w:rFonts w:ascii="Times New Roman" w:hAnsi="Times New Roman" w:cs="Times New Roman"/>
          <w:color w:val="000000" w:themeColor="text1"/>
          <w:sz w:val="20"/>
          <w:szCs w:val="20"/>
        </w:rPr>
        <w:t xml:space="preserve"> Dr. </w:t>
      </w:r>
      <w:proofErr w:type="spellStart"/>
      <w:r w:rsidRPr="00BF35A3">
        <w:rPr>
          <w:rFonts w:ascii="Times New Roman" w:hAnsi="Times New Roman" w:cs="Times New Roman"/>
          <w:color w:val="000000" w:themeColor="text1"/>
          <w:sz w:val="20"/>
          <w:szCs w:val="20"/>
        </w:rPr>
        <w:t>Wolfson</w:t>
      </w:r>
      <w:proofErr w:type="spellEnd"/>
      <w:r w:rsidRPr="00BF35A3">
        <w:rPr>
          <w:rFonts w:ascii="Times New Roman" w:hAnsi="Times New Roman" w:cs="Times New Roman"/>
          <w:color w:val="000000" w:themeColor="text1"/>
          <w:sz w:val="20"/>
          <w:szCs w:val="20"/>
        </w:rPr>
        <w:t xml:space="preserve"> has </w:t>
      </w:r>
      <w:proofErr w:type="spellStart"/>
      <w:r w:rsidRPr="00BF35A3">
        <w:rPr>
          <w:rFonts w:ascii="Times New Roman" w:hAnsi="Times New Roman" w:cs="Times New Roman"/>
          <w:color w:val="000000" w:themeColor="text1"/>
          <w:sz w:val="20"/>
          <w:szCs w:val="20"/>
        </w:rPr>
        <w:t>been</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able</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to</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exercise</w:t>
      </w:r>
      <w:proofErr w:type="spellEnd"/>
      <w:r w:rsidRPr="00BF35A3">
        <w:rPr>
          <w:rFonts w:ascii="Times New Roman" w:hAnsi="Times New Roman" w:cs="Times New Roman"/>
          <w:color w:val="000000" w:themeColor="text1"/>
          <w:sz w:val="20"/>
          <w:szCs w:val="20"/>
        </w:rPr>
        <w:t xml:space="preserve"> a veto </w:t>
      </w:r>
      <w:proofErr w:type="spellStart"/>
      <w:r w:rsidRPr="00BF35A3">
        <w:rPr>
          <w:rFonts w:ascii="Times New Roman" w:hAnsi="Times New Roman" w:cs="Times New Roman"/>
          <w:color w:val="000000" w:themeColor="text1"/>
          <w:sz w:val="20"/>
          <w:szCs w:val="20"/>
        </w:rPr>
        <w:t>concerning</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corporate</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action</w:t>
      </w:r>
      <w:proofErr w:type="spellEnd"/>
      <w:r w:rsidRPr="00BF35A3">
        <w:rPr>
          <w:rFonts w:ascii="Times New Roman" w:hAnsi="Times New Roman" w:cs="Times New Roman"/>
          <w:color w:val="000000" w:themeColor="text1"/>
          <w:sz w:val="20"/>
          <w:szCs w:val="20"/>
        </w:rPr>
        <w:t xml:space="preserve"> on </w:t>
      </w:r>
      <w:proofErr w:type="spellStart"/>
      <w:r w:rsidRPr="00BF35A3">
        <w:rPr>
          <w:rFonts w:ascii="Times New Roman" w:hAnsi="Times New Roman" w:cs="Times New Roman"/>
          <w:color w:val="000000" w:themeColor="text1"/>
          <w:sz w:val="20"/>
          <w:szCs w:val="20"/>
        </w:rPr>
        <w:t>dividends</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by</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the</w:t>
      </w:r>
      <w:proofErr w:type="spellEnd"/>
      <w:r w:rsidRPr="00BF35A3">
        <w:rPr>
          <w:rFonts w:ascii="Times New Roman" w:hAnsi="Times New Roman" w:cs="Times New Roman"/>
          <w:color w:val="000000" w:themeColor="text1"/>
          <w:sz w:val="20"/>
          <w:szCs w:val="20"/>
        </w:rPr>
        <w:t xml:space="preserve"> 80% </w:t>
      </w:r>
      <w:proofErr w:type="spellStart"/>
      <w:r w:rsidRPr="00BF35A3">
        <w:rPr>
          <w:rFonts w:ascii="Times New Roman" w:hAnsi="Times New Roman" w:cs="Times New Roman"/>
          <w:color w:val="000000" w:themeColor="text1"/>
          <w:sz w:val="20"/>
          <w:szCs w:val="20"/>
        </w:rPr>
        <w:t>provision</w:t>
      </w:r>
      <w:proofErr w:type="spellEnd"/>
      <w:r w:rsidRPr="00BF35A3">
        <w:rPr>
          <w:rFonts w:ascii="Times New Roman" w:hAnsi="Times New Roman" w:cs="Times New Roman"/>
          <w:color w:val="000000" w:themeColor="text1"/>
          <w:sz w:val="20"/>
          <w:szCs w:val="20"/>
        </w:rPr>
        <w:t xml:space="preserve"> (in </w:t>
      </w:r>
      <w:proofErr w:type="spellStart"/>
      <w:r w:rsidRPr="00BF35A3">
        <w:rPr>
          <w:rFonts w:ascii="Times New Roman" w:hAnsi="Times New Roman" w:cs="Times New Roman"/>
          <w:color w:val="000000" w:themeColor="text1"/>
          <w:sz w:val="20"/>
          <w:szCs w:val="20"/>
        </w:rPr>
        <w:t>Atlantic's</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articles</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or</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organization</w:t>
      </w:r>
      <w:proofErr w:type="spellEnd"/>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and</w:t>
      </w:r>
      <w:proofErr w:type="spellEnd"/>
      <w:r w:rsidRPr="00BF35A3">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sz w:val="20"/>
          <w:szCs w:val="20"/>
        </w:rPr>
        <w:t>by-laws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already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quoted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80% </w:t>
      </w:r>
      <w:proofErr w:type="spellStart"/>
      <w:r w:rsidRPr="009975EA">
        <w:rPr>
          <w:rFonts w:ascii="Times New Roman" w:hAnsi="Times New Roman" w:cs="Times New Roman"/>
          <w:color w:val="000000"/>
          <w:sz w:val="20"/>
          <w:szCs w:val="20"/>
        </w:rPr>
        <w:t>provision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substantially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effect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reversing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usual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roles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becomes</w:t>
      </w:r>
      <w:proofErr w:type="spellEnd"/>
      <w:r w:rsidRPr="009975EA">
        <w:rPr>
          <w:rFonts w:ascii="Times New Roman" w:hAnsi="Times New Roman" w:cs="Times New Roman"/>
          <w:color w:val="000000"/>
          <w:sz w:val="20"/>
          <w:szCs w:val="20"/>
        </w:rPr>
        <w:t xml:space="preserve"> an ad hoc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xml:space="preserve">; J Bar H,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v. Johnson, 822 P2d 849 (1991): “</w:t>
      </w:r>
      <w:proofErr w:type="spellStart"/>
      <w:r w:rsidRPr="009975EA">
        <w:rPr>
          <w:rFonts w:ascii="Times New Roman" w:hAnsi="Times New Roman" w:cs="Times New Roman"/>
          <w:color w:val="000000"/>
          <w:sz w:val="20"/>
          <w:szCs w:val="20"/>
        </w:rPr>
        <w:t>Although</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Joanna</w:t>
      </w:r>
      <w:proofErr w:type="spellEnd"/>
      <w:r w:rsidRPr="009975EA">
        <w:rPr>
          <w:rFonts w:ascii="Times New Roman" w:hAnsi="Times New Roman" w:cs="Times New Roman"/>
          <w:color w:val="000000"/>
          <w:sz w:val="20"/>
          <w:szCs w:val="20"/>
        </w:rPr>
        <w:t xml:space="preserve"> Johnson </w:t>
      </w:r>
      <w:proofErr w:type="spellStart"/>
      <w:r w:rsidRPr="009975EA">
        <w:rPr>
          <w:rFonts w:ascii="Times New Roman" w:hAnsi="Times New Roman" w:cs="Times New Roman"/>
          <w:color w:val="000000"/>
          <w:sz w:val="20"/>
          <w:szCs w:val="20"/>
        </w:rPr>
        <w:t>could</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technically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considered</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since </w:t>
      </w:r>
      <w:proofErr w:type="spellStart"/>
      <w:r w:rsidRPr="009975EA">
        <w:rPr>
          <w:rFonts w:ascii="Times New Roman" w:hAnsi="Times New Roman" w:cs="Times New Roman"/>
          <w:color w:val="000000"/>
          <w:sz w:val="20"/>
          <w:szCs w:val="20"/>
        </w:rPr>
        <w:t>she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fifty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percent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although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technically</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since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Articles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Incorporation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did</w:t>
      </w:r>
      <w:proofErr w:type="spellEnd"/>
      <w:r w:rsidRPr="009975EA">
        <w:rPr>
          <w:rFonts w:ascii="Times New Roman" w:hAnsi="Times New Roman" w:cs="Times New Roman"/>
          <w:color w:val="000000"/>
          <w:sz w:val="20"/>
          <w:szCs w:val="20"/>
        </w:rPr>
        <w:t xml:space="preserve"> not say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Johnson's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position</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detailed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restrictions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placed</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sale</w:t>
      </w:r>
      <w:proofErr w:type="spellEnd"/>
      <w:r w:rsidRPr="009975EA">
        <w:rPr>
          <w:rFonts w:ascii="Times New Roman" w:hAnsi="Times New Roman" w:cs="Times New Roman"/>
          <w:color w:val="000000"/>
          <w:sz w:val="20"/>
          <w:szCs w:val="20"/>
        </w:rPr>
        <w:t xml:space="preserve"> of her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her </w:t>
      </w:r>
      <w:proofErr w:type="spellStart"/>
      <w:r w:rsidRPr="009975EA">
        <w:rPr>
          <w:rFonts w:ascii="Times New Roman" w:hAnsi="Times New Roman" w:cs="Times New Roman"/>
          <w:color w:val="000000"/>
          <w:sz w:val="20"/>
          <w:szCs w:val="20"/>
        </w:rPr>
        <w:t>lack</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acumen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of Don </w:t>
      </w:r>
      <w:proofErr w:type="spellStart"/>
      <w:r w:rsidRPr="009975EA">
        <w:rPr>
          <w:rFonts w:ascii="Times New Roman" w:hAnsi="Times New Roman" w:cs="Times New Roman"/>
          <w:color w:val="000000"/>
          <w:sz w:val="20"/>
          <w:szCs w:val="20"/>
        </w:rPr>
        <w:t>Harger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allowed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Hargers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practice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sort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described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treatise</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581">
    <w:p w14:paraId="36504CE2" w14:textId="701BDC13"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critical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dissolution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initiated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majority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re Security Finance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49 Cal.2d 370 (1957):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representing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fifty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w:t>
      </w:r>
      <w:proofErr w:type="spellEnd"/>
      <w:r w:rsidRPr="009975EA">
        <w:rPr>
          <w:rFonts w:ascii="Times New Roman" w:hAnsi="Times New Roman" w:cs="Times New Roman"/>
          <w:color w:val="000000"/>
          <w:sz w:val="20"/>
          <w:szCs w:val="20"/>
        </w:rPr>
        <w:t xml:space="preserve"> do not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absolute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section</w:t>
      </w:r>
      <w:proofErr w:type="spellEnd"/>
      <w:r w:rsidRPr="009975EA">
        <w:rPr>
          <w:rFonts w:ascii="Times New Roman" w:hAnsi="Times New Roman" w:cs="Times New Roman"/>
          <w:color w:val="000000"/>
          <w:sz w:val="20"/>
          <w:szCs w:val="20"/>
        </w:rPr>
        <w:t xml:space="preserve"> 4600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dissolve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dissolve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defraud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freeze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w:t>
      </w:r>
    </w:p>
  </w:footnote>
  <w:footnote w:id="582">
    <w:p w14:paraId="5A9DE864" w14:textId="797AE1A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Note that these requirements may change depending on the definition that the jurisdiction have adopted for oppression. For example, Mississippi law accepts that the “corporate freeze out is an intentional tort that is committed with willful and wanton disregard for the right of shareholder who is frozen out” (</w:t>
      </w:r>
      <w:proofErr w:type="spellStart"/>
      <w:r w:rsidRPr="009975EA">
        <w:rPr>
          <w:rFonts w:ascii="Times New Roman" w:hAnsi="Times New Roman" w:cs="Times New Roman"/>
          <w:sz w:val="20"/>
          <w:szCs w:val="20"/>
        </w:rPr>
        <w:t>Missala</w:t>
      </w:r>
      <w:proofErr w:type="spellEnd"/>
      <w:r w:rsidRPr="009975EA">
        <w:rPr>
          <w:rFonts w:ascii="Times New Roman" w:hAnsi="Times New Roman" w:cs="Times New Roman"/>
          <w:sz w:val="20"/>
          <w:szCs w:val="20"/>
        </w:rPr>
        <w:t xml:space="preserve"> Marine Services, Inc. v. Odom, 861 So.2d 290 (2003)), and courts opine that the traditional elements for an intentional tort claim, which includes the “intentional or </w:t>
      </w:r>
      <w:proofErr w:type="spellStart"/>
      <w:r w:rsidRPr="009975EA">
        <w:rPr>
          <w:rFonts w:ascii="Times New Roman" w:hAnsi="Times New Roman" w:cs="Times New Roman"/>
          <w:sz w:val="20"/>
          <w:szCs w:val="20"/>
        </w:rPr>
        <w:t>wilfull</w:t>
      </w:r>
      <w:proofErr w:type="spellEnd"/>
      <w:r w:rsidRPr="009975EA">
        <w:rPr>
          <w:rFonts w:ascii="Times New Roman" w:hAnsi="Times New Roman" w:cs="Times New Roman"/>
          <w:sz w:val="20"/>
          <w:szCs w:val="20"/>
        </w:rPr>
        <w:t xml:space="preserve"> breach of the duty” element, should be established by the plaintiff (Brothers v. Winstead, 129 So.3d 906 (2014)).</w:t>
      </w:r>
    </w:p>
  </w:footnote>
  <w:footnote w:id="583">
    <w:p w14:paraId="7CBDB100" w14:textId="6413734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Reget</w:t>
      </w:r>
      <w:proofErr w:type="spellEnd"/>
      <w:r w:rsidRPr="009975EA">
        <w:rPr>
          <w:rFonts w:ascii="Times New Roman" w:hAnsi="Times New Roman" w:cs="Times New Roman"/>
          <w:sz w:val="20"/>
          <w:szCs w:val="20"/>
        </w:rPr>
        <w:t xml:space="preserve"> v. Paige, 242 Wis. 2d 278 (2001).</w:t>
      </w:r>
    </w:p>
  </w:footnote>
  <w:footnote w:id="584">
    <w:p w14:paraId="21DDE296" w14:textId="2BDF5AD5"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Mardikos</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Arger</w:t>
      </w:r>
      <w:proofErr w:type="spellEnd"/>
      <w:r w:rsidRPr="009975EA">
        <w:rPr>
          <w:rFonts w:ascii="Times New Roman" w:hAnsi="Times New Roman" w:cs="Times New Roman"/>
          <w:sz w:val="20"/>
          <w:szCs w:val="20"/>
        </w:rPr>
        <w:t>, 457 N.Y.S.2d 371 (1982): “</w:t>
      </w:r>
      <w:r w:rsidRPr="009975EA">
        <w:rPr>
          <w:rFonts w:ascii="Times New Roman" w:hAnsi="Times New Roman" w:cs="Times New Roman"/>
          <w:color w:val="000000"/>
          <w:sz w:val="20"/>
          <w:szCs w:val="20"/>
        </w:rPr>
        <w:t xml:space="preserve">Here,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alleges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unfair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his son, </w:t>
      </w:r>
      <w:proofErr w:type="spellStart"/>
      <w:r w:rsidRPr="009975EA">
        <w:rPr>
          <w:rFonts w:ascii="Times New Roman" w:hAnsi="Times New Roman" w:cs="Times New Roman"/>
          <w:color w:val="000000"/>
          <w:sz w:val="20"/>
          <w:szCs w:val="20"/>
        </w:rPr>
        <w:t>unknown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employed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secretly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organized</w:t>
      </w:r>
      <w:proofErr w:type="spellEnd"/>
      <w:r w:rsidRPr="009975EA">
        <w:rPr>
          <w:rFonts w:ascii="Times New Roman" w:hAnsi="Times New Roman" w:cs="Times New Roman"/>
          <w:color w:val="000000"/>
          <w:sz w:val="20"/>
          <w:szCs w:val="20"/>
        </w:rPr>
        <w:t xml:space="preserve"> his </w:t>
      </w:r>
      <w:proofErr w:type="spellStart"/>
      <w:r w:rsidRPr="009975EA">
        <w:rPr>
          <w:rFonts w:ascii="Times New Roman" w:hAnsi="Times New Roman" w:cs="Times New Roman"/>
          <w:color w:val="000000"/>
          <w:sz w:val="20"/>
          <w:szCs w:val="20"/>
        </w:rPr>
        <w:t>own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his </w:t>
      </w:r>
      <w:proofErr w:type="spellStart"/>
      <w:r w:rsidRPr="009975EA">
        <w:rPr>
          <w:rFonts w:ascii="Times New Roman" w:hAnsi="Times New Roman" w:cs="Times New Roman"/>
          <w:color w:val="000000"/>
          <w:sz w:val="20"/>
          <w:szCs w:val="20"/>
        </w:rPr>
        <w:t>father's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endorsement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compete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subject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lawsuit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Though</w:t>
      </w:r>
      <w:proofErr w:type="spellEnd"/>
      <w:r w:rsidRPr="009975EA">
        <w:rPr>
          <w:rFonts w:ascii="Times New Roman" w:hAnsi="Times New Roman" w:cs="Times New Roman"/>
          <w:color w:val="000000"/>
          <w:sz w:val="20"/>
          <w:szCs w:val="20"/>
        </w:rPr>
        <w:t xml:space="preserve"> not a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factor</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determining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fairness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traditional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words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approach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clean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hands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585">
    <w:p w14:paraId="7C600FA9" w14:textId="77777777" w:rsidR="00D36541" w:rsidRPr="00BF35A3" w:rsidRDefault="00D36541" w:rsidP="009975EA">
      <w:pPr>
        <w:pStyle w:val="DipnotMetni"/>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BF35A3">
        <w:rPr>
          <w:rFonts w:ascii="Times New Roman" w:hAnsi="Times New Roman" w:cs="Times New Roman"/>
          <w:color w:val="000000" w:themeColor="text1"/>
          <w:sz w:val="20"/>
          <w:szCs w:val="20"/>
        </w:rPr>
        <w:t>Fix v. Fix Material Co., Inc., 538 S.W.2d 351 (1976).</w:t>
      </w:r>
    </w:p>
  </w:footnote>
  <w:footnote w:id="586">
    <w:p w14:paraId="0C45D297" w14:textId="77777777" w:rsidR="00D36541" w:rsidRPr="009975EA" w:rsidRDefault="00D36541" w:rsidP="009975EA">
      <w:pPr>
        <w:pStyle w:val="p1"/>
        <w:jc w:val="both"/>
        <w:rPr>
          <w:rFonts w:ascii="Times New Roman" w:hAnsi="Times New Roman" w:cs="Times New Roman"/>
          <w:color w:val="212121"/>
          <w:sz w:val="20"/>
          <w:szCs w:val="20"/>
        </w:rPr>
      </w:pPr>
      <w:r w:rsidRPr="00BF35A3">
        <w:rPr>
          <w:rStyle w:val="DipnotBavurusu"/>
          <w:rFonts w:ascii="Times New Roman" w:hAnsi="Times New Roman" w:cs="Times New Roman"/>
          <w:color w:val="000000" w:themeColor="text1"/>
          <w:sz w:val="20"/>
          <w:szCs w:val="20"/>
        </w:rPr>
        <w:footnoteRef/>
      </w:r>
      <w:r w:rsidRPr="00BF35A3">
        <w:rPr>
          <w:rFonts w:ascii="Times New Roman" w:hAnsi="Times New Roman" w:cs="Times New Roman"/>
          <w:color w:val="000000" w:themeColor="text1"/>
          <w:sz w:val="20"/>
          <w:szCs w:val="20"/>
        </w:rPr>
        <w:t xml:space="preserve"> </w:t>
      </w:r>
      <w:proofErr w:type="spellStart"/>
      <w:r w:rsidRPr="00BF35A3">
        <w:rPr>
          <w:rFonts w:ascii="Times New Roman" w:hAnsi="Times New Roman" w:cs="Times New Roman"/>
          <w:color w:val="000000" w:themeColor="text1"/>
          <w:sz w:val="20"/>
          <w:szCs w:val="20"/>
        </w:rPr>
        <w:t>Gray</w:t>
      </w:r>
      <w:proofErr w:type="spellEnd"/>
      <w:r w:rsidRPr="00BF35A3">
        <w:rPr>
          <w:rFonts w:ascii="Times New Roman" w:hAnsi="Times New Roman" w:cs="Times New Roman"/>
          <w:color w:val="000000" w:themeColor="text1"/>
          <w:sz w:val="20"/>
          <w:szCs w:val="20"/>
        </w:rPr>
        <w:t xml:space="preserve"> v. </w:t>
      </w:r>
      <w:proofErr w:type="spellStart"/>
      <w:r w:rsidRPr="00BF35A3">
        <w:rPr>
          <w:rFonts w:ascii="Times New Roman" w:hAnsi="Times New Roman" w:cs="Times New Roman"/>
          <w:color w:val="000000" w:themeColor="text1"/>
          <w:sz w:val="20"/>
          <w:szCs w:val="20"/>
        </w:rPr>
        <w:t>Hall</w:t>
      </w:r>
      <w:proofErr w:type="spellEnd"/>
      <w:r w:rsidRPr="00BF35A3">
        <w:rPr>
          <w:rFonts w:ascii="Times New Roman" w:hAnsi="Times New Roman" w:cs="Times New Roman"/>
          <w:color w:val="000000" w:themeColor="text1"/>
          <w:sz w:val="20"/>
          <w:szCs w:val="20"/>
        </w:rPr>
        <w:t>, 10 III.App.3d 1030 (1973): “</w:t>
      </w:r>
      <w:r w:rsidRPr="009975EA">
        <w:rPr>
          <w:rFonts w:ascii="Times New Roman" w:hAnsi="Times New Roman" w:cs="Times New Roman"/>
          <w:color w:val="212121"/>
          <w:sz w:val="20"/>
          <w:szCs w:val="20"/>
        </w:rPr>
        <w:t xml:space="preserve">As </w:t>
      </w:r>
      <w:proofErr w:type="spellStart"/>
      <w:r w:rsidRPr="009975EA">
        <w:rPr>
          <w:rFonts w:ascii="Times New Roman" w:hAnsi="Times New Roman" w:cs="Times New Roman"/>
          <w:color w:val="212121"/>
          <w:sz w:val="20"/>
          <w:szCs w:val="20"/>
        </w:rPr>
        <w:t>we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read</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this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definition</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actions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which</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might</w:t>
      </w:r>
      <w:proofErr w:type="spellEnd"/>
      <w:r w:rsidRPr="009975EA">
        <w:rPr>
          <w:rFonts w:ascii="Times New Roman" w:hAnsi="Times New Roman" w:cs="Times New Roman"/>
          <w:color w:val="212121"/>
          <w:sz w:val="20"/>
          <w:szCs w:val="20"/>
        </w:rPr>
        <w:t xml:space="preserve"> be </w:t>
      </w:r>
      <w:proofErr w:type="spellStart"/>
      <w:r w:rsidRPr="009975EA">
        <w:rPr>
          <w:rFonts w:ascii="Times New Roman" w:hAnsi="Times New Roman" w:cs="Times New Roman"/>
          <w:color w:val="212121"/>
          <w:sz w:val="20"/>
          <w:szCs w:val="20"/>
        </w:rPr>
        <w:t>oppressive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under</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one</w:t>
      </w:r>
      <w:proofErr w:type="spellEnd"/>
      <w:r w:rsidRPr="009975EA">
        <w:rPr>
          <w:rFonts w:ascii="Times New Roman" w:hAnsi="Times New Roman" w:cs="Times New Roman"/>
          <w:color w:val="212121"/>
          <w:sz w:val="20"/>
          <w:szCs w:val="20"/>
        </w:rPr>
        <w:t xml:space="preserve"> set of </w:t>
      </w:r>
      <w:proofErr w:type="spellStart"/>
      <w:r w:rsidRPr="009975EA">
        <w:rPr>
          <w:rFonts w:ascii="Times New Roman" w:hAnsi="Times New Roman" w:cs="Times New Roman"/>
          <w:color w:val="212121"/>
          <w:sz w:val="20"/>
          <w:szCs w:val="20"/>
        </w:rPr>
        <w:t>circumstances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would</w:t>
      </w:r>
      <w:proofErr w:type="spellEnd"/>
      <w:r w:rsidRPr="009975EA">
        <w:rPr>
          <w:rFonts w:ascii="Times New Roman" w:hAnsi="Times New Roman" w:cs="Times New Roman"/>
          <w:color w:val="212121"/>
          <w:sz w:val="20"/>
          <w:szCs w:val="20"/>
        </w:rPr>
        <w:t xml:space="preserve"> not be </w:t>
      </w:r>
      <w:proofErr w:type="spellStart"/>
      <w:r w:rsidRPr="009975EA">
        <w:rPr>
          <w:rFonts w:ascii="Times New Roman" w:hAnsi="Times New Roman" w:cs="Times New Roman"/>
          <w:color w:val="212121"/>
          <w:sz w:val="20"/>
          <w:szCs w:val="20"/>
        </w:rPr>
        <w:t>oppressive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under</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others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For</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instance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paying</w:t>
      </w:r>
      <w:proofErr w:type="spellEnd"/>
      <w:r w:rsidRPr="009975EA">
        <w:rPr>
          <w:rFonts w:ascii="Times New Roman" w:hAnsi="Times New Roman" w:cs="Times New Roman"/>
          <w:color w:val="212121"/>
          <w:sz w:val="20"/>
          <w:szCs w:val="20"/>
        </w:rPr>
        <w:t xml:space="preserve"> of </w:t>
      </w:r>
      <w:proofErr w:type="spellStart"/>
      <w:r w:rsidRPr="009975EA">
        <w:rPr>
          <w:rFonts w:ascii="Times New Roman" w:hAnsi="Times New Roman" w:cs="Times New Roman"/>
          <w:color w:val="212121"/>
          <w:sz w:val="20"/>
          <w:szCs w:val="20"/>
        </w:rPr>
        <w:t>large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salaries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to</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corporate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officers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might</w:t>
      </w:r>
      <w:proofErr w:type="spellEnd"/>
      <w:r w:rsidRPr="009975EA">
        <w:rPr>
          <w:rFonts w:ascii="Times New Roman" w:hAnsi="Times New Roman" w:cs="Times New Roman"/>
          <w:color w:val="212121"/>
          <w:sz w:val="20"/>
          <w:szCs w:val="20"/>
        </w:rPr>
        <w:t xml:space="preserve"> be </w:t>
      </w:r>
      <w:proofErr w:type="spellStart"/>
      <w:r w:rsidRPr="009975EA">
        <w:rPr>
          <w:rFonts w:ascii="Times New Roman" w:hAnsi="Times New Roman" w:cs="Times New Roman"/>
          <w:color w:val="212121"/>
          <w:sz w:val="20"/>
          <w:szCs w:val="20"/>
        </w:rPr>
        <w:t>justified</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where</w:t>
      </w:r>
      <w:proofErr w:type="spellEnd"/>
      <w:r w:rsidRPr="009975EA">
        <w:rPr>
          <w:rFonts w:ascii="Times New Roman" w:hAnsi="Times New Roman" w:cs="Times New Roman"/>
          <w:color w:val="212121"/>
          <w:sz w:val="20"/>
          <w:szCs w:val="20"/>
        </w:rPr>
        <w:t xml:space="preserve"> a </w:t>
      </w:r>
      <w:proofErr w:type="spellStart"/>
      <w:r w:rsidRPr="009975EA">
        <w:rPr>
          <w:rFonts w:ascii="Times New Roman" w:hAnsi="Times New Roman" w:cs="Times New Roman"/>
          <w:color w:val="212121"/>
          <w:sz w:val="20"/>
          <w:szCs w:val="20"/>
        </w:rPr>
        <w:t>corporation</w:t>
      </w:r>
      <w:proofErr w:type="spellEnd"/>
      <w:r w:rsidRPr="009975EA">
        <w:rPr>
          <w:rFonts w:ascii="Times New Roman" w:hAnsi="Times New Roman" w:cs="Times New Roman"/>
          <w:color w:val="212121"/>
          <w:sz w:val="20"/>
          <w:szCs w:val="20"/>
        </w:rPr>
        <w:t xml:space="preserve"> has </w:t>
      </w:r>
      <w:proofErr w:type="spellStart"/>
      <w:r w:rsidRPr="009975EA">
        <w:rPr>
          <w:rFonts w:ascii="Times New Roman" w:hAnsi="Times New Roman" w:cs="Times New Roman"/>
          <w:color w:val="212121"/>
          <w:sz w:val="20"/>
          <w:szCs w:val="20"/>
        </w:rPr>
        <w:t>large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retained</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earnings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This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same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behavior</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might</w:t>
      </w:r>
      <w:proofErr w:type="spellEnd"/>
      <w:r w:rsidRPr="009975EA">
        <w:rPr>
          <w:rFonts w:ascii="Times New Roman" w:hAnsi="Times New Roman" w:cs="Times New Roman"/>
          <w:color w:val="212121"/>
          <w:sz w:val="20"/>
          <w:szCs w:val="20"/>
        </w:rPr>
        <w:t xml:space="preserve"> be </w:t>
      </w:r>
      <w:proofErr w:type="spellStart"/>
      <w:r w:rsidRPr="009975EA">
        <w:rPr>
          <w:rFonts w:ascii="Times New Roman" w:hAnsi="Times New Roman" w:cs="Times New Roman"/>
          <w:color w:val="212121"/>
          <w:sz w:val="20"/>
          <w:szCs w:val="20"/>
        </w:rPr>
        <w:t>oppressive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where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corporation</w:t>
      </w:r>
      <w:proofErr w:type="spellEnd"/>
      <w:r w:rsidRPr="009975EA">
        <w:rPr>
          <w:rFonts w:ascii="Times New Roman" w:hAnsi="Times New Roman" w:cs="Times New Roman"/>
          <w:color w:val="212121"/>
          <w:sz w:val="20"/>
          <w:szCs w:val="20"/>
        </w:rPr>
        <w:t xml:space="preserve"> is </w:t>
      </w:r>
      <w:proofErr w:type="spellStart"/>
      <w:r w:rsidRPr="009975EA">
        <w:rPr>
          <w:rFonts w:ascii="Times New Roman" w:hAnsi="Times New Roman" w:cs="Times New Roman"/>
          <w:color w:val="212121"/>
          <w:sz w:val="20"/>
          <w:szCs w:val="20"/>
        </w:rPr>
        <w:t>unable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to</w:t>
      </w:r>
      <w:proofErr w:type="spellEnd"/>
      <w:r w:rsidRPr="009975EA">
        <w:rPr>
          <w:rFonts w:ascii="Times New Roman" w:hAnsi="Times New Roman" w:cs="Times New Roman"/>
          <w:color w:val="212121"/>
          <w:sz w:val="20"/>
          <w:szCs w:val="20"/>
        </w:rPr>
        <w:t xml:space="preserve"> pay </w:t>
      </w:r>
      <w:proofErr w:type="spellStart"/>
      <w:r w:rsidRPr="009975EA">
        <w:rPr>
          <w:rFonts w:ascii="Times New Roman" w:hAnsi="Times New Roman" w:cs="Times New Roman"/>
          <w:color w:val="212121"/>
          <w:sz w:val="20"/>
          <w:szCs w:val="20"/>
        </w:rPr>
        <w:t>dividends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to</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minority</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stockholders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due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to</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large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salaries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drawn</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by</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officer-majority</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stockholders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Similarly</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non-payment</w:t>
      </w:r>
      <w:proofErr w:type="spellEnd"/>
      <w:r w:rsidRPr="009975EA">
        <w:rPr>
          <w:rFonts w:ascii="Times New Roman" w:hAnsi="Times New Roman" w:cs="Times New Roman"/>
          <w:color w:val="212121"/>
          <w:sz w:val="20"/>
          <w:szCs w:val="20"/>
        </w:rPr>
        <w:t xml:space="preserve"> of </w:t>
      </w:r>
      <w:proofErr w:type="spellStart"/>
      <w:r w:rsidRPr="009975EA">
        <w:rPr>
          <w:rFonts w:ascii="Times New Roman" w:hAnsi="Times New Roman" w:cs="Times New Roman"/>
          <w:color w:val="212121"/>
          <w:sz w:val="20"/>
          <w:szCs w:val="20"/>
        </w:rPr>
        <w:t>dividends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might</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indicate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oppressive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behavior</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where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corporation</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retains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large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amounts</w:t>
      </w:r>
      <w:proofErr w:type="spellEnd"/>
      <w:r w:rsidRPr="009975EA">
        <w:rPr>
          <w:rFonts w:ascii="Times New Roman" w:hAnsi="Times New Roman" w:cs="Times New Roman"/>
          <w:color w:val="212121"/>
          <w:sz w:val="20"/>
          <w:szCs w:val="20"/>
        </w:rPr>
        <w:t xml:space="preserve"> of </w:t>
      </w:r>
      <w:proofErr w:type="spellStart"/>
      <w:r w:rsidRPr="009975EA">
        <w:rPr>
          <w:rFonts w:ascii="Times New Roman" w:hAnsi="Times New Roman" w:cs="Times New Roman"/>
          <w:color w:val="212121"/>
          <w:sz w:val="20"/>
          <w:szCs w:val="20"/>
        </w:rPr>
        <w:t>earnings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for</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no</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apparent</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reason</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except</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to</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freeze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out</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minority</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stockholders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non-payment</w:t>
      </w:r>
      <w:proofErr w:type="spellEnd"/>
      <w:r w:rsidRPr="009975EA">
        <w:rPr>
          <w:rFonts w:ascii="Times New Roman" w:hAnsi="Times New Roman" w:cs="Times New Roman"/>
          <w:color w:val="212121"/>
          <w:sz w:val="20"/>
          <w:szCs w:val="20"/>
        </w:rPr>
        <w:t xml:space="preserve"> of </w:t>
      </w:r>
      <w:proofErr w:type="spellStart"/>
      <w:r w:rsidRPr="009975EA">
        <w:rPr>
          <w:rFonts w:ascii="Times New Roman" w:hAnsi="Times New Roman" w:cs="Times New Roman"/>
          <w:color w:val="212121"/>
          <w:sz w:val="20"/>
          <w:szCs w:val="20"/>
        </w:rPr>
        <w:t>dividends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by</w:t>
      </w:r>
      <w:proofErr w:type="spellEnd"/>
      <w:r w:rsidRPr="009975EA">
        <w:rPr>
          <w:rFonts w:ascii="Times New Roman" w:hAnsi="Times New Roman" w:cs="Times New Roman"/>
          <w:color w:val="212121"/>
          <w:sz w:val="20"/>
          <w:szCs w:val="20"/>
        </w:rPr>
        <w:t xml:space="preserve"> a </w:t>
      </w:r>
      <w:proofErr w:type="spellStart"/>
      <w:r w:rsidRPr="009975EA">
        <w:rPr>
          <w:rFonts w:ascii="Times New Roman" w:hAnsi="Times New Roman" w:cs="Times New Roman"/>
          <w:color w:val="212121"/>
          <w:sz w:val="20"/>
          <w:szCs w:val="20"/>
        </w:rPr>
        <w:t>corporation</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cannot</w:t>
      </w:r>
      <w:proofErr w:type="spellEnd"/>
      <w:r w:rsidRPr="009975EA">
        <w:rPr>
          <w:rFonts w:ascii="Times New Roman" w:hAnsi="Times New Roman" w:cs="Times New Roman"/>
          <w:color w:val="212121"/>
          <w:sz w:val="20"/>
          <w:szCs w:val="20"/>
        </w:rPr>
        <w:t xml:space="preserve"> be </w:t>
      </w:r>
      <w:proofErr w:type="spellStart"/>
      <w:r w:rsidRPr="009975EA">
        <w:rPr>
          <w:rFonts w:ascii="Times New Roman" w:hAnsi="Times New Roman" w:cs="Times New Roman"/>
          <w:color w:val="212121"/>
          <w:sz w:val="20"/>
          <w:szCs w:val="20"/>
        </w:rPr>
        <w:t>determined</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to</w:t>
      </w:r>
      <w:proofErr w:type="spellEnd"/>
      <w:r w:rsidRPr="009975EA">
        <w:rPr>
          <w:rFonts w:ascii="Times New Roman" w:hAnsi="Times New Roman" w:cs="Times New Roman"/>
          <w:color w:val="212121"/>
          <w:sz w:val="20"/>
          <w:szCs w:val="20"/>
        </w:rPr>
        <w:t xml:space="preserve"> be </w:t>
      </w:r>
      <w:proofErr w:type="spellStart"/>
      <w:r w:rsidRPr="009975EA">
        <w:rPr>
          <w:rFonts w:ascii="Times New Roman" w:hAnsi="Times New Roman" w:cs="Times New Roman"/>
          <w:color w:val="212121"/>
          <w:sz w:val="20"/>
          <w:szCs w:val="20"/>
        </w:rPr>
        <w:t>oppressive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except</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when</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viewed</w:t>
      </w:r>
      <w:proofErr w:type="spellEnd"/>
      <w:r w:rsidRPr="009975EA">
        <w:rPr>
          <w:rFonts w:ascii="Times New Roman" w:hAnsi="Times New Roman" w:cs="Times New Roman"/>
          <w:color w:val="212121"/>
          <w:sz w:val="20"/>
          <w:szCs w:val="20"/>
        </w:rPr>
        <w:t xml:space="preserve"> in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backdrop</w:t>
      </w:r>
      <w:proofErr w:type="spellEnd"/>
      <w:r w:rsidRPr="009975EA">
        <w:rPr>
          <w:rFonts w:ascii="Times New Roman" w:hAnsi="Times New Roman" w:cs="Times New Roman"/>
          <w:color w:val="212121"/>
          <w:sz w:val="20"/>
          <w:szCs w:val="20"/>
        </w:rPr>
        <w:t xml:space="preserve"> of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corporation's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overall</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financial</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picture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In</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this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case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to</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obtain</w:t>
      </w:r>
      <w:proofErr w:type="spellEnd"/>
      <w:r w:rsidRPr="009975EA">
        <w:rPr>
          <w:rFonts w:ascii="Times New Roman" w:hAnsi="Times New Roman" w:cs="Times New Roman"/>
          <w:color w:val="212121"/>
          <w:sz w:val="20"/>
          <w:szCs w:val="20"/>
        </w:rPr>
        <w:t xml:space="preserve"> a </w:t>
      </w:r>
      <w:proofErr w:type="spellStart"/>
      <w:r w:rsidRPr="009975EA">
        <w:rPr>
          <w:rFonts w:ascii="Times New Roman" w:hAnsi="Times New Roman" w:cs="Times New Roman"/>
          <w:color w:val="212121"/>
          <w:sz w:val="20"/>
          <w:szCs w:val="20"/>
        </w:rPr>
        <w:t>view</w:t>
      </w:r>
      <w:proofErr w:type="spellEnd"/>
      <w:r w:rsidRPr="009975EA">
        <w:rPr>
          <w:rFonts w:ascii="Times New Roman" w:hAnsi="Times New Roman" w:cs="Times New Roman"/>
          <w:color w:val="212121"/>
          <w:sz w:val="20"/>
          <w:szCs w:val="20"/>
        </w:rPr>
        <w:t xml:space="preserve"> of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overall</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picture</w:t>
      </w:r>
      <w:proofErr w:type="spellEnd"/>
      <w:r w:rsidRPr="009975EA">
        <w:rPr>
          <w:rFonts w:ascii="Times New Roman" w:hAnsi="Times New Roman" w:cs="Times New Roman"/>
          <w:color w:val="212121"/>
          <w:sz w:val="20"/>
          <w:szCs w:val="20"/>
        </w:rPr>
        <w:t xml:space="preserve"> is </w:t>
      </w:r>
      <w:proofErr w:type="spellStart"/>
      <w:r w:rsidRPr="009975EA">
        <w:rPr>
          <w:rFonts w:ascii="Times New Roman" w:hAnsi="Times New Roman" w:cs="Times New Roman"/>
          <w:color w:val="212121"/>
          <w:sz w:val="20"/>
          <w:szCs w:val="20"/>
        </w:rPr>
        <w:t>impossible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without</w:t>
      </w:r>
      <w:proofErr w:type="spellEnd"/>
      <w:r w:rsidRPr="009975EA">
        <w:rPr>
          <w:rFonts w:ascii="Times New Roman" w:hAnsi="Times New Roman" w:cs="Times New Roman"/>
          <w:color w:val="212121"/>
          <w:sz w:val="20"/>
          <w:szCs w:val="20"/>
        </w:rPr>
        <w:t xml:space="preserve"> a </w:t>
      </w:r>
      <w:proofErr w:type="spellStart"/>
      <w:r w:rsidRPr="009975EA">
        <w:rPr>
          <w:rFonts w:ascii="Times New Roman" w:hAnsi="Times New Roman" w:cs="Times New Roman"/>
          <w:color w:val="212121"/>
          <w:sz w:val="20"/>
          <w:szCs w:val="20"/>
        </w:rPr>
        <w:t>thorough</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and</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complete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accounting</w:t>
      </w:r>
      <w:proofErr w:type="spellEnd"/>
      <w:r w:rsidRPr="009975EA">
        <w:rPr>
          <w:rFonts w:ascii="Times New Roman" w:hAnsi="Times New Roman" w:cs="Times New Roman"/>
          <w:color w:val="212121"/>
          <w:sz w:val="20"/>
          <w:szCs w:val="20"/>
        </w:rPr>
        <w:t xml:space="preserve"> of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Corporation's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books</w:t>
      </w:r>
      <w:proofErr w:type="spellEnd"/>
      <w:r w:rsidRPr="009975EA">
        <w:rPr>
          <w:rFonts w:ascii="Times New Roman" w:hAnsi="Times New Roman" w:cs="Times New Roman"/>
          <w:color w:val="212121"/>
          <w:sz w:val="20"/>
          <w:szCs w:val="20"/>
        </w:rPr>
        <w:t>.”</w:t>
      </w:r>
    </w:p>
  </w:footnote>
  <w:footnote w:id="587">
    <w:p w14:paraId="6DAC98A2" w14:textId="46D6328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 Eric Fryar, </w:t>
      </w:r>
      <w:r w:rsidRPr="00BF35A3">
        <w:rPr>
          <w:rFonts w:ascii="Times New Roman" w:hAnsi="Times New Roman" w:cs="Times New Roman"/>
          <w:i/>
          <w:sz w:val="20"/>
          <w:szCs w:val="20"/>
        </w:rPr>
        <w:t>Shareholder Oppression: Is It a Cause of Action,</w:t>
      </w:r>
      <w:r w:rsidRPr="009975EA">
        <w:rPr>
          <w:rFonts w:ascii="Times New Roman" w:hAnsi="Times New Roman" w:cs="Times New Roman"/>
          <w:sz w:val="20"/>
          <w:szCs w:val="20"/>
        </w:rPr>
        <w:t xml:space="preserve"> 11</w:t>
      </w:r>
      <w:r w:rsidRPr="009975EA">
        <w:rPr>
          <w:rFonts w:ascii="Times New Roman" w:hAnsi="Times New Roman" w:cs="Times New Roman"/>
          <w:sz w:val="20"/>
          <w:szCs w:val="20"/>
          <w:vertAlign w:val="superscript"/>
        </w:rPr>
        <w:t>th</w:t>
      </w:r>
      <w:r w:rsidRPr="009975EA">
        <w:rPr>
          <w:rFonts w:ascii="Times New Roman" w:hAnsi="Times New Roman" w:cs="Times New Roman"/>
          <w:sz w:val="20"/>
          <w:szCs w:val="20"/>
        </w:rPr>
        <w:t xml:space="preserve"> Annual Advanced Business Law Course, Nov. 7-8 2013, Chapter 19, </w:t>
      </w:r>
      <w:hyperlink r:id="rId72" w:history="1">
        <w:r w:rsidRPr="006042DB">
          <w:rPr>
            <w:rStyle w:val="Kpr"/>
            <w:rFonts w:ascii="Times New Roman" w:hAnsi="Times New Roman" w:cs="Times New Roman"/>
            <w:sz w:val="20"/>
            <w:szCs w:val="20"/>
          </w:rPr>
          <w:t>http://cdn2.hubspot.net/hubfs/201401/PDFs/19_Fryar.pdf?t=1471562380688</w:t>
        </w:r>
      </w:hyperlink>
      <w:r>
        <w:rPr>
          <w:rFonts w:ascii="Times New Roman" w:hAnsi="Times New Roman" w:cs="Times New Roman"/>
          <w:sz w:val="20"/>
          <w:szCs w:val="20"/>
        </w:rPr>
        <w:t xml:space="preserve"> (Last visited: 10/10/2016) at </w:t>
      </w:r>
      <w:r w:rsidRPr="009975EA">
        <w:rPr>
          <w:rFonts w:ascii="Times New Roman" w:hAnsi="Times New Roman" w:cs="Times New Roman"/>
          <w:sz w:val="20"/>
          <w:szCs w:val="20"/>
        </w:rPr>
        <w:t>61.</w:t>
      </w:r>
    </w:p>
  </w:footnote>
  <w:footnote w:id="588">
    <w:p w14:paraId="11687E62" w14:textId="11A7B896" w:rsidR="00D36541" w:rsidRPr="009975EA" w:rsidRDefault="00D36541" w:rsidP="00BF35A3">
      <w:pPr>
        <w:pStyle w:val="DipnotMetni"/>
        <w:tabs>
          <w:tab w:val="left" w:pos="6898"/>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Application of Topper, 433 N.Y.S.2d 359 (1980).</w:t>
      </w:r>
      <w:r>
        <w:rPr>
          <w:rFonts w:ascii="Times New Roman" w:hAnsi="Times New Roman" w:cs="Times New Roman"/>
          <w:sz w:val="20"/>
          <w:szCs w:val="20"/>
        </w:rPr>
        <w:tab/>
      </w:r>
    </w:p>
  </w:footnote>
  <w:footnote w:id="589">
    <w:p w14:paraId="70C52F12"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Jaffe Commercial Finance Co. v. Harris, 119 III.App.3d 136 (1983): “Without question, the burden is on the plaintiff to prove by a preponderance of evidence all of the material terms of an alleged [oral] contract”.</w:t>
      </w:r>
    </w:p>
  </w:footnote>
  <w:footnote w:id="590">
    <w:p w14:paraId="4C8DFF76" w14:textId="1F26F7F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O’Neal, Oppression of Minority Shareholders, p. 140.</w:t>
      </w:r>
    </w:p>
  </w:footnote>
  <w:footnote w:id="591">
    <w:p w14:paraId="57ABAB97" w14:textId="61CC4F8D" w:rsidR="00D36541" w:rsidRPr="009975EA" w:rsidRDefault="00D36541" w:rsidP="00BF35A3">
      <w:pPr>
        <w:pStyle w:val="DipnotMetni"/>
        <w:tabs>
          <w:tab w:val="left" w:pos="4680"/>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Fox v. 7L Bar Ranch Co., 198 Mont. 201 (1982).</w:t>
      </w:r>
      <w:r>
        <w:rPr>
          <w:rFonts w:ascii="Times New Roman" w:hAnsi="Times New Roman" w:cs="Times New Roman"/>
          <w:sz w:val="20"/>
          <w:szCs w:val="20"/>
        </w:rPr>
        <w:tab/>
      </w:r>
    </w:p>
  </w:footnote>
  <w:footnote w:id="592">
    <w:p w14:paraId="12BD35D7" w14:textId="12BB212C"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New York Business Corporation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Sec</w:t>
      </w:r>
      <w:proofErr w:type="spellEnd"/>
      <w:r w:rsidRPr="009975EA">
        <w:rPr>
          <w:rFonts w:ascii="Times New Roman" w:hAnsi="Times New Roman" w:cs="Times New Roman"/>
          <w:sz w:val="20"/>
          <w:szCs w:val="20"/>
        </w:rPr>
        <w:t xml:space="preserve">. 1104-a(c):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addition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disclosure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control</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thirty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after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filing</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petition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hereunder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available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inspection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copying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working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conditions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financial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books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records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three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preceding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years</w:t>
      </w:r>
      <w:proofErr w:type="spellEnd"/>
      <w:r w:rsidRPr="009975EA">
        <w:rPr>
          <w:rFonts w:ascii="Times New Roman" w:hAnsi="Times New Roman" w:cs="Times New Roman"/>
          <w:color w:val="000000"/>
          <w:sz w:val="20"/>
          <w:szCs w:val="20"/>
        </w:rPr>
        <w:t>.</w:t>
      </w:r>
    </w:p>
  </w:footnote>
  <w:footnote w:id="593">
    <w:p w14:paraId="6A0B0B65" w14:textId="6384A6D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“Some statutes employ the similar language of ‘persistent unfairness’, ‘unfairly prejudicial’, or ‘willfully unfair’” (Moll, Employment at Will, footnote 41).</w:t>
      </w:r>
    </w:p>
  </w:footnote>
  <w:footnote w:id="594">
    <w:p w14:paraId="354E9321" w14:textId="7C08689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Robert B. Thompson, </w:t>
      </w:r>
      <w:r w:rsidRPr="00BF35A3">
        <w:rPr>
          <w:rFonts w:ascii="Times New Roman" w:hAnsi="Times New Roman" w:cs="Times New Roman"/>
          <w:i/>
          <w:sz w:val="20"/>
          <w:szCs w:val="20"/>
        </w:rPr>
        <w:t>Allocating the Roles for Contracts and Judges in the Closely Held Firm,</w:t>
      </w:r>
      <w:r w:rsidRPr="009975EA">
        <w:rPr>
          <w:rFonts w:ascii="Times New Roman" w:hAnsi="Times New Roman" w:cs="Times New Roman"/>
          <w:sz w:val="20"/>
          <w:szCs w:val="20"/>
        </w:rPr>
        <w:t xml:space="preserve"> 33 W</w:t>
      </w:r>
      <w:r>
        <w:rPr>
          <w:rFonts w:ascii="Times New Roman" w:hAnsi="Times New Roman" w:cs="Times New Roman"/>
          <w:sz w:val="20"/>
          <w:szCs w:val="20"/>
        </w:rPr>
        <w:t xml:space="preserve">. New Eng. L. Rev. 369 (2011) at </w:t>
      </w:r>
      <w:r w:rsidRPr="009975EA">
        <w:rPr>
          <w:rFonts w:ascii="Times New Roman" w:hAnsi="Times New Roman" w:cs="Times New Roman"/>
          <w:sz w:val="20"/>
          <w:szCs w:val="20"/>
        </w:rPr>
        <w:t>389.</w:t>
      </w:r>
    </w:p>
  </w:footnote>
  <w:footnote w:id="595">
    <w:p w14:paraId="51E43C4E" w14:textId="73AFC66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Oppression</w:t>
      </w:r>
      <w:proofErr w:type="spellEnd"/>
      <w:r w:rsidRPr="009975EA">
        <w:rPr>
          <w:rFonts w:ascii="Times New Roman" w:hAnsi="Times New Roman" w:cs="Times New Roman"/>
          <w:sz w:val="20"/>
          <w:szCs w:val="20"/>
        </w:rPr>
        <w:t xml:space="preserve"> in Texas, p.15. </w:t>
      </w:r>
      <w:proofErr w:type="spellStart"/>
      <w:r w:rsidRPr="009975EA">
        <w:rPr>
          <w:rFonts w:ascii="Times New Roman" w:hAnsi="Times New Roman" w:cs="Times New Roman"/>
          <w:sz w:val="20"/>
          <w:szCs w:val="20"/>
        </w:rPr>
        <w:t>Hollis</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Hill</w:t>
      </w:r>
      <w:proofErr w:type="spellEnd"/>
      <w:r w:rsidRPr="009975EA">
        <w:rPr>
          <w:rFonts w:ascii="Times New Roman" w:hAnsi="Times New Roman" w:cs="Times New Roman"/>
          <w:sz w:val="20"/>
          <w:szCs w:val="20"/>
        </w:rPr>
        <w:t>, 232 F.2d 460 (2000): “</w:t>
      </w:r>
      <w:proofErr w:type="spellStart"/>
      <w:r w:rsidRPr="009975EA">
        <w:rPr>
          <w:rFonts w:ascii="Times New Roman" w:hAnsi="Times New Roman" w:cs="Times New Roman"/>
          <w:color w:val="000000"/>
          <w:sz w:val="20"/>
          <w:szCs w:val="20"/>
        </w:rPr>
        <w:t>Hill's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contentions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existed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persuasive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Nevada </w:t>
      </w:r>
      <w:proofErr w:type="spellStart"/>
      <w:r w:rsidRPr="009975EA">
        <w:rPr>
          <w:rFonts w:ascii="Times New Roman" w:hAnsi="Times New Roman" w:cs="Times New Roman"/>
          <w:color w:val="000000"/>
          <w:sz w:val="20"/>
          <w:szCs w:val="20"/>
        </w:rPr>
        <w:t>does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list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among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r w:rsidRPr="009975EA">
        <w:rPr>
          <w:rFonts w:ascii="Times New Roman" w:hAnsi="Times New Roman" w:cs="Times New Roman"/>
          <w:color w:val="000000" w:themeColor="text1"/>
          <w:sz w:val="20"/>
          <w:szCs w:val="20"/>
        </w:rPr>
        <w:t xml:space="preserve">NEV.REV.STAT. § 78.650 </w:t>
      </w:r>
      <w:proofErr w:type="spellStart"/>
      <w:r w:rsidRPr="009975EA">
        <w:rPr>
          <w:rFonts w:ascii="Times New Roman" w:hAnsi="Times New Roman" w:cs="Times New Roman"/>
          <w:color w:val="000000"/>
          <w:sz w:val="20"/>
          <w:szCs w:val="20"/>
        </w:rPr>
        <w:t>does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preclude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existence</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statutes</w:t>
      </w:r>
      <w:proofErr w:type="spellEnd"/>
      <w:r w:rsidRPr="009975EA">
        <w:rPr>
          <w:rFonts w:ascii="Times New Roman" w:hAnsi="Times New Roman" w:cs="Times New Roman"/>
          <w:color w:val="000000"/>
          <w:sz w:val="20"/>
          <w:szCs w:val="20"/>
        </w:rPr>
        <w:t xml:space="preserve"> do not </w:t>
      </w:r>
      <w:proofErr w:type="spellStart"/>
      <w:r w:rsidRPr="009975EA">
        <w:rPr>
          <w:rFonts w:ascii="Times New Roman" w:hAnsi="Times New Roman" w:cs="Times New Roman"/>
          <w:color w:val="000000"/>
          <w:sz w:val="20"/>
          <w:szCs w:val="20"/>
        </w:rPr>
        <w:t>provide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exclusive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remedies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equitable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fashion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appropriate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remedies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breached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engaging</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oppressive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w:t>
      </w:r>
      <w:r w:rsidRPr="009975EA">
        <w:rPr>
          <w:rFonts w:ascii="Times New Roman" w:hAnsi="Times New Roman" w:cs="Times New Roman"/>
          <w:color w:val="0000FF"/>
          <w:position w:val="13"/>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addition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number</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states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found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breaches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bases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support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statutes</w:t>
      </w:r>
      <w:proofErr w:type="spellEnd"/>
      <w:r w:rsidRPr="009975EA">
        <w:rPr>
          <w:rFonts w:ascii="Times New Roman" w:hAnsi="Times New Roman" w:cs="Times New Roman"/>
          <w:color w:val="000000"/>
          <w:sz w:val="20"/>
          <w:szCs w:val="20"/>
        </w:rPr>
        <w:t>.”</w:t>
      </w:r>
    </w:p>
  </w:footnote>
  <w:footnote w:id="596">
    <w:p w14:paraId="3BEA5CFE"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Estes v. Idea Engineering &amp; Fabrications, Inc., 250 Mich. App. 270 (2002).</w:t>
      </w:r>
    </w:p>
  </w:footnote>
  <w:footnote w:id="597">
    <w:p w14:paraId="4DB36CF9" w14:textId="156CEF6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There are two views that are used to distinguish between direct and derivative actions: According to the first view, if only the interest of the corporation is directly damaged than the suit must be derivative. Under the second view, a direct action may be brought when it is based upon a primary or personal right belonging the plaintiff- shareholder, on the other hand, it is derivative when the action is based upon a primary right of the corporation but which is asserted on its behalf by the stockholder because of the corporation’s failure to act upon the </w:t>
      </w:r>
      <w:proofErr w:type="spellStart"/>
      <w:r w:rsidRPr="009975EA">
        <w:rPr>
          <w:rFonts w:ascii="Times New Roman" w:hAnsi="Times New Roman" w:cs="Times New Roman"/>
          <w:sz w:val="20"/>
          <w:szCs w:val="20"/>
        </w:rPr>
        <w:t>primar</w:t>
      </w:r>
      <w:proofErr w:type="spellEnd"/>
      <w:r w:rsidRPr="009975EA">
        <w:rPr>
          <w:rFonts w:ascii="Times New Roman" w:hAnsi="Times New Roman" w:cs="Times New Roman"/>
          <w:sz w:val="20"/>
          <w:szCs w:val="20"/>
        </w:rPr>
        <w:t xml:space="preserve"> right (G &amp; N Aircraft, Inc. v. Boehm, 743 N.E.2d 227 (2001)).</w:t>
      </w:r>
    </w:p>
  </w:footnote>
  <w:footnote w:id="598">
    <w:p w14:paraId="1F381A51" w14:textId="243270B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MacDonald, p.169.</w:t>
      </w:r>
    </w:p>
  </w:footnote>
  <w:footnote w:id="599">
    <w:p w14:paraId="28ED1C71" w14:textId="2587BDB1"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Fought</w:t>
      </w:r>
      <w:proofErr w:type="spellEnd"/>
      <w:r w:rsidRPr="009975EA">
        <w:rPr>
          <w:rFonts w:ascii="Times New Roman" w:hAnsi="Times New Roman" w:cs="Times New Roman"/>
          <w:sz w:val="20"/>
          <w:szCs w:val="20"/>
        </w:rPr>
        <w:t xml:space="preserve"> v. Morris, 543 So.2d 167 (1989):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traditional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view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transactions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constituting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freeze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squeeze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generally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attacked</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breach</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loyalty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good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outmoded</w:t>
      </w:r>
      <w:proofErr w:type="spellEnd"/>
      <w:r w:rsidRPr="009975EA">
        <w:rPr>
          <w:rFonts w:ascii="Times New Roman" w:hAnsi="Times New Roman" w:cs="Times New Roman"/>
          <w:color w:val="000000"/>
          <w:sz w:val="20"/>
          <w:szCs w:val="20"/>
        </w:rPr>
        <w:t>.”</w:t>
      </w:r>
    </w:p>
  </w:footnote>
  <w:footnote w:id="600">
    <w:p w14:paraId="7497BE8D" w14:textId="7F82527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Hollis v. Hill, 232 F.3d 460 (2000): “The opinions make clear, however, that shareholders do not enjoy fiduciary- rooted entitlements to their jobs. Such a result would clearly interfere with the doctrine of employment- at-will. Rather, the courts have limited relief to instances in which the shareholder has been harmed as shareholder.”</w:t>
      </w:r>
    </w:p>
  </w:footnote>
  <w:footnote w:id="601">
    <w:p w14:paraId="452E8448" w14:textId="73F5CFC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Exadaktilos</w:t>
      </w:r>
      <w:proofErr w:type="spellEnd"/>
      <w:r w:rsidRPr="009975EA">
        <w:rPr>
          <w:rFonts w:ascii="Times New Roman" w:hAnsi="Times New Roman" w:cs="Times New Roman"/>
          <w:sz w:val="20"/>
          <w:szCs w:val="20"/>
        </w:rPr>
        <w:t xml:space="preserve"> v. Cinnaminson Realty Co., Inc., 167 </w:t>
      </w:r>
      <w:proofErr w:type="spellStart"/>
      <w:r w:rsidRPr="009975EA">
        <w:rPr>
          <w:rFonts w:ascii="Times New Roman" w:hAnsi="Times New Roman" w:cs="Times New Roman"/>
          <w:sz w:val="20"/>
          <w:szCs w:val="20"/>
        </w:rPr>
        <w:t>N.</w:t>
      </w:r>
      <w:proofErr w:type="gramStart"/>
      <w:r w:rsidRPr="009975EA">
        <w:rPr>
          <w:rFonts w:ascii="Times New Roman" w:hAnsi="Times New Roman" w:cs="Times New Roman"/>
          <w:sz w:val="20"/>
          <w:szCs w:val="20"/>
        </w:rPr>
        <w:t>J.Super</w:t>
      </w:r>
      <w:proofErr w:type="spellEnd"/>
      <w:proofErr w:type="gramEnd"/>
      <w:r w:rsidRPr="009975EA">
        <w:rPr>
          <w:rFonts w:ascii="Times New Roman" w:hAnsi="Times New Roman" w:cs="Times New Roman"/>
          <w:sz w:val="20"/>
          <w:szCs w:val="20"/>
        </w:rPr>
        <w:t>. 141 (1979). While some state statutes, such as New Jersey’s, specify that relief may be granted if the shareholder becomes subject to oppressive conduct in their capacities as shareholders, directors, officers or employees, courts recognize that the oppressive conduct covers actions taken against these capacities even without an additional language in the statute (Thompson, Corporate Dissolution, p.210).</w:t>
      </w:r>
    </w:p>
  </w:footnote>
  <w:footnote w:id="602">
    <w:p w14:paraId="0CFC0B10" w14:textId="36E42630" w:rsidR="00D36541" w:rsidRPr="009975EA" w:rsidRDefault="00D36541" w:rsidP="009975EA">
      <w:pPr>
        <w:widowControl w:val="0"/>
        <w:autoSpaceDE w:val="0"/>
        <w:autoSpaceDN w:val="0"/>
        <w:adjustRightInd w:val="0"/>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a U.K. </w:t>
      </w:r>
      <w:proofErr w:type="spellStart"/>
      <w:r w:rsidRPr="009975EA">
        <w:rPr>
          <w:rFonts w:ascii="Times New Roman" w:hAnsi="Times New Roman" w:cs="Times New Roman"/>
          <w:sz w:val="20"/>
          <w:szCs w:val="20"/>
        </w:rPr>
        <w:t>case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r w:rsidRPr="009975EA">
        <w:rPr>
          <w:rFonts w:ascii="Times New Roman" w:hAnsi="Times New Roman" w:cs="Times New Roman"/>
          <w:bCs/>
          <w:color w:val="000000" w:themeColor="text1"/>
          <w:sz w:val="20"/>
          <w:szCs w:val="20"/>
        </w:rPr>
        <w:t xml:space="preserve">Re Leeds United </w:t>
      </w:r>
      <w:proofErr w:type="spellStart"/>
      <w:r w:rsidRPr="009975EA">
        <w:rPr>
          <w:rFonts w:ascii="Times New Roman" w:hAnsi="Times New Roman" w:cs="Times New Roman"/>
          <w:bCs/>
          <w:color w:val="000000" w:themeColor="text1"/>
          <w:sz w:val="20"/>
          <w:szCs w:val="20"/>
        </w:rPr>
        <w:t>Holdings</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plc</w:t>
      </w:r>
      <w:proofErr w:type="spellEnd"/>
      <w:r w:rsidRPr="009975EA">
        <w:rPr>
          <w:rFonts w:ascii="Times New Roman" w:hAnsi="Times New Roman" w:cs="Times New Roman"/>
          <w:bCs/>
          <w:color w:val="000000" w:themeColor="text1"/>
          <w:sz w:val="20"/>
          <w:szCs w:val="20"/>
        </w:rPr>
        <w:t xml:space="preserve">. [1997] B.C.C. 131 </w:t>
      </w:r>
      <w:proofErr w:type="spellStart"/>
      <w:r w:rsidRPr="009975EA">
        <w:rPr>
          <w:rFonts w:ascii="Times New Roman" w:hAnsi="Times New Roman" w:cs="Times New Roman"/>
          <w:bCs/>
          <w:color w:val="000000" w:themeColor="text1"/>
          <w:sz w:val="20"/>
          <w:szCs w:val="20"/>
        </w:rPr>
        <w:t>noted</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the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following</w:t>
      </w:r>
      <w:proofErr w:type="spellEnd"/>
      <w:r w:rsidRPr="009975EA">
        <w:rPr>
          <w:rFonts w:ascii="Times New Roman" w:hAnsi="Times New Roman" w:cs="Times New Roman"/>
          <w:bCs/>
          <w:color w:val="000000" w:themeColor="text1"/>
          <w:sz w:val="20"/>
          <w:szCs w:val="20"/>
        </w:rPr>
        <w:t>: “</w:t>
      </w:r>
      <w:proofErr w:type="spellStart"/>
      <w:r w:rsidRPr="009975EA">
        <w:rPr>
          <w:rFonts w:ascii="Times New Roman" w:hAnsi="Times New Roman" w:cs="Times New Roman"/>
          <w:bCs/>
          <w:color w:val="000000" w:themeColor="text1"/>
          <w:sz w:val="20"/>
          <w:szCs w:val="20"/>
        </w:rPr>
        <w:t>In</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my</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judgment</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the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legitimate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expectation</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which</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the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court</w:t>
      </w:r>
      <w:proofErr w:type="spellEnd"/>
      <w:r w:rsidRPr="009975EA">
        <w:rPr>
          <w:rFonts w:ascii="Times New Roman" w:hAnsi="Times New Roman" w:cs="Times New Roman"/>
          <w:bCs/>
          <w:color w:val="000000" w:themeColor="text1"/>
          <w:sz w:val="20"/>
          <w:szCs w:val="20"/>
        </w:rPr>
        <w:t xml:space="preserve"> has </w:t>
      </w:r>
      <w:proofErr w:type="spellStart"/>
      <w:r w:rsidRPr="009975EA">
        <w:rPr>
          <w:rFonts w:ascii="Times New Roman" w:hAnsi="Times New Roman" w:cs="Times New Roman"/>
          <w:bCs/>
          <w:color w:val="000000" w:themeColor="text1"/>
          <w:sz w:val="20"/>
          <w:szCs w:val="20"/>
        </w:rPr>
        <w:t>held</w:t>
      </w:r>
      <w:proofErr w:type="spellEnd"/>
      <w:r w:rsidRPr="009975EA">
        <w:rPr>
          <w:rFonts w:ascii="Times New Roman" w:hAnsi="Times New Roman" w:cs="Times New Roman"/>
          <w:bCs/>
          <w:color w:val="000000" w:themeColor="text1"/>
          <w:sz w:val="20"/>
          <w:szCs w:val="20"/>
        </w:rPr>
        <w:t xml:space="preserve"> in </w:t>
      </w:r>
      <w:proofErr w:type="spellStart"/>
      <w:r w:rsidRPr="009975EA">
        <w:rPr>
          <w:rFonts w:ascii="Times New Roman" w:hAnsi="Times New Roman" w:cs="Times New Roman"/>
          <w:bCs/>
          <w:color w:val="000000" w:themeColor="text1"/>
          <w:sz w:val="20"/>
          <w:szCs w:val="20"/>
        </w:rPr>
        <w:t>other</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cases</w:t>
      </w:r>
      <w:proofErr w:type="spellEnd"/>
      <w:r w:rsidRPr="009975EA">
        <w:rPr>
          <w:rFonts w:ascii="Times New Roman" w:hAnsi="Times New Roman" w:cs="Times New Roman"/>
          <w:bCs/>
          <w:color w:val="000000" w:themeColor="text1"/>
          <w:sz w:val="20"/>
          <w:szCs w:val="20"/>
        </w:rPr>
        <w:t xml:space="preserve"> can </w:t>
      </w:r>
      <w:proofErr w:type="spellStart"/>
      <w:r w:rsidRPr="009975EA">
        <w:rPr>
          <w:rFonts w:ascii="Times New Roman" w:hAnsi="Times New Roman" w:cs="Times New Roman"/>
          <w:bCs/>
          <w:color w:val="000000" w:themeColor="text1"/>
          <w:sz w:val="20"/>
          <w:szCs w:val="20"/>
        </w:rPr>
        <w:t>give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rise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to</w:t>
      </w:r>
      <w:proofErr w:type="spellEnd"/>
      <w:r w:rsidRPr="009975EA">
        <w:rPr>
          <w:rFonts w:ascii="Times New Roman" w:hAnsi="Times New Roman" w:cs="Times New Roman"/>
          <w:bCs/>
          <w:color w:val="000000" w:themeColor="text1"/>
          <w:sz w:val="20"/>
          <w:szCs w:val="20"/>
        </w:rPr>
        <w:t xml:space="preserve"> a </w:t>
      </w:r>
      <w:proofErr w:type="spellStart"/>
      <w:r w:rsidRPr="009975EA">
        <w:rPr>
          <w:rFonts w:ascii="Times New Roman" w:hAnsi="Times New Roman" w:cs="Times New Roman"/>
          <w:bCs/>
          <w:color w:val="000000" w:themeColor="text1"/>
          <w:sz w:val="20"/>
          <w:szCs w:val="20"/>
        </w:rPr>
        <w:t>claim</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for</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relief</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under</w:t>
      </w:r>
      <w:proofErr w:type="spellEnd"/>
      <w:r w:rsidRPr="009975EA">
        <w:rPr>
          <w:rFonts w:ascii="Times New Roman" w:hAnsi="Times New Roman" w:cs="Times New Roman"/>
          <w:bCs/>
          <w:color w:val="000000" w:themeColor="text1"/>
          <w:sz w:val="20"/>
          <w:szCs w:val="20"/>
        </w:rPr>
        <w:t xml:space="preserve"> s. 459 </w:t>
      </w:r>
      <w:proofErr w:type="spellStart"/>
      <w:r w:rsidRPr="009975EA">
        <w:rPr>
          <w:rFonts w:ascii="Times New Roman" w:hAnsi="Times New Roman" w:cs="Times New Roman"/>
          <w:bCs/>
          <w:color w:val="000000" w:themeColor="text1"/>
          <w:sz w:val="20"/>
          <w:szCs w:val="20"/>
        </w:rPr>
        <w:t>must</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having</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regard</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to</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the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purpose</w:t>
      </w:r>
      <w:proofErr w:type="spellEnd"/>
      <w:r w:rsidRPr="009975EA">
        <w:rPr>
          <w:rFonts w:ascii="Times New Roman" w:hAnsi="Times New Roman" w:cs="Times New Roman"/>
          <w:bCs/>
          <w:color w:val="000000" w:themeColor="text1"/>
          <w:sz w:val="20"/>
          <w:szCs w:val="20"/>
        </w:rPr>
        <w:t xml:space="preserve"> of </w:t>
      </w:r>
      <w:proofErr w:type="spellStart"/>
      <w:r w:rsidRPr="009975EA">
        <w:rPr>
          <w:rFonts w:ascii="Times New Roman" w:hAnsi="Times New Roman" w:cs="Times New Roman"/>
          <w:bCs/>
          <w:color w:val="000000" w:themeColor="text1"/>
          <w:sz w:val="20"/>
          <w:szCs w:val="20"/>
        </w:rPr>
        <w:t>the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section</w:t>
      </w:r>
      <w:proofErr w:type="spellEnd"/>
      <w:r w:rsidRPr="009975EA">
        <w:rPr>
          <w:rFonts w:ascii="Times New Roman" w:hAnsi="Times New Roman" w:cs="Times New Roman"/>
          <w:bCs/>
          <w:color w:val="000000" w:themeColor="text1"/>
          <w:sz w:val="20"/>
          <w:szCs w:val="20"/>
        </w:rPr>
        <w:t xml:space="preserve"> as </w:t>
      </w:r>
      <w:proofErr w:type="spellStart"/>
      <w:r w:rsidRPr="009975EA">
        <w:rPr>
          <w:rFonts w:ascii="Times New Roman" w:hAnsi="Times New Roman" w:cs="Times New Roman"/>
          <w:bCs/>
          <w:color w:val="000000" w:themeColor="text1"/>
          <w:sz w:val="20"/>
          <w:szCs w:val="20"/>
        </w:rPr>
        <w:t>expressed</w:t>
      </w:r>
      <w:proofErr w:type="spellEnd"/>
      <w:r w:rsidRPr="009975EA">
        <w:rPr>
          <w:rFonts w:ascii="Times New Roman" w:hAnsi="Times New Roman" w:cs="Times New Roman"/>
          <w:bCs/>
          <w:color w:val="000000" w:themeColor="text1"/>
          <w:sz w:val="20"/>
          <w:szCs w:val="20"/>
        </w:rPr>
        <w:t xml:space="preserve"> in s. 459(1</w:t>
      </w:r>
      <w:proofErr w:type="gramStart"/>
      <w:r w:rsidRPr="009975EA">
        <w:rPr>
          <w:rFonts w:ascii="Times New Roman" w:hAnsi="Times New Roman" w:cs="Times New Roman"/>
          <w:bCs/>
          <w:color w:val="000000" w:themeColor="text1"/>
          <w:sz w:val="20"/>
          <w:szCs w:val="20"/>
        </w:rPr>
        <w:t>) ,</w:t>
      </w:r>
      <w:proofErr w:type="gramEnd"/>
      <w:r w:rsidRPr="009975EA">
        <w:rPr>
          <w:rFonts w:ascii="Times New Roman" w:hAnsi="Times New Roman" w:cs="Times New Roman"/>
          <w:bCs/>
          <w:color w:val="000000" w:themeColor="text1"/>
          <w:sz w:val="20"/>
          <w:szCs w:val="20"/>
        </w:rPr>
        <w:t xml:space="preserve"> be a </w:t>
      </w:r>
      <w:proofErr w:type="spellStart"/>
      <w:r w:rsidRPr="009975EA">
        <w:rPr>
          <w:rFonts w:ascii="Times New Roman" w:hAnsi="Times New Roman" w:cs="Times New Roman"/>
          <w:bCs/>
          <w:color w:val="000000" w:themeColor="text1"/>
          <w:sz w:val="20"/>
          <w:szCs w:val="20"/>
        </w:rPr>
        <w:t>legitimate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expectation</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relating</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to</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the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conduct</w:t>
      </w:r>
      <w:proofErr w:type="spellEnd"/>
      <w:r w:rsidRPr="009975EA">
        <w:rPr>
          <w:rFonts w:ascii="Times New Roman" w:hAnsi="Times New Roman" w:cs="Times New Roman"/>
          <w:bCs/>
          <w:color w:val="000000" w:themeColor="text1"/>
          <w:sz w:val="20"/>
          <w:szCs w:val="20"/>
        </w:rPr>
        <w:t xml:space="preserve"> of </w:t>
      </w:r>
      <w:proofErr w:type="spellStart"/>
      <w:r w:rsidRPr="009975EA">
        <w:rPr>
          <w:rFonts w:ascii="Times New Roman" w:hAnsi="Times New Roman" w:cs="Times New Roman"/>
          <w:bCs/>
          <w:color w:val="000000" w:themeColor="text1"/>
          <w:sz w:val="20"/>
          <w:szCs w:val="20"/>
        </w:rPr>
        <w:t>the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company's</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affairs</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the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most</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obvious</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and</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common</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example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being</w:t>
      </w:r>
      <w:proofErr w:type="spellEnd"/>
      <w:r w:rsidRPr="009975EA">
        <w:rPr>
          <w:rFonts w:ascii="Times New Roman" w:hAnsi="Times New Roman" w:cs="Times New Roman"/>
          <w:bCs/>
          <w:color w:val="000000" w:themeColor="text1"/>
          <w:sz w:val="20"/>
          <w:szCs w:val="20"/>
        </w:rPr>
        <w:t xml:space="preserve"> an </w:t>
      </w:r>
      <w:proofErr w:type="spellStart"/>
      <w:r w:rsidRPr="009975EA">
        <w:rPr>
          <w:rFonts w:ascii="Times New Roman" w:hAnsi="Times New Roman" w:cs="Times New Roman"/>
          <w:bCs/>
          <w:color w:val="000000" w:themeColor="text1"/>
          <w:sz w:val="20"/>
          <w:szCs w:val="20"/>
        </w:rPr>
        <w:t>expectation</w:t>
      </w:r>
      <w:proofErr w:type="spellEnd"/>
      <w:r w:rsidRPr="009975EA">
        <w:rPr>
          <w:rFonts w:ascii="Times New Roman" w:hAnsi="Times New Roman" w:cs="Times New Roman"/>
          <w:bCs/>
          <w:color w:val="000000" w:themeColor="text1"/>
          <w:sz w:val="20"/>
          <w:szCs w:val="20"/>
        </w:rPr>
        <w:t xml:space="preserve"> of </w:t>
      </w:r>
      <w:proofErr w:type="spellStart"/>
      <w:r w:rsidRPr="009975EA">
        <w:rPr>
          <w:rFonts w:ascii="Times New Roman" w:hAnsi="Times New Roman" w:cs="Times New Roman"/>
          <w:bCs/>
          <w:color w:val="000000" w:themeColor="text1"/>
          <w:sz w:val="20"/>
          <w:szCs w:val="20"/>
        </w:rPr>
        <w:t>being</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allowed</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to</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participate</w:t>
      </w:r>
      <w:proofErr w:type="spellEnd"/>
      <w:r w:rsidRPr="009975EA">
        <w:rPr>
          <w:rFonts w:ascii="Times New Roman" w:hAnsi="Times New Roman" w:cs="Times New Roman"/>
          <w:bCs/>
          <w:color w:val="000000" w:themeColor="text1"/>
          <w:sz w:val="20"/>
          <w:szCs w:val="20"/>
        </w:rPr>
        <w:t xml:space="preserve"> in </w:t>
      </w:r>
      <w:proofErr w:type="spellStart"/>
      <w:r w:rsidRPr="009975EA">
        <w:rPr>
          <w:rFonts w:ascii="Times New Roman" w:hAnsi="Times New Roman" w:cs="Times New Roman"/>
          <w:bCs/>
          <w:color w:val="000000" w:themeColor="text1"/>
          <w:sz w:val="20"/>
          <w:szCs w:val="20"/>
        </w:rPr>
        <w:t>decisions</w:t>
      </w:r>
      <w:proofErr w:type="spellEnd"/>
      <w:r w:rsidRPr="009975EA">
        <w:rPr>
          <w:rFonts w:ascii="Times New Roman" w:hAnsi="Times New Roman" w:cs="Times New Roman"/>
          <w:bCs/>
          <w:color w:val="000000" w:themeColor="text1"/>
          <w:sz w:val="20"/>
          <w:szCs w:val="20"/>
        </w:rPr>
        <w:t xml:space="preserve"> as </w:t>
      </w:r>
      <w:proofErr w:type="spellStart"/>
      <w:r w:rsidRPr="009975EA">
        <w:rPr>
          <w:rFonts w:ascii="Times New Roman" w:hAnsi="Times New Roman" w:cs="Times New Roman"/>
          <w:bCs/>
          <w:color w:val="000000" w:themeColor="text1"/>
          <w:sz w:val="20"/>
          <w:szCs w:val="20"/>
        </w:rPr>
        <w:t>to</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such</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conduct</w:t>
      </w:r>
      <w:proofErr w:type="spellEnd"/>
      <w:r w:rsidRPr="009975EA">
        <w:rPr>
          <w:rFonts w:ascii="Times New Roman" w:hAnsi="Times New Roman" w:cs="Times New Roman"/>
          <w:bCs/>
          <w:color w:val="000000" w:themeColor="text1"/>
          <w:sz w:val="20"/>
          <w:szCs w:val="20"/>
        </w:rPr>
        <w:t xml:space="preserve">. An </w:t>
      </w:r>
      <w:proofErr w:type="spellStart"/>
      <w:r w:rsidRPr="009975EA">
        <w:rPr>
          <w:rFonts w:ascii="Times New Roman" w:hAnsi="Times New Roman" w:cs="Times New Roman"/>
          <w:bCs/>
          <w:color w:val="000000" w:themeColor="text1"/>
          <w:sz w:val="20"/>
          <w:szCs w:val="20"/>
        </w:rPr>
        <w:t>expectation</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that</w:t>
      </w:r>
      <w:proofErr w:type="spellEnd"/>
      <w:r w:rsidRPr="009975EA">
        <w:rPr>
          <w:rFonts w:ascii="Times New Roman" w:hAnsi="Times New Roman" w:cs="Times New Roman"/>
          <w:bCs/>
          <w:color w:val="000000" w:themeColor="text1"/>
          <w:sz w:val="20"/>
          <w:szCs w:val="20"/>
        </w:rPr>
        <w:t xml:space="preserve"> a </w:t>
      </w:r>
      <w:proofErr w:type="spellStart"/>
      <w:r w:rsidRPr="009975EA">
        <w:rPr>
          <w:rFonts w:ascii="Times New Roman" w:hAnsi="Times New Roman" w:cs="Times New Roman"/>
          <w:bCs/>
          <w:color w:val="000000" w:themeColor="text1"/>
          <w:sz w:val="20"/>
          <w:szCs w:val="20"/>
        </w:rPr>
        <w:t>shareholder</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will</w:t>
      </w:r>
      <w:proofErr w:type="spellEnd"/>
      <w:r w:rsidRPr="009975EA">
        <w:rPr>
          <w:rFonts w:ascii="Times New Roman" w:hAnsi="Times New Roman" w:cs="Times New Roman"/>
          <w:bCs/>
          <w:color w:val="000000" w:themeColor="text1"/>
          <w:sz w:val="20"/>
          <w:szCs w:val="20"/>
        </w:rPr>
        <w:t xml:space="preserve"> not </w:t>
      </w:r>
      <w:proofErr w:type="spellStart"/>
      <w:r w:rsidRPr="009975EA">
        <w:rPr>
          <w:rFonts w:ascii="Times New Roman" w:hAnsi="Times New Roman" w:cs="Times New Roman"/>
          <w:bCs/>
          <w:color w:val="000000" w:themeColor="text1"/>
          <w:sz w:val="20"/>
          <w:szCs w:val="20"/>
        </w:rPr>
        <w:t>sell</w:t>
      </w:r>
      <w:proofErr w:type="spellEnd"/>
      <w:r w:rsidRPr="009975EA">
        <w:rPr>
          <w:rFonts w:ascii="Times New Roman" w:hAnsi="Times New Roman" w:cs="Times New Roman"/>
          <w:bCs/>
          <w:color w:val="000000" w:themeColor="text1"/>
          <w:sz w:val="20"/>
          <w:szCs w:val="20"/>
        </w:rPr>
        <w:t xml:space="preserve"> his </w:t>
      </w:r>
      <w:proofErr w:type="spellStart"/>
      <w:r w:rsidRPr="009975EA">
        <w:rPr>
          <w:rFonts w:ascii="Times New Roman" w:hAnsi="Times New Roman" w:cs="Times New Roman"/>
          <w:bCs/>
          <w:color w:val="000000" w:themeColor="text1"/>
          <w:sz w:val="20"/>
          <w:szCs w:val="20"/>
        </w:rPr>
        <w:t>shares</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without</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the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consent</w:t>
      </w:r>
      <w:proofErr w:type="spellEnd"/>
      <w:r w:rsidRPr="009975EA">
        <w:rPr>
          <w:rFonts w:ascii="Times New Roman" w:hAnsi="Times New Roman" w:cs="Times New Roman"/>
          <w:bCs/>
          <w:color w:val="000000" w:themeColor="text1"/>
          <w:sz w:val="20"/>
          <w:szCs w:val="20"/>
        </w:rPr>
        <w:t xml:space="preserve"> of </w:t>
      </w:r>
      <w:proofErr w:type="spellStart"/>
      <w:r w:rsidRPr="009975EA">
        <w:rPr>
          <w:rFonts w:ascii="Times New Roman" w:hAnsi="Times New Roman" w:cs="Times New Roman"/>
          <w:bCs/>
          <w:color w:val="000000" w:themeColor="text1"/>
          <w:sz w:val="20"/>
          <w:szCs w:val="20"/>
        </w:rPr>
        <w:t>some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other</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or</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other</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shareholders</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does</w:t>
      </w:r>
      <w:proofErr w:type="spellEnd"/>
      <w:r w:rsidRPr="009975EA">
        <w:rPr>
          <w:rFonts w:ascii="Times New Roman" w:hAnsi="Times New Roman" w:cs="Times New Roman"/>
          <w:bCs/>
          <w:color w:val="000000" w:themeColor="text1"/>
          <w:sz w:val="20"/>
          <w:szCs w:val="20"/>
        </w:rPr>
        <w:t xml:space="preserve"> not </w:t>
      </w:r>
      <w:proofErr w:type="spellStart"/>
      <w:r w:rsidRPr="009975EA">
        <w:rPr>
          <w:rFonts w:ascii="Times New Roman" w:hAnsi="Times New Roman" w:cs="Times New Roman"/>
          <w:bCs/>
          <w:color w:val="000000" w:themeColor="text1"/>
          <w:sz w:val="20"/>
          <w:szCs w:val="20"/>
        </w:rPr>
        <w:t>relate</w:t>
      </w:r>
      <w:proofErr w:type="spellEnd"/>
      <w:r w:rsidRPr="009975EA">
        <w:rPr>
          <w:rFonts w:ascii="Times New Roman" w:hAnsi="Times New Roman" w:cs="Times New Roman"/>
          <w:bCs/>
          <w:color w:val="000000" w:themeColor="text1"/>
          <w:sz w:val="20"/>
          <w:szCs w:val="20"/>
        </w:rPr>
        <w:t xml:space="preserve"> in </w:t>
      </w:r>
      <w:proofErr w:type="spellStart"/>
      <w:r w:rsidRPr="009975EA">
        <w:rPr>
          <w:rFonts w:ascii="Times New Roman" w:hAnsi="Times New Roman" w:cs="Times New Roman"/>
          <w:bCs/>
          <w:color w:val="000000" w:themeColor="text1"/>
          <w:sz w:val="20"/>
          <w:szCs w:val="20"/>
        </w:rPr>
        <w:t>any</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way</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to</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the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conduct</w:t>
      </w:r>
      <w:proofErr w:type="spellEnd"/>
      <w:r w:rsidRPr="009975EA">
        <w:rPr>
          <w:rFonts w:ascii="Times New Roman" w:hAnsi="Times New Roman" w:cs="Times New Roman"/>
          <w:bCs/>
          <w:color w:val="000000" w:themeColor="text1"/>
          <w:sz w:val="20"/>
          <w:szCs w:val="20"/>
        </w:rPr>
        <w:t xml:space="preserve"> of </w:t>
      </w:r>
      <w:proofErr w:type="spellStart"/>
      <w:r w:rsidRPr="009975EA">
        <w:rPr>
          <w:rFonts w:ascii="Times New Roman" w:hAnsi="Times New Roman" w:cs="Times New Roman"/>
          <w:bCs/>
          <w:color w:val="000000" w:themeColor="text1"/>
          <w:sz w:val="20"/>
          <w:szCs w:val="20"/>
        </w:rPr>
        <w:t>the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company's</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affairs</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and</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therefore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cannot</w:t>
      </w:r>
      <w:proofErr w:type="spellEnd"/>
      <w:r w:rsidRPr="009975EA">
        <w:rPr>
          <w:rFonts w:ascii="Times New Roman" w:hAnsi="Times New Roman" w:cs="Times New Roman"/>
          <w:bCs/>
          <w:color w:val="000000" w:themeColor="text1"/>
          <w:sz w:val="20"/>
          <w:szCs w:val="20"/>
        </w:rPr>
        <w:t xml:space="preserve">, in </w:t>
      </w:r>
      <w:proofErr w:type="spellStart"/>
      <w:r w:rsidRPr="009975EA">
        <w:rPr>
          <w:rFonts w:ascii="Times New Roman" w:hAnsi="Times New Roman" w:cs="Times New Roman"/>
          <w:bCs/>
          <w:color w:val="000000" w:themeColor="text1"/>
          <w:sz w:val="20"/>
          <w:szCs w:val="20"/>
        </w:rPr>
        <w:t>my</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judgment</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fall</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to</w:t>
      </w:r>
      <w:proofErr w:type="spellEnd"/>
      <w:r w:rsidRPr="009975EA">
        <w:rPr>
          <w:rFonts w:ascii="Times New Roman" w:hAnsi="Times New Roman" w:cs="Times New Roman"/>
          <w:bCs/>
          <w:color w:val="000000" w:themeColor="text1"/>
          <w:sz w:val="20"/>
          <w:szCs w:val="20"/>
        </w:rPr>
        <w:t xml:space="preserve"> be </w:t>
      </w:r>
      <w:proofErr w:type="spellStart"/>
      <w:r w:rsidRPr="009975EA">
        <w:rPr>
          <w:rFonts w:ascii="Times New Roman" w:hAnsi="Times New Roman" w:cs="Times New Roman"/>
          <w:bCs/>
          <w:color w:val="000000" w:themeColor="text1"/>
          <w:sz w:val="20"/>
          <w:szCs w:val="20"/>
        </w:rPr>
        <w:t>protected</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by</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the</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court</w:t>
      </w:r>
      <w:proofErr w:type="spellEnd"/>
      <w:r w:rsidRPr="009975EA">
        <w:rPr>
          <w:rFonts w:ascii="Times New Roman" w:hAnsi="Times New Roman" w:cs="Times New Roman"/>
          <w:bCs/>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under</w:t>
      </w:r>
      <w:proofErr w:type="spellEnd"/>
      <w:r w:rsidRPr="009975EA">
        <w:rPr>
          <w:rFonts w:ascii="Times New Roman" w:hAnsi="Times New Roman" w:cs="Times New Roman"/>
          <w:bCs/>
          <w:color w:val="000000" w:themeColor="text1"/>
          <w:sz w:val="20"/>
          <w:szCs w:val="20"/>
        </w:rPr>
        <w:t xml:space="preserve"> s. </w:t>
      </w:r>
      <w:proofErr w:type="gramStart"/>
      <w:r w:rsidRPr="009975EA">
        <w:rPr>
          <w:rFonts w:ascii="Times New Roman" w:hAnsi="Times New Roman" w:cs="Times New Roman"/>
          <w:bCs/>
          <w:color w:val="000000" w:themeColor="text1"/>
          <w:sz w:val="20"/>
          <w:szCs w:val="20"/>
        </w:rPr>
        <w:t>459 .</w:t>
      </w:r>
      <w:proofErr w:type="gramEnd"/>
      <w:r w:rsidRPr="009975EA">
        <w:rPr>
          <w:rFonts w:ascii="Times New Roman" w:hAnsi="Times New Roman" w:cs="Times New Roman"/>
          <w:bCs/>
          <w:color w:val="000000" w:themeColor="text1"/>
          <w:sz w:val="20"/>
          <w:szCs w:val="20"/>
        </w:rPr>
        <w:t>”</w:t>
      </w:r>
    </w:p>
  </w:footnote>
  <w:footnote w:id="603">
    <w:p w14:paraId="1200A26D"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Brooks v. Hill, 717 So.2d 759 (1998) (Maddox, J., dissenting).</w:t>
      </w:r>
    </w:p>
  </w:footnote>
  <w:footnote w:id="604">
    <w:p w14:paraId="3D63E279" w14:textId="52C00315" w:rsidR="00D36541" w:rsidRPr="009975EA" w:rsidRDefault="00D36541" w:rsidP="00B872AE">
      <w:pPr>
        <w:widowControl w:val="0"/>
        <w:tabs>
          <w:tab w:val="center" w:pos="4703"/>
        </w:tabs>
        <w:autoSpaceDE w:val="0"/>
        <w:autoSpaceDN w:val="0"/>
        <w:adjustRightInd w:val="0"/>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bCs/>
          <w:color w:val="000000" w:themeColor="text1"/>
          <w:sz w:val="20"/>
          <w:szCs w:val="20"/>
        </w:rPr>
        <w:t>Kirley</w:t>
      </w:r>
      <w:proofErr w:type="spellEnd"/>
      <w:r w:rsidRPr="009975EA">
        <w:rPr>
          <w:rFonts w:ascii="Times New Roman" w:hAnsi="Times New Roman" w:cs="Times New Roman"/>
          <w:bCs/>
          <w:color w:val="000000" w:themeColor="text1"/>
          <w:sz w:val="20"/>
          <w:szCs w:val="20"/>
        </w:rPr>
        <w:t xml:space="preserve"> v. </w:t>
      </w:r>
      <w:proofErr w:type="spellStart"/>
      <w:r w:rsidRPr="009975EA">
        <w:rPr>
          <w:rFonts w:ascii="Times New Roman" w:hAnsi="Times New Roman" w:cs="Times New Roman"/>
          <w:bCs/>
          <w:color w:val="000000" w:themeColor="text1"/>
          <w:sz w:val="20"/>
          <w:szCs w:val="20"/>
        </w:rPr>
        <w:t>Kirley</w:t>
      </w:r>
      <w:proofErr w:type="spellEnd"/>
      <w:r w:rsidRPr="009975EA">
        <w:rPr>
          <w:rFonts w:ascii="Times New Roman" w:hAnsi="Times New Roman" w:cs="Times New Roman"/>
          <w:bCs/>
          <w:color w:val="000000" w:themeColor="text1"/>
          <w:sz w:val="20"/>
          <w:szCs w:val="20"/>
        </w:rPr>
        <w:t xml:space="preserve">, 25 </w:t>
      </w:r>
      <w:proofErr w:type="spellStart"/>
      <w:r w:rsidRPr="009975EA">
        <w:rPr>
          <w:rFonts w:ascii="Times New Roman" w:hAnsi="Times New Roman" w:cs="Times New Roman"/>
          <w:bCs/>
          <w:color w:val="000000" w:themeColor="text1"/>
          <w:sz w:val="20"/>
          <w:szCs w:val="20"/>
        </w:rPr>
        <w:t>Mass.App.Ct</w:t>
      </w:r>
      <w:proofErr w:type="spellEnd"/>
      <w:r w:rsidRPr="009975EA">
        <w:rPr>
          <w:rFonts w:ascii="Times New Roman" w:hAnsi="Times New Roman" w:cs="Times New Roman"/>
          <w:bCs/>
          <w:color w:val="000000" w:themeColor="text1"/>
          <w:sz w:val="20"/>
          <w:szCs w:val="20"/>
        </w:rPr>
        <w:t>. 651 (1988).</w:t>
      </w:r>
      <w:r>
        <w:rPr>
          <w:rFonts w:ascii="Times New Roman" w:hAnsi="Times New Roman" w:cs="Times New Roman"/>
          <w:bCs/>
          <w:color w:val="000000" w:themeColor="text1"/>
          <w:sz w:val="20"/>
          <w:szCs w:val="20"/>
        </w:rPr>
        <w:tab/>
      </w:r>
    </w:p>
  </w:footnote>
  <w:footnote w:id="605">
    <w:p w14:paraId="3BF4229C"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Brooks v. Hill, 717 So.2d 759 (1998), the court stated that breach of fiduciary duty by a director should be viewed as tort, rather than a breach of an implied contract. In In re U.S. Eagle Corp., 484 B.R. 640 (2012) case in which the Court applied the internal affairs doctrine to choose the substantive law that will be used to resolve the shareholder oppression claim. Similarly, see: Conway v. </w:t>
      </w:r>
      <w:proofErr w:type="spellStart"/>
      <w:r w:rsidRPr="009975EA">
        <w:rPr>
          <w:rFonts w:ascii="Times New Roman" w:hAnsi="Times New Roman" w:cs="Times New Roman"/>
          <w:sz w:val="20"/>
          <w:szCs w:val="20"/>
        </w:rPr>
        <w:t>DialAmerica</w:t>
      </w:r>
      <w:proofErr w:type="spellEnd"/>
      <w:r w:rsidRPr="009975EA">
        <w:rPr>
          <w:rFonts w:ascii="Times New Roman" w:hAnsi="Times New Roman" w:cs="Times New Roman"/>
          <w:sz w:val="20"/>
          <w:szCs w:val="20"/>
        </w:rPr>
        <w:t xml:space="preserve"> Marketing, Inc., No. BER- C-116-08 (N.J. Super. Ct. Ch. Div. Sept. 30, 2008)</w:t>
      </w:r>
    </w:p>
  </w:footnote>
  <w:footnote w:id="606">
    <w:p w14:paraId="1FF820B4" w14:textId="5F33ACA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Ca. Corp. Code Sec. 2115(b). On the other hand, there are foreign jurisdictions, such as Hong Kong (see, Companies Ordinance (Cap. 622), Sec. 722(1)), that apply their own oppression law to foreign corporations establishing a place of business in their jurisdiction, and apply the oppression statute to foreign corporations listed in their stock exchanges through this channel (For Hong Kong’s situation, see, David C. Donald, A Financial Centre for Two Empires, Cambridge 2014, p. 156). However, this aspect of the oppression statutes in such jurisdictions should be seen as the topics connection with public policy, rather than a notion that effects its contractual nature.</w:t>
      </w:r>
    </w:p>
  </w:footnote>
  <w:footnote w:id="607">
    <w:p w14:paraId="0D7E8924" w14:textId="0E3814C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Means, p. 464.</w:t>
      </w:r>
    </w:p>
  </w:footnote>
  <w:footnote w:id="608">
    <w:p w14:paraId="6035D531" w14:textId="77777777" w:rsidR="00D36541" w:rsidRPr="009975EA" w:rsidRDefault="00D36541" w:rsidP="00C5035D">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re U.S. Eagle Corp., 484 B.R. 640 (2012).</w:t>
      </w:r>
    </w:p>
  </w:footnote>
  <w:footnote w:id="609">
    <w:p w14:paraId="560B7D25"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Kirley</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Kirley</w:t>
      </w:r>
      <w:proofErr w:type="spellEnd"/>
      <w:r w:rsidRPr="009975EA">
        <w:rPr>
          <w:rFonts w:ascii="Times New Roman" w:hAnsi="Times New Roman" w:cs="Times New Roman"/>
          <w:sz w:val="20"/>
          <w:szCs w:val="20"/>
        </w:rPr>
        <w:t>, 25 Mass. App. Ct. 651 (1988).</w:t>
      </w:r>
    </w:p>
  </w:footnote>
  <w:footnote w:id="610">
    <w:p w14:paraId="2863C2D1" w14:textId="1F96DA5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Ritchie v. </w:t>
      </w:r>
      <w:proofErr w:type="spellStart"/>
      <w:r w:rsidRPr="009975EA">
        <w:rPr>
          <w:rFonts w:ascii="Times New Roman" w:hAnsi="Times New Roman" w:cs="Times New Roman"/>
          <w:sz w:val="20"/>
          <w:szCs w:val="20"/>
        </w:rPr>
        <w:t>Rupe</w:t>
      </w:r>
      <w:proofErr w:type="spellEnd"/>
      <w:r w:rsidRPr="009975EA">
        <w:rPr>
          <w:rFonts w:ascii="Times New Roman" w:hAnsi="Times New Roman" w:cs="Times New Roman"/>
          <w:sz w:val="20"/>
          <w:szCs w:val="20"/>
        </w:rPr>
        <w:t>, 443 S.W.3d 856 (2014), evaluating the creation of a common-law shareholder oppression claim under tort law.</w:t>
      </w:r>
    </w:p>
  </w:footnote>
  <w:footnote w:id="611">
    <w:p w14:paraId="1FE08EAB"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Kirley</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Kirley</w:t>
      </w:r>
      <w:proofErr w:type="spellEnd"/>
      <w:r w:rsidRPr="009975EA">
        <w:rPr>
          <w:rFonts w:ascii="Times New Roman" w:hAnsi="Times New Roman" w:cs="Times New Roman"/>
          <w:sz w:val="20"/>
          <w:szCs w:val="20"/>
        </w:rPr>
        <w:t>, 25 Mass. App. Ct. 651 (1988).</w:t>
      </w:r>
    </w:p>
  </w:footnote>
  <w:footnote w:id="612">
    <w:p w14:paraId="04CE015A" w14:textId="0510553A" w:rsidR="00D36541" w:rsidRPr="009975EA" w:rsidRDefault="00D36541" w:rsidP="00F052FB">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Brooks v. Hill, 717 So. 2d 759 (1998). </w:t>
      </w:r>
      <w:r>
        <w:rPr>
          <w:rFonts w:ascii="Times New Roman" w:hAnsi="Times New Roman" w:cs="Times New Roman"/>
          <w:sz w:val="20"/>
          <w:szCs w:val="20"/>
        </w:rPr>
        <w:tab/>
      </w:r>
    </w:p>
  </w:footnote>
  <w:footnote w:id="613">
    <w:p w14:paraId="01953D88" w14:textId="367C444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Woods v. Fox Broadcasting Sub., Inc., 129 Cal. App. 4</w:t>
      </w:r>
      <w:r w:rsidRPr="009975EA">
        <w:rPr>
          <w:rFonts w:ascii="Times New Roman" w:hAnsi="Times New Roman" w:cs="Times New Roman"/>
          <w:sz w:val="20"/>
          <w:szCs w:val="20"/>
          <w:vertAlign w:val="superscript"/>
        </w:rPr>
        <w:t>th</w:t>
      </w:r>
      <w:r w:rsidRPr="009975EA">
        <w:rPr>
          <w:rFonts w:ascii="Times New Roman" w:hAnsi="Times New Roman" w:cs="Times New Roman"/>
          <w:sz w:val="20"/>
          <w:szCs w:val="20"/>
        </w:rPr>
        <w:t xml:space="preserve"> 344 (2005): “…our courts have allowed contract </w:t>
      </w:r>
      <w:proofErr w:type="spellStart"/>
      <w:r w:rsidRPr="009975EA">
        <w:rPr>
          <w:rFonts w:ascii="Times New Roman" w:hAnsi="Times New Roman" w:cs="Times New Roman"/>
          <w:sz w:val="20"/>
          <w:szCs w:val="20"/>
        </w:rPr>
        <w:t>intereference</w:t>
      </w:r>
      <w:proofErr w:type="spellEnd"/>
      <w:r w:rsidRPr="009975EA">
        <w:rPr>
          <w:rFonts w:ascii="Times New Roman" w:hAnsi="Times New Roman" w:cs="Times New Roman"/>
          <w:sz w:val="20"/>
          <w:szCs w:val="20"/>
        </w:rPr>
        <w:t xml:space="preserve"> claims to be stated against owners, officers, and directors of the company whose contract was subject of the litigation.”</w:t>
      </w:r>
    </w:p>
  </w:footnote>
  <w:footnote w:id="614">
    <w:p w14:paraId="24957837" w14:textId="7B6128EF" w:rsidR="00D36541" w:rsidRPr="009975EA" w:rsidRDefault="00D36541" w:rsidP="00F052FB">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Brothers v. Winstead, 129 So.3d 906 (2014).</w:t>
      </w:r>
      <w:r>
        <w:rPr>
          <w:rFonts w:ascii="Times New Roman" w:hAnsi="Times New Roman" w:cs="Times New Roman"/>
          <w:sz w:val="20"/>
          <w:szCs w:val="20"/>
        </w:rPr>
        <w:tab/>
      </w:r>
    </w:p>
  </w:footnote>
  <w:footnote w:id="615">
    <w:p w14:paraId="61A3BC2D" w14:textId="6ABF4F1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Dooley/Goldman, p.749.</w:t>
      </w:r>
    </w:p>
  </w:footnote>
  <w:footnote w:id="616">
    <w:p w14:paraId="52E08C3B" w14:textId="36ACAE2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J.A.C. Hetherington, </w:t>
      </w:r>
      <w:r w:rsidRPr="009975EA">
        <w:rPr>
          <w:rFonts w:ascii="Times New Roman" w:hAnsi="Times New Roman" w:cs="Times New Roman"/>
          <w:sz w:val="20"/>
          <w:szCs w:val="20"/>
        </w:rPr>
        <w:t xml:space="preserve">Michael P. Dooley, </w:t>
      </w:r>
      <w:r w:rsidRPr="00F052FB">
        <w:rPr>
          <w:rFonts w:ascii="Times New Roman" w:hAnsi="Times New Roman" w:cs="Times New Roman"/>
          <w:i/>
          <w:sz w:val="20"/>
          <w:szCs w:val="20"/>
        </w:rPr>
        <w:t>Illiquidity and Exploitation: A Proposed Statutory Solution to the Remaining Close Corporation Problem</w:t>
      </w:r>
      <w:r>
        <w:rPr>
          <w:rFonts w:ascii="Times New Roman" w:hAnsi="Times New Roman" w:cs="Times New Roman"/>
          <w:sz w:val="20"/>
          <w:szCs w:val="20"/>
        </w:rPr>
        <w:t xml:space="preserve">, 63 Va. L. Rev. 1 (1977) at </w:t>
      </w:r>
      <w:r w:rsidRPr="009975EA">
        <w:rPr>
          <w:rFonts w:ascii="Times New Roman" w:hAnsi="Times New Roman" w:cs="Times New Roman"/>
          <w:sz w:val="20"/>
          <w:szCs w:val="20"/>
        </w:rPr>
        <w:t>9.</w:t>
      </w:r>
    </w:p>
  </w:footnote>
  <w:footnote w:id="617">
    <w:p w14:paraId="4032D7C1" w14:textId="4927DC0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212121"/>
          <w:sz w:val="20"/>
          <w:szCs w:val="20"/>
        </w:rPr>
        <w:t xml:space="preserve">Mary Siegel, </w:t>
      </w:r>
      <w:r w:rsidRPr="00F052FB">
        <w:rPr>
          <w:rFonts w:ascii="Times New Roman" w:hAnsi="Times New Roman" w:cs="Times New Roman"/>
          <w:i/>
          <w:color w:val="212121"/>
          <w:sz w:val="20"/>
          <w:szCs w:val="20"/>
        </w:rPr>
        <w:t>Fiduciary Duty Myths in Close Corporate Law,</w:t>
      </w:r>
      <w:r w:rsidRPr="009975EA">
        <w:rPr>
          <w:rFonts w:ascii="Times New Roman" w:hAnsi="Times New Roman" w:cs="Times New Roman"/>
          <w:color w:val="212121"/>
          <w:sz w:val="20"/>
          <w:szCs w:val="20"/>
        </w:rPr>
        <w:t xml:space="preserve"> 29 Del. J. Corp. L. 377 (2004)</w:t>
      </w:r>
      <w:r>
        <w:rPr>
          <w:rFonts w:ascii="Times New Roman" w:hAnsi="Times New Roman" w:cs="Times New Roman"/>
          <w:color w:val="212121"/>
          <w:sz w:val="20"/>
          <w:szCs w:val="20"/>
        </w:rPr>
        <w:t xml:space="preserve"> at </w:t>
      </w:r>
      <w:r w:rsidRPr="009975EA">
        <w:rPr>
          <w:rFonts w:ascii="Times New Roman" w:hAnsi="Times New Roman" w:cs="Times New Roman"/>
          <w:sz w:val="20"/>
          <w:szCs w:val="20"/>
        </w:rPr>
        <w:t>447.</w:t>
      </w:r>
    </w:p>
  </w:footnote>
  <w:footnote w:id="618">
    <w:p w14:paraId="1EE8A258" w14:textId="72F46535" w:rsidR="00D36541" w:rsidRPr="009975EA" w:rsidRDefault="00D36541" w:rsidP="00F052FB">
      <w:pPr>
        <w:pStyle w:val="DipnotMetni"/>
        <w:tabs>
          <w:tab w:val="left" w:pos="3859"/>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Hirsch/Sheppard, p.11.</w:t>
      </w:r>
      <w:r>
        <w:rPr>
          <w:rFonts w:ascii="Times New Roman" w:hAnsi="Times New Roman" w:cs="Times New Roman"/>
          <w:sz w:val="20"/>
          <w:szCs w:val="20"/>
        </w:rPr>
        <w:tab/>
      </w:r>
    </w:p>
  </w:footnote>
  <w:footnote w:id="619">
    <w:p w14:paraId="5DA8BF2B"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Garza v. TV Answer, Inc., 19 Del. J. Corp. L. 290 (1993): “I do not read </w:t>
      </w:r>
      <w:proofErr w:type="spellStart"/>
      <w:r w:rsidRPr="009975EA">
        <w:rPr>
          <w:rFonts w:ascii="Times New Roman" w:hAnsi="Times New Roman" w:cs="Times New Roman"/>
          <w:sz w:val="20"/>
          <w:szCs w:val="20"/>
        </w:rPr>
        <w:t>Litle</w:t>
      </w:r>
      <w:proofErr w:type="spellEnd"/>
      <w:r w:rsidRPr="009975EA">
        <w:rPr>
          <w:rFonts w:ascii="Times New Roman" w:hAnsi="Times New Roman" w:cs="Times New Roman"/>
          <w:sz w:val="20"/>
          <w:szCs w:val="20"/>
        </w:rPr>
        <w:t xml:space="preserve"> as establishing an independent cause of action for “oppressive abuse of discretion” distinct from a cause of action based on breach of fiduciary duty”</w:t>
      </w:r>
    </w:p>
  </w:footnote>
  <w:footnote w:id="620">
    <w:p w14:paraId="2DBAAD1D" w14:textId="689F84C4" w:rsidR="00D36541" w:rsidRPr="009975EA" w:rsidRDefault="00D36541" w:rsidP="009975EA">
      <w:pPr>
        <w:pStyle w:val="p1"/>
        <w:jc w:val="both"/>
        <w:rPr>
          <w:rFonts w:ascii="Times New Roman" w:hAnsi="Times New Roman" w:cs="Times New Roman"/>
          <w:color w:val="212121"/>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212121"/>
          <w:sz w:val="20"/>
          <w:szCs w:val="20"/>
        </w:rPr>
        <w:t>Moreover</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although</w:t>
      </w:r>
      <w:proofErr w:type="spellEnd"/>
      <w:r w:rsidRPr="009975EA">
        <w:rPr>
          <w:rFonts w:ascii="Times New Roman" w:hAnsi="Times New Roman" w:cs="Times New Roman"/>
          <w:color w:val="212121"/>
          <w:sz w:val="20"/>
          <w:szCs w:val="20"/>
        </w:rPr>
        <w:t xml:space="preserve"> not </w:t>
      </w:r>
      <w:proofErr w:type="spellStart"/>
      <w:r w:rsidRPr="009975EA">
        <w:rPr>
          <w:rFonts w:ascii="Times New Roman" w:hAnsi="Times New Roman" w:cs="Times New Roman"/>
          <w:color w:val="212121"/>
          <w:sz w:val="20"/>
          <w:szCs w:val="20"/>
        </w:rPr>
        <w:t>explicitly</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addressing</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doctrines</w:t>
      </w:r>
      <w:proofErr w:type="spellEnd"/>
      <w:r w:rsidRPr="009975EA">
        <w:rPr>
          <w:rFonts w:ascii="Times New Roman" w:hAnsi="Times New Roman" w:cs="Times New Roman"/>
          <w:color w:val="212121"/>
          <w:sz w:val="20"/>
          <w:szCs w:val="20"/>
        </w:rPr>
        <w:t xml:space="preserve"> of “</w:t>
      </w:r>
      <w:proofErr w:type="spellStart"/>
      <w:r w:rsidRPr="009975EA">
        <w:rPr>
          <w:rFonts w:ascii="Times New Roman" w:hAnsi="Times New Roman" w:cs="Times New Roman"/>
          <w:color w:val="212121"/>
          <w:sz w:val="20"/>
          <w:szCs w:val="20"/>
        </w:rPr>
        <w:t>oppression</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or</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reasonable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expectations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Nixon's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admonition</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that</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only</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legislature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and</w:t>
      </w:r>
      <w:proofErr w:type="spellEnd"/>
      <w:r w:rsidRPr="009975EA">
        <w:rPr>
          <w:rFonts w:ascii="Times New Roman" w:hAnsi="Times New Roman" w:cs="Times New Roman"/>
          <w:color w:val="212121"/>
          <w:sz w:val="20"/>
          <w:szCs w:val="20"/>
        </w:rPr>
        <w:t xml:space="preserve"> not </w:t>
      </w:r>
      <w:proofErr w:type="spellStart"/>
      <w:r w:rsidRPr="009975EA">
        <w:rPr>
          <w:rFonts w:ascii="Times New Roman" w:hAnsi="Times New Roman" w:cs="Times New Roman"/>
          <w:color w:val="212121"/>
          <w:sz w:val="20"/>
          <w:szCs w:val="20"/>
        </w:rPr>
        <w:t>courts</w:t>
      </w:r>
      <w:proofErr w:type="spellEnd"/>
      <w:r w:rsidRPr="009975EA">
        <w:rPr>
          <w:rFonts w:ascii="Times New Roman" w:hAnsi="Times New Roman" w:cs="Times New Roman"/>
          <w:color w:val="212121"/>
          <w:sz w:val="20"/>
          <w:szCs w:val="20"/>
        </w:rPr>
        <w:t xml:space="preserve">, can </w:t>
      </w:r>
      <w:proofErr w:type="spellStart"/>
      <w:r w:rsidRPr="009975EA">
        <w:rPr>
          <w:rFonts w:ascii="Times New Roman" w:hAnsi="Times New Roman" w:cs="Times New Roman"/>
          <w:color w:val="212121"/>
          <w:sz w:val="20"/>
          <w:szCs w:val="20"/>
        </w:rPr>
        <w:t>create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different</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standards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for</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close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corporations</w:t>
      </w:r>
      <w:proofErr w:type="spellEnd"/>
      <w:r w:rsidRPr="009975EA">
        <w:rPr>
          <w:rFonts w:ascii="Times New Roman" w:hAnsi="Times New Roman" w:cs="Times New Roman"/>
          <w:color w:val="212121"/>
          <w:sz w:val="20"/>
          <w:szCs w:val="20"/>
        </w:rPr>
        <w:t xml:space="preserve"> is an </w:t>
      </w:r>
      <w:proofErr w:type="spellStart"/>
      <w:r w:rsidRPr="009975EA">
        <w:rPr>
          <w:rFonts w:ascii="Times New Roman" w:hAnsi="Times New Roman" w:cs="Times New Roman"/>
          <w:color w:val="212121"/>
          <w:sz w:val="20"/>
          <w:szCs w:val="20"/>
        </w:rPr>
        <w:t>implicit</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rejection</w:t>
      </w:r>
      <w:proofErr w:type="spellEnd"/>
      <w:r w:rsidRPr="009975EA">
        <w:rPr>
          <w:rFonts w:ascii="Times New Roman" w:hAnsi="Times New Roman" w:cs="Times New Roman"/>
          <w:color w:val="212121"/>
          <w:sz w:val="20"/>
          <w:szCs w:val="20"/>
        </w:rPr>
        <w:t xml:space="preserve"> of </w:t>
      </w:r>
      <w:proofErr w:type="spellStart"/>
      <w:r w:rsidRPr="009975EA">
        <w:rPr>
          <w:rFonts w:ascii="Times New Roman" w:hAnsi="Times New Roman" w:cs="Times New Roman"/>
          <w:color w:val="212121"/>
          <w:sz w:val="20"/>
          <w:szCs w:val="20"/>
        </w:rPr>
        <w:t>those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doctrines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because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Delaware </w:t>
      </w:r>
      <w:proofErr w:type="spellStart"/>
      <w:r w:rsidRPr="009975EA">
        <w:rPr>
          <w:rFonts w:ascii="Times New Roman" w:hAnsi="Times New Roman" w:cs="Times New Roman"/>
          <w:color w:val="212121"/>
          <w:sz w:val="20"/>
          <w:szCs w:val="20"/>
        </w:rPr>
        <w:t>corporate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statute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does</w:t>
      </w:r>
      <w:proofErr w:type="spellEnd"/>
      <w:r w:rsidRPr="009975EA">
        <w:rPr>
          <w:rFonts w:ascii="Times New Roman" w:hAnsi="Times New Roman" w:cs="Times New Roman"/>
          <w:color w:val="212121"/>
          <w:sz w:val="20"/>
          <w:szCs w:val="20"/>
        </w:rPr>
        <w:t xml:space="preserve"> not </w:t>
      </w:r>
      <w:proofErr w:type="spellStart"/>
      <w:r w:rsidRPr="009975EA">
        <w:rPr>
          <w:rFonts w:ascii="Times New Roman" w:hAnsi="Times New Roman" w:cs="Times New Roman"/>
          <w:color w:val="212121"/>
          <w:sz w:val="20"/>
          <w:szCs w:val="20"/>
        </w:rPr>
        <w:t>address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either</w:t>
      </w:r>
      <w:proofErr w:type="spellEnd"/>
      <w:r w:rsidRPr="009975EA">
        <w:rPr>
          <w:rFonts w:ascii="Times New Roman" w:hAnsi="Times New Roman" w:cs="Times New Roman"/>
          <w:color w:val="212121"/>
          <w:sz w:val="20"/>
          <w:szCs w:val="20"/>
        </w:rPr>
        <w:t xml:space="preserve"> of </w:t>
      </w:r>
      <w:proofErr w:type="spellStart"/>
      <w:r w:rsidRPr="009975EA">
        <w:rPr>
          <w:rFonts w:ascii="Times New Roman" w:hAnsi="Times New Roman" w:cs="Times New Roman"/>
          <w:color w:val="212121"/>
          <w:sz w:val="20"/>
          <w:szCs w:val="20"/>
        </w:rPr>
        <w:t>them</w:t>
      </w:r>
      <w:proofErr w:type="spellEnd"/>
      <w:r w:rsidRPr="009975EA">
        <w:rPr>
          <w:rFonts w:ascii="Times New Roman" w:hAnsi="Times New Roman" w:cs="Times New Roman"/>
          <w:color w:val="212121"/>
          <w:sz w:val="20"/>
          <w:szCs w:val="20"/>
        </w:rPr>
        <w:t>.” (</w:t>
      </w:r>
      <w:proofErr w:type="spellStart"/>
      <w:r w:rsidRPr="009975EA">
        <w:rPr>
          <w:rFonts w:ascii="Times New Roman" w:hAnsi="Times New Roman" w:cs="Times New Roman"/>
          <w:color w:val="212121"/>
          <w:sz w:val="20"/>
          <w:szCs w:val="20"/>
        </w:rPr>
        <w:t>Siegel</w:t>
      </w:r>
      <w:proofErr w:type="spellEnd"/>
      <w:r w:rsidRPr="009975EA">
        <w:rPr>
          <w:rFonts w:ascii="Times New Roman" w:hAnsi="Times New Roman" w:cs="Times New Roman"/>
          <w:color w:val="212121"/>
          <w:sz w:val="20"/>
          <w:szCs w:val="20"/>
        </w:rPr>
        <w:t>, p.411)</w:t>
      </w:r>
    </w:p>
  </w:footnote>
  <w:footnote w:id="621">
    <w:p w14:paraId="6D8FF8DD"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Leonard</w:t>
      </w:r>
      <w:proofErr w:type="spellEnd"/>
      <w:r w:rsidRPr="009975EA">
        <w:rPr>
          <w:rFonts w:ascii="Times New Roman" w:hAnsi="Times New Roman" w:cs="Times New Roman"/>
          <w:sz w:val="20"/>
          <w:szCs w:val="20"/>
        </w:rPr>
        <w:t xml:space="preserve"> I. </w:t>
      </w:r>
      <w:proofErr w:type="spellStart"/>
      <w:r w:rsidRPr="009975EA">
        <w:rPr>
          <w:rFonts w:ascii="Times New Roman" w:hAnsi="Times New Roman" w:cs="Times New Roman"/>
          <w:sz w:val="20"/>
          <w:szCs w:val="20"/>
        </w:rPr>
        <w:t>Rotman</w:t>
      </w:r>
      <w:proofErr w:type="spellEnd"/>
      <w:r w:rsidRPr="00F052FB">
        <w:rPr>
          <w:rFonts w:ascii="Times New Roman" w:hAnsi="Times New Roman" w:cs="Times New Roman"/>
          <w:i/>
          <w:sz w:val="20"/>
          <w:szCs w:val="20"/>
        </w:rPr>
        <w:t xml:space="preserve">, </w:t>
      </w:r>
      <w:proofErr w:type="spellStart"/>
      <w:r w:rsidRPr="00F052FB">
        <w:rPr>
          <w:rFonts w:ascii="Times New Roman" w:hAnsi="Times New Roman" w:cs="Times New Roman"/>
          <w:i/>
          <w:sz w:val="20"/>
          <w:szCs w:val="20"/>
        </w:rPr>
        <w:t>Debunking</w:t>
      </w:r>
      <w:proofErr w:type="spellEnd"/>
      <w:r w:rsidRPr="00F052FB">
        <w:rPr>
          <w:rFonts w:ascii="Times New Roman" w:hAnsi="Times New Roman" w:cs="Times New Roman"/>
          <w:i/>
          <w:sz w:val="20"/>
          <w:szCs w:val="20"/>
        </w:rPr>
        <w:t xml:space="preserve"> </w:t>
      </w:r>
      <w:proofErr w:type="spellStart"/>
      <w:r w:rsidRPr="00F052FB">
        <w:rPr>
          <w:rFonts w:ascii="Times New Roman" w:hAnsi="Times New Roman" w:cs="Times New Roman"/>
          <w:i/>
          <w:sz w:val="20"/>
          <w:szCs w:val="20"/>
        </w:rPr>
        <w:t>the</w:t>
      </w:r>
      <w:proofErr w:type="spellEnd"/>
      <w:r w:rsidRPr="00F052FB">
        <w:rPr>
          <w:rFonts w:ascii="Times New Roman" w:hAnsi="Times New Roman" w:cs="Times New Roman"/>
          <w:i/>
          <w:sz w:val="20"/>
          <w:szCs w:val="20"/>
        </w:rPr>
        <w:t xml:space="preserve"> “</w:t>
      </w:r>
      <w:proofErr w:type="spellStart"/>
      <w:r w:rsidRPr="00F052FB">
        <w:rPr>
          <w:rFonts w:ascii="Times New Roman" w:hAnsi="Times New Roman" w:cs="Times New Roman"/>
          <w:i/>
          <w:sz w:val="20"/>
          <w:szCs w:val="20"/>
        </w:rPr>
        <w:t>End</w:t>
      </w:r>
      <w:proofErr w:type="spellEnd"/>
      <w:r w:rsidRPr="00F052FB">
        <w:rPr>
          <w:rFonts w:ascii="Times New Roman" w:hAnsi="Times New Roman" w:cs="Times New Roman"/>
          <w:i/>
          <w:sz w:val="20"/>
          <w:szCs w:val="20"/>
        </w:rPr>
        <w:t xml:space="preserve"> of </w:t>
      </w:r>
      <w:proofErr w:type="spellStart"/>
      <w:r w:rsidRPr="00F052FB">
        <w:rPr>
          <w:rFonts w:ascii="Times New Roman" w:hAnsi="Times New Roman" w:cs="Times New Roman"/>
          <w:i/>
          <w:sz w:val="20"/>
          <w:szCs w:val="20"/>
        </w:rPr>
        <w:t>History</w:t>
      </w:r>
      <w:proofErr w:type="spellEnd"/>
      <w:r w:rsidRPr="00F052FB">
        <w:rPr>
          <w:rFonts w:ascii="Times New Roman" w:hAnsi="Times New Roman" w:cs="Times New Roman"/>
          <w:i/>
          <w:sz w:val="20"/>
          <w:szCs w:val="20"/>
        </w:rPr>
        <w:t xml:space="preserve">” </w:t>
      </w:r>
      <w:proofErr w:type="spellStart"/>
      <w:r w:rsidRPr="00F052FB">
        <w:rPr>
          <w:rFonts w:ascii="Times New Roman" w:hAnsi="Times New Roman" w:cs="Times New Roman"/>
          <w:i/>
          <w:sz w:val="20"/>
          <w:szCs w:val="20"/>
        </w:rPr>
        <w:t>Thesis</w:t>
      </w:r>
      <w:proofErr w:type="spellEnd"/>
      <w:r w:rsidRPr="00F052FB">
        <w:rPr>
          <w:rFonts w:ascii="Times New Roman" w:hAnsi="Times New Roman" w:cs="Times New Roman"/>
          <w:i/>
          <w:sz w:val="20"/>
          <w:szCs w:val="20"/>
        </w:rPr>
        <w:t xml:space="preserve"> </w:t>
      </w:r>
      <w:proofErr w:type="spellStart"/>
      <w:r w:rsidRPr="00F052FB">
        <w:rPr>
          <w:rFonts w:ascii="Times New Roman" w:hAnsi="Times New Roman" w:cs="Times New Roman"/>
          <w:i/>
          <w:sz w:val="20"/>
          <w:szCs w:val="20"/>
        </w:rPr>
        <w:t>for</w:t>
      </w:r>
      <w:proofErr w:type="spellEnd"/>
      <w:r w:rsidRPr="00F052FB">
        <w:rPr>
          <w:rFonts w:ascii="Times New Roman" w:hAnsi="Times New Roman" w:cs="Times New Roman"/>
          <w:i/>
          <w:sz w:val="20"/>
          <w:szCs w:val="20"/>
        </w:rPr>
        <w:t xml:space="preserve"> </w:t>
      </w:r>
      <w:proofErr w:type="spellStart"/>
      <w:r w:rsidRPr="00F052FB">
        <w:rPr>
          <w:rFonts w:ascii="Times New Roman" w:hAnsi="Times New Roman" w:cs="Times New Roman"/>
          <w:i/>
          <w:sz w:val="20"/>
          <w:szCs w:val="20"/>
        </w:rPr>
        <w:t>Corporate</w:t>
      </w:r>
      <w:proofErr w:type="spellEnd"/>
      <w:r w:rsidRPr="00F052FB">
        <w:rPr>
          <w:rFonts w:ascii="Times New Roman" w:hAnsi="Times New Roman" w:cs="Times New Roman"/>
          <w:i/>
          <w:sz w:val="20"/>
          <w:szCs w:val="20"/>
        </w:rPr>
        <w:t xml:space="preserve"> </w:t>
      </w:r>
      <w:proofErr w:type="spellStart"/>
      <w:r w:rsidRPr="00F052FB">
        <w:rPr>
          <w:rFonts w:ascii="Times New Roman" w:hAnsi="Times New Roman" w:cs="Times New Roman"/>
          <w:i/>
          <w:sz w:val="20"/>
          <w:szCs w:val="20"/>
        </w:rPr>
        <w:t>Law</w:t>
      </w:r>
      <w:proofErr w:type="spellEnd"/>
      <w:r w:rsidRPr="009975EA">
        <w:rPr>
          <w:rFonts w:ascii="Times New Roman" w:hAnsi="Times New Roman" w:cs="Times New Roman"/>
          <w:sz w:val="20"/>
          <w:szCs w:val="20"/>
        </w:rPr>
        <w:t xml:space="preserve">, 33 B.C. </w:t>
      </w:r>
      <w:proofErr w:type="spellStart"/>
      <w:r w:rsidRPr="009975EA">
        <w:rPr>
          <w:rFonts w:ascii="Times New Roman" w:hAnsi="Times New Roman" w:cs="Times New Roman"/>
          <w:sz w:val="20"/>
          <w:szCs w:val="20"/>
        </w:rPr>
        <w:t>Int’l</w:t>
      </w:r>
      <w:proofErr w:type="spellEnd"/>
      <w:r w:rsidRPr="009975EA">
        <w:rPr>
          <w:rFonts w:ascii="Times New Roman" w:hAnsi="Times New Roman" w:cs="Times New Roman"/>
          <w:sz w:val="20"/>
          <w:szCs w:val="20"/>
        </w:rPr>
        <w:t xml:space="preserve"> &amp; </w:t>
      </w:r>
      <w:proofErr w:type="spellStart"/>
      <w:r w:rsidRPr="009975EA">
        <w:rPr>
          <w:rFonts w:ascii="Times New Roman" w:hAnsi="Times New Roman" w:cs="Times New Roman"/>
          <w:sz w:val="20"/>
          <w:szCs w:val="20"/>
        </w:rPr>
        <w:t>Comp</w:t>
      </w:r>
      <w:proofErr w:type="spellEnd"/>
      <w:r w:rsidRPr="009975EA">
        <w:rPr>
          <w:rFonts w:ascii="Times New Roman" w:hAnsi="Times New Roman" w:cs="Times New Roman"/>
          <w:sz w:val="20"/>
          <w:szCs w:val="20"/>
        </w:rPr>
        <w:t xml:space="preserve">. L. </w:t>
      </w:r>
      <w:proofErr w:type="spellStart"/>
      <w:r w:rsidRPr="009975EA">
        <w:rPr>
          <w:rFonts w:ascii="Times New Roman" w:hAnsi="Times New Roman" w:cs="Times New Roman"/>
          <w:sz w:val="20"/>
          <w:szCs w:val="20"/>
        </w:rPr>
        <w:t>Rev</w:t>
      </w:r>
      <w:proofErr w:type="spellEnd"/>
      <w:r w:rsidRPr="009975EA">
        <w:rPr>
          <w:rFonts w:ascii="Times New Roman" w:hAnsi="Times New Roman" w:cs="Times New Roman"/>
          <w:sz w:val="20"/>
          <w:szCs w:val="20"/>
        </w:rPr>
        <w:t xml:space="preserve">. 219 (2010), </w:t>
      </w:r>
      <w:proofErr w:type="spellStart"/>
      <w:r w:rsidRPr="009975EA">
        <w:rPr>
          <w:rFonts w:ascii="Times New Roman" w:hAnsi="Times New Roman" w:cs="Times New Roman"/>
          <w:sz w:val="20"/>
          <w:szCs w:val="20"/>
        </w:rPr>
        <w:t>Footnote</w:t>
      </w:r>
      <w:proofErr w:type="spellEnd"/>
      <w:r w:rsidRPr="009975EA">
        <w:rPr>
          <w:rFonts w:ascii="Times New Roman" w:hAnsi="Times New Roman" w:cs="Times New Roman"/>
          <w:sz w:val="20"/>
          <w:szCs w:val="20"/>
        </w:rPr>
        <w:t xml:space="preserve"> 229.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notion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race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bottom</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explained</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Louis K. </w:t>
      </w:r>
      <w:proofErr w:type="spellStart"/>
      <w:r w:rsidRPr="009975EA">
        <w:rPr>
          <w:rFonts w:ascii="Times New Roman" w:hAnsi="Times New Roman" w:cs="Times New Roman"/>
          <w:sz w:val="20"/>
          <w:szCs w:val="20"/>
        </w:rPr>
        <w:t>Liggett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v. Lee, 288 U.S. 517 (1933) as </w:t>
      </w:r>
      <w:proofErr w:type="spellStart"/>
      <w:r w:rsidRPr="009975EA">
        <w:rPr>
          <w:rFonts w:ascii="Times New Roman" w:hAnsi="Times New Roman" w:cs="Times New Roman"/>
          <w:sz w:val="20"/>
          <w:szCs w:val="20"/>
        </w:rPr>
        <w:t>follows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formed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charters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states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lowest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least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restrictive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joined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advertising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race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not of </w:t>
      </w:r>
      <w:proofErr w:type="spellStart"/>
      <w:r w:rsidRPr="009975EA">
        <w:rPr>
          <w:rFonts w:ascii="Times New Roman" w:hAnsi="Times New Roman" w:cs="Times New Roman"/>
          <w:color w:val="000000"/>
          <w:sz w:val="20"/>
          <w:szCs w:val="20"/>
        </w:rPr>
        <w:t>diligence</w:t>
      </w:r>
      <w:proofErr w:type="spellEnd"/>
      <w:r w:rsidRPr="009975EA">
        <w:rPr>
          <w:rFonts w:ascii="Times New Roman" w:hAnsi="Times New Roman" w:cs="Times New Roman"/>
          <w:color w:val="000000"/>
          <w:sz w:val="20"/>
          <w:szCs w:val="20"/>
        </w:rPr>
        <w:t xml:space="preserve"> but of </w:t>
      </w:r>
      <w:proofErr w:type="spellStart"/>
      <w:r w:rsidRPr="009975EA">
        <w:rPr>
          <w:rFonts w:ascii="Times New Roman" w:hAnsi="Times New Roman" w:cs="Times New Roman"/>
          <w:color w:val="000000"/>
          <w:sz w:val="20"/>
          <w:szCs w:val="20"/>
        </w:rPr>
        <w:t>laxity</w:t>
      </w:r>
      <w:proofErr w:type="spellEnd"/>
      <w:r w:rsidRPr="009975EA">
        <w:rPr>
          <w:rFonts w:ascii="Times New Roman" w:hAnsi="Times New Roman" w:cs="Times New Roman"/>
          <w:color w:val="000000"/>
          <w:sz w:val="20"/>
          <w:szCs w:val="20"/>
        </w:rPr>
        <w:t>.”</w:t>
      </w:r>
    </w:p>
  </w:footnote>
  <w:footnote w:id="622">
    <w:p w14:paraId="474B337D" w14:textId="77777777" w:rsidR="00D36541" w:rsidRPr="009975EA" w:rsidRDefault="00D36541" w:rsidP="009975EA">
      <w:pPr>
        <w:pStyle w:val="DipnotMetni"/>
        <w:tabs>
          <w:tab w:val="center" w:pos="4320"/>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Siegel, p. 467. </w:t>
      </w:r>
      <w:r w:rsidRPr="009975EA">
        <w:rPr>
          <w:rFonts w:ascii="Times New Roman" w:hAnsi="Times New Roman" w:cs="Times New Roman"/>
          <w:sz w:val="20"/>
          <w:szCs w:val="20"/>
        </w:rPr>
        <w:tab/>
      </w:r>
    </w:p>
  </w:footnote>
  <w:footnote w:id="623">
    <w:p w14:paraId="2B033055" w14:textId="10F9C30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r w:rsidRPr="009975EA">
        <w:rPr>
          <w:rFonts w:ascii="Times New Roman" w:hAnsi="Times New Roman" w:cs="Times New Roman"/>
          <w:sz w:val="20"/>
          <w:szCs w:val="20"/>
        </w:rPr>
        <w:t>Thompson, Allocating the Roles, p.386.</w:t>
      </w:r>
    </w:p>
  </w:footnote>
  <w:footnote w:id="624">
    <w:p w14:paraId="3461F243" w14:textId="31D9DB10" w:rsidR="00D36541" w:rsidRPr="009975EA" w:rsidRDefault="00D36541" w:rsidP="00F052FB">
      <w:pPr>
        <w:pStyle w:val="DipnotMetni"/>
        <w:tabs>
          <w:tab w:val="left" w:pos="6984"/>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Reserve Solutions Inc. v. </w:t>
      </w:r>
      <w:proofErr w:type="spellStart"/>
      <w:r w:rsidRPr="009975EA">
        <w:rPr>
          <w:rFonts w:ascii="Times New Roman" w:hAnsi="Times New Roman" w:cs="Times New Roman"/>
          <w:sz w:val="20"/>
          <w:szCs w:val="20"/>
        </w:rPr>
        <w:t>Vernaglia</w:t>
      </w:r>
      <w:proofErr w:type="spellEnd"/>
      <w:r w:rsidRPr="009975EA">
        <w:rPr>
          <w:rFonts w:ascii="Times New Roman" w:hAnsi="Times New Roman" w:cs="Times New Roman"/>
          <w:sz w:val="20"/>
          <w:szCs w:val="20"/>
        </w:rPr>
        <w:t>, 438 F. Supp. 2d 280 (2006).</w:t>
      </w:r>
      <w:r>
        <w:rPr>
          <w:rFonts w:ascii="Times New Roman" w:hAnsi="Times New Roman" w:cs="Times New Roman"/>
          <w:sz w:val="20"/>
          <w:szCs w:val="20"/>
        </w:rPr>
        <w:tab/>
      </w:r>
    </w:p>
  </w:footnote>
  <w:footnote w:id="625">
    <w:p w14:paraId="0B6951D0" w14:textId="0C184C3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Joe W. and Dorothy Dorsett Brown Foundation v. Frazier, 889 F.Supp.2d 893 (2012): “Delaware does not recognize a cause of action for minority shareholder oppression.”</w:t>
      </w:r>
    </w:p>
  </w:footnote>
  <w:footnote w:id="626">
    <w:p w14:paraId="2C97D5D3"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Clemmer v. Cullinane, 62 Mass. App. Ct. 904 (2004). </w:t>
      </w:r>
    </w:p>
  </w:footnote>
  <w:footnote w:id="627">
    <w:p w14:paraId="57F2BF31"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Riblet Products Corp. v. Nagy, 683 A.2d 37 (1996).</w:t>
      </w:r>
    </w:p>
  </w:footnote>
  <w:footnote w:id="628">
    <w:p w14:paraId="591F5569" w14:textId="0112547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John H. Matheson, </w:t>
      </w:r>
      <w:r w:rsidRPr="009975EA">
        <w:rPr>
          <w:rFonts w:ascii="Times New Roman" w:hAnsi="Times New Roman" w:cs="Times New Roman"/>
          <w:sz w:val="20"/>
          <w:szCs w:val="20"/>
        </w:rPr>
        <w:t xml:space="preserve">R. Kevin Maler, </w:t>
      </w:r>
      <w:r w:rsidRPr="00F052FB">
        <w:rPr>
          <w:rFonts w:ascii="Times New Roman" w:hAnsi="Times New Roman" w:cs="Times New Roman"/>
          <w:i/>
          <w:sz w:val="20"/>
          <w:szCs w:val="20"/>
        </w:rPr>
        <w:t>A Simple Statutory Solution to Minority Oppression in the Closely Held Business,</w:t>
      </w:r>
      <w:r w:rsidRPr="009975EA">
        <w:rPr>
          <w:rFonts w:ascii="Times New Roman" w:hAnsi="Times New Roman" w:cs="Times New Roman"/>
          <w:sz w:val="20"/>
          <w:szCs w:val="20"/>
        </w:rPr>
        <w:t xml:space="preserve"> 91 Minn. L. Rev. 657 (2007), p.684.</w:t>
      </w:r>
    </w:p>
  </w:footnote>
  <w:footnote w:id="629">
    <w:p w14:paraId="6F29710E" w14:textId="5EDD84F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Nixon v. Blackwell, 626 A.2d 1366 (1993).</w:t>
      </w:r>
    </w:p>
  </w:footnote>
  <w:footnote w:id="630">
    <w:p w14:paraId="5535E459"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Siegel, p. 405.</w:t>
      </w:r>
    </w:p>
  </w:footnote>
  <w:footnote w:id="631">
    <w:p w14:paraId="46EDE85E" w14:textId="4AF2954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At 1381: “The entire fairness test, correctly applied and articulated, is the proper judicial approach.”</w:t>
      </w:r>
    </w:p>
  </w:footnote>
  <w:footnote w:id="632">
    <w:p w14:paraId="0F861269" w14:textId="3DC8225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Ragazzo</w:t>
      </w:r>
      <w:proofErr w:type="spellEnd"/>
      <w:r w:rsidRPr="009975EA">
        <w:rPr>
          <w:rFonts w:ascii="Times New Roman" w:hAnsi="Times New Roman" w:cs="Times New Roman"/>
          <w:sz w:val="20"/>
          <w:szCs w:val="20"/>
        </w:rPr>
        <w:t>, p. 1126 and 1127. Refer to Chapter 4.3. for the explanation of the entire fairness test.</w:t>
      </w:r>
    </w:p>
  </w:footnote>
  <w:footnote w:id="633">
    <w:p w14:paraId="7DEA6D9F" w14:textId="34FB7231"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At 1380-1381: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do </w:t>
      </w:r>
      <w:proofErr w:type="spellStart"/>
      <w:r w:rsidRPr="009975EA">
        <w:rPr>
          <w:rFonts w:ascii="Times New Roman" w:hAnsi="Times New Roman" w:cs="Times New Roman"/>
          <w:color w:val="000000"/>
          <w:sz w:val="20"/>
          <w:szCs w:val="20"/>
        </w:rPr>
        <w:t>violence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normal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practice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fashion</w:t>
      </w:r>
      <w:proofErr w:type="spellEnd"/>
      <w:r w:rsidRPr="009975EA">
        <w:rPr>
          <w:rFonts w:ascii="Times New Roman" w:hAnsi="Times New Roman" w:cs="Times New Roman"/>
          <w:color w:val="000000"/>
          <w:sz w:val="20"/>
          <w:szCs w:val="20"/>
        </w:rPr>
        <w:t xml:space="preserve"> an ad hoc </w:t>
      </w:r>
      <w:proofErr w:type="spellStart"/>
      <w:r w:rsidRPr="009975EA">
        <w:rPr>
          <w:rFonts w:ascii="Times New Roman" w:hAnsi="Times New Roman" w:cs="Times New Roman"/>
          <w:color w:val="000000"/>
          <w:sz w:val="20"/>
          <w:szCs w:val="20"/>
        </w:rPr>
        <w:t>ruling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result</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court-imposed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w:t>
      </w:r>
      <w:proofErr w:type="spellEnd"/>
      <w:r w:rsidRPr="009975EA">
        <w:rPr>
          <w:rFonts w:ascii="Times New Roman" w:hAnsi="Times New Roman" w:cs="Times New Roman"/>
          <w:color w:val="000000"/>
          <w:sz w:val="20"/>
          <w:szCs w:val="20"/>
        </w:rPr>
        <w:t xml:space="preserve"> buy-</w:t>
      </w:r>
      <w:proofErr w:type="spellStart"/>
      <w:r w:rsidRPr="009975EA">
        <w:rPr>
          <w:rFonts w:ascii="Times New Roman" w:hAnsi="Times New Roman" w:cs="Times New Roman"/>
          <w:color w:val="000000"/>
          <w:sz w:val="20"/>
          <w:szCs w:val="20"/>
        </w:rPr>
        <w:t>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had not </w:t>
      </w:r>
      <w:proofErr w:type="spellStart"/>
      <w:r w:rsidRPr="009975EA">
        <w:rPr>
          <w:rFonts w:ascii="Times New Roman" w:hAnsi="Times New Roman" w:cs="Times New Roman"/>
          <w:color w:val="000000"/>
          <w:sz w:val="20"/>
          <w:szCs w:val="20"/>
        </w:rPr>
        <w:t>contracted</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situation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presented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at bar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relief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closely-held</w:t>
      </w:r>
      <w:proofErr w:type="spellEnd"/>
      <w:r w:rsidRPr="009975EA">
        <w:rPr>
          <w:rFonts w:ascii="Times New Roman" w:hAnsi="Times New Roman" w:cs="Times New Roman"/>
          <w:color w:val="000000"/>
          <w:sz w:val="20"/>
          <w:szCs w:val="20"/>
        </w:rPr>
        <w:t xml:space="preserve">, but not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Subchapter</w:t>
      </w:r>
      <w:proofErr w:type="spellEnd"/>
      <w:r w:rsidRPr="009975EA">
        <w:rPr>
          <w:rFonts w:ascii="Times New Roman" w:hAnsi="Times New Roman" w:cs="Times New Roman"/>
          <w:color w:val="000000"/>
          <w:sz w:val="20"/>
          <w:szCs w:val="20"/>
        </w:rPr>
        <w:t xml:space="preserve"> XIV </w:t>
      </w:r>
      <w:proofErr w:type="spellStart"/>
      <w:r w:rsidRPr="009975EA">
        <w:rPr>
          <w:rFonts w:ascii="Times New Roman" w:hAnsi="Times New Roman" w:cs="Times New Roman"/>
          <w:color w:val="000000"/>
          <w:sz w:val="20"/>
          <w:szCs w:val="20"/>
        </w:rPr>
        <w:t>relating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schemes</w:t>
      </w:r>
      <w:proofErr w:type="spellEnd"/>
      <w:r w:rsidRPr="009975EA">
        <w:rPr>
          <w:rFonts w:ascii="Times New Roman" w:hAnsi="Times New Roman" w:cs="Times New Roman"/>
          <w:color w:val="0000FF"/>
          <w:position w:val="13"/>
          <w:sz w:val="20"/>
          <w:szCs w:val="20"/>
        </w:rPr>
        <w:t xml:space="preserve"> </w:t>
      </w:r>
      <w:proofErr w:type="spellStart"/>
      <w:r w:rsidRPr="009975EA">
        <w:rPr>
          <w:rFonts w:ascii="Times New Roman" w:hAnsi="Times New Roman" w:cs="Times New Roman"/>
          <w:color w:val="000000"/>
          <w:sz w:val="20"/>
          <w:szCs w:val="20"/>
        </w:rPr>
        <w:t>preempt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field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respective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counter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spirit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doctrine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independent</w:t>
      </w:r>
      <w:proofErr w:type="spellEnd"/>
      <w:r w:rsidRPr="009975EA">
        <w:rPr>
          <w:rFonts w:ascii="Times New Roman" w:hAnsi="Times New Roman" w:cs="Times New Roman"/>
          <w:color w:val="000000"/>
          <w:sz w:val="20"/>
          <w:szCs w:val="20"/>
        </w:rPr>
        <w:t xml:space="preserve"> legal </w:t>
      </w:r>
      <w:proofErr w:type="spellStart"/>
      <w:r w:rsidRPr="009975EA">
        <w:rPr>
          <w:rFonts w:ascii="Times New Roman" w:hAnsi="Times New Roman" w:cs="Times New Roman"/>
          <w:color w:val="000000"/>
          <w:sz w:val="20"/>
          <w:szCs w:val="20"/>
        </w:rPr>
        <w:t>significance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inappropriate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legislation</w:t>
      </w:r>
      <w:proofErr w:type="spellEnd"/>
      <w:r w:rsidRPr="009975EA">
        <w:rPr>
          <w:rFonts w:ascii="Times New Roman" w:hAnsi="Times New Roman" w:cs="Times New Roman"/>
          <w:color w:val="0000FF"/>
          <w:position w:val="13"/>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Court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fashion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special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judicially-created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does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fall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negotiated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certificate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incorporation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by-laws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agreements</w:t>
      </w:r>
      <w:proofErr w:type="spellEnd"/>
      <w:r w:rsidRPr="009975EA">
        <w:rPr>
          <w:rFonts w:ascii="Times New Roman" w:hAnsi="Times New Roman" w:cs="Times New Roman"/>
          <w:color w:val="000000"/>
          <w:sz w:val="20"/>
          <w:szCs w:val="20"/>
        </w:rPr>
        <w:t xml:space="preserve">. </w:t>
      </w:r>
    </w:p>
  </w:footnote>
  <w:footnote w:id="634">
    <w:p w14:paraId="324B88DD" w14:textId="7F7D2C30"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At 1380: “</w:t>
      </w:r>
      <w:r w:rsidRPr="009975EA">
        <w:rPr>
          <w:rFonts w:ascii="Times New Roman" w:hAnsi="Times New Roman" w:cs="Times New Roman"/>
          <w:color w:val="000000"/>
          <w:sz w:val="20"/>
          <w:szCs w:val="20"/>
        </w:rPr>
        <w:t xml:space="preserve">A </w:t>
      </w:r>
      <w:proofErr w:type="spellStart"/>
      <w:r w:rsidRPr="009975EA">
        <w:rPr>
          <w:rFonts w:ascii="Times New Roman" w:hAnsi="Times New Roman" w:cs="Times New Roman"/>
          <w:color w:val="000000"/>
          <w:sz w:val="20"/>
          <w:szCs w:val="20"/>
        </w:rPr>
        <w:t>stockholder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bargains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closely-held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unlike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plaintiffs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acquired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gift</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make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judgment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buy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position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what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bargain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definitive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provisions</w:t>
      </w:r>
      <w:proofErr w:type="spellEnd"/>
      <w:r w:rsidRPr="009975EA">
        <w:rPr>
          <w:rFonts w:ascii="Times New Roman" w:hAnsi="Times New Roman" w:cs="Times New Roman"/>
          <w:color w:val="000000"/>
          <w:sz w:val="20"/>
          <w:szCs w:val="20"/>
        </w:rPr>
        <w:t xml:space="preserve"> of self- </w:t>
      </w:r>
      <w:proofErr w:type="spellStart"/>
      <w:r w:rsidRPr="009975EA">
        <w:rPr>
          <w:rFonts w:ascii="Times New Roman" w:hAnsi="Times New Roman" w:cs="Times New Roman"/>
          <w:color w:val="000000"/>
          <w:sz w:val="20"/>
          <w:szCs w:val="20"/>
        </w:rPr>
        <w:t>ordering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permitted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a Delaware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certificate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incorporation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by-laws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provisions</w:t>
      </w:r>
      <w:proofErr w:type="spellEnd"/>
      <w:r w:rsidRPr="009975EA">
        <w:rPr>
          <w:rFonts w:ascii="Times New Roman" w:hAnsi="Times New Roman" w:cs="Times New Roman"/>
          <w:color w:val="000000"/>
          <w:sz w:val="20"/>
          <w:szCs w:val="20"/>
        </w:rPr>
        <w:t xml:space="preserve"> </w:t>
      </w:r>
      <w:r w:rsidRPr="00F052FB">
        <w:rPr>
          <w:rFonts w:ascii="Times New Roman" w:hAnsi="Times New Roman" w:cs="Times New Roman"/>
          <w:color w:val="000000" w:themeColor="text1"/>
          <w:sz w:val="20"/>
          <w:szCs w:val="20"/>
        </w:rPr>
        <w:t xml:space="preserve">in 8 </w:t>
      </w:r>
      <w:proofErr w:type="spellStart"/>
      <w:r w:rsidRPr="00F052FB">
        <w:rPr>
          <w:rFonts w:ascii="Times New Roman" w:hAnsi="Times New Roman" w:cs="Times New Roman"/>
          <w:color w:val="000000" w:themeColor="text1"/>
          <w:sz w:val="20"/>
          <w:szCs w:val="20"/>
        </w:rPr>
        <w:t>Del.C</w:t>
      </w:r>
      <w:proofErr w:type="spellEnd"/>
      <w:r w:rsidRPr="00F052FB">
        <w:rPr>
          <w:rFonts w:ascii="Times New Roman" w:hAnsi="Times New Roman" w:cs="Times New Roman"/>
          <w:color w:val="000000" w:themeColor="text1"/>
          <w:sz w:val="20"/>
          <w:szCs w:val="20"/>
        </w:rPr>
        <w:t xml:space="preserve">. §§ 102, 109, </w:t>
      </w:r>
      <w:proofErr w:type="spellStart"/>
      <w:r w:rsidRPr="00F052FB">
        <w:rPr>
          <w:rFonts w:ascii="Times New Roman" w:hAnsi="Times New Roman" w:cs="Times New Roman"/>
          <w:color w:val="000000" w:themeColor="text1"/>
          <w:sz w:val="20"/>
          <w:szCs w:val="20"/>
        </w:rPr>
        <w:t>and</w:t>
      </w:r>
      <w:proofErr w:type="spellEnd"/>
      <w:r w:rsidRPr="00F052FB">
        <w:rPr>
          <w:rFonts w:ascii="Times New Roman" w:hAnsi="Times New Roman" w:cs="Times New Roman"/>
          <w:color w:val="000000" w:themeColor="text1"/>
          <w:sz w:val="20"/>
          <w:szCs w:val="20"/>
        </w:rPr>
        <w:t xml:space="preserve"> 141(a). </w:t>
      </w:r>
      <w:proofErr w:type="spellStart"/>
      <w:r w:rsidRPr="00F052FB">
        <w:rPr>
          <w:rFonts w:ascii="Times New Roman" w:hAnsi="Times New Roman" w:cs="Times New Roman"/>
          <w:color w:val="000000" w:themeColor="text1"/>
          <w:sz w:val="20"/>
          <w:szCs w:val="20"/>
        </w:rPr>
        <w:t>Moreover</w:t>
      </w:r>
      <w:proofErr w:type="spellEnd"/>
      <w:r w:rsidRPr="00F052FB">
        <w:rPr>
          <w:rFonts w:ascii="Times New Roman" w:hAnsi="Times New Roman" w:cs="Times New Roman"/>
          <w:color w:val="000000" w:themeColor="text1"/>
          <w:sz w:val="20"/>
          <w:szCs w:val="20"/>
        </w:rPr>
        <w:t xml:space="preserve">, in </w:t>
      </w:r>
      <w:proofErr w:type="spellStart"/>
      <w:r w:rsidRPr="00F052FB">
        <w:rPr>
          <w:rFonts w:ascii="Times New Roman" w:hAnsi="Times New Roman" w:cs="Times New Roman"/>
          <w:color w:val="000000" w:themeColor="text1"/>
          <w:sz w:val="20"/>
          <w:szCs w:val="20"/>
        </w:rPr>
        <w:t>addition</w:t>
      </w:r>
      <w:proofErr w:type="spellEnd"/>
      <w:r w:rsidRPr="00F052FB">
        <w:rPr>
          <w:rFonts w:ascii="Times New Roman" w:hAnsi="Times New Roman" w:cs="Times New Roman"/>
          <w:color w:val="000000" w:themeColor="text1"/>
          <w:sz w:val="20"/>
          <w:szCs w:val="20"/>
        </w:rPr>
        <w:t xml:space="preserve"> </w:t>
      </w:r>
      <w:proofErr w:type="spellStart"/>
      <w:r w:rsidRPr="00F052FB">
        <w:rPr>
          <w:rFonts w:ascii="Times New Roman" w:hAnsi="Times New Roman" w:cs="Times New Roman"/>
          <w:color w:val="000000" w:themeColor="text1"/>
          <w:sz w:val="20"/>
          <w:szCs w:val="20"/>
        </w:rPr>
        <w:t>to</w:t>
      </w:r>
      <w:proofErr w:type="spellEnd"/>
      <w:r w:rsidRPr="00F052FB">
        <w:rPr>
          <w:rFonts w:ascii="Times New Roman" w:hAnsi="Times New Roman" w:cs="Times New Roman"/>
          <w:color w:val="000000" w:themeColor="text1"/>
          <w:sz w:val="20"/>
          <w:szCs w:val="20"/>
        </w:rPr>
        <w:t xml:space="preserve"> </w:t>
      </w:r>
      <w:proofErr w:type="spellStart"/>
      <w:r w:rsidRPr="00F052FB">
        <w:rPr>
          <w:rFonts w:ascii="Times New Roman" w:hAnsi="Times New Roman" w:cs="Times New Roman"/>
          <w:color w:val="000000" w:themeColor="text1"/>
          <w:sz w:val="20"/>
          <w:szCs w:val="20"/>
        </w:rPr>
        <w:t>such</w:t>
      </w:r>
      <w:proofErr w:type="spellEnd"/>
      <w:r w:rsidRPr="00F052FB">
        <w:rPr>
          <w:rFonts w:ascii="Times New Roman" w:hAnsi="Times New Roman" w:cs="Times New Roman"/>
          <w:color w:val="000000" w:themeColor="text1"/>
          <w:sz w:val="20"/>
          <w:szCs w:val="20"/>
        </w:rPr>
        <w:t xml:space="preserve"> </w:t>
      </w:r>
      <w:proofErr w:type="spellStart"/>
      <w:r w:rsidRPr="00F052FB">
        <w:rPr>
          <w:rFonts w:ascii="Times New Roman" w:hAnsi="Times New Roman" w:cs="Times New Roman"/>
          <w:color w:val="000000" w:themeColor="text1"/>
          <w:sz w:val="20"/>
          <w:szCs w:val="20"/>
        </w:rPr>
        <w:t>mechanisms</w:t>
      </w:r>
      <w:proofErr w:type="spellEnd"/>
      <w:r w:rsidRPr="00F052FB">
        <w:rPr>
          <w:rFonts w:ascii="Times New Roman" w:hAnsi="Times New Roman" w:cs="Times New Roman"/>
          <w:color w:val="000000" w:themeColor="text1"/>
          <w:sz w:val="20"/>
          <w:szCs w:val="20"/>
        </w:rPr>
        <w:t xml:space="preserve">, a </w:t>
      </w:r>
      <w:proofErr w:type="spellStart"/>
      <w:r w:rsidRPr="00F052FB">
        <w:rPr>
          <w:rFonts w:ascii="Times New Roman" w:hAnsi="Times New Roman" w:cs="Times New Roman"/>
          <w:color w:val="000000" w:themeColor="text1"/>
          <w:sz w:val="20"/>
          <w:szCs w:val="20"/>
        </w:rPr>
        <w:t>stockholder</w:t>
      </w:r>
      <w:proofErr w:type="spellEnd"/>
      <w:r w:rsidRPr="00F052FB">
        <w:rPr>
          <w:rFonts w:ascii="Times New Roman" w:hAnsi="Times New Roman" w:cs="Times New Roman"/>
          <w:color w:val="000000" w:themeColor="text1"/>
          <w:sz w:val="20"/>
          <w:szCs w:val="20"/>
        </w:rPr>
        <w:t xml:space="preserve"> </w:t>
      </w:r>
      <w:proofErr w:type="spellStart"/>
      <w:r w:rsidRPr="00F052FB">
        <w:rPr>
          <w:rFonts w:ascii="Times New Roman" w:hAnsi="Times New Roman" w:cs="Times New Roman"/>
          <w:color w:val="000000" w:themeColor="text1"/>
          <w:sz w:val="20"/>
          <w:szCs w:val="20"/>
        </w:rPr>
        <w:t>intending</w:t>
      </w:r>
      <w:proofErr w:type="spellEnd"/>
      <w:r w:rsidRPr="00F052FB">
        <w:rPr>
          <w:rFonts w:ascii="Times New Roman" w:hAnsi="Times New Roman" w:cs="Times New Roman"/>
          <w:color w:val="000000" w:themeColor="text1"/>
          <w:sz w:val="20"/>
          <w:szCs w:val="20"/>
        </w:rPr>
        <w:t xml:space="preserve"> to buy </w:t>
      </w:r>
      <w:proofErr w:type="spellStart"/>
      <w:r w:rsidRPr="00F052FB">
        <w:rPr>
          <w:rFonts w:ascii="Times New Roman" w:hAnsi="Times New Roman" w:cs="Times New Roman"/>
          <w:color w:val="000000" w:themeColor="text1"/>
          <w:sz w:val="20"/>
          <w:szCs w:val="20"/>
        </w:rPr>
        <w:t>into</w:t>
      </w:r>
      <w:proofErr w:type="spellEnd"/>
      <w:r w:rsidRPr="00F052FB">
        <w:rPr>
          <w:rFonts w:ascii="Times New Roman" w:hAnsi="Times New Roman" w:cs="Times New Roman"/>
          <w:color w:val="000000" w:themeColor="text1"/>
          <w:sz w:val="20"/>
          <w:szCs w:val="20"/>
        </w:rPr>
        <w:t xml:space="preserve"> </w:t>
      </w:r>
      <w:r w:rsidRPr="009975EA">
        <w:rPr>
          <w:rFonts w:ascii="Times New Roman" w:hAnsi="Times New Roman" w:cs="Times New Roman"/>
          <w:color w:val="000000"/>
          <w:sz w:val="20"/>
          <w:szCs w:val="20"/>
        </w:rPr>
        <w:t xml:space="preserve">a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position</w:t>
      </w:r>
      <w:proofErr w:type="spellEnd"/>
      <w:r w:rsidRPr="009975EA">
        <w:rPr>
          <w:rFonts w:ascii="Times New Roman" w:hAnsi="Times New Roman" w:cs="Times New Roman"/>
          <w:color w:val="000000"/>
          <w:sz w:val="20"/>
          <w:szCs w:val="20"/>
        </w:rPr>
        <w:t xml:space="preserve"> in a Delaware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definitive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elaborate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earnings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tests</w:t>
      </w:r>
      <w:proofErr w:type="spellEnd"/>
      <w:r w:rsidRPr="009975EA">
        <w:rPr>
          <w:rFonts w:ascii="Times New Roman" w:hAnsi="Times New Roman" w:cs="Times New Roman"/>
          <w:color w:val="000000"/>
          <w:sz w:val="20"/>
          <w:szCs w:val="20"/>
        </w:rPr>
        <w:t>, buy-</w:t>
      </w:r>
      <w:proofErr w:type="spellStart"/>
      <w:r w:rsidRPr="009975EA">
        <w:rPr>
          <w:rFonts w:ascii="Times New Roman" w:hAnsi="Times New Roman" w:cs="Times New Roman"/>
          <w:color w:val="000000"/>
          <w:sz w:val="20"/>
          <w:szCs w:val="20"/>
        </w:rPr>
        <w:t>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trusts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agreements</w:t>
      </w:r>
      <w:proofErr w:type="spellEnd"/>
      <w:r w:rsidRPr="009975EA">
        <w:rPr>
          <w:rFonts w:ascii="Times New Roman" w:hAnsi="Times New Roman" w:cs="Times New Roman"/>
          <w:color w:val="000000"/>
          <w:sz w:val="20"/>
          <w:szCs w:val="20"/>
        </w:rPr>
        <w:t>.”</w:t>
      </w:r>
    </w:p>
  </w:footnote>
  <w:footnote w:id="635">
    <w:p w14:paraId="32D78388" w14:textId="76F5691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Ragazzo</w:t>
      </w:r>
      <w:proofErr w:type="spellEnd"/>
      <w:r w:rsidRPr="009975EA">
        <w:rPr>
          <w:rFonts w:ascii="Times New Roman" w:hAnsi="Times New Roman" w:cs="Times New Roman"/>
          <w:sz w:val="20"/>
          <w:szCs w:val="20"/>
        </w:rPr>
        <w:t>, p. 1129.</w:t>
      </w:r>
    </w:p>
  </w:footnote>
  <w:footnote w:id="636">
    <w:p w14:paraId="380FD241" w14:textId="1A66160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generally, Greta M. Fund, </w:t>
      </w:r>
      <w:r w:rsidRPr="00F052FB">
        <w:rPr>
          <w:rFonts w:ascii="Times New Roman" w:hAnsi="Times New Roman" w:cs="Times New Roman"/>
          <w:i/>
          <w:sz w:val="20"/>
          <w:szCs w:val="20"/>
        </w:rPr>
        <w:t xml:space="preserve">A Common Goal </w:t>
      </w:r>
      <w:proofErr w:type="gramStart"/>
      <w:r w:rsidRPr="00F052FB">
        <w:rPr>
          <w:rFonts w:ascii="Times New Roman" w:hAnsi="Times New Roman" w:cs="Times New Roman"/>
          <w:i/>
          <w:sz w:val="20"/>
          <w:szCs w:val="20"/>
        </w:rPr>
        <w:t>From</w:t>
      </w:r>
      <w:proofErr w:type="gramEnd"/>
      <w:r w:rsidRPr="00F052FB">
        <w:rPr>
          <w:rFonts w:ascii="Times New Roman" w:hAnsi="Times New Roman" w:cs="Times New Roman"/>
          <w:i/>
          <w:sz w:val="20"/>
          <w:szCs w:val="20"/>
        </w:rPr>
        <w:t xml:space="preserve"> Two Different Paths: Protection of Minority Shareholders in Delaware and Canada,</w:t>
      </w:r>
      <w:r w:rsidRPr="009975EA">
        <w:rPr>
          <w:rFonts w:ascii="Times New Roman" w:hAnsi="Times New Roman" w:cs="Times New Roman"/>
          <w:sz w:val="20"/>
          <w:szCs w:val="20"/>
        </w:rPr>
        <w:t xml:space="preserve"> 57 Alb. L. Rev. 41 (1993).</w:t>
      </w:r>
    </w:p>
  </w:footnote>
  <w:footnote w:id="637">
    <w:p w14:paraId="4E5B5FB1" w14:textId="56D47498"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Allied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Chemical</w:t>
      </w:r>
      <w:proofErr w:type="spellEnd"/>
      <w:r w:rsidRPr="009975EA">
        <w:rPr>
          <w:rFonts w:ascii="Times New Roman" w:hAnsi="Times New Roman" w:cs="Times New Roman"/>
          <w:sz w:val="20"/>
          <w:szCs w:val="20"/>
        </w:rPr>
        <w:t xml:space="preserve"> &amp; </w:t>
      </w:r>
      <w:proofErr w:type="spellStart"/>
      <w:r w:rsidRPr="009975EA">
        <w:rPr>
          <w:rFonts w:ascii="Times New Roman" w:hAnsi="Times New Roman" w:cs="Times New Roman"/>
          <w:sz w:val="20"/>
          <w:szCs w:val="20"/>
        </w:rPr>
        <w:t>Dye</w:t>
      </w:r>
      <w:proofErr w:type="spellEnd"/>
      <w:r w:rsidRPr="009975EA">
        <w:rPr>
          <w:rFonts w:ascii="Times New Roman" w:hAnsi="Times New Roman" w:cs="Times New Roman"/>
          <w:sz w:val="20"/>
          <w:szCs w:val="20"/>
        </w:rPr>
        <w:t xml:space="preserve"> Corporation v. Steel &amp; </w:t>
      </w:r>
      <w:proofErr w:type="spellStart"/>
      <w:r w:rsidRPr="009975EA">
        <w:rPr>
          <w:rFonts w:ascii="Times New Roman" w:hAnsi="Times New Roman" w:cs="Times New Roman"/>
          <w:sz w:val="20"/>
          <w:szCs w:val="20"/>
        </w:rPr>
        <w:t>Tube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America</w:t>
      </w:r>
      <w:proofErr w:type="spellEnd"/>
      <w:r w:rsidRPr="009975EA">
        <w:rPr>
          <w:rFonts w:ascii="Times New Roman" w:hAnsi="Times New Roman" w:cs="Times New Roman"/>
          <w:sz w:val="20"/>
          <w:szCs w:val="20"/>
        </w:rPr>
        <w:t>, 14 Del.Ch.1 (1923):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join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hands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imposing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policy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it is </w:t>
      </w:r>
      <w:proofErr w:type="spellStart"/>
      <w:r w:rsidRPr="009975EA">
        <w:rPr>
          <w:rFonts w:ascii="Times New Roman" w:hAnsi="Times New Roman" w:cs="Times New Roman"/>
          <w:color w:val="000000"/>
          <w:sz w:val="20"/>
          <w:szCs w:val="20"/>
        </w:rPr>
        <w:t>beyond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contrary</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seems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me,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plainest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dictates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what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just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view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regarded</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having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placed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themselves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sort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character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impresses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Ordinarily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speak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determine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policy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do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moment,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Unless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regarded</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owing</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as is </w:t>
      </w:r>
      <w:proofErr w:type="spellStart"/>
      <w:r w:rsidRPr="009975EA">
        <w:rPr>
          <w:rFonts w:ascii="Times New Roman" w:hAnsi="Times New Roman" w:cs="Times New Roman"/>
          <w:color w:val="000000"/>
          <w:sz w:val="20"/>
          <w:szCs w:val="20"/>
        </w:rPr>
        <w:t>owed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situation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exposes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grossest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frauds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subjects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outrageous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wrongs</w:t>
      </w:r>
      <w:proofErr w:type="spellEnd"/>
      <w:r w:rsidRPr="009975EA">
        <w:rPr>
          <w:rFonts w:ascii="Times New Roman" w:hAnsi="Times New Roman" w:cs="Times New Roman"/>
          <w:color w:val="000000"/>
          <w:sz w:val="20"/>
          <w:szCs w:val="20"/>
        </w:rPr>
        <w:t>.”</w:t>
      </w:r>
    </w:p>
  </w:footnote>
  <w:footnote w:id="638">
    <w:p w14:paraId="78B25ED5" w14:textId="6D1CBB3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683 A.2d 1049 (1996).</w:t>
      </w:r>
    </w:p>
  </w:footnote>
  <w:footnote w:id="639">
    <w:p w14:paraId="62023382" w14:textId="20B35E0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Hirsch/Sheppard, p. 6.</w:t>
      </w:r>
    </w:p>
  </w:footnote>
  <w:footnote w:id="640">
    <w:p w14:paraId="431E5073" w14:textId="04E0DD7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Ragazzo</w:t>
      </w:r>
      <w:proofErr w:type="spellEnd"/>
      <w:r w:rsidRPr="009975EA">
        <w:rPr>
          <w:rFonts w:ascii="Times New Roman" w:hAnsi="Times New Roman" w:cs="Times New Roman"/>
          <w:sz w:val="20"/>
          <w:szCs w:val="20"/>
        </w:rPr>
        <w:t xml:space="preserve">, p.1151. On the other hand, it can also provide some advantages to the complaining shareholders, see </w:t>
      </w:r>
      <w:proofErr w:type="spellStart"/>
      <w:r w:rsidRPr="009975EA">
        <w:rPr>
          <w:rFonts w:ascii="Times New Roman" w:hAnsi="Times New Roman" w:cs="Times New Roman"/>
          <w:sz w:val="20"/>
          <w:szCs w:val="20"/>
        </w:rPr>
        <w:t>Condec</w:t>
      </w:r>
      <w:proofErr w:type="spellEnd"/>
      <w:r w:rsidRPr="009975EA">
        <w:rPr>
          <w:rFonts w:ascii="Times New Roman" w:hAnsi="Times New Roman" w:cs="Times New Roman"/>
          <w:sz w:val="20"/>
          <w:szCs w:val="20"/>
        </w:rPr>
        <w:t xml:space="preserve"> Corp. v. </w:t>
      </w:r>
      <w:proofErr w:type="spellStart"/>
      <w:r w:rsidRPr="009975EA">
        <w:rPr>
          <w:rFonts w:ascii="Times New Roman" w:hAnsi="Times New Roman" w:cs="Times New Roman"/>
          <w:sz w:val="20"/>
          <w:szCs w:val="20"/>
        </w:rPr>
        <w:t>Lunkenheimer</w:t>
      </w:r>
      <w:proofErr w:type="spellEnd"/>
      <w:r w:rsidRPr="009975EA">
        <w:rPr>
          <w:rFonts w:ascii="Times New Roman" w:hAnsi="Times New Roman" w:cs="Times New Roman"/>
          <w:sz w:val="20"/>
          <w:szCs w:val="20"/>
        </w:rPr>
        <w:t xml:space="preserve"> Cp., 43 Del. Ch. 353 (1967): “As a starting point it must be conceded that action by majority shareholders having as its primary purpose the ‘freezing out’ of a minority interest is actionable without regard to the fairness of the price”.</w:t>
      </w:r>
    </w:p>
  </w:footnote>
  <w:footnote w:id="641">
    <w:p w14:paraId="30F6E8F0" w14:textId="1350E8F6"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Ragazzo</w:t>
      </w:r>
      <w:proofErr w:type="spellEnd"/>
      <w:r w:rsidRPr="009975EA">
        <w:rPr>
          <w:rFonts w:ascii="Times New Roman" w:hAnsi="Times New Roman" w:cs="Times New Roman"/>
          <w:sz w:val="20"/>
          <w:szCs w:val="20"/>
        </w:rPr>
        <w:t xml:space="preserve">, p. 1148. Delaware </w:t>
      </w:r>
      <w:proofErr w:type="spellStart"/>
      <w:r w:rsidRPr="009975EA">
        <w:rPr>
          <w:rFonts w:ascii="Times New Roman" w:hAnsi="Times New Roman" w:cs="Times New Roman"/>
          <w:sz w:val="20"/>
          <w:szCs w:val="20"/>
        </w:rPr>
        <w:t>courts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critical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power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dissolve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Hall</w:t>
      </w:r>
      <w:proofErr w:type="spellEnd"/>
      <w:r w:rsidRPr="009975EA">
        <w:rPr>
          <w:rFonts w:ascii="Times New Roman" w:hAnsi="Times New Roman" w:cs="Times New Roman"/>
          <w:sz w:val="20"/>
          <w:szCs w:val="20"/>
        </w:rPr>
        <w:t xml:space="preserve"> v. John S. </w:t>
      </w:r>
      <w:proofErr w:type="spellStart"/>
      <w:r w:rsidRPr="009975EA">
        <w:rPr>
          <w:rFonts w:ascii="Times New Roman" w:hAnsi="Times New Roman" w:cs="Times New Roman"/>
          <w:sz w:val="20"/>
          <w:szCs w:val="20"/>
        </w:rPr>
        <w:t>Isaacs</w:t>
      </w:r>
      <w:proofErr w:type="spellEnd"/>
      <w:r w:rsidRPr="009975EA">
        <w:rPr>
          <w:rFonts w:ascii="Times New Roman" w:hAnsi="Times New Roman" w:cs="Times New Roman"/>
          <w:sz w:val="20"/>
          <w:szCs w:val="20"/>
        </w:rPr>
        <w:t xml:space="preserve"> &amp; </w:t>
      </w:r>
      <w:proofErr w:type="spellStart"/>
      <w:r w:rsidRPr="009975EA">
        <w:rPr>
          <w:rFonts w:ascii="Times New Roman" w:hAnsi="Times New Roman" w:cs="Times New Roman"/>
          <w:sz w:val="20"/>
          <w:szCs w:val="20"/>
        </w:rPr>
        <w:t>Sons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Farms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xml:space="preserve">., 39 Del. </w:t>
      </w:r>
      <w:proofErr w:type="spellStart"/>
      <w:r w:rsidRPr="009975EA">
        <w:rPr>
          <w:rFonts w:ascii="Times New Roman" w:hAnsi="Times New Roman" w:cs="Times New Roman"/>
          <w:sz w:val="20"/>
          <w:szCs w:val="20"/>
        </w:rPr>
        <w:t>Ch</w:t>
      </w:r>
      <w:proofErr w:type="spellEnd"/>
      <w:r w:rsidRPr="009975EA">
        <w:rPr>
          <w:rFonts w:ascii="Times New Roman" w:hAnsi="Times New Roman" w:cs="Times New Roman"/>
          <w:sz w:val="20"/>
          <w:szCs w:val="20"/>
        </w:rPr>
        <w:t>. 244 (1960):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plaintiffs</w:t>
      </w:r>
      <w:proofErr w:type="spellEnd"/>
      <w:r w:rsidRPr="009975EA">
        <w:rPr>
          <w:rFonts w:ascii="Times New Roman" w:hAnsi="Times New Roman" w:cs="Times New Roman"/>
          <w:color w:val="000000"/>
          <w:sz w:val="20"/>
          <w:szCs w:val="20"/>
        </w:rPr>
        <w:t xml:space="preserve"> </w:t>
      </w:r>
      <w:proofErr w:type="gramStart"/>
      <w:r w:rsidRPr="009975EA">
        <w:rPr>
          <w:rFonts w:ascii="Times New Roman" w:hAnsi="Times New Roman" w:cs="Times New Roman"/>
          <w:color w:val="000000"/>
          <w:sz w:val="20"/>
          <w:szCs w:val="20"/>
        </w:rPr>
        <w:t>ask</w:t>
      </w:r>
      <w:proofErr w:type="gram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appointment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liquidating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receivers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solvent</w:t>
      </w:r>
      <w:proofErr w:type="spellEnd"/>
      <w:r w:rsidRPr="009975EA">
        <w:rPr>
          <w:rFonts w:ascii="Times New Roman" w:hAnsi="Times New Roman" w:cs="Times New Roman"/>
          <w:color w:val="000000"/>
          <w:sz w:val="20"/>
          <w:szCs w:val="20"/>
        </w:rPr>
        <w:t xml:space="preserve">. Under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circumstances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equity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appoint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liquidating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receivers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solvent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do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always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exercised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great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restraint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showing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gross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mismanagement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positive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misconduct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officers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breach</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trust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extreme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circumstances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showing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imminent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danger</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great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prevented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dissension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among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seldom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ever, </w:t>
      </w:r>
      <w:proofErr w:type="spellStart"/>
      <w:r w:rsidRPr="009975EA">
        <w:rPr>
          <w:rFonts w:ascii="Times New Roman" w:hAnsi="Times New Roman" w:cs="Times New Roman"/>
          <w:color w:val="000000"/>
          <w:sz w:val="20"/>
          <w:szCs w:val="20"/>
        </w:rPr>
        <w:t>justifies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appointment</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receiver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solvent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remedy</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withdrawal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enterprise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sale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642">
    <w:p w14:paraId="7BBEF024" w14:textId="6A03281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John E. Davidian, </w:t>
      </w:r>
      <w:r w:rsidRPr="00F052FB">
        <w:rPr>
          <w:rFonts w:ascii="Times New Roman" w:hAnsi="Times New Roman" w:cs="Times New Roman"/>
          <w:i/>
          <w:sz w:val="20"/>
          <w:szCs w:val="20"/>
        </w:rPr>
        <w:t>Corporate Dissolution in New York: Liberalizing the Rights of Minority Shareholders</w:t>
      </w:r>
      <w:r w:rsidRPr="009975EA">
        <w:rPr>
          <w:rFonts w:ascii="Times New Roman" w:hAnsi="Times New Roman" w:cs="Times New Roman"/>
          <w:sz w:val="20"/>
          <w:szCs w:val="20"/>
        </w:rPr>
        <w:t xml:space="preserve">, St. John’s Law </w:t>
      </w:r>
      <w:r>
        <w:rPr>
          <w:rFonts w:ascii="Times New Roman" w:hAnsi="Times New Roman" w:cs="Times New Roman"/>
          <w:sz w:val="20"/>
          <w:szCs w:val="20"/>
        </w:rPr>
        <w:t xml:space="preserve">Rev. Vol. 56 Iss.1 Article 2 at </w:t>
      </w:r>
      <w:r w:rsidRPr="009975EA">
        <w:rPr>
          <w:rFonts w:ascii="Times New Roman" w:hAnsi="Times New Roman" w:cs="Times New Roman"/>
          <w:sz w:val="20"/>
          <w:szCs w:val="20"/>
        </w:rPr>
        <w:t>33.</w:t>
      </w:r>
    </w:p>
  </w:footnote>
  <w:footnote w:id="643">
    <w:p w14:paraId="56BB5634" w14:textId="15C8D47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Davidian, p.28. It is important to note that while the New York Legislature had before it several options to provide relief to unfairly treated shareholders, such as using the Connecticut’s “any good and sufficient reason” ground for dissolution, the Legislature elected to provide relief on a narrower ground requiring a showing of oppression (</w:t>
      </w:r>
      <w:proofErr w:type="spellStart"/>
      <w:r w:rsidRPr="009975EA">
        <w:rPr>
          <w:rFonts w:ascii="Times New Roman" w:hAnsi="Times New Roman" w:cs="Times New Roman"/>
          <w:sz w:val="20"/>
          <w:szCs w:val="20"/>
        </w:rPr>
        <w:t>Mardikos</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Arger</w:t>
      </w:r>
      <w:proofErr w:type="spellEnd"/>
      <w:r w:rsidRPr="009975EA">
        <w:rPr>
          <w:rFonts w:ascii="Times New Roman" w:hAnsi="Times New Roman" w:cs="Times New Roman"/>
          <w:sz w:val="20"/>
          <w:szCs w:val="20"/>
        </w:rPr>
        <w:t>, 457 N.Y.S.2d 371 (1982)).</w:t>
      </w:r>
    </w:p>
  </w:footnote>
  <w:footnote w:id="644">
    <w:p w14:paraId="053CC45E" w14:textId="4A449F0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Sec. 1104-a. Petition for judicial dissolution under special circumstances: </w:t>
      </w:r>
    </w:p>
    <w:p w14:paraId="0A79D115"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(1)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control</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guilty</w:t>
      </w:r>
      <w:proofErr w:type="spellEnd"/>
      <w:r w:rsidRPr="009975EA">
        <w:rPr>
          <w:rFonts w:ascii="Times New Roman" w:hAnsi="Times New Roman" w:cs="Times New Roman"/>
          <w:color w:val="000000"/>
          <w:sz w:val="20"/>
          <w:szCs w:val="20"/>
        </w:rPr>
        <w:t xml:space="preserve"> of illegal, </w:t>
      </w:r>
      <w:proofErr w:type="spellStart"/>
      <w:r w:rsidRPr="009975EA">
        <w:rPr>
          <w:rFonts w:ascii="Times New Roman" w:hAnsi="Times New Roman" w:cs="Times New Roman"/>
          <w:color w:val="000000"/>
          <w:sz w:val="20"/>
          <w:szCs w:val="20"/>
        </w:rPr>
        <w:t>fraudulent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toward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complaining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
    <w:p w14:paraId="7E56DA7B"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(2)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property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assets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looted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diverted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non-corporate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officers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control</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
    <w:p w14:paraId="6508A84D"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(b)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determining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proceed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involuntary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pursuant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account</w:t>
      </w:r>
      <w:proofErr w:type="spellEnd"/>
      <w:r w:rsidRPr="009975EA">
        <w:rPr>
          <w:rFonts w:ascii="Times New Roman" w:hAnsi="Times New Roman" w:cs="Times New Roman"/>
          <w:color w:val="000000"/>
          <w:sz w:val="20"/>
          <w:szCs w:val="20"/>
        </w:rPr>
        <w:t xml:space="preserve">: </w:t>
      </w:r>
    </w:p>
    <w:p w14:paraId="182D897C"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(1)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liquidation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feasible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means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obtain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fair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return</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
    <w:p w14:paraId="26002906"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(2)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liquidation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reasonably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necessary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substantial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number</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
    <w:p w14:paraId="6F328FE3"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(c)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addition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disclosure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control</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thirty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after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filing</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petition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hereunder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available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inspection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copying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working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conditions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financial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books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records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three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preceding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years</w:t>
      </w:r>
      <w:proofErr w:type="spellEnd"/>
      <w:r w:rsidRPr="009975EA">
        <w:rPr>
          <w:rFonts w:ascii="Times New Roman" w:hAnsi="Times New Roman" w:cs="Times New Roman"/>
          <w:color w:val="000000"/>
          <w:sz w:val="20"/>
          <w:szCs w:val="20"/>
        </w:rPr>
        <w:t xml:space="preserve">. </w:t>
      </w:r>
    </w:p>
    <w:p w14:paraId="53900F4D" w14:textId="469729A2"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(d)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valuations</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adjusted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surcharge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control</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finding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wilful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reckless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dissipation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transfer of </w:t>
      </w:r>
      <w:proofErr w:type="spellStart"/>
      <w:r w:rsidRPr="009975EA">
        <w:rPr>
          <w:rFonts w:ascii="Times New Roman" w:hAnsi="Times New Roman" w:cs="Times New Roman"/>
          <w:color w:val="000000"/>
          <w:sz w:val="20"/>
          <w:szCs w:val="20"/>
        </w:rPr>
        <w:t>assets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property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adequate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compensation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therefor</w:t>
      </w:r>
      <w:proofErr w:type="spellEnd"/>
      <w:r w:rsidRPr="009975EA">
        <w:rPr>
          <w:rFonts w:ascii="Times New Roman" w:hAnsi="Times New Roman" w:cs="Times New Roman"/>
          <w:color w:val="000000"/>
          <w:sz w:val="20"/>
          <w:szCs w:val="20"/>
        </w:rPr>
        <w:t xml:space="preserve">. </w:t>
      </w:r>
    </w:p>
    <w:p w14:paraId="7D11A607" w14:textId="1884A591"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proofErr w:type="spellStart"/>
      <w:r w:rsidRPr="009975EA">
        <w:rPr>
          <w:rFonts w:ascii="Times New Roman" w:hAnsi="Times New Roman" w:cs="Times New Roman"/>
          <w:color w:val="000000"/>
          <w:sz w:val="20"/>
          <w:szCs w:val="20"/>
        </w:rPr>
        <w:t>Sec</w:t>
      </w:r>
      <w:proofErr w:type="spellEnd"/>
      <w:r w:rsidRPr="009975EA">
        <w:rPr>
          <w:rFonts w:ascii="Times New Roman" w:hAnsi="Times New Roman" w:cs="Times New Roman"/>
          <w:color w:val="000000"/>
          <w:sz w:val="20"/>
          <w:szCs w:val="20"/>
        </w:rPr>
        <w:t xml:space="preserve">. 1118. </w:t>
      </w:r>
      <w:proofErr w:type="spellStart"/>
      <w:r w:rsidRPr="009975EA">
        <w:rPr>
          <w:rFonts w:ascii="Times New Roman" w:hAnsi="Times New Roman" w:cs="Times New Roman"/>
          <w:color w:val="000000"/>
          <w:sz w:val="20"/>
          <w:szCs w:val="20"/>
        </w:rPr>
        <w:t>Purchase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valuation</w:t>
      </w:r>
      <w:proofErr w:type="spellEnd"/>
      <w:r w:rsidRPr="009975EA">
        <w:rPr>
          <w:rFonts w:ascii="Times New Roman" w:hAnsi="Times New Roman" w:cs="Times New Roman"/>
          <w:color w:val="000000"/>
          <w:sz w:val="20"/>
          <w:szCs w:val="20"/>
        </w:rPr>
        <w:t>:</w:t>
      </w:r>
    </w:p>
    <w:p w14:paraId="2717E01E"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(a)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proceeding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brought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pursuant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FF"/>
          <w:sz w:val="20"/>
          <w:szCs w:val="20"/>
        </w:rPr>
        <w:t>section</w:t>
      </w:r>
      <w:proofErr w:type="spellEnd"/>
      <w:r w:rsidRPr="009975EA">
        <w:rPr>
          <w:rFonts w:ascii="Times New Roman" w:hAnsi="Times New Roman" w:cs="Times New Roman"/>
          <w:color w:val="0000FF"/>
          <w:sz w:val="20"/>
          <w:szCs w:val="20"/>
        </w:rPr>
        <w:t xml:space="preserve"> </w:t>
      </w:r>
      <w:proofErr w:type="spellStart"/>
      <w:r w:rsidRPr="009975EA">
        <w:rPr>
          <w:rFonts w:ascii="Times New Roman" w:hAnsi="Times New Roman" w:cs="Times New Roman"/>
          <w:color w:val="0000FF"/>
          <w:sz w:val="20"/>
          <w:szCs w:val="20"/>
        </w:rPr>
        <w:t>eleven</w:t>
      </w:r>
      <w:proofErr w:type="spellEnd"/>
      <w:r w:rsidRPr="009975EA">
        <w:rPr>
          <w:rFonts w:ascii="Times New Roman" w:hAnsi="Times New Roman" w:cs="Times New Roman"/>
          <w:color w:val="0000FF"/>
          <w:sz w:val="20"/>
          <w:szCs w:val="20"/>
        </w:rPr>
        <w:t xml:space="preserve"> </w:t>
      </w:r>
      <w:proofErr w:type="spellStart"/>
      <w:r w:rsidRPr="009975EA">
        <w:rPr>
          <w:rFonts w:ascii="Times New Roman" w:hAnsi="Times New Roman" w:cs="Times New Roman"/>
          <w:color w:val="0000FF"/>
          <w:sz w:val="20"/>
          <w:szCs w:val="20"/>
        </w:rPr>
        <w:t>hundred</w:t>
      </w:r>
      <w:proofErr w:type="spellEnd"/>
      <w:r w:rsidRPr="009975EA">
        <w:rPr>
          <w:rFonts w:ascii="Times New Roman" w:hAnsi="Times New Roman" w:cs="Times New Roman"/>
          <w:color w:val="0000FF"/>
          <w:sz w:val="20"/>
          <w:szCs w:val="20"/>
        </w:rPr>
        <w:t xml:space="preserve"> </w:t>
      </w:r>
      <w:proofErr w:type="spellStart"/>
      <w:r w:rsidRPr="009975EA">
        <w:rPr>
          <w:rFonts w:ascii="Times New Roman" w:hAnsi="Times New Roman" w:cs="Times New Roman"/>
          <w:color w:val="0000FF"/>
          <w:sz w:val="20"/>
          <w:szCs w:val="20"/>
        </w:rPr>
        <w:t>four</w:t>
      </w:r>
      <w:proofErr w:type="spellEnd"/>
      <w:r w:rsidRPr="009975EA">
        <w:rPr>
          <w:rFonts w:ascii="Times New Roman" w:hAnsi="Times New Roman" w:cs="Times New Roman"/>
          <w:color w:val="0000FF"/>
          <w:sz w:val="20"/>
          <w:szCs w:val="20"/>
        </w:rPr>
        <w:t xml:space="preserve">-a </w:t>
      </w:r>
      <w:r w:rsidRPr="009975EA">
        <w:rPr>
          <w:rFonts w:ascii="Times New Roman" w:hAnsi="Times New Roman" w:cs="Times New Roman"/>
          <w:color w:val="000000"/>
          <w:sz w:val="20"/>
          <w:szCs w:val="20"/>
        </w:rPr>
        <w:t xml:space="preserve">of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chapter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time </w:t>
      </w:r>
      <w:proofErr w:type="spellStart"/>
      <w:r w:rsidRPr="009975EA">
        <w:rPr>
          <w:rFonts w:ascii="Times New Roman" w:hAnsi="Times New Roman" w:cs="Times New Roman"/>
          <w:color w:val="000000"/>
          <w:sz w:val="20"/>
          <w:szCs w:val="20"/>
        </w:rPr>
        <w:t>within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ninety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after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filing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later</w:t>
      </w:r>
      <w:proofErr w:type="spellEnd"/>
      <w:r w:rsidRPr="009975EA">
        <w:rPr>
          <w:rFonts w:ascii="Times New Roman" w:hAnsi="Times New Roman" w:cs="Times New Roman"/>
          <w:color w:val="000000"/>
          <w:sz w:val="20"/>
          <w:szCs w:val="20"/>
        </w:rPr>
        <w:t xml:space="preserve"> time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discretion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allow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purchase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owned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conditions</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approved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including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conditions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paragraph</w:t>
      </w:r>
      <w:proofErr w:type="spellEnd"/>
      <w:r w:rsidRPr="009975EA">
        <w:rPr>
          <w:rFonts w:ascii="Times New Roman" w:hAnsi="Times New Roman" w:cs="Times New Roman"/>
          <w:color w:val="000000"/>
          <w:sz w:val="20"/>
          <w:szCs w:val="20"/>
        </w:rPr>
        <w:t xml:space="preserve"> (c) </w:t>
      </w:r>
      <w:proofErr w:type="spellStart"/>
      <w:r w:rsidRPr="009975EA">
        <w:rPr>
          <w:rFonts w:ascii="Times New Roman" w:hAnsi="Times New Roman" w:cs="Times New Roman"/>
          <w:color w:val="000000"/>
          <w:sz w:val="20"/>
          <w:szCs w:val="20"/>
        </w:rPr>
        <w:t>herein</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election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pursuant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shall</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irrevocable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unless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discretion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equitable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considerations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determines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election</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revocable</w:t>
      </w:r>
      <w:proofErr w:type="spellEnd"/>
      <w:r w:rsidRPr="009975EA">
        <w:rPr>
          <w:rFonts w:ascii="Times New Roman" w:hAnsi="Times New Roman" w:cs="Times New Roman"/>
          <w:color w:val="000000"/>
          <w:sz w:val="20"/>
          <w:szCs w:val="20"/>
        </w:rPr>
        <w:t xml:space="preserve">. </w:t>
      </w:r>
    </w:p>
    <w:p w14:paraId="59FDB4B1"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(b)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purchase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owned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application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prospective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purchaser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purchasers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proceedings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brought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pursuant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FF"/>
          <w:sz w:val="20"/>
          <w:szCs w:val="20"/>
        </w:rPr>
        <w:t>section</w:t>
      </w:r>
      <w:proofErr w:type="spellEnd"/>
      <w:r w:rsidRPr="009975EA">
        <w:rPr>
          <w:rFonts w:ascii="Times New Roman" w:hAnsi="Times New Roman" w:cs="Times New Roman"/>
          <w:color w:val="0000FF"/>
          <w:sz w:val="20"/>
          <w:szCs w:val="20"/>
        </w:rPr>
        <w:t xml:space="preserve"> 1104-a </w:t>
      </w:r>
      <w:r w:rsidRPr="009975EA">
        <w:rPr>
          <w:rFonts w:ascii="Times New Roman" w:hAnsi="Times New Roman" w:cs="Times New Roman"/>
          <w:color w:val="000000"/>
          <w:sz w:val="20"/>
          <w:szCs w:val="20"/>
        </w:rPr>
        <w:t xml:space="preserve">of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chapter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determine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as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date</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exclusive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element of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arising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filing</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giving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adjustment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surcharge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found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appropriate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proceeding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FF"/>
          <w:sz w:val="20"/>
          <w:szCs w:val="20"/>
        </w:rPr>
        <w:t>section</w:t>
      </w:r>
      <w:proofErr w:type="spellEnd"/>
      <w:r w:rsidRPr="009975EA">
        <w:rPr>
          <w:rFonts w:ascii="Times New Roman" w:hAnsi="Times New Roman" w:cs="Times New Roman"/>
          <w:color w:val="0000FF"/>
          <w:sz w:val="20"/>
          <w:szCs w:val="20"/>
        </w:rPr>
        <w:t xml:space="preserve"> 1104-a </w:t>
      </w:r>
      <w:r w:rsidRPr="009975EA">
        <w:rPr>
          <w:rFonts w:ascii="Times New Roman" w:hAnsi="Times New Roman" w:cs="Times New Roman"/>
          <w:color w:val="000000"/>
          <w:sz w:val="20"/>
          <w:szCs w:val="20"/>
        </w:rPr>
        <w:t xml:space="preserve">of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chapter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determining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discretion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award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filed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date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payment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w:t>
      </w:r>
      <w:proofErr w:type="spellEnd"/>
      <w:r w:rsidRPr="009975EA">
        <w:rPr>
          <w:rFonts w:ascii="Times New Roman" w:hAnsi="Times New Roman" w:cs="Times New Roman"/>
          <w:color w:val="000000"/>
          <w:sz w:val="20"/>
          <w:szCs w:val="20"/>
        </w:rPr>
        <w:t xml:space="preserve"> at an </w:t>
      </w:r>
      <w:proofErr w:type="spellStart"/>
      <w:r w:rsidRPr="009975EA">
        <w:rPr>
          <w:rFonts w:ascii="Times New Roman" w:hAnsi="Times New Roman" w:cs="Times New Roman"/>
          <w:color w:val="000000"/>
          <w:sz w:val="20"/>
          <w:szCs w:val="20"/>
        </w:rPr>
        <w:t>equitable</w:t>
      </w:r>
      <w:proofErr w:type="spellEnd"/>
      <w:r w:rsidRPr="009975EA">
        <w:rPr>
          <w:rFonts w:ascii="Times New Roman" w:hAnsi="Times New Roman" w:cs="Times New Roman"/>
          <w:color w:val="000000"/>
          <w:sz w:val="20"/>
          <w:szCs w:val="20"/>
        </w:rPr>
        <w:t xml:space="preserve"> rate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judicially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determined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his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
    <w:p w14:paraId="7509C350"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(c)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connection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purchase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pursuant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section</w:t>
      </w:r>
      <w:proofErr w:type="spellEnd"/>
      <w:r w:rsidRPr="009975EA">
        <w:rPr>
          <w:rFonts w:ascii="Times New Roman" w:hAnsi="Times New Roman" w:cs="Times New Roman"/>
          <w:color w:val="000000"/>
          <w:sz w:val="20"/>
          <w:szCs w:val="20"/>
        </w:rPr>
        <w:t xml:space="preserve">: </w:t>
      </w:r>
    </w:p>
    <w:p w14:paraId="1296CC2D"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(1)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election</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made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beyond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ninety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after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filing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allows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discretion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award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w:t>
      </w:r>
      <w:proofErr w:type="spellEnd"/>
      <w:r w:rsidRPr="009975EA">
        <w:rPr>
          <w:rFonts w:ascii="Times New Roman" w:hAnsi="Times New Roman" w:cs="Times New Roman"/>
          <w:color w:val="000000"/>
          <w:sz w:val="20"/>
          <w:szCs w:val="20"/>
        </w:rPr>
        <w:t xml:space="preserve"> his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expenses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incurred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proceeding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including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attorneys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fees</w:t>
      </w:r>
      <w:proofErr w:type="spellEnd"/>
      <w:r w:rsidRPr="009975EA">
        <w:rPr>
          <w:rFonts w:ascii="Times New Roman" w:hAnsi="Times New Roman" w:cs="Times New Roman"/>
          <w:color w:val="000000"/>
          <w:sz w:val="20"/>
          <w:szCs w:val="20"/>
        </w:rPr>
        <w:t xml:space="preserve">; </w:t>
      </w:r>
    </w:p>
    <w:p w14:paraId="291B5D5F" w14:textId="371514EC"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(2)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discretion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time </w:t>
      </w:r>
      <w:proofErr w:type="spellStart"/>
      <w:r w:rsidRPr="009975EA">
        <w:rPr>
          <w:rFonts w:ascii="Times New Roman" w:hAnsi="Times New Roman" w:cs="Times New Roman"/>
          <w:color w:val="000000"/>
          <w:sz w:val="20"/>
          <w:szCs w:val="20"/>
        </w:rPr>
        <w:t>prior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actual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purchase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petitioner's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posting</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bond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acceptable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security</w:t>
      </w:r>
      <w:proofErr w:type="spellEnd"/>
      <w:r w:rsidRPr="009975EA">
        <w:rPr>
          <w:rFonts w:ascii="Times New Roman" w:hAnsi="Times New Roman" w:cs="Times New Roman"/>
          <w:color w:val="000000"/>
          <w:sz w:val="20"/>
          <w:szCs w:val="20"/>
        </w:rPr>
        <w:t xml:space="preserve"> in an </w:t>
      </w:r>
      <w:proofErr w:type="spellStart"/>
      <w:r w:rsidRPr="009975EA">
        <w:rPr>
          <w:rFonts w:ascii="Times New Roman" w:hAnsi="Times New Roman" w:cs="Times New Roman"/>
          <w:color w:val="000000"/>
          <w:sz w:val="20"/>
          <w:szCs w:val="20"/>
        </w:rPr>
        <w:t>amount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sufficient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his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w:t>
      </w:r>
    </w:p>
  </w:footnote>
  <w:footnote w:id="645">
    <w:p w14:paraId="2B6E5553" w14:textId="58DD95DA" w:rsidR="00D36541" w:rsidRPr="009975EA" w:rsidRDefault="00D36541" w:rsidP="00F052FB">
      <w:pPr>
        <w:pStyle w:val="DipnotMetni"/>
        <w:tabs>
          <w:tab w:val="left" w:pos="6221"/>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re Dissolution of Clever </w:t>
      </w:r>
      <w:proofErr w:type="spellStart"/>
      <w:r w:rsidRPr="009975EA">
        <w:rPr>
          <w:rFonts w:ascii="Times New Roman" w:hAnsi="Times New Roman" w:cs="Times New Roman"/>
          <w:sz w:val="20"/>
          <w:szCs w:val="20"/>
        </w:rPr>
        <w:t>Inovations</w:t>
      </w:r>
      <w:proofErr w:type="spellEnd"/>
      <w:r w:rsidRPr="009975EA">
        <w:rPr>
          <w:rFonts w:ascii="Times New Roman" w:hAnsi="Times New Roman" w:cs="Times New Roman"/>
          <w:sz w:val="20"/>
          <w:szCs w:val="20"/>
        </w:rPr>
        <w:t>, Inc., 94 A.D.3d 1174 (2012).</w:t>
      </w:r>
      <w:r>
        <w:rPr>
          <w:rFonts w:ascii="Times New Roman" w:hAnsi="Times New Roman" w:cs="Times New Roman"/>
          <w:sz w:val="20"/>
          <w:szCs w:val="20"/>
        </w:rPr>
        <w:tab/>
      </w:r>
    </w:p>
  </w:footnote>
  <w:footnote w:id="646">
    <w:p w14:paraId="014E3FDB" w14:textId="389146E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Sec. 1104. Petition in case of deadlock among directors or shareholders:</w:t>
      </w:r>
    </w:p>
    <w:p w14:paraId="6EE169F2"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(a) </w:t>
      </w:r>
      <w:proofErr w:type="spellStart"/>
      <w:r w:rsidRPr="009975EA">
        <w:rPr>
          <w:rFonts w:ascii="Times New Roman" w:hAnsi="Times New Roman" w:cs="Times New Roman"/>
          <w:color w:val="000000"/>
          <w:sz w:val="20"/>
          <w:szCs w:val="20"/>
        </w:rPr>
        <w:t>Except</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otherwise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provided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certificate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incorporation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FF"/>
          <w:sz w:val="20"/>
          <w:szCs w:val="20"/>
        </w:rPr>
        <w:t>section</w:t>
      </w:r>
      <w:proofErr w:type="spellEnd"/>
      <w:r w:rsidRPr="009975EA">
        <w:rPr>
          <w:rFonts w:ascii="Times New Roman" w:hAnsi="Times New Roman" w:cs="Times New Roman"/>
          <w:color w:val="0000FF"/>
          <w:sz w:val="20"/>
          <w:szCs w:val="20"/>
        </w:rPr>
        <w:t xml:space="preserve"> 613 </w:t>
      </w:r>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Limitations</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right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holders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representing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one-half</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outstanding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entitled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vote</w:t>
      </w:r>
      <w:proofErr w:type="spellEnd"/>
      <w:r w:rsidRPr="009975EA">
        <w:rPr>
          <w:rFonts w:ascii="Times New Roman" w:hAnsi="Times New Roman" w:cs="Times New Roman"/>
          <w:color w:val="000000"/>
          <w:sz w:val="20"/>
          <w:szCs w:val="20"/>
        </w:rPr>
        <w:t xml:space="preserve"> in an </w:t>
      </w:r>
      <w:proofErr w:type="spellStart"/>
      <w:r w:rsidRPr="009975EA">
        <w:rPr>
          <w:rFonts w:ascii="Times New Roman" w:hAnsi="Times New Roman" w:cs="Times New Roman"/>
          <w:color w:val="000000"/>
          <w:sz w:val="20"/>
          <w:szCs w:val="20"/>
        </w:rPr>
        <w:t>election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present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petition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following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grounds</w:t>
      </w:r>
      <w:proofErr w:type="spellEnd"/>
      <w:r w:rsidRPr="009975EA">
        <w:rPr>
          <w:rFonts w:ascii="Times New Roman" w:hAnsi="Times New Roman" w:cs="Times New Roman"/>
          <w:color w:val="000000"/>
          <w:sz w:val="20"/>
          <w:szCs w:val="20"/>
        </w:rPr>
        <w:t xml:space="preserve">: </w:t>
      </w:r>
    </w:p>
    <w:p w14:paraId="58AA5961"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(1)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respecting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affairs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board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obtained</w:t>
      </w:r>
      <w:proofErr w:type="spellEnd"/>
      <w:r w:rsidRPr="009975EA">
        <w:rPr>
          <w:rFonts w:ascii="Times New Roman" w:hAnsi="Times New Roman" w:cs="Times New Roman"/>
          <w:color w:val="000000"/>
          <w:sz w:val="20"/>
          <w:szCs w:val="20"/>
        </w:rPr>
        <w:t xml:space="preserve">. </w:t>
      </w:r>
    </w:p>
    <w:p w14:paraId="1A33D0CE"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(2)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election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obtained</w:t>
      </w:r>
      <w:proofErr w:type="spellEnd"/>
      <w:r w:rsidRPr="009975EA">
        <w:rPr>
          <w:rFonts w:ascii="Times New Roman" w:hAnsi="Times New Roman" w:cs="Times New Roman"/>
          <w:color w:val="000000"/>
          <w:sz w:val="20"/>
          <w:szCs w:val="20"/>
        </w:rPr>
        <w:t xml:space="preserve">. </w:t>
      </w:r>
    </w:p>
    <w:p w14:paraId="50DE3E42"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(3)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internal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dissension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two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factions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beneficial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
    <w:p w14:paraId="7907587E"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(b)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certificate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incorporation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provides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proportion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votes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board,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proportion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votes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election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shall</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greater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chapter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petition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presented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holders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representing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one-third</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outstanding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entitled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vote</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non-judicial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FF"/>
          <w:sz w:val="20"/>
          <w:szCs w:val="20"/>
        </w:rPr>
        <w:t>section</w:t>
      </w:r>
      <w:proofErr w:type="spellEnd"/>
      <w:r w:rsidRPr="009975EA">
        <w:rPr>
          <w:rFonts w:ascii="Times New Roman" w:hAnsi="Times New Roman" w:cs="Times New Roman"/>
          <w:color w:val="0000FF"/>
          <w:sz w:val="20"/>
          <w:szCs w:val="20"/>
        </w:rPr>
        <w:t xml:space="preserve"> 1001 </w:t>
      </w:r>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Authorization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
    <w:p w14:paraId="36F6E3E3" w14:textId="4B7342F2"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Fonts w:ascii="Times New Roman" w:hAnsi="Times New Roman" w:cs="Times New Roman"/>
          <w:color w:val="000000"/>
          <w:sz w:val="20"/>
          <w:szCs w:val="20"/>
        </w:rPr>
        <w:t xml:space="preserve">(c) </w:t>
      </w:r>
      <w:proofErr w:type="spellStart"/>
      <w:r w:rsidRPr="009975EA">
        <w:rPr>
          <w:rFonts w:ascii="Times New Roman" w:hAnsi="Times New Roman" w:cs="Times New Roman"/>
          <w:color w:val="000000"/>
          <w:sz w:val="20"/>
          <w:szCs w:val="20"/>
        </w:rPr>
        <w:t>Notwithstanding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certificate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incorporation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holder</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entitled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vote</w:t>
      </w:r>
      <w:proofErr w:type="spellEnd"/>
      <w:r w:rsidRPr="009975EA">
        <w:rPr>
          <w:rFonts w:ascii="Times New Roman" w:hAnsi="Times New Roman" w:cs="Times New Roman"/>
          <w:color w:val="000000"/>
          <w:sz w:val="20"/>
          <w:szCs w:val="20"/>
        </w:rPr>
        <w:t xml:space="preserve"> at an </w:t>
      </w:r>
      <w:proofErr w:type="spellStart"/>
      <w:r w:rsidRPr="009975EA">
        <w:rPr>
          <w:rFonts w:ascii="Times New Roman" w:hAnsi="Times New Roman" w:cs="Times New Roman"/>
          <w:color w:val="000000"/>
          <w:sz w:val="20"/>
          <w:szCs w:val="20"/>
        </w:rPr>
        <w:t>election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present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petition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ground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period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includes</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least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two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consecutive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annual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meeting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successors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expired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expired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qualification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successors</w:t>
      </w:r>
      <w:proofErr w:type="spellEnd"/>
      <w:r w:rsidRPr="009975EA">
        <w:rPr>
          <w:rFonts w:ascii="Times New Roman" w:hAnsi="Times New Roman" w:cs="Times New Roman"/>
          <w:color w:val="000000"/>
          <w:sz w:val="20"/>
          <w:szCs w:val="20"/>
        </w:rPr>
        <w:t xml:space="preserve">. </w:t>
      </w:r>
    </w:p>
  </w:footnote>
  <w:footnote w:id="647">
    <w:p w14:paraId="6105CAA3" w14:textId="5DB378F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re Quail Aero Service, Inc., 300 A.D.2d 800 (2002).</w:t>
      </w:r>
    </w:p>
  </w:footnote>
  <w:footnote w:id="648">
    <w:p w14:paraId="65047C34" w14:textId="09303CC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Orloff v. Shulman, 31 Del. J. Corp. L. 740 (2005)</w:t>
      </w:r>
    </w:p>
  </w:footnote>
  <w:footnote w:id="649">
    <w:p w14:paraId="42C7D475" w14:textId="0F268522"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Matter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Kemp</w:t>
      </w:r>
      <w:proofErr w:type="spellEnd"/>
      <w:r w:rsidRPr="009975EA">
        <w:rPr>
          <w:rFonts w:ascii="Times New Roman" w:hAnsi="Times New Roman" w:cs="Times New Roman"/>
          <w:sz w:val="20"/>
          <w:szCs w:val="20"/>
        </w:rPr>
        <w:t xml:space="preserve"> &amp; </w:t>
      </w:r>
      <w:proofErr w:type="spellStart"/>
      <w:r w:rsidRPr="009975EA">
        <w:rPr>
          <w:rFonts w:ascii="Times New Roman" w:hAnsi="Times New Roman" w:cs="Times New Roman"/>
          <w:sz w:val="20"/>
          <w:szCs w:val="20"/>
        </w:rPr>
        <w:t>Beatley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64 N.Y.2d 63 (1984): “</w:t>
      </w:r>
      <w:r w:rsidRPr="009975EA">
        <w:rPr>
          <w:rFonts w:ascii="Times New Roman" w:hAnsi="Times New Roman" w:cs="Times New Roman"/>
          <w:color w:val="000000"/>
          <w:sz w:val="20"/>
          <w:szCs w:val="20"/>
        </w:rPr>
        <w:t xml:space="preserve">True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ancient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principle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equity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jurisdiction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lie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exists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remedy</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FF"/>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entertained</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minority's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equity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could</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adequately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protected</w:t>
      </w:r>
      <w:proofErr w:type="spellEnd"/>
      <w:r w:rsidRPr="009975EA">
        <w:rPr>
          <w:rFonts w:ascii="Times New Roman" w:hAnsi="Times New Roman" w:cs="Times New Roman"/>
          <w:color w:val="000000"/>
          <w:sz w:val="20"/>
          <w:szCs w:val="20"/>
        </w:rPr>
        <w:t xml:space="preserve"> in a legal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derivative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Supplementing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principle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judicially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ordered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equitable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Legislature</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shown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special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solicitude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toward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closely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enacting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section</w:t>
      </w:r>
      <w:proofErr w:type="spellEnd"/>
      <w:r w:rsidRPr="009975EA">
        <w:rPr>
          <w:rFonts w:ascii="Times New Roman" w:hAnsi="Times New Roman" w:cs="Times New Roman"/>
          <w:color w:val="000000"/>
          <w:sz w:val="20"/>
          <w:szCs w:val="20"/>
        </w:rPr>
        <w:t xml:space="preserve"> 1104-a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Business Corporation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Lewis</w:t>
      </w:r>
      <w:proofErr w:type="spellEnd"/>
      <w:r w:rsidRPr="009975EA">
        <w:rPr>
          <w:rFonts w:ascii="Times New Roman" w:hAnsi="Times New Roman" w:cs="Times New Roman"/>
          <w:color w:val="000000"/>
          <w:sz w:val="20"/>
          <w:szCs w:val="20"/>
        </w:rPr>
        <w:t xml:space="preserve"> v. </w:t>
      </w:r>
      <w:proofErr w:type="spellStart"/>
      <w:r w:rsidRPr="009975EA">
        <w:rPr>
          <w:rFonts w:ascii="Times New Roman" w:hAnsi="Times New Roman" w:cs="Times New Roman"/>
          <w:color w:val="000000"/>
          <w:sz w:val="20"/>
          <w:szCs w:val="20"/>
        </w:rPr>
        <w:t>Jones</w:t>
      </w:r>
      <w:proofErr w:type="spellEnd"/>
      <w:r w:rsidRPr="009975EA">
        <w:rPr>
          <w:rFonts w:ascii="Times New Roman" w:hAnsi="Times New Roman" w:cs="Times New Roman"/>
          <w:color w:val="000000"/>
          <w:sz w:val="20"/>
          <w:szCs w:val="20"/>
        </w:rPr>
        <w:t>, 107 A.D.2d 931 (1985): “</w:t>
      </w:r>
      <w:proofErr w:type="spellStart"/>
      <w:r w:rsidRPr="009975EA">
        <w:rPr>
          <w:rFonts w:ascii="Times New Roman" w:hAnsi="Times New Roman" w:cs="Times New Roman"/>
          <w:color w:val="000000"/>
          <w:sz w:val="20"/>
          <w:szCs w:val="20"/>
        </w:rPr>
        <w:t>Finally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defendants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position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commenced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plaintiff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common-law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precluded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pendency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derivative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well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recognized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derivative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seeks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recover</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behalf</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waste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assets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damage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claimed</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primarily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result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breaches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properly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sustain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direct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against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defendants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situation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direct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a </w:t>
      </w:r>
      <w:proofErr w:type="spellStart"/>
      <w:r w:rsidRPr="009975EA">
        <w:rPr>
          <w:rFonts w:ascii="Times New Roman" w:hAnsi="Times New Roman" w:cs="Times New Roman"/>
          <w:color w:val="000000"/>
          <w:sz w:val="20"/>
          <w:szCs w:val="20"/>
        </w:rPr>
        <w:t>proper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remedy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personal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stake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w:t>
      </w:r>
    </w:p>
  </w:footnote>
  <w:footnote w:id="650">
    <w:p w14:paraId="41A328E9" w14:textId="7B709F4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Application of </w:t>
      </w:r>
      <w:proofErr w:type="spellStart"/>
      <w:r w:rsidRPr="009975EA">
        <w:rPr>
          <w:rFonts w:ascii="Times New Roman" w:hAnsi="Times New Roman" w:cs="Times New Roman"/>
          <w:sz w:val="20"/>
          <w:szCs w:val="20"/>
        </w:rPr>
        <w:t>Taines</w:t>
      </w:r>
      <w:proofErr w:type="spellEnd"/>
      <w:r w:rsidRPr="009975EA">
        <w:rPr>
          <w:rFonts w:ascii="Times New Roman" w:hAnsi="Times New Roman" w:cs="Times New Roman"/>
          <w:sz w:val="20"/>
          <w:szCs w:val="20"/>
        </w:rPr>
        <w:t>, 444 N.Y.S.2d 540 (1981).</w:t>
      </w:r>
    </w:p>
  </w:footnote>
  <w:footnote w:id="651">
    <w:p w14:paraId="201EB238" w14:textId="4A156F1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John C. Coffee, Jr., </w:t>
      </w:r>
      <w:r w:rsidRPr="00F052FB">
        <w:rPr>
          <w:rFonts w:ascii="Times New Roman" w:hAnsi="Times New Roman" w:cs="Times New Roman"/>
          <w:i/>
          <w:sz w:val="20"/>
          <w:szCs w:val="20"/>
        </w:rPr>
        <w:t>The Mandatory/Enabling Balance in Corporate Law: An Essay on the Judicial Role</w:t>
      </w:r>
      <w:r w:rsidRPr="009975EA">
        <w:rPr>
          <w:rFonts w:ascii="Times New Roman" w:hAnsi="Times New Roman" w:cs="Times New Roman"/>
          <w:sz w:val="20"/>
          <w:szCs w:val="20"/>
        </w:rPr>
        <w:t>, 8</w:t>
      </w:r>
      <w:r>
        <w:rPr>
          <w:rFonts w:ascii="Times New Roman" w:hAnsi="Times New Roman" w:cs="Times New Roman"/>
          <w:sz w:val="20"/>
          <w:szCs w:val="20"/>
        </w:rPr>
        <w:t xml:space="preserve">9 Colum. L. Rev. 1618 (1989), at </w:t>
      </w:r>
      <w:r w:rsidRPr="009975EA">
        <w:rPr>
          <w:rFonts w:ascii="Times New Roman" w:hAnsi="Times New Roman" w:cs="Times New Roman"/>
          <w:sz w:val="20"/>
          <w:szCs w:val="20"/>
        </w:rPr>
        <w:t>1697.</w:t>
      </w:r>
    </w:p>
  </w:footnote>
  <w:footnote w:id="652">
    <w:p w14:paraId="54A7C4AA"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Lewis v. Jones, 107 A.D.2d 931 (1985).</w:t>
      </w:r>
    </w:p>
  </w:footnote>
  <w:footnote w:id="653">
    <w:p w14:paraId="5F6F8AF7" w14:textId="69DF62E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Sec. 1104-a(a)(1) and (2). </w:t>
      </w:r>
    </w:p>
  </w:footnote>
  <w:footnote w:id="654">
    <w:p w14:paraId="7AC9A2C4" w14:textId="12600D4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Sec. 1104-a(b)(1) and (2).</w:t>
      </w:r>
    </w:p>
  </w:footnote>
  <w:footnote w:id="655">
    <w:p w14:paraId="3C7D993C" w14:textId="201C0AF4"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Matter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Kemp</w:t>
      </w:r>
      <w:proofErr w:type="spellEnd"/>
      <w:r w:rsidRPr="009975EA">
        <w:rPr>
          <w:rFonts w:ascii="Times New Roman" w:hAnsi="Times New Roman" w:cs="Times New Roman"/>
          <w:sz w:val="20"/>
          <w:szCs w:val="20"/>
        </w:rPr>
        <w:t xml:space="preserve"> &amp; </w:t>
      </w:r>
      <w:proofErr w:type="spellStart"/>
      <w:r w:rsidRPr="009975EA">
        <w:rPr>
          <w:rFonts w:ascii="Times New Roman" w:hAnsi="Times New Roman" w:cs="Times New Roman"/>
          <w:sz w:val="20"/>
          <w:szCs w:val="20"/>
        </w:rPr>
        <w:t>Beatley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xml:space="preserve">., 64 N.Y.2d 63 (1984). </w:t>
      </w:r>
      <w:proofErr w:type="spellStart"/>
      <w:r w:rsidRPr="009975EA">
        <w:rPr>
          <w:rFonts w:ascii="Times New Roman" w:hAnsi="Times New Roman" w:cs="Times New Roman"/>
          <w:sz w:val="20"/>
          <w:szCs w:val="20"/>
        </w:rPr>
        <w:t>Muller</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Silverstein</w:t>
      </w:r>
      <w:proofErr w:type="spellEnd"/>
      <w:r w:rsidRPr="009975EA">
        <w:rPr>
          <w:rFonts w:ascii="Times New Roman" w:hAnsi="Times New Roman" w:cs="Times New Roman"/>
          <w:sz w:val="20"/>
          <w:szCs w:val="20"/>
        </w:rPr>
        <w:t>, 92 A.D.2d 455 (1983):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also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indication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record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ever </w:t>
      </w:r>
      <w:proofErr w:type="spellStart"/>
      <w:r w:rsidRPr="009975EA">
        <w:rPr>
          <w:rFonts w:ascii="Times New Roman" w:hAnsi="Times New Roman" w:cs="Times New Roman"/>
          <w:color w:val="000000"/>
          <w:sz w:val="20"/>
          <w:szCs w:val="20"/>
        </w:rPr>
        <w:t>considered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liquidation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feasible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means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respondents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receive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fair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return</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liquidation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necessary</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order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believed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dividend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declared</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could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made</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order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however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unjustified</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656">
    <w:p w14:paraId="7A241019" w14:textId="35B67D6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Markidos</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Arger</w:t>
      </w:r>
      <w:proofErr w:type="spellEnd"/>
      <w:r w:rsidRPr="009975EA">
        <w:rPr>
          <w:rFonts w:ascii="Times New Roman" w:hAnsi="Times New Roman" w:cs="Times New Roman"/>
          <w:sz w:val="20"/>
          <w:szCs w:val="20"/>
        </w:rPr>
        <w:t>, 457 N.Y.S.2d 371 (1982).</w:t>
      </w:r>
    </w:p>
  </w:footnote>
  <w:footnote w:id="657">
    <w:p w14:paraId="56DC72BB" w14:textId="28C250F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Burack</w:t>
      </w:r>
      <w:proofErr w:type="spellEnd"/>
      <w:r w:rsidRPr="009975EA">
        <w:rPr>
          <w:rFonts w:ascii="Times New Roman" w:hAnsi="Times New Roman" w:cs="Times New Roman"/>
          <w:sz w:val="20"/>
          <w:szCs w:val="20"/>
        </w:rPr>
        <w:t xml:space="preserve"> v. I. </w:t>
      </w:r>
      <w:proofErr w:type="spellStart"/>
      <w:r w:rsidRPr="009975EA">
        <w:rPr>
          <w:rFonts w:ascii="Times New Roman" w:hAnsi="Times New Roman" w:cs="Times New Roman"/>
          <w:sz w:val="20"/>
          <w:szCs w:val="20"/>
        </w:rPr>
        <w:t>Burack</w:t>
      </w:r>
      <w:proofErr w:type="spellEnd"/>
      <w:r w:rsidRPr="009975EA">
        <w:rPr>
          <w:rFonts w:ascii="Times New Roman" w:hAnsi="Times New Roman" w:cs="Times New Roman"/>
          <w:sz w:val="20"/>
          <w:szCs w:val="20"/>
        </w:rPr>
        <w:t xml:space="preserve">, Inc., 137 A.D.2d 523 (1988): “However, the doctrine of ‘unclean </w:t>
      </w:r>
      <w:proofErr w:type="spellStart"/>
      <w:r w:rsidRPr="009975EA">
        <w:rPr>
          <w:rFonts w:ascii="Times New Roman" w:hAnsi="Times New Roman" w:cs="Times New Roman"/>
          <w:sz w:val="20"/>
          <w:szCs w:val="20"/>
        </w:rPr>
        <w:t>hadns</w:t>
      </w:r>
      <w:proofErr w:type="spellEnd"/>
      <w:r w:rsidRPr="009975EA">
        <w:rPr>
          <w:rFonts w:ascii="Times New Roman" w:hAnsi="Times New Roman" w:cs="Times New Roman"/>
          <w:sz w:val="20"/>
          <w:szCs w:val="20"/>
        </w:rPr>
        <w:t>’ is not an automatic bar to relief under Business Corporation Law Sec. 1104-a.” “Specifically, the doctrine of unclean hands requires that a plaintiff ‘shall have acted fairly and without fraud or deceit as to the controversy in issue.” (</w:t>
      </w:r>
      <w:proofErr w:type="spellStart"/>
      <w:r w:rsidRPr="009975EA">
        <w:rPr>
          <w:rFonts w:ascii="Times New Roman" w:hAnsi="Times New Roman" w:cs="Times New Roman"/>
          <w:sz w:val="20"/>
          <w:szCs w:val="20"/>
        </w:rPr>
        <w:t>Northbay</w:t>
      </w:r>
      <w:proofErr w:type="spellEnd"/>
      <w:r w:rsidRPr="009975EA">
        <w:rPr>
          <w:rFonts w:ascii="Times New Roman" w:hAnsi="Times New Roman" w:cs="Times New Roman"/>
          <w:sz w:val="20"/>
          <w:szCs w:val="20"/>
        </w:rPr>
        <w:t xml:space="preserve"> Wellness Group, Inc. v. </w:t>
      </w:r>
      <w:proofErr w:type="spellStart"/>
      <w:r w:rsidRPr="009975EA">
        <w:rPr>
          <w:rFonts w:ascii="Times New Roman" w:hAnsi="Times New Roman" w:cs="Times New Roman"/>
          <w:sz w:val="20"/>
          <w:szCs w:val="20"/>
        </w:rPr>
        <w:t>Beyries</w:t>
      </w:r>
      <w:proofErr w:type="spellEnd"/>
      <w:r w:rsidRPr="009975EA">
        <w:rPr>
          <w:rFonts w:ascii="Times New Roman" w:hAnsi="Times New Roman" w:cs="Times New Roman"/>
          <w:sz w:val="20"/>
          <w:szCs w:val="20"/>
        </w:rPr>
        <w:t>, 789 F.3d 956 (2015))</w:t>
      </w:r>
    </w:p>
  </w:footnote>
  <w:footnote w:id="658">
    <w:p w14:paraId="10599153" w14:textId="6E0D68C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Burack</w:t>
      </w:r>
      <w:proofErr w:type="spellEnd"/>
      <w:r w:rsidRPr="009975EA">
        <w:rPr>
          <w:rFonts w:ascii="Times New Roman" w:hAnsi="Times New Roman" w:cs="Times New Roman"/>
          <w:sz w:val="20"/>
          <w:szCs w:val="20"/>
        </w:rPr>
        <w:t xml:space="preserve"> v. I. </w:t>
      </w:r>
      <w:proofErr w:type="spellStart"/>
      <w:r w:rsidRPr="009975EA">
        <w:rPr>
          <w:rFonts w:ascii="Times New Roman" w:hAnsi="Times New Roman" w:cs="Times New Roman"/>
          <w:sz w:val="20"/>
          <w:szCs w:val="20"/>
        </w:rPr>
        <w:t>Burack</w:t>
      </w:r>
      <w:proofErr w:type="spellEnd"/>
      <w:r w:rsidRPr="009975EA">
        <w:rPr>
          <w:rFonts w:ascii="Times New Roman" w:hAnsi="Times New Roman" w:cs="Times New Roman"/>
          <w:sz w:val="20"/>
          <w:szCs w:val="20"/>
        </w:rPr>
        <w:t>, Inc., 137 A.D.2d 523 (1988).</w:t>
      </w:r>
    </w:p>
  </w:footnote>
  <w:footnote w:id="659">
    <w:p w14:paraId="4F91B30D" w14:textId="61374FA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Matter of Harris, 118 A.D.2d 646 (1986).</w:t>
      </w:r>
    </w:p>
  </w:footnote>
  <w:footnote w:id="660">
    <w:p w14:paraId="521CB790" w14:textId="1251E089" w:rsidR="00D36541" w:rsidRPr="009975EA" w:rsidRDefault="00D36541" w:rsidP="009975EA">
      <w:pPr>
        <w:pStyle w:val="DipnotMetni"/>
        <w:tabs>
          <w:tab w:val="left" w:pos="483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Matter of Cristo Bros., Inc., 64 N.Y.2d 975 (1985).</w:t>
      </w:r>
      <w:r w:rsidRPr="009975EA">
        <w:rPr>
          <w:rFonts w:ascii="Times New Roman" w:hAnsi="Times New Roman" w:cs="Times New Roman"/>
          <w:sz w:val="20"/>
          <w:szCs w:val="20"/>
        </w:rPr>
        <w:tab/>
      </w:r>
    </w:p>
  </w:footnote>
  <w:footnote w:id="661">
    <w:p w14:paraId="5C881B76" w14:textId="62A5FA9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Sec. 1118(1).</w:t>
      </w:r>
    </w:p>
  </w:footnote>
  <w:footnote w:id="662">
    <w:p w14:paraId="04712028" w14:textId="1F04C1A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Sec. 1118(2).</w:t>
      </w:r>
    </w:p>
  </w:footnote>
  <w:footnote w:id="663">
    <w:p w14:paraId="21862F83" w14:textId="64F1DB3F" w:rsidR="00D36541" w:rsidRPr="009975EA" w:rsidRDefault="00D36541" w:rsidP="00A83C7B">
      <w:pPr>
        <w:pStyle w:val="DipnotMetni"/>
        <w:tabs>
          <w:tab w:val="left" w:pos="5472"/>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Matter of Pace Photographers, Ltd., 71 N.Y.2d 737 (1988).</w:t>
      </w:r>
      <w:r>
        <w:rPr>
          <w:rFonts w:ascii="Times New Roman" w:hAnsi="Times New Roman" w:cs="Times New Roman"/>
          <w:sz w:val="20"/>
          <w:szCs w:val="20"/>
        </w:rPr>
        <w:tab/>
      </w:r>
    </w:p>
  </w:footnote>
  <w:footnote w:id="664">
    <w:p w14:paraId="6C17051F" w14:textId="0FF61A8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Matter of Pace Photographers, Ltd., 71 N.Y.2d 737 (1988). Minnesota’s statute gives a similar effect to a shareholders’ agreement by stating that if shares are subject to a share purchase agreement, the court shall order the sale of the shares at the price written in the agreement unless the price is unreasonable under the circumstances (Minn. Stat. Ann. Sec. 302A.751(2)).</w:t>
      </w:r>
    </w:p>
  </w:footnote>
  <w:footnote w:id="665">
    <w:p w14:paraId="087656AB" w14:textId="2A39B3E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Davidian, p. 46.</w:t>
      </w:r>
    </w:p>
  </w:footnote>
  <w:footnote w:id="666">
    <w:p w14:paraId="0D3236BE" w14:textId="63C3E04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Davidian, p. 47.</w:t>
      </w:r>
    </w:p>
  </w:footnote>
  <w:footnote w:id="667">
    <w:p w14:paraId="666FC504" w14:textId="2F18797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Dividend Policy, p. 890- 891.</w:t>
      </w:r>
    </w:p>
  </w:footnote>
  <w:footnote w:id="668">
    <w:p w14:paraId="1E8569E2" w14:textId="4B753164" w:rsidR="00D36541" w:rsidRPr="00A83C7B" w:rsidRDefault="00D36541" w:rsidP="009975EA">
      <w:pPr>
        <w:widowControl w:val="0"/>
        <w:autoSpaceDE w:val="0"/>
        <w:autoSpaceDN w:val="0"/>
        <w:adjustRightInd w:val="0"/>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Mardikos</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Arger</w:t>
      </w:r>
      <w:proofErr w:type="spellEnd"/>
      <w:r w:rsidRPr="009975EA">
        <w:rPr>
          <w:rFonts w:ascii="Times New Roman" w:hAnsi="Times New Roman" w:cs="Times New Roman"/>
          <w:sz w:val="20"/>
          <w:szCs w:val="20"/>
        </w:rPr>
        <w:t>, 457 N.Y.S.2d 371 (1982</w:t>
      </w:r>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footnote</w:t>
      </w:r>
      <w:proofErr w:type="spellEnd"/>
      <w:r w:rsidRPr="00A83C7B">
        <w:rPr>
          <w:rFonts w:ascii="Times New Roman" w:hAnsi="Times New Roman" w:cs="Times New Roman"/>
          <w:color w:val="000000" w:themeColor="text1"/>
          <w:sz w:val="20"/>
          <w:szCs w:val="20"/>
        </w:rPr>
        <w:t xml:space="preserve"> 2: “</w:t>
      </w:r>
      <w:proofErr w:type="spellStart"/>
      <w:r w:rsidRPr="00A83C7B">
        <w:rPr>
          <w:rFonts w:ascii="Times New Roman" w:hAnsi="Times New Roman" w:cs="Times New Roman"/>
          <w:color w:val="000000" w:themeColor="text1"/>
          <w:sz w:val="20"/>
          <w:szCs w:val="20"/>
        </w:rPr>
        <w:t>Petitioner's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argument</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that</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i/>
          <w:iCs/>
          <w:color w:val="000000" w:themeColor="text1"/>
          <w:sz w:val="20"/>
          <w:szCs w:val="20"/>
        </w:rPr>
        <w:t>Weiss</w:t>
      </w:r>
      <w:proofErr w:type="spellEnd"/>
      <w:r w:rsidRPr="00A83C7B">
        <w:rPr>
          <w:rFonts w:ascii="Times New Roman" w:hAnsi="Times New Roman" w:cs="Times New Roman"/>
          <w:i/>
          <w:iCs/>
          <w:color w:val="000000" w:themeColor="text1"/>
          <w:sz w:val="20"/>
          <w:szCs w:val="20"/>
        </w:rPr>
        <w:t xml:space="preserve"> v. Gordon </w:t>
      </w:r>
      <w:r w:rsidRPr="00A83C7B">
        <w:rPr>
          <w:rFonts w:ascii="Times New Roman" w:hAnsi="Times New Roman" w:cs="Times New Roman"/>
          <w:color w:val="000000" w:themeColor="text1"/>
          <w:sz w:val="20"/>
          <w:szCs w:val="20"/>
        </w:rPr>
        <w:t xml:space="preserve">(32 A.D.2d 279, 301 N.Y.S.2d 839) </w:t>
      </w:r>
      <w:proofErr w:type="spellStart"/>
      <w:r w:rsidRPr="00A83C7B">
        <w:rPr>
          <w:rFonts w:ascii="Times New Roman" w:hAnsi="Times New Roman" w:cs="Times New Roman"/>
          <w:color w:val="000000" w:themeColor="text1"/>
          <w:sz w:val="20"/>
          <w:szCs w:val="20"/>
        </w:rPr>
        <w:t>and</w:t>
      </w:r>
      <w:proofErr w:type="spellEnd"/>
      <w:r w:rsidRPr="00A83C7B">
        <w:rPr>
          <w:rFonts w:ascii="Times New Roman" w:hAnsi="Times New Roman" w:cs="Times New Roman"/>
          <w:color w:val="000000" w:themeColor="text1"/>
          <w:sz w:val="20"/>
          <w:szCs w:val="20"/>
        </w:rPr>
        <w:t xml:space="preserve"> </w:t>
      </w:r>
      <w:r w:rsidRPr="00A83C7B">
        <w:rPr>
          <w:rFonts w:ascii="Times New Roman" w:hAnsi="Times New Roman" w:cs="Times New Roman"/>
          <w:i/>
          <w:iCs/>
          <w:color w:val="000000" w:themeColor="text1"/>
          <w:sz w:val="20"/>
          <w:szCs w:val="20"/>
        </w:rPr>
        <w:t xml:space="preserve">Application of </w:t>
      </w:r>
      <w:proofErr w:type="spellStart"/>
      <w:r w:rsidRPr="00A83C7B">
        <w:rPr>
          <w:rFonts w:ascii="Times New Roman" w:hAnsi="Times New Roman" w:cs="Times New Roman"/>
          <w:i/>
          <w:iCs/>
          <w:color w:val="000000" w:themeColor="text1"/>
          <w:sz w:val="20"/>
          <w:szCs w:val="20"/>
        </w:rPr>
        <w:t>Surchin</w:t>
      </w:r>
      <w:proofErr w:type="spellEnd"/>
      <w:r w:rsidRPr="00A83C7B">
        <w:rPr>
          <w:rFonts w:ascii="Times New Roman" w:hAnsi="Times New Roman" w:cs="Times New Roman"/>
          <w:i/>
          <w:iCs/>
          <w:color w:val="000000" w:themeColor="text1"/>
          <w:sz w:val="20"/>
          <w:szCs w:val="20"/>
        </w:rPr>
        <w:t xml:space="preserve"> </w:t>
      </w:r>
      <w:r w:rsidRPr="00A83C7B">
        <w:rPr>
          <w:rFonts w:ascii="Times New Roman" w:hAnsi="Times New Roman" w:cs="Times New Roman"/>
          <w:color w:val="000000" w:themeColor="text1"/>
          <w:sz w:val="20"/>
          <w:szCs w:val="20"/>
        </w:rPr>
        <w:t xml:space="preserve">(55 Misc.2d 888, 286 N.Y.S.2d 580) </w:t>
      </w:r>
      <w:proofErr w:type="spellStart"/>
      <w:r w:rsidRPr="00A83C7B">
        <w:rPr>
          <w:rFonts w:ascii="Times New Roman" w:hAnsi="Times New Roman" w:cs="Times New Roman"/>
          <w:color w:val="000000" w:themeColor="text1"/>
          <w:sz w:val="20"/>
          <w:szCs w:val="20"/>
        </w:rPr>
        <w:t>which</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held</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that</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when</w:t>
      </w:r>
      <w:proofErr w:type="spellEnd"/>
      <w:r w:rsidRPr="00A83C7B">
        <w:rPr>
          <w:rFonts w:ascii="Times New Roman" w:hAnsi="Times New Roman" w:cs="Times New Roman"/>
          <w:color w:val="000000" w:themeColor="text1"/>
          <w:sz w:val="20"/>
          <w:szCs w:val="20"/>
        </w:rPr>
        <w:t xml:space="preserve"> a </w:t>
      </w:r>
      <w:proofErr w:type="spellStart"/>
      <w:r w:rsidRPr="00A83C7B">
        <w:rPr>
          <w:rFonts w:ascii="Times New Roman" w:hAnsi="Times New Roman" w:cs="Times New Roman"/>
          <w:color w:val="000000" w:themeColor="text1"/>
          <w:sz w:val="20"/>
          <w:szCs w:val="20"/>
        </w:rPr>
        <w:t>court</w:t>
      </w:r>
      <w:proofErr w:type="spellEnd"/>
      <w:r w:rsidRPr="00A83C7B">
        <w:rPr>
          <w:rFonts w:ascii="Times New Roman" w:hAnsi="Times New Roman" w:cs="Times New Roman"/>
          <w:color w:val="000000" w:themeColor="text1"/>
          <w:sz w:val="20"/>
          <w:szCs w:val="20"/>
        </w:rPr>
        <w:t xml:space="preserve"> is </w:t>
      </w:r>
      <w:proofErr w:type="spellStart"/>
      <w:r w:rsidRPr="00A83C7B">
        <w:rPr>
          <w:rFonts w:ascii="Times New Roman" w:hAnsi="Times New Roman" w:cs="Times New Roman"/>
          <w:color w:val="000000" w:themeColor="text1"/>
          <w:sz w:val="20"/>
          <w:szCs w:val="20"/>
        </w:rPr>
        <w:t>considering</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whether</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to</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exercise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its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discretion</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to</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grant</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dissolution</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to</w:t>
      </w:r>
      <w:proofErr w:type="spellEnd"/>
      <w:r w:rsidRPr="00A83C7B">
        <w:rPr>
          <w:rFonts w:ascii="Times New Roman" w:hAnsi="Times New Roman" w:cs="Times New Roman"/>
          <w:color w:val="000000" w:themeColor="text1"/>
          <w:sz w:val="20"/>
          <w:szCs w:val="20"/>
        </w:rPr>
        <w:t xml:space="preserve"> a “</w:t>
      </w:r>
      <w:proofErr w:type="spellStart"/>
      <w:r w:rsidRPr="00A83C7B">
        <w:rPr>
          <w:rFonts w:ascii="Times New Roman" w:hAnsi="Times New Roman" w:cs="Times New Roman"/>
          <w:color w:val="000000" w:themeColor="text1"/>
          <w:sz w:val="20"/>
          <w:szCs w:val="20"/>
        </w:rPr>
        <w:t>deadlocked</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corporation</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pursuant</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to</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Section</w:t>
      </w:r>
      <w:proofErr w:type="spellEnd"/>
      <w:r w:rsidRPr="00A83C7B">
        <w:rPr>
          <w:rFonts w:ascii="Times New Roman" w:hAnsi="Times New Roman" w:cs="Times New Roman"/>
          <w:color w:val="000000" w:themeColor="text1"/>
          <w:sz w:val="20"/>
          <w:szCs w:val="20"/>
        </w:rPr>
        <w:t xml:space="preserve"> 1104 of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BCL,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court</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should</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treat</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close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corporations</w:t>
      </w:r>
      <w:proofErr w:type="spellEnd"/>
      <w:r w:rsidRPr="00A83C7B">
        <w:rPr>
          <w:rFonts w:ascii="Times New Roman" w:hAnsi="Times New Roman" w:cs="Times New Roman"/>
          <w:color w:val="000000" w:themeColor="text1"/>
          <w:sz w:val="20"/>
          <w:szCs w:val="20"/>
        </w:rPr>
        <w:t xml:space="preserve"> as </w:t>
      </w:r>
      <w:proofErr w:type="spellStart"/>
      <w:r w:rsidRPr="00A83C7B">
        <w:rPr>
          <w:rFonts w:ascii="Times New Roman" w:hAnsi="Times New Roman" w:cs="Times New Roman"/>
          <w:color w:val="000000" w:themeColor="text1"/>
          <w:sz w:val="20"/>
          <w:szCs w:val="20"/>
        </w:rPr>
        <w:t>partnerships</w:t>
      </w:r>
      <w:proofErr w:type="spellEnd"/>
      <w:r w:rsidRPr="00A83C7B">
        <w:rPr>
          <w:rFonts w:ascii="Times New Roman" w:hAnsi="Times New Roman" w:cs="Times New Roman"/>
          <w:color w:val="000000" w:themeColor="text1"/>
          <w:sz w:val="20"/>
          <w:szCs w:val="20"/>
        </w:rPr>
        <w:t xml:space="preserve">, has </w:t>
      </w:r>
      <w:proofErr w:type="spellStart"/>
      <w:r w:rsidRPr="00A83C7B">
        <w:rPr>
          <w:rFonts w:ascii="Times New Roman" w:hAnsi="Times New Roman" w:cs="Times New Roman"/>
          <w:color w:val="000000" w:themeColor="text1"/>
          <w:sz w:val="20"/>
          <w:szCs w:val="20"/>
        </w:rPr>
        <w:t>established</w:t>
      </w:r>
      <w:proofErr w:type="spellEnd"/>
      <w:r w:rsidRPr="00A83C7B">
        <w:rPr>
          <w:rFonts w:ascii="Times New Roman" w:hAnsi="Times New Roman" w:cs="Times New Roman"/>
          <w:color w:val="000000" w:themeColor="text1"/>
          <w:sz w:val="20"/>
          <w:szCs w:val="20"/>
        </w:rPr>
        <w:t xml:space="preserve"> a </w:t>
      </w:r>
      <w:proofErr w:type="spellStart"/>
      <w:r w:rsidRPr="00A83C7B">
        <w:rPr>
          <w:rFonts w:ascii="Times New Roman" w:hAnsi="Times New Roman" w:cs="Times New Roman"/>
          <w:color w:val="000000" w:themeColor="text1"/>
          <w:sz w:val="20"/>
          <w:szCs w:val="20"/>
        </w:rPr>
        <w:t>rule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that</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close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corporations</w:t>
      </w:r>
      <w:proofErr w:type="spellEnd"/>
      <w:r w:rsidRPr="00A83C7B">
        <w:rPr>
          <w:rFonts w:ascii="Times New Roman" w:hAnsi="Times New Roman" w:cs="Times New Roman"/>
          <w:color w:val="000000" w:themeColor="text1"/>
          <w:sz w:val="20"/>
          <w:szCs w:val="20"/>
        </w:rPr>
        <w:t xml:space="preserve"> in </w:t>
      </w:r>
      <w:proofErr w:type="spellStart"/>
      <w:r w:rsidRPr="00A83C7B">
        <w:rPr>
          <w:rFonts w:ascii="Times New Roman" w:hAnsi="Times New Roman" w:cs="Times New Roman"/>
          <w:color w:val="000000" w:themeColor="text1"/>
          <w:sz w:val="20"/>
          <w:szCs w:val="20"/>
        </w:rPr>
        <w:t>other</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judicial</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dissolution</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proceedings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are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to</w:t>
      </w:r>
      <w:proofErr w:type="spellEnd"/>
      <w:r w:rsidRPr="00A83C7B">
        <w:rPr>
          <w:rFonts w:ascii="Times New Roman" w:hAnsi="Times New Roman" w:cs="Times New Roman"/>
          <w:color w:val="000000" w:themeColor="text1"/>
          <w:sz w:val="20"/>
          <w:szCs w:val="20"/>
        </w:rPr>
        <w:t xml:space="preserve"> be </w:t>
      </w:r>
      <w:proofErr w:type="spellStart"/>
      <w:r w:rsidRPr="00A83C7B">
        <w:rPr>
          <w:rFonts w:ascii="Times New Roman" w:hAnsi="Times New Roman" w:cs="Times New Roman"/>
          <w:color w:val="000000" w:themeColor="text1"/>
          <w:sz w:val="20"/>
          <w:szCs w:val="20"/>
        </w:rPr>
        <w:t>treated</w:t>
      </w:r>
      <w:proofErr w:type="spellEnd"/>
      <w:r w:rsidRPr="00A83C7B">
        <w:rPr>
          <w:rFonts w:ascii="Times New Roman" w:hAnsi="Times New Roman" w:cs="Times New Roman"/>
          <w:color w:val="000000" w:themeColor="text1"/>
          <w:sz w:val="20"/>
          <w:szCs w:val="20"/>
        </w:rPr>
        <w:t xml:space="preserve"> as </w:t>
      </w:r>
      <w:proofErr w:type="spellStart"/>
      <w:r w:rsidRPr="00A83C7B">
        <w:rPr>
          <w:rFonts w:ascii="Times New Roman" w:hAnsi="Times New Roman" w:cs="Times New Roman"/>
          <w:color w:val="000000" w:themeColor="text1"/>
          <w:sz w:val="20"/>
          <w:szCs w:val="20"/>
        </w:rPr>
        <w:t>partnerships</w:t>
      </w:r>
      <w:proofErr w:type="spellEnd"/>
      <w:r w:rsidRPr="00A83C7B">
        <w:rPr>
          <w:rFonts w:ascii="Times New Roman" w:hAnsi="Times New Roman" w:cs="Times New Roman"/>
          <w:color w:val="000000" w:themeColor="text1"/>
          <w:sz w:val="20"/>
          <w:szCs w:val="20"/>
        </w:rPr>
        <w:t xml:space="preserve"> is </w:t>
      </w:r>
      <w:proofErr w:type="spellStart"/>
      <w:r w:rsidRPr="00A83C7B">
        <w:rPr>
          <w:rFonts w:ascii="Times New Roman" w:hAnsi="Times New Roman" w:cs="Times New Roman"/>
          <w:color w:val="000000" w:themeColor="text1"/>
          <w:sz w:val="20"/>
          <w:szCs w:val="20"/>
        </w:rPr>
        <w:t>misplaced</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These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cases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merely</w:t>
      </w:r>
      <w:proofErr w:type="spellEnd"/>
      <w:r w:rsidRPr="00A83C7B">
        <w:rPr>
          <w:rFonts w:ascii="Times New Roman" w:hAnsi="Times New Roman" w:cs="Times New Roman"/>
          <w:color w:val="000000" w:themeColor="text1"/>
          <w:sz w:val="20"/>
          <w:szCs w:val="20"/>
        </w:rPr>
        <w:t xml:space="preserve"> set </w:t>
      </w:r>
      <w:proofErr w:type="spellStart"/>
      <w:r w:rsidRPr="00A83C7B">
        <w:rPr>
          <w:rFonts w:ascii="Times New Roman" w:hAnsi="Times New Roman" w:cs="Times New Roman"/>
          <w:color w:val="000000" w:themeColor="text1"/>
          <w:sz w:val="20"/>
          <w:szCs w:val="20"/>
        </w:rPr>
        <w:t>forth</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guidelines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which</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should</w:t>
      </w:r>
      <w:proofErr w:type="spellEnd"/>
      <w:r w:rsidRPr="00A83C7B">
        <w:rPr>
          <w:rFonts w:ascii="Times New Roman" w:hAnsi="Times New Roman" w:cs="Times New Roman"/>
          <w:color w:val="000000" w:themeColor="text1"/>
          <w:sz w:val="20"/>
          <w:szCs w:val="20"/>
        </w:rPr>
        <w:t xml:space="preserve"> be </w:t>
      </w:r>
      <w:proofErr w:type="spellStart"/>
      <w:r w:rsidRPr="00A83C7B">
        <w:rPr>
          <w:rFonts w:ascii="Times New Roman" w:hAnsi="Times New Roman" w:cs="Times New Roman"/>
          <w:color w:val="000000" w:themeColor="text1"/>
          <w:sz w:val="20"/>
          <w:szCs w:val="20"/>
        </w:rPr>
        <w:t>followed</w:t>
      </w:r>
      <w:proofErr w:type="spellEnd"/>
      <w:r w:rsidRPr="00A83C7B">
        <w:rPr>
          <w:rFonts w:ascii="Times New Roman" w:hAnsi="Times New Roman" w:cs="Times New Roman"/>
          <w:color w:val="000000" w:themeColor="text1"/>
          <w:sz w:val="20"/>
          <w:szCs w:val="20"/>
        </w:rPr>
        <w:t xml:space="preserve"> in </w:t>
      </w:r>
      <w:proofErr w:type="spellStart"/>
      <w:r w:rsidRPr="00A83C7B">
        <w:rPr>
          <w:rFonts w:ascii="Times New Roman" w:hAnsi="Times New Roman" w:cs="Times New Roman"/>
          <w:color w:val="000000" w:themeColor="text1"/>
          <w:sz w:val="20"/>
          <w:szCs w:val="20"/>
        </w:rPr>
        <w:t>deciding</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whether</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to</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exercise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its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discretion</w:t>
      </w:r>
      <w:proofErr w:type="spellEnd"/>
      <w:r w:rsidRPr="00A83C7B">
        <w:rPr>
          <w:rFonts w:ascii="Times New Roman" w:hAnsi="Times New Roman" w:cs="Times New Roman"/>
          <w:color w:val="000000" w:themeColor="text1"/>
          <w:sz w:val="20"/>
          <w:szCs w:val="20"/>
        </w:rPr>
        <w:t xml:space="preserve"> in “</w:t>
      </w:r>
      <w:proofErr w:type="spellStart"/>
      <w:r w:rsidRPr="00A83C7B">
        <w:rPr>
          <w:rFonts w:ascii="Times New Roman" w:hAnsi="Times New Roman" w:cs="Times New Roman"/>
          <w:color w:val="000000" w:themeColor="text1"/>
          <w:sz w:val="20"/>
          <w:szCs w:val="20"/>
        </w:rPr>
        <w:t>deadlock</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situations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and</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thus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are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wholly</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inapplicable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to</w:t>
      </w:r>
      <w:proofErr w:type="spellEnd"/>
      <w:r w:rsidRPr="00A83C7B">
        <w:rPr>
          <w:rFonts w:ascii="Times New Roman" w:hAnsi="Times New Roman" w:cs="Times New Roman"/>
          <w:color w:val="000000" w:themeColor="text1"/>
          <w:sz w:val="20"/>
          <w:szCs w:val="20"/>
        </w:rPr>
        <w:t xml:space="preserve"> a </w:t>
      </w:r>
      <w:proofErr w:type="spellStart"/>
      <w:r w:rsidRPr="00A83C7B">
        <w:rPr>
          <w:rFonts w:ascii="Times New Roman" w:hAnsi="Times New Roman" w:cs="Times New Roman"/>
          <w:color w:val="000000" w:themeColor="text1"/>
          <w:sz w:val="20"/>
          <w:szCs w:val="20"/>
        </w:rPr>
        <w:t>proceeding</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involving</w:t>
      </w:r>
      <w:proofErr w:type="spellEnd"/>
      <w:r w:rsidRPr="00A83C7B">
        <w:rPr>
          <w:rFonts w:ascii="Times New Roman" w:hAnsi="Times New Roman" w:cs="Times New Roman"/>
          <w:color w:val="000000" w:themeColor="text1"/>
          <w:sz w:val="20"/>
          <w:szCs w:val="20"/>
        </w:rPr>
        <w:t xml:space="preserve"> a </w:t>
      </w:r>
      <w:proofErr w:type="spellStart"/>
      <w:r w:rsidRPr="00A83C7B">
        <w:rPr>
          <w:rFonts w:ascii="Times New Roman" w:hAnsi="Times New Roman" w:cs="Times New Roman"/>
          <w:color w:val="000000" w:themeColor="text1"/>
          <w:sz w:val="20"/>
          <w:szCs w:val="20"/>
        </w:rPr>
        <w:t>contest</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between</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minority</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and</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majority</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under</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provisions</w:t>
      </w:r>
      <w:proofErr w:type="spellEnd"/>
      <w:r w:rsidRPr="00A83C7B">
        <w:rPr>
          <w:rFonts w:ascii="Times New Roman" w:hAnsi="Times New Roman" w:cs="Times New Roman"/>
          <w:color w:val="000000" w:themeColor="text1"/>
          <w:sz w:val="20"/>
          <w:szCs w:val="20"/>
        </w:rPr>
        <w:t xml:space="preserve"> of </w:t>
      </w:r>
      <w:proofErr w:type="spellStart"/>
      <w:r w:rsidRPr="00A83C7B">
        <w:rPr>
          <w:rFonts w:ascii="Times New Roman" w:hAnsi="Times New Roman" w:cs="Times New Roman"/>
          <w:color w:val="000000" w:themeColor="text1"/>
          <w:sz w:val="20"/>
          <w:szCs w:val="20"/>
        </w:rPr>
        <w:t>section</w:t>
      </w:r>
      <w:proofErr w:type="spellEnd"/>
      <w:r w:rsidRPr="00A83C7B">
        <w:rPr>
          <w:rFonts w:ascii="Times New Roman" w:hAnsi="Times New Roman" w:cs="Times New Roman"/>
          <w:color w:val="000000" w:themeColor="text1"/>
          <w:sz w:val="20"/>
          <w:szCs w:val="20"/>
        </w:rPr>
        <w:t xml:space="preserve"> 1104-a of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BCL.”</w:t>
      </w:r>
    </w:p>
  </w:footnote>
  <w:footnote w:id="669">
    <w:p w14:paraId="3D3FF2A5" w14:textId="7D6D7007" w:rsidR="00D36541" w:rsidRPr="009975EA" w:rsidRDefault="00D36541" w:rsidP="00A83C7B">
      <w:pPr>
        <w:pStyle w:val="DipnotMetni"/>
        <w:tabs>
          <w:tab w:val="right" w:pos="9406"/>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a 2017 dated recent decision using the standard, see, In re Gould Erectors &amp; Rigging, Inc., N.Y.S.3d (2017).</w:t>
      </w:r>
      <w:r>
        <w:rPr>
          <w:rFonts w:ascii="Times New Roman" w:hAnsi="Times New Roman" w:cs="Times New Roman"/>
          <w:sz w:val="20"/>
          <w:szCs w:val="20"/>
        </w:rPr>
        <w:tab/>
      </w:r>
    </w:p>
  </w:footnote>
  <w:footnote w:id="670">
    <w:p w14:paraId="367F0354"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Murdock, p.465.</w:t>
      </w:r>
    </w:p>
  </w:footnote>
  <w:footnote w:id="671">
    <w:p w14:paraId="26921102" w14:textId="3E9C1052"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Application of </w:t>
      </w:r>
      <w:proofErr w:type="spellStart"/>
      <w:r w:rsidRPr="009975EA">
        <w:rPr>
          <w:rFonts w:ascii="Times New Roman" w:hAnsi="Times New Roman" w:cs="Times New Roman"/>
          <w:sz w:val="20"/>
          <w:szCs w:val="20"/>
        </w:rPr>
        <w:t>Topper</w:t>
      </w:r>
      <w:proofErr w:type="spellEnd"/>
      <w:r w:rsidRPr="009975EA">
        <w:rPr>
          <w:rFonts w:ascii="Times New Roman" w:hAnsi="Times New Roman" w:cs="Times New Roman"/>
          <w:sz w:val="20"/>
          <w:szCs w:val="20"/>
        </w:rPr>
        <w:t>, 433 N.Y.S.2d 359 (1980):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letter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dated</w:t>
      </w:r>
      <w:proofErr w:type="spellEnd"/>
      <w:r w:rsidRPr="009975EA">
        <w:rPr>
          <w:rFonts w:ascii="Times New Roman" w:hAnsi="Times New Roman" w:cs="Times New Roman"/>
          <w:color w:val="000000"/>
          <w:sz w:val="20"/>
          <w:szCs w:val="20"/>
        </w:rPr>
        <w:t xml:space="preserve"> May 30, 1979,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Assemblyman</w:t>
      </w:r>
      <w:proofErr w:type="spellEnd"/>
      <w:r w:rsidRPr="009975EA">
        <w:rPr>
          <w:rFonts w:ascii="Times New Roman" w:hAnsi="Times New Roman" w:cs="Times New Roman"/>
          <w:color w:val="000000"/>
          <w:sz w:val="20"/>
          <w:szCs w:val="20"/>
        </w:rPr>
        <w:t xml:space="preserve"> Edward H. </w:t>
      </w:r>
      <w:proofErr w:type="spellStart"/>
      <w:r w:rsidRPr="009975EA">
        <w:rPr>
          <w:rFonts w:ascii="Times New Roman" w:hAnsi="Times New Roman" w:cs="Times New Roman"/>
          <w:color w:val="000000"/>
          <w:sz w:val="20"/>
          <w:szCs w:val="20"/>
        </w:rPr>
        <w:t>Lehner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legislative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w:t>
      </w:r>
      <w:proofErr w:type="spellEnd"/>
      <w:r w:rsidRPr="009975EA">
        <w:rPr>
          <w:rFonts w:ascii="Times New Roman" w:hAnsi="Times New Roman" w:cs="Times New Roman"/>
          <w:color w:val="000000"/>
          <w:sz w:val="20"/>
          <w:szCs w:val="20"/>
        </w:rPr>
        <w:t xml:space="preserve">-sponsor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Governor's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Counsel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enclosing</w:t>
      </w:r>
      <w:proofErr w:type="spellEnd"/>
      <w:r w:rsidRPr="009975EA">
        <w:rPr>
          <w:rFonts w:ascii="Times New Roman" w:hAnsi="Times New Roman" w:cs="Times New Roman"/>
          <w:color w:val="000000"/>
          <w:sz w:val="20"/>
          <w:szCs w:val="20"/>
        </w:rPr>
        <w:t xml:space="preserve"> a memorandum </w:t>
      </w:r>
      <w:proofErr w:type="spellStart"/>
      <w:r w:rsidRPr="009975EA">
        <w:rPr>
          <w:rFonts w:ascii="Times New Roman" w:hAnsi="Times New Roman" w:cs="Times New Roman"/>
          <w:color w:val="000000"/>
          <w:sz w:val="20"/>
          <w:szCs w:val="20"/>
        </w:rPr>
        <w:t>prepared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Counsel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Assembly </w:t>
      </w:r>
      <w:proofErr w:type="spellStart"/>
      <w:r w:rsidRPr="009975EA">
        <w:rPr>
          <w:rFonts w:ascii="Times New Roman" w:hAnsi="Times New Roman" w:cs="Times New Roman"/>
          <w:color w:val="000000"/>
          <w:sz w:val="20"/>
          <w:szCs w:val="20"/>
        </w:rPr>
        <w:t>Committee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reference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made</w:t>
      </w:r>
      <w:proofErr w:type="spellEnd"/>
      <w:r w:rsidRPr="009975EA">
        <w:rPr>
          <w:rFonts w:ascii="Times New Roman" w:hAnsi="Times New Roman" w:cs="Times New Roman"/>
          <w:color w:val="000000"/>
          <w:sz w:val="20"/>
          <w:szCs w:val="20"/>
        </w:rPr>
        <w:t xml:space="preserve">, at P. 15,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O'Neal's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article</w:t>
      </w:r>
      <w:proofErr w:type="spellEnd"/>
      <w:r w:rsidRPr="009975EA">
        <w:rPr>
          <w:rFonts w:ascii="Times New Roman" w:hAnsi="Times New Roman" w:cs="Times New Roman"/>
          <w:color w:val="000000"/>
          <w:sz w:val="20"/>
          <w:szCs w:val="20"/>
        </w:rPr>
        <w:t xml:space="preserve"> in 33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Business </w:t>
      </w:r>
      <w:proofErr w:type="spellStart"/>
      <w:r w:rsidRPr="009975EA">
        <w:rPr>
          <w:rFonts w:ascii="Times New Roman" w:hAnsi="Times New Roman" w:cs="Times New Roman"/>
          <w:color w:val="000000"/>
          <w:sz w:val="20"/>
          <w:szCs w:val="20"/>
        </w:rPr>
        <w:t>Lawyer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gramStart"/>
      <w:r w:rsidRPr="009975EA">
        <w:rPr>
          <w:rFonts w:ascii="Times New Roman" w:hAnsi="Times New Roman" w:cs="Times New Roman"/>
          <w:color w:val="000000"/>
          <w:sz w:val="20"/>
          <w:szCs w:val="20"/>
        </w:rPr>
        <w:t>his ”</w:t>
      </w:r>
      <w:proofErr w:type="spellStart"/>
      <w:r w:rsidRPr="009975EA">
        <w:rPr>
          <w:rFonts w:ascii="Times New Roman" w:hAnsi="Times New Roman" w:cs="Times New Roman"/>
          <w:color w:val="000000"/>
          <w:sz w:val="20"/>
          <w:szCs w:val="20"/>
        </w:rPr>
        <w:t>reasonable</w:t>
      </w:r>
      <w:proofErr w:type="spellEnd"/>
      <w:proofErr w:type="gram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test“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therein</w:t>
      </w:r>
      <w:proofErr w:type="spellEnd"/>
      <w:r w:rsidRPr="009975EA">
        <w:rPr>
          <w:rFonts w:ascii="Times New Roman" w:hAnsi="Times New Roman" w:cs="Times New Roman"/>
          <w:color w:val="000000"/>
          <w:sz w:val="20"/>
          <w:szCs w:val="20"/>
        </w:rPr>
        <w:t>.”</w:t>
      </w:r>
    </w:p>
  </w:footnote>
  <w:footnote w:id="672">
    <w:p w14:paraId="1B404450" w14:textId="6C19564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Commentators opine that a “rights of interests” phrases lends itself particularly well to a broad interpretation in the minority’s favor (Julia Rider, </w:t>
      </w:r>
      <w:r w:rsidRPr="00A83C7B">
        <w:rPr>
          <w:rFonts w:ascii="Times New Roman" w:hAnsi="Times New Roman" w:cs="Times New Roman"/>
          <w:i/>
          <w:sz w:val="20"/>
          <w:szCs w:val="20"/>
        </w:rPr>
        <w:t>Dissolution under the California Corporations Code: A Remedy for Minority Shareholders,</w:t>
      </w:r>
      <w:r w:rsidRPr="009975EA">
        <w:rPr>
          <w:rFonts w:ascii="Times New Roman" w:hAnsi="Times New Roman" w:cs="Times New Roman"/>
          <w:sz w:val="20"/>
          <w:szCs w:val="20"/>
        </w:rPr>
        <w:t xml:space="preserve"> 22 UCLA L.</w:t>
      </w:r>
      <w:r>
        <w:rPr>
          <w:rFonts w:ascii="Times New Roman" w:hAnsi="Times New Roman" w:cs="Times New Roman"/>
          <w:sz w:val="20"/>
          <w:szCs w:val="20"/>
        </w:rPr>
        <w:t xml:space="preserve"> Rev. 595 (1974) at </w:t>
      </w:r>
      <w:r w:rsidRPr="009975EA">
        <w:rPr>
          <w:rFonts w:ascii="Times New Roman" w:hAnsi="Times New Roman" w:cs="Times New Roman"/>
          <w:sz w:val="20"/>
          <w:szCs w:val="20"/>
        </w:rPr>
        <w:t>615).</w:t>
      </w:r>
    </w:p>
  </w:footnote>
  <w:footnote w:id="673">
    <w:p w14:paraId="2FCAB99A" w14:textId="7B2A2EF0" w:rsidR="00D36541" w:rsidRPr="009975EA" w:rsidRDefault="00D36541" w:rsidP="00A83C7B">
      <w:pPr>
        <w:pStyle w:val="DipnotMetni"/>
        <w:tabs>
          <w:tab w:val="left" w:pos="6566"/>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Id at 366. </w:t>
      </w:r>
      <w:r>
        <w:rPr>
          <w:rFonts w:ascii="Times New Roman" w:hAnsi="Times New Roman" w:cs="Times New Roman"/>
          <w:sz w:val="20"/>
          <w:szCs w:val="20"/>
        </w:rPr>
        <w:tab/>
      </w:r>
    </w:p>
  </w:footnote>
  <w:footnote w:id="674">
    <w:p w14:paraId="7E1103EB" w14:textId="22BC0F5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Id at 365.</w:t>
      </w:r>
    </w:p>
  </w:footnote>
  <w:footnote w:id="675">
    <w:p w14:paraId="643F599F" w14:textId="0300CAE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Id at 366.</w:t>
      </w:r>
    </w:p>
  </w:footnote>
  <w:footnote w:id="676">
    <w:p w14:paraId="10EBB30A" w14:textId="7BB60E5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Dividend Policy, p. 850.</w:t>
      </w:r>
    </w:p>
  </w:footnote>
  <w:footnote w:id="677">
    <w:p w14:paraId="6AAB4F48" w14:textId="490D717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Ragazzo</w:t>
      </w:r>
      <w:proofErr w:type="spellEnd"/>
      <w:r w:rsidRPr="009975EA">
        <w:rPr>
          <w:rFonts w:ascii="Times New Roman" w:hAnsi="Times New Roman" w:cs="Times New Roman"/>
          <w:sz w:val="20"/>
          <w:szCs w:val="20"/>
        </w:rPr>
        <w:t>, p. 1118- 1119.</w:t>
      </w:r>
    </w:p>
  </w:footnote>
  <w:footnote w:id="678">
    <w:p w14:paraId="6FF685A7" w14:textId="13C2845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Masinter</w:t>
      </w:r>
      <w:proofErr w:type="spellEnd"/>
      <w:r w:rsidRPr="009975EA">
        <w:rPr>
          <w:rFonts w:ascii="Times New Roman" w:hAnsi="Times New Roman" w:cs="Times New Roman"/>
          <w:sz w:val="20"/>
          <w:szCs w:val="20"/>
        </w:rPr>
        <w:t xml:space="preserve"> v. WEBCO Co., 164 W.Va. 241 (1980).</w:t>
      </w:r>
    </w:p>
  </w:footnote>
  <w:footnote w:id="679">
    <w:p w14:paraId="74D3DE3A" w14:textId="2A25C783" w:rsidR="00D36541" w:rsidRPr="009975EA" w:rsidRDefault="00D36541" w:rsidP="00A83C7B">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O’Brein</w:t>
      </w:r>
      <w:proofErr w:type="spellEnd"/>
      <w:r w:rsidRPr="009975EA">
        <w:rPr>
          <w:rFonts w:ascii="Times New Roman" w:hAnsi="Times New Roman" w:cs="Times New Roman"/>
          <w:sz w:val="20"/>
          <w:szCs w:val="20"/>
        </w:rPr>
        <w:t xml:space="preserve"> v. Pearson, 449 Mass. 377 (2007).</w:t>
      </w:r>
      <w:r>
        <w:rPr>
          <w:rFonts w:ascii="Times New Roman" w:hAnsi="Times New Roman" w:cs="Times New Roman"/>
          <w:sz w:val="20"/>
          <w:szCs w:val="20"/>
        </w:rPr>
        <w:tab/>
      </w:r>
    </w:p>
  </w:footnote>
  <w:footnote w:id="680">
    <w:p w14:paraId="44714288" w14:textId="603E2DC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Colgate, et. al. v. The </w:t>
      </w:r>
      <w:proofErr w:type="spellStart"/>
      <w:r w:rsidRPr="009975EA">
        <w:rPr>
          <w:rFonts w:ascii="Times New Roman" w:hAnsi="Times New Roman" w:cs="Times New Roman"/>
          <w:sz w:val="20"/>
          <w:szCs w:val="20"/>
        </w:rPr>
        <w:t>Disthene</w:t>
      </w:r>
      <w:proofErr w:type="spellEnd"/>
      <w:r w:rsidRPr="009975EA">
        <w:rPr>
          <w:rFonts w:ascii="Times New Roman" w:hAnsi="Times New Roman" w:cs="Times New Roman"/>
          <w:sz w:val="20"/>
          <w:szCs w:val="20"/>
        </w:rPr>
        <w:t xml:space="preserve"> Group, Inc., 85 Va. Cir. 286 (2012).</w:t>
      </w:r>
    </w:p>
  </w:footnote>
  <w:footnote w:id="681">
    <w:p w14:paraId="6D434C29" w14:textId="07D0B2A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Dividend Policy, p. 851.</w:t>
      </w:r>
    </w:p>
  </w:footnote>
  <w:footnote w:id="682">
    <w:p w14:paraId="584B2135" w14:textId="3B6D243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Thompson, Corporate Dissolution, p.228.</w:t>
      </w:r>
    </w:p>
  </w:footnote>
  <w:footnote w:id="683">
    <w:p w14:paraId="035E1CF7" w14:textId="4435F30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Brenner v. Berkowitz, 134 N.J. 488 (1993)</w:t>
      </w:r>
    </w:p>
  </w:footnote>
  <w:footnote w:id="684">
    <w:p w14:paraId="292F196C" w14:textId="6A42F8CB"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Muellenberg</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Bilkon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w:t>
      </w:r>
      <w:proofErr w:type="spellEnd"/>
      <w:r w:rsidRPr="009975EA">
        <w:rPr>
          <w:rFonts w:ascii="Times New Roman" w:hAnsi="Times New Roman" w:cs="Times New Roman"/>
          <w:sz w:val="20"/>
          <w:szCs w:val="20"/>
        </w:rPr>
        <w:t>., 143 N.J. 168 (1996):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plainly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allows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seek</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sale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situations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resources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buy </w:t>
      </w:r>
      <w:proofErr w:type="spellStart"/>
      <w:r w:rsidRPr="009975EA">
        <w:rPr>
          <w:rFonts w:ascii="Times New Roman" w:hAnsi="Times New Roman" w:cs="Times New Roman"/>
          <w:color w:val="000000"/>
          <w:sz w:val="20"/>
          <w:szCs w:val="20"/>
        </w:rPr>
        <w:t>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result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claims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typically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remedied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arranging</w:t>
      </w:r>
      <w:proofErr w:type="spellEnd"/>
      <w:r w:rsidRPr="009975EA">
        <w:rPr>
          <w:rFonts w:ascii="Times New Roman" w:hAnsi="Times New Roman" w:cs="Times New Roman"/>
          <w:color w:val="000000"/>
          <w:sz w:val="20"/>
          <w:szCs w:val="20"/>
        </w:rPr>
        <w:t xml:space="preserve"> </w:t>
      </w:r>
      <w:proofErr w:type="spellStart"/>
      <w:r w:rsidRPr="00A83C7B">
        <w:rPr>
          <w:rFonts w:ascii="Times New Roman" w:hAnsi="Times New Roman" w:cs="Times New Roman"/>
          <w:color w:val="000000" w:themeColor="text1"/>
          <w:sz w:val="20"/>
          <w:szCs w:val="20"/>
        </w:rPr>
        <w:t>for</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corporation</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or</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majority</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shareholders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to</w:t>
      </w:r>
      <w:proofErr w:type="spellEnd"/>
      <w:r w:rsidRPr="00A83C7B">
        <w:rPr>
          <w:rFonts w:ascii="Times New Roman" w:hAnsi="Times New Roman" w:cs="Times New Roman"/>
          <w:color w:val="000000" w:themeColor="text1"/>
          <w:sz w:val="20"/>
          <w:szCs w:val="20"/>
        </w:rPr>
        <w:t xml:space="preserve"> buy </w:t>
      </w:r>
      <w:proofErr w:type="spellStart"/>
      <w:r w:rsidRPr="00A83C7B">
        <w:rPr>
          <w:rFonts w:ascii="Times New Roman" w:hAnsi="Times New Roman" w:cs="Times New Roman"/>
          <w:color w:val="000000" w:themeColor="text1"/>
          <w:sz w:val="20"/>
          <w:szCs w:val="20"/>
        </w:rPr>
        <w:t>out</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interests</w:t>
      </w:r>
      <w:proofErr w:type="spellEnd"/>
      <w:r w:rsidRPr="00A83C7B">
        <w:rPr>
          <w:rFonts w:ascii="Times New Roman" w:hAnsi="Times New Roman" w:cs="Times New Roman"/>
          <w:color w:val="000000" w:themeColor="text1"/>
          <w:sz w:val="20"/>
          <w:szCs w:val="20"/>
        </w:rPr>
        <w:t xml:space="preserve"> of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minority</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shareholder</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Thus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while</w:t>
      </w:r>
      <w:proofErr w:type="spellEnd"/>
      <w:r w:rsidRPr="00A83C7B">
        <w:rPr>
          <w:rFonts w:ascii="Times New Roman" w:hAnsi="Times New Roman" w:cs="Times New Roman"/>
          <w:color w:val="000000" w:themeColor="text1"/>
          <w:sz w:val="20"/>
          <w:szCs w:val="20"/>
        </w:rPr>
        <w:t xml:space="preserve"> a </w:t>
      </w:r>
      <w:proofErr w:type="spellStart"/>
      <w:r w:rsidRPr="00A83C7B">
        <w:rPr>
          <w:rFonts w:ascii="Times New Roman" w:hAnsi="Times New Roman" w:cs="Times New Roman"/>
          <w:color w:val="000000" w:themeColor="text1"/>
          <w:sz w:val="20"/>
          <w:szCs w:val="20"/>
        </w:rPr>
        <w:t>minority</w:t>
      </w:r>
      <w:proofErr w:type="spellEnd"/>
      <w:r w:rsidRPr="00A83C7B">
        <w:rPr>
          <w:rFonts w:ascii="Times New Roman" w:hAnsi="Times New Roman" w:cs="Times New Roman"/>
          <w:color w:val="000000" w:themeColor="text1"/>
          <w:sz w:val="20"/>
          <w:szCs w:val="20"/>
        </w:rPr>
        <w:t xml:space="preserve"> buy-</w:t>
      </w:r>
      <w:proofErr w:type="spellStart"/>
      <w:r w:rsidRPr="00A83C7B">
        <w:rPr>
          <w:rFonts w:ascii="Times New Roman" w:hAnsi="Times New Roman" w:cs="Times New Roman"/>
          <w:color w:val="000000" w:themeColor="text1"/>
          <w:sz w:val="20"/>
          <w:szCs w:val="20"/>
        </w:rPr>
        <w:t>out</w:t>
      </w:r>
      <w:proofErr w:type="spellEnd"/>
      <w:r w:rsidRPr="00A83C7B">
        <w:rPr>
          <w:rFonts w:ascii="Times New Roman" w:hAnsi="Times New Roman" w:cs="Times New Roman"/>
          <w:color w:val="000000" w:themeColor="text1"/>
          <w:sz w:val="20"/>
          <w:szCs w:val="20"/>
        </w:rPr>
        <w:t xml:space="preserve"> of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majority</w:t>
      </w:r>
      <w:proofErr w:type="spellEnd"/>
      <w:r w:rsidRPr="00A83C7B">
        <w:rPr>
          <w:rFonts w:ascii="Times New Roman" w:hAnsi="Times New Roman" w:cs="Times New Roman"/>
          <w:color w:val="000000" w:themeColor="text1"/>
          <w:sz w:val="20"/>
          <w:szCs w:val="20"/>
        </w:rPr>
        <w:t xml:space="preserve"> is an </w:t>
      </w:r>
      <w:proofErr w:type="spellStart"/>
      <w:r w:rsidRPr="00A83C7B">
        <w:rPr>
          <w:rFonts w:ascii="Times New Roman" w:hAnsi="Times New Roman" w:cs="Times New Roman"/>
          <w:color w:val="000000" w:themeColor="text1"/>
          <w:sz w:val="20"/>
          <w:szCs w:val="20"/>
        </w:rPr>
        <w:t>uncommon</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remedy</w:t>
      </w:r>
      <w:proofErr w:type="spellEnd"/>
      <w:r w:rsidRPr="00A83C7B">
        <w:rPr>
          <w:rFonts w:ascii="Times New Roman" w:hAnsi="Times New Roman" w:cs="Times New Roman"/>
          <w:color w:val="000000" w:themeColor="text1"/>
          <w:sz w:val="20"/>
          <w:szCs w:val="20"/>
        </w:rPr>
        <w:t xml:space="preserve">, it </w:t>
      </w:r>
      <w:proofErr w:type="spellStart"/>
      <w:r w:rsidRPr="00A83C7B">
        <w:rPr>
          <w:rFonts w:ascii="Times New Roman" w:hAnsi="Times New Roman" w:cs="Times New Roman"/>
          <w:color w:val="000000" w:themeColor="text1"/>
          <w:sz w:val="20"/>
          <w:szCs w:val="20"/>
        </w:rPr>
        <w:t>was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appropriate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one</w:t>
      </w:r>
      <w:proofErr w:type="spellEnd"/>
      <w:r w:rsidRPr="00A83C7B">
        <w:rPr>
          <w:rFonts w:ascii="Times New Roman" w:hAnsi="Times New Roman" w:cs="Times New Roman"/>
          <w:color w:val="000000" w:themeColor="text1"/>
          <w:sz w:val="20"/>
          <w:szCs w:val="20"/>
        </w:rPr>
        <w:t xml:space="preserve"> here.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trial</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court</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acted</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within</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its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discretion</w:t>
      </w:r>
      <w:proofErr w:type="spellEnd"/>
      <w:r w:rsidRPr="00A83C7B">
        <w:rPr>
          <w:rFonts w:ascii="Times New Roman" w:hAnsi="Times New Roman" w:cs="Times New Roman"/>
          <w:color w:val="000000" w:themeColor="text1"/>
          <w:sz w:val="20"/>
          <w:szCs w:val="20"/>
        </w:rPr>
        <w:t xml:space="preserve"> in </w:t>
      </w:r>
      <w:proofErr w:type="spellStart"/>
      <w:r w:rsidRPr="00A83C7B">
        <w:rPr>
          <w:rFonts w:ascii="Times New Roman" w:hAnsi="Times New Roman" w:cs="Times New Roman"/>
          <w:color w:val="000000" w:themeColor="text1"/>
          <w:sz w:val="20"/>
          <w:szCs w:val="20"/>
        </w:rPr>
        <w:t>ordering</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Muellenberg</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and</w:t>
      </w:r>
      <w:proofErr w:type="spellEnd"/>
      <w:r w:rsidRPr="00A83C7B">
        <w:rPr>
          <w:rFonts w:ascii="Times New Roman" w:hAnsi="Times New Roman" w:cs="Times New Roman"/>
          <w:color w:val="000000" w:themeColor="text1"/>
          <w:sz w:val="20"/>
          <w:szCs w:val="20"/>
        </w:rPr>
        <w:t xml:space="preserve"> Adda </w:t>
      </w:r>
      <w:proofErr w:type="spellStart"/>
      <w:r w:rsidRPr="00A83C7B">
        <w:rPr>
          <w:rFonts w:ascii="Times New Roman" w:hAnsi="Times New Roman" w:cs="Times New Roman"/>
          <w:color w:val="000000" w:themeColor="text1"/>
          <w:sz w:val="20"/>
          <w:szCs w:val="20"/>
        </w:rPr>
        <w:t>to</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sell</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their</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shares</w:t>
      </w:r>
      <w:proofErr w:type="spellEnd"/>
      <w:r w:rsidRPr="00A83C7B">
        <w:rPr>
          <w:rFonts w:ascii="Times New Roman" w:hAnsi="Times New Roman" w:cs="Times New Roman"/>
          <w:color w:val="000000" w:themeColor="text1"/>
          <w:sz w:val="20"/>
          <w:szCs w:val="20"/>
        </w:rPr>
        <w:t xml:space="preserve"> in BNJ </w:t>
      </w:r>
      <w:proofErr w:type="spellStart"/>
      <w:r w:rsidRPr="00A83C7B">
        <w:rPr>
          <w:rFonts w:ascii="Times New Roman" w:hAnsi="Times New Roman" w:cs="Times New Roman"/>
          <w:color w:val="000000" w:themeColor="text1"/>
          <w:sz w:val="20"/>
          <w:szCs w:val="20"/>
        </w:rPr>
        <w:t>to</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Burg</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This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remedy</w:t>
      </w:r>
      <w:proofErr w:type="spellEnd"/>
      <w:r w:rsidRPr="00A83C7B">
        <w:rPr>
          <w:rFonts w:ascii="Times New Roman" w:hAnsi="Times New Roman" w:cs="Times New Roman"/>
          <w:color w:val="000000" w:themeColor="text1"/>
          <w:sz w:val="20"/>
          <w:szCs w:val="20"/>
        </w:rPr>
        <w:t xml:space="preserve"> is </w:t>
      </w:r>
      <w:proofErr w:type="spellStart"/>
      <w:r w:rsidRPr="00A83C7B">
        <w:rPr>
          <w:rFonts w:ascii="Times New Roman" w:hAnsi="Times New Roman" w:cs="Times New Roman"/>
          <w:color w:val="000000" w:themeColor="text1"/>
          <w:sz w:val="20"/>
          <w:szCs w:val="20"/>
        </w:rPr>
        <w:t>authorized</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by</w:t>
      </w:r>
      <w:proofErr w:type="spellEnd"/>
      <w:r w:rsidRPr="00A83C7B">
        <w:rPr>
          <w:rFonts w:ascii="Times New Roman" w:hAnsi="Times New Roman" w:cs="Times New Roman"/>
          <w:color w:val="000000" w:themeColor="text1"/>
          <w:sz w:val="20"/>
          <w:szCs w:val="20"/>
        </w:rPr>
        <w:t xml:space="preserve"> N.J.S.A. 14A:12–7(</w:t>
      </w:r>
      <w:r w:rsidRPr="009975EA">
        <w:rPr>
          <w:rFonts w:ascii="Times New Roman" w:hAnsi="Times New Roman" w:cs="Times New Roman"/>
          <w:color w:val="000000"/>
          <w:sz w:val="20"/>
          <w:szCs w:val="20"/>
        </w:rPr>
        <w:t xml:space="preserve">8)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consistent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decisions</w:t>
      </w:r>
      <w:proofErr w:type="spellEnd"/>
      <w:r w:rsidRPr="009975EA">
        <w:rPr>
          <w:rFonts w:ascii="Times New Roman" w:hAnsi="Times New Roman" w:cs="Times New Roman"/>
          <w:color w:val="000000"/>
          <w:sz w:val="20"/>
          <w:szCs w:val="20"/>
        </w:rPr>
        <w:t xml:space="preserve"> holding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limited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remedies</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wide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variety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equitable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remedies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available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w:t>
      </w:r>
    </w:p>
  </w:footnote>
  <w:footnote w:id="685">
    <w:p w14:paraId="1B65AFD0" w14:textId="1728785F"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Minn</w:t>
      </w:r>
      <w:proofErr w:type="spellEnd"/>
      <w:r w:rsidRPr="009975EA">
        <w:rPr>
          <w:rFonts w:ascii="Times New Roman" w:hAnsi="Times New Roman" w:cs="Times New Roman"/>
          <w:color w:val="000000"/>
          <w:sz w:val="20"/>
          <w:szCs w:val="20"/>
        </w:rPr>
        <w:t xml:space="preserve">. Stat. </w:t>
      </w:r>
      <w:proofErr w:type="spellStart"/>
      <w:r w:rsidRPr="009975EA">
        <w:rPr>
          <w:rFonts w:ascii="Times New Roman" w:hAnsi="Times New Roman" w:cs="Times New Roman"/>
          <w:color w:val="000000"/>
          <w:sz w:val="20"/>
          <w:szCs w:val="20"/>
        </w:rPr>
        <w:t>Ann</w:t>
      </w:r>
      <w:proofErr w:type="spellEnd"/>
      <w:r w:rsidRPr="009975EA">
        <w:rPr>
          <w:rFonts w:ascii="Times New Roman" w:hAnsi="Times New Roman" w:cs="Times New Roman"/>
          <w:color w:val="000000"/>
          <w:sz w:val="20"/>
          <w:szCs w:val="20"/>
        </w:rPr>
        <w:t xml:space="preserve">. 302A.751. </w:t>
      </w:r>
      <w:proofErr w:type="spellStart"/>
      <w:r w:rsidRPr="009975EA">
        <w:rPr>
          <w:rFonts w:ascii="Times New Roman" w:hAnsi="Times New Roman" w:cs="Times New Roman"/>
          <w:color w:val="000000"/>
          <w:sz w:val="20"/>
          <w:szCs w:val="20"/>
        </w:rPr>
        <w:t>Subd</w:t>
      </w:r>
      <w:proofErr w:type="spellEnd"/>
      <w:r w:rsidRPr="009975EA">
        <w:rPr>
          <w:rFonts w:ascii="Times New Roman" w:hAnsi="Times New Roman" w:cs="Times New Roman"/>
          <w:color w:val="000000"/>
          <w:sz w:val="20"/>
          <w:szCs w:val="20"/>
        </w:rPr>
        <w:t xml:space="preserve">. </w:t>
      </w:r>
      <w:proofErr w:type="gramStart"/>
      <w:r w:rsidRPr="009975EA">
        <w:rPr>
          <w:rFonts w:ascii="Times New Roman" w:hAnsi="Times New Roman" w:cs="Times New Roman"/>
          <w:color w:val="000000"/>
          <w:sz w:val="20"/>
          <w:szCs w:val="20"/>
        </w:rPr>
        <w:t>3a</w:t>
      </w:r>
      <w:proofErr w:type="gramEnd"/>
      <w:r w:rsidRPr="009975EA">
        <w:rPr>
          <w:rFonts w:ascii="Times New Roman" w:hAnsi="Times New Roman" w:cs="Times New Roman"/>
          <w:color w:val="000000"/>
          <w:sz w:val="20"/>
          <w:szCs w:val="20"/>
        </w:rPr>
        <w:t>.</w:t>
      </w:r>
    </w:p>
  </w:footnote>
  <w:footnote w:id="686">
    <w:p w14:paraId="1F96ADD7" w14:textId="52102B1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North Dakota Business Corporation Act, Chapter 10- 19. 1-115. 5</w:t>
      </w:r>
    </w:p>
  </w:footnote>
  <w:footnote w:id="687">
    <w:p w14:paraId="63B09A2E" w14:textId="02B59AED" w:rsidR="00D36541" w:rsidRPr="009975EA" w:rsidRDefault="00D36541" w:rsidP="009975EA">
      <w:pPr>
        <w:jc w:val="both"/>
        <w:rPr>
          <w:rFonts w:ascii="Times New Roman" w:eastAsia="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eastAsia="Times New Roman" w:hAnsi="Times New Roman" w:cs="Times New Roman"/>
          <w:color w:val="212121"/>
          <w:sz w:val="20"/>
          <w:szCs w:val="20"/>
        </w:rPr>
        <w:t xml:space="preserve">No </w:t>
      </w:r>
      <w:proofErr w:type="spellStart"/>
      <w:r w:rsidRPr="009975EA">
        <w:rPr>
          <w:rFonts w:ascii="Times New Roman" w:eastAsia="Times New Roman" w:hAnsi="Times New Roman" w:cs="Times New Roman"/>
          <w:color w:val="212121"/>
          <w:sz w:val="20"/>
          <w:szCs w:val="20"/>
        </w:rPr>
        <w:t>court</w:t>
      </w:r>
      <w:proofErr w:type="spellEnd"/>
      <w:r w:rsidRPr="009975EA">
        <w:rPr>
          <w:rFonts w:ascii="Times New Roman" w:eastAsia="Times New Roman" w:hAnsi="Times New Roman" w:cs="Times New Roman"/>
          <w:color w:val="212121"/>
          <w:sz w:val="20"/>
          <w:szCs w:val="20"/>
        </w:rPr>
        <w:t xml:space="preserve"> has yet </w:t>
      </w:r>
      <w:proofErr w:type="spellStart"/>
      <w:r w:rsidRPr="009975EA">
        <w:rPr>
          <w:rFonts w:ascii="Times New Roman" w:eastAsia="Times New Roman" w:hAnsi="Times New Roman" w:cs="Times New Roman"/>
          <w:color w:val="212121"/>
          <w:sz w:val="20"/>
          <w:szCs w:val="20"/>
        </w:rPr>
        <w:t>adopted</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the</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reasonable</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expectations</w:t>
      </w:r>
      <w:proofErr w:type="spellEnd"/>
      <w:r w:rsidRPr="009975EA">
        <w:rPr>
          <w:rFonts w:ascii="Times New Roman" w:eastAsia="Times New Roman" w:hAnsi="Times New Roman" w:cs="Times New Roman"/>
          <w:color w:val="212121"/>
          <w:sz w:val="20"/>
          <w:szCs w:val="20"/>
        </w:rPr>
        <w:t xml:space="preserve"> test </w:t>
      </w:r>
      <w:proofErr w:type="spellStart"/>
      <w:r w:rsidRPr="009975EA">
        <w:rPr>
          <w:rFonts w:ascii="Times New Roman" w:eastAsia="Times New Roman" w:hAnsi="Times New Roman" w:cs="Times New Roman"/>
          <w:color w:val="212121"/>
          <w:sz w:val="20"/>
          <w:szCs w:val="20"/>
        </w:rPr>
        <w:t>without</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the</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assistance</w:t>
      </w:r>
      <w:proofErr w:type="spellEnd"/>
      <w:r w:rsidRPr="009975EA">
        <w:rPr>
          <w:rFonts w:ascii="Times New Roman" w:eastAsia="Times New Roman" w:hAnsi="Times New Roman" w:cs="Times New Roman"/>
          <w:color w:val="212121"/>
          <w:sz w:val="20"/>
          <w:szCs w:val="20"/>
        </w:rPr>
        <w:t xml:space="preserve"> of a </w:t>
      </w:r>
      <w:proofErr w:type="spellStart"/>
      <w:r w:rsidRPr="009975EA">
        <w:rPr>
          <w:rFonts w:ascii="Times New Roman" w:eastAsia="Times New Roman" w:hAnsi="Times New Roman" w:cs="Times New Roman"/>
          <w:color w:val="212121"/>
          <w:sz w:val="20"/>
          <w:szCs w:val="20"/>
        </w:rPr>
        <w:t>statute</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The</w:t>
      </w:r>
      <w:proofErr w:type="spellEnd"/>
      <w:r w:rsidRPr="009975EA">
        <w:rPr>
          <w:rFonts w:ascii="Times New Roman" w:eastAsia="Times New Roman" w:hAnsi="Times New Roman" w:cs="Times New Roman"/>
          <w:color w:val="212121"/>
          <w:sz w:val="20"/>
          <w:szCs w:val="20"/>
        </w:rPr>
        <w:t xml:space="preserve"> test, </w:t>
      </w:r>
      <w:proofErr w:type="spellStart"/>
      <w:r w:rsidRPr="009975EA">
        <w:rPr>
          <w:rFonts w:ascii="Times New Roman" w:eastAsia="Times New Roman" w:hAnsi="Times New Roman" w:cs="Times New Roman"/>
          <w:color w:val="212121"/>
          <w:sz w:val="20"/>
          <w:szCs w:val="20"/>
        </w:rPr>
        <w:t>however</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does</w:t>
      </w:r>
      <w:proofErr w:type="spellEnd"/>
      <w:r w:rsidRPr="009975EA">
        <w:rPr>
          <w:rFonts w:ascii="Times New Roman" w:eastAsia="Times New Roman" w:hAnsi="Times New Roman" w:cs="Times New Roman"/>
          <w:color w:val="212121"/>
          <w:sz w:val="20"/>
          <w:szCs w:val="20"/>
        </w:rPr>
        <w:t xml:space="preserve"> not </w:t>
      </w:r>
      <w:proofErr w:type="spellStart"/>
      <w:r w:rsidRPr="009975EA">
        <w:rPr>
          <w:rFonts w:ascii="Times New Roman" w:eastAsia="Times New Roman" w:hAnsi="Times New Roman" w:cs="Times New Roman"/>
          <w:color w:val="212121"/>
          <w:sz w:val="20"/>
          <w:szCs w:val="20"/>
        </w:rPr>
        <w:t>require</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such</w:t>
      </w:r>
      <w:proofErr w:type="spellEnd"/>
      <w:r w:rsidRPr="009975EA">
        <w:rPr>
          <w:rFonts w:ascii="Times New Roman" w:eastAsia="Times New Roman" w:hAnsi="Times New Roman" w:cs="Times New Roman"/>
          <w:color w:val="212121"/>
          <w:sz w:val="20"/>
          <w:szCs w:val="20"/>
        </w:rPr>
        <w:t xml:space="preserve"> a </w:t>
      </w:r>
      <w:proofErr w:type="spellStart"/>
      <w:r w:rsidRPr="009975EA">
        <w:rPr>
          <w:rFonts w:ascii="Times New Roman" w:eastAsia="Times New Roman" w:hAnsi="Times New Roman" w:cs="Times New Roman"/>
          <w:color w:val="212121"/>
          <w:sz w:val="20"/>
          <w:szCs w:val="20"/>
        </w:rPr>
        <w:t>restriction</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In</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addition</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the</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involuntary</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dissolution</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statutes</w:t>
      </w:r>
      <w:proofErr w:type="spellEnd"/>
      <w:r w:rsidRPr="009975EA">
        <w:rPr>
          <w:rFonts w:ascii="Times New Roman" w:eastAsia="Times New Roman" w:hAnsi="Times New Roman" w:cs="Times New Roman"/>
          <w:color w:val="212121"/>
          <w:sz w:val="20"/>
          <w:szCs w:val="20"/>
        </w:rPr>
        <w:t xml:space="preserve"> in </w:t>
      </w:r>
      <w:proofErr w:type="spellStart"/>
      <w:r w:rsidRPr="009975EA">
        <w:rPr>
          <w:rFonts w:ascii="Times New Roman" w:eastAsia="Times New Roman" w:hAnsi="Times New Roman" w:cs="Times New Roman"/>
          <w:color w:val="212121"/>
          <w:sz w:val="20"/>
          <w:szCs w:val="20"/>
        </w:rPr>
        <w:t>virtually</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every</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state</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allow</w:t>
      </w:r>
      <w:proofErr w:type="spellEnd"/>
      <w:r w:rsidRPr="009975EA">
        <w:rPr>
          <w:rFonts w:ascii="Times New Roman" w:eastAsia="Times New Roman" w:hAnsi="Times New Roman" w:cs="Times New Roman"/>
          <w:color w:val="212121"/>
          <w:sz w:val="20"/>
          <w:szCs w:val="20"/>
        </w:rPr>
        <w:t xml:space="preserve"> a </w:t>
      </w:r>
      <w:proofErr w:type="spellStart"/>
      <w:r w:rsidRPr="009975EA">
        <w:rPr>
          <w:rFonts w:ascii="Times New Roman" w:eastAsia="Times New Roman" w:hAnsi="Times New Roman" w:cs="Times New Roman"/>
          <w:color w:val="212121"/>
          <w:sz w:val="20"/>
          <w:szCs w:val="20"/>
        </w:rPr>
        <w:t>court</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to</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order</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dissolution</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or</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other</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relief</w:t>
      </w:r>
      <w:proofErr w:type="spellEnd"/>
      <w:r w:rsidRPr="009975EA">
        <w:rPr>
          <w:rFonts w:ascii="Times New Roman" w:eastAsia="Times New Roman" w:hAnsi="Times New Roman" w:cs="Times New Roman"/>
          <w:color w:val="212121"/>
          <w:sz w:val="20"/>
          <w:szCs w:val="20"/>
        </w:rPr>
        <w:t xml:space="preserve"> in </w:t>
      </w:r>
      <w:proofErr w:type="spellStart"/>
      <w:r w:rsidRPr="009975EA">
        <w:rPr>
          <w:rFonts w:ascii="Times New Roman" w:eastAsia="Times New Roman" w:hAnsi="Times New Roman" w:cs="Times New Roman"/>
          <w:color w:val="212121"/>
          <w:sz w:val="20"/>
          <w:szCs w:val="20"/>
        </w:rPr>
        <w:t>its</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discretion</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The</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connection</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between</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the</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language</w:t>
      </w:r>
      <w:proofErr w:type="spellEnd"/>
      <w:r w:rsidRPr="009975EA">
        <w:rPr>
          <w:rFonts w:ascii="Times New Roman" w:eastAsia="Times New Roman" w:hAnsi="Times New Roman" w:cs="Times New Roman"/>
          <w:color w:val="212121"/>
          <w:sz w:val="20"/>
          <w:szCs w:val="20"/>
        </w:rPr>
        <w:t xml:space="preserve"> of </w:t>
      </w:r>
      <w:proofErr w:type="spellStart"/>
      <w:r w:rsidRPr="009975EA">
        <w:rPr>
          <w:rFonts w:ascii="Times New Roman" w:eastAsia="Times New Roman" w:hAnsi="Times New Roman" w:cs="Times New Roman"/>
          <w:color w:val="212121"/>
          <w:sz w:val="20"/>
          <w:szCs w:val="20"/>
        </w:rPr>
        <w:t>the</w:t>
      </w:r>
      <w:proofErr w:type="spellEnd"/>
      <w:r w:rsidRPr="009975EA">
        <w:rPr>
          <w:rFonts w:ascii="Times New Roman" w:eastAsia="Times New Roman" w:hAnsi="Times New Roman" w:cs="Times New Roman"/>
          <w:color w:val="212121"/>
          <w:sz w:val="20"/>
          <w:szCs w:val="20"/>
        </w:rPr>
        <w:t xml:space="preserve"> New York </w:t>
      </w:r>
      <w:proofErr w:type="spellStart"/>
      <w:r w:rsidRPr="009975EA">
        <w:rPr>
          <w:rFonts w:ascii="Times New Roman" w:eastAsia="Times New Roman" w:hAnsi="Times New Roman" w:cs="Times New Roman"/>
          <w:color w:val="212121"/>
          <w:sz w:val="20"/>
          <w:szCs w:val="20"/>
        </w:rPr>
        <w:t>and</w:t>
      </w:r>
      <w:proofErr w:type="spellEnd"/>
      <w:r w:rsidRPr="009975EA">
        <w:rPr>
          <w:rFonts w:ascii="Times New Roman" w:eastAsia="Times New Roman" w:hAnsi="Times New Roman" w:cs="Times New Roman"/>
          <w:color w:val="212121"/>
          <w:sz w:val="20"/>
          <w:szCs w:val="20"/>
        </w:rPr>
        <w:t xml:space="preserve"> North Carolina </w:t>
      </w:r>
      <w:proofErr w:type="spellStart"/>
      <w:r w:rsidRPr="009975EA">
        <w:rPr>
          <w:rFonts w:ascii="Times New Roman" w:eastAsia="Times New Roman" w:hAnsi="Times New Roman" w:cs="Times New Roman"/>
          <w:color w:val="212121"/>
          <w:sz w:val="20"/>
          <w:szCs w:val="20"/>
        </w:rPr>
        <w:t>statutes</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and</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the</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concept</w:t>
      </w:r>
      <w:proofErr w:type="spellEnd"/>
      <w:r w:rsidRPr="009975EA">
        <w:rPr>
          <w:rFonts w:ascii="Times New Roman" w:eastAsia="Times New Roman" w:hAnsi="Times New Roman" w:cs="Times New Roman"/>
          <w:color w:val="212121"/>
          <w:sz w:val="20"/>
          <w:szCs w:val="20"/>
        </w:rPr>
        <w:t xml:space="preserve"> of </w:t>
      </w:r>
      <w:proofErr w:type="spellStart"/>
      <w:r w:rsidRPr="009975EA">
        <w:rPr>
          <w:rFonts w:ascii="Times New Roman" w:eastAsia="Times New Roman" w:hAnsi="Times New Roman" w:cs="Times New Roman"/>
          <w:color w:val="212121"/>
          <w:sz w:val="20"/>
          <w:szCs w:val="20"/>
        </w:rPr>
        <w:t>reasonable</w:t>
      </w:r>
      <w:proofErr w:type="spellEnd"/>
      <w:r w:rsidRPr="009975EA">
        <w:rPr>
          <w:rFonts w:ascii="Times New Roman" w:eastAsia="Times New Roman" w:hAnsi="Times New Roman" w:cs="Times New Roman"/>
          <w:color w:val="212121"/>
          <w:sz w:val="20"/>
          <w:szCs w:val="20"/>
        </w:rPr>
        <w:t xml:space="preserve"> </w:t>
      </w:r>
      <w:proofErr w:type="spellStart"/>
      <w:r w:rsidRPr="009975EA">
        <w:rPr>
          <w:rFonts w:ascii="Times New Roman" w:eastAsia="Times New Roman" w:hAnsi="Times New Roman" w:cs="Times New Roman"/>
          <w:color w:val="212121"/>
          <w:sz w:val="20"/>
          <w:szCs w:val="20"/>
        </w:rPr>
        <w:t>expectations</w:t>
      </w:r>
      <w:proofErr w:type="spellEnd"/>
      <w:r w:rsidRPr="009975EA">
        <w:rPr>
          <w:rFonts w:ascii="Times New Roman" w:eastAsia="Times New Roman" w:hAnsi="Times New Roman" w:cs="Times New Roman"/>
          <w:color w:val="212121"/>
          <w:sz w:val="20"/>
          <w:szCs w:val="20"/>
        </w:rPr>
        <w:t xml:space="preserve"> is not </w:t>
      </w:r>
      <w:proofErr w:type="spellStart"/>
      <w:r w:rsidRPr="009975EA">
        <w:rPr>
          <w:rFonts w:ascii="Times New Roman" w:eastAsia="Times New Roman" w:hAnsi="Times New Roman" w:cs="Times New Roman"/>
          <w:color w:val="212121"/>
          <w:sz w:val="20"/>
          <w:szCs w:val="20"/>
        </w:rPr>
        <w:t>unique</w:t>
      </w:r>
      <w:proofErr w:type="spellEnd"/>
      <w:r w:rsidRPr="009975EA">
        <w:rPr>
          <w:rFonts w:ascii="Times New Roman" w:eastAsia="Times New Roman" w:hAnsi="Times New Roman" w:cs="Times New Roman"/>
          <w:color w:val="212121"/>
          <w:sz w:val="20"/>
          <w:szCs w:val="20"/>
        </w:rPr>
        <w:t>.” (</w:t>
      </w:r>
      <w:proofErr w:type="spellStart"/>
      <w:r w:rsidRPr="009975EA">
        <w:rPr>
          <w:rFonts w:ascii="Times New Roman" w:eastAsia="Times New Roman" w:hAnsi="Times New Roman" w:cs="Times New Roman"/>
          <w:color w:val="212121"/>
          <w:sz w:val="20"/>
          <w:szCs w:val="20"/>
        </w:rPr>
        <w:t>Peeples</w:t>
      </w:r>
      <w:proofErr w:type="spellEnd"/>
      <w:r w:rsidRPr="009975EA">
        <w:rPr>
          <w:rFonts w:ascii="Times New Roman" w:eastAsia="Times New Roman" w:hAnsi="Times New Roman" w:cs="Times New Roman"/>
          <w:color w:val="212121"/>
          <w:sz w:val="20"/>
          <w:szCs w:val="20"/>
        </w:rPr>
        <w:t>, p.505)</w:t>
      </w:r>
    </w:p>
  </w:footnote>
  <w:footnote w:id="688">
    <w:p w14:paraId="51985D65" w14:textId="2ED4FB9D"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A83C7B">
        <w:rPr>
          <w:rFonts w:ascii="Times New Roman" w:hAnsi="Times New Roman" w:cs="Times New Roman"/>
          <w:color w:val="000000" w:themeColor="text1"/>
          <w:sz w:val="20"/>
          <w:szCs w:val="20"/>
        </w:rPr>
        <w:t>Kiriakides</w:t>
      </w:r>
      <w:proofErr w:type="spellEnd"/>
      <w:r w:rsidRPr="00A83C7B">
        <w:rPr>
          <w:rFonts w:ascii="Times New Roman" w:hAnsi="Times New Roman" w:cs="Times New Roman"/>
          <w:color w:val="000000" w:themeColor="text1"/>
          <w:sz w:val="20"/>
          <w:szCs w:val="20"/>
        </w:rPr>
        <w:t xml:space="preserve"> v. Atlas </w:t>
      </w:r>
      <w:proofErr w:type="spellStart"/>
      <w:r w:rsidRPr="00A83C7B">
        <w:rPr>
          <w:rFonts w:ascii="Times New Roman" w:hAnsi="Times New Roman" w:cs="Times New Roman"/>
          <w:color w:val="000000" w:themeColor="text1"/>
          <w:sz w:val="20"/>
          <w:szCs w:val="20"/>
        </w:rPr>
        <w:t>Food</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Systems</w:t>
      </w:r>
      <w:proofErr w:type="spellEnd"/>
      <w:r w:rsidRPr="00A83C7B">
        <w:rPr>
          <w:rFonts w:ascii="Times New Roman" w:hAnsi="Times New Roman" w:cs="Times New Roman"/>
          <w:color w:val="000000" w:themeColor="text1"/>
          <w:sz w:val="20"/>
          <w:szCs w:val="20"/>
        </w:rPr>
        <w:t xml:space="preserve"> &amp; Services, </w:t>
      </w:r>
      <w:proofErr w:type="spellStart"/>
      <w:r w:rsidRPr="00A83C7B">
        <w:rPr>
          <w:rFonts w:ascii="Times New Roman" w:hAnsi="Times New Roman" w:cs="Times New Roman"/>
          <w:color w:val="000000" w:themeColor="text1"/>
          <w:sz w:val="20"/>
          <w:szCs w:val="20"/>
        </w:rPr>
        <w:t>Inc</w:t>
      </w:r>
      <w:proofErr w:type="spellEnd"/>
      <w:r w:rsidRPr="00A83C7B">
        <w:rPr>
          <w:rFonts w:ascii="Times New Roman" w:hAnsi="Times New Roman" w:cs="Times New Roman"/>
          <w:color w:val="000000" w:themeColor="text1"/>
          <w:sz w:val="20"/>
          <w:szCs w:val="20"/>
        </w:rPr>
        <w:t>., 343 S.C. 587 (2001): “</w:t>
      </w:r>
      <w:proofErr w:type="spellStart"/>
      <w:r w:rsidRPr="00A83C7B">
        <w:rPr>
          <w:rFonts w:ascii="Times New Roman" w:hAnsi="Times New Roman" w:cs="Times New Roman"/>
          <w:color w:val="000000" w:themeColor="text1"/>
          <w:sz w:val="20"/>
          <w:szCs w:val="20"/>
        </w:rPr>
        <w:t>Unlike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North Carolina </w:t>
      </w:r>
      <w:proofErr w:type="spellStart"/>
      <w:r w:rsidRPr="00A83C7B">
        <w:rPr>
          <w:rFonts w:ascii="Times New Roman" w:hAnsi="Times New Roman" w:cs="Times New Roman"/>
          <w:color w:val="000000" w:themeColor="text1"/>
          <w:sz w:val="20"/>
          <w:szCs w:val="20"/>
        </w:rPr>
        <w:t>statute</w:t>
      </w:r>
      <w:proofErr w:type="spellEnd"/>
      <w:r w:rsidRPr="00A83C7B">
        <w:rPr>
          <w:rFonts w:ascii="Times New Roman" w:hAnsi="Times New Roman" w:cs="Times New Roman"/>
          <w:color w:val="000000" w:themeColor="text1"/>
          <w:sz w:val="20"/>
          <w:szCs w:val="20"/>
        </w:rPr>
        <w:t xml:space="preserve"> in </w:t>
      </w:r>
      <w:proofErr w:type="spellStart"/>
      <w:r w:rsidRPr="00A83C7B">
        <w:rPr>
          <w:rFonts w:ascii="Times New Roman" w:hAnsi="Times New Roman" w:cs="Times New Roman"/>
          <w:color w:val="000000" w:themeColor="text1"/>
          <w:sz w:val="20"/>
          <w:szCs w:val="20"/>
        </w:rPr>
        <w:t>Meiselman</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section</w:t>
      </w:r>
      <w:proofErr w:type="spellEnd"/>
      <w:r w:rsidRPr="00A83C7B">
        <w:rPr>
          <w:rFonts w:ascii="Times New Roman" w:hAnsi="Times New Roman" w:cs="Times New Roman"/>
          <w:color w:val="000000" w:themeColor="text1"/>
          <w:sz w:val="20"/>
          <w:szCs w:val="20"/>
        </w:rPr>
        <w:t xml:space="preserve"> 33–14–300 </w:t>
      </w:r>
      <w:proofErr w:type="spellStart"/>
      <w:r w:rsidRPr="00A83C7B">
        <w:rPr>
          <w:rFonts w:ascii="Times New Roman" w:hAnsi="Times New Roman" w:cs="Times New Roman"/>
          <w:color w:val="000000" w:themeColor="text1"/>
          <w:sz w:val="20"/>
          <w:szCs w:val="20"/>
        </w:rPr>
        <w:t>does</w:t>
      </w:r>
      <w:proofErr w:type="spellEnd"/>
      <w:r w:rsidRPr="00A83C7B">
        <w:rPr>
          <w:rFonts w:ascii="Times New Roman" w:hAnsi="Times New Roman" w:cs="Times New Roman"/>
          <w:color w:val="000000" w:themeColor="text1"/>
          <w:sz w:val="20"/>
          <w:szCs w:val="20"/>
        </w:rPr>
        <w:t xml:space="preserve"> not </w:t>
      </w:r>
      <w:proofErr w:type="spellStart"/>
      <w:r w:rsidRPr="00A83C7B">
        <w:rPr>
          <w:rFonts w:ascii="Times New Roman" w:hAnsi="Times New Roman" w:cs="Times New Roman"/>
          <w:color w:val="000000" w:themeColor="text1"/>
          <w:sz w:val="20"/>
          <w:szCs w:val="20"/>
        </w:rPr>
        <w:t>place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focus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upon</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rights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or</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interests</w:t>
      </w:r>
      <w:proofErr w:type="spellEnd"/>
      <w:r w:rsidRPr="00A83C7B">
        <w:rPr>
          <w:rFonts w:ascii="Times New Roman" w:hAnsi="Times New Roman" w:cs="Times New Roman"/>
          <w:color w:val="000000" w:themeColor="text1"/>
          <w:sz w:val="20"/>
          <w:szCs w:val="20"/>
        </w:rPr>
        <w:t xml:space="preserve">” of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complaining</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shareholder</w:t>
      </w:r>
      <w:proofErr w:type="spellEnd"/>
      <w:r w:rsidRPr="00A83C7B">
        <w:rPr>
          <w:rFonts w:ascii="Times New Roman" w:hAnsi="Times New Roman" w:cs="Times New Roman"/>
          <w:color w:val="000000" w:themeColor="text1"/>
          <w:sz w:val="20"/>
          <w:szCs w:val="20"/>
        </w:rPr>
        <w:t xml:space="preserve"> but, </w:t>
      </w:r>
      <w:proofErr w:type="spellStart"/>
      <w:r w:rsidRPr="00A83C7B">
        <w:rPr>
          <w:rFonts w:ascii="Times New Roman" w:hAnsi="Times New Roman" w:cs="Times New Roman"/>
          <w:color w:val="000000" w:themeColor="text1"/>
          <w:sz w:val="20"/>
          <w:szCs w:val="20"/>
        </w:rPr>
        <w:t>rather</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specifically</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places</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the</w:t>
      </w:r>
      <w:proofErr w:type="spellEnd"/>
      <w:r w:rsidRPr="00A83C7B">
        <w:rPr>
          <w:rFonts w:ascii="Times New Roman" w:hAnsi="Times New Roman" w:cs="Times New Roman"/>
          <w:color w:val="000000" w:themeColor="text1"/>
          <w:sz w:val="20"/>
          <w:szCs w:val="20"/>
        </w:rPr>
        <w:t xml:space="preserve"> </w:t>
      </w:r>
      <w:proofErr w:type="spellStart"/>
      <w:r w:rsidRPr="00A83C7B">
        <w:rPr>
          <w:rFonts w:ascii="Times New Roman" w:hAnsi="Times New Roman" w:cs="Times New Roman"/>
          <w:color w:val="000000" w:themeColor="text1"/>
          <w:sz w:val="20"/>
          <w:szCs w:val="20"/>
        </w:rPr>
        <w:t>focus</w:t>
      </w:r>
      <w:proofErr w:type="spellEnd"/>
      <w:r w:rsidRPr="00A83C7B">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manner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is illegal, </w:t>
      </w:r>
      <w:proofErr w:type="spellStart"/>
      <w:r w:rsidRPr="009975EA">
        <w:rPr>
          <w:rFonts w:ascii="Times New Roman" w:hAnsi="Times New Roman" w:cs="Times New Roman"/>
          <w:color w:val="000000"/>
          <w:sz w:val="20"/>
          <w:szCs w:val="20"/>
        </w:rPr>
        <w:t>fraudulent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unfairly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either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sz w:val="20"/>
          <w:szCs w:val="20"/>
        </w:rPr>
        <w:t>Given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language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our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statute</w:t>
      </w:r>
      <w:proofErr w:type="spellEnd"/>
      <w:r w:rsidRPr="009975EA">
        <w:rPr>
          <w:rFonts w:ascii="Times New Roman" w:hAnsi="Times New Roman" w:cs="Times New Roman"/>
          <w:sz w:val="20"/>
          <w:szCs w:val="20"/>
        </w:rPr>
        <w:t>, a ‘</w:t>
      </w:r>
      <w:proofErr w:type="spellStart"/>
      <w:r w:rsidRPr="009975EA">
        <w:rPr>
          <w:rFonts w:ascii="Times New Roman" w:hAnsi="Times New Roman" w:cs="Times New Roman"/>
          <w:sz w:val="20"/>
          <w:szCs w:val="20"/>
        </w:rPr>
        <w:t>reasonable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expectations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approach</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simply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inconsistent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our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statute</w:t>
      </w:r>
      <w:proofErr w:type="spellEnd"/>
      <w:r w:rsidRPr="009975EA">
        <w:rPr>
          <w:rFonts w:ascii="Times New Roman" w:hAnsi="Times New Roman" w:cs="Times New Roman"/>
          <w:sz w:val="20"/>
          <w:szCs w:val="20"/>
        </w:rPr>
        <w:t>”.</w:t>
      </w:r>
    </w:p>
  </w:footnote>
  <w:footnote w:id="689">
    <w:p w14:paraId="6F66F8F4" w14:textId="44946BD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Grato</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Grato</w:t>
      </w:r>
      <w:proofErr w:type="spellEnd"/>
      <w:r w:rsidRPr="009975EA">
        <w:rPr>
          <w:rFonts w:ascii="Times New Roman" w:hAnsi="Times New Roman" w:cs="Times New Roman"/>
          <w:sz w:val="20"/>
          <w:szCs w:val="20"/>
        </w:rPr>
        <w:t>, 272 N.J. Super. 140 (1994): “Simply put, judicial consideration of a claim of majority oppression or freeze-out in a closely held corporation is guided by considerations broader than those espoused in defendants’ version of the ‘business judgment rule’…As we have recently said, the business judgment rule ‘is a rebuttable presumption, and the burden shifts to the defendant to show the intrinsic fairness of the transaction in question upon the showing of self- dealing or other disabling factor’.”</w:t>
      </w:r>
    </w:p>
  </w:footnote>
  <w:footnote w:id="690">
    <w:p w14:paraId="521B4C64" w14:textId="5261FCF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Dividend Policy, p.867.</w:t>
      </w:r>
    </w:p>
  </w:footnote>
  <w:footnote w:id="691">
    <w:p w14:paraId="0E4DD21F" w14:textId="084D61A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Dividend Policy, p.870. </w:t>
      </w:r>
    </w:p>
  </w:footnote>
  <w:footnote w:id="692">
    <w:p w14:paraId="4A44D895" w14:textId="5CA97B5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Douglas K. Moll, </w:t>
      </w:r>
      <w:r w:rsidRPr="00A83C7B">
        <w:rPr>
          <w:rFonts w:ascii="Times New Roman" w:hAnsi="Times New Roman" w:cs="Times New Roman"/>
          <w:i/>
          <w:sz w:val="20"/>
          <w:szCs w:val="20"/>
        </w:rPr>
        <w:t xml:space="preserve">Shareholder </w:t>
      </w:r>
      <w:proofErr w:type="gramStart"/>
      <w:r w:rsidRPr="00A83C7B">
        <w:rPr>
          <w:rFonts w:ascii="Times New Roman" w:hAnsi="Times New Roman" w:cs="Times New Roman"/>
          <w:i/>
          <w:sz w:val="20"/>
          <w:szCs w:val="20"/>
        </w:rPr>
        <w:t>Oppression</w:t>
      </w:r>
      <w:proofErr w:type="gramEnd"/>
      <w:r w:rsidRPr="00A83C7B">
        <w:rPr>
          <w:rFonts w:ascii="Times New Roman" w:hAnsi="Times New Roman" w:cs="Times New Roman"/>
          <w:i/>
          <w:sz w:val="20"/>
          <w:szCs w:val="20"/>
        </w:rPr>
        <w:t xml:space="preserve"> and the New Louisiana Business Corporation Act</w:t>
      </w:r>
      <w:r>
        <w:rPr>
          <w:rFonts w:ascii="Times New Roman" w:hAnsi="Times New Roman" w:cs="Times New Roman"/>
          <w:sz w:val="20"/>
          <w:szCs w:val="20"/>
        </w:rPr>
        <w:t>, 60 Loy. L. Rev. 461 (2014) at</w:t>
      </w:r>
      <w:r w:rsidRPr="009975EA">
        <w:rPr>
          <w:rFonts w:ascii="Times New Roman" w:hAnsi="Times New Roman" w:cs="Times New Roman"/>
          <w:sz w:val="20"/>
          <w:szCs w:val="20"/>
        </w:rPr>
        <w:t xml:space="preserve">.487. </w:t>
      </w:r>
    </w:p>
  </w:footnote>
  <w:footnote w:id="693">
    <w:p w14:paraId="49170A05" w14:textId="0F40C5D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Cooke v. Fresh Exp. Foods Corp., Inc., 169 Or. App. 101 (2000).</w:t>
      </w:r>
    </w:p>
  </w:footnote>
  <w:footnote w:id="694">
    <w:p w14:paraId="5ACC055E" w14:textId="6FF02E7F"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Application of </w:t>
      </w:r>
      <w:proofErr w:type="spellStart"/>
      <w:r w:rsidRPr="009975EA">
        <w:rPr>
          <w:rFonts w:ascii="Times New Roman" w:hAnsi="Times New Roman" w:cs="Times New Roman"/>
          <w:sz w:val="20"/>
          <w:szCs w:val="20"/>
        </w:rPr>
        <w:t>Topper</w:t>
      </w:r>
      <w:proofErr w:type="spellEnd"/>
      <w:r w:rsidRPr="009975EA">
        <w:rPr>
          <w:rFonts w:ascii="Times New Roman" w:hAnsi="Times New Roman" w:cs="Times New Roman"/>
          <w:sz w:val="20"/>
          <w:szCs w:val="20"/>
        </w:rPr>
        <w:t>, 433 N.Y.S.2d 359: “</w:t>
      </w:r>
      <w:proofErr w:type="spellStart"/>
      <w:r w:rsidRPr="009975EA">
        <w:rPr>
          <w:rFonts w:ascii="Times New Roman" w:hAnsi="Times New Roman" w:cs="Times New Roman"/>
          <w:sz w:val="20"/>
          <w:szCs w:val="20"/>
        </w:rPr>
        <w:t>Whether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controlling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discharged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petitioner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cause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good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w:t>
      </w:r>
      <w:r>
        <w:rPr>
          <w:rFonts w:ascii="Times New Roman" w:hAnsi="Times New Roman" w:cs="Times New Roman"/>
          <w:sz w:val="20"/>
          <w:szCs w:val="20"/>
        </w:rPr>
        <w:t>ess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judgment</w:t>
      </w:r>
      <w:proofErr w:type="spellEnd"/>
      <w:r>
        <w:rPr>
          <w:rFonts w:ascii="Times New Roman" w:hAnsi="Times New Roman" w:cs="Times New Roman"/>
          <w:sz w:val="20"/>
          <w:szCs w:val="20"/>
        </w:rPr>
        <w:t xml:space="preserve"> is </w:t>
      </w:r>
      <w:proofErr w:type="spellStart"/>
      <w:r>
        <w:rPr>
          <w:rFonts w:ascii="Times New Roman" w:hAnsi="Times New Roman" w:cs="Times New Roman"/>
          <w:sz w:val="20"/>
          <w:szCs w:val="20"/>
        </w:rPr>
        <w:t>irrelevant</w:t>
      </w:r>
      <w:proofErr w:type="spellEnd"/>
      <w:r>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Ralph</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Peeples</w:t>
      </w:r>
      <w:proofErr w:type="spellEnd"/>
      <w:r w:rsidRPr="00A83C7B">
        <w:rPr>
          <w:rFonts w:ascii="Times New Roman" w:hAnsi="Times New Roman" w:cs="Times New Roman"/>
          <w:i/>
          <w:sz w:val="20"/>
          <w:szCs w:val="20"/>
        </w:rPr>
        <w:t xml:space="preserve">, </w:t>
      </w:r>
      <w:proofErr w:type="spellStart"/>
      <w:r w:rsidRPr="00A83C7B">
        <w:rPr>
          <w:rFonts w:ascii="Times New Roman" w:hAnsi="Times New Roman" w:cs="Times New Roman"/>
          <w:i/>
          <w:sz w:val="20"/>
          <w:szCs w:val="20"/>
        </w:rPr>
        <w:t>The</w:t>
      </w:r>
      <w:proofErr w:type="spellEnd"/>
      <w:r w:rsidRPr="00A83C7B">
        <w:rPr>
          <w:rFonts w:ascii="Times New Roman" w:hAnsi="Times New Roman" w:cs="Times New Roman"/>
          <w:i/>
          <w:sz w:val="20"/>
          <w:szCs w:val="20"/>
        </w:rPr>
        <w:t xml:space="preserve"> </w:t>
      </w:r>
      <w:proofErr w:type="spellStart"/>
      <w:r w:rsidRPr="00A83C7B">
        <w:rPr>
          <w:rFonts w:ascii="Times New Roman" w:hAnsi="Times New Roman" w:cs="Times New Roman"/>
          <w:i/>
          <w:sz w:val="20"/>
          <w:szCs w:val="20"/>
        </w:rPr>
        <w:t>Use</w:t>
      </w:r>
      <w:proofErr w:type="spellEnd"/>
      <w:r w:rsidRPr="00A83C7B">
        <w:rPr>
          <w:rFonts w:ascii="Times New Roman" w:hAnsi="Times New Roman" w:cs="Times New Roman"/>
          <w:i/>
          <w:sz w:val="20"/>
          <w:szCs w:val="20"/>
        </w:rPr>
        <w:t xml:space="preserve"> </w:t>
      </w:r>
      <w:proofErr w:type="spellStart"/>
      <w:r w:rsidRPr="00A83C7B">
        <w:rPr>
          <w:rFonts w:ascii="Times New Roman" w:hAnsi="Times New Roman" w:cs="Times New Roman"/>
          <w:i/>
          <w:sz w:val="20"/>
          <w:szCs w:val="20"/>
        </w:rPr>
        <w:t>and</w:t>
      </w:r>
      <w:proofErr w:type="spellEnd"/>
      <w:r w:rsidRPr="00A83C7B">
        <w:rPr>
          <w:rFonts w:ascii="Times New Roman" w:hAnsi="Times New Roman" w:cs="Times New Roman"/>
          <w:i/>
          <w:sz w:val="20"/>
          <w:szCs w:val="20"/>
        </w:rPr>
        <w:t xml:space="preserve"> </w:t>
      </w:r>
      <w:proofErr w:type="spellStart"/>
      <w:r w:rsidRPr="00A83C7B">
        <w:rPr>
          <w:rFonts w:ascii="Times New Roman" w:hAnsi="Times New Roman" w:cs="Times New Roman"/>
          <w:i/>
          <w:sz w:val="20"/>
          <w:szCs w:val="20"/>
        </w:rPr>
        <w:t>Misuse</w:t>
      </w:r>
      <w:proofErr w:type="spellEnd"/>
      <w:r w:rsidRPr="00A83C7B">
        <w:rPr>
          <w:rFonts w:ascii="Times New Roman" w:hAnsi="Times New Roman" w:cs="Times New Roman"/>
          <w:i/>
          <w:sz w:val="20"/>
          <w:szCs w:val="20"/>
        </w:rPr>
        <w:t xml:space="preserve"> of </w:t>
      </w:r>
      <w:proofErr w:type="spellStart"/>
      <w:r w:rsidRPr="00A83C7B">
        <w:rPr>
          <w:rFonts w:ascii="Times New Roman" w:hAnsi="Times New Roman" w:cs="Times New Roman"/>
          <w:i/>
          <w:sz w:val="20"/>
          <w:szCs w:val="20"/>
        </w:rPr>
        <w:t>the</w:t>
      </w:r>
      <w:proofErr w:type="spellEnd"/>
      <w:r w:rsidRPr="00A83C7B">
        <w:rPr>
          <w:rFonts w:ascii="Times New Roman" w:hAnsi="Times New Roman" w:cs="Times New Roman"/>
          <w:i/>
          <w:sz w:val="20"/>
          <w:szCs w:val="20"/>
        </w:rPr>
        <w:t xml:space="preserve"> Business </w:t>
      </w:r>
      <w:proofErr w:type="spellStart"/>
      <w:r w:rsidRPr="00A83C7B">
        <w:rPr>
          <w:rFonts w:ascii="Times New Roman" w:hAnsi="Times New Roman" w:cs="Times New Roman"/>
          <w:i/>
          <w:sz w:val="20"/>
          <w:szCs w:val="20"/>
        </w:rPr>
        <w:t>Judgment</w:t>
      </w:r>
      <w:proofErr w:type="spellEnd"/>
      <w:r w:rsidRPr="00A83C7B">
        <w:rPr>
          <w:rFonts w:ascii="Times New Roman" w:hAnsi="Times New Roman" w:cs="Times New Roman"/>
          <w:i/>
          <w:sz w:val="20"/>
          <w:szCs w:val="20"/>
        </w:rPr>
        <w:t xml:space="preserve"> </w:t>
      </w:r>
      <w:proofErr w:type="spellStart"/>
      <w:r w:rsidRPr="00A83C7B">
        <w:rPr>
          <w:rFonts w:ascii="Times New Roman" w:hAnsi="Times New Roman" w:cs="Times New Roman"/>
          <w:i/>
          <w:sz w:val="20"/>
          <w:szCs w:val="20"/>
        </w:rPr>
        <w:t>Rule</w:t>
      </w:r>
      <w:proofErr w:type="spellEnd"/>
      <w:r w:rsidRPr="00A83C7B">
        <w:rPr>
          <w:rFonts w:ascii="Times New Roman" w:hAnsi="Times New Roman" w:cs="Times New Roman"/>
          <w:i/>
          <w:sz w:val="20"/>
          <w:szCs w:val="20"/>
        </w:rPr>
        <w:t xml:space="preserve"> in </w:t>
      </w:r>
      <w:proofErr w:type="spellStart"/>
      <w:r w:rsidRPr="00A83C7B">
        <w:rPr>
          <w:rFonts w:ascii="Times New Roman" w:hAnsi="Times New Roman" w:cs="Times New Roman"/>
          <w:i/>
          <w:sz w:val="20"/>
          <w:szCs w:val="20"/>
        </w:rPr>
        <w:t>the</w:t>
      </w:r>
      <w:proofErr w:type="spellEnd"/>
      <w:r w:rsidRPr="00A83C7B">
        <w:rPr>
          <w:rFonts w:ascii="Times New Roman" w:hAnsi="Times New Roman" w:cs="Times New Roman"/>
          <w:i/>
          <w:sz w:val="20"/>
          <w:szCs w:val="20"/>
        </w:rPr>
        <w:t xml:space="preserve"> Close Corporation,</w:t>
      </w:r>
      <w:r w:rsidRPr="009975EA">
        <w:rPr>
          <w:rFonts w:ascii="Times New Roman" w:hAnsi="Times New Roman" w:cs="Times New Roman"/>
          <w:sz w:val="20"/>
          <w:szCs w:val="20"/>
        </w:rPr>
        <w:t xml:space="preserve"> 60 Notre </w:t>
      </w:r>
      <w:proofErr w:type="spellStart"/>
      <w:r w:rsidRPr="009975EA">
        <w:rPr>
          <w:rFonts w:ascii="Times New Roman" w:hAnsi="Times New Roman" w:cs="Times New Roman"/>
          <w:sz w:val="20"/>
          <w:szCs w:val="20"/>
        </w:rPr>
        <w:t>Dame</w:t>
      </w:r>
      <w:proofErr w:type="spellEnd"/>
      <w:r w:rsidRPr="009975EA">
        <w:rPr>
          <w:rFonts w:ascii="Times New Roman" w:hAnsi="Times New Roman" w:cs="Times New Roman"/>
          <w:sz w:val="20"/>
          <w:szCs w:val="20"/>
        </w:rPr>
        <w:t xml:space="preserve"> L. </w:t>
      </w:r>
      <w:proofErr w:type="spellStart"/>
      <w:r w:rsidRPr="009975EA">
        <w:rPr>
          <w:rFonts w:ascii="Times New Roman" w:hAnsi="Times New Roman" w:cs="Times New Roman"/>
          <w:sz w:val="20"/>
          <w:szCs w:val="20"/>
        </w:rPr>
        <w:t>Rev</w:t>
      </w:r>
      <w:proofErr w:type="spellEnd"/>
      <w:r w:rsidRPr="009975EA">
        <w:rPr>
          <w:rFonts w:ascii="Times New Roman" w:hAnsi="Times New Roman" w:cs="Times New Roman"/>
          <w:sz w:val="20"/>
          <w:szCs w:val="20"/>
        </w:rPr>
        <w:t>. 456 (1985)</w:t>
      </w:r>
      <w:r>
        <w:rPr>
          <w:rFonts w:ascii="Times New Roman" w:hAnsi="Times New Roman" w:cs="Times New Roman"/>
          <w:sz w:val="20"/>
          <w:szCs w:val="20"/>
        </w:rPr>
        <w:t xml:space="preserve"> at 509</w:t>
      </w:r>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Thus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reasonable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expectations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analysis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displace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judgment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rule</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method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review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facially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neutral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transactions</w:t>
      </w:r>
      <w:proofErr w:type="spellEnd"/>
      <w:r w:rsidRPr="009975EA">
        <w:rPr>
          <w:rFonts w:ascii="Times New Roman" w:hAnsi="Times New Roman" w:cs="Times New Roman"/>
          <w:sz w:val="20"/>
          <w:szCs w:val="20"/>
        </w:rPr>
        <w:t xml:space="preserve">” (p.502)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Among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present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alternatives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judgment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rule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reasonable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expectations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analysis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offers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protection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minority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close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corporations</w:t>
      </w:r>
      <w:proofErr w:type="spellEnd"/>
      <w:r>
        <w:rPr>
          <w:rFonts w:ascii="Times New Roman" w:hAnsi="Times New Roman" w:cs="Times New Roman"/>
          <w:sz w:val="20"/>
          <w:szCs w:val="20"/>
        </w:rPr>
        <w:t>.”</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Exadaktilos</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Cinnaminson</w:t>
      </w:r>
      <w:proofErr w:type="spellEnd"/>
      <w:r w:rsidRPr="009975EA">
        <w:rPr>
          <w:rFonts w:ascii="Times New Roman" w:hAnsi="Times New Roman" w:cs="Times New Roman"/>
          <w:sz w:val="20"/>
          <w:szCs w:val="20"/>
        </w:rPr>
        <w:t xml:space="preserve"> Realty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xml:space="preserve">., 167 N.J. </w:t>
      </w:r>
      <w:proofErr w:type="spellStart"/>
      <w:r w:rsidRPr="009975EA">
        <w:rPr>
          <w:rFonts w:ascii="Times New Roman" w:hAnsi="Times New Roman" w:cs="Times New Roman"/>
          <w:sz w:val="20"/>
          <w:szCs w:val="20"/>
        </w:rPr>
        <w:t>Super</w:t>
      </w:r>
      <w:proofErr w:type="spellEnd"/>
      <w:r w:rsidRPr="009975EA">
        <w:rPr>
          <w:rFonts w:ascii="Times New Roman" w:hAnsi="Times New Roman" w:cs="Times New Roman"/>
          <w:sz w:val="20"/>
          <w:szCs w:val="20"/>
        </w:rPr>
        <w:t>. 141 (1979):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language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embodies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legislative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determination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freeze-out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maneuvers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constitute</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abuse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Traditional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principles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judgment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curb</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Consequently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conform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principles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immune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scrutiny</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695">
    <w:p w14:paraId="2070482F" w14:textId="5F166D2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“As such, it is a more appropriate standard. In jurisdictions that have adopted the shareholder oppression doctrine, it should be deemed that such adoption hast, in the close corporation context, displaced the case law representing the traditional approach…Because the reasonable expectations standard avoids reliance on the business judgment rule, it is a more appropriate standard…” (Moll, Dividend Policy, p. 871).</w:t>
      </w:r>
    </w:p>
  </w:footnote>
  <w:footnote w:id="696">
    <w:p w14:paraId="67777141" w14:textId="1CD8AB4A"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Specifically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claim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should</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viewed</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claim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behavior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violates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reached</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time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formed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had </w:t>
      </w:r>
      <w:proofErr w:type="spellStart"/>
      <w:r w:rsidRPr="009975EA">
        <w:rPr>
          <w:rFonts w:ascii="Times New Roman" w:hAnsi="Times New Roman" w:cs="Times New Roman"/>
          <w:color w:val="000000"/>
          <w:sz w:val="20"/>
          <w:szCs w:val="20"/>
        </w:rPr>
        <w:t>negotiated</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disputed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point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hypothetical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bargain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approach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interpretation</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used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filling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gaps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kinds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w:t>
      </w:r>
      <w:r w:rsidRPr="009975EA">
        <w:rPr>
          <w:rFonts w:ascii="Times New Roman" w:hAnsi="Times New Roman" w:cs="Times New Roman"/>
          <w:sz w:val="20"/>
          <w:szCs w:val="20"/>
        </w:rPr>
        <w:t xml:space="preserve">As </w:t>
      </w:r>
      <w:proofErr w:type="spellStart"/>
      <w:r w:rsidRPr="009975EA">
        <w:rPr>
          <w:rFonts w:ascii="Times New Roman" w:hAnsi="Times New Roman" w:cs="Times New Roman"/>
          <w:sz w:val="20"/>
          <w:szCs w:val="20"/>
        </w:rPr>
        <w:t>O’Neal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saw</w:t>
      </w:r>
      <w:proofErr w:type="spellEnd"/>
      <w:r w:rsidRPr="009975EA">
        <w:rPr>
          <w:rFonts w:ascii="Times New Roman" w:hAnsi="Times New Roman" w:cs="Times New Roman"/>
          <w:sz w:val="20"/>
          <w:szCs w:val="20"/>
        </w:rPr>
        <w:t xml:space="preserve"> it, </w:t>
      </w:r>
      <w:proofErr w:type="spellStart"/>
      <w:r w:rsidRPr="009975EA">
        <w:rPr>
          <w:rFonts w:ascii="Times New Roman" w:hAnsi="Times New Roman" w:cs="Times New Roman"/>
          <w:sz w:val="20"/>
          <w:szCs w:val="20"/>
        </w:rPr>
        <w:t>courts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should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imply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construct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additional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contract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effect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underlying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assumptions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parties</w:t>
      </w:r>
      <w:proofErr w:type="spellEnd"/>
      <w:r w:rsidRPr="009975EA">
        <w:rPr>
          <w:rFonts w:ascii="Times New Roman" w:hAnsi="Times New Roman" w:cs="Times New Roman"/>
          <w:sz w:val="20"/>
          <w:szCs w:val="20"/>
        </w:rPr>
        <w:t xml:space="preserve"> at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time </w:t>
      </w:r>
      <w:proofErr w:type="spellStart"/>
      <w:r w:rsidRPr="009975EA">
        <w:rPr>
          <w:rFonts w:ascii="Times New Roman" w:hAnsi="Times New Roman" w:cs="Times New Roman"/>
          <w:sz w:val="20"/>
          <w:szCs w:val="20"/>
        </w:rPr>
        <w:t>they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entered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into</w:t>
      </w:r>
      <w:proofErr w:type="spellEnd"/>
      <w:r w:rsidRPr="009975EA">
        <w:rPr>
          <w:rFonts w:ascii="Times New Roman" w:hAnsi="Times New Roman" w:cs="Times New Roman"/>
          <w:sz w:val="20"/>
          <w:szCs w:val="20"/>
        </w:rPr>
        <w:t xml:space="preserve"> it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should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protect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reasonable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expectations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generated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business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relationship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contract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created</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DeBow</w:t>
      </w:r>
      <w:proofErr w:type="spellEnd"/>
      <w:r w:rsidRPr="009975EA">
        <w:rPr>
          <w:rFonts w:ascii="Times New Roman" w:hAnsi="Times New Roman" w:cs="Times New Roman"/>
          <w:sz w:val="20"/>
          <w:szCs w:val="20"/>
        </w:rPr>
        <w:t>, p.128).</w:t>
      </w:r>
    </w:p>
  </w:footnote>
  <w:footnote w:id="697">
    <w:p w14:paraId="094B786E" w14:textId="12571CF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Peeples</w:t>
      </w:r>
      <w:proofErr w:type="spellEnd"/>
      <w:r w:rsidRPr="009975EA">
        <w:rPr>
          <w:rFonts w:ascii="Times New Roman" w:hAnsi="Times New Roman" w:cs="Times New Roman"/>
          <w:sz w:val="20"/>
          <w:szCs w:val="20"/>
        </w:rPr>
        <w:t>, p. 502.</w:t>
      </w:r>
    </w:p>
  </w:footnote>
  <w:footnote w:id="698">
    <w:p w14:paraId="3ED51CF6" w14:textId="641BD02D"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Haley</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Forcelle</w:t>
      </w:r>
      <w:proofErr w:type="spellEnd"/>
      <w:r w:rsidRPr="009975EA">
        <w:rPr>
          <w:rFonts w:ascii="Times New Roman" w:hAnsi="Times New Roman" w:cs="Times New Roman"/>
          <w:sz w:val="20"/>
          <w:szCs w:val="20"/>
        </w:rPr>
        <w:t>, 669 N.W.2d 48 (2003):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Stellar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did</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shareholder-control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assuring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important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note</w:t>
      </w:r>
      <w:proofErr w:type="spellEnd"/>
      <w:r w:rsidRPr="009975EA">
        <w:rPr>
          <w:rFonts w:ascii="Times New Roman" w:hAnsi="Times New Roman" w:cs="Times New Roman"/>
          <w:color w:val="000000"/>
          <w:sz w:val="20"/>
          <w:szCs w:val="20"/>
        </w:rPr>
        <w:t>.</w:t>
      </w:r>
      <w:r w:rsidRPr="009975EA">
        <w:rPr>
          <w:rFonts w:ascii="Times New Roman" w:hAnsi="Times New Roman" w:cs="Times New Roman"/>
          <w:b/>
          <w:bCs/>
          <w:color w:val="000000"/>
          <w:sz w:val="20"/>
          <w:szCs w:val="20"/>
        </w:rPr>
        <w:t xml:space="preserve">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argued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protection</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Haleys</w:t>
      </w:r>
      <w:proofErr w:type="spellEnd"/>
      <w:r w:rsidRPr="009975EA">
        <w:rPr>
          <w:rFonts w:ascii="Times New Roman" w:hAnsi="Times New Roman" w:cs="Times New Roman"/>
          <w:color w:val="000000"/>
          <w:sz w:val="20"/>
          <w:szCs w:val="20"/>
        </w:rPr>
        <w:t xml:space="preserve"> had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continued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employment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continued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participation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Stellar's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But, in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always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encompassed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written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written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always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dispositive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w:t>
      </w:r>
    </w:p>
  </w:footnote>
  <w:footnote w:id="699">
    <w:p w14:paraId="19DFD07E" w14:textId="49523B8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Application of Topper, 433 N.Y.S.2d 359 (1980). For example, a resolution taken pursuant to a directors’ meeting can deem an expectation both reasonable or unreasonable (Royals v. Piedmont Elec. Repair Co., 137 N.C. App. 700 (2000): “Although Glenn’s initial expectation with respect to fair value might have been less than book value linked with a subsidized annual compensation or consulting fee, this expectation changed following the 10 February 1994 director’s meeting, at which time PERCO cut off Glenn’s compensation altogether. Following this meeting, defendants cannot claim that the parties had the same expectations as before.”).</w:t>
      </w:r>
    </w:p>
  </w:footnote>
  <w:footnote w:id="700">
    <w:p w14:paraId="4CEFE230" w14:textId="1700BB4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Schautteet</w:t>
      </w:r>
      <w:proofErr w:type="spellEnd"/>
      <w:r w:rsidRPr="009975EA">
        <w:rPr>
          <w:rFonts w:ascii="Times New Roman" w:hAnsi="Times New Roman" w:cs="Times New Roman"/>
          <w:sz w:val="20"/>
          <w:szCs w:val="20"/>
        </w:rPr>
        <w:t xml:space="preserve"> v. Chester State Bank, 707 </w:t>
      </w:r>
      <w:proofErr w:type="spellStart"/>
      <w:r w:rsidRPr="009975EA">
        <w:rPr>
          <w:rFonts w:ascii="Times New Roman" w:hAnsi="Times New Roman" w:cs="Times New Roman"/>
          <w:sz w:val="20"/>
          <w:szCs w:val="20"/>
        </w:rPr>
        <w:t>F.Supp</w:t>
      </w:r>
      <w:proofErr w:type="spellEnd"/>
      <w:r w:rsidRPr="009975EA">
        <w:rPr>
          <w:rFonts w:ascii="Times New Roman" w:hAnsi="Times New Roman" w:cs="Times New Roman"/>
          <w:sz w:val="20"/>
          <w:szCs w:val="20"/>
        </w:rPr>
        <w:t xml:space="preserve">. 885 (1988). </w:t>
      </w:r>
    </w:p>
  </w:footnote>
  <w:footnote w:id="701">
    <w:p w14:paraId="61DF65F5" w14:textId="673AE45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Madugula</w:t>
      </w:r>
      <w:proofErr w:type="spellEnd"/>
      <w:r w:rsidRPr="009975EA">
        <w:rPr>
          <w:rFonts w:ascii="Times New Roman" w:hAnsi="Times New Roman" w:cs="Times New Roman"/>
          <w:sz w:val="20"/>
          <w:szCs w:val="20"/>
        </w:rPr>
        <w:t xml:space="preserve"> v. Taub, 496 Mich. 685 (2014). The same rationale is also applicable for states which remedy oppression through fiduciary duty doctrine (See, </w:t>
      </w:r>
      <w:proofErr w:type="gramStart"/>
      <w:r w:rsidRPr="009975EA">
        <w:rPr>
          <w:rFonts w:ascii="Times New Roman" w:hAnsi="Times New Roman" w:cs="Times New Roman"/>
          <w:sz w:val="20"/>
          <w:szCs w:val="20"/>
        </w:rPr>
        <w:t>Fought</w:t>
      </w:r>
      <w:proofErr w:type="gramEnd"/>
      <w:r w:rsidRPr="009975EA">
        <w:rPr>
          <w:rFonts w:ascii="Times New Roman" w:hAnsi="Times New Roman" w:cs="Times New Roman"/>
          <w:sz w:val="20"/>
          <w:szCs w:val="20"/>
        </w:rPr>
        <w:t xml:space="preserve"> v. Morris, 543 So.2d 167 (1989), stating that shareholders’ agreement is one guide for corporate policy; and </w:t>
      </w:r>
      <w:proofErr w:type="spellStart"/>
      <w:r w:rsidRPr="009975EA">
        <w:rPr>
          <w:rFonts w:ascii="Times New Roman" w:hAnsi="Times New Roman" w:cs="Times New Roman"/>
          <w:sz w:val="20"/>
          <w:szCs w:val="20"/>
        </w:rPr>
        <w:t>Walta</w:t>
      </w:r>
      <w:proofErr w:type="spellEnd"/>
      <w:r w:rsidRPr="009975EA">
        <w:rPr>
          <w:rFonts w:ascii="Times New Roman" w:hAnsi="Times New Roman" w:cs="Times New Roman"/>
          <w:sz w:val="20"/>
          <w:szCs w:val="20"/>
        </w:rPr>
        <w:t xml:space="preserve"> v. Gallegos Law Firm, P.C., 131 N.M. 544 (2001), opining that breach of a shareholders’ agreement may be a breach of fiduciary duties under certain circumstances).</w:t>
      </w:r>
    </w:p>
  </w:footnote>
  <w:footnote w:id="702">
    <w:p w14:paraId="16DD1F2A" w14:textId="2F06F7B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Dividend Policy, p. 873. </w:t>
      </w:r>
    </w:p>
  </w:footnote>
  <w:footnote w:id="703">
    <w:p w14:paraId="44E6EFF5" w14:textId="46CDD60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Edwin J. Bradley</w:t>
      </w:r>
      <w:r w:rsidRPr="00A83C7B">
        <w:rPr>
          <w:rFonts w:ascii="Times New Roman" w:hAnsi="Times New Roman" w:cs="Times New Roman"/>
          <w:i/>
          <w:sz w:val="20"/>
          <w:szCs w:val="20"/>
        </w:rPr>
        <w:t xml:space="preserve">, An Analysis of the Model Close Corporation </w:t>
      </w:r>
      <w:proofErr w:type="gramStart"/>
      <w:r w:rsidRPr="00A83C7B">
        <w:rPr>
          <w:rFonts w:ascii="Times New Roman" w:hAnsi="Times New Roman" w:cs="Times New Roman"/>
          <w:i/>
          <w:sz w:val="20"/>
          <w:szCs w:val="20"/>
        </w:rPr>
        <w:t>Act</w:t>
      </w:r>
      <w:proofErr w:type="gramEnd"/>
      <w:r w:rsidRPr="00A83C7B">
        <w:rPr>
          <w:rFonts w:ascii="Times New Roman" w:hAnsi="Times New Roman" w:cs="Times New Roman"/>
          <w:i/>
          <w:sz w:val="20"/>
          <w:szCs w:val="20"/>
        </w:rPr>
        <w:t xml:space="preserve"> and a Proposed Legislative Strategy</w:t>
      </w:r>
      <w:r>
        <w:rPr>
          <w:rFonts w:ascii="Times New Roman" w:hAnsi="Times New Roman" w:cs="Times New Roman"/>
          <w:sz w:val="20"/>
          <w:szCs w:val="20"/>
        </w:rPr>
        <w:t xml:space="preserve">, 10 J. Corp. L. 817 (1985) at </w:t>
      </w:r>
      <w:r w:rsidRPr="009975EA">
        <w:rPr>
          <w:rFonts w:ascii="Times New Roman" w:hAnsi="Times New Roman" w:cs="Times New Roman"/>
          <w:sz w:val="20"/>
          <w:szCs w:val="20"/>
        </w:rPr>
        <w:t>840.</w:t>
      </w:r>
    </w:p>
  </w:footnote>
  <w:footnote w:id="704">
    <w:p w14:paraId="30514DB1" w14:textId="4593107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Dividend Policy, p.879. </w:t>
      </w:r>
    </w:p>
  </w:footnote>
  <w:footnote w:id="705">
    <w:p w14:paraId="1FF58D80" w14:textId="5CE3F3C8" w:rsidR="00D36541" w:rsidRPr="009975EA" w:rsidRDefault="00D36541" w:rsidP="009975EA">
      <w:pPr>
        <w:pStyle w:val="DipnotMetni"/>
        <w:tabs>
          <w:tab w:val="left" w:pos="6259"/>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Dividend Policy, p. 876.</w:t>
      </w:r>
      <w:r w:rsidRPr="009975EA">
        <w:rPr>
          <w:rFonts w:ascii="Times New Roman" w:hAnsi="Times New Roman" w:cs="Times New Roman"/>
          <w:sz w:val="20"/>
          <w:szCs w:val="20"/>
        </w:rPr>
        <w:tab/>
      </w:r>
    </w:p>
  </w:footnote>
  <w:footnote w:id="706">
    <w:p w14:paraId="0E54E03B"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New Louisiana, p. 488.</w:t>
      </w:r>
    </w:p>
  </w:footnote>
  <w:footnote w:id="707">
    <w:p w14:paraId="692AF1F3"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Wilkes</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Sprinside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Nursing</w:t>
      </w:r>
      <w:proofErr w:type="spellEnd"/>
      <w:r w:rsidRPr="009975EA">
        <w:rPr>
          <w:rFonts w:ascii="Times New Roman" w:hAnsi="Times New Roman" w:cs="Times New Roman"/>
          <w:sz w:val="20"/>
          <w:szCs w:val="20"/>
        </w:rPr>
        <w:t xml:space="preserve"> Home,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xml:space="preserve">., 370 </w:t>
      </w:r>
      <w:proofErr w:type="spellStart"/>
      <w:r w:rsidRPr="009975EA">
        <w:rPr>
          <w:rFonts w:ascii="Times New Roman" w:hAnsi="Times New Roman" w:cs="Times New Roman"/>
          <w:sz w:val="20"/>
          <w:szCs w:val="20"/>
        </w:rPr>
        <w:t>Mass</w:t>
      </w:r>
      <w:proofErr w:type="spellEnd"/>
      <w:r w:rsidRPr="009975EA">
        <w:rPr>
          <w:rFonts w:ascii="Times New Roman" w:hAnsi="Times New Roman" w:cs="Times New Roman"/>
          <w:sz w:val="20"/>
          <w:szCs w:val="20"/>
        </w:rPr>
        <w:t>. 842 (1976): “</w:t>
      </w:r>
      <w:proofErr w:type="spellStart"/>
      <w:r w:rsidRPr="009975EA">
        <w:rPr>
          <w:rFonts w:ascii="Times New Roman" w:hAnsi="Times New Roman" w:cs="Times New Roman"/>
          <w:color w:val="000000"/>
          <w:sz w:val="20"/>
          <w:szCs w:val="20"/>
        </w:rPr>
        <w:t>Therefore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against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alleging</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breach</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strict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good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owed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carefully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analyze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taken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individual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asked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group</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demonstrate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legitimate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question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acknowedge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group</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room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maneuver</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establishing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policy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asserted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advanced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however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think</w:t>
      </w:r>
      <w:proofErr w:type="spellEnd"/>
      <w:r w:rsidRPr="009975EA">
        <w:rPr>
          <w:rFonts w:ascii="Times New Roman" w:hAnsi="Times New Roman" w:cs="Times New Roman"/>
          <w:color w:val="000000"/>
          <w:sz w:val="20"/>
          <w:szCs w:val="20"/>
        </w:rPr>
        <w:t xml:space="preserve"> it is </w:t>
      </w:r>
      <w:proofErr w:type="spellStart"/>
      <w:r w:rsidRPr="009975EA">
        <w:rPr>
          <w:rFonts w:ascii="Times New Roman" w:hAnsi="Times New Roman" w:cs="Times New Roman"/>
          <w:color w:val="000000"/>
          <w:sz w:val="20"/>
          <w:szCs w:val="20"/>
        </w:rPr>
        <w:t>open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demonstrate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legitimate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objective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achieved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through</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alternative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harmful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w:t>
      </w:r>
    </w:p>
  </w:footnote>
  <w:footnote w:id="708">
    <w:p w14:paraId="27FFAF1B" w14:textId="283EE37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New Louisiana, p. 488. </w:t>
      </w:r>
    </w:p>
  </w:footnote>
  <w:footnote w:id="709">
    <w:p w14:paraId="273CD7A7" w14:textId="6758587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Brenner v. Berkowitz, 134 N.J. 488 (1993)</w:t>
      </w:r>
    </w:p>
  </w:footnote>
  <w:footnote w:id="710">
    <w:p w14:paraId="114CBF75" w14:textId="36B9081A"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Royals</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Piedmont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Elec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Repair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137 N.C. </w:t>
      </w:r>
      <w:proofErr w:type="spellStart"/>
      <w:r w:rsidRPr="009975EA">
        <w:rPr>
          <w:rFonts w:ascii="Times New Roman" w:hAnsi="Times New Roman" w:cs="Times New Roman"/>
          <w:sz w:val="20"/>
          <w:szCs w:val="20"/>
        </w:rPr>
        <w:t>App</w:t>
      </w:r>
      <w:proofErr w:type="spellEnd"/>
      <w:r w:rsidRPr="009975EA">
        <w:rPr>
          <w:rFonts w:ascii="Times New Roman" w:hAnsi="Times New Roman" w:cs="Times New Roman"/>
          <w:sz w:val="20"/>
          <w:szCs w:val="20"/>
        </w:rPr>
        <w:t>. 700 (2000): “</w:t>
      </w:r>
      <w:proofErr w:type="spellStart"/>
      <w:r w:rsidRPr="009975EA">
        <w:rPr>
          <w:rFonts w:ascii="Times New Roman" w:hAnsi="Times New Roman" w:cs="Times New Roman"/>
          <w:color w:val="000000"/>
          <w:sz w:val="20"/>
          <w:szCs w:val="20"/>
        </w:rPr>
        <w:t>Next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consider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frustration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occurred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fault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complaining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including</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fault-based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inquiry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4C7536">
        <w:rPr>
          <w:rFonts w:ascii="Times New Roman" w:hAnsi="Times New Roman" w:cs="Times New Roman"/>
          <w:color w:val="000000" w:themeColor="text1"/>
          <w:sz w:val="20"/>
          <w:szCs w:val="20"/>
        </w:rPr>
        <w:t>analysis</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Meiselman</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essentially</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requires</w:t>
      </w:r>
      <w:proofErr w:type="spellEnd"/>
      <w:r w:rsidRPr="004C7536">
        <w:rPr>
          <w:rFonts w:ascii="Times New Roman" w:hAnsi="Times New Roman" w:cs="Times New Roman"/>
          <w:color w:val="000000" w:themeColor="text1"/>
          <w:sz w:val="20"/>
          <w:szCs w:val="20"/>
        </w:rPr>
        <w:t xml:space="preserve"> a </w:t>
      </w:r>
      <w:proofErr w:type="spellStart"/>
      <w:r w:rsidRPr="004C7536">
        <w:rPr>
          <w:rFonts w:ascii="Times New Roman" w:hAnsi="Times New Roman" w:cs="Times New Roman"/>
          <w:color w:val="000000" w:themeColor="text1"/>
          <w:sz w:val="20"/>
          <w:szCs w:val="20"/>
        </w:rPr>
        <w:t>court</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to</w:t>
      </w:r>
      <w:proofErr w:type="spellEnd"/>
      <w:r w:rsidRPr="004C7536">
        <w:rPr>
          <w:rFonts w:ascii="Times New Roman" w:hAnsi="Times New Roman" w:cs="Times New Roman"/>
          <w:color w:val="000000" w:themeColor="text1"/>
          <w:sz w:val="20"/>
          <w:szCs w:val="20"/>
        </w:rPr>
        <w:t xml:space="preserve"> </w:t>
      </w:r>
      <w:proofErr w:type="gramStart"/>
      <w:r w:rsidRPr="004C7536">
        <w:rPr>
          <w:rFonts w:ascii="Times New Roman" w:hAnsi="Times New Roman" w:cs="Times New Roman"/>
          <w:color w:val="000000" w:themeColor="text1"/>
          <w:sz w:val="20"/>
          <w:szCs w:val="20"/>
        </w:rPr>
        <w:t>ask</w:t>
      </w:r>
      <w:proofErr w:type="gram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whether</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the</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complaining</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shareholder's</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own</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conduct</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was</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the</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cause</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behind</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the</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frustration</w:t>
      </w:r>
      <w:proofErr w:type="spellEnd"/>
      <w:r w:rsidRPr="004C7536">
        <w:rPr>
          <w:rFonts w:ascii="Times New Roman" w:hAnsi="Times New Roman" w:cs="Times New Roman"/>
          <w:color w:val="000000" w:themeColor="text1"/>
          <w:sz w:val="20"/>
          <w:szCs w:val="20"/>
        </w:rPr>
        <w:t xml:space="preserve">. </w:t>
      </w:r>
      <w:proofErr w:type="spellStart"/>
      <w:r w:rsidRPr="004C7536">
        <w:rPr>
          <w:rFonts w:ascii="Times New Roman" w:hAnsi="Times New Roman" w:cs="Times New Roman"/>
          <w:color w:val="000000" w:themeColor="text1"/>
          <w:sz w:val="20"/>
          <w:szCs w:val="20"/>
        </w:rPr>
        <w:t>Thus</w:t>
      </w:r>
      <w:proofErr w:type="spellEnd"/>
      <w:r w:rsidRPr="004C7536">
        <w:rPr>
          <w:rFonts w:ascii="Times New Roman" w:hAnsi="Times New Roman" w:cs="Times New Roman"/>
          <w:color w:val="000000" w:themeColor="text1"/>
          <w:sz w:val="20"/>
          <w:szCs w:val="20"/>
        </w:rPr>
        <w:t xml:space="preserve">, in </w:t>
      </w:r>
      <w:proofErr w:type="spellStart"/>
      <w:r w:rsidRPr="004C7536">
        <w:rPr>
          <w:rFonts w:ascii="Times New Roman" w:hAnsi="Times New Roman" w:cs="Times New Roman"/>
          <w:color w:val="000000" w:themeColor="text1"/>
          <w:sz w:val="20"/>
          <w:szCs w:val="20"/>
        </w:rPr>
        <w:t>order</w:t>
      </w:r>
      <w:proofErr w:type="spellEnd"/>
      <w:r w:rsidRPr="004C7536">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fault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a bar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causal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connection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between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frustration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his </w:t>
      </w:r>
      <w:proofErr w:type="spellStart"/>
      <w:r w:rsidRPr="009975EA">
        <w:rPr>
          <w:rFonts w:ascii="Times New Roman" w:hAnsi="Times New Roman" w:cs="Times New Roman"/>
          <w:color w:val="000000"/>
          <w:sz w:val="20"/>
          <w:szCs w:val="20"/>
        </w:rPr>
        <w:t>faulty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behavior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example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expectation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frustration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he </w:t>
      </w:r>
      <w:proofErr w:type="spellStart"/>
      <w:r w:rsidRPr="009975EA">
        <w:rPr>
          <w:rFonts w:ascii="Times New Roman" w:hAnsi="Times New Roman" w:cs="Times New Roman"/>
          <w:color w:val="000000"/>
          <w:sz w:val="20"/>
          <w:szCs w:val="20"/>
        </w:rPr>
        <w:t>never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learns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attends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meetings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Likewise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expectation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secure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employment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barred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he </w:t>
      </w:r>
      <w:proofErr w:type="spellStart"/>
      <w:r w:rsidRPr="009975EA">
        <w:rPr>
          <w:rFonts w:ascii="Times New Roman" w:hAnsi="Times New Roman" w:cs="Times New Roman"/>
          <w:color w:val="000000"/>
          <w:sz w:val="20"/>
          <w:szCs w:val="20"/>
        </w:rPr>
        <w:t>embezzled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money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w:t>
      </w:r>
    </w:p>
  </w:footnote>
  <w:footnote w:id="711">
    <w:p w14:paraId="3221CB7B" w14:textId="1B036D53"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Harris v. </w:t>
      </w:r>
      <w:proofErr w:type="spellStart"/>
      <w:r w:rsidRPr="009975EA">
        <w:rPr>
          <w:rFonts w:ascii="Times New Roman" w:hAnsi="Times New Roman" w:cs="Times New Roman"/>
          <w:sz w:val="20"/>
          <w:szCs w:val="20"/>
        </w:rPr>
        <w:t>Testar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777 S.E.2d 776 (2015):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plaintiff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obtain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relief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analysis</w:t>
      </w:r>
      <w:proofErr w:type="spellEnd"/>
      <w:r w:rsidRPr="009975EA">
        <w:rPr>
          <w:rFonts w:ascii="Times New Roman" w:hAnsi="Times New Roman" w:cs="Times New Roman"/>
          <w:color w:val="000000"/>
          <w:sz w:val="20"/>
          <w:szCs w:val="20"/>
        </w:rPr>
        <w:t xml:space="preserve">, he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(1) he had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substantial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known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assumed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participants</w:t>
      </w:r>
      <w:proofErr w:type="spellEnd"/>
      <w:r w:rsidRPr="009975EA">
        <w:rPr>
          <w:rFonts w:ascii="Times New Roman" w:hAnsi="Times New Roman" w:cs="Times New Roman"/>
          <w:color w:val="000000"/>
          <w:sz w:val="20"/>
          <w:szCs w:val="20"/>
        </w:rPr>
        <w:t xml:space="preserve">; (2)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frustrated</w:t>
      </w:r>
      <w:proofErr w:type="spellEnd"/>
      <w:r w:rsidRPr="009975EA">
        <w:rPr>
          <w:rFonts w:ascii="Times New Roman" w:hAnsi="Times New Roman" w:cs="Times New Roman"/>
          <w:color w:val="000000"/>
          <w:sz w:val="20"/>
          <w:szCs w:val="20"/>
        </w:rPr>
        <w:t xml:space="preserve">; (3)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frustration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fault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plaintiff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large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beyond</w:t>
      </w:r>
      <w:proofErr w:type="spellEnd"/>
      <w:r w:rsidRPr="009975EA">
        <w:rPr>
          <w:rFonts w:ascii="Times New Roman" w:hAnsi="Times New Roman" w:cs="Times New Roman"/>
          <w:color w:val="000000"/>
          <w:sz w:val="20"/>
          <w:szCs w:val="20"/>
        </w:rPr>
        <w:t xml:space="preserve"> his </w:t>
      </w:r>
      <w:proofErr w:type="spellStart"/>
      <w:r w:rsidRPr="009975EA">
        <w:rPr>
          <w:rFonts w:ascii="Times New Roman" w:hAnsi="Times New Roman" w:cs="Times New Roman"/>
          <w:color w:val="000000"/>
          <w:sz w:val="20"/>
          <w:szCs w:val="20"/>
        </w:rPr>
        <w:t>control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(4)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circumstances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plaintiff</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entitled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form of </w:t>
      </w:r>
      <w:proofErr w:type="spellStart"/>
      <w:r w:rsidRPr="009975EA">
        <w:rPr>
          <w:rFonts w:ascii="Times New Roman" w:hAnsi="Times New Roman" w:cs="Times New Roman"/>
          <w:color w:val="000000"/>
          <w:sz w:val="20"/>
          <w:szCs w:val="20"/>
        </w:rPr>
        <w:t>equitable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relief</w:t>
      </w:r>
      <w:proofErr w:type="spellEnd"/>
      <w:r w:rsidRPr="009975EA">
        <w:rPr>
          <w:rFonts w:ascii="Times New Roman" w:hAnsi="Times New Roman" w:cs="Times New Roman"/>
          <w:color w:val="000000"/>
          <w:sz w:val="20"/>
          <w:szCs w:val="20"/>
        </w:rPr>
        <w:t>.”</w:t>
      </w:r>
    </w:p>
  </w:footnote>
  <w:footnote w:id="712">
    <w:p w14:paraId="05762188" w14:textId="2B8B7C5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Gidwitz</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Lanzit</w:t>
      </w:r>
      <w:proofErr w:type="spellEnd"/>
      <w:r w:rsidRPr="009975EA">
        <w:rPr>
          <w:rFonts w:ascii="Times New Roman" w:hAnsi="Times New Roman" w:cs="Times New Roman"/>
          <w:sz w:val="20"/>
          <w:szCs w:val="20"/>
        </w:rPr>
        <w:t xml:space="preserve"> Corrugated Box Co., 20 III.2d 208 (1960).</w:t>
      </w:r>
    </w:p>
  </w:footnote>
  <w:footnote w:id="713">
    <w:p w14:paraId="736C72A1" w14:textId="2929C8F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Central Standard Life Ins. Co. v. Davis, 10 III.2d 566 (1957): “The word ‘oppressive’ does not carry an essential inference of imminent disaster; it can, we think, contemplate a continuing course of conduct”.</w:t>
      </w:r>
    </w:p>
  </w:footnote>
  <w:footnote w:id="714">
    <w:p w14:paraId="4524C335" w14:textId="748688FA"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re </w:t>
      </w:r>
      <w:proofErr w:type="spellStart"/>
      <w:r w:rsidRPr="009975EA">
        <w:rPr>
          <w:rFonts w:ascii="Times New Roman" w:hAnsi="Times New Roman" w:cs="Times New Roman"/>
          <w:sz w:val="20"/>
          <w:szCs w:val="20"/>
        </w:rPr>
        <w:t>Quail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Aero</w:t>
      </w:r>
      <w:proofErr w:type="spellEnd"/>
      <w:r w:rsidRPr="009975EA">
        <w:rPr>
          <w:rFonts w:ascii="Times New Roman" w:hAnsi="Times New Roman" w:cs="Times New Roman"/>
          <w:sz w:val="20"/>
          <w:szCs w:val="20"/>
        </w:rPr>
        <w:t xml:space="preserve"> Service,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300 A.D.2d 800 (2002): “</w:t>
      </w:r>
      <w:proofErr w:type="spellStart"/>
      <w:r w:rsidRPr="009975EA">
        <w:rPr>
          <w:rFonts w:ascii="Times New Roman" w:hAnsi="Times New Roman" w:cs="Times New Roman"/>
          <w:color w:val="000000"/>
          <w:sz w:val="20"/>
          <w:szCs w:val="20"/>
        </w:rPr>
        <w:t>Moreover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dilution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amount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conduct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given</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opportunity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supply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maintain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percentage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w:t>
      </w:r>
    </w:p>
  </w:footnote>
  <w:footnote w:id="715">
    <w:p w14:paraId="5E1F5F77" w14:textId="21E576D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themeColor="text1"/>
          <w:sz w:val="20"/>
          <w:szCs w:val="20"/>
        </w:rPr>
        <w:t xml:space="preserve">Matter of Kemp &amp; </w:t>
      </w:r>
      <w:proofErr w:type="spellStart"/>
      <w:r w:rsidRPr="009975EA">
        <w:rPr>
          <w:rFonts w:ascii="Times New Roman" w:hAnsi="Times New Roman" w:cs="Times New Roman"/>
          <w:color w:val="000000" w:themeColor="text1"/>
          <w:sz w:val="20"/>
          <w:szCs w:val="20"/>
        </w:rPr>
        <w:t>Beatley</w:t>
      </w:r>
      <w:proofErr w:type="spellEnd"/>
      <w:r w:rsidRPr="009975EA">
        <w:rPr>
          <w:rFonts w:ascii="Times New Roman" w:hAnsi="Times New Roman" w:cs="Times New Roman"/>
          <w:color w:val="000000" w:themeColor="text1"/>
          <w:sz w:val="20"/>
          <w:szCs w:val="20"/>
        </w:rPr>
        <w:t xml:space="preserve">, Inc., 64 N.Y.2d 64 (1984), </w:t>
      </w:r>
      <w:r w:rsidRPr="009975EA">
        <w:rPr>
          <w:rFonts w:ascii="Times New Roman" w:hAnsi="Times New Roman" w:cs="Times New Roman"/>
          <w:sz w:val="20"/>
          <w:szCs w:val="20"/>
        </w:rPr>
        <w:t>at 72.</w:t>
      </w:r>
    </w:p>
  </w:footnote>
  <w:footnote w:id="716">
    <w:p w14:paraId="75689C44" w14:textId="54AC584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Id. at 73.</w:t>
      </w:r>
    </w:p>
  </w:footnote>
  <w:footnote w:id="717">
    <w:p w14:paraId="79C1BAF5"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Minn</w:t>
      </w:r>
      <w:proofErr w:type="spellEnd"/>
      <w:r w:rsidRPr="009975EA">
        <w:rPr>
          <w:rFonts w:ascii="Times New Roman" w:hAnsi="Times New Roman" w:cs="Times New Roman"/>
          <w:color w:val="000000"/>
          <w:sz w:val="20"/>
          <w:szCs w:val="20"/>
        </w:rPr>
        <w:t xml:space="preserve">. Stat. </w:t>
      </w:r>
      <w:proofErr w:type="spellStart"/>
      <w:r w:rsidRPr="009975EA">
        <w:rPr>
          <w:rFonts w:ascii="Times New Roman" w:hAnsi="Times New Roman" w:cs="Times New Roman"/>
          <w:color w:val="000000"/>
          <w:sz w:val="20"/>
          <w:szCs w:val="20"/>
        </w:rPr>
        <w:t>Ann</w:t>
      </w:r>
      <w:proofErr w:type="spellEnd"/>
      <w:r w:rsidRPr="009975EA">
        <w:rPr>
          <w:rFonts w:ascii="Times New Roman" w:hAnsi="Times New Roman" w:cs="Times New Roman"/>
          <w:color w:val="000000"/>
          <w:sz w:val="20"/>
          <w:szCs w:val="20"/>
        </w:rPr>
        <w:t xml:space="preserve">. 302A.751. </w:t>
      </w:r>
      <w:proofErr w:type="spellStart"/>
      <w:r w:rsidRPr="009975EA">
        <w:rPr>
          <w:rFonts w:ascii="Times New Roman" w:hAnsi="Times New Roman" w:cs="Times New Roman"/>
          <w:color w:val="000000"/>
          <w:sz w:val="20"/>
          <w:szCs w:val="20"/>
        </w:rPr>
        <w:t>Subd</w:t>
      </w:r>
      <w:proofErr w:type="spellEnd"/>
      <w:r w:rsidRPr="009975EA">
        <w:rPr>
          <w:rFonts w:ascii="Times New Roman" w:hAnsi="Times New Roman" w:cs="Times New Roman"/>
          <w:color w:val="000000"/>
          <w:sz w:val="20"/>
          <w:szCs w:val="20"/>
        </w:rPr>
        <w:t xml:space="preserve">. </w:t>
      </w:r>
      <w:proofErr w:type="gramStart"/>
      <w:r w:rsidRPr="009975EA">
        <w:rPr>
          <w:rFonts w:ascii="Times New Roman" w:hAnsi="Times New Roman" w:cs="Times New Roman"/>
          <w:color w:val="000000"/>
          <w:sz w:val="20"/>
          <w:szCs w:val="20"/>
        </w:rPr>
        <w:t>3a</w:t>
      </w:r>
      <w:proofErr w:type="gramEnd"/>
      <w:r w:rsidRPr="009975EA">
        <w:rPr>
          <w:rFonts w:ascii="Times New Roman" w:hAnsi="Times New Roman" w:cs="Times New Roman"/>
          <w:color w:val="000000"/>
          <w:sz w:val="20"/>
          <w:szCs w:val="20"/>
        </w:rPr>
        <w:t>.</w:t>
      </w:r>
    </w:p>
  </w:footnote>
  <w:footnote w:id="718">
    <w:p w14:paraId="3D724BC9"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Meiselman</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Meiselman</w:t>
      </w:r>
      <w:proofErr w:type="spellEnd"/>
      <w:r w:rsidRPr="009975EA">
        <w:rPr>
          <w:rFonts w:ascii="Times New Roman" w:hAnsi="Times New Roman" w:cs="Times New Roman"/>
          <w:sz w:val="20"/>
          <w:szCs w:val="20"/>
        </w:rPr>
        <w:t>, 309 N.C. 279 (1983): “…</w:t>
      </w:r>
      <w:proofErr w:type="spellStart"/>
      <w:r w:rsidRPr="009975EA">
        <w:rPr>
          <w:rFonts w:ascii="Times New Roman" w:hAnsi="Times New Roman" w:cs="Times New Roman"/>
          <w:color w:val="000000"/>
          <w:sz w:val="20"/>
          <w:szCs w:val="20"/>
        </w:rPr>
        <w:t>based</w:t>
      </w:r>
      <w:proofErr w:type="spellEnd"/>
      <w:r w:rsidRPr="009975EA">
        <w:rPr>
          <w:rFonts w:ascii="Times New Roman" w:hAnsi="Times New Roman" w:cs="Times New Roman"/>
          <w:color w:val="000000"/>
          <w:sz w:val="20"/>
          <w:szCs w:val="20"/>
        </w:rPr>
        <w:t xml:space="preserve"> on an </w:t>
      </w:r>
      <w:proofErr w:type="spellStart"/>
      <w:r w:rsidRPr="009975EA">
        <w:rPr>
          <w:rFonts w:ascii="Times New Roman" w:hAnsi="Times New Roman" w:cs="Times New Roman"/>
          <w:color w:val="000000"/>
          <w:sz w:val="20"/>
          <w:szCs w:val="20"/>
        </w:rPr>
        <w:t>examination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entire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history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participants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relationship</w:t>
      </w:r>
      <w:proofErr w:type="spellEnd"/>
      <w:r w:rsidRPr="009975EA">
        <w:rPr>
          <w:rFonts w:ascii="Times New Roman" w:hAnsi="Times New Roman" w:cs="Times New Roman"/>
          <w:color w:val="000000"/>
          <w:sz w:val="20"/>
          <w:szCs w:val="20"/>
        </w:rPr>
        <w:t xml:space="preserve">-an </w:t>
      </w:r>
      <w:proofErr w:type="spellStart"/>
      <w:r w:rsidRPr="009975EA">
        <w:rPr>
          <w:rFonts w:ascii="Times New Roman" w:hAnsi="Times New Roman" w:cs="Times New Roman"/>
          <w:color w:val="000000"/>
          <w:sz w:val="20"/>
          <w:szCs w:val="20"/>
        </w:rPr>
        <w:t>examination</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generated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participants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original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bargain</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also</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history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participants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relationship</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develop</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participants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cooperative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efforts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operating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xml:space="preserve"> </w:t>
      </w:r>
    </w:p>
  </w:footnote>
  <w:footnote w:id="719">
    <w:p w14:paraId="37876A2B" w14:textId="4ECEFACB"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Meiselman</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Meiselman</w:t>
      </w:r>
      <w:proofErr w:type="spellEnd"/>
      <w:r w:rsidRPr="009975EA">
        <w:rPr>
          <w:rFonts w:ascii="Times New Roman" w:hAnsi="Times New Roman" w:cs="Times New Roman"/>
          <w:sz w:val="20"/>
          <w:szCs w:val="20"/>
        </w:rPr>
        <w:t>, 309 N.C. 279 (1983):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key</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plaintiff's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known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assumed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concurred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Privately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made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known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participants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embodied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understandings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express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implied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among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participants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should</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recognized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720">
    <w:p w14:paraId="24311D96" w14:textId="2A71311F"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four</w:t>
      </w:r>
      <w:proofErr w:type="spellEnd"/>
      <w:r w:rsidRPr="009975EA">
        <w:rPr>
          <w:rFonts w:ascii="Times New Roman" w:hAnsi="Times New Roman" w:cs="Times New Roman"/>
          <w:sz w:val="20"/>
          <w:szCs w:val="20"/>
        </w:rPr>
        <w:t xml:space="preserve">- step </w:t>
      </w:r>
      <w:proofErr w:type="spellStart"/>
      <w:r w:rsidRPr="009975EA">
        <w:rPr>
          <w:rFonts w:ascii="Times New Roman" w:hAnsi="Times New Roman" w:cs="Times New Roman"/>
          <w:sz w:val="20"/>
          <w:szCs w:val="20"/>
        </w:rPr>
        <w:t>requirement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influential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decision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Meiselman</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Meiselman</w:t>
      </w:r>
      <w:proofErr w:type="spellEnd"/>
      <w:r w:rsidRPr="009975EA">
        <w:rPr>
          <w:rFonts w:ascii="Times New Roman" w:hAnsi="Times New Roman" w:cs="Times New Roman"/>
          <w:sz w:val="20"/>
          <w:szCs w:val="20"/>
        </w:rPr>
        <w:t xml:space="preserve">, 309 N.C. 279 (1983), </w:t>
      </w:r>
      <w:proofErr w:type="spellStart"/>
      <w:r w:rsidRPr="009975EA">
        <w:rPr>
          <w:rFonts w:ascii="Times New Roman" w:hAnsi="Times New Roman" w:cs="Times New Roman"/>
          <w:sz w:val="20"/>
          <w:szCs w:val="20"/>
        </w:rPr>
        <w:t>puts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forward</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similar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New York </w:t>
      </w:r>
      <w:proofErr w:type="spellStart"/>
      <w:r w:rsidRPr="009975EA">
        <w:rPr>
          <w:rFonts w:ascii="Times New Roman" w:hAnsi="Times New Roman" w:cs="Times New Roman"/>
          <w:sz w:val="20"/>
          <w:szCs w:val="20"/>
        </w:rPr>
        <w:t>court’s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analysis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Specifically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Meiselman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outlines</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four</w:t>
      </w:r>
      <w:proofErr w:type="spellEnd"/>
      <w:r w:rsidRPr="009975EA">
        <w:rPr>
          <w:rFonts w:ascii="Times New Roman" w:hAnsi="Times New Roman" w:cs="Times New Roman"/>
          <w:sz w:val="20"/>
          <w:szCs w:val="20"/>
        </w:rPr>
        <w:t xml:space="preserve">- step </w:t>
      </w:r>
      <w:proofErr w:type="spellStart"/>
      <w:r w:rsidRPr="009975EA">
        <w:rPr>
          <w:rFonts w:ascii="Times New Roman" w:hAnsi="Times New Roman" w:cs="Times New Roman"/>
          <w:sz w:val="20"/>
          <w:szCs w:val="20"/>
        </w:rPr>
        <w:t>requirement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relief</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reasonable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expectations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analysis</w:t>
      </w:r>
      <w:proofErr w:type="spellEnd"/>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First,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complaining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prove</w:t>
      </w:r>
      <w:proofErr w:type="spellEnd"/>
      <w:r w:rsidRPr="009975EA">
        <w:rPr>
          <w:rFonts w:ascii="Times New Roman" w:hAnsi="Times New Roman" w:cs="Times New Roman"/>
          <w:color w:val="000000"/>
          <w:sz w:val="20"/>
          <w:szCs w:val="20"/>
        </w:rPr>
        <w:t xml:space="preserve"> he had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substantial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known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assumed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Examples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might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include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ongoing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participation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employment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FF"/>
          <w:sz w:val="20"/>
          <w:szCs w:val="20"/>
        </w:rPr>
        <w:t xml:space="preserve">. </w:t>
      </w:r>
      <w:r w:rsidRPr="009975EA">
        <w:rPr>
          <w:rFonts w:ascii="Times New Roman" w:hAnsi="Times New Roman" w:cs="Times New Roman"/>
          <w:color w:val="000000"/>
          <w:sz w:val="20"/>
          <w:szCs w:val="20"/>
        </w:rPr>
        <w:t xml:space="preserve">Second, he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demonstrate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frustrated</w:t>
      </w:r>
      <w:proofErr w:type="spellEnd"/>
      <w:r w:rsidRPr="009975EA">
        <w:rPr>
          <w:rFonts w:ascii="Times New Roman" w:hAnsi="Times New Roman" w:cs="Times New Roman"/>
          <w:color w:val="0000FF"/>
          <w:sz w:val="20"/>
          <w:szCs w:val="20"/>
        </w:rPr>
        <w:t xml:space="preserve">. </w:t>
      </w:r>
      <w:proofErr w:type="spellStart"/>
      <w:r w:rsidRPr="009975EA">
        <w:rPr>
          <w:rFonts w:ascii="Times New Roman" w:hAnsi="Times New Roman" w:cs="Times New Roman"/>
          <w:color w:val="000000"/>
          <w:sz w:val="20"/>
          <w:szCs w:val="20"/>
        </w:rPr>
        <w:t>Next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complaining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frustration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product</w:t>
      </w:r>
      <w:proofErr w:type="spellEnd"/>
      <w:r w:rsidRPr="009975EA">
        <w:rPr>
          <w:rFonts w:ascii="Times New Roman" w:hAnsi="Times New Roman" w:cs="Times New Roman"/>
          <w:color w:val="000000"/>
          <w:sz w:val="20"/>
          <w:szCs w:val="20"/>
        </w:rPr>
        <w:t xml:space="preserve"> of his </w:t>
      </w:r>
      <w:proofErr w:type="spellStart"/>
      <w:r w:rsidRPr="009975EA">
        <w:rPr>
          <w:rFonts w:ascii="Times New Roman" w:hAnsi="Times New Roman" w:cs="Times New Roman"/>
          <w:color w:val="000000"/>
          <w:sz w:val="20"/>
          <w:szCs w:val="20"/>
        </w:rPr>
        <w:t>own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fault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largely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beyond</w:t>
      </w:r>
      <w:proofErr w:type="spellEnd"/>
      <w:r w:rsidRPr="009975EA">
        <w:rPr>
          <w:rFonts w:ascii="Times New Roman" w:hAnsi="Times New Roman" w:cs="Times New Roman"/>
          <w:color w:val="000000"/>
          <w:sz w:val="20"/>
          <w:szCs w:val="20"/>
        </w:rPr>
        <w:t xml:space="preserve"> his </w:t>
      </w:r>
      <w:proofErr w:type="spellStart"/>
      <w:r w:rsidRPr="009975EA">
        <w:rPr>
          <w:rFonts w:ascii="Times New Roman" w:hAnsi="Times New Roman" w:cs="Times New Roman"/>
          <w:color w:val="000000"/>
          <w:sz w:val="20"/>
          <w:szCs w:val="20"/>
        </w:rPr>
        <w:t>control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Finally</w:t>
      </w:r>
      <w:proofErr w:type="spellEnd"/>
      <w:r w:rsidRPr="009975EA">
        <w:rPr>
          <w:rFonts w:ascii="Times New Roman" w:hAnsi="Times New Roman" w:cs="Times New Roman"/>
          <w:color w:val="000000"/>
          <w:sz w:val="20"/>
          <w:szCs w:val="20"/>
        </w:rPr>
        <w:t xml:space="preserve">, he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circumstances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warrant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form of </w:t>
      </w:r>
      <w:proofErr w:type="spellStart"/>
      <w:r w:rsidRPr="009975EA">
        <w:rPr>
          <w:rFonts w:ascii="Times New Roman" w:hAnsi="Times New Roman" w:cs="Times New Roman"/>
          <w:color w:val="000000"/>
          <w:sz w:val="20"/>
          <w:szCs w:val="20"/>
        </w:rPr>
        <w:t>equitable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relief</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Royals</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Piedmont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Elec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Repair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137 N.C. </w:t>
      </w:r>
      <w:proofErr w:type="spellStart"/>
      <w:r w:rsidRPr="009975EA">
        <w:rPr>
          <w:rFonts w:ascii="Times New Roman" w:hAnsi="Times New Roman" w:cs="Times New Roman"/>
          <w:sz w:val="20"/>
          <w:szCs w:val="20"/>
        </w:rPr>
        <w:t>App</w:t>
      </w:r>
      <w:proofErr w:type="spellEnd"/>
      <w:r w:rsidRPr="009975EA">
        <w:rPr>
          <w:rFonts w:ascii="Times New Roman" w:hAnsi="Times New Roman" w:cs="Times New Roman"/>
          <w:sz w:val="20"/>
          <w:szCs w:val="20"/>
        </w:rPr>
        <w:t>. 700 (2000))</w:t>
      </w:r>
    </w:p>
  </w:footnote>
  <w:footnote w:id="721">
    <w:p w14:paraId="333EC08E"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 Charles MacDonald, Corporate </w:t>
      </w:r>
      <w:proofErr w:type="spellStart"/>
      <w:proofErr w:type="gramStart"/>
      <w:r w:rsidRPr="009975EA">
        <w:rPr>
          <w:rFonts w:ascii="Times New Roman" w:hAnsi="Times New Roman" w:cs="Times New Roman"/>
          <w:sz w:val="20"/>
          <w:szCs w:val="20"/>
        </w:rPr>
        <w:t>Behaviour</w:t>
      </w:r>
      <w:proofErr w:type="spellEnd"/>
      <w:proofErr w:type="gramEnd"/>
      <w:r w:rsidRPr="009975EA">
        <w:rPr>
          <w:rFonts w:ascii="Times New Roman" w:hAnsi="Times New Roman" w:cs="Times New Roman"/>
          <w:sz w:val="20"/>
          <w:szCs w:val="20"/>
        </w:rPr>
        <w:t xml:space="preserve"> and the Minority Shareholder: Contrasting Interpretations of Section 10- 19.1 -115 of the North Dakota Century Code, 62 N.D.L. Rev. 155 (1986), p.176.</w:t>
      </w:r>
    </w:p>
  </w:footnote>
  <w:footnote w:id="722">
    <w:p w14:paraId="096DE793"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MacDonald, p.176.</w:t>
      </w:r>
    </w:p>
  </w:footnote>
  <w:footnote w:id="723">
    <w:p w14:paraId="3410B116" w14:textId="77A63B2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Kiriakides</w:t>
      </w:r>
      <w:proofErr w:type="spellEnd"/>
      <w:r w:rsidRPr="009975EA">
        <w:rPr>
          <w:rFonts w:ascii="Times New Roman" w:hAnsi="Times New Roman" w:cs="Times New Roman"/>
          <w:sz w:val="20"/>
          <w:szCs w:val="20"/>
        </w:rPr>
        <w:t xml:space="preserve"> v. Atlas Food Systems &amp; Services, Inc., 343 S.C. 587 (2001).</w:t>
      </w:r>
    </w:p>
  </w:footnote>
  <w:footnote w:id="724">
    <w:p w14:paraId="407DB09F" w14:textId="6DBBCE8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Peeples</w:t>
      </w:r>
      <w:proofErr w:type="spellEnd"/>
      <w:r w:rsidRPr="009975EA">
        <w:rPr>
          <w:rFonts w:ascii="Times New Roman" w:hAnsi="Times New Roman" w:cs="Times New Roman"/>
          <w:sz w:val="20"/>
          <w:szCs w:val="20"/>
        </w:rPr>
        <w:t>, p. 504.</w:t>
      </w:r>
    </w:p>
  </w:footnote>
  <w:footnote w:id="725">
    <w:p w14:paraId="585999AA"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MacDonald, p.177.</w:t>
      </w:r>
    </w:p>
  </w:footnote>
  <w:footnote w:id="726">
    <w:p w14:paraId="06F6EB60" w14:textId="0EBA503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Douglas K. Moll, </w:t>
      </w:r>
      <w:r w:rsidRPr="004C7536">
        <w:rPr>
          <w:rFonts w:ascii="Times New Roman" w:hAnsi="Times New Roman" w:cs="Times New Roman"/>
          <w:i/>
          <w:sz w:val="20"/>
          <w:szCs w:val="20"/>
        </w:rPr>
        <w:t xml:space="preserve">Reasonable Expectations v. Implied-in-fact Contracts: Is the Shareholder Oppression Doctrine </w:t>
      </w:r>
      <w:proofErr w:type="gramStart"/>
      <w:r w:rsidRPr="004C7536">
        <w:rPr>
          <w:rFonts w:ascii="Times New Roman" w:hAnsi="Times New Roman" w:cs="Times New Roman"/>
          <w:i/>
          <w:sz w:val="20"/>
          <w:szCs w:val="20"/>
        </w:rPr>
        <w:t>Needed</w:t>
      </w:r>
      <w:r w:rsidRPr="009975EA">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42 B.C. L. Rev. 989 (2001), at</w:t>
      </w:r>
      <w:r w:rsidRPr="009975EA">
        <w:rPr>
          <w:rFonts w:ascii="Times New Roman" w:hAnsi="Times New Roman" w:cs="Times New Roman"/>
          <w:sz w:val="20"/>
          <w:szCs w:val="20"/>
        </w:rPr>
        <w:t xml:space="preserve"> 1006.</w:t>
      </w:r>
    </w:p>
  </w:footnote>
  <w:footnote w:id="727">
    <w:p w14:paraId="07DC919E" w14:textId="1E0A204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Moll, Implied-in-fact, p. 1009.</w:t>
      </w:r>
    </w:p>
  </w:footnote>
  <w:footnote w:id="728">
    <w:p w14:paraId="77BBF071" w14:textId="7377EEB5"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Cooke</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Fresh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Foods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xml:space="preserve">., 169 Or. </w:t>
      </w:r>
      <w:proofErr w:type="spellStart"/>
      <w:r w:rsidRPr="009975EA">
        <w:rPr>
          <w:rFonts w:ascii="Times New Roman" w:hAnsi="Times New Roman" w:cs="Times New Roman"/>
          <w:sz w:val="20"/>
          <w:szCs w:val="20"/>
        </w:rPr>
        <w:t>App</w:t>
      </w:r>
      <w:proofErr w:type="spellEnd"/>
      <w:r w:rsidRPr="009975EA">
        <w:rPr>
          <w:rFonts w:ascii="Times New Roman" w:hAnsi="Times New Roman" w:cs="Times New Roman"/>
          <w:sz w:val="20"/>
          <w:szCs w:val="20"/>
        </w:rPr>
        <w:t>. 101 (2000):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existence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characteristic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signs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does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necessarily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acted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oppressively</w:t>
      </w:r>
      <w:proofErr w:type="spellEnd"/>
      <w:r w:rsidRPr="009975EA">
        <w:rPr>
          <w:rFonts w:ascii="Times New Roman" w:hAnsi="Times New Roman" w:cs="Times New Roman"/>
          <w:color w:val="000000"/>
          <w:sz w:val="20"/>
          <w:szCs w:val="20"/>
        </w:rPr>
        <w:t>…”</w:t>
      </w:r>
    </w:p>
  </w:footnote>
  <w:footnote w:id="729">
    <w:p w14:paraId="0EB2D774"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Michigan’s statutory oppression provision states that the “willfully unfair and oppressive conduct” terms do “not include conduct or actions that are permitted by an agreement, the articles of incorporation, the bylaws, or a consistently applied written corporate policy or procedure” (M.C.L.A. 450. 1489).</w:t>
      </w:r>
    </w:p>
  </w:footnote>
  <w:footnote w:id="730">
    <w:p w14:paraId="5C3AA4DD"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Skierka</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Skierka</w:t>
      </w:r>
      <w:proofErr w:type="spellEnd"/>
      <w:r w:rsidRPr="009975EA">
        <w:rPr>
          <w:rFonts w:ascii="Times New Roman" w:hAnsi="Times New Roman" w:cs="Times New Roman"/>
          <w:sz w:val="20"/>
          <w:szCs w:val="20"/>
        </w:rPr>
        <w:t xml:space="preserve"> Bros., Inc., 192 Mont. 505 (1981).</w:t>
      </w:r>
    </w:p>
  </w:footnote>
  <w:footnote w:id="731">
    <w:p w14:paraId="50D38A2D"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“While oppressive conduct is more easily found in the context of a close corporation, we are aware of no case law expressly limiting it to such a context.” (Redmon v. Griffith, 202 S.W.3d 225 (2006))</w:t>
      </w:r>
    </w:p>
  </w:footnote>
  <w:footnote w:id="732">
    <w:p w14:paraId="5E68BCA8" w14:textId="356AF9E8"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Thompson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Dissolution</w:t>
      </w:r>
      <w:proofErr w:type="spellEnd"/>
      <w:r w:rsidRPr="009975EA">
        <w:rPr>
          <w:rFonts w:ascii="Times New Roman" w:hAnsi="Times New Roman" w:cs="Times New Roman"/>
          <w:color w:val="000000" w:themeColor="text1"/>
          <w:sz w:val="20"/>
          <w:szCs w:val="20"/>
        </w:rPr>
        <w:t xml:space="preserve">, p.225.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example</w:t>
      </w:r>
      <w:proofErr w:type="spellEnd"/>
      <w:r w:rsidRPr="009975EA">
        <w:rPr>
          <w:rFonts w:ascii="Times New Roman" w:hAnsi="Times New Roman" w:cs="Times New Roman"/>
          <w:color w:val="000000" w:themeColor="text1"/>
          <w:sz w:val="20"/>
          <w:szCs w:val="20"/>
        </w:rPr>
        <w:t xml:space="preserve">, Texas Business </w:t>
      </w:r>
      <w:proofErr w:type="spellStart"/>
      <w:r w:rsidRPr="009975EA">
        <w:rPr>
          <w:rFonts w:ascii="Times New Roman" w:hAnsi="Times New Roman" w:cs="Times New Roman"/>
          <w:color w:val="000000" w:themeColor="text1"/>
          <w:sz w:val="20"/>
          <w:szCs w:val="20"/>
        </w:rPr>
        <w:t>Organizations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provides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an </w:t>
      </w:r>
      <w:proofErr w:type="spellStart"/>
      <w:r w:rsidRPr="009975EA">
        <w:rPr>
          <w:rFonts w:ascii="Times New Roman" w:hAnsi="Times New Roman" w:cs="Times New Roman"/>
          <w:color w:val="000000" w:themeColor="text1"/>
          <w:sz w:val="20"/>
          <w:szCs w:val="20"/>
        </w:rPr>
        <w:t>oppression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action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against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governing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persons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entity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which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would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appear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applicable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most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business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forms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Tex</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Bus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Orgs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sec</w:t>
      </w:r>
      <w:proofErr w:type="spellEnd"/>
      <w:r w:rsidRPr="009975EA">
        <w:rPr>
          <w:rFonts w:ascii="Times New Roman" w:hAnsi="Times New Roman" w:cs="Times New Roman"/>
          <w:color w:val="000000" w:themeColor="text1"/>
          <w:sz w:val="20"/>
          <w:szCs w:val="20"/>
        </w:rPr>
        <w:t xml:space="preserve">. 11.404(a)(1)(C); </w:t>
      </w:r>
      <w:proofErr w:type="spellStart"/>
      <w:r w:rsidRPr="009975EA">
        <w:rPr>
          <w:rFonts w:ascii="Times New Roman" w:hAnsi="Times New Roman" w:cs="Times New Roman"/>
          <w:i/>
          <w:iCs/>
          <w:color w:val="000000" w:themeColor="text1"/>
          <w:sz w:val="20"/>
          <w:szCs w:val="20"/>
        </w:rPr>
        <w:t>and</w:t>
      </w:r>
      <w:proofErr w:type="spellEnd"/>
      <w:r w:rsidRPr="009975EA">
        <w:rPr>
          <w:rFonts w:ascii="Times New Roman" w:hAnsi="Times New Roman" w:cs="Times New Roman"/>
          <w:i/>
          <w:iCs/>
          <w:color w:val="000000" w:themeColor="text1"/>
          <w:sz w:val="20"/>
          <w:szCs w:val="20"/>
        </w:rPr>
        <w:t xml:space="preserve"> </w:t>
      </w:r>
      <w:proofErr w:type="spellStart"/>
      <w:r w:rsidRPr="009975EA">
        <w:rPr>
          <w:rFonts w:ascii="Times New Roman" w:hAnsi="Times New Roman" w:cs="Times New Roman"/>
          <w:i/>
          <w:iCs/>
          <w:color w:val="000000" w:themeColor="text1"/>
          <w:sz w:val="20"/>
          <w:szCs w:val="20"/>
        </w:rPr>
        <w:t>see</w:t>
      </w:r>
      <w:proofErr w:type="spellEnd"/>
      <w:r w:rsidRPr="009975EA">
        <w:rPr>
          <w:rFonts w:ascii="Times New Roman" w:hAnsi="Times New Roman" w:cs="Times New Roman"/>
          <w:i/>
          <w:iCs/>
          <w:color w:val="000000" w:themeColor="text1"/>
          <w:sz w:val="20"/>
          <w:szCs w:val="20"/>
        </w:rPr>
        <w:t>.</w:t>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Sec</w:t>
      </w:r>
      <w:proofErr w:type="spellEnd"/>
      <w:r w:rsidRPr="009975EA">
        <w:rPr>
          <w:rFonts w:ascii="Times New Roman" w:hAnsi="Times New Roman" w:cs="Times New Roman"/>
          <w:color w:val="000000" w:themeColor="text1"/>
          <w:sz w:val="20"/>
          <w:szCs w:val="20"/>
        </w:rPr>
        <w:t>. 1.002 (18), (21), (35), (37) (</w:t>
      </w:r>
      <w:proofErr w:type="spellStart"/>
      <w:r w:rsidRPr="009975EA">
        <w:rPr>
          <w:rFonts w:ascii="Times New Roman" w:hAnsi="Times New Roman" w:cs="Times New Roman"/>
          <w:color w:val="000000" w:themeColor="text1"/>
          <w:sz w:val="20"/>
          <w:szCs w:val="20"/>
        </w:rPr>
        <w:t>defining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domestic</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entity</w:t>
      </w:r>
      <w:proofErr w:type="spellEnd"/>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themeColor="text1"/>
          <w:sz w:val="20"/>
          <w:szCs w:val="20"/>
        </w:rPr>
        <w:t>entity</w:t>
      </w:r>
      <w:proofErr w:type="spellEnd"/>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themeColor="text1"/>
          <w:sz w:val="20"/>
          <w:szCs w:val="20"/>
        </w:rPr>
        <w:t>governing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authority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governing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person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There</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also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another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side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this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issue</w:t>
      </w:r>
      <w:proofErr w:type="spellEnd"/>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sz w:val="20"/>
          <w:szCs w:val="20"/>
        </w:rPr>
        <w:t>Notably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idea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shareholders</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owe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fiduciary</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1C1C1C"/>
          <w:sz w:val="20"/>
          <w:szCs w:val="20"/>
        </w:rPr>
        <w:t>duties</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minority</w:t>
      </w:r>
      <w:proofErr w:type="spellEnd"/>
      <w:r w:rsidRPr="009975EA">
        <w:rPr>
          <w:rFonts w:ascii="Times New Roman" w:hAnsi="Times New Roman" w:cs="Times New Roman"/>
          <w:color w:val="1C1C1C"/>
          <w:sz w:val="20"/>
          <w:szCs w:val="20"/>
        </w:rPr>
        <w:t xml:space="preserve"> </w:t>
      </w:r>
      <w:r w:rsidRPr="009975EA">
        <w:rPr>
          <w:rFonts w:ascii="Times New Roman" w:hAnsi="Times New Roman" w:cs="Times New Roman"/>
          <w:color w:val="000000"/>
          <w:sz w:val="20"/>
          <w:szCs w:val="20"/>
        </w:rPr>
        <w:t xml:space="preserve">has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extended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well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describing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duty</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harkens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nearly</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century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generally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wielded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fiduciary</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1C1C1C"/>
          <w:sz w:val="20"/>
          <w:szCs w:val="20"/>
        </w:rPr>
        <w:t>duty</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vigor</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as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context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simply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fewer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single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group</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1C1C1C"/>
          <w:sz w:val="20"/>
          <w:szCs w:val="20"/>
        </w:rPr>
        <w:t>shareholders</w:t>
      </w:r>
      <w:proofErr w:type="spellEnd"/>
      <w:r w:rsidRPr="009975EA">
        <w:rPr>
          <w:rFonts w:ascii="Times New Roman" w:hAnsi="Times New Roman" w:cs="Times New Roman"/>
          <w:color w:val="1C1C1C"/>
          <w:sz w:val="20"/>
          <w:szCs w:val="20"/>
        </w:rPr>
        <w:t xml:space="preserve"> </w:t>
      </w:r>
      <w:r w:rsidRPr="009975EA">
        <w:rPr>
          <w:rFonts w:ascii="Times New Roman" w:hAnsi="Times New Roman" w:cs="Times New Roman"/>
          <w:color w:val="000000"/>
          <w:sz w:val="20"/>
          <w:szCs w:val="20"/>
        </w:rPr>
        <w:t xml:space="preserve">is </w:t>
      </w:r>
      <w:proofErr w:type="spellStart"/>
      <w:r w:rsidRPr="009975EA">
        <w:rPr>
          <w:rFonts w:ascii="Times New Roman" w:hAnsi="Times New Roman" w:cs="Times New Roman"/>
          <w:color w:val="000000"/>
          <w:sz w:val="20"/>
          <w:szCs w:val="20"/>
        </w:rPr>
        <w: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acquire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within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w:t>
      </w:r>
      <w:r w:rsidRPr="009975EA">
        <w:rPr>
          <w:rFonts w:ascii="Times New Roman" w:hAnsi="Times New Roman" w:cs="Times New Roman"/>
          <w:color w:val="000000" w:themeColor="text1"/>
          <w:sz w:val="20"/>
          <w:szCs w:val="20"/>
        </w:rPr>
        <w:t xml:space="preserve"> (Morris, p.92)</w:t>
      </w:r>
    </w:p>
  </w:footnote>
  <w:footnote w:id="733">
    <w:p w14:paraId="731A70D7" w14:textId="288C426C"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Harry J. </w:t>
      </w:r>
      <w:proofErr w:type="spellStart"/>
      <w:r w:rsidRPr="009975EA">
        <w:rPr>
          <w:rFonts w:ascii="Times New Roman" w:hAnsi="Times New Roman" w:cs="Times New Roman"/>
          <w:sz w:val="20"/>
          <w:szCs w:val="20"/>
        </w:rPr>
        <w:t>Haynsworth</w:t>
      </w:r>
      <w:proofErr w:type="spellEnd"/>
      <w:r w:rsidRPr="009975EA">
        <w:rPr>
          <w:rFonts w:ascii="Times New Roman" w:hAnsi="Times New Roman" w:cs="Times New Roman"/>
          <w:sz w:val="20"/>
          <w:szCs w:val="20"/>
        </w:rPr>
        <w:t xml:space="preserve">, </w:t>
      </w:r>
      <w:proofErr w:type="spellStart"/>
      <w:r w:rsidRPr="00773DE5">
        <w:rPr>
          <w:rFonts w:ascii="Times New Roman" w:hAnsi="Times New Roman" w:cs="Times New Roman"/>
          <w:i/>
          <w:sz w:val="20"/>
          <w:szCs w:val="20"/>
        </w:rPr>
        <w:t>The</w:t>
      </w:r>
      <w:proofErr w:type="spellEnd"/>
      <w:r w:rsidRPr="00773DE5">
        <w:rPr>
          <w:rFonts w:ascii="Times New Roman" w:hAnsi="Times New Roman" w:cs="Times New Roman"/>
          <w:i/>
          <w:sz w:val="20"/>
          <w:szCs w:val="20"/>
        </w:rPr>
        <w:t xml:space="preserve"> </w:t>
      </w:r>
      <w:proofErr w:type="spellStart"/>
      <w:r w:rsidRPr="00773DE5">
        <w:rPr>
          <w:rFonts w:ascii="Times New Roman" w:hAnsi="Times New Roman" w:cs="Times New Roman"/>
          <w:i/>
          <w:sz w:val="20"/>
          <w:szCs w:val="20"/>
        </w:rPr>
        <w:t>Effectivesness</w:t>
      </w:r>
      <w:proofErr w:type="spellEnd"/>
      <w:r w:rsidRPr="00773DE5">
        <w:rPr>
          <w:rFonts w:ascii="Times New Roman" w:hAnsi="Times New Roman" w:cs="Times New Roman"/>
          <w:i/>
          <w:sz w:val="20"/>
          <w:szCs w:val="20"/>
        </w:rPr>
        <w:t xml:space="preserve"> of </w:t>
      </w:r>
      <w:proofErr w:type="spellStart"/>
      <w:r w:rsidRPr="00773DE5">
        <w:rPr>
          <w:rFonts w:ascii="Times New Roman" w:hAnsi="Times New Roman" w:cs="Times New Roman"/>
          <w:i/>
          <w:sz w:val="20"/>
          <w:szCs w:val="20"/>
        </w:rPr>
        <w:t>Involuntary</w:t>
      </w:r>
      <w:proofErr w:type="spellEnd"/>
      <w:r w:rsidRPr="00773DE5">
        <w:rPr>
          <w:rFonts w:ascii="Times New Roman" w:hAnsi="Times New Roman" w:cs="Times New Roman"/>
          <w:i/>
          <w:sz w:val="20"/>
          <w:szCs w:val="20"/>
        </w:rPr>
        <w:t xml:space="preserve"> </w:t>
      </w:r>
      <w:proofErr w:type="spellStart"/>
      <w:r w:rsidRPr="00773DE5">
        <w:rPr>
          <w:rFonts w:ascii="Times New Roman" w:hAnsi="Times New Roman" w:cs="Times New Roman"/>
          <w:i/>
          <w:sz w:val="20"/>
          <w:szCs w:val="20"/>
        </w:rPr>
        <w:t>Dissolution</w:t>
      </w:r>
      <w:proofErr w:type="spellEnd"/>
      <w:r w:rsidRPr="00773DE5">
        <w:rPr>
          <w:rFonts w:ascii="Times New Roman" w:hAnsi="Times New Roman" w:cs="Times New Roman"/>
          <w:i/>
          <w:sz w:val="20"/>
          <w:szCs w:val="20"/>
        </w:rPr>
        <w:t xml:space="preserve"> </w:t>
      </w:r>
      <w:proofErr w:type="spellStart"/>
      <w:r w:rsidRPr="00773DE5">
        <w:rPr>
          <w:rFonts w:ascii="Times New Roman" w:hAnsi="Times New Roman" w:cs="Times New Roman"/>
          <w:i/>
          <w:sz w:val="20"/>
          <w:szCs w:val="20"/>
        </w:rPr>
        <w:t>Suits</w:t>
      </w:r>
      <w:proofErr w:type="spellEnd"/>
      <w:r w:rsidRPr="00773DE5">
        <w:rPr>
          <w:rFonts w:ascii="Times New Roman" w:hAnsi="Times New Roman" w:cs="Times New Roman"/>
          <w:i/>
          <w:sz w:val="20"/>
          <w:szCs w:val="20"/>
        </w:rPr>
        <w:t xml:space="preserve"> as a </w:t>
      </w:r>
      <w:proofErr w:type="spellStart"/>
      <w:r w:rsidRPr="00773DE5">
        <w:rPr>
          <w:rFonts w:ascii="Times New Roman" w:hAnsi="Times New Roman" w:cs="Times New Roman"/>
          <w:i/>
          <w:sz w:val="20"/>
          <w:szCs w:val="20"/>
        </w:rPr>
        <w:t>Remedy</w:t>
      </w:r>
      <w:proofErr w:type="spellEnd"/>
      <w:r w:rsidRPr="00773DE5">
        <w:rPr>
          <w:rFonts w:ascii="Times New Roman" w:hAnsi="Times New Roman" w:cs="Times New Roman"/>
          <w:i/>
          <w:sz w:val="20"/>
          <w:szCs w:val="20"/>
        </w:rPr>
        <w:t xml:space="preserve"> </w:t>
      </w:r>
      <w:proofErr w:type="spellStart"/>
      <w:r w:rsidRPr="00773DE5">
        <w:rPr>
          <w:rFonts w:ascii="Times New Roman" w:hAnsi="Times New Roman" w:cs="Times New Roman"/>
          <w:i/>
          <w:sz w:val="20"/>
          <w:szCs w:val="20"/>
        </w:rPr>
        <w:t>for</w:t>
      </w:r>
      <w:proofErr w:type="spellEnd"/>
      <w:r w:rsidRPr="00773DE5">
        <w:rPr>
          <w:rFonts w:ascii="Times New Roman" w:hAnsi="Times New Roman" w:cs="Times New Roman"/>
          <w:i/>
          <w:sz w:val="20"/>
          <w:szCs w:val="20"/>
        </w:rPr>
        <w:t xml:space="preserve"> Close Corporation </w:t>
      </w:r>
      <w:proofErr w:type="spellStart"/>
      <w:r w:rsidRPr="00773DE5">
        <w:rPr>
          <w:rFonts w:ascii="Times New Roman" w:hAnsi="Times New Roman" w:cs="Times New Roman"/>
          <w:i/>
          <w:sz w:val="20"/>
          <w:szCs w:val="20"/>
        </w:rPr>
        <w:t>Dissension</w:t>
      </w:r>
      <w:proofErr w:type="spellEnd"/>
      <w:r w:rsidRPr="009975EA">
        <w:rPr>
          <w:rFonts w:ascii="Times New Roman" w:hAnsi="Times New Roman" w:cs="Times New Roman"/>
          <w:sz w:val="20"/>
          <w:szCs w:val="20"/>
        </w:rPr>
        <w:t xml:space="preserve">, 35 </w:t>
      </w:r>
      <w:proofErr w:type="spellStart"/>
      <w:r w:rsidRPr="009975EA">
        <w:rPr>
          <w:rFonts w:ascii="Times New Roman" w:hAnsi="Times New Roman" w:cs="Times New Roman"/>
          <w:sz w:val="20"/>
          <w:szCs w:val="20"/>
        </w:rPr>
        <w:t>Clev</w:t>
      </w:r>
      <w:proofErr w:type="spellEnd"/>
      <w:r w:rsidRPr="009975EA">
        <w:rPr>
          <w:rFonts w:ascii="Times New Roman" w:hAnsi="Times New Roman" w:cs="Times New Roman"/>
          <w:sz w:val="20"/>
          <w:szCs w:val="20"/>
        </w:rPr>
        <w:t xml:space="preserve">. St. L. </w:t>
      </w:r>
      <w:proofErr w:type="spellStart"/>
      <w:r w:rsidRPr="009975EA">
        <w:rPr>
          <w:rFonts w:ascii="Times New Roman" w:hAnsi="Times New Roman" w:cs="Times New Roman"/>
          <w:sz w:val="20"/>
          <w:szCs w:val="20"/>
        </w:rPr>
        <w:t>Rev</w:t>
      </w:r>
      <w:proofErr w:type="spellEnd"/>
      <w:r w:rsidRPr="009975EA">
        <w:rPr>
          <w:rFonts w:ascii="Times New Roman" w:hAnsi="Times New Roman" w:cs="Times New Roman"/>
          <w:sz w:val="20"/>
          <w:szCs w:val="20"/>
        </w:rPr>
        <w:t xml:space="preserve">. 25 (1987), </w:t>
      </w:r>
      <w:hyperlink r:id="rId73" w:history="1">
        <w:r w:rsidRPr="009975EA">
          <w:rPr>
            <w:rStyle w:val="Kpr"/>
            <w:rFonts w:ascii="Times New Roman" w:hAnsi="Times New Roman" w:cs="Times New Roman"/>
            <w:sz w:val="20"/>
            <w:szCs w:val="20"/>
          </w:rPr>
          <w:t>http://engagedscholarship.csuohio.edu/clevstlrev/vol35/iss1/5</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Last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visited</w:t>
      </w:r>
      <w:proofErr w:type="spellEnd"/>
      <w:r>
        <w:rPr>
          <w:rFonts w:ascii="Times New Roman" w:hAnsi="Times New Roman" w:cs="Times New Roman"/>
          <w:sz w:val="20"/>
          <w:szCs w:val="20"/>
        </w:rPr>
        <w:t xml:space="preserve">: 10/10/2016) at </w:t>
      </w:r>
      <w:r w:rsidRPr="009975EA">
        <w:rPr>
          <w:rFonts w:ascii="Times New Roman" w:hAnsi="Times New Roman" w:cs="Times New Roman"/>
          <w:sz w:val="20"/>
          <w:szCs w:val="20"/>
        </w:rPr>
        <w:t>37.</w:t>
      </w:r>
    </w:p>
  </w:footnote>
  <w:footnote w:id="734">
    <w:p w14:paraId="2214B562"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lang w:val="tr-TR"/>
        </w:rPr>
        <w:t xml:space="preserve">Kaplan v. First Hartford </w:t>
      </w:r>
      <w:proofErr w:type="spellStart"/>
      <w:r w:rsidRPr="009975EA">
        <w:rPr>
          <w:rFonts w:ascii="Times New Roman" w:hAnsi="Times New Roman" w:cs="Times New Roman"/>
          <w:color w:val="000000"/>
          <w:sz w:val="20"/>
          <w:szCs w:val="20"/>
          <w:lang w:val="tr-TR"/>
        </w:rPr>
        <w:t>Corp</w:t>
      </w:r>
      <w:proofErr w:type="spellEnd"/>
      <w:r w:rsidRPr="009975EA">
        <w:rPr>
          <w:rFonts w:ascii="Times New Roman" w:hAnsi="Times New Roman" w:cs="Times New Roman"/>
          <w:color w:val="000000"/>
          <w:sz w:val="20"/>
          <w:szCs w:val="20"/>
          <w:lang w:val="tr-TR"/>
        </w:rPr>
        <w:t xml:space="preserve">., 484 </w:t>
      </w:r>
      <w:proofErr w:type="gramStart"/>
      <w:r w:rsidRPr="009975EA">
        <w:rPr>
          <w:rFonts w:ascii="Times New Roman" w:hAnsi="Times New Roman" w:cs="Times New Roman"/>
          <w:color w:val="000000"/>
          <w:sz w:val="20"/>
          <w:szCs w:val="20"/>
          <w:lang w:val="tr-TR"/>
        </w:rPr>
        <w:t>F.Supp</w:t>
      </w:r>
      <w:proofErr w:type="gramEnd"/>
      <w:r w:rsidRPr="009975EA">
        <w:rPr>
          <w:rFonts w:ascii="Times New Roman" w:hAnsi="Times New Roman" w:cs="Times New Roman"/>
          <w:color w:val="000000"/>
          <w:sz w:val="20"/>
          <w:szCs w:val="20"/>
          <w:lang w:val="tr-TR"/>
        </w:rPr>
        <w:t>.2d 131 (2007).</w:t>
      </w:r>
    </w:p>
  </w:footnote>
  <w:footnote w:id="735">
    <w:p w14:paraId="0F7F22CF"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Costa </w:t>
      </w:r>
      <w:proofErr w:type="spellStart"/>
      <w:r w:rsidRPr="009975EA">
        <w:rPr>
          <w:rFonts w:ascii="Times New Roman" w:hAnsi="Times New Roman" w:cs="Times New Roman"/>
          <w:sz w:val="20"/>
          <w:szCs w:val="20"/>
        </w:rPr>
        <w:t>rava</w:t>
      </w:r>
      <w:proofErr w:type="spellEnd"/>
      <w:r w:rsidRPr="009975EA">
        <w:rPr>
          <w:rFonts w:ascii="Times New Roman" w:hAnsi="Times New Roman" w:cs="Times New Roman"/>
          <w:sz w:val="20"/>
          <w:szCs w:val="20"/>
        </w:rPr>
        <w:t xml:space="preserve"> Partnership III, L.P., et al. </w:t>
      </w:r>
      <w:proofErr w:type="spellStart"/>
      <w:r w:rsidRPr="009975EA">
        <w:rPr>
          <w:rFonts w:ascii="Times New Roman" w:hAnsi="Times New Roman" w:cs="Times New Roman"/>
          <w:sz w:val="20"/>
          <w:szCs w:val="20"/>
        </w:rPr>
        <w:t>Plainitffs</w:t>
      </w:r>
      <w:proofErr w:type="spellEnd"/>
      <w:r w:rsidRPr="009975EA">
        <w:rPr>
          <w:rFonts w:ascii="Times New Roman" w:hAnsi="Times New Roman" w:cs="Times New Roman"/>
          <w:sz w:val="20"/>
          <w:szCs w:val="20"/>
        </w:rPr>
        <w:t xml:space="preserve"> v. Telos Corporation, et al., Defendants, 2006 WL 4476413 (Md. Cir. Ct. 2006).</w:t>
      </w:r>
    </w:p>
  </w:footnote>
  <w:footnote w:id="736">
    <w:p w14:paraId="1B670723"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Themadel</w:t>
      </w:r>
      <w:proofErr w:type="spellEnd"/>
      <w:r w:rsidRPr="009975EA">
        <w:rPr>
          <w:rFonts w:ascii="Times New Roman" w:hAnsi="Times New Roman" w:cs="Times New Roman"/>
          <w:sz w:val="20"/>
          <w:szCs w:val="20"/>
        </w:rPr>
        <w:t xml:space="preserve"> Foundation v. Third </w:t>
      </w:r>
      <w:proofErr w:type="spellStart"/>
      <w:r w:rsidRPr="009975EA">
        <w:rPr>
          <w:rFonts w:ascii="Times New Roman" w:hAnsi="Times New Roman" w:cs="Times New Roman"/>
          <w:sz w:val="20"/>
          <w:szCs w:val="20"/>
        </w:rPr>
        <w:t>Canadian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Trust</w:t>
      </w:r>
      <w:proofErr w:type="spellEnd"/>
      <w:r w:rsidRPr="009975EA">
        <w:rPr>
          <w:rFonts w:ascii="Times New Roman" w:hAnsi="Times New Roman" w:cs="Times New Roman"/>
          <w:sz w:val="20"/>
          <w:szCs w:val="20"/>
        </w:rPr>
        <w:t xml:space="preserve"> Ltd., 1995 7040 (ON SC)</w:t>
      </w:r>
      <w:r w:rsidRPr="009975EA">
        <w:rPr>
          <w:rFonts w:ascii="Times New Roman" w:hAnsi="Times New Roman" w:cs="Times New Roman"/>
          <w:color w:val="000000"/>
          <w:sz w:val="20"/>
          <w:szCs w:val="20"/>
        </w:rPr>
        <w:t xml:space="preserve">. </w:t>
      </w:r>
    </w:p>
  </w:footnote>
  <w:footnote w:id="737">
    <w:p w14:paraId="5A899C6F" w14:textId="77777777" w:rsidR="00D36541" w:rsidRPr="009975EA" w:rsidRDefault="00D36541" w:rsidP="009975EA">
      <w:pPr>
        <w:pStyle w:val="DipnotMetni"/>
        <w:tabs>
          <w:tab w:val="left" w:pos="5175"/>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lang w:val="tr-TR"/>
        </w:rPr>
        <w:t xml:space="preserve">Tottenham </w:t>
      </w:r>
      <w:proofErr w:type="spellStart"/>
      <w:r w:rsidRPr="009975EA">
        <w:rPr>
          <w:rFonts w:ascii="Times New Roman" w:hAnsi="Times New Roman" w:cs="Times New Roman"/>
          <w:color w:val="000000"/>
          <w:sz w:val="20"/>
          <w:szCs w:val="20"/>
          <w:lang w:val="tr-TR"/>
        </w:rPr>
        <w:t>Hotspur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Plc</w:t>
      </w:r>
      <w:proofErr w:type="spellEnd"/>
      <w:r w:rsidRPr="009975EA">
        <w:rPr>
          <w:rFonts w:ascii="Times New Roman" w:hAnsi="Times New Roman" w:cs="Times New Roman"/>
          <w:color w:val="000000"/>
          <w:sz w:val="20"/>
          <w:szCs w:val="20"/>
          <w:lang w:val="tr-TR"/>
        </w:rPr>
        <w:t>, Re [1994] 1 B.C.L.C. 655 (</w:t>
      </w:r>
      <w:proofErr w:type="spellStart"/>
      <w:r w:rsidRPr="009975EA">
        <w:rPr>
          <w:rFonts w:ascii="Times New Roman" w:hAnsi="Times New Roman" w:cs="Times New Roman"/>
          <w:color w:val="000000"/>
          <w:sz w:val="20"/>
          <w:szCs w:val="20"/>
          <w:lang w:val="tr-TR"/>
        </w:rPr>
        <w:t>Ch</w:t>
      </w:r>
      <w:proofErr w:type="spellEnd"/>
      <w:r w:rsidRPr="009975EA">
        <w:rPr>
          <w:rFonts w:ascii="Times New Roman" w:hAnsi="Times New Roman" w:cs="Times New Roman"/>
          <w:color w:val="000000"/>
          <w:sz w:val="20"/>
          <w:szCs w:val="20"/>
          <w:lang w:val="tr-TR"/>
        </w:rPr>
        <w:t xml:space="preserve"> D).</w:t>
      </w:r>
      <w:r w:rsidRPr="009975EA">
        <w:rPr>
          <w:rFonts w:ascii="Times New Roman" w:hAnsi="Times New Roman" w:cs="Times New Roman"/>
          <w:sz w:val="20"/>
          <w:szCs w:val="20"/>
        </w:rPr>
        <w:tab/>
      </w:r>
    </w:p>
  </w:footnote>
  <w:footnote w:id="738">
    <w:p w14:paraId="6C433C8B"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Latimer Holdings Ltd. and Powell-v-Sea Holdings Ltd. [2004] NZCA 226.</w:t>
      </w:r>
    </w:p>
  </w:footnote>
  <w:footnote w:id="739">
    <w:p w14:paraId="6A7681C0" w14:textId="77777777" w:rsidR="00D36541" w:rsidRPr="009975EA" w:rsidRDefault="00D36541" w:rsidP="009975EA">
      <w:pPr>
        <w:pStyle w:val="DipnotMetni"/>
        <w:tabs>
          <w:tab w:val="left" w:pos="5304"/>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Luck Continent Ltd. v. Cheng Chee Tock Theodore &amp; </w:t>
      </w:r>
      <w:proofErr w:type="spellStart"/>
      <w:r w:rsidRPr="009975EA">
        <w:rPr>
          <w:rFonts w:ascii="Times New Roman" w:hAnsi="Times New Roman" w:cs="Times New Roman"/>
          <w:sz w:val="20"/>
          <w:szCs w:val="20"/>
        </w:rPr>
        <w:t>Ors</w:t>
      </w:r>
      <w:proofErr w:type="spellEnd"/>
      <w:r w:rsidRPr="009975EA">
        <w:rPr>
          <w:rFonts w:ascii="Times New Roman" w:hAnsi="Times New Roman" w:cs="Times New Roman"/>
          <w:sz w:val="20"/>
          <w:szCs w:val="20"/>
        </w:rPr>
        <w:t xml:space="preserve"> [2013] 5 HKC 442.</w:t>
      </w:r>
      <w:r w:rsidRPr="009975EA">
        <w:rPr>
          <w:rFonts w:ascii="Times New Roman" w:hAnsi="Times New Roman" w:cs="Times New Roman"/>
          <w:sz w:val="20"/>
          <w:szCs w:val="20"/>
        </w:rPr>
        <w:tab/>
      </w:r>
    </w:p>
  </w:footnote>
  <w:footnote w:id="740">
    <w:p w14:paraId="5F5C9A42"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Annuity &amp; Life Reassurance Ltd. v. </w:t>
      </w:r>
      <w:proofErr w:type="spellStart"/>
      <w:r w:rsidRPr="009975EA">
        <w:rPr>
          <w:rFonts w:ascii="Times New Roman" w:hAnsi="Times New Roman" w:cs="Times New Roman"/>
          <w:sz w:val="20"/>
          <w:szCs w:val="20"/>
        </w:rPr>
        <w:t>Kingboard</w:t>
      </w:r>
      <w:proofErr w:type="spellEnd"/>
      <w:r w:rsidRPr="009975EA">
        <w:rPr>
          <w:rFonts w:ascii="Times New Roman" w:hAnsi="Times New Roman" w:cs="Times New Roman"/>
          <w:sz w:val="20"/>
          <w:szCs w:val="20"/>
        </w:rPr>
        <w:t xml:space="preserve"> Chemical Holdings Limited [2015] SC (</w:t>
      </w:r>
      <w:proofErr w:type="spellStart"/>
      <w:r w:rsidRPr="009975EA">
        <w:rPr>
          <w:rFonts w:ascii="Times New Roman" w:hAnsi="Times New Roman" w:cs="Times New Roman"/>
          <w:sz w:val="20"/>
          <w:szCs w:val="20"/>
        </w:rPr>
        <w:t>Bda</w:t>
      </w:r>
      <w:proofErr w:type="spellEnd"/>
      <w:r w:rsidRPr="009975EA">
        <w:rPr>
          <w:rFonts w:ascii="Times New Roman" w:hAnsi="Times New Roman" w:cs="Times New Roman"/>
          <w:sz w:val="20"/>
          <w:szCs w:val="20"/>
        </w:rPr>
        <w:t>) 76 Comm (10 November 2015).</w:t>
      </w:r>
    </w:p>
  </w:footnote>
  <w:footnote w:id="741">
    <w:p w14:paraId="7E96CB50" w14:textId="119E122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Gunzberg</w:t>
      </w:r>
      <w:proofErr w:type="spellEnd"/>
      <w:r w:rsidRPr="009975EA">
        <w:rPr>
          <w:rFonts w:ascii="Times New Roman" w:hAnsi="Times New Roman" w:cs="Times New Roman"/>
          <w:sz w:val="20"/>
          <w:szCs w:val="20"/>
        </w:rPr>
        <w:t xml:space="preserve"> v. Art- Lloyd Metal Products Corp., 112 A.D. 2d 423 (1985); Ferber v. American Lamp. Corp., 503 Pa. 489 (1983); Matter of Smith, 154 A.D.2d 537 (1989); In re Smith, 546 N.Y.S.2d 382 (1989).</w:t>
      </w:r>
    </w:p>
  </w:footnote>
  <w:footnote w:id="742">
    <w:p w14:paraId="08C2B89E" w14:textId="33D70D2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Taking the issue one point further, it can be claimed that a reasonable expectation can also be transferred by contract. It can be said that a party can also acquire a “reasonable expectation” tied to the share he purchases from a corporation’s shareholder, if he acquires the share in the corporation through a contract of sale and assignment of the seller shareholder’s contractual rights and obligations arising from the shareholders’ agreement that binds all shareholders and the corporation. This analogy can be found in </w:t>
      </w:r>
      <w:proofErr w:type="spellStart"/>
      <w:r w:rsidRPr="009975EA">
        <w:rPr>
          <w:rFonts w:ascii="Times New Roman" w:hAnsi="Times New Roman" w:cs="Times New Roman"/>
          <w:sz w:val="20"/>
          <w:szCs w:val="20"/>
        </w:rPr>
        <w:t>Nordin</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Kaldenbaugh</w:t>
      </w:r>
      <w:proofErr w:type="spellEnd"/>
      <w:r w:rsidRPr="009975EA">
        <w:rPr>
          <w:rFonts w:ascii="Times New Roman" w:hAnsi="Times New Roman" w:cs="Times New Roman"/>
          <w:sz w:val="20"/>
          <w:szCs w:val="20"/>
        </w:rPr>
        <w:t xml:space="preserve">, 7 Ariz. App. 9 (1967) decision, in which court held that the incoming shareholder purchased the share through a contract of sale and an assignment regarding the shareholders’ agreement that binds both the shareholders and the corporation, and so took the share subject to the agreement which in return obtained all the rights and liabilities of the outgoing shareholder arising therefrom, and can initiate an legal action upon the contracts breach. </w:t>
      </w:r>
    </w:p>
  </w:footnote>
  <w:footnote w:id="743">
    <w:p w14:paraId="4465654C" w14:textId="48B05E7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Bank of New York Mellon v. Commerzbank Capital Funding Trust II, 65 A.3d 539 (2013).</w:t>
      </w:r>
    </w:p>
  </w:footnote>
  <w:footnote w:id="744">
    <w:p w14:paraId="0141744D" w14:textId="4F633330" w:rsidR="008B0E2B" w:rsidRPr="0047452F" w:rsidRDefault="008B0E2B"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009D35C0" w:rsidRPr="0047452F">
        <w:rPr>
          <w:rFonts w:ascii="Times New Roman" w:hAnsi="Times New Roman" w:cs="Times New Roman"/>
          <w:sz w:val="20"/>
          <w:szCs w:val="20"/>
        </w:rPr>
        <w:t xml:space="preserve">Murat Can Pehlivanoğlu, </w:t>
      </w:r>
      <w:r w:rsidR="009D35C0" w:rsidRPr="0047452F">
        <w:rPr>
          <w:rFonts w:ascii="Times New Roman" w:hAnsi="Times New Roman" w:cs="Times New Roman"/>
          <w:i/>
          <w:iCs/>
          <w:sz w:val="20"/>
          <w:szCs w:val="20"/>
        </w:rPr>
        <w:t>Involuntary Dissolution: Theory and Operation in Publicly Traded Corporations</w:t>
      </w:r>
      <w:r w:rsidR="009D35C0" w:rsidRPr="0047452F">
        <w:rPr>
          <w:rFonts w:ascii="Times New Roman" w:hAnsi="Times New Roman" w:cs="Times New Roman"/>
          <w:sz w:val="20"/>
          <w:szCs w:val="20"/>
        </w:rPr>
        <w:t xml:space="preserve">, 23 Annual Survey of International &amp; Comparative Law 1 (2019) </w:t>
      </w:r>
      <w:r w:rsidR="009D35C0" w:rsidRPr="0047452F">
        <w:rPr>
          <w:rFonts w:ascii="Times New Roman" w:hAnsi="Times New Roman" w:cs="Times New Roman"/>
          <w:sz w:val="20"/>
          <w:szCs w:val="20"/>
          <w:lang w:val="tr-TR"/>
        </w:rPr>
        <w:t>at 2.</w:t>
      </w:r>
    </w:p>
  </w:footnote>
  <w:footnote w:id="745">
    <w:p w14:paraId="1351ABDF" w14:textId="79FC0E1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Ian M. Ramsay, </w:t>
      </w:r>
      <w:r w:rsidRPr="00773DE5">
        <w:rPr>
          <w:rFonts w:ascii="Times New Roman" w:hAnsi="Times New Roman" w:cs="Times New Roman"/>
          <w:i/>
          <w:sz w:val="20"/>
          <w:szCs w:val="20"/>
        </w:rPr>
        <w:t>Models of Corporate Regulation: The Mandatory/Enabling Debate, Corporate Personality in the 20</w:t>
      </w:r>
      <w:r w:rsidRPr="00773DE5">
        <w:rPr>
          <w:rFonts w:ascii="Times New Roman" w:hAnsi="Times New Roman" w:cs="Times New Roman"/>
          <w:i/>
          <w:sz w:val="20"/>
          <w:szCs w:val="20"/>
          <w:vertAlign w:val="superscript"/>
        </w:rPr>
        <w:t>th</w:t>
      </w:r>
      <w:r w:rsidRPr="00773DE5">
        <w:rPr>
          <w:rFonts w:ascii="Times New Roman" w:hAnsi="Times New Roman" w:cs="Times New Roman"/>
          <w:i/>
          <w:sz w:val="20"/>
          <w:szCs w:val="20"/>
        </w:rPr>
        <w:t xml:space="preserve"> Century</w:t>
      </w:r>
      <w:r>
        <w:rPr>
          <w:rFonts w:ascii="Times New Roman" w:hAnsi="Times New Roman" w:cs="Times New Roman"/>
          <w:i/>
          <w:sz w:val="20"/>
          <w:szCs w:val="20"/>
        </w:rPr>
        <w:t xml:space="preserve"> </w:t>
      </w:r>
      <w:r>
        <w:rPr>
          <w:rFonts w:ascii="Times New Roman" w:hAnsi="Times New Roman" w:cs="Times New Roman"/>
          <w:sz w:val="20"/>
          <w:szCs w:val="20"/>
        </w:rPr>
        <w:t>237, Ed. Charles E. F. Rickett, Ross B. Grantham (1998).</w:t>
      </w:r>
    </w:p>
  </w:footnote>
  <w:footnote w:id="746">
    <w:p w14:paraId="1D30BCA1" w14:textId="0CCA2FD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Fox v. 7L Bar Ranch Co., 198 Mont. 201 (1982) (citing O’Neal, Oppression of Minority Shareholders): “Although dividend withholding is used as a </w:t>
      </w:r>
      <w:proofErr w:type="spellStart"/>
      <w:r w:rsidRPr="009975EA">
        <w:rPr>
          <w:rFonts w:ascii="Times New Roman" w:hAnsi="Times New Roman" w:cs="Times New Roman"/>
          <w:sz w:val="20"/>
          <w:szCs w:val="20"/>
        </w:rPr>
        <w:t>squeezeout</w:t>
      </w:r>
      <w:proofErr w:type="spellEnd"/>
      <w:r w:rsidRPr="009975EA">
        <w:rPr>
          <w:rFonts w:ascii="Times New Roman" w:hAnsi="Times New Roman" w:cs="Times New Roman"/>
          <w:sz w:val="20"/>
          <w:szCs w:val="20"/>
        </w:rPr>
        <w:t xml:space="preserve"> technique and is used in corporations of all sizes, this technique (indeed practically all squeeze techniques) is applied most frequently in close corporations”; “In any corporation with a majority shareholder, the minority is at risk that the majority shareholder will engage in self- dealing and appropriate to itself a disproportionate share of the corporation’s income stream....the majority...often employs self- dealing as a complement to a financial and participatory freezeout of the minority.” (</w:t>
      </w:r>
      <w:proofErr w:type="spellStart"/>
      <w:r w:rsidRPr="009975EA">
        <w:rPr>
          <w:rFonts w:ascii="Times New Roman" w:hAnsi="Times New Roman" w:cs="Times New Roman"/>
          <w:sz w:val="20"/>
          <w:szCs w:val="20"/>
        </w:rPr>
        <w:t>Ragazzo</w:t>
      </w:r>
      <w:proofErr w:type="spellEnd"/>
      <w:r w:rsidRPr="009975EA">
        <w:rPr>
          <w:rFonts w:ascii="Times New Roman" w:hAnsi="Times New Roman" w:cs="Times New Roman"/>
          <w:sz w:val="20"/>
          <w:szCs w:val="20"/>
        </w:rPr>
        <w:t>, p.1115-1116)</w:t>
      </w:r>
    </w:p>
  </w:footnote>
  <w:footnote w:id="747">
    <w:p w14:paraId="55021ECB" w14:textId="317CA1EA"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After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presumes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competent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buy </w:t>
      </w:r>
      <w:proofErr w:type="spellStart"/>
      <w:r w:rsidRPr="009975EA">
        <w:rPr>
          <w:rFonts w:ascii="Times New Roman" w:hAnsi="Times New Roman" w:cs="Times New Roman"/>
          <w:sz w:val="20"/>
          <w:szCs w:val="20"/>
        </w:rPr>
        <w:t>share</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first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place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Chesapeake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Shore</w:t>
      </w:r>
      <w:proofErr w:type="spellEnd"/>
      <w:r w:rsidRPr="009975EA">
        <w:rPr>
          <w:rFonts w:ascii="Times New Roman" w:hAnsi="Times New Roman" w:cs="Times New Roman"/>
          <w:sz w:val="20"/>
          <w:szCs w:val="20"/>
        </w:rPr>
        <w:t>, 771 A.2d 293 (2000)</w:t>
      </w:r>
      <w:proofErr w:type="gramStart"/>
      <w:r>
        <w:rPr>
          <w:rFonts w:ascii="Times New Roman" w:hAnsi="Times New Roman" w:cs="Times New Roman"/>
          <w:sz w:val="20"/>
          <w:szCs w:val="20"/>
        </w:rPr>
        <w:t>)</w:t>
      </w:r>
      <w:r w:rsidRPr="009975EA">
        <w:rPr>
          <w:rFonts w:ascii="Times New Roman" w:hAnsi="Times New Roman" w:cs="Times New Roman"/>
          <w:color w:val="000000"/>
          <w:sz w:val="20"/>
          <w:szCs w:val="20"/>
        </w:rPr>
        <w:t xml:space="preserve"> .</w:t>
      </w:r>
      <w:proofErr w:type="gram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presumed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competent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buy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first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presumed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competent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sell</w:t>
      </w:r>
      <w:proofErr w:type="spellEnd"/>
      <w:r w:rsidRPr="009975EA">
        <w:rPr>
          <w:rFonts w:ascii="Times New Roman" w:hAnsi="Times New Roman" w:cs="Times New Roman"/>
          <w:color w:val="000000"/>
          <w:sz w:val="20"/>
          <w:szCs w:val="20"/>
        </w:rPr>
        <w:t xml:space="preserve"> in a tender </w:t>
      </w:r>
      <w:proofErr w:type="spellStart"/>
      <w:r w:rsidRPr="009975EA">
        <w:rPr>
          <w:rFonts w:ascii="Times New Roman" w:hAnsi="Times New Roman" w:cs="Times New Roman"/>
          <w:color w:val="000000"/>
          <w:sz w:val="20"/>
          <w:szCs w:val="20"/>
        </w:rPr>
        <w:t>offer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after</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adequate</w:t>
      </w:r>
      <w:proofErr w:type="spellEnd"/>
      <w:r w:rsidRPr="009975EA">
        <w:rPr>
          <w:rFonts w:ascii="Times New Roman" w:hAnsi="Times New Roman" w:cs="Times New Roman"/>
          <w:color w:val="000000"/>
          <w:sz w:val="20"/>
          <w:szCs w:val="20"/>
        </w:rPr>
        <w:t xml:space="preserve"> time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deliberation</w:t>
      </w:r>
      <w:proofErr w:type="spellEnd"/>
      <w:r w:rsidRPr="009975EA">
        <w:rPr>
          <w:rFonts w:ascii="Times New Roman" w:hAnsi="Times New Roman" w:cs="Times New Roman"/>
          <w:color w:val="000000"/>
          <w:sz w:val="20"/>
          <w:szCs w:val="20"/>
        </w:rPr>
        <w:t xml:space="preserve"> has </w:t>
      </w:r>
      <w:proofErr w:type="spellStart"/>
      <w:r w:rsidRPr="009975EA">
        <w:rPr>
          <w:rFonts w:ascii="Times New Roman" w:hAnsi="Times New Roman" w:cs="Times New Roman"/>
          <w:color w:val="000000"/>
          <w:sz w:val="20"/>
          <w:szCs w:val="20"/>
        </w:rPr>
        <w:t>been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afforded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748">
    <w:p w14:paraId="4D643553" w14:textId="3006CF4B"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Victor </w:t>
      </w:r>
      <w:proofErr w:type="spellStart"/>
      <w:r w:rsidRPr="009975EA">
        <w:rPr>
          <w:rFonts w:ascii="Times New Roman" w:hAnsi="Times New Roman" w:cs="Times New Roman"/>
          <w:sz w:val="20"/>
          <w:szCs w:val="20"/>
        </w:rPr>
        <w:t>Brudney</w:t>
      </w:r>
      <w:proofErr w:type="spellEnd"/>
      <w:r w:rsidRPr="009975EA">
        <w:rPr>
          <w:rFonts w:ascii="Times New Roman" w:hAnsi="Times New Roman" w:cs="Times New Roman"/>
          <w:sz w:val="20"/>
          <w:szCs w:val="20"/>
        </w:rPr>
        <w:t xml:space="preserve">, </w:t>
      </w:r>
      <w:proofErr w:type="spellStart"/>
      <w:r w:rsidRPr="00D47B89">
        <w:rPr>
          <w:rFonts w:ascii="Times New Roman" w:hAnsi="Times New Roman" w:cs="Times New Roman"/>
          <w:i/>
          <w:sz w:val="20"/>
          <w:szCs w:val="20"/>
        </w:rPr>
        <w:t>Corporate</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Governance</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Agency</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Costs</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and</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the</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Rhetoric</w:t>
      </w:r>
      <w:proofErr w:type="spellEnd"/>
      <w:r w:rsidRPr="00D47B89">
        <w:rPr>
          <w:rFonts w:ascii="Times New Roman" w:hAnsi="Times New Roman" w:cs="Times New Roman"/>
          <w:i/>
          <w:sz w:val="20"/>
          <w:szCs w:val="20"/>
        </w:rPr>
        <w:t xml:space="preserve"> of </w:t>
      </w:r>
      <w:proofErr w:type="spellStart"/>
      <w:r w:rsidRPr="00D47B89">
        <w:rPr>
          <w:rFonts w:ascii="Times New Roman" w:hAnsi="Times New Roman" w:cs="Times New Roman"/>
          <w:i/>
          <w:sz w:val="20"/>
          <w:szCs w:val="20"/>
        </w:rPr>
        <w:t>Contract</w:t>
      </w:r>
      <w:proofErr w:type="spellEnd"/>
      <w:r>
        <w:rPr>
          <w:rFonts w:ascii="Times New Roman" w:hAnsi="Times New Roman" w:cs="Times New Roman"/>
          <w:sz w:val="20"/>
          <w:szCs w:val="20"/>
        </w:rPr>
        <w:t xml:space="preserve">, 85 </w:t>
      </w:r>
      <w:proofErr w:type="spellStart"/>
      <w:r>
        <w:rPr>
          <w:rFonts w:ascii="Times New Roman" w:hAnsi="Times New Roman" w:cs="Times New Roman"/>
          <w:sz w:val="20"/>
          <w:szCs w:val="20"/>
        </w:rPr>
        <w:t>Colum</w:t>
      </w:r>
      <w:proofErr w:type="spellEnd"/>
      <w:r>
        <w:rPr>
          <w:rFonts w:ascii="Times New Roman" w:hAnsi="Times New Roman" w:cs="Times New Roman"/>
          <w:sz w:val="20"/>
          <w:szCs w:val="20"/>
        </w:rPr>
        <w:t xml:space="preserve">. L. </w:t>
      </w:r>
      <w:proofErr w:type="spellStart"/>
      <w:r>
        <w:rPr>
          <w:rFonts w:ascii="Times New Roman" w:hAnsi="Times New Roman" w:cs="Times New Roman"/>
          <w:sz w:val="20"/>
          <w:szCs w:val="20"/>
        </w:rPr>
        <w:t>Rev</w:t>
      </w:r>
      <w:proofErr w:type="spellEnd"/>
      <w:r>
        <w:rPr>
          <w:rFonts w:ascii="Times New Roman" w:hAnsi="Times New Roman" w:cs="Times New Roman"/>
          <w:sz w:val="20"/>
          <w:szCs w:val="20"/>
        </w:rPr>
        <w:t xml:space="preserve">. 1403, at </w:t>
      </w:r>
      <w:r w:rsidRPr="009975EA">
        <w:rPr>
          <w:rFonts w:ascii="Times New Roman" w:hAnsi="Times New Roman" w:cs="Times New Roman"/>
          <w:sz w:val="20"/>
          <w:szCs w:val="20"/>
        </w:rPr>
        <w:t xml:space="preserve">1412.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sense, </w:t>
      </w:r>
      <w:proofErr w:type="spellStart"/>
      <w:r w:rsidRPr="009975EA">
        <w:rPr>
          <w:rFonts w:ascii="Times New Roman" w:hAnsi="Times New Roman" w:cs="Times New Roman"/>
          <w:sz w:val="20"/>
          <w:szCs w:val="20"/>
        </w:rPr>
        <w:t>there</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a “market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articles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incorporation</w:t>
      </w:r>
      <w:proofErr w:type="spellEnd"/>
      <w:r w:rsidRPr="009975EA">
        <w:rPr>
          <w:rFonts w:ascii="Times New Roman" w:hAnsi="Times New Roman" w:cs="Times New Roman"/>
          <w:sz w:val="20"/>
          <w:szCs w:val="20"/>
        </w:rPr>
        <w:t>”.</w:t>
      </w:r>
    </w:p>
  </w:footnote>
  <w:footnote w:id="749">
    <w:p w14:paraId="21432956" w14:textId="0B26987C"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buy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knowing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temper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profit-maximization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bought</w:t>
      </w:r>
      <w:proofErr w:type="spellEnd"/>
      <w:r w:rsidRPr="009975EA">
        <w:rPr>
          <w:rFonts w:ascii="Times New Roman" w:hAnsi="Times New Roman" w:cs="Times New Roman"/>
          <w:color w:val="000000"/>
          <w:sz w:val="20"/>
          <w:szCs w:val="20"/>
        </w:rPr>
        <w:t xml:space="preserve"> in at </w:t>
      </w:r>
      <w:proofErr w:type="spellStart"/>
      <w:r w:rsidRPr="009975EA">
        <w:rPr>
          <w:rFonts w:ascii="Times New Roman" w:hAnsi="Times New Roman" w:cs="Times New Roman"/>
          <w:color w:val="000000"/>
          <w:sz w:val="20"/>
          <w:szCs w:val="20"/>
        </w:rPr>
        <w:t>lower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reflect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claim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tax</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injury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tempering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occurs</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sz w:val="20"/>
          <w:szCs w:val="20"/>
        </w:rPr>
        <w:t>Einer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Elhauge</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Sacrificing</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Corporate</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Profits</w:t>
      </w:r>
      <w:proofErr w:type="spellEnd"/>
      <w:r w:rsidRPr="00D47B89">
        <w:rPr>
          <w:rFonts w:ascii="Times New Roman" w:hAnsi="Times New Roman" w:cs="Times New Roman"/>
          <w:i/>
          <w:sz w:val="20"/>
          <w:szCs w:val="20"/>
        </w:rPr>
        <w:t xml:space="preserve"> in </w:t>
      </w:r>
      <w:proofErr w:type="spellStart"/>
      <w:r w:rsidRPr="00D47B89">
        <w:rPr>
          <w:rFonts w:ascii="Times New Roman" w:hAnsi="Times New Roman" w:cs="Times New Roman"/>
          <w:i/>
          <w:sz w:val="20"/>
          <w:szCs w:val="20"/>
        </w:rPr>
        <w:t>the</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Public</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Interest</w:t>
      </w:r>
      <w:proofErr w:type="spellEnd"/>
      <w:r w:rsidRPr="009975EA">
        <w:rPr>
          <w:rFonts w:ascii="Times New Roman" w:hAnsi="Times New Roman" w:cs="Times New Roman"/>
          <w:sz w:val="20"/>
          <w:szCs w:val="20"/>
        </w:rPr>
        <w:t xml:space="preserve">, 80 N.Y.U. L. </w:t>
      </w:r>
      <w:proofErr w:type="spellStart"/>
      <w:r w:rsidRPr="009975EA">
        <w:rPr>
          <w:rFonts w:ascii="Times New Roman" w:hAnsi="Times New Roman" w:cs="Times New Roman"/>
          <w:sz w:val="20"/>
          <w:szCs w:val="20"/>
        </w:rPr>
        <w:t>Rev</w:t>
      </w:r>
      <w:proofErr w:type="spellEnd"/>
      <w:r w:rsidRPr="009975EA">
        <w:rPr>
          <w:rFonts w:ascii="Times New Roman" w:hAnsi="Times New Roman" w:cs="Times New Roman"/>
          <w:sz w:val="20"/>
          <w:szCs w:val="20"/>
        </w:rPr>
        <w:t xml:space="preserve">. 733 (2005), </w:t>
      </w:r>
      <w:r>
        <w:rPr>
          <w:rFonts w:ascii="Times New Roman" w:hAnsi="Times New Roman" w:cs="Times New Roman"/>
          <w:color w:val="000000"/>
          <w:sz w:val="20"/>
          <w:szCs w:val="20"/>
        </w:rPr>
        <w:t xml:space="preserve">at </w:t>
      </w:r>
      <w:r w:rsidRPr="009975EA">
        <w:rPr>
          <w:rFonts w:ascii="Times New Roman" w:hAnsi="Times New Roman" w:cs="Times New Roman"/>
          <w:color w:val="000000"/>
          <w:sz w:val="20"/>
          <w:szCs w:val="20"/>
        </w:rPr>
        <w:t xml:space="preserve">787); </w:t>
      </w:r>
      <w:r w:rsidRPr="009975EA">
        <w:rPr>
          <w:rFonts w:ascii="Times New Roman" w:hAnsi="Times New Roman" w:cs="Times New Roman"/>
          <w:color w:val="000000" w:themeColor="text1"/>
          <w:sz w:val="20"/>
          <w:szCs w:val="20"/>
        </w:rPr>
        <w:t xml:space="preserve">“Under a </w:t>
      </w:r>
      <w:proofErr w:type="spellStart"/>
      <w:r w:rsidRPr="009975EA">
        <w:rPr>
          <w:rFonts w:ascii="Times New Roman" w:hAnsi="Times New Roman" w:cs="Times New Roman"/>
          <w:color w:val="000000" w:themeColor="text1"/>
          <w:sz w:val="20"/>
          <w:szCs w:val="20"/>
        </w:rPr>
        <w:t>law</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economics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framework</w:t>
      </w:r>
      <w:proofErr w:type="spellEnd"/>
      <w:r w:rsidRPr="009975EA">
        <w:rPr>
          <w:rFonts w:ascii="Times New Roman" w:hAnsi="Times New Roman" w:cs="Times New Roman"/>
          <w:color w:val="000000" w:themeColor="text1"/>
          <w:sz w:val="20"/>
          <w:szCs w:val="20"/>
        </w:rPr>
        <w:t xml:space="preserve">, it is </w:t>
      </w:r>
      <w:proofErr w:type="spellStart"/>
      <w:r w:rsidRPr="009975EA">
        <w:rPr>
          <w:rFonts w:ascii="Times New Roman" w:hAnsi="Times New Roman" w:cs="Times New Roman"/>
          <w:color w:val="000000" w:themeColor="text1"/>
          <w:sz w:val="20"/>
          <w:szCs w:val="20"/>
        </w:rPr>
        <w:t>assumed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price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publicly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traded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shares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reflects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understanding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about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quality</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management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potential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oppressive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conduct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other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words</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shareholder</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compensated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before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fact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abusive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conduct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occur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through</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lower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purc</w:t>
      </w:r>
      <w:r>
        <w:rPr>
          <w:rFonts w:ascii="Times New Roman" w:hAnsi="Times New Roman" w:cs="Times New Roman"/>
          <w:color w:val="000000" w:themeColor="text1"/>
          <w:sz w:val="20"/>
          <w:szCs w:val="20"/>
        </w:rPr>
        <w:t>hase</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price</w:t>
      </w:r>
      <w:proofErr w:type="spellEnd"/>
      <w:r>
        <w:rPr>
          <w:rFonts w:ascii="Times New Roman" w:hAnsi="Times New Roman" w:cs="Times New Roman"/>
          <w:color w:val="000000" w:themeColor="text1"/>
          <w:sz w:val="20"/>
          <w:szCs w:val="20"/>
        </w:rPr>
        <w:t>.” (</w:t>
      </w:r>
      <w:proofErr w:type="spellStart"/>
      <w:r>
        <w:rPr>
          <w:rFonts w:ascii="Times New Roman" w:hAnsi="Times New Roman" w:cs="Times New Roman"/>
          <w:color w:val="000000" w:themeColor="text1"/>
          <w:sz w:val="20"/>
          <w:szCs w:val="20"/>
        </w:rPr>
        <w:t>Mohamed</w:t>
      </w:r>
      <w:proofErr w:type="spellEnd"/>
      <w:r>
        <w:rPr>
          <w:rFonts w:ascii="Times New Roman" w:hAnsi="Times New Roman" w:cs="Times New Roman"/>
          <w:color w:val="000000" w:themeColor="text1"/>
          <w:sz w:val="20"/>
          <w:szCs w:val="20"/>
        </w:rPr>
        <w:t xml:space="preserve"> F. </w:t>
      </w:r>
      <w:proofErr w:type="spellStart"/>
      <w:r>
        <w:rPr>
          <w:rFonts w:ascii="Times New Roman" w:hAnsi="Times New Roman" w:cs="Times New Roman"/>
          <w:color w:val="000000" w:themeColor="text1"/>
          <w:sz w:val="20"/>
          <w:szCs w:val="20"/>
        </w:rPr>
        <w:t>Khimji</w:t>
      </w:r>
      <w:proofErr w:type="spellEnd"/>
      <w:r>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Jon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Viner</w:t>
      </w:r>
      <w:proofErr w:type="spellEnd"/>
      <w:r w:rsidRPr="009975EA">
        <w:rPr>
          <w:rFonts w:ascii="Times New Roman" w:hAnsi="Times New Roman" w:cs="Times New Roman"/>
          <w:color w:val="000000" w:themeColor="text1"/>
          <w:sz w:val="20"/>
          <w:szCs w:val="20"/>
        </w:rPr>
        <w:t xml:space="preserve">, </w:t>
      </w:r>
      <w:proofErr w:type="spellStart"/>
      <w:r w:rsidRPr="00D47B89">
        <w:rPr>
          <w:rFonts w:ascii="Times New Roman" w:hAnsi="Times New Roman" w:cs="Times New Roman"/>
          <w:i/>
          <w:color w:val="000000" w:themeColor="text1"/>
          <w:sz w:val="20"/>
          <w:szCs w:val="20"/>
        </w:rPr>
        <w:t>Oppression</w:t>
      </w:r>
      <w:proofErr w:type="spellEnd"/>
      <w:r w:rsidRPr="00D47B89">
        <w:rPr>
          <w:rFonts w:ascii="Times New Roman" w:hAnsi="Times New Roman" w:cs="Times New Roman"/>
          <w:i/>
          <w:color w:val="000000" w:themeColor="text1"/>
          <w:sz w:val="20"/>
          <w:szCs w:val="20"/>
        </w:rPr>
        <w:t xml:space="preserve">- </w:t>
      </w:r>
      <w:proofErr w:type="spellStart"/>
      <w:r w:rsidRPr="00D47B89">
        <w:rPr>
          <w:rFonts w:ascii="Times New Roman" w:hAnsi="Times New Roman" w:cs="Times New Roman"/>
          <w:i/>
          <w:color w:val="000000" w:themeColor="text1"/>
          <w:sz w:val="20"/>
          <w:szCs w:val="20"/>
        </w:rPr>
        <w:t>Reducing</w:t>
      </w:r>
      <w:proofErr w:type="spellEnd"/>
      <w:r w:rsidRPr="00D47B89">
        <w:rPr>
          <w:rFonts w:ascii="Times New Roman" w:hAnsi="Times New Roman" w:cs="Times New Roman"/>
          <w:i/>
          <w:color w:val="000000" w:themeColor="text1"/>
          <w:sz w:val="20"/>
          <w:szCs w:val="20"/>
        </w:rPr>
        <w:t xml:space="preserve"> </w:t>
      </w:r>
      <w:proofErr w:type="spellStart"/>
      <w:r w:rsidRPr="00D47B89">
        <w:rPr>
          <w:rFonts w:ascii="Times New Roman" w:hAnsi="Times New Roman" w:cs="Times New Roman"/>
          <w:i/>
          <w:color w:val="000000" w:themeColor="text1"/>
          <w:sz w:val="20"/>
          <w:szCs w:val="20"/>
        </w:rPr>
        <w:t>Canadian</w:t>
      </w:r>
      <w:proofErr w:type="spellEnd"/>
      <w:r w:rsidRPr="00D47B89">
        <w:rPr>
          <w:rFonts w:ascii="Times New Roman" w:hAnsi="Times New Roman" w:cs="Times New Roman"/>
          <w:i/>
          <w:color w:val="000000" w:themeColor="text1"/>
          <w:sz w:val="20"/>
          <w:szCs w:val="20"/>
        </w:rPr>
        <w:t xml:space="preserve"> </w:t>
      </w:r>
      <w:proofErr w:type="spellStart"/>
      <w:r w:rsidRPr="00D47B89">
        <w:rPr>
          <w:rFonts w:ascii="Times New Roman" w:hAnsi="Times New Roman" w:cs="Times New Roman"/>
          <w:i/>
          <w:color w:val="000000" w:themeColor="text1"/>
          <w:sz w:val="20"/>
          <w:szCs w:val="20"/>
        </w:rPr>
        <w:t>Corporate</w:t>
      </w:r>
      <w:proofErr w:type="spellEnd"/>
      <w:r w:rsidRPr="00D47B89">
        <w:rPr>
          <w:rFonts w:ascii="Times New Roman" w:hAnsi="Times New Roman" w:cs="Times New Roman"/>
          <w:i/>
          <w:color w:val="000000" w:themeColor="text1"/>
          <w:sz w:val="20"/>
          <w:szCs w:val="20"/>
        </w:rPr>
        <w:t xml:space="preserve"> </w:t>
      </w:r>
      <w:proofErr w:type="spellStart"/>
      <w:r w:rsidRPr="00D47B89">
        <w:rPr>
          <w:rFonts w:ascii="Times New Roman" w:hAnsi="Times New Roman" w:cs="Times New Roman"/>
          <w:i/>
          <w:color w:val="000000" w:themeColor="text1"/>
          <w:sz w:val="20"/>
          <w:szCs w:val="20"/>
        </w:rPr>
        <w:t>Law</w:t>
      </w:r>
      <w:proofErr w:type="spellEnd"/>
      <w:r w:rsidRPr="00D47B89">
        <w:rPr>
          <w:rFonts w:ascii="Times New Roman" w:hAnsi="Times New Roman" w:cs="Times New Roman"/>
          <w:i/>
          <w:color w:val="000000" w:themeColor="text1"/>
          <w:sz w:val="20"/>
          <w:szCs w:val="20"/>
        </w:rPr>
        <w:t xml:space="preserve"> </w:t>
      </w:r>
      <w:proofErr w:type="spellStart"/>
      <w:r w:rsidRPr="00D47B89">
        <w:rPr>
          <w:rFonts w:ascii="Times New Roman" w:hAnsi="Times New Roman" w:cs="Times New Roman"/>
          <w:i/>
          <w:color w:val="000000" w:themeColor="text1"/>
          <w:sz w:val="20"/>
          <w:szCs w:val="20"/>
        </w:rPr>
        <w:t>to</w:t>
      </w:r>
      <w:proofErr w:type="spellEnd"/>
      <w:r w:rsidRPr="00D47B89">
        <w:rPr>
          <w:rFonts w:ascii="Times New Roman" w:hAnsi="Times New Roman" w:cs="Times New Roman"/>
          <w:i/>
          <w:color w:val="000000" w:themeColor="text1"/>
          <w:sz w:val="20"/>
          <w:szCs w:val="20"/>
        </w:rPr>
        <w:t xml:space="preserve"> a </w:t>
      </w:r>
      <w:proofErr w:type="spellStart"/>
      <w:r w:rsidRPr="00D47B89">
        <w:rPr>
          <w:rFonts w:ascii="Times New Roman" w:hAnsi="Times New Roman" w:cs="Times New Roman"/>
          <w:i/>
          <w:color w:val="000000" w:themeColor="text1"/>
          <w:sz w:val="20"/>
          <w:szCs w:val="20"/>
        </w:rPr>
        <w:t>Muddy</w:t>
      </w:r>
      <w:proofErr w:type="spellEnd"/>
      <w:r w:rsidRPr="00D47B89">
        <w:rPr>
          <w:rFonts w:ascii="Times New Roman" w:hAnsi="Times New Roman" w:cs="Times New Roman"/>
          <w:i/>
          <w:color w:val="000000" w:themeColor="text1"/>
          <w:sz w:val="20"/>
          <w:szCs w:val="20"/>
        </w:rPr>
        <w:t xml:space="preserve"> </w:t>
      </w:r>
      <w:proofErr w:type="spellStart"/>
      <w:r w:rsidRPr="00D47B89">
        <w:rPr>
          <w:rFonts w:ascii="Times New Roman" w:hAnsi="Times New Roman" w:cs="Times New Roman"/>
          <w:i/>
          <w:color w:val="000000" w:themeColor="text1"/>
          <w:sz w:val="20"/>
          <w:szCs w:val="20"/>
        </w:rPr>
        <w:t>Default</w:t>
      </w:r>
      <w:proofErr w:type="spellEnd"/>
      <w:r>
        <w:rPr>
          <w:rFonts w:ascii="Times New Roman" w:hAnsi="Times New Roman" w:cs="Times New Roman"/>
          <w:color w:val="000000" w:themeColor="text1"/>
          <w:sz w:val="20"/>
          <w:szCs w:val="20"/>
        </w:rPr>
        <w:t xml:space="preserve">, 47 Ottowa L. </w:t>
      </w:r>
      <w:proofErr w:type="spellStart"/>
      <w:r>
        <w:rPr>
          <w:rFonts w:ascii="Times New Roman" w:hAnsi="Times New Roman" w:cs="Times New Roman"/>
          <w:color w:val="000000" w:themeColor="text1"/>
          <w:sz w:val="20"/>
          <w:szCs w:val="20"/>
        </w:rPr>
        <w:t>Rev</w:t>
      </w:r>
      <w:proofErr w:type="spellEnd"/>
      <w:r>
        <w:rPr>
          <w:rFonts w:ascii="Times New Roman" w:hAnsi="Times New Roman" w:cs="Times New Roman"/>
          <w:color w:val="000000" w:themeColor="text1"/>
          <w:sz w:val="20"/>
          <w:szCs w:val="20"/>
        </w:rPr>
        <w:t xml:space="preserve">. 123, at </w:t>
      </w:r>
      <w:r w:rsidRPr="009975EA">
        <w:rPr>
          <w:rFonts w:ascii="Times New Roman" w:hAnsi="Times New Roman" w:cs="Times New Roman"/>
          <w:color w:val="000000" w:themeColor="text1"/>
          <w:sz w:val="20"/>
          <w:szCs w:val="20"/>
        </w:rPr>
        <w:t>153).</w:t>
      </w:r>
    </w:p>
  </w:footnote>
  <w:footnote w:id="750">
    <w:p w14:paraId="5BF73FF9" w14:textId="6C0DF5DD" w:rsidR="00D36541" w:rsidRPr="009975EA" w:rsidRDefault="00D36541" w:rsidP="00D47B89">
      <w:pPr>
        <w:pStyle w:val="DipnotMetni"/>
        <w:tabs>
          <w:tab w:val="left" w:pos="2218"/>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Riley, p.784.</w:t>
      </w:r>
      <w:r>
        <w:rPr>
          <w:rFonts w:ascii="Times New Roman" w:hAnsi="Times New Roman" w:cs="Times New Roman"/>
          <w:sz w:val="20"/>
          <w:szCs w:val="20"/>
        </w:rPr>
        <w:tab/>
      </w:r>
    </w:p>
  </w:footnote>
  <w:footnote w:id="751">
    <w:p w14:paraId="185E9A5B" w14:textId="6994EB43" w:rsidR="00D36541" w:rsidRPr="009975EA" w:rsidRDefault="00D36541" w:rsidP="009975EA">
      <w:pPr>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Brudney</w:t>
      </w:r>
      <w:proofErr w:type="spellEnd"/>
      <w:r w:rsidRPr="009975EA">
        <w:rPr>
          <w:rFonts w:ascii="Times New Roman" w:hAnsi="Times New Roman" w:cs="Times New Roman"/>
          <w:sz w:val="20"/>
          <w:szCs w:val="20"/>
        </w:rPr>
        <w:t xml:space="preserve">, p. 1420.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context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argument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both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overtrust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eachother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unsophistication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diminishes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sense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contractual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protection</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needed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they</w:t>
      </w:r>
      <w:proofErr w:type="spellEnd"/>
      <w:r w:rsidRPr="009975EA">
        <w:rPr>
          <w:rFonts w:ascii="Times New Roman" w:hAnsi="Times New Roman" w:cs="Times New Roman"/>
          <w:sz w:val="20"/>
          <w:szCs w:val="20"/>
        </w:rPr>
        <w:t xml:space="preserve"> do not </w:t>
      </w:r>
      <w:proofErr w:type="spellStart"/>
      <w:r w:rsidRPr="009975EA">
        <w:rPr>
          <w:rFonts w:ascii="Times New Roman" w:hAnsi="Times New Roman" w:cs="Times New Roman"/>
          <w:sz w:val="20"/>
          <w:szCs w:val="20"/>
        </w:rPr>
        <w:t>make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thing</w:t>
      </w:r>
      <w:r>
        <w:rPr>
          <w:rFonts w:ascii="Times New Roman" w:hAnsi="Times New Roman" w:cs="Times New Roman"/>
          <w:sz w:val="20"/>
          <w:szCs w:val="20"/>
        </w:rPr>
        <w:t>s</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bargaining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issue</w:t>
      </w:r>
      <w:proofErr w:type="spellEnd"/>
      <w:r>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Moll</w:t>
      </w:r>
      <w:proofErr w:type="spellEnd"/>
      <w:r w:rsidRPr="009975EA">
        <w:rPr>
          <w:rFonts w:ascii="Times New Roman" w:hAnsi="Times New Roman" w:cs="Times New Roman"/>
          <w:sz w:val="20"/>
          <w:szCs w:val="20"/>
        </w:rPr>
        <w:t xml:space="preserve">, </w:t>
      </w:r>
      <w:r>
        <w:rPr>
          <w:rFonts w:ascii="Times New Roman" w:hAnsi="Times New Roman" w:cs="Times New Roman"/>
          <w:sz w:val="20"/>
          <w:szCs w:val="20"/>
        </w:rPr>
        <w:t xml:space="preserve">New Louisiana Business, </w:t>
      </w:r>
      <w:r w:rsidRPr="009975EA">
        <w:rPr>
          <w:rFonts w:ascii="Times New Roman" w:hAnsi="Times New Roman" w:cs="Times New Roman"/>
          <w:sz w:val="20"/>
          <w:szCs w:val="20"/>
        </w:rPr>
        <w:t xml:space="preserve">p.491), </w:t>
      </w:r>
      <w:proofErr w:type="spellStart"/>
      <w:r w:rsidRPr="009975EA">
        <w:rPr>
          <w:rFonts w:ascii="Times New Roman" w:hAnsi="Times New Roman" w:cs="Times New Roman"/>
          <w:sz w:val="20"/>
          <w:szCs w:val="20"/>
        </w:rPr>
        <w:t>provides</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justification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unconventional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measures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justification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oppression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remedy</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supported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empirical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evidence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showing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only</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small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percentage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close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elect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covered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special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statutory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provisions</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oppression</w:t>
      </w:r>
      <w:proofErr w:type="spellEnd"/>
      <w:r w:rsidRPr="009975EA">
        <w:rPr>
          <w:rFonts w:ascii="Times New Roman" w:hAnsi="Times New Roman" w:cs="Times New Roman"/>
          <w:sz w:val="20"/>
          <w:szCs w:val="20"/>
        </w:rPr>
        <w:t xml:space="preserve"> in U.S. </w:t>
      </w:r>
      <w:proofErr w:type="spellStart"/>
      <w:r w:rsidRPr="009975EA">
        <w:rPr>
          <w:rFonts w:ascii="Times New Roman" w:hAnsi="Times New Roman" w:cs="Times New Roman"/>
          <w:sz w:val="20"/>
          <w:szCs w:val="20"/>
        </w:rPr>
        <w:t>states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requiring</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election</w:t>
      </w:r>
      <w:proofErr w:type="spellEnd"/>
      <w:r w:rsidRPr="009975EA">
        <w:rPr>
          <w:rFonts w:ascii="Times New Roman" w:hAnsi="Times New Roman" w:cs="Times New Roman"/>
          <w:sz w:val="20"/>
          <w:szCs w:val="20"/>
        </w:rPr>
        <w:t xml:space="preserve"> (Robert B. </w:t>
      </w:r>
      <w:proofErr w:type="spellStart"/>
      <w:r w:rsidRPr="009975EA">
        <w:rPr>
          <w:rFonts w:ascii="Times New Roman" w:hAnsi="Times New Roman" w:cs="Times New Roman"/>
          <w:sz w:val="20"/>
          <w:szCs w:val="20"/>
        </w:rPr>
        <w:t>Thompson</w:t>
      </w:r>
      <w:proofErr w:type="spellEnd"/>
      <w:r w:rsidRPr="009975EA">
        <w:rPr>
          <w:rFonts w:ascii="Times New Roman" w:hAnsi="Times New Roman" w:cs="Times New Roman"/>
          <w:sz w:val="20"/>
          <w:szCs w:val="20"/>
        </w:rPr>
        <w:t xml:space="preserve">, </w:t>
      </w:r>
      <w:proofErr w:type="spellStart"/>
      <w:r w:rsidRPr="00D47B89">
        <w:rPr>
          <w:rFonts w:ascii="Times New Roman" w:hAnsi="Times New Roman" w:cs="Times New Roman"/>
          <w:i/>
          <w:sz w:val="20"/>
          <w:szCs w:val="20"/>
        </w:rPr>
        <w:t>Corporate</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Dissolution</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and</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Shareholders</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Reasonable</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Expectations</w:t>
      </w:r>
      <w:proofErr w:type="spellEnd"/>
      <w:r>
        <w:rPr>
          <w:rFonts w:ascii="Times New Roman" w:hAnsi="Times New Roman" w:cs="Times New Roman"/>
          <w:sz w:val="20"/>
          <w:szCs w:val="20"/>
        </w:rPr>
        <w:t xml:space="preserve">, 66 </w:t>
      </w:r>
      <w:proofErr w:type="spellStart"/>
      <w:r>
        <w:rPr>
          <w:rFonts w:ascii="Times New Roman" w:hAnsi="Times New Roman" w:cs="Times New Roman"/>
          <w:sz w:val="20"/>
          <w:szCs w:val="20"/>
        </w:rPr>
        <w:t>Wash</w:t>
      </w:r>
      <w:proofErr w:type="spellEnd"/>
      <w:r>
        <w:rPr>
          <w:rFonts w:ascii="Times New Roman" w:hAnsi="Times New Roman" w:cs="Times New Roman"/>
          <w:sz w:val="20"/>
          <w:szCs w:val="20"/>
        </w:rPr>
        <w:t xml:space="preserve">. U. L. Q. 193, at </w:t>
      </w:r>
      <w:r w:rsidRPr="009975EA">
        <w:rPr>
          <w:rFonts w:ascii="Times New Roman" w:hAnsi="Times New Roman" w:cs="Times New Roman"/>
          <w:sz w:val="20"/>
          <w:szCs w:val="20"/>
        </w:rPr>
        <w:t xml:space="preserve">226). </w:t>
      </w:r>
    </w:p>
  </w:footnote>
  <w:footnote w:id="752">
    <w:p w14:paraId="68D4E992" w14:textId="26E88CCC"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Under modern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unfairly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surprising</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unenforceable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impounded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example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routinely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hold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unclear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inconspicuous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insurance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violate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insured's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unenforceable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regard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lowered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insured's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premiums</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Eisenberg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Structure</w:t>
      </w:r>
      <w:proofErr w:type="spellEnd"/>
      <w:r w:rsidRPr="009975EA">
        <w:rPr>
          <w:rFonts w:ascii="Times New Roman" w:hAnsi="Times New Roman" w:cs="Times New Roman"/>
          <w:color w:val="000000"/>
          <w:sz w:val="20"/>
          <w:szCs w:val="20"/>
        </w:rPr>
        <w:t xml:space="preserve"> of Corporation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p. 1519)</w:t>
      </w:r>
    </w:p>
  </w:footnote>
  <w:footnote w:id="753">
    <w:p w14:paraId="2BA537F7" w14:textId="7793B98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Re </w:t>
      </w:r>
      <w:proofErr w:type="spellStart"/>
      <w:r w:rsidRPr="009975EA">
        <w:rPr>
          <w:rFonts w:ascii="Times New Roman" w:hAnsi="Times New Roman" w:cs="Times New Roman"/>
          <w:sz w:val="20"/>
          <w:szCs w:val="20"/>
        </w:rPr>
        <w:t>Mediavision</w:t>
      </w:r>
      <w:proofErr w:type="spellEnd"/>
      <w:r w:rsidRPr="009975EA">
        <w:rPr>
          <w:rFonts w:ascii="Times New Roman" w:hAnsi="Times New Roman" w:cs="Times New Roman"/>
          <w:sz w:val="20"/>
          <w:szCs w:val="20"/>
        </w:rPr>
        <w:t xml:space="preserve"> Ltd. [1992] 2 HKC 629: “That management may change, that management could indeed change its own mind.” See, Goshen, p. 423: “Yet, the effectiveness of even an efficient capital market as a protective mechanism is limited. In the United, for example, most public corporations fund their activities by rolling over undistributed profits rather than by raising capital from the public. Thus, if the corporation does not have to turn to the capital market to raise funds, the market cannot control the majority’s ability to expropriate minority shareholders.”</w:t>
      </w:r>
    </w:p>
  </w:footnote>
  <w:footnote w:id="754">
    <w:p w14:paraId="3C91FFE4" w14:textId="23ECC893"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buy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profit-maximization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bought</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prices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reflect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suffer</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loss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profits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sacrificed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Nor</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avoid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economic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results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embarks</w:t>
      </w:r>
      <w:proofErr w:type="spellEnd"/>
      <w:r w:rsidRPr="009975EA">
        <w:rPr>
          <w:rFonts w:ascii="Times New Roman" w:hAnsi="Times New Roman" w:cs="Times New Roman"/>
          <w:color w:val="000000"/>
          <w:sz w:val="20"/>
          <w:szCs w:val="20"/>
        </w:rPr>
        <w:t xml:space="preserve"> on a </w:t>
      </w:r>
      <w:proofErr w:type="spellStart"/>
      <w:r w:rsidRPr="009975EA">
        <w:rPr>
          <w:rFonts w:ascii="Times New Roman" w:hAnsi="Times New Roman" w:cs="Times New Roman"/>
          <w:color w:val="000000"/>
          <w:sz w:val="20"/>
          <w:szCs w:val="20"/>
        </w:rPr>
        <w:t>course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sacrificing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profits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selling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now-expected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decline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future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earnings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capitalized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market </w:t>
      </w:r>
      <w:proofErr w:type="spellStart"/>
      <w:r w:rsidRPr="009975EA">
        <w:rPr>
          <w:rFonts w:ascii="Times New Roman" w:hAnsi="Times New Roman" w:cs="Times New Roman"/>
          <w:color w:val="000000"/>
          <w:sz w:val="20"/>
          <w:szCs w:val="20"/>
        </w:rPr>
        <w:t>price</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sell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Einer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Elhauge</w:t>
      </w:r>
      <w:proofErr w:type="spellEnd"/>
      <w:r w:rsidRPr="009975EA">
        <w:rPr>
          <w:rFonts w:ascii="Times New Roman" w:hAnsi="Times New Roman" w:cs="Times New Roman"/>
          <w:sz w:val="20"/>
          <w:szCs w:val="20"/>
        </w:rPr>
        <w:t xml:space="preserve">, </w:t>
      </w:r>
      <w:proofErr w:type="spellStart"/>
      <w:r w:rsidRPr="00D47B89">
        <w:rPr>
          <w:rFonts w:ascii="Times New Roman" w:hAnsi="Times New Roman" w:cs="Times New Roman"/>
          <w:i/>
          <w:sz w:val="20"/>
          <w:szCs w:val="20"/>
        </w:rPr>
        <w:t>Sacrificing</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Corporate</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Profits</w:t>
      </w:r>
      <w:proofErr w:type="spellEnd"/>
      <w:r w:rsidRPr="00D47B89">
        <w:rPr>
          <w:rFonts w:ascii="Times New Roman" w:hAnsi="Times New Roman" w:cs="Times New Roman"/>
          <w:i/>
          <w:sz w:val="20"/>
          <w:szCs w:val="20"/>
        </w:rPr>
        <w:t xml:space="preserve"> in </w:t>
      </w:r>
      <w:proofErr w:type="spellStart"/>
      <w:r w:rsidRPr="00D47B89">
        <w:rPr>
          <w:rFonts w:ascii="Times New Roman" w:hAnsi="Times New Roman" w:cs="Times New Roman"/>
          <w:i/>
          <w:sz w:val="20"/>
          <w:szCs w:val="20"/>
        </w:rPr>
        <w:t>the</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Public</w:t>
      </w:r>
      <w:proofErr w:type="spellEnd"/>
      <w:r w:rsidRPr="00D47B89">
        <w:rPr>
          <w:rFonts w:ascii="Times New Roman" w:hAnsi="Times New Roman" w:cs="Times New Roman"/>
          <w:i/>
          <w:sz w:val="20"/>
          <w:szCs w:val="20"/>
        </w:rPr>
        <w:t xml:space="preserve"> </w:t>
      </w:r>
      <w:proofErr w:type="spellStart"/>
      <w:r w:rsidRPr="00D47B89">
        <w:rPr>
          <w:rFonts w:ascii="Times New Roman" w:hAnsi="Times New Roman" w:cs="Times New Roman"/>
          <w:i/>
          <w:sz w:val="20"/>
          <w:szCs w:val="20"/>
        </w:rPr>
        <w:t>Interest</w:t>
      </w:r>
      <w:proofErr w:type="spellEnd"/>
      <w:r w:rsidRPr="00D47B89">
        <w:rPr>
          <w:rFonts w:ascii="Times New Roman" w:hAnsi="Times New Roman" w:cs="Times New Roman"/>
          <w:i/>
          <w:sz w:val="20"/>
          <w:szCs w:val="20"/>
        </w:rPr>
        <w:t>,</w:t>
      </w:r>
      <w:r w:rsidRPr="009975EA">
        <w:rPr>
          <w:rFonts w:ascii="Times New Roman" w:hAnsi="Times New Roman" w:cs="Times New Roman"/>
          <w:sz w:val="20"/>
          <w:szCs w:val="20"/>
        </w:rPr>
        <w:t xml:space="preserve"> </w:t>
      </w:r>
      <w:r>
        <w:rPr>
          <w:rFonts w:ascii="Times New Roman" w:hAnsi="Times New Roman" w:cs="Times New Roman"/>
          <w:sz w:val="20"/>
          <w:szCs w:val="20"/>
        </w:rPr>
        <w:t xml:space="preserve">80 N.Y.U. L. </w:t>
      </w:r>
      <w:proofErr w:type="spellStart"/>
      <w:r>
        <w:rPr>
          <w:rFonts w:ascii="Times New Roman" w:hAnsi="Times New Roman" w:cs="Times New Roman"/>
          <w:sz w:val="20"/>
          <w:szCs w:val="20"/>
        </w:rPr>
        <w:t>Rev</w:t>
      </w:r>
      <w:proofErr w:type="spellEnd"/>
      <w:r>
        <w:rPr>
          <w:rFonts w:ascii="Times New Roman" w:hAnsi="Times New Roman" w:cs="Times New Roman"/>
          <w:sz w:val="20"/>
          <w:szCs w:val="20"/>
        </w:rPr>
        <w:t xml:space="preserve">. 733 (2005), at </w:t>
      </w:r>
      <w:r w:rsidRPr="009975EA">
        <w:rPr>
          <w:rFonts w:ascii="Times New Roman" w:hAnsi="Times New Roman" w:cs="Times New Roman"/>
          <w:sz w:val="20"/>
          <w:szCs w:val="20"/>
        </w:rPr>
        <w:t>787)</w:t>
      </w:r>
    </w:p>
  </w:footnote>
  <w:footnote w:id="755">
    <w:p w14:paraId="5C9D91BF" w14:textId="362A4E3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After all, the market price of shares traded on well- developed markets reflects all publicly available information including any misrepresentations, see: Basic Inc. v. Levinson 485 U.S. 224 (1988).</w:t>
      </w:r>
    </w:p>
  </w:footnote>
  <w:footnote w:id="756">
    <w:p w14:paraId="367F7DA1" w14:textId="30D6128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 Canadian case, Westfair Foods Ltd. v. Watt, 1991 ABCA 122, while applying the oppression provision to a publicly traded corporation, expressed this point as follows:</w:t>
      </w:r>
      <w:r w:rsidRPr="009975EA">
        <w:rPr>
          <w:rFonts w:ascii="Times New Roman" w:hAnsi="Times New Roman" w:cs="Times New Roman"/>
          <w:color w:val="000000"/>
          <w:sz w:val="20"/>
          <w:szCs w:val="20"/>
        </w:rPr>
        <w:t> “It is curious, and unusual, for shareholders in a public company to ask a court to order the company buy shares they can sell on the public market. The shares in question are listed on the Winnipeg stock exchange. Particularly if the only complaint is a lack of confidence, the quick, cheap, and simple solution is to sell them. I believe the Court can ask what is really going on here.</w:t>
      </w:r>
      <w:r w:rsidRPr="009975EA">
        <w:rPr>
          <w:rStyle w:val="apple-converted-space"/>
          <w:rFonts w:ascii="Times New Roman" w:hAnsi="Times New Roman" w:cs="Times New Roman"/>
          <w:color w:val="000000"/>
          <w:sz w:val="20"/>
          <w:szCs w:val="20"/>
        </w:rPr>
        <w:t> </w:t>
      </w:r>
      <w:r w:rsidRPr="009975EA">
        <w:rPr>
          <w:rFonts w:ascii="Times New Roman" w:hAnsi="Times New Roman" w:cs="Times New Roman"/>
          <w:color w:val="000000"/>
          <w:sz w:val="20"/>
          <w:szCs w:val="20"/>
        </w:rPr>
        <w:t>The shareholders obviously consider the public market to be grossly under-valued. They seem to believe that the learned Chief Justice has uncovered a valuable right of which the market has been unaware: the right to force purchase at break-up value. At no point in his Reasons did the learned Chief Justice say that the shareholders could force a purchase at break-up value. But he did say that there was oppression, and he did say that the shareholders had a reasonable expectation in the maintenance of a high break-up value.”</w:t>
      </w:r>
    </w:p>
  </w:footnote>
  <w:footnote w:id="757">
    <w:p w14:paraId="768F3CEA" w14:textId="5BF82E6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Douglas K. Moll, </w:t>
      </w:r>
      <w:r w:rsidRPr="00302D8F">
        <w:rPr>
          <w:rFonts w:ascii="Times New Roman" w:hAnsi="Times New Roman" w:cs="Times New Roman"/>
          <w:i/>
          <w:sz w:val="20"/>
          <w:szCs w:val="20"/>
        </w:rPr>
        <w:t>Shareholder Oppression in Close Corporations: The Unanswered Question of Perspective</w:t>
      </w:r>
      <w:r>
        <w:rPr>
          <w:rFonts w:ascii="Times New Roman" w:hAnsi="Times New Roman" w:cs="Times New Roman"/>
          <w:sz w:val="20"/>
          <w:szCs w:val="20"/>
        </w:rPr>
        <w:t xml:space="preserve">, 53 </w:t>
      </w:r>
      <w:proofErr w:type="spellStart"/>
      <w:r>
        <w:rPr>
          <w:rFonts w:ascii="Times New Roman" w:hAnsi="Times New Roman" w:cs="Times New Roman"/>
          <w:sz w:val="20"/>
          <w:szCs w:val="20"/>
        </w:rPr>
        <w:t>Vand</w:t>
      </w:r>
      <w:proofErr w:type="spellEnd"/>
      <w:r>
        <w:rPr>
          <w:rFonts w:ascii="Times New Roman" w:hAnsi="Times New Roman" w:cs="Times New Roman"/>
          <w:sz w:val="20"/>
          <w:szCs w:val="20"/>
        </w:rPr>
        <w:t xml:space="preserve">. L. Rev. 749, at </w:t>
      </w:r>
      <w:r w:rsidRPr="009975EA">
        <w:rPr>
          <w:rFonts w:ascii="Times New Roman" w:hAnsi="Times New Roman" w:cs="Times New Roman"/>
          <w:sz w:val="20"/>
          <w:szCs w:val="20"/>
        </w:rPr>
        <w:t>759.</w:t>
      </w:r>
    </w:p>
  </w:footnote>
  <w:footnote w:id="758">
    <w:p w14:paraId="19A8A122" w14:textId="655E22C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r w:rsidRPr="009975EA">
        <w:rPr>
          <w:rFonts w:ascii="Times New Roman" w:hAnsi="Times New Roman" w:cs="Times New Roman"/>
          <w:sz w:val="20"/>
          <w:szCs w:val="20"/>
        </w:rPr>
        <w:t xml:space="preserve">Moll, </w:t>
      </w:r>
      <w:r>
        <w:rPr>
          <w:rFonts w:ascii="Times New Roman" w:hAnsi="Times New Roman" w:cs="Times New Roman"/>
          <w:sz w:val="20"/>
          <w:szCs w:val="20"/>
        </w:rPr>
        <w:t>Employment at Will, at</w:t>
      </w:r>
      <w:r w:rsidRPr="009975EA">
        <w:rPr>
          <w:rFonts w:ascii="Times New Roman" w:hAnsi="Times New Roman" w:cs="Times New Roman"/>
          <w:sz w:val="20"/>
          <w:szCs w:val="20"/>
        </w:rPr>
        <w:t xml:space="preserve"> 543, claiming market can protect shareholders’ reasonable expectations.</w:t>
      </w:r>
    </w:p>
  </w:footnote>
  <w:footnote w:id="759">
    <w:p w14:paraId="033EEA0A" w14:textId="5D1627BD" w:rsidR="00D36541" w:rsidRPr="00630DC9" w:rsidRDefault="00D36541" w:rsidP="00630DC9">
      <w:pPr>
        <w:pStyle w:val="DipnotMetni"/>
        <w:jc w:val="both"/>
        <w:rPr>
          <w:rFonts w:ascii="Times New Roman" w:hAnsi="Times New Roman" w:cs="Times New Roman"/>
          <w:sz w:val="20"/>
          <w:szCs w:val="20"/>
        </w:rPr>
      </w:pPr>
      <w:r w:rsidRPr="00630DC9">
        <w:rPr>
          <w:rStyle w:val="DipnotBavurusu"/>
          <w:rFonts w:ascii="Times New Roman" w:hAnsi="Times New Roman" w:cs="Times New Roman"/>
          <w:sz w:val="20"/>
          <w:szCs w:val="20"/>
        </w:rPr>
        <w:footnoteRef/>
      </w:r>
      <w:r w:rsidRPr="00630DC9">
        <w:rPr>
          <w:rFonts w:ascii="Times New Roman" w:hAnsi="Times New Roman" w:cs="Times New Roman"/>
          <w:sz w:val="20"/>
          <w:szCs w:val="20"/>
        </w:rPr>
        <w:t xml:space="preserve"> </w:t>
      </w:r>
      <w:r w:rsidRPr="00630DC9">
        <w:rPr>
          <w:rFonts w:ascii="Times New Roman" w:hAnsi="Times New Roman" w:cs="Times New Roman"/>
          <w:sz w:val="20"/>
          <w:szCs w:val="20"/>
          <w:lang w:eastAsia="zh-CN"/>
        </w:rPr>
        <w:t xml:space="preserve">Allen B. Afterman, </w:t>
      </w:r>
      <w:r w:rsidRPr="00630DC9">
        <w:rPr>
          <w:rFonts w:ascii="Times New Roman" w:hAnsi="Times New Roman" w:cs="Times New Roman"/>
          <w:i/>
          <w:iCs/>
          <w:sz w:val="20"/>
          <w:szCs w:val="20"/>
          <w:lang w:eastAsia="zh-CN"/>
        </w:rPr>
        <w:t>Statutory Protection for Oppressed Minority Shareholders: A Model for Reform</w:t>
      </w:r>
      <w:r w:rsidRPr="00630DC9">
        <w:rPr>
          <w:rFonts w:ascii="Times New Roman" w:hAnsi="Times New Roman" w:cs="Times New Roman"/>
          <w:sz w:val="20"/>
          <w:szCs w:val="20"/>
          <w:lang w:eastAsia="zh-CN"/>
        </w:rPr>
        <w:t>, 55 VA. L. REV. 1043 (1969), p. 1067.</w:t>
      </w:r>
    </w:p>
  </w:footnote>
  <w:footnote w:id="760">
    <w:p w14:paraId="48129C21"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different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does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seek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greater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freedom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plan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relationship</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much</w:t>
      </w:r>
      <w:proofErr w:type="spellEnd"/>
      <w:r w:rsidRPr="009975EA">
        <w:rPr>
          <w:rFonts w:ascii="Times New Roman" w:hAnsi="Times New Roman" w:cs="Times New Roman"/>
          <w:color w:val="000000"/>
          <w:sz w:val="20"/>
          <w:szCs w:val="20"/>
        </w:rPr>
        <w:t xml:space="preserve"> as it </w:t>
      </w:r>
      <w:proofErr w:type="spellStart"/>
      <w:r w:rsidRPr="009975EA">
        <w:rPr>
          <w:rFonts w:ascii="Times New Roman" w:hAnsi="Times New Roman" w:cs="Times New Roman"/>
          <w:color w:val="000000"/>
          <w:sz w:val="20"/>
          <w:szCs w:val="20"/>
        </w:rPr>
        <w:t>seeks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provide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means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resolve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conflicts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unlikely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subject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advance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planning</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statute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designed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themselves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denied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effective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participation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return</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close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should</w:t>
      </w:r>
      <w:proofErr w:type="spellEnd"/>
      <w:r w:rsidRPr="009975EA">
        <w:rPr>
          <w:rFonts w:ascii="Times New Roman" w:hAnsi="Times New Roman" w:cs="Times New Roman"/>
          <w:color w:val="000000"/>
          <w:sz w:val="20"/>
          <w:szCs w:val="20"/>
        </w:rPr>
        <w:t xml:space="preserve"> not be </w:t>
      </w:r>
      <w:proofErr w:type="spellStart"/>
      <w:r w:rsidRPr="009975EA">
        <w:rPr>
          <w:rFonts w:ascii="Times New Roman" w:hAnsi="Times New Roman" w:cs="Times New Roman"/>
          <w:color w:val="000000"/>
          <w:sz w:val="20"/>
          <w:szCs w:val="20"/>
        </w:rPr>
        <w:t>conditioned</w:t>
      </w:r>
      <w:proofErr w:type="spellEnd"/>
      <w:r w:rsidRPr="009975EA">
        <w:rPr>
          <w:rFonts w:ascii="Times New Roman" w:hAnsi="Times New Roman" w:cs="Times New Roman"/>
          <w:color w:val="000000"/>
          <w:sz w:val="20"/>
          <w:szCs w:val="20"/>
        </w:rPr>
        <w:t xml:space="preserve"> on an </w:t>
      </w:r>
      <w:proofErr w:type="spellStart"/>
      <w:r w:rsidRPr="009975EA">
        <w:rPr>
          <w:rFonts w:ascii="Times New Roman" w:hAnsi="Times New Roman" w:cs="Times New Roman"/>
          <w:color w:val="000000"/>
          <w:sz w:val="20"/>
          <w:szCs w:val="20"/>
        </w:rPr>
        <w:t>election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effect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assumes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w:t>
      </w:r>
      <w:r w:rsidRPr="009975EA">
        <w:rPr>
          <w:rFonts w:ascii="Times New Roman" w:hAnsi="Times New Roman" w:cs="Times New Roman"/>
          <w:color w:val="000000" w:themeColor="text1"/>
          <w:sz w:val="20"/>
          <w:szCs w:val="20"/>
        </w:rPr>
        <w:t>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will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foresee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evils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might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befall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them</w:t>
      </w:r>
      <w:proofErr w:type="spellEnd"/>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themeColor="text1"/>
          <w:sz w:val="20"/>
          <w:szCs w:val="20"/>
        </w:rPr>
        <w:t>Thompson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Dissolution</w:t>
      </w:r>
      <w:proofErr w:type="spellEnd"/>
      <w:r w:rsidRPr="009975EA">
        <w:rPr>
          <w:rFonts w:ascii="Times New Roman" w:hAnsi="Times New Roman" w:cs="Times New Roman"/>
          <w:color w:val="000000" w:themeColor="text1"/>
          <w:sz w:val="20"/>
          <w:szCs w:val="20"/>
        </w:rPr>
        <w:t>, p.226)</w:t>
      </w:r>
    </w:p>
  </w:footnote>
  <w:footnote w:id="761">
    <w:p w14:paraId="0CFC7F19" w14:textId="1BAB20F1"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variations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structural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might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both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unfairly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surprising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inefficient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impounded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impounded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price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average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likelihood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exploit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provision</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manner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significantly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decrease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wealth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average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quite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small</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many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preferred</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subject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significant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losses</w:t>
      </w:r>
      <w:proofErr w:type="spellEnd"/>
      <w:r w:rsidRPr="009975EA">
        <w:rPr>
          <w:rFonts w:ascii="Times New Roman" w:hAnsi="Times New Roman" w:cs="Times New Roman"/>
          <w:color w:val="000000"/>
          <w:sz w:val="20"/>
          <w:szCs w:val="20"/>
        </w:rPr>
        <w:t xml:space="preserve"> as a </w:t>
      </w:r>
      <w:proofErr w:type="spellStart"/>
      <w:r w:rsidRPr="009975EA">
        <w:rPr>
          <w:rFonts w:ascii="Times New Roman" w:hAnsi="Times New Roman" w:cs="Times New Roman"/>
          <w:color w:val="000000"/>
          <w:sz w:val="20"/>
          <w:szCs w:val="20"/>
        </w:rPr>
        <w:t>result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substantial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nonbusiness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risks</w:t>
      </w:r>
      <w:proofErr w:type="spellEnd"/>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themeColor="text1"/>
          <w:sz w:val="20"/>
          <w:szCs w:val="20"/>
        </w:rPr>
        <w:t>Eisenberg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Structure</w:t>
      </w:r>
      <w:proofErr w:type="spellEnd"/>
      <w:r w:rsidRPr="009975EA">
        <w:rPr>
          <w:rFonts w:ascii="Times New Roman" w:hAnsi="Times New Roman" w:cs="Times New Roman"/>
          <w:color w:val="000000" w:themeColor="text1"/>
          <w:sz w:val="20"/>
          <w:szCs w:val="20"/>
        </w:rPr>
        <w:t xml:space="preserve"> of Corporation </w:t>
      </w:r>
      <w:proofErr w:type="spellStart"/>
      <w:r w:rsidRPr="009975EA">
        <w:rPr>
          <w:rFonts w:ascii="Times New Roman" w:hAnsi="Times New Roman" w:cs="Times New Roman"/>
          <w:color w:val="000000" w:themeColor="text1"/>
          <w:sz w:val="20"/>
          <w:szCs w:val="20"/>
        </w:rPr>
        <w:t>Law</w:t>
      </w:r>
      <w:proofErr w:type="spellEnd"/>
      <w:r w:rsidRPr="009975EA">
        <w:rPr>
          <w:rFonts w:ascii="Times New Roman" w:hAnsi="Times New Roman" w:cs="Times New Roman"/>
          <w:color w:val="000000" w:themeColor="text1"/>
          <w:sz w:val="20"/>
          <w:szCs w:val="20"/>
        </w:rPr>
        <w:t xml:space="preserve">, p. 1521). </w:t>
      </w:r>
      <w:proofErr w:type="spellStart"/>
      <w:r w:rsidRPr="009975EA">
        <w:rPr>
          <w:rFonts w:ascii="Times New Roman" w:hAnsi="Times New Roman" w:cs="Times New Roman"/>
          <w:color w:val="000000" w:themeColor="text1"/>
          <w:sz w:val="20"/>
          <w:szCs w:val="20"/>
        </w:rPr>
        <w:t>Also</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custom</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common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practice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cannot</w:t>
      </w:r>
      <w:proofErr w:type="spellEnd"/>
      <w:r w:rsidRPr="009975EA">
        <w:rPr>
          <w:rFonts w:ascii="Times New Roman" w:hAnsi="Times New Roman" w:cs="Times New Roman"/>
          <w:color w:val="000000" w:themeColor="text1"/>
          <w:sz w:val="20"/>
          <w:szCs w:val="20"/>
        </w:rPr>
        <w:t xml:space="preserve"> be a </w:t>
      </w:r>
      <w:proofErr w:type="spellStart"/>
      <w:r w:rsidRPr="009975EA">
        <w:rPr>
          <w:rFonts w:ascii="Times New Roman" w:hAnsi="Times New Roman" w:cs="Times New Roman"/>
          <w:color w:val="000000" w:themeColor="text1"/>
          <w:sz w:val="20"/>
          <w:szCs w:val="20"/>
        </w:rPr>
        <w:t>defense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violating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people’s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unwaived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rights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Still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this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issue</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sometimes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used</w:t>
      </w:r>
      <w:proofErr w:type="spellEnd"/>
      <w:r w:rsidRPr="009975EA">
        <w:rPr>
          <w:rFonts w:ascii="Times New Roman" w:hAnsi="Times New Roman" w:cs="Times New Roman"/>
          <w:color w:val="000000" w:themeColor="text1"/>
          <w:sz w:val="20"/>
          <w:szCs w:val="20"/>
        </w:rPr>
        <w:t xml:space="preserve"> as a </w:t>
      </w:r>
      <w:proofErr w:type="spellStart"/>
      <w:r w:rsidRPr="009975EA">
        <w:rPr>
          <w:rFonts w:ascii="Times New Roman" w:hAnsi="Times New Roman" w:cs="Times New Roman"/>
          <w:color w:val="000000" w:themeColor="text1"/>
          <w:sz w:val="20"/>
          <w:szCs w:val="20"/>
        </w:rPr>
        <w:t>defense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defendants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see</w:t>
      </w:r>
      <w:proofErr w:type="spellEnd"/>
      <w:r w:rsidRPr="009975EA">
        <w:rPr>
          <w:rFonts w:ascii="Times New Roman" w:hAnsi="Times New Roman" w:cs="Times New Roman"/>
          <w:color w:val="000000" w:themeColor="text1"/>
          <w:sz w:val="20"/>
          <w:szCs w:val="20"/>
        </w:rPr>
        <w:t xml:space="preserve">, U.S. v. </w:t>
      </w:r>
      <w:proofErr w:type="spellStart"/>
      <w:r w:rsidRPr="009975EA">
        <w:rPr>
          <w:rFonts w:ascii="Times New Roman" w:hAnsi="Times New Roman" w:cs="Times New Roman"/>
          <w:color w:val="000000" w:themeColor="text1"/>
          <w:sz w:val="20"/>
          <w:szCs w:val="20"/>
        </w:rPr>
        <w:t>Brookshire</w:t>
      </w:r>
      <w:proofErr w:type="spellEnd"/>
      <w:r w:rsidRPr="009975EA">
        <w:rPr>
          <w:rFonts w:ascii="Times New Roman" w:hAnsi="Times New Roman" w:cs="Times New Roman"/>
          <w:color w:val="000000" w:themeColor="text1"/>
          <w:sz w:val="20"/>
          <w:szCs w:val="20"/>
        </w:rPr>
        <w:t>, 514 F.2d 786 (1975): “</w:t>
      </w:r>
      <w:proofErr w:type="spellStart"/>
      <w:r w:rsidRPr="009975EA">
        <w:rPr>
          <w:rFonts w:ascii="Times New Roman" w:hAnsi="Times New Roman" w:cs="Times New Roman"/>
          <w:color w:val="000000" w:themeColor="text1"/>
          <w:sz w:val="20"/>
          <w:szCs w:val="20"/>
        </w:rPr>
        <w:t>Defendant's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lament</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statute</w:t>
      </w:r>
      <w:proofErr w:type="spellEnd"/>
      <w:r w:rsidRPr="009975EA">
        <w:rPr>
          <w:rFonts w:ascii="Times New Roman" w:hAnsi="Times New Roman" w:cs="Times New Roman"/>
          <w:color w:val="000000" w:themeColor="text1"/>
          <w:sz w:val="20"/>
          <w:szCs w:val="20"/>
        </w:rPr>
        <w:t xml:space="preserve"> has not </w:t>
      </w:r>
      <w:proofErr w:type="spellStart"/>
      <w:r w:rsidRPr="009975EA">
        <w:rPr>
          <w:rFonts w:ascii="Times New Roman" w:hAnsi="Times New Roman" w:cs="Times New Roman"/>
          <w:color w:val="000000" w:themeColor="text1"/>
          <w:sz w:val="20"/>
          <w:szCs w:val="20"/>
        </w:rPr>
        <w:t>been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used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prosecute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others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actions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which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are</w:t>
      </w:r>
      <w:proofErr w:type="spellEnd"/>
      <w:r w:rsidRPr="009975EA">
        <w:rPr>
          <w:rFonts w:ascii="Times New Roman" w:hAnsi="Times New Roman" w:cs="Times New Roman"/>
          <w:color w:val="000000" w:themeColor="text1"/>
          <w:sz w:val="20"/>
          <w:szCs w:val="20"/>
        </w:rPr>
        <w:t xml:space="preserve"> here </w:t>
      </w:r>
      <w:proofErr w:type="spellStart"/>
      <w:r w:rsidRPr="009975EA">
        <w:rPr>
          <w:rFonts w:ascii="Times New Roman" w:hAnsi="Times New Roman" w:cs="Times New Roman"/>
          <w:color w:val="000000" w:themeColor="text1"/>
          <w:sz w:val="20"/>
          <w:szCs w:val="20"/>
        </w:rPr>
        <w:t>admitted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If</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conduct</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proscribed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hyperlink r:id="rId74" w:history="1">
        <w:r w:rsidRPr="009975EA">
          <w:rPr>
            <w:rFonts w:ascii="Times New Roman" w:hAnsi="Times New Roman" w:cs="Times New Roman"/>
            <w:color w:val="000000" w:themeColor="text1"/>
            <w:sz w:val="20"/>
            <w:szCs w:val="20"/>
            <w:u w:val="single"/>
          </w:rPr>
          <w:t>s 656</w:t>
        </w:r>
      </w:hyperlink>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w:t>
      </w:r>
      <w:r w:rsidRPr="009975EA">
        <w:rPr>
          <w:rFonts w:ascii="Times New Roman" w:hAnsi="Times New Roman" w:cs="Times New Roman"/>
          <w:color w:val="212121"/>
          <w:sz w:val="20"/>
          <w:szCs w:val="20"/>
        </w:rPr>
        <w: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prosecution</w:t>
      </w:r>
      <w:proofErr w:type="spellEnd"/>
      <w:r w:rsidRPr="009975EA">
        <w:rPr>
          <w:rFonts w:ascii="Times New Roman" w:hAnsi="Times New Roman" w:cs="Times New Roman"/>
          <w:color w:val="212121"/>
          <w:sz w:val="20"/>
          <w:szCs w:val="20"/>
        </w:rPr>
        <w:t xml:space="preserve"> is </w:t>
      </w:r>
      <w:proofErr w:type="spellStart"/>
      <w:r w:rsidRPr="009975EA">
        <w:rPr>
          <w:rFonts w:ascii="Times New Roman" w:hAnsi="Times New Roman" w:cs="Times New Roman"/>
          <w:color w:val="212121"/>
          <w:sz w:val="20"/>
          <w:szCs w:val="20"/>
        </w:rPr>
        <w:t>within</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ambit</w:t>
      </w:r>
      <w:proofErr w:type="spellEnd"/>
      <w:r w:rsidRPr="009975EA">
        <w:rPr>
          <w:rFonts w:ascii="Times New Roman" w:hAnsi="Times New Roman" w:cs="Times New Roman"/>
          <w:color w:val="212121"/>
          <w:sz w:val="20"/>
          <w:szCs w:val="20"/>
        </w:rPr>
        <w:t xml:space="preserve"> of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congressional</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authorization</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record</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does</w:t>
      </w:r>
      <w:proofErr w:type="spellEnd"/>
      <w:r w:rsidRPr="009975EA">
        <w:rPr>
          <w:rFonts w:ascii="Times New Roman" w:hAnsi="Times New Roman" w:cs="Times New Roman"/>
          <w:color w:val="212121"/>
          <w:sz w:val="20"/>
          <w:szCs w:val="20"/>
        </w:rPr>
        <w:t xml:space="preserve"> not </w:t>
      </w:r>
      <w:proofErr w:type="spellStart"/>
      <w:r w:rsidRPr="009975EA">
        <w:rPr>
          <w:rFonts w:ascii="Times New Roman" w:hAnsi="Times New Roman" w:cs="Times New Roman"/>
          <w:color w:val="212121"/>
          <w:sz w:val="20"/>
          <w:szCs w:val="20"/>
        </w:rPr>
        <w:t>show</w:t>
      </w:r>
      <w:proofErr w:type="spellEnd"/>
      <w:r w:rsidRPr="009975EA">
        <w:rPr>
          <w:rFonts w:ascii="Times New Roman" w:hAnsi="Times New Roman" w:cs="Times New Roman"/>
          <w:color w:val="212121"/>
          <w:sz w:val="20"/>
          <w:szCs w:val="20"/>
        </w:rPr>
        <w:t xml:space="preserve"> a general </w:t>
      </w:r>
      <w:proofErr w:type="spellStart"/>
      <w:r w:rsidRPr="009975EA">
        <w:rPr>
          <w:rFonts w:ascii="Times New Roman" w:hAnsi="Times New Roman" w:cs="Times New Roman"/>
          <w:color w:val="212121"/>
          <w:sz w:val="20"/>
          <w:szCs w:val="20"/>
        </w:rPr>
        <w:t>banking</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practice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to</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use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interbank</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deposits</w:t>
      </w:r>
      <w:proofErr w:type="spellEnd"/>
      <w:r w:rsidRPr="009975EA">
        <w:rPr>
          <w:rFonts w:ascii="Times New Roman" w:hAnsi="Times New Roman" w:cs="Times New Roman"/>
          <w:color w:val="212121"/>
          <w:sz w:val="20"/>
          <w:szCs w:val="20"/>
        </w:rPr>
        <w:t xml:space="preserve"> as </w:t>
      </w:r>
      <w:proofErr w:type="spellStart"/>
      <w:r w:rsidRPr="009975EA">
        <w:rPr>
          <w:rFonts w:ascii="Times New Roman" w:hAnsi="Times New Roman" w:cs="Times New Roman"/>
          <w:color w:val="212121"/>
          <w:sz w:val="20"/>
          <w:szCs w:val="20"/>
        </w:rPr>
        <w:t>compensating</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balances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for</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personal</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loans</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to</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officers</w:t>
      </w:r>
      <w:proofErr w:type="spellEnd"/>
      <w:r w:rsidRPr="009975EA">
        <w:rPr>
          <w:rFonts w:ascii="Times New Roman" w:hAnsi="Times New Roman" w:cs="Times New Roman"/>
          <w:color w:val="212121"/>
          <w:sz w:val="20"/>
          <w:szCs w:val="20"/>
        </w:rPr>
        <w:t xml:space="preserve"> of </w:t>
      </w:r>
      <w:proofErr w:type="spellStart"/>
      <w:r w:rsidRPr="009975EA">
        <w:rPr>
          <w:rFonts w:ascii="Times New Roman" w:hAnsi="Times New Roman" w:cs="Times New Roman"/>
          <w:color w:val="212121"/>
          <w:sz w:val="20"/>
          <w:szCs w:val="20"/>
        </w:rPr>
        <w:t>the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depositing</w:t>
      </w:r>
      <w:proofErr w:type="spellEnd"/>
      <w:r w:rsidRPr="009975EA">
        <w:rPr>
          <w:rFonts w:ascii="Times New Roman" w:hAnsi="Times New Roman" w:cs="Times New Roman"/>
          <w:color w:val="212121"/>
          <w:sz w:val="20"/>
          <w:szCs w:val="20"/>
        </w:rPr>
        <w:t xml:space="preserve"> bank. </w:t>
      </w:r>
      <w:proofErr w:type="spellStart"/>
      <w:r w:rsidRPr="009975EA">
        <w:rPr>
          <w:rFonts w:ascii="Times New Roman" w:hAnsi="Times New Roman" w:cs="Times New Roman"/>
          <w:color w:val="212121"/>
          <w:sz w:val="20"/>
          <w:szCs w:val="20"/>
        </w:rPr>
        <w:t>Even</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if</w:t>
      </w:r>
      <w:proofErr w:type="spellEnd"/>
      <w:r w:rsidRPr="009975EA">
        <w:rPr>
          <w:rFonts w:ascii="Times New Roman" w:hAnsi="Times New Roman" w:cs="Times New Roman"/>
          <w:color w:val="212121"/>
          <w:sz w:val="20"/>
          <w:szCs w:val="20"/>
        </w:rPr>
        <w:t xml:space="preserve"> it </w:t>
      </w:r>
      <w:proofErr w:type="spellStart"/>
      <w:r w:rsidRPr="009975EA">
        <w:rPr>
          <w:rFonts w:ascii="Times New Roman" w:hAnsi="Times New Roman" w:cs="Times New Roman"/>
          <w:color w:val="212121"/>
          <w:sz w:val="20"/>
          <w:szCs w:val="20"/>
        </w:rPr>
        <w:t>did</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custom</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and</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usage</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involving</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criminality</w:t>
      </w:r>
      <w:proofErr w:type="spellEnd"/>
      <w:r w:rsidRPr="009975EA">
        <w:rPr>
          <w:rFonts w:ascii="Times New Roman" w:hAnsi="Times New Roman" w:cs="Times New Roman"/>
          <w:color w:val="212121"/>
          <w:sz w:val="20"/>
          <w:szCs w:val="20"/>
        </w:rPr>
        <w:t xml:space="preserve"> do not </w:t>
      </w:r>
      <w:proofErr w:type="spellStart"/>
      <w:r w:rsidRPr="009975EA">
        <w:rPr>
          <w:rFonts w:ascii="Times New Roman" w:hAnsi="Times New Roman" w:cs="Times New Roman"/>
          <w:color w:val="212121"/>
          <w:sz w:val="20"/>
          <w:szCs w:val="20"/>
        </w:rPr>
        <w:t>defeat</w:t>
      </w:r>
      <w:proofErr w:type="spellEnd"/>
      <w:r w:rsidRPr="009975EA">
        <w:rPr>
          <w:rFonts w:ascii="Times New Roman" w:hAnsi="Times New Roman" w:cs="Times New Roman"/>
          <w:color w:val="212121"/>
          <w:sz w:val="20"/>
          <w:szCs w:val="20"/>
        </w:rPr>
        <w:t xml:space="preserve"> a </w:t>
      </w:r>
      <w:proofErr w:type="spellStart"/>
      <w:r w:rsidRPr="009975EA">
        <w:rPr>
          <w:rFonts w:ascii="Times New Roman" w:hAnsi="Times New Roman" w:cs="Times New Roman"/>
          <w:color w:val="212121"/>
          <w:sz w:val="20"/>
          <w:szCs w:val="20"/>
        </w:rPr>
        <w:t>prosecution</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for</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violation</w:t>
      </w:r>
      <w:proofErr w:type="spellEnd"/>
      <w:r w:rsidRPr="009975EA">
        <w:rPr>
          <w:rFonts w:ascii="Times New Roman" w:hAnsi="Times New Roman" w:cs="Times New Roman"/>
          <w:color w:val="212121"/>
          <w:sz w:val="20"/>
          <w:szCs w:val="20"/>
        </w:rPr>
        <w:t xml:space="preserve"> of a federal </w:t>
      </w:r>
      <w:proofErr w:type="spellStart"/>
      <w:r w:rsidRPr="009975EA">
        <w:rPr>
          <w:rFonts w:ascii="Times New Roman" w:hAnsi="Times New Roman" w:cs="Times New Roman"/>
          <w:color w:val="212121"/>
          <w:sz w:val="20"/>
          <w:szCs w:val="20"/>
        </w:rPr>
        <w:t>criminal</w:t>
      </w:r>
      <w:proofErr w:type="spellEnd"/>
      <w:r w:rsidRPr="009975EA">
        <w:rPr>
          <w:rFonts w:ascii="Times New Roman" w:hAnsi="Times New Roman" w:cs="Times New Roman"/>
          <w:color w:val="212121"/>
          <w:sz w:val="20"/>
          <w:szCs w:val="20"/>
        </w:rPr>
        <w:t xml:space="preserve"> </w:t>
      </w:r>
      <w:proofErr w:type="spellStart"/>
      <w:r w:rsidRPr="009975EA">
        <w:rPr>
          <w:rFonts w:ascii="Times New Roman" w:hAnsi="Times New Roman" w:cs="Times New Roman"/>
          <w:color w:val="212121"/>
          <w:sz w:val="20"/>
          <w:szCs w:val="20"/>
        </w:rPr>
        <w:t>statute</w:t>
      </w:r>
      <w:proofErr w:type="spellEnd"/>
      <w:r w:rsidRPr="009975EA">
        <w:rPr>
          <w:rFonts w:ascii="Times New Roman" w:hAnsi="Times New Roman" w:cs="Times New Roman"/>
          <w:color w:val="212121"/>
          <w:sz w:val="20"/>
          <w:szCs w:val="20"/>
        </w:rPr>
        <w:t>.”</w:t>
      </w:r>
    </w:p>
  </w:footnote>
  <w:footnote w:id="762">
    <w:p w14:paraId="0A65FB92" w14:textId="78DA7F00"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Furthermore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variations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structural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known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meaningfully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even</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closely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bargaining</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occur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variations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should</w:t>
      </w:r>
      <w:proofErr w:type="spellEnd"/>
      <w:r w:rsidRPr="009975EA">
        <w:rPr>
          <w:rFonts w:ascii="Times New Roman" w:hAnsi="Times New Roman" w:cs="Times New Roman"/>
          <w:color w:val="000000"/>
          <w:sz w:val="20"/>
          <w:szCs w:val="20"/>
        </w:rPr>
        <w:t xml:space="preserve"> not be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enforceable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variations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systematically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underinformed</w:t>
      </w:r>
      <w:proofErr w:type="spellEnd"/>
      <w:r w:rsidRPr="009975EA">
        <w:rPr>
          <w:rFonts w:ascii="Times New Roman" w:hAnsi="Times New Roman" w:cs="Times New Roman"/>
          <w:color w:val="000000"/>
          <w:sz w:val="20"/>
          <w:szCs w:val="20"/>
        </w:rPr>
        <w:t>.</w:t>
      </w:r>
      <w:r w:rsidRPr="009975EA">
        <w:rPr>
          <w:rFonts w:ascii="Times New Roman" w:hAnsi="Times New Roman" w:cs="Times New Roman"/>
          <w:color w:val="0000FF"/>
          <w:position w:val="13"/>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quality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variations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even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weaker</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publicly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bargaining</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almost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impossible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knowledge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variation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meaning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implications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typically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lacking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problem of </w:t>
      </w:r>
      <w:proofErr w:type="spellStart"/>
      <w:r w:rsidRPr="009975EA">
        <w:rPr>
          <w:rFonts w:ascii="Times New Roman" w:hAnsi="Times New Roman" w:cs="Times New Roman"/>
          <w:color w:val="000000"/>
          <w:sz w:val="20"/>
          <w:szCs w:val="20"/>
        </w:rPr>
        <w:t>systematically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underinformed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apply</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structural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just</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core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govern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traditional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conflicts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structural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govern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positional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conflicts</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Persons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proposed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buy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publicly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therefore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either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resources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determine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subject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constrain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unfair</w:t>
      </w:r>
      <w:proofErr w:type="spellEnd"/>
      <w:r w:rsidRPr="009975EA">
        <w:rPr>
          <w:rFonts w:ascii="Times New Roman" w:hAnsi="Times New Roman" w:cs="Times New Roman"/>
          <w:color w:val="000000"/>
          <w:sz w:val="20"/>
          <w:szCs w:val="20"/>
        </w:rPr>
        <w:t xml:space="preserve"> self-</w:t>
      </w:r>
      <w:proofErr w:type="spellStart"/>
      <w:r w:rsidRPr="009975EA">
        <w:rPr>
          <w:rFonts w:ascii="Times New Roman" w:hAnsi="Times New Roman" w:cs="Times New Roman"/>
          <w:color w:val="000000"/>
          <w:sz w:val="20"/>
          <w:szCs w:val="20"/>
        </w:rPr>
        <w:t>dealing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shirking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positional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conflicts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top </w:t>
      </w:r>
      <w:proofErr w:type="spellStart"/>
      <w:r w:rsidRPr="009975EA">
        <w:rPr>
          <w:rFonts w:ascii="Times New Roman" w:hAnsi="Times New Roman" w:cs="Times New Roman"/>
          <w:color w:val="000000"/>
          <w:sz w:val="20"/>
          <w:szCs w:val="20"/>
        </w:rPr>
        <w:t>managers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assume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had </w:t>
      </w:r>
      <w:proofErr w:type="spellStart"/>
      <w:r w:rsidRPr="009975EA">
        <w:rPr>
          <w:rFonts w:ascii="Times New Roman" w:hAnsi="Times New Roman" w:cs="Times New Roman"/>
          <w:color w:val="000000"/>
          <w:sz w:val="20"/>
          <w:szCs w:val="20"/>
        </w:rPr>
        <w:t>adopted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variations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Either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markets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efficient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either</w:t>
      </w:r>
      <w:proofErr w:type="spellEnd"/>
      <w:r w:rsidRPr="009975EA">
        <w:rPr>
          <w:rFonts w:ascii="Times New Roman" w:hAnsi="Times New Roman" w:cs="Times New Roman"/>
          <w:color w:val="000000"/>
          <w:sz w:val="20"/>
          <w:szCs w:val="20"/>
        </w:rPr>
        <w:t xml:space="preserve"> put </w:t>
      </w:r>
      <w:proofErr w:type="spellStart"/>
      <w:r w:rsidRPr="009975EA">
        <w:rPr>
          <w:rFonts w:ascii="Times New Roman" w:hAnsi="Times New Roman" w:cs="Times New Roman"/>
          <w:color w:val="000000"/>
          <w:sz w:val="20"/>
          <w:szCs w:val="20"/>
        </w:rPr>
        <w:t>less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money</w:t>
      </w:r>
      <w:proofErr w:type="spellEnd"/>
      <w:r w:rsidRPr="009975EA">
        <w:rPr>
          <w:rFonts w:ascii="Times New Roman" w:hAnsi="Times New Roman" w:cs="Times New Roman"/>
          <w:color w:val="000000"/>
          <w:sz w:val="20"/>
          <w:szCs w:val="20"/>
        </w:rPr>
        <w:t xml:space="preserve"> *1523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securities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demand</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higher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return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securities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otherwise</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Eisenberg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Structure</w:t>
      </w:r>
      <w:proofErr w:type="spellEnd"/>
      <w:r w:rsidRPr="009975EA">
        <w:rPr>
          <w:rFonts w:ascii="Times New Roman" w:hAnsi="Times New Roman" w:cs="Times New Roman"/>
          <w:color w:val="000000"/>
          <w:sz w:val="20"/>
          <w:szCs w:val="20"/>
        </w:rPr>
        <w:t xml:space="preserve"> of Corporation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p. 1522)</w:t>
      </w:r>
    </w:p>
  </w:footnote>
  <w:footnote w:id="763">
    <w:p w14:paraId="29DA4F5E"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However, see </w:t>
      </w:r>
      <w:proofErr w:type="spellStart"/>
      <w:r w:rsidRPr="009975EA">
        <w:rPr>
          <w:rFonts w:ascii="Times New Roman" w:hAnsi="Times New Roman" w:cs="Times New Roman"/>
          <w:sz w:val="20"/>
          <w:szCs w:val="20"/>
        </w:rPr>
        <w:t>Khimji</w:t>
      </w:r>
      <w:proofErr w:type="spellEnd"/>
      <w:r w:rsidRPr="009975EA">
        <w:rPr>
          <w:rFonts w:ascii="Times New Roman" w:hAnsi="Times New Roman" w:cs="Times New Roman"/>
          <w:sz w:val="20"/>
          <w:szCs w:val="20"/>
        </w:rPr>
        <w:t xml:space="preserve">/Viner, p. 159, arguing that “in the minority shareholder- public corporation context, these default terms are </w:t>
      </w:r>
      <w:proofErr w:type="gramStart"/>
      <w:r w:rsidRPr="009975EA">
        <w:rPr>
          <w:rFonts w:ascii="Times New Roman" w:hAnsi="Times New Roman" w:cs="Times New Roman"/>
          <w:sz w:val="20"/>
          <w:szCs w:val="20"/>
        </w:rPr>
        <w:t>sufficient</w:t>
      </w:r>
      <w:proofErr w:type="gramEnd"/>
      <w:r w:rsidRPr="009975EA">
        <w:rPr>
          <w:rFonts w:ascii="Times New Roman" w:hAnsi="Times New Roman" w:cs="Times New Roman"/>
          <w:sz w:val="20"/>
          <w:szCs w:val="20"/>
        </w:rPr>
        <w:t xml:space="preserve"> and the oppression action is neither an efficient not fair default term.”</w:t>
      </w:r>
    </w:p>
  </w:footnote>
  <w:footnote w:id="764">
    <w:p w14:paraId="7AE28A26"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Khimji</w:t>
      </w:r>
      <w:proofErr w:type="spellEnd"/>
      <w:r w:rsidRPr="009975EA">
        <w:rPr>
          <w:rFonts w:ascii="Times New Roman" w:hAnsi="Times New Roman" w:cs="Times New Roman"/>
          <w:sz w:val="20"/>
          <w:szCs w:val="20"/>
        </w:rPr>
        <w:t>/Viner, p.142.</w:t>
      </w:r>
    </w:p>
  </w:footnote>
  <w:footnote w:id="765">
    <w:p w14:paraId="4C837F5C" w14:textId="7131C94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a similar evaluation in the context of fiduciary duties, see, </w:t>
      </w:r>
      <w:proofErr w:type="spellStart"/>
      <w:r w:rsidRPr="009975EA">
        <w:rPr>
          <w:rFonts w:ascii="Times New Roman" w:hAnsi="Times New Roman" w:cs="Times New Roman"/>
          <w:sz w:val="20"/>
          <w:szCs w:val="20"/>
        </w:rPr>
        <w:t>Walta</w:t>
      </w:r>
      <w:proofErr w:type="spellEnd"/>
      <w:r w:rsidRPr="009975EA">
        <w:rPr>
          <w:rFonts w:ascii="Times New Roman" w:hAnsi="Times New Roman" w:cs="Times New Roman"/>
          <w:sz w:val="20"/>
          <w:szCs w:val="20"/>
        </w:rPr>
        <w:t xml:space="preserve"> v. Gallegos Law Firm, P.C., 131 N.M. 544 (2001): “We pause to note that the fiduciary duty we define here is a default </w:t>
      </w:r>
      <w:proofErr w:type="spellStart"/>
      <w:r w:rsidRPr="009975EA">
        <w:rPr>
          <w:rFonts w:ascii="Times New Roman" w:hAnsi="Times New Roman" w:cs="Times New Roman"/>
          <w:sz w:val="20"/>
          <w:szCs w:val="20"/>
        </w:rPr>
        <w:t>standanrd</w:t>
      </w:r>
      <w:proofErr w:type="spellEnd"/>
      <w:r w:rsidRPr="009975EA">
        <w:rPr>
          <w:rFonts w:ascii="Times New Roman" w:hAnsi="Times New Roman" w:cs="Times New Roman"/>
          <w:sz w:val="20"/>
          <w:szCs w:val="20"/>
        </w:rPr>
        <w:t xml:space="preserve"> applicable in the absence of a contrary agreement between shareholders. Shareholders are free to agree to different standards as long as the essence of right conduct is preserved.”.</w:t>
      </w:r>
    </w:p>
  </w:footnote>
  <w:footnote w:id="766">
    <w:p w14:paraId="5FDABE80" w14:textId="5523CCF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Morris, p. 102.</w:t>
      </w:r>
    </w:p>
  </w:footnote>
  <w:footnote w:id="767">
    <w:p w14:paraId="6B996EBF" w14:textId="6BA747A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example, Sec. 7.32 of the MBCA (2011) states that a shareholders’ agreement will be effective among the shareholders (and their transferees) and the corporation, even though it is inconsistent with certain “mandatory” provisions of the Act, provided that it is approved by all persons who are shareholders at the time of the agreement, and the agreement is made known to the corporation or set forth in the articles of incorporation or bylaws, but it will cease to be effective after 10 years or when the corporation becomes a publicly traded corporation.</w:t>
      </w:r>
    </w:p>
  </w:footnote>
  <w:footnote w:id="768">
    <w:p w14:paraId="216C9D4D" w14:textId="230BCFE3"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a role in </w:t>
      </w:r>
      <w:proofErr w:type="spellStart"/>
      <w:r w:rsidRPr="009975EA">
        <w:rPr>
          <w:rFonts w:ascii="Times New Roman" w:hAnsi="Times New Roman" w:cs="Times New Roman"/>
          <w:color w:val="000000"/>
          <w:sz w:val="20"/>
          <w:szCs w:val="20"/>
        </w:rPr>
        <w:t>establishing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legitimate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particular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bear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issue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legitimate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being</w:t>
      </w:r>
      <w:proofErr w:type="spellEnd"/>
      <w:r w:rsidRPr="009975EA">
        <w:rPr>
          <w:rFonts w:ascii="Times New Roman" w:hAnsi="Times New Roman" w:cs="Times New Roman"/>
          <w:color w:val="000000"/>
          <w:sz w:val="20"/>
          <w:szCs w:val="20"/>
        </w:rPr>
        <w:t xml:space="preserve"> met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thwarted</w:t>
      </w:r>
      <w:proofErr w:type="spellEnd"/>
      <w:r w:rsidRPr="009975EA">
        <w:rPr>
          <w:rFonts w:ascii="Times New Roman" w:hAnsi="Times New Roman" w:cs="Times New Roman"/>
          <w:color w:val="000000"/>
          <w:sz w:val="20"/>
          <w:szCs w:val="20"/>
        </w:rPr>
        <w:t xml:space="preserve">.” (Michael J. </w:t>
      </w:r>
      <w:proofErr w:type="spellStart"/>
      <w:r w:rsidRPr="009975EA">
        <w:rPr>
          <w:rFonts w:ascii="Times New Roman" w:hAnsi="Times New Roman" w:cs="Times New Roman"/>
          <w:color w:val="000000"/>
          <w:sz w:val="20"/>
          <w:szCs w:val="20"/>
        </w:rPr>
        <w:t>Duffy</w:t>
      </w:r>
      <w:proofErr w:type="spellEnd"/>
      <w:r w:rsidRPr="009975EA">
        <w:rPr>
          <w:rFonts w:ascii="Times New Roman" w:hAnsi="Times New Roman" w:cs="Times New Roman"/>
          <w:color w:val="000000"/>
          <w:sz w:val="20"/>
          <w:szCs w:val="20"/>
        </w:rPr>
        <w:t xml:space="preserve">, </w:t>
      </w:r>
      <w:proofErr w:type="spellStart"/>
      <w:r w:rsidRPr="00302D8F">
        <w:rPr>
          <w:rFonts w:ascii="Times New Roman" w:hAnsi="Times New Roman" w:cs="Times New Roman"/>
          <w:i/>
          <w:color w:val="000000"/>
          <w:sz w:val="20"/>
          <w:szCs w:val="20"/>
        </w:rPr>
        <w:t>Shareholders</w:t>
      </w:r>
      <w:proofErr w:type="spellEnd"/>
      <w:r w:rsidRPr="00302D8F">
        <w:rPr>
          <w:rFonts w:ascii="Times New Roman" w:hAnsi="Times New Roman" w:cs="Times New Roman"/>
          <w:i/>
          <w:color w:val="000000"/>
          <w:sz w:val="20"/>
          <w:szCs w:val="20"/>
        </w:rPr>
        <w:t xml:space="preserve"> </w:t>
      </w:r>
      <w:proofErr w:type="spellStart"/>
      <w:r w:rsidRPr="00302D8F">
        <w:rPr>
          <w:rFonts w:ascii="Times New Roman" w:hAnsi="Times New Roman" w:cs="Times New Roman"/>
          <w:i/>
          <w:color w:val="000000"/>
          <w:sz w:val="20"/>
          <w:szCs w:val="20"/>
        </w:rPr>
        <w:t>Agreements</w:t>
      </w:r>
      <w:proofErr w:type="spellEnd"/>
      <w:r w:rsidRPr="00302D8F">
        <w:rPr>
          <w:rFonts w:ascii="Times New Roman" w:hAnsi="Times New Roman" w:cs="Times New Roman"/>
          <w:i/>
          <w:color w:val="000000"/>
          <w:sz w:val="20"/>
          <w:szCs w:val="20"/>
        </w:rPr>
        <w:t xml:space="preserve"> </w:t>
      </w:r>
      <w:proofErr w:type="spellStart"/>
      <w:r w:rsidRPr="00302D8F">
        <w:rPr>
          <w:rFonts w:ascii="Times New Roman" w:hAnsi="Times New Roman" w:cs="Times New Roman"/>
          <w:i/>
          <w:color w:val="000000"/>
          <w:sz w:val="20"/>
          <w:szCs w:val="20"/>
        </w:rPr>
        <w:t>and</w:t>
      </w:r>
      <w:proofErr w:type="spellEnd"/>
      <w:r w:rsidRPr="00302D8F">
        <w:rPr>
          <w:rFonts w:ascii="Times New Roman" w:hAnsi="Times New Roman" w:cs="Times New Roman"/>
          <w:i/>
          <w:color w:val="000000"/>
          <w:sz w:val="20"/>
          <w:szCs w:val="20"/>
        </w:rPr>
        <w:t xml:space="preserve"> </w:t>
      </w:r>
      <w:proofErr w:type="spellStart"/>
      <w:r w:rsidRPr="00302D8F">
        <w:rPr>
          <w:rFonts w:ascii="Times New Roman" w:hAnsi="Times New Roman" w:cs="Times New Roman"/>
          <w:i/>
          <w:color w:val="000000"/>
          <w:sz w:val="20"/>
          <w:szCs w:val="20"/>
        </w:rPr>
        <w:t>Shareholders</w:t>
      </w:r>
      <w:proofErr w:type="spellEnd"/>
      <w:r w:rsidRPr="00302D8F">
        <w:rPr>
          <w:rFonts w:ascii="Times New Roman" w:hAnsi="Times New Roman" w:cs="Times New Roman"/>
          <w:i/>
          <w:color w:val="000000"/>
          <w:sz w:val="20"/>
          <w:szCs w:val="20"/>
        </w:rPr>
        <w:t xml:space="preserve">’ </w:t>
      </w:r>
      <w:proofErr w:type="spellStart"/>
      <w:r w:rsidRPr="00302D8F">
        <w:rPr>
          <w:rFonts w:ascii="Times New Roman" w:hAnsi="Times New Roman" w:cs="Times New Roman"/>
          <w:i/>
          <w:color w:val="000000"/>
          <w:sz w:val="20"/>
          <w:szCs w:val="20"/>
        </w:rPr>
        <w:t>Remedies</w:t>
      </w:r>
      <w:proofErr w:type="spellEnd"/>
      <w:r w:rsidRPr="00302D8F">
        <w:rPr>
          <w:rFonts w:ascii="Times New Roman" w:hAnsi="Times New Roman" w:cs="Times New Roman"/>
          <w:i/>
          <w:color w:val="000000"/>
          <w:sz w:val="20"/>
          <w:szCs w:val="20"/>
        </w:rPr>
        <w:t xml:space="preserve">: </w:t>
      </w:r>
      <w:proofErr w:type="spellStart"/>
      <w:r w:rsidRPr="00302D8F">
        <w:rPr>
          <w:rFonts w:ascii="Times New Roman" w:hAnsi="Times New Roman" w:cs="Times New Roman"/>
          <w:i/>
          <w:color w:val="000000"/>
          <w:sz w:val="20"/>
          <w:szCs w:val="20"/>
        </w:rPr>
        <w:t>Contracts</w:t>
      </w:r>
      <w:proofErr w:type="spellEnd"/>
      <w:r w:rsidRPr="00302D8F">
        <w:rPr>
          <w:rFonts w:ascii="Times New Roman" w:hAnsi="Times New Roman" w:cs="Times New Roman"/>
          <w:i/>
          <w:color w:val="000000"/>
          <w:sz w:val="20"/>
          <w:szCs w:val="20"/>
        </w:rPr>
        <w:t xml:space="preserve"> </w:t>
      </w:r>
      <w:proofErr w:type="spellStart"/>
      <w:r w:rsidRPr="00302D8F">
        <w:rPr>
          <w:rFonts w:ascii="Times New Roman" w:hAnsi="Times New Roman" w:cs="Times New Roman"/>
          <w:i/>
          <w:color w:val="000000"/>
          <w:sz w:val="20"/>
          <w:szCs w:val="20"/>
        </w:rPr>
        <w:t>Versus</w:t>
      </w:r>
      <w:proofErr w:type="spellEnd"/>
      <w:r w:rsidRPr="00302D8F">
        <w:rPr>
          <w:rFonts w:ascii="Times New Roman" w:hAnsi="Times New Roman" w:cs="Times New Roman"/>
          <w:i/>
          <w:color w:val="000000"/>
          <w:sz w:val="20"/>
          <w:szCs w:val="20"/>
        </w:rPr>
        <w:t xml:space="preserve"> </w:t>
      </w:r>
      <w:proofErr w:type="spellStart"/>
      <w:r w:rsidRPr="00302D8F">
        <w:rPr>
          <w:rFonts w:ascii="Times New Roman" w:hAnsi="Times New Roman" w:cs="Times New Roman"/>
          <w:i/>
          <w:color w:val="000000"/>
          <w:sz w:val="20"/>
          <w:szCs w:val="20"/>
        </w:rPr>
        <w:t>Statute</w:t>
      </w:r>
      <w:proofErr w:type="spellEnd"/>
      <w:r w:rsidRPr="00302D8F">
        <w:rPr>
          <w:rFonts w:ascii="Times New Roman" w:hAnsi="Times New Roman" w:cs="Times New Roman"/>
          <w:i/>
          <w:color w:val="000000"/>
          <w:sz w:val="20"/>
          <w:szCs w:val="20"/>
        </w:rPr>
        <w:t>?</w:t>
      </w:r>
      <w:r>
        <w:rPr>
          <w:rFonts w:ascii="Times New Roman" w:hAnsi="Times New Roman" w:cs="Times New Roman"/>
          <w:color w:val="000000"/>
          <w:sz w:val="20"/>
          <w:szCs w:val="20"/>
        </w:rPr>
        <w:t xml:space="preserve"> 20 Bond. L. </w:t>
      </w:r>
      <w:proofErr w:type="spellStart"/>
      <w:r>
        <w:rPr>
          <w:rFonts w:ascii="Times New Roman" w:hAnsi="Times New Roman" w:cs="Times New Roman"/>
          <w:color w:val="000000"/>
          <w:sz w:val="20"/>
          <w:szCs w:val="20"/>
        </w:rPr>
        <w:t>Rev</w:t>
      </w:r>
      <w:proofErr w:type="spellEnd"/>
      <w:r>
        <w:rPr>
          <w:rFonts w:ascii="Times New Roman" w:hAnsi="Times New Roman" w:cs="Times New Roman"/>
          <w:color w:val="000000"/>
          <w:sz w:val="20"/>
          <w:szCs w:val="20"/>
        </w:rPr>
        <w:t xml:space="preserve">. 1 (2008), at </w:t>
      </w:r>
      <w:r w:rsidRPr="009975EA">
        <w:rPr>
          <w:rFonts w:ascii="Times New Roman" w:hAnsi="Times New Roman" w:cs="Times New Roman"/>
          <w:color w:val="000000"/>
          <w:sz w:val="20"/>
          <w:szCs w:val="20"/>
        </w:rPr>
        <w:t>2)</w:t>
      </w:r>
    </w:p>
  </w:footnote>
  <w:footnote w:id="769">
    <w:p w14:paraId="115D6683" w14:textId="6B3F5EA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CML is promulgated under the authority given by Article 167(1) of the Constitution, which states that “the State shall take the measures to ensure and promote the healthy and orderly functioning of the markets for… capital</w:t>
      </w:r>
      <w:proofErr w:type="gramStart"/>
      <w:r w:rsidRPr="009975EA">
        <w:rPr>
          <w:rFonts w:ascii="Times New Roman" w:hAnsi="Times New Roman" w:cs="Times New Roman"/>
          <w:sz w:val="20"/>
          <w:szCs w:val="20"/>
        </w:rPr>
        <w:t>… ”</w:t>
      </w:r>
      <w:proofErr w:type="gramEnd"/>
      <w:r w:rsidRPr="009975EA">
        <w:rPr>
          <w:rFonts w:ascii="Times New Roman" w:hAnsi="Times New Roman" w:cs="Times New Roman"/>
          <w:sz w:val="20"/>
          <w:szCs w:val="20"/>
        </w:rPr>
        <w:t xml:space="preserve">. In this sense, the objective of the CML is not to regulate mere private law activities but has a public law aspect (Erdogan </w:t>
      </w:r>
      <w:proofErr w:type="spellStart"/>
      <w:r w:rsidRPr="009975EA">
        <w:rPr>
          <w:rFonts w:ascii="Times New Roman" w:hAnsi="Times New Roman" w:cs="Times New Roman"/>
          <w:sz w:val="20"/>
          <w:szCs w:val="20"/>
        </w:rPr>
        <w:t>Moroglu</w:t>
      </w:r>
      <w:proofErr w:type="spellEnd"/>
      <w:r w:rsidRPr="009975EA">
        <w:rPr>
          <w:rFonts w:ascii="Times New Roman" w:hAnsi="Times New Roman" w:cs="Times New Roman"/>
          <w:sz w:val="20"/>
          <w:szCs w:val="20"/>
        </w:rPr>
        <w:t xml:space="preserve">, </w:t>
      </w:r>
      <w:proofErr w:type="spellStart"/>
      <w:r w:rsidRPr="00302D8F">
        <w:rPr>
          <w:rFonts w:ascii="Times New Roman" w:hAnsi="Times New Roman" w:cs="Times New Roman"/>
          <w:i/>
          <w:sz w:val="20"/>
          <w:szCs w:val="20"/>
        </w:rPr>
        <w:t>Sermaye</w:t>
      </w:r>
      <w:proofErr w:type="spellEnd"/>
      <w:r w:rsidRPr="00302D8F">
        <w:rPr>
          <w:rFonts w:ascii="Times New Roman" w:hAnsi="Times New Roman" w:cs="Times New Roman"/>
          <w:i/>
          <w:sz w:val="20"/>
          <w:szCs w:val="20"/>
        </w:rPr>
        <w:t xml:space="preserve"> </w:t>
      </w:r>
      <w:proofErr w:type="spellStart"/>
      <w:r w:rsidRPr="00302D8F">
        <w:rPr>
          <w:rFonts w:ascii="Times New Roman" w:hAnsi="Times New Roman" w:cs="Times New Roman"/>
          <w:i/>
          <w:sz w:val="20"/>
          <w:szCs w:val="20"/>
        </w:rPr>
        <w:t>Piyasasi</w:t>
      </w:r>
      <w:proofErr w:type="spellEnd"/>
      <w:r w:rsidRPr="00302D8F">
        <w:rPr>
          <w:rFonts w:ascii="Times New Roman" w:hAnsi="Times New Roman" w:cs="Times New Roman"/>
          <w:i/>
          <w:sz w:val="20"/>
          <w:szCs w:val="20"/>
        </w:rPr>
        <w:t xml:space="preserve"> </w:t>
      </w:r>
      <w:proofErr w:type="spellStart"/>
      <w:r w:rsidRPr="00302D8F">
        <w:rPr>
          <w:rFonts w:ascii="Times New Roman" w:hAnsi="Times New Roman" w:cs="Times New Roman"/>
          <w:i/>
          <w:sz w:val="20"/>
          <w:szCs w:val="20"/>
        </w:rPr>
        <w:t>Kanunu</w:t>
      </w:r>
      <w:proofErr w:type="spellEnd"/>
      <w:r w:rsidRPr="00302D8F">
        <w:rPr>
          <w:rFonts w:ascii="Times New Roman" w:hAnsi="Times New Roman" w:cs="Times New Roman"/>
          <w:i/>
          <w:sz w:val="20"/>
          <w:szCs w:val="20"/>
        </w:rPr>
        <w:t xml:space="preserve"> ve Turk </w:t>
      </w:r>
      <w:proofErr w:type="spellStart"/>
      <w:r w:rsidRPr="00302D8F">
        <w:rPr>
          <w:rFonts w:ascii="Times New Roman" w:hAnsi="Times New Roman" w:cs="Times New Roman"/>
          <w:i/>
          <w:sz w:val="20"/>
          <w:szCs w:val="20"/>
        </w:rPr>
        <w:t>Ticaret</w:t>
      </w:r>
      <w:proofErr w:type="spellEnd"/>
      <w:r w:rsidRPr="00302D8F">
        <w:rPr>
          <w:rFonts w:ascii="Times New Roman" w:hAnsi="Times New Roman" w:cs="Times New Roman"/>
          <w:i/>
          <w:sz w:val="20"/>
          <w:szCs w:val="20"/>
        </w:rPr>
        <w:t xml:space="preserve"> </w:t>
      </w:r>
      <w:proofErr w:type="spellStart"/>
      <w:r w:rsidRPr="00302D8F">
        <w:rPr>
          <w:rFonts w:ascii="Times New Roman" w:hAnsi="Times New Roman" w:cs="Times New Roman"/>
          <w:i/>
          <w:sz w:val="20"/>
          <w:szCs w:val="20"/>
        </w:rPr>
        <w:t>Kanunu</w:t>
      </w:r>
      <w:proofErr w:type="spellEnd"/>
      <w:r w:rsidRPr="00302D8F">
        <w:rPr>
          <w:rFonts w:ascii="Times New Roman" w:hAnsi="Times New Roman" w:cs="Times New Roman"/>
          <w:i/>
          <w:sz w:val="20"/>
          <w:szCs w:val="20"/>
        </w:rPr>
        <w:t xml:space="preserve">, </w:t>
      </w:r>
      <w:proofErr w:type="spellStart"/>
      <w:r w:rsidRPr="00302D8F">
        <w:rPr>
          <w:rFonts w:ascii="Times New Roman" w:hAnsi="Times New Roman" w:cs="Times New Roman"/>
          <w:i/>
          <w:sz w:val="20"/>
          <w:szCs w:val="20"/>
        </w:rPr>
        <w:t>Makaleler</w:t>
      </w:r>
      <w:proofErr w:type="spellEnd"/>
      <w:r w:rsidRPr="00302D8F">
        <w:rPr>
          <w:rFonts w:ascii="Times New Roman" w:hAnsi="Times New Roman" w:cs="Times New Roman"/>
          <w:i/>
          <w:sz w:val="20"/>
          <w:szCs w:val="20"/>
        </w:rPr>
        <w:t xml:space="preserve"> </w:t>
      </w:r>
      <w:r>
        <w:rPr>
          <w:rFonts w:ascii="Times New Roman" w:hAnsi="Times New Roman" w:cs="Times New Roman"/>
          <w:i/>
          <w:sz w:val="20"/>
          <w:szCs w:val="20"/>
        </w:rPr>
        <w:t>I</w:t>
      </w:r>
      <w:r>
        <w:rPr>
          <w:rFonts w:ascii="Times New Roman" w:hAnsi="Times New Roman" w:cs="Times New Roman"/>
          <w:sz w:val="20"/>
          <w:szCs w:val="20"/>
        </w:rPr>
        <w:t xml:space="preserve"> 280 (</w:t>
      </w:r>
      <w:r w:rsidRPr="009975EA">
        <w:rPr>
          <w:rFonts w:ascii="Times New Roman" w:hAnsi="Times New Roman" w:cs="Times New Roman"/>
          <w:sz w:val="20"/>
          <w:szCs w:val="20"/>
        </w:rPr>
        <w:t>2001</w:t>
      </w:r>
      <w:r>
        <w:rPr>
          <w:rFonts w:ascii="Times New Roman" w:hAnsi="Times New Roman" w:cs="Times New Roman"/>
          <w:sz w:val="20"/>
          <w:szCs w:val="20"/>
        </w:rPr>
        <w:t>)</w:t>
      </w:r>
      <w:r w:rsidRPr="009975EA">
        <w:rPr>
          <w:rFonts w:ascii="Times New Roman" w:hAnsi="Times New Roman" w:cs="Times New Roman"/>
          <w:sz w:val="20"/>
          <w:szCs w:val="20"/>
        </w:rPr>
        <w:t>), and this notion shows that the subjects of the CML is dealt with a public policy concern.</w:t>
      </w:r>
    </w:p>
  </w:footnote>
  <w:footnote w:id="770">
    <w:p w14:paraId="6D03F0A8"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According to Constitutional Court of Republic of Turkey, legal status of some corporations differs from other corporations due to their capacity, arising from their level of capital, to affect social and economic texture of the society widely (Judgment of the Constitutional Court, Registration No: 2010/10 Judgment No: 2011/110 Date: 06/30/2011).</w:t>
      </w:r>
    </w:p>
  </w:footnote>
  <w:footnote w:id="771">
    <w:p w14:paraId="11DDD66B" w14:textId="735098B9" w:rsidR="00D36541" w:rsidRPr="009975EA" w:rsidRDefault="00D36541" w:rsidP="009975EA">
      <w:pPr>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argued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of a </w:t>
      </w:r>
      <w:proofErr w:type="spellStart"/>
      <w:r w:rsidRPr="009975EA">
        <w:rPr>
          <w:rFonts w:ascii="Times New Roman" w:hAnsi="Times New Roman" w:cs="Times New Roman"/>
          <w:sz w:val="20"/>
          <w:szCs w:val="20"/>
        </w:rPr>
        <w:t>company’s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serves</w:t>
      </w:r>
      <w:proofErr w:type="spellEnd"/>
      <w:r w:rsidRPr="009975EA">
        <w:rPr>
          <w:rFonts w:ascii="Times New Roman" w:hAnsi="Times New Roman" w:cs="Times New Roman"/>
          <w:sz w:val="20"/>
          <w:szCs w:val="20"/>
        </w:rPr>
        <w:t xml:space="preserve"> as a </w:t>
      </w:r>
      <w:proofErr w:type="spellStart"/>
      <w:r w:rsidRPr="009975EA">
        <w:rPr>
          <w:rFonts w:ascii="Times New Roman" w:hAnsi="Times New Roman" w:cs="Times New Roman"/>
          <w:sz w:val="20"/>
          <w:szCs w:val="20"/>
        </w:rPr>
        <w:t>public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tool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dispersed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monitor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discipline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company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participants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Pepper</w:t>
      </w:r>
      <w:proofErr w:type="spellEnd"/>
      <w:r w:rsidRPr="009975EA">
        <w:rPr>
          <w:rFonts w:ascii="Times New Roman" w:hAnsi="Times New Roman" w:cs="Times New Roman"/>
          <w:sz w:val="20"/>
          <w:szCs w:val="20"/>
        </w:rPr>
        <w:t xml:space="preserve"> D. </w:t>
      </w:r>
      <w:proofErr w:type="spellStart"/>
      <w:r w:rsidRPr="009975EA">
        <w:rPr>
          <w:rFonts w:ascii="Times New Roman" w:hAnsi="Times New Roman" w:cs="Times New Roman"/>
          <w:sz w:val="20"/>
          <w:szCs w:val="20"/>
        </w:rPr>
        <w:t>Culpepper</w:t>
      </w:r>
      <w:proofErr w:type="spellEnd"/>
      <w:r w:rsidRPr="009975EA">
        <w:rPr>
          <w:rFonts w:ascii="Times New Roman" w:hAnsi="Times New Roman" w:cs="Times New Roman"/>
          <w:sz w:val="20"/>
          <w:szCs w:val="20"/>
        </w:rPr>
        <w:t xml:space="preserve">, </w:t>
      </w:r>
      <w:proofErr w:type="spellStart"/>
      <w:r w:rsidRPr="0024653F">
        <w:rPr>
          <w:rFonts w:ascii="Times New Roman" w:hAnsi="Times New Roman" w:cs="Times New Roman"/>
          <w:i/>
          <w:sz w:val="20"/>
          <w:szCs w:val="20"/>
        </w:rPr>
        <w:t>Quite</w:t>
      </w:r>
      <w:proofErr w:type="spellEnd"/>
      <w:r w:rsidRPr="0024653F">
        <w:rPr>
          <w:rFonts w:ascii="Times New Roman" w:hAnsi="Times New Roman" w:cs="Times New Roman"/>
          <w:i/>
          <w:sz w:val="20"/>
          <w:szCs w:val="20"/>
        </w:rPr>
        <w:t xml:space="preserve"> </w:t>
      </w:r>
      <w:proofErr w:type="spellStart"/>
      <w:r w:rsidRPr="0024653F">
        <w:rPr>
          <w:rFonts w:ascii="Times New Roman" w:hAnsi="Times New Roman" w:cs="Times New Roman"/>
          <w:i/>
          <w:sz w:val="20"/>
          <w:szCs w:val="20"/>
        </w:rPr>
        <w:t>Politics</w:t>
      </w:r>
      <w:proofErr w:type="spellEnd"/>
      <w:r w:rsidRPr="0024653F">
        <w:rPr>
          <w:rFonts w:ascii="Times New Roman" w:hAnsi="Times New Roman" w:cs="Times New Roman"/>
          <w:i/>
          <w:sz w:val="20"/>
          <w:szCs w:val="20"/>
        </w:rPr>
        <w:t xml:space="preserve"> </w:t>
      </w:r>
      <w:proofErr w:type="spellStart"/>
      <w:r w:rsidRPr="0024653F">
        <w:rPr>
          <w:rFonts w:ascii="Times New Roman" w:hAnsi="Times New Roman" w:cs="Times New Roman"/>
          <w:i/>
          <w:sz w:val="20"/>
          <w:szCs w:val="20"/>
        </w:rPr>
        <w:t>and</w:t>
      </w:r>
      <w:proofErr w:type="spellEnd"/>
      <w:r w:rsidRPr="0024653F">
        <w:rPr>
          <w:rFonts w:ascii="Times New Roman" w:hAnsi="Times New Roman" w:cs="Times New Roman"/>
          <w:i/>
          <w:sz w:val="20"/>
          <w:szCs w:val="20"/>
        </w:rPr>
        <w:t xml:space="preserve"> Business </w:t>
      </w:r>
      <w:proofErr w:type="spellStart"/>
      <w:r w:rsidRPr="0024653F">
        <w:rPr>
          <w:rFonts w:ascii="Times New Roman" w:hAnsi="Times New Roman" w:cs="Times New Roman"/>
          <w:i/>
          <w:sz w:val="20"/>
          <w:szCs w:val="20"/>
        </w:rPr>
        <w:t>Power</w:t>
      </w:r>
      <w:proofErr w:type="spellEnd"/>
      <w:r w:rsidRPr="0024653F">
        <w:rPr>
          <w:rFonts w:ascii="Times New Roman" w:hAnsi="Times New Roman" w:cs="Times New Roman"/>
          <w:i/>
          <w:sz w:val="20"/>
          <w:szCs w:val="20"/>
        </w:rPr>
        <w:t xml:space="preserve">, </w:t>
      </w:r>
      <w:proofErr w:type="spellStart"/>
      <w:r w:rsidRPr="0024653F">
        <w:rPr>
          <w:rFonts w:ascii="Times New Roman" w:hAnsi="Times New Roman" w:cs="Times New Roman"/>
          <w:i/>
          <w:sz w:val="20"/>
          <w:szCs w:val="20"/>
        </w:rPr>
        <w:t>Corporate</w:t>
      </w:r>
      <w:proofErr w:type="spellEnd"/>
      <w:r w:rsidRPr="0024653F">
        <w:rPr>
          <w:rFonts w:ascii="Times New Roman" w:hAnsi="Times New Roman" w:cs="Times New Roman"/>
          <w:i/>
          <w:sz w:val="20"/>
          <w:szCs w:val="20"/>
        </w:rPr>
        <w:t xml:space="preserve"> Control in Europe </w:t>
      </w:r>
      <w:proofErr w:type="spellStart"/>
      <w:r w:rsidRPr="0024653F">
        <w:rPr>
          <w:rFonts w:ascii="Times New Roman" w:hAnsi="Times New Roman" w:cs="Times New Roman"/>
          <w:i/>
          <w:sz w:val="20"/>
          <w:szCs w:val="20"/>
        </w:rPr>
        <w:t>and</w:t>
      </w:r>
      <w:proofErr w:type="spellEnd"/>
      <w:r w:rsidRPr="0024653F">
        <w:rPr>
          <w:rFonts w:ascii="Times New Roman" w:hAnsi="Times New Roman" w:cs="Times New Roman"/>
          <w:i/>
          <w:sz w:val="20"/>
          <w:szCs w:val="20"/>
        </w:rPr>
        <w:t xml:space="preserve"> Japan</w:t>
      </w:r>
      <w:r>
        <w:rPr>
          <w:rFonts w:ascii="Times New Roman" w:hAnsi="Times New Roman" w:cs="Times New Roman"/>
          <w:sz w:val="20"/>
          <w:szCs w:val="20"/>
        </w:rPr>
        <w:t xml:space="preserve"> 25 (</w:t>
      </w:r>
      <w:r w:rsidRPr="009975EA">
        <w:rPr>
          <w:rFonts w:ascii="Times New Roman" w:hAnsi="Times New Roman" w:cs="Times New Roman"/>
          <w:sz w:val="20"/>
          <w:szCs w:val="20"/>
        </w:rPr>
        <w:t>2011</w:t>
      </w:r>
      <w:r>
        <w:rPr>
          <w:rFonts w:ascii="Times New Roman" w:hAnsi="Times New Roman" w:cs="Times New Roman"/>
          <w:sz w:val="20"/>
          <w:szCs w:val="20"/>
        </w:rPr>
        <w:t>)</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Culpepper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expresses</w:t>
      </w:r>
      <w:proofErr w:type="spellEnd"/>
      <w:r w:rsidRPr="009975EA">
        <w:rPr>
          <w:rFonts w:ascii="Times New Roman" w:hAnsi="Times New Roman" w:cs="Times New Roman"/>
          <w:sz w:val="20"/>
          <w:szCs w:val="20"/>
        </w:rPr>
        <w:t xml:space="preserve"> how </w:t>
      </w:r>
      <w:proofErr w:type="spellStart"/>
      <w:r w:rsidRPr="009975EA">
        <w:rPr>
          <w:rFonts w:ascii="Times New Roman" w:hAnsi="Times New Roman" w:cs="Times New Roman"/>
          <w:sz w:val="20"/>
          <w:szCs w:val="20"/>
        </w:rPr>
        <w:t>prices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work</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context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disciplining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managers</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follows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Markets</w:t>
      </w:r>
      <w:proofErr w:type="spellEnd"/>
      <w:r w:rsidRPr="009975EA">
        <w:rPr>
          <w:rFonts w:ascii="Times New Roman" w:hAnsi="Times New Roman" w:cs="Times New Roman"/>
          <w:sz w:val="20"/>
          <w:szCs w:val="20"/>
        </w:rPr>
        <w:t xml:space="preserve"> ay </w:t>
      </w:r>
      <w:proofErr w:type="spellStart"/>
      <w:r w:rsidRPr="009975EA">
        <w:rPr>
          <w:rFonts w:ascii="Times New Roman" w:hAnsi="Times New Roman" w:cs="Times New Roman"/>
          <w:sz w:val="20"/>
          <w:szCs w:val="20"/>
        </w:rPr>
        <w:t>close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attention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ability</w:t>
      </w:r>
      <w:proofErr w:type="spellEnd"/>
      <w:r w:rsidRPr="009975EA">
        <w:rPr>
          <w:rFonts w:ascii="Times New Roman" w:hAnsi="Times New Roman" w:cs="Times New Roman"/>
          <w:sz w:val="20"/>
          <w:szCs w:val="20"/>
        </w:rPr>
        <w:t xml:space="preserve"> of a </w:t>
      </w:r>
      <w:proofErr w:type="spellStart"/>
      <w:r w:rsidRPr="009975EA">
        <w:rPr>
          <w:rFonts w:ascii="Times New Roman" w:hAnsi="Times New Roman" w:cs="Times New Roman"/>
          <w:sz w:val="20"/>
          <w:szCs w:val="20"/>
        </w:rPr>
        <w:t>company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meet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earnings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expectations</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each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quarter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failure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meet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expectations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causes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some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owners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company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If</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falls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too</w:t>
      </w:r>
      <w:proofErr w:type="spellEnd"/>
      <w:r w:rsidRPr="009975EA">
        <w:rPr>
          <w:rFonts w:ascii="Times New Roman" w:hAnsi="Times New Roman" w:cs="Times New Roman"/>
          <w:sz w:val="20"/>
          <w:szCs w:val="20"/>
        </w:rPr>
        <w:t xml:space="preserve"> far, </w:t>
      </w:r>
      <w:proofErr w:type="spellStart"/>
      <w:r w:rsidRPr="009975EA">
        <w:rPr>
          <w:rFonts w:ascii="Times New Roman" w:hAnsi="Times New Roman" w:cs="Times New Roman"/>
          <w:sz w:val="20"/>
          <w:szCs w:val="20"/>
        </w:rPr>
        <w:t>company</w:t>
      </w:r>
      <w:proofErr w:type="spellEnd"/>
      <w:r w:rsidRPr="009975EA">
        <w:rPr>
          <w:rFonts w:ascii="Times New Roman" w:hAnsi="Times New Roman" w:cs="Times New Roman"/>
          <w:sz w:val="20"/>
          <w:szCs w:val="20"/>
        </w:rPr>
        <w:t xml:space="preserve"> can be </w:t>
      </w:r>
      <w:proofErr w:type="spellStart"/>
      <w:r w:rsidRPr="009975EA">
        <w:rPr>
          <w:rFonts w:ascii="Times New Roman" w:hAnsi="Times New Roman" w:cs="Times New Roman"/>
          <w:sz w:val="20"/>
          <w:szCs w:val="20"/>
        </w:rPr>
        <w:t>taken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over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new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owners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replace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management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team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attempt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reallocate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company’s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resources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efficiently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first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first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scenario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public</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information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threat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hostile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takeover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discipline</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managerial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team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Thus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market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controlling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said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be an </w:t>
      </w:r>
      <w:proofErr w:type="spellStart"/>
      <w:r w:rsidRPr="009975EA">
        <w:rPr>
          <w:rFonts w:ascii="Times New Roman" w:hAnsi="Times New Roman" w:cs="Times New Roman"/>
          <w:sz w:val="20"/>
          <w:szCs w:val="20"/>
        </w:rPr>
        <w:t>active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constraint</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ability</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managers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misuse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company’s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asssets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Culpepper</w:t>
      </w:r>
      <w:proofErr w:type="spellEnd"/>
      <w:r w:rsidRPr="009975EA">
        <w:rPr>
          <w:rFonts w:ascii="Times New Roman" w:hAnsi="Times New Roman" w:cs="Times New Roman"/>
          <w:sz w:val="20"/>
          <w:szCs w:val="20"/>
        </w:rPr>
        <w:t xml:space="preserve">, p.25- 26). </w:t>
      </w:r>
      <w:proofErr w:type="spellStart"/>
      <w:r w:rsidRPr="009975EA">
        <w:rPr>
          <w:rFonts w:ascii="Times New Roman" w:hAnsi="Times New Roman" w:cs="Times New Roman"/>
          <w:sz w:val="20"/>
          <w:szCs w:val="20"/>
        </w:rPr>
        <w:t>However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when</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dominated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patient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capital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meaning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focusing</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short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performance</w:t>
      </w:r>
      <w:proofErr w:type="spellEnd"/>
      <w:r w:rsidRPr="009975EA">
        <w:rPr>
          <w:rFonts w:ascii="Times New Roman" w:hAnsi="Times New Roman" w:cs="Times New Roman"/>
          <w:sz w:val="20"/>
          <w:szCs w:val="20"/>
        </w:rPr>
        <w:t xml:space="preserve"> but on </w:t>
      </w:r>
      <w:proofErr w:type="spellStart"/>
      <w:r w:rsidRPr="009975EA">
        <w:rPr>
          <w:rFonts w:ascii="Times New Roman" w:hAnsi="Times New Roman" w:cs="Times New Roman"/>
          <w:sz w:val="20"/>
          <w:szCs w:val="20"/>
        </w:rPr>
        <w:t>long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term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strategies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declines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not </w:t>
      </w:r>
      <w:proofErr w:type="spellStart"/>
      <w:r w:rsidRPr="009975EA">
        <w:rPr>
          <w:rFonts w:ascii="Times New Roman" w:hAnsi="Times New Roman" w:cs="Times New Roman"/>
          <w:sz w:val="20"/>
          <w:szCs w:val="20"/>
        </w:rPr>
        <w:t>effect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their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agenda</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Culpepper</w:t>
      </w:r>
      <w:proofErr w:type="spellEnd"/>
      <w:r w:rsidRPr="009975EA">
        <w:rPr>
          <w:rFonts w:ascii="Times New Roman" w:hAnsi="Times New Roman" w:cs="Times New Roman"/>
          <w:sz w:val="20"/>
          <w:szCs w:val="20"/>
        </w:rPr>
        <w:t xml:space="preserve">, p. 26). </w:t>
      </w:r>
      <w:proofErr w:type="spellStart"/>
      <w:r w:rsidRPr="009975EA">
        <w:rPr>
          <w:rFonts w:ascii="Times New Roman" w:hAnsi="Times New Roman" w:cs="Times New Roman"/>
          <w:sz w:val="20"/>
          <w:szCs w:val="20"/>
        </w:rPr>
        <w:t>Culpepper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states</w:t>
      </w:r>
      <w:proofErr w:type="spellEnd"/>
      <w:r w:rsidRPr="009975EA">
        <w:rPr>
          <w:rFonts w:ascii="Times New Roman" w:hAnsi="Times New Roman" w:cs="Times New Roman"/>
          <w:sz w:val="20"/>
          <w:szCs w:val="20"/>
        </w:rPr>
        <w:t xml:space="preserve"> Microsoft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Google as </w:t>
      </w:r>
      <w:proofErr w:type="spellStart"/>
      <w:r w:rsidRPr="009975EA">
        <w:rPr>
          <w:rFonts w:ascii="Times New Roman" w:hAnsi="Times New Roman" w:cs="Times New Roman"/>
          <w:sz w:val="20"/>
          <w:szCs w:val="20"/>
        </w:rPr>
        <w:t>two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American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examples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suppliers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patient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capital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managers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Culpper</w:t>
      </w:r>
      <w:proofErr w:type="spellEnd"/>
      <w:r w:rsidRPr="009975EA">
        <w:rPr>
          <w:rFonts w:ascii="Times New Roman" w:hAnsi="Times New Roman" w:cs="Times New Roman"/>
          <w:sz w:val="20"/>
          <w:szCs w:val="20"/>
        </w:rPr>
        <w:t xml:space="preserve">, p. 27). Writer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expresses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ownership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concentration</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important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indicator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patient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capital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Culpper</w:t>
      </w:r>
      <w:proofErr w:type="spellEnd"/>
      <w:r w:rsidRPr="009975EA">
        <w:rPr>
          <w:rFonts w:ascii="Times New Roman" w:hAnsi="Times New Roman" w:cs="Times New Roman"/>
          <w:sz w:val="20"/>
          <w:szCs w:val="20"/>
        </w:rPr>
        <w:t>, p.28).</w:t>
      </w:r>
    </w:p>
  </w:footnote>
  <w:footnote w:id="772">
    <w:p w14:paraId="4B5CBD90" w14:textId="220F6DA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lang w:val="tr-TR"/>
        </w:rPr>
        <w:t>O'Neal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Oppugnancy</w:t>
      </w:r>
      <w:proofErr w:type="spellEnd"/>
      <w:r>
        <w:rPr>
          <w:rFonts w:ascii="Times New Roman" w:hAnsi="Times New Roman" w:cs="Times New Roman"/>
          <w:color w:val="000000"/>
          <w:sz w:val="20"/>
          <w:szCs w:val="20"/>
          <w:lang w:val="tr-TR"/>
        </w:rPr>
        <w:t xml:space="preserve">, </w:t>
      </w:r>
      <w:r w:rsidRPr="009975EA">
        <w:rPr>
          <w:rFonts w:ascii="Times New Roman" w:hAnsi="Times New Roman" w:cs="Times New Roman"/>
          <w:sz w:val="20"/>
          <w:szCs w:val="20"/>
        </w:rPr>
        <w:t>p.4.</w:t>
      </w:r>
    </w:p>
  </w:footnote>
  <w:footnote w:id="773">
    <w:p w14:paraId="3FE128E9"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a similar analogy in insider trading context, </w:t>
      </w:r>
      <w:proofErr w:type="gramStart"/>
      <w:r w:rsidRPr="009975EA">
        <w:rPr>
          <w:rFonts w:ascii="Times New Roman" w:hAnsi="Times New Roman" w:cs="Times New Roman"/>
          <w:sz w:val="20"/>
          <w:szCs w:val="20"/>
        </w:rPr>
        <w:t>see:</w:t>
      </w:r>
      <w:proofErr w:type="gramEnd"/>
      <w:r w:rsidRPr="009975EA">
        <w:rPr>
          <w:rFonts w:ascii="Times New Roman" w:hAnsi="Times New Roman" w:cs="Times New Roman"/>
          <w:sz w:val="20"/>
          <w:szCs w:val="20"/>
        </w:rPr>
        <w:t xml:space="preserve"> U.S. v. O’Hagan, 521 U.S. 642 (1997).</w:t>
      </w:r>
    </w:p>
  </w:footnote>
  <w:footnote w:id="774">
    <w:p w14:paraId="7768B0E5" w14:textId="44EF82AE" w:rsidR="00D36541" w:rsidRPr="009975EA" w:rsidRDefault="00D36541" w:rsidP="0024653F">
      <w:pPr>
        <w:pStyle w:val="DipnotMetni"/>
        <w:tabs>
          <w:tab w:val="left" w:pos="6235"/>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Chittur</w:t>
      </w:r>
      <w:proofErr w:type="spellEnd"/>
      <w:r w:rsidRPr="009975EA">
        <w:rPr>
          <w:rFonts w:ascii="Times New Roman" w:hAnsi="Times New Roman" w:cs="Times New Roman"/>
          <w:sz w:val="20"/>
          <w:szCs w:val="20"/>
        </w:rPr>
        <w:t>, p. 159.</w:t>
      </w:r>
      <w:r>
        <w:rPr>
          <w:rFonts w:ascii="Times New Roman" w:hAnsi="Times New Roman" w:cs="Times New Roman"/>
          <w:sz w:val="20"/>
          <w:szCs w:val="20"/>
        </w:rPr>
        <w:tab/>
      </w:r>
    </w:p>
  </w:footnote>
  <w:footnote w:id="775">
    <w:p w14:paraId="05E352D5"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Clark, Corporate Law, p. 513.</w:t>
      </w:r>
    </w:p>
  </w:footnote>
  <w:footnote w:id="776">
    <w:p w14:paraId="7B7A4D6A" w14:textId="1617B06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Eisenberg, The Legal Roles, p.84; stating that appraisal rights in publicly traded corporations serves as a check on management.</w:t>
      </w:r>
    </w:p>
  </w:footnote>
  <w:footnote w:id="777">
    <w:p w14:paraId="149E410B"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Employment</w:t>
      </w:r>
      <w:proofErr w:type="spellEnd"/>
      <w:r w:rsidRPr="009975EA">
        <w:rPr>
          <w:rFonts w:ascii="Times New Roman" w:hAnsi="Times New Roman" w:cs="Times New Roman"/>
          <w:sz w:val="20"/>
          <w:szCs w:val="20"/>
        </w:rPr>
        <w:t xml:space="preserve"> at </w:t>
      </w:r>
      <w:proofErr w:type="spellStart"/>
      <w:r w:rsidRPr="009975EA">
        <w:rPr>
          <w:rFonts w:ascii="Times New Roman" w:hAnsi="Times New Roman" w:cs="Times New Roman"/>
          <w:sz w:val="20"/>
          <w:szCs w:val="20"/>
        </w:rPr>
        <w:t>Will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footnote</w:t>
      </w:r>
      <w:proofErr w:type="spellEnd"/>
      <w:r w:rsidRPr="009975EA">
        <w:rPr>
          <w:rFonts w:ascii="Times New Roman" w:hAnsi="Times New Roman" w:cs="Times New Roman"/>
          <w:sz w:val="20"/>
          <w:szCs w:val="20"/>
        </w:rPr>
        <w:t xml:space="preserve"> 117: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involuntary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something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investment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presence of a market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arguably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insufficient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available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well</w:t>
      </w:r>
      <w:proofErr w:type="spellEnd"/>
      <w:r w:rsidRPr="009975EA">
        <w:rPr>
          <w:rFonts w:ascii="Times New Roman" w:hAnsi="Times New Roman" w:cs="Times New Roman"/>
          <w:color w:val="000000"/>
          <w:sz w:val="20"/>
          <w:szCs w:val="20"/>
        </w:rPr>
        <w:t>.”</w:t>
      </w:r>
    </w:p>
  </w:footnote>
  <w:footnote w:id="778">
    <w:p w14:paraId="01D31A85"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212.</w:t>
      </w:r>
    </w:p>
  </w:footnote>
  <w:footnote w:id="779">
    <w:p w14:paraId="08C52358" w14:textId="0EDA256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Cal. Corp. Code. Sec. 300(c). A similar rationale can also be stated for states remedying oppression through fiduciary duties doctrine (See, </w:t>
      </w:r>
      <w:proofErr w:type="spellStart"/>
      <w:r w:rsidRPr="009975EA">
        <w:rPr>
          <w:rFonts w:ascii="Times New Roman" w:hAnsi="Times New Roman" w:cs="Times New Roman"/>
          <w:sz w:val="20"/>
          <w:szCs w:val="20"/>
        </w:rPr>
        <w:t>Walta</w:t>
      </w:r>
      <w:proofErr w:type="spellEnd"/>
      <w:r w:rsidRPr="009975EA">
        <w:rPr>
          <w:rFonts w:ascii="Times New Roman" w:hAnsi="Times New Roman" w:cs="Times New Roman"/>
          <w:sz w:val="20"/>
          <w:szCs w:val="20"/>
        </w:rPr>
        <w:t xml:space="preserve"> v. Gallegos Law Firm, P.C., 131 N.M. 544 (2001): “We pause to note that the fiduciary duty we define here is a default </w:t>
      </w:r>
      <w:proofErr w:type="spellStart"/>
      <w:r w:rsidRPr="009975EA">
        <w:rPr>
          <w:rFonts w:ascii="Times New Roman" w:hAnsi="Times New Roman" w:cs="Times New Roman"/>
          <w:sz w:val="20"/>
          <w:szCs w:val="20"/>
        </w:rPr>
        <w:t>standanrd</w:t>
      </w:r>
      <w:proofErr w:type="spellEnd"/>
      <w:r w:rsidRPr="009975EA">
        <w:rPr>
          <w:rFonts w:ascii="Times New Roman" w:hAnsi="Times New Roman" w:cs="Times New Roman"/>
          <w:sz w:val="20"/>
          <w:szCs w:val="20"/>
        </w:rPr>
        <w:t xml:space="preserve"> applicable in the absence of a contrary agreement between shareholders. Shareholders are free to agree to different standards as long as the essence of right conduct is preserved.”).</w:t>
      </w:r>
    </w:p>
  </w:footnote>
  <w:footnote w:id="780">
    <w:p w14:paraId="193BBD82" w14:textId="54C2CEF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Tugrul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Ansay</w:t>
      </w:r>
      <w:proofErr w:type="spellEnd"/>
      <w:r w:rsidRPr="0024653F">
        <w:rPr>
          <w:rFonts w:ascii="Times New Roman" w:hAnsi="Times New Roman" w:cs="Times New Roman"/>
          <w:i/>
          <w:sz w:val="20"/>
          <w:szCs w:val="20"/>
        </w:rPr>
        <w:t xml:space="preserve">, </w:t>
      </w:r>
      <w:proofErr w:type="spellStart"/>
      <w:r w:rsidRPr="0024653F">
        <w:rPr>
          <w:rFonts w:ascii="Times New Roman" w:hAnsi="Times New Roman" w:cs="Times New Roman"/>
          <w:i/>
          <w:sz w:val="20"/>
          <w:szCs w:val="20"/>
        </w:rPr>
        <w:t>Cagdas</w:t>
      </w:r>
      <w:proofErr w:type="spellEnd"/>
      <w:r w:rsidRPr="0024653F">
        <w:rPr>
          <w:rFonts w:ascii="Times New Roman" w:hAnsi="Times New Roman" w:cs="Times New Roman"/>
          <w:i/>
          <w:sz w:val="20"/>
          <w:szCs w:val="20"/>
        </w:rPr>
        <w:t xml:space="preserve"> </w:t>
      </w:r>
      <w:proofErr w:type="spellStart"/>
      <w:r w:rsidRPr="0024653F">
        <w:rPr>
          <w:rFonts w:ascii="Times New Roman" w:hAnsi="Times New Roman" w:cs="Times New Roman"/>
          <w:i/>
          <w:sz w:val="20"/>
          <w:szCs w:val="20"/>
        </w:rPr>
        <w:t>Anonim</w:t>
      </w:r>
      <w:proofErr w:type="spellEnd"/>
      <w:r w:rsidRPr="0024653F">
        <w:rPr>
          <w:rFonts w:ascii="Times New Roman" w:hAnsi="Times New Roman" w:cs="Times New Roman"/>
          <w:i/>
          <w:sz w:val="20"/>
          <w:szCs w:val="20"/>
        </w:rPr>
        <w:t xml:space="preserve"> </w:t>
      </w:r>
      <w:proofErr w:type="spellStart"/>
      <w:r w:rsidRPr="0024653F">
        <w:rPr>
          <w:rFonts w:ascii="Times New Roman" w:hAnsi="Times New Roman" w:cs="Times New Roman"/>
          <w:i/>
          <w:sz w:val="20"/>
          <w:szCs w:val="20"/>
        </w:rPr>
        <w:t>Sirketlerin</w:t>
      </w:r>
      <w:proofErr w:type="spellEnd"/>
      <w:r w:rsidRPr="0024653F">
        <w:rPr>
          <w:rFonts w:ascii="Times New Roman" w:hAnsi="Times New Roman" w:cs="Times New Roman"/>
          <w:i/>
          <w:sz w:val="20"/>
          <w:szCs w:val="20"/>
        </w:rPr>
        <w:t xml:space="preserve"> </w:t>
      </w:r>
      <w:proofErr w:type="spellStart"/>
      <w:r w:rsidRPr="0024653F">
        <w:rPr>
          <w:rFonts w:ascii="Times New Roman" w:hAnsi="Times New Roman" w:cs="Times New Roman"/>
          <w:i/>
          <w:sz w:val="20"/>
          <w:szCs w:val="20"/>
        </w:rPr>
        <w:t>Sorunlari</w:t>
      </w:r>
      <w:proofErr w:type="spellEnd"/>
      <w:r w:rsidRPr="0024653F">
        <w:rPr>
          <w:rFonts w:ascii="Times New Roman" w:hAnsi="Times New Roman" w:cs="Times New Roman"/>
          <w:i/>
          <w:sz w:val="20"/>
          <w:szCs w:val="20"/>
        </w:rPr>
        <w:t xml:space="preserve"> ve Turk </w:t>
      </w:r>
      <w:proofErr w:type="spellStart"/>
      <w:r w:rsidRPr="0024653F">
        <w:rPr>
          <w:rFonts w:ascii="Times New Roman" w:hAnsi="Times New Roman" w:cs="Times New Roman"/>
          <w:i/>
          <w:sz w:val="20"/>
          <w:szCs w:val="20"/>
        </w:rPr>
        <w:t>Anonim</w:t>
      </w:r>
      <w:proofErr w:type="spellEnd"/>
      <w:r w:rsidRPr="0024653F">
        <w:rPr>
          <w:rFonts w:ascii="Times New Roman" w:hAnsi="Times New Roman" w:cs="Times New Roman"/>
          <w:i/>
          <w:sz w:val="20"/>
          <w:szCs w:val="20"/>
        </w:rPr>
        <w:t xml:space="preserve"> </w:t>
      </w:r>
      <w:proofErr w:type="spellStart"/>
      <w:r w:rsidRPr="0024653F">
        <w:rPr>
          <w:rFonts w:ascii="Times New Roman" w:hAnsi="Times New Roman" w:cs="Times New Roman"/>
          <w:i/>
          <w:sz w:val="20"/>
          <w:szCs w:val="20"/>
        </w:rPr>
        <w:t>Sirketleri</w:t>
      </w:r>
      <w:proofErr w:type="spellEnd"/>
      <w:r>
        <w:rPr>
          <w:rFonts w:ascii="Times New Roman" w:hAnsi="Times New Roman" w:cs="Times New Roman"/>
          <w:sz w:val="20"/>
          <w:szCs w:val="20"/>
        </w:rPr>
        <w:t xml:space="preserve"> 52 (</w:t>
      </w:r>
      <w:r w:rsidRPr="009975EA">
        <w:rPr>
          <w:rFonts w:ascii="Times New Roman" w:hAnsi="Times New Roman" w:cs="Times New Roman"/>
          <w:sz w:val="20"/>
          <w:szCs w:val="20"/>
        </w:rPr>
        <w:t>1971</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781">
    <w:p w14:paraId="1AF59D19" w14:textId="508A3A7C" w:rsidR="00D36541" w:rsidRPr="009975EA" w:rsidRDefault="00D36541" w:rsidP="0024653F">
      <w:pPr>
        <w:pStyle w:val="DipnotMetni"/>
        <w:tabs>
          <w:tab w:val="center" w:pos="4703"/>
          <w:tab w:val="left" w:pos="5731"/>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Ansay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Cagdas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p.52.</w:t>
      </w:r>
      <w:r>
        <w:rPr>
          <w:rFonts w:ascii="Times New Roman" w:hAnsi="Times New Roman" w:cs="Times New Roman"/>
          <w:sz w:val="20"/>
          <w:szCs w:val="20"/>
        </w:rPr>
        <w:tab/>
      </w:r>
      <w:r>
        <w:rPr>
          <w:rFonts w:ascii="Times New Roman" w:hAnsi="Times New Roman" w:cs="Times New Roman"/>
          <w:sz w:val="20"/>
          <w:szCs w:val="20"/>
        </w:rPr>
        <w:tab/>
      </w:r>
    </w:p>
  </w:footnote>
  <w:footnote w:id="782">
    <w:p w14:paraId="7FEDEE31" w14:textId="77777777" w:rsidR="00D36541" w:rsidRPr="009975EA" w:rsidRDefault="00D36541" w:rsidP="009975EA">
      <w:pPr>
        <w:pStyle w:val="NormalWeb"/>
        <w:spacing w:before="0" w:beforeAutospacing="0" w:after="0" w:afterAutospacing="0"/>
        <w:jc w:val="both"/>
        <w:rPr>
          <w:rFonts w:ascii="Times New Roman" w:hAnsi="Times New Roman"/>
          <w:lang w:eastAsia="zh-CN"/>
        </w:rPr>
      </w:pPr>
      <w:r w:rsidRPr="009975EA">
        <w:rPr>
          <w:rStyle w:val="DipnotBavurusu"/>
          <w:rFonts w:ascii="Times New Roman" w:hAnsi="Times New Roman"/>
        </w:rPr>
        <w:footnoteRef/>
      </w:r>
      <w:r w:rsidRPr="009975EA">
        <w:rPr>
          <w:rFonts w:ascii="Times New Roman" w:hAnsi="Times New Roman"/>
        </w:rPr>
        <w:t xml:space="preserve"> </w:t>
      </w:r>
      <w:proofErr w:type="spellStart"/>
      <w:r w:rsidRPr="009975EA">
        <w:rPr>
          <w:rFonts w:ascii="Times New Roman" w:hAnsi="Times New Roman"/>
        </w:rPr>
        <w:t>Article</w:t>
      </w:r>
      <w:proofErr w:type="spellEnd"/>
      <w:r w:rsidRPr="009975EA">
        <w:rPr>
          <w:rFonts w:ascii="Times New Roman" w:hAnsi="Times New Roman"/>
        </w:rPr>
        <w:t xml:space="preserve"> 35: “</w:t>
      </w:r>
      <w:proofErr w:type="spellStart"/>
      <w:r w:rsidRPr="009975EA">
        <w:rPr>
          <w:rFonts w:ascii="Times New Roman" w:hAnsi="Times New Roman"/>
          <w:lang w:eastAsia="zh-CN"/>
        </w:rPr>
        <w:t>Everyone</w:t>
      </w:r>
      <w:proofErr w:type="spellEnd"/>
      <w:r w:rsidRPr="009975EA">
        <w:rPr>
          <w:rFonts w:ascii="Times New Roman" w:hAnsi="Times New Roman"/>
          <w:lang w:eastAsia="zh-CN"/>
        </w:rPr>
        <w:t xml:space="preserve"> has </w:t>
      </w:r>
      <w:proofErr w:type="spellStart"/>
      <w:r w:rsidRPr="009975EA">
        <w:rPr>
          <w:rFonts w:ascii="Times New Roman" w:hAnsi="Times New Roman"/>
          <w:lang w:eastAsia="zh-CN"/>
        </w:rPr>
        <w:t>the</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right</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to</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own</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and</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inherit</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property</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These</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rights</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may</w:t>
      </w:r>
      <w:proofErr w:type="spellEnd"/>
      <w:r w:rsidRPr="009975EA">
        <w:rPr>
          <w:rFonts w:ascii="Times New Roman" w:hAnsi="Times New Roman"/>
          <w:lang w:eastAsia="zh-CN"/>
        </w:rPr>
        <w:t xml:space="preserve"> be limited </w:t>
      </w:r>
      <w:proofErr w:type="spellStart"/>
      <w:r w:rsidRPr="009975EA">
        <w:rPr>
          <w:rFonts w:ascii="Times New Roman" w:hAnsi="Times New Roman"/>
          <w:lang w:eastAsia="zh-CN"/>
        </w:rPr>
        <w:t>by</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law</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only</w:t>
      </w:r>
      <w:proofErr w:type="spellEnd"/>
      <w:r w:rsidRPr="009975EA">
        <w:rPr>
          <w:rFonts w:ascii="Times New Roman" w:hAnsi="Times New Roman"/>
          <w:lang w:eastAsia="zh-CN"/>
        </w:rPr>
        <w:t xml:space="preserve"> in </w:t>
      </w:r>
      <w:proofErr w:type="spellStart"/>
      <w:r w:rsidRPr="009975EA">
        <w:rPr>
          <w:rFonts w:ascii="Times New Roman" w:hAnsi="Times New Roman"/>
          <w:lang w:eastAsia="zh-CN"/>
        </w:rPr>
        <w:t>view</w:t>
      </w:r>
      <w:proofErr w:type="spellEnd"/>
      <w:r w:rsidRPr="009975EA">
        <w:rPr>
          <w:rFonts w:ascii="Times New Roman" w:hAnsi="Times New Roman"/>
          <w:lang w:eastAsia="zh-CN"/>
        </w:rPr>
        <w:t xml:space="preserve"> of </w:t>
      </w:r>
      <w:proofErr w:type="spellStart"/>
      <w:r w:rsidRPr="009975EA">
        <w:rPr>
          <w:rFonts w:ascii="Times New Roman" w:hAnsi="Times New Roman"/>
          <w:lang w:eastAsia="zh-CN"/>
        </w:rPr>
        <w:t>public</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interest</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The</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exercise</w:t>
      </w:r>
      <w:proofErr w:type="spellEnd"/>
      <w:r w:rsidRPr="009975EA">
        <w:rPr>
          <w:rFonts w:ascii="Times New Roman" w:hAnsi="Times New Roman"/>
          <w:lang w:eastAsia="zh-CN"/>
        </w:rPr>
        <w:t xml:space="preserve"> of </w:t>
      </w:r>
      <w:proofErr w:type="spellStart"/>
      <w:r w:rsidRPr="009975EA">
        <w:rPr>
          <w:rFonts w:ascii="Times New Roman" w:hAnsi="Times New Roman"/>
          <w:lang w:eastAsia="zh-CN"/>
        </w:rPr>
        <w:t>the</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right</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to</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property</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shall</w:t>
      </w:r>
      <w:proofErr w:type="spellEnd"/>
      <w:r w:rsidRPr="009975EA">
        <w:rPr>
          <w:rFonts w:ascii="Times New Roman" w:hAnsi="Times New Roman"/>
          <w:lang w:eastAsia="zh-CN"/>
        </w:rPr>
        <w:t xml:space="preserve"> not </w:t>
      </w:r>
      <w:proofErr w:type="spellStart"/>
      <w:r w:rsidRPr="009975EA">
        <w:rPr>
          <w:rFonts w:ascii="Times New Roman" w:hAnsi="Times New Roman"/>
          <w:lang w:eastAsia="zh-CN"/>
        </w:rPr>
        <w:t>contravene</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public</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interest</w:t>
      </w:r>
      <w:proofErr w:type="spellEnd"/>
      <w:r w:rsidRPr="009975EA">
        <w:rPr>
          <w:rFonts w:ascii="Times New Roman" w:hAnsi="Times New Roman"/>
          <w:lang w:eastAsia="zh-CN"/>
        </w:rPr>
        <w:t xml:space="preserve">. </w:t>
      </w:r>
    </w:p>
  </w:footnote>
  <w:footnote w:id="783">
    <w:p w14:paraId="65D7CAEE" w14:textId="77777777" w:rsidR="00D36541" w:rsidRPr="009975EA" w:rsidRDefault="00D36541" w:rsidP="009975EA">
      <w:pPr>
        <w:pStyle w:val="NormalWeb"/>
        <w:spacing w:before="0" w:beforeAutospacing="0" w:after="0" w:afterAutospacing="0"/>
        <w:jc w:val="both"/>
        <w:rPr>
          <w:rFonts w:ascii="Times New Roman" w:hAnsi="Times New Roman"/>
          <w:lang w:eastAsia="zh-CN"/>
        </w:rPr>
      </w:pPr>
      <w:r w:rsidRPr="009975EA">
        <w:rPr>
          <w:rStyle w:val="DipnotBavurusu"/>
          <w:rFonts w:ascii="Times New Roman" w:hAnsi="Times New Roman"/>
        </w:rPr>
        <w:footnoteRef/>
      </w:r>
      <w:r w:rsidRPr="009975EA">
        <w:rPr>
          <w:rFonts w:ascii="Times New Roman" w:hAnsi="Times New Roman"/>
        </w:rPr>
        <w:t xml:space="preserve"> </w:t>
      </w:r>
      <w:proofErr w:type="spellStart"/>
      <w:r w:rsidRPr="009975EA">
        <w:rPr>
          <w:rFonts w:ascii="Times New Roman" w:hAnsi="Times New Roman"/>
        </w:rPr>
        <w:t>Article</w:t>
      </w:r>
      <w:proofErr w:type="spellEnd"/>
      <w:r w:rsidRPr="009975EA">
        <w:rPr>
          <w:rFonts w:ascii="Times New Roman" w:hAnsi="Times New Roman"/>
        </w:rPr>
        <w:t xml:space="preserve"> 2: “</w:t>
      </w:r>
      <w:proofErr w:type="spellStart"/>
      <w:r w:rsidRPr="009975EA">
        <w:rPr>
          <w:rFonts w:ascii="Times New Roman" w:hAnsi="Times New Roman"/>
          <w:lang w:eastAsia="zh-CN"/>
        </w:rPr>
        <w:t>The</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Republic</w:t>
      </w:r>
      <w:proofErr w:type="spellEnd"/>
      <w:r w:rsidRPr="009975EA">
        <w:rPr>
          <w:rFonts w:ascii="Times New Roman" w:hAnsi="Times New Roman"/>
          <w:lang w:eastAsia="zh-CN"/>
        </w:rPr>
        <w:t xml:space="preserve"> of </w:t>
      </w:r>
      <w:proofErr w:type="spellStart"/>
      <w:r w:rsidRPr="009975EA">
        <w:rPr>
          <w:rFonts w:ascii="Times New Roman" w:hAnsi="Times New Roman"/>
          <w:lang w:eastAsia="zh-CN"/>
        </w:rPr>
        <w:t>Turkey</w:t>
      </w:r>
      <w:proofErr w:type="spellEnd"/>
      <w:r w:rsidRPr="009975EA">
        <w:rPr>
          <w:rFonts w:ascii="Times New Roman" w:hAnsi="Times New Roman"/>
          <w:lang w:eastAsia="zh-CN"/>
        </w:rPr>
        <w:t xml:space="preserve"> is a </w:t>
      </w:r>
      <w:proofErr w:type="spellStart"/>
      <w:r w:rsidRPr="009975EA">
        <w:rPr>
          <w:rFonts w:ascii="Times New Roman" w:hAnsi="Times New Roman"/>
          <w:lang w:eastAsia="zh-CN"/>
        </w:rPr>
        <w:t>democratic</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secular</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and</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social</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state</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governed</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by</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rule</w:t>
      </w:r>
      <w:proofErr w:type="spellEnd"/>
      <w:r w:rsidRPr="009975EA">
        <w:rPr>
          <w:rFonts w:ascii="Times New Roman" w:hAnsi="Times New Roman"/>
          <w:lang w:eastAsia="zh-CN"/>
        </w:rPr>
        <w:t xml:space="preserve"> of </w:t>
      </w:r>
      <w:proofErr w:type="spellStart"/>
      <w:r w:rsidRPr="009975EA">
        <w:rPr>
          <w:rFonts w:ascii="Times New Roman" w:hAnsi="Times New Roman"/>
          <w:lang w:eastAsia="zh-CN"/>
        </w:rPr>
        <w:t>law</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within</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the</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notions</w:t>
      </w:r>
      <w:proofErr w:type="spellEnd"/>
      <w:r w:rsidRPr="009975EA">
        <w:rPr>
          <w:rFonts w:ascii="Times New Roman" w:hAnsi="Times New Roman"/>
          <w:lang w:eastAsia="zh-CN"/>
        </w:rPr>
        <w:t xml:space="preserve"> of </w:t>
      </w:r>
      <w:proofErr w:type="spellStart"/>
      <w:r w:rsidRPr="009975EA">
        <w:rPr>
          <w:rFonts w:ascii="Times New Roman" w:hAnsi="Times New Roman"/>
          <w:lang w:eastAsia="zh-CN"/>
        </w:rPr>
        <w:t>public</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peace</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national</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solidarity</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and</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justice</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respecting</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human</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rights</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loyal</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to</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the</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nationalism</w:t>
      </w:r>
      <w:proofErr w:type="spellEnd"/>
      <w:r w:rsidRPr="009975EA">
        <w:rPr>
          <w:rFonts w:ascii="Times New Roman" w:hAnsi="Times New Roman"/>
          <w:lang w:eastAsia="zh-CN"/>
        </w:rPr>
        <w:t xml:space="preserve"> of </w:t>
      </w:r>
      <w:proofErr w:type="spellStart"/>
      <w:r w:rsidRPr="009975EA">
        <w:rPr>
          <w:rFonts w:ascii="Times New Roman" w:hAnsi="Times New Roman"/>
          <w:lang w:eastAsia="zh-CN"/>
        </w:rPr>
        <w:t>Atatürk</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and</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based</w:t>
      </w:r>
      <w:proofErr w:type="spellEnd"/>
      <w:r w:rsidRPr="009975EA">
        <w:rPr>
          <w:rFonts w:ascii="Times New Roman" w:hAnsi="Times New Roman"/>
          <w:lang w:eastAsia="zh-CN"/>
        </w:rPr>
        <w:t xml:space="preserve"> on </w:t>
      </w:r>
      <w:proofErr w:type="spellStart"/>
      <w:r w:rsidRPr="009975EA">
        <w:rPr>
          <w:rFonts w:ascii="Times New Roman" w:hAnsi="Times New Roman"/>
          <w:lang w:eastAsia="zh-CN"/>
        </w:rPr>
        <w:t>the</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fundamental</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tenets</w:t>
      </w:r>
      <w:proofErr w:type="spellEnd"/>
      <w:r w:rsidRPr="009975EA">
        <w:rPr>
          <w:rFonts w:ascii="Times New Roman" w:hAnsi="Times New Roman"/>
          <w:lang w:eastAsia="zh-CN"/>
        </w:rPr>
        <w:t xml:space="preserve"> set </w:t>
      </w:r>
      <w:proofErr w:type="spellStart"/>
      <w:r w:rsidRPr="009975EA">
        <w:rPr>
          <w:rFonts w:ascii="Times New Roman" w:hAnsi="Times New Roman"/>
          <w:lang w:eastAsia="zh-CN"/>
        </w:rPr>
        <w:t>forth</w:t>
      </w:r>
      <w:proofErr w:type="spellEnd"/>
      <w:r w:rsidRPr="009975EA">
        <w:rPr>
          <w:rFonts w:ascii="Times New Roman" w:hAnsi="Times New Roman"/>
          <w:lang w:eastAsia="zh-CN"/>
        </w:rPr>
        <w:t xml:space="preserve"> in </w:t>
      </w:r>
      <w:proofErr w:type="spellStart"/>
      <w:r w:rsidRPr="009975EA">
        <w:rPr>
          <w:rFonts w:ascii="Times New Roman" w:hAnsi="Times New Roman"/>
          <w:lang w:eastAsia="zh-CN"/>
        </w:rPr>
        <w:t>the</w:t>
      </w:r>
      <w:proofErr w:type="spellEnd"/>
      <w:r w:rsidRPr="009975EA">
        <w:rPr>
          <w:rFonts w:ascii="Times New Roman" w:hAnsi="Times New Roman"/>
          <w:lang w:eastAsia="zh-CN"/>
        </w:rPr>
        <w:t xml:space="preserve"> </w:t>
      </w:r>
      <w:proofErr w:type="spellStart"/>
      <w:r w:rsidRPr="009975EA">
        <w:rPr>
          <w:rFonts w:ascii="Times New Roman" w:hAnsi="Times New Roman"/>
          <w:lang w:eastAsia="zh-CN"/>
        </w:rPr>
        <w:t>preamble</w:t>
      </w:r>
      <w:proofErr w:type="spellEnd"/>
      <w:r w:rsidRPr="009975EA">
        <w:rPr>
          <w:rFonts w:ascii="Times New Roman" w:hAnsi="Times New Roman"/>
          <w:lang w:eastAsia="zh-CN"/>
        </w:rPr>
        <w:t xml:space="preserve">.” </w:t>
      </w:r>
    </w:p>
  </w:footnote>
  <w:footnote w:id="784">
    <w:p w14:paraId="66B8400B"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significant role for nonpecuniary benefits of control has macroeconomic effects that impact a country as a whole” (Gilson, p. 1667).</w:t>
      </w:r>
    </w:p>
  </w:footnote>
  <w:footnote w:id="785">
    <w:p w14:paraId="0A8D4833" w14:textId="485D219E"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An </w:t>
      </w:r>
      <w:proofErr w:type="spellStart"/>
      <w:r w:rsidRPr="009975EA">
        <w:rPr>
          <w:rFonts w:ascii="Times New Roman" w:hAnsi="Times New Roman" w:cs="Times New Roman"/>
          <w:color w:val="000000"/>
          <w:sz w:val="20"/>
          <w:szCs w:val="20"/>
        </w:rPr>
        <w:t>ill-defined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doctrine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fraud</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possibly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applied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extreme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misbehavior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petition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ground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equitable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do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Short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drastic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winding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remedy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likely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without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recourse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procedural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inhibitors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i/>
          <w:iCs/>
          <w:color w:val="000000"/>
          <w:sz w:val="20"/>
          <w:szCs w:val="20"/>
        </w:rPr>
        <w:t>Foss</w:t>
      </w:r>
      <w:proofErr w:type="spellEnd"/>
      <w:r w:rsidRPr="009975EA">
        <w:rPr>
          <w:rFonts w:ascii="Times New Roman" w:hAnsi="Times New Roman" w:cs="Times New Roman"/>
          <w:i/>
          <w:iCs/>
          <w:color w:val="000000"/>
          <w:sz w:val="20"/>
          <w:szCs w:val="20"/>
        </w:rPr>
        <w:t xml:space="preserve"> v. </w:t>
      </w:r>
      <w:proofErr w:type="spellStart"/>
      <w:r w:rsidRPr="009975EA">
        <w:rPr>
          <w:rFonts w:ascii="Times New Roman" w:hAnsi="Times New Roman" w:cs="Times New Roman"/>
          <w:i/>
          <w:iCs/>
          <w:color w:val="000000"/>
          <w:sz w:val="20"/>
          <w:szCs w:val="20"/>
        </w:rPr>
        <w:t>Harbottle</w:t>
      </w:r>
      <w:proofErr w:type="spellEnd"/>
      <w:r w:rsidRPr="009975EA">
        <w:rPr>
          <w:rFonts w:ascii="Times New Roman" w:hAnsi="Times New Roman" w:cs="Times New Roman"/>
          <w:i/>
          <w:iCs/>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barred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derivative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arising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breaches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ratifiable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greatly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reduced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number</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actions</w:t>
      </w:r>
      <w:proofErr w:type="spellEnd"/>
      <w:r w:rsidRPr="009975EA">
        <w:rPr>
          <w:rFonts w:ascii="Times New Roman" w:hAnsi="Times New Roman" w:cs="Times New Roman"/>
          <w:color w:val="000000"/>
          <w:sz w:val="20"/>
          <w:szCs w:val="20"/>
        </w:rPr>
        <w:t xml:space="preserve">.' English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held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lacked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jurisdiction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interfere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English </w:t>
      </w:r>
      <w:proofErr w:type="spellStart"/>
      <w:r w:rsidRPr="009975EA">
        <w:rPr>
          <w:rFonts w:ascii="Times New Roman" w:hAnsi="Times New Roman" w:cs="Times New Roman"/>
          <w:color w:val="000000"/>
          <w:sz w:val="20"/>
          <w:szCs w:val="20"/>
        </w:rPr>
        <w:t>opinions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posited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elected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weak-willed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incompetent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foolish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were</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fault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consequences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selections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evident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English </w:t>
      </w:r>
      <w:proofErr w:type="spellStart"/>
      <w:r w:rsidRPr="009975EA">
        <w:rPr>
          <w:rFonts w:ascii="Times New Roman" w:hAnsi="Times New Roman" w:cs="Times New Roman"/>
          <w:color w:val="000000"/>
          <w:sz w:val="20"/>
          <w:szCs w:val="20"/>
        </w:rPr>
        <w:t>Companies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w:t>
      </w:r>
      <w:proofErr w:type="spellEnd"/>
      <w:r w:rsidRPr="009975EA">
        <w:rPr>
          <w:rFonts w:ascii="Times New Roman" w:hAnsi="Times New Roman" w:cs="Times New Roman"/>
          <w:color w:val="000000"/>
          <w:sz w:val="20"/>
          <w:szCs w:val="20"/>
        </w:rPr>
        <w:t xml:space="preserve"> of 1948 </w:t>
      </w:r>
      <w:proofErr w:type="spellStart"/>
      <w:r w:rsidRPr="009975EA">
        <w:rPr>
          <w:rFonts w:ascii="Times New Roman" w:hAnsi="Times New Roman" w:cs="Times New Roman"/>
          <w:color w:val="000000"/>
          <w:sz w:val="20"/>
          <w:szCs w:val="20"/>
        </w:rPr>
        <w:t>included</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permitted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remedies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order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sz w:val="20"/>
          <w:szCs w:val="20"/>
        </w:rPr>
        <w:t>Deborah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Demott</w:t>
      </w:r>
      <w:proofErr w:type="spellEnd"/>
      <w:r w:rsidRPr="009975EA">
        <w:rPr>
          <w:rFonts w:ascii="Times New Roman" w:hAnsi="Times New Roman" w:cs="Times New Roman"/>
          <w:sz w:val="20"/>
          <w:szCs w:val="20"/>
        </w:rPr>
        <w:t xml:space="preserve">, </w:t>
      </w:r>
      <w:proofErr w:type="spellStart"/>
      <w:r w:rsidRPr="007747A4">
        <w:rPr>
          <w:rFonts w:ascii="Times New Roman" w:hAnsi="Times New Roman" w:cs="Times New Roman"/>
          <w:i/>
          <w:sz w:val="20"/>
          <w:szCs w:val="20"/>
        </w:rPr>
        <w:t>Oppressed</w:t>
      </w:r>
      <w:proofErr w:type="spellEnd"/>
      <w:r w:rsidRPr="007747A4">
        <w:rPr>
          <w:rFonts w:ascii="Times New Roman" w:hAnsi="Times New Roman" w:cs="Times New Roman"/>
          <w:i/>
          <w:sz w:val="20"/>
          <w:szCs w:val="20"/>
        </w:rPr>
        <w:t xml:space="preserve"> but Not </w:t>
      </w:r>
      <w:proofErr w:type="spellStart"/>
      <w:r w:rsidRPr="007747A4">
        <w:rPr>
          <w:rFonts w:ascii="Times New Roman" w:hAnsi="Times New Roman" w:cs="Times New Roman"/>
          <w:i/>
          <w:sz w:val="20"/>
          <w:szCs w:val="20"/>
        </w:rPr>
        <w:t>Betrayed</w:t>
      </w:r>
      <w:proofErr w:type="spellEnd"/>
      <w:r w:rsidRPr="007747A4">
        <w:rPr>
          <w:rFonts w:ascii="Times New Roman" w:hAnsi="Times New Roman" w:cs="Times New Roman"/>
          <w:i/>
          <w:sz w:val="20"/>
          <w:szCs w:val="20"/>
        </w:rPr>
        <w:t xml:space="preserve">: A </w:t>
      </w:r>
      <w:proofErr w:type="spellStart"/>
      <w:r w:rsidRPr="007747A4">
        <w:rPr>
          <w:rFonts w:ascii="Times New Roman" w:hAnsi="Times New Roman" w:cs="Times New Roman"/>
          <w:i/>
          <w:sz w:val="20"/>
          <w:szCs w:val="20"/>
        </w:rPr>
        <w:t>Comparative</w:t>
      </w:r>
      <w:proofErr w:type="spellEnd"/>
      <w:r w:rsidRPr="007747A4">
        <w:rPr>
          <w:rFonts w:ascii="Times New Roman" w:hAnsi="Times New Roman" w:cs="Times New Roman"/>
          <w:i/>
          <w:sz w:val="20"/>
          <w:szCs w:val="20"/>
        </w:rPr>
        <w:t xml:space="preserve"> </w:t>
      </w:r>
      <w:proofErr w:type="spellStart"/>
      <w:r w:rsidRPr="007747A4">
        <w:rPr>
          <w:rFonts w:ascii="Times New Roman" w:hAnsi="Times New Roman" w:cs="Times New Roman"/>
          <w:i/>
          <w:sz w:val="20"/>
          <w:szCs w:val="20"/>
        </w:rPr>
        <w:t>Assessment</w:t>
      </w:r>
      <w:proofErr w:type="spellEnd"/>
      <w:r w:rsidRPr="007747A4">
        <w:rPr>
          <w:rFonts w:ascii="Times New Roman" w:hAnsi="Times New Roman" w:cs="Times New Roman"/>
          <w:i/>
          <w:sz w:val="20"/>
          <w:szCs w:val="20"/>
        </w:rPr>
        <w:t xml:space="preserve"> of </w:t>
      </w:r>
      <w:proofErr w:type="spellStart"/>
      <w:r w:rsidRPr="007747A4">
        <w:rPr>
          <w:rFonts w:ascii="Times New Roman" w:hAnsi="Times New Roman" w:cs="Times New Roman"/>
          <w:i/>
          <w:sz w:val="20"/>
          <w:szCs w:val="20"/>
        </w:rPr>
        <w:t>Canadian</w:t>
      </w:r>
      <w:proofErr w:type="spellEnd"/>
      <w:r w:rsidRPr="007747A4">
        <w:rPr>
          <w:rFonts w:ascii="Times New Roman" w:hAnsi="Times New Roman" w:cs="Times New Roman"/>
          <w:i/>
          <w:sz w:val="20"/>
          <w:szCs w:val="20"/>
        </w:rPr>
        <w:t xml:space="preserve"> </w:t>
      </w:r>
      <w:proofErr w:type="spellStart"/>
      <w:r w:rsidRPr="007747A4">
        <w:rPr>
          <w:rFonts w:ascii="Times New Roman" w:hAnsi="Times New Roman" w:cs="Times New Roman"/>
          <w:i/>
          <w:sz w:val="20"/>
          <w:szCs w:val="20"/>
        </w:rPr>
        <w:t>Remedies</w:t>
      </w:r>
      <w:proofErr w:type="spellEnd"/>
      <w:r w:rsidRPr="007747A4">
        <w:rPr>
          <w:rFonts w:ascii="Times New Roman" w:hAnsi="Times New Roman" w:cs="Times New Roman"/>
          <w:i/>
          <w:sz w:val="20"/>
          <w:szCs w:val="20"/>
        </w:rPr>
        <w:t xml:space="preserve"> </w:t>
      </w:r>
      <w:proofErr w:type="spellStart"/>
      <w:r w:rsidRPr="007747A4">
        <w:rPr>
          <w:rFonts w:ascii="Times New Roman" w:hAnsi="Times New Roman" w:cs="Times New Roman"/>
          <w:i/>
          <w:sz w:val="20"/>
          <w:szCs w:val="20"/>
        </w:rPr>
        <w:t>for</w:t>
      </w:r>
      <w:proofErr w:type="spellEnd"/>
      <w:r w:rsidRPr="007747A4">
        <w:rPr>
          <w:rFonts w:ascii="Times New Roman" w:hAnsi="Times New Roman" w:cs="Times New Roman"/>
          <w:i/>
          <w:sz w:val="20"/>
          <w:szCs w:val="20"/>
        </w:rPr>
        <w:t xml:space="preserve"> </w:t>
      </w:r>
      <w:proofErr w:type="spellStart"/>
      <w:r w:rsidRPr="007747A4">
        <w:rPr>
          <w:rFonts w:ascii="Times New Roman" w:hAnsi="Times New Roman" w:cs="Times New Roman"/>
          <w:i/>
          <w:sz w:val="20"/>
          <w:szCs w:val="20"/>
        </w:rPr>
        <w:t>Minority</w:t>
      </w:r>
      <w:proofErr w:type="spellEnd"/>
      <w:r w:rsidRPr="007747A4">
        <w:rPr>
          <w:rFonts w:ascii="Times New Roman" w:hAnsi="Times New Roman" w:cs="Times New Roman"/>
          <w:i/>
          <w:sz w:val="20"/>
          <w:szCs w:val="20"/>
        </w:rPr>
        <w:t xml:space="preserve"> </w:t>
      </w:r>
      <w:proofErr w:type="spellStart"/>
      <w:r w:rsidRPr="007747A4">
        <w:rPr>
          <w:rFonts w:ascii="Times New Roman" w:hAnsi="Times New Roman" w:cs="Times New Roman"/>
          <w:i/>
          <w:sz w:val="20"/>
          <w:szCs w:val="20"/>
        </w:rPr>
        <w:t>Sharehlders</w:t>
      </w:r>
      <w:proofErr w:type="spellEnd"/>
      <w:r w:rsidRPr="007747A4">
        <w:rPr>
          <w:rFonts w:ascii="Times New Roman" w:hAnsi="Times New Roman" w:cs="Times New Roman"/>
          <w:i/>
          <w:sz w:val="20"/>
          <w:szCs w:val="20"/>
        </w:rPr>
        <w:t xml:space="preserve"> </w:t>
      </w:r>
      <w:proofErr w:type="spellStart"/>
      <w:r w:rsidRPr="007747A4">
        <w:rPr>
          <w:rFonts w:ascii="Times New Roman" w:hAnsi="Times New Roman" w:cs="Times New Roman"/>
          <w:i/>
          <w:sz w:val="20"/>
          <w:szCs w:val="20"/>
        </w:rPr>
        <w:t>and</w:t>
      </w:r>
      <w:proofErr w:type="spellEnd"/>
      <w:r w:rsidRPr="007747A4">
        <w:rPr>
          <w:rFonts w:ascii="Times New Roman" w:hAnsi="Times New Roman" w:cs="Times New Roman"/>
          <w:i/>
          <w:sz w:val="20"/>
          <w:szCs w:val="20"/>
        </w:rPr>
        <w:t xml:space="preserve"> </w:t>
      </w:r>
      <w:proofErr w:type="spellStart"/>
      <w:r w:rsidRPr="007747A4">
        <w:rPr>
          <w:rFonts w:ascii="Times New Roman" w:hAnsi="Times New Roman" w:cs="Times New Roman"/>
          <w:i/>
          <w:sz w:val="20"/>
          <w:szCs w:val="20"/>
        </w:rPr>
        <w:t>Other</w:t>
      </w:r>
      <w:proofErr w:type="spellEnd"/>
      <w:r w:rsidRPr="007747A4">
        <w:rPr>
          <w:rFonts w:ascii="Times New Roman" w:hAnsi="Times New Roman" w:cs="Times New Roman"/>
          <w:i/>
          <w:sz w:val="20"/>
          <w:szCs w:val="20"/>
        </w:rPr>
        <w:t xml:space="preserve"> </w:t>
      </w:r>
      <w:proofErr w:type="spellStart"/>
      <w:r w:rsidRPr="007747A4">
        <w:rPr>
          <w:rFonts w:ascii="Times New Roman" w:hAnsi="Times New Roman" w:cs="Times New Roman"/>
          <w:i/>
          <w:sz w:val="20"/>
          <w:szCs w:val="20"/>
        </w:rPr>
        <w:t>Corporate</w:t>
      </w:r>
      <w:proofErr w:type="spellEnd"/>
      <w:r w:rsidRPr="007747A4">
        <w:rPr>
          <w:rFonts w:ascii="Times New Roman" w:hAnsi="Times New Roman" w:cs="Times New Roman"/>
          <w:i/>
          <w:sz w:val="20"/>
          <w:szCs w:val="20"/>
        </w:rPr>
        <w:t xml:space="preserve"> </w:t>
      </w:r>
      <w:proofErr w:type="spellStart"/>
      <w:r w:rsidRPr="007747A4">
        <w:rPr>
          <w:rFonts w:ascii="Times New Roman" w:hAnsi="Times New Roman" w:cs="Times New Roman"/>
          <w:i/>
          <w:sz w:val="20"/>
          <w:szCs w:val="20"/>
        </w:rPr>
        <w:t>Constituents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Contemporary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Problems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Vol</w:t>
      </w:r>
      <w:proofErr w:type="spellEnd"/>
      <w:r w:rsidRPr="009975EA">
        <w:rPr>
          <w:rFonts w:ascii="Times New Roman" w:hAnsi="Times New Roman" w:cs="Times New Roman"/>
          <w:sz w:val="20"/>
          <w:szCs w:val="20"/>
        </w:rPr>
        <w:t>. 56 No. 1 (1993)</w:t>
      </w:r>
      <w:r>
        <w:rPr>
          <w:rFonts w:ascii="Times New Roman" w:hAnsi="Times New Roman" w:cs="Times New Roman"/>
          <w:sz w:val="20"/>
          <w:szCs w:val="20"/>
        </w:rPr>
        <w:t xml:space="preserve"> at</w:t>
      </w:r>
      <w:r w:rsidRPr="009975EA">
        <w:rPr>
          <w:rFonts w:ascii="Times New Roman" w:hAnsi="Times New Roman" w:cs="Times New Roman"/>
          <w:color w:val="000000"/>
          <w:sz w:val="20"/>
          <w:szCs w:val="20"/>
        </w:rPr>
        <w:t xml:space="preserve"> 192)</w:t>
      </w:r>
    </w:p>
  </w:footnote>
  <w:footnote w:id="786">
    <w:p w14:paraId="1FE1C4C6" w14:textId="0A5769F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See, F. Hodge O’Neal, </w:t>
      </w:r>
      <w:r w:rsidRPr="009975EA">
        <w:rPr>
          <w:rFonts w:ascii="Times New Roman" w:hAnsi="Times New Roman" w:cs="Times New Roman"/>
          <w:sz w:val="20"/>
          <w:szCs w:val="20"/>
        </w:rPr>
        <w:t xml:space="preserve">Ronald R. Janke, </w:t>
      </w:r>
      <w:r w:rsidRPr="007747A4">
        <w:rPr>
          <w:rFonts w:ascii="Times New Roman" w:hAnsi="Times New Roman" w:cs="Times New Roman"/>
          <w:i/>
          <w:sz w:val="20"/>
          <w:szCs w:val="20"/>
        </w:rPr>
        <w:t>Utilizing Rule 10b-5 for Remedying Squeeze-Outs or Oppression of Minority Shareholders</w:t>
      </w:r>
      <w:r w:rsidRPr="009975EA">
        <w:rPr>
          <w:rFonts w:ascii="Times New Roman" w:hAnsi="Times New Roman" w:cs="Times New Roman"/>
          <w:sz w:val="20"/>
          <w:szCs w:val="20"/>
        </w:rPr>
        <w:t>, 16 Boston College Industrial and Commercial Law Review (1975), discussing the alternative options under U.S. federal securities law.</w:t>
      </w:r>
    </w:p>
  </w:footnote>
  <w:footnote w:id="787">
    <w:p w14:paraId="04D0EFBA" w14:textId="5E260C3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Demott</w:t>
      </w:r>
      <w:proofErr w:type="spellEnd"/>
      <w:r w:rsidRPr="009975EA">
        <w:rPr>
          <w:rFonts w:ascii="Times New Roman" w:hAnsi="Times New Roman" w:cs="Times New Roman"/>
          <w:sz w:val="20"/>
          <w:szCs w:val="20"/>
        </w:rPr>
        <w:t>, p.222.</w:t>
      </w:r>
    </w:p>
  </w:footnote>
  <w:footnote w:id="788">
    <w:p w14:paraId="7D28DB25"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Voeller</w:t>
      </w:r>
      <w:proofErr w:type="spellEnd"/>
      <w:r w:rsidRPr="009975EA">
        <w:rPr>
          <w:rFonts w:ascii="Times New Roman" w:hAnsi="Times New Roman" w:cs="Times New Roman"/>
          <w:sz w:val="20"/>
          <w:szCs w:val="20"/>
        </w:rPr>
        <w:t xml:space="preserve"> v. Neilston Warehouse Co., 311 U.S. 531 (1941).</w:t>
      </w:r>
    </w:p>
  </w:footnote>
  <w:footnote w:id="789">
    <w:p w14:paraId="236C152D"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Joy</w:t>
      </w:r>
      <w:proofErr w:type="spellEnd"/>
      <w:r w:rsidRPr="009975EA">
        <w:rPr>
          <w:rFonts w:ascii="Times New Roman" w:hAnsi="Times New Roman" w:cs="Times New Roman"/>
          <w:sz w:val="20"/>
          <w:szCs w:val="20"/>
        </w:rPr>
        <w:t xml:space="preserve"> v. North, 692 F. 2d 880 (1982):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seemingly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risky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alternatives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well</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choice</w:t>
      </w:r>
      <w:proofErr w:type="spellEnd"/>
      <w:r w:rsidRPr="009975EA">
        <w:rPr>
          <w:rFonts w:ascii="Times New Roman" w:hAnsi="Times New Roman" w:cs="Times New Roman"/>
          <w:color w:val="000000"/>
          <w:sz w:val="20"/>
          <w:szCs w:val="20"/>
        </w:rPr>
        <w:t xml:space="preserve"> since </w:t>
      </w:r>
      <w:proofErr w:type="spellStart"/>
      <w:r w:rsidRPr="009975EA">
        <w:rPr>
          <w:rFonts w:ascii="Times New Roman" w:hAnsi="Times New Roman" w:cs="Times New Roman"/>
          <w:color w:val="000000"/>
          <w:sz w:val="20"/>
          <w:szCs w:val="20"/>
        </w:rPr>
        <w:t>great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losses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over</w:t>
      </w:r>
      <w:proofErr w:type="spellEnd"/>
      <w:r w:rsidRPr="009975EA">
        <w:rPr>
          <w:rFonts w:ascii="Times New Roman" w:hAnsi="Times New Roman" w:cs="Times New Roman"/>
          <w:color w:val="000000"/>
          <w:sz w:val="20"/>
          <w:szCs w:val="20"/>
        </w:rPr>
        <w:t xml:space="preserve"> time be </w:t>
      </w:r>
      <w:proofErr w:type="spellStart"/>
      <w:r w:rsidRPr="009975EA">
        <w:rPr>
          <w:rFonts w:ascii="Times New Roman" w:hAnsi="Times New Roman" w:cs="Times New Roman"/>
          <w:color w:val="000000"/>
          <w:sz w:val="20"/>
          <w:szCs w:val="20"/>
        </w:rPr>
        <w:t>offset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greater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gains</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others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Given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mutual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similar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forms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diversified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need</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bend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backwards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special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protection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refuse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reduce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volatility</w:t>
      </w:r>
      <w:proofErr w:type="spellEnd"/>
      <w:r w:rsidRPr="009975EA">
        <w:rPr>
          <w:rFonts w:ascii="Times New Roman" w:hAnsi="Times New Roman" w:cs="Times New Roman"/>
          <w:color w:val="000000"/>
          <w:sz w:val="20"/>
          <w:szCs w:val="20"/>
        </w:rPr>
        <w:t xml:space="preserve"> of risk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diversifying</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rule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penalizes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choice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seemingly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riskier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alternatives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not be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interest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generally</w:t>
      </w:r>
      <w:proofErr w:type="spellEnd"/>
      <w:r w:rsidRPr="009975EA">
        <w:rPr>
          <w:rFonts w:ascii="Times New Roman" w:hAnsi="Times New Roman" w:cs="Times New Roman"/>
          <w:color w:val="000000"/>
          <w:sz w:val="20"/>
          <w:szCs w:val="20"/>
        </w:rPr>
        <w:t>.”</w:t>
      </w:r>
    </w:p>
  </w:footnote>
  <w:footnote w:id="790">
    <w:p w14:paraId="45952741"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“Some controlling shareholders’ </w:t>
      </w:r>
      <w:proofErr w:type="spellStart"/>
      <w:r w:rsidRPr="009975EA">
        <w:rPr>
          <w:rFonts w:ascii="Times New Roman" w:hAnsi="Times New Roman" w:cs="Times New Roman"/>
          <w:sz w:val="20"/>
          <w:szCs w:val="20"/>
        </w:rPr>
        <w:t>preferenes</w:t>
      </w:r>
      <w:proofErr w:type="spellEnd"/>
      <w:r w:rsidRPr="009975EA">
        <w:rPr>
          <w:rFonts w:ascii="Times New Roman" w:hAnsi="Times New Roman" w:cs="Times New Roman"/>
          <w:sz w:val="20"/>
          <w:szCs w:val="20"/>
        </w:rPr>
        <w:t xml:space="preserve"> may simply reflect misjudgment or overconfidence. To the extent that the controlling shareholder or her heirs wish to go on directly managing the company, there may be a powerful inclination to overinvest int the company’s existing businesses- those with which the family manager is more comfortable- even though other opportunities that require different managerial skills may offer higher returns. Alternatively, the controlling shareholder may prefer to enter new businesses about which she knows little but that are alluring personally… To the extent these actions are motivated by nonpecuniary benefits of control, the fact that they reduce value may matter a great deal to the country as a whole even if minority shareholders accurately predict the controlling family’s preferences and abilities.” (Gilson, p.1667)</w:t>
      </w:r>
    </w:p>
  </w:footnote>
  <w:footnote w:id="791">
    <w:p w14:paraId="04752735"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a similar analogy in the context of director’s political spending, see; Kwak, p. 263.</w:t>
      </w:r>
    </w:p>
  </w:footnote>
  <w:footnote w:id="792">
    <w:p w14:paraId="36CBAB53" w14:textId="47B9FE7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Ragazzo</w:t>
      </w:r>
      <w:proofErr w:type="spellEnd"/>
      <w:r w:rsidRPr="009975EA">
        <w:rPr>
          <w:rFonts w:ascii="Times New Roman" w:hAnsi="Times New Roman" w:cs="Times New Roman"/>
          <w:sz w:val="20"/>
          <w:szCs w:val="20"/>
        </w:rPr>
        <w:t>, p. 1116.</w:t>
      </w:r>
    </w:p>
  </w:footnote>
  <w:footnote w:id="793">
    <w:p w14:paraId="1D6DD726" w14:textId="77777777" w:rsidR="00D36541" w:rsidRPr="009975EA" w:rsidRDefault="00D36541" w:rsidP="009975EA">
      <w:pPr>
        <w:pStyle w:val="DipnotMetni"/>
        <w:tabs>
          <w:tab w:val="left" w:pos="2749"/>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Cheffins, p. 797.</w:t>
      </w:r>
      <w:r w:rsidRPr="009975EA">
        <w:rPr>
          <w:rFonts w:ascii="Times New Roman" w:hAnsi="Times New Roman" w:cs="Times New Roman"/>
          <w:sz w:val="20"/>
          <w:szCs w:val="20"/>
        </w:rPr>
        <w:tab/>
      </w:r>
    </w:p>
  </w:footnote>
  <w:footnote w:id="794">
    <w:p w14:paraId="19E39DCE"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Thompson, Corporate Dissolution, p.226.</w:t>
      </w:r>
    </w:p>
  </w:footnote>
  <w:footnote w:id="795">
    <w:p w14:paraId="1661121C" w14:textId="42931DA6" w:rsidR="00D36541" w:rsidRPr="009975EA" w:rsidRDefault="00D36541" w:rsidP="009975EA">
      <w:pPr>
        <w:widowControl w:val="0"/>
        <w:autoSpaceDE w:val="0"/>
        <w:autoSpaceDN w:val="0"/>
        <w:adjustRightInd w:val="0"/>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An English </w:t>
      </w:r>
      <w:proofErr w:type="spellStart"/>
      <w:r w:rsidRPr="009975EA">
        <w:rPr>
          <w:rFonts w:ascii="Times New Roman" w:hAnsi="Times New Roman" w:cs="Times New Roman"/>
          <w:color w:val="000000" w:themeColor="text1"/>
          <w:sz w:val="20"/>
          <w:szCs w:val="20"/>
        </w:rPr>
        <w:t>court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stresses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this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point</w:t>
      </w:r>
      <w:proofErr w:type="spellEnd"/>
      <w:r w:rsidRPr="009975EA">
        <w:rPr>
          <w:rFonts w:ascii="Times New Roman" w:hAnsi="Times New Roman" w:cs="Times New Roman"/>
          <w:color w:val="000000" w:themeColor="text1"/>
          <w:sz w:val="20"/>
          <w:szCs w:val="20"/>
        </w:rPr>
        <w:t xml:space="preserve"> as </w:t>
      </w:r>
      <w:proofErr w:type="spellStart"/>
      <w:r w:rsidRPr="009975EA">
        <w:rPr>
          <w:rFonts w:ascii="Times New Roman" w:hAnsi="Times New Roman" w:cs="Times New Roman"/>
          <w:color w:val="000000" w:themeColor="text1"/>
          <w:sz w:val="20"/>
          <w:szCs w:val="20"/>
        </w:rPr>
        <w:t>follows</w:t>
      </w:r>
      <w:proofErr w:type="spellEnd"/>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themeColor="text1"/>
          <w:sz w:val="20"/>
          <w:szCs w:val="20"/>
        </w:rPr>
        <w:t>Outside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investors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were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entitled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assume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whole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constitution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was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contained</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articles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read</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course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together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with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Companies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Acts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There</w:t>
      </w:r>
      <w:proofErr w:type="spellEnd"/>
      <w:r w:rsidRPr="009975EA">
        <w:rPr>
          <w:rFonts w:ascii="Times New Roman" w:hAnsi="Times New Roman" w:cs="Times New Roman"/>
          <w:color w:val="000000" w:themeColor="text1"/>
          <w:sz w:val="20"/>
          <w:szCs w:val="20"/>
        </w:rPr>
        <w:t xml:space="preserve"> is in </w:t>
      </w:r>
      <w:proofErr w:type="spellStart"/>
      <w:r w:rsidRPr="009975EA">
        <w:rPr>
          <w:rFonts w:ascii="Times New Roman" w:hAnsi="Times New Roman" w:cs="Times New Roman"/>
          <w:color w:val="000000" w:themeColor="text1"/>
          <w:sz w:val="20"/>
          <w:szCs w:val="20"/>
        </w:rPr>
        <w:t>those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circumstances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no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room</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legitimate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expectation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founded</w:t>
      </w:r>
      <w:proofErr w:type="spellEnd"/>
      <w:r w:rsidRPr="009975EA">
        <w:rPr>
          <w:rFonts w:ascii="Times New Roman" w:hAnsi="Times New Roman" w:cs="Times New Roman"/>
          <w:color w:val="000000" w:themeColor="text1"/>
          <w:sz w:val="20"/>
          <w:szCs w:val="20"/>
        </w:rPr>
        <w:t xml:space="preserve"> on </w:t>
      </w:r>
      <w:proofErr w:type="spellStart"/>
      <w:r w:rsidRPr="009975EA">
        <w:rPr>
          <w:rFonts w:ascii="Times New Roman" w:hAnsi="Times New Roman" w:cs="Times New Roman"/>
          <w:color w:val="000000" w:themeColor="text1"/>
          <w:sz w:val="20"/>
          <w:szCs w:val="20"/>
        </w:rPr>
        <w:t>some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agreement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arrangement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between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directors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kept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up</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their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sleeves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not </w:t>
      </w:r>
      <w:proofErr w:type="spellStart"/>
      <w:r w:rsidRPr="009975EA">
        <w:rPr>
          <w:rFonts w:ascii="Times New Roman" w:hAnsi="Times New Roman" w:cs="Times New Roman"/>
          <w:color w:val="000000" w:themeColor="text1"/>
          <w:sz w:val="20"/>
          <w:szCs w:val="20"/>
        </w:rPr>
        <w:t>disclosed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those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placing</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shares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with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public</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through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USM.” (Re Blue </w:t>
      </w:r>
      <w:proofErr w:type="spellStart"/>
      <w:r w:rsidRPr="009975EA">
        <w:rPr>
          <w:rFonts w:ascii="Times New Roman" w:hAnsi="Times New Roman" w:cs="Times New Roman"/>
          <w:color w:val="000000" w:themeColor="text1"/>
          <w:sz w:val="20"/>
          <w:szCs w:val="20"/>
        </w:rPr>
        <w:t>Arrow</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plc</w:t>
      </w:r>
      <w:proofErr w:type="spellEnd"/>
      <w:r w:rsidRPr="009975EA">
        <w:rPr>
          <w:rFonts w:ascii="Times New Roman" w:hAnsi="Times New Roman" w:cs="Times New Roman"/>
          <w:color w:val="000000" w:themeColor="text1"/>
          <w:sz w:val="20"/>
          <w:szCs w:val="20"/>
        </w:rPr>
        <w:t xml:space="preserve"> (1987) 3 B.C.C. 618).</w:t>
      </w:r>
    </w:p>
  </w:footnote>
  <w:footnote w:id="796">
    <w:p w14:paraId="31A0859E" w14:textId="171A33C9" w:rsidR="00D36541" w:rsidRPr="009975EA" w:rsidRDefault="00D36541" w:rsidP="009975EA">
      <w:pPr>
        <w:pStyle w:val="DipnotMetni"/>
        <w:jc w:val="both"/>
        <w:rPr>
          <w:rFonts w:ascii="Times New Roman" w:hAnsi="Times New Roman" w:cs="Times New Roman"/>
          <w:color w:val="000000" w:themeColor="text1"/>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themeColor="text1"/>
          <w:sz w:val="20"/>
          <w:szCs w:val="20"/>
        </w:rPr>
        <w:t xml:space="preserve">“In large publicly held corporations there will… be a marked tendency to view the parties as arm’s- length players, each entitled to rely upon the strict wording of their contract.” (Chapman, p.207). </w:t>
      </w:r>
    </w:p>
  </w:footnote>
  <w:footnote w:id="797">
    <w:p w14:paraId="4EBFE21A" w14:textId="70433860"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Boehringer</w:t>
      </w:r>
      <w:proofErr w:type="spellEnd"/>
      <w:r w:rsidRPr="009975EA">
        <w:rPr>
          <w:rFonts w:ascii="Times New Roman" w:hAnsi="Times New Roman" w:cs="Times New Roman"/>
          <w:color w:val="000000"/>
          <w:sz w:val="20"/>
          <w:szCs w:val="20"/>
        </w:rPr>
        <w:t xml:space="preserve"> v. </w:t>
      </w:r>
      <w:proofErr w:type="spellStart"/>
      <w:r w:rsidRPr="009975EA">
        <w:rPr>
          <w:rFonts w:ascii="Times New Roman" w:hAnsi="Times New Roman" w:cs="Times New Roman"/>
          <w:color w:val="000000"/>
          <w:sz w:val="20"/>
          <w:szCs w:val="20"/>
        </w:rPr>
        <w:t>Konkel</w:t>
      </w:r>
      <w:proofErr w:type="spellEnd"/>
      <w:r w:rsidRPr="009975EA">
        <w:rPr>
          <w:rFonts w:ascii="Times New Roman" w:hAnsi="Times New Roman" w:cs="Times New Roman"/>
          <w:color w:val="000000"/>
          <w:sz w:val="20"/>
          <w:szCs w:val="20"/>
        </w:rPr>
        <w:t>, 404 S.W.3d 18 (2013):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proof</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giving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particular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showing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circumstances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case</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well</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central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decision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join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venture</w:t>
      </w:r>
      <w:proofErr w:type="spellEnd"/>
      <w:r w:rsidRPr="009975EA">
        <w:rPr>
          <w:rFonts w:ascii="Times New Roman" w:hAnsi="Times New Roman" w:cs="Times New Roman"/>
          <w:color w:val="000000"/>
          <w:sz w:val="20"/>
          <w:szCs w:val="20"/>
        </w:rPr>
        <w:t xml:space="preserve">… General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being</w:t>
      </w:r>
      <w:proofErr w:type="spellEnd"/>
      <w:r w:rsidRPr="009975EA">
        <w:rPr>
          <w:rFonts w:ascii="Times New Roman" w:eastAsia="MS Mincho" w:hAnsi="Times New Roman" w:cs="Times New Roman"/>
          <w:color w:val="000000"/>
          <w:sz w:val="20"/>
          <w:szCs w:val="20"/>
        </w:rPr>
        <w:t xml:space="preserve"> </w:t>
      </w:r>
      <w:r w:rsidRPr="009975EA">
        <w:rPr>
          <w:rFonts w:ascii="Times New Roman" w:hAnsi="Times New Roman" w:cs="Times New Roman"/>
          <w:color w:val="000000"/>
          <w:sz w:val="20"/>
          <w:szCs w:val="20"/>
        </w:rPr>
        <w:t xml:space="preserve">a </w:t>
      </w:r>
      <w:proofErr w:type="spellStart"/>
      <w:r w:rsidRPr="009975EA">
        <w:rPr>
          <w:rFonts w:ascii="Times New Roman" w:hAnsi="Times New Roman" w:cs="Times New Roman"/>
          <w:color w:val="000000"/>
          <w:sz w:val="20"/>
          <w:szCs w:val="20"/>
        </w:rPr>
        <w:t>shareholder</w:t>
      </w:r>
      <w:proofErr w:type="spellEnd"/>
      <w:r w:rsidRPr="009975EA">
        <w:rPr>
          <w:rFonts w:ascii="Times New Roman" w:hAnsi="Times New Roman" w:cs="Times New Roman"/>
          <w:color w:val="000000"/>
          <w:sz w:val="20"/>
          <w:szCs w:val="20"/>
        </w:rPr>
        <w:t xml:space="preserve">.” </w:t>
      </w:r>
    </w:p>
  </w:footnote>
  <w:footnote w:id="798">
    <w:p w14:paraId="7AD45FBE" w14:textId="00B54C2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“…specific reasonable expectations are personal in nature. As mentioned, under the investment model, a specific reasonable expectation represents an individually tailored investment bargain that a majority shareholder entered into with a particular minority shareholder.” (Moll, Shareholder Oppression &amp; </w:t>
      </w:r>
      <w:proofErr w:type="spellStart"/>
      <w:r w:rsidRPr="009975EA">
        <w:rPr>
          <w:rFonts w:ascii="Times New Roman" w:hAnsi="Times New Roman" w:cs="Times New Roman"/>
          <w:sz w:val="20"/>
          <w:szCs w:val="20"/>
        </w:rPr>
        <w:t>Reasonble</w:t>
      </w:r>
      <w:proofErr w:type="spellEnd"/>
      <w:r w:rsidRPr="009975EA">
        <w:rPr>
          <w:rFonts w:ascii="Times New Roman" w:hAnsi="Times New Roman" w:cs="Times New Roman"/>
          <w:sz w:val="20"/>
          <w:szCs w:val="20"/>
        </w:rPr>
        <w:t xml:space="preserve"> Expectations: Of Change, Gifts, and Inheritances, p. 773) </w:t>
      </w:r>
    </w:p>
  </w:footnote>
  <w:footnote w:id="799">
    <w:p w14:paraId="3A9BDF61" w14:textId="61C43418"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r w:rsidRPr="009975EA">
        <w:rPr>
          <w:rFonts w:ascii="Times New Roman" w:hAnsi="Times New Roman" w:cs="Times New Roman"/>
          <w:color w:val="000000"/>
          <w:sz w:val="20"/>
          <w:szCs w:val="20"/>
        </w:rPr>
        <w:t xml:space="preserve">Under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model's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view</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exists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both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bargain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provides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specific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benefit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employment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is hard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argue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requisite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assent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present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hypothetical</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situation</w:t>
      </w:r>
      <w:proofErr w:type="spellEnd"/>
      <w:r w:rsidRPr="009975EA">
        <w:rPr>
          <w:rFonts w:ascii="Times New Roman" w:hAnsi="Times New Roman" w:cs="Times New Roman"/>
          <w:color w:val="000000"/>
          <w:sz w:val="20"/>
          <w:szCs w:val="20"/>
        </w:rPr>
        <w:t xml:space="preserve"> is not </w:t>
      </w:r>
      <w:proofErr w:type="spellStart"/>
      <w:r w:rsidRPr="009975EA">
        <w:rPr>
          <w:rFonts w:ascii="Times New Roman" w:hAnsi="Times New Roman" w:cs="Times New Roman"/>
          <w:color w:val="000000"/>
          <w:sz w:val="20"/>
          <w:szCs w:val="20"/>
        </w:rPr>
        <w:t>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employment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arrangement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bargained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between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themselves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Instead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injected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relationship</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form of </w:t>
      </w:r>
      <w:proofErr w:type="spellStart"/>
      <w:r w:rsidRPr="009975EA">
        <w:rPr>
          <w:rFonts w:ascii="Times New Roman" w:hAnsi="Times New Roman" w:cs="Times New Roman"/>
          <w:color w:val="000000"/>
          <w:sz w:val="20"/>
          <w:szCs w:val="20"/>
        </w:rPr>
        <w:t>bargaining</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all</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sz w:val="20"/>
          <w:szCs w:val="20"/>
        </w:rPr>
        <w:t>Moll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Oppression</w:t>
      </w:r>
      <w:proofErr w:type="spellEnd"/>
      <w:r w:rsidRPr="009975EA">
        <w:rPr>
          <w:rFonts w:ascii="Times New Roman" w:hAnsi="Times New Roman" w:cs="Times New Roman"/>
          <w:sz w:val="20"/>
          <w:szCs w:val="20"/>
        </w:rPr>
        <w:t xml:space="preserve"> &amp; </w:t>
      </w:r>
      <w:proofErr w:type="spellStart"/>
      <w:r w:rsidRPr="009975EA">
        <w:rPr>
          <w:rFonts w:ascii="Times New Roman" w:hAnsi="Times New Roman" w:cs="Times New Roman"/>
          <w:sz w:val="20"/>
          <w:szCs w:val="20"/>
        </w:rPr>
        <w:t>Reasonble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Expectations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Change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Gifts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Inheritances</w:t>
      </w:r>
      <w:proofErr w:type="spellEnd"/>
      <w:r w:rsidRPr="009975EA">
        <w:rPr>
          <w:rFonts w:ascii="Times New Roman" w:hAnsi="Times New Roman" w:cs="Times New Roman"/>
          <w:sz w:val="20"/>
          <w:szCs w:val="20"/>
        </w:rPr>
        <w:t>,</w:t>
      </w:r>
      <w:r w:rsidRPr="009975EA">
        <w:rPr>
          <w:rFonts w:ascii="Times New Roman" w:hAnsi="Times New Roman" w:cs="Times New Roman"/>
          <w:color w:val="000000"/>
          <w:sz w:val="20"/>
          <w:szCs w:val="20"/>
        </w:rPr>
        <w:t xml:space="preserve"> p.784)</w:t>
      </w:r>
    </w:p>
  </w:footnote>
  <w:footnote w:id="800">
    <w:p w14:paraId="1DBF8CC3" w14:textId="4B60990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Royals v. Piedmont Elec. Repair Co., 137 N.C. App. 700 (2000): “Although Glenn’s initial expectation with respect to fair value might have been less than book value linked with a subsidized annual compensation or consulting fee, this expectation changed following the 10 February 1994 director’s meeting, at which time PERCO cut off Glenn’s compensation altogether. Following this meeting, defendants cannot claim that the parties had the same expectations as before.”).</w:t>
      </w:r>
    </w:p>
  </w:footnote>
  <w:footnote w:id="801">
    <w:p w14:paraId="46939E81" w14:textId="3162CF04"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color w:val="000000" w:themeColor="text1"/>
          <w:sz w:val="20"/>
          <w:szCs w:val="20"/>
        </w:rPr>
        <w:footnoteRef/>
      </w:r>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Although</w:t>
      </w:r>
      <w:proofErr w:type="spellEnd"/>
      <w:r w:rsidRPr="009975EA">
        <w:rPr>
          <w:rFonts w:ascii="Times New Roman" w:hAnsi="Times New Roman" w:cs="Times New Roman"/>
          <w:color w:val="000000" w:themeColor="text1"/>
          <w:sz w:val="20"/>
          <w:szCs w:val="20"/>
        </w:rPr>
        <w:t xml:space="preserve"> not </w:t>
      </w:r>
      <w:proofErr w:type="spellStart"/>
      <w:r w:rsidRPr="009975EA">
        <w:rPr>
          <w:rFonts w:ascii="Times New Roman" w:hAnsi="Times New Roman" w:cs="Times New Roman"/>
          <w:color w:val="000000" w:themeColor="text1"/>
          <w:sz w:val="20"/>
          <w:szCs w:val="20"/>
        </w:rPr>
        <w:t>discussed</w:t>
      </w:r>
      <w:proofErr w:type="spellEnd"/>
      <w:r w:rsidRPr="009975EA">
        <w:rPr>
          <w:rFonts w:ascii="Times New Roman" w:hAnsi="Times New Roman" w:cs="Times New Roman"/>
          <w:color w:val="000000" w:themeColor="text1"/>
          <w:sz w:val="20"/>
          <w:szCs w:val="20"/>
        </w:rPr>
        <w:t xml:space="preserve"> in U.S. </w:t>
      </w:r>
      <w:proofErr w:type="spellStart"/>
      <w:r w:rsidRPr="009975EA">
        <w:rPr>
          <w:rFonts w:ascii="Times New Roman" w:hAnsi="Times New Roman" w:cs="Times New Roman"/>
          <w:color w:val="000000" w:themeColor="text1"/>
          <w:sz w:val="20"/>
          <w:szCs w:val="20"/>
        </w:rPr>
        <w:t>law</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Canadian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law</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accepts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public</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announcements</w:t>
      </w:r>
      <w:proofErr w:type="spellEnd"/>
      <w:r w:rsidRPr="009975EA">
        <w:rPr>
          <w:rFonts w:ascii="Times New Roman" w:hAnsi="Times New Roman" w:cs="Times New Roman"/>
          <w:color w:val="000000" w:themeColor="text1"/>
          <w:sz w:val="20"/>
          <w:szCs w:val="20"/>
        </w:rPr>
        <w:t xml:space="preserve"> of a </w:t>
      </w:r>
      <w:proofErr w:type="spellStart"/>
      <w:r w:rsidRPr="009975EA">
        <w:rPr>
          <w:rFonts w:ascii="Times New Roman" w:hAnsi="Times New Roman" w:cs="Times New Roman"/>
          <w:color w:val="000000" w:themeColor="text1"/>
          <w:sz w:val="20"/>
          <w:szCs w:val="20"/>
        </w:rPr>
        <w:t>publicly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traded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corporation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promises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can </w:t>
      </w:r>
      <w:proofErr w:type="spellStart"/>
      <w:r w:rsidRPr="009975EA">
        <w:rPr>
          <w:rFonts w:ascii="Times New Roman" w:hAnsi="Times New Roman" w:cs="Times New Roman"/>
          <w:color w:val="000000" w:themeColor="text1"/>
          <w:sz w:val="20"/>
          <w:szCs w:val="20"/>
        </w:rPr>
        <w:t>create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sz w:val="20"/>
          <w:szCs w:val="20"/>
        </w:rPr>
        <w:t>reasonable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expectations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Themadel</w:t>
      </w:r>
      <w:proofErr w:type="spellEnd"/>
      <w:r w:rsidRPr="009975EA">
        <w:rPr>
          <w:rFonts w:ascii="Times New Roman" w:hAnsi="Times New Roman" w:cs="Times New Roman"/>
          <w:sz w:val="20"/>
          <w:szCs w:val="20"/>
        </w:rPr>
        <w:t xml:space="preserve"> Foundation v. Third </w:t>
      </w:r>
      <w:proofErr w:type="spellStart"/>
      <w:r w:rsidRPr="009975EA">
        <w:rPr>
          <w:rFonts w:ascii="Times New Roman" w:hAnsi="Times New Roman" w:cs="Times New Roman"/>
          <w:sz w:val="20"/>
          <w:szCs w:val="20"/>
        </w:rPr>
        <w:t>Canadian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Investment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Trust</w:t>
      </w:r>
      <w:proofErr w:type="spellEnd"/>
      <w:r w:rsidRPr="009975EA">
        <w:rPr>
          <w:rFonts w:ascii="Times New Roman" w:hAnsi="Times New Roman" w:cs="Times New Roman"/>
          <w:sz w:val="20"/>
          <w:szCs w:val="20"/>
        </w:rPr>
        <w:t xml:space="preserve"> Ltd., 1995 7040 (ON SC) (“</w:t>
      </w:r>
      <w:proofErr w:type="spellStart"/>
      <w:r w:rsidRPr="009975EA">
        <w:rPr>
          <w:rFonts w:ascii="Times New Roman" w:hAnsi="Times New Roman" w:cs="Times New Roman"/>
          <w:sz w:val="20"/>
          <w:szCs w:val="20"/>
        </w:rPr>
        <w:t>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strikes</w:t>
      </w:r>
      <w:proofErr w:type="spellEnd"/>
      <w:r w:rsidRPr="009975EA">
        <w:rPr>
          <w:rFonts w:ascii="Times New Roman" w:hAnsi="Times New Roman" w:cs="Times New Roman"/>
          <w:sz w:val="20"/>
          <w:szCs w:val="20"/>
        </w:rPr>
        <w:t xml:space="preserve"> me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once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promise</w:t>
      </w:r>
      <w:proofErr w:type="spellEnd"/>
      <w:r w:rsidRPr="009975EA">
        <w:rPr>
          <w:rFonts w:ascii="Times New Roman" w:hAnsi="Times New Roman" w:cs="Times New Roman"/>
          <w:sz w:val="20"/>
          <w:szCs w:val="20"/>
        </w:rPr>
        <w:t xml:space="preserve">” has </w:t>
      </w:r>
      <w:proofErr w:type="spellStart"/>
      <w:r w:rsidRPr="009975EA">
        <w:rPr>
          <w:rFonts w:ascii="Times New Roman" w:hAnsi="Times New Roman" w:cs="Times New Roman"/>
          <w:sz w:val="20"/>
          <w:szCs w:val="20"/>
        </w:rPr>
        <w:t>been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made</w:t>
      </w:r>
      <w:proofErr w:type="spellEnd"/>
      <w:r w:rsidRPr="009975EA">
        <w:rPr>
          <w:rFonts w:ascii="Times New Roman" w:hAnsi="Times New Roman" w:cs="Times New Roman"/>
          <w:sz w:val="20"/>
          <w:szCs w:val="20"/>
        </w:rPr>
        <w:t xml:space="preserve"> (in a </w:t>
      </w:r>
      <w:proofErr w:type="spellStart"/>
      <w:r w:rsidRPr="009975EA">
        <w:rPr>
          <w:rFonts w:ascii="Times New Roman" w:hAnsi="Times New Roman" w:cs="Times New Roman"/>
          <w:sz w:val="20"/>
          <w:szCs w:val="20"/>
        </w:rPr>
        <w:t>corporate</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securities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legislation</w:t>
      </w:r>
      <w:proofErr w:type="spellEnd"/>
      <w:r w:rsidRPr="009975EA">
        <w:rPr>
          <w:rFonts w:ascii="Times New Roman" w:hAnsi="Times New Roman" w:cs="Times New Roman"/>
          <w:sz w:val="20"/>
          <w:szCs w:val="20"/>
        </w:rPr>
        <w:t xml:space="preserve"> sense as </w:t>
      </w:r>
      <w:proofErr w:type="spellStart"/>
      <w:r w:rsidRPr="009975EA">
        <w:rPr>
          <w:rFonts w:ascii="Times New Roman" w:hAnsi="Times New Roman" w:cs="Times New Roman"/>
          <w:sz w:val="20"/>
          <w:szCs w:val="20"/>
        </w:rPr>
        <w:t>we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have</w:t>
      </w:r>
      <w:proofErr w:type="spellEnd"/>
      <w:r w:rsidRPr="009975EA">
        <w:rPr>
          <w:rFonts w:ascii="Times New Roman" w:hAnsi="Times New Roman" w:cs="Times New Roman"/>
          <w:sz w:val="20"/>
          <w:szCs w:val="20"/>
        </w:rPr>
        <w:t xml:space="preserve"> here </w:t>
      </w:r>
      <w:proofErr w:type="spellStart"/>
      <w:r w:rsidRPr="009975EA">
        <w:rPr>
          <w:rFonts w:ascii="Times New Roman" w:hAnsi="Times New Roman" w:cs="Times New Roman"/>
          <w:sz w:val="20"/>
          <w:szCs w:val="20"/>
        </w:rPr>
        <w:t>through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information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circulars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press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releases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be </w:t>
      </w:r>
      <w:proofErr w:type="spellStart"/>
      <w:r w:rsidRPr="009975EA">
        <w:rPr>
          <w:rFonts w:ascii="Times New Roman" w:hAnsi="Times New Roman" w:cs="Times New Roman"/>
          <w:sz w:val="20"/>
          <w:szCs w:val="20"/>
        </w:rPr>
        <w:t>translated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issuer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bids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promise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becomes</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reasonable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expectation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deserves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protection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through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oppression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provisions</w:t>
      </w:r>
      <w:proofErr w:type="spellEnd"/>
      <w:r w:rsidRPr="009975EA">
        <w:rPr>
          <w:rFonts w:ascii="Times New Roman" w:hAnsi="Times New Roman" w:cs="Times New Roman"/>
          <w:sz w:val="20"/>
          <w:szCs w:val="20"/>
        </w:rPr>
        <w:t>…</w:t>
      </w:r>
      <w:r w:rsidRPr="009975EA">
        <w:rPr>
          <w:rFonts w:ascii="Times New Roman" w:eastAsiaTheme="minorHAnsi" w:hAnsi="Times New Roman" w:cs="Times New Roman"/>
          <w:sz w:val="20"/>
          <w:szCs w:val="20"/>
        </w:rPr>
        <w:t xml:space="preserve">   I </w:t>
      </w:r>
      <w:proofErr w:type="spellStart"/>
      <w:r w:rsidRPr="009975EA">
        <w:rPr>
          <w:rFonts w:ascii="Times New Roman" w:eastAsiaTheme="minorHAnsi" w:hAnsi="Times New Roman" w:cs="Times New Roman"/>
          <w:sz w:val="20"/>
          <w:szCs w:val="20"/>
        </w:rPr>
        <w:t>think</w:t>
      </w:r>
      <w:proofErr w:type="spellEnd"/>
      <w:r w:rsidRPr="009975EA">
        <w:rPr>
          <w:rFonts w:ascii="Times New Roman" w:eastAsiaTheme="minorHAnsi" w:hAnsi="Times New Roman" w:cs="Times New Roman"/>
          <w:sz w:val="20"/>
          <w:szCs w:val="20"/>
        </w:rPr>
        <w:t xml:space="preserve"> it </w:t>
      </w:r>
      <w:proofErr w:type="spellStart"/>
      <w:r w:rsidRPr="009975EA">
        <w:rPr>
          <w:rFonts w:ascii="Times New Roman" w:eastAsiaTheme="minorHAnsi" w:hAnsi="Times New Roman" w:cs="Times New Roman"/>
          <w:sz w:val="20"/>
          <w:szCs w:val="20"/>
        </w:rPr>
        <w:t>reasonable</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that</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shareholders</w:t>
      </w:r>
      <w:proofErr w:type="spellEnd"/>
      <w:r w:rsidRPr="009975EA">
        <w:rPr>
          <w:rFonts w:ascii="Times New Roman" w:eastAsiaTheme="minorHAnsi" w:hAnsi="Times New Roman" w:cs="Times New Roman"/>
          <w:sz w:val="20"/>
          <w:szCs w:val="20"/>
        </w:rPr>
        <w:t xml:space="preserve"> be </w:t>
      </w:r>
      <w:proofErr w:type="spellStart"/>
      <w:r w:rsidRPr="009975EA">
        <w:rPr>
          <w:rFonts w:ascii="Times New Roman" w:eastAsiaTheme="minorHAnsi" w:hAnsi="Times New Roman" w:cs="Times New Roman"/>
          <w:sz w:val="20"/>
          <w:szCs w:val="20"/>
        </w:rPr>
        <w:t>entitled</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to</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rely</w:t>
      </w:r>
      <w:proofErr w:type="spellEnd"/>
      <w:r w:rsidRPr="009975EA">
        <w:rPr>
          <w:rFonts w:ascii="Times New Roman" w:eastAsiaTheme="minorHAnsi" w:hAnsi="Times New Roman" w:cs="Times New Roman"/>
          <w:sz w:val="20"/>
          <w:szCs w:val="20"/>
        </w:rPr>
        <w:t xml:space="preserve"> on </w:t>
      </w:r>
      <w:proofErr w:type="spellStart"/>
      <w:r w:rsidRPr="009975EA">
        <w:rPr>
          <w:rFonts w:ascii="Times New Roman" w:eastAsiaTheme="minorHAnsi" w:hAnsi="Times New Roman" w:cs="Times New Roman"/>
          <w:sz w:val="20"/>
          <w:szCs w:val="20"/>
        </w:rPr>
        <w:t>written</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and</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public</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pronouncements</w:t>
      </w:r>
      <w:proofErr w:type="spellEnd"/>
      <w:r w:rsidRPr="009975EA">
        <w:rPr>
          <w:rFonts w:ascii="Times New Roman" w:eastAsiaTheme="minorHAnsi" w:hAnsi="Times New Roman" w:cs="Times New Roman"/>
          <w:sz w:val="20"/>
          <w:szCs w:val="20"/>
        </w:rPr>
        <w:t xml:space="preserve"> of </w:t>
      </w:r>
      <w:proofErr w:type="spellStart"/>
      <w:r w:rsidRPr="009975EA">
        <w:rPr>
          <w:rFonts w:ascii="Times New Roman" w:eastAsiaTheme="minorHAnsi" w:hAnsi="Times New Roman" w:cs="Times New Roman"/>
          <w:sz w:val="20"/>
          <w:szCs w:val="20"/>
        </w:rPr>
        <w:t>what</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corporations</w:t>
      </w:r>
      <w:proofErr w:type="spellEnd"/>
      <w:r w:rsidRPr="009975EA">
        <w:rPr>
          <w:rFonts w:ascii="Times New Roman" w:eastAsiaTheme="minorHAnsi" w:hAnsi="Times New Roman" w:cs="Times New Roman"/>
          <w:sz w:val="20"/>
          <w:szCs w:val="20"/>
        </w:rPr>
        <w:t xml:space="preserve"> in </w:t>
      </w:r>
      <w:proofErr w:type="spellStart"/>
      <w:r w:rsidRPr="009975EA">
        <w:rPr>
          <w:rFonts w:ascii="Times New Roman" w:eastAsiaTheme="minorHAnsi" w:hAnsi="Times New Roman" w:cs="Times New Roman"/>
          <w:sz w:val="20"/>
          <w:szCs w:val="20"/>
        </w:rPr>
        <w:t>which</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they</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hold</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shares</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will</w:t>
      </w:r>
      <w:proofErr w:type="spellEnd"/>
      <w:r w:rsidRPr="009975EA">
        <w:rPr>
          <w:rFonts w:ascii="Times New Roman" w:eastAsiaTheme="minorHAnsi" w:hAnsi="Times New Roman" w:cs="Times New Roman"/>
          <w:sz w:val="20"/>
          <w:szCs w:val="20"/>
        </w:rPr>
        <w:t xml:space="preserve"> do. </w:t>
      </w:r>
      <w:proofErr w:type="spellStart"/>
      <w:r w:rsidRPr="009975EA">
        <w:rPr>
          <w:rFonts w:ascii="Times New Roman" w:eastAsiaTheme="minorHAnsi" w:hAnsi="Times New Roman" w:cs="Times New Roman"/>
          <w:sz w:val="20"/>
          <w:szCs w:val="20"/>
        </w:rPr>
        <w:t>This</w:t>
      </w:r>
      <w:proofErr w:type="spellEnd"/>
      <w:r w:rsidRPr="009975EA">
        <w:rPr>
          <w:rFonts w:ascii="Times New Roman" w:eastAsiaTheme="minorHAnsi" w:hAnsi="Times New Roman" w:cs="Times New Roman"/>
          <w:sz w:val="20"/>
          <w:szCs w:val="20"/>
        </w:rPr>
        <w:t xml:space="preserve"> is </w:t>
      </w:r>
      <w:proofErr w:type="spellStart"/>
      <w:r w:rsidRPr="009975EA">
        <w:rPr>
          <w:rFonts w:ascii="Times New Roman" w:eastAsiaTheme="minorHAnsi" w:hAnsi="Times New Roman" w:cs="Times New Roman"/>
          <w:sz w:val="20"/>
          <w:szCs w:val="20"/>
        </w:rPr>
        <w:t>especially</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so</w:t>
      </w:r>
      <w:proofErr w:type="spellEnd"/>
      <w:r w:rsidRPr="009975EA">
        <w:rPr>
          <w:rFonts w:ascii="Times New Roman" w:eastAsiaTheme="minorHAnsi" w:hAnsi="Times New Roman" w:cs="Times New Roman"/>
          <w:sz w:val="20"/>
          <w:szCs w:val="20"/>
        </w:rPr>
        <w:t xml:space="preserve"> in </w:t>
      </w:r>
      <w:proofErr w:type="spellStart"/>
      <w:r w:rsidRPr="009975EA">
        <w:rPr>
          <w:rFonts w:ascii="Times New Roman" w:eastAsiaTheme="minorHAnsi" w:hAnsi="Times New Roman" w:cs="Times New Roman"/>
          <w:sz w:val="20"/>
          <w:szCs w:val="20"/>
        </w:rPr>
        <w:t>the</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case</w:t>
      </w:r>
      <w:proofErr w:type="spellEnd"/>
      <w:r w:rsidRPr="009975EA">
        <w:rPr>
          <w:rFonts w:ascii="Times New Roman" w:eastAsiaTheme="minorHAnsi" w:hAnsi="Times New Roman" w:cs="Times New Roman"/>
          <w:sz w:val="20"/>
          <w:szCs w:val="20"/>
        </w:rPr>
        <w:t xml:space="preserve"> of </w:t>
      </w:r>
      <w:proofErr w:type="spellStart"/>
      <w:r w:rsidRPr="009975EA">
        <w:rPr>
          <w:rFonts w:ascii="Times New Roman" w:eastAsiaTheme="minorHAnsi" w:hAnsi="Times New Roman" w:cs="Times New Roman"/>
          <w:sz w:val="20"/>
          <w:szCs w:val="20"/>
        </w:rPr>
        <w:t>corporations</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which</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offer</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their</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shares</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to</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the</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public</w:t>
      </w:r>
      <w:proofErr w:type="spellEnd"/>
      <w:r w:rsidRPr="009975EA">
        <w:rPr>
          <w:rFonts w:ascii="Times New Roman" w:eastAsiaTheme="minorHAnsi" w:hAnsi="Times New Roman" w:cs="Times New Roman"/>
          <w:sz w:val="20"/>
          <w:szCs w:val="20"/>
        </w:rPr>
        <w:t xml:space="preserve"> as it is an </w:t>
      </w:r>
      <w:proofErr w:type="spellStart"/>
      <w:r w:rsidRPr="009975EA">
        <w:rPr>
          <w:rFonts w:ascii="Times New Roman" w:eastAsiaTheme="minorHAnsi" w:hAnsi="Times New Roman" w:cs="Times New Roman"/>
          <w:sz w:val="20"/>
          <w:szCs w:val="20"/>
        </w:rPr>
        <w:t>offence</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for</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such</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corporations</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to</w:t>
      </w:r>
      <w:proofErr w:type="spellEnd"/>
      <w:r w:rsidRPr="009975EA">
        <w:rPr>
          <w:rFonts w:ascii="Times New Roman" w:eastAsiaTheme="minorHAnsi" w:hAnsi="Times New Roman" w:cs="Times New Roman"/>
          <w:sz w:val="20"/>
          <w:szCs w:val="20"/>
        </w:rPr>
        <w:t xml:space="preserve"> be </w:t>
      </w:r>
      <w:proofErr w:type="spellStart"/>
      <w:r w:rsidRPr="009975EA">
        <w:rPr>
          <w:rFonts w:ascii="Times New Roman" w:eastAsiaTheme="minorHAnsi" w:hAnsi="Times New Roman" w:cs="Times New Roman"/>
          <w:sz w:val="20"/>
          <w:szCs w:val="20"/>
        </w:rPr>
        <w:t>other</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than</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truthful</w:t>
      </w:r>
      <w:proofErr w:type="spellEnd"/>
      <w:r w:rsidRPr="009975EA">
        <w:rPr>
          <w:rFonts w:ascii="Times New Roman" w:eastAsiaTheme="minorHAnsi" w:hAnsi="Times New Roman" w:cs="Times New Roman"/>
          <w:sz w:val="20"/>
          <w:szCs w:val="20"/>
        </w:rPr>
        <w:t xml:space="preserve"> in </w:t>
      </w:r>
      <w:proofErr w:type="spellStart"/>
      <w:r w:rsidRPr="009975EA">
        <w:rPr>
          <w:rFonts w:ascii="Times New Roman" w:eastAsiaTheme="minorHAnsi" w:hAnsi="Times New Roman" w:cs="Times New Roman"/>
          <w:sz w:val="20"/>
          <w:szCs w:val="20"/>
        </w:rPr>
        <w:t>public</w:t>
      </w:r>
      <w:proofErr w:type="spellEnd"/>
      <w:r w:rsidRPr="009975EA">
        <w:rPr>
          <w:rFonts w:ascii="Times New Roman" w:eastAsiaTheme="minorHAnsi" w:hAnsi="Times New Roman" w:cs="Times New Roman"/>
          <w:sz w:val="20"/>
          <w:szCs w:val="20"/>
        </w:rPr>
        <w:t xml:space="preserve"> </w:t>
      </w:r>
      <w:proofErr w:type="spellStart"/>
      <w:r w:rsidRPr="009975EA">
        <w:rPr>
          <w:rFonts w:ascii="Times New Roman" w:eastAsiaTheme="minorHAnsi" w:hAnsi="Times New Roman" w:cs="Times New Roman"/>
          <w:sz w:val="20"/>
          <w:szCs w:val="20"/>
        </w:rPr>
        <w:t>pronouncements</w:t>
      </w:r>
      <w:proofErr w:type="spellEnd"/>
      <w:r>
        <w:rPr>
          <w:rFonts w:ascii="Times New Roman" w:eastAsiaTheme="minorHAnsi" w:hAnsi="Times New Roman" w:cs="Times New Roman"/>
          <w:sz w:val="20"/>
          <w:szCs w:val="20"/>
        </w:rPr>
        <w:t>.”)</w:t>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Ford Motor </w:t>
      </w:r>
      <w:proofErr w:type="spellStart"/>
      <w:r w:rsidRPr="009975EA">
        <w:rPr>
          <w:rFonts w:ascii="Times New Roman" w:hAnsi="Times New Roman" w:cs="Times New Roman"/>
          <w:sz w:val="20"/>
          <w:szCs w:val="20"/>
        </w:rPr>
        <w:t>Company</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Canada</w:t>
      </w:r>
      <w:proofErr w:type="spellEnd"/>
      <w:r w:rsidRPr="009975EA">
        <w:rPr>
          <w:rFonts w:ascii="Times New Roman" w:hAnsi="Times New Roman" w:cs="Times New Roman"/>
          <w:sz w:val="20"/>
          <w:szCs w:val="20"/>
        </w:rPr>
        <w:t xml:space="preserve">, Ltd. v. </w:t>
      </w:r>
      <w:proofErr w:type="spellStart"/>
      <w:r w:rsidRPr="009975EA">
        <w:rPr>
          <w:rFonts w:ascii="Times New Roman" w:hAnsi="Times New Roman" w:cs="Times New Roman"/>
          <w:sz w:val="20"/>
          <w:szCs w:val="20"/>
        </w:rPr>
        <w:t>Ontario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Municipal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themeColor="text1"/>
          <w:sz w:val="20"/>
          <w:szCs w:val="20"/>
        </w:rPr>
        <w:t>Employees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Retirement</w:t>
      </w:r>
      <w:proofErr w:type="spellEnd"/>
      <w:r w:rsidRPr="009975EA">
        <w:rPr>
          <w:rFonts w:ascii="Times New Roman" w:hAnsi="Times New Roman" w:cs="Times New Roman"/>
          <w:color w:val="000000" w:themeColor="text1"/>
          <w:sz w:val="20"/>
          <w:szCs w:val="20"/>
        </w:rPr>
        <w:t xml:space="preserve"> Board, 2006 </w:t>
      </w:r>
      <w:proofErr w:type="spellStart"/>
      <w:r w:rsidRPr="009975EA">
        <w:rPr>
          <w:rFonts w:ascii="Times New Roman" w:hAnsi="Times New Roman" w:cs="Times New Roman"/>
          <w:color w:val="000000" w:themeColor="text1"/>
          <w:sz w:val="20"/>
          <w:szCs w:val="20"/>
        </w:rPr>
        <w:t>CanLII</w:t>
      </w:r>
      <w:proofErr w:type="spellEnd"/>
      <w:r w:rsidRPr="009975EA">
        <w:rPr>
          <w:rFonts w:ascii="Times New Roman" w:hAnsi="Times New Roman" w:cs="Times New Roman"/>
          <w:color w:val="000000" w:themeColor="text1"/>
          <w:sz w:val="20"/>
          <w:szCs w:val="20"/>
        </w:rPr>
        <w:t xml:space="preserve"> 15 (ON CA). </w:t>
      </w:r>
      <w:proofErr w:type="spellStart"/>
      <w:r w:rsidRPr="009975EA">
        <w:rPr>
          <w:rFonts w:ascii="Times New Roman" w:hAnsi="Times New Roman" w:cs="Times New Roman"/>
          <w:color w:val="000000" w:themeColor="text1"/>
          <w:sz w:val="20"/>
          <w:szCs w:val="20"/>
        </w:rPr>
        <w:t>Similar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grounds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also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asserted</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some</w:t>
      </w:r>
      <w:proofErr w:type="spellEnd"/>
      <w:r w:rsidRPr="009975EA">
        <w:rPr>
          <w:rFonts w:ascii="Times New Roman" w:hAnsi="Times New Roman" w:cs="Times New Roman"/>
          <w:color w:val="000000" w:themeColor="text1"/>
          <w:sz w:val="20"/>
          <w:szCs w:val="20"/>
        </w:rPr>
        <w:t xml:space="preserve"> U.K. </w:t>
      </w:r>
      <w:proofErr w:type="spellStart"/>
      <w:r w:rsidRPr="009975EA">
        <w:rPr>
          <w:rFonts w:ascii="Times New Roman" w:hAnsi="Times New Roman" w:cs="Times New Roman"/>
          <w:color w:val="000000" w:themeColor="text1"/>
          <w:sz w:val="20"/>
          <w:szCs w:val="20"/>
        </w:rPr>
        <w:t>law</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cases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claimants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Bradman</w:t>
      </w:r>
      <w:proofErr w:type="spellEnd"/>
      <w:r w:rsidRPr="009975EA">
        <w:rPr>
          <w:rFonts w:ascii="Times New Roman" w:hAnsi="Times New Roman" w:cs="Times New Roman"/>
          <w:color w:val="000000" w:themeColor="text1"/>
          <w:sz w:val="20"/>
          <w:szCs w:val="20"/>
        </w:rPr>
        <w:t xml:space="preserve"> v. </w:t>
      </w:r>
      <w:proofErr w:type="spellStart"/>
      <w:r w:rsidRPr="009975EA">
        <w:rPr>
          <w:rFonts w:ascii="Times New Roman" w:hAnsi="Times New Roman" w:cs="Times New Roman"/>
          <w:color w:val="000000" w:themeColor="text1"/>
          <w:sz w:val="20"/>
          <w:szCs w:val="20"/>
        </w:rPr>
        <w:t>Trinity</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Estates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plc</w:t>
      </w:r>
      <w:proofErr w:type="spellEnd"/>
      <w:r w:rsidRPr="009975EA">
        <w:rPr>
          <w:rFonts w:ascii="Times New Roman" w:hAnsi="Times New Roman" w:cs="Times New Roman"/>
          <w:color w:val="000000" w:themeColor="text1"/>
          <w:sz w:val="20"/>
          <w:szCs w:val="20"/>
        </w:rPr>
        <w:t xml:space="preserve"> [1989] BCLC 757: “</w:t>
      </w:r>
      <w:proofErr w:type="spellStart"/>
      <w:r w:rsidRPr="009975EA">
        <w:rPr>
          <w:rFonts w:ascii="Times New Roman" w:hAnsi="Times New Roman" w:cs="Times New Roman"/>
          <w:color w:val="000000" w:themeColor="text1"/>
          <w:sz w:val="20"/>
          <w:szCs w:val="20"/>
        </w:rPr>
        <w:t>One</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grounds</w:t>
      </w:r>
      <w:proofErr w:type="spellEnd"/>
      <w:r w:rsidRPr="009975EA">
        <w:rPr>
          <w:rFonts w:ascii="Times New Roman" w:hAnsi="Times New Roman" w:cs="Times New Roman"/>
          <w:color w:val="000000" w:themeColor="text1"/>
          <w:sz w:val="20"/>
          <w:szCs w:val="20"/>
        </w:rPr>
        <w:t xml:space="preserve"> of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application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under</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sec</w:t>
      </w:r>
      <w:proofErr w:type="spellEnd"/>
      <w:r w:rsidRPr="009975EA">
        <w:rPr>
          <w:rFonts w:ascii="Times New Roman" w:hAnsi="Times New Roman" w:cs="Times New Roman"/>
          <w:color w:val="000000" w:themeColor="text1"/>
          <w:sz w:val="20"/>
          <w:szCs w:val="20"/>
        </w:rPr>
        <w:t xml:space="preserve">. 459 is </w:t>
      </w:r>
      <w:proofErr w:type="spellStart"/>
      <w:r w:rsidRPr="009975EA">
        <w:rPr>
          <w:rFonts w:ascii="Times New Roman" w:hAnsi="Times New Roman" w:cs="Times New Roman"/>
          <w:color w:val="000000" w:themeColor="text1"/>
          <w:sz w:val="20"/>
          <w:szCs w:val="20"/>
        </w:rPr>
        <w:t>said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transaction</w:t>
      </w:r>
      <w:proofErr w:type="spellEnd"/>
      <w:r w:rsidRPr="009975EA">
        <w:rPr>
          <w:rFonts w:ascii="Times New Roman" w:hAnsi="Times New Roman" w:cs="Times New Roman"/>
          <w:color w:val="000000" w:themeColor="text1"/>
          <w:sz w:val="20"/>
          <w:szCs w:val="20"/>
        </w:rPr>
        <w:t xml:space="preserve"> is </w:t>
      </w:r>
      <w:proofErr w:type="spellStart"/>
      <w:r w:rsidRPr="009975EA">
        <w:rPr>
          <w:rFonts w:ascii="Times New Roman" w:hAnsi="Times New Roman" w:cs="Times New Roman"/>
          <w:color w:val="000000" w:themeColor="text1"/>
          <w:sz w:val="20"/>
          <w:szCs w:val="20"/>
        </w:rPr>
        <w:t>prejudicial</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members</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it </w:t>
      </w:r>
      <w:proofErr w:type="spellStart"/>
      <w:r w:rsidRPr="009975EA">
        <w:rPr>
          <w:rFonts w:ascii="Times New Roman" w:hAnsi="Times New Roman" w:cs="Times New Roman"/>
          <w:color w:val="000000" w:themeColor="text1"/>
          <w:sz w:val="20"/>
          <w:szCs w:val="20"/>
        </w:rPr>
        <w:t>represents</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departure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from</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what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was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held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out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them</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prospectus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and</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courts</w:t>
      </w:r>
      <w:proofErr w:type="spellEnd"/>
      <w:r w:rsidRPr="009975EA">
        <w:rPr>
          <w:rFonts w:ascii="Times New Roman" w:hAnsi="Times New Roman" w:cs="Times New Roman"/>
          <w:color w:val="000000" w:themeColor="text1"/>
          <w:sz w:val="20"/>
          <w:szCs w:val="20"/>
        </w:rPr>
        <w:t xml:space="preserve"> (</w:t>
      </w:r>
      <w:r w:rsidRPr="009975EA">
        <w:rPr>
          <w:rFonts w:ascii="Times New Roman" w:hAnsi="Times New Roman" w:cs="Times New Roman"/>
          <w:color w:val="000000"/>
          <w:sz w:val="20"/>
          <w:szCs w:val="20"/>
        </w:rPr>
        <w:t xml:space="preserve">Re Leeds United </w:t>
      </w:r>
      <w:proofErr w:type="spellStart"/>
      <w:r w:rsidRPr="009975EA">
        <w:rPr>
          <w:rFonts w:ascii="Times New Roman" w:hAnsi="Times New Roman" w:cs="Times New Roman"/>
          <w:color w:val="000000"/>
          <w:sz w:val="20"/>
          <w:szCs w:val="20"/>
        </w:rPr>
        <w:t>Holdings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plc</w:t>
      </w:r>
      <w:proofErr w:type="spellEnd"/>
      <w:r w:rsidRPr="009975EA">
        <w:rPr>
          <w:rFonts w:ascii="Times New Roman" w:hAnsi="Times New Roman" w:cs="Times New Roman"/>
          <w:color w:val="000000"/>
          <w:sz w:val="20"/>
          <w:szCs w:val="20"/>
        </w:rPr>
        <w:t>. [1997] B.C.C. 131</w:t>
      </w:r>
      <w:r w:rsidRPr="009975EA">
        <w:rPr>
          <w:rFonts w:ascii="Times New Roman" w:hAnsi="Times New Roman" w:cs="Times New Roman"/>
          <w:color w:val="000000" w:themeColor="text1"/>
          <w:sz w:val="20"/>
          <w:szCs w:val="20"/>
        </w:rPr>
        <w:t>: “</w:t>
      </w:r>
      <w:proofErr w:type="spellStart"/>
      <w:r w:rsidRPr="009975EA">
        <w:rPr>
          <w:rFonts w:ascii="Times New Roman" w:hAnsi="Times New Roman" w:cs="Times New Roman"/>
          <w:color w:val="000000" w:themeColor="text1"/>
          <w:sz w:val="20"/>
          <w:szCs w:val="20"/>
        </w:rPr>
        <w:t>It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may</w:t>
      </w:r>
      <w:proofErr w:type="spellEnd"/>
      <w:r w:rsidRPr="009975EA">
        <w:rPr>
          <w:rFonts w:ascii="Times New Roman" w:hAnsi="Times New Roman" w:cs="Times New Roman"/>
          <w:color w:val="000000" w:themeColor="text1"/>
          <w:sz w:val="20"/>
          <w:szCs w:val="20"/>
        </w:rPr>
        <w:t xml:space="preserve"> be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certain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cases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court</w:t>
      </w:r>
      <w:proofErr w:type="spellEnd"/>
      <w:r w:rsidRPr="009975EA">
        <w:rPr>
          <w:rFonts w:ascii="Times New Roman" w:hAnsi="Times New Roman" w:cs="Times New Roman"/>
          <w:color w:val="000000" w:themeColor="text1"/>
          <w:sz w:val="20"/>
          <w:szCs w:val="20"/>
        </w:rPr>
        <w:t xml:space="preserve"> can </w:t>
      </w:r>
      <w:proofErr w:type="spellStart"/>
      <w:r w:rsidRPr="009975EA">
        <w:rPr>
          <w:rFonts w:ascii="Times New Roman" w:hAnsi="Times New Roman" w:cs="Times New Roman"/>
          <w:color w:val="000000" w:themeColor="text1"/>
          <w:sz w:val="20"/>
          <w:szCs w:val="20"/>
        </w:rPr>
        <w:t>find</w:t>
      </w:r>
      <w:proofErr w:type="spellEnd"/>
      <w:r w:rsidRPr="009975EA">
        <w:rPr>
          <w:rFonts w:ascii="Times New Roman" w:hAnsi="Times New Roman" w:cs="Times New Roman"/>
          <w:color w:val="000000" w:themeColor="text1"/>
          <w:sz w:val="20"/>
          <w:szCs w:val="20"/>
        </w:rPr>
        <w:t xml:space="preserve"> a </w:t>
      </w:r>
      <w:proofErr w:type="spellStart"/>
      <w:r w:rsidRPr="009975EA">
        <w:rPr>
          <w:rFonts w:ascii="Times New Roman" w:hAnsi="Times New Roman" w:cs="Times New Roman"/>
          <w:color w:val="000000" w:themeColor="text1"/>
          <w:sz w:val="20"/>
          <w:szCs w:val="20"/>
        </w:rPr>
        <w:t>relevant</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legitimate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expectation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outside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company's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constitution</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that</w:t>
      </w:r>
      <w:proofErr w:type="spellEnd"/>
      <w:r w:rsidRPr="009975EA">
        <w:rPr>
          <w:rFonts w:ascii="Times New Roman" w:hAnsi="Times New Roman" w:cs="Times New Roman"/>
          <w:color w:val="000000" w:themeColor="text1"/>
          <w:sz w:val="20"/>
          <w:szCs w:val="20"/>
        </w:rPr>
        <w:t xml:space="preserve"> can be </w:t>
      </w:r>
      <w:proofErr w:type="spellStart"/>
      <w:r w:rsidRPr="009975EA">
        <w:rPr>
          <w:rFonts w:ascii="Times New Roman" w:hAnsi="Times New Roman" w:cs="Times New Roman"/>
          <w:color w:val="000000" w:themeColor="text1"/>
          <w:sz w:val="20"/>
          <w:szCs w:val="20"/>
        </w:rPr>
        <w:t>relied</w:t>
      </w:r>
      <w:proofErr w:type="spellEnd"/>
      <w:r w:rsidRPr="009975EA">
        <w:rPr>
          <w:rFonts w:ascii="Times New Roman" w:hAnsi="Times New Roman" w:cs="Times New Roman"/>
          <w:color w:val="000000" w:themeColor="text1"/>
          <w:sz w:val="20"/>
          <w:szCs w:val="20"/>
        </w:rPr>
        <w:t xml:space="preserve"> on </w:t>
      </w:r>
      <w:proofErr w:type="spellStart"/>
      <w:r w:rsidRPr="009975EA">
        <w:rPr>
          <w:rFonts w:ascii="Times New Roman" w:hAnsi="Times New Roman" w:cs="Times New Roman"/>
          <w:color w:val="000000" w:themeColor="text1"/>
          <w:sz w:val="20"/>
          <w:szCs w:val="20"/>
        </w:rPr>
        <w:t>for</w:t>
      </w:r>
      <w:proofErr w:type="spellEnd"/>
      <w:r w:rsidRPr="009975EA">
        <w:rPr>
          <w:rFonts w:ascii="Times New Roman" w:hAnsi="Times New Roman" w:cs="Times New Roman"/>
          <w:color w:val="000000" w:themeColor="text1"/>
          <w:sz w:val="20"/>
          <w:szCs w:val="20"/>
        </w:rPr>
        <w:t xml:space="preserve"> s. 459 </w:t>
      </w:r>
      <w:proofErr w:type="spellStart"/>
      <w:r w:rsidRPr="009975EA">
        <w:rPr>
          <w:rFonts w:ascii="Times New Roman" w:hAnsi="Times New Roman" w:cs="Times New Roman"/>
          <w:color w:val="000000" w:themeColor="text1"/>
          <w:sz w:val="20"/>
          <w:szCs w:val="20"/>
        </w:rPr>
        <w:t>purposes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even</w:t>
      </w:r>
      <w:proofErr w:type="spellEnd"/>
      <w:r w:rsidRPr="009975EA">
        <w:rPr>
          <w:rFonts w:ascii="Times New Roman" w:hAnsi="Times New Roman" w:cs="Times New Roman"/>
          <w:color w:val="000000" w:themeColor="text1"/>
          <w:sz w:val="20"/>
          <w:szCs w:val="20"/>
        </w:rPr>
        <w:t xml:space="preserve"> in </w:t>
      </w:r>
      <w:proofErr w:type="spellStart"/>
      <w:r w:rsidRPr="009975EA">
        <w:rPr>
          <w:rFonts w:ascii="Times New Roman" w:hAnsi="Times New Roman" w:cs="Times New Roman"/>
          <w:color w:val="000000" w:themeColor="text1"/>
          <w:sz w:val="20"/>
          <w:szCs w:val="20"/>
        </w:rPr>
        <w:t>the</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case</w:t>
      </w:r>
      <w:proofErr w:type="spellEnd"/>
      <w:r w:rsidRPr="009975EA">
        <w:rPr>
          <w:rFonts w:ascii="Times New Roman" w:hAnsi="Times New Roman" w:cs="Times New Roman"/>
          <w:color w:val="000000" w:themeColor="text1"/>
          <w:sz w:val="20"/>
          <w:szCs w:val="20"/>
        </w:rPr>
        <w:t xml:space="preserve"> of a </w:t>
      </w:r>
      <w:proofErr w:type="spellStart"/>
      <w:r w:rsidRPr="009975EA">
        <w:rPr>
          <w:rFonts w:ascii="Times New Roman" w:hAnsi="Times New Roman" w:cs="Times New Roman"/>
          <w:color w:val="000000" w:themeColor="text1"/>
          <w:sz w:val="20"/>
          <w:szCs w:val="20"/>
        </w:rPr>
        <w:t>public</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company</w:t>
      </w:r>
      <w:proofErr w:type="spellEnd"/>
      <w:r w:rsidRPr="009975EA">
        <w:rPr>
          <w:rFonts w:ascii="Times New Roman" w:hAnsi="Times New Roman" w:cs="Times New Roman"/>
          <w:color w:val="000000" w:themeColor="text1"/>
          <w:sz w:val="20"/>
          <w:szCs w:val="20"/>
        </w:rPr>
        <w:t xml:space="preserve">, but </w:t>
      </w:r>
      <w:proofErr w:type="spellStart"/>
      <w:r w:rsidRPr="009975EA">
        <w:rPr>
          <w:rFonts w:ascii="Times New Roman" w:hAnsi="Times New Roman" w:cs="Times New Roman"/>
          <w:color w:val="000000" w:themeColor="text1"/>
          <w:sz w:val="20"/>
          <w:szCs w:val="20"/>
        </w:rPr>
        <w:t>such</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circumstances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must</w:t>
      </w:r>
      <w:proofErr w:type="spellEnd"/>
      <w:r w:rsidRPr="009975EA">
        <w:rPr>
          <w:rFonts w:ascii="Times New Roman" w:hAnsi="Times New Roman" w:cs="Times New Roman"/>
          <w:color w:val="000000" w:themeColor="text1"/>
          <w:sz w:val="20"/>
          <w:szCs w:val="20"/>
        </w:rPr>
        <w:t xml:space="preserve">, it </w:t>
      </w:r>
      <w:proofErr w:type="spellStart"/>
      <w:r w:rsidRPr="009975EA">
        <w:rPr>
          <w:rFonts w:ascii="Times New Roman" w:hAnsi="Times New Roman" w:cs="Times New Roman"/>
          <w:color w:val="000000" w:themeColor="text1"/>
          <w:sz w:val="20"/>
          <w:szCs w:val="20"/>
        </w:rPr>
        <w:t>seems</w:t>
      </w:r>
      <w:proofErr w:type="spellEnd"/>
      <w:r w:rsidRPr="009975EA">
        <w:rPr>
          <w:rFonts w:ascii="Times New Roman" w:hAnsi="Times New Roman" w:cs="Times New Roman"/>
          <w:color w:val="000000" w:themeColor="text1"/>
          <w:sz w:val="20"/>
          <w:szCs w:val="20"/>
        </w:rPr>
        <w:t xml:space="preserve"> </w:t>
      </w:r>
      <w:proofErr w:type="spellStart"/>
      <w:r w:rsidRPr="009975EA">
        <w:rPr>
          <w:rFonts w:ascii="Times New Roman" w:hAnsi="Times New Roman" w:cs="Times New Roman"/>
          <w:color w:val="000000" w:themeColor="text1"/>
          <w:sz w:val="20"/>
          <w:szCs w:val="20"/>
        </w:rPr>
        <w:t>to</w:t>
      </w:r>
      <w:proofErr w:type="spellEnd"/>
      <w:r w:rsidRPr="009975EA">
        <w:rPr>
          <w:rFonts w:ascii="Times New Roman" w:hAnsi="Times New Roman" w:cs="Times New Roman"/>
          <w:color w:val="000000" w:themeColor="text1"/>
          <w:sz w:val="20"/>
          <w:szCs w:val="20"/>
        </w:rPr>
        <w:t xml:space="preserve"> me, be </w:t>
      </w:r>
      <w:proofErr w:type="spellStart"/>
      <w:r w:rsidRPr="009975EA">
        <w:rPr>
          <w:rFonts w:ascii="Times New Roman" w:hAnsi="Times New Roman" w:cs="Times New Roman"/>
          <w:color w:val="000000" w:themeColor="text1"/>
          <w:sz w:val="20"/>
          <w:szCs w:val="20"/>
        </w:rPr>
        <w:t>rare</w:t>
      </w:r>
      <w:proofErr w:type="spellEnd"/>
      <w:r w:rsidRPr="009975EA">
        <w:rPr>
          <w:rFonts w:ascii="Times New Roman" w:hAnsi="Times New Roman" w:cs="Times New Roman"/>
          <w:color w:val="000000" w:themeColor="text1"/>
          <w:sz w:val="20"/>
          <w:szCs w:val="20"/>
        </w:rPr>
        <w:t>.”).</w:t>
      </w:r>
    </w:p>
  </w:footnote>
  <w:footnote w:id="802">
    <w:p w14:paraId="66099E23" w14:textId="63F15016" w:rsidR="00AA7A26" w:rsidRPr="0047452F" w:rsidRDefault="00AA7A26"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proofErr w:type="spellStart"/>
      <w:r w:rsidR="00145DED">
        <w:rPr>
          <w:rFonts w:ascii="Times New Roman" w:hAnsi="Times New Roman" w:cs="Times New Roman"/>
          <w:sz w:val="20"/>
          <w:szCs w:val="20"/>
        </w:rPr>
        <w:t>Oğuz</w:t>
      </w:r>
      <w:proofErr w:type="spellEnd"/>
      <w:r w:rsidR="00145DED">
        <w:rPr>
          <w:rFonts w:ascii="Times New Roman" w:hAnsi="Times New Roman" w:cs="Times New Roman"/>
          <w:sz w:val="20"/>
          <w:szCs w:val="20"/>
        </w:rPr>
        <w:t xml:space="preserve"> </w:t>
      </w:r>
      <w:proofErr w:type="spellStart"/>
      <w:r w:rsidR="00145DED">
        <w:rPr>
          <w:rFonts w:ascii="Times New Roman" w:hAnsi="Times New Roman" w:cs="Times New Roman"/>
          <w:sz w:val="20"/>
          <w:szCs w:val="20"/>
        </w:rPr>
        <w:t>İmregün</w:t>
      </w:r>
      <w:proofErr w:type="spellEnd"/>
      <w:r w:rsidR="00145DED">
        <w:rPr>
          <w:rFonts w:ascii="Times New Roman" w:hAnsi="Times New Roman" w:cs="Times New Roman"/>
          <w:sz w:val="20"/>
          <w:szCs w:val="20"/>
        </w:rPr>
        <w:t xml:space="preserve">, Kara </w:t>
      </w:r>
      <w:proofErr w:type="spellStart"/>
      <w:r w:rsidR="00145DED">
        <w:rPr>
          <w:rFonts w:ascii="Times New Roman" w:hAnsi="Times New Roman" w:cs="Times New Roman"/>
          <w:sz w:val="20"/>
          <w:szCs w:val="20"/>
        </w:rPr>
        <w:t>Ticareti</w:t>
      </w:r>
      <w:proofErr w:type="spellEnd"/>
      <w:r w:rsidR="00145DED">
        <w:rPr>
          <w:rFonts w:ascii="Times New Roman" w:hAnsi="Times New Roman" w:cs="Times New Roman"/>
          <w:sz w:val="20"/>
          <w:szCs w:val="20"/>
        </w:rPr>
        <w:t xml:space="preserve"> </w:t>
      </w:r>
      <w:proofErr w:type="spellStart"/>
      <w:r w:rsidR="00145DED">
        <w:rPr>
          <w:rFonts w:ascii="Times New Roman" w:hAnsi="Times New Roman" w:cs="Times New Roman"/>
          <w:sz w:val="20"/>
          <w:szCs w:val="20"/>
        </w:rPr>
        <w:t>Hukuku</w:t>
      </w:r>
      <w:proofErr w:type="spellEnd"/>
      <w:r w:rsidR="00145DED">
        <w:rPr>
          <w:rFonts w:ascii="Times New Roman" w:hAnsi="Times New Roman" w:cs="Times New Roman"/>
          <w:sz w:val="20"/>
          <w:szCs w:val="20"/>
        </w:rPr>
        <w:t xml:space="preserve"> </w:t>
      </w:r>
      <w:proofErr w:type="spellStart"/>
      <w:r w:rsidR="00145DED">
        <w:rPr>
          <w:rFonts w:ascii="Times New Roman" w:hAnsi="Times New Roman" w:cs="Times New Roman"/>
          <w:sz w:val="20"/>
          <w:szCs w:val="20"/>
        </w:rPr>
        <w:t>Dersleri</w:t>
      </w:r>
      <w:proofErr w:type="spellEnd"/>
      <w:r w:rsidR="00145DED">
        <w:rPr>
          <w:rFonts w:ascii="Times New Roman" w:hAnsi="Times New Roman" w:cs="Times New Roman"/>
          <w:sz w:val="20"/>
          <w:szCs w:val="20"/>
        </w:rPr>
        <w:t xml:space="preserve"> (1987), </w:t>
      </w:r>
      <w:r w:rsidR="00145DED">
        <w:rPr>
          <w:rFonts w:ascii="Times New Roman" w:hAnsi="Times New Roman" w:cs="Times New Roman"/>
          <w:sz w:val="20"/>
          <w:szCs w:val="20"/>
          <w:lang w:val="tr-TR"/>
        </w:rPr>
        <w:t>p. 446</w:t>
      </w:r>
      <w:r w:rsidR="00AA0018">
        <w:rPr>
          <w:rFonts w:ascii="Times New Roman" w:hAnsi="Times New Roman" w:cs="Times New Roman"/>
          <w:sz w:val="20"/>
          <w:szCs w:val="20"/>
          <w:lang w:val="tr-TR"/>
        </w:rPr>
        <w:t>; Ünal Tekinalp, Sermaye Ortaklıklarının Yeni Hukuku (2020), p. 124.</w:t>
      </w:r>
      <w:r w:rsidRPr="0047452F">
        <w:rPr>
          <w:rFonts w:ascii="Times New Roman" w:hAnsi="Times New Roman" w:cs="Times New Roman"/>
          <w:sz w:val="20"/>
          <w:szCs w:val="20"/>
          <w:lang w:val="tr-TR"/>
        </w:rPr>
        <w:t xml:space="preserve"> </w:t>
      </w:r>
      <w:proofErr w:type="spellStart"/>
      <w:r w:rsidR="00145DED">
        <w:rPr>
          <w:rFonts w:ascii="Times New Roman" w:hAnsi="Times New Roman" w:cs="Times New Roman"/>
          <w:sz w:val="20"/>
          <w:szCs w:val="20"/>
          <w:lang w:val="tr-TR"/>
        </w:rPr>
        <w:t>For</w:t>
      </w:r>
      <w:proofErr w:type="spellEnd"/>
      <w:r w:rsidR="00145DED">
        <w:rPr>
          <w:rFonts w:ascii="Times New Roman" w:hAnsi="Times New Roman" w:cs="Times New Roman"/>
          <w:sz w:val="20"/>
          <w:szCs w:val="20"/>
          <w:lang w:val="tr-TR"/>
        </w:rPr>
        <w:t xml:space="preserve"> a </w:t>
      </w:r>
      <w:proofErr w:type="spellStart"/>
      <w:r w:rsidR="00145DED">
        <w:rPr>
          <w:rFonts w:ascii="Times New Roman" w:hAnsi="Times New Roman" w:cs="Times New Roman"/>
          <w:sz w:val="20"/>
          <w:szCs w:val="20"/>
          <w:lang w:val="tr-TR"/>
        </w:rPr>
        <w:t>brief</w:t>
      </w:r>
      <w:proofErr w:type="spellEnd"/>
      <w:r w:rsidR="00145DED">
        <w:rPr>
          <w:rFonts w:ascii="Times New Roman" w:hAnsi="Times New Roman" w:cs="Times New Roman"/>
          <w:sz w:val="20"/>
          <w:szCs w:val="20"/>
          <w:lang w:val="tr-TR"/>
        </w:rPr>
        <w:t xml:space="preserve"> </w:t>
      </w:r>
      <w:proofErr w:type="spellStart"/>
      <w:r w:rsidR="00145DED">
        <w:rPr>
          <w:rFonts w:ascii="Times New Roman" w:hAnsi="Times New Roman" w:cs="Times New Roman"/>
          <w:sz w:val="20"/>
          <w:szCs w:val="20"/>
          <w:lang w:val="tr-TR"/>
        </w:rPr>
        <w:t>summary</w:t>
      </w:r>
      <w:proofErr w:type="spellEnd"/>
      <w:r w:rsidR="00145DED">
        <w:rPr>
          <w:rFonts w:ascii="Times New Roman" w:hAnsi="Times New Roman" w:cs="Times New Roman"/>
          <w:sz w:val="20"/>
          <w:szCs w:val="20"/>
          <w:lang w:val="tr-TR"/>
        </w:rPr>
        <w:t xml:space="preserve"> of </w:t>
      </w:r>
      <w:proofErr w:type="spellStart"/>
      <w:r w:rsidR="00AA0018">
        <w:rPr>
          <w:rFonts w:ascii="Times New Roman" w:hAnsi="Times New Roman" w:cs="Times New Roman"/>
          <w:sz w:val="20"/>
          <w:szCs w:val="20"/>
          <w:lang w:val="tr-TR"/>
        </w:rPr>
        <w:t>commentary</w:t>
      </w:r>
      <w:proofErr w:type="spellEnd"/>
      <w:r w:rsidR="00145DED">
        <w:rPr>
          <w:rFonts w:ascii="Times New Roman" w:hAnsi="Times New Roman" w:cs="Times New Roman"/>
          <w:sz w:val="20"/>
          <w:szCs w:val="20"/>
          <w:lang w:val="tr-TR"/>
        </w:rPr>
        <w:t xml:space="preserve"> on </w:t>
      </w:r>
      <w:proofErr w:type="spellStart"/>
      <w:r w:rsidR="00145DED">
        <w:rPr>
          <w:rFonts w:ascii="Times New Roman" w:hAnsi="Times New Roman" w:cs="Times New Roman"/>
          <w:sz w:val="20"/>
          <w:szCs w:val="20"/>
          <w:lang w:val="tr-TR"/>
        </w:rPr>
        <w:t>the</w:t>
      </w:r>
      <w:proofErr w:type="spellEnd"/>
      <w:r w:rsidR="00145DED">
        <w:rPr>
          <w:rFonts w:ascii="Times New Roman" w:hAnsi="Times New Roman" w:cs="Times New Roman"/>
          <w:sz w:val="20"/>
          <w:szCs w:val="20"/>
          <w:lang w:val="tr-TR"/>
        </w:rPr>
        <w:t xml:space="preserve"> legal </w:t>
      </w:r>
      <w:proofErr w:type="spellStart"/>
      <w:r w:rsidR="00145DED">
        <w:rPr>
          <w:rFonts w:ascii="Times New Roman" w:hAnsi="Times New Roman" w:cs="Times New Roman"/>
          <w:sz w:val="20"/>
          <w:szCs w:val="20"/>
          <w:lang w:val="tr-TR"/>
        </w:rPr>
        <w:t>nature</w:t>
      </w:r>
      <w:proofErr w:type="spellEnd"/>
      <w:r w:rsidR="00145DED">
        <w:rPr>
          <w:rFonts w:ascii="Times New Roman" w:hAnsi="Times New Roman" w:cs="Times New Roman"/>
          <w:sz w:val="20"/>
          <w:szCs w:val="20"/>
          <w:lang w:val="tr-TR"/>
        </w:rPr>
        <w:t xml:space="preserve"> of </w:t>
      </w:r>
      <w:proofErr w:type="spellStart"/>
      <w:r w:rsidR="00145DED">
        <w:rPr>
          <w:rFonts w:ascii="Times New Roman" w:hAnsi="Times New Roman" w:cs="Times New Roman"/>
          <w:sz w:val="20"/>
          <w:szCs w:val="20"/>
          <w:lang w:val="tr-TR"/>
        </w:rPr>
        <w:t>articles</w:t>
      </w:r>
      <w:proofErr w:type="spellEnd"/>
      <w:r w:rsidR="00145DED">
        <w:rPr>
          <w:rFonts w:ascii="Times New Roman" w:hAnsi="Times New Roman" w:cs="Times New Roman"/>
          <w:sz w:val="20"/>
          <w:szCs w:val="20"/>
          <w:lang w:val="tr-TR"/>
        </w:rPr>
        <w:t xml:space="preserve"> of </w:t>
      </w:r>
      <w:proofErr w:type="spellStart"/>
      <w:r w:rsidR="00145DED">
        <w:rPr>
          <w:rFonts w:ascii="Times New Roman" w:hAnsi="Times New Roman" w:cs="Times New Roman"/>
          <w:sz w:val="20"/>
          <w:szCs w:val="20"/>
          <w:lang w:val="tr-TR"/>
        </w:rPr>
        <w:t>incorporation</w:t>
      </w:r>
      <w:proofErr w:type="spellEnd"/>
      <w:r w:rsidR="00145DED">
        <w:rPr>
          <w:rFonts w:ascii="Times New Roman" w:hAnsi="Times New Roman" w:cs="Times New Roman"/>
          <w:sz w:val="20"/>
          <w:szCs w:val="20"/>
          <w:lang w:val="tr-TR"/>
        </w:rPr>
        <w:t xml:space="preserve">, </w:t>
      </w:r>
      <w:proofErr w:type="spellStart"/>
      <w:r w:rsidR="00145DED">
        <w:rPr>
          <w:rFonts w:ascii="Times New Roman" w:hAnsi="Times New Roman" w:cs="Times New Roman"/>
          <w:sz w:val="20"/>
          <w:szCs w:val="20"/>
          <w:lang w:val="tr-TR"/>
        </w:rPr>
        <w:t>see</w:t>
      </w:r>
      <w:proofErr w:type="spellEnd"/>
      <w:r w:rsidR="00145DED">
        <w:rPr>
          <w:rFonts w:ascii="Times New Roman" w:hAnsi="Times New Roman" w:cs="Times New Roman"/>
          <w:sz w:val="20"/>
          <w:szCs w:val="20"/>
          <w:lang w:val="tr-TR"/>
        </w:rPr>
        <w:t xml:space="preserve">, </w:t>
      </w:r>
      <w:r w:rsidR="00AA0018">
        <w:rPr>
          <w:rFonts w:ascii="Times New Roman" w:hAnsi="Times New Roman" w:cs="Times New Roman"/>
          <w:sz w:val="20"/>
          <w:szCs w:val="20"/>
          <w:lang w:val="tr-TR"/>
        </w:rPr>
        <w:t xml:space="preserve">Esra Hamamcıoğlu, Aile Tipi Limited Şirketlerde Şirket Sözleşmesi (2022), </w:t>
      </w:r>
      <w:r w:rsidR="00145DED">
        <w:rPr>
          <w:rFonts w:ascii="Times New Roman" w:hAnsi="Times New Roman" w:cs="Times New Roman"/>
          <w:sz w:val="20"/>
          <w:szCs w:val="20"/>
          <w:lang w:val="tr-TR"/>
        </w:rPr>
        <w:t>p.</w:t>
      </w:r>
      <w:r w:rsidR="00AA0018">
        <w:rPr>
          <w:rFonts w:ascii="Times New Roman" w:hAnsi="Times New Roman" w:cs="Times New Roman"/>
          <w:sz w:val="20"/>
          <w:szCs w:val="20"/>
          <w:lang w:val="tr-TR"/>
        </w:rPr>
        <w:t xml:space="preserve"> 23</w:t>
      </w:r>
      <w:r w:rsidR="00145DED">
        <w:rPr>
          <w:rFonts w:ascii="Times New Roman" w:hAnsi="Times New Roman" w:cs="Times New Roman"/>
          <w:sz w:val="20"/>
          <w:szCs w:val="20"/>
          <w:lang w:val="tr-TR"/>
        </w:rPr>
        <w:t>- 31.</w:t>
      </w:r>
    </w:p>
  </w:footnote>
  <w:footnote w:id="803">
    <w:p w14:paraId="3AE1824B" w14:textId="718F8D18" w:rsidR="002961E4" w:rsidRPr="0047452F" w:rsidRDefault="002961E4"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proofErr w:type="spellStart"/>
      <w:r w:rsidR="00BD2893" w:rsidRPr="0047452F">
        <w:rPr>
          <w:rFonts w:ascii="Times New Roman" w:hAnsi="Times New Roman" w:cs="Times New Roman"/>
          <w:sz w:val="20"/>
          <w:szCs w:val="20"/>
          <w:lang w:val="tr-TR"/>
        </w:rPr>
        <w:t>For</w:t>
      </w:r>
      <w:proofErr w:type="spellEnd"/>
      <w:r w:rsidR="00BD2893" w:rsidRPr="0047452F">
        <w:rPr>
          <w:rFonts w:ascii="Times New Roman" w:hAnsi="Times New Roman" w:cs="Times New Roman"/>
          <w:sz w:val="20"/>
          <w:szCs w:val="20"/>
          <w:lang w:val="tr-TR"/>
        </w:rPr>
        <w:t xml:space="preserve"> a </w:t>
      </w:r>
      <w:proofErr w:type="spellStart"/>
      <w:r w:rsidR="00BD2893" w:rsidRPr="0047452F">
        <w:rPr>
          <w:rFonts w:ascii="Times New Roman" w:hAnsi="Times New Roman" w:cs="Times New Roman"/>
          <w:sz w:val="20"/>
          <w:szCs w:val="20"/>
          <w:lang w:val="tr-TR"/>
        </w:rPr>
        <w:t>brief</w:t>
      </w:r>
      <w:proofErr w:type="spellEnd"/>
      <w:r w:rsidR="00BD2893" w:rsidRPr="0047452F">
        <w:rPr>
          <w:rFonts w:ascii="Times New Roman" w:hAnsi="Times New Roman" w:cs="Times New Roman"/>
          <w:sz w:val="20"/>
          <w:szCs w:val="20"/>
          <w:lang w:val="tr-TR"/>
        </w:rPr>
        <w:t xml:space="preserve"> </w:t>
      </w:r>
      <w:proofErr w:type="spellStart"/>
      <w:r w:rsidR="00BD2893" w:rsidRPr="0047452F">
        <w:rPr>
          <w:rFonts w:ascii="Times New Roman" w:hAnsi="Times New Roman" w:cs="Times New Roman"/>
          <w:sz w:val="20"/>
          <w:szCs w:val="20"/>
          <w:lang w:val="tr-TR"/>
        </w:rPr>
        <w:t>explanation</w:t>
      </w:r>
      <w:proofErr w:type="spellEnd"/>
      <w:r w:rsidR="00BD2893" w:rsidRPr="0047452F">
        <w:rPr>
          <w:rFonts w:ascii="Times New Roman" w:hAnsi="Times New Roman" w:cs="Times New Roman"/>
          <w:sz w:val="20"/>
          <w:szCs w:val="20"/>
          <w:lang w:val="tr-TR"/>
        </w:rPr>
        <w:t xml:space="preserve"> of CML </w:t>
      </w:r>
      <w:proofErr w:type="spellStart"/>
      <w:r w:rsidR="00BD2893" w:rsidRPr="0047452F">
        <w:rPr>
          <w:rFonts w:ascii="Times New Roman" w:hAnsi="Times New Roman" w:cs="Times New Roman"/>
          <w:sz w:val="20"/>
          <w:szCs w:val="20"/>
          <w:lang w:val="tr-TR"/>
        </w:rPr>
        <w:t>regime’s</w:t>
      </w:r>
      <w:proofErr w:type="spellEnd"/>
      <w:r w:rsidR="00BD2893" w:rsidRPr="0047452F">
        <w:rPr>
          <w:rFonts w:ascii="Times New Roman" w:hAnsi="Times New Roman" w:cs="Times New Roman"/>
          <w:sz w:val="20"/>
          <w:szCs w:val="20"/>
          <w:lang w:val="tr-TR"/>
        </w:rPr>
        <w:t xml:space="preserve"> </w:t>
      </w:r>
      <w:proofErr w:type="spellStart"/>
      <w:r w:rsidR="00BD2893" w:rsidRPr="0047452F">
        <w:rPr>
          <w:rFonts w:ascii="Times New Roman" w:hAnsi="Times New Roman" w:cs="Times New Roman"/>
          <w:sz w:val="20"/>
          <w:szCs w:val="20"/>
          <w:lang w:val="tr-TR"/>
        </w:rPr>
        <w:t>disclosure</w:t>
      </w:r>
      <w:proofErr w:type="spellEnd"/>
      <w:r w:rsidR="00BD2893" w:rsidRPr="0047452F">
        <w:rPr>
          <w:rFonts w:ascii="Times New Roman" w:hAnsi="Times New Roman" w:cs="Times New Roman"/>
          <w:sz w:val="20"/>
          <w:szCs w:val="20"/>
          <w:lang w:val="tr-TR"/>
        </w:rPr>
        <w:t xml:space="preserve"> </w:t>
      </w:r>
      <w:proofErr w:type="spellStart"/>
      <w:r w:rsidR="00BD2893" w:rsidRPr="0047452F">
        <w:rPr>
          <w:rFonts w:ascii="Times New Roman" w:hAnsi="Times New Roman" w:cs="Times New Roman"/>
          <w:sz w:val="20"/>
          <w:szCs w:val="20"/>
          <w:lang w:val="tr-TR"/>
        </w:rPr>
        <w:t>system</w:t>
      </w:r>
      <w:proofErr w:type="spellEnd"/>
      <w:r w:rsidR="00BD2893" w:rsidRPr="0047452F">
        <w:rPr>
          <w:rFonts w:ascii="Times New Roman" w:hAnsi="Times New Roman" w:cs="Times New Roman"/>
          <w:sz w:val="20"/>
          <w:szCs w:val="20"/>
          <w:lang w:val="tr-TR"/>
        </w:rPr>
        <w:t xml:space="preserve"> </w:t>
      </w:r>
      <w:proofErr w:type="spellStart"/>
      <w:r w:rsidR="00BD2893" w:rsidRPr="0047452F">
        <w:rPr>
          <w:rFonts w:ascii="Times New Roman" w:hAnsi="Times New Roman" w:cs="Times New Roman"/>
          <w:sz w:val="20"/>
          <w:szCs w:val="20"/>
          <w:lang w:val="tr-TR"/>
        </w:rPr>
        <w:t>and</w:t>
      </w:r>
      <w:proofErr w:type="spellEnd"/>
      <w:r w:rsidR="00BD2893" w:rsidRPr="0047452F">
        <w:rPr>
          <w:rFonts w:ascii="Times New Roman" w:hAnsi="Times New Roman" w:cs="Times New Roman"/>
          <w:sz w:val="20"/>
          <w:szCs w:val="20"/>
          <w:lang w:val="tr-TR"/>
        </w:rPr>
        <w:t xml:space="preserve"> how it </w:t>
      </w:r>
      <w:proofErr w:type="spellStart"/>
      <w:r w:rsidR="00BD2893" w:rsidRPr="0047452F">
        <w:rPr>
          <w:rFonts w:ascii="Times New Roman" w:hAnsi="Times New Roman" w:cs="Times New Roman"/>
          <w:sz w:val="20"/>
          <w:szCs w:val="20"/>
          <w:lang w:val="tr-TR"/>
        </w:rPr>
        <w:t>requires</w:t>
      </w:r>
      <w:proofErr w:type="spellEnd"/>
      <w:r w:rsidR="00BD2893" w:rsidRPr="0047452F">
        <w:rPr>
          <w:rFonts w:ascii="Times New Roman" w:hAnsi="Times New Roman" w:cs="Times New Roman"/>
          <w:sz w:val="20"/>
          <w:szCs w:val="20"/>
          <w:lang w:val="tr-TR"/>
        </w:rPr>
        <w:t xml:space="preserve"> </w:t>
      </w:r>
      <w:proofErr w:type="spellStart"/>
      <w:r w:rsidR="00BD2893" w:rsidRPr="0047452F">
        <w:rPr>
          <w:rFonts w:ascii="Times New Roman" w:hAnsi="Times New Roman" w:cs="Times New Roman"/>
          <w:sz w:val="20"/>
          <w:szCs w:val="20"/>
          <w:lang w:val="tr-TR"/>
        </w:rPr>
        <w:t>corporations</w:t>
      </w:r>
      <w:proofErr w:type="spellEnd"/>
      <w:r w:rsidR="00BD2893" w:rsidRPr="0047452F">
        <w:rPr>
          <w:rFonts w:ascii="Times New Roman" w:hAnsi="Times New Roman" w:cs="Times New Roman"/>
          <w:sz w:val="20"/>
          <w:szCs w:val="20"/>
          <w:lang w:val="tr-TR"/>
        </w:rPr>
        <w:t xml:space="preserve"> </w:t>
      </w:r>
      <w:proofErr w:type="spellStart"/>
      <w:r w:rsidR="00BD2893" w:rsidRPr="0047452F">
        <w:rPr>
          <w:rFonts w:ascii="Times New Roman" w:hAnsi="Times New Roman" w:cs="Times New Roman"/>
          <w:sz w:val="20"/>
          <w:szCs w:val="20"/>
          <w:lang w:val="tr-TR"/>
        </w:rPr>
        <w:t>to</w:t>
      </w:r>
      <w:proofErr w:type="spellEnd"/>
      <w:r w:rsidR="00BD2893" w:rsidRPr="0047452F">
        <w:rPr>
          <w:rFonts w:ascii="Times New Roman" w:hAnsi="Times New Roman" w:cs="Times New Roman"/>
          <w:sz w:val="20"/>
          <w:szCs w:val="20"/>
          <w:lang w:val="tr-TR"/>
        </w:rPr>
        <w:t xml:space="preserve"> </w:t>
      </w:r>
      <w:proofErr w:type="spellStart"/>
      <w:r w:rsidR="00BD2893" w:rsidRPr="0047452F">
        <w:rPr>
          <w:rFonts w:ascii="Times New Roman" w:hAnsi="Times New Roman" w:cs="Times New Roman"/>
          <w:sz w:val="20"/>
          <w:szCs w:val="20"/>
          <w:lang w:val="tr-TR"/>
        </w:rPr>
        <w:t>operate</w:t>
      </w:r>
      <w:proofErr w:type="spellEnd"/>
      <w:r w:rsidR="00BD2893" w:rsidRPr="0047452F">
        <w:rPr>
          <w:rFonts w:ascii="Times New Roman" w:hAnsi="Times New Roman" w:cs="Times New Roman"/>
          <w:sz w:val="20"/>
          <w:szCs w:val="20"/>
          <w:lang w:val="tr-TR"/>
        </w:rPr>
        <w:t xml:space="preserve">, </w:t>
      </w:r>
      <w:proofErr w:type="spellStart"/>
      <w:r w:rsidR="00BD2893" w:rsidRPr="0047452F">
        <w:rPr>
          <w:rFonts w:ascii="Times New Roman" w:hAnsi="Times New Roman" w:cs="Times New Roman"/>
          <w:sz w:val="20"/>
          <w:szCs w:val="20"/>
          <w:lang w:val="tr-TR"/>
        </w:rPr>
        <w:t>see</w:t>
      </w:r>
      <w:proofErr w:type="spellEnd"/>
      <w:r w:rsidR="00BD2893" w:rsidRPr="0047452F">
        <w:rPr>
          <w:rFonts w:ascii="Times New Roman" w:hAnsi="Times New Roman" w:cs="Times New Roman"/>
          <w:sz w:val="20"/>
          <w:szCs w:val="20"/>
          <w:lang w:val="tr-TR"/>
        </w:rPr>
        <w:t xml:space="preserve">, Murat Can Pehlivanoğlu, Halka Açık Anonim Şirket Statüsündeki Futbol Kulüplerinde Sporcuların </w:t>
      </w:r>
      <w:proofErr w:type="spellStart"/>
      <w:r w:rsidR="00BD2893" w:rsidRPr="0047452F">
        <w:rPr>
          <w:rFonts w:ascii="Times New Roman" w:hAnsi="Times New Roman" w:cs="Times New Roman"/>
          <w:sz w:val="20"/>
          <w:szCs w:val="20"/>
          <w:lang w:val="tr-TR"/>
        </w:rPr>
        <w:t>Covid</w:t>
      </w:r>
      <w:proofErr w:type="spellEnd"/>
      <w:r w:rsidR="00BD2893" w:rsidRPr="0047452F">
        <w:rPr>
          <w:rFonts w:ascii="Times New Roman" w:hAnsi="Times New Roman" w:cs="Times New Roman"/>
          <w:sz w:val="20"/>
          <w:szCs w:val="20"/>
          <w:lang w:val="tr-TR"/>
        </w:rPr>
        <w:t xml:space="preserve">- 19 Test Sonuçları, Özel Durum Açıklamaları ve Yönetim Kurulunun Sorumluluğu, 1. Ticaret Hukuku Kongresi (Ed. Mehmet Bahtiyar et. al.) 711 (2021).   </w:t>
      </w:r>
    </w:p>
  </w:footnote>
  <w:footnote w:id="804">
    <w:p w14:paraId="1CC4823E" w14:textId="369064C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While the fact that there is a shareholders’ agreement among certain shareholders would be a material event, the disclosure of these agreements would, in most instances, lead to no reasonable expectations in the context of publicly traded corporations in Turkey. After all, a corporation cannot disclose an agreement that it is not aware of (given that </w:t>
      </w:r>
      <w:proofErr w:type="spellStart"/>
      <w:r w:rsidRPr="009975EA">
        <w:rPr>
          <w:rFonts w:ascii="Times New Roman" w:hAnsi="Times New Roman" w:cs="Times New Roman"/>
          <w:sz w:val="20"/>
          <w:szCs w:val="20"/>
        </w:rPr>
        <w:t>its</w:t>
      </w:r>
      <w:proofErr w:type="spellEnd"/>
      <w:r w:rsidRPr="009975EA">
        <w:rPr>
          <w:rFonts w:ascii="Times New Roman" w:hAnsi="Times New Roman" w:cs="Times New Roman"/>
          <w:sz w:val="20"/>
          <w:szCs w:val="20"/>
        </w:rPr>
        <w:t xml:space="preserve"> not a party to the agreement) during the public offering or as a part of ongoing disclosure obligations. In this regard, the only explicit measure that CML brings is requiring the disclosure of a shareholders’ agreement if it is the legal basis which triggers the disclosure obligation on parties who acquire or dispose the specified percentages (%5, %10, %15, %20, %25, %33, %50, %67, %95) of total share capital or voting rights (</w:t>
      </w:r>
      <w:proofErr w:type="spellStart"/>
      <w:r w:rsidRPr="009975EA">
        <w:rPr>
          <w:rFonts w:ascii="Times New Roman" w:hAnsi="Times New Roman" w:cs="Times New Roman"/>
          <w:sz w:val="20"/>
          <w:szCs w:val="20"/>
        </w:rPr>
        <w:t>Comminuque</w:t>
      </w:r>
      <w:proofErr w:type="spellEnd"/>
      <w:r w:rsidRPr="009975EA">
        <w:rPr>
          <w:rFonts w:ascii="Times New Roman" w:hAnsi="Times New Roman" w:cs="Times New Roman"/>
          <w:sz w:val="20"/>
          <w:szCs w:val="20"/>
        </w:rPr>
        <w:t xml:space="preserve"> on Material Events Disclosure, Article 12 and 13). Even in this case, only the mere presence or related part of the agreement would be disclosed and not the whole (</w:t>
      </w:r>
      <w:proofErr w:type="spellStart"/>
      <w:r w:rsidRPr="009975EA">
        <w:rPr>
          <w:rFonts w:ascii="Times New Roman" w:hAnsi="Times New Roman" w:cs="Times New Roman"/>
          <w:sz w:val="20"/>
          <w:szCs w:val="20"/>
        </w:rPr>
        <w:t>Comminuque</w:t>
      </w:r>
      <w:proofErr w:type="spellEnd"/>
      <w:r w:rsidRPr="009975EA">
        <w:rPr>
          <w:rFonts w:ascii="Times New Roman" w:hAnsi="Times New Roman" w:cs="Times New Roman"/>
          <w:sz w:val="20"/>
          <w:szCs w:val="20"/>
        </w:rPr>
        <w:t xml:space="preserve"> on Material Events Disclosure, Article 15). Therefore, shareholders’ agreement would be an unlikely basis for investors of publicly traded corporations to build an expectation on.</w:t>
      </w:r>
    </w:p>
  </w:footnote>
  <w:footnote w:id="805">
    <w:p w14:paraId="4F5B8FAB" w14:textId="17CEFA0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the description of the theory, see; Christopher Paul </w:t>
      </w:r>
      <w:proofErr w:type="spellStart"/>
      <w:r w:rsidRPr="009975EA">
        <w:rPr>
          <w:rFonts w:ascii="Times New Roman" w:hAnsi="Times New Roman" w:cs="Times New Roman"/>
          <w:sz w:val="20"/>
          <w:szCs w:val="20"/>
        </w:rPr>
        <w:t>Saari</w:t>
      </w:r>
      <w:proofErr w:type="spellEnd"/>
      <w:r w:rsidRPr="009975EA">
        <w:rPr>
          <w:rFonts w:ascii="Times New Roman" w:hAnsi="Times New Roman" w:cs="Times New Roman"/>
          <w:sz w:val="20"/>
          <w:szCs w:val="20"/>
        </w:rPr>
        <w:t xml:space="preserve">, </w:t>
      </w:r>
      <w:r w:rsidRPr="00855B7E">
        <w:rPr>
          <w:rFonts w:ascii="Times New Roman" w:hAnsi="Times New Roman" w:cs="Times New Roman"/>
          <w:i/>
          <w:sz w:val="20"/>
          <w:szCs w:val="20"/>
        </w:rPr>
        <w:t xml:space="preserve">The Efficient Capital Market Hypothesis, Economic </w:t>
      </w:r>
      <w:proofErr w:type="gramStart"/>
      <w:r w:rsidRPr="00855B7E">
        <w:rPr>
          <w:rFonts w:ascii="Times New Roman" w:hAnsi="Times New Roman" w:cs="Times New Roman"/>
          <w:i/>
          <w:sz w:val="20"/>
          <w:szCs w:val="20"/>
        </w:rPr>
        <w:t>Theory</w:t>
      </w:r>
      <w:proofErr w:type="gramEnd"/>
      <w:r w:rsidRPr="00855B7E">
        <w:rPr>
          <w:rFonts w:ascii="Times New Roman" w:hAnsi="Times New Roman" w:cs="Times New Roman"/>
          <w:i/>
          <w:sz w:val="20"/>
          <w:szCs w:val="20"/>
        </w:rPr>
        <w:t xml:space="preserve"> and the Regulation of the Securities Industry</w:t>
      </w:r>
      <w:r w:rsidRPr="009975EA">
        <w:rPr>
          <w:rFonts w:ascii="Times New Roman" w:hAnsi="Times New Roman" w:cs="Times New Roman"/>
          <w:sz w:val="20"/>
          <w:szCs w:val="20"/>
        </w:rPr>
        <w:t>, 29 Stan. L. Rev. 1031 (1977).</w:t>
      </w:r>
    </w:p>
  </w:footnote>
  <w:footnote w:id="806">
    <w:p w14:paraId="0E63BB46" w14:textId="6003266D" w:rsidR="00D36541" w:rsidRPr="009975EA" w:rsidRDefault="00D36541" w:rsidP="00855B7E">
      <w:pPr>
        <w:pStyle w:val="DipnotMetni"/>
        <w:tabs>
          <w:tab w:val="left" w:pos="6336"/>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Basic Inc. v. Levinson, 485 U.S. 224 (1988).</w:t>
      </w:r>
      <w:r>
        <w:rPr>
          <w:rFonts w:ascii="Times New Roman" w:hAnsi="Times New Roman" w:cs="Times New Roman"/>
          <w:sz w:val="20"/>
          <w:szCs w:val="20"/>
        </w:rPr>
        <w:tab/>
      </w:r>
    </w:p>
  </w:footnote>
  <w:footnote w:id="807">
    <w:p w14:paraId="4B061E09" w14:textId="18EA400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While one may assert that relying on a provision that has an administrative remedy, rather than civil remedy as a basis in oppression claim, can mean that a civil remedy is created for the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provisions violation through judiciary (See, Chapman, p. 213: “The expensive wording of the oppression remedy raises the question as to whether the oppression remedy can be used as a means of civil enforcement of the continuous disclosure provisions”), this is not the case. The securities law provisions are added to the oppression equation through the contractual </w:t>
      </w:r>
      <w:r w:rsidR="002961E4" w:rsidRPr="009975EA">
        <w:rPr>
          <w:rFonts w:ascii="Times New Roman" w:hAnsi="Times New Roman" w:cs="Times New Roman"/>
          <w:sz w:val="20"/>
          <w:szCs w:val="20"/>
        </w:rPr>
        <w:t>theory and</w:t>
      </w:r>
      <w:r w:rsidRPr="009975EA">
        <w:rPr>
          <w:rFonts w:ascii="Times New Roman" w:hAnsi="Times New Roman" w:cs="Times New Roman"/>
          <w:sz w:val="20"/>
          <w:szCs w:val="20"/>
        </w:rPr>
        <w:t xml:space="preserve"> does not by its own establish a civil liability. Besides, plaintiff’s right to initiate private actions against violators of the securities law is not incompatible with the nature of this law (See, Central Bank of Denver, N.A. v. First Interstate Bank of Denver, N.A., 511 U.S. 164 (1994): “It is envisioned that the SEC would enforce the statutory </w:t>
      </w:r>
      <w:proofErr w:type="spellStart"/>
      <w:r w:rsidRPr="009975EA">
        <w:rPr>
          <w:rFonts w:ascii="Times New Roman" w:hAnsi="Times New Roman" w:cs="Times New Roman"/>
          <w:sz w:val="20"/>
          <w:szCs w:val="20"/>
        </w:rPr>
        <w:t>prohibiton</w:t>
      </w:r>
      <w:proofErr w:type="spellEnd"/>
      <w:r w:rsidRPr="009975EA">
        <w:rPr>
          <w:rFonts w:ascii="Times New Roman" w:hAnsi="Times New Roman" w:cs="Times New Roman"/>
          <w:sz w:val="20"/>
          <w:szCs w:val="20"/>
        </w:rPr>
        <w:t xml:space="preserve"> through administrative and </w:t>
      </w:r>
      <w:proofErr w:type="spellStart"/>
      <w:r w:rsidRPr="009975EA">
        <w:rPr>
          <w:rFonts w:ascii="Times New Roman" w:hAnsi="Times New Roman" w:cs="Times New Roman"/>
          <w:sz w:val="20"/>
          <w:szCs w:val="20"/>
        </w:rPr>
        <w:t>injuctive</w:t>
      </w:r>
      <w:proofErr w:type="spellEnd"/>
      <w:r w:rsidRPr="009975EA">
        <w:rPr>
          <w:rFonts w:ascii="Times New Roman" w:hAnsi="Times New Roman" w:cs="Times New Roman"/>
          <w:sz w:val="20"/>
          <w:szCs w:val="20"/>
        </w:rPr>
        <w:t xml:space="preserve"> actions. Of course, a private plaintiff now may bring suit against violators of Sec. 10(b). But the private plaintiff may not bring a 10b-5 suit against a defendant for acts not prohibited by the text of Sec. 10(b)).</w:t>
      </w:r>
    </w:p>
  </w:footnote>
  <w:footnote w:id="808">
    <w:p w14:paraId="51410F93" w14:textId="50935A4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Swissair/</w:t>
      </w:r>
      <w:proofErr w:type="spellStart"/>
      <w:r w:rsidRPr="009975EA">
        <w:rPr>
          <w:rFonts w:ascii="Times New Roman" w:hAnsi="Times New Roman" w:cs="Times New Roman"/>
          <w:sz w:val="20"/>
          <w:szCs w:val="20"/>
        </w:rPr>
        <w:t>Wibru</w:t>
      </w:r>
      <w:proofErr w:type="spellEnd"/>
      <w:r w:rsidRPr="009975EA">
        <w:rPr>
          <w:rFonts w:ascii="Times New Roman" w:hAnsi="Times New Roman" w:cs="Times New Roman"/>
          <w:sz w:val="20"/>
          <w:szCs w:val="20"/>
        </w:rPr>
        <w:t xml:space="preserve"> decision, represents an example of liability that a shareholder can have due to advertisements or coincidental communications. In that case, the court opined that the advertisement and project announcement letters created a legitimate expectation for the consumers who engage in a contractual relationship with a subsidiary, and the parent should be liable for the breach of trust in corporate groups (See, Hasan </w:t>
      </w:r>
      <w:proofErr w:type="spellStart"/>
      <w:r w:rsidRPr="009975EA">
        <w:rPr>
          <w:rFonts w:ascii="Times New Roman" w:hAnsi="Times New Roman" w:cs="Times New Roman"/>
          <w:sz w:val="20"/>
          <w:szCs w:val="20"/>
        </w:rPr>
        <w:t>Pulasli</w:t>
      </w:r>
      <w:proofErr w:type="spellEnd"/>
      <w:r w:rsidRPr="009975EA">
        <w:rPr>
          <w:rFonts w:ascii="Times New Roman" w:hAnsi="Times New Roman" w:cs="Times New Roman"/>
          <w:sz w:val="20"/>
          <w:szCs w:val="20"/>
        </w:rPr>
        <w:t xml:space="preserve">, </w:t>
      </w:r>
      <w:r w:rsidRPr="00855B7E">
        <w:rPr>
          <w:rFonts w:ascii="Times New Roman" w:hAnsi="Times New Roman" w:cs="Times New Roman"/>
          <w:i/>
          <w:sz w:val="20"/>
          <w:szCs w:val="20"/>
        </w:rPr>
        <w:t xml:space="preserve">Turk </w:t>
      </w:r>
      <w:proofErr w:type="spellStart"/>
      <w:r w:rsidRPr="00855B7E">
        <w:rPr>
          <w:rFonts w:ascii="Times New Roman" w:hAnsi="Times New Roman" w:cs="Times New Roman"/>
          <w:i/>
          <w:sz w:val="20"/>
          <w:szCs w:val="20"/>
        </w:rPr>
        <w:t>Ticaret</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Kanunu</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Tasarisina</w:t>
      </w:r>
      <w:proofErr w:type="spellEnd"/>
      <w:r w:rsidRPr="00855B7E">
        <w:rPr>
          <w:rFonts w:ascii="Times New Roman" w:hAnsi="Times New Roman" w:cs="Times New Roman"/>
          <w:i/>
          <w:sz w:val="20"/>
          <w:szCs w:val="20"/>
        </w:rPr>
        <w:t xml:space="preserve"> Gore </w:t>
      </w:r>
      <w:proofErr w:type="spellStart"/>
      <w:r w:rsidRPr="00855B7E">
        <w:rPr>
          <w:rFonts w:ascii="Times New Roman" w:hAnsi="Times New Roman" w:cs="Times New Roman"/>
          <w:i/>
          <w:sz w:val="20"/>
          <w:szCs w:val="20"/>
        </w:rPr>
        <w:t>Sirketler</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Toplulugunun</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Temel</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Nitelikleri</w:t>
      </w:r>
      <w:proofErr w:type="spellEnd"/>
      <w:r w:rsidRPr="00855B7E">
        <w:rPr>
          <w:rFonts w:ascii="Times New Roman" w:hAnsi="Times New Roman" w:cs="Times New Roman"/>
          <w:i/>
          <w:sz w:val="20"/>
          <w:szCs w:val="20"/>
        </w:rPr>
        <w:t xml:space="preserve"> ve Hakim </w:t>
      </w:r>
      <w:proofErr w:type="spellStart"/>
      <w:r w:rsidRPr="00855B7E">
        <w:rPr>
          <w:rFonts w:ascii="Times New Roman" w:hAnsi="Times New Roman" w:cs="Times New Roman"/>
          <w:i/>
          <w:sz w:val="20"/>
          <w:szCs w:val="20"/>
        </w:rPr>
        <w:t>Sirketin</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Guven</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Sorumlulugu</w:t>
      </w:r>
      <w:proofErr w:type="spellEnd"/>
      <w:r w:rsidRPr="00855B7E">
        <w:rPr>
          <w:rFonts w:ascii="Times New Roman" w:hAnsi="Times New Roman" w:cs="Times New Roman"/>
          <w:i/>
          <w:sz w:val="20"/>
          <w:szCs w:val="20"/>
        </w:rPr>
        <w:t>,</w:t>
      </w:r>
      <w:r w:rsidRPr="009975EA">
        <w:rPr>
          <w:rFonts w:ascii="Times New Roman" w:hAnsi="Times New Roman" w:cs="Times New Roman"/>
          <w:sz w:val="20"/>
          <w:szCs w:val="20"/>
        </w:rPr>
        <w:t xml:space="preserve"> Gazi </w:t>
      </w:r>
      <w:proofErr w:type="spellStart"/>
      <w:r w:rsidRPr="009975EA">
        <w:rPr>
          <w:rFonts w:ascii="Times New Roman" w:hAnsi="Times New Roman" w:cs="Times New Roman"/>
          <w:sz w:val="20"/>
          <w:szCs w:val="20"/>
        </w:rPr>
        <w:t>Universitesi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Hukuk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Fakultesi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Der</w:t>
      </w:r>
      <w:r>
        <w:rPr>
          <w:rFonts w:ascii="Times New Roman" w:hAnsi="Times New Roman" w:cs="Times New Roman"/>
          <w:sz w:val="20"/>
          <w:szCs w:val="20"/>
        </w:rPr>
        <w:t>gisi</w:t>
      </w:r>
      <w:proofErr w:type="spellEnd"/>
      <w:r>
        <w:rPr>
          <w:rFonts w:ascii="Times New Roman" w:hAnsi="Times New Roman" w:cs="Times New Roman"/>
          <w:sz w:val="20"/>
          <w:szCs w:val="20"/>
        </w:rPr>
        <w:t xml:space="preserve"> C. XI, Sa. 1-2, Y. 2007, at </w:t>
      </w:r>
      <w:r w:rsidRPr="009975EA">
        <w:rPr>
          <w:rFonts w:ascii="Times New Roman" w:hAnsi="Times New Roman" w:cs="Times New Roman"/>
          <w:sz w:val="20"/>
          <w:szCs w:val="20"/>
        </w:rPr>
        <w:t>270- 275).</w:t>
      </w:r>
    </w:p>
  </w:footnote>
  <w:footnote w:id="809">
    <w:p w14:paraId="47FF4FE5" w14:textId="78D5B4B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articles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may</w:t>
      </w:r>
      <w:proofErr w:type="spellEnd"/>
      <w:r w:rsidRPr="009975EA">
        <w:rPr>
          <w:rFonts w:ascii="Times New Roman" w:hAnsi="Times New Roman" w:cs="Times New Roman"/>
          <w:color w:val="000000"/>
          <w:sz w:val="20"/>
          <w:szCs w:val="20"/>
          <w:lang w:val="tr-TR"/>
        </w:rPr>
        <w:t xml:space="preserve"> not be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only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contractual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terms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relationship</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between</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company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shareholder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company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shareholder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may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establish</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additional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contractual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arrangements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governing</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their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relationship</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additional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agreements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are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typical</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where</w:t>
      </w:r>
      <w:proofErr w:type="spellEnd"/>
      <w:r w:rsidRPr="009975EA">
        <w:rPr>
          <w:rFonts w:ascii="Times New Roman" w:hAnsi="Times New Roman" w:cs="Times New Roman"/>
          <w:color w:val="000000"/>
          <w:sz w:val="20"/>
          <w:szCs w:val="20"/>
          <w:lang w:val="tr-TR"/>
        </w:rPr>
        <w:t xml:space="preserve"> a </w:t>
      </w:r>
      <w:proofErr w:type="spellStart"/>
      <w:r w:rsidRPr="009975EA">
        <w:rPr>
          <w:rFonts w:ascii="Times New Roman" w:hAnsi="Times New Roman" w:cs="Times New Roman"/>
          <w:color w:val="000000"/>
          <w:sz w:val="20"/>
          <w:szCs w:val="20"/>
          <w:lang w:val="tr-TR"/>
        </w:rPr>
        <w:t>different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class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shares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created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and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issued</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such</w:t>
      </w:r>
      <w:proofErr w:type="spellEnd"/>
      <w:r w:rsidRPr="009975EA">
        <w:rPr>
          <w:rFonts w:ascii="Times New Roman" w:hAnsi="Times New Roman" w:cs="Times New Roman"/>
          <w:color w:val="000000"/>
          <w:sz w:val="20"/>
          <w:szCs w:val="20"/>
          <w:lang w:val="tr-TR"/>
        </w:rPr>
        <w:t xml:space="preserve"> as </w:t>
      </w:r>
      <w:proofErr w:type="spellStart"/>
      <w:r w:rsidRPr="009975EA">
        <w:rPr>
          <w:rFonts w:ascii="Times New Roman" w:hAnsi="Times New Roman" w:cs="Times New Roman"/>
          <w:color w:val="000000"/>
          <w:sz w:val="20"/>
          <w:szCs w:val="20"/>
          <w:lang w:val="tr-TR"/>
        </w:rPr>
        <w:t>preference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or</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redeemable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terms</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issue</w:t>
      </w:r>
      <w:proofErr w:type="spellEnd"/>
      <w:r w:rsidRPr="009975EA">
        <w:rPr>
          <w:rFonts w:ascii="Times New Roman" w:hAnsi="Times New Roman" w:cs="Times New Roman"/>
          <w:color w:val="000000"/>
          <w:sz w:val="20"/>
          <w:szCs w:val="20"/>
          <w:lang w:val="tr-TR"/>
        </w:rPr>
        <w:t xml:space="preserve"> of </w:t>
      </w:r>
      <w:proofErr w:type="spellStart"/>
      <w:r w:rsidRPr="009975EA">
        <w:rPr>
          <w:rFonts w:ascii="Times New Roman" w:hAnsi="Times New Roman" w:cs="Times New Roman"/>
          <w:color w:val="000000"/>
          <w:sz w:val="20"/>
          <w:szCs w:val="20"/>
          <w:lang w:val="tr-TR"/>
        </w:rPr>
        <w:t>these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shares</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typically</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contained</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issue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document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supplement</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provisions</w:t>
      </w:r>
      <w:proofErr w:type="spellEnd"/>
      <w:r w:rsidRPr="009975EA">
        <w:rPr>
          <w:rFonts w:ascii="Times New Roman" w:hAnsi="Times New Roman" w:cs="Times New Roman"/>
          <w:color w:val="000000"/>
          <w:sz w:val="20"/>
          <w:szCs w:val="20"/>
          <w:lang w:val="tr-TR"/>
        </w:rPr>
        <w:t xml:space="preserve"> in </w:t>
      </w:r>
      <w:proofErr w:type="spellStart"/>
      <w:r w:rsidRPr="009975EA">
        <w:rPr>
          <w:rFonts w:ascii="Times New Roman" w:hAnsi="Times New Roman" w:cs="Times New Roman"/>
          <w:color w:val="000000"/>
          <w:sz w:val="20"/>
          <w:szCs w:val="20"/>
          <w:lang w:val="tr-TR"/>
        </w:rPr>
        <w:t>the</w:t>
      </w:r>
      <w:proofErr w:type="spellEnd"/>
      <w:r w:rsidRPr="009975EA">
        <w:rPr>
          <w:rFonts w:ascii="Times New Roman" w:hAnsi="Times New Roman" w:cs="Times New Roman"/>
          <w:color w:val="000000"/>
          <w:sz w:val="20"/>
          <w:szCs w:val="20"/>
          <w:lang w:val="tr-TR"/>
        </w:rPr>
        <w:t xml:space="preserve"> </w:t>
      </w:r>
      <w:proofErr w:type="spellStart"/>
      <w:r w:rsidRPr="009975EA">
        <w:rPr>
          <w:rFonts w:ascii="Times New Roman" w:hAnsi="Times New Roman" w:cs="Times New Roman"/>
          <w:color w:val="000000"/>
          <w:sz w:val="20"/>
          <w:szCs w:val="20"/>
          <w:lang w:val="tr-TR"/>
        </w:rPr>
        <w:t>articles</w:t>
      </w:r>
      <w:proofErr w:type="spellEnd"/>
      <w:r w:rsidRPr="009975EA">
        <w:rPr>
          <w:rFonts w:ascii="Times New Roman" w:hAnsi="Times New Roman" w:cs="Times New Roman"/>
          <w:color w:val="000000"/>
          <w:sz w:val="20"/>
          <w:szCs w:val="20"/>
          <w:lang w:val="tr-TR"/>
        </w:rPr>
        <w:t>.” (</w:t>
      </w:r>
      <w:r>
        <w:rPr>
          <w:rFonts w:ascii="Times New Roman" w:hAnsi="Times New Roman" w:cs="Times New Roman"/>
          <w:sz w:val="20"/>
          <w:szCs w:val="20"/>
        </w:rPr>
        <w:t>McLaughlin</w:t>
      </w:r>
      <w:r w:rsidRPr="009975EA">
        <w:rPr>
          <w:rFonts w:ascii="Times New Roman" w:hAnsi="Times New Roman" w:cs="Times New Roman"/>
          <w:sz w:val="20"/>
          <w:szCs w:val="20"/>
        </w:rPr>
        <w:t>, p. 148)</w:t>
      </w:r>
    </w:p>
  </w:footnote>
  <w:footnote w:id="810">
    <w:p w14:paraId="2915AACA" w14:textId="5BFF7F2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However, this does not mean that these communications do not give rise to civil and criminal liability under securities laws’ market manipulation rules.</w:t>
      </w:r>
    </w:p>
  </w:footnote>
  <w:footnote w:id="811">
    <w:p w14:paraId="7B011255" w14:textId="047764A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Markus Roth, </w:t>
      </w:r>
      <w:r w:rsidRPr="00855B7E">
        <w:rPr>
          <w:rFonts w:ascii="Times New Roman" w:hAnsi="Times New Roman" w:cs="Times New Roman"/>
          <w:i/>
          <w:sz w:val="20"/>
          <w:szCs w:val="20"/>
        </w:rPr>
        <w:t>Shareholders’ Agreements in Listed Companies: Germany</w:t>
      </w:r>
      <w:r w:rsidRPr="009975EA">
        <w:rPr>
          <w:rFonts w:ascii="Times New Roman" w:hAnsi="Times New Roman" w:cs="Times New Roman"/>
          <w:sz w:val="20"/>
          <w:szCs w:val="20"/>
        </w:rPr>
        <w:t xml:space="preserve">, </w:t>
      </w:r>
      <w:hyperlink r:id="rId75" w:history="1">
        <w:r w:rsidRPr="009975EA">
          <w:rPr>
            <w:rStyle w:val="Kpr"/>
            <w:rFonts w:ascii="Times New Roman" w:hAnsi="Times New Roman" w:cs="Times New Roman"/>
            <w:sz w:val="20"/>
            <w:szCs w:val="20"/>
          </w:rPr>
          <w:t>https://www.unibocconi.eu/wps/wcm/connect/703b0434-4b96-435f-b52e-92ff838c8716/WP+12+Pollicino-Lubello-Bertolini.pdf?MOD=AJPERES</w:t>
        </w:r>
      </w:hyperlink>
      <w:r w:rsidRPr="009975EA">
        <w:rPr>
          <w:rFonts w:ascii="Times New Roman" w:hAnsi="Times New Roman" w:cs="Times New Roman"/>
          <w:sz w:val="20"/>
          <w:szCs w:val="20"/>
        </w:rPr>
        <w:t xml:space="preserve"> </w:t>
      </w:r>
      <w:r>
        <w:rPr>
          <w:rFonts w:ascii="Times New Roman" w:hAnsi="Times New Roman" w:cs="Times New Roman"/>
          <w:sz w:val="20"/>
          <w:szCs w:val="20"/>
        </w:rPr>
        <w:t>(</w:t>
      </w:r>
      <w:r w:rsidRPr="009975EA">
        <w:rPr>
          <w:rFonts w:ascii="Times New Roman" w:hAnsi="Times New Roman" w:cs="Times New Roman"/>
          <w:sz w:val="20"/>
          <w:szCs w:val="20"/>
        </w:rPr>
        <w:t>Last Visited: 10/12/2016</w:t>
      </w:r>
      <w:r>
        <w:rPr>
          <w:rFonts w:ascii="Times New Roman" w:hAnsi="Times New Roman" w:cs="Times New Roman"/>
          <w:sz w:val="20"/>
          <w:szCs w:val="20"/>
        </w:rPr>
        <w:t xml:space="preserve">) at </w:t>
      </w:r>
      <w:r w:rsidRPr="009975EA">
        <w:rPr>
          <w:rFonts w:ascii="Times New Roman" w:hAnsi="Times New Roman" w:cs="Times New Roman"/>
          <w:sz w:val="20"/>
          <w:szCs w:val="20"/>
        </w:rPr>
        <w:t>2.</w:t>
      </w:r>
    </w:p>
  </w:footnote>
  <w:footnote w:id="812">
    <w:p w14:paraId="755CF23C" w14:textId="4D3D45C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210.</w:t>
      </w:r>
    </w:p>
  </w:footnote>
  <w:footnote w:id="813">
    <w:p w14:paraId="5FC2D0B9" w14:textId="5190115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210.</w:t>
      </w:r>
    </w:p>
  </w:footnote>
  <w:footnote w:id="814">
    <w:p w14:paraId="55EF91D2" w14:textId="00750666" w:rsidR="00616482" w:rsidRPr="0047452F" w:rsidRDefault="00616482" w:rsidP="0047452F">
      <w:pPr>
        <w:jc w:val="both"/>
        <w:rPr>
          <w:rFonts w:ascii="Times New Roman" w:hAnsi="Times New Roman" w:cs="Times New Roman"/>
          <w:sz w:val="20"/>
          <w:szCs w:val="20"/>
        </w:rPr>
      </w:pPr>
      <w:r>
        <w:rPr>
          <w:rStyle w:val="DipnotBavurusu"/>
        </w:rPr>
        <w:footnoteRef/>
      </w:r>
      <w:r>
        <w:t xml:space="preserve"> </w:t>
      </w:r>
      <w:r w:rsidRPr="007B7B51">
        <w:rPr>
          <w:rFonts w:ascii="Times New Roman" w:hAnsi="Times New Roman" w:cs="Times New Roman"/>
          <w:sz w:val="20"/>
          <w:szCs w:val="20"/>
        </w:rPr>
        <w:t xml:space="preserve">A </w:t>
      </w:r>
      <w:proofErr w:type="spellStart"/>
      <w:r w:rsidRPr="007B7B51">
        <w:rPr>
          <w:rFonts w:ascii="Times New Roman" w:hAnsi="Times New Roman" w:cs="Times New Roman"/>
          <w:sz w:val="20"/>
          <w:szCs w:val="20"/>
        </w:rPr>
        <w:t>corporation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which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wishes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have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listed</w:t>
      </w:r>
      <w:proofErr w:type="spellEnd"/>
      <w:r w:rsidRPr="007B7B51">
        <w:rPr>
          <w:rFonts w:ascii="Times New Roman" w:hAnsi="Times New Roman" w:cs="Times New Roman"/>
          <w:sz w:val="20"/>
          <w:szCs w:val="20"/>
        </w:rPr>
        <w:t xml:space="preserve"> on a </w:t>
      </w:r>
      <w:proofErr w:type="spellStart"/>
      <w:r w:rsidRPr="007B7B51">
        <w:rPr>
          <w:rFonts w:ascii="Times New Roman" w:hAnsi="Times New Roman" w:cs="Times New Roman"/>
          <w:sz w:val="20"/>
          <w:szCs w:val="20"/>
        </w:rPr>
        <w:t>stock</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exchange</w:t>
      </w:r>
      <w:proofErr w:type="spellEnd"/>
      <w:r w:rsidRPr="007B7B51">
        <w:rPr>
          <w:rFonts w:ascii="Times New Roman" w:hAnsi="Times New Roman" w:cs="Times New Roman"/>
          <w:sz w:val="20"/>
          <w:szCs w:val="20"/>
        </w:rPr>
        <w:t xml:space="preserve"> has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enter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into</w:t>
      </w:r>
      <w:proofErr w:type="spellEnd"/>
      <w:r w:rsidRPr="007B7B51">
        <w:rPr>
          <w:rFonts w:ascii="Times New Roman" w:hAnsi="Times New Roman" w:cs="Times New Roman"/>
          <w:sz w:val="20"/>
          <w:szCs w:val="20"/>
        </w:rPr>
        <w:t xml:space="preserve"> a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agreement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stock</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exchange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terms</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agreement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includes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conditions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requirements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standards</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which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will</w:t>
      </w:r>
      <w:proofErr w:type="spellEnd"/>
      <w:r w:rsidRPr="007B7B51">
        <w:rPr>
          <w:rFonts w:ascii="Times New Roman" w:hAnsi="Times New Roman" w:cs="Times New Roman"/>
          <w:sz w:val="20"/>
          <w:szCs w:val="20"/>
        </w:rPr>
        <w:t xml:space="preserve"> be </w:t>
      </w:r>
      <w:proofErr w:type="spellStart"/>
      <w:r w:rsidRPr="007B7B51">
        <w:rPr>
          <w:rFonts w:ascii="Times New Roman" w:hAnsi="Times New Roman" w:cs="Times New Roman"/>
          <w:sz w:val="20"/>
          <w:szCs w:val="20"/>
        </w:rPr>
        <w:t>listed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traded</w:t>
      </w:r>
      <w:proofErr w:type="spellEnd"/>
      <w:r w:rsidRPr="007B7B51">
        <w:rPr>
          <w:rFonts w:ascii="Times New Roman" w:hAnsi="Times New Roman" w:cs="Times New Roman"/>
          <w:sz w:val="20"/>
          <w:szCs w:val="20"/>
        </w:rPr>
        <w:t xml:space="preserve"> (</w:t>
      </w:r>
      <w:r w:rsidRPr="00616482">
        <w:rPr>
          <w:rFonts w:ascii="Times New Roman" w:hAnsi="Times New Roman" w:cs="Times New Roman"/>
          <w:sz w:val="20"/>
          <w:szCs w:val="20"/>
        </w:rPr>
        <w:t>“</w:t>
      </w:r>
      <w:proofErr w:type="spellStart"/>
      <w:r w:rsidRPr="00616482">
        <w:rPr>
          <w:rFonts w:ascii="Times New Roman" w:hAnsi="Times New Roman" w:cs="Times New Roman"/>
          <w:sz w:val="20"/>
          <w:szCs w:val="20"/>
        </w:rPr>
        <w:t>The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first</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standards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were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no</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more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than</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terms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insterted</w:t>
      </w:r>
      <w:proofErr w:type="spellEnd"/>
      <w:r w:rsidRPr="00616482">
        <w:rPr>
          <w:rFonts w:ascii="Times New Roman" w:hAnsi="Times New Roman" w:cs="Times New Roman"/>
          <w:sz w:val="20"/>
          <w:szCs w:val="20"/>
        </w:rPr>
        <w:t xml:space="preserve"> in a </w:t>
      </w:r>
      <w:proofErr w:type="spellStart"/>
      <w:r w:rsidRPr="00616482">
        <w:rPr>
          <w:rFonts w:ascii="Times New Roman" w:hAnsi="Times New Roman" w:cs="Times New Roman"/>
          <w:sz w:val="20"/>
          <w:szCs w:val="20"/>
        </w:rPr>
        <w:t>given</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listing</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agreement</w:t>
      </w:r>
      <w:proofErr w:type="spellEnd"/>
      <w:r w:rsidRPr="00616482">
        <w:rPr>
          <w:rFonts w:ascii="Times New Roman" w:hAnsi="Times New Roman" w:cs="Times New Roman"/>
          <w:sz w:val="20"/>
          <w:szCs w:val="20"/>
        </w:rPr>
        <w:t xml:space="preserve">.” (Douglas C. Michael, </w:t>
      </w:r>
      <w:proofErr w:type="spellStart"/>
      <w:r w:rsidRPr="00616482">
        <w:rPr>
          <w:rFonts w:ascii="Times New Roman" w:hAnsi="Times New Roman" w:cs="Times New Roman"/>
          <w:i/>
          <w:sz w:val="20"/>
          <w:szCs w:val="20"/>
        </w:rPr>
        <w:t>Untenable</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Status</w:t>
      </w:r>
      <w:proofErr w:type="spellEnd"/>
      <w:r w:rsidRPr="00616482">
        <w:rPr>
          <w:rFonts w:ascii="Times New Roman" w:hAnsi="Times New Roman" w:cs="Times New Roman"/>
          <w:i/>
          <w:sz w:val="20"/>
          <w:szCs w:val="20"/>
        </w:rPr>
        <w:t xml:space="preserve"> of </w:t>
      </w:r>
      <w:proofErr w:type="spellStart"/>
      <w:r w:rsidRPr="00616482">
        <w:rPr>
          <w:rFonts w:ascii="Times New Roman" w:hAnsi="Times New Roman" w:cs="Times New Roman"/>
          <w:i/>
          <w:sz w:val="20"/>
          <w:szCs w:val="20"/>
        </w:rPr>
        <w:t>Corporate</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Governance</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Listing</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Standards</w:t>
      </w:r>
      <w:proofErr w:type="spellEnd"/>
      <w:r w:rsidRPr="00616482">
        <w:rPr>
          <w:rFonts w:ascii="Times New Roman" w:hAnsi="Times New Roman" w:cs="Times New Roman"/>
          <w:i/>
          <w:sz w:val="20"/>
          <w:szCs w:val="20"/>
        </w:rPr>
        <w:t xml:space="preserve"> Under </w:t>
      </w:r>
      <w:proofErr w:type="spellStart"/>
      <w:r w:rsidRPr="00616482">
        <w:rPr>
          <w:rFonts w:ascii="Times New Roman" w:hAnsi="Times New Roman" w:cs="Times New Roman"/>
          <w:i/>
          <w:sz w:val="20"/>
          <w:szCs w:val="20"/>
        </w:rPr>
        <w:t>the</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Securities</w:t>
      </w:r>
      <w:proofErr w:type="spellEnd"/>
      <w:r w:rsidRPr="00616482">
        <w:rPr>
          <w:rFonts w:ascii="Times New Roman" w:hAnsi="Times New Roman" w:cs="Times New Roman"/>
          <w:i/>
          <w:sz w:val="20"/>
          <w:szCs w:val="20"/>
        </w:rPr>
        <w:t xml:space="preserve"> Exchange </w:t>
      </w:r>
      <w:proofErr w:type="spellStart"/>
      <w:r w:rsidRPr="00616482">
        <w:rPr>
          <w:rFonts w:ascii="Times New Roman" w:hAnsi="Times New Roman" w:cs="Times New Roman"/>
          <w:i/>
          <w:sz w:val="20"/>
          <w:szCs w:val="20"/>
        </w:rPr>
        <w:t>Act</w:t>
      </w:r>
      <w:proofErr w:type="spellEnd"/>
      <w:r w:rsidRPr="00616482">
        <w:rPr>
          <w:rFonts w:ascii="Times New Roman" w:hAnsi="Times New Roman" w:cs="Times New Roman"/>
          <w:sz w:val="20"/>
          <w:szCs w:val="20"/>
        </w:rPr>
        <w:t xml:space="preserve">, 47 </w:t>
      </w:r>
      <w:proofErr w:type="spellStart"/>
      <w:r w:rsidRPr="00616482">
        <w:rPr>
          <w:rFonts w:ascii="Times New Roman" w:hAnsi="Times New Roman" w:cs="Times New Roman"/>
          <w:sz w:val="20"/>
          <w:szCs w:val="20"/>
        </w:rPr>
        <w:t>Bus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Law</w:t>
      </w:r>
      <w:proofErr w:type="spellEnd"/>
      <w:r w:rsidRPr="00616482">
        <w:rPr>
          <w:rFonts w:ascii="Times New Roman" w:hAnsi="Times New Roman" w:cs="Times New Roman"/>
          <w:sz w:val="20"/>
          <w:szCs w:val="20"/>
        </w:rPr>
        <w:t>. 1461 (1992), at 1465)</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essence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relationship</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between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stock</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exchange</w:t>
      </w:r>
      <w:proofErr w:type="spellEnd"/>
      <w:r w:rsidRPr="007B7B51">
        <w:rPr>
          <w:rFonts w:ascii="Times New Roman" w:hAnsi="Times New Roman" w:cs="Times New Roman"/>
          <w:sz w:val="20"/>
          <w:szCs w:val="20"/>
        </w:rPr>
        <w:t xml:space="preserve"> is </w:t>
      </w:r>
      <w:proofErr w:type="spellStart"/>
      <w:r w:rsidRPr="007B7B51">
        <w:rPr>
          <w:rFonts w:ascii="Times New Roman" w:hAnsi="Times New Roman" w:cs="Times New Roman"/>
          <w:sz w:val="20"/>
          <w:szCs w:val="20"/>
        </w:rPr>
        <w:t>contractual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not a </w:t>
      </w:r>
      <w:proofErr w:type="spellStart"/>
      <w:r w:rsidRPr="007B7B51">
        <w:rPr>
          <w:rFonts w:ascii="Times New Roman" w:hAnsi="Times New Roman" w:cs="Times New Roman"/>
          <w:sz w:val="20"/>
          <w:szCs w:val="20"/>
        </w:rPr>
        <w:t>part</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company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law</w:t>
      </w:r>
      <w:proofErr w:type="spellEnd"/>
      <w:r w:rsidRPr="007B7B51">
        <w:rPr>
          <w:rFonts w:ascii="Times New Roman" w:hAnsi="Times New Roman" w:cs="Times New Roman"/>
          <w:sz w:val="20"/>
          <w:szCs w:val="20"/>
        </w:rPr>
        <w:t xml:space="preserve"> (</w:t>
      </w:r>
      <w:r w:rsidRPr="00616482">
        <w:rPr>
          <w:rFonts w:ascii="Times New Roman" w:hAnsi="Times New Roman" w:cs="Times New Roman"/>
          <w:color w:val="000000"/>
          <w:sz w:val="20"/>
          <w:szCs w:val="20"/>
        </w:rPr>
        <w:t xml:space="preserve">J.M. </w:t>
      </w:r>
      <w:proofErr w:type="spellStart"/>
      <w:r w:rsidRPr="00616482">
        <w:rPr>
          <w:rFonts w:ascii="Times New Roman" w:hAnsi="Times New Roman" w:cs="Times New Roman"/>
          <w:color w:val="000000"/>
          <w:sz w:val="20"/>
          <w:szCs w:val="20"/>
        </w:rPr>
        <w:t>Gullick</w:t>
      </w:r>
      <w:proofErr w:type="spellEnd"/>
      <w:r w:rsidRPr="00616482">
        <w:rPr>
          <w:rFonts w:ascii="Times New Roman" w:hAnsi="Times New Roman" w:cs="Times New Roman"/>
          <w:color w:val="000000"/>
          <w:sz w:val="20"/>
          <w:szCs w:val="20"/>
        </w:rPr>
        <w:t xml:space="preserve">, </w:t>
      </w:r>
      <w:proofErr w:type="spellStart"/>
      <w:r w:rsidRPr="00616482">
        <w:rPr>
          <w:rFonts w:ascii="Times New Roman" w:hAnsi="Times New Roman" w:cs="Times New Roman"/>
          <w:i/>
          <w:color w:val="000000"/>
          <w:sz w:val="20"/>
          <w:szCs w:val="20"/>
        </w:rPr>
        <w:t>Ranking</w:t>
      </w:r>
      <w:proofErr w:type="spellEnd"/>
      <w:r w:rsidRPr="00616482">
        <w:rPr>
          <w:rFonts w:ascii="Times New Roman" w:hAnsi="Times New Roman" w:cs="Times New Roman"/>
          <w:i/>
          <w:color w:val="000000"/>
          <w:sz w:val="20"/>
          <w:szCs w:val="20"/>
        </w:rPr>
        <w:t xml:space="preserve"> &amp; </w:t>
      </w:r>
      <w:proofErr w:type="spellStart"/>
      <w:r w:rsidRPr="00616482">
        <w:rPr>
          <w:rFonts w:ascii="Times New Roman" w:hAnsi="Times New Roman" w:cs="Times New Roman"/>
          <w:i/>
          <w:color w:val="000000"/>
          <w:sz w:val="20"/>
          <w:szCs w:val="20"/>
        </w:rPr>
        <w:t>Spicer’s</w:t>
      </w:r>
      <w:proofErr w:type="spellEnd"/>
      <w:r w:rsidRPr="00616482">
        <w:rPr>
          <w:rFonts w:ascii="Times New Roman" w:hAnsi="Times New Roman" w:cs="Times New Roman"/>
          <w:i/>
          <w:color w:val="000000"/>
          <w:sz w:val="20"/>
          <w:szCs w:val="20"/>
        </w:rPr>
        <w:t xml:space="preserve"> </w:t>
      </w:r>
      <w:proofErr w:type="spellStart"/>
      <w:r w:rsidRPr="00616482">
        <w:rPr>
          <w:rFonts w:ascii="Times New Roman" w:hAnsi="Times New Roman" w:cs="Times New Roman"/>
          <w:i/>
          <w:color w:val="000000"/>
          <w:sz w:val="20"/>
          <w:szCs w:val="20"/>
        </w:rPr>
        <w:t>Company</w:t>
      </w:r>
      <w:proofErr w:type="spellEnd"/>
      <w:r w:rsidRPr="00616482">
        <w:rPr>
          <w:rFonts w:ascii="Times New Roman" w:hAnsi="Times New Roman" w:cs="Times New Roman"/>
          <w:i/>
          <w:color w:val="000000"/>
          <w:sz w:val="20"/>
          <w:szCs w:val="20"/>
        </w:rPr>
        <w:t xml:space="preserve"> </w:t>
      </w:r>
      <w:proofErr w:type="spellStart"/>
      <w:r w:rsidRPr="00616482">
        <w:rPr>
          <w:rFonts w:ascii="Times New Roman" w:hAnsi="Times New Roman" w:cs="Times New Roman"/>
          <w:i/>
          <w:color w:val="000000"/>
          <w:sz w:val="20"/>
          <w:szCs w:val="20"/>
        </w:rPr>
        <w:t>Law</w:t>
      </w:r>
      <w:proofErr w:type="spellEnd"/>
      <w:r w:rsidRPr="00616482">
        <w:rPr>
          <w:rFonts w:ascii="Times New Roman" w:hAnsi="Times New Roman" w:cs="Times New Roman"/>
          <w:color w:val="000000"/>
          <w:sz w:val="20"/>
          <w:szCs w:val="20"/>
        </w:rPr>
        <w:t xml:space="preserve"> 380 (12.Ed.,1981)</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Hence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violation</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rules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does</w:t>
      </w:r>
      <w:proofErr w:type="spellEnd"/>
      <w:r w:rsidRPr="007B7B51">
        <w:rPr>
          <w:rFonts w:ascii="Times New Roman" w:hAnsi="Times New Roman" w:cs="Times New Roman"/>
          <w:sz w:val="20"/>
          <w:szCs w:val="20"/>
        </w:rPr>
        <w:t xml:space="preserve"> not </w:t>
      </w:r>
      <w:proofErr w:type="spellStart"/>
      <w:r w:rsidRPr="007B7B51">
        <w:rPr>
          <w:rFonts w:ascii="Times New Roman" w:hAnsi="Times New Roman" w:cs="Times New Roman"/>
          <w:sz w:val="20"/>
          <w:szCs w:val="20"/>
        </w:rPr>
        <w:t>invalidate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transactions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give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rise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specific</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liabilities</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terms</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corporate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law</w:t>
      </w:r>
      <w:proofErr w:type="spellEnd"/>
      <w:r w:rsidRPr="007B7B51">
        <w:rPr>
          <w:rFonts w:ascii="Times New Roman" w:hAnsi="Times New Roman" w:cs="Times New Roman"/>
          <w:sz w:val="20"/>
          <w:szCs w:val="20"/>
        </w:rPr>
        <w:t xml:space="preserve">, but can </w:t>
      </w:r>
      <w:proofErr w:type="spellStart"/>
      <w:r w:rsidRPr="007B7B51">
        <w:rPr>
          <w:rFonts w:ascii="Times New Roman" w:hAnsi="Times New Roman" w:cs="Times New Roman"/>
          <w:sz w:val="20"/>
          <w:szCs w:val="20"/>
        </w:rPr>
        <w:t>lead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administrative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sanctions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imposed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stock</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exchange</w:t>
      </w:r>
      <w:proofErr w:type="spellEnd"/>
      <w:r w:rsidRPr="007B7B51">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Eddy</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Wymeersch</w:t>
      </w:r>
      <w:proofErr w:type="spellEnd"/>
      <w:r w:rsidRPr="00616482">
        <w:rPr>
          <w:rFonts w:ascii="Times New Roman" w:hAnsi="Times New Roman" w:cs="Times New Roman"/>
          <w:sz w:val="20"/>
          <w:szCs w:val="20"/>
        </w:rPr>
        <w:t xml:space="preserve">, </w:t>
      </w:r>
      <w:r w:rsidRPr="00616482">
        <w:rPr>
          <w:rFonts w:ascii="Times New Roman" w:hAnsi="Times New Roman" w:cs="Times New Roman"/>
          <w:i/>
          <w:sz w:val="20"/>
          <w:szCs w:val="20"/>
        </w:rPr>
        <w:t xml:space="preserve">“Do </w:t>
      </w:r>
      <w:proofErr w:type="spellStart"/>
      <w:r w:rsidRPr="00616482">
        <w:rPr>
          <w:rFonts w:ascii="Times New Roman" w:hAnsi="Times New Roman" w:cs="Times New Roman"/>
          <w:i/>
          <w:sz w:val="20"/>
          <w:szCs w:val="20"/>
        </w:rPr>
        <w:t>we</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need</w:t>
      </w:r>
      <w:proofErr w:type="spellEnd"/>
      <w:r w:rsidRPr="00616482">
        <w:rPr>
          <w:rFonts w:ascii="Times New Roman" w:hAnsi="Times New Roman" w:cs="Times New Roman"/>
          <w:i/>
          <w:sz w:val="20"/>
          <w:szCs w:val="20"/>
        </w:rPr>
        <w:t xml:space="preserve"> a </w:t>
      </w:r>
      <w:proofErr w:type="spellStart"/>
      <w:r w:rsidRPr="00616482">
        <w:rPr>
          <w:rFonts w:ascii="Times New Roman" w:hAnsi="Times New Roman" w:cs="Times New Roman"/>
          <w:i/>
          <w:sz w:val="20"/>
          <w:szCs w:val="20"/>
        </w:rPr>
        <w:t>law</w:t>
      </w:r>
      <w:proofErr w:type="spellEnd"/>
      <w:r w:rsidRPr="00616482">
        <w:rPr>
          <w:rFonts w:ascii="Times New Roman" w:hAnsi="Times New Roman" w:cs="Times New Roman"/>
          <w:i/>
          <w:sz w:val="20"/>
          <w:szCs w:val="20"/>
        </w:rPr>
        <w:t xml:space="preserve"> on </w:t>
      </w:r>
      <w:proofErr w:type="spellStart"/>
      <w:r w:rsidRPr="00616482">
        <w:rPr>
          <w:rFonts w:ascii="Times New Roman" w:hAnsi="Times New Roman" w:cs="Times New Roman"/>
          <w:i/>
          <w:sz w:val="20"/>
          <w:szCs w:val="20"/>
        </w:rPr>
        <w:t>groups</w:t>
      </w:r>
      <w:proofErr w:type="spellEnd"/>
      <w:r w:rsidRPr="00616482">
        <w:rPr>
          <w:rFonts w:ascii="Times New Roman" w:hAnsi="Times New Roman" w:cs="Times New Roman"/>
          <w:i/>
          <w:sz w:val="20"/>
          <w:szCs w:val="20"/>
        </w:rPr>
        <w:t xml:space="preserve"> of </w:t>
      </w:r>
      <w:proofErr w:type="spellStart"/>
      <w:r w:rsidRPr="00616482">
        <w:rPr>
          <w:rFonts w:ascii="Times New Roman" w:hAnsi="Times New Roman" w:cs="Times New Roman"/>
          <w:i/>
          <w:sz w:val="20"/>
          <w:szCs w:val="20"/>
        </w:rPr>
        <w:t>companies</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Capital</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Markets</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and</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Company</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Law</w:t>
      </w:r>
      <w:proofErr w:type="spellEnd"/>
      <w:r w:rsidRPr="00616482">
        <w:rPr>
          <w:rFonts w:ascii="Times New Roman" w:hAnsi="Times New Roman" w:cs="Times New Roman"/>
          <w:sz w:val="20"/>
          <w:szCs w:val="20"/>
        </w:rPr>
        <w:t xml:space="preserve"> 589, Ed. </w:t>
      </w:r>
      <w:proofErr w:type="spellStart"/>
      <w:r w:rsidRPr="00616482">
        <w:rPr>
          <w:rFonts w:ascii="Times New Roman" w:hAnsi="Times New Roman" w:cs="Times New Roman"/>
          <w:sz w:val="20"/>
          <w:szCs w:val="20"/>
        </w:rPr>
        <w:t>Klaus</w:t>
      </w:r>
      <w:proofErr w:type="spellEnd"/>
      <w:r w:rsidRPr="00616482">
        <w:rPr>
          <w:rFonts w:ascii="Times New Roman" w:hAnsi="Times New Roman" w:cs="Times New Roman"/>
          <w:sz w:val="20"/>
          <w:szCs w:val="20"/>
        </w:rPr>
        <w:t xml:space="preserve"> J. </w:t>
      </w:r>
      <w:proofErr w:type="spellStart"/>
      <w:r w:rsidRPr="00616482">
        <w:rPr>
          <w:rFonts w:ascii="Times New Roman" w:hAnsi="Times New Roman" w:cs="Times New Roman"/>
          <w:sz w:val="20"/>
          <w:szCs w:val="20"/>
        </w:rPr>
        <w:t>Hopt</w:t>
      </w:r>
      <w:proofErr w:type="spellEnd"/>
      <w:r w:rsidRPr="00616482">
        <w:rPr>
          <w:rFonts w:ascii="Times New Roman" w:hAnsi="Times New Roman" w:cs="Times New Roman"/>
          <w:sz w:val="20"/>
          <w:szCs w:val="20"/>
        </w:rPr>
        <w:t>/</w:t>
      </w:r>
      <w:proofErr w:type="spellStart"/>
      <w:r w:rsidRPr="00616482">
        <w:rPr>
          <w:rFonts w:ascii="Times New Roman" w:hAnsi="Times New Roman" w:cs="Times New Roman"/>
          <w:sz w:val="20"/>
          <w:szCs w:val="20"/>
        </w:rPr>
        <w:t>Eddy</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Wymeersch</w:t>
      </w:r>
      <w:proofErr w:type="spellEnd"/>
      <w:r w:rsidRPr="00616482">
        <w:rPr>
          <w:rFonts w:ascii="Times New Roman" w:hAnsi="Times New Roman" w:cs="Times New Roman"/>
          <w:sz w:val="20"/>
          <w:szCs w:val="20"/>
        </w:rPr>
        <w:t xml:space="preserve"> (2003)</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violating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w:t>
      </w:r>
      <w:proofErr w:type="spellEnd"/>
      <w:r w:rsidRPr="007B7B51">
        <w:rPr>
          <w:rFonts w:ascii="Times New Roman" w:hAnsi="Times New Roman" w:cs="Times New Roman"/>
          <w:sz w:val="20"/>
          <w:szCs w:val="20"/>
        </w:rPr>
        <w:t xml:space="preserve"> can be </w:t>
      </w:r>
      <w:proofErr w:type="spellStart"/>
      <w:r w:rsidRPr="007B7B51">
        <w:rPr>
          <w:rFonts w:ascii="Times New Roman" w:hAnsi="Times New Roman" w:cs="Times New Roman"/>
          <w:sz w:val="20"/>
          <w:szCs w:val="20"/>
        </w:rPr>
        <w:t>liable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shareholders</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market </w:t>
      </w:r>
      <w:proofErr w:type="spellStart"/>
      <w:r w:rsidRPr="007B7B51">
        <w:rPr>
          <w:rFonts w:ascii="Times New Roman" w:hAnsi="Times New Roman" w:cs="Times New Roman"/>
          <w:sz w:val="20"/>
          <w:szCs w:val="20"/>
        </w:rPr>
        <w:t>under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tort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law</w:t>
      </w:r>
      <w:proofErr w:type="spellEnd"/>
      <w:r w:rsidRPr="007B7B51">
        <w:rPr>
          <w:rFonts w:ascii="Times New Roman" w:hAnsi="Times New Roman" w:cs="Times New Roman"/>
          <w:sz w:val="20"/>
          <w:szCs w:val="20"/>
        </w:rPr>
        <w:t xml:space="preserve"> (</w:t>
      </w:r>
      <w:r w:rsidRPr="00616482">
        <w:rPr>
          <w:rFonts w:ascii="Times New Roman" w:hAnsi="Times New Roman" w:cs="Times New Roman"/>
          <w:sz w:val="20"/>
          <w:szCs w:val="20"/>
        </w:rPr>
        <w:t xml:space="preserve">L. </w:t>
      </w:r>
      <w:proofErr w:type="spellStart"/>
      <w:r w:rsidRPr="00616482">
        <w:rPr>
          <w:rFonts w:ascii="Times New Roman" w:hAnsi="Times New Roman" w:cs="Times New Roman"/>
          <w:sz w:val="20"/>
          <w:szCs w:val="20"/>
        </w:rPr>
        <w:t>Timmerman</w:t>
      </w:r>
      <w:proofErr w:type="spellEnd"/>
      <w:r w:rsidRPr="00616482">
        <w:rPr>
          <w:rFonts w:ascii="Times New Roman" w:hAnsi="Times New Roman" w:cs="Times New Roman"/>
          <w:sz w:val="20"/>
          <w:szCs w:val="20"/>
        </w:rPr>
        <w:t xml:space="preserve">, A. </w:t>
      </w:r>
      <w:proofErr w:type="spellStart"/>
      <w:r w:rsidRPr="00616482">
        <w:rPr>
          <w:rFonts w:ascii="Times New Roman" w:hAnsi="Times New Roman" w:cs="Times New Roman"/>
          <w:sz w:val="20"/>
          <w:szCs w:val="20"/>
        </w:rPr>
        <w:t>Doorman</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i/>
          <w:sz w:val="20"/>
          <w:szCs w:val="20"/>
        </w:rPr>
        <w:t>Rights</w:t>
      </w:r>
      <w:proofErr w:type="spellEnd"/>
      <w:r w:rsidRPr="00616482">
        <w:rPr>
          <w:rFonts w:ascii="Times New Roman" w:hAnsi="Times New Roman" w:cs="Times New Roman"/>
          <w:i/>
          <w:sz w:val="20"/>
          <w:szCs w:val="20"/>
        </w:rPr>
        <w:t xml:space="preserve"> of </w:t>
      </w:r>
      <w:proofErr w:type="spellStart"/>
      <w:r w:rsidRPr="00616482">
        <w:rPr>
          <w:rFonts w:ascii="Times New Roman" w:hAnsi="Times New Roman" w:cs="Times New Roman"/>
          <w:i/>
          <w:sz w:val="20"/>
          <w:szCs w:val="20"/>
        </w:rPr>
        <w:t>the</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Minority</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Shareholders</w:t>
      </w:r>
      <w:proofErr w:type="spellEnd"/>
      <w:r w:rsidRPr="00616482">
        <w:rPr>
          <w:rFonts w:ascii="Times New Roman" w:hAnsi="Times New Roman" w:cs="Times New Roman"/>
          <w:i/>
          <w:sz w:val="20"/>
          <w:szCs w:val="20"/>
        </w:rPr>
        <w:t xml:space="preserve"> in </w:t>
      </w:r>
      <w:proofErr w:type="spellStart"/>
      <w:r w:rsidRPr="00616482">
        <w:rPr>
          <w:rFonts w:ascii="Times New Roman" w:hAnsi="Times New Roman" w:cs="Times New Roman"/>
          <w:i/>
          <w:sz w:val="20"/>
          <w:szCs w:val="20"/>
        </w:rPr>
        <w:t>the</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Netherlands</w:t>
      </w:r>
      <w:proofErr w:type="spellEnd"/>
      <w:r w:rsidRPr="00616482">
        <w:rPr>
          <w:rFonts w:ascii="Times New Roman" w:hAnsi="Times New Roman" w:cs="Times New Roman"/>
          <w:i/>
          <w:sz w:val="20"/>
          <w:szCs w:val="20"/>
        </w:rPr>
        <w:t>,</w:t>
      </w:r>
      <w:r w:rsidRPr="00616482">
        <w:rPr>
          <w:rFonts w:ascii="Times New Roman" w:hAnsi="Times New Roman" w:cs="Times New Roman"/>
          <w:sz w:val="20"/>
          <w:szCs w:val="20"/>
        </w:rPr>
        <w:t xml:space="preserve"> </w:t>
      </w:r>
      <w:hyperlink r:id="rId76" w:history="1">
        <w:r w:rsidRPr="00616482">
          <w:rPr>
            <w:rStyle w:val="Kpr"/>
            <w:rFonts w:ascii="Times New Roman" w:hAnsi="Times New Roman" w:cs="Times New Roman"/>
            <w:sz w:val="20"/>
            <w:szCs w:val="20"/>
          </w:rPr>
          <w:t>http://www.rug.nl/research/portal/files/3038170/minorityshh.pdf</w:t>
        </w:r>
      </w:hyperlink>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Last</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visited</w:t>
      </w:r>
      <w:proofErr w:type="spellEnd"/>
      <w:r w:rsidRPr="00616482">
        <w:rPr>
          <w:rFonts w:ascii="Times New Roman" w:hAnsi="Times New Roman" w:cs="Times New Roman"/>
          <w:sz w:val="20"/>
          <w:szCs w:val="20"/>
        </w:rPr>
        <w:t>: 10/10/2016) at 49</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if</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there</w:t>
      </w:r>
      <w:proofErr w:type="spellEnd"/>
      <w:r w:rsidRPr="007B7B51">
        <w:rPr>
          <w:rFonts w:ascii="Times New Roman" w:hAnsi="Times New Roman" w:cs="Times New Roman"/>
          <w:sz w:val="20"/>
          <w:szCs w:val="20"/>
        </w:rPr>
        <w:t xml:space="preserve"> is </w:t>
      </w:r>
      <w:proofErr w:type="spellStart"/>
      <w:r w:rsidRPr="007B7B51">
        <w:rPr>
          <w:rFonts w:ascii="Times New Roman" w:hAnsi="Times New Roman" w:cs="Times New Roman"/>
          <w:sz w:val="20"/>
          <w:szCs w:val="20"/>
        </w:rPr>
        <w:t>no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specific</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private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rights</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action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provided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law</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legislation</w:t>
      </w:r>
      <w:proofErr w:type="spellEnd"/>
      <w:r w:rsidRPr="007B7B51">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Jablon</w:t>
      </w:r>
      <w:proofErr w:type="spellEnd"/>
      <w:r w:rsidRPr="00616482">
        <w:rPr>
          <w:rFonts w:ascii="Times New Roman" w:hAnsi="Times New Roman" w:cs="Times New Roman"/>
          <w:sz w:val="20"/>
          <w:szCs w:val="20"/>
        </w:rPr>
        <w:t xml:space="preserve"> v. Dean </w:t>
      </w:r>
      <w:proofErr w:type="spellStart"/>
      <w:r w:rsidRPr="00616482">
        <w:rPr>
          <w:rFonts w:ascii="Times New Roman" w:hAnsi="Times New Roman" w:cs="Times New Roman"/>
          <w:sz w:val="20"/>
          <w:szCs w:val="20"/>
        </w:rPr>
        <w:t>Witter</w:t>
      </w:r>
      <w:proofErr w:type="spellEnd"/>
      <w:r w:rsidRPr="00616482">
        <w:rPr>
          <w:rFonts w:ascii="Times New Roman" w:hAnsi="Times New Roman" w:cs="Times New Roman"/>
          <w:sz w:val="20"/>
          <w:szCs w:val="20"/>
        </w:rPr>
        <w:t xml:space="preserve"> &amp; </w:t>
      </w:r>
      <w:proofErr w:type="spellStart"/>
      <w:r w:rsidRPr="00616482">
        <w:rPr>
          <w:rFonts w:ascii="Times New Roman" w:hAnsi="Times New Roman" w:cs="Times New Roman"/>
          <w:sz w:val="20"/>
          <w:szCs w:val="20"/>
        </w:rPr>
        <w:t>Co</w:t>
      </w:r>
      <w:proofErr w:type="spellEnd"/>
      <w:r w:rsidRPr="00616482">
        <w:rPr>
          <w:rFonts w:ascii="Times New Roman" w:hAnsi="Times New Roman" w:cs="Times New Roman"/>
          <w:sz w:val="20"/>
          <w:szCs w:val="20"/>
        </w:rPr>
        <w:t>., 614 F.2d 677 (1980): “</w:t>
      </w:r>
      <w:proofErr w:type="spellStart"/>
      <w:r w:rsidRPr="00616482">
        <w:rPr>
          <w:rFonts w:ascii="Times New Roman" w:hAnsi="Times New Roman" w:cs="Times New Roman"/>
          <w:sz w:val="20"/>
          <w:szCs w:val="20"/>
        </w:rPr>
        <w:t>The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Securities</w:t>
      </w:r>
      <w:proofErr w:type="spellEnd"/>
      <w:r w:rsidRPr="00616482">
        <w:rPr>
          <w:rFonts w:ascii="Times New Roman" w:hAnsi="Times New Roman" w:cs="Times New Roman"/>
          <w:sz w:val="20"/>
          <w:szCs w:val="20"/>
        </w:rPr>
        <w:t xml:space="preserve"> Exchange </w:t>
      </w:r>
      <w:proofErr w:type="spellStart"/>
      <w:r w:rsidRPr="00616482">
        <w:rPr>
          <w:rFonts w:ascii="Times New Roman" w:hAnsi="Times New Roman" w:cs="Times New Roman"/>
          <w:sz w:val="20"/>
          <w:szCs w:val="20"/>
        </w:rPr>
        <w:t>Act</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does</w:t>
      </w:r>
      <w:proofErr w:type="spellEnd"/>
      <w:r w:rsidRPr="00616482">
        <w:rPr>
          <w:rFonts w:ascii="Times New Roman" w:hAnsi="Times New Roman" w:cs="Times New Roman"/>
          <w:sz w:val="20"/>
          <w:szCs w:val="20"/>
        </w:rPr>
        <w:t xml:space="preserve"> not </w:t>
      </w:r>
      <w:proofErr w:type="spellStart"/>
      <w:r w:rsidRPr="00616482">
        <w:rPr>
          <w:rFonts w:ascii="Times New Roman" w:hAnsi="Times New Roman" w:cs="Times New Roman"/>
          <w:sz w:val="20"/>
          <w:szCs w:val="20"/>
        </w:rPr>
        <w:t>expressly</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authorize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private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actions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for</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stock</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exchange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rule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violations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Howeve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stock</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exchanges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may</w:t>
      </w:r>
      <w:proofErr w:type="spellEnd"/>
      <w:r w:rsidRPr="00616482">
        <w:rPr>
          <w:rFonts w:ascii="Times New Roman" w:hAnsi="Times New Roman" w:cs="Times New Roman"/>
          <w:sz w:val="20"/>
          <w:szCs w:val="20"/>
        </w:rPr>
        <w:t xml:space="preserve"> be </w:t>
      </w:r>
      <w:proofErr w:type="spellStart"/>
      <w:r w:rsidRPr="00616482">
        <w:rPr>
          <w:rFonts w:ascii="Times New Roman" w:hAnsi="Times New Roman" w:cs="Times New Roman"/>
          <w:sz w:val="20"/>
          <w:szCs w:val="20"/>
        </w:rPr>
        <w:t>held</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liable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against</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the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investors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for</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the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corporation’s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violation</w:t>
      </w:r>
      <w:proofErr w:type="spellEnd"/>
      <w:r w:rsidRPr="00616482">
        <w:rPr>
          <w:rFonts w:ascii="Times New Roman" w:hAnsi="Times New Roman" w:cs="Times New Roman"/>
          <w:sz w:val="20"/>
          <w:szCs w:val="20"/>
        </w:rPr>
        <w:t xml:space="preserve"> of </w:t>
      </w:r>
      <w:proofErr w:type="spellStart"/>
      <w:r w:rsidRPr="00616482">
        <w:rPr>
          <w:rFonts w:ascii="Times New Roman" w:hAnsi="Times New Roman" w:cs="Times New Roman"/>
          <w:sz w:val="20"/>
          <w:szCs w:val="20"/>
        </w:rPr>
        <w:t>the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exchange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rules</w:t>
      </w:r>
      <w:proofErr w:type="spellEnd"/>
      <w:r w:rsidRPr="00616482">
        <w:rPr>
          <w:rFonts w:ascii="Times New Roman" w:hAnsi="Times New Roman" w:cs="Times New Roman"/>
          <w:sz w:val="20"/>
          <w:szCs w:val="20"/>
        </w:rPr>
        <w:t xml:space="preserve">, on </w:t>
      </w:r>
      <w:proofErr w:type="spellStart"/>
      <w:r w:rsidRPr="00616482">
        <w:rPr>
          <w:rFonts w:ascii="Times New Roman" w:hAnsi="Times New Roman" w:cs="Times New Roman"/>
          <w:sz w:val="20"/>
          <w:szCs w:val="20"/>
        </w:rPr>
        <w:t>the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ground</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that</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the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exchange</w:t>
      </w:r>
      <w:proofErr w:type="spellEnd"/>
      <w:r w:rsidRPr="00616482">
        <w:rPr>
          <w:rFonts w:ascii="Times New Roman" w:hAnsi="Times New Roman" w:cs="Times New Roman"/>
          <w:sz w:val="20"/>
          <w:szCs w:val="20"/>
        </w:rPr>
        <w:t xml:space="preserve"> had </w:t>
      </w:r>
      <w:proofErr w:type="spellStart"/>
      <w:r w:rsidRPr="00616482">
        <w:rPr>
          <w:rFonts w:ascii="Times New Roman" w:hAnsi="Times New Roman" w:cs="Times New Roman"/>
          <w:sz w:val="20"/>
          <w:szCs w:val="20"/>
        </w:rPr>
        <w:t>failed</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to</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exercise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due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care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to</w:t>
      </w:r>
      <w:proofErr w:type="spellEnd"/>
      <w:r w:rsidRPr="00616482">
        <w:rPr>
          <w:rFonts w:ascii="Times New Roman" w:hAnsi="Times New Roman" w:cs="Times New Roman"/>
          <w:sz w:val="20"/>
          <w:szCs w:val="20"/>
        </w:rPr>
        <w:t xml:space="preserve"> halt </w:t>
      </w:r>
      <w:proofErr w:type="spellStart"/>
      <w:r w:rsidRPr="00616482">
        <w:rPr>
          <w:rFonts w:ascii="Times New Roman" w:hAnsi="Times New Roman" w:cs="Times New Roman"/>
          <w:sz w:val="20"/>
          <w:szCs w:val="20"/>
        </w:rPr>
        <w:t>the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manipulative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conduct</w:t>
      </w:r>
      <w:proofErr w:type="spellEnd"/>
      <w:r w:rsidRPr="00616482">
        <w:rPr>
          <w:rFonts w:ascii="Times New Roman" w:hAnsi="Times New Roman" w:cs="Times New Roman"/>
          <w:sz w:val="20"/>
          <w:szCs w:val="20"/>
        </w:rPr>
        <w:t xml:space="preserve"> of </w:t>
      </w:r>
      <w:proofErr w:type="spellStart"/>
      <w:r w:rsidRPr="00616482">
        <w:rPr>
          <w:rFonts w:ascii="Times New Roman" w:hAnsi="Times New Roman" w:cs="Times New Roman"/>
          <w:sz w:val="20"/>
          <w:szCs w:val="20"/>
        </w:rPr>
        <w:t>its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members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Deaktor</w:t>
      </w:r>
      <w:proofErr w:type="spellEnd"/>
      <w:r w:rsidRPr="00616482">
        <w:rPr>
          <w:rFonts w:ascii="Times New Roman" w:hAnsi="Times New Roman" w:cs="Times New Roman"/>
          <w:sz w:val="20"/>
          <w:szCs w:val="20"/>
        </w:rPr>
        <w:t xml:space="preserve"> v. L.D. </w:t>
      </w:r>
      <w:proofErr w:type="spellStart"/>
      <w:r w:rsidRPr="00616482">
        <w:rPr>
          <w:rFonts w:ascii="Times New Roman" w:hAnsi="Times New Roman" w:cs="Times New Roman"/>
          <w:sz w:val="20"/>
          <w:szCs w:val="20"/>
        </w:rPr>
        <w:t>Schreiber</w:t>
      </w:r>
      <w:proofErr w:type="spellEnd"/>
      <w:r w:rsidRPr="00616482">
        <w:rPr>
          <w:rFonts w:ascii="Times New Roman" w:hAnsi="Times New Roman" w:cs="Times New Roman"/>
          <w:sz w:val="20"/>
          <w:szCs w:val="20"/>
        </w:rPr>
        <w:t xml:space="preserve"> &amp; </w:t>
      </w:r>
      <w:proofErr w:type="spellStart"/>
      <w:r w:rsidRPr="00616482">
        <w:rPr>
          <w:rFonts w:ascii="Times New Roman" w:hAnsi="Times New Roman" w:cs="Times New Roman"/>
          <w:sz w:val="20"/>
          <w:szCs w:val="20"/>
        </w:rPr>
        <w:t>Co</w:t>
      </w:r>
      <w:proofErr w:type="spellEnd"/>
      <w:r w:rsidRPr="00616482">
        <w:rPr>
          <w:rFonts w:ascii="Times New Roman" w:hAnsi="Times New Roman" w:cs="Times New Roman"/>
          <w:sz w:val="20"/>
          <w:szCs w:val="20"/>
        </w:rPr>
        <w:t>., 479 F.2d 529 (1973)).</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However</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course</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history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agreement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capital</w:t>
      </w:r>
      <w:proofErr w:type="spellEnd"/>
      <w:r w:rsidRPr="007B7B51">
        <w:rPr>
          <w:rFonts w:ascii="Times New Roman" w:hAnsi="Times New Roman" w:cs="Times New Roman"/>
          <w:sz w:val="20"/>
          <w:szCs w:val="20"/>
        </w:rPr>
        <w:t xml:space="preserve"> market </w:t>
      </w:r>
      <w:proofErr w:type="spellStart"/>
      <w:r w:rsidRPr="007B7B51">
        <w:rPr>
          <w:rFonts w:ascii="Times New Roman" w:hAnsi="Times New Roman" w:cs="Times New Roman"/>
          <w:sz w:val="20"/>
          <w:szCs w:val="20"/>
        </w:rPr>
        <w:t>law</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became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interwoven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requirements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no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longer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preserve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contractual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nature</w:t>
      </w:r>
      <w:proofErr w:type="spellEnd"/>
      <w:r w:rsidRPr="007B7B51">
        <w:rPr>
          <w:rFonts w:ascii="Times New Roman" w:hAnsi="Times New Roman" w:cs="Times New Roman"/>
          <w:sz w:val="20"/>
          <w:szCs w:val="20"/>
        </w:rPr>
        <w:t xml:space="preserve"> (</w:t>
      </w:r>
      <w:r w:rsidRPr="00616482">
        <w:rPr>
          <w:rFonts w:ascii="Times New Roman" w:hAnsi="Times New Roman" w:cs="Times New Roman"/>
          <w:sz w:val="20"/>
          <w:szCs w:val="20"/>
        </w:rPr>
        <w:t xml:space="preserve">CML </w:t>
      </w:r>
      <w:proofErr w:type="spellStart"/>
      <w:r w:rsidRPr="00616482">
        <w:rPr>
          <w:rFonts w:ascii="Times New Roman" w:hAnsi="Times New Roman" w:cs="Times New Roman"/>
          <w:sz w:val="20"/>
          <w:szCs w:val="20"/>
        </w:rPr>
        <w:t>expresses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this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notion</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by</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stating</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that</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without</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prejudice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to</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the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provisions</w:t>
      </w:r>
      <w:proofErr w:type="spellEnd"/>
      <w:r w:rsidRPr="00616482">
        <w:rPr>
          <w:rFonts w:ascii="Times New Roman" w:hAnsi="Times New Roman" w:cs="Times New Roman"/>
          <w:sz w:val="20"/>
          <w:szCs w:val="20"/>
        </w:rPr>
        <w:t xml:space="preserve"> of </w:t>
      </w:r>
      <w:proofErr w:type="spellStart"/>
      <w:r w:rsidRPr="00616482">
        <w:rPr>
          <w:rFonts w:ascii="Times New Roman" w:hAnsi="Times New Roman" w:cs="Times New Roman"/>
          <w:sz w:val="20"/>
          <w:szCs w:val="20"/>
        </w:rPr>
        <w:t>this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Law</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exchanges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are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subject</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to</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private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law</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provisions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and</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shall</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independently</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fulfill</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the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duties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and</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exercise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the</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authorities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granted</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by</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this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Law</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under</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their</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own</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responsibilitiy</w:t>
      </w:r>
      <w:proofErr w:type="spellEnd"/>
      <w:r w:rsidRPr="00616482">
        <w:rPr>
          <w:rFonts w:ascii="Times New Roman" w:hAnsi="Times New Roman" w:cs="Times New Roman"/>
          <w:sz w:val="20"/>
          <w:szCs w:val="20"/>
        </w:rPr>
        <w:t>” (</w:t>
      </w:r>
      <w:proofErr w:type="spellStart"/>
      <w:r w:rsidRPr="00616482">
        <w:rPr>
          <w:rFonts w:ascii="Times New Roman" w:hAnsi="Times New Roman" w:cs="Times New Roman"/>
          <w:sz w:val="20"/>
          <w:szCs w:val="20"/>
        </w:rPr>
        <w:t>Article</w:t>
      </w:r>
      <w:proofErr w:type="spellEnd"/>
      <w:r w:rsidRPr="00616482">
        <w:rPr>
          <w:rFonts w:ascii="Times New Roman" w:hAnsi="Times New Roman" w:cs="Times New Roman"/>
          <w:sz w:val="20"/>
          <w:szCs w:val="20"/>
        </w:rPr>
        <w:t xml:space="preserve"> 65(10))</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Today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stock</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exchanges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rules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under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regulators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scrutiny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changes</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rules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subject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regulators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approval</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both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Turkey</w:t>
      </w:r>
      <w:proofErr w:type="spellEnd"/>
      <w:r w:rsidRPr="007B7B51">
        <w:rPr>
          <w:rFonts w:ascii="Times New Roman" w:hAnsi="Times New Roman" w:cs="Times New Roman"/>
          <w:sz w:val="20"/>
          <w:szCs w:val="20"/>
        </w:rPr>
        <w:t xml:space="preserve"> (CML </w:t>
      </w:r>
      <w:proofErr w:type="spellStart"/>
      <w:r w:rsidRPr="007B7B51">
        <w:rPr>
          <w:rFonts w:ascii="Times New Roman" w:hAnsi="Times New Roman" w:cs="Times New Roman"/>
          <w:sz w:val="20"/>
          <w:szCs w:val="20"/>
        </w:rPr>
        <w:t>Article</w:t>
      </w:r>
      <w:proofErr w:type="spellEnd"/>
      <w:r w:rsidRPr="007B7B51">
        <w:rPr>
          <w:rFonts w:ascii="Times New Roman" w:hAnsi="Times New Roman" w:cs="Times New Roman"/>
          <w:sz w:val="20"/>
          <w:szCs w:val="20"/>
        </w:rPr>
        <w:t xml:space="preserve"> 67)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US (</w:t>
      </w:r>
      <w:proofErr w:type="spellStart"/>
      <w:r w:rsidRPr="007B7B51">
        <w:rPr>
          <w:rFonts w:ascii="Times New Roman" w:hAnsi="Times New Roman" w:cs="Times New Roman"/>
          <w:sz w:val="20"/>
          <w:szCs w:val="20"/>
        </w:rPr>
        <w:t>Securities</w:t>
      </w:r>
      <w:proofErr w:type="spellEnd"/>
      <w:r w:rsidRPr="007B7B51">
        <w:rPr>
          <w:rFonts w:ascii="Times New Roman" w:hAnsi="Times New Roman" w:cs="Times New Roman"/>
          <w:sz w:val="20"/>
          <w:szCs w:val="20"/>
        </w:rPr>
        <w:t xml:space="preserve"> Exchange </w:t>
      </w:r>
      <w:proofErr w:type="spellStart"/>
      <w:r w:rsidRPr="007B7B51">
        <w:rPr>
          <w:rFonts w:ascii="Times New Roman" w:hAnsi="Times New Roman" w:cs="Times New Roman"/>
          <w:sz w:val="20"/>
          <w:szCs w:val="20"/>
        </w:rPr>
        <w:t>Act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w:t>
      </w:r>
      <w:proofErr w:type="spellEnd"/>
      <w:r w:rsidRPr="007B7B51">
        <w:rPr>
          <w:rFonts w:ascii="Times New Roman" w:hAnsi="Times New Roman" w:cs="Times New Roman"/>
          <w:sz w:val="20"/>
          <w:szCs w:val="20"/>
        </w:rPr>
        <w:t xml:space="preserve">. 19(b)). </w:t>
      </w:r>
      <w:proofErr w:type="spellStart"/>
      <w:r w:rsidRPr="007B7B51">
        <w:rPr>
          <w:rFonts w:ascii="Times New Roman" w:hAnsi="Times New Roman" w:cs="Times New Roman"/>
          <w:sz w:val="20"/>
          <w:szCs w:val="20"/>
        </w:rPr>
        <w:t>This</w:t>
      </w:r>
      <w:proofErr w:type="spellEnd"/>
      <w:r w:rsidRPr="007B7B51">
        <w:rPr>
          <w:rFonts w:ascii="Times New Roman" w:hAnsi="Times New Roman" w:cs="Times New Roman"/>
          <w:sz w:val="20"/>
          <w:szCs w:val="20"/>
        </w:rPr>
        <w:t xml:space="preserve"> is </w:t>
      </w:r>
      <w:proofErr w:type="spellStart"/>
      <w:r w:rsidRPr="007B7B51">
        <w:rPr>
          <w:rFonts w:ascii="Times New Roman" w:hAnsi="Times New Roman" w:cs="Times New Roman"/>
          <w:sz w:val="20"/>
          <w:szCs w:val="20"/>
        </w:rPr>
        <w:t>due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rules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function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serve</w:t>
      </w:r>
      <w:proofErr w:type="spellEnd"/>
      <w:r w:rsidRPr="007B7B51">
        <w:rPr>
          <w:rFonts w:ascii="Times New Roman" w:hAnsi="Times New Roman" w:cs="Times New Roman"/>
          <w:sz w:val="20"/>
          <w:szCs w:val="20"/>
        </w:rPr>
        <w:t xml:space="preserve"> as a </w:t>
      </w:r>
      <w:proofErr w:type="spellStart"/>
      <w:r w:rsidRPr="007B7B51">
        <w:rPr>
          <w:rFonts w:ascii="Times New Roman" w:hAnsi="Times New Roman" w:cs="Times New Roman"/>
          <w:sz w:val="20"/>
          <w:szCs w:val="20"/>
        </w:rPr>
        <w:t>mechanism</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provides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protection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shareholders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through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requirements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impose</w:t>
      </w:r>
      <w:proofErr w:type="spellEnd"/>
      <w:r w:rsidRPr="007B7B51">
        <w:rPr>
          <w:rFonts w:ascii="Times New Roman" w:hAnsi="Times New Roman" w:cs="Times New Roman"/>
          <w:sz w:val="20"/>
          <w:szCs w:val="20"/>
        </w:rPr>
        <w:t xml:space="preserve"> on </w:t>
      </w:r>
      <w:proofErr w:type="spellStart"/>
      <w:r w:rsidRPr="007B7B51">
        <w:rPr>
          <w:rFonts w:ascii="Times New Roman" w:hAnsi="Times New Roman" w:cs="Times New Roman"/>
          <w:sz w:val="20"/>
          <w:szCs w:val="20"/>
        </w:rPr>
        <w:t>issuers</w:t>
      </w:r>
      <w:proofErr w:type="spellEnd"/>
      <w:r w:rsidRPr="007B7B51">
        <w:rPr>
          <w:rFonts w:ascii="Times New Roman" w:hAnsi="Times New Roman" w:cs="Times New Roman"/>
          <w:sz w:val="20"/>
          <w:szCs w:val="20"/>
        </w:rPr>
        <w:t xml:space="preserve"> (</w:t>
      </w:r>
      <w:r w:rsidRPr="00616482">
        <w:rPr>
          <w:rFonts w:ascii="Times New Roman" w:hAnsi="Times New Roman" w:cs="Times New Roman"/>
          <w:sz w:val="20"/>
          <w:szCs w:val="20"/>
        </w:rPr>
        <w:t xml:space="preserve">Arthur R. </w:t>
      </w:r>
      <w:proofErr w:type="spellStart"/>
      <w:r w:rsidRPr="00616482">
        <w:rPr>
          <w:rFonts w:ascii="Times New Roman" w:hAnsi="Times New Roman" w:cs="Times New Roman"/>
          <w:sz w:val="20"/>
          <w:szCs w:val="20"/>
        </w:rPr>
        <w:t>Pinto</w:t>
      </w:r>
      <w:proofErr w:type="spellEnd"/>
      <w:r w:rsidRPr="00616482">
        <w:rPr>
          <w:rFonts w:ascii="Times New Roman" w:hAnsi="Times New Roman" w:cs="Times New Roman"/>
          <w:sz w:val="20"/>
          <w:szCs w:val="20"/>
        </w:rPr>
        <w:t xml:space="preserve">, </w:t>
      </w:r>
      <w:r w:rsidRPr="00616482">
        <w:rPr>
          <w:rFonts w:ascii="Times New Roman" w:hAnsi="Times New Roman" w:cs="Times New Roman"/>
          <w:i/>
          <w:sz w:val="20"/>
          <w:szCs w:val="20"/>
        </w:rPr>
        <w:t>“</w:t>
      </w:r>
      <w:proofErr w:type="spellStart"/>
      <w:r w:rsidRPr="00616482">
        <w:rPr>
          <w:rFonts w:ascii="Times New Roman" w:hAnsi="Times New Roman" w:cs="Times New Roman"/>
          <w:i/>
          <w:sz w:val="20"/>
          <w:szCs w:val="20"/>
        </w:rPr>
        <w:t>The</w:t>
      </w:r>
      <w:proofErr w:type="spellEnd"/>
      <w:r w:rsidRPr="00616482">
        <w:rPr>
          <w:rFonts w:ascii="Times New Roman" w:hAnsi="Times New Roman" w:cs="Times New Roman"/>
          <w:i/>
          <w:sz w:val="20"/>
          <w:szCs w:val="20"/>
        </w:rPr>
        <w:t xml:space="preserve"> United </w:t>
      </w:r>
      <w:proofErr w:type="spellStart"/>
      <w:r w:rsidRPr="00616482">
        <w:rPr>
          <w:rFonts w:ascii="Times New Roman" w:hAnsi="Times New Roman" w:cs="Times New Roman"/>
          <w:i/>
          <w:sz w:val="20"/>
          <w:szCs w:val="20"/>
        </w:rPr>
        <w:t>States</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Public</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Companies</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and</w:t>
      </w:r>
      <w:proofErr w:type="spellEnd"/>
      <w:r w:rsidRPr="00616482">
        <w:rPr>
          <w:rFonts w:ascii="Times New Roman" w:hAnsi="Times New Roman" w:cs="Times New Roman"/>
          <w:i/>
          <w:sz w:val="20"/>
          <w:szCs w:val="20"/>
        </w:rPr>
        <w:t xml:space="preserve"> </w:t>
      </w:r>
      <w:proofErr w:type="spellStart"/>
      <w:r w:rsidRPr="00616482">
        <w:rPr>
          <w:rFonts w:ascii="Times New Roman" w:hAnsi="Times New Roman" w:cs="Times New Roman"/>
          <w:i/>
          <w:sz w:val="20"/>
          <w:szCs w:val="20"/>
        </w:rPr>
        <w:t>the</w:t>
      </w:r>
      <w:proofErr w:type="spellEnd"/>
      <w:r w:rsidRPr="00616482">
        <w:rPr>
          <w:rFonts w:ascii="Times New Roman" w:hAnsi="Times New Roman" w:cs="Times New Roman"/>
          <w:i/>
          <w:sz w:val="20"/>
          <w:szCs w:val="20"/>
        </w:rPr>
        <w:t xml:space="preserve"> Role of </w:t>
      </w:r>
      <w:proofErr w:type="spellStart"/>
      <w:r w:rsidRPr="00616482">
        <w:rPr>
          <w:rFonts w:ascii="Times New Roman" w:hAnsi="Times New Roman" w:cs="Times New Roman"/>
          <w:i/>
          <w:sz w:val="20"/>
          <w:szCs w:val="20"/>
        </w:rPr>
        <w:t>Shareholders</w:t>
      </w:r>
      <w:proofErr w:type="spellEnd"/>
      <w:r w:rsidRPr="00616482">
        <w:rPr>
          <w:rFonts w:ascii="Times New Roman" w:hAnsi="Times New Roman" w:cs="Times New Roman"/>
          <w:sz w:val="20"/>
          <w:szCs w:val="20"/>
        </w:rPr>
        <w:t xml:space="preserve"> 48, Ed. </w:t>
      </w:r>
      <w:proofErr w:type="spellStart"/>
      <w:r w:rsidRPr="00616482">
        <w:rPr>
          <w:rFonts w:ascii="Times New Roman" w:hAnsi="Times New Roman" w:cs="Times New Roman"/>
          <w:sz w:val="20"/>
          <w:szCs w:val="20"/>
        </w:rPr>
        <w:t>Sabrina</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Bruno</w:t>
      </w:r>
      <w:proofErr w:type="spellEnd"/>
      <w:r w:rsidRPr="00616482">
        <w:rPr>
          <w:rFonts w:ascii="Times New Roman" w:hAnsi="Times New Roman" w:cs="Times New Roman"/>
          <w:sz w:val="20"/>
          <w:szCs w:val="20"/>
        </w:rPr>
        <w:t>/</w:t>
      </w:r>
      <w:proofErr w:type="spellStart"/>
      <w:r w:rsidRPr="00616482">
        <w:rPr>
          <w:rFonts w:ascii="Times New Roman" w:hAnsi="Times New Roman" w:cs="Times New Roman"/>
          <w:sz w:val="20"/>
          <w:szCs w:val="20"/>
        </w:rPr>
        <w:t>Eugenio</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Ruggiero</w:t>
      </w:r>
      <w:proofErr w:type="spellEnd"/>
      <w:r w:rsidRPr="00616482">
        <w:rPr>
          <w:rFonts w:ascii="Times New Roman" w:hAnsi="Times New Roman" w:cs="Times New Roman"/>
          <w:sz w:val="20"/>
          <w:szCs w:val="20"/>
        </w:rPr>
        <w:t xml:space="preserve"> (2011)</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Hence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standards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suitable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be </w:t>
      </w:r>
      <w:proofErr w:type="spellStart"/>
      <w:r w:rsidRPr="007B7B51">
        <w:rPr>
          <w:rFonts w:ascii="Times New Roman" w:hAnsi="Times New Roman" w:cs="Times New Roman"/>
          <w:sz w:val="20"/>
          <w:szCs w:val="20"/>
        </w:rPr>
        <w:t>used</w:t>
      </w:r>
      <w:proofErr w:type="spellEnd"/>
      <w:r w:rsidRPr="007B7B51">
        <w:rPr>
          <w:rFonts w:ascii="Times New Roman" w:hAnsi="Times New Roman" w:cs="Times New Roman"/>
          <w:sz w:val="20"/>
          <w:szCs w:val="20"/>
        </w:rPr>
        <w:t xml:space="preserve"> as a </w:t>
      </w:r>
      <w:proofErr w:type="spellStart"/>
      <w:r w:rsidRPr="007B7B51">
        <w:rPr>
          <w:rFonts w:ascii="Times New Roman" w:hAnsi="Times New Roman" w:cs="Times New Roman"/>
          <w:sz w:val="20"/>
          <w:szCs w:val="20"/>
        </w:rPr>
        <w:t>back</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door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adopting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governance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standards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regulators</w:t>
      </w:r>
      <w:proofErr w:type="spellEnd"/>
      <w:r w:rsidRPr="007B7B51">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This</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issue</w:t>
      </w:r>
      <w:proofErr w:type="spellEnd"/>
      <w:r w:rsidRPr="00616482">
        <w:rPr>
          <w:rFonts w:ascii="Times New Roman" w:hAnsi="Times New Roman" w:cs="Times New Roman"/>
          <w:sz w:val="20"/>
          <w:szCs w:val="20"/>
        </w:rPr>
        <w:t xml:space="preserve"> is </w:t>
      </w:r>
      <w:proofErr w:type="spellStart"/>
      <w:r w:rsidRPr="00616482">
        <w:rPr>
          <w:rFonts w:ascii="Times New Roman" w:hAnsi="Times New Roman" w:cs="Times New Roman"/>
          <w:sz w:val="20"/>
          <w:szCs w:val="20"/>
        </w:rPr>
        <w:t>widely</w:t>
      </w:r>
      <w:proofErr w:type="spellEnd"/>
      <w:r w:rsidRPr="00616482">
        <w:rPr>
          <w:rFonts w:ascii="Times New Roman" w:hAnsi="Times New Roman" w:cs="Times New Roman"/>
          <w:sz w:val="20"/>
          <w:szCs w:val="20"/>
        </w:rPr>
        <w:t xml:space="preserve"> </w:t>
      </w:r>
      <w:proofErr w:type="spellStart"/>
      <w:r w:rsidRPr="00616482">
        <w:rPr>
          <w:rFonts w:ascii="Times New Roman" w:hAnsi="Times New Roman" w:cs="Times New Roman"/>
          <w:sz w:val="20"/>
          <w:szCs w:val="20"/>
        </w:rPr>
        <w:t>debated</w:t>
      </w:r>
      <w:proofErr w:type="spellEnd"/>
      <w:r w:rsidRPr="00616482">
        <w:rPr>
          <w:rFonts w:ascii="Times New Roman" w:hAnsi="Times New Roman" w:cs="Times New Roman"/>
          <w:sz w:val="20"/>
          <w:szCs w:val="20"/>
        </w:rPr>
        <w:t xml:space="preserve"> in US, </w:t>
      </w:r>
      <w:proofErr w:type="spellStart"/>
      <w:r w:rsidRPr="00616482">
        <w:rPr>
          <w:rFonts w:ascii="Times New Roman" w:hAnsi="Times New Roman" w:cs="Times New Roman"/>
          <w:sz w:val="20"/>
          <w:szCs w:val="20"/>
        </w:rPr>
        <w:t>see</w:t>
      </w:r>
      <w:proofErr w:type="spellEnd"/>
      <w:r w:rsidRPr="00616482">
        <w:rPr>
          <w:rFonts w:ascii="Times New Roman" w:hAnsi="Times New Roman" w:cs="Times New Roman"/>
          <w:sz w:val="20"/>
          <w:szCs w:val="20"/>
        </w:rPr>
        <w:t xml:space="preserve">: Business </w:t>
      </w:r>
      <w:proofErr w:type="spellStart"/>
      <w:r w:rsidRPr="00616482">
        <w:rPr>
          <w:rFonts w:ascii="Times New Roman" w:hAnsi="Times New Roman" w:cs="Times New Roman"/>
          <w:sz w:val="20"/>
          <w:szCs w:val="20"/>
        </w:rPr>
        <w:t>Roundtable</w:t>
      </w:r>
      <w:proofErr w:type="spellEnd"/>
      <w:r w:rsidRPr="00616482">
        <w:rPr>
          <w:rFonts w:ascii="Times New Roman" w:hAnsi="Times New Roman" w:cs="Times New Roman"/>
          <w:sz w:val="20"/>
          <w:szCs w:val="20"/>
        </w:rPr>
        <w:t xml:space="preserve"> v. SEC, 905 F. 2d 406 (D.C. </w:t>
      </w:r>
      <w:proofErr w:type="spellStart"/>
      <w:r w:rsidRPr="00616482">
        <w:rPr>
          <w:rFonts w:ascii="Times New Roman" w:hAnsi="Times New Roman" w:cs="Times New Roman"/>
          <w:sz w:val="20"/>
          <w:szCs w:val="20"/>
        </w:rPr>
        <w:t>Circuit</w:t>
      </w:r>
      <w:proofErr w:type="spellEnd"/>
      <w:r w:rsidRPr="00616482">
        <w:rPr>
          <w:rFonts w:ascii="Times New Roman" w:hAnsi="Times New Roman" w:cs="Times New Roman"/>
          <w:sz w:val="20"/>
          <w:szCs w:val="20"/>
        </w:rPr>
        <w:t xml:space="preserve"> 1990)</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Generally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stock</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exchanges</w:t>
      </w:r>
      <w:proofErr w:type="spellEnd"/>
      <w:r w:rsidRPr="007B7B51">
        <w:rPr>
          <w:rFonts w:ascii="Times New Roman" w:hAnsi="Times New Roman" w:cs="Times New Roman"/>
          <w:sz w:val="20"/>
          <w:szCs w:val="20"/>
        </w:rPr>
        <w:t xml:space="preserve"> set </w:t>
      </w:r>
      <w:proofErr w:type="spellStart"/>
      <w:r w:rsidRPr="007B7B51">
        <w:rPr>
          <w:rFonts w:ascii="Times New Roman" w:hAnsi="Times New Roman" w:cs="Times New Roman"/>
          <w:sz w:val="20"/>
          <w:szCs w:val="20"/>
        </w:rPr>
        <w:t>their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own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requirements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standards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have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discretion</w:t>
      </w:r>
      <w:proofErr w:type="spellEnd"/>
      <w:r w:rsidRPr="007B7B51">
        <w:rPr>
          <w:rFonts w:ascii="Times New Roman" w:hAnsi="Times New Roman" w:cs="Times New Roman"/>
          <w:sz w:val="20"/>
          <w:szCs w:val="20"/>
        </w:rPr>
        <w:t xml:space="preserve"> in </w:t>
      </w:r>
      <w:proofErr w:type="spellStart"/>
      <w:r w:rsidRPr="007B7B51">
        <w:rPr>
          <w:rFonts w:ascii="Times New Roman" w:hAnsi="Times New Roman" w:cs="Times New Roman"/>
          <w:sz w:val="20"/>
          <w:szCs w:val="20"/>
        </w:rPr>
        <w:t>approving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or</w:t>
      </w:r>
      <w:proofErr w:type="spellEnd"/>
      <w:r w:rsidRPr="007B7B51">
        <w:rPr>
          <w:rFonts w:ascii="Times New Roman" w:hAnsi="Times New Roman" w:cs="Times New Roman"/>
          <w:sz w:val="20"/>
          <w:szCs w:val="20"/>
        </w:rPr>
        <w:t xml:space="preserve"> not.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standards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usually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intended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facilitate</w:t>
      </w:r>
      <w:proofErr w:type="spellEnd"/>
      <w:r w:rsidRPr="007B7B51">
        <w:rPr>
          <w:rFonts w:ascii="Times New Roman" w:hAnsi="Times New Roman" w:cs="Times New Roman"/>
          <w:sz w:val="20"/>
          <w:szCs w:val="20"/>
        </w:rPr>
        <w:t xml:space="preserve"> an </w:t>
      </w:r>
      <w:proofErr w:type="spellStart"/>
      <w:r w:rsidRPr="007B7B51">
        <w:rPr>
          <w:rFonts w:ascii="Times New Roman" w:hAnsi="Times New Roman" w:cs="Times New Roman"/>
          <w:sz w:val="20"/>
          <w:szCs w:val="20"/>
        </w:rPr>
        <w:t>efficient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continuous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auction</w:t>
      </w:r>
      <w:proofErr w:type="spellEnd"/>
      <w:r w:rsidRPr="007B7B51">
        <w:rPr>
          <w:rFonts w:ascii="Times New Roman" w:hAnsi="Times New Roman" w:cs="Times New Roman"/>
          <w:sz w:val="20"/>
          <w:szCs w:val="20"/>
        </w:rPr>
        <w:t xml:space="preserve"> market” (</w:t>
      </w:r>
      <w:r w:rsidRPr="00616482">
        <w:rPr>
          <w:rFonts w:ascii="Times New Roman" w:hAnsi="Times New Roman" w:cs="Times New Roman"/>
          <w:sz w:val="20"/>
          <w:szCs w:val="20"/>
        </w:rPr>
        <w:t>Michael, p.1464</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implemented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understanding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standards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good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business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provides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competitive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advantage</w:t>
      </w:r>
      <w:proofErr w:type="spellEnd"/>
      <w:r w:rsidRPr="007B7B51">
        <w:rPr>
          <w:rFonts w:ascii="Times New Roman" w:hAnsi="Times New Roman" w:cs="Times New Roman"/>
          <w:sz w:val="20"/>
          <w:szCs w:val="20"/>
        </w:rPr>
        <w:t xml:space="preserve"> (</w:t>
      </w:r>
      <w:r w:rsidRPr="00616482">
        <w:rPr>
          <w:rFonts w:ascii="Times New Roman" w:hAnsi="Times New Roman" w:cs="Times New Roman"/>
          <w:sz w:val="20"/>
          <w:szCs w:val="20"/>
        </w:rPr>
        <w:t>Michael, p. 1468</w:t>
      </w:r>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initial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requirements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may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include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both</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financial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non-financial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standards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varying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from</w:t>
      </w:r>
      <w:proofErr w:type="spellEnd"/>
      <w:r w:rsidRPr="007B7B51">
        <w:rPr>
          <w:rFonts w:ascii="Times New Roman" w:hAnsi="Times New Roman" w:cs="Times New Roman"/>
          <w:sz w:val="20"/>
          <w:szCs w:val="20"/>
        </w:rPr>
        <w:t xml:space="preserve"> total market </w:t>
      </w:r>
      <w:proofErr w:type="spellStart"/>
      <w:r w:rsidRPr="007B7B51">
        <w:rPr>
          <w:rFonts w:ascii="Times New Roman" w:hAnsi="Times New Roman" w:cs="Times New Roman"/>
          <w:sz w:val="20"/>
          <w:szCs w:val="20"/>
        </w:rPr>
        <w:t>value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governance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standards</w:t>
      </w:r>
      <w:proofErr w:type="spellEnd"/>
      <w:r w:rsidRPr="007B7B51">
        <w:rPr>
          <w:rFonts w:ascii="Times New Roman" w:hAnsi="Times New Roman" w:cs="Times New Roman"/>
          <w:sz w:val="20"/>
          <w:szCs w:val="20"/>
        </w:rPr>
        <w:t xml:space="preserve">. A </w:t>
      </w:r>
      <w:proofErr w:type="spellStart"/>
      <w:r w:rsidRPr="007B7B51">
        <w:rPr>
          <w:rFonts w:ascii="Times New Roman" w:hAnsi="Times New Roman" w:cs="Times New Roman"/>
          <w:sz w:val="20"/>
          <w:szCs w:val="20"/>
        </w:rPr>
        <w:t>corporation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must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satisfy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these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conditions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be </w:t>
      </w:r>
      <w:proofErr w:type="spellStart"/>
      <w:r w:rsidRPr="007B7B51">
        <w:rPr>
          <w:rFonts w:ascii="Times New Roman" w:hAnsi="Times New Roman" w:cs="Times New Roman"/>
          <w:sz w:val="20"/>
          <w:szCs w:val="20"/>
        </w:rPr>
        <w:t>listed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and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publicly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traded</w:t>
      </w:r>
      <w:proofErr w:type="spellEnd"/>
      <w:r w:rsidRPr="007B7B51">
        <w:rPr>
          <w:rFonts w:ascii="Times New Roman" w:hAnsi="Times New Roman" w:cs="Times New Roman"/>
          <w:sz w:val="20"/>
          <w:szCs w:val="20"/>
        </w:rPr>
        <w:t xml:space="preserve"> on a </w:t>
      </w:r>
      <w:proofErr w:type="spellStart"/>
      <w:r w:rsidRPr="007B7B51">
        <w:rPr>
          <w:rFonts w:ascii="Times New Roman" w:hAnsi="Times New Roman" w:cs="Times New Roman"/>
          <w:sz w:val="20"/>
          <w:szCs w:val="20"/>
        </w:rPr>
        <w:t>stock</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exchange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Even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after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initial</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stock</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exchanges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may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require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other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sets</w:t>
      </w:r>
      <w:proofErr w:type="spellEnd"/>
      <w:r w:rsidRPr="007B7B51">
        <w:rPr>
          <w:rFonts w:ascii="Times New Roman" w:hAnsi="Times New Roman" w:cs="Times New Roman"/>
          <w:sz w:val="20"/>
          <w:szCs w:val="20"/>
        </w:rPr>
        <w:t xml:space="preserve"> of </w:t>
      </w:r>
      <w:proofErr w:type="spellStart"/>
      <w:r w:rsidRPr="007B7B51">
        <w:rPr>
          <w:rFonts w:ascii="Times New Roman" w:hAnsi="Times New Roman" w:cs="Times New Roman"/>
          <w:sz w:val="20"/>
          <w:szCs w:val="20"/>
        </w:rPr>
        <w:t>standards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for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satisfy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during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their</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secondary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offerings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Also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failing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to</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meet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certain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standards</w:t>
      </w:r>
      <w:proofErr w:type="spellEnd"/>
      <w:r w:rsidRPr="007B7B51">
        <w:rPr>
          <w:rFonts w:ascii="Times New Roman" w:hAnsi="Times New Roman" w:cs="Times New Roman"/>
          <w:sz w:val="20"/>
          <w:szCs w:val="20"/>
        </w:rPr>
        <w:t xml:space="preserve"> can </w:t>
      </w:r>
      <w:proofErr w:type="spellStart"/>
      <w:r w:rsidRPr="007B7B51">
        <w:rPr>
          <w:rFonts w:ascii="Times New Roman" w:hAnsi="Times New Roman" w:cs="Times New Roman"/>
          <w:sz w:val="20"/>
          <w:szCs w:val="20"/>
        </w:rPr>
        <w:t>cause</w:t>
      </w:r>
      <w:proofErr w:type="spellEnd"/>
      <w:r w:rsidRPr="007B7B51">
        <w:rPr>
          <w:rFonts w:ascii="Times New Roman" w:hAnsi="Times New Roman" w:cs="Times New Roman"/>
          <w:sz w:val="20"/>
          <w:szCs w:val="20"/>
        </w:rPr>
        <w:t xml:space="preserve"> a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delisting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from</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stock</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exchange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Therefore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listing</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requirements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occupy</w:t>
      </w:r>
      <w:proofErr w:type="spellEnd"/>
      <w:r w:rsidRPr="007B7B51">
        <w:rPr>
          <w:rFonts w:ascii="Times New Roman" w:hAnsi="Times New Roman" w:cs="Times New Roman"/>
          <w:sz w:val="20"/>
          <w:szCs w:val="20"/>
        </w:rPr>
        <w:t xml:space="preserve"> an </w:t>
      </w:r>
      <w:proofErr w:type="spellStart"/>
      <w:r w:rsidRPr="007B7B51">
        <w:rPr>
          <w:rFonts w:ascii="Times New Roman" w:hAnsi="Times New Roman" w:cs="Times New Roman"/>
          <w:sz w:val="20"/>
          <w:szCs w:val="20"/>
        </w:rPr>
        <w:t>important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place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within</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the</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regulations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that</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corporations</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should</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comply</w:t>
      </w:r>
      <w:proofErr w:type="spellEnd"/>
      <w:r w:rsidRPr="007B7B51">
        <w:rPr>
          <w:rFonts w:ascii="Times New Roman" w:hAnsi="Times New Roman" w:cs="Times New Roman"/>
          <w:sz w:val="20"/>
          <w:szCs w:val="20"/>
        </w:rPr>
        <w:t xml:space="preserve"> </w:t>
      </w:r>
      <w:proofErr w:type="spellStart"/>
      <w:r w:rsidRPr="007B7B51">
        <w:rPr>
          <w:rFonts w:ascii="Times New Roman" w:hAnsi="Times New Roman" w:cs="Times New Roman"/>
          <w:sz w:val="20"/>
          <w:szCs w:val="20"/>
        </w:rPr>
        <w:t>with</w:t>
      </w:r>
      <w:proofErr w:type="spellEnd"/>
      <w:r w:rsidRPr="007B7B51">
        <w:rPr>
          <w:rFonts w:ascii="Times New Roman" w:hAnsi="Times New Roman" w:cs="Times New Roman"/>
          <w:sz w:val="20"/>
          <w:szCs w:val="20"/>
        </w:rPr>
        <w:t>.</w:t>
      </w:r>
    </w:p>
  </w:footnote>
  <w:footnote w:id="815">
    <w:p w14:paraId="7D52CD11" w14:textId="397F93C3" w:rsidR="00D36541" w:rsidRPr="009975EA" w:rsidRDefault="00D36541" w:rsidP="00616482">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As mentioned above, some jurisdictions, such as Hong Kong, has oppression statutes that </w:t>
      </w:r>
      <w:proofErr w:type="spellStart"/>
      <w:r w:rsidRPr="009975EA">
        <w:rPr>
          <w:rFonts w:ascii="Times New Roman" w:hAnsi="Times New Roman" w:cs="Times New Roman"/>
          <w:sz w:val="20"/>
          <w:szCs w:val="20"/>
        </w:rPr>
        <w:t>specificially</w:t>
      </w:r>
      <w:proofErr w:type="spellEnd"/>
      <w:r w:rsidRPr="009975EA">
        <w:rPr>
          <w:rFonts w:ascii="Times New Roman" w:hAnsi="Times New Roman" w:cs="Times New Roman"/>
          <w:sz w:val="20"/>
          <w:szCs w:val="20"/>
        </w:rPr>
        <w:t xml:space="preserve"> pulls non- Hong Kong companies within its ambit, and the local law and local standards are applied to foreign companies through this statute, which ties the foreign companies into Hong Kong law so as to reduce the risks of them importing poor governance rules into Hong Kong through their listing in the exchange (Donald, p. 157).</w:t>
      </w:r>
    </w:p>
  </w:footnote>
  <w:footnote w:id="816">
    <w:p w14:paraId="11F1011E" w14:textId="1C495F0E" w:rsidR="00D36541" w:rsidRPr="009975EA" w:rsidRDefault="00D36541" w:rsidP="009975EA">
      <w:pPr>
        <w:pStyle w:val="DipnotMetni"/>
        <w:tabs>
          <w:tab w:val="left" w:pos="6501"/>
        </w:tabs>
        <w:jc w:val="both"/>
        <w:rPr>
          <w:rFonts w:ascii="Times New Roman" w:hAnsi="Times New Roman" w:cs="Times New Roman"/>
          <w:sz w:val="20"/>
          <w:szCs w:val="20"/>
          <w:lang w:val="tr-TR"/>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TCC </w:t>
      </w:r>
      <w:r w:rsidRPr="009975EA">
        <w:rPr>
          <w:rFonts w:ascii="Times New Roman" w:hAnsi="Times New Roman" w:cs="Times New Roman"/>
          <w:color w:val="000000" w:themeColor="text1"/>
          <w:sz w:val="20"/>
          <w:szCs w:val="20"/>
        </w:rPr>
        <w:t>Article 531 (1): “In the occurrence of just causes, shareholders of shares representing at least ten percent, and at least twenty percent in publicly held corporations, of the outstanding shares of a corporation may present a petition of dissolution of the corporation to the commercial court where the corporation is headquartered. The Court may, rather than dissolving the corporation, order the buy- out of the shares of the complaining shareholders with an appraisal value determined on the day closest to the court order, or order a convenient and acceptable alternative remedy.”</w:t>
      </w:r>
      <w:r w:rsidRPr="009975EA">
        <w:rPr>
          <w:rFonts w:ascii="Times New Roman" w:hAnsi="Times New Roman" w:cs="Times New Roman"/>
          <w:color w:val="000000" w:themeColor="text1"/>
          <w:sz w:val="20"/>
          <w:szCs w:val="20"/>
        </w:rPr>
        <w:tab/>
      </w:r>
    </w:p>
  </w:footnote>
  <w:footnote w:id="817">
    <w:p w14:paraId="103E6272" w14:textId="38B2FE9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Halit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Eker</w:t>
      </w:r>
      <w:proofErr w:type="spellEnd"/>
      <w:r w:rsidRPr="009975EA">
        <w:rPr>
          <w:rFonts w:ascii="Times New Roman" w:hAnsi="Times New Roman" w:cs="Times New Roman"/>
          <w:sz w:val="20"/>
          <w:szCs w:val="20"/>
        </w:rPr>
        <w:t xml:space="preserve">, </w:t>
      </w:r>
      <w:proofErr w:type="spellStart"/>
      <w:r w:rsidRPr="00855B7E">
        <w:rPr>
          <w:rFonts w:ascii="Times New Roman" w:hAnsi="Times New Roman" w:cs="Times New Roman"/>
          <w:i/>
          <w:sz w:val="20"/>
          <w:szCs w:val="20"/>
        </w:rPr>
        <w:t>Anonim</w:t>
      </w:r>
      <w:proofErr w:type="spellEnd"/>
      <w:r w:rsidRPr="00855B7E">
        <w:rPr>
          <w:rFonts w:ascii="Times New Roman" w:hAnsi="Times New Roman" w:cs="Times New Roman"/>
          <w:i/>
          <w:sz w:val="20"/>
          <w:szCs w:val="20"/>
        </w:rPr>
        <w:t xml:space="preserve"> ve Limited </w:t>
      </w:r>
      <w:proofErr w:type="spellStart"/>
      <w:r w:rsidRPr="00855B7E">
        <w:rPr>
          <w:rFonts w:ascii="Times New Roman" w:hAnsi="Times New Roman" w:cs="Times New Roman"/>
          <w:i/>
          <w:sz w:val="20"/>
          <w:szCs w:val="20"/>
        </w:rPr>
        <w:t>Sirketlerde</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Ortaklik</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Sifatinin</w:t>
      </w:r>
      <w:proofErr w:type="spellEnd"/>
      <w:r w:rsidRPr="00855B7E">
        <w:rPr>
          <w:rFonts w:ascii="Times New Roman" w:hAnsi="Times New Roman" w:cs="Times New Roman"/>
          <w:i/>
          <w:sz w:val="20"/>
          <w:szCs w:val="20"/>
        </w:rPr>
        <w:t xml:space="preserve"> Sona </w:t>
      </w:r>
      <w:proofErr w:type="spellStart"/>
      <w:r w:rsidRPr="00855B7E">
        <w:rPr>
          <w:rFonts w:ascii="Times New Roman" w:hAnsi="Times New Roman" w:cs="Times New Roman"/>
          <w:i/>
          <w:sz w:val="20"/>
          <w:szCs w:val="20"/>
        </w:rPr>
        <w:t>Ermesi</w:t>
      </w:r>
      <w:proofErr w:type="spellEnd"/>
      <w:r w:rsidRPr="00855B7E">
        <w:rPr>
          <w:rFonts w:ascii="Times New Roman" w:hAnsi="Times New Roman" w:cs="Times New Roman"/>
          <w:i/>
          <w:sz w:val="20"/>
          <w:szCs w:val="20"/>
        </w:rPr>
        <w:t xml:space="preserve"> ve </w:t>
      </w:r>
      <w:proofErr w:type="spellStart"/>
      <w:r w:rsidRPr="00855B7E">
        <w:rPr>
          <w:rFonts w:ascii="Times New Roman" w:hAnsi="Times New Roman" w:cs="Times New Roman"/>
          <w:i/>
          <w:sz w:val="20"/>
          <w:szCs w:val="20"/>
        </w:rPr>
        <w:t>Ozellikle</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Hakli</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Sebeple</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Fesih</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Davasina</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Iliskin</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Bazi</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Degerlendirmeler</w:t>
      </w:r>
      <w:proofErr w:type="spellEnd"/>
      <w:r w:rsidRPr="009975EA">
        <w:rPr>
          <w:rFonts w:ascii="Times New Roman" w:hAnsi="Times New Roman" w:cs="Times New Roman"/>
          <w:sz w:val="20"/>
          <w:szCs w:val="20"/>
        </w:rPr>
        <w:t xml:space="preserve">, 32 </w:t>
      </w:r>
      <w:r>
        <w:rPr>
          <w:rFonts w:ascii="Times New Roman" w:hAnsi="Times New Roman" w:cs="Times New Roman"/>
          <w:sz w:val="20"/>
          <w:szCs w:val="20"/>
        </w:rPr>
        <w:t xml:space="preserve">Banka </w:t>
      </w:r>
      <w:proofErr w:type="spellStart"/>
      <w:r>
        <w:rPr>
          <w:rFonts w:ascii="Times New Roman" w:hAnsi="Times New Roman" w:cs="Times New Roman"/>
          <w:sz w:val="20"/>
          <w:szCs w:val="20"/>
        </w:rPr>
        <w:t>Huk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63 (2016) at</w:t>
      </w:r>
      <w:r w:rsidRPr="009975EA">
        <w:rPr>
          <w:rFonts w:ascii="Times New Roman" w:hAnsi="Times New Roman" w:cs="Times New Roman"/>
          <w:sz w:val="20"/>
          <w:szCs w:val="20"/>
        </w:rPr>
        <w:t xml:space="preserve"> 108.</w:t>
      </w:r>
    </w:p>
  </w:footnote>
  <w:footnote w:id="818">
    <w:p w14:paraId="5C31589C" w14:textId="0139732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Aytekin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Celik</w:t>
      </w:r>
      <w:proofErr w:type="spellEnd"/>
      <w:r w:rsidRPr="00855B7E">
        <w:rPr>
          <w:rFonts w:ascii="Times New Roman" w:hAnsi="Times New Roman" w:cs="Times New Roman"/>
          <w:i/>
          <w:sz w:val="20"/>
          <w:szCs w:val="20"/>
        </w:rPr>
        <w:t xml:space="preserve">, Turk </w:t>
      </w:r>
      <w:proofErr w:type="spellStart"/>
      <w:r w:rsidRPr="00855B7E">
        <w:rPr>
          <w:rFonts w:ascii="Times New Roman" w:hAnsi="Times New Roman" w:cs="Times New Roman"/>
          <w:i/>
          <w:sz w:val="20"/>
          <w:szCs w:val="20"/>
        </w:rPr>
        <w:t>Ticaret</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Kanunu</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Tasarisi’na</w:t>
      </w:r>
      <w:proofErr w:type="spellEnd"/>
      <w:r w:rsidRPr="00855B7E">
        <w:rPr>
          <w:rFonts w:ascii="Times New Roman" w:hAnsi="Times New Roman" w:cs="Times New Roman"/>
          <w:i/>
          <w:sz w:val="20"/>
          <w:szCs w:val="20"/>
        </w:rPr>
        <w:t xml:space="preserve"> Gore </w:t>
      </w:r>
      <w:proofErr w:type="spellStart"/>
      <w:r w:rsidRPr="00855B7E">
        <w:rPr>
          <w:rFonts w:ascii="Times New Roman" w:hAnsi="Times New Roman" w:cs="Times New Roman"/>
          <w:i/>
          <w:sz w:val="20"/>
          <w:szCs w:val="20"/>
        </w:rPr>
        <w:t>Anonim</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Sirketlerin</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Hakli</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Sebeple</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Feshi</w:t>
      </w:r>
      <w:proofErr w:type="spellEnd"/>
      <w:r w:rsidRPr="00855B7E">
        <w:rPr>
          <w:rFonts w:ascii="Times New Roman" w:hAnsi="Times New Roman" w:cs="Times New Roman"/>
          <w:i/>
          <w:sz w:val="20"/>
          <w:szCs w:val="20"/>
        </w:rPr>
        <w:t xml:space="preserve">, 25 Banka </w:t>
      </w:r>
      <w:proofErr w:type="spellStart"/>
      <w:r w:rsidRPr="00855B7E">
        <w:rPr>
          <w:rFonts w:ascii="Times New Roman" w:hAnsi="Times New Roman" w:cs="Times New Roman"/>
          <w:i/>
          <w:sz w:val="20"/>
          <w:szCs w:val="20"/>
        </w:rPr>
        <w:t>Huk</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Dergisi</w:t>
      </w:r>
      <w:proofErr w:type="spellEnd"/>
      <w:r w:rsidRPr="00855B7E">
        <w:rPr>
          <w:rFonts w:ascii="Times New Roman" w:hAnsi="Times New Roman" w:cs="Times New Roman"/>
          <w:i/>
          <w:sz w:val="20"/>
          <w:szCs w:val="20"/>
        </w:rPr>
        <w:t xml:space="preserve"> 559 (2009</w:t>
      </w:r>
      <w:r>
        <w:rPr>
          <w:rFonts w:ascii="Times New Roman" w:hAnsi="Times New Roman" w:cs="Times New Roman"/>
          <w:sz w:val="20"/>
          <w:szCs w:val="20"/>
        </w:rPr>
        <w:t>), at</w:t>
      </w:r>
      <w:r w:rsidRPr="009975EA">
        <w:rPr>
          <w:rFonts w:ascii="Times New Roman" w:hAnsi="Times New Roman" w:cs="Times New Roman"/>
          <w:sz w:val="20"/>
          <w:szCs w:val="20"/>
        </w:rPr>
        <w:t xml:space="preserve"> 564- 565.</w:t>
      </w:r>
    </w:p>
  </w:footnote>
  <w:footnote w:id="819">
    <w:p w14:paraId="64FB6587" w14:textId="42AD965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Fusun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Nomer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Ertan</w:t>
      </w:r>
      <w:proofErr w:type="spellEnd"/>
      <w:r w:rsidRPr="009975EA">
        <w:rPr>
          <w:rFonts w:ascii="Times New Roman" w:hAnsi="Times New Roman" w:cs="Times New Roman"/>
          <w:sz w:val="20"/>
          <w:szCs w:val="20"/>
        </w:rPr>
        <w:t xml:space="preserve">, </w:t>
      </w:r>
      <w:proofErr w:type="spellStart"/>
      <w:r w:rsidRPr="00855B7E">
        <w:rPr>
          <w:rFonts w:ascii="Times New Roman" w:hAnsi="Times New Roman" w:cs="Times New Roman"/>
          <w:i/>
          <w:sz w:val="20"/>
          <w:szCs w:val="20"/>
        </w:rPr>
        <w:t>Anonim</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Ortakligin</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Hakli</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Sebeple</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Feshi</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Davasi</w:t>
      </w:r>
      <w:proofErr w:type="spellEnd"/>
      <w:r w:rsidRPr="00855B7E">
        <w:rPr>
          <w:rFonts w:ascii="Times New Roman" w:hAnsi="Times New Roman" w:cs="Times New Roman"/>
          <w:i/>
          <w:sz w:val="20"/>
          <w:szCs w:val="20"/>
        </w:rPr>
        <w:t xml:space="preserve">- TTK m. 531 </w:t>
      </w:r>
      <w:proofErr w:type="spellStart"/>
      <w:r w:rsidRPr="00855B7E">
        <w:rPr>
          <w:rFonts w:ascii="Times New Roman" w:hAnsi="Times New Roman" w:cs="Times New Roman"/>
          <w:i/>
          <w:sz w:val="20"/>
          <w:szCs w:val="20"/>
        </w:rPr>
        <w:t>Uzerine</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Dusunceler</w:t>
      </w:r>
      <w:proofErr w:type="spellEnd"/>
      <w:r w:rsidRPr="009975EA">
        <w:rPr>
          <w:rFonts w:ascii="Times New Roman" w:hAnsi="Times New Roman" w:cs="Times New Roman"/>
          <w:sz w:val="20"/>
          <w:szCs w:val="20"/>
        </w:rPr>
        <w:t>,</w:t>
      </w:r>
      <w:r>
        <w:rPr>
          <w:rFonts w:ascii="Times New Roman" w:hAnsi="Times New Roman" w:cs="Times New Roman"/>
          <w:sz w:val="20"/>
          <w:szCs w:val="20"/>
        </w:rPr>
        <w:t xml:space="preserve"> IUHFM C. LXXIII, S.1 (2015) at</w:t>
      </w:r>
      <w:r w:rsidRPr="009975EA">
        <w:rPr>
          <w:rFonts w:ascii="Times New Roman" w:hAnsi="Times New Roman" w:cs="Times New Roman"/>
          <w:sz w:val="20"/>
          <w:szCs w:val="20"/>
        </w:rPr>
        <w:t xml:space="preserve"> 422. </w:t>
      </w:r>
    </w:p>
  </w:footnote>
  <w:footnote w:id="820">
    <w:p w14:paraId="0DF7C70C" w14:textId="3F10C5E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Unal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Tekinalp</w:t>
      </w:r>
      <w:proofErr w:type="spellEnd"/>
      <w:r>
        <w:rPr>
          <w:rFonts w:ascii="Times New Roman" w:hAnsi="Times New Roman" w:cs="Times New Roman"/>
          <w:sz w:val="20"/>
          <w:szCs w:val="20"/>
        </w:rPr>
        <w:t xml:space="preserve">, Yeni </w:t>
      </w:r>
      <w:proofErr w:type="spellStart"/>
      <w:r>
        <w:rPr>
          <w:rFonts w:ascii="Times New Roman" w:hAnsi="Times New Roman" w:cs="Times New Roman"/>
          <w:sz w:val="20"/>
          <w:szCs w:val="20"/>
        </w:rPr>
        <w:t>Anonim</w:t>
      </w:r>
      <w:proofErr w:type="spellEnd"/>
      <w:r>
        <w:rPr>
          <w:rFonts w:ascii="Times New Roman" w:hAnsi="Times New Roman" w:cs="Times New Roman"/>
          <w:sz w:val="20"/>
          <w:szCs w:val="20"/>
        </w:rPr>
        <w:t xml:space="preserve">, </w:t>
      </w:r>
      <w:r w:rsidRPr="009975EA">
        <w:rPr>
          <w:rFonts w:ascii="Times New Roman" w:hAnsi="Times New Roman" w:cs="Times New Roman"/>
          <w:sz w:val="20"/>
          <w:szCs w:val="20"/>
        </w:rPr>
        <w:t>p.191.</w:t>
      </w:r>
    </w:p>
  </w:footnote>
  <w:footnote w:id="821">
    <w:p w14:paraId="07BCEAAE" w14:textId="2116F68D" w:rsidR="00D36541" w:rsidRPr="009975EA" w:rsidRDefault="00D36541" w:rsidP="00855B7E">
      <w:pPr>
        <w:pStyle w:val="DipnotMetni"/>
        <w:tabs>
          <w:tab w:val="left" w:pos="5357"/>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p.61.</w:t>
      </w:r>
      <w:r>
        <w:rPr>
          <w:rFonts w:ascii="Times New Roman" w:hAnsi="Times New Roman" w:cs="Times New Roman"/>
          <w:sz w:val="20"/>
          <w:szCs w:val="20"/>
        </w:rPr>
        <w:tab/>
      </w:r>
    </w:p>
  </w:footnote>
  <w:footnote w:id="822">
    <w:p w14:paraId="22B115DB" w14:textId="4807446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141.</w:t>
      </w:r>
    </w:p>
  </w:footnote>
  <w:footnote w:id="823">
    <w:p w14:paraId="4613FB1B" w14:textId="521B876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Taylor v. Holmes, 14 F. 498 (1882): “A corporation possesses strong and tenacious principles of vitality, derived from its charter bestowed by </w:t>
      </w:r>
      <w:proofErr w:type="spellStart"/>
      <w:r w:rsidRPr="009975EA">
        <w:rPr>
          <w:rFonts w:ascii="Times New Roman" w:hAnsi="Times New Roman" w:cs="Times New Roman"/>
          <w:sz w:val="20"/>
          <w:szCs w:val="20"/>
        </w:rPr>
        <w:t>sovering</w:t>
      </w:r>
      <w:proofErr w:type="spellEnd"/>
      <w:r w:rsidRPr="009975EA">
        <w:rPr>
          <w:rFonts w:ascii="Times New Roman" w:hAnsi="Times New Roman" w:cs="Times New Roman"/>
          <w:sz w:val="20"/>
          <w:szCs w:val="20"/>
        </w:rPr>
        <w:t xml:space="preserve"> authority, and does not cease to exist until its dissolution is accomplished in a manner provided by law. A corporation may surrender its charter to the sovereign power that created it, and thus determine its existence, but there must be some definite act of surrender, and an acceptance by the sovereign or its duly- authorized agent.”</w:t>
      </w:r>
    </w:p>
  </w:footnote>
  <w:footnote w:id="824">
    <w:p w14:paraId="0E1F80B3" w14:textId="702A5F4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re Dissolution of Chris Kole Enterprises, 188 Misc.2d 207 (2001).</w:t>
      </w:r>
    </w:p>
  </w:footnote>
  <w:footnote w:id="825">
    <w:p w14:paraId="5086627D" w14:textId="79EC852F"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Lichens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Standard</w:t>
      </w:r>
      <w:proofErr w:type="spellEnd"/>
      <w:r w:rsidRPr="009975EA">
        <w:rPr>
          <w:rFonts w:ascii="Times New Roman" w:hAnsi="Times New Roman" w:cs="Times New Roman"/>
          <w:sz w:val="20"/>
          <w:szCs w:val="20"/>
        </w:rPr>
        <w:t xml:space="preserve"> Commercial </w:t>
      </w:r>
      <w:proofErr w:type="spellStart"/>
      <w:r w:rsidRPr="009975EA">
        <w:rPr>
          <w:rFonts w:ascii="Times New Roman" w:hAnsi="Times New Roman" w:cs="Times New Roman"/>
          <w:sz w:val="20"/>
          <w:szCs w:val="20"/>
        </w:rPr>
        <w:t>Tobacco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xml:space="preserve">., 28 Del. </w:t>
      </w:r>
      <w:proofErr w:type="spellStart"/>
      <w:r w:rsidRPr="009975EA">
        <w:rPr>
          <w:rFonts w:ascii="Times New Roman" w:hAnsi="Times New Roman" w:cs="Times New Roman"/>
          <w:sz w:val="20"/>
          <w:szCs w:val="20"/>
        </w:rPr>
        <w:t>Ch</w:t>
      </w:r>
      <w:proofErr w:type="spellEnd"/>
      <w:r w:rsidRPr="009975EA">
        <w:rPr>
          <w:rFonts w:ascii="Times New Roman" w:hAnsi="Times New Roman" w:cs="Times New Roman"/>
          <w:sz w:val="20"/>
          <w:szCs w:val="20"/>
        </w:rPr>
        <w:t>. 220 (1944): “</w:t>
      </w:r>
      <w:proofErr w:type="spellStart"/>
      <w:r w:rsidRPr="009975EA">
        <w:rPr>
          <w:rFonts w:ascii="Times New Roman" w:hAnsi="Times New Roman" w:cs="Times New Roman"/>
          <w:color w:val="000000"/>
          <w:sz w:val="20"/>
          <w:szCs w:val="20"/>
        </w:rPr>
        <w:t>Originally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jurisdiction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appoint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receiver</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order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up</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solvent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largely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denied</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equivalent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decree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generally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sole </w:t>
      </w:r>
      <w:proofErr w:type="spellStart"/>
      <w:r w:rsidRPr="009975EA">
        <w:rPr>
          <w:rFonts w:ascii="Times New Roman" w:hAnsi="Times New Roman" w:cs="Times New Roman"/>
          <w:color w:val="000000"/>
          <w:sz w:val="20"/>
          <w:szCs w:val="20"/>
        </w:rPr>
        <w:t>province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legislative</w:t>
      </w:r>
      <w:proofErr w:type="spellEnd"/>
      <w:r w:rsidRPr="009975EA">
        <w:rPr>
          <w:rFonts w:ascii="Times New Roman" w:hAnsi="Times New Roman" w:cs="Times New Roman"/>
          <w:color w:val="000000"/>
          <w:sz w:val="20"/>
          <w:szCs w:val="20"/>
        </w:rPr>
        <w:t xml:space="preserve"> body. </w:t>
      </w:r>
      <w:proofErr w:type="spellStart"/>
      <w:r w:rsidRPr="009975EA">
        <w:rPr>
          <w:rFonts w:ascii="Times New Roman" w:hAnsi="Times New Roman" w:cs="Times New Roman"/>
          <w:color w:val="000000"/>
          <w:sz w:val="20"/>
          <w:szCs w:val="20"/>
        </w:rPr>
        <w:t>Particularly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charters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granted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as in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little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application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w:t>
      </w:r>
      <w:proofErr w:type="spellEnd"/>
      <w:r w:rsidRPr="009975EA">
        <w:rPr>
          <w:rFonts w:ascii="Times New Roman" w:hAnsi="Times New Roman" w:cs="Times New Roman"/>
          <w:color w:val="000000"/>
          <w:sz w:val="20"/>
          <w:szCs w:val="20"/>
        </w:rPr>
        <w:t xml:space="preserve">.” </w:t>
      </w:r>
    </w:p>
  </w:footnote>
  <w:footnote w:id="826">
    <w:p w14:paraId="15B381FB" w14:textId="743F8B4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Official Comment to TCC Article 531.</w:t>
      </w:r>
    </w:p>
  </w:footnote>
  <w:footnote w:id="827">
    <w:p w14:paraId="09DFAEE9" w14:textId="112B867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Bonavita</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Corbo</w:t>
      </w:r>
      <w:proofErr w:type="spellEnd"/>
      <w:r w:rsidRPr="009975EA">
        <w:rPr>
          <w:rFonts w:ascii="Times New Roman" w:hAnsi="Times New Roman" w:cs="Times New Roman"/>
          <w:sz w:val="20"/>
          <w:szCs w:val="20"/>
        </w:rPr>
        <w:t>, 300 N. J. Super. 179 (1996): “The thrust of Subsection (1)(c) of the statute is protection from the abusive exercise of power.”</w:t>
      </w:r>
    </w:p>
  </w:footnote>
  <w:footnote w:id="828">
    <w:p w14:paraId="22220D49" w14:textId="7505C5EE"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Douglas K. </w:t>
      </w:r>
      <w:proofErr w:type="spellStart"/>
      <w:r w:rsidRPr="009975EA">
        <w:rPr>
          <w:rFonts w:ascii="Times New Roman" w:hAnsi="Times New Roman" w:cs="Times New Roman"/>
          <w:sz w:val="20"/>
          <w:szCs w:val="20"/>
        </w:rPr>
        <w:t>Moll</w:t>
      </w:r>
      <w:proofErr w:type="spellEnd"/>
      <w:r w:rsidRPr="009975EA">
        <w:rPr>
          <w:rFonts w:ascii="Times New Roman" w:hAnsi="Times New Roman" w:cs="Times New Roman"/>
          <w:sz w:val="20"/>
          <w:szCs w:val="20"/>
        </w:rPr>
        <w:t xml:space="preserve">, </w:t>
      </w:r>
      <w:proofErr w:type="spellStart"/>
      <w:r w:rsidRPr="00855B7E">
        <w:rPr>
          <w:rFonts w:ascii="Times New Roman" w:hAnsi="Times New Roman" w:cs="Times New Roman"/>
          <w:i/>
          <w:sz w:val="20"/>
          <w:szCs w:val="20"/>
        </w:rPr>
        <w:t>Shareholder</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Oppression</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and</w:t>
      </w:r>
      <w:proofErr w:type="spellEnd"/>
      <w:r w:rsidRPr="00855B7E">
        <w:rPr>
          <w:rFonts w:ascii="Times New Roman" w:hAnsi="Times New Roman" w:cs="Times New Roman"/>
          <w:i/>
          <w:sz w:val="20"/>
          <w:szCs w:val="20"/>
        </w:rPr>
        <w:t xml:space="preserve"> “Fair Value”: Of </w:t>
      </w:r>
      <w:proofErr w:type="spellStart"/>
      <w:r w:rsidRPr="00855B7E">
        <w:rPr>
          <w:rFonts w:ascii="Times New Roman" w:hAnsi="Times New Roman" w:cs="Times New Roman"/>
          <w:i/>
          <w:sz w:val="20"/>
          <w:szCs w:val="20"/>
        </w:rPr>
        <w:t>Discounts</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Dates</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and</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Dastardly</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Deeds</w:t>
      </w:r>
      <w:proofErr w:type="spellEnd"/>
      <w:r w:rsidRPr="00855B7E">
        <w:rPr>
          <w:rFonts w:ascii="Times New Roman" w:hAnsi="Times New Roman" w:cs="Times New Roman"/>
          <w:i/>
          <w:sz w:val="20"/>
          <w:szCs w:val="20"/>
        </w:rPr>
        <w:t xml:space="preserve"> in </w:t>
      </w:r>
      <w:proofErr w:type="spellStart"/>
      <w:r w:rsidRPr="00855B7E">
        <w:rPr>
          <w:rFonts w:ascii="Times New Roman" w:hAnsi="Times New Roman" w:cs="Times New Roman"/>
          <w:i/>
          <w:sz w:val="20"/>
          <w:szCs w:val="20"/>
        </w:rPr>
        <w:t>the</w:t>
      </w:r>
      <w:proofErr w:type="spellEnd"/>
      <w:r w:rsidRPr="00855B7E">
        <w:rPr>
          <w:rFonts w:ascii="Times New Roman" w:hAnsi="Times New Roman" w:cs="Times New Roman"/>
          <w:i/>
          <w:sz w:val="20"/>
          <w:szCs w:val="20"/>
        </w:rPr>
        <w:t xml:space="preserve"> Close Corporation</w:t>
      </w:r>
      <w:r>
        <w:rPr>
          <w:rFonts w:ascii="Times New Roman" w:hAnsi="Times New Roman" w:cs="Times New Roman"/>
          <w:sz w:val="20"/>
          <w:szCs w:val="20"/>
        </w:rPr>
        <w:t>, 54 Duke L.J. 293 (2004), at</w:t>
      </w:r>
      <w:r w:rsidRPr="009975EA">
        <w:rPr>
          <w:rFonts w:ascii="Times New Roman" w:hAnsi="Times New Roman" w:cs="Times New Roman"/>
          <w:sz w:val="20"/>
          <w:szCs w:val="20"/>
        </w:rPr>
        <w:t xml:space="preserve"> 300- 301, </w:t>
      </w:r>
      <w:proofErr w:type="spellStart"/>
      <w:r w:rsidRPr="009975EA">
        <w:rPr>
          <w:rFonts w:ascii="Times New Roman" w:hAnsi="Times New Roman" w:cs="Times New Roman"/>
          <w:sz w:val="20"/>
          <w:szCs w:val="20"/>
        </w:rPr>
        <w:t>explaining</w:t>
      </w:r>
      <w:proofErr w:type="spellEnd"/>
      <w:r w:rsidRPr="009975EA">
        <w:rPr>
          <w:rFonts w:ascii="Times New Roman" w:hAnsi="Times New Roman" w:cs="Times New Roman"/>
          <w:sz w:val="20"/>
          <w:szCs w:val="20"/>
        </w:rPr>
        <w:t xml:space="preserve"> how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happens</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close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context</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Conventional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norms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centralized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w:t>
      </w:r>
      <w:proofErr w:type="spellEnd"/>
      <w:r w:rsidRPr="009975EA">
        <w:rPr>
          <w:rFonts w:ascii="Times New Roman" w:hAnsi="Times New Roman" w:cs="Times New Roman"/>
          <w:color w:val="000000"/>
          <w:sz w:val="20"/>
          <w:szCs w:val="20"/>
        </w:rPr>
        <w:t xml:space="preserve"> can </w:t>
      </w:r>
      <w:proofErr w:type="spellStart"/>
      <w:r w:rsidRPr="009975EA">
        <w:rPr>
          <w:rFonts w:ascii="Times New Roman" w:hAnsi="Times New Roman" w:cs="Times New Roman"/>
          <w:color w:val="000000"/>
          <w:sz w:val="20"/>
          <w:szCs w:val="20"/>
        </w:rPr>
        <w:t>lead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serious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problems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close</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1C1C1C"/>
          <w:sz w:val="20"/>
          <w:szCs w:val="20"/>
        </w:rPr>
        <w:t>corporation</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Traditionally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centralized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hands</w:t>
      </w:r>
      <w:proofErr w:type="spellEnd"/>
      <w:r w:rsidRPr="009975EA">
        <w:rPr>
          <w:rFonts w:ascii="Times New Roman" w:hAnsi="Times New Roman" w:cs="Times New Roman"/>
          <w:color w:val="000000"/>
          <w:sz w:val="20"/>
          <w:szCs w:val="20"/>
        </w:rPr>
        <w:t xml:space="preserve"> of a board of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1C1C1C"/>
          <w:sz w:val="20"/>
          <w:szCs w:val="20"/>
        </w:rPr>
        <w:t>close</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1C1C1C"/>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board is </w:t>
      </w:r>
      <w:proofErr w:type="spellStart"/>
      <w:r w:rsidRPr="009975EA">
        <w:rPr>
          <w:rFonts w:ascii="Times New Roman" w:hAnsi="Times New Roman" w:cs="Times New Roman"/>
          <w:color w:val="000000"/>
          <w:sz w:val="20"/>
          <w:szCs w:val="20"/>
        </w:rPr>
        <w:t>ordinarily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controlled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shareholders</w:t>
      </w:r>
      <w:proofErr w:type="spellEnd"/>
      <w:r w:rsidRPr="009975EA">
        <w:rPr>
          <w:rFonts w:ascii="Times New Roman" w:hAnsi="Times New Roman" w:cs="Times New Roman"/>
          <w:color w:val="1C1C1C"/>
          <w:sz w:val="20"/>
          <w:szCs w:val="20"/>
        </w:rPr>
        <w:t xml:space="preserve"> </w:t>
      </w:r>
      <w:r w:rsidRPr="009975EA">
        <w:rPr>
          <w:rFonts w:ascii="Times New Roman" w:hAnsi="Times New Roman" w:cs="Times New Roman"/>
          <w:color w:val="000000"/>
          <w:sz w:val="20"/>
          <w:szCs w:val="20"/>
        </w:rPr>
        <w:t xml:space="preserve">holding a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voting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w:t>
      </w:r>
      <w:proofErr w:type="spellEnd"/>
      <w:r w:rsidRPr="009975EA">
        <w:rPr>
          <w:rFonts w:ascii="Times New Roman" w:hAnsi="Times New Roman" w:cs="Times New Roman"/>
          <w:color w:val="000000"/>
          <w:sz w:val="20"/>
          <w:szCs w:val="20"/>
        </w:rPr>
        <w:t>.”</w:t>
      </w:r>
      <w:r w:rsidRPr="009975EA">
        <w:rPr>
          <w:rFonts w:ascii="Times New Roman" w:hAnsi="Times New Roman" w:cs="Times New Roman"/>
          <w:color w:val="0000FF"/>
          <w:position w:val="13"/>
          <w:sz w:val="20"/>
          <w:szCs w:val="20"/>
        </w:rPr>
        <w:t xml:space="preserve"> </w:t>
      </w:r>
      <w:r w:rsidRPr="009975EA">
        <w:rPr>
          <w:rFonts w:ascii="Times New Roman" w:hAnsi="Times New Roman" w:cs="Times New Roman"/>
          <w:color w:val="000000"/>
          <w:sz w:val="20"/>
          <w:szCs w:val="20"/>
        </w:rPr>
        <w:t xml:space="preserve">Through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control</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board,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w:t>
      </w:r>
      <w:proofErr w:type="spellEnd"/>
      <w:r w:rsidRPr="009975EA">
        <w:rPr>
          <w:rFonts w:ascii="Times New Roman" w:hAnsi="Times New Roman" w:cs="Times New Roman"/>
          <w:color w:val="1C1C1C"/>
          <w:sz w:val="20"/>
          <w:szCs w:val="20"/>
        </w:rPr>
        <w:t xml:space="preserve"> </w:t>
      </w:r>
      <w:r w:rsidRPr="009975EA">
        <w:rPr>
          <w:rFonts w:ascii="Times New Roman" w:hAnsi="Times New Roman" w:cs="Times New Roman"/>
          <w:color w:val="000000"/>
          <w:sz w:val="20"/>
          <w:szCs w:val="20"/>
        </w:rPr>
        <w:t xml:space="preserve">has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ability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take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harmful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shareholder's</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interests</w:t>
      </w:r>
      <w:proofErr w:type="spellEnd"/>
      <w:r w:rsidRPr="009975EA">
        <w:rPr>
          <w:rFonts w:ascii="Times New Roman" w:hAnsi="Times New Roman" w:cs="Times New Roman"/>
          <w:color w:val="000000"/>
          <w:sz w:val="20"/>
          <w:szCs w:val="20"/>
        </w:rPr>
        <w:t>.</w:t>
      </w:r>
      <w:r w:rsidRPr="009975EA">
        <w:rPr>
          <w:rFonts w:ascii="Times New Roman" w:hAnsi="Times New Roman" w:cs="Times New Roman"/>
          <w:color w:val="0000FF"/>
          <w:position w:val="13"/>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often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referred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freeze-out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squeeze-out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techniques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oppress</w:t>
      </w:r>
      <w:proofErr w:type="spellEnd"/>
      <w:r w:rsidRPr="009975EA">
        <w:rPr>
          <w:rFonts w:ascii="Times New Roman" w:hAnsi="Times New Roman" w:cs="Times New Roman"/>
          <w:color w:val="000000"/>
          <w:sz w:val="20"/>
          <w:szCs w:val="20"/>
        </w:rPr>
        <w:t>”</w:t>
      </w:r>
      <w:r w:rsidRPr="009975EA">
        <w:rPr>
          <w:rFonts w:ascii="Times New Roman" w:hAnsi="Times New Roman" w:cs="Times New Roman"/>
          <w:color w:val="0000FF"/>
          <w:position w:val="13"/>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close</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1C1C1C"/>
          <w:sz w:val="20"/>
          <w:szCs w:val="20"/>
        </w:rPr>
        <w:t>corporation</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freeze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techniques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include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refusal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declare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termination</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employment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removal</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position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siphoning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off</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earnings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high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compensation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w:t>
      </w:r>
      <w:proofErr w:type="spellEnd"/>
      <w:r w:rsidRPr="009975EA">
        <w:rPr>
          <w:rFonts w:ascii="Times New Roman" w:hAnsi="Times New Roman" w:cs="Times New Roman"/>
          <w:color w:val="000000"/>
          <w:sz w:val="20"/>
          <w:szCs w:val="20"/>
        </w:rPr>
        <w:t>.</w:t>
      </w:r>
      <w:r w:rsidRPr="009975EA">
        <w:rPr>
          <w:rFonts w:ascii="Times New Roman" w:hAnsi="Times New Roman" w:cs="Times New Roman"/>
          <w:color w:val="0000FF"/>
          <w:position w:val="13"/>
          <w:sz w:val="20"/>
          <w:szCs w:val="20"/>
        </w:rPr>
        <w:t xml:space="preserve"> </w:t>
      </w:r>
      <w:proofErr w:type="spellStart"/>
      <w:r w:rsidRPr="009975EA">
        <w:rPr>
          <w:rFonts w:ascii="Times New Roman" w:hAnsi="Times New Roman" w:cs="Times New Roman"/>
          <w:color w:val="000000"/>
          <w:sz w:val="20"/>
          <w:szCs w:val="20"/>
        </w:rPr>
        <w:t>Quite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often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tactics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used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combination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example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investor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generally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looks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salary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share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returns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because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“[e]</w:t>
      </w:r>
      <w:proofErr w:type="spellStart"/>
      <w:r w:rsidRPr="009975EA">
        <w:rPr>
          <w:rFonts w:ascii="Times New Roman" w:hAnsi="Times New Roman" w:cs="Times New Roman"/>
          <w:color w:val="000000"/>
          <w:sz w:val="20"/>
          <w:szCs w:val="20"/>
        </w:rPr>
        <w:t>arnings</w:t>
      </w:r>
      <w:proofErr w:type="spellEnd"/>
      <w:r w:rsidRPr="009975EA">
        <w:rPr>
          <w:rFonts w:ascii="Times New Roman" w:hAnsi="Times New Roman" w:cs="Times New Roman"/>
          <w:color w:val="000000"/>
          <w:sz w:val="20"/>
          <w:szCs w:val="20"/>
        </w:rPr>
        <w:t xml:space="preserve"> of a *302 </w:t>
      </w:r>
      <w:proofErr w:type="spellStart"/>
      <w:r w:rsidRPr="009975EA">
        <w:rPr>
          <w:rFonts w:ascii="Times New Roman" w:hAnsi="Times New Roman" w:cs="Times New Roman"/>
          <w:color w:val="000000"/>
          <w:sz w:val="20"/>
          <w:szCs w:val="20"/>
        </w:rPr>
        <w:t>often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distributed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major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salaries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bonuses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retirement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benefits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actual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dividends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paid</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who</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discharged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employment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removed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board of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effectively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denied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return</w:t>
      </w:r>
      <w:proofErr w:type="spellEnd"/>
      <w:r w:rsidRPr="009975EA">
        <w:rPr>
          <w:rFonts w:ascii="Times New Roman" w:hAnsi="Times New Roman" w:cs="Times New Roman"/>
          <w:color w:val="000000"/>
          <w:sz w:val="20"/>
          <w:szCs w:val="20"/>
        </w:rPr>
        <w:t xml:space="preserve"> on his </w:t>
      </w:r>
      <w:proofErr w:type="spellStart"/>
      <w:r w:rsidRPr="009975EA">
        <w:rPr>
          <w:rFonts w:ascii="Times New Roman" w:hAnsi="Times New Roman" w:cs="Times New Roman"/>
          <w:color w:val="000000"/>
          <w:sz w:val="20"/>
          <w:szCs w:val="20"/>
        </w:rPr>
        <w:t>investment</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well</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input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Once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faces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indefinite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return</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capital</w:t>
      </w:r>
      <w:proofErr w:type="spellEnd"/>
      <w:r w:rsidRPr="009975EA">
        <w:rPr>
          <w:rFonts w:ascii="Times New Roman" w:hAnsi="Times New Roman" w:cs="Times New Roman"/>
          <w:color w:val="000000"/>
          <w:sz w:val="20"/>
          <w:szCs w:val="20"/>
        </w:rPr>
        <w:t xml:space="preserve"> he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contributed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enterprise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often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proposes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purchase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w:t>
      </w:r>
      <w:proofErr w:type="spellEnd"/>
      <w:r w:rsidRPr="009975EA">
        <w:rPr>
          <w:rFonts w:ascii="Times New Roman" w:hAnsi="Times New Roman" w:cs="Times New Roman"/>
          <w:color w:val="1C1C1C"/>
          <w:sz w:val="20"/>
          <w:szCs w:val="20"/>
        </w:rPr>
        <w:t xml:space="preserve"> </w:t>
      </w:r>
      <w:r w:rsidRPr="009975EA">
        <w:rPr>
          <w:rFonts w:ascii="Times New Roman" w:hAnsi="Times New Roman" w:cs="Times New Roman"/>
          <w:color w:val="000000"/>
          <w:sz w:val="20"/>
          <w:szCs w:val="20"/>
        </w:rPr>
        <w:t xml:space="preserve">at an </w:t>
      </w:r>
      <w:proofErr w:type="spellStart"/>
      <w:r w:rsidRPr="009975EA">
        <w:rPr>
          <w:rFonts w:ascii="Times New Roman" w:hAnsi="Times New Roman" w:cs="Times New Roman"/>
          <w:color w:val="000000"/>
          <w:sz w:val="20"/>
          <w:szCs w:val="20"/>
        </w:rPr>
        <w:t>unfairly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price</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829">
    <w:p w14:paraId="240B473B" w14:textId="42C1020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Celik</w:t>
      </w:r>
      <w:proofErr w:type="spellEnd"/>
      <w:r w:rsidRPr="009975EA">
        <w:rPr>
          <w:rFonts w:ascii="Times New Roman" w:hAnsi="Times New Roman" w:cs="Times New Roman"/>
          <w:sz w:val="20"/>
          <w:szCs w:val="20"/>
        </w:rPr>
        <w:t>, p.562- 563.</w:t>
      </w:r>
    </w:p>
  </w:footnote>
  <w:footnote w:id="830">
    <w:p w14:paraId="6D05A0A6" w14:textId="368B5B0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587.</w:t>
      </w:r>
    </w:p>
  </w:footnote>
  <w:footnote w:id="831">
    <w:p w14:paraId="2685671A" w14:textId="73F5DE3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3.</w:t>
      </w:r>
    </w:p>
  </w:footnote>
  <w:footnote w:id="832">
    <w:p w14:paraId="419D879E" w14:textId="6919C76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2005/2750 K. 2006/2644 T. 14/03/2006.</w:t>
      </w:r>
    </w:p>
  </w:footnote>
  <w:footnote w:id="833">
    <w:p w14:paraId="44A8EF43"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Hetherington/Dooley, p.3. </w:t>
      </w:r>
    </w:p>
  </w:footnote>
  <w:footnote w:id="834">
    <w:p w14:paraId="71E7F6DB" w14:textId="17AAC41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Jones v. H.F. Ahmanson &amp; Co., 1 Cal.3d 93 (1969).</w:t>
      </w:r>
    </w:p>
  </w:footnote>
  <w:footnote w:id="835">
    <w:p w14:paraId="5CB48D76" w14:textId="3F3888D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Howard v. Shay, 1998 WL 526577.</w:t>
      </w:r>
    </w:p>
  </w:footnote>
  <w:footnote w:id="836">
    <w:p w14:paraId="3A720B35" w14:textId="3F476BAD" w:rsidR="00D36541" w:rsidRPr="009975EA" w:rsidRDefault="00D36541" w:rsidP="009975EA">
      <w:pPr>
        <w:pStyle w:val="DipnotMetni"/>
        <w:tabs>
          <w:tab w:val="left" w:pos="3835"/>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Hetherington/Dooley, p.7.</w:t>
      </w:r>
      <w:r w:rsidRPr="009975EA">
        <w:rPr>
          <w:rFonts w:ascii="Times New Roman" w:hAnsi="Times New Roman" w:cs="Times New Roman"/>
          <w:sz w:val="20"/>
          <w:szCs w:val="20"/>
        </w:rPr>
        <w:tab/>
      </w:r>
    </w:p>
  </w:footnote>
  <w:footnote w:id="837">
    <w:p w14:paraId="4A32E7BF" w14:textId="187D6C7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Jones v. H.F. Ahmanson &amp; Co., 1 Cal.3d 93 (1969), the court concluded that the majority’s action (which is to control the corporation for the purpose of promoting a marketing scheme that benefits themselves alone to the detriment of the minority) damaged the minority by destroying the “potential public market” for the stock. </w:t>
      </w:r>
    </w:p>
  </w:footnote>
  <w:footnote w:id="838">
    <w:p w14:paraId="2E4FCAAF" w14:textId="55D8FCED"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Jones</w:t>
      </w:r>
      <w:proofErr w:type="spellEnd"/>
      <w:r w:rsidRPr="009975EA">
        <w:rPr>
          <w:rFonts w:ascii="Times New Roman" w:hAnsi="Times New Roman" w:cs="Times New Roman"/>
          <w:sz w:val="20"/>
          <w:szCs w:val="20"/>
        </w:rPr>
        <w:t xml:space="preserve"> v. H.F. </w:t>
      </w:r>
      <w:proofErr w:type="spellStart"/>
      <w:r w:rsidRPr="009975EA">
        <w:rPr>
          <w:rFonts w:ascii="Times New Roman" w:hAnsi="Times New Roman" w:cs="Times New Roman"/>
          <w:sz w:val="20"/>
          <w:szCs w:val="20"/>
        </w:rPr>
        <w:t>Ahmanson</w:t>
      </w:r>
      <w:proofErr w:type="spellEnd"/>
      <w:r w:rsidRPr="009975EA">
        <w:rPr>
          <w:rFonts w:ascii="Times New Roman" w:hAnsi="Times New Roman" w:cs="Times New Roman"/>
          <w:sz w:val="20"/>
          <w:szCs w:val="20"/>
        </w:rPr>
        <w:t xml:space="preserve"> &amp; </w:t>
      </w:r>
      <w:proofErr w:type="spellStart"/>
      <w:r w:rsidRPr="009975EA">
        <w:rPr>
          <w:rFonts w:ascii="Times New Roman" w:hAnsi="Times New Roman" w:cs="Times New Roman"/>
          <w:sz w:val="20"/>
          <w:szCs w:val="20"/>
        </w:rPr>
        <w:t>Co</w:t>
      </w:r>
      <w:proofErr w:type="spellEnd"/>
      <w:r w:rsidRPr="009975EA">
        <w:rPr>
          <w:rFonts w:ascii="Times New Roman" w:hAnsi="Times New Roman" w:cs="Times New Roman"/>
          <w:sz w:val="20"/>
          <w:szCs w:val="20"/>
        </w:rPr>
        <w:t>., 1 Cal.3d 93 (1969): “</w:t>
      </w:r>
      <w:r w:rsidRPr="009975EA">
        <w:rPr>
          <w:rFonts w:ascii="Times New Roman" w:hAnsi="Times New Roman" w:cs="Times New Roman"/>
          <w:color w:val="000000"/>
          <w:sz w:val="20"/>
          <w:szCs w:val="20"/>
        </w:rPr>
        <w:t xml:space="preserve">Here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exchange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was</w:t>
      </w:r>
      <w:proofErr w:type="spellEnd"/>
      <w:r w:rsidRPr="009975EA">
        <w:rPr>
          <w:rFonts w:ascii="Times New Roman" w:hAnsi="Times New Roman" w:cs="Times New Roman"/>
          <w:color w:val="000000"/>
          <w:sz w:val="20"/>
          <w:szCs w:val="20"/>
        </w:rPr>
        <w:t xml:space="preserve"> an integral </w:t>
      </w:r>
      <w:proofErr w:type="spellStart"/>
      <w:r w:rsidRPr="009975EA">
        <w:rPr>
          <w:rFonts w:ascii="Times New Roman" w:hAnsi="Times New Roman" w:cs="Times New Roman"/>
          <w:color w:val="000000"/>
          <w:sz w:val="20"/>
          <w:szCs w:val="20"/>
        </w:rPr>
        <w:t>part</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scheme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defendants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foresee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as an </w:t>
      </w:r>
      <w:proofErr w:type="spellStart"/>
      <w:r w:rsidRPr="009975EA">
        <w:rPr>
          <w:rFonts w:ascii="Times New Roman" w:hAnsi="Times New Roman" w:cs="Times New Roman"/>
          <w:color w:val="000000"/>
          <w:sz w:val="20"/>
          <w:szCs w:val="20"/>
        </w:rPr>
        <w:t>incidental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effect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destruction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potential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market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Association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remaining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deprived</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opportunity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realize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profit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those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intangible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characteristics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attach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marketed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enhance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above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book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Receipt</w:t>
      </w:r>
      <w:proofErr w:type="spellEnd"/>
      <w:r w:rsidRPr="009975EA">
        <w:rPr>
          <w:rFonts w:ascii="Times New Roman" w:hAnsi="Times New Roman" w:cs="Times New Roman"/>
          <w:color w:val="000000"/>
          <w:sz w:val="20"/>
          <w:szCs w:val="20"/>
        </w:rPr>
        <w:t xml:space="preserve"> of an </w:t>
      </w:r>
      <w:proofErr w:type="spellStart"/>
      <w:r w:rsidRPr="009975EA">
        <w:rPr>
          <w:rFonts w:ascii="Times New Roman" w:hAnsi="Times New Roman" w:cs="Times New Roman"/>
          <w:color w:val="000000"/>
          <w:sz w:val="20"/>
          <w:szCs w:val="20"/>
        </w:rPr>
        <w:t>appraised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reflecting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book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value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earnings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alone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could</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compensate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loss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potential</w:t>
      </w:r>
      <w:proofErr w:type="spellEnd"/>
      <w:r w:rsidRPr="009975EA">
        <w:rPr>
          <w:rFonts w:ascii="Times New Roman" w:hAnsi="Times New Roman" w:cs="Times New Roman"/>
          <w:color w:val="000000"/>
          <w:sz w:val="20"/>
          <w:szCs w:val="20"/>
        </w:rPr>
        <w:t xml:space="preserve">. Since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damage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real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although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amount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speculative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equity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demands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minority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stockholders</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placed</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position</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least</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favorable</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majority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created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themselves</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839">
    <w:p w14:paraId="19E27E75" w14:textId="132DFEB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Hetherington/Dooley, p.45.</w:t>
      </w:r>
    </w:p>
  </w:footnote>
  <w:footnote w:id="840">
    <w:p w14:paraId="0AFB0862" w14:textId="6C464F4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Pinar </w:t>
      </w:r>
      <w:proofErr w:type="spellStart"/>
      <w:r w:rsidRPr="009975EA">
        <w:rPr>
          <w:rFonts w:ascii="Times New Roman" w:hAnsi="Times New Roman" w:cs="Times New Roman"/>
          <w:sz w:val="20"/>
          <w:szCs w:val="20"/>
        </w:rPr>
        <w:t>Altinok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Ormanci</w:t>
      </w:r>
      <w:proofErr w:type="spellEnd"/>
      <w:r w:rsidRPr="009975EA">
        <w:rPr>
          <w:rFonts w:ascii="Times New Roman" w:hAnsi="Times New Roman" w:cs="Times New Roman"/>
          <w:sz w:val="20"/>
          <w:szCs w:val="20"/>
        </w:rPr>
        <w:t xml:space="preserve">, </w:t>
      </w:r>
      <w:proofErr w:type="spellStart"/>
      <w:r w:rsidRPr="00855B7E">
        <w:rPr>
          <w:rFonts w:ascii="Times New Roman" w:hAnsi="Times New Roman" w:cs="Times New Roman"/>
          <w:i/>
          <w:sz w:val="20"/>
          <w:szCs w:val="20"/>
        </w:rPr>
        <w:t>Surekli</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Borc</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Iliskilerinin</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Hakli</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Sebeple</w:t>
      </w:r>
      <w:proofErr w:type="spellEnd"/>
      <w:r w:rsidRPr="00855B7E">
        <w:rPr>
          <w:rFonts w:ascii="Times New Roman" w:hAnsi="Times New Roman" w:cs="Times New Roman"/>
          <w:i/>
          <w:sz w:val="20"/>
          <w:szCs w:val="20"/>
        </w:rPr>
        <w:t xml:space="preserve"> </w:t>
      </w:r>
      <w:proofErr w:type="spellStart"/>
      <w:r w:rsidRPr="00855B7E">
        <w:rPr>
          <w:rFonts w:ascii="Times New Roman" w:hAnsi="Times New Roman" w:cs="Times New Roman"/>
          <w:i/>
          <w:sz w:val="20"/>
          <w:szCs w:val="20"/>
        </w:rPr>
        <w:t>Feshi</w:t>
      </w:r>
      <w:proofErr w:type="spellEnd"/>
      <w:r>
        <w:rPr>
          <w:rFonts w:ascii="Times New Roman" w:hAnsi="Times New Roman" w:cs="Times New Roman"/>
          <w:i/>
          <w:sz w:val="20"/>
          <w:szCs w:val="20"/>
        </w:rPr>
        <w:t xml:space="preserve"> </w:t>
      </w:r>
      <w:r>
        <w:rPr>
          <w:rFonts w:ascii="Times New Roman" w:hAnsi="Times New Roman" w:cs="Times New Roman"/>
          <w:sz w:val="20"/>
          <w:szCs w:val="20"/>
        </w:rPr>
        <w:t>115-188, Doctoral Dissertation (2011)</w:t>
      </w:r>
      <w:r w:rsidRPr="009975EA">
        <w:rPr>
          <w:rFonts w:ascii="Times New Roman" w:hAnsi="Times New Roman" w:cs="Times New Roman"/>
          <w:sz w:val="20"/>
          <w:szCs w:val="20"/>
        </w:rPr>
        <w:t>.</w:t>
      </w:r>
    </w:p>
  </w:footnote>
  <w:footnote w:id="841">
    <w:p w14:paraId="14C039E5" w14:textId="0666CB5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Official Comment to TCC Article 531.</w:t>
      </w:r>
    </w:p>
  </w:footnote>
  <w:footnote w:id="842">
    <w:p w14:paraId="4FE29D0B" w14:textId="5156A53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Turkish Civil Code, Article 2: “Everyone shall act in accordance with the rules of good faith in the exercise of his or her rights and obligations. Law does not protect an outright abuse of a right.” This article is also used as the source of any duty of loyalty that the shareholders may have towards other shareholders in Turkish legal scholarship: Some commentators state that the duty of loyalty is an outcome of the “duty of good faith” obligation imposed on parties due to and shareholders’ duty of loyalty does not go further than this general obligation; but the existence of a shareholders’ agreement in close corporations might establish a partnership between shareholders and this partnership relationship can create a duty of loyalty o</w:t>
      </w:r>
      <w:r>
        <w:rPr>
          <w:rFonts w:ascii="Times New Roman" w:hAnsi="Times New Roman" w:cs="Times New Roman"/>
          <w:sz w:val="20"/>
          <w:szCs w:val="20"/>
        </w:rPr>
        <w:t xml:space="preserve">bligation </w:t>
      </w:r>
      <w:proofErr w:type="spellStart"/>
      <w:r>
        <w:rPr>
          <w:rFonts w:ascii="Times New Roman" w:hAnsi="Times New Roman" w:cs="Times New Roman"/>
          <w:sz w:val="20"/>
          <w:szCs w:val="20"/>
        </w:rPr>
        <w:t>amon</w:t>
      </w:r>
      <w:proofErr w:type="spellEnd"/>
      <w:r>
        <w:rPr>
          <w:rFonts w:ascii="Times New Roman" w:hAnsi="Times New Roman" w:cs="Times New Roman"/>
          <w:sz w:val="20"/>
          <w:szCs w:val="20"/>
        </w:rPr>
        <w:t xml:space="preserve"> them (</w:t>
      </w:r>
      <w:r w:rsidRPr="009975EA">
        <w:rPr>
          <w:rFonts w:ascii="Times New Roman" w:hAnsi="Times New Roman" w:cs="Times New Roman"/>
          <w:sz w:val="20"/>
          <w:szCs w:val="20"/>
        </w:rPr>
        <w:t xml:space="preserve">Nilsson, </w:t>
      </w:r>
      <w:proofErr w:type="spellStart"/>
      <w:r>
        <w:rPr>
          <w:rFonts w:ascii="Times New Roman" w:hAnsi="Times New Roman" w:cs="Times New Roman"/>
          <w:sz w:val="20"/>
          <w:szCs w:val="20"/>
        </w:rPr>
        <w:t>Paysahipleri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Sozlesmeleri</w:t>
      </w:r>
      <w:proofErr w:type="spellEnd"/>
      <w:r w:rsidRPr="009975EA">
        <w:rPr>
          <w:rFonts w:ascii="Times New Roman" w:hAnsi="Times New Roman" w:cs="Times New Roman"/>
          <w:sz w:val="20"/>
          <w:szCs w:val="20"/>
        </w:rPr>
        <w:t>, p.36, 260 and 261).</w:t>
      </w:r>
    </w:p>
  </w:footnote>
  <w:footnote w:id="843">
    <w:p w14:paraId="2B79D2DA" w14:textId="3AE2BFE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Ayse</w:t>
      </w:r>
      <w:proofErr w:type="spellEnd"/>
      <w:r w:rsidRPr="009975EA">
        <w:rPr>
          <w:rFonts w:ascii="Times New Roman" w:hAnsi="Times New Roman" w:cs="Times New Roman"/>
          <w:sz w:val="20"/>
          <w:szCs w:val="20"/>
        </w:rPr>
        <w:t xml:space="preserve"> Sumer, </w:t>
      </w:r>
      <w:r w:rsidRPr="00D046D3">
        <w:rPr>
          <w:rFonts w:ascii="Times New Roman" w:hAnsi="Times New Roman" w:cs="Times New Roman"/>
          <w:i/>
          <w:sz w:val="20"/>
          <w:szCs w:val="20"/>
        </w:rPr>
        <w:t xml:space="preserve">Turk </w:t>
      </w:r>
      <w:proofErr w:type="spellStart"/>
      <w:r w:rsidRPr="00D046D3">
        <w:rPr>
          <w:rFonts w:ascii="Times New Roman" w:hAnsi="Times New Roman" w:cs="Times New Roman"/>
          <w:i/>
          <w:sz w:val="20"/>
          <w:szCs w:val="20"/>
        </w:rPr>
        <w:t>Ticaret</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Kanunu</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Tasarisinda</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Anonim</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Ortakliklarin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Hakli</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Nedenle</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Feshi</w:t>
      </w:r>
      <w:proofErr w:type="spellEnd"/>
      <w:r w:rsidRPr="00D046D3">
        <w:rPr>
          <w:rFonts w:ascii="Times New Roman" w:hAnsi="Times New Roman" w:cs="Times New Roman"/>
          <w:i/>
          <w:sz w:val="20"/>
          <w:szCs w:val="20"/>
        </w:rPr>
        <w:t>,</w:t>
      </w:r>
      <w:r w:rsidRPr="009975EA">
        <w:rPr>
          <w:rFonts w:ascii="Times New Roman" w:hAnsi="Times New Roman" w:cs="Times New Roman"/>
          <w:sz w:val="20"/>
          <w:szCs w:val="20"/>
        </w:rPr>
        <w:t xml:space="preserve"> IIBF </w:t>
      </w:r>
      <w:proofErr w:type="spellStart"/>
      <w:r w:rsidRPr="009975EA">
        <w:rPr>
          <w:rFonts w:ascii="Times New Roman" w:hAnsi="Times New Roman" w:cs="Times New Roman"/>
          <w:sz w:val="20"/>
          <w:szCs w:val="20"/>
        </w:rPr>
        <w:t>Der</w:t>
      </w:r>
      <w:r>
        <w:rPr>
          <w:rFonts w:ascii="Times New Roman" w:hAnsi="Times New Roman" w:cs="Times New Roman"/>
          <w:sz w:val="20"/>
          <w:szCs w:val="20"/>
        </w:rPr>
        <w:t>gisi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Cilt</w:t>
      </w:r>
      <w:proofErr w:type="spellEnd"/>
      <w:r>
        <w:rPr>
          <w:rFonts w:ascii="Times New Roman" w:hAnsi="Times New Roman" w:cs="Times New Roman"/>
          <w:sz w:val="20"/>
          <w:szCs w:val="20"/>
        </w:rPr>
        <w:t xml:space="preserve"> XXVIII S.1. (2010), at </w:t>
      </w:r>
      <w:r w:rsidRPr="009975EA">
        <w:rPr>
          <w:rFonts w:ascii="Times New Roman" w:hAnsi="Times New Roman" w:cs="Times New Roman"/>
          <w:sz w:val="20"/>
          <w:szCs w:val="20"/>
        </w:rPr>
        <w:t>172.</w:t>
      </w:r>
    </w:p>
  </w:footnote>
  <w:footnote w:id="844">
    <w:p w14:paraId="034A747F" w14:textId="7E1FDC56" w:rsidR="00D36541" w:rsidRPr="009975EA" w:rsidRDefault="00D36541" w:rsidP="00D046D3">
      <w:pPr>
        <w:pStyle w:val="DipnotMetni"/>
        <w:tabs>
          <w:tab w:val="left" w:pos="4982"/>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IBGK E. 1987/2 K. 1988/2 T. 30/09/1988.</w:t>
      </w:r>
      <w:r>
        <w:rPr>
          <w:rFonts w:ascii="Times New Roman" w:hAnsi="Times New Roman" w:cs="Times New Roman"/>
          <w:sz w:val="20"/>
          <w:szCs w:val="20"/>
        </w:rPr>
        <w:tab/>
      </w:r>
    </w:p>
  </w:footnote>
  <w:footnote w:id="845">
    <w:p w14:paraId="7928B729" w14:textId="63ED7D1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“The legal basis of the just cause conception is Turkish Civil Code Article 2, and it is merely the application of the Article to long- term contracts” (</w:t>
      </w:r>
      <w:proofErr w:type="spellStart"/>
      <w:r w:rsidRPr="009975EA">
        <w:rPr>
          <w:rFonts w:ascii="Times New Roman" w:hAnsi="Times New Roman" w:cs="Times New Roman"/>
          <w:sz w:val="20"/>
          <w:szCs w:val="20"/>
        </w:rPr>
        <w:t>Eker</w:t>
      </w:r>
      <w:proofErr w:type="spellEnd"/>
      <w:r w:rsidRPr="009975EA">
        <w:rPr>
          <w:rFonts w:ascii="Times New Roman" w:hAnsi="Times New Roman" w:cs="Times New Roman"/>
          <w:sz w:val="20"/>
          <w:szCs w:val="20"/>
        </w:rPr>
        <w:t>, p. 85).</w:t>
      </w:r>
    </w:p>
  </w:footnote>
  <w:footnote w:id="846">
    <w:p w14:paraId="17F57ED9" w14:textId="6B6626B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w:t>
      </w:r>
      <w:r w:rsidR="00441C92">
        <w:rPr>
          <w:rFonts w:ascii="Times New Roman" w:hAnsi="Times New Roman" w:cs="Times New Roman"/>
          <w:sz w:val="20"/>
          <w:szCs w:val="20"/>
        </w:rPr>
        <w:t xml:space="preserve"> </w:t>
      </w:r>
      <w:r w:rsidRPr="009975EA">
        <w:rPr>
          <w:rFonts w:ascii="Times New Roman" w:hAnsi="Times New Roman" w:cs="Times New Roman"/>
          <w:sz w:val="20"/>
          <w:szCs w:val="20"/>
        </w:rPr>
        <w:t>9- 11.</w:t>
      </w:r>
    </w:p>
  </w:footnote>
  <w:footnote w:id="847">
    <w:p w14:paraId="3F09583F" w14:textId="346D839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Commentators that analogize the nature of the corporations to simple partnerships opine that its partnership nature underlines the corporations “long- term contract” character (Hasan </w:t>
      </w:r>
      <w:proofErr w:type="spellStart"/>
      <w:r w:rsidRPr="009975EA">
        <w:rPr>
          <w:rFonts w:ascii="Times New Roman" w:hAnsi="Times New Roman" w:cs="Times New Roman"/>
          <w:sz w:val="20"/>
          <w:szCs w:val="20"/>
        </w:rPr>
        <w:t>Pulasli</w:t>
      </w:r>
      <w:proofErr w:type="spellEnd"/>
      <w:r w:rsidRPr="009975EA">
        <w:rPr>
          <w:rFonts w:ascii="Times New Roman" w:hAnsi="Times New Roman" w:cs="Times New Roman"/>
          <w:sz w:val="20"/>
          <w:szCs w:val="20"/>
        </w:rPr>
        <w:t xml:space="preserve">, </w:t>
      </w:r>
      <w:r w:rsidRPr="00D046D3">
        <w:rPr>
          <w:rFonts w:ascii="Times New Roman" w:hAnsi="Times New Roman" w:cs="Times New Roman"/>
          <w:i/>
          <w:sz w:val="20"/>
          <w:szCs w:val="20"/>
        </w:rPr>
        <w:t xml:space="preserve">Turk, </w:t>
      </w:r>
      <w:proofErr w:type="spellStart"/>
      <w:r w:rsidRPr="00D046D3">
        <w:rPr>
          <w:rFonts w:ascii="Times New Roman" w:hAnsi="Times New Roman" w:cs="Times New Roman"/>
          <w:i/>
          <w:sz w:val="20"/>
          <w:szCs w:val="20"/>
        </w:rPr>
        <w:t>Isvicre</w:t>
      </w:r>
      <w:proofErr w:type="spellEnd"/>
      <w:r w:rsidRPr="00D046D3">
        <w:rPr>
          <w:rFonts w:ascii="Times New Roman" w:hAnsi="Times New Roman" w:cs="Times New Roman"/>
          <w:i/>
          <w:sz w:val="20"/>
          <w:szCs w:val="20"/>
        </w:rPr>
        <w:t xml:space="preserve"> ve Alman </w:t>
      </w:r>
      <w:proofErr w:type="spellStart"/>
      <w:r w:rsidRPr="00D046D3">
        <w:rPr>
          <w:rFonts w:ascii="Times New Roman" w:hAnsi="Times New Roman" w:cs="Times New Roman"/>
          <w:i/>
          <w:sz w:val="20"/>
          <w:szCs w:val="20"/>
        </w:rPr>
        <w:t>Hukukuna</w:t>
      </w:r>
      <w:proofErr w:type="spellEnd"/>
      <w:r w:rsidRPr="00D046D3">
        <w:rPr>
          <w:rFonts w:ascii="Times New Roman" w:hAnsi="Times New Roman" w:cs="Times New Roman"/>
          <w:i/>
          <w:sz w:val="20"/>
          <w:szCs w:val="20"/>
        </w:rPr>
        <w:t xml:space="preserve"> Gore “</w:t>
      </w:r>
      <w:proofErr w:type="spellStart"/>
      <w:r w:rsidRPr="00D046D3">
        <w:rPr>
          <w:rFonts w:ascii="Times New Roman" w:hAnsi="Times New Roman" w:cs="Times New Roman"/>
          <w:i/>
          <w:sz w:val="20"/>
          <w:szCs w:val="20"/>
        </w:rPr>
        <w:t>Iktisadi</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Amac</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Kavraminin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Sirket</w:t>
      </w:r>
      <w:proofErr w:type="spellEnd"/>
      <w:r w:rsidRPr="00D046D3">
        <w:rPr>
          <w:rFonts w:ascii="Times New Roman" w:hAnsi="Times New Roman" w:cs="Times New Roman"/>
          <w:i/>
          <w:sz w:val="20"/>
          <w:szCs w:val="20"/>
        </w:rPr>
        <w:t xml:space="preserve"> ve </w:t>
      </w:r>
      <w:proofErr w:type="spellStart"/>
      <w:r w:rsidRPr="00D046D3">
        <w:rPr>
          <w:rFonts w:ascii="Times New Roman" w:hAnsi="Times New Roman" w:cs="Times New Roman"/>
          <w:i/>
          <w:sz w:val="20"/>
          <w:szCs w:val="20"/>
        </w:rPr>
        <w:t>Dernekler</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Bakimindan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Degerlendirilmesi</w:t>
      </w:r>
      <w:proofErr w:type="spellEnd"/>
      <w:r w:rsidRPr="009975EA">
        <w:rPr>
          <w:rFonts w:ascii="Times New Roman" w:hAnsi="Times New Roman" w:cs="Times New Roman"/>
          <w:sz w:val="20"/>
          <w:szCs w:val="20"/>
        </w:rPr>
        <w:t xml:space="preserve">, 32 </w:t>
      </w:r>
      <w:r>
        <w:rPr>
          <w:rFonts w:ascii="Times New Roman" w:hAnsi="Times New Roman" w:cs="Times New Roman"/>
          <w:sz w:val="20"/>
          <w:szCs w:val="20"/>
        </w:rPr>
        <w:t xml:space="preserve">Banka </w:t>
      </w:r>
      <w:proofErr w:type="spellStart"/>
      <w:r>
        <w:rPr>
          <w:rFonts w:ascii="Times New Roman" w:hAnsi="Times New Roman" w:cs="Times New Roman"/>
          <w:sz w:val="20"/>
          <w:szCs w:val="20"/>
        </w:rPr>
        <w:t>Huk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21 (2016), at </w:t>
      </w:r>
      <w:r w:rsidRPr="009975EA">
        <w:rPr>
          <w:rFonts w:ascii="Times New Roman" w:hAnsi="Times New Roman" w:cs="Times New Roman"/>
          <w:sz w:val="20"/>
          <w:szCs w:val="20"/>
        </w:rPr>
        <w:t xml:space="preserve">30). During the times of the abolished TCC, the relationship between shareholders of a corporation before incorporation was accepted as a simple partnership, see,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HGK E. 1991/13-76 K. 1991/199 T. 10/04/1991 (</w:t>
      </w:r>
      <w:proofErr w:type="spellStart"/>
      <w:r w:rsidRPr="009975EA">
        <w:rPr>
          <w:rFonts w:ascii="Times New Roman" w:hAnsi="Times New Roman" w:cs="Times New Roman"/>
          <w:sz w:val="20"/>
          <w:szCs w:val="20"/>
        </w:rPr>
        <w:t>Guroglu</w:t>
      </w:r>
      <w:proofErr w:type="spellEnd"/>
      <w:r w:rsidRPr="009975EA">
        <w:rPr>
          <w:rFonts w:ascii="Times New Roman" w:hAnsi="Times New Roman" w:cs="Times New Roman"/>
          <w:sz w:val="20"/>
          <w:szCs w:val="20"/>
        </w:rPr>
        <w:t xml:space="preserve">, J., dissenting). </w:t>
      </w:r>
    </w:p>
  </w:footnote>
  <w:footnote w:id="848">
    <w:p w14:paraId="467F359C" w14:textId="3A899F9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Courts acknowledge that the relationship between partners in simple partnerships is of trust and good faith, and the personality of partners matters for the partners in this firm cooperation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3. HD E. 2016/9450 K. 2016/9672 T. 22/06/2016).</w:t>
      </w:r>
    </w:p>
  </w:footnote>
  <w:footnote w:id="849">
    <w:p w14:paraId="4DFBC633"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3. HD E. 2014/8681 K. 2015/932 T. 19/01/2015.</w:t>
      </w:r>
    </w:p>
  </w:footnote>
  <w:footnote w:id="850">
    <w:p w14:paraId="4EEF64A6"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1979/2160 K. 1979/3061 T. 07/06/1979.</w:t>
      </w:r>
    </w:p>
  </w:footnote>
  <w:footnote w:id="851">
    <w:p w14:paraId="2A15FFD4" w14:textId="467278B7" w:rsidR="004B3A84" w:rsidRPr="0047452F" w:rsidRDefault="004B3A84">
      <w:pPr>
        <w:pStyle w:val="DipnotMetni"/>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proofErr w:type="spellStart"/>
      <w:r w:rsidR="005A5BC6">
        <w:rPr>
          <w:rFonts w:ascii="Times New Roman" w:hAnsi="Times New Roman" w:cs="Times New Roman"/>
          <w:sz w:val="20"/>
          <w:szCs w:val="20"/>
        </w:rPr>
        <w:t>Tekinalp</w:t>
      </w:r>
      <w:proofErr w:type="spellEnd"/>
      <w:r w:rsidR="005A5BC6">
        <w:rPr>
          <w:rFonts w:ascii="Times New Roman" w:hAnsi="Times New Roman" w:cs="Times New Roman"/>
          <w:sz w:val="20"/>
          <w:szCs w:val="20"/>
        </w:rPr>
        <w:t>, p. 336.</w:t>
      </w:r>
    </w:p>
  </w:footnote>
  <w:footnote w:id="852">
    <w:p w14:paraId="76B17E1C"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Hetherington/Dooley, p.3.</w:t>
      </w:r>
    </w:p>
  </w:footnote>
  <w:footnote w:id="853">
    <w:p w14:paraId="123FF861"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Coffee, footnote 5. </w:t>
      </w:r>
    </w:p>
  </w:footnote>
  <w:footnote w:id="854">
    <w:p w14:paraId="3B284C9F"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Brooks v. Hill, 717 So. 2d 759 (1998) (Maddox, J., dissenting)</w:t>
      </w:r>
    </w:p>
  </w:footnote>
  <w:footnote w:id="855">
    <w:p w14:paraId="1410501F"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Coffee, p. 1619.</w:t>
      </w:r>
    </w:p>
  </w:footnote>
  <w:footnote w:id="856">
    <w:p w14:paraId="50DE7F5D"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1979/2160 K. 1979/3061 T. 07/06/1979.</w:t>
      </w:r>
    </w:p>
  </w:footnote>
  <w:footnote w:id="857">
    <w:p w14:paraId="2AEBE2BC" w14:textId="43F4823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lang w:val="tr-TR"/>
        </w:rPr>
        <w:t xml:space="preserve"> Yargıtay İBGK</w:t>
      </w:r>
      <w:r w:rsidRPr="009975EA">
        <w:rPr>
          <w:rFonts w:ascii="Times New Roman" w:hAnsi="Times New Roman" w:cs="Times New Roman"/>
          <w:sz w:val="20"/>
          <w:szCs w:val="20"/>
          <w:lang w:val="tr-TR"/>
        </w:rPr>
        <w:t xml:space="preserve"> E. 1983/3 K. 1984/1 T. 25/01/1984. </w:t>
      </w:r>
      <w:r w:rsidRPr="009975EA">
        <w:rPr>
          <w:rFonts w:ascii="Times New Roman" w:hAnsi="Times New Roman" w:cs="Times New Roman"/>
          <w:sz w:val="20"/>
          <w:szCs w:val="20"/>
        </w:rPr>
        <w:t>“Continuing contract” term is used in English to refer to the “</w:t>
      </w:r>
      <w:proofErr w:type="spellStart"/>
      <w:r w:rsidRPr="009975EA">
        <w:rPr>
          <w:rFonts w:ascii="Times New Roman" w:hAnsi="Times New Roman" w:cs="Times New Roman"/>
          <w:sz w:val="20"/>
          <w:szCs w:val="20"/>
        </w:rPr>
        <w:t>Dauerschuldverhaltnis</w:t>
      </w:r>
      <w:proofErr w:type="spellEnd"/>
      <w:r w:rsidRPr="009975EA">
        <w:rPr>
          <w:rFonts w:ascii="Times New Roman" w:hAnsi="Times New Roman" w:cs="Times New Roman"/>
          <w:sz w:val="20"/>
          <w:szCs w:val="20"/>
        </w:rPr>
        <w:t xml:space="preserve">” term used in German law (Michael H. Whincup, </w:t>
      </w:r>
      <w:r w:rsidRPr="00D046D3">
        <w:rPr>
          <w:rFonts w:ascii="Times New Roman" w:hAnsi="Times New Roman" w:cs="Times New Roman"/>
          <w:i/>
          <w:sz w:val="20"/>
          <w:szCs w:val="20"/>
        </w:rPr>
        <w:t xml:space="preserve">Contract Law and Practice, The English System, with Scottish, </w:t>
      </w:r>
      <w:proofErr w:type="spellStart"/>
      <w:r w:rsidRPr="00D046D3">
        <w:rPr>
          <w:rFonts w:ascii="Times New Roman" w:hAnsi="Times New Roman" w:cs="Times New Roman"/>
          <w:i/>
          <w:sz w:val="20"/>
          <w:szCs w:val="20"/>
        </w:rPr>
        <w:t>Commenwealth</w:t>
      </w:r>
      <w:proofErr w:type="spellEnd"/>
      <w:r w:rsidRPr="00D046D3">
        <w:rPr>
          <w:rFonts w:ascii="Times New Roman" w:hAnsi="Times New Roman" w:cs="Times New Roman"/>
          <w:i/>
          <w:sz w:val="20"/>
          <w:szCs w:val="20"/>
        </w:rPr>
        <w:t xml:space="preserve"> and Continental Comparisons</w:t>
      </w:r>
      <w:r w:rsidRPr="009975EA">
        <w:rPr>
          <w:rFonts w:ascii="Times New Roman" w:hAnsi="Times New Roman" w:cs="Times New Roman"/>
          <w:sz w:val="20"/>
          <w:szCs w:val="20"/>
        </w:rPr>
        <w:t xml:space="preserve"> </w:t>
      </w:r>
      <w:r>
        <w:rPr>
          <w:rFonts w:ascii="Times New Roman" w:hAnsi="Times New Roman" w:cs="Times New Roman"/>
          <w:sz w:val="20"/>
          <w:szCs w:val="20"/>
        </w:rPr>
        <w:t>162 (</w:t>
      </w:r>
      <w:r w:rsidRPr="009975EA">
        <w:rPr>
          <w:rFonts w:ascii="Times New Roman" w:hAnsi="Times New Roman" w:cs="Times New Roman"/>
          <w:sz w:val="20"/>
          <w:szCs w:val="20"/>
        </w:rPr>
        <w:t>5</w:t>
      </w:r>
      <w:r w:rsidRPr="009975EA">
        <w:rPr>
          <w:rFonts w:ascii="Times New Roman" w:hAnsi="Times New Roman" w:cs="Times New Roman"/>
          <w:sz w:val="20"/>
          <w:szCs w:val="20"/>
          <w:vertAlign w:val="superscript"/>
        </w:rPr>
        <w:t>th</w:t>
      </w:r>
      <w:r>
        <w:rPr>
          <w:rFonts w:ascii="Times New Roman" w:hAnsi="Times New Roman" w:cs="Times New Roman"/>
          <w:sz w:val="20"/>
          <w:szCs w:val="20"/>
        </w:rPr>
        <w:t xml:space="preserve"> Ed.</w:t>
      </w:r>
      <w:r w:rsidRPr="009975EA">
        <w:rPr>
          <w:rFonts w:ascii="Times New Roman" w:hAnsi="Times New Roman" w:cs="Times New Roman"/>
          <w:sz w:val="20"/>
          <w:szCs w:val="20"/>
        </w:rPr>
        <w:t xml:space="preserve"> </w:t>
      </w:r>
      <w:r>
        <w:rPr>
          <w:rFonts w:ascii="Times New Roman" w:hAnsi="Times New Roman" w:cs="Times New Roman"/>
          <w:sz w:val="20"/>
          <w:szCs w:val="20"/>
        </w:rPr>
        <w:t>2006</w:t>
      </w:r>
      <w:r w:rsidRPr="009975EA">
        <w:rPr>
          <w:rFonts w:ascii="Times New Roman" w:hAnsi="Times New Roman" w:cs="Times New Roman"/>
          <w:sz w:val="20"/>
          <w:szCs w:val="20"/>
        </w:rPr>
        <w:t>), which is the equivalent of the Turkish concept “</w:t>
      </w:r>
      <w:r w:rsidRPr="009975EA">
        <w:rPr>
          <w:rFonts w:ascii="Times New Roman" w:hAnsi="Times New Roman" w:cs="Times New Roman"/>
          <w:sz w:val="20"/>
          <w:szCs w:val="20"/>
          <w:lang w:val="tr-TR"/>
        </w:rPr>
        <w:t>sürekli borç ilişkisi</w:t>
      </w:r>
      <w:r w:rsidRPr="009975EA">
        <w:rPr>
          <w:rFonts w:ascii="Times New Roman" w:hAnsi="Times New Roman" w:cs="Times New Roman"/>
          <w:sz w:val="20"/>
          <w:szCs w:val="20"/>
        </w:rPr>
        <w:t xml:space="preserve">”. </w:t>
      </w:r>
    </w:p>
  </w:footnote>
  <w:footnote w:id="858">
    <w:p w14:paraId="36660A8F" w14:textId="5F5FCE4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Murat </w:t>
      </w:r>
      <w:proofErr w:type="spellStart"/>
      <w:r w:rsidRPr="009975EA">
        <w:rPr>
          <w:rFonts w:ascii="Times New Roman" w:hAnsi="Times New Roman" w:cs="Times New Roman"/>
          <w:sz w:val="20"/>
          <w:szCs w:val="20"/>
        </w:rPr>
        <w:t>Oruc</w:t>
      </w:r>
      <w:proofErr w:type="spellEnd"/>
      <w:r w:rsidRPr="009975EA">
        <w:rPr>
          <w:rFonts w:ascii="Times New Roman" w:hAnsi="Times New Roman" w:cs="Times New Roman"/>
          <w:sz w:val="20"/>
          <w:szCs w:val="20"/>
        </w:rPr>
        <w:t xml:space="preserve">, </w:t>
      </w:r>
      <w:r w:rsidRPr="00D046D3">
        <w:rPr>
          <w:rFonts w:ascii="Times New Roman" w:hAnsi="Times New Roman" w:cs="Times New Roman"/>
          <w:i/>
          <w:sz w:val="20"/>
          <w:szCs w:val="20"/>
        </w:rPr>
        <w:t xml:space="preserve">6102 </w:t>
      </w:r>
      <w:proofErr w:type="spellStart"/>
      <w:r w:rsidRPr="00D046D3">
        <w:rPr>
          <w:rFonts w:ascii="Times New Roman" w:hAnsi="Times New Roman" w:cs="Times New Roman"/>
          <w:i/>
          <w:sz w:val="20"/>
          <w:szCs w:val="20"/>
        </w:rPr>
        <w:t>Sayili</w:t>
      </w:r>
      <w:proofErr w:type="spellEnd"/>
      <w:r w:rsidRPr="00D046D3">
        <w:rPr>
          <w:rFonts w:ascii="Times New Roman" w:hAnsi="Times New Roman" w:cs="Times New Roman"/>
          <w:i/>
          <w:sz w:val="20"/>
          <w:szCs w:val="20"/>
        </w:rPr>
        <w:t xml:space="preserve"> Yeni </w:t>
      </w:r>
      <w:proofErr w:type="spellStart"/>
      <w:r w:rsidRPr="00D046D3">
        <w:rPr>
          <w:rFonts w:ascii="Times New Roman" w:hAnsi="Times New Roman" w:cs="Times New Roman"/>
          <w:i/>
          <w:sz w:val="20"/>
          <w:szCs w:val="20"/>
        </w:rPr>
        <w:t>Ticaret</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Kanunu’na</w:t>
      </w:r>
      <w:proofErr w:type="spellEnd"/>
      <w:r w:rsidRPr="00D046D3">
        <w:rPr>
          <w:rFonts w:ascii="Times New Roman" w:hAnsi="Times New Roman" w:cs="Times New Roman"/>
          <w:i/>
          <w:sz w:val="20"/>
          <w:szCs w:val="20"/>
        </w:rPr>
        <w:t xml:space="preserve"> Gore </w:t>
      </w:r>
      <w:proofErr w:type="spellStart"/>
      <w:r w:rsidRPr="00D046D3">
        <w:rPr>
          <w:rFonts w:ascii="Times New Roman" w:hAnsi="Times New Roman" w:cs="Times New Roman"/>
          <w:i/>
          <w:sz w:val="20"/>
          <w:szCs w:val="20"/>
        </w:rPr>
        <w:t>Anonim</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Ortakliktan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Hakli</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Sebeple</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Fesih</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Istemine</w:t>
      </w:r>
      <w:proofErr w:type="spellEnd"/>
      <w:r w:rsidRPr="00D046D3">
        <w:rPr>
          <w:rFonts w:ascii="Times New Roman" w:hAnsi="Times New Roman" w:cs="Times New Roman"/>
          <w:i/>
          <w:sz w:val="20"/>
          <w:szCs w:val="20"/>
        </w:rPr>
        <w:t xml:space="preserve"> Bagli </w:t>
      </w:r>
      <w:proofErr w:type="spellStart"/>
      <w:r w:rsidRPr="00D046D3">
        <w:rPr>
          <w:rFonts w:ascii="Times New Roman" w:hAnsi="Times New Roman" w:cs="Times New Roman"/>
          <w:i/>
          <w:sz w:val="20"/>
          <w:szCs w:val="20"/>
        </w:rPr>
        <w:t>Cikarilma</w:t>
      </w:r>
      <w:proofErr w:type="spellEnd"/>
      <w:r w:rsidRPr="00D046D3">
        <w:rPr>
          <w:rFonts w:ascii="Times New Roman" w:hAnsi="Times New Roman" w:cs="Times New Roman"/>
          <w:i/>
          <w:sz w:val="20"/>
          <w:szCs w:val="20"/>
        </w:rPr>
        <w:t>,</w:t>
      </w:r>
      <w:r w:rsidRPr="009975EA">
        <w:rPr>
          <w:rFonts w:ascii="Times New Roman" w:hAnsi="Times New Roman" w:cs="Times New Roman"/>
          <w:sz w:val="20"/>
          <w:szCs w:val="20"/>
        </w:rPr>
        <w:t xml:space="preserve"> 27 B</w:t>
      </w:r>
      <w:r>
        <w:rPr>
          <w:rFonts w:ascii="Times New Roman" w:hAnsi="Times New Roman" w:cs="Times New Roman"/>
          <w:sz w:val="20"/>
          <w:szCs w:val="20"/>
        </w:rPr>
        <w:t xml:space="preserve">anka </w:t>
      </w:r>
      <w:proofErr w:type="spellStart"/>
      <w:r>
        <w:rPr>
          <w:rFonts w:ascii="Times New Roman" w:hAnsi="Times New Roman" w:cs="Times New Roman"/>
          <w:sz w:val="20"/>
          <w:szCs w:val="20"/>
        </w:rPr>
        <w:t>Huk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209 (2011), at </w:t>
      </w:r>
      <w:r w:rsidRPr="009975EA">
        <w:rPr>
          <w:rFonts w:ascii="Times New Roman" w:hAnsi="Times New Roman" w:cs="Times New Roman"/>
          <w:sz w:val="20"/>
          <w:szCs w:val="20"/>
        </w:rPr>
        <w:t>212.</w:t>
      </w:r>
    </w:p>
  </w:footnote>
  <w:footnote w:id="859">
    <w:p w14:paraId="03AFD5A3" w14:textId="0D8784B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Nil </w:t>
      </w:r>
      <w:proofErr w:type="spellStart"/>
      <w:r w:rsidRPr="009975EA">
        <w:rPr>
          <w:rFonts w:ascii="Times New Roman" w:hAnsi="Times New Roman" w:cs="Times New Roman"/>
          <w:sz w:val="20"/>
          <w:szCs w:val="20"/>
        </w:rPr>
        <w:t>Karabağ</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Bulut</w:t>
      </w:r>
      <w:proofErr w:type="spellEnd"/>
      <w:r w:rsidRPr="009975EA">
        <w:rPr>
          <w:rFonts w:ascii="Times New Roman" w:hAnsi="Times New Roman" w:cs="Times New Roman"/>
          <w:sz w:val="20"/>
          <w:szCs w:val="20"/>
        </w:rPr>
        <w:t xml:space="preserve">, </w:t>
      </w:r>
      <w:proofErr w:type="spellStart"/>
      <w:r w:rsidRPr="00D046D3">
        <w:rPr>
          <w:rFonts w:ascii="Times New Roman" w:hAnsi="Times New Roman" w:cs="Times New Roman"/>
          <w:i/>
          <w:sz w:val="20"/>
          <w:szCs w:val="20"/>
        </w:rPr>
        <w:t>Medeni</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Kanunun</w:t>
      </w:r>
      <w:proofErr w:type="spellEnd"/>
      <w:r w:rsidRPr="00D046D3">
        <w:rPr>
          <w:rFonts w:ascii="Times New Roman" w:hAnsi="Times New Roman" w:cs="Times New Roman"/>
          <w:i/>
          <w:sz w:val="20"/>
          <w:szCs w:val="20"/>
        </w:rPr>
        <w:t xml:space="preserve"> 23. </w:t>
      </w:r>
      <w:proofErr w:type="spellStart"/>
      <w:r w:rsidRPr="00D046D3">
        <w:rPr>
          <w:rFonts w:ascii="Times New Roman" w:hAnsi="Times New Roman" w:cs="Times New Roman"/>
          <w:i/>
          <w:sz w:val="20"/>
          <w:szCs w:val="20"/>
        </w:rPr>
        <w:t>Maddesinin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Sozlesme</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Ozgurlugune</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Getirdigi</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Sinirlamalar</w:t>
      </w:r>
      <w:proofErr w:type="spellEnd"/>
      <w:r>
        <w:rPr>
          <w:rFonts w:ascii="Times New Roman" w:hAnsi="Times New Roman" w:cs="Times New Roman"/>
          <w:sz w:val="20"/>
          <w:szCs w:val="20"/>
        </w:rPr>
        <w:t xml:space="preserve"> 80,</w:t>
      </w:r>
      <w:r w:rsidRPr="009975EA">
        <w:rPr>
          <w:rFonts w:ascii="Times New Roman" w:hAnsi="Times New Roman" w:cs="Times New Roman"/>
          <w:sz w:val="20"/>
          <w:szCs w:val="20"/>
        </w:rPr>
        <w:t xml:space="preserve"> </w:t>
      </w:r>
      <w:r>
        <w:rPr>
          <w:rFonts w:ascii="Times New Roman" w:hAnsi="Times New Roman" w:cs="Times New Roman"/>
          <w:sz w:val="20"/>
          <w:szCs w:val="20"/>
        </w:rPr>
        <w:t>Doctoral Dissertation (</w:t>
      </w:r>
      <w:r w:rsidRPr="009975EA">
        <w:rPr>
          <w:rFonts w:ascii="Times New Roman" w:hAnsi="Times New Roman" w:cs="Times New Roman"/>
          <w:sz w:val="20"/>
          <w:szCs w:val="20"/>
        </w:rPr>
        <w:t>2012</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860">
    <w:p w14:paraId="0BA37ED9"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Ormanci</w:t>
      </w:r>
      <w:proofErr w:type="spellEnd"/>
      <w:r w:rsidRPr="009975EA">
        <w:rPr>
          <w:rFonts w:ascii="Times New Roman" w:hAnsi="Times New Roman" w:cs="Times New Roman"/>
          <w:sz w:val="20"/>
          <w:szCs w:val="20"/>
        </w:rPr>
        <w:t>, p. 113 and 121.</w:t>
      </w:r>
    </w:p>
  </w:footnote>
  <w:footnote w:id="861">
    <w:p w14:paraId="206061C2" w14:textId="0F94067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Means, p.459.</w:t>
      </w:r>
    </w:p>
  </w:footnote>
  <w:footnote w:id="862">
    <w:p w14:paraId="023304AD" w14:textId="0206C6E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Means, p. 460.</w:t>
      </w:r>
    </w:p>
  </w:footnote>
  <w:footnote w:id="863">
    <w:p w14:paraId="279C69A9" w14:textId="792D13F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DeBow</w:t>
      </w:r>
      <w:proofErr w:type="spellEnd"/>
      <w:r w:rsidRPr="009975EA">
        <w:rPr>
          <w:rFonts w:ascii="Times New Roman" w:hAnsi="Times New Roman" w:cs="Times New Roman"/>
          <w:sz w:val="20"/>
          <w:szCs w:val="20"/>
        </w:rPr>
        <w:t>, p. 128.</w:t>
      </w:r>
    </w:p>
  </w:footnote>
  <w:footnote w:id="864">
    <w:p w14:paraId="67AF1CB2" w14:textId="08D9B29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Ersin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D046D3">
        <w:rPr>
          <w:rFonts w:ascii="Times New Roman" w:hAnsi="Times New Roman" w:cs="Times New Roman"/>
          <w:i/>
          <w:sz w:val="20"/>
          <w:szCs w:val="20"/>
        </w:rPr>
        <w:t>Anonim</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Ortakligin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Hakli</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Sebeple</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Feshinde</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Hakimin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Takdir</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Yetkisi</w:t>
      </w:r>
      <w:proofErr w:type="spellEnd"/>
      <w:r w:rsidRPr="009975EA">
        <w:rPr>
          <w:rFonts w:ascii="Times New Roman" w:hAnsi="Times New Roman" w:cs="Times New Roman"/>
          <w:sz w:val="20"/>
          <w:szCs w:val="20"/>
        </w:rPr>
        <w:t>, 31</w:t>
      </w:r>
      <w:r>
        <w:rPr>
          <w:rFonts w:ascii="Times New Roman" w:hAnsi="Times New Roman" w:cs="Times New Roman"/>
          <w:sz w:val="20"/>
          <w:szCs w:val="20"/>
        </w:rPr>
        <w:t xml:space="preserve"> Banka </w:t>
      </w:r>
      <w:proofErr w:type="spellStart"/>
      <w:r>
        <w:rPr>
          <w:rFonts w:ascii="Times New Roman" w:hAnsi="Times New Roman" w:cs="Times New Roman"/>
          <w:sz w:val="20"/>
          <w:szCs w:val="20"/>
        </w:rPr>
        <w:t>Huk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5 (2015), at </w:t>
      </w:r>
      <w:r w:rsidRPr="009975EA">
        <w:rPr>
          <w:rFonts w:ascii="Times New Roman" w:hAnsi="Times New Roman" w:cs="Times New Roman"/>
          <w:sz w:val="20"/>
          <w:szCs w:val="20"/>
        </w:rPr>
        <w:t xml:space="preserve">9. </w:t>
      </w:r>
    </w:p>
  </w:footnote>
  <w:footnote w:id="865">
    <w:p w14:paraId="24DB4D91" w14:textId="2A7902E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Celik</w:t>
      </w:r>
      <w:proofErr w:type="spellEnd"/>
      <w:r w:rsidRPr="009975EA">
        <w:rPr>
          <w:rFonts w:ascii="Times New Roman" w:hAnsi="Times New Roman" w:cs="Times New Roman"/>
          <w:sz w:val="20"/>
          <w:szCs w:val="20"/>
        </w:rPr>
        <w:t xml:space="preserve">, Turk </w:t>
      </w:r>
      <w:proofErr w:type="spellStart"/>
      <w:r w:rsidRPr="009975EA">
        <w:rPr>
          <w:rFonts w:ascii="Times New Roman" w:hAnsi="Times New Roman" w:cs="Times New Roman"/>
          <w:sz w:val="20"/>
          <w:szCs w:val="20"/>
        </w:rPr>
        <w:t>Ticaret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Kanunu</w:t>
      </w:r>
      <w:proofErr w:type="spellEnd"/>
      <w:r w:rsidRPr="009975EA">
        <w:rPr>
          <w:rFonts w:ascii="Times New Roman" w:hAnsi="Times New Roman" w:cs="Times New Roman"/>
          <w:sz w:val="20"/>
          <w:szCs w:val="20"/>
        </w:rPr>
        <w:t>, p. 570.</w:t>
      </w:r>
    </w:p>
  </w:footnote>
  <w:footnote w:id="866">
    <w:p w14:paraId="359497C6" w14:textId="4DDC5F5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111.</w:t>
      </w:r>
    </w:p>
  </w:footnote>
  <w:footnote w:id="867">
    <w:p w14:paraId="14D6AA59"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Hanagasi</w:t>
      </w:r>
      <w:proofErr w:type="spellEnd"/>
      <w:r w:rsidRPr="009975EA">
        <w:rPr>
          <w:rFonts w:ascii="Times New Roman" w:hAnsi="Times New Roman" w:cs="Times New Roman"/>
          <w:sz w:val="20"/>
          <w:szCs w:val="20"/>
        </w:rPr>
        <w:t>, p.212 and 215.</w:t>
      </w:r>
    </w:p>
  </w:footnote>
  <w:footnote w:id="868">
    <w:p w14:paraId="0A51DB06"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Hanagasi</w:t>
      </w:r>
      <w:proofErr w:type="spellEnd"/>
      <w:r w:rsidRPr="009975EA">
        <w:rPr>
          <w:rFonts w:ascii="Times New Roman" w:hAnsi="Times New Roman" w:cs="Times New Roman"/>
          <w:sz w:val="20"/>
          <w:szCs w:val="20"/>
        </w:rPr>
        <w:t>, p. 222. In a case concerning a mandatory share purchase offer under the CML, the court ruled that only minority shareholders who own the shares of the corporation at the time of the share purchases which give raise to a mandatory share purchase offer, can initiate a lawsuit against the purchase offer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2005/923 K. 2006/1567 T. 20/02/2006).</w:t>
      </w:r>
    </w:p>
  </w:footnote>
  <w:footnote w:id="869">
    <w:p w14:paraId="1E4096FA"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Official Comment to TCC Article 531 and Article 166.</w:t>
      </w:r>
    </w:p>
  </w:footnote>
  <w:footnote w:id="870">
    <w:p w14:paraId="2EECCA51" w14:textId="24ABBC5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Tolga</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Ayoglu</w:t>
      </w:r>
      <w:proofErr w:type="spellEnd"/>
      <w:r w:rsidRPr="009975EA">
        <w:rPr>
          <w:rFonts w:ascii="Times New Roman" w:hAnsi="Times New Roman" w:cs="Times New Roman"/>
          <w:sz w:val="20"/>
          <w:szCs w:val="20"/>
        </w:rPr>
        <w:t xml:space="preserve">, </w:t>
      </w:r>
      <w:proofErr w:type="spellStart"/>
      <w:r w:rsidRPr="00D046D3">
        <w:rPr>
          <w:rFonts w:ascii="Times New Roman" w:hAnsi="Times New Roman" w:cs="Times New Roman"/>
          <w:i/>
          <w:sz w:val="20"/>
          <w:szCs w:val="20"/>
        </w:rPr>
        <w:t>Anonim</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Ortakliklarin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Hakli</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Nedenle</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Feshi</w:t>
      </w:r>
      <w:proofErr w:type="spellEnd"/>
      <w:r w:rsidRPr="009975EA">
        <w:rPr>
          <w:rFonts w:ascii="Times New Roman" w:hAnsi="Times New Roman" w:cs="Times New Roman"/>
          <w:sz w:val="20"/>
          <w:szCs w:val="20"/>
        </w:rPr>
        <w:t xml:space="preserve">, Galatasaray </w:t>
      </w:r>
      <w:proofErr w:type="spellStart"/>
      <w:r w:rsidRPr="009975EA">
        <w:rPr>
          <w:rFonts w:ascii="Times New Roman" w:hAnsi="Times New Roman" w:cs="Times New Roman"/>
          <w:sz w:val="20"/>
          <w:szCs w:val="20"/>
        </w:rPr>
        <w:t>Universitesi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Hukuk</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Fakultesi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Dergi</w:t>
      </w:r>
      <w:r>
        <w:rPr>
          <w:rFonts w:ascii="Times New Roman" w:hAnsi="Times New Roman" w:cs="Times New Roman"/>
          <w:sz w:val="20"/>
          <w:szCs w:val="20"/>
        </w:rPr>
        <w:t>si</w:t>
      </w:r>
      <w:proofErr w:type="spellEnd"/>
      <w:r>
        <w:rPr>
          <w:rFonts w:ascii="Times New Roman" w:hAnsi="Times New Roman" w:cs="Times New Roman"/>
          <w:sz w:val="20"/>
          <w:szCs w:val="20"/>
        </w:rPr>
        <w:t xml:space="preserve"> 2013/2 (2013), </w:t>
      </w:r>
      <w:r w:rsidR="00441C92">
        <w:rPr>
          <w:rFonts w:ascii="Times New Roman" w:hAnsi="Times New Roman" w:cs="Times New Roman"/>
          <w:sz w:val="20"/>
          <w:szCs w:val="20"/>
        </w:rPr>
        <w:t>p.</w:t>
      </w:r>
      <w:r>
        <w:rPr>
          <w:rFonts w:ascii="Times New Roman" w:hAnsi="Times New Roman" w:cs="Times New Roman"/>
          <w:sz w:val="20"/>
          <w:szCs w:val="20"/>
        </w:rPr>
        <w:t xml:space="preserve"> </w:t>
      </w:r>
      <w:r w:rsidRPr="009975EA">
        <w:rPr>
          <w:rFonts w:ascii="Times New Roman" w:hAnsi="Times New Roman" w:cs="Times New Roman"/>
          <w:sz w:val="20"/>
          <w:szCs w:val="20"/>
        </w:rPr>
        <w:t>223</w:t>
      </w:r>
      <w:r w:rsidR="004F2083">
        <w:rPr>
          <w:rFonts w:ascii="Times New Roman" w:hAnsi="Times New Roman" w:cs="Times New Roman"/>
          <w:sz w:val="20"/>
          <w:szCs w:val="20"/>
        </w:rPr>
        <w:t xml:space="preserve"> (</w:t>
      </w:r>
      <w:proofErr w:type="spellStart"/>
      <w:r w:rsidR="004F2083">
        <w:rPr>
          <w:rFonts w:ascii="Times New Roman" w:hAnsi="Times New Roman" w:cs="Times New Roman"/>
          <w:sz w:val="20"/>
          <w:szCs w:val="20"/>
        </w:rPr>
        <w:t>Ayoğlu</w:t>
      </w:r>
      <w:proofErr w:type="spellEnd"/>
      <w:r w:rsidR="004F2083">
        <w:rPr>
          <w:rFonts w:ascii="Times New Roman" w:hAnsi="Times New Roman" w:cs="Times New Roman"/>
          <w:sz w:val="20"/>
          <w:szCs w:val="20"/>
        </w:rPr>
        <w:t>, 2013)</w:t>
      </w:r>
      <w:r w:rsidRPr="009975EA">
        <w:rPr>
          <w:rFonts w:ascii="Times New Roman" w:hAnsi="Times New Roman" w:cs="Times New Roman"/>
          <w:sz w:val="20"/>
          <w:szCs w:val="20"/>
        </w:rPr>
        <w:t>.</w:t>
      </w:r>
    </w:p>
  </w:footnote>
  <w:footnote w:id="871">
    <w:p w14:paraId="4D1A4291"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Ian M. Ramsay, p.237.</w:t>
      </w:r>
    </w:p>
  </w:footnote>
  <w:footnote w:id="872">
    <w:p w14:paraId="0F8EA50F" w14:textId="5B98647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Celik</w:t>
      </w:r>
      <w:proofErr w:type="spellEnd"/>
      <w:r w:rsidRPr="009975EA">
        <w:rPr>
          <w:rFonts w:ascii="Times New Roman" w:hAnsi="Times New Roman" w:cs="Times New Roman"/>
          <w:sz w:val="20"/>
          <w:szCs w:val="20"/>
        </w:rPr>
        <w:t xml:space="preserve">, Turk </w:t>
      </w:r>
      <w:proofErr w:type="spellStart"/>
      <w:r w:rsidRPr="009975EA">
        <w:rPr>
          <w:rFonts w:ascii="Times New Roman" w:hAnsi="Times New Roman" w:cs="Times New Roman"/>
          <w:sz w:val="20"/>
          <w:szCs w:val="20"/>
        </w:rPr>
        <w:t>Ticaret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Kanunu</w:t>
      </w:r>
      <w:proofErr w:type="spellEnd"/>
      <w:r w:rsidRPr="009975EA">
        <w:rPr>
          <w:rFonts w:ascii="Times New Roman" w:hAnsi="Times New Roman" w:cs="Times New Roman"/>
          <w:sz w:val="20"/>
          <w:szCs w:val="20"/>
        </w:rPr>
        <w:t>, p. 571.</w:t>
      </w:r>
    </w:p>
  </w:footnote>
  <w:footnote w:id="873">
    <w:p w14:paraId="45A6783B"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p. 7.</w:t>
      </w:r>
    </w:p>
  </w:footnote>
  <w:footnote w:id="874">
    <w:p w14:paraId="4DF51510" w14:textId="4A39FC5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2014/11752 K. 2014/20346 T. 24/12/2014. </w:t>
      </w:r>
    </w:p>
  </w:footnote>
  <w:footnote w:id="875">
    <w:p w14:paraId="7A7B374B" w14:textId="29127F4E" w:rsidR="00D36541" w:rsidRPr="009975EA" w:rsidRDefault="00D36541" w:rsidP="00D046D3">
      <w:pPr>
        <w:pStyle w:val="DipnotMetni"/>
        <w:tabs>
          <w:tab w:val="left" w:pos="5544"/>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Celik</w:t>
      </w:r>
      <w:proofErr w:type="spellEnd"/>
      <w:r w:rsidRPr="009975EA">
        <w:rPr>
          <w:rFonts w:ascii="Times New Roman" w:hAnsi="Times New Roman" w:cs="Times New Roman"/>
          <w:sz w:val="20"/>
          <w:szCs w:val="20"/>
        </w:rPr>
        <w:t xml:space="preserve">, Turk </w:t>
      </w:r>
      <w:proofErr w:type="spellStart"/>
      <w:r w:rsidRPr="009975EA">
        <w:rPr>
          <w:rFonts w:ascii="Times New Roman" w:hAnsi="Times New Roman" w:cs="Times New Roman"/>
          <w:sz w:val="20"/>
          <w:szCs w:val="20"/>
        </w:rPr>
        <w:t>Ticaret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Kanunu</w:t>
      </w:r>
      <w:proofErr w:type="spellEnd"/>
      <w:r w:rsidRPr="009975EA">
        <w:rPr>
          <w:rFonts w:ascii="Times New Roman" w:hAnsi="Times New Roman" w:cs="Times New Roman"/>
          <w:sz w:val="20"/>
          <w:szCs w:val="20"/>
        </w:rPr>
        <w:t>, p. 571.</w:t>
      </w:r>
      <w:r>
        <w:rPr>
          <w:rFonts w:ascii="Times New Roman" w:hAnsi="Times New Roman" w:cs="Times New Roman"/>
          <w:sz w:val="20"/>
          <w:szCs w:val="20"/>
        </w:rPr>
        <w:tab/>
      </w:r>
    </w:p>
  </w:footnote>
  <w:footnote w:id="876">
    <w:p w14:paraId="45EBC984" w14:textId="7B30E71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115. Likewise, in U.S. law, only a few state statutes impose an irreparable injury requirement for “deadlock among shareholders”, which is a ground that authorizes dissolution of the corporation (Thompson, Corporate Dissolution, p.</w:t>
      </w:r>
      <w:r w:rsidR="00441C92">
        <w:rPr>
          <w:rFonts w:ascii="Times New Roman" w:hAnsi="Times New Roman" w:cs="Times New Roman"/>
          <w:sz w:val="20"/>
          <w:szCs w:val="20"/>
        </w:rPr>
        <w:t xml:space="preserve"> </w:t>
      </w:r>
      <w:r w:rsidRPr="009975EA">
        <w:rPr>
          <w:rFonts w:ascii="Times New Roman" w:hAnsi="Times New Roman" w:cs="Times New Roman"/>
          <w:sz w:val="20"/>
          <w:szCs w:val="20"/>
        </w:rPr>
        <w:t>203).</w:t>
      </w:r>
    </w:p>
  </w:footnote>
  <w:footnote w:id="877">
    <w:p w14:paraId="350EE10B" w14:textId="3FCEBAB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Celik</w:t>
      </w:r>
      <w:proofErr w:type="spellEnd"/>
      <w:r w:rsidRPr="009975EA">
        <w:rPr>
          <w:rFonts w:ascii="Times New Roman" w:hAnsi="Times New Roman" w:cs="Times New Roman"/>
          <w:sz w:val="20"/>
          <w:szCs w:val="20"/>
        </w:rPr>
        <w:t xml:space="preserve">, Turk </w:t>
      </w:r>
      <w:proofErr w:type="spellStart"/>
      <w:r w:rsidRPr="009975EA">
        <w:rPr>
          <w:rFonts w:ascii="Times New Roman" w:hAnsi="Times New Roman" w:cs="Times New Roman"/>
          <w:sz w:val="20"/>
          <w:szCs w:val="20"/>
        </w:rPr>
        <w:t>Ticaret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Kanunu</w:t>
      </w:r>
      <w:proofErr w:type="spellEnd"/>
      <w:r w:rsidRPr="009975EA">
        <w:rPr>
          <w:rFonts w:ascii="Times New Roman" w:hAnsi="Times New Roman" w:cs="Times New Roman"/>
          <w:sz w:val="20"/>
          <w:szCs w:val="20"/>
        </w:rPr>
        <w:t>, p. 574.</w:t>
      </w:r>
    </w:p>
  </w:footnote>
  <w:footnote w:id="878">
    <w:p w14:paraId="0D5C33FC" w14:textId="1350EA7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Celik</w:t>
      </w:r>
      <w:proofErr w:type="spellEnd"/>
      <w:r w:rsidRPr="009975EA">
        <w:rPr>
          <w:rFonts w:ascii="Times New Roman" w:hAnsi="Times New Roman" w:cs="Times New Roman"/>
          <w:sz w:val="20"/>
          <w:szCs w:val="20"/>
        </w:rPr>
        <w:t xml:space="preserve">, Turk </w:t>
      </w:r>
      <w:proofErr w:type="spellStart"/>
      <w:r w:rsidRPr="009975EA">
        <w:rPr>
          <w:rFonts w:ascii="Times New Roman" w:hAnsi="Times New Roman" w:cs="Times New Roman"/>
          <w:sz w:val="20"/>
          <w:szCs w:val="20"/>
        </w:rPr>
        <w:t>Ticaret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Kanunu</w:t>
      </w:r>
      <w:proofErr w:type="spellEnd"/>
      <w:r w:rsidRPr="009975EA">
        <w:rPr>
          <w:rFonts w:ascii="Times New Roman" w:hAnsi="Times New Roman" w:cs="Times New Roman"/>
          <w:sz w:val="20"/>
          <w:szCs w:val="20"/>
        </w:rPr>
        <w:t>, p. 575.</w:t>
      </w:r>
    </w:p>
  </w:footnote>
  <w:footnote w:id="879">
    <w:p w14:paraId="5ACF892B"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2014/11752 K. 2014/20346 T. 24/12/2014.</w:t>
      </w:r>
    </w:p>
  </w:footnote>
  <w:footnote w:id="880">
    <w:p w14:paraId="068122B6" w14:textId="645A6711" w:rsidR="00D4380C" w:rsidRPr="0047452F" w:rsidRDefault="00D4380C"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00922BFA">
        <w:rPr>
          <w:rFonts w:ascii="Times New Roman" w:hAnsi="Times New Roman" w:cs="Times New Roman"/>
          <w:sz w:val="20"/>
          <w:szCs w:val="20"/>
        </w:rPr>
        <w:t>After all, w</w:t>
      </w:r>
      <w:r w:rsidR="005A5BC6">
        <w:rPr>
          <w:rFonts w:ascii="Times New Roman" w:hAnsi="Times New Roman" w:cs="Times New Roman"/>
          <w:sz w:val="20"/>
          <w:szCs w:val="20"/>
        </w:rPr>
        <w:t>hen exercising their rights, shareholders need to act in forbearance</w:t>
      </w:r>
      <w:r w:rsidR="00922BFA">
        <w:rPr>
          <w:rFonts w:ascii="Times New Roman" w:hAnsi="Times New Roman" w:cs="Times New Roman"/>
          <w:sz w:val="20"/>
          <w:szCs w:val="20"/>
        </w:rPr>
        <w:t xml:space="preserve"> due to the </w:t>
      </w:r>
      <w:r w:rsidR="005A5BC6">
        <w:rPr>
          <w:rFonts w:ascii="Times New Roman" w:hAnsi="Times New Roman" w:cs="Times New Roman"/>
          <w:sz w:val="20"/>
          <w:szCs w:val="20"/>
        </w:rPr>
        <w:t>duty of good faith</w:t>
      </w:r>
      <w:r w:rsidR="00922BFA">
        <w:rPr>
          <w:rFonts w:ascii="Times New Roman" w:hAnsi="Times New Roman" w:cs="Times New Roman"/>
          <w:sz w:val="20"/>
          <w:szCs w:val="20"/>
        </w:rPr>
        <w:t>,</w:t>
      </w:r>
      <w:r w:rsidR="005A5BC6">
        <w:rPr>
          <w:rFonts w:ascii="Times New Roman" w:hAnsi="Times New Roman" w:cs="Times New Roman"/>
          <w:sz w:val="20"/>
          <w:szCs w:val="20"/>
        </w:rPr>
        <w:t xml:space="preserve"> </w:t>
      </w:r>
      <w:proofErr w:type="spellStart"/>
      <w:r w:rsidR="00922BFA">
        <w:rPr>
          <w:rFonts w:ascii="Times New Roman" w:hAnsi="Times New Roman" w:cs="Times New Roman"/>
          <w:sz w:val="20"/>
          <w:szCs w:val="20"/>
          <w:lang w:val="tr-TR"/>
        </w:rPr>
        <w:t>s</w:t>
      </w:r>
      <w:r w:rsidR="005A5BC6" w:rsidRPr="0047452F">
        <w:rPr>
          <w:rFonts w:ascii="Times New Roman" w:hAnsi="Times New Roman" w:cs="Times New Roman"/>
          <w:sz w:val="20"/>
          <w:szCs w:val="20"/>
          <w:lang w:val="tr-TR"/>
        </w:rPr>
        <w:t>ee</w:t>
      </w:r>
      <w:proofErr w:type="spellEnd"/>
      <w:r w:rsidR="005A5BC6" w:rsidRPr="0047452F">
        <w:rPr>
          <w:rFonts w:ascii="Times New Roman" w:hAnsi="Times New Roman" w:cs="Times New Roman"/>
          <w:sz w:val="20"/>
          <w:szCs w:val="20"/>
          <w:lang w:val="tr-TR"/>
        </w:rPr>
        <w:t xml:space="preserve">, Necla Akdağ Güney, </w:t>
      </w:r>
      <w:r w:rsidR="005A5BC6" w:rsidRPr="0047452F">
        <w:rPr>
          <w:rFonts w:ascii="Times New Roman" w:hAnsi="Times New Roman" w:cs="Times New Roman"/>
          <w:i/>
          <w:iCs/>
          <w:sz w:val="20"/>
          <w:szCs w:val="20"/>
          <w:lang w:val="tr-TR"/>
        </w:rPr>
        <w:t>Anonim Şirketlerde Hakların Sakınılarak Kullanılması İlkesi ve Uygulaması</w:t>
      </w:r>
      <w:r w:rsidR="005A5BC6" w:rsidRPr="0047452F">
        <w:rPr>
          <w:rFonts w:ascii="Times New Roman" w:hAnsi="Times New Roman" w:cs="Times New Roman"/>
          <w:sz w:val="20"/>
          <w:szCs w:val="20"/>
          <w:lang w:val="tr-TR"/>
        </w:rPr>
        <w:t>, Prof. Dr. Hikmet Sami Türk’e Armağan (2017)</w:t>
      </w:r>
      <w:r w:rsidR="00441C92">
        <w:rPr>
          <w:rFonts w:ascii="Times New Roman" w:hAnsi="Times New Roman" w:cs="Times New Roman"/>
          <w:sz w:val="20"/>
          <w:szCs w:val="20"/>
          <w:lang w:val="tr-TR"/>
        </w:rPr>
        <w:t>, p. 45</w:t>
      </w:r>
      <w:r w:rsidR="005A5BC6" w:rsidRPr="0047452F">
        <w:rPr>
          <w:rFonts w:ascii="Times New Roman" w:hAnsi="Times New Roman" w:cs="Times New Roman"/>
          <w:sz w:val="20"/>
          <w:szCs w:val="20"/>
          <w:lang w:val="tr-TR"/>
        </w:rPr>
        <w:t xml:space="preserve">. </w:t>
      </w:r>
    </w:p>
  </w:footnote>
  <w:footnote w:id="881">
    <w:p w14:paraId="46DCD890"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Eker</w:t>
      </w:r>
      <w:proofErr w:type="spellEnd"/>
      <w:r w:rsidRPr="009975EA">
        <w:rPr>
          <w:rFonts w:ascii="Times New Roman" w:hAnsi="Times New Roman" w:cs="Times New Roman"/>
          <w:sz w:val="20"/>
          <w:szCs w:val="20"/>
        </w:rPr>
        <w:t>, p. 121.</w:t>
      </w:r>
    </w:p>
  </w:footnote>
  <w:footnote w:id="882">
    <w:p w14:paraId="216CE34E"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Nomer</w:t>
      </w:r>
      <w:proofErr w:type="spellEnd"/>
      <w:r w:rsidRPr="009975EA">
        <w:rPr>
          <w:rFonts w:ascii="Times New Roman" w:hAnsi="Times New Roman" w:cs="Times New Roman"/>
          <w:sz w:val="20"/>
          <w:szCs w:val="20"/>
        </w:rPr>
        <w:t>, p. 427.</w:t>
      </w:r>
    </w:p>
  </w:footnote>
  <w:footnote w:id="883">
    <w:p w14:paraId="19B6D75C" w14:textId="3F3D35B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Eker</w:t>
      </w:r>
      <w:proofErr w:type="spellEnd"/>
      <w:r w:rsidRPr="009975EA">
        <w:rPr>
          <w:rFonts w:ascii="Times New Roman" w:hAnsi="Times New Roman" w:cs="Times New Roman"/>
          <w:sz w:val="20"/>
          <w:szCs w:val="20"/>
        </w:rPr>
        <w:t>, p. 125.</w:t>
      </w:r>
    </w:p>
  </w:footnote>
  <w:footnote w:id="884">
    <w:p w14:paraId="6B5259AC" w14:textId="108ABB1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Official Comment to TCC Article 339. This being said, some commentators argue that TCC Article 340 explicitly expresses the mandatory nature of the Turkish corporate law</w:t>
      </w:r>
      <w:r w:rsidR="003A192E">
        <w:rPr>
          <w:rFonts w:ascii="Times New Roman" w:hAnsi="Times New Roman" w:cs="Times New Roman"/>
          <w:sz w:val="20"/>
          <w:szCs w:val="20"/>
        </w:rPr>
        <w:t>,</w:t>
      </w:r>
      <w:r w:rsidRPr="009975EA">
        <w:rPr>
          <w:rFonts w:ascii="Times New Roman" w:hAnsi="Times New Roman" w:cs="Times New Roman"/>
          <w:sz w:val="20"/>
          <w:szCs w:val="20"/>
        </w:rPr>
        <w:t xml:space="preserve"> and this fact undermines the contractual nature of the corporations (Ali </w:t>
      </w:r>
      <w:proofErr w:type="spellStart"/>
      <w:r w:rsidRPr="009975EA">
        <w:rPr>
          <w:rFonts w:ascii="Times New Roman" w:hAnsi="Times New Roman" w:cs="Times New Roman"/>
          <w:sz w:val="20"/>
          <w:szCs w:val="20"/>
        </w:rPr>
        <w:t>Pasli</w:t>
      </w:r>
      <w:proofErr w:type="spellEnd"/>
      <w:r w:rsidRPr="009975EA">
        <w:rPr>
          <w:rFonts w:ascii="Times New Roman" w:hAnsi="Times New Roman" w:cs="Times New Roman"/>
          <w:sz w:val="20"/>
          <w:szCs w:val="20"/>
        </w:rPr>
        <w:t xml:space="preserve">, </w:t>
      </w:r>
      <w:r w:rsidRPr="00D046D3">
        <w:rPr>
          <w:rFonts w:ascii="Times New Roman" w:hAnsi="Times New Roman" w:cs="Times New Roman"/>
          <w:i/>
          <w:sz w:val="20"/>
          <w:szCs w:val="20"/>
        </w:rPr>
        <w:t xml:space="preserve">Yeni Turk </w:t>
      </w:r>
      <w:proofErr w:type="spellStart"/>
      <w:r w:rsidRPr="00D046D3">
        <w:rPr>
          <w:rFonts w:ascii="Times New Roman" w:hAnsi="Times New Roman" w:cs="Times New Roman"/>
          <w:i/>
          <w:sz w:val="20"/>
          <w:szCs w:val="20"/>
        </w:rPr>
        <w:t>Ticaret</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Kanunu</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Anonim</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Ortaklik</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Hukumlerinin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Tanitilmasi</w:t>
      </w:r>
      <w:proofErr w:type="spellEnd"/>
      <w:r w:rsidRPr="00D046D3">
        <w:rPr>
          <w:rFonts w:ascii="Times New Roman" w:hAnsi="Times New Roman" w:cs="Times New Roman"/>
          <w:i/>
          <w:sz w:val="20"/>
          <w:szCs w:val="20"/>
        </w:rPr>
        <w:t xml:space="preserve"> (II) YTK </w:t>
      </w:r>
      <w:proofErr w:type="spellStart"/>
      <w:r w:rsidRPr="00D046D3">
        <w:rPr>
          <w:rFonts w:ascii="Times New Roman" w:hAnsi="Times New Roman" w:cs="Times New Roman"/>
          <w:i/>
          <w:sz w:val="20"/>
          <w:szCs w:val="20"/>
        </w:rPr>
        <w:t>Kitap</w:t>
      </w:r>
      <w:proofErr w:type="spellEnd"/>
      <w:r w:rsidRPr="00D046D3">
        <w:rPr>
          <w:rFonts w:ascii="Times New Roman" w:hAnsi="Times New Roman" w:cs="Times New Roman"/>
          <w:i/>
          <w:sz w:val="20"/>
          <w:szCs w:val="20"/>
        </w:rPr>
        <w:t xml:space="preserve"> 2- </w:t>
      </w:r>
      <w:proofErr w:type="spellStart"/>
      <w:r w:rsidRPr="00D046D3">
        <w:rPr>
          <w:rFonts w:ascii="Times New Roman" w:hAnsi="Times New Roman" w:cs="Times New Roman"/>
          <w:i/>
          <w:sz w:val="20"/>
          <w:szCs w:val="20"/>
        </w:rPr>
        <w:t>Kisim</w:t>
      </w:r>
      <w:proofErr w:type="spellEnd"/>
      <w:r w:rsidRPr="00D046D3">
        <w:rPr>
          <w:rFonts w:ascii="Times New Roman" w:hAnsi="Times New Roman" w:cs="Times New Roman"/>
          <w:i/>
          <w:sz w:val="20"/>
          <w:szCs w:val="20"/>
        </w:rPr>
        <w:t xml:space="preserve"> 4- </w:t>
      </w:r>
      <w:proofErr w:type="spellStart"/>
      <w:r w:rsidRPr="00D046D3">
        <w:rPr>
          <w:rFonts w:ascii="Times New Roman" w:hAnsi="Times New Roman" w:cs="Times New Roman"/>
          <w:i/>
          <w:sz w:val="20"/>
          <w:szCs w:val="20"/>
        </w:rPr>
        <w:t>Bolum</w:t>
      </w:r>
      <w:proofErr w:type="spellEnd"/>
      <w:r w:rsidRPr="00D046D3">
        <w:rPr>
          <w:rFonts w:ascii="Times New Roman" w:hAnsi="Times New Roman" w:cs="Times New Roman"/>
          <w:i/>
          <w:sz w:val="20"/>
          <w:szCs w:val="20"/>
        </w:rPr>
        <w:t xml:space="preserve"> 1 “</w:t>
      </w:r>
      <w:proofErr w:type="spellStart"/>
      <w:r w:rsidRPr="00D046D3">
        <w:rPr>
          <w:rFonts w:ascii="Times New Roman" w:hAnsi="Times New Roman" w:cs="Times New Roman"/>
          <w:i/>
          <w:sz w:val="20"/>
          <w:szCs w:val="20"/>
        </w:rPr>
        <w:t>Kurulusa</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Iliksin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Sisteme</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Yonelik</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Temel</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Degisiklikler</w:t>
      </w:r>
      <w:proofErr w:type="spellEnd"/>
      <w:r w:rsidRPr="00D046D3">
        <w:rPr>
          <w:rFonts w:ascii="Times New Roman" w:hAnsi="Times New Roman" w:cs="Times New Roman"/>
          <w:i/>
          <w:sz w:val="20"/>
          <w:szCs w:val="20"/>
        </w:rPr>
        <w:t xml:space="preserve"> ve </w:t>
      </w:r>
      <w:proofErr w:type="spellStart"/>
      <w:r w:rsidRPr="00D046D3">
        <w:rPr>
          <w:rFonts w:ascii="Times New Roman" w:hAnsi="Times New Roman" w:cs="Times New Roman"/>
          <w:i/>
          <w:sz w:val="20"/>
          <w:szCs w:val="20"/>
        </w:rPr>
        <w:t>Kurulus</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Islemleri</w:t>
      </w:r>
      <w:proofErr w:type="spellEnd"/>
      <w:r w:rsidRPr="00D046D3">
        <w:rPr>
          <w:rFonts w:ascii="Times New Roman" w:hAnsi="Times New Roman" w:cs="Times New Roman"/>
          <w:i/>
          <w:sz w:val="20"/>
          <w:szCs w:val="20"/>
        </w:rPr>
        <w:t>”,</w:t>
      </w:r>
      <w:r w:rsidRPr="009975EA">
        <w:rPr>
          <w:rFonts w:ascii="Times New Roman" w:hAnsi="Times New Roman" w:cs="Times New Roman"/>
          <w:sz w:val="20"/>
          <w:szCs w:val="20"/>
        </w:rPr>
        <w:t xml:space="preserve"> 28 </w:t>
      </w:r>
      <w:r>
        <w:rPr>
          <w:rFonts w:ascii="Times New Roman" w:hAnsi="Times New Roman" w:cs="Times New Roman"/>
          <w:sz w:val="20"/>
          <w:szCs w:val="20"/>
        </w:rPr>
        <w:t xml:space="preserve">Banka </w:t>
      </w:r>
      <w:proofErr w:type="spellStart"/>
      <w:r>
        <w:rPr>
          <w:rFonts w:ascii="Times New Roman" w:hAnsi="Times New Roman" w:cs="Times New Roman"/>
          <w:sz w:val="20"/>
          <w:szCs w:val="20"/>
        </w:rPr>
        <w:t>Huk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141 (2012), at </w:t>
      </w:r>
      <w:r w:rsidRPr="009975EA">
        <w:rPr>
          <w:rFonts w:ascii="Times New Roman" w:hAnsi="Times New Roman" w:cs="Times New Roman"/>
          <w:sz w:val="20"/>
          <w:szCs w:val="20"/>
        </w:rPr>
        <w:t>170). Some others state that the fact that corporations can be established by just one shareholder undermines the contractual nature, at least for those kinds of corporations (</w:t>
      </w:r>
      <w:proofErr w:type="spellStart"/>
      <w:r w:rsidRPr="009975EA">
        <w:rPr>
          <w:rFonts w:ascii="Times New Roman" w:hAnsi="Times New Roman" w:cs="Times New Roman"/>
          <w:sz w:val="20"/>
          <w:szCs w:val="20"/>
        </w:rPr>
        <w:t>Feyzan</w:t>
      </w:r>
      <w:proofErr w:type="spellEnd"/>
      <w:r w:rsidRPr="009975EA">
        <w:rPr>
          <w:rFonts w:ascii="Times New Roman" w:hAnsi="Times New Roman" w:cs="Times New Roman"/>
          <w:sz w:val="20"/>
          <w:szCs w:val="20"/>
        </w:rPr>
        <w:t xml:space="preserve"> H. </w:t>
      </w:r>
      <w:proofErr w:type="spellStart"/>
      <w:r w:rsidRPr="009975EA">
        <w:rPr>
          <w:rFonts w:ascii="Times New Roman" w:hAnsi="Times New Roman" w:cs="Times New Roman"/>
          <w:sz w:val="20"/>
          <w:szCs w:val="20"/>
        </w:rPr>
        <w:t>Sehirali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Celik</w:t>
      </w:r>
      <w:proofErr w:type="spellEnd"/>
      <w:r w:rsidRPr="009975EA">
        <w:rPr>
          <w:rFonts w:ascii="Times New Roman" w:hAnsi="Times New Roman" w:cs="Times New Roman"/>
          <w:sz w:val="20"/>
          <w:szCs w:val="20"/>
        </w:rPr>
        <w:t xml:space="preserve">, </w:t>
      </w:r>
      <w:proofErr w:type="spellStart"/>
      <w:r w:rsidRPr="00D046D3">
        <w:rPr>
          <w:rFonts w:ascii="Times New Roman" w:hAnsi="Times New Roman" w:cs="Times New Roman"/>
          <w:i/>
          <w:sz w:val="20"/>
          <w:szCs w:val="20"/>
        </w:rPr>
        <w:t>Hukukun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Ekonomik</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Gerceklige</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Yaniti</w:t>
      </w:r>
      <w:proofErr w:type="spellEnd"/>
      <w:r w:rsidRPr="00D046D3">
        <w:rPr>
          <w:rFonts w:ascii="Times New Roman" w:hAnsi="Times New Roman" w:cs="Times New Roman"/>
          <w:i/>
          <w:sz w:val="20"/>
          <w:szCs w:val="20"/>
        </w:rPr>
        <w:t xml:space="preserve">: Tek </w:t>
      </w:r>
      <w:proofErr w:type="spellStart"/>
      <w:r w:rsidRPr="00D046D3">
        <w:rPr>
          <w:rFonts w:ascii="Times New Roman" w:hAnsi="Times New Roman" w:cs="Times New Roman"/>
          <w:i/>
          <w:sz w:val="20"/>
          <w:szCs w:val="20"/>
        </w:rPr>
        <w:t>Kisilik</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Sirketler</w:t>
      </w:r>
      <w:proofErr w:type="spellEnd"/>
      <w:r w:rsidRPr="00D046D3">
        <w:rPr>
          <w:rFonts w:ascii="Times New Roman" w:hAnsi="Times New Roman" w:cs="Times New Roman"/>
          <w:i/>
          <w:sz w:val="20"/>
          <w:szCs w:val="20"/>
        </w:rPr>
        <w:t>,</w:t>
      </w:r>
      <w:r w:rsidRPr="009975EA">
        <w:rPr>
          <w:rFonts w:ascii="Times New Roman" w:hAnsi="Times New Roman" w:cs="Times New Roman"/>
          <w:sz w:val="20"/>
          <w:szCs w:val="20"/>
        </w:rPr>
        <w:t xml:space="preserve"> 24 B</w:t>
      </w:r>
      <w:r>
        <w:rPr>
          <w:rFonts w:ascii="Times New Roman" w:hAnsi="Times New Roman" w:cs="Times New Roman"/>
          <w:sz w:val="20"/>
          <w:szCs w:val="20"/>
        </w:rPr>
        <w:t xml:space="preserve">anka </w:t>
      </w:r>
      <w:proofErr w:type="spellStart"/>
      <w:r>
        <w:rPr>
          <w:rFonts w:ascii="Times New Roman" w:hAnsi="Times New Roman" w:cs="Times New Roman"/>
          <w:sz w:val="20"/>
          <w:szCs w:val="20"/>
        </w:rPr>
        <w:t>Huk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163 (2008)</w:t>
      </w:r>
      <w:r w:rsidR="00441C92">
        <w:rPr>
          <w:rFonts w:ascii="Times New Roman" w:hAnsi="Times New Roman" w:cs="Times New Roman"/>
          <w:sz w:val="20"/>
          <w:szCs w:val="20"/>
        </w:rPr>
        <w:t xml:space="preserve"> p. </w:t>
      </w:r>
      <w:r w:rsidRPr="009975EA">
        <w:rPr>
          <w:rFonts w:ascii="Times New Roman" w:hAnsi="Times New Roman" w:cs="Times New Roman"/>
          <w:sz w:val="20"/>
          <w:szCs w:val="20"/>
        </w:rPr>
        <w:t>175).</w:t>
      </w:r>
    </w:p>
  </w:footnote>
  <w:footnote w:id="885">
    <w:p w14:paraId="5146FC5E"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Karasu, p. 116.</w:t>
      </w:r>
    </w:p>
  </w:footnote>
  <w:footnote w:id="886">
    <w:p w14:paraId="71716921" w14:textId="21A4387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Eker</w:t>
      </w:r>
      <w:proofErr w:type="spellEnd"/>
      <w:r w:rsidRPr="009975EA">
        <w:rPr>
          <w:rFonts w:ascii="Times New Roman" w:hAnsi="Times New Roman" w:cs="Times New Roman"/>
          <w:sz w:val="20"/>
          <w:szCs w:val="20"/>
        </w:rPr>
        <w:t>, p. 115.</w:t>
      </w:r>
    </w:p>
  </w:footnote>
  <w:footnote w:id="887">
    <w:p w14:paraId="6DFA798C"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the validity of shareholders’ agreement restricting a corporation’s exercise of statutory powers, see generally; </w:t>
      </w:r>
      <w:proofErr w:type="spellStart"/>
      <w:r w:rsidRPr="009975EA">
        <w:rPr>
          <w:rFonts w:ascii="Times New Roman" w:hAnsi="Times New Roman" w:cs="Times New Roman"/>
          <w:sz w:val="20"/>
          <w:szCs w:val="20"/>
        </w:rPr>
        <w:t>Ferran</w:t>
      </w:r>
      <w:proofErr w:type="spellEnd"/>
      <w:r w:rsidRPr="009975EA">
        <w:rPr>
          <w:rFonts w:ascii="Times New Roman" w:hAnsi="Times New Roman" w:cs="Times New Roman"/>
          <w:sz w:val="20"/>
          <w:szCs w:val="20"/>
        </w:rPr>
        <w:t>, The Decision of the House of Lords in Russell v. Northern Bank Development Corporation Limited.</w:t>
      </w:r>
    </w:p>
  </w:footnote>
  <w:footnote w:id="888">
    <w:p w14:paraId="3D15E340"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Oruc</w:t>
      </w:r>
      <w:proofErr w:type="spellEnd"/>
      <w:r w:rsidRPr="009975EA">
        <w:rPr>
          <w:rFonts w:ascii="Times New Roman" w:hAnsi="Times New Roman" w:cs="Times New Roman"/>
          <w:sz w:val="20"/>
          <w:szCs w:val="20"/>
        </w:rPr>
        <w:t>, p. 217.</w:t>
      </w:r>
    </w:p>
  </w:footnote>
  <w:footnote w:id="889">
    <w:p w14:paraId="0BBBDD9A"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a general </w:t>
      </w:r>
      <w:proofErr w:type="spellStart"/>
      <w:r w:rsidRPr="009975EA">
        <w:rPr>
          <w:rFonts w:ascii="Times New Roman" w:hAnsi="Times New Roman" w:cs="Times New Roman"/>
          <w:sz w:val="20"/>
          <w:szCs w:val="20"/>
        </w:rPr>
        <w:t>evalution</w:t>
      </w:r>
      <w:proofErr w:type="spellEnd"/>
      <w:r w:rsidRPr="009975EA">
        <w:rPr>
          <w:rFonts w:ascii="Times New Roman" w:hAnsi="Times New Roman" w:cs="Times New Roman"/>
          <w:sz w:val="20"/>
          <w:szCs w:val="20"/>
        </w:rPr>
        <w:t xml:space="preserve"> of the mandatory nature of TCC, see, Karasu, p.117- 118. </w:t>
      </w:r>
    </w:p>
  </w:footnote>
  <w:footnote w:id="890">
    <w:p w14:paraId="41311E22" w14:textId="12324BE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As case law suggests, statutory provisions that deal with minority shareholders’ appraisal rights in publicly traded corporations h</w:t>
      </w:r>
      <w:r>
        <w:rPr>
          <w:rFonts w:ascii="Times New Roman" w:hAnsi="Times New Roman" w:cs="Times New Roman"/>
          <w:sz w:val="20"/>
          <w:szCs w:val="20"/>
        </w:rPr>
        <w:t>as a public policy aspect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2003/3498 K. 2003/10556 T. 07/11/2003).</w:t>
      </w:r>
    </w:p>
  </w:footnote>
  <w:footnote w:id="891">
    <w:p w14:paraId="77B9FFEC" w14:textId="1B277790" w:rsidR="003A192E" w:rsidRPr="0047452F" w:rsidRDefault="003A192E">
      <w:pPr>
        <w:pStyle w:val="DipnotMetni"/>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proofErr w:type="spellStart"/>
      <w:r w:rsidR="00805BA7" w:rsidRPr="0047452F">
        <w:rPr>
          <w:rFonts w:ascii="Times New Roman" w:hAnsi="Times New Roman" w:cs="Times New Roman"/>
          <w:sz w:val="20"/>
          <w:szCs w:val="20"/>
        </w:rPr>
        <w:t>Tekinalp</w:t>
      </w:r>
      <w:proofErr w:type="spellEnd"/>
      <w:r w:rsidR="00805BA7" w:rsidRPr="0047452F">
        <w:rPr>
          <w:rFonts w:ascii="Times New Roman" w:hAnsi="Times New Roman" w:cs="Times New Roman"/>
          <w:sz w:val="20"/>
          <w:szCs w:val="20"/>
        </w:rPr>
        <w:t>, p. 336.</w:t>
      </w:r>
    </w:p>
  </w:footnote>
  <w:footnote w:id="892">
    <w:p w14:paraId="145DD93E" w14:textId="02E393C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However, the Official Comment to TCC Article 531 states that it can be lowered. For the debates on this issue, see, </w:t>
      </w:r>
      <w:proofErr w:type="spellStart"/>
      <w:r w:rsidRPr="009975EA">
        <w:rPr>
          <w:rFonts w:ascii="Times New Roman" w:hAnsi="Times New Roman" w:cs="Times New Roman"/>
          <w:sz w:val="20"/>
          <w:szCs w:val="20"/>
        </w:rPr>
        <w:t>Emel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Hanagasi</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Anonim</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Ortakligin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Hakli</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Sebeple</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Feshi</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Davasinin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Medeni</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Usul</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Hukuku</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Perspektifinden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Degerlendirilmesi</w:t>
      </w:r>
      <w:proofErr w:type="spellEnd"/>
      <w:r w:rsidRPr="009975EA">
        <w:rPr>
          <w:rFonts w:ascii="Times New Roman" w:hAnsi="Times New Roman" w:cs="Times New Roman"/>
          <w:sz w:val="20"/>
          <w:szCs w:val="20"/>
        </w:rPr>
        <w:t>, 32 B</w:t>
      </w:r>
      <w:r>
        <w:rPr>
          <w:rFonts w:ascii="Times New Roman" w:hAnsi="Times New Roman" w:cs="Times New Roman"/>
          <w:sz w:val="20"/>
          <w:szCs w:val="20"/>
        </w:rPr>
        <w:t xml:space="preserve">anka </w:t>
      </w:r>
      <w:proofErr w:type="spellStart"/>
      <w:r>
        <w:rPr>
          <w:rFonts w:ascii="Times New Roman" w:hAnsi="Times New Roman" w:cs="Times New Roman"/>
          <w:sz w:val="20"/>
          <w:szCs w:val="20"/>
        </w:rPr>
        <w:t>Huk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Dergisi</w:t>
      </w:r>
      <w:proofErr w:type="spellEnd"/>
      <w:r>
        <w:rPr>
          <w:rFonts w:ascii="Times New Roman" w:hAnsi="Times New Roman" w:cs="Times New Roman"/>
          <w:sz w:val="20"/>
          <w:szCs w:val="20"/>
        </w:rPr>
        <w:t xml:space="preserve"> 199 (2016), at </w:t>
      </w:r>
      <w:r w:rsidRPr="009975EA">
        <w:rPr>
          <w:rFonts w:ascii="Times New Roman" w:hAnsi="Times New Roman" w:cs="Times New Roman"/>
          <w:sz w:val="20"/>
          <w:szCs w:val="20"/>
        </w:rPr>
        <w:t>212.</w:t>
      </w:r>
    </w:p>
  </w:footnote>
  <w:footnote w:id="893">
    <w:p w14:paraId="6F63DFA9"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This “frivolousness” </w:t>
      </w:r>
      <w:proofErr w:type="gramStart"/>
      <w:r w:rsidRPr="009975EA">
        <w:rPr>
          <w:rFonts w:ascii="Times New Roman" w:hAnsi="Times New Roman" w:cs="Times New Roman"/>
          <w:sz w:val="20"/>
          <w:szCs w:val="20"/>
        </w:rPr>
        <w:t>do</w:t>
      </w:r>
      <w:proofErr w:type="gramEnd"/>
      <w:r w:rsidRPr="009975EA">
        <w:rPr>
          <w:rFonts w:ascii="Times New Roman" w:hAnsi="Times New Roman" w:cs="Times New Roman"/>
          <w:sz w:val="20"/>
          <w:szCs w:val="20"/>
        </w:rPr>
        <w:t xml:space="preserve"> contain the concerns of both minority’s abuse of power and the </w:t>
      </w:r>
      <w:proofErr w:type="spellStart"/>
      <w:r w:rsidRPr="009975EA">
        <w:rPr>
          <w:rFonts w:ascii="Times New Roman" w:hAnsi="Times New Roman" w:cs="Times New Roman"/>
          <w:sz w:val="20"/>
          <w:szCs w:val="20"/>
        </w:rPr>
        <w:t>initation</w:t>
      </w:r>
      <w:proofErr w:type="spellEnd"/>
      <w:r w:rsidRPr="009975EA">
        <w:rPr>
          <w:rFonts w:ascii="Times New Roman" w:hAnsi="Times New Roman" w:cs="Times New Roman"/>
          <w:sz w:val="20"/>
          <w:szCs w:val="20"/>
        </w:rPr>
        <w:t xml:space="preserve"> of the lawsuit rather than exercising other shareholders which can easily cure the dissension (</w:t>
      </w:r>
      <w:proofErr w:type="spellStart"/>
      <w:r w:rsidRPr="009975EA">
        <w:rPr>
          <w:rFonts w:ascii="Times New Roman" w:hAnsi="Times New Roman" w:cs="Times New Roman"/>
          <w:sz w:val="20"/>
          <w:szCs w:val="20"/>
        </w:rPr>
        <w:t>Oruc</w:t>
      </w:r>
      <w:proofErr w:type="spellEnd"/>
      <w:r w:rsidRPr="009975EA">
        <w:rPr>
          <w:rFonts w:ascii="Times New Roman" w:hAnsi="Times New Roman" w:cs="Times New Roman"/>
          <w:sz w:val="20"/>
          <w:szCs w:val="20"/>
        </w:rPr>
        <w:t>, p.215 and 218).</w:t>
      </w:r>
    </w:p>
  </w:footnote>
  <w:footnote w:id="894">
    <w:p w14:paraId="658842D0"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1979/2160 K. 1979/3061 T. 07/06/1979.</w:t>
      </w:r>
    </w:p>
  </w:footnote>
  <w:footnote w:id="895">
    <w:p w14:paraId="37781F79" w14:textId="1D1F2D1C" w:rsidR="00D36541" w:rsidRPr="009975EA" w:rsidRDefault="00D36541" w:rsidP="00D046D3">
      <w:pPr>
        <w:pStyle w:val="DipnotMetni"/>
        <w:tabs>
          <w:tab w:val="left" w:pos="2664"/>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Ayoglu</w:t>
      </w:r>
      <w:proofErr w:type="spellEnd"/>
      <w:r w:rsidRPr="009975EA">
        <w:rPr>
          <w:rFonts w:ascii="Times New Roman" w:hAnsi="Times New Roman" w:cs="Times New Roman"/>
          <w:sz w:val="20"/>
          <w:szCs w:val="20"/>
        </w:rPr>
        <w:t>,</w:t>
      </w:r>
      <w:r w:rsidR="004F2083">
        <w:rPr>
          <w:rFonts w:ascii="Times New Roman" w:hAnsi="Times New Roman" w:cs="Times New Roman"/>
          <w:sz w:val="20"/>
          <w:szCs w:val="20"/>
        </w:rPr>
        <w:t xml:space="preserve"> 2013,</w:t>
      </w:r>
      <w:r w:rsidRPr="009975EA">
        <w:rPr>
          <w:rFonts w:ascii="Times New Roman" w:hAnsi="Times New Roman" w:cs="Times New Roman"/>
          <w:sz w:val="20"/>
          <w:szCs w:val="20"/>
        </w:rPr>
        <w:t xml:space="preserve"> p. 226.</w:t>
      </w:r>
      <w:r>
        <w:rPr>
          <w:rFonts w:ascii="Times New Roman" w:hAnsi="Times New Roman" w:cs="Times New Roman"/>
          <w:sz w:val="20"/>
          <w:szCs w:val="20"/>
        </w:rPr>
        <w:tab/>
      </w:r>
    </w:p>
  </w:footnote>
  <w:footnote w:id="896">
    <w:p w14:paraId="165C2CBE"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Celik</w:t>
      </w:r>
      <w:proofErr w:type="spellEnd"/>
      <w:r w:rsidRPr="009975EA">
        <w:rPr>
          <w:rFonts w:ascii="Times New Roman" w:hAnsi="Times New Roman" w:cs="Times New Roman"/>
          <w:sz w:val="20"/>
          <w:szCs w:val="20"/>
        </w:rPr>
        <w:t xml:space="preserve">, Turk </w:t>
      </w:r>
      <w:proofErr w:type="spellStart"/>
      <w:r w:rsidRPr="009975EA">
        <w:rPr>
          <w:rFonts w:ascii="Times New Roman" w:hAnsi="Times New Roman" w:cs="Times New Roman"/>
          <w:sz w:val="20"/>
          <w:szCs w:val="20"/>
        </w:rPr>
        <w:t>Ticaret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Kanunu</w:t>
      </w:r>
      <w:proofErr w:type="spellEnd"/>
      <w:r w:rsidRPr="009975EA">
        <w:rPr>
          <w:rFonts w:ascii="Times New Roman" w:hAnsi="Times New Roman" w:cs="Times New Roman"/>
          <w:sz w:val="20"/>
          <w:szCs w:val="20"/>
        </w:rPr>
        <w:t>, p.570.</w:t>
      </w:r>
    </w:p>
  </w:footnote>
  <w:footnote w:id="897">
    <w:p w14:paraId="692D28F2"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Articles of incorporation can include a term regarding dissolution on just cause, see,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1979/2160 K. 1979/3061 T.07/06/1979.</w:t>
      </w:r>
    </w:p>
  </w:footnote>
  <w:footnote w:id="898">
    <w:p w14:paraId="0488C766" w14:textId="5CF5754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TTK Article 529.</w:t>
      </w:r>
    </w:p>
  </w:footnote>
  <w:footnote w:id="899">
    <w:p w14:paraId="171BA522" w14:textId="0018AED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H.G.K. E. 2013/752 K. 2013/752 T. 22/05/2013: “Whether a contract is in violation of mandatory rules would be determined considering the whole legal system. Consequently, while an unlawfulness might appear as a violation of criminal law statutes or statutes that prohibit actions that may injure others, it might also appear as a violation of a statutory provision in the field of private law.”</w:t>
      </w:r>
    </w:p>
  </w:footnote>
  <w:footnote w:id="900">
    <w:p w14:paraId="76A74E25"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California </w:t>
      </w:r>
      <w:proofErr w:type="spellStart"/>
      <w:r w:rsidRPr="009975EA">
        <w:rPr>
          <w:rFonts w:ascii="Times New Roman" w:hAnsi="Times New Roman" w:cs="Times New Roman"/>
          <w:sz w:val="20"/>
          <w:szCs w:val="20"/>
        </w:rPr>
        <w:t>statutorily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bars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agreements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from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waiving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involuntary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dissolution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rights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Cal. </w:t>
      </w:r>
      <w:proofErr w:type="spellStart"/>
      <w:r w:rsidRPr="009975EA">
        <w:rPr>
          <w:rFonts w:ascii="Times New Roman" w:hAnsi="Times New Roman" w:cs="Times New Roman"/>
          <w:sz w:val="20"/>
          <w:szCs w:val="20"/>
        </w:rPr>
        <w:t>Corp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Code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Sec</w:t>
      </w:r>
      <w:proofErr w:type="spellEnd"/>
      <w:r w:rsidRPr="009975EA">
        <w:rPr>
          <w:rFonts w:ascii="Times New Roman" w:hAnsi="Times New Roman" w:cs="Times New Roman"/>
          <w:sz w:val="20"/>
          <w:szCs w:val="20"/>
        </w:rPr>
        <w:t xml:space="preserve">. 300(c). On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hand</w:t>
      </w:r>
      <w:proofErr w:type="spellEnd"/>
      <w:r w:rsidRPr="009975EA">
        <w:rPr>
          <w:rFonts w:ascii="Times New Roman" w:hAnsi="Times New Roman" w:cs="Times New Roman"/>
          <w:sz w:val="20"/>
          <w:szCs w:val="20"/>
        </w:rPr>
        <w:t xml:space="preserve">, in Arizona; </w:t>
      </w:r>
      <w:proofErr w:type="spellStart"/>
      <w:r w:rsidRPr="009975EA">
        <w:rPr>
          <w:rFonts w:ascii="Times New Roman" w:hAnsi="Times New Roman" w:cs="Times New Roman"/>
          <w:sz w:val="20"/>
          <w:szCs w:val="20"/>
        </w:rPr>
        <w:t>although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Arizona </w:t>
      </w:r>
      <w:proofErr w:type="spellStart"/>
      <w:r w:rsidRPr="009975EA">
        <w:rPr>
          <w:rFonts w:ascii="Times New Roman" w:hAnsi="Times New Roman" w:cs="Times New Roman"/>
          <w:sz w:val="20"/>
          <w:szCs w:val="20"/>
        </w:rPr>
        <w:t>Revised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Statutes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Title</w:t>
      </w:r>
      <w:proofErr w:type="spellEnd"/>
      <w:r w:rsidRPr="009975EA">
        <w:rPr>
          <w:rFonts w:ascii="Times New Roman" w:hAnsi="Times New Roman" w:cs="Times New Roman"/>
          <w:sz w:val="20"/>
          <w:szCs w:val="20"/>
        </w:rPr>
        <w:t xml:space="preserve"> 10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Associations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accepts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oppression</w:t>
      </w:r>
      <w:proofErr w:type="spellEnd"/>
      <w:r w:rsidRPr="009975EA">
        <w:rPr>
          <w:rFonts w:ascii="Times New Roman" w:hAnsi="Times New Roman" w:cs="Times New Roman"/>
          <w:sz w:val="20"/>
          <w:szCs w:val="20"/>
        </w:rPr>
        <w:t xml:space="preserve"> as a </w:t>
      </w:r>
      <w:proofErr w:type="spellStart"/>
      <w:r w:rsidRPr="009975EA">
        <w:rPr>
          <w:rFonts w:ascii="Times New Roman" w:hAnsi="Times New Roman" w:cs="Times New Roman"/>
          <w:sz w:val="20"/>
          <w:szCs w:val="20"/>
        </w:rPr>
        <w:t>ground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judicial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dissolution</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Sec</w:t>
      </w:r>
      <w:proofErr w:type="spellEnd"/>
      <w:r w:rsidRPr="009975EA">
        <w:rPr>
          <w:rFonts w:ascii="Times New Roman" w:hAnsi="Times New Roman" w:cs="Times New Roman"/>
          <w:sz w:val="20"/>
          <w:szCs w:val="20"/>
        </w:rPr>
        <w:t xml:space="preserve">. 10-1430, it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permits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agreements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modifying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oppression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proceedings</w:t>
      </w:r>
      <w:proofErr w:type="spellEnd"/>
      <w:r w:rsidRPr="009975EA">
        <w:rPr>
          <w:rFonts w:ascii="Times New Roman" w:hAnsi="Times New Roman" w:cs="Times New Roman"/>
          <w:sz w:val="20"/>
          <w:szCs w:val="20"/>
        </w:rPr>
        <w:t xml:space="preserve">: “An </w:t>
      </w:r>
      <w:proofErr w:type="spellStart"/>
      <w:r w:rsidRPr="009975EA">
        <w:rPr>
          <w:rFonts w:ascii="Times New Roman" w:hAnsi="Times New Roman" w:cs="Times New Roman"/>
          <w:sz w:val="20"/>
          <w:szCs w:val="20"/>
        </w:rPr>
        <w:t>agreement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among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of a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that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complies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section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if</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effective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among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even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though</w:t>
      </w:r>
      <w:proofErr w:type="spellEnd"/>
      <w:r w:rsidRPr="009975EA">
        <w:rPr>
          <w:rFonts w:ascii="Times New Roman" w:hAnsi="Times New Roman" w:cs="Times New Roman"/>
          <w:sz w:val="20"/>
          <w:szCs w:val="20"/>
        </w:rPr>
        <w:t xml:space="preserve"> it is </w:t>
      </w:r>
      <w:proofErr w:type="spellStart"/>
      <w:r w:rsidRPr="009975EA">
        <w:rPr>
          <w:rFonts w:ascii="Times New Roman" w:hAnsi="Times New Roman" w:cs="Times New Roman"/>
          <w:sz w:val="20"/>
          <w:szCs w:val="20"/>
        </w:rPr>
        <w:t>inconsistent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more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other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provisions</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chapters</w:t>
      </w:r>
      <w:proofErr w:type="spellEnd"/>
      <w:r w:rsidRPr="009975EA">
        <w:rPr>
          <w:rFonts w:ascii="Times New Roman" w:hAnsi="Times New Roman" w:cs="Times New Roman"/>
          <w:sz w:val="20"/>
          <w:szCs w:val="20"/>
        </w:rPr>
        <w:t xml:space="preserve"> 1 </w:t>
      </w:r>
      <w:proofErr w:type="spellStart"/>
      <w:r w:rsidRPr="009975EA">
        <w:rPr>
          <w:rFonts w:ascii="Times New Roman" w:hAnsi="Times New Roman" w:cs="Times New Roman"/>
          <w:sz w:val="20"/>
          <w:szCs w:val="20"/>
        </w:rPr>
        <w:t>through</w:t>
      </w:r>
      <w:proofErr w:type="spellEnd"/>
      <w:r w:rsidRPr="009975EA">
        <w:rPr>
          <w:rFonts w:ascii="Times New Roman" w:hAnsi="Times New Roman" w:cs="Times New Roman"/>
          <w:sz w:val="20"/>
          <w:szCs w:val="20"/>
        </w:rPr>
        <w:t xml:space="preserve"> 17 of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title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if</w:t>
      </w:r>
      <w:proofErr w:type="spellEnd"/>
      <w:r w:rsidRPr="009975EA">
        <w:rPr>
          <w:rFonts w:ascii="Times New Roman" w:hAnsi="Times New Roman" w:cs="Times New Roman"/>
          <w:sz w:val="20"/>
          <w:szCs w:val="20"/>
        </w:rPr>
        <w:t xml:space="preserve"> it </w:t>
      </w:r>
      <w:proofErr w:type="spellStart"/>
      <w:r w:rsidRPr="009975EA">
        <w:rPr>
          <w:rFonts w:ascii="Times New Roman" w:hAnsi="Times New Roman" w:cs="Times New Roman"/>
          <w:sz w:val="20"/>
          <w:szCs w:val="20"/>
        </w:rPr>
        <w:t>meets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any</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following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conditions</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Otherwise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governs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exercise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powers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management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business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affairs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liquidation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relationship</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among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directors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among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them</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Sec</w:t>
      </w:r>
      <w:proofErr w:type="spellEnd"/>
      <w:r w:rsidRPr="009975EA">
        <w:rPr>
          <w:rFonts w:ascii="Times New Roman" w:hAnsi="Times New Roman" w:cs="Times New Roman"/>
          <w:sz w:val="20"/>
          <w:szCs w:val="20"/>
        </w:rPr>
        <w:t xml:space="preserve">. 10- 732(A)). </w:t>
      </w:r>
      <w:proofErr w:type="spellStart"/>
      <w:r w:rsidRPr="009975EA">
        <w:rPr>
          <w:rFonts w:ascii="Times New Roman" w:hAnsi="Times New Roman" w:cs="Times New Roman"/>
          <w:sz w:val="20"/>
          <w:szCs w:val="20"/>
        </w:rPr>
        <w:t>Accordingly</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Gries</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Plazza</w:t>
      </w:r>
      <w:proofErr w:type="spellEnd"/>
      <w:r w:rsidRPr="009975EA">
        <w:rPr>
          <w:rFonts w:ascii="Times New Roman" w:hAnsi="Times New Roman" w:cs="Times New Roman"/>
          <w:sz w:val="20"/>
          <w:szCs w:val="20"/>
        </w:rPr>
        <w:t xml:space="preserve"> Del Rio Management </w:t>
      </w:r>
      <w:proofErr w:type="spellStart"/>
      <w:r w:rsidRPr="009975EA">
        <w:rPr>
          <w:rFonts w:ascii="Times New Roman" w:hAnsi="Times New Roman" w:cs="Times New Roman"/>
          <w:sz w:val="20"/>
          <w:szCs w:val="20"/>
        </w:rPr>
        <w:t>Corp</w:t>
      </w:r>
      <w:proofErr w:type="spellEnd"/>
      <w:r w:rsidRPr="009975EA">
        <w:rPr>
          <w:rFonts w:ascii="Times New Roman" w:hAnsi="Times New Roman" w:cs="Times New Roman"/>
          <w:sz w:val="20"/>
          <w:szCs w:val="20"/>
        </w:rPr>
        <w:t xml:space="preserve">., 236 Ariz. 8 (2014),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Arizona </w:t>
      </w:r>
      <w:proofErr w:type="spellStart"/>
      <w:r w:rsidRPr="009975EA">
        <w:rPr>
          <w:rFonts w:ascii="Times New Roman" w:hAnsi="Times New Roman" w:cs="Times New Roman"/>
          <w:sz w:val="20"/>
          <w:szCs w:val="20"/>
        </w:rPr>
        <w:t>court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upheld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Superior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Court’s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decision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stop an </w:t>
      </w:r>
      <w:proofErr w:type="spellStart"/>
      <w:r w:rsidRPr="009975EA">
        <w:rPr>
          <w:rFonts w:ascii="Times New Roman" w:hAnsi="Times New Roman" w:cs="Times New Roman"/>
          <w:sz w:val="20"/>
          <w:szCs w:val="20"/>
        </w:rPr>
        <w:t>involuntary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dissolution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proceeding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due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exercise</w:t>
      </w:r>
      <w:proofErr w:type="spellEnd"/>
      <w:r w:rsidRPr="009975EA">
        <w:rPr>
          <w:rFonts w:ascii="Times New Roman" w:hAnsi="Times New Roman" w:cs="Times New Roman"/>
          <w:sz w:val="20"/>
          <w:szCs w:val="20"/>
        </w:rPr>
        <w:t xml:space="preserve"> of a buy- </w:t>
      </w:r>
      <w:proofErr w:type="spellStart"/>
      <w:r w:rsidRPr="009975EA">
        <w:rPr>
          <w:rFonts w:ascii="Times New Roman" w:hAnsi="Times New Roman" w:cs="Times New Roman"/>
          <w:sz w:val="20"/>
          <w:szCs w:val="20"/>
        </w:rPr>
        <w:t>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right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shareholders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agreement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set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buy- </w:t>
      </w:r>
      <w:proofErr w:type="spellStart"/>
      <w:r w:rsidRPr="009975EA">
        <w:rPr>
          <w:rFonts w:ascii="Times New Roman" w:hAnsi="Times New Roman" w:cs="Times New Roman"/>
          <w:sz w:val="20"/>
          <w:szCs w:val="20"/>
        </w:rPr>
        <w:t>out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price</w:t>
      </w:r>
      <w:proofErr w:type="spellEnd"/>
      <w:r w:rsidRPr="009975EA">
        <w:rPr>
          <w:rFonts w:ascii="Times New Roman" w:hAnsi="Times New Roman" w:cs="Times New Roman"/>
          <w:sz w:val="20"/>
          <w:szCs w:val="20"/>
        </w:rPr>
        <w:t xml:space="preserve"> as </w:t>
      </w:r>
      <w:proofErr w:type="spellStart"/>
      <w:r w:rsidRPr="009975EA">
        <w:rPr>
          <w:rFonts w:ascii="Times New Roman" w:hAnsi="Times New Roman" w:cs="Times New Roman"/>
          <w:sz w:val="20"/>
          <w:szCs w:val="20"/>
        </w:rPr>
        <w:t>well</w:t>
      </w:r>
      <w:proofErr w:type="spellEnd"/>
      <w:r w:rsidRPr="009975EA">
        <w:rPr>
          <w:rFonts w:ascii="Times New Roman" w:hAnsi="Times New Roman" w:cs="Times New Roman"/>
          <w:sz w:val="20"/>
          <w:szCs w:val="20"/>
        </w:rPr>
        <w:t>.</w:t>
      </w:r>
    </w:p>
  </w:footnote>
  <w:footnote w:id="901">
    <w:p w14:paraId="7601D0F5" w14:textId="59253104" w:rsidR="00A2784B" w:rsidRPr="0047452F" w:rsidRDefault="00A2784B"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proofErr w:type="spellStart"/>
      <w:r w:rsidR="004F2083" w:rsidRPr="0047452F">
        <w:rPr>
          <w:rFonts w:ascii="Times New Roman" w:hAnsi="Times New Roman" w:cs="Times New Roman"/>
          <w:sz w:val="20"/>
          <w:szCs w:val="20"/>
        </w:rPr>
        <w:t>Tolga</w:t>
      </w:r>
      <w:proofErr w:type="spellEnd"/>
      <w:r w:rsidR="004F2083" w:rsidRPr="0047452F">
        <w:rPr>
          <w:rFonts w:ascii="Times New Roman" w:hAnsi="Times New Roman" w:cs="Times New Roman"/>
          <w:sz w:val="20"/>
          <w:szCs w:val="20"/>
        </w:rPr>
        <w:t xml:space="preserve"> </w:t>
      </w:r>
      <w:r w:rsidRPr="0047452F">
        <w:rPr>
          <w:rFonts w:ascii="Times New Roman" w:hAnsi="Times New Roman" w:cs="Times New Roman"/>
          <w:sz w:val="20"/>
          <w:szCs w:val="20"/>
          <w:lang w:val="tr-TR"/>
        </w:rPr>
        <w:t>Ayoğlu</w:t>
      </w:r>
      <w:r w:rsidR="004F2083" w:rsidRPr="0047452F">
        <w:rPr>
          <w:rFonts w:ascii="Times New Roman" w:hAnsi="Times New Roman" w:cs="Times New Roman"/>
          <w:sz w:val="20"/>
          <w:szCs w:val="20"/>
          <w:lang w:val="tr-TR"/>
        </w:rPr>
        <w:t>, Sermaye Şirketleri Özelinde Şirketler Hukuku Uyuşmazlıklarının Çözümünde Tahkim (2018) 145.</w:t>
      </w:r>
    </w:p>
  </w:footnote>
  <w:footnote w:id="902">
    <w:p w14:paraId="1F4E04F2"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2014/141 K. 2014/6951 T. 09/04/2014.</w:t>
      </w:r>
    </w:p>
  </w:footnote>
  <w:footnote w:id="903">
    <w:p w14:paraId="0F207DAD"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Matter</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Validation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Review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Associates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xml:space="preserve">., 223 A.D.2d 134 (1996), </w:t>
      </w:r>
      <w:proofErr w:type="spellStart"/>
      <w:r w:rsidRPr="009975EA">
        <w:rPr>
          <w:rFonts w:ascii="Times New Roman" w:hAnsi="Times New Roman" w:cs="Times New Roman"/>
          <w:sz w:val="20"/>
          <w:szCs w:val="20"/>
        </w:rPr>
        <w:t>expressing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rationale</w:t>
      </w:r>
      <w:proofErr w:type="spellEnd"/>
      <w:r w:rsidRPr="009975EA">
        <w:rPr>
          <w:rFonts w:ascii="Times New Roman" w:hAnsi="Times New Roman" w:cs="Times New Roman"/>
          <w:sz w:val="20"/>
          <w:szCs w:val="20"/>
        </w:rPr>
        <w:t>: “</w:t>
      </w:r>
      <w:r w:rsidRPr="009975EA">
        <w:rPr>
          <w:rFonts w:ascii="Times New Roman" w:hAnsi="Times New Roman" w:cs="Times New Roman"/>
          <w:color w:val="000000"/>
          <w:sz w:val="20"/>
          <w:szCs w:val="20"/>
        </w:rPr>
        <w:t xml:space="preserve">A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is a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construed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pursuant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general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principles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general,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illegal, </w:t>
      </w:r>
      <w:proofErr w:type="spellStart"/>
      <w:r w:rsidRPr="009975EA">
        <w:rPr>
          <w:rFonts w:ascii="Times New Roman" w:hAnsi="Times New Roman" w:cs="Times New Roman"/>
          <w:color w:val="000000"/>
          <w:sz w:val="20"/>
          <w:szCs w:val="20"/>
        </w:rPr>
        <w:t>unconscionable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restricted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legislation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violative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policy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policy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found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alia</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expression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will</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legislature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contained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statutory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enactments</w:t>
      </w:r>
      <w:proofErr w:type="spellEnd"/>
      <w:r w:rsidRPr="009975EA">
        <w:rPr>
          <w:rFonts w:ascii="Times New Roman" w:hAnsi="Times New Roman" w:cs="Times New Roman"/>
          <w:color w:val="000000"/>
          <w:sz w:val="20"/>
          <w:szCs w:val="20"/>
        </w:rPr>
        <w:t>”…</w:t>
      </w:r>
      <w:proofErr w:type="spellStart"/>
      <w:r w:rsidRPr="009975EA">
        <w:rPr>
          <w:rFonts w:ascii="Times New Roman" w:hAnsi="Times New Roman" w:cs="Times New Roman"/>
          <w:color w:val="000000"/>
          <w:sz w:val="20"/>
          <w:szCs w:val="20"/>
        </w:rPr>
        <w:t>However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clearly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absolute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prohibition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against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entering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some</w:t>
      </w:r>
      <w:proofErr w:type="spellEnd"/>
      <w:r w:rsidRPr="009975EA">
        <w:rPr>
          <w:rFonts w:ascii="Times New Roman" w:hAnsi="Times New Roman" w:cs="Times New Roman"/>
          <w:color w:val="000000"/>
          <w:sz w:val="20"/>
          <w:szCs w:val="20"/>
        </w:rPr>
        <w:t xml:space="preserve"> form of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how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might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effected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through</w:t>
      </w:r>
      <w:proofErr w:type="spellEnd"/>
      <w:r w:rsidRPr="009975EA">
        <w:rPr>
          <w:rFonts w:ascii="Times New Roman" w:hAnsi="Times New Roman" w:cs="Times New Roman"/>
          <w:color w:val="000000"/>
          <w:sz w:val="20"/>
          <w:szCs w:val="20"/>
        </w:rPr>
        <w:t xml:space="preserve"> buy- </w:t>
      </w:r>
      <w:proofErr w:type="spellStart"/>
      <w:r w:rsidRPr="009975EA">
        <w:rPr>
          <w:rFonts w:ascii="Times New Roman" w:hAnsi="Times New Roman" w:cs="Times New Roman"/>
          <w:color w:val="000000"/>
          <w:sz w:val="20"/>
          <w:szCs w:val="20"/>
        </w:rPr>
        <w:t>out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arbitration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goal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accomplished</w:t>
      </w:r>
      <w:proofErr w:type="spellEnd"/>
      <w:r w:rsidRPr="009975EA">
        <w:rPr>
          <w:rFonts w:ascii="Times New Roman" w:hAnsi="Times New Roman" w:cs="Times New Roman"/>
          <w:color w:val="000000"/>
          <w:sz w:val="20"/>
          <w:szCs w:val="20"/>
        </w:rPr>
        <w:t xml:space="preserve">, as here,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absolute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prohibition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against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circumstances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Further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anti-</w:t>
      </w:r>
      <w:proofErr w:type="spellStart"/>
      <w:r w:rsidRPr="009975EA">
        <w:rPr>
          <w:rFonts w:ascii="Times New Roman" w:hAnsi="Times New Roman" w:cs="Times New Roman"/>
          <w:color w:val="000000"/>
          <w:sz w:val="20"/>
          <w:szCs w:val="20"/>
        </w:rPr>
        <w:t>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w:t>
      </w:r>
      <w:proofErr w:type="spellEnd"/>
      <w:r w:rsidRPr="009975EA">
        <w:rPr>
          <w:rFonts w:ascii="Times New Roman" w:hAnsi="Times New Roman" w:cs="Times New Roman"/>
          <w:color w:val="000000"/>
          <w:sz w:val="20"/>
          <w:szCs w:val="20"/>
        </w:rPr>
        <w:t xml:space="preserve"> at </w:t>
      </w:r>
      <w:proofErr w:type="spellStart"/>
      <w:r w:rsidRPr="009975EA">
        <w:rPr>
          <w:rFonts w:ascii="Times New Roman" w:hAnsi="Times New Roman" w:cs="Times New Roman"/>
          <w:color w:val="000000"/>
          <w:sz w:val="20"/>
          <w:szCs w:val="20"/>
        </w:rPr>
        <w:t>issue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cannot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saved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construing</w:t>
      </w:r>
      <w:proofErr w:type="spellEnd"/>
      <w:r w:rsidRPr="009975EA">
        <w:rPr>
          <w:rFonts w:ascii="Times New Roman" w:hAnsi="Times New Roman" w:cs="Times New Roman"/>
          <w:color w:val="000000"/>
          <w:sz w:val="20"/>
          <w:szCs w:val="20"/>
        </w:rPr>
        <w:t xml:space="preserve"> it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compel</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voluntary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negotiated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of VRA.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construction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would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entail</w:t>
      </w:r>
      <w:proofErr w:type="spellEnd"/>
      <w:r w:rsidRPr="009975EA">
        <w:rPr>
          <w:rFonts w:ascii="Times New Roman" w:hAnsi="Times New Roman" w:cs="Times New Roman"/>
          <w:color w:val="000000"/>
          <w:sz w:val="20"/>
          <w:szCs w:val="20"/>
        </w:rPr>
        <w:t xml:space="preserve"> an </w:t>
      </w:r>
      <w:proofErr w:type="spellStart"/>
      <w:r w:rsidRPr="009975EA">
        <w:rPr>
          <w:rFonts w:ascii="Times New Roman" w:hAnsi="Times New Roman" w:cs="Times New Roman"/>
          <w:color w:val="000000"/>
          <w:sz w:val="20"/>
          <w:szCs w:val="20"/>
        </w:rPr>
        <w:t>impermissible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rewriting</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anti-</w:t>
      </w:r>
      <w:proofErr w:type="spellStart"/>
      <w:r w:rsidRPr="009975EA">
        <w:rPr>
          <w:rFonts w:ascii="Times New Roman" w:hAnsi="Times New Roman" w:cs="Times New Roman"/>
          <w:color w:val="000000"/>
          <w:sz w:val="20"/>
          <w:szCs w:val="20"/>
        </w:rPr>
        <w:t>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unenforceable</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against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policy</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904">
    <w:p w14:paraId="6C820D71" w14:textId="51A339A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 shareholders’ agreement that includes a term that disputes arising from the agreement shall be first negotiated among the parties and then submitted to an arbitratio</w:t>
      </w:r>
      <w:r>
        <w:rPr>
          <w:rFonts w:ascii="Times New Roman" w:hAnsi="Times New Roman" w:cs="Times New Roman"/>
          <w:sz w:val="20"/>
          <w:szCs w:val="20"/>
        </w:rPr>
        <w:t>n tribunal would be valid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2012/17087 K. 2013/749 T. 15/01/2013). However, if the consequences of this contractual term would be altering the protection that the judicial dissolution provision is providing to shareholders, the term should be accepted invalid as against public policy, and the tribunal’s decision should be annulled as against public policy pursuant to Article 439(2)(</w:t>
      </w:r>
      <w:r w:rsidRPr="009975EA">
        <w:rPr>
          <w:rFonts w:ascii="Times New Roman" w:hAnsi="Times New Roman" w:cs="Times New Roman"/>
          <w:sz w:val="20"/>
          <w:szCs w:val="20"/>
          <w:lang w:val="tr-TR"/>
        </w:rPr>
        <w:t>ğ)</w:t>
      </w:r>
      <w:r w:rsidRPr="009975EA">
        <w:rPr>
          <w:rFonts w:ascii="Times New Roman" w:hAnsi="Times New Roman" w:cs="Times New Roman"/>
          <w:sz w:val="20"/>
          <w:szCs w:val="20"/>
        </w:rPr>
        <w:t xml:space="preserve"> of 6100 numbered Civil Procedure Code (Official Gazette Date: 12/01/2011 Number: 27836)</w:t>
      </w:r>
    </w:p>
  </w:footnote>
  <w:footnote w:id="905">
    <w:p w14:paraId="544A9FB6"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New York </w:t>
      </w:r>
      <w:proofErr w:type="spellStart"/>
      <w:r w:rsidRPr="009975EA">
        <w:rPr>
          <w:rFonts w:ascii="Times New Roman" w:hAnsi="Times New Roman" w:cs="Times New Roman"/>
          <w:sz w:val="20"/>
          <w:szCs w:val="20"/>
        </w:rPr>
        <w:t>decision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Schimel</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Berkun</w:t>
      </w:r>
      <w:proofErr w:type="spellEnd"/>
      <w:r w:rsidRPr="009975EA">
        <w:rPr>
          <w:rFonts w:ascii="Times New Roman" w:hAnsi="Times New Roman" w:cs="Times New Roman"/>
          <w:sz w:val="20"/>
          <w:szCs w:val="20"/>
        </w:rPr>
        <w:t>, 264 A.D.2d 725 (1999): “…</w:t>
      </w:r>
      <w:proofErr w:type="spellStart"/>
      <w:r w:rsidRPr="009975EA">
        <w:rPr>
          <w:rFonts w:ascii="Times New Roman" w:hAnsi="Times New Roman" w:cs="Times New Roman"/>
          <w:color w:val="000000"/>
          <w:sz w:val="20"/>
          <w:szCs w:val="20"/>
        </w:rPr>
        <w:t>we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adhere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our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rationale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provision</w:t>
      </w:r>
      <w:proofErr w:type="spellEnd"/>
      <w:r w:rsidRPr="009975EA">
        <w:rPr>
          <w:rFonts w:ascii="Times New Roman" w:hAnsi="Times New Roman" w:cs="Times New Roman"/>
          <w:color w:val="000000"/>
          <w:sz w:val="20"/>
          <w:szCs w:val="20"/>
        </w:rPr>
        <w:t xml:space="preserve"> in a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agreement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prohibit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of a </w:t>
      </w:r>
      <w:proofErr w:type="spellStart"/>
      <w:r w:rsidRPr="009975EA">
        <w:rPr>
          <w:rFonts w:ascii="Times New Roman" w:hAnsi="Times New Roman" w:cs="Times New Roman"/>
          <w:color w:val="000000"/>
          <w:sz w:val="20"/>
          <w:szCs w:val="20"/>
        </w:rPr>
        <w:t>corporation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violates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public</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policy</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expressed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Legislature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common</w:t>
      </w:r>
      <w:proofErr w:type="spellEnd"/>
      <w:r w:rsidRPr="009975EA">
        <w:rPr>
          <w:rFonts w:ascii="Times New Roman" w:hAnsi="Times New Roman" w:cs="Times New Roman"/>
          <w:color w:val="000000"/>
          <w:sz w:val="20"/>
          <w:szCs w:val="20"/>
        </w:rPr>
        <w:t xml:space="preserve"> </w:t>
      </w:r>
      <w:proofErr w:type="spellStart"/>
      <w:r w:rsidRPr="00D046D3">
        <w:rPr>
          <w:rFonts w:ascii="Times New Roman" w:hAnsi="Times New Roman" w:cs="Times New Roman"/>
          <w:color w:val="000000" w:themeColor="text1"/>
          <w:sz w:val="20"/>
          <w:szCs w:val="20"/>
        </w:rPr>
        <w:t>law</w:t>
      </w:r>
      <w:proofErr w:type="spellEnd"/>
      <w:r w:rsidRPr="00D046D3">
        <w:rPr>
          <w:rFonts w:ascii="Times New Roman" w:hAnsi="Times New Roman" w:cs="Times New Roman"/>
          <w:color w:val="000000" w:themeColor="text1"/>
          <w:sz w:val="20"/>
          <w:szCs w:val="20"/>
        </w:rPr>
        <w:t xml:space="preserve"> (</w:t>
      </w:r>
      <w:proofErr w:type="spellStart"/>
      <w:r w:rsidRPr="00D046D3">
        <w:rPr>
          <w:rFonts w:ascii="Times New Roman" w:hAnsi="Times New Roman" w:cs="Times New Roman"/>
          <w:color w:val="000000" w:themeColor="text1"/>
          <w:sz w:val="20"/>
          <w:szCs w:val="20"/>
        </w:rPr>
        <w:t>see</w:t>
      </w:r>
      <w:proofErr w:type="spellEnd"/>
      <w:r w:rsidRPr="00D046D3">
        <w:rPr>
          <w:rFonts w:ascii="Times New Roman" w:hAnsi="Times New Roman" w:cs="Times New Roman"/>
          <w:color w:val="000000" w:themeColor="text1"/>
          <w:sz w:val="20"/>
          <w:szCs w:val="20"/>
        </w:rPr>
        <w:t xml:space="preserve">, </w:t>
      </w:r>
      <w:proofErr w:type="spellStart"/>
      <w:r w:rsidRPr="00D046D3">
        <w:rPr>
          <w:rFonts w:ascii="Times New Roman" w:hAnsi="Times New Roman" w:cs="Times New Roman"/>
          <w:color w:val="000000" w:themeColor="text1"/>
          <w:sz w:val="20"/>
          <w:szCs w:val="20"/>
        </w:rPr>
        <w:t>Matter</w:t>
      </w:r>
      <w:proofErr w:type="spellEnd"/>
      <w:r w:rsidRPr="00D046D3">
        <w:rPr>
          <w:rFonts w:ascii="Times New Roman" w:hAnsi="Times New Roman" w:cs="Times New Roman"/>
          <w:color w:val="000000" w:themeColor="text1"/>
          <w:sz w:val="20"/>
          <w:szCs w:val="20"/>
        </w:rPr>
        <w:t xml:space="preserve"> of </w:t>
      </w:r>
      <w:proofErr w:type="spellStart"/>
      <w:r w:rsidRPr="00D046D3">
        <w:rPr>
          <w:rFonts w:ascii="Times New Roman" w:hAnsi="Times New Roman" w:cs="Times New Roman"/>
          <w:color w:val="000000" w:themeColor="text1"/>
          <w:sz w:val="20"/>
          <w:szCs w:val="20"/>
        </w:rPr>
        <w:t>Validation</w:t>
      </w:r>
      <w:proofErr w:type="spellEnd"/>
      <w:r w:rsidRPr="00D046D3">
        <w:rPr>
          <w:rFonts w:ascii="Times New Roman" w:hAnsi="Times New Roman" w:cs="Times New Roman"/>
          <w:color w:val="000000" w:themeColor="text1"/>
          <w:sz w:val="20"/>
          <w:szCs w:val="20"/>
        </w:rPr>
        <w:t xml:space="preserve"> </w:t>
      </w:r>
      <w:proofErr w:type="spellStart"/>
      <w:r w:rsidRPr="00D046D3">
        <w:rPr>
          <w:rFonts w:ascii="Times New Roman" w:hAnsi="Times New Roman" w:cs="Times New Roman"/>
          <w:color w:val="000000" w:themeColor="text1"/>
          <w:sz w:val="20"/>
          <w:szCs w:val="20"/>
        </w:rPr>
        <w:t>Review</w:t>
      </w:r>
      <w:proofErr w:type="spellEnd"/>
      <w:r w:rsidRPr="00D046D3">
        <w:rPr>
          <w:rFonts w:ascii="Times New Roman" w:hAnsi="Times New Roman" w:cs="Times New Roman"/>
          <w:color w:val="000000" w:themeColor="text1"/>
          <w:sz w:val="20"/>
          <w:szCs w:val="20"/>
        </w:rPr>
        <w:t xml:space="preserve"> </w:t>
      </w:r>
      <w:proofErr w:type="spellStart"/>
      <w:r w:rsidRPr="00D046D3">
        <w:rPr>
          <w:rFonts w:ascii="Times New Roman" w:hAnsi="Times New Roman" w:cs="Times New Roman"/>
          <w:color w:val="000000" w:themeColor="text1"/>
          <w:sz w:val="20"/>
          <w:szCs w:val="20"/>
        </w:rPr>
        <w:t>Assocs</w:t>
      </w:r>
      <w:proofErr w:type="spellEnd"/>
      <w:r w:rsidRPr="00D046D3">
        <w:rPr>
          <w:rFonts w:ascii="Times New Roman" w:hAnsi="Times New Roman" w:cs="Times New Roman"/>
          <w:color w:val="000000" w:themeColor="text1"/>
          <w:sz w:val="20"/>
          <w:szCs w:val="20"/>
        </w:rPr>
        <w:t xml:space="preserve">., 223 A.D.2d 134, 137, 646 N.Y.S.2d 149). </w:t>
      </w:r>
      <w:proofErr w:type="spellStart"/>
      <w:r w:rsidRPr="00D046D3">
        <w:rPr>
          <w:rFonts w:ascii="Times New Roman" w:hAnsi="Times New Roman" w:cs="Times New Roman"/>
          <w:color w:val="000000" w:themeColor="text1"/>
          <w:sz w:val="20"/>
          <w:szCs w:val="20"/>
        </w:rPr>
        <w:t>Accordingly</w:t>
      </w:r>
      <w:proofErr w:type="spellEnd"/>
      <w:r w:rsidRPr="00D046D3">
        <w:rPr>
          <w:rFonts w:ascii="Times New Roman" w:hAnsi="Times New Roman" w:cs="Times New Roman"/>
          <w:color w:val="000000" w:themeColor="text1"/>
          <w:sz w:val="20"/>
          <w:szCs w:val="20"/>
        </w:rPr>
        <w:t xml:space="preserve">, </w:t>
      </w:r>
      <w:proofErr w:type="spellStart"/>
      <w:r w:rsidRPr="00D046D3">
        <w:rPr>
          <w:rFonts w:ascii="Times New Roman" w:hAnsi="Times New Roman" w:cs="Times New Roman"/>
          <w:color w:val="000000" w:themeColor="text1"/>
          <w:sz w:val="20"/>
          <w:szCs w:val="20"/>
        </w:rPr>
        <w:t>we</w:t>
      </w:r>
      <w:proofErr w:type="spellEnd"/>
      <w:r w:rsidRPr="00D046D3">
        <w:rPr>
          <w:rFonts w:ascii="Times New Roman" w:hAnsi="Times New Roman" w:cs="Times New Roman"/>
          <w:color w:val="000000" w:themeColor="text1"/>
          <w:sz w:val="20"/>
          <w:szCs w:val="20"/>
        </w:rPr>
        <w:t xml:space="preserve"> </w:t>
      </w:r>
      <w:proofErr w:type="spellStart"/>
      <w:r w:rsidRPr="00D046D3">
        <w:rPr>
          <w:rFonts w:ascii="Times New Roman" w:hAnsi="Times New Roman" w:cs="Times New Roman"/>
          <w:color w:val="000000" w:themeColor="text1"/>
          <w:sz w:val="20"/>
          <w:szCs w:val="20"/>
        </w:rPr>
        <w:t>find</w:t>
      </w:r>
      <w:proofErr w:type="spellEnd"/>
      <w:r w:rsidRPr="00D046D3">
        <w:rPr>
          <w:rFonts w:ascii="Times New Roman" w:hAnsi="Times New Roman" w:cs="Times New Roman"/>
          <w:color w:val="000000" w:themeColor="text1"/>
          <w:sz w:val="20"/>
          <w:szCs w:val="20"/>
        </w:rPr>
        <w:t xml:space="preserve"> </w:t>
      </w:r>
      <w:proofErr w:type="spellStart"/>
      <w:r w:rsidRPr="00D046D3">
        <w:rPr>
          <w:rFonts w:ascii="Times New Roman" w:hAnsi="Times New Roman" w:cs="Times New Roman"/>
          <w:color w:val="000000" w:themeColor="text1"/>
          <w:sz w:val="20"/>
          <w:szCs w:val="20"/>
        </w:rPr>
        <w:t>that</w:t>
      </w:r>
      <w:proofErr w:type="spellEnd"/>
      <w:r w:rsidRPr="00D046D3">
        <w:rPr>
          <w:rFonts w:ascii="Times New Roman" w:hAnsi="Times New Roman" w:cs="Times New Roman"/>
          <w:color w:val="000000" w:themeColor="text1"/>
          <w:sz w:val="20"/>
          <w:szCs w:val="20"/>
        </w:rPr>
        <w:t xml:space="preserve"> </w:t>
      </w:r>
      <w:proofErr w:type="spellStart"/>
      <w:r w:rsidRPr="00D046D3">
        <w:rPr>
          <w:rFonts w:ascii="Times New Roman" w:hAnsi="Times New Roman" w:cs="Times New Roman"/>
          <w:color w:val="000000" w:themeColor="text1"/>
          <w:sz w:val="20"/>
          <w:szCs w:val="20"/>
        </w:rPr>
        <w:t>reinstatement</w:t>
      </w:r>
      <w:proofErr w:type="spellEnd"/>
      <w:r w:rsidRPr="00D046D3">
        <w:rPr>
          <w:rFonts w:ascii="Times New Roman" w:hAnsi="Times New Roman" w:cs="Times New Roman"/>
          <w:color w:val="000000" w:themeColor="text1"/>
          <w:sz w:val="20"/>
          <w:szCs w:val="20"/>
        </w:rPr>
        <w:t xml:space="preserve"> </w:t>
      </w:r>
      <w:r w:rsidRPr="009975EA">
        <w:rPr>
          <w:rFonts w:ascii="Times New Roman" w:hAnsi="Times New Roman" w:cs="Times New Roman"/>
          <w:color w:val="000000"/>
          <w:sz w:val="20"/>
          <w:szCs w:val="20"/>
        </w:rPr>
        <w:t xml:space="preserve">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four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causes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seek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damages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breach</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anti-</w:t>
      </w:r>
      <w:proofErr w:type="spellStart"/>
      <w:r w:rsidRPr="009975EA">
        <w:rPr>
          <w:rFonts w:ascii="Times New Roman" w:hAnsi="Times New Roman" w:cs="Times New Roman"/>
          <w:color w:val="000000"/>
          <w:sz w:val="20"/>
          <w:szCs w:val="20"/>
        </w:rPr>
        <w:t>judicial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dissolution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provision</w:t>
      </w:r>
      <w:proofErr w:type="spellEnd"/>
      <w:r w:rsidRPr="009975EA">
        <w:rPr>
          <w:rFonts w:ascii="Times New Roman" w:hAnsi="Times New Roman" w:cs="Times New Roman"/>
          <w:color w:val="000000"/>
          <w:sz w:val="20"/>
          <w:szCs w:val="20"/>
        </w:rPr>
        <w:t xml:space="preserve"> is not </w:t>
      </w:r>
      <w:proofErr w:type="spellStart"/>
      <w:r w:rsidRPr="009975EA">
        <w:rPr>
          <w:rFonts w:ascii="Times New Roman" w:hAnsi="Times New Roman" w:cs="Times New Roman"/>
          <w:color w:val="000000"/>
          <w:sz w:val="20"/>
          <w:szCs w:val="20"/>
        </w:rPr>
        <w:t>warranted</w:t>
      </w:r>
      <w:proofErr w:type="spellEnd"/>
      <w:r w:rsidRPr="009975EA">
        <w:rPr>
          <w:rFonts w:ascii="Times New Roman" w:hAnsi="Times New Roman" w:cs="Times New Roman"/>
          <w:color w:val="000000"/>
          <w:sz w:val="20"/>
          <w:szCs w:val="20"/>
        </w:rPr>
        <w:t xml:space="preserve"> </w:t>
      </w:r>
      <w:proofErr w:type="spellStart"/>
      <w:r w:rsidRPr="00D046D3">
        <w:rPr>
          <w:rFonts w:ascii="Times New Roman" w:hAnsi="Times New Roman" w:cs="Times New Roman"/>
          <w:color w:val="000000" w:themeColor="text1"/>
          <w:sz w:val="20"/>
          <w:szCs w:val="20"/>
        </w:rPr>
        <w:t>pursuant</w:t>
      </w:r>
      <w:proofErr w:type="spellEnd"/>
      <w:r w:rsidRPr="00D046D3">
        <w:rPr>
          <w:rFonts w:ascii="Times New Roman" w:hAnsi="Times New Roman" w:cs="Times New Roman"/>
          <w:color w:val="000000" w:themeColor="text1"/>
          <w:sz w:val="20"/>
          <w:szCs w:val="20"/>
        </w:rPr>
        <w:t xml:space="preserve"> </w:t>
      </w:r>
      <w:proofErr w:type="spellStart"/>
      <w:r w:rsidRPr="00D046D3">
        <w:rPr>
          <w:rFonts w:ascii="Times New Roman" w:hAnsi="Times New Roman" w:cs="Times New Roman"/>
          <w:color w:val="000000" w:themeColor="text1"/>
          <w:sz w:val="20"/>
          <w:szCs w:val="20"/>
        </w:rPr>
        <w:t>to</w:t>
      </w:r>
      <w:proofErr w:type="spellEnd"/>
      <w:r w:rsidRPr="00D046D3">
        <w:rPr>
          <w:rFonts w:ascii="Times New Roman" w:hAnsi="Times New Roman" w:cs="Times New Roman"/>
          <w:color w:val="000000" w:themeColor="text1"/>
          <w:sz w:val="20"/>
          <w:szCs w:val="20"/>
        </w:rPr>
        <w:t xml:space="preserve"> CPLR 5015(a)(</w:t>
      </w:r>
      <w:r w:rsidRPr="009975EA">
        <w:rPr>
          <w:rFonts w:ascii="Times New Roman" w:hAnsi="Times New Roman" w:cs="Times New Roman"/>
          <w:color w:val="000000"/>
          <w:sz w:val="20"/>
          <w:szCs w:val="20"/>
        </w:rPr>
        <w:t>5).”</w:t>
      </w:r>
    </w:p>
  </w:footnote>
  <w:footnote w:id="906">
    <w:p w14:paraId="4DDDE61A" w14:textId="18D4A99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Ayoglu</w:t>
      </w:r>
      <w:proofErr w:type="spellEnd"/>
      <w:r w:rsidRPr="009975EA">
        <w:rPr>
          <w:rFonts w:ascii="Times New Roman" w:hAnsi="Times New Roman" w:cs="Times New Roman"/>
          <w:sz w:val="20"/>
          <w:szCs w:val="20"/>
        </w:rPr>
        <w:t xml:space="preserve">, </w:t>
      </w:r>
      <w:r w:rsidR="004F2083">
        <w:rPr>
          <w:rFonts w:ascii="Times New Roman" w:hAnsi="Times New Roman" w:cs="Times New Roman"/>
          <w:sz w:val="20"/>
          <w:szCs w:val="20"/>
        </w:rPr>
        <w:t xml:space="preserve">2013, </w:t>
      </w:r>
      <w:r w:rsidRPr="009975EA">
        <w:rPr>
          <w:rFonts w:ascii="Times New Roman" w:hAnsi="Times New Roman" w:cs="Times New Roman"/>
          <w:sz w:val="20"/>
          <w:szCs w:val="20"/>
        </w:rPr>
        <w:t>p. 232.</w:t>
      </w:r>
    </w:p>
  </w:footnote>
  <w:footnote w:id="907">
    <w:p w14:paraId="54D15D3E"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Eker</w:t>
      </w:r>
      <w:proofErr w:type="spellEnd"/>
      <w:r w:rsidRPr="009975EA">
        <w:rPr>
          <w:rFonts w:ascii="Times New Roman" w:hAnsi="Times New Roman" w:cs="Times New Roman"/>
          <w:sz w:val="20"/>
          <w:szCs w:val="20"/>
        </w:rPr>
        <w:t>, p.115.</w:t>
      </w:r>
    </w:p>
  </w:footnote>
  <w:footnote w:id="908">
    <w:p w14:paraId="143ACA5A" w14:textId="6EAB300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Deborah </w:t>
      </w:r>
      <w:proofErr w:type="spellStart"/>
      <w:r w:rsidRPr="009975EA">
        <w:rPr>
          <w:rFonts w:ascii="Times New Roman" w:hAnsi="Times New Roman" w:cs="Times New Roman"/>
          <w:sz w:val="20"/>
          <w:szCs w:val="20"/>
        </w:rPr>
        <w:t>Dem</w:t>
      </w:r>
      <w:r>
        <w:rPr>
          <w:rFonts w:ascii="Times New Roman" w:hAnsi="Times New Roman" w:cs="Times New Roman"/>
          <w:sz w:val="20"/>
          <w:szCs w:val="20"/>
        </w:rPr>
        <w:t>ott</w:t>
      </w:r>
      <w:proofErr w:type="spellEnd"/>
      <w:r>
        <w:rPr>
          <w:rFonts w:ascii="Times New Roman" w:hAnsi="Times New Roman" w:cs="Times New Roman"/>
          <w:sz w:val="20"/>
          <w:szCs w:val="20"/>
        </w:rPr>
        <w:t>, Oppressed but Not Betrayed</w:t>
      </w:r>
      <w:r w:rsidRPr="009975EA">
        <w:rPr>
          <w:rFonts w:ascii="Times New Roman" w:hAnsi="Times New Roman" w:cs="Times New Roman"/>
          <w:sz w:val="20"/>
          <w:szCs w:val="20"/>
        </w:rPr>
        <w:t>, p.188.</w:t>
      </w:r>
    </w:p>
  </w:footnote>
  <w:footnote w:id="909">
    <w:p w14:paraId="5AF5E1E0" w14:textId="069626E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p. 6.</w:t>
      </w:r>
      <w:r w:rsidR="0065045D">
        <w:rPr>
          <w:rFonts w:ascii="Times New Roman" w:hAnsi="Times New Roman" w:cs="Times New Roman"/>
          <w:sz w:val="20"/>
          <w:szCs w:val="20"/>
        </w:rPr>
        <w:t xml:space="preserve"> </w:t>
      </w:r>
    </w:p>
  </w:footnote>
  <w:footnote w:id="910">
    <w:p w14:paraId="21517F23" w14:textId="3B42422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p.6.</w:t>
      </w:r>
    </w:p>
  </w:footnote>
  <w:footnote w:id="911">
    <w:p w14:paraId="181BD234" w14:textId="256E00E7" w:rsidR="0065045D" w:rsidRPr="0047452F" w:rsidRDefault="0065045D">
      <w:pPr>
        <w:pStyle w:val="DipnotMetni"/>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proofErr w:type="spellStart"/>
      <w:r w:rsidR="00F87023" w:rsidRPr="0047452F">
        <w:rPr>
          <w:rFonts w:ascii="Times New Roman" w:hAnsi="Times New Roman" w:cs="Times New Roman"/>
          <w:sz w:val="20"/>
          <w:szCs w:val="20"/>
        </w:rPr>
        <w:t>Kendigelen</w:t>
      </w:r>
      <w:proofErr w:type="spellEnd"/>
      <w:r w:rsidR="00F87023" w:rsidRPr="0047452F">
        <w:rPr>
          <w:rFonts w:ascii="Times New Roman" w:hAnsi="Times New Roman" w:cs="Times New Roman"/>
          <w:sz w:val="20"/>
          <w:szCs w:val="20"/>
        </w:rPr>
        <w:t>/</w:t>
      </w:r>
      <w:proofErr w:type="spellStart"/>
      <w:r w:rsidR="00E91BF1" w:rsidRPr="0047452F">
        <w:rPr>
          <w:rFonts w:ascii="Times New Roman" w:hAnsi="Times New Roman" w:cs="Times New Roman"/>
          <w:sz w:val="20"/>
          <w:szCs w:val="20"/>
        </w:rPr>
        <w:t>Kırca</w:t>
      </w:r>
      <w:proofErr w:type="spellEnd"/>
      <w:r w:rsidR="00E91BF1" w:rsidRPr="0047452F">
        <w:rPr>
          <w:rFonts w:ascii="Times New Roman" w:hAnsi="Times New Roman" w:cs="Times New Roman"/>
          <w:sz w:val="20"/>
          <w:szCs w:val="20"/>
        </w:rPr>
        <w:t xml:space="preserve">, </w:t>
      </w:r>
      <w:r w:rsidR="00F87023" w:rsidRPr="0047452F">
        <w:rPr>
          <w:rFonts w:ascii="Times New Roman" w:hAnsi="Times New Roman" w:cs="Times New Roman"/>
          <w:sz w:val="20"/>
          <w:szCs w:val="20"/>
        </w:rPr>
        <w:t>p. 7.</w:t>
      </w:r>
    </w:p>
  </w:footnote>
  <w:footnote w:id="912">
    <w:p w14:paraId="25C1AB51"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Sumer, Turk </w:t>
      </w:r>
      <w:proofErr w:type="spellStart"/>
      <w:r w:rsidRPr="009975EA">
        <w:rPr>
          <w:rFonts w:ascii="Times New Roman" w:hAnsi="Times New Roman" w:cs="Times New Roman"/>
          <w:sz w:val="20"/>
          <w:szCs w:val="20"/>
        </w:rPr>
        <w:t>Ticaret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Kanunu</w:t>
      </w:r>
      <w:proofErr w:type="spellEnd"/>
      <w:r w:rsidRPr="009975EA">
        <w:rPr>
          <w:rFonts w:ascii="Times New Roman" w:hAnsi="Times New Roman" w:cs="Times New Roman"/>
          <w:sz w:val="20"/>
          <w:szCs w:val="20"/>
        </w:rPr>
        <w:t>, p. 176.</w:t>
      </w:r>
    </w:p>
  </w:footnote>
  <w:footnote w:id="913">
    <w:p w14:paraId="11D6148D" w14:textId="60D30B9F" w:rsidR="00D36541" w:rsidRPr="009975EA" w:rsidRDefault="00D36541" w:rsidP="009975EA">
      <w:pPr>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Nomer</w:t>
      </w:r>
      <w:proofErr w:type="spellEnd"/>
      <w:r w:rsidRPr="009975EA">
        <w:rPr>
          <w:rFonts w:ascii="Times New Roman" w:hAnsi="Times New Roman" w:cs="Times New Roman"/>
          <w:sz w:val="20"/>
          <w:szCs w:val="20"/>
        </w:rPr>
        <w:t xml:space="preserve">, p. 425. </w:t>
      </w:r>
      <w:proofErr w:type="spellStart"/>
      <w:r w:rsidRPr="009975EA">
        <w:rPr>
          <w:rFonts w:ascii="Times New Roman" w:hAnsi="Times New Roman" w:cs="Times New Roman"/>
          <w:sz w:val="20"/>
          <w:szCs w:val="20"/>
        </w:rPr>
        <w:t>One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most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comprehensive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provisions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dealing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with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just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cause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concept</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Turkish</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is TCC </w:t>
      </w:r>
      <w:proofErr w:type="spellStart"/>
      <w:r w:rsidRPr="009975EA">
        <w:rPr>
          <w:rFonts w:ascii="Times New Roman" w:hAnsi="Times New Roman" w:cs="Times New Roman"/>
          <w:sz w:val="20"/>
          <w:szCs w:val="20"/>
        </w:rPr>
        <w:t>Article</w:t>
      </w:r>
      <w:proofErr w:type="spellEnd"/>
      <w:r w:rsidRPr="009975EA">
        <w:rPr>
          <w:rFonts w:ascii="Times New Roman" w:hAnsi="Times New Roman" w:cs="Times New Roman"/>
          <w:sz w:val="20"/>
          <w:szCs w:val="20"/>
        </w:rPr>
        <w:t xml:space="preserve"> 245, </w:t>
      </w:r>
      <w:proofErr w:type="spellStart"/>
      <w:r w:rsidRPr="009975EA">
        <w:rPr>
          <w:rFonts w:ascii="Times New Roman" w:hAnsi="Times New Roman" w:cs="Times New Roman"/>
          <w:sz w:val="20"/>
          <w:szCs w:val="20"/>
        </w:rPr>
        <w:t>which</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for</w:t>
      </w:r>
      <w:proofErr w:type="spellEnd"/>
      <w:r w:rsidRPr="009975EA">
        <w:rPr>
          <w:rFonts w:ascii="Times New Roman" w:hAnsi="Times New Roman" w:cs="Times New Roman"/>
          <w:sz w:val="20"/>
          <w:szCs w:val="20"/>
        </w:rPr>
        <w:t xml:space="preserve"> general </w:t>
      </w:r>
      <w:proofErr w:type="spellStart"/>
      <w:r w:rsidRPr="009975EA">
        <w:rPr>
          <w:rFonts w:ascii="Times New Roman" w:hAnsi="Times New Roman" w:cs="Times New Roman"/>
          <w:sz w:val="20"/>
          <w:szCs w:val="20"/>
        </w:rPr>
        <w:t>partnerships</w:t>
      </w:r>
      <w:proofErr w:type="spellEnd"/>
      <w:r w:rsidRPr="009975EA">
        <w:rPr>
          <w:rFonts w:ascii="Times New Roman" w:hAnsi="Times New Roman" w:cs="Times New Roman"/>
          <w:sz w:val="20"/>
          <w:szCs w:val="20"/>
        </w:rPr>
        <w:t xml:space="preserve"> (Eker, p.111). </w:t>
      </w:r>
      <w:proofErr w:type="spellStart"/>
      <w:r w:rsidRPr="009975EA">
        <w:rPr>
          <w:rFonts w:ascii="Times New Roman" w:hAnsi="Times New Roman" w:cs="Times New Roman"/>
          <w:sz w:val="20"/>
          <w:szCs w:val="20"/>
        </w:rPr>
        <w:t>However</w:t>
      </w:r>
      <w:proofErr w:type="spellEnd"/>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direct</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application</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definition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provided</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provision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would</w:t>
      </w:r>
      <w:proofErr w:type="spellEnd"/>
      <w:r w:rsidRPr="009975EA">
        <w:rPr>
          <w:rFonts w:ascii="Times New Roman" w:hAnsi="Times New Roman" w:cs="Times New Roman"/>
          <w:sz w:val="20"/>
          <w:szCs w:val="20"/>
        </w:rPr>
        <w:t xml:space="preserve"> not be </w:t>
      </w:r>
      <w:proofErr w:type="spellStart"/>
      <w:r w:rsidRPr="009975EA">
        <w:rPr>
          <w:rFonts w:ascii="Times New Roman" w:hAnsi="Times New Roman" w:cs="Times New Roman"/>
          <w:sz w:val="20"/>
          <w:szCs w:val="20"/>
        </w:rPr>
        <w:t>appropriate</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context</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publicly</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traded</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because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rationale</w:t>
      </w:r>
      <w:proofErr w:type="spellEnd"/>
      <w:r w:rsidRPr="009975EA">
        <w:rPr>
          <w:rFonts w:ascii="Times New Roman" w:hAnsi="Times New Roman" w:cs="Times New Roman"/>
          <w:sz w:val="20"/>
          <w:szCs w:val="20"/>
        </w:rPr>
        <w:t xml:space="preserve"> of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provision</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based</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personal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relationship</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among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members</w:t>
      </w:r>
      <w:proofErr w:type="spellEnd"/>
      <w:r w:rsidRPr="009975EA">
        <w:rPr>
          <w:rFonts w:ascii="Times New Roman" w:hAnsi="Times New Roman" w:cs="Times New Roman"/>
          <w:sz w:val="20"/>
          <w:szCs w:val="20"/>
        </w:rPr>
        <w:t xml:space="preserve"> (Eker, p.118).</w:t>
      </w:r>
    </w:p>
  </w:footnote>
  <w:footnote w:id="914">
    <w:p w14:paraId="2445788D" w14:textId="0520CCAF" w:rsidR="00351E1B" w:rsidRPr="0047452F" w:rsidRDefault="00351E1B"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Esra</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Kaşak</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i/>
          <w:iCs/>
          <w:sz w:val="20"/>
          <w:szCs w:val="20"/>
        </w:rPr>
        <w:t>Anonim</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Şirketlerin</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Haklı</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Sebeple</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Feshinde</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Şahsi</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Sebeplerin</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Değerlendirmeye</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Alınıp</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Alınamayacağı</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Hususunun</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Hakimin</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Takdir</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Yetkisi</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Bakımından</w:t>
      </w:r>
      <w:proofErr w:type="spellEnd"/>
      <w:r w:rsidRPr="0047452F">
        <w:rPr>
          <w:rFonts w:ascii="Times New Roman" w:hAnsi="Times New Roman" w:cs="Times New Roman"/>
          <w:i/>
          <w:iCs/>
          <w:sz w:val="20"/>
          <w:szCs w:val="20"/>
        </w:rPr>
        <w:t xml:space="preserve"> </w:t>
      </w:r>
      <w:proofErr w:type="spellStart"/>
      <w:r w:rsidRPr="0047452F">
        <w:rPr>
          <w:rFonts w:ascii="Times New Roman" w:hAnsi="Times New Roman" w:cs="Times New Roman"/>
          <w:i/>
          <w:iCs/>
          <w:sz w:val="20"/>
          <w:szCs w:val="20"/>
        </w:rPr>
        <w:t>Değerlendirilmesi</w:t>
      </w:r>
      <w:proofErr w:type="spellEnd"/>
      <w:r w:rsidRPr="0047452F">
        <w:rPr>
          <w:rFonts w:ascii="Times New Roman" w:hAnsi="Times New Roman" w:cs="Times New Roman"/>
          <w:sz w:val="20"/>
          <w:szCs w:val="20"/>
        </w:rPr>
        <w:t xml:space="preserve">, 23 Ankara </w:t>
      </w:r>
      <w:proofErr w:type="spellStart"/>
      <w:r w:rsidRPr="0047452F">
        <w:rPr>
          <w:rFonts w:ascii="Times New Roman" w:hAnsi="Times New Roman" w:cs="Times New Roman"/>
          <w:sz w:val="20"/>
          <w:szCs w:val="20"/>
        </w:rPr>
        <w:t>Hacı</w:t>
      </w:r>
      <w:proofErr w:type="spellEnd"/>
      <w:r w:rsidRPr="0047452F">
        <w:rPr>
          <w:rFonts w:ascii="Times New Roman" w:hAnsi="Times New Roman" w:cs="Times New Roman"/>
          <w:sz w:val="20"/>
          <w:szCs w:val="20"/>
        </w:rPr>
        <w:t xml:space="preserve"> Bayram </w:t>
      </w:r>
      <w:proofErr w:type="spellStart"/>
      <w:r w:rsidRPr="0047452F">
        <w:rPr>
          <w:rFonts w:ascii="Times New Roman" w:hAnsi="Times New Roman" w:cs="Times New Roman"/>
          <w:sz w:val="20"/>
          <w:szCs w:val="20"/>
        </w:rPr>
        <w:t>Veli</w:t>
      </w:r>
      <w:proofErr w:type="spellEnd"/>
      <w:r w:rsidRPr="0047452F">
        <w:rPr>
          <w:rFonts w:ascii="Times New Roman" w:hAnsi="Times New Roman" w:cs="Times New Roman"/>
          <w:sz w:val="20"/>
          <w:szCs w:val="20"/>
        </w:rPr>
        <w:t xml:space="preserve"> </w:t>
      </w:r>
      <w:proofErr w:type="spellStart"/>
      <w:r w:rsidRPr="0047452F">
        <w:rPr>
          <w:rFonts w:ascii="Times New Roman" w:hAnsi="Times New Roman" w:cs="Times New Roman"/>
          <w:sz w:val="20"/>
          <w:szCs w:val="20"/>
        </w:rPr>
        <w:t>Üniversitesi</w:t>
      </w:r>
      <w:proofErr w:type="spellEnd"/>
      <w:r w:rsidRPr="0047452F">
        <w:rPr>
          <w:rFonts w:ascii="Times New Roman" w:hAnsi="Times New Roman" w:cs="Times New Roman"/>
          <w:sz w:val="20"/>
          <w:szCs w:val="20"/>
        </w:rPr>
        <w:t xml:space="preserve"> 161 (2019), p. </w:t>
      </w:r>
      <w:r w:rsidR="005D1FF3" w:rsidRPr="0047452F">
        <w:rPr>
          <w:rFonts w:ascii="Times New Roman" w:hAnsi="Times New Roman" w:cs="Times New Roman"/>
          <w:sz w:val="20"/>
          <w:szCs w:val="20"/>
        </w:rPr>
        <w:t xml:space="preserve">187. </w:t>
      </w:r>
      <w:r w:rsidRPr="0047452F">
        <w:rPr>
          <w:rFonts w:ascii="Times New Roman" w:hAnsi="Times New Roman" w:cs="Times New Roman"/>
          <w:sz w:val="20"/>
          <w:szCs w:val="20"/>
        </w:rPr>
        <w:t xml:space="preserve"> </w:t>
      </w:r>
    </w:p>
  </w:footnote>
  <w:footnote w:id="915">
    <w:p w14:paraId="607B3E39" w14:textId="7B54CC9F" w:rsidR="0075362C" w:rsidRPr="0047452F" w:rsidRDefault="0075362C">
      <w:pPr>
        <w:pStyle w:val="DipnotMetni"/>
        <w:rPr>
          <w:lang w:val="tr-TR"/>
        </w:rPr>
      </w:pPr>
      <w:r>
        <w:rPr>
          <w:rStyle w:val="DipnotBavurusu"/>
        </w:rPr>
        <w:footnoteRef/>
      </w:r>
      <w:r>
        <w:t xml:space="preserve"> </w:t>
      </w:r>
      <w:proofErr w:type="spellStart"/>
      <w:r w:rsidRPr="00D24DC2">
        <w:rPr>
          <w:rFonts w:ascii="Times New Roman" w:hAnsi="Times New Roman" w:cs="Times New Roman"/>
          <w:sz w:val="20"/>
          <w:szCs w:val="20"/>
        </w:rPr>
        <w:t>Winden</w:t>
      </w:r>
      <w:proofErr w:type="spellEnd"/>
      <w:r w:rsidRPr="00D24DC2">
        <w:rPr>
          <w:rFonts w:ascii="Times New Roman" w:hAnsi="Times New Roman" w:cs="Times New Roman"/>
          <w:sz w:val="20"/>
          <w:szCs w:val="20"/>
        </w:rPr>
        <w:t>, p. 893.</w:t>
      </w:r>
    </w:p>
  </w:footnote>
  <w:footnote w:id="916">
    <w:p w14:paraId="5CDF1BB2" w14:textId="77777777" w:rsidR="00D36541" w:rsidRPr="009975EA" w:rsidRDefault="00D36541" w:rsidP="00A27497">
      <w:pPr>
        <w:pStyle w:val="DipnotMetni"/>
        <w:jc w:val="both"/>
        <w:rPr>
          <w:rFonts w:ascii="Times New Roman" w:hAnsi="Times New Roman" w:cs="Times New Roman"/>
          <w:sz w:val="20"/>
          <w:szCs w:val="20"/>
        </w:rPr>
      </w:pPr>
      <w:r w:rsidRPr="00A27497">
        <w:rPr>
          <w:rStyle w:val="DipnotBavurusu"/>
          <w:rFonts w:ascii="Times New Roman" w:hAnsi="Times New Roman" w:cs="Times New Roman"/>
          <w:sz w:val="20"/>
          <w:szCs w:val="20"/>
        </w:rPr>
        <w:footnoteRef/>
      </w:r>
      <w:r w:rsidRPr="00A27497">
        <w:rPr>
          <w:rFonts w:ascii="Times New Roman" w:hAnsi="Times New Roman" w:cs="Times New Roman"/>
          <w:sz w:val="20"/>
          <w:szCs w:val="20"/>
        </w:rPr>
        <w:t xml:space="preserve"> </w:t>
      </w:r>
      <w:proofErr w:type="spellStart"/>
      <w:r w:rsidRPr="00A27497">
        <w:rPr>
          <w:rFonts w:ascii="Times New Roman" w:hAnsi="Times New Roman" w:cs="Times New Roman"/>
          <w:sz w:val="20"/>
          <w:szCs w:val="20"/>
        </w:rPr>
        <w:t>Nomer</w:t>
      </w:r>
      <w:proofErr w:type="spellEnd"/>
      <w:r w:rsidRPr="00A27497">
        <w:rPr>
          <w:rFonts w:ascii="Times New Roman" w:hAnsi="Times New Roman" w:cs="Times New Roman"/>
          <w:sz w:val="20"/>
          <w:szCs w:val="20"/>
        </w:rPr>
        <w:t>, p. 426.</w:t>
      </w:r>
    </w:p>
  </w:footnote>
  <w:footnote w:id="917">
    <w:p w14:paraId="1DC8A40C" w14:textId="64B56302" w:rsidR="00D36541" w:rsidRPr="009975EA" w:rsidRDefault="00D36541" w:rsidP="009975EA">
      <w:pPr>
        <w:pStyle w:val="DipnotMetni"/>
        <w:jc w:val="both"/>
        <w:rPr>
          <w:rFonts w:ascii="Times New Roman" w:hAnsi="Times New Roman" w:cs="Times New Roman"/>
          <w:sz w:val="20"/>
          <w:szCs w:val="20"/>
          <w:lang w:val="tr-TR"/>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2014/3669 K. 2014/10238 T. 02/06/2014 and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294.</w:t>
      </w:r>
      <w:r w:rsidR="00351E1B">
        <w:rPr>
          <w:rFonts w:ascii="Times New Roman" w:hAnsi="Times New Roman" w:cs="Times New Roman"/>
          <w:sz w:val="20"/>
          <w:szCs w:val="20"/>
        </w:rPr>
        <w:t xml:space="preserve"> </w:t>
      </w:r>
    </w:p>
  </w:footnote>
  <w:footnote w:id="918">
    <w:p w14:paraId="0516A6AE" w14:textId="385EA548" w:rsidR="00D36541" w:rsidRPr="009975EA" w:rsidRDefault="00D36541" w:rsidP="00D046D3">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291 and 295.</w:t>
      </w:r>
      <w:r>
        <w:rPr>
          <w:rFonts w:ascii="Times New Roman" w:hAnsi="Times New Roman" w:cs="Times New Roman"/>
          <w:sz w:val="20"/>
          <w:szCs w:val="20"/>
        </w:rPr>
        <w:tab/>
      </w:r>
    </w:p>
  </w:footnote>
  <w:footnote w:id="919">
    <w:p w14:paraId="4A955934"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193.</w:t>
      </w:r>
    </w:p>
  </w:footnote>
  <w:footnote w:id="920">
    <w:p w14:paraId="66D8D58F" w14:textId="2206306D" w:rsidR="00D351F1" w:rsidRPr="0047452F" w:rsidRDefault="00D351F1">
      <w:pPr>
        <w:pStyle w:val="DipnotMetni"/>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Pr="0047452F">
        <w:rPr>
          <w:rFonts w:ascii="Times New Roman" w:hAnsi="Times New Roman" w:cs="Times New Roman"/>
          <w:sz w:val="20"/>
          <w:szCs w:val="20"/>
          <w:lang w:val="tr-TR"/>
        </w:rPr>
        <w:t xml:space="preserve">Tekinalp, p. 341. </w:t>
      </w:r>
      <w:proofErr w:type="spellStart"/>
      <w:r>
        <w:rPr>
          <w:rFonts w:ascii="Times New Roman" w:hAnsi="Times New Roman" w:cs="Times New Roman"/>
          <w:sz w:val="20"/>
          <w:szCs w:val="20"/>
          <w:lang w:val="tr-TR"/>
        </w:rPr>
        <w:t>For</w:t>
      </w:r>
      <w:proofErr w:type="spellEnd"/>
      <w:r>
        <w:rPr>
          <w:rFonts w:ascii="Times New Roman" w:hAnsi="Times New Roman" w:cs="Times New Roman"/>
          <w:sz w:val="20"/>
          <w:szCs w:val="20"/>
          <w:lang w:val="tr-TR"/>
        </w:rPr>
        <w:t xml:space="preserve"> a </w:t>
      </w:r>
      <w:proofErr w:type="spellStart"/>
      <w:r>
        <w:rPr>
          <w:rFonts w:ascii="Times New Roman" w:hAnsi="Times New Roman" w:cs="Times New Roman"/>
          <w:sz w:val="20"/>
          <w:szCs w:val="20"/>
          <w:lang w:val="tr-TR"/>
        </w:rPr>
        <w:t>list</w:t>
      </w:r>
      <w:proofErr w:type="spellEnd"/>
      <w:r>
        <w:rPr>
          <w:rFonts w:ascii="Times New Roman" w:hAnsi="Times New Roman" w:cs="Times New Roman"/>
          <w:sz w:val="20"/>
          <w:szCs w:val="20"/>
          <w:lang w:val="tr-TR"/>
        </w:rPr>
        <w:t xml:space="preserve"> of </w:t>
      </w:r>
      <w:proofErr w:type="spellStart"/>
      <w:r>
        <w:rPr>
          <w:rFonts w:ascii="Times New Roman" w:hAnsi="Times New Roman" w:cs="Times New Roman"/>
          <w:sz w:val="20"/>
          <w:szCs w:val="20"/>
          <w:lang w:val="tr-TR"/>
        </w:rPr>
        <w:t>examples</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see</w:t>
      </w:r>
      <w:proofErr w:type="spellEnd"/>
      <w:r>
        <w:rPr>
          <w:rFonts w:ascii="Times New Roman" w:hAnsi="Times New Roman" w:cs="Times New Roman"/>
          <w:sz w:val="20"/>
          <w:szCs w:val="20"/>
          <w:lang w:val="tr-TR"/>
        </w:rPr>
        <w:t xml:space="preserve">, Tekinalp, p. 343. </w:t>
      </w:r>
    </w:p>
  </w:footnote>
  <w:footnote w:id="921">
    <w:p w14:paraId="23ABABCB"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Thompson, Corporate Dissolution, p.205; classifying oppression under the “dissolution based on misconduct by those in control of the corporation”. </w:t>
      </w:r>
    </w:p>
  </w:footnote>
  <w:footnote w:id="922">
    <w:p w14:paraId="0BEA46EB"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Brenner</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Berkowitz</w:t>
      </w:r>
      <w:proofErr w:type="spellEnd"/>
      <w:r w:rsidRPr="009975EA">
        <w:rPr>
          <w:rFonts w:ascii="Times New Roman" w:hAnsi="Times New Roman" w:cs="Times New Roman"/>
          <w:sz w:val="20"/>
          <w:szCs w:val="20"/>
        </w:rPr>
        <w:t>, 134 N.J. 488 (1993): “</w:t>
      </w:r>
      <w:proofErr w:type="spellStart"/>
      <w:r w:rsidRPr="009975EA">
        <w:rPr>
          <w:rFonts w:ascii="Times New Roman" w:hAnsi="Times New Roman" w:cs="Times New Roman"/>
          <w:color w:val="000000"/>
          <w:sz w:val="20"/>
          <w:szCs w:val="20"/>
        </w:rPr>
        <w:t>Moreover</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Appellate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Division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observed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legislative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history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supports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determination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Legislature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drafted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new</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statute</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disjunctive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enumerate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additional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separate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causes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action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independent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therefore</w:t>
      </w:r>
      <w:proofErr w:type="spellEnd"/>
      <w:r w:rsidRPr="009975EA">
        <w:rPr>
          <w:rFonts w:ascii="Times New Roman" w:hAnsi="Times New Roman" w:cs="Times New Roman"/>
          <w:color w:val="000000"/>
          <w:sz w:val="20"/>
          <w:szCs w:val="20"/>
        </w:rPr>
        <w:t xml:space="preserve"> “ ‘</w:t>
      </w:r>
      <w:proofErr w:type="spellStart"/>
      <w:r w:rsidRPr="009975EA">
        <w:rPr>
          <w:rFonts w:ascii="Times New Roman" w:hAnsi="Times New Roman" w:cs="Times New Roman"/>
          <w:color w:val="000000"/>
          <w:sz w:val="20"/>
          <w:szCs w:val="20"/>
        </w:rPr>
        <w:t>illegality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fraud</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used</w:t>
      </w:r>
      <w:proofErr w:type="spellEnd"/>
      <w:r w:rsidRPr="009975EA">
        <w:rPr>
          <w:rFonts w:ascii="Times New Roman" w:hAnsi="Times New Roman" w:cs="Times New Roman"/>
          <w:color w:val="000000"/>
          <w:sz w:val="20"/>
          <w:szCs w:val="20"/>
        </w:rPr>
        <w:t xml:space="preserve"> in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statute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meant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synonymous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with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roofErr w:type="spellStart"/>
      <w:r w:rsidRPr="009975EA">
        <w:rPr>
          <w:rFonts w:ascii="Times New Roman" w:hAnsi="Times New Roman" w:cs="Times New Roman"/>
          <w:color w:val="000000"/>
          <w:sz w:val="20"/>
          <w:szCs w:val="20"/>
        </w:rPr>
        <w:t>Illegality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fraud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also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frustrate</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shareholder's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reasonable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expectations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but </w:t>
      </w:r>
      <w:proofErr w:type="spellStart"/>
      <w:r w:rsidRPr="009975EA">
        <w:rPr>
          <w:rFonts w:ascii="Times New Roman" w:hAnsi="Times New Roman" w:cs="Times New Roman"/>
          <w:color w:val="000000"/>
          <w:sz w:val="20"/>
          <w:szCs w:val="20"/>
        </w:rPr>
        <w:t>nonetheless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qualify</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oppression</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923">
    <w:p w14:paraId="35AF5361" w14:textId="0B92758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Bonavita</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Corbo</w:t>
      </w:r>
      <w:proofErr w:type="spellEnd"/>
      <w:r w:rsidRPr="009975EA">
        <w:rPr>
          <w:rFonts w:ascii="Times New Roman" w:hAnsi="Times New Roman" w:cs="Times New Roman"/>
          <w:sz w:val="20"/>
          <w:szCs w:val="20"/>
        </w:rPr>
        <w:t>, 300 N.J.</w:t>
      </w:r>
      <w:r w:rsidR="00441C92">
        <w:rPr>
          <w:rFonts w:ascii="Times New Roman" w:hAnsi="Times New Roman" w:cs="Times New Roman"/>
          <w:sz w:val="20"/>
          <w:szCs w:val="20"/>
        </w:rPr>
        <w:t xml:space="preserve"> </w:t>
      </w:r>
      <w:r w:rsidRPr="009975EA">
        <w:rPr>
          <w:rFonts w:ascii="Times New Roman" w:hAnsi="Times New Roman" w:cs="Times New Roman"/>
          <w:sz w:val="20"/>
          <w:szCs w:val="20"/>
        </w:rPr>
        <w:t>Super. 179 (1996).</w:t>
      </w:r>
    </w:p>
  </w:footnote>
  <w:footnote w:id="924">
    <w:p w14:paraId="416DEA5C" w14:textId="395F1A3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A </w:t>
      </w:r>
      <w:proofErr w:type="spellStart"/>
      <w:r w:rsidRPr="009975EA">
        <w:rPr>
          <w:rFonts w:ascii="Times New Roman" w:hAnsi="Times New Roman" w:cs="Times New Roman"/>
          <w:sz w:val="20"/>
          <w:szCs w:val="20"/>
        </w:rPr>
        <w:t>commentator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writing</w:t>
      </w:r>
      <w:proofErr w:type="spellEnd"/>
      <w:r w:rsidRPr="009975EA">
        <w:rPr>
          <w:rFonts w:ascii="Times New Roman" w:hAnsi="Times New Roman" w:cs="Times New Roman"/>
          <w:sz w:val="20"/>
          <w:szCs w:val="20"/>
        </w:rPr>
        <w:t xml:space="preserve"> on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wichtige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Grund</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sz w:val="20"/>
          <w:szCs w:val="20"/>
        </w:rPr>
        <w:t>substantial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basis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concept</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German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concerning</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judicial</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dissolution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states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the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following</w:t>
      </w:r>
      <w:proofErr w:type="spellEnd"/>
      <w:r w:rsidRPr="009975EA">
        <w:rPr>
          <w:rFonts w:ascii="Times New Roman" w:hAnsi="Times New Roman" w:cs="Times New Roman"/>
          <w:sz w:val="20"/>
          <w:szCs w:val="20"/>
        </w:rPr>
        <w:t>: “</w:t>
      </w:r>
      <w:proofErr w:type="spellStart"/>
      <w:r w:rsidRPr="009975EA">
        <w:rPr>
          <w:rFonts w:ascii="Times New Roman" w:hAnsi="Times New Roman" w:cs="Times New Roman"/>
          <w:color w:val="000000"/>
          <w:sz w:val="20"/>
          <w:szCs w:val="20"/>
        </w:rPr>
        <w:t>Wichtige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Grund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addresses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wide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range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personal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may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arise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from</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circumstances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involve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shareholders</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personally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does</w:t>
      </w:r>
      <w:proofErr w:type="spellEnd"/>
      <w:r w:rsidRPr="009975EA">
        <w:rPr>
          <w:rFonts w:ascii="Times New Roman" w:hAnsi="Times New Roman" w:cs="Times New Roman"/>
          <w:color w:val="000000"/>
          <w:sz w:val="20"/>
          <w:szCs w:val="20"/>
        </w:rPr>
        <w:t xml:space="preserve"> not </w:t>
      </w:r>
      <w:proofErr w:type="spellStart"/>
      <w:r w:rsidRPr="009975EA">
        <w:rPr>
          <w:rFonts w:ascii="Times New Roman" w:hAnsi="Times New Roman" w:cs="Times New Roman"/>
          <w:color w:val="000000"/>
          <w:sz w:val="20"/>
          <w:szCs w:val="20"/>
        </w:rPr>
        <w:t>require</w:t>
      </w:r>
      <w:proofErr w:type="spellEnd"/>
      <w:r w:rsidRPr="009975EA">
        <w:rPr>
          <w:rFonts w:ascii="Times New Roman" w:hAnsi="Times New Roman" w:cs="Times New Roman"/>
          <w:color w:val="000000"/>
          <w:sz w:val="20"/>
          <w:szCs w:val="20"/>
        </w:rPr>
        <w:t xml:space="preserve"> an element of </w:t>
      </w:r>
      <w:proofErr w:type="spellStart"/>
      <w:r w:rsidRPr="009975EA">
        <w:rPr>
          <w:rFonts w:ascii="Times New Roman" w:hAnsi="Times New Roman" w:cs="Times New Roman"/>
          <w:color w:val="000000"/>
          <w:sz w:val="20"/>
          <w:szCs w:val="20"/>
        </w:rPr>
        <w:t>fault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thus</w:t>
      </w:r>
      <w:proofErr w:type="spellEnd"/>
      <w:r w:rsidRPr="009975EA">
        <w:rPr>
          <w:rFonts w:ascii="Times New Roman" w:hAnsi="Times New Roman" w:cs="Times New Roman"/>
          <w:color w:val="000000"/>
          <w:sz w:val="20"/>
          <w:szCs w:val="20"/>
        </w:rPr>
        <w:t xml:space="preserve">, it is </w:t>
      </w:r>
      <w:proofErr w:type="spellStart"/>
      <w:r w:rsidRPr="009975EA">
        <w:rPr>
          <w:rFonts w:ascii="Times New Roman" w:hAnsi="Times New Roman" w:cs="Times New Roman"/>
          <w:color w:val="000000"/>
          <w:sz w:val="20"/>
          <w:szCs w:val="20"/>
        </w:rPr>
        <w:t>much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broader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U.S. </w:t>
      </w:r>
      <w:proofErr w:type="spellStart"/>
      <w:r w:rsidRPr="009975EA">
        <w:rPr>
          <w:rFonts w:ascii="Times New Roman" w:hAnsi="Times New Roman" w:cs="Times New Roman"/>
          <w:color w:val="000000"/>
          <w:sz w:val="20"/>
          <w:szCs w:val="20"/>
        </w:rPr>
        <w:t>concept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fiduciary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duty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comprises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such</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disloyalty</w:t>
      </w:r>
      <w:proofErr w:type="spellEnd"/>
      <w:r w:rsidRPr="009975EA">
        <w:rPr>
          <w:rFonts w:ascii="Times New Roman" w:hAnsi="Times New Roman" w:cs="Times New Roman"/>
          <w:color w:val="000000"/>
          <w:sz w:val="20"/>
          <w:szCs w:val="20"/>
        </w:rPr>
        <w:t>, self-</w:t>
      </w:r>
      <w:proofErr w:type="spellStart"/>
      <w:r w:rsidRPr="009975EA">
        <w:rPr>
          <w:rFonts w:ascii="Times New Roman" w:hAnsi="Times New Roman" w:cs="Times New Roman"/>
          <w:color w:val="000000"/>
          <w:sz w:val="20"/>
          <w:szCs w:val="20"/>
        </w:rPr>
        <w:t>dealing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oppression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faith</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Hugh</w:t>
      </w:r>
      <w:proofErr w:type="spellEnd"/>
      <w:r w:rsidRPr="009975EA">
        <w:rPr>
          <w:rFonts w:ascii="Times New Roman" w:hAnsi="Times New Roman" w:cs="Times New Roman"/>
          <w:color w:val="000000"/>
          <w:sz w:val="20"/>
          <w:szCs w:val="20"/>
        </w:rPr>
        <w:t xml:space="preserve"> T. </w:t>
      </w:r>
      <w:proofErr w:type="spellStart"/>
      <w:r w:rsidRPr="009975EA">
        <w:rPr>
          <w:rFonts w:ascii="Times New Roman" w:hAnsi="Times New Roman" w:cs="Times New Roman"/>
          <w:color w:val="000000"/>
          <w:sz w:val="20"/>
          <w:szCs w:val="20"/>
        </w:rPr>
        <w:t>Scogin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Jr</w:t>
      </w:r>
      <w:proofErr w:type="spellEnd"/>
      <w:r w:rsidRPr="009975EA">
        <w:rPr>
          <w:rFonts w:ascii="Times New Roman" w:hAnsi="Times New Roman" w:cs="Times New Roman"/>
          <w:color w:val="000000"/>
          <w:sz w:val="20"/>
          <w:szCs w:val="20"/>
        </w:rPr>
        <w:t xml:space="preserve">., </w:t>
      </w:r>
      <w:proofErr w:type="spellStart"/>
      <w:r w:rsidRPr="00D046D3">
        <w:rPr>
          <w:rFonts w:ascii="Times New Roman" w:hAnsi="Times New Roman" w:cs="Times New Roman"/>
          <w:i/>
          <w:color w:val="000000"/>
          <w:sz w:val="20"/>
          <w:szCs w:val="20"/>
        </w:rPr>
        <w:t>Withdrawal</w:t>
      </w:r>
      <w:proofErr w:type="spellEnd"/>
      <w:r w:rsidRPr="00D046D3">
        <w:rPr>
          <w:rFonts w:ascii="Times New Roman" w:hAnsi="Times New Roman" w:cs="Times New Roman"/>
          <w:i/>
          <w:color w:val="000000"/>
          <w:sz w:val="20"/>
          <w:szCs w:val="20"/>
        </w:rPr>
        <w:t xml:space="preserve"> </w:t>
      </w:r>
      <w:proofErr w:type="spellStart"/>
      <w:r w:rsidRPr="00D046D3">
        <w:rPr>
          <w:rFonts w:ascii="Times New Roman" w:hAnsi="Times New Roman" w:cs="Times New Roman"/>
          <w:i/>
          <w:color w:val="000000"/>
          <w:sz w:val="20"/>
          <w:szCs w:val="20"/>
        </w:rPr>
        <w:t>and</w:t>
      </w:r>
      <w:proofErr w:type="spellEnd"/>
      <w:r w:rsidRPr="00D046D3">
        <w:rPr>
          <w:rFonts w:ascii="Times New Roman" w:hAnsi="Times New Roman" w:cs="Times New Roman"/>
          <w:i/>
          <w:color w:val="000000"/>
          <w:sz w:val="20"/>
          <w:szCs w:val="20"/>
        </w:rPr>
        <w:t xml:space="preserve"> </w:t>
      </w:r>
      <w:proofErr w:type="spellStart"/>
      <w:r w:rsidRPr="00D046D3">
        <w:rPr>
          <w:rFonts w:ascii="Times New Roman" w:hAnsi="Times New Roman" w:cs="Times New Roman"/>
          <w:i/>
          <w:color w:val="000000"/>
          <w:sz w:val="20"/>
          <w:szCs w:val="20"/>
        </w:rPr>
        <w:t>Expulsion</w:t>
      </w:r>
      <w:proofErr w:type="spellEnd"/>
      <w:r w:rsidRPr="00D046D3">
        <w:rPr>
          <w:rFonts w:ascii="Times New Roman" w:hAnsi="Times New Roman" w:cs="Times New Roman"/>
          <w:i/>
          <w:color w:val="000000"/>
          <w:sz w:val="20"/>
          <w:szCs w:val="20"/>
        </w:rPr>
        <w:t xml:space="preserve"> in Germany: A </w:t>
      </w:r>
      <w:proofErr w:type="spellStart"/>
      <w:r w:rsidRPr="00D046D3">
        <w:rPr>
          <w:rFonts w:ascii="Times New Roman" w:hAnsi="Times New Roman" w:cs="Times New Roman"/>
          <w:i/>
          <w:color w:val="000000"/>
          <w:sz w:val="20"/>
          <w:szCs w:val="20"/>
        </w:rPr>
        <w:t>Comparative</w:t>
      </w:r>
      <w:proofErr w:type="spellEnd"/>
      <w:r w:rsidRPr="00D046D3">
        <w:rPr>
          <w:rFonts w:ascii="Times New Roman" w:hAnsi="Times New Roman" w:cs="Times New Roman"/>
          <w:i/>
          <w:color w:val="000000"/>
          <w:sz w:val="20"/>
          <w:szCs w:val="20"/>
        </w:rPr>
        <w:t xml:space="preserve"> </w:t>
      </w:r>
      <w:proofErr w:type="spellStart"/>
      <w:r w:rsidRPr="00D046D3">
        <w:rPr>
          <w:rFonts w:ascii="Times New Roman" w:hAnsi="Times New Roman" w:cs="Times New Roman"/>
          <w:i/>
          <w:color w:val="000000"/>
          <w:sz w:val="20"/>
          <w:szCs w:val="20"/>
        </w:rPr>
        <w:t>Perspectie</w:t>
      </w:r>
      <w:proofErr w:type="spellEnd"/>
      <w:r w:rsidRPr="00D046D3">
        <w:rPr>
          <w:rFonts w:ascii="Times New Roman" w:hAnsi="Times New Roman" w:cs="Times New Roman"/>
          <w:i/>
          <w:color w:val="000000"/>
          <w:sz w:val="20"/>
          <w:szCs w:val="20"/>
        </w:rPr>
        <w:t xml:space="preserve"> on </w:t>
      </w:r>
      <w:proofErr w:type="spellStart"/>
      <w:r w:rsidRPr="00D046D3">
        <w:rPr>
          <w:rFonts w:ascii="Times New Roman" w:hAnsi="Times New Roman" w:cs="Times New Roman"/>
          <w:i/>
          <w:color w:val="000000"/>
          <w:sz w:val="20"/>
          <w:szCs w:val="20"/>
        </w:rPr>
        <w:t>the</w:t>
      </w:r>
      <w:proofErr w:type="spellEnd"/>
      <w:r w:rsidRPr="00D046D3">
        <w:rPr>
          <w:rFonts w:ascii="Times New Roman" w:hAnsi="Times New Roman" w:cs="Times New Roman"/>
          <w:i/>
          <w:color w:val="000000"/>
          <w:sz w:val="20"/>
          <w:szCs w:val="20"/>
        </w:rPr>
        <w:t xml:space="preserve"> “Close Corporation Problem</w:t>
      </w:r>
      <w:r w:rsidRPr="009975EA">
        <w:rPr>
          <w:rFonts w:ascii="Times New Roman" w:hAnsi="Times New Roman" w:cs="Times New Roman"/>
          <w:color w:val="000000"/>
          <w:sz w:val="20"/>
          <w:szCs w:val="20"/>
        </w:rPr>
        <w:t xml:space="preserve">”, 15 </w:t>
      </w:r>
      <w:proofErr w:type="spellStart"/>
      <w:r>
        <w:rPr>
          <w:rFonts w:ascii="Times New Roman" w:hAnsi="Times New Roman" w:cs="Times New Roman"/>
          <w:color w:val="000000"/>
          <w:sz w:val="20"/>
          <w:szCs w:val="20"/>
        </w:rPr>
        <w:t>Mich</w:t>
      </w:r>
      <w:proofErr w:type="spellEnd"/>
      <w:r>
        <w:rPr>
          <w:rFonts w:ascii="Times New Roman" w:hAnsi="Times New Roman" w:cs="Times New Roman"/>
          <w:color w:val="000000"/>
          <w:sz w:val="20"/>
          <w:szCs w:val="20"/>
        </w:rPr>
        <w:t xml:space="preserve">. J. </w:t>
      </w:r>
      <w:proofErr w:type="spellStart"/>
      <w:r>
        <w:rPr>
          <w:rFonts w:ascii="Times New Roman" w:hAnsi="Times New Roman" w:cs="Times New Roman"/>
          <w:color w:val="000000"/>
          <w:sz w:val="20"/>
          <w:szCs w:val="20"/>
        </w:rPr>
        <w:t>Int’l</w:t>
      </w:r>
      <w:proofErr w:type="spellEnd"/>
      <w:r>
        <w:rPr>
          <w:rFonts w:ascii="Times New Roman" w:hAnsi="Times New Roman" w:cs="Times New Roman"/>
          <w:color w:val="000000"/>
          <w:sz w:val="20"/>
          <w:szCs w:val="20"/>
        </w:rPr>
        <w:t xml:space="preserve"> L. 127 (1993), at </w:t>
      </w:r>
      <w:r w:rsidRPr="009975EA">
        <w:rPr>
          <w:rFonts w:ascii="Times New Roman" w:hAnsi="Times New Roman" w:cs="Times New Roman"/>
          <w:color w:val="000000"/>
          <w:sz w:val="20"/>
          <w:szCs w:val="20"/>
        </w:rPr>
        <w:t xml:space="preserve">135) </w:t>
      </w:r>
    </w:p>
  </w:footnote>
  <w:footnote w:id="925">
    <w:p w14:paraId="1A6FB425"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xml:space="preserve">, p. 6. </w:t>
      </w:r>
    </w:p>
  </w:footnote>
  <w:footnote w:id="926">
    <w:p w14:paraId="4A5EB4F9"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p. 6.</w:t>
      </w:r>
    </w:p>
  </w:footnote>
  <w:footnote w:id="927">
    <w:p w14:paraId="641C6015" w14:textId="7453EF2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p.12</w:t>
      </w:r>
    </w:p>
  </w:footnote>
  <w:footnote w:id="928">
    <w:p w14:paraId="044A4CBD"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Ormanci</w:t>
      </w:r>
      <w:proofErr w:type="spellEnd"/>
      <w:r w:rsidRPr="009975EA">
        <w:rPr>
          <w:rFonts w:ascii="Times New Roman" w:hAnsi="Times New Roman" w:cs="Times New Roman"/>
          <w:sz w:val="20"/>
          <w:szCs w:val="20"/>
        </w:rPr>
        <w:t>, p. 137.</w:t>
      </w:r>
    </w:p>
  </w:footnote>
  <w:footnote w:id="929">
    <w:p w14:paraId="316EA12A"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HGK E. 2013/22- 1881 K. 2015/1124 T. 01/04/2015.</w:t>
      </w:r>
    </w:p>
  </w:footnote>
  <w:footnote w:id="930">
    <w:p w14:paraId="6EB0282C" w14:textId="77777777"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Same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standard</w:t>
      </w:r>
      <w:proofErr w:type="spellEnd"/>
      <w:r w:rsidRPr="009975EA">
        <w:rPr>
          <w:rFonts w:ascii="Times New Roman" w:hAnsi="Times New Roman" w:cs="Times New Roman"/>
          <w:sz w:val="20"/>
          <w:szCs w:val="20"/>
        </w:rPr>
        <w:t xml:space="preserve"> is </w:t>
      </w:r>
      <w:proofErr w:type="spellStart"/>
      <w:r w:rsidRPr="009975EA">
        <w:rPr>
          <w:rFonts w:ascii="Times New Roman" w:hAnsi="Times New Roman" w:cs="Times New Roman"/>
          <w:sz w:val="20"/>
          <w:szCs w:val="20"/>
        </w:rPr>
        <w:t>also</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used</w:t>
      </w:r>
      <w:proofErr w:type="spellEnd"/>
      <w:r w:rsidRPr="009975EA">
        <w:rPr>
          <w:rFonts w:ascii="Times New Roman" w:hAnsi="Times New Roman" w:cs="Times New Roman"/>
          <w:sz w:val="20"/>
          <w:szCs w:val="20"/>
        </w:rPr>
        <w:t xml:space="preserve"> in </w:t>
      </w:r>
      <w:proofErr w:type="spellStart"/>
      <w:r w:rsidRPr="009975EA">
        <w:rPr>
          <w:rFonts w:ascii="Times New Roman" w:hAnsi="Times New Roman" w:cs="Times New Roman"/>
          <w:sz w:val="20"/>
          <w:szCs w:val="20"/>
        </w:rPr>
        <w:t>German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close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corporations</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law</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color w:val="000000"/>
          <w:sz w:val="20"/>
          <w:szCs w:val="20"/>
        </w:rPr>
        <w:t>When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attempt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articulate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standards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which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their</w:t>
      </w:r>
      <w:proofErr w:type="spellEnd"/>
      <w:r w:rsidRPr="009975EA">
        <w:rPr>
          <w:rFonts w:ascii="Times New Roman" w:hAnsi="Times New Roman" w:cs="Times New Roman"/>
          <w:color w:val="000000"/>
          <w:sz w:val="20"/>
          <w:szCs w:val="20"/>
        </w:rPr>
        <w:t xml:space="preserve"> test is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applied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German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commentators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have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generally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relied</w:t>
      </w:r>
      <w:proofErr w:type="spellEnd"/>
      <w:r w:rsidRPr="009975EA">
        <w:rPr>
          <w:rFonts w:ascii="Times New Roman" w:hAnsi="Times New Roman" w:cs="Times New Roman"/>
          <w:color w:val="000000"/>
          <w:sz w:val="20"/>
          <w:szCs w:val="20"/>
        </w:rPr>
        <w:t xml:space="preserve"> on </w:t>
      </w:r>
      <w:proofErr w:type="spellStart"/>
      <w:r w:rsidRPr="009975EA">
        <w:rPr>
          <w:rFonts w:ascii="Times New Roman" w:hAnsi="Times New Roman" w:cs="Times New Roman"/>
          <w:color w:val="000000"/>
          <w:sz w:val="20"/>
          <w:szCs w:val="20"/>
        </w:rPr>
        <w:t>vague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formulations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most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common</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presence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shareholder</w:t>
      </w:r>
      <w:proofErr w:type="spellEnd"/>
      <w:r w:rsidRPr="009975EA">
        <w:rPr>
          <w:rFonts w:ascii="Times New Roman" w:hAnsi="Times New Roman" w:cs="Times New Roman"/>
          <w:color w:val="1C1C1C"/>
          <w:sz w:val="20"/>
          <w:szCs w:val="20"/>
        </w:rPr>
        <w:t xml:space="preserve"> </w:t>
      </w:r>
      <w:r w:rsidRPr="009975EA">
        <w:rPr>
          <w:rFonts w:ascii="Times New Roman" w:hAnsi="Times New Roman" w:cs="Times New Roman"/>
          <w:color w:val="000000"/>
          <w:sz w:val="20"/>
          <w:szCs w:val="20"/>
        </w:rPr>
        <w:t xml:space="preserve">in </w:t>
      </w:r>
      <w:proofErr w:type="spellStart"/>
      <w:r w:rsidRPr="009975EA">
        <w:rPr>
          <w:rFonts w:ascii="Times New Roman" w:hAnsi="Times New Roman" w:cs="Times New Roman"/>
          <w:color w:val="000000"/>
          <w:sz w:val="20"/>
          <w:szCs w:val="20"/>
        </w:rPr>
        <w:t>question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must</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unbearable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unerträglich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untragbar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underscoring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expulsion</w:t>
      </w:r>
      <w:proofErr w:type="spellEnd"/>
      <w:r w:rsidRPr="009975EA">
        <w:rPr>
          <w:rFonts w:ascii="Times New Roman" w:hAnsi="Times New Roman" w:cs="Times New Roman"/>
          <w:color w:val="000000"/>
          <w:sz w:val="20"/>
          <w:szCs w:val="20"/>
        </w:rPr>
        <w:t xml:space="preserve"> is a </w:t>
      </w:r>
      <w:proofErr w:type="spellStart"/>
      <w:r w:rsidRPr="009975EA">
        <w:rPr>
          <w:rFonts w:ascii="Times New Roman" w:hAnsi="Times New Roman" w:cs="Times New Roman"/>
          <w:color w:val="000000"/>
          <w:sz w:val="20"/>
          <w:szCs w:val="20"/>
        </w:rPr>
        <w:t>remedy</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last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resort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courts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usually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require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substantial</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basis</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so</w:t>
      </w:r>
      <w:proofErr w:type="spellEnd"/>
      <w:r w:rsidRPr="009975EA">
        <w:rPr>
          <w:rFonts w:ascii="Times New Roman" w:hAnsi="Times New Roman" w:cs="Times New Roman"/>
          <w:color w:val="000000"/>
          <w:sz w:val="20"/>
          <w:szCs w:val="20"/>
        </w:rPr>
        <w:t xml:space="preserve"> severe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it is </w:t>
      </w:r>
      <w:proofErr w:type="spellStart"/>
      <w:r w:rsidRPr="009975EA">
        <w:rPr>
          <w:rFonts w:ascii="Times New Roman" w:hAnsi="Times New Roman" w:cs="Times New Roman"/>
          <w:color w:val="000000"/>
          <w:sz w:val="20"/>
          <w:szCs w:val="20"/>
        </w:rPr>
        <w:t>impossible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company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achieve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purposes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Although</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aspect</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test </w:t>
      </w:r>
      <w:proofErr w:type="spellStart"/>
      <w:r w:rsidRPr="009975EA">
        <w:rPr>
          <w:rFonts w:ascii="Times New Roman" w:hAnsi="Times New Roman" w:cs="Times New Roman"/>
          <w:color w:val="000000"/>
          <w:sz w:val="20"/>
          <w:szCs w:val="20"/>
        </w:rPr>
        <w:t>resembles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U.S. </w:t>
      </w:r>
      <w:proofErr w:type="spellStart"/>
      <w:r w:rsidRPr="009975EA">
        <w:rPr>
          <w:rFonts w:ascii="Times New Roman" w:hAnsi="Times New Roman" w:cs="Times New Roman"/>
          <w:color w:val="000000"/>
          <w:sz w:val="20"/>
          <w:szCs w:val="20"/>
        </w:rPr>
        <w:t>practice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examples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wichtige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Grund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listed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above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clearly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demonstrate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unbearableness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standard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embraces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wider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range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issues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than</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concepts</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deadlock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1C1C1C"/>
          <w:sz w:val="20"/>
          <w:szCs w:val="20"/>
        </w:rPr>
        <w:t>oppression</w:t>
      </w:r>
      <w:proofErr w:type="spellEnd"/>
      <w:r w:rsidRPr="009975EA">
        <w:rPr>
          <w:rFonts w:ascii="Times New Roman" w:hAnsi="Times New Roman" w:cs="Times New Roman"/>
          <w:color w:val="1C1C1C"/>
          <w:sz w:val="20"/>
          <w:szCs w:val="20"/>
        </w:rPr>
        <w:t xml:space="preserve"> </w:t>
      </w:r>
      <w:proofErr w:type="spellStart"/>
      <w:r w:rsidRPr="009975EA">
        <w:rPr>
          <w:rFonts w:ascii="Times New Roman" w:hAnsi="Times New Roman" w:cs="Times New Roman"/>
          <w:color w:val="000000"/>
          <w:sz w:val="20"/>
          <w:szCs w:val="20"/>
        </w:rPr>
        <w:t>found</w:t>
      </w:r>
      <w:proofErr w:type="spellEnd"/>
      <w:r w:rsidRPr="009975EA">
        <w:rPr>
          <w:rFonts w:ascii="Times New Roman" w:hAnsi="Times New Roman" w:cs="Times New Roman"/>
          <w:color w:val="000000"/>
          <w:sz w:val="20"/>
          <w:szCs w:val="20"/>
        </w:rPr>
        <w:t xml:space="preserve"> in U.S. </w:t>
      </w:r>
      <w:proofErr w:type="spellStart"/>
      <w:r w:rsidRPr="009975EA">
        <w:rPr>
          <w:rFonts w:ascii="Times New Roman" w:hAnsi="Times New Roman" w:cs="Times New Roman"/>
          <w:color w:val="000000"/>
          <w:sz w:val="20"/>
          <w:szCs w:val="20"/>
        </w:rPr>
        <w:t>law</w:t>
      </w:r>
      <w:proofErr w:type="spellEnd"/>
      <w:r w:rsidRPr="009975EA">
        <w:rPr>
          <w:rFonts w:ascii="Times New Roman" w:hAnsi="Times New Roman" w:cs="Times New Roman"/>
          <w:color w:val="000000"/>
          <w:sz w:val="20"/>
          <w:szCs w:val="20"/>
        </w:rPr>
        <w:t>.” (</w:t>
      </w:r>
      <w:proofErr w:type="spellStart"/>
      <w:r w:rsidRPr="009975EA">
        <w:rPr>
          <w:rFonts w:ascii="Times New Roman" w:hAnsi="Times New Roman" w:cs="Times New Roman"/>
          <w:color w:val="000000"/>
          <w:sz w:val="20"/>
          <w:szCs w:val="20"/>
        </w:rPr>
        <w:t>Scogin</w:t>
      </w:r>
      <w:proofErr w:type="spellEnd"/>
      <w:r w:rsidRPr="009975EA">
        <w:rPr>
          <w:rFonts w:ascii="Times New Roman" w:hAnsi="Times New Roman" w:cs="Times New Roman"/>
          <w:color w:val="000000"/>
          <w:sz w:val="20"/>
          <w:szCs w:val="20"/>
        </w:rPr>
        <w:t>, p. 160- 161)</w:t>
      </w:r>
    </w:p>
  </w:footnote>
  <w:footnote w:id="931">
    <w:p w14:paraId="372ABD7E"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p.12.</w:t>
      </w:r>
    </w:p>
  </w:footnote>
  <w:footnote w:id="932">
    <w:p w14:paraId="5C62ECC6"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xml:space="preserve">, p.9. </w:t>
      </w:r>
    </w:p>
  </w:footnote>
  <w:footnote w:id="933">
    <w:p w14:paraId="3EA22228"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p.110.</w:t>
      </w:r>
    </w:p>
  </w:footnote>
  <w:footnote w:id="934">
    <w:p w14:paraId="52FB2EEC" w14:textId="6DE42EE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Tekinalp</w:t>
      </w:r>
      <w:proofErr w:type="spellEnd"/>
      <w:r w:rsidRPr="009975EA">
        <w:rPr>
          <w:rFonts w:ascii="Times New Roman" w:hAnsi="Times New Roman" w:cs="Times New Roman"/>
          <w:sz w:val="20"/>
          <w:szCs w:val="20"/>
        </w:rPr>
        <w:t>, p. 193.</w:t>
      </w:r>
    </w:p>
  </w:footnote>
  <w:footnote w:id="935">
    <w:p w14:paraId="7692116E"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116.</w:t>
      </w:r>
    </w:p>
  </w:footnote>
  <w:footnote w:id="936">
    <w:p w14:paraId="4A9E7FEC" w14:textId="3E48D7F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proofErr w:type="spellStart"/>
      <w:r w:rsidRPr="009975EA">
        <w:rPr>
          <w:rFonts w:ascii="Times New Roman" w:hAnsi="Times New Roman" w:cs="Times New Roman"/>
          <w:sz w:val="20"/>
          <w:szCs w:val="20"/>
        </w:rPr>
        <w:t>Tekinalp</w:t>
      </w:r>
      <w:proofErr w:type="spellEnd"/>
      <w:r w:rsidRPr="009975EA">
        <w:rPr>
          <w:rFonts w:ascii="Times New Roman" w:hAnsi="Times New Roman" w:cs="Times New Roman"/>
          <w:sz w:val="20"/>
          <w:szCs w:val="20"/>
        </w:rPr>
        <w:t xml:space="preserve">, Yeni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p.191. In general, use of a foreign jurisdiction for reference is no stranger to Turkish law, see</w:t>
      </w:r>
      <w:r w:rsidR="00441C92">
        <w:rPr>
          <w:rFonts w:ascii="Times New Roman" w:hAnsi="Times New Roman" w:cs="Times New Roman"/>
          <w:sz w:val="20"/>
          <w:szCs w:val="20"/>
        </w:rPr>
        <w:t>,</w:t>
      </w:r>
      <w:r w:rsidRPr="009975EA">
        <w:rPr>
          <w:rFonts w:ascii="Times New Roman" w:hAnsi="Times New Roman" w:cs="Times New Roman"/>
          <w:sz w:val="20"/>
          <w:szCs w:val="20"/>
        </w:rPr>
        <w:t xml:space="preserve"> Herbert J. </w:t>
      </w:r>
      <w:proofErr w:type="spellStart"/>
      <w:r w:rsidRPr="009975EA">
        <w:rPr>
          <w:rFonts w:ascii="Times New Roman" w:hAnsi="Times New Roman" w:cs="Times New Roman"/>
          <w:sz w:val="20"/>
          <w:szCs w:val="20"/>
        </w:rPr>
        <w:t>Liebesny</w:t>
      </w:r>
      <w:proofErr w:type="spellEnd"/>
      <w:r w:rsidRPr="009975EA">
        <w:rPr>
          <w:rFonts w:ascii="Times New Roman" w:hAnsi="Times New Roman" w:cs="Times New Roman"/>
          <w:sz w:val="20"/>
          <w:szCs w:val="20"/>
        </w:rPr>
        <w:t xml:space="preserve">, </w:t>
      </w:r>
      <w:r w:rsidRPr="00D046D3">
        <w:rPr>
          <w:rFonts w:ascii="Times New Roman" w:hAnsi="Times New Roman" w:cs="Times New Roman"/>
          <w:i/>
          <w:sz w:val="20"/>
          <w:szCs w:val="20"/>
        </w:rPr>
        <w:t>The Law of the Near &amp; Middle East</w:t>
      </w:r>
      <w:r>
        <w:rPr>
          <w:rFonts w:ascii="Times New Roman" w:hAnsi="Times New Roman" w:cs="Times New Roman"/>
          <w:sz w:val="20"/>
          <w:szCs w:val="20"/>
        </w:rPr>
        <w:t xml:space="preserve"> 78- 85 (1</w:t>
      </w:r>
      <w:r w:rsidRPr="009975EA">
        <w:rPr>
          <w:rFonts w:ascii="Times New Roman" w:hAnsi="Times New Roman" w:cs="Times New Roman"/>
          <w:sz w:val="20"/>
          <w:szCs w:val="20"/>
        </w:rPr>
        <w:t>975</w:t>
      </w:r>
      <w:r>
        <w:rPr>
          <w:rFonts w:ascii="Times New Roman" w:hAnsi="Times New Roman" w:cs="Times New Roman"/>
          <w:sz w:val="20"/>
          <w:szCs w:val="20"/>
        </w:rPr>
        <w:t>)</w:t>
      </w:r>
      <w:r w:rsidRPr="009975EA">
        <w:rPr>
          <w:rFonts w:ascii="Times New Roman" w:hAnsi="Times New Roman" w:cs="Times New Roman"/>
          <w:sz w:val="20"/>
          <w:szCs w:val="20"/>
        </w:rPr>
        <w:t>.</w:t>
      </w:r>
    </w:p>
  </w:footnote>
  <w:footnote w:id="937">
    <w:p w14:paraId="04961511" w14:textId="2C541C1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Eser</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Ruzgar</w:t>
      </w:r>
      <w:proofErr w:type="spellEnd"/>
      <w:r w:rsidRPr="009975EA">
        <w:rPr>
          <w:rFonts w:ascii="Times New Roman" w:hAnsi="Times New Roman" w:cs="Times New Roman"/>
          <w:sz w:val="20"/>
          <w:szCs w:val="20"/>
        </w:rPr>
        <w:t xml:space="preserve">, </w:t>
      </w:r>
      <w:proofErr w:type="spellStart"/>
      <w:r w:rsidRPr="00D046D3">
        <w:rPr>
          <w:rFonts w:ascii="Times New Roman" w:hAnsi="Times New Roman" w:cs="Times New Roman"/>
          <w:i/>
          <w:sz w:val="20"/>
          <w:szCs w:val="20"/>
        </w:rPr>
        <w:t>Anonim</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Sirketin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Azlik</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Tarafindan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Feshine</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Iliskin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Dava</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ile</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Ilgili</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Isvicre</w:t>
      </w:r>
      <w:proofErr w:type="spellEnd"/>
      <w:r w:rsidRPr="00D046D3">
        <w:rPr>
          <w:rFonts w:ascii="Times New Roman" w:hAnsi="Times New Roman" w:cs="Times New Roman"/>
          <w:i/>
          <w:sz w:val="20"/>
          <w:szCs w:val="20"/>
        </w:rPr>
        <w:t xml:space="preserve"> Federal </w:t>
      </w:r>
      <w:proofErr w:type="spellStart"/>
      <w:r w:rsidRPr="00D046D3">
        <w:rPr>
          <w:rFonts w:ascii="Times New Roman" w:hAnsi="Times New Roman" w:cs="Times New Roman"/>
          <w:i/>
          <w:sz w:val="20"/>
          <w:szCs w:val="20"/>
        </w:rPr>
        <w:t>Mahkemesi</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Kararlarinin</w:t>
      </w:r>
      <w:proofErr w:type="spellEnd"/>
      <w:r w:rsidRPr="00D046D3">
        <w:rPr>
          <w:rFonts w:ascii="Times New Roman" w:hAnsi="Times New Roman" w:cs="Times New Roman"/>
          <w:i/>
          <w:sz w:val="20"/>
          <w:szCs w:val="20"/>
        </w:rPr>
        <w:t xml:space="preserve"> </w:t>
      </w:r>
      <w:proofErr w:type="spellStart"/>
      <w:r w:rsidRPr="00D046D3">
        <w:rPr>
          <w:rFonts w:ascii="Times New Roman" w:hAnsi="Times New Roman" w:cs="Times New Roman"/>
          <w:i/>
          <w:sz w:val="20"/>
          <w:szCs w:val="20"/>
        </w:rPr>
        <w:t>Degerlendirilmesi</w:t>
      </w:r>
      <w:proofErr w:type="spellEnd"/>
      <w:r>
        <w:rPr>
          <w:rFonts w:ascii="Times New Roman" w:hAnsi="Times New Roman" w:cs="Times New Roman"/>
          <w:sz w:val="20"/>
          <w:szCs w:val="20"/>
        </w:rPr>
        <w:t xml:space="preserve">, TAAD Yil:5 </w:t>
      </w:r>
      <w:proofErr w:type="spellStart"/>
      <w:r>
        <w:rPr>
          <w:rFonts w:ascii="Times New Roman" w:hAnsi="Times New Roman" w:cs="Times New Roman"/>
          <w:sz w:val="20"/>
          <w:szCs w:val="20"/>
        </w:rPr>
        <w:t>Sayi</w:t>
      </w:r>
      <w:proofErr w:type="spellEnd"/>
      <w:r>
        <w:rPr>
          <w:rFonts w:ascii="Times New Roman" w:hAnsi="Times New Roman" w:cs="Times New Roman"/>
          <w:sz w:val="20"/>
          <w:szCs w:val="20"/>
        </w:rPr>
        <w:t xml:space="preserve">: 16 (2014), at </w:t>
      </w:r>
      <w:r w:rsidRPr="009975EA">
        <w:rPr>
          <w:rFonts w:ascii="Times New Roman" w:hAnsi="Times New Roman" w:cs="Times New Roman"/>
          <w:sz w:val="20"/>
          <w:szCs w:val="20"/>
        </w:rPr>
        <w:t>340- 341.</w:t>
      </w:r>
    </w:p>
  </w:footnote>
  <w:footnote w:id="938">
    <w:p w14:paraId="67CE479A" w14:textId="31C64DF0" w:rsidR="00D36541" w:rsidRPr="009975EA" w:rsidRDefault="00D36541" w:rsidP="00D046D3">
      <w:pPr>
        <w:pStyle w:val="DipnotMetni"/>
        <w:tabs>
          <w:tab w:val="left" w:pos="3874"/>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139.</w:t>
      </w:r>
      <w:r>
        <w:rPr>
          <w:rFonts w:ascii="Times New Roman" w:hAnsi="Times New Roman" w:cs="Times New Roman"/>
          <w:sz w:val="20"/>
          <w:szCs w:val="20"/>
        </w:rPr>
        <w:tab/>
      </w:r>
    </w:p>
  </w:footnote>
  <w:footnote w:id="939">
    <w:p w14:paraId="5E46B3B3" w14:textId="311E835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2015/6768 K. 2015/10302 T. 12/10/2015.</w:t>
      </w:r>
    </w:p>
  </w:footnote>
  <w:footnote w:id="940">
    <w:p w14:paraId="49DF5B9D" w14:textId="6A202504" w:rsidR="00D36541" w:rsidRPr="009975EA" w:rsidRDefault="00D36541" w:rsidP="00D046D3">
      <w:pPr>
        <w:pStyle w:val="DipnotMetni"/>
        <w:tabs>
          <w:tab w:val="left" w:pos="4781"/>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p. 7.</w:t>
      </w:r>
      <w:r>
        <w:rPr>
          <w:rFonts w:ascii="Times New Roman" w:hAnsi="Times New Roman" w:cs="Times New Roman"/>
          <w:sz w:val="20"/>
          <w:szCs w:val="20"/>
        </w:rPr>
        <w:tab/>
      </w:r>
    </w:p>
  </w:footnote>
  <w:footnote w:id="941">
    <w:p w14:paraId="0CB924D6" w14:textId="23D9F1D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213- 214.</w:t>
      </w:r>
    </w:p>
  </w:footnote>
  <w:footnote w:id="942">
    <w:p w14:paraId="1EB6306B" w14:textId="49E9B6A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217.</w:t>
      </w:r>
    </w:p>
  </w:footnote>
  <w:footnote w:id="943">
    <w:p w14:paraId="486BD4F0" w14:textId="1A00366A"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2004/8765 K. 2004/9790 T. 14/10/2004.</w:t>
      </w:r>
    </w:p>
  </w:footnote>
  <w:footnote w:id="944">
    <w:p w14:paraId="28DB7736" w14:textId="1A53845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237.</w:t>
      </w:r>
    </w:p>
  </w:footnote>
  <w:footnote w:id="945">
    <w:p w14:paraId="100F999B" w14:textId="77777777" w:rsidR="00D36541" w:rsidRPr="009975EA" w:rsidRDefault="00D36541" w:rsidP="004C231E">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246- 247.</w:t>
      </w:r>
    </w:p>
  </w:footnote>
  <w:footnote w:id="946">
    <w:p w14:paraId="6B76C019" w14:textId="785E2A07" w:rsidR="00D36541" w:rsidRPr="00D046D3" w:rsidRDefault="00D36541">
      <w:pPr>
        <w:pStyle w:val="DipnotMetni"/>
        <w:rPr>
          <w:rFonts w:ascii="Times New Roman" w:hAnsi="Times New Roman" w:cs="Times New Roman"/>
          <w:sz w:val="20"/>
        </w:rPr>
      </w:pPr>
      <w:r w:rsidRPr="00D046D3">
        <w:rPr>
          <w:rStyle w:val="DipnotBavurusu"/>
          <w:rFonts w:ascii="Times New Roman" w:hAnsi="Times New Roman" w:cs="Times New Roman"/>
          <w:sz w:val="20"/>
        </w:rPr>
        <w:footnoteRef/>
      </w:r>
      <w:r w:rsidRPr="00D046D3">
        <w:rPr>
          <w:rFonts w:ascii="Times New Roman" w:hAnsi="Times New Roman" w:cs="Times New Roman"/>
          <w:sz w:val="20"/>
        </w:rPr>
        <w:t xml:space="preserve"> See, Chapter 2.1.1.</w:t>
      </w:r>
    </w:p>
  </w:footnote>
  <w:footnote w:id="947">
    <w:p w14:paraId="1F24872F" w14:textId="07F79EA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the costs that legal standards generate for legal environment, see, Kaplow, p. 568- 571.</w:t>
      </w:r>
    </w:p>
  </w:footnote>
  <w:footnote w:id="948">
    <w:p w14:paraId="3AE33016" w14:textId="0050B015" w:rsidR="00D36541" w:rsidRPr="009975EA" w:rsidRDefault="00D36541" w:rsidP="009975EA">
      <w:pPr>
        <w:widowControl w:val="0"/>
        <w:autoSpaceDE w:val="0"/>
        <w:autoSpaceDN w:val="0"/>
        <w:adjustRightInd w:val="0"/>
        <w:jc w:val="both"/>
        <w:rPr>
          <w:rFonts w:ascii="Times New Roman" w:hAnsi="Times New Roman" w:cs="Times New Roman"/>
          <w:color w:val="000000"/>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Bagdon</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Bridgestone</w:t>
      </w:r>
      <w:proofErr w:type="spellEnd"/>
      <w:r w:rsidRPr="009975EA">
        <w:rPr>
          <w:rFonts w:ascii="Times New Roman" w:hAnsi="Times New Roman" w:cs="Times New Roman"/>
          <w:sz w:val="20"/>
          <w:szCs w:val="20"/>
        </w:rPr>
        <w:t>/</w:t>
      </w:r>
      <w:proofErr w:type="spellStart"/>
      <w:r w:rsidRPr="009975EA">
        <w:rPr>
          <w:rFonts w:ascii="Times New Roman" w:hAnsi="Times New Roman" w:cs="Times New Roman"/>
          <w:sz w:val="20"/>
          <w:szCs w:val="20"/>
        </w:rPr>
        <w:t>Firestone</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Inc</w:t>
      </w:r>
      <w:proofErr w:type="spellEnd"/>
      <w:r w:rsidRPr="009975EA">
        <w:rPr>
          <w:rFonts w:ascii="Times New Roman" w:hAnsi="Times New Roman" w:cs="Times New Roman"/>
          <w:sz w:val="20"/>
          <w:szCs w:val="20"/>
        </w:rPr>
        <w:t>., 916 F.2d 379 (1990): “</w:t>
      </w:r>
      <w:proofErr w:type="spellStart"/>
      <w:r w:rsidRPr="009975EA">
        <w:rPr>
          <w:rFonts w:ascii="Times New Roman" w:hAnsi="Times New Roman" w:cs="Times New Roman"/>
          <w:color w:val="000000"/>
          <w:sz w:val="20"/>
          <w:szCs w:val="20"/>
        </w:rPr>
        <w:t>Whether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incorporate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entails</w:t>
      </w:r>
      <w:proofErr w:type="spellEnd"/>
      <w:r w:rsidRPr="009975EA">
        <w:rPr>
          <w:rFonts w:ascii="Times New Roman" w:hAnsi="Times New Roman" w:cs="Times New Roman"/>
          <w:color w:val="000000"/>
          <w:sz w:val="20"/>
          <w:szCs w:val="20"/>
        </w:rPr>
        <w:t xml:space="preserve"> a </w:t>
      </w:r>
      <w:proofErr w:type="spellStart"/>
      <w:r w:rsidRPr="009975EA">
        <w:rPr>
          <w:rFonts w:ascii="Times New Roman" w:hAnsi="Times New Roman" w:cs="Times New Roman"/>
          <w:color w:val="000000"/>
          <w:sz w:val="20"/>
          <w:szCs w:val="20"/>
        </w:rPr>
        <w:t>choice</w:t>
      </w:r>
      <w:proofErr w:type="spellEnd"/>
      <w:r w:rsidRPr="009975EA">
        <w:rPr>
          <w:rFonts w:ascii="Times New Roman" w:hAnsi="Times New Roman" w:cs="Times New Roman"/>
          <w:color w:val="000000"/>
          <w:sz w:val="20"/>
          <w:szCs w:val="20"/>
        </w:rPr>
        <w:t xml:space="preserve"> of </w:t>
      </w:r>
      <w:proofErr w:type="spellStart"/>
      <w:r w:rsidRPr="009975EA">
        <w:rPr>
          <w:rFonts w:ascii="Times New Roman" w:hAnsi="Times New Roman" w:cs="Times New Roman"/>
          <w:color w:val="000000"/>
          <w:sz w:val="20"/>
          <w:szCs w:val="20"/>
        </w:rPr>
        <w:t>many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formalities</w:t>
      </w:r>
      <w:proofErr w:type="spellEnd"/>
      <w:r w:rsidRPr="009975EA">
        <w:rPr>
          <w:rFonts w:ascii="Times New Roman" w:hAnsi="Times New Roman" w:cs="Times New Roman"/>
          <w:color w:val="000000"/>
          <w:sz w:val="20"/>
          <w:szCs w:val="20"/>
        </w:rPr>
        <w:t xml:space="preserve">. Commercial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should</w:t>
      </w:r>
      <w:proofErr w:type="spellEnd"/>
      <w:r w:rsidRPr="009975EA">
        <w:rPr>
          <w:rFonts w:ascii="Times New Roman" w:hAnsi="Times New Roman" w:cs="Times New Roman"/>
          <w:color w:val="000000"/>
          <w:sz w:val="20"/>
          <w:szCs w:val="20"/>
        </w:rPr>
        <w:t xml:space="preserve"> be </w:t>
      </w:r>
      <w:proofErr w:type="spellStart"/>
      <w:r w:rsidRPr="009975EA">
        <w:rPr>
          <w:rFonts w:ascii="Times New Roman" w:hAnsi="Times New Roman" w:cs="Times New Roman"/>
          <w:color w:val="000000"/>
          <w:sz w:val="20"/>
          <w:szCs w:val="20"/>
        </w:rPr>
        <w:t>predictable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objective</w:t>
      </w:r>
      <w:proofErr w:type="spellEnd"/>
      <w:r w:rsidRPr="009975EA">
        <w:rPr>
          <w:rFonts w:ascii="Times New Roman" w:hAnsi="Times New Roman" w:cs="Times New Roman"/>
          <w:color w:val="000000"/>
          <w:sz w:val="20"/>
          <w:szCs w:val="20"/>
        </w:rPr>
        <w:t xml:space="preserve"> is </w:t>
      </w:r>
      <w:proofErr w:type="spellStart"/>
      <w:r w:rsidRPr="009975EA">
        <w:rPr>
          <w:rFonts w:ascii="Times New Roman" w:hAnsi="Times New Roman" w:cs="Times New Roman"/>
          <w:color w:val="000000"/>
          <w:sz w:val="20"/>
          <w:szCs w:val="20"/>
        </w:rPr>
        <w:t>best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served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treating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corporations</w:t>
      </w:r>
      <w:proofErr w:type="spellEnd"/>
      <w:r w:rsidRPr="009975EA">
        <w:rPr>
          <w:rFonts w:ascii="Times New Roman" w:hAnsi="Times New Roman" w:cs="Times New Roman"/>
          <w:color w:val="000000"/>
          <w:sz w:val="20"/>
          <w:szCs w:val="20"/>
        </w:rPr>
        <w:t xml:space="preserve"> as </w:t>
      </w:r>
      <w:proofErr w:type="spellStart"/>
      <w:r w:rsidRPr="009975EA">
        <w:rPr>
          <w:rFonts w:ascii="Times New Roman" w:hAnsi="Times New Roman" w:cs="Times New Roman"/>
          <w:color w:val="000000"/>
          <w:sz w:val="20"/>
          <w:szCs w:val="20"/>
        </w:rPr>
        <w:t>what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allowing</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investors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and</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other</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participants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to</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vary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rules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by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contract</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if</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they</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think</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deviations</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are</w:t>
      </w:r>
      <w:proofErr w:type="spellEnd"/>
      <w:r w:rsidRPr="009975EA">
        <w:rPr>
          <w:rFonts w:ascii="Times New Roman" w:hAnsi="Times New Roman" w:cs="Times New Roman"/>
          <w:color w:val="000000"/>
          <w:sz w:val="20"/>
          <w:szCs w:val="20"/>
        </w:rPr>
        <w:t xml:space="preserve"> </w:t>
      </w:r>
      <w:proofErr w:type="spellStart"/>
      <w:r w:rsidRPr="009975EA">
        <w:rPr>
          <w:rFonts w:ascii="Times New Roman" w:hAnsi="Times New Roman" w:cs="Times New Roman"/>
          <w:color w:val="000000"/>
          <w:sz w:val="20"/>
          <w:szCs w:val="20"/>
        </w:rPr>
        <w:t>warranted</w:t>
      </w:r>
      <w:proofErr w:type="spellEnd"/>
      <w:r w:rsidRPr="009975EA">
        <w:rPr>
          <w:rFonts w:ascii="Times New Roman" w:hAnsi="Times New Roman" w:cs="Times New Roman"/>
          <w:color w:val="000000"/>
          <w:sz w:val="20"/>
          <w:szCs w:val="20"/>
        </w:rPr>
        <w:t>.</w:t>
      </w:r>
      <w:r w:rsidRPr="009975EA">
        <w:rPr>
          <w:rFonts w:ascii="Times New Roman" w:hAnsi="Times New Roman" w:cs="Times New Roman"/>
          <w:sz w:val="20"/>
          <w:szCs w:val="20"/>
        </w:rPr>
        <w:t>”</w:t>
      </w:r>
    </w:p>
  </w:footnote>
  <w:footnote w:id="949">
    <w:p w14:paraId="14E0D5C5" w14:textId="3000FEAB" w:rsidR="00A44A0B" w:rsidRPr="0047452F" w:rsidRDefault="00A44A0B">
      <w:pPr>
        <w:pStyle w:val="DipnotMetni"/>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Pr="0047452F">
        <w:rPr>
          <w:rFonts w:ascii="Times New Roman" w:hAnsi="Times New Roman" w:cs="Times New Roman"/>
          <w:sz w:val="20"/>
          <w:szCs w:val="20"/>
          <w:lang w:val="tr-TR"/>
        </w:rPr>
        <w:t>Tekinalp, p. 344.</w:t>
      </w:r>
    </w:p>
  </w:footnote>
  <w:footnote w:id="950">
    <w:p w14:paraId="655FC009" w14:textId="54FA52E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Lola Cars Intern. Ltd. v. </w:t>
      </w:r>
      <w:proofErr w:type="spellStart"/>
      <w:r w:rsidRPr="009975EA">
        <w:rPr>
          <w:rFonts w:ascii="Times New Roman" w:hAnsi="Times New Roman" w:cs="Times New Roman"/>
          <w:sz w:val="20"/>
          <w:szCs w:val="20"/>
        </w:rPr>
        <w:t>Krohn</w:t>
      </w:r>
      <w:proofErr w:type="spellEnd"/>
      <w:r w:rsidRPr="009975EA">
        <w:rPr>
          <w:rFonts w:ascii="Times New Roman" w:hAnsi="Times New Roman" w:cs="Times New Roman"/>
          <w:sz w:val="20"/>
          <w:szCs w:val="20"/>
        </w:rPr>
        <w:t xml:space="preserve"> Racing, LLC, 2009 WL 4052681.</w:t>
      </w:r>
    </w:p>
  </w:footnote>
  <w:footnote w:id="951">
    <w:p w14:paraId="3C09F961" w14:textId="3A2FF83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Katz v. Oak Industries Inc., 508 A.2d 873 (1986).</w:t>
      </w:r>
    </w:p>
  </w:footnote>
  <w:footnote w:id="952">
    <w:p w14:paraId="18D060B0" w14:textId="3B56F8FF" w:rsidR="00B625E1" w:rsidRPr="00F91D2C" w:rsidRDefault="00B625E1" w:rsidP="0047452F">
      <w:pPr>
        <w:pStyle w:val="DipnotMetni"/>
        <w:jc w:val="both"/>
        <w:rPr>
          <w:rFonts w:ascii="Times New Roman" w:hAnsi="Times New Roman" w:cs="Times New Roman"/>
          <w:i/>
          <w:iCs/>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00AA4174" w:rsidRPr="0047452F">
        <w:rPr>
          <w:rFonts w:ascii="Times New Roman" w:hAnsi="Times New Roman" w:cs="Times New Roman"/>
          <w:sz w:val="20"/>
          <w:szCs w:val="20"/>
        </w:rPr>
        <w:t xml:space="preserve">See, </w:t>
      </w:r>
      <w:proofErr w:type="spellStart"/>
      <w:r w:rsidR="00AA4174" w:rsidRPr="0047452F">
        <w:rPr>
          <w:rFonts w:ascii="Times New Roman" w:hAnsi="Times New Roman" w:cs="Times New Roman"/>
          <w:sz w:val="20"/>
          <w:szCs w:val="20"/>
        </w:rPr>
        <w:t>Veliye</w:t>
      </w:r>
      <w:proofErr w:type="spellEnd"/>
      <w:r w:rsidR="00AA4174" w:rsidRPr="0047452F">
        <w:rPr>
          <w:rFonts w:ascii="Times New Roman" w:hAnsi="Times New Roman" w:cs="Times New Roman"/>
          <w:sz w:val="20"/>
          <w:szCs w:val="20"/>
        </w:rPr>
        <w:t xml:space="preserve"> </w:t>
      </w:r>
      <w:proofErr w:type="spellStart"/>
      <w:r w:rsidR="00AA4174" w:rsidRPr="0047452F">
        <w:rPr>
          <w:rFonts w:ascii="Times New Roman" w:hAnsi="Times New Roman" w:cs="Times New Roman"/>
          <w:sz w:val="20"/>
          <w:szCs w:val="20"/>
        </w:rPr>
        <w:t>Yanlı</w:t>
      </w:r>
      <w:proofErr w:type="spellEnd"/>
      <w:r w:rsidR="00AA4174" w:rsidRPr="0047452F">
        <w:rPr>
          <w:rFonts w:ascii="Times New Roman" w:hAnsi="Times New Roman" w:cs="Times New Roman"/>
          <w:sz w:val="20"/>
          <w:szCs w:val="20"/>
        </w:rPr>
        <w:t xml:space="preserve">, </w:t>
      </w:r>
      <w:proofErr w:type="spellStart"/>
      <w:r w:rsidR="00AA4174" w:rsidRPr="0047452F">
        <w:rPr>
          <w:rFonts w:ascii="Times New Roman" w:hAnsi="Times New Roman" w:cs="Times New Roman"/>
          <w:i/>
          <w:iCs/>
          <w:sz w:val="20"/>
          <w:szCs w:val="20"/>
        </w:rPr>
        <w:t>Anonim</w:t>
      </w:r>
      <w:proofErr w:type="spellEnd"/>
      <w:r w:rsidR="00AA4174" w:rsidRPr="0047452F">
        <w:rPr>
          <w:rFonts w:ascii="Times New Roman" w:hAnsi="Times New Roman" w:cs="Times New Roman"/>
          <w:i/>
          <w:iCs/>
          <w:sz w:val="20"/>
          <w:szCs w:val="20"/>
        </w:rPr>
        <w:t xml:space="preserve"> </w:t>
      </w:r>
      <w:proofErr w:type="spellStart"/>
      <w:r w:rsidR="00AA4174" w:rsidRPr="0047452F">
        <w:rPr>
          <w:rFonts w:ascii="Times New Roman" w:hAnsi="Times New Roman" w:cs="Times New Roman"/>
          <w:i/>
          <w:iCs/>
          <w:sz w:val="20"/>
          <w:szCs w:val="20"/>
        </w:rPr>
        <w:t>Ortaklıklarda</w:t>
      </w:r>
      <w:proofErr w:type="spellEnd"/>
      <w:r w:rsidR="00AA4174" w:rsidRPr="0047452F">
        <w:rPr>
          <w:rFonts w:ascii="Times New Roman" w:hAnsi="Times New Roman" w:cs="Times New Roman"/>
          <w:i/>
          <w:iCs/>
          <w:sz w:val="20"/>
          <w:szCs w:val="20"/>
        </w:rPr>
        <w:t xml:space="preserve"> </w:t>
      </w:r>
      <w:proofErr w:type="spellStart"/>
      <w:r w:rsidR="00AA4174" w:rsidRPr="0047452F">
        <w:rPr>
          <w:rFonts w:ascii="Times New Roman" w:hAnsi="Times New Roman" w:cs="Times New Roman"/>
          <w:i/>
          <w:iCs/>
          <w:sz w:val="20"/>
          <w:szCs w:val="20"/>
        </w:rPr>
        <w:t>Karın</w:t>
      </w:r>
      <w:proofErr w:type="spellEnd"/>
      <w:r w:rsidR="00AA4174" w:rsidRPr="0047452F">
        <w:rPr>
          <w:rFonts w:ascii="Times New Roman" w:hAnsi="Times New Roman" w:cs="Times New Roman"/>
          <w:i/>
          <w:iCs/>
          <w:sz w:val="20"/>
          <w:szCs w:val="20"/>
        </w:rPr>
        <w:t xml:space="preserve"> </w:t>
      </w:r>
      <w:proofErr w:type="spellStart"/>
      <w:r w:rsidR="00AA4174" w:rsidRPr="0047452F">
        <w:rPr>
          <w:rFonts w:ascii="Times New Roman" w:hAnsi="Times New Roman" w:cs="Times New Roman"/>
          <w:i/>
          <w:iCs/>
          <w:sz w:val="20"/>
          <w:szCs w:val="20"/>
        </w:rPr>
        <w:t>Tamamen</w:t>
      </w:r>
      <w:proofErr w:type="spellEnd"/>
      <w:r w:rsidR="00AA4174" w:rsidRPr="0047452F">
        <w:rPr>
          <w:rFonts w:ascii="Times New Roman" w:hAnsi="Times New Roman" w:cs="Times New Roman"/>
          <w:i/>
          <w:iCs/>
          <w:sz w:val="20"/>
          <w:szCs w:val="20"/>
        </w:rPr>
        <w:t xml:space="preserve"> </w:t>
      </w:r>
      <w:proofErr w:type="spellStart"/>
      <w:r w:rsidR="00AA4174" w:rsidRPr="0047452F">
        <w:rPr>
          <w:rFonts w:ascii="Times New Roman" w:hAnsi="Times New Roman" w:cs="Times New Roman"/>
          <w:i/>
          <w:iCs/>
          <w:sz w:val="20"/>
          <w:szCs w:val="20"/>
        </w:rPr>
        <w:t>Devrine</w:t>
      </w:r>
      <w:proofErr w:type="spellEnd"/>
      <w:r w:rsidR="00AA4174" w:rsidRPr="0047452F">
        <w:rPr>
          <w:rFonts w:ascii="Times New Roman" w:hAnsi="Times New Roman" w:cs="Times New Roman"/>
          <w:i/>
          <w:iCs/>
          <w:sz w:val="20"/>
          <w:szCs w:val="20"/>
        </w:rPr>
        <w:t xml:space="preserve"> </w:t>
      </w:r>
      <w:proofErr w:type="spellStart"/>
      <w:r w:rsidR="00AA4174" w:rsidRPr="0047452F">
        <w:rPr>
          <w:rFonts w:ascii="Times New Roman" w:hAnsi="Times New Roman" w:cs="Times New Roman"/>
          <w:i/>
          <w:iCs/>
          <w:sz w:val="20"/>
          <w:szCs w:val="20"/>
        </w:rPr>
        <w:t>İlişkin</w:t>
      </w:r>
      <w:proofErr w:type="spellEnd"/>
      <w:r w:rsidR="00AA4174" w:rsidRPr="0047452F">
        <w:rPr>
          <w:rFonts w:ascii="Times New Roman" w:hAnsi="Times New Roman" w:cs="Times New Roman"/>
          <w:i/>
          <w:iCs/>
          <w:sz w:val="20"/>
          <w:szCs w:val="20"/>
        </w:rPr>
        <w:t xml:space="preserve"> Bir </w:t>
      </w:r>
      <w:proofErr w:type="spellStart"/>
      <w:r w:rsidR="00AA4174" w:rsidRPr="0047452F">
        <w:rPr>
          <w:rFonts w:ascii="Times New Roman" w:hAnsi="Times New Roman" w:cs="Times New Roman"/>
          <w:i/>
          <w:iCs/>
          <w:sz w:val="20"/>
          <w:szCs w:val="20"/>
        </w:rPr>
        <w:t>Tasarruf</w:t>
      </w:r>
      <w:proofErr w:type="spellEnd"/>
      <w:r w:rsidR="00AA4174" w:rsidRPr="0047452F">
        <w:rPr>
          <w:rFonts w:ascii="Times New Roman" w:hAnsi="Times New Roman" w:cs="Times New Roman"/>
          <w:i/>
          <w:iCs/>
          <w:sz w:val="20"/>
          <w:szCs w:val="20"/>
        </w:rPr>
        <w:t xml:space="preserve"> </w:t>
      </w:r>
      <w:proofErr w:type="spellStart"/>
      <w:r w:rsidR="00AA4174" w:rsidRPr="0047452F">
        <w:rPr>
          <w:rFonts w:ascii="Times New Roman" w:hAnsi="Times New Roman" w:cs="Times New Roman"/>
          <w:i/>
          <w:iCs/>
          <w:sz w:val="20"/>
          <w:szCs w:val="20"/>
        </w:rPr>
        <w:t>Yapılabilir</w:t>
      </w:r>
      <w:proofErr w:type="spellEnd"/>
      <w:r w:rsidR="00AA4174" w:rsidRPr="0047452F">
        <w:rPr>
          <w:rFonts w:ascii="Times New Roman" w:hAnsi="Times New Roman" w:cs="Times New Roman"/>
          <w:i/>
          <w:iCs/>
          <w:sz w:val="20"/>
          <w:szCs w:val="20"/>
        </w:rPr>
        <w:t xml:space="preserve"> </w:t>
      </w:r>
      <w:proofErr w:type="gramStart"/>
      <w:r w:rsidR="00AA4174" w:rsidRPr="0047452F">
        <w:rPr>
          <w:rFonts w:ascii="Times New Roman" w:hAnsi="Times New Roman" w:cs="Times New Roman"/>
          <w:i/>
          <w:iCs/>
          <w:sz w:val="20"/>
          <w:szCs w:val="20"/>
        </w:rPr>
        <w:t>mi?,</w:t>
      </w:r>
      <w:proofErr w:type="gramEnd"/>
      <w:r w:rsidR="00AA4174" w:rsidRPr="0047452F">
        <w:rPr>
          <w:rFonts w:ascii="Times New Roman" w:hAnsi="Times New Roman" w:cs="Times New Roman"/>
          <w:i/>
          <w:iCs/>
          <w:sz w:val="20"/>
          <w:szCs w:val="20"/>
        </w:rPr>
        <w:t xml:space="preserve"> </w:t>
      </w:r>
      <w:r w:rsidR="00AA4174" w:rsidRPr="0047452F">
        <w:rPr>
          <w:rFonts w:ascii="Times New Roman" w:hAnsi="Times New Roman" w:cs="Times New Roman"/>
          <w:sz w:val="20"/>
          <w:szCs w:val="20"/>
        </w:rPr>
        <w:t xml:space="preserve">55 İÜHFM </w:t>
      </w:r>
      <w:r w:rsidR="00AA4174" w:rsidRPr="00F91D2C">
        <w:rPr>
          <w:rFonts w:ascii="Times New Roman" w:hAnsi="Times New Roman" w:cs="Times New Roman"/>
          <w:sz w:val="20"/>
          <w:szCs w:val="20"/>
        </w:rPr>
        <w:t>201 (1997).</w:t>
      </w:r>
    </w:p>
  </w:footnote>
  <w:footnote w:id="953">
    <w:p w14:paraId="4088F390" w14:textId="7F6A9944" w:rsidR="00F91D2C" w:rsidRPr="00F91D2C" w:rsidRDefault="00F91D2C" w:rsidP="00F91D2C">
      <w:pPr>
        <w:pStyle w:val="DipnotMetni"/>
        <w:jc w:val="both"/>
        <w:rPr>
          <w:rFonts w:ascii="Times New Roman" w:hAnsi="Times New Roman" w:cs="Times New Roman"/>
          <w:lang w:val="tr-TR"/>
        </w:rPr>
      </w:pPr>
      <w:r w:rsidRPr="00F91D2C">
        <w:rPr>
          <w:rStyle w:val="DipnotBavurusu"/>
          <w:rFonts w:ascii="Times New Roman" w:hAnsi="Times New Roman" w:cs="Times New Roman"/>
          <w:sz w:val="20"/>
          <w:szCs w:val="20"/>
        </w:rPr>
        <w:footnoteRef/>
      </w:r>
      <w:r w:rsidRPr="00F91D2C">
        <w:rPr>
          <w:rFonts w:ascii="Times New Roman" w:hAnsi="Times New Roman" w:cs="Times New Roman"/>
          <w:sz w:val="20"/>
          <w:szCs w:val="20"/>
        </w:rPr>
        <w:t xml:space="preserve"> </w:t>
      </w:r>
      <w:r>
        <w:rPr>
          <w:rFonts w:ascii="Times New Roman" w:hAnsi="Times New Roman" w:cs="Times New Roman"/>
          <w:sz w:val="20"/>
          <w:szCs w:val="20"/>
        </w:rPr>
        <w:t xml:space="preserve">However, this does not mean that such transactions are legitimate. </w:t>
      </w:r>
      <w:r w:rsidR="00D142C2">
        <w:rPr>
          <w:rFonts w:ascii="Times New Roman" w:hAnsi="Times New Roman" w:cs="Times New Roman"/>
          <w:sz w:val="20"/>
          <w:szCs w:val="20"/>
        </w:rPr>
        <w:t>For example, c</w:t>
      </w:r>
      <w:r w:rsidRPr="00F91D2C">
        <w:rPr>
          <w:rFonts w:ascii="Times New Roman" w:hAnsi="Times New Roman" w:cs="Times New Roman"/>
          <w:sz w:val="20"/>
          <w:szCs w:val="20"/>
        </w:rPr>
        <w:t xml:space="preserve">oncealed distribution of </w:t>
      </w:r>
      <w:r w:rsidR="00D142C2">
        <w:rPr>
          <w:rFonts w:ascii="Times New Roman" w:hAnsi="Times New Roman" w:cs="Times New Roman"/>
          <w:sz w:val="20"/>
          <w:szCs w:val="20"/>
        </w:rPr>
        <w:t>dividend</w:t>
      </w:r>
      <w:r>
        <w:rPr>
          <w:rFonts w:ascii="Times New Roman" w:hAnsi="Times New Roman" w:cs="Times New Roman"/>
          <w:sz w:val="20"/>
          <w:szCs w:val="20"/>
        </w:rPr>
        <w:t xml:space="preserve"> to specific shareholders</w:t>
      </w:r>
      <w:r w:rsidRPr="00F91D2C">
        <w:rPr>
          <w:rFonts w:ascii="Times New Roman" w:hAnsi="Times New Roman" w:cs="Times New Roman"/>
          <w:sz w:val="20"/>
          <w:szCs w:val="20"/>
        </w:rPr>
        <w:t xml:space="preserve"> would be regarded as violation of the equal treatment principle</w:t>
      </w:r>
      <w:r>
        <w:rPr>
          <w:rFonts w:ascii="Times New Roman" w:hAnsi="Times New Roman" w:cs="Times New Roman"/>
          <w:sz w:val="20"/>
          <w:szCs w:val="20"/>
        </w:rPr>
        <w:t xml:space="preserve"> </w:t>
      </w:r>
      <w:r w:rsidR="00D142C2">
        <w:rPr>
          <w:rFonts w:ascii="Times New Roman" w:hAnsi="Times New Roman" w:cs="Times New Roman"/>
          <w:sz w:val="20"/>
          <w:szCs w:val="20"/>
        </w:rPr>
        <w:t>under</w:t>
      </w:r>
      <w:r>
        <w:rPr>
          <w:rFonts w:ascii="Times New Roman" w:hAnsi="Times New Roman" w:cs="Times New Roman"/>
          <w:sz w:val="20"/>
          <w:szCs w:val="20"/>
        </w:rPr>
        <w:t xml:space="preserve"> TCC </w:t>
      </w:r>
      <w:r w:rsidR="00D142C2">
        <w:rPr>
          <w:rFonts w:ascii="Times New Roman" w:hAnsi="Times New Roman" w:cs="Times New Roman"/>
          <w:sz w:val="20"/>
          <w:szCs w:val="20"/>
        </w:rPr>
        <w:t>Art. 357</w:t>
      </w:r>
      <w:r>
        <w:rPr>
          <w:rFonts w:ascii="Times New Roman" w:hAnsi="Times New Roman" w:cs="Times New Roman"/>
          <w:sz w:val="20"/>
          <w:szCs w:val="20"/>
        </w:rPr>
        <w:t xml:space="preserve"> (</w:t>
      </w:r>
      <w:proofErr w:type="spellStart"/>
      <w:r>
        <w:rPr>
          <w:rFonts w:ascii="Times New Roman" w:hAnsi="Times New Roman" w:cs="Times New Roman"/>
          <w:sz w:val="20"/>
          <w:szCs w:val="20"/>
        </w:rPr>
        <w:t>Setenay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Yağmur</w:t>
      </w:r>
      <w:proofErr w:type="spellEnd"/>
      <w:r>
        <w:rPr>
          <w:rFonts w:ascii="Times New Roman" w:hAnsi="Times New Roman" w:cs="Times New Roman"/>
          <w:sz w:val="20"/>
          <w:szCs w:val="20"/>
        </w:rPr>
        <w:t xml:space="preserve">, </w:t>
      </w:r>
      <w:proofErr w:type="spellStart"/>
      <w:r w:rsidRPr="00F91D2C">
        <w:rPr>
          <w:rFonts w:ascii="Times New Roman" w:hAnsi="Times New Roman" w:cs="Times New Roman"/>
          <w:i/>
          <w:iCs/>
          <w:sz w:val="20"/>
          <w:szCs w:val="20"/>
        </w:rPr>
        <w:t>Anonim</w:t>
      </w:r>
      <w:proofErr w:type="spellEnd"/>
      <w:r w:rsidRPr="00F91D2C">
        <w:rPr>
          <w:rFonts w:ascii="Times New Roman" w:hAnsi="Times New Roman" w:cs="Times New Roman"/>
          <w:i/>
          <w:iCs/>
          <w:sz w:val="20"/>
          <w:szCs w:val="20"/>
        </w:rPr>
        <w:t xml:space="preserve"> </w:t>
      </w:r>
      <w:proofErr w:type="spellStart"/>
      <w:r w:rsidRPr="00F91D2C">
        <w:rPr>
          <w:rFonts w:ascii="Times New Roman" w:hAnsi="Times New Roman" w:cs="Times New Roman"/>
          <w:i/>
          <w:iCs/>
          <w:sz w:val="20"/>
          <w:szCs w:val="20"/>
        </w:rPr>
        <w:t>Şirketlerde</w:t>
      </w:r>
      <w:proofErr w:type="spellEnd"/>
      <w:r w:rsidRPr="00F91D2C">
        <w:rPr>
          <w:rFonts w:ascii="Times New Roman" w:hAnsi="Times New Roman" w:cs="Times New Roman"/>
          <w:i/>
          <w:iCs/>
          <w:sz w:val="20"/>
          <w:szCs w:val="20"/>
        </w:rPr>
        <w:t xml:space="preserve"> </w:t>
      </w:r>
      <w:proofErr w:type="spellStart"/>
      <w:r w:rsidRPr="00F91D2C">
        <w:rPr>
          <w:rFonts w:ascii="Times New Roman" w:hAnsi="Times New Roman" w:cs="Times New Roman"/>
          <w:i/>
          <w:iCs/>
          <w:sz w:val="20"/>
          <w:szCs w:val="20"/>
        </w:rPr>
        <w:t>Eşit</w:t>
      </w:r>
      <w:proofErr w:type="spellEnd"/>
      <w:r w:rsidRPr="00F91D2C">
        <w:rPr>
          <w:rFonts w:ascii="Times New Roman" w:hAnsi="Times New Roman" w:cs="Times New Roman"/>
          <w:i/>
          <w:iCs/>
          <w:sz w:val="20"/>
          <w:szCs w:val="20"/>
        </w:rPr>
        <w:t xml:space="preserve"> </w:t>
      </w:r>
      <w:proofErr w:type="spellStart"/>
      <w:r w:rsidRPr="00F91D2C">
        <w:rPr>
          <w:rFonts w:ascii="Times New Roman" w:hAnsi="Times New Roman" w:cs="Times New Roman"/>
          <w:i/>
          <w:iCs/>
          <w:sz w:val="20"/>
          <w:szCs w:val="20"/>
        </w:rPr>
        <w:t>İşlem</w:t>
      </w:r>
      <w:proofErr w:type="spellEnd"/>
      <w:r w:rsidRPr="00F91D2C">
        <w:rPr>
          <w:rFonts w:ascii="Times New Roman" w:hAnsi="Times New Roman" w:cs="Times New Roman"/>
          <w:i/>
          <w:iCs/>
          <w:sz w:val="20"/>
          <w:szCs w:val="20"/>
        </w:rPr>
        <w:t xml:space="preserve"> </w:t>
      </w:r>
      <w:proofErr w:type="spellStart"/>
      <w:r w:rsidRPr="00F91D2C">
        <w:rPr>
          <w:rFonts w:ascii="Times New Roman" w:hAnsi="Times New Roman" w:cs="Times New Roman"/>
          <w:i/>
          <w:iCs/>
          <w:sz w:val="20"/>
          <w:szCs w:val="20"/>
        </w:rPr>
        <w:t>İlkesi</w:t>
      </w:r>
      <w:proofErr w:type="spellEnd"/>
      <w:r>
        <w:rPr>
          <w:rFonts w:ascii="Times New Roman" w:hAnsi="Times New Roman" w:cs="Times New Roman"/>
          <w:sz w:val="20"/>
          <w:szCs w:val="20"/>
        </w:rPr>
        <w:t xml:space="preserve"> (2020), p. 135)</w:t>
      </w:r>
      <w:r w:rsidRPr="00F91D2C">
        <w:rPr>
          <w:rFonts w:ascii="Times New Roman" w:hAnsi="Times New Roman" w:cs="Times New Roman"/>
          <w:sz w:val="20"/>
          <w:szCs w:val="20"/>
        </w:rPr>
        <w:t>.</w:t>
      </w:r>
      <w:r w:rsidR="00D142C2">
        <w:rPr>
          <w:rFonts w:ascii="Times New Roman" w:hAnsi="Times New Roman" w:cs="Times New Roman"/>
          <w:sz w:val="20"/>
          <w:szCs w:val="20"/>
        </w:rPr>
        <w:t xml:space="preserve"> Accordingly, the board of directors would be held liable for the losses such concealed distribution of dividend causes on the corporation and other shareholders based on TCC Art. 553 (</w:t>
      </w:r>
      <w:proofErr w:type="spellStart"/>
      <w:r w:rsidR="00D142C2">
        <w:rPr>
          <w:rFonts w:ascii="Times New Roman" w:hAnsi="Times New Roman" w:cs="Times New Roman"/>
          <w:sz w:val="20"/>
          <w:szCs w:val="20"/>
        </w:rPr>
        <w:t>Güzin</w:t>
      </w:r>
      <w:proofErr w:type="spellEnd"/>
      <w:r w:rsidR="00D142C2">
        <w:rPr>
          <w:rFonts w:ascii="Times New Roman" w:hAnsi="Times New Roman" w:cs="Times New Roman"/>
          <w:sz w:val="20"/>
          <w:szCs w:val="20"/>
        </w:rPr>
        <w:t xml:space="preserve"> </w:t>
      </w:r>
      <w:proofErr w:type="spellStart"/>
      <w:r w:rsidR="00D142C2">
        <w:rPr>
          <w:rFonts w:ascii="Times New Roman" w:hAnsi="Times New Roman" w:cs="Times New Roman"/>
          <w:sz w:val="20"/>
          <w:szCs w:val="20"/>
        </w:rPr>
        <w:t>Üçışık</w:t>
      </w:r>
      <w:proofErr w:type="spellEnd"/>
      <w:r w:rsidR="00D142C2">
        <w:rPr>
          <w:rFonts w:ascii="Times New Roman" w:hAnsi="Times New Roman" w:cs="Times New Roman"/>
          <w:sz w:val="20"/>
          <w:szCs w:val="20"/>
        </w:rPr>
        <w:t>/</w:t>
      </w:r>
      <w:proofErr w:type="spellStart"/>
      <w:r w:rsidR="00D142C2">
        <w:rPr>
          <w:rFonts w:ascii="Times New Roman" w:hAnsi="Times New Roman" w:cs="Times New Roman"/>
          <w:sz w:val="20"/>
          <w:szCs w:val="20"/>
        </w:rPr>
        <w:t>Aydın</w:t>
      </w:r>
      <w:proofErr w:type="spellEnd"/>
      <w:r w:rsidR="00D142C2">
        <w:rPr>
          <w:rFonts w:ascii="Times New Roman" w:hAnsi="Times New Roman" w:cs="Times New Roman"/>
          <w:sz w:val="20"/>
          <w:szCs w:val="20"/>
        </w:rPr>
        <w:t xml:space="preserve"> </w:t>
      </w:r>
      <w:proofErr w:type="spellStart"/>
      <w:r w:rsidR="00D142C2">
        <w:rPr>
          <w:rFonts w:ascii="Times New Roman" w:hAnsi="Times New Roman" w:cs="Times New Roman"/>
          <w:sz w:val="20"/>
          <w:szCs w:val="20"/>
        </w:rPr>
        <w:t>Çelik</w:t>
      </w:r>
      <w:proofErr w:type="spellEnd"/>
      <w:r w:rsidR="00D142C2">
        <w:rPr>
          <w:rFonts w:ascii="Times New Roman" w:hAnsi="Times New Roman" w:cs="Times New Roman"/>
          <w:sz w:val="20"/>
          <w:szCs w:val="20"/>
        </w:rPr>
        <w:t xml:space="preserve">, </w:t>
      </w:r>
      <w:proofErr w:type="spellStart"/>
      <w:r w:rsidR="00D142C2" w:rsidRPr="00D142C2">
        <w:rPr>
          <w:rFonts w:ascii="Times New Roman" w:hAnsi="Times New Roman" w:cs="Times New Roman"/>
          <w:i/>
          <w:iCs/>
          <w:sz w:val="20"/>
          <w:szCs w:val="20"/>
        </w:rPr>
        <w:t>Anonim</w:t>
      </w:r>
      <w:proofErr w:type="spellEnd"/>
      <w:r w:rsidR="00D142C2" w:rsidRPr="00D142C2">
        <w:rPr>
          <w:rFonts w:ascii="Times New Roman" w:hAnsi="Times New Roman" w:cs="Times New Roman"/>
          <w:i/>
          <w:iCs/>
          <w:sz w:val="20"/>
          <w:szCs w:val="20"/>
        </w:rPr>
        <w:t xml:space="preserve"> </w:t>
      </w:r>
      <w:proofErr w:type="spellStart"/>
      <w:r w:rsidR="00D142C2" w:rsidRPr="00D142C2">
        <w:rPr>
          <w:rFonts w:ascii="Times New Roman" w:hAnsi="Times New Roman" w:cs="Times New Roman"/>
          <w:i/>
          <w:iCs/>
          <w:sz w:val="20"/>
          <w:szCs w:val="20"/>
        </w:rPr>
        <w:t>Ortaklıkta</w:t>
      </w:r>
      <w:proofErr w:type="spellEnd"/>
      <w:r w:rsidR="00D142C2" w:rsidRPr="00D142C2">
        <w:rPr>
          <w:rFonts w:ascii="Times New Roman" w:hAnsi="Times New Roman" w:cs="Times New Roman"/>
          <w:i/>
          <w:iCs/>
          <w:sz w:val="20"/>
          <w:szCs w:val="20"/>
        </w:rPr>
        <w:t xml:space="preserve"> </w:t>
      </w:r>
      <w:proofErr w:type="spellStart"/>
      <w:r w:rsidR="00D142C2" w:rsidRPr="00D142C2">
        <w:rPr>
          <w:rFonts w:ascii="Times New Roman" w:hAnsi="Times New Roman" w:cs="Times New Roman"/>
          <w:i/>
          <w:iCs/>
          <w:sz w:val="20"/>
          <w:szCs w:val="20"/>
        </w:rPr>
        <w:t>Finansal</w:t>
      </w:r>
      <w:proofErr w:type="spellEnd"/>
      <w:r w:rsidR="00D142C2" w:rsidRPr="00D142C2">
        <w:rPr>
          <w:rFonts w:ascii="Times New Roman" w:hAnsi="Times New Roman" w:cs="Times New Roman"/>
          <w:i/>
          <w:iCs/>
          <w:sz w:val="20"/>
          <w:szCs w:val="20"/>
        </w:rPr>
        <w:t xml:space="preserve"> </w:t>
      </w:r>
      <w:proofErr w:type="spellStart"/>
      <w:r w:rsidR="00D142C2" w:rsidRPr="00D142C2">
        <w:rPr>
          <w:rFonts w:ascii="Times New Roman" w:hAnsi="Times New Roman" w:cs="Times New Roman"/>
          <w:i/>
          <w:iCs/>
          <w:sz w:val="20"/>
          <w:szCs w:val="20"/>
        </w:rPr>
        <w:t>Tablolar</w:t>
      </w:r>
      <w:proofErr w:type="spellEnd"/>
      <w:r w:rsidR="00D142C2" w:rsidRPr="00D142C2">
        <w:rPr>
          <w:rFonts w:ascii="Times New Roman" w:hAnsi="Times New Roman" w:cs="Times New Roman"/>
          <w:i/>
          <w:iCs/>
          <w:sz w:val="20"/>
          <w:szCs w:val="20"/>
        </w:rPr>
        <w:t xml:space="preserve"> </w:t>
      </w:r>
      <w:proofErr w:type="spellStart"/>
      <w:r w:rsidR="00D142C2" w:rsidRPr="00D142C2">
        <w:rPr>
          <w:rFonts w:ascii="Times New Roman" w:hAnsi="Times New Roman" w:cs="Times New Roman"/>
          <w:i/>
          <w:iCs/>
          <w:sz w:val="20"/>
          <w:szCs w:val="20"/>
        </w:rPr>
        <w:t>Yedek</w:t>
      </w:r>
      <w:proofErr w:type="spellEnd"/>
      <w:r w:rsidR="00D142C2" w:rsidRPr="00D142C2">
        <w:rPr>
          <w:rFonts w:ascii="Times New Roman" w:hAnsi="Times New Roman" w:cs="Times New Roman"/>
          <w:i/>
          <w:iCs/>
          <w:sz w:val="20"/>
          <w:szCs w:val="20"/>
        </w:rPr>
        <w:t xml:space="preserve"> </w:t>
      </w:r>
      <w:proofErr w:type="spellStart"/>
      <w:r w:rsidR="00D142C2" w:rsidRPr="00D142C2">
        <w:rPr>
          <w:rFonts w:ascii="Times New Roman" w:hAnsi="Times New Roman" w:cs="Times New Roman"/>
          <w:i/>
          <w:iCs/>
          <w:sz w:val="20"/>
          <w:szCs w:val="20"/>
        </w:rPr>
        <w:t>Akçeler</w:t>
      </w:r>
      <w:proofErr w:type="spellEnd"/>
      <w:r w:rsidR="00D142C2" w:rsidRPr="00D142C2">
        <w:rPr>
          <w:rFonts w:ascii="Times New Roman" w:hAnsi="Times New Roman" w:cs="Times New Roman"/>
          <w:i/>
          <w:iCs/>
          <w:sz w:val="20"/>
          <w:szCs w:val="20"/>
        </w:rPr>
        <w:t xml:space="preserve"> ve Kar </w:t>
      </w:r>
      <w:proofErr w:type="spellStart"/>
      <w:r w:rsidR="00D142C2" w:rsidRPr="00D142C2">
        <w:rPr>
          <w:rFonts w:ascii="Times New Roman" w:hAnsi="Times New Roman" w:cs="Times New Roman"/>
          <w:i/>
          <w:iCs/>
          <w:sz w:val="20"/>
          <w:szCs w:val="20"/>
        </w:rPr>
        <w:t>Dağıtımı</w:t>
      </w:r>
      <w:proofErr w:type="spellEnd"/>
      <w:r w:rsidR="00D142C2">
        <w:rPr>
          <w:rFonts w:ascii="Times New Roman" w:hAnsi="Times New Roman" w:cs="Times New Roman"/>
          <w:sz w:val="20"/>
          <w:szCs w:val="20"/>
        </w:rPr>
        <w:t xml:space="preserve"> (2018), p. 532). </w:t>
      </w:r>
      <w:r>
        <w:rPr>
          <w:rFonts w:ascii="Times New Roman" w:hAnsi="Times New Roman" w:cs="Times New Roman"/>
        </w:rPr>
        <w:t xml:space="preserve"> </w:t>
      </w:r>
    </w:p>
  </w:footnote>
  <w:footnote w:id="954">
    <w:p w14:paraId="59A5FA81" w14:textId="32B7EEC3" w:rsidR="00D36541" w:rsidRPr="009975EA" w:rsidRDefault="00D36541" w:rsidP="00B43AC7">
      <w:pPr>
        <w:pStyle w:val="DipnotMetni"/>
        <w:tabs>
          <w:tab w:val="left" w:pos="3211"/>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167.</w:t>
      </w:r>
      <w:r>
        <w:rPr>
          <w:rFonts w:ascii="Times New Roman" w:hAnsi="Times New Roman" w:cs="Times New Roman"/>
          <w:sz w:val="20"/>
          <w:szCs w:val="20"/>
        </w:rPr>
        <w:tab/>
      </w:r>
    </w:p>
  </w:footnote>
  <w:footnote w:id="955">
    <w:p w14:paraId="1F975271" w14:textId="40C297DF" w:rsidR="00B625E1" w:rsidRPr="0047452F" w:rsidRDefault="00B625E1" w:rsidP="0047452F">
      <w:pPr>
        <w:pStyle w:val="DipnotMetni"/>
        <w:jc w:val="both"/>
        <w:rPr>
          <w:lang w:val="tr-TR"/>
        </w:rPr>
      </w:pPr>
      <w:r w:rsidRPr="00441C92">
        <w:rPr>
          <w:rStyle w:val="DipnotBavurusu"/>
          <w:rFonts w:ascii="Times New Roman" w:hAnsi="Times New Roman" w:cs="Times New Roman"/>
          <w:sz w:val="20"/>
          <w:szCs w:val="20"/>
        </w:rPr>
        <w:footnoteRef/>
      </w:r>
      <w:r>
        <w:t xml:space="preserve"> </w:t>
      </w:r>
      <w:r w:rsidR="00E82463" w:rsidRPr="001443B1">
        <w:rPr>
          <w:rFonts w:ascii="Times New Roman" w:hAnsi="Times New Roman" w:cs="Times New Roman"/>
          <w:sz w:val="20"/>
          <w:szCs w:val="20"/>
        </w:rPr>
        <w:t xml:space="preserve">Sinan H. </w:t>
      </w:r>
      <w:proofErr w:type="spellStart"/>
      <w:r w:rsidR="00E82463" w:rsidRPr="001443B1">
        <w:rPr>
          <w:rFonts w:ascii="Times New Roman" w:hAnsi="Times New Roman" w:cs="Times New Roman"/>
          <w:sz w:val="20"/>
          <w:szCs w:val="20"/>
        </w:rPr>
        <w:t>Yüksel</w:t>
      </w:r>
      <w:proofErr w:type="spellEnd"/>
      <w:r w:rsidR="00E82463" w:rsidRPr="001443B1">
        <w:rPr>
          <w:rFonts w:ascii="Times New Roman" w:hAnsi="Times New Roman" w:cs="Times New Roman"/>
          <w:sz w:val="20"/>
          <w:szCs w:val="20"/>
        </w:rPr>
        <w:t xml:space="preserve">, </w:t>
      </w:r>
      <w:proofErr w:type="spellStart"/>
      <w:r w:rsidR="00E82463" w:rsidRPr="001443B1">
        <w:rPr>
          <w:rFonts w:ascii="Times New Roman" w:hAnsi="Times New Roman" w:cs="Times New Roman"/>
          <w:i/>
          <w:iCs/>
          <w:sz w:val="20"/>
          <w:szCs w:val="20"/>
        </w:rPr>
        <w:t>Anonim</w:t>
      </w:r>
      <w:proofErr w:type="spellEnd"/>
      <w:r w:rsidR="00E82463" w:rsidRPr="001443B1">
        <w:rPr>
          <w:rFonts w:ascii="Times New Roman" w:hAnsi="Times New Roman" w:cs="Times New Roman"/>
          <w:i/>
          <w:iCs/>
          <w:sz w:val="20"/>
          <w:szCs w:val="20"/>
        </w:rPr>
        <w:t xml:space="preserve"> ve Limited </w:t>
      </w:r>
      <w:proofErr w:type="spellStart"/>
      <w:r w:rsidR="00E82463" w:rsidRPr="001443B1">
        <w:rPr>
          <w:rFonts w:ascii="Times New Roman" w:hAnsi="Times New Roman" w:cs="Times New Roman"/>
          <w:i/>
          <w:iCs/>
          <w:sz w:val="20"/>
          <w:szCs w:val="20"/>
        </w:rPr>
        <w:t>Şirketlerde</w:t>
      </w:r>
      <w:proofErr w:type="spellEnd"/>
      <w:r w:rsidR="00E82463" w:rsidRPr="001443B1">
        <w:rPr>
          <w:rFonts w:ascii="Times New Roman" w:hAnsi="Times New Roman" w:cs="Times New Roman"/>
          <w:i/>
          <w:iCs/>
          <w:sz w:val="20"/>
          <w:szCs w:val="20"/>
        </w:rPr>
        <w:t xml:space="preserve"> </w:t>
      </w:r>
      <w:proofErr w:type="spellStart"/>
      <w:r w:rsidR="00E82463" w:rsidRPr="001443B1">
        <w:rPr>
          <w:rFonts w:ascii="Times New Roman" w:hAnsi="Times New Roman" w:cs="Times New Roman"/>
          <w:i/>
          <w:iCs/>
          <w:sz w:val="20"/>
          <w:szCs w:val="20"/>
        </w:rPr>
        <w:t>Mahkemenin</w:t>
      </w:r>
      <w:proofErr w:type="spellEnd"/>
      <w:r w:rsidR="00E82463" w:rsidRPr="001443B1">
        <w:rPr>
          <w:rFonts w:ascii="Times New Roman" w:hAnsi="Times New Roman" w:cs="Times New Roman"/>
          <w:i/>
          <w:iCs/>
          <w:sz w:val="20"/>
          <w:szCs w:val="20"/>
        </w:rPr>
        <w:t xml:space="preserve"> Kar </w:t>
      </w:r>
      <w:proofErr w:type="spellStart"/>
      <w:r w:rsidR="00E82463" w:rsidRPr="001443B1">
        <w:rPr>
          <w:rFonts w:ascii="Times New Roman" w:hAnsi="Times New Roman" w:cs="Times New Roman"/>
          <w:i/>
          <w:iCs/>
          <w:sz w:val="20"/>
          <w:szCs w:val="20"/>
        </w:rPr>
        <w:t>Dağıtımına</w:t>
      </w:r>
      <w:proofErr w:type="spellEnd"/>
      <w:r w:rsidR="00E82463" w:rsidRPr="001443B1">
        <w:rPr>
          <w:rFonts w:ascii="Times New Roman" w:hAnsi="Times New Roman" w:cs="Times New Roman"/>
          <w:i/>
          <w:iCs/>
          <w:sz w:val="20"/>
          <w:szCs w:val="20"/>
        </w:rPr>
        <w:t xml:space="preserve"> </w:t>
      </w:r>
      <w:proofErr w:type="spellStart"/>
      <w:r w:rsidR="00E82463" w:rsidRPr="001443B1">
        <w:rPr>
          <w:rFonts w:ascii="Times New Roman" w:hAnsi="Times New Roman" w:cs="Times New Roman"/>
          <w:i/>
          <w:iCs/>
          <w:sz w:val="20"/>
          <w:szCs w:val="20"/>
        </w:rPr>
        <w:t>Karar</w:t>
      </w:r>
      <w:proofErr w:type="spellEnd"/>
      <w:r w:rsidR="00E82463" w:rsidRPr="001443B1">
        <w:rPr>
          <w:rFonts w:ascii="Times New Roman" w:hAnsi="Times New Roman" w:cs="Times New Roman"/>
          <w:i/>
          <w:iCs/>
          <w:sz w:val="20"/>
          <w:szCs w:val="20"/>
        </w:rPr>
        <w:t xml:space="preserve"> </w:t>
      </w:r>
      <w:proofErr w:type="spellStart"/>
      <w:r w:rsidR="00E82463" w:rsidRPr="001443B1">
        <w:rPr>
          <w:rFonts w:ascii="Times New Roman" w:hAnsi="Times New Roman" w:cs="Times New Roman"/>
          <w:i/>
          <w:iCs/>
          <w:sz w:val="20"/>
          <w:szCs w:val="20"/>
        </w:rPr>
        <w:t>Verip</w:t>
      </w:r>
      <w:proofErr w:type="spellEnd"/>
      <w:r w:rsidR="00E82463" w:rsidRPr="001443B1">
        <w:rPr>
          <w:rFonts w:ascii="Times New Roman" w:hAnsi="Times New Roman" w:cs="Times New Roman"/>
          <w:i/>
          <w:iCs/>
          <w:sz w:val="20"/>
          <w:szCs w:val="20"/>
        </w:rPr>
        <w:t xml:space="preserve"> </w:t>
      </w:r>
      <w:proofErr w:type="spellStart"/>
      <w:r w:rsidR="00E82463" w:rsidRPr="001443B1">
        <w:rPr>
          <w:rFonts w:ascii="Times New Roman" w:hAnsi="Times New Roman" w:cs="Times New Roman"/>
          <w:i/>
          <w:iCs/>
          <w:sz w:val="20"/>
          <w:szCs w:val="20"/>
        </w:rPr>
        <w:t>Veremeyeceği</w:t>
      </w:r>
      <w:proofErr w:type="spellEnd"/>
      <w:r w:rsidR="00E82463" w:rsidRPr="001443B1">
        <w:rPr>
          <w:rFonts w:ascii="Times New Roman" w:hAnsi="Times New Roman" w:cs="Times New Roman"/>
          <w:i/>
          <w:iCs/>
          <w:sz w:val="20"/>
          <w:szCs w:val="20"/>
        </w:rPr>
        <w:t xml:space="preserve"> </w:t>
      </w:r>
      <w:proofErr w:type="spellStart"/>
      <w:r w:rsidR="00E82463" w:rsidRPr="001443B1">
        <w:rPr>
          <w:rFonts w:ascii="Times New Roman" w:hAnsi="Times New Roman" w:cs="Times New Roman"/>
          <w:i/>
          <w:iCs/>
          <w:sz w:val="20"/>
          <w:szCs w:val="20"/>
        </w:rPr>
        <w:t>Sorununa</w:t>
      </w:r>
      <w:proofErr w:type="spellEnd"/>
      <w:r w:rsidR="00E82463" w:rsidRPr="001443B1">
        <w:rPr>
          <w:rFonts w:ascii="Times New Roman" w:hAnsi="Times New Roman" w:cs="Times New Roman"/>
          <w:i/>
          <w:iCs/>
          <w:sz w:val="20"/>
          <w:szCs w:val="20"/>
        </w:rPr>
        <w:t xml:space="preserve"> </w:t>
      </w:r>
      <w:proofErr w:type="spellStart"/>
      <w:r w:rsidR="00E82463" w:rsidRPr="001443B1">
        <w:rPr>
          <w:rFonts w:ascii="Times New Roman" w:hAnsi="Times New Roman" w:cs="Times New Roman"/>
          <w:i/>
          <w:iCs/>
          <w:sz w:val="20"/>
          <w:szCs w:val="20"/>
        </w:rPr>
        <w:t>Yargıtay’ın</w:t>
      </w:r>
      <w:proofErr w:type="spellEnd"/>
      <w:r w:rsidR="00E82463" w:rsidRPr="001443B1">
        <w:rPr>
          <w:rFonts w:ascii="Times New Roman" w:hAnsi="Times New Roman" w:cs="Times New Roman"/>
          <w:i/>
          <w:iCs/>
          <w:sz w:val="20"/>
          <w:szCs w:val="20"/>
        </w:rPr>
        <w:t xml:space="preserve"> </w:t>
      </w:r>
      <w:proofErr w:type="spellStart"/>
      <w:r w:rsidR="00E82463" w:rsidRPr="001443B1">
        <w:rPr>
          <w:rFonts w:ascii="Times New Roman" w:hAnsi="Times New Roman" w:cs="Times New Roman"/>
          <w:i/>
          <w:iCs/>
          <w:sz w:val="20"/>
          <w:szCs w:val="20"/>
        </w:rPr>
        <w:t>Yaklaşımı</w:t>
      </w:r>
      <w:proofErr w:type="spellEnd"/>
      <w:r w:rsidR="00E82463" w:rsidRPr="001443B1">
        <w:rPr>
          <w:rFonts w:ascii="Times New Roman" w:hAnsi="Times New Roman" w:cs="Times New Roman"/>
          <w:sz w:val="20"/>
          <w:szCs w:val="20"/>
        </w:rPr>
        <w:t xml:space="preserve">, XXXIII. </w:t>
      </w:r>
      <w:proofErr w:type="spellStart"/>
      <w:r w:rsidR="00E82463" w:rsidRPr="001443B1">
        <w:rPr>
          <w:rFonts w:ascii="Times New Roman" w:hAnsi="Times New Roman" w:cs="Times New Roman"/>
          <w:sz w:val="20"/>
          <w:szCs w:val="20"/>
        </w:rPr>
        <w:t>Ticaret</w:t>
      </w:r>
      <w:proofErr w:type="spellEnd"/>
      <w:r w:rsidR="00E82463" w:rsidRPr="001443B1">
        <w:rPr>
          <w:rFonts w:ascii="Times New Roman" w:hAnsi="Times New Roman" w:cs="Times New Roman"/>
          <w:sz w:val="20"/>
          <w:szCs w:val="20"/>
        </w:rPr>
        <w:t xml:space="preserve"> </w:t>
      </w:r>
      <w:proofErr w:type="spellStart"/>
      <w:r w:rsidR="00E82463" w:rsidRPr="001443B1">
        <w:rPr>
          <w:rFonts w:ascii="Times New Roman" w:hAnsi="Times New Roman" w:cs="Times New Roman"/>
          <w:sz w:val="20"/>
          <w:szCs w:val="20"/>
        </w:rPr>
        <w:t>Hukuku</w:t>
      </w:r>
      <w:proofErr w:type="spellEnd"/>
      <w:r w:rsidR="00E82463" w:rsidRPr="001443B1">
        <w:rPr>
          <w:rFonts w:ascii="Times New Roman" w:hAnsi="Times New Roman" w:cs="Times New Roman"/>
          <w:sz w:val="20"/>
          <w:szCs w:val="20"/>
        </w:rPr>
        <w:t xml:space="preserve"> ve </w:t>
      </w:r>
      <w:proofErr w:type="spellStart"/>
      <w:r w:rsidR="00E82463" w:rsidRPr="001443B1">
        <w:rPr>
          <w:rFonts w:ascii="Times New Roman" w:hAnsi="Times New Roman" w:cs="Times New Roman"/>
          <w:sz w:val="20"/>
          <w:szCs w:val="20"/>
        </w:rPr>
        <w:t>Yargıtay</w:t>
      </w:r>
      <w:proofErr w:type="spellEnd"/>
      <w:r w:rsidR="00E82463" w:rsidRPr="001443B1">
        <w:rPr>
          <w:rFonts w:ascii="Times New Roman" w:hAnsi="Times New Roman" w:cs="Times New Roman"/>
          <w:sz w:val="20"/>
          <w:szCs w:val="20"/>
        </w:rPr>
        <w:t xml:space="preserve"> </w:t>
      </w:r>
      <w:proofErr w:type="spellStart"/>
      <w:r w:rsidR="00E82463" w:rsidRPr="001443B1">
        <w:rPr>
          <w:rFonts w:ascii="Times New Roman" w:hAnsi="Times New Roman" w:cs="Times New Roman"/>
          <w:sz w:val="20"/>
          <w:szCs w:val="20"/>
        </w:rPr>
        <w:t>Kararları</w:t>
      </w:r>
      <w:proofErr w:type="spellEnd"/>
      <w:r w:rsidR="00E82463" w:rsidRPr="001443B1">
        <w:rPr>
          <w:rFonts w:ascii="Times New Roman" w:hAnsi="Times New Roman" w:cs="Times New Roman"/>
          <w:sz w:val="20"/>
          <w:szCs w:val="20"/>
        </w:rPr>
        <w:t xml:space="preserve"> </w:t>
      </w:r>
      <w:proofErr w:type="spellStart"/>
      <w:r w:rsidR="00E82463" w:rsidRPr="001443B1">
        <w:rPr>
          <w:rFonts w:ascii="Times New Roman" w:hAnsi="Times New Roman" w:cs="Times New Roman"/>
          <w:sz w:val="20"/>
          <w:szCs w:val="20"/>
        </w:rPr>
        <w:t>Sempozyumu</w:t>
      </w:r>
      <w:proofErr w:type="spellEnd"/>
      <w:r w:rsidR="00E82463" w:rsidRPr="001443B1">
        <w:rPr>
          <w:rFonts w:ascii="Times New Roman" w:hAnsi="Times New Roman" w:cs="Times New Roman"/>
          <w:sz w:val="20"/>
          <w:szCs w:val="20"/>
        </w:rPr>
        <w:t xml:space="preserve"> 217 (2021), p. 247.</w:t>
      </w:r>
    </w:p>
  </w:footnote>
  <w:footnote w:id="956">
    <w:p w14:paraId="12DAE140" w14:textId="1640325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167.</w:t>
      </w:r>
    </w:p>
  </w:footnote>
  <w:footnote w:id="957">
    <w:p w14:paraId="78A12584" w14:textId="3B17CE2D" w:rsidR="0062449F" w:rsidRPr="0047452F" w:rsidRDefault="0062449F"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Pr="0047452F">
        <w:rPr>
          <w:rFonts w:ascii="Times New Roman" w:hAnsi="Times New Roman" w:cs="Times New Roman"/>
          <w:sz w:val="20"/>
          <w:szCs w:val="20"/>
          <w:lang w:val="tr-TR"/>
        </w:rPr>
        <w:t xml:space="preserve">A </w:t>
      </w:r>
      <w:proofErr w:type="spellStart"/>
      <w:r w:rsidRPr="0047452F">
        <w:rPr>
          <w:rFonts w:ascii="Times New Roman" w:hAnsi="Times New Roman" w:cs="Times New Roman"/>
          <w:sz w:val="20"/>
          <w:szCs w:val="20"/>
          <w:lang w:val="tr-TR"/>
        </w:rPr>
        <w:t>wide</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interpretation</w:t>
      </w:r>
      <w:proofErr w:type="spellEnd"/>
      <w:r w:rsidRPr="0047452F">
        <w:rPr>
          <w:rFonts w:ascii="Times New Roman" w:hAnsi="Times New Roman" w:cs="Times New Roman"/>
          <w:sz w:val="20"/>
          <w:szCs w:val="20"/>
          <w:lang w:val="tr-TR"/>
        </w:rPr>
        <w:t xml:space="preserve"> of TCC Art. 512 </w:t>
      </w:r>
      <w:proofErr w:type="spellStart"/>
      <w:r w:rsidRPr="0047452F">
        <w:rPr>
          <w:rFonts w:ascii="Times New Roman" w:hAnsi="Times New Roman" w:cs="Times New Roman"/>
          <w:sz w:val="20"/>
          <w:szCs w:val="20"/>
          <w:lang w:val="tr-TR"/>
        </w:rPr>
        <w:t>would</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make</w:t>
      </w:r>
      <w:proofErr w:type="spellEnd"/>
      <w:r w:rsidRPr="0047452F">
        <w:rPr>
          <w:rFonts w:ascii="Times New Roman" w:hAnsi="Times New Roman" w:cs="Times New Roman"/>
          <w:sz w:val="20"/>
          <w:szCs w:val="20"/>
          <w:lang w:val="tr-TR"/>
        </w:rPr>
        <w:t xml:space="preserve"> it </w:t>
      </w:r>
      <w:proofErr w:type="spellStart"/>
      <w:r w:rsidRPr="0047452F">
        <w:rPr>
          <w:rFonts w:ascii="Times New Roman" w:hAnsi="Times New Roman" w:cs="Times New Roman"/>
          <w:sz w:val="20"/>
          <w:szCs w:val="20"/>
          <w:lang w:val="tr-TR"/>
        </w:rPr>
        <w:t>suitable</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to</w:t>
      </w:r>
      <w:proofErr w:type="spellEnd"/>
      <w:r w:rsidRPr="0047452F">
        <w:rPr>
          <w:rFonts w:ascii="Times New Roman" w:hAnsi="Times New Roman" w:cs="Times New Roman"/>
          <w:sz w:val="20"/>
          <w:szCs w:val="20"/>
          <w:lang w:val="tr-TR"/>
        </w:rPr>
        <w:t xml:space="preserve"> be </w:t>
      </w:r>
      <w:proofErr w:type="spellStart"/>
      <w:r w:rsidRPr="0047452F">
        <w:rPr>
          <w:rFonts w:ascii="Times New Roman" w:hAnsi="Times New Roman" w:cs="Times New Roman"/>
          <w:sz w:val="20"/>
          <w:szCs w:val="20"/>
          <w:lang w:val="tr-TR"/>
        </w:rPr>
        <w:t>used</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against</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concealed</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distribution</w:t>
      </w:r>
      <w:proofErr w:type="spellEnd"/>
      <w:r w:rsidRPr="0047452F">
        <w:rPr>
          <w:rFonts w:ascii="Times New Roman" w:hAnsi="Times New Roman" w:cs="Times New Roman"/>
          <w:sz w:val="20"/>
          <w:szCs w:val="20"/>
          <w:lang w:val="tr-TR"/>
        </w:rPr>
        <w:t xml:space="preserve"> of </w:t>
      </w:r>
      <w:proofErr w:type="spellStart"/>
      <w:r w:rsidR="00441C92">
        <w:rPr>
          <w:rFonts w:ascii="Times New Roman" w:hAnsi="Times New Roman" w:cs="Times New Roman"/>
          <w:sz w:val="20"/>
          <w:szCs w:val="20"/>
          <w:lang w:val="tr-TR"/>
        </w:rPr>
        <w:t>corporate</w:t>
      </w:r>
      <w:proofErr w:type="spellEnd"/>
      <w:r w:rsidR="00441C92">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income</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see</w:t>
      </w:r>
      <w:proofErr w:type="spellEnd"/>
      <w:r w:rsidRPr="0047452F">
        <w:rPr>
          <w:rFonts w:ascii="Times New Roman" w:hAnsi="Times New Roman" w:cs="Times New Roman"/>
          <w:sz w:val="20"/>
          <w:szCs w:val="20"/>
          <w:lang w:val="tr-TR"/>
        </w:rPr>
        <w:t xml:space="preserve">, </w:t>
      </w:r>
      <w:r w:rsidR="00F32D27" w:rsidRPr="0047452F">
        <w:rPr>
          <w:rFonts w:ascii="Times New Roman" w:hAnsi="Times New Roman" w:cs="Times New Roman"/>
          <w:sz w:val="20"/>
          <w:szCs w:val="20"/>
          <w:lang w:val="tr-TR"/>
        </w:rPr>
        <w:t xml:space="preserve">Emek Toraman </w:t>
      </w:r>
      <w:proofErr w:type="spellStart"/>
      <w:r w:rsidR="00F32D27" w:rsidRPr="0047452F">
        <w:rPr>
          <w:rFonts w:ascii="Times New Roman" w:hAnsi="Times New Roman" w:cs="Times New Roman"/>
          <w:sz w:val="20"/>
          <w:szCs w:val="20"/>
          <w:lang w:val="tr-TR"/>
        </w:rPr>
        <w:t>Çolgar</w:t>
      </w:r>
      <w:proofErr w:type="spellEnd"/>
      <w:r w:rsidR="00F32D27" w:rsidRPr="0047452F">
        <w:rPr>
          <w:rFonts w:ascii="Times New Roman" w:hAnsi="Times New Roman" w:cs="Times New Roman"/>
          <w:sz w:val="20"/>
          <w:szCs w:val="20"/>
          <w:lang w:val="tr-TR"/>
        </w:rPr>
        <w:t>, Şirkete Borçlanma Yasağı, İstanbul 2019, at 261.</w:t>
      </w:r>
      <w:r w:rsidR="00D142C2">
        <w:rPr>
          <w:rFonts w:ascii="Times New Roman" w:hAnsi="Times New Roman" w:cs="Times New Roman"/>
          <w:sz w:val="20"/>
          <w:szCs w:val="20"/>
          <w:lang w:val="tr-TR"/>
        </w:rPr>
        <w:t xml:space="preserve"> </w:t>
      </w:r>
      <w:proofErr w:type="spellStart"/>
      <w:r w:rsidR="008705EB">
        <w:rPr>
          <w:rFonts w:ascii="Times New Roman" w:hAnsi="Times New Roman" w:cs="Times New Roman"/>
          <w:sz w:val="20"/>
          <w:szCs w:val="20"/>
          <w:lang w:val="tr-TR"/>
        </w:rPr>
        <w:t>However</w:t>
      </w:r>
      <w:proofErr w:type="spellEnd"/>
      <w:r w:rsidR="008705EB">
        <w:rPr>
          <w:rFonts w:ascii="Times New Roman" w:hAnsi="Times New Roman" w:cs="Times New Roman"/>
          <w:sz w:val="20"/>
          <w:szCs w:val="20"/>
          <w:lang w:val="tr-TR"/>
        </w:rPr>
        <w:t xml:space="preserve">, as </w:t>
      </w:r>
      <w:proofErr w:type="spellStart"/>
      <w:r w:rsidR="008705EB">
        <w:rPr>
          <w:rFonts w:ascii="Times New Roman" w:hAnsi="Times New Roman" w:cs="Times New Roman"/>
          <w:sz w:val="20"/>
          <w:szCs w:val="20"/>
          <w:lang w:val="tr-TR"/>
        </w:rPr>
        <w:t>only</w:t>
      </w:r>
      <w:proofErr w:type="spellEnd"/>
      <w:r w:rsidR="008705EB">
        <w:rPr>
          <w:rFonts w:ascii="Times New Roman" w:hAnsi="Times New Roman" w:cs="Times New Roman"/>
          <w:sz w:val="20"/>
          <w:szCs w:val="20"/>
          <w:lang w:val="tr-TR"/>
        </w:rPr>
        <w:t xml:space="preserve"> limited set of </w:t>
      </w:r>
      <w:proofErr w:type="spellStart"/>
      <w:r w:rsidR="008705EB">
        <w:rPr>
          <w:rFonts w:ascii="Times New Roman" w:hAnsi="Times New Roman" w:cs="Times New Roman"/>
          <w:sz w:val="20"/>
          <w:szCs w:val="20"/>
          <w:lang w:val="tr-TR"/>
        </w:rPr>
        <w:t>transactions</w:t>
      </w:r>
      <w:proofErr w:type="spellEnd"/>
      <w:r w:rsidR="008705EB">
        <w:rPr>
          <w:rFonts w:ascii="Times New Roman" w:hAnsi="Times New Roman" w:cs="Times New Roman"/>
          <w:sz w:val="20"/>
          <w:szCs w:val="20"/>
          <w:lang w:val="tr-TR"/>
        </w:rPr>
        <w:t xml:space="preserve"> </w:t>
      </w:r>
      <w:proofErr w:type="spellStart"/>
      <w:r w:rsidR="008705EB">
        <w:rPr>
          <w:rFonts w:ascii="Times New Roman" w:hAnsi="Times New Roman" w:cs="Times New Roman"/>
          <w:sz w:val="20"/>
          <w:szCs w:val="20"/>
          <w:lang w:val="tr-TR"/>
        </w:rPr>
        <w:t>are</w:t>
      </w:r>
      <w:proofErr w:type="spellEnd"/>
      <w:r w:rsidR="008705EB">
        <w:rPr>
          <w:rFonts w:ascii="Times New Roman" w:hAnsi="Times New Roman" w:cs="Times New Roman"/>
          <w:sz w:val="20"/>
          <w:szCs w:val="20"/>
          <w:lang w:val="tr-TR"/>
        </w:rPr>
        <w:t xml:space="preserve"> </w:t>
      </w:r>
      <w:proofErr w:type="spellStart"/>
      <w:r w:rsidR="008705EB">
        <w:rPr>
          <w:rFonts w:ascii="Times New Roman" w:hAnsi="Times New Roman" w:cs="Times New Roman"/>
          <w:sz w:val="20"/>
          <w:szCs w:val="20"/>
          <w:lang w:val="tr-TR"/>
        </w:rPr>
        <w:t>articulated</w:t>
      </w:r>
      <w:proofErr w:type="spellEnd"/>
      <w:r w:rsidR="008705EB">
        <w:rPr>
          <w:rFonts w:ascii="Times New Roman" w:hAnsi="Times New Roman" w:cs="Times New Roman"/>
          <w:sz w:val="20"/>
          <w:szCs w:val="20"/>
          <w:lang w:val="tr-TR"/>
        </w:rPr>
        <w:t xml:space="preserve"> in TCC Art. 512, </w:t>
      </w:r>
      <w:proofErr w:type="spellStart"/>
      <w:r w:rsidR="008705EB">
        <w:rPr>
          <w:rFonts w:ascii="Times New Roman" w:hAnsi="Times New Roman" w:cs="Times New Roman"/>
          <w:sz w:val="20"/>
          <w:szCs w:val="20"/>
          <w:lang w:val="tr-TR"/>
        </w:rPr>
        <w:t>its</w:t>
      </w:r>
      <w:proofErr w:type="spellEnd"/>
      <w:r w:rsidR="008705EB">
        <w:rPr>
          <w:rFonts w:ascii="Times New Roman" w:hAnsi="Times New Roman" w:cs="Times New Roman"/>
          <w:sz w:val="20"/>
          <w:szCs w:val="20"/>
          <w:lang w:val="tr-TR"/>
        </w:rPr>
        <w:t xml:space="preserve"> </w:t>
      </w:r>
      <w:proofErr w:type="spellStart"/>
      <w:r w:rsidR="008705EB">
        <w:rPr>
          <w:rFonts w:ascii="Times New Roman" w:hAnsi="Times New Roman" w:cs="Times New Roman"/>
          <w:sz w:val="20"/>
          <w:szCs w:val="20"/>
          <w:lang w:val="tr-TR"/>
        </w:rPr>
        <w:t>function</w:t>
      </w:r>
      <w:proofErr w:type="spellEnd"/>
      <w:r w:rsidR="008705EB">
        <w:rPr>
          <w:rFonts w:ascii="Times New Roman" w:hAnsi="Times New Roman" w:cs="Times New Roman"/>
          <w:sz w:val="20"/>
          <w:szCs w:val="20"/>
          <w:lang w:val="tr-TR"/>
        </w:rPr>
        <w:t xml:space="preserve"> in </w:t>
      </w:r>
      <w:proofErr w:type="spellStart"/>
      <w:r w:rsidR="008705EB">
        <w:rPr>
          <w:rFonts w:ascii="Times New Roman" w:hAnsi="Times New Roman" w:cs="Times New Roman"/>
          <w:sz w:val="20"/>
          <w:szCs w:val="20"/>
          <w:lang w:val="tr-TR"/>
        </w:rPr>
        <w:t>application</w:t>
      </w:r>
      <w:proofErr w:type="spellEnd"/>
      <w:r w:rsidR="008705EB">
        <w:rPr>
          <w:rFonts w:ascii="Times New Roman" w:hAnsi="Times New Roman" w:cs="Times New Roman"/>
          <w:sz w:val="20"/>
          <w:szCs w:val="20"/>
          <w:lang w:val="tr-TR"/>
        </w:rPr>
        <w:t xml:space="preserve"> is </w:t>
      </w:r>
      <w:proofErr w:type="spellStart"/>
      <w:r w:rsidR="008705EB">
        <w:rPr>
          <w:rFonts w:ascii="Times New Roman" w:hAnsi="Times New Roman" w:cs="Times New Roman"/>
          <w:sz w:val="20"/>
          <w:szCs w:val="20"/>
          <w:lang w:val="tr-TR"/>
        </w:rPr>
        <w:t>very</w:t>
      </w:r>
      <w:proofErr w:type="spellEnd"/>
      <w:r w:rsidR="008705EB">
        <w:rPr>
          <w:rFonts w:ascii="Times New Roman" w:hAnsi="Times New Roman" w:cs="Times New Roman"/>
          <w:sz w:val="20"/>
          <w:szCs w:val="20"/>
          <w:lang w:val="tr-TR"/>
        </w:rPr>
        <w:t xml:space="preserve"> limited</w:t>
      </w:r>
      <w:r w:rsidR="00007B46">
        <w:rPr>
          <w:rFonts w:ascii="Times New Roman" w:hAnsi="Times New Roman" w:cs="Times New Roman"/>
          <w:sz w:val="20"/>
          <w:szCs w:val="20"/>
          <w:lang w:val="tr-TR"/>
        </w:rPr>
        <w:t xml:space="preserve"> </w:t>
      </w:r>
      <w:r w:rsidR="008705EB">
        <w:rPr>
          <w:rFonts w:ascii="Times New Roman" w:hAnsi="Times New Roman" w:cs="Times New Roman"/>
          <w:sz w:val="20"/>
          <w:szCs w:val="20"/>
          <w:lang w:val="tr-TR"/>
        </w:rPr>
        <w:t>(</w:t>
      </w:r>
      <w:r w:rsidR="00007B46">
        <w:rPr>
          <w:rFonts w:ascii="Times New Roman" w:hAnsi="Times New Roman" w:cs="Times New Roman"/>
          <w:sz w:val="20"/>
          <w:szCs w:val="20"/>
          <w:lang w:val="tr-TR"/>
        </w:rPr>
        <w:t xml:space="preserve">Sinan </w:t>
      </w:r>
      <w:r w:rsidR="008705EB">
        <w:rPr>
          <w:rFonts w:ascii="Times New Roman" w:hAnsi="Times New Roman" w:cs="Times New Roman"/>
          <w:sz w:val="20"/>
          <w:szCs w:val="20"/>
          <w:lang w:val="tr-TR"/>
        </w:rPr>
        <w:t>Sarıkaya</w:t>
      </w:r>
      <w:r w:rsidR="00007B46">
        <w:rPr>
          <w:rFonts w:ascii="Times New Roman" w:hAnsi="Times New Roman" w:cs="Times New Roman"/>
          <w:sz w:val="20"/>
          <w:szCs w:val="20"/>
          <w:lang w:val="tr-TR"/>
        </w:rPr>
        <w:t xml:space="preserve">, </w:t>
      </w:r>
      <w:r w:rsidR="00007B46" w:rsidRPr="00007B46">
        <w:rPr>
          <w:rFonts w:ascii="Times New Roman" w:hAnsi="Times New Roman" w:cs="Times New Roman"/>
          <w:i/>
          <w:iCs/>
          <w:sz w:val="20"/>
          <w:szCs w:val="20"/>
          <w:lang w:val="tr-TR"/>
        </w:rPr>
        <w:t xml:space="preserve">Çağın Gerisinde </w:t>
      </w:r>
      <w:proofErr w:type="spellStart"/>
      <w:r w:rsidR="00007B46" w:rsidRPr="00007B46">
        <w:rPr>
          <w:rFonts w:ascii="Times New Roman" w:hAnsi="Times New Roman" w:cs="Times New Roman"/>
          <w:i/>
          <w:iCs/>
          <w:sz w:val="20"/>
          <w:szCs w:val="20"/>
          <w:lang w:val="tr-TR"/>
        </w:rPr>
        <w:t>Kalmı</w:t>
      </w:r>
      <w:proofErr w:type="spellEnd"/>
      <w:r w:rsidR="00007B46" w:rsidRPr="00007B46">
        <w:rPr>
          <w:rFonts w:ascii="Times New Roman" w:hAnsi="Times New Roman" w:cs="Times New Roman"/>
          <w:i/>
          <w:iCs/>
          <w:sz w:val="20"/>
          <w:szCs w:val="20"/>
          <w:lang w:val="tr-TR"/>
        </w:rPr>
        <w:t>ş Bir Hüküm Olarak TTK m. 512</w:t>
      </w:r>
      <w:r w:rsidR="00007B46">
        <w:rPr>
          <w:rFonts w:ascii="Times New Roman" w:hAnsi="Times New Roman" w:cs="Times New Roman"/>
          <w:sz w:val="20"/>
          <w:szCs w:val="20"/>
          <w:lang w:val="tr-TR"/>
        </w:rPr>
        <w:t xml:space="preserve">, Ed. Havva Karagöz et. </w:t>
      </w:r>
      <w:proofErr w:type="spellStart"/>
      <w:r w:rsidR="00007B46">
        <w:rPr>
          <w:rFonts w:ascii="Times New Roman" w:hAnsi="Times New Roman" w:cs="Times New Roman"/>
          <w:sz w:val="20"/>
          <w:szCs w:val="20"/>
          <w:lang w:val="tr-TR"/>
        </w:rPr>
        <w:t>al., Tüzel</w:t>
      </w:r>
      <w:proofErr w:type="spellEnd"/>
      <w:r w:rsidR="00007B46">
        <w:rPr>
          <w:rFonts w:ascii="Times New Roman" w:hAnsi="Times New Roman" w:cs="Times New Roman"/>
          <w:sz w:val="20"/>
          <w:szCs w:val="20"/>
          <w:lang w:val="tr-TR"/>
        </w:rPr>
        <w:t xml:space="preserve"> Kişilik Penceresinden Anonim Ortaklık Sempozyumu (2021), p. 604</w:t>
      </w:r>
      <w:r w:rsidR="008705EB">
        <w:rPr>
          <w:rFonts w:ascii="Times New Roman" w:hAnsi="Times New Roman" w:cs="Times New Roman"/>
          <w:sz w:val="20"/>
          <w:szCs w:val="20"/>
          <w:lang w:val="tr-TR"/>
        </w:rPr>
        <w:t xml:space="preserve">). </w:t>
      </w:r>
    </w:p>
  </w:footnote>
  <w:footnote w:id="958">
    <w:p w14:paraId="2BB98682" w14:textId="5337C84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Brodie v. Jordan, 447 Mass. 866 (2006).</w:t>
      </w:r>
    </w:p>
  </w:footnote>
  <w:footnote w:id="959">
    <w:p w14:paraId="01D29593" w14:textId="4E547B0D"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p. 9-10.</w:t>
      </w:r>
    </w:p>
  </w:footnote>
  <w:footnote w:id="960">
    <w:p w14:paraId="5694F473" w14:textId="6868414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490 and 498.</w:t>
      </w:r>
    </w:p>
  </w:footnote>
  <w:footnote w:id="961">
    <w:p w14:paraId="15900806" w14:textId="539F1F9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2014/3669 K. 2014/10238 T. 02/06/2014.</w:t>
      </w:r>
    </w:p>
  </w:footnote>
  <w:footnote w:id="962">
    <w:p w14:paraId="0A34EAFC" w14:textId="544F50FE" w:rsidR="00D36541" w:rsidRPr="009975EA" w:rsidRDefault="00D36541" w:rsidP="00B43AC7">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123.</w:t>
      </w:r>
      <w:r>
        <w:rPr>
          <w:rFonts w:ascii="Times New Roman" w:hAnsi="Times New Roman" w:cs="Times New Roman"/>
          <w:sz w:val="20"/>
          <w:szCs w:val="20"/>
        </w:rPr>
        <w:tab/>
      </w:r>
    </w:p>
  </w:footnote>
  <w:footnote w:id="963">
    <w:p w14:paraId="3025A994" w14:textId="21D82A6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Tekinalp</w:t>
      </w:r>
      <w:proofErr w:type="spellEnd"/>
      <w:r w:rsidRPr="009975EA">
        <w:rPr>
          <w:rFonts w:ascii="Times New Roman" w:hAnsi="Times New Roman" w:cs="Times New Roman"/>
          <w:sz w:val="20"/>
          <w:szCs w:val="20"/>
        </w:rPr>
        <w:t>, p. 193.</w:t>
      </w:r>
    </w:p>
  </w:footnote>
  <w:footnote w:id="964">
    <w:p w14:paraId="4F43A907" w14:textId="16D9C79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Hanagasi</w:t>
      </w:r>
      <w:proofErr w:type="spellEnd"/>
      <w:r w:rsidRPr="009975EA">
        <w:rPr>
          <w:rFonts w:ascii="Times New Roman" w:hAnsi="Times New Roman" w:cs="Times New Roman"/>
          <w:sz w:val="20"/>
          <w:szCs w:val="20"/>
        </w:rPr>
        <w:t>, p. 250.</w:t>
      </w:r>
    </w:p>
  </w:footnote>
  <w:footnote w:id="965">
    <w:p w14:paraId="0CD4523E" w14:textId="734E0C0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Hanagasi</w:t>
      </w:r>
      <w:proofErr w:type="spellEnd"/>
      <w:r w:rsidRPr="009975EA">
        <w:rPr>
          <w:rFonts w:ascii="Times New Roman" w:hAnsi="Times New Roman" w:cs="Times New Roman"/>
          <w:sz w:val="20"/>
          <w:szCs w:val="20"/>
        </w:rPr>
        <w:t>, p. 251.</w:t>
      </w:r>
    </w:p>
  </w:footnote>
  <w:footnote w:id="966">
    <w:p w14:paraId="5C4A0254" w14:textId="149455A8"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Eker</w:t>
      </w:r>
      <w:proofErr w:type="spellEnd"/>
      <w:r w:rsidRPr="009975EA">
        <w:rPr>
          <w:rFonts w:ascii="Times New Roman" w:hAnsi="Times New Roman" w:cs="Times New Roman"/>
          <w:sz w:val="20"/>
          <w:szCs w:val="20"/>
        </w:rPr>
        <w:t>, p. 133.</w:t>
      </w:r>
    </w:p>
  </w:footnote>
  <w:footnote w:id="967">
    <w:p w14:paraId="7764C4E5" w14:textId="5632B7F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w:t>
      </w:r>
      <w:r w:rsidRPr="009975EA">
        <w:rPr>
          <w:rFonts w:ascii="Times New Roman" w:hAnsi="Times New Roman" w:cs="Times New Roman"/>
          <w:color w:val="000000"/>
          <w:sz w:val="20"/>
          <w:szCs w:val="20"/>
        </w:rPr>
        <w:t>Lumley v. Wagner, 42 Eng. Rep. 687 (1852).</w:t>
      </w:r>
    </w:p>
  </w:footnote>
  <w:footnote w:id="968">
    <w:p w14:paraId="48D22644" w14:textId="49620A9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Tekinalp</w:t>
      </w:r>
      <w:proofErr w:type="spellEnd"/>
      <w:r w:rsidRPr="009975EA">
        <w:rPr>
          <w:rFonts w:ascii="Times New Roman" w:hAnsi="Times New Roman" w:cs="Times New Roman"/>
          <w:sz w:val="20"/>
          <w:szCs w:val="20"/>
        </w:rPr>
        <w:t>, p. 192.</w:t>
      </w:r>
    </w:p>
  </w:footnote>
  <w:footnote w:id="969">
    <w:p w14:paraId="0BD8D420" w14:textId="1E431A7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For example, see,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23. HD E. 2011/2569 K. 2012/1627 T. 05/03/2012; on contrary, see,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1989/3337 K. 1990/4327 T. 29/05/1990.</w:t>
      </w:r>
    </w:p>
  </w:footnote>
  <w:footnote w:id="970">
    <w:p w14:paraId="23DA1BBD" w14:textId="6C0DE39D" w:rsidR="008426F1" w:rsidRPr="0047452F" w:rsidRDefault="008426F1"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001A512E" w:rsidRPr="0047452F">
        <w:rPr>
          <w:rFonts w:ascii="Times New Roman" w:hAnsi="Times New Roman" w:cs="Times New Roman"/>
          <w:sz w:val="20"/>
          <w:szCs w:val="20"/>
        </w:rPr>
        <w:t xml:space="preserve">For contrary view under judicial dissolution remedy, see, </w:t>
      </w:r>
      <w:proofErr w:type="spellStart"/>
      <w:r w:rsidR="001A512E" w:rsidRPr="0047452F">
        <w:rPr>
          <w:rFonts w:ascii="Times New Roman" w:hAnsi="Times New Roman" w:cs="Times New Roman"/>
          <w:sz w:val="20"/>
          <w:szCs w:val="20"/>
        </w:rPr>
        <w:t>Tekinalp</w:t>
      </w:r>
      <w:proofErr w:type="spellEnd"/>
      <w:r w:rsidR="001A512E" w:rsidRPr="0047452F">
        <w:rPr>
          <w:rFonts w:ascii="Times New Roman" w:hAnsi="Times New Roman" w:cs="Times New Roman"/>
          <w:sz w:val="20"/>
          <w:szCs w:val="20"/>
        </w:rPr>
        <w:t xml:space="preserve">, p. 346. </w:t>
      </w:r>
    </w:p>
  </w:footnote>
  <w:footnote w:id="971">
    <w:p w14:paraId="380A36E4" w14:textId="10E7963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516.</w:t>
      </w:r>
    </w:p>
  </w:footnote>
  <w:footnote w:id="972">
    <w:p w14:paraId="3576A1D2" w14:textId="42D6BB5E"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p. 14.</w:t>
      </w:r>
    </w:p>
  </w:footnote>
  <w:footnote w:id="973">
    <w:p w14:paraId="4BC2E854" w14:textId="60D585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p. 14.</w:t>
      </w:r>
    </w:p>
  </w:footnote>
  <w:footnote w:id="974">
    <w:p w14:paraId="66901615" w14:textId="606CEE33" w:rsidR="00D36541" w:rsidRPr="009975EA" w:rsidRDefault="00D36541" w:rsidP="009975EA">
      <w:pPr>
        <w:pStyle w:val="DipnotMetni"/>
        <w:jc w:val="both"/>
        <w:rPr>
          <w:rFonts w:ascii="Times New Roman" w:hAnsi="Times New Roman" w:cs="Times New Roman"/>
          <w:sz w:val="20"/>
          <w:szCs w:val="20"/>
          <w:lang w:val="tr-TR"/>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p. 19.</w:t>
      </w:r>
    </w:p>
  </w:footnote>
  <w:footnote w:id="975">
    <w:p w14:paraId="07CFB075" w14:textId="728E5FC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Eker</w:t>
      </w:r>
      <w:proofErr w:type="spellEnd"/>
      <w:r w:rsidRPr="009975EA">
        <w:rPr>
          <w:rFonts w:ascii="Times New Roman" w:hAnsi="Times New Roman" w:cs="Times New Roman"/>
          <w:sz w:val="20"/>
          <w:szCs w:val="20"/>
        </w:rPr>
        <w:t>, p. 136.</w:t>
      </w:r>
    </w:p>
  </w:footnote>
  <w:footnote w:id="976">
    <w:p w14:paraId="1F7FCDF7" w14:textId="625D0252"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p. 11.</w:t>
      </w:r>
    </w:p>
  </w:footnote>
  <w:footnote w:id="977">
    <w:p w14:paraId="68028EB3" w14:textId="6B746D63"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p. 13.</w:t>
      </w:r>
    </w:p>
  </w:footnote>
  <w:footnote w:id="978">
    <w:p w14:paraId="7EC617CB" w14:textId="243B6DDF" w:rsidR="00D36541" w:rsidRPr="00524972" w:rsidRDefault="00D36541">
      <w:pPr>
        <w:pStyle w:val="DipnotMetni"/>
        <w:rPr>
          <w:rFonts w:ascii="Times New Roman" w:hAnsi="Times New Roman" w:cs="Times New Roman"/>
        </w:rPr>
      </w:pPr>
      <w:r w:rsidRPr="00524972">
        <w:rPr>
          <w:rStyle w:val="DipnotBavurusu"/>
          <w:rFonts w:ascii="Times New Roman" w:hAnsi="Times New Roman" w:cs="Times New Roman"/>
          <w:sz w:val="20"/>
        </w:rPr>
        <w:footnoteRef/>
      </w:r>
      <w:r w:rsidRPr="00524972">
        <w:rPr>
          <w:rFonts w:ascii="Times New Roman" w:hAnsi="Times New Roman" w:cs="Times New Roman"/>
          <w:sz w:val="20"/>
        </w:rPr>
        <w:t xml:space="preserve"> </w:t>
      </w:r>
      <w:proofErr w:type="spellStart"/>
      <w:r>
        <w:rPr>
          <w:rFonts w:ascii="Times New Roman" w:hAnsi="Times New Roman" w:cs="Times New Roman"/>
          <w:sz w:val="20"/>
        </w:rPr>
        <w:t>Eker</w:t>
      </w:r>
      <w:proofErr w:type="spellEnd"/>
      <w:r>
        <w:rPr>
          <w:rFonts w:ascii="Times New Roman" w:hAnsi="Times New Roman" w:cs="Times New Roman"/>
          <w:sz w:val="20"/>
        </w:rPr>
        <w:t>, p. 137.</w:t>
      </w:r>
    </w:p>
  </w:footnote>
  <w:footnote w:id="979">
    <w:p w14:paraId="40ECE779" w14:textId="67BA523F" w:rsidR="00D36541" w:rsidRPr="009975EA" w:rsidRDefault="00D36541" w:rsidP="009975EA">
      <w:pPr>
        <w:pStyle w:val="DipnotMetni"/>
        <w:tabs>
          <w:tab w:val="left" w:pos="6245"/>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11. HD E. 2015/6768 K. 2015/10302 T. 12/10/2015. </w:t>
      </w:r>
      <w:r w:rsidRPr="009975EA">
        <w:rPr>
          <w:rFonts w:ascii="Times New Roman" w:hAnsi="Times New Roman" w:cs="Times New Roman"/>
          <w:sz w:val="20"/>
          <w:szCs w:val="20"/>
        </w:rPr>
        <w:tab/>
      </w:r>
    </w:p>
  </w:footnote>
  <w:footnote w:id="980">
    <w:p w14:paraId="4B140FBF" w14:textId="63DA709B" w:rsidR="00D36541" w:rsidRPr="009975EA" w:rsidRDefault="00D36541" w:rsidP="00B43AC7">
      <w:pPr>
        <w:pStyle w:val="DipnotMetni"/>
        <w:tabs>
          <w:tab w:val="left" w:pos="4982"/>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Camoglu</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Anonim</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Ortakligin</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Hakli</w:t>
      </w:r>
      <w:proofErr w:type="spellEnd"/>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Sebeple</w:t>
      </w:r>
      <w:proofErr w:type="spellEnd"/>
      <w:r w:rsidRPr="009975EA">
        <w:rPr>
          <w:rFonts w:ascii="Times New Roman" w:hAnsi="Times New Roman" w:cs="Times New Roman"/>
          <w:sz w:val="20"/>
          <w:szCs w:val="20"/>
        </w:rPr>
        <w:t>, p. 14.</w:t>
      </w:r>
      <w:r>
        <w:rPr>
          <w:rFonts w:ascii="Times New Roman" w:hAnsi="Times New Roman" w:cs="Times New Roman"/>
          <w:sz w:val="20"/>
          <w:szCs w:val="20"/>
        </w:rPr>
        <w:tab/>
      </w:r>
    </w:p>
  </w:footnote>
  <w:footnote w:id="981">
    <w:p w14:paraId="47826CE1" w14:textId="0F77172C"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523.</w:t>
      </w:r>
    </w:p>
  </w:footnote>
  <w:footnote w:id="982">
    <w:p w14:paraId="6AA6CCF4" w14:textId="0E133CE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CML Article 1.</w:t>
      </w:r>
    </w:p>
  </w:footnote>
  <w:footnote w:id="983">
    <w:p w14:paraId="0D3B8803" w14:textId="0B57E798" w:rsidR="00D36541" w:rsidRPr="009975EA" w:rsidRDefault="00D36541" w:rsidP="00B43AC7">
      <w:pPr>
        <w:pStyle w:val="DipnotMetni"/>
        <w:tabs>
          <w:tab w:val="center" w:pos="4703"/>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Lynch v. Patterson, 701 P.2d 1126 (1985).</w:t>
      </w:r>
      <w:r>
        <w:rPr>
          <w:rFonts w:ascii="Times New Roman" w:hAnsi="Times New Roman" w:cs="Times New Roman"/>
          <w:sz w:val="20"/>
          <w:szCs w:val="20"/>
        </w:rPr>
        <w:tab/>
      </w:r>
    </w:p>
  </w:footnote>
  <w:footnote w:id="984">
    <w:p w14:paraId="0C7F13D2"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deHaas</w:t>
      </w:r>
      <w:proofErr w:type="spellEnd"/>
      <w:r w:rsidRPr="009975EA">
        <w:rPr>
          <w:rFonts w:ascii="Times New Roman" w:hAnsi="Times New Roman" w:cs="Times New Roman"/>
          <w:sz w:val="20"/>
          <w:szCs w:val="20"/>
        </w:rPr>
        <w:t xml:space="preserve"> v. Empire Petroleum Co., 435 F.2d 1223 (1970).</w:t>
      </w:r>
    </w:p>
  </w:footnote>
  <w:footnote w:id="985">
    <w:p w14:paraId="66D05C0F" w14:textId="13F13361"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290, stating that once the judicial dissolution lawsuit is initiated, the share prices will go down dramatically</w:t>
      </w:r>
      <w:r w:rsidR="00441C92">
        <w:rPr>
          <w:rFonts w:ascii="Times New Roman" w:hAnsi="Times New Roman" w:cs="Times New Roman"/>
          <w:sz w:val="20"/>
          <w:szCs w:val="20"/>
        </w:rPr>
        <w:t>,</w:t>
      </w:r>
      <w:r w:rsidRPr="009975EA">
        <w:rPr>
          <w:rFonts w:ascii="Times New Roman" w:hAnsi="Times New Roman" w:cs="Times New Roman"/>
          <w:sz w:val="20"/>
          <w:szCs w:val="20"/>
        </w:rPr>
        <w:t xml:space="preserve"> and the corporation will have business losses.</w:t>
      </w:r>
    </w:p>
  </w:footnote>
  <w:footnote w:id="986">
    <w:p w14:paraId="5BEB66A6" w14:textId="66200496"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publicly traded corporations, it is said that the corporation’s policy to declare dividends or not (i.e., </w:t>
      </w:r>
      <w:r w:rsidR="00441C92">
        <w:rPr>
          <w:rFonts w:ascii="Times New Roman" w:hAnsi="Times New Roman" w:cs="Times New Roman"/>
          <w:sz w:val="20"/>
          <w:szCs w:val="20"/>
        </w:rPr>
        <w:t xml:space="preserve">to </w:t>
      </w:r>
      <w:r w:rsidRPr="009975EA">
        <w:rPr>
          <w:rFonts w:ascii="Times New Roman" w:hAnsi="Times New Roman" w:cs="Times New Roman"/>
          <w:sz w:val="20"/>
          <w:szCs w:val="20"/>
        </w:rPr>
        <w:t xml:space="preserve">retain earnings within the corporation) does not </w:t>
      </w:r>
      <w:proofErr w:type="spellStart"/>
      <w:r w:rsidRPr="009975EA">
        <w:rPr>
          <w:rFonts w:ascii="Times New Roman" w:hAnsi="Times New Roman" w:cs="Times New Roman"/>
          <w:sz w:val="20"/>
          <w:szCs w:val="20"/>
        </w:rPr>
        <w:t>effect</w:t>
      </w:r>
      <w:proofErr w:type="spellEnd"/>
      <w:r w:rsidRPr="009975EA">
        <w:rPr>
          <w:rFonts w:ascii="Times New Roman" w:hAnsi="Times New Roman" w:cs="Times New Roman"/>
          <w:sz w:val="20"/>
          <w:szCs w:val="20"/>
        </w:rPr>
        <w:t xml:space="preserve"> the shareholders much because </w:t>
      </w:r>
      <w:proofErr w:type="spellStart"/>
      <w:r w:rsidRPr="009975EA">
        <w:rPr>
          <w:rFonts w:ascii="Times New Roman" w:hAnsi="Times New Roman" w:cs="Times New Roman"/>
          <w:sz w:val="20"/>
          <w:szCs w:val="20"/>
        </w:rPr>
        <w:t>because</w:t>
      </w:r>
      <w:proofErr w:type="spellEnd"/>
      <w:r w:rsidRPr="009975EA">
        <w:rPr>
          <w:rFonts w:ascii="Times New Roman" w:hAnsi="Times New Roman" w:cs="Times New Roman"/>
          <w:sz w:val="20"/>
          <w:szCs w:val="20"/>
        </w:rPr>
        <w:t xml:space="preserve"> the overall value of the firm will increase once the earnings are retained and this will translate into increase in the value of the shares; after all, it is assumed that the retained funds are </w:t>
      </w:r>
      <w:proofErr w:type="spellStart"/>
      <w:r w:rsidRPr="009975EA">
        <w:rPr>
          <w:rFonts w:ascii="Times New Roman" w:hAnsi="Times New Roman" w:cs="Times New Roman"/>
          <w:sz w:val="20"/>
          <w:szCs w:val="20"/>
        </w:rPr>
        <w:t>reinveted</w:t>
      </w:r>
      <w:proofErr w:type="spellEnd"/>
      <w:r w:rsidRPr="009975EA">
        <w:rPr>
          <w:rFonts w:ascii="Times New Roman" w:hAnsi="Times New Roman" w:cs="Times New Roman"/>
          <w:sz w:val="20"/>
          <w:szCs w:val="20"/>
        </w:rPr>
        <w:t xml:space="preserve"> at the corporation’s cost of capital (Moll, Dividend Policy, p. 858). In this regard, when a compensation is awarded to the corporation, the wrongdoer will definitely benefit from it directly.</w:t>
      </w:r>
    </w:p>
  </w:footnote>
  <w:footnote w:id="987">
    <w:p w14:paraId="666C4819" w14:textId="7777777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Glenn v. </w:t>
      </w:r>
      <w:proofErr w:type="spellStart"/>
      <w:r w:rsidRPr="009975EA">
        <w:rPr>
          <w:rFonts w:ascii="Times New Roman" w:hAnsi="Times New Roman" w:cs="Times New Roman"/>
          <w:sz w:val="20"/>
          <w:szCs w:val="20"/>
        </w:rPr>
        <w:t>Hoteltron</w:t>
      </w:r>
      <w:proofErr w:type="spellEnd"/>
      <w:r w:rsidRPr="009975EA">
        <w:rPr>
          <w:rFonts w:ascii="Times New Roman" w:hAnsi="Times New Roman" w:cs="Times New Roman"/>
          <w:sz w:val="20"/>
          <w:szCs w:val="20"/>
        </w:rPr>
        <w:t xml:space="preserve"> Systems, Inc., 74 N.Y.2d 386 (1989).</w:t>
      </w:r>
    </w:p>
  </w:footnote>
  <w:footnote w:id="988">
    <w:p w14:paraId="208988D1" w14:textId="0DD6531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Yargitay</w:t>
      </w:r>
      <w:proofErr w:type="spellEnd"/>
      <w:r w:rsidRPr="009975EA">
        <w:rPr>
          <w:rFonts w:ascii="Times New Roman" w:hAnsi="Times New Roman" w:cs="Times New Roman"/>
          <w:sz w:val="20"/>
          <w:szCs w:val="20"/>
        </w:rPr>
        <w:t xml:space="preserve"> 17. HD E. 2009/1166 K. 2009/1241 T. 09/03/2009.</w:t>
      </w:r>
    </w:p>
  </w:footnote>
  <w:footnote w:id="989">
    <w:p w14:paraId="07A973ED" w14:textId="0E65CD40"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Hanagasi</w:t>
      </w:r>
      <w:proofErr w:type="spellEnd"/>
      <w:r w:rsidRPr="009975EA">
        <w:rPr>
          <w:rFonts w:ascii="Times New Roman" w:hAnsi="Times New Roman" w:cs="Times New Roman"/>
          <w:sz w:val="20"/>
          <w:szCs w:val="20"/>
        </w:rPr>
        <w:t>, p. 253.</w:t>
      </w:r>
    </w:p>
  </w:footnote>
  <w:footnote w:id="990">
    <w:p w14:paraId="7ECBF222" w14:textId="36D33E1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Hanagasi</w:t>
      </w:r>
      <w:proofErr w:type="spellEnd"/>
      <w:r w:rsidRPr="009975EA">
        <w:rPr>
          <w:rFonts w:ascii="Times New Roman" w:hAnsi="Times New Roman" w:cs="Times New Roman"/>
          <w:sz w:val="20"/>
          <w:szCs w:val="20"/>
        </w:rPr>
        <w:t>, p. 223.</w:t>
      </w:r>
    </w:p>
  </w:footnote>
  <w:footnote w:id="991">
    <w:p w14:paraId="68B6664E" w14:textId="5565B32F"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Hanagasi</w:t>
      </w:r>
      <w:proofErr w:type="spellEnd"/>
      <w:r w:rsidRPr="009975EA">
        <w:rPr>
          <w:rFonts w:ascii="Times New Roman" w:hAnsi="Times New Roman" w:cs="Times New Roman"/>
          <w:sz w:val="20"/>
          <w:szCs w:val="20"/>
        </w:rPr>
        <w:t>, p. 253.</w:t>
      </w:r>
    </w:p>
  </w:footnote>
  <w:footnote w:id="992">
    <w:p w14:paraId="0691A6D5" w14:textId="4923FCB7"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Muellenberg</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Bikon</w:t>
      </w:r>
      <w:proofErr w:type="spellEnd"/>
      <w:r w:rsidRPr="009975EA">
        <w:rPr>
          <w:rFonts w:ascii="Times New Roman" w:hAnsi="Times New Roman" w:cs="Times New Roman"/>
          <w:sz w:val="20"/>
          <w:szCs w:val="20"/>
        </w:rPr>
        <w:t xml:space="preserve"> Corp., 143 N.J. 168 (1996): “Thus, while a minority buy- out of the majority is an uncommon remedy, it was the appropriate one here.”</w:t>
      </w:r>
    </w:p>
  </w:footnote>
  <w:footnote w:id="993">
    <w:p w14:paraId="671E1F5D" w14:textId="69E4F4C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Ayoglu</w:t>
      </w:r>
      <w:proofErr w:type="spellEnd"/>
      <w:r w:rsidRPr="009975EA">
        <w:rPr>
          <w:rFonts w:ascii="Times New Roman" w:hAnsi="Times New Roman" w:cs="Times New Roman"/>
          <w:sz w:val="20"/>
          <w:szCs w:val="20"/>
        </w:rPr>
        <w:t xml:space="preserve">, </w:t>
      </w:r>
      <w:r w:rsidR="004F2083">
        <w:rPr>
          <w:rFonts w:ascii="Times New Roman" w:hAnsi="Times New Roman" w:cs="Times New Roman"/>
          <w:sz w:val="20"/>
          <w:szCs w:val="20"/>
        </w:rPr>
        <w:t xml:space="preserve">2013, </w:t>
      </w:r>
      <w:r w:rsidRPr="009975EA">
        <w:rPr>
          <w:rFonts w:ascii="Times New Roman" w:hAnsi="Times New Roman" w:cs="Times New Roman"/>
          <w:sz w:val="20"/>
          <w:szCs w:val="20"/>
        </w:rPr>
        <w:t>p. 248.</w:t>
      </w:r>
    </w:p>
  </w:footnote>
  <w:footnote w:id="994">
    <w:p w14:paraId="2B1BA521" w14:textId="1AF725A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Eker</w:t>
      </w:r>
      <w:proofErr w:type="spellEnd"/>
      <w:r w:rsidRPr="009975EA">
        <w:rPr>
          <w:rFonts w:ascii="Times New Roman" w:hAnsi="Times New Roman" w:cs="Times New Roman"/>
          <w:sz w:val="20"/>
          <w:szCs w:val="20"/>
        </w:rPr>
        <w:t>, p. 136- 137.</w:t>
      </w:r>
    </w:p>
  </w:footnote>
  <w:footnote w:id="995">
    <w:p w14:paraId="555041FE" w14:textId="5C1DBD2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Hanagasi</w:t>
      </w:r>
      <w:proofErr w:type="spellEnd"/>
      <w:r w:rsidRPr="009975EA">
        <w:rPr>
          <w:rFonts w:ascii="Times New Roman" w:hAnsi="Times New Roman" w:cs="Times New Roman"/>
          <w:sz w:val="20"/>
          <w:szCs w:val="20"/>
        </w:rPr>
        <w:t>, p.202.</w:t>
      </w:r>
    </w:p>
  </w:footnote>
  <w:footnote w:id="996">
    <w:p w14:paraId="3C5561E6" w14:textId="488AF243" w:rsidR="00DA6644" w:rsidRPr="0047452F" w:rsidRDefault="00DA6644" w:rsidP="0047452F">
      <w:pPr>
        <w:pStyle w:val="DipnotMetni"/>
        <w:jc w:val="both"/>
        <w:rPr>
          <w:rFonts w:ascii="Times New Roman" w:hAnsi="Times New Roman" w:cs="Times New Roman"/>
          <w:sz w:val="20"/>
          <w:szCs w:val="20"/>
          <w:lang w:val="tr-TR"/>
        </w:rPr>
      </w:pPr>
      <w:r w:rsidRPr="0047452F">
        <w:rPr>
          <w:rStyle w:val="DipnotBavurusu"/>
          <w:rFonts w:ascii="Times New Roman" w:hAnsi="Times New Roman" w:cs="Times New Roman"/>
          <w:sz w:val="20"/>
          <w:szCs w:val="20"/>
        </w:rPr>
        <w:footnoteRef/>
      </w:r>
      <w:r w:rsidRPr="0047452F">
        <w:rPr>
          <w:rFonts w:ascii="Times New Roman" w:hAnsi="Times New Roman" w:cs="Times New Roman"/>
          <w:sz w:val="20"/>
          <w:szCs w:val="20"/>
        </w:rPr>
        <w:t xml:space="preserve"> </w:t>
      </w:r>
      <w:r w:rsidRPr="0047452F">
        <w:rPr>
          <w:rFonts w:ascii="Times New Roman" w:hAnsi="Times New Roman" w:cs="Times New Roman"/>
          <w:sz w:val="20"/>
          <w:szCs w:val="20"/>
          <w:lang w:val="tr-TR"/>
        </w:rPr>
        <w:t xml:space="preserve">TCC </w:t>
      </w:r>
      <w:proofErr w:type="spellStart"/>
      <w:r w:rsidRPr="0047452F">
        <w:rPr>
          <w:rFonts w:ascii="Times New Roman" w:hAnsi="Times New Roman" w:cs="Times New Roman"/>
          <w:sz w:val="20"/>
          <w:szCs w:val="20"/>
          <w:lang w:val="tr-TR"/>
        </w:rPr>
        <w:t>includes</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provisions</w:t>
      </w:r>
      <w:proofErr w:type="spellEnd"/>
      <w:r w:rsidRPr="0047452F">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that</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are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normally</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articulated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under</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civil</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procedur</w:t>
      </w:r>
      <w:r>
        <w:rPr>
          <w:rFonts w:ascii="Times New Roman" w:hAnsi="Times New Roman" w:cs="Times New Roman"/>
          <w:sz w:val="20"/>
          <w:szCs w:val="20"/>
          <w:lang w:val="tr-TR"/>
        </w:rPr>
        <w:t>e</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law</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such</w:t>
      </w:r>
      <w:proofErr w:type="spellEnd"/>
      <w:r w:rsidRPr="0047452F">
        <w:rPr>
          <w:rFonts w:ascii="Times New Roman" w:hAnsi="Times New Roman" w:cs="Times New Roman"/>
          <w:sz w:val="20"/>
          <w:szCs w:val="20"/>
          <w:lang w:val="tr-TR"/>
        </w:rPr>
        <w:t xml:space="preserve"> as </w:t>
      </w:r>
      <w:proofErr w:type="spellStart"/>
      <w:r w:rsidRPr="0047452F">
        <w:rPr>
          <w:rFonts w:ascii="Times New Roman" w:hAnsi="Times New Roman" w:cs="Times New Roman"/>
          <w:sz w:val="20"/>
          <w:szCs w:val="20"/>
          <w:lang w:val="tr-TR"/>
        </w:rPr>
        <w:t>Article</w:t>
      </w:r>
      <w:proofErr w:type="spellEnd"/>
      <w:r w:rsidRPr="0047452F">
        <w:rPr>
          <w:rFonts w:ascii="Times New Roman" w:hAnsi="Times New Roman" w:cs="Times New Roman"/>
          <w:sz w:val="20"/>
          <w:szCs w:val="20"/>
          <w:lang w:val="tr-TR"/>
        </w:rPr>
        <w:t xml:space="preserve"> 448(3) </w:t>
      </w:r>
      <w:proofErr w:type="spellStart"/>
      <w:r w:rsidRPr="0047452F">
        <w:rPr>
          <w:rFonts w:ascii="Times New Roman" w:hAnsi="Times New Roman" w:cs="Times New Roman"/>
          <w:sz w:val="20"/>
          <w:szCs w:val="20"/>
          <w:lang w:val="tr-TR"/>
        </w:rPr>
        <w:t>and</w:t>
      </w:r>
      <w:proofErr w:type="spellEnd"/>
      <w:r w:rsidRPr="0047452F">
        <w:rPr>
          <w:rFonts w:ascii="Times New Roman" w:hAnsi="Times New Roman" w:cs="Times New Roman"/>
          <w:sz w:val="20"/>
          <w:szCs w:val="20"/>
          <w:lang w:val="tr-TR"/>
        </w:rPr>
        <w:t xml:space="preserve"> 449(1). </w:t>
      </w:r>
      <w:proofErr w:type="spellStart"/>
      <w:r w:rsidRPr="0047452F">
        <w:rPr>
          <w:rFonts w:ascii="Times New Roman" w:hAnsi="Times New Roman" w:cs="Times New Roman"/>
          <w:sz w:val="20"/>
          <w:szCs w:val="20"/>
          <w:lang w:val="tr-TR"/>
        </w:rPr>
        <w:t>Accordingly</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the</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judicial</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dissolution</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provision</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may</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also</w:t>
      </w:r>
      <w:proofErr w:type="spellEnd"/>
      <w:r w:rsidRPr="0047452F">
        <w:rPr>
          <w:rFonts w:ascii="Times New Roman" w:hAnsi="Times New Roman" w:cs="Times New Roman"/>
          <w:sz w:val="20"/>
          <w:szCs w:val="20"/>
          <w:lang w:val="tr-TR"/>
        </w:rPr>
        <w:t xml:space="preserve"> be </w:t>
      </w:r>
      <w:proofErr w:type="spellStart"/>
      <w:r w:rsidRPr="0047452F">
        <w:rPr>
          <w:rFonts w:ascii="Times New Roman" w:hAnsi="Times New Roman" w:cs="Times New Roman"/>
          <w:sz w:val="20"/>
          <w:szCs w:val="20"/>
          <w:lang w:val="tr-TR"/>
        </w:rPr>
        <w:t>viewed</w:t>
      </w:r>
      <w:proofErr w:type="spellEnd"/>
      <w:r w:rsidRPr="0047452F">
        <w:rPr>
          <w:rFonts w:ascii="Times New Roman" w:hAnsi="Times New Roman" w:cs="Times New Roman"/>
          <w:sz w:val="20"/>
          <w:szCs w:val="20"/>
          <w:lang w:val="tr-TR"/>
        </w:rPr>
        <w:t xml:space="preserve"> as a </w:t>
      </w:r>
      <w:proofErr w:type="spellStart"/>
      <w:r w:rsidRPr="0047452F">
        <w:rPr>
          <w:rFonts w:ascii="Times New Roman" w:hAnsi="Times New Roman" w:cs="Times New Roman"/>
          <w:sz w:val="20"/>
          <w:szCs w:val="20"/>
          <w:lang w:val="tr-TR"/>
        </w:rPr>
        <w:t>hybrid</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provision</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including</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procedural</w:t>
      </w:r>
      <w:proofErr w:type="spellEnd"/>
      <w:r w:rsidRPr="0047452F">
        <w:rPr>
          <w:rFonts w:ascii="Times New Roman" w:hAnsi="Times New Roman" w:cs="Times New Roman"/>
          <w:sz w:val="20"/>
          <w:szCs w:val="20"/>
          <w:lang w:val="tr-TR"/>
        </w:rPr>
        <w:t xml:space="preserve"> </w:t>
      </w:r>
      <w:proofErr w:type="spellStart"/>
      <w:r w:rsidRPr="0047452F">
        <w:rPr>
          <w:rFonts w:ascii="Times New Roman" w:hAnsi="Times New Roman" w:cs="Times New Roman"/>
          <w:sz w:val="20"/>
          <w:szCs w:val="20"/>
          <w:lang w:val="tr-TR"/>
        </w:rPr>
        <w:t>aspects</w:t>
      </w:r>
      <w:proofErr w:type="spellEnd"/>
      <w:r w:rsidRPr="0047452F">
        <w:rPr>
          <w:rFonts w:ascii="Times New Roman" w:hAnsi="Times New Roman" w:cs="Times New Roman"/>
          <w:sz w:val="20"/>
          <w:szCs w:val="20"/>
          <w:lang w:val="tr-TR"/>
        </w:rPr>
        <w:t xml:space="preserve">. </w:t>
      </w:r>
    </w:p>
  </w:footnote>
  <w:footnote w:id="997">
    <w:p w14:paraId="2BF415F7" w14:textId="01A5050B"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Cowin</w:t>
      </w:r>
      <w:proofErr w:type="spellEnd"/>
      <w:r w:rsidRPr="009975EA">
        <w:rPr>
          <w:rFonts w:ascii="Times New Roman" w:hAnsi="Times New Roman" w:cs="Times New Roman"/>
          <w:sz w:val="20"/>
          <w:szCs w:val="20"/>
        </w:rPr>
        <w:t xml:space="preserve"> v. </w:t>
      </w:r>
      <w:proofErr w:type="spellStart"/>
      <w:r w:rsidRPr="009975EA">
        <w:rPr>
          <w:rFonts w:ascii="Times New Roman" w:hAnsi="Times New Roman" w:cs="Times New Roman"/>
          <w:sz w:val="20"/>
          <w:szCs w:val="20"/>
        </w:rPr>
        <w:t>Bresler</w:t>
      </w:r>
      <w:proofErr w:type="spellEnd"/>
      <w:r w:rsidRPr="009975EA">
        <w:rPr>
          <w:rFonts w:ascii="Times New Roman" w:hAnsi="Times New Roman" w:cs="Times New Roman"/>
          <w:sz w:val="20"/>
          <w:szCs w:val="20"/>
        </w:rPr>
        <w:t>, 741 F. 2d 410 (1984).</w:t>
      </w:r>
      <w:r w:rsidR="00DA6644">
        <w:rPr>
          <w:rFonts w:ascii="Times New Roman" w:hAnsi="Times New Roman" w:cs="Times New Roman"/>
          <w:sz w:val="20"/>
          <w:szCs w:val="20"/>
        </w:rPr>
        <w:t xml:space="preserve"> </w:t>
      </w:r>
    </w:p>
  </w:footnote>
  <w:footnote w:id="998">
    <w:p w14:paraId="24A8C309" w14:textId="4CB79F4F" w:rsidR="00D36541" w:rsidRPr="009975EA" w:rsidRDefault="00D36541" w:rsidP="00B43AC7">
      <w:pPr>
        <w:pStyle w:val="DipnotMetni"/>
        <w:tabs>
          <w:tab w:val="left" w:pos="3096"/>
        </w:tabs>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Sahin</w:t>
      </w:r>
      <w:proofErr w:type="spellEnd"/>
      <w:r w:rsidRPr="009975EA">
        <w:rPr>
          <w:rFonts w:ascii="Times New Roman" w:hAnsi="Times New Roman" w:cs="Times New Roman"/>
          <w:sz w:val="20"/>
          <w:szCs w:val="20"/>
        </w:rPr>
        <w:t>, p. 204.</w:t>
      </w:r>
      <w:r>
        <w:rPr>
          <w:rFonts w:ascii="Times New Roman" w:hAnsi="Times New Roman" w:cs="Times New Roman"/>
          <w:sz w:val="20"/>
          <w:szCs w:val="20"/>
        </w:rPr>
        <w:tab/>
      </w:r>
    </w:p>
  </w:footnote>
  <w:footnote w:id="999">
    <w:p w14:paraId="2938B273" w14:textId="5812E23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w:t>
      </w:r>
      <w:proofErr w:type="spellStart"/>
      <w:r w:rsidRPr="009975EA">
        <w:rPr>
          <w:rFonts w:ascii="Times New Roman" w:hAnsi="Times New Roman" w:cs="Times New Roman"/>
          <w:sz w:val="20"/>
          <w:szCs w:val="20"/>
        </w:rPr>
        <w:t>Hanagasi</w:t>
      </w:r>
      <w:proofErr w:type="spellEnd"/>
      <w:r w:rsidRPr="009975EA">
        <w:rPr>
          <w:rFonts w:ascii="Times New Roman" w:hAnsi="Times New Roman" w:cs="Times New Roman"/>
          <w:sz w:val="20"/>
          <w:szCs w:val="20"/>
        </w:rPr>
        <w:t>, p. 260.</w:t>
      </w:r>
    </w:p>
  </w:footnote>
  <w:footnote w:id="1000">
    <w:p w14:paraId="34BD74BC" w14:textId="752F4CD9"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Hetherington/Dooley, p.27.</w:t>
      </w:r>
    </w:p>
  </w:footnote>
  <w:footnote w:id="1001">
    <w:p w14:paraId="6A92D7EA" w14:textId="2EE7BD35"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In re H. R. Harmer Ltd. [1959] 1 W.L.R. 62 (Jenkins L.J.).</w:t>
      </w:r>
    </w:p>
  </w:footnote>
  <w:footnote w:id="1002">
    <w:p w14:paraId="71F69DD0" w14:textId="4ED201A4" w:rsidR="00D36541" w:rsidRPr="009975EA" w:rsidRDefault="00D36541" w:rsidP="009975EA">
      <w:pPr>
        <w:pStyle w:val="DipnotMetni"/>
        <w:jc w:val="both"/>
        <w:rPr>
          <w:rFonts w:ascii="Times New Roman" w:hAnsi="Times New Roman" w:cs="Times New Roman"/>
          <w:sz w:val="20"/>
          <w:szCs w:val="20"/>
        </w:rPr>
      </w:pPr>
      <w:r w:rsidRPr="009975EA">
        <w:rPr>
          <w:rStyle w:val="DipnotBavurusu"/>
          <w:rFonts w:ascii="Times New Roman" w:hAnsi="Times New Roman" w:cs="Times New Roman"/>
          <w:sz w:val="20"/>
          <w:szCs w:val="20"/>
        </w:rPr>
        <w:footnoteRef/>
      </w:r>
      <w:r w:rsidRPr="009975EA">
        <w:rPr>
          <w:rFonts w:ascii="Times New Roman" w:hAnsi="Times New Roman" w:cs="Times New Roman"/>
          <w:sz w:val="20"/>
          <w:szCs w:val="20"/>
        </w:rPr>
        <w:t xml:space="preserve"> See, Chapter </w:t>
      </w:r>
      <w:r w:rsidR="001A512E">
        <w:rPr>
          <w:rFonts w:ascii="Times New Roman" w:hAnsi="Times New Roman" w:cs="Times New Roman"/>
          <w:sz w:val="20"/>
          <w:szCs w:val="20"/>
        </w:rPr>
        <w:t>I</w:t>
      </w:r>
      <w:r w:rsidRPr="009975EA">
        <w:rPr>
          <w:rFonts w:ascii="Times New Roman" w:hAnsi="Times New Roman" w:cs="Times New Roman"/>
          <w:sz w:val="20"/>
          <w:szCs w:val="20"/>
        </w:rPr>
        <w:t>V.</w:t>
      </w:r>
    </w:p>
  </w:footnote>
  <w:footnote w:id="1003">
    <w:p w14:paraId="5F66095E" w14:textId="4CEF6EE8" w:rsidR="007231B5" w:rsidRPr="0047452F" w:rsidRDefault="007231B5" w:rsidP="00A337AA">
      <w:pPr>
        <w:pStyle w:val="DipnotMetni"/>
        <w:jc w:val="both"/>
        <w:rPr>
          <w:rFonts w:ascii="Times New Roman" w:hAnsi="Times New Roman" w:cs="Times New Roman"/>
          <w:sz w:val="20"/>
          <w:szCs w:val="20"/>
          <w:lang w:val="tr-TR"/>
        </w:rPr>
      </w:pPr>
      <w:r w:rsidRPr="00A337AA">
        <w:rPr>
          <w:rStyle w:val="DipnotBavurusu"/>
          <w:rFonts w:ascii="Times New Roman" w:hAnsi="Times New Roman" w:cs="Times New Roman"/>
          <w:sz w:val="20"/>
          <w:szCs w:val="20"/>
        </w:rPr>
        <w:footnoteRef/>
      </w:r>
      <w:r w:rsidRPr="00A337AA">
        <w:rPr>
          <w:rFonts w:ascii="Times New Roman" w:hAnsi="Times New Roman" w:cs="Times New Roman"/>
          <w:sz w:val="20"/>
          <w:szCs w:val="20"/>
        </w:rPr>
        <w:t xml:space="preserve"> </w:t>
      </w:r>
      <w:proofErr w:type="spellStart"/>
      <w:r w:rsidR="00E91BF1" w:rsidRPr="00A337AA">
        <w:rPr>
          <w:rFonts w:ascii="Times New Roman" w:hAnsi="Times New Roman" w:cs="Times New Roman"/>
          <w:sz w:val="20"/>
          <w:szCs w:val="20"/>
          <w:lang w:val="tr-TR"/>
        </w:rPr>
        <w:t>According</w:t>
      </w:r>
      <w:proofErr w:type="spellEnd"/>
      <w:r w:rsidR="00E91BF1" w:rsidRPr="00A337AA">
        <w:rPr>
          <w:rFonts w:ascii="Times New Roman" w:hAnsi="Times New Roman" w:cs="Times New Roman"/>
          <w:sz w:val="20"/>
          <w:szCs w:val="20"/>
          <w:lang w:val="tr-TR"/>
        </w:rPr>
        <w:t xml:space="preserve"> </w:t>
      </w:r>
      <w:proofErr w:type="spellStart"/>
      <w:r w:rsidR="00E91BF1" w:rsidRPr="00A337AA">
        <w:rPr>
          <w:rFonts w:ascii="Times New Roman" w:hAnsi="Times New Roman" w:cs="Times New Roman"/>
          <w:sz w:val="20"/>
          <w:szCs w:val="20"/>
          <w:lang w:val="tr-TR"/>
        </w:rPr>
        <w:t>to</w:t>
      </w:r>
      <w:proofErr w:type="spellEnd"/>
      <w:r w:rsidR="00E91BF1" w:rsidRPr="00A337AA">
        <w:rPr>
          <w:rFonts w:ascii="Times New Roman" w:hAnsi="Times New Roman" w:cs="Times New Roman"/>
          <w:sz w:val="20"/>
          <w:szCs w:val="20"/>
          <w:lang w:val="tr-TR"/>
        </w:rPr>
        <w:t xml:space="preserve"> </w:t>
      </w:r>
      <w:proofErr w:type="spellStart"/>
      <w:r w:rsidR="00E91BF1" w:rsidRPr="00A337AA">
        <w:rPr>
          <w:rFonts w:ascii="Times New Roman" w:hAnsi="Times New Roman" w:cs="Times New Roman"/>
          <w:sz w:val="20"/>
          <w:szCs w:val="20"/>
          <w:lang w:val="tr-TR"/>
        </w:rPr>
        <w:t>case</w:t>
      </w:r>
      <w:proofErr w:type="spellEnd"/>
      <w:r w:rsidR="00E91BF1" w:rsidRPr="00A337AA">
        <w:rPr>
          <w:rFonts w:ascii="Times New Roman" w:hAnsi="Times New Roman" w:cs="Times New Roman"/>
          <w:sz w:val="20"/>
          <w:szCs w:val="20"/>
          <w:lang w:val="tr-TR"/>
        </w:rPr>
        <w:t xml:space="preserve"> </w:t>
      </w:r>
      <w:proofErr w:type="spellStart"/>
      <w:r w:rsidR="00E91BF1" w:rsidRPr="00A337AA">
        <w:rPr>
          <w:rFonts w:ascii="Times New Roman" w:hAnsi="Times New Roman" w:cs="Times New Roman"/>
          <w:sz w:val="20"/>
          <w:szCs w:val="20"/>
          <w:lang w:val="tr-TR"/>
        </w:rPr>
        <w:t>law</w:t>
      </w:r>
      <w:proofErr w:type="spellEnd"/>
      <w:r w:rsidR="00E91BF1" w:rsidRPr="00A337AA">
        <w:rPr>
          <w:rFonts w:ascii="Times New Roman" w:hAnsi="Times New Roman" w:cs="Times New Roman"/>
          <w:sz w:val="20"/>
          <w:szCs w:val="20"/>
          <w:lang w:val="tr-TR"/>
        </w:rPr>
        <w:t xml:space="preserve"> </w:t>
      </w:r>
      <w:proofErr w:type="spellStart"/>
      <w:r w:rsidR="00E91BF1" w:rsidRPr="00A337AA">
        <w:rPr>
          <w:rFonts w:ascii="Times New Roman" w:hAnsi="Times New Roman" w:cs="Times New Roman"/>
          <w:sz w:val="20"/>
          <w:szCs w:val="20"/>
          <w:lang w:val="tr-TR"/>
        </w:rPr>
        <w:t>database</w:t>
      </w:r>
      <w:proofErr w:type="spellEnd"/>
      <w:r w:rsidR="00E91BF1" w:rsidRPr="00A337AA">
        <w:rPr>
          <w:rFonts w:ascii="Times New Roman" w:hAnsi="Times New Roman" w:cs="Times New Roman"/>
          <w:sz w:val="20"/>
          <w:szCs w:val="20"/>
          <w:lang w:val="tr-TR"/>
        </w:rPr>
        <w:t xml:space="preserve"> lexpera.com.tr, </w:t>
      </w:r>
      <w:proofErr w:type="spellStart"/>
      <w:r w:rsidR="00E91BF1" w:rsidRPr="00A337AA">
        <w:rPr>
          <w:rFonts w:ascii="Times New Roman" w:hAnsi="Times New Roman" w:cs="Times New Roman"/>
          <w:sz w:val="20"/>
          <w:szCs w:val="20"/>
          <w:lang w:val="tr-TR"/>
        </w:rPr>
        <w:t>the</w:t>
      </w:r>
      <w:proofErr w:type="spellEnd"/>
      <w:r w:rsidR="00E91BF1" w:rsidRPr="00A337AA">
        <w:rPr>
          <w:rFonts w:ascii="Times New Roman" w:hAnsi="Times New Roman" w:cs="Times New Roman"/>
          <w:sz w:val="20"/>
          <w:szCs w:val="20"/>
          <w:lang w:val="tr-TR"/>
        </w:rPr>
        <w:t xml:space="preserve"> total </w:t>
      </w:r>
      <w:proofErr w:type="spellStart"/>
      <w:r w:rsidR="00E91BF1" w:rsidRPr="00A337AA">
        <w:rPr>
          <w:rFonts w:ascii="Times New Roman" w:hAnsi="Times New Roman" w:cs="Times New Roman"/>
          <w:sz w:val="20"/>
          <w:szCs w:val="20"/>
          <w:lang w:val="tr-TR"/>
        </w:rPr>
        <w:t>number</w:t>
      </w:r>
      <w:proofErr w:type="spellEnd"/>
      <w:r w:rsidR="00E91BF1" w:rsidRPr="00A337AA">
        <w:rPr>
          <w:rFonts w:ascii="Times New Roman" w:hAnsi="Times New Roman" w:cs="Times New Roman"/>
          <w:sz w:val="20"/>
          <w:szCs w:val="20"/>
          <w:lang w:val="tr-TR"/>
        </w:rPr>
        <w:t xml:space="preserve"> of </w:t>
      </w:r>
      <w:proofErr w:type="spellStart"/>
      <w:r w:rsidR="00E91BF1" w:rsidRPr="00A337AA">
        <w:rPr>
          <w:rFonts w:ascii="Times New Roman" w:hAnsi="Times New Roman" w:cs="Times New Roman"/>
          <w:sz w:val="20"/>
          <w:szCs w:val="20"/>
          <w:lang w:val="tr-TR"/>
        </w:rPr>
        <w:t>all</w:t>
      </w:r>
      <w:proofErr w:type="spellEnd"/>
      <w:r w:rsidR="00E91BF1" w:rsidRPr="00A337AA">
        <w:rPr>
          <w:rFonts w:ascii="Times New Roman" w:hAnsi="Times New Roman" w:cs="Times New Roman"/>
          <w:sz w:val="20"/>
          <w:szCs w:val="20"/>
          <w:lang w:val="tr-TR"/>
        </w:rPr>
        <w:t xml:space="preserve"> </w:t>
      </w:r>
      <w:proofErr w:type="spellStart"/>
      <w:r w:rsidR="00E91BF1" w:rsidRPr="00A337AA">
        <w:rPr>
          <w:rFonts w:ascii="Times New Roman" w:hAnsi="Times New Roman" w:cs="Times New Roman"/>
          <w:sz w:val="20"/>
          <w:szCs w:val="20"/>
          <w:lang w:val="tr-TR"/>
        </w:rPr>
        <w:t>cases</w:t>
      </w:r>
      <w:proofErr w:type="spellEnd"/>
      <w:r w:rsidR="00E91BF1" w:rsidRPr="00A337AA">
        <w:rPr>
          <w:rFonts w:ascii="Times New Roman" w:hAnsi="Times New Roman" w:cs="Times New Roman"/>
          <w:sz w:val="20"/>
          <w:szCs w:val="20"/>
          <w:lang w:val="tr-TR"/>
        </w:rPr>
        <w:t xml:space="preserve"> </w:t>
      </w:r>
      <w:proofErr w:type="spellStart"/>
      <w:r w:rsidR="00E91BF1" w:rsidRPr="00A337AA">
        <w:rPr>
          <w:rFonts w:ascii="Times New Roman" w:hAnsi="Times New Roman" w:cs="Times New Roman"/>
          <w:sz w:val="20"/>
          <w:szCs w:val="20"/>
          <w:lang w:val="tr-TR"/>
        </w:rPr>
        <w:t>associated</w:t>
      </w:r>
      <w:proofErr w:type="spellEnd"/>
      <w:r w:rsidR="00E91BF1" w:rsidRPr="00A337AA">
        <w:rPr>
          <w:rFonts w:ascii="Times New Roman" w:hAnsi="Times New Roman" w:cs="Times New Roman"/>
          <w:sz w:val="20"/>
          <w:szCs w:val="20"/>
          <w:lang w:val="tr-TR"/>
        </w:rPr>
        <w:t xml:space="preserve"> </w:t>
      </w:r>
      <w:proofErr w:type="spellStart"/>
      <w:r w:rsidR="00E91BF1" w:rsidRPr="00A337AA">
        <w:rPr>
          <w:rFonts w:ascii="Times New Roman" w:hAnsi="Times New Roman" w:cs="Times New Roman"/>
          <w:sz w:val="20"/>
          <w:szCs w:val="20"/>
          <w:lang w:val="tr-TR"/>
        </w:rPr>
        <w:t>with</w:t>
      </w:r>
      <w:proofErr w:type="spellEnd"/>
      <w:r w:rsidR="00E91BF1" w:rsidRPr="00A337AA">
        <w:rPr>
          <w:rFonts w:ascii="Times New Roman" w:hAnsi="Times New Roman" w:cs="Times New Roman"/>
          <w:sz w:val="20"/>
          <w:szCs w:val="20"/>
          <w:lang w:val="tr-TR"/>
        </w:rPr>
        <w:t xml:space="preserve"> TCC </w:t>
      </w:r>
      <w:proofErr w:type="spellStart"/>
      <w:r w:rsidR="00E91BF1" w:rsidRPr="00A337AA">
        <w:rPr>
          <w:rFonts w:ascii="Times New Roman" w:hAnsi="Times New Roman" w:cs="Times New Roman"/>
          <w:sz w:val="20"/>
          <w:szCs w:val="20"/>
          <w:lang w:val="tr-TR"/>
        </w:rPr>
        <w:t>Article</w:t>
      </w:r>
      <w:proofErr w:type="spellEnd"/>
      <w:r w:rsidR="00E91BF1" w:rsidRPr="00A337AA">
        <w:rPr>
          <w:rFonts w:ascii="Times New Roman" w:hAnsi="Times New Roman" w:cs="Times New Roman"/>
          <w:sz w:val="20"/>
          <w:szCs w:val="20"/>
          <w:lang w:val="tr-TR"/>
        </w:rPr>
        <w:t xml:space="preserve"> 531 is 399</w:t>
      </w:r>
      <w:r w:rsidR="001A512E">
        <w:rPr>
          <w:rFonts w:ascii="Times New Roman" w:hAnsi="Times New Roman" w:cs="Times New Roman"/>
          <w:sz w:val="20"/>
          <w:szCs w:val="20"/>
          <w:lang w:val="tr-TR"/>
        </w:rPr>
        <w:t xml:space="preserve">; but </w:t>
      </w:r>
      <w:proofErr w:type="spellStart"/>
      <w:r w:rsidR="001A512E">
        <w:rPr>
          <w:rFonts w:ascii="Times New Roman" w:hAnsi="Times New Roman" w:cs="Times New Roman"/>
          <w:sz w:val="20"/>
          <w:szCs w:val="20"/>
          <w:lang w:val="tr-TR"/>
        </w:rPr>
        <w:t>this</w:t>
      </w:r>
      <w:proofErr w:type="spellEnd"/>
      <w:r w:rsidR="001A512E">
        <w:rPr>
          <w:rFonts w:ascii="Times New Roman" w:hAnsi="Times New Roman" w:cs="Times New Roman"/>
          <w:sz w:val="20"/>
          <w:szCs w:val="20"/>
          <w:lang w:val="tr-TR"/>
        </w:rPr>
        <w:t xml:space="preserve"> </w:t>
      </w:r>
      <w:proofErr w:type="spellStart"/>
      <w:r w:rsidR="001A512E">
        <w:rPr>
          <w:rFonts w:ascii="Times New Roman" w:hAnsi="Times New Roman" w:cs="Times New Roman"/>
          <w:sz w:val="20"/>
          <w:szCs w:val="20"/>
          <w:lang w:val="tr-TR"/>
        </w:rPr>
        <w:t>number</w:t>
      </w:r>
      <w:proofErr w:type="spellEnd"/>
      <w:r w:rsidR="001A512E">
        <w:rPr>
          <w:rFonts w:ascii="Times New Roman" w:hAnsi="Times New Roman" w:cs="Times New Roman"/>
          <w:sz w:val="20"/>
          <w:szCs w:val="20"/>
          <w:lang w:val="tr-TR"/>
        </w:rPr>
        <w:t xml:space="preserve"> is not </w:t>
      </w:r>
      <w:proofErr w:type="spellStart"/>
      <w:r w:rsidR="001A512E">
        <w:rPr>
          <w:rFonts w:ascii="Times New Roman" w:hAnsi="Times New Roman" w:cs="Times New Roman"/>
          <w:sz w:val="20"/>
          <w:szCs w:val="20"/>
          <w:lang w:val="tr-TR"/>
        </w:rPr>
        <w:t>enough</w:t>
      </w:r>
      <w:proofErr w:type="spellEnd"/>
      <w:r w:rsidR="001A512E">
        <w:rPr>
          <w:rFonts w:ascii="Times New Roman" w:hAnsi="Times New Roman" w:cs="Times New Roman"/>
          <w:sz w:val="20"/>
          <w:szCs w:val="20"/>
          <w:lang w:val="tr-TR"/>
        </w:rPr>
        <w:t xml:space="preserve"> </w:t>
      </w:r>
      <w:proofErr w:type="spellStart"/>
      <w:r w:rsidR="001A512E">
        <w:rPr>
          <w:rFonts w:ascii="Times New Roman" w:hAnsi="Times New Roman" w:cs="Times New Roman"/>
          <w:sz w:val="20"/>
          <w:szCs w:val="20"/>
          <w:lang w:val="tr-TR"/>
        </w:rPr>
        <w:t>to</w:t>
      </w:r>
      <w:proofErr w:type="spellEnd"/>
      <w:r w:rsidR="001A512E">
        <w:rPr>
          <w:rFonts w:ascii="Times New Roman" w:hAnsi="Times New Roman" w:cs="Times New Roman"/>
          <w:sz w:val="20"/>
          <w:szCs w:val="20"/>
          <w:lang w:val="tr-TR"/>
        </w:rPr>
        <w:t xml:space="preserve"> say </w:t>
      </w:r>
      <w:proofErr w:type="spellStart"/>
      <w:r w:rsidR="001A512E">
        <w:rPr>
          <w:rFonts w:ascii="Times New Roman" w:hAnsi="Times New Roman" w:cs="Times New Roman"/>
          <w:sz w:val="20"/>
          <w:szCs w:val="20"/>
          <w:lang w:val="tr-TR"/>
        </w:rPr>
        <w:t>that</w:t>
      </w:r>
      <w:proofErr w:type="spellEnd"/>
      <w:r w:rsidR="001A512E">
        <w:rPr>
          <w:rFonts w:ascii="Times New Roman" w:hAnsi="Times New Roman" w:cs="Times New Roman"/>
          <w:sz w:val="20"/>
          <w:szCs w:val="20"/>
          <w:lang w:val="tr-TR"/>
        </w:rPr>
        <w:t xml:space="preserve"> </w:t>
      </w:r>
      <w:proofErr w:type="spellStart"/>
      <w:r w:rsidR="001A512E">
        <w:rPr>
          <w:rFonts w:ascii="Times New Roman" w:hAnsi="Times New Roman" w:cs="Times New Roman"/>
          <w:sz w:val="20"/>
          <w:szCs w:val="20"/>
          <w:lang w:val="tr-TR"/>
        </w:rPr>
        <w:t>Turkish</w:t>
      </w:r>
      <w:proofErr w:type="spellEnd"/>
      <w:r w:rsidR="001A512E">
        <w:rPr>
          <w:rFonts w:ascii="Times New Roman" w:hAnsi="Times New Roman" w:cs="Times New Roman"/>
          <w:sz w:val="20"/>
          <w:szCs w:val="20"/>
          <w:lang w:val="tr-TR"/>
        </w:rPr>
        <w:t xml:space="preserve"> </w:t>
      </w:r>
      <w:proofErr w:type="spellStart"/>
      <w:r w:rsidR="001A512E">
        <w:rPr>
          <w:rFonts w:ascii="Times New Roman" w:hAnsi="Times New Roman" w:cs="Times New Roman"/>
          <w:sz w:val="20"/>
          <w:szCs w:val="20"/>
          <w:lang w:val="tr-TR"/>
        </w:rPr>
        <w:t>judiciary</w:t>
      </w:r>
      <w:proofErr w:type="spellEnd"/>
      <w:r w:rsidR="001A512E">
        <w:rPr>
          <w:rFonts w:ascii="Times New Roman" w:hAnsi="Times New Roman" w:cs="Times New Roman"/>
          <w:sz w:val="20"/>
          <w:szCs w:val="20"/>
          <w:lang w:val="tr-TR"/>
        </w:rPr>
        <w:t xml:space="preserve"> has </w:t>
      </w:r>
      <w:proofErr w:type="spellStart"/>
      <w:r w:rsidR="001A512E">
        <w:rPr>
          <w:rFonts w:ascii="Times New Roman" w:hAnsi="Times New Roman" w:cs="Times New Roman"/>
          <w:sz w:val="20"/>
          <w:szCs w:val="20"/>
          <w:lang w:val="tr-TR"/>
        </w:rPr>
        <w:t>reached</w:t>
      </w:r>
      <w:proofErr w:type="spellEnd"/>
      <w:r w:rsidR="001A512E">
        <w:rPr>
          <w:rFonts w:ascii="Times New Roman" w:hAnsi="Times New Roman" w:cs="Times New Roman"/>
          <w:sz w:val="20"/>
          <w:szCs w:val="20"/>
          <w:lang w:val="tr-TR"/>
        </w:rPr>
        <w:t xml:space="preserve"> </w:t>
      </w:r>
      <w:proofErr w:type="spellStart"/>
      <w:r w:rsidR="001A512E">
        <w:rPr>
          <w:rFonts w:ascii="Times New Roman" w:hAnsi="Times New Roman" w:cs="Times New Roman"/>
          <w:sz w:val="20"/>
          <w:szCs w:val="20"/>
          <w:lang w:val="tr-TR"/>
        </w:rPr>
        <w:t>to</w:t>
      </w:r>
      <w:proofErr w:type="spellEnd"/>
      <w:r w:rsidR="001A512E">
        <w:rPr>
          <w:rFonts w:ascii="Times New Roman" w:hAnsi="Times New Roman" w:cs="Times New Roman"/>
          <w:sz w:val="20"/>
          <w:szCs w:val="20"/>
          <w:lang w:val="tr-TR"/>
        </w:rPr>
        <w:t xml:space="preserve"> a </w:t>
      </w:r>
      <w:proofErr w:type="spellStart"/>
      <w:r w:rsidR="001A512E">
        <w:rPr>
          <w:rFonts w:ascii="Times New Roman" w:hAnsi="Times New Roman" w:cs="Times New Roman"/>
          <w:sz w:val="20"/>
          <w:szCs w:val="20"/>
          <w:lang w:val="tr-TR"/>
        </w:rPr>
        <w:t>conclusive</w:t>
      </w:r>
      <w:proofErr w:type="spellEnd"/>
      <w:r w:rsidR="001A512E">
        <w:rPr>
          <w:rFonts w:ascii="Times New Roman" w:hAnsi="Times New Roman" w:cs="Times New Roman"/>
          <w:sz w:val="20"/>
          <w:szCs w:val="20"/>
          <w:lang w:val="tr-TR"/>
        </w:rPr>
        <w:t xml:space="preserve"> </w:t>
      </w:r>
      <w:proofErr w:type="spellStart"/>
      <w:r w:rsidR="001A512E">
        <w:rPr>
          <w:rFonts w:ascii="Times New Roman" w:hAnsi="Times New Roman" w:cs="Times New Roman"/>
          <w:sz w:val="20"/>
          <w:szCs w:val="20"/>
          <w:lang w:val="tr-TR"/>
        </w:rPr>
        <w:t>approach</w:t>
      </w:r>
      <w:proofErr w:type="spellEnd"/>
      <w:r w:rsidR="001A512E">
        <w:rPr>
          <w:rFonts w:ascii="Times New Roman" w:hAnsi="Times New Roman" w:cs="Times New Roman"/>
          <w:sz w:val="20"/>
          <w:szCs w:val="20"/>
          <w:lang w:val="tr-TR"/>
        </w:rPr>
        <w:t xml:space="preserve"> </w:t>
      </w:r>
      <w:proofErr w:type="spellStart"/>
      <w:r w:rsidR="001A512E">
        <w:rPr>
          <w:rFonts w:ascii="Times New Roman" w:hAnsi="Times New Roman" w:cs="Times New Roman"/>
          <w:sz w:val="20"/>
          <w:szCs w:val="20"/>
          <w:lang w:val="tr-TR"/>
        </w:rPr>
        <w:t>about</w:t>
      </w:r>
      <w:proofErr w:type="spellEnd"/>
      <w:r w:rsidR="001A512E">
        <w:rPr>
          <w:rFonts w:ascii="Times New Roman" w:hAnsi="Times New Roman" w:cs="Times New Roman"/>
          <w:sz w:val="20"/>
          <w:szCs w:val="20"/>
          <w:lang w:val="tr-TR"/>
        </w:rPr>
        <w:t xml:space="preserve"> </w:t>
      </w:r>
      <w:proofErr w:type="spellStart"/>
      <w:r w:rsidR="001A512E">
        <w:rPr>
          <w:rFonts w:ascii="Times New Roman" w:hAnsi="Times New Roman" w:cs="Times New Roman"/>
          <w:sz w:val="20"/>
          <w:szCs w:val="20"/>
          <w:lang w:val="tr-TR"/>
        </w:rPr>
        <w:t>the</w:t>
      </w:r>
      <w:proofErr w:type="spellEnd"/>
      <w:r w:rsidR="001A512E">
        <w:rPr>
          <w:rFonts w:ascii="Times New Roman" w:hAnsi="Times New Roman" w:cs="Times New Roman"/>
          <w:sz w:val="20"/>
          <w:szCs w:val="20"/>
          <w:lang w:val="tr-TR"/>
        </w:rPr>
        <w:t xml:space="preserve"> </w:t>
      </w:r>
      <w:proofErr w:type="spellStart"/>
      <w:r w:rsidR="001A512E">
        <w:rPr>
          <w:rFonts w:ascii="Times New Roman" w:hAnsi="Times New Roman" w:cs="Times New Roman"/>
          <w:sz w:val="20"/>
          <w:szCs w:val="20"/>
          <w:lang w:val="tr-TR"/>
        </w:rPr>
        <w:t>matter</w:t>
      </w:r>
      <w:proofErr w:type="spellEnd"/>
      <w:r w:rsidR="001A512E">
        <w:rPr>
          <w:rFonts w:ascii="Times New Roman" w:hAnsi="Times New Roman" w:cs="Times New Roman"/>
          <w:sz w:val="20"/>
          <w:szCs w:val="20"/>
          <w:lang w:val="tr-TR"/>
        </w:rPr>
        <w:t>.</w:t>
      </w:r>
      <w:r w:rsidR="00E91BF1" w:rsidRPr="00A337AA">
        <w:rPr>
          <w:rFonts w:ascii="Times New Roman" w:hAnsi="Times New Roman" w:cs="Times New Roman"/>
          <w:sz w:val="20"/>
          <w:szCs w:val="20"/>
          <w:lang w:val="tr-TR"/>
        </w:rPr>
        <w:t xml:space="preserve"> </w:t>
      </w:r>
      <w:proofErr w:type="spellStart"/>
      <w:r w:rsidR="001A512E">
        <w:rPr>
          <w:rFonts w:ascii="Times New Roman" w:hAnsi="Times New Roman" w:cs="Times New Roman"/>
          <w:sz w:val="20"/>
          <w:szCs w:val="20"/>
          <w:lang w:val="tr-TR"/>
        </w:rPr>
        <w:t>Likewise</w:t>
      </w:r>
      <w:proofErr w:type="spellEnd"/>
      <w:r w:rsidR="00E91BF1">
        <w:rPr>
          <w:rFonts w:ascii="Times New Roman" w:hAnsi="Times New Roman" w:cs="Times New Roman"/>
          <w:sz w:val="20"/>
          <w:szCs w:val="20"/>
          <w:lang w:val="tr-TR"/>
        </w:rPr>
        <w:t xml:space="preserve">, </w:t>
      </w:r>
      <w:proofErr w:type="spellStart"/>
      <w:r w:rsidR="00E91BF1">
        <w:rPr>
          <w:rFonts w:ascii="Times New Roman" w:hAnsi="Times New Roman" w:cs="Times New Roman"/>
          <w:sz w:val="20"/>
          <w:szCs w:val="20"/>
          <w:lang w:val="tr-TR"/>
        </w:rPr>
        <w:t>courts</w:t>
      </w:r>
      <w:proofErr w:type="spellEnd"/>
      <w:r w:rsidR="00E91BF1">
        <w:rPr>
          <w:rFonts w:ascii="Times New Roman" w:hAnsi="Times New Roman" w:cs="Times New Roman"/>
          <w:sz w:val="20"/>
          <w:szCs w:val="20"/>
          <w:lang w:val="tr-TR"/>
        </w:rPr>
        <w:t xml:space="preserve">’ </w:t>
      </w:r>
      <w:proofErr w:type="spellStart"/>
      <w:r w:rsidR="00E91BF1">
        <w:rPr>
          <w:rFonts w:ascii="Times New Roman" w:hAnsi="Times New Roman" w:cs="Times New Roman"/>
          <w:sz w:val="20"/>
          <w:szCs w:val="20"/>
          <w:lang w:val="tr-TR"/>
        </w:rPr>
        <w:t>handling</w:t>
      </w:r>
      <w:proofErr w:type="spellEnd"/>
      <w:r w:rsidR="00E91BF1">
        <w:rPr>
          <w:rFonts w:ascii="Times New Roman" w:hAnsi="Times New Roman" w:cs="Times New Roman"/>
          <w:sz w:val="20"/>
          <w:szCs w:val="20"/>
          <w:lang w:val="tr-TR"/>
        </w:rPr>
        <w:t xml:space="preserve"> of </w:t>
      </w:r>
      <w:proofErr w:type="spellStart"/>
      <w:r w:rsidR="00E91BF1">
        <w:rPr>
          <w:rFonts w:ascii="Times New Roman" w:hAnsi="Times New Roman" w:cs="Times New Roman"/>
          <w:sz w:val="20"/>
          <w:szCs w:val="20"/>
          <w:lang w:val="tr-TR"/>
        </w:rPr>
        <w:t>the</w:t>
      </w:r>
      <w:proofErr w:type="spellEnd"/>
      <w:r w:rsidR="00E91BF1">
        <w:rPr>
          <w:rFonts w:ascii="Times New Roman" w:hAnsi="Times New Roman" w:cs="Times New Roman"/>
          <w:sz w:val="20"/>
          <w:szCs w:val="20"/>
          <w:lang w:val="tr-TR"/>
        </w:rPr>
        <w:t xml:space="preserve"> </w:t>
      </w:r>
      <w:proofErr w:type="spellStart"/>
      <w:r w:rsidR="00E91BF1">
        <w:rPr>
          <w:rFonts w:ascii="Times New Roman" w:hAnsi="Times New Roman" w:cs="Times New Roman"/>
          <w:sz w:val="20"/>
          <w:szCs w:val="20"/>
          <w:lang w:val="tr-TR"/>
        </w:rPr>
        <w:t>matter</w:t>
      </w:r>
      <w:proofErr w:type="spellEnd"/>
      <w:r w:rsidR="00E91BF1">
        <w:rPr>
          <w:rFonts w:ascii="Times New Roman" w:hAnsi="Times New Roman" w:cs="Times New Roman"/>
          <w:sz w:val="20"/>
          <w:szCs w:val="20"/>
          <w:lang w:val="tr-TR"/>
        </w:rPr>
        <w:t xml:space="preserve"> is</w:t>
      </w:r>
      <w:r w:rsidR="001A512E">
        <w:rPr>
          <w:rFonts w:ascii="Times New Roman" w:hAnsi="Times New Roman" w:cs="Times New Roman"/>
          <w:sz w:val="20"/>
          <w:szCs w:val="20"/>
          <w:lang w:val="tr-TR"/>
        </w:rPr>
        <w:t xml:space="preserve"> </w:t>
      </w:r>
      <w:proofErr w:type="spellStart"/>
      <w:r w:rsidR="001A512E">
        <w:rPr>
          <w:rFonts w:ascii="Times New Roman" w:hAnsi="Times New Roman" w:cs="Times New Roman"/>
          <w:sz w:val="20"/>
          <w:szCs w:val="20"/>
          <w:lang w:val="tr-TR"/>
        </w:rPr>
        <w:t>continuingly</w:t>
      </w:r>
      <w:proofErr w:type="spellEnd"/>
      <w:r w:rsidR="00E91BF1">
        <w:rPr>
          <w:rFonts w:ascii="Times New Roman" w:hAnsi="Times New Roman" w:cs="Times New Roman"/>
          <w:sz w:val="20"/>
          <w:szCs w:val="20"/>
          <w:lang w:val="tr-TR"/>
        </w:rPr>
        <w:t xml:space="preserve"> </w:t>
      </w:r>
      <w:proofErr w:type="spellStart"/>
      <w:r w:rsidR="00E91BF1">
        <w:rPr>
          <w:rFonts w:ascii="Times New Roman" w:hAnsi="Times New Roman" w:cs="Times New Roman"/>
          <w:sz w:val="20"/>
          <w:szCs w:val="20"/>
          <w:lang w:val="tr-TR"/>
        </w:rPr>
        <w:t>criticized</w:t>
      </w:r>
      <w:proofErr w:type="spellEnd"/>
      <w:r w:rsidR="00E91BF1">
        <w:rPr>
          <w:rFonts w:ascii="Times New Roman" w:hAnsi="Times New Roman" w:cs="Times New Roman"/>
          <w:sz w:val="20"/>
          <w:szCs w:val="20"/>
          <w:lang w:val="tr-TR"/>
        </w:rPr>
        <w:t xml:space="preserve"> </w:t>
      </w:r>
      <w:proofErr w:type="spellStart"/>
      <w:r w:rsidR="00E91BF1">
        <w:rPr>
          <w:rFonts w:ascii="Times New Roman" w:hAnsi="Times New Roman" w:cs="Times New Roman"/>
          <w:sz w:val="20"/>
          <w:szCs w:val="20"/>
          <w:lang w:val="tr-TR"/>
        </w:rPr>
        <w:t>by</w:t>
      </w:r>
      <w:proofErr w:type="spellEnd"/>
      <w:r w:rsidR="00E91BF1">
        <w:rPr>
          <w:rFonts w:ascii="Times New Roman" w:hAnsi="Times New Roman" w:cs="Times New Roman"/>
          <w:sz w:val="20"/>
          <w:szCs w:val="20"/>
          <w:lang w:val="tr-TR"/>
        </w:rPr>
        <w:t xml:space="preserve"> </w:t>
      </w:r>
      <w:proofErr w:type="spellStart"/>
      <w:r w:rsidR="00E91BF1">
        <w:rPr>
          <w:rFonts w:ascii="Times New Roman" w:hAnsi="Times New Roman" w:cs="Times New Roman"/>
          <w:sz w:val="20"/>
          <w:szCs w:val="20"/>
          <w:lang w:val="tr-TR"/>
        </w:rPr>
        <w:t>commentators</w:t>
      </w:r>
      <w:proofErr w:type="spellEnd"/>
      <w:r w:rsidR="00E91BF1">
        <w:rPr>
          <w:rFonts w:ascii="Times New Roman" w:hAnsi="Times New Roman" w:cs="Times New Roman"/>
          <w:sz w:val="20"/>
          <w:szCs w:val="20"/>
          <w:lang w:val="tr-TR"/>
        </w:rPr>
        <w:t xml:space="preserve">, </w:t>
      </w:r>
      <w:proofErr w:type="spellStart"/>
      <w:r w:rsidR="00E91BF1">
        <w:rPr>
          <w:rFonts w:ascii="Times New Roman" w:hAnsi="Times New Roman" w:cs="Times New Roman"/>
          <w:sz w:val="20"/>
          <w:szCs w:val="20"/>
          <w:lang w:val="tr-TR"/>
        </w:rPr>
        <w:t>see</w:t>
      </w:r>
      <w:proofErr w:type="spellEnd"/>
      <w:r w:rsidR="00E91BF1">
        <w:rPr>
          <w:rFonts w:ascii="Times New Roman" w:hAnsi="Times New Roman" w:cs="Times New Roman"/>
          <w:sz w:val="20"/>
          <w:szCs w:val="20"/>
          <w:lang w:val="tr-TR"/>
        </w:rPr>
        <w:t xml:space="preserve">, Tekinalp, p. </w:t>
      </w:r>
      <w:r w:rsidR="001A512E">
        <w:rPr>
          <w:rFonts w:ascii="Times New Roman" w:hAnsi="Times New Roman" w:cs="Times New Roman"/>
          <w:sz w:val="20"/>
          <w:szCs w:val="20"/>
          <w:lang w:val="tr-TR"/>
        </w:rPr>
        <w:t>341.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29A1" w14:textId="77777777" w:rsidR="00D36541" w:rsidRDefault="00D36541" w:rsidP="001E4DA1">
    <w:pPr>
      <w:pStyle w:val="s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7737063" w14:textId="77777777" w:rsidR="00D36541" w:rsidRDefault="00D36541" w:rsidP="00B51920">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67E5" w14:textId="77777777" w:rsidR="00D36541" w:rsidRDefault="00D36541" w:rsidP="001E4DA1">
    <w:pPr>
      <w:pStyle w:val="s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25D89">
      <w:rPr>
        <w:rStyle w:val="SayfaNumaras"/>
        <w:noProof/>
      </w:rPr>
      <w:t>221</w:t>
    </w:r>
    <w:r>
      <w:rPr>
        <w:rStyle w:val="SayfaNumaras"/>
      </w:rPr>
      <w:fldChar w:fldCharType="end"/>
    </w:r>
  </w:p>
  <w:p w14:paraId="73F2CCBD" w14:textId="77777777" w:rsidR="00D36541" w:rsidRDefault="00D36541" w:rsidP="00B51920">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13144"/>
    <w:multiLevelType w:val="multilevel"/>
    <w:tmpl w:val="74E8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96A4C"/>
    <w:multiLevelType w:val="hybridMultilevel"/>
    <w:tmpl w:val="8AC8BCC0"/>
    <w:lvl w:ilvl="0" w:tplc="8CC4A9F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91361B5"/>
    <w:multiLevelType w:val="multilevel"/>
    <w:tmpl w:val="3AE8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B762B"/>
    <w:multiLevelType w:val="hybridMultilevel"/>
    <w:tmpl w:val="2B909FCA"/>
    <w:lvl w:ilvl="0" w:tplc="EC088C1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01117B9"/>
    <w:multiLevelType w:val="hybridMultilevel"/>
    <w:tmpl w:val="E72AD214"/>
    <w:lvl w:ilvl="0" w:tplc="DF565FEA">
      <w:start w:val="1"/>
      <w:numFmt w:val="decimal"/>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6" w15:restartNumberingAfterBreak="0">
    <w:nsid w:val="108863B5"/>
    <w:multiLevelType w:val="hybridMultilevel"/>
    <w:tmpl w:val="B34A92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4F19B5"/>
    <w:multiLevelType w:val="hybridMultilevel"/>
    <w:tmpl w:val="BBBA7D48"/>
    <w:lvl w:ilvl="0" w:tplc="AFA4B220">
      <w:start w:val="1"/>
      <w:numFmt w:val="bullet"/>
      <w:lvlText w:val="•"/>
      <w:lvlJc w:val="left"/>
      <w:pPr>
        <w:tabs>
          <w:tab w:val="num" w:pos="720"/>
        </w:tabs>
        <w:ind w:left="720" w:hanging="360"/>
      </w:pPr>
      <w:rPr>
        <w:rFonts w:ascii="Arial" w:hAnsi="Arial" w:hint="default"/>
      </w:rPr>
    </w:lvl>
    <w:lvl w:ilvl="1" w:tplc="EAEC1A96" w:tentative="1">
      <w:start w:val="1"/>
      <w:numFmt w:val="bullet"/>
      <w:lvlText w:val="•"/>
      <w:lvlJc w:val="left"/>
      <w:pPr>
        <w:tabs>
          <w:tab w:val="num" w:pos="1440"/>
        </w:tabs>
        <w:ind w:left="1440" w:hanging="360"/>
      </w:pPr>
      <w:rPr>
        <w:rFonts w:ascii="Arial" w:hAnsi="Arial" w:hint="default"/>
      </w:rPr>
    </w:lvl>
    <w:lvl w:ilvl="2" w:tplc="433C9F56" w:tentative="1">
      <w:start w:val="1"/>
      <w:numFmt w:val="bullet"/>
      <w:lvlText w:val="•"/>
      <w:lvlJc w:val="left"/>
      <w:pPr>
        <w:tabs>
          <w:tab w:val="num" w:pos="2160"/>
        </w:tabs>
        <w:ind w:left="2160" w:hanging="360"/>
      </w:pPr>
      <w:rPr>
        <w:rFonts w:ascii="Arial" w:hAnsi="Arial" w:hint="default"/>
      </w:rPr>
    </w:lvl>
    <w:lvl w:ilvl="3" w:tplc="24D094A4" w:tentative="1">
      <w:start w:val="1"/>
      <w:numFmt w:val="bullet"/>
      <w:lvlText w:val="•"/>
      <w:lvlJc w:val="left"/>
      <w:pPr>
        <w:tabs>
          <w:tab w:val="num" w:pos="2880"/>
        </w:tabs>
        <w:ind w:left="2880" w:hanging="360"/>
      </w:pPr>
      <w:rPr>
        <w:rFonts w:ascii="Arial" w:hAnsi="Arial" w:hint="default"/>
      </w:rPr>
    </w:lvl>
    <w:lvl w:ilvl="4" w:tplc="F3F8FCC0" w:tentative="1">
      <w:start w:val="1"/>
      <w:numFmt w:val="bullet"/>
      <w:lvlText w:val="•"/>
      <w:lvlJc w:val="left"/>
      <w:pPr>
        <w:tabs>
          <w:tab w:val="num" w:pos="3600"/>
        </w:tabs>
        <w:ind w:left="3600" w:hanging="360"/>
      </w:pPr>
      <w:rPr>
        <w:rFonts w:ascii="Arial" w:hAnsi="Arial" w:hint="default"/>
      </w:rPr>
    </w:lvl>
    <w:lvl w:ilvl="5" w:tplc="0CB00ED8" w:tentative="1">
      <w:start w:val="1"/>
      <w:numFmt w:val="bullet"/>
      <w:lvlText w:val="•"/>
      <w:lvlJc w:val="left"/>
      <w:pPr>
        <w:tabs>
          <w:tab w:val="num" w:pos="4320"/>
        </w:tabs>
        <w:ind w:left="4320" w:hanging="360"/>
      </w:pPr>
      <w:rPr>
        <w:rFonts w:ascii="Arial" w:hAnsi="Arial" w:hint="default"/>
      </w:rPr>
    </w:lvl>
    <w:lvl w:ilvl="6" w:tplc="ED0EF7D4" w:tentative="1">
      <w:start w:val="1"/>
      <w:numFmt w:val="bullet"/>
      <w:lvlText w:val="•"/>
      <w:lvlJc w:val="left"/>
      <w:pPr>
        <w:tabs>
          <w:tab w:val="num" w:pos="5040"/>
        </w:tabs>
        <w:ind w:left="5040" w:hanging="360"/>
      </w:pPr>
      <w:rPr>
        <w:rFonts w:ascii="Arial" w:hAnsi="Arial" w:hint="default"/>
      </w:rPr>
    </w:lvl>
    <w:lvl w:ilvl="7" w:tplc="18CEF2C4" w:tentative="1">
      <w:start w:val="1"/>
      <w:numFmt w:val="bullet"/>
      <w:lvlText w:val="•"/>
      <w:lvlJc w:val="left"/>
      <w:pPr>
        <w:tabs>
          <w:tab w:val="num" w:pos="5760"/>
        </w:tabs>
        <w:ind w:left="5760" w:hanging="360"/>
      </w:pPr>
      <w:rPr>
        <w:rFonts w:ascii="Arial" w:hAnsi="Arial" w:hint="default"/>
      </w:rPr>
    </w:lvl>
    <w:lvl w:ilvl="8" w:tplc="04BC03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67388E"/>
    <w:multiLevelType w:val="hybridMultilevel"/>
    <w:tmpl w:val="5BBEE386"/>
    <w:lvl w:ilvl="0" w:tplc="28DCEE8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E876A91"/>
    <w:multiLevelType w:val="multilevel"/>
    <w:tmpl w:val="14DA3B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032441F"/>
    <w:multiLevelType w:val="multilevel"/>
    <w:tmpl w:val="453215E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3B1779A"/>
    <w:multiLevelType w:val="hybridMultilevel"/>
    <w:tmpl w:val="E2A472A8"/>
    <w:lvl w:ilvl="0" w:tplc="D432405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D6B1E6E"/>
    <w:multiLevelType w:val="hybridMultilevel"/>
    <w:tmpl w:val="269ECF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6208A0"/>
    <w:multiLevelType w:val="multilevel"/>
    <w:tmpl w:val="134CB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8169CF"/>
    <w:multiLevelType w:val="multilevel"/>
    <w:tmpl w:val="0862F9FC"/>
    <w:lvl w:ilvl="0">
      <w:start w:val="3"/>
      <w:numFmt w:val="decimal"/>
      <w:lvlText w:val="%1."/>
      <w:lvlJc w:val="left"/>
      <w:pPr>
        <w:ind w:left="540" w:hanging="540"/>
      </w:pPr>
      <w:rPr>
        <w:rFonts w:hint="default"/>
      </w:rPr>
    </w:lvl>
    <w:lvl w:ilvl="1">
      <w:start w:val="7"/>
      <w:numFmt w:val="decimal"/>
      <w:lvlText w:val="%1.%2."/>
      <w:lvlJc w:val="left"/>
      <w:pPr>
        <w:ind w:left="890" w:hanging="540"/>
      </w:pPr>
      <w:rPr>
        <w:rFonts w:hint="default"/>
      </w:rPr>
    </w:lvl>
    <w:lvl w:ilvl="2">
      <w:start w:val="2"/>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5" w15:restartNumberingAfterBreak="0">
    <w:nsid w:val="3C4A234F"/>
    <w:multiLevelType w:val="hybridMultilevel"/>
    <w:tmpl w:val="08B6B0FA"/>
    <w:lvl w:ilvl="0" w:tplc="D39485A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CB07DFF"/>
    <w:multiLevelType w:val="multilevel"/>
    <w:tmpl w:val="E3C0FC1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CD32FE6"/>
    <w:multiLevelType w:val="hybridMultilevel"/>
    <w:tmpl w:val="BDD2D300"/>
    <w:lvl w:ilvl="0" w:tplc="17741BC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8B1D2F"/>
    <w:multiLevelType w:val="hybridMultilevel"/>
    <w:tmpl w:val="AE14B1C2"/>
    <w:lvl w:ilvl="0" w:tplc="5310E7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573912"/>
    <w:multiLevelType w:val="hybridMultilevel"/>
    <w:tmpl w:val="FF7E408E"/>
    <w:lvl w:ilvl="0" w:tplc="798C4D0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8540152"/>
    <w:multiLevelType w:val="hybridMultilevel"/>
    <w:tmpl w:val="1CDEE4D8"/>
    <w:lvl w:ilvl="0" w:tplc="C44AEF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034E70"/>
    <w:multiLevelType w:val="multilevel"/>
    <w:tmpl w:val="D870E1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C90C18"/>
    <w:multiLevelType w:val="hybridMultilevel"/>
    <w:tmpl w:val="6FBE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32C72"/>
    <w:multiLevelType w:val="multilevel"/>
    <w:tmpl w:val="A224BD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8341365"/>
    <w:multiLevelType w:val="hybridMultilevel"/>
    <w:tmpl w:val="47CE322A"/>
    <w:lvl w:ilvl="0" w:tplc="57CC7E72">
      <w:start w:val="1"/>
      <w:numFmt w:val="decimal"/>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5" w15:restartNumberingAfterBreak="0">
    <w:nsid w:val="5F5C11A0"/>
    <w:multiLevelType w:val="multilevel"/>
    <w:tmpl w:val="91B0AA66"/>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15:restartNumberingAfterBreak="0">
    <w:nsid w:val="5F702058"/>
    <w:multiLevelType w:val="hybridMultilevel"/>
    <w:tmpl w:val="93AEF80E"/>
    <w:lvl w:ilvl="0" w:tplc="DE4482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65035F01"/>
    <w:multiLevelType w:val="hybridMultilevel"/>
    <w:tmpl w:val="0FD48EFC"/>
    <w:lvl w:ilvl="0" w:tplc="A678E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BF3163"/>
    <w:multiLevelType w:val="hybridMultilevel"/>
    <w:tmpl w:val="FBD810D4"/>
    <w:lvl w:ilvl="0" w:tplc="3D7E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0A4457"/>
    <w:multiLevelType w:val="multilevel"/>
    <w:tmpl w:val="F81CD3F2"/>
    <w:lvl w:ilvl="0">
      <w:start w:val="1"/>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6EFE4D63"/>
    <w:multiLevelType w:val="multilevel"/>
    <w:tmpl w:val="104C88C6"/>
    <w:lvl w:ilvl="0">
      <w:start w:val="3"/>
      <w:numFmt w:val="decimal"/>
      <w:lvlText w:val="%1."/>
      <w:lvlJc w:val="left"/>
      <w:pPr>
        <w:ind w:left="540" w:hanging="540"/>
      </w:pPr>
      <w:rPr>
        <w:rFonts w:hint="default"/>
      </w:rPr>
    </w:lvl>
    <w:lvl w:ilvl="1">
      <w:start w:val="7"/>
      <w:numFmt w:val="decimal"/>
      <w:lvlText w:val="%1.%2."/>
      <w:lvlJc w:val="left"/>
      <w:pPr>
        <w:ind w:left="890" w:hanging="540"/>
      </w:pPr>
      <w:rPr>
        <w:rFonts w:hint="default"/>
      </w:rPr>
    </w:lvl>
    <w:lvl w:ilvl="2">
      <w:start w:val="2"/>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31" w15:restartNumberingAfterBreak="0">
    <w:nsid w:val="711926B2"/>
    <w:multiLevelType w:val="hybridMultilevel"/>
    <w:tmpl w:val="C96270E4"/>
    <w:lvl w:ilvl="0" w:tplc="06C2811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916053B"/>
    <w:multiLevelType w:val="multilevel"/>
    <w:tmpl w:val="BEC29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3F39AD"/>
    <w:multiLevelType w:val="hybridMultilevel"/>
    <w:tmpl w:val="D2D0205A"/>
    <w:lvl w:ilvl="0" w:tplc="88BC37B2">
      <w:start w:val="3"/>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7242229">
    <w:abstractNumId w:val="32"/>
  </w:num>
  <w:num w:numId="2" w16cid:durableId="2046322650">
    <w:abstractNumId w:val="23"/>
  </w:num>
  <w:num w:numId="3" w16cid:durableId="1743942940">
    <w:abstractNumId w:val="13"/>
  </w:num>
  <w:num w:numId="4" w16cid:durableId="758141707">
    <w:abstractNumId w:val="9"/>
  </w:num>
  <w:num w:numId="5" w16cid:durableId="1547444630">
    <w:abstractNumId w:val="24"/>
  </w:num>
  <w:num w:numId="6" w16cid:durableId="786503430">
    <w:abstractNumId w:val="18"/>
  </w:num>
  <w:num w:numId="7" w16cid:durableId="1731684377">
    <w:abstractNumId w:val="22"/>
  </w:num>
  <w:num w:numId="8" w16cid:durableId="213976926">
    <w:abstractNumId w:val="20"/>
  </w:num>
  <w:num w:numId="9" w16cid:durableId="1765614673">
    <w:abstractNumId w:val="28"/>
  </w:num>
  <w:num w:numId="10" w16cid:durableId="1044793672">
    <w:abstractNumId w:val="21"/>
  </w:num>
  <w:num w:numId="11" w16cid:durableId="274286302">
    <w:abstractNumId w:val="0"/>
  </w:num>
  <w:num w:numId="12" w16cid:durableId="177354544">
    <w:abstractNumId w:val="27"/>
  </w:num>
  <w:num w:numId="13" w16cid:durableId="94790060">
    <w:abstractNumId w:val="4"/>
  </w:num>
  <w:num w:numId="14" w16cid:durableId="879972441">
    <w:abstractNumId w:val="7"/>
  </w:num>
  <w:num w:numId="15" w16cid:durableId="2135170917">
    <w:abstractNumId w:val="19"/>
  </w:num>
  <w:num w:numId="16" w16cid:durableId="1764914835">
    <w:abstractNumId w:val="11"/>
  </w:num>
  <w:num w:numId="17" w16cid:durableId="501820216">
    <w:abstractNumId w:val="10"/>
  </w:num>
  <w:num w:numId="18" w16cid:durableId="1870213862">
    <w:abstractNumId w:val="25"/>
  </w:num>
  <w:num w:numId="19" w16cid:durableId="2057658294">
    <w:abstractNumId w:val="29"/>
  </w:num>
  <w:num w:numId="20" w16cid:durableId="721372024">
    <w:abstractNumId w:val="16"/>
  </w:num>
  <w:num w:numId="21" w16cid:durableId="446893106">
    <w:abstractNumId w:val="6"/>
  </w:num>
  <w:num w:numId="22" w16cid:durableId="1546328516">
    <w:abstractNumId w:val="12"/>
  </w:num>
  <w:num w:numId="23" w16cid:durableId="872351585">
    <w:abstractNumId w:val="33"/>
  </w:num>
  <w:num w:numId="24" w16cid:durableId="1966304649">
    <w:abstractNumId w:val="1"/>
  </w:num>
  <w:num w:numId="25" w16cid:durableId="1605923755">
    <w:abstractNumId w:val="5"/>
  </w:num>
  <w:num w:numId="26" w16cid:durableId="605234282">
    <w:abstractNumId w:val="31"/>
  </w:num>
  <w:num w:numId="27" w16cid:durableId="772550458">
    <w:abstractNumId w:val="17"/>
  </w:num>
  <w:num w:numId="28" w16cid:durableId="1132821053">
    <w:abstractNumId w:val="15"/>
  </w:num>
  <w:num w:numId="29" w16cid:durableId="1929804395">
    <w:abstractNumId w:val="2"/>
  </w:num>
  <w:num w:numId="30" w16cid:durableId="1919049074">
    <w:abstractNumId w:val="8"/>
  </w:num>
  <w:num w:numId="31" w16cid:durableId="1389719668">
    <w:abstractNumId w:val="14"/>
  </w:num>
  <w:num w:numId="32" w16cid:durableId="286934669">
    <w:abstractNumId w:val="30"/>
  </w:num>
  <w:num w:numId="33" w16cid:durableId="557590748">
    <w:abstractNumId w:val="26"/>
  </w:num>
  <w:num w:numId="34" w16cid:durableId="1008170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92"/>
    <w:rsid w:val="00000402"/>
    <w:rsid w:val="00000E2F"/>
    <w:rsid w:val="00000FCD"/>
    <w:rsid w:val="000028BE"/>
    <w:rsid w:val="0000372E"/>
    <w:rsid w:val="00003CB2"/>
    <w:rsid w:val="000048A1"/>
    <w:rsid w:val="00004CE6"/>
    <w:rsid w:val="000050DF"/>
    <w:rsid w:val="00005808"/>
    <w:rsid w:val="00005A4F"/>
    <w:rsid w:val="00006385"/>
    <w:rsid w:val="00006E82"/>
    <w:rsid w:val="000076F3"/>
    <w:rsid w:val="00007846"/>
    <w:rsid w:val="00007B46"/>
    <w:rsid w:val="00010179"/>
    <w:rsid w:val="0001080D"/>
    <w:rsid w:val="00010A08"/>
    <w:rsid w:val="00010CCC"/>
    <w:rsid w:val="00010E4A"/>
    <w:rsid w:val="0001211A"/>
    <w:rsid w:val="00012D36"/>
    <w:rsid w:val="00013F9E"/>
    <w:rsid w:val="000141FB"/>
    <w:rsid w:val="00014772"/>
    <w:rsid w:val="00014790"/>
    <w:rsid w:val="00014B13"/>
    <w:rsid w:val="00014C31"/>
    <w:rsid w:val="000150D7"/>
    <w:rsid w:val="00015964"/>
    <w:rsid w:val="00016031"/>
    <w:rsid w:val="00016439"/>
    <w:rsid w:val="00016A2F"/>
    <w:rsid w:val="00017051"/>
    <w:rsid w:val="00017F3A"/>
    <w:rsid w:val="00020204"/>
    <w:rsid w:val="00020E11"/>
    <w:rsid w:val="000210A0"/>
    <w:rsid w:val="00022BB9"/>
    <w:rsid w:val="00023740"/>
    <w:rsid w:val="00023B33"/>
    <w:rsid w:val="000240C1"/>
    <w:rsid w:val="00024650"/>
    <w:rsid w:val="00025164"/>
    <w:rsid w:val="00025B78"/>
    <w:rsid w:val="000276E0"/>
    <w:rsid w:val="00027C60"/>
    <w:rsid w:val="00030857"/>
    <w:rsid w:val="00031175"/>
    <w:rsid w:val="00031521"/>
    <w:rsid w:val="0003156A"/>
    <w:rsid w:val="00031574"/>
    <w:rsid w:val="000317BF"/>
    <w:rsid w:val="0003332F"/>
    <w:rsid w:val="00033B6E"/>
    <w:rsid w:val="00033F79"/>
    <w:rsid w:val="00034075"/>
    <w:rsid w:val="000346B2"/>
    <w:rsid w:val="00034860"/>
    <w:rsid w:val="00034BD4"/>
    <w:rsid w:val="00035E29"/>
    <w:rsid w:val="00035E79"/>
    <w:rsid w:val="00036064"/>
    <w:rsid w:val="00036F1D"/>
    <w:rsid w:val="0003733F"/>
    <w:rsid w:val="00040390"/>
    <w:rsid w:val="0004163C"/>
    <w:rsid w:val="0004214A"/>
    <w:rsid w:val="000421D1"/>
    <w:rsid w:val="00042D55"/>
    <w:rsid w:val="00043060"/>
    <w:rsid w:val="000435FC"/>
    <w:rsid w:val="0004392A"/>
    <w:rsid w:val="00043CBE"/>
    <w:rsid w:val="00044F1E"/>
    <w:rsid w:val="000453D4"/>
    <w:rsid w:val="00045510"/>
    <w:rsid w:val="000461B5"/>
    <w:rsid w:val="0004664D"/>
    <w:rsid w:val="00047A91"/>
    <w:rsid w:val="00047CAF"/>
    <w:rsid w:val="0005077B"/>
    <w:rsid w:val="0005172D"/>
    <w:rsid w:val="000521F4"/>
    <w:rsid w:val="000534C2"/>
    <w:rsid w:val="00054906"/>
    <w:rsid w:val="000554CB"/>
    <w:rsid w:val="000556F7"/>
    <w:rsid w:val="00055779"/>
    <w:rsid w:val="00055FBD"/>
    <w:rsid w:val="000565BA"/>
    <w:rsid w:val="00057C4C"/>
    <w:rsid w:val="00057DB5"/>
    <w:rsid w:val="0006076A"/>
    <w:rsid w:val="0006078F"/>
    <w:rsid w:val="0006129C"/>
    <w:rsid w:val="000615CD"/>
    <w:rsid w:val="00061E7F"/>
    <w:rsid w:val="00061F56"/>
    <w:rsid w:val="00063171"/>
    <w:rsid w:val="000631FA"/>
    <w:rsid w:val="00064597"/>
    <w:rsid w:val="000679F3"/>
    <w:rsid w:val="00070349"/>
    <w:rsid w:val="0007091C"/>
    <w:rsid w:val="00070B8D"/>
    <w:rsid w:val="00070BFC"/>
    <w:rsid w:val="00071512"/>
    <w:rsid w:val="00071A96"/>
    <w:rsid w:val="00071D3F"/>
    <w:rsid w:val="00072DE8"/>
    <w:rsid w:val="000735BA"/>
    <w:rsid w:val="00073C19"/>
    <w:rsid w:val="00073F71"/>
    <w:rsid w:val="000740E6"/>
    <w:rsid w:val="0007459B"/>
    <w:rsid w:val="00075196"/>
    <w:rsid w:val="000764EA"/>
    <w:rsid w:val="000765DC"/>
    <w:rsid w:val="000776A8"/>
    <w:rsid w:val="00080221"/>
    <w:rsid w:val="00080788"/>
    <w:rsid w:val="0008087E"/>
    <w:rsid w:val="000810A1"/>
    <w:rsid w:val="000818C8"/>
    <w:rsid w:val="00081B70"/>
    <w:rsid w:val="00082C7E"/>
    <w:rsid w:val="0008305C"/>
    <w:rsid w:val="00083A27"/>
    <w:rsid w:val="000840EB"/>
    <w:rsid w:val="000853F9"/>
    <w:rsid w:val="00085670"/>
    <w:rsid w:val="00085747"/>
    <w:rsid w:val="0008607E"/>
    <w:rsid w:val="00086EA2"/>
    <w:rsid w:val="00087E63"/>
    <w:rsid w:val="00091120"/>
    <w:rsid w:val="0009201B"/>
    <w:rsid w:val="000924D6"/>
    <w:rsid w:val="000924FC"/>
    <w:rsid w:val="00092D3B"/>
    <w:rsid w:val="00092D5F"/>
    <w:rsid w:val="00092F2E"/>
    <w:rsid w:val="00093B63"/>
    <w:rsid w:val="00093FF8"/>
    <w:rsid w:val="00094721"/>
    <w:rsid w:val="00095BC9"/>
    <w:rsid w:val="00095E34"/>
    <w:rsid w:val="00096291"/>
    <w:rsid w:val="00096550"/>
    <w:rsid w:val="0009664B"/>
    <w:rsid w:val="00096C62"/>
    <w:rsid w:val="00096E48"/>
    <w:rsid w:val="0009710C"/>
    <w:rsid w:val="000979D8"/>
    <w:rsid w:val="000A013C"/>
    <w:rsid w:val="000A08CD"/>
    <w:rsid w:val="000A17CF"/>
    <w:rsid w:val="000A24D9"/>
    <w:rsid w:val="000A35AA"/>
    <w:rsid w:val="000A38D2"/>
    <w:rsid w:val="000A3F18"/>
    <w:rsid w:val="000A43B6"/>
    <w:rsid w:val="000A48CA"/>
    <w:rsid w:val="000A4AD8"/>
    <w:rsid w:val="000A50A0"/>
    <w:rsid w:val="000A6E95"/>
    <w:rsid w:val="000B01FF"/>
    <w:rsid w:val="000B1108"/>
    <w:rsid w:val="000B1686"/>
    <w:rsid w:val="000B2DED"/>
    <w:rsid w:val="000B393A"/>
    <w:rsid w:val="000B3C05"/>
    <w:rsid w:val="000B647A"/>
    <w:rsid w:val="000B65F7"/>
    <w:rsid w:val="000B71C1"/>
    <w:rsid w:val="000B79D8"/>
    <w:rsid w:val="000B7E3C"/>
    <w:rsid w:val="000C089A"/>
    <w:rsid w:val="000C1511"/>
    <w:rsid w:val="000C28AA"/>
    <w:rsid w:val="000C3A34"/>
    <w:rsid w:val="000C4418"/>
    <w:rsid w:val="000C4E72"/>
    <w:rsid w:val="000C500C"/>
    <w:rsid w:val="000C54EF"/>
    <w:rsid w:val="000C55B5"/>
    <w:rsid w:val="000C5690"/>
    <w:rsid w:val="000C5CDB"/>
    <w:rsid w:val="000C66B3"/>
    <w:rsid w:val="000C6CF3"/>
    <w:rsid w:val="000C71D5"/>
    <w:rsid w:val="000C79FD"/>
    <w:rsid w:val="000D0933"/>
    <w:rsid w:val="000D09D5"/>
    <w:rsid w:val="000D0C27"/>
    <w:rsid w:val="000D0D10"/>
    <w:rsid w:val="000D10FF"/>
    <w:rsid w:val="000D2B01"/>
    <w:rsid w:val="000D32D7"/>
    <w:rsid w:val="000D3947"/>
    <w:rsid w:val="000D3C3C"/>
    <w:rsid w:val="000D4A62"/>
    <w:rsid w:val="000D4C3A"/>
    <w:rsid w:val="000D4D05"/>
    <w:rsid w:val="000D5160"/>
    <w:rsid w:val="000D5790"/>
    <w:rsid w:val="000D59C6"/>
    <w:rsid w:val="000D7532"/>
    <w:rsid w:val="000D79D6"/>
    <w:rsid w:val="000D7A20"/>
    <w:rsid w:val="000D7AFA"/>
    <w:rsid w:val="000E0F35"/>
    <w:rsid w:val="000E199F"/>
    <w:rsid w:val="000E19D1"/>
    <w:rsid w:val="000E2123"/>
    <w:rsid w:val="000E2514"/>
    <w:rsid w:val="000E25BD"/>
    <w:rsid w:val="000E3EED"/>
    <w:rsid w:val="000E4506"/>
    <w:rsid w:val="000E46EC"/>
    <w:rsid w:val="000E4B7E"/>
    <w:rsid w:val="000E4BC1"/>
    <w:rsid w:val="000E5754"/>
    <w:rsid w:val="000E6684"/>
    <w:rsid w:val="000E68A3"/>
    <w:rsid w:val="000E7902"/>
    <w:rsid w:val="000E7932"/>
    <w:rsid w:val="000E7BAC"/>
    <w:rsid w:val="000E7C6D"/>
    <w:rsid w:val="000F0F8E"/>
    <w:rsid w:val="000F2F38"/>
    <w:rsid w:val="000F3BF1"/>
    <w:rsid w:val="000F501E"/>
    <w:rsid w:val="000F5C7E"/>
    <w:rsid w:val="000F6682"/>
    <w:rsid w:val="000F6F2B"/>
    <w:rsid w:val="000F70DA"/>
    <w:rsid w:val="000F7E9B"/>
    <w:rsid w:val="00100BFC"/>
    <w:rsid w:val="00100D0E"/>
    <w:rsid w:val="0010252A"/>
    <w:rsid w:val="00102AEF"/>
    <w:rsid w:val="00102E5C"/>
    <w:rsid w:val="0010332B"/>
    <w:rsid w:val="00103965"/>
    <w:rsid w:val="00104019"/>
    <w:rsid w:val="001043AF"/>
    <w:rsid w:val="00105144"/>
    <w:rsid w:val="001058D1"/>
    <w:rsid w:val="00105D06"/>
    <w:rsid w:val="0010610C"/>
    <w:rsid w:val="00106E10"/>
    <w:rsid w:val="001072CD"/>
    <w:rsid w:val="0010743E"/>
    <w:rsid w:val="00107B15"/>
    <w:rsid w:val="001118C5"/>
    <w:rsid w:val="00112398"/>
    <w:rsid w:val="00112DE5"/>
    <w:rsid w:val="001133E6"/>
    <w:rsid w:val="00113D09"/>
    <w:rsid w:val="00113E03"/>
    <w:rsid w:val="00114108"/>
    <w:rsid w:val="00114319"/>
    <w:rsid w:val="00114A53"/>
    <w:rsid w:val="00116423"/>
    <w:rsid w:val="001164E4"/>
    <w:rsid w:val="00116A9C"/>
    <w:rsid w:val="00117DBF"/>
    <w:rsid w:val="00120806"/>
    <w:rsid w:val="001208B0"/>
    <w:rsid w:val="00120904"/>
    <w:rsid w:val="00120AB6"/>
    <w:rsid w:val="0012251E"/>
    <w:rsid w:val="001231F5"/>
    <w:rsid w:val="0012383C"/>
    <w:rsid w:val="001238FB"/>
    <w:rsid w:val="00123C7E"/>
    <w:rsid w:val="00124583"/>
    <w:rsid w:val="00124CD0"/>
    <w:rsid w:val="00125C28"/>
    <w:rsid w:val="00125C5E"/>
    <w:rsid w:val="00126104"/>
    <w:rsid w:val="0012765F"/>
    <w:rsid w:val="00127868"/>
    <w:rsid w:val="00127AE2"/>
    <w:rsid w:val="0013021B"/>
    <w:rsid w:val="001308FF"/>
    <w:rsid w:val="00130D51"/>
    <w:rsid w:val="00132C8A"/>
    <w:rsid w:val="00134575"/>
    <w:rsid w:val="00134B1D"/>
    <w:rsid w:val="00134C2F"/>
    <w:rsid w:val="0013591C"/>
    <w:rsid w:val="00136A03"/>
    <w:rsid w:val="00136A4B"/>
    <w:rsid w:val="001376AC"/>
    <w:rsid w:val="00137EF8"/>
    <w:rsid w:val="00140582"/>
    <w:rsid w:val="0014109C"/>
    <w:rsid w:val="00141B18"/>
    <w:rsid w:val="0014443F"/>
    <w:rsid w:val="00144C44"/>
    <w:rsid w:val="00145A25"/>
    <w:rsid w:val="00145DED"/>
    <w:rsid w:val="00147A05"/>
    <w:rsid w:val="00150739"/>
    <w:rsid w:val="00150DBC"/>
    <w:rsid w:val="001529B5"/>
    <w:rsid w:val="00153AB9"/>
    <w:rsid w:val="00153FD3"/>
    <w:rsid w:val="001550EC"/>
    <w:rsid w:val="001550F9"/>
    <w:rsid w:val="001556E1"/>
    <w:rsid w:val="001564AE"/>
    <w:rsid w:val="00156D3D"/>
    <w:rsid w:val="00160779"/>
    <w:rsid w:val="00160ADB"/>
    <w:rsid w:val="001611F9"/>
    <w:rsid w:val="00161424"/>
    <w:rsid w:val="00161A68"/>
    <w:rsid w:val="00163142"/>
    <w:rsid w:val="00164B59"/>
    <w:rsid w:val="00164DD3"/>
    <w:rsid w:val="001653E3"/>
    <w:rsid w:val="001657FD"/>
    <w:rsid w:val="001659DC"/>
    <w:rsid w:val="00165E1C"/>
    <w:rsid w:val="001678A1"/>
    <w:rsid w:val="00170C40"/>
    <w:rsid w:val="00170C54"/>
    <w:rsid w:val="00170DBD"/>
    <w:rsid w:val="00171599"/>
    <w:rsid w:val="00172504"/>
    <w:rsid w:val="001731A8"/>
    <w:rsid w:val="00173656"/>
    <w:rsid w:val="00173720"/>
    <w:rsid w:val="00173A58"/>
    <w:rsid w:val="00173BBF"/>
    <w:rsid w:val="00175420"/>
    <w:rsid w:val="001755DE"/>
    <w:rsid w:val="00177155"/>
    <w:rsid w:val="001815B0"/>
    <w:rsid w:val="00181B60"/>
    <w:rsid w:val="001829C6"/>
    <w:rsid w:val="00182A94"/>
    <w:rsid w:val="00182E65"/>
    <w:rsid w:val="00183E50"/>
    <w:rsid w:val="00184565"/>
    <w:rsid w:val="00184BE6"/>
    <w:rsid w:val="00184C1D"/>
    <w:rsid w:val="00185507"/>
    <w:rsid w:val="0018552C"/>
    <w:rsid w:val="00185703"/>
    <w:rsid w:val="0018570A"/>
    <w:rsid w:val="00185866"/>
    <w:rsid w:val="00185C81"/>
    <w:rsid w:val="00185EB5"/>
    <w:rsid w:val="001861FC"/>
    <w:rsid w:val="00187882"/>
    <w:rsid w:val="00190673"/>
    <w:rsid w:val="00190E0C"/>
    <w:rsid w:val="001921B1"/>
    <w:rsid w:val="00192275"/>
    <w:rsid w:val="00193BA9"/>
    <w:rsid w:val="00194118"/>
    <w:rsid w:val="001943FC"/>
    <w:rsid w:val="00194505"/>
    <w:rsid w:val="001945F4"/>
    <w:rsid w:val="00194B56"/>
    <w:rsid w:val="001959EE"/>
    <w:rsid w:val="001964C6"/>
    <w:rsid w:val="001965BC"/>
    <w:rsid w:val="00196C4F"/>
    <w:rsid w:val="00197BEB"/>
    <w:rsid w:val="001A13E0"/>
    <w:rsid w:val="001A201D"/>
    <w:rsid w:val="001A3D1E"/>
    <w:rsid w:val="001A4751"/>
    <w:rsid w:val="001A506F"/>
    <w:rsid w:val="001A512E"/>
    <w:rsid w:val="001A54E6"/>
    <w:rsid w:val="001A56BA"/>
    <w:rsid w:val="001A6D11"/>
    <w:rsid w:val="001A6D40"/>
    <w:rsid w:val="001A7321"/>
    <w:rsid w:val="001A7443"/>
    <w:rsid w:val="001A7593"/>
    <w:rsid w:val="001B11A7"/>
    <w:rsid w:val="001B168D"/>
    <w:rsid w:val="001B29B0"/>
    <w:rsid w:val="001B2CFB"/>
    <w:rsid w:val="001B3992"/>
    <w:rsid w:val="001B3E0A"/>
    <w:rsid w:val="001B412D"/>
    <w:rsid w:val="001B4AC8"/>
    <w:rsid w:val="001C0348"/>
    <w:rsid w:val="001C0E79"/>
    <w:rsid w:val="001C2A80"/>
    <w:rsid w:val="001C32F4"/>
    <w:rsid w:val="001C3DCE"/>
    <w:rsid w:val="001C600F"/>
    <w:rsid w:val="001C6953"/>
    <w:rsid w:val="001C6A1E"/>
    <w:rsid w:val="001C6FB1"/>
    <w:rsid w:val="001C74F9"/>
    <w:rsid w:val="001C7A30"/>
    <w:rsid w:val="001D0C8B"/>
    <w:rsid w:val="001D0EB1"/>
    <w:rsid w:val="001D1691"/>
    <w:rsid w:val="001D20FB"/>
    <w:rsid w:val="001D3D44"/>
    <w:rsid w:val="001D504A"/>
    <w:rsid w:val="001D5745"/>
    <w:rsid w:val="001D5EEA"/>
    <w:rsid w:val="001D6642"/>
    <w:rsid w:val="001D6E93"/>
    <w:rsid w:val="001D732B"/>
    <w:rsid w:val="001D7781"/>
    <w:rsid w:val="001E024C"/>
    <w:rsid w:val="001E0E1B"/>
    <w:rsid w:val="001E0E25"/>
    <w:rsid w:val="001E1269"/>
    <w:rsid w:val="001E1B03"/>
    <w:rsid w:val="001E1E60"/>
    <w:rsid w:val="001E301B"/>
    <w:rsid w:val="001E33CA"/>
    <w:rsid w:val="001E3828"/>
    <w:rsid w:val="001E3EEE"/>
    <w:rsid w:val="001E4C5C"/>
    <w:rsid w:val="001E4DA1"/>
    <w:rsid w:val="001E5472"/>
    <w:rsid w:val="001E5E81"/>
    <w:rsid w:val="001E676F"/>
    <w:rsid w:val="001E7DF5"/>
    <w:rsid w:val="001E7DF9"/>
    <w:rsid w:val="001F02EA"/>
    <w:rsid w:val="001F03DD"/>
    <w:rsid w:val="001F0573"/>
    <w:rsid w:val="001F1997"/>
    <w:rsid w:val="001F2F16"/>
    <w:rsid w:val="001F308F"/>
    <w:rsid w:val="001F32F4"/>
    <w:rsid w:val="001F340A"/>
    <w:rsid w:val="001F3A80"/>
    <w:rsid w:val="001F4196"/>
    <w:rsid w:val="001F477F"/>
    <w:rsid w:val="001F5981"/>
    <w:rsid w:val="001F5FD0"/>
    <w:rsid w:val="001F654C"/>
    <w:rsid w:val="001F6602"/>
    <w:rsid w:val="001F6625"/>
    <w:rsid w:val="001F66DA"/>
    <w:rsid w:val="001F6A87"/>
    <w:rsid w:val="001F77F8"/>
    <w:rsid w:val="001F7DAB"/>
    <w:rsid w:val="00200763"/>
    <w:rsid w:val="00200E5D"/>
    <w:rsid w:val="0020143E"/>
    <w:rsid w:val="00202440"/>
    <w:rsid w:val="0020257E"/>
    <w:rsid w:val="002035C1"/>
    <w:rsid w:val="00204053"/>
    <w:rsid w:val="00204528"/>
    <w:rsid w:val="00204591"/>
    <w:rsid w:val="00204980"/>
    <w:rsid w:val="00204C13"/>
    <w:rsid w:val="00205025"/>
    <w:rsid w:val="00205A80"/>
    <w:rsid w:val="00206784"/>
    <w:rsid w:val="00207064"/>
    <w:rsid w:val="00207480"/>
    <w:rsid w:val="00210498"/>
    <w:rsid w:val="00210A82"/>
    <w:rsid w:val="0021104E"/>
    <w:rsid w:val="00211537"/>
    <w:rsid w:val="00211B9D"/>
    <w:rsid w:val="0021225F"/>
    <w:rsid w:val="002135CC"/>
    <w:rsid w:val="00213A9E"/>
    <w:rsid w:val="00213B55"/>
    <w:rsid w:val="00214059"/>
    <w:rsid w:val="00215497"/>
    <w:rsid w:val="00216E14"/>
    <w:rsid w:val="00217261"/>
    <w:rsid w:val="00217464"/>
    <w:rsid w:val="00217A4D"/>
    <w:rsid w:val="00220D25"/>
    <w:rsid w:val="00221990"/>
    <w:rsid w:val="00222D33"/>
    <w:rsid w:val="0022324A"/>
    <w:rsid w:val="002232D1"/>
    <w:rsid w:val="00223D99"/>
    <w:rsid w:val="002240A6"/>
    <w:rsid w:val="00224850"/>
    <w:rsid w:val="0022551A"/>
    <w:rsid w:val="002256FA"/>
    <w:rsid w:val="00225CE0"/>
    <w:rsid w:val="002266C9"/>
    <w:rsid w:val="0022672B"/>
    <w:rsid w:val="00226BEF"/>
    <w:rsid w:val="00227C4C"/>
    <w:rsid w:val="00230951"/>
    <w:rsid w:val="00230D15"/>
    <w:rsid w:val="0023185A"/>
    <w:rsid w:val="00232044"/>
    <w:rsid w:val="002327DF"/>
    <w:rsid w:val="002332E1"/>
    <w:rsid w:val="0023414D"/>
    <w:rsid w:val="00234B9E"/>
    <w:rsid w:val="00234DFE"/>
    <w:rsid w:val="00234F8B"/>
    <w:rsid w:val="002363CE"/>
    <w:rsid w:val="00236F95"/>
    <w:rsid w:val="00237F60"/>
    <w:rsid w:val="00240981"/>
    <w:rsid w:val="00241353"/>
    <w:rsid w:val="00241CCB"/>
    <w:rsid w:val="00241EB1"/>
    <w:rsid w:val="00242135"/>
    <w:rsid w:val="0024311E"/>
    <w:rsid w:val="00243738"/>
    <w:rsid w:val="00243B5C"/>
    <w:rsid w:val="00243BA1"/>
    <w:rsid w:val="002447EA"/>
    <w:rsid w:val="002451B2"/>
    <w:rsid w:val="002457C7"/>
    <w:rsid w:val="0024653F"/>
    <w:rsid w:val="00246695"/>
    <w:rsid w:val="002472CC"/>
    <w:rsid w:val="00247D33"/>
    <w:rsid w:val="002505DB"/>
    <w:rsid w:val="002521A2"/>
    <w:rsid w:val="002524A2"/>
    <w:rsid w:val="00253590"/>
    <w:rsid w:val="00253B01"/>
    <w:rsid w:val="002549E1"/>
    <w:rsid w:val="00254DC2"/>
    <w:rsid w:val="00255742"/>
    <w:rsid w:val="00256124"/>
    <w:rsid w:val="00256926"/>
    <w:rsid w:val="00256B30"/>
    <w:rsid w:val="00256DE0"/>
    <w:rsid w:val="0025771E"/>
    <w:rsid w:val="00257771"/>
    <w:rsid w:val="0025777C"/>
    <w:rsid w:val="002578FF"/>
    <w:rsid w:val="00260082"/>
    <w:rsid w:val="00260840"/>
    <w:rsid w:val="0026089A"/>
    <w:rsid w:val="002610CF"/>
    <w:rsid w:val="00261A07"/>
    <w:rsid w:val="00261C36"/>
    <w:rsid w:val="002620A0"/>
    <w:rsid w:val="00263479"/>
    <w:rsid w:val="00263718"/>
    <w:rsid w:val="00264340"/>
    <w:rsid w:val="0026450F"/>
    <w:rsid w:val="00265641"/>
    <w:rsid w:val="00265F47"/>
    <w:rsid w:val="00267372"/>
    <w:rsid w:val="002676D2"/>
    <w:rsid w:val="00267CD9"/>
    <w:rsid w:val="00270077"/>
    <w:rsid w:val="002707C9"/>
    <w:rsid w:val="00270E63"/>
    <w:rsid w:val="0027200E"/>
    <w:rsid w:val="00272807"/>
    <w:rsid w:val="00272C50"/>
    <w:rsid w:val="0027302A"/>
    <w:rsid w:val="0027341D"/>
    <w:rsid w:val="0027389E"/>
    <w:rsid w:val="002766FB"/>
    <w:rsid w:val="00276C30"/>
    <w:rsid w:val="002777CD"/>
    <w:rsid w:val="002800CC"/>
    <w:rsid w:val="002800D5"/>
    <w:rsid w:val="00281200"/>
    <w:rsid w:val="00281961"/>
    <w:rsid w:val="00281F2E"/>
    <w:rsid w:val="002829A2"/>
    <w:rsid w:val="002856EE"/>
    <w:rsid w:val="0028596B"/>
    <w:rsid w:val="00286061"/>
    <w:rsid w:val="00286ACA"/>
    <w:rsid w:val="00287346"/>
    <w:rsid w:val="00287AB7"/>
    <w:rsid w:val="00290ACC"/>
    <w:rsid w:val="00290BD9"/>
    <w:rsid w:val="0029101A"/>
    <w:rsid w:val="0029127D"/>
    <w:rsid w:val="00291733"/>
    <w:rsid w:val="00291E22"/>
    <w:rsid w:val="002929C3"/>
    <w:rsid w:val="00292E8B"/>
    <w:rsid w:val="00293937"/>
    <w:rsid w:val="002939C4"/>
    <w:rsid w:val="00293AF1"/>
    <w:rsid w:val="00293ED5"/>
    <w:rsid w:val="002946DC"/>
    <w:rsid w:val="00294C55"/>
    <w:rsid w:val="00295940"/>
    <w:rsid w:val="00295C85"/>
    <w:rsid w:val="00296147"/>
    <w:rsid w:val="002961E4"/>
    <w:rsid w:val="00296568"/>
    <w:rsid w:val="002965C1"/>
    <w:rsid w:val="00296867"/>
    <w:rsid w:val="00297249"/>
    <w:rsid w:val="002A0B9D"/>
    <w:rsid w:val="002A11FE"/>
    <w:rsid w:val="002A1C1A"/>
    <w:rsid w:val="002A2204"/>
    <w:rsid w:val="002A2267"/>
    <w:rsid w:val="002A48F8"/>
    <w:rsid w:val="002A491E"/>
    <w:rsid w:val="002A49DF"/>
    <w:rsid w:val="002A5F57"/>
    <w:rsid w:val="002A601F"/>
    <w:rsid w:val="002A6451"/>
    <w:rsid w:val="002A7783"/>
    <w:rsid w:val="002B024F"/>
    <w:rsid w:val="002B0602"/>
    <w:rsid w:val="002B0B4D"/>
    <w:rsid w:val="002B0E92"/>
    <w:rsid w:val="002B12B3"/>
    <w:rsid w:val="002B30A5"/>
    <w:rsid w:val="002B3785"/>
    <w:rsid w:val="002B38B6"/>
    <w:rsid w:val="002B3E29"/>
    <w:rsid w:val="002B3FFB"/>
    <w:rsid w:val="002B55FA"/>
    <w:rsid w:val="002B5849"/>
    <w:rsid w:val="002B5994"/>
    <w:rsid w:val="002B5F67"/>
    <w:rsid w:val="002B667B"/>
    <w:rsid w:val="002B79F1"/>
    <w:rsid w:val="002C03A4"/>
    <w:rsid w:val="002C079F"/>
    <w:rsid w:val="002C0B13"/>
    <w:rsid w:val="002C0ED5"/>
    <w:rsid w:val="002C10E5"/>
    <w:rsid w:val="002C1353"/>
    <w:rsid w:val="002C1476"/>
    <w:rsid w:val="002C1FF9"/>
    <w:rsid w:val="002C2105"/>
    <w:rsid w:val="002C2110"/>
    <w:rsid w:val="002C29DC"/>
    <w:rsid w:val="002C2CAE"/>
    <w:rsid w:val="002C393B"/>
    <w:rsid w:val="002C3CEE"/>
    <w:rsid w:val="002C4A43"/>
    <w:rsid w:val="002C5036"/>
    <w:rsid w:val="002C5189"/>
    <w:rsid w:val="002C68AD"/>
    <w:rsid w:val="002C6AC6"/>
    <w:rsid w:val="002C7D03"/>
    <w:rsid w:val="002D0ADD"/>
    <w:rsid w:val="002D106F"/>
    <w:rsid w:val="002D19D6"/>
    <w:rsid w:val="002D255C"/>
    <w:rsid w:val="002D2F0E"/>
    <w:rsid w:val="002D5785"/>
    <w:rsid w:val="002D59A7"/>
    <w:rsid w:val="002D59E1"/>
    <w:rsid w:val="002D7482"/>
    <w:rsid w:val="002E0461"/>
    <w:rsid w:val="002E23DC"/>
    <w:rsid w:val="002E2AB0"/>
    <w:rsid w:val="002E338F"/>
    <w:rsid w:val="002E381A"/>
    <w:rsid w:val="002E47DC"/>
    <w:rsid w:val="002E6353"/>
    <w:rsid w:val="002E6F25"/>
    <w:rsid w:val="002E7621"/>
    <w:rsid w:val="002F003A"/>
    <w:rsid w:val="002F1C49"/>
    <w:rsid w:val="002F20BA"/>
    <w:rsid w:val="002F2324"/>
    <w:rsid w:val="002F242A"/>
    <w:rsid w:val="002F2E5C"/>
    <w:rsid w:val="002F4752"/>
    <w:rsid w:val="002F47C1"/>
    <w:rsid w:val="002F694A"/>
    <w:rsid w:val="002F7368"/>
    <w:rsid w:val="002F744C"/>
    <w:rsid w:val="002F7657"/>
    <w:rsid w:val="002F7669"/>
    <w:rsid w:val="002F77C1"/>
    <w:rsid w:val="00300C95"/>
    <w:rsid w:val="00300E95"/>
    <w:rsid w:val="0030125A"/>
    <w:rsid w:val="00301BF8"/>
    <w:rsid w:val="00301D34"/>
    <w:rsid w:val="003024FF"/>
    <w:rsid w:val="00302D8F"/>
    <w:rsid w:val="00302DDA"/>
    <w:rsid w:val="00303B9A"/>
    <w:rsid w:val="00303BC5"/>
    <w:rsid w:val="00304249"/>
    <w:rsid w:val="003061F7"/>
    <w:rsid w:val="0030786B"/>
    <w:rsid w:val="00307882"/>
    <w:rsid w:val="00307B2C"/>
    <w:rsid w:val="00307EB6"/>
    <w:rsid w:val="003104E9"/>
    <w:rsid w:val="003105C4"/>
    <w:rsid w:val="003107CC"/>
    <w:rsid w:val="0031153E"/>
    <w:rsid w:val="003116B1"/>
    <w:rsid w:val="0031187B"/>
    <w:rsid w:val="003118FB"/>
    <w:rsid w:val="00312780"/>
    <w:rsid w:val="003129BD"/>
    <w:rsid w:val="00313130"/>
    <w:rsid w:val="003131C4"/>
    <w:rsid w:val="003135BB"/>
    <w:rsid w:val="00314DEB"/>
    <w:rsid w:val="00315293"/>
    <w:rsid w:val="00315426"/>
    <w:rsid w:val="00315698"/>
    <w:rsid w:val="00316D78"/>
    <w:rsid w:val="00316DD2"/>
    <w:rsid w:val="00316E40"/>
    <w:rsid w:val="003170E1"/>
    <w:rsid w:val="0031750E"/>
    <w:rsid w:val="003204D7"/>
    <w:rsid w:val="00321FCE"/>
    <w:rsid w:val="00322FF1"/>
    <w:rsid w:val="003236B2"/>
    <w:rsid w:val="00323D66"/>
    <w:rsid w:val="003254BB"/>
    <w:rsid w:val="003257C7"/>
    <w:rsid w:val="003261F5"/>
    <w:rsid w:val="0032662D"/>
    <w:rsid w:val="0032664D"/>
    <w:rsid w:val="003302F5"/>
    <w:rsid w:val="00330399"/>
    <w:rsid w:val="003303D5"/>
    <w:rsid w:val="003304E4"/>
    <w:rsid w:val="003319A1"/>
    <w:rsid w:val="00332086"/>
    <w:rsid w:val="0033213B"/>
    <w:rsid w:val="003326E7"/>
    <w:rsid w:val="0033273A"/>
    <w:rsid w:val="00332826"/>
    <w:rsid w:val="0033283D"/>
    <w:rsid w:val="00332A0F"/>
    <w:rsid w:val="0033350F"/>
    <w:rsid w:val="00333E8A"/>
    <w:rsid w:val="00335C47"/>
    <w:rsid w:val="00335C7F"/>
    <w:rsid w:val="00337CFD"/>
    <w:rsid w:val="00337F9A"/>
    <w:rsid w:val="00340602"/>
    <w:rsid w:val="00340C60"/>
    <w:rsid w:val="0034183E"/>
    <w:rsid w:val="00341BAE"/>
    <w:rsid w:val="00341C1B"/>
    <w:rsid w:val="00341E3E"/>
    <w:rsid w:val="0034243D"/>
    <w:rsid w:val="0034292B"/>
    <w:rsid w:val="00342AFB"/>
    <w:rsid w:val="003433A4"/>
    <w:rsid w:val="003437FF"/>
    <w:rsid w:val="00343C3A"/>
    <w:rsid w:val="00343DCC"/>
    <w:rsid w:val="003446B6"/>
    <w:rsid w:val="00345817"/>
    <w:rsid w:val="00345B92"/>
    <w:rsid w:val="00345D39"/>
    <w:rsid w:val="003473C3"/>
    <w:rsid w:val="00347485"/>
    <w:rsid w:val="00347646"/>
    <w:rsid w:val="00347CD2"/>
    <w:rsid w:val="0035090C"/>
    <w:rsid w:val="00350B1D"/>
    <w:rsid w:val="00351627"/>
    <w:rsid w:val="00351E1B"/>
    <w:rsid w:val="003526E5"/>
    <w:rsid w:val="00354654"/>
    <w:rsid w:val="003548B0"/>
    <w:rsid w:val="003565C0"/>
    <w:rsid w:val="003567C7"/>
    <w:rsid w:val="003572D6"/>
    <w:rsid w:val="00357688"/>
    <w:rsid w:val="00357976"/>
    <w:rsid w:val="00357AE3"/>
    <w:rsid w:val="00360248"/>
    <w:rsid w:val="003602E5"/>
    <w:rsid w:val="003608EC"/>
    <w:rsid w:val="00361466"/>
    <w:rsid w:val="00361734"/>
    <w:rsid w:val="00361BFB"/>
    <w:rsid w:val="00361D2D"/>
    <w:rsid w:val="003622AC"/>
    <w:rsid w:val="00362516"/>
    <w:rsid w:val="003634B6"/>
    <w:rsid w:val="003640BC"/>
    <w:rsid w:val="003646F2"/>
    <w:rsid w:val="00364FCF"/>
    <w:rsid w:val="00365184"/>
    <w:rsid w:val="003651D6"/>
    <w:rsid w:val="00366241"/>
    <w:rsid w:val="00366626"/>
    <w:rsid w:val="00367126"/>
    <w:rsid w:val="00367711"/>
    <w:rsid w:val="0036792D"/>
    <w:rsid w:val="00367C6B"/>
    <w:rsid w:val="00370014"/>
    <w:rsid w:val="003705F4"/>
    <w:rsid w:val="00370E24"/>
    <w:rsid w:val="003711CC"/>
    <w:rsid w:val="0037120F"/>
    <w:rsid w:val="00371351"/>
    <w:rsid w:val="0037215A"/>
    <w:rsid w:val="00372512"/>
    <w:rsid w:val="003730FA"/>
    <w:rsid w:val="00373743"/>
    <w:rsid w:val="003739BC"/>
    <w:rsid w:val="00373AB7"/>
    <w:rsid w:val="00373AF7"/>
    <w:rsid w:val="003746F1"/>
    <w:rsid w:val="0037470F"/>
    <w:rsid w:val="00374844"/>
    <w:rsid w:val="00375CEC"/>
    <w:rsid w:val="00375D93"/>
    <w:rsid w:val="0037610F"/>
    <w:rsid w:val="00380449"/>
    <w:rsid w:val="00380D27"/>
    <w:rsid w:val="00381099"/>
    <w:rsid w:val="00381BFF"/>
    <w:rsid w:val="00382327"/>
    <w:rsid w:val="00382377"/>
    <w:rsid w:val="00383210"/>
    <w:rsid w:val="00383425"/>
    <w:rsid w:val="00385A59"/>
    <w:rsid w:val="00385A84"/>
    <w:rsid w:val="00385A8B"/>
    <w:rsid w:val="00385DE0"/>
    <w:rsid w:val="003864FC"/>
    <w:rsid w:val="00386660"/>
    <w:rsid w:val="00386D86"/>
    <w:rsid w:val="00387481"/>
    <w:rsid w:val="00387A45"/>
    <w:rsid w:val="003908BE"/>
    <w:rsid w:val="0039118A"/>
    <w:rsid w:val="00391749"/>
    <w:rsid w:val="00391B16"/>
    <w:rsid w:val="00391C21"/>
    <w:rsid w:val="003920DD"/>
    <w:rsid w:val="00392193"/>
    <w:rsid w:val="003927BF"/>
    <w:rsid w:val="00393383"/>
    <w:rsid w:val="0039362E"/>
    <w:rsid w:val="00393CD3"/>
    <w:rsid w:val="00393F20"/>
    <w:rsid w:val="00393FC8"/>
    <w:rsid w:val="0039414A"/>
    <w:rsid w:val="0039423D"/>
    <w:rsid w:val="00394BED"/>
    <w:rsid w:val="00395CE1"/>
    <w:rsid w:val="00395F6E"/>
    <w:rsid w:val="00395FC8"/>
    <w:rsid w:val="0039617A"/>
    <w:rsid w:val="00396B09"/>
    <w:rsid w:val="0039789E"/>
    <w:rsid w:val="00397A09"/>
    <w:rsid w:val="003A192E"/>
    <w:rsid w:val="003A3B8F"/>
    <w:rsid w:val="003A3D41"/>
    <w:rsid w:val="003A4387"/>
    <w:rsid w:val="003A5605"/>
    <w:rsid w:val="003A5B4F"/>
    <w:rsid w:val="003A6B63"/>
    <w:rsid w:val="003A6CA1"/>
    <w:rsid w:val="003A6DAC"/>
    <w:rsid w:val="003A724E"/>
    <w:rsid w:val="003A7EAA"/>
    <w:rsid w:val="003B0C90"/>
    <w:rsid w:val="003B1318"/>
    <w:rsid w:val="003B1479"/>
    <w:rsid w:val="003B1F25"/>
    <w:rsid w:val="003B2239"/>
    <w:rsid w:val="003B3582"/>
    <w:rsid w:val="003B3CE3"/>
    <w:rsid w:val="003B3CE8"/>
    <w:rsid w:val="003B3EBE"/>
    <w:rsid w:val="003B3ED8"/>
    <w:rsid w:val="003B4613"/>
    <w:rsid w:val="003B5030"/>
    <w:rsid w:val="003B597F"/>
    <w:rsid w:val="003B741B"/>
    <w:rsid w:val="003C1CE9"/>
    <w:rsid w:val="003C2120"/>
    <w:rsid w:val="003C2766"/>
    <w:rsid w:val="003C2E3C"/>
    <w:rsid w:val="003C34B2"/>
    <w:rsid w:val="003C4CB2"/>
    <w:rsid w:val="003C4CDF"/>
    <w:rsid w:val="003C4D93"/>
    <w:rsid w:val="003C4F4D"/>
    <w:rsid w:val="003C5660"/>
    <w:rsid w:val="003C56E3"/>
    <w:rsid w:val="003C5CAC"/>
    <w:rsid w:val="003C5E88"/>
    <w:rsid w:val="003C6988"/>
    <w:rsid w:val="003C70ED"/>
    <w:rsid w:val="003C715D"/>
    <w:rsid w:val="003C7226"/>
    <w:rsid w:val="003C7532"/>
    <w:rsid w:val="003C787B"/>
    <w:rsid w:val="003C7A88"/>
    <w:rsid w:val="003D2BE9"/>
    <w:rsid w:val="003D2D31"/>
    <w:rsid w:val="003D3448"/>
    <w:rsid w:val="003D35CC"/>
    <w:rsid w:val="003D395C"/>
    <w:rsid w:val="003D41FD"/>
    <w:rsid w:val="003D42A3"/>
    <w:rsid w:val="003D4F5F"/>
    <w:rsid w:val="003D5587"/>
    <w:rsid w:val="003D586C"/>
    <w:rsid w:val="003D62F7"/>
    <w:rsid w:val="003D6689"/>
    <w:rsid w:val="003D7888"/>
    <w:rsid w:val="003D793F"/>
    <w:rsid w:val="003E02A8"/>
    <w:rsid w:val="003E07DF"/>
    <w:rsid w:val="003E1977"/>
    <w:rsid w:val="003E1DAF"/>
    <w:rsid w:val="003E20EC"/>
    <w:rsid w:val="003E22B2"/>
    <w:rsid w:val="003E25FD"/>
    <w:rsid w:val="003E26FC"/>
    <w:rsid w:val="003E27C5"/>
    <w:rsid w:val="003E28DF"/>
    <w:rsid w:val="003E29FA"/>
    <w:rsid w:val="003E32A7"/>
    <w:rsid w:val="003E3548"/>
    <w:rsid w:val="003E3C86"/>
    <w:rsid w:val="003E3CEF"/>
    <w:rsid w:val="003E3DA8"/>
    <w:rsid w:val="003E453C"/>
    <w:rsid w:val="003E49BE"/>
    <w:rsid w:val="003E4F32"/>
    <w:rsid w:val="003E60DB"/>
    <w:rsid w:val="003E6CA7"/>
    <w:rsid w:val="003E6D0B"/>
    <w:rsid w:val="003E74A1"/>
    <w:rsid w:val="003F0589"/>
    <w:rsid w:val="003F0665"/>
    <w:rsid w:val="003F196C"/>
    <w:rsid w:val="003F19C5"/>
    <w:rsid w:val="003F1CC6"/>
    <w:rsid w:val="003F2DFB"/>
    <w:rsid w:val="003F2FE5"/>
    <w:rsid w:val="003F4466"/>
    <w:rsid w:val="003F5379"/>
    <w:rsid w:val="003F56CF"/>
    <w:rsid w:val="003F6CE1"/>
    <w:rsid w:val="003F76E7"/>
    <w:rsid w:val="003F7A82"/>
    <w:rsid w:val="00400348"/>
    <w:rsid w:val="0040082A"/>
    <w:rsid w:val="0040092E"/>
    <w:rsid w:val="00400BA6"/>
    <w:rsid w:val="00400DE2"/>
    <w:rsid w:val="0040115C"/>
    <w:rsid w:val="004013B0"/>
    <w:rsid w:val="00401F8C"/>
    <w:rsid w:val="004020BC"/>
    <w:rsid w:val="004028C0"/>
    <w:rsid w:val="00402C5E"/>
    <w:rsid w:val="00403238"/>
    <w:rsid w:val="00403296"/>
    <w:rsid w:val="004032CB"/>
    <w:rsid w:val="00403CE5"/>
    <w:rsid w:val="00404500"/>
    <w:rsid w:val="004052ED"/>
    <w:rsid w:val="00405415"/>
    <w:rsid w:val="00405FE4"/>
    <w:rsid w:val="004064FD"/>
    <w:rsid w:val="004104F3"/>
    <w:rsid w:val="00410786"/>
    <w:rsid w:val="00411019"/>
    <w:rsid w:val="00412856"/>
    <w:rsid w:val="004144A0"/>
    <w:rsid w:val="00414C1C"/>
    <w:rsid w:val="004150DC"/>
    <w:rsid w:val="004155FA"/>
    <w:rsid w:val="00417B38"/>
    <w:rsid w:val="004205FD"/>
    <w:rsid w:val="00420D96"/>
    <w:rsid w:val="00420EB7"/>
    <w:rsid w:val="00423CDC"/>
    <w:rsid w:val="004244C6"/>
    <w:rsid w:val="00424787"/>
    <w:rsid w:val="00425808"/>
    <w:rsid w:val="00426BA2"/>
    <w:rsid w:val="00427443"/>
    <w:rsid w:val="00430429"/>
    <w:rsid w:val="00430FD9"/>
    <w:rsid w:val="00431341"/>
    <w:rsid w:val="004316BE"/>
    <w:rsid w:val="004321C1"/>
    <w:rsid w:val="0043225D"/>
    <w:rsid w:val="00432672"/>
    <w:rsid w:val="00432CA5"/>
    <w:rsid w:val="00433789"/>
    <w:rsid w:val="0043495D"/>
    <w:rsid w:val="00435514"/>
    <w:rsid w:val="00435954"/>
    <w:rsid w:val="00435BA8"/>
    <w:rsid w:val="00435D15"/>
    <w:rsid w:val="00436C10"/>
    <w:rsid w:val="00436D4D"/>
    <w:rsid w:val="004404B7"/>
    <w:rsid w:val="00440972"/>
    <w:rsid w:val="00440CFE"/>
    <w:rsid w:val="00441C92"/>
    <w:rsid w:val="004434AB"/>
    <w:rsid w:val="004437EC"/>
    <w:rsid w:val="00443AC4"/>
    <w:rsid w:val="00444103"/>
    <w:rsid w:val="00444359"/>
    <w:rsid w:val="004446EB"/>
    <w:rsid w:val="00444A86"/>
    <w:rsid w:val="00444B92"/>
    <w:rsid w:val="0044524B"/>
    <w:rsid w:val="004457A2"/>
    <w:rsid w:val="0044712D"/>
    <w:rsid w:val="00450834"/>
    <w:rsid w:val="00450B4D"/>
    <w:rsid w:val="00451633"/>
    <w:rsid w:val="00451B89"/>
    <w:rsid w:val="00451C09"/>
    <w:rsid w:val="00451D11"/>
    <w:rsid w:val="00453846"/>
    <w:rsid w:val="00453C68"/>
    <w:rsid w:val="00454DE1"/>
    <w:rsid w:val="00454EFF"/>
    <w:rsid w:val="00454FC0"/>
    <w:rsid w:val="00455447"/>
    <w:rsid w:val="0045597E"/>
    <w:rsid w:val="0045625C"/>
    <w:rsid w:val="0045675A"/>
    <w:rsid w:val="004575E4"/>
    <w:rsid w:val="004575EA"/>
    <w:rsid w:val="004605FE"/>
    <w:rsid w:val="0046075D"/>
    <w:rsid w:val="004625C7"/>
    <w:rsid w:val="00462C00"/>
    <w:rsid w:val="00463171"/>
    <w:rsid w:val="00463BB5"/>
    <w:rsid w:val="00463EF7"/>
    <w:rsid w:val="0046453F"/>
    <w:rsid w:val="00464C44"/>
    <w:rsid w:val="00464C58"/>
    <w:rsid w:val="0046517A"/>
    <w:rsid w:val="004659B2"/>
    <w:rsid w:val="00465D94"/>
    <w:rsid w:val="00465E02"/>
    <w:rsid w:val="004671C4"/>
    <w:rsid w:val="00467DB8"/>
    <w:rsid w:val="00467EF6"/>
    <w:rsid w:val="00470B6B"/>
    <w:rsid w:val="00471B77"/>
    <w:rsid w:val="00471BF2"/>
    <w:rsid w:val="00472621"/>
    <w:rsid w:val="00472FD9"/>
    <w:rsid w:val="00473E16"/>
    <w:rsid w:val="00473E78"/>
    <w:rsid w:val="00473F42"/>
    <w:rsid w:val="004740CC"/>
    <w:rsid w:val="0047452F"/>
    <w:rsid w:val="00474536"/>
    <w:rsid w:val="0047513D"/>
    <w:rsid w:val="00475324"/>
    <w:rsid w:val="00475464"/>
    <w:rsid w:val="004758F6"/>
    <w:rsid w:val="0047634F"/>
    <w:rsid w:val="004804B6"/>
    <w:rsid w:val="00480574"/>
    <w:rsid w:val="00480784"/>
    <w:rsid w:val="0048099D"/>
    <w:rsid w:val="0048131F"/>
    <w:rsid w:val="00481FA7"/>
    <w:rsid w:val="00482B9E"/>
    <w:rsid w:val="00483767"/>
    <w:rsid w:val="00483EA6"/>
    <w:rsid w:val="0048430A"/>
    <w:rsid w:val="0048434F"/>
    <w:rsid w:val="0048443B"/>
    <w:rsid w:val="004846E2"/>
    <w:rsid w:val="00484D78"/>
    <w:rsid w:val="004856C1"/>
    <w:rsid w:val="0048594F"/>
    <w:rsid w:val="004869A1"/>
    <w:rsid w:val="00486B76"/>
    <w:rsid w:val="004870B0"/>
    <w:rsid w:val="004870D0"/>
    <w:rsid w:val="004901E8"/>
    <w:rsid w:val="00490FA6"/>
    <w:rsid w:val="00494C12"/>
    <w:rsid w:val="00494F77"/>
    <w:rsid w:val="0049553E"/>
    <w:rsid w:val="00495D5D"/>
    <w:rsid w:val="00495F1C"/>
    <w:rsid w:val="004A15A9"/>
    <w:rsid w:val="004A1F05"/>
    <w:rsid w:val="004A28D2"/>
    <w:rsid w:val="004A2B31"/>
    <w:rsid w:val="004A2C4E"/>
    <w:rsid w:val="004A31FA"/>
    <w:rsid w:val="004A3C30"/>
    <w:rsid w:val="004A3E50"/>
    <w:rsid w:val="004A44C1"/>
    <w:rsid w:val="004A4931"/>
    <w:rsid w:val="004A551C"/>
    <w:rsid w:val="004A5554"/>
    <w:rsid w:val="004A5A81"/>
    <w:rsid w:val="004A6D6E"/>
    <w:rsid w:val="004A739B"/>
    <w:rsid w:val="004A7CCB"/>
    <w:rsid w:val="004B0B09"/>
    <w:rsid w:val="004B0B42"/>
    <w:rsid w:val="004B0BA6"/>
    <w:rsid w:val="004B1D6F"/>
    <w:rsid w:val="004B223F"/>
    <w:rsid w:val="004B2296"/>
    <w:rsid w:val="004B2E77"/>
    <w:rsid w:val="004B37DC"/>
    <w:rsid w:val="004B3A84"/>
    <w:rsid w:val="004B5DBD"/>
    <w:rsid w:val="004B5E81"/>
    <w:rsid w:val="004B7A48"/>
    <w:rsid w:val="004C030B"/>
    <w:rsid w:val="004C14C9"/>
    <w:rsid w:val="004C1A12"/>
    <w:rsid w:val="004C1A1B"/>
    <w:rsid w:val="004C1A38"/>
    <w:rsid w:val="004C2083"/>
    <w:rsid w:val="004C231E"/>
    <w:rsid w:val="004C282B"/>
    <w:rsid w:val="004C28CD"/>
    <w:rsid w:val="004C370B"/>
    <w:rsid w:val="004C3C85"/>
    <w:rsid w:val="004C3CA8"/>
    <w:rsid w:val="004C421B"/>
    <w:rsid w:val="004C503B"/>
    <w:rsid w:val="004C5A5E"/>
    <w:rsid w:val="004C60ED"/>
    <w:rsid w:val="004C7536"/>
    <w:rsid w:val="004D25C3"/>
    <w:rsid w:val="004D28C6"/>
    <w:rsid w:val="004D2DEF"/>
    <w:rsid w:val="004D36F8"/>
    <w:rsid w:val="004D5315"/>
    <w:rsid w:val="004D5579"/>
    <w:rsid w:val="004D5D3D"/>
    <w:rsid w:val="004D5F15"/>
    <w:rsid w:val="004D6527"/>
    <w:rsid w:val="004D6830"/>
    <w:rsid w:val="004D6AF8"/>
    <w:rsid w:val="004D7264"/>
    <w:rsid w:val="004E0220"/>
    <w:rsid w:val="004E09C3"/>
    <w:rsid w:val="004E19B5"/>
    <w:rsid w:val="004E3028"/>
    <w:rsid w:val="004E326A"/>
    <w:rsid w:val="004E3961"/>
    <w:rsid w:val="004E4447"/>
    <w:rsid w:val="004E4521"/>
    <w:rsid w:val="004E558D"/>
    <w:rsid w:val="004E56C4"/>
    <w:rsid w:val="004E609C"/>
    <w:rsid w:val="004E6ECD"/>
    <w:rsid w:val="004E729D"/>
    <w:rsid w:val="004F0713"/>
    <w:rsid w:val="004F1141"/>
    <w:rsid w:val="004F11F0"/>
    <w:rsid w:val="004F185C"/>
    <w:rsid w:val="004F1B58"/>
    <w:rsid w:val="004F1CF3"/>
    <w:rsid w:val="004F2083"/>
    <w:rsid w:val="004F295F"/>
    <w:rsid w:val="004F2BB7"/>
    <w:rsid w:val="004F2DA1"/>
    <w:rsid w:val="004F307D"/>
    <w:rsid w:val="004F329B"/>
    <w:rsid w:val="004F4058"/>
    <w:rsid w:val="004F4C79"/>
    <w:rsid w:val="004F4D4A"/>
    <w:rsid w:val="004F50D1"/>
    <w:rsid w:val="004F6249"/>
    <w:rsid w:val="004F647C"/>
    <w:rsid w:val="004F7A62"/>
    <w:rsid w:val="00500B2E"/>
    <w:rsid w:val="0050104A"/>
    <w:rsid w:val="005010F4"/>
    <w:rsid w:val="0050179B"/>
    <w:rsid w:val="00501F8A"/>
    <w:rsid w:val="00502CDC"/>
    <w:rsid w:val="00502DB2"/>
    <w:rsid w:val="00503615"/>
    <w:rsid w:val="00505050"/>
    <w:rsid w:val="00505C48"/>
    <w:rsid w:val="00506FF5"/>
    <w:rsid w:val="00507C74"/>
    <w:rsid w:val="00507DD1"/>
    <w:rsid w:val="00507E2C"/>
    <w:rsid w:val="005105AB"/>
    <w:rsid w:val="00511842"/>
    <w:rsid w:val="0051274C"/>
    <w:rsid w:val="00512F24"/>
    <w:rsid w:val="00512F45"/>
    <w:rsid w:val="005140F1"/>
    <w:rsid w:val="005150F9"/>
    <w:rsid w:val="005154DB"/>
    <w:rsid w:val="005162B1"/>
    <w:rsid w:val="005171BE"/>
    <w:rsid w:val="00517860"/>
    <w:rsid w:val="00517940"/>
    <w:rsid w:val="00520E78"/>
    <w:rsid w:val="0052128C"/>
    <w:rsid w:val="0052167E"/>
    <w:rsid w:val="0052169A"/>
    <w:rsid w:val="0052172D"/>
    <w:rsid w:val="00521945"/>
    <w:rsid w:val="00522497"/>
    <w:rsid w:val="0052314E"/>
    <w:rsid w:val="00523669"/>
    <w:rsid w:val="005237CA"/>
    <w:rsid w:val="00523B8E"/>
    <w:rsid w:val="00524071"/>
    <w:rsid w:val="005243AC"/>
    <w:rsid w:val="00524972"/>
    <w:rsid w:val="0052539E"/>
    <w:rsid w:val="00525B7F"/>
    <w:rsid w:val="0052628A"/>
    <w:rsid w:val="00526305"/>
    <w:rsid w:val="005278D5"/>
    <w:rsid w:val="005279EB"/>
    <w:rsid w:val="005300A9"/>
    <w:rsid w:val="00530BC0"/>
    <w:rsid w:val="00531553"/>
    <w:rsid w:val="0053222C"/>
    <w:rsid w:val="005328ED"/>
    <w:rsid w:val="00532E52"/>
    <w:rsid w:val="00534021"/>
    <w:rsid w:val="005342D7"/>
    <w:rsid w:val="00535170"/>
    <w:rsid w:val="0053560E"/>
    <w:rsid w:val="00535E4E"/>
    <w:rsid w:val="00536723"/>
    <w:rsid w:val="00536DC8"/>
    <w:rsid w:val="005372DC"/>
    <w:rsid w:val="00540066"/>
    <w:rsid w:val="00540294"/>
    <w:rsid w:val="00540564"/>
    <w:rsid w:val="005405E9"/>
    <w:rsid w:val="00540CFC"/>
    <w:rsid w:val="00540D30"/>
    <w:rsid w:val="005410F2"/>
    <w:rsid w:val="00541149"/>
    <w:rsid w:val="00541535"/>
    <w:rsid w:val="00541D83"/>
    <w:rsid w:val="005423E5"/>
    <w:rsid w:val="005424F5"/>
    <w:rsid w:val="00542E39"/>
    <w:rsid w:val="00543632"/>
    <w:rsid w:val="00544548"/>
    <w:rsid w:val="005449A9"/>
    <w:rsid w:val="005453B3"/>
    <w:rsid w:val="005453F4"/>
    <w:rsid w:val="0054588E"/>
    <w:rsid w:val="00545EA1"/>
    <w:rsid w:val="005473A4"/>
    <w:rsid w:val="005476BB"/>
    <w:rsid w:val="00547C03"/>
    <w:rsid w:val="00550834"/>
    <w:rsid w:val="00550DE7"/>
    <w:rsid w:val="00550F7D"/>
    <w:rsid w:val="00551175"/>
    <w:rsid w:val="00551337"/>
    <w:rsid w:val="005515EC"/>
    <w:rsid w:val="00551789"/>
    <w:rsid w:val="00551B33"/>
    <w:rsid w:val="005523A6"/>
    <w:rsid w:val="00552917"/>
    <w:rsid w:val="0055293A"/>
    <w:rsid w:val="00552A94"/>
    <w:rsid w:val="00552C69"/>
    <w:rsid w:val="005530B7"/>
    <w:rsid w:val="00553931"/>
    <w:rsid w:val="00553D2B"/>
    <w:rsid w:val="00553DAF"/>
    <w:rsid w:val="00553E05"/>
    <w:rsid w:val="005551D4"/>
    <w:rsid w:val="005559A7"/>
    <w:rsid w:val="00555B26"/>
    <w:rsid w:val="00556514"/>
    <w:rsid w:val="005568A0"/>
    <w:rsid w:val="00556C87"/>
    <w:rsid w:val="00557A3A"/>
    <w:rsid w:val="00560552"/>
    <w:rsid w:val="005610F4"/>
    <w:rsid w:val="0056119F"/>
    <w:rsid w:val="005613D5"/>
    <w:rsid w:val="00561456"/>
    <w:rsid w:val="00561B15"/>
    <w:rsid w:val="00561ED5"/>
    <w:rsid w:val="0056208C"/>
    <w:rsid w:val="0056321C"/>
    <w:rsid w:val="00564F0B"/>
    <w:rsid w:val="0056520A"/>
    <w:rsid w:val="0056596C"/>
    <w:rsid w:val="00565A4B"/>
    <w:rsid w:val="00565AFA"/>
    <w:rsid w:val="005663C3"/>
    <w:rsid w:val="00566E7D"/>
    <w:rsid w:val="00567F4C"/>
    <w:rsid w:val="0057004B"/>
    <w:rsid w:val="00570D68"/>
    <w:rsid w:val="00570E19"/>
    <w:rsid w:val="0057139B"/>
    <w:rsid w:val="0057146E"/>
    <w:rsid w:val="00571F46"/>
    <w:rsid w:val="00572F79"/>
    <w:rsid w:val="005730D2"/>
    <w:rsid w:val="00573B40"/>
    <w:rsid w:val="0057470C"/>
    <w:rsid w:val="0057614A"/>
    <w:rsid w:val="00576CFB"/>
    <w:rsid w:val="00576E4C"/>
    <w:rsid w:val="00577772"/>
    <w:rsid w:val="0057790D"/>
    <w:rsid w:val="00577A9A"/>
    <w:rsid w:val="005802AD"/>
    <w:rsid w:val="00580366"/>
    <w:rsid w:val="0058070B"/>
    <w:rsid w:val="005808E0"/>
    <w:rsid w:val="00580BBA"/>
    <w:rsid w:val="0058196A"/>
    <w:rsid w:val="00581A1F"/>
    <w:rsid w:val="00581FCD"/>
    <w:rsid w:val="00582A0E"/>
    <w:rsid w:val="00582ADD"/>
    <w:rsid w:val="0058456E"/>
    <w:rsid w:val="0059037C"/>
    <w:rsid w:val="005912F4"/>
    <w:rsid w:val="00591B62"/>
    <w:rsid w:val="00591FA3"/>
    <w:rsid w:val="00594488"/>
    <w:rsid w:val="005948F0"/>
    <w:rsid w:val="00594E71"/>
    <w:rsid w:val="00594EFB"/>
    <w:rsid w:val="00595D02"/>
    <w:rsid w:val="00596D47"/>
    <w:rsid w:val="00597693"/>
    <w:rsid w:val="005979AF"/>
    <w:rsid w:val="00597FC5"/>
    <w:rsid w:val="005A00BE"/>
    <w:rsid w:val="005A0272"/>
    <w:rsid w:val="005A0865"/>
    <w:rsid w:val="005A12F3"/>
    <w:rsid w:val="005A1511"/>
    <w:rsid w:val="005A2972"/>
    <w:rsid w:val="005A2D60"/>
    <w:rsid w:val="005A3188"/>
    <w:rsid w:val="005A453A"/>
    <w:rsid w:val="005A5165"/>
    <w:rsid w:val="005A5BC6"/>
    <w:rsid w:val="005A6145"/>
    <w:rsid w:val="005A7213"/>
    <w:rsid w:val="005A727E"/>
    <w:rsid w:val="005A76FF"/>
    <w:rsid w:val="005A7C4F"/>
    <w:rsid w:val="005A7EB8"/>
    <w:rsid w:val="005B0FD7"/>
    <w:rsid w:val="005B202F"/>
    <w:rsid w:val="005B24E1"/>
    <w:rsid w:val="005B283C"/>
    <w:rsid w:val="005B31B8"/>
    <w:rsid w:val="005B496A"/>
    <w:rsid w:val="005B4AFF"/>
    <w:rsid w:val="005B647B"/>
    <w:rsid w:val="005B6845"/>
    <w:rsid w:val="005B722A"/>
    <w:rsid w:val="005B74B8"/>
    <w:rsid w:val="005B77D1"/>
    <w:rsid w:val="005C0778"/>
    <w:rsid w:val="005C0F11"/>
    <w:rsid w:val="005C106B"/>
    <w:rsid w:val="005C1268"/>
    <w:rsid w:val="005C139A"/>
    <w:rsid w:val="005C15DF"/>
    <w:rsid w:val="005C1621"/>
    <w:rsid w:val="005C2C8B"/>
    <w:rsid w:val="005C2FA3"/>
    <w:rsid w:val="005C3F10"/>
    <w:rsid w:val="005C3F14"/>
    <w:rsid w:val="005C3F44"/>
    <w:rsid w:val="005C49B9"/>
    <w:rsid w:val="005C4F17"/>
    <w:rsid w:val="005C5747"/>
    <w:rsid w:val="005C587E"/>
    <w:rsid w:val="005C5909"/>
    <w:rsid w:val="005C64B4"/>
    <w:rsid w:val="005C776C"/>
    <w:rsid w:val="005C78AE"/>
    <w:rsid w:val="005C7B02"/>
    <w:rsid w:val="005C7EE7"/>
    <w:rsid w:val="005D014D"/>
    <w:rsid w:val="005D0CD0"/>
    <w:rsid w:val="005D0D82"/>
    <w:rsid w:val="005D173D"/>
    <w:rsid w:val="005D191F"/>
    <w:rsid w:val="005D1FF3"/>
    <w:rsid w:val="005D26B4"/>
    <w:rsid w:val="005D2CBA"/>
    <w:rsid w:val="005D3C90"/>
    <w:rsid w:val="005D5765"/>
    <w:rsid w:val="005D63D1"/>
    <w:rsid w:val="005D7D05"/>
    <w:rsid w:val="005D7E1A"/>
    <w:rsid w:val="005E0C4F"/>
    <w:rsid w:val="005E1F26"/>
    <w:rsid w:val="005E258E"/>
    <w:rsid w:val="005E2741"/>
    <w:rsid w:val="005E2B6C"/>
    <w:rsid w:val="005E2E5C"/>
    <w:rsid w:val="005E3397"/>
    <w:rsid w:val="005E3667"/>
    <w:rsid w:val="005E37E8"/>
    <w:rsid w:val="005E37EF"/>
    <w:rsid w:val="005E3E5D"/>
    <w:rsid w:val="005E4903"/>
    <w:rsid w:val="005E4C83"/>
    <w:rsid w:val="005E4FA5"/>
    <w:rsid w:val="005E5669"/>
    <w:rsid w:val="005E585C"/>
    <w:rsid w:val="005E5ABC"/>
    <w:rsid w:val="005E6784"/>
    <w:rsid w:val="005F0436"/>
    <w:rsid w:val="005F06C4"/>
    <w:rsid w:val="005F0E12"/>
    <w:rsid w:val="005F1625"/>
    <w:rsid w:val="005F1819"/>
    <w:rsid w:val="005F2201"/>
    <w:rsid w:val="005F2910"/>
    <w:rsid w:val="005F29BE"/>
    <w:rsid w:val="005F2CCF"/>
    <w:rsid w:val="005F3A29"/>
    <w:rsid w:val="005F437D"/>
    <w:rsid w:val="005F5063"/>
    <w:rsid w:val="005F50D3"/>
    <w:rsid w:val="005F5A8D"/>
    <w:rsid w:val="005F60DA"/>
    <w:rsid w:val="005F60DD"/>
    <w:rsid w:val="005F6B00"/>
    <w:rsid w:val="00600A71"/>
    <w:rsid w:val="00600C7C"/>
    <w:rsid w:val="00600F76"/>
    <w:rsid w:val="006013E1"/>
    <w:rsid w:val="0060164A"/>
    <w:rsid w:val="00601662"/>
    <w:rsid w:val="0060172B"/>
    <w:rsid w:val="006020EE"/>
    <w:rsid w:val="006025D7"/>
    <w:rsid w:val="00602E61"/>
    <w:rsid w:val="00603979"/>
    <w:rsid w:val="00603CB5"/>
    <w:rsid w:val="006042F4"/>
    <w:rsid w:val="0060465D"/>
    <w:rsid w:val="00606069"/>
    <w:rsid w:val="0060684C"/>
    <w:rsid w:val="00606F9A"/>
    <w:rsid w:val="00607377"/>
    <w:rsid w:val="006074E2"/>
    <w:rsid w:val="006108D5"/>
    <w:rsid w:val="00610DB8"/>
    <w:rsid w:val="0061181A"/>
    <w:rsid w:val="00611CB9"/>
    <w:rsid w:val="0061303C"/>
    <w:rsid w:val="0061359E"/>
    <w:rsid w:val="00614015"/>
    <w:rsid w:val="006141AF"/>
    <w:rsid w:val="00614448"/>
    <w:rsid w:val="00616482"/>
    <w:rsid w:val="0061728D"/>
    <w:rsid w:val="00617723"/>
    <w:rsid w:val="00617834"/>
    <w:rsid w:val="00617A2C"/>
    <w:rsid w:val="00617A88"/>
    <w:rsid w:val="00617F8E"/>
    <w:rsid w:val="00620B98"/>
    <w:rsid w:val="00622AC2"/>
    <w:rsid w:val="00622DB8"/>
    <w:rsid w:val="00622E02"/>
    <w:rsid w:val="0062335C"/>
    <w:rsid w:val="0062377C"/>
    <w:rsid w:val="006237E6"/>
    <w:rsid w:val="00623BC9"/>
    <w:rsid w:val="0062449F"/>
    <w:rsid w:val="00624A7D"/>
    <w:rsid w:val="00624CC8"/>
    <w:rsid w:val="00624F20"/>
    <w:rsid w:val="00625151"/>
    <w:rsid w:val="0062562D"/>
    <w:rsid w:val="00625AC3"/>
    <w:rsid w:val="00625D53"/>
    <w:rsid w:val="0062642C"/>
    <w:rsid w:val="0062695E"/>
    <w:rsid w:val="00627C15"/>
    <w:rsid w:val="00630B75"/>
    <w:rsid w:val="00630C54"/>
    <w:rsid w:val="00630DC9"/>
    <w:rsid w:val="00631710"/>
    <w:rsid w:val="0063222A"/>
    <w:rsid w:val="0063228C"/>
    <w:rsid w:val="00633830"/>
    <w:rsid w:val="00633BA3"/>
    <w:rsid w:val="0063430B"/>
    <w:rsid w:val="0063498F"/>
    <w:rsid w:val="00635839"/>
    <w:rsid w:val="00635D64"/>
    <w:rsid w:val="006360DD"/>
    <w:rsid w:val="00636B5A"/>
    <w:rsid w:val="00636DFC"/>
    <w:rsid w:val="006371D6"/>
    <w:rsid w:val="00637616"/>
    <w:rsid w:val="00637EAB"/>
    <w:rsid w:val="00640265"/>
    <w:rsid w:val="00640D71"/>
    <w:rsid w:val="00641123"/>
    <w:rsid w:val="0064167B"/>
    <w:rsid w:val="00642051"/>
    <w:rsid w:val="006428BB"/>
    <w:rsid w:val="00642BA7"/>
    <w:rsid w:val="00642D65"/>
    <w:rsid w:val="0064531E"/>
    <w:rsid w:val="00645671"/>
    <w:rsid w:val="00645F49"/>
    <w:rsid w:val="006463BD"/>
    <w:rsid w:val="00646AC5"/>
    <w:rsid w:val="00647EF0"/>
    <w:rsid w:val="00647F0B"/>
    <w:rsid w:val="0065045D"/>
    <w:rsid w:val="00652005"/>
    <w:rsid w:val="00653ED2"/>
    <w:rsid w:val="00654A99"/>
    <w:rsid w:val="006554D7"/>
    <w:rsid w:val="00655550"/>
    <w:rsid w:val="00655716"/>
    <w:rsid w:val="006559C9"/>
    <w:rsid w:val="006566C7"/>
    <w:rsid w:val="0065757F"/>
    <w:rsid w:val="00657778"/>
    <w:rsid w:val="0066062D"/>
    <w:rsid w:val="0066196A"/>
    <w:rsid w:val="00661C68"/>
    <w:rsid w:val="00661E94"/>
    <w:rsid w:val="00662847"/>
    <w:rsid w:val="00662FA4"/>
    <w:rsid w:val="006632ED"/>
    <w:rsid w:val="00663425"/>
    <w:rsid w:val="006636E7"/>
    <w:rsid w:val="00663CBD"/>
    <w:rsid w:val="00663CD7"/>
    <w:rsid w:val="006647D0"/>
    <w:rsid w:val="006648BF"/>
    <w:rsid w:val="00664EAA"/>
    <w:rsid w:val="00665C63"/>
    <w:rsid w:val="00665EB9"/>
    <w:rsid w:val="00666915"/>
    <w:rsid w:val="0066755C"/>
    <w:rsid w:val="00667A45"/>
    <w:rsid w:val="00667CC5"/>
    <w:rsid w:val="00670268"/>
    <w:rsid w:val="00670669"/>
    <w:rsid w:val="00672896"/>
    <w:rsid w:val="006733A1"/>
    <w:rsid w:val="00674743"/>
    <w:rsid w:val="00675A51"/>
    <w:rsid w:val="00675C07"/>
    <w:rsid w:val="006766D8"/>
    <w:rsid w:val="00676966"/>
    <w:rsid w:val="00676FA6"/>
    <w:rsid w:val="00680962"/>
    <w:rsid w:val="006809A6"/>
    <w:rsid w:val="006809D0"/>
    <w:rsid w:val="00680A45"/>
    <w:rsid w:val="00680A99"/>
    <w:rsid w:val="00680ECD"/>
    <w:rsid w:val="00680EE6"/>
    <w:rsid w:val="00680F80"/>
    <w:rsid w:val="006811FC"/>
    <w:rsid w:val="0068144B"/>
    <w:rsid w:val="006814F9"/>
    <w:rsid w:val="00681D4E"/>
    <w:rsid w:val="00681F35"/>
    <w:rsid w:val="0068306E"/>
    <w:rsid w:val="00683341"/>
    <w:rsid w:val="00683AE2"/>
    <w:rsid w:val="00683CD7"/>
    <w:rsid w:val="00683D4A"/>
    <w:rsid w:val="0068499F"/>
    <w:rsid w:val="00684AA1"/>
    <w:rsid w:val="0068509D"/>
    <w:rsid w:val="00685650"/>
    <w:rsid w:val="006863A2"/>
    <w:rsid w:val="00686850"/>
    <w:rsid w:val="006870DA"/>
    <w:rsid w:val="00687447"/>
    <w:rsid w:val="006876C9"/>
    <w:rsid w:val="006900F7"/>
    <w:rsid w:val="00691AAF"/>
    <w:rsid w:val="00691C00"/>
    <w:rsid w:val="006924BD"/>
    <w:rsid w:val="00692CF8"/>
    <w:rsid w:val="00693CAE"/>
    <w:rsid w:val="00693CC2"/>
    <w:rsid w:val="00694512"/>
    <w:rsid w:val="00695E0A"/>
    <w:rsid w:val="006962B6"/>
    <w:rsid w:val="00696A56"/>
    <w:rsid w:val="00696F67"/>
    <w:rsid w:val="006977F0"/>
    <w:rsid w:val="006A00BA"/>
    <w:rsid w:val="006A0D20"/>
    <w:rsid w:val="006A111E"/>
    <w:rsid w:val="006A15F3"/>
    <w:rsid w:val="006A1871"/>
    <w:rsid w:val="006A234C"/>
    <w:rsid w:val="006A3858"/>
    <w:rsid w:val="006A407D"/>
    <w:rsid w:val="006A4D94"/>
    <w:rsid w:val="006A4E7A"/>
    <w:rsid w:val="006A555D"/>
    <w:rsid w:val="006A5AEA"/>
    <w:rsid w:val="006A5FC5"/>
    <w:rsid w:val="006A620C"/>
    <w:rsid w:val="006A6AF5"/>
    <w:rsid w:val="006A6DF7"/>
    <w:rsid w:val="006A717B"/>
    <w:rsid w:val="006A7471"/>
    <w:rsid w:val="006A7928"/>
    <w:rsid w:val="006B0E91"/>
    <w:rsid w:val="006B112F"/>
    <w:rsid w:val="006B1645"/>
    <w:rsid w:val="006B28E5"/>
    <w:rsid w:val="006B318C"/>
    <w:rsid w:val="006B36D0"/>
    <w:rsid w:val="006B62AF"/>
    <w:rsid w:val="006B6908"/>
    <w:rsid w:val="006B7679"/>
    <w:rsid w:val="006C0E8B"/>
    <w:rsid w:val="006C1A6D"/>
    <w:rsid w:val="006C1CA1"/>
    <w:rsid w:val="006C214B"/>
    <w:rsid w:val="006C2E87"/>
    <w:rsid w:val="006C34B2"/>
    <w:rsid w:val="006C403A"/>
    <w:rsid w:val="006C5344"/>
    <w:rsid w:val="006C58E4"/>
    <w:rsid w:val="006C6235"/>
    <w:rsid w:val="006C7BDF"/>
    <w:rsid w:val="006D0455"/>
    <w:rsid w:val="006D1925"/>
    <w:rsid w:val="006D1A1E"/>
    <w:rsid w:val="006D1C05"/>
    <w:rsid w:val="006D1F56"/>
    <w:rsid w:val="006D2EF9"/>
    <w:rsid w:val="006D2FF8"/>
    <w:rsid w:val="006D3058"/>
    <w:rsid w:val="006D347F"/>
    <w:rsid w:val="006D4D3E"/>
    <w:rsid w:val="006D5359"/>
    <w:rsid w:val="006D5428"/>
    <w:rsid w:val="006D6033"/>
    <w:rsid w:val="006D71D0"/>
    <w:rsid w:val="006E09B9"/>
    <w:rsid w:val="006E0C1D"/>
    <w:rsid w:val="006E1112"/>
    <w:rsid w:val="006E1192"/>
    <w:rsid w:val="006E1976"/>
    <w:rsid w:val="006E19C8"/>
    <w:rsid w:val="006E1CF4"/>
    <w:rsid w:val="006E2B79"/>
    <w:rsid w:val="006E2FB6"/>
    <w:rsid w:val="006E44C3"/>
    <w:rsid w:val="006E54FB"/>
    <w:rsid w:val="006E5BBA"/>
    <w:rsid w:val="006E5FC0"/>
    <w:rsid w:val="006E632F"/>
    <w:rsid w:val="006E6783"/>
    <w:rsid w:val="006E6B06"/>
    <w:rsid w:val="006F048D"/>
    <w:rsid w:val="006F13F6"/>
    <w:rsid w:val="006F1F19"/>
    <w:rsid w:val="006F288E"/>
    <w:rsid w:val="006F3264"/>
    <w:rsid w:val="006F395B"/>
    <w:rsid w:val="006F39C9"/>
    <w:rsid w:val="006F4853"/>
    <w:rsid w:val="006F5205"/>
    <w:rsid w:val="006F55DE"/>
    <w:rsid w:val="006F56B6"/>
    <w:rsid w:val="006F590A"/>
    <w:rsid w:val="006F604A"/>
    <w:rsid w:val="006F6DA1"/>
    <w:rsid w:val="006F7701"/>
    <w:rsid w:val="00700409"/>
    <w:rsid w:val="007004C2"/>
    <w:rsid w:val="007005E2"/>
    <w:rsid w:val="00700A48"/>
    <w:rsid w:val="00701686"/>
    <w:rsid w:val="00701B83"/>
    <w:rsid w:val="00701FA9"/>
    <w:rsid w:val="0070333E"/>
    <w:rsid w:val="0070335E"/>
    <w:rsid w:val="007038A2"/>
    <w:rsid w:val="00703974"/>
    <w:rsid w:val="00703D06"/>
    <w:rsid w:val="00703D53"/>
    <w:rsid w:val="00704F47"/>
    <w:rsid w:val="00705170"/>
    <w:rsid w:val="00705AD0"/>
    <w:rsid w:val="00705F5C"/>
    <w:rsid w:val="00706027"/>
    <w:rsid w:val="00706386"/>
    <w:rsid w:val="0070651D"/>
    <w:rsid w:val="00706C6F"/>
    <w:rsid w:val="007117ED"/>
    <w:rsid w:val="00711B31"/>
    <w:rsid w:val="00712F64"/>
    <w:rsid w:val="0071384B"/>
    <w:rsid w:val="00714E8A"/>
    <w:rsid w:val="007150EB"/>
    <w:rsid w:val="00715243"/>
    <w:rsid w:val="00715739"/>
    <w:rsid w:val="00716145"/>
    <w:rsid w:val="00717313"/>
    <w:rsid w:val="0071786C"/>
    <w:rsid w:val="00720203"/>
    <w:rsid w:val="0072082A"/>
    <w:rsid w:val="00720C80"/>
    <w:rsid w:val="00721D93"/>
    <w:rsid w:val="00722514"/>
    <w:rsid w:val="007226CE"/>
    <w:rsid w:val="00722806"/>
    <w:rsid w:val="0072291E"/>
    <w:rsid w:val="007231B5"/>
    <w:rsid w:val="007236DD"/>
    <w:rsid w:val="0072394A"/>
    <w:rsid w:val="0072395F"/>
    <w:rsid w:val="00723A7A"/>
    <w:rsid w:val="00723B7A"/>
    <w:rsid w:val="00723BFA"/>
    <w:rsid w:val="007240AE"/>
    <w:rsid w:val="007247C0"/>
    <w:rsid w:val="00725981"/>
    <w:rsid w:val="00726186"/>
    <w:rsid w:val="00726917"/>
    <w:rsid w:val="00726A4A"/>
    <w:rsid w:val="00727765"/>
    <w:rsid w:val="00727BD0"/>
    <w:rsid w:val="007303F6"/>
    <w:rsid w:val="00730E0E"/>
    <w:rsid w:val="007317CD"/>
    <w:rsid w:val="00732873"/>
    <w:rsid w:val="00732A4B"/>
    <w:rsid w:val="007338FA"/>
    <w:rsid w:val="00733D84"/>
    <w:rsid w:val="00734BA2"/>
    <w:rsid w:val="00735653"/>
    <w:rsid w:val="00736BFF"/>
    <w:rsid w:val="00737710"/>
    <w:rsid w:val="00737732"/>
    <w:rsid w:val="0074078D"/>
    <w:rsid w:val="007411F6"/>
    <w:rsid w:val="00741511"/>
    <w:rsid w:val="00741A49"/>
    <w:rsid w:val="00741AB7"/>
    <w:rsid w:val="0074277C"/>
    <w:rsid w:val="0074280E"/>
    <w:rsid w:val="0074324D"/>
    <w:rsid w:val="007439C7"/>
    <w:rsid w:val="00744817"/>
    <w:rsid w:val="00745A70"/>
    <w:rsid w:val="007464C3"/>
    <w:rsid w:val="00746E92"/>
    <w:rsid w:val="00747959"/>
    <w:rsid w:val="0074796F"/>
    <w:rsid w:val="00747C80"/>
    <w:rsid w:val="00750679"/>
    <w:rsid w:val="00750861"/>
    <w:rsid w:val="007518AF"/>
    <w:rsid w:val="007522D9"/>
    <w:rsid w:val="00752387"/>
    <w:rsid w:val="0075247C"/>
    <w:rsid w:val="007530DA"/>
    <w:rsid w:val="007531F5"/>
    <w:rsid w:val="0075362C"/>
    <w:rsid w:val="00753CDB"/>
    <w:rsid w:val="00753D62"/>
    <w:rsid w:val="00753F9E"/>
    <w:rsid w:val="007541B0"/>
    <w:rsid w:val="00754948"/>
    <w:rsid w:val="00755D55"/>
    <w:rsid w:val="007561A3"/>
    <w:rsid w:val="00756EFC"/>
    <w:rsid w:val="00757411"/>
    <w:rsid w:val="007607C8"/>
    <w:rsid w:val="00760C0B"/>
    <w:rsid w:val="00760FB5"/>
    <w:rsid w:val="00762708"/>
    <w:rsid w:val="00762DC5"/>
    <w:rsid w:val="00763309"/>
    <w:rsid w:val="00763734"/>
    <w:rsid w:val="00763E65"/>
    <w:rsid w:val="0076446C"/>
    <w:rsid w:val="0076571E"/>
    <w:rsid w:val="007659CF"/>
    <w:rsid w:val="00766345"/>
    <w:rsid w:val="00767017"/>
    <w:rsid w:val="007670DF"/>
    <w:rsid w:val="007672C2"/>
    <w:rsid w:val="00767383"/>
    <w:rsid w:val="0077090B"/>
    <w:rsid w:val="00770978"/>
    <w:rsid w:val="00770C3B"/>
    <w:rsid w:val="0077183B"/>
    <w:rsid w:val="00771E10"/>
    <w:rsid w:val="0077286F"/>
    <w:rsid w:val="00772A3F"/>
    <w:rsid w:val="00772B40"/>
    <w:rsid w:val="00773316"/>
    <w:rsid w:val="007734BD"/>
    <w:rsid w:val="00773DE5"/>
    <w:rsid w:val="00773F1F"/>
    <w:rsid w:val="00774725"/>
    <w:rsid w:val="007747A4"/>
    <w:rsid w:val="007747B8"/>
    <w:rsid w:val="00775425"/>
    <w:rsid w:val="00775920"/>
    <w:rsid w:val="00775922"/>
    <w:rsid w:val="0077593A"/>
    <w:rsid w:val="00775A77"/>
    <w:rsid w:val="00775D6A"/>
    <w:rsid w:val="007777EF"/>
    <w:rsid w:val="007803A4"/>
    <w:rsid w:val="00780941"/>
    <w:rsid w:val="0078280F"/>
    <w:rsid w:val="00784A10"/>
    <w:rsid w:val="00785339"/>
    <w:rsid w:val="00785340"/>
    <w:rsid w:val="0078765B"/>
    <w:rsid w:val="00787F34"/>
    <w:rsid w:val="007901B2"/>
    <w:rsid w:val="00790336"/>
    <w:rsid w:val="007907C4"/>
    <w:rsid w:val="00790AEF"/>
    <w:rsid w:val="0079100D"/>
    <w:rsid w:val="00791598"/>
    <w:rsid w:val="0079183A"/>
    <w:rsid w:val="00791C1F"/>
    <w:rsid w:val="00791C7A"/>
    <w:rsid w:val="00791DF6"/>
    <w:rsid w:val="00792515"/>
    <w:rsid w:val="00792D80"/>
    <w:rsid w:val="00792D87"/>
    <w:rsid w:val="007947D0"/>
    <w:rsid w:val="00795B36"/>
    <w:rsid w:val="0079683D"/>
    <w:rsid w:val="00796FEC"/>
    <w:rsid w:val="007971B2"/>
    <w:rsid w:val="00797602"/>
    <w:rsid w:val="007A052F"/>
    <w:rsid w:val="007A11E0"/>
    <w:rsid w:val="007A1C13"/>
    <w:rsid w:val="007A306F"/>
    <w:rsid w:val="007A45C8"/>
    <w:rsid w:val="007A4901"/>
    <w:rsid w:val="007A5000"/>
    <w:rsid w:val="007A56BD"/>
    <w:rsid w:val="007A5712"/>
    <w:rsid w:val="007A5C67"/>
    <w:rsid w:val="007A649F"/>
    <w:rsid w:val="007A7E23"/>
    <w:rsid w:val="007B0408"/>
    <w:rsid w:val="007B0A42"/>
    <w:rsid w:val="007B1021"/>
    <w:rsid w:val="007B1877"/>
    <w:rsid w:val="007B1AC8"/>
    <w:rsid w:val="007B3858"/>
    <w:rsid w:val="007B4F62"/>
    <w:rsid w:val="007B52D2"/>
    <w:rsid w:val="007B54B9"/>
    <w:rsid w:val="007B5693"/>
    <w:rsid w:val="007B5F72"/>
    <w:rsid w:val="007B6852"/>
    <w:rsid w:val="007B6F0F"/>
    <w:rsid w:val="007B71EB"/>
    <w:rsid w:val="007C0F43"/>
    <w:rsid w:val="007C1376"/>
    <w:rsid w:val="007C15AA"/>
    <w:rsid w:val="007C31DF"/>
    <w:rsid w:val="007C3420"/>
    <w:rsid w:val="007C45F8"/>
    <w:rsid w:val="007C4FE4"/>
    <w:rsid w:val="007C59E8"/>
    <w:rsid w:val="007C65F6"/>
    <w:rsid w:val="007C6EFB"/>
    <w:rsid w:val="007C6F24"/>
    <w:rsid w:val="007D03CC"/>
    <w:rsid w:val="007D0755"/>
    <w:rsid w:val="007D22D7"/>
    <w:rsid w:val="007D3A54"/>
    <w:rsid w:val="007D3BB1"/>
    <w:rsid w:val="007D45BE"/>
    <w:rsid w:val="007D4847"/>
    <w:rsid w:val="007D4DA1"/>
    <w:rsid w:val="007D53A8"/>
    <w:rsid w:val="007D5450"/>
    <w:rsid w:val="007D54A6"/>
    <w:rsid w:val="007D57F6"/>
    <w:rsid w:val="007D62F0"/>
    <w:rsid w:val="007D7FD5"/>
    <w:rsid w:val="007E0633"/>
    <w:rsid w:val="007E1A32"/>
    <w:rsid w:val="007E29AB"/>
    <w:rsid w:val="007E33AA"/>
    <w:rsid w:val="007E3866"/>
    <w:rsid w:val="007E38A5"/>
    <w:rsid w:val="007E3E69"/>
    <w:rsid w:val="007E3EA2"/>
    <w:rsid w:val="007E4886"/>
    <w:rsid w:val="007E4C2C"/>
    <w:rsid w:val="007E4E4F"/>
    <w:rsid w:val="007E5043"/>
    <w:rsid w:val="007E5068"/>
    <w:rsid w:val="007E6257"/>
    <w:rsid w:val="007E6C2C"/>
    <w:rsid w:val="007E7743"/>
    <w:rsid w:val="007F01D8"/>
    <w:rsid w:val="007F05D1"/>
    <w:rsid w:val="007F093C"/>
    <w:rsid w:val="007F0A04"/>
    <w:rsid w:val="007F0DEA"/>
    <w:rsid w:val="007F0FDA"/>
    <w:rsid w:val="007F1EF7"/>
    <w:rsid w:val="007F1F6B"/>
    <w:rsid w:val="007F251D"/>
    <w:rsid w:val="007F255B"/>
    <w:rsid w:val="007F2DE7"/>
    <w:rsid w:val="007F3909"/>
    <w:rsid w:val="007F536A"/>
    <w:rsid w:val="007F66D7"/>
    <w:rsid w:val="007F6712"/>
    <w:rsid w:val="007F6B41"/>
    <w:rsid w:val="007F71FE"/>
    <w:rsid w:val="00800671"/>
    <w:rsid w:val="008006A1"/>
    <w:rsid w:val="008014AC"/>
    <w:rsid w:val="00802116"/>
    <w:rsid w:val="008022FD"/>
    <w:rsid w:val="00803807"/>
    <w:rsid w:val="00804878"/>
    <w:rsid w:val="00804CB9"/>
    <w:rsid w:val="008051DA"/>
    <w:rsid w:val="008054FA"/>
    <w:rsid w:val="008057CD"/>
    <w:rsid w:val="0080586F"/>
    <w:rsid w:val="00805877"/>
    <w:rsid w:val="00805BA7"/>
    <w:rsid w:val="00806A3E"/>
    <w:rsid w:val="0080747F"/>
    <w:rsid w:val="00807ACC"/>
    <w:rsid w:val="008109CF"/>
    <w:rsid w:val="00810DCD"/>
    <w:rsid w:val="008112A2"/>
    <w:rsid w:val="00811F8F"/>
    <w:rsid w:val="008136E1"/>
    <w:rsid w:val="00813CBA"/>
    <w:rsid w:val="00814199"/>
    <w:rsid w:val="00814A9E"/>
    <w:rsid w:val="00815170"/>
    <w:rsid w:val="008158CE"/>
    <w:rsid w:val="008174B9"/>
    <w:rsid w:val="00817EA7"/>
    <w:rsid w:val="00821712"/>
    <w:rsid w:val="00821805"/>
    <w:rsid w:val="00821938"/>
    <w:rsid w:val="00822127"/>
    <w:rsid w:val="00823A10"/>
    <w:rsid w:val="00823DF1"/>
    <w:rsid w:val="00823FB9"/>
    <w:rsid w:val="008249DC"/>
    <w:rsid w:val="0082658A"/>
    <w:rsid w:val="008274F4"/>
    <w:rsid w:val="008275EA"/>
    <w:rsid w:val="00827887"/>
    <w:rsid w:val="0083051D"/>
    <w:rsid w:val="00830566"/>
    <w:rsid w:val="00830A5D"/>
    <w:rsid w:val="00830D99"/>
    <w:rsid w:val="00831958"/>
    <w:rsid w:val="0083217D"/>
    <w:rsid w:val="00832272"/>
    <w:rsid w:val="008331C8"/>
    <w:rsid w:val="00834D1D"/>
    <w:rsid w:val="0083581C"/>
    <w:rsid w:val="00836629"/>
    <w:rsid w:val="00836CD5"/>
    <w:rsid w:val="00837870"/>
    <w:rsid w:val="0084032C"/>
    <w:rsid w:val="00840FE9"/>
    <w:rsid w:val="0084203A"/>
    <w:rsid w:val="008426F1"/>
    <w:rsid w:val="00842914"/>
    <w:rsid w:val="00842B65"/>
    <w:rsid w:val="0084363D"/>
    <w:rsid w:val="00843867"/>
    <w:rsid w:val="00843C61"/>
    <w:rsid w:val="00843F12"/>
    <w:rsid w:val="00844896"/>
    <w:rsid w:val="00844C9D"/>
    <w:rsid w:val="00845021"/>
    <w:rsid w:val="00845057"/>
    <w:rsid w:val="00845FB0"/>
    <w:rsid w:val="00851159"/>
    <w:rsid w:val="008514F0"/>
    <w:rsid w:val="00851C4F"/>
    <w:rsid w:val="0085232F"/>
    <w:rsid w:val="00853AA5"/>
    <w:rsid w:val="00854999"/>
    <w:rsid w:val="00855980"/>
    <w:rsid w:val="00855B7E"/>
    <w:rsid w:val="00855BF4"/>
    <w:rsid w:val="00856E4C"/>
    <w:rsid w:val="0085756D"/>
    <w:rsid w:val="008600CA"/>
    <w:rsid w:val="00860657"/>
    <w:rsid w:val="008606E3"/>
    <w:rsid w:val="00861203"/>
    <w:rsid w:val="00861C0B"/>
    <w:rsid w:val="00861D8C"/>
    <w:rsid w:val="008620D7"/>
    <w:rsid w:val="008620ED"/>
    <w:rsid w:val="008621B9"/>
    <w:rsid w:val="00862EA8"/>
    <w:rsid w:val="00863300"/>
    <w:rsid w:val="0086339C"/>
    <w:rsid w:val="00865276"/>
    <w:rsid w:val="008673B1"/>
    <w:rsid w:val="008675C6"/>
    <w:rsid w:val="00870068"/>
    <w:rsid w:val="00870114"/>
    <w:rsid w:val="00870595"/>
    <w:rsid w:val="008705EB"/>
    <w:rsid w:val="00870996"/>
    <w:rsid w:val="00870C9B"/>
    <w:rsid w:val="00870E80"/>
    <w:rsid w:val="00872FDC"/>
    <w:rsid w:val="00873098"/>
    <w:rsid w:val="0087467B"/>
    <w:rsid w:val="008752FF"/>
    <w:rsid w:val="00875694"/>
    <w:rsid w:val="008758A2"/>
    <w:rsid w:val="00877038"/>
    <w:rsid w:val="008777F0"/>
    <w:rsid w:val="00877E4A"/>
    <w:rsid w:val="008818E5"/>
    <w:rsid w:val="00882BA5"/>
    <w:rsid w:val="008836A7"/>
    <w:rsid w:val="008855F1"/>
    <w:rsid w:val="00885D6B"/>
    <w:rsid w:val="00886122"/>
    <w:rsid w:val="00886467"/>
    <w:rsid w:val="008864AB"/>
    <w:rsid w:val="00886E3B"/>
    <w:rsid w:val="00886F35"/>
    <w:rsid w:val="00886F8C"/>
    <w:rsid w:val="00887272"/>
    <w:rsid w:val="00887E37"/>
    <w:rsid w:val="00890A30"/>
    <w:rsid w:val="00891491"/>
    <w:rsid w:val="008917FA"/>
    <w:rsid w:val="00891F39"/>
    <w:rsid w:val="00891F48"/>
    <w:rsid w:val="00892936"/>
    <w:rsid w:val="0089299D"/>
    <w:rsid w:val="008931D1"/>
    <w:rsid w:val="00893492"/>
    <w:rsid w:val="008934EF"/>
    <w:rsid w:val="008936DD"/>
    <w:rsid w:val="008955B5"/>
    <w:rsid w:val="00895771"/>
    <w:rsid w:val="00895D9D"/>
    <w:rsid w:val="00895EEC"/>
    <w:rsid w:val="00896D2A"/>
    <w:rsid w:val="008975B2"/>
    <w:rsid w:val="008A021A"/>
    <w:rsid w:val="008A08CB"/>
    <w:rsid w:val="008A0F25"/>
    <w:rsid w:val="008A170D"/>
    <w:rsid w:val="008A1777"/>
    <w:rsid w:val="008A19F7"/>
    <w:rsid w:val="008A1F36"/>
    <w:rsid w:val="008A2BB1"/>
    <w:rsid w:val="008A2E79"/>
    <w:rsid w:val="008A2E95"/>
    <w:rsid w:val="008A31A9"/>
    <w:rsid w:val="008A3973"/>
    <w:rsid w:val="008A3AEA"/>
    <w:rsid w:val="008A3F1B"/>
    <w:rsid w:val="008A5189"/>
    <w:rsid w:val="008A51CE"/>
    <w:rsid w:val="008A58BD"/>
    <w:rsid w:val="008A6761"/>
    <w:rsid w:val="008A6CAF"/>
    <w:rsid w:val="008A7369"/>
    <w:rsid w:val="008A75A8"/>
    <w:rsid w:val="008A7B5A"/>
    <w:rsid w:val="008A7DF1"/>
    <w:rsid w:val="008B0630"/>
    <w:rsid w:val="008B0E2B"/>
    <w:rsid w:val="008B20A2"/>
    <w:rsid w:val="008B389E"/>
    <w:rsid w:val="008B3ACD"/>
    <w:rsid w:val="008B4734"/>
    <w:rsid w:val="008B567A"/>
    <w:rsid w:val="008B5B73"/>
    <w:rsid w:val="008B5F5D"/>
    <w:rsid w:val="008B6944"/>
    <w:rsid w:val="008B6DF9"/>
    <w:rsid w:val="008B6FED"/>
    <w:rsid w:val="008B738E"/>
    <w:rsid w:val="008B7FF0"/>
    <w:rsid w:val="008C06BD"/>
    <w:rsid w:val="008C08E5"/>
    <w:rsid w:val="008C0938"/>
    <w:rsid w:val="008C17C2"/>
    <w:rsid w:val="008C1946"/>
    <w:rsid w:val="008C208B"/>
    <w:rsid w:val="008C29AE"/>
    <w:rsid w:val="008C37F5"/>
    <w:rsid w:val="008C3B85"/>
    <w:rsid w:val="008C3FEC"/>
    <w:rsid w:val="008C592E"/>
    <w:rsid w:val="008C6208"/>
    <w:rsid w:val="008C6864"/>
    <w:rsid w:val="008C718B"/>
    <w:rsid w:val="008C72B6"/>
    <w:rsid w:val="008C7FC7"/>
    <w:rsid w:val="008D006D"/>
    <w:rsid w:val="008D06CA"/>
    <w:rsid w:val="008D0707"/>
    <w:rsid w:val="008D1517"/>
    <w:rsid w:val="008D17C9"/>
    <w:rsid w:val="008D18E5"/>
    <w:rsid w:val="008D1D5E"/>
    <w:rsid w:val="008D22F6"/>
    <w:rsid w:val="008D2707"/>
    <w:rsid w:val="008D2C65"/>
    <w:rsid w:val="008D3285"/>
    <w:rsid w:val="008D3BD5"/>
    <w:rsid w:val="008D3E7C"/>
    <w:rsid w:val="008D5020"/>
    <w:rsid w:val="008D6752"/>
    <w:rsid w:val="008D6C03"/>
    <w:rsid w:val="008D793F"/>
    <w:rsid w:val="008D7A74"/>
    <w:rsid w:val="008E03E8"/>
    <w:rsid w:val="008E0512"/>
    <w:rsid w:val="008E09D7"/>
    <w:rsid w:val="008E0A6D"/>
    <w:rsid w:val="008E1417"/>
    <w:rsid w:val="008E1466"/>
    <w:rsid w:val="008E1765"/>
    <w:rsid w:val="008E2B5F"/>
    <w:rsid w:val="008E2DFE"/>
    <w:rsid w:val="008E3C7C"/>
    <w:rsid w:val="008E506F"/>
    <w:rsid w:val="008E59CE"/>
    <w:rsid w:val="008E5D0C"/>
    <w:rsid w:val="008E6DAF"/>
    <w:rsid w:val="008E6EC9"/>
    <w:rsid w:val="008E7241"/>
    <w:rsid w:val="008E7320"/>
    <w:rsid w:val="008F0CB4"/>
    <w:rsid w:val="008F0E9A"/>
    <w:rsid w:val="008F13BF"/>
    <w:rsid w:val="008F152B"/>
    <w:rsid w:val="008F17D2"/>
    <w:rsid w:val="008F1C33"/>
    <w:rsid w:val="008F23BD"/>
    <w:rsid w:val="008F2587"/>
    <w:rsid w:val="008F35A9"/>
    <w:rsid w:val="008F3785"/>
    <w:rsid w:val="008F3A0C"/>
    <w:rsid w:val="008F3BBC"/>
    <w:rsid w:val="008F4A56"/>
    <w:rsid w:val="008F51B7"/>
    <w:rsid w:val="008F52AA"/>
    <w:rsid w:val="008F53C4"/>
    <w:rsid w:val="008F549C"/>
    <w:rsid w:val="008F697D"/>
    <w:rsid w:val="008F6F82"/>
    <w:rsid w:val="008F7FBB"/>
    <w:rsid w:val="00900730"/>
    <w:rsid w:val="00900A9A"/>
    <w:rsid w:val="00901266"/>
    <w:rsid w:val="00901663"/>
    <w:rsid w:val="00902A88"/>
    <w:rsid w:val="0090362C"/>
    <w:rsid w:val="00903D13"/>
    <w:rsid w:val="00903F37"/>
    <w:rsid w:val="00903FC6"/>
    <w:rsid w:val="009042A4"/>
    <w:rsid w:val="0090435E"/>
    <w:rsid w:val="00904488"/>
    <w:rsid w:val="0090456D"/>
    <w:rsid w:val="00904DD1"/>
    <w:rsid w:val="0090540D"/>
    <w:rsid w:val="0090545F"/>
    <w:rsid w:val="00906157"/>
    <w:rsid w:val="00906332"/>
    <w:rsid w:val="0090679D"/>
    <w:rsid w:val="00906B4A"/>
    <w:rsid w:val="00906C50"/>
    <w:rsid w:val="009073CF"/>
    <w:rsid w:val="009076F9"/>
    <w:rsid w:val="00907A4D"/>
    <w:rsid w:val="00907C28"/>
    <w:rsid w:val="009113DB"/>
    <w:rsid w:val="00911D40"/>
    <w:rsid w:val="0091213B"/>
    <w:rsid w:val="00912937"/>
    <w:rsid w:val="009150A0"/>
    <w:rsid w:val="0091783F"/>
    <w:rsid w:val="00922BFA"/>
    <w:rsid w:val="0092334E"/>
    <w:rsid w:val="00923B2D"/>
    <w:rsid w:val="0092699C"/>
    <w:rsid w:val="00926BD9"/>
    <w:rsid w:val="00927B38"/>
    <w:rsid w:val="00927BF1"/>
    <w:rsid w:val="009300E6"/>
    <w:rsid w:val="00930969"/>
    <w:rsid w:val="009318C5"/>
    <w:rsid w:val="00931C47"/>
    <w:rsid w:val="00932325"/>
    <w:rsid w:val="00932353"/>
    <w:rsid w:val="009329A9"/>
    <w:rsid w:val="00932A7E"/>
    <w:rsid w:val="00933E78"/>
    <w:rsid w:val="00934993"/>
    <w:rsid w:val="00934AB4"/>
    <w:rsid w:val="009355A0"/>
    <w:rsid w:val="009358C3"/>
    <w:rsid w:val="00935946"/>
    <w:rsid w:val="009410D1"/>
    <w:rsid w:val="00941604"/>
    <w:rsid w:val="00941C62"/>
    <w:rsid w:val="00942995"/>
    <w:rsid w:val="00942E6C"/>
    <w:rsid w:val="009434BA"/>
    <w:rsid w:val="00943B87"/>
    <w:rsid w:val="00943C3D"/>
    <w:rsid w:val="00943E26"/>
    <w:rsid w:val="00943E9D"/>
    <w:rsid w:val="00944512"/>
    <w:rsid w:val="00944886"/>
    <w:rsid w:val="00944C0A"/>
    <w:rsid w:val="0094503A"/>
    <w:rsid w:val="009452F7"/>
    <w:rsid w:val="0094570F"/>
    <w:rsid w:val="00945C8E"/>
    <w:rsid w:val="0094662B"/>
    <w:rsid w:val="00947286"/>
    <w:rsid w:val="00947B74"/>
    <w:rsid w:val="00947F90"/>
    <w:rsid w:val="009508AE"/>
    <w:rsid w:val="00950BE3"/>
    <w:rsid w:val="00950ED2"/>
    <w:rsid w:val="00951646"/>
    <w:rsid w:val="00951F7F"/>
    <w:rsid w:val="009526D3"/>
    <w:rsid w:val="00952B0A"/>
    <w:rsid w:val="00953BF2"/>
    <w:rsid w:val="00954058"/>
    <w:rsid w:val="00954ED1"/>
    <w:rsid w:val="00954F43"/>
    <w:rsid w:val="009551F5"/>
    <w:rsid w:val="0095585C"/>
    <w:rsid w:val="00955BFE"/>
    <w:rsid w:val="00956472"/>
    <w:rsid w:val="00956910"/>
    <w:rsid w:val="00957529"/>
    <w:rsid w:val="009578C4"/>
    <w:rsid w:val="00957C59"/>
    <w:rsid w:val="00960427"/>
    <w:rsid w:val="009612BF"/>
    <w:rsid w:val="0096235D"/>
    <w:rsid w:val="00964281"/>
    <w:rsid w:val="0096497D"/>
    <w:rsid w:val="00964BDD"/>
    <w:rsid w:val="00964F59"/>
    <w:rsid w:val="00965334"/>
    <w:rsid w:val="00965382"/>
    <w:rsid w:val="009654A3"/>
    <w:rsid w:val="00965E8D"/>
    <w:rsid w:val="0096669F"/>
    <w:rsid w:val="009666C0"/>
    <w:rsid w:val="00966726"/>
    <w:rsid w:val="00966E53"/>
    <w:rsid w:val="00967345"/>
    <w:rsid w:val="00967446"/>
    <w:rsid w:val="009700CA"/>
    <w:rsid w:val="0097087A"/>
    <w:rsid w:val="00970ACC"/>
    <w:rsid w:val="00970B8F"/>
    <w:rsid w:val="00970D1E"/>
    <w:rsid w:val="00972064"/>
    <w:rsid w:val="0097363F"/>
    <w:rsid w:val="00973FD3"/>
    <w:rsid w:val="00974A42"/>
    <w:rsid w:val="00975317"/>
    <w:rsid w:val="00975F3D"/>
    <w:rsid w:val="009760C9"/>
    <w:rsid w:val="009773FD"/>
    <w:rsid w:val="0098065D"/>
    <w:rsid w:val="00980B21"/>
    <w:rsid w:val="009816BA"/>
    <w:rsid w:val="00981E8E"/>
    <w:rsid w:val="0098235E"/>
    <w:rsid w:val="009827AB"/>
    <w:rsid w:val="00983DBB"/>
    <w:rsid w:val="00983FD4"/>
    <w:rsid w:val="00984122"/>
    <w:rsid w:val="0098566F"/>
    <w:rsid w:val="009862F3"/>
    <w:rsid w:val="00990009"/>
    <w:rsid w:val="00991245"/>
    <w:rsid w:val="0099153E"/>
    <w:rsid w:val="00991778"/>
    <w:rsid w:val="0099210D"/>
    <w:rsid w:val="0099225C"/>
    <w:rsid w:val="00992535"/>
    <w:rsid w:val="009927A7"/>
    <w:rsid w:val="009932E5"/>
    <w:rsid w:val="009938F9"/>
    <w:rsid w:val="0099423E"/>
    <w:rsid w:val="00995B19"/>
    <w:rsid w:val="00995BC8"/>
    <w:rsid w:val="009975EA"/>
    <w:rsid w:val="00997B1A"/>
    <w:rsid w:val="009A01E7"/>
    <w:rsid w:val="009A027D"/>
    <w:rsid w:val="009A3376"/>
    <w:rsid w:val="009A34E3"/>
    <w:rsid w:val="009A3707"/>
    <w:rsid w:val="009A376D"/>
    <w:rsid w:val="009A4F61"/>
    <w:rsid w:val="009A634B"/>
    <w:rsid w:val="009A77F5"/>
    <w:rsid w:val="009B0578"/>
    <w:rsid w:val="009B0671"/>
    <w:rsid w:val="009B09BA"/>
    <w:rsid w:val="009B1973"/>
    <w:rsid w:val="009B1F21"/>
    <w:rsid w:val="009B21FB"/>
    <w:rsid w:val="009B2930"/>
    <w:rsid w:val="009B2CDC"/>
    <w:rsid w:val="009B2E60"/>
    <w:rsid w:val="009B3197"/>
    <w:rsid w:val="009B4340"/>
    <w:rsid w:val="009B469E"/>
    <w:rsid w:val="009B4EDE"/>
    <w:rsid w:val="009B508C"/>
    <w:rsid w:val="009B6A8B"/>
    <w:rsid w:val="009B7254"/>
    <w:rsid w:val="009C0618"/>
    <w:rsid w:val="009C0A09"/>
    <w:rsid w:val="009C1414"/>
    <w:rsid w:val="009C163D"/>
    <w:rsid w:val="009C1D91"/>
    <w:rsid w:val="009C1FAB"/>
    <w:rsid w:val="009C250F"/>
    <w:rsid w:val="009C29B3"/>
    <w:rsid w:val="009C353E"/>
    <w:rsid w:val="009C3893"/>
    <w:rsid w:val="009C3C73"/>
    <w:rsid w:val="009C400D"/>
    <w:rsid w:val="009C4841"/>
    <w:rsid w:val="009C4866"/>
    <w:rsid w:val="009C4D25"/>
    <w:rsid w:val="009C5626"/>
    <w:rsid w:val="009C5D22"/>
    <w:rsid w:val="009C5EEB"/>
    <w:rsid w:val="009C6A64"/>
    <w:rsid w:val="009C7957"/>
    <w:rsid w:val="009C7D95"/>
    <w:rsid w:val="009D0610"/>
    <w:rsid w:val="009D0988"/>
    <w:rsid w:val="009D0FB3"/>
    <w:rsid w:val="009D2708"/>
    <w:rsid w:val="009D2776"/>
    <w:rsid w:val="009D3184"/>
    <w:rsid w:val="009D35C0"/>
    <w:rsid w:val="009D3861"/>
    <w:rsid w:val="009D3916"/>
    <w:rsid w:val="009D7AAD"/>
    <w:rsid w:val="009E1F76"/>
    <w:rsid w:val="009E2323"/>
    <w:rsid w:val="009E2C8B"/>
    <w:rsid w:val="009E31EC"/>
    <w:rsid w:val="009E36F9"/>
    <w:rsid w:val="009E374F"/>
    <w:rsid w:val="009E3E2D"/>
    <w:rsid w:val="009E4CC0"/>
    <w:rsid w:val="009E4F3F"/>
    <w:rsid w:val="009E5539"/>
    <w:rsid w:val="009E5AE1"/>
    <w:rsid w:val="009E5C03"/>
    <w:rsid w:val="009E62CB"/>
    <w:rsid w:val="009E76A2"/>
    <w:rsid w:val="009E7C06"/>
    <w:rsid w:val="009F0415"/>
    <w:rsid w:val="009F097D"/>
    <w:rsid w:val="009F12FA"/>
    <w:rsid w:val="009F1B08"/>
    <w:rsid w:val="009F23D1"/>
    <w:rsid w:val="009F2892"/>
    <w:rsid w:val="009F2AB5"/>
    <w:rsid w:val="009F3382"/>
    <w:rsid w:val="009F3518"/>
    <w:rsid w:val="009F4B2D"/>
    <w:rsid w:val="009F56C4"/>
    <w:rsid w:val="009F5C9B"/>
    <w:rsid w:val="009F5E66"/>
    <w:rsid w:val="009F6298"/>
    <w:rsid w:val="009F644B"/>
    <w:rsid w:val="009F687E"/>
    <w:rsid w:val="009F6975"/>
    <w:rsid w:val="009F7B7F"/>
    <w:rsid w:val="009F7DC1"/>
    <w:rsid w:val="009F7E9F"/>
    <w:rsid w:val="00A001FD"/>
    <w:rsid w:val="00A006F9"/>
    <w:rsid w:val="00A020C7"/>
    <w:rsid w:val="00A02947"/>
    <w:rsid w:val="00A03146"/>
    <w:rsid w:val="00A0317A"/>
    <w:rsid w:val="00A033AC"/>
    <w:rsid w:val="00A03468"/>
    <w:rsid w:val="00A04DDF"/>
    <w:rsid w:val="00A04E91"/>
    <w:rsid w:val="00A04FF0"/>
    <w:rsid w:val="00A050D4"/>
    <w:rsid w:val="00A050EF"/>
    <w:rsid w:val="00A06651"/>
    <w:rsid w:val="00A07640"/>
    <w:rsid w:val="00A07E37"/>
    <w:rsid w:val="00A10231"/>
    <w:rsid w:val="00A10E85"/>
    <w:rsid w:val="00A12696"/>
    <w:rsid w:val="00A12EC2"/>
    <w:rsid w:val="00A14ABE"/>
    <w:rsid w:val="00A14FCA"/>
    <w:rsid w:val="00A15435"/>
    <w:rsid w:val="00A158BB"/>
    <w:rsid w:val="00A15E13"/>
    <w:rsid w:val="00A16252"/>
    <w:rsid w:val="00A163FA"/>
    <w:rsid w:val="00A16DC2"/>
    <w:rsid w:val="00A17A22"/>
    <w:rsid w:val="00A17ED3"/>
    <w:rsid w:val="00A226F6"/>
    <w:rsid w:val="00A22AB1"/>
    <w:rsid w:val="00A22B21"/>
    <w:rsid w:val="00A22D61"/>
    <w:rsid w:val="00A23441"/>
    <w:rsid w:val="00A241E5"/>
    <w:rsid w:val="00A24260"/>
    <w:rsid w:val="00A255C7"/>
    <w:rsid w:val="00A266D8"/>
    <w:rsid w:val="00A27497"/>
    <w:rsid w:val="00A2784B"/>
    <w:rsid w:val="00A32196"/>
    <w:rsid w:val="00A32892"/>
    <w:rsid w:val="00A32A55"/>
    <w:rsid w:val="00A32D10"/>
    <w:rsid w:val="00A330A2"/>
    <w:rsid w:val="00A33469"/>
    <w:rsid w:val="00A335E7"/>
    <w:rsid w:val="00A337AA"/>
    <w:rsid w:val="00A34BC3"/>
    <w:rsid w:val="00A34FEF"/>
    <w:rsid w:val="00A358CB"/>
    <w:rsid w:val="00A37776"/>
    <w:rsid w:val="00A379BB"/>
    <w:rsid w:val="00A413D5"/>
    <w:rsid w:val="00A426A3"/>
    <w:rsid w:val="00A427C6"/>
    <w:rsid w:val="00A435D4"/>
    <w:rsid w:val="00A44A0B"/>
    <w:rsid w:val="00A44CBD"/>
    <w:rsid w:val="00A45458"/>
    <w:rsid w:val="00A46C5C"/>
    <w:rsid w:val="00A46F0C"/>
    <w:rsid w:val="00A46F9A"/>
    <w:rsid w:val="00A47F7C"/>
    <w:rsid w:val="00A50752"/>
    <w:rsid w:val="00A5133D"/>
    <w:rsid w:val="00A51DBF"/>
    <w:rsid w:val="00A51EF6"/>
    <w:rsid w:val="00A52144"/>
    <w:rsid w:val="00A5227A"/>
    <w:rsid w:val="00A524A3"/>
    <w:rsid w:val="00A53381"/>
    <w:rsid w:val="00A53677"/>
    <w:rsid w:val="00A53871"/>
    <w:rsid w:val="00A53CB8"/>
    <w:rsid w:val="00A5521C"/>
    <w:rsid w:val="00A55318"/>
    <w:rsid w:val="00A56686"/>
    <w:rsid w:val="00A571AC"/>
    <w:rsid w:val="00A578B9"/>
    <w:rsid w:val="00A57E91"/>
    <w:rsid w:val="00A604A5"/>
    <w:rsid w:val="00A61752"/>
    <w:rsid w:val="00A61A7D"/>
    <w:rsid w:val="00A632CA"/>
    <w:rsid w:val="00A6353F"/>
    <w:rsid w:val="00A63979"/>
    <w:rsid w:val="00A63FCA"/>
    <w:rsid w:val="00A64553"/>
    <w:rsid w:val="00A64736"/>
    <w:rsid w:val="00A657CB"/>
    <w:rsid w:val="00A65866"/>
    <w:rsid w:val="00A65B1C"/>
    <w:rsid w:val="00A65EB5"/>
    <w:rsid w:val="00A66DBF"/>
    <w:rsid w:val="00A70381"/>
    <w:rsid w:val="00A70675"/>
    <w:rsid w:val="00A71C23"/>
    <w:rsid w:val="00A71C79"/>
    <w:rsid w:val="00A71D05"/>
    <w:rsid w:val="00A72676"/>
    <w:rsid w:val="00A73195"/>
    <w:rsid w:val="00A731EE"/>
    <w:rsid w:val="00A736E1"/>
    <w:rsid w:val="00A73739"/>
    <w:rsid w:val="00A73C98"/>
    <w:rsid w:val="00A741FC"/>
    <w:rsid w:val="00A743D2"/>
    <w:rsid w:val="00A75071"/>
    <w:rsid w:val="00A75084"/>
    <w:rsid w:val="00A7544B"/>
    <w:rsid w:val="00A75631"/>
    <w:rsid w:val="00A759D8"/>
    <w:rsid w:val="00A76B9B"/>
    <w:rsid w:val="00A82011"/>
    <w:rsid w:val="00A82A76"/>
    <w:rsid w:val="00A830AE"/>
    <w:rsid w:val="00A83A4C"/>
    <w:rsid w:val="00A83C7B"/>
    <w:rsid w:val="00A84246"/>
    <w:rsid w:val="00A84336"/>
    <w:rsid w:val="00A8463C"/>
    <w:rsid w:val="00A84848"/>
    <w:rsid w:val="00A8547F"/>
    <w:rsid w:val="00A8652F"/>
    <w:rsid w:val="00A8674E"/>
    <w:rsid w:val="00A86BE4"/>
    <w:rsid w:val="00A902DB"/>
    <w:rsid w:val="00A902DC"/>
    <w:rsid w:val="00A9057B"/>
    <w:rsid w:val="00A91033"/>
    <w:rsid w:val="00A91CE1"/>
    <w:rsid w:val="00A92096"/>
    <w:rsid w:val="00A9225C"/>
    <w:rsid w:val="00A93A2B"/>
    <w:rsid w:val="00A94A54"/>
    <w:rsid w:val="00A9706F"/>
    <w:rsid w:val="00A97BE8"/>
    <w:rsid w:val="00AA0018"/>
    <w:rsid w:val="00AA179F"/>
    <w:rsid w:val="00AA37CF"/>
    <w:rsid w:val="00AA4174"/>
    <w:rsid w:val="00AA4779"/>
    <w:rsid w:val="00AA4BFA"/>
    <w:rsid w:val="00AA5052"/>
    <w:rsid w:val="00AA5EB2"/>
    <w:rsid w:val="00AA626C"/>
    <w:rsid w:val="00AA7A26"/>
    <w:rsid w:val="00AA7C33"/>
    <w:rsid w:val="00AB065F"/>
    <w:rsid w:val="00AB0D7F"/>
    <w:rsid w:val="00AB132D"/>
    <w:rsid w:val="00AB2080"/>
    <w:rsid w:val="00AB24AB"/>
    <w:rsid w:val="00AB28FD"/>
    <w:rsid w:val="00AB2B15"/>
    <w:rsid w:val="00AB3127"/>
    <w:rsid w:val="00AB3924"/>
    <w:rsid w:val="00AB3D61"/>
    <w:rsid w:val="00AB408C"/>
    <w:rsid w:val="00AB471D"/>
    <w:rsid w:val="00AB4752"/>
    <w:rsid w:val="00AB48E4"/>
    <w:rsid w:val="00AB4BBC"/>
    <w:rsid w:val="00AB4D23"/>
    <w:rsid w:val="00AB5A69"/>
    <w:rsid w:val="00AB6035"/>
    <w:rsid w:val="00AB794C"/>
    <w:rsid w:val="00AC054B"/>
    <w:rsid w:val="00AC0A9C"/>
    <w:rsid w:val="00AC1AA0"/>
    <w:rsid w:val="00AC287F"/>
    <w:rsid w:val="00AC2AF4"/>
    <w:rsid w:val="00AC31D1"/>
    <w:rsid w:val="00AC3AFD"/>
    <w:rsid w:val="00AC3E45"/>
    <w:rsid w:val="00AC4381"/>
    <w:rsid w:val="00AC450B"/>
    <w:rsid w:val="00AC51A4"/>
    <w:rsid w:val="00AC5248"/>
    <w:rsid w:val="00AC5630"/>
    <w:rsid w:val="00AC5CFC"/>
    <w:rsid w:val="00AC62AC"/>
    <w:rsid w:val="00AC6763"/>
    <w:rsid w:val="00AC70DB"/>
    <w:rsid w:val="00AC7638"/>
    <w:rsid w:val="00AC7CBE"/>
    <w:rsid w:val="00AD07F6"/>
    <w:rsid w:val="00AD0CA6"/>
    <w:rsid w:val="00AD1034"/>
    <w:rsid w:val="00AD1764"/>
    <w:rsid w:val="00AD17A0"/>
    <w:rsid w:val="00AD2A1F"/>
    <w:rsid w:val="00AD2A7A"/>
    <w:rsid w:val="00AD30B7"/>
    <w:rsid w:val="00AD337B"/>
    <w:rsid w:val="00AD3999"/>
    <w:rsid w:val="00AD4E0F"/>
    <w:rsid w:val="00AD5371"/>
    <w:rsid w:val="00AD5DE1"/>
    <w:rsid w:val="00AD6AB6"/>
    <w:rsid w:val="00AD6CA4"/>
    <w:rsid w:val="00AD7238"/>
    <w:rsid w:val="00AD7560"/>
    <w:rsid w:val="00AD7AE3"/>
    <w:rsid w:val="00AE092E"/>
    <w:rsid w:val="00AE129F"/>
    <w:rsid w:val="00AE1940"/>
    <w:rsid w:val="00AE3209"/>
    <w:rsid w:val="00AE32DD"/>
    <w:rsid w:val="00AE3C10"/>
    <w:rsid w:val="00AE4BD6"/>
    <w:rsid w:val="00AE4CDC"/>
    <w:rsid w:val="00AE5351"/>
    <w:rsid w:val="00AE759B"/>
    <w:rsid w:val="00AE76BD"/>
    <w:rsid w:val="00AE79D7"/>
    <w:rsid w:val="00AE7FC0"/>
    <w:rsid w:val="00AF129B"/>
    <w:rsid w:val="00AF28A6"/>
    <w:rsid w:val="00AF340E"/>
    <w:rsid w:val="00AF365C"/>
    <w:rsid w:val="00AF375D"/>
    <w:rsid w:val="00AF3F96"/>
    <w:rsid w:val="00AF4717"/>
    <w:rsid w:val="00AF5963"/>
    <w:rsid w:val="00AF69AC"/>
    <w:rsid w:val="00AF69EF"/>
    <w:rsid w:val="00AF6B51"/>
    <w:rsid w:val="00AF6D25"/>
    <w:rsid w:val="00AF73FB"/>
    <w:rsid w:val="00AF76C2"/>
    <w:rsid w:val="00AF7C3E"/>
    <w:rsid w:val="00B0037A"/>
    <w:rsid w:val="00B0047F"/>
    <w:rsid w:val="00B00685"/>
    <w:rsid w:val="00B010C0"/>
    <w:rsid w:val="00B026A4"/>
    <w:rsid w:val="00B0288D"/>
    <w:rsid w:val="00B02F0F"/>
    <w:rsid w:val="00B03129"/>
    <w:rsid w:val="00B0330F"/>
    <w:rsid w:val="00B04330"/>
    <w:rsid w:val="00B046A4"/>
    <w:rsid w:val="00B0532E"/>
    <w:rsid w:val="00B06224"/>
    <w:rsid w:val="00B06746"/>
    <w:rsid w:val="00B076AB"/>
    <w:rsid w:val="00B078A0"/>
    <w:rsid w:val="00B07FEF"/>
    <w:rsid w:val="00B10058"/>
    <w:rsid w:val="00B105E9"/>
    <w:rsid w:val="00B1086C"/>
    <w:rsid w:val="00B10E43"/>
    <w:rsid w:val="00B11C31"/>
    <w:rsid w:val="00B130A2"/>
    <w:rsid w:val="00B13608"/>
    <w:rsid w:val="00B13643"/>
    <w:rsid w:val="00B13840"/>
    <w:rsid w:val="00B13A47"/>
    <w:rsid w:val="00B1518F"/>
    <w:rsid w:val="00B15249"/>
    <w:rsid w:val="00B1599E"/>
    <w:rsid w:val="00B159E9"/>
    <w:rsid w:val="00B15AD8"/>
    <w:rsid w:val="00B1670C"/>
    <w:rsid w:val="00B16C78"/>
    <w:rsid w:val="00B16CB5"/>
    <w:rsid w:val="00B16E04"/>
    <w:rsid w:val="00B1777D"/>
    <w:rsid w:val="00B2057B"/>
    <w:rsid w:val="00B207D6"/>
    <w:rsid w:val="00B21774"/>
    <w:rsid w:val="00B22E8B"/>
    <w:rsid w:val="00B22EF0"/>
    <w:rsid w:val="00B22FB9"/>
    <w:rsid w:val="00B23FF0"/>
    <w:rsid w:val="00B2498C"/>
    <w:rsid w:val="00B24C81"/>
    <w:rsid w:val="00B24D24"/>
    <w:rsid w:val="00B24F25"/>
    <w:rsid w:val="00B252F4"/>
    <w:rsid w:val="00B25BAB"/>
    <w:rsid w:val="00B25ECF"/>
    <w:rsid w:val="00B2602D"/>
    <w:rsid w:val="00B263F2"/>
    <w:rsid w:val="00B26D8A"/>
    <w:rsid w:val="00B26ECA"/>
    <w:rsid w:val="00B2777D"/>
    <w:rsid w:val="00B27F46"/>
    <w:rsid w:val="00B30842"/>
    <w:rsid w:val="00B30F5E"/>
    <w:rsid w:val="00B321E4"/>
    <w:rsid w:val="00B32433"/>
    <w:rsid w:val="00B324FB"/>
    <w:rsid w:val="00B32C07"/>
    <w:rsid w:val="00B33204"/>
    <w:rsid w:val="00B336C3"/>
    <w:rsid w:val="00B35C64"/>
    <w:rsid w:val="00B35EA9"/>
    <w:rsid w:val="00B364A9"/>
    <w:rsid w:val="00B36681"/>
    <w:rsid w:val="00B36F8B"/>
    <w:rsid w:val="00B37733"/>
    <w:rsid w:val="00B4095D"/>
    <w:rsid w:val="00B40E2D"/>
    <w:rsid w:val="00B4186F"/>
    <w:rsid w:val="00B41E65"/>
    <w:rsid w:val="00B42305"/>
    <w:rsid w:val="00B42A0C"/>
    <w:rsid w:val="00B42D58"/>
    <w:rsid w:val="00B43AC7"/>
    <w:rsid w:val="00B43CE5"/>
    <w:rsid w:val="00B44255"/>
    <w:rsid w:val="00B44404"/>
    <w:rsid w:val="00B44C3D"/>
    <w:rsid w:val="00B44D05"/>
    <w:rsid w:val="00B4505B"/>
    <w:rsid w:val="00B45643"/>
    <w:rsid w:val="00B45AC3"/>
    <w:rsid w:val="00B45E0A"/>
    <w:rsid w:val="00B46171"/>
    <w:rsid w:val="00B46708"/>
    <w:rsid w:val="00B47A03"/>
    <w:rsid w:val="00B508FC"/>
    <w:rsid w:val="00B51104"/>
    <w:rsid w:val="00B51206"/>
    <w:rsid w:val="00B514C2"/>
    <w:rsid w:val="00B5186E"/>
    <w:rsid w:val="00B51920"/>
    <w:rsid w:val="00B51D43"/>
    <w:rsid w:val="00B5264C"/>
    <w:rsid w:val="00B5283F"/>
    <w:rsid w:val="00B53387"/>
    <w:rsid w:val="00B53950"/>
    <w:rsid w:val="00B53AFF"/>
    <w:rsid w:val="00B54810"/>
    <w:rsid w:val="00B54EE7"/>
    <w:rsid w:val="00B55A69"/>
    <w:rsid w:val="00B55C7B"/>
    <w:rsid w:val="00B55CDF"/>
    <w:rsid w:val="00B55F4A"/>
    <w:rsid w:val="00B577A0"/>
    <w:rsid w:val="00B57816"/>
    <w:rsid w:val="00B57E8A"/>
    <w:rsid w:val="00B603AF"/>
    <w:rsid w:val="00B60BF6"/>
    <w:rsid w:val="00B625E1"/>
    <w:rsid w:val="00B62675"/>
    <w:rsid w:val="00B63821"/>
    <w:rsid w:val="00B63D1D"/>
    <w:rsid w:val="00B6445E"/>
    <w:rsid w:val="00B64B20"/>
    <w:rsid w:val="00B65121"/>
    <w:rsid w:val="00B66373"/>
    <w:rsid w:val="00B668FE"/>
    <w:rsid w:val="00B67097"/>
    <w:rsid w:val="00B6798B"/>
    <w:rsid w:val="00B7036F"/>
    <w:rsid w:val="00B70760"/>
    <w:rsid w:val="00B717A7"/>
    <w:rsid w:val="00B71AFE"/>
    <w:rsid w:val="00B7210B"/>
    <w:rsid w:val="00B7291E"/>
    <w:rsid w:val="00B72A77"/>
    <w:rsid w:val="00B73F7D"/>
    <w:rsid w:val="00B747E3"/>
    <w:rsid w:val="00B74918"/>
    <w:rsid w:val="00B7519A"/>
    <w:rsid w:val="00B757F2"/>
    <w:rsid w:val="00B75963"/>
    <w:rsid w:val="00B768D5"/>
    <w:rsid w:val="00B8076F"/>
    <w:rsid w:val="00B80A88"/>
    <w:rsid w:val="00B80EC0"/>
    <w:rsid w:val="00B815F2"/>
    <w:rsid w:val="00B816C6"/>
    <w:rsid w:val="00B823D9"/>
    <w:rsid w:val="00B8283E"/>
    <w:rsid w:val="00B84DB9"/>
    <w:rsid w:val="00B85DB1"/>
    <w:rsid w:val="00B872AE"/>
    <w:rsid w:val="00B90C19"/>
    <w:rsid w:val="00B91149"/>
    <w:rsid w:val="00B9125F"/>
    <w:rsid w:val="00B919DA"/>
    <w:rsid w:val="00B922A2"/>
    <w:rsid w:val="00B93722"/>
    <w:rsid w:val="00B93917"/>
    <w:rsid w:val="00B93E15"/>
    <w:rsid w:val="00B93E7B"/>
    <w:rsid w:val="00B94022"/>
    <w:rsid w:val="00B943F8"/>
    <w:rsid w:val="00B9496C"/>
    <w:rsid w:val="00B94F01"/>
    <w:rsid w:val="00B956AF"/>
    <w:rsid w:val="00B95BFD"/>
    <w:rsid w:val="00BA26A9"/>
    <w:rsid w:val="00BA27EC"/>
    <w:rsid w:val="00BA2D4D"/>
    <w:rsid w:val="00BA35BF"/>
    <w:rsid w:val="00BA37D7"/>
    <w:rsid w:val="00BA4B24"/>
    <w:rsid w:val="00BA4CD8"/>
    <w:rsid w:val="00BA4D29"/>
    <w:rsid w:val="00BA4D97"/>
    <w:rsid w:val="00BA56B6"/>
    <w:rsid w:val="00BA5707"/>
    <w:rsid w:val="00BA59C4"/>
    <w:rsid w:val="00BA5AE8"/>
    <w:rsid w:val="00BA5FAC"/>
    <w:rsid w:val="00BB021E"/>
    <w:rsid w:val="00BB0707"/>
    <w:rsid w:val="00BB16C6"/>
    <w:rsid w:val="00BB1A08"/>
    <w:rsid w:val="00BB1D36"/>
    <w:rsid w:val="00BB251B"/>
    <w:rsid w:val="00BB2AD9"/>
    <w:rsid w:val="00BB2DA1"/>
    <w:rsid w:val="00BB33EC"/>
    <w:rsid w:val="00BB3859"/>
    <w:rsid w:val="00BB411D"/>
    <w:rsid w:val="00BB4E91"/>
    <w:rsid w:val="00BB5A44"/>
    <w:rsid w:val="00BB6850"/>
    <w:rsid w:val="00BB6C60"/>
    <w:rsid w:val="00BB6D16"/>
    <w:rsid w:val="00BB7CCC"/>
    <w:rsid w:val="00BC037A"/>
    <w:rsid w:val="00BC0B1C"/>
    <w:rsid w:val="00BC0C4B"/>
    <w:rsid w:val="00BC0E66"/>
    <w:rsid w:val="00BC0EB4"/>
    <w:rsid w:val="00BC0FDC"/>
    <w:rsid w:val="00BC1835"/>
    <w:rsid w:val="00BC2497"/>
    <w:rsid w:val="00BC280A"/>
    <w:rsid w:val="00BC2CCD"/>
    <w:rsid w:val="00BC407E"/>
    <w:rsid w:val="00BC44D2"/>
    <w:rsid w:val="00BC44F0"/>
    <w:rsid w:val="00BC4DCA"/>
    <w:rsid w:val="00BC4FDB"/>
    <w:rsid w:val="00BC6856"/>
    <w:rsid w:val="00BC7147"/>
    <w:rsid w:val="00BD0473"/>
    <w:rsid w:val="00BD12F6"/>
    <w:rsid w:val="00BD1A2A"/>
    <w:rsid w:val="00BD1F89"/>
    <w:rsid w:val="00BD2089"/>
    <w:rsid w:val="00BD2149"/>
    <w:rsid w:val="00BD2832"/>
    <w:rsid w:val="00BD2893"/>
    <w:rsid w:val="00BD32D9"/>
    <w:rsid w:val="00BD3F32"/>
    <w:rsid w:val="00BD4069"/>
    <w:rsid w:val="00BD5C6E"/>
    <w:rsid w:val="00BD633B"/>
    <w:rsid w:val="00BD66D2"/>
    <w:rsid w:val="00BD6C0A"/>
    <w:rsid w:val="00BD6F30"/>
    <w:rsid w:val="00BE01A0"/>
    <w:rsid w:val="00BE0890"/>
    <w:rsid w:val="00BE0DFB"/>
    <w:rsid w:val="00BE0FB9"/>
    <w:rsid w:val="00BE139D"/>
    <w:rsid w:val="00BE28F6"/>
    <w:rsid w:val="00BE362B"/>
    <w:rsid w:val="00BE42E0"/>
    <w:rsid w:val="00BE45B7"/>
    <w:rsid w:val="00BE46B7"/>
    <w:rsid w:val="00BE4C07"/>
    <w:rsid w:val="00BE4DF6"/>
    <w:rsid w:val="00BE5706"/>
    <w:rsid w:val="00BE6E39"/>
    <w:rsid w:val="00BE6F36"/>
    <w:rsid w:val="00BE77C5"/>
    <w:rsid w:val="00BE790B"/>
    <w:rsid w:val="00BF000E"/>
    <w:rsid w:val="00BF08BD"/>
    <w:rsid w:val="00BF0B0E"/>
    <w:rsid w:val="00BF1099"/>
    <w:rsid w:val="00BF1390"/>
    <w:rsid w:val="00BF1627"/>
    <w:rsid w:val="00BF175E"/>
    <w:rsid w:val="00BF1884"/>
    <w:rsid w:val="00BF29A4"/>
    <w:rsid w:val="00BF339D"/>
    <w:rsid w:val="00BF35A3"/>
    <w:rsid w:val="00BF4920"/>
    <w:rsid w:val="00BF52A8"/>
    <w:rsid w:val="00BF532C"/>
    <w:rsid w:val="00BF5806"/>
    <w:rsid w:val="00BF6447"/>
    <w:rsid w:val="00BF77AE"/>
    <w:rsid w:val="00BF7AE6"/>
    <w:rsid w:val="00C00382"/>
    <w:rsid w:val="00C00467"/>
    <w:rsid w:val="00C01441"/>
    <w:rsid w:val="00C01CD5"/>
    <w:rsid w:val="00C02308"/>
    <w:rsid w:val="00C02660"/>
    <w:rsid w:val="00C03085"/>
    <w:rsid w:val="00C032F9"/>
    <w:rsid w:val="00C04B97"/>
    <w:rsid w:val="00C058FA"/>
    <w:rsid w:val="00C05C5B"/>
    <w:rsid w:val="00C06208"/>
    <w:rsid w:val="00C06432"/>
    <w:rsid w:val="00C067FC"/>
    <w:rsid w:val="00C06AFB"/>
    <w:rsid w:val="00C07C0B"/>
    <w:rsid w:val="00C10595"/>
    <w:rsid w:val="00C11378"/>
    <w:rsid w:val="00C11E7B"/>
    <w:rsid w:val="00C12137"/>
    <w:rsid w:val="00C1363B"/>
    <w:rsid w:val="00C14374"/>
    <w:rsid w:val="00C1462B"/>
    <w:rsid w:val="00C14A90"/>
    <w:rsid w:val="00C15110"/>
    <w:rsid w:val="00C15277"/>
    <w:rsid w:val="00C1587F"/>
    <w:rsid w:val="00C16D14"/>
    <w:rsid w:val="00C17507"/>
    <w:rsid w:val="00C2117A"/>
    <w:rsid w:val="00C22519"/>
    <w:rsid w:val="00C2377F"/>
    <w:rsid w:val="00C2378C"/>
    <w:rsid w:val="00C2418F"/>
    <w:rsid w:val="00C2526D"/>
    <w:rsid w:val="00C25AF2"/>
    <w:rsid w:val="00C25D89"/>
    <w:rsid w:val="00C27459"/>
    <w:rsid w:val="00C27DDF"/>
    <w:rsid w:val="00C30BA5"/>
    <w:rsid w:val="00C3132B"/>
    <w:rsid w:val="00C315DD"/>
    <w:rsid w:val="00C31E2E"/>
    <w:rsid w:val="00C3251C"/>
    <w:rsid w:val="00C32BCA"/>
    <w:rsid w:val="00C32C09"/>
    <w:rsid w:val="00C333D8"/>
    <w:rsid w:val="00C33587"/>
    <w:rsid w:val="00C33BC7"/>
    <w:rsid w:val="00C35283"/>
    <w:rsid w:val="00C35381"/>
    <w:rsid w:val="00C35ECA"/>
    <w:rsid w:val="00C36477"/>
    <w:rsid w:val="00C3659B"/>
    <w:rsid w:val="00C3710B"/>
    <w:rsid w:val="00C4044E"/>
    <w:rsid w:val="00C417C6"/>
    <w:rsid w:val="00C41C58"/>
    <w:rsid w:val="00C41D80"/>
    <w:rsid w:val="00C41F5C"/>
    <w:rsid w:val="00C42047"/>
    <w:rsid w:val="00C42A4B"/>
    <w:rsid w:val="00C43929"/>
    <w:rsid w:val="00C43B51"/>
    <w:rsid w:val="00C43C2A"/>
    <w:rsid w:val="00C44D78"/>
    <w:rsid w:val="00C467D4"/>
    <w:rsid w:val="00C46AAB"/>
    <w:rsid w:val="00C47242"/>
    <w:rsid w:val="00C5035D"/>
    <w:rsid w:val="00C503FF"/>
    <w:rsid w:val="00C50E05"/>
    <w:rsid w:val="00C50F64"/>
    <w:rsid w:val="00C512DC"/>
    <w:rsid w:val="00C51939"/>
    <w:rsid w:val="00C51C1E"/>
    <w:rsid w:val="00C51E67"/>
    <w:rsid w:val="00C52DFA"/>
    <w:rsid w:val="00C53F16"/>
    <w:rsid w:val="00C551B3"/>
    <w:rsid w:val="00C5570C"/>
    <w:rsid w:val="00C55E34"/>
    <w:rsid w:val="00C56F5E"/>
    <w:rsid w:val="00C60805"/>
    <w:rsid w:val="00C613F0"/>
    <w:rsid w:val="00C61B7C"/>
    <w:rsid w:val="00C62A3D"/>
    <w:rsid w:val="00C62D9F"/>
    <w:rsid w:val="00C63D6C"/>
    <w:rsid w:val="00C64546"/>
    <w:rsid w:val="00C65AA1"/>
    <w:rsid w:val="00C65DF6"/>
    <w:rsid w:val="00C66357"/>
    <w:rsid w:val="00C6658F"/>
    <w:rsid w:val="00C66929"/>
    <w:rsid w:val="00C6715D"/>
    <w:rsid w:val="00C6722D"/>
    <w:rsid w:val="00C7005E"/>
    <w:rsid w:val="00C7025F"/>
    <w:rsid w:val="00C707BB"/>
    <w:rsid w:val="00C71E2F"/>
    <w:rsid w:val="00C72222"/>
    <w:rsid w:val="00C729D9"/>
    <w:rsid w:val="00C72B47"/>
    <w:rsid w:val="00C72E2D"/>
    <w:rsid w:val="00C746D3"/>
    <w:rsid w:val="00C74DAB"/>
    <w:rsid w:val="00C74F77"/>
    <w:rsid w:val="00C753A5"/>
    <w:rsid w:val="00C75A51"/>
    <w:rsid w:val="00C75B5D"/>
    <w:rsid w:val="00C7721F"/>
    <w:rsid w:val="00C81053"/>
    <w:rsid w:val="00C81570"/>
    <w:rsid w:val="00C82AEA"/>
    <w:rsid w:val="00C833FF"/>
    <w:rsid w:val="00C83D59"/>
    <w:rsid w:val="00C84421"/>
    <w:rsid w:val="00C848BE"/>
    <w:rsid w:val="00C8522F"/>
    <w:rsid w:val="00C8563D"/>
    <w:rsid w:val="00C85DCD"/>
    <w:rsid w:val="00C87930"/>
    <w:rsid w:val="00C879EF"/>
    <w:rsid w:val="00C87BB8"/>
    <w:rsid w:val="00C9037D"/>
    <w:rsid w:val="00C909CE"/>
    <w:rsid w:val="00C91615"/>
    <w:rsid w:val="00C9184A"/>
    <w:rsid w:val="00C91A77"/>
    <w:rsid w:val="00C91F50"/>
    <w:rsid w:val="00C920E9"/>
    <w:rsid w:val="00C93961"/>
    <w:rsid w:val="00C93C15"/>
    <w:rsid w:val="00C94061"/>
    <w:rsid w:val="00C95179"/>
    <w:rsid w:val="00C95BCB"/>
    <w:rsid w:val="00C9675E"/>
    <w:rsid w:val="00C96A28"/>
    <w:rsid w:val="00C96AF6"/>
    <w:rsid w:val="00C97065"/>
    <w:rsid w:val="00C973EC"/>
    <w:rsid w:val="00CA07CB"/>
    <w:rsid w:val="00CA12BF"/>
    <w:rsid w:val="00CA130B"/>
    <w:rsid w:val="00CA20E0"/>
    <w:rsid w:val="00CA3633"/>
    <w:rsid w:val="00CA41B7"/>
    <w:rsid w:val="00CA4793"/>
    <w:rsid w:val="00CA54FF"/>
    <w:rsid w:val="00CA5A96"/>
    <w:rsid w:val="00CA6C58"/>
    <w:rsid w:val="00CA6FEA"/>
    <w:rsid w:val="00CA7D84"/>
    <w:rsid w:val="00CA7F45"/>
    <w:rsid w:val="00CA7FBF"/>
    <w:rsid w:val="00CB2423"/>
    <w:rsid w:val="00CB2C4A"/>
    <w:rsid w:val="00CB3219"/>
    <w:rsid w:val="00CB330D"/>
    <w:rsid w:val="00CB3AB0"/>
    <w:rsid w:val="00CB45EA"/>
    <w:rsid w:val="00CB4EE9"/>
    <w:rsid w:val="00CB61EA"/>
    <w:rsid w:val="00CB61EF"/>
    <w:rsid w:val="00CB6C95"/>
    <w:rsid w:val="00CB708D"/>
    <w:rsid w:val="00CB723D"/>
    <w:rsid w:val="00CB7DE9"/>
    <w:rsid w:val="00CC1CC6"/>
    <w:rsid w:val="00CC211A"/>
    <w:rsid w:val="00CC2F4A"/>
    <w:rsid w:val="00CC345F"/>
    <w:rsid w:val="00CC3F46"/>
    <w:rsid w:val="00CC3FBD"/>
    <w:rsid w:val="00CC68E4"/>
    <w:rsid w:val="00CC7967"/>
    <w:rsid w:val="00CD0791"/>
    <w:rsid w:val="00CD0A6B"/>
    <w:rsid w:val="00CD38FB"/>
    <w:rsid w:val="00CD3F44"/>
    <w:rsid w:val="00CD3F69"/>
    <w:rsid w:val="00CD4D74"/>
    <w:rsid w:val="00CD505E"/>
    <w:rsid w:val="00CD5F10"/>
    <w:rsid w:val="00CD7995"/>
    <w:rsid w:val="00CE04AC"/>
    <w:rsid w:val="00CE0834"/>
    <w:rsid w:val="00CE14A7"/>
    <w:rsid w:val="00CE20E7"/>
    <w:rsid w:val="00CE2FCA"/>
    <w:rsid w:val="00CE3782"/>
    <w:rsid w:val="00CE39AB"/>
    <w:rsid w:val="00CE4684"/>
    <w:rsid w:val="00CE4910"/>
    <w:rsid w:val="00CE4A59"/>
    <w:rsid w:val="00CE4A81"/>
    <w:rsid w:val="00CE4B13"/>
    <w:rsid w:val="00CE5F80"/>
    <w:rsid w:val="00CE602C"/>
    <w:rsid w:val="00CE61AD"/>
    <w:rsid w:val="00CE683B"/>
    <w:rsid w:val="00CF0E63"/>
    <w:rsid w:val="00CF1984"/>
    <w:rsid w:val="00CF2373"/>
    <w:rsid w:val="00CF2665"/>
    <w:rsid w:val="00CF33F5"/>
    <w:rsid w:val="00CF3E2F"/>
    <w:rsid w:val="00CF5C52"/>
    <w:rsid w:val="00CF670D"/>
    <w:rsid w:val="00CF6DDF"/>
    <w:rsid w:val="00CF6F4E"/>
    <w:rsid w:val="00CF730A"/>
    <w:rsid w:val="00CF783D"/>
    <w:rsid w:val="00D002B3"/>
    <w:rsid w:val="00D005BE"/>
    <w:rsid w:val="00D005F0"/>
    <w:rsid w:val="00D016D8"/>
    <w:rsid w:val="00D0234F"/>
    <w:rsid w:val="00D027C2"/>
    <w:rsid w:val="00D02C6E"/>
    <w:rsid w:val="00D03322"/>
    <w:rsid w:val="00D0388C"/>
    <w:rsid w:val="00D03B2D"/>
    <w:rsid w:val="00D046D3"/>
    <w:rsid w:val="00D04F65"/>
    <w:rsid w:val="00D053ED"/>
    <w:rsid w:val="00D05672"/>
    <w:rsid w:val="00D058A1"/>
    <w:rsid w:val="00D06327"/>
    <w:rsid w:val="00D065AB"/>
    <w:rsid w:val="00D06D66"/>
    <w:rsid w:val="00D07445"/>
    <w:rsid w:val="00D100AE"/>
    <w:rsid w:val="00D10593"/>
    <w:rsid w:val="00D111F9"/>
    <w:rsid w:val="00D11574"/>
    <w:rsid w:val="00D128DB"/>
    <w:rsid w:val="00D12C5B"/>
    <w:rsid w:val="00D13300"/>
    <w:rsid w:val="00D1380F"/>
    <w:rsid w:val="00D13CD3"/>
    <w:rsid w:val="00D142C2"/>
    <w:rsid w:val="00D14587"/>
    <w:rsid w:val="00D145DE"/>
    <w:rsid w:val="00D1477B"/>
    <w:rsid w:val="00D150A1"/>
    <w:rsid w:val="00D15F20"/>
    <w:rsid w:val="00D16187"/>
    <w:rsid w:val="00D162BA"/>
    <w:rsid w:val="00D167BF"/>
    <w:rsid w:val="00D16909"/>
    <w:rsid w:val="00D16937"/>
    <w:rsid w:val="00D17955"/>
    <w:rsid w:val="00D179B4"/>
    <w:rsid w:val="00D17B7B"/>
    <w:rsid w:val="00D17F27"/>
    <w:rsid w:val="00D20419"/>
    <w:rsid w:val="00D20742"/>
    <w:rsid w:val="00D20A19"/>
    <w:rsid w:val="00D21877"/>
    <w:rsid w:val="00D21BDC"/>
    <w:rsid w:val="00D22749"/>
    <w:rsid w:val="00D22CDF"/>
    <w:rsid w:val="00D2412E"/>
    <w:rsid w:val="00D24B72"/>
    <w:rsid w:val="00D258BD"/>
    <w:rsid w:val="00D266D3"/>
    <w:rsid w:val="00D2729A"/>
    <w:rsid w:val="00D27AEB"/>
    <w:rsid w:val="00D30A0A"/>
    <w:rsid w:val="00D30B83"/>
    <w:rsid w:val="00D312D6"/>
    <w:rsid w:val="00D3165F"/>
    <w:rsid w:val="00D31B87"/>
    <w:rsid w:val="00D31BC2"/>
    <w:rsid w:val="00D32700"/>
    <w:rsid w:val="00D33DAC"/>
    <w:rsid w:val="00D34493"/>
    <w:rsid w:val="00D351F1"/>
    <w:rsid w:val="00D358B0"/>
    <w:rsid w:val="00D35B89"/>
    <w:rsid w:val="00D35E3B"/>
    <w:rsid w:val="00D35E5F"/>
    <w:rsid w:val="00D36541"/>
    <w:rsid w:val="00D36BFF"/>
    <w:rsid w:val="00D42DE8"/>
    <w:rsid w:val="00D4380C"/>
    <w:rsid w:val="00D438F6"/>
    <w:rsid w:val="00D4464D"/>
    <w:rsid w:val="00D44963"/>
    <w:rsid w:val="00D44F9F"/>
    <w:rsid w:val="00D457E6"/>
    <w:rsid w:val="00D45FDB"/>
    <w:rsid w:val="00D467F5"/>
    <w:rsid w:val="00D472C8"/>
    <w:rsid w:val="00D47B89"/>
    <w:rsid w:val="00D47D3D"/>
    <w:rsid w:val="00D50D83"/>
    <w:rsid w:val="00D50EB7"/>
    <w:rsid w:val="00D51332"/>
    <w:rsid w:val="00D51F1F"/>
    <w:rsid w:val="00D52F93"/>
    <w:rsid w:val="00D53495"/>
    <w:rsid w:val="00D5353A"/>
    <w:rsid w:val="00D5450D"/>
    <w:rsid w:val="00D54807"/>
    <w:rsid w:val="00D54C82"/>
    <w:rsid w:val="00D55048"/>
    <w:rsid w:val="00D55593"/>
    <w:rsid w:val="00D556EF"/>
    <w:rsid w:val="00D55D63"/>
    <w:rsid w:val="00D56405"/>
    <w:rsid w:val="00D566BB"/>
    <w:rsid w:val="00D56CA9"/>
    <w:rsid w:val="00D56DF2"/>
    <w:rsid w:val="00D571B0"/>
    <w:rsid w:val="00D57699"/>
    <w:rsid w:val="00D57B60"/>
    <w:rsid w:val="00D57E79"/>
    <w:rsid w:val="00D57FD5"/>
    <w:rsid w:val="00D6285B"/>
    <w:rsid w:val="00D62CBD"/>
    <w:rsid w:val="00D62F1C"/>
    <w:rsid w:val="00D63515"/>
    <w:rsid w:val="00D6377E"/>
    <w:rsid w:val="00D6499B"/>
    <w:rsid w:val="00D64F1C"/>
    <w:rsid w:val="00D652C7"/>
    <w:rsid w:val="00D6534A"/>
    <w:rsid w:val="00D659F9"/>
    <w:rsid w:val="00D664BC"/>
    <w:rsid w:val="00D66F05"/>
    <w:rsid w:val="00D670A8"/>
    <w:rsid w:val="00D670D7"/>
    <w:rsid w:val="00D678F7"/>
    <w:rsid w:val="00D679AA"/>
    <w:rsid w:val="00D67D9D"/>
    <w:rsid w:val="00D67E9B"/>
    <w:rsid w:val="00D7068F"/>
    <w:rsid w:val="00D72F0B"/>
    <w:rsid w:val="00D73CEC"/>
    <w:rsid w:val="00D73F95"/>
    <w:rsid w:val="00D74362"/>
    <w:rsid w:val="00D74808"/>
    <w:rsid w:val="00D75A44"/>
    <w:rsid w:val="00D76EFB"/>
    <w:rsid w:val="00D77668"/>
    <w:rsid w:val="00D77906"/>
    <w:rsid w:val="00D77AA1"/>
    <w:rsid w:val="00D77D58"/>
    <w:rsid w:val="00D77E9F"/>
    <w:rsid w:val="00D81783"/>
    <w:rsid w:val="00D81ACB"/>
    <w:rsid w:val="00D81C91"/>
    <w:rsid w:val="00D8262E"/>
    <w:rsid w:val="00D828A3"/>
    <w:rsid w:val="00D82C8C"/>
    <w:rsid w:val="00D82F57"/>
    <w:rsid w:val="00D835D3"/>
    <w:rsid w:val="00D835DD"/>
    <w:rsid w:val="00D8396F"/>
    <w:rsid w:val="00D8417E"/>
    <w:rsid w:val="00D84985"/>
    <w:rsid w:val="00D84D31"/>
    <w:rsid w:val="00D854DF"/>
    <w:rsid w:val="00D858B1"/>
    <w:rsid w:val="00D86344"/>
    <w:rsid w:val="00D8635D"/>
    <w:rsid w:val="00D86386"/>
    <w:rsid w:val="00D8653C"/>
    <w:rsid w:val="00D871F8"/>
    <w:rsid w:val="00D87247"/>
    <w:rsid w:val="00D90019"/>
    <w:rsid w:val="00D90745"/>
    <w:rsid w:val="00D90A84"/>
    <w:rsid w:val="00D91AC9"/>
    <w:rsid w:val="00D91CE8"/>
    <w:rsid w:val="00D92CF2"/>
    <w:rsid w:val="00D930C5"/>
    <w:rsid w:val="00D93371"/>
    <w:rsid w:val="00D93AF8"/>
    <w:rsid w:val="00D949B7"/>
    <w:rsid w:val="00D94FA2"/>
    <w:rsid w:val="00D95EDA"/>
    <w:rsid w:val="00D96D0C"/>
    <w:rsid w:val="00D96DDC"/>
    <w:rsid w:val="00DA1093"/>
    <w:rsid w:val="00DA29BA"/>
    <w:rsid w:val="00DA2D3E"/>
    <w:rsid w:val="00DA30BC"/>
    <w:rsid w:val="00DA3B3F"/>
    <w:rsid w:val="00DA60B7"/>
    <w:rsid w:val="00DA6644"/>
    <w:rsid w:val="00DA6B53"/>
    <w:rsid w:val="00DA6CBF"/>
    <w:rsid w:val="00DA755B"/>
    <w:rsid w:val="00DA7C6A"/>
    <w:rsid w:val="00DA7E04"/>
    <w:rsid w:val="00DB1117"/>
    <w:rsid w:val="00DB12C7"/>
    <w:rsid w:val="00DB2027"/>
    <w:rsid w:val="00DB21D3"/>
    <w:rsid w:val="00DB254D"/>
    <w:rsid w:val="00DB2B18"/>
    <w:rsid w:val="00DB3942"/>
    <w:rsid w:val="00DB4113"/>
    <w:rsid w:val="00DB468A"/>
    <w:rsid w:val="00DB4824"/>
    <w:rsid w:val="00DB4915"/>
    <w:rsid w:val="00DB539F"/>
    <w:rsid w:val="00DB5761"/>
    <w:rsid w:val="00DB59F1"/>
    <w:rsid w:val="00DB5C10"/>
    <w:rsid w:val="00DB6064"/>
    <w:rsid w:val="00DB6238"/>
    <w:rsid w:val="00DB7199"/>
    <w:rsid w:val="00DB72D6"/>
    <w:rsid w:val="00DC1EC9"/>
    <w:rsid w:val="00DC2785"/>
    <w:rsid w:val="00DC3059"/>
    <w:rsid w:val="00DC3755"/>
    <w:rsid w:val="00DC3DC6"/>
    <w:rsid w:val="00DC4063"/>
    <w:rsid w:val="00DC42FF"/>
    <w:rsid w:val="00DC4528"/>
    <w:rsid w:val="00DC493D"/>
    <w:rsid w:val="00DC525E"/>
    <w:rsid w:val="00DC52B7"/>
    <w:rsid w:val="00DC545D"/>
    <w:rsid w:val="00DC5795"/>
    <w:rsid w:val="00DC57B3"/>
    <w:rsid w:val="00DC6007"/>
    <w:rsid w:val="00DC646F"/>
    <w:rsid w:val="00DC784E"/>
    <w:rsid w:val="00DD0104"/>
    <w:rsid w:val="00DD0819"/>
    <w:rsid w:val="00DD0AA4"/>
    <w:rsid w:val="00DD322E"/>
    <w:rsid w:val="00DD3367"/>
    <w:rsid w:val="00DD448E"/>
    <w:rsid w:val="00DD48E1"/>
    <w:rsid w:val="00DD49F9"/>
    <w:rsid w:val="00DD4A05"/>
    <w:rsid w:val="00DD4A75"/>
    <w:rsid w:val="00DD505A"/>
    <w:rsid w:val="00DD67FD"/>
    <w:rsid w:val="00DD7532"/>
    <w:rsid w:val="00DD7837"/>
    <w:rsid w:val="00DD7B49"/>
    <w:rsid w:val="00DE0C65"/>
    <w:rsid w:val="00DE0C7D"/>
    <w:rsid w:val="00DE1D20"/>
    <w:rsid w:val="00DE2222"/>
    <w:rsid w:val="00DE241C"/>
    <w:rsid w:val="00DE2E28"/>
    <w:rsid w:val="00DE3CC7"/>
    <w:rsid w:val="00DE45E0"/>
    <w:rsid w:val="00DE4653"/>
    <w:rsid w:val="00DE4CC3"/>
    <w:rsid w:val="00DE4CCD"/>
    <w:rsid w:val="00DE51FE"/>
    <w:rsid w:val="00DE5A30"/>
    <w:rsid w:val="00DE6F11"/>
    <w:rsid w:val="00DE7398"/>
    <w:rsid w:val="00DE7E40"/>
    <w:rsid w:val="00DF061E"/>
    <w:rsid w:val="00DF0FC0"/>
    <w:rsid w:val="00DF1257"/>
    <w:rsid w:val="00DF1C7B"/>
    <w:rsid w:val="00DF2661"/>
    <w:rsid w:val="00DF29A0"/>
    <w:rsid w:val="00DF2E3D"/>
    <w:rsid w:val="00DF2F73"/>
    <w:rsid w:val="00DF3681"/>
    <w:rsid w:val="00DF36C7"/>
    <w:rsid w:val="00DF3714"/>
    <w:rsid w:val="00DF3899"/>
    <w:rsid w:val="00DF399B"/>
    <w:rsid w:val="00DF3D6D"/>
    <w:rsid w:val="00DF45E2"/>
    <w:rsid w:val="00DF4BD7"/>
    <w:rsid w:val="00DF4CF2"/>
    <w:rsid w:val="00DF5338"/>
    <w:rsid w:val="00DF5382"/>
    <w:rsid w:val="00DF56A3"/>
    <w:rsid w:val="00DF5927"/>
    <w:rsid w:val="00DF5AB3"/>
    <w:rsid w:val="00DF5DEE"/>
    <w:rsid w:val="00DF5E70"/>
    <w:rsid w:val="00DF61AF"/>
    <w:rsid w:val="00DF79D0"/>
    <w:rsid w:val="00DF7A79"/>
    <w:rsid w:val="00E01699"/>
    <w:rsid w:val="00E01A56"/>
    <w:rsid w:val="00E01C50"/>
    <w:rsid w:val="00E02412"/>
    <w:rsid w:val="00E0244A"/>
    <w:rsid w:val="00E024DA"/>
    <w:rsid w:val="00E029B8"/>
    <w:rsid w:val="00E02B62"/>
    <w:rsid w:val="00E03726"/>
    <w:rsid w:val="00E04954"/>
    <w:rsid w:val="00E0538A"/>
    <w:rsid w:val="00E053B1"/>
    <w:rsid w:val="00E05442"/>
    <w:rsid w:val="00E05463"/>
    <w:rsid w:val="00E061D1"/>
    <w:rsid w:val="00E0633F"/>
    <w:rsid w:val="00E06E49"/>
    <w:rsid w:val="00E07EDB"/>
    <w:rsid w:val="00E10165"/>
    <w:rsid w:val="00E117D0"/>
    <w:rsid w:val="00E118F9"/>
    <w:rsid w:val="00E11CAE"/>
    <w:rsid w:val="00E1233F"/>
    <w:rsid w:val="00E135EB"/>
    <w:rsid w:val="00E14C37"/>
    <w:rsid w:val="00E15EAD"/>
    <w:rsid w:val="00E161BA"/>
    <w:rsid w:val="00E205CB"/>
    <w:rsid w:val="00E214D2"/>
    <w:rsid w:val="00E21693"/>
    <w:rsid w:val="00E21981"/>
    <w:rsid w:val="00E22094"/>
    <w:rsid w:val="00E23F1E"/>
    <w:rsid w:val="00E24050"/>
    <w:rsid w:val="00E24D08"/>
    <w:rsid w:val="00E255E0"/>
    <w:rsid w:val="00E265E8"/>
    <w:rsid w:val="00E3001A"/>
    <w:rsid w:val="00E3084A"/>
    <w:rsid w:val="00E30AAC"/>
    <w:rsid w:val="00E31820"/>
    <w:rsid w:val="00E31CB8"/>
    <w:rsid w:val="00E322AC"/>
    <w:rsid w:val="00E32811"/>
    <w:rsid w:val="00E33A87"/>
    <w:rsid w:val="00E35495"/>
    <w:rsid w:val="00E35B6D"/>
    <w:rsid w:val="00E369AA"/>
    <w:rsid w:val="00E373F5"/>
    <w:rsid w:val="00E3757B"/>
    <w:rsid w:val="00E37810"/>
    <w:rsid w:val="00E37C9F"/>
    <w:rsid w:val="00E402F4"/>
    <w:rsid w:val="00E40CEC"/>
    <w:rsid w:val="00E411A4"/>
    <w:rsid w:val="00E4162B"/>
    <w:rsid w:val="00E41B7B"/>
    <w:rsid w:val="00E432B0"/>
    <w:rsid w:val="00E438BD"/>
    <w:rsid w:val="00E44F29"/>
    <w:rsid w:val="00E45198"/>
    <w:rsid w:val="00E45A6E"/>
    <w:rsid w:val="00E46F03"/>
    <w:rsid w:val="00E500A8"/>
    <w:rsid w:val="00E50414"/>
    <w:rsid w:val="00E50998"/>
    <w:rsid w:val="00E511EF"/>
    <w:rsid w:val="00E513F4"/>
    <w:rsid w:val="00E51B9F"/>
    <w:rsid w:val="00E52C60"/>
    <w:rsid w:val="00E536F2"/>
    <w:rsid w:val="00E53BBC"/>
    <w:rsid w:val="00E54100"/>
    <w:rsid w:val="00E54266"/>
    <w:rsid w:val="00E54865"/>
    <w:rsid w:val="00E54F6B"/>
    <w:rsid w:val="00E55882"/>
    <w:rsid w:val="00E55A92"/>
    <w:rsid w:val="00E55AD5"/>
    <w:rsid w:val="00E55AF7"/>
    <w:rsid w:val="00E55C01"/>
    <w:rsid w:val="00E56F65"/>
    <w:rsid w:val="00E57BD4"/>
    <w:rsid w:val="00E57C77"/>
    <w:rsid w:val="00E60C20"/>
    <w:rsid w:val="00E6152D"/>
    <w:rsid w:val="00E61A91"/>
    <w:rsid w:val="00E61F35"/>
    <w:rsid w:val="00E6259B"/>
    <w:rsid w:val="00E62739"/>
    <w:rsid w:val="00E62CFB"/>
    <w:rsid w:val="00E62DE6"/>
    <w:rsid w:val="00E630EC"/>
    <w:rsid w:val="00E631AB"/>
    <w:rsid w:val="00E63220"/>
    <w:rsid w:val="00E63E61"/>
    <w:rsid w:val="00E647B8"/>
    <w:rsid w:val="00E647F1"/>
    <w:rsid w:val="00E64F00"/>
    <w:rsid w:val="00E65030"/>
    <w:rsid w:val="00E6521E"/>
    <w:rsid w:val="00E6572E"/>
    <w:rsid w:val="00E657A1"/>
    <w:rsid w:val="00E65BD5"/>
    <w:rsid w:val="00E65D0F"/>
    <w:rsid w:val="00E65F9C"/>
    <w:rsid w:val="00E665D0"/>
    <w:rsid w:val="00E706C6"/>
    <w:rsid w:val="00E7303B"/>
    <w:rsid w:val="00E7337F"/>
    <w:rsid w:val="00E73543"/>
    <w:rsid w:val="00E73B20"/>
    <w:rsid w:val="00E74BD1"/>
    <w:rsid w:val="00E74E66"/>
    <w:rsid w:val="00E755B2"/>
    <w:rsid w:val="00E761DF"/>
    <w:rsid w:val="00E76476"/>
    <w:rsid w:val="00E76B17"/>
    <w:rsid w:val="00E774EE"/>
    <w:rsid w:val="00E80B93"/>
    <w:rsid w:val="00E80BCF"/>
    <w:rsid w:val="00E81537"/>
    <w:rsid w:val="00E81A6E"/>
    <w:rsid w:val="00E81CF3"/>
    <w:rsid w:val="00E82463"/>
    <w:rsid w:val="00E82AEC"/>
    <w:rsid w:val="00E83AC5"/>
    <w:rsid w:val="00E83B12"/>
    <w:rsid w:val="00E83E82"/>
    <w:rsid w:val="00E83FD3"/>
    <w:rsid w:val="00E84B12"/>
    <w:rsid w:val="00E84E89"/>
    <w:rsid w:val="00E86213"/>
    <w:rsid w:val="00E909DC"/>
    <w:rsid w:val="00E90ED6"/>
    <w:rsid w:val="00E90EE1"/>
    <w:rsid w:val="00E91182"/>
    <w:rsid w:val="00E917A9"/>
    <w:rsid w:val="00E91B97"/>
    <w:rsid w:val="00E91BF1"/>
    <w:rsid w:val="00E91C50"/>
    <w:rsid w:val="00E92848"/>
    <w:rsid w:val="00E9423A"/>
    <w:rsid w:val="00E947E3"/>
    <w:rsid w:val="00E94901"/>
    <w:rsid w:val="00E96A45"/>
    <w:rsid w:val="00E96B1D"/>
    <w:rsid w:val="00E97992"/>
    <w:rsid w:val="00E97D85"/>
    <w:rsid w:val="00EA0C94"/>
    <w:rsid w:val="00EA15F4"/>
    <w:rsid w:val="00EA230C"/>
    <w:rsid w:val="00EA25D4"/>
    <w:rsid w:val="00EA2694"/>
    <w:rsid w:val="00EA2F32"/>
    <w:rsid w:val="00EA3885"/>
    <w:rsid w:val="00EA544E"/>
    <w:rsid w:val="00EA6781"/>
    <w:rsid w:val="00EA67FC"/>
    <w:rsid w:val="00EB017E"/>
    <w:rsid w:val="00EB0563"/>
    <w:rsid w:val="00EB1A14"/>
    <w:rsid w:val="00EB1C88"/>
    <w:rsid w:val="00EB1D4D"/>
    <w:rsid w:val="00EB23AE"/>
    <w:rsid w:val="00EB2509"/>
    <w:rsid w:val="00EB38D5"/>
    <w:rsid w:val="00EB3E31"/>
    <w:rsid w:val="00EB4A63"/>
    <w:rsid w:val="00EB5B37"/>
    <w:rsid w:val="00EB5B3B"/>
    <w:rsid w:val="00EB5CA9"/>
    <w:rsid w:val="00EB5FF3"/>
    <w:rsid w:val="00EB64EC"/>
    <w:rsid w:val="00EB6746"/>
    <w:rsid w:val="00EB75B6"/>
    <w:rsid w:val="00EB77CC"/>
    <w:rsid w:val="00EB7F0C"/>
    <w:rsid w:val="00EC0031"/>
    <w:rsid w:val="00EC0F49"/>
    <w:rsid w:val="00EC1654"/>
    <w:rsid w:val="00EC17B1"/>
    <w:rsid w:val="00EC312B"/>
    <w:rsid w:val="00EC50BC"/>
    <w:rsid w:val="00EC5589"/>
    <w:rsid w:val="00EC5993"/>
    <w:rsid w:val="00EC5B95"/>
    <w:rsid w:val="00EC6F6B"/>
    <w:rsid w:val="00EC7FE9"/>
    <w:rsid w:val="00ED050F"/>
    <w:rsid w:val="00ED05C5"/>
    <w:rsid w:val="00ED0E5E"/>
    <w:rsid w:val="00ED0E76"/>
    <w:rsid w:val="00ED1081"/>
    <w:rsid w:val="00ED1139"/>
    <w:rsid w:val="00ED19F8"/>
    <w:rsid w:val="00ED2B78"/>
    <w:rsid w:val="00ED2F57"/>
    <w:rsid w:val="00ED3FE0"/>
    <w:rsid w:val="00ED43D1"/>
    <w:rsid w:val="00ED464F"/>
    <w:rsid w:val="00ED473C"/>
    <w:rsid w:val="00ED4848"/>
    <w:rsid w:val="00ED5391"/>
    <w:rsid w:val="00ED5418"/>
    <w:rsid w:val="00ED645C"/>
    <w:rsid w:val="00ED64F9"/>
    <w:rsid w:val="00ED66BB"/>
    <w:rsid w:val="00ED6B91"/>
    <w:rsid w:val="00ED6CA7"/>
    <w:rsid w:val="00ED6FAA"/>
    <w:rsid w:val="00ED7520"/>
    <w:rsid w:val="00ED7BDC"/>
    <w:rsid w:val="00EE0F6B"/>
    <w:rsid w:val="00EE3F56"/>
    <w:rsid w:val="00EE4220"/>
    <w:rsid w:val="00EE5143"/>
    <w:rsid w:val="00EE52EC"/>
    <w:rsid w:val="00EE618B"/>
    <w:rsid w:val="00EE64CD"/>
    <w:rsid w:val="00EE6672"/>
    <w:rsid w:val="00EE68B3"/>
    <w:rsid w:val="00EE73C0"/>
    <w:rsid w:val="00EE78C5"/>
    <w:rsid w:val="00EE7B88"/>
    <w:rsid w:val="00EF0394"/>
    <w:rsid w:val="00EF1013"/>
    <w:rsid w:val="00EF1071"/>
    <w:rsid w:val="00EF1A8C"/>
    <w:rsid w:val="00EF2CCC"/>
    <w:rsid w:val="00EF412A"/>
    <w:rsid w:val="00EF48A1"/>
    <w:rsid w:val="00EF518D"/>
    <w:rsid w:val="00EF52FC"/>
    <w:rsid w:val="00EF5766"/>
    <w:rsid w:val="00EF5A5B"/>
    <w:rsid w:val="00EF5DF6"/>
    <w:rsid w:val="00EF65DA"/>
    <w:rsid w:val="00EF7F66"/>
    <w:rsid w:val="00EF7FFD"/>
    <w:rsid w:val="00F00FE3"/>
    <w:rsid w:val="00F013E4"/>
    <w:rsid w:val="00F018B9"/>
    <w:rsid w:val="00F018FF"/>
    <w:rsid w:val="00F01A07"/>
    <w:rsid w:val="00F02239"/>
    <w:rsid w:val="00F022DA"/>
    <w:rsid w:val="00F0243E"/>
    <w:rsid w:val="00F03014"/>
    <w:rsid w:val="00F0474A"/>
    <w:rsid w:val="00F04CDA"/>
    <w:rsid w:val="00F0523B"/>
    <w:rsid w:val="00F052FB"/>
    <w:rsid w:val="00F05D98"/>
    <w:rsid w:val="00F064CA"/>
    <w:rsid w:val="00F06C1D"/>
    <w:rsid w:val="00F104CA"/>
    <w:rsid w:val="00F11064"/>
    <w:rsid w:val="00F1245C"/>
    <w:rsid w:val="00F131A4"/>
    <w:rsid w:val="00F13A60"/>
    <w:rsid w:val="00F13E92"/>
    <w:rsid w:val="00F13F23"/>
    <w:rsid w:val="00F14389"/>
    <w:rsid w:val="00F15D95"/>
    <w:rsid w:val="00F16C1E"/>
    <w:rsid w:val="00F177B5"/>
    <w:rsid w:val="00F21A40"/>
    <w:rsid w:val="00F21E1B"/>
    <w:rsid w:val="00F23066"/>
    <w:rsid w:val="00F23254"/>
    <w:rsid w:val="00F23EE3"/>
    <w:rsid w:val="00F240F2"/>
    <w:rsid w:val="00F24359"/>
    <w:rsid w:val="00F24726"/>
    <w:rsid w:val="00F24967"/>
    <w:rsid w:val="00F2748A"/>
    <w:rsid w:val="00F27AC8"/>
    <w:rsid w:val="00F30E57"/>
    <w:rsid w:val="00F317C2"/>
    <w:rsid w:val="00F31825"/>
    <w:rsid w:val="00F31887"/>
    <w:rsid w:val="00F31A17"/>
    <w:rsid w:val="00F31AA1"/>
    <w:rsid w:val="00F31E2A"/>
    <w:rsid w:val="00F324B8"/>
    <w:rsid w:val="00F32CC9"/>
    <w:rsid w:val="00F32D27"/>
    <w:rsid w:val="00F3390F"/>
    <w:rsid w:val="00F3417A"/>
    <w:rsid w:val="00F35C35"/>
    <w:rsid w:val="00F35D8C"/>
    <w:rsid w:val="00F37175"/>
    <w:rsid w:val="00F3739D"/>
    <w:rsid w:val="00F37DFD"/>
    <w:rsid w:val="00F426CA"/>
    <w:rsid w:val="00F428D6"/>
    <w:rsid w:val="00F42E0A"/>
    <w:rsid w:val="00F43414"/>
    <w:rsid w:val="00F43C93"/>
    <w:rsid w:val="00F44337"/>
    <w:rsid w:val="00F44425"/>
    <w:rsid w:val="00F448D6"/>
    <w:rsid w:val="00F44EF0"/>
    <w:rsid w:val="00F44F35"/>
    <w:rsid w:val="00F44F53"/>
    <w:rsid w:val="00F457D4"/>
    <w:rsid w:val="00F46269"/>
    <w:rsid w:val="00F4711D"/>
    <w:rsid w:val="00F47DC5"/>
    <w:rsid w:val="00F50482"/>
    <w:rsid w:val="00F51153"/>
    <w:rsid w:val="00F51C37"/>
    <w:rsid w:val="00F529F9"/>
    <w:rsid w:val="00F52F09"/>
    <w:rsid w:val="00F5344A"/>
    <w:rsid w:val="00F53C8C"/>
    <w:rsid w:val="00F53DB3"/>
    <w:rsid w:val="00F54CAD"/>
    <w:rsid w:val="00F561BB"/>
    <w:rsid w:val="00F563D6"/>
    <w:rsid w:val="00F5705A"/>
    <w:rsid w:val="00F5746A"/>
    <w:rsid w:val="00F57472"/>
    <w:rsid w:val="00F579A8"/>
    <w:rsid w:val="00F57A96"/>
    <w:rsid w:val="00F57BD8"/>
    <w:rsid w:val="00F603E9"/>
    <w:rsid w:val="00F607B3"/>
    <w:rsid w:val="00F62526"/>
    <w:rsid w:val="00F62632"/>
    <w:rsid w:val="00F6321B"/>
    <w:rsid w:val="00F63669"/>
    <w:rsid w:val="00F63A6D"/>
    <w:rsid w:val="00F63D4B"/>
    <w:rsid w:val="00F645F0"/>
    <w:rsid w:val="00F64D38"/>
    <w:rsid w:val="00F65AA7"/>
    <w:rsid w:val="00F66393"/>
    <w:rsid w:val="00F66AC3"/>
    <w:rsid w:val="00F67445"/>
    <w:rsid w:val="00F70182"/>
    <w:rsid w:val="00F70A2A"/>
    <w:rsid w:val="00F71FA3"/>
    <w:rsid w:val="00F72224"/>
    <w:rsid w:val="00F72AD1"/>
    <w:rsid w:val="00F732B6"/>
    <w:rsid w:val="00F73308"/>
    <w:rsid w:val="00F75C20"/>
    <w:rsid w:val="00F75C45"/>
    <w:rsid w:val="00F7644F"/>
    <w:rsid w:val="00F764C9"/>
    <w:rsid w:val="00F76845"/>
    <w:rsid w:val="00F76DF0"/>
    <w:rsid w:val="00F77F14"/>
    <w:rsid w:val="00F804AE"/>
    <w:rsid w:val="00F80510"/>
    <w:rsid w:val="00F80A79"/>
    <w:rsid w:val="00F80B21"/>
    <w:rsid w:val="00F815DB"/>
    <w:rsid w:val="00F819C9"/>
    <w:rsid w:val="00F821BF"/>
    <w:rsid w:val="00F829C7"/>
    <w:rsid w:val="00F835A9"/>
    <w:rsid w:val="00F83D9A"/>
    <w:rsid w:val="00F84442"/>
    <w:rsid w:val="00F847C7"/>
    <w:rsid w:val="00F8538C"/>
    <w:rsid w:val="00F85877"/>
    <w:rsid w:val="00F858EA"/>
    <w:rsid w:val="00F85CBD"/>
    <w:rsid w:val="00F86B3B"/>
    <w:rsid w:val="00F86CFF"/>
    <w:rsid w:val="00F87023"/>
    <w:rsid w:val="00F90DDD"/>
    <w:rsid w:val="00F91306"/>
    <w:rsid w:val="00F916D3"/>
    <w:rsid w:val="00F91D2C"/>
    <w:rsid w:val="00F923C2"/>
    <w:rsid w:val="00F924C7"/>
    <w:rsid w:val="00F92BC7"/>
    <w:rsid w:val="00F9301B"/>
    <w:rsid w:val="00F93F19"/>
    <w:rsid w:val="00F96FAE"/>
    <w:rsid w:val="00FA00BE"/>
    <w:rsid w:val="00FA04A1"/>
    <w:rsid w:val="00FA0C33"/>
    <w:rsid w:val="00FA0FAC"/>
    <w:rsid w:val="00FA134E"/>
    <w:rsid w:val="00FA1FE0"/>
    <w:rsid w:val="00FA26B9"/>
    <w:rsid w:val="00FA279C"/>
    <w:rsid w:val="00FA2974"/>
    <w:rsid w:val="00FA31A8"/>
    <w:rsid w:val="00FA35B8"/>
    <w:rsid w:val="00FA36A1"/>
    <w:rsid w:val="00FA3BE8"/>
    <w:rsid w:val="00FA3DA6"/>
    <w:rsid w:val="00FA4520"/>
    <w:rsid w:val="00FA487D"/>
    <w:rsid w:val="00FA4F3D"/>
    <w:rsid w:val="00FA515B"/>
    <w:rsid w:val="00FA53E7"/>
    <w:rsid w:val="00FA5F35"/>
    <w:rsid w:val="00FA61B3"/>
    <w:rsid w:val="00FA65FC"/>
    <w:rsid w:val="00FB021E"/>
    <w:rsid w:val="00FB04E1"/>
    <w:rsid w:val="00FB0651"/>
    <w:rsid w:val="00FB1119"/>
    <w:rsid w:val="00FB1653"/>
    <w:rsid w:val="00FB1DB1"/>
    <w:rsid w:val="00FB1DF4"/>
    <w:rsid w:val="00FB2AC3"/>
    <w:rsid w:val="00FB3629"/>
    <w:rsid w:val="00FB3ACF"/>
    <w:rsid w:val="00FB570A"/>
    <w:rsid w:val="00FB5962"/>
    <w:rsid w:val="00FB5FC3"/>
    <w:rsid w:val="00FB6642"/>
    <w:rsid w:val="00FB7AC9"/>
    <w:rsid w:val="00FC0ABC"/>
    <w:rsid w:val="00FC1407"/>
    <w:rsid w:val="00FC23FF"/>
    <w:rsid w:val="00FC2701"/>
    <w:rsid w:val="00FC2AA0"/>
    <w:rsid w:val="00FC31DB"/>
    <w:rsid w:val="00FC31FC"/>
    <w:rsid w:val="00FC345A"/>
    <w:rsid w:val="00FC3992"/>
    <w:rsid w:val="00FC3BB3"/>
    <w:rsid w:val="00FC41BB"/>
    <w:rsid w:val="00FC4AC6"/>
    <w:rsid w:val="00FC4CF3"/>
    <w:rsid w:val="00FC5FCC"/>
    <w:rsid w:val="00FC6C1B"/>
    <w:rsid w:val="00FC7479"/>
    <w:rsid w:val="00FC7981"/>
    <w:rsid w:val="00FD075A"/>
    <w:rsid w:val="00FD1528"/>
    <w:rsid w:val="00FD1939"/>
    <w:rsid w:val="00FD1CBF"/>
    <w:rsid w:val="00FD1CFB"/>
    <w:rsid w:val="00FD2241"/>
    <w:rsid w:val="00FD22F6"/>
    <w:rsid w:val="00FD25BF"/>
    <w:rsid w:val="00FD2851"/>
    <w:rsid w:val="00FD394F"/>
    <w:rsid w:val="00FD5874"/>
    <w:rsid w:val="00FD6203"/>
    <w:rsid w:val="00FD7012"/>
    <w:rsid w:val="00FD7073"/>
    <w:rsid w:val="00FD79E2"/>
    <w:rsid w:val="00FD7D93"/>
    <w:rsid w:val="00FE08A4"/>
    <w:rsid w:val="00FE0FB1"/>
    <w:rsid w:val="00FE1125"/>
    <w:rsid w:val="00FE1180"/>
    <w:rsid w:val="00FE1895"/>
    <w:rsid w:val="00FE2E4E"/>
    <w:rsid w:val="00FE2FF4"/>
    <w:rsid w:val="00FE3EBE"/>
    <w:rsid w:val="00FE3FDB"/>
    <w:rsid w:val="00FE4175"/>
    <w:rsid w:val="00FE4C8D"/>
    <w:rsid w:val="00FE575E"/>
    <w:rsid w:val="00FE5900"/>
    <w:rsid w:val="00FE5DF9"/>
    <w:rsid w:val="00FE5E7C"/>
    <w:rsid w:val="00FE7751"/>
    <w:rsid w:val="00FE7827"/>
    <w:rsid w:val="00FF0A49"/>
    <w:rsid w:val="00FF0B0A"/>
    <w:rsid w:val="00FF200A"/>
    <w:rsid w:val="00FF246D"/>
    <w:rsid w:val="00FF2A4D"/>
    <w:rsid w:val="00FF2E24"/>
    <w:rsid w:val="00FF31C9"/>
    <w:rsid w:val="00FF3879"/>
    <w:rsid w:val="00FF52C6"/>
    <w:rsid w:val="00FF5649"/>
    <w:rsid w:val="00FF5F46"/>
    <w:rsid w:val="00FF6033"/>
    <w:rsid w:val="00FF757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A7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15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345B92"/>
    <w:rPr>
      <w:lang w:val="en-US" w:eastAsia="en-US"/>
    </w:rPr>
  </w:style>
  <w:style w:type="character" w:customStyle="1" w:styleId="DipnotMetniChar">
    <w:name w:val="Dipnot Metni Char"/>
    <w:basedOn w:val="VarsaylanParagrafYazTipi"/>
    <w:link w:val="DipnotMetni"/>
    <w:uiPriority w:val="99"/>
    <w:rsid w:val="00345B92"/>
    <w:rPr>
      <w:lang w:val="en-US" w:eastAsia="en-US"/>
    </w:rPr>
  </w:style>
  <w:style w:type="character" w:styleId="DipnotBavurusu">
    <w:name w:val="footnote reference"/>
    <w:basedOn w:val="VarsaylanParagrafYazTipi"/>
    <w:uiPriority w:val="99"/>
    <w:unhideWhenUsed/>
    <w:rsid w:val="00345B92"/>
    <w:rPr>
      <w:vertAlign w:val="superscript"/>
    </w:rPr>
  </w:style>
  <w:style w:type="character" w:styleId="Kpr">
    <w:name w:val="Hyperlink"/>
    <w:basedOn w:val="VarsaylanParagrafYazTipi"/>
    <w:uiPriority w:val="99"/>
    <w:unhideWhenUsed/>
    <w:rsid w:val="00345B92"/>
    <w:rPr>
      <w:color w:val="0563C1" w:themeColor="hyperlink"/>
      <w:u w:val="single"/>
    </w:rPr>
  </w:style>
  <w:style w:type="paragraph" w:styleId="ListeParagraf">
    <w:name w:val="List Paragraph"/>
    <w:basedOn w:val="Normal"/>
    <w:uiPriority w:val="34"/>
    <w:qFormat/>
    <w:rsid w:val="00DB254D"/>
    <w:pPr>
      <w:ind w:left="720"/>
      <w:contextualSpacing/>
    </w:pPr>
  </w:style>
  <w:style w:type="paragraph" w:customStyle="1" w:styleId="p1">
    <w:name w:val="p1"/>
    <w:basedOn w:val="Normal"/>
    <w:rsid w:val="00DB254D"/>
    <w:rPr>
      <w:rFonts w:ascii="Arial" w:hAnsi="Arial" w:cs="Arial"/>
      <w:color w:val="444444"/>
    </w:rPr>
  </w:style>
  <w:style w:type="paragraph" w:styleId="NormalWeb">
    <w:name w:val="Normal (Web)"/>
    <w:basedOn w:val="Normal"/>
    <w:uiPriority w:val="99"/>
    <w:unhideWhenUsed/>
    <w:rsid w:val="00C56F5E"/>
    <w:pPr>
      <w:spacing w:before="100" w:beforeAutospacing="1" w:after="100" w:afterAutospacing="1"/>
    </w:pPr>
    <w:rPr>
      <w:rFonts w:ascii="Times" w:hAnsi="Times" w:cs="Times New Roman"/>
      <w:sz w:val="20"/>
      <w:szCs w:val="20"/>
      <w:lang w:eastAsia="en-US"/>
    </w:rPr>
  </w:style>
  <w:style w:type="character" w:styleId="zlenenKpr">
    <w:name w:val="FollowedHyperlink"/>
    <w:basedOn w:val="VarsaylanParagrafYazTipi"/>
    <w:uiPriority w:val="99"/>
    <w:semiHidden/>
    <w:unhideWhenUsed/>
    <w:rsid w:val="0096669F"/>
    <w:rPr>
      <w:color w:val="954F72" w:themeColor="followedHyperlink"/>
      <w:u w:val="single"/>
    </w:rPr>
  </w:style>
  <w:style w:type="paragraph" w:styleId="stBilgi">
    <w:name w:val="header"/>
    <w:basedOn w:val="Normal"/>
    <w:link w:val="stBilgiChar"/>
    <w:uiPriority w:val="99"/>
    <w:unhideWhenUsed/>
    <w:rsid w:val="00C03085"/>
    <w:pPr>
      <w:tabs>
        <w:tab w:val="center" w:pos="4153"/>
        <w:tab w:val="right" w:pos="8306"/>
      </w:tabs>
    </w:pPr>
    <w:rPr>
      <w:lang w:val="en-US" w:eastAsia="en-US"/>
    </w:rPr>
  </w:style>
  <w:style w:type="character" w:customStyle="1" w:styleId="stBilgiChar">
    <w:name w:val="Üst Bilgi Char"/>
    <w:basedOn w:val="VarsaylanParagrafYazTipi"/>
    <w:link w:val="stBilgi"/>
    <w:uiPriority w:val="99"/>
    <w:rsid w:val="00C03085"/>
    <w:rPr>
      <w:lang w:val="en-US" w:eastAsia="en-US"/>
    </w:rPr>
  </w:style>
  <w:style w:type="paragraph" w:styleId="AralkYok">
    <w:name w:val="No Spacing"/>
    <w:uiPriority w:val="1"/>
    <w:qFormat/>
    <w:rsid w:val="00C03085"/>
    <w:rPr>
      <w:lang w:val="en-US" w:eastAsia="en-US"/>
    </w:rPr>
  </w:style>
  <w:style w:type="paragraph" w:styleId="AltBilgi">
    <w:name w:val="footer"/>
    <w:basedOn w:val="Normal"/>
    <w:link w:val="AltBilgiChar"/>
    <w:uiPriority w:val="99"/>
    <w:unhideWhenUsed/>
    <w:rsid w:val="00C03085"/>
    <w:pPr>
      <w:tabs>
        <w:tab w:val="center" w:pos="4536"/>
        <w:tab w:val="right" w:pos="9072"/>
      </w:tabs>
    </w:pPr>
    <w:rPr>
      <w:lang w:val="en-US" w:eastAsia="en-US"/>
    </w:rPr>
  </w:style>
  <w:style w:type="character" w:customStyle="1" w:styleId="AltBilgiChar">
    <w:name w:val="Alt Bilgi Char"/>
    <w:basedOn w:val="VarsaylanParagrafYazTipi"/>
    <w:link w:val="AltBilgi"/>
    <w:uiPriority w:val="99"/>
    <w:rsid w:val="00C03085"/>
    <w:rPr>
      <w:lang w:val="en-US" w:eastAsia="en-US"/>
    </w:rPr>
  </w:style>
  <w:style w:type="character" w:customStyle="1" w:styleId="s1">
    <w:name w:val="s1"/>
    <w:basedOn w:val="VarsaylanParagrafYazTipi"/>
    <w:rsid w:val="00C03085"/>
  </w:style>
  <w:style w:type="character" w:customStyle="1" w:styleId="s2">
    <w:name w:val="s2"/>
    <w:basedOn w:val="VarsaylanParagrafYazTipi"/>
    <w:rsid w:val="00C03085"/>
    <w:rPr>
      <w:color w:val="145DA4"/>
    </w:rPr>
  </w:style>
  <w:style w:type="character" w:styleId="SayfaNumaras">
    <w:name w:val="page number"/>
    <w:basedOn w:val="VarsaylanParagrafYazTipi"/>
    <w:uiPriority w:val="99"/>
    <w:semiHidden/>
    <w:unhideWhenUsed/>
    <w:rsid w:val="00B51920"/>
  </w:style>
  <w:style w:type="paragraph" w:customStyle="1" w:styleId="paragnum">
    <w:name w:val="paragnum"/>
    <w:basedOn w:val="Normal"/>
    <w:rsid w:val="00484D78"/>
    <w:pPr>
      <w:spacing w:before="100" w:beforeAutospacing="1" w:after="100" w:afterAutospacing="1"/>
    </w:pPr>
    <w:rPr>
      <w:rFonts w:ascii="Times New Roman" w:hAnsi="Times New Roman" w:cs="Times New Roman"/>
    </w:rPr>
  </w:style>
  <w:style w:type="character" w:customStyle="1" w:styleId="apple-converted-space">
    <w:name w:val="apple-converted-space"/>
    <w:basedOn w:val="VarsaylanParagrafYazTipi"/>
    <w:rsid w:val="00484D78"/>
  </w:style>
  <w:style w:type="character" w:customStyle="1" w:styleId="s3">
    <w:name w:val="s3"/>
    <w:basedOn w:val="VarsaylanParagrafYazTipi"/>
    <w:rsid w:val="0080586F"/>
    <w:rPr>
      <w:rFonts w:ascii="Times New Roman" w:hAnsi="Times New Roman" w:cs="Times New Roman" w:hint="default"/>
      <w:sz w:val="20"/>
      <w:szCs w:val="20"/>
      <w:shd w:val="clear" w:color="auto" w:fill="FFFFFF"/>
    </w:rPr>
  </w:style>
  <w:style w:type="character" w:customStyle="1" w:styleId="s4">
    <w:name w:val="s4"/>
    <w:basedOn w:val="VarsaylanParagrafYazTipi"/>
    <w:rsid w:val="0080586F"/>
    <w:rPr>
      <w:rFonts w:ascii="Arial" w:hAnsi="Arial" w:cs="Arial" w:hint="default"/>
      <w:sz w:val="20"/>
      <w:szCs w:val="20"/>
      <w:shd w:val="clear" w:color="auto" w:fill="FFFFFF"/>
    </w:rPr>
  </w:style>
  <w:style w:type="paragraph" w:styleId="Dzeltme">
    <w:name w:val="Revision"/>
    <w:hidden/>
    <w:uiPriority w:val="99"/>
    <w:semiHidden/>
    <w:rsid w:val="008E506F"/>
  </w:style>
  <w:style w:type="character" w:styleId="AklamaBavurusu">
    <w:name w:val="annotation reference"/>
    <w:basedOn w:val="VarsaylanParagrafYazTipi"/>
    <w:uiPriority w:val="99"/>
    <w:semiHidden/>
    <w:unhideWhenUsed/>
    <w:rsid w:val="00FD394F"/>
    <w:rPr>
      <w:sz w:val="16"/>
      <w:szCs w:val="16"/>
    </w:rPr>
  </w:style>
  <w:style w:type="paragraph" w:styleId="AklamaMetni">
    <w:name w:val="annotation text"/>
    <w:basedOn w:val="Normal"/>
    <w:link w:val="AklamaMetniChar"/>
    <w:uiPriority w:val="99"/>
    <w:semiHidden/>
    <w:unhideWhenUsed/>
    <w:rsid w:val="00FD394F"/>
    <w:rPr>
      <w:sz w:val="20"/>
      <w:szCs w:val="20"/>
    </w:rPr>
  </w:style>
  <w:style w:type="character" w:customStyle="1" w:styleId="AklamaMetniChar">
    <w:name w:val="Açıklama Metni Char"/>
    <w:basedOn w:val="VarsaylanParagrafYazTipi"/>
    <w:link w:val="AklamaMetni"/>
    <w:uiPriority w:val="99"/>
    <w:semiHidden/>
    <w:rsid w:val="00FD394F"/>
    <w:rPr>
      <w:sz w:val="20"/>
      <w:szCs w:val="20"/>
    </w:rPr>
  </w:style>
  <w:style w:type="paragraph" w:styleId="AklamaKonusu">
    <w:name w:val="annotation subject"/>
    <w:basedOn w:val="AklamaMetni"/>
    <w:next w:val="AklamaMetni"/>
    <w:link w:val="AklamaKonusuChar"/>
    <w:uiPriority w:val="99"/>
    <w:semiHidden/>
    <w:unhideWhenUsed/>
    <w:rsid w:val="00FD394F"/>
    <w:rPr>
      <w:b/>
      <w:bCs/>
    </w:rPr>
  </w:style>
  <w:style w:type="character" w:customStyle="1" w:styleId="AklamaKonusuChar">
    <w:name w:val="Açıklama Konusu Char"/>
    <w:basedOn w:val="AklamaMetniChar"/>
    <w:link w:val="AklamaKonusu"/>
    <w:uiPriority w:val="99"/>
    <w:semiHidden/>
    <w:rsid w:val="00FD394F"/>
    <w:rPr>
      <w:b/>
      <w:bCs/>
      <w:sz w:val="20"/>
      <w:szCs w:val="20"/>
    </w:rPr>
  </w:style>
  <w:style w:type="paragraph" w:styleId="SonNotMetni">
    <w:name w:val="endnote text"/>
    <w:basedOn w:val="Normal"/>
    <w:link w:val="SonNotMetniChar"/>
    <w:uiPriority w:val="99"/>
    <w:semiHidden/>
    <w:unhideWhenUsed/>
    <w:rsid w:val="004A739B"/>
    <w:rPr>
      <w:sz w:val="20"/>
      <w:szCs w:val="20"/>
    </w:rPr>
  </w:style>
  <w:style w:type="character" w:customStyle="1" w:styleId="SonNotMetniChar">
    <w:name w:val="Son Not Metni Char"/>
    <w:basedOn w:val="VarsaylanParagrafYazTipi"/>
    <w:link w:val="SonNotMetni"/>
    <w:uiPriority w:val="99"/>
    <w:semiHidden/>
    <w:rsid w:val="004A739B"/>
    <w:rPr>
      <w:sz w:val="20"/>
      <w:szCs w:val="20"/>
    </w:rPr>
  </w:style>
  <w:style w:type="character" w:styleId="SonNotBavurusu">
    <w:name w:val="endnote reference"/>
    <w:basedOn w:val="VarsaylanParagrafYazTipi"/>
    <w:uiPriority w:val="99"/>
    <w:semiHidden/>
    <w:unhideWhenUsed/>
    <w:rsid w:val="004A739B"/>
    <w:rPr>
      <w:vertAlign w:val="superscript"/>
    </w:rPr>
  </w:style>
  <w:style w:type="character" w:styleId="zmlenmeyenBahsetme">
    <w:name w:val="Unresolved Mention"/>
    <w:basedOn w:val="VarsaylanParagrafYazTipi"/>
    <w:uiPriority w:val="99"/>
    <w:rsid w:val="008E1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446">
      <w:bodyDiv w:val="1"/>
      <w:marLeft w:val="0"/>
      <w:marRight w:val="0"/>
      <w:marTop w:val="0"/>
      <w:marBottom w:val="0"/>
      <w:divBdr>
        <w:top w:val="none" w:sz="0" w:space="0" w:color="auto"/>
        <w:left w:val="none" w:sz="0" w:space="0" w:color="auto"/>
        <w:bottom w:val="none" w:sz="0" w:space="0" w:color="auto"/>
        <w:right w:val="none" w:sz="0" w:space="0" w:color="auto"/>
      </w:divBdr>
      <w:divsChild>
        <w:div w:id="51586851">
          <w:marLeft w:val="0"/>
          <w:marRight w:val="0"/>
          <w:marTop w:val="0"/>
          <w:marBottom w:val="0"/>
          <w:divBdr>
            <w:top w:val="none" w:sz="0" w:space="0" w:color="auto"/>
            <w:left w:val="none" w:sz="0" w:space="0" w:color="auto"/>
            <w:bottom w:val="none" w:sz="0" w:space="0" w:color="auto"/>
            <w:right w:val="none" w:sz="0" w:space="0" w:color="auto"/>
          </w:divBdr>
          <w:divsChild>
            <w:div w:id="198516518">
              <w:marLeft w:val="0"/>
              <w:marRight w:val="0"/>
              <w:marTop w:val="0"/>
              <w:marBottom w:val="0"/>
              <w:divBdr>
                <w:top w:val="none" w:sz="0" w:space="0" w:color="auto"/>
                <w:left w:val="none" w:sz="0" w:space="0" w:color="auto"/>
                <w:bottom w:val="none" w:sz="0" w:space="0" w:color="auto"/>
                <w:right w:val="none" w:sz="0" w:space="0" w:color="auto"/>
              </w:divBdr>
              <w:divsChild>
                <w:div w:id="15396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6360">
      <w:bodyDiv w:val="1"/>
      <w:marLeft w:val="0"/>
      <w:marRight w:val="0"/>
      <w:marTop w:val="0"/>
      <w:marBottom w:val="0"/>
      <w:divBdr>
        <w:top w:val="none" w:sz="0" w:space="0" w:color="auto"/>
        <w:left w:val="none" w:sz="0" w:space="0" w:color="auto"/>
        <w:bottom w:val="none" w:sz="0" w:space="0" w:color="auto"/>
        <w:right w:val="none" w:sz="0" w:space="0" w:color="auto"/>
      </w:divBdr>
      <w:divsChild>
        <w:div w:id="253125055">
          <w:marLeft w:val="0"/>
          <w:marRight w:val="0"/>
          <w:marTop w:val="0"/>
          <w:marBottom w:val="0"/>
          <w:divBdr>
            <w:top w:val="none" w:sz="0" w:space="0" w:color="auto"/>
            <w:left w:val="none" w:sz="0" w:space="0" w:color="auto"/>
            <w:bottom w:val="none" w:sz="0" w:space="0" w:color="auto"/>
            <w:right w:val="none" w:sz="0" w:space="0" w:color="auto"/>
          </w:divBdr>
          <w:divsChild>
            <w:div w:id="2044279429">
              <w:marLeft w:val="0"/>
              <w:marRight w:val="0"/>
              <w:marTop w:val="0"/>
              <w:marBottom w:val="0"/>
              <w:divBdr>
                <w:top w:val="none" w:sz="0" w:space="0" w:color="auto"/>
                <w:left w:val="none" w:sz="0" w:space="0" w:color="auto"/>
                <w:bottom w:val="none" w:sz="0" w:space="0" w:color="auto"/>
                <w:right w:val="none" w:sz="0" w:space="0" w:color="auto"/>
              </w:divBdr>
              <w:divsChild>
                <w:div w:id="14544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5304">
      <w:bodyDiv w:val="1"/>
      <w:marLeft w:val="0"/>
      <w:marRight w:val="0"/>
      <w:marTop w:val="0"/>
      <w:marBottom w:val="0"/>
      <w:divBdr>
        <w:top w:val="none" w:sz="0" w:space="0" w:color="auto"/>
        <w:left w:val="none" w:sz="0" w:space="0" w:color="auto"/>
        <w:bottom w:val="none" w:sz="0" w:space="0" w:color="auto"/>
        <w:right w:val="none" w:sz="0" w:space="0" w:color="auto"/>
      </w:divBdr>
    </w:div>
    <w:div w:id="499201181">
      <w:bodyDiv w:val="1"/>
      <w:marLeft w:val="0"/>
      <w:marRight w:val="0"/>
      <w:marTop w:val="0"/>
      <w:marBottom w:val="0"/>
      <w:divBdr>
        <w:top w:val="none" w:sz="0" w:space="0" w:color="auto"/>
        <w:left w:val="none" w:sz="0" w:space="0" w:color="auto"/>
        <w:bottom w:val="none" w:sz="0" w:space="0" w:color="auto"/>
        <w:right w:val="none" w:sz="0" w:space="0" w:color="auto"/>
      </w:divBdr>
    </w:div>
    <w:div w:id="513152376">
      <w:bodyDiv w:val="1"/>
      <w:marLeft w:val="0"/>
      <w:marRight w:val="0"/>
      <w:marTop w:val="0"/>
      <w:marBottom w:val="0"/>
      <w:divBdr>
        <w:top w:val="none" w:sz="0" w:space="0" w:color="auto"/>
        <w:left w:val="none" w:sz="0" w:space="0" w:color="auto"/>
        <w:bottom w:val="none" w:sz="0" w:space="0" w:color="auto"/>
        <w:right w:val="none" w:sz="0" w:space="0" w:color="auto"/>
      </w:divBdr>
    </w:div>
    <w:div w:id="532305306">
      <w:bodyDiv w:val="1"/>
      <w:marLeft w:val="0"/>
      <w:marRight w:val="0"/>
      <w:marTop w:val="0"/>
      <w:marBottom w:val="0"/>
      <w:divBdr>
        <w:top w:val="none" w:sz="0" w:space="0" w:color="auto"/>
        <w:left w:val="none" w:sz="0" w:space="0" w:color="auto"/>
        <w:bottom w:val="none" w:sz="0" w:space="0" w:color="auto"/>
        <w:right w:val="none" w:sz="0" w:space="0" w:color="auto"/>
      </w:divBdr>
      <w:divsChild>
        <w:div w:id="773745465">
          <w:marLeft w:val="0"/>
          <w:marRight w:val="0"/>
          <w:marTop w:val="0"/>
          <w:marBottom w:val="0"/>
          <w:divBdr>
            <w:top w:val="none" w:sz="0" w:space="0" w:color="auto"/>
            <w:left w:val="none" w:sz="0" w:space="0" w:color="auto"/>
            <w:bottom w:val="none" w:sz="0" w:space="0" w:color="auto"/>
            <w:right w:val="none" w:sz="0" w:space="0" w:color="auto"/>
          </w:divBdr>
          <w:divsChild>
            <w:div w:id="2144032622">
              <w:marLeft w:val="0"/>
              <w:marRight w:val="0"/>
              <w:marTop w:val="0"/>
              <w:marBottom w:val="0"/>
              <w:divBdr>
                <w:top w:val="none" w:sz="0" w:space="0" w:color="auto"/>
                <w:left w:val="none" w:sz="0" w:space="0" w:color="auto"/>
                <w:bottom w:val="none" w:sz="0" w:space="0" w:color="auto"/>
                <w:right w:val="none" w:sz="0" w:space="0" w:color="auto"/>
              </w:divBdr>
              <w:divsChild>
                <w:div w:id="21141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54458">
      <w:bodyDiv w:val="1"/>
      <w:marLeft w:val="0"/>
      <w:marRight w:val="0"/>
      <w:marTop w:val="0"/>
      <w:marBottom w:val="0"/>
      <w:divBdr>
        <w:top w:val="none" w:sz="0" w:space="0" w:color="auto"/>
        <w:left w:val="none" w:sz="0" w:space="0" w:color="auto"/>
        <w:bottom w:val="none" w:sz="0" w:space="0" w:color="auto"/>
        <w:right w:val="none" w:sz="0" w:space="0" w:color="auto"/>
      </w:divBdr>
    </w:div>
    <w:div w:id="572201821">
      <w:bodyDiv w:val="1"/>
      <w:marLeft w:val="0"/>
      <w:marRight w:val="0"/>
      <w:marTop w:val="0"/>
      <w:marBottom w:val="0"/>
      <w:divBdr>
        <w:top w:val="none" w:sz="0" w:space="0" w:color="auto"/>
        <w:left w:val="none" w:sz="0" w:space="0" w:color="auto"/>
        <w:bottom w:val="none" w:sz="0" w:space="0" w:color="auto"/>
        <w:right w:val="none" w:sz="0" w:space="0" w:color="auto"/>
      </w:divBdr>
      <w:divsChild>
        <w:div w:id="1457674183">
          <w:marLeft w:val="0"/>
          <w:marRight w:val="0"/>
          <w:marTop w:val="0"/>
          <w:marBottom w:val="0"/>
          <w:divBdr>
            <w:top w:val="none" w:sz="0" w:space="0" w:color="auto"/>
            <w:left w:val="none" w:sz="0" w:space="0" w:color="auto"/>
            <w:bottom w:val="none" w:sz="0" w:space="0" w:color="auto"/>
            <w:right w:val="none" w:sz="0" w:space="0" w:color="auto"/>
          </w:divBdr>
          <w:divsChild>
            <w:div w:id="668562806">
              <w:marLeft w:val="0"/>
              <w:marRight w:val="0"/>
              <w:marTop w:val="0"/>
              <w:marBottom w:val="0"/>
              <w:divBdr>
                <w:top w:val="none" w:sz="0" w:space="0" w:color="auto"/>
                <w:left w:val="none" w:sz="0" w:space="0" w:color="auto"/>
                <w:bottom w:val="none" w:sz="0" w:space="0" w:color="auto"/>
                <w:right w:val="none" w:sz="0" w:space="0" w:color="auto"/>
              </w:divBdr>
              <w:divsChild>
                <w:div w:id="7633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07985">
      <w:bodyDiv w:val="1"/>
      <w:marLeft w:val="0"/>
      <w:marRight w:val="0"/>
      <w:marTop w:val="0"/>
      <w:marBottom w:val="0"/>
      <w:divBdr>
        <w:top w:val="none" w:sz="0" w:space="0" w:color="auto"/>
        <w:left w:val="none" w:sz="0" w:space="0" w:color="auto"/>
        <w:bottom w:val="none" w:sz="0" w:space="0" w:color="auto"/>
        <w:right w:val="none" w:sz="0" w:space="0" w:color="auto"/>
      </w:divBdr>
      <w:divsChild>
        <w:div w:id="781459142">
          <w:marLeft w:val="0"/>
          <w:marRight w:val="0"/>
          <w:marTop w:val="0"/>
          <w:marBottom w:val="0"/>
          <w:divBdr>
            <w:top w:val="none" w:sz="0" w:space="0" w:color="auto"/>
            <w:left w:val="none" w:sz="0" w:space="0" w:color="auto"/>
            <w:bottom w:val="none" w:sz="0" w:space="0" w:color="auto"/>
            <w:right w:val="none" w:sz="0" w:space="0" w:color="auto"/>
          </w:divBdr>
          <w:divsChild>
            <w:div w:id="100033357">
              <w:marLeft w:val="0"/>
              <w:marRight w:val="0"/>
              <w:marTop w:val="0"/>
              <w:marBottom w:val="0"/>
              <w:divBdr>
                <w:top w:val="none" w:sz="0" w:space="0" w:color="auto"/>
                <w:left w:val="none" w:sz="0" w:space="0" w:color="auto"/>
                <w:bottom w:val="none" w:sz="0" w:space="0" w:color="auto"/>
                <w:right w:val="none" w:sz="0" w:space="0" w:color="auto"/>
              </w:divBdr>
              <w:divsChild>
                <w:div w:id="1455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90572">
      <w:bodyDiv w:val="1"/>
      <w:marLeft w:val="0"/>
      <w:marRight w:val="0"/>
      <w:marTop w:val="0"/>
      <w:marBottom w:val="0"/>
      <w:divBdr>
        <w:top w:val="none" w:sz="0" w:space="0" w:color="auto"/>
        <w:left w:val="none" w:sz="0" w:space="0" w:color="auto"/>
        <w:bottom w:val="none" w:sz="0" w:space="0" w:color="auto"/>
        <w:right w:val="none" w:sz="0" w:space="0" w:color="auto"/>
      </w:divBdr>
      <w:divsChild>
        <w:div w:id="615866329">
          <w:marLeft w:val="0"/>
          <w:marRight w:val="0"/>
          <w:marTop w:val="0"/>
          <w:marBottom w:val="0"/>
          <w:divBdr>
            <w:top w:val="none" w:sz="0" w:space="0" w:color="auto"/>
            <w:left w:val="none" w:sz="0" w:space="0" w:color="auto"/>
            <w:bottom w:val="none" w:sz="0" w:space="0" w:color="auto"/>
            <w:right w:val="none" w:sz="0" w:space="0" w:color="auto"/>
          </w:divBdr>
          <w:divsChild>
            <w:div w:id="802577615">
              <w:marLeft w:val="0"/>
              <w:marRight w:val="0"/>
              <w:marTop w:val="0"/>
              <w:marBottom w:val="0"/>
              <w:divBdr>
                <w:top w:val="none" w:sz="0" w:space="0" w:color="auto"/>
                <w:left w:val="none" w:sz="0" w:space="0" w:color="auto"/>
                <w:bottom w:val="none" w:sz="0" w:space="0" w:color="auto"/>
                <w:right w:val="none" w:sz="0" w:space="0" w:color="auto"/>
              </w:divBdr>
              <w:divsChild>
                <w:div w:id="4124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1123">
      <w:bodyDiv w:val="1"/>
      <w:marLeft w:val="0"/>
      <w:marRight w:val="0"/>
      <w:marTop w:val="0"/>
      <w:marBottom w:val="0"/>
      <w:divBdr>
        <w:top w:val="none" w:sz="0" w:space="0" w:color="auto"/>
        <w:left w:val="none" w:sz="0" w:space="0" w:color="auto"/>
        <w:bottom w:val="none" w:sz="0" w:space="0" w:color="auto"/>
        <w:right w:val="none" w:sz="0" w:space="0" w:color="auto"/>
      </w:divBdr>
    </w:div>
    <w:div w:id="810637972">
      <w:bodyDiv w:val="1"/>
      <w:marLeft w:val="0"/>
      <w:marRight w:val="0"/>
      <w:marTop w:val="0"/>
      <w:marBottom w:val="0"/>
      <w:divBdr>
        <w:top w:val="none" w:sz="0" w:space="0" w:color="auto"/>
        <w:left w:val="none" w:sz="0" w:space="0" w:color="auto"/>
        <w:bottom w:val="none" w:sz="0" w:space="0" w:color="auto"/>
        <w:right w:val="none" w:sz="0" w:space="0" w:color="auto"/>
      </w:divBdr>
    </w:div>
    <w:div w:id="936056232">
      <w:bodyDiv w:val="1"/>
      <w:marLeft w:val="0"/>
      <w:marRight w:val="0"/>
      <w:marTop w:val="0"/>
      <w:marBottom w:val="0"/>
      <w:divBdr>
        <w:top w:val="none" w:sz="0" w:space="0" w:color="auto"/>
        <w:left w:val="none" w:sz="0" w:space="0" w:color="auto"/>
        <w:bottom w:val="none" w:sz="0" w:space="0" w:color="auto"/>
        <w:right w:val="none" w:sz="0" w:space="0" w:color="auto"/>
      </w:divBdr>
    </w:div>
    <w:div w:id="1286426552">
      <w:bodyDiv w:val="1"/>
      <w:marLeft w:val="0"/>
      <w:marRight w:val="0"/>
      <w:marTop w:val="0"/>
      <w:marBottom w:val="0"/>
      <w:divBdr>
        <w:top w:val="none" w:sz="0" w:space="0" w:color="auto"/>
        <w:left w:val="none" w:sz="0" w:space="0" w:color="auto"/>
        <w:bottom w:val="none" w:sz="0" w:space="0" w:color="auto"/>
        <w:right w:val="none" w:sz="0" w:space="0" w:color="auto"/>
      </w:divBdr>
    </w:div>
    <w:div w:id="1678455635">
      <w:bodyDiv w:val="1"/>
      <w:marLeft w:val="0"/>
      <w:marRight w:val="0"/>
      <w:marTop w:val="0"/>
      <w:marBottom w:val="0"/>
      <w:divBdr>
        <w:top w:val="none" w:sz="0" w:space="0" w:color="auto"/>
        <w:left w:val="none" w:sz="0" w:space="0" w:color="auto"/>
        <w:bottom w:val="none" w:sz="0" w:space="0" w:color="auto"/>
        <w:right w:val="none" w:sz="0" w:space="0" w:color="auto"/>
      </w:divBdr>
    </w:div>
    <w:div w:id="1871146460">
      <w:bodyDiv w:val="1"/>
      <w:marLeft w:val="0"/>
      <w:marRight w:val="0"/>
      <w:marTop w:val="0"/>
      <w:marBottom w:val="0"/>
      <w:divBdr>
        <w:top w:val="none" w:sz="0" w:space="0" w:color="auto"/>
        <w:left w:val="none" w:sz="0" w:space="0" w:color="auto"/>
        <w:bottom w:val="none" w:sz="0" w:space="0" w:color="auto"/>
        <w:right w:val="none" w:sz="0" w:space="0" w:color="auto"/>
      </w:divBdr>
    </w:div>
    <w:div w:id="2008972291">
      <w:bodyDiv w:val="1"/>
      <w:marLeft w:val="0"/>
      <w:marRight w:val="0"/>
      <w:marTop w:val="0"/>
      <w:marBottom w:val="0"/>
      <w:divBdr>
        <w:top w:val="none" w:sz="0" w:space="0" w:color="auto"/>
        <w:left w:val="none" w:sz="0" w:space="0" w:color="auto"/>
        <w:bottom w:val="none" w:sz="0" w:space="0" w:color="auto"/>
        <w:right w:val="none" w:sz="0" w:space="0" w:color="auto"/>
      </w:divBdr>
    </w:div>
    <w:div w:id="2100710660">
      <w:bodyDiv w:val="1"/>
      <w:marLeft w:val="0"/>
      <w:marRight w:val="0"/>
      <w:marTop w:val="0"/>
      <w:marBottom w:val="0"/>
      <w:divBdr>
        <w:top w:val="none" w:sz="0" w:space="0" w:color="auto"/>
        <w:left w:val="none" w:sz="0" w:space="0" w:color="auto"/>
        <w:bottom w:val="none" w:sz="0" w:space="0" w:color="auto"/>
        <w:right w:val="none" w:sz="0" w:space="0" w:color="auto"/>
      </w:divBdr>
      <w:divsChild>
        <w:div w:id="557253345">
          <w:marLeft w:val="0"/>
          <w:marRight w:val="0"/>
          <w:marTop w:val="0"/>
          <w:marBottom w:val="0"/>
          <w:divBdr>
            <w:top w:val="none" w:sz="0" w:space="0" w:color="auto"/>
            <w:left w:val="none" w:sz="0" w:space="0" w:color="auto"/>
            <w:bottom w:val="none" w:sz="0" w:space="0" w:color="auto"/>
            <w:right w:val="none" w:sz="0" w:space="0" w:color="auto"/>
          </w:divBdr>
          <w:divsChild>
            <w:div w:id="1542204476">
              <w:marLeft w:val="0"/>
              <w:marRight w:val="0"/>
              <w:marTop w:val="0"/>
              <w:marBottom w:val="0"/>
              <w:divBdr>
                <w:top w:val="none" w:sz="0" w:space="0" w:color="auto"/>
                <w:left w:val="none" w:sz="0" w:space="0" w:color="auto"/>
                <w:bottom w:val="none" w:sz="0" w:space="0" w:color="auto"/>
                <w:right w:val="none" w:sz="0" w:space="0" w:color="auto"/>
              </w:divBdr>
              <w:divsChild>
                <w:div w:id="3188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9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6" Type="http://schemas.openxmlformats.org/officeDocument/2006/relationships/hyperlink" Target="https://academiccommons.columbia.edu/catalog/ac%3A132059" TargetMode="External"/><Relationship Id="rId21" Type="http://schemas.openxmlformats.org/officeDocument/2006/relationships/hyperlink" Target="https://www.iosco.org/library/pubdocs/pdf/IOSCOPD323.pdf" TargetMode="External"/><Relationship Id="rId42" Type="http://schemas.openxmlformats.org/officeDocument/2006/relationships/hyperlink" Target="http://www.independent.co.uk/news/world/americas/vanity-fair-subscriptions-100-fold-donald-trump-tweet-restaurant-review-a7481201.html" TargetMode="External"/><Relationship Id="rId47" Type="http://schemas.openxmlformats.org/officeDocument/2006/relationships/hyperlink" Target="http://www.wsj.com/articles/SB106021603064104800" TargetMode="External"/><Relationship Id="rId63" Type="http://schemas.openxmlformats.org/officeDocument/2006/relationships/hyperlink" Target="http://engagedscholarship.csuohio.edu/clevstlrev/vol35/iss1/5" TargetMode="External"/><Relationship Id="rId68" Type="http://schemas.openxmlformats.org/officeDocument/2006/relationships/hyperlink" Target="http://hukuk.deu.edu.tr/dosyalar/dergiler/dergimiz-12-ozel/3-kamu/5-ozlemcelik.pdf" TargetMode="External"/><Relationship Id="rId2" Type="http://schemas.openxmlformats.org/officeDocument/2006/relationships/hyperlink" Target="http://www.eea-esem.com/files/papers/eea-esem/2011/459/December2010.PDF" TargetMode="External"/><Relationship Id="rId16" Type="http://schemas.openxmlformats.org/officeDocument/2006/relationships/hyperlink" Target="http://www.law.harvard.edu/programs/olin_center/papers/pdf/585.pdf" TargetMode="External"/><Relationship Id="rId29" Type="http://schemas.openxmlformats.org/officeDocument/2006/relationships/hyperlink" Target="http://www.rollcall.com/news/51140-1.html" TargetMode="External"/><Relationship Id="rId11" Type="http://schemas.openxmlformats.org/officeDocument/2006/relationships/hyperlink" Target="http://digitalcommons.law.seattleu.edu/sulr/vol35/iss4/13/" TargetMode="External"/><Relationship Id="rId24" Type="http://schemas.openxmlformats.org/officeDocument/2006/relationships/hyperlink" Target="https://1.next.westlaw.com/Link/Document/FullText?findType=Y&amp;serNum=1944110800&amp;pubNum=162&amp;originatingDoc=I5e4581b7556d11d9a99c85a9e6023ffa&amp;refType=RP&amp;fi=co_pp_sp_162_747&amp;originationContext=document&amp;transitionType=DocumentItem&amp;contextData=(sc.Search)" TargetMode="External"/><Relationship Id="rId32" Type="http://schemas.openxmlformats.org/officeDocument/2006/relationships/hyperlink" Target="http://www.dailymail.co.uk/sport/football/article-3145665/Chelsea-transfers-10-best-10-worst-Premier-League-signings.html" TargetMode="External"/><Relationship Id="rId37" Type="http://schemas.openxmlformats.org/officeDocument/2006/relationships/hyperlink" Target="http://www.independent.co.uk/news/world/americas/us-elections/why-donald-trump-isn-t-the-successful-businessman-he-claims-to-be-us-elections-republican-politics-7173666.html" TargetMode="External"/><Relationship Id="rId40" Type="http://schemas.openxmlformats.org/officeDocument/2006/relationships/hyperlink" Target="http://www.huffingtonpost.com/michael-moore/trump-self-sabotage_b_11545026.html" TargetMode="External"/><Relationship Id="rId45" Type="http://schemas.openxmlformats.org/officeDocument/2006/relationships/hyperlink" Target="http://www.scmp.com/business/companies/article/2042400/hong-kong-must-reform-financial-rules-attract-new-economy-ipos" TargetMode="External"/><Relationship Id="rId53" Type="http://schemas.openxmlformats.org/officeDocument/2006/relationships/hyperlink" Target="http://www.latimes.com/business/la-fi-trump-woes-20150710-story.html" TargetMode="External"/><Relationship Id="rId58" Type="http://schemas.openxmlformats.org/officeDocument/2006/relationships/hyperlink" Target="http://webcache.googleusercontent.com/search?q=cache:lGxds4ADX4sJ:www.springer.com/cda/content/document/cda_downloaddocument/9783642230042-c1.pdf%3FSGWID%3D0-0-45-1275843-p174267777+&amp;cd=1&amp;hl=tr&amp;ct=clnk&amp;gl=us&amp;client=safari" TargetMode="External"/><Relationship Id="rId66" Type="http://schemas.openxmlformats.org/officeDocument/2006/relationships/hyperlink" Target="http://www.independent.co.uk/news/business/cazenove-quits-as-broker...egraph-group-leading-city-firm-severs-link-with-conrad-1410892.html" TargetMode="External"/><Relationship Id="rId74" Type="http://schemas.openxmlformats.org/officeDocument/2006/relationships/hyperlink" Target="https://1.next.westlaw.com/Link/Document/FullText?findType=L&amp;pubNum=1000546&amp;cite=18USCAS656&amp;originatingDoc=Ibedaebe5909711d98e8fb00d6c6a02dd&amp;refType=LQ&amp;originationContext=document&amp;transitionType=DocumentItem&amp;contextData=(sc.Search)" TargetMode="External"/><Relationship Id="rId5" Type="http://schemas.openxmlformats.org/officeDocument/2006/relationships/hyperlink" Target="http://eur-lex.europa.eu/legal-content/EN/TXT/PDF/?uri=COM:2015:63:FIN&amp;from=EN" TargetMode="External"/><Relationship Id="rId61" Type="http://schemas.openxmlformats.org/officeDocument/2006/relationships/hyperlink" Target="https://tez.yok.gov.tr/UlusalTezMerkezi/tezSorguSonucYeni.jsp" TargetMode="External"/><Relationship Id="rId19" Type="http://schemas.openxmlformats.org/officeDocument/2006/relationships/hyperlink" Target="http://www1.worldbank.org/finance/assets/images/Fs01_web1.pdf" TargetMode="External"/><Relationship Id="rId14" Type="http://schemas.openxmlformats.org/officeDocument/2006/relationships/hyperlink" Target="http://www.mckinsey.com/industries/private-equity-and-principal-investors/our-insights/emerging-equity-gap" TargetMode="External"/><Relationship Id="rId22" Type="http://schemas.openxmlformats.org/officeDocument/2006/relationships/hyperlink" Target="http://papers.ssrn.com/sol3/papers.cfm?abstract_id=621142" TargetMode="External"/><Relationship Id="rId27" Type="http://schemas.openxmlformats.org/officeDocument/2006/relationships/hyperlink" Target="http://www.politico.com/story/2014/12/top-political-donors-113833" TargetMode="External"/><Relationship Id="rId30" Type="http://schemas.openxmlformats.org/officeDocument/2006/relationships/hyperlink" Target="http://www.telegraph.co.uk/sport/football/2337467/Mutual-friendship-clinched-transfer.html" TargetMode="External"/><Relationship Id="rId35" Type="http://schemas.openxmlformats.org/officeDocument/2006/relationships/hyperlink" Target="http://money.cnn.com/2016/11/18/news/trump-university-settlement/)" TargetMode="External"/><Relationship Id="rId43" Type="http://schemas.openxmlformats.org/officeDocument/2006/relationships/hyperlink" Target="http://www.reuters.com/article/us-usa-trump-rexnord-idUSKBN13S0PU" TargetMode="External"/><Relationship Id="rId48" Type="http://schemas.openxmlformats.org/officeDocument/2006/relationships/hyperlink" Target="http://eilfe.com/wp-content/uploads/2013/02/JournalofLawFinance.pdf" TargetMode="External"/><Relationship Id="rId56" Type="http://schemas.openxmlformats.org/officeDocument/2006/relationships/hyperlink" Target="http://www.ipo-underpricing.com/Downloads/Ehrhardt_Private%20Benefits.pdf" TargetMode="External"/><Relationship Id="rId64" Type="http://schemas.openxmlformats.org/officeDocument/2006/relationships/hyperlink" Target="http://www.mlpassociation.org/mlp-101/" TargetMode="External"/><Relationship Id="rId69" Type="http://schemas.openxmlformats.org/officeDocument/2006/relationships/hyperlink" Target="http://scholarlycommons.law.hofstra.edu/cgi/viewcontent.cgi?article=2341&amp;context=hlr" TargetMode="External"/><Relationship Id="rId8" Type="http://schemas.openxmlformats.org/officeDocument/2006/relationships/hyperlink" Target="http://www.theatlantic.com/technology/archive/2015/02/apple-is-basically-a-small-country-now/385385/" TargetMode="External"/><Relationship Id="rId51" Type="http://schemas.openxmlformats.org/officeDocument/2006/relationships/hyperlink" Target="http://www.hbs.edu/faculty/Publication%20Files/08-048_182eb805-b8f6-4f7a-bf04-2dd08ad52ae1.pdf" TargetMode="External"/><Relationship Id="rId72" Type="http://schemas.openxmlformats.org/officeDocument/2006/relationships/hyperlink" Target="http://cdn2.hubspot.net/hubfs/201401/PDFs/19_Fryar.pdf?t=1471562380688" TargetMode="External"/><Relationship Id="rId3" Type="http://schemas.openxmlformats.org/officeDocument/2006/relationships/hyperlink" Target="http://law.stanford.edu/wp-content/uploads/sites/default/files/publication/257565/doc/slspublic/Controlling-Shareholders.pdf" TargetMode="External"/><Relationship Id="rId12" Type="http://schemas.openxmlformats.org/officeDocument/2006/relationships/hyperlink" Target="http://www.federalreserve.gov/newsevents/testimony/bernanke20100902a.htm" TargetMode="External"/><Relationship Id="rId17" Type="http://schemas.openxmlformats.org/officeDocument/2006/relationships/hyperlink" Target="http://www.law.yale.edu/documents/pdf/cbl/Zingales_Future_Securities.pdf" TargetMode="External"/><Relationship Id="rId25" Type="http://schemas.openxmlformats.org/officeDocument/2006/relationships/hyperlink" Target="http://law.emory.edu/eilr/content/volume-29/issue-4/comments/uefa-fairplay-european-union-antitrust.html" TargetMode="External"/><Relationship Id="rId33" Type="http://schemas.openxmlformats.org/officeDocument/2006/relationships/hyperlink" Target="http://www.chelseafc.com/the-club/about-chelsea-football-club/club-personnel.html" TargetMode="External"/><Relationship Id="rId38" Type="http://schemas.openxmlformats.org/officeDocument/2006/relationships/hyperlink" Target="http://www.dailymail.co.uk/news/article-3355593/Trumps-image-removed-Dubai-development-amid-uproar.html" TargetMode="External"/><Relationship Id="rId46" Type="http://schemas.openxmlformats.org/officeDocument/2006/relationships/hyperlink" Target="https://www.sec.gov/answers/form8k.htm)" TargetMode="External"/><Relationship Id="rId59" Type="http://schemas.openxmlformats.org/officeDocument/2006/relationships/hyperlink" Target="http://www.curacao-law.com/2015/09/02/no-derivative-action-in-curacao/" TargetMode="External"/><Relationship Id="rId67" Type="http://schemas.openxmlformats.org/officeDocument/2006/relationships/hyperlink" Target="http://today.law.harvard.edu/laurence-tribe-on-citizens-united-v-federal-election-commission/" TargetMode="External"/><Relationship Id="rId20" Type="http://schemas.openxmlformats.org/officeDocument/2006/relationships/hyperlink" Target="http://www.oecd.org/daf/ca/Corporate-Governance-Factbook.pdf" TargetMode="External"/><Relationship Id="rId41" Type="http://schemas.openxmlformats.org/officeDocument/2006/relationships/hyperlink" Target="http://www.aljazeera.com/indepth/opinion/2016/11/stop-private-prisons-161126142726748.html" TargetMode="External"/><Relationship Id="rId54" Type="http://schemas.openxmlformats.org/officeDocument/2006/relationships/hyperlink" Target="http://fortune.com/2015/12/17/donald-trump-deals-lost/" TargetMode="External"/><Relationship Id="rId62" Type="http://schemas.openxmlformats.org/officeDocument/2006/relationships/hyperlink" Target="http://kgk.gov.tr/DynamicContentDetail/6538/TMS/TFRS-2017-Seti" TargetMode="External"/><Relationship Id="rId70" Type="http://schemas.openxmlformats.org/officeDocument/2006/relationships/hyperlink" Target="http://www.sec.gov/answers/regis33.htm" TargetMode="External"/><Relationship Id="rId75" Type="http://schemas.openxmlformats.org/officeDocument/2006/relationships/hyperlink" Target="https://www.unibocconi.eu/wps/wcm/connect/703b0434-4b96-435f-b52e-92ff838c8716/WP+12+Pollicino-Lubello-Bertolini.pdf?MOD=AJPERES" TargetMode="External"/><Relationship Id="rId1" Type="http://schemas.openxmlformats.org/officeDocument/2006/relationships/hyperlink" Target="mailto:canpehlivanoglu@gmail.com" TargetMode="External"/><Relationship Id="rId6" Type="http://schemas.openxmlformats.org/officeDocument/2006/relationships/hyperlink" Target="http://chicagounbound.uchicago.edu/cgi/viewcontent.cgi?article=1195&amp;context=law_and_economics" TargetMode="External"/><Relationship Id="rId15" Type="http://schemas.openxmlformats.org/officeDocument/2006/relationships/hyperlink" Target="http://www.innosight.com/innovation-resources/strategy-innovation/upload/creative-destruction-whips-through-corporate-america_final2015.pdf" TargetMode="External"/><Relationship Id="rId23" Type="http://schemas.openxmlformats.org/officeDocument/2006/relationships/hyperlink" Target="http://digitalcommons.law.seattleu.edu/cgi/viewcontent.cgi?article=1007&amp;context=sulr" TargetMode="External"/><Relationship Id="rId28" Type="http://schemas.openxmlformats.org/officeDocument/2006/relationships/hyperlink" Target="http://scholar.harvard.edu/shleifer/publications/family-firms" TargetMode="External"/><Relationship Id="rId36" Type="http://schemas.openxmlformats.org/officeDocument/2006/relationships/hyperlink" Target="http://www.bbc.com/news/election-us-2016-37533263" TargetMode="External"/><Relationship Id="rId49" Type="http://schemas.openxmlformats.org/officeDocument/2006/relationships/hyperlink" Target="https://www.jstor.org/stable/4132703?seq=1" TargetMode="External"/><Relationship Id="rId57" Type="http://schemas.openxmlformats.org/officeDocument/2006/relationships/hyperlink" Target="http://scholarlycommons.law.hofstra.edu/cgi/viewcontent.cgi?article=1272&amp;context=hlr" TargetMode="External"/><Relationship Id="rId10" Type="http://schemas.openxmlformats.org/officeDocument/2006/relationships/hyperlink" Target="http://www.apple.com/about/job-creation/" TargetMode="External"/><Relationship Id="rId31" Type="http://schemas.openxmlformats.org/officeDocument/2006/relationships/hyperlink" Target="https://www.theguardian.com/football/2007/jan/13/newsstory.sport" TargetMode="External"/><Relationship Id="rId44" Type="http://schemas.openxmlformats.org/officeDocument/2006/relationships/hyperlink" Target="http://capmktsreg.org/app/uploads/2014/08/Committees-November-2006-Interim-Report.pdf" TargetMode="External"/><Relationship Id="rId52" Type="http://schemas.openxmlformats.org/officeDocument/2006/relationships/hyperlink" Target="http://abfer.org/docs/2015/program-2/behind-the-scenes-the-corporate-governance-preferences-of-institutional-investors.pdf" TargetMode="External"/><Relationship Id="rId60" Type="http://schemas.openxmlformats.org/officeDocument/2006/relationships/hyperlink" Target="http://www.journals.istanbul.edu.tr/iuhfm/article/download/1023010512/1023009749" TargetMode="External"/><Relationship Id="rId65" Type="http://schemas.openxmlformats.org/officeDocument/2006/relationships/hyperlink" Target="http://www.mlpassociation.org/public-policy/mlp-laws-regulations/definition-of-publicly-traded-partnership/" TargetMode="External"/><Relationship Id="rId73" Type="http://schemas.openxmlformats.org/officeDocument/2006/relationships/hyperlink" Target="http://engagedscholarship.csuohio.edu/clevstlrev/vol35/iss1/5" TargetMode="External"/><Relationship Id="rId4" Type="http://schemas.openxmlformats.org/officeDocument/2006/relationships/hyperlink" Target="https://papers.ssrn.com/sol3/papers.cfm?abstract_id=2503754" TargetMode="External"/><Relationship Id="rId9" Type="http://schemas.openxmlformats.org/officeDocument/2006/relationships/hyperlink" Target="https://www.nyse.com/quote/XNAS:AAPL/company" TargetMode="External"/><Relationship Id="rId13" Type="http://schemas.openxmlformats.org/officeDocument/2006/relationships/hyperlink" Target="http://www.mckinsey.com/business-functions/strategy-and-corporate-finance/our-insights/the-new-global-competition-for-corporate-profits" TargetMode="External"/><Relationship Id="rId18" Type="http://schemas.openxmlformats.org/officeDocument/2006/relationships/hyperlink" Target="ftp://ftp.repec.org/opt/ReDIF/RePEc/fth/harver/hier1882.pdf" TargetMode="External"/><Relationship Id="rId39" Type="http://schemas.openxmlformats.org/officeDocument/2006/relationships/hyperlink" Target="http://www.foxnews.com/politics/2016/09/30/trump-presidential-campaign-could-be-good-for-his-hotels.html" TargetMode="External"/><Relationship Id="rId34" Type="http://schemas.openxmlformats.org/officeDocument/2006/relationships/hyperlink" Target="http://www.scmp.com/sport/soccer/article/2054449/why-southeast-asian-football-still-struggling-be-accepted-and-respected" TargetMode="External"/><Relationship Id="rId50" Type="http://schemas.openxmlformats.org/officeDocument/2006/relationships/hyperlink" Target="http://edition.cnn.com/2016/11/26/asia/south-korea-mass-protests/index.html" TargetMode="External"/><Relationship Id="rId55" Type="http://schemas.openxmlformats.org/officeDocument/2006/relationships/hyperlink" Target="http://www.politico.com/magazine/story/2016/01/donald-trump-2016-brand-business-213515" TargetMode="External"/><Relationship Id="rId76" Type="http://schemas.openxmlformats.org/officeDocument/2006/relationships/hyperlink" Target="http://www.rug.nl/research/portal/files/3038170/minorityshh.pdf" TargetMode="External"/><Relationship Id="rId7" Type="http://schemas.openxmlformats.org/officeDocument/2006/relationships/hyperlink" Target="https://econ.duke.edu/uploads/assets/People/Kuran/Why%20ME%20underdeveloped.pdf" TargetMode="External"/><Relationship Id="rId71" Type="http://schemas.openxmlformats.org/officeDocument/2006/relationships/hyperlink" Target="https://www.sec.gov/rules/final/2015/33-9974.pdf"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418BA2-5B9E-3341-BC99-937E179E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9166</TotalTime>
  <Pages>218</Pages>
  <Words>45009</Words>
  <Characters>256555</Characters>
  <Application>Microsoft Office Word</Application>
  <DocSecurity>0</DocSecurity>
  <Lines>2137</Lines>
  <Paragraphs>601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300963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Can Pehlivanoglu</dc:creator>
  <cp:keywords/>
  <dc:description/>
  <cp:lastModifiedBy>PCORP</cp:lastModifiedBy>
  <cp:revision>1362</cp:revision>
  <dcterms:created xsi:type="dcterms:W3CDTF">2016-12-29T09:58:00Z</dcterms:created>
  <dcterms:modified xsi:type="dcterms:W3CDTF">2023-06-12T21:03:00Z</dcterms:modified>
</cp:coreProperties>
</file>